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footer2.xml" ContentType="application/vnd.openxmlformats-officedocument.wordprocessingml.footer+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60AD3"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3B2EEC3D"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40905528"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30E68046"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AD186C4" w14:textId="77777777" w:rsidR="00517151" w:rsidRPr="00EC1356" w:rsidRDefault="00517151" w:rsidP="00EC1356">
      <w:pPr>
        <w:keepNext/>
        <w:tabs>
          <w:tab w:val="right" w:leader="dot" w:pos="9356"/>
        </w:tabs>
        <w:spacing w:after="0" w:line="360" w:lineRule="auto"/>
        <w:ind w:firstLine="709"/>
        <w:jc w:val="center"/>
        <w:rPr>
          <w:rFonts w:ascii="Times New Roman" w:hAnsi="Times New Roman" w:cs="Times New Roman"/>
          <w:b/>
          <w:sz w:val="28"/>
        </w:rPr>
      </w:pPr>
    </w:p>
    <w:p w14:paraId="55FF3CF4" w14:textId="154D0EB5" w:rsidR="00517151" w:rsidRPr="00EC1356" w:rsidRDefault="00EC1356" w:rsidP="00EC1356">
      <w:pPr>
        <w:keepNext/>
        <w:tabs>
          <w:tab w:val="right" w:leader="dot" w:pos="9356"/>
        </w:tabs>
        <w:spacing w:after="0" w:line="360" w:lineRule="auto"/>
        <w:jc w:val="center"/>
        <w:rPr>
          <w:rFonts w:ascii="Times New Roman" w:hAnsi="Times New Roman" w:cs="Times New Roman"/>
          <w:b/>
          <w:sz w:val="28"/>
        </w:rPr>
      </w:pPr>
      <w:r w:rsidRPr="00EC1356">
        <w:rPr>
          <w:rFonts w:ascii="Times New Roman" w:hAnsi="Times New Roman" w:cs="Times New Roman"/>
          <w:b/>
          <w:sz w:val="28"/>
        </w:rPr>
        <w:t>ТИТУЛЬНЫЙ ЛИСТ</w:t>
      </w:r>
    </w:p>
    <w:p w14:paraId="26FA77E3"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11453B16"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4CF75B4"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7EBB0F5"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D0DDC0A"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7558F2A0"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72E08353"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7892FE6D"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BD76A8F"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F557696"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7EEEB967"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3126F6F"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214064D7"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48CE5828"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2A2E2612"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43AC7043"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60EC305"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22DB8FEF"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F1AE732"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A5FA355"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D6F7B1B"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26FCF9F"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77EE809"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343A2268"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1A770AE2"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45900A44"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FC1D1F7"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4B1F09C"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6BC30BC3"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5036A6DD"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4DBCCF2" w14:textId="77777777" w:rsidR="00517151" w:rsidRDefault="00517151" w:rsidP="00483D44">
      <w:pPr>
        <w:keepNext/>
        <w:tabs>
          <w:tab w:val="right" w:leader="dot" w:pos="9356"/>
        </w:tabs>
        <w:spacing w:after="0" w:line="360" w:lineRule="auto"/>
        <w:ind w:firstLine="709"/>
        <w:jc w:val="both"/>
        <w:rPr>
          <w:rFonts w:ascii="Times New Roman" w:hAnsi="Times New Roman" w:cs="Times New Roman"/>
          <w:b/>
        </w:rPr>
      </w:pPr>
    </w:p>
    <w:p w14:paraId="0B055EA2" w14:textId="58E206DA" w:rsidR="00483D44" w:rsidRPr="00D274B8" w:rsidRDefault="00483D44" w:rsidP="00483D44">
      <w:pPr>
        <w:keepNext/>
        <w:tabs>
          <w:tab w:val="right" w:leader="dot" w:pos="9356"/>
        </w:tabs>
        <w:spacing w:after="0" w:line="360" w:lineRule="auto"/>
        <w:ind w:firstLine="709"/>
        <w:jc w:val="both"/>
        <w:rPr>
          <w:rFonts w:ascii="Times New Roman" w:hAnsi="Times New Roman" w:cs="Times New Roman"/>
          <w:b/>
          <w:bCs/>
        </w:rPr>
      </w:pPr>
      <w:r w:rsidRPr="00D274B8">
        <w:rPr>
          <w:rFonts w:ascii="Times New Roman" w:hAnsi="Times New Roman" w:cs="Times New Roman"/>
          <w:b/>
        </w:rPr>
        <w:lastRenderedPageBreak/>
        <w:t xml:space="preserve">РАЗДЕЛ 1. </w:t>
      </w:r>
      <w:r w:rsidRPr="00D274B8">
        <w:rPr>
          <w:rFonts w:ascii="Times New Roman" w:hAnsi="Times New Roman" w:cs="Times New Roman"/>
          <w:b/>
          <w:bCs/>
        </w:rPr>
        <w:t>КЛЮЧЕВЫЕ ТРЕНДЫ И ДЕТЕРМИНАНТЫ РАЗВИТИЯ ЭКОНОМИКИ И ФИНАНСОВ В ЭПОХУ ЦИФРОВИЗАЦИИ</w:t>
      </w:r>
      <w:r w:rsidRPr="00D274B8">
        <w:rPr>
          <w:rFonts w:ascii="Times New Roman" w:hAnsi="Times New Roman" w:cs="Times New Roman"/>
          <w:b/>
          <w:bCs/>
        </w:rPr>
        <w:tab/>
      </w:r>
      <w:r w:rsidR="00400849">
        <w:rPr>
          <w:rFonts w:ascii="Times New Roman" w:hAnsi="Times New Roman" w:cs="Times New Roman"/>
          <w:b/>
          <w:bCs/>
        </w:rPr>
        <w:t>10</w:t>
      </w:r>
    </w:p>
    <w:p w14:paraId="680C33CE" w14:textId="77777777" w:rsidR="00483D44" w:rsidRPr="00D274B8" w:rsidRDefault="00483D44" w:rsidP="00483D44">
      <w:pPr>
        <w:keepNext/>
        <w:spacing w:after="0" w:line="360" w:lineRule="auto"/>
        <w:ind w:firstLine="709"/>
        <w:jc w:val="both"/>
        <w:rPr>
          <w:rFonts w:ascii="Times New Roman" w:hAnsi="Times New Roman" w:cs="Times New Roman"/>
          <w:b/>
          <w:bCs/>
        </w:rPr>
      </w:pPr>
    </w:p>
    <w:p w14:paraId="372C6690" w14:textId="470C472A"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hAnsi="Times New Roman" w:cs="Times New Roman"/>
          <w:b/>
          <w:color w:val="000000"/>
          <w:lang w:eastAsia="ar-SA"/>
        </w:rPr>
        <w:t>Андреева А.С. и Труфанова А.А., Научный руководитель:</w:t>
      </w:r>
      <w:r w:rsidRPr="00D274B8">
        <w:rPr>
          <w:rFonts w:ascii="Times New Roman" w:eastAsia="Calibri" w:hAnsi="Times New Roman" w:cs="Times New Roman"/>
          <w:b/>
          <w:lang w:eastAsia="ru-RU"/>
        </w:rPr>
        <w:t xml:space="preserve"> Добрунова М.А., </w:t>
      </w:r>
      <w:r w:rsidRPr="00D274B8">
        <w:rPr>
          <w:rFonts w:ascii="Times New Roman" w:eastAsia="Calibri" w:hAnsi="Times New Roman" w:cs="Times New Roman"/>
          <w:lang w:eastAsia="ru-RU"/>
        </w:rPr>
        <w:t>Развитие малого и среднего предпринимательства в России 2020-2024 гг.</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10</w:t>
      </w:r>
    </w:p>
    <w:p w14:paraId="3D677E66" w14:textId="432A9C96" w:rsidR="00483D44" w:rsidRPr="00D274B8" w:rsidRDefault="00483D44" w:rsidP="001F02AB">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Андреева В.С., Научный руководитель: Радченко М.В., </w:t>
      </w:r>
      <w:r w:rsidRPr="00D274B8">
        <w:rPr>
          <w:rFonts w:ascii="Times New Roman" w:eastAsia="Calibri" w:hAnsi="Times New Roman" w:cs="Times New Roman"/>
          <w:lang w:eastAsia="ru-RU"/>
        </w:rPr>
        <w:t>Современные формы акционерной собственности и предпринимательства в России: вызовы и перспективы</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15</w:t>
      </w:r>
    </w:p>
    <w:p w14:paraId="4668F1F6" w14:textId="64448C71"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Антонова М.А., Сидорова Д.А., Научный руководитель: Берлин С.И., </w:t>
      </w:r>
      <w:r w:rsidRPr="00D274B8">
        <w:rPr>
          <w:rFonts w:ascii="Times New Roman" w:eastAsia="Calibri" w:hAnsi="Times New Roman" w:cs="Times New Roman"/>
          <w:lang w:eastAsia="ru-RU"/>
        </w:rPr>
        <w:t>Страхование сельскохозяйственных культур как инструмент управления рисками сельхозпредприятий</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19</w:t>
      </w:r>
    </w:p>
    <w:p w14:paraId="43173B37" w14:textId="1D79C3F7"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Берлина Д.С., Научный руководитель: Соболев Э.В., </w:t>
      </w:r>
      <w:r w:rsidRPr="00D274B8">
        <w:rPr>
          <w:rFonts w:ascii="Times New Roman" w:eastAsia="Calibri" w:hAnsi="Times New Roman" w:cs="Times New Roman"/>
          <w:lang w:eastAsia="ru-RU"/>
        </w:rPr>
        <w:t>Инструменты развития предпринимательства в санаторно-курортном комплексе Краснодарского края в условиях глобализации индустрии туризма и рекреации</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26</w:t>
      </w:r>
    </w:p>
    <w:p w14:paraId="6D478671" w14:textId="6D7BCCBC"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Богданова М.А., Научный руководитель: Радченко М.В., </w:t>
      </w:r>
      <w:r w:rsidRPr="00D274B8">
        <w:rPr>
          <w:rFonts w:ascii="Times New Roman" w:eastAsia="Calibri" w:hAnsi="Times New Roman" w:cs="Times New Roman"/>
          <w:lang w:eastAsia="ru-RU"/>
        </w:rPr>
        <w:t>Статистический анализ рынка труда России (Краснодарского края)</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33</w:t>
      </w:r>
    </w:p>
    <w:p w14:paraId="6BFD989B" w14:textId="17A24DB4"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b/>
          <w:lang w:eastAsia="ru-RU"/>
        </w:rPr>
      </w:pPr>
      <w:r w:rsidRPr="00D274B8">
        <w:rPr>
          <w:rFonts w:ascii="Times New Roman" w:eastAsia="Calibri" w:hAnsi="Times New Roman" w:cs="Times New Roman"/>
          <w:b/>
          <w:lang w:eastAsia="ru-RU"/>
        </w:rPr>
        <w:t xml:space="preserve">Боранукова К.М., Научный руководитель: Берлин С.И., </w:t>
      </w:r>
      <w:r w:rsidRPr="00D274B8">
        <w:rPr>
          <w:rFonts w:ascii="Times New Roman" w:eastAsia="Calibri" w:hAnsi="Times New Roman" w:cs="Times New Roman"/>
          <w:lang w:eastAsia="ru-RU"/>
        </w:rPr>
        <w:t>Современная трансформация принципов добровольного страхования</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39</w:t>
      </w:r>
    </w:p>
    <w:p w14:paraId="7AD46060" w14:textId="5C9E3961"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Веретенникова Е.И., Научный руководитель: Берлин С.И., </w:t>
      </w:r>
      <w:r w:rsidRPr="00D274B8">
        <w:rPr>
          <w:rFonts w:ascii="Times New Roman" w:eastAsia="Calibri" w:hAnsi="Times New Roman" w:cs="Times New Roman"/>
          <w:lang w:eastAsia="ru-RU"/>
        </w:rPr>
        <w:t>Личное страхование, его формы и особенности. Классификация договоров страхования жизни</w:t>
      </w:r>
      <w:r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45</w:t>
      </w:r>
    </w:p>
    <w:p w14:paraId="40823CA2" w14:textId="73D1EA4F" w:rsidR="00483D44" w:rsidRPr="00D274B8" w:rsidRDefault="00483D44" w:rsidP="002A1CF2">
      <w:pPr>
        <w:keepNext/>
        <w:keepLines/>
        <w:tabs>
          <w:tab w:val="right" w:leader="dot" w:pos="9356"/>
        </w:tabs>
        <w:spacing w:after="0" w:line="360" w:lineRule="auto"/>
        <w:ind w:firstLine="709"/>
        <w:jc w:val="both"/>
        <w:rPr>
          <w:rFonts w:ascii="Times New Roman" w:eastAsia="Calibri" w:hAnsi="Times New Roman" w:cs="Times New Roman"/>
          <w:b/>
          <w:lang w:eastAsia="ru-RU"/>
        </w:rPr>
      </w:pPr>
      <w:r w:rsidRPr="00D274B8">
        <w:rPr>
          <w:rFonts w:ascii="Times New Roman" w:eastAsia="Calibri" w:hAnsi="Times New Roman" w:cs="Times New Roman"/>
          <w:b/>
          <w:lang w:eastAsia="ru-RU"/>
        </w:rPr>
        <w:t xml:space="preserve">Корнеева В.А., Мищенко А.О., Научный руководитель: Пименов Г.Г., </w:t>
      </w:r>
      <w:r w:rsidRPr="00D274B8">
        <w:rPr>
          <w:rFonts w:ascii="Times New Roman" w:eastAsia="Calibri" w:hAnsi="Times New Roman" w:cs="Times New Roman"/>
          <w:lang w:eastAsia="ru-RU"/>
        </w:rPr>
        <w:t>Инфляция: факторы, механизм, стратегия преодоления</w:t>
      </w:r>
      <w:r w:rsidRPr="00D274B8">
        <w:rPr>
          <w:rFonts w:ascii="Times New Roman" w:eastAsia="Calibri" w:hAnsi="Times New Roman" w:cs="Times New Roman"/>
          <w:b/>
          <w:lang w:eastAsia="ru-RU"/>
        </w:rPr>
        <w:t xml:space="preserve"> </w:t>
      </w:r>
      <w:r w:rsidR="00796943" w:rsidRPr="00D274B8">
        <w:rPr>
          <w:rFonts w:ascii="Times New Roman" w:eastAsia="Calibri" w:hAnsi="Times New Roman" w:cs="Times New Roman"/>
          <w:lang w:eastAsia="ru-RU"/>
        </w:rPr>
        <w:tab/>
      </w:r>
      <w:r w:rsidR="00400849">
        <w:rPr>
          <w:rFonts w:ascii="Times New Roman" w:eastAsia="Calibri" w:hAnsi="Times New Roman" w:cs="Times New Roman"/>
          <w:lang w:eastAsia="ru-RU"/>
        </w:rPr>
        <w:t>50</w:t>
      </w:r>
    </w:p>
    <w:p w14:paraId="4CDA4DBA" w14:textId="268A1F7B" w:rsidR="00400849" w:rsidRPr="00400849" w:rsidRDefault="00400849" w:rsidP="00400849">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400849">
        <w:rPr>
          <w:rFonts w:ascii="Times New Roman" w:eastAsia="Calibri" w:hAnsi="Times New Roman" w:cs="Times New Roman"/>
          <w:b/>
          <w:lang w:eastAsia="ru-RU"/>
        </w:rPr>
        <w:t xml:space="preserve">Кретов О.А., Научный руководитель: Рощектаева У.Ю., </w:t>
      </w:r>
      <w:r w:rsidRPr="00400849">
        <w:rPr>
          <w:rFonts w:ascii="Times New Roman" w:eastAsia="Calibri" w:hAnsi="Times New Roman" w:cs="Times New Roman"/>
          <w:lang w:eastAsia="ru-RU"/>
        </w:rPr>
        <w:t>Взаимодействие между подразделениями при движении товаров: склад — торговля — логистика</w:t>
      </w:r>
      <w:r w:rsidRPr="00D274B8">
        <w:rPr>
          <w:rFonts w:ascii="Times New Roman" w:eastAsia="Calibri" w:hAnsi="Times New Roman" w:cs="Times New Roman"/>
          <w:lang w:eastAsia="ru-RU"/>
        </w:rPr>
        <w:tab/>
      </w:r>
      <w:r>
        <w:rPr>
          <w:rFonts w:ascii="Times New Roman" w:eastAsia="Calibri" w:hAnsi="Times New Roman" w:cs="Times New Roman"/>
          <w:lang w:eastAsia="ru-RU"/>
        </w:rPr>
        <w:t>56</w:t>
      </w:r>
    </w:p>
    <w:p w14:paraId="0BE848DB" w14:textId="5CDCA895" w:rsidR="00483D44" w:rsidRPr="00D274B8" w:rsidRDefault="00483D44" w:rsidP="001F02AB">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Лазарева С.В., Середняя А.А., Научный руководитель: Продолятченко П.А., </w:t>
      </w:r>
      <w:r w:rsidRPr="00D274B8">
        <w:rPr>
          <w:rFonts w:ascii="Times New Roman" w:eastAsia="Calibri" w:hAnsi="Times New Roman" w:cs="Times New Roman"/>
          <w:lang w:eastAsia="ru-RU"/>
        </w:rPr>
        <w:t>Кредитование в фазах экономического подъема: риски перегрева экономики</w:t>
      </w:r>
      <w:r w:rsidRPr="00D274B8">
        <w:rPr>
          <w:rFonts w:ascii="Times New Roman" w:eastAsia="Calibri" w:hAnsi="Times New Roman" w:cs="Times New Roman"/>
          <w:lang w:eastAsia="ru-RU"/>
        </w:rPr>
        <w:tab/>
      </w:r>
      <w:r w:rsidR="003F4D72">
        <w:rPr>
          <w:rFonts w:ascii="Times New Roman" w:eastAsia="Calibri" w:hAnsi="Times New Roman" w:cs="Times New Roman"/>
          <w:lang w:eastAsia="ru-RU"/>
        </w:rPr>
        <w:t>62</w:t>
      </w:r>
    </w:p>
    <w:p w14:paraId="693FA371" w14:textId="0CFC892A" w:rsidR="00483D44" w:rsidRPr="00D274B8" w:rsidRDefault="00483D44" w:rsidP="002A1CF2">
      <w:pPr>
        <w:keepNext/>
        <w:keepLines/>
        <w:tabs>
          <w:tab w:val="right" w:leader="dot" w:pos="9356"/>
        </w:tabs>
        <w:spacing w:after="0" w:line="360" w:lineRule="auto"/>
        <w:ind w:firstLine="709"/>
        <w:jc w:val="both"/>
        <w:rPr>
          <w:rFonts w:ascii="Times New Roman" w:eastAsia="Times New Roman" w:hAnsi="Times New Roman" w:cs="Times New Roman"/>
          <w:bCs/>
          <w:lang w:eastAsia="ar-SA"/>
        </w:rPr>
      </w:pPr>
      <w:r w:rsidRPr="00D274B8">
        <w:rPr>
          <w:rFonts w:ascii="Times New Roman" w:eastAsia="Times New Roman" w:hAnsi="Times New Roman" w:cs="Times New Roman"/>
          <w:b/>
          <w:iCs/>
          <w:color w:val="000000"/>
          <w:lang w:eastAsia="ar-SA"/>
        </w:rPr>
        <w:t>Ламанова А.А</w:t>
      </w:r>
      <w:r w:rsidRPr="00D274B8">
        <w:rPr>
          <w:rFonts w:ascii="Times New Roman" w:eastAsia="Times New Roman" w:hAnsi="Times New Roman" w:cs="Times New Roman"/>
          <w:b/>
          <w:iCs/>
          <w:color w:val="000000"/>
          <w:lang w:val="x-none" w:eastAsia="ar-SA"/>
        </w:rPr>
        <w:t>.</w:t>
      </w:r>
      <w:r w:rsidRPr="00D274B8">
        <w:rPr>
          <w:rFonts w:ascii="Times New Roman" w:eastAsia="Aptos" w:hAnsi="Times New Roman" w:cs="Times New Roman"/>
          <w:b/>
          <w:bCs/>
          <w:iCs/>
          <w:kern w:val="2"/>
          <w14:ligatures w14:val="standardContextual"/>
        </w:rPr>
        <w:t>,</w:t>
      </w:r>
      <w:r w:rsidRPr="00D274B8">
        <w:rPr>
          <w:rFonts w:ascii="Times New Roman" w:eastAsia="Aptos" w:hAnsi="Times New Roman" w:cs="Times New Roman"/>
          <w:b/>
          <w:bCs/>
          <w:i/>
          <w:iCs/>
          <w:kern w:val="2"/>
          <w14:ligatures w14:val="standardContextual"/>
        </w:rPr>
        <w:t xml:space="preserve"> </w:t>
      </w:r>
      <w:r w:rsidRPr="00D274B8">
        <w:rPr>
          <w:rFonts w:ascii="Times New Roman" w:eastAsia="Calibri" w:hAnsi="Times New Roman" w:cs="Times New Roman"/>
          <w:b/>
          <w:lang w:eastAsia="ru-RU"/>
        </w:rPr>
        <w:t xml:space="preserve">Научный руководитель: Радченко М.В., </w:t>
      </w:r>
      <w:r w:rsidRPr="00D274B8">
        <w:rPr>
          <w:rFonts w:ascii="Times New Roman" w:eastAsia="Times New Roman" w:hAnsi="Times New Roman" w:cs="Times New Roman"/>
          <w:bCs/>
          <w:lang w:eastAsia="ar-SA"/>
        </w:rPr>
        <w:t>Виды инвестиций в человеческий капитал и оценка их эффективности</w:t>
      </w:r>
      <w:r w:rsidR="002A1CF2" w:rsidRPr="00D274B8">
        <w:rPr>
          <w:rFonts w:ascii="Times New Roman" w:eastAsia="Times New Roman" w:hAnsi="Times New Roman" w:cs="Times New Roman"/>
          <w:bCs/>
          <w:lang w:eastAsia="ar-SA"/>
        </w:rPr>
        <w:tab/>
      </w:r>
      <w:r w:rsidR="003F4D72">
        <w:rPr>
          <w:rFonts w:ascii="Times New Roman" w:eastAsia="Times New Roman" w:hAnsi="Times New Roman" w:cs="Times New Roman"/>
          <w:bCs/>
          <w:lang w:eastAsia="ar-SA"/>
        </w:rPr>
        <w:t>69</w:t>
      </w:r>
    </w:p>
    <w:p w14:paraId="496E147F" w14:textId="19905E79" w:rsidR="00483D44" w:rsidRPr="00D274B8" w:rsidRDefault="00483D44" w:rsidP="007D5B65">
      <w:pPr>
        <w:keepNext/>
        <w:keepLines/>
        <w:tabs>
          <w:tab w:val="right" w:leader="dot" w:pos="9356"/>
        </w:tabs>
        <w:spacing w:after="0" w:line="360" w:lineRule="auto"/>
        <w:ind w:firstLine="709"/>
        <w:jc w:val="both"/>
        <w:rPr>
          <w:rFonts w:ascii="Times New Roman" w:eastAsia="Calibri" w:hAnsi="Times New Roman" w:cs="Times New Roman"/>
        </w:rPr>
      </w:pPr>
      <w:r w:rsidRPr="00D274B8">
        <w:rPr>
          <w:rFonts w:ascii="Times New Roman" w:eastAsia="Calibri" w:hAnsi="Times New Roman" w:cs="Times New Roman"/>
          <w:b/>
          <w:lang w:eastAsia="ru-RU"/>
        </w:rPr>
        <w:t>Любомирская О.А</w:t>
      </w:r>
      <w:r w:rsidRPr="00D274B8">
        <w:rPr>
          <w:rFonts w:ascii="Times New Roman" w:eastAsia="Times New Roman" w:hAnsi="Times New Roman" w:cs="Times New Roman"/>
          <w:b/>
          <w:iCs/>
          <w:color w:val="000000"/>
          <w:lang w:val="x-none" w:eastAsia="ar-SA"/>
        </w:rPr>
        <w:t>.</w:t>
      </w:r>
      <w:r w:rsidRPr="00D274B8">
        <w:rPr>
          <w:rFonts w:ascii="Times New Roman" w:eastAsia="Aptos" w:hAnsi="Times New Roman" w:cs="Times New Roman"/>
          <w:b/>
          <w:bCs/>
          <w:iCs/>
          <w:kern w:val="2"/>
          <w14:ligatures w14:val="standardContextual"/>
        </w:rPr>
        <w:t>,</w:t>
      </w:r>
      <w:r w:rsidRPr="00D274B8">
        <w:rPr>
          <w:rFonts w:ascii="Times New Roman" w:eastAsia="Aptos" w:hAnsi="Times New Roman" w:cs="Times New Roman"/>
          <w:b/>
          <w:bCs/>
          <w:i/>
          <w:iCs/>
          <w:kern w:val="2"/>
          <w14:ligatures w14:val="standardContextual"/>
        </w:rPr>
        <w:t xml:space="preserve"> </w:t>
      </w:r>
      <w:r w:rsidRPr="00D274B8">
        <w:rPr>
          <w:rFonts w:ascii="Times New Roman" w:eastAsia="Calibri" w:hAnsi="Times New Roman" w:cs="Times New Roman"/>
          <w:b/>
          <w:lang w:eastAsia="ru-RU"/>
        </w:rPr>
        <w:t xml:space="preserve">Научный руководитель: Радченко М.В., </w:t>
      </w:r>
      <w:r w:rsidRPr="00D274B8">
        <w:rPr>
          <w:rFonts w:ascii="Times New Roman" w:eastAsia="Calibri" w:hAnsi="Times New Roman" w:cs="Times New Roman"/>
        </w:rPr>
        <w:t xml:space="preserve">Экономическая сущность и взаимосвязь функций налогов </w:t>
      </w:r>
      <w:r w:rsidR="007D5B65" w:rsidRPr="00D274B8">
        <w:rPr>
          <w:rFonts w:ascii="Times New Roman" w:eastAsia="Calibri" w:hAnsi="Times New Roman" w:cs="Times New Roman"/>
        </w:rPr>
        <w:tab/>
      </w:r>
      <w:r w:rsidR="003F4D72">
        <w:rPr>
          <w:rFonts w:ascii="Times New Roman" w:eastAsia="Calibri" w:hAnsi="Times New Roman" w:cs="Times New Roman"/>
        </w:rPr>
        <w:t>74</w:t>
      </w:r>
    </w:p>
    <w:p w14:paraId="1F151BF0" w14:textId="5526B89C"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Мардашева К.Е., Научный руководитель: Арефьева С.А., </w:t>
      </w:r>
      <w:r w:rsidRPr="00D274B8">
        <w:rPr>
          <w:rFonts w:ascii="Times New Roman" w:eastAsia="Calibri" w:hAnsi="Times New Roman" w:cs="Times New Roman"/>
          <w:lang w:eastAsia="ru-RU"/>
        </w:rPr>
        <w:t>Совершенствование процесса сервисной службы технической поддержки в банковской организации</w:t>
      </w:r>
      <w:bookmarkStart w:id="0" w:name="_Hlk205196655"/>
      <w:r w:rsidRPr="00D274B8">
        <w:rPr>
          <w:rFonts w:ascii="Times New Roman" w:eastAsia="Calibri" w:hAnsi="Times New Roman" w:cs="Times New Roman"/>
          <w:lang w:eastAsia="ru-RU"/>
        </w:rPr>
        <w:tab/>
      </w:r>
      <w:bookmarkEnd w:id="0"/>
      <w:r w:rsidR="003F4D72">
        <w:rPr>
          <w:rFonts w:ascii="Times New Roman" w:eastAsia="Calibri" w:hAnsi="Times New Roman" w:cs="Times New Roman"/>
          <w:lang w:eastAsia="ru-RU"/>
        </w:rPr>
        <w:t>82</w:t>
      </w:r>
    </w:p>
    <w:p w14:paraId="07DD8AD3" w14:textId="10E1269E" w:rsidR="00483D44" w:rsidRPr="00D274B8" w:rsidRDefault="00483D44" w:rsidP="007D5B65">
      <w:pPr>
        <w:keepNext/>
        <w:keepLines/>
        <w:widowControl w:val="0"/>
        <w:tabs>
          <w:tab w:val="right" w:leader="dot" w:pos="9356"/>
        </w:tabs>
        <w:spacing w:after="0" w:line="360" w:lineRule="auto"/>
        <w:ind w:firstLine="709"/>
        <w:jc w:val="both"/>
        <w:rPr>
          <w:rFonts w:ascii="Times New Roman" w:eastAsia="Calibri" w:hAnsi="Times New Roman" w:cs="Times New Roman"/>
          <w:bCs/>
          <w:lang w:eastAsia="ru-RU"/>
        </w:rPr>
      </w:pPr>
      <w:r w:rsidRPr="00D274B8">
        <w:rPr>
          <w:rFonts w:ascii="Times New Roman" w:eastAsia="Calibri" w:hAnsi="Times New Roman" w:cs="Times New Roman"/>
          <w:b/>
          <w:lang w:eastAsia="ru-RU"/>
        </w:rPr>
        <w:t xml:space="preserve">Марусевич Ю.В., Научный руководитель: Берлин С.И., </w:t>
      </w:r>
      <w:r w:rsidRPr="00D274B8">
        <w:rPr>
          <w:rFonts w:ascii="Times New Roman" w:eastAsia="Calibri" w:hAnsi="Times New Roman" w:cs="Times New Roman"/>
          <w:bCs/>
          <w:lang w:eastAsia="ru-RU"/>
        </w:rPr>
        <w:t>Стратегия импортозамещения как основа стабилизации российской экономики</w:t>
      </w:r>
      <w:r w:rsidR="007D5B65" w:rsidRPr="00D274B8">
        <w:rPr>
          <w:rFonts w:ascii="Times New Roman" w:eastAsia="Calibri" w:hAnsi="Times New Roman" w:cs="Times New Roman"/>
          <w:bCs/>
          <w:lang w:eastAsia="ru-RU"/>
        </w:rPr>
        <w:tab/>
      </w:r>
      <w:r w:rsidR="003F4D72">
        <w:rPr>
          <w:rFonts w:ascii="Times New Roman" w:eastAsia="Calibri" w:hAnsi="Times New Roman" w:cs="Times New Roman"/>
          <w:bCs/>
          <w:lang w:eastAsia="ru-RU"/>
        </w:rPr>
        <w:t>87</w:t>
      </w:r>
    </w:p>
    <w:p w14:paraId="592382D0" w14:textId="6169D36A" w:rsidR="00483D44" w:rsidRPr="00D274B8" w:rsidRDefault="00483D44" w:rsidP="007D5B65">
      <w:pPr>
        <w:keepNext/>
        <w:keepLines/>
        <w:tabs>
          <w:tab w:val="right" w:leader="dot" w:pos="9356"/>
        </w:tabs>
        <w:spacing w:after="0" w:line="360" w:lineRule="auto"/>
        <w:ind w:firstLine="709"/>
        <w:jc w:val="both"/>
        <w:rPr>
          <w:rFonts w:ascii="Times New Roman" w:eastAsia="Times New Roman" w:hAnsi="Times New Roman" w:cs="Times New Roman"/>
          <w:color w:val="000000"/>
          <w14:textFill>
            <w14:solidFill>
              <w14:srgbClr w14:val="000000">
                <w14:lumMod w14:val="100000"/>
                <w14:lumOff w14:val="0"/>
              </w14:srgbClr>
            </w14:solidFill>
          </w14:textFill>
        </w:rPr>
      </w:pPr>
      <w:r w:rsidRPr="00D274B8">
        <w:rPr>
          <w:rFonts w:ascii="Times New Roman" w:eastAsia="Times New Roman" w:hAnsi="Times New Roman" w:cs="Times New Roman"/>
          <w:b/>
          <w:bCs/>
        </w:rPr>
        <w:t xml:space="preserve">Маслакова Д. Р., Михайлова А.Е., </w:t>
      </w:r>
      <w:r w:rsidRPr="00D274B8">
        <w:rPr>
          <w:rFonts w:ascii="Times New Roman" w:eastAsia="Times New Roman" w:hAnsi="Times New Roman" w:cs="Times New Roman"/>
          <w:b/>
          <w:color w:val="000000"/>
          <w:lang w:eastAsia="ar-SA"/>
        </w:rPr>
        <w:t xml:space="preserve">Научный руководитель: Рощектаева У.Ю., </w:t>
      </w:r>
      <w:r w:rsidRPr="00D274B8">
        <w:rPr>
          <w:rFonts w:ascii="Times New Roman" w:eastAsia="Times New Roman" w:hAnsi="Times New Roman" w:cs="Times New Roman"/>
          <w:color w:val="000000"/>
          <w14:textFill>
            <w14:solidFill>
              <w14:srgbClr w14:val="000000">
                <w14:lumMod w14:val="100000"/>
                <w14:lumOff w14:val="0"/>
              </w14:srgbClr>
            </w14:solidFill>
          </w14:textFill>
        </w:rPr>
        <w:t xml:space="preserve">Применение экономического анализа при прогнозировании банкротства с использованием искусственного интеллекта </w:t>
      </w:r>
      <w:r w:rsidR="002A1CF2" w:rsidRPr="00D274B8">
        <w:rPr>
          <w:rFonts w:ascii="Times New Roman" w:eastAsia="Times New Roman" w:hAnsi="Times New Roman" w:cs="Times New Roman"/>
          <w:color w:val="000000"/>
          <w14:textFill>
            <w14:solidFill>
              <w14:srgbClr w14:val="000000">
                <w14:lumMod w14:val="100000"/>
                <w14:lumOff w14:val="0"/>
              </w14:srgbClr>
            </w14:solidFill>
          </w14:textFill>
        </w:rPr>
        <w:tab/>
      </w:r>
      <w:r w:rsidR="00F6084F">
        <w:rPr>
          <w:rFonts w:ascii="Times New Roman" w:eastAsia="Times New Roman" w:hAnsi="Times New Roman" w:cs="Times New Roman"/>
          <w:color w:val="000000"/>
          <w14:textFill>
            <w14:solidFill>
              <w14:srgbClr w14:val="000000">
                <w14:lumMod w14:val="100000"/>
                <w14:lumOff w14:val="0"/>
              </w14:srgbClr>
            </w14:solidFill>
          </w14:textFill>
        </w:rPr>
        <w:t>95</w:t>
      </w:r>
    </w:p>
    <w:p w14:paraId="425E4E50" w14:textId="4740BD0F" w:rsidR="00483D44" w:rsidRPr="00D274B8" w:rsidRDefault="00483D44" w:rsidP="007D5B65">
      <w:pPr>
        <w:keepNext/>
        <w:keepLines/>
        <w:tabs>
          <w:tab w:val="right" w:leader="dot" w:pos="9356"/>
        </w:tabs>
        <w:spacing w:after="0" w:line="360" w:lineRule="auto"/>
        <w:ind w:firstLine="709"/>
        <w:jc w:val="both"/>
        <w:rPr>
          <w:rFonts w:ascii="Times New Roman" w:eastAsia="Calibri" w:hAnsi="Times New Roman" w:cs="Times New Roman"/>
          <w:b/>
          <w:bCs/>
          <w:lang w:eastAsia="ru-RU"/>
        </w:rPr>
      </w:pPr>
      <w:r w:rsidRPr="00D274B8">
        <w:rPr>
          <w:rFonts w:ascii="Times New Roman" w:hAnsi="Times New Roman" w:cs="Times New Roman"/>
          <w:b/>
          <w:lang w:eastAsia="ru-RU"/>
        </w:rPr>
        <w:t xml:space="preserve">Микаелян М.Г., </w:t>
      </w:r>
      <w:r w:rsidRPr="00D274B8">
        <w:rPr>
          <w:rFonts w:ascii="Times New Roman" w:eastAsia="Calibri" w:hAnsi="Times New Roman" w:cs="Times New Roman"/>
          <w:b/>
          <w:lang w:eastAsia="ru-RU"/>
        </w:rPr>
        <w:t xml:space="preserve">Научный руководитель: Радченко М.В., </w:t>
      </w:r>
      <w:r w:rsidRPr="00D274B8">
        <w:rPr>
          <w:rFonts w:ascii="Times New Roman" w:eastAsia="Calibri" w:hAnsi="Times New Roman" w:cs="Times New Roman"/>
          <w:lang w:eastAsia="ru-RU"/>
        </w:rPr>
        <w:t>Анализ показателей развития малого бизнеса в России (Краснодарском крае)</w:t>
      </w:r>
      <w:r w:rsidR="007D5B65" w:rsidRPr="00D274B8">
        <w:rPr>
          <w:rFonts w:ascii="Times New Roman" w:eastAsia="Calibri" w:hAnsi="Times New Roman" w:cs="Times New Roman"/>
          <w:lang w:eastAsia="ru-RU"/>
        </w:rPr>
        <w:tab/>
      </w:r>
      <w:r w:rsidR="00F6084F">
        <w:rPr>
          <w:rFonts w:ascii="Times New Roman" w:eastAsia="Calibri" w:hAnsi="Times New Roman" w:cs="Times New Roman"/>
          <w:lang w:eastAsia="ru-RU"/>
        </w:rPr>
        <w:t>99</w:t>
      </w:r>
    </w:p>
    <w:p w14:paraId="36EF2A5B" w14:textId="77777777" w:rsidR="00483D44" w:rsidRPr="00D274B8" w:rsidRDefault="00483D44" w:rsidP="007D5B65">
      <w:pPr>
        <w:keepNext/>
        <w:keepLines/>
        <w:tabs>
          <w:tab w:val="right" w:leader="dot" w:pos="9356"/>
        </w:tabs>
        <w:suppressAutoHyphens/>
        <w:spacing w:after="0" w:line="360" w:lineRule="auto"/>
        <w:ind w:right="-1" w:firstLine="709"/>
        <w:rPr>
          <w:rFonts w:ascii="Times New Roman" w:eastAsia="Calibri" w:hAnsi="Times New Roman" w:cs="Times New Roman"/>
          <w:b/>
          <w:lang w:eastAsia="ru-RU"/>
        </w:rPr>
      </w:pPr>
    </w:p>
    <w:p w14:paraId="1038AFFD" w14:textId="157461D5" w:rsidR="00483D44" w:rsidRPr="00D274B8" w:rsidRDefault="00483D44" w:rsidP="007D5B65">
      <w:pPr>
        <w:keepNext/>
        <w:keepLines/>
        <w:tabs>
          <w:tab w:val="right" w:leader="dot" w:pos="9356"/>
        </w:tabs>
        <w:suppressAutoHyphens/>
        <w:spacing w:after="0" w:line="360" w:lineRule="auto"/>
        <w:ind w:right="-1" w:firstLine="709"/>
        <w:rPr>
          <w:rFonts w:ascii="Times New Roman" w:eastAsia="Times New Roman" w:hAnsi="Times New Roman" w:cs="Times New Roman"/>
          <w:b/>
          <w:lang w:eastAsia="ar-SA"/>
        </w:rPr>
      </w:pPr>
      <w:r w:rsidRPr="00D274B8">
        <w:rPr>
          <w:rFonts w:ascii="Times New Roman" w:eastAsia="Calibri" w:hAnsi="Times New Roman" w:cs="Times New Roman"/>
          <w:b/>
          <w:lang w:eastAsia="ru-RU"/>
        </w:rPr>
        <w:lastRenderedPageBreak/>
        <w:t>Морозова А.С.</w:t>
      </w:r>
      <w:r w:rsidRPr="00D274B8">
        <w:rPr>
          <w:rFonts w:ascii="Times New Roman" w:hAnsi="Times New Roman" w:cs="Times New Roman"/>
          <w:b/>
          <w:color w:val="000000"/>
          <w:lang w:eastAsia="ar-SA"/>
        </w:rPr>
        <w:t>, Научный руководитель:</w:t>
      </w:r>
      <w:r w:rsidRPr="00D274B8">
        <w:rPr>
          <w:rFonts w:ascii="Times New Roman" w:eastAsia="Calibri" w:hAnsi="Times New Roman" w:cs="Times New Roman"/>
          <w:b/>
          <w:lang w:eastAsia="ru-RU"/>
        </w:rPr>
        <w:t xml:space="preserve"> Добрунова М.А., </w:t>
      </w:r>
      <w:r w:rsidRPr="00D274B8">
        <w:rPr>
          <w:rFonts w:ascii="Times New Roman" w:eastAsia="Times New Roman" w:hAnsi="Times New Roman" w:cs="Times New Roman"/>
          <w:bCs/>
          <w:lang w:eastAsia="ar-SA"/>
        </w:rPr>
        <w:t xml:space="preserve">Особенности </w:t>
      </w:r>
      <w:r w:rsidRPr="00D274B8">
        <w:rPr>
          <w:rFonts w:ascii="Times New Roman" w:eastAsia="Times New Roman" w:hAnsi="Times New Roman" w:cs="Times New Roman"/>
          <w:bCs/>
          <w:lang w:val="en-US" w:eastAsia="ar-SA"/>
        </w:rPr>
        <w:t>ESG</w:t>
      </w:r>
      <w:r w:rsidRPr="00D274B8">
        <w:rPr>
          <w:rFonts w:ascii="Times New Roman" w:eastAsia="Times New Roman" w:hAnsi="Times New Roman" w:cs="Times New Roman"/>
          <w:bCs/>
          <w:lang w:eastAsia="ar-SA"/>
        </w:rPr>
        <w:t>-отчетности в России: анализ нормативно-правовой базы и практики составления</w:t>
      </w:r>
      <w:r w:rsidRPr="00D274B8">
        <w:rPr>
          <w:rFonts w:ascii="Times New Roman" w:eastAsia="Times New Roman" w:hAnsi="Times New Roman" w:cs="Times New Roman"/>
          <w:b/>
          <w:lang w:eastAsia="ar-SA"/>
        </w:rPr>
        <w:t xml:space="preserve"> </w:t>
      </w:r>
      <w:r w:rsidR="007D5B65" w:rsidRPr="00D274B8">
        <w:rPr>
          <w:rFonts w:ascii="Times New Roman" w:eastAsia="Times New Roman" w:hAnsi="Times New Roman" w:cs="Times New Roman"/>
          <w:bCs/>
          <w:lang w:eastAsia="ar-SA"/>
        </w:rPr>
        <w:tab/>
      </w:r>
      <w:r w:rsidR="00203375">
        <w:rPr>
          <w:rFonts w:ascii="Times New Roman" w:eastAsia="Times New Roman" w:hAnsi="Times New Roman" w:cs="Times New Roman"/>
          <w:bCs/>
          <w:lang w:eastAsia="ar-SA"/>
        </w:rPr>
        <w:t>104</w:t>
      </w:r>
    </w:p>
    <w:p w14:paraId="69C448F6" w14:textId="5438176C" w:rsidR="00483D44" w:rsidRPr="00D274B8" w:rsidRDefault="00483D44" w:rsidP="007D5B65">
      <w:pPr>
        <w:keepNext/>
        <w:keepLines/>
        <w:tabs>
          <w:tab w:val="right" w:leader="dot" w:pos="9356"/>
        </w:tabs>
        <w:suppressAutoHyphens/>
        <w:spacing w:after="0" w:line="360" w:lineRule="auto"/>
        <w:ind w:right="-1" w:firstLine="709"/>
        <w:jc w:val="both"/>
        <w:rPr>
          <w:rFonts w:ascii="Times New Roman" w:eastAsia="Times New Roman" w:hAnsi="Times New Roman" w:cs="Times New Roman"/>
          <w:b/>
          <w:lang w:eastAsia="ar-SA"/>
        </w:rPr>
      </w:pPr>
      <w:r w:rsidRPr="00D274B8">
        <w:rPr>
          <w:rFonts w:ascii="Times New Roman" w:eastAsia="Times New Roman" w:hAnsi="Times New Roman" w:cs="Times New Roman"/>
          <w:b/>
          <w:lang w:eastAsia="ar-SA"/>
        </w:rPr>
        <w:t xml:space="preserve">Озеров Ф.Э., </w:t>
      </w:r>
      <w:r w:rsidRPr="00D274B8">
        <w:rPr>
          <w:rFonts w:ascii="Times New Roman" w:hAnsi="Times New Roman" w:cs="Times New Roman"/>
          <w:b/>
          <w:color w:val="000000"/>
          <w:lang w:eastAsia="ar-SA"/>
        </w:rPr>
        <w:t xml:space="preserve">Научный руководитель: Радченко М.В., </w:t>
      </w:r>
      <w:r w:rsidRPr="00D274B8">
        <w:rPr>
          <w:rFonts w:ascii="Times New Roman" w:eastAsia="Times New Roman" w:hAnsi="Times New Roman" w:cs="Times New Roman"/>
          <w:lang w:eastAsia="ar-SA"/>
        </w:rPr>
        <w:t>Анализ использования наличных платежей в розничном секторе экономики России</w:t>
      </w:r>
      <w:r w:rsidR="007D5B65" w:rsidRPr="00D274B8">
        <w:rPr>
          <w:rFonts w:ascii="Times New Roman" w:eastAsia="Times New Roman" w:hAnsi="Times New Roman" w:cs="Times New Roman"/>
          <w:lang w:eastAsia="ar-SA"/>
        </w:rPr>
        <w:tab/>
      </w:r>
      <w:r w:rsidR="00203375">
        <w:rPr>
          <w:rFonts w:ascii="Times New Roman" w:eastAsia="Times New Roman" w:hAnsi="Times New Roman" w:cs="Times New Roman"/>
          <w:lang w:eastAsia="ar-SA"/>
        </w:rPr>
        <w:t>110</w:t>
      </w:r>
    </w:p>
    <w:p w14:paraId="2A2FED38" w14:textId="12EFB9A3" w:rsidR="00483D44" w:rsidRPr="00D274B8" w:rsidRDefault="00483D44" w:rsidP="007D5B65">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Панченко Д.А., Научный руководитель: Берлин С.И., </w:t>
      </w:r>
      <w:r w:rsidRPr="00D274B8">
        <w:rPr>
          <w:rFonts w:ascii="Times New Roman" w:eastAsia="Calibri" w:hAnsi="Times New Roman" w:cs="Times New Roman"/>
          <w:lang w:eastAsia="ru-RU"/>
        </w:rPr>
        <w:t>Иностранные инвестиции в современной экономике России. Динамика изменения 2020-2025 гг.</w:t>
      </w:r>
      <w:r w:rsidRPr="00D274B8">
        <w:rPr>
          <w:rFonts w:ascii="Times New Roman" w:eastAsia="Calibri" w:hAnsi="Times New Roman" w:cs="Times New Roman"/>
          <w:lang w:eastAsia="ru-RU"/>
        </w:rPr>
        <w:tab/>
      </w:r>
      <w:r w:rsidR="00203375">
        <w:rPr>
          <w:rFonts w:ascii="Times New Roman" w:eastAsia="Calibri" w:hAnsi="Times New Roman" w:cs="Times New Roman"/>
          <w:lang w:eastAsia="ru-RU"/>
        </w:rPr>
        <w:t>114</w:t>
      </w:r>
    </w:p>
    <w:p w14:paraId="0BAC4DBF" w14:textId="563D34FD" w:rsidR="00483D44" w:rsidRPr="00D274B8" w:rsidRDefault="00483D44" w:rsidP="007D5B65">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Перепечай В.О.,</w:t>
      </w:r>
      <w:r w:rsidRPr="00D274B8">
        <w:rPr>
          <w:rFonts w:ascii="Times New Roman" w:hAnsi="Times New Roman" w:cs="Times New Roman"/>
        </w:rPr>
        <w:t xml:space="preserve"> </w:t>
      </w:r>
      <w:r w:rsidRPr="00D274B8">
        <w:rPr>
          <w:rFonts w:ascii="Times New Roman" w:eastAsia="Calibri" w:hAnsi="Times New Roman" w:cs="Times New Roman"/>
          <w:b/>
          <w:lang w:eastAsia="ru-RU"/>
        </w:rPr>
        <w:t>Научный руководитель: Радченко М.В.,</w:t>
      </w:r>
      <w:r w:rsidRPr="00D274B8">
        <w:rPr>
          <w:rFonts w:ascii="Times New Roman" w:hAnsi="Times New Roman" w:cs="Times New Roman"/>
        </w:rPr>
        <w:t xml:space="preserve"> </w:t>
      </w:r>
      <w:r w:rsidRPr="00D274B8">
        <w:rPr>
          <w:rFonts w:ascii="Times New Roman" w:eastAsia="Calibri" w:hAnsi="Times New Roman" w:cs="Times New Roman"/>
          <w:lang w:eastAsia="ru-RU"/>
        </w:rPr>
        <w:t>Иностранные инвестиции в современной экономике России</w:t>
      </w:r>
      <w:r w:rsidRPr="00D274B8">
        <w:rPr>
          <w:rFonts w:ascii="Times New Roman" w:eastAsia="Calibri" w:hAnsi="Times New Roman" w:cs="Times New Roman"/>
          <w:lang w:eastAsia="ru-RU"/>
        </w:rPr>
        <w:tab/>
      </w:r>
      <w:r w:rsidR="00203375">
        <w:rPr>
          <w:rFonts w:ascii="Times New Roman" w:eastAsia="Calibri" w:hAnsi="Times New Roman" w:cs="Times New Roman"/>
          <w:lang w:eastAsia="ru-RU"/>
        </w:rPr>
        <w:t>119</w:t>
      </w:r>
    </w:p>
    <w:p w14:paraId="6C2F480A" w14:textId="16C97D03" w:rsidR="00483D44" w:rsidRPr="00D274B8" w:rsidRDefault="00483D44" w:rsidP="007D5B65">
      <w:pPr>
        <w:keepNext/>
        <w:keepLines/>
        <w:tabs>
          <w:tab w:val="right" w:leader="dot" w:pos="9356"/>
        </w:tabs>
        <w:suppressAutoHyphens/>
        <w:spacing w:after="0" w:line="360" w:lineRule="auto"/>
        <w:ind w:firstLine="709"/>
        <w:jc w:val="both"/>
        <w:rPr>
          <w:rFonts w:ascii="Times New Roman" w:eastAsia="Times New Roman" w:hAnsi="Times New Roman" w:cs="Times New Roman"/>
          <w:b/>
          <w:iCs/>
          <w:lang w:eastAsia="ar-SA"/>
        </w:rPr>
      </w:pPr>
      <w:r w:rsidRPr="00D274B8">
        <w:rPr>
          <w:rFonts w:ascii="Times New Roman" w:eastAsia="Times New Roman" w:hAnsi="Times New Roman" w:cs="Times New Roman"/>
          <w:b/>
          <w:iCs/>
          <w:color w:val="000000"/>
          <w:lang w:eastAsia="ar-SA"/>
        </w:rPr>
        <w:t xml:space="preserve">Плахотина К.А., </w:t>
      </w:r>
      <w:r w:rsidRPr="00D274B8">
        <w:rPr>
          <w:rFonts w:ascii="Times New Roman" w:eastAsia="Calibri" w:hAnsi="Times New Roman" w:cs="Times New Roman"/>
          <w:b/>
          <w:iCs/>
          <w:lang w:eastAsia="ru-RU"/>
        </w:rPr>
        <w:t xml:space="preserve">Научный руководитель: Радченко М.В., </w:t>
      </w:r>
      <w:r w:rsidRPr="00D274B8">
        <w:rPr>
          <w:rFonts w:ascii="Times New Roman" w:eastAsia="Times New Roman" w:hAnsi="Times New Roman" w:cs="Times New Roman"/>
          <w:iCs/>
          <w:lang w:eastAsia="ar-SA"/>
        </w:rPr>
        <w:t>Бизнес-ангелы: привлечение инвестиций в малый бизнес</w:t>
      </w:r>
      <w:r w:rsidR="007D5B65" w:rsidRPr="00D274B8">
        <w:rPr>
          <w:rFonts w:ascii="Times New Roman" w:eastAsia="Times New Roman" w:hAnsi="Times New Roman" w:cs="Times New Roman"/>
          <w:iCs/>
          <w:lang w:eastAsia="ar-SA"/>
        </w:rPr>
        <w:tab/>
      </w:r>
      <w:r w:rsidR="00203375">
        <w:rPr>
          <w:rFonts w:ascii="Times New Roman" w:eastAsia="Times New Roman" w:hAnsi="Times New Roman" w:cs="Times New Roman"/>
          <w:iCs/>
          <w:lang w:eastAsia="ar-SA"/>
        </w:rPr>
        <w:t>124</w:t>
      </w:r>
    </w:p>
    <w:p w14:paraId="6CEB958D" w14:textId="0FED81CB" w:rsidR="00483D44" w:rsidRPr="00D274B8" w:rsidRDefault="00483D44" w:rsidP="007D5B65">
      <w:pPr>
        <w:keepNext/>
        <w:keepLines/>
        <w:tabs>
          <w:tab w:val="right" w:leader="dot" w:pos="9356"/>
        </w:tabs>
        <w:spacing w:after="0" w:line="360" w:lineRule="auto"/>
        <w:ind w:firstLine="709"/>
        <w:jc w:val="both"/>
        <w:rPr>
          <w:rFonts w:ascii="TimesNewRomanPS-BoldMT" w:eastAsia="Times New Roman" w:hAnsi="TimesNewRomanPS-BoldMT" w:cs="Times New Roman"/>
          <w:color w:val="000000"/>
          <w:sz w:val="21"/>
          <w:szCs w:val="21"/>
          <w:lang w:eastAsia="zh-CN"/>
        </w:rPr>
      </w:pPr>
      <w:r w:rsidRPr="00D274B8">
        <w:rPr>
          <w:rFonts w:ascii="Times New Roman" w:eastAsia="Times New Roman" w:hAnsi="Times New Roman" w:cs="Times New Roman"/>
          <w:b/>
          <w:bCs/>
          <w:iCs/>
          <w:color w:val="000000"/>
          <w:sz w:val="21"/>
          <w:szCs w:val="21"/>
          <w:lang w:eastAsia="ar-SA"/>
        </w:rPr>
        <w:t>Рашоян К.Н.,</w:t>
      </w:r>
      <w:r w:rsidRPr="00D274B8">
        <w:rPr>
          <w:rFonts w:ascii="Times New Roman" w:eastAsia="Times New Roman" w:hAnsi="Times New Roman" w:cs="Times New Roman"/>
          <w:i/>
          <w:color w:val="000000"/>
          <w:sz w:val="21"/>
          <w:szCs w:val="21"/>
          <w:lang w:eastAsia="ar-SA"/>
        </w:rPr>
        <w:t xml:space="preserve"> </w:t>
      </w:r>
      <w:r w:rsidRPr="00D274B8">
        <w:rPr>
          <w:rFonts w:ascii="Times New Roman" w:eastAsia="Calibri" w:hAnsi="Times New Roman" w:cs="Times New Roman"/>
          <w:b/>
          <w:iCs/>
          <w:lang w:eastAsia="ru-RU"/>
        </w:rPr>
        <w:t xml:space="preserve">Научный руководитель: Радченко М.В., </w:t>
      </w:r>
      <w:r w:rsidRPr="00D274B8">
        <w:rPr>
          <w:rFonts w:ascii="TimesNewRomanPS-BoldMT" w:eastAsia="Times New Roman" w:hAnsi="TimesNewRomanPS-BoldMT" w:cs="Times New Roman"/>
          <w:color w:val="000000"/>
          <w:sz w:val="21"/>
          <w:szCs w:val="21"/>
          <w:lang w:eastAsia="zh-CN"/>
        </w:rPr>
        <w:t>Оценка конкурентоспособности Российской Экономики: Вызовы и пути решения</w:t>
      </w:r>
      <w:r w:rsidR="007D5B65" w:rsidRPr="00D274B8">
        <w:rPr>
          <w:rFonts w:ascii="TimesNewRomanPS-BoldMT" w:eastAsia="Times New Roman" w:hAnsi="TimesNewRomanPS-BoldMT" w:cs="Times New Roman"/>
          <w:color w:val="000000"/>
          <w:sz w:val="21"/>
          <w:szCs w:val="21"/>
          <w:lang w:eastAsia="zh-CN"/>
        </w:rPr>
        <w:tab/>
      </w:r>
      <w:r w:rsidR="0001320B">
        <w:rPr>
          <w:rFonts w:ascii="TimesNewRomanPS-BoldMT" w:eastAsia="Times New Roman" w:hAnsi="TimesNewRomanPS-BoldMT" w:cs="Times New Roman"/>
          <w:color w:val="000000"/>
          <w:sz w:val="21"/>
          <w:szCs w:val="21"/>
          <w:lang w:eastAsia="zh-CN"/>
        </w:rPr>
        <w:t>128</w:t>
      </w:r>
    </w:p>
    <w:p w14:paraId="24D52E0C" w14:textId="6B126E06"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Черненко А.В., Никонова Е.А., Маннанова С.М., Научный руководитель: Маркарян В.Р.,</w:t>
      </w:r>
      <w:r w:rsidRPr="00D274B8">
        <w:rPr>
          <w:rFonts w:ascii="Times New Roman" w:hAnsi="Times New Roman" w:cs="Times New Roman"/>
        </w:rPr>
        <w:t xml:space="preserve"> </w:t>
      </w:r>
      <w:r w:rsidRPr="00D274B8">
        <w:rPr>
          <w:rFonts w:ascii="Times New Roman" w:eastAsia="Calibri" w:hAnsi="Times New Roman" w:cs="Times New Roman"/>
          <w:lang w:eastAsia="ru-RU"/>
        </w:rPr>
        <w:t>Теория и политика формирования цен и тарифов в российской экономике</w:t>
      </w:r>
      <w:r w:rsidRPr="00D274B8">
        <w:rPr>
          <w:rFonts w:ascii="Times New Roman" w:eastAsia="Calibri" w:hAnsi="Times New Roman" w:cs="Times New Roman"/>
          <w:lang w:eastAsia="ru-RU"/>
        </w:rPr>
        <w:tab/>
      </w:r>
      <w:r w:rsidR="00D42DFA">
        <w:rPr>
          <w:rFonts w:ascii="Times New Roman" w:eastAsia="Calibri" w:hAnsi="Times New Roman" w:cs="Times New Roman"/>
          <w:lang w:eastAsia="ru-RU"/>
        </w:rPr>
        <w:t>133</w:t>
      </w:r>
    </w:p>
    <w:p w14:paraId="21544486" w14:textId="2E2B337D"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Чернушкина А.К., Научный руководитель: Берлин С.И.,</w:t>
      </w:r>
      <w:r w:rsidRPr="00D274B8">
        <w:rPr>
          <w:rFonts w:ascii="Times New Roman" w:hAnsi="Times New Roman" w:cs="Times New Roman"/>
        </w:rPr>
        <w:t xml:space="preserve"> </w:t>
      </w:r>
      <w:r w:rsidRPr="00D274B8">
        <w:rPr>
          <w:rFonts w:ascii="Times New Roman" w:eastAsia="Calibri" w:hAnsi="Times New Roman" w:cs="Times New Roman"/>
          <w:lang w:eastAsia="ru-RU"/>
        </w:rPr>
        <w:t>Государственная политика на валютном рынке, антикризисное регулирование и валютные биржи</w:t>
      </w:r>
      <w:r w:rsidRPr="00D274B8">
        <w:rPr>
          <w:rFonts w:ascii="Times New Roman" w:eastAsia="Calibri" w:hAnsi="Times New Roman" w:cs="Times New Roman"/>
          <w:lang w:eastAsia="ru-RU"/>
        </w:rPr>
        <w:tab/>
      </w:r>
      <w:r w:rsidR="00D42DFA">
        <w:rPr>
          <w:rFonts w:ascii="Times New Roman" w:eastAsia="Calibri" w:hAnsi="Times New Roman" w:cs="Times New Roman"/>
          <w:lang w:eastAsia="ru-RU"/>
        </w:rPr>
        <w:t>138</w:t>
      </w:r>
    </w:p>
    <w:p w14:paraId="38D58B11" w14:textId="33093EEE"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Ярославцева А.С., Научный руководитель: Радченко М.В., </w:t>
      </w:r>
      <w:r w:rsidRPr="00D274B8">
        <w:rPr>
          <w:rFonts w:ascii="Times New Roman" w:eastAsia="Calibri" w:hAnsi="Times New Roman" w:cs="Times New Roman"/>
          <w:lang w:eastAsia="ru-RU"/>
        </w:rPr>
        <w:t>Роль государственного долга в развитии экономики</w:t>
      </w:r>
      <w:r w:rsidRPr="00D274B8">
        <w:rPr>
          <w:rFonts w:ascii="Times New Roman" w:eastAsia="Calibri" w:hAnsi="Times New Roman" w:cs="Times New Roman"/>
          <w:lang w:eastAsia="ru-RU"/>
        </w:rPr>
        <w:tab/>
      </w:r>
      <w:r w:rsidR="00D42DFA">
        <w:rPr>
          <w:rFonts w:ascii="Times New Roman" w:eastAsia="Calibri" w:hAnsi="Times New Roman" w:cs="Times New Roman"/>
          <w:lang w:eastAsia="ru-RU"/>
        </w:rPr>
        <w:t>144</w:t>
      </w:r>
    </w:p>
    <w:p w14:paraId="7344E277" w14:textId="77777777" w:rsidR="00483D44" w:rsidRPr="00D274B8" w:rsidRDefault="00483D44" w:rsidP="00483D44">
      <w:pPr>
        <w:keepNext/>
        <w:keepLines/>
        <w:tabs>
          <w:tab w:val="right" w:leader="dot" w:pos="9356"/>
        </w:tabs>
        <w:spacing w:after="0" w:line="360" w:lineRule="auto"/>
        <w:ind w:firstLine="709"/>
        <w:jc w:val="both"/>
        <w:rPr>
          <w:rFonts w:ascii="Times New Roman" w:hAnsi="Times New Roman" w:cs="Times New Roman"/>
          <w:b/>
          <w:bCs/>
        </w:rPr>
      </w:pPr>
    </w:p>
    <w:p w14:paraId="34B0E086" w14:textId="1FD46FE7" w:rsidR="00483D44" w:rsidRPr="00D274B8" w:rsidRDefault="00483D44" w:rsidP="00483D44">
      <w:pPr>
        <w:keepNext/>
        <w:tabs>
          <w:tab w:val="right" w:leader="dot" w:pos="9356"/>
        </w:tabs>
        <w:spacing w:after="0" w:line="360" w:lineRule="auto"/>
        <w:ind w:firstLine="709"/>
        <w:jc w:val="both"/>
        <w:rPr>
          <w:rFonts w:ascii="Times New Roman" w:hAnsi="Times New Roman" w:cs="Times New Roman"/>
          <w:b/>
          <w:bCs/>
        </w:rPr>
      </w:pPr>
      <w:r w:rsidRPr="00D274B8">
        <w:rPr>
          <w:rFonts w:ascii="Times New Roman" w:hAnsi="Times New Roman" w:cs="Times New Roman"/>
          <w:b/>
          <w:bCs/>
        </w:rPr>
        <w:t>РАЗДЕЛ 2. РАЗВИТИЕ ИНСТРУМЕНТАРИЯ УЧЕТА, АУДИТА, БИЗНЕС-АНАЛИЗА И НАЛОГООБЛОЖЕНИЯ В ПАРАДИГМЕ ЦИФРОВИЗАЦИИ ЭКОНОМИКИ</w:t>
      </w:r>
      <w:r w:rsidRPr="00D274B8">
        <w:rPr>
          <w:rFonts w:ascii="Times New Roman" w:hAnsi="Times New Roman" w:cs="Times New Roman"/>
          <w:b/>
          <w:bCs/>
        </w:rPr>
        <w:tab/>
      </w:r>
      <w:r w:rsidR="00DA3A89">
        <w:rPr>
          <w:rFonts w:ascii="Times New Roman" w:hAnsi="Times New Roman" w:cs="Times New Roman"/>
          <w:b/>
          <w:bCs/>
        </w:rPr>
        <w:t>150</w:t>
      </w:r>
    </w:p>
    <w:p w14:paraId="00A240BC" w14:textId="77777777" w:rsidR="00483D44" w:rsidRPr="00D274B8" w:rsidRDefault="00483D44" w:rsidP="00A11496">
      <w:pPr>
        <w:keepNext/>
        <w:tabs>
          <w:tab w:val="right" w:leader="dot" w:pos="9356"/>
        </w:tabs>
        <w:spacing w:after="0" w:line="360" w:lineRule="auto"/>
        <w:ind w:firstLine="709"/>
        <w:jc w:val="both"/>
        <w:rPr>
          <w:rFonts w:ascii="Times New Roman" w:hAnsi="Times New Roman" w:cs="Times New Roman"/>
          <w:b/>
          <w:bCs/>
        </w:rPr>
      </w:pPr>
    </w:p>
    <w:p w14:paraId="6B9A2DC8" w14:textId="2BF39EBE"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Абрамян А.А.,</w:t>
      </w:r>
      <w:r w:rsidRPr="00D274B8">
        <w:rPr>
          <w:rFonts w:ascii="Times New Roman" w:hAnsi="Times New Roman" w:cs="Times New Roman"/>
        </w:rPr>
        <w:t xml:space="preserve"> </w:t>
      </w:r>
      <w:r w:rsidRPr="00D274B8">
        <w:rPr>
          <w:rFonts w:ascii="Times New Roman" w:eastAsia="Calibri" w:hAnsi="Times New Roman" w:cs="Times New Roman"/>
          <w:b/>
          <w:lang w:eastAsia="ru-RU"/>
        </w:rPr>
        <w:t xml:space="preserve">Научный руководитель: Рощектаева У. Ю., </w:t>
      </w:r>
      <w:r w:rsidRPr="00D274B8">
        <w:rPr>
          <w:rFonts w:ascii="Times New Roman" w:eastAsia="Calibri" w:hAnsi="Times New Roman" w:cs="Times New Roman"/>
          <w:lang w:eastAsia="ru-RU"/>
        </w:rPr>
        <w:t>Учетная политика предприятия в современных реалиях</w:t>
      </w:r>
      <w:r w:rsidRPr="00D274B8">
        <w:rPr>
          <w:rFonts w:ascii="Times New Roman" w:eastAsia="Calibri" w:hAnsi="Times New Roman" w:cs="Times New Roman"/>
          <w:lang w:eastAsia="ru-RU"/>
        </w:rPr>
        <w:tab/>
      </w:r>
      <w:r w:rsidR="00DA3A89">
        <w:rPr>
          <w:rFonts w:ascii="Times New Roman" w:eastAsia="Calibri" w:hAnsi="Times New Roman" w:cs="Times New Roman"/>
          <w:lang w:eastAsia="ru-RU"/>
        </w:rPr>
        <w:t>150</w:t>
      </w:r>
    </w:p>
    <w:p w14:paraId="14DB486C" w14:textId="10EC9D70"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b/>
          <w:color w:val="000000"/>
        </w:rPr>
      </w:pPr>
      <w:r w:rsidRPr="00D274B8">
        <w:rPr>
          <w:rFonts w:ascii="Times New Roman" w:eastAsia="Calibri" w:hAnsi="Times New Roman" w:cs="Times New Roman"/>
          <w:b/>
          <w:bCs/>
          <w:color w:val="000000"/>
        </w:rPr>
        <w:t>Андреева А.С.</w:t>
      </w:r>
      <w:r w:rsidR="00817CB0">
        <w:rPr>
          <w:rFonts w:ascii="Times New Roman" w:eastAsia="Calibri" w:hAnsi="Times New Roman" w:cs="Times New Roman"/>
          <w:b/>
          <w:bCs/>
          <w:color w:val="000000"/>
        </w:rPr>
        <w:t>,</w:t>
      </w:r>
      <w:r w:rsidRPr="00D274B8">
        <w:rPr>
          <w:rFonts w:ascii="Times New Roman" w:eastAsia="Calibri" w:hAnsi="Times New Roman" w:cs="Times New Roman"/>
          <w:b/>
          <w:bCs/>
          <w:color w:val="000000"/>
        </w:rPr>
        <w:t xml:space="preserve"> Труфанова А.А., </w:t>
      </w:r>
      <w:r w:rsidRPr="00D274B8">
        <w:rPr>
          <w:rFonts w:ascii="Times New Roman" w:eastAsia="Calibri" w:hAnsi="Times New Roman" w:cs="Times New Roman"/>
          <w:b/>
          <w:lang w:eastAsia="ru-RU"/>
        </w:rPr>
        <w:t>Научный руководитель: Берлин С.И.,</w:t>
      </w:r>
      <w:r w:rsidRPr="00D274B8">
        <w:rPr>
          <w:rFonts w:ascii="Times New Roman" w:eastAsia="Calibri" w:hAnsi="Times New Roman" w:cs="Times New Roman"/>
          <w:bCs/>
          <w:lang w:eastAsia="ru-RU"/>
        </w:rPr>
        <w:t xml:space="preserve"> </w:t>
      </w:r>
      <w:r w:rsidRPr="00D274B8">
        <w:rPr>
          <w:rFonts w:ascii="Times New Roman" w:eastAsia="Calibri" w:hAnsi="Times New Roman" w:cs="Times New Roman"/>
          <w:bCs/>
          <w:color w:val="000000"/>
        </w:rPr>
        <w:t>Анализ развития страхования сельского хозяйства в России</w:t>
      </w:r>
      <w:r w:rsidR="00A11496" w:rsidRPr="00D274B8">
        <w:rPr>
          <w:rFonts w:ascii="Times New Roman" w:eastAsia="Calibri" w:hAnsi="Times New Roman" w:cs="Times New Roman"/>
          <w:bCs/>
          <w:color w:val="000000"/>
        </w:rPr>
        <w:tab/>
      </w:r>
      <w:r w:rsidR="009D4229">
        <w:rPr>
          <w:rFonts w:ascii="Times New Roman" w:eastAsia="Calibri" w:hAnsi="Times New Roman" w:cs="Times New Roman"/>
          <w:bCs/>
          <w:color w:val="000000"/>
        </w:rPr>
        <w:t>157</w:t>
      </w:r>
    </w:p>
    <w:p w14:paraId="3B761281" w14:textId="10CCEAE4"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Астахов Б.В., Научный руководитель: Рощектаева У.Ю., </w:t>
      </w:r>
      <w:r w:rsidRPr="00D274B8">
        <w:rPr>
          <w:rFonts w:ascii="Times New Roman" w:eastAsia="Calibri" w:hAnsi="Times New Roman" w:cs="Times New Roman"/>
          <w:lang w:eastAsia="ru-RU"/>
        </w:rPr>
        <w:t>Методика ведения бухгалтерского учета при упрощенной системе налогообложения (УСН) для объектов «доходы» и «доходы минус расходы»</w:t>
      </w:r>
      <w:r w:rsidRPr="00D274B8">
        <w:rPr>
          <w:rFonts w:ascii="Times New Roman" w:eastAsia="Calibri" w:hAnsi="Times New Roman" w:cs="Times New Roman"/>
          <w:lang w:eastAsia="ru-RU"/>
        </w:rPr>
        <w:tab/>
      </w:r>
      <w:r w:rsidR="009D4229">
        <w:rPr>
          <w:rFonts w:ascii="Times New Roman" w:eastAsia="Calibri" w:hAnsi="Times New Roman" w:cs="Times New Roman"/>
          <w:lang w:eastAsia="ru-RU"/>
        </w:rPr>
        <w:t>164</w:t>
      </w:r>
    </w:p>
    <w:p w14:paraId="3BB0AC57" w14:textId="7B3011E9"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b/>
          <w:lang w:eastAsia="ru-RU"/>
        </w:rPr>
      </w:pPr>
      <w:r w:rsidRPr="00D274B8">
        <w:rPr>
          <w:rFonts w:ascii="Times New Roman" w:eastAsia="Calibri" w:hAnsi="Times New Roman" w:cs="Times New Roman"/>
          <w:b/>
          <w:lang w:eastAsia="ru-RU"/>
        </w:rPr>
        <w:t xml:space="preserve">Бондарева М.А., Научный руководитель։ Рощектаева У. Ю., </w:t>
      </w:r>
      <w:r w:rsidRPr="00D274B8">
        <w:rPr>
          <w:rFonts w:ascii="Times New Roman" w:eastAsia="Calibri" w:hAnsi="Times New Roman" w:cs="Times New Roman"/>
          <w:lang w:eastAsia="ru-RU"/>
        </w:rPr>
        <w:t>Актуальные проблемы применения ФСБУ</w:t>
      </w:r>
      <w:r w:rsidRPr="00D274B8">
        <w:rPr>
          <w:rFonts w:ascii="Times New Roman" w:eastAsia="Calibri" w:hAnsi="Times New Roman" w:cs="Times New Roman"/>
          <w:lang w:eastAsia="ru-RU"/>
        </w:rPr>
        <w:tab/>
      </w:r>
      <w:r w:rsidR="009D4229">
        <w:rPr>
          <w:rFonts w:ascii="Times New Roman" w:eastAsia="Calibri" w:hAnsi="Times New Roman" w:cs="Times New Roman"/>
          <w:lang w:eastAsia="ru-RU"/>
        </w:rPr>
        <w:t>171</w:t>
      </w:r>
    </w:p>
    <w:p w14:paraId="03D05868" w14:textId="17BC244B"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b/>
          <w:lang w:eastAsia="ru-RU"/>
        </w:rPr>
      </w:pPr>
      <w:r w:rsidRPr="00D274B8">
        <w:rPr>
          <w:rFonts w:ascii="Times New Roman" w:eastAsia="Calibri" w:hAnsi="Times New Roman" w:cs="Times New Roman"/>
          <w:b/>
          <w:lang w:eastAsia="ru-RU"/>
        </w:rPr>
        <w:t xml:space="preserve">Дремлюга С.Ю., Научный руководитель: Радченко М.В., </w:t>
      </w:r>
      <w:r w:rsidRPr="00D274B8">
        <w:rPr>
          <w:rFonts w:ascii="Times New Roman" w:eastAsia="Times New Roman" w:hAnsi="Times New Roman" w:cs="Times New Roman"/>
          <w:bCs/>
          <w:lang w:eastAsia="ar-SA"/>
        </w:rPr>
        <w:t>Бюджетно-налоговое регулирование как элемент стабилизационной политики в России</w:t>
      </w:r>
      <w:r w:rsidR="00A11496" w:rsidRPr="00D274B8">
        <w:rPr>
          <w:rFonts w:ascii="Times New Roman" w:eastAsia="Times New Roman" w:hAnsi="Times New Roman" w:cs="Times New Roman"/>
          <w:bCs/>
          <w:lang w:eastAsia="ar-SA"/>
        </w:rPr>
        <w:tab/>
      </w:r>
      <w:r w:rsidR="009D4229">
        <w:rPr>
          <w:rFonts w:ascii="Times New Roman" w:eastAsia="Times New Roman" w:hAnsi="Times New Roman" w:cs="Times New Roman"/>
          <w:bCs/>
          <w:lang w:eastAsia="ar-SA"/>
        </w:rPr>
        <w:t>177</w:t>
      </w:r>
    </w:p>
    <w:p w14:paraId="6ADC363E" w14:textId="34677318"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Кагзванцян А.А., Научный руководитель: Рощектаева У.Ю.,</w:t>
      </w:r>
      <w:r w:rsidRPr="00D274B8">
        <w:rPr>
          <w:rFonts w:ascii="Times New Roman" w:hAnsi="Times New Roman" w:cs="Times New Roman"/>
        </w:rPr>
        <w:t xml:space="preserve"> </w:t>
      </w:r>
      <w:r w:rsidRPr="00D274B8">
        <w:rPr>
          <w:rFonts w:ascii="Times New Roman" w:eastAsia="Calibri" w:hAnsi="Times New Roman" w:cs="Times New Roman"/>
          <w:lang w:eastAsia="ru-RU"/>
        </w:rPr>
        <w:t>Проблемы управления дебиторской задолженностью</w:t>
      </w:r>
      <w:r w:rsidRPr="00D274B8">
        <w:rPr>
          <w:rFonts w:ascii="Times New Roman" w:eastAsia="Calibri" w:hAnsi="Times New Roman" w:cs="Times New Roman"/>
          <w:lang w:eastAsia="ru-RU"/>
        </w:rPr>
        <w:tab/>
      </w:r>
      <w:r w:rsidR="00E64B91">
        <w:rPr>
          <w:rFonts w:ascii="Times New Roman" w:eastAsia="Calibri" w:hAnsi="Times New Roman" w:cs="Times New Roman"/>
          <w:lang w:eastAsia="ru-RU"/>
        </w:rPr>
        <w:t>183</w:t>
      </w:r>
    </w:p>
    <w:p w14:paraId="1D19C5A9" w14:textId="3A0CB835"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Канаева У.В., Научный руководитель: Радченко М.В.,</w:t>
      </w:r>
      <w:r w:rsidRPr="00D274B8">
        <w:rPr>
          <w:rFonts w:ascii="Times New Roman" w:hAnsi="Times New Roman" w:cs="Times New Roman"/>
        </w:rPr>
        <w:t xml:space="preserve"> </w:t>
      </w:r>
      <w:r w:rsidRPr="00D274B8">
        <w:rPr>
          <w:rFonts w:ascii="Times New Roman" w:eastAsia="Calibri" w:hAnsi="Times New Roman" w:cs="Times New Roman"/>
          <w:lang w:eastAsia="ru-RU"/>
        </w:rPr>
        <w:t>Региональные бюджеты: современные проблемы и приоритеты выхода на траекторию посткризисного развития</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191</w:t>
      </w:r>
    </w:p>
    <w:p w14:paraId="00C0B5D9" w14:textId="35062163"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lastRenderedPageBreak/>
        <w:t xml:space="preserve">Келлер М.В., Молчанова Д.С., Научный руководитель: Добрунова М.А., </w:t>
      </w:r>
      <w:r w:rsidRPr="00D274B8">
        <w:rPr>
          <w:rFonts w:ascii="Times New Roman" w:eastAsia="Calibri" w:hAnsi="Times New Roman" w:cs="Times New Roman"/>
          <w:lang w:eastAsia="ru-RU"/>
        </w:rPr>
        <w:t>Роль внутреннего аудита в управлении операционными рисками: современные подходы и инструменты</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197</w:t>
      </w:r>
    </w:p>
    <w:p w14:paraId="7C0CE3F3" w14:textId="1817646A"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Кисленко Д.А., Научный руководитель: Радченко М.В., </w:t>
      </w:r>
      <w:r w:rsidRPr="00D274B8">
        <w:rPr>
          <w:rFonts w:ascii="Times New Roman" w:eastAsia="Times New Roman" w:hAnsi="Times New Roman" w:cs="Times New Roman"/>
        </w:rPr>
        <w:t>Теория и практика государственного регулирования естественных монополий</w:t>
      </w:r>
      <w:r w:rsidR="00A11496" w:rsidRPr="00D274B8">
        <w:rPr>
          <w:rFonts w:ascii="Times New Roman" w:eastAsia="Times New Roman" w:hAnsi="Times New Roman" w:cs="Times New Roman"/>
        </w:rPr>
        <w:tab/>
      </w:r>
      <w:r w:rsidR="00D17FF9">
        <w:rPr>
          <w:rFonts w:ascii="Times New Roman" w:eastAsia="Times New Roman" w:hAnsi="Times New Roman" w:cs="Times New Roman"/>
        </w:rPr>
        <w:t>202</w:t>
      </w:r>
    </w:p>
    <w:p w14:paraId="1591E23C" w14:textId="56223EE8"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Козлова П.Д., Научный руководитель: Радченко М.В., </w:t>
      </w:r>
      <w:r w:rsidRPr="00D274B8">
        <w:rPr>
          <w:rFonts w:ascii="Times New Roman" w:eastAsia="Times New Roman" w:hAnsi="Times New Roman" w:cs="Times New Roman"/>
          <w:bCs/>
          <w:lang w:eastAsia="ar-SA"/>
        </w:rPr>
        <w:t>Финансовая система Российской Федерации: особенности современного этапа развития</w:t>
      </w:r>
      <w:r w:rsidR="00A11496" w:rsidRPr="00D274B8">
        <w:rPr>
          <w:rFonts w:ascii="Times New Roman" w:eastAsia="Times New Roman" w:hAnsi="Times New Roman" w:cs="Times New Roman"/>
          <w:bCs/>
          <w:lang w:eastAsia="ar-SA"/>
        </w:rPr>
        <w:tab/>
      </w:r>
      <w:r w:rsidR="00D17FF9">
        <w:rPr>
          <w:rFonts w:ascii="Times New Roman" w:eastAsia="Times New Roman" w:hAnsi="Times New Roman" w:cs="Times New Roman"/>
          <w:bCs/>
          <w:lang w:eastAsia="ar-SA"/>
        </w:rPr>
        <w:t>206</w:t>
      </w:r>
    </w:p>
    <w:p w14:paraId="18A0C7AE" w14:textId="1C365E1B"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Кретова М.В., Научный руководитель: Рощектаева У.Ю., </w:t>
      </w:r>
      <w:r w:rsidRPr="00D274B8">
        <w:rPr>
          <w:rFonts w:ascii="Times New Roman" w:eastAsia="Calibri" w:hAnsi="Times New Roman" w:cs="Times New Roman"/>
          <w:lang w:eastAsia="ru-RU"/>
        </w:rPr>
        <w:t>Нормативное регулирование бухгалтерского учёта в фармацевтических организациях России</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212</w:t>
      </w:r>
    </w:p>
    <w:p w14:paraId="6B19144F" w14:textId="4ED5F7DC"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Кукош Д.М., Научный руководитель: Радченко М.В., </w:t>
      </w:r>
      <w:r w:rsidRPr="00D274B8">
        <w:rPr>
          <w:rFonts w:ascii="Times New Roman" w:eastAsia="Calibri" w:hAnsi="Times New Roman" w:cs="Times New Roman"/>
          <w:lang w:eastAsia="ru-RU"/>
        </w:rPr>
        <w:t>Налоговое стимулирование развития фондового рынка</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217</w:t>
      </w:r>
    </w:p>
    <w:p w14:paraId="3C2CFA15" w14:textId="7EF6F9D7" w:rsidR="00483D44" w:rsidRPr="00D274B8" w:rsidRDefault="00483D44" w:rsidP="00A11496">
      <w:pPr>
        <w:keepNext/>
        <w:keepLines/>
        <w:tabs>
          <w:tab w:val="right" w:leader="dot" w:pos="9356"/>
        </w:tabs>
        <w:spacing w:after="0" w:line="360" w:lineRule="auto"/>
        <w:ind w:firstLine="709"/>
        <w:contextualSpacing/>
        <w:jc w:val="both"/>
        <w:rPr>
          <w:rFonts w:ascii="Times New Roman" w:eastAsia="Times New Roman" w:hAnsi="Times New Roman" w:cs="Times New Roman"/>
          <w:color w:val="000000"/>
        </w:rPr>
      </w:pPr>
      <w:r w:rsidRPr="00D274B8">
        <w:rPr>
          <w:rFonts w:ascii="Times New Roman" w:eastAsia="Times New Roman" w:hAnsi="Times New Roman" w:cs="Times New Roman"/>
          <w:b/>
          <w:bCs/>
        </w:rPr>
        <w:t xml:space="preserve">Маслакова Д. Р., Михайлова А. Е., </w:t>
      </w:r>
      <w:r w:rsidRPr="00D274B8">
        <w:rPr>
          <w:rFonts w:ascii="Times New Roman" w:eastAsia="Calibri" w:hAnsi="Times New Roman" w:cs="Times New Roman"/>
          <w:b/>
          <w:lang w:eastAsia="ru-RU"/>
        </w:rPr>
        <w:t xml:space="preserve">Научный руководитель: Рощектаева У.Ю., </w:t>
      </w:r>
      <w:r w:rsidRPr="00D274B8">
        <w:rPr>
          <w:rFonts w:ascii="Times New Roman" w:eastAsia="Times New Roman" w:hAnsi="Times New Roman" w:cs="Times New Roman"/>
          <w:color w:val="000000"/>
        </w:rPr>
        <w:t xml:space="preserve">Применение экономического анализа при прогнозировании банкротства с использованием искусственного интеллекта </w:t>
      </w:r>
      <w:r w:rsidR="00A11496" w:rsidRPr="00D274B8">
        <w:rPr>
          <w:rFonts w:ascii="Times New Roman" w:eastAsia="Times New Roman" w:hAnsi="Times New Roman" w:cs="Times New Roman"/>
          <w:color w:val="000000"/>
        </w:rPr>
        <w:tab/>
      </w:r>
      <w:r w:rsidR="00D17FF9">
        <w:rPr>
          <w:rFonts w:ascii="Times New Roman" w:eastAsia="Times New Roman" w:hAnsi="Times New Roman" w:cs="Times New Roman"/>
          <w:color w:val="000000"/>
        </w:rPr>
        <w:t>223</w:t>
      </w:r>
    </w:p>
    <w:p w14:paraId="2482DA50" w14:textId="4E752C33" w:rsidR="00483D44" w:rsidRPr="00D274B8" w:rsidRDefault="00483D44" w:rsidP="00A11496">
      <w:pPr>
        <w:keepNext/>
        <w:keepLines/>
        <w:tabs>
          <w:tab w:val="left" w:pos="0"/>
          <w:tab w:val="right" w:leader="dot" w:pos="9356"/>
        </w:tabs>
        <w:suppressAutoHyphens/>
        <w:autoSpaceDE w:val="0"/>
        <w:spacing w:after="0" w:line="360" w:lineRule="auto"/>
        <w:ind w:firstLine="709"/>
        <w:jc w:val="both"/>
        <w:rPr>
          <w:rFonts w:ascii="Times New Roman" w:eastAsia="Times New Roman" w:hAnsi="Times New Roman" w:cs="Times New Roman"/>
          <w:bCs/>
          <w:iCs/>
          <w:lang w:eastAsia="ar-SA"/>
        </w:rPr>
      </w:pPr>
      <w:r w:rsidRPr="00D274B8">
        <w:rPr>
          <w:rFonts w:ascii="Times New Roman" w:eastAsia="Times New Roman" w:hAnsi="Times New Roman" w:cs="Times New Roman"/>
          <w:b/>
          <w:iCs/>
          <w:lang w:eastAsia="ar-SA"/>
        </w:rPr>
        <w:t xml:space="preserve">Нессонов А.В., </w:t>
      </w:r>
      <w:r w:rsidRPr="00D274B8">
        <w:rPr>
          <w:rFonts w:ascii="Times New Roman" w:eastAsia="Calibri" w:hAnsi="Times New Roman" w:cs="Times New Roman"/>
          <w:b/>
          <w:iCs/>
          <w:lang w:eastAsia="ru-RU"/>
        </w:rPr>
        <w:t xml:space="preserve">Научный руководитель: </w:t>
      </w:r>
      <w:r w:rsidRPr="00D274B8">
        <w:rPr>
          <w:rFonts w:ascii="Times New Roman" w:eastAsia="Times New Roman" w:hAnsi="Times New Roman" w:cs="Times New Roman"/>
          <w:b/>
          <w:iCs/>
          <w:lang w:eastAsia="ar-SA"/>
        </w:rPr>
        <w:t xml:space="preserve">Маничкина М.В., </w:t>
      </w:r>
      <w:r w:rsidRPr="00D274B8">
        <w:rPr>
          <w:rFonts w:ascii="Times New Roman" w:eastAsia="Times New Roman" w:hAnsi="Times New Roman" w:cs="Times New Roman"/>
          <w:bCs/>
          <w:iCs/>
          <w:lang w:eastAsia="ar-SA"/>
        </w:rPr>
        <w:t>Рыночная стоимость деловой репутации: согласование стандартов бухгалтерского учёта с восприятием в маркетинге</w:t>
      </w:r>
      <w:r w:rsidR="00A11496" w:rsidRPr="00D274B8">
        <w:rPr>
          <w:rFonts w:ascii="Times New Roman" w:eastAsia="Times New Roman" w:hAnsi="Times New Roman" w:cs="Times New Roman"/>
          <w:bCs/>
          <w:iCs/>
          <w:lang w:eastAsia="ar-SA"/>
        </w:rPr>
        <w:tab/>
      </w:r>
      <w:r w:rsidR="00D17FF9">
        <w:rPr>
          <w:rFonts w:ascii="Times New Roman" w:eastAsia="Times New Roman" w:hAnsi="Times New Roman" w:cs="Times New Roman"/>
          <w:bCs/>
          <w:iCs/>
          <w:lang w:eastAsia="ar-SA"/>
        </w:rPr>
        <w:t>227</w:t>
      </w:r>
    </w:p>
    <w:p w14:paraId="4AFDEB01" w14:textId="5E382BC3" w:rsidR="00483D44" w:rsidRPr="00D274B8" w:rsidRDefault="00483D44" w:rsidP="00A11496">
      <w:pPr>
        <w:keepNext/>
        <w:keepLines/>
        <w:tabs>
          <w:tab w:val="right" w:leader="dot" w:pos="9356"/>
        </w:tabs>
        <w:spacing w:after="0" w:line="360" w:lineRule="auto"/>
        <w:ind w:firstLine="709"/>
        <w:jc w:val="both"/>
        <w:rPr>
          <w:rFonts w:ascii="Times New Roman" w:eastAsia="Times New Roman" w:hAnsi="Times New Roman" w:cs="Times New Roman"/>
        </w:rPr>
      </w:pPr>
      <w:r w:rsidRPr="00D274B8">
        <w:rPr>
          <w:rFonts w:ascii="Times New Roman" w:eastAsia="Times New Roman" w:hAnsi="Times New Roman" w:cs="Times New Roman"/>
          <w:b/>
          <w:bCs/>
          <w:lang w:eastAsia="ru-RU"/>
        </w:rPr>
        <w:t xml:space="preserve">Остапюк В.С., </w:t>
      </w:r>
      <w:r w:rsidRPr="00D274B8">
        <w:rPr>
          <w:rFonts w:ascii="Times New Roman" w:eastAsia="Calibri" w:hAnsi="Times New Roman" w:cs="Times New Roman"/>
          <w:b/>
          <w:lang w:eastAsia="ru-RU"/>
        </w:rPr>
        <w:t xml:space="preserve">Научный руководитель: Берлин С.И., </w:t>
      </w:r>
      <w:r w:rsidRPr="00D274B8">
        <w:rPr>
          <w:rFonts w:ascii="Times New Roman" w:eastAsia="Times New Roman" w:hAnsi="Times New Roman" w:cs="Times New Roman"/>
        </w:rPr>
        <w:t>Способы сокращения доли наличных платежей в розничном секторе экономики России</w:t>
      </w:r>
      <w:r w:rsidR="00A11496" w:rsidRPr="00D274B8">
        <w:rPr>
          <w:rFonts w:ascii="Times New Roman" w:eastAsia="Times New Roman" w:hAnsi="Times New Roman" w:cs="Times New Roman"/>
        </w:rPr>
        <w:tab/>
      </w:r>
      <w:r w:rsidR="00D17FF9">
        <w:rPr>
          <w:rFonts w:ascii="Times New Roman" w:eastAsia="Times New Roman" w:hAnsi="Times New Roman" w:cs="Times New Roman"/>
        </w:rPr>
        <w:t>234</w:t>
      </w:r>
    </w:p>
    <w:p w14:paraId="0A2D6B32" w14:textId="18DDB386"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bCs/>
          <w:iCs/>
          <w:kern w:val="2"/>
          <w:lang w:eastAsia="ru-RU"/>
        </w:rPr>
      </w:pPr>
      <w:r w:rsidRPr="00D274B8">
        <w:rPr>
          <w:rFonts w:ascii="Times New Roman" w:eastAsia="Calibri" w:hAnsi="Times New Roman" w:cs="Times New Roman"/>
          <w:b/>
          <w:iCs/>
          <w:kern w:val="2"/>
          <w:lang w:eastAsia="ru-RU"/>
        </w:rPr>
        <w:t xml:space="preserve">Плотникова Е.О., </w:t>
      </w:r>
      <w:r w:rsidRPr="00D274B8">
        <w:rPr>
          <w:rFonts w:ascii="Times New Roman" w:hAnsi="Times New Roman" w:cs="Times New Roman"/>
          <w:b/>
          <w:iCs/>
          <w:color w:val="000000"/>
          <w:lang w:eastAsia="ar-SA"/>
        </w:rPr>
        <w:t xml:space="preserve">Научный руководитель: Радченко М.В., </w:t>
      </w:r>
      <w:r w:rsidRPr="00D274B8">
        <w:rPr>
          <w:rFonts w:ascii="Times New Roman" w:eastAsia="Calibri" w:hAnsi="Times New Roman" w:cs="Times New Roman"/>
          <w:bCs/>
          <w:iCs/>
          <w:kern w:val="2"/>
          <w:lang w:eastAsia="ru-RU"/>
        </w:rPr>
        <w:t xml:space="preserve">Инфляция: факторы, механизм, стратегия преодоления </w:t>
      </w:r>
      <w:r w:rsidR="00A11496" w:rsidRPr="00D274B8">
        <w:rPr>
          <w:rFonts w:ascii="Times New Roman" w:eastAsia="Calibri" w:hAnsi="Times New Roman" w:cs="Times New Roman"/>
          <w:bCs/>
          <w:iCs/>
          <w:kern w:val="2"/>
          <w:lang w:eastAsia="ru-RU"/>
        </w:rPr>
        <w:tab/>
      </w:r>
      <w:r w:rsidR="00D17FF9">
        <w:rPr>
          <w:rFonts w:ascii="Times New Roman" w:eastAsia="Calibri" w:hAnsi="Times New Roman" w:cs="Times New Roman"/>
          <w:bCs/>
          <w:iCs/>
          <w:kern w:val="2"/>
          <w:lang w:eastAsia="ru-RU"/>
        </w:rPr>
        <w:t>241</w:t>
      </w:r>
    </w:p>
    <w:p w14:paraId="0B760AE0" w14:textId="03F7EAD5"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Романова И.О., Научный руководитель: Рощектаева У. Ю., </w:t>
      </w:r>
      <w:r w:rsidRPr="00D274B8">
        <w:rPr>
          <w:rFonts w:ascii="Times New Roman" w:eastAsia="Calibri" w:hAnsi="Times New Roman" w:cs="Times New Roman"/>
          <w:lang w:eastAsia="ru-RU"/>
        </w:rPr>
        <w:t>Сравнительный анализ стандартов по учету основных средств: МСФО 16 и ФСБУ 6/2020</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247</w:t>
      </w:r>
    </w:p>
    <w:p w14:paraId="4A8BDF35" w14:textId="2E91AC3A"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Сапрыкина А.А., Научный руководитель: Рощектаева У. Ю., </w:t>
      </w:r>
      <w:r w:rsidRPr="00D274B8">
        <w:rPr>
          <w:rFonts w:ascii="Times New Roman" w:eastAsia="Calibri" w:hAnsi="Times New Roman" w:cs="Times New Roman"/>
          <w:lang w:eastAsia="ru-RU"/>
        </w:rPr>
        <w:t>Сравнительный анализ требований РСБУ и МСФО к учету краткосрочных обязательств</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253</w:t>
      </w:r>
    </w:p>
    <w:p w14:paraId="72FED80E" w14:textId="65743E3A"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Тараненко В.А., Научный руководитель: Рощектаева У. Ю.,</w:t>
      </w:r>
      <w:r w:rsidRPr="00D274B8">
        <w:rPr>
          <w:rFonts w:ascii="Times New Roman" w:hAnsi="Times New Roman" w:cs="Times New Roman"/>
        </w:rPr>
        <w:t xml:space="preserve"> </w:t>
      </w:r>
      <w:r w:rsidRPr="00D274B8">
        <w:rPr>
          <w:rFonts w:ascii="Times New Roman" w:eastAsia="Calibri" w:hAnsi="Times New Roman" w:cs="Times New Roman"/>
          <w:lang w:eastAsia="ru-RU"/>
        </w:rPr>
        <w:t>Совершенствование учета расчетов с подотчетными лицами в условиях цифровизации бизнеса</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259</w:t>
      </w:r>
    </w:p>
    <w:p w14:paraId="35B38F31" w14:textId="0553306E" w:rsidR="00483D44" w:rsidRPr="00D274B8"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Фатьянова А. Г., Научный руководитель: Берлин С.И., </w:t>
      </w:r>
      <w:r w:rsidRPr="00D274B8">
        <w:rPr>
          <w:rFonts w:ascii="Times New Roman" w:eastAsia="Calibri" w:hAnsi="Times New Roman" w:cs="Times New Roman"/>
          <w:lang w:eastAsia="ru-RU"/>
        </w:rPr>
        <w:t>Антикризисное регулирование рынка ценных бумаг</w:t>
      </w:r>
      <w:r w:rsidRPr="00D274B8">
        <w:rPr>
          <w:rFonts w:ascii="Times New Roman" w:eastAsia="Calibri" w:hAnsi="Times New Roman" w:cs="Times New Roman"/>
          <w:lang w:eastAsia="ru-RU"/>
        </w:rPr>
        <w:tab/>
      </w:r>
      <w:r w:rsidR="00D17FF9">
        <w:rPr>
          <w:rFonts w:ascii="Times New Roman" w:eastAsia="Calibri" w:hAnsi="Times New Roman" w:cs="Times New Roman"/>
          <w:lang w:eastAsia="ru-RU"/>
        </w:rPr>
        <w:t>264</w:t>
      </w:r>
    </w:p>
    <w:p w14:paraId="44891940" w14:textId="77777777" w:rsidR="00483D44" w:rsidRPr="00D274B8" w:rsidRDefault="00483D44" w:rsidP="00483D44">
      <w:pPr>
        <w:keepNext/>
        <w:keepLines/>
        <w:tabs>
          <w:tab w:val="right" w:leader="dot" w:pos="9356"/>
        </w:tabs>
        <w:spacing w:after="0" w:line="360" w:lineRule="auto"/>
        <w:ind w:firstLine="709"/>
        <w:jc w:val="both"/>
        <w:rPr>
          <w:rFonts w:ascii="Times New Roman" w:hAnsi="Times New Roman" w:cs="Times New Roman"/>
          <w:b/>
          <w:bCs/>
        </w:rPr>
      </w:pPr>
    </w:p>
    <w:p w14:paraId="5A9A8CE8" w14:textId="3569A3F7" w:rsidR="00483D44" w:rsidRPr="00D274B8" w:rsidRDefault="00483D44" w:rsidP="00483D44">
      <w:pPr>
        <w:keepNext/>
        <w:tabs>
          <w:tab w:val="right" w:leader="dot" w:pos="9356"/>
        </w:tabs>
        <w:spacing w:after="0" w:line="360" w:lineRule="auto"/>
        <w:ind w:firstLine="709"/>
        <w:jc w:val="both"/>
        <w:rPr>
          <w:rFonts w:ascii="Times New Roman" w:hAnsi="Times New Roman" w:cs="Times New Roman"/>
          <w:b/>
          <w:bCs/>
        </w:rPr>
      </w:pPr>
      <w:r w:rsidRPr="00D274B8">
        <w:rPr>
          <w:rFonts w:ascii="Times New Roman" w:hAnsi="Times New Roman" w:cs="Times New Roman"/>
          <w:b/>
          <w:bCs/>
        </w:rPr>
        <w:t>РАЗДЕЛ 3. МЕНЕДЖМЕНТ В ПУБЛИЧНОЙ И КОММЕРЧЕСКОЙ СФЕРАХ АКТУАЛИЗАЦИЯ МЕХАНИЗМОВ И НАПРАВЛЕНИЙ УПРАВЛЕНЧЕСКОЙ ДЕЯТЕЛЬНОСТИ</w:t>
      </w:r>
      <w:r w:rsidRPr="00D274B8">
        <w:rPr>
          <w:rFonts w:ascii="Times New Roman" w:hAnsi="Times New Roman" w:cs="Times New Roman"/>
          <w:b/>
          <w:bCs/>
        </w:rPr>
        <w:tab/>
      </w:r>
      <w:r w:rsidR="00ED3AAE">
        <w:rPr>
          <w:rFonts w:ascii="Times New Roman" w:hAnsi="Times New Roman" w:cs="Times New Roman"/>
          <w:b/>
          <w:bCs/>
        </w:rPr>
        <w:t>272</w:t>
      </w:r>
    </w:p>
    <w:p w14:paraId="761C8641" w14:textId="77777777" w:rsidR="00483D44" w:rsidRPr="00D274B8" w:rsidRDefault="00483D44" w:rsidP="00483D44">
      <w:pPr>
        <w:keepNext/>
        <w:tabs>
          <w:tab w:val="right" w:leader="dot" w:pos="9356"/>
        </w:tabs>
        <w:spacing w:after="0" w:line="360" w:lineRule="auto"/>
        <w:ind w:firstLine="709"/>
        <w:jc w:val="both"/>
        <w:rPr>
          <w:rFonts w:ascii="Times New Roman" w:hAnsi="Times New Roman" w:cs="Times New Roman"/>
          <w:b/>
          <w:bCs/>
        </w:rPr>
      </w:pPr>
    </w:p>
    <w:p w14:paraId="3F5773FC" w14:textId="53A88CFD"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Геворгян А.Г., Научный руководитель: Рубин А.Г., </w:t>
      </w:r>
      <w:r w:rsidRPr="00D274B8">
        <w:rPr>
          <w:rFonts w:ascii="Times New Roman" w:eastAsia="Calibri" w:hAnsi="Times New Roman" w:cs="Times New Roman"/>
          <w:lang w:eastAsia="ru-RU"/>
        </w:rPr>
        <w:t>Цифровизация управления человеческими ресурсами в современных организациях</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272</w:t>
      </w:r>
    </w:p>
    <w:p w14:paraId="19095481" w14:textId="60F7FB9B"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Горбунова П.И., Научный руководитель: Константиниди Х.А., </w:t>
      </w:r>
      <w:r w:rsidRPr="00D274B8">
        <w:rPr>
          <w:rFonts w:ascii="Times New Roman" w:eastAsia="Calibri" w:hAnsi="Times New Roman" w:cs="Times New Roman"/>
          <w:lang w:eastAsia="ru-RU"/>
        </w:rPr>
        <w:t>Проектный подход, как инструмент достижения устойчивого развития в нефтегазовом отечественном секторе</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280</w:t>
      </w:r>
    </w:p>
    <w:p w14:paraId="15FB970F" w14:textId="12763AF7"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Григорьева А.Р., Косян Д.А., Научный руководитель: Маркарян В.Р., </w:t>
      </w:r>
      <w:r w:rsidRPr="00D274B8">
        <w:rPr>
          <w:rFonts w:ascii="Times New Roman" w:eastAsia="Calibri" w:hAnsi="Times New Roman" w:cs="Times New Roman"/>
          <w:lang w:eastAsia="ru-RU"/>
        </w:rPr>
        <w:t>Современные формы управления человеческими ресурсами: молодежные советы как ответ на кадровый голод</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286</w:t>
      </w:r>
    </w:p>
    <w:p w14:paraId="6FDEC4C8" w14:textId="4F642552" w:rsidR="00483D44" w:rsidRPr="00D274B8" w:rsidRDefault="00483D44" w:rsidP="00A11496">
      <w:pPr>
        <w:keepNext/>
        <w:keepLines/>
        <w:tabs>
          <w:tab w:val="right" w:leader="dot" w:pos="9356"/>
        </w:tabs>
        <w:spacing w:after="0" w:line="360" w:lineRule="auto"/>
        <w:ind w:firstLine="709"/>
        <w:jc w:val="both"/>
        <w:rPr>
          <w:rFonts w:ascii="Times New Roman" w:eastAsia="Times New Roman" w:hAnsi="Times New Roman" w:cs="Times New Roman"/>
          <w:bCs/>
        </w:rPr>
      </w:pPr>
      <w:r w:rsidRPr="00D274B8">
        <w:rPr>
          <w:rFonts w:ascii="Times New Roman" w:eastAsia="Times New Roman" w:hAnsi="Times New Roman" w:cs="Times New Roman"/>
          <w:b/>
          <w:bCs/>
          <w:color w:val="000000"/>
          <w:shd w:val="clear" w:color="auto" w:fill="FFFFFF"/>
          <w:lang w:eastAsia="ru-RU"/>
        </w:rPr>
        <w:lastRenderedPageBreak/>
        <w:t>Зеленская Е. Д</w:t>
      </w:r>
      <w:r w:rsidRPr="00D274B8">
        <w:rPr>
          <w:rFonts w:ascii="Times New Roman" w:eastAsia="Calibri" w:hAnsi="Times New Roman" w:cs="Times New Roman"/>
          <w:b/>
          <w:lang w:eastAsia="ru-RU"/>
        </w:rPr>
        <w:t xml:space="preserve">., Научный руководитель: Артюшкова А.Ю., </w:t>
      </w:r>
      <w:r w:rsidRPr="00D274B8">
        <w:rPr>
          <w:rFonts w:ascii="Times New Roman" w:eastAsia="Times New Roman" w:hAnsi="Times New Roman" w:cs="Times New Roman"/>
          <w:bCs/>
        </w:rPr>
        <w:t xml:space="preserve">Менеджер и 7 акцентуаций: как сформировать и замотивировать команду? </w:t>
      </w:r>
      <w:r w:rsidR="00A11496" w:rsidRPr="00D274B8">
        <w:rPr>
          <w:rFonts w:ascii="Times New Roman" w:eastAsia="Times New Roman" w:hAnsi="Times New Roman" w:cs="Times New Roman"/>
          <w:bCs/>
        </w:rPr>
        <w:tab/>
      </w:r>
      <w:r w:rsidR="00ED3AAE">
        <w:rPr>
          <w:rFonts w:ascii="Times New Roman" w:eastAsia="Times New Roman" w:hAnsi="Times New Roman" w:cs="Times New Roman"/>
          <w:bCs/>
        </w:rPr>
        <w:t>292</w:t>
      </w:r>
    </w:p>
    <w:p w14:paraId="50301E8C" w14:textId="0795710C"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Ильина Г.Ю., Научный руководитель: Константиниди Х.А., </w:t>
      </w:r>
      <w:r w:rsidRPr="00D274B8">
        <w:rPr>
          <w:rFonts w:ascii="Times New Roman" w:eastAsia="Calibri" w:hAnsi="Times New Roman" w:cs="Times New Roman"/>
          <w:lang w:eastAsia="ru-RU"/>
        </w:rPr>
        <w:t>Роль цифрового маркетинга в повышении конкурентоспособности предприятия</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300</w:t>
      </w:r>
    </w:p>
    <w:p w14:paraId="6110BE4B" w14:textId="3CFE199F"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Коробко В.А., Научный руководитель: Артюшкова А.Ю., </w:t>
      </w:r>
      <w:r w:rsidRPr="00D274B8">
        <w:rPr>
          <w:rFonts w:ascii="Times New Roman" w:eastAsia="Calibri" w:hAnsi="Times New Roman" w:cs="Times New Roman"/>
          <w:lang w:eastAsia="ru-RU"/>
        </w:rPr>
        <w:t>Влияние удаленной работы на управление изменениями: Исследование, как переход на удаленный режим работы меняет подходы к управлению изменениями и внедрению инноваций в организациях</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305</w:t>
      </w:r>
    </w:p>
    <w:p w14:paraId="5A61307E" w14:textId="3AB16BCD" w:rsidR="00483D44" w:rsidRPr="00D274B8" w:rsidRDefault="00483D44" w:rsidP="00A11496">
      <w:pPr>
        <w:keepNext/>
        <w:keepLines/>
        <w:tabs>
          <w:tab w:val="right" w:leader="dot" w:pos="9356"/>
        </w:tabs>
        <w:spacing w:after="0" w:line="360" w:lineRule="auto"/>
        <w:ind w:firstLine="709"/>
        <w:jc w:val="both"/>
        <w:rPr>
          <w:rFonts w:ascii="Times New Roman" w:eastAsia="Times New Roman" w:hAnsi="Times New Roman" w:cs="Times New Roman"/>
          <w:b/>
          <w:iCs/>
          <w:kern w:val="2"/>
          <w:lang w:eastAsia="ru-RU"/>
        </w:rPr>
      </w:pPr>
      <w:r w:rsidRPr="00D274B8">
        <w:rPr>
          <w:rFonts w:ascii="Times New Roman" w:eastAsia="Times New Roman" w:hAnsi="Times New Roman" w:cs="Times New Roman"/>
          <w:b/>
          <w:iCs/>
          <w:kern w:val="2"/>
          <w:lang w:eastAsia="ru-RU"/>
        </w:rPr>
        <w:t xml:space="preserve">Кривкова Е.А., </w:t>
      </w:r>
      <w:r w:rsidRPr="00D274B8">
        <w:rPr>
          <w:rFonts w:ascii="Times New Roman" w:eastAsia="Calibri" w:hAnsi="Times New Roman" w:cs="Times New Roman"/>
          <w:b/>
          <w:iCs/>
          <w:lang w:eastAsia="ru-RU"/>
        </w:rPr>
        <w:t xml:space="preserve">Научный руководитель: Артюшкова А.Ю., </w:t>
      </w:r>
      <w:r w:rsidRPr="00D274B8">
        <w:rPr>
          <w:rFonts w:ascii="Times New Roman" w:eastAsia="Times New Roman" w:hAnsi="Times New Roman" w:cs="Times New Roman"/>
          <w:bCs/>
          <w:iCs/>
          <w:kern w:val="2"/>
          <w:lang w:eastAsia="ru-RU"/>
        </w:rPr>
        <w:t>Применение lean-технологий в совершенствовании производственной деятельности компании</w:t>
      </w:r>
      <w:r w:rsidR="00A11496" w:rsidRPr="00D274B8">
        <w:rPr>
          <w:rFonts w:ascii="Times New Roman" w:eastAsia="Times New Roman" w:hAnsi="Times New Roman" w:cs="Times New Roman"/>
          <w:bCs/>
          <w:iCs/>
          <w:kern w:val="2"/>
          <w:lang w:eastAsia="ru-RU"/>
        </w:rPr>
        <w:tab/>
      </w:r>
      <w:r w:rsidR="00ED3AAE">
        <w:rPr>
          <w:rFonts w:ascii="Times New Roman" w:eastAsia="Times New Roman" w:hAnsi="Times New Roman" w:cs="Times New Roman"/>
          <w:bCs/>
          <w:iCs/>
          <w:kern w:val="2"/>
          <w:lang w:eastAsia="ru-RU"/>
        </w:rPr>
        <w:t>312</w:t>
      </w:r>
    </w:p>
    <w:p w14:paraId="5D8E252B" w14:textId="1EFE1A89"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Крылосова Д.Н.,</w:t>
      </w:r>
      <w:r w:rsidRPr="00D274B8">
        <w:rPr>
          <w:rFonts w:ascii="Times New Roman" w:hAnsi="Times New Roman" w:cs="Times New Roman"/>
        </w:rPr>
        <w:t xml:space="preserve"> </w:t>
      </w:r>
      <w:r w:rsidRPr="00D274B8">
        <w:rPr>
          <w:rFonts w:ascii="Times New Roman" w:eastAsia="Calibri" w:hAnsi="Times New Roman" w:cs="Times New Roman"/>
          <w:b/>
          <w:lang w:eastAsia="ru-RU"/>
        </w:rPr>
        <w:t xml:space="preserve">Научный руководитель: Грибок Н.Н., </w:t>
      </w:r>
      <w:r w:rsidRPr="00D274B8">
        <w:rPr>
          <w:rFonts w:ascii="Times New Roman" w:eastAsia="Calibri" w:hAnsi="Times New Roman" w:cs="Times New Roman"/>
          <w:lang w:eastAsia="ru-RU"/>
        </w:rPr>
        <w:t>Маркетинговые инструменты устойчивого развития брендов государственных университетов: анализ российских практик</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321</w:t>
      </w:r>
    </w:p>
    <w:p w14:paraId="3134C2D5" w14:textId="3591DEBA"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Кузьменко А.В., Научный руководитель: Мазунина М.В., </w:t>
      </w:r>
      <w:r w:rsidRPr="00D274B8">
        <w:rPr>
          <w:rFonts w:ascii="Times New Roman" w:eastAsia="Calibri" w:hAnsi="Times New Roman" w:cs="Times New Roman"/>
          <w:lang w:eastAsia="ru-RU"/>
        </w:rPr>
        <w:t>Роль искусственного интеллекта в формировании стратегий современных компаний</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329</w:t>
      </w:r>
    </w:p>
    <w:p w14:paraId="5023218C" w14:textId="102AC6DD"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Кулешева М.Д., Научный руководитель: Артюшкова А.Ю., </w:t>
      </w:r>
      <w:r w:rsidRPr="00D274B8">
        <w:rPr>
          <w:rFonts w:ascii="Times New Roman" w:eastAsia="Calibri" w:hAnsi="Times New Roman" w:cs="Times New Roman"/>
          <w:lang w:eastAsia="ru-RU"/>
        </w:rPr>
        <w:t>Влияние поколений на стиль управления</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335</w:t>
      </w:r>
    </w:p>
    <w:p w14:paraId="6ECACC3A" w14:textId="4BE0B6D8"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Лагошина Е.А., Научный руководитель: Мазунина М.В., </w:t>
      </w:r>
      <w:r w:rsidRPr="00D274B8">
        <w:rPr>
          <w:rFonts w:ascii="Times New Roman" w:eastAsia="Calibri" w:hAnsi="Times New Roman" w:cs="Times New Roman"/>
          <w:lang w:eastAsia="ru-RU"/>
        </w:rPr>
        <w:t>Применение эстетического интеллекта в формировании бренда: от визуального к ценностному восприятию</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341</w:t>
      </w:r>
    </w:p>
    <w:p w14:paraId="7509BB23" w14:textId="24AE07D0" w:rsidR="00483D44" w:rsidRPr="003C26BD" w:rsidRDefault="00483D44" w:rsidP="003C26BD">
      <w:pPr>
        <w:keepNext/>
        <w:keepLines/>
        <w:shd w:val="clear" w:color="auto" w:fill="FFFFFF" w:themeFill="background1"/>
        <w:tabs>
          <w:tab w:val="right" w:leader="dot" w:pos="9356"/>
        </w:tabs>
        <w:spacing w:after="0" w:line="360" w:lineRule="auto"/>
        <w:ind w:firstLine="709"/>
        <w:jc w:val="both"/>
        <w:rPr>
          <w:rFonts w:ascii="Times New Roman" w:eastAsia="Calibri" w:hAnsi="Times New Roman" w:cs="Times New Roman"/>
          <w:lang w:eastAsia="ru-RU"/>
        </w:rPr>
      </w:pPr>
      <w:r w:rsidRPr="003C26BD">
        <w:rPr>
          <w:rFonts w:ascii="Times New Roman" w:eastAsia="Calibri" w:hAnsi="Times New Roman" w:cs="Times New Roman"/>
          <w:b/>
          <w:lang w:eastAsia="ru-RU"/>
        </w:rPr>
        <w:t>Мовсисян В.А., Научный руководитель: Рощектаева У.Ю.,</w:t>
      </w:r>
      <w:r w:rsidRPr="003C26BD">
        <w:rPr>
          <w:rFonts w:ascii="Times New Roman" w:hAnsi="Times New Roman" w:cs="Times New Roman"/>
        </w:rPr>
        <w:t xml:space="preserve"> </w:t>
      </w:r>
      <w:r w:rsidRPr="003C26BD">
        <w:rPr>
          <w:rFonts w:ascii="Times New Roman" w:eastAsia="Calibri" w:hAnsi="Times New Roman" w:cs="Times New Roman"/>
          <w:lang w:eastAsia="ru-RU"/>
        </w:rPr>
        <w:t>Анализ и перспективы строительной отрасли Краснодарского края в 2025-2027 гг.</w:t>
      </w:r>
      <w:r w:rsidRPr="003C26BD">
        <w:rPr>
          <w:rFonts w:ascii="Times New Roman" w:eastAsia="Calibri" w:hAnsi="Times New Roman" w:cs="Times New Roman"/>
          <w:lang w:eastAsia="ru-RU"/>
        </w:rPr>
        <w:tab/>
      </w:r>
      <w:r w:rsidR="00ED3AAE" w:rsidRPr="003C26BD">
        <w:rPr>
          <w:rFonts w:ascii="Times New Roman" w:eastAsia="Calibri" w:hAnsi="Times New Roman" w:cs="Times New Roman"/>
          <w:lang w:eastAsia="ru-RU"/>
        </w:rPr>
        <w:t>348</w:t>
      </w:r>
    </w:p>
    <w:p w14:paraId="115D277A" w14:textId="374DB56A" w:rsidR="00483D44" w:rsidRPr="00D274B8" w:rsidRDefault="00483D44" w:rsidP="003C26BD">
      <w:pPr>
        <w:keepNext/>
        <w:keepLines/>
        <w:shd w:val="clear" w:color="auto" w:fill="FFFFFF" w:themeFill="background1"/>
        <w:tabs>
          <w:tab w:val="right" w:leader="dot" w:pos="9356"/>
        </w:tabs>
        <w:spacing w:after="0" w:line="360" w:lineRule="auto"/>
        <w:ind w:firstLine="709"/>
        <w:jc w:val="both"/>
        <w:rPr>
          <w:rFonts w:ascii="Times New Roman" w:eastAsia="Calibri" w:hAnsi="Times New Roman" w:cs="Times New Roman"/>
          <w:lang w:eastAsia="ru-RU"/>
        </w:rPr>
      </w:pPr>
      <w:r w:rsidRPr="003C26BD">
        <w:rPr>
          <w:rFonts w:ascii="Times New Roman" w:eastAsia="Calibri" w:hAnsi="Times New Roman" w:cs="Times New Roman"/>
          <w:b/>
          <w:lang w:eastAsia="ru-RU"/>
        </w:rPr>
        <w:t xml:space="preserve">Низамиди М. Е., Научный руководитель: Грибок Н.Н., </w:t>
      </w:r>
      <w:r w:rsidRPr="003C26BD">
        <w:rPr>
          <w:rFonts w:ascii="Times New Roman" w:eastAsia="Calibri" w:hAnsi="Times New Roman" w:cs="Times New Roman"/>
          <w:lang w:eastAsia="ru-RU"/>
        </w:rPr>
        <w:t>Совершенствование инструментов</w:t>
      </w:r>
      <w:r w:rsidRPr="00D274B8">
        <w:rPr>
          <w:rFonts w:ascii="Times New Roman" w:eastAsia="Calibri" w:hAnsi="Times New Roman" w:cs="Times New Roman"/>
          <w:lang w:eastAsia="ru-RU"/>
        </w:rPr>
        <w:t xml:space="preserve"> реализации рыночной стратегии развития: концептуальные подходы и практические рекомендации</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356</w:t>
      </w:r>
    </w:p>
    <w:p w14:paraId="3DC02D3E" w14:textId="42E45207"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Попова Д. Р., Научный руководитель: Артюшкова А.Ю., </w:t>
      </w:r>
      <w:r w:rsidRPr="00D274B8">
        <w:rPr>
          <w:rFonts w:ascii="Times New Roman" w:eastAsia="Calibri" w:hAnsi="Times New Roman" w:cs="Times New Roman"/>
          <w:lang w:eastAsia="ru-RU"/>
        </w:rPr>
        <w:t>Кросс-культурные аспекты тайм-менеджмента: Сравнительный анализ подходов к управлению временем в разных культурах и их влияние на бизнес-практики</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363</w:t>
      </w:r>
    </w:p>
    <w:p w14:paraId="109466AA" w14:textId="28196D66" w:rsidR="00483D44" w:rsidRPr="00D274B8" w:rsidRDefault="00483D44" w:rsidP="00A11496">
      <w:pPr>
        <w:keepNext/>
        <w:keepLines/>
        <w:tabs>
          <w:tab w:val="right" w:leader="dot" w:pos="9356"/>
        </w:tabs>
        <w:spacing w:after="0" w:line="360" w:lineRule="auto"/>
        <w:ind w:firstLine="709"/>
        <w:jc w:val="both"/>
        <w:rPr>
          <w:rFonts w:ascii="Times New Roman" w:eastAsia="Times New Roman" w:hAnsi="Times New Roman" w:cs="Times New Roman"/>
          <w:b/>
          <w:color w:val="000000"/>
          <w:lang w:eastAsia="zh-CN"/>
        </w:rPr>
      </w:pPr>
      <w:r w:rsidRPr="00D274B8">
        <w:rPr>
          <w:rFonts w:ascii="Times New Roman" w:eastAsia="Times New Roman" w:hAnsi="Times New Roman" w:cs="Times New Roman"/>
          <w:b/>
          <w:color w:val="000000"/>
          <w:lang w:eastAsia="zh-CN"/>
        </w:rPr>
        <w:t xml:space="preserve">Рябуха М.А., </w:t>
      </w:r>
      <w:r w:rsidRPr="00D274B8">
        <w:rPr>
          <w:rFonts w:ascii="Times New Roman" w:eastAsia="Calibri" w:hAnsi="Times New Roman" w:cs="Times New Roman"/>
          <w:b/>
          <w:lang w:eastAsia="ru-RU"/>
        </w:rPr>
        <w:t xml:space="preserve">Научный руководитель: Артюшкова А.Ю., </w:t>
      </w:r>
      <w:r w:rsidRPr="00D274B8">
        <w:rPr>
          <w:rFonts w:ascii="Times New Roman" w:eastAsia="Times New Roman" w:hAnsi="Times New Roman" w:cs="Times New Roman"/>
          <w:bCs/>
          <w:color w:val="000000"/>
          <w:lang w:eastAsia="zh-CN"/>
        </w:rPr>
        <w:t>Эмоциональный интеллект в управлении: его влияние на эффективность лидерства и командной работы</w:t>
      </w:r>
      <w:r w:rsidR="00A11496" w:rsidRPr="00D274B8">
        <w:rPr>
          <w:rFonts w:ascii="Times New Roman" w:eastAsia="Times New Roman" w:hAnsi="Times New Roman" w:cs="Times New Roman"/>
          <w:bCs/>
          <w:color w:val="000000"/>
          <w:lang w:eastAsia="zh-CN"/>
        </w:rPr>
        <w:tab/>
      </w:r>
      <w:r w:rsidR="00ED3AAE">
        <w:rPr>
          <w:rFonts w:ascii="Times New Roman" w:eastAsia="Times New Roman" w:hAnsi="Times New Roman" w:cs="Times New Roman"/>
          <w:bCs/>
          <w:color w:val="000000"/>
          <w:lang w:eastAsia="zh-CN"/>
        </w:rPr>
        <w:t>370</w:t>
      </w:r>
    </w:p>
    <w:p w14:paraId="283331A5" w14:textId="583095BE"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Соболева С.И., Научный руководитель: Артюшкова А.Ю., </w:t>
      </w:r>
      <w:r w:rsidRPr="00D274B8">
        <w:rPr>
          <w:rFonts w:ascii="Times New Roman" w:eastAsia="Calibri" w:hAnsi="Times New Roman" w:cs="Times New Roman"/>
          <w:lang w:eastAsia="ru-RU"/>
        </w:rPr>
        <w:t>Сущность, создание и продвижение HR-бренда современных организаций.</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379</w:t>
      </w:r>
    </w:p>
    <w:p w14:paraId="4F044F06" w14:textId="70BAA561" w:rsidR="00483D44" w:rsidRPr="00D274B8" w:rsidRDefault="00483D44" w:rsidP="00A11496">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Шаов А.И., Научный руководитель: Зинченко Н.В., </w:t>
      </w:r>
      <w:r w:rsidRPr="00D274B8">
        <w:rPr>
          <w:rFonts w:ascii="Times New Roman" w:eastAsia="Calibri" w:hAnsi="Times New Roman" w:cs="Times New Roman"/>
          <w:lang w:eastAsia="ru-RU"/>
        </w:rPr>
        <w:t>Роль мега-проектов в социально-экономическом развитии территорий</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389</w:t>
      </w:r>
    </w:p>
    <w:p w14:paraId="735868FA" w14:textId="1ADC5EEC" w:rsidR="00483D44" w:rsidRPr="00ED3AAE" w:rsidRDefault="00483D44" w:rsidP="00A11496">
      <w:pPr>
        <w:keepNext/>
        <w:keepLines/>
        <w:tabs>
          <w:tab w:val="right" w:leader="dot" w:pos="9356"/>
        </w:tabs>
        <w:suppressAutoHyphens/>
        <w:spacing w:after="0" w:line="360" w:lineRule="auto"/>
        <w:ind w:firstLine="709"/>
        <w:jc w:val="both"/>
        <w:rPr>
          <w:rFonts w:ascii="Times New Roman" w:eastAsia="Times New Roman" w:hAnsi="Times New Roman" w:cs="Times New Roman"/>
          <w:bCs/>
          <w:iCs/>
          <w:color w:val="000000"/>
          <w:lang w:eastAsia="ar-SA"/>
        </w:rPr>
      </w:pPr>
      <w:r w:rsidRPr="00D274B8">
        <w:rPr>
          <w:rFonts w:ascii="Times New Roman" w:eastAsia="Times New Roman" w:hAnsi="Times New Roman" w:cs="Times New Roman"/>
          <w:b/>
          <w:iCs/>
          <w:color w:val="000000"/>
          <w:lang w:eastAsia="ar-SA"/>
        </w:rPr>
        <w:t xml:space="preserve">Шимон Д.С., </w:t>
      </w:r>
      <w:r w:rsidRPr="00D274B8">
        <w:rPr>
          <w:rFonts w:ascii="Times New Roman" w:eastAsia="Calibri" w:hAnsi="Times New Roman" w:cs="Times New Roman"/>
          <w:b/>
          <w:iCs/>
          <w:lang w:eastAsia="ru-RU"/>
        </w:rPr>
        <w:t xml:space="preserve">Научный руководитель: Артюшкова А.Ю., </w:t>
      </w:r>
      <w:r w:rsidRPr="00D274B8">
        <w:rPr>
          <w:rFonts w:ascii="Times New Roman" w:eastAsia="Times New Roman" w:hAnsi="Times New Roman" w:cs="Times New Roman"/>
          <w:bCs/>
          <w:iCs/>
          <w:lang w:val="x-none" w:eastAsia="ar-SA"/>
        </w:rPr>
        <w:t>Электронный бизнес. Цифровизация процессов</w:t>
      </w:r>
      <w:r w:rsidR="00A11496" w:rsidRPr="00D274B8">
        <w:rPr>
          <w:rFonts w:ascii="Times New Roman" w:eastAsia="Times New Roman" w:hAnsi="Times New Roman" w:cs="Times New Roman"/>
          <w:bCs/>
          <w:iCs/>
          <w:lang w:val="x-none" w:eastAsia="ar-SA"/>
        </w:rPr>
        <w:tab/>
      </w:r>
      <w:r w:rsidR="00ED3AAE">
        <w:rPr>
          <w:rFonts w:ascii="Times New Roman" w:eastAsia="Times New Roman" w:hAnsi="Times New Roman" w:cs="Times New Roman"/>
          <w:bCs/>
          <w:iCs/>
          <w:lang w:eastAsia="ar-SA"/>
        </w:rPr>
        <w:t>394</w:t>
      </w:r>
    </w:p>
    <w:p w14:paraId="21C029D2" w14:textId="4F142C04" w:rsidR="00817CB0" w:rsidRDefault="00483D44" w:rsidP="00483D44">
      <w:pPr>
        <w:keepNext/>
        <w:keepLines/>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Юрьева М.М., Научный руководитель: Мазунина М.В., </w:t>
      </w:r>
      <w:r w:rsidRPr="00D274B8">
        <w:rPr>
          <w:rFonts w:ascii="Times New Roman" w:eastAsia="Calibri" w:hAnsi="Times New Roman" w:cs="Times New Roman"/>
          <w:lang w:eastAsia="ru-RU"/>
        </w:rPr>
        <w:t>Парадокс раннего ухода успешных менеджеров: социологическая и управленческая перспектива</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399</w:t>
      </w:r>
    </w:p>
    <w:p w14:paraId="53E97596" w14:textId="77777777" w:rsidR="00817CB0" w:rsidRDefault="00817CB0">
      <w:pPr>
        <w:rPr>
          <w:rFonts w:ascii="Times New Roman" w:eastAsia="Calibri" w:hAnsi="Times New Roman" w:cs="Times New Roman"/>
          <w:lang w:eastAsia="ru-RU"/>
        </w:rPr>
      </w:pPr>
      <w:r>
        <w:rPr>
          <w:rFonts w:ascii="Times New Roman" w:eastAsia="Calibri" w:hAnsi="Times New Roman" w:cs="Times New Roman"/>
          <w:lang w:eastAsia="ru-RU"/>
        </w:rPr>
        <w:br w:type="page"/>
      </w:r>
    </w:p>
    <w:p w14:paraId="7FF06786" w14:textId="75A3EF39" w:rsidR="00483D44" w:rsidRPr="00D274B8" w:rsidRDefault="00483D44" w:rsidP="00483D44">
      <w:pPr>
        <w:keepNext/>
        <w:tabs>
          <w:tab w:val="right" w:leader="dot" w:pos="9356"/>
        </w:tabs>
        <w:spacing w:after="0" w:line="360" w:lineRule="auto"/>
        <w:ind w:firstLine="709"/>
        <w:jc w:val="both"/>
        <w:rPr>
          <w:rFonts w:ascii="Times New Roman" w:hAnsi="Times New Roman" w:cs="Times New Roman"/>
          <w:b/>
          <w:bCs/>
        </w:rPr>
      </w:pPr>
      <w:r w:rsidRPr="00D274B8">
        <w:rPr>
          <w:rFonts w:ascii="Times New Roman" w:hAnsi="Times New Roman" w:cs="Times New Roman"/>
          <w:b/>
          <w:bCs/>
        </w:rPr>
        <w:lastRenderedPageBreak/>
        <w:t>РАЗДЕЛ 4. ЦИФРОВЫЕ ТРАНСФОРМАЦИИ РАЗВИТИЯ БИЗНЕСА</w:t>
      </w:r>
      <w:r w:rsidRPr="00D274B8">
        <w:rPr>
          <w:rFonts w:ascii="Times New Roman" w:hAnsi="Times New Roman" w:cs="Times New Roman"/>
          <w:b/>
          <w:bCs/>
        </w:rPr>
        <w:tab/>
      </w:r>
      <w:r w:rsidR="00ED3AAE">
        <w:rPr>
          <w:rFonts w:ascii="Times New Roman" w:hAnsi="Times New Roman" w:cs="Times New Roman"/>
          <w:b/>
          <w:bCs/>
        </w:rPr>
        <w:t>408</w:t>
      </w:r>
    </w:p>
    <w:p w14:paraId="44C07D56" w14:textId="77777777" w:rsidR="00483D44" w:rsidRPr="00D274B8" w:rsidRDefault="00483D44" w:rsidP="00A11496">
      <w:pPr>
        <w:keepNext/>
        <w:tabs>
          <w:tab w:val="right" w:leader="dot" w:pos="9356"/>
        </w:tabs>
        <w:spacing w:after="0" w:line="360" w:lineRule="auto"/>
        <w:ind w:firstLine="709"/>
        <w:jc w:val="both"/>
        <w:rPr>
          <w:rFonts w:ascii="Times New Roman" w:hAnsi="Times New Roman" w:cs="Times New Roman"/>
          <w:b/>
          <w:bCs/>
        </w:rPr>
      </w:pPr>
      <w:r w:rsidRPr="00D274B8">
        <w:rPr>
          <w:rFonts w:ascii="Times New Roman" w:hAnsi="Times New Roman" w:cs="Times New Roman"/>
          <w:b/>
          <w:bCs/>
        </w:rPr>
        <w:t xml:space="preserve"> </w:t>
      </w:r>
    </w:p>
    <w:p w14:paraId="2795173F" w14:textId="69C8D1DB" w:rsidR="00483D44" w:rsidRPr="00D274B8" w:rsidRDefault="00483D44" w:rsidP="00A11496">
      <w:pPr>
        <w:tabs>
          <w:tab w:val="right" w:leader="dot" w:pos="9356"/>
        </w:tabs>
        <w:spacing w:after="0" w:line="360" w:lineRule="auto"/>
        <w:ind w:firstLine="709"/>
        <w:jc w:val="both"/>
        <w:rPr>
          <w:rFonts w:ascii="Times New Roman" w:eastAsia="Times New Roman" w:hAnsi="Times New Roman" w:cs="Times New Roman"/>
        </w:rPr>
      </w:pPr>
      <w:r w:rsidRPr="00D274B8">
        <w:rPr>
          <w:rFonts w:ascii="Times New Roman" w:eastAsia="Times New Roman" w:hAnsi="Times New Roman" w:cs="Times New Roman"/>
          <w:b/>
          <w:bCs/>
        </w:rPr>
        <w:t xml:space="preserve">Бабийчук Е.В., </w:t>
      </w:r>
      <w:r w:rsidRPr="00D274B8">
        <w:rPr>
          <w:rFonts w:ascii="Times New Roman" w:eastAsia="Calibri" w:hAnsi="Times New Roman" w:cs="Times New Roman"/>
          <w:b/>
          <w:lang w:eastAsia="ru-RU"/>
        </w:rPr>
        <w:t xml:space="preserve">Научный руководитель: Ануфриева А.П., </w:t>
      </w:r>
      <w:r w:rsidRPr="00D274B8">
        <w:rPr>
          <w:rFonts w:ascii="Times New Roman" w:eastAsia="Times New Roman" w:hAnsi="Times New Roman" w:cs="Times New Roman"/>
        </w:rPr>
        <w:t>Тёмные паттерны в российских цифровых сервисах: этика и прибыль</w:t>
      </w:r>
      <w:r w:rsidR="00A11496" w:rsidRPr="00D274B8">
        <w:rPr>
          <w:rFonts w:ascii="Times New Roman" w:eastAsia="Times New Roman" w:hAnsi="Times New Roman" w:cs="Times New Roman"/>
        </w:rPr>
        <w:tab/>
      </w:r>
      <w:r w:rsidR="00ED3AAE">
        <w:rPr>
          <w:rFonts w:ascii="Times New Roman" w:eastAsia="Times New Roman" w:hAnsi="Times New Roman" w:cs="Times New Roman"/>
        </w:rPr>
        <w:t>408</w:t>
      </w:r>
    </w:p>
    <w:p w14:paraId="1DA99EE9" w14:textId="3CC06459" w:rsidR="00483D44" w:rsidRPr="00D274B8" w:rsidRDefault="00483D44" w:rsidP="00A11496">
      <w:pPr>
        <w:tabs>
          <w:tab w:val="right" w:leader="dot" w:pos="9356"/>
        </w:tabs>
        <w:spacing w:after="0" w:line="360" w:lineRule="auto"/>
        <w:ind w:firstLine="709"/>
        <w:jc w:val="both"/>
        <w:rPr>
          <w:rFonts w:ascii="Times New Roman" w:eastAsia="Times New Roman" w:hAnsi="Times New Roman" w:cs="Times New Roman"/>
          <w:color w:val="000000"/>
        </w:rPr>
      </w:pPr>
      <w:r w:rsidRPr="00D274B8">
        <w:rPr>
          <w:rFonts w:ascii="Times New Roman" w:eastAsia="Times New Roman" w:hAnsi="Times New Roman" w:cs="Times New Roman"/>
          <w:b/>
          <w:bCs/>
          <w:color w:val="000000"/>
        </w:rPr>
        <w:t xml:space="preserve">Белан Н.А, </w:t>
      </w:r>
      <w:r w:rsidRPr="00D274B8">
        <w:rPr>
          <w:rFonts w:ascii="Times New Roman" w:eastAsia="Calibri" w:hAnsi="Times New Roman" w:cs="Times New Roman"/>
          <w:b/>
          <w:lang w:eastAsia="ru-RU"/>
        </w:rPr>
        <w:t xml:space="preserve">Научный руководитель: Ануфриева А.П., </w:t>
      </w:r>
      <w:r w:rsidRPr="00D274B8">
        <w:rPr>
          <w:rFonts w:ascii="Times New Roman" w:eastAsia="Times New Roman" w:hAnsi="Times New Roman" w:cs="Times New Roman"/>
          <w:color w:val="000000"/>
        </w:rPr>
        <w:t>Влияние нейронных сетей на сферу образования</w:t>
      </w:r>
      <w:r w:rsidR="00A11496" w:rsidRPr="00D274B8">
        <w:rPr>
          <w:rFonts w:ascii="Times New Roman" w:eastAsia="Times New Roman" w:hAnsi="Times New Roman" w:cs="Times New Roman"/>
          <w:color w:val="000000"/>
        </w:rPr>
        <w:tab/>
      </w:r>
      <w:r w:rsidR="00ED3AAE">
        <w:rPr>
          <w:rFonts w:ascii="Times New Roman" w:eastAsia="Times New Roman" w:hAnsi="Times New Roman" w:cs="Times New Roman"/>
          <w:color w:val="000000"/>
        </w:rPr>
        <w:t>413</w:t>
      </w:r>
    </w:p>
    <w:p w14:paraId="0F420E04" w14:textId="3B35F2E8" w:rsidR="00483D44" w:rsidRPr="00D274B8" w:rsidRDefault="00483D44" w:rsidP="00A11496">
      <w:pPr>
        <w:tabs>
          <w:tab w:val="right" w:leader="dot" w:pos="9356"/>
        </w:tabs>
        <w:suppressAutoHyphens/>
        <w:spacing w:after="0" w:line="360" w:lineRule="auto"/>
        <w:ind w:firstLine="709"/>
        <w:jc w:val="both"/>
        <w:rPr>
          <w:rFonts w:ascii="Times New Roman" w:eastAsia="Aptos" w:hAnsi="Times New Roman" w:cs="Times New Roman"/>
          <w:bCs/>
          <w:iCs/>
          <w:kern w:val="2"/>
          <w:lang w:eastAsia="ru-RU"/>
          <w14:ligatures w14:val="standardContextual"/>
        </w:rPr>
      </w:pPr>
      <w:r w:rsidRPr="00D274B8">
        <w:rPr>
          <w:rFonts w:ascii="Times New Roman" w:eastAsia="Aptos" w:hAnsi="Times New Roman" w:cs="Times New Roman"/>
          <w:b/>
          <w:iCs/>
          <w:kern w:val="2"/>
          <w:lang w:eastAsia="ru-RU"/>
          <w14:ligatures w14:val="standardContextual"/>
        </w:rPr>
        <w:t xml:space="preserve">Березовская П.М., </w:t>
      </w:r>
      <w:r w:rsidRPr="00D274B8">
        <w:rPr>
          <w:rFonts w:ascii="Times New Roman" w:eastAsia="Calibri" w:hAnsi="Times New Roman" w:cs="Times New Roman"/>
          <w:b/>
          <w:iCs/>
          <w:lang w:eastAsia="ru-RU"/>
        </w:rPr>
        <w:t xml:space="preserve">Научный руководитель: Ануфриева А.П., </w:t>
      </w:r>
      <w:r w:rsidRPr="00D274B8">
        <w:rPr>
          <w:rFonts w:ascii="Times New Roman" w:eastAsia="Aptos" w:hAnsi="Times New Roman" w:cs="Times New Roman"/>
          <w:bCs/>
          <w:iCs/>
          <w:kern w:val="2"/>
          <w:lang w:eastAsia="ru-RU"/>
          <w14:ligatures w14:val="standardContextual"/>
        </w:rPr>
        <w:t>Модернизация бизнес-процессов с использованием технологий искусственного интеллекта</w:t>
      </w:r>
      <w:r w:rsidR="00A11496" w:rsidRPr="00D274B8">
        <w:rPr>
          <w:rFonts w:ascii="Times New Roman" w:eastAsia="Aptos" w:hAnsi="Times New Roman" w:cs="Times New Roman"/>
          <w:bCs/>
          <w:iCs/>
          <w:kern w:val="2"/>
          <w:lang w:eastAsia="ru-RU"/>
          <w14:ligatures w14:val="standardContextual"/>
        </w:rPr>
        <w:tab/>
      </w:r>
      <w:r w:rsidR="00ED3AAE">
        <w:rPr>
          <w:rFonts w:ascii="Times New Roman" w:eastAsia="Aptos" w:hAnsi="Times New Roman" w:cs="Times New Roman"/>
          <w:bCs/>
          <w:iCs/>
          <w:kern w:val="2"/>
          <w:lang w:eastAsia="ru-RU"/>
          <w14:ligatures w14:val="standardContextual"/>
        </w:rPr>
        <w:t>417</w:t>
      </w:r>
    </w:p>
    <w:p w14:paraId="742059DC" w14:textId="077BF04E" w:rsidR="00483D44" w:rsidRPr="00D274B8" w:rsidRDefault="00483D44" w:rsidP="00A11496">
      <w:pPr>
        <w:tabs>
          <w:tab w:val="left" w:pos="851"/>
          <w:tab w:val="left" w:pos="993"/>
          <w:tab w:val="left" w:pos="4320"/>
          <w:tab w:val="right" w:leader="dot" w:pos="9356"/>
        </w:tabs>
        <w:spacing w:after="0" w:line="360" w:lineRule="auto"/>
        <w:ind w:firstLine="709"/>
        <w:contextualSpacing/>
        <w:jc w:val="both"/>
        <w:rPr>
          <w:rFonts w:ascii="Times New Roman" w:eastAsia="Times New Roman" w:hAnsi="Times New Roman" w:cs="Times New Roman"/>
          <w:b/>
          <w:iCs/>
        </w:rPr>
      </w:pPr>
      <w:r w:rsidRPr="00D274B8">
        <w:rPr>
          <w:rFonts w:ascii="Times New Roman" w:eastAsia="Calibri" w:hAnsi="Times New Roman" w:cs="Times New Roman"/>
          <w:b/>
          <w:lang w:eastAsia="ru-RU"/>
        </w:rPr>
        <w:t xml:space="preserve">Гуглий Н.В., Научный руководитель: Франциско О.Ю., </w:t>
      </w:r>
      <w:r w:rsidRPr="00D274B8">
        <w:rPr>
          <w:rFonts w:ascii="Times New Roman" w:eastAsia="Calibri" w:hAnsi="Times New Roman" w:cs="Times New Roman"/>
          <w:lang w:eastAsia="ru-RU"/>
        </w:rPr>
        <w:t>Актуальные проблемы обслуживания самокатов с помощью мобильного приложения</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424</w:t>
      </w:r>
    </w:p>
    <w:p w14:paraId="182445C9" w14:textId="44810A83" w:rsidR="00483D44" w:rsidRPr="00D274B8" w:rsidRDefault="00483D44" w:rsidP="00A11496">
      <w:pPr>
        <w:tabs>
          <w:tab w:val="left" w:pos="993"/>
          <w:tab w:val="right" w:leader="dot" w:pos="9356"/>
        </w:tabs>
        <w:spacing w:after="0" w:line="360" w:lineRule="auto"/>
        <w:ind w:firstLine="709"/>
        <w:jc w:val="both"/>
        <w:rPr>
          <w:rFonts w:ascii="Times New Roman" w:eastAsia="Aptos" w:hAnsi="Times New Roman" w:cs="Times New Roman"/>
          <w:iCs/>
          <w:kern w:val="2"/>
          <w14:ligatures w14:val="standardContextual"/>
        </w:rPr>
      </w:pPr>
      <w:r w:rsidRPr="00D274B8">
        <w:rPr>
          <w:rFonts w:ascii="Times New Roman" w:eastAsia="Times New Roman" w:hAnsi="Times New Roman" w:cs="Times New Roman"/>
          <w:b/>
          <w:iCs/>
          <w:color w:val="000000"/>
          <w:lang w:eastAsia="ar-SA"/>
        </w:rPr>
        <w:t xml:space="preserve">Дубровская П.В., </w:t>
      </w:r>
      <w:r w:rsidRPr="00D274B8">
        <w:rPr>
          <w:rFonts w:ascii="Times New Roman" w:eastAsia="Calibri" w:hAnsi="Times New Roman" w:cs="Times New Roman"/>
          <w:b/>
          <w:iCs/>
          <w:lang w:eastAsia="ru-RU"/>
        </w:rPr>
        <w:t xml:space="preserve">Научный руководитель: Кирий В.А., </w:t>
      </w:r>
      <w:r w:rsidRPr="00D274B8">
        <w:rPr>
          <w:rFonts w:ascii="Times New Roman" w:eastAsia="Aptos" w:hAnsi="Times New Roman" w:cs="Times New Roman"/>
          <w:iCs/>
          <w:kern w:val="2"/>
          <w14:ligatures w14:val="standardContextual"/>
        </w:rPr>
        <w:t>Проблемы и перспективы внедрения нейросетевых технологий в системы онлайн-прокторинга</w:t>
      </w:r>
      <w:r w:rsidR="00A11496" w:rsidRPr="00D274B8">
        <w:rPr>
          <w:rFonts w:ascii="Times New Roman" w:eastAsia="Aptos" w:hAnsi="Times New Roman" w:cs="Times New Roman"/>
          <w:iCs/>
          <w:kern w:val="2"/>
          <w14:ligatures w14:val="standardContextual"/>
        </w:rPr>
        <w:tab/>
      </w:r>
      <w:r w:rsidR="00ED3AAE">
        <w:rPr>
          <w:rFonts w:ascii="Times New Roman" w:eastAsia="Aptos" w:hAnsi="Times New Roman" w:cs="Times New Roman"/>
          <w:iCs/>
          <w:kern w:val="2"/>
          <w14:ligatures w14:val="standardContextual"/>
        </w:rPr>
        <w:t>432</w:t>
      </w:r>
    </w:p>
    <w:p w14:paraId="4295E30C" w14:textId="5C8BB113" w:rsidR="00483D44" w:rsidRPr="00D274B8" w:rsidRDefault="00483D44" w:rsidP="00CE1713">
      <w:pPr>
        <w:tabs>
          <w:tab w:val="left" w:pos="851"/>
          <w:tab w:val="left" w:pos="993"/>
          <w:tab w:val="left" w:pos="4320"/>
          <w:tab w:val="right" w:leader="dot" w:pos="9356"/>
        </w:tabs>
        <w:spacing w:after="0" w:line="360" w:lineRule="auto"/>
        <w:ind w:firstLine="709"/>
        <w:contextualSpacing/>
        <w:jc w:val="both"/>
        <w:rPr>
          <w:rFonts w:ascii="Times New Roman" w:eastAsia="Times New Roman" w:hAnsi="Times New Roman" w:cs="Times New Roman"/>
          <w:bCs/>
          <w:iCs/>
        </w:rPr>
      </w:pPr>
      <w:r w:rsidRPr="00D274B8">
        <w:rPr>
          <w:rFonts w:ascii="Times New Roman" w:eastAsia="Times New Roman" w:hAnsi="Times New Roman" w:cs="Times New Roman"/>
          <w:b/>
          <w:iCs/>
          <w:color w:val="000000"/>
          <w:lang w:eastAsia="ar-SA"/>
        </w:rPr>
        <w:t xml:space="preserve">Захарченко Г.В., </w:t>
      </w:r>
      <w:r w:rsidRPr="00D274B8">
        <w:rPr>
          <w:rFonts w:ascii="Times New Roman" w:eastAsia="Calibri" w:hAnsi="Times New Roman" w:cs="Times New Roman"/>
          <w:b/>
          <w:iCs/>
          <w:lang w:eastAsia="ru-RU"/>
        </w:rPr>
        <w:t xml:space="preserve">Научный руководитель: </w:t>
      </w:r>
      <w:r w:rsidRPr="00D274B8">
        <w:rPr>
          <w:rFonts w:ascii="Times New Roman" w:eastAsia="Times New Roman" w:hAnsi="Times New Roman" w:cs="Times New Roman"/>
          <w:b/>
          <w:iCs/>
        </w:rPr>
        <w:t xml:space="preserve">Дюдин М.С., </w:t>
      </w:r>
      <w:r w:rsidRPr="00D274B8">
        <w:rPr>
          <w:rFonts w:ascii="Times New Roman" w:eastAsia="Times New Roman" w:hAnsi="Times New Roman" w:cs="Times New Roman"/>
          <w:bCs/>
          <w:iCs/>
        </w:rPr>
        <w:t>Цифровые трансформации развития бизнеса: прошлое и перспективы</w:t>
      </w:r>
      <w:r w:rsidR="0055454C" w:rsidRPr="00D274B8">
        <w:rPr>
          <w:rFonts w:ascii="Times New Roman" w:eastAsia="Times New Roman" w:hAnsi="Times New Roman" w:cs="Times New Roman"/>
          <w:bCs/>
          <w:iCs/>
        </w:rPr>
        <w:t>………</w:t>
      </w:r>
      <w:proofErr w:type="gramStart"/>
      <w:r w:rsidR="0055454C" w:rsidRPr="00D274B8">
        <w:rPr>
          <w:rFonts w:ascii="Times New Roman" w:eastAsia="Times New Roman" w:hAnsi="Times New Roman" w:cs="Times New Roman"/>
          <w:bCs/>
          <w:iCs/>
        </w:rPr>
        <w:t>…….</w:t>
      </w:r>
      <w:proofErr w:type="gramEnd"/>
      <w:r w:rsidR="0055454C" w:rsidRPr="00D274B8">
        <w:rPr>
          <w:rFonts w:ascii="Times New Roman" w:eastAsia="Times New Roman" w:hAnsi="Times New Roman" w:cs="Times New Roman"/>
          <w:bCs/>
          <w:iCs/>
        </w:rPr>
        <w:t>.</w:t>
      </w:r>
      <w:r w:rsidR="0055454C" w:rsidRPr="00D274B8">
        <w:rPr>
          <w:rFonts w:ascii="Times New Roman" w:eastAsia="Times New Roman" w:hAnsi="Times New Roman" w:cs="Times New Roman"/>
          <w:bCs/>
          <w:iCs/>
        </w:rPr>
        <w:tab/>
        <w:t>.</w:t>
      </w:r>
      <w:r w:rsidR="00A11496" w:rsidRPr="00D274B8">
        <w:rPr>
          <w:rFonts w:ascii="Times New Roman" w:eastAsia="Times New Roman" w:hAnsi="Times New Roman" w:cs="Times New Roman"/>
          <w:bCs/>
          <w:iCs/>
        </w:rPr>
        <w:tab/>
      </w:r>
      <w:r w:rsidR="00ED3AAE">
        <w:rPr>
          <w:rFonts w:ascii="Times New Roman" w:eastAsia="Times New Roman" w:hAnsi="Times New Roman" w:cs="Times New Roman"/>
          <w:bCs/>
          <w:iCs/>
        </w:rPr>
        <w:t>437</w:t>
      </w:r>
    </w:p>
    <w:p w14:paraId="0B341197" w14:textId="570429DA" w:rsidR="00483D44" w:rsidRPr="00D274B8" w:rsidRDefault="00483D44" w:rsidP="00A11496">
      <w:pPr>
        <w:keepNext/>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Злобина С.С., Научный руководитель: Пьянкова Н.Г., </w:t>
      </w:r>
      <w:r w:rsidRPr="00D274B8">
        <w:rPr>
          <w:rFonts w:ascii="Times New Roman" w:eastAsia="Calibri" w:hAnsi="Times New Roman" w:cs="Times New Roman"/>
          <w:lang w:eastAsia="ru-RU"/>
        </w:rPr>
        <w:t>Создание онлайн-формата для спортивной школы: электронный дневник как ключевая возможность</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441</w:t>
      </w:r>
    </w:p>
    <w:p w14:paraId="6793733E" w14:textId="04C8B58B" w:rsidR="00483D44" w:rsidRPr="00D274B8" w:rsidRDefault="00483D44" w:rsidP="00A11496">
      <w:pPr>
        <w:tabs>
          <w:tab w:val="right" w:leader="dot" w:pos="9356"/>
        </w:tabs>
        <w:suppressAutoHyphens/>
        <w:spacing w:after="0" w:line="360" w:lineRule="auto"/>
        <w:ind w:firstLine="709"/>
        <w:jc w:val="both"/>
        <w:textAlignment w:val="baseline"/>
        <w:rPr>
          <w:rFonts w:ascii="Times New Roman" w:eastAsia="Calibri" w:hAnsi="Times New Roman" w:cs="Times New Roman"/>
          <w:iCs/>
          <w:kern w:val="2"/>
          <w14:ligatures w14:val="standardContextual"/>
        </w:rPr>
      </w:pPr>
      <w:r w:rsidRPr="00D274B8">
        <w:rPr>
          <w:rFonts w:ascii="Times New Roman" w:eastAsia="Times New Roman" w:hAnsi="Times New Roman" w:cs="Times New Roman"/>
          <w:b/>
          <w:iCs/>
          <w:color w:val="000000"/>
          <w:kern w:val="2"/>
          <w:lang w:eastAsia="ar-SA"/>
          <w14:ligatures w14:val="standardContextual"/>
        </w:rPr>
        <w:t xml:space="preserve">Крылов А.М., Научный руководитель: </w:t>
      </w:r>
      <w:r w:rsidRPr="00D274B8">
        <w:rPr>
          <w:rFonts w:ascii="Times New Roman" w:eastAsia="Times New Roman" w:hAnsi="Times New Roman" w:cs="Times New Roman"/>
          <w:b/>
          <w:iCs/>
          <w:kern w:val="2"/>
          <w14:ligatures w14:val="standardContextual"/>
        </w:rPr>
        <w:t xml:space="preserve">Калайдин Е.Н., </w:t>
      </w:r>
      <w:r w:rsidRPr="00D274B8">
        <w:rPr>
          <w:rFonts w:ascii="Times New Roman" w:eastAsia="Calibri" w:hAnsi="Times New Roman" w:cs="Times New Roman"/>
          <w:iCs/>
          <w:kern w:val="2"/>
          <w14:ligatures w14:val="standardContextual"/>
        </w:rPr>
        <w:t>Электронная коммерция и цифровой маркетинг: современные тенденции и эффективные стратегии</w:t>
      </w:r>
      <w:r w:rsidR="00CE1713" w:rsidRPr="00D274B8">
        <w:rPr>
          <w:rFonts w:ascii="Times New Roman" w:eastAsia="Calibri" w:hAnsi="Times New Roman" w:cs="Times New Roman"/>
          <w:iCs/>
          <w:kern w:val="2"/>
          <w14:ligatures w14:val="standardContextual"/>
        </w:rPr>
        <w:tab/>
      </w:r>
      <w:r w:rsidR="00ED3AAE">
        <w:rPr>
          <w:rFonts w:ascii="Times New Roman" w:eastAsia="Calibri" w:hAnsi="Times New Roman" w:cs="Times New Roman"/>
          <w:iCs/>
          <w:kern w:val="2"/>
          <w14:ligatures w14:val="standardContextual"/>
        </w:rPr>
        <w:t>448</w:t>
      </w:r>
    </w:p>
    <w:p w14:paraId="1EB903DE" w14:textId="226F7BCF" w:rsidR="00483D44" w:rsidRPr="00D274B8" w:rsidRDefault="00483D44" w:rsidP="00A11496">
      <w:pPr>
        <w:tabs>
          <w:tab w:val="left" w:pos="1276"/>
          <w:tab w:val="right" w:leader="dot" w:pos="9356"/>
        </w:tabs>
        <w:spacing w:after="0" w:line="360" w:lineRule="auto"/>
        <w:ind w:firstLine="709"/>
        <w:jc w:val="both"/>
        <w:rPr>
          <w:rFonts w:ascii="Times New Roman" w:eastAsia="Times New Roman" w:hAnsi="Times New Roman" w:cs="Times New Roman"/>
          <w:iCs/>
          <w:lang w:eastAsia="ru-RU"/>
        </w:rPr>
      </w:pPr>
      <w:r w:rsidRPr="00D274B8">
        <w:rPr>
          <w:rFonts w:ascii="Times New Roman" w:eastAsia="Times New Roman" w:hAnsi="Times New Roman" w:cs="Times New Roman"/>
          <w:b/>
          <w:iCs/>
          <w:lang w:eastAsia="ru-RU"/>
        </w:rPr>
        <w:t xml:space="preserve">Ларина А.Е., </w:t>
      </w:r>
      <w:r w:rsidRPr="00D274B8">
        <w:rPr>
          <w:rFonts w:ascii="Times New Roman" w:eastAsia="Calibri" w:hAnsi="Times New Roman" w:cs="Times New Roman"/>
          <w:b/>
          <w:iCs/>
          <w:lang w:eastAsia="ru-RU"/>
        </w:rPr>
        <w:t xml:space="preserve">Научный руководитель: Кирий В.А., </w:t>
      </w:r>
      <w:r w:rsidRPr="00D274B8">
        <w:rPr>
          <w:rFonts w:ascii="Times New Roman" w:eastAsia="Times New Roman" w:hAnsi="Times New Roman" w:cs="Times New Roman"/>
          <w:bCs/>
          <w:iCs/>
          <w:lang w:eastAsia="ru-RU"/>
        </w:rPr>
        <w:t>Изучение механизмов ценообразования на цифровые активы в виртуальных мирах</w:t>
      </w:r>
      <w:r w:rsidR="00CE1713" w:rsidRPr="00D274B8">
        <w:rPr>
          <w:rFonts w:ascii="Times New Roman" w:eastAsia="Times New Roman" w:hAnsi="Times New Roman" w:cs="Times New Roman"/>
          <w:bCs/>
          <w:iCs/>
          <w:lang w:eastAsia="ru-RU"/>
        </w:rPr>
        <w:tab/>
      </w:r>
      <w:r w:rsidR="00ED3AAE">
        <w:rPr>
          <w:rFonts w:ascii="Times New Roman" w:eastAsia="Times New Roman" w:hAnsi="Times New Roman" w:cs="Times New Roman"/>
          <w:bCs/>
          <w:iCs/>
          <w:lang w:eastAsia="ru-RU"/>
        </w:rPr>
        <w:t>454</w:t>
      </w:r>
    </w:p>
    <w:p w14:paraId="3AD6162B" w14:textId="76A65BF3" w:rsidR="00483D44" w:rsidRPr="00D274B8" w:rsidRDefault="00483D44" w:rsidP="00A11496">
      <w:pPr>
        <w:keepNext/>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Попова В.Д., Научный руководитель: Рощектаева У. Ю., </w:t>
      </w:r>
      <w:r w:rsidRPr="00D274B8">
        <w:rPr>
          <w:rFonts w:ascii="Times New Roman" w:eastAsia="Calibri" w:hAnsi="Times New Roman" w:cs="Times New Roman"/>
          <w:lang w:eastAsia="ru-RU"/>
        </w:rPr>
        <w:t>Оптимизация бизнес‑процессов на базе Business Intelligence‑решений</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460</w:t>
      </w:r>
    </w:p>
    <w:p w14:paraId="421D4424" w14:textId="7D726894" w:rsidR="00483D44" w:rsidRPr="00D274B8" w:rsidRDefault="00483D44" w:rsidP="00A11496">
      <w:pPr>
        <w:keepNext/>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Ситникова В.К., Научный руководитель: Нарыжная Н.Ю., </w:t>
      </w:r>
      <w:r w:rsidRPr="00D274B8">
        <w:rPr>
          <w:rFonts w:ascii="Times New Roman" w:eastAsia="Calibri" w:hAnsi="Times New Roman" w:cs="Times New Roman"/>
          <w:lang w:eastAsia="ru-RU"/>
        </w:rPr>
        <w:t>Электронная коммерция и изменения в потребительском поведении</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466</w:t>
      </w:r>
    </w:p>
    <w:p w14:paraId="77CBEEB8" w14:textId="70197B96" w:rsidR="00483D44" w:rsidRPr="00D274B8" w:rsidRDefault="00483D44" w:rsidP="00A11496">
      <w:pPr>
        <w:keepNext/>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 xml:space="preserve">Слепцов А.А., Научный руководитель: Нарыжная Н.Ю., </w:t>
      </w:r>
      <w:r w:rsidRPr="00D274B8">
        <w:rPr>
          <w:rFonts w:ascii="Times New Roman" w:eastAsia="Calibri" w:hAnsi="Times New Roman" w:cs="Times New Roman"/>
          <w:lang w:eastAsia="ru-RU"/>
        </w:rPr>
        <w:t>Особенности блокчейн-технологий, их роль и возможности в управлении данными</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473</w:t>
      </w:r>
    </w:p>
    <w:p w14:paraId="6591FA49" w14:textId="1D8C2A53" w:rsidR="00483D44" w:rsidRPr="00D274B8" w:rsidRDefault="00483D44" w:rsidP="00A11496">
      <w:pPr>
        <w:tabs>
          <w:tab w:val="right" w:leader="dot" w:pos="9356"/>
        </w:tabs>
        <w:spacing w:after="0" w:line="360" w:lineRule="auto"/>
        <w:ind w:firstLine="709"/>
        <w:jc w:val="both"/>
        <w:rPr>
          <w:rFonts w:ascii="Times New Roman" w:hAnsi="Times New Roman" w:cs="Times New Roman"/>
          <w:bCs/>
          <w:iCs/>
        </w:rPr>
      </w:pPr>
      <w:r w:rsidRPr="00D274B8">
        <w:rPr>
          <w:rFonts w:ascii="Times New Roman" w:hAnsi="Times New Roman" w:cs="Times New Roman"/>
          <w:b/>
          <w:iCs/>
          <w:color w:val="000000"/>
          <w:lang w:eastAsia="zh-CN"/>
        </w:rPr>
        <w:t xml:space="preserve">Уфимцева Е.А., </w:t>
      </w:r>
      <w:r w:rsidRPr="00D274B8">
        <w:rPr>
          <w:rFonts w:ascii="Times New Roman" w:eastAsia="Calibri" w:hAnsi="Times New Roman" w:cs="Times New Roman"/>
          <w:b/>
          <w:iCs/>
          <w:lang w:eastAsia="ru-RU"/>
        </w:rPr>
        <w:t>Научный руководитель:</w:t>
      </w:r>
      <w:r w:rsidRPr="00D274B8">
        <w:rPr>
          <w:rFonts w:ascii="Times New Roman" w:hAnsi="Times New Roman" w:cs="Times New Roman"/>
          <w:b/>
          <w:iCs/>
          <w:lang w:eastAsia="zh-CN"/>
        </w:rPr>
        <w:t xml:space="preserve"> Самойленкова В.А., </w:t>
      </w:r>
      <w:r w:rsidRPr="00D274B8">
        <w:rPr>
          <w:rFonts w:ascii="Times New Roman" w:hAnsi="Times New Roman" w:cs="Times New Roman"/>
          <w:bCs/>
          <w:iCs/>
        </w:rPr>
        <w:t>Анализ эффективности ERP-систем для малого и среднего бизнеса</w:t>
      </w:r>
      <w:r w:rsidR="00CE1713" w:rsidRPr="00D274B8">
        <w:rPr>
          <w:rFonts w:ascii="Times New Roman" w:hAnsi="Times New Roman" w:cs="Times New Roman"/>
          <w:bCs/>
          <w:iCs/>
        </w:rPr>
        <w:tab/>
      </w:r>
      <w:r w:rsidR="00ED3AAE">
        <w:rPr>
          <w:rFonts w:ascii="Times New Roman" w:hAnsi="Times New Roman" w:cs="Times New Roman"/>
          <w:bCs/>
          <w:iCs/>
        </w:rPr>
        <w:t>481</w:t>
      </w:r>
    </w:p>
    <w:p w14:paraId="2C3B9CA9" w14:textId="4D967A4C" w:rsidR="00483D44" w:rsidRPr="00D274B8" w:rsidRDefault="00483D44" w:rsidP="00A11496">
      <w:pPr>
        <w:keepNext/>
        <w:tabs>
          <w:tab w:val="right" w:leader="dot" w:pos="9356"/>
        </w:tabs>
        <w:spacing w:after="0" w:line="360" w:lineRule="auto"/>
        <w:ind w:firstLine="709"/>
        <w:jc w:val="both"/>
        <w:rPr>
          <w:rFonts w:ascii="Times New Roman" w:eastAsia="Calibri" w:hAnsi="Times New Roman" w:cs="Times New Roman"/>
          <w:lang w:eastAsia="ru-RU"/>
        </w:rPr>
      </w:pPr>
      <w:r w:rsidRPr="00D274B8">
        <w:rPr>
          <w:rFonts w:ascii="Times New Roman" w:eastAsia="Calibri" w:hAnsi="Times New Roman" w:cs="Times New Roman"/>
          <w:b/>
          <w:lang w:eastAsia="ru-RU"/>
        </w:rPr>
        <w:t>Карартинян Э.Р., Федоренко Р.В.,</w:t>
      </w:r>
      <w:r w:rsidRPr="00D274B8">
        <w:rPr>
          <w:rFonts w:ascii="Times New Roman" w:hAnsi="Times New Roman" w:cs="Times New Roman"/>
        </w:rPr>
        <w:t xml:space="preserve"> </w:t>
      </w:r>
      <w:r w:rsidRPr="00D274B8">
        <w:rPr>
          <w:rFonts w:ascii="Times New Roman" w:eastAsia="Calibri" w:hAnsi="Times New Roman" w:cs="Times New Roman"/>
          <w:b/>
          <w:lang w:eastAsia="ru-RU"/>
        </w:rPr>
        <w:t xml:space="preserve">Научный руководитель: Продолятченко П.А., </w:t>
      </w:r>
      <w:r w:rsidRPr="00D274B8">
        <w:rPr>
          <w:rFonts w:ascii="Times New Roman" w:eastAsia="Calibri" w:hAnsi="Times New Roman" w:cs="Times New Roman"/>
          <w:lang w:eastAsia="ru-RU"/>
        </w:rPr>
        <w:t>Угрозы и возможности для малого и среднего бизнеса в эпоху цифровизации в Российской Федерации</w:t>
      </w:r>
      <w:r w:rsidRPr="00D274B8">
        <w:rPr>
          <w:rFonts w:ascii="Times New Roman" w:eastAsia="Calibri" w:hAnsi="Times New Roman" w:cs="Times New Roman"/>
          <w:lang w:eastAsia="ru-RU"/>
        </w:rPr>
        <w:tab/>
      </w:r>
      <w:r w:rsidR="00ED3AAE">
        <w:rPr>
          <w:rFonts w:ascii="Times New Roman" w:eastAsia="Calibri" w:hAnsi="Times New Roman" w:cs="Times New Roman"/>
          <w:lang w:eastAsia="ru-RU"/>
        </w:rPr>
        <w:t>488</w:t>
      </w:r>
    </w:p>
    <w:p w14:paraId="05F5C695" w14:textId="71C69BFB" w:rsidR="00483D44" w:rsidRPr="00D274B8" w:rsidRDefault="00483D44" w:rsidP="00A11496">
      <w:pPr>
        <w:tabs>
          <w:tab w:val="right" w:leader="dot" w:pos="9356"/>
        </w:tabs>
        <w:spacing w:after="0" w:line="360" w:lineRule="auto"/>
        <w:ind w:firstLine="709"/>
        <w:contextualSpacing/>
        <w:jc w:val="both"/>
        <w:rPr>
          <w:rFonts w:ascii="Times New Roman" w:eastAsia="Calibri" w:hAnsi="Times New Roman" w:cs="Times New Roman"/>
          <w:bCs/>
          <w:iCs/>
        </w:rPr>
      </w:pPr>
      <w:r w:rsidRPr="00D274B8">
        <w:rPr>
          <w:rFonts w:ascii="Times New Roman" w:eastAsia="Calibri" w:hAnsi="Times New Roman" w:cs="Times New Roman"/>
          <w:b/>
          <w:iCs/>
        </w:rPr>
        <w:t xml:space="preserve">Шепелева К.А., </w:t>
      </w:r>
      <w:r w:rsidRPr="00D274B8">
        <w:rPr>
          <w:rFonts w:ascii="Times New Roman" w:eastAsia="Calibri" w:hAnsi="Times New Roman" w:cs="Times New Roman"/>
          <w:b/>
          <w:iCs/>
          <w:lang w:eastAsia="ru-RU"/>
        </w:rPr>
        <w:t xml:space="preserve">Научный руководитель: </w:t>
      </w:r>
      <w:r w:rsidRPr="00D274B8">
        <w:rPr>
          <w:rFonts w:ascii="Times New Roman" w:eastAsia="Calibri" w:hAnsi="Times New Roman" w:cs="Times New Roman"/>
          <w:b/>
          <w:iCs/>
        </w:rPr>
        <w:t>Васкевич Т.В.</w:t>
      </w:r>
      <w:proofErr w:type="gramStart"/>
      <w:r w:rsidRPr="00D274B8">
        <w:rPr>
          <w:rFonts w:ascii="Times New Roman" w:eastAsia="Calibri" w:hAnsi="Times New Roman" w:cs="Times New Roman"/>
          <w:b/>
          <w:iCs/>
        </w:rPr>
        <w:t xml:space="preserve">, </w:t>
      </w:r>
      <w:r w:rsidRPr="00D274B8">
        <w:rPr>
          <w:rFonts w:ascii="Times New Roman" w:eastAsia="Calibri" w:hAnsi="Times New Roman" w:cs="Times New Roman"/>
          <w:bCs/>
          <w:iCs/>
        </w:rPr>
        <w:t>От</w:t>
      </w:r>
      <w:proofErr w:type="gramEnd"/>
      <w:r w:rsidRPr="00D274B8">
        <w:rPr>
          <w:rFonts w:ascii="Times New Roman" w:eastAsia="Calibri" w:hAnsi="Times New Roman" w:cs="Times New Roman"/>
          <w:bCs/>
          <w:iCs/>
        </w:rPr>
        <w:t xml:space="preserve"> данных к хиту: прогнозирование популярности музыкальных треков с помощью </w:t>
      </w:r>
      <w:r w:rsidRPr="00D274B8">
        <w:rPr>
          <w:rFonts w:ascii="Times New Roman" w:eastAsia="Calibri" w:hAnsi="Times New Roman" w:cs="Times New Roman"/>
          <w:bCs/>
          <w:iCs/>
          <w:lang w:val="en-US"/>
        </w:rPr>
        <w:t>ML</w:t>
      </w:r>
      <w:r w:rsidRPr="00D274B8">
        <w:rPr>
          <w:rFonts w:ascii="Times New Roman" w:eastAsia="Calibri" w:hAnsi="Times New Roman" w:cs="Times New Roman"/>
          <w:bCs/>
          <w:iCs/>
        </w:rPr>
        <w:t xml:space="preserve"> и анализа аудио-признаков</w:t>
      </w:r>
      <w:r w:rsidR="00CE1713" w:rsidRPr="00D274B8">
        <w:rPr>
          <w:rFonts w:ascii="Times New Roman" w:eastAsia="Calibri" w:hAnsi="Times New Roman" w:cs="Times New Roman"/>
          <w:bCs/>
          <w:iCs/>
        </w:rPr>
        <w:tab/>
      </w:r>
      <w:r w:rsidR="00ED3AAE">
        <w:rPr>
          <w:rFonts w:ascii="Times New Roman" w:eastAsia="Calibri" w:hAnsi="Times New Roman" w:cs="Times New Roman"/>
          <w:bCs/>
          <w:iCs/>
        </w:rPr>
        <w:t>496</w:t>
      </w:r>
    </w:p>
    <w:p w14:paraId="40CFE4AC" w14:textId="3E50D70E" w:rsidR="00817CB0" w:rsidRDefault="00817CB0">
      <w:pPr>
        <w:rPr>
          <w:rFonts w:ascii="Times New Roman" w:eastAsia="Calibri" w:hAnsi="Times New Roman" w:cs="Times New Roman"/>
          <w:b/>
          <w:iCs/>
        </w:rPr>
      </w:pPr>
      <w:r>
        <w:rPr>
          <w:rFonts w:ascii="Times New Roman" w:eastAsia="Calibri" w:hAnsi="Times New Roman" w:cs="Times New Roman"/>
          <w:b/>
          <w:iCs/>
        </w:rPr>
        <w:br w:type="page"/>
      </w:r>
    </w:p>
    <w:p w14:paraId="02846A36" w14:textId="279FB18F" w:rsidR="00483D44" w:rsidRPr="00D274B8" w:rsidRDefault="00483D44" w:rsidP="0055454C">
      <w:pPr>
        <w:keepNext/>
        <w:keepLines/>
        <w:tabs>
          <w:tab w:val="right" w:leader="dot" w:pos="9356"/>
        </w:tabs>
        <w:spacing w:after="0" w:line="240" w:lineRule="auto"/>
        <w:ind w:firstLine="709"/>
        <w:jc w:val="both"/>
        <w:rPr>
          <w:rFonts w:ascii="Times New Roman" w:hAnsi="Times New Roman" w:cs="Times New Roman"/>
          <w:b/>
          <w:bCs/>
        </w:rPr>
      </w:pPr>
      <w:r w:rsidRPr="00D274B8">
        <w:rPr>
          <w:rFonts w:ascii="Times New Roman" w:hAnsi="Times New Roman" w:cs="Times New Roman"/>
          <w:b/>
          <w:bCs/>
        </w:rPr>
        <w:lastRenderedPageBreak/>
        <w:t>РАЗДЕЛ 5. ИНФОРМАЦИОННАЯ БЕЗОПАСНОСТЬ И ИНФОРМАЦИОННОЕ ВЗАИМОДЕЙСТВИЕ</w:t>
      </w:r>
      <w:r w:rsidR="0055454C" w:rsidRPr="00D274B8">
        <w:rPr>
          <w:rFonts w:ascii="Times New Roman" w:hAnsi="Times New Roman" w:cs="Times New Roman"/>
          <w:b/>
          <w:bCs/>
        </w:rPr>
        <w:tab/>
      </w:r>
      <w:r w:rsidR="00ED3AAE">
        <w:rPr>
          <w:rFonts w:ascii="Times New Roman" w:hAnsi="Times New Roman" w:cs="Times New Roman"/>
          <w:b/>
          <w:bCs/>
        </w:rPr>
        <w:t>508</w:t>
      </w:r>
    </w:p>
    <w:p w14:paraId="2CEB5749" w14:textId="77777777" w:rsidR="00483D44" w:rsidRPr="00D274B8" w:rsidRDefault="00483D44" w:rsidP="0055454C">
      <w:pPr>
        <w:keepNext/>
        <w:keepLines/>
        <w:tabs>
          <w:tab w:val="right" w:leader="dot" w:pos="9356"/>
        </w:tabs>
        <w:spacing w:after="0" w:line="240" w:lineRule="auto"/>
        <w:ind w:firstLine="709"/>
        <w:jc w:val="both"/>
        <w:rPr>
          <w:rFonts w:ascii="Times New Roman" w:hAnsi="Times New Roman" w:cs="Times New Roman"/>
          <w:b/>
          <w:bCs/>
        </w:rPr>
      </w:pPr>
    </w:p>
    <w:p w14:paraId="5B8051CE" w14:textId="25E6565D" w:rsidR="00483D44" w:rsidRPr="00D274B8" w:rsidRDefault="00483D44" w:rsidP="0055454C">
      <w:pPr>
        <w:tabs>
          <w:tab w:val="right" w:leader="dot" w:pos="9356"/>
        </w:tabs>
        <w:spacing w:after="0" w:line="360" w:lineRule="auto"/>
        <w:ind w:firstLine="709"/>
        <w:jc w:val="both"/>
        <w:rPr>
          <w:rFonts w:ascii="Times New Roman" w:eastAsia="Times New Roman" w:hAnsi="Times New Roman" w:cs="Times New Roman"/>
          <w:color w:val="000000"/>
        </w:rPr>
      </w:pPr>
      <w:r w:rsidRPr="00D274B8">
        <w:rPr>
          <w:rFonts w:ascii="Times New Roman" w:eastAsia="Times New Roman" w:hAnsi="Times New Roman" w:cs="Times New Roman"/>
          <w:b/>
          <w:bCs/>
        </w:rPr>
        <w:t xml:space="preserve">Бармина Н.М., </w:t>
      </w:r>
      <w:r w:rsidRPr="00D274B8">
        <w:rPr>
          <w:rFonts w:ascii="Times New Roman" w:eastAsia="Calibri" w:hAnsi="Times New Roman" w:cs="Times New Roman"/>
          <w:b/>
          <w:lang w:eastAsia="ru-RU"/>
        </w:rPr>
        <w:t>Научный руководитель:</w:t>
      </w:r>
      <w:r w:rsidRPr="00D274B8">
        <w:rPr>
          <w:rFonts w:ascii="Times New Roman" w:eastAsia="Times New Roman" w:hAnsi="Times New Roman" w:cs="Times New Roman"/>
          <w:b/>
          <w:bCs/>
        </w:rPr>
        <w:t xml:space="preserve"> Франциско О.Ю.,</w:t>
      </w:r>
      <w:r w:rsidRPr="00D274B8">
        <w:rPr>
          <w:rFonts w:ascii="Times New Roman" w:eastAsia="Times New Roman" w:hAnsi="Times New Roman" w:cs="Times New Roman"/>
        </w:rPr>
        <w:t xml:space="preserve"> </w:t>
      </w:r>
      <w:r w:rsidRPr="00D274B8">
        <w:rPr>
          <w:rFonts w:ascii="Times New Roman" w:eastAsia="Times New Roman" w:hAnsi="Times New Roman" w:cs="Times New Roman"/>
          <w:color w:val="000000"/>
        </w:rPr>
        <w:t>Анализ эффективности алгоритмов машинного обучения для прогнозирования цен на недвижимость</w:t>
      </w:r>
      <w:r w:rsidR="0055454C" w:rsidRPr="00D274B8">
        <w:rPr>
          <w:rFonts w:ascii="Times New Roman" w:eastAsia="Times New Roman" w:hAnsi="Times New Roman" w:cs="Times New Roman"/>
          <w:color w:val="000000"/>
        </w:rPr>
        <w:tab/>
      </w:r>
      <w:r w:rsidR="00ED3AAE">
        <w:rPr>
          <w:rFonts w:ascii="Times New Roman" w:eastAsia="Times New Roman" w:hAnsi="Times New Roman" w:cs="Times New Roman"/>
          <w:color w:val="000000"/>
        </w:rPr>
        <w:t>508</w:t>
      </w:r>
    </w:p>
    <w:p w14:paraId="64CF24D9" w14:textId="72F87526" w:rsidR="00483D44" w:rsidRPr="00D274B8" w:rsidRDefault="00483D44" w:rsidP="0055454C">
      <w:pPr>
        <w:tabs>
          <w:tab w:val="right" w:leader="dot" w:pos="9356"/>
        </w:tabs>
        <w:spacing w:after="0" w:line="360" w:lineRule="auto"/>
        <w:ind w:firstLine="709"/>
        <w:jc w:val="both"/>
        <w:rPr>
          <w:rFonts w:ascii="Times New Roman" w:eastAsia="Calibri" w:hAnsi="Times New Roman" w:cs="Times New Roman"/>
        </w:rPr>
      </w:pPr>
      <w:r w:rsidRPr="00D274B8">
        <w:rPr>
          <w:rFonts w:ascii="Times New Roman" w:eastAsia="Calibri" w:hAnsi="Times New Roman" w:cs="Times New Roman"/>
          <w:b/>
          <w:bCs/>
        </w:rPr>
        <w:t xml:space="preserve">Белкин А. Е.,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Calibri" w:hAnsi="Times New Roman" w:cs="Times New Roman"/>
        </w:rPr>
        <w:t>Анализ потребительского поведения на основе данных о покупках</w:t>
      </w:r>
      <w:r w:rsidR="0055454C" w:rsidRPr="00D274B8">
        <w:rPr>
          <w:rFonts w:ascii="Times New Roman" w:eastAsia="Calibri" w:hAnsi="Times New Roman" w:cs="Times New Roman"/>
        </w:rPr>
        <w:tab/>
      </w:r>
      <w:r w:rsidR="00ED3AAE">
        <w:rPr>
          <w:rFonts w:ascii="Times New Roman" w:eastAsia="Calibri" w:hAnsi="Times New Roman" w:cs="Times New Roman"/>
        </w:rPr>
        <w:t>512</w:t>
      </w:r>
    </w:p>
    <w:p w14:paraId="79C590F0" w14:textId="19C892D4" w:rsidR="00483D44" w:rsidRPr="00D274B8" w:rsidRDefault="00483D44" w:rsidP="0055454C">
      <w:pPr>
        <w:tabs>
          <w:tab w:val="right" w:leader="dot" w:pos="9356"/>
        </w:tabs>
        <w:spacing w:after="0" w:line="360" w:lineRule="auto"/>
        <w:ind w:firstLine="709"/>
        <w:jc w:val="both"/>
        <w:rPr>
          <w:rFonts w:ascii="Times New Roman" w:eastAsia="Calibri" w:hAnsi="Times New Roman" w:cs="Times New Roman"/>
          <w:bCs/>
        </w:rPr>
      </w:pPr>
      <w:r w:rsidRPr="00D274B8">
        <w:rPr>
          <w:rFonts w:ascii="Times New Roman" w:eastAsia="Calibri" w:hAnsi="Times New Roman" w:cs="Times New Roman"/>
          <w:b/>
        </w:rPr>
        <w:t xml:space="preserve">Береговая О.С., </w:t>
      </w:r>
      <w:r w:rsidRPr="00D274B8">
        <w:rPr>
          <w:rFonts w:ascii="Times New Roman" w:eastAsia="Calibri" w:hAnsi="Times New Roman" w:cs="Times New Roman"/>
          <w:b/>
          <w:lang w:eastAsia="ru-RU"/>
        </w:rPr>
        <w:t xml:space="preserve">Научный руководитель: Молчан А.С., </w:t>
      </w:r>
      <w:r w:rsidRPr="00D274B8">
        <w:rPr>
          <w:rFonts w:ascii="Times New Roman" w:eastAsia="Calibri" w:hAnsi="Times New Roman" w:cs="Times New Roman"/>
          <w:bCs/>
        </w:rPr>
        <w:t>Моделирование эпидемий: SIR-модель и её реализация</w:t>
      </w:r>
      <w:r w:rsidR="0055454C" w:rsidRPr="00D274B8">
        <w:rPr>
          <w:rFonts w:ascii="Times New Roman" w:eastAsia="Calibri" w:hAnsi="Times New Roman" w:cs="Times New Roman"/>
          <w:bCs/>
        </w:rPr>
        <w:tab/>
      </w:r>
      <w:r w:rsidR="00ED3AAE">
        <w:rPr>
          <w:rFonts w:ascii="Times New Roman" w:eastAsia="Calibri" w:hAnsi="Times New Roman" w:cs="Times New Roman"/>
          <w:bCs/>
        </w:rPr>
        <w:t>516</w:t>
      </w:r>
    </w:p>
    <w:p w14:paraId="2B564DE9" w14:textId="7416F309" w:rsidR="00483D44" w:rsidRPr="00D274B8" w:rsidRDefault="00483D44" w:rsidP="0055454C">
      <w:pPr>
        <w:tabs>
          <w:tab w:val="right" w:leader="dot" w:pos="9356"/>
        </w:tabs>
        <w:spacing w:after="0" w:line="360" w:lineRule="auto"/>
        <w:ind w:firstLine="709"/>
        <w:contextualSpacing/>
        <w:jc w:val="both"/>
        <w:rPr>
          <w:rFonts w:ascii="Times New Roman" w:eastAsia="Times New Roman" w:hAnsi="Times New Roman" w:cs="Times New Roman"/>
          <w:bCs/>
        </w:rPr>
      </w:pPr>
      <w:r w:rsidRPr="00D274B8">
        <w:rPr>
          <w:rFonts w:ascii="Times New Roman" w:eastAsia="Times New Roman" w:hAnsi="Times New Roman" w:cs="Times New Roman"/>
          <w:b/>
          <w:color w:val="000000"/>
        </w:rPr>
        <w:t xml:space="preserve">Брацыхин А.Ф., </w:t>
      </w:r>
      <w:r w:rsidRPr="00D274B8">
        <w:rPr>
          <w:rFonts w:ascii="Times New Roman" w:eastAsia="Calibri" w:hAnsi="Times New Roman" w:cs="Times New Roman"/>
          <w:b/>
          <w:lang w:eastAsia="ru-RU"/>
        </w:rPr>
        <w:t xml:space="preserve">Научный руководитель: Арефьева С.А., </w:t>
      </w:r>
      <w:r w:rsidRPr="00D274B8">
        <w:rPr>
          <w:rFonts w:ascii="Times New Roman" w:eastAsia="Times New Roman" w:hAnsi="Times New Roman" w:cs="Times New Roman"/>
          <w:bCs/>
        </w:rPr>
        <w:t>Безопасность и надежность искусственных нейронных сетей: современные подходы</w:t>
      </w:r>
      <w:r w:rsidR="0055454C" w:rsidRPr="00D274B8">
        <w:rPr>
          <w:rFonts w:ascii="Times New Roman" w:eastAsia="Times New Roman" w:hAnsi="Times New Roman" w:cs="Times New Roman"/>
          <w:bCs/>
        </w:rPr>
        <w:tab/>
      </w:r>
      <w:r w:rsidR="00ED3AAE">
        <w:rPr>
          <w:rFonts w:ascii="Times New Roman" w:eastAsia="Times New Roman" w:hAnsi="Times New Roman" w:cs="Times New Roman"/>
          <w:bCs/>
        </w:rPr>
        <w:t>521</w:t>
      </w:r>
    </w:p>
    <w:p w14:paraId="28F7ADE6" w14:textId="42FEC1E1" w:rsidR="00483D44" w:rsidRPr="00D274B8" w:rsidRDefault="00483D44" w:rsidP="0055454C">
      <w:pPr>
        <w:tabs>
          <w:tab w:val="right" w:leader="dot" w:pos="9356"/>
        </w:tabs>
        <w:spacing w:after="0" w:line="360" w:lineRule="auto"/>
        <w:ind w:firstLine="709"/>
        <w:contextualSpacing/>
        <w:jc w:val="both"/>
        <w:rPr>
          <w:rFonts w:ascii="Times New Roman" w:eastAsia="Calibri" w:hAnsi="Times New Roman" w:cs="Times New Roman"/>
          <w:bCs/>
          <w:color w:val="000000"/>
        </w:rPr>
      </w:pPr>
      <w:r w:rsidRPr="00D274B8">
        <w:rPr>
          <w:rFonts w:ascii="Times New Roman" w:eastAsia="Calibri" w:hAnsi="Times New Roman" w:cs="Times New Roman"/>
          <w:b/>
          <w:color w:val="000000"/>
        </w:rPr>
        <w:t xml:space="preserve">Вилисов П.Ю., </w:t>
      </w:r>
      <w:r w:rsidRPr="00D274B8">
        <w:rPr>
          <w:rFonts w:ascii="Times New Roman" w:eastAsia="Calibri" w:hAnsi="Times New Roman" w:cs="Times New Roman"/>
          <w:b/>
          <w:lang w:eastAsia="ru-RU"/>
        </w:rPr>
        <w:t xml:space="preserve">Научный руководитель: Ищенко О.В., </w:t>
      </w:r>
      <w:r w:rsidRPr="00D274B8">
        <w:rPr>
          <w:rFonts w:ascii="Times New Roman" w:eastAsia="Calibri" w:hAnsi="Times New Roman" w:cs="Times New Roman"/>
          <w:bCs/>
          <w:color w:val="000000"/>
        </w:rPr>
        <w:t>Генерация контента при помощи искусственного интеллекта: угроза для копирайтеров или новые возможности?</w:t>
      </w:r>
      <w:r w:rsidR="0055454C" w:rsidRPr="00D274B8">
        <w:rPr>
          <w:rFonts w:ascii="Times New Roman" w:eastAsia="Calibri" w:hAnsi="Times New Roman" w:cs="Times New Roman"/>
          <w:bCs/>
          <w:color w:val="000000"/>
        </w:rPr>
        <w:tab/>
      </w:r>
      <w:r w:rsidR="00ED3AAE">
        <w:rPr>
          <w:rFonts w:ascii="Times New Roman" w:eastAsia="Calibri" w:hAnsi="Times New Roman" w:cs="Times New Roman"/>
          <w:bCs/>
          <w:color w:val="000000"/>
        </w:rPr>
        <w:t>527</w:t>
      </w:r>
    </w:p>
    <w:p w14:paraId="40D72A9E" w14:textId="4B5075AB" w:rsidR="00483D44" w:rsidRPr="00D274B8" w:rsidRDefault="00483D44" w:rsidP="0055454C">
      <w:pPr>
        <w:tabs>
          <w:tab w:val="left" w:pos="851"/>
          <w:tab w:val="left" w:pos="993"/>
          <w:tab w:val="left" w:pos="4320"/>
          <w:tab w:val="right" w:leader="dot" w:pos="9356"/>
        </w:tabs>
        <w:spacing w:after="0" w:line="360" w:lineRule="auto"/>
        <w:ind w:firstLine="709"/>
        <w:jc w:val="both"/>
        <w:rPr>
          <w:rFonts w:ascii="Times New Roman" w:eastAsia="Times New Roman" w:hAnsi="Times New Roman" w:cs="Times New Roman"/>
          <w:b/>
          <w:bCs/>
        </w:rPr>
      </w:pPr>
      <w:r w:rsidRPr="00D274B8">
        <w:rPr>
          <w:rFonts w:ascii="Times New Roman" w:eastAsia="Times New Roman" w:hAnsi="Times New Roman" w:cs="Times New Roman"/>
          <w:b/>
          <w:color w:val="000000"/>
          <w:lang w:eastAsia="ar-SA"/>
        </w:rPr>
        <w:t xml:space="preserve">Дужак В.К., </w:t>
      </w:r>
      <w:r w:rsidRPr="00D274B8">
        <w:rPr>
          <w:rFonts w:ascii="Times New Roman" w:eastAsia="Calibri" w:hAnsi="Times New Roman" w:cs="Times New Roman"/>
          <w:b/>
          <w:lang w:eastAsia="ru-RU"/>
        </w:rPr>
        <w:t xml:space="preserve">Научный руководитель: Дюдин М.С., </w:t>
      </w:r>
      <w:r w:rsidRPr="00D274B8">
        <w:rPr>
          <w:rFonts w:ascii="Times New Roman" w:eastAsia="Times New Roman" w:hAnsi="Times New Roman" w:cs="Times New Roman"/>
        </w:rPr>
        <w:t>Использование искусственного интеллекта для прогнозирования уязвимостей в информационных сетях</w:t>
      </w:r>
      <w:r w:rsidR="0055454C" w:rsidRPr="00D274B8">
        <w:rPr>
          <w:rFonts w:ascii="Times New Roman" w:eastAsia="Times New Roman" w:hAnsi="Times New Roman" w:cs="Times New Roman"/>
        </w:rPr>
        <w:tab/>
      </w:r>
      <w:r w:rsidR="00ED3AAE">
        <w:rPr>
          <w:rFonts w:ascii="Times New Roman" w:eastAsia="Times New Roman" w:hAnsi="Times New Roman" w:cs="Times New Roman"/>
        </w:rPr>
        <w:t>532</w:t>
      </w:r>
    </w:p>
    <w:p w14:paraId="198AD5FA" w14:textId="10382021" w:rsidR="00483D44" w:rsidRPr="00D274B8" w:rsidRDefault="00483D44" w:rsidP="0055454C">
      <w:pPr>
        <w:tabs>
          <w:tab w:val="left" w:pos="1276"/>
          <w:tab w:val="right" w:leader="dot" w:pos="9356"/>
        </w:tabs>
        <w:spacing w:after="0" w:line="360" w:lineRule="auto"/>
        <w:ind w:right="182" w:firstLine="709"/>
        <w:jc w:val="both"/>
        <w:rPr>
          <w:rFonts w:ascii="Times New Roman" w:eastAsia="Times New Roman" w:hAnsi="Times New Roman" w:cs="Times New Roman"/>
          <w:bCs/>
          <w:color w:val="000000"/>
          <w:lang w:val="az-Cyrl-AZ" w:eastAsia="ru-RU"/>
        </w:rPr>
      </w:pPr>
      <w:r w:rsidRPr="00D274B8">
        <w:rPr>
          <w:rFonts w:ascii="Times New Roman" w:eastAsia="Times New Roman" w:hAnsi="Times New Roman" w:cs="Times New Roman"/>
          <w:b/>
          <w:color w:val="000000"/>
          <w:lang w:eastAsia="ru-RU"/>
        </w:rPr>
        <w:t xml:space="preserve">Злобина С.С.,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Times New Roman" w:hAnsi="Times New Roman" w:cs="Times New Roman"/>
          <w:bCs/>
          <w:color w:val="000000"/>
          <w:lang w:eastAsia="ru-RU"/>
        </w:rPr>
        <w:t xml:space="preserve">Создание онлайн-формата для спортивной школы: </w:t>
      </w:r>
      <w:r w:rsidRPr="00D274B8">
        <w:rPr>
          <w:rFonts w:ascii="Times New Roman" w:eastAsia="Times New Roman" w:hAnsi="Times New Roman" w:cs="Times New Roman"/>
          <w:bCs/>
          <w:color w:val="000000"/>
          <w:lang w:val="az-Cyrl-AZ" w:eastAsia="ru-RU"/>
        </w:rPr>
        <w:t>электронный дневник как ключевая возможность</w:t>
      </w:r>
      <w:r w:rsidR="0055454C" w:rsidRPr="00D274B8">
        <w:rPr>
          <w:rFonts w:ascii="Times New Roman" w:eastAsia="Times New Roman" w:hAnsi="Times New Roman" w:cs="Times New Roman"/>
          <w:bCs/>
          <w:color w:val="000000"/>
          <w:lang w:val="az-Cyrl-AZ" w:eastAsia="ru-RU"/>
        </w:rPr>
        <w:tab/>
      </w:r>
      <w:r w:rsidR="00ED3AAE">
        <w:rPr>
          <w:rFonts w:ascii="Times New Roman" w:eastAsia="Times New Roman" w:hAnsi="Times New Roman" w:cs="Times New Roman"/>
          <w:bCs/>
          <w:color w:val="000000"/>
          <w:lang w:val="az-Cyrl-AZ" w:eastAsia="ru-RU"/>
        </w:rPr>
        <w:t>536</w:t>
      </w:r>
    </w:p>
    <w:p w14:paraId="7E3FA4D8" w14:textId="2E9311C4" w:rsidR="00483D44" w:rsidRPr="00D274B8" w:rsidRDefault="00483D44" w:rsidP="0055454C">
      <w:pPr>
        <w:tabs>
          <w:tab w:val="right" w:leader="dot" w:pos="9356"/>
        </w:tabs>
        <w:spacing w:after="0" w:line="360" w:lineRule="auto"/>
        <w:ind w:firstLine="709"/>
        <w:jc w:val="both"/>
        <w:rPr>
          <w:rFonts w:ascii="Times New Roman" w:eastAsia="Times New Roman" w:hAnsi="Times New Roman" w:cs="Times New Roman"/>
          <w:bCs/>
          <w:lang w:eastAsia="ru-RU"/>
        </w:rPr>
      </w:pPr>
      <w:r w:rsidRPr="00D274B8">
        <w:rPr>
          <w:rFonts w:ascii="Times New Roman" w:eastAsia="Calibri" w:hAnsi="Times New Roman" w:cs="Times New Roman"/>
          <w:b/>
          <w:bCs/>
        </w:rPr>
        <w:t xml:space="preserve">Злыднева М.С., </w:t>
      </w:r>
      <w:r w:rsidRPr="00D274B8">
        <w:rPr>
          <w:rFonts w:ascii="Times New Roman" w:eastAsia="Calibri" w:hAnsi="Times New Roman" w:cs="Times New Roman"/>
          <w:b/>
          <w:lang w:eastAsia="ru-RU"/>
        </w:rPr>
        <w:t xml:space="preserve">Научный руководитель: </w:t>
      </w:r>
      <w:r w:rsidRPr="00D274B8">
        <w:rPr>
          <w:rFonts w:ascii="Times New Roman" w:eastAsia="Calibri" w:hAnsi="Times New Roman" w:cs="Times New Roman"/>
          <w:b/>
        </w:rPr>
        <w:t xml:space="preserve">Васкевич Т.В., </w:t>
      </w:r>
      <w:r w:rsidRPr="00D274B8">
        <w:rPr>
          <w:rFonts w:ascii="Times New Roman" w:eastAsia="Times New Roman" w:hAnsi="Times New Roman" w:cs="Times New Roman"/>
          <w:bCs/>
          <w:lang w:eastAsia="ru-RU"/>
        </w:rPr>
        <w:t>Внедрение систем бизнес-аналитики для управления банком: применение BI-систем для анализа финансовых показателей</w:t>
      </w:r>
      <w:r w:rsidR="0055454C" w:rsidRPr="00D274B8">
        <w:rPr>
          <w:rFonts w:ascii="Times New Roman" w:eastAsia="Times New Roman" w:hAnsi="Times New Roman" w:cs="Times New Roman"/>
          <w:bCs/>
          <w:lang w:eastAsia="ru-RU"/>
        </w:rPr>
        <w:tab/>
      </w:r>
      <w:r w:rsidR="00ED3AAE">
        <w:rPr>
          <w:rFonts w:ascii="Times New Roman" w:eastAsia="Times New Roman" w:hAnsi="Times New Roman" w:cs="Times New Roman"/>
          <w:bCs/>
          <w:lang w:eastAsia="ru-RU"/>
        </w:rPr>
        <w:t>.544</w:t>
      </w:r>
    </w:p>
    <w:p w14:paraId="6AA3E82E" w14:textId="3BDD73CA" w:rsidR="00483D44" w:rsidRPr="00D274B8" w:rsidRDefault="00483D44" w:rsidP="0055454C">
      <w:pPr>
        <w:tabs>
          <w:tab w:val="right" w:leader="dot" w:pos="9356"/>
        </w:tabs>
        <w:spacing w:after="0" w:line="360" w:lineRule="auto"/>
        <w:ind w:firstLine="709"/>
        <w:jc w:val="both"/>
        <w:rPr>
          <w:rFonts w:ascii="Times New Roman" w:eastAsia="Aptos" w:hAnsi="Times New Roman" w:cs="Times New Roman"/>
        </w:rPr>
      </w:pPr>
      <w:r w:rsidRPr="00D274B8">
        <w:rPr>
          <w:rFonts w:ascii="Times New Roman" w:eastAsia="Aptos" w:hAnsi="Times New Roman" w:cs="Times New Roman"/>
          <w:b/>
          <w:bCs/>
        </w:rPr>
        <w:t xml:space="preserve">Ибрагимов А. М.,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Aptos" w:hAnsi="Times New Roman" w:cs="Times New Roman"/>
        </w:rPr>
        <w:t>Оптимизация бизнес-процессов на основе системного анализа</w:t>
      </w:r>
      <w:r w:rsidR="0055454C" w:rsidRPr="00D274B8">
        <w:rPr>
          <w:rFonts w:ascii="Times New Roman" w:eastAsia="Aptos" w:hAnsi="Times New Roman" w:cs="Times New Roman"/>
        </w:rPr>
        <w:tab/>
      </w:r>
      <w:r w:rsidR="00ED3AAE">
        <w:rPr>
          <w:rFonts w:ascii="Times New Roman" w:eastAsia="Aptos" w:hAnsi="Times New Roman" w:cs="Times New Roman"/>
        </w:rPr>
        <w:t>555</w:t>
      </w:r>
    </w:p>
    <w:p w14:paraId="2D0F1457" w14:textId="687690DF" w:rsidR="00483D44" w:rsidRDefault="00483D44" w:rsidP="0055454C">
      <w:pPr>
        <w:shd w:val="clear" w:color="auto" w:fill="FCFCFC"/>
        <w:tabs>
          <w:tab w:val="right" w:leader="dot" w:pos="9356"/>
        </w:tabs>
        <w:suppressAutoHyphens/>
        <w:spacing w:after="0" w:line="360" w:lineRule="auto"/>
        <w:ind w:firstLine="709"/>
        <w:jc w:val="both"/>
        <w:rPr>
          <w:rFonts w:ascii="Times New Roman" w:eastAsia="Arial Unicode MS" w:hAnsi="Times New Roman" w:cs="Times New Roman"/>
          <w:lang w:eastAsia="ru-RU"/>
        </w:rPr>
      </w:pPr>
      <w:r w:rsidRPr="00D274B8">
        <w:rPr>
          <w:rFonts w:ascii="Times New Roman" w:eastAsia="Times New Roman" w:hAnsi="Times New Roman" w:cs="Times New Roman"/>
          <w:b/>
          <w:bCs/>
        </w:rPr>
        <w:t xml:space="preserve">Изотова О.Н., </w:t>
      </w:r>
      <w:r w:rsidRPr="00D274B8">
        <w:rPr>
          <w:rFonts w:ascii="Times New Roman" w:eastAsia="Calibri" w:hAnsi="Times New Roman" w:cs="Times New Roman"/>
          <w:b/>
          <w:lang w:eastAsia="ru-RU"/>
        </w:rPr>
        <w:t xml:space="preserve">Научный руководитель: Калайдин Е.Н., </w:t>
      </w:r>
      <w:r w:rsidRPr="00D274B8">
        <w:rPr>
          <w:rFonts w:ascii="Times New Roman" w:eastAsia="Arial Unicode MS" w:hAnsi="Times New Roman" w:cs="Times New Roman"/>
          <w:lang w:eastAsia="ru-RU"/>
        </w:rPr>
        <w:t>Алгоритм преодоления прокрастинации в современной образовательной системе</w:t>
      </w:r>
      <w:r w:rsidR="0055454C" w:rsidRPr="00D274B8">
        <w:rPr>
          <w:rFonts w:ascii="Times New Roman" w:eastAsia="Arial Unicode MS" w:hAnsi="Times New Roman" w:cs="Times New Roman"/>
          <w:lang w:eastAsia="ru-RU"/>
        </w:rPr>
        <w:tab/>
      </w:r>
      <w:r w:rsidR="006863F2">
        <w:rPr>
          <w:rFonts w:ascii="Times New Roman" w:eastAsia="Arial Unicode MS" w:hAnsi="Times New Roman" w:cs="Times New Roman"/>
          <w:lang w:eastAsia="ru-RU"/>
        </w:rPr>
        <w:t>559</w:t>
      </w:r>
    </w:p>
    <w:p w14:paraId="27A0ACD4" w14:textId="568B6549" w:rsidR="006863F2" w:rsidRPr="00D274B8" w:rsidRDefault="006863F2" w:rsidP="006863F2">
      <w:pPr>
        <w:shd w:val="clear" w:color="auto" w:fill="FCFCFC"/>
        <w:tabs>
          <w:tab w:val="right" w:leader="dot" w:pos="9356"/>
        </w:tabs>
        <w:suppressAutoHyphens/>
        <w:spacing w:after="0" w:line="360" w:lineRule="auto"/>
        <w:ind w:firstLine="709"/>
        <w:jc w:val="both"/>
        <w:rPr>
          <w:rFonts w:ascii="Times New Roman" w:eastAsia="Arial Unicode MS" w:hAnsi="Times New Roman" w:cs="Times New Roman"/>
          <w:lang w:eastAsia="ru-RU"/>
        </w:rPr>
      </w:pPr>
      <w:r w:rsidRPr="00D274B8">
        <w:rPr>
          <w:rFonts w:ascii="Times New Roman" w:eastAsia="Times New Roman" w:hAnsi="Times New Roman" w:cs="Times New Roman"/>
          <w:b/>
          <w:bCs/>
        </w:rPr>
        <w:t xml:space="preserve">Изотова О.Н., </w:t>
      </w:r>
      <w:r w:rsidRPr="00D274B8">
        <w:rPr>
          <w:rFonts w:ascii="Times New Roman" w:eastAsia="Calibri" w:hAnsi="Times New Roman" w:cs="Times New Roman"/>
          <w:b/>
          <w:lang w:eastAsia="ru-RU"/>
        </w:rPr>
        <w:t xml:space="preserve">Научный руководитель: Калайдин Е.Н., </w:t>
      </w:r>
      <w:r w:rsidRPr="00D274B8">
        <w:rPr>
          <w:rFonts w:ascii="Times New Roman" w:eastAsia="Arial Unicode MS" w:hAnsi="Times New Roman" w:cs="Times New Roman"/>
          <w:lang w:eastAsia="ru-RU"/>
        </w:rPr>
        <w:t>Алгоритм преодоления прокрастинации в современной образовательной системе</w:t>
      </w:r>
      <w:r w:rsidRPr="00D274B8">
        <w:rPr>
          <w:rFonts w:ascii="Times New Roman" w:eastAsia="Arial Unicode MS" w:hAnsi="Times New Roman" w:cs="Times New Roman"/>
          <w:lang w:eastAsia="ru-RU"/>
        </w:rPr>
        <w:tab/>
      </w:r>
      <w:r>
        <w:rPr>
          <w:rFonts w:ascii="Times New Roman" w:eastAsia="Arial Unicode MS" w:hAnsi="Times New Roman" w:cs="Times New Roman"/>
          <w:lang w:eastAsia="ru-RU"/>
        </w:rPr>
        <w:t>559</w:t>
      </w:r>
    </w:p>
    <w:p w14:paraId="368C0919" w14:textId="7C4346D8" w:rsidR="00483D44" w:rsidRPr="00D274B8" w:rsidRDefault="00483D44" w:rsidP="0055454C">
      <w:pPr>
        <w:tabs>
          <w:tab w:val="left" w:pos="851"/>
          <w:tab w:val="left" w:pos="993"/>
          <w:tab w:val="left" w:pos="4320"/>
          <w:tab w:val="right" w:leader="dot" w:pos="9356"/>
        </w:tabs>
        <w:suppressAutoHyphens/>
        <w:spacing w:after="0" w:line="360" w:lineRule="auto"/>
        <w:ind w:firstLine="709"/>
        <w:jc w:val="both"/>
        <w:rPr>
          <w:rFonts w:ascii="Times New Roman" w:eastAsia="Times New Roman" w:hAnsi="Times New Roman" w:cs="Times New Roman"/>
          <w:bCs/>
        </w:rPr>
      </w:pPr>
      <w:r w:rsidRPr="00D274B8">
        <w:rPr>
          <w:rFonts w:ascii="Times New Roman" w:eastAsia="Times New Roman" w:hAnsi="Times New Roman" w:cs="Times New Roman"/>
          <w:b/>
          <w:color w:val="000000"/>
          <w:lang w:eastAsia="ar-SA"/>
        </w:rPr>
        <w:t xml:space="preserve">Квятковский С.К., </w:t>
      </w:r>
      <w:r w:rsidR="006863F2">
        <w:rPr>
          <w:rFonts w:ascii="Times New Roman" w:eastAsia="Calibri" w:hAnsi="Times New Roman" w:cs="Times New Roman"/>
          <w:b/>
          <w:lang w:eastAsia="ru-RU"/>
        </w:rPr>
        <w:t>Научный руков</w:t>
      </w:r>
      <w:r w:rsidRPr="00D274B8">
        <w:rPr>
          <w:rFonts w:ascii="Times New Roman" w:eastAsia="Calibri" w:hAnsi="Times New Roman" w:cs="Times New Roman"/>
          <w:b/>
          <w:lang w:eastAsia="ru-RU"/>
        </w:rPr>
        <w:t xml:space="preserve">: Дюдин М.С., </w:t>
      </w:r>
      <w:r w:rsidR="006863F2">
        <w:rPr>
          <w:rFonts w:ascii="Times New Roman" w:eastAsia="Times New Roman" w:hAnsi="Times New Roman" w:cs="Times New Roman"/>
          <w:bCs/>
        </w:rPr>
        <w:t>Внедрения ИИ в бизнес-процессы</w:t>
      </w:r>
      <w:r w:rsidR="00843FFB">
        <w:rPr>
          <w:rFonts w:ascii="Times New Roman" w:eastAsia="Times New Roman" w:hAnsi="Times New Roman" w:cs="Times New Roman"/>
          <w:bCs/>
        </w:rPr>
        <w:t>...</w:t>
      </w:r>
      <w:r w:rsidR="006863F2">
        <w:rPr>
          <w:rFonts w:ascii="Times New Roman" w:eastAsia="Times New Roman" w:hAnsi="Times New Roman" w:cs="Times New Roman"/>
          <w:bCs/>
        </w:rPr>
        <w:t xml:space="preserve">564 </w:t>
      </w:r>
    </w:p>
    <w:p w14:paraId="3545E677" w14:textId="192AE378" w:rsidR="00483D44" w:rsidRPr="00D274B8" w:rsidRDefault="00483D44" w:rsidP="0055454C">
      <w:pPr>
        <w:tabs>
          <w:tab w:val="right" w:leader="dot" w:pos="9356"/>
        </w:tabs>
        <w:spacing w:after="0" w:line="360" w:lineRule="auto"/>
        <w:ind w:firstLine="709"/>
        <w:jc w:val="both"/>
        <w:rPr>
          <w:rFonts w:ascii="Times New Roman" w:eastAsia="Times New Roman" w:hAnsi="Times New Roman" w:cs="Times New Roman"/>
          <w:b/>
          <w:bCs/>
          <w:lang w:eastAsia="ru-RU"/>
        </w:rPr>
      </w:pPr>
      <w:r w:rsidRPr="00D274B8">
        <w:rPr>
          <w:rFonts w:ascii="Times New Roman" w:eastAsia="Times New Roman" w:hAnsi="Times New Roman" w:cs="Times New Roman"/>
          <w:b/>
          <w:bCs/>
          <w:lang w:eastAsia="ru-RU"/>
        </w:rPr>
        <w:t xml:space="preserve">Потапов В.А., </w:t>
      </w:r>
      <w:r w:rsidRPr="00D274B8">
        <w:rPr>
          <w:rFonts w:ascii="Times New Roman" w:eastAsia="Calibri" w:hAnsi="Times New Roman" w:cs="Times New Roman"/>
          <w:b/>
          <w:lang w:eastAsia="ru-RU"/>
        </w:rPr>
        <w:t xml:space="preserve">Научный руководитель: Лузин А.И., </w:t>
      </w:r>
      <w:r w:rsidRPr="00D274B8">
        <w:rPr>
          <w:rFonts w:ascii="Times New Roman" w:eastAsia="Times New Roman" w:hAnsi="Times New Roman" w:cs="Times New Roman"/>
          <w:lang w:eastAsia="ru-RU"/>
        </w:rPr>
        <w:t>Базы данных реального времени как драйвер цифровых преобразований в бизнесе</w:t>
      </w:r>
      <w:r w:rsidR="00BD2B85" w:rsidRPr="00D274B8">
        <w:rPr>
          <w:rFonts w:ascii="Times New Roman" w:eastAsia="Times New Roman" w:hAnsi="Times New Roman" w:cs="Times New Roman"/>
          <w:lang w:eastAsia="ru-RU"/>
        </w:rPr>
        <w:tab/>
      </w:r>
      <w:r w:rsidR="007639B1">
        <w:rPr>
          <w:rFonts w:ascii="Times New Roman" w:eastAsia="Times New Roman" w:hAnsi="Times New Roman" w:cs="Times New Roman"/>
          <w:lang w:eastAsia="ru-RU"/>
        </w:rPr>
        <w:t>569</w:t>
      </w:r>
    </w:p>
    <w:p w14:paraId="55A729A9" w14:textId="1D0402E1" w:rsidR="00483D44" w:rsidRPr="00D274B8" w:rsidRDefault="00483D44" w:rsidP="0055454C">
      <w:pPr>
        <w:tabs>
          <w:tab w:val="right" w:leader="dot" w:pos="9356"/>
        </w:tabs>
        <w:spacing w:after="0" w:line="360" w:lineRule="auto"/>
        <w:ind w:firstLine="709"/>
        <w:jc w:val="both"/>
        <w:rPr>
          <w:rFonts w:ascii="Times New Roman" w:eastAsia="Calibri" w:hAnsi="Times New Roman" w:cs="Times New Roman"/>
          <w:bCs/>
          <w:color w:val="000000"/>
          <w14:textOutline w14:w="9525" w14:cap="flat" w14:cmpd="sng" w14:algn="ctr">
            <w14:noFill/>
            <w14:prstDash w14:val="solid"/>
            <w14:round/>
          </w14:textOutline>
        </w:rPr>
      </w:pPr>
      <w:r w:rsidRPr="00D274B8">
        <w:rPr>
          <w:rFonts w:ascii="Times New Roman" w:eastAsia="Calibri" w:hAnsi="Times New Roman" w:cs="Times New Roman"/>
          <w:b/>
          <w:color w:val="000000"/>
          <w14:textOutline w14:w="9525" w14:cap="flat" w14:cmpd="sng" w14:algn="ctr">
            <w14:noFill/>
            <w14:prstDash w14:val="solid"/>
            <w14:round/>
          </w14:textOutline>
        </w:rPr>
        <w:t xml:space="preserve">Ситникова В.К., </w:t>
      </w:r>
      <w:r w:rsidRPr="00D274B8">
        <w:rPr>
          <w:rFonts w:ascii="Times New Roman" w:eastAsia="Calibri" w:hAnsi="Times New Roman" w:cs="Times New Roman"/>
          <w:b/>
          <w:lang w:eastAsia="ru-RU"/>
        </w:rPr>
        <w:t xml:space="preserve">Научный руководитель: Нарыжная Н.Ю., </w:t>
      </w:r>
      <w:r w:rsidRPr="00D274B8">
        <w:rPr>
          <w:rFonts w:ascii="Times New Roman" w:eastAsia="Calibri" w:hAnsi="Times New Roman" w:cs="Times New Roman"/>
          <w:bCs/>
          <w:color w:val="000000"/>
          <w14:textOutline w14:w="9525" w14:cap="flat" w14:cmpd="sng" w14:algn="ctr">
            <w14:noFill/>
            <w14:prstDash w14:val="solid"/>
            <w14:round/>
          </w14:textOutline>
        </w:rPr>
        <w:t>Электронная коммерция и изменения в потребительском поведении</w:t>
      </w:r>
      <w:r w:rsidR="00BD2B85" w:rsidRPr="00D274B8">
        <w:rPr>
          <w:rFonts w:ascii="Times New Roman" w:eastAsia="Calibri" w:hAnsi="Times New Roman" w:cs="Times New Roman"/>
          <w:bCs/>
          <w:color w:val="000000"/>
          <w14:textOutline w14:w="9525" w14:cap="flat" w14:cmpd="sng" w14:algn="ctr">
            <w14:noFill/>
            <w14:prstDash w14:val="solid"/>
            <w14:round/>
          </w14:textOutline>
        </w:rPr>
        <w:tab/>
      </w:r>
      <w:r w:rsidR="007639B1">
        <w:rPr>
          <w:rFonts w:ascii="Times New Roman" w:eastAsia="Calibri" w:hAnsi="Times New Roman" w:cs="Times New Roman"/>
          <w:bCs/>
          <w:color w:val="000000"/>
          <w14:textOutline w14:w="9525" w14:cap="flat" w14:cmpd="sng" w14:algn="ctr">
            <w14:noFill/>
            <w14:prstDash w14:val="solid"/>
            <w14:round/>
          </w14:textOutline>
        </w:rPr>
        <w:t>575</w:t>
      </w:r>
    </w:p>
    <w:p w14:paraId="08F62EB6" w14:textId="723C44AA" w:rsidR="00483D44" w:rsidRPr="00D274B8" w:rsidRDefault="00483D44" w:rsidP="0055454C">
      <w:pPr>
        <w:tabs>
          <w:tab w:val="right" w:leader="dot" w:pos="9356"/>
        </w:tabs>
        <w:suppressAutoHyphens/>
        <w:spacing w:after="0" w:line="360" w:lineRule="auto"/>
        <w:ind w:right="-1" w:firstLine="709"/>
        <w:contextualSpacing/>
        <w:jc w:val="both"/>
        <w:rPr>
          <w:rFonts w:ascii="Times New Roman" w:eastAsia="Aptos" w:hAnsi="Times New Roman" w:cs="Times New Roman"/>
        </w:rPr>
      </w:pPr>
      <w:r w:rsidRPr="00D274B8">
        <w:rPr>
          <w:rFonts w:ascii="Times New Roman" w:eastAsia="Times New Roman" w:hAnsi="Times New Roman" w:cs="Times New Roman"/>
          <w:b/>
          <w:bCs/>
          <w:color w:val="000000"/>
        </w:rPr>
        <w:t>Слепцов А.А</w:t>
      </w:r>
      <w:r w:rsidRPr="00D274B8">
        <w:rPr>
          <w:rFonts w:ascii="Times New Roman" w:eastAsia="NSimSun" w:hAnsi="Times New Roman" w:cs="Times New Roman"/>
          <w:b/>
          <w:bCs/>
          <w:kern w:val="2"/>
          <w:lang w:eastAsia="zh-CN" w:bidi="hi-IN"/>
        </w:rPr>
        <w:t>.</w:t>
      </w:r>
      <w:r w:rsidRPr="00D274B8">
        <w:rPr>
          <w:rFonts w:ascii="Times New Roman" w:eastAsia="NSimSun" w:hAnsi="Times New Roman" w:cs="Times New Roman"/>
          <w:kern w:val="2"/>
          <w:lang w:eastAsia="zh-CN" w:bidi="hi-IN"/>
        </w:rPr>
        <w:t>,</w:t>
      </w:r>
      <w:r w:rsidRPr="00D274B8">
        <w:rPr>
          <w:rFonts w:ascii="Times New Roman" w:eastAsia="Calibri" w:hAnsi="Times New Roman" w:cs="Times New Roman"/>
          <w:b/>
          <w:lang w:eastAsia="ru-RU"/>
        </w:rPr>
        <w:t xml:space="preserve"> Научный руководитель: Нарыжная Н.Ю., </w:t>
      </w:r>
      <w:r w:rsidRPr="00D274B8">
        <w:rPr>
          <w:rFonts w:ascii="Times New Roman" w:eastAsia="Aptos" w:hAnsi="Times New Roman" w:cs="Times New Roman"/>
        </w:rPr>
        <w:t>Блокчейн-аналитика – новые возможности бизнес-аналитики или модный тренд?</w:t>
      </w:r>
      <w:r w:rsidR="00BD2B85" w:rsidRPr="00D274B8">
        <w:rPr>
          <w:rFonts w:ascii="Times New Roman" w:eastAsia="Aptos" w:hAnsi="Times New Roman" w:cs="Times New Roman"/>
        </w:rPr>
        <w:tab/>
      </w:r>
      <w:r w:rsidR="007639B1">
        <w:rPr>
          <w:rFonts w:ascii="Times New Roman" w:eastAsia="Aptos" w:hAnsi="Times New Roman" w:cs="Times New Roman"/>
        </w:rPr>
        <w:t>582</w:t>
      </w:r>
    </w:p>
    <w:p w14:paraId="676AA853" w14:textId="37039C9D" w:rsidR="00483D44" w:rsidRPr="00D274B8" w:rsidRDefault="00483D44" w:rsidP="0055454C">
      <w:pPr>
        <w:tabs>
          <w:tab w:val="right" w:leader="dot" w:pos="9356"/>
        </w:tabs>
        <w:suppressAutoHyphens/>
        <w:spacing w:after="0" w:line="360" w:lineRule="auto"/>
        <w:ind w:right="210" w:firstLine="709"/>
        <w:jc w:val="both"/>
        <w:rPr>
          <w:rFonts w:ascii="Times New Roman" w:eastAsia="Aptos" w:hAnsi="Times New Roman" w:cs="Times New Roman"/>
        </w:rPr>
      </w:pPr>
      <w:r w:rsidRPr="00D274B8">
        <w:rPr>
          <w:rFonts w:ascii="Times New Roman" w:eastAsia="NSimSun" w:hAnsi="Times New Roman" w:cs="Times New Roman"/>
          <w:b/>
          <w:color w:val="000000"/>
          <w:kern w:val="2"/>
          <w:lang w:eastAsia="zh-CN" w:bidi="hi-IN"/>
        </w:rPr>
        <w:t xml:space="preserve">Степанюк Д.А.,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NSimSun" w:hAnsi="Times New Roman" w:cs="Times New Roman"/>
          <w:color w:val="000000"/>
          <w:kern w:val="2"/>
          <w:lang w:eastAsia="zh-CN" w:bidi="hi-IN"/>
        </w:rPr>
        <w:t>Влияние искусственного интеллекта на образовательные процессы в высших учебных заведениях</w:t>
      </w:r>
      <w:r w:rsidR="00BD2B85" w:rsidRPr="00D274B8">
        <w:rPr>
          <w:rFonts w:ascii="Times New Roman" w:eastAsia="NSimSun" w:hAnsi="Times New Roman" w:cs="Times New Roman"/>
          <w:color w:val="000000"/>
          <w:kern w:val="2"/>
          <w:lang w:eastAsia="zh-CN" w:bidi="hi-IN"/>
        </w:rPr>
        <w:tab/>
      </w:r>
      <w:r w:rsidR="007639B1">
        <w:rPr>
          <w:rFonts w:ascii="Times New Roman" w:eastAsia="NSimSun" w:hAnsi="Times New Roman" w:cs="Times New Roman"/>
          <w:color w:val="000000"/>
          <w:kern w:val="2"/>
          <w:lang w:eastAsia="zh-CN" w:bidi="hi-IN"/>
        </w:rPr>
        <w:t>587</w:t>
      </w:r>
    </w:p>
    <w:p w14:paraId="01C85870" w14:textId="433B8332" w:rsidR="00483D44" w:rsidRPr="00D274B8" w:rsidRDefault="00483D44" w:rsidP="0055454C">
      <w:pPr>
        <w:tabs>
          <w:tab w:val="right" w:leader="dot" w:pos="9356"/>
        </w:tabs>
        <w:suppressAutoHyphens/>
        <w:spacing w:after="0" w:line="360" w:lineRule="auto"/>
        <w:ind w:right="420" w:firstLine="709"/>
        <w:jc w:val="both"/>
        <w:rPr>
          <w:rFonts w:ascii="Times New Roman" w:eastAsia="NSimSun" w:hAnsi="Times New Roman" w:cs="Times New Roman"/>
          <w:kern w:val="2"/>
          <w:lang w:eastAsia="zh-CN" w:bidi="hi-IN"/>
        </w:rPr>
      </w:pPr>
      <w:r w:rsidRPr="00D274B8">
        <w:rPr>
          <w:rFonts w:ascii="Times New Roman" w:eastAsia="Source Han Sans CN Regular" w:hAnsi="Times New Roman" w:cs="Times New Roman"/>
          <w:b/>
          <w:bCs/>
          <w:kern w:val="2"/>
          <w:lang w:eastAsia="ru-RU" w:bidi="ru-RU"/>
        </w:rPr>
        <w:t xml:space="preserve">Тесленко Д.Д.,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Source Han Sans CN Regular" w:hAnsi="Times New Roman" w:cs="Times New Roman"/>
          <w:bCs/>
          <w:kern w:val="2"/>
          <w:lang w:eastAsia="ru-RU" w:bidi="ru-RU"/>
        </w:rPr>
        <w:t>Влияние искусственного интеллекта на безопасность информации: вызовы и решения</w:t>
      </w:r>
      <w:r w:rsidR="00BD2B85" w:rsidRPr="00D274B8">
        <w:rPr>
          <w:rFonts w:ascii="Times New Roman" w:eastAsia="Source Han Sans CN Regular" w:hAnsi="Times New Roman" w:cs="Times New Roman"/>
          <w:bCs/>
          <w:kern w:val="2"/>
          <w:lang w:eastAsia="ru-RU" w:bidi="ru-RU"/>
        </w:rPr>
        <w:tab/>
      </w:r>
      <w:r w:rsidR="007639B1">
        <w:rPr>
          <w:rFonts w:ascii="Times New Roman" w:eastAsia="Source Han Sans CN Regular" w:hAnsi="Times New Roman" w:cs="Times New Roman"/>
          <w:bCs/>
          <w:kern w:val="2"/>
          <w:lang w:eastAsia="ru-RU" w:bidi="ru-RU"/>
        </w:rPr>
        <w:t>592</w:t>
      </w:r>
    </w:p>
    <w:p w14:paraId="7DF583D2" w14:textId="1DAD4EC3" w:rsidR="00483D44" w:rsidRPr="00D274B8" w:rsidRDefault="00483D44" w:rsidP="0055454C">
      <w:pPr>
        <w:tabs>
          <w:tab w:val="right" w:leader="dot" w:pos="9356"/>
        </w:tabs>
        <w:suppressAutoHyphens/>
        <w:spacing w:after="0" w:line="360" w:lineRule="auto"/>
        <w:ind w:firstLine="709"/>
        <w:jc w:val="both"/>
        <w:rPr>
          <w:rFonts w:ascii="Times New Roman" w:eastAsia="Times New Roman" w:hAnsi="Times New Roman" w:cs="Times New Roman"/>
          <w:color w:val="000000"/>
        </w:rPr>
      </w:pPr>
      <w:r w:rsidRPr="00D274B8">
        <w:rPr>
          <w:rFonts w:ascii="Times New Roman" w:eastAsia="Times New Roman" w:hAnsi="Times New Roman" w:cs="Times New Roman"/>
          <w:b/>
          <w:bCs/>
        </w:rPr>
        <w:t xml:space="preserve">Торосян А.А.,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Times New Roman" w:hAnsi="Times New Roman" w:cs="Times New Roman"/>
          <w:color w:val="000000"/>
        </w:rPr>
        <w:t>Влияние информационных технологий на повышение качества обслуживания клиентов в банковской сфере</w:t>
      </w:r>
      <w:r w:rsidR="00BD2B85" w:rsidRPr="00D274B8">
        <w:rPr>
          <w:rFonts w:ascii="Times New Roman" w:eastAsia="Times New Roman" w:hAnsi="Times New Roman" w:cs="Times New Roman"/>
          <w:color w:val="000000"/>
        </w:rPr>
        <w:tab/>
      </w:r>
      <w:r w:rsidR="007639B1">
        <w:rPr>
          <w:rFonts w:ascii="Times New Roman" w:eastAsia="Times New Roman" w:hAnsi="Times New Roman" w:cs="Times New Roman"/>
          <w:color w:val="000000"/>
        </w:rPr>
        <w:t>597</w:t>
      </w:r>
    </w:p>
    <w:p w14:paraId="4ECF05E7" w14:textId="61EDEF5D" w:rsidR="00483D44" w:rsidRPr="00D274B8" w:rsidRDefault="00483D44" w:rsidP="0055454C">
      <w:pPr>
        <w:tabs>
          <w:tab w:val="right" w:leader="dot" w:pos="9356"/>
        </w:tabs>
        <w:suppressAutoHyphens/>
        <w:spacing w:after="0" w:line="360" w:lineRule="auto"/>
        <w:ind w:firstLine="709"/>
        <w:jc w:val="both"/>
        <w:rPr>
          <w:rFonts w:ascii="Times New Roman" w:eastAsia="Times New Roman" w:hAnsi="Times New Roman" w:cs="Times New Roman"/>
          <w:bCs/>
          <w:lang w:eastAsia="ru-RU"/>
        </w:rPr>
      </w:pPr>
      <w:r w:rsidRPr="00D274B8">
        <w:rPr>
          <w:rFonts w:ascii="Times New Roman" w:eastAsia="Times New Roman" w:hAnsi="Times New Roman" w:cs="Times New Roman"/>
          <w:b/>
          <w:lang w:eastAsia="ru-RU"/>
        </w:rPr>
        <w:lastRenderedPageBreak/>
        <w:t xml:space="preserve">Царикаева Д.А., </w:t>
      </w:r>
      <w:r w:rsidRPr="00D274B8">
        <w:rPr>
          <w:rFonts w:ascii="Times New Roman" w:eastAsia="Calibri" w:hAnsi="Times New Roman" w:cs="Times New Roman"/>
          <w:b/>
          <w:lang w:eastAsia="ru-RU"/>
        </w:rPr>
        <w:t xml:space="preserve">Научный руководитель: Пьянкова Н.Г., </w:t>
      </w:r>
      <w:r w:rsidRPr="00D274B8">
        <w:rPr>
          <w:rFonts w:ascii="Times New Roman" w:eastAsia="Times New Roman" w:hAnsi="Times New Roman" w:cs="Times New Roman"/>
          <w:bCs/>
          <w:lang w:eastAsia="ru-RU"/>
        </w:rPr>
        <w:t>Развитие инструментов бизнес-аналитики: современные тенденции и перспективы</w:t>
      </w:r>
      <w:r w:rsidR="00BD2B85" w:rsidRPr="00D274B8">
        <w:rPr>
          <w:rFonts w:ascii="Times New Roman" w:eastAsia="Times New Roman" w:hAnsi="Times New Roman" w:cs="Times New Roman"/>
          <w:bCs/>
          <w:lang w:eastAsia="ru-RU"/>
        </w:rPr>
        <w:tab/>
      </w:r>
      <w:r w:rsidR="007639B1">
        <w:rPr>
          <w:rFonts w:ascii="Times New Roman" w:eastAsia="Times New Roman" w:hAnsi="Times New Roman" w:cs="Times New Roman"/>
          <w:bCs/>
          <w:lang w:eastAsia="ru-RU"/>
        </w:rPr>
        <w:t>602</w:t>
      </w:r>
    </w:p>
    <w:p w14:paraId="77224E00" w14:textId="1B6F49CB" w:rsidR="00483D44" w:rsidRPr="00D274B8" w:rsidRDefault="00483D44" w:rsidP="0055454C">
      <w:pPr>
        <w:tabs>
          <w:tab w:val="right" w:leader="dot" w:pos="9356"/>
        </w:tabs>
        <w:spacing w:after="0" w:line="360" w:lineRule="auto"/>
        <w:ind w:firstLine="709"/>
        <w:jc w:val="both"/>
        <w:rPr>
          <w:rFonts w:ascii="Times New Roman" w:eastAsia="Calibri" w:hAnsi="Times New Roman" w:cs="Times New Roman"/>
        </w:rPr>
      </w:pPr>
      <w:r w:rsidRPr="00D274B8">
        <w:rPr>
          <w:rFonts w:ascii="Times New Roman" w:eastAsia="Times New Roman" w:hAnsi="Times New Roman" w:cs="Times New Roman"/>
          <w:b/>
          <w:color w:val="000000"/>
        </w:rPr>
        <w:t xml:space="preserve">Шабельник Д.Д., </w:t>
      </w:r>
      <w:r w:rsidRPr="00D274B8">
        <w:rPr>
          <w:rFonts w:ascii="Times New Roman" w:eastAsia="Calibri" w:hAnsi="Times New Roman" w:cs="Times New Roman"/>
          <w:b/>
          <w:lang w:eastAsia="ru-RU"/>
        </w:rPr>
        <w:t xml:space="preserve">Научный руководитель: Молчан А.С., </w:t>
      </w:r>
      <w:r w:rsidRPr="00D274B8">
        <w:rPr>
          <w:rFonts w:ascii="Times New Roman" w:eastAsia="Calibri" w:hAnsi="Times New Roman" w:cs="Times New Roman"/>
        </w:rPr>
        <w:t>Анализ рисков обеспечения информационной безопасности при обмене данными между государственными структурами</w:t>
      </w:r>
      <w:r w:rsidR="00BD2B85" w:rsidRPr="00D274B8">
        <w:rPr>
          <w:rFonts w:ascii="Times New Roman" w:eastAsia="Calibri" w:hAnsi="Times New Roman" w:cs="Times New Roman"/>
        </w:rPr>
        <w:tab/>
      </w:r>
      <w:r w:rsidR="007639B1">
        <w:rPr>
          <w:rFonts w:ascii="Times New Roman" w:eastAsia="Calibri" w:hAnsi="Times New Roman" w:cs="Times New Roman"/>
        </w:rPr>
        <w:t>606</w:t>
      </w:r>
    </w:p>
    <w:p w14:paraId="7A174318" w14:textId="77777777" w:rsidR="00483D44" w:rsidRPr="00D274B8" w:rsidRDefault="00483D44" w:rsidP="00483D44">
      <w:pPr>
        <w:spacing w:after="0" w:line="240" w:lineRule="auto"/>
        <w:jc w:val="right"/>
        <w:rPr>
          <w:rFonts w:ascii="Times New Roman" w:eastAsia="Times New Roman" w:hAnsi="Times New Roman" w:cs="Times New Roman"/>
          <w:b/>
          <w:bCs/>
          <w:sz w:val="21"/>
          <w:szCs w:val="21"/>
          <w:lang w:eastAsia="ru-RU"/>
        </w:rPr>
      </w:pPr>
    </w:p>
    <w:p w14:paraId="6975DB8A" w14:textId="43D83844" w:rsidR="00483D44" w:rsidRPr="00D274B8" w:rsidRDefault="00483D44" w:rsidP="00BD2B85">
      <w:pPr>
        <w:keepNext/>
        <w:keepLines/>
        <w:tabs>
          <w:tab w:val="right" w:leader="dot" w:pos="9356"/>
        </w:tabs>
        <w:spacing w:after="0" w:line="240" w:lineRule="auto"/>
        <w:ind w:firstLine="709"/>
        <w:jc w:val="both"/>
        <w:rPr>
          <w:rFonts w:ascii="Times New Roman" w:hAnsi="Times New Roman" w:cs="Times New Roman"/>
          <w:b/>
          <w:bCs/>
        </w:rPr>
      </w:pPr>
      <w:r w:rsidRPr="00D274B8">
        <w:rPr>
          <w:rFonts w:ascii="Times New Roman" w:hAnsi="Times New Roman" w:cs="Times New Roman"/>
          <w:b/>
          <w:bCs/>
        </w:rPr>
        <w:t>РАЗДЕЛ 6. БИЗНЕС-АНАЛИТИКА И МОДЕРНИЗАЦИЯ БИЗНЕС-ПРОЦЕССОВ</w:t>
      </w:r>
      <w:r w:rsidR="000F357D" w:rsidRPr="00D274B8">
        <w:rPr>
          <w:rFonts w:ascii="Times New Roman" w:hAnsi="Times New Roman" w:cs="Times New Roman"/>
          <w:b/>
          <w:bCs/>
        </w:rPr>
        <w:tab/>
      </w:r>
      <w:r w:rsidR="007639B1">
        <w:rPr>
          <w:rFonts w:ascii="Times New Roman" w:hAnsi="Times New Roman" w:cs="Times New Roman"/>
          <w:b/>
          <w:bCs/>
        </w:rPr>
        <w:t>613</w:t>
      </w:r>
    </w:p>
    <w:p w14:paraId="697425A8" w14:textId="77777777" w:rsidR="00483D44" w:rsidRPr="00D274B8" w:rsidRDefault="00483D44" w:rsidP="00BD2B85">
      <w:pPr>
        <w:keepNext/>
        <w:keepLines/>
        <w:tabs>
          <w:tab w:val="right" w:leader="dot" w:pos="9356"/>
        </w:tabs>
        <w:spacing w:after="0" w:line="240" w:lineRule="auto"/>
        <w:ind w:firstLine="709"/>
        <w:jc w:val="both"/>
        <w:rPr>
          <w:rFonts w:ascii="Times New Roman" w:hAnsi="Times New Roman" w:cs="Times New Roman"/>
          <w:b/>
          <w:bCs/>
        </w:rPr>
      </w:pPr>
    </w:p>
    <w:p w14:paraId="27D586C8" w14:textId="6D682BFB" w:rsidR="00483D44" w:rsidRPr="00D274B8" w:rsidRDefault="00483D44" w:rsidP="00BD2B85">
      <w:pPr>
        <w:tabs>
          <w:tab w:val="right" w:leader="dot" w:pos="9356"/>
        </w:tabs>
        <w:spacing w:after="0" w:line="360" w:lineRule="auto"/>
        <w:ind w:right="420" w:firstLine="709"/>
        <w:jc w:val="both"/>
        <w:rPr>
          <w:rFonts w:ascii="Times New Roman" w:eastAsia="Times New Roman" w:hAnsi="Times New Roman" w:cs="Times New Roman"/>
          <w:bCs/>
          <w:lang w:eastAsia="ru-RU"/>
        </w:rPr>
      </w:pPr>
      <w:r w:rsidRPr="00D274B8">
        <w:rPr>
          <w:rFonts w:ascii="Times New Roman" w:eastAsia="Times New Roman" w:hAnsi="Times New Roman" w:cs="Times New Roman"/>
          <w:b/>
          <w:bCs/>
          <w:color w:val="000000"/>
        </w:rPr>
        <w:t xml:space="preserve">Антипин К.П., </w:t>
      </w:r>
      <w:r w:rsidRPr="00D274B8">
        <w:rPr>
          <w:rFonts w:ascii="Times New Roman" w:eastAsia="Calibri" w:hAnsi="Times New Roman" w:cs="Times New Roman"/>
          <w:b/>
          <w:lang w:eastAsia="ru-RU"/>
        </w:rPr>
        <w:t xml:space="preserve">Научный руководитель: </w:t>
      </w:r>
      <w:r w:rsidRPr="00D274B8">
        <w:rPr>
          <w:rFonts w:ascii="Times New Roman" w:eastAsia="Times New Roman" w:hAnsi="Times New Roman" w:cs="Times New Roman"/>
          <w:b/>
          <w:bCs/>
          <w:color w:val="000000"/>
        </w:rPr>
        <w:t xml:space="preserve">Аксёнова Ж.А., </w:t>
      </w:r>
      <w:r w:rsidRPr="00D274B8">
        <w:rPr>
          <w:rFonts w:ascii="Times New Roman" w:eastAsia="Times New Roman" w:hAnsi="Times New Roman" w:cs="Times New Roman"/>
        </w:rPr>
        <w:t xml:space="preserve">Роль </w:t>
      </w:r>
      <w:r w:rsidRPr="00D274B8">
        <w:rPr>
          <w:rFonts w:ascii="Times New Roman" w:eastAsia="Times New Roman" w:hAnsi="Times New Roman" w:cs="Times New Roman"/>
          <w:bCs/>
          <w:lang w:eastAsia="ru-RU"/>
        </w:rPr>
        <w:t>информационных технологий в управления бизнесом</w:t>
      </w:r>
      <w:r w:rsidR="000F357D" w:rsidRPr="00D274B8">
        <w:rPr>
          <w:rFonts w:ascii="Times New Roman" w:eastAsia="Times New Roman" w:hAnsi="Times New Roman" w:cs="Times New Roman"/>
          <w:bCs/>
          <w:lang w:eastAsia="ru-RU"/>
        </w:rPr>
        <w:tab/>
      </w:r>
      <w:r w:rsidR="007639B1">
        <w:rPr>
          <w:rFonts w:ascii="Times New Roman" w:eastAsia="Times New Roman" w:hAnsi="Times New Roman" w:cs="Times New Roman"/>
          <w:bCs/>
          <w:lang w:eastAsia="ru-RU"/>
        </w:rPr>
        <w:t>613</w:t>
      </w:r>
    </w:p>
    <w:p w14:paraId="45A07DF3" w14:textId="28B813CB" w:rsidR="00483D44" w:rsidRPr="005712E2" w:rsidRDefault="00483D44" w:rsidP="00BD2B85">
      <w:pPr>
        <w:widowControl w:val="0"/>
        <w:tabs>
          <w:tab w:val="right" w:leader="dot" w:pos="9356"/>
        </w:tabs>
        <w:autoSpaceDN w:val="0"/>
        <w:spacing w:after="0" w:line="360" w:lineRule="auto"/>
        <w:ind w:firstLine="709"/>
        <w:jc w:val="both"/>
        <w:textAlignment w:val="baseline"/>
        <w:rPr>
          <w:rFonts w:ascii="Times New Roman" w:eastAsia="Andale Sans UI" w:hAnsi="Times New Roman" w:cs="Times New Roman"/>
          <w:kern w:val="3"/>
          <w:lang w:eastAsia="ja-JP" w:bidi="fa-IR"/>
        </w:rPr>
      </w:pPr>
      <w:r w:rsidRPr="005712E2">
        <w:rPr>
          <w:rFonts w:ascii="Times New Roman" w:eastAsia="Andale Sans UI" w:hAnsi="Times New Roman" w:cs="Times New Roman"/>
          <w:b/>
          <w:kern w:val="3"/>
          <w:lang w:eastAsia="ja-JP" w:bidi="fa-IR"/>
        </w:rPr>
        <w:t xml:space="preserve">Белоусова О.Н., </w:t>
      </w:r>
      <w:r w:rsidRPr="005712E2">
        <w:rPr>
          <w:rFonts w:ascii="Times New Roman" w:eastAsia="Calibri" w:hAnsi="Times New Roman" w:cs="Times New Roman"/>
          <w:b/>
          <w:lang w:eastAsia="ru-RU"/>
        </w:rPr>
        <w:t xml:space="preserve">Научный руководитель: Радченко М.В., </w:t>
      </w:r>
      <w:r w:rsidRPr="005712E2">
        <w:rPr>
          <w:rFonts w:ascii="Times New Roman" w:eastAsia="Andale Sans UI" w:hAnsi="Times New Roman" w:cs="Times New Roman"/>
          <w:kern w:val="3"/>
          <w:lang w:eastAsia="ja-JP" w:bidi="fa-IR"/>
        </w:rPr>
        <w:t xml:space="preserve">Оценка инвестиционной </w:t>
      </w:r>
      <w:r w:rsidRPr="005712E2">
        <w:rPr>
          <w:rFonts w:ascii="Times New Roman" w:eastAsia="Andale Sans UI" w:hAnsi="Times New Roman" w:cs="Times New Roman"/>
          <w:kern w:val="3"/>
          <w:lang w:val="de-DE" w:eastAsia="ja-JP" w:bidi="fa-IR"/>
        </w:rPr>
        <w:t>привлекательност</w:t>
      </w:r>
      <w:r w:rsidRPr="005712E2">
        <w:rPr>
          <w:rFonts w:ascii="Times New Roman" w:eastAsia="Andale Sans UI" w:hAnsi="Times New Roman" w:cs="Times New Roman"/>
          <w:kern w:val="3"/>
          <w:lang w:eastAsia="ja-JP" w:bidi="fa-IR"/>
        </w:rPr>
        <w:t>и</w:t>
      </w:r>
      <w:r w:rsidRPr="005712E2">
        <w:rPr>
          <w:rFonts w:ascii="Times New Roman" w:eastAsia="Andale Sans UI" w:hAnsi="Times New Roman" w:cs="Times New Roman"/>
          <w:kern w:val="3"/>
          <w:lang w:val="de-DE" w:eastAsia="ja-JP" w:bidi="fa-IR"/>
        </w:rPr>
        <w:t xml:space="preserve"> региона (Краснодарский край)</w:t>
      </w:r>
      <w:r w:rsidR="000F357D" w:rsidRPr="005712E2">
        <w:rPr>
          <w:rFonts w:ascii="Times New Roman" w:eastAsia="Andale Sans UI" w:hAnsi="Times New Roman" w:cs="Times New Roman"/>
          <w:kern w:val="3"/>
          <w:lang w:eastAsia="ja-JP" w:bidi="fa-IR"/>
        </w:rPr>
        <w:tab/>
      </w:r>
      <w:r w:rsidR="004A4FD8" w:rsidRPr="005712E2">
        <w:rPr>
          <w:rFonts w:ascii="Times New Roman" w:eastAsia="Andale Sans UI" w:hAnsi="Times New Roman" w:cs="Times New Roman"/>
          <w:kern w:val="3"/>
          <w:lang w:eastAsia="ja-JP" w:bidi="fa-IR"/>
        </w:rPr>
        <w:t>617</w:t>
      </w:r>
    </w:p>
    <w:p w14:paraId="390C9E35" w14:textId="202CB4A9" w:rsidR="00483D44" w:rsidRPr="005712E2" w:rsidRDefault="00483D44" w:rsidP="00BD2B85">
      <w:pPr>
        <w:tabs>
          <w:tab w:val="right" w:leader="dot" w:pos="9356"/>
        </w:tabs>
        <w:spacing w:after="0" w:line="360" w:lineRule="auto"/>
        <w:ind w:right="420" w:firstLine="709"/>
        <w:jc w:val="both"/>
        <w:rPr>
          <w:rFonts w:ascii="Times New Roman" w:eastAsia="Times New Roman" w:hAnsi="Times New Roman" w:cs="Times New Roman"/>
          <w:color w:val="000000"/>
        </w:rPr>
      </w:pPr>
      <w:r w:rsidRPr="005712E2">
        <w:rPr>
          <w:rFonts w:ascii="Times New Roman" w:eastAsia="Times New Roman" w:hAnsi="Times New Roman" w:cs="Times New Roman"/>
          <w:b/>
          <w:bCs/>
          <w:color w:val="000000"/>
        </w:rPr>
        <w:t xml:space="preserve">Великохатько Я.C., </w:t>
      </w:r>
      <w:r w:rsidRPr="005712E2">
        <w:rPr>
          <w:rFonts w:ascii="Times New Roman" w:eastAsia="Calibri" w:hAnsi="Times New Roman" w:cs="Times New Roman"/>
          <w:b/>
          <w:lang w:eastAsia="ru-RU"/>
        </w:rPr>
        <w:t xml:space="preserve">Научный руководитель: </w:t>
      </w:r>
      <w:r w:rsidRPr="005712E2">
        <w:rPr>
          <w:rFonts w:ascii="Times New Roman" w:eastAsia="Times New Roman" w:hAnsi="Times New Roman" w:cs="Times New Roman"/>
          <w:b/>
          <w:bCs/>
          <w:color w:val="000000"/>
        </w:rPr>
        <w:t>Коренева О.В.,</w:t>
      </w:r>
      <w:r w:rsidRPr="005712E2">
        <w:rPr>
          <w:rFonts w:ascii="Times New Roman" w:eastAsia="Times New Roman" w:hAnsi="Times New Roman" w:cs="Times New Roman"/>
          <w:color w:val="000000"/>
        </w:rPr>
        <w:t xml:space="preserve"> Создание платформы для автоматизации страховых услуг на основе искусственного интеллекта</w:t>
      </w:r>
      <w:r w:rsidR="000F357D" w:rsidRPr="005712E2">
        <w:rPr>
          <w:rFonts w:ascii="Times New Roman" w:eastAsia="Times New Roman" w:hAnsi="Times New Roman" w:cs="Times New Roman"/>
          <w:color w:val="000000"/>
        </w:rPr>
        <w:tab/>
      </w:r>
      <w:r w:rsidR="004A4FD8" w:rsidRPr="005712E2">
        <w:rPr>
          <w:rFonts w:ascii="Times New Roman" w:eastAsia="Times New Roman" w:hAnsi="Times New Roman" w:cs="Times New Roman"/>
          <w:color w:val="000000"/>
        </w:rPr>
        <w:t>622</w:t>
      </w:r>
      <w:r w:rsidRPr="005712E2">
        <w:rPr>
          <w:rFonts w:ascii="Times New Roman" w:eastAsia="Times New Roman" w:hAnsi="Times New Roman" w:cs="Times New Roman"/>
          <w:color w:val="000000"/>
        </w:rPr>
        <w:t xml:space="preserve">  </w:t>
      </w:r>
    </w:p>
    <w:p w14:paraId="341E234F" w14:textId="5474EB84" w:rsidR="00483D44" w:rsidRPr="005712E2" w:rsidRDefault="00483D44" w:rsidP="00BD2B85">
      <w:pPr>
        <w:tabs>
          <w:tab w:val="right" w:leader="dot" w:pos="9356"/>
        </w:tabs>
        <w:spacing w:after="0" w:line="360" w:lineRule="auto"/>
        <w:ind w:firstLine="709"/>
        <w:jc w:val="both"/>
        <w:rPr>
          <w:rFonts w:ascii="Times New Roman" w:eastAsia="Calibri" w:hAnsi="Times New Roman" w:cs="Times New Roman"/>
          <w:bCs/>
        </w:rPr>
      </w:pPr>
      <w:r w:rsidRPr="005712E2">
        <w:rPr>
          <w:rFonts w:ascii="Times New Roman" w:eastAsia="Calibri" w:hAnsi="Times New Roman" w:cs="Times New Roman"/>
          <w:b/>
        </w:rPr>
        <w:t xml:space="preserve">Винокурова О.А., </w:t>
      </w:r>
      <w:r w:rsidRPr="005712E2">
        <w:rPr>
          <w:rFonts w:ascii="Times New Roman" w:eastAsia="Calibri" w:hAnsi="Times New Roman" w:cs="Times New Roman"/>
          <w:b/>
          <w:lang w:eastAsia="ru-RU"/>
        </w:rPr>
        <w:t xml:space="preserve">Научный руководитель: Арефьева С.А., </w:t>
      </w:r>
      <w:r w:rsidRPr="005712E2">
        <w:rPr>
          <w:rFonts w:ascii="Times New Roman" w:eastAsia="Calibri" w:hAnsi="Times New Roman" w:cs="Times New Roman"/>
          <w:bCs/>
        </w:rPr>
        <w:t>Влияние Agile– методологий на оптимизацию внутренней коммуникации и взаимодействия с клиентами в ИТ– компаниях</w:t>
      </w:r>
      <w:r w:rsidR="000F357D" w:rsidRPr="005712E2">
        <w:rPr>
          <w:rFonts w:ascii="Times New Roman" w:eastAsia="Calibri" w:hAnsi="Times New Roman" w:cs="Times New Roman"/>
          <w:bCs/>
        </w:rPr>
        <w:tab/>
      </w:r>
      <w:r w:rsidR="004A4FD8" w:rsidRPr="005712E2">
        <w:rPr>
          <w:rFonts w:ascii="Times New Roman" w:eastAsia="Calibri" w:hAnsi="Times New Roman" w:cs="Times New Roman"/>
          <w:bCs/>
        </w:rPr>
        <w:t>626</w:t>
      </w:r>
    </w:p>
    <w:p w14:paraId="033D4F31" w14:textId="1C90FAFC" w:rsidR="00483D44" w:rsidRPr="00D274B8" w:rsidRDefault="00483D44" w:rsidP="00BD2B85">
      <w:pPr>
        <w:tabs>
          <w:tab w:val="right" w:leader="dot" w:pos="9356"/>
        </w:tabs>
        <w:autoSpaceDE w:val="0"/>
        <w:autoSpaceDN w:val="0"/>
        <w:adjustRightInd w:val="0"/>
        <w:spacing w:after="0" w:line="360" w:lineRule="auto"/>
        <w:ind w:right="420" w:firstLine="709"/>
        <w:jc w:val="both"/>
        <w:rPr>
          <w:rFonts w:ascii="Times New Roman" w:eastAsia="Calibri" w:hAnsi="Times New Roman" w:cs="Times New Roman"/>
        </w:rPr>
      </w:pPr>
      <w:r w:rsidRPr="005712E2">
        <w:rPr>
          <w:rFonts w:ascii="Times New Roman" w:eastAsia="Calibri" w:hAnsi="Times New Roman" w:cs="Times New Roman"/>
          <w:b/>
          <w:bCs/>
          <w:kern w:val="2"/>
          <w:lang w:eastAsia="ru-RU"/>
          <w14:ligatures w14:val="standardContextual"/>
        </w:rPr>
        <w:t xml:space="preserve">Войнилович А.С., </w:t>
      </w:r>
      <w:r w:rsidRPr="005712E2">
        <w:rPr>
          <w:rFonts w:ascii="Times New Roman" w:eastAsia="Calibri" w:hAnsi="Times New Roman" w:cs="Times New Roman"/>
          <w:b/>
          <w:lang w:eastAsia="ru-RU"/>
        </w:rPr>
        <w:t xml:space="preserve">Научный руководитель: Радченко М.В., </w:t>
      </w:r>
      <w:r w:rsidRPr="005712E2">
        <w:rPr>
          <w:rFonts w:ascii="Times New Roman" w:eastAsia="Calibri" w:hAnsi="Times New Roman" w:cs="Times New Roman"/>
        </w:rPr>
        <w:t>Финансовое стимулирование развития инновационных отраслей</w:t>
      </w:r>
      <w:r w:rsidR="000F357D" w:rsidRPr="005712E2">
        <w:rPr>
          <w:rFonts w:ascii="Times New Roman" w:eastAsia="Calibri" w:hAnsi="Times New Roman" w:cs="Times New Roman"/>
        </w:rPr>
        <w:tab/>
      </w:r>
      <w:r w:rsidR="004A4FD8" w:rsidRPr="005712E2">
        <w:rPr>
          <w:rFonts w:ascii="Times New Roman" w:eastAsia="Calibri" w:hAnsi="Times New Roman" w:cs="Times New Roman"/>
        </w:rPr>
        <w:t>633</w:t>
      </w:r>
    </w:p>
    <w:p w14:paraId="6213B4D5" w14:textId="1718BFF2" w:rsidR="00483D44" w:rsidRPr="00D274B8" w:rsidRDefault="00483D44" w:rsidP="00BD2B85">
      <w:pPr>
        <w:tabs>
          <w:tab w:val="right" w:leader="dot" w:pos="9356"/>
        </w:tabs>
        <w:autoSpaceDE w:val="0"/>
        <w:autoSpaceDN w:val="0"/>
        <w:adjustRightInd w:val="0"/>
        <w:spacing w:after="0" w:line="360" w:lineRule="auto"/>
        <w:ind w:right="420" w:firstLine="709"/>
        <w:jc w:val="both"/>
        <w:rPr>
          <w:rFonts w:ascii="Times New Roman" w:eastAsia="Calibri" w:hAnsi="Times New Roman" w:cs="Times New Roman"/>
          <w:bCs/>
        </w:rPr>
      </w:pPr>
      <w:r w:rsidRPr="00D274B8">
        <w:rPr>
          <w:rFonts w:ascii="Times New Roman" w:eastAsia="Times New Roman" w:hAnsi="Times New Roman" w:cs="Times New Roman"/>
          <w:b/>
          <w:lang w:eastAsia="ru-RU"/>
        </w:rPr>
        <w:t xml:space="preserve">Жаворонков Е.М., </w:t>
      </w:r>
      <w:r w:rsidRPr="00D274B8">
        <w:rPr>
          <w:rFonts w:ascii="Times New Roman" w:eastAsia="Calibri" w:hAnsi="Times New Roman" w:cs="Times New Roman"/>
          <w:b/>
          <w:lang w:eastAsia="ru-RU"/>
        </w:rPr>
        <w:t xml:space="preserve">Научный руководитель: Нарыжная Н.Ю., </w:t>
      </w:r>
      <w:r w:rsidRPr="00D274B8">
        <w:rPr>
          <w:rFonts w:ascii="Times New Roman" w:eastAsia="Times New Roman" w:hAnsi="Times New Roman" w:cs="Times New Roman"/>
          <w:bCs/>
          <w:lang w:eastAsia="ru-RU"/>
        </w:rPr>
        <w:t>Применение искусственного интеллекта в банковском секторе</w:t>
      </w:r>
      <w:r w:rsidR="000F357D" w:rsidRPr="00D274B8">
        <w:rPr>
          <w:rFonts w:ascii="Times New Roman" w:eastAsia="Times New Roman" w:hAnsi="Times New Roman" w:cs="Times New Roman"/>
          <w:bCs/>
          <w:lang w:eastAsia="ru-RU"/>
        </w:rPr>
        <w:tab/>
      </w:r>
      <w:r w:rsidR="004A4FD8">
        <w:rPr>
          <w:rFonts w:ascii="Times New Roman" w:eastAsia="Times New Roman" w:hAnsi="Times New Roman" w:cs="Times New Roman"/>
          <w:bCs/>
          <w:lang w:eastAsia="ru-RU"/>
        </w:rPr>
        <w:t>639</w:t>
      </w:r>
    </w:p>
    <w:p w14:paraId="290D4BC4" w14:textId="07818A35" w:rsidR="00483D44" w:rsidRPr="00D274B8" w:rsidRDefault="00483D44" w:rsidP="00BD2B85">
      <w:pPr>
        <w:tabs>
          <w:tab w:val="right" w:leader="dot" w:pos="9356"/>
        </w:tabs>
        <w:spacing w:after="0" w:line="360" w:lineRule="auto"/>
        <w:ind w:right="420" w:firstLine="709"/>
        <w:jc w:val="both"/>
        <w:rPr>
          <w:rFonts w:ascii="Times New Roman" w:eastAsia="Times New Roman" w:hAnsi="Times New Roman" w:cs="Times New Roman"/>
          <w:color w:val="000000"/>
        </w:rPr>
      </w:pPr>
      <w:r w:rsidRPr="00D274B8">
        <w:rPr>
          <w:rFonts w:ascii="Times New Roman" w:eastAsia="Times New Roman" w:hAnsi="Times New Roman" w:cs="Times New Roman"/>
          <w:b/>
          <w:bCs/>
          <w:color w:val="000000"/>
        </w:rPr>
        <w:t xml:space="preserve">Кондратенко М.В., </w:t>
      </w:r>
      <w:r w:rsidRPr="00D274B8">
        <w:rPr>
          <w:rFonts w:ascii="Times New Roman" w:eastAsia="Calibri" w:hAnsi="Times New Roman" w:cs="Times New Roman"/>
          <w:b/>
          <w:lang w:eastAsia="ru-RU"/>
        </w:rPr>
        <w:t xml:space="preserve">Научный руководитель: Ищенко О.В., </w:t>
      </w:r>
      <w:r w:rsidRPr="00D274B8">
        <w:rPr>
          <w:rFonts w:ascii="Times New Roman" w:eastAsia="Times New Roman" w:hAnsi="Times New Roman" w:cs="Times New Roman"/>
          <w:color w:val="000000"/>
        </w:rPr>
        <w:t>Модернизация бизнес-процессов через цифровую трансформацию и бизнес-аналитику</w:t>
      </w:r>
      <w:r w:rsidR="000F357D" w:rsidRPr="00D274B8">
        <w:rPr>
          <w:rFonts w:ascii="Times New Roman" w:eastAsia="Times New Roman" w:hAnsi="Times New Roman" w:cs="Times New Roman"/>
          <w:color w:val="000000"/>
        </w:rPr>
        <w:tab/>
      </w:r>
      <w:r w:rsidR="004A4FD8">
        <w:rPr>
          <w:rFonts w:ascii="Times New Roman" w:eastAsia="Times New Roman" w:hAnsi="Times New Roman" w:cs="Times New Roman"/>
          <w:color w:val="000000"/>
        </w:rPr>
        <w:t>646</w:t>
      </w:r>
    </w:p>
    <w:p w14:paraId="7E205665" w14:textId="651A199E" w:rsidR="00483D44" w:rsidRPr="00D274B8" w:rsidRDefault="00483D44" w:rsidP="00BD2B85">
      <w:pPr>
        <w:tabs>
          <w:tab w:val="right" w:leader="dot" w:pos="9356"/>
        </w:tabs>
        <w:spacing w:after="0" w:line="360" w:lineRule="auto"/>
        <w:ind w:firstLine="709"/>
        <w:jc w:val="both"/>
        <w:rPr>
          <w:rFonts w:ascii="Times New Roman" w:eastAsia="Aptos" w:hAnsi="Times New Roman" w:cs="Times New Roman"/>
          <w:kern w:val="2"/>
          <w14:ligatures w14:val="standardContextual"/>
        </w:rPr>
      </w:pPr>
      <w:r w:rsidRPr="00D274B8">
        <w:rPr>
          <w:rFonts w:ascii="Times New Roman" w:eastAsia="Aptos" w:hAnsi="Times New Roman" w:cs="Times New Roman"/>
          <w:b/>
          <w:bCs/>
          <w:kern w:val="2"/>
          <w14:ligatures w14:val="standardContextual"/>
        </w:rPr>
        <w:t xml:space="preserve">Кондратов Д.В., </w:t>
      </w:r>
      <w:r w:rsidRPr="00D274B8">
        <w:rPr>
          <w:rFonts w:ascii="Times New Roman" w:eastAsia="Calibri" w:hAnsi="Times New Roman" w:cs="Times New Roman"/>
          <w:b/>
          <w:lang w:eastAsia="ru-RU"/>
        </w:rPr>
        <w:t xml:space="preserve">Научный руководитель: Ищенко О.В., </w:t>
      </w:r>
      <w:r w:rsidRPr="00D274B8">
        <w:rPr>
          <w:rFonts w:ascii="Times New Roman" w:eastAsia="Aptos" w:hAnsi="Times New Roman" w:cs="Times New Roman"/>
          <w:kern w:val="2"/>
          <w14:ligatures w14:val="standardContextual"/>
        </w:rPr>
        <w:t>Автоматизация и оптимизация бизнес-процессов на основе технологий искусственного интеллекта</w:t>
      </w:r>
      <w:r w:rsidR="000F357D" w:rsidRPr="00D274B8">
        <w:rPr>
          <w:rFonts w:ascii="Times New Roman" w:eastAsia="Aptos" w:hAnsi="Times New Roman" w:cs="Times New Roman"/>
          <w:kern w:val="2"/>
          <w14:ligatures w14:val="standardContextual"/>
        </w:rPr>
        <w:tab/>
      </w:r>
      <w:r w:rsidR="004A4FD8">
        <w:rPr>
          <w:rFonts w:ascii="Times New Roman" w:eastAsia="Aptos" w:hAnsi="Times New Roman" w:cs="Times New Roman"/>
          <w:kern w:val="2"/>
          <w14:ligatures w14:val="standardContextual"/>
        </w:rPr>
        <w:t>651</w:t>
      </w:r>
    </w:p>
    <w:p w14:paraId="399F69BC" w14:textId="68257717" w:rsidR="00483D44" w:rsidRPr="00D274B8" w:rsidRDefault="00483D44" w:rsidP="00BD2B85">
      <w:pPr>
        <w:tabs>
          <w:tab w:val="right" w:leader="dot" w:pos="9356"/>
        </w:tabs>
        <w:spacing w:after="0" w:line="360" w:lineRule="auto"/>
        <w:ind w:firstLine="709"/>
        <w:jc w:val="both"/>
        <w:rPr>
          <w:rFonts w:ascii="Times New Roman" w:eastAsia="Calibri" w:hAnsi="Times New Roman" w:cs="Times New Roman"/>
        </w:rPr>
      </w:pPr>
      <w:r w:rsidRPr="00D274B8">
        <w:rPr>
          <w:rFonts w:ascii="Times New Roman" w:eastAsia="Calibri" w:hAnsi="Times New Roman" w:cs="Times New Roman"/>
          <w:b/>
          <w:bCs/>
        </w:rPr>
        <w:t xml:space="preserve">Петров М.И., </w:t>
      </w:r>
      <w:r w:rsidRPr="00D274B8">
        <w:rPr>
          <w:rFonts w:ascii="Times New Roman" w:eastAsia="Calibri" w:hAnsi="Times New Roman" w:cs="Times New Roman"/>
          <w:b/>
          <w:lang w:eastAsia="ru-RU"/>
        </w:rPr>
        <w:t xml:space="preserve">Научный руководитель: Кобозева Е.М., </w:t>
      </w:r>
      <w:r w:rsidRPr="00D274B8">
        <w:rPr>
          <w:rFonts w:ascii="Times New Roman" w:eastAsia="Calibri" w:hAnsi="Times New Roman" w:cs="Times New Roman"/>
        </w:rPr>
        <w:t>Блокчейн в складском учете: обеспечение прозрачности и надежности цепочек поставок</w:t>
      </w:r>
      <w:r w:rsidR="000F357D" w:rsidRPr="00D274B8">
        <w:rPr>
          <w:rFonts w:ascii="Times New Roman" w:eastAsia="Calibri" w:hAnsi="Times New Roman" w:cs="Times New Roman"/>
        </w:rPr>
        <w:tab/>
      </w:r>
      <w:r w:rsidR="004A4FD8">
        <w:rPr>
          <w:rFonts w:ascii="Times New Roman" w:eastAsia="Calibri" w:hAnsi="Times New Roman" w:cs="Times New Roman"/>
        </w:rPr>
        <w:t>655</w:t>
      </w:r>
    </w:p>
    <w:p w14:paraId="33A833AE" w14:textId="5FF209FA" w:rsidR="00483D44" w:rsidRPr="00D274B8" w:rsidRDefault="00483D44" w:rsidP="00BD2B85">
      <w:pPr>
        <w:tabs>
          <w:tab w:val="right" w:leader="dot" w:pos="9356"/>
        </w:tabs>
        <w:spacing w:after="0" w:line="360" w:lineRule="auto"/>
        <w:ind w:firstLine="709"/>
        <w:jc w:val="both"/>
        <w:rPr>
          <w:rFonts w:ascii="Times New Roman" w:eastAsia="Times New Roman" w:hAnsi="Times New Roman" w:cs="Times New Roman"/>
          <w:bCs/>
          <w:lang w:eastAsia="ru-RU"/>
        </w:rPr>
      </w:pPr>
      <w:r w:rsidRPr="00D274B8">
        <w:rPr>
          <w:rFonts w:ascii="Times New Roman" w:eastAsia="Times New Roman" w:hAnsi="Times New Roman" w:cs="Times New Roman"/>
          <w:b/>
          <w:bCs/>
          <w:lang w:eastAsia="ru-RU"/>
        </w:rPr>
        <w:t xml:space="preserve">Прасолова Е.Е., </w:t>
      </w:r>
      <w:r w:rsidRPr="00D274B8">
        <w:rPr>
          <w:rFonts w:ascii="Times New Roman" w:eastAsia="Calibri" w:hAnsi="Times New Roman" w:cs="Times New Roman"/>
          <w:b/>
          <w:lang w:eastAsia="ru-RU"/>
        </w:rPr>
        <w:t xml:space="preserve">Научный руководитель: Кирий В.А., </w:t>
      </w:r>
      <w:r w:rsidRPr="00D274B8">
        <w:rPr>
          <w:rFonts w:ascii="Times New Roman" w:eastAsia="Times New Roman" w:hAnsi="Times New Roman" w:cs="Times New Roman"/>
          <w:bCs/>
          <w:lang w:eastAsia="ru-RU"/>
        </w:rPr>
        <w:t>Сравнение рекламных платформ</w:t>
      </w:r>
      <w:r w:rsidR="000F357D" w:rsidRPr="00D274B8">
        <w:rPr>
          <w:rFonts w:ascii="Times New Roman" w:eastAsia="Times New Roman" w:hAnsi="Times New Roman" w:cs="Times New Roman"/>
          <w:bCs/>
          <w:lang w:eastAsia="ru-RU"/>
        </w:rPr>
        <w:tab/>
      </w:r>
      <w:r w:rsidR="004A4FD8">
        <w:rPr>
          <w:rFonts w:ascii="Times New Roman" w:eastAsia="Times New Roman" w:hAnsi="Times New Roman" w:cs="Times New Roman"/>
          <w:bCs/>
          <w:lang w:eastAsia="ru-RU"/>
        </w:rPr>
        <w:t>.662</w:t>
      </w:r>
    </w:p>
    <w:p w14:paraId="56D360A4" w14:textId="106CE48B" w:rsidR="00483D44" w:rsidRPr="00D274B8" w:rsidRDefault="00483D44" w:rsidP="00BD2B85">
      <w:pPr>
        <w:tabs>
          <w:tab w:val="right" w:leader="dot" w:pos="9356"/>
        </w:tabs>
        <w:suppressAutoHyphens/>
        <w:spacing w:after="0" w:line="360" w:lineRule="auto"/>
        <w:ind w:right="420" w:firstLine="709"/>
        <w:jc w:val="both"/>
        <w:rPr>
          <w:rFonts w:ascii="Times New Roman" w:eastAsia="NSimSun" w:hAnsi="Times New Roman" w:cs="Times New Roman"/>
          <w:kern w:val="2"/>
          <w:lang w:eastAsia="zh-CN" w:bidi="hi-IN"/>
        </w:rPr>
      </w:pPr>
      <w:r w:rsidRPr="00D274B8">
        <w:rPr>
          <w:rFonts w:ascii="Times New Roman" w:eastAsia="NSimSun" w:hAnsi="Times New Roman" w:cs="Times New Roman"/>
          <w:b/>
          <w:bCs/>
          <w:kern w:val="2"/>
          <w:lang w:eastAsia="zh-CN" w:bidi="hi-IN"/>
        </w:rPr>
        <w:t xml:space="preserve">Радомский Д.Ю., </w:t>
      </w:r>
      <w:r w:rsidRPr="00D274B8">
        <w:rPr>
          <w:rFonts w:ascii="Times New Roman" w:eastAsia="Calibri" w:hAnsi="Times New Roman" w:cs="Times New Roman"/>
          <w:b/>
          <w:lang w:eastAsia="ru-RU"/>
        </w:rPr>
        <w:t xml:space="preserve">Научный руководитель: Нарыжная Н.Ю., </w:t>
      </w:r>
      <w:r w:rsidRPr="00D274B8">
        <w:rPr>
          <w:rFonts w:ascii="Times New Roman" w:eastAsia="NSimSun" w:hAnsi="Times New Roman" w:cs="Times New Roman"/>
          <w:kern w:val="2"/>
          <w:lang w:eastAsia="zh-CN" w:bidi="hi-IN"/>
        </w:rPr>
        <w:t>Анализ взаимосвязи между курсами валют и сырьевыми товарами</w:t>
      </w:r>
      <w:r w:rsidR="000F357D" w:rsidRPr="00D274B8">
        <w:rPr>
          <w:rFonts w:ascii="Times New Roman" w:eastAsia="NSimSun" w:hAnsi="Times New Roman" w:cs="Times New Roman"/>
          <w:kern w:val="2"/>
          <w:lang w:eastAsia="zh-CN" w:bidi="hi-IN"/>
        </w:rPr>
        <w:tab/>
      </w:r>
      <w:r w:rsidR="00EB1CB9">
        <w:rPr>
          <w:rFonts w:ascii="Times New Roman" w:eastAsia="NSimSun" w:hAnsi="Times New Roman" w:cs="Times New Roman"/>
          <w:kern w:val="2"/>
          <w:lang w:eastAsia="zh-CN" w:bidi="hi-IN"/>
        </w:rPr>
        <w:t>670</w:t>
      </w:r>
    </w:p>
    <w:p w14:paraId="062F69E5" w14:textId="4AA52F1C" w:rsidR="00483D44" w:rsidRPr="00D274B8" w:rsidRDefault="00483D44" w:rsidP="00BD2B85">
      <w:pPr>
        <w:tabs>
          <w:tab w:val="right" w:leader="dot" w:pos="9356"/>
        </w:tabs>
        <w:suppressAutoHyphens/>
        <w:spacing w:after="0" w:line="360" w:lineRule="auto"/>
        <w:ind w:right="420" w:firstLine="709"/>
        <w:jc w:val="both"/>
        <w:rPr>
          <w:rFonts w:ascii="Times New Roman" w:eastAsia="NSimSun" w:hAnsi="Times New Roman" w:cs="Times New Roman"/>
          <w:kern w:val="2"/>
          <w:lang w:eastAsia="zh-CN" w:bidi="hi-IN"/>
        </w:rPr>
      </w:pPr>
      <w:r w:rsidRPr="00D274B8">
        <w:rPr>
          <w:rFonts w:ascii="Times New Roman" w:eastAsia="DengXian Light" w:hAnsi="Times New Roman" w:cs="Times New Roman"/>
          <w:b/>
          <w:color w:val="000000"/>
          <w:lang w:eastAsia="ru-RU"/>
        </w:rPr>
        <w:t xml:space="preserve">Федусь М.И., </w:t>
      </w:r>
      <w:r w:rsidRPr="00D274B8">
        <w:rPr>
          <w:rFonts w:ascii="Times New Roman" w:eastAsia="Calibri" w:hAnsi="Times New Roman" w:cs="Times New Roman"/>
          <w:b/>
          <w:lang w:eastAsia="ru-RU"/>
        </w:rPr>
        <w:t xml:space="preserve">Научный руководитель: </w:t>
      </w:r>
      <w:r w:rsidRPr="00D274B8">
        <w:rPr>
          <w:rFonts w:ascii="Times New Roman" w:eastAsia="Calibri" w:hAnsi="Times New Roman" w:cs="Times New Roman"/>
          <w:b/>
        </w:rPr>
        <w:t xml:space="preserve">Васкевич Т.В., </w:t>
      </w:r>
      <w:r w:rsidRPr="00D274B8">
        <w:rPr>
          <w:rFonts w:ascii="Times New Roman" w:eastAsia="Times New Roman" w:hAnsi="Times New Roman" w:cs="Times New Roman"/>
          <w:color w:val="000000"/>
          <w14:ligatures w14:val="standardContextual"/>
        </w:rPr>
        <w:t>Информационная безопасность автоматизированных систем управления в промышленном сегменте</w:t>
      </w:r>
      <w:r w:rsidR="000F357D" w:rsidRPr="00D274B8">
        <w:rPr>
          <w:rFonts w:ascii="Times New Roman" w:eastAsia="Times New Roman" w:hAnsi="Times New Roman" w:cs="Times New Roman"/>
          <w:color w:val="000000"/>
          <w14:ligatures w14:val="standardContextual"/>
        </w:rPr>
        <w:tab/>
      </w:r>
      <w:r w:rsidR="00EB1CB9">
        <w:rPr>
          <w:rFonts w:ascii="Times New Roman" w:eastAsia="Times New Roman" w:hAnsi="Times New Roman" w:cs="Times New Roman"/>
          <w:color w:val="000000"/>
          <w14:ligatures w14:val="standardContextual"/>
        </w:rPr>
        <w:t>676</w:t>
      </w:r>
    </w:p>
    <w:p w14:paraId="63FE2266" w14:textId="654DB03E" w:rsidR="00483D44" w:rsidRPr="00D274B8" w:rsidRDefault="00483D44" w:rsidP="00BD2B85">
      <w:pPr>
        <w:tabs>
          <w:tab w:val="right" w:leader="dot" w:pos="9356"/>
        </w:tabs>
        <w:spacing w:after="0" w:line="360" w:lineRule="auto"/>
        <w:ind w:firstLine="709"/>
        <w:jc w:val="both"/>
        <w:rPr>
          <w:rFonts w:ascii="Times New Roman" w:eastAsia="Times New Roman" w:hAnsi="Times New Roman" w:cs="Times New Roman"/>
          <w:color w:val="000000"/>
          <w:lang w:eastAsia="ru-RU"/>
        </w:rPr>
      </w:pPr>
      <w:r w:rsidRPr="00D274B8">
        <w:rPr>
          <w:rFonts w:ascii="Times New Roman" w:eastAsia="Times New Roman" w:hAnsi="Times New Roman" w:cs="Times New Roman"/>
          <w:b/>
          <w:color w:val="000000"/>
          <w:lang w:eastAsia="ru-RU"/>
        </w:rPr>
        <w:t xml:space="preserve">Филатова Е.М., </w:t>
      </w:r>
      <w:r w:rsidRPr="00D274B8">
        <w:rPr>
          <w:rFonts w:ascii="Times New Roman" w:eastAsia="Calibri" w:hAnsi="Times New Roman" w:cs="Times New Roman"/>
          <w:b/>
          <w:lang w:eastAsia="ru-RU"/>
        </w:rPr>
        <w:t xml:space="preserve">Научный руководитель: </w:t>
      </w:r>
      <w:r w:rsidRPr="00D274B8">
        <w:rPr>
          <w:rFonts w:ascii="Times New Roman" w:eastAsia="Calibri" w:hAnsi="Times New Roman" w:cs="Times New Roman"/>
          <w:b/>
        </w:rPr>
        <w:t xml:space="preserve">Васкевич Т.В., </w:t>
      </w:r>
      <w:r w:rsidRPr="00D274B8">
        <w:rPr>
          <w:rFonts w:ascii="Times New Roman" w:eastAsia="Times New Roman" w:hAnsi="Times New Roman" w:cs="Times New Roman"/>
          <w:color w:val="000000"/>
          <w:lang w:eastAsia="ru-RU"/>
        </w:rPr>
        <w:t>Визуализация трендов музыкального потребления: анализ поведения аудитории с помощью дэшбордов</w:t>
      </w:r>
      <w:r w:rsidR="000F357D" w:rsidRPr="00D274B8">
        <w:rPr>
          <w:rFonts w:ascii="Times New Roman" w:eastAsia="Times New Roman" w:hAnsi="Times New Roman" w:cs="Times New Roman"/>
          <w:color w:val="000000"/>
          <w:lang w:eastAsia="ru-RU"/>
        </w:rPr>
        <w:tab/>
      </w:r>
      <w:r w:rsidR="00EB1CB9">
        <w:rPr>
          <w:rFonts w:ascii="Times New Roman" w:eastAsia="Times New Roman" w:hAnsi="Times New Roman" w:cs="Times New Roman"/>
          <w:color w:val="000000"/>
          <w:lang w:eastAsia="ru-RU"/>
        </w:rPr>
        <w:t>682</w:t>
      </w:r>
    </w:p>
    <w:p w14:paraId="277A8357" w14:textId="515602EC" w:rsidR="00483D44" w:rsidRPr="00D274B8" w:rsidRDefault="00483D44" w:rsidP="00BD2B85">
      <w:pPr>
        <w:keepNext/>
        <w:widowControl w:val="0"/>
        <w:tabs>
          <w:tab w:val="right" w:leader="dot" w:pos="9356"/>
        </w:tabs>
        <w:spacing w:after="0" w:line="360" w:lineRule="auto"/>
        <w:ind w:firstLine="709"/>
        <w:jc w:val="both"/>
        <w:rPr>
          <w:rFonts w:ascii="Times New Roman" w:eastAsia="Times New Roman" w:hAnsi="Times New Roman" w:cs="Times New Roman"/>
          <w:color w:val="000000"/>
          <w:lang w:eastAsia="ru-RU"/>
        </w:rPr>
      </w:pPr>
      <w:r w:rsidRPr="00D274B8">
        <w:rPr>
          <w:rFonts w:ascii="Times New Roman" w:eastAsia="Aptos" w:hAnsi="Times New Roman" w:cs="Times New Roman"/>
          <w:b/>
          <w:bCs/>
          <w:shd w:val="clear" w:color="auto" w:fill="FFFFFF"/>
        </w:rPr>
        <w:t xml:space="preserve">Чебаненко Д.Е., </w:t>
      </w:r>
      <w:r w:rsidRPr="00D274B8">
        <w:rPr>
          <w:rFonts w:ascii="Times New Roman" w:eastAsia="Calibri" w:hAnsi="Times New Roman" w:cs="Times New Roman"/>
          <w:b/>
          <w:lang w:eastAsia="ru-RU"/>
        </w:rPr>
        <w:t xml:space="preserve">Научный руководитель: </w:t>
      </w:r>
      <w:r w:rsidRPr="00D274B8">
        <w:rPr>
          <w:rFonts w:ascii="Times New Roman" w:eastAsia="Calibri" w:hAnsi="Times New Roman" w:cs="Times New Roman"/>
          <w:b/>
        </w:rPr>
        <w:t xml:space="preserve">Васкевич Т.В., </w:t>
      </w:r>
      <w:r w:rsidRPr="00D274B8">
        <w:rPr>
          <w:rFonts w:ascii="Times New Roman" w:eastAsia="Times New Roman" w:hAnsi="Times New Roman" w:cs="Times New Roman"/>
          <w:color w:val="000000"/>
          <w:lang w:eastAsia="ru-RU"/>
        </w:rPr>
        <w:t xml:space="preserve">Оценка </w:t>
      </w:r>
      <w:r w:rsidR="00903F95">
        <w:rPr>
          <w:rFonts w:ascii="Times New Roman" w:eastAsia="Times New Roman" w:hAnsi="Times New Roman" w:cs="Times New Roman"/>
          <w:color w:val="000000"/>
          <w:lang w:eastAsia="ru-RU"/>
        </w:rPr>
        <w:t xml:space="preserve">эффективности внедрения системы </w:t>
      </w:r>
      <w:r w:rsidRPr="00D274B8">
        <w:rPr>
          <w:rFonts w:ascii="Times New Roman" w:eastAsia="Times New Roman" w:hAnsi="Times New Roman" w:cs="Times New Roman"/>
          <w:color w:val="000000"/>
          <w:lang w:eastAsia="ru-RU"/>
        </w:rPr>
        <w:t>подготовки аналитической отчетности медицинской организации с использованием инструментов бизнес-аналитики</w:t>
      </w:r>
      <w:r w:rsidR="000F357D" w:rsidRPr="00D274B8">
        <w:rPr>
          <w:rFonts w:ascii="Times New Roman" w:eastAsia="Times New Roman" w:hAnsi="Times New Roman" w:cs="Times New Roman"/>
          <w:color w:val="000000"/>
          <w:lang w:eastAsia="ru-RU"/>
        </w:rPr>
        <w:tab/>
      </w:r>
      <w:r w:rsidR="00EB1CB9">
        <w:rPr>
          <w:rFonts w:ascii="Times New Roman" w:eastAsia="Times New Roman" w:hAnsi="Times New Roman" w:cs="Times New Roman"/>
          <w:color w:val="000000"/>
          <w:lang w:eastAsia="ru-RU"/>
        </w:rPr>
        <w:t>689</w:t>
      </w:r>
    </w:p>
    <w:p w14:paraId="220D63BE" w14:textId="0F13312D" w:rsidR="00817CB0" w:rsidRDefault="00483D44" w:rsidP="00BD2B85">
      <w:pPr>
        <w:tabs>
          <w:tab w:val="right" w:leader="dot" w:pos="9356"/>
        </w:tabs>
        <w:suppressAutoHyphens/>
        <w:spacing w:after="0" w:line="360" w:lineRule="auto"/>
        <w:ind w:firstLine="709"/>
        <w:jc w:val="both"/>
        <w:rPr>
          <w:rFonts w:ascii="Times New Roman" w:eastAsia="Calibri" w:hAnsi="Times New Roman" w:cs="Times New Roman"/>
          <w:kern w:val="2"/>
          <w14:ligatures w14:val="standardContextual"/>
        </w:rPr>
      </w:pPr>
      <w:r w:rsidRPr="00D274B8">
        <w:rPr>
          <w:rFonts w:ascii="Times New Roman" w:eastAsia="Times New Roman" w:hAnsi="Times New Roman" w:cs="Times New Roman"/>
          <w:b/>
          <w:kern w:val="2"/>
          <w14:ligatures w14:val="standardContextual"/>
        </w:rPr>
        <w:t xml:space="preserve">Шубин Д.Д., </w:t>
      </w:r>
      <w:r w:rsidRPr="00D274B8">
        <w:rPr>
          <w:rFonts w:ascii="Times New Roman" w:eastAsia="Calibri" w:hAnsi="Times New Roman" w:cs="Times New Roman"/>
          <w:b/>
          <w:lang w:eastAsia="ru-RU"/>
        </w:rPr>
        <w:t xml:space="preserve">Научный руководитель: Кирий В.А., </w:t>
      </w:r>
      <w:r w:rsidRPr="00D274B8">
        <w:rPr>
          <w:rFonts w:ascii="Times New Roman" w:eastAsia="Calibri" w:hAnsi="Times New Roman" w:cs="Times New Roman"/>
          <w:kern w:val="2"/>
          <w14:ligatures w14:val="standardContextual"/>
        </w:rPr>
        <w:t>Анализ логистики системы доставки заказов</w:t>
      </w:r>
      <w:r w:rsidR="000F357D" w:rsidRPr="00D274B8">
        <w:rPr>
          <w:rFonts w:ascii="Times New Roman" w:eastAsia="Calibri" w:hAnsi="Times New Roman" w:cs="Times New Roman"/>
          <w:kern w:val="2"/>
          <w14:ligatures w14:val="standardContextual"/>
        </w:rPr>
        <w:tab/>
      </w:r>
      <w:r w:rsidR="00EB1CB9">
        <w:rPr>
          <w:rFonts w:ascii="Times New Roman" w:eastAsia="Calibri" w:hAnsi="Times New Roman" w:cs="Times New Roman"/>
          <w:kern w:val="2"/>
          <w14:ligatures w14:val="standardContextual"/>
        </w:rPr>
        <w:t>696</w:t>
      </w:r>
    </w:p>
    <w:p w14:paraId="6E52517B" w14:textId="77777777" w:rsidR="00817CB0" w:rsidRDefault="00817CB0">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br w:type="page"/>
      </w:r>
    </w:p>
    <w:p w14:paraId="15868583" w14:textId="75B9EC6F" w:rsidR="00483D44" w:rsidRPr="00D274B8" w:rsidRDefault="00483D44" w:rsidP="000F357D">
      <w:pPr>
        <w:keepNext/>
        <w:keepLines/>
        <w:tabs>
          <w:tab w:val="right" w:leader="dot" w:pos="9356"/>
        </w:tabs>
        <w:spacing w:after="0" w:line="240" w:lineRule="auto"/>
        <w:ind w:firstLine="709"/>
        <w:jc w:val="both"/>
        <w:rPr>
          <w:rFonts w:ascii="Times New Roman" w:hAnsi="Times New Roman" w:cs="Times New Roman"/>
          <w:b/>
          <w:bCs/>
          <w:iCs/>
        </w:rPr>
      </w:pPr>
      <w:r w:rsidRPr="00D274B8">
        <w:rPr>
          <w:rFonts w:ascii="Times New Roman" w:hAnsi="Times New Roman" w:cs="Times New Roman"/>
          <w:b/>
          <w:bCs/>
          <w:iCs/>
        </w:rPr>
        <w:lastRenderedPageBreak/>
        <w:t>РАЗДЕЛ 7. РОССИЙСКОЕ ОБЩЕСТВО В ТРАНСФОРМИРУЮЩЕМСЯ МИРЕ: ОТ ИСТОКОВ К СОВРЕМЕННОСТИ</w:t>
      </w:r>
      <w:r w:rsidR="000F357D" w:rsidRPr="00D274B8">
        <w:rPr>
          <w:rFonts w:ascii="Times New Roman" w:hAnsi="Times New Roman" w:cs="Times New Roman"/>
          <w:b/>
          <w:bCs/>
          <w:iCs/>
        </w:rPr>
        <w:tab/>
      </w:r>
      <w:r w:rsidR="00EB1CB9">
        <w:rPr>
          <w:rFonts w:ascii="Times New Roman" w:hAnsi="Times New Roman" w:cs="Times New Roman"/>
          <w:b/>
          <w:bCs/>
          <w:iCs/>
        </w:rPr>
        <w:t>701</w:t>
      </w:r>
    </w:p>
    <w:p w14:paraId="387FFAB4" w14:textId="65AFA0BF" w:rsidR="00483D44" w:rsidRPr="00D274B8" w:rsidRDefault="00483D44" w:rsidP="000F357D">
      <w:pPr>
        <w:tabs>
          <w:tab w:val="right" w:leader="dot" w:pos="9356"/>
        </w:tabs>
        <w:spacing w:after="0" w:line="360" w:lineRule="auto"/>
        <w:ind w:firstLine="709"/>
        <w:jc w:val="both"/>
        <w:rPr>
          <w:rFonts w:ascii="Times New Roman" w:eastAsia="Times New Roman" w:hAnsi="Times New Roman" w:cs="Times New Roman"/>
          <w:bCs/>
          <w:iCs/>
        </w:rPr>
      </w:pPr>
      <w:r w:rsidRPr="00D274B8">
        <w:rPr>
          <w:rFonts w:ascii="Times New Roman" w:eastAsia="Times New Roman" w:hAnsi="Times New Roman" w:cs="Times New Roman"/>
          <w:b/>
          <w:iCs/>
        </w:rPr>
        <w:t xml:space="preserve">Амирханян А.А., </w:t>
      </w:r>
      <w:r w:rsidRPr="00D274B8">
        <w:rPr>
          <w:rFonts w:ascii="Times New Roman" w:eastAsia="Calibri" w:hAnsi="Times New Roman" w:cs="Times New Roman"/>
          <w:b/>
          <w:iCs/>
          <w:lang w:eastAsia="ru-RU"/>
        </w:rPr>
        <w:t xml:space="preserve">Научный руководитель: Кирий Е.В., </w:t>
      </w:r>
      <w:r w:rsidRPr="00D274B8">
        <w:rPr>
          <w:rFonts w:ascii="Times New Roman" w:eastAsia="Times New Roman" w:hAnsi="Times New Roman" w:cs="Times New Roman"/>
          <w:bCs/>
          <w:iCs/>
        </w:rPr>
        <w:t>Групповая динамика: как взаимодействие в команде способствует улучшению физической формы</w:t>
      </w:r>
      <w:r w:rsidR="00562231" w:rsidRPr="00D274B8">
        <w:rPr>
          <w:rFonts w:ascii="Times New Roman" w:eastAsia="Times New Roman" w:hAnsi="Times New Roman" w:cs="Times New Roman"/>
          <w:bCs/>
          <w:iCs/>
        </w:rPr>
        <w:tab/>
      </w:r>
      <w:r w:rsidR="00EB1CB9">
        <w:rPr>
          <w:rFonts w:ascii="Times New Roman" w:eastAsia="Times New Roman" w:hAnsi="Times New Roman" w:cs="Times New Roman"/>
          <w:bCs/>
          <w:iCs/>
        </w:rPr>
        <w:t>701</w:t>
      </w:r>
    </w:p>
    <w:p w14:paraId="20C1ABAD" w14:textId="03ACD6B2" w:rsidR="00483D44" w:rsidRPr="00D274B8" w:rsidRDefault="00483D44" w:rsidP="000F357D">
      <w:pPr>
        <w:tabs>
          <w:tab w:val="right" w:leader="dot" w:pos="9356"/>
        </w:tabs>
        <w:spacing w:after="0" w:line="360" w:lineRule="auto"/>
        <w:ind w:firstLine="709"/>
        <w:jc w:val="both"/>
        <w:rPr>
          <w:rFonts w:ascii="Times New Roman" w:eastAsia="Times New Roman" w:hAnsi="Times New Roman" w:cs="Times New Roman"/>
          <w:iCs/>
        </w:rPr>
      </w:pPr>
      <w:r w:rsidRPr="00D274B8">
        <w:rPr>
          <w:rFonts w:ascii="Times New Roman" w:eastAsia="Times New Roman" w:hAnsi="Times New Roman" w:cs="Times New Roman"/>
          <w:b/>
          <w:bCs/>
          <w:iCs/>
        </w:rPr>
        <w:t xml:space="preserve">Бахишева Л.Ф., </w:t>
      </w:r>
      <w:r w:rsidRPr="00D274B8">
        <w:rPr>
          <w:rFonts w:ascii="Times New Roman" w:eastAsia="Calibri" w:hAnsi="Times New Roman" w:cs="Times New Roman"/>
          <w:b/>
          <w:iCs/>
          <w:lang w:eastAsia="ru-RU"/>
        </w:rPr>
        <w:t xml:space="preserve">Научный руководитель: Кирий Е.В., </w:t>
      </w:r>
      <w:r w:rsidRPr="00D274B8">
        <w:rPr>
          <w:rFonts w:ascii="Times New Roman" w:eastAsia="Times New Roman" w:hAnsi="Times New Roman" w:cs="Times New Roman"/>
          <w:iCs/>
        </w:rPr>
        <w:t xml:space="preserve">Оценка биологического возраст студентов 1-2 курсов по показателям статистической балансировки </w:t>
      </w:r>
      <w:r w:rsidR="00562231" w:rsidRPr="00D274B8">
        <w:rPr>
          <w:rFonts w:ascii="Times New Roman" w:eastAsia="Times New Roman" w:hAnsi="Times New Roman" w:cs="Times New Roman"/>
          <w:iCs/>
        </w:rPr>
        <w:tab/>
      </w:r>
      <w:r w:rsidR="00EB1CB9">
        <w:rPr>
          <w:rFonts w:ascii="Times New Roman" w:eastAsia="Times New Roman" w:hAnsi="Times New Roman" w:cs="Times New Roman"/>
          <w:iCs/>
        </w:rPr>
        <w:t>707</w:t>
      </w:r>
    </w:p>
    <w:p w14:paraId="40E3CEFC" w14:textId="75256067" w:rsidR="00483D44" w:rsidRPr="00D274B8" w:rsidRDefault="00483D44" w:rsidP="000F357D">
      <w:pPr>
        <w:tabs>
          <w:tab w:val="right" w:leader="dot" w:pos="9356"/>
        </w:tabs>
        <w:spacing w:after="0" w:line="360" w:lineRule="auto"/>
        <w:ind w:firstLine="709"/>
        <w:jc w:val="both"/>
        <w:rPr>
          <w:rFonts w:ascii="Times New Roman" w:eastAsia="Times New Roman" w:hAnsi="Times New Roman" w:cs="Times New Roman"/>
          <w:bCs/>
          <w:iCs/>
        </w:rPr>
      </w:pPr>
      <w:r w:rsidRPr="00D274B8">
        <w:rPr>
          <w:rFonts w:ascii="Times New Roman" w:eastAsia="Times New Roman" w:hAnsi="Times New Roman" w:cs="Times New Roman"/>
          <w:b/>
          <w:bCs/>
          <w:iCs/>
          <w:color w:val="000000"/>
          <w:shd w:val="clear" w:color="auto" w:fill="FFFFFF"/>
          <w:lang w:eastAsia="ru-RU"/>
        </w:rPr>
        <w:t xml:space="preserve">Зеленская Е.Д., </w:t>
      </w:r>
      <w:r w:rsidRPr="00D274B8">
        <w:rPr>
          <w:rFonts w:ascii="Times New Roman" w:eastAsia="Calibri" w:hAnsi="Times New Roman" w:cs="Times New Roman"/>
          <w:b/>
          <w:iCs/>
          <w:lang w:eastAsia="ru-RU"/>
        </w:rPr>
        <w:t xml:space="preserve">Научный руководитель: Боцоева А.В., </w:t>
      </w:r>
      <w:r w:rsidRPr="00D274B8">
        <w:rPr>
          <w:rFonts w:ascii="Times New Roman" w:eastAsia="Times New Roman" w:hAnsi="Times New Roman" w:cs="Times New Roman"/>
          <w:bCs/>
          <w:iCs/>
        </w:rPr>
        <w:t>Дети, воспитанные смартфонами: как обучать поколение Альфа?</w:t>
      </w:r>
      <w:r w:rsidR="00562231" w:rsidRPr="00D274B8">
        <w:rPr>
          <w:rFonts w:ascii="Times New Roman" w:eastAsia="Times New Roman" w:hAnsi="Times New Roman" w:cs="Times New Roman"/>
          <w:bCs/>
          <w:iCs/>
        </w:rPr>
        <w:tab/>
      </w:r>
      <w:r w:rsidR="00EB1CB9">
        <w:rPr>
          <w:rFonts w:ascii="Times New Roman" w:eastAsia="Times New Roman" w:hAnsi="Times New Roman" w:cs="Times New Roman"/>
          <w:bCs/>
          <w:iCs/>
        </w:rPr>
        <w:t>711</w:t>
      </w:r>
    </w:p>
    <w:p w14:paraId="7E8869CB" w14:textId="25D537BB" w:rsidR="00483D44" w:rsidRPr="00D274B8" w:rsidRDefault="00483D44" w:rsidP="000F357D">
      <w:pPr>
        <w:tabs>
          <w:tab w:val="right" w:leader="dot" w:pos="9356"/>
        </w:tabs>
        <w:suppressAutoHyphens/>
        <w:spacing w:after="0" w:line="360" w:lineRule="auto"/>
        <w:ind w:firstLine="709"/>
        <w:jc w:val="both"/>
        <w:rPr>
          <w:rFonts w:ascii="Times New Roman" w:eastAsia="Times New Roman" w:hAnsi="Times New Roman" w:cs="Times New Roman"/>
          <w:b/>
          <w:iCs/>
          <w:lang w:eastAsia="ar-SA"/>
        </w:rPr>
      </w:pPr>
      <w:r w:rsidRPr="00D274B8">
        <w:rPr>
          <w:rFonts w:ascii="Times New Roman" w:eastAsia="Times New Roman" w:hAnsi="Times New Roman" w:cs="Times New Roman"/>
          <w:b/>
          <w:iCs/>
          <w:color w:val="000000"/>
          <w:lang w:eastAsia="ar-SA"/>
        </w:rPr>
        <w:t xml:space="preserve">Клочкова С.В., </w:t>
      </w:r>
      <w:r w:rsidRPr="00D274B8">
        <w:rPr>
          <w:rFonts w:ascii="Times New Roman" w:eastAsia="Calibri" w:hAnsi="Times New Roman" w:cs="Times New Roman"/>
          <w:b/>
          <w:iCs/>
          <w:lang w:eastAsia="ru-RU"/>
        </w:rPr>
        <w:t xml:space="preserve">Научный руководитель: </w:t>
      </w:r>
      <w:r w:rsidRPr="00D274B8">
        <w:rPr>
          <w:rFonts w:ascii="Times New Roman" w:eastAsia="Times New Roman" w:hAnsi="Times New Roman" w:cs="Times New Roman"/>
          <w:b/>
          <w:iCs/>
        </w:rPr>
        <w:t xml:space="preserve">Аведисян Н.Н., </w:t>
      </w:r>
      <w:r w:rsidRPr="00D274B8">
        <w:rPr>
          <w:rFonts w:ascii="Times New Roman" w:eastAsia="Times New Roman" w:hAnsi="Times New Roman" w:cs="Times New Roman"/>
          <w:bCs/>
          <w:iCs/>
          <w:lang w:eastAsia="ar-SA"/>
        </w:rPr>
        <w:t>Исследования психологических барьеров участия студентов в конкурсах инновационных решений для устойчивого экономического роста региона</w:t>
      </w:r>
      <w:r w:rsidR="00562231" w:rsidRPr="00D274B8">
        <w:rPr>
          <w:rFonts w:ascii="Times New Roman" w:eastAsia="Times New Roman" w:hAnsi="Times New Roman" w:cs="Times New Roman"/>
          <w:bCs/>
          <w:iCs/>
          <w:lang w:eastAsia="ar-SA"/>
        </w:rPr>
        <w:tab/>
      </w:r>
      <w:r w:rsidR="00EB1CB9">
        <w:rPr>
          <w:rFonts w:ascii="Times New Roman" w:eastAsia="Times New Roman" w:hAnsi="Times New Roman" w:cs="Times New Roman"/>
          <w:bCs/>
          <w:iCs/>
          <w:lang w:eastAsia="ar-SA"/>
        </w:rPr>
        <w:t>718</w:t>
      </w:r>
    </w:p>
    <w:p w14:paraId="524F7F31" w14:textId="356595C5" w:rsidR="00483D44" w:rsidRPr="00D274B8" w:rsidRDefault="00483D44" w:rsidP="000F357D">
      <w:pPr>
        <w:tabs>
          <w:tab w:val="right" w:leader="dot" w:pos="9356"/>
        </w:tabs>
        <w:spacing w:after="0" w:line="360" w:lineRule="auto"/>
        <w:ind w:firstLine="709"/>
        <w:jc w:val="both"/>
        <w:rPr>
          <w:rFonts w:ascii="Times New Roman" w:eastAsia="Calibri" w:hAnsi="Times New Roman" w:cs="Times New Roman"/>
          <w:b/>
          <w:iCs/>
        </w:rPr>
      </w:pPr>
      <w:r w:rsidRPr="00D274B8">
        <w:rPr>
          <w:rFonts w:ascii="Times New Roman" w:eastAsia="Calibri" w:hAnsi="Times New Roman" w:cs="Times New Roman"/>
          <w:b/>
          <w:iCs/>
        </w:rPr>
        <w:t xml:space="preserve">Лагошина Е.А., </w:t>
      </w:r>
      <w:r w:rsidRPr="00D274B8">
        <w:rPr>
          <w:rFonts w:ascii="Times New Roman" w:eastAsia="Calibri" w:hAnsi="Times New Roman" w:cs="Times New Roman"/>
          <w:b/>
          <w:iCs/>
          <w:lang w:eastAsia="ru-RU"/>
        </w:rPr>
        <w:t xml:space="preserve">Научный руководитель: Комар Я.В., </w:t>
      </w:r>
      <w:r w:rsidRPr="00D274B8">
        <w:rPr>
          <w:rFonts w:ascii="Times New Roman" w:eastAsia="Calibri" w:hAnsi="Times New Roman" w:cs="Times New Roman"/>
          <w:bCs/>
          <w:iCs/>
        </w:rPr>
        <w:t>Трансформация трудовой этики: от служения к самореализации</w:t>
      </w:r>
      <w:r w:rsidR="00562231" w:rsidRPr="00D274B8">
        <w:rPr>
          <w:rFonts w:ascii="Times New Roman" w:eastAsia="Calibri" w:hAnsi="Times New Roman" w:cs="Times New Roman"/>
          <w:bCs/>
          <w:iCs/>
        </w:rPr>
        <w:tab/>
      </w:r>
      <w:r w:rsidR="00EB1CB9">
        <w:rPr>
          <w:rFonts w:ascii="Times New Roman" w:eastAsia="Calibri" w:hAnsi="Times New Roman" w:cs="Times New Roman"/>
          <w:bCs/>
          <w:iCs/>
        </w:rPr>
        <w:t>725</w:t>
      </w:r>
    </w:p>
    <w:p w14:paraId="4ECF4AC0" w14:textId="64BC7805" w:rsidR="00483D44" w:rsidRPr="00D274B8" w:rsidRDefault="00483D44" w:rsidP="000F357D">
      <w:pPr>
        <w:pBdr>
          <w:top w:val="nil"/>
          <w:left w:val="nil"/>
          <w:bottom w:val="nil"/>
          <w:right w:val="nil"/>
          <w:between w:val="nil"/>
          <w:bar w:val="nil"/>
        </w:pBdr>
        <w:tabs>
          <w:tab w:val="right" w:leader="dot" w:pos="9356"/>
        </w:tabs>
        <w:spacing w:after="0" w:line="360" w:lineRule="auto"/>
        <w:ind w:firstLine="709"/>
        <w:jc w:val="both"/>
        <w:rPr>
          <w:rFonts w:ascii="Times New Roman" w:eastAsia="Times New Roman" w:hAnsi="Times New Roman" w:cs="Times New Roman"/>
          <w:b/>
          <w:bCs/>
          <w:iCs/>
          <w:color w:val="000000"/>
          <w:u w:color="000000"/>
          <w:bdr w:val="nil"/>
          <w:lang w:eastAsia="ru-RU"/>
          <w14:textOutline w14:w="12700" w14:cap="flat" w14:cmpd="sng" w14:algn="ctr">
            <w14:noFill/>
            <w14:prstDash w14:val="solid"/>
            <w14:miter w14:lim="400000"/>
          </w14:textOutline>
        </w:rPr>
      </w:pPr>
      <w:r w:rsidRPr="00D274B8">
        <w:rPr>
          <w:rFonts w:ascii="Times New Roman" w:eastAsia="Arial Unicode MS" w:hAnsi="Times New Roman" w:cs="Arial Unicode MS"/>
          <w:b/>
          <w:bCs/>
          <w:iCs/>
          <w:color w:val="000000"/>
          <w:u w:color="000000"/>
          <w:bdr w:val="nil"/>
          <w:lang w:eastAsia="ru-RU"/>
          <w14:textOutline w14:w="12700" w14:cap="flat" w14:cmpd="sng" w14:algn="ctr">
            <w14:noFill/>
            <w14:prstDash w14:val="solid"/>
            <w14:miter w14:lim="400000"/>
          </w14:textOutline>
        </w:rPr>
        <w:t xml:space="preserve">Марусевич Ю.В., </w:t>
      </w:r>
      <w:r w:rsidRPr="00D274B8">
        <w:rPr>
          <w:rFonts w:ascii="Times New Roman" w:eastAsia="Calibri" w:hAnsi="Times New Roman" w:cs="Times New Roman"/>
          <w:b/>
          <w:iCs/>
          <w:lang w:eastAsia="ru-RU"/>
        </w:rPr>
        <w:t xml:space="preserve">Научный руководитель: Бершадская О.В., </w:t>
      </w:r>
      <w:r w:rsidRPr="00D274B8">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Влияние миграции на экономическое развитие России</w:t>
      </w:r>
      <w:r w:rsidR="00562231" w:rsidRPr="00D274B8">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ab/>
      </w:r>
      <w:r w:rsidR="00EB1CB9">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730</w:t>
      </w:r>
    </w:p>
    <w:p w14:paraId="01737A53" w14:textId="56FBAC1F" w:rsidR="00483D44" w:rsidRPr="00D274B8" w:rsidRDefault="00483D44" w:rsidP="000F357D">
      <w:pPr>
        <w:tabs>
          <w:tab w:val="right" w:leader="dot" w:pos="9356"/>
        </w:tabs>
        <w:spacing w:after="0" w:line="360" w:lineRule="auto"/>
        <w:ind w:firstLine="709"/>
        <w:contextualSpacing/>
        <w:jc w:val="both"/>
        <w:rPr>
          <w:rFonts w:ascii="Times New Roman" w:eastAsiaTheme="minorHAnsi" w:hAnsi="Times New Roman" w:cs="Times New Roman"/>
          <w:b/>
          <w:iCs/>
        </w:rPr>
      </w:pPr>
      <w:r w:rsidRPr="00D274B8">
        <w:rPr>
          <w:rFonts w:ascii="Times New Roman" w:eastAsiaTheme="minorHAnsi" w:hAnsi="Times New Roman" w:cs="Times New Roman"/>
          <w:b/>
          <w:iCs/>
        </w:rPr>
        <w:t>Налетова У.В</w:t>
      </w:r>
      <w:r w:rsidRPr="00D274B8">
        <w:rPr>
          <w:rFonts w:ascii="Times New Roman" w:eastAsia="Calibri" w:hAnsi="Times New Roman" w:cs="Times New Roman"/>
          <w:b/>
          <w:iCs/>
        </w:rPr>
        <w:t xml:space="preserve">., </w:t>
      </w:r>
      <w:r w:rsidRPr="00D274B8">
        <w:rPr>
          <w:rFonts w:ascii="Times New Roman" w:eastAsia="Calibri" w:hAnsi="Times New Roman" w:cs="Times New Roman"/>
          <w:b/>
          <w:iCs/>
          <w:lang w:eastAsia="ru-RU"/>
        </w:rPr>
        <w:t xml:space="preserve">Научный руководитель: Берлин С.И., </w:t>
      </w:r>
      <w:r w:rsidRPr="00D274B8">
        <w:rPr>
          <w:rFonts w:ascii="Times New Roman" w:eastAsiaTheme="minorHAnsi" w:hAnsi="Times New Roman" w:cs="Times New Roman"/>
          <w:bCs/>
          <w:iCs/>
        </w:rPr>
        <w:t>Трансформация культуры инвестирования в России</w:t>
      </w:r>
      <w:r w:rsidR="00562231" w:rsidRPr="00D274B8">
        <w:rPr>
          <w:rFonts w:ascii="Times New Roman" w:eastAsiaTheme="minorHAnsi" w:hAnsi="Times New Roman" w:cs="Times New Roman"/>
          <w:bCs/>
          <w:iCs/>
        </w:rPr>
        <w:tab/>
      </w:r>
      <w:r w:rsidR="00EB1CB9">
        <w:rPr>
          <w:rFonts w:ascii="Times New Roman" w:eastAsiaTheme="minorHAnsi" w:hAnsi="Times New Roman" w:cs="Times New Roman"/>
          <w:bCs/>
          <w:iCs/>
        </w:rPr>
        <w:t>737</w:t>
      </w:r>
    </w:p>
    <w:p w14:paraId="46287C12" w14:textId="4A862757" w:rsidR="00483D44" w:rsidRPr="00D274B8" w:rsidRDefault="00483D44" w:rsidP="000F357D">
      <w:pPr>
        <w:tabs>
          <w:tab w:val="right" w:leader="dot" w:pos="9356"/>
        </w:tabs>
        <w:spacing w:after="0" w:line="360" w:lineRule="auto"/>
        <w:ind w:firstLine="709"/>
        <w:jc w:val="both"/>
        <w:rPr>
          <w:rFonts w:ascii="Times New Roman" w:eastAsia="Times New Roman" w:hAnsi="Times New Roman" w:cs="Times New Roman"/>
          <w:iCs/>
          <w:lang w:eastAsia="ar-SA"/>
        </w:rPr>
      </w:pPr>
      <w:r w:rsidRPr="00D274B8">
        <w:rPr>
          <w:rFonts w:ascii="Times New Roman" w:eastAsia="Times New Roman" w:hAnsi="Times New Roman" w:cs="Times New Roman"/>
          <w:b/>
          <w:iCs/>
          <w:color w:val="000000"/>
        </w:rPr>
        <w:t xml:space="preserve">Тонконог А.Н., </w:t>
      </w:r>
      <w:r w:rsidRPr="00D274B8">
        <w:rPr>
          <w:rFonts w:ascii="Times New Roman" w:eastAsia="Calibri" w:hAnsi="Times New Roman" w:cs="Times New Roman"/>
          <w:b/>
          <w:iCs/>
          <w:lang w:eastAsia="ru-RU"/>
        </w:rPr>
        <w:t xml:space="preserve">Научный руководитель: Бершадская О.В., </w:t>
      </w:r>
      <w:r w:rsidRPr="00D274B8">
        <w:rPr>
          <w:rFonts w:ascii="Times New Roman" w:eastAsia="Times New Roman" w:hAnsi="Times New Roman" w:cs="Times New Roman"/>
          <w:iCs/>
          <w:lang w:eastAsia="ar-SA"/>
        </w:rPr>
        <w:t>Цивилизационный подход и путь России как цивилизация</w:t>
      </w:r>
      <w:r w:rsidR="00562231" w:rsidRPr="00D274B8">
        <w:rPr>
          <w:rFonts w:ascii="Times New Roman" w:eastAsia="Times New Roman" w:hAnsi="Times New Roman" w:cs="Times New Roman"/>
          <w:iCs/>
          <w:lang w:eastAsia="ar-SA"/>
        </w:rPr>
        <w:tab/>
      </w:r>
      <w:r w:rsidR="00EB1CB9">
        <w:rPr>
          <w:rFonts w:ascii="Times New Roman" w:eastAsia="Times New Roman" w:hAnsi="Times New Roman" w:cs="Times New Roman"/>
          <w:iCs/>
          <w:lang w:eastAsia="ar-SA"/>
        </w:rPr>
        <w:t>742</w:t>
      </w:r>
    </w:p>
    <w:p w14:paraId="1A2CA80B" w14:textId="77777777" w:rsidR="00483D44" w:rsidRPr="00D274B8" w:rsidRDefault="00483D44" w:rsidP="000F357D">
      <w:pPr>
        <w:keepNext/>
        <w:keepLines/>
        <w:tabs>
          <w:tab w:val="right" w:leader="dot" w:pos="9356"/>
        </w:tabs>
        <w:spacing w:after="0" w:line="240" w:lineRule="auto"/>
        <w:ind w:firstLine="709"/>
        <w:jc w:val="both"/>
        <w:rPr>
          <w:rFonts w:ascii="Times New Roman" w:hAnsi="Times New Roman" w:cs="Times New Roman"/>
          <w:b/>
          <w:bCs/>
          <w:iCs/>
        </w:rPr>
      </w:pPr>
    </w:p>
    <w:p w14:paraId="3E376358" w14:textId="22CDC4E1" w:rsidR="00483D44" w:rsidRPr="00D274B8" w:rsidRDefault="00483D44" w:rsidP="00D966A3">
      <w:pPr>
        <w:keepNext/>
        <w:keepLines/>
        <w:tabs>
          <w:tab w:val="right" w:leader="dot" w:pos="9356"/>
        </w:tabs>
        <w:spacing w:after="0" w:line="240" w:lineRule="auto"/>
        <w:ind w:firstLine="709"/>
        <w:jc w:val="both"/>
        <w:rPr>
          <w:rFonts w:ascii="Times New Roman" w:hAnsi="Times New Roman" w:cs="Times New Roman"/>
          <w:b/>
          <w:bCs/>
          <w:iCs/>
        </w:rPr>
      </w:pPr>
      <w:r w:rsidRPr="00D274B8">
        <w:rPr>
          <w:rFonts w:ascii="Times New Roman" w:hAnsi="Times New Roman" w:cs="Times New Roman"/>
          <w:b/>
          <w:bCs/>
          <w:iCs/>
        </w:rPr>
        <w:t>РАЗДЕЛ 8. ЭКОНОМИКА КАК НАУКА ОБ ЭКОНОМИЧЕСКОМ РОСТЕ И СТАБИЛЬНОСТИ (ECONOMICS: THE SCIENCE OF ECONOMIC GROWTH AND STABILIT</w:t>
      </w:r>
      <w:r w:rsidR="00D966A3">
        <w:rPr>
          <w:rFonts w:ascii="Times New Roman" w:hAnsi="Times New Roman" w:cs="Times New Roman"/>
          <w:b/>
          <w:bCs/>
          <w:iCs/>
        </w:rPr>
        <w:t>Y) – СЕКЦИЯ НА АНГЛИЙСКОМ ЯЗЫКЕ</w:t>
      </w:r>
      <w:r w:rsidR="00D966A3">
        <w:rPr>
          <w:rFonts w:ascii="Times New Roman" w:hAnsi="Times New Roman" w:cs="Times New Roman"/>
          <w:b/>
          <w:bCs/>
          <w:iCs/>
        </w:rPr>
        <w:tab/>
        <w:t xml:space="preserve"> 748</w:t>
      </w:r>
    </w:p>
    <w:p w14:paraId="6D6DC124" w14:textId="4EE4E8D8" w:rsidR="00483D44" w:rsidRPr="00D274B8" w:rsidRDefault="00483D44" w:rsidP="000F357D">
      <w:pPr>
        <w:tabs>
          <w:tab w:val="right" w:leader="dot" w:pos="9356"/>
        </w:tabs>
        <w:spacing w:after="0" w:line="360" w:lineRule="auto"/>
        <w:ind w:firstLine="709"/>
        <w:jc w:val="both"/>
        <w:rPr>
          <w:rFonts w:ascii="Times New Roman" w:eastAsia="Calibri" w:hAnsi="Times New Roman" w:cs="Times New Roman"/>
          <w:b/>
          <w:iCs/>
        </w:rPr>
      </w:pPr>
      <w:r w:rsidRPr="00D274B8">
        <w:rPr>
          <w:rFonts w:ascii="Times New Roman" w:eastAsia="Calibri" w:hAnsi="Times New Roman" w:cs="Times New Roman"/>
          <w:b/>
          <w:iCs/>
        </w:rPr>
        <w:t>Винокурова О.А</w:t>
      </w:r>
      <w:r w:rsidRPr="00D274B8">
        <w:rPr>
          <w:rFonts w:ascii="Times New Roman" w:eastAsia="Times New Roman" w:hAnsi="Times New Roman" w:cs="Times New Roman"/>
          <w:b/>
          <w:iCs/>
          <w:color w:val="000000"/>
        </w:rPr>
        <w:t xml:space="preserve">., </w:t>
      </w:r>
      <w:r w:rsidRPr="00D274B8">
        <w:rPr>
          <w:rFonts w:ascii="Times New Roman" w:eastAsia="Calibri" w:hAnsi="Times New Roman" w:cs="Times New Roman"/>
          <w:b/>
          <w:iCs/>
          <w:lang w:eastAsia="ru-RU"/>
        </w:rPr>
        <w:t xml:space="preserve">Научный руководитель: Плаксин В.А., </w:t>
      </w:r>
      <w:r w:rsidRPr="00D274B8">
        <w:rPr>
          <w:rFonts w:ascii="Times New Roman" w:eastAsia="Calibri" w:hAnsi="Times New Roman" w:cs="Times New Roman"/>
          <w:bCs/>
          <w:iCs/>
        </w:rPr>
        <w:t>Лингвистические стратегии в англоязычной рекламе</w:t>
      </w:r>
      <w:r w:rsidR="00562231" w:rsidRPr="00D274B8">
        <w:rPr>
          <w:rFonts w:ascii="Times New Roman" w:eastAsia="Calibri" w:hAnsi="Times New Roman" w:cs="Times New Roman"/>
          <w:bCs/>
          <w:iCs/>
        </w:rPr>
        <w:tab/>
      </w:r>
      <w:r w:rsidR="00D966A3">
        <w:rPr>
          <w:rFonts w:ascii="Times New Roman" w:eastAsia="Calibri" w:hAnsi="Times New Roman" w:cs="Times New Roman"/>
          <w:bCs/>
          <w:iCs/>
        </w:rPr>
        <w:t>748</w:t>
      </w:r>
    </w:p>
    <w:p w14:paraId="2697802F" w14:textId="76DB1AAD" w:rsidR="00483D44" w:rsidRPr="00D274B8" w:rsidRDefault="00483D44" w:rsidP="000F357D">
      <w:pPr>
        <w:tabs>
          <w:tab w:val="right" w:leader="dot" w:pos="9356"/>
        </w:tabs>
        <w:spacing w:after="0" w:line="360" w:lineRule="auto"/>
        <w:ind w:firstLine="709"/>
        <w:jc w:val="both"/>
        <w:rPr>
          <w:rFonts w:ascii="Times New Roman" w:eastAsia="Calibri" w:hAnsi="Times New Roman" w:cs="Times New Roman"/>
          <w:bCs/>
          <w:iCs/>
        </w:rPr>
      </w:pPr>
      <w:r w:rsidRPr="00D274B8">
        <w:rPr>
          <w:rFonts w:ascii="Times New Roman" w:eastAsia="Calibri" w:hAnsi="Times New Roman" w:cs="Times New Roman"/>
          <w:b/>
          <w:iCs/>
        </w:rPr>
        <w:t xml:space="preserve">Геворгян А.Г., </w:t>
      </w:r>
      <w:r w:rsidRPr="00D274B8">
        <w:rPr>
          <w:rFonts w:ascii="Times New Roman" w:eastAsia="Calibri" w:hAnsi="Times New Roman" w:cs="Times New Roman"/>
          <w:b/>
          <w:iCs/>
          <w:lang w:eastAsia="ru-RU"/>
        </w:rPr>
        <w:t xml:space="preserve">Научный руководитель: Комар Я.В., </w:t>
      </w:r>
      <w:r w:rsidRPr="00D274B8">
        <w:rPr>
          <w:rFonts w:ascii="Times New Roman" w:eastAsia="Calibri" w:hAnsi="Times New Roman" w:cs="Times New Roman"/>
          <w:bCs/>
          <w:iCs/>
        </w:rPr>
        <w:t xml:space="preserve">Искусственный интеллект в </w:t>
      </w:r>
      <w:r w:rsidRPr="00D274B8">
        <w:rPr>
          <w:rFonts w:ascii="Times New Roman" w:eastAsia="Calibri" w:hAnsi="Times New Roman" w:cs="Times New Roman"/>
          <w:bCs/>
          <w:iCs/>
          <w:lang w:val="en-US"/>
        </w:rPr>
        <w:t>HR</w:t>
      </w:r>
      <w:r w:rsidRPr="00D274B8">
        <w:rPr>
          <w:rFonts w:ascii="Times New Roman" w:eastAsia="Calibri" w:hAnsi="Times New Roman" w:cs="Times New Roman"/>
          <w:bCs/>
          <w:iCs/>
        </w:rPr>
        <w:t xml:space="preserve"> – возможность или угроза?</w:t>
      </w:r>
      <w:r w:rsidR="00562231" w:rsidRPr="00D274B8">
        <w:rPr>
          <w:rFonts w:ascii="Times New Roman" w:eastAsia="Calibri" w:hAnsi="Times New Roman" w:cs="Times New Roman"/>
          <w:bCs/>
          <w:iCs/>
        </w:rPr>
        <w:tab/>
      </w:r>
      <w:r w:rsidR="00D966A3">
        <w:rPr>
          <w:rFonts w:ascii="Times New Roman" w:eastAsia="Calibri" w:hAnsi="Times New Roman" w:cs="Times New Roman"/>
          <w:bCs/>
          <w:iCs/>
        </w:rPr>
        <w:t>754</w:t>
      </w:r>
    </w:p>
    <w:p w14:paraId="1D1D5987" w14:textId="39B62395" w:rsidR="00483D44" w:rsidRPr="00D274B8" w:rsidRDefault="00483D44" w:rsidP="000F357D">
      <w:pPr>
        <w:tabs>
          <w:tab w:val="right" w:leader="dot" w:pos="9356"/>
        </w:tabs>
        <w:spacing w:after="0" w:line="360" w:lineRule="auto"/>
        <w:ind w:firstLine="709"/>
        <w:contextualSpacing/>
        <w:jc w:val="both"/>
        <w:rPr>
          <w:rFonts w:ascii="Times New Roman" w:eastAsia="DengXian" w:hAnsi="Times New Roman" w:cs="Times New Roman"/>
          <w:b/>
          <w:bCs/>
          <w:iCs/>
          <w:color w:val="000000"/>
          <w:lang w:eastAsia="ru-RU"/>
        </w:rPr>
      </w:pPr>
      <w:r w:rsidRPr="00D274B8">
        <w:rPr>
          <w:rFonts w:ascii="Times New Roman" w:eastAsia="DengXian" w:hAnsi="Times New Roman" w:cs="Times New Roman"/>
          <w:b/>
          <w:bCs/>
          <w:iCs/>
          <w:color w:val="000000"/>
          <w:lang w:eastAsia="ru-RU"/>
        </w:rPr>
        <w:t xml:space="preserve">Кадькалова Е.Р., </w:t>
      </w:r>
      <w:r w:rsidRPr="00D274B8">
        <w:rPr>
          <w:rFonts w:ascii="Times New Roman" w:eastAsia="Calibri" w:hAnsi="Times New Roman" w:cs="Times New Roman"/>
          <w:b/>
          <w:iCs/>
          <w:lang w:eastAsia="ru-RU"/>
        </w:rPr>
        <w:t xml:space="preserve">Научный руководитель: Гучетль С.К., </w:t>
      </w:r>
      <w:r w:rsidRPr="00D274B8">
        <w:rPr>
          <w:rFonts w:ascii="Times New Roman" w:eastAsia="DengXian" w:hAnsi="Times New Roman" w:cs="Times New Roman"/>
          <w:iCs/>
          <w:color w:val="000000"/>
          <w:lang w:eastAsia="ru-RU"/>
        </w:rPr>
        <w:t>Пути изучения английского языка с помощью Интернета</w:t>
      </w:r>
      <w:r w:rsidR="00562231" w:rsidRPr="00D274B8">
        <w:rPr>
          <w:rFonts w:ascii="Times New Roman" w:eastAsia="DengXian" w:hAnsi="Times New Roman" w:cs="Times New Roman"/>
          <w:iCs/>
          <w:color w:val="000000"/>
          <w:lang w:eastAsia="ru-RU"/>
        </w:rPr>
        <w:tab/>
      </w:r>
      <w:r w:rsidR="00D966A3">
        <w:rPr>
          <w:rFonts w:ascii="Times New Roman" w:eastAsia="DengXian" w:hAnsi="Times New Roman" w:cs="Times New Roman"/>
          <w:iCs/>
          <w:color w:val="000000"/>
          <w:lang w:eastAsia="ru-RU"/>
        </w:rPr>
        <w:t>760</w:t>
      </w:r>
    </w:p>
    <w:p w14:paraId="0A004A57" w14:textId="7347DA1F" w:rsidR="00483D44" w:rsidRPr="00D274B8" w:rsidRDefault="00483D44" w:rsidP="000F357D">
      <w:pPr>
        <w:tabs>
          <w:tab w:val="right" w:leader="dot" w:pos="9356"/>
        </w:tabs>
        <w:spacing w:after="0" w:line="360" w:lineRule="auto"/>
        <w:ind w:firstLine="709"/>
        <w:jc w:val="both"/>
        <w:rPr>
          <w:rFonts w:ascii="Times New Roman" w:eastAsia="Times New Roman" w:hAnsi="Times New Roman" w:cs="Times New Roman"/>
          <w:bCs/>
          <w:iCs/>
          <w:color w:val="000000"/>
          <w:lang w:eastAsia="ru-RU"/>
        </w:rPr>
      </w:pPr>
      <w:r w:rsidRPr="00D274B8">
        <w:rPr>
          <w:rFonts w:ascii="Times New Roman" w:eastAsia="Times New Roman" w:hAnsi="Times New Roman" w:cs="Times New Roman"/>
          <w:b/>
          <w:iCs/>
          <w:color w:val="000000"/>
          <w:lang w:eastAsia="ru-RU"/>
        </w:rPr>
        <w:t xml:space="preserve">Камкия С.Т., </w:t>
      </w:r>
      <w:r w:rsidRPr="00D274B8">
        <w:rPr>
          <w:rFonts w:ascii="Times New Roman" w:eastAsia="Calibri" w:hAnsi="Times New Roman" w:cs="Times New Roman"/>
          <w:b/>
          <w:iCs/>
          <w:lang w:eastAsia="ru-RU"/>
        </w:rPr>
        <w:t xml:space="preserve">Научный руководитель: Липеева И.Ю., </w:t>
      </w:r>
      <w:r w:rsidRPr="00D274B8">
        <w:rPr>
          <w:rFonts w:ascii="Times New Roman" w:eastAsia="Times New Roman" w:hAnsi="Times New Roman" w:cs="Times New Roman"/>
          <w:bCs/>
          <w:iCs/>
          <w:color w:val="000000"/>
          <w:lang w:eastAsia="ru-RU"/>
        </w:rPr>
        <w:t>Цифровой иммунитет: как технологии поддерживают и преобразовывают экономику в условиях кризиса</w:t>
      </w:r>
      <w:r w:rsidR="00562231" w:rsidRPr="00D274B8">
        <w:rPr>
          <w:rFonts w:ascii="Times New Roman" w:eastAsia="Times New Roman" w:hAnsi="Times New Roman" w:cs="Times New Roman"/>
          <w:bCs/>
          <w:iCs/>
          <w:color w:val="000000"/>
          <w:lang w:eastAsia="ru-RU"/>
        </w:rPr>
        <w:tab/>
      </w:r>
      <w:r w:rsidR="00D966A3">
        <w:rPr>
          <w:rFonts w:ascii="Times New Roman" w:eastAsia="Times New Roman" w:hAnsi="Times New Roman" w:cs="Times New Roman"/>
          <w:bCs/>
          <w:iCs/>
          <w:color w:val="000000"/>
          <w:lang w:eastAsia="ru-RU"/>
        </w:rPr>
        <w:t>766</w:t>
      </w:r>
    </w:p>
    <w:p w14:paraId="4830AB38" w14:textId="00B78433" w:rsidR="00483D44" w:rsidRPr="00D274B8" w:rsidRDefault="00483D44" w:rsidP="000F357D">
      <w:pPr>
        <w:tabs>
          <w:tab w:val="right" w:leader="dot" w:pos="9356"/>
        </w:tabs>
        <w:spacing w:after="0" w:line="360" w:lineRule="auto"/>
        <w:ind w:right="420" w:firstLine="709"/>
        <w:jc w:val="both"/>
        <w:rPr>
          <w:rFonts w:ascii="Times New Roman" w:eastAsia="Calibri" w:hAnsi="Times New Roman" w:cs="Times New Roman"/>
          <w:iCs/>
          <w:kern w:val="2"/>
          <w14:ligatures w14:val="standardContextual"/>
        </w:rPr>
      </w:pPr>
      <w:r w:rsidRPr="00D274B8">
        <w:rPr>
          <w:rFonts w:ascii="Times New Roman" w:eastAsia="Calibri" w:hAnsi="Times New Roman" w:cs="Times New Roman"/>
          <w:b/>
          <w:bCs/>
          <w:iCs/>
          <w:kern w:val="2"/>
          <w14:ligatures w14:val="standardContextual"/>
        </w:rPr>
        <w:t xml:space="preserve">Консевич С. А., Гучетль С. К., </w:t>
      </w:r>
      <w:r w:rsidRPr="00D274B8">
        <w:rPr>
          <w:rFonts w:ascii="Times New Roman" w:eastAsia="Calibri" w:hAnsi="Times New Roman" w:cs="Times New Roman"/>
          <w:b/>
          <w:iCs/>
          <w:lang w:eastAsia="ru-RU"/>
        </w:rPr>
        <w:t xml:space="preserve">Научный руководитель: Гучетль С.К., </w:t>
      </w:r>
      <w:r w:rsidRPr="00D274B8">
        <w:rPr>
          <w:rFonts w:ascii="Times New Roman" w:eastAsia="Calibri" w:hAnsi="Times New Roman" w:cs="Times New Roman"/>
          <w:iCs/>
          <w:kern w:val="2"/>
          <w14:ligatures w14:val="standardContextual"/>
        </w:rPr>
        <w:t>Особенности интеграции eBay в российский рынок</w:t>
      </w:r>
      <w:r w:rsidR="00562231" w:rsidRPr="00D274B8">
        <w:rPr>
          <w:rFonts w:ascii="Times New Roman" w:eastAsia="Calibri" w:hAnsi="Times New Roman" w:cs="Times New Roman"/>
          <w:iCs/>
          <w:kern w:val="2"/>
          <w14:ligatures w14:val="standardContextual"/>
        </w:rPr>
        <w:tab/>
      </w:r>
      <w:r w:rsidR="00D966A3">
        <w:rPr>
          <w:rFonts w:ascii="Times New Roman" w:eastAsia="Calibri" w:hAnsi="Times New Roman" w:cs="Times New Roman"/>
          <w:iCs/>
          <w:kern w:val="2"/>
          <w14:ligatures w14:val="standardContextual"/>
        </w:rPr>
        <w:t>771</w:t>
      </w:r>
    </w:p>
    <w:p w14:paraId="0E25655A" w14:textId="49051383" w:rsidR="00483D44" w:rsidRPr="00D966A3" w:rsidRDefault="00483D44" w:rsidP="000F357D">
      <w:pPr>
        <w:tabs>
          <w:tab w:val="right" w:leader="dot" w:pos="9356"/>
        </w:tabs>
        <w:spacing w:after="0" w:line="360" w:lineRule="auto"/>
        <w:ind w:firstLine="709"/>
        <w:jc w:val="both"/>
        <w:rPr>
          <w:rFonts w:ascii="Times New Roman" w:eastAsia="Times New Roman" w:hAnsi="Times New Roman" w:cs="Times New Roman"/>
          <w:bCs/>
          <w:iCs/>
          <w:lang w:val="en-US" w:eastAsia="ar-SA"/>
        </w:rPr>
      </w:pPr>
      <w:r w:rsidRPr="00D274B8">
        <w:rPr>
          <w:rFonts w:ascii="Times New Roman" w:eastAsia="Times New Roman" w:hAnsi="Times New Roman" w:cs="Times New Roman"/>
          <w:b/>
          <w:iCs/>
          <w:color w:val="000000"/>
          <w:lang w:eastAsia="ar-SA"/>
        </w:rPr>
        <w:t>Кузьменко</w:t>
      </w:r>
      <w:r w:rsidRPr="00D966A3">
        <w:rPr>
          <w:rFonts w:ascii="Times New Roman" w:eastAsia="Times New Roman" w:hAnsi="Times New Roman" w:cs="Times New Roman"/>
          <w:b/>
          <w:iCs/>
          <w:color w:val="000000"/>
          <w:lang w:val="en-US" w:eastAsia="ar-SA"/>
        </w:rPr>
        <w:t xml:space="preserve"> </w:t>
      </w:r>
      <w:r w:rsidRPr="00D274B8">
        <w:rPr>
          <w:rFonts w:ascii="Times New Roman" w:eastAsia="Times New Roman" w:hAnsi="Times New Roman" w:cs="Times New Roman"/>
          <w:b/>
          <w:iCs/>
          <w:color w:val="000000"/>
          <w:lang w:eastAsia="ar-SA"/>
        </w:rPr>
        <w:t>А</w:t>
      </w:r>
      <w:r w:rsidRPr="00D966A3">
        <w:rPr>
          <w:rFonts w:ascii="Times New Roman" w:eastAsia="Times New Roman" w:hAnsi="Times New Roman" w:cs="Times New Roman"/>
          <w:b/>
          <w:iCs/>
          <w:color w:val="000000"/>
          <w:lang w:val="en-US" w:eastAsia="ar-SA"/>
        </w:rPr>
        <w:t>.</w:t>
      </w:r>
      <w:r w:rsidRPr="00D274B8">
        <w:rPr>
          <w:rFonts w:ascii="Times New Roman" w:eastAsia="Times New Roman" w:hAnsi="Times New Roman" w:cs="Times New Roman"/>
          <w:b/>
          <w:iCs/>
          <w:color w:val="000000"/>
          <w:lang w:eastAsia="ar-SA"/>
        </w:rPr>
        <w:t>В</w:t>
      </w:r>
      <w:r w:rsidRPr="00D966A3">
        <w:rPr>
          <w:rFonts w:ascii="Times New Roman" w:eastAsia="Times New Roman" w:hAnsi="Times New Roman" w:cs="Times New Roman"/>
          <w:b/>
          <w:iCs/>
          <w:color w:val="000000"/>
          <w:lang w:val="en-US" w:eastAsia="ar-SA"/>
        </w:rPr>
        <w:t xml:space="preserve">., </w:t>
      </w:r>
      <w:r w:rsidRPr="00D274B8">
        <w:rPr>
          <w:rFonts w:ascii="Times New Roman" w:eastAsia="Calibri" w:hAnsi="Times New Roman" w:cs="Times New Roman"/>
          <w:b/>
          <w:iCs/>
          <w:lang w:eastAsia="ru-RU"/>
        </w:rPr>
        <w:t>Научный</w:t>
      </w:r>
      <w:r w:rsidRPr="00D966A3">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руководитель</w:t>
      </w:r>
      <w:r w:rsidRPr="00D966A3">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Комар</w:t>
      </w:r>
      <w:r w:rsidRPr="00D966A3">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Я</w:t>
      </w:r>
      <w:r w:rsidRPr="00D966A3">
        <w:rPr>
          <w:rFonts w:ascii="Times New Roman" w:eastAsia="Calibri" w:hAnsi="Times New Roman" w:cs="Times New Roman"/>
          <w:b/>
          <w:iCs/>
          <w:lang w:val="en-US" w:eastAsia="ru-RU"/>
        </w:rPr>
        <w:t>.</w:t>
      </w:r>
      <w:r w:rsidRPr="00D274B8">
        <w:rPr>
          <w:rFonts w:ascii="Times New Roman" w:eastAsia="Calibri" w:hAnsi="Times New Roman" w:cs="Times New Roman"/>
          <w:b/>
          <w:iCs/>
          <w:lang w:eastAsia="ru-RU"/>
        </w:rPr>
        <w:t>В</w:t>
      </w:r>
      <w:r w:rsidRPr="00D966A3">
        <w:rPr>
          <w:rFonts w:ascii="Times New Roman" w:eastAsia="Calibri" w:hAnsi="Times New Roman" w:cs="Times New Roman"/>
          <w:b/>
          <w:iCs/>
          <w:lang w:val="en-US" w:eastAsia="ru-RU"/>
        </w:rPr>
        <w:t xml:space="preserve">., </w:t>
      </w:r>
      <w:r w:rsidR="00D966A3" w:rsidRPr="00D966A3">
        <w:rPr>
          <w:rFonts w:ascii="Times New Roman" w:eastAsia="Times New Roman" w:hAnsi="Times New Roman" w:cs="Times New Roman"/>
          <w:bCs/>
          <w:iCs/>
          <w:lang w:val="en-US" w:eastAsia="ar-SA"/>
        </w:rPr>
        <w:t>Neologisms of the digital age: genesis, semantics and functioning in different communicative contexts</w:t>
      </w:r>
      <w:r w:rsidR="00562231" w:rsidRPr="00D966A3">
        <w:rPr>
          <w:rFonts w:ascii="Times New Roman" w:eastAsia="Times New Roman" w:hAnsi="Times New Roman" w:cs="Times New Roman"/>
          <w:bCs/>
          <w:iCs/>
          <w:lang w:val="en-US" w:eastAsia="ar-SA"/>
        </w:rPr>
        <w:tab/>
      </w:r>
      <w:r w:rsidR="00D966A3" w:rsidRPr="00D966A3">
        <w:rPr>
          <w:rFonts w:ascii="Times New Roman" w:eastAsia="Times New Roman" w:hAnsi="Times New Roman" w:cs="Times New Roman"/>
          <w:bCs/>
          <w:iCs/>
          <w:lang w:val="en-US" w:eastAsia="ar-SA"/>
        </w:rPr>
        <w:t>775</w:t>
      </w:r>
    </w:p>
    <w:p w14:paraId="4BADF7A6" w14:textId="1AE98F14" w:rsidR="00483D44" w:rsidRPr="00D274B8" w:rsidRDefault="00483D44" w:rsidP="000F357D">
      <w:pPr>
        <w:pBdr>
          <w:top w:val="nil"/>
          <w:left w:val="nil"/>
          <w:bottom w:val="nil"/>
          <w:right w:val="nil"/>
          <w:between w:val="nil"/>
          <w:bar w:val="nil"/>
        </w:pBdr>
        <w:tabs>
          <w:tab w:val="right" w:leader="dot" w:pos="9356"/>
        </w:tabs>
        <w:spacing w:after="0" w:line="360" w:lineRule="auto"/>
        <w:ind w:right="420" w:firstLine="709"/>
        <w:jc w:val="both"/>
        <w:rPr>
          <w:rFonts w:ascii="Times New Roman" w:eastAsia="Times New Roman" w:hAnsi="Times New Roman" w:cs="Times New Roman"/>
          <w:b/>
          <w:bCs/>
          <w:iCs/>
          <w:color w:val="000000"/>
          <w:u w:color="000000"/>
          <w:bdr w:val="nil"/>
          <w:lang w:eastAsia="ru-RU"/>
          <w14:textOutline w14:w="12700" w14:cap="flat" w14:cmpd="sng" w14:algn="ctr">
            <w14:noFill/>
            <w14:prstDash w14:val="solid"/>
            <w14:miter w14:lim="400000"/>
          </w14:textOutline>
        </w:rPr>
      </w:pPr>
      <w:r w:rsidRPr="00D274B8">
        <w:rPr>
          <w:rFonts w:ascii="Times New Roman" w:eastAsia="Arial Unicode MS" w:hAnsi="Times New Roman" w:cs="Arial Unicode MS"/>
          <w:b/>
          <w:bCs/>
          <w:iCs/>
          <w:color w:val="000000"/>
          <w:u w:color="000000"/>
          <w:bdr w:val="nil"/>
          <w:lang w:eastAsia="ru-RU"/>
          <w14:textOutline w14:w="12700" w14:cap="flat" w14:cmpd="sng" w14:algn="ctr">
            <w14:noFill/>
            <w14:prstDash w14:val="solid"/>
            <w14:miter w14:lim="400000"/>
          </w14:textOutline>
        </w:rPr>
        <w:t xml:space="preserve">Марусевич Ю.В., </w:t>
      </w:r>
      <w:r w:rsidRPr="00D274B8">
        <w:rPr>
          <w:rFonts w:ascii="Times New Roman" w:eastAsia="Calibri" w:hAnsi="Times New Roman" w:cs="Times New Roman"/>
          <w:b/>
          <w:iCs/>
          <w:lang w:eastAsia="ru-RU"/>
        </w:rPr>
        <w:t xml:space="preserve">Научный руководитель: Гучетль С.К., </w:t>
      </w:r>
      <w:r w:rsidRPr="00D274B8">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Психологические операции в экономических процессах</w:t>
      </w:r>
      <w:r w:rsidR="00562231" w:rsidRPr="00D274B8">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ab/>
      </w:r>
      <w:r w:rsidR="00D966A3">
        <w:rPr>
          <w:rFonts w:ascii="Times New Roman" w:eastAsia="Arial Unicode MS" w:hAnsi="Times New Roman" w:cs="Arial Unicode MS"/>
          <w:iCs/>
          <w:color w:val="000000"/>
          <w:u w:color="000000"/>
          <w:bdr w:val="nil"/>
          <w:lang w:eastAsia="ru-RU"/>
          <w14:textOutline w14:w="12700" w14:cap="flat" w14:cmpd="sng" w14:algn="ctr">
            <w14:noFill/>
            <w14:prstDash w14:val="solid"/>
            <w14:miter w14:lim="400000"/>
          </w14:textOutline>
        </w:rPr>
        <w:t>782</w:t>
      </w:r>
    </w:p>
    <w:p w14:paraId="6C027FDB" w14:textId="6CB29B28" w:rsidR="00483D44" w:rsidRPr="00D966A3" w:rsidRDefault="00483D44" w:rsidP="000F357D">
      <w:pPr>
        <w:keepNext/>
        <w:keepLines/>
        <w:tabs>
          <w:tab w:val="right" w:leader="dot" w:pos="9356"/>
        </w:tabs>
        <w:suppressAutoHyphens/>
        <w:spacing w:after="0" w:line="360" w:lineRule="auto"/>
        <w:ind w:firstLine="709"/>
        <w:jc w:val="both"/>
        <w:rPr>
          <w:rFonts w:ascii="Times New Roman" w:eastAsia="Times New Roman" w:hAnsi="Times New Roman" w:cs="Times New Roman"/>
          <w:bCs/>
          <w:iCs/>
        </w:rPr>
      </w:pPr>
      <w:r w:rsidRPr="00D274B8">
        <w:rPr>
          <w:rFonts w:ascii="Times New Roman" w:eastAsia="Times New Roman" w:hAnsi="Times New Roman" w:cs="Times New Roman"/>
          <w:b/>
          <w:iCs/>
          <w:lang w:eastAsia="ar-SA"/>
        </w:rPr>
        <w:t>Юрьева</w:t>
      </w:r>
      <w:r w:rsidRPr="00D274B8">
        <w:rPr>
          <w:rFonts w:ascii="Times New Roman" w:eastAsia="Times New Roman" w:hAnsi="Times New Roman" w:cs="Times New Roman"/>
          <w:b/>
          <w:iCs/>
          <w:lang w:val="en-US" w:eastAsia="ar-SA"/>
        </w:rPr>
        <w:t xml:space="preserve"> </w:t>
      </w:r>
      <w:r w:rsidRPr="00D274B8">
        <w:rPr>
          <w:rFonts w:ascii="Times New Roman" w:eastAsia="Times New Roman" w:hAnsi="Times New Roman" w:cs="Times New Roman"/>
          <w:b/>
          <w:iCs/>
          <w:lang w:eastAsia="ar-SA"/>
        </w:rPr>
        <w:t>М</w:t>
      </w:r>
      <w:r w:rsidRPr="00D274B8">
        <w:rPr>
          <w:rFonts w:ascii="Times New Roman" w:eastAsia="Times New Roman" w:hAnsi="Times New Roman" w:cs="Times New Roman"/>
          <w:b/>
          <w:iCs/>
          <w:lang w:val="en-US" w:eastAsia="ar-SA"/>
        </w:rPr>
        <w:t>.</w:t>
      </w:r>
      <w:r w:rsidRPr="00D274B8">
        <w:rPr>
          <w:rFonts w:ascii="Times New Roman" w:eastAsia="Times New Roman" w:hAnsi="Times New Roman" w:cs="Times New Roman"/>
          <w:b/>
          <w:iCs/>
          <w:lang w:eastAsia="ar-SA"/>
        </w:rPr>
        <w:t>М</w:t>
      </w:r>
      <w:r w:rsidRPr="00D274B8">
        <w:rPr>
          <w:rFonts w:ascii="Times New Roman" w:eastAsia="Times New Roman" w:hAnsi="Times New Roman" w:cs="Times New Roman"/>
          <w:b/>
          <w:iCs/>
          <w:lang w:val="en-US" w:eastAsia="ar-SA"/>
        </w:rPr>
        <w:t xml:space="preserve">., </w:t>
      </w:r>
      <w:r w:rsidRPr="00D274B8">
        <w:rPr>
          <w:rFonts w:ascii="Times New Roman" w:eastAsia="Calibri" w:hAnsi="Times New Roman" w:cs="Times New Roman"/>
          <w:b/>
          <w:iCs/>
          <w:lang w:eastAsia="ru-RU"/>
        </w:rPr>
        <w:t>Научный</w:t>
      </w:r>
      <w:r w:rsidRPr="00D274B8">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руководитель</w:t>
      </w:r>
      <w:r w:rsidRPr="00D274B8">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Комар</w:t>
      </w:r>
      <w:r w:rsidRPr="00D274B8">
        <w:rPr>
          <w:rFonts w:ascii="Times New Roman" w:eastAsia="Calibri" w:hAnsi="Times New Roman" w:cs="Times New Roman"/>
          <w:b/>
          <w:iCs/>
          <w:lang w:val="en-US" w:eastAsia="ru-RU"/>
        </w:rPr>
        <w:t xml:space="preserve"> </w:t>
      </w:r>
      <w:r w:rsidRPr="00D274B8">
        <w:rPr>
          <w:rFonts w:ascii="Times New Roman" w:eastAsia="Calibri" w:hAnsi="Times New Roman" w:cs="Times New Roman"/>
          <w:b/>
          <w:iCs/>
          <w:lang w:eastAsia="ru-RU"/>
        </w:rPr>
        <w:t>Я</w:t>
      </w:r>
      <w:r w:rsidRPr="00D274B8">
        <w:rPr>
          <w:rFonts w:ascii="Times New Roman" w:eastAsia="Calibri" w:hAnsi="Times New Roman" w:cs="Times New Roman"/>
          <w:b/>
          <w:iCs/>
          <w:lang w:val="en-US" w:eastAsia="ru-RU"/>
        </w:rPr>
        <w:t>.</w:t>
      </w:r>
      <w:r w:rsidRPr="00D274B8">
        <w:rPr>
          <w:rFonts w:ascii="Times New Roman" w:eastAsia="Calibri" w:hAnsi="Times New Roman" w:cs="Times New Roman"/>
          <w:b/>
          <w:iCs/>
          <w:lang w:eastAsia="ru-RU"/>
        </w:rPr>
        <w:t>В</w:t>
      </w:r>
      <w:r w:rsidRPr="00D274B8">
        <w:rPr>
          <w:rFonts w:ascii="Times New Roman" w:eastAsia="Calibri" w:hAnsi="Times New Roman" w:cs="Times New Roman"/>
          <w:b/>
          <w:iCs/>
          <w:lang w:val="en-US" w:eastAsia="ru-RU"/>
        </w:rPr>
        <w:t xml:space="preserve">., </w:t>
      </w:r>
      <w:r w:rsidRPr="00D274B8">
        <w:rPr>
          <w:rFonts w:ascii="Times New Roman" w:eastAsia="Times New Roman" w:hAnsi="Times New Roman" w:cs="Times New Roman"/>
          <w:bCs/>
          <w:iCs/>
          <w:lang w:val="en-US"/>
        </w:rPr>
        <w:t>From rhetoric to memes: how politicians' speeches go viral?</w:t>
      </w:r>
      <w:r w:rsidR="00562231" w:rsidRPr="00903F95">
        <w:rPr>
          <w:rFonts w:ascii="Times New Roman" w:eastAsia="Times New Roman" w:hAnsi="Times New Roman" w:cs="Times New Roman"/>
          <w:bCs/>
          <w:iCs/>
          <w:lang w:val="en-US"/>
        </w:rPr>
        <w:tab/>
      </w:r>
      <w:r w:rsidR="00D966A3">
        <w:rPr>
          <w:rFonts w:ascii="Times New Roman" w:eastAsia="Times New Roman" w:hAnsi="Times New Roman" w:cs="Times New Roman"/>
          <w:bCs/>
          <w:iCs/>
        </w:rPr>
        <w:t>789</w:t>
      </w:r>
    </w:p>
    <w:p w14:paraId="187BC773" w14:textId="77777777" w:rsidR="00A1667F" w:rsidRPr="00EC1356" w:rsidRDefault="00A1667F" w:rsidP="00067100">
      <w:pPr>
        <w:ind w:firstLine="709"/>
      </w:pPr>
    </w:p>
    <w:p w14:paraId="65BC751D" w14:textId="77777777" w:rsidR="00A1667F" w:rsidRPr="006531C5" w:rsidRDefault="00A1667F" w:rsidP="00357CF0">
      <w:pPr>
        <w:pStyle w:val="1"/>
        <w:jc w:val="center"/>
        <w:rPr>
          <w:b w:val="0"/>
          <w:sz w:val="32"/>
          <w:szCs w:val="32"/>
        </w:rPr>
      </w:pPr>
      <w:r w:rsidRPr="006531C5">
        <w:rPr>
          <w:sz w:val="32"/>
          <w:szCs w:val="32"/>
        </w:rPr>
        <w:lastRenderedPageBreak/>
        <w:t>РАЗДЕЛ 1</w:t>
      </w:r>
    </w:p>
    <w:p w14:paraId="09E5D612" w14:textId="77777777" w:rsidR="00A1667F" w:rsidRPr="006531C5" w:rsidRDefault="00A1667F" w:rsidP="00357CF0">
      <w:pPr>
        <w:pStyle w:val="1"/>
        <w:jc w:val="center"/>
        <w:rPr>
          <w:b w:val="0"/>
          <w:bCs w:val="0"/>
          <w:sz w:val="32"/>
          <w:szCs w:val="32"/>
        </w:rPr>
      </w:pPr>
      <w:r w:rsidRPr="006531C5">
        <w:rPr>
          <w:sz w:val="32"/>
          <w:szCs w:val="32"/>
        </w:rPr>
        <w:t>КЛЮЧЕВЫЕ ТРЕНДЫ И ДЕТЕРМИНАНТЫ РАЗВИТИЯ ЭКОНОМИКИ И ФИНАНСОВ В ЭПОХУ ЦИФРОВИЗАЦИИ</w:t>
      </w:r>
    </w:p>
    <w:p w14:paraId="5695C6A0" w14:textId="5800D97B" w:rsidR="00877DE5" w:rsidRPr="00B55859" w:rsidRDefault="00877DE5" w:rsidP="00483D44">
      <w:pPr>
        <w:rPr>
          <w:rFonts w:ascii="Times New Roman" w:eastAsia="Times New Roman" w:hAnsi="Times New Roman" w:cs="Times New Roman"/>
          <w:b/>
          <w:color w:val="000000"/>
          <w:sz w:val="21"/>
          <w:szCs w:val="21"/>
          <w:lang w:eastAsia="ar-SA"/>
        </w:rPr>
      </w:pPr>
      <w:r w:rsidRPr="00B55859">
        <w:rPr>
          <w:rFonts w:ascii="Times New Roman" w:eastAsia="Times New Roman" w:hAnsi="Times New Roman" w:cs="Times New Roman"/>
          <w:b/>
          <w:color w:val="000000"/>
          <w:sz w:val="21"/>
          <w:szCs w:val="21"/>
          <w:lang w:eastAsia="ar-SA"/>
        </w:rPr>
        <w:t>УДК 346</w:t>
      </w:r>
      <w:r>
        <w:rPr>
          <w:rFonts w:ascii="Times New Roman" w:eastAsia="Times New Roman" w:hAnsi="Times New Roman" w:cs="Times New Roman"/>
          <w:b/>
          <w:color w:val="000000"/>
          <w:sz w:val="21"/>
          <w:szCs w:val="21"/>
          <w:lang w:eastAsia="ar-SA"/>
        </w:rPr>
        <w:t>.26</w:t>
      </w:r>
    </w:p>
    <w:p w14:paraId="4AF1CA5B" w14:textId="77777777" w:rsidR="00877DE5" w:rsidRPr="00B55859" w:rsidRDefault="00877DE5" w:rsidP="009D392F">
      <w:pPr>
        <w:pStyle w:val="20"/>
        <w:spacing w:before="0" w:beforeAutospacing="0" w:after="0" w:afterAutospacing="0"/>
        <w:jc w:val="right"/>
        <w:rPr>
          <w:rFonts w:eastAsia="Calibri"/>
          <w:b w:val="0"/>
          <w:bCs w:val="0"/>
          <w:i/>
          <w:iCs/>
          <w:sz w:val="21"/>
          <w:szCs w:val="21"/>
        </w:rPr>
      </w:pPr>
      <w:r w:rsidRPr="00B55859">
        <w:rPr>
          <w:rFonts w:eastAsia="Calibri"/>
          <w:i/>
          <w:iCs/>
          <w:sz w:val="21"/>
          <w:szCs w:val="21"/>
        </w:rPr>
        <w:t xml:space="preserve">Андреева А.С. и Труфанова А.А., </w:t>
      </w:r>
    </w:p>
    <w:p w14:paraId="38ECE3EB"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 xml:space="preserve">студентки 3 курса </w:t>
      </w:r>
    </w:p>
    <w:p w14:paraId="72F0868F"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Финансовый университет при Правительстве РФ</w:t>
      </w:r>
    </w:p>
    <w:p w14:paraId="10671423"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(Краснодарский филиал)</w:t>
      </w:r>
    </w:p>
    <w:p w14:paraId="5D7C43AD"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г. Краснодар, Россия</w:t>
      </w:r>
    </w:p>
    <w:p w14:paraId="033D3033" w14:textId="77777777" w:rsidR="00877DE5" w:rsidRPr="00B55859" w:rsidRDefault="00877DE5" w:rsidP="009D392F">
      <w:pPr>
        <w:spacing w:after="0" w:line="240" w:lineRule="auto"/>
        <w:ind w:firstLine="709"/>
        <w:jc w:val="right"/>
        <w:rPr>
          <w:rStyle w:val="aa"/>
          <w:rFonts w:ascii="Times New Roman" w:eastAsia="Calibri" w:hAnsi="Times New Roman" w:cs="Times New Roman"/>
          <w:i/>
          <w:iCs/>
          <w:sz w:val="21"/>
          <w:szCs w:val="21"/>
        </w:rPr>
      </w:pPr>
      <w:r w:rsidRPr="00B55859">
        <w:rPr>
          <w:rFonts w:ascii="Times New Roman" w:eastAsia="Calibri" w:hAnsi="Times New Roman" w:cs="Times New Roman"/>
          <w:i/>
          <w:iCs/>
          <w:sz w:val="21"/>
          <w:szCs w:val="21"/>
          <w:lang w:val="en-US"/>
        </w:rPr>
        <w:t>e</w:t>
      </w:r>
      <w:r w:rsidRPr="00B55859">
        <w:rPr>
          <w:rFonts w:ascii="Times New Roman" w:eastAsia="Calibri" w:hAnsi="Times New Roman" w:cs="Times New Roman"/>
          <w:i/>
          <w:iCs/>
          <w:sz w:val="21"/>
          <w:szCs w:val="21"/>
        </w:rPr>
        <w:t>-</w:t>
      </w:r>
      <w:r w:rsidRPr="00B55859">
        <w:rPr>
          <w:rFonts w:ascii="Times New Roman" w:eastAsia="Calibri" w:hAnsi="Times New Roman" w:cs="Times New Roman"/>
          <w:i/>
          <w:iCs/>
          <w:sz w:val="21"/>
          <w:szCs w:val="21"/>
          <w:lang w:val="en-US"/>
        </w:rPr>
        <w:t>mail</w:t>
      </w:r>
      <w:r w:rsidRPr="00B55859">
        <w:rPr>
          <w:rFonts w:ascii="Times New Roman" w:eastAsia="Calibri" w:hAnsi="Times New Roman" w:cs="Times New Roman"/>
          <w:i/>
          <w:iCs/>
          <w:sz w:val="21"/>
          <w:szCs w:val="21"/>
        </w:rPr>
        <w:t xml:space="preserve">: </w:t>
      </w:r>
      <w:hyperlink r:id="rId8" w:history="1">
        <w:r w:rsidRPr="00B55859">
          <w:rPr>
            <w:rStyle w:val="aa"/>
            <w:rFonts w:ascii="Times New Roman" w:eastAsia="Calibri" w:hAnsi="Times New Roman" w:cs="Times New Roman"/>
            <w:i/>
            <w:iCs/>
            <w:sz w:val="21"/>
            <w:szCs w:val="21"/>
            <w:lang w:val="en-US"/>
          </w:rPr>
          <w:t>N</w:t>
        </w:r>
        <w:r w:rsidRPr="00B55859">
          <w:rPr>
            <w:rStyle w:val="aa"/>
            <w:rFonts w:ascii="Times New Roman" w:eastAsia="Calibri" w:hAnsi="Times New Roman" w:cs="Times New Roman"/>
            <w:i/>
            <w:iCs/>
            <w:sz w:val="21"/>
            <w:szCs w:val="21"/>
          </w:rPr>
          <w:t>_</w:t>
        </w:r>
        <w:r w:rsidRPr="00B55859">
          <w:rPr>
            <w:rStyle w:val="aa"/>
            <w:rFonts w:ascii="Times New Roman" w:eastAsia="Calibri" w:hAnsi="Times New Roman" w:cs="Times New Roman"/>
            <w:i/>
            <w:iCs/>
            <w:sz w:val="21"/>
            <w:szCs w:val="21"/>
            <w:lang w:val="en-US"/>
          </w:rPr>
          <w:t>Andreeva</w:t>
        </w:r>
        <w:r w:rsidRPr="00B55859">
          <w:rPr>
            <w:rStyle w:val="aa"/>
            <w:rFonts w:ascii="Times New Roman" w:eastAsia="Calibri" w:hAnsi="Times New Roman" w:cs="Times New Roman"/>
            <w:i/>
            <w:iCs/>
            <w:sz w:val="21"/>
            <w:szCs w:val="21"/>
          </w:rPr>
          <w:t>30@</w:t>
        </w:r>
        <w:r w:rsidRPr="00B55859">
          <w:rPr>
            <w:rStyle w:val="aa"/>
            <w:rFonts w:ascii="Times New Roman" w:eastAsia="Calibri" w:hAnsi="Times New Roman" w:cs="Times New Roman"/>
            <w:i/>
            <w:iCs/>
            <w:sz w:val="21"/>
            <w:szCs w:val="21"/>
            <w:lang w:val="en-US"/>
          </w:rPr>
          <w:t>mail</w:t>
        </w:r>
        <w:r w:rsidRPr="00B55859">
          <w:rPr>
            <w:rStyle w:val="aa"/>
            <w:rFonts w:ascii="Times New Roman" w:eastAsia="Calibri" w:hAnsi="Times New Roman" w:cs="Times New Roman"/>
            <w:i/>
            <w:iCs/>
            <w:sz w:val="21"/>
            <w:szCs w:val="21"/>
          </w:rPr>
          <w:t>.</w:t>
        </w:r>
        <w:r w:rsidRPr="00B55859">
          <w:rPr>
            <w:rStyle w:val="aa"/>
            <w:rFonts w:ascii="Times New Roman" w:eastAsia="Calibri" w:hAnsi="Times New Roman" w:cs="Times New Roman"/>
            <w:i/>
            <w:iCs/>
            <w:sz w:val="21"/>
            <w:szCs w:val="21"/>
            <w:lang w:val="en-US"/>
          </w:rPr>
          <w:t>ru</w:t>
        </w:r>
      </w:hyperlink>
    </w:p>
    <w:p w14:paraId="5D6EBAAA"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lang w:val="en-US"/>
        </w:rPr>
      </w:pPr>
      <w:r w:rsidRPr="00B55859">
        <w:rPr>
          <w:rFonts w:ascii="Times New Roman" w:eastAsia="Calibri" w:hAnsi="Times New Roman" w:cs="Times New Roman"/>
          <w:i/>
          <w:iCs/>
          <w:sz w:val="21"/>
          <w:szCs w:val="21"/>
          <w:lang w:val="en-US"/>
        </w:rPr>
        <w:t xml:space="preserve">e-mail: </w:t>
      </w:r>
      <w:hyperlink r:id="rId9" w:history="1">
        <w:r w:rsidRPr="00B55859">
          <w:rPr>
            <w:rStyle w:val="aa"/>
            <w:rFonts w:ascii="Times New Roman" w:eastAsia="Calibri" w:hAnsi="Times New Roman" w:cs="Times New Roman"/>
            <w:i/>
            <w:iCs/>
            <w:sz w:val="21"/>
            <w:szCs w:val="21"/>
            <w:lang w:val="en-US"/>
          </w:rPr>
          <w:t>trufanova.a2004@mail.ru</w:t>
        </w:r>
      </w:hyperlink>
    </w:p>
    <w:p w14:paraId="7BFBF70E" w14:textId="77777777" w:rsidR="00877DE5" w:rsidRPr="00B55859" w:rsidRDefault="00877DE5" w:rsidP="009D392F">
      <w:pPr>
        <w:spacing w:after="0" w:line="240" w:lineRule="auto"/>
        <w:ind w:firstLine="709"/>
        <w:rPr>
          <w:rFonts w:ascii="Times New Roman" w:eastAsia="Calibri" w:hAnsi="Times New Roman" w:cs="Times New Roman"/>
          <w:i/>
          <w:iCs/>
          <w:sz w:val="21"/>
          <w:szCs w:val="21"/>
          <w:lang w:val="en-US"/>
        </w:rPr>
      </w:pPr>
    </w:p>
    <w:p w14:paraId="0C41C921" w14:textId="77777777" w:rsidR="00877DE5" w:rsidRPr="00B55859" w:rsidRDefault="00877DE5" w:rsidP="009D392F">
      <w:pPr>
        <w:pStyle w:val="20"/>
        <w:spacing w:before="0" w:beforeAutospacing="0" w:after="0" w:afterAutospacing="0"/>
        <w:jc w:val="right"/>
        <w:rPr>
          <w:rFonts w:eastAsia="Calibri"/>
          <w:b w:val="0"/>
          <w:bCs w:val="0"/>
          <w:i/>
          <w:iCs/>
          <w:sz w:val="21"/>
          <w:szCs w:val="21"/>
        </w:rPr>
      </w:pPr>
      <w:r w:rsidRPr="00B55859">
        <w:rPr>
          <w:rFonts w:eastAsia="Calibri"/>
          <w:i/>
          <w:iCs/>
          <w:sz w:val="21"/>
          <w:szCs w:val="21"/>
        </w:rPr>
        <w:t>Научный руководитель:</w:t>
      </w:r>
    </w:p>
    <w:p w14:paraId="52CD9FF9" w14:textId="77777777" w:rsidR="00877DE5" w:rsidRPr="00B55859" w:rsidRDefault="00877DE5" w:rsidP="009D392F">
      <w:pPr>
        <w:pStyle w:val="20"/>
        <w:spacing w:before="0" w:beforeAutospacing="0" w:after="0" w:afterAutospacing="0"/>
        <w:jc w:val="right"/>
        <w:rPr>
          <w:rFonts w:eastAsia="Calibri"/>
          <w:b w:val="0"/>
          <w:bCs w:val="0"/>
          <w:i/>
          <w:iCs/>
          <w:sz w:val="21"/>
          <w:szCs w:val="21"/>
        </w:rPr>
      </w:pPr>
      <w:r w:rsidRPr="00B55859">
        <w:rPr>
          <w:rFonts w:eastAsia="Calibri"/>
          <w:i/>
          <w:iCs/>
          <w:sz w:val="21"/>
          <w:szCs w:val="21"/>
        </w:rPr>
        <w:t>Добрунова М. А.,</w:t>
      </w:r>
    </w:p>
    <w:p w14:paraId="357EFB02"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доцент кафедры «Экономика и финансы»</w:t>
      </w:r>
    </w:p>
    <w:p w14:paraId="6370569D" w14:textId="77777777" w:rsidR="00877DE5" w:rsidRPr="00B55859" w:rsidRDefault="00877DE5" w:rsidP="009D392F">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Финансовый университет при Правительстве РФ</w:t>
      </w:r>
    </w:p>
    <w:p w14:paraId="67B7AB89" w14:textId="77777777" w:rsidR="00877DE5" w:rsidRPr="00B55859" w:rsidRDefault="00877DE5" w:rsidP="00067100">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(Краснодарский филиал)</w:t>
      </w:r>
    </w:p>
    <w:p w14:paraId="0C3C9332" w14:textId="77777777" w:rsidR="00877DE5" w:rsidRPr="00B55859" w:rsidRDefault="00877DE5" w:rsidP="00067100">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г. Краснодар, Россия</w:t>
      </w:r>
    </w:p>
    <w:p w14:paraId="0AE79246" w14:textId="77777777" w:rsidR="00877DE5" w:rsidRPr="00B55859" w:rsidRDefault="00877DE5" w:rsidP="00067100">
      <w:pPr>
        <w:spacing w:after="0" w:line="240" w:lineRule="auto"/>
        <w:ind w:firstLine="709"/>
        <w:jc w:val="right"/>
        <w:rPr>
          <w:rFonts w:ascii="Times New Roman" w:eastAsia="Calibri" w:hAnsi="Times New Roman" w:cs="Times New Roman"/>
          <w:i/>
          <w:iCs/>
          <w:sz w:val="21"/>
          <w:szCs w:val="21"/>
        </w:rPr>
      </w:pPr>
      <w:r w:rsidRPr="00B55859">
        <w:rPr>
          <w:rFonts w:ascii="Times New Roman" w:eastAsia="Calibri" w:hAnsi="Times New Roman" w:cs="Times New Roman"/>
          <w:i/>
          <w:iCs/>
          <w:sz w:val="21"/>
          <w:szCs w:val="21"/>
        </w:rPr>
        <w:t>е-</w:t>
      </w:r>
      <w:r w:rsidRPr="00B55859">
        <w:rPr>
          <w:rFonts w:ascii="Times New Roman" w:eastAsia="Calibri" w:hAnsi="Times New Roman" w:cs="Times New Roman"/>
          <w:i/>
          <w:iCs/>
          <w:sz w:val="21"/>
          <w:szCs w:val="21"/>
          <w:lang w:val="en-US"/>
        </w:rPr>
        <w:t>mail</w:t>
      </w:r>
      <w:r w:rsidRPr="00B55859">
        <w:rPr>
          <w:rFonts w:ascii="Times New Roman" w:eastAsia="Calibri" w:hAnsi="Times New Roman" w:cs="Times New Roman"/>
          <w:i/>
          <w:iCs/>
          <w:sz w:val="21"/>
          <w:szCs w:val="21"/>
        </w:rPr>
        <w:t xml:space="preserve">: </w:t>
      </w:r>
      <w:hyperlink r:id="rId10" w:history="1">
        <w:r w:rsidRPr="00B55859">
          <w:rPr>
            <w:rStyle w:val="aa"/>
            <w:rFonts w:ascii="Times New Roman" w:eastAsia="Calibri" w:hAnsi="Times New Roman" w:cs="Times New Roman"/>
            <w:i/>
            <w:iCs/>
            <w:sz w:val="21"/>
            <w:szCs w:val="21"/>
            <w:lang w:val="en-US"/>
          </w:rPr>
          <w:t>MADobrunova</w:t>
        </w:r>
        <w:r w:rsidRPr="00B55859">
          <w:rPr>
            <w:rStyle w:val="aa"/>
            <w:rFonts w:ascii="Times New Roman" w:eastAsia="Calibri" w:hAnsi="Times New Roman" w:cs="Times New Roman"/>
            <w:i/>
            <w:iCs/>
            <w:sz w:val="21"/>
            <w:szCs w:val="21"/>
          </w:rPr>
          <w:t>@</w:t>
        </w:r>
        <w:r w:rsidRPr="00B55859">
          <w:rPr>
            <w:rStyle w:val="aa"/>
            <w:rFonts w:ascii="Times New Roman" w:eastAsia="Calibri" w:hAnsi="Times New Roman" w:cs="Times New Roman"/>
            <w:i/>
            <w:iCs/>
            <w:sz w:val="21"/>
            <w:szCs w:val="21"/>
            <w:lang w:val="en-US"/>
          </w:rPr>
          <w:t>fa</w:t>
        </w:r>
        <w:r w:rsidRPr="00B55859">
          <w:rPr>
            <w:rStyle w:val="aa"/>
            <w:rFonts w:ascii="Times New Roman" w:eastAsia="Calibri" w:hAnsi="Times New Roman" w:cs="Times New Roman"/>
            <w:i/>
            <w:iCs/>
            <w:sz w:val="21"/>
            <w:szCs w:val="21"/>
          </w:rPr>
          <w:t>.</w:t>
        </w:r>
        <w:r w:rsidRPr="00B55859">
          <w:rPr>
            <w:rStyle w:val="aa"/>
            <w:rFonts w:ascii="Times New Roman" w:eastAsia="Calibri" w:hAnsi="Times New Roman" w:cs="Times New Roman"/>
            <w:i/>
            <w:iCs/>
            <w:sz w:val="21"/>
            <w:szCs w:val="21"/>
            <w:lang w:val="en-US"/>
          </w:rPr>
          <w:t>ru</w:t>
        </w:r>
      </w:hyperlink>
    </w:p>
    <w:p w14:paraId="62C8B591" w14:textId="77777777" w:rsidR="00877DE5" w:rsidRPr="00B55859" w:rsidRDefault="00877DE5" w:rsidP="00357CF0">
      <w:pPr>
        <w:pStyle w:val="20"/>
        <w:jc w:val="center"/>
        <w:rPr>
          <w:b w:val="0"/>
          <w:sz w:val="21"/>
          <w:szCs w:val="21"/>
          <w:lang w:eastAsia="ar-SA"/>
        </w:rPr>
      </w:pPr>
      <w:r w:rsidRPr="00B55859">
        <w:rPr>
          <w:sz w:val="21"/>
          <w:szCs w:val="21"/>
          <w:lang w:eastAsia="ar-SA"/>
        </w:rPr>
        <w:t>Развитие малого и среднег</w:t>
      </w:r>
      <w:r>
        <w:rPr>
          <w:sz w:val="21"/>
          <w:szCs w:val="21"/>
          <w:lang w:eastAsia="ar-SA"/>
        </w:rPr>
        <w:t>о предпринимательства в Р</w:t>
      </w:r>
      <w:r w:rsidRPr="00B55859">
        <w:rPr>
          <w:sz w:val="21"/>
          <w:szCs w:val="21"/>
          <w:lang w:eastAsia="ar-SA"/>
        </w:rPr>
        <w:t>оссии 2020-2024 гг.</w:t>
      </w:r>
    </w:p>
    <w:p w14:paraId="63607DC9" w14:textId="77777777" w:rsidR="00877DE5" w:rsidRPr="00B55859" w:rsidRDefault="00877DE5" w:rsidP="00067100">
      <w:pPr>
        <w:spacing w:after="0" w:line="240" w:lineRule="auto"/>
        <w:ind w:firstLine="709"/>
        <w:jc w:val="both"/>
        <w:rPr>
          <w:rFonts w:ascii="Times New Roman" w:hAnsi="Times New Roman" w:cs="Times New Roman"/>
          <w:sz w:val="21"/>
          <w:szCs w:val="21"/>
        </w:rPr>
      </w:pPr>
      <w:r w:rsidRPr="00B55859">
        <w:rPr>
          <w:rFonts w:ascii="Times New Roman" w:hAnsi="Times New Roman" w:cs="Times New Roman"/>
          <w:b/>
          <w:sz w:val="21"/>
          <w:szCs w:val="21"/>
        </w:rPr>
        <w:t>Аннотация:</w:t>
      </w:r>
      <w:r w:rsidRPr="00B55859">
        <w:rPr>
          <w:rFonts w:ascii="Times New Roman" w:hAnsi="Times New Roman" w:cs="Times New Roman"/>
          <w:sz w:val="21"/>
          <w:szCs w:val="21"/>
        </w:rPr>
        <w:t xml:space="preserve"> В статье проведен анализ текущего состояния малого и среднего предпринимательства в России, рассмотрены ключевые показатели и проведена оценка эффективности государственной поддержки субъектов МСП, указаны основные проблемы и дальнейшие перспективы развития предпринимательства в России. </w:t>
      </w:r>
    </w:p>
    <w:p w14:paraId="07C66323" w14:textId="77777777" w:rsidR="00877DE5" w:rsidRPr="00B55859" w:rsidRDefault="00877DE5" w:rsidP="00067100">
      <w:pPr>
        <w:spacing w:after="0" w:line="240" w:lineRule="auto"/>
        <w:ind w:firstLine="709"/>
        <w:jc w:val="both"/>
        <w:rPr>
          <w:rFonts w:ascii="Times New Roman" w:hAnsi="Times New Roman" w:cs="Times New Roman"/>
          <w:sz w:val="21"/>
          <w:szCs w:val="21"/>
        </w:rPr>
      </w:pPr>
      <w:r w:rsidRPr="00B55859">
        <w:rPr>
          <w:rFonts w:ascii="Times New Roman" w:hAnsi="Times New Roman" w:cs="Times New Roman"/>
          <w:b/>
          <w:sz w:val="21"/>
          <w:szCs w:val="21"/>
        </w:rPr>
        <w:t>Ключевые слова:</w:t>
      </w:r>
      <w:r w:rsidRPr="00B55859">
        <w:rPr>
          <w:rFonts w:ascii="Times New Roman" w:hAnsi="Times New Roman" w:cs="Times New Roman"/>
          <w:sz w:val="21"/>
          <w:szCs w:val="21"/>
        </w:rPr>
        <w:t xml:space="preserve"> предпринимательство; малое предприятие; среднее предприятие; микропредприятие; бизнес; государство.</w:t>
      </w:r>
    </w:p>
    <w:p w14:paraId="60D5E465" w14:textId="77777777" w:rsidR="00877DE5" w:rsidRPr="00B55859" w:rsidRDefault="00877DE5" w:rsidP="00067100">
      <w:pPr>
        <w:spacing w:after="0" w:line="240" w:lineRule="auto"/>
        <w:ind w:firstLine="709"/>
        <w:jc w:val="both"/>
        <w:rPr>
          <w:rFonts w:ascii="Times New Roman" w:hAnsi="Times New Roman" w:cs="Times New Roman"/>
          <w:i/>
          <w:sz w:val="21"/>
          <w:szCs w:val="21"/>
        </w:rPr>
      </w:pPr>
    </w:p>
    <w:p w14:paraId="08A7D6C1" w14:textId="77777777" w:rsidR="00877DE5" w:rsidRPr="00B55859" w:rsidRDefault="00877DE5" w:rsidP="00067100">
      <w:pPr>
        <w:spacing w:after="0" w:line="240" w:lineRule="auto"/>
        <w:ind w:firstLine="709"/>
        <w:jc w:val="center"/>
        <w:rPr>
          <w:rFonts w:ascii="Times New Roman" w:eastAsia="Times New Roman" w:hAnsi="Times New Roman" w:cs="Times New Roman"/>
          <w:b/>
          <w:sz w:val="21"/>
          <w:szCs w:val="21"/>
          <w:lang w:val="en-US" w:eastAsia="ar-SA"/>
        </w:rPr>
      </w:pPr>
      <w:r>
        <w:rPr>
          <w:rFonts w:ascii="Times New Roman" w:eastAsia="Times New Roman" w:hAnsi="Times New Roman" w:cs="Times New Roman"/>
          <w:b/>
          <w:sz w:val="21"/>
          <w:szCs w:val="21"/>
          <w:lang w:val="en-US" w:eastAsia="ar-SA"/>
        </w:rPr>
        <w:t>D</w:t>
      </w:r>
      <w:r w:rsidRPr="00B55859">
        <w:rPr>
          <w:rFonts w:ascii="Times New Roman" w:eastAsia="Times New Roman" w:hAnsi="Times New Roman" w:cs="Times New Roman"/>
          <w:b/>
          <w:sz w:val="21"/>
          <w:szCs w:val="21"/>
          <w:lang w:val="en-US" w:eastAsia="ar-SA"/>
        </w:rPr>
        <w:t xml:space="preserve">evelopment of small and </w:t>
      </w:r>
      <w:r>
        <w:rPr>
          <w:rFonts w:ascii="Times New Roman" w:eastAsia="Times New Roman" w:hAnsi="Times New Roman" w:cs="Times New Roman"/>
          <w:b/>
          <w:sz w:val="21"/>
          <w:szCs w:val="21"/>
          <w:lang w:val="en-US" w:eastAsia="ar-SA"/>
        </w:rPr>
        <w:t>medium enterprises in R</w:t>
      </w:r>
      <w:r w:rsidRPr="00B55859">
        <w:rPr>
          <w:rFonts w:ascii="Times New Roman" w:eastAsia="Times New Roman" w:hAnsi="Times New Roman" w:cs="Times New Roman"/>
          <w:b/>
          <w:sz w:val="21"/>
          <w:szCs w:val="21"/>
          <w:lang w:val="en-US" w:eastAsia="ar-SA"/>
        </w:rPr>
        <w:t>ussia 2020-2024</w:t>
      </w:r>
    </w:p>
    <w:p w14:paraId="29E65859" w14:textId="77777777" w:rsidR="00877DE5" w:rsidRPr="00B55859" w:rsidRDefault="00877DE5" w:rsidP="00067100">
      <w:pPr>
        <w:spacing w:after="0" w:line="240" w:lineRule="auto"/>
        <w:ind w:firstLine="709"/>
        <w:jc w:val="center"/>
        <w:rPr>
          <w:rFonts w:ascii="Times New Roman" w:hAnsi="Times New Roman" w:cs="Times New Roman"/>
          <w:b/>
          <w:sz w:val="21"/>
          <w:szCs w:val="21"/>
          <w:lang w:val="en-US"/>
        </w:rPr>
      </w:pPr>
    </w:p>
    <w:p w14:paraId="04D80496" w14:textId="77777777" w:rsidR="00877DE5" w:rsidRPr="00B55859" w:rsidRDefault="00877DE5" w:rsidP="00067100">
      <w:pPr>
        <w:spacing w:after="0" w:line="240" w:lineRule="auto"/>
        <w:ind w:firstLine="709"/>
        <w:jc w:val="both"/>
        <w:rPr>
          <w:rFonts w:ascii="Times New Roman" w:hAnsi="Times New Roman" w:cs="Times New Roman"/>
          <w:sz w:val="21"/>
          <w:szCs w:val="21"/>
          <w:lang w:val="en-US"/>
        </w:rPr>
      </w:pPr>
      <w:r w:rsidRPr="00B55859">
        <w:rPr>
          <w:rFonts w:ascii="Times New Roman" w:hAnsi="Times New Roman" w:cs="Times New Roman"/>
          <w:b/>
          <w:sz w:val="21"/>
          <w:szCs w:val="21"/>
          <w:lang w:val="en-US"/>
        </w:rPr>
        <w:t xml:space="preserve">Abstract: </w:t>
      </w:r>
      <w:r w:rsidRPr="00B55859">
        <w:rPr>
          <w:rFonts w:ascii="Times New Roman" w:hAnsi="Times New Roman" w:cs="Times New Roman"/>
          <w:sz w:val="21"/>
          <w:szCs w:val="21"/>
          <w:lang w:val="en-US"/>
        </w:rPr>
        <w:t>The article analyzes the current state of small and medium-sized businesses in Russia, examines key indicators and evaluates the effectiveness of government support for SMEs, identifies the main problems and future prospects for the development of entrepreneurship in Russia.</w:t>
      </w:r>
    </w:p>
    <w:p w14:paraId="6E348F15" w14:textId="77777777" w:rsidR="00877DE5" w:rsidRDefault="00877DE5" w:rsidP="00067100">
      <w:pPr>
        <w:spacing w:after="0" w:line="240" w:lineRule="auto"/>
        <w:ind w:firstLine="709"/>
        <w:jc w:val="both"/>
        <w:rPr>
          <w:rFonts w:ascii="Times New Roman" w:hAnsi="Times New Roman" w:cs="Times New Roman"/>
          <w:sz w:val="21"/>
          <w:szCs w:val="21"/>
          <w:lang w:val="en-US"/>
        </w:rPr>
      </w:pPr>
      <w:r w:rsidRPr="00B55859">
        <w:rPr>
          <w:rFonts w:ascii="Times New Roman" w:hAnsi="Times New Roman" w:cs="Times New Roman"/>
          <w:b/>
          <w:sz w:val="21"/>
          <w:szCs w:val="21"/>
          <w:lang w:val="en-US"/>
        </w:rPr>
        <w:t xml:space="preserve">Keywords: </w:t>
      </w:r>
      <w:r w:rsidRPr="00B55859">
        <w:rPr>
          <w:rFonts w:ascii="Times New Roman" w:hAnsi="Times New Roman" w:cs="Times New Roman"/>
          <w:sz w:val="21"/>
          <w:szCs w:val="21"/>
          <w:lang w:val="en-US"/>
        </w:rPr>
        <w:t>entrepreneurship; small enterprise; medium enterprise; microenterprise; business; government.</w:t>
      </w:r>
    </w:p>
    <w:p w14:paraId="7162195A" w14:textId="77777777" w:rsidR="00877DE5" w:rsidRPr="00DA79C5" w:rsidRDefault="00877DE5" w:rsidP="00067100">
      <w:pPr>
        <w:spacing w:after="0" w:line="240" w:lineRule="auto"/>
        <w:ind w:firstLine="709"/>
        <w:jc w:val="both"/>
        <w:rPr>
          <w:rFonts w:ascii="Times New Roman" w:hAnsi="Times New Roman" w:cs="Times New Roman"/>
          <w:sz w:val="21"/>
          <w:szCs w:val="21"/>
          <w:lang w:val="en-US"/>
        </w:rPr>
      </w:pPr>
    </w:p>
    <w:p w14:paraId="5B73944B" w14:textId="093EECE9"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r w:rsidRPr="009472DE">
        <w:rPr>
          <w:rFonts w:ascii="Times New Roman" w:eastAsia="PT Astra Serif" w:hAnsi="Times New Roman" w:cs="Times New Roman"/>
          <w:kern w:val="3"/>
          <w:sz w:val="32"/>
          <w:szCs w:val="32"/>
          <w:lang w:eastAsia="ru-RU"/>
        </w:rPr>
        <w:t xml:space="preserve">Субъектами малого и среднего предпринимательства в России являются компании, входящие в особый реестр </w:t>
      </w:r>
      <w:r w:rsidRPr="009472DE">
        <w:rPr>
          <w:rFonts w:ascii="Times New Roman" w:hAnsi="Times New Roman" w:cs="Times New Roman"/>
          <w:color w:val="333333"/>
          <w:sz w:val="32"/>
          <w:szCs w:val="21"/>
          <w:shd w:val="clear" w:color="auto" w:fill="FFFFFF"/>
        </w:rPr>
        <w:t xml:space="preserve">— </w:t>
      </w:r>
      <w:r w:rsidRPr="009472DE">
        <w:rPr>
          <w:rFonts w:ascii="Times New Roman" w:eastAsia="PT Astra Serif" w:hAnsi="Times New Roman" w:cs="Times New Roman"/>
          <w:kern w:val="3"/>
          <w:sz w:val="32"/>
          <w:szCs w:val="32"/>
          <w:lang w:eastAsia="ru-RU"/>
        </w:rPr>
        <w:t>единый реестр субъектов малого и среднего предпринимательства. В него могут попасть индивидуальные предприниматели, общества (с ограниченной ответственностью и акционерные), товарищества, партнёрства, производственные и потребительские кооперативы, крестьянские (фермерские) хозяйства.</w:t>
      </w:r>
    </w:p>
    <w:p w14:paraId="7C0CF229" w14:textId="4E135061"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r w:rsidRPr="009472DE">
        <w:rPr>
          <w:rFonts w:ascii="Times New Roman" w:eastAsia="PT Astra Serif" w:hAnsi="Times New Roman" w:cs="Times New Roman"/>
          <w:kern w:val="3"/>
          <w:sz w:val="32"/>
          <w:szCs w:val="32"/>
          <w:lang w:eastAsia="ru-RU"/>
        </w:rPr>
        <w:t xml:space="preserve">Субъекты МСП делятся на микро-, малые и средние предприятия. Для получения статуса субъекта МСП организациям необходимо соответствовать ряду условий, ограничивающих размер их дохода, количество сотрудников и устанавливающих определенные требования к структуре их капитала. Основные критерии отбора в </w:t>
      </w:r>
      <w:r w:rsidRPr="009472DE">
        <w:rPr>
          <w:rFonts w:ascii="Times New Roman" w:eastAsia="PT Astra Serif" w:hAnsi="Times New Roman" w:cs="Times New Roman"/>
          <w:kern w:val="3"/>
          <w:sz w:val="32"/>
          <w:szCs w:val="32"/>
          <w:lang w:eastAsia="ru-RU"/>
        </w:rPr>
        <w:lastRenderedPageBreak/>
        <w:t xml:space="preserve">реестр представлены на рисунке 1. </w:t>
      </w:r>
    </w:p>
    <w:p w14:paraId="17B304D6" w14:textId="77777777" w:rsidR="00877DE5" w:rsidRPr="009472DE"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32"/>
          <w:lang w:val="en-US" w:eastAsia="ru-RU"/>
        </w:rPr>
      </w:pPr>
      <w:r w:rsidRPr="009472DE">
        <w:rPr>
          <w:rFonts w:ascii="Times New Roman" w:eastAsia="PT Astra Serif" w:hAnsi="Times New Roman" w:cs="Times New Roman"/>
          <w:noProof/>
          <w:kern w:val="3"/>
          <w:sz w:val="32"/>
          <w:szCs w:val="32"/>
          <w:lang w:eastAsia="ru-RU"/>
        </w:rPr>
        <w:drawing>
          <wp:inline distT="0" distB="0" distL="0" distR="0" wp14:anchorId="26FE69C1" wp14:editId="092BE44A">
            <wp:extent cx="5767531" cy="4789715"/>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806" b="521"/>
                    <a:stretch/>
                  </pic:blipFill>
                  <pic:spPr bwMode="auto">
                    <a:xfrm>
                      <a:off x="0" y="0"/>
                      <a:ext cx="5779572" cy="4799715"/>
                    </a:xfrm>
                    <a:prstGeom prst="rect">
                      <a:avLst/>
                    </a:prstGeom>
                    <a:ln>
                      <a:noFill/>
                    </a:ln>
                    <a:extLst>
                      <a:ext uri="{53640926-AAD7-44D8-BBD7-CCE9431645EC}">
                        <a14:shadowObscured xmlns:a14="http://schemas.microsoft.com/office/drawing/2010/main"/>
                      </a:ext>
                    </a:extLst>
                  </pic:spPr>
                </pic:pic>
              </a:graphicData>
            </a:graphic>
          </wp:inline>
        </w:drawing>
      </w:r>
    </w:p>
    <w:p w14:paraId="49CD359F" w14:textId="44EE6C6D" w:rsidR="00877DE5" w:rsidRPr="009472DE"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Рисунок 1 </w:t>
      </w:r>
      <w:r w:rsidR="005712E2">
        <w:rPr>
          <w:rFonts w:ascii="Times New Roman" w:hAnsi="Times New Roman" w:cs="Times New Roman"/>
          <w:color w:val="333333"/>
          <w:sz w:val="32"/>
          <w:szCs w:val="21"/>
          <w:shd w:val="clear" w:color="auto" w:fill="FFFFFF"/>
        </w:rPr>
        <w:t>-</w:t>
      </w:r>
      <w:r w:rsidRPr="009472DE">
        <w:rPr>
          <w:rFonts w:ascii="Times New Roman" w:hAnsi="Times New Roman" w:cs="Times New Roman"/>
          <w:color w:val="333333"/>
          <w:sz w:val="21"/>
          <w:szCs w:val="21"/>
          <w:shd w:val="clear" w:color="auto" w:fill="FFFFFF"/>
        </w:rPr>
        <w:t xml:space="preserve"> </w:t>
      </w:r>
      <w:r w:rsidRPr="009472DE">
        <w:rPr>
          <w:rFonts w:ascii="Times New Roman" w:eastAsia="PT Astra Serif" w:hAnsi="Times New Roman" w:cs="Times New Roman"/>
          <w:kern w:val="3"/>
          <w:sz w:val="32"/>
          <w:szCs w:val="24"/>
          <w:lang w:eastAsia="ru-RU"/>
        </w:rPr>
        <w:t>Критерии отбора предприятий в реестр МСП</w:t>
      </w:r>
    </w:p>
    <w:p w14:paraId="608EF139"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p>
    <w:p w14:paraId="66C8F717" w14:textId="09C27BD9"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r w:rsidRPr="009472DE">
        <w:rPr>
          <w:rFonts w:ascii="Times New Roman" w:eastAsia="PT Astra Serif" w:hAnsi="Times New Roman" w:cs="Times New Roman"/>
          <w:kern w:val="3"/>
          <w:sz w:val="32"/>
          <w:szCs w:val="32"/>
          <w:lang w:eastAsia="ru-RU"/>
        </w:rPr>
        <w:t>Единый реестр МСП формируется ежемесячно и автоматически, предпринимателям не нужно самостоятельно подавать заявления. Включение в него означает, что предприятия ведут легальную деятельность, вовремя уплачивают налоги, передает сведения о работниках и сдают налоговую отчетность.</w:t>
      </w:r>
      <w:r w:rsidRPr="009472DE">
        <w:rPr>
          <w:rFonts w:ascii="Times New Roman" w:hAnsi="Times New Roman" w:cs="Times New Roman"/>
        </w:rPr>
        <w:t xml:space="preserve"> </w:t>
      </w:r>
      <w:r w:rsidRPr="009472DE">
        <w:rPr>
          <w:rFonts w:ascii="Times New Roman" w:eastAsia="PT Astra Serif" w:hAnsi="Times New Roman" w:cs="Times New Roman"/>
          <w:kern w:val="3"/>
          <w:sz w:val="32"/>
          <w:szCs w:val="32"/>
          <w:lang w:eastAsia="ru-RU"/>
        </w:rPr>
        <w:t>Так, реестр, способствуя сбору необходимых документов, облегчает доступ к господдержке и участию в закупках. Кроме того, он служит источником статистических данных, используемых для разработки мер поддержки различных отраслей нашей страны.</w:t>
      </w:r>
    </w:p>
    <w:p w14:paraId="46BC0FF6" w14:textId="0515FD0A"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r w:rsidRPr="009472DE">
        <w:rPr>
          <w:rFonts w:ascii="Times New Roman" w:eastAsia="PT Astra Serif" w:hAnsi="Times New Roman" w:cs="Times New Roman"/>
          <w:kern w:val="3"/>
          <w:sz w:val="32"/>
          <w:szCs w:val="32"/>
          <w:lang w:eastAsia="ru-RU"/>
        </w:rPr>
        <w:t xml:space="preserve">Компании, входящие в реестр, в свою очередь, получают множество льгот и преференций. Среди наиболее важных стоит выделить пониженные налоговые ставки, государственные и муниципальные гарантии, возможность получать субсидии и инвестиции из бюджета, упрощенный бухучет и меньшее количество кадровых документов, сокращенные сроки проверок и много другое. </w:t>
      </w:r>
      <w:r w:rsidRPr="009472DE">
        <w:rPr>
          <w:rFonts w:ascii="Times New Roman" w:eastAsia="PT Astra Serif" w:hAnsi="Times New Roman" w:cs="Times New Roman"/>
          <w:kern w:val="3"/>
          <w:sz w:val="32"/>
          <w:szCs w:val="32"/>
          <w:lang w:eastAsia="ru-RU"/>
        </w:rPr>
        <w:lastRenderedPageBreak/>
        <w:t>Многие предприятия заинтересованы в получении вышеперечисленных преимуществ и стремятся соответствовать необходимым условиям.</w:t>
      </w:r>
    </w:p>
    <w:p w14:paraId="37BD2BB5" w14:textId="37992DDE"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32"/>
          <w:lang w:eastAsia="ru-RU"/>
        </w:rPr>
      </w:pPr>
      <w:r w:rsidRPr="009472DE">
        <w:rPr>
          <w:rFonts w:ascii="Times New Roman" w:eastAsia="PT Astra Serif" w:hAnsi="Times New Roman" w:cs="Times New Roman"/>
          <w:kern w:val="3"/>
          <w:sz w:val="32"/>
          <w:szCs w:val="32"/>
          <w:lang w:eastAsia="ru-RU"/>
        </w:rPr>
        <w:t xml:space="preserve">На рисунке 2 представлено изменение количества предприятий МСП за последние пять лет </w:t>
      </w:r>
      <w:r w:rsidRPr="009472DE">
        <w:rPr>
          <w:rFonts w:ascii="Times New Roman" w:hAnsi="Times New Roman" w:cs="Times New Roman"/>
          <w:color w:val="333333"/>
          <w:sz w:val="32"/>
          <w:szCs w:val="21"/>
          <w:shd w:val="clear" w:color="auto" w:fill="FFFFFF"/>
        </w:rPr>
        <w:t xml:space="preserve">— </w:t>
      </w:r>
      <w:r w:rsidRPr="009472DE">
        <w:rPr>
          <w:rFonts w:ascii="Times New Roman" w:eastAsia="PT Astra Serif" w:hAnsi="Times New Roman" w:cs="Times New Roman"/>
          <w:kern w:val="3"/>
          <w:sz w:val="32"/>
          <w:szCs w:val="32"/>
          <w:lang w:eastAsia="ru-RU"/>
        </w:rPr>
        <w:t xml:space="preserve">их прирост составил порядка 7,3%. Более значительному результату помешало серьезное падение в 2021 году, вызванное потерей достаточного количества компаний и рабочих мест вследствие пандемии, и недостаточными мерами государственной поддержки некоторых отраслей. Наибольший рост количества предприятий МСП наблюдается в прошлом году – по сравнению с 2023 годом их число увеличилось на 5,9%. Также стоит отметить, что бóльшую долю в их составе занимают не юридические лица, а индивидуальные предприниматели (ИП). </w:t>
      </w:r>
    </w:p>
    <w:p w14:paraId="6F428256" w14:textId="77777777" w:rsidR="00877DE5" w:rsidRPr="009472DE"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32"/>
          <w:lang w:eastAsia="ru-RU"/>
        </w:rPr>
      </w:pPr>
      <w:r w:rsidRPr="009472DE">
        <w:rPr>
          <w:rFonts w:ascii="Times New Roman" w:hAnsi="Times New Roman" w:cs="Times New Roman"/>
          <w:noProof/>
          <w:lang w:eastAsia="ru-RU"/>
        </w:rPr>
        <w:drawing>
          <wp:inline distT="0" distB="0" distL="0" distR="0" wp14:anchorId="73E18FD2" wp14:editId="2F575A2F">
            <wp:extent cx="6311265" cy="3369365"/>
            <wp:effectExtent l="0" t="0" r="0" b="25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8F174C" w14:textId="730AE802" w:rsidR="00877DE5"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Рисунок 2 </w:t>
      </w:r>
      <w:r w:rsidRPr="009472DE">
        <w:rPr>
          <w:rFonts w:ascii="Times New Roman" w:hAnsi="Times New Roman" w:cs="Times New Roman"/>
          <w:color w:val="333333"/>
          <w:sz w:val="32"/>
          <w:szCs w:val="21"/>
          <w:shd w:val="clear" w:color="auto" w:fill="FFFFFF"/>
        </w:rPr>
        <w:t>—</w:t>
      </w:r>
      <w:r w:rsidRPr="009472DE">
        <w:rPr>
          <w:rFonts w:ascii="Times New Roman" w:hAnsi="Times New Roman" w:cs="Times New Roman"/>
          <w:color w:val="333333"/>
          <w:sz w:val="21"/>
          <w:szCs w:val="21"/>
          <w:shd w:val="clear" w:color="auto" w:fill="FFFFFF"/>
        </w:rPr>
        <w:t xml:space="preserve"> </w:t>
      </w:r>
      <w:r w:rsidRPr="009472DE">
        <w:rPr>
          <w:rFonts w:ascii="Times New Roman" w:eastAsia="PT Astra Serif" w:hAnsi="Times New Roman" w:cs="Times New Roman"/>
          <w:kern w:val="3"/>
          <w:sz w:val="32"/>
          <w:szCs w:val="24"/>
          <w:lang w:eastAsia="ru-RU"/>
        </w:rPr>
        <w:t>Динамика числа предприятий МСП 2020-2024</w:t>
      </w:r>
      <w:r w:rsidR="005712E2">
        <w:rPr>
          <w:rFonts w:ascii="Times New Roman" w:eastAsia="PT Astra Serif" w:hAnsi="Times New Roman" w:cs="Times New Roman"/>
          <w:kern w:val="3"/>
          <w:sz w:val="32"/>
          <w:szCs w:val="24"/>
          <w:lang w:eastAsia="ru-RU"/>
        </w:rPr>
        <w:t xml:space="preserve"> </w:t>
      </w:r>
      <w:r w:rsidRPr="009472DE">
        <w:rPr>
          <w:rFonts w:ascii="Times New Roman" w:eastAsia="PT Astra Serif" w:hAnsi="Times New Roman" w:cs="Times New Roman"/>
          <w:kern w:val="3"/>
          <w:sz w:val="32"/>
          <w:szCs w:val="24"/>
          <w:lang w:eastAsia="ru-RU"/>
        </w:rPr>
        <w:t>г.</w:t>
      </w:r>
    </w:p>
    <w:p w14:paraId="12DAE835" w14:textId="77777777" w:rsidR="005712E2" w:rsidRPr="009472DE" w:rsidRDefault="005712E2"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24"/>
          <w:lang w:eastAsia="ru-RU"/>
        </w:rPr>
      </w:pPr>
    </w:p>
    <w:p w14:paraId="3D7DBAC4" w14:textId="0A817132"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По состоянию на 10 мая 2025 года в России функционируют более 6,5 млн субъектов малого и среднего бизнеса. При этом число юридических лиц сократилось на 1,1%, а число ИП выросло на 6,6%. Наибольшая концентрация таких компаний приходится на Центральный федеральный округ, а именно </w:t>
      </w:r>
      <w:r w:rsidRPr="009472DE">
        <w:rPr>
          <w:rFonts w:ascii="Times New Roman" w:hAnsi="Times New Roman" w:cs="Times New Roman"/>
          <w:color w:val="333333"/>
          <w:sz w:val="32"/>
          <w:szCs w:val="21"/>
          <w:shd w:val="clear" w:color="auto" w:fill="FFFFFF"/>
        </w:rPr>
        <w:t xml:space="preserve">— </w:t>
      </w:r>
      <w:r w:rsidRPr="009472DE">
        <w:rPr>
          <w:rFonts w:ascii="Times New Roman" w:eastAsia="PT Astra Serif" w:hAnsi="Times New Roman" w:cs="Times New Roman"/>
          <w:kern w:val="3"/>
          <w:sz w:val="32"/>
          <w:szCs w:val="24"/>
          <w:lang w:eastAsia="ru-RU"/>
        </w:rPr>
        <w:t xml:space="preserve">Москву и Московскую область. Самым распространенным видом экономической деятельности стала розничная торговля по почте или сети Интернет, составив 21% от всего количества представителей МСП. Это объясняется послековидным ростом объема торговли на </w:t>
      </w:r>
      <w:r w:rsidRPr="009472DE">
        <w:rPr>
          <w:rFonts w:ascii="Times New Roman" w:eastAsia="PT Astra Serif" w:hAnsi="Times New Roman" w:cs="Times New Roman"/>
          <w:kern w:val="3"/>
          <w:sz w:val="32"/>
          <w:szCs w:val="24"/>
          <w:lang w:eastAsia="ru-RU"/>
        </w:rPr>
        <w:lastRenderedPageBreak/>
        <w:t>маркетплейсах и стремительно увеличивающимся количеством интернет-магазинов и онлайн-заказов [1].</w:t>
      </w:r>
      <w:r w:rsidRPr="009472DE">
        <w:rPr>
          <w:rFonts w:ascii="Times New Roman" w:eastAsia="PT Astra Serif" w:hAnsi="Times New Roman" w:cs="Times New Roman"/>
          <w:kern w:val="3"/>
          <w:sz w:val="32"/>
          <w:szCs w:val="24"/>
          <w:lang w:eastAsia="ru-RU"/>
        </w:rPr>
        <w:tab/>
      </w:r>
    </w:p>
    <w:p w14:paraId="1B72CA38" w14:textId="04737BC2"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В развитых странах мира доля малого и среднего предпринимательства в ВВП колеблется в пределах 50–60%. В России в 2024 году доля МСП составила 32,5%, увеличившись более чем на 10% по сравнению с показателями 7-8 летней давности. Во-первых, такой результат говорит о перспективах МСП, как драйвера экономического развития России, способности достичь в обозримом будущем среднемировых показателей. Во-вторых, демонстрирует качество проводимых мер поддержки малого и среднего предпринимательства: установлению льгот, упрощению и ускорению основных процессов регистрации и работы предприятий [2-3]. </w:t>
      </w:r>
    </w:p>
    <w:p w14:paraId="1DC49818" w14:textId="5D5F6BA9"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За январь – февраль 2025 года субъектам малого и среднего предпринимательства было предоставлено кредитов на сумму 1,9 трлн руб., что на 11,6% меньше, чем годом ранее. Однако доля субъектов МСП с задолженностью по кредитам на протяжении трех последних лет только увеличивается [4]. </w:t>
      </w:r>
    </w:p>
    <w:p w14:paraId="1A0B8AB7" w14:textId="77777777" w:rsidR="00877DE5" w:rsidRPr="009472DE"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noProof/>
          <w:kern w:val="3"/>
          <w:sz w:val="32"/>
          <w:szCs w:val="24"/>
          <w:lang w:eastAsia="ru-RU"/>
        </w:rPr>
        <w:drawing>
          <wp:inline distT="0" distB="0" distL="0" distR="0" wp14:anchorId="452B9052" wp14:editId="7B867CD2">
            <wp:extent cx="5489232" cy="232833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6960" cy="2344335"/>
                    </a:xfrm>
                    <a:prstGeom prst="rect">
                      <a:avLst/>
                    </a:prstGeom>
                  </pic:spPr>
                </pic:pic>
              </a:graphicData>
            </a:graphic>
          </wp:inline>
        </w:drawing>
      </w:r>
    </w:p>
    <w:p w14:paraId="47D55896" w14:textId="77777777" w:rsidR="00877DE5" w:rsidRPr="009472DE" w:rsidRDefault="00877DE5" w:rsidP="0022203D">
      <w:pPr>
        <w:widowControl w:val="0"/>
        <w:tabs>
          <w:tab w:val="left" w:pos="573"/>
        </w:tabs>
        <w:suppressAutoHyphens/>
        <w:autoSpaceDN w:val="0"/>
        <w:spacing w:after="0" w:line="240" w:lineRule="auto"/>
        <w:ind w:firstLine="709"/>
        <w:jc w:val="center"/>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Рисунок 3 </w:t>
      </w:r>
      <w:r w:rsidRPr="009472DE">
        <w:rPr>
          <w:rFonts w:ascii="Times New Roman" w:hAnsi="Times New Roman" w:cs="Times New Roman"/>
          <w:color w:val="333333"/>
          <w:sz w:val="32"/>
          <w:szCs w:val="21"/>
          <w:shd w:val="clear" w:color="auto" w:fill="FFFFFF"/>
        </w:rPr>
        <w:t>—</w:t>
      </w:r>
      <w:r w:rsidRPr="009472DE">
        <w:rPr>
          <w:rFonts w:ascii="Times New Roman" w:hAnsi="Times New Roman" w:cs="Times New Roman"/>
          <w:color w:val="333333"/>
          <w:sz w:val="21"/>
          <w:szCs w:val="21"/>
          <w:shd w:val="clear" w:color="auto" w:fill="FFFFFF"/>
        </w:rPr>
        <w:t xml:space="preserve"> </w:t>
      </w:r>
      <w:r w:rsidRPr="009472DE">
        <w:rPr>
          <w:rFonts w:ascii="Times New Roman" w:eastAsia="PT Astra Serif" w:hAnsi="Times New Roman" w:cs="Times New Roman"/>
          <w:kern w:val="3"/>
          <w:sz w:val="32"/>
          <w:szCs w:val="24"/>
          <w:lang w:eastAsia="ru-RU"/>
        </w:rPr>
        <w:t>Динамика объема кредитов субъектам МСП 2023-2025г.</w:t>
      </w:r>
    </w:p>
    <w:p w14:paraId="5EB43E9E" w14:textId="30B2165A"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Также на рисунке 3 заметно, что, начиная с мая 2024 года, происходит падение годового темпа прироста объема кредитов. Примерно в это же время начинает свое повышение ключевая ставка Центрального банка России. </w:t>
      </w:r>
    </w:p>
    <w:p w14:paraId="43D32238"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Несмотря на то, что, согласно данным статистики, наблюдается увеличение количества субъектов МСП и рост численности их работников, которые демонстрируют эффективность мер Правительства, остаются моменты, по сей день требующие особого внимания. Так, одной из проблем современного развития МСП является медленный рост количества средних предприятий. Многие </w:t>
      </w:r>
      <w:r w:rsidRPr="009472DE">
        <w:rPr>
          <w:rFonts w:ascii="Times New Roman" w:eastAsia="PT Astra Serif" w:hAnsi="Times New Roman" w:cs="Times New Roman"/>
          <w:kern w:val="3"/>
          <w:sz w:val="32"/>
          <w:szCs w:val="24"/>
          <w:lang w:eastAsia="ru-RU"/>
        </w:rPr>
        <w:lastRenderedPageBreak/>
        <w:t xml:space="preserve">малые и микропредприятия не доходят до стадии средних </w:t>
      </w:r>
      <w:r w:rsidRPr="009472DE">
        <w:rPr>
          <w:rFonts w:ascii="Times New Roman" w:hAnsi="Times New Roman" w:cs="Times New Roman"/>
          <w:color w:val="333333"/>
          <w:sz w:val="32"/>
          <w:szCs w:val="21"/>
          <w:shd w:val="clear" w:color="auto" w:fill="FFFFFF"/>
        </w:rPr>
        <w:t>—</w:t>
      </w:r>
      <w:r w:rsidRPr="009472DE">
        <w:rPr>
          <w:rFonts w:ascii="Times New Roman" w:eastAsia="PT Astra Serif" w:hAnsi="Times New Roman" w:cs="Times New Roman"/>
          <w:kern w:val="3"/>
          <w:sz w:val="32"/>
          <w:szCs w:val="24"/>
          <w:lang w:eastAsia="ru-RU"/>
        </w:rPr>
        <w:t xml:space="preserve"> они быстро закрываются или прекращают свой активный рост и развитие ввиду нехватки финансовых или иных ресурсов. Динамика количества субъектов МСП, разделенных в соответствии с их размером дохода и численности работников, представлена в таблице 1.</w:t>
      </w:r>
    </w:p>
    <w:p w14:paraId="15D48AA0"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 </w:t>
      </w:r>
    </w:p>
    <w:p w14:paraId="15D6CC28" w14:textId="77777777" w:rsidR="00877DE5" w:rsidRPr="009472DE" w:rsidRDefault="00877DE5" w:rsidP="005712E2">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Таблица 1 </w:t>
      </w:r>
      <w:r w:rsidRPr="009472DE">
        <w:rPr>
          <w:rFonts w:ascii="Times New Roman" w:hAnsi="Times New Roman" w:cs="Times New Roman"/>
          <w:color w:val="333333"/>
          <w:sz w:val="32"/>
          <w:szCs w:val="21"/>
          <w:shd w:val="clear" w:color="auto" w:fill="FFFFFF"/>
        </w:rPr>
        <w:t>—</w:t>
      </w:r>
      <w:r w:rsidRPr="009472DE">
        <w:rPr>
          <w:rFonts w:ascii="Times New Roman" w:eastAsia="PT Astra Serif" w:hAnsi="Times New Roman" w:cs="Times New Roman"/>
          <w:kern w:val="3"/>
          <w:sz w:val="32"/>
          <w:szCs w:val="24"/>
          <w:lang w:eastAsia="ru-RU"/>
        </w:rPr>
        <w:t xml:space="preserve"> Динамика количества субъектов МСП, ед. </w:t>
      </w:r>
    </w:p>
    <w:p w14:paraId="6C62DE90"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8"/>
          <w:szCs w:val="24"/>
          <w:lang w:eastAsia="ru-RU"/>
        </w:rPr>
      </w:pPr>
    </w:p>
    <w:tbl>
      <w:tblPr>
        <w:tblStyle w:val="a9"/>
        <w:tblW w:w="9764" w:type="dxa"/>
        <w:tblLook w:val="04A0" w:firstRow="1" w:lastRow="0" w:firstColumn="1" w:lastColumn="0" w:noHBand="0" w:noVBand="1"/>
      </w:tblPr>
      <w:tblGrid>
        <w:gridCol w:w="2860"/>
        <w:gridCol w:w="1364"/>
        <w:gridCol w:w="1363"/>
        <w:gridCol w:w="1364"/>
        <w:gridCol w:w="1363"/>
        <w:gridCol w:w="1450"/>
      </w:tblGrid>
      <w:tr w:rsidR="00877DE5" w:rsidRPr="009472DE" w14:paraId="238C3C7C" w14:textId="77777777" w:rsidTr="00067100">
        <w:trPr>
          <w:trHeight w:val="309"/>
        </w:trPr>
        <w:tc>
          <w:tcPr>
            <w:tcW w:w="2860" w:type="dxa"/>
            <w:noWrap/>
            <w:hideMark/>
          </w:tcPr>
          <w:p w14:paraId="280137D2" w14:textId="77777777" w:rsidR="00877DE5" w:rsidRPr="009472DE" w:rsidRDefault="00877DE5" w:rsidP="0022203D">
            <w:pPr>
              <w:widowControl w:val="0"/>
              <w:tabs>
                <w:tab w:val="left" w:pos="573"/>
              </w:tabs>
              <w:suppressAutoHyphens/>
              <w:autoSpaceDN w:val="0"/>
              <w:ind w:firstLine="709"/>
              <w:jc w:val="both"/>
              <w:textAlignment w:val="baseline"/>
              <w:rPr>
                <w:rFonts w:ascii="Times New Roman" w:eastAsia="PT Astra Serif" w:hAnsi="Times New Roman" w:cs="Times New Roman"/>
                <w:kern w:val="3"/>
                <w:sz w:val="32"/>
                <w:szCs w:val="24"/>
                <w:lang w:eastAsia="ru-RU"/>
              </w:rPr>
            </w:pPr>
          </w:p>
        </w:tc>
        <w:tc>
          <w:tcPr>
            <w:tcW w:w="1364" w:type="dxa"/>
            <w:noWrap/>
            <w:hideMark/>
          </w:tcPr>
          <w:p w14:paraId="51C7305B" w14:textId="77777777" w:rsidR="00877DE5" w:rsidRPr="009472DE" w:rsidRDefault="00877DE5" w:rsidP="005712E2">
            <w:pPr>
              <w:widowControl w:val="0"/>
              <w:tabs>
                <w:tab w:val="left" w:pos="573"/>
              </w:tabs>
              <w:suppressAutoHyphens/>
              <w:autoSpaceDN w:val="0"/>
              <w:jc w:val="center"/>
              <w:textAlignment w:val="baseline"/>
              <w:rPr>
                <w:rFonts w:ascii="Times New Roman" w:eastAsia="PT Astra Serif" w:hAnsi="Times New Roman" w:cs="Times New Roman"/>
                <w:bCs/>
                <w:kern w:val="3"/>
                <w:sz w:val="28"/>
                <w:szCs w:val="24"/>
                <w:lang w:eastAsia="ru-RU"/>
              </w:rPr>
            </w:pPr>
            <w:r w:rsidRPr="009472DE">
              <w:rPr>
                <w:rFonts w:ascii="Times New Roman" w:eastAsia="PT Astra Serif" w:hAnsi="Times New Roman" w:cs="Times New Roman"/>
                <w:bCs/>
                <w:kern w:val="3"/>
                <w:sz w:val="28"/>
                <w:szCs w:val="24"/>
                <w:lang w:eastAsia="ru-RU"/>
              </w:rPr>
              <w:t>2020</w:t>
            </w:r>
          </w:p>
        </w:tc>
        <w:tc>
          <w:tcPr>
            <w:tcW w:w="1363" w:type="dxa"/>
            <w:noWrap/>
            <w:hideMark/>
          </w:tcPr>
          <w:p w14:paraId="6196EE52" w14:textId="77777777" w:rsidR="00877DE5" w:rsidRPr="009472DE" w:rsidRDefault="00877DE5" w:rsidP="005712E2">
            <w:pPr>
              <w:widowControl w:val="0"/>
              <w:tabs>
                <w:tab w:val="left" w:pos="573"/>
              </w:tabs>
              <w:suppressAutoHyphens/>
              <w:autoSpaceDN w:val="0"/>
              <w:jc w:val="center"/>
              <w:textAlignment w:val="baseline"/>
              <w:rPr>
                <w:rFonts w:ascii="Times New Roman" w:eastAsia="PT Astra Serif" w:hAnsi="Times New Roman" w:cs="Times New Roman"/>
                <w:bCs/>
                <w:kern w:val="3"/>
                <w:sz w:val="28"/>
                <w:szCs w:val="24"/>
                <w:lang w:eastAsia="ru-RU"/>
              </w:rPr>
            </w:pPr>
            <w:r w:rsidRPr="009472DE">
              <w:rPr>
                <w:rFonts w:ascii="Times New Roman" w:eastAsia="PT Astra Serif" w:hAnsi="Times New Roman" w:cs="Times New Roman"/>
                <w:bCs/>
                <w:kern w:val="3"/>
                <w:sz w:val="28"/>
                <w:szCs w:val="24"/>
                <w:lang w:eastAsia="ru-RU"/>
              </w:rPr>
              <w:t>2021</w:t>
            </w:r>
          </w:p>
        </w:tc>
        <w:tc>
          <w:tcPr>
            <w:tcW w:w="1364" w:type="dxa"/>
            <w:noWrap/>
            <w:hideMark/>
          </w:tcPr>
          <w:p w14:paraId="7641A2C4" w14:textId="77777777" w:rsidR="00877DE5" w:rsidRPr="009472DE" w:rsidRDefault="00877DE5" w:rsidP="005712E2">
            <w:pPr>
              <w:widowControl w:val="0"/>
              <w:tabs>
                <w:tab w:val="left" w:pos="573"/>
              </w:tabs>
              <w:suppressAutoHyphens/>
              <w:autoSpaceDN w:val="0"/>
              <w:jc w:val="center"/>
              <w:textAlignment w:val="baseline"/>
              <w:rPr>
                <w:rFonts w:ascii="Times New Roman" w:eastAsia="PT Astra Serif" w:hAnsi="Times New Roman" w:cs="Times New Roman"/>
                <w:bCs/>
                <w:kern w:val="3"/>
                <w:sz w:val="28"/>
                <w:szCs w:val="24"/>
                <w:lang w:eastAsia="ru-RU"/>
              </w:rPr>
            </w:pPr>
            <w:r w:rsidRPr="009472DE">
              <w:rPr>
                <w:rFonts w:ascii="Times New Roman" w:eastAsia="PT Astra Serif" w:hAnsi="Times New Roman" w:cs="Times New Roman"/>
                <w:bCs/>
                <w:kern w:val="3"/>
                <w:sz w:val="28"/>
                <w:szCs w:val="24"/>
                <w:lang w:eastAsia="ru-RU"/>
              </w:rPr>
              <w:t>2022</w:t>
            </w:r>
          </w:p>
        </w:tc>
        <w:tc>
          <w:tcPr>
            <w:tcW w:w="1363" w:type="dxa"/>
            <w:noWrap/>
            <w:hideMark/>
          </w:tcPr>
          <w:p w14:paraId="4F0E3762" w14:textId="77777777" w:rsidR="00877DE5" w:rsidRPr="009472DE" w:rsidRDefault="00877DE5" w:rsidP="005712E2">
            <w:pPr>
              <w:widowControl w:val="0"/>
              <w:tabs>
                <w:tab w:val="left" w:pos="573"/>
              </w:tabs>
              <w:suppressAutoHyphens/>
              <w:autoSpaceDN w:val="0"/>
              <w:jc w:val="center"/>
              <w:textAlignment w:val="baseline"/>
              <w:rPr>
                <w:rFonts w:ascii="Times New Roman" w:eastAsia="PT Astra Serif" w:hAnsi="Times New Roman" w:cs="Times New Roman"/>
                <w:bCs/>
                <w:kern w:val="3"/>
                <w:sz w:val="28"/>
                <w:szCs w:val="24"/>
                <w:lang w:eastAsia="ru-RU"/>
              </w:rPr>
            </w:pPr>
            <w:r w:rsidRPr="009472DE">
              <w:rPr>
                <w:rFonts w:ascii="Times New Roman" w:eastAsia="PT Astra Serif" w:hAnsi="Times New Roman" w:cs="Times New Roman"/>
                <w:bCs/>
                <w:kern w:val="3"/>
                <w:sz w:val="28"/>
                <w:szCs w:val="24"/>
                <w:lang w:eastAsia="ru-RU"/>
              </w:rPr>
              <w:t>2023</w:t>
            </w:r>
          </w:p>
        </w:tc>
        <w:tc>
          <w:tcPr>
            <w:tcW w:w="1450" w:type="dxa"/>
            <w:noWrap/>
            <w:hideMark/>
          </w:tcPr>
          <w:p w14:paraId="6F6F7FF1" w14:textId="77777777" w:rsidR="00877DE5" w:rsidRPr="009472DE" w:rsidRDefault="00877DE5" w:rsidP="005712E2">
            <w:pPr>
              <w:widowControl w:val="0"/>
              <w:tabs>
                <w:tab w:val="left" w:pos="573"/>
              </w:tabs>
              <w:suppressAutoHyphens/>
              <w:autoSpaceDN w:val="0"/>
              <w:jc w:val="center"/>
              <w:textAlignment w:val="baseline"/>
              <w:rPr>
                <w:rFonts w:ascii="Times New Roman" w:eastAsia="PT Astra Serif" w:hAnsi="Times New Roman" w:cs="Times New Roman"/>
                <w:bCs/>
                <w:kern w:val="3"/>
                <w:sz w:val="28"/>
                <w:szCs w:val="24"/>
                <w:lang w:eastAsia="ru-RU"/>
              </w:rPr>
            </w:pPr>
            <w:r w:rsidRPr="009472DE">
              <w:rPr>
                <w:rFonts w:ascii="Times New Roman" w:eastAsia="PT Astra Serif" w:hAnsi="Times New Roman" w:cs="Times New Roman"/>
                <w:bCs/>
                <w:kern w:val="3"/>
                <w:sz w:val="28"/>
                <w:szCs w:val="24"/>
                <w:lang w:eastAsia="ru-RU"/>
              </w:rPr>
              <w:t>2024</w:t>
            </w:r>
          </w:p>
        </w:tc>
      </w:tr>
      <w:tr w:rsidR="00877DE5" w:rsidRPr="009472DE" w14:paraId="15990BEF" w14:textId="77777777" w:rsidTr="00067100">
        <w:trPr>
          <w:trHeight w:val="456"/>
        </w:trPr>
        <w:tc>
          <w:tcPr>
            <w:tcW w:w="2860" w:type="dxa"/>
            <w:noWrap/>
            <w:vAlign w:val="center"/>
            <w:hideMark/>
          </w:tcPr>
          <w:p w14:paraId="55F9254E"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Микропредприятия</w:t>
            </w:r>
          </w:p>
        </w:tc>
        <w:tc>
          <w:tcPr>
            <w:tcW w:w="1364" w:type="dxa"/>
            <w:noWrap/>
            <w:vAlign w:val="center"/>
            <w:hideMark/>
          </w:tcPr>
          <w:p w14:paraId="52190D62"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5 675 756</w:t>
            </w:r>
          </w:p>
        </w:tc>
        <w:tc>
          <w:tcPr>
            <w:tcW w:w="1363" w:type="dxa"/>
            <w:noWrap/>
            <w:vAlign w:val="center"/>
            <w:hideMark/>
          </w:tcPr>
          <w:p w14:paraId="26233F98"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5 450 261</w:t>
            </w:r>
          </w:p>
        </w:tc>
        <w:tc>
          <w:tcPr>
            <w:tcW w:w="1364" w:type="dxa"/>
            <w:noWrap/>
            <w:vAlign w:val="center"/>
            <w:hideMark/>
          </w:tcPr>
          <w:p w14:paraId="314B7FA3"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5 636 297</w:t>
            </w:r>
          </w:p>
        </w:tc>
        <w:tc>
          <w:tcPr>
            <w:tcW w:w="1363" w:type="dxa"/>
            <w:noWrap/>
            <w:vAlign w:val="center"/>
            <w:hideMark/>
          </w:tcPr>
          <w:p w14:paraId="386C6CC1"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5 761 069</w:t>
            </w:r>
          </w:p>
        </w:tc>
        <w:tc>
          <w:tcPr>
            <w:tcW w:w="1450" w:type="dxa"/>
            <w:noWrap/>
            <w:vAlign w:val="center"/>
            <w:hideMark/>
          </w:tcPr>
          <w:p w14:paraId="3294E81A"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6 114 610</w:t>
            </w:r>
          </w:p>
        </w:tc>
      </w:tr>
      <w:tr w:rsidR="00877DE5" w:rsidRPr="009472DE" w14:paraId="5C092EA0" w14:textId="77777777" w:rsidTr="00067100">
        <w:trPr>
          <w:trHeight w:val="418"/>
        </w:trPr>
        <w:tc>
          <w:tcPr>
            <w:tcW w:w="2860" w:type="dxa"/>
            <w:noWrap/>
            <w:vAlign w:val="center"/>
            <w:hideMark/>
          </w:tcPr>
          <w:p w14:paraId="2B6B852D"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Малые предприятия</w:t>
            </w:r>
          </w:p>
        </w:tc>
        <w:tc>
          <w:tcPr>
            <w:tcW w:w="1364" w:type="dxa"/>
            <w:noWrap/>
            <w:vAlign w:val="center"/>
            <w:hideMark/>
          </w:tcPr>
          <w:p w14:paraId="56E0CF69"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224 105</w:t>
            </w:r>
          </w:p>
        </w:tc>
        <w:tc>
          <w:tcPr>
            <w:tcW w:w="1363" w:type="dxa"/>
            <w:noWrap/>
            <w:vAlign w:val="center"/>
            <w:hideMark/>
          </w:tcPr>
          <w:p w14:paraId="0981D49A"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216 615</w:t>
            </w:r>
          </w:p>
        </w:tc>
        <w:tc>
          <w:tcPr>
            <w:tcW w:w="1364" w:type="dxa"/>
            <w:noWrap/>
            <w:vAlign w:val="center"/>
            <w:hideMark/>
          </w:tcPr>
          <w:p w14:paraId="54C5C92C"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212 429</w:t>
            </w:r>
          </w:p>
        </w:tc>
        <w:tc>
          <w:tcPr>
            <w:tcW w:w="1363" w:type="dxa"/>
            <w:noWrap/>
            <w:vAlign w:val="center"/>
            <w:hideMark/>
          </w:tcPr>
          <w:p w14:paraId="42C383C9"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212 271</w:t>
            </w:r>
          </w:p>
        </w:tc>
        <w:tc>
          <w:tcPr>
            <w:tcW w:w="1450" w:type="dxa"/>
            <w:noWrap/>
            <w:vAlign w:val="center"/>
            <w:hideMark/>
          </w:tcPr>
          <w:p w14:paraId="61A397F3"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214 426</w:t>
            </w:r>
          </w:p>
        </w:tc>
      </w:tr>
      <w:tr w:rsidR="00877DE5" w:rsidRPr="009472DE" w14:paraId="2283A3BC" w14:textId="77777777" w:rsidTr="00067100">
        <w:trPr>
          <w:trHeight w:val="495"/>
        </w:trPr>
        <w:tc>
          <w:tcPr>
            <w:tcW w:w="2860" w:type="dxa"/>
            <w:noWrap/>
            <w:vAlign w:val="center"/>
            <w:hideMark/>
          </w:tcPr>
          <w:p w14:paraId="674E98CC"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Средние предприятия</w:t>
            </w:r>
          </w:p>
        </w:tc>
        <w:tc>
          <w:tcPr>
            <w:tcW w:w="1364" w:type="dxa"/>
            <w:noWrap/>
            <w:vAlign w:val="center"/>
            <w:hideMark/>
          </w:tcPr>
          <w:p w14:paraId="4D48C0CC"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17 045</w:t>
            </w:r>
          </w:p>
        </w:tc>
        <w:tc>
          <w:tcPr>
            <w:tcW w:w="1363" w:type="dxa"/>
            <w:noWrap/>
            <w:vAlign w:val="center"/>
            <w:hideMark/>
          </w:tcPr>
          <w:p w14:paraId="7B192128"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17 685</w:t>
            </w:r>
          </w:p>
        </w:tc>
        <w:tc>
          <w:tcPr>
            <w:tcW w:w="1364" w:type="dxa"/>
            <w:noWrap/>
            <w:vAlign w:val="center"/>
            <w:hideMark/>
          </w:tcPr>
          <w:p w14:paraId="0E19ED93"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17 977</w:t>
            </w:r>
          </w:p>
        </w:tc>
        <w:tc>
          <w:tcPr>
            <w:tcW w:w="1363" w:type="dxa"/>
            <w:noWrap/>
            <w:vAlign w:val="center"/>
            <w:hideMark/>
          </w:tcPr>
          <w:p w14:paraId="13BBE590"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18 009</w:t>
            </w:r>
          </w:p>
        </w:tc>
        <w:tc>
          <w:tcPr>
            <w:tcW w:w="1450" w:type="dxa"/>
            <w:noWrap/>
            <w:vAlign w:val="center"/>
            <w:hideMark/>
          </w:tcPr>
          <w:p w14:paraId="2A6291E4" w14:textId="77777777" w:rsidR="00877DE5" w:rsidRPr="009472DE" w:rsidRDefault="00877DE5" w:rsidP="005712E2">
            <w:pPr>
              <w:widowControl w:val="0"/>
              <w:tabs>
                <w:tab w:val="left" w:pos="573"/>
              </w:tabs>
              <w:suppressAutoHyphens/>
              <w:autoSpaceDN w:val="0"/>
              <w:textAlignment w:val="baseline"/>
              <w:rPr>
                <w:rFonts w:ascii="Times New Roman" w:eastAsia="PT Astra Serif" w:hAnsi="Times New Roman" w:cs="Times New Roman"/>
                <w:kern w:val="3"/>
                <w:sz w:val="28"/>
                <w:szCs w:val="24"/>
                <w:lang w:eastAsia="ru-RU"/>
              </w:rPr>
            </w:pPr>
            <w:r w:rsidRPr="009472DE">
              <w:rPr>
                <w:rFonts w:ascii="Times New Roman" w:eastAsia="PT Astra Serif" w:hAnsi="Times New Roman" w:cs="Times New Roman"/>
                <w:kern w:val="3"/>
                <w:sz w:val="28"/>
                <w:szCs w:val="24"/>
                <w:lang w:eastAsia="ru-RU"/>
              </w:rPr>
              <w:t>18 735</w:t>
            </w:r>
          </w:p>
        </w:tc>
      </w:tr>
    </w:tbl>
    <w:p w14:paraId="2F2D16D9"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12"/>
          <w:szCs w:val="24"/>
          <w:lang w:eastAsia="ru-RU"/>
        </w:rPr>
      </w:pPr>
    </w:p>
    <w:p w14:paraId="6FD25B78"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color w:val="000000" w:themeColor="text1"/>
          <w:kern w:val="3"/>
          <w:sz w:val="32"/>
          <w:szCs w:val="24"/>
          <w:lang w:eastAsia="ru-RU"/>
        </w:rPr>
      </w:pPr>
      <w:r w:rsidRPr="009472DE">
        <w:rPr>
          <w:rFonts w:ascii="Times New Roman" w:eastAsia="PT Astra Serif" w:hAnsi="Times New Roman" w:cs="Times New Roman"/>
          <w:color w:val="000000" w:themeColor="text1"/>
          <w:kern w:val="3"/>
          <w:sz w:val="32"/>
          <w:szCs w:val="24"/>
          <w:lang w:eastAsia="ru-RU"/>
        </w:rPr>
        <w:t>В 2024 году доля средних предприятий в общем количестве субъектов малого и среднего бизнеса составила всего 0,3%. Это сигнализирует о недостаточности усиления качественной составляющей предпринимательства параллельно с ее количественным изменением. Ведь именно постоянный переход из малого предпринимательства в среднее, а после —</w:t>
      </w:r>
      <w:r w:rsidRPr="009472DE">
        <w:rPr>
          <w:rFonts w:ascii="Times New Roman" w:hAnsi="Times New Roman" w:cs="Times New Roman"/>
          <w:color w:val="000000" w:themeColor="text1"/>
          <w:sz w:val="32"/>
          <w:szCs w:val="21"/>
          <w:shd w:val="clear" w:color="auto" w:fill="FFFFFF"/>
        </w:rPr>
        <w:t xml:space="preserve"> в крупное способствует укреплению жизнеспособности бизнеса, развитию технологических и инновационных проектов, росту и стабилизации экономических показателей страны. </w:t>
      </w:r>
    </w:p>
    <w:p w14:paraId="740C0639"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color w:val="000000" w:themeColor="text1"/>
          <w:kern w:val="3"/>
          <w:sz w:val="32"/>
          <w:szCs w:val="24"/>
          <w:lang w:eastAsia="ru-RU"/>
        </w:rPr>
      </w:pPr>
      <w:r w:rsidRPr="009472DE">
        <w:rPr>
          <w:rFonts w:ascii="Times New Roman" w:eastAsia="PT Astra Serif" w:hAnsi="Times New Roman" w:cs="Times New Roman"/>
          <w:color w:val="000000" w:themeColor="text1"/>
          <w:kern w:val="3"/>
          <w:sz w:val="32"/>
          <w:szCs w:val="24"/>
          <w:lang w:eastAsia="ru-RU"/>
        </w:rPr>
        <w:t xml:space="preserve">С связи с этим основной задачей государства является создание экономико-правовых условий, способствующих, в первую очередь, повышению квалификации как работников предприятий для их соответствия изменяющимся условиям труда, так и самих предпринимателей, которые должны быть способны выдерживать конкуренцию на рынке путем улучшения качества и ассортимента продукции и предоставляемых услуг, снижения издержек и роста объема производства. </w:t>
      </w:r>
    </w:p>
    <w:p w14:paraId="0C57ADD3"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Государству также необходимо активнее содействовать внедрению субъектами малого и среднего бизнеса инновационных технологий, ускорению ими цифровизации, путем создания условий для эффективного взаимодействия в стране науки, бизнеса и системы образования. Все это откроет возможности для оптимизации бизнес-процессов МСП, обеспечит их устойчивый рост, дальнейшее развитие и расширение. </w:t>
      </w:r>
    </w:p>
    <w:p w14:paraId="1AB42789"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Возникшая на данный момент необходимость в ускоренном импортозамещении </w:t>
      </w:r>
      <w:r w:rsidRPr="009472DE">
        <w:rPr>
          <w:rFonts w:ascii="Times New Roman" w:eastAsia="PT Astra Serif" w:hAnsi="Times New Roman" w:cs="Times New Roman"/>
          <w:kern w:val="3"/>
          <w:sz w:val="32"/>
          <w:szCs w:val="24"/>
          <w:lang w:eastAsia="ru-RU"/>
        </w:rPr>
        <w:tab/>
        <w:t xml:space="preserve">позволит также создать условия в расширении </w:t>
      </w:r>
      <w:r w:rsidRPr="009472DE">
        <w:rPr>
          <w:rFonts w:ascii="Times New Roman" w:eastAsia="PT Astra Serif" w:hAnsi="Times New Roman" w:cs="Times New Roman"/>
          <w:kern w:val="3"/>
          <w:sz w:val="32"/>
          <w:szCs w:val="24"/>
          <w:lang w:eastAsia="ru-RU"/>
        </w:rPr>
        <w:lastRenderedPageBreak/>
        <w:t xml:space="preserve">государственных закупок у МСП, упрощении процедур их участия в развитии приоритетных направлений и отраслей. Не менее важным является продолжение совершенствования инфраструктуры для малого и среднего предпринимательства: создание устойчивой системы бизнес-инкубаторов, центров поддержки предпринимательской деятельности с различными консультационными услугами. </w:t>
      </w:r>
    </w:p>
    <w:p w14:paraId="0C5D68DF" w14:textId="77777777" w:rsidR="00877DE5" w:rsidRPr="009472DE" w:rsidRDefault="00877DE5" w:rsidP="0022203D">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r w:rsidRPr="009472DE">
        <w:rPr>
          <w:rFonts w:ascii="Times New Roman" w:eastAsia="PT Astra Serif" w:hAnsi="Times New Roman" w:cs="Times New Roman"/>
          <w:kern w:val="3"/>
          <w:sz w:val="32"/>
          <w:szCs w:val="24"/>
          <w:lang w:eastAsia="ru-RU"/>
        </w:rPr>
        <w:t xml:space="preserve">Все эти и многие другие возможные меры позволят не только расширить долю МСП в структуре ВВП России, но и увеличить его влияние, вклад в экономическое и социальное развитие нашей страны. </w:t>
      </w:r>
    </w:p>
    <w:p w14:paraId="768CEC07" w14:textId="77777777" w:rsidR="00877DE5" w:rsidRPr="009472DE" w:rsidRDefault="00877DE5" w:rsidP="00067100">
      <w:pPr>
        <w:widowControl w:val="0"/>
        <w:tabs>
          <w:tab w:val="left" w:pos="573"/>
        </w:tabs>
        <w:suppressAutoHyphens/>
        <w:autoSpaceDN w:val="0"/>
        <w:spacing w:after="0" w:line="240" w:lineRule="auto"/>
        <w:ind w:firstLine="709"/>
        <w:jc w:val="both"/>
        <w:textAlignment w:val="baseline"/>
        <w:rPr>
          <w:rFonts w:ascii="Times New Roman" w:eastAsia="PT Astra Serif" w:hAnsi="Times New Roman" w:cs="Times New Roman"/>
          <w:kern w:val="3"/>
          <w:sz w:val="32"/>
          <w:szCs w:val="24"/>
          <w:lang w:eastAsia="ru-RU"/>
        </w:rPr>
      </w:pPr>
    </w:p>
    <w:p w14:paraId="1747D184" w14:textId="77777777" w:rsidR="00877DE5" w:rsidRPr="007F1532" w:rsidRDefault="00877DE5" w:rsidP="00067100">
      <w:pPr>
        <w:pStyle w:val="afc"/>
        <w:tabs>
          <w:tab w:val="left" w:pos="0"/>
        </w:tabs>
        <w:ind w:left="360" w:firstLine="709"/>
        <w:jc w:val="center"/>
        <w:rPr>
          <w:rFonts w:eastAsia="Times New Roman" w:cs="Times New Roman"/>
          <w:b/>
          <w:lang w:val="x-none"/>
        </w:rPr>
      </w:pPr>
      <w:r w:rsidRPr="007F1532">
        <w:rPr>
          <w:rFonts w:eastAsia="Times New Roman" w:cs="Times New Roman"/>
          <w:b/>
          <w:lang w:val="x-none"/>
        </w:rPr>
        <w:t>Литература:</w:t>
      </w:r>
    </w:p>
    <w:p w14:paraId="393D69EE" w14:textId="77777777" w:rsidR="00877DE5" w:rsidRPr="007F1532"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 xml:space="preserve">1. Общероссийская общественная организация малого и среднего предпринимательства «Опора России». [Электронный ресурс]. – URL: </w:t>
      </w:r>
      <w:hyperlink r:id="rId14" w:history="1">
        <w:r w:rsidRPr="007F1532">
          <w:rPr>
            <w:rFonts w:eastAsia="Times New Roman"/>
            <w:lang w:val="x-none"/>
          </w:rPr>
          <w:t>https://opora.ru/</w:t>
        </w:r>
      </w:hyperlink>
    </w:p>
    <w:p w14:paraId="0415930D" w14:textId="77777777" w:rsidR="00877DE5" w:rsidRPr="007F1532"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 xml:space="preserve">2. Единый реестр субъектов малого и среднего предпринимательства. [Электронный ресурс]. – URL: </w:t>
      </w:r>
      <w:hyperlink r:id="rId15" w:history="1">
        <w:r w:rsidRPr="007F1532">
          <w:rPr>
            <w:rFonts w:eastAsia="Times New Roman"/>
            <w:lang w:val="x-none"/>
          </w:rPr>
          <w:t>https://rmsp.nalog.ru/</w:t>
        </w:r>
      </w:hyperlink>
    </w:p>
    <w:p w14:paraId="4AB7070E" w14:textId="77777777" w:rsidR="00877DE5" w:rsidRPr="007F1532"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3. 15. Репкина О.Б., Тимохин Д.В. Оптимизация ресурсов организаций (подразделений). – Москва-Берлин: ООО «Директ-Медиа», 2021. – 244 с.</w:t>
      </w:r>
    </w:p>
    <w:p w14:paraId="6A9679CD" w14:textId="77777777" w:rsidR="00877DE5" w:rsidRPr="007F1532"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 xml:space="preserve">4. Статистический бюллетень Центрального банка России. Кредитование субъектов малого и среднего предпринимательства на февраль 2025 года. [Электронный ресурс]. –  URL: </w:t>
      </w:r>
      <w:hyperlink r:id="rId16" w:history="1">
        <w:r w:rsidRPr="007F1532">
          <w:rPr>
            <w:rFonts w:eastAsia="Times New Roman"/>
            <w:lang w:val="x-none"/>
          </w:rPr>
          <w:t>https://clck.ru/3LozEC</w:t>
        </w:r>
      </w:hyperlink>
    </w:p>
    <w:p w14:paraId="29CBA5E2" w14:textId="77777777" w:rsidR="00877DE5" w:rsidRPr="007F1532"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5. Кармова Б.З., Бухурова Э.А. Развитие российского малого и среднего предпринимательства в 2020-2024 годы. - Экономика и бизнес: теория и практика, 2024. – 120 с.</w:t>
      </w:r>
    </w:p>
    <w:p w14:paraId="04A7A4F9" w14:textId="77777777" w:rsidR="00877DE5" w:rsidRPr="00B86564" w:rsidRDefault="00877DE5" w:rsidP="001D0279">
      <w:pPr>
        <w:pStyle w:val="afc"/>
        <w:tabs>
          <w:tab w:val="left" w:pos="0"/>
        </w:tabs>
        <w:ind w:hanging="142"/>
        <w:rPr>
          <w:rFonts w:eastAsia="Times New Roman" w:cs="Times New Roman"/>
          <w:lang w:val="x-none"/>
        </w:rPr>
      </w:pPr>
      <w:r w:rsidRPr="007F1532">
        <w:rPr>
          <w:rFonts w:eastAsia="Times New Roman" w:cs="Times New Roman"/>
          <w:lang w:val="x-none"/>
        </w:rPr>
        <w:tab/>
        <w:t xml:space="preserve">6. Цифровая платформа МСП.РФ. [Электронный ресурс]. –  URL:  </w:t>
      </w:r>
      <w:hyperlink r:id="rId17" w:history="1">
        <w:r w:rsidRPr="007F1532">
          <w:rPr>
            <w:rFonts w:eastAsia="Times New Roman"/>
            <w:lang w:val="x-none"/>
          </w:rPr>
          <w:t>https://мсп.рф/services/news/detail/maliy-i-sredniy-biznes-chto-eto-i-v-chem-otliche/</w:t>
        </w:r>
      </w:hyperlink>
    </w:p>
    <w:p w14:paraId="2E709E14" w14:textId="77777777" w:rsidR="00877DE5" w:rsidRPr="00B86564" w:rsidRDefault="00877DE5" w:rsidP="00067100">
      <w:pPr>
        <w:spacing w:after="0" w:line="240" w:lineRule="auto"/>
        <w:ind w:firstLine="709"/>
        <w:jc w:val="both"/>
        <w:rPr>
          <w:rFonts w:ascii="Times New Roman" w:hAnsi="Times New Roman" w:cs="Times New Roman"/>
          <w:i/>
          <w:color w:val="000000" w:themeColor="text1"/>
          <w:sz w:val="32"/>
          <w:lang w:val="x-none"/>
        </w:rPr>
      </w:pPr>
    </w:p>
    <w:p w14:paraId="316D32E4" w14:textId="77777777" w:rsidR="00877DE5" w:rsidRPr="009472DE" w:rsidRDefault="00877DE5" w:rsidP="00876CE1">
      <w:pPr>
        <w:spacing w:after="0" w:line="240" w:lineRule="auto"/>
        <w:rPr>
          <w:rFonts w:ascii="Times New Roman" w:hAnsi="Times New Roman" w:cs="Times New Roman"/>
        </w:rPr>
      </w:pPr>
      <w:r w:rsidRPr="009472DE">
        <w:rPr>
          <w:rFonts w:ascii="Times New Roman" w:hAnsi="Times New Roman" w:cs="Times New Roman"/>
          <w:b/>
          <w:sz w:val="21"/>
        </w:rPr>
        <w:t xml:space="preserve">УДК 338 </w:t>
      </w:r>
    </w:p>
    <w:p w14:paraId="45463590" w14:textId="77777777" w:rsidR="00877DE5" w:rsidRPr="009472DE" w:rsidRDefault="00877DE5" w:rsidP="009D392F">
      <w:pPr>
        <w:pStyle w:val="20"/>
        <w:spacing w:before="0" w:beforeAutospacing="0" w:after="0" w:afterAutospacing="0"/>
        <w:jc w:val="right"/>
      </w:pPr>
      <w:r w:rsidRPr="009472DE">
        <w:rPr>
          <w:i/>
          <w:sz w:val="20"/>
        </w:rPr>
        <w:t>Андреева В.С.</w:t>
      </w:r>
      <w:r w:rsidRPr="009472DE">
        <w:rPr>
          <w:i/>
          <w:sz w:val="21"/>
        </w:rPr>
        <w:t xml:space="preserve"> </w:t>
      </w:r>
    </w:p>
    <w:p w14:paraId="31819BE5" w14:textId="77777777" w:rsidR="00877DE5" w:rsidRPr="009472DE" w:rsidRDefault="00877DE5" w:rsidP="009D392F">
      <w:pPr>
        <w:spacing w:after="0" w:line="240" w:lineRule="auto"/>
        <w:ind w:left="10" w:right="42" w:firstLine="709"/>
        <w:jc w:val="right"/>
        <w:rPr>
          <w:rFonts w:ascii="Times New Roman" w:hAnsi="Times New Roman" w:cs="Times New Roman"/>
        </w:rPr>
      </w:pPr>
      <w:r w:rsidRPr="009472DE">
        <w:rPr>
          <w:rFonts w:ascii="Times New Roman" w:hAnsi="Times New Roman" w:cs="Times New Roman"/>
          <w:i/>
          <w:sz w:val="21"/>
        </w:rPr>
        <w:t xml:space="preserve">студент 1 курса  </w:t>
      </w:r>
    </w:p>
    <w:p w14:paraId="54467E13" w14:textId="77777777" w:rsidR="00877DE5" w:rsidRPr="009472DE" w:rsidRDefault="00877DE5" w:rsidP="009D392F">
      <w:pPr>
        <w:spacing w:after="0" w:line="240" w:lineRule="auto"/>
        <w:ind w:left="10" w:right="42" w:firstLine="709"/>
        <w:jc w:val="right"/>
        <w:rPr>
          <w:rFonts w:ascii="Times New Roman" w:hAnsi="Times New Roman" w:cs="Times New Roman"/>
        </w:rPr>
      </w:pPr>
      <w:r w:rsidRPr="009472DE">
        <w:rPr>
          <w:rFonts w:ascii="Times New Roman" w:hAnsi="Times New Roman" w:cs="Times New Roman"/>
          <w:i/>
          <w:sz w:val="21"/>
        </w:rPr>
        <w:t xml:space="preserve">Федеральное государственное образовательное бюджетное учреждение высшего образования </w:t>
      </w:r>
    </w:p>
    <w:p w14:paraId="2F5F8F99" w14:textId="77777777" w:rsidR="00877DE5" w:rsidRPr="009472DE" w:rsidRDefault="00877DE5" w:rsidP="009D392F">
      <w:pPr>
        <w:spacing w:after="0" w:line="240" w:lineRule="auto"/>
        <w:ind w:left="3673" w:right="42" w:firstLine="709"/>
        <w:jc w:val="right"/>
        <w:rPr>
          <w:rFonts w:ascii="Times New Roman" w:hAnsi="Times New Roman" w:cs="Times New Roman"/>
        </w:rPr>
      </w:pPr>
      <w:r w:rsidRPr="009472DE">
        <w:rPr>
          <w:rFonts w:ascii="Times New Roman" w:hAnsi="Times New Roman" w:cs="Times New Roman"/>
          <w:i/>
          <w:sz w:val="21"/>
        </w:rPr>
        <w:t xml:space="preserve">Финансовый университет при Правительстве Российской Федерации г. Краснодар, Россия е-mail: </w:t>
      </w:r>
      <w:r w:rsidRPr="009472DE">
        <w:rPr>
          <w:rFonts w:ascii="Times New Roman" w:hAnsi="Times New Roman" w:cs="Times New Roman"/>
          <w:i/>
          <w:color w:val="0000FF"/>
          <w:sz w:val="21"/>
          <w:u w:val="single" w:color="0000FF"/>
        </w:rPr>
        <w:t>andreevavs@mail.ru</w:t>
      </w:r>
      <w:r w:rsidRPr="009472DE">
        <w:rPr>
          <w:rFonts w:ascii="Times New Roman" w:hAnsi="Times New Roman" w:cs="Times New Roman"/>
          <w:i/>
          <w:sz w:val="21"/>
        </w:rPr>
        <w:t xml:space="preserve"> </w:t>
      </w:r>
    </w:p>
    <w:p w14:paraId="00149B41" w14:textId="77777777" w:rsidR="00877DE5" w:rsidRPr="009472DE" w:rsidRDefault="00877DE5" w:rsidP="009D392F">
      <w:pPr>
        <w:spacing w:after="0" w:line="240" w:lineRule="auto"/>
        <w:ind w:firstLine="709"/>
        <w:jc w:val="right"/>
        <w:rPr>
          <w:rFonts w:ascii="Times New Roman" w:hAnsi="Times New Roman" w:cs="Times New Roman"/>
        </w:rPr>
      </w:pPr>
      <w:r w:rsidRPr="009472DE">
        <w:rPr>
          <w:rFonts w:ascii="Times New Roman" w:hAnsi="Times New Roman" w:cs="Times New Roman"/>
          <w:i/>
          <w:sz w:val="21"/>
        </w:rPr>
        <w:t xml:space="preserve"> </w:t>
      </w:r>
    </w:p>
    <w:p w14:paraId="3194C8B5" w14:textId="77777777" w:rsidR="00877DE5" w:rsidRPr="009472DE" w:rsidRDefault="00877DE5" w:rsidP="009D392F">
      <w:pPr>
        <w:pStyle w:val="20"/>
        <w:spacing w:before="0" w:beforeAutospacing="0" w:after="0" w:afterAutospacing="0"/>
        <w:jc w:val="right"/>
      </w:pPr>
      <w:r w:rsidRPr="009472DE">
        <w:rPr>
          <w:i/>
          <w:sz w:val="21"/>
        </w:rPr>
        <w:t xml:space="preserve">Научный руководитель: </w:t>
      </w:r>
    </w:p>
    <w:p w14:paraId="33E49528" w14:textId="77777777" w:rsidR="00877DE5" w:rsidRPr="009472DE" w:rsidRDefault="00877DE5" w:rsidP="009D392F">
      <w:pPr>
        <w:pStyle w:val="20"/>
        <w:spacing w:before="0" w:beforeAutospacing="0" w:after="0" w:afterAutospacing="0"/>
        <w:jc w:val="right"/>
      </w:pPr>
      <w:r w:rsidRPr="009472DE">
        <w:rPr>
          <w:i/>
          <w:sz w:val="21"/>
        </w:rPr>
        <w:t xml:space="preserve">Кандидат экономических наук Радченко Мария Викторовна </w:t>
      </w:r>
    </w:p>
    <w:p w14:paraId="633AF8FE" w14:textId="77777777" w:rsidR="00877DE5" w:rsidRPr="009472DE" w:rsidRDefault="00877DE5" w:rsidP="009D392F">
      <w:pPr>
        <w:spacing w:after="0" w:line="240" w:lineRule="auto"/>
        <w:ind w:left="10" w:right="42" w:firstLine="709"/>
        <w:jc w:val="right"/>
        <w:rPr>
          <w:rFonts w:ascii="Times New Roman" w:hAnsi="Times New Roman" w:cs="Times New Roman"/>
        </w:rPr>
      </w:pPr>
      <w:r w:rsidRPr="009472DE">
        <w:rPr>
          <w:rFonts w:ascii="Times New Roman" w:hAnsi="Times New Roman" w:cs="Times New Roman"/>
          <w:i/>
          <w:sz w:val="21"/>
        </w:rPr>
        <w:t xml:space="preserve">Федеральное государственное образовательное бюджетное учреждение высшего образования </w:t>
      </w:r>
    </w:p>
    <w:p w14:paraId="686F23D4" w14:textId="77777777" w:rsidR="00877DE5" w:rsidRPr="009472DE" w:rsidRDefault="00877DE5" w:rsidP="009D392F">
      <w:pPr>
        <w:spacing w:after="0" w:line="240" w:lineRule="auto"/>
        <w:ind w:left="3680" w:right="42" w:firstLine="709"/>
        <w:jc w:val="right"/>
        <w:rPr>
          <w:rFonts w:ascii="Times New Roman" w:hAnsi="Times New Roman" w:cs="Times New Roman"/>
        </w:rPr>
      </w:pPr>
      <w:r w:rsidRPr="009472DE">
        <w:rPr>
          <w:rFonts w:ascii="Times New Roman" w:hAnsi="Times New Roman" w:cs="Times New Roman"/>
          <w:i/>
          <w:sz w:val="21"/>
        </w:rPr>
        <w:t xml:space="preserve">Финансовый университет при Правительстве Российской Федерации г. Краснодар, Россия е- mail: </w:t>
      </w:r>
      <w:r w:rsidRPr="009472DE">
        <w:rPr>
          <w:rFonts w:ascii="Times New Roman" w:hAnsi="Times New Roman" w:cs="Times New Roman"/>
          <w:i/>
          <w:color w:val="0000FF"/>
          <w:sz w:val="21"/>
          <w:u w:val="single" w:color="0000FF"/>
        </w:rPr>
        <w:t>MVRadchenko@fa.ru</w:t>
      </w:r>
      <w:r w:rsidRPr="009472DE">
        <w:rPr>
          <w:rFonts w:ascii="Times New Roman" w:hAnsi="Times New Roman" w:cs="Times New Roman"/>
          <w:i/>
          <w:sz w:val="21"/>
        </w:rPr>
        <w:t xml:space="preserve"> </w:t>
      </w:r>
    </w:p>
    <w:p w14:paraId="45F5C171" w14:textId="77777777" w:rsidR="00877DE5" w:rsidRPr="009472DE" w:rsidRDefault="00877DE5" w:rsidP="009D392F">
      <w:pPr>
        <w:pStyle w:val="20"/>
        <w:jc w:val="center"/>
      </w:pPr>
      <w:r w:rsidRPr="009472DE">
        <w:rPr>
          <w:sz w:val="21"/>
        </w:rPr>
        <w:t>Современные формы акционерной собственности и предпринимательства в России: вызовы и перспективы</w:t>
      </w:r>
    </w:p>
    <w:p w14:paraId="3DA9476C" w14:textId="77777777" w:rsidR="00877DE5" w:rsidRPr="009472DE" w:rsidRDefault="00877DE5" w:rsidP="009D392F">
      <w:pPr>
        <w:spacing w:after="0" w:line="240" w:lineRule="auto"/>
        <w:ind w:left="-15" w:right="35" w:firstLine="709"/>
        <w:jc w:val="both"/>
        <w:rPr>
          <w:rFonts w:ascii="Times New Roman" w:hAnsi="Times New Roman" w:cs="Times New Roman"/>
        </w:rPr>
      </w:pPr>
      <w:r w:rsidRPr="009472DE">
        <w:rPr>
          <w:rFonts w:ascii="Times New Roman" w:hAnsi="Times New Roman" w:cs="Times New Roman"/>
          <w:b/>
          <w:sz w:val="21"/>
        </w:rPr>
        <w:t>Аннотация:</w:t>
      </w:r>
      <w:r w:rsidRPr="009472DE">
        <w:rPr>
          <w:rFonts w:ascii="Times New Roman" w:hAnsi="Times New Roman" w:cs="Times New Roman"/>
          <w:i/>
          <w:sz w:val="21"/>
        </w:rPr>
        <w:t xml:space="preserve"> </w:t>
      </w:r>
      <w:r w:rsidRPr="009472DE">
        <w:rPr>
          <w:rFonts w:ascii="Times New Roman" w:hAnsi="Times New Roman" w:cs="Times New Roman"/>
          <w:sz w:val="21"/>
        </w:rPr>
        <w:t xml:space="preserve">Статья посвящена анализу современных форм акционерной собственности и предпринимательства в России за 2022–2024 годы. Исследуется их влияние на экономическую активность, роль в развитии ключевых отраслей и проблемы, препятствующие устойчивому росту. Особое внимание уделено публичным и непубличным акционерным обществам, а также кооперативным структурам. Выявлены ограничения, такие как высокая стоимость заимствований и кадровый дефицит, предложены меры по их преодолению через цифровизацию и государственную поддержку. Результаты значимы для разработки экономической политики и дальнейших исследований. </w:t>
      </w:r>
    </w:p>
    <w:p w14:paraId="2225D1C1" w14:textId="77777777" w:rsidR="00877DE5" w:rsidRPr="009D392F" w:rsidRDefault="00877DE5" w:rsidP="009D392F">
      <w:pPr>
        <w:spacing w:after="0" w:line="240" w:lineRule="auto"/>
        <w:ind w:firstLine="694"/>
        <w:jc w:val="both"/>
        <w:rPr>
          <w:rFonts w:ascii="Times New Roman" w:hAnsi="Times New Roman" w:cs="Times New Roman"/>
        </w:rPr>
      </w:pPr>
      <w:r w:rsidRPr="009472DE">
        <w:rPr>
          <w:rFonts w:ascii="Times New Roman" w:hAnsi="Times New Roman" w:cs="Times New Roman"/>
          <w:b/>
          <w:sz w:val="21"/>
        </w:rPr>
        <w:t>Ключевые слова:</w:t>
      </w:r>
      <w:r w:rsidRPr="009472DE">
        <w:rPr>
          <w:rFonts w:ascii="Times New Roman" w:hAnsi="Times New Roman" w:cs="Times New Roman"/>
          <w:sz w:val="21"/>
        </w:rPr>
        <w:t xml:space="preserve"> акционерная собственность, предпринимательство, экономическая активность, корпоративное управление, инновации, санкции, Россия. </w:t>
      </w:r>
    </w:p>
    <w:p w14:paraId="1FECA039" w14:textId="77777777" w:rsidR="00877DE5" w:rsidRDefault="00877DE5" w:rsidP="00067100">
      <w:pPr>
        <w:spacing w:after="0" w:line="240" w:lineRule="auto"/>
        <w:ind w:left="-5" w:right="35" w:firstLine="709"/>
        <w:rPr>
          <w:rFonts w:ascii="Times New Roman" w:hAnsi="Times New Roman" w:cs="Times New Roman"/>
          <w:sz w:val="21"/>
        </w:rPr>
      </w:pPr>
    </w:p>
    <w:p w14:paraId="53CB6CA5" w14:textId="77777777" w:rsidR="00877DE5" w:rsidRPr="00BC58A3" w:rsidRDefault="00877DE5" w:rsidP="00067100">
      <w:pPr>
        <w:spacing w:after="0" w:line="240" w:lineRule="auto"/>
        <w:ind w:left="-5" w:right="35" w:firstLine="709"/>
        <w:jc w:val="center"/>
        <w:rPr>
          <w:rFonts w:ascii="Times New Roman" w:hAnsi="Times New Roman" w:cs="Times New Roman"/>
          <w:b/>
          <w:lang w:val="en-US"/>
        </w:rPr>
      </w:pPr>
      <w:r w:rsidRPr="00BC58A3">
        <w:rPr>
          <w:rFonts w:ascii="Times New Roman" w:hAnsi="Times New Roman" w:cs="Times New Roman"/>
          <w:b/>
          <w:lang w:val="en-US"/>
        </w:rPr>
        <w:lastRenderedPageBreak/>
        <w:t>Modern Forms of Joint-Stock Ownership and Entrepreneurship in Russia: Challenges and Prospects</w:t>
      </w:r>
    </w:p>
    <w:p w14:paraId="3E13C9C9" w14:textId="77777777" w:rsidR="00877DE5" w:rsidRPr="00BC58A3" w:rsidRDefault="00877DE5" w:rsidP="00067100">
      <w:pPr>
        <w:spacing w:after="0" w:line="240" w:lineRule="auto"/>
        <w:ind w:left="-5" w:right="35" w:firstLine="709"/>
        <w:rPr>
          <w:rFonts w:ascii="Times New Roman" w:hAnsi="Times New Roman" w:cs="Times New Roman"/>
          <w:lang w:val="en-US"/>
        </w:rPr>
      </w:pPr>
    </w:p>
    <w:p w14:paraId="183107AD" w14:textId="77777777" w:rsidR="00877DE5" w:rsidRPr="00BC58A3" w:rsidRDefault="00877DE5" w:rsidP="00067100">
      <w:pPr>
        <w:spacing w:after="0" w:line="240" w:lineRule="auto"/>
        <w:ind w:left="-5" w:right="35" w:firstLine="709"/>
        <w:rPr>
          <w:rFonts w:ascii="Times New Roman" w:hAnsi="Times New Roman" w:cs="Times New Roman"/>
          <w:lang w:val="en-US"/>
        </w:rPr>
      </w:pPr>
      <w:r w:rsidRPr="00BC58A3">
        <w:rPr>
          <w:rFonts w:ascii="Times New Roman" w:hAnsi="Times New Roman" w:cs="Times New Roman"/>
          <w:b/>
          <w:lang w:val="en-US"/>
        </w:rPr>
        <w:t>Abstract:</w:t>
      </w:r>
      <w:r w:rsidRPr="00BC58A3">
        <w:rPr>
          <w:rFonts w:ascii="Times New Roman" w:hAnsi="Times New Roman" w:cs="Times New Roman"/>
          <w:lang w:val="en-US"/>
        </w:rPr>
        <w:t xml:space="preserve"> The article analyzes modern forms of joint-stock ownership and entrepreneurship in Russia for 2022–2024. Their impact on economic activity, their role in the development of key industries, and problems that hinder sustainable growth are examined. Particular attention is paid to public and non-public joint-stock companies, as well as cooperative structures. Limitations such as high borrowing costs and personnel shortages are identified, and measures to overcome them through digitalization and government support are proposed. The results are significant for the development of economic policy and further research.</w:t>
      </w:r>
    </w:p>
    <w:p w14:paraId="2C0041A7" w14:textId="77777777" w:rsidR="00877DE5" w:rsidRPr="00DA79C5" w:rsidRDefault="00877DE5" w:rsidP="00067100">
      <w:pPr>
        <w:spacing w:after="0" w:line="240" w:lineRule="auto"/>
        <w:ind w:left="-5" w:right="35" w:firstLine="709"/>
        <w:rPr>
          <w:rFonts w:ascii="Times New Roman" w:hAnsi="Times New Roman" w:cs="Times New Roman"/>
          <w:lang w:val="en-US"/>
        </w:rPr>
      </w:pPr>
      <w:r w:rsidRPr="00BC58A3">
        <w:rPr>
          <w:rFonts w:ascii="Times New Roman" w:hAnsi="Times New Roman" w:cs="Times New Roman"/>
          <w:b/>
          <w:lang w:val="en-US"/>
        </w:rPr>
        <w:t>Keywords:</w:t>
      </w:r>
      <w:r w:rsidRPr="00BC58A3">
        <w:rPr>
          <w:rFonts w:ascii="Times New Roman" w:hAnsi="Times New Roman" w:cs="Times New Roman"/>
          <w:lang w:val="en-US"/>
        </w:rPr>
        <w:t xml:space="preserve"> joint-stock ownership, entrepreneurship, economi</w:t>
      </w:r>
      <w:r>
        <w:rPr>
          <w:rFonts w:ascii="Times New Roman" w:hAnsi="Times New Roman" w:cs="Times New Roman"/>
          <w:lang w:val="en-US"/>
        </w:rPr>
        <w:t>c activity,</w:t>
      </w:r>
      <w:r w:rsidRPr="00BC58A3">
        <w:rPr>
          <w:rFonts w:ascii="Times New Roman" w:hAnsi="Times New Roman" w:cs="Times New Roman"/>
          <w:lang w:val="en-US"/>
        </w:rPr>
        <w:t xml:space="preserve"> corporate governance, innovation, sanctions, Russia.</w:t>
      </w:r>
    </w:p>
    <w:p w14:paraId="20E37A4A" w14:textId="77777777" w:rsidR="00877DE5" w:rsidRPr="00BC58A3" w:rsidRDefault="00877DE5" w:rsidP="00067100">
      <w:pPr>
        <w:spacing w:after="0" w:line="240" w:lineRule="auto"/>
        <w:ind w:left="566" w:firstLine="709"/>
        <w:rPr>
          <w:rFonts w:ascii="Times New Roman" w:hAnsi="Times New Roman" w:cs="Times New Roman"/>
          <w:lang w:val="en-US"/>
        </w:rPr>
      </w:pPr>
    </w:p>
    <w:p w14:paraId="51D71B75"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Современные формы акционерной собственности и предпринимательства играют ключевую роль в российской экономике, особенно в условиях глобальной нестабильности и санкционного давления, начавшегося в 2022 году. Акционерные общества (АО) обеспечивают мобилизацию капитала, стимулируют развитие ключевых отраслей, таких как энергетика, информационные технологии (ИТ), металлургия и агропромышленный комплекс (АПК), а также способствуют социальной стабильности через создание рабочих мест [5]. В условиях ухода иностранных инвесторов и ограниченного доступа к международным финансовым рынкам акционерная собственность стала основным механизмом поддержки экономической активности. Например, в 2023 году объем эмиссии акций публичных акционерных обществ (ПАО) увеличился на 10%, достигнув 2,5 трлн руб., что позволило компаниям, таким как ПАО «Газпром», привлечь 1,2 трлн руб. для продолжения разработки газовых месторождений на Ямале, несмотря на санкционные ограничения. </w:t>
      </w:r>
    </w:p>
    <w:p w14:paraId="444548A5"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Публичные акционерные общества (ПАО) доминируют в стратегических отраслях, обеспечивая значительную часть инвестиций и экспортного потенциала. В 2023 году ПАО составляли около 60% капитализации российского фондового рынка, что подчеркивает их роль в экономике. Например, ПАО «Северсталь» в 2024 году инвестировало 150 млрд руб. в модернизацию металлургических мощностей, что привело </w:t>
      </w:r>
      <w:proofErr w:type="gramStart"/>
      <w:r w:rsidRPr="00DA79C5">
        <w:rPr>
          <w:rFonts w:ascii="Times New Roman" w:hAnsi="Times New Roman" w:cs="Times New Roman"/>
          <w:sz w:val="32"/>
          <w:szCs w:val="32"/>
        </w:rPr>
        <w:t>к увеличению</w:t>
      </w:r>
      <w:proofErr w:type="gramEnd"/>
      <w:r w:rsidRPr="00DA79C5">
        <w:rPr>
          <w:rFonts w:ascii="Times New Roman" w:hAnsi="Times New Roman" w:cs="Times New Roman"/>
          <w:sz w:val="32"/>
          <w:szCs w:val="32"/>
        </w:rPr>
        <w:t xml:space="preserve"> производства стали на 8% и росту экспорта на 10%, преимущественно в страны Азии, компенсируя сокращение поставок в Европу. Аналогично, ПАО «Роснефть» в 2023 году привлекло 800 млрд руб. через дополнительную эмиссию акций, что позволило увеличить добычу нефти на 5% и переориентировать экспорт на рынки Китая и </w:t>
      </w:r>
      <w:r w:rsidRPr="00DA79C5">
        <w:rPr>
          <w:rFonts w:ascii="Times New Roman" w:hAnsi="Times New Roman" w:cs="Times New Roman"/>
          <w:sz w:val="32"/>
          <w:szCs w:val="32"/>
        </w:rPr>
        <w:lastRenderedPageBreak/>
        <w:t xml:space="preserve">Индии. Эти примеры демонстрируют, как ПАО обеспечивают устойчивость экономики в условиях внешних вызовов. </w:t>
      </w:r>
    </w:p>
    <w:p w14:paraId="3100C66C"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Непубличные акционерные общества (НАО) играют важную роль в отраслях с высокой специализацией, таких как ИТ и машиностроение. В 2023 году НАО «Лаборатория Касперского» привлекла 50 млрд руб. от российских институциональных инвесторов, что способствовало росту экспорта услуг кибербезопасности на 12%. В машиностроении НАО, например, «Концерн Калашников», в 2024 году инвестировало 30 млрд руб. в производство гражданской продукции, включая сельскохозяйственную технику, поддерживая импортозамещение. По данным Росстата, в 2023 году НАО обеспечили 15% инвестиций в основной капитал машиностроения, что подчеркивает их вклад в технологическое развитие. Однако высокая стоимость заимствований (процентные ставки достигали 20–25% в 2024 году) и ограниченный доступ к фондовому рынку сдерживают их масштабирование. </w:t>
      </w:r>
    </w:p>
    <w:p w14:paraId="05C8E6F8"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Кооперативные акционерные структуры набирают популярность в АПК, позволяя небольшим фермерам и предприятиям объединять ресурсы. В 2023 году кооперативные АО привлекли 50 млрд руб. через выпуск акций, что увеличило производство зерна на 5% и экспорт до 63 млн тонн в 2024 году. Например, кооперативное АО «Кубанский урожай» в Краснодарском крае модернизировало складские мощности, сократив потери урожая на 10%. По данным Минсельхоза, в 2024 году доля кооперативных АО в инвестициях АПК достигла 12%, что свидетельствует о росте их значимости. Эти структуры особенно важны для регионов, где крупные ПАО менее представлены. </w:t>
      </w:r>
    </w:p>
    <w:p w14:paraId="07516162"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Акционерные общества также способствуют социальной стабильности через создание рабочих мест. В 2024 году ПАО «Ростелеком» инвестировало 200 млрд руб. в развитие цифровой инфраструктуры, что привело к созданию 15 тыс. рабочих мест в регионах, включая специалистов в телекоммуникациях и ИТ. По данным Росстата, в 2023 году АО обеспечивали занятость для 25% промышленной рабочей силы, а в 2024 году этот показатель вырос до 27%. Это особенно актуально в условиях кадрового дефицита, вызванного эмиграцией около 700 тыс. специалистов с 2022 года. </w:t>
      </w:r>
    </w:p>
    <w:p w14:paraId="5811A34C"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Несмотря на успехи, развитие акционерной собственности и предпринимательства сталкивается с серьезными проблемами. Ограниченный доступ к финансированию остается ключевым барьером. Высокая ключевая ставка Банка России (18% в 2024 году с </w:t>
      </w:r>
      <w:r w:rsidRPr="00DA79C5">
        <w:rPr>
          <w:rFonts w:ascii="Times New Roman" w:hAnsi="Times New Roman" w:cs="Times New Roman"/>
          <w:sz w:val="32"/>
          <w:szCs w:val="32"/>
        </w:rPr>
        <w:lastRenderedPageBreak/>
        <w:t xml:space="preserve">прогнозом роста до 21% в 2025 году) увеличила стоимость кредитов, что особенно затронуло НАО и кооперативы. В 2023 году НАО «Концерн Калашников» столкнулось с трудностями в финансировании гражданских проектов, что замедлило выпуск техники. Уход иностранных инвесторов, чья доля на рынке сократилась с 50% в 2021 году до 10% в 2023 году, вынудил ПАО переориентироваться на внутренние источники, что ограничило объемы капитала. </w:t>
      </w:r>
    </w:p>
    <w:p w14:paraId="37B28B61"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Дефицит квалифицированных кадров усугубляет ситуацию. Эмиграция специалистов, особенно в ИТ, привела к нехватке 20% кадров в ПАО «Яндекс» в 2023 году, что замедлило разработку новых сервисов. По данным Росстата, уровень безработицы в 2024 году составил 2,6%, но спрос на специалистов превышает предложение изза демографического спада 1990-х годов. Низкая прозрачность корпоративного управления также ограничивает развитие. В 2023 году лишь 30% ПАО соответствовали международным стандартам, что снизило доверие инвесторов к компаниям, таким как «Норникель», столкнувшемуся с критикой за экологические инициативы. </w:t>
      </w:r>
    </w:p>
    <w:p w14:paraId="5799C9E0"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Для преодоления этих вызовов предлагаются комплексные меры. Расширение программ льготного кредитования, таких как «1764», уже дало результат: в 2024 году Сбербанк выдал 315 млрд руб. под 10%, поддержав НАО, включая «Лабораторию Касперского». Цифровизация отчетности через платформу МСП повысила доступ НАО к кредитам на 10% в 2024 году. Образовательные инициативы, такие как программа переподготовки «Ростелекома» (5 тыс. специалистов в 2024 году), и налоговые льготы для вернувшихся ИТспециалистов (10 тыс. привлечено в 2024 году) помогают решить кадровый вопрос. </w:t>
      </w:r>
    </w:p>
    <w:p w14:paraId="41E274B6"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Внедрение ESG-принципов, как в «Лукойле», привлекло 100 млрд руб. от инвесторов в 2024 году, повысив доверие к ПАО. Усиление поддержки кооперативов через субсидии и упрощение доступа к финансированию может увеличить их вклад в АПК. Также необходимо снизить регуляторные барьеры и развивать внутренний рынок капитала, чтобы уменьшить зависимость от внешних факторов. Эти меры позволят укрепить акционерную собственность, стимулировать инновации и обеспечить долгосрочный экономический рост в условиях санкций. </w:t>
      </w:r>
    </w:p>
    <w:p w14:paraId="27A437E5"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Наконец, стимулирование частных инвестиций через льготное кредитование и упрощение регуляторных процедур поможет привлечь бизнес к реализации проектов импортозамещения. Введение целевых </w:t>
      </w:r>
      <w:r w:rsidRPr="00DA79C5">
        <w:rPr>
          <w:rFonts w:ascii="Times New Roman" w:hAnsi="Times New Roman" w:cs="Times New Roman"/>
          <w:sz w:val="32"/>
          <w:szCs w:val="32"/>
        </w:rPr>
        <w:lastRenderedPageBreak/>
        <w:t xml:space="preserve">кредитов с субсидированной ставкой 3–5% для высокотехнологичных стартапов и малого бизнеса может увеличить их участие в экономике [1, с. 18]. Снижение бюрократических барьеров, таких как время на получение лицензий, и продление моратория на проверки бизнеса до 2026 года также создадут благоприятные условия для предпринимательской активности [1, с. 19]. </w:t>
      </w:r>
    </w:p>
    <w:p w14:paraId="6201147F" w14:textId="77777777" w:rsidR="00877DE5" w:rsidRPr="00DA79C5" w:rsidRDefault="00877DE5" w:rsidP="00067100">
      <w:pPr>
        <w:spacing w:after="0" w:line="240" w:lineRule="auto"/>
        <w:ind w:firstLine="709"/>
        <w:jc w:val="both"/>
        <w:rPr>
          <w:rFonts w:ascii="Times New Roman" w:hAnsi="Times New Roman" w:cs="Times New Roman"/>
          <w:sz w:val="32"/>
          <w:szCs w:val="32"/>
        </w:rPr>
      </w:pPr>
      <w:r w:rsidRPr="00DA79C5">
        <w:rPr>
          <w:rFonts w:ascii="Times New Roman" w:hAnsi="Times New Roman" w:cs="Times New Roman"/>
          <w:sz w:val="32"/>
          <w:szCs w:val="32"/>
        </w:rPr>
        <w:t xml:space="preserve">Реализация предложенных мер позволит России не только преодолеть текущие экономические вызовы, такие как технологическое отставание и кадровый дефицит, но и занять более прочные позиции в глобальной конкуренции. Долгосрочный экономический рост и устойчивое развитие станут возможными при условии комплексного подхода, сочетающего макроэкономическую стабилизацию, институциональные реформы и инвестиции в высокотехнологичные отрасли. </w:t>
      </w:r>
    </w:p>
    <w:p w14:paraId="5E7C30D7" w14:textId="77777777" w:rsidR="00877DE5" w:rsidRPr="00DA79C5" w:rsidRDefault="00877DE5" w:rsidP="00067100">
      <w:pPr>
        <w:spacing w:after="0" w:line="240" w:lineRule="auto"/>
        <w:ind w:left="566" w:firstLine="709"/>
        <w:jc w:val="both"/>
        <w:rPr>
          <w:rFonts w:ascii="Times New Roman" w:hAnsi="Times New Roman" w:cs="Times New Roman"/>
          <w:sz w:val="32"/>
          <w:szCs w:val="32"/>
        </w:rPr>
      </w:pPr>
    </w:p>
    <w:p w14:paraId="5D6A86BD" w14:textId="77777777" w:rsidR="00877DE5" w:rsidRPr="009472DE" w:rsidRDefault="00877DE5" w:rsidP="001F45AE">
      <w:pPr>
        <w:spacing w:after="0" w:line="240" w:lineRule="auto"/>
        <w:ind w:firstLine="709"/>
        <w:jc w:val="center"/>
        <w:rPr>
          <w:rFonts w:ascii="Times New Roman" w:hAnsi="Times New Roman" w:cs="Times New Roman"/>
        </w:rPr>
      </w:pPr>
      <w:r w:rsidRPr="009472DE">
        <w:rPr>
          <w:rFonts w:ascii="Times New Roman" w:hAnsi="Times New Roman" w:cs="Times New Roman"/>
          <w:b/>
          <w:sz w:val="21"/>
        </w:rPr>
        <w:t xml:space="preserve">Литература: </w:t>
      </w:r>
    </w:p>
    <w:p w14:paraId="5ABFEA4F" w14:textId="77777777" w:rsidR="00877DE5" w:rsidRPr="00DA79C5" w:rsidRDefault="00877DE5" w:rsidP="005712E2">
      <w:pPr>
        <w:pStyle w:val="afc"/>
        <w:numPr>
          <w:ilvl w:val="0"/>
          <w:numId w:val="1"/>
        </w:numPr>
        <w:tabs>
          <w:tab w:val="left" w:pos="0"/>
          <w:tab w:val="left" w:pos="284"/>
        </w:tabs>
        <w:rPr>
          <w:rFonts w:eastAsia="Times New Roman" w:cs="Times New Roman"/>
          <w:lang w:val="x-none"/>
        </w:rPr>
      </w:pPr>
      <w:r w:rsidRPr="00DA79C5">
        <w:rPr>
          <w:rFonts w:eastAsia="Times New Roman" w:cs="Times New Roman"/>
          <w:lang w:val="x-none"/>
        </w:rPr>
        <w:t xml:space="preserve">Федеральный закон от 26.12.1995 № 208-ФЗ «Об акционерных обществах». URL: </w:t>
      </w:r>
      <w:hyperlink r:id="rId18">
        <w:r w:rsidRPr="00DA79C5">
          <w:rPr>
            <w:rFonts w:eastAsia="Times New Roman" w:cs="Times New Roman"/>
            <w:lang w:val="x-none"/>
          </w:rPr>
          <w:t>http://www.consultant.ru</w:t>
        </w:r>
      </w:hyperlink>
      <w:hyperlink r:id="rId19">
        <w:r w:rsidRPr="00DA79C5">
          <w:rPr>
            <w:rFonts w:eastAsia="Times New Roman" w:cs="Times New Roman"/>
            <w:lang w:val="x-none"/>
          </w:rPr>
          <w:t xml:space="preserve"> </w:t>
        </w:r>
      </w:hyperlink>
      <w:r w:rsidRPr="00DA79C5">
        <w:rPr>
          <w:rFonts w:eastAsia="Times New Roman" w:cs="Times New Roman"/>
          <w:lang w:val="x-none"/>
        </w:rPr>
        <w:t xml:space="preserve">(дата обращения: 02.04.2025). </w:t>
      </w:r>
    </w:p>
    <w:p w14:paraId="0F8CB6E3" w14:textId="77777777" w:rsidR="00877DE5" w:rsidRPr="00DA79C5" w:rsidRDefault="00877DE5" w:rsidP="005712E2">
      <w:pPr>
        <w:pStyle w:val="afc"/>
        <w:numPr>
          <w:ilvl w:val="0"/>
          <w:numId w:val="1"/>
        </w:numPr>
        <w:tabs>
          <w:tab w:val="left" w:pos="0"/>
          <w:tab w:val="left" w:pos="284"/>
        </w:tabs>
        <w:rPr>
          <w:rFonts w:eastAsia="Times New Roman" w:cs="Times New Roman"/>
          <w:lang w:val="x-none"/>
        </w:rPr>
      </w:pPr>
      <w:r w:rsidRPr="00DA79C5">
        <w:rPr>
          <w:rFonts w:eastAsia="Times New Roman" w:cs="Times New Roman"/>
          <w:lang w:val="x-none"/>
        </w:rPr>
        <w:t xml:space="preserve">Московская биржа. Отчет о состоянии фондового рынка в 2023–2024 годах. URL: </w:t>
      </w:r>
      <w:hyperlink r:id="rId20">
        <w:r w:rsidRPr="00DA79C5">
          <w:rPr>
            <w:rFonts w:eastAsia="Times New Roman" w:cs="Times New Roman"/>
            <w:lang w:val="x-none"/>
          </w:rPr>
          <w:t>https://www.moex.com</w:t>
        </w:r>
      </w:hyperlink>
      <w:hyperlink r:id="rId21">
        <w:r w:rsidRPr="00DA79C5">
          <w:rPr>
            <w:rFonts w:eastAsia="Times New Roman" w:cs="Times New Roman"/>
            <w:lang w:val="x-none"/>
          </w:rPr>
          <w:t xml:space="preserve"> </w:t>
        </w:r>
      </w:hyperlink>
      <w:r w:rsidRPr="00DA79C5">
        <w:rPr>
          <w:rFonts w:eastAsia="Times New Roman" w:cs="Times New Roman"/>
          <w:lang w:val="x-none"/>
        </w:rPr>
        <w:t xml:space="preserve">(дата обращения: 18.04.2025). </w:t>
      </w:r>
    </w:p>
    <w:p w14:paraId="2450E24E" w14:textId="77777777" w:rsidR="00877DE5" w:rsidRPr="00DA79C5" w:rsidRDefault="00877DE5" w:rsidP="005712E2">
      <w:pPr>
        <w:pStyle w:val="afc"/>
        <w:numPr>
          <w:ilvl w:val="0"/>
          <w:numId w:val="1"/>
        </w:numPr>
        <w:tabs>
          <w:tab w:val="left" w:pos="0"/>
          <w:tab w:val="left" w:pos="284"/>
        </w:tabs>
        <w:rPr>
          <w:rFonts w:eastAsia="Times New Roman" w:cs="Times New Roman"/>
          <w:lang w:val="x-none"/>
        </w:rPr>
      </w:pPr>
      <w:r w:rsidRPr="00DA79C5">
        <w:rPr>
          <w:rFonts w:eastAsia="Times New Roman" w:cs="Times New Roman"/>
          <w:lang w:val="x-none"/>
        </w:rPr>
        <w:t xml:space="preserve">Росстат. Статистический сборник «Промышленность и предпринимательство в России». 2024. URL: </w:t>
      </w:r>
      <w:hyperlink r:id="rId22">
        <w:r w:rsidRPr="00DA79C5">
          <w:rPr>
            <w:rFonts w:eastAsia="Times New Roman" w:cs="Times New Roman"/>
            <w:lang w:val="x-none"/>
          </w:rPr>
          <w:t>https://rosstat.gov.ru</w:t>
        </w:r>
      </w:hyperlink>
      <w:hyperlink r:id="rId23">
        <w:r w:rsidRPr="00DA79C5">
          <w:rPr>
            <w:rFonts w:eastAsia="Times New Roman" w:cs="Times New Roman"/>
            <w:lang w:val="x-none"/>
          </w:rPr>
          <w:t xml:space="preserve"> </w:t>
        </w:r>
      </w:hyperlink>
      <w:r w:rsidRPr="00DA79C5">
        <w:rPr>
          <w:rFonts w:eastAsia="Times New Roman" w:cs="Times New Roman"/>
          <w:lang w:val="x-none"/>
        </w:rPr>
        <w:t xml:space="preserve">(дата обращения: 20.04.2025). </w:t>
      </w:r>
    </w:p>
    <w:p w14:paraId="4E069AE2" w14:textId="77777777" w:rsidR="00877DE5" w:rsidRPr="00DA79C5" w:rsidRDefault="00877DE5" w:rsidP="005712E2">
      <w:pPr>
        <w:pStyle w:val="afc"/>
        <w:numPr>
          <w:ilvl w:val="0"/>
          <w:numId w:val="1"/>
        </w:numPr>
        <w:tabs>
          <w:tab w:val="left" w:pos="0"/>
          <w:tab w:val="left" w:pos="284"/>
        </w:tabs>
        <w:rPr>
          <w:rFonts w:eastAsia="Times New Roman" w:cs="Times New Roman"/>
          <w:lang w:val="x-none"/>
        </w:rPr>
      </w:pPr>
      <w:r w:rsidRPr="00DA79C5">
        <w:rPr>
          <w:rFonts w:eastAsia="Times New Roman" w:cs="Times New Roman"/>
          <w:lang w:val="x-none"/>
        </w:rPr>
        <w:t xml:space="preserve">World Bank. Russia Economic Report 2024. Washington, D.C.: World Bank, 2024. URL: </w:t>
      </w:r>
      <w:hyperlink r:id="rId24">
        <w:r w:rsidRPr="00DA79C5">
          <w:rPr>
            <w:rFonts w:eastAsia="Times New Roman" w:cs="Times New Roman"/>
            <w:lang w:val="x-none"/>
          </w:rPr>
          <w:t>https://www.worldbank.org</w:t>
        </w:r>
      </w:hyperlink>
      <w:hyperlink r:id="rId25">
        <w:r w:rsidRPr="00DA79C5">
          <w:rPr>
            <w:rFonts w:eastAsia="Times New Roman" w:cs="Times New Roman"/>
            <w:lang w:val="x-none"/>
          </w:rPr>
          <w:t xml:space="preserve"> </w:t>
        </w:r>
      </w:hyperlink>
      <w:r w:rsidRPr="00DA79C5">
        <w:rPr>
          <w:rFonts w:eastAsia="Times New Roman" w:cs="Times New Roman"/>
          <w:lang w:val="x-none"/>
        </w:rPr>
        <w:t xml:space="preserve">(дата обращения: 24.04.2025). </w:t>
      </w:r>
    </w:p>
    <w:p w14:paraId="6E70B40E" w14:textId="77777777" w:rsidR="00877DE5" w:rsidRPr="00B86564" w:rsidRDefault="00877DE5" w:rsidP="005712E2">
      <w:pPr>
        <w:pStyle w:val="afc"/>
        <w:numPr>
          <w:ilvl w:val="0"/>
          <w:numId w:val="1"/>
        </w:numPr>
        <w:tabs>
          <w:tab w:val="left" w:pos="0"/>
          <w:tab w:val="left" w:pos="284"/>
        </w:tabs>
        <w:rPr>
          <w:rFonts w:eastAsia="Times New Roman" w:cs="Times New Roman"/>
          <w:lang w:val="x-none"/>
        </w:rPr>
      </w:pPr>
      <w:r w:rsidRPr="00DA79C5">
        <w:rPr>
          <w:rFonts w:eastAsia="Times New Roman" w:cs="Times New Roman"/>
          <w:lang w:val="x-none"/>
        </w:rPr>
        <w:t>Финансы : Учебник / Л. Л. Игонина, М. В. Радченко, Э. В. Соболев, Н. В. Тимошенко. – Москва : Общество с ограниченной ответственностью "Издательство "КноРус", 2022. – 384 с. </w:t>
      </w:r>
    </w:p>
    <w:p w14:paraId="74B862C3" w14:textId="77777777" w:rsidR="00877DE5" w:rsidRDefault="00877DE5" w:rsidP="00067100">
      <w:pPr>
        <w:spacing w:after="0" w:line="240" w:lineRule="auto"/>
        <w:ind w:firstLine="709"/>
        <w:rPr>
          <w:rFonts w:ascii="Times New Roman" w:hAnsi="Times New Roman" w:cs="Times New Roman"/>
          <w:sz w:val="24"/>
        </w:rPr>
      </w:pPr>
    </w:p>
    <w:p w14:paraId="60B1BF69" w14:textId="77777777" w:rsidR="00877DE5" w:rsidRPr="009472DE" w:rsidRDefault="00877DE5" w:rsidP="00067100">
      <w:pPr>
        <w:spacing w:after="0" w:line="240" w:lineRule="auto"/>
        <w:ind w:firstLine="709"/>
        <w:rPr>
          <w:rFonts w:ascii="Times New Roman" w:hAnsi="Times New Roman" w:cs="Times New Roman"/>
        </w:rPr>
      </w:pPr>
    </w:p>
    <w:p w14:paraId="1E0900A1" w14:textId="77777777" w:rsidR="00877DE5" w:rsidRPr="00B86564" w:rsidRDefault="00877DE5" w:rsidP="00876CE1">
      <w:pPr>
        <w:spacing w:after="0" w:line="240" w:lineRule="auto"/>
        <w:rPr>
          <w:rFonts w:ascii="Times New Roman" w:eastAsia="Times New Roman" w:hAnsi="Times New Roman" w:cs="Times New Roman"/>
          <w:b/>
          <w:sz w:val="21"/>
          <w:szCs w:val="21"/>
        </w:rPr>
      </w:pPr>
      <w:r w:rsidRPr="00B86564">
        <w:rPr>
          <w:rFonts w:ascii="Times New Roman" w:eastAsia="Times New Roman" w:hAnsi="Times New Roman" w:cs="Times New Roman"/>
          <w:b/>
          <w:sz w:val="21"/>
          <w:szCs w:val="21"/>
        </w:rPr>
        <w:t>УДК 368</w:t>
      </w:r>
    </w:p>
    <w:p w14:paraId="5A69E007" w14:textId="77777777" w:rsidR="00877DE5" w:rsidRPr="009472DE" w:rsidRDefault="00877DE5" w:rsidP="00067100">
      <w:pPr>
        <w:spacing w:after="0" w:line="240" w:lineRule="auto"/>
        <w:ind w:firstLine="709"/>
        <w:jc w:val="right"/>
        <w:rPr>
          <w:rFonts w:ascii="Times New Roman" w:eastAsia="Times New Roman" w:hAnsi="Times New Roman" w:cs="Times New Roman"/>
          <w:b/>
          <w:i/>
          <w:sz w:val="21"/>
          <w:szCs w:val="21"/>
        </w:rPr>
      </w:pPr>
      <w:r w:rsidRPr="009472DE">
        <w:rPr>
          <w:rFonts w:ascii="Times New Roman" w:eastAsia="Times New Roman" w:hAnsi="Times New Roman" w:cs="Times New Roman"/>
          <w:b/>
          <w:i/>
          <w:sz w:val="21"/>
          <w:szCs w:val="21"/>
        </w:rPr>
        <w:t>Антонова М.А., Сидорова Д.А.,</w:t>
      </w:r>
    </w:p>
    <w:p w14:paraId="2AC44795"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студентки 3 курса</w:t>
      </w:r>
    </w:p>
    <w:p w14:paraId="46FAED34"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Финансовый университет при Правительстве РФ</w:t>
      </w:r>
    </w:p>
    <w:p w14:paraId="236AC812"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(Краснодарский филиал)</w:t>
      </w:r>
    </w:p>
    <w:p w14:paraId="528A2EC2"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г. Краснодар, Россия</w:t>
      </w:r>
    </w:p>
    <w:p w14:paraId="1A30A89D" w14:textId="77777777" w:rsidR="00877DE5" w:rsidRPr="009472DE" w:rsidRDefault="00877DE5" w:rsidP="00067100">
      <w:pPr>
        <w:spacing w:after="0" w:line="240" w:lineRule="auto"/>
        <w:ind w:firstLine="709"/>
        <w:jc w:val="right"/>
        <w:rPr>
          <w:rFonts w:ascii="Times New Roman" w:eastAsia="Times New Roman" w:hAnsi="Times New Roman" w:cs="Times New Roman"/>
          <w:i/>
          <w:color w:val="1155CC"/>
          <w:sz w:val="21"/>
          <w:szCs w:val="21"/>
          <w:u w:val="single"/>
        </w:rPr>
      </w:pPr>
      <w:r w:rsidRPr="009472DE">
        <w:rPr>
          <w:rFonts w:ascii="Times New Roman" w:eastAsia="Times New Roman" w:hAnsi="Times New Roman" w:cs="Times New Roman"/>
          <w:i/>
          <w:sz w:val="21"/>
          <w:szCs w:val="21"/>
        </w:rPr>
        <w:t xml:space="preserve">e-mail: </w:t>
      </w:r>
      <w:r w:rsidRPr="009472DE">
        <w:rPr>
          <w:rFonts w:ascii="Times New Roman" w:eastAsia="Times New Roman" w:hAnsi="Times New Roman" w:cs="Times New Roman"/>
          <w:i/>
          <w:color w:val="1155CC"/>
          <w:sz w:val="21"/>
          <w:szCs w:val="21"/>
          <w:u w:val="single"/>
        </w:rPr>
        <w:t>mashaantonova232@mail.ru</w:t>
      </w:r>
    </w:p>
    <w:p w14:paraId="57C1443C"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color w:val="1155CC"/>
          <w:sz w:val="21"/>
          <w:szCs w:val="21"/>
          <w:u w:val="single"/>
        </w:rPr>
        <w:t>dariyasidorova23@icloud.com</w:t>
      </w:r>
      <w:r w:rsidRPr="009472DE">
        <w:rPr>
          <w:rFonts w:ascii="Times New Roman" w:eastAsia="Times New Roman" w:hAnsi="Times New Roman" w:cs="Times New Roman"/>
          <w:i/>
          <w:sz w:val="21"/>
          <w:szCs w:val="21"/>
        </w:rPr>
        <w:t xml:space="preserve"> </w:t>
      </w:r>
    </w:p>
    <w:p w14:paraId="2C638A4A" w14:textId="77777777" w:rsidR="00877DE5" w:rsidRPr="009472DE" w:rsidRDefault="00877DE5" w:rsidP="00067100">
      <w:pPr>
        <w:spacing w:after="0" w:line="240" w:lineRule="auto"/>
        <w:ind w:firstLine="709"/>
        <w:rPr>
          <w:rFonts w:ascii="Times New Roman" w:hAnsi="Times New Roman" w:cs="Times New Roman"/>
        </w:rPr>
      </w:pPr>
    </w:p>
    <w:p w14:paraId="01BD0038" w14:textId="77777777" w:rsidR="00877DE5" w:rsidRPr="009472DE" w:rsidRDefault="00877DE5" w:rsidP="00067100">
      <w:pPr>
        <w:spacing w:after="0" w:line="240" w:lineRule="auto"/>
        <w:ind w:firstLine="709"/>
        <w:jc w:val="right"/>
        <w:rPr>
          <w:rFonts w:ascii="Times New Roman" w:eastAsia="Times New Roman" w:hAnsi="Times New Roman" w:cs="Times New Roman"/>
          <w:b/>
          <w:i/>
          <w:sz w:val="21"/>
          <w:szCs w:val="21"/>
        </w:rPr>
      </w:pPr>
      <w:r w:rsidRPr="009472DE">
        <w:rPr>
          <w:rFonts w:ascii="Times New Roman" w:eastAsia="Times New Roman" w:hAnsi="Times New Roman" w:cs="Times New Roman"/>
          <w:b/>
          <w:i/>
          <w:sz w:val="21"/>
          <w:szCs w:val="21"/>
        </w:rPr>
        <w:t xml:space="preserve"> Научный руководитель:</w:t>
      </w:r>
    </w:p>
    <w:p w14:paraId="4ABE14D2" w14:textId="77777777" w:rsidR="00877DE5" w:rsidRPr="009472DE" w:rsidRDefault="00877DE5" w:rsidP="00067100">
      <w:pPr>
        <w:spacing w:after="0" w:line="240" w:lineRule="auto"/>
        <w:ind w:firstLine="709"/>
        <w:jc w:val="right"/>
        <w:rPr>
          <w:rFonts w:ascii="Times New Roman" w:eastAsia="Times New Roman" w:hAnsi="Times New Roman" w:cs="Times New Roman"/>
          <w:b/>
          <w:i/>
          <w:sz w:val="21"/>
          <w:szCs w:val="21"/>
        </w:rPr>
      </w:pPr>
      <w:r w:rsidRPr="009472DE">
        <w:rPr>
          <w:rFonts w:ascii="Times New Roman" w:eastAsia="Times New Roman" w:hAnsi="Times New Roman" w:cs="Times New Roman"/>
          <w:b/>
          <w:i/>
          <w:sz w:val="21"/>
          <w:szCs w:val="21"/>
        </w:rPr>
        <w:t>Берлин С.И.,</w:t>
      </w:r>
    </w:p>
    <w:p w14:paraId="7931AA22"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Финансовый университет при Правительстве РФ</w:t>
      </w:r>
    </w:p>
    <w:p w14:paraId="0158D623"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(Краснодарский филиал)</w:t>
      </w:r>
    </w:p>
    <w:p w14:paraId="481BB2E3"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rPr>
      </w:pPr>
      <w:r w:rsidRPr="009472DE">
        <w:rPr>
          <w:rFonts w:ascii="Times New Roman" w:eastAsia="Times New Roman" w:hAnsi="Times New Roman" w:cs="Times New Roman"/>
          <w:i/>
          <w:sz w:val="21"/>
          <w:szCs w:val="21"/>
        </w:rPr>
        <w:t>г. Краснодар, Россия</w:t>
      </w:r>
    </w:p>
    <w:p w14:paraId="69AA94D1" w14:textId="77777777" w:rsidR="00877DE5" w:rsidRPr="00CF3C8E" w:rsidRDefault="00877DE5" w:rsidP="00067100">
      <w:pPr>
        <w:spacing w:after="0" w:line="240" w:lineRule="auto"/>
        <w:ind w:firstLine="709"/>
        <w:jc w:val="right"/>
        <w:rPr>
          <w:rFonts w:ascii="Times New Roman" w:eastAsia="Times New Roman" w:hAnsi="Times New Roman" w:cs="Times New Roman"/>
          <w:i/>
          <w:sz w:val="21"/>
          <w:szCs w:val="21"/>
          <w:highlight w:val="white"/>
        </w:rPr>
      </w:pPr>
      <w:r w:rsidRPr="009472DE">
        <w:rPr>
          <w:rFonts w:ascii="Times New Roman" w:eastAsia="Times New Roman" w:hAnsi="Times New Roman" w:cs="Times New Roman"/>
          <w:i/>
          <w:sz w:val="21"/>
          <w:szCs w:val="21"/>
        </w:rPr>
        <w:t>e-mail:</w:t>
      </w:r>
      <w:hyperlink r:id="rId26">
        <w:r w:rsidRPr="009472DE">
          <w:rPr>
            <w:rFonts w:ascii="Times New Roman" w:eastAsia="Times New Roman" w:hAnsi="Times New Roman" w:cs="Times New Roman"/>
            <w:i/>
            <w:color w:val="1155CC"/>
            <w:sz w:val="21"/>
            <w:szCs w:val="21"/>
            <w:highlight w:val="white"/>
            <w:u w:val="single"/>
          </w:rPr>
          <w:t>SIBerlin@fa.ru</w:t>
        </w:r>
      </w:hyperlink>
      <w:r w:rsidRPr="009472DE">
        <w:rPr>
          <w:rFonts w:ascii="Times New Roman" w:eastAsia="Times New Roman" w:hAnsi="Times New Roman" w:cs="Times New Roman"/>
          <w:i/>
          <w:sz w:val="21"/>
          <w:szCs w:val="21"/>
        </w:rPr>
        <w:t xml:space="preserve"> </w:t>
      </w:r>
    </w:p>
    <w:p w14:paraId="5D340812" w14:textId="77777777" w:rsidR="00877DE5" w:rsidRPr="009472DE" w:rsidRDefault="00877DE5" w:rsidP="00067100">
      <w:pPr>
        <w:spacing w:after="0" w:line="240" w:lineRule="auto"/>
        <w:ind w:firstLine="709"/>
        <w:rPr>
          <w:rFonts w:ascii="Times New Roman" w:hAnsi="Times New Roman" w:cs="Times New Roman"/>
        </w:rPr>
      </w:pPr>
    </w:p>
    <w:p w14:paraId="30267042" w14:textId="77777777" w:rsidR="00877DE5" w:rsidRPr="009472DE" w:rsidRDefault="00877DE5" w:rsidP="00067100">
      <w:pPr>
        <w:spacing w:after="0" w:line="240" w:lineRule="auto"/>
        <w:ind w:firstLine="709"/>
        <w:jc w:val="center"/>
        <w:rPr>
          <w:rFonts w:ascii="Times New Roman" w:eastAsia="Times New Roman" w:hAnsi="Times New Roman" w:cs="Times New Roman"/>
          <w:b/>
          <w:sz w:val="21"/>
          <w:szCs w:val="21"/>
          <w:highlight w:val="white"/>
        </w:rPr>
      </w:pPr>
      <w:r w:rsidRPr="009472DE">
        <w:rPr>
          <w:rFonts w:ascii="Times New Roman" w:eastAsia="Times New Roman" w:hAnsi="Times New Roman" w:cs="Times New Roman"/>
          <w:b/>
          <w:sz w:val="21"/>
          <w:szCs w:val="21"/>
          <w:highlight w:val="white"/>
        </w:rPr>
        <w:t>Страхование сельскохозяйственных культур как инструмент управления рисками сельхозпредприятий</w:t>
      </w:r>
    </w:p>
    <w:p w14:paraId="4DAD6606" w14:textId="77777777" w:rsidR="00877DE5" w:rsidRPr="009472DE" w:rsidRDefault="00877DE5" w:rsidP="00067100">
      <w:pPr>
        <w:spacing w:after="0" w:line="240" w:lineRule="auto"/>
        <w:ind w:firstLine="709"/>
        <w:rPr>
          <w:rFonts w:ascii="Times New Roman" w:hAnsi="Times New Roman" w:cs="Times New Roman"/>
        </w:rPr>
      </w:pPr>
    </w:p>
    <w:p w14:paraId="102FCA0D"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rPr>
      </w:pPr>
      <w:r w:rsidRPr="009472DE">
        <w:rPr>
          <w:rFonts w:ascii="Times New Roman" w:eastAsia="Times New Roman" w:hAnsi="Times New Roman" w:cs="Times New Roman"/>
          <w:b/>
          <w:sz w:val="21"/>
          <w:szCs w:val="21"/>
        </w:rPr>
        <w:t xml:space="preserve">Аннотация: </w:t>
      </w:r>
      <w:r w:rsidRPr="009472DE">
        <w:rPr>
          <w:rFonts w:ascii="Times New Roman" w:eastAsia="Times New Roman" w:hAnsi="Times New Roman" w:cs="Times New Roman"/>
          <w:sz w:val="21"/>
          <w:szCs w:val="21"/>
        </w:rPr>
        <w:t xml:space="preserve">В статье рассмотрены перспективы применения страхования в области сельского хозяйства, проанализирована необходимость использования в данной области такого инструмента, как риск, рассмотрена актуальность и эффективность страхования для сельскохозяйственных культур, оценена </w:t>
      </w:r>
      <w:r w:rsidRPr="009472DE">
        <w:rPr>
          <w:rFonts w:ascii="Times New Roman" w:eastAsia="Times New Roman" w:hAnsi="Times New Roman" w:cs="Times New Roman"/>
          <w:sz w:val="21"/>
          <w:szCs w:val="21"/>
        </w:rPr>
        <w:lastRenderedPageBreak/>
        <w:t>динамика изменения застрахованных посевных площадей в Российской Федерации, а также проведена оценка страхования сельскохозяйственных культур с точки зрения компенсации убытков.</w:t>
      </w:r>
    </w:p>
    <w:p w14:paraId="14670E58"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rPr>
      </w:pPr>
      <w:r w:rsidRPr="009472DE">
        <w:rPr>
          <w:rFonts w:ascii="Times New Roman" w:eastAsia="Times New Roman" w:hAnsi="Times New Roman" w:cs="Times New Roman"/>
          <w:b/>
          <w:sz w:val="21"/>
          <w:szCs w:val="21"/>
        </w:rPr>
        <w:t>Ключевые слова</w:t>
      </w:r>
      <w:r w:rsidRPr="009472DE">
        <w:rPr>
          <w:rFonts w:ascii="Times New Roman" w:eastAsia="Times New Roman" w:hAnsi="Times New Roman" w:cs="Times New Roman"/>
          <w:sz w:val="21"/>
          <w:szCs w:val="21"/>
        </w:rPr>
        <w:t>: агрострахование, риск, управление рисками, агропромышленный комплекс, сельскохозяйственная культура, сельское хозяйство.</w:t>
      </w:r>
    </w:p>
    <w:p w14:paraId="509E1398" w14:textId="77777777" w:rsidR="00877DE5" w:rsidRPr="009472DE" w:rsidRDefault="00877DE5" w:rsidP="00067100">
      <w:pPr>
        <w:spacing w:after="0" w:line="240" w:lineRule="auto"/>
        <w:ind w:firstLine="709"/>
        <w:rPr>
          <w:rFonts w:ascii="Times New Roman" w:hAnsi="Times New Roman" w:cs="Times New Roman"/>
        </w:rPr>
      </w:pPr>
    </w:p>
    <w:p w14:paraId="5B628EF3"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rPr>
      </w:pPr>
      <w:r w:rsidRPr="009472DE">
        <w:rPr>
          <w:rFonts w:ascii="Times New Roman" w:eastAsia="Times New Roman" w:hAnsi="Times New Roman" w:cs="Times New Roman"/>
          <w:b/>
          <w:bCs/>
          <w:i/>
          <w:sz w:val="21"/>
          <w:szCs w:val="21"/>
          <w:lang w:val="en-US"/>
        </w:rPr>
        <w:t>Antonova M.A., Sidorova D.A.,</w:t>
      </w:r>
    </w:p>
    <w:p w14:paraId="6F12ED38"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students, 3 courses</w:t>
      </w:r>
    </w:p>
    <w:p w14:paraId="44238198"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Financial University under the Government of Russian Federation</w:t>
      </w:r>
    </w:p>
    <w:p w14:paraId="212F6EA0"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Krasnodar, Russia</w:t>
      </w:r>
    </w:p>
    <w:p w14:paraId="33B3B1C3" w14:textId="77777777" w:rsidR="00877DE5" w:rsidRPr="009472DE" w:rsidRDefault="00877DE5" w:rsidP="00067100">
      <w:pPr>
        <w:spacing w:after="0" w:line="240" w:lineRule="auto"/>
        <w:ind w:firstLine="709"/>
        <w:jc w:val="right"/>
        <w:rPr>
          <w:rFonts w:ascii="Times New Roman" w:eastAsia="Times New Roman" w:hAnsi="Times New Roman" w:cs="Times New Roman"/>
          <w:i/>
          <w:color w:val="1155CC"/>
          <w:sz w:val="21"/>
          <w:szCs w:val="21"/>
          <w:u w:val="single"/>
          <w:lang w:val="en-US"/>
        </w:rPr>
      </w:pPr>
      <w:r w:rsidRPr="009472DE">
        <w:rPr>
          <w:rFonts w:ascii="Times New Roman" w:eastAsia="Times New Roman" w:hAnsi="Times New Roman" w:cs="Times New Roman"/>
          <w:i/>
          <w:sz w:val="21"/>
          <w:szCs w:val="21"/>
        </w:rPr>
        <w:t>е</w:t>
      </w:r>
      <w:r w:rsidRPr="009472DE">
        <w:rPr>
          <w:rFonts w:ascii="Times New Roman" w:eastAsia="Times New Roman" w:hAnsi="Times New Roman" w:cs="Times New Roman"/>
          <w:i/>
          <w:sz w:val="21"/>
          <w:szCs w:val="21"/>
          <w:lang w:val="en-US"/>
        </w:rPr>
        <w:t xml:space="preserve">-mail: </w:t>
      </w:r>
      <w:r w:rsidRPr="009472DE">
        <w:rPr>
          <w:rFonts w:ascii="Times New Roman" w:eastAsia="Times New Roman" w:hAnsi="Times New Roman" w:cs="Times New Roman"/>
          <w:i/>
          <w:color w:val="1155CC"/>
          <w:sz w:val="21"/>
          <w:szCs w:val="21"/>
          <w:u w:val="single"/>
          <w:lang w:val="en-US"/>
        </w:rPr>
        <w:t>mashaantonova232@mail.ru</w:t>
      </w:r>
    </w:p>
    <w:p w14:paraId="0FB7642E"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color w:val="1155CC"/>
          <w:sz w:val="21"/>
          <w:szCs w:val="21"/>
          <w:u w:val="single"/>
          <w:lang w:val="en-US"/>
        </w:rPr>
        <w:t>dariyasidorova23@icloud.com</w:t>
      </w:r>
      <w:r w:rsidRPr="009472DE">
        <w:rPr>
          <w:rFonts w:ascii="Times New Roman" w:eastAsia="Times New Roman" w:hAnsi="Times New Roman" w:cs="Times New Roman"/>
          <w:i/>
          <w:sz w:val="21"/>
          <w:szCs w:val="21"/>
          <w:lang w:val="en-US"/>
        </w:rPr>
        <w:t xml:space="preserve"> </w:t>
      </w:r>
    </w:p>
    <w:p w14:paraId="098AE020"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 xml:space="preserve"> </w:t>
      </w:r>
    </w:p>
    <w:p w14:paraId="2FC4F3EF"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rPr>
      </w:pPr>
      <w:r w:rsidRPr="009472DE">
        <w:rPr>
          <w:rFonts w:ascii="Times New Roman" w:eastAsia="Times New Roman" w:hAnsi="Times New Roman" w:cs="Times New Roman"/>
          <w:b/>
          <w:bCs/>
          <w:i/>
          <w:sz w:val="21"/>
          <w:szCs w:val="21"/>
          <w:lang w:val="en-US"/>
        </w:rPr>
        <w:t>Scientific Adviser:</w:t>
      </w:r>
    </w:p>
    <w:p w14:paraId="31CED62A"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rPr>
      </w:pPr>
      <w:r w:rsidRPr="009472DE">
        <w:rPr>
          <w:rFonts w:ascii="Times New Roman" w:eastAsia="Times New Roman" w:hAnsi="Times New Roman" w:cs="Times New Roman"/>
          <w:b/>
          <w:bCs/>
          <w:i/>
          <w:sz w:val="21"/>
          <w:szCs w:val="21"/>
          <w:lang w:val="en-US"/>
        </w:rPr>
        <w:t>Berlin S.I.,</w:t>
      </w:r>
    </w:p>
    <w:p w14:paraId="66FAE7E4"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Financial University under the Government of Russian Federation</w:t>
      </w:r>
    </w:p>
    <w:p w14:paraId="429EFF7A"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lang w:val="en-US"/>
        </w:rPr>
      </w:pPr>
      <w:r w:rsidRPr="009472DE">
        <w:rPr>
          <w:rFonts w:ascii="Times New Roman" w:eastAsia="Times New Roman" w:hAnsi="Times New Roman" w:cs="Times New Roman"/>
          <w:i/>
          <w:sz w:val="21"/>
          <w:szCs w:val="21"/>
          <w:lang w:val="en-US"/>
        </w:rPr>
        <w:t>Krasnodar, Russia</w:t>
      </w:r>
    </w:p>
    <w:p w14:paraId="68BBC981" w14:textId="77777777" w:rsidR="00877DE5" w:rsidRPr="009472DE" w:rsidRDefault="00877DE5" w:rsidP="00067100">
      <w:pPr>
        <w:spacing w:after="0" w:line="240" w:lineRule="auto"/>
        <w:ind w:firstLine="709"/>
        <w:jc w:val="right"/>
        <w:rPr>
          <w:rFonts w:ascii="Times New Roman" w:eastAsia="Times New Roman" w:hAnsi="Times New Roman" w:cs="Times New Roman"/>
          <w:i/>
          <w:sz w:val="21"/>
          <w:szCs w:val="21"/>
          <w:highlight w:val="white"/>
          <w:lang w:val="en-US"/>
        </w:rPr>
      </w:pPr>
      <w:r w:rsidRPr="009472DE">
        <w:rPr>
          <w:rFonts w:ascii="Times New Roman" w:eastAsia="Times New Roman" w:hAnsi="Times New Roman" w:cs="Times New Roman"/>
          <w:i/>
          <w:sz w:val="21"/>
          <w:szCs w:val="21"/>
          <w:lang w:val="en-US"/>
        </w:rPr>
        <w:t>e-mail:</w:t>
      </w:r>
      <w:hyperlink r:id="rId27">
        <w:r w:rsidRPr="009472DE">
          <w:rPr>
            <w:rFonts w:ascii="Times New Roman" w:eastAsia="Times New Roman" w:hAnsi="Times New Roman" w:cs="Times New Roman"/>
            <w:i/>
            <w:color w:val="1155CC"/>
            <w:sz w:val="21"/>
            <w:szCs w:val="21"/>
            <w:highlight w:val="white"/>
            <w:u w:val="single"/>
            <w:lang w:val="en-US"/>
          </w:rPr>
          <w:t>SIBerlin@fa.ru</w:t>
        </w:r>
      </w:hyperlink>
    </w:p>
    <w:p w14:paraId="3FF54929" w14:textId="6B81D3F8" w:rsidR="00877DE5" w:rsidRPr="009472DE" w:rsidRDefault="00877DE5" w:rsidP="00067100">
      <w:pPr>
        <w:spacing w:after="0" w:line="240" w:lineRule="auto"/>
        <w:ind w:firstLine="709"/>
        <w:rPr>
          <w:rFonts w:ascii="Times New Roman" w:eastAsia="Times New Roman" w:hAnsi="Times New Roman" w:cs="Times New Roman"/>
          <w:i/>
          <w:color w:val="1155CC"/>
          <w:sz w:val="21"/>
          <w:szCs w:val="21"/>
          <w:u w:val="single"/>
          <w:lang w:val="en-US"/>
        </w:rPr>
      </w:pPr>
      <w:r w:rsidRPr="009472DE">
        <w:rPr>
          <w:rFonts w:ascii="Times New Roman" w:eastAsia="Times New Roman" w:hAnsi="Times New Roman" w:cs="Times New Roman"/>
          <w:i/>
          <w:sz w:val="21"/>
          <w:szCs w:val="21"/>
          <w:lang w:val="en-US"/>
        </w:rPr>
        <w:t xml:space="preserve"> </w:t>
      </w:r>
    </w:p>
    <w:p w14:paraId="40048F93" w14:textId="77777777" w:rsidR="00877DE5" w:rsidRPr="009472DE" w:rsidRDefault="00877DE5" w:rsidP="00067100">
      <w:pPr>
        <w:spacing w:after="0" w:line="240" w:lineRule="auto"/>
        <w:ind w:firstLine="709"/>
        <w:jc w:val="center"/>
        <w:rPr>
          <w:rFonts w:ascii="Times New Roman" w:eastAsia="Times New Roman" w:hAnsi="Times New Roman" w:cs="Times New Roman"/>
          <w:b/>
          <w:sz w:val="21"/>
          <w:szCs w:val="21"/>
          <w:lang w:val="en-US"/>
        </w:rPr>
      </w:pPr>
      <w:r w:rsidRPr="009472DE">
        <w:rPr>
          <w:rFonts w:ascii="Times New Roman" w:eastAsia="Times New Roman" w:hAnsi="Times New Roman" w:cs="Times New Roman"/>
          <w:b/>
          <w:sz w:val="21"/>
          <w:szCs w:val="21"/>
          <w:lang w:val="en-US"/>
        </w:rPr>
        <w:t>Crop insurance as a risk management tool for agricultural enterprises</w:t>
      </w:r>
    </w:p>
    <w:p w14:paraId="0A04C08A" w14:textId="77777777" w:rsidR="00877DE5" w:rsidRPr="009472DE" w:rsidRDefault="00877DE5" w:rsidP="00067100">
      <w:pPr>
        <w:spacing w:after="0" w:line="240" w:lineRule="auto"/>
        <w:ind w:firstLine="709"/>
        <w:rPr>
          <w:rFonts w:ascii="Times New Roman" w:eastAsia="Times New Roman" w:hAnsi="Times New Roman" w:cs="Times New Roman"/>
          <w:sz w:val="20"/>
          <w:szCs w:val="20"/>
          <w:lang w:val="en-US"/>
        </w:rPr>
      </w:pPr>
    </w:p>
    <w:p w14:paraId="735B2235" w14:textId="1EF78303" w:rsidR="00877DE5" w:rsidRPr="009472DE" w:rsidRDefault="00877DE5" w:rsidP="00067100">
      <w:pPr>
        <w:spacing w:after="0" w:line="240" w:lineRule="auto"/>
        <w:ind w:firstLine="709"/>
        <w:jc w:val="both"/>
        <w:rPr>
          <w:rFonts w:ascii="Times New Roman" w:eastAsia="Times New Roman" w:hAnsi="Times New Roman" w:cs="Times New Roman"/>
          <w:sz w:val="21"/>
          <w:szCs w:val="21"/>
          <w:lang w:val="en-US"/>
        </w:rPr>
      </w:pPr>
      <w:r w:rsidRPr="009472DE">
        <w:rPr>
          <w:rFonts w:ascii="Times New Roman" w:eastAsia="Times New Roman" w:hAnsi="Times New Roman" w:cs="Times New Roman"/>
          <w:b/>
          <w:sz w:val="21"/>
          <w:szCs w:val="21"/>
          <w:lang w:val="en-US"/>
        </w:rPr>
        <w:t>Abstract:</w:t>
      </w:r>
      <w:r w:rsidRPr="009472DE">
        <w:rPr>
          <w:rFonts w:ascii="Times New Roman" w:eastAsia="Times New Roman" w:hAnsi="Times New Roman" w:cs="Times New Roman"/>
          <w:sz w:val="21"/>
          <w:szCs w:val="21"/>
          <w:lang w:val="en-US"/>
        </w:rPr>
        <w:t xml:space="preserve"> The article examines the prospects for the application of insurance in the field of agriculture, analyzes the need to use such a tool as risk in this field, examines the relevance and effectiveness of insurance for crops, examines the dynamics of changes in insured acreage in the Russian Federation, and evaluates crop insurance in terms of compensation for losses.</w:t>
      </w:r>
    </w:p>
    <w:p w14:paraId="0A3C2E50" w14:textId="1869D5C5" w:rsidR="00877DE5" w:rsidRDefault="00877DE5" w:rsidP="00067100">
      <w:pPr>
        <w:spacing w:after="0" w:line="240" w:lineRule="auto"/>
        <w:ind w:firstLine="709"/>
        <w:jc w:val="both"/>
        <w:rPr>
          <w:rFonts w:ascii="Times New Roman" w:eastAsia="Times New Roman" w:hAnsi="Times New Roman" w:cs="Times New Roman"/>
          <w:sz w:val="21"/>
          <w:szCs w:val="21"/>
          <w:lang w:val="en-US"/>
        </w:rPr>
      </w:pPr>
      <w:r w:rsidRPr="009472DE">
        <w:rPr>
          <w:rFonts w:ascii="Times New Roman" w:eastAsia="Times New Roman" w:hAnsi="Times New Roman" w:cs="Times New Roman"/>
          <w:b/>
          <w:sz w:val="21"/>
          <w:szCs w:val="21"/>
          <w:lang w:val="en-US"/>
        </w:rPr>
        <w:t>Keywords:</w:t>
      </w:r>
      <w:r w:rsidRPr="009472DE">
        <w:rPr>
          <w:rFonts w:ascii="Times New Roman" w:eastAsia="Times New Roman" w:hAnsi="Times New Roman" w:cs="Times New Roman"/>
          <w:sz w:val="21"/>
          <w:szCs w:val="21"/>
          <w:lang w:val="en-US"/>
        </w:rPr>
        <w:t xml:space="preserve"> agricultural insurance, risk, risk management, agro-industrial complex, agricultural culture, agriculture.</w:t>
      </w:r>
    </w:p>
    <w:p w14:paraId="41C96BA2"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lang w:val="en-US"/>
        </w:rPr>
      </w:pPr>
    </w:p>
    <w:p w14:paraId="67330502" w14:textId="77777777" w:rsidR="00877DE5" w:rsidRPr="009472DE" w:rsidRDefault="00877DE5" w:rsidP="00067100">
      <w:pPr>
        <w:spacing w:after="0" w:line="240" w:lineRule="auto"/>
        <w:ind w:firstLine="709"/>
        <w:jc w:val="both"/>
        <w:rPr>
          <w:rFonts w:ascii="Times New Roman" w:eastAsia="Times New Roman" w:hAnsi="Times New Roman" w:cs="Times New Roman"/>
          <w:bCs/>
          <w:sz w:val="32"/>
          <w:szCs w:val="32"/>
        </w:rPr>
      </w:pPr>
      <w:r w:rsidRPr="009472DE">
        <w:rPr>
          <w:rFonts w:ascii="Times New Roman" w:eastAsia="Times New Roman" w:hAnsi="Times New Roman" w:cs="Times New Roman"/>
          <w:bCs/>
          <w:sz w:val="32"/>
          <w:szCs w:val="32"/>
        </w:rPr>
        <w:t>Сельскохозяйственное производство занимает одно из главных мест в экономике страны. Его особенность заключается во взаимосвязи экономических процессов с природными условиями, включая климатические факторы, состояние почвы и другие природные характеристики. Сельское хозяйство особенно уязвимо перед неблагоприятными погодными условиями и явлениями природного характера. Одним из действенных инструментов минимизации финансовых рисков для аграриев является страхование сельхозкультур.</w:t>
      </w:r>
    </w:p>
    <w:p w14:paraId="2B5411CB"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bCs/>
          <w:sz w:val="32"/>
          <w:szCs w:val="32"/>
        </w:rPr>
        <w:t>Актуальность</w:t>
      </w:r>
      <w:r w:rsidRPr="009472DE">
        <w:rPr>
          <w:rFonts w:ascii="Times New Roman" w:eastAsia="Times New Roman" w:hAnsi="Times New Roman" w:cs="Times New Roman"/>
          <w:sz w:val="32"/>
          <w:szCs w:val="32"/>
        </w:rPr>
        <w:t xml:space="preserve"> данной темы заключается в том, что российские аграрии и фермеры стремятся предотвратить возможные негативные последствия чрезвычайных ситуаций и неблагоприятных погодных явлений, способные уничтожить их посевы и нанести значительный ущерб урожаю.</w:t>
      </w:r>
    </w:p>
    <w:p w14:paraId="533B5A15"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Цель данной работы состоит в исследовании сущности агрострахования, выявлении возможностей его эффективного применения в России, снижении уровня риска в сельскохозяйственной деятельности, а также анализе чрезвычайных происшествий в сфере сельского хозяйства, соответствующих условиям компенсации убытков при наступлении страхового случая в Российской Федерации.</w:t>
      </w:r>
    </w:p>
    <w:p w14:paraId="26FBC075"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bCs/>
          <w:sz w:val="32"/>
          <w:szCs w:val="32"/>
        </w:rPr>
        <w:lastRenderedPageBreak/>
        <w:t xml:space="preserve">Для того, чтобы достичь поставленной цели работы, необходимо выполнить ряд задач: </w:t>
      </w:r>
      <w:r w:rsidRPr="009472DE">
        <w:rPr>
          <w:rFonts w:ascii="Times New Roman" w:eastAsia="Times New Roman" w:hAnsi="Times New Roman" w:cs="Times New Roman"/>
          <w:sz w:val="32"/>
          <w:szCs w:val="32"/>
        </w:rPr>
        <w:t>изучить понятие агрострахования; определить роль страхования в сельском хозяйстве; оценить программы агрострахования в соответствии с Федеральными Законами РФ; проанализировать динамику изменения застрахованных площадей в Российской Федерации; выявить регионы РФ с наибольшими страховыми выплатами в области сельского хозяйства; внести рекомендации по внедрению агрострахования в сельское хозяйство;</w:t>
      </w:r>
    </w:p>
    <w:p w14:paraId="23130067" w14:textId="78D50B6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Агрострахование представляет собой важнейший инструмент поддержания стабильности и устойчивости в аграрной сфере. Этот механизм позволяет учитывать различные риски, возникающие в процессе ведения сельского хозяйства, и защищает фермеров от в</w:t>
      </w:r>
      <w:r>
        <w:rPr>
          <w:rFonts w:ascii="Times New Roman" w:eastAsia="Times New Roman" w:hAnsi="Times New Roman" w:cs="Times New Roman"/>
          <w:sz w:val="32"/>
          <w:szCs w:val="32"/>
        </w:rPr>
        <w:t>озможных финансовых потерь [2]</w:t>
      </w:r>
      <w:r w:rsidR="001F45AE">
        <w:rPr>
          <w:rFonts w:ascii="Times New Roman" w:eastAsia="Times New Roman" w:hAnsi="Times New Roman" w:cs="Times New Roman"/>
          <w:sz w:val="32"/>
          <w:szCs w:val="32"/>
        </w:rPr>
        <w:t>.</w:t>
      </w:r>
    </w:p>
    <w:p w14:paraId="2B03363A"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Важнейшим условием развития агрострахования является увеличение объемов страховой ответственности. Процесс страхования урожая и имущества сельскохозяйственных организаций носит добровольный характер.</w:t>
      </w:r>
    </w:p>
    <w:p w14:paraId="35441B80" w14:textId="097D2557"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rPr>
        <w:t xml:space="preserve">В соответствии с Федеральным Законом №260-ФЗ </w:t>
      </w:r>
      <w:r w:rsidRPr="009472DE">
        <w:rPr>
          <w:rFonts w:ascii="Times New Roman" w:eastAsia="Times New Roman" w:hAnsi="Times New Roman" w:cs="Times New Roman"/>
          <w:sz w:val="32"/>
          <w:szCs w:val="32"/>
          <w:highlight w:val="white"/>
        </w:rPr>
        <w:t>«Объектом программы страхования является: урожай зерновых, масличных, зернобобовых, кормовых, бахчевых культур, картофеля, овощей, виноградников, плодовых, ягодных, чая, орехоплодовых насаждений, плантаций хмеля» [1]</w:t>
      </w:r>
      <w:r w:rsidR="001F45AE">
        <w:rPr>
          <w:rFonts w:ascii="Times New Roman" w:eastAsia="Times New Roman" w:hAnsi="Times New Roman" w:cs="Times New Roman"/>
          <w:sz w:val="32"/>
          <w:szCs w:val="32"/>
          <w:highlight w:val="white"/>
        </w:rPr>
        <w:t>.</w:t>
      </w:r>
    </w:p>
    <w:p w14:paraId="10DFBB78" w14:textId="39F63730"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К объектам страхования относятся ожидаемый урожай; реальные затраты страхователя на выращивание урожая; многолетние насаждения [1]</w:t>
      </w:r>
      <w:r w:rsidR="001F45AE">
        <w:rPr>
          <w:rFonts w:ascii="Times New Roman" w:eastAsia="Times New Roman" w:hAnsi="Times New Roman" w:cs="Times New Roman"/>
          <w:sz w:val="32"/>
          <w:szCs w:val="32"/>
        </w:rPr>
        <w:t>.</w:t>
      </w:r>
    </w:p>
    <w:p w14:paraId="7227A662" w14:textId="3ABD1CAF"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Не относятся к объектам страхования природные пастбища; посевы, от которых за три последние года не было получено урожая; многолетние насаждения, которые растут в садах, износ или сжижения которых составляет 70 и более процентов от их первоначальной стоимости или норматива посадки [1]</w:t>
      </w:r>
      <w:r w:rsidR="001F45AE">
        <w:rPr>
          <w:rFonts w:ascii="Times New Roman" w:eastAsia="Times New Roman" w:hAnsi="Times New Roman" w:cs="Times New Roman"/>
          <w:sz w:val="32"/>
          <w:szCs w:val="32"/>
        </w:rPr>
        <w:t>.</w:t>
      </w:r>
    </w:p>
    <w:p w14:paraId="7626FBDA" w14:textId="1D6F173E" w:rsidR="00877DE5"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Практически весь спектр основных и оборотных активов подлежит страхованию, однако балансовые стоимости объектов не включаются в сумму покрытия. Для каждого типа имущества предусмотрены индивидуальные ставки и условия страхования. Рассмотрим данные особенности в сравнительной таблице (Таблица 1).</w:t>
      </w:r>
    </w:p>
    <w:p w14:paraId="49DB6E5A" w14:textId="022561D1" w:rsidR="001F45AE" w:rsidRDefault="001F45AE" w:rsidP="00067100">
      <w:pPr>
        <w:spacing w:after="0" w:line="240" w:lineRule="auto"/>
        <w:ind w:firstLine="709"/>
        <w:jc w:val="both"/>
        <w:rPr>
          <w:rFonts w:ascii="Times New Roman" w:eastAsia="Times New Roman" w:hAnsi="Times New Roman" w:cs="Times New Roman"/>
          <w:sz w:val="32"/>
          <w:szCs w:val="32"/>
        </w:rPr>
      </w:pPr>
    </w:p>
    <w:p w14:paraId="6F2650B6" w14:textId="77777777" w:rsidR="001F45AE" w:rsidRPr="009472DE" w:rsidRDefault="001F45AE" w:rsidP="00067100">
      <w:pPr>
        <w:spacing w:after="0" w:line="240" w:lineRule="auto"/>
        <w:ind w:firstLine="709"/>
        <w:jc w:val="both"/>
        <w:rPr>
          <w:rFonts w:ascii="Times New Roman" w:eastAsia="Times New Roman" w:hAnsi="Times New Roman" w:cs="Times New Roman"/>
          <w:sz w:val="32"/>
          <w:szCs w:val="32"/>
        </w:rPr>
      </w:pPr>
    </w:p>
    <w:p w14:paraId="5098DCF2" w14:textId="4F6BF2B5" w:rsidR="00877DE5" w:rsidRPr="009472DE" w:rsidRDefault="00877DE5" w:rsidP="001F45AE">
      <w:pPr>
        <w:spacing w:after="0" w:line="240" w:lineRule="auto"/>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lastRenderedPageBreak/>
        <w:t>Таблица 1 - Особенности страхования на основные и оборотные средства.</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5115"/>
      </w:tblGrid>
      <w:tr w:rsidR="00877DE5" w:rsidRPr="009472DE" w14:paraId="7C444060" w14:textId="77777777" w:rsidTr="001F45AE">
        <w:tc>
          <w:tcPr>
            <w:tcW w:w="4514" w:type="dxa"/>
            <w:shd w:val="clear" w:color="auto" w:fill="auto"/>
            <w:tcMar>
              <w:top w:w="100" w:type="dxa"/>
              <w:left w:w="100" w:type="dxa"/>
              <w:bottom w:w="100" w:type="dxa"/>
              <w:right w:w="100" w:type="dxa"/>
            </w:tcMar>
          </w:tcPr>
          <w:p w14:paraId="13610868" w14:textId="77777777" w:rsidR="00877DE5" w:rsidRPr="009472DE" w:rsidRDefault="00877DE5" w:rsidP="006B48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Вид имущества</w:t>
            </w:r>
          </w:p>
        </w:tc>
        <w:tc>
          <w:tcPr>
            <w:tcW w:w="5115" w:type="dxa"/>
            <w:shd w:val="clear" w:color="auto" w:fill="auto"/>
            <w:tcMar>
              <w:top w:w="100" w:type="dxa"/>
              <w:left w:w="100" w:type="dxa"/>
              <w:bottom w:w="100" w:type="dxa"/>
              <w:right w:w="100" w:type="dxa"/>
            </w:tcMar>
          </w:tcPr>
          <w:p w14:paraId="0C8C451E" w14:textId="77777777" w:rsidR="00877DE5" w:rsidRPr="009472DE" w:rsidRDefault="00877DE5" w:rsidP="006B48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Размер страхования</w:t>
            </w:r>
          </w:p>
        </w:tc>
      </w:tr>
      <w:tr w:rsidR="00877DE5" w:rsidRPr="009472DE" w14:paraId="1C5EC41C" w14:textId="77777777" w:rsidTr="001F45AE">
        <w:tc>
          <w:tcPr>
            <w:tcW w:w="4514" w:type="dxa"/>
            <w:shd w:val="clear" w:color="auto" w:fill="auto"/>
            <w:tcMar>
              <w:top w:w="100" w:type="dxa"/>
              <w:left w:w="100" w:type="dxa"/>
              <w:bottom w:w="100" w:type="dxa"/>
              <w:right w:w="100" w:type="dxa"/>
            </w:tcMar>
          </w:tcPr>
          <w:p w14:paraId="616690B8"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Оборудование и машины</w:t>
            </w:r>
          </w:p>
        </w:tc>
        <w:tc>
          <w:tcPr>
            <w:tcW w:w="5115" w:type="dxa"/>
            <w:shd w:val="clear" w:color="auto" w:fill="auto"/>
            <w:tcMar>
              <w:top w:w="100" w:type="dxa"/>
              <w:left w:w="100" w:type="dxa"/>
              <w:bottom w:w="100" w:type="dxa"/>
              <w:right w:w="100" w:type="dxa"/>
            </w:tcMar>
          </w:tcPr>
          <w:p w14:paraId="36CAC7C6"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Объект страхуется на сумму, равную стоимости покупки идентичного имущества нового образца, исключая износ существующего актива</w:t>
            </w:r>
          </w:p>
        </w:tc>
      </w:tr>
      <w:tr w:rsidR="00877DE5" w:rsidRPr="009472DE" w14:paraId="181F452F" w14:textId="77777777" w:rsidTr="001F45AE">
        <w:tc>
          <w:tcPr>
            <w:tcW w:w="4514" w:type="dxa"/>
            <w:shd w:val="clear" w:color="auto" w:fill="auto"/>
            <w:tcMar>
              <w:top w:w="100" w:type="dxa"/>
              <w:left w:w="100" w:type="dxa"/>
              <w:bottom w:w="100" w:type="dxa"/>
              <w:right w:w="100" w:type="dxa"/>
            </w:tcMar>
          </w:tcPr>
          <w:p w14:paraId="7A961D17"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Здания и сооружения</w:t>
            </w:r>
          </w:p>
        </w:tc>
        <w:tc>
          <w:tcPr>
            <w:tcW w:w="5115" w:type="dxa"/>
            <w:shd w:val="clear" w:color="auto" w:fill="auto"/>
            <w:tcMar>
              <w:top w:w="100" w:type="dxa"/>
              <w:left w:w="100" w:type="dxa"/>
              <w:bottom w:w="100" w:type="dxa"/>
              <w:right w:w="100" w:type="dxa"/>
            </w:tcMar>
          </w:tcPr>
          <w:p w14:paraId="6BE70106"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Страховка оформляется на сумму, соответствующую затратам на возведение аналогичного объекта недвижимости, без учета амортизационного износа имеющегося здания</w:t>
            </w:r>
          </w:p>
        </w:tc>
      </w:tr>
      <w:tr w:rsidR="00877DE5" w:rsidRPr="009472DE" w14:paraId="1AA20B47" w14:textId="77777777" w:rsidTr="001F45AE">
        <w:tc>
          <w:tcPr>
            <w:tcW w:w="4514" w:type="dxa"/>
            <w:shd w:val="clear" w:color="auto" w:fill="auto"/>
            <w:tcMar>
              <w:top w:w="100" w:type="dxa"/>
              <w:left w:w="100" w:type="dxa"/>
              <w:bottom w:w="100" w:type="dxa"/>
              <w:right w:w="100" w:type="dxa"/>
            </w:tcMar>
          </w:tcPr>
          <w:p w14:paraId="02ADD540"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Товары, производимые сельскохозяйственным предприятием</w:t>
            </w:r>
          </w:p>
        </w:tc>
        <w:tc>
          <w:tcPr>
            <w:tcW w:w="5115" w:type="dxa"/>
            <w:shd w:val="clear" w:color="auto" w:fill="auto"/>
            <w:tcMar>
              <w:top w:w="100" w:type="dxa"/>
              <w:left w:w="100" w:type="dxa"/>
              <w:bottom w:w="100" w:type="dxa"/>
              <w:right w:w="100" w:type="dxa"/>
            </w:tcMar>
          </w:tcPr>
          <w:p w14:paraId="61DA9C10"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Страхуется на сумму стоимости производства для изготовления новой партии продукции</w:t>
            </w:r>
          </w:p>
        </w:tc>
      </w:tr>
      <w:tr w:rsidR="00877DE5" w:rsidRPr="009472DE" w14:paraId="18537FDE" w14:textId="77777777" w:rsidTr="001F45AE">
        <w:tc>
          <w:tcPr>
            <w:tcW w:w="4514" w:type="dxa"/>
            <w:shd w:val="clear" w:color="auto" w:fill="auto"/>
            <w:tcMar>
              <w:top w:w="100" w:type="dxa"/>
              <w:left w:w="100" w:type="dxa"/>
              <w:bottom w:w="100" w:type="dxa"/>
              <w:right w:w="100" w:type="dxa"/>
            </w:tcMar>
          </w:tcPr>
          <w:p w14:paraId="559757C4"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Сельскохозяйственная продукция собственного производства</w:t>
            </w:r>
          </w:p>
        </w:tc>
        <w:tc>
          <w:tcPr>
            <w:tcW w:w="5115" w:type="dxa"/>
            <w:shd w:val="clear" w:color="auto" w:fill="auto"/>
            <w:tcMar>
              <w:top w:w="100" w:type="dxa"/>
              <w:left w:w="100" w:type="dxa"/>
              <w:bottom w:w="100" w:type="dxa"/>
              <w:right w:w="100" w:type="dxa"/>
            </w:tcMar>
          </w:tcPr>
          <w:p w14:paraId="2A0EE427"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Объект страхуется исходя из его действительной рыночной стоимости, однако сумма выплаты ограничена уровнем государственных закупочных цен</w:t>
            </w:r>
          </w:p>
        </w:tc>
      </w:tr>
      <w:tr w:rsidR="00877DE5" w:rsidRPr="009472DE" w14:paraId="0DB4B904" w14:textId="77777777" w:rsidTr="001F45AE">
        <w:tc>
          <w:tcPr>
            <w:tcW w:w="4514" w:type="dxa"/>
            <w:shd w:val="clear" w:color="auto" w:fill="auto"/>
            <w:tcMar>
              <w:top w:w="100" w:type="dxa"/>
              <w:left w:w="100" w:type="dxa"/>
              <w:bottom w:w="100" w:type="dxa"/>
              <w:right w:w="100" w:type="dxa"/>
            </w:tcMar>
          </w:tcPr>
          <w:p w14:paraId="565D1701"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Заготовки</w:t>
            </w:r>
          </w:p>
        </w:tc>
        <w:tc>
          <w:tcPr>
            <w:tcW w:w="5115" w:type="dxa"/>
            <w:shd w:val="clear" w:color="auto" w:fill="auto"/>
            <w:tcMar>
              <w:top w:w="100" w:type="dxa"/>
              <w:left w:w="100" w:type="dxa"/>
              <w:bottom w:w="100" w:type="dxa"/>
              <w:right w:w="100" w:type="dxa"/>
            </w:tcMar>
          </w:tcPr>
          <w:p w14:paraId="4C485369"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Сумма закупочной стоимости</w:t>
            </w:r>
          </w:p>
        </w:tc>
      </w:tr>
      <w:tr w:rsidR="00877DE5" w:rsidRPr="009472DE" w14:paraId="334131C7" w14:textId="77777777" w:rsidTr="001F45AE">
        <w:tc>
          <w:tcPr>
            <w:tcW w:w="4514" w:type="dxa"/>
            <w:shd w:val="clear" w:color="auto" w:fill="auto"/>
            <w:tcMar>
              <w:top w:w="100" w:type="dxa"/>
              <w:left w:w="100" w:type="dxa"/>
              <w:bottom w:w="100" w:type="dxa"/>
              <w:right w:w="100" w:type="dxa"/>
            </w:tcMar>
          </w:tcPr>
          <w:p w14:paraId="692A8812"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Объекты незавершенного строительства</w:t>
            </w:r>
          </w:p>
        </w:tc>
        <w:tc>
          <w:tcPr>
            <w:tcW w:w="5115" w:type="dxa"/>
            <w:shd w:val="clear" w:color="auto" w:fill="auto"/>
            <w:tcMar>
              <w:top w:w="100" w:type="dxa"/>
              <w:left w:w="100" w:type="dxa"/>
              <w:bottom w:w="100" w:type="dxa"/>
              <w:right w:w="100" w:type="dxa"/>
            </w:tcMar>
          </w:tcPr>
          <w:p w14:paraId="1FB30E88"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Объект страхуется на сумму реальных расходов, фактически понесённых на момент наступления страхового события, с учётом действующих норм и специфики рисков</w:t>
            </w:r>
          </w:p>
        </w:tc>
      </w:tr>
      <w:tr w:rsidR="00877DE5" w:rsidRPr="009472DE" w14:paraId="5FA674AB" w14:textId="77777777" w:rsidTr="001F45AE">
        <w:tc>
          <w:tcPr>
            <w:tcW w:w="4514" w:type="dxa"/>
            <w:shd w:val="clear" w:color="auto" w:fill="auto"/>
            <w:tcMar>
              <w:top w:w="100" w:type="dxa"/>
              <w:left w:w="100" w:type="dxa"/>
              <w:bottom w:w="100" w:type="dxa"/>
              <w:right w:w="100" w:type="dxa"/>
            </w:tcMar>
          </w:tcPr>
          <w:p w14:paraId="671F65E0"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Продукция в процессе производства</w:t>
            </w:r>
          </w:p>
        </w:tc>
        <w:tc>
          <w:tcPr>
            <w:tcW w:w="5115" w:type="dxa"/>
            <w:shd w:val="clear" w:color="auto" w:fill="auto"/>
            <w:tcMar>
              <w:top w:w="100" w:type="dxa"/>
              <w:left w:w="100" w:type="dxa"/>
              <w:bottom w:w="100" w:type="dxa"/>
              <w:right w:w="100" w:type="dxa"/>
            </w:tcMar>
          </w:tcPr>
          <w:p w14:paraId="3A942043" w14:textId="77777777" w:rsidR="00877DE5" w:rsidRPr="009472DE" w:rsidRDefault="00877DE5" w:rsidP="006B48B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472DE">
              <w:rPr>
                <w:rFonts w:ascii="Times New Roman" w:eastAsia="Times New Roman" w:hAnsi="Times New Roman" w:cs="Times New Roman"/>
                <w:sz w:val="24"/>
                <w:szCs w:val="24"/>
              </w:rPr>
              <w:t>Страхуется на сумму издержек, связанных с приобретением сырья, материалов и оплатой труда до момента наступления страхового случая</w:t>
            </w:r>
          </w:p>
        </w:tc>
      </w:tr>
    </w:tbl>
    <w:p w14:paraId="0FD6A528" w14:textId="77777777" w:rsidR="00877DE5" w:rsidRPr="009472DE" w:rsidRDefault="00877DE5" w:rsidP="006B48B7">
      <w:pPr>
        <w:spacing w:after="0" w:line="240" w:lineRule="auto"/>
        <w:jc w:val="both"/>
        <w:rPr>
          <w:rFonts w:ascii="Times New Roman" w:eastAsia="Times New Roman" w:hAnsi="Times New Roman" w:cs="Times New Roman"/>
          <w:sz w:val="32"/>
          <w:szCs w:val="32"/>
        </w:rPr>
      </w:pPr>
    </w:p>
    <w:p w14:paraId="388AABA0" w14:textId="77777777" w:rsidR="00877DE5" w:rsidRPr="009472DE" w:rsidRDefault="00877DE5" w:rsidP="006B48B7">
      <w:pPr>
        <w:spacing w:after="0" w:line="240" w:lineRule="auto"/>
        <w:ind w:firstLine="708"/>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В Российской Федерации существует два вида агрострахования: </w:t>
      </w:r>
      <w:r w:rsidR="006B48B7">
        <w:rPr>
          <w:rFonts w:ascii="Times New Roman" w:eastAsia="Times New Roman" w:hAnsi="Times New Roman" w:cs="Times New Roman"/>
          <w:sz w:val="32"/>
          <w:szCs w:val="32"/>
          <w:highlight w:val="white"/>
        </w:rPr>
        <w:t xml:space="preserve">мультириск и страхование от ЧС </w:t>
      </w:r>
      <w:r w:rsidRPr="009472DE">
        <w:rPr>
          <w:rFonts w:ascii="Times New Roman" w:eastAsia="Times New Roman" w:hAnsi="Times New Roman" w:cs="Times New Roman"/>
          <w:sz w:val="32"/>
          <w:szCs w:val="32"/>
          <w:highlight w:val="white"/>
        </w:rPr>
        <w:t>[3]</w:t>
      </w:r>
      <w:r w:rsidR="006B48B7">
        <w:rPr>
          <w:rFonts w:ascii="Times New Roman" w:eastAsia="Times New Roman" w:hAnsi="Times New Roman" w:cs="Times New Roman"/>
          <w:sz w:val="32"/>
          <w:szCs w:val="32"/>
          <w:highlight w:val="white"/>
        </w:rPr>
        <w:t>.</w:t>
      </w:r>
    </w:p>
    <w:p w14:paraId="3AE6E687"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Программа мультирискового страхования предусматривает выплату компенсаций фермерам и сельскохозяйственным предприятиям, обеспечивающим защиту растений от различных природных бедствий — засухи, пожаров, градобития, сильных дождей, оползней, землетрясений и прочих стихийных бедствий. Выплата по страховке производится тогда, когда фактический сбор урожая оказывается ниже планируемого вследствие указанных негативных воздействий природы.</w:t>
      </w:r>
    </w:p>
    <w:p w14:paraId="472694DF"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 xml:space="preserve">Что касается страхования от чрезвычайных ситуаций (ЧС), то этот вид страхования гарантирует возмещение ущерба, понесенного производителями в результате официально признанных властями </w:t>
      </w:r>
      <w:r w:rsidRPr="009472DE">
        <w:rPr>
          <w:rFonts w:ascii="Times New Roman" w:eastAsia="Times New Roman" w:hAnsi="Times New Roman" w:cs="Times New Roman"/>
          <w:sz w:val="32"/>
          <w:szCs w:val="32"/>
        </w:rPr>
        <w:lastRenderedPageBreak/>
        <w:t>федерального или регионального уровней обстоятельств форс-мажора. Под страховым событием здесь понимается полная или частичная утрата урожая вследствие наступления обозначенной катастрофы.</w:t>
      </w:r>
    </w:p>
    <w:p w14:paraId="2E2A01F5"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Таким образом, </w:t>
      </w:r>
      <w:r w:rsidRPr="009472DE">
        <w:rPr>
          <w:rFonts w:ascii="Times New Roman" w:eastAsia="Times New Roman" w:hAnsi="Times New Roman" w:cs="Times New Roman"/>
          <w:sz w:val="32"/>
          <w:szCs w:val="32"/>
        </w:rPr>
        <w:t>оба вида страховых программ позволяют сельхозтоваропроизводителям минимизировать риски потери урожая, вызванной внешними факторами, способствуя повышению уверенности в стабильном развитии бизнеса даже в условиях климатических угроз и природных катастроф.</w:t>
      </w:r>
    </w:p>
    <w:p w14:paraId="1C99F0C5" w14:textId="7FE7F522"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Рассмотрим, как изменялось количество застрахованных сельскохозяйственных площадей за последние 5 лет в РФ (Рисунок 1)</w:t>
      </w:r>
      <w:r w:rsidR="001F45AE">
        <w:rPr>
          <w:rFonts w:ascii="Times New Roman" w:eastAsia="Times New Roman" w:hAnsi="Times New Roman" w:cs="Times New Roman"/>
          <w:sz w:val="32"/>
          <w:szCs w:val="32"/>
          <w:highlight w:val="white"/>
        </w:rPr>
        <w:t>.</w:t>
      </w:r>
    </w:p>
    <w:p w14:paraId="58B66418" w14:textId="77777777" w:rsidR="00877DE5" w:rsidRPr="009472DE" w:rsidRDefault="00877DE5" w:rsidP="00067100">
      <w:pPr>
        <w:spacing w:after="0" w:line="240" w:lineRule="auto"/>
        <w:ind w:firstLine="709"/>
        <w:jc w:val="both"/>
        <w:rPr>
          <w:rFonts w:ascii="Times New Roman" w:eastAsia="Roboto" w:hAnsi="Times New Roman" w:cs="Times New Roman"/>
          <w:sz w:val="21"/>
          <w:szCs w:val="21"/>
          <w:highlight w:val="white"/>
        </w:rPr>
      </w:pPr>
      <w:r w:rsidRPr="009472DE">
        <w:rPr>
          <w:rFonts w:ascii="Times New Roman" w:eastAsia="Roboto" w:hAnsi="Times New Roman" w:cs="Times New Roman"/>
          <w:noProof/>
          <w:sz w:val="21"/>
          <w:szCs w:val="21"/>
          <w:highlight w:val="white"/>
          <w:lang w:eastAsia="ru-RU"/>
        </w:rPr>
        <w:drawing>
          <wp:inline distT="114300" distB="114300" distL="114300" distR="114300" wp14:anchorId="15DA663A" wp14:editId="76906C53">
            <wp:extent cx="5731200" cy="3352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5731200" cy="3352800"/>
                    </a:xfrm>
                    <a:prstGeom prst="rect">
                      <a:avLst/>
                    </a:prstGeom>
                    <a:ln/>
                  </pic:spPr>
                </pic:pic>
              </a:graphicData>
            </a:graphic>
          </wp:inline>
        </w:drawing>
      </w:r>
    </w:p>
    <w:p w14:paraId="682AE534" w14:textId="77777777" w:rsidR="00877DE5" w:rsidRPr="009472DE" w:rsidRDefault="00877DE5" w:rsidP="00067100">
      <w:pPr>
        <w:spacing w:after="0" w:line="240" w:lineRule="auto"/>
        <w:ind w:firstLine="709"/>
        <w:jc w:val="center"/>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Рисунок 1 - Динамика застрахованных сельскохозяйственных площадей в РФ в период с 2020-2024 год</w:t>
      </w:r>
    </w:p>
    <w:p w14:paraId="50A7D8BA" w14:textId="77777777" w:rsidR="00877DE5" w:rsidRPr="009472DE" w:rsidRDefault="00877DE5" w:rsidP="00067100">
      <w:pPr>
        <w:spacing w:after="0" w:line="240" w:lineRule="auto"/>
        <w:ind w:firstLine="709"/>
        <w:jc w:val="center"/>
        <w:rPr>
          <w:rFonts w:ascii="Times New Roman" w:eastAsia="Times New Roman" w:hAnsi="Times New Roman" w:cs="Times New Roman"/>
          <w:sz w:val="32"/>
          <w:szCs w:val="32"/>
          <w:highlight w:val="white"/>
        </w:rPr>
      </w:pPr>
    </w:p>
    <w:p w14:paraId="5232336E" w14:textId="174559EC"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Проанализировав график, можно отметить стабильный и непрерывный положительный рост застрахованных площадей с 5,7 </w:t>
      </w:r>
      <w:proofErr w:type="gramStart"/>
      <w:r w:rsidRPr="009472DE">
        <w:rPr>
          <w:rFonts w:ascii="Times New Roman" w:eastAsia="Times New Roman" w:hAnsi="Times New Roman" w:cs="Times New Roman"/>
          <w:sz w:val="32"/>
          <w:szCs w:val="32"/>
          <w:highlight w:val="white"/>
        </w:rPr>
        <w:t>млн.га</w:t>
      </w:r>
      <w:proofErr w:type="gramEnd"/>
      <w:r w:rsidRPr="009472DE">
        <w:rPr>
          <w:rFonts w:ascii="Times New Roman" w:eastAsia="Times New Roman" w:hAnsi="Times New Roman" w:cs="Times New Roman"/>
          <w:sz w:val="32"/>
          <w:szCs w:val="32"/>
          <w:highlight w:val="white"/>
        </w:rPr>
        <w:t xml:space="preserve"> в 2020 году до 14,0 млн.га в 2024 году, что составляет 245%. Это свидетельствует об увеличении заинтересованности сельскохозпроизводителей и фермеров к страхованию посевных площадей и защите их от рисков. Прогнозируется дальнейшее увеличение количества страхований земельных угодий в РФ, связанное с усиленной государственной поддержкой и ростом инвестиций в сельское хозяйство. Постоянная тенденция увеличения посевных площадей указывает на позитивное развитие страхового рынка сельскохозяйственной отрасли в России [5]</w:t>
      </w:r>
      <w:r w:rsidR="001F45AE">
        <w:rPr>
          <w:rFonts w:ascii="Times New Roman" w:eastAsia="Times New Roman" w:hAnsi="Times New Roman" w:cs="Times New Roman"/>
          <w:sz w:val="32"/>
          <w:szCs w:val="32"/>
          <w:highlight w:val="white"/>
        </w:rPr>
        <w:t>.</w:t>
      </w:r>
    </w:p>
    <w:p w14:paraId="6AEBF753" w14:textId="7CB7A89B"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lastRenderedPageBreak/>
        <w:t>Количество агростраховых выплат в разных регионах РФ значительно отличается. Причиной тому могут быть как различия в климатических условиях и структуре земледелия, так и в уровне готовности сельхозпроизводителей к использованию механизмов защиты от рисков, их страховой грамотности и степени активности поддержки государства. Представим обзор регионов РФ с самыми крупными агростраховыми выплатами в РФ за 2024 год (Рисунок 2)</w:t>
      </w:r>
      <w:r w:rsidR="001F45AE">
        <w:rPr>
          <w:rFonts w:ascii="Times New Roman" w:eastAsia="Times New Roman" w:hAnsi="Times New Roman" w:cs="Times New Roman"/>
          <w:sz w:val="32"/>
          <w:szCs w:val="32"/>
          <w:highlight w:val="white"/>
        </w:rPr>
        <w:t>.</w:t>
      </w:r>
    </w:p>
    <w:p w14:paraId="797C085C" w14:textId="77777777" w:rsidR="00877DE5" w:rsidRPr="009472DE" w:rsidRDefault="00877DE5" w:rsidP="006B48B7">
      <w:pPr>
        <w:spacing w:after="0" w:line="240" w:lineRule="auto"/>
        <w:jc w:val="center"/>
        <w:rPr>
          <w:rFonts w:ascii="Times New Roman" w:eastAsia="Times New Roman" w:hAnsi="Times New Roman" w:cs="Times New Roman"/>
          <w:sz w:val="32"/>
          <w:szCs w:val="32"/>
          <w:highlight w:val="white"/>
        </w:rPr>
      </w:pPr>
      <w:r w:rsidRPr="009472DE">
        <w:rPr>
          <w:rFonts w:ascii="Times New Roman" w:eastAsia="Times New Roman" w:hAnsi="Times New Roman" w:cs="Times New Roman"/>
          <w:noProof/>
          <w:sz w:val="32"/>
          <w:szCs w:val="32"/>
          <w:highlight w:val="white"/>
          <w:lang w:eastAsia="ru-RU"/>
        </w:rPr>
        <w:drawing>
          <wp:inline distT="114300" distB="114300" distL="114300" distR="114300" wp14:anchorId="1D98A145" wp14:editId="036F83F3">
            <wp:extent cx="5731200" cy="33401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731200" cy="3340100"/>
                    </a:xfrm>
                    <a:prstGeom prst="rect">
                      <a:avLst/>
                    </a:prstGeom>
                    <a:ln/>
                  </pic:spPr>
                </pic:pic>
              </a:graphicData>
            </a:graphic>
          </wp:inline>
        </w:drawing>
      </w:r>
    </w:p>
    <w:p w14:paraId="344E3FAF" w14:textId="77777777" w:rsidR="001F45AE" w:rsidRDefault="00877DE5" w:rsidP="006B48B7">
      <w:pPr>
        <w:spacing w:after="0" w:line="240" w:lineRule="auto"/>
        <w:jc w:val="center"/>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Рисунок 2 - Регионы-лидеры по агростраховым выплатам в РФ </w:t>
      </w:r>
    </w:p>
    <w:p w14:paraId="2659B021" w14:textId="2CCC4A61" w:rsidR="00877DE5" w:rsidRPr="009472DE" w:rsidRDefault="00877DE5" w:rsidP="006B48B7">
      <w:pPr>
        <w:spacing w:after="0" w:line="240" w:lineRule="auto"/>
        <w:jc w:val="center"/>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в 2024 году</w:t>
      </w:r>
    </w:p>
    <w:p w14:paraId="59C69B75"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p>
    <w:p w14:paraId="3346BD8F" w14:textId="1A66C574" w:rsidR="00877DE5" w:rsidRPr="009472D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Исходя из рисунка 2, можно сделать вывод, что страхование сельского хозяйства в России отличается значительной активностью, отмечается высокий объем агростраховых выплат в Краснодарском крае в размере 1 млрд 265 млн руб. В тройке лидеров также находятся Ставропольский край с размером выплат 972 млн. руб., и Волгоградская область с размером страховых выплат 741 млн руб. Именно эти регионы в большей степени демонстрируют значимость агрострахования и его безопасность. Значительные суммы страховых возмещений, полученные сельхозпроизводителями и фермерами регионов, это результат высокого уровня проникновения агрострахования на их территорию, реальной потребности аграриев в защите урожая от рисков после понесенных ранее финансовых потерь и слаженной работы системы функционирования страховых инструментов [4]</w:t>
      </w:r>
      <w:r w:rsidR="001F45AE">
        <w:rPr>
          <w:rFonts w:ascii="Times New Roman" w:eastAsia="Times New Roman" w:hAnsi="Times New Roman" w:cs="Times New Roman"/>
          <w:sz w:val="32"/>
          <w:szCs w:val="32"/>
          <w:highlight w:val="white"/>
        </w:rPr>
        <w:t>.</w:t>
      </w:r>
    </w:p>
    <w:p w14:paraId="3BE2D990" w14:textId="77777777" w:rsidR="00877DE5" w:rsidRPr="006B48B7" w:rsidRDefault="00877DE5" w:rsidP="001F45AE">
      <w:pPr>
        <w:tabs>
          <w:tab w:val="left" w:pos="993"/>
        </w:tabs>
        <w:spacing w:after="0" w:line="240" w:lineRule="auto"/>
        <w:ind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lastRenderedPageBreak/>
        <w:t>Существуют следующие рекомендации по внедрению и развитию агрострахования в сельскохозяйственную отрасль:</w:t>
      </w:r>
    </w:p>
    <w:p w14:paraId="08C12F26"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t xml:space="preserve">Выделить риски, которые связаны с некоторым видом деятельности, оценить их, понять, какое влияние они могли бы оказать на предприятие. </w:t>
      </w:r>
    </w:p>
    <w:p w14:paraId="763A835E"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t>Выбрать программу страхования, которая смогла бы покрыть имеющийся финансовый капитал.</w:t>
      </w:r>
    </w:p>
    <w:p w14:paraId="3DCEA0B0"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t>Выбрать надежную страховую с хорошей репутацией и гибкими тарифами и условиями.</w:t>
      </w:r>
    </w:p>
    <w:p w14:paraId="3AF75D60"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t>Изучить все условия страхового полиса и понять, при каких чрезвычайных ситуациях будет сделана страховая выплата.</w:t>
      </w:r>
    </w:p>
    <w:p w14:paraId="3EC5F2C2"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highlight w:val="white"/>
        </w:rPr>
        <w:t>Внедрять в производство новые агротехнические методы для снижения рисков.</w:t>
      </w:r>
    </w:p>
    <w:p w14:paraId="4AFECFDF" w14:textId="77777777" w:rsidR="00877DE5" w:rsidRPr="006B48B7" w:rsidRDefault="00877DE5" w:rsidP="00AD58CD">
      <w:pPr>
        <w:pStyle w:val="a8"/>
        <w:numPr>
          <w:ilvl w:val="0"/>
          <w:numId w:val="81"/>
        </w:numPr>
        <w:tabs>
          <w:tab w:val="left" w:pos="993"/>
        </w:tabs>
        <w:spacing w:after="0" w:line="240" w:lineRule="auto"/>
        <w:ind w:left="0" w:firstLine="709"/>
        <w:jc w:val="both"/>
        <w:rPr>
          <w:rFonts w:ascii="Times New Roman" w:eastAsia="Times New Roman" w:hAnsi="Times New Roman" w:cs="Times New Roman"/>
          <w:sz w:val="32"/>
          <w:szCs w:val="32"/>
          <w:highlight w:val="white"/>
        </w:rPr>
      </w:pPr>
      <w:r w:rsidRPr="006B48B7">
        <w:rPr>
          <w:rFonts w:ascii="Times New Roman" w:eastAsia="Times New Roman" w:hAnsi="Times New Roman" w:cs="Times New Roman"/>
          <w:sz w:val="32"/>
          <w:szCs w:val="32"/>
        </w:rPr>
        <w:t>Создать алгоритм действий на случай возникновения страхового события, позволяющий оперативно возобновить производственный процесс</w:t>
      </w:r>
      <w:r w:rsidRPr="006B48B7">
        <w:rPr>
          <w:rFonts w:ascii="Times New Roman" w:eastAsia="Times New Roman" w:hAnsi="Times New Roman" w:cs="Times New Roman"/>
          <w:sz w:val="32"/>
          <w:szCs w:val="32"/>
          <w:highlight w:val="white"/>
        </w:rPr>
        <w:t>.</w:t>
      </w:r>
    </w:p>
    <w:p w14:paraId="2C797E39" w14:textId="77777777" w:rsidR="00877DE5" w:rsidRPr="009472DE" w:rsidRDefault="00877DE5" w:rsidP="001F45AE">
      <w:pPr>
        <w:tabs>
          <w:tab w:val="left" w:pos="993"/>
        </w:tabs>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Таким образом, сельскохозяйственное производство – это отрасль, связанная с высоким уровнем риска, </w:t>
      </w:r>
      <w:r w:rsidR="006B48B7" w:rsidRPr="009472DE">
        <w:rPr>
          <w:rFonts w:ascii="Times New Roman" w:eastAsia="Times New Roman" w:hAnsi="Times New Roman" w:cs="Times New Roman"/>
          <w:sz w:val="32"/>
          <w:szCs w:val="32"/>
          <w:highlight w:val="white"/>
        </w:rPr>
        <w:t>а, следовательно</w:t>
      </w:r>
      <w:r w:rsidRPr="009472DE">
        <w:rPr>
          <w:rFonts w:ascii="Times New Roman" w:eastAsia="Times New Roman" w:hAnsi="Times New Roman" w:cs="Times New Roman"/>
          <w:sz w:val="32"/>
          <w:szCs w:val="32"/>
          <w:highlight w:val="white"/>
        </w:rPr>
        <w:t xml:space="preserve">, с большим количеством потерь и снижением финансовой устойчивости. Страхование сельскохозяйственных культур играет важную роль в обеспечении стабильности развития аграрной отрасли, однако в нашей стране необходимо развивать и совершенствовать систему агро-хозяйствования. Это можно сделать, применив следующие меры: расширять сельскохозяйственные риски, </w:t>
      </w:r>
      <w:r w:rsidRPr="009472DE">
        <w:rPr>
          <w:rFonts w:ascii="Times New Roman" w:eastAsia="Times New Roman" w:hAnsi="Times New Roman" w:cs="Times New Roman"/>
          <w:sz w:val="32"/>
          <w:szCs w:val="32"/>
        </w:rPr>
        <w:t>обновлять максимальные значения отдельных страховых тарифов, осуществлять надзор за расчетами размеров страховых выплат, а также повысить прозрачность экспертиз, проводимых при возникновении страховых случаев</w:t>
      </w:r>
      <w:r w:rsidRPr="009472DE">
        <w:rPr>
          <w:rFonts w:ascii="Times New Roman" w:eastAsia="Times New Roman" w:hAnsi="Times New Roman" w:cs="Times New Roman"/>
          <w:sz w:val="32"/>
          <w:szCs w:val="32"/>
          <w:highlight w:val="white"/>
        </w:rPr>
        <w:t xml:space="preserve">. </w:t>
      </w:r>
    </w:p>
    <w:p w14:paraId="3FB995AE" w14:textId="77777777" w:rsidR="001F45A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Для успешной интеграции агрострахования в практику ведения сельского хозяйства необходимо, во-первых, провести детальную оценку своих рисков, учитывая особенности региона, вида сельхозкультуры и климатических условий. </w:t>
      </w:r>
    </w:p>
    <w:p w14:paraId="777F2A3A" w14:textId="77777777" w:rsidR="001F45AE"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Во-вторых, изучить программы различных страховых компаний и выбрать ту, которая надежно и безопасно сможет защитить фермера от возможных рисков. </w:t>
      </w:r>
    </w:p>
    <w:p w14:paraId="4BEC0CE0" w14:textId="6483E269" w:rsidR="00877DE5" w:rsidRDefault="00877DE5" w:rsidP="00067100">
      <w:pPr>
        <w:spacing w:after="0" w:line="240" w:lineRule="auto"/>
        <w:ind w:firstLine="709"/>
        <w:jc w:val="both"/>
        <w:rPr>
          <w:rFonts w:ascii="Times New Roman" w:eastAsia="Times New Roman" w:hAnsi="Times New Roman" w:cs="Times New Roman"/>
          <w:sz w:val="32"/>
          <w:szCs w:val="32"/>
          <w:highlight w:val="white"/>
        </w:rPr>
      </w:pPr>
      <w:r w:rsidRPr="009472DE">
        <w:rPr>
          <w:rFonts w:ascii="Times New Roman" w:eastAsia="Times New Roman" w:hAnsi="Times New Roman" w:cs="Times New Roman"/>
          <w:sz w:val="32"/>
          <w:szCs w:val="32"/>
          <w:highlight w:val="white"/>
        </w:rPr>
        <w:t xml:space="preserve">В-третьих, повышать свою заинтересованность и осведомленность в области агрострахования, а также обеспечить оптимизированное страхование во избежание убытков. Правильно организованное агрострахование обеспечит финансовую защиту </w:t>
      </w:r>
      <w:r w:rsidRPr="009472DE">
        <w:rPr>
          <w:rFonts w:ascii="Times New Roman" w:eastAsia="Times New Roman" w:hAnsi="Times New Roman" w:cs="Times New Roman"/>
          <w:sz w:val="32"/>
          <w:szCs w:val="32"/>
          <w:highlight w:val="white"/>
        </w:rPr>
        <w:lastRenderedPageBreak/>
        <w:t>сельхозпроизводителя, снизит влияние внешних факторов риска и в целом повысит устойчивость сельскохозяйственной отрасли страны.</w:t>
      </w:r>
    </w:p>
    <w:p w14:paraId="3291D35A" w14:textId="77777777" w:rsidR="001F45AE" w:rsidRPr="009472DE" w:rsidRDefault="001F45AE" w:rsidP="00067100">
      <w:pPr>
        <w:spacing w:after="0" w:line="240" w:lineRule="auto"/>
        <w:ind w:firstLine="709"/>
        <w:jc w:val="both"/>
        <w:rPr>
          <w:rFonts w:ascii="Times New Roman" w:eastAsia="Times New Roman" w:hAnsi="Times New Roman" w:cs="Times New Roman"/>
          <w:sz w:val="32"/>
          <w:szCs w:val="32"/>
          <w:highlight w:val="white"/>
        </w:rPr>
      </w:pPr>
    </w:p>
    <w:p w14:paraId="33338418" w14:textId="77777777" w:rsidR="00877DE5" w:rsidRPr="009472DE" w:rsidRDefault="00877DE5" w:rsidP="00067100">
      <w:pPr>
        <w:spacing w:after="0" w:line="240" w:lineRule="auto"/>
        <w:ind w:firstLine="709"/>
        <w:jc w:val="center"/>
        <w:rPr>
          <w:rFonts w:ascii="Times New Roman" w:eastAsia="Times New Roman" w:hAnsi="Times New Roman" w:cs="Times New Roman"/>
          <w:b/>
          <w:sz w:val="21"/>
          <w:szCs w:val="21"/>
          <w:highlight w:val="white"/>
        </w:rPr>
      </w:pPr>
      <w:r>
        <w:rPr>
          <w:rFonts w:ascii="Times New Roman" w:eastAsia="Times New Roman" w:hAnsi="Times New Roman" w:cs="Times New Roman"/>
          <w:b/>
          <w:sz w:val="21"/>
          <w:szCs w:val="21"/>
          <w:highlight w:val="white"/>
        </w:rPr>
        <w:t>Литература:</w:t>
      </w:r>
    </w:p>
    <w:p w14:paraId="5A5F600A" w14:textId="692636BB" w:rsidR="00877DE5" w:rsidRDefault="00877DE5" w:rsidP="00AD58CD">
      <w:pPr>
        <w:pStyle w:val="afc"/>
        <w:numPr>
          <w:ilvl w:val="0"/>
          <w:numId w:val="11"/>
        </w:numPr>
        <w:tabs>
          <w:tab w:val="left" w:pos="0"/>
          <w:tab w:val="left" w:pos="284"/>
        </w:tabs>
        <w:ind w:left="0" w:firstLine="0"/>
        <w:rPr>
          <w:rFonts w:eastAsia="Times New Roman" w:cs="Times New Roman"/>
          <w:lang w:val="x-none"/>
        </w:rPr>
      </w:pPr>
      <w:r w:rsidRPr="00C5119B">
        <w:rPr>
          <w:rFonts w:eastAsia="Times New Roman" w:cs="Times New Roman"/>
          <w:lang w:val="x-none"/>
        </w:rPr>
        <w:t xml:space="preserve">Федеральный закон </w:t>
      </w:r>
      <w:r w:rsidR="001F45AE">
        <w:rPr>
          <w:rFonts w:eastAsia="Times New Roman" w:cs="Times New Roman"/>
          <w:lang w:val="ru-RU"/>
        </w:rPr>
        <w:t>«</w:t>
      </w:r>
      <w:r w:rsidRPr="00C5119B">
        <w:rPr>
          <w:rFonts w:eastAsia="Times New Roman" w:cs="Times New Roman"/>
          <w:lang w:val="x-none"/>
        </w:rPr>
        <w:t xml:space="preserve">О государственной поддержке в сфере сельскохозяйственного страхования и о внесении изменений в Федеральный закон </w:t>
      </w:r>
      <w:r w:rsidR="001F45AE">
        <w:rPr>
          <w:rFonts w:eastAsia="Times New Roman" w:cs="Times New Roman"/>
          <w:lang w:val="ru-RU"/>
        </w:rPr>
        <w:t>«</w:t>
      </w:r>
      <w:r w:rsidRPr="00C5119B">
        <w:rPr>
          <w:rFonts w:eastAsia="Times New Roman" w:cs="Times New Roman"/>
          <w:lang w:val="x-none"/>
        </w:rPr>
        <w:t>О развитии сельского хозяйства</w:t>
      </w:r>
      <w:r w:rsidR="001F45AE">
        <w:rPr>
          <w:rFonts w:eastAsia="Times New Roman" w:cs="Times New Roman"/>
          <w:lang w:val="ru-RU"/>
        </w:rPr>
        <w:t>»»</w:t>
      </w:r>
      <w:r w:rsidRPr="00C5119B">
        <w:rPr>
          <w:rFonts w:eastAsia="Times New Roman" w:cs="Times New Roman"/>
          <w:lang w:val="x-none"/>
        </w:rPr>
        <w:t xml:space="preserve"> от 25.07.2011</w:t>
      </w:r>
      <w:r>
        <w:rPr>
          <w:rFonts w:eastAsia="Times New Roman" w:cs="Times New Roman"/>
          <w:lang w:val="x-none"/>
        </w:rPr>
        <w:t xml:space="preserve"> N 260-ФЗ (последняя редакция).</w:t>
      </w:r>
    </w:p>
    <w:p w14:paraId="17F438E0" w14:textId="77777777" w:rsidR="00877DE5" w:rsidRDefault="00877DE5" w:rsidP="00AD58CD">
      <w:pPr>
        <w:pStyle w:val="afc"/>
        <w:numPr>
          <w:ilvl w:val="0"/>
          <w:numId w:val="11"/>
        </w:numPr>
        <w:tabs>
          <w:tab w:val="left" w:pos="0"/>
          <w:tab w:val="left" w:pos="284"/>
        </w:tabs>
        <w:ind w:left="0" w:firstLine="0"/>
        <w:rPr>
          <w:rFonts w:eastAsia="Times New Roman" w:cs="Times New Roman"/>
          <w:lang w:val="x-none"/>
        </w:rPr>
      </w:pPr>
      <w:r w:rsidRPr="00C5119B">
        <w:rPr>
          <w:rFonts w:eastAsia="Times New Roman" w:cs="Times New Roman"/>
          <w:lang w:val="x-none"/>
        </w:rPr>
        <w:t>Брылев, А. А. Конкурентоспособность и агрострахование: монография / А.А. Брылев, И.Н. Турч</w:t>
      </w:r>
      <w:r>
        <w:rPr>
          <w:rFonts w:eastAsia="Times New Roman" w:cs="Times New Roman"/>
          <w:lang w:val="x-none"/>
        </w:rPr>
        <w:t>аева. — Москва : ИНФРА-М, 2024.</w:t>
      </w:r>
    </w:p>
    <w:p w14:paraId="0F36A9AB" w14:textId="77777777" w:rsidR="00877DE5" w:rsidRDefault="00877DE5" w:rsidP="00AD58CD">
      <w:pPr>
        <w:pStyle w:val="afc"/>
        <w:numPr>
          <w:ilvl w:val="0"/>
          <w:numId w:val="11"/>
        </w:numPr>
        <w:tabs>
          <w:tab w:val="left" w:pos="0"/>
          <w:tab w:val="left" w:pos="284"/>
        </w:tabs>
        <w:ind w:left="0" w:firstLine="0"/>
        <w:rPr>
          <w:rFonts w:eastAsia="Times New Roman" w:cs="Times New Roman"/>
          <w:lang w:val="x-none"/>
        </w:rPr>
      </w:pPr>
      <w:r w:rsidRPr="00C5119B">
        <w:rPr>
          <w:rFonts w:eastAsia="Times New Roman" w:cs="Times New Roman"/>
          <w:lang w:val="x-none"/>
        </w:rPr>
        <w:t>Кириллова, Н. В. Развитие сельскохозяйственного страхования в Российской Федерации : монография / Н. В. Кириллова, А. А. Цыганов, Т. А. Белоусова ; под редакцией Н. В. Кирилловой, А. А. Цыганова. — Москва : Промет</w:t>
      </w:r>
      <w:r>
        <w:rPr>
          <w:rFonts w:eastAsia="Times New Roman" w:cs="Times New Roman"/>
          <w:lang w:val="x-none"/>
        </w:rPr>
        <w:t xml:space="preserve">ей, 2023. </w:t>
      </w:r>
    </w:p>
    <w:p w14:paraId="3F17B2C1" w14:textId="77777777" w:rsidR="00877DE5" w:rsidRDefault="00877DE5" w:rsidP="00AD58CD">
      <w:pPr>
        <w:pStyle w:val="afc"/>
        <w:numPr>
          <w:ilvl w:val="0"/>
          <w:numId w:val="11"/>
        </w:numPr>
        <w:tabs>
          <w:tab w:val="left" w:pos="0"/>
          <w:tab w:val="left" w:pos="284"/>
        </w:tabs>
        <w:ind w:left="0" w:firstLine="0"/>
        <w:rPr>
          <w:rFonts w:eastAsia="Times New Roman" w:cs="Times New Roman"/>
          <w:lang w:val="x-none"/>
        </w:rPr>
      </w:pPr>
      <w:r w:rsidRPr="00C5119B">
        <w:rPr>
          <w:rFonts w:eastAsia="Times New Roman" w:cs="Times New Roman"/>
          <w:lang w:val="x-none"/>
        </w:rPr>
        <w:t xml:space="preserve">Журнал о страховании “Современные страховые технологии” URL: </w:t>
      </w:r>
      <w:hyperlink r:id="rId30">
        <w:r w:rsidRPr="00C5119B">
          <w:rPr>
            <w:rFonts w:eastAsia="Times New Roman" w:cs="Times New Roman"/>
            <w:lang w:val="x-none"/>
          </w:rPr>
          <w:t>https://consult-cct.ru/</w:t>
        </w:r>
      </w:hyperlink>
    </w:p>
    <w:p w14:paraId="0B316158" w14:textId="77777777" w:rsidR="00877DE5" w:rsidRPr="00C5119B" w:rsidRDefault="00877DE5" w:rsidP="00AD58CD">
      <w:pPr>
        <w:pStyle w:val="afc"/>
        <w:numPr>
          <w:ilvl w:val="0"/>
          <w:numId w:val="11"/>
        </w:numPr>
        <w:tabs>
          <w:tab w:val="left" w:pos="0"/>
          <w:tab w:val="left" w:pos="284"/>
        </w:tabs>
        <w:ind w:left="0" w:firstLine="0"/>
        <w:rPr>
          <w:rFonts w:eastAsia="Times New Roman" w:cs="Times New Roman"/>
          <w:lang w:val="x-none"/>
        </w:rPr>
      </w:pPr>
      <w:r w:rsidRPr="00C5119B">
        <w:rPr>
          <w:rFonts w:eastAsia="Times New Roman" w:cs="Times New Roman"/>
          <w:lang w:val="x-none"/>
        </w:rPr>
        <w:t xml:space="preserve">Министерство сельского хозяйства Российской Федерации URL: </w:t>
      </w:r>
      <w:hyperlink r:id="rId31">
        <w:r w:rsidRPr="00C5119B">
          <w:rPr>
            <w:rFonts w:eastAsia="Times New Roman" w:cs="Times New Roman"/>
            <w:lang w:val="x-none"/>
          </w:rPr>
          <w:t>https://mcx.gov.ru/</w:t>
        </w:r>
      </w:hyperlink>
    </w:p>
    <w:p w14:paraId="00702E89" w14:textId="4033A794" w:rsidR="00877DE5" w:rsidRDefault="00877DE5" w:rsidP="00067100">
      <w:pPr>
        <w:spacing w:after="0" w:line="240" w:lineRule="auto"/>
        <w:ind w:firstLine="709"/>
        <w:jc w:val="right"/>
        <w:rPr>
          <w:rFonts w:ascii="Times New Roman" w:eastAsia="Times New Roman" w:hAnsi="Times New Roman" w:cs="Times New Roman"/>
          <w:sz w:val="32"/>
          <w:szCs w:val="32"/>
        </w:rPr>
      </w:pPr>
    </w:p>
    <w:p w14:paraId="18B0A652" w14:textId="77777777" w:rsidR="001F45AE" w:rsidRPr="009472DE" w:rsidRDefault="001F45AE" w:rsidP="00067100">
      <w:pPr>
        <w:spacing w:after="0" w:line="240" w:lineRule="auto"/>
        <w:ind w:firstLine="709"/>
        <w:jc w:val="right"/>
        <w:rPr>
          <w:rFonts w:ascii="Times New Roman" w:eastAsia="Times New Roman" w:hAnsi="Times New Roman" w:cs="Times New Roman"/>
          <w:sz w:val="32"/>
          <w:szCs w:val="32"/>
        </w:rPr>
      </w:pPr>
    </w:p>
    <w:p w14:paraId="6AB5EEC5" w14:textId="77777777" w:rsidR="00877DE5" w:rsidRPr="00AD1882" w:rsidRDefault="00877DE5" w:rsidP="00976728">
      <w:pPr>
        <w:spacing w:after="0" w:line="240" w:lineRule="auto"/>
        <w:rPr>
          <w:rFonts w:ascii="Times New Roman" w:hAnsi="Times New Roman" w:cs="Times New Roman"/>
        </w:rPr>
      </w:pPr>
      <w:r w:rsidRPr="00AD1882">
        <w:rPr>
          <w:rFonts w:ascii="Times New Roman" w:hAnsi="Times New Roman" w:cs="Times New Roman"/>
          <w:b/>
          <w:bCs/>
          <w:iCs/>
          <w:sz w:val="20"/>
          <w:szCs w:val="20"/>
        </w:rPr>
        <w:t>УДК 338.48</w:t>
      </w:r>
    </w:p>
    <w:p w14:paraId="6095F3D3" w14:textId="77777777" w:rsidR="00877DE5" w:rsidRPr="00960FFB" w:rsidRDefault="00877DE5" w:rsidP="00067100">
      <w:pPr>
        <w:spacing w:after="0" w:line="240" w:lineRule="auto"/>
        <w:ind w:firstLine="709"/>
        <w:jc w:val="right"/>
        <w:rPr>
          <w:rFonts w:ascii="Times New Roman" w:hAnsi="Times New Roman" w:cs="Times New Roman"/>
          <w:b/>
          <w:bCs/>
          <w:i/>
          <w:iCs/>
          <w:sz w:val="21"/>
          <w:szCs w:val="21"/>
        </w:rPr>
      </w:pPr>
      <w:r w:rsidRPr="00960FFB">
        <w:rPr>
          <w:rFonts w:ascii="Times New Roman" w:hAnsi="Times New Roman" w:cs="Times New Roman"/>
          <w:b/>
          <w:bCs/>
          <w:i/>
          <w:iCs/>
          <w:sz w:val="21"/>
          <w:szCs w:val="21"/>
        </w:rPr>
        <w:t>Берлина Д.С.,</w:t>
      </w:r>
    </w:p>
    <w:p w14:paraId="73B7DF68"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студент 1 курса</w:t>
      </w:r>
      <w:r w:rsidRPr="00960FFB">
        <w:rPr>
          <w:rFonts w:ascii="Times New Roman" w:hAnsi="Times New Roman" w:cs="Times New Roman"/>
          <w:b/>
          <w:bCs/>
          <w:i/>
          <w:iCs/>
          <w:sz w:val="21"/>
          <w:szCs w:val="21"/>
        </w:rPr>
        <w:t xml:space="preserve"> </w:t>
      </w:r>
    </w:p>
    <w:p w14:paraId="70029F5A"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Финансовый университет при Правительстве Российской Федерации</w:t>
      </w:r>
    </w:p>
    <w:p w14:paraId="2FA8223A"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г. Москва, Россия</w:t>
      </w:r>
    </w:p>
    <w:p w14:paraId="6035DF83"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 xml:space="preserve">e-mail: </w:t>
      </w:r>
      <w:hyperlink r:id="rId32">
        <w:r w:rsidRPr="00960FFB">
          <w:rPr>
            <w:rStyle w:val="aa"/>
            <w:rFonts w:ascii="Times New Roman" w:hAnsi="Times New Roman" w:cs="Times New Roman"/>
            <w:i/>
            <w:iCs/>
            <w:sz w:val="21"/>
            <w:szCs w:val="21"/>
          </w:rPr>
          <w:t>dianaberlina@bk.ru</w:t>
        </w:r>
      </w:hyperlink>
    </w:p>
    <w:p w14:paraId="0DCC99A2" w14:textId="77777777" w:rsidR="00877DE5" w:rsidRPr="00960FFB" w:rsidRDefault="00877DE5" w:rsidP="00067100">
      <w:pPr>
        <w:spacing w:after="0" w:line="240" w:lineRule="auto"/>
        <w:ind w:left="1117" w:firstLine="709"/>
        <w:jc w:val="right"/>
        <w:rPr>
          <w:rFonts w:ascii="Times New Roman" w:hAnsi="Times New Roman" w:cs="Times New Roman"/>
          <w:bCs/>
          <w:i/>
          <w:sz w:val="21"/>
          <w:szCs w:val="21"/>
        </w:rPr>
      </w:pPr>
    </w:p>
    <w:p w14:paraId="7D2E84AF"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b/>
          <w:bCs/>
          <w:i/>
          <w:iCs/>
          <w:sz w:val="21"/>
          <w:szCs w:val="21"/>
        </w:rPr>
        <w:t>Научный руководитель:</w:t>
      </w:r>
    </w:p>
    <w:p w14:paraId="7CA52D8C"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b/>
          <w:bCs/>
          <w:i/>
          <w:iCs/>
          <w:sz w:val="21"/>
          <w:szCs w:val="21"/>
        </w:rPr>
        <w:t xml:space="preserve">Соболев Э.В., </w:t>
      </w:r>
    </w:p>
    <w:p w14:paraId="67D15D5A"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доцент, к.э.н.</w:t>
      </w:r>
    </w:p>
    <w:p w14:paraId="65F72B85" w14:textId="77777777" w:rsidR="00877DE5" w:rsidRPr="00960FFB" w:rsidRDefault="00877DE5" w:rsidP="00067100">
      <w:pPr>
        <w:spacing w:after="0" w:line="240" w:lineRule="auto"/>
        <w:ind w:firstLine="709"/>
        <w:jc w:val="right"/>
        <w:rPr>
          <w:rFonts w:ascii="Times New Roman" w:hAnsi="Times New Roman" w:cs="Times New Roman"/>
          <w:i/>
          <w:iCs/>
          <w:sz w:val="21"/>
          <w:szCs w:val="21"/>
        </w:rPr>
      </w:pPr>
      <w:r w:rsidRPr="00960FFB">
        <w:rPr>
          <w:rFonts w:ascii="Times New Roman" w:hAnsi="Times New Roman" w:cs="Times New Roman"/>
          <w:i/>
          <w:iCs/>
          <w:sz w:val="21"/>
          <w:szCs w:val="21"/>
        </w:rPr>
        <w:t xml:space="preserve">Финансовый университет при Правительстве Российской Федерации, </w:t>
      </w:r>
    </w:p>
    <w:p w14:paraId="564D87C0" w14:textId="77777777" w:rsidR="00877DE5" w:rsidRPr="00960FFB" w:rsidRDefault="00877DE5" w:rsidP="00067100">
      <w:pPr>
        <w:spacing w:after="0" w:line="240" w:lineRule="auto"/>
        <w:ind w:firstLine="709"/>
        <w:jc w:val="right"/>
        <w:rPr>
          <w:rFonts w:ascii="Times New Roman" w:hAnsi="Times New Roman" w:cs="Times New Roman"/>
          <w:i/>
          <w:iCs/>
          <w:sz w:val="21"/>
          <w:szCs w:val="21"/>
        </w:rPr>
      </w:pPr>
      <w:r w:rsidRPr="00960FFB">
        <w:rPr>
          <w:rFonts w:ascii="Times New Roman" w:hAnsi="Times New Roman" w:cs="Times New Roman"/>
          <w:i/>
          <w:iCs/>
          <w:sz w:val="21"/>
          <w:szCs w:val="21"/>
        </w:rPr>
        <w:t>Краснодарский филиал</w:t>
      </w:r>
    </w:p>
    <w:p w14:paraId="775DA2F1" w14:textId="7777777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г. Краснодар, Россия</w:t>
      </w:r>
    </w:p>
    <w:p w14:paraId="5E4101B8" w14:textId="1DEB9117" w:rsidR="00877DE5" w:rsidRPr="00960FFB" w:rsidRDefault="00877DE5" w:rsidP="00067100">
      <w:pPr>
        <w:spacing w:after="0" w:line="240" w:lineRule="auto"/>
        <w:ind w:firstLine="709"/>
        <w:jc w:val="right"/>
        <w:rPr>
          <w:rFonts w:ascii="Times New Roman" w:hAnsi="Times New Roman" w:cs="Times New Roman"/>
        </w:rPr>
      </w:pPr>
      <w:r w:rsidRPr="00960FFB">
        <w:rPr>
          <w:rFonts w:ascii="Times New Roman" w:hAnsi="Times New Roman" w:cs="Times New Roman"/>
          <w:i/>
          <w:iCs/>
          <w:sz w:val="21"/>
          <w:szCs w:val="21"/>
        </w:rPr>
        <w:t>e-mail: EVSobolev@fa.ru</w:t>
      </w:r>
    </w:p>
    <w:p w14:paraId="7EEBC795" w14:textId="77777777" w:rsidR="00877DE5" w:rsidRPr="00960FFB" w:rsidRDefault="00877DE5" w:rsidP="00067100">
      <w:pPr>
        <w:spacing w:after="0" w:line="240" w:lineRule="auto"/>
        <w:ind w:left="1117" w:firstLine="709"/>
        <w:jc w:val="right"/>
        <w:rPr>
          <w:rFonts w:ascii="Times New Roman" w:hAnsi="Times New Roman" w:cs="Times New Roman"/>
          <w:bCs/>
          <w:i/>
          <w:sz w:val="21"/>
          <w:szCs w:val="21"/>
        </w:rPr>
      </w:pPr>
    </w:p>
    <w:p w14:paraId="365493DE" w14:textId="77777777" w:rsidR="00877DE5" w:rsidRPr="00960FFB" w:rsidRDefault="00877DE5" w:rsidP="00976728">
      <w:pPr>
        <w:spacing w:after="0" w:line="240" w:lineRule="auto"/>
        <w:jc w:val="center"/>
        <w:rPr>
          <w:rFonts w:ascii="Times New Roman" w:hAnsi="Times New Roman" w:cs="Times New Roman"/>
        </w:rPr>
      </w:pPr>
      <w:r w:rsidRPr="00960FFB">
        <w:rPr>
          <w:rFonts w:ascii="Times New Roman" w:hAnsi="Times New Roman" w:cs="Times New Roman"/>
          <w:b/>
          <w:bCs/>
          <w:sz w:val="21"/>
          <w:szCs w:val="21"/>
        </w:rPr>
        <w:t>Инструменты развития предпринимательства в санаторно-курортном комплексе Краснодарского края в условиях глобализации индустрии туризма и рекреации</w:t>
      </w:r>
    </w:p>
    <w:p w14:paraId="65B9857C" w14:textId="77777777" w:rsidR="00877DE5" w:rsidRPr="00960FFB" w:rsidRDefault="00877DE5" w:rsidP="00067100">
      <w:pPr>
        <w:spacing w:after="0" w:line="240" w:lineRule="auto"/>
        <w:ind w:left="1117" w:firstLine="709"/>
        <w:rPr>
          <w:rFonts w:ascii="Times New Roman" w:hAnsi="Times New Roman" w:cs="Times New Roman"/>
          <w:sz w:val="21"/>
          <w:szCs w:val="21"/>
        </w:rPr>
      </w:pPr>
    </w:p>
    <w:p w14:paraId="1942DE16" w14:textId="77777777" w:rsidR="00877DE5" w:rsidRPr="001F45AE" w:rsidRDefault="00877DE5" w:rsidP="00067100">
      <w:pPr>
        <w:spacing w:after="0" w:line="240" w:lineRule="auto"/>
        <w:ind w:firstLine="709"/>
        <w:jc w:val="both"/>
        <w:rPr>
          <w:rFonts w:ascii="Times New Roman" w:hAnsi="Times New Roman" w:cs="Times New Roman"/>
        </w:rPr>
      </w:pPr>
      <w:r w:rsidRPr="001F45AE">
        <w:rPr>
          <w:rFonts w:ascii="Times New Roman" w:hAnsi="Times New Roman" w:cs="Times New Roman"/>
          <w:b/>
          <w:bCs/>
        </w:rPr>
        <w:t>Аннотация:</w:t>
      </w:r>
      <w:r w:rsidRPr="001F45AE">
        <w:rPr>
          <w:rFonts w:ascii="Times New Roman" w:hAnsi="Times New Roman" w:cs="Times New Roman"/>
        </w:rPr>
        <w:t xml:space="preserve"> в научной работе рассмотрены</w:t>
      </w:r>
      <w:r w:rsidRPr="001F45AE">
        <w:rPr>
          <w:rFonts w:ascii="Times New Roman" w:hAnsi="Times New Roman" w:cs="Times New Roman"/>
          <w:b/>
        </w:rPr>
        <w:t xml:space="preserve"> </w:t>
      </w:r>
      <w:r w:rsidRPr="001F45AE">
        <w:rPr>
          <w:rFonts w:ascii="Times New Roman" w:hAnsi="Times New Roman" w:cs="Times New Roman"/>
        </w:rPr>
        <w:t xml:space="preserve">теоретическое аспекты предпринимательских процессов в санаторно-курортной отрасли экономического механизма Краснодарского края, а также формирования и развития инструментов предпринимательства в санаторно-курортном комплексе региона, разработаны практических рекомендаций по повышению эффективности их применения, развития и функционирования. </w:t>
      </w:r>
    </w:p>
    <w:p w14:paraId="354EA505" w14:textId="77777777" w:rsidR="00877DE5" w:rsidRPr="001F45AE" w:rsidRDefault="00877DE5" w:rsidP="00067100">
      <w:pPr>
        <w:spacing w:after="0" w:line="240" w:lineRule="auto"/>
        <w:ind w:firstLine="709"/>
        <w:jc w:val="both"/>
        <w:rPr>
          <w:rFonts w:ascii="Times New Roman" w:hAnsi="Times New Roman" w:cs="Times New Roman"/>
          <w:b/>
          <w:bCs/>
        </w:rPr>
      </w:pPr>
      <w:r w:rsidRPr="001F45AE">
        <w:rPr>
          <w:rFonts w:ascii="Times New Roman" w:hAnsi="Times New Roman" w:cs="Times New Roman"/>
          <w:b/>
          <w:bCs/>
        </w:rPr>
        <w:t xml:space="preserve">Ключевые слова: </w:t>
      </w:r>
      <w:r w:rsidRPr="001F45AE">
        <w:rPr>
          <w:rFonts w:ascii="Times New Roman" w:hAnsi="Times New Roman" w:cs="Times New Roman"/>
        </w:rPr>
        <w:t>пр</w:t>
      </w:r>
      <w:r w:rsidRPr="001F45AE">
        <w:rPr>
          <w:rFonts w:ascii="Times New Roman" w:eastAsia="Calibri" w:hAnsi="Times New Roman" w:cs="Times New Roman"/>
        </w:rPr>
        <w:t>едпринимательство, инструменты развития, санаторно-курортный комплекс, туризм, рекреация населения, Краснодарский край, инвестиционные проекты</w:t>
      </w:r>
    </w:p>
    <w:p w14:paraId="251D7F0B" w14:textId="77777777" w:rsidR="00877DE5" w:rsidRPr="00960FFB" w:rsidRDefault="00877DE5" w:rsidP="00067100">
      <w:pPr>
        <w:spacing w:after="0" w:line="240" w:lineRule="auto"/>
        <w:ind w:left="1117" w:firstLine="709"/>
        <w:rPr>
          <w:rFonts w:ascii="Times New Roman" w:hAnsi="Times New Roman" w:cs="Times New Roman"/>
          <w:b/>
          <w:bCs/>
          <w:sz w:val="21"/>
          <w:szCs w:val="21"/>
        </w:rPr>
      </w:pPr>
    </w:p>
    <w:p w14:paraId="779F94BF" w14:textId="77777777" w:rsidR="00877DE5" w:rsidRPr="00960FFB" w:rsidRDefault="00877DE5" w:rsidP="00067100">
      <w:pPr>
        <w:spacing w:after="0" w:line="240" w:lineRule="auto"/>
        <w:ind w:firstLine="709"/>
        <w:jc w:val="right"/>
        <w:rPr>
          <w:rFonts w:ascii="Times New Roman" w:hAnsi="Times New Roman" w:cs="Times New Roman"/>
          <w:b/>
          <w:bCs/>
          <w:i/>
          <w:iCs/>
          <w:sz w:val="21"/>
          <w:szCs w:val="21"/>
          <w:lang w:val="en-US"/>
        </w:rPr>
      </w:pPr>
      <w:r w:rsidRPr="00960FFB">
        <w:rPr>
          <w:rFonts w:ascii="Times New Roman" w:hAnsi="Times New Roman" w:cs="Times New Roman"/>
          <w:b/>
          <w:bCs/>
          <w:i/>
          <w:iCs/>
          <w:sz w:val="21"/>
          <w:szCs w:val="21"/>
          <w:lang w:val="en-US"/>
        </w:rPr>
        <w:t>Berlina D.S.,</w:t>
      </w:r>
      <w:r w:rsidRPr="00960FFB">
        <w:rPr>
          <w:rFonts w:ascii="Times New Roman" w:hAnsi="Times New Roman" w:cs="Times New Roman"/>
          <w:sz w:val="21"/>
          <w:szCs w:val="21"/>
          <w:lang w:val="en-US"/>
        </w:rPr>
        <w:t xml:space="preserve">                                                                         </w:t>
      </w:r>
    </w:p>
    <w:p w14:paraId="401A55BA" w14:textId="77777777" w:rsidR="00877DE5" w:rsidRPr="00960FFB" w:rsidRDefault="00877DE5" w:rsidP="00067100">
      <w:pPr>
        <w:spacing w:after="0" w:line="240" w:lineRule="auto"/>
        <w:ind w:firstLine="709"/>
        <w:jc w:val="right"/>
        <w:rPr>
          <w:rFonts w:ascii="Times New Roman" w:hAnsi="Times New Roman" w:cs="Times New Roman"/>
          <w:i/>
          <w:iCs/>
          <w:sz w:val="21"/>
          <w:szCs w:val="21"/>
          <w:lang w:val="en-US"/>
        </w:rPr>
      </w:pPr>
      <w:r w:rsidRPr="00960FFB">
        <w:rPr>
          <w:rFonts w:ascii="Times New Roman" w:hAnsi="Times New Roman" w:cs="Times New Roman"/>
          <w:i/>
          <w:iCs/>
          <w:sz w:val="21"/>
          <w:szCs w:val="21"/>
          <w:lang w:val="en-US"/>
        </w:rPr>
        <w:t xml:space="preserve">student 1 courses </w:t>
      </w:r>
    </w:p>
    <w:p w14:paraId="4D57A19A"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iCs/>
          <w:sz w:val="21"/>
          <w:szCs w:val="21"/>
          <w:lang w:val="en-US"/>
        </w:rPr>
        <w:t>Financial University under the Government of the Russian Federation</w:t>
      </w:r>
    </w:p>
    <w:p w14:paraId="35DF7367"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iCs/>
          <w:sz w:val="21"/>
          <w:szCs w:val="21"/>
          <w:lang w:val="en-US"/>
        </w:rPr>
        <w:t>Moscow, Russia</w:t>
      </w:r>
    </w:p>
    <w:p w14:paraId="585B03D1"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iCs/>
          <w:sz w:val="21"/>
          <w:szCs w:val="21"/>
          <w:lang w:val="en-US"/>
        </w:rPr>
        <w:t xml:space="preserve">e-mail: </w:t>
      </w:r>
      <w:hyperlink r:id="rId33">
        <w:r w:rsidRPr="00960FFB">
          <w:rPr>
            <w:rStyle w:val="aa"/>
            <w:rFonts w:ascii="Times New Roman" w:hAnsi="Times New Roman" w:cs="Times New Roman"/>
            <w:i/>
            <w:iCs/>
            <w:sz w:val="21"/>
            <w:szCs w:val="21"/>
            <w:lang w:val="en-US"/>
          </w:rPr>
          <w:t>dianaberlina@bk.ru</w:t>
        </w:r>
      </w:hyperlink>
    </w:p>
    <w:p w14:paraId="36AE5B1E" w14:textId="77777777" w:rsidR="00877DE5" w:rsidRPr="00960FFB" w:rsidRDefault="00877DE5" w:rsidP="00067100">
      <w:pPr>
        <w:spacing w:after="0" w:line="240" w:lineRule="auto"/>
        <w:ind w:left="1117" w:firstLine="709"/>
        <w:rPr>
          <w:rFonts w:ascii="Times New Roman" w:hAnsi="Times New Roman" w:cs="Times New Roman"/>
          <w:bCs/>
          <w:i/>
          <w:sz w:val="21"/>
          <w:szCs w:val="21"/>
          <w:lang w:val="en-US"/>
        </w:rPr>
      </w:pPr>
    </w:p>
    <w:p w14:paraId="59EA60D8"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b/>
          <w:bCs/>
          <w:i/>
          <w:sz w:val="21"/>
          <w:szCs w:val="21"/>
          <w:lang w:val="en-US"/>
        </w:rPr>
        <w:t>Scientific Advaiser</w:t>
      </w:r>
    </w:p>
    <w:p w14:paraId="0F921B3C"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b/>
          <w:bCs/>
          <w:i/>
          <w:sz w:val="21"/>
          <w:szCs w:val="21"/>
          <w:lang w:val="en-US"/>
        </w:rPr>
        <w:t>Sobolev E.V.,</w:t>
      </w:r>
    </w:p>
    <w:p w14:paraId="732B7B53"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sz w:val="21"/>
          <w:szCs w:val="21"/>
          <w:lang w:val="en-US"/>
        </w:rPr>
        <w:t>Candidate of Economic Science, Associate Professor</w:t>
      </w:r>
    </w:p>
    <w:p w14:paraId="662717A3" w14:textId="77777777" w:rsidR="00877DE5" w:rsidRPr="00960FFB" w:rsidRDefault="00877DE5" w:rsidP="00067100">
      <w:pPr>
        <w:spacing w:after="0" w:line="240" w:lineRule="auto"/>
        <w:ind w:firstLine="709"/>
        <w:jc w:val="right"/>
        <w:rPr>
          <w:rFonts w:ascii="Times New Roman" w:hAnsi="Times New Roman" w:cs="Times New Roman"/>
          <w:i/>
          <w:iCs/>
          <w:sz w:val="21"/>
          <w:szCs w:val="21"/>
          <w:lang w:val="en-US"/>
        </w:rPr>
      </w:pPr>
      <w:r w:rsidRPr="00960FFB">
        <w:rPr>
          <w:rFonts w:ascii="Times New Roman" w:hAnsi="Times New Roman" w:cs="Times New Roman"/>
          <w:i/>
          <w:iCs/>
          <w:sz w:val="21"/>
          <w:szCs w:val="21"/>
          <w:lang w:val="en-US"/>
        </w:rPr>
        <w:t xml:space="preserve">Financial University under the Government of the Russian Federation </w:t>
      </w:r>
    </w:p>
    <w:p w14:paraId="04C2A50E" w14:textId="2F3CF72E" w:rsidR="00877DE5" w:rsidRPr="00960FFB" w:rsidRDefault="00877DE5" w:rsidP="00067100">
      <w:pPr>
        <w:spacing w:after="0" w:line="240" w:lineRule="auto"/>
        <w:ind w:firstLine="709"/>
        <w:jc w:val="right"/>
        <w:rPr>
          <w:rFonts w:ascii="Times New Roman" w:hAnsi="Times New Roman" w:cs="Times New Roman"/>
          <w:i/>
          <w:iCs/>
          <w:sz w:val="21"/>
          <w:szCs w:val="21"/>
          <w:lang w:val="en-US"/>
        </w:rPr>
      </w:pPr>
      <w:r w:rsidRPr="00960FFB">
        <w:rPr>
          <w:rFonts w:ascii="Times New Roman" w:hAnsi="Times New Roman" w:cs="Times New Roman"/>
          <w:i/>
          <w:iCs/>
          <w:sz w:val="21"/>
          <w:szCs w:val="21"/>
          <w:lang w:val="en-US"/>
        </w:rPr>
        <w:t>Krasnodar Department</w:t>
      </w:r>
    </w:p>
    <w:p w14:paraId="3A42BF96"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iCs/>
          <w:sz w:val="21"/>
          <w:szCs w:val="21"/>
          <w:lang w:val="en-US"/>
        </w:rPr>
        <w:t>Krasnodar, Russia</w:t>
      </w:r>
    </w:p>
    <w:p w14:paraId="2DBCAB7E" w14:textId="77777777" w:rsidR="00877DE5" w:rsidRPr="00960FFB" w:rsidRDefault="00877DE5" w:rsidP="00067100">
      <w:pPr>
        <w:spacing w:after="0" w:line="240" w:lineRule="auto"/>
        <w:ind w:firstLine="709"/>
        <w:jc w:val="right"/>
        <w:rPr>
          <w:rFonts w:ascii="Times New Roman" w:hAnsi="Times New Roman" w:cs="Times New Roman"/>
          <w:lang w:val="en-US"/>
        </w:rPr>
      </w:pPr>
      <w:r w:rsidRPr="00960FFB">
        <w:rPr>
          <w:rFonts w:ascii="Times New Roman" w:hAnsi="Times New Roman" w:cs="Times New Roman"/>
          <w:i/>
          <w:iCs/>
          <w:sz w:val="21"/>
          <w:szCs w:val="21"/>
          <w:lang w:val="en-US"/>
        </w:rPr>
        <w:t>e-mail: EV</w:t>
      </w:r>
      <w:hyperlink r:id="rId34">
        <w:r w:rsidRPr="00960FFB">
          <w:rPr>
            <w:rStyle w:val="aa"/>
            <w:rFonts w:ascii="Times New Roman" w:hAnsi="Times New Roman" w:cs="Times New Roman"/>
            <w:i/>
            <w:iCs/>
            <w:sz w:val="21"/>
            <w:szCs w:val="21"/>
            <w:lang w:val="en-US"/>
          </w:rPr>
          <w:t>Sobolev@fa.ru</w:t>
        </w:r>
      </w:hyperlink>
    </w:p>
    <w:p w14:paraId="3A0BDDFC" w14:textId="77777777" w:rsidR="00877DE5" w:rsidRPr="00960FFB" w:rsidRDefault="00877DE5" w:rsidP="00067100">
      <w:pPr>
        <w:spacing w:after="0" w:line="240" w:lineRule="auto"/>
        <w:ind w:left="1117" w:firstLine="709"/>
        <w:jc w:val="right"/>
        <w:rPr>
          <w:rFonts w:ascii="Times New Roman" w:hAnsi="Times New Roman" w:cs="Times New Roman"/>
          <w:bCs/>
          <w:i/>
          <w:sz w:val="21"/>
          <w:szCs w:val="21"/>
          <w:lang w:val="en-US"/>
        </w:rPr>
      </w:pPr>
    </w:p>
    <w:p w14:paraId="744FE4E2" w14:textId="77777777" w:rsidR="00877DE5" w:rsidRPr="00960FFB" w:rsidRDefault="00877DE5" w:rsidP="00067100">
      <w:pPr>
        <w:spacing w:after="0" w:line="240" w:lineRule="auto"/>
        <w:ind w:firstLine="709"/>
        <w:jc w:val="center"/>
        <w:rPr>
          <w:rFonts w:ascii="Times New Roman" w:hAnsi="Times New Roman" w:cs="Times New Roman"/>
          <w:b/>
          <w:bCs/>
          <w:sz w:val="21"/>
          <w:szCs w:val="21"/>
          <w:lang w:val="en-US"/>
        </w:rPr>
      </w:pPr>
      <w:r w:rsidRPr="00960FFB">
        <w:rPr>
          <w:rFonts w:ascii="Times New Roman" w:hAnsi="Times New Roman" w:cs="Times New Roman"/>
          <w:b/>
          <w:bCs/>
          <w:sz w:val="21"/>
          <w:szCs w:val="21"/>
          <w:lang w:val="en-US"/>
        </w:rPr>
        <w:lastRenderedPageBreak/>
        <w:t>Business development tools in the sanatorium-resort complex of the Krasnodar Territory in the context of the globalization of the tourism and recreation industry</w:t>
      </w:r>
    </w:p>
    <w:p w14:paraId="5B0441F1" w14:textId="77777777" w:rsidR="00877DE5" w:rsidRPr="001F45AE" w:rsidRDefault="00877DE5" w:rsidP="00067100">
      <w:pPr>
        <w:spacing w:after="0" w:line="240" w:lineRule="auto"/>
        <w:ind w:firstLine="709"/>
        <w:rPr>
          <w:rFonts w:ascii="Times New Roman" w:hAnsi="Times New Roman" w:cs="Times New Roman"/>
          <w:lang w:val="en-US"/>
        </w:rPr>
      </w:pPr>
      <w:r w:rsidRPr="001F45AE">
        <w:rPr>
          <w:rFonts w:ascii="Times New Roman" w:hAnsi="Times New Roman" w:cs="Times New Roman"/>
          <w:b/>
          <w:bCs/>
          <w:lang w:val="en-US"/>
        </w:rPr>
        <w:t xml:space="preserve">Abstract: </w:t>
      </w:r>
      <w:r w:rsidRPr="001F45AE">
        <w:rPr>
          <w:rFonts w:ascii="Times New Roman" w:eastAsia="Calibri" w:hAnsi="Times New Roman" w:cs="Times New Roman"/>
          <w:b/>
          <w:bCs/>
          <w:lang w:val="en-US"/>
        </w:rPr>
        <w:t xml:space="preserve"> </w:t>
      </w:r>
      <w:r w:rsidRPr="001F45AE">
        <w:rPr>
          <w:rFonts w:ascii="Times New Roman" w:eastAsia="Calibri" w:hAnsi="Times New Roman" w:cs="Times New Roman"/>
          <w:lang w:val="en-US"/>
        </w:rPr>
        <w:t>The scientific work examines the theoretical aspects of entrepreneurial processes in the sanatorium-resort industry of the economic mechanism of the Krasnodar Territory, as well as the formation and development of entrepreneurship tools in the sanatorium-resort complex of the region, practical recommendations have been developed to improve the effectiveness of their application, development and functioning.</w:t>
      </w:r>
    </w:p>
    <w:p w14:paraId="4D628F38" w14:textId="77777777" w:rsidR="00877DE5" w:rsidRPr="001F45AE" w:rsidRDefault="00877DE5" w:rsidP="00067100">
      <w:pPr>
        <w:spacing w:after="0" w:line="240" w:lineRule="auto"/>
        <w:ind w:firstLine="709"/>
        <w:rPr>
          <w:rFonts w:ascii="Times New Roman" w:eastAsia="Calibri" w:hAnsi="Times New Roman" w:cs="Times New Roman"/>
          <w:shd w:val="clear" w:color="auto" w:fill="FFFFFF"/>
          <w:lang w:val="en-US"/>
        </w:rPr>
      </w:pPr>
      <w:r w:rsidRPr="001F45AE">
        <w:rPr>
          <w:rFonts w:ascii="Times New Roman" w:eastAsia="Calibri" w:hAnsi="Times New Roman" w:cs="Times New Roman"/>
          <w:b/>
          <w:bCs/>
          <w:shd w:val="clear" w:color="auto" w:fill="FFFFFF"/>
          <w:lang w:val="en-US"/>
        </w:rPr>
        <w:t xml:space="preserve">Keywords: </w:t>
      </w:r>
      <w:r w:rsidRPr="001F45AE">
        <w:rPr>
          <w:rFonts w:ascii="Times New Roman" w:eastAsia="Calibri" w:hAnsi="Times New Roman" w:cs="Times New Roman"/>
          <w:shd w:val="clear" w:color="auto" w:fill="FFFFFF"/>
          <w:lang w:val="en-US"/>
        </w:rPr>
        <w:t xml:space="preserve">entrepreneurship, development tools, sanatorium-resort complex, tourism, recreation of the population, Krasnodar Region, investment projects. </w:t>
      </w:r>
    </w:p>
    <w:p w14:paraId="591D3AEC" w14:textId="77777777" w:rsidR="00877DE5" w:rsidRPr="00960FFB" w:rsidRDefault="00877DE5" w:rsidP="00067100">
      <w:pPr>
        <w:spacing w:after="0" w:line="240" w:lineRule="auto"/>
        <w:ind w:right="1134" w:firstLine="709"/>
        <w:jc w:val="right"/>
        <w:rPr>
          <w:rFonts w:ascii="Times New Roman" w:hAnsi="Times New Roman" w:cs="Times New Roman"/>
          <w:lang w:val="en-US"/>
        </w:rPr>
      </w:pPr>
    </w:p>
    <w:p w14:paraId="7B3BB20D" w14:textId="77777777" w:rsidR="001F45AE" w:rsidRDefault="00877DE5" w:rsidP="001F45AE">
      <w:pPr>
        <w:spacing w:after="0" w:line="240" w:lineRule="auto"/>
        <w:ind w:firstLine="709"/>
        <w:jc w:val="both"/>
        <w:rPr>
          <w:rFonts w:ascii="Times New Roman" w:hAnsi="Times New Roman" w:cs="Times New Roman"/>
          <w:sz w:val="32"/>
          <w:szCs w:val="32"/>
        </w:rPr>
      </w:pPr>
      <w:r w:rsidRPr="00960FFB">
        <w:rPr>
          <w:rFonts w:ascii="Times New Roman" w:hAnsi="Times New Roman" w:cs="Times New Roman"/>
          <w:sz w:val="32"/>
          <w:szCs w:val="32"/>
        </w:rPr>
        <w:t>Целью нашей научной работы являются теоретическое аспекты предпринимательских процессов в санаторно-курортной отрасли экономического механизма Краснодарского края, а также формирования и развития инструментов предпринимательства в санаторно-курортном и туристском комплексе региона, а также разработка практических рекомендаций по повышению эффективности их применения, развития и функционирования.</w:t>
      </w:r>
    </w:p>
    <w:p w14:paraId="516A58EF" w14:textId="3BE92BA2" w:rsidR="00877DE5" w:rsidRPr="00960FFB" w:rsidRDefault="00877DE5" w:rsidP="001F45AE">
      <w:pPr>
        <w:spacing w:after="0" w:line="240" w:lineRule="auto"/>
        <w:ind w:firstLine="709"/>
        <w:jc w:val="both"/>
        <w:rPr>
          <w:rFonts w:ascii="Times New Roman" w:hAnsi="Times New Roman" w:cs="Times New Roman"/>
          <w:sz w:val="32"/>
          <w:szCs w:val="32"/>
        </w:rPr>
      </w:pPr>
      <w:r w:rsidRPr="00960FFB">
        <w:rPr>
          <w:rFonts w:ascii="Times New Roman" w:hAnsi="Times New Roman" w:cs="Times New Roman"/>
          <w:sz w:val="32"/>
          <w:szCs w:val="32"/>
        </w:rPr>
        <w:t xml:space="preserve">Намеченная цель предопределила совокупность решаемых в работе задач: </w:t>
      </w:r>
      <w:r w:rsidRPr="00960FFB">
        <w:rPr>
          <w:rFonts w:ascii="Times New Roman" w:eastAsia="Calibri" w:hAnsi="Times New Roman" w:cs="Times New Roman"/>
          <w:sz w:val="32"/>
          <w:szCs w:val="32"/>
          <w:shd w:val="clear" w:color="auto" w:fill="FFFFFF"/>
        </w:rPr>
        <w:t xml:space="preserve">дать экономическую характеристика санаторно-курортного и туристского комплекса и предпринимательства в нем Краснодарского края с учетом процессов глобализации данного вида услуг; </w:t>
      </w:r>
      <w:r w:rsidRPr="00960FFB">
        <w:rPr>
          <w:rFonts w:ascii="Times New Roman" w:eastAsia="Calibri" w:hAnsi="Times New Roman" w:cs="Times New Roman"/>
          <w:sz w:val="32"/>
          <w:szCs w:val="32"/>
        </w:rPr>
        <w:t xml:space="preserve">проанализировать инструменты, применяемые для повышения конкурентоспособности санаторно-курортного и туристского комплекса региона; обосновать </w:t>
      </w:r>
      <w:r w:rsidRPr="00960FFB">
        <w:rPr>
          <w:rFonts w:ascii="Times New Roman" w:hAnsi="Times New Roman" w:cs="Times New Roman"/>
          <w:sz w:val="32"/>
          <w:szCs w:val="32"/>
        </w:rPr>
        <w:t>реализуемые инвестиционные инструменты в санаторно-курортном комплексе Краснодарского края как стратегический инструмент развития предпринимательства в условиях глобализации</w:t>
      </w:r>
      <w:r w:rsidRPr="00960FFB">
        <w:rPr>
          <w:rFonts w:ascii="Times New Roman" w:eastAsia="Calibri" w:hAnsi="Times New Roman" w:cs="Times New Roman"/>
          <w:sz w:val="32"/>
          <w:szCs w:val="32"/>
        </w:rPr>
        <w:t xml:space="preserve"> этих услуг.</w:t>
      </w:r>
    </w:p>
    <w:p w14:paraId="77E2A38F" w14:textId="1D6593C7" w:rsidR="00877DE5" w:rsidRPr="00960FFB" w:rsidRDefault="00877DE5" w:rsidP="001F45AE">
      <w:pPr>
        <w:shd w:val="clear" w:color="FFFFFF" w:fill="FFFFFF"/>
        <w:spacing w:after="0" w:line="240" w:lineRule="auto"/>
        <w:ind w:firstLine="709"/>
        <w:jc w:val="both"/>
        <w:rPr>
          <w:rFonts w:ascii="Times New Roman" w:hAnsi="Times New Roman" w:cs="Times New Roman"/>
          <w:sz w:val="32"/>
          <w:szCs w:val="32"/>
        </w:rPr>
      </w:pPr>
      <w:r w:rsidRPr="00960FFB">
        <w:rPr>
          <w:rFonts w:ascii="Times New Roman" w:hAnsi="Times New Roman" w:cs="Times New Roman"/>
          <w:sz w:val="32"/>
          <w:szCs w:val="32"/>
        </w:rPr>
        <w:t>Контекст исследования связан с необходимостью выявления драйверов устойчивого роста отрасли в условиях усиления конкуренции на федеральном и международном уровнях. Результаты нашего исследования могут быть рекомендованы и применены для развития предпринимательской активности в рамках санаторно-курортного и туристского комплекса Краснодарского края.</w:t>
      </w:r>
    </w:p>
    <w:p w14:paraId="4CA9A3E1" w14:textId="00D15499" w:rsidR="00877DE5" w:rsidRDefault="00877DE5" w:rsidP="001F45AE">
      <w:pPr>
        <w:spacing w:after="0" w:line="240" w:lineRule="auto"/>
        <w:ind w:right="-284" w:firstLine="709"/>
        <w:jc w:val="both"/>
        <w:rPr>
          <w:rFonts w:ascii="Times New Roman" w:eastAsia="Calibri" w:hAnsi="Times New Roman" w:cs="Times New Roman"/>
          <w:sz w:val="32"/>
          <w:szCs w:val="32"/>
          <w:shd w:val="clear" w:color="auto" w:fill="FFFFFF"/>
        </w:rPr>
      </w:pPr>
      <w:r w:rsidRPr="00960FFB">
        <w:rPr>
          <w:rFonts w:ascii="Times New Roman" w:eastAsia="Calibri" w:hAnsi="Times New Roman" w:cs="Times New Roman"/>
          <w:sz w:val="32"/>
          <w:szCs w:val="32"/>
          <w:shd w:val="clear" w:color="auto" w:fill="FFFFFF"/>
        </w:rPr>
        <w:t xml:space="preserve">Рост туристического потока демонстрирует устойчивый спрос на курортные услуги региона, однако неравномерная загрузка инфраструктуры, например, Азовское побережье) указывает на необходимость диверсификации туристических предложений </w:t>
      </w:r>
      <w:r w:rsidRPr="009472DE">
        <w:rPr>
          <w:rFonts w:ascii="Times New Roman" w:eastAsia="Calibri" w:hAnsi="Times New Roman" w:cs="Times New Roman"/>
          <w:sz w:val="32"/>
          <w:szCs w:val="32"/>
          <w:shd w:val="clear" w:color="auto" w:fill="FFFFFF"/>
        </w:rPr>
        <w:t>(таблица 1).</w:t>
      </w:r>
    </w:p>
    <w:p w14:paraId="79A72BF3" w14:textId="4BE94B31" w:rsidR="001F45AE" w:rsidRDefault="001F45AE" w:rsidP="00067100">
      <w:pPr>
        <w:spacing w:after="0" w:line="240" w:lineRule="auto"/>
        <w:ind w:right="-284" w:firstLine="709"/>
        <w:rPr>
          <w:rFonts w:ascii="Times New Roman" w:hAnsi="Times New Roman" w:cs="Times New Roman"/>
          <w:sz w:val="32"/>
          <w:szCs w:val="32"/>
        </w:rPr>
      </w:pPr>
    </w:p>
    <w:p w14:paraId="4FF66181" w14:textId="77777777" w:rsidR="001F45AE" w:rsidRPr="009472DE" w:rsidRDefault="001F45AE" w:rsidP="00067100">
      <w:pPr>
        <w:spacing w:after="0" w:line="240" w:lineRule="auto"/>
        <w:ind w:right="-284" w:firstLine="709"/>
        <w:rPr>
          <w:rFonts w:ascii="Times New Roman" w:hAnsi="Times New Roman" w:cs="Times New Roman"/>
          <w:sz w:val="32"/>
          <w:szCs w:val="32"/>
        </w:rPr>
      </w:pPr>
    </w:p>
    <w:p w14:paraId="2300BD31" w14:textId="1D4DF63A" w:rsidR="00877DE5" w:rsidRPr="009472DE" w:rsidRDefault="00877DE5" w:rsidP="001F45AE">
      <w:pPr>
        <w:spacing w:after="0" w:line="240" w:lineRule="auto"/>
        <w:ind w:right="-284"/>
        <w:jc w:val="both"/>
        <w:rPr>
          <w:rFonts w:ascii="Times New Roman" w:hAnsi="Times New Roman" w:cs="Times New Roman"/>
          <w:sz w:val="32"/>
          <w:szCs w:val="32"/>
        </w:rPr>
      </w:pPr>
      <w:r w:rsidRPr="009472DE">
        <w:rPr>
          <w:rFonts w:ascii="Times New Roman" w:hAnsi="Times New Roman" w:cs="Times New Roman"/>
          <w:sz w:val="32"/>
          <w:szCs w:val="32"/>
        </w:rPr>
        <w:lastRenderedPageBreak/>
        <w:t>Таблица 1 - Информация о туристическом потоке и потоке в санаторно-курортном комплексе Краснодарского края с 1 января по 28 декабря 2024 г. [1]</w:t>
      </w:r>
      <w:r w:rsidR="001F45AE">
        <w:rPr>
          <w:rFonts w:ascii="Times New Roman" w:hAnsi="Times New Roman" w:cs="Times New Roman"/>
          <w:sz w:val="32"/>
          <w:szCs w:val="32"/>
        </w:rPr>
        <w:t>.</w:t>
      </w:r>
    </w:p>
    <w:tbl>
      <w:tblPr>
        <w:tblW w:w="5000" w:type="pct"/>
        <w:tblLayout w:type="fixed"/>
        <w:tblLook w:val="04A0" w:firstRow="1" w:lastRow="0" w:firstColumn="1" w:lastColumn="0" w:noHBand="0" w:noVBand="1"/>
      </w:tblPr>
      <w:tblGrid>
        <w:gridCol w:w="1137"/>
        <w:gridCol w:w="2631"/>
        <w:gridCol w:w="2890"/>
        <w:gridCol w:w="2974"/>
      </w:tblGrid>
      <w:tr w:rsidR="00877DE5" w:rsidRPr="00960FFB" w14:paraId="328BE614" w14:textId="77777777" w:rsidTr="00246452">
        <w:trPr>
          <w:trHeight w:val="1221"/>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6BB18"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 п/п</w:t>
            </w:r>
          </w:p>
        </w:tc>
        <w:tc>
          <w:tcPr>
            <w:tcW w:w="2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6DB1"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МО</w:t>
            </w:r>
          </w:p>
        </w:tc>
        <w:tc>
          <w:tcPr>
            <w:tcW w:w="2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27BE"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Общее число туристов с нарастающим итогом, человек</w:t>
            </w: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E9B62"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Число экскурсантов (однодневные туристы), с нарастающим итогом, человек</w:t>
            </w:r>
          </w:p>
        </w:tc>
      </w:tr>
      <w:tr w:rsidR="00877DE5" w:rsidRPr="00960FFB" w14:paraId="2247E298" w14:textId="77777777" w:rsidTr="00246452">
        <w:trPr>
          <w:trHeight w:val="415"/>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66130"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1</w:t>
            </w:r>
          </w:p>
        </w:tc>
        <w:tc>
          <w:tcPr>
            <w:tcW w:w="2631" w:type="dxa"/>
            <w:tcBorders>
              <w:top w:val="single" w:sz="4" w:space="0" w:color="000000"/>
              <w:left w:val="single" w:sz="4" w:space="0" w:color="000000"/>
              <w:bottom w:val="single" w:sz="4" w:space="0" w:color="auto"/>
              <w:right w:val="single" w:sz="4" w:space="0" w:color="000000"/>
            </w:tcBorders>
            <w:shd w:val="clear" w:color="auto" w:fill="auto"/>
            <w:vAlign w:val="center"/>
          </w:tcPr>
          <w:p w14:paraId="5BCB32B2"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Анапа</w:t>
            </w:r>
          </w:p>
        </w:tc>
        <w:tc>
          <w:tcPr>
            <w:tcW w:w="2890" w:type="dxa"/>
            <w:tcBorders>
              <w:top w:val="single" w:sz="4" w:space="0" w:color="000000"/>
              <w:bottom w:val="single" w:sz="4" w:space="0" w:color="auto"/>
              <w:right w:val="single" w:sz="4" w:space="0" w:color="000000"/>
            </w:tcBorders>
            <w:shd w:val="clear" w:color="auto" w:fill="auto"/>
            <w:vAlign w:val="center"/>
          </w:tcPr>
          <w:p w14:paraId="1D64C2B7"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4 608 525</w:t>
            </w:r>
          </w:p>
        </w:tc>
        <w:tc>
          <w:tcPr>
            <w:tcW w:w="2974" w:type="dxa"/>
            <w:tcBorders>
              <w:top w:val="single" w:sz="4" w:space="0" w:color="000000"/>
              <w:bottom w:val="single" w:sz="4" w:space="0" w:color="auto"/>
              <w:right w:val="single" w:sz="4" w:space="0" w:color="000000"/>
            </w:tcBorders>
            <w:shd w:val="clear" w:color="auto" w:fill="auto"/>
            <w:vAlign w:val="center"/>
          </w:tcPr>
          <w:p w14:paraId="3D8E971C"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893 656</w:t>
            </w:r>
          </w:p>
        </w:tc>
      </w:tr>
      <w:tr w:rsidR="00877DE5" w:rsidRPr="00960FFB" w14:paraId="7F0B9B4C" w14:textId="77777777" w:rsidTr="00246452">
        <w:trPr>
          <w:trHeight w:val="382"/>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3ACC9764"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55D8BDAE"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Геленджик</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76F19AB1"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3 504 538</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2DC87A61"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900 439</w:t>
            </w:r>
          </w:p>
        </w:tc>
      </w:tr>
      <w:tr w:rsidR="00877DE5" w:rsidRPr="00960FFB" w14:paraId="673A6B00" w14:textId="77777777" w:rsidTr="00246452">
        <w:trPr>
          <w:trHeight w:val="402"/>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7B51BE6C"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0A033358"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Новороссийск</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37D55F0E"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282 953</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0FAC7CBF"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1 260 907</w:t>
            </w:r>
          </w:p>
        </w:tc>
      </w:tr>
      <w:tr w:rsidR="00877DE5" w:rsidRPr="00960FFB" w14:paraId="33FC6A72" w14:textId="77777777" w:rsidTr="00246452">
        <w:trPr>
          <w:trHeight w:val="315"/>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4727C102"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5B2433AE"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Сочи</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16DF7EC4"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7 136 152</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170EF5E7"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885 971</w:t>
            </w:r>
          </w:p>
        </w:tc>
      </w:tr>
      <w:tr w:rsidR="00877DE5" w:rsidRPr="00960FFB" w14:paraId="14E32143" w14:textId="77777777" w:rsidTr="00246452">
        <w:trPr>
          <w:trHeight w:val="370"/>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758C74D9"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5</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286B9614"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Туапсинский район</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426950D0"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1 148 886</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5D4E0358"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1 149 726</w:t>
            </w:r>
          </w:p>
        </w:tc>
      </w:tr>
      <w:tr w:rsidR="00877DE5" w:rsidRPr="00960FFB" w14:paraId="0DD0EA16" w14:textId="77777777" w:rsidTr="00246452">
        <w:trPr>
          <w:trHeight w:val="315"/>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7FB618"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06799DC0"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Ейский район</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02A578DD"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580 998</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211A6CE9"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272 189</w:t>
            </w:r>
          </w:p>
        </w:tc>
      </w:tr>
      <w:tr w:rsidR="00877DE5" w:rsidRPr="00960FFB" w14:paraId="57EE9922" w14:textId="77777777" w:rsidTr="00246452">
        <w:trPr>
          <w:trHeight w:val="381"/>
        </w:trPr>
        <w:tc>
          <w:tcPr>
            <w:tcW w:w="1137" w:type="dxa"/>
            <w:tcBorders>
              <w:top w:val="single" w:sz="4" w:space="0" w:color="000000"/>
              <w:left w:val="single" w:sz="4" w:space="0" w:color="000000"/>
              <w:bottom w:val="single" w:sz="4" w:space="0" w:color="000000"/>
              <w:right w:val="single" w:sz="4" w:space="0" w:color="auto"/>
            </w:tcBorders>
            <w:shd w:val="clear" w:color="auto" w:fill="auto"/>
            <w:vAlign w:val="center"/>
          </w:tcPr>
          <w:p w14:paraId="22B10464"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7C024538"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Славянский район</w:t>
            </w:r>
          </w:p>
        </w:tc>
        <w:tc>
          <w:tcPr>
            <w:tcW w:w="2890" w:type="dxa"/>
            <w:tcBorders>
              <w:top w:val="single" w:sz="4" w:space="0" w:color="auto"/>
              <w:left w:val="single" w:sz="4" w:space="0" w:color="auto"/>
              <w:bottom w:val="single" w:sz="4" w:space="0" w:color="auto"/>
              <w:right w:val="single" w:sz="4" w:space="0" w:color="auto"/>
            </w:tcBorders>
            <w:shd w:val="clear" w:color="auto" w:fill="auto"/>
            <w:vAlign w:val="center"/>
          </w:tcPr>
          <w:p w14:paraId="7E266DD3"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91 984</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center"/>
          </w:tcPr>
          <w:p w14:paraId="23503ADB"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36 422</w:t>
            </w:r>
          </w:p>
        </w:tc>
      </w:tr>
      <w:tr w:rsidR="00877DE5" w:rsidRPr="00960FFB" w14:paraId="46BEFF7A" w14:textId="77777777" w:rsidTr="00246452">
        <w:trPr>
          <w:trHeight w:val="414"/>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58251"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8</w:t>
            </w:r>
          </w:p>
        </w:tc>
        <w:tc>
          <w:tcPr>
            <w:tcW w:w="2631" w:type="dxa"/>
            <w:tcBorders>
              <w:top w:val="single" w:sz="4" w:space="0" w:color="auto"/>
              <w:left w:val="single" w:sz="4" w:space="0" w:color="000000"/>
              <w:bottom w:val="single" w:sz="4" w:space="0" w:color="000000"/>
              <w:right w:val="single" w:sz="4" w:space="0" w:color="000000"/>
            </w:tcBorders>
            <w:shd w:val="clear" w:color="auto" w:fill="auto"/>
            <w:vAlign w:val="center"/>
          </w:tcPr>
          <w:p w14:paraId="72155CE0"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Темрюкский район</w:t>
            </w:r>
          </w:p>
        </w:tc>
        <w:tc>
          <w:tcPr>
            <w:tcW w:w="2890" w:type="dxa"/>
            <w:tcBorders>
              <w:top w:val="single" w:sz="4" w:space="0" w:color="auto"/>
              <w:bottom w:val="single" w:sz="4" w:space="0" w:color="000000"/>
              <w:right w:val="single" w:sz="4" w:space="0" w:color="000000"/>
            </w:tcBorders>
            <w:shd w:val="clear" w:color="auto" w:fill="auto"/>
            <w:vAlign w:val="center"/>
          </w:tcPr>
          <w:p w14:paraId="3898FC87"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285 232</w:t>
            </w:r>
          </w:p>
        </w:tc>
        <w:tc>
          <w:tcPr>
            <w:tcW w:w="2974" w:type="dxa"/>
            <w:tcBorders>
              <w:top w:val="single" w:sz="4" w:space="0" w:color="auto"/>
              <w:bottom w:val="single" w:sz="4" w:space="0" w:color="000000"/>
              <w:right w:val="single" w:sz="4" w:space="0" w:color="000000"/>
            </w:tcBorders>
            <w:shd w:val="clear" w:color="auto" w:fill="auto"/>
            <w:vAlign w:val="center"/>
          </w:tcPr>
          <w:p w14:paraId="601CAA52"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1 554 843</w:t>
            </w:r>
          </w:p>
        </w:tc>
      </w:tr>
      <w:tr w:rsidR="00877DE5" w:rsidRPr="00960FFB" w14:paraId="12F6F1C8" w14:textId="77777777" w:rsidTr="00246452">
        <w:trPr>
          <w:trHeight w:val="315"/>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BD68B"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9</w:t>
            </w:r>
          </w:p>
        </w:tc>
        <w:tc>
          <w:tcPr>
            <w:tcW w:w="2631" w:type="dxa"/>
            <w:tcBorders>
              <w:left w:val="single" w:sz="4" w:space="0" w:color="000000"/>
              <w:bottom w:val="single" w:sz="4" w:space="0" w:color="000000"/>
              <w:right w:val="single" w:sz="4" w:space="0" w:color="000000"/>
            </w:tcBorders>
            <w:shd w:val="clear" w:color="auto" w:fill="auto"/>
            <w:vAlign w:val="center"/>
          </w:tcPr>
          <w:p w14:paraId="66426990" w14:textId="77777777" w:rsidR="00877DE5" w:rsidRPr="00960FFB" w:rsidRDefault="00877DE5" w:rsidP="00246452">
            <w:pPr>
              <w:spacing w:after="0" w:line="240" w:lineRule="auto"/>
              <w:ind w:right="-284"/>
              <w:rPr>
                <w:rFonts w:ascii="Times New Roman" w:hAnsi="Times New Roman" w:cs="Times New Roman"/>
                <w:sz w:val="24"/>
                <w:szCs w:val="24"/>
              </w:rPr>
            </w:pPr>
            <w:r w:rsidRPr="00960FFB">
              <w:rPr>
                <w:rFonts w:ascii="Times New Roman" w:hAnsi="Times New Roman" w:cs="Times New Roman"/>
                <w:sz w:val="24"/>
                <w:szCs w:val="24"/>
                <w:lang w:eastAsia="ru-RU"/>
              </w:rPr>
              <w:t>Приморско-Ахтарский район</w:t>
            </w:r>
          </w:p>
        </w:tc>
        <w:tc>
          <w:tcPr>
            <w:tcW w:w="2890" w:type="dxa"/>
            <w:tcBorders>
              <w:bottom w:val="single" w:sz="4" w:space="0" w:color="000000"/>
              <w:right w:val="single" w:sz="4" w:space="0" w:color="000000"/>
            </w:tcBorders>
            <w:shd w:val="clear" w:color="auto" w:fill="auto"/>
            <w:vAlign w:val="center"/>
          </w:tcPr>
          <w:p w14:paraId="1CD895B4"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29 089</w:t>
            </w:r>
          </w:p>
        </w:tc>
        <w:tc>
          <w:tcPr>
            <w:tcW w:w="2974" w:type="dxa"/>
            <w:tcBorders>
              <w:bottom w:val="single" w:sz="4" w:space="0" w:color="000000"/>
              <w:right w:val="single" w:sz="4" w:space="0" w:color="000000"/>
            </w:tcBorders>
            <w:shd w:val="clear" w:color="auto" w:fill="auto"/>
            <w:vAlign w:val="center"/>
          </w:tcPr>
          <w:p w14:paraId="3BF3CC71" w14:textId="77777777" w:rsidR="00877DE5" w:rsidRPr="00960FFB" w:rsidRDefault="00877DE5" w:rsidP="00246452">
            <w:pPr>
              <w:spacing w:after="0" w:line="240" w:lineRule="auto"/>
              <w:ind w:right="-284"/>
              <w:jc w:val="center"/>
              <w:rPr>
                <w:rFonts w:ascii="Times New Roman" w:hAnsi="Times New Roman" w:cs="Times New Roman"/>
                <w:sz w:val="24"/>
                <w:szCs w:val="24"/>
              </w:rPr>
            </w:pPr>
            <w:r w:rsidRPr="00960FFB">
              <w:rPr>
                <w:rFonts w:ascii="Times New Roman" w:hAnsi="Times New Roman" w:cs="Times New Roman"/>
                <w:sz w:val="24"/>
                <w:szCs w:val="24"/>
                <w:lang w:eastAsia="ru-RU"/>
              </w:rPr>
              <w:t>45 172</w:t>
            </w:r>
          </w:p>
        </w:tc>
      </w:tr>
    </w:tbl>
    <w:p w14:paraId="26A63A42" w14:textId="3A076F60" w:rsidR="00246452"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lang w:eastAsia="ru-RU"/>
        </w:rPr>
        <w:t xml:space="preserve">Номерной фонд Черноморского побережья в среднем забронирован: </w:t>
      </w:r>
      <w:r w:rsidRPr="009472DE">
        <w:rPr>
          <w:rFonts w:ascii="Times New Roman" w:eastAsia="Calibri" w:hAnsi="Times New Roman" w:cs="Times New Roman"/>
          <w:sz w:val="32"/>
          <w:szCs w:val="32"/>
        </w:rPr>
        <w:t>на зимний период (декабрь-февраль) составляет 35,6% (снижение на 3,4 % к 2023-2024 гг.), в том числе декабрь – 43,4 % (снижение на 1,8 % к 2023 г.), январь – 34,7 % (снижение на 3,6 % к 2024 г.), февраль – 28,6 % (снижение на 4,9 % к 2024 г.).</w:t>
      </w:r>
    </w:p>
    <w:p w14:paraId="5215BD15"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lang w:eastAsia="ru-RU"/>
        </w:rPr>
        <w:t xml:space="preserve">Номерной фонд Азовского побережья в среднем забронирован: </w:t>
      </w:r>
      <w:r w:rsidRPr="009472DE">
        <w:rPr>
          <w:rFonts w:ascii="Times New Roman" w:eastAsia="Calibri" w:hAnsi="Times New Roman" w:cs="Times New Roman"/>
          <w:sz w:val="32"/>
          <w:szCs w:val="32"/>
        </w:rPr>
        <w:t xml:space="preserve">на зимний период (декабрь-февраль) составляет 17,9 % (при на 1,2 % к 2023-2024 гг.), в том числе декабрь – 22,9% (прирост на 2,4 </w:t>
      </w:r>
      <w:proofErr w:type="gramStart"/>
      <w:r w:rsidRPr="009472DE">
        <w:rPr>
          <w:rFonts w:ascii="Times New Roman" w:eastAsia="Calibri" w:hAnsi="Times New Roman" w:cs="Times New Roman"/>
          <w:sz w:val="32"/>
          <w:szCs w:val="32"/>
        </w:rPr>
        <w:t>%  к</w:t>
      </w:r>
      <w:proofErr w:type="gramEnd"/>
      <w:r w:rsidRPr="009472DE">
        <w:rPr>
          <w:rFonts w:ascii="Times New Roman" w:eastAsia="Calibri" w:hAnsi="Times New Roman" w:cs="Times New Roman"/>
          <w:sz w:val="32"/>
          <w:szCs w:val="32"/>
        </w:rPr>
        <w:t xml:space="preserve"> 2023 г.), январь – 19% (прирост на 1,5% к 2024 г.), февраль – 11,8%  (на уровне 2024 г.);</w:t>
      </w:r>
    </w:p>
    <w:p w14:paraId="2703B6EE"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lang w:eastAsia="ru-RU"/>
        </w:rPr>
        <w:t xml:space="preserve">Номерной фонд предгорных территорий в среднем был забронирован </w:t>
      </w:r>
      <w:r w:rsidRPr="009472DE">
        <w:rPr>
          <w:rFonts w:ascii="Times New Roman" w:eastAsia="Calibri" w:hAnsi="Times New Roman" w:cs="Times New Roman"/>
          <w:sz w:val="32"/>
          <w:szCs w:val="32"/>
        </w:rPr>
        <w:t>на зимний период (декабрь-февраль) составляет 64,7% (на уровне 2023-2024 гг.), в том числе декабрь – 83,4% (прирост на 4,2% к 2023 г.), январь – 64,6% (снижение на 3,2% к 2024 г.), февраль – 45,9% (на уровне 2024 г.) [1].</w:t>
      </w:r>
    </w:p>
    <w:p w14:paraId="548D9C4E" w14:textId="77777777" w:rsidR="00246452"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Анализ динамики объёма услуг санаторно-курортного и туристического комплекса Краснодарского края показывает достаточно высокую дифференциацию анализируемого комплекса. Так, объём услуг, оказанных крупными и средними организациями сектора, достиг 131 456,3 млн рублей, что на 20,1% превышает результат аналогичного периода 2023 года [2].</w:t>
      </w:r>
    </w:p>
    <w:p w14:paraId="57B23FFD"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Территориальная дифференциация роста:</w:t>
      </w:r>
    </w:p>
    <w:p w14:paraId="6C4DBD13"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Города с наибольшим приростом: Анапа: +35,5%; Геленджик: +19,4%; Сочи, Краснодар, Горячий Ключ: + 16-19,6%; Новороссийск: +8,5%. В крае выделились и районы-лидеры по динамике: Апшеронский: +50,8%; Туапсинский: +47,6%; Ейский: +25,3%; Староминский: +19,9%; Лабинский: +7,8%; Темрюкский: +3,4% [4].</w:t>
      </w:r>
    </w:p>
    <w:p w14:paraId="7D5B7EE1"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Расширение спектра услуг. Рост показателей связан с диверсификацией предложений: внедрением wellness-программ, событийного туризма и цифровизации сервисов.</w:t>
      </w:r>
    </w:p>
    <w:p w14:paraId="3A1F7D0B"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Что касается объема инвестиций в инфраструктуру, то высокая динамика наблюдается в Анапе и в Апшеронском районе, что объясняется открытием новых санаторно-рекреационных объектов и модернизацией существующих.</w:t>
      </w:r>
    </w:p>
    <w:p w14:paraId="650CD9D9"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Следует особо отметить, что в целом санаторно-курортный комплекс края успешно проходит сезонную адаптацию.  При этом наиболее умеренный рост в Темрюкском районе (+3,4%) требует разработки стратегий для повышения привлекательности вне пляжного сезона.</w:t>
      </w:r>
    </w:p>
    <w:p w14:paraId="390E4548"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Эффект агломерации в крае заключается в том, что крупные города (Сочи, Краснодар) сохраняют лидерство за счёт концентрации ресурсов и транспортной доступности. Для районов с низкими темпами роста (например, Лабинский) целесообразно развивать нишевые направления (экотуризм, сельский туризм), а стабилизация показателей в Новороссийске требует усиления маркетинга культурно-исторических объектов.</w:t>
      </w:r>
    </w:p>
    <w:p w14:paraId="7384A0C3"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color w:val="000000"/>
          <w:sz w:val="32"/>
          <w:szCs w:val="32"/>
        </w:rPr>
        <w:t>Рост объема услуг к аналогичным периодам связаны с закрытыми зарубежными направлениями и ростом внутреннего туризма, переориентаци</w:t>
      </w:r>
      <w:r w:rsidRPr="009472DE">
        <w:rPr>
          <w:rFonts w:ascii="Times New Roman" w:hAnsi="Times New Roman" w:cs="Times New Roman"/>
          <w:sz w:val="32"/>
          <w:szCs w:val="32"/>
        </w:rPr>
        <w:t>ей</w:t>
      </w:r>
      <w:r w:rsidRPr="009472DE">
        <w:rPr>
          <w:rFonts w:ascii="Times New Roman" w:hAnsi="Times New Roman" w:cs="Times New Roman"/>
          <w:color w:val="000000"/>
          <w:sz w:val="32"/>
          <w:szCs w:val="32"/>
        </w:rPr>
        <w:t xml:space="preserve"> логистики авиаперевозок (в частности Сочи) и сохранение в 2024 г. нулевой ставки по НДС для гостиниц (до 30 июня 2027 г.).</w:t>
      </w:r>
      <w:r w:rsidRPr="009472DE">
        <w:rPr>
          <w:rFonts w:ascii="Times New Roman" w:hAnsi="Times New Roman" w:cs="Times New Roman"/>
          <w:sz w:val="32"/>
          <w:szCs w:val="32"/>
        </w:rPr>
        <w:t xml:space="preserve"> </w:t>
      </w:r>
    </w:p>
    <w:p w14:paraId="42184F3A" w14:textId="621E1BAF" w:rsidR="00877DE5"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Повышенный спрос предполагает обязательное наличие кадров необходимой специализации и квалификации. С начала интенсивного развития предпринимательства в санаторно-курортном и туристском комплексе региона в 2015 г., основным поставщиком трудовых ресурсов отрасли являлись миграционные иностранные и инорегиональные потоки. В условиях современной ограничительной политики государства в виде полного запрета нового притока иностранных трудовых ресурсов и правовых ограничений</w:t>
      </w:r>
      <w:r w:rsidR="00C30970">
        <w:rPr>
          <w:rFonts w:ascii="Times New Roman" w:hAnsi="Times New Roman" w:cs="Times New Roman"/>
          <w:sz w:val="32"/>
          <w:szCs w:val="32"/>
        </w:rPr>
        <w:t>,</w:t>
      </w:r>
      <w:r w:rsidRPr="009472DE">
        <w:rPr>
          <w:rFonts w:ascii="Times New Roman" w:hAnsi="Times New Roman" w:cs="Times New Roman"/>
          <w:sz w:val="32"/>
          <w:szCs w:val="32"/>
        </w:rPr>
        <w:t xml:space="preserve"> существующих в виде лицензирования и патентования их деятельности, сокращения притока инорегиональных трудовых </w:t>
      </w:r>
      <w:r w:rsidRPr="009472DE">
        <w:rPr>
          <w:rFonts w:ascii="Times New Roman" w:hAnsi="Times New Roman" w:cs="Times New Roman"/>
          <w:sz w:val="32"/>
          <w:szCs w:val="32"/>
        </w:rPr>
        <w:lastRenderedPageBreak/>
        <w:t>ресурсов в совокупности с неудовлетворительным состоянием воспроизводства рабочей силы в крае (таблица 2). Также неудовлетворительным является состояние квалификационной составляющей трудовых ресурсов комплекса. Тем более, что большинство востребованных профессий в анализируемом комплексе требует наличия начального профессионального образования, 12-15% – среднего профессионального образования и лишь 4-5% – высшего образования (бакалавриата магистратуры или специалитета).</w:t>
      </w:r>
    </w:p>
    <w:p w14:paraId="3818EBEE" w14:textId="77777777" w:rsidR="001F45AE" w:rsidRPr="009472DE" w:rsidRDefault="001F45AE" w:rsidP="001F45AE">
      <w:pPr>
        <w:spacing w:after="0" w:line="240" w:lineRule="auto"/>
        <w:ind w:firstLine="709"/>
        <w:jc w:val="both"/>
        <w:rPr>
          <w:rFonts w:ascii="Times New Roman" w:hAnsi="Times New Roman" w:cs="Times New Roman"/>
          <w:sz w:val="32"/>
          <w:szCs w:val="32"/>
        </w:rPr>
      </w:pPr>
    </w:p>
    <w:p w14:paraId="39A43D9C" w14:textId="77777777" w:rsidR="00877DE5" w:rsidRPr="009472DE" w:rsidRDefault="00877DE5" w:rsidP="000B6F49">
      <w:pPr>
        <w:spacing w:after="0" w:line="240" w:lineRule="auto"/>
        <w:jc w:val="both"/>
        <w:rPr>
          <w:rFonts w:ascii="Times New Roman" w:hAnsi="Times New Roman" w:cs="Times New Roman"/>
          <w:sz w:val="32"/>
          <w:szCs w:val="32"/>
        </w:rPr>
      </w:pPr>
      <w:r w:rsidRPr="009472DE">
        <w:rPr>
          <w:rFonts w:ascii="Times New Roman" w:hAnsi="Times New Roman" w:cs="Times New Roman"/>
          <w:sz w:val="32"/>
          <w:szCs w:val="32"/>
        </w:rPr>
        <w:t>Таблица 2 - Численность работников, занятых в санаторно-курортном и туристском комплексе Краснодарского края [2]</w:t>
      </w:r>
      <w:r w:rsidR="000B6F49">
        <w:rPr>
          <w:rFonts w:ascii="Times New Roman" w:hAnsi="Times New Roman" w:cs="Times New Roman"/>
          <w:sz w:val="32"/>
          <w:szCs w:val="32"/>
        </w:rP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8"/>
        <w:gridCol w:w="3282"/>
        <w:gridCol w:w="2410"/>
        <w:gridCol w:w="2408"/>
      </w:tblGrid>
      <w:tr w:rsidR="00877DE5" w:rsidRPr="009472DE" w14:paraId="2C30B396" w14:textId="77777777" w:rsidTr="001F45AE">
        <w:trPr>
          <w:trHeight w:val="333"/>
        </w:trPr>
        <w:tc>
          <w:tcPr>
            <w:tcW w:w="1538" w:type="dxa"/>
          </w:tcPr>
          <w:p w14:paraId="5E3B8640"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Год</w:t>
            </w:r>
          </w:p>
        </w:tc>
        <w:tc>
          <w:tcPr>
            <w:tcW w:w="3282" w:type="dxa"/>
          </w:tcPr>
          <w:p w14:paraId="2C9A386B"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Постоянные сотрудники</w:t>
            </w:r>
          </w:p>
        </w:tc>
        <w:tc>
          <w:tcPr>
            <w:tcW w:w="2410" w:type="dxa"/>
          </w:tcPr>
          <w:p w14:paraId="33731B51"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Сезонные сотрудники</w:t>
            </w:r>
          </w:p>
        </w:tc>
        <w:tc>
          <w:tcPr>
            <w:tcW w:w="2408" w:type="dxa"/>
          </w:tcPr>
          <w:p w14:paraId="61EBBFFA"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Общая численность</w:t>
            </w:r>
          </w:p>
        </w:tc>
      </w:tr>
      <w:tr w:rsidR="00877DE5" w:rsidRPr="009472DE" w14:paraId="47DA218E" w14:textId="77777777" w:rsidTr="001F45AE">
        <w:tc>
          <w:tcPr>
            <w:tcW w:w="1538" w:type="dxa"/>
          </w:tcPr>
          <w:p w14:paraId="63664C32"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2023 г.</w:t>
            </w:r>
          </w:p>
        </w:tc>
        <w:tc>
          <w:tcPr>
            <w:tcW w:w="3282" w:type="dxa"/>
          </w:tcPr>
          <w:p w14:paraId="6685F7AC"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40 000 чел.</w:t>
            </w:r>
          </w:p>
        </w:tc>
        <w:tc>
          <w:tcPr>
            <w:tcW w:w="2410" w:type="dxa"/>
          </w:tcPr>
          <w:p w14:paraId="3C7B75B3"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8 000 чел.</w:t>
            </w:r>
          </w:p>
        </w:tc>
        <w:tc>
          <w:tcPr>
            <w:tcW w:w="2408" w:type="dxa"/>
          </w:tcPr>
          <w:p w14:paraId="675F234D"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48 000 чел.</w:t>
            </w:r>
          </w:p>
        </w:tc>
      </w:tr>
      <w:tr w:rsidR="00877DE5" w:rsidRPr="009472DE" w14:paraId="0B4B0D26" w14:textId="77777777" w:rsidTr="001F45AE">
        <w:tc>
          <w:tcPr>
            <w:tcW w:w="1538" w:type="dxa"/>
          </w:tcPr>
          <w:p w14:paraId="16462399"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2024 г.</w:t>
            </w:r>
          </w:p>
        </w:tc>
        <w:tc>
          <w:tcPr>
            <w:tcW w:w="3282" w:type="dxa"/>
          </w:tcPr>
          <w:p w14:paraId="1BD06459"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40 000 чел.</w:t>
            </w:r>
          </w:p>
        </w:tc>
        <w:tc>
          <w:tcPr>
            <w:tcW w:w="2410" w:type="dxa"/>
          </w:tcPr>
          <w:p w14:paraId="24A673EA"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8 000 чел.</w:t>
            </w:r>
          </w:p>
        </w:tc>
        <w:tc>
          <w:tcPr>
            <w:tcW w:w="2408" w:type="dxa"/>
          </w:tcPr>
          <w:p w14:paraId="20B999B9" w14:textId="77777777" w:rsidR="00877DE5" w:rsidRPr="009472DE" w:rsidRDefault="00877DE5" w:rsidP="000B6F49">
            <w:pPr>
              <w:spacing w:after="0" w:line="240" w:lineRule="auto"/>
              <w:rPr>
                <w:rFonts w:ascii="Times New Roman" w:hAnsi="Times New Roman" w:cs="Times New Roman"/>
                <w:sz w:val="32"/>
                <w:szCs w:val="32"/>
              </w:rPr>
            </w:pPr>
            <w:r w:rsidRPr="009472DE">
              <w:rPr>
                <w:rFonts w:ascii="Times New Roman" w:hAnsi="Times New Roman" w:cs="Times New Roman"/>
                <w:sz w:val="32"/>
                <w:szCs w:val="32"/>
              </w:rPr>
              <w:t>более 48 000 чел.</w:t>
            </w:r>
          </w:p>
        </w:tc>
      </w:tr>
    </w:tbl>
    <w:p w14:paraId="59443475" w14:textId="77777777" w:rsidR="00877DE5" w:rsidRPr="009472DE" w:rsidRDefault="00877DE5" w:rsidP="000B6F49">
      <w:pPr>
        <w:spacing w:after="0" w:line="240" w:lineRule="auto"/>
        <w:jc w:val="both"/>
        <w:rPr>
          <w:rFonts w:ascii="Times New Roman" w:hAnsi="Times New Roman" w:cs="Times New Roman"/>
          <w:color w:val="000000" w:themeColor="text1"/>
          <w:sz w:val="32"/>
          <w:szCs w:val="32"/>
        </w:rPr>
      </w:pPr>
    </w:p>
    <w:p w14:paraId="289D5B8D" w14:textId="2F1FDDC2"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color w:val="000000" w:themeColor="text1"/>
          <w:sz w:val="32"/>
          <w:szCs w:val="32"/>
        </w:rPr>
        <w:t>Прямые инвестиции в санаторно-курортную отрасль края с 2022 года ежегодно и стабильно превышает 100 млрд. руб., что позволяет отнести эту отрасль экономического механизма края к категории крупных и системообразующих.  Масштабные инвестиционные проекты являются, по нашему мнению, реальным стратегическими инструментами развития предпринимательства в санаторно-курортном и туристском комплексе Краснодарского края, повышающим конкурентоспособность муниципальных округов, поселений, кратно повышает уровень жизни населения в них, придает стратегическогое конкурентное преимущество Краснодарскому краю в условиях мировой глобализации.</w:t>
      </w:r>
    </w:p>
    <w:p w14:paraId="37CDEB0B"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color w:val="000000" w:themeColor="text1"/>
          <w:sz w:val="32"/>
          <w:szCs w:val="32"/>
        </w:rPr>
        <w:t xml:space="preserve">Таким образом, проведенный краткий анализ, позволяет сделать следующие выводы. Предпринимательство в санаторно-курортном комплексе Краснодарского края за период своего становления и развития носило разнонаправленный характер. </w:t>
      </w:r>
    </w:p>
    <w:p w14:paraId="71BECF06"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color w:val="000000" w:themeColor="text1"/>
          <w:sz w:val="32"/>
          <w:szCs w:val="32"/>
        </w:rPr>
        <w:t xml:space="preserve">Его становление можно разделить на три этапа: Первый этап 1987-2000 гг. – начало предпринимательской деятельности в данной отрасли, кооперативное движение в сфере общественного питания, санаторно-курортных услуг, пляжного отдыха. </w:t>
      </w:r>
      <w:r w:rsidRPr="009472DE">
        <w:rPr>
          <w:rFonts w:ascii="Times New Roman" w:hAnsi="Times New Roman" w:cs="Times New Roman"/>
          <w:sz w:val="32"/>
          <w:szCs w:val="32"/>
        </w:rPr>
        <w:t xml:space="preserve">Приватизация и появление частной собственности на средства размещения и сопутствующую инфраструктуру инициируют резкий переход вида собственности из государственной в частную и сопровождался большим объемом «теневого» предпринимательства (в Краснодарском </w:t>
      </w:r>
      <w:r w:rsidRPr="009472DE">
        <w:rPr>
          <w:rFonts w:ascii="Times New Roman" w:hAnsi="Times New Roman" w:cs="Times New Roman"/>
          <w:sz w:val="32"/>
          <w:szCs w:val="32"/>
        </w:rPr>
        <w:lastRenderedPageBreak/>
        <w:t>каре более 60%), массовым уходом от налогообложения, низким «советским» качеством предоставляемых услуг по уже рыночным ценам. «Дикий» капитализм, первоначальное накопление капитала, в «тени» работало более 60% субъектов предпринимательства, значительное влияние имели криминальные структуры, регулярно происходил передел собственности и криминальные войны в этой сфере предпринимательства.</w:t>
      </w:r>
    </w:p>
    <w:p w14:paraId="401904B4"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Второй этап 2000-2010 гг. – упорядочение и выход предпринимательства из тени, составление кадастров и генеральных планов развития курортных территорий и налаживание налогового учета, расширение ассортимента предоставляемых предпринимательским сообществом курортно-рекреационных территорий, начало поступательного развитие туристических маршрутов, экскурсионного обслуживания, улучшение качества услуг, строительство новых объектов.</w:t>
      </w:r>
    </w:p>
    <w:p w14:paraId="1AD63A0B"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Третий этап 2010 г. по настоящее время – разработка и реализация стратегии социально-экономического развития курортных территорий (сейчас действует стратегия до 2040 г.), кластеризация отрасли, повышение «звездности» средств размещения,  интенсивное строительство и развитие средств размещения мирового уровня (4-5 звезд, «все включено», «ультра все включено»), финансовая и налоговая «прозрачность предпринимательства, реализация крупных инвестиционных проектов, о которые анализируются в нашей научно работе.       </w:t>
      </w:r>
    </w:p>
    <w:p w14:paraId="277D8ADE"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Таким образом, генезис предпринимательства в анализируемой сфере носил и носит многовекторный и разнонаправленный характер, прошел стадии от деструктивного падения до поступательного роста на стратегическую перспективу. Рост спроса и числа потребителей этих услуг составил в динамике только за последние годы от 12,7 млн. чел. В 2015 году до 20,1 млн. чел. в 2024 году (на 7,4 млн. чел. или на 63,1%).</w:t>
      </w:r>
    </w:p>
    <w:p w14:paraId="16453C72" w14:textId="07577189"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Характеристика санаторно-курортного и туристского комплекса Краснодарского края подтверждает значительный экономический и инвестиционный потенциал, продолжение тенденций роста числа отдыхающих и туристов (по прогнозам</w:t>
      </w:r>
      <w:r w:rsidR="00C30970">
        <w:rPr>
          <w:rFonts w:ascii="Times New Roman" w:hAnsi="Times New Roman" w:cs="Times New Roman"/>
          <w:sz w:val="32"/>
          <w:szCs w:val="32"/>
        </w:rPr>
        <w:t>,</w:t>
      </w:r>
      <w:r w:rsidRPr="009472DE">
        <w:rPr>
          <w:rFonts w:ascii="Times New Roman" w:hAnsi="Times New Roman" w:cs="Times New Roman"/>
          <w:sz w:val="32"/>
          <w:szCs w:val="32"/>
        </w:rPr>
        <w:t xml:space="preserve"> рост до 2027 года составит 3,5-4,0 млн. чел. в год). Комплекс вошел отдельным разделом в Стратегию социально-экономического развития Краснодарского края до 2030 года и признан стратегической отраслью экономики края. Эти прогнозы базируются на наличии свободных от застройки территорий, </w:t>
      </w:r>
      <w:r w:rsidRPr="009472DE">
        <w:rPr>
          <w:rFonts w:ascii="Times New Roman" w:hAnsi="Times New Roman" w:cs="Times New Roman"/>
          <w:sz w:val="32"/>
          <w:szCs w:val="32"/>
        </w:rPr>
        <w:lastRenderedPageBreak/>
        <w:t>наличием градостроительных план  и земельного кадастра до 2040 года, определяющих земли туристско-рекреационного назначения и страхующих эти площади от иной застройки (чаще всего жилищной), ростом объема внутрироссийских инвестиций, реализацией стратегии импортозамещения в данной сфере.Следует особо отметить рост числа койко мест размещения всех категорий для всех сегментов потребителей – отеле и санаториев высокой «звездности» и ценовой категории до гостевых домов с весьма умеренными ценами. Интенсивное развитие получила сфера общественного питания – от шашлычных из тарной доски до вполне европейского уровня ресторанов, кафе и столовых различных ценовых категорий с гарантированным качеством обслуживания.</w:t>
      </w:r>
    </w:p>
    <w:p w14:paraId="792C9410"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К инструментам развития предпринимательства в индустрии отдыха, оздоровления и туризма мы относим следующие:  </w:t>
      </w:r>
    </w:p>
    <w:p w14:paraId="3E3921EC"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Пространственные – возможность территориального развития, расширения предпринимательской активности не только на прибрежную полосу Черного и Азовского морей, но и преимущественно на предгорную и горную малоосвоенные части края; </w:t>
      </w:r>
    </w:p>
    <w:p w14:paraId="30D73B2B"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Инвестиционные – постоянный рост инвестиций, в том числе и в мегапроекты как федерального так и регионального уровней в совершенствование и развитие транспортной инфраструктуры (уже реализован проект Крымского моста, скоростная автотрасса от федеральной автотрассы  М-4 до Крымского моста, начат реализация скоростной автотрассы Джубга-Сочи, планируется увеличение путей железнодорожного сообщения), проект «Новая Анапа» по застройке прибрежного участка от станицы Благовещенская до города-курорта Анапа сетью отелей и санаториев, аналогичные проекты в других туристско и рекреационно ориентированных муниципальных округах края;</w:t>
      </w:r>
    </w:p>
    <w:p w14:paraId="4C05B1B1"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Финансовые – возможность привлечения льготных кредитов (от 1 до 5 % годовых) из фондов поддержки отраслей экономики края, сформированных и докапитализированных за счет доходной части краевого бюджета;</w:t>
      </w:r>
    </w:p>
    <w:p w14:paraId="117EC1AC" w14:textId="7BB3400D" w:rsidR="00877DE5" w:rsidRPr="009472DE" w:rsidRDefault="00A07D53" w:rsidP="001F45AE">
      <w:pPr>
        <w:spacing w:after="0" w:line="240" w:lineRule="auto"/>
        <w:ind w:firstLine="709"/>
        <w:jc w:val="both"/>
        <w:rPr>
          <w:rFonts w:ascii="Times New Roman" w:hAnsi="Times New Roman" w:cs="Times New Roman"/>
          <w:sz w:val="32"/>
          <w:szCs w:val="32"/>
        </w:rPr>
      </w:pPr>
      <w:r>
        <w:rPr>
          <w:rFonts w:ascii="Times New Roman" w:hAnsi="Times New Roman" w:cs="Times New Roman"/>
          <w:sz w:val="32"/>
          <w:szCs w:val="32"/>
        </w:rPr>
        <w:t>К</w:t>
      </w:r>
      <w:r w:rsidR="00877DE5" w:rsidRPr="009472DE">
        <w:rPr>
          <w:rFonts w:ascii="Times New Roman" w:hAnsi="Times New Roman" w:cs="Times New Roman"/>
          <w:sz w:val="32"/>
          <w:szCs w:val="32"/>
        </w:rPr>
        <w:t xml:space="preserve">адровые и образовательные – учитывая возрастающий дефицит кадров в крае и в анализируемой отрасли (порядка 300-350 тыс. чел.) и запрещение привлечения иностранных трудовых ресурсов, ориентироваться на внутрироссйскую трудовую миграцию и кадровые ресурсы края, создание дополнительной сети учебных заведений </w:t>
      </w:r>
      <w:r w:rsidR="00877DE5" w:rsidRPr="009472DE">
        <w:rPr>
          <w:rFonts w:ascii="Times New Roman" w:hAnsi="Times New Roman" w:cs="Times New Roman"/>
          <w:sz w:val="32"/>
          <w:szCs w:val="32"/>
        </w:rPr>
        <w:lastRenderedPageBreak/>
        <w:t>начального и среднего профессионального образования, наиболее востребованных в санаторно-курортном и туристском комплексе;</w:t>
      </w:r>
    </w:p>
    <w:p w14:paraId="46D8AC51"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Маркетинговые инструменты, позволяющие донести в максимально эффективной форме все достоинства и преимущества кубанских здравниц и курортов до потребителей в России и за рубежом;</w:t>
      </w:r>
    </w:p>
    <w:p w14:paraId="0157682F" w14:textId="77777777" w:rsidR="00877DE5" w:rsidRPr="009472DE"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Кластеризация санаторно-курортного и туристского комплекса края, позволяющая сконцентрировать пространственные, финансовые, инвестиционные и трудовые ресурсы по территориям и стратегическим направлениям развития, определенные Стратегией социально-экономического развития Краснодарского края до 2030 года и обеспечить экономическую безопасность государственного и муниципального управления в условиях цифровизации [3].   </w:t>
      </w:r>
    </w:p>
    <w:p w14:paraId="114494DD" w14:textId="74DB021A" w:rsidR="00877DE5" w:rsidRDefault="00877DE5" w:rsidP="001F45A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Полагаем и уверены, что применение предложенных инструментов развития предпринимательства в санаторно-курортном и туристском комплексе Краснодарского края повысит конкурентоспособность региона на российском и международном рынках профильных услуг в условиях глобализации процессов рекреации, туризма и сервиса. </w:t>
      </w:r>
    </w:p>
    <w:p w14:paraId="10EC8F8B" w14:textId="77777777" w:rsidR="001F45AE" w:rsidRPr="009472DE" w:rsidRDefault="001F45AE" w:rsidP="001F45AE">
      <w:pPr>
        <w:spacing w:after="0" w:line="240" w:lineRule="auto"/>
        <w:ind w:firstLine="709"/>
        <w:jc w:val="both"/>
        <w:rPr>
          <w:rFonts w:ascii="Times New Roman" w:hAnsi="Times New Roman" w:cs="Times New Roman"/>
          <w:sz w:val="32"/>
          <w:szCs w:val="32"/>
        </w:rPr>
      </w:pPr>
    </w:p>
    <w:p w14:paraId="66B45732" w14:textId="77777777" w:rsidR="00877DE5" w:rsidRPr="009472DE" w:rsidRDefault="00877DE5" w:rsidP="00067100">
      <w:pPr>
        <w:spacing w:after="0" w:line="240" w:lineRule="auto"/>
        <w:ind w:firstLine="709"/>
        <w:jc w:val="center"/>
        <w:rPr>
          <w:rFonts w:ascii="Times New Roman" w:hAnsi="Times New Roman" w:cs="Times New Roman"/>
          <w:b/>
          <w:bCs/>
          <w:sz w:val="21"/>
          <w:szCs w:val="21"/>
        </w:rPr>
      </w:pPr>
      <w:r w:rsidRPr="009472DE">
        <w:rPr>
          <w:rFonts w:ascii="Times New Roman" w:hAnsi="Times New Roman" w:cs="Times New Roman"/>
          <w:b/>
          <w:bCs/>
          <w:color w:val="000000" w:themeColor="text1"/>
          <w:sz w:val="21"/>
          <w:szCs w:val="21"/>
        </w:rPr>
        <w:t>Литература:</w:t>
      </w:r>
    </w:p>
    <w:p w14:paraId="2CC2108C" w14:textId="77777777" w:rsidR="00877DE5" w:rsidRPr="009472DE" w:rsidRDefault="00877DE5" w:rsidP="00C30970">
      <w:pPr>
        <w:spacing w:after="0" w:line="240" w:lineRule="auto"/>
        <w:jc w:val="both"/>
        <w:rPr>
          <w:rFonts w:ascii="Times New Roman" w:hAnsi="Times New Roman" w:cs="Times New Roman"/>
          <w:sz w:val="21"/>
          <w:szCs w:val="21"/>
        </w:rPr>
      </w:pPr>
      <w:r w:rsidRPr="009472DE">
        <w:rPr>
          <w:rFonts w:ascii="Times New Roman" w:hAnsi="Times New Roman" w:cs="Times New Roman"/>
          <w:color w:val="000000"/>
          <w:sz w:val="21"/>
          <w:szCs w:val="21"/>
        </w:rPr>
        <w:t xml:space="preserve">1. </w:t>
      </w:r>
      <w:r w:rsidRPr="009472DE">
        <w:rPr>
          <w:rFonts w:ascii="Times New Roman" w:hAnsi="Times New Roman" w:cs="Times New Roman"/>
          <w:sz w:val="21"/>
          <w:szCs w:val="21"/>
        </w:rPr>
        <w:t xml:space="preserve">Официальный сайт Министерства курортов, туризма и олимпийского наследия Краснодарского края: kurort.krasnodar.ru (Даты обращения 08.04.2025 г., 12.04.2025 г., 16.04.2025 г., 19.04.2025 г., 06.05.2025 г.) </w:t>
      </w:r>
    </w:p>
    <w:p w14:paraId="2C0183BB" w14:textId="77777777" w:rsidR="00877DE5" w:rsidRPr="009472DE" w:rsidRDefault="00877DE5" w:rsidP="00C30970">
      <w:pPr>
        <w:spacing w:after="0" w:line="240" w:lineRule="auto"/>
        <w:jc w:val="both"/>
        <w:rPr>
          <w:rFonts w:ascii="Times New Roman" w:hAnsi="Times New Roman" w:cs="Times New Roman"/>
          <w:sz w:val="21"/>
          <w:szCs w:val="21"/>
        </w:rPr>
      </w:pPr>
      <w:r w:rsidRPr="009472DE">
        <w:rPr>
          <w:rFonts w:ascii="Times New Roman" w:hAnsi="Times New Roman" w:cs="Times New Roman"/>
          <w:sz w:val="21"/>
          <w:szCs w:val="21"/>
        </w:rPr>
        <w:t>2. Официальный сайт Управления Федеральной службы государственной статистики по Краснодарскому краю и Республике Адыгея:  23.rosstat.gov.ruю</w:t>
      </w:r>
    </w:p>
    <w:p w14:paraId="5127719A" w14:textId="77777777" w:rsidR="00877DE5" w:rsidRPr="009472DE" w:rsidRDefault="00877DE5" w:rsidP="00C30970">
      <w:pPr>
        <w:spacing w:after="0" w:line="240" w:lineRule="auto"/>
        <w:jc w:val="both"/>
        <w:rPr>
          <w:rFonts w:ascii="Times New Roman" w:hAnsi="Times New Roman" w:cs="Times New Roman"/>
          <w:sz w:val="21"/>
          <w:szCs w:val="21"/>
        </w:rPr>
      </w:pPr>
      <w:r w:rsidRPr="009472DE">
        <w:rPr>
          <w:rFonts w:ascii="Times New Roman" w:hAnsi="Times New Roman" w:cs="Times New Roman"/>
          <w:sz w:val="21"/>
          <w:szCs w:val="21"/>
        </w:rPr>
        <w:t>(Даты обращения 07.04.2025 г., 14.04.2025 г., 17.04.2025 г., 20.04.2025 г., 21.04.2025 г.)</w:t>
      </w:r>
    </w:p>
    <w:p w14:paraId="713E0486" w14:textId="77777777" w:rsidR="00877DE5" w:rsidRPr="009472DE" w:rsidRDefault="00877DE5" w:rsidP="00C30970">
      <w:pPr>
        <w:spacing w:after="0" w:line="240" w:lineRule="auto"/>
        <w:jc w:val="both"/>
        <w:rPr>
          <w:rFonts w:ascii="Times New Roman" w:hAnsi="Times New Roman" w:cs="Times New Roman"/>
          <w:sz w:val="21"/>
          <w:szCs w:val="21"/>
        </w:rPr>
      </w:pPr>
      <w:r w:rsidRPr="009472DE">
        <w:rPr>
          <w:rFonts w:ascii="Times New Roman" w:hAnsi="Times New Roman" w:cs="Times New Roman"/>
          <w:sz w:val="21"/>
          <w:szCs w:val="21"/>
        </w:rPr>
        <w:t>3. Берлин С.И., Смирнова Е.В., Берлина Д.С. Императивы экономической безопасности государственного и муниципального управления в условиях цифровизации // Естественно-гуманитарные исследования. 2024. № 1 (57). С. 52-56</w:t>
      </w:r>
    </w:p>
    <w:p w14:paraId="734071E0" w14:textId="77777777" w:rsidR="00877DE5" w:rsidRPr="009472DE" w:rsidRDefault="00877DE5" w:rsidP="00067100">
      <w:pPr>
        <w:spacing w:after="0" w:line="240" w:lineRule="auto"/>
        <w:ind w:firstLine="709"/>
        <w:jc w:val="center"/>
        <w:rPr>
          <w:rFonts w:ascii="Times New Roman" w:hAnsi="Times New Roman" w:cs="Times New Roman"/>
          <w:b/>
          <w:sz w:val="32"/>
          <w:szCs w:val="32"/>
        </w:rPr>
      </w:pPr>
    </w:p>
    <w:p w14:paraId="0A5D9F7B" w14:textId="77777777" w:rsidR="00877DE5" w:rsidRPr="009472DE" w:rsidRDefault="00877DE5" w:rsidP="00266376">
      <w:pPr>
        <w:spacing w:after="0" w:line="240" w:lineRule="auto"/>
        <w:rPr>
          <w:rFonts w:ascii="Times New Roman" w:hAnsi="Times New Roman" w:cs="Times New Roman"/>
          <w:b/>
          <w:sz w:val="21"/>
        </w:rPr>
      </w:pPr>
      <w:r w:rsidRPr="009472DE">
        <w:rPr>
          <w:rFonts w:ascii="Times New Roman" w:hAnsi="Times New Roman" w:cs="Times New Roman"/>
          <w:b/>
          <w:sz w:val="21"/>
        </w:rPr>
        <w:t>УДК</w:t>
      </w:r>
      <w:r w:rsidRPr="009472DE">
        <w:rPr>
          <w:rFonts w:ascii="Times New Roman" w:hAnsi="Times New Roman" w:cs="Times New Roman"/>
          <w:b/>
          <w:spacing w:val="-2"/>
          <w:sz w:val="21"/>
        </w:rPr>
        <w:t xml:space="preserve"> </w:t>
      </w:r>
      <w:r w:rsidRPr="009472DE">
        <w:rPr>
          <w:rFonts w:ascii="Times New Roman" w:hAnsi="Times New Roman" w:cs="Times New Roman"/>
          <w:b/>
          <w:spacing w:val="-5"/>
          <w:sz w:val="21"/>
        </w:rPr>
        <w:t>338</w:t>
      </w:r>
    </w:p>
    <w:p w14:paraId="44BBE3F6" w14:textId="77777777" w:rsidR="00877DE5" w:rsidRPr="009472DE" w:rsidRDefault="00877DE5" w:rsidP="00067100">
      <w:pPr>
        <w:spacing w:after="0" w:line="240" w:lineRule="auto"/>
        <w:ind w:firstLine="709"/>
        <w:rPr>
          <w:rFonts w:ascii="Times New Roman" w:hAnsi="Times New Roman" w:cs="Times New Roman"/>
          <w:b/>
          <w:sz w:val="20"/>
        </w:rPr>
      </w:pPr>
    </w:p>
    <w:p w14:paraId="772529A2" w14:textId="77777777" w:rsidR="00877DE5" w:rsidRPr="009472DE" w:rsidRDefault="00877DE5" w:rsidP="00067100">
      <w:pPr>
        <w:spacing w:after="0" w:line="240" w:lineRule="auto"/>
        <w:ind w:right="137" w:firstLine="709"/>
        <w:jc w:val="right"/>
        <w:rPr>
          <w:rFonts w:ascii="Times New Roman" w:hAnsi="Times New Roman" w:cs="Times New Roman"/>
          <w:b/>
          <w:i/>
          <w:sz w:val="20"/>
        </w:rPr>
      </w:pPr>
      <w:r w:rsidRPr="009472DE">
        <w:rPr>
          <w:rFonts w:ascii="Times New Roman" w:hAnsi="Times New Roman" w:cs="Times New Roman"/>
          <w:b/>
          <w:i/>
          <w:sz w:val="20"/>
        </w:rPr>
        <w:t>Богданова</w:t>
      </w:r>
      <w:r w:rsidRPr="009472DE">
        <w:rPr>
          <w:rFonts w:ascii="Times New Roman" w:hAnsi="Times New Roman" w:cs="Times New Roman"/>
          <w:b/>
          <w:i/>
          <w:spacing w:val="-9"/>
          <w:sz w:val="20"/>
        </w:rPr>
        <w:t xml:space="preserve"> </w:t>
      </w:r>
      <w:r w:rsidR="00266376">
        <w:rPr>
          <w:rFonts w:ascii="Times New Roman" w:hAnsi="Times New Roman" w:cs="Times New Roman"/>
          <w:b/>
          <w:i/>
          <w:spacing w:val="-2"/>
          <w:sz w:val="20"/>
        </w:rPr>
        <w:t>М.А.,</w:t>
      </w:r>
    </w:p>
    <w:p w14:paraId="67BB20D0" w14:textId="77777777" w:rsidR="00877DE5" w:rsidRPr="009472DE" w:rsidRDefault="00877DE5" w:rsidP="00067100">
      <w:pPr>
        <w:spacing w:after="0" w:line="240" w:lineRule="auto"/>
        <w:ind w:left="141" w:right="138" w:firstLine="709"/>
        <w:jc w:val="right"/>
        <w:rPr>
          <w:rFonts w:ascii="Times New Roman" w:hAnsi="Times New Roman" w:cs="Times New Roman"/>
          <w:i/>
          <w:sz w:val="21"/>
        </w:rPr>
      </w:pPr>
      <w:r w:rsidRPr="009472DE">
        <w:rPr>
          <w:rFonts w:ascii="Times New Roman" w:hAnsi="Times New Roman" w:cs="Times New Roman"/>
          <w:i/>
          <w:sz w:val="21"/>
        </w:rPr>
        <w:t>студент</w:t>
      </w:r>
      <w:r w:rsidRPr="009472DE">
        <w:rPr>
          <w:rFonts w:ascii="Times New Roman" w:hAnsi="Times New Roman" w:cs="Times New Roman"/>
          <w:i/>
          <w:spacing w:val="-14"/>
          <w:sz w:val="21"/>
        </w:rPr>
        <w:t xml:space="preserve"> </w:t>
      </w:r>
      <w:r w:rsidRPr="009472DE">
        <w:rPr>
          <w:rFonts w:ascii="Times New Roman" w:hAnsi="Times New Roman" w:cs="Times New Roman"/>
          <w:i/>
          <w:sz w:val="21"/>
        </w:rPr>
        <w:t>1</w:t>
      </w:r>
      <w:r w:rsidRPr="009472DE">
        <w:rPr>
          <w:rFonts w:ascii="Times New Roman" w:hAnsi="Times New Roman" w:cs="Times New Roman"/>
          <w:i/>
          <w:spacing w:val="-13"/>
          <w:sz w:val="21"/>
        </w:rPr>
        <w:t xml:space="preserve"> </w:t>
      </w:r>
      <w:r w:rsidRPr="009472DE">
        <w:rPr>
          <w:rFonts w:ascii="Times New Roman" w:hAnsi="Times New Roman" w:cs="Times New Roman"/>
          <w:i/>
          <w:sz w:val="21"/>
        </w:rPr>
        <w:t>курса Федеральное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государственное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образовательное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бюджетное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учреждение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высшего</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образования Финансовый университет при Правительстве Российской Федерации</w:t>
      </w:r>
    </w:p>
    <w:p w14:paraId="10E6BA3C" w14:textId="77777777" w:rsidR="00877DE5" w:rsidRDefault="00877DE5" w:rsidP="00067100">
      <w:pPr>
        <w:spacing w:after="0" w:line="240" w:lineRule="auto"/>
        <w:ind w:left="5501" w:right="136" w:firstLine="709"/>
        <w:jc w:val="right"/>
        <w:rPr>
          <w:rFonts w:ascii="Times New Roman" w:hAnsi="Times New Roman" w:cs="Times New Roman"/>
          <w:i/>
          <w:sz w:val="21"/>
        </w:rPr>
      </w:pPr>
      <w:r w:rsidRPr="009472DE">
        <w:rPr>
          <w:rFonts w:ascii="Times New Roman" w:hAnsi="Times New Roman" w:cs="Times New Roman"/>
          <w:i/>
          <w:sz w:val="21"/>
        </w:rPr>
        <w:t>г.</w:t>
      </w:r>
      <w:r w:rsidRPr="009472DE">
        <w:rPr>
          <w:rFonts w:ascii="Times New Roman" w:hAnsi="Times New Roman" w:cs="Times New Roman"/>
          <w:i/>
          <w:spacing w:val="-14"/>
          <w:sz w:val="21"/>
        </w:rPr>
        <w:t xml:space="preserve"> </w:t>
      </w:r>
      <w:r w:rsidRPr="009472DE">
        <w:rPr>
          <w:rFonts w:ascii="Times New Roman" w:hAnsi="Times New Roman" w:cs="Times New Roman"/>
          <w:i/>
          <w:sz w:val="21"/>
        </w:rPr>
        <w:t>Краснодар,</w:t>
      </w:r>
      <w:r w:rsidRPr="009472DE">
        <w:rPr>
          <w:rFonts w:ascii="Times New Roman" w:hAnsi="Times New Roman" w:cs="Times New Roman"/>
          <w:i/>
          <w:spacing w:val="-13"/>
          <w:sz w:val="21"/>
        </w:rPr>
        <w:t xml:space="preserve"> </w:t>
      </w:r>
      <w:r w:rsidRPr="009472DE">
        <w:rPr>
          <w:rFonts w:ascii="Times New Roman" w:hAnsi="Times New Roman" w:cs="Times New Roman"/>
          <w:i/>
          <w:sz w:val="21"/>
        </w:rPr>
        <w:t xml:space="preserve">Россия </w:t>
      </w:r>
    </w:p>
    <w:p w14:paraId="7E834E22" w14:textId="77777777" w:rsidR="00877DE5" w:rsidRDefault="00877DE5" w:rsidP="00067100">
      <w:pPr>
        <w:spacing w:after="0" w:line="240" w:lineRule="auto"/>
        <w:ind w:left="5501" w:right="136" w:firstLine="709"/>
        <w:jc w:val="right"/>
        <w:rPr>
          <w:rFonts w:ascii="Times New Roman" w:hAnsi="Times New Roman" w:cs="Times New Roman"/>
          <w:i/>
          <w:color w:val="0000FF"/>
          <w:spacing w:val="-2"/>
          <w:sz w:val="21"/>
          <w:u w:val="single" w:color="0000FF"/>
        </w:rPr>
      </w:pPr>
      <w:r w:rsidRPr="009472DE">
        <w:rPr>
          <w:rFonts w:ascii="Times New Roman" w:hAnsi="Times New Roman" w:cs="Times New Roman"/>
          <w:i/>
          <w:sz w:val="21"/>
        </w:rPr>
        <w:t>е-mail:</w:t>
      </w:r>
      <w:hyperlink r:id="rId35">
        <w:r w:rsidRPr="009472DE">
          <w:rPr>
            <w:rFonts w:ascii="Times New Roman" w:hAnsi="Times New Roman" w:cs="Times New Roman"/>
            <w:i/>
            <w:color w:val="0000FF"/>
            <w:spacing w:val="-2"/>
            <w:sz w:val="21"/>
            <w:u w:val="single" w:color="0000FF"/>
          </w:rPr>
          <w:t>Bogdamash14085@gmail.com</w:t>
        </w:r>
      </w:hyperlink>
    </w:p>
    <w:p w14:paraId="0E59735A" w14:textId="77777777" w:rsidR="00877DE5" w:rsidRDefault="00877DE5" w:rsidP="00067100">
      <w:pPr>
        <w:spacing w:after="0" w:line="240" w:lineRule="auto"/>
        <w:ind w:left="5501" w:right="136" w:firstLine="709"/>
        <w:jc w:val="right"/>
        <w:rPr>
          <w:rFonts w:ascii="Times New Roman" w:hAnsi="Times New Roman" w:cs="Times New Roman"/>
          <w:b/>
          <w:i/>
          <w:sz w:val="21"/>
        </w:rPr>
      </w:pPr>
    </w:p>
    <w:p w14:paraId="18AB070F" w14:textId="77777777" w:rsidR="00877DE5" w:rsidRPr="009472DE" w:rsidRDefault="00877DE5" w:rsidP="00067100">
      <w:pPr>
        <w:spacing w:after="0" w:line="240" w:lineRule="auto"/>
        <w:ind w:left="5501" w:right="136" w:firstLine="709"/>
        <w:jc w:val="right"/>
        <w:rPr>
          <w:rFonts w:ascii="Times New Roman" w:hAnsi="Times New Roman" w:cs="Times New Roman"/>
          <w:b/>
          <w:i/>
          <w:sz w:val="21"/>
        </w:rPr>
      </w:pPr>
      <w:r w:rsidRPr="009472DE">
        <w:rPr>
          <w:rFonts w:ascii="Times New Roman" w:hAnsi="Times New Roman" w:cs="Times New Roman"/>
          <w:b/>
          <w:i/>
          <w:sz w:val="21"/>
        </w:rPr>
        <w:t>Научный</w:t>
      </w:r>
      <w:r w:rsidRPr="009472DE">
        <w:rPr>
          <w:rFonts w:ascii="Times New Roman" w:hAnsi="Times New Roman" w:cs="Times New Roman"/>
          <w:b/>
          <w:i/>
          <w:spacing w:val="-7"/>
          <w:sz w:val="21"/>
        </w:rPr>
        <w:t xml:space="preserve"> </w:t>
      </w:r>
      <w:r w:rsidRPr="009472DE">
        <w:rPr>
          <w:rFonts w:ascii="Times New Roman" w:hAnsi="Times New Roman" w:cs="Times New Roman"/>
          <w:b/>
          <w:i/>
          <w:spacing w:val="-2"/>
          <w:sz w:val="21"/>
        </w:rPr>
        <w:t>руководитель:</w:t>
      </w:r>
    </w:p>
    <w:p w14:paraId="743A893C" w14:textId="77777777" w:rsidR="00877DE5" w:rsidRDefault="00877DE5" w:rsidP="00067100">
      <w:pPr>
        <w:spacing w:after="0" w:line="240" w:lineRule="auto"/>
        <w:ind w:left="1170" w:right="137" w:firstLine="709"/>
        <w:jc w:val="right"/>
        <w:rPr>
          <w:rFonts w:ascii="Times New Roman" w:hAnsi="Times New Roman" w:cs="Times New Roman"/>
          <w:b/>
          <w:i/>
          <w:spacing w:val="-5"/>
          <w:sz w:val="21"/>
        </w:rPr>
      </w:pPr>
      <w:r w:rsidRPr="009472DE">
        <w:rPr>
          <w:rFonts w:ascii="Times New Roman" w:hAnsi="Times New Roman" w:cs="Times New Roman"/>
          <w:b/>
          <w:i/>
          <w:sz w:val="21"/>
        </w:rPr>
        <w:t>Радченко</w:t>
      </w:r>
      <w:r w:rsidRPr="009472DE">
        <w:rPr>
          <w:rFonts w:ascii="Times New Roman" w:hAnsi="Times New Roman" w:cs="Times New Roman"/>
          <w:b/>
          <w:i/>
          <w:spacing w:val="-5"/>
          <w:sz w:val="21"/>
        </w:rPr>
        <w:t xml:space="preserve"> </w:t>
      </w:r>
      <w:r>
        <w:rPr>
          <w:rFonts w:ascii="Times New Roman" w:hAnsi="Times New Roman" w:cs="Times New Roman"/>
          <w:b/>
          <w:i/>
          <w:spacing w:val="-5"/>
          <w:sz w:val="21"/>
        </w:rPr>
        <w:t>М.В.</w:t>
      </w:r>
    </w:p>
    <w:p w14:paraId="04AFCB3F" w14:textId="77777777" w:rsidR="00266376" w:rsidRDefault="00266376" w:rsidP="00067100">
      <w:pPr>
        <w:spacing w:after="0" w:line="240" w:lineRule="auto"/>
        <w:ind w:left="1170" w:right="137" w:firstLine="709"/>
        <w:jc w:val="right"/>
        <w:rPr>
          <w:rFonts w:ascii="Times New Roman" w:hAnsi="Times New Roman" w:cs="Times New Roman"/>
          <w:b/>
          <w:i/>
          <w:sz w:val="21"/>
        </w:rPr>
      </w:pPr>
      <w:r>
        <w:rPr>
          <w:rFonts w:ascii="Times New Roman" w:hAnsi="Times New Roman" w:cs="Times New Roman"/>
          <w:i/>
          <w:sz w:val="21"/>
        </w:rPr>
        <w:t>Доцент кафедры «Экономика и финансы»</w:t>
      </w:r>
    </w:p>
    <w:p w14:paraId="6714DA85" w14:textId="77777777" w:rsidR="00877DE5" w:rsidRPr="009472DE" w:rsidRDefault="00877DE5" w:rsidP="00067100">
      <w:pPr>
        <w:spacing w:after="0" w:line="240" w:lineRule="auto"/>
        <w:ind w:right="137" w:firstLine="709"/>
        <w:jc w:val="right"/>
        <w:rPr>
          <w:rFonts w:ascii="Times New Roman" w:hAnsi="Times New Roman" w:cs="Times New Roman"/>
          <w:i/>
          <w:sz w:val="21"/>
        </w:rPr>
      </w:pPr>
      <w:r w:rsidRPr="009472DE">
        <w:rPr>
          <w:rFonts w:ascii="Times New Roman" w:hAnsi="Times New Roman" w:cs="Times New Roman"/>
          <w:i/>
          <w:sz w:val="21"/>
        </w:rPr>
        <w:t>Федеральное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государственное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образовательное</w:t>
      </w:r>
      <w:r>
        <w:rPr>
          <w:rFonts w:ascii="Times New Roman" w:hAnsi="Times New Roman" w:cs="Times New Roman"/>
          <w:i/>
          <w:spacing w:val="-5"/>
          <w:sz w:val="21"/>
        </w:rPr>
        <w:t xml:space="preserve"> </w:t>
      </w:r>
      <w:r w:rsidRPr="009472DE">
        <w:rPr>
          <w:rFonts w:ascii="Times New Roman" w:hAnsi="Times New Roman" w:cs="Times New Roman"/>
          <w:i/>
          <w:sz w:val="21"/>
        </w:rPr>
        <w:t>бюджетное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учреждение</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высшего</w:t>
      </w:r>
      <w:r w:rsidRPr="009472DE">
        <w:rPr>
          <w:rFonts w:ascii="Times New Roman" w:hAnsi="Times New Roman" w:cs="Times New Roman"/>
          <w:i/>
          <w:spacing w:val="-5"/>
          <w:sz w:val="21"/>
        </w:rPr>
        <w:t xml:space="preserve"> </w:t>
      </w:r>
      <w:r w:rsidRPr="009472DE">
        <w:rPr>
          <w:rFonts w:ascii="Times New Roman" w:hAnsi="Times New Roman" w:cs="Times New Roman"/>
          <w:i/>
          <w:sz w:val="21"/>
        </w:rPr>
        <w:t>образования Финансовый университет при Правительстве Российской Федерации</w:t>
      </w:r>
    </w:p>
    <w:p w14:paraId="261007B8" w14:textId="5362B389" w:rsidR="00877DE5" w:rsidRDefault="00877DE5" w:rsidP="00067100">
      <w:pPr>
        <w:spacing w:after="0" w:line="240" w:lineRule="auto"/>
        <w:ind w:right="135" w:firstLine="709"/>
        <w:jc w:val="right"/>
        <w:rPr>
          <w:rFonts w:ascii="Times New Roman" w:hAnsi="Times New Roman" w:cs="Times New Roman"/>
          <w:i/>
          <w:sz w:val="21"/>
        </w:rPr>
      </w:pPr>
      <w:r w:rsidRPr="009472DE">
        <w:rPr>
          <w:rFonts w:ascii="Times New Roman" w:hAnsi="Times New Roman" w:cs="Times New Roman"/>
          <w:i/>
          <w:sz w:val="21"/>
        </w:rPr>
        <w:t>г.</w:t>
      </w:r>
      <w:r w:rsidRPr="009472DE">
        <w:rPr>
          <w:rFonts w:ascii="Times New Roman" w:hAnsi="Times New Roman" w:cs="Times New Roman"/>
          <w:i/>
          <w:spacing w:val="-14"/>
          <w:sz w:val="21"/>
        </w:rPr>
        <w:t xml:space="preserve"> </w:t>
      </w:r>
      <w:r w:rsidRPr="009472DE">
        <w:rPr>
          <w:rFonts w:ascii="Times New Roman" w:hAnsi="Times New Roman" w:cs="Times New Roman"/>
          <w:i/>
          <w:sz w:val="21"/>
        </w:rPr>
        <w:t>Краснодар,</w:t>
      </w:r>
      <w:r w:rsidR="00C30970">
        <w:rPr>
          <w:rFonts w:ascii="Times New Roman" w:hAnsi="Times New Roman" w:cs="Times New Roman"/>
          <w:i/>
          <w:sz w:val="21"/>
        </w:rPr>
        <w:t xml:space="preserve"> </w:t>
      </w:r>
      <w:r w:rsidRPr="009472DE">
        <w:rPr>
          <w:rFonts w:ascii="Times New Roman" w:hAnsi="Times New Roman" w:cs="Times New Roman"/>
          <w:i/>
          <w:sz w:val="21"/>
        </w:rPr>
        <w:t>Россия</w:t>
      </w:r>
    </w:p>
    <w:p w14:paraId="5004EACB" w14:textId="77777777" w:rsidR="00877DE5" w:rsidRPr="009472DE" w:rsidRDefault="00877DE5" w:rsidP="00067100">
      <w:pPr>
        <w:spacing w:after="0" w:line="240" w:lineRule="auto"/>
        <w:ind w:right="135" w:firstLine="709"/>
        <w:jc w:val="right"/>
        <w:rPr>
          <w:rFonts w:ascii="Times New Roman" w:hAnsi="Times New Roman" w:cs="Times New Roman"/>
          <w:i/>
          <w:sz w:val="21"/>
        </w:rPr>
      </w:pPr>
      <w:r>
        <w:rPr>
          <w:rFonts w:ascii="Times New Roman" w:hAnsi="Times New Roman" w:cs="Times New Roman"/>
          <w:i/>
          <w:sz w:val="21"/>
        </w:rPr>
        <w:t>е-</w:t>
      </w:r>
      <w:r w:rsidRPr="009472DE">
        <w:rPr>
          <w:rFonts w:ascii="Times New Roman" w:hAnsi="Times New Roman" w:cs="Times New Roman"/>
          <w:i/>
          <w:sz w:val="21"/>
        </w:rPr>
        <w:t>mail</w:t>
      </w:r>
      <w:r>
        <w:rPr>
          <w:rFonts w:ascii="Times New Roman" w:hAnsi="Times New Roman" w:cs="Times New Roman"/>
          <w:i/>
          <w:sz w:val="21"/>
        </w:rPr>
        <w:t>:</w:t>
      </w:r>
      <w:hyperlink r:id="rId36">
        <w:r w:rsidRPr="009472DE">
          <w:rPr>
            <w:rFonts w:ascii="Times New Roman" w:hAnsi="Times New Roman" w:cs="Times New Roman"/>
            <w:i/>
            <w:color w:val="0000FF"/>
            <w:spacing w:val="-2"/>
            <w:sz w:val="21"/>
            <w:u w:val="single" w:color="0000FF"/>
          </w:rPr>
          <w:t>MVRadchenko@fa.ru</w:t>
        </w:r>
      </w:hyperlink>
    </w:p>
    <w:p w14:paraId="67B05C7D" w14:textId="77777777" w:rsidR="00877DE5" w:rsidRPr="009472DE" w:rsidRDefault="00877DE5" w:rsidP="00067100">
      <w:pPr>
        <w:pStyle w:val="af3"/>
        <w:spacing w:before="0"/>
        <w:ind w:left="0" w:firstLine="709"/>
        <w:jc w:val="left"/>
        <w:rPr>
          <w:i/>
          <w:sz w:val="21"/>
        </w:rPr>
      </w:pPr>
    </w:p>
    <w:p w14:paraId="73D91314" w14:textId="77777777" w:rsidR="00877DE5" w:rsidRDefault="00877DE5" w:rsidP="00067100">
      <w:pPr>
        <w:spacing w:after="0" w:line="240" w:lineRule="auto"/>
        <w:ind w:right="3" w:firstLine="709"/>
        <w:jc w:val="center"/>
        <w:rPr>
          <w:rFonts w:ascii="Times New Roman" w:hAnsi="Times New Roman" w:cs="Times New Roman"/>
          <w:b/>
          <w:spacing w:val="-2"/>
          <w:sz w:val="21"/>
        </w:rPr>
      </w:pPr>
      <w:r w:rsidRPr="009472DE">
        <w:rPr>
          <w:rFonts w:ascii="Times New Roman" w:hAnsi="Times New Roman" w:cs="Times New Roman"/>
          <w:b/>
          <w:sz w:val="21"/>
        </w:rPr>
        <w:t>Статистический</w:t>
      </w:r>
      <w:r w:rsidRPr="009472DE">
        <w:rPr>
          <w:rFonts w:ascii="Times New Roman" w:hAnsi="Times New Roman" w:cs="Times New Roman"/>
          <w:b/>
          <w:spacing w:val="-13"/>
          <w:sz w:val="21"/>
        </w:rPr>
        <w:t xml:space="preserve"> </w:t>
      </w:r>
      <w:r w:rsidRPr="009472DE">
        <w:rPr>
          <w:rFonts w:ascii="Times New Roman" w:hAnsi="Times New Roman" w:cs="Times New Roman"/>
          <w:b/>
          <w:sz w:val="21"/>
        </w:rPr>
        <w:t>анализ</w:t>
      </w:r>
      <w:r w:rsidRPr="009472DE">
        <w:rPr>
          <w:rFonts w:ascii="Times New Roman" w:hAnsi="Times New Roman" w:cs="Times New Roman"/>
          <w:b/>
          <w:spacing w:val="-10"/>
          <w:sz w:val="21"/>
        </w:rPr>
        <w:t xml:space="preserve"> </w:t>
      </w:r>
      <w:r w:rsidRPr="009472DE">
        <w:rPr>
          <w:rFonts w:ascii="Times New Roman" w:hAnsi="Times New Roman" w:cs="Times New Roman"/>
          <w:b/>
          <w:sz w:val="21"/>
        </w:rPr>
        <w:t>рынка</w:t>
      </w:r>
      <w:r w:rsidRPr="009472DE">
        <w:rPr>
          <w:rFonts w:ascii="Times New Roman" w:hAnsi="Times New Roman" w:cs="Times New Roman"/>
          <w:b/>
          <w:spacing w:val="-9"/>
          <w:sz w:val="21"/>
        </w:rPr>
        <w:t xml:space="preserve"> </w:t>
      </w:r>
      <w:r w:rsidRPr="009472DE">
        <w:rPr>
          <w:rFonts w:ascii="Times New Roman" w:hAnsi="Times New Roman" w:cs="Times New Roman"/>
          <w:b/>
          <w:sz w:val="21"/>
        </w:rPr>
        <w:t>труда</w:t>
      </w:r>
      <w:r w:rsidRPr="009472DE">
        <w:rPr>
          <w:rFonts w:ascii="Times New Roman" w:hAnsi="Times New Roman" w:cs="Times New Roman"/>
          <w:b/>
          <w:spacing w:val="-9"/>
          <w:sz w:val="21"/>
        </w:rPr>
        <w:t xml:space="preserve"> </w:t>
      </w:r>
      <w:r w:rsidRPr="009472DE">
        <w:rPr>
          <w:rFonts w:ascii="Times New Roman" w:hAnsi="Times New Roman" w:cs="Times New Roman"/>
          <w:b/>
          <w:sz w:val="21"/>
        </w:rPr>
        <w:t>России</w:t>
      </w:r>
      <w:r w:rsidRPr="009472DE">
        <w:rPr>
          <w:rFonts w:ascii="Times New Roman" w:hAnsi="Times New Roman" w:cs="Times New Roman"/>
          <w:b/>
          <w:spacing w:val="-9"/>
          <w:sz w:val="21"/>
        </w:rPr>
        <w:t xml:space="preserve"> </w:t>
      </w:r>
      <w:r w:rsidRPr="009472DE">
        <w:rPr>
          <w:rFonts w:ascii="Times New Roman" w:hAnsi="Times New Roman" w:cs="Times New Roman"/>
          <w:b/>
          <w:sz w:val="21"/>
        </w:rPr>
        <w:t>(Краснодарского</w:t>
      </w:r>
      <w:r w:rsidRPr="009472DE">
        <w:rPr>
          <w:rFonts w:ascii="Times New Roman" w:hAnsi="Times New Roman" w:cs="Times New Roman"/>
          <w:b/>
          <w:spacing w:val="-9"/>
          <w:sz w:val="21"/>
        </w:rPr>
        <w:t xml:space="preserve"> </w:t>
      </w:r>
      <w:r w:rsidRPr="009472DE">
        <w:rPr>
          <w:rFonts w:ascii="Times New Roman" w:hAnsi="Times New Roman" w:cs="Times New Roman"/>
          <w:b/>
          <w:spacing w:val="-2"/>
          <w:sz w:val="21"/>
        </w:rPr>
        <w:t>края)</w:t>
      </w:r>
    </w:p>
    <w:p w14:paraId="69BDE724" w14:textId="77777777" w:rsidR="00877DE5" w:rsidRPr="009472DE" w:rsidRDefault="00877DE5" w:rsidP="00067100">
      <w:pPr>
        <w:spacing w:after="0" w:line="240" w:lineRule="auto"/>
        <w:ind w:right="3" w:firstLine="709"/>
        <w:jc w:val="center"/>
        <w:rPr>
          <w:rFonts w:ascii="Times New Roman" w:hAnsi="Times New Roman" w:cs="Times New Roman"/>
          <w:b/>
          <w:sz w:val="21"/>
        </w:rPr>
      </w:pPr>
    </w:p>
    <w:p w14:paraId="35593A1A" w14:textId="77777777" w:rsidR="00877DE5" w:rsidRPr="009472DE" w:rsidRDefault="00877DE5" w:rsidP="00067100">
      <w:pPr>
        <w:spacing w:after="0" w:line="240" w:lineRule="auto"/>
        <w:ind w:left="141" w:right="134" w:firstLine="709"/>
        <w:jc w:val="both"/>
        <w:rPr>
          <w:rFonts w:ascii="Times New Roman" w:hAnsi="Times New Roman" w:cs="Times New Roman"/>
          <w:sz w:val="21"/>
        </w:rPr>
      </w:pPr>
      <w:r w:rsidRPr="009472DE">
        <w:rPr>
          <w:rFonts w:ascii="Times New Roman" w:hAnsi="Times New Roman" w:cs="Times New Roman"/>
          <w:b/>
          <w:sz w:val="21"/>
        </w:rPr>
        <w:lastRenderedPageBreak/>
        <w:t>Аннотация:</w:t>
      </w:r>
      <w:r w:rsidRPr="009472DE">
        <w:rPr>
          <w:rFonts w:ascii="Times New Roman" w:hAnsi="Times New Roman" w:cs="Times New Roman"/>
          <w:b/>
          <w:spacing w:val="-2"/>
          <w:sz w:val="21"/>
        </w:rPr>
        <w:t xml:space="preserve"> </w:t>
      </w:r>
      <w:r w:rsidRPr="009472DE">
        <w:rPr>
          <w:rFonts w:ascii="Times New Roman" w:hAnsi="Times New Roman" w:cs="Times New Roman"/>
          <w:sz w:val="21"/>
        </w:rPr>
        <w:t>Научная работа посвящена статистическому анализу рынка труда</w:t>
      </w:r>
      <w:r w:rsidRPr="009472DE">
        <w:rPr>
          <w:rFonts w:ascii="Times New Roman" w:hAnsi="Times New Roman" w:cs="Times New Roman"/>
          <w:spacing w:val="-2"/>
          <w:sz w:val="21"/>
        </w:rPr>
        <w:t xml:space="preserve"> </w:t>
      </w:r>
      <w:r w:rsidRPr="009472DE">
        <w:rPr>
          <w:rFonts w:ascii="Times New Roman" w:hAnsi="Times New Roman" w:cs="Times New Roman"/>
          <w:sz w:val="21"/>
        </w:rPr>
        <w:t>Краснодарского края за 2022–2024 годы. Исследуются динамика занятости и безработицы, отраслевая и демографическая структура, а также ключевые проблемы и перспективы развития рынка труда в условиях санкций и экономической нестабильности. Особое внимание уделено влиянию агропромышленного комплекса, туризма и строительства на занятость, а также дефициту квалифицированных кадров и сезонности. Предложены меры по повышению устойчивости рынка труда, включая программы переподготовки и поддержку малого бизнеса. Результаты исследования представляют ценность для разработки государственной политики в области занятости.</w:t>
      </w:r>
    </w:p>
    <w:p w14:paraId="3B16D21C" w14:textId="77777777" w:rsidR="00877DE5" w:rsidRPr="009472DE" w:rsidRDefault="00877DE5" w:rsidP="00067100">
      <w:pPr>
        <w:spacing w:after="0" w:line="240" w:lineRule="auto"/>
        <w:ind w:left="141" w:right="139" w:firstLine="709"/>
        <w:jc w:val="both"/>
        <w:rPr>
          <w:rFonts w:ascii="Times New Roman" w:hAnsi="Times New Roman" w:cs="Times New Roman"/>
          <w:sz w:val="21"/>
        </w:rPr>
      </w:pPr>
      <w:r w:rsidRPr="009472DE">
        <w:rPr>
          <w:rFonts w:ascii="Times New Roman" w:hAnsi="Times New Roman" w:cs="Times New Roman"/>
          <w:b/>
          <w:sz w:val="21"/>
        </w:rPr>
        <w:t>Ключевые</w:t>
      </w:r>
      <w:r w:rsidRPr="009472DE">
        <w:rPr>
          <w:rFonts w:ascii="Times New Roman" w:hAnsi="Times New Roman" w:cs="Times New Roman"/>
          <w:b/>
          <w:spacing w:val="-14"/>
          <w:sz w:val="21"/>
        </w:rPr>
        <w:t xml:space="preserve"> </w:t>
      </w:r>
      <w:r w:rsidRPr="009472DE">
        <w:rPr>
          <w:rFonts w:ascii="Times New Roman" w:hAnsi="Times New Roman" w:cs="Times New Roman"/>
          <w:b/>
          <w:sz w:val="21"/>
        </w:rPr>
        <w:t>слова:</w:t>
      </w:r>
      <w:r w:rsidRPr="009472DE">
        <w:rPr>
          <w:rFonts w:ascii="Times New Roman" w:hAnsi="Times New Roman" w:cs="Times New Roman"/>
          <w:b/>
          <w:spacing w:val="-13"/>
          <w:sz w:val="21"/>
        </w:rPr>
        <w:t xml:space="preserve"> </w:t>
      </w:r>
      <w:r w:rsidRPr="009472DE">
        <w:rPr>
          <w:rFonts w:ascii="Times New Roman" w:hAnsi="Times New Roman" w:cs="Times New Roman"/>
          <w:sz w:val="21"/>
        </w:rPr>
        <w:t>рынок</w:t>
      </w:r>
      <w:r w:rsidRPr="009472DE">
        <w:rPr>
          <w:rFonts w:ascii="Times New Roman" w:hAnsi="Times New Roman" w:cs="Times New Roman"/>
          <w:spacing w:val="-13"/>
          <w:sz w:val="21"/>
        </w:rPr>
        <w:t xml:space="preserve"> </w:t>
      </w:r>
      <w:r w:rsidRPr="009472DE">
        <w:rPr>
          <w:rFonts w:ascii="Times New Roman" w:hAnsi="Times New Roman" w:cs="Times New Roman"/>
          <w:sz w:val="21"/>
        </w:rPr>
        <w:t>труда,</w:t>
      </w:r>
      <w:r w:rsidRPr="009472DE">
        <w:rPr>
          <w:rFonts w:ascii="Times New Roman" w:hAnsi="Times New Roman" w:cs="Times New Roman"/>
          <w:spacing w:val="-13"/>
          <w:sz w:val="21"/>
        </w:rPr>
        <w:t xml:space="preserve"> </w:t>
      </w:r>
      <w:r w:rsidRPr="009472DE">
        <w:rPr>
          <w:rFonts w:ascii="Times New Roman" w:hAnsi="Times New Roman" w:cs="Times New Roman"/>
          <w:sz w:val="21"/>
        </w:rPr>
        <w:t>занятость,</w:t>
      </w:r>
      <w:r w:rsidRPr="009472DE">
        <w:rPr>
          <w:rFonts w:ascii="Times New Roman" w:hAnsi="Times New Roman" w:cs="Times New Roman"/>
          <w:spacing w:val="-13"/>
          <w:sz w:val="21"/>
        </w:rPr>
        <w:t xml:space="preserve"> </w:t>
      </w:r>
      <w:r w:rsidRPr="009472DE">
        <w:rPr>
          <w:rFonts w:ascii="Times New Roman" w:hAnsi="Times New Roman" w:cs="Times New Roman"/>
          <w:sz w:val="21"/>
        </w:rPr>
        <w:t>безработица,</w:t>
      </w:r>
      <w:r w:rsidRPr="009472DE">
        <w:rPr>
          <w:rFonts w:ascii="Times New Roman" w:hAnsi="Times New Roman" w:cs="Times New Roman"/>
          <w:spacing w:val="-13"/>
          <w:sz w:val="21"/>
        </w:rPr>
        <w:t xml:space="preserve"> </w:t>
      </w:r>
      <w:r w:rsidRPr="009472DE">
        <w:rPr>
          <w:rFonts w:ascii="Times New Roman" w:hAnsi="Times New Roman" w:cs="Times New Roman"/>
          <w:sz w:val="21"/>
        </w:rPr>
        <w:t>Краснодарский</w:t>
      </w:r>
      <w:r w:rsidRPr="009472DE">
        <w:rPr>
          <w:rFonts w:ascii="Times New Roman" w:hAnsi="Times New Roman" w:cs="Times New Roman"/>
          <w:spacing w:val="-13"/>
          <w:sz w:val="21"/>
        </w:rPr>
        <w:t xml:space="preserve"> </w:t>
      </w:r>
      <w:r w:rsidRPr="009472DE">
        <w:rPr>
          <w:rFonts w:ascii="Times New Roman" w:hAnsi="Times New Roman" w:cs="Times New Roman"/>
          <w:sz w:val="21"/>
        </w:rPr>
        <w:t>край,</w:t>
      </w:r>
      <w:r w:rsidRPr="009472DE">
        <w:rPr>
          <w:rFonts w:ascii="Times New Roman" w:hAnsi="Times New Roman" w:cs="Times New Roman"/>
          <w:spacing w:val="-13"/>
          <w:sz w:val="21"/>
        </w:rPr>
        <w:t xml:space="preserve"> </w:t>
      </w:r>
      <w:r w:rsidRPr="009472DE">
        <w:rPr>
          <w:rFonts w:ascii="Times New Roman" w:hAnsi="Times New Roman" w:cs="Times New Roman"/>
          <w:sz w:val="21"/>
        </w:rPr>
        <w:t>статистический</w:t>
      </w:r>
      <w:r w:rsidRPr="009472DE">
        <w:rPr>
          <w:rFonts w:ascii="Times New Roman" w:hAnsi="Times New Roman" w:cs="Times New Roman"/>
          <w:spacing w:val="-14"/>
          <w:sz w:val="21"/>
        </w:rPr>
        <w:t xml:space="preserve"> </w:t>
      </w:r>
      <w:r w:rsidRPr="009472DE">
        <w:rPr>
          <w:rFonts w:ascii="Times New Roman" w:hAnsi="Times New Roman" w:cs="Times New Roman"/>
          <w:sz w:val="21"/>
        </w:rPr>
        <w:t>анализ, экономические санкции, сезонность, квалификация кадров.</w:t>
      </w:r>
    </w:p>
    <w:p w14:paraId="75874DC4" w14:textId="77777777" w:rsidR="00877DE5" w:rsidRPr="009472DE" w:rsidRDefault="00877DE5" w:rsidP="00067100">
      <w:pPr>
        <w:pStyle w:val="af3"/>
        <w:spacing w:before="0"/>
        <w:ind w:left="0" w:firstLine="709"/>
        <w:jc w:val="left"/>
        <w:rPr>
          <w:sz w:val="21"/>
        </w:rPr>
      </w:pPr>
    </w:p>
    <w:p w14:paraId="62BF50FC" w14:textId="77777777" w:rsidR="00877DE5" w:rsidRPr="00743AF9" w:rsidRDefault="00877DE5" w:rsidP="00067100">
      <w:pPr>
        <w:spacing w:after="0" w:line="240" w:lineRule="auto"/>
        <w:ind w:right="136" w:firstLine="709"/>
        <w:jc w:val="right"/>
        <w:rPr>
          <w:rFonts w:ascii="Times New Roman" w:hAnsi="Times New Roman" w:cs="Times New Roman"/>
          <w:b/>
          <w:i/>
          <w:sz w:val="21"/>
          <w:lang w:val="en-US"/>
        </w:rPr>
      </w:pPr>
      <w:r w:rsidRPr="00743AF9">
        <w:rPr>
          <w:rFonts w:ascii="Times New Roman" w:hAnsi="Times New Roman" w:cs="Times New Roman"/>
          <w:b/>
          <w:i/>
          <w:sz w:val="21"/>
          <w:lang w:val="en-US"/>
        </w:rPr>
        <w:t>Bogdanova</w:t>
      </w:r>
      <w:r w:rsidRPr="00743AF9">
        <w:rPr>
          <w:rFonts w:ascii="Times New Roman" w:hAnsi="Times New Roman" w:cs="Times New Roman"/>
          <w:b/>
          <w:i/>
          <w:spacing w:val="-6"/>
          <w:sz w:val="21"/>
          <w:lang w:val="en-US"/>
        </w:rPr>
        <w:t xml:space="preserve"> </w:t>
      </w:r>
      <w:r w:rsidRPr="00743AF9">
        <w:rPr>
          <w:rFonts w:ascii="Times New Roman" w:hAnsi="Times New Roman" w:cs="Times New Roman"/>
          <w:b/>
          <w:i/>
          <w:spacing w:val="-2"/>
          <w:sz w:val="21"/>
          <w:lang w:val="en-US"/>
        </w:rPr>
        <w:t>M.A.,</w:t>
      </w:r>
    </w:p>
    <w:p w14:paraId="6092CC41" w14:textId="77777777" w:rsidR="00877DE5" w:rsidRPr="00743AF9" w:rsidRDefault="00877DE5" w:rsidP="00067100">
      <w:pPr>
        <w:spacing w:after="0" w:line="240" w:lineRule="auto"/>
        <w:ind w:right="135" w:firstLine="709"/>
        <w:jc w:val="right"/>
        <w:rPr>
          <w:rFonts w:ascii="Times New Roman" w:hAnsi="Times New Roman" w:cs="Times New Roman"/>
          <w:i/>
          <w:sz w:val="21"/>
          <w:lang w:val="en-US"/>
        </w:rPr>
      </w:pPr>
      <w:r w:rsidRPr="00743AF9">
        <w:rPr>
          <w:rFonts w:ascii="Times New Roman" w:hAnsi="Times New Roman" w:cs="Times New Roman"/>
          <w:i/>
          <w:sz w:val="21"/>
          <w:lang w:val="en-US"/>
        </w:rPr>
        <w:t>1st</w:t>
      </w:r>
      <w:r w:rsidRPr="00743AF9">
        <w:rPr>
          <w:rFonts w:ascii="Times New Roman" w:hAnsi="Times New Roman" w:cs="Times New Roman"/>
          <w:i/>
          <w:spacing w:val="-4"/>
          <w:sz w:val="21"/>
          <w:lang w:val="en-US"/>
        </w:rPr>
        <w:t xml:space="preserve"> </w:t>
      </w:r>
      <w:r w:rsidRPr="00743AF9">
        <w:rPr>
          <w:rFonts w:ascii="Times New Roman" w:hAnsi="Times New Roman" w:cs="Times New Roman"/>
          <w:i/>
          <w:sz w:val="21"/>
          <w:lang w:val="en-US"/>
        </w:rPr>
        <w:t>year</w:t>
      </w:r>
      <w:r w:rsidRPr="00743AF9">
        <w:rPr>
          <w:rFonts w:ascii="Times New Roman" w:hAnsi="Times New Roman" w:cs="Times New Roman"/>
          <w:i/>
          <w:spacing w:val="-2"/>
          <w:sz w:val="21"/>
          <w:lang w:val="en-US"/>
        </w:rPr>
        <w:t xml:space="preserve"> student</w:t>
      </w:r>
    </w:p>
    <w:p w14:paraId="7AB2CB5A" w14:textId="77777777" w:rsidR="00877DE5" w:rsidRPr="00743AF9" w:rsidRDefault="00877DE5" w:rsidP="00067100">
      <w:pPr>
        <w:spacing w:after="0" w:line="240" w:lineRule="auto"/>
        <w:ind w:right="140" w:firstLine="709"/>
        <w:jc w:val="right"/>
        <w:rPr>
          <w:rFonts w:ascii="Times New Roman" w:hAnsi="Times New Roman" w:cs="Times New Roman"/>
          <w:i/>
          <w:sz w:val="21"/>
          <w:lang w:val="en-US"/>
        </w:rPr>
      </w:pPr>
      <w:r w:rsidRPr="00743AF9">
        <w:rPr>
          <w:rFonts w:ascii="Times New Roman" w:hAnsi="Times New Roman" w:cs="Times New Roman"/>
          <w:i/>
          <w:sz w:val="21"/>
          <w:lang w:val="en-US"/>
        </w:rPr>
        <w:t>Federal</w:t>
      </w:r>
      <w:r w:rsidRPr="00743AF9">
        <w:rPr>
          <w:rFonts w:ascii="Times New Roman" w:hAnsi="Times New Roman" w:cs="Times New Roman"/>
          <w:i/>
          <w:spacing w:val="-8"/>
          <w:sz w:val="21"/>
          <w:lang w:val="en-US"/>
        </w:rPr>
        <w:t xml:space="preserve"> </w:t>
      </w:r>
      <w:r w:rsidRPr="00743AF9">
        <w:rPr>
          <w:rFonts w:ascii="Times New Roman" w:hAnsi="Times New Roman" w:cs="Times New Roman"/>
          <w:i/>
          <w:sz w:val="21"/>
          <w:lang w:val="en-US"/>
        </w:rPr>
        <w:t>State</w:t>
      </w:r>
      <w:r w:rsidRPr="00743AF9">
        <w:rPr>
          <w:rFonts w:ascii="Times New Roman" w:hAnsi="Times New Roman" w:cs="Times New Roman"/>
          <w:i/>
          <w:spacing w:val="-8"/>
          <w:sz w:val="21"/>
          <w:lang w:val="en-US"/>
        </w:rPr>
        <w:t xml:space="preserve"> </w:t>
      </w:r>
      <w:r w:rsidRPr="00743AF9">
        <w:rPr>
          <w:rFonts w:ascii="Times New Roman" w:hAnsi="Times New Roman" w:cs="Times New Roman"/>
          <w:i/>
          <w:sz w:val="21"/>
          <w:lang w:val="en-US"/>
        </w:rPr>
        <w:t>Budgetary</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Educational</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Institution</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of</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Higher</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Education</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“Financial</w:t>
      </w:r>
      <w:r w:rsidRPr="00743AF9">
        <w:rPr>
          <w:rFonts w:ascii="Times New Roman" w:hAnsi="Times New Roman" w:cs="Times New Roman"/>
          <w:i/>
          <w:spacing w:val="-9"/>
          <w:sz w:val="21"/>
          <w:lang w:val="en-US"/>
        </w:rPr>
        <w:t xml:space="preserve"> </w:t>
      </w:r>
      <w:r w:rsidRPr="00743AF9">
        <w:rPr>
          <w:rFonts w:ascii="Times New Roman" w:hAnsi="Times New Roman" w:cs="Times New Roman"/>
          <w:i/>
          <w:sz w:val="21"/>
          <w:lang w:val="en-US"/>
        </w:rPr>
        <w:t>University</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under</w:t>
      </w:r>
      <w:r w:rsidRPr="00743AF9">
        <w:rPr>
          <w:rFonts w:ascii="Times New Roman" w:hAnsi="Times New Roman" w:cs="Times New Roman"/>
          <w:i/>
          <w:spacing w:val="-6"/>
          <w:sz w:val="21"/>
          <w:lang w:val="en-US"/>
        </w:rPr>
        <w:t xml:space="preserve"> </w:t>
      </w:r>
      <w:r w:rsidRPr="00743AF9">
        <w:rPr>
          <w:rFonts w:ascii="Times New Roman" w:hAnsi="Times New Roman" w:cs="Times New Roman"/>
          <w:i/>
          <w:spacing w:val="-5"/>
          <w:sz w:val="21"/>
          <w:lang w:val="en-US"/>
        </w:rPr>
        <w:t>the</w:t>
      </w:r>
    </w:p>
    <w:p w14:paraId="3830318F" w14:textId="77777777" w:rsidR="00877DE5" w:rsidRPr="00743AF9" w:rsidRDefault="00877DE5" w:rsidP="00067100">
      <w:pPr>
        <w:spacing w:after="0" w:line="240" w:lineRule="auto"/>
        <w:ind w:right="137" w:firstLine="709"/>
        <w:jc w:val="right"/>
        <w:rPr>
          <w:rFonts w:ascii="Times New Roman" w:hAnsi="Times New Roman" w:cs="Times New Roman"/>
          <w:i/>
          <w:sz w:val="21"/>
          <w:lang w:val="en-US"/>
        </w:rPr>
      </w:pPr>
      <w:r w:rsidRPr="00743AF9">
        <w:rPr>
          <w:rFonts w:ascii="Times New Roman" w:hAnsi="Times New Roman" w:cs="Times New Roman"/>
          <w:i/>
          <w:sz w:val="21"/>
          <w:lang w:val="en-US"/>
        </w:rPr>
        <w:t>Government</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of</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the</w:t>
      </w:r>
      <w:r w:rsidRPr="00743AF9">
        <w:rPr>
          <w:rFonts w:ascii="Times New Roman" w:hAnsi="Times New Roman" w:cs="Times New Roman"/>
          <w:i/>
          <w:spacing w:val="-5"/>
          <w:sz w:val="21"/>
          <w:lang w:val="en-US"/>
        </w:rPr>
        <w:t xml:space="preserve"> </w:t>
      </w:r>
      <w:r w:rsidRPr="00743AF9">
        <w:rPr>
          <w:rFonts w:ascii="Times New Roman" w:hAnsi="Times New Roman" w:cs="Times New Roman"/>
          <w:i/>
          <w:sz w:val="21"/>
          <w:lang w:val="en-US"/>
        </w:rPr>
        <w:t>Russian</w:t>
      </w:r>
      <w:r w:rsidRPr="00743AF9">
        <w:rPr>
          <w:rFonts w:ascii="Times New Roman" w:hAnsi="Times New Roman" w:cs="Times New Roman"/>
          <w:i/>
          <w:spacing w:val="-8"/>
          <w:sz w:val="21"/>
          <w:lang w:val="en-US"/>
        </w:rPr>
        <w:t xml:space="preserve"> </w:t>
      </w:r>
      <w:r w:rsidRPr="00743AF9">
        <w:rPr>
          <w:rFonts w:ascii="Times New Roman" w:hAnsi="Times New Roman" w:cs="Times New Roman"/>
          <w:i/>
          <w:spacing w:val="-2"/>
          <w:sz w:val="21"/>
          <w:lang w:val="en-US"/>
        </w:rPr>
        <w:t>Federation”</w:t>
      </w:r>
    </w:p>
    <w:p w14:paraId="2BEA0A26" w14:textId="77777777" w:rsidR="00877DE5" w:rsidRPr="00743AF9" w:rsidRDefault="00877DE5" w:rsidP="00067100">
      <w:pPr>
        <w:spacing w:after="0" w:line="240" w:lineRule="auto"/>
        <w:ind w:right="136" w:firstLine="709"/>
        <w:jc w:val="right"/>
        <w:rPr>
          <w:rFonts w:ascii="Times New Roman" w:hAnsi="Times New Roman" w:cs="Times New Roman"/>
          <w:i/>
          <w:sz w:val="21"/>
          <w:lang w:val="en-US"/>
        </w:rPr>
      </w:pPr>
      <w:r w:rsidRPr="00743AF9">
        <w:rPr>
          <w:rFonts w:ascii="Times New Roman" w:hAnsi="Times New Roman" w:cs="Times New Roman"/>
          <w:i/>
          <w:sz w:val="21"/>
          <w:lang w:val="en-US"/>
        </w:rPr>
        <w:t>Krasnodar,</w:t>
      </w:r>
      <w:r w:rsidRPr="00743AF9">
        <w:rPr>
          <w:rFonts w:ascii="Times New Roman" w:hAnsi="Times New Roman" w:cs="Times New Roman"/>
          <w:i/>
          <w:spacing w:val="-7"/>
          <w:sz w:val="21"/>
          <w:lang w:val="en-US"/>
        </w:rPr>
        <w:t xml:space="preserve"> </w:t>
      </w:r>
      <w:r w:rsidRPr="00743AF9">
        <w:rPr>
          <w:rFonts w:ascii="Times New Roman" w:hAnsi="Times New Roman" w:cs="Times New Roman"/>
          <w:i/>
          <w:spacing w:val="-2"/>
          <w:sz w:val="21"/>
          <w:lang w:val="en-US"/>
        </w:rPr>
        <w:t>Russia</w:t>
      </w:r>
    </w:p>
    <w:p w14:paraId="4C942D6B" w14:textId="77777777" w:rsidR="00877DE5" w:rsidRDefault="00877DE5" w:rsidP="00067100">
      <w:pPr>
        <w:spacing w:after="0" w:line="240" w:lineRule="auto"/>
        <w:ind w:right="138" w:firstLine="709"/>
        <w:jc w:val="right"/>
        <w:rPr>
          <w:rFonts w:ascii="Times New Roman" w:hAnsi="Times New Roman" w:cs="Times New Roman"/>
          <w:i/>
          <w:spacing w:val="-2"/>
          <w:sz w:val="21"/>
          <w:lang w:val="en-US"/>
        </w:rPr>
      </w:pPr>
      <w:r w:rsidRPr="00743AF9">
        <w:rPr>
          <w:rFonts w:ascii="Times New Roman" w:hAnsi="Times New Roman" w:cs="Times New Roman"/>
          <w:i/>
          <w:sz w:val="21"/>
        </w:rPr>
        <w:t>е</w:t>
      </w:r>
      <w:r w:rsidRPr="00743AF9">
        <w:rPr>
          <w:rFonts w:ascii="Times New Roman" w:hAnsi="Times New Roman" w:cs="Times New Roman"/>
          <w:i/>
          <w:sz w:val="21"/>
          <w:lang w:val="en-US"/>
        </w:rPr>
        <w:t>-mail:</w:t>
      </w:r>
      <w:r w:rsidRPr="00743AF9">
        <w:rPr>
          <w:rFonts w:ascii="Times New Roman" w:hAnsi="Times New Roman" w:cs="Times New Roman"/>
          <w:i/>
          <w:spacing w:val="-6"/>
          <w:sz w:val="21"/>
          <w:lang w:val="en-US"/>
        </w:rPr>
        <w:t xml:space="preserve"> </w:t>
      </w:r>
      <w:hyperlink r:id="rId37">
        <w:r w:rsidRPr="00743AF9">
          <w:rPr>
            <w:rFonts w:ascii="Times New Roman" w:hAnsi="Times New Roman" w:cs="Times New Roman"/>
            <w:i/>
            <w:spacing w:val="-2"/>
            <w:sz w:val="21"/>
            <w:lang w:val="en-US"/>
          </w:rPr>
          <w:t>Bogdamash14085@gmail.com</w:t>
        </w:r>
      </w:hyperlink>
      <w:r w:rsidRPr="00B270E7">
        <w:rPr>
          <w:rFonts w:ascii="Times New Roman" w:hAnsi="Times New Roman" w:cs="Times New Roman"/>
          <w:i/>
          <w:spacing w:val="-2"/>
          <w:sz w:val="21"/>
          <w:lang w:val="en-US"/>
        </w:rPr>
        <w:t xml:space="preserve"> </w:t>
      </w:r>
    </w:p>
    <w:p w14:paraId="6B9F4500" w14:textId="77777777" w:rsidR="00877DE5" w:rsidRPr="00B270E7" w:rsidRDefault="00877DE5" w:rsidP="00067100">
      <w:pPr>
        <w:spacing w:after="0" w:line="240" w:lineRule="auto"/>
        <w:ind w:right="138" w:firstLine="709"/>
        <w:jc w:val="right"/>
        <w:rPr>
          <w:rFonts w:ascii="Times New Roman" w:hAnsi="Times New Roman" w:cs="Times New Roman"/>
          <w:i/>
          <w:sz w:val="21"/>
          <w:lang w:val="en-US"/>
        </w:rPr>
      </w:pPr>
    </w:p>
    <w:p w14:paraId="5826F6C0" w14:textId="77777777" w:rsidR="00877DE5" w:rsidRPr="00743AF9" w:rsidRDefault="00877DE5" w:rsidP="00067100">
      <w:pPr>
        <w:spacing w:after="0" w:line="240" w:lineRule="auto"/>
        <w:ind w:right="134" w:firstLine="709"/>
        <w:jc w:val="right"/>
        <w:rPr>
          <w:rFonts w:ascii="Times New Roman" w:hAnsi="Times New Roman" w:cs="Times New Roman"/>
          <w:i/>
          <w:sz w:val="21"/>
          <w:lang w:val="en-US"/>
        </w:rPr>
      </w:pPr>
      <w:r w:rsidRPr="00743AF9">
        <w:rPr>
          <w:rFonts w:ascii="Times New Roman" w:hAnsi="Times New Roman" w:cs="Times New Roman"/>
          <w:b/>
          <w:i/>
          <w:sz w:val="21"/>
          <w:lang w:val="en-US"/>
        </w:rPr>
        <w:t>Scientific</w:t>
      </w:r>
      <w:r w:rsidRPr="00743AF9">
        <w:rPr>
          <w:rFonts w:ascii="Times New Roman" w:hAnsi="Times New Roman" w:cs="Times New Roman"/>
          <w:b/>
          <w:i/>
          <w:spacing w:val="-14"/>
          <w:sz w:val="21"/>
          <w:lang w:val="en-US"/>
        </w:rPr>
        <w:t xml:space="preserve"> </w:t>
      </w:r>
      <w:r w:rsidRPr="00743AF9">
        <w:rPr>
          <w:rFonts w:ascii="Times New Roman" w:hAnsi="Times New Roman" w:cs="Times New Roman"/>
          <w:b/>
          <w:i/>
          <w:sz w:val="21"/>
          <w:lang w:val="en-US"/>
        </w:rPr>
        <w:t>Adviser: Radchenko</w:t>
      </w:r>
      <w:r w:rsidRPr="00743AF9">
        <w:rPr>
          <w:rFonts w:ascii="Times New Roman" w:hAnsi="Times New Roman" w:cs="Times New Roman"/>
          <w:b/>
          <w:i/>
          <w:spacing w:val="-8"/>
          <w:sz w:val="21"/>
          <w:lang w:val="en-US"/>
        </w:rPr>
        <w:t xml:space="preserve"> </w:t>
      </w:r>
      <w:r w:rsidRPr="00743AF9">
        <w:rPr>
          <w:rFonts w:ascii="Times New Roman" w:hAnsi="Times New Roman" w:cs="Times New Roman"/>
          <w:b/>
          <w:i/>
          <w:spacing w:val="-4"/>
          <w:sz w:val="21"/>
          <w:lang w:val="en-US"/>
        </w:rPr>
        <w:t>M.V</w:t>
      </w:r>
      <w:r w:rsidRPr="00743AF9">
        <w:rPr>
          <w:rFonts w:ascii="Times New Roman" w:hAnsi="Times New Roman" w:cs="Times New Roman"/>
          <w:i/>
          <w:spacing w:val="-4"/>
          <w:sz w:val="21"/>
          <w:lang w:val="en-US"/>
        </w:rPr>
        <w:t>.,</w:t>
      </w:r>
    </w:p>
    <w:p w14:paraId="69D5175D" w14:textId="77777777" w:rsidR="00877DE5" w:rsidRPr="00743AF9" w:rsidRDefault="00877DE5" w:rsidP="00067100">
      <w:pPr>
        <w:spacing w:after="0" w:line="240" w:lineRule="auto"/>
        <w:ind w:right="136" w:firstLine="709"/>
        <w:jc w:val="right"/>
        <w:rPr>
          <w:rFonts w:ascii="Times New Roman" w:hAnsi="Times New Roman" w:cs="Times New Roman"/>
          <w:i/>
          <w:sz w:val="21"/>
          <w:lang w:val="en-US"/>
        </w:rPr>
      </w:pPr>
      <w:r w:rsidRPr="00743AF9">
        <w:rPr>
          <w:rFonts w:ascii="Times New Roman" w:hAnsi="Times New Roman" w:cs="Times New Roman"/>
          <w:i/>
          <w:sz w:val="21"/>
          <w:lang w:val="en-US"/>
        </w:rPr>
        <w:t>Candidate</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of</w:t>
      </w:r>
      <w:r w:rsidRPr="00743AF9">
        <w:rPr>
          <w:rFonts w:ascii="Times New Roman" w:hAnsi="Times New Roman" w:cs="Times New Roman"/>
          <w:i/>
          <w:spacing w:val="-5"/>
          <w:sz w:val="21"/>
          <w:lang w:val="en-US"/>
        </w:rPr>
        <w:t xml:space="preserve"> </w:t>
      </w:r>
      <w:r w:rsidRPr="00743AF9">
        <w:rPr>
          <w:rFonts w:ascii="Times New Roman" w:hAnsi="Times New Roman" w:cs="Times New Roman"/>
          <w:i/>
          <w:sz w:val="21"/>
          <w:lang w:val="en-US"/>
        </w:rPr>
        <w:t>Economic</w:t>
      </w:r>
      <w:r w:rsidRPr="00743AF9">
        <w:rPr>
          <w:rFonts w:ascii="Times New Roman" w:hAnsi="Times New Roman" w:cs="Times New Roman"/>
          <w:i/>
          <w:spacing w:val="-5"/>
          <w:sz w:val="21"/>
          <w:lang w:val="en-US"/>
        </w:rPr>
        <w:t xml:space="preserve"> </w:t>
      </w:r>
      <w:r w:rsidRPr="00743AF9">
        <w:rPr>
          <w:rFonts w:ascii="Times New Roman" w:hAnsi="Times New Roman" w:cs="Times New Roman"/>
          <w:i/>
          <w:spacing w:val="-2"/>
          <w:sz w:val="21"/>
          <w:lang w:val="en-US"/>
        </w:rPr>
        <w:t>Sciences</w:t>
      </w:r>
    </w:p>
    <w:p w14:paraId="2EEE2F0A" w14:textId="77777777" w:rsidR="00877DE5" w:rsidRPr="00743AF9" w:rsidRDefault="00877DE5" w:rsidP="00067100">
      <w:pPr>
        <w:spacing w:after="0" w:line="240" w:lineRule="auto"/>
        <w:ind w:right="140" w:firstLine="709"/>
        <w:jc w:val="right"/>
        <w:rPr>
          <w:rFonts w:ascii="Times New Roman" w:hAnsi="Times New Roman" w:cs="Times New Roman"/>
          <w:i/>
          <w:sz w:val="21"/>
          <w:lang w:val="en-US"/>
        </w:rPr>
      </w:pPr>
      <w:r w:rsidRPr="00743AF9">
        <w:rPr>
          <w:rFonts w:ascii="Times New Roman" w:hAnsi="Times New Roman" w:cs="Times New Roman"/>
          <w:i/>
          <w:sz w:val="21"/>
          <w:lang w:val="en-US"/>
        </w:rPr>
        <w:t>Federal</w:t>
      </w:r>
      <w:r w:rsidRPr="00743AF9">
        <w:rPr>
          <w:rFonts w:ascii="Times New Roman" w:hAnsi="Times New Roman" w:cs="Times New Roman"/>
          <w:i/>
          <w:spacing w:val="-8"/>
          <w:sz w:val="21"/>
          <w:lang w:val="en-US"/>
        </w:rPr>
        <w:t xml:space="preserve"> </w:t>
      </w:r>
      <w:r w:rsidRPr="00743AF9">
        <w:rPr>
          <w:rFonts w:ascii="Times New Roman" w:hAnsi="Times New Roman" w:cs="Times New Roman"/>
          <w:i/>
          <w:sz w:val="21"/>
          <w:lang w:val="en-US"/>
        </w:rPr>
        <w:t>State</w:t>
      </w:r>
      <w:r w:rsidRPr="00743AF9">
        <w:rPr>
          <w:rFonts w:ascii="Times New Roman" w:hAnsi="Times New Roman" w:cs="Times New Roman"/>
          <w:i/>
          <w:spacing w:val="-8"/>
          <w:sz w:val="21"/>
          <w:lang w:val="en-US"/>
        </w:rPr>
        <w:t xml:space="preserve"> </w:t>
      </w:r>
      <w:r w:rsidRPr="00743AF9">
        <w:rPr>
          <w:rFonts w:ascii="Times New Roman" w:hAnsi="Times New Roman" w:cs="Times New Roman"/>
          <w:i/>
          <w:sz w:val="21"/>
          <w:lang w:val="en-US"/>
        </w:rPr>
        <w:t>Budgetary</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Educational</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Institution</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of</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Higher</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Education</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“Financial</w:t>
      </w:r>
      <w:r w:rsidRPr="00743AF9">
        <w:rPr>
          <w:rFonts w:ascii="Times New Roman" w:hAnsi="Times New Roman" w:cs="Times New Roman"/>
          <w:i/>
          <w:spacing w:val="-9"/>
          <w:sz w:val="21"/>
          <w:lang w:val="en-US"/>
        </w:rPr>
        <w:t xml:space="preserve"> </w:t>
      </w:r>
      <w:r w:rsidRPr="00743AF9">
        <w:rPr>
          <w:rFonts w:ascii="Times New Roman" w:hAnsi="Times New Roman" w:cs="Times New Roman"/>
          <w:i/>
          <w:sz w:val="21"/>
          <w:lang w:val="en-US"/>
        </w:rPr>
        <w:t>University</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under</w:t>
      </w:r>
      <w:r w:rsidRPr="00743AF9">
        <w:rPr>
          <w:rFonts w:ascii="Times New Roman" w:hAnsi="Times New Roman" w:cs="Times New Roman"/>
          <w:i/>
          <w:spacing w:val="-6"/>
          <w:sz w:val="21"/>
          <w:lang w:val="en-US"/>
        </w:rPr>
        <w:t xml:space="preserve"> </w:t>
      </w:r>
      <w:r w:rsidRPr="00743AF9">
        <w:rPr>
          <w:rFonts w:ascii="Times New Roman" w:hAnsi="Times New Roman" w:cs="Times New Roman"/>
          <w:i/>
          <w:spacing w:val="-5"/>
          <w:sz w:val="21"/>
          <w:lang w:val="en-US"/>
        </w:rPr>
        <w:t>the</w:t>
      </w:r>
    </w:p>
    <w:p w14:paraId="028F6DD3" w14:textId="77777777" w:rsidR="00877DE5" w:rsidRPr="009472DE" w:rsidRDefault="00877DE5" w:rsidP="00067100">
      <w:pPr>
        <w:spacing w:after="0" w:line="240" w:lineRule="auto"/>
        <w:ind w:right="137" w:firstLine="709"/>
        <w:jc w:val="right"/>
        <w:rPr>
          <w:rFonts w:ascii="Times New Roman" w:hAnsi="Times New Roman" w:cs="Times New Roman"/>
          <w:i/>
          <w:sz w:val="21"/>
          <w:lang w:val="en-US"/>
        </w:rPr>
      </w:pPr>
      <w:r w:rsidRPr="00743AF9">
        <w:rPr>
          <w:rFonts w:ascii="Times New Roman" w:hAnsi="Times New Roman" w:cs="Times New Roman"/>
          <w:i/>
          <w:sz w:val="21"/>
          <w:lang w:val="en-US"/>
        </w:rPr>
        <w:t>Government</w:t>
      </w:r>
      <w:r w:rsidRPr="00743AF9">
        <w:rPr>
          <w:rFonts w:ascii="Times New Roman" w:hAnsi="Times New Roman" w:cs="Times New Roman"/>
          <w:i/>
          <w:spacing w:val="-7"/>
          <w:sz w:val="21"/>
          <w:lang w:val="en-US"/>
        </w:rPr>
        <w:t xml:space="preserve"> </w:t>
      </w:r>
      <w:r w:rsidRPr="00743AF9">
        <w:rPr>
          <w:rFonts w:ascii="Times New Roman" w:hAnsi="Times New Roman" w:cs="Times New Roman"/>
          <w:i/>
          <w:sz w:val="21"/>
          <w:lang w:val="en-US"/>
        </w:rPr>
        <w:t>of</w:t>
      </w:r>
      <w:r w:rsidRPr="00743AF9">
        <w:rPr>
          <w:rFonts w:ascii="Times New Roman" w:hAnsi="Times New Roman" w:cs="Times New Roman"/>
          <w:i/>
          <w:spacing w:val="-6"/>
          <w:sz w:val="21"/>
          <w:lang w:val="en-US"/>
        </w:rPr>
        <w:t xml:space="preserve"> </w:t>
      </w:r>
      <w:r w:rsidRPr="00743AF9">
        <w:rPr>
          <w:rFonts w:ascii="Times New Roman" w:hAnsi="Times New Roman" w:cs="Times New Roman"/>
          <w:i/>
          <w:sz w:val="21"/>
          <w:lang w:val="en-US"/>
        </w:rPr>
        <w:t>the</w:t>
      </w:r>
      <w:r w:rsidRPr="00743AF9">
        <w:rPr>
          <w:rFonts w:ascii="Times New Roman" w:hAnsi="Times New Roman" w:cs="Times New Roman"/>
          <w:i/>
          <w:spacing w:val="-5"/>
          <w:sz w:val="21"/>
          <w:lang w:val="en-US"/>
        </w:rPr>
        <w:t xml:space="preserve"> </w:t>
      </w:r>
      <w:r w:rsidRPr="00743AF9">
        <w:rPr>
          <w:rFonts w:ascii="Times New Roman" w:hAnsi="Times New Roman" w:cs="Times New Roman"/>
          <w:i/>
          <w:sz w:val="21"/>
          <w:lang w:val="en-US"/>
        </w:rPr>
        <w:t>Russian</w:t>
      </w:r>
      <w:r w:rsidRPr="00743AF9">
        <w:rPr>
          <w:rFonts w:ascii="Times New Roman" w:hAnsi="Times New Roman" w:cs="Times New Roman"/>
          <w:i/>
          <w:spacing w:val="-8"/>
          <w:sz w:val="21"/>
          <w:lang w:val="en-US"/>
        </w:rPr>
        <w:t xml:space="preserve"> </w:t>
      </w:r>
      <w:r w:rsidRPr="00743AF9">
        <w:rPr>
          <w:rFonts w:ascii="Times New Roman" w:hAnsi="Times New Roman" w:cs="Times New Roman"/>
          <w:i/>
          <w:spacing w:val="-2"/>
          <w:sz w:val="21"/>
          <w:lang w:val="en-US"/>
        </w:rPr>
        <w:t>Federation</w:t>
      </w:r>
      <w:r w:rsidRPr="009472DE">
        <w:rPr>
          <w:rFonts w:ascii="Times New Roman" w:hAnsi="Times New Roman" w:cs="Times New Roman"/>
          <w:i/>
          <w:spacing w:val="-2"/>
          <w:sz w:val="21"/>
          <w:lang w:val="en-US"/>
        </w:rPr>
        <w:t>”</w:t>
      </w:r>
    </w:p>
    <w:p w14:paraId="5374ED4D" w14:textId="77777777" w:rsidR="00877DE5" w:rsidRPr="009472DE" w:rsidRDefault="00877DE5" w:rsidP="00067100">
      <w:pPr>
        <w:spacing w:after="0" w:line="240" w:lineRule="auto"/>
        <w:ind w:right="136" w:firstLine="709"/>
        <w:jc w:val="right"/>
        <w:rPr>
          <w:rFonts w:ascii="Times New Roman" w:hAnsi="Times New Roman" w:cs="Times New Roman"/>
          <w:i/>
          <w:sz w:val="21"/>
          <w:lang w:val="en-US"/>
        </w:rPr>
      </w:pPr>
      <w:r w:rsidRPr="009472DE">
        <w:rPr>
          <w:rFonts w:ascii="Times New Roman" w:hAnsi="Times New Roman" w:cs="Times New Roman"/>
          <w:i/>
          <w:sz w:val="21"/>
          <w:lang w:val="en-US"/>
        </w:rPr>
        <w:t>Krasnodar,</w:t>
      </w:r>
      <w:r w:rsidRPr="009472DE">
        <w:rPr>
          <w:rFonts w:ascii="Times New Roman" w:hAnsi="Times New Roman" w:cs="Times New Roman"/>
          <w:i/>
          <w:spacing w:val="-7"/>
          <w:sz w:val="21"/>
          <w:lang w:val="en-US"/>
        </w:rPr>
        <w:t xml:space="preserve"> </w:t>
      </w:r>
      <w:r w:rsidRPr="009472DE">
        <w:rPr>
          <w:rFonts w:ascii="Times New Roman" w:hAnsi="Times New Roman" w:cs="Times New Roman"/>
          <w:i/>
          <w:spacing w:val="-2"/>
          <w:sz w:val="21"/>
          <w:lang w:val="en-US"/>
        </w:rPr>
        <w:t>Russia</w:t>
      </w:r>
    </w:p>
    <w:p w14:paraId="47C07EE9" w14:textId="77777777" w:rsidR="00877DE5" w:rsidRDefault="00877DE5" w:rsidP="00067100">
      <w:pPr>
        <w:spacing w:after="0" w:line="240" w:lineRule="auto"/>
        <w:ind w:right="139" w:firstLine="709"/>
        <w:jc w:val="right"/>
        <w:rPr>
          <w:rFonts w:ascii="Times New Roman" w:hAnsi="Times New Roman" w:cs="Times New Roman"/>
          <w:i/>
          <w:color w:val="0000FF"/>
          <w:spacing w:val="-2"/>
          <w:sz w:val="21"/>
          <w:u w:val="single" w:color="0000FF"/>
          <w:lang w:val="en-US"/>
        </w:rPr>
      </w:pPr>
      <w:r w:rsidRPr="009472DE">
        <w:rPr>
          <w:rFonts w:ascii="Times New Roman" w:hAnsi="Times New Roman" w:cs="Times New Roman"/>
          <w:i/>
          <w:sz w:val="21"/>
        </w:rPr>
        <w:t>е</w:t>
      </w:r>
      <w:r w:rsidRPr="009472DE">
        <w:rPr>
          <w:rFonts w:ascii="Times New Roman" w:hAnsi="Times New Roman" w:cs="Times New Roman"/>
          <w:i/>
          <w:sz w:val="21"/>
          <w:lang w:val="en-US"/>
        </w:rPr>
        <w:t>-mail:</w:t>
      </w:r>
      <w:r w:rsidRPr="009472DE">
        <w:rPr>
          <w:rFonts w:ascii="Times New Roman" w:hAnsi="Times New Roman" w:cs="Times New Roman"/>
          <w:i/>
          <w:spacing w:val="-7"/>
          <w:sz w:val="21"/>
          <w:lang w:val="en-US"/>
        </w:rPr>
        <w:t xml:space="preserve"> </w:t>
      </w:r>
      <w:hyperlink r:id="rId38">
        <w:r w:rsidRPr="009472DE">
          <w:rPr>
            <w:rFonts w:ascii="Times New Roman" w:hAnsi="Times New Roman" w:cs="Times New Roman"/>
            <w:i/>
            <w:color w:val="0000FF"/>
            <w:spacing w:val="-2"/>
            <w:sz w:val="21"/>
            <w:u w:val="single" w:color="0000FF"/>
            <w:lang w:val="en-US"/>
          </w:rPr>
          <w:t>MVRadchenko@fa.ru</w:t>
        </w:r>
      </w:hyperlink>
    </w:p>
    <w:p w14:paraId="3ED19C9E" w14:textId="77777777" w:rsidR="00877DE5" w:rsidRPr="009472DE" w:rsidRDefault="00877DE5" w:rsidP="00067100">
      <w:pPr>
        <w:spacing w:after="0" w:line="240" w:lineRule="auto"/>
        <w:ind w:right="139" w:firstLine="709"/>
        <w:jc w:val="right"/>
        <w:rPr>
          <w:rFonts w:ascii="Times New Roman" w:hAnsi="Times New Roman" w:cs="Times New Roman"/>
          <w:i/>
          <w:sz w:val="21"/>
          <w:lang w:val="en-US"/>
        </w:rPr>
      </w:pPr>
    </w:p>
    <w:p w14:paraId="0A72296D" w14:textId="77777777" w:rsidR="00877DE5" w:rsidRDefault="00877DE5" w:rsidP="00067100">
      <w:pPr>
        <w:spacing w:after="0" w:line="240" w:lineRule="auto"/>
        <w:ind w:left="3" w:right="3" w:firstLine="709"/>
        <w:jc w:val="center"/>
        <w:rPr>
          <w:rFonts w:ascii="Times New Roman" w:hAnsi="Times New Roman" w:cs="Times New Roman"/>
          <w:b/>
          <w:spacing w:val="-2"/>
          <w:sz w:val="21"/>
          <w:lang w:val="en-US"/>
        </w:rPr>
      </w:pPr>
      <w:r w:rsidRPr="009472DE">
        <w:rPr>
          <w:rFonts w:ascii="Times New Roman" w:hAnsi="Times New Roman" w:cs="Times New Roman"/>
          <w:b/>
          <w:sz w:val="21"/>
          <w:lang w:val="en-US"/>
        </w:rPr>
        <w:t>Analysis</w:t>
      </w:r>
      <w:r w:rsidRPr="009472DE">
        <w:rPr>
          <w:rFonts w:ascii="Times New Roman" w:hAnsi="Times New Roman" w:cs="Times New Roman"/>
          <w:b/>
          <w:spacing w:val="-7"/>
          <w:sz w:val="21"/>
          <w:lang w:val="en-US"/>
        </w:rPr>
        <w:t xml:space="preserve"> </w:t>
      </w:r>
      <w:r w:rsidRPr="009472DE">
        <w:rPr>
          <w:rFonts w:ascii="Times New Roman" w:hAnsi="Times New Roman" w:cs="Times New Roman"/>
          <w:b/>
          <w:sz w:val="21"/>
          <w:lang w:val="en-US"/>
        </w:rPr>
        <w:t>of</w:t>
      </w:r>
      <w:r w:rsidRPr="009472DE">
        <w:rPr>
          <w:rFonts w:ascii="Times New Roman" w:hAnsi="Times New Roman" w:cs="Times New Roman"/>
          <w:b/>
          <w:spacing w:val="-5"/>
          <w:sz w:val="21"/>
          <w:lang w:val="en-US"/>
        </w:rPr>
        <w:t xml:space="preserve"> </w:t>
      </w:r>
      <w:r w:rsidRPr="009472DE">
        <w:rPr>
          <w:rFonts w:ascii="Times New Roman" w:hAnsi="Times New Roman" w:cs="Times New Roman"/>
          <w:b/>
          <w:sz w:val="21"/>
          <w:lang w:val="en-US"/>
        </w:rPr>
        <w:t>the</w:t>
      </w:r>
      <w:r w:rsidRPr="009472DE">
        <w:rPr>
          <w:rFonts w:ascii="Times New Roman" w:hAnsi="Times New Roman" w:cs="Times New Roman"/>
          <w:b/>
          <w:spacing w:val="-4"/>
          <w:sz w:val="21"/>
          <w:lang w:val="en-US"/>
        </w:rPr>
        <w:t xml:space="preserve"> </w:t>
      </w:r>
      <w:r w:rsidRPr="009472DE">
        <w:rPr>
          <w:rFonts w:ascii="Times New Roman" w:hAnsi="Times New Roman" w:cs="Times New Roman"/>
          <w:b/>
          <w:sz w:val="21"/>
          <w:lang w:val="en-US"/>
        </w:rPr>
        <w:t>Krasnodar</w:t>
      </w:r>
      <w:r w:rsidRPr="009472DE">
        <w:rPr>
          <w:rFonts w:ascii="Times New Roman" w:hAnsi="Times New Roman" w:cs="Times New Roman"/>
          <w:b/>
          <w:spacing w:val="-6"/>
          <w:sz w:val="21"/>
          <w:lang w:val="en-US"/>
        </w:rPr>
        <w:t xml:space="preserve"> </w:t>
      </w:r>
      <w:r w:rsidRPr="009472DE">
        <w:rPr>
          <w:rFonts w:ascii="Times New Roman" w:hAnsi="Times New Roman" w:cs="Times New Roman"/>
          <w:b/>
          <w:sz w:val="21"/>
          <w:lang w:val="en-US"/>
        </w:rPr>
        <w:t>Krai</w:t>
      </w:r>
      <w:r w:rsidRPr="009472DE">
        <w:rPr>
          <w:rFonts w:ascii="Times New Roman" w:hAnsi="Times New Roman" w:cs="Times New Roman"/>
          <w:b/>
          <w:spacing w:val="-5"/>
          <w:sz w:val="21"/>
          <w:lang w:val="en-US"/>
        </w:rPr>
        <w:t xml:space="preserve"> </w:t>
      </w:r>
      <w:r w:rsidRPr="009472DE">
        <w:rPr>
          <w:rFonts w:ascii="Times New Roman" w:hAnsi="Times New Roman" w:cs="Times New Roman"/>
          <w:b/>
          <w:sz w:val="21"/>
          <w:lang w:val="en-US"/>
        </w:rPr>
        <w:t>Labor</w:t>
      </w:r>
      <w:r w:rsidRPr="009472DE">
        <w:rPr>
          <w:rFonts w:ascii="Times New Roman" w:hAnsi="Times New Roman" w:cs="Times New Roman"/>
          <w:b/>
          <w:spacing w:val="-4"/>
          <w:sz w:val="21"/>
          <w:lang w:val="en-US"/>
        </w:rPr>
        <w:t xml:space="preserve"> </w:t>
      </w:r>
      <w:r w:rsidRPr="009472DE">
        <w:rPr>
          <w:rFonts w:ascii="Times New Roman" w:hAnsi="Times New Roman" w:cs="Times New Roman"/>
          <w:b/>
          <w:sz w:val="21"/>
          <w:lang w:val="en-US"/>
        </w:rPr>
        <w:t>Market</w:t>
      </w:r>
      <w:r w:rsidRPr="009472DE">
        <w:rPr>
          <w:rFonts w:ascii="Times New Roman" w:hAnsi="Times New Roman" w:cs="Times New Roman"/>
          <w:b/>
          <w:spacing w:val="-7"/>
          <w:sz w:val="21"/>
          <w:lang w:val="en-US"/>
        </w:rPr>
        <w:t xml:space="preserve"> </w:t>
      </w:r>
      <w:r w:rsidRPr="009472DE">
        <w:rPr>
          <w:rFonts w:ascii="Times New Roman" w:hAnsi="Times New Roman" w:cs="Times New Roman"/>
          <w:b/>
          <w:sz w:val="21"/>
          <w:lang w:val="en-US"/>
        </w:rPr>
        <w:t>under</w:t>
      </w:r>
      <w:r w:rsidRPr="009472DE">
        <w:rPr>
          <w:rFonts w:ascii="Times New Roman" w:hAnsi="Times New Roman" w:cs="Times New Roman"/>
          <w:b/>
          <w:spacing w:val="-6"/>
          <w:sz w:val="21"/>
          <w:lang w:val="en-US"/>
        </w:rPr>
        <w:t xml:space="preserve"> </w:t>
      </w:r>
      <w:r w:rsidRPr="009472DE">
        <w:rPr>
          <w:rFonts w:ascii="Times New Roman" w:hAnsi="Times New Roman" w:cs="Times New Roman"/>
          <w:b/>
          <w:sz w:val="21"/>
          <w:lang w:val="en-US"/>
        </w:rPr>
        <w:t>Economic</w:t>
      </w:r>
      <w:r w:rsidRPr="009472DE">
        <w:rPr>
          <w:rFonts w:ascii="Times New Roman" w:hAnsi="Times New Roman" w:cs="Times New Roman"/>
          <w:b/>
          <w:spacing w:val="-5"/>
          <w:sz w:val="21"/>
          <w:lang w:val="en-US"/>
        </w:rPr>
        <w:t xml:space="preserve"> </w:t>
      </w:r>
      <w:r w:rsidRPr="009472DE">
        <w:rPr>
          <w:rFonts w:ascii="Times New Roman" w:hAnsi="Times New Roman" w:cs="Times New Roman"/>
          <w:b/>
          <w:spacing w:val="-2"/>
          <w:sz w:val="21"/>
          <w:lang w:val="en-US"/>
        </w:rPr>
        <w:t>Challenges</w:t>
      </w:r>
    </w:p>
    <w:p w14:paraId="58ABEDC6" w14:textId="77777777" w:rsidR="00877DE5" w:rsidRPr="009472DE" w:rsidRDefault="00877DE5" w:rsidP="00067100">
      <w:pPr>
        <w:spacing w:after="0" w:line="240" w:lineRule="auto"/>
        <w:ind w:left="3" w:right="3" w:firstLine="709"/>
        <w:jc w:val="center"/>
        <w:rPr>
          <w:rFonts w:ascii="Times New Roman" w:hAnsi="Times New Roman" w:cs="Times New Roman"/>
          <w:b/>
          <w:sz w:val="21"/>
          <w:lang w:val="en-US"/>
        </w:rPr>
      </w:pPr>
    </w:p>
    <w:p w14:paraId="56CDA117" w14:textId="77777777" w:rsidR="00877DE5" w:rsidRPr="009472DE" w:rsidRDefault="00877DE5" w:rsidP="00067100">
      <w:pPr>
        <w:spacing w:after="0" w:line="240" w:lineRule="auto"/>
        <w:ind w:left="141" w:right="135" w:firstLine="709"/>
        <w:jc w:val="both"/>
        <w:rPr>
          <w:rFonts w:ascii="Times New Roman" w:hAnsi="Times New Roman" w:cs="Times New Roman"/>
          <w:sz w:val="21"/>
          <w:lang w:val="en-US"/>
        </w:rPr>
      </w:pPr>
      <w:r w:rsidRPr="009472DE">
        <w:rPr>
          <w:rFonts w:ascii="Times New Roman" w:hAnsi="Times New Roman" w:cs="Times New Roman"/>
          <w:b/>
          <w:sz w:val="21"/>
          <w:lang w:val="en-US"/>
        </w:rPr>
        <w:t xml:space="preserve">Abstract: </w:t>
      </w:r>
      <w:r w:rsidRPr="009472DE">
        <w:rPr>
          <w:rFonts w:ascii="Times New Roman" w:hAnsi="Times New Roman" w:cs="Times New Roman"/>
          <w:sz w:val="21"/>
          <w:lang w:val="en-US"/>
        </w:rPr>
        <w:t>The research is devoted to the statistical analysis of the Krasnodar Krai labor market for 2022– 2024.</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It</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examines</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the</w:t>
      </w:r>
      <w:r w:rsidRPr="009472DE">
        <w:rPr>
          <w:rFonts w:ascii="Times New Roman" w:hAnsi="Times New Roman" w:cs="Times New Roman"/>
          <w:spacing w:val="-10"/>
          <w:sz w:val="21"/>
          <w:lang w:val="en-US"/>
        </w:rPr>
        <w:t xml:space="preserve"> </w:t>
      </w:r>
      <w:r w:rsidRPr="009472DE">
        <w:rPr>
          <w:rFonts w:ascii="Times New Roman" w:hAnsi="Times New Roman" w:cs="Times New Roman"/>
          <w:sz w:val="21"/>
          <w:lang w:val="en-US"/>
        </w:rPr>
        <w:t>dynamics</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of</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employment</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and</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unemployment,</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sectoral</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and</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demographic</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structures,</w:t>
      </w:r>
      <w:r w:rsidRPr="009472DE">
        <w:rPr>
          <w:rFonts w:ascii="Times New Roman" w:hAnsi="Times New Roman" w:cs="Times New Roman"/>
          <w:spacing w:val="-7"/>
          <w:sz w:val="21"/>
          <w:lang w:val="en-US"/>
        </w:rPr>
        <w:t xml:space="preserve"> </w:t>
      </w:r>
      <w:r w:rsidRPr="009472DE">
        <w:rPr>
          <w:rFonts w:ascii="Times New Roman" w:hAnsi="Times New Roman" w:cs="Times New Roman"/>
          <w:sz w:val="21"/>
          <w:lang w:val="en-US"/>
        </w:rPr>
        <w:t>as</w:t>
      </w:r>
      <w:r w:rsidRPr="009472DE">
        <w:rPr>
          <w:rFonts w:ascii="Times New Roman" w:hAnsi="Times New Roman" w:cs="Times New Roman"/>
          <w:spacing w:val="-10"/>
          <w:sz w:val="21"/>
          <w:lang w:val="en-US"/>
        </w:rPr>
        <w:t xml:space="preserve"> </w:t>
      </w:r>
      <w:r w:rsidRPr="009472DE">
        <w:rPr>
          <w:rFonts w:ascii="Times New Roman" w:hAnsi="Times New Roman" w:cs="Times New Roman"/>
          <w:sz w:val="21"/>
          <w:lang w:val="en-US"/>
        </w:rPr>
        <w:t>well</w:t>
      </w:r>
      <w:r w:rsidRPr="009472DE">
        <w:rPr>
          <w:rFonts w:ascii="Times New Roman" w:hAnsi="Times New Roman" w:cs="Times New Roman"/>
          <w:spacing w:val="-8"/>
          <w:sz w:val="21"/>
          <w:lang w:val="en-US"/>
        </w:rPr>
        <w:t xml:space="preserve"> </w:t>
      </w:r>
      <w:r w:rsidRPr="009472DE">
        <w:rPr>
          <w:rFonts w:ascii="Times New Roman" w:hAnsi="Times New Roman" w:cs="Times New Roman"/>
          <w:sz w:val="21"/>
          <w:lang w:val="en-US"/>
        </w:rPr>
        <w:t>as key challenges and prospects for labor market development amid sanctions and economic instability. Particular attention</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is</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paid</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to the</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impact</w:t>
      </w:r>
      <w:r w:rsidRPr="009472DE">
        <w:rPr>
          <w:rFonts w:ascii="Times New Roman" w:hAnsi="Times New Roman" w:cs="Times New Roman"/>
          <w:spacing w:val="-3"/>
          <w:sz w:val="21"/>
          <w:lang w:val="en-US"/>
        </w:rPr>
        <w:t xml:space="preserve"> </w:t>
      </w:r>
      <w:r w:rsidRPr="009472DE">
        <w:rPr>
          <w:rFonts w:ascii="Times New Roman" w:hAnsi="Times New Roman" w:cs="Times New Roman"/>
          <w:sz w:val="21"/>
          <w:lang w:val="en-US"/>
        </w:rPr>
        <w:t>of</w:t>
      </w:r>
      <w:r w:rsidRPr="009472DE">
        <w:rPr>
          <w:rFonts w:ascii="Times New Roman" w:hAnsi="Times New Roman" w:cs="Times New Roman"/>
          <w:spacing w:val="-2"/>
          <w:sz w:val="21"/>
          <w:lang w:val="en-US"/>
        </w:rPr>
        <w:t xml:space="preserve"> </w:t>
      </w:r>
      <w:r w:rsidRPr="009472DE">
        <w:rPr>
          <w:rFonts w:ascii="Times New Roman" w:hAnsi="Times New Roman" w:cs="Times New Roman"/>
          <w:sz w:val="21"/>
          <w:lang w:val="en-US"/>
        </w:rPr>
        <w:t>the</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agro-industrial</w:t>
      </w:r>
      <w:r w:rsidRPr="009472DE">
        <w:rPr>
          <w:rFonts w:ascii="Times New Roman" w:hAnsi="Times New Roman" w:cs="Times New Roman"/>
          <w:spacing w:val="-2"/>
          <w:sz w:val="21"/>
          <w:lang w:val="en-US"/>
        </w:rPr>
        <w:t xml:space="preserve"> </w:t>
      </w:r>
      <w:r w:rsidRPr="009472DE">
        <w:rPr>
          <w:rFonts w:ascii="Times New Roman" w:hAnsi="Times New Roman" w:cs="Times New Roman"/>
          <w:sz w:val="21"/>
          <w:lang w:val="en-US"/>
        </w:rPr>
        <w:t>complex,</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tourism,</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and</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construction</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on</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employment,</w:t>
      </w:r>
      <w:r w:rsidRPr="009472DE">
        <w:rPr>
          <w:rFonts w:ascii="Times New Roman" w:hAnsi="Times New Roman" w:cs="Times New Roman"/>
          <w:spacing w:val="-1"/>
          <w:sz w:val="21"/>
          <w:lang w:val="en-US"/>
        </w:rPr>
        <w:t xml:space="preserve"> </w:t>
      </w:r>
      <w:r w:rsidRPr="009472DE">
        <w:rPr>
          <w:rFonts w:ascii="Times New Roman" w:hAnsi="Times New Roman" w:cs="Times New Roman"/>
          <w:sz w:val="21"/>
          <w:lang w:val="en-US"/>
        </w:rPr>
        <w:t>as</w:t>
      </w:r>
      <w:r w:rsidRPr="009472DE">
        <w:rPr>
          <w:rFonts w:ascii="Times New Roman" w:hAnsi="Times New Roman" w:cs="Times New Roman"/>
          <w:spacing w:val="-2"/>
          <w:sz w:val="21"/>
          <w:lang w:val="en-US"/>
        </w:rPr>
        <w:t xml:space="preserve"> </w:t>
      </w:r>
      <w:r w:rsidRPr="009472DE">
        <w:rPr>
          <w:rFonts w:ascii="Times New Roman" w:hAnsi="Times New Roman" w:cs="Times New Roman"/>
          <w:sz w:val="21"/>
          <w:lang w:val="en-US"/>
        </w:rPr>
        <w:t>well</w:t>
      </w:r>
      <w:r w:rsidRPr="009472DE">
        <w:rPr>
          <w:rFonts w:ascii="Times New Roman" w:hAnsi="Times New Roman" w:cs="Times New Roman"/>
          <w:spacing w:val="-2"/>
          <w:sz w:val="21"/>
          <w:lang w:val="en-US"/>
        </w:rPr>
        <w:t xml:space="preserve"> </w:t>
      </w:r>
      <w:r w:rsidRPr="009472DE">
        <w:rPr>
          <w:rFonts w:ascii="Times New Roman" w:hAnsi="Times New Roman" w:cs="Times New Roman"/>
          <w:sz w:val="21"/>
          <w:lang w:val="en-US"/>
        </w:rPr>
        <w:t>as the shortage of qualified personnel and seasonality. Measures to enhance labor market resilience, including retraining programs and support for small businesses, are proposed. The findings are valuable for shaping public policy on employment.</w:t>
      </w:r>
    </w:p>
    <w:p w14:paraId="29A9D93B" w14:textId="0C8E7487" w:rsidR="00877DE5" w:rsidRPr="009472DE" w:rsidRDefault="00877DE5" w:rsidP="00067100">
      <w:pPr>
        <w:spacing w:after="0" w:line="240" w:lineRule="auto"/>
        <w:ind w:left="141" w:right="140" w:firstLine="709"/>
        <w:jc w:val="both"/>
        <w:rPr>
          <w:rFonts w:ascii="Times New Roman" w:hAnsi="Times New Roman" w:cs="Times New Roman"/>
          <w:sz w:val="21"/>
          <w:lang w:val="en-US"/>
        </w:rPr>
      </w:pPr>
      <w:r w:rsidRPr="009472DE">
        <w:rPr>
          <w:rFonts w:ascii="Times New Roman" w:hAnsi="Times New Roman" w:cs="Times New Roman"/>
          <w:b/>
          <w:sz w:val="21"/>
          <w:lang w:val="en-US"/>
        </w:rPr>
        <w:t xml:space="preserve">Keywords: </w:t>
      </w:r>
      <w:r w:rsidRPr="009472DE">
        <w:rPr>
          <w:rFonts w:ascii="Times New Roman" w:hAnsi="Times New Roman" w:cs="Times New Roman"/>
          <w:sz w:val="21"/>
          <w:lang w:val="en-US"/>
        </w:rPr>
        <w:t>labor market, employment, unemployment, Krasnodar Krai, statistical analysis, economic sanctions, seasonality, workforce qualification.</w:t>
      </w:r>
    </w:p>
    <w:p w14:paraId="73FF7928" w14:textId="77777777" w:rsidR="00877DE5" w:rsidRPr="00877DE5" w:rsidRDefault="00877DE5" w:rsidP="00067100">
      <w:pPr>
        <w:pStyle w:val="af3"/>
        <w:spacing w:before="0"/>
        <w:ind w:right="141" w:firstLine="709"/>
        <w:rPr>
          <w:lang w:val="en-US"/>
        </w:rPr>
      </w:pPr>
    </w:p>
    <w:p w14:paraId="2AD7F3BC" w14:textId="77777777" w:rsidR="00877DE5" w:rsidRPr="009472DE" w:rsidRDefault="00877DE5" w:rsidP="001F45AE">
      <w:pPr>
        <w:pStyle w:val="af3"/>
        <w:spacing w:before="0"/>
        <w:ind w:left="0" w:firstLine="709"/>
      </w:pPr>
      <w:r w:rsidRPr="009472DE">
        <w:t>В настоящее время рынок труда Краснодарского края является ключевым элементом социально-экономической стабильности региона, адаптирующимся к внешним и внутренним экономическим вызовам. Статистический анализ за 2022–2024 годы показывает, что рост занятости и снижение безработицы, поддерживаемые государственными мерами и развитием ключевых отраслей, способствуют смягчению последствий санкций и укреплению устойчивости экономики региона.</w:t>
      </w:r>
    </w:p>
    <w:p w14:paraId="39AE450B" w14:textId="77777777" w:rsidR="00877DE5" w:rsidRPr="009472DE" w:rsidRDefault="00877DE5" w:rsidP="001F45AE">
      <w:pPr>
        <w:pStyle w:val="af3"/>
        <w:spacing w:before="0"/>
        <w:ind w:left="0" w:firstLine="709"/>
      </w:pPr>
      <w:r w:rsidRPr="009472DE">
        <w:t>Рынок труда Краснодарского края, одного из ключевых экономических регионов России, играет важную роль в обеспечении занятости и социальной стабильности. В условиях санкционного давления,</w:t>
      </w:r>
      <w:r w:rsidRPr="009472DE">
        <w:rPr>
          <w:spacing w:val="-6"/>
        </w:rPr>
        <w:t xml:space="preserve"> </w:t>
      </w:r>
      <w:r w:rsidRPr="009472DE">
        <w:t>начавшегося</w:t>
      </w:r>
      <w:r w:rsidRPr="009472DE">
        <w:rPr>
          <w:spacing w:val="-7"/>
        </w:rPr>
        <w:t xml:space="preserve"> </w:t>
      </w:r>
      <w:r w:rsidRPr="009472DE">
        <w:t>в</w:t>
      </w:r>
      <w:r w:rsidRPr="009472DE">
        <w:rPr>
          <w:spacing w:val="-4"/>
        </w:rPr>
        <w:t xml:space="preserve"> </w:t>
      </w:r>
      <w:r w:rsidRPr="009472DE">
        <w:t>2022</w:t>
      </w:r>
      <w:r w:rsidRPr="009472DE">
        <w:rPr>
          <w:spacing w:val="-6"/>
        </w:rPr>
        <w:t xml:space="preserve"> </w:t>
      </w:r>
      <w:r w:rsidRPr="009472DE">
        <w:t>году,</w:t>
      </w:r>
      <w:r w:rsidRPr="009472DE">
        <w:rPr>
          <w:spacing w:val="-9"/>
        </w:rPr>
        <w:t xml:space="preserve"> </w:t>
      </w:r>
      <w:r w:rsidRPr="009472DE">
        <w:t>высокой</w:t>
      </w:r>
      <w:r w:rsidRPr="009472DE">
        <w:rPr>
          <w:spacing w:val="-7"/>
        </w:rPr>
        <w:t xml:space="preserve"> </w:t>
      </w:r>
      <w:r w:rsidRPr="009472DE">
        <w:t>инфляции</w:t>
      </w:r>
      <w:r w:rsidRPr="009472DE">
        <w:rPr>
          <w:spacing w:val="-5"/>
        </w:rPr>
        <w:t xml:space="preserve"> </w:t>
      </w:r>
      <w:r w:rsidRPr="009472DE">
        <w:t>и</w:t>
      </w:r>
      <w:r w:rsidRPr="009472DE">
        <w:rPr>
          <w:spacing w:val="-5"/>
        </w:rPr>
        <w:t xml:space="preserve"> </w:t>
      </w:r>
      <w:r w:rsidRPr="009472DE">
        <w:t xml:space="preserve">структурных изменений в экономике регион демонстрирует устойчивость, но сталкивается с вызовами, такими как дефицит квалифицированных </w:t>
      </w:r>
      <w:r w:rsidRPr="009472DE">
        <w:lastRenderedPageBreak/>
        <w:t>кадров и сезонность занятости. Статистический анализ за 2022–2024 годы</w:t>
      </w:r>
      <w:r w:rsidRPr="009472DE">
        <w:rPr>
          <w:spacing w:val="-20"/>
        </w:rPr>
        <w:t xml:space="preserve"> </w:t>
      </w:r>
      <w:r w:rsidRPr="009472DE">
        <w:t>позволяет</w:t>
      </w:r>
      <w:r w:rsidRPr="009472DE">
        <w:rPr>
          <w:spacing w:val="-20"/>
        </w:rPr>
        <w:t xml:space="preserve"> </w:t>
      </w:r>
      <w:r w:rsidRPr="009472DE">
        <w:t>оценить</w:t>
      </w:r>
      <w:r w:rsidRPr="009472DE">
        <w:rPr>
          <w:spacing w:val="-20"/>
        </w:rPr>
        <w:t xml:space="preserve"> </w:t>
      </w:r>
      <w:r w:rsidRPr="009472DE">
        <w:t>динамику</w:t>
      </w:r>
      <w:r w:rsidRPr="009472DE">
        <w:rPr>
          <w:spacing w:val="-20"/>
        </w:rPr>
        <w:t xml:space="preserve"> </w:t>
      </w:r>
      <w:r w:rsidRPr="009472DE">
        <w:t>рынка</w:t>
      </w:r>
      <w:r w:rsidRPr="009472DE">
        <w:rPr>
          <w:spacing w:val="-20"/>
        </w:rPr>
        <w:t xml:space="preserve"> </w:t>
      </w:r>
      <w:r w:rsidRPr="009472DE">
        <w:t>труда</w:t>
      </w:r>
      <w:r w:rsidRPr="009472DE">
        <w:rPr>
          <w:spacing w:val="-20"/>
        </w:rPr>
        <w:t xml:space="preserve"> </w:t>
      </w:r>
      <w:r w:rsidRPr="009472DE">
        <w:t>и</w:t>
      </w:r>
      <w:r w:rsidRPr="009472DE">
        <w:rPr>
          <w:spacing w:val="-20"/>
        </w:rPr>
        <w:t xml:space="preserve"> </w:t>
      </w:r>
      <w:r w:rsidRPr="009472DE">
        <w:t>предложить</w:t>
      </w:r>
      <w:r w:rsidRPr="009472DE">
        <w:rPr>
          <w:spacing w:val="-20"/>
        </w:rPr>
        <w:t xml:space="preserve"> </w:t>
      </w:r>
      <w:r w:rsidRPr="009472DE">
        <w:t>меры</w:t>
      </w:r>
      <w:r w:rsidRPr="009472DE">
        <w:rPr>
          <w:spacing w:val="-20"/>
        </w:rPr>
        <w:t xml:space="preserve"> </w:t>
      </w:r>
      <w:r w:rsidRPr="009472DE">
        <w:t>для его дальнейшего развития.</w:t>
      </w:r>
    </w:p>
    <w:p w14:paraId="6D9B975A" w14:textId="77777777" w:rsidR="00877DE5" w:rsidRPr="009472DE" w:rsidRDefault="00877DE5" w:rsidP="001F45AE">
      <w:pPr>
        <w:pStyle w:val="af3"/>
        <w:spacing w:before="0"/>
        <w:ind w:left="0" w:firstLine="709"/>
      </w:pPr>
      <w:r w:rsidRPr="009472DE">
        <w:t>Рынок труда представляет собой сложную экономическую систему, в рамках которой взаимодействуют спрос и предложение рабочей силы, определяющие уровень занятости, заработные платы и условия</w:t>
      </w:r>
      <w:r w:rsidRPr="009472DE">
        <w:rPr>
          <w:spacing w:val="-3"/>
        </w:rPr>
        <w:t xml:space="preserve"> </w:t>
      </w:r>
      <w:r w:rsidRPr="009472DE">
        <w:t>труда.</w:t>
      </w:r>
      <w:r w:rsidRPr="009472DE">
        <w:rPr>
          <w:spacing w:val="-3"/>
        </w:rPr>
        <w:t xml:space="preserve"> </w:t>
      </w:r>
      <w:r w:rsidRPr="009472DE">
        <w:t>Неоклассическая</w:t>
      </w:r>
      <w:r w:rsidRPr="009472DE">
        <w:rPr>
          <w:spacing w:val="-3"/>
        </w:rPr>
        <w:t xml:space="preserve"> </w:t>
      </w:r>
      <w:r w:rsidRPr="009472DE">
        <w:t>экономическая</w:t>
      </w:r>
      <w:r w:rsidRPr="009472DE">
        <w:rPr>
          <w:spacing w:val="-3"/>
        </w:rPr>
        <w:t xml:space="preserve"> </w:t>
      </w:r>
      <w:r w:rsidRPr="009472DE">
        <w:t>теория</w:t>
      </w:r>
      <w:r w:rsidRPr="009472DE">
        <w:rPr>
          <w:spacing w:val="-3"/>
        </w:rPr>
        <w:t xml:space="preserve"> </w:t>
      </w:r>
      <w:r w:rsidRPr="009472DE">
        <w:t>рассматривает рынок труда как равновесный механизм, где заработная плата формируется на основе маргинальной производительности труда. Работодатели, стремящиеся максимизировать прибыль, нанимают работников до тех пор, пока их вклад в производство соответствует затратам на оплату труда. С другой стороны, работники предлагают свои услуги, исходя из личных предпочтений, уровня образования и доступности</w:t>
      </w:r>
      <w:r w:rsidRPr="009472DE">
        <w:rPr>
          <w:spacing w:val="-6"/>
        </w:rPr>
        <w:t xml:space="preserve"> </w:t>
      </w:r>
      <w:r w:rsidRPr="009472DE">
        <w:t>рабочих</w:t>
      </w:r>
      <w:r w:rsidRPr="009472DE">
        <w:rPr>
          <w:spacing w:val="-4"/>
        </w:rPr>
        <w:t xml:space="preserve"> </w:t>
      </w:r>
      <w:r w:rsidRPr="009472DE">
        <w:t>мест.</w:t>
      </w:r>
      <w:r w:rsidRPr="009472DE">
        <w:rPr>
          <w:spacing w:val="-6"/>
        </w:rPr>
        <w:t xml:space="preserve"> </w:t>
      </w:r>
      <w:r w:rsidRPr="009472DE">
        <w:t>Однако</w:t>
      </w:r>
      <w:r w:rsidRPr="009472DE">
        <w:rPr>
          <w:spacing w:val="-3"/>
        </w:rPr>
        <w:t xml:space="preserve"> </w:t>
      </w:r>
      <w:r w:rsidRPr="009472DE">
        <w:t>кейнсианский</w:t>
      </w:r>
      <w:r w:rsidRPr="009472DE">
        <w:rPr>
          <w:spacing w:val="-6"/>
        </w:rPr>
        <w:t xml:space="preserve"> </w:t>
      </w:r>
      <w:r w:rsidRPr="009472DE">
        <w:t>подход</w:t>
      </w:r>
      <w:r w:rsidRPr="009472DE">
        <w:rPr>
          <w:spacing w:val="-4"/>
        </w:rPr>
        <w:t xml:space="preserve"> </w:t>
      </w:r>
      <w:r w:rsidRPr="009472DE">
        <w:t>акцентирует внимание на возможности неравновесия, особенно в периоды экономических спадов, когда спрос на труд снижается, вызывая рост безработицы. Государственное вмешательство, по мнению Кейнса, необходимо для стимулирования занятости через фискальные и монетарные меры.</w:t>
      </w:r>
    </w:p>
    <w:p w14:paraId="050A482B" w14:textId="77777777" w:rsidR="00877DE5" w:rsidRDefault="00877DE5" w:rsidP="001F45AE">
      <w:pPr>
        <w:pStyle w:val="af3"/>
        <w:spacing w:before="0"/>
        <w:ind w:left="0" w:firstLine="709"/>
        <w:rPr>
          <w:spacing w:val="68"/>
        </w:rPr>
      </w:pPr>
      <w:r w:rsidRPr="009472DE">
        <w:t>Институциональные факторы, такие как трудовое законодательство, минимальная заработная плата и деятельность профсоюзов,</w:t>
      </w:r>
      <w:r w:rsidRPr="009472DE">
        <w:rPr>
          <w:spacing w:val="-10"/>
        </w:rPr>
        <w:t xml:space="preserve"> </w:t>
      </w:r>
      <w:r w:rsidRPr="009472DE">
        <w:t>существенно</w:t>
      </w:r>
      <w:r w:rsidRPr="009472DE">
        <w:rPr>
          <w:spacing w:val="-9"/>
        </w:rPr>
        <w:t xml:space="preserve"> </w:t>
      </w:r>
      <w:r w:rsidRPr="009472DE">
        <w:t>влияют</w:t>
      </w:r>
      <w:r w:rsidRPr="009472DE">
        <w:rPr>
          <w:spacing w:val="-7"/>
        </w:rPr>
        <w:t xml:space="preserve"> </w:t>
      </w:r>
      <w:r w:rsidRPr="009472DE">
        <w:t>на</w:t>
      </w:r>
      <w:r w:rsidRPr="009472DE">
        <w:rPr>
          <w:spacing w:val="-10"/>
        </w:rPr>
        <w:t xml:space="preserve"> </w:t>
      </w:r>
      <w:r w:rsidRPr="009472DE">
        <w:t>функционирование</w:t>
      </w:r>
      <w:r w:rsidRPr="009472DE">
        <w:rPr>
          <w:spacing w:val="-10"/>
        </w:rPr>
        <w:t xml:space="preserve"> </w:t>
      </w:r>
      <w:r w:rsidRPr="009472DE">
        <w:t>рынка</w:t>
      </w:r>
      <w:r w:rsidRPr="009472DE">
        <w:rPr>
          <w:spacing w:val="-7"/>
        </w:rPr>
        <w:t xml:space="preserve"> </w:t>
      </w:r>
      <w:r w:rsidRPr="009472DE">
        <w:t>труда. Эти элементы формируют его гибкость, определяя, насколько быстро рынок адаптируется к экономическим изменениям, например, к внедрению</w:t>
      </w:r>
      <w:r>
        <w:t xml:space="preserve"> новых технологий или демографическим сдвигам.</w:t>
      </w:r>
      <w:r w:rsidRPr="009472DE">
        <w:rPr>
          <w:spacing w:val="68"/>
        </w:rPr>
        <w:t xml:space="preserve"> </w:t>
      </w:r>
    </w:p>
    <w:p w14:paraId="767F3F75" w14:textId="77777777" w:rsidR="00877DE5" w:rsidRPr="009472DE" w:rsidRDefault="00877DE5" w:rsidP="001F45AE">
      <w:pPr>
        <w:pStyle w:val="af3"/>
        <w:spacing w:before="0"/>
        <w:ind w:left="0" w:firstLine="709"/>
      </w:pPr>
      <w:r w:rsidRPr="009472DE">
        <w:rPr>
          <w:spacing w:val="-2"/>
        </w:rPr>
        <w:t>Основные</w:t>
      </w:r>
      <w:r w:rsidRPr="009472DE">
        <w:rPr>
          <w:spacing w:val="-7"/>
        </w:rPr>
        <w:t xml:space="preserve"> </w:t>
      </w:r>
      <w:r w:rsidRPr="009472DE">
        <w:rPr>
          <w:spacing w:val="-2"/>
        </w:rPr>
        <w:t>характеристики</w:t>
      </w:r>
      <w:r w:rsidRPr="009472DE">
        <w:rPr>
          <w:spacing w:val="-7"/>
        </w:rPr>
        <w:t xml:space="preserve"> </w:t>
      </w:r>
      <w:r w:rsidRPr="009472DE">
        <w:rPr>
          <w:spacing w:val="-2"/>
        </w:rPr>
        <w:t>рынка</w:t>
      </w:r>
      <w:r w:rsidRPr="009472DE">
        <w:rPr>
          <w:spacing w:val="-7"/>
        </w:rPr>
        <w:t xml:space="preserve"> </w:t>
      </w:r>
      <w:r w:rsidRPr="009472DE">
        <w:rPr>
          <w:spacing w:val="-2"/>
        </w:rPr>
        <w:t>труда</w:t>
      </w:r>
      <w:r w:rsidRPr="009472DE">
        <w:rPr>
          <w:spacing w:val="-7"/>
        </w:rPr>
        <w:t xml:space="preserve"> </w:t>
      </w:r>
      <w:r w:rsidRPr="009472DE">
        <w:rPr>
          <w:spacing w:val="-2"/>
        </w:rPr>
        <w:t>включают</w:t>
      </w:r>
      <w:r w:rsidRPr="009472DE">
        <w:rPr>
          <w:spacing w:val="-8"/>
        </w:rPr>
        <w:t xml:space="preserve"> </w:t>
      </w:r>
      <w:r w:rsidRPr="009472DE">
        <w:rPr>
          <w:spacing w:val="-2"/>
        </w:rPr>
        <w:t>гибкость,</w:t>
      </w:r>
      <w:r w:rsidRPr="009472DE">
        <w:rPr>
          <w:spacing w:val="-8"/>
        </w:rPr>
        <w:t xml:space="preserve"> </w:t>
      </w:r>
      <w:r w:rsidRPr="009472DE">
        <w:rPr>
          <w:spacing w:val="-2"/>
        </w:rPr>
        <w:t xml:space="preserve">структуру, </w:t>
      </w:r>
      <w:r w:rsidRPr="009472DE">
        <w:t>динамику и сегментацию. Гибкость отражает способность рынка реагировать на внешние шоки, такие как санкции или инфляция. Структура показывает распределение рабочей силы по отраслям, профессиям и регионам. Динамика связана с изменениями уровня занятости и безработицы в зависимости от экономического цикла, а сегментация указывает на различия в доступе к рабочим местам по уровню образования, опыту или полу.</w:t>
      </w:r>
    </w:p>
    <w:p w14:paraId="0AB2614B" w14:textId="77777777" w:rsidR="00877DE5" w:rsidRPr="009472DE" w:rsidRDefault="00877DE5" w:rsidP="001F45AE">
      <w:pPr>
        <w:pStyle w:val="af3"/>
        <w:spacing w:before="0"/>
        <w:ind w:left="0" w:firstLine="709"/>
      </w:pPr>
      <w:r w:rsidRPr="009472DE">
        <w:t>Для анализа рынка труда применяются статистические методы, включая дескриптивный, корреляционный и регрессионный анализ. Дескриптивный анализ позволяет систематизировать данные о занятости и безработице, выявляя основные тенденции. Корреляционный</w:t>
      </w:r>
      <w:r w:rsidRPr="009472DE">
        <w:rPr>
          <w:spacing w:val="-5"/>
        </w:rPr>
        <w:t xml:space="preserve"> </w:t>
      </w:r>
      <w:r w:rsidRPr="009472DE">
        <w:t>анализ</w:t>
      </w:r>
      <w:r w:rsidRPr="009472DE">
        <w:rPr>
          <w:spacing w:val="-5"/>
        </w:rPr>
        <w:t xml:space="preserve"> </w:t>
      </w:r>
      <w:r w:rsidRPr="009472DE">
        <w:t>помогает</w:t>
      </w:r>
      <w:r w:rsidRPr="009472DE">
        <w:rPr>
          <w:spacing w:val="-5"/>
        </w:rPr>
        <w:t xml:space="preserve"> </w:t>
      </w:r>
      <w:r w:rsidRPr="009472DE">
        <w:t>установить</w:t>
      </w:r>
      <w:r w:rsidRPr="009472DE">
        <w:rPr>
          <w:spacing w:val="-5"/>
        </w:rPr>
        <w:t xml:space="preserve"> </w:t>
      </w:r>
      <w:r w:rsidRPr="009472DE">
        <w:t>взаимосвязи,</w:t>
      </w:r>
      <w:r w:rsidRPr="009472DE">
        <w:rPr>
          <w:spacing w:val="-7"/>
        </w:rPr>
        <w:t xml:space="preserve"> </w:t>
      </w:r>
      <w:r w:rsidRPr="009472DE">
        <w:t xml:space="preserve">например, между уровнем образования и вероятностью трудоустройства. </w:t>
      </w:r>
      <w:r w:rsidRPr="009472DE">
        <w:lastRenderedPageBreak/>
        <w:t>Регрессионный анализ используется для построения моделей, предсказывающих влияние факторов, таких как государственные субсидии, на занятость. Эти методы обеспечивают глубокое понимание рынка труда, позволяя разрабатывать эффективные меры государственной политики.</w:t>
      </w:r>
    </w:p>
    <w:p w14:paraId="784B4266" w14:textId="77777777" w:rsidR="00877DE5" w:rsidRPr="009472DE" w:rsidRDefault="00877DE5" w:rsidP="001F45AE">
      <w:pPr>
        <w:pStyle w:val="af3"/>
        <w:spacing w:before="0"/>
        <w:ind w:left="0" w:firstLine="709"/>
      </w:pPr>
      <w:r w:rsidRPr="009472DE">
        <w:t>Рынок труда Краснодарского края за 2022–2024 годы продемонстрировал устойчивый рост занятости и снижение безработицы, несмотря на экономические вызовы. В 2022 году численность занятого населения составляла 2,7 миллиона человек, а уровень занятости достигал 58%. Уровень безработицы по методологии</w:t>
      </w:r>
      <w:r w:rsidRPr="009472DE">
        <w:rPr>
          <w:spacing w:val="-7"/>
        </w:rPr>
        <w:t xml:space="preserve"> </w:t>
      </w:r>
      <w:r w:rsidRPr="009472DE">
        <w:t>Международной</w:t>
      </w:r>
      <w:r w:rsidRPr="009472DE">
        <w:rPr>
          <w:spacing w:val="-8"/>
        </w:rPr>
        <w:t xml:space="preserve"> </w:t>
      </w:r>
      <w:r w:rsidRPr="009472DE">
        <w:t>организации</w:t>
      </w:r>
      <w:r w:rsidRPr="009472DE">
        <w:rPr>
          <w:spacing w:val="-7"/>
        </w:rPr>
        <w:t xml:space="preserve"> </w:t>
      </w:r>
      <w:r w:rsidRPr="009472DE">
        <w:t>труда</w:t>
      </w:r>
      <w:r w:rsidRPr="009472DE">
        <w:rPr>
          <w:spacing w:val="-8"/>
        </w:rPr>
        <w:t xml:space="preserve"> </w:t>
      </w:r>
      <w:r w:rsidRPr="009472DE">
        <w:t>(МОТ)</w:t>
      </w:r>
      <w:r w:rsidRPr="009472DE">
        <w:rPr>
          <w:spacing w:val="-7"/>
        </w:rPr>
        <w:t xml:space="preserve"> </w:t>
      </w:r>
      <w:r w:rsidRPr="009472DE">
        <w:t>находился</w:t>
      </w:r>
      <w:r w:rsidRPr="009472DE">
        <w:rPr>
          <w:spacing w:val="-7"/>
        </w:rPr>
        <w:t xml:space="preserve"> </w:t>
      </w:r>
      <w:r w:rsidRPr="009472DE">
        <w:t>на отметке 3,8%, что было ниже среднероссийского показателя. Зарегистрированная безработица, отражающая число граждан, обратившихся в службы занятости, составила 24 тысячи человек. Стабильность рынка труда в этот период объясняется мерами государственной поддержки, включая субсидии для работодателей, а также высоким спросом на рабочую силу в агропромышленном комплексе и строительстве.</w:t>
      </w:r>
    </w:p>
    <w:p w14:paraId="7A3F402F" w14:textId="77777777" w:rsidR="00877DE5" w:rsidRPr="009472DE" w:rsidRDefault="00877DE5" w:rsidP="001F45AE">
      <w:pPr>
        <w:pStyle w:val="af3"/>
        <w:spacing w:before="0"/>
        <w:ind w:left="0" w:firstLine="709"/>
      </w:pPr>
      <w:r w:rsidRPr="009472DE">
        <w:t>К 2023 году численность занятых увеличилась до 2,75 миллиона человек,</w:t>
      </w:r>
      <w:r w:rsidRPr="009472DE">
        <w:rPr>
          <w:spacing w:val="-6"/>
        </w:rPr>
        <w:t xml:space="preserve"> </w:t>
      </w:r>
      <w:r w:rsidRPr="009472DE">
        <w:t>уровень</w:t>
      </w:r>
      <w:r w:rsidRPr="009472DE">
        <w:rPr>
          <w:spacing w:val="-3"/>
        </w:rPr>
        <w:t xml:space="preserve"> </w:t>
      </w:r>
      <w:r w:rsidRPr="009472DE">
        <w:t>занятости</w:t>
      </w:r>
      <w:r w:rsidRPr="009472DE">
        <w:rPr>
          <w:spacing w:val="-4"/>
        </w:rPr>
        <w:t xml:space="preserve"> </w:t>
      </w:r>
      <w:r w:rsidRPr="009472DE">
        <w:t>вырос</w:t>
      </w:r>
      <w:r w:rsidRPr="009472DE">
        <w:rPr>
          <w:spacing w:val="-4"/>
        </w:rPr>
        <w:t xml:space="preserve"> </w:t>
      </w:r>
      <w:r w:rsidRPr="009472DE">
        <w:t>до</w:t>
      </w:r>
      <w:r w:rsidRPr="009472DE">
        <w:rPr>
          <w:spacing w:val="-4"/>
        </w:rPr>
        <w:t xml:space="preserve"> </w:t>
      </w:r>
      <w:r w:rsidRPr="009472DE">
        <w:t>59%,</w:t>
      </w:r>
      <w:r w:rsidRPr="009472DE">
        <w:rPr>
          <w:spacing w:val="-6"/>
        </w:rPr>
        <w:t xml:space="preserve"> </w:t>
      </w:r>
      <w:r w:rsidRPr="009472DE">
        <w:t>а</w:t>
      </w:r>
      <w:r w:rsidRPr="009472DE">
        <w:rPr>
          <w:spacing w:val="-7"/>
        </w:rPr>
        <w:t xml:space="preserve"> </w:t>
      </w:r>
      <w:r w:rsidRPr="009472DE">
        <w:t>безработица</w:t>
      </w:r>
      <w:r w:rsidRPr="009472DE">
        <w:rPr>
          <w:spacing w:val="-4"/>
        </w:rPr>
        <w:t xml:space="preserve"> </w:t>
      </w:r>
      <w:r w:rsidRPr="009472DE">
        <w:t>снизилась</w:t>
      </w:r>
      <w:r w:rsidRPr="009472DE">
        <w:rPr>
          <w:spacing w:val="-3"/>
        </w:rPr>
        <w:t xml:space="preserve"> </w:t>
      </w:r>
      <w:r w:rsidRPr="009472DE">
        <w:t>до 3,2%. Зарегистрированная безработица сократилась до 19 тысяч человек, что на 20% меньше, чем в предыдущем году. Этот прогресс был обусловлен ростом числа рабочих мест в строительном секторе, где занятость увеличилась на 12%, и в сфере туризма, восстановившегося</w:t>
      </w:r>
      <w:r w:rsidRPr="009472DE">
        <w:rPr>
          <w:spacing w:val="77"/>
        </w:rPr>
        <w:t xml:space="preserve"> </w:t>
      </w:r>
      <w:r w:rsidRPr="009472DE">
        <w:t>после</w:t>
      </w:r>
      <w:r w:rsidRPr="009472DE">
        <w:rPr>
          <w:spacing w:val="78"/>
        </w:rPr>
        <w:t xml:space="preserve"> </w:t>
      </w:r>
      <w:r w:rsidRPr="009472DE">
        <w:t>пандемийных</w:t>
      </w:r>
      <w:r w:rsidRPr="009472DE">
        <w:rPr>
          <w:spacing w:val="76"/>
        </w:rPr>
        <w:t xml:space="preserve"> </w:t>
      </w:r>
      <w:r w:rsidRPr="009472DE">
        <w:t>ограничений.</w:t>
      </w:r>
      <w:r w:rsidRPr="009472DE">
        <w:rPr>
          <w:spacing w:val="76"/>
        </w:rPr>
        <w:t xml:space="preserve"> </w:t>
      </w:r>
      <w:r w:rsidRPr="009472DE">
        <w:t>В</w:t>
      </w:r>
      <w:r w:rsidRPr="009472DE">
        <w:rPr>
          <w:spacing w:val="79"/>
        </w:rPr>
        <w:t xml:space="preserve"> </w:t>
      </w:r>
      <w:r w:rsidRPr="009472DE">
        <w:t>2024</w:t>
      </w:r>
      <w:r w:rsidRPr="009472DE">
        <w:rPr>
          <w:spacing w:val="77"/>
        </w:rPr>
        <w:t xml:space="preserve"> </w:t>
      </w:r>
      <w:r w:rsidRPr="009472DE">
        <w:rPr>
          <w:spacing w:val="-4"/>
        </w:rPr>
        <w:t>году</w:t>
      </w:r>
    </w:p>
    <w:p w14:paraId="678E3219" w14:textId="77777777" w:rsidR="00877DE5" w:rsidRPr="009472DE" w:rsidRDefault="00877DE5" w:rsidP="001F45AE">
      <w:pPr>
        <w:pStyle w:val="af3"/>
        <w:spacing w:before="0"/>
        <w:ind w:left="0" w:firstLine="709"/>
      </w:pPr>
      <w:r w:rsidRPr="009472DE">
        <w:t>тенденция</w:t>
      </w:r>
      <w:r w:rsidRPr="009472DE">
        <w:rPr>
          <w:spacing w:val="-17"/>
        </w:rPr>
        <w:t xml:space="preserve"> </w:t>
      </w:r>
      <w:r w:rsidRPr="009472DE">
        <w:t>продолжилась:</w:t>
      </w:r>
      <w:r w:rsidRPr="009472DE">
        <w:rPr>
          <w:spacing w:val="-17"/>
        </w:rPr>
        <w:t xml:space="preserve"> </w:t>
      </w:r>
      <w:r w:rsidRPr="009472DE">
        <w:t>численность</w:t>
      </w:r>
      <w:r w:rsidRPr="009472DE">
        <w:rPr>
          <w:spacing w:val="-18"/>
        </w:rPr>
        <w:t xml:space="preserve"> </w:t>
      </w:r>
      <w:r w:rsidRPr="009472DE">
        <w:t>занятых</w:t>
      </w:r>
      <w:r w:rsidRPr="009472DE">
        <w:rPr>
          <w:spacing w:val="-18"/>
        </w:rPr>
        <w:t xml:space="preserve"> </w:t>
      </w:r>
      <w:r w:rsidRPr="009472DE">
        <w:t>достигла</w:t>
      </w:r>
      <w:r w:rsidRPr="009472DE">
        <w:rPr>
          <w:spacing w:val="-18"/>
        </w:rPr>
        <w:t xml:space="preserve"> </w:t>
      </w:r>
      <w:r w:rsidRPr="009472DE">
        <w:t>2,8</w:t>
      </w:r>
      <w:r w:rsidRPr="009472DE">
        <w:rPr>
          <w:spacing w:val="-17"/>
        </w:rPr>
        <w:t xml:space="preserve"> </w:t>
      </w:r>
      <w:r w:rsidRPr="009472DE">
        <w:t>миллиона человек, уровень занятости составил 60%, а безработица по МОТ снизилась</w:t>
      </w:r>
      <w:r w:rsidRPr="009472DE">
        <w:rPr>
          <w:spacing w:val="-14"/>
        </w:rPr>
        <w:t xml:space="preserve"> </w:t>
      </w:r>
      <w:r w:rsidRPr="009472DE">
        <w:t>до</w:t>
      </w:r>
      <w:r w:rsidRPr="009472DE">
        <w:rPr>
          <w:spacing w:val="-13"/>
        </w:rPr>
        <w:t xml:space="preserve"> </w:t>
      </w:r>
      <w:r w:rsidRPr="009472DE">
        <w:t>2,9%,</w:t>
      </w:r>
      <w:r w:rsidRPr="009472DE">
        <w:rPr>
          <w:spacing w:val="-15"/>
        </w:rPr>
        <w:t xml:space="preserve"> </w:t>
      </w:r>
      <w:r w:rsidRPr="009472DE">
        <w:t>что</w:t>
      </w:r>
      <w:r w:rsidRPr="009472DE">
        <w:rPr>
          <w:spacing w:val="-11"/>
        </w:rPr>
        <w:t xml:space="preserve"> </w:t>
      </w:r>
      <w:r w:rsidRPr="009472DE">
        <w:t>соответствовало</w:t>
      </w:r>
      <w:r w:rsidRPr="009472DE">
        <w:rPr>
          <w:spacing w:val="-14"/>
        </w:rPr>
        <w:t xml:space="preserve"> </w:t>
      </w:r>
      <w:r w:rsidRPr="009472DE">
        <w:t>общероссийскому</w:t>
      </w:r>
      <w:r w:rsidRPr="009472DE">
        <w:rPr>
          <w:spacing w:val="-14"/>
        </w:rPr>
        <w:t xml:space="preserve"> </w:t>
      </w:r>
      <w:r w:rsidRPr="009472DE">
        <w:t>показателю в 2,7%. Зарегистрированная безработица сократилась до 16 тысяч человек, став минимальной за трехлетний период.</w:t>
      </w:r>
    </w:p>
    <w:p w14:paraId="5524DFFE" w14:textId="77777777" w:rsidR="00877DE5" w:rsidRPr="009472DE" w:rsidRDefault="00877DE5" w:rsidP="001F45AE">
      <w:pPr>
        <w:pStyle w:val="af3"/>
        <w:spacing w:before="0"/>
        <w:ind w:left="0" w:firstLine="709"/>
      </w:pPr>
      <w:r w:rsidRPr="009472DE">
        <w:t>Рост занятости поддерживался развитием ключевых отраслей. Агропромышленный комплекс увеличил занятость на 8% к 2024 году благодаря программам импортозамещения. Туризм, особенно в прибрежных</w:t>
      </w:r>
      <w:r w:rsidRPr="009472DE">
        <w:rPr>
          <w:spacing w:val="-2"/>
        </w:rPr>
        <w:t xml:space="preserve"> </w:t>
      </w:r>
      <w:r w:rsidRPr="009472DE">
        <w:t>районах,</w:t>
      </w:r>
      <w:r w:rsidRPr="009472DE">
        <w:rPr>
          <w:spacing w:val="-3"/>
        </w:rPr>
        <w:t xml:space="preserve"> </w:t>
      </w:r>
      <w:r w:rsidRPr="009472DE">
        <w:t>таких</w:t>
      </w:r>
      <w:r w:rsidRPr="009472DE">
        <w:rPr>
          <w:spacing w:val="-2"/>
        </w:rPr>
        <w:t xml:space="preserve"> </w:t>
      </w:r>
      <w:r w:rsidRPr="009472DE">
        <w:t>как</w:t>
      </w:r>
      <w:r w:rsidRPr="009472DE">
        <w:rPr>
          <w:spacing w:val="-2"/>
        </w:rPr>
        <w:t xml:space="preserve"> </w:t>
      </w:r>
      <w:r w:rsidRPr="009472DE">
        <w:t>Сочи,</w:t>
      </w:r>
      <w:r w:rsidRPr="009472DE">
        <w:rPr>
          <w:spacing w:val="-4"/>
        </w:rPr>
        <w:t xml:space="preserve"> </w:t>
      </w:r>
      <w:r w:rsidRPr="009472DE">
        <w:t>показал</w:t>
      </w:r>
      <w:r w:rsidRPr="009472DE">
        <w:rPr>
          <w:spacing w:val="-4"/>
        </w:rPr>
        <w:t xml:space="preserve"> </w:t>
      </w:r>
      <w:r w:rsidRPr="009472DE">
        <w:t>рост</w:t>
      </w:r>
      <w:r w:rsidRPr="009472DE">
        <w:rPr>
          <w:spacing w:val="-4"/>
        </w:rPr>
        <w:t xml:space="preserve"> </w:t>
      </w:r>
      <w:r w:rsidRPr="009472DE">
        <w:t>занятости</w:t>
      </w:r>
      <w:r w:rsidRPr="009472DE">
        <w:rPr>
          <w:spacing w:val="-4"/>
        </w:rPr>
        <w:t xml:space="preserve"> </w:t>
      </w:r>
      <w:r w:rsidRPr="009472DE">
        <w:t>на</w:t>
      </w:r>
      <w:r w:rsidRPr="009472DE">
        <w:rPr>
          <w:spacing w:val="-4"/>
        </w:rPr>
        <w:t xml:space="preserve"> </w:t>
      </w:r>
      <w:r w:rsidRPr="009472DE">
        <w:t xml:space="preserve">10%, чему способствовал приток внутренних туристов. Однако сезонность остается значимой проблемой: разница в занятости между летними и зимними месяцами в туристическом секторе достигает 15%, что приводит к временному росту безработицы зимой. Государственные меры, такие как субсидии на обучение, частично смягчают эти </w:t>
      </w:r>
      <w:r w:rsidRPr="009472DE">
        <w:lastRenderedPageBreak/>
        <w:t xml:space="preserve">колебания, но их эффект ограничен из-за недостаточного </w:t>
      </w:r>
      <w:r w:rsidRPr="009472DE">
        <w:rPr>
          <w:spacing w:val="-2"/>
        </w:rPr>
        <w:t>финансирования.</w:t>
      </w:r>
    </w:p>
    <w:p w14:paraId="02B1F73B" w14:textId="77777777" w:rsidR="00877DE5" w:rsidRPr="009472DE" w:rsidRDefault="00877DE5" w:rsidP="001F45AE">
      <w:pPr>
        <w:pStyle w:val="af3"/>
        <w:spacing w:before="0"/>
        <w:ind w:left="0" w:firstLine="709"/>
      </w:pPr>
      <w:r w:rsidRPr="009472DE">
        <w:t>Отраслевая</w:t>
      </w:r>
      <w:r w:rsidRPr="009472DE">
        <w:rPr>
          <w:spacing w:val="-5"/>
        </w:rPr>
        <w:t xml:space="preserve"> </w:t>
      </w:r>
      <w:r w:rsidRPr="009472DE">
        <w:t>структура</w:t>
      </w:r>
      <w:r w:rsidRPr="009472DE">
        <w:rPr>
          <w:spacing w:val="-4"/>
        </w:rPr>
        <w:t xml:space="preserve"> </w:t>
      </w:r>
      <w:r w:rsidRPr="009472DE">
        <w:t>рынка</w:t>
      </w:r>
      <w:r w:rsidRPr="009472DE">
        <w:rPr>
          <w:spacing w:val="-4"/>
        </w:rPr>
        <w:t xml:space="preserve"> </w:t>
      </w:r>
      <w:r w:rsidRPr="009472DE">
        <w:t>труда</w:t>
      </w:r>
      <w:r w:rsidRPr="009472DE">
        <w:rPr>
          <w:spacing w:val="-4"/>
        </w:rPr>
        <w:t xml:space="preserve"> </w:t>
      </w:r>
      <w:r w:rsidRPr="009472DE">
        <w:t>Краснодарского</w:t>
      </w:r>
      <w:r w:rsidRPr="009472DE">
        <w:rPr>
          <w:spacing w:val="-5"/>
        </w:rPr>
        <w:t xml:space="preserve"> </w:t>
      </w:r>
      <w:r w:rsidRPr="009472DE">
        <w:t>края</w:t>
      </w:r>
      <w:r w:rsidRPr="009472DE">
        <w:rPr>
          <w:spacing w:val="-5"/>
        </w:rPr>
        <w:t xml:space="preserve"> </w:t>
      </w:r>
      <w:r w:rsidRPr="009472DE">
        <w:t>отражает экономическую специфику региона. Агропромышленный комплекс остается ведущей отраслью, обеспечивая занятость для 330 тысяч человек в 2022 году и 390 тысяч в 2024 году. Этот рост на 14% связан с увеличением производства сельскохозяйственной продукции и государственной поддержкой. Туризм также играет ключевую роль, особенно</w:t>
      </w:r>
      <w:r w:rsidRPr="009472DE">
        <w:rPr>
          <w:spacing w:val="-16"/>
        </w:rPr>
        <w:t xml:space="preserve"> </w:t>
      </w:r>
      <w:r w:rsidRPr="009472DE">
        <w:t>в</w:t>
      </w:r>
      <w:r w:rsidRPr="009472DE">
        <w:rPr>
          <w:spacing w:val="-13"/>
        </w:rPr>
        <w:t xml:space="preserve"> </w:t>
      </w:r>
      <w:r w:rsidRPr="009472DE">
        <w:t>прибрежных</w:t>
      </w:r>
      <w:r w:rsidRPr="009472DE">
        <w:rPr>
          <w:spacing w:val="-13"/>
        </w:rPr>
        <w:t xml:space="preserve"> </w:t>
      </w:r>
      <w:r w:rsidRPr="009472DE">
        <w:t>зонах.</w:t>
      </w:r>
      <w:r w:rsidRPr="009472DE">
        <w:rPr>
          <w:spacing w:val="-16"/>
        </w:rPr>
        <w:t xml:space="preserve"> </w:t>
      </w:r>
      <w:r w:rsidRPr="009472DE">
        <w:t>В</w:t>
      </w:r>
      <w:r w:rsidRPr="009472DE">
        <w:rPr>
          <w:spacing w:val="-13"/>
        </w:rPr>
        <w:t xml:space="preserve"> </w:t>
      </w:r>
      <w:r w:rsidRPr="009472DE">
        <w:t>2022</w:t>
      </w:r>
      <w:r w:rsidRPr="009472DE">
        <w:rPr>
          <w:spacing w:val="-15"/>
        </w:rPr>
        <w:t xml:space="preserve"> </w:t>
      </w:r>
      <w:r w:rsidRPr="009472DE">
        <w:t>году</w:t>
      </w:r>
      <w:r w:rsidRPr="009472DE">
        <w:rPr>
          <w:spacing w:val="-15"/>
        </w:rPr>
        <w:t xml:space="preserve"> </w:t>
      </w:r>
      <w:r w:rsidRPr="009472DE">
        <w:t>в</w:t>
      </w:r>
      <w:r w:rsidRPr="009472DE">
        <w:rPr>
          <w:spacing w:val="-16"/>
        </w:rPr>
        <w:t xml:space="preserve"> </w:t>
      </w:r>
      <w:r w:rsidRPr="009472DE">
        <w:t>этой</w:t>
      </w:r>
      <w:r w:rsidRPr="009472DE">
        <w:rPr>
          <w:spacing w:val="-16"/>
        </w:rPr>
        <w:t xml:space="preserve"> </w:t>
      </w:r>
      <w:r w:rsidRPr="009472DE">
        <w:t>отрасли</w:t>
      </w:r>
      <w:r w:rsidRPr="009472DE">
        <w:rPr>
          <w:spacing w:val="-15"/>
        </w:rPr>
        <w:t xml:space="preserve"> </w:t>
      </w:r>
      <w:r w:rsidRPr="009472DE">
        <w:t>было</w:t>
      </w:r>
      <w:r w:rsidRPr="009472DE">
        <w:rPr>
          <w:spacing w:val="-16"/>
        </w:rPr>
        <w:t xml:space="preserve"> </w:t>
      </w:r>
      <w:r w:rsidRPr="009472DE">
        <w:t>занято 250 тысяч человек, а к 2024 году — 310 тысяч, что составляет 11% рабочей силы региона. Строительный сектор, благодаря инфраструктурным</w:t>
      </w:r>
      <w:r w:rsidRPr="009472DE">
        <w:rPr>
          <w:spacing w:val="-9"/>
        </w:rPr>
        <w:t xml:space="preserve"> </w:t>
      </w:r>
      <w:r w:rsidRPr="009472DE">
        <w:t>проектам,</w:t>
      </w:r>
      <w:r w:rsidRPr="009472DE">
        <w:rPr>
          <w:spacing w:val="-10"/>
        </w:rPr>
        <w:t xml:space="preserve"> </w:t>
      </w:r>
      <w:r w:rsidRPr="009472DE">
        <w:t>увеличил</w:t>
      </w:r>
      <w:r w:rsidRPr="009472DE">
        <w:rPr>
          <w:spacing w:val="-10"/>
        </w:rPr>
        <w:t xml:space="preserve"> </w:t>
      </w:r>
      <w:r w:rsidRPr="009472DE">
        <w:t>занятость</w:t>
      </w:r>
      <w:r w:rsidRPr="009472DE">
        <w:rPr>
          <w:spacing w:val="-9"/>
        </w:rPr>
        <w:t xml:space="preserve"> </w:t>
      </w:r>
      <w:r w:rsidRPr="009472DE">
        <w:t>с</w:t>
      </w:r>
      <w:r w:rsidRPr="009472DE">
        <w:rPr>
          <w:spacing w:val="-7"/>
        </w:rPr>
        <w:t xml:space="preserve"> </w:t>
      </w:r>
      <w:r w:rsidRPr="009472DE">
        <w:t>195</w:t>
      </w:r>
      <w:r w:rsidRPr="009472DE">
        <w:rPr>
          <w:spacing w:val="-9"/>
        </w:rPr>
        <w:t xml:space="preserve"> </w:t>
      </w:r>
      <w:r w:rsidRPr="009472DE">
        <w:t>тысяч</w:t>
      </w:r>
      <w:r w:rsidRPr="009472DE">
        <w:rPr>
          <w:spacing w:val="-9"/>
        </w:rPr>
        <w:t xml:space="preserve"> </w:t>
      </w:r>
      <w:r w:rsidRPr="009472DE">
        <w:t>человек в 2022 году до 225 тысяч в 2024 году, показав рост на 15%. Однако высокотехнологичные отрасли, такие как информационные технологии и финансы, столкнулись с сокращением рабочих мест на 5% и 4% соответственно, что связано с оттоком иностранных компаний и ограничениями на доступ к технологиям.</w:t>
      </w:r>
    </w:p>
    <w:p w14:paraId="006651C1" w14:textId="77777777" w:rsidR="00877DE5" w:rsidRDefault="00877DE5" w:rsidP="001F45AE">
      <w:pPr>
        <w:pStyle w:val="af3"/>
        <w:spacing w:before="0"/>
        <w:ind w:left="0" w:firstLine="709"/>
      </w:pPr>
      <w:r w:rsidRPr="009472DE">
        <w:t>Демографическая структура рынка труда также претерпела изменения. Трудоспособное население выросло с 3,2 миллиона человек в 2022 году до 3,3 миллиона в 2024 году за счет притока внутренних</w:t>
      </w:r>
      <w:r w:rsidRPr="009472DE">
        <w:rPr>
          <w:spacing w:val="-16"/>
        </w:rPr>
        <w:t xml:space="preserve"> </w:t>
      </w:r>
      <w:r w:rsidRPr="009472DE">
        <w:t>мигрантов,</w:t>
      </w:r>
      <w:r w:rsidRPr="009472DE">
        <w:rPr>
          <w:spacing w:val="-17"/>
        </w:rPr>
        <w:t xml:space="preserve"> </w:t>
      </w:r>
      <w:r w:rsidRPr="009472DE">
        <w:t>преимущественно</w:t>
      </w:r>
      <w:r w:rsidRPr="009472DE">
        <w:rPr>
          <w:spacing w:val="-17"/>
        </w:rPr>
        <w:t xml:space="preserve"> </w:t>
      </w:r>
      <w:r w:rsidRPr="009472DE">
        <w:t>из</w:t>
      </w:r>
      <w:r w:rsidRPr="009472DE">
        <w:rPr>
          <w:spacing w:val="-19"/>
        </w:rPr>
        <w:t xml:space="preserve"> </w:t>
      </w:r>
      <w:r w:rsidRPr="009472DE">
        <w:t>соседних</w:t>
      </w:r>
      <w:r w:rsidRPr="009472DE">
        <w:rPr>
          <w:spacing w:val="-19"/>
        </w:rPr>
        <w:t xml:space="preserve"> </w:t>
      </w:r>
      <w:r w:rsidRPr="009472DE">
        <w:t>регионов,</w:t>
      </w:r>
      <w:r w:rsidRPr="009472DE">
        <w:rPr>
          <w:spacing w:val="-17"/>
        </w:rPr>
        <w:t xml:space="preserve"> </w:t>
      </w:r>
      <w:r w:rsidRPr="009472DE">
        <w:t>таких как Ростовская область. Около 50 тысяч мигрантов в 2023 году, 70% из которых составляли мужчины трудоспособного возраста, компенсировали дефицит рабочей силы в строительстве и сельском хозяйстве.</w:t>
      </w:r>
      <w:r w:rsidRPr="009472DE">
        <w:rPr>
          <w:spacing w:val="56"/>
        </w:rPr>
        <w:t xml:space="preserve"> </w:t>
      </w:r>
      <w:r w:rsidRPr="009472DE">
        <w:t>Доля</w:t>
      </w:r>
      <w:r w:rsidRPr="009472DE">
        <w:rPr>
          <w:spacing w:val="59"/>
        </w:rPr>
        <w:t xml:space="preserve"> </w:t>
      </w:r>
      <w:r w:rsidRPr="009472DE">
        <w:t>женщин</w:t>
      </w:r>
      <w:r w:rsidRPr="009472DE">
        <w:rPr>
          <w:spacing w:val="56"/>
        </w:rPr>
        <w:t xml:space="preserve"> </w:t>
      </w:r>
      <w:r w:rsidRPr="009472DE">
        <w:t>в</w:t>
      </w:r>
      <w:r w:rsidRPr="009472DE">
        <w:rPr>
          <w:spacing w:val="58"/>
        </w:rPr>
        <w:t xml:space="preserve"> </w:t>
      </w:r>
      <w:r w:rsidRPr="009472DE">
        <w:t>рабочей</w:t>
      </w:r>
      <w:r w:rsidRPr="009472DE">
        <w:rPr>
          <w:spacing w:val="57"/>
        </w:rPr>
        <w:t xml:space="preserve"> </w:t>
      </w:r>
      <w:r w:rsidRPr="009472DE">
        <w:t>силе</w:t>
      </w:r>
      <w:r w:rsidRPr="009472DE">
        <w:rPr>
          <w:spacing w:val="59"/>
        </w:rPr>
        <w:t xml:space="preserve"> </w:t>
      </w:r>
      <w:r w:rsidRPr="009472DE">
        <w:t>оставалась</w:t>
      </w:r>
      <w:r w:rsidRPr="009472DE">
        <w:rPr>
          <w:spacing w:val="58"/>
        </w:rPr>
        <w:t xml:space="preserve"> </w:t>
      </w:r>
      <w:r w:rsidRPr="009472DE">
        <w:t>стабильной</w:t>
      </w:r>
      <w:r w:rsidRPr="009472DE">
        <w:rPr>
          <w:spacing w:val="59"/>
        </w:rPr>
        <w:t xml:space="preserve"> </w:t>
      </w:r>
      <w:r w:rsidRPr="009472DE">
        <w:rPr>
          <w:spacing w:val="-5"/>
        </w:rPr>
        <w:t>на</w:t>
      </w:r>
      <w:r>
        <w:t xml:space="preserve"> </w:t>
      </w:r>
      <w:r w:rsidRPr="009472DE">
        <w:t>уровне 48%, но их занятость в традиционно мужских отраслях, таких как строительство, выросла на 10%. Молодежь в возрасте 15–24 лет составляла 12% рабочей силы, но сталкивалась с безработицей на уровне</w:t>
      </w:r>
      <w:r w:rsidRPr="009472DE">
        <w:rPr>
          <w:spacing w:val="-11"/>
        </w:rPr>
        <w:t xml:space="preserve"> </w:t>
      </w:r>
      <w:r w:rsidRPr="009472DE">
        <w:t>8%</w:t>
      </w:r>
      <w:r w:rsidRPr="009472DE">
        <w:rPr>
          <w:spacing w:val="-10"/>
        </w:rPr>
        <w:t xml:space="preserve"> </w:t>
      </w:r>
      <w:r w:rsidRPr="009472DE">
        <w:t>из-за</w:t>
      </w:r>
      <w:r w:rsidRPr="009472DE">
        <w:rPr>
          <w:spacing w:val="-11"/>
        </w:rPr>
        <w:t xml:space="preserve"> </w:t>
      </w:r>
      <w:r w:rsidRPr="009472DE">
        <w:t>недостатка</w:t>
      </w:r>
      <w:r w:rsidRPr="009472DE">
        <w:rPr>
          <w:spacing w:val="-11"/>
        </w:rPr>
        <w:t xml:space="preserve"> </w:t>
      </w:r>
      <w:r w:rsidRPr="009472DE">
        <w:t>опыта.</w:t>
      </w:r>
      <w:r w:rsidRPr="009472DE">
        <w:rPr>
          <w:spacing w:val="-10"/>
        </w:rPr>
        <w:t xml:space="preserve"> </w:t>
      </w:r>
      <w:r w:rsidRPr="009472DE">
        <w:t>Доля</w:t>
      </w:r>
      <w:r w:rsidRPr="009472DE">
        <w:rPr>
          <w:spacing w:val="-11"/>
        </w:rPr>
        <w:t xml:space="preserve"> </w:t>
      </w:r>
      <w:r w:rsidRPr="009472DE">
        <w:t>пожилых</w:t>
      </w:r>
      <w:r w:rsidRPr="009472DE">
        <w:rPr>
          <w:spacing w:val="-11"/>
        </w:rPr>
        <w:t xml:space="preserve"> </w:t>
      </w:r>
      <w:r w:rsidRPr="009472DE">
        <w:t>работников</w:t>
      </w:r>
      <w:r w:rsidRPr="009472DE">
        <w:rPr>
          <w:spacing w:val="-11"/>
        </w:rPr>
        <w:t xml:space="preserve"> </w:t>
      </w:r>
      <w:r w:rsidRPr="009472DE">
        <w:t>(старше 55</w:t>
      </w:r>
      <w:r w:rsidRPr="009472DE">
        <w:rPr>
          <w:spacing w:val="-8"/>
        </w:rPr>
        <w:t xml:space="preserve"> </w:t>
      </w:r>
      <w:r w:rsidRPr="009472DE">
        <w:t>лет)</w:t>
      </w:r>
      <w:r w:rsidRPr="009472DE">
        <w:rPr>
          <w:spacing w:val="-10"/>
        </w:rPr>
        <w:t xml:space="preserve"> </w:t>
      </w:r>
      <w:r w:rsidRPr="009472DE">
        <w:t>увеличилась</w:t>
      </w:r>
      <w:r w:rsidRPr="009472DE">
        <w:rPr>
          <w:spacing w:val="-9"/>
        </w:rPr>
        <w:t xml:space="preserve"> </w:t>
      </w:r>
      <w:r w:rsidRPr="009472DE">
        <w:t>с</w:t>
      </w:r>
      <w:r w:rsidRPr="009472DE">
        <w:rPr>
          <w:spacing w:val="-7"/>
        </w:rPr>
        <w:t xml:space="preserve"> </w:t>
      </w:r>
      <w:r w:rsidRPr="009472DE">
        <w:t>15%</w:t>
      </w:r>
      <w:r w:rsidRPr="009472DE">
        <w:rPr>
          <w:spacing w:val="-9"/>
        </w:rPr>
        <w:t xml:space="preserve"> </w:t>
      </w:r>
      <w:r w:rsidRPr="009472DE">
        <w:t>в</w:t>
      </w:r>
      <w:r w:rsidRPr="009472DE">
        <w:rPr>
          <w:spacing w:val="-7"/>
        </w:rPr>
        <w:t xml:space="preserve"> </w:t>
      </w:r>
      <w:r w:rsidRPr="009472DE">
        <w:t>2022</w:t>
      </w:r>
      <w:r w:rsidRPr="009472DE">
        <w:rPr>
          <w:spacing w:val="-8"/>
        </w:rPr>
        <w:t xml:space="preserve"> </w:t>
      </w:r>
      <w:r w:rsidRPr="009472DE">
        <w:t>году</w:t>
      </w:r>
      <w:r w:rsidRPr="009472DE">
        <w:rPr>
          <w:spacing w:val="-8"/>
        </w:rPr>
        <w:t xml:space="preserve"> </w:t>
      </w:r>
      <w:r w:rsidRPr="009472DE">
        <w:t>до</w:t>
      </w:r>
      <w:r w:rsidRPr="009472DE">
        <w:rPr>
          <w:spacing w:val="-8"/>
        </w:rPr>
        <w:t xml:space="preserve"> </w:t>
      </w:r>
      <w:r w:rsidRPr="009472DE">
        <w:t>17%</w:t>
      </w:r>
      <w:r w:rsidRPr="009472DE">
        <w:rPr>
          <w:spacing w:val="-9"/>
        </w:rPr>
        <w:t xml:space="preserve"> </w:t>
      </w:r>
      <w:r w:rsidRPr="009472DE">
        <w:t>в</w:t>
      </w:r>
      <w:r w:rsidRPr="009472DE">
        <w:rPr>
          <w:spacing w:val="-9"/>
        </w:rPr>
        <w:t xml:space="preserve"> </w:t>
      </w:r>
      <w:r w:rsidRPr="009472DE">
        <w:t>2024</w:t>
      </w:r>
      <w:r w:rsidRPr="009472DE">
        <w:rPr>
          <w:spacing w:val="-8"/>
        </w:rPr>
        <w:t xml:space="preserve"> </w:t>
      </w:r>
      <w:r w:rsidRPr="009472DE">
        <w:t>году,</w:t>
      </w:r>
      <w:r w:rsidRPr="009472DE">
        <w:rPr>
          <w:spacing w:val="-10"/>
        </w:rPr>
        <w:t xml:space="preserve"> </w:t>
      </w:r>
      <w:r w:rsidRPr="009472DE">
        <w:t>что</w:t>
      </w:r>
      <w:r w:rsidRPr="009472DE">
        <w:rPr>
          <w:spacing w:val="-8"/>
        </w:rPr>
        <w:t xml:space="preserve"> </w:t>
      </w:r>
      <w:r w:rsidRPr="009472DE">
        <w:t>связано с</w:t>
      </w:r>
      <w:r w:rsidRPr="009472DE">
        <w:rPr>
          <w:spacing w:val="-2"/>
        </w:rPr>
        <w:t xml:space="preserve"> </w:t>
      </w:r>
      <w:r w:rsidRPr="009472DE">
        <w:t>повышением пенсионного</w:t>
      </w:r>
      <w:r w:rsidRPr="009472DE">
        <w:rPr>
          <w:spacing w:val="-1"/>
        </w:rPr>
        <w:t xml:space="preserve"> </w:t>
      </w:r>
      <w:r w:rsidRPr="009472DE">
        <w:t>возраста</w:t>
      </w:r>
      <w:r w:rsidRPr="009472DE">
        <w:rPr>
          <w:spacing w:val="-2"/>
        </w:rPr>
        <w:t xml:space="preserve"> </w:t>
      </w:r>
      <w:r w:rsidRPr="009472DE">
        <w:t>и</w:t>
      </w:r>
      <w:r w:rsidRPr="009472DE">
        <w:rPr>
          <w:spacing w:val="-2"/>
        </w:rPr>
        <w:t xml:space="preserve"> </w:t>
      </w:r>
      <w:r w:rsidRPr="009472DE">
        <w:t>необходимостью</w:t>
      </w:r>
      <w:r w:rsidRPr="009472DE">
        <w:rPr>
          <w:spacing w:val="-2"/>
        </w:rPr>
        <w:t xml:space="preserve"> </w:t>
      </w:r>
      <w:r w:rsidRPr="009472DE">
        <w:t>поддержания доходов в условиях инфляции.</w:t>
      </w:r>
    </w:p>
    <w:p w14:paraId="705AF8E2" w14:textId="77777777" w:rsidR="00877DE5" w:rsidRPr="009472DE" w:rsidRDefault="00877DE5" w:rsidP="00067100">
      <w:pPr>
        <w:pStyle w:val="af3"/>
        <w:spacing w:before="0"/>
        <w:ind w:right="143" w:firstLine="709"/>
      </w:pPr>
    </w:p>
    <w:p w14:paraId="6D0AE789" w14:textId="77777777" w:rsidR="00877DE5" w:rsidRPr="009472DE" w:rsidRDefault="00877DE5" w:rsidP="001F45AE">
      <w:pPr>
        <w:pStyle w:val="af3"/>
        <w:spacing w:before="0"/>
        <w:ind w:left="0" w:firstLine="0"/>
      </w:pPr>
      <w:r w:rsidRPr="009472DE">
        <w:t>Таблица</w:t>
      </w:r>
      <w:r w:rsidRPr="009472DE">
        <w:rPr>
          <w:spacing w:val="-11"/>
        </w:rPr>
        <w:t xml:space="preserve"> </w:t>
      </w:r>
      <w:r w:rsidRPr="009472DE">
        <w:t>1</w:t>
      </w:r>
      <w:r w:rsidRPr="009472DE">
        <w:rPr>
          <w:spacing w:val="-9"/>
        </w:rPr>
        <w:t xml:space="preserve"> </w:t>
      </w:r>
      <w:r w:rsidRPr="009472DE">
        <w:t>–</w:t>
      </w:r>
      <w:r w:rsidRPr="009472DE">
        <w:rPr>
          <w:spacing w:val="-8"/>
        </w:rPr>
        <w:t xml:space="preserve"> </w:t>
      </w:r>
      <w:r w:rsidRPr="009472DE">
        <w:t>Ключевые</w:t>
      </w:r>
      <w:r w:rsidRPr="009472DE">
        <w:rPr>
          <w:spacing w:val="-9"/>
        </w:rPr>
        <w:t xml:space="preserve"> </w:t>
      </w:r>
      <w:r w:rsidRPr="009472DE">
        <w:t>показатели</w:t>
      </w:r>
      <w:r w:rsidRPr="009472DE">
        <w:rPr>
          <w:spacing w:val="-8"/>
        </w:rPr>
        <w:t xml:space="preserve"> </w:t>
      </w:r>
      <w:r w:rsidRPr="009472DE">
        <w:t>рынка</w:t>
      </w:r>
      <w:r w:rsidRPr="009472DE">
        <w:rPr>
          <w:spacing w:val="-7"/>
        </w:rPr>
        <w:t xml:space="preserve"> </w:t>
      </w:r>
      <w:r w:rsidRPr="009472DE">
        <w:t>труда</w:t>
      </w:r>
      <w:r w:rsidRPr="009472DE">
        <w:rPr>
          <w:spacing w:val="-10"/>
        </w:rPr>
        <w:t xml:space="preserve"> </w:t>
      </w:r>
      <w:r w:rsidRPr="009472DE">
        <w:t>за</w:t>
      </w:r>
      <w:r w:rsidRPr="009472DE">
        <w:rPr>
          <w:spacing w:val="-7"/>
        </w:rPr>
        <w:t xml:space="preserve"> </w:t>
      </w:r>
      <w:r w:rsidRPr="009472DE">
        <w:t>2022-2024</w:t>
      </w:r>
      <w:r w:rsidRPr="009472DE">
        <w:rPr>
          <w:spacing w:val="-9"/>
        </w:rPr>
        <w:t xml:space="preserve"> </w:t>
      </w:r>
      <w:r w:rsidRPr="009472DE">
        <w:rPr>
          <w:spacing w:val="-4"/>
        </w:rPr>
        <w:t>годы</w:t>
      </w: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1495"/>
        <w:gridCol w:w="1493"/>
        <w:gridCol w:w="1670"/>
        <w:gridCol w:w="1901"/>
        <w:gridCol w:w="2366"/>
      </w:tblGrid>
      <w:tr w:rsidR="00877DE5" w:rsidRPr="009472DE" w14:paraId="1BE3A572" w14:textId="77777777" w:rsidTr="001F45AE">
        <w:trPr>
          <w:trHeight w:val="583"/>
        </w:trPr>
        <w:tc>
          <w:tcPr>
            <w:tcW w:w="859" w:type="dxa"/>
          </w:tcPr>
          <w:p w14:paraId="566162F0" w14:textId="77777777" w:rsidR="00877DE5" w:rsidRPr="009472DE" w:rsidRDefault="00877DE5" w:rsidP="00B23B21">
            <w:pPr>
              <w:pStyle w:val="TableParagraph"/>
              <w:spacing w:before="0" w:line="240" w:lineRule="auto"/>
              <w:rPr>
                <w:sz w:val="24"/>
              </w:rPr>
            </w:pPr>
            <w:r w:rsidRPr="009472DE">
              <w:rPr>
                <w:spacing w:val="-5"/>
                <w:sz w:val="24"/>
              </w:rPr>
              <w:t>Год</w:t>
            </w:r>
          </w:p>
        </w:tc>
        <w:tc>
          <w:tcPr>
            <w:tcW w:w="1495" w:type="dxa"/>
          </w:tcPr>
          <w:p w14:paraId="711D67E0" w14:textId="77777777" w:rsidR="00877DE5" w:rsidRPr="009472DE" w:rsidRDefault="00877DE5" w:rsidP="00B23B21">
            <w:pPr>
              <w:pStyle w:val="TableParagraph"/>
              <w:spacing w:before="0" w:line="240" w:lineRule="auto"/>
              <w:ind w:left="544" w:right="53"/>
              <w:jc w:val="left"/>
              <w:rPr>
                <w:sz w:val="24"/>
              </w:rPr>
            </w:pPr>
            <w:r w:rsidRPr="009472DE">
              <w:rPr>
                <w:sz w:val="24"/>
              </w:rPr>
              <w:t>Занятые,</w:t>
            </w:r>
            <w:r w:rsidRPr="009472DE">
              <w:rPr>
                <w:spacing w:val="-15"/>
                <w:sz w:val="24"/>
              </w:rPr>
              <w:t xml:space="preserve"> </w:t>
            </w:r>
            <w:r w:rsidRPr="009472DE">
              <w:rPr>
                <w:sz w:val="24"/>
              </w:rPr>
              <w:t xml:space="preserve">млн </w:t>
            </w:r>
            <w:r w:rsidRPr="009472DE">
              <w:rPr>
                <w:spacing w:val="-4"/>
                <w:sz w:val="24"/>
              </w:rPr>
              <w:t>чел.</w:t>
            </w:r>
          </w:p>
        </w:tc>
        <w:tc>
          <w:tcPr>
            <w:tcW w:w="1493" w:type="dxa"/>
          </w:tcPr>
          <w:p w14:paraId="102702A6" w14:textId="77777777" w:rsidR="00877DE5" w:rsidRPr="009472DE" w:rsidRDefault="00877DE5" w:rsidP="00B23B21">
            <w:pPr>
              <w:pStyle w:val="TableParagraph"/>
              <w:spacing w:before="0" w:line="240" w:lineRule="auto"/>
              <w:ind w:left="543" w:right="52"/>
              <w:jc w:val="left"/>
              <w:rPr>
                <w:sz w:val="24"/>
              </w:rPr>
            </w:pPr>
            <w:r w:rsidRPr="009472DE">
              <w:rPr>
                <w:sz w:val="24"/>
              </w:rPr>
              <w:t>Занятые,</w:t>
            </w:r>
            <w:r w:rsidRPr="009472DE">
              <w:rPr>
                <w:spacing w:val="-15"/>
                <w:sz w:val="24"/>
              </w:rPr>
              <w:t xml:space="preserve"> </w:t>
            </w:r>
            <w:r w:rsidRPr="009472DE">
              <w:rPr>
                <w:sz w:val="24"/>
              </w:rPr>
              <w:t xml:space="preserve">млн </w:t>
            </w:r>
            <w:r w:rsidRPr="009472DE">
              <w:rPr>
                <w:spacing w:val="-4"/>
                <w:sz w:val="24"/>
              </w:rPr>
              <w:t>чел.</w:t>
            </w:r>
          </w:p>
        </w:tc>
        <w:tc>
          <w:tcPr>
            <w:tcW w:w="1670" w:type="dxa"/>
          </w:tcPr>
          <w:p w14:paraId="439D60F6" w14:textId="77777777" w:rsidR="00877DE5" w:rsidRPr="009472DE" w:rsidRDefault="00877DE5" w:rsidP="00B23B21">
            <w:pPr>
              <w:pStyle w:val="TableParagraph"/>
              <w:spacing w:before="0" w:line="240" w:lineRule="auto"/>
              <w:ind w:left="173"/>
              <w:jc w:val="left"/>
              <w:rPr>
                <w:sz w:val="24"/>
              </w:rPr>
            </w:pPr>
            <w:r w:rsidRPr="009472DE">
              <w:rPr>
                <w:spacing w:val="-2"/>
                <w:sz w:val="24"/>
              </w:rPr>
              <w:t xml:space="preserve">Уровень </w:t>
            </w:r>
            <w:r w:rsidRPr="009472DE">
              <w:rPr>
                <w:sz w:val="24"/>
              </w:rPr>
              <w:t>занятости,</w:t>
            </w:r>
            <w:r w:rsidRPr="009472DE">
              <w:rPr>
                <w:spacing w:val="-15"/>
                <w:sz w:val="24"/>
              </w:rPr>
              <w:t xml:space="preserve"> </w:t>
            </w:r>
            <w:r w:rsidRPr="009472DE">
              <w:rPr>
                <w:sz w:val="24"/>
              </w:rPr>
              <w:t>%</w:t>
            </w:r>
          </w:p>
        </w:tc>
        <w:tc>
          <w:tcPr>
            <w:tcW w:w="1901" w:type="dxa"/>
          </w:tcPr>
          <w:p w14:paraId="079DA239" w14:textId="77777777" w:rsidR="00877DE5" w:rsidRPr="009472DE" w:rsidRDefault="00877DE5" w:rsidP="00B23B21">
            <w:pPr>
              <w:pStyle w:val="TableParagraph"/>
              <w:spacing w:before="0" w:line="240" w:lineRule="auto"/>
              <w:ind w:left="524" w:right="142"/>
              <w:jc w:val="left"/>
              <w:rPr>
                <w:sz w:val="24"/>
              </w:rPr>
            </w:pPr>
            <w:r w:rsidRPr="009472DE">
              <w:rPr>
                <w:sz w:val="24"/>
              </w:rPr>
              <w:t>Безработица</w:t>
            </w:r>
            <w:r w:rsidRPr="009472DE">
              <w:rPr>
                <w:spacing w:val="-15"/>
                <w:sz w:val="24"/>
              </w:rPr>
              <w:t xml:space="preserve"> </w:t>
            </w:r>
            <w:r w:rsidRPr="009472DE">
              <w:rPr>
                <w:sz w:val="24"/>
              </w:rPr>
              <w:t>по МОТ, %</w:t>
            </w:r>
          </w:p>
        </w:tc>
        <w:tc>
          <w:tcPr>
            <w:tcW w:w="2366" w:type="dxa"/>
          </w:tcPr>
          <w:p w14:paraId="45652AEA" w14:textId="77777777" w:rsidR="00877DE5" w:rsidRPr="009472DE" w:rsidRDefault="00877DE5" w:rsidP="00B23B21">
            <w:pPr>
              <w:pStyle w:val="TableParagraph"/>
              <w:spacing w:before="0" w:line="240" w:lineRule="auto"/>
              <w:ind w:left="13" w:right="1"/>
              <w:rPr>
                <w:sz w:val="24"/>
              </w:rPr>
            </w:pPr>
            <w:r w:rsidRPr="009472DE">
              <w:rPr>
                <w:spacing w:val="-2"/>
                <w:sz w:val="24"/>
              </w:rPr>
              <w:t>Зарегистр.</w:t>
            </w:r>
          </w:p>
          <w:p w14:paraId="552C346A" w14:textId="77777777" w:rsidR="00877DE5" w:rsidRPr="009472DE" w:rsidRDefault="00877DE5" w:rsidP="00B23B21">
            <w:pPr>
              <w:pStyle w:val="TableParagraph"/>
              <w:spacing w:before="0" w:line="240" w:lineRule="auto"/>
              <w:ind w:left="13" w:right="1"/>
              <w:rPr>
                <w:sz w:val="24"/>
              </w:rPr>
            </w:pPr>
            <w:r w:rsidRPr="009472DE">
              <w:rPr>
                <w:sz w:val="24"/>
              </w:rPr>
              <w:t>безработица,</w:t>
            </w:r>
            <w:r w:rsidRPr="009472DE">
              <w:rPr>
                <w:spacing w:val="-4"/>
                <w:sz w:val="24"/>
              </w:rPr>
              <w:t xml:space="preserve"> </w:t>
            </w:r>
            <w:r w:rsidRPr="009472DE">
              <w:rPr>
                <w:sz w:val="24"/>
              </w:rPr>
              <w:t>тыс.</w:t>
            </w:r>
            <w:r w:rsidRPr="009472DE">
              <w:rPr>
                <w:spacing w:val="-2"/>
                <w:sz w:val="24"/>
              </w:rPr>
              <w:t xml:space="preserve"> </w:t>
            </w:r>
            <w:r w:rsidRPr="009472DE">
              <w:rPr>
                <w:spacing w:val="-4"/>
                <w:sz w:val="24"/>
              </w:rPr>
              <w:t>чел.</w:t>
            </w:r>
          </w:p>
        </w:tc>
      </w:tr>
      <w:tr w:rsidR="00877DE5" w:rsidRPr="009472DE" w14:paraId="2E08245F" w14:textId="77777777" w:rsidTr="001F45AE">
        <w:trPr>
          <w:trHeight w:val="304"/>
        </w:trPr>
        <w:tc>
          <w:tcPr>
            <w:tcW w:w="859" w:type="dxa"/>
          </w:tcPr>
          <w:p w14:paraId="074EBF37" w14:textId="77777777" w:rsidR="00877DE5" w:rsidRPr="009472DE" w:rsidRDefault="00877DE5" w:rsidP="00B23B21">
            <w:pPr>
              <w:pStyle w:val="TableParagraph"/>
              <w:spacing w:before="0" w:line="240" w:lineRule="auto"/>
              <w:ind w:right="2"/>
              <w:rPr>
                <w:sz w:val="24"/>
              </w:rPr>
            </w:pPr>
            <w:r w:rsidRPr="009472DE">
              <w:rPr>
                <w:spacing w:val="-4"/>
                <w:sz w:val="24"/>
              </w:rPr>
              <w:t>2022</w:t>
            </w:r>
          </w:p>
        </w:tc>
        <w:tc>
          <w:tcPr>
            <w:tcW w:w="1495" w:type="dxa"/>
          </w:tcPr>
          <w:p w14:paraId="730A4851" w14:textId="77777777" w:rsidR="00877DE5" w:rsidRPr="009472DE" w:rsidRDefault="00877DE5" w:rsidP="00B23B21">
            <w:pPr>
              <w:pStyle w:val="TableParagraph"/>
              <w:spacing w:before="0" w:line="240" w:lineRule="auto"/>
              <w:ind w:left="10"/>
              <w:rPr>
                <w:sz w:val="24"/>
              </w:rPr>
            </w:pPr>
            <w:r w:rsidRPr="009472DE">
              <w:rPr>
                <w:spacing w:val="-4"/>
                <w:sz w:val="24"/>
              </w:rPr>
              <w:t>2.70</w:t>
            </w:r>
          </w:p>
        </w:tc>
        <w:tc>
          <w:tcPr>
            <w:tcW w:w="1493" w:type="dxa"/>
          </w:tcPr>
          <w:p w14:paraId="6C853320" w14:textId="77777777" w:rsidR="00877DE5" w:rsidRPr="009472DE" w:rsidRDefault="00877DE5" w:rsidP="00B23B21">
            <w:pPr>
              <w:pStyle w:val="TableParagraph"/>
              <w:spacing w:before="0" w:line="240" w:lineRule="auto"/>
              <w:ind w:left="8"/>
              <w:rPr>
                <w:sz w:val="24"/>
              </w:rPr>
            </w:pPr>
            <w:r w:rsidRPr="009472DE">
              <w:rPr>
                <w:spacing w:val="-4"/>
                <w:sz w:val="24"/>
              </w:rPr>
              <w:t>2.70</w:t>
            </w:r>
          </w:p>
        </w:tc>
        <w:tc>
          <w:tcPr>
            <w:tcW w:w="1670" w:type="dxa"/>
          </w:tcPr>
          <w:p w14:paraId="4D073B73" w14:textId="77777777" w:rsidR="00877DE5" w:rsidRPr="009472DE" w:rsidRDefault="00877DE5" w:rsidP="00B23B21">
            <w:pPr>
              <w:pStyle w:val="TableParagraph"/>
              <w:spacing w:before="0" w:line="240" w:lineRule="auto"/>
              <w:ind w:left="11"/>
              <w:rPr>
                <w:sz w:val="24"/>
              </w:rPr>
            </w:pPr>
            <w:r w:rsidRPr="009472DE">
              <w:rPr>
                <w:spacing w:val="-5"/>
                <w:sz w:val="24"/>
              </w:rPr>
              <w:t>58</w:t>
            </w:r>
          </w:p>
        </w:tc>
        <w:tc>
          <w:tcPr>
            <w:tcW w:w="1901" w:type="dxa"/>
          </w:tcPr>
          <w:p w14:paraId="2980891D" w14:textId="77777777" w:rsidR="00877DE5" w:rsidRPr="009472DE" w:rsidRDefault="00877DE5" w:rsidP="00B23B21">
            <w:pPr>
              <w:pStyle w:val="TableParagraph"/>
              <w:spacing w:before="0" w:line="240" w:lineRule="auto"/>
              <w:rPr>
                <w:sz w:val="24"/>
              </w:rPr>
            </w:pPr>
            <w:r w:rsidRPr="009472DE">
              <w:rPr>
                <w:spacing w:val="-5"/>
                <w:sz w:val="24"/>
              </w:rPr>
              <w:t>3.8</w:t>
            </w:r>
          </w:p>
        </w:tc>
        <w:tc>
          <w:tcPr>
            <w:tcW w:w="2366" w:type="dxa"/>
          </w:tcPr>
          <w:p w14:paraId="4318EB50" w14:textId="77777777" w:rsidR="00877DE5" w:rsidRPr="009472DE" w:rsidRDefault="00877DE5" w:rsidP="00B23B21">
            <w:pPr>
              <w:pStyle w:val="TableParagraph"/>
              <w:spacing w:before="0" w:line="240" w:lineRule="auto"/>
              <w:ind w:left="13"/>
              <w:rPr>
                <w:sz w:val="24"/>
              </w:rPr>
            </w:pPr>
            <w:r w:rsidRPr="009472DE">
              <w:rPr>
                <w:spacing w:val="-5"/>
                <w:sz w:val="24"/>
              </w:rPr>
              <w:t>24</w:t>
            </w:r>
          </w:p>
        </w:tc>
      </w:tr>
      <w:tr w:rsidR="00877DE5" w:rsidRPr="009472DE" w14:paraId="060372C2" w14:textId="77777777" w:rsidTr="001F45AE">
        <w:trPr>
          <w:trHeight w:val="306"/>
        </w:trPr>
        <w:tc>
          <w:tcPr>
            <w:tcW w:w="859" w:type="dxa"/>
          </w:tcPr>
          <w:p w14:paraId="09680EDB" w14:textId="77777777" w:rsidR="00877DE5" w:rsidRPr="009472DE" w:rsidRDefault="00877DE5" w:rsidP="00B23B21">
            <w:pPr>
              <w:pStyle w:val="TableParagraph"/>
              <w:spacing w:before="0" w:line="240" w:lineRule="auto"/>
              <w:ind w:right="2"/>
              <w:rPr>
                <w:sz w:val="24"/>
              </w:rPr>
            </w:pPr>
            <w:r w:rsidRPr="009472DE">
              <w:rPr>
                <w:spacing w:val="-4"/>
                <w:sz w:val="24"/>
              </w:rPr>
              <w:t>2023</w:t>
            </w:r>
          </w:p>
        </w:tc>
        <w:tc>
          <w:tcPr>
            <w:tcW w:w="1495" w:type="dxa"/>
          </w:tcPr>
          <w:p w14:paraId="780E9FD4" w14:textId="77777777" w:rsidR="00877DE5" w:rsidRPr="009472DE" w:rsidRDefault="00877DE5" w:rsidP="00B23B21">
            <w:pPr>
              <w:pStyle w:val="TableParagraph"/>
              <w:spacing w:before="0" w:line="240" w:lineRule="auto"/>
              <w:ind w:left="10"/>
              <w:rPr>
                <w:sz w:val="24"/>
              </w:rPr>
            </w:pPr>
            <w:r w:rsidRPr="009472DE">
              <w:rPr>
                <w:spacing w:val="-4"/>
                <w:sz w:val="24"/>
              </w:rPr>
              <w:t>2.75</w:t>
            </w:r>
          </w:p>
        </w:tc>
        <w:tc>
          <w:tcPr>
            <w:tcW w:w="1493" w:type="dxa"/>
          </w:tcPr>
          <w:p w14:paraId="641671AA" w14:textId="77777777" w:rsidR="00877DE5" w:rsidRPr="009472DE" w:rsidRDefault="00877DE5" w:rsidP="00B23B21">
            <w:pPr>
              <w:pStyle w:val="TableParagraph"/>
              <w:spacing w:before="0" w:line="240" w:lineRule="auto"/>
              <w:ind w:left="8"/>
              <w:rPr>
                <w:sz w:val="24"/>
              </w:rPr>
            </w:pPr>
            <w:r w:rsidRPr="009472DE">
              <w:rPr>
                <w:spacing w:val="-4"/>
                <w:sz w:val="24"/>
              </w:rPr>
              <w:t>2.75</w:t>
            </w:r>
          </w:p>
        </w:tc>
        <w:tc>
          <w:tcPr>
            <w:tcW w:w="1670" w:type="dxa"/>
          </w:tcPr>
          <w:p w14:paraId="4C136518" w14:textId="77777777" w:rsidR="00877DE5" w:rsidRPr="009472DE" w:rsidRDefault="00877DE5" w:rsidP="00B23B21">
            <w:pPr>
              <w:pStyle w:val="TableParagraph"/>
              <w:spacing w:before="0" w:line="240" w:lineRule="auto"/>
              <w:ind w:left="11"/>
              <w:rPr>
                <w:sz w:val="24"/>
              </w:rPr>
            </w:pPr>
            <w:r w:rsidRPr="009472DE">
              <w:rPr>
                <w:spacing w:val="-5"/>
                <w:sz w:val="24"/>
              </w:rPr>
              <w:t>59</w:t>
            </w:r>
          </w:p>
        </w:tc>
        <w:tc>
          <w:tcPr>
            <w:tcW w:w="1901" w:type="dxa"/>
          </w:tcPr>
          <w:p w14:paraId="1F1A177F" w14:textId="77777777" w:rsidR="00877DE5" w:rsidRPr="009472DE" w:rsidRDefault="00877DE5" w:rsidP="00B23B21">
            <w:pPr>
              <w:pStyle w:val="TableParagraph"/>
              <w:spacing w:before="0" w:line="240" w:lineRule="auto"/>
              <w:rPr>
                <w:sz w:val="24"/>
              </w:rPr>
            </w:pPr>
            <w:r w:rsidRPr="009472DE">
              <w:rPr>
                <w:spacing w:val="-5"/>
                <w:sz w:val="24"/>
              </w:rPr>
              <w:t>3.2</w:t>
            </w:r>
          </w:p>
        </w:tc>
        <w:tc>
          <w:tcPr>
            <w:tcW w:w="2366" w:type="dxa"/>
          </w:tcPr>
          <w:p w14:paraId="47042B71" w14:textId="77777777" w:rsidR="00877DE5" w:rsidRPr="009472DE" w:rsidRDefault="00877DE5" w:rsidP="00B23B21">
            <w:pPr>
              <w:pStyle w:val="TableParagraph"/>
              <w:spacing w:before="0" w:line="240" w:lineRule="auto"/>
              <w:ind w:left="13"/>
              <w:rPr>
                <w:sz w:val="24"/>
              </w:rPr>
            </w:pPr>
            <w:r w:rsidRPr="009472DE">
              <w:rPr>
                <w:spacing w:val="-5"/>
                <w:sz w:val="24"/>
              </w:rPr>
              <w:t>19</w:t>
            </w:r>
          </w:p>
        </w:tc>
      </w:tr>
      <w:tr w:rsidR="00877DE5" w:rsidRPr="009472DE" w14:paraId="6274513C" w14:textId="77777777" w:rsidTr="001F45AE">
        <w:trPr>
          <w:trHeight w:val="306"/>
        </w:trPr>
        <w:tc>
          <w:tcPr>
            <w:tcW w:w="859" w:type="dxa"/>
          </w:tcPr>
          <w:p w14:paraId="4D5634BF" w14:textId="77777777" w:rsidR="00877DE5" w:rsidRPr="009472DE" w:rsidRDefault="00877DE5" w:rsidP="00B23B21">
            <w:pPr>
              <w:pStyle w:val="TableParagraph"/>
              <w:spacing w:before="0" w:line="240" w:lineRule="auto"/>
              <w:ind w:right="2"/>
              <w:rPr>
                <w:sz w:val="24"/>
              </w:rPr>
            </w:pPr>
            <w:r w:rsidRPr="009472DE">
              <w:rPr>
                <w:spacing w:val="-4"/>
                <w:sz w:val="24"/>
              </w:rPr>
              <w:t>2024</w:t>
            </w:r>
          </w:p>
        </w:tc>
        <w:tc>
          <w:tcPr>
            <w:tcW w:w="1495" w:type="dxa"/>
          </w:tcPr>
          <w:p w14:paraId="7F326D08" w14:textId="77777777" w:rsidR="00877DE5" w:rsidRPr="009472DE" w:rsidRDefault="00877DE5" w:rsidP="00B23B21">
            <w:pPr>
              <w:pStyle w:val="TableParagraph"/>
              <w:spacing w:before="0" w:line="240" w:lineRule="auto"/>
              <w:ind w:left="10"/>
              <w:rPr>
                <w:sz w:val="24"/>
              </w:rPr>
            </w:pPr>
            <w:r w:rsidRPr="009472DE">
              <w:rPr>
                <w:spacing w:val="-4"/>
                <w:sz w:val="24"/>
              </w:rPr>
              <w:t>2.80</w:t>
            </w:r>
          </w:p>
        </w:tc>
        <w:tc>
          <w:tcPr>
            <w:tcW w:w="1493" w:type="dxa"/>
          </w:tcPr>
          <w:p w14:paraId="4C8DD074" w14:textId="77777777" w:rsidR="00877DE5" w:rsidRPr="009472DE" w:rsidRDefault="00877DE5" w:rsidP="00B23B21">
            <w:pPr>
              <w:pStyle w:val="TableParagraph"/>
              <w:spacing w:before="0" w:line="240" w:lineRule="auto"/>
              <w:ind w:left="8"/>
              <w:rPr>
                <w:sz w:val="24"/>
              </w:rPr>
            </w:pPr>
            <w:r w:rsidRPr="009472DE">
              <w:rPr>
                <w:spacing w:val="-4"/>
                <w:sz w:val="24"/>
              </w:rPr>
              <w:t>2.80</w:t>
            </w:r>
          </w:p>
        </w:tc>
        <w:tc>
          <w:tcPr>
            <w:tcW w:w="1670" w:type="dxa"/>
          </w:tcPr>
          <w:p w14:paraId="7782D86A" w14:textId="77777777" w:rsidR="00877DE5" w:rsidRPr="009472DE" w:rsidRDefault="00877DE5" w:rsidP="00B23B21">
            <w:pPr>
              <w:pStyle w:val="TableParagraph"/>
              <w:spacing w:before="0" w:line="240" w:lineRule="auto"/>
              <w:ind w:left="11"/>
              <w:rPr>
                <w:sz w:val="24"/>
              </w:rPr>
            </w:pPr>
            <w:r w:rsidRPr="009472DE">
              <w:rPr>
                <w:spacing w:val="-5"/>
                <w:sz w:val="24"/>
              </w:rPr>
              <w:t>60</w:t>
            </w:r>
          </w:p>
        </w:tc>
        <w:tc>
          <w:tcPr>
            <w:tcW w:w="1901" w:type="dxa"/>
          </w:tcPr>
          <w:p w14:paraId="71B55862" w14:textId="77777777" w:rsidR="00877DE5" w:rsidRPr="009472DE" w:rsidRDefault="00877DE5" w:rsidP="00B23B21">
            <w:pPr>
              <w:pStyle w:val="TableParagraph"/>
              <w:spacing w:before="0" w:line="240" w:lineRule="auto"/>
              <w:rPr>
                <w:sz w:val="24"/>
              </w:rPr>
            </w:pPr>
            <w:r w:rsidRPr="009472DE">
              <w:rPr>
                <w:spacing w:val="-5"/>
                <w:sz w:val="24"/>
              </w:rPr>
              <w:t>2.9</w:t>
            </w:r>
          </w:p>
        </w:tc>
        <w:tc>
          <w:tcPr>
            <w:tcW w:w="2366" w:type="dxa"/>
          </w:tcPr>
          <w:p w14:paraId="550CADCC" w14:textId="77777777" w:rsidR="00877DE5" w:rsidRPr="009472DE" w:rsidRDefault="00877DE5" w:rsidP="00B23B21">
            <w:pPr>
              <w:pStyle w:val="TableParagraph"/>
              <w:spacing w:before="0" w:line="240" w:lineRule="auto"/>
              <w:ind w:left="13"/>
              <w:rPr>
                <w:sz w:val="24"/>
              </w:rPr>
            </w:pPr>
            <w:r w:rsidRPr="009472DE">
              <w:rPr>
                <w:spacing w:val="-5"/>
                <w:sz w:val="24"/>
              </w:rPr>
              <w:t>16</w:t>
            </w:r>
          </w:p>
        </w:tc>
      </w:tr>
    </w:tbl>
    <w:p w14:paraId="3222B7BD" w14:textId="77777777" w:rsidR="00FD5033" w:rsidRDefault="00877DE5" w:rsidP="001F45AE">
      <w:pPr>
        <w:pStyle w:val="af3"/>
        <w:spacing w:before="0"/>
        <w:ind w:left="0" w:firstLine="709"/>
      </w:pPr>
      <w:r w:rsidRPr="009472DE">
        <w:lastRenderedPageBreak/>
        <w:t xml:space="preserve">Рынок труда Краснодарского края сталкивается с рядом </w:t>
      </w:r>
      <w:r w:rsidRPr="009472DE">
        <w:rPr>
          <w:spacing w:val="-2"/>
        </w:rPr>
        <w:t>структурных</w:t>
      </w:r>
      <w:r w:rsidRPr="009472DE">
        <w:rPr>
          <w:spacing w:val="-4"/>
        </w:rPr>
        <w:t xml:space="preserve"> </w:t>
      </w:r>
      <w:r w:rsidRPr="009472DE">
        <w:rPr>
          <w:spacing w:val="-2"/>
        </w:rPr>
        <w:t>проблем.</w:t>
      </w:r>
      <w:r w:rsidRPr="009472DE">
        <w:rPr>
          <w:spacing w:val="-4"/>
        </w:rPr>
        <w:t xml:space="preserve"> </w:t>
      </w:r>
      <w:r w:rsidRPr="009472DE">
        <w:rPr>
          <w:spacing w:val="-2"/>
        </w:rPr>
        <w:t>Дефицит</w:t>
      </w:r>
      <w:r w:rsidRPr="009472DE">
        <w:rPr>
          <w:spacing w:val="-4"/>
        </w:rPr>
        <w:t xml:space="preserve"> </w:t>
      </w:r>
      <w:r w:rsidRPr="009472DE">
        <w:rPr>
          <w:spacing w:val="-2"/>
        </w:rPr>
        <w:t>квалифицированных</w:t>
      </w:r>
      <w:r w:rsidRPr="009472DE">
        <w:rPr>
          <w:spacing w:val="-4"/>
        </w:rPr>
        <w:t xml:space="preserve"> </w:t>
      </w:r>
      <w:r w:rsidRPr="009472DE">
        <w:rPr>
          <w:spacing w:val="-2"/>
        </w:rPr>
        <w:t>кадров,</w:t>
      </w:r>
      <w:r w:rsidRPr="009472DE">
        <w:rPr>
          <w:spacing w:val="-4"/>
        </w:rPr>
        <w:t xml:space="preserve"> </w:t>
      </w:r>
      <w:r w:rsidRPr="009472DE">
        <w:rPr>
          <w:spacing w:val="-2"/>
        </w:rPr>
        <w:t xml:space="preserve">особенно </w:t>
      </w:r>
      <w:r w:rsidRPr="009472DE">
        <w:t>в IT-секторе, где отток специалистов составил 5 тысяч человек за 2022–2024</w:t>
      </w:r>
      <w:r w:rsidRPr="009472DE">
        <w:rPr>
          <w:spacing w:val="-6"/>
        </w:rPr>
        <w:t xml:space="preserve"> </w:t>
      </w:r>
      <w:r w:rsidRPr="009472DE">
        <w:t>годы,</w:t>
      </w:r>
      <w:r w:rsidRPr="009472DE">
        <w:rPr>
          <w:spacing w:val="-6"/>
        </w:rPr>
        <w:t xml:space="preserve"> </w:t>
      </w:r>
      <w:r w:rsidRPr="009472DE">
        <w:t>ограничивает</w:t>
      </w:r>
      <w:r w:rsidRPr="009472DE">
        <w:rPr>
          <w:spacing w:val="-4"/>
        </w:rPr>
        <w:t xml:space="preserve"> </w:t>
      </w:r>
      <w:r w:rsidRPr="009472DE">
        <w:t>инновационное</w:t>
      </w:r>
      <w:r w:rsidRPr="009472DE">
        <w:rPr>
          <w:spacing w:val="-7"/>
        </w:rPr>
        <w:t xml:space="preserve"> </w:t>
      </w:r>
      <w:r w:rsidRPr="009472DE">
        <w:t>развитие.</w:t>
      </w:r>
      <w:r w:rsidRPr="009472DE">
        <w:rPr>
          <w:spacing w:val="-6"/>
        </w:rPr>
        <w:t xml:space="preserve"> </w:t>
      </w:r>
      <w:r w:rsidRPr="009472DE">
        <w:t>Сезонность</w:t>
      </w:r>
      <w:r w:rsidRPr="009472DE">
        <w:rPr>
          <w:spacing w:val="-4"/>
        </w:rPr>
        <w:t xml:space="preserve"> </w:t>
      </w:r>
      <w:r w:rsidRPr="009472DE">
        <w:t xml:space="preserve">в туризме создает нестабильность: занятость в летние месяцы увеличивается на 15%, но зимой наблюдается спад. </w:t>
      </w:r>
    </w:p>
    <w:p w14:paraId="4F6EECBC" w14:textId="2F322784" w:rsidR="00877DE5" w:rsidRPr="009472DE" w:rsidRDefault="00877DE5" w:rsidP="001F45AE">
      <w:pPr>
        <w:pStyle w:val="af3"/>
        <w:spacing w:before="0"/>
        <w:ind w:left="0" w:firstLine="709"/>
      </w:pPr>
      <w:r w:rsidRPr="009472DE">
        <w:t>Инфляция на уровне</w:t>
      </w:r>
      <w:r w:rsidRPr="009472DE">
        <w:rPr>
          <w:spacing w:val="-2"/>
        </w:rPr>
        <w:t xml:space="preserve"> </w:t>
      </w:r>
      <w:r w:rsidRPr="009472DE">
        <w:t>9%</w:t>
      </w:r>
      <w:r w:rsidRPr="009472DE">
        <w:rPr>
          <w:spacing w:val="-2"/>
        </w:rPr>
        <w:t xml:space="preserve"> </w:t>
      </w:r>
      <w:r w:rsidRPr="009472DE">
        <w:t>в</w:t>
      </w:r>
      <w:r w:rsidRPr="009472DE">
        <w:rPr>
          <w:spacing w:val="-2"/>
        </w:rPr>
        <w:t xml:space="preserve"> </w:t>
      </w:r>
      <w:r w:rsidRPr="009472DE">
        <w:t>2024</w:t>
      </w:r>
      <w:r w:rsidRPr="009472DE">
        <w:rPr>
          <w:spacing w:val="-1"/>
        </w:rPr>
        <w:t xml:space="preserve"> </w:t>
      </w:r>
      <w:r w:rsidRPr="009472DE">
        <w:t>году снизила</w:t>
      </w:r>
      <w:r w:rsidRPr="009472DE">
        <w:rPr>
          <w:spacing w:val="-2"/>
        </w:rPr>
        <w:t xml:space="preserve"> </w:t>
      </w:r>
      <w:r w:rsidRPr="009472DE">
        <w:t>реальные доходы</w:t>
      </w:r>
      <w:r w:rsidRPr="009472DE">
        <w:rPr>
          <w:spacing w:val="-2"/>
        </w:rPr>
        <w:t xml:space="preserve"> </w:t>
      </w:r>
      <w:r w:rsidRPr="009472DE">
        <w:t>населения,</w:t>
      </w:r>
      <w:r w:rsidRPr="009472DE">
        <w:rPr>
          <w:spacing w:val="-1"/>
        </w:rPr>
        <w:t xml:space="preserve"> </w:t>
      </w:r>
      <w:r w:rsidRPr="009472DE">
        <w:t>несмотря на</w:t>
      </w:r>
      <w:r w:rsidRPr="009472DE">
        <w:rPr>
          <w:spacing w:val="-18"/>
        </w:rPr>
        <w:t xml:space="preserve"> </w:t>
      </w:r>
      <w:r w:rsidRPr="009472DE">
        <w:t>рост</w:t>
      </w:r>
      <w:r w:rsidRPr="009472DE">
        <w:rPr>
          <w:spacing w:val="-18"/>
        </w:rPr>
        <w:t xml:space="preserve"> </w:t>
      </w:r>
      <w:r w:rsidRPr="009472DE">
        <w:t>номинальных</w:t>
      </w:r>
      <w:r w:rsidRPr="009472DE">
        <w:rPr>
          <w:spacing w:val="-16"/>
        </w:rPr>
        <w:t xml:space="preserve"> </w:t>
      </w:r>
      <w:r w:rsidRPr="009472DE">
        <w:t>зарплат</w:t>
      </w:r>
      <w:r w:rsidRPr="009472DE">
        <w:rPr>
          <w:spacing w:val="-15"/>
        </w:rPr>
        <w:t xml:space="preserve"> </w:t>
      </w:r>
      <w:r w:rsidRPr="009472DE">
        <w:t>на</w:t>
      </w:r>
      <w:r w:rsidRPr="009472DE">
        <w:rPr>
          <w:spacing w:val="-18"/>
        </w:rPr>
        <w:t xml:space="preserve"> </w:t>
      </w:r>
      <w:r w:rsidRPr="009472DE">
        <w:t>7,3%.</w:t>
      </w:r>
      <w:r w:rsidRPr="009472DE">
        <w:rPr>
          <w:spacing w:val="-17"/>
        </w:rPr>
        <w:t xml:space="preserve"> </w:t>
      </w:r>
      <w:r w:rsidRPr="009472DE">
        <w:t>Высокая</w:t>
      </w:r>
      <w:r w:rsidRPr="009472DE">
        <w:rPr>
          <w:spacing w:val="-18"/>
        </w:rPr>
        <w:t xml:space="preserve"> </w:t>
      </w:r>
      <w:r w:rsidRPr="009472DE">
        <w:t>ключевая</w:t>
      </w:r>
      <w:r w:rsidRPr="009472DE">
        <w:rPr>
          <w:spacing w:val="-17"/>
        </w:rPr>
        <w:t xml:space="preserve"> </w:t>
      </w:r>
      <w:r w:rsidRPr="009472DE">
        <w:t>ставка</w:t>
      </w:r>
      <w:r w:rsidRPr="009472DE">
        <w:rPr>
          <w:spacing w:val="-16"/>
        </w:rPr>
        <w:t xml:space="preserve"> </w:t>
      </w:r>
      <w:r w:rsidRPr="009472DE">
        <w:t>в</w:t>
      </w:r>
      <w:r w:rsidRPr="009472DE">
        <w:rPr>
          <w:spacing w:val="-17"/>
        </w:rPr>
        <w:t xml:space="preserve"> </w:t>
      </w:r>
      <w:r w:rsidRPr="009472DE">
        <w:t>21% затрудняет развитие малого и среднего бизнеса, число предприятий которого</w:t>
      </w:r>
      <w:r w:rsidRPr="009472DE">
        <w:rPr>
          <w:spacing w:val="-4"/>
        </w:rPr>
        <w:t xml:space="preserve"> </w:t>
      </w:r>
      <w:r w:rsidRPr="009472DE">
        <w:t>сократилось</w:t>
      </w:r>
      <w:r w:rsidRPr="009472DE">
        <w:rPr>
          <w:spacing w:val="-5"/>
        </w:rPr>
        <w:t xml:space="preserve"> </w:t>
      </w:r>
      <w:r w:rsidRPr="009472DE">
        <w:t>на</w:t>
      </w:r>
      <w:r w:rsidRPr="009472DE">
        <w:rPr>
          <w:spacing w:val="-6"/>
        </w:rPr>
        <w:t xml:space="preserve"> </w:t>
      </w:r>
      <w:r w:rsidRPr="009472DE">
        <w:t>8%</w:t>
      </w:r>
      <w:r w:rsidRPr="009472DE">
        <w:rPr>
          <w:spacing w:val="-2"/>
        </w:rPr>
        <w:t xml:space="preserve"> </w:t>
      </w:r>
      <w:r w:rsidRPr="009472DE">
        <w:t>к</w:t>
      </w:r>
      <w:r w:rsidRPr="009472DE">
        <w:rPr>
          <w:spacing w:val="-5"/>
        </w:rPr>
        <w:t xml:space="preserve"> </w:t>
      </w:r>
      <w:r w:rsidRPr="009472DE">
        <w:t>2024</w:t>
      </w:r>
      <w:r w:rsidRPr="009472DE">
        <w:rPr>
          <w:spacing w:val="-4"/>
        </w:rPr>
        <w:t xml:space="preserve"> </w:t>
      </w:r>
      <w:r w:rsidRPr="009472DE">
        <w:t>году,</w:t>
      </w:r>
      <w:r w:rsidRPr="009472DE">
        <w:rPr>
          <w:spacing w:val="-6"/>
        </w:rPr>
        <w:t xml:space="preserve"> </w:t>
      </w:r>
      <w:r w:rsidRPr="009472DE">
        <w:t>ограничивая</w:t>
      </w:r>
      <w:r w:rsidRPr="009472DE">
        <w:rPr>
          <w:spacing w:val="-5"/>
        </w:rPr>
        <w:t xml:space="preserve"> </w:t>
      </w:r>
      <w:r w:rsidRPr="009472DE">
        <w:t>создание</w:t>
      </w:r>
      <w:r w:rsidRPr="009472DE">
        <w:rPr>
          <w:spacing w:val="-3"/>
        </w:rPr>
        <w:t xml:space="preserve"> </w:t>
      </w:r>
      <w:r w:rsidRPr="009472DE">
        <w:t>новых рабочих мест.</w:t>
      </w:r>
    </w:p>
    <w:p w14:paraId="6D7CCD99" w14:textId="77777777" w:rsidR="00877DE5" w:rsidRPr="009472DE" w:rsidRDefault="00877DE5" w:rsidP="00067100">
      <w:pPr>
        <w:pStyle w:val="af3"/>
        <w:spacing w:before="0"/>
        <w:ind w:left="0" w:firstLine="709"/>
        <w:jc w:val="left"/>
        <w:rPr>
          <w:sz w:val="20"/>
        </w:rPr>
      </w:pPr>
      <w:r w:rsidRPr="009472DE">
        <w:rPr>
          <w:noProof/>
          <w:sz w:val="20"/>
          <w:lang w:eastAsia="ru-RU"/>
        </w:rPr>
        <w:drawing>
          <wp:anchor distT="0" distB="0" distL="0" distR="0" simplePos="0" relativeHeight="251659264" behindDoc="1" locked="0" layoutInCell="1" allowOverlap="1" wp14:anchorId="6825B760" wp14:editId="37A0CF01">
            <wp:simplePos x="0" y="0"/>
            <wp:positionH relativeFrom="page">
              <wp:posOffset>1181100</wp:posOffset>
            </wp:positionH>
            <wp:positionV relativeFrom="paragraph">
              <wp:posOffset>271780</wp:posOffset>
            </wp:positionV>
            <wp:extent cx="5210175" cy="3438525"/>
            <wp:effectExtent l="0" t="0" r="9525" b="9525"/>
            <wp:wrapTopAndBottom/>
            <wp:docPr id="17" name="Image 1" descr="Изображение выглядит как текст, снимок экрана, диаграмма, ли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Изображение выглядит как текст, снимок экрана, диаграмма, линия"/>
                    <pic:cNvPicPr/>
                  </pic:nvPicPr>
                  <pic:blipFill>
                    <a:blip r:embed="rId39" cstate="print"/>
                    <a:stretch>
                      <a:fillRect/>
                    </a:stretch>
                  </pic:blipFill>
                  <pic:spPr>
                    <a:xfrm>
                      <a:off x="0" y="0"/>
                      <a:ext cx="5210175" cy="3438525"/>
                    </a:xfrm>
                    <a:prstGeom prst="rect">
                      <a:avLst/>
                    </a:prstGeom>
                  </pic:spPr>
                </pic:pic>
              </a:graphicData>
            </a:graphic>
            <wp14:sizeRelH relativeFrom="margin">
              <wp14:pctWidth>0</wp14:pctWidth>
            </wp14:sizeRelH>
            <wp14:sizeRelV relativeFrom="margin">
              <wp14:pctHeight>0</wp14:pctHeight>
            </wp14:sizeRelV>
          </wp:anchor>
        </w:drawing>
      </w:r>
    </w:p>
    <w:p w14:paraId="4A02934A" w14:textId="77777777" w:rsidR="001F45AE" w:rsidRDefault="00877DE5" w:rsidP="001F45AE">
      <w:pPr>
        <w:pStyle w:val="af3"/>
        <w:spacing w:before="0"/>
        <w:ind w:left="426" w:firstLine="709"/>
        <w:jc w:val="center"/>
        <w:rPr>
          <w:spacing w:val="-9"/>
        </w:rPr>
      </w:pPr>
      <w:r w:rsidRPr="009472DE">
        <w:t>Рисунок</w:t>
      </w:r>
      <w:r w:rsidRPr="009472DE">
        <w:rPr>
          <w:spacing w:val="-10"/>
        </w:rPr>
        <w:t xml:space="preserve"> </w:t>
      </w:r>
      <w:r w:rsidRPr="009472DE">
        <w:t>1</w:t>
      </w:r>
      <w:r w:rsidRPr="009472DE">
        <w:rPr>
          <w:spacing w:val="11"/>
        </w:rPr>
        <w:t xml:space="preserve"> </w:t>
      </w:r>
      <w:r w:rsidRPr="009472DE">
        <w:t>–</w:t>
      </w:r>
      <w:r w:rsidRPr="009472DE">
        <w:rPr>
          <w:spacing w:val="-9"/>
        </w:rPr>
        <w:t xml:space="preserve"> </w:t>
      </w:r>
      <w:r w:rsidRPr="009472DE">
        <w:t>Ключевые</w:t>
      </w:r>
      <w:r w:rsidRPr="009472DE">
        <w:rPr>
          <w:spacing w:val="-9"/>
        </w:rPr>
        <w:t xml:space="preserve"> </w:t>
      </w:r>
      <w:r w:rsidRPr="009472DE">
        <w:t>показатели</w:t>
      </w:r>
      <w:r w:rsidRPr="009472DE">
        <w:rPr>
          <w:spacing w:val="-8"/>
        </w:rPr>
        <w:t xml:space="preserve"> </w:t>
      </w:r>
      <w:r w:rsidRPr="009472DE">
        <w:t>рынка</w:t>
      </w:r>
      <w:r w:rsidRPr="009472DE">
        <w:rPr>
          <w:spacing w:val="-8"/>
        </w:rPr>
        <w:t xml:space="preserve"> </w:t>
      </w:r>
      <w:r w:rsidRPr="009472DE">
        <w:t>труда</w:t>
      </w:r>
      <w:r w:rsidRPr="009472DE">
        <w:rPr>
          <w:spacing w:val="-9"/>
        </w:rPr>
        <w:t xml:space="preserve"> </w:t>
      </w:r>
    </w:p>
    <w:p w14:paraId="67E85699" w14:textId="562AFB96" w:rsidR="00877DE5" w:rsidRPr="009472DE" w:rsidRDefault="00877DE5" w:rsidP="001F45AE">
      <w:pPr>
        <w:pStyle w:val="af3"/>
        <w:spacing w:before="0"/>
        <w:ind w:left="426" w:firstLine="709"/>
        <w:jc w:val="center"/>
      </w:pPr>
      <w:r w:rsidRPr="009472DE">
        <w:t>за</w:t>
      </w:r>
      <w:r w:rsidRPr="009472DE">
        <w:rPr>
          <w:spacing w:val="-8"/>
        </w:rPr>
        <w:t xml:space="preserve"> </w:t>
      </w:r>
      <w:r w:rsidRPr="009472DE">
        <w:t>2022-2024</w:t>
      </w:r>
      <w:r w:rsidRPr="009472DE">
        <w:rPr>
          <w:spacing w:val="-9"/>
        </w:rPr>
        <w:t xml:space="preserve"> </w:t>
      </w:r>
      <w:r w:rsidRPr="009472DE">
        <w:rPr>
          <w:spacing w:val="-4"/>
        </w:rPr>
        <w:t>годы</w:t>
      </w:r>
    </w:p>
    <w:p w14:paraId="574F1AB3" w14:textId="77777777" w:rsidR="00877DE5" w:rsidRDefault="00877DE5" w:rsidP="00067100">
      <w:pPr>
        <w:pStyle w:val="af3"/>
        <w:spacing w:before="0"/>
        <w:ind w:right="143" w:firstLine="709"/>
      </w:pPr>
    </w:p>
    <w:p w14:paraId="10C02D2E" w14:textId="77777777" w:rsidR="00877DE5" w:rsidRPr="009472DE" w:rsidRDefault="00877DE5" w:rsidP="001F45AE">
      <w:pPr>
        <w:pStyle w:val="af3"/>
        <w:spacing w:before="0"/>
        <w:ind w:left="0" w:firstLine="709"/>
      </w:pPr>
      <w:r w:rsidRPr="009472DE">
        <w:t>Перспективы развития рынка труда связаны с несколькими направлениями. Программы переподготовки, такие как обучение 10 тысяч человек в IT-секторе в 2024 году, сократили дефицит специалистов на 5%. Инвестиции в круглогодичный туризм, включая горнолыжные</w:t>
      </w:r>
      <w:r w:rsidRPr="009472DE">
        <w:rPr>
          <w:spacing w:val="-11"/>
        </w:rPr>
        <w:t xml:space="preserve"> </w:t>
      </w:r>
      <w:r w:rsidRPr="009472DE">
        <w:t>курорты</w:t>
      </w:r>
      <w:r w:rsidRPr="009472DE">
        <w:rPr>
          <w:spacing w:val="-14"/>
        </w:rPr>
        <w:t xml:space="preserve"> </w:t>
      </w:r>
      <w:r w:rsidRPr="009472DE">
        <w:t>Сочи,</w:t>
      </w:r>
      <w:r w:rsidRPr="009472DE">
        <w:rPr>
          <w:spacing w:val="-13"/>
        </w:rPr>
        <w:t xml:space="preserve"> </w:t>
      </w:r>
      <w:r w:rsidRPr="009472DE">
        <w:t>на</w:t>
      </w:r>
      <w:r w:rsidRPr="009472DE">
        <w:rPr>
          <w:spacing w:val="-13"/>
        </w:rPr>
        <w:t xml:space="preserve"> </w:t>
      </w:r>
      <w:r w:rsidRPr="009472DE">
        <w:t>сумму</w:t>
      </w:r>
      <w:r w:rsidRPr="009472DE">
        <w:rPr>
          <w:spacing w:val="-12"/>
        </w:rPr>
        <w:t xml:space="preserve"> </w:t>
      </w:r>
      <w:r w:rsidRPr="009472DE">
        <w:t>2</w:t>
      </w:r>
      <w:r w:rsidRPr="009472DE">
        <w:rPr>
          <w:spacing w:val="-11"/>
        </w:rPr>
        <w:t xml:space="preserve"> </w:t>
      </w:r>
      <w:r w:rsidRPr="009472DE">
        <w:t>миллиарда</w:t>
      </w:r>
      <w:r w:rsidRPr="009472DE">
        <w:rPr>
          <w:spacing w:val="-10"/>
        </w:rPr>
        <w:t xml:space="preserve"> </w:t>
      </w:r>
      <w:r w:rsidRPr="009472DE">
        <w:t>рублей</w:t>
      </w:r>
      <w:r w:rsidRPr="009472DE">
        <w:rPr>
          <w:spacing w:val="-13"/>
        </w:rPr>
        <w:t xml:space="preserve"> </w:t>
      </w:r>
      <w:r w:rsidRPr="009472DE">
        <w:t>увеличили зимнюю занятость на 7%. Поддержка малого бизнеса через льготные кредиты на 1,5 миллиарда рублей в 2023 году позволила создать 2 тысячи</w:t>
      </w:r>
      <w:r w:rsidRPr="009472DE">
        <w:rPr>
          <w:spacing w:val="-2"/>
        </w:rPr>
        <w:t xml:space="preserve"> </w:t>
      </w:r>
      <w:r w:rsidRPr="009472DE">
        <w:t>рабочих мест. Эти инициативы</w:t>
      </w:r>
      <w:r w:rsidRPr="009472DE">
        <w:rPr>
          <w:spacing w:val="-3"/>
        </w:rPr>
        <w:t xml:space="preserve"> </w:t>
      </w:r>
      <w:r w:rsidRPr="009472DE">
        <w:t>демонстрируют</w:t>
      </w:r>
      <w:r w:rsidRPr="009472DE">
        <w:rPr>
          <w:spacing w:val="-3"/>
        </w:rPr>
        <w:t xml:space="preserve"> </w:t>
      </w:r>
      <w:r w:rsidRPr="009472DE">
        <w:t>потенциал</w:t>
      </w:r>
      <w:r w:rsidRPr="009472DE">
        <w:rPr>
          <w:spacing w:val="-3"/>
        </w:rPr>
        <w:t xml:space="preserve"> </w:t>
      </w:r>
      <w:r w:rsidRPr="009472DE">
        <w:t>для дальнейшего укрепления рынка труда.</w:t>
      </w:r>
    </w:p>
    <w:p w14:paraId="32C48653" w14:textId="77777777" w:rsidR="001F45AE" w:rsidRDefault="00877DE5" w:rsidP="001F45AE">
      <w:pPr>
        <w:pStyle w:val="af3"/>
        <w:spacing w:before="0"/>
        <w:ind w:left="0" w:firstLine="709"/>
      </w:pPr>
      <w:r w:rsidRPr="009472DE">
        <w:lastRenderedPageBreak/>
        <w:t>Для повышения устойчивости рынка труда Краснодарского края предлагаются следующие меры. Во-первых, расширение программ переподготовки до 20 тысяч человек к 2026 году в IT и технических отраслях поможет устранить дефицит кадров. Во-вторых, ежегодные инвестиции</w:t>
      </w:r>
      <w:r w:rsidRPr="009472DE">
        <w:rPr>
          <w:spacing w:val="-10"/>
        </w:rPr>
        <w:t xml:space="preserve"> </w:t>
      </w:r>
      <w:r w:rsidRPr="009472DE">
        <w:t>в</w:t>
      </w:r>
      <w:r w:rsidRPr="009472DE">
        <w:rPr>
          <w:spacing w:val="-10"/>
        </w:rPr>
        <w:t xml:space="preserve"> </w:t>
      </w:r>
      <w:r w:rsidRPr="009472DE">
        <w:t>размере</w:t>
      </w:r>
      <w:r w:rsidRPr="009472DE">
        <w:rPr>
          <w:spacing w:val="-9"/>
        </w:rPr>
        <w:t xml:space="preserve"> </w:t>
      </w:r>
      <w:r w:rsidRPr="009472DE">
        <w:t>3</w:t>
      </w:r>
      <w:r w:rsidRPr="009472DE">
        <w:rPr>
          <w:spacing w:val="-9"/>
        </w:rPr>
        <w:t xml:space="preserve"> </w:t>
      </w:r>
      <w:r w:rsidRPr="009472DE">
        <w:t>миллиардов</w:t>
      </w:r>
      <w:r w:rsidRPr="009472DE">
        <w:rPr>
          <w:spacing w:val="-10"/>
        </w:rPr>
        <w:t xml:space="preserve"> </w:t>
      </w:r>
      <w:r w:rsidRPr="009472DE">
        <w:t>рублей</w:t>
      </w:r>
      <w:r w:rsidRPr="009472DE">
        <w:rPr>
          <w:spacing w:val="-11"/>
        </w:rPr>
        <w:t xml:space="preserve"> </w:t>
      </w:r>
      <w:r w:rsidRPr="009472DE">
        <w:t>в</w:t>
      </w:r>
      <w:r w:rsidRPr="009472DE">
        <w:rPr>
          <w:spacing w:val="-10"/>
        </w:rPr>
        <w:t xml:space="preserve"> </w:t>
      </w:r>
      <w:r w:rsidRPr="009472DE">
        <w:t>круглогодичный</w:t>
      </w:r>
      <w:r w:rsidRPr="009472DE">
        <w:rPr>
          <w:spacing w:val="-11"/>
        </w:rPr>
        <w:t xml:space="preserve"> </w:t>
      </w:r>
      <w:r w:rsidRPr="009472DE">
        <w:t xml:space="preserve">туризм, включая культурные и спортивные объекты, позволят снизить сезонные колебания. </w:t>
      </w:r>
    </w:p>
    <w:p w14:paraId="3792039F" w14:textId="5FD96A01" w:rsidR="00877DE5" w:rsidRPr="009472DE" w:rsidRDefault="00877DE5" w:rsidP="001F45AE">
      <w:pPr>
        <w:pStyle w:val="af3"/>
        <w:spacing w:before="0"/>
        <w:ind w:left="0" w:firstLine="709"/>
      </w:pPr>
      <w:r w:rsidRPr="009472DE">
        <w:t>В-третьих, снижение налоговой нагрузки на малый</w:t>
      </w:r>
      <w:r w:rsidRPr="009472DE">
        <w:rPr>
          <w:spacing w:val="-13"/>
        </w:rPr>
        <w:t xml:space="preserve"> </w:t>
      </w:r>
      <w:r w:rsidRPr="009472DE">
        <w:t>бизнес</w:t>
      </w:r>
      <w:r w:rsidRPr="009472DE">
        <w:rPr>
          <w:spacing w:val="-11"/>
        </w:rPr>
        <w:t xml:space="preserve"> </w:t>
      </w:r>
      <w:r w:rsidRPr="009472DE">
        <w:t>и</w:t>
      </w:r>
      <w:r w:rsidRPr="009472DE">
        <w:rPr>
          <w:spacing w:val="-13"/>
        </w:rPr>
        <w:t xml:space="preserve"> </w:t>
      </w:r>
      <w:r w:rsidRPr="009472DE">
        <w:t>льготное</w:t>
      </w:r>
      <w:r w:rsidRPr="009472DE">
        <w:rPr>
          <w:spacing w:val="-15"/>
        </w:rPr>
        <w:t xml:space="preserve"> </w:t>
      </w:r>
      <w:r w:rsidRPr="009472DE">
        <w:t>кредитование</w:t>
      </w:r>
      <w:r w:rsidRPr="009472DE">
        <w:rPr>
          <w:spacing w:val="-13"/>
        </w:rPr>
        <w:t xml:space="preserve"> </w:t>
      </w:r>
      <w:r w:rsidRPr="009472DE">
        <w:t>с</w:t>
      </w:r>
      <w:r w:rsidRPr="009472DE">
        <w:rPr>
          <w:spacing w:val="-13"/>
        </w:rPr>
        <w:t xml:space="preserve"> </w:t>
      </w:r>
      <w:r w:rsidRPr="009472DE">
        <w:t>процентными</w:t>
      </w:r>
      <w:r w:rsidRPr="009472DE">
        <w:rPr>
          <w:spacing w:val="-13"/>
        </w:rPr>
        <w:t xml:space="preserve"> </w:t>
      </w:r>
      <w:r w:rsidRPr="009472DE">
        <w:t>ставками</w:t>
      </w:r>
      <w:r w:rsidRPr="009472DE">
        <w:rPr>
          <w:spacing w:val="-13"/>
        </w:rPr>
        <w:t xml:space="preserve"> </w:t>
      </w:r>
      <w:r w:rsidRPr="009472DE">
        <w:t>3–5% могут стимулировать создание 5 тысяч рабочих мест к 2026 году. В- четвертых, субсидии на переезд для 10 тысяч мигрантов ежегодно повысят мобильность рабочей силы. В-пятых, внедрение цифровых платформ для мониторинга занятости сократит неэффективные расходы на 5% и улучшит прогнозирование.</w:t>
      </w:r>
    </w:p>
    <w:p w14:paraId="77A1B04B" w14:textId="77777777" w:rsidR="00877DE5" w:rsidRPr="009472DE" w:rsidRDefault="00877DE5" w:rsidP="001F45AE">
      <w:pPr>
        <w:pStyle w:val="af3"/>
        <w:spacing w:before="0"/>
        <w:ind w:left="0" w:firstLine="709"/>
      </w:pPr>
      <w:r w:rsidRPr="009472DE">
        <w:t>Статистический</w:t>
      </w:r>
      <w:r w:rsidRPr="009472DE">
        <w:rPr>
          <w:spacing w:val="-18"/>
        </w:rPr>
        <w:t xml:space="preserve"> </w:t>
      </w:r>
      <w:r w:rsidRPr="009472DE">
        <w:t>анализ</w:t>
      </w:r>
      <w:r w:rsidRPr="009472DE">
        <w:rPr>
          <w:spacing w:val="-17"/>
        </w:rPr>
        <w:t xml:space="preserve"> </w:t>
      </w:r>
      <w:r w:rsidRPr="009472DE">
        <w:t>рынка</w:t>
      </w:r>
      <w:r w:rsidRPr="009472DE">
        <w:rPr>
          <w:spacing w:val="-17"/>
        </w:rPr>
        <w:t xml:space="preserve"> </w:t>
      </w:r>
      <w:r w:rsidRPr="009472DE">
        <w:t>труда</w:t>
      </w:r>
      <w:r w:rsidRPr="009472DE">
        <w:rPr>
          <w:spacing w:val="-17"/>
        </w:rPr>
        <w:t xml:space="preserve"> </w:t>
      </w:r>
      <w:r w:rsidRPr="009472DE">
        <w:t>Краснодарского</w:t>
      </w:r>
      <w:r w:rsidRPr="009472DE">
        <w:rPr>
          <w:spacing w:val="-18"/>
        </w:rPr>
        <w:t xml:space="preserve"> </w:t>
      </w:r>
      <w:r w:rsidRPr="009472DE">
        <w:t>края</w:t>
      </w:r>
      <w:r w:rsidRPr="009472DE">
        <w:rPr>
          <w:spacing w:val="-18"/>
        </w:rPr>
        <w:t xml:space="preserve"> </w:t>
      </w:r>
      <w:r w:rsidRPr="009472DE">
        <w:t>за</w:t>
      </w:r>
      <w:r w:rsidRPr="009472DE">
        <w:rPr>
          <w:spacing w:val="-17"/>
        </w:rPr>
        <w:t xml:space="preserve"> </w:t>
      </w:r>
      <w:r w:rsidRPr="009472DE">
        <w:t>2022– 2024 годы подтвердил его устойчивость в условиях санкций и инфляции. Численность занятых выросла до 2,8 миллиона человек, а безработица снизилась до 2,9%. Агропромышленный комплекс, туризм и строительство обеспечили рост занятости, но дефицит квалифицированных</w:t>
      </w:r>
      <w:r w:rsidRPr="009472DE">
        <w:rPr>
          <w:spacing w:val="-10"/>
        </w:rPr>
        <w:t xml:space="preserve"> </w:t>
      </w:r>
      <w:r w:rsidRPr="009472DE">
        <w:t>кадров,</w:t>
      </w:r>
      <w:r w:rsidRPr="009472DE">
        <w:rPr>
          <w:spacing w:val="-9"/>
        </w:rPr>
        <w:t xml:space="preserve"> </w:t>
      </w:r>
      <w:r w:rsidRPr="009472DE">
        <w:t>сезонность</w:t>
      </w:r>
      <w:r w:rsidRPr="009472DE">
        <w:rPr>
          <w:spacing w:val="-10"/>
        </w:rPr>
        <w:t xml:space="preserve"> </w:t>
      </w:r>
      <w:r w:rsidRPr="009472DE">
        <w:t>и</w:t>
      </w:r>
      <w:r w:rsidRPr="009472DE">
        <w:rPr>
          <w:spacing w:val="-10"/>
        </w:rPr>
        <w:t xml:space="preserve"> </w:t>
      </w:r>
      <w:r w:rsidRPr="009472DE">
        <w:t>высокая</w:t>
      </w:r>
      <w:r w:rsidRPr="009472DE">
        <w:rPr>
          <w:spacing w:val="-9"/>
        </w:rPr>
        <w:t xml:space="preserve"> </w:t>
      </w:r>
      <w:r w:rsidRPr="009472DE">
        <w:t>налоговая</w:t>
      </w:r>
      <w:r w:rsidRPr="009472DE">
        <w:rPr>
          <w:spacing w:val="-11"/>
        </w:rPr>
        <w:t xml:space="preserve"> </w:t>
      </w:r>
      <w:r w:rsidRPr="009472DE">
        <w:t>нагрузка остаются вызовами.</w:t>
      </w:r>
    </w:p>
    <w:p w14:paraId="10F51CAB" w14:textId="77777777" w:rsidR="00877DE5" w:rsidRPr="009472DE" w:rsidRDefault="00877DE5" w:rsidP="001F45AE">
      <w:pPr>
        <w:pStyle w:val="af3"/>
        <w:spacing w:before="0"/>
        <w:ind w:left="0" w:firstLine="709"/>
      </w:pPr>
      <w:r w:rsidRPr="009472DE">
        <w:t>Предложенные меры, включая переподготовку кадров, развитие туризма, поддержку бизнеса и цифровизацию, способны укрепить рынок труда, обеспечивая экономический рост и социальную стабильность региона. Реализация этих инициатив требует координации</w:t>
      </w:r>
      <w:r w:rsidRPr="009472DE">
        <w:rPr>
          <w:spacing w:val="-17"/>
        </w:rPr>
        <w:t xml:space="preserve"> </w:t>
      </w:r>
      <w:r w:rsidRPr="009472DE">
        <w:t>между</w:t>
      </w:r>
      <w:r w:rsidRPr="009472DE">
        <w:rPr>
          <w:spacing w:val="-15"/>
        </w:rPr>
        <w:t xml:space="preserve"> </w:t>
      </w:r>
      <w:r w:rsidRPr="009472DE">
        <w:t>государственными</w:t>
      </w:r>
      <w:r w:rsidRPr="009472DE">
        <w:rPr>
          <w:spacing w:val="-16"/>
        </w:rPr>
        <w:t xml:space="preserve"> </w:t>
      </w:r>
      <w:r w:rsidRPr="009472DE">
        <w:t>органами</w:t>
      </w:r>
      <w:r w:rsidRPr="009472DE">
        <w:rPr>
          <w:spacing w:val="-15"/>
        </w:rPr>
        <w:t xml:space="preserve"> </w:t>
      </w:r>
      <w:r w:rsidRPr="009472DE">
        <w:t>и</w:t>
      </w:r>
      <w:r w:rsidRPr="009472DE">
        <w:rPr>
          <w:spacing w:val="-17"/>
        </w:rPr>
        <w:t xml:space="preserve"> </w:t>
      </w:r>
      <w:r w:rsidRPr="009472DE">
        <w:t>частным</w:t>
      </w:r>
      <w:r w:rsidRPr="009472DE">
        <w:rPr>
          <w:spacing w:val="-17"/>
        </w:rPr>
        <w:t xml:space="preserve"> </w:t>
      </w:r>
      <w:r w:rsidRPr="009472DE">
        <w:t>сектором, что станет залогом долгосрочной конкурентоспособности Краснодарского края.</w:t>
      </w:r>
    </w:p>
    <w:p w14:paraId="2659837F" w14:textId="77777777" w:rsidR="00877DE5" w:rsidRDefault="00877DE5" w:rsidP="00067100">
      <w:pPr>
        <w:spacing w:after="0" w:line="240" w:lineRule="auto"/>
        <w:ind w:left="2" w:firstLine="709"/>
        <w:jc w:val="center"/>
        <w:rPr>
          <w:rFonts w:ascii="Times New Roman" w:hAnsi="Times New Roman" w:cs="Times New Roman"/>
          <w:b/>
          <w:spacing w:val="-2"/>
          <w:sz w:val="21"/>
        </w:rPr>
      </w:pPr>
    </w:p>
    <w:p w14:paraId="53165B87" w14:textId="77777777" w:rsidR="00877DE5" w:rsidRPr="009472DE" w:rsidRDefault="00877DE5" w:rsidP="00067100">
      <w:pPr>
        <w:spacing w:after="0" w:line="240" w:lineRule="auto"/>
        <w:ind w:left="2" w:firstLine="709"/>
        <w:jc w:val="center"/>
        <w:rPr>
          <w:rFonts w:ascii="Times New Roman" w:hAnsi="Times New Roman" w:cs="Times New Roman"/>
          <w:b/>
          <w:sz w:val="21"/>
        </w:rPr>
      </w:pPr>
      <w:r w:rsidRPr="009472DE">
        <w:rPr>
          <w:rFonts w:ascii="Times New Roman" w:hAnsi="Times New Roman" w:cs="Times New Roman"/>
          <w:b/>
          <w:spacing w:val="-2"/>
          <w:sz w:val="21"/>
        </w:rPr>
        <w:t>Литература:</w:t>
      </w:r>
    </w:p>
    <w:p w14:paraId="1BC23352" w14:textId="77777777" w:rsidR="00877DE5" w:rsidRPr="009472DE" w:rsidRDefault="00877DE5" w:rsidP="00AD58CD">
      <w:pPr>
        <w:pStyle w:val="a8"/>
        <w:widowControl w:val="0"/>
        <w:numPr>
          <w:ilvl w:val="0"/>
          <w:numId w:val="82"/>
        </w:numPr>
        <w:tabs>
          <w:tab w:val="left" w:pos="284"/>
          <w:tab w:val="left" w:pos="426"/>
          <w:tab w:val="left" w:pos="992"/>
        </w:tabs>
        <w:autoSpaceDE w:val="0"/>
        <w:autoSpaceDN w:val="0"/>
        <w:spacing w:after="0" w:line="240" w:lineRule="auto"/>
        <w:ind w:left="0" w:firstLine="0"/>
        <w:contextualSpacing w:val="0"/>
        <w:jc w:val="both"/>
        <w:rPr>
          <w:rFonts w:ascii="Times New Roman" w:hAnsi="Times New Roman" w:cs="Times New Roman"/>
          <w:sz w:val="21"/>
        </w:rPr>
      </w:pPr>
      <w:r w:rsidRPr="009472DE">
        <w:rPr>
          <w:rFonts w:ascii="Times New Roman" w:hAnsi="Times New Roman" w:cs="Times New Roman"/>
          <w:sz w:val="21"/>
        </w:rPr>
        <w:t>Федеральный</w:t>
      </w:r>
      <w:r w:rsidRPr="009472DE">
        <w:rPr>
          <w:rFonts w:ascii="Times New Roman" w:hAnsi="Times New Roman" w:cs="Times New Roman"/>
          <w:spacing w:val="-5"/>
          <w:sz w:val="21"/>
        </w:rPr>
        <w:t xml:space="preserve"> </w:t>
      </w:r>
      <w:r w:rsidRPr="009472DE">
        <w:rPr>
          <w:rFonts w:ascii="Times New Roman" w:hAnsi="Times New Roman" w:cs="Times New Roman"/>
          <w:sz w:val="21"/>
        </w:rPr>
        <w:t>закон</w:t>
      </w:r>
      <w:r w:rsidRPr="009472DE">
        <w:rPr>
          <w:rFonts w:ascii="Times New Roman" w:hAnsi="Times New Roman" w:cs="Times New Roman"/>
          <w:spacing w:val="-2"/>
          <w:sz w:val="21"/>
        </w:rPr>
        <w:t xml:space="preserve"> </w:t>
      </w:r>
      <w:r w:rsidRPr="009472DE">
        <w:rPr>
          <w:rFonts w:ascii="Times New Roman" w:hAnsi="Times New Roman" w:cs="Times New Roman"/>
          <w:sz w:val="21"/>
        </w:rPr>
        <w:t>от</w:t>
      </w:r>
      <w:r w:rsidRPr="009472DE">
        <w:rPr>
          <w:rFonts w:ascii="Times New Roman" w:hAnsi="Times New Roman" w:cs="Times New Roman"/>
          <w:spacing w:val="-3"/>
          <w:sz w:val="21"/>
        </w:rPr>
        <w:t xml:space="preserve"> </w:t>
      </w:r>
      <w:r w:rsidRPr="009472DE">
        <w:rPr>
          <w:rFonts w:ascii="Times New Roman" w:hAnsi="Times New Roman" w:cs="Times New Roman"/>
          <w:sz w:val="21"/>
        </w:rPr>
        <w:t>19.04.1991</w:t>
      </w:r>
      <w:r w:rsidRPr="009472DE">
        <w:rPr>
          <w:rFonts w:ascii="Times New Roman" w:hAnsi="Times New Roman" w:cs="Times New Roman"/>
          <w:spacing w:val="-5"/>
          <w:sz w:val="21"/>
        </w:rPr>
        <w:t xml:space="preserve"> </w:t>
      </w:r>
      <w:r w:rsidRPr="009472DE">
        <w:rPr>
          <w:rFonts w:ascii="Times New Roman" w:hAnsi="Times New Roman" w:cs="Times New Roman"/>
          <w:sz w:val="21"/>
        </w:rPr>
        <w:t>№</w:t>
      </w:r>
      <w:r w:rsidRPr="009472DE">
        <w:rPr>
          <w:rFonts w:ascii="Times New Roman" w:hAnsi="Times New Roman" w:cs="Times New Roman"/>
          <w:spacing w:val="-2"/>
          <w:sz w:val="21"/>
        </w:rPr>
        <w:t xml:space="preserve"> </w:t>
      </w:r>
      <w:r w:rsidRPr="009472DE">
        <w:rPr>
          <w:rFonts w:ascii="Times New Roman" w:hAnsi="Times New Roman" w:cs="Times New Roman"/>
          <w:sz w:val="21"/>
        </w:rPr>
        <w:t>1032-1</w:t>
      </w:r>
      <w:r w:rsidRPr="009472DE">
        <w:rPr>
          <w:rFonts w:ascii="Times New Roman" w:hAnsi="Times New Roman" w:cs="Times New Roman"/>
          <w:spacing w:val="-5"/>
          <w:sz w:val="21"/>
        </w:rPr>
        <w:t xml:space="preserve"> </w:t>
      </w:r>
      <w:r w:rsidRPr="009472DE">
        <w:rPr>
          <w:rFonts w:ascii="Times New Roman" w:hAnsi="Times New Roman" w:cs="Times New Roman"/>
          <w:sz w:val="21"/>
        </w:rPr>
        <w:t>«О</w:t>
      </w:r>
      <w:r w:rsidRPr="009472DE">
        <w:rPr>
          <w:rFonts w:ascii="Times New Roman" w:hAnsi="Times New Roman" w:cs="Times New Roman"/>
          <w:spacing w:val="-3"/>
          <w:sz w:val="21"/>
        </w:rPr>
        <w:t xml:space="preserve"> </w:t>
      </w:r>
      <w:r w:rsidRPr="009472DE">
        <w:rPr>
          <w:rFonts w:ascii="Times New Roman" w:hAnsi="Times New Roman" w:cs="Times New Roman"/>
          <w:sz w:val="21"/>
        </w:rPr>
        <w:t>занятости</w:t>
      </w:r>
      <w:r w:rsidRPr="009472DE">
        <w:rPr>
          <w:rFonts w:ascii="Times New Roman" w:hAnsi="Times New Roman" w:cs="Times New Roman"/>
          <w:spacing w:val="-2"/>
          <w:sz w:val="21"/>
        </w:rPr>
        <w:t xml:space="preserve"> </w:t>
      </w:r>
      <w:r w:rsidRPr="009472DE">
        <w:rPr>
          <w:rFonts w:ascii="Times New Roman" w:hAnsi="Times New Roman" w:cs="Times New Roman"/>
          <w:sz w:val="21"/>
        </w:rPr>
        <w:t>населения</w:t>
      </w:r>
      <w:r w:rsidRPr="009472DE">
        <w:rPr>
          <w:rFonts w:ascii="Times New Roman" w:hAnsi="Times New Roman" w:cs="Times New Roman"/>
          <w:spacing w:val="-4"/>
          <w:sz w:val="21"/>
        </w:rPr>
        <w:t xml:space="preserve"> </w:t>
      </w:r>
      <w:r w:rsidRPr="009472DE">
        <w:rPr>
          <w:rFonts w:ascii="Times New Roman" w:hAnsi="Times New Roman" w:cs="Times New Roman"/>
          <w:sz w:val="21"/>
        </w:rPr>
        <w:t>в</w:t>
      </w:r>
      <w:r w:rsidRPr="009472DE">
        <w:rPr>
          <w:rFonts w:ascii="Times New Roman" w:hAnsi="Times New Roman" w:cs="Times New Roman"/>
          <w:spacing w:val="-4"/>
          <w:sz w:val="21"/>
        </w:rPr>
        <w:t xml:space="preserve"> </w:t>
      </w:r>
      <w:r w:rsidRPr="009472DE">
        <w:rPr>
          <w:rFonts w:ascii="Times New Roman" w:hAnsi="Times New Roman" w:cs="Times New Roman"/>
          <w:sz w:val="21"/>
        </w:rPr>
        <w:t>Российской</w:t>
      </w:r>
      <w:r w:rsidRPr="009472DE">
        <w:rPr>
          <w:rFonts w:ascii="Times New Roman" w:hAnsi="Times New Roman" w:cs="Times New Roman"/>
          <w:spacing w:val="-2"/>
          <w:sz w:val="21"/>
        </w:rPr>
        <w:t xml:space="preserve"> </w:t>
      </w:r>
      <w:r w:rsidRPr="009472DE">
        <w:rPr>
          <w:rFonts w:ascii="Times New Roman" w:hAnsi="Times New Roman" w:cs="Times New Roman"/>
          <w:sz w:val="21"/>
        </w:rPr>
        <w:t>Федерации»</w:t>
      </w:r>
      <w:r w:rsidRPr="009472DE">
        <w:rPr>
          <w:rFonts w:ascii="Times New Roman" w:hAnsi="Times New Roman" w:cs="Times New Roman"/>
          <w:spacing w:val="-2"/>
          <w:sz w:val="21"/>
        </w:rPr>
        <w:t xml:space="preserve"> </w:t>
      </w:r>
      <w:r w:rsidRPr="009472DE">
        <w:rPr>
          <w:rFonts w:ascii="Times New Roman" w:hAnsi="Times New Roman" w:cs="Times New Roman"/>
          <w:sz w:val="21"/>
        </w:rPr>
        <w:t xml:space="preserve">(с изм. и доп.). URL: </w:t>
      </w:r>
      <w:hyperlink r:id="rId40">
        <w:r w:rsidRPr="009472DE">
          <w:rPr>
            <w:rFonts w:ascii="Times New Roman" w:hAnsi="Times New Roman" w:cs="Times New Roman"/>
            <w:sz w:val="21"/>
          </w:rPr>
          <w:t>http://www.consultant.ru</w:t>
        </w:r>
      </w:hyperlink>
      <w:r w:rsidRPr="009472DE">
        <w:rPr>
          <w:rFonts w:ascii="Times New Roman" w:hAnsi="Times New Roman" w:cs="Times New Roman"/>
          <w:sz w:val="21"/>
        </w:rPr>
        <w:t xml:space="preserve"> (дата обращения: 01.04.2025).</w:t>
      </w:r>
    </w:p>
    <w:p w14:paraId="04378C23" w14:textId="77777777" w:rsidR="00877DE5" w:rsidRPr="001516F1" w:rsidRDefault="00877DE5" w:rsidP="00AD58CD">
      <w:pPr>
        <w:pStyle w:val="a8"/>
        <w:widowControl w:val="0"/>
        <w:numPr>
          <w:ilvl w:val="0"/>
          <w:numId w:val="82"/>
        </w:numPr>
        <w:tabs>
          <w:tab w:val="left" w:pos="284"/>
          <w:tab w:val="left" w:pos="426"/>
          <w:tab w:val="left" w:pos="992"/>
        </w:tabs>
        <w:autoSpaceDE w:val="0"/>
        <w:autoSpaceDN w:val="0"/>
        <w:spacing w:after="0" w:line="240" w:lineRule="auto"/>
        <w:ind w:left="0" w:firstLine="0"/>
        <w:contextualSpacing w:val="0"/>
        <w:jc w:val="both"/>
        <w:rPr>
          <w:rFonts w:ascii="Times New Roman" w:hAnsi="Times New Roman" w:cs="Times New Roman"/>
          <w:sz w:val="21"/>
        </w:rPr>
      </w:pPr>
      <w:r w:rsidRPr="009472DE">
        <w:rPr>
          <w:rFonts w:ascii="Times New Roman" w:hAnsi="Times New Roman" w:cs="Times New Roman"/>
          <w:sz w:val="21"/>
        </w:rPr>
        <w:t>Росстат.</w:t>
      </w:r>
      <w:r w:rsidRPr="009472DE">
        <w:rPr>
          <w:rFonts w:ascii="Times New Roman" w:hAnsi="Times New Roman" w:cs="Times New Roman"/>
          <w:spacing w:val="-6"/>
          <w:sz w:val="21"/>
        </w:rPr>
        <w:t xml:space="preserve"> </w:t>
      </w:r>
      <w:r w:rsidRPr="009472DE">
        <w:rPr>
          <w:rFonts w:ascii="Times New Roman" w:hAnsi="Times New Roman" w:cs="Times New Roman"/>
          <w:sz w:val="21"/>
        </w:rPr>
        <w:t>Статистический</w:t>
      </w:r>
      <w:r w:rsidRPr="009472DE">
        <w:rPr>
          <w:rFonts w:ascii="Times New Roman" w:hAnsi="Times New Roman" w:cs="Times New Roman"/>
          <w:spacing w:val="-6"/>
          <w:sz w:val="21"/>
        </w:rPr>
        <w:t xml:space="preserve"> </w:t>
      </w:r>
      <w:r w:rsidRPr="009472DE">
        <w:rPr>
          <w:rFonts w:ascii="Times New Roman" w:hAnsi="Times New Roman" w:cs="Times New Roman"/>
          <w:sz w:val="21"/>
        </w:rPr>
        <w:t>сборник</w:t>
      </w:r>
      <w:r w:rsidRPr="009472DE">
        <w:rPr>
          <w:rFonts w:ascii="Times New Roman" w:hAnsi="Times New Roman" w:cs="Times New Roman"/>
          <w:spacing w:val="-6"/>
          <w:sz w:val="21"/>
        </w:rPr>
        <w:t xml:space="preserve"> </w:t>
      </w:r>
      <w:r w:rsidRPr="009472DE">
        <w:rPr>
          <w:rFonts w:ascii="Times New Roman" w:hAnsi="Times New Roman" w:cs="Times New Roman"/>
          <w:sz w:val="21"/>
        </w:rPr>
        <w:t>«Труд</w:t>
      </w:r>
      <w:r w:rsidRPr="009472DE">
        <w:rPr>
          <w:rFonts w:ascii="Times New Roman" w:hAnsi="Times New Roman" w:cs="Times New Roman"/>
          <w:spacing w:val="-6"/>
          <w:sz w:val="21"/>
        </w:rPr>
        <w:t xml:space="preserve"> </w:t>
      </w:r>
      <w:r w:rsidRPr="009472DE">
        <w:rPr>
          <w:rFonts w:ascii="Times New Roman" w:hAnsi="Times New Roman" w:cs="Times New Roman"/>
          <w:sz w:val="21"/>
        </w:rPr>
        <w:t>и</w:t>
      </w:r>
      <w:r w:rsidRPr="009472DE">
        <w:rPr>
          <w:rFonts w:ascii="Times New Roman" w:hAnsi="Times New Roman" w:cs="Times New Roman"/>
          <w:spacing w:val="-7"/>
          <w:sz w:val="21"/>
        </w:rPr>
        <w:t xml:space="preserve"> </w:t>
      </w:r>
      <w:r w:rsidRPr="009472DE">
        <w:rPr>
          <w:rFonts w:ascii="Times New Roman" w:hAnsi="Times New Roman" w:cs="Times New Roman"/>
          <w:sz w:val="21"/>
        </w:rPr>
        <w:t>занятость</w:t>
      </w:r>
      <w:r w:rsidRPr="009472DE">
        <w:rPr>
          <w:rFonts w:ascii="Times New Roman" w:hAnsi="Times New Roman" w:cs="Times New Roman"/>
          <w:spacing w:val="-9"/>
          <w:sz w:val="21"/>
        </w:rPr>
        <w:t xml:space="preserve"> </w:t>
      </w:r>
      <w:r w:rsidRPr="009472DE">
        <w:rPr>
          <w:rFonts w:ascii="Times New Roman" w:hAnsi="Times New Roman" w:cs="Times New Roman"/>
          <w:sz w:val="21"/>
        </w:rPr>
        <w:t>в</w:t>
      </w:r>
      <w:r w:rsidRPr="009472DE">
        <w:rPr>
          <w:rFonts w:ascii="Times New Roman" w:hAnsi="Times New Roman" w:cs="Times New Roman"/>
          <w:spacing w:val="-5"/>
          <w:sz w:val="21"/>
        </w:rPr>
        <w:t xml:space="preserve"> </w:t>
      </w:r>
      <w:r w:rsidRPr="009472DE">
        <w:rPr>
          <w:rFonts w:ascii="Times New Roman" w:hAnsi="Times New Roman" w:cs="Times New Roman"/>
          <w:sz w:val="21"/>
        </w:rPr>
        <w:t>Краснодарском</w:t>
      </w:r>
      <w:r w:rsidRPr="009472DE">
        <w:rPr>
          <w:rFonts w:ascii="Times New Roman" w:hAnsi="Times New Roman" w:cs="Times New Roman"/>
          <w:spacing w:val="-6"/>
          <w:sz w:val="21"/>
        </w:rPr>
        <w:t xml:space="preserve"> </w:t>
      </w:r>
      <w:r w:rsidRPr="009472DE">
        <w:rPr>
          <w:rFonts w:ascii="Times New Roman" w:hAnsi="Times New Roman" w:cs="Times New Roman"/>
          <w:sz w:val="21"/>
        </w:rPr>
        <w:t>крае».</w:t>
      </w:r>
      <w:r w:rsidRPr="009472DE">
        <w:rPr>
          <w:rFonts w:ascii="Times New Roman" w:hAnsi="Times New Roman" w:cs="Times New Roman"/>
          <w:spacing w:val="-8"/>
          <w:sz w:val="21"/>
        </w:rPr>
        <w:t xml:space="preserve"> </w:t>
      </w:r>
      <w:r w:rsidRPr="009472DE">
        <w:rPr>
          <w:rFonts w:ascii="Times New Roman" w:hAnsi="Times New Roman" w:cs="Times New Roman"/>
          <w:sz w:val="21"/>
        </w:rPr>
        <w:t>2024.</w:t>
      </w:r>
      <w:r w:rsidRPr="009472DE">
        <w:rPr>
          <w:rFonts w:ascii="Times New Roman" w:hAnsi="Times New Roman" w:cs="Times New Roman"/>
          <w:spacing w:val="-8"/>
          <w:sz w:val="21"/>
        </w:rPr>
        <w:t xml:space="preserve"> </w:t>
      </w:r>
      <w:r w:rsidRPr="009472DE">
        <w:rPr>
          <w:rFonts w:ascii="Times New Roman" w:hAnsi="Times New Roman" w:cs="Times New Roman"/>
          <w:spacing w:val="-4"/>
          <w:sz w:val="21"/>
        </w:rPr>
        <w:t>URL:</w:t>
      </w:r>
      <w:r w:rsidR="001516F1">
        <w:rPr>
          <w:rFonts w:ascii="Times New Roman" w:hAnsi="Times New Roman" w:cs="Times New Roman"/>
          <w:spacing w:val="-4"/>
          <w:sz w:val="21"/>
        </w:rPr>
        <w:t xml:space="preserve"> </w:t>
      </w:r>
      <w:hyperlink r:id="rId41">
        <w:r w:rsidRPr="001516F1">
          <w:rPr>
            <w:rFonts w:ascii="Times New Roman" w:hAnsi="Times New Roman" w:cs="Times New Roman"/>
            <w:sz w:val="21"/>
          </w:rPr>
          <w:t>https://rosstat.gov.ru</w:t>
        </w:r>
      </w:hyperlink>
      <w:r w:rsidRPr="001516F1">
        <w:rPr>
          <w:rFonts w:ascii="Times New Roman" w:hAnsi="Times New Roman" w:cs="Times New Roman"/>
          <w:spacing w:val="-12"/>
          <w:sz w:val="21"/>
        </w:rPr>
        <w:t xml:space="preserve"> </w:t>
      </w:r>
      <w:r w:rsidRPr="001516F1">
        <w:rPr>
          <w:rFonts w:ascii="Times New Roman" w:hAnsi="Times New Roman" w:cs="Times New Roman"/>
          <w:sz w:val="21"/>
        </w:rPr>
        <w:t>(дата</w:t>
      </w:r>
      <w:r w:rsidRPr="001516F1">
        <w:rPr>
          <w:rFonts w:ascii="Times New Roman" w:hAnsi="Times New Roman" w:cs="Times New Roman"/>
          <w:spacing w:val="-10"/>
          <w:sz w:val="21"/>
        </w:rPr>
        <w:t xml:space="preserve"> </w:t>
      </w:r>
      <w:r w:rsidRPr="001516F1">
        <w:rPr>
          <w:rFonts w:ascii="Times New Roman" w:hAnsi="Times New Roman" w:cs="Times New Roman"/>
          <w:sz w:val="21"/>
        </w:rPr>
        <w:t>обращения:</w:t>
      </w:r>
      <w:r w:rsidRPr="001516F1">
        <w:rPr>
          <w:rFonts w:ascii="Times New Roman" w:hAnsi="Times New Roman" w:cs="Times New Roman"/>
          <w:spacing w:val="-11"/>
          <w:sz w:val="21"/>
        </w:rPr>
        <w:t xml:space="preserve"> </w:t>
      </w:r>
      <w:r w:rsidRPr="001516F1">
        <w:rPr>
          <w:rFonts w:ascii="Times New Roman" w:hAnsi="Times New Roman" w:cs="Times New Roman"/>
          <w:spacing w:val="-2"/>
          <w:sz w:val="21"/>
        </w:rPr>
        <w:t>07.04.2025).</w:t>
      </w:r>
    </w:p>
    <w:p w14:paraId="6207C8CB" w14:textId="77777777" w:rsidR="00877DE5" w:rsidRPr="001516F1" w:rsidRDefault="00877DE5" w:rsidP="00AD58CD">
      <w:pPr>
        <w:pStyle w:val="a8"/>
        <w:widowControl w:val="0"/>
        <w:numPr>
          <w:ilvl w:val="0"/>
          <w:numId w:val="82"/>
        </w:numPr>
        <w:tabs>
          <w:tab w:val="left" w:pos="284"/>
          <w:tab w:val="left" w:pos="426"/>
          <w:tab w:val="left" w:pos="992"/>
        </w:tabs>
        <w:autoSpaceDE w:val="0"/>
        <w:autoSpaceDN w:val="0"/>
        <w:spacing w:after="0" w:line="240" w:lineRule="auto"/>
        <w:ind w:left="0" w:firstLine="0"/>
        <w:contextualSpacing w:val="0"/>
        <w:jc w:val="both"/>
        <w:rPr>
          <w:rFonts w:ascii="Times New Roman" w:hAnsi="Times New Roman" w:cs="Times New Roman"/>
          <w:sz w:val="21"/>
        </w:rPr>
      </w:pPr>
      <w:r w:rsidRPr="009472DE">
        <w:rPr>
          <w:rFonts w:ascii="Times New Roman" w:hAnsi="Times New Roman" w:cs="Times New Roman"/>
          <w:sz w:val="21"/>
        </w:rPr>
        <w:t>Краснодарстат.</w:t>
      </w:r>
      <w:r w:rsidRPr="009472DE">
        <w:rPr>
          <w:rFonts w:ascii="Times New Roman" w:hAnsi="Times New Roman" w:cs="Times New Roman"/>
          <w:spacing w:val="-10"/>
          <w:sz w:val="21"/>
        </w:rPr>
        <w:t xml:space="preserve"> </w:t>
      </w:r>
      <w:r w:rsidRPr="009472DE">
        <w:rPr>
          <w:rFonts w:ascii="Times New Roman" w:hAnsi="Times New Roman" w:cs="Times New Roman"/>
          <w:sz w:val="21"/>
        </w:rPr>
        <w:t>Доклад</w:t>
      </w:r>
      <w:r w:rsidRPr="009472DE">
        <w:rPr>
          <w:rFonts w:ascii="Times New Roman" w:hAnsi="Times New Roman" w:cs="Times New Roman"/>
          <w:spacing w:val="-10"/>
          <w:sz w:val="21"/>
        </w:rPr>
        <w:t xml:space="preserve"> </w:t>
      </w:r>
      <w:r w:rsidRPr="009472DE">
        <w:rPr>
          <w:rFonts w:ascii="Times New Roman" w:hAnsi="Times New Roman" w:cs="Times New Roman"/>
          <w:sz w:val="21"/>
        </w:rPr>
        <w:t>«Социально-экономическое</w:t>
      </w:r>
      <w:r w:rsidRPr="009472DE">
        <w:rPr>
          <w:rFonts w:ascii="Times New Roman" w:hAnsi="Times New Roman" w:cs="Times New Roman"/>
          <w:spacing w:val="-10"/>
          <w:sz w:val="21"/>
        </w:rPr>
        <w:t xml:space="preserve"> </w:t>
      </w:r>
      <w:r w:rsidRPr="009472DE">
        <w:rPr>
          <w:rFonts w:ascii="Times New Roman" w:hAnsi="Times New Roman" w:cs="Times New Roman"/>
          <w:sz w:val="21"/>
        </w:rPr>
        <w:t>положение</w:t>
      </w:r>
      <w:r w:rsidRPr="009472DE">
        <w:rPr>
          <w:rFonts w:ascii="Times New Roman" w:hAnsi="Times New Roman" w:cs="Times New Roman"/>
          <w:spacing w:val="-12"/>
          <w:sz w:val="21"/>
        </w:rPr>
        <w:t xml:space="preserve"> </w:t>
      </w:r>
      <w:r w:rsidRPr="009472DE">
        <w:rPr>
          <w:rFonts w:ascii="Times New Roman" w:hAnsi="Times New Roman" w:cs="Times New Roman"/>
          <w:sz w:val="21"/>
        </w:rPr>
        <w:t>Краснодарского</w:t>
      </w:r>
      <w:r w:rsidRPr="009472DE">
        <w:rPr>
          <w:rFonts w:ascii="Times New Roman" w:hAnsi="Times New Roman" w:cs="Times New Roman"/>
          <w:spacing w:val="-12"/>
          <w:sz w:val="21"/>
        </w:rPr>
        <w:t xml:space="preserve"> </w:t>
      </w:r>
      <w:r w:rsidRPr="009472DE">
        <w:rPr>
          <w:rFonts w:ascii="Times New Roman" w:hAnsi="Times New Roman" w:cs="Times New Roman"/>
          <w:sz w:val="21"/>
        </w:rPr>
        <w:t>края».</w:t>
      </w:r>
      <w:r w:rsidRPr="009472DE">
        <w:rPr>
          <w:rFonts w:ascii="Times New Roman" w:hAnsi="Times New Roman" w:cs="Times New Roman"/>
          <w:spacing w:val="-9"/>
          <w:sz w:val="21"/>
        </w:rPr>
        <w:t xml:space="preserve"> </w:t>
      </w:r>
      <w:r w:rsidRPr="009472DE">
        <w:rPr>
          <w:rFonts w:ascii="Times New Roman" w:hAnsi="Times New Roman" w:cs="Times New Roman"/>
          <w:spacing w:val="-2"/>
          <w:sz w:val="21"/>
        </w:rPr>
        <w:t>2024.</w:t>
      </w:r>
      <w:r w:rsidR="001516F1">
        <w:rPr>
          <w:rFonts w:ascii="Times New Roman" w:hAnsi="Times New Roman" w:cs="Times New Roman"/>
          <w:spacing w:val="-2"/>
          <w:sz w:val="21"/>
        </w:rPr>
        <w:t xml:space="preserve"> </w:t>
      </w:r>
      <w:r w:rsidRPr="001516F1">
        <w:rPr>
          <w:rFonts w:ascii="Times New Roman" w:hAnsi="Times New Roman" w:cs="Times New Roman"/>
          <w:sz w:val="21"/>
        </w:rPr>
        <w:t>URL:</w:t>
      </w:r>
      <w:r w:rsidRPr="001516F1">
        <w:rPr>
          <w:rFonts w:ascii="Times New Roman" w:hAnsi="Times New Roman" w:cs="Times New Roman"/>
          <w:spacing w:val="-8"/>
          <w:sz w:val="21"/>
        </w:rPr>
        <w:t xml:space="preserve"> </w:t>
      </w:r>
      <w:hyperlink r:id="rId42">
        <w:r w:rsidRPr="001516F1">
          <w:rPr>
            <w:rFonts w:ascii="Times New Roman" w:hAnsi="Times New Roman" w:cs="Times New Roman"/>
            <w:sz w:val="21"/>
          </w:rPr>
          <w:t>http://krasnodar.gks.ru</w:t>
        </w:r>
      </w:hyperlink>
      <w:r w:rsidRPr="001516F1">
        <w:rPr>
          <w:rFonts w:ascii="Times New Roman" w:hAnsi="Times New Roman" w:cs="Times New Roman"/>
          <w:spacing w:val="-10"/>
          <w:sz w:val="21"/>
        </w:rPr>
        <w:t xml:space="preserve"> </w:t>
      </w:r>
      <w:r w:rsidRPr="001516F1">
        <w:rPr>
          <w:rFonts w:ascii="Times New Roman" w:hAnsi="Times New Roman" w:cs="Times New Roman"/>
          <w:sz w:val="21"/>
        </w:rPr>
        <w:t>(дата</w:t>
      </w:r>
      <w:r w:rsidRPr="001516F1">
        <w:rPr>
          <w:rFonts w:ascii="Times New Roman" w:hAnsi="Times New Roman" w:cs="Times New Roman"/>
          <w:spacing w:val="-7"/>
          <w:sz w:val="21"/>
        </w:rPr>
        <w:t xml:space="preserve"> </w:t>
      </w:r>
      <w:r w:rsidRPr="001516F1">
        <w:rPr>
          <w:rFonts w:ascii="Times New Roman" w:hAnsi="Times New Roman" w:cs="Times New Roman"/>
          <w:sz w:val="21"/>
        </w:rPr>
        <w:t>обращения:</w:t>
      </w:r>
      <w:r w:rsidRPr="001516F1">
        <w:rPr>
          <w:rFonts w:ascii="Times New Roman" w:hAnsi="Times New Roman" w:cs="Times New Roman"/>
          <w:spacing w:val="-8"/>
          <w:sz w:val="21"/>
        </w:rPr>
        <w:t xml:space="preserve"> </w:t>
      </w:r>
      <w:r w:rsidRPr="001516F1">
        <w:rPr>
          <w:rFonts w:ascii="Times New Roman" w:hAnsi="Times New Roman" w:cs="Times New Roman"/>
          <w:spacing w:val="-2"/>
          <w:sz w:val="21"/>
        </w:rPr>
        <w:t>09.04.2025).</w:t>
      </w:r>
    </w:p>
    <w:p w14:paraId="5FAF08C8" w14:textId="77777777" w:rsidR="00877DE5" w:rsidRPr="009472DE" w:rsidRDefault="00877DE5" w:rsidP="00AD58CD">
      <w:pPr>
        <w:pStyle w:val="a8"/>
        <w:widowControl w:val="0"/>
        <w:numPr>
          <w:ilvl w:val="0"/>
          <w:numId w:val="82"/>
        </w:numPr>
        <w:tabs>
          <w:tab w:val="left" w:pos="284"/>
          <w:tab w:val="left" w:pos="426"/>
          <w:tab w:val="left" w:pos="992"/>
        </w:tabs>
        <w:autoSpaceDE w:val="0"/>
        <w:autoSpaceDN w:val="0"/>
        <w:spacing w:after="0" w:line="240" w:lineRule="auto"/>
        <w:ind w:left="0" w:firstLine="0"/>
        <w:contextualSpacing w:val="0"/>
        <w:jc w:val="both"/>
        <w:rPr>
          <w:rFonts w:ascii="Times New Roman" w:hAnsi="Times New Roman" w:cs="Times New Roman"/>
          <w:sz w:val="21"/>
        </w:rPr>
      </w:pPr>
      <w:r w:rsidRPr="009472DE">
        <w:rPr>
          <w:rFonts w:ascii="Times New Roman" w:hAnsi="Times New Roman" w:cs="Times New Roman"/>
          <w:sz w:val="21"/>
        </w:rPr>
        <w:t>Иванова</w:t>
      </w:r>
      <w:r w:rsidRPr="009472DE">
        <w:rPr>
          <w:rFonts w:ascii="Times New Roman" w:hAnsi="Times New Roman" w:cs="Times New Roman"/>
          <w:spacing w:val="-6"/>
          <w:sz w:val="21"/>
        </w:rPr>
        <w:t xml:space="preserve"> </w:t>
      </w:r>
      <w:r w:rsidRPr="009472DE">
        <w:rPr>
          <w:rFonts w:ascii="Times New Roman" w:hAnsi="Times New Roman" w:cs="Times New Roman"/>
          <w:sz w:val="21"/>
        </w:rPr>
        <w:t>Н.В.</w:t>
      </w:r>
      <w:r w:rsidRPr="009472DE">
        <w:rPr>
          <w:rFonts w:ascii="Times New Roman" w:hAnsi="Times New Roman" w:cs="Times New Roman"/>
          <w:spacing w:val="-3"/>
          <w:sz w:val="21"/>
        </w:rPr>
        <w:t xml:space="preserve"> </w:t>
      </w:r>
      <w:r w:rsidRPr="009472DE">
        <w:rPr>
          <w:rFonts w:ascii="Times New Roman" w:hAnsi="Times New Roman" w:cs="Times New Roman"/>
          <w:sz w:val="21"/>
        </w:rPr>
        <w:t>Рынок</w:t>
      </w:r>
      <w:r w:rsidRPr="009472DE">
        <w:rPr>
          <w:rFonts w:ascii="Times New Roman" w:hAnsi="Times New Roman" w:cs="Times New Roman"/>
          <w:spacing w:val="-3"/>
          <w:sz w:val="21"/>
        </w:rPr>
        <w:t xml:space="preserve"> </w:t>
      </w:r>
      <w:r w:rsidRPr="009472DE">
        <w:rPr>
          <w:rFonts w:ascii="Times New Roman" w:hAnsi="Times New Roman" w:cs="Times New Roman"/>
          <w:sz w:val="21"/>
        </w:rPr>
        <w:t>труда</w:t>
      </w:r>
      <w:r w:rsidRPr="009472DE">
        <w:rPr>
          <w:rFonts w:ascii="Times New Roman" w:hAnsi="Times New Roman" w:cs="Times New Roman"/>
          <w:spacing w:val="-5"/>
          <w:sz w:val="21"/>
        </w:rPr>
        <w:t xml:space="preserve"> </w:t>
      </w:r>
      <w:r w:rsidRPr="009472DE">
        <w:rPr>
          <w:rFonts w:ascii="Times New Roman" w:hAnsi="Times New Roman" w:cs="Times New Roman"/>
          <w:sz w:val="21"/>
        </w:rPr>
        <w:t>в</w:t>
      </w:r>
      <w:r w:rsidRPr="009472DE">
        <w:rPr>
          <w:rFonts w:ascii="Times New Roman" w:hAnsi="Times New Roman" w:cs="Times New Roman"/>
          <w:spacing w:val="-2"/>
          <w:sz w:val="21"/>
        </w:rPr>
        <w:t xml:space="preserve"> </w:t>
      </w:r>
      <w:r w:rsidRPr="009472DE">
        <w:rPr>
          <w:rFonts w:ascii="Times New Roman" w:hAnsi="Times New Roman" w:cs="Times New Roman"/>
          <w:sz w:val="21"/>
        </w:rPr>
        <w:t>условиях</w:t>
      </w:r>
      <w:r w:rsidRPr="009472DE">
        <w:rPr>
          <w:rFonts w:ascii="Times New Roman" w:hAnsi="Times New Roman" w:cs="Times New Roman"/>
          <w:spacing w:val="-3"/>
          <w:sz w:val="21"/>
        </w:rPr>
        <w:t xml:space="preserve"> </w:t>
      </w:r>
      <w:r w:rsidRPr="009472DE">
        <w:rPr>
          <w:rFonts w:ascii="Times New Roman" w:hAnsi="Times New Roman" w:cs="Times New Roman"/>
          <w:sz w:val="21"/>
        </w:rPr>
        <w:t>экономической</w:t>
      </w:r>
      <w:r w:rsidRPr="009472DE">
        <w:rPr>
          <w:rFonts w:ascii="Times New Roman" w:hAnsi="Times New Roman" w:cs="Times New Roman"/>
          <w:spacing w:val="-5"/>
          <w:sz w:val="21"/>
        </w:rPr>
        <w:t xml:space="preserve"> </w:t>
      </w:r>
      <w:r w:rsidRPr="009472DE">
        <w:rPr>
          <w:rFonts w:ascii="Times New Roman" w:hAnsi="Times New Roman" w:cs="Times New Roman"/>
          <w:sz w:val="21"/>
        </w:rPr>
        <w:t>нестабильности</w:t>
      </w:r>
      <w:r w:rsidRPr="009472DE">
        <w:rPr>
          <w:rFonts w:ascii="Times New Roman" w:hAnsi="Times New Roman" w:cs="Times New Roman"/>
          <w:spacing w:val="-3"/>
          <w:sz w:val="21"/>
        </w:rPr>
        <w:t xml:space="preserve"> </w:t>
      </w:r>
      <w:r w:rsidRPr="009472DE">
        <w:rPr>
          <w:rFonts w:ascii="Times New Roman" w:hAnsi="Times New Roman" w:cs="Times New Roman"/>
          <w:sz w:val="21"/>
        </w:rPr>
        <w:t>//</w:t>
      </w:r>
      <w:r w:rsidRPr="009472DE">
        <w:rPr>
          <w:rFonts w:ascii="Times New Roman" w:hAnsi="Times New Roman" w:cs="Times New Roman"/>
          <w:spacing w:val="-4"/>
          <w:sz w:val="21"/>
        </w:rPr>
        <w:t xml:space="preserve"> </w:t>
      </w:r>
      <w:r w:rsidRPr="009472DE">
        <w:rPr>
          <w:rFonts w:ascii="Times New Roman" w:hAnsi="Times New Roman" w:cs="Times New Roman"/>
          <w:sz w:val="21"/>
        </w:rPr>
        <w:t>Экономика</w:t>
      </w:r>
      <w:r w:rsidRPr="009472DE">
        <w:rPr>
          <w:rFonts w:ascii="Times New Roman" w:hAnsi="Times New Roman" w:cs="Times New Roman"/>
          <w:spacing w:val="-3"/>
          <w:sz w:val="21"/>
        </w:rPr>
        <w:t xml:space="preserve"> </w:t>
      </w:r>
      <w:r w:rsidRPr="009472DE">
        <w:rPr>
          <w:rFonts w:ascii="Times New Roman" w:hAnsi="Times New Roman" w:cs="Times New Roman"/>
          <w:sz w:val="21"/>
        </w:rPr>
        <w:t>региона. 2023. Т. 19, № 2. С. 30-45.</w:t>
      </w:r>
    </w:p>
    <w:p w14:paraId="58F0D638" w14:textId="78EF9DC1" w:rsidR="00FD5033" w:rsidRDefault="00FD5033">
      <w:pPr>
        <w:rPr>
          <w:rFonts w:ascii="Times New Roman" w:eastAsia="Times New Roman" w:hAnsi="Times New Roman" w:cs="Times New Roman"/>
          <w:b/>
          <w:color w:val="000000"/>
          <w:sz w:val="21"/>
          <w:szCs w:val="21"/>
          <w:lang w:eastAsia="ar-SA"/>
        </w:rPr>
      </w:pPr>
      <w:r>
        <w:rPr>
          <w:rFonts w:ascii="Times New Roman" w:eastAsia="Times New Roman" w:hAnsi="Times New Roman" w:cs="Times New Roman"/>
          <w:b/>
          <w:color w:val="000000"/>
          <w:sz w:val="21"/>
          <w:szCs w:val="21"/>
          <w:lang w:eastAsia="ar-SA"/>
        </w:rPr>
        <w:br w:type="page"/>
      </w:r>
    </w:p>
    <w:p w14:paraId="2A56FBF6" w14:textId="77777777" w:rsidR="00877DE5" w:rsidRPr="009B3F70" w:rsidRDefault="00877DE5" w:rsidP="000F7B86">
      <w:pPr>
        <w:spacing w:after="0" w:line="240" w:lineRule="auto"/>
        <w:jc w:val="both"/>
        <w:textAlignment w:val="baseline"/>
        <w:rPr>
          <w:rFonts w:ascii="Times New Roman" w:eastAsia="Calibri" w:hAnsi="Times New Roman" w:cs="Times New Roman"/>
          <w:sz w:val="21"/>
          <w:szCs w:val="21"/>
        </w:rPr>
      </w:pPr>
      <w:r w:rsidRPr="009B3F70">
        <w:rPr>
          <w:rFonts w:ascii="Times New Roman" w:eastAsia="Times New Roman" w:hAnsi="Times New Roman" w:cs="Times New Roman"/>
          <w:b/>
          <w:color w:val="000000"/>
          <w:sz w:val="21"/>
          <w:szCs w:val="21"/>
          <w:lang w:eastAsia="ar-SA"/>
        </w:rPr>
        <w:lastRenderedPageBreak/>
        <w:t>УДК 331.56</w:t>
      </w:r>
    </w:p>
    <w:p w14:paraId="660CC922"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b/>
          <w:bCs/>
          <w:i/>
          <w:iCs/>
          <w:sz w:val="21"/>
          <w:szCs w:val="21"/>
        </w:rPr>
        <w:t>Боранукова К.М.,</w:t>
      </w:r>
    </w:p>
    <w:p w14:paraId="138D031B"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студентка 3 курса</w:t>
      </w:r>
    </w:p>
    <w:p w14:paraId="23BCEFE9"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Финансовый университет при Правительстве РФ</w:t>
      </w:r>
    </w:p>
    <w:p w14:paraId="224C93F7"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(Краснодарский филиал)</w:t>
      </w:r>
    </w:p>
    <w:p w14:paraId="6ED527CB"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г. Краснодар, Россия</w:t>
      </w:r>
    </w:p>
    <w:p w14:paraId="02649860"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lang w:val="en-US"/>
        </w:rPr>
        <w:t>e</w:t>
      </w:r>
      <w:r w:rsidRPr="009B3F70">
        <w:rPr>
          <w:rFonts w:ascii="Times New Roman" w:eastAsia="Calibri" w:hAnsi="Times New Roman" w:cs="Times New Roman"/>
          <w:i/>
          <w:iCs/>
          <w:sz w:val="21"/>
          <w:szCs w:val="21"/>
        </w:rPr>
        <w:t>-</w:t>
      </w:r>
      <w:r w:rsidRPr="009B3F70">
        <w:rPr>
          <w:rFonts w:ascii="Times New Roman" w:eastAsia="Calibri" w:hAnsi="Times New Roman" w:cs="Times New Roman"/>
          <w:i/>
          <w:iCs/>
          <w:sz w:val="21"/>
          <w:szCs w:val="21"/>
          <w:lang w:val="en-US"/>
        </w:rPr>
        <w:t>mail</w:t>
      </w:r>
      <w:r w:rsidRPr="009B3F70">
        <w:rPr>
          <w:rFonts w:ascii="Times New Roman" w:eastAsia="Calibri" w:hAnsi="Times New Roman" w:cs="Times New Roman"/>
          <w:i/>
          <w:iCs/>
          <w:sz w:val="21"/>
          <w:szCs w:val="21"/>
        </w:rPr>
        <w:t xml:space="preserve">: </w:t>
      </w:r>
      <w:r w:rsidRPr="009B3F70">
        <w:rPr>
          <w:rFonts w:ascii="Times New Roman" w:eastAsia="Calibri" w:hAnsi="Times New Roman" w:cs="Times New Roman"/>
          <w:i/>
          <w:iCs/>
          <w:color w:val="0000FF"/>
          <w:sz w:val="21"/>
          <w:szCs w:val="21"/>
          <w:u w:val="single"/>
          <w:lang w:val="en-US"/>
        </w:rPr>
        <w:t>boranuk</w:t>
      </w:r>
      <w:r w:rsidRPr="009B3F70">
        <w:rPr>
          <w:rFonts w:ascii="Times New Roman" w:eastAsia="Calibri" w:hAnsi="Times New Roman" w:cs="Times New Roman"/>
          <w:i/>
          <w:iCs/>
          <w:color w:val="0000FF"/>
          <w:sz w:val="21"/>
          <w:szCs w:val="21"/>
          <w:u w:val="single"/>
        </w:rPr>
        <w:t>2004@</w:t>
      </w:r>
      <w:r w:rsidRPr="009B3F70">
        <w:rPr>
          <w:rFonts w:ascii="Times New Roman" w:eastAsia="Calibri" w:hAnsi="Times New Roman" w:cs="Times New Roman"/>
          <w:i/>
          <w:iCs/>
          <w:color w:val="0000FF"/>
          <w:sz w:val="21"/>
          <w:szCs w:val="21"/>
          <w:u w:val="single"/>
          <w:lang w:val="en-US"/>
        </w:rPr>
        <w:t>mail</w:t>
      </w:r>
      <w:r w:rsidRPr="009B3F70">
        <w:rPr>
          <w:rFonts w:ascii="Times New Roman" w:eastAsia="Calibri" w:hAnsi="Times New Roman" w:cs="Times New Roman"/>
          <w:i/>
          <w:iCs/>
          <w:color w:val="0000FF"/>
          <w:sz w:val="21"/>
          <w:szCs w:val="21"/>
          <w:u w:val="single"/>
        </w:rPr>
        <w:t>.</w:t>
      </w:r>
      <w:r w:rsidRPr="009B3F70">
        <w:rPr>
          <w:rFonts w:ascii="Times New Roman" w:eastAsia="Calibri" w:hAnsi="Times New Roman" w:cs="Times New Roman"/>
          <w:i/>
          <w:iCs/>
          <w:color w:val="0000FF"/>
          <w:sz w:val="21"/>
          <w:szCs w:val="21"/>
          <w:u w:val="single"/>
          <w:lang w:val="en-US"/>
        </w:rPr>
        <w:t>ru</w:t>
      </w:r>
    </w:p>
    <w:p w14:paraId="683657A4"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i/>
          <w:iCs/>
          <w:sz w:val="21"/>
          <w:szCs w:val="21"/>
        </w:rPr>
      </w:pPr>
    </w:p>
    <w:p w14:paraId="07CD1456"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b/>
          <w:bCs/>
          <w:i/>
          <w:iCs/>
          <w:sz w:val="21"/>
          <w:szCs w:val="21"/>
        </w:rPr>
        <w:t>Научный руководитель:</w:t>
      </w:r>
    </w:p>
    <w:p w14:paraId="6191E4FB"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b/>
          <w:bCs/>
          <w:i/>
          <w:iCs/>
          <w:sz w:val="21"/>
          <w:szCs w:val="21"/>
        </w:rPr>
        <w:t>Берлин С.И.,</w:t>
      </w:r>
    </w:p>
    <w:p w14:paraId="350A64CD"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доцент, к.э.н.</w:t>
      </w:r>
    </w:p>
    <w:p w14:paraId="6AC9CA5C"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Финансовый университет при Правительстве РФ</w:t>
      </w:r>
    </w:p>
    <w:p w14:paraId="5A652CF9"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(Краснодарский филиал)</w:t>
      </w:r>
    </w:p>
    <w:p w14:paraId="767B288A"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г. Краснодар, Россия</w:t>
      </w:r>
    </w:p>
    <w:p w14:paraId="6DCF3F66"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rPr>
      </w:pPr>
      <w:r w:rsidRPr="009B3F70">
        <w:rPr>
          <w:rFonts w:ascii="Times New Roman" w:eastAsia="Calibri" w:hAnsi="Times New Roman" w:cs="Times New Roman"/>
          <w:i/>
          <w:iCs/>
          <w:sz w:val="21"/>
          <w:szCs w:val="21"/>
        </w:rPr>
        <w:t>е-</w:t>
      </w:r>
      <w:r w:rsidRPr="009B3F70">
        <w:rPr>
          <w:rFonts w:ascii="Times New Roman" w:eastAsia="Calibri" w:hAnsi="Times New Roman" w:cs="Times New Roman"/>
          <w:i/>
          <w:iCs/>
          <w:sz w:val="21"/>
          <w:szCs w:val="21"/>
          <w:lang w:val="en-US"/>
        </w:rPr>
        <w:t>mail</w:t>
      </w:r>
      <w:r w:rsidRPr="009B3F70">
        <w:rPr>
          <w:rFonts w:ascii="Times New Roman" w:eastAsia="Calibri" w:hAnsi="Times New Roman" w:cs="Times New Roman"/>
          <w:i/>
          <w:iCs/>
          <w:sz w:val="21"/>
          <w:szCs w:val="21"/>
        </w:rPr>
        <w:t xml:space="preserve">: </w:t>
      </w:r>
      <w:hyperlink r:id="rId43" w:history="1">
        <w:r w:rsidRPr="009B3F70">
          <w:rPr>
            <w:rStyle w:val="aa"/>
            <w:rFonts w:ascii="Times New Roman" w:eastAsia="Calibri" w:hAnsi="Times New Roman" w:cs="Times New Roman"/>
            <w:i/>
            <w:iCs/>
            <w:sz w:val="21"/>
            <w:szCs w:val="21"/>
          </w:rPr>
          <w:t>SIBerlin@fa.ru</w:t>
        </w:r>
      </w:hyperlink>
    </w:p>
    <w:p w14:paraId="42C02344" w14:textId="77777777" w:rsidR="00877DE5" w:rsidRPr="009B3F70" w:rsidRDefault="00877DE5" w:rsidP="00067100">
      <w:pPr>
        <w:spacing w:after="0" w:line="240" w:lineRule="auto"/>
        <w:ind w:firstLine="709"/>
        <w:jc w:val="center"/>
        <w:textAlignment w:val="baseline"/>
        <w:rPr>
          <w:rFonts w:ascii="Times New Roman" w:eastAsia="Calibri" w:hAnsi="Times New Roman" w:cs="Times New Roman"/>
          <w:b/>
          <w:sz w:val="21"/>
          <w:szCs w:val="21"/>
        </w:rPr>
      </w:pPr>
    </w:p>
    <w:p w14:paraId="6015C13E" w14:textId="77777777" w:rsidR="00877DE5" w:rsidRPr="009B3F70" w:rsidRDefault="00877DE5" w:rsidP="00067100">
      <w:pPr>
        <w:spacing w:after="0" w:line="240" w:lineRule="auto"/>
        <w:ind w:firstLine="709"/>
        <w:jc w:val="center"/>
        <w:textAlignment w:val="baseline"/>
        <w:rPr>
          <w:rFonts w:ascii="Times New Roman" w:hAnsi="Times New Roman" w:cs="Times New Roman"/>
          <w:b/>
          <w:color w:val="000000"/>
          <w:sz w:val="21"/>
          <w:szCs w:val="21"/>
          <w:shd w:val="clear" w:color="auto" w:fill="FFFFFF"/>
        </w:rPr>
      </w:pPr>
      <w:r w:rsidRPr="009B3F70">
        <w:rPr>
          <w:rFonts w:ascii="Times New Roman" w:hAnsi="Times New Roman" w:cs="Times New Roman"/>
          <w:b/>
          <w:color w:val="000000"/>
          <w:sz w:val="21"/>
          <w:szCs w:val="21"/>
          <w:shd w:val="clear" w:color="auto" w:fill="FFFFFF"/>
        </w:rPr>
        <w:t>Современная трансформация принципов добровольного страхования</w:t>
      </w:r>
    </w:p>
    <w:p w14:paraId="3DA343B0" w14:textId="77777777" w:rsidR="00877DE5" w:rsidRPr="009B3F70" w:rsidRDefault="00877DE5" w:rsidP="00067100">
      <w:pPr>
        <w:spacing w:after="0" w:line="240" w:lineRule="auto"/>
        <w:ind w:firstLine="709"/>
        <w:jc w:val="center"/>
        <w:textAlignment w:val="baseline"/>
        <w:rPr>
          <w:rFonts w:ascii="Times New Roman" w:hAnsi="Times New Roman" w:cs="Times New Roman"/>
          <w:b/>
          <w:color w:val="000000"/>
          <w:sz w:val="21"/>
          <w:szCs w:val="21"/>
          <w:shd w:val="clear" w:color="auto" w:fill="FFFFFF"/>
        </w:rPr>
      </w:pPr>
    </w:p>
    <w:p w14:paraId="3B687A73" w14:textId="77777777" w:rsidR="00877DE5" w:rsidRPr="009B3F70" w:rsidRDefault="00877DE5" w:rsidP="00067100">
      <w:pPr>
        <w:tabs>
          <w:tab w:val="left" w:pos="1620"/>
        </w:tabs>
        <w:spacing w:after="0" w:line="240" w:lineRule="auto"/>
        <w:ind w:firstLine="709"/>
        <w:jc w:val="both"/>
        <w:rPr>
          <w:rFonts w:ascii="Times New Roman" w:hAnsi="Times New Roman" w:cs="Times New Roman"/>
          <w:sz w:val="21"/>
          <w:szCs w:val="21"/>
        </w:rPr>
      </w:pPr>
      <w:r w:rsidRPr="009B3F70">
        <w:rPr>
          <w:rFonts w:ascii="Times New Roman" w:hAnsi="Times New Roman" w:cs="Times New Roman"/>
          <w:b/>
          <w:bCs/>
          <w:sz w:val="21"/>
          <w:szCs w:val="21"/>
        </w:rPr>
        <w:t>Аннотация:</w:t>
      </w:r>
      <w:r w:rsidRPr="009B3F70">
        <w:rPr>
          <w:rFonts w:ascii="Times New Roman" w:hAnsi="Times New Roman" w:cs="Times New Roman"/>
          <w:sz w:val="21"/>
          <w:szCs w:val="21"/>
        </w:rPr>
        <w:t xml:space="preserve"> Современная трансформация принципов добровольного страхования формируется под влиянием экономических сдвигов, технологического прогресса и запросов современной аудитории. Внедрение цифровых решений, таких как онлайн-платформы и мобильные приложения, расширяет доступность и снижает стоимость страховых услуг. Создание гибких страховых программ, например, страхование «по требованию», дает возможность предлагать клиентам персонализированные решения. Страховые организации также адаптируют свои продукты к новым вызовам, например, к растущей угрозе киберпреступности. Особое внимание уделяется укреплению прозрачности и взаимного доверия между страховщиками и клиентами, а также разработке продуктов, которые отвечают актуальным социальным потребностям. Это ведет к появлению более удобных и результативных решений для потребителей, а также повышению конкурентоспособности страховых компаний.</w:t>
      </w:r>
    </w:p>
    <w:p w14:paraId="322E5A81" w14:textId="77777777" w:rsidR="00877DE5" w:rsidRPr="009B3F70" w:rsidRDefault="00877DE5" w:rsidP="00067100">
      <w:pPr>
        <w:spacing w:after="0" w:line="240" w:lineRule="auto"/>
        <w:ind w:firstLine="709"/>
        <w:jc w:val="both"/>
        <w:textAlignment w:val="baseline"/>
        <w:rPr>
          <w:rFonts w:ascii="Times New Roman" w:eastAsia="Calibri" w:hAnsi="Times New Roman" w:cs="Times New Roman"/>
          <w:sz w:val="21"/>
          <w:szCs w:val="21"/>
        </w:rPr>
      </w:pPr>
      <w:r w:rsidRPr="009B3F70">
        <w:rPr>
          <w:rFonts w:ascii="Times New Roman" w:eastAsia="Calibri" w:hAnsi="Times New Roman" w:cs="Times New Roman"/>
          <w:b/>
          <w:sz w:val="21"/>
          <w:szCs w:val="21"/>
        </w:rPr>
        <w:t>Ключевые слова:</w:t>
      </w:r>
      <w:r w:rsidRPr="009B3F70">
        <w:rPr>
          <w:rFonts w:ascii="Times New Roman" w:eastAsia="Calibri" w:hAnsi="Times New Roman" w:cs="Times New Roman"/>
          <w:sz w:val="21"/>
          <w:szCs w:val="21"/>
        </w:rPr>
        <w:t xml:space="preserve"> добровольное страхование, трансформация, цифровые технологии, гибкие модели, персонализация, управление рисками, прозрачность, доверие, социально ориентированные продукты, киберриски.</w:t>
      </w:r>
    </w:p>
    <w:p w14:paraId="3752E0B4" w14:textId="77777777" w:rsidR="00877DE5" w:rsidRPr="009B3F70" w:rsidRDefault="00877DE5" w:rsidP="00C465D4">
      <w:pPr>
        <w:spacing w:after="0" w:line="240" w:lineRule="auto"/>
        <w:jc w:val="both"/>
        <w:textAlignment w:val="baseline"/>
        <w:rPr>
          <w:rFonts w:ascii="Times New Roman" w:eastAsia="Calibri" w:hAnsi="Times New Roman" w:cs="Times New Roman"/>
          <w:sz w:val="21"/>
          <w:szCs w:val="21"/>
        </w:rPr>
      </w:pPr>
    </w:p>
    <w:p w14:paraId="01832B11" w14:textId="77777777" w:rsidR="00877DE5" w:rsidRPr="00C30970" w:rsidRDefault="00877DE5" w:rsidP="00067100">
      <w:pPr>
        <w:spacing w:after="0" w:line="240" w:lineRule="auto"/>
        <w:ind w:firstLine="709"/>
        <w:jc w:val="right"/>
        <w:textAlignment w:val="baseline"/>
        <w:rPr>
          <w:rFonts w:ascii="Times New Roman" w:eastAsia="Calibri" w:hAnsi="Times New Roman" w:cs="Times New Roman"/>
          <w:b/>
          <w:bCs/>
          <w:sz w:val="21"/>
          <w:szCs w:val="21"/>
          <w:lang w:val="en-US"/>
        </w:rPr>
      </w:pPr>
      <w:r w:rsidRPr="00C30970">
        <w:rPr>
          <w:rFonts w:ascii="Times New Roman" w:eastAsia="Calibri" w:hAnsi="Times New Roman" w:cs="Times New Roman"/>
          <w:b/>
          <w:bCs/>
          <w:i/>
          <w:iCs/>
          <w:sz w:val="21"/>
          <w:szCs w:val="21"/>
          <w:lang w:val="en-US"/>
        </w:rPr>
        <w:t>Boranukova. K.M.,</w:t>
      </w:r>
    </w:p>
    <w:p w14:paraId="2017DE34"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lang w:val="en-US"/>
        </w:rPr>
        <w:t>student, 3 courses</w:t>
      </w:r>
    </w:p>
    <w:p w14:paraId="4EB43F1E"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lang w:val="en-US"/>
        </w:rPr>
        <w:t>Financial University under the Government of Russian Federation</w:t>
      </w:r>
    </w:p>
    <w:p w14:paraId="73E63926"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lang w:val="en-US"/>
        </w:rPr>
        <w:t>Krasnodar, Russia</w:t>
      </w:r>
    </w:p>
    <w:p w14:paraId="622B67D4" w14:textId="056A18D8"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rPr>
        <w:t>е</w:t>
      </w:r>
      <w:r w:rsidRPr="009B3F70">
        <w:rPr>
          <w:rFonts w:ascii="Times New Roman" w:eastAsia="Calibri" w:hAnsi="Times New Roman" w:cs="Times New Roman"/>
          <w:i/>
          <w:iCs/>
          <w:sz w:val="21"/>
          <w:szCs w:val="21"/>
          <w:lang w:val="en-US"/>
        </w:rPr>
        <w:t>-mail:</w:t>
      </w:r>
      <w:r w:rsidR="00C30970" w:rsidRPr="000B3AFF">
        <w:rPr>
          <w:rFonts w:ascii="Times New Roman" w:eastAsia="Calibri" w:hAnsi="Times New Roman" w:cs="Times New Roman"/>
          <w:i/>
          <w:iCs/>
          <w:sz w:val="21"/>
          <w:szCs w:val="21"/>
          <w:lang w:val="en-US"/>
        </w:rPr>
        <w:t xml:space="preserve"> </w:t>
      </w:r>
      <w:r w:rsidRPr="009B3F70">
        <w:rPr>
          <w:rFonts w:ascii="Times New Roman" w:eastAsia="Calibri" w:hAnsi="Times New Roman" w:cs="Times New Roman"/>
          <w:i/>
          <w:iCs/>
          <w:color w:val="0000FF"/>
          <w:sz w:val="21"/>
          <w:szCs w:val="21"/>
          <w:u w:val="single"/>
          <w:lang w:val="en-US"/>
        </w:rPr>
        <w:t>boranuk2004@mail.ru</w:t>
      </w:r>
    </w:p>
    <w:p w14:paraId="363B2820"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i/>
          <w:iCs/>
          <w:sz w:val="21"/>
          <w:szCs w:val="21"/>
          <w:lang w:val="en-US"/>
        </w:rPr>
      </w:pPr>
    </w:p>
    <w:p w14:paraId="167F33FC" w14:textId="77777777" w:rsidR="00877DE5" w:rsidRPr="00C30970" w:rsidRDefault="00877DE5" w:rsidP="00067100">
      <w:pPr>
        <w:spacing w:after="0" w:line="240" w:lineRule="auto"/>
        <w:ind w:firstLine="709"/>
        <w:jc w:val="right"/>
        <w:textAlignment w:val="baseline"/>
        <w:rPr>
          <w:rFonts w:ascii="Times New Roman" w:eastAsia="Calibri" w:hAnsi="Times New Roman" w:cs="Times New Roman"/>
          <w:b/>
          <w:bCs/>
          <w:sz w:val="21"/>
          <w:szCs w:val="21"/>
          <w:lang w:val="en-US"/>
        </w:rPr>
      </w:pPr>
      <w:r w:rsidRPr="00C30970">
        <w:rPr>
          <w:rFonts w:ascii="Times New Roman" w:eastAsia="Calibri" w:hAnsi="Times New Roman" w:cs="Times New Roman"/>
          <w:b/>
          <w:bCs/>
          <w:i/>
          <w:iCs/>
          <w:sz w:val="21"/>
          <w:szCs w:val="21"/>
          <w:lang w:val="en-US"/>
        </w:rPr>
        <w:t>Scientific Adviser:</w:t>
      </w:r>
    </w:p>
    <w:p w14:paraId="28FA14A7" w14:textId="77777777" w:rsidR="00877DE5" w:rsidRPr="00C30970" w:rsidRDefault="00877DE5" w:rsidP="00067100">
      <w:pPr>
        <w:spacing w:after="0" w:line="240" w:lineRule="auto"/>
        <w:ind w:firstLine="709"/>
        <w:jc w:val="right"/>
        <w:textAlignment w:val="baseline"/>
        <w:rPr>
          <w:rFonts w:ascii="Times New Roman" w:eastAsia="Calibri" w:hAnsi="Times New Roman" w:cs="Times New Roman"/>
          <w:b/>
          <w:bCs/>
          <w:i/>
          <w:iCs/>
          <w:sz w:val="21"/>
          <w:szCs w:val="21"/>
          <w:lang w:val="en-US"/>
        </w:rPr>
      </w:pPr>
      <w:r w:rsidRPr="00C30970">
        <w:rPr>
          <w:rFonts w:ascii="Times New Roman" w:eastAsia="Calibri" w:hAnsi="Times New Roman" w:cs="Times New Roman"/>
          <w:b/>
          <w:bCs/>
          <w:i/>
          <w:iCs/>
          <w:sz w:val="21"/>
          <w:szCs w:val="21"/>
          <w:lang w:val="en-US"/>
        </w:rPr>
        <w:t>Berlin S.I.,</w:t>
      </w:r>
    </w:p>
    <w:p w14:paraId="1CF716CC"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color w:val="000000"/>
          <w:sz w:val="21"/>
          <w:szCs w:val="21"/>
          <w:lang w:val="en-US"/>
        </w:rPr>
        <w:t>Docent of the «Department of Economics and Finance</w:t>
      </w:r>
      <w:r w:rsidRPr="009B3F70">
        <w:rPr>
          <w:rFonts w:ascii="Times New Roman" w:eastAsia="Calibri" w:hAnsi="Times New Roman" w:cs="Times New Roman"/>
          <w:i/>
          <w:iCs/>
          <w:sz w:val="21"/>
          <w:szCs w:val="21"/>
          <w:lang w:val="en-US"/>
        </w:rPr>
        <w:t>»</w:t>
      </w:r>
    </w:p>
    <w:p w14:paraId="4E325891"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lang w:val="en-US"/>
        </w:rPr>
        <w:t>Financial University under the Government of Russian Federation</w:t>
      </w:r>
    </w:p>
    <w:p w14:paraId="7C7C7EF3"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lang w:val="en-US"/>
        </w:rPr>
        <w:t>Krasnodar, Russia</w:t>
      </w:r>
    </w:p>
    <w:p w14:paraId="4F1F2D08"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i/>
          <w:iCs/>
          <w:sz w:val="21"/>
          <w:szCs w:val="21"/>
        </w:rPr>
        <w:t>е</w:t>
      </w:r>
      <w:r w:rsidRPr="009B3F70">
        <w:rPr>
          <w:rFonts w:ascii="Times New Roman" w:eastAsia="Calibri" w:hAnsi="Times New Roman" w:cs="Times New Roman"/>
          <w:i/>
          <w:iCs/>
          <w:sz w:val="21"/>
          <w:szCs w:val="21"/>
          <w:lang w:val="en-US"/>
        </w:rPr>
        <w:t xml:space="preserve">-mail: </w:t>
      </w:r>
      <w:hyperlink r:id="rId44" w:history="1">
        <w:r w:rsidRPr="009B3F70">
          <w:rPr>
            <w:rStyle w:val="aa"/>
            <w:rFonts w:ascii="Times New Roman" w:eastAsia="Calibri" w:hAnsi="Times New Roman" w:cs="Times New Roman"/>
            <w:i/>
            <w:iCs/>
            <w:sz w:val="21"/>
            <w:szCs w:val="21"/>
            <w:lang w:val="en-US"/>
          </w:rPr>
          <w:t>SIBerlin@fa.ru</w:t>
        </w:r>
      </w:hyperlink>
      <w:r w:rsidRPr="009B3F70">
        <w:rPr>
          <w:rFonts w:ascii="Times New Roman" w:eastAsia="Calibri" w:hAnsi="Times New Roman" w:cs="Times New Roman"/>
          <w:i/>
          <w:iCs/>
          <w:sz w:val="21"/>
          <w:szCs w:val="21"/>
          <w:lang w:val="en-US"/>
        </w:rPr>
        <w:t xml:space="preserve"> </w:t>
      </w:r>
    </w:p>
    <w:p w14:paraId="7A0F7660" w14:textId="77777777" w:rsidR="00877DE5" w:rsidRPr="009B3F70" w:rsidRDefault="00877DE5" w:rsidP="00067100">
      <w:pPr>
        <w:spacing w:after="0" w:line="240" w:lineRule="auto"/>
        <w:ind w:firstLine="709"/>
        <w:jc w:val="right"/>
        <w:textAlignment w:val="baseline"/>
        <w:rPr>
          <w:rFonts w:ascii="Times New Roman" w:eastAsia="Calibri" w:hAnsi="Times New Roman" w:cs="Times New Roman"/>
          <w:i/>
          <w:iCs/>
          <w:sz w:val="21"/>
          <w:szCs w:val="21"/>
          <w:lang w:val="en-US"/>
        </w:rPr>
      </w:pPr>
    </w:p>
    <w:p w14:paraId="3E3D4559" w14:textId="77777777" w:rsidR="00877DE5" w:rsidRPr="009B3F70" w:rsidRDefault="00877DE5" w:rsidP="00067100">
      <w:pPr>
        <w:spacing w:after="0" w:line="240" w:lineRule="auto"/>
        <w:ind w:firstLine="709"/>
        <w:jc w:val="center"/>
        <w:textAlignment w:val="baseline"/>
        <w:rPr>
          <w:rFonts w:ascii="Times New Roman" w:eastAsia="Calibri" w:hAnsi="Times New Roman" w:cs="Times New Roman"/>
          <w:b/>
          <w:sz w:val="21"/>
          <w:szCs w:val="21"/>
          <w:lang w:val="en-US"/>
        </w:rPr>
      </w:pPr>
      <w:r w:rsidRPr="009B3F70">
        <w:rPr>
          <w:rFonts w:ascii="Times New Roman" w:eastAsia="Calibri" w:hAnsi="Times New Roman" w:cs="Times New Roman"/>
          <w:b/>
          <w:sz w:val="21"/>
          <w:szCs w:val="21"/>
          <w:lang w:val="en-US"/>
        </w:rPr>
        <w:t>Modern transformation of the principles of voluntary insurance</w:t>
      </w:r>
    </w:p>
    <w:p w14:paraId="4F9A4691" w14:textId="77777777" w:rsidR="00877DE5" w:rsidRPr="009B3F70" w:rsidRDefault="00877DE5" w:rsidP="00067100">
      <w:pPr>
        <w:spacing w:after="0" w:line="240" w:lineRule="auto"/>
        <w:ind w:firstLine="709"/>
        <w:jc w:val="both"/>
        <w:textAlignment w:val="baseline"/>
        <w:rPr>
          <w:rFonts w:ascii="Times New Roman" w:eastAsia="Calibri" w:hAnsi="Times New Roman" w:cs="Times New Roman"/>
          <w:sz w:val="21"/>
          <w:szCs w:val="21"/>
          <w:lang w:val="en-US"/>
        </w:rPr>
      </w:pPr>
    </w:p>
    <w:p w14:paraId="6C91FD58" w14:textId="77777777" w:rsidR="00877DE5" w:rsidRPr="009B3F70" w:rsidRDefault="00877DE5" w:rsidP="00067100">
      <w:pPr>
        <w:tabs>
          <w:tab w:val="left" w:pos="1620"/>
        </w:tabs>
        <w:spacing w:after="0" w:line="240" w:lineRule="auto"/>
        <w:ind w:firstLine="709"/>
        <w:jc w:val="both"/>
        <w:rPr>
          <w:rFonts w:ascii="Times New Roman" w:eastAsia="Calibri" w:hAnsi="Times New Roman" w:cs="Times New Roman"/>
          <w:bCs/>
          <w:sz w:val="21"/>
          <w:szCs w:val="21"/>
          <w:lang w:val="en-US"/>
        </w:rPr>
      </w:pPr>
      <w:r w:rsidRPr="009B3F70">
        <w:rPr>
          <w:rFonts w:ascii="Times New Roman" w:eastAsia="Calibri" w:hAnsi="Times New Roman" w:cs="Times New Roman"/>
          <w:b/>
          <w:sz w:val="21"/>
          <w:szCs w:val="21"/>
          <w:lang w:val="en-US"/>
        </w:rPr>
        <w:t>Abstract:</w:t>
      </w:r>
      <w:r w:rsidRPr="009B3F70">
        <w:rPr>
          <w:rFonts w:ascii="Times New Roman" w:eastAsia="Calibri" w:hAnsi="Times New Roman" w:cs="Times New Roman"/>
          <w:bCs/>
          <w:sz w:val="21"/>
          <w:szCs w:val="21"/>
          <w:lang w:val="en-US"/>
        </w:rPr>
        <w:t xml:space="preserve">  The modern transformation of the principles of voluntary insurance is being shaped by economic shifts, technological progress and the demands of a modern audience. The introduction of digital solutions such as online platforms and mobile applications increases the availability and reduces the cost of insurance services. The creation of flexible insurance programs, such as on-demand insurance, makes it possible to offer personalized solutions to customers. Insurance companies are also adapting their products to new challenges, such as the growing threat of cybercrime. Special attention is paid to strengthening transparency and mutual trust between insurers and customers, as well as developing products that meet current social needs. This leads to more convenient and efficient solutions for consumers, as well as increased competitiveness of insurance companies.</w:t>
      </w:r>
    </w:p>
    <w:p w14:paraId="37B0FC8D" w14:textId="77777777" w:rsidR="00877DE5" w:rsidRPr="009B3F70" w:rsidRDefault="00877DE5" w:rsidP="00067100">
      <w:pPr>
        <w:spacing w:after="0" w:line="240" w:lineRule="auto"/>
        <w:ind w:firstLine="709"/>
        <w:jc w:val="both"/>
        <w:textAlignment w:val="baseline"/>
        <w:rPr>
          <w:rFonts w:ascii="Times New Roman" w:eastAsia="Calibri" w:hAnsi="Times New Roman" w:cs="Times New Roman"/>
          <w:sz w:val="21"/>
          <w:szCs w:val="21"/>
          <w:lang w:val="en-US"/>
        </w:rPr>
      </w:pPr>
      <w:r w:rsidRPr="009B3F70">
        <w:rPr>
          <w:rFonts w:ascii="Times New Roman" w:eastAsia="Calibri" w:hAnsi="Times New Roman" w:cs="Times New Roman"/>
          <w:b/>
          <w:sz w:val="21"/>
          <w:szCs w:val="21"/>
          <w:lang w:val="en-US"/>
        </w:rPr>
        <w:t>Keywords:</w:t>
      </w:r>
      <w:r w:rsidRPr="009B3F70">
        <w:rPr>
          <w:rFonts w:ascii="Times New Roman" w:eastAsia="Calibri" w:hAnsi="Times New Roman" w:cs="Times New Roman"/>
          <w:sz w:val="21"/>
          <w:szCs w:val="21"/>
          <w:lang w:val="en-US"/>
        </w:rPr>
        <w:t xml:space="preserve"> voluntary insurance, transformation, digital technologies, flexible models, personalization, risk management, transparency, trust, socially </w:t>
      </w:r>
      <w:r>
        <w:rPr>
          <w:rFonts w:ascii="Times New Roman" w:eastAsia="Calibri" w:hAnsi="Times New Roman" w:cs="Times New Roman"/>
          <w:sz w:val="21"/>
          <w:szCs w:val="21"/>
          <w:lang w:val="en-US"/>
        </w:rPr>
        <w:t>oriented products, cyber risks.</w:t>
      </w:r>
    </w:p>
    <w:p w14:paraId="1BD57023"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lang w:val="en-US"/>
        </w:rPr>
      </w:pPr>
    </w:p>
    <w:p w14:paraId="663BAA0E" w14:textId="3166CA9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lastRenderedPageBreak/>
        <w:t xml:space="preserve">Современная трансформация принципов добровольного страхования представляет собой важный процесс, обусловленный изменениями в экономической среде, разработкой технологий и изменением потребительских предпочтений. В последние годы наблюдается значительная эволюция в подходах к страхованию, что связано с необходимостью адаптации к новым вызовам и требованиям рынка [5, </w:t>
      </w:r>
      <w:r w:rsidRPr="009472DE">
        <w:rPr>
          <w:rFonts w:ascii="Times New Roman" w:eastAsia="Calibri" w:hAnsi="Times New Roman" w:cs="Times New Roman"/>
          <w:sz w:val="32"/>
          <w:szCs w:val="32"/>
          <w:lang w:val="en-US"/>
        </w:rPr>
        <w:t>c</w:t>
      </w:r>
      <w:r w:rsidRPr="009472DE">
        <w:rPr>
          <w:rFonts w:ascii="Times New Roman" w:eastAsia="Calibri" w:hAnsi="Times New Roman" w:cs="Times New Roman"/>
          <w:sz w:val="32"/>
          <w:szCs w:val="32"/>
        </w:rPr>
        <w:t>.</w:t>
      </w:r>
      <w:r w:rsidR="00FD5033">
        <w:rPr>
          <w:rFonts w:ascii="Times New Roman" w:eastAsia="Calibri" w:hAnsi="Times New Roman" w:cs="Times New Roman"/>
          <w:sz w:val="32"/>
          <w:szCs w:val="32"/>
        </w:rPr>
        <w:t xml:space="preserve"> </w:t>
      </w:r>
      <w:r w:rsidRPr="009472DE">
        <w:rPr>
          <w:rFonts w:ascii="Times New Roman" w:eastAsia="Calibri" w:hAnsi="Times New Roman" w:cs="Times New Roman"/>
          <w:sz w:val="32"/>
          <w:szCs w:val="32"/>
        </w:rPr>
        <w:t>83].</w:t>
      </w:r>
    </w:p>
    <w:p w14:paraId="19F7D5E5"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Одним из ключевых аспектов трансформации является внедрение цифровых технологий в страховой бизнес. Современные страховые компании активно используют онлайн-платформы и мобильные приложения для упрощения процесса заключения договоров, управления полисами и подачи заявлений на страховые случаи. Это не только повышает уровень удобства для клиентов, но и снижает операционные затраты страховщиков. Аналитика больших данных и искусственный интеллект позволяют более точно оценивать риски, что в свою очередь способствует созданию персонализированных продуктов, которые соответствуют индивидуальным потребностям клиентов.</w:t>
      </w:r>
    </w:p>
    <w:p w14:paraId="53D580DD"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p>
    <w:p w14:paraId="40BD93D9" w14:textId="77777777" w:rsidR="00877DE5" w:rsidRPr="009472DE" w:rsidRDefault="00877DE5" w:rsidP="00067100">
      <w:pPr>
        <w:spacing w:after="0" w:line="240" w:lineRule="auto"/>
        <w:ind w:firstLine="709"/>
        <w:jc w:val="center"/>
        <w:textAlignment w:val="baseline"/>
        <w:rPr>
          <w:rFonts w:ascii="Times New Roman" w:eastAsia="Calibri" w:hAnsi="Times New Roman" w:cs="Times New Roman"/>
          <w:sz w:val="32"/>
          <w:szCs w:val="32"/>
        </w:rPr>
      </w:pPr>
      <w:r w:rsidRPr="009472DE">
        <w:rPr>
          <w:rFonts w:ascii="Times New Roman" w:eastAsia="Calibri" w:hAnsi="Times New Roman" w:cs="Times New Roman"/>
          <w:bCs/>
          <w:noProof/>
          <w:color w:val="000000"/>
          <w:sz w:val="32"/>
          <w:szCs w:val="28"/>
          <w:lang w:eastAsia="ru-RU"/>
        </w:rPr>
        <w:drawing>
          <wp:inline distT="0" distB="0" distL="0" distR="0" wp14:anchorId="26816F96" wp14:editId="4EA28277">
            <wp:extent cx="5170516" cy="2726575"/>
            <wp:effectExtent l="0" t="0" r="11430" b="1714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3DDC572" w14:textId="77777777" w:rsidR="00877DE5" w:rsidRPr="009472DE" w:rsidRDefault="00877DE5" w:rsidP="00067100">
      <w:pPr>
        <w:spacing w:after="0" w:line="240" w:lineRule="auto"/>
        <w:ind w:firstLine="709"/>
        <w:textAlignment w:val="baseline"/>
        <w:rPr>
          <w:rFonts w:ascii="Times New Roman" w:eastAsia="Calibri" w:hAnsi="Times New Roman" w:cs="Times New Roman"/>
          <w:sz w:val="32"/>
          <w:szCs w:val="32"/>
        </w:rPr>
      </w:pPr>
    </w:p>
    <w:p w14:paraId="2DEC898C" w14:textId="77777777" w:rsidR="00877DE5" w:rsidRPr="009472DE" w:rsidRDefault="00877DE5" w:rsidP="00067100">
      <w:pPr>
        <w:spacing w:after="0" w:line="240" w:lineRule="auto"/>
        <w:ind w:firstLine="709"/>
        <w:jc w:val="center"/>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Рисунок 1. Тенденции внедрения цифровых технологий в страховом бизнесе (2022-2024)</w:t>
      </w:r>
    </w:p>
    <w:p w14:paraId="66657F3F" w14:textId="77777777" w:rsidR="00877DE5" w:rsidRPr="009472DE" w:rsidRDefault="00877DE5" w:rsidP="00067100">
      <w:pPr>
        <w:spacing w:after="0" w:line="240" w:lineRule="auto"/>
        <w:ind w:firstLine="709"/>
        <w:jc w:val="center"/>
        <w:textAlignment w:val="baseline"/>
        <w:rPr>
          <w:rFonts w:ascii="Times New Roman" w:eastAsia="Calibri" w:hAnsi="Times New Roman" w:cs="Times New Roman"/>
          <w:bCs/>
          <w:color w:val="000000"/>
          <w:sz w:val="32"/>
          <w:szCs w:val="28"/>
        </w:rPr>
      </w:pPr>
    </w:p>
    <w:p w14:paraId="5ECF875A"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 xml:space="preserve">Процент страховых компаний, использующих искусственный интеллект (ИИ), демонстрирует устойчивый рост: с 65% в 2022 году до прогнозируемых 85% в 202 году. Данная динамика обусловлена осознанием потенциала ИИ в оптимизации бизнес-процессов, </w:t>
      </w:r>
      <w:r w:rsidRPr="009472DE">
        <w:rPr>
          <w:rFonts w:ascii="Times New Roman" w:eastAsia="Calibri" w:hAnsi="Times New Roman" w:cs="Times New Roman"/>
          <w:sz w:val="32"/>
          <w:szCs w:val="32"/>
        </w:rPr>
        <w:lastRenderedPageBreak/>
        <w:t>повышении качества обслуживания клиентов и снижении операционных издержек посредством автоматизации таких функций, как оценка рисков и обработка страховых требований.</w:t>
      </w:r>
    </w:p>
    <w:p w14:paraId="5A885E03"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Одновременно с этим отмечается и значительный рост популярности мобильных приложений среди потребителей страховых услуг: доля клиентов, которые предпочитают использование мобильных приложений для управления полисами, увеличится с 55% в 2022 году до 85% в 2024 году. Это свидетельствует о возрастающей значимости удобства и доступности сервисов для современных потребителей.</w:t>
      </w:r>
    </w:p>
    <w:p w14:paraId="3C8B7C85"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Автоматизация процессов также способствует снижению операционных расходов, которые выросли с 30% в 2022 году до 40% в 2024 году. Это также связано с автоматизацией процессов, которая позволяет страховщикам оптимизировать свои расходы и направлять сэкономленные средства на улучшение услуг и продуктов.</w:t>
      </w:r>
    </w:p>
    <w:p w14:paraId="4E34D594"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Процент клиентов, желающих видеть персонализированные страховые продукты, также показывает положительную динамику: с 80% в 2022 году до 90% в 2024 году. Это подчеркивает растущую потребность в индивидуальном подходе и адаптации страховых предложений под конкретные потребности клиентов, что становится важным конкурентным преимуществом на рынке.</w:t>
      </w:r>
    </w:p>
    <w:p w14:paraId="5BF271BF"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Данные, представленные на диаграмме, свидетельствуют о том, что цифровизация и использование современных технологий становятся ключевыми факторами, определяющими успех страховых компаний в ближайшие годы.</w:t>
      </w:r>
    </w:p>
    <w:p w14:paraId="7F028433"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r w:rsidRPr="009472DE">
        <w:rPr>
          <w:rFonts w:ascii="Times New Roman" w:eastAsia="Calibri" w:hAnsi="Times New Roman" w:cs="Times New Roman"/>
          <w:sz w:val="32"/>
          <w:szCs w:val="32"/>
        </w:rPr>
        <w:t xml:space="preserve">Еще одной важной тенденцией является переход от традиционного подхода страхования к более гибким и адаптивным моделям. Современные потребители становятся все более требовательными и ожидают, что страховые продукты будут соответствовать их образу жизни и изменяющимся обстоятельствам. Страховые компании начинают предлагать «по требованию» страхование, которое позволяет клиентам активировать и деактивировать полисы в зависимости от их текущих нужд. Это особенно актуально для молодежной аудитории, которая предпочитает мобильность и гибкость [3, </w:t>
      </w:r>
      <w:r w:rsidRPr="009472DE">
        <w:rPr>
          <w:rFonts w:ascii="Times New Roman" w:eastAsia="Calibri" w:hAnsi="Times New Roman" w:cs="Times New Roman"/>
          <w:sz w:val="32"/>
          <w:szCs w:val="32"/>
          <w:lang w:val="en-US"/>
        </w:rPr>
        <w:t>c</w:t>
      </w:r>
      <w:r w:rsidRPr="009472DE">
        <w:rPr>
          <w:rFonts w:ascii="Times New Roman" w:eastAsia="Calibri" w:hAnsi="Times New Roman" w:cs="Times New Roman"/>
          <w:sz w:val="32"/>
          <w:szCs w:val="32"/>
        </w:rPr>
        <w:t>.25-26].</w:t>
      </w:r>
    </w:p>
    <w:p w14:paraId="1E96943C"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p>
    <w:p w14:paraId="11C19771"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rPr>
      </w:pPr>
    </w:p>
    <w:p w14:paraId="4ADB9521"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sz w:val="32"/>
          <w:szCs w:val="32"/>
          <w:lang w:val="en-US"/>
        </w:rPr>
      </w:pPr>
      <w:r w:rsidRPr="009472DE">
        <w:rPr>
          <w:rFonts w:ascii="Times New Roman" w:eastAsia="Calibri" w:hAnsi="Times New Roman" w:cs="Times New Roman"/>
          <w:bCs/>
          <w:noProof/>
          <w:color w:val="000000"/>
          <w:sz w:val="32"/>
          <w:szCs w:val="28"/>
          <w:lang w:eastAsia="ru-RU"/>
        </w:rPr>
        <w:lastRenderedPageBreak/>
        <w:drawing>
          <wp:inline distT="0" distB="0" distL="0" distR="0" wp14:anchorId="4B73F92E" wp14:editId="3B2B2D68">
            <wp:extent cx="4896196" cy="254369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4F4ECFA" w14:textId="674E0CAA" w:rsidR="00877DE5" w:rsidRPr="009472DE" w:rsidRDefault="00877DE5" w:rsidP="00067100">
      <w:pPr>
        <w:spacing w:after="0" w:line="240" w:lineRule="auto"/>
        <w:ind w:firstLine="709"/>
        <w:jc w:val="center"/>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Рисунок 2</w:t>
      </w:r>
      <w:r w:rsidR="00FD5033">
        <w:rPr>
          <w:rFonts w:ascii="Times New Roman" w:eastAsia="Calibri" w:hAnsi="Times New Roman" w:cs="Times New Roman"/>
          <w:bCs/>
          <w:color w:val="000000"/>
          <w:sz w:val="32"/>
          <w:szCs w:val="28"/>
        </w:rPr>
        <w:t xml:space="preserve"> -</w:t>
      </w:r>
      <w:r w:rsidRPr="009472DE">
        <w:rPr>
          <w:rFonts w:ascii="Times New Roman" w:eastAsia="Calibri" w:hAnsi="Times New Roman" w:cs="Times New Roman"/>
          <w:bCs/>
          <w:color w:val="000000"/>
          <w:sz w:val="32"/>
          <w:szCs w:val="28"/>
        </w:rPr>
        <w:t xml:space="preserve"> Тенденции перехода к гибким страховым моделям (2022-2024)</w:t>
      </w:r>
    </w:p>
    <w:p w14:paraId="2334126E" w14:textId="77777777" w:rsidR="00877DE5" w:rsidRPr="009472DE" w:rsidRDefault="00877DE5" w:rsidP="00067100">
      <w:pPr>
        <w:spacing w:after="0" w:line="240" w:lineRule="auto"/>
        <w:ind w:firstLine="709"/>
        <w:jc w:val="center"/>
        <w:textAlignment w:val="baseline"/>
        <w:rPr>
          <w:rFonts w:ascii="Times New Roman" w:eastAsia="Calibri" w:hAnsi="Times New Roman" w:cs="Times New Roman"/>
          <w:bCs/>
          <w:color w:val="000000"/>
          <w:sz w:val="32"/>
          <w:szCs w:val="28"/>
        </w:rPr>
      </w:pPr>
    </w:p>
    <w:p w14:paraId="1FB3D71C"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Современный рынок страхования демонстрирует значительные изменения в подходах к продуктам и услугам, что связано с изменениями в потребительских предпочтениях и требованиях. Одной из ключевых тенденций является рост популярности страхования "по требованию". Данный подход позволяет клиентам активировать и деактивировать полисы в зависимости от их текущих нужд, что делает страхование более гибким и адаптивным. Процент страховых компаний, предлагающих такие решения, увеличивается с 20% в 2022 году до 50% в 2024 году. Это свидетельствует о том, что рынок начинает осознавать необходимость в том, чтобы предлагать клиентам более персонализированные и удобные продукты, соответствующие их образу жизни и изменяющимся обстоятельствам.</w:t>
      </w:r>
    </w:p>
    <w:p w14:paraId="51501C25"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Вторым важным аспектом является изменение предпочтений клиентов. Процент потребителей, предпочитающих гибкие страховые полисы, растет с 40% в 2022 году до 70% в 2024 году. Это подчеркивает важность адаптивности страховых продуктов, которые должны соответствовать современным требованиям пользователей. Современные клиенты ожидают, что страховые компании смогут предложить им решения, которые будут легко настраиваться под их уникальные ситуации, а не навязывать стандартные, зачастую неактуальные полисы. Такой подход не только удовлетворяет потребности клиентов, но и формирует более глубокие и доверительные отношения между страховщиками и их клиентами.</w:t>
      </w:r>
    </w:p>
    <w:p w14:paraId="0954A285"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 xml:space="preserve">Уровень удовлетворенности клиентов гибкими страховыми решениями также показывает положительную динамику, </w:t>
      </w:r>
      <w:r w:rsidRPr="009472DE">
        <w:rPr>
          <w:rFonts w:ascii="Times New Roman" w:eastAsia="Calibri" w:hAnsi="Times New Roman" w:cs="Times New Roman"/>
          <w:bCs/>
          <w:color w:val="000000"/>
          <w:sz w:val="32"/>
          <w:szCs w:val="28"/>
        </w:rPr>
        <w:lastRenderedPageBreak/>
        <w:t>увеличиваясь с 60% в 2022 году до 80% в 2024 году. Это указывает на то, что адаптация страховых услуг под потребности клиентов не только приводит к росту числа пользователей гибких полисов, но и способствует повышению их лояльности к компаниям. Удовлетворенные клиенты склонны рекомендовать услуги своим знакомым и друзьям, что является важным фактором для роста и развития бизнеса. Таким образом, компании, которые смогут успешно адаптироваться к новым требованиям рынка и предложить удобные, персонализированные страховые решения, получат значительное конкурентное преимущество и укрепят свои позиции в отрасли.</w:t>
      </w:r>
    </w:p>
    <w:p w14:paraId="0EEB6B16" w14:textId="7EDA4B89"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С точки зрения управления рисками, современные подходы к добровольному страхованию также претерпевают изменения. В условиях глобализации и увеличения числа рисков, от природных катастроф до киберугроз, страховщики вынуждены адаптировать свои стратегии. Разработка новых продуктов, которые учитывают специфические риски, становится важной частью трансформации. Например, появление страхования киберрисков стало ответом на растущую угрозу кибератак, что демонстрирует готовность страхового сектора реагировать на новые вызовы [3, с.</w:t>
      </w:r>
      <w:r w:rsidR="00FD5033">
        <w:rPr>
          <w:rFonts w:ascii="Times New Roman" w:eastAsia="Calibri" w:hAnsi="Times New Roman" w:cs="Times New Roman"/>
          <w:bCs/>
          <w:color w:val="000000"/>
          <w:sz w:val="32"/>
          <w:szCs w:val="28"/>
        </w:rPr>
        <w:t xml:space="preserve"> </w:t>
      </w:r>
      <w:r w:rsidRPr="009472DE">
        <w:rPr>
          <w:rFonts w:ascii="Times New Roman" w:eastAsia="Calibri" w:hAnsi="Times New Roman" w:cs="Times New Roman"/>
          <w:bCs/>
          <w:color w:val="000000"/>
          <w:sz w:val="32"/>
          <w:szCs w:val="28"/>
        </w:rPr>
        <w:t xml:space="preserve">20]. </w:t>
      </w:r>
    </w:p>
    <w:p w14:paraId="7877E941"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Еще одной значимой тенденцией является акцент на прозрачности и доверии. Современные страховщики понимают важность формирования долгосрочных отношений с клиентами, что требует от них большей открытости в вопросах ценообразования и условий страхования. Это приводит к тому, что компании начинают активно использовать методы, направленные на повышение уровня доверия клиентов, такие как программное обеспечение для оценки убытков в режиме реального времени и улучшение качества обслуживания.</w:t>
      </w:r>
    </w:p>
    <w:p w14:paraId="2B3C60A5"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Также стоит отметить, что социализация страхования становится все более актуальной. Страховые компании начинают предлагать социально ориентированные продукты, которые учитывают интересы и потребности определенных групп населения, такие как пенсионеры, семьи с детьми или люди с ограниченными возможностями.</w:t>
      </w:r>
    </w:p>
    <w:p w14:paraId="4654617F"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r w:rsidRPr="009472DE">
        <w:rPr>
          <w:rFonts w:ascii="Times New Roman" w:eastAsia="Calibri" w:hAnsi="Times New Roman" w:cs="Times New Roman"/>
          <w:bCs/>
          <w:color w:val="000000"/>
          <w:sz w:val="32"/>
          <w:szCs w:val="28"/>
        </w:rPr>
        <w:t xml:space="preserve">Таким образом, процесс трансформации принципов добровольного страхования представляет собой сложную задачу, охватывающую широкий спектр областей, включая технологические инновации, адаптацию бизнес-моделей, укрепление доверия потребителей и учет социально-экономических факторов. Данные изменения направлены не только на повышение </w:t>
      </w:r>
      <w:r w:rsidRPr="009472DE">
        <w:rPr>
          <w:rFonts w:ascii="Times New Roman" w:eastAsia="Calibri" w:hAnsi="Times New Roman" w:cs="Times New Roman"/>
          <w:bCs/>
          <w:color w:val="000000"/>
          <w:sz w:val="32"/>
          <w:szCs w:val="28"/>
        </w:rPr>
        <w:lastRenderedPageBreak/>
        <w:t>конкурентоспособности страховых организаций, но и на создание более практичных, доступных и эффективных страховых решений для потребителей, что, в конечном итоге, способствует повышению общего у</w:t>
      </w:r>
      <w:r>
        <w:rPr>
          <w:rFonts w:ascii="Times New Roman" w:eastAsia="Calibri" w:hAnsi="Times New Roman" w:cs="Times New Roman"/>
          <w:bCs/>
          <w:color w:val="000000"/>
          <w:sz w:val="32"/>
          <w:szCs w:val="28"/>
        </w:rPr>
        <w:t>ровня качества страховых услуг.</w:t>
      </w:r>
    </w:p>
    <w:p w14:paraId="2E2D30E3" w14:textId="77777777" w:rsidR="00877DE5" w:rsidRPr="009472DE" w:rsidRDefault="00877DE5" w:rsidP="00067100">
      <w:pPr>
        <w:spacing w:after="0" w:line="240" w:lineRule="auto"/>
        <w:ind w:firstLine="709"/>
        <w:jc w:val="both"/>
        <w:textAlignment w:val="baseline"/>
        <w:rPr>
          <w:rFonts w:ascii="Times New Roman" w:eastAsia="Calibri" w:hAnsi="Times New Roman" w:cs="Times New Roman"/>
          <w:bCs/>
          <w:color w:val="000000"/>
          <w:sz w:val="32"/>
          <w:szCs w:val="28"/>
        </w:rPr>
      </w:pPr>
    </w:p>
    <w:p w14:paraId="16B92F96" w14:textId="77777777" w:rsidR="00877DE5" w:rsidRPr="005E46E0" w:rsidRDefault="00877DE5" w:rsidP="00067100">
      <w:pPr>
        <w:pStyle w:val="af5"/>
        <w:shd w:val="clear" w:color="auto" w:fill="FFFFFF"/>
        <w:spacing w:before="0" w:after="0"/>
        <w:ind w:firstLine="709"/>
        <w:jc w:val="center"/>
        <w:rPr>
          <w:rFonts w:ascii="Times New Roman" w:hAnsi="Times New Roman"/>
          <w:b/>
          <w:color w:val="000000"/>
          <w:sz w:val="21"/>
          <w:szCs w:val="21"/>
        </w:rPr>
      </w:pPr>
      <w:r>
        <w:rPr>
          <w:rFonts w:ascii="Times New Roman" w:hAnsi="Times New Roman"/>
          <w:b/>
          <w:color w:val="000000"/>
          <w:sz w:val="21"/>
          <w:szCs w:val="21"/>
        </w:rPr>
        <w:t>Литература:</w:t>
      </w:r>
    </w:p>
    <w:p w14:paraId="59634D08" w14:textId="77777777" w:rsidR="00877DE5" w:rsidRPr="005E46E0" w:rsidRDefault="00877DE5" w:rsidP="00AD58CD">
      <w:pPr>
        <w:pStyle w:val="afc"/>
        <w:numPr>
          <w:ilvl w:val="0"/>
          <w:numId w:val="83"/>
        </w:numPr>
        <w:tabs>
          <w:tab w:val="left" w:pos="142"/>
          <w:tab w:val="left" w:pos="284"/>
          <w:tab w:val="left" w:pos="426"/>
        </w:tabs>
        <w:ind w:left="0" w:firstLine="0"/>
        <w:rPr>
          <w:rFonts w:eastAsia="Times New Roman" w:cs="Times New Roman"/>
          <w:lang w:val="x-none"/>
        </w:rPr>
      </w:pPr>
      <w:r w:rsidRPr="005E46E0">
        <w:rPr>
          <w:rFonts w:eastAsia="Times New Roman" w:cs="Times New Roman"/>
          <w:lang w:val="x-none"/>
        </w:rPr>
        <w:t>Агеев Н.Р. Страхование: теория, практика и зарубежный опыт. - М.: Юность, 2022.-887 с.</w:t>
      </w:r>
    </w:p>
    <w:p w14:paraId="518F06F2" w14:textId="77777777" w:rsidR="00877DE5" w:rsidRPr="005E46E0" w:rsidRDefault="00877DE5" w:rsidP="00AD58CD">
      <w:pPr>
        <w:pStyle w:val="afc"/>
        <w:numPr>
          <w:ilvl w:val="0"/>
          <w:numId w:val="83"/>
        </w:numPr>
        <w:tabs>
          <w:tab w:val="left" w:pos="142"/>
          <w:tab w:val="left" w:pos="284"/>
          <w:tab w:val="left" w:pos="426"/>
        </w:tabs>
        <w:ind w:left="0" w:firstLine="0"/>
        <w:rPr>
          <w:rFonts w:eastAsia="Times New Roman" w:cs="Times New Roman"/>
          <w:lang w:val="x-none"/>
        </w:rPr>
      </w:pPr>
      <w:r w:rsidRPr="005E46E0">
        <w:rPr>
          <w:rFonts w:eastAsia="Times New Roman" w:cs="Times New Roman"/>
          <w:lang w:val="x-none"/>
        </w:rPr>
        <w:t>Адамчук, Н.Г. Асабина С.Н., и др. Теория и практика страхования. М.: Анкил 2021. - 575 с.</w:t>
      </w:r>
    </w:p>
    <w:p w14:paraId="770A3FFC" w14:textId="77777777" w:rsidR="00877DE5" w:rsidRPr="005E46E0" w:rsidRDefault="00877DE5" w:rsidP="00AD58CD">
      <w:pPr>
        <w:pStyle w:val="afc"/>
        <w:numPr>
          <w:ilvl w:val="0"/>
          <w:numId w:val="83"/>
        </w:numPr>
        <w:tabs>
          <w:tab w:val="left" w:pos="142"/>
          <w:tab w:val="left" w:pos="284"/>
          <w:tab w:val="left" w:pos="426"/>
        </w:tabs>
        <w:ind w:left="0" w:firstLine="0"/>
        <w:rPr>
          <w:rFonts w:eastAsia="Times New Roman" w:cs="Times New Roman"/>
          <w:lang w:val="x-none"/>
        </w:rPr>
      </w:pPr>
      <w:r w:rsidRPr="005E46E0">
        <w:rPr>
          <w:rFonts w:eastAsia="Times New Roman" w:cs="Times New Roman"/>
          <w:lang w:val="x-none"/>
        </w:rPr>
        <w:t>Александров А.А. Страхование. - М.: «Приор», 2024.-632  с.</w:t>
      </w:r>
    </w:p>
    <w:p w14:paraId="5F45B116" w14:textId="77777777" w:rsidR="00877DE5" w:rsidRPr="005E46E0" w:rsidRDefault="00877DE5" w:rsidP="00AD58CD">
      <w:pPr>
        <w:pStyle w:val="afc"/>
        <w:numPr>
          <w:ilvl w:val="0"/>
          <w:numId w:val="83"/>
        </w:numPr>
        <w:tabs>
          <w:tab w:val="left" w:pos="142"/>
          <w:tab w:val="left" w:pos="284"/>
          <w:tab w:val="left" w:pos="426"/>
        </w:tabs>
        <w:ind w:left="0" w:firstLine="0"/>
        <w:rPr>
          <w:rFonts w:eastAsia="Times New Roman" w:cs="Times New Roman"/>
          <w:lang w:val="x-none"/>
        </w:rPr>
      </w:pPr>
      <w:r w:rsidRPr="005E46E0">
        <w:rPr>
          <w:rFonts w:eastAsia="Times New Roman" w:cs="Times New Roman"/>
          <w:lang w:val="x-none"/>
        </w:rPr>
        <w:t>Алиев Б.Х., Махдиеева Ю.М. Страхование М.: ЮНИТИ-ДАНА, 2024 . - 415 с.</w:t>
      </w:r>
    </w:p>
    <w:p w14:paraId="0FA793A7" w14:textId="77777777" w:rsidR="00877DE5" w:rsidRPr="005E46E0" w:rsidRDefault="00877DE5" w:rsidP="00AD58CD">
      <w:pPr>
        <w:pStyle w:val="afc"/>
        <w:numPr>
          <w:ilvl w:val="0"/>
          <w:numId w:val="83"/>
        </w:numPr>
        <w:tabs>
          <w:tab w:val="left" w:pos="142"/>
          <w:tab w:val="left" w:pos="284"/>
          <w:tab w:val="left" w:pos="426"/>
        </w:tabs>
        <w:ind w:left="0" w:firstLine="0"/>
        <w:rPr>
          <w:rFonts w:eastAsia="Times New Roman" w:cs="Times New Roman"/>
          <w:lang w:val="x-none"/>
        </w:rPr>
      </w:pPr>
      <w:r w:rsidRPr="005E46E0">
        <w:rPr>
          <w:rFonts w:eastAsia="Times New Roman" w:cs="Times New Roman"/>
          <w:lang w:val="x-none"/>
        </w:rPr>
        <w:t>Архипов А.П. Страхование: учебник / А.П. Архипов. – М.: КНОРУС, 2021. – 288 с.</w:t>
      </w:r>
    </w:p>
    <w:p w14:paraId="2AD82E68" w14:textId="77777777" w:rsidR="00877DE5" w:rsidRDefault="00877DE5" w:rsidP="00067100">
      <w:pPr>
        <w:spacing w:after="0" w:line="240" w:lineRule="auto"/>
        <w:ind w:left="1418" w:firstLine="709"/>
        <w:rPr>
          <w:rFonts w:ascii="Times New Roman" w:eastAsia="Calibri" w:hAnsi="Times New Roman" w:cs="Times New Roman"/>
          <w:bCs/>
          <w:sz w:val="32"/>
          <w:szCs w:val="32"/>
        </w:rPr>
      </w:pPr>
    </w:p>
    <w:p w14:paraId="42792339" w14:textId="77777777" w:rsidR="00877DE5" w:rsidRPr="00E82C29" w:rsidRDefault="00877DE5" w:rsidP="00C465D4">
      <w:pPr>
        <w:spacing w:after="0" w:line="240" w:lineRule="auto"/>
        <w:rPr>
          <w:rFonts w:ascii="Times New Roman" w:eastAsia="Times New Roman" w:hAnsi="Times New Roman" w:cs="Times New Roman"/>
          <w:b/>
          <w:sz w:val="21"/>
          <w:szCs w:val="21"/>
          <w:lang w:eastAsia="ru-RU"/>
        </w:rPr>
      </w:pPr>
      <w:r w:rsidRPr="00E82C29">
        <w:rPr>
          <w:rFonts w:ascii="Times New Roman" w:eastAsia="Times New Roman" w:hAnsi="Times New Roman" w:cs="Times New Roman"/>
          <w:b/>
          <w:sz w:val="21"/>
          <w:szCs w:val="21"/>
          <w:lang w:eastAsia="ru-RU"/>
        </w:rPr>
        <w:t>УДК</w:t>
      </w:r>
      <w:r>
        <w:rPr>
          <w:rFonts w:ascii="Times New Roman" w:eastAsia="Times New Roman" w:hAnsi="Times New Roman" w:cs="Times New Roman"/>
          <w:b/>
          <w:sz w:val="21"/>
          <w:szCs w:val="21"/>
          <w:lang w:eastAsia="ru-RU"/>
        </w:rPr>
        <w:t xml:space="preserve"> 368</w:t>
      </w:r>
    </w:p>
    <w:p w14:paraId="3C491A93" w14:textId="77777777" w:rsidR="00877DE5" w:rsidRPr="003B55F5" w:rsidRDefault="00877DE5" w:rsidP="00067100">
      <w:pPr>
        <w:spacing w:after="0" w:line="240" w:lineRule="auto"/>
        <w:ind w:left="1418" w:firstLine="709"/>
        <w:jc w:val="right"/>
        <w:rPr>
          <w:rFonts w:ascii="Times New Roman" w:eastAsia="Times New Roman" w:hAnsi="Times New Roman" w:cs="Times New Roman"/>
          <w:b/>
          <w:i/>
          <w:sz w:val="21"/>
          <w:szCs w:val="21"/>
          <w:lang w:eastAsia="ru-RU"/>
        </w:rPr>
      </w:pPr>
      <w:r w:rsidRPr="003B55F5">
        <w:rPr>
          <w:rFonts w:ascii="Times New Roman" w:eastAsia="Times New Roman" w:hAnsi="Times New Roman" w:cs="Times New Roman"/>
          <w:b/>
          <w:i/>
          <w:sz w:val="21"/>
          <w:szCs w:val="21"/>
          <w:lang w:eastAsia="ru-RU"/>
        </w:rPr>
        <w:t>Веретенникова Е.И.</w:t>
      </w:r>
    </w:p>
    <w:p w14:paraId="5B8D3D36" w14:textId="77777777" w:rsidR="00877DE5" w:rsidRPr="009472DE" w:rsidRDefault="00877DE5" w:rsidP="00067100">
      <w:pPr>
        <w:spacing w:after="0" w:line="240" w:lineRule="auto"/>
        <w:ind w:left="1418" w:firstLine="709"/>
        <w:jc w:val="right"/>
        <w:rPr>
          <w:rFonts w:ascii="Times New Roman" w:eastAsia="Times New Roman" w:hAnsi="Times New Roman" w:cs="Times New Roman"/>
          <w:i/>
          <w:iCs/>
          <w:sz w:val="21"/>
          <w:szCs w:val="21"/>
          <w:lang w:eastAsia="ru-RU"/>
        </w:rPr>
      </w:pPr>
      <w:r w:rsidRPr="009472DE">
        <w:rPr>
          <w:rFonts w:ascii="Times New Roman" w:eastAsia="Times New Roman" w:hAnsi="Times New Roman" w:cs="Times New Roman"/>
          <w:i/>
          <w:iCs/>
          <w:sz w:val="21"/>
          <w:szCs w:val="21"/>
          <w:lang w:eastAsia="ru-RU"/>
        </w:rPr>
        <w:t xml:space="preserve">студент </w:t>
      </w:r>
      <w:r w:rsidRPr="009472DE">
        <w:rPr>
          <w:rFonts w:ascii="Times New Roman" w:eastAsia="Times New Roman" w:hAnsi="Times New Roman" w:cs="Times New Roman"/>
          <w:i/>
          <w:iCs/>
          <w:color w:val="000000" w:themeColor="text1"/>
          <w:sz w:val="21"/>
          <w:szCs w:val="21"/>
          <w:lang w:eastAsia="ru-RU"/>
        </w:rPr>
        <w:t>3</w:t>
      </w:r>
      <w:r w:rsidRPr="009472DE">
        <w:rPr>
          <w:rFonts w:ascii="Times New Roman" w:eastAsia="Times New Roman" w:hAnsi="Times New Roman" w:cs="Times New Roman"/>
          <w:i/>
          <w:iCs/>
          <w:sz w:val="21"/>
          <w:szCs w:val="21"/>
          <w:lang w:eastAsia="ru-RU"/>
        </w:rPr>
        <w:t xml:space="preserve"> курса</w:t>
      </w:r>
    </w:p>
    <w:p w14:paraId="54722937" w14:textId="77777777" w:rsidR="00877DE5" w:rsidRPr="009472DE" w:rsidRDefault="00877DE5" w:rsidP="00067100">
      <w:pPr>
        <w:spacing w:after="0" w:line="240" w:lineRule="auto"/>
        <w:ind w:left="1418" w:firstLine="709"/>
        <w:jc w:val="right"/>
        <w:rPr>
          <w:rFonts w:ascii="Times New Roman" w:eastAsia="Times New Roman" w:hAnsi="Times New Roman" w:cs="Times New Roman"/>
          <w:i/>
          <w:sz w:val="21"/>
          <w:szCs w:val="21"/>
          <w:lang w:eastAsia="ru-RU"/>
        </w:rPr>
      </w:pPr>
      <w:r w:rsidRPr="009472DE">
        <w:rPr>
          <w:rFonts w:ascii="Times New Roman" w:eastAsia="Times New Roman" w:hAnsi="Times New Roman" w:cs="Times New Roman"/>
          <w:i/>
          <w:sz w:val="21"/>
          <w:szCs w:val="21"/>
          <w:lang w:eastAsia="ru-RU"/>
        </w:rPr>
        <w:t>Финансовый университет при Правительстве Российской Федерации</w:t>
      </w:r>
    </w:p>
    <w:p w14:paraId="3AA412B3" w14:textId="77777777" w:rsidR="00877DE5" w:rsidRPr="009472DE" w:rsidRDefault="00877DE5" w:rsidP="00067100">
      <w:pPr>
        <w:spacing w:after="0" w:line="240" w:lineRule="auto"/>
        <w:ind w:left="1418" w:firstLine="709"/>
        <w:jc w:val="right"/>
        <w:rPr>
          <w:rFonts w:ascii="Times New Roman" w:eastAsia="Times New Roman" w:hAnsi="Times New Roman" w:cs="Times New Roman"/>
          <w:i/>
          <w:sz w:val="21"/>
          <w:szCs w:val="21"/>
          <w:lang w:eastAsia="ru-RU"/>
        </w:rPr>
      </w:pPr>
      <w:r w:rsidRPr="009472DE">
        <w:rPr>
          <w:rFonts w:ascii="Times New Roman" w:eastAsia="Times New Roman" w:hAnsi="Times New Roman" w:cs="Times New Roman"/>
          <w:i/>
          <w:sz w:val="21"/>
          <w:szCs w:val="21"/>
          <w:lang w:eastAsia="ru-RU"/>
        </w:rPr>
        <w:t xml:space="preserve"> г. Краснодар, Россия</w:t>
      </w:r>
    </w:p>
    <w:p w14:paraId="436E3033" w14:textId="77777777" w:rsidR="00877DE5" w:rsidRPr="009472DE" w:rsidRDefault="00877DE5" w:rsidP="00067100">
      <w:pPr>
        <w:spacing w:after="0" w:line="240" w:lineRule="auto"/>
        <w:ind w:firstLine="709"/>
        <w:jc w:val="right"/>
        <w:rPr>
          <w:rFonts w:ascii="Times New Roman" w:hAnsi="Times New Roman" w:cs="Times New Roman"/>
          <w:i/>
          <w:iCs/>
          <w:color w:val="000000" w:themeColor="text1"/>
          <w:sz w:val="21"/>
          <w:szCs w:val="21"/>
        </w:rPr>
      </w:pPr>
      <w:r w:rsidRPr="009472DE">
        <w:rPr>
          <w:rFonts w:ascii="Times New Roman" w:hAnsi="Times New Roman" w:cs="Times New Roman"/>
          <w:i/>
          <w:iCs/>
          <w:color w:val="000000" w:themeColor="text1"/>
          <w:sz w:val="21"/>
          <w:szCs w:val="21"/>
        </w:rPr>
        <w:t>е-</w:t>
      </w:r>
      <w:r w:rsidRPr="009472DE">
        <w:rPr>
          <w:rFonts w:ascii="Times New Roman" w:hAnsi="Times New Roman" w:cs="Times New Roman"/>
          <w:i/>
          <w:iCs/>
          <w:color w:val="000000" w:themeColor="text1"/>
          <w:sz w:val="21"/>
          <w:szCs w:val="21"/>
          <w:lang w:val="en-US"/>
        </w:rPr>
        <w:t>mail</w:t>
      </w:r>
      <w:r w:rsidRPr="009472DE">
        <w:rPr>
          <w:rFonts w:ascii="Times New Roman" w:hAnsi="Times New Roman" w:cs="Times New Roman"/>
          <w:i/>
          <w:iCs/>
          <w:color w:val="000000" w:themeColor="text1"/>
          <w:sz w:val="21"/>
          <w:szCs w:val="21"/>
        </w:rPr>
        <w:t>: vli99668@gmail.com</w:t>
      </w:r>
    </w:p>
    <w:p w14:paraId="753BDFD4"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p>
    <w:p w14:paraId="1506B6EA" w14:textId="77777777" w:rsidR="00877DE5" w:rsidRPr="003B55F5" w:rsidRDefault="00877DE5" w:rsidP="00067100">
      <w:pPr>
        <w:spacing w:after="0" w:line="240" w:lineRule="auto"/>
        <w:ind w:firstLine="709"/>
        <w:jc w:val="right"/>
        <w:rPr>
          <w:rFonts w:ascii="Times New Roman" w:hAnsi="Times New Roman" w:cs="Times New Roman"/>
          <w:b/>
          <w:i/>
          <w:sz w:val="21"/>
          <w:szCs w:val="21"/>
        </w:rPr>
      </w:pPr>
      <w:r w:rsidRPr="003B55F5">
        <w:rPr>
          <w:rFonts w:ascii="Times New Roman" w:hAnsi="Times New Roman" w:cs="Times New Roman"/>
          <w:b/>
          <w:i/>
          <w:iCs/>
          <w:sz w:val="21"/>
          <w:szCs w:val="21"/>
        </w:rPr>
        <w:t>Научный руководитель:</w:t>
      </w:r>
    </w:p>
    <w:p w14:paraId="3DA3DBE4" w14:textId="77777777" w:rsidR="00877DE5" w:rsidRPr="003B55F5" w:rsidRDefault="00877DE5" w:rsidP="00067100">
      <w:pPr>
        <w:pStyle w:val="a8"/>
        <w:spacing w:after="0" w:line="240" w:lineRule="auto"/>
        <w:ind w:firstLine="709"/>
        <w:jc w:val="right"/>
        <w:rPr>
          <w:rFonts w:ascii="Times New Roman" w:hAnsi="Times New Roman" w:cs="Times New Roman"/>
          <w:b/>
          <w:i/>
          <w:iCs/>
          <w:color w:val="000000" w:themeColor="text1"/>
        </w:rPr>
      </w:pPr>
      <w:r w:rsidRPr="003B55F5">
        <w:rPr>
          <w:rFonts w:ascii="Times New Roman" w:hAnsi="Times New Roman" w:cs="Times New Roman"/>
          <w:b/>
          <w:i/>
          <w:iCs/>
          <w:color w:val="000000" w:themeColor="text1"/>
          <w:sz w:val="21"/>
          <w:szCs w:val="21"/>
        </w:rPr>
        <w:t>Берлин С. И.,</w:t>
      </w:r>
    </w:p>
    <w:p w14:paraId="52378C19" w14:textId="77777777" w:rsidR="00877DE5" w:rsidRPr="009472DE" w:rsidRDefault="00877DE5" w:rsidP="00067100">
      <w:pPr>
        <w:spacing w:after="0" w:line="240" w:lineRule="auto"/>
        <w:ind w:firstLine="709"/>
        <w:jc w:val="right"/>
        <w:rPr>
          <w:rFonts w:ascii="Times New Roman" w:hAnsi="Times New Roman" w:cs="Times New Roman"/>
          <w:i/>
          <w:iCs/>
          <w:color w:val="000000" w:themeColor="text1"/>
          <w:sz w:val="21"/>
          <w:szCs w:val="21"/>
        </w:rPr>
      </w:pPr>
      <w:r w:rsidRPr="009472DE">
        <w:rPr>
          <w:rFonts w:ascii="Times New Roman" w:hAnsi="Times New Roman" w:cs="Times New Roman"/>
          <w:i/>
          <w:iCs/>
          <w:color w:val="000000" w:themeColor="text1"/>
          <w:sz w:val="21"/>
          <w:szCs w:val="21"/>
        </w:rPr>
        <w:t>профессор, д. э. н.,</w:t>
      </w:r>
    </w:p>
    <w:p w14:paraId="380685DB" w14:textId="77777777" w:rsidR="00877DE5" w:rsidRPr="009472DE" w:rsidRDefault="00877DE5" w:rsidP="00067100">
      <w:pPr>
        <w:pStyle w:val="af5"/>
        <w:spacing w:before="0" w:after="0"/>
        <w:ind w:firstLine="709"/>
        <w:jc w:val="right"/>
        <w:rPr>
          <w:rFonts w:ascii="Times New Roman" w:hAnsi="Times New Roman"/>
          <w:i/>
          <w:sz w:val="21"/>
          <w:szCs w:val="21"/>
        </w:rPr>
      </w:pPr>
      <w:r w:rsidRPr="009472DE">
        <w:rPr>
          <w:rFonts w:ascii="Times New Roman" w:hAnsi="Times New Roman"/>
          <w:i/>
          <w:sz w:val="21"/>
          <w:szCs w:val="21"/>
          <w:lang w:eastAsia="ru-RU"/>
        </w:rPr>
        <w:t>Финансовый университет при Правительстве Российской Федерации</w:t>
      </w:r>
    </w:p>
    <w:p w14:paraId="6D49F62D" w14:textId="77777777" w:rsidR="00877DE5" w:rsidRPr="009472DE" w:rsidRDefault="00877DE5" w:rsidP="00067100">
      <w:pPr>
        <w:pStyle w:val="af5"/>
        <w:spacing w:before="0" w:after="0"/>
        <w:ind w:firstLine="709"/>
        <w:jc w:val="right"/>
        <w:rPr>
          <w:rFonts w:ascii="Times New Roman" w:hAnsi="Times New Roman"/>
          <w:i/>
          <w:sz w:val="21"/>
          <w:szCs w:val="21"/>
        </w:rPr>
      </w:pPr>
      <w:r w:rsidRPr="009472DE">
        <w:rPr>
          <w:rFonts w:ascii="Times New Roman" w:hAnsi="Times New Roman"/>
          <w:i/>
          <w:iCs/>
          <w:sz w:val="21"/>
          <w:szCs w:val="21"/>
        </w:rPr>
        <w:t>г. Краснодар, Россия</w:t>
      </w:r>
    </w:p>
    <w:p w14:paraId="49761176" w14:textId="77777777" w:rsidR="00877DE5" w:rsidRPr="009472DE" w:rsidRDefault="00877DE5" w:rsidP="00067100">
      <w:pPr>
        <w:pStyle w:val="af5"/>
        <w:spacing w:before="0" w:after="0"/>
        <w:ind w:firstLine="709"/>
        <w:jc w:val="right"/>
        <w:rPr>
          <w:rFonts w:ascii="Times New Roman" w:hAnsi="Times New Roman"/>
          <w:i/>
          <w:iCs/>
        </w:rPr>
      </w:pPr>
      <w:r w:rsidRPr="009472DE">
        <w:rPr>
          <w:rFonts w:ascii="Times New Roman" w:hAnsi="Times New Roman"/>
          <w:i/>
          <w:iCs/>
          <w:sz w:val="21"/>
          <w:szCs w:val="21"/>
        </w:rPr>
        <w:t>е-</w:t>
      </w:r>
      <w:r w:rsidRPr="009472DE">
        <w:rPr>
          <w:rFonts w:ascii="Times New Roman" w:hAnsi="Times New Roman"/>
          <w:i/>
          <w:iCs/>
          <w:sz w:val="21"/>
          <w:szCs w:val="21"/>
          <w:lang w:val="en-US"/>
        </w:rPr>
        <w:t>mail</w:t>
      </w:r>
      <w:r>
        <w:rPr>
          <w:rFonts w:ascii="Times New Roman" w:hAnsi="Times New Roman"/>
          <w:i/>
          <w:iCs/>
          <w:sz w:val="21"/>
          <w:szCs w:val="21"/>
        </w:rPr>
        <w:t xml:space="preserve">: </w:t>
      </w:r>
      <w:r w:rsidRPr="009472DE">
        <w:rPr>
          <w:rFonts w:ascii="Times New Roman" w:hAnsi="Times New Roman"/>
          <w:i/>
          <w:iCs/>
          <w:sz w:val="21"/>
          <w:szCs w:val="21"/>
        </w:rPr>
        <w:t>SIBerlin@fa.ru</w:t>
      </w:r>
    </w:p>
    <w:p w14:paraId="5188B21C" w14:textId="77777777" w:rsidR="00877DE5" w:rsidRPr="009472DE" w:rsidRDefault="00877DE5" w:rsidP="00067100">
      <w:pPr>
        <w:spacing w:after="0" w:line="240" w:lineRule="auto"/>
        <w:ind w:firstLine="709"/>
        <w:jc w:val="center"/>
        <w:rPr>
          <w:rFonts w:ascii="Times New Roman" w:hAnsi="Times New Roman" w:cs="Times New Roman"/>
          <w:b/>
          <w:sz w:val="21"/>
          <w:szCs w:val="21"/>
        </w:rPr>
      </w:pPr>
    </w:p>
    <w:p w14:paraId="0425B8A3" w14:textId="77777777" w:rsidR="00877DE5" w:rsidRPr="009472DE" w:rsidRDefault="00877DE5" w:rsidP="00067100">
      <w:pPr>
        <w:spacing w:after="0" w:line="240" w:lineRule="auto"/>
        <w:ind w:firstLine="709"/>
        <w:jc w:val="center"/>
        <w:rPr>
          <w:rFonts w:ascii="Times New Roman" w:hAnsi="Times New Roman" w:cs="Times New Roman"/>
          <w:b/>
          <w:sz w:val="21"/>
          <w:szCs w:val="21"/>
        </w:rPr>
      </w:pPr>
      <w:r w:rsidRPr="009472DE">
        <w:rPr>
          <w:rFonts w:ascii="Times New Roman" w:hAnsi="Times New Roman" w:cs="Times New Roman"/>
          <w:b/>
          <w:sz w:val="21"/>
          <w:szCs w:val="21"/>
        </w:rPr>
        <w:t>Личное страхование, его формы и особенности. Классификация договоров страхования жизни</w:t>
      </w:r>
    </w:p>
    <w:p w14:paraId="3628FE3C" w14:textId="77777777" w:rsidR="00877DE5" w:rsidRPr="009472DE" w:rsidRDefault="00877DE5" w:rsidP="00067100">
      <w:pPr>
        <w:spacing w:after="0" w:line="240" w:lineRule="auto"/>
        <w:ind w:firstLine="709"/>
        <w:jc w:val="both"/>
        <w:rPr>
          <w:rFonts w:ascii="Times New Roman" w:eastAsia="Times New Roman" w:hAnsi="Times New Roman" w:cs="Times New Roman"/>
          <w:b/>
          <w:color w:val="000000"/>
          <w:sz w:val="21"/>
          <w:szCs w:val="21"/>
          <w:lang w:eastAsia="ru-RU"/>
        </w:rPr>
      </w:pPr>
    </w:p>
    <w:p w14:paraId="5DAE2667" w14:textId="77777777" w:rsidR="00877DE5" w:rsidRPr="009472DE" w:rsidRDefault="00877DE5" w:rsidP="00067100">
      <w:pPr>
        <w:spacing w:after="0" w:line="240" w:lineRule="auto"/>
        <w:ind w:firstLine="709"/>
        <w:jc w:val="both"/>
        <w:rPr>
          <w:rFonts w:ascii="Times New Roman" w:hAnsi="Times New Roman" w:cs="Times New Roman"/>
          <w:spacing w:val="-1"/>
          <w:sz w:val="21"/>
          <w:szCs w:val="21"/>
        </w:rPr>
      </w:pPr>
      <w:r w:rsidRPr="009472DE">
        <w:rPr>
          <w:rFonts w:ascii="Times New Roman" w:eastAsia="Times New Roman" w:hAnsi="Times New Roman" w:cs="Times New Roman"/>
          <w:b/>
          <w:color w:val="000000"/>
          <w:sz w:val="21"/>
          <w:szCs w:val="21"/>
          <w:lang w:eastAsia="ru-RU"/>
        </w:rPr>
        <w:t xml:space="preserve">Аннотация. </w:t>
      </w:r>
      <w:r w:rsidRPr="009472DE">
        <w:rPr>
          <w:rFonts w:ascii="Times New Roman" w:hAnsi="Times New Roman" w:cs="Times New Roman"/>
          <w:spacing w:val="-1"/>
          <w:sz w:val="21"/>
          <w:szCs w:val="21"/>
        </w:rPr>
        <w:t>В</w:t>
      </w:r>
      <w:r w:rsidRPr="009472DE">
        <w:rPr>
          <w:rFonts w:ascii="Times New Roman" w:hAnsi="Times New Roman" w:cs="Times New Roman"/>
          <w:spacing w:val="-10"/>
          <w:sz w:val="21"/>
          <w:szCs w:val="21"/>
        </w:rPr>
        <w:t xml:space="preserve"> настоящей </w:t>
      </w:r>
      <w:r w:rsidRPr="009472DE">
        <w:rPr>
          <w:rFonts w:ascii="Times New Roman" w:hAnsi="Times New Roman" w:cs="Times New Roman"/>
          <w:spacing w:val="-1"/>
          <w:sz w:val="21"/>
          <w:szCs w:val="21"/>
        </w:rPr>
        <w:t>статье</w:t>
      </w:r>
      <w:r w:rsidRPr="009472DE">
        <w:rPr>
          <w:rFonts w:ascii="Times New Roman" w:hAnsi="Times New Roman" w:cs="Times New Roman"/>
          <w:spacing w:val="-14"/>
          <w:sz w:val="21"/>
          <w:szCs w:val="21"/>
        </w:rPr>
        <w:t xml:space="preserve"> </w:t>
      </w:r>
      <w:r w:rsidRPr="009472DE">
        <w:rPr>
          <w:rFonts w:ascii="Times New Roman" w:hAnsi="Times New Roman" w:cs="Times New Roman"/>
          <w:spacing w:val="-1"/>
          <w:sz w:val="21"/>
          <w:szCs w:val="21"/>
        </w:rPr>
        <w:t xml:space="preserve">рассмотрено личное страхование, его формы и особенности, а также классификация договоров страхования жизни. </w:t>
      </w:r>
      <w:r w:rsidRPr="009472DE">
        <w:rPr>
          <w:rFonts w:ascii="Times New Roman" w:hAnsi="Times New Roman" w:cs="Times New Roman"/>
          <w:sz w:val="21"/>
          <w:szCs w:val="21"/>
        </w:rPr>
        <w:t>Рассматриваются такие основные формы личного страхования как, страхование жизни, медицинское страхование, страхование от несчастных случаев. В статье представлена подробная классификация договоров страхования жизни по различным критериям: целям страхования, срокам действия, количеству застрахованных лиц, видам рисков и другим параметрам.</w:t>
      </w:r>
    </w:p>
    <w:p w14:paraId="7D0418C1" w14:textId="77777777" w:rsidR="00877DE5" w:rsidRPr="009472DE" w:rsidRDefault="00877DE5" w:rsidP="00067100">
      <w:pPr>
        <w:spacing w:after="0" w:line="240" w:lineRule="auto"/>
        <w:ind w:firstLine="709"/>
        <w:jc w:val="both"/>
        <w:rPr>
          <w:rFonts w:ascii="Times New Roman" w:eastAsia="Times New Roman" w:hAnsi="Times New Roman" w:cs="Times New Roman"/>
          <w:color w:val="000000"/>
          <w:sz w:val="21"/>
          <w:szCs w:val="21"/>
          <w:lang w:eastAsia="ru-RU"/>
        </w:rPr>
      </w:pPr>
      <w:r w:rsidRPr="009472DE">
        <w:rPr>
          <w:rFonts w:ascii="Times New Roman" w:eastAsia="Times New Roman" w:hAnsi="Times New Roman" w:cs="Times New Roman"/>
          <w:b/>
          <w:color w:val="000000"/>
          <w:sz w:val="21"/>
          <w:szCs w:val="21"/>
          <w:lang w:eastAsia="ru-RU"/>
        </w:rPr>
        <w:t>Ключевые слова</w:t>
      </w:r>
      <w:r w:rsidRPr="009472DE">
        <w:rPr>
          <w:rFonts w:ascii="Times New Roman" w:eastAsia="Times New Roman" w:hAnsi="Times New Roman" w:cs="Times New Roman"/>
          <w:color w:val="000000"/>
          <w:sz w:val="21"/>
          <w:szCs w:val="21"/>
          <w:lang w:eastAsia="ru-RU"/>
        </w:rPr>
        <w:t>: страхование, личное страхование, классификация договоров страхования, формы страхования, страхование жизни.</w:t>
      </w:r>
    </w:p>
    <w:p w14:paraId="21368E10" w14:textId="77777777" w:rsidR="00877DE5" w:rsidRPr="009472DE" w:rsidRDefault="00877DE5" w:rsidP="00067100">
      <w:pPr>
        <w:spacing w:after="0" w:line="240" w:lineRule="auto"/>
        <w:ind w:firstLine="709"/>
        <w:jc w:val="both"/>
        <w:rPr>
          <w:rFonts w:ascii="Times New Roman" w:eastAsia="Times New Roman" w:hAnsi="Times New Roman" w:cs="Times New Roman"/>
          <w:color w:val="000000"/>
          <w:sz w:val="21"/>
          <w:szCs w:val="21"/>
          <w:lang w:eastAsia="ru-RU"/>
        </w:rPr>
      </w:pPr>
    </w:p>
    <w:p w14:paraId="44F4CFA8" w14:textId="77777777" w:rsidR="00877DE5" w:rsidRPr="003B55F5" w:rsidRDefault="00877DE5" w:rsidP="00067100">
      <w:pPr>
        <w:spacing w:after="0" w:line="240" w:lineRule="auto"/>
        <w:ind w:firstLine="709"/>
        <w:jc w:val="right"/>
        <w:rPr>
          <w:rFonts w:ascii="Times New Roman" w:hAnsi="Times New Roman" w:cs="Times New Roman"/>
          <w:b/>
          <w:i/>
          <w:sz w:val="21"/>
          <w:szCs w:val="21"/>
          <w:lang w:val="en-US"/>
        </w:rPr>
      </w:pPr>
      <w:r w:rsidRPr="003B55F5">
        <w:rPr>
          <w:rFonts w:ascii="Times New Roman" w:hAnsi="Times New Roman" w:cs="Times New Roman"/>
          <w:b/>
          <w:i/>
          <w:sz w:val="21"/>
          <w:szCs w:val="21"/>
          <w:lang w:val="en-US"/>
        </w:rPr>
        <w:t>Veretennikova E.I.</w:t>
      </w:r>
    </w:p>
    <w:p w14:paraId="7ECF43AF" w14:textId="77777777" w:rsidR="00877DE5" w:rsidRPr="009472DE" w:rsidRDefault="00877DE5" w:rsidP="00067100">
      <w:pPr>
        <w:spacing w:after="0" w:line="240" w:lineRule="auto"/>
        <w:ind w:firstLine="709"/>
        <w:jc w:val="right"/>
        <w:rPr>
          <w:rFonts w:ascii="Times New Roman" w:hAnsi="Times New Roman" w:cs="Times New Roman"/>
          <w:i/>
          <w:iCs/>
          <w:sz w:val="21"/>
          <w:szCs w:val="21"/>
          <w:lang w:val="en-US"/>
        </w:rPr>
      </w:pPr>
      <w:r w:rsidRPr="009472DE">
        <w:rPr>
          <w:rFonts w:ascii="Times New Roman" w:hAnsi="Times New Roman" w:cs="Times New Roman"/>
          <w:i/>
          <w:iCs/>
          <w:color w:val="000000" w:themeColor="text1"/>
          <w:sz w:val="21"/>
          <w:szCs w:val="21"/>
          <w:lang w:val="en-US"/>
        </w:rPr>
        <w:t>3</w:t>
      </w:r>
      <w:r w:rsidRPr="009472DE">
        <w:rPr>
          <w:rFonts w:ascii="Times New Roman" w:hAnsi="Times New Roman" w:cs="Times New Roman"/>
          <w:i/>
          <w:iCs/>
          <w:sz w:val="21"/>
          <w:szCs w:val="21"/>
          <w:lang w:val="en-US"/>
        </w:rPr>
        <w:t>rd year student</w:t>
      </w:r>
    </w:p>
    <w:p w14:paraId="706480BD"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Financial University under the Government of the Russian Federation</w:t>
      </w:r>
    </w:p>
    <w:p w14:paraId="5AABCFB7"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iCs/>
          <w:sz w:val="21"/>
          <w:szCs w:val="21"/>
          <w:lang w:val="en-US"/>
        </w:rPr>
        <w:t>Krasnodar, Russia</w:t>
      </w:r>
    </w:p>
    <w:p w14:paraId="0C4C7F78" w14:textId="77777777" w:rsidR="00877DE5" w:rsidRDefault="00877DE5" w:rsidP="00067100">
      <w:pPr>
        <w:spacing w:after="0" w:line="240" w:lineRule="auto"/>
        <w:ind w:firstLine="709"/>
        <w:jc w:val="right"/>
        <w:rPr>
          <w:rFonts w:ascii="Times New Roman" w:hAnsi="Times New Roman" w:cs="Times New Roman"/>
          <w:i/>
          <w:iCs/>
          <w:color w:val="000000" w:themeColor="text1"/>
          <w:sz w:val="21"/>
          <w:szCs w:val="21"/>
          <w:lang w:val="en-US"/>
        </w:rPr>
      </w:pPr>
      <w:r w:rsidRPr="009472DE">
        <w:rPr>
          <w:rFonts w:ascii="Times New Roman" w:hAnsi="Times New Roman" w:cs="Times New Roman"/>
          <w:i/>
          <w:iCs/>
          <w:color w:val="000000" w:themeColor="text1"/>
          <w:sz w:val="21"/>
          <w:szCs w:val="21"/>
        </w:rPr>
        <w:t>е</w:t>
      </w:r>
      <w:r w:rsidRPr="009472DE">
        <w:rPr>
          <w:rFonts w:ascii="Times New Roman" w:hAnsi="Times New Roman" w:cs="Times New Roman"/>
          <w:i/>
          <w:iCs/>
          <w:color w:val="000000" w:themeColor="text1"/>
          <w:sz w:val="21"/>
          <w:szCs w:val="21"/>
          <w:lang w:val="en-US"/>
        </w:rPr>
        <w:t xml:space="preserve">-mail: </w:t>
      </w:r>
      <w:hyperlink r:id="rId47" w:history="1">
        <w:r w:rsidRPr="006459B2">
          <w:rPr>
            <w:rStyle w:val="aa"/>
            <w:rFonts w:ascii="Times New Roman" w:hAnsi="Times New Roman" w:cs="Times New Roman"/>
            <w:i/>
            <w:iCs/>
            <w:sz w:val="21"/>
            <w:szCs w:val="21"/>
            <w:lang w:val="en-US"/>
          </w:rPr>
          <w:t>vli99668@gmail.com</w:t>
        </w:r>
      </w:hyperlink>
    </w:p>
    <w:p w14:paraId="6DC2C5DB" w14:textId="77777777" w:rsidR="00877DE5" w:rsidRPr="009472DE" w:rsidRDefault="00877DE5" w:rsidP="00067100">
      <w:pPr>
        <w:spacing w:after="0" w:line="240" w:lineRule="auto"/>
        <w:ind w:firstLine="709"/>
        <w:jc w:val="right"/>
        <w:rPr>
          <w:rFonts w:ascii="Times New Roman" w:hAnsi="Times New Roman" w:cs="Times New Roman"/>
          <w:i/>
          <w:iCs/>
          <w:color w:val="000000" w:themeColor="text1"/>
          <w:sz w:val="21"/>
          <w:szCs w:val="21"/>
          <w:lang w:val="en-US"/>
        </w:rPr>
      </w:pPr>
    </w:p>
    <w:p w14:paraId="642D434A" w14:textId="77777777" w:rsidR="00877DE5" w:rsidRPr="003B55F5" w:rsidRDefault="00877DE5" w:rsidP="00067100">
      <w:pPr>
        <w:spacing w:after="0" w:line="240" w:lineRule="auto"/>
        <w:ind w:firstLine="709"/>
        <w:jc w:val="right"/>
        <w:rPr>
          <w:rFonts w:ascii="Times New Roman" w:hAnsi="Times New Roman" w:cs="Times New Roman"/>
          <w:b/>
          <w:i/>
          <w:sz w:val="21"/>
          <w:szCs w:val="21"/>
          <w:lang w:val="en-US"/>
        </w:rPr>
      </w:pPr>
      <w:r w:rsidRPr="003B55F5">
        <w:rPr>
          <w:rFonts w:ascii="Times New Roman" w:hAnsi="Times New Roman" w:cs="Times New Roman"/>
          <w:b/>
          <w:i/>
          <w:sz w:val="21"/>
          <w:szCs w:val="21"/>
          <w:lang w:val="en-US"/>
        </w:rPr>
        <w:t>Scientific supervisor:</w:t>
      </w:r>
    </w:p>
    <w:p w14:paraId="377B5AE8" w14:textId="77777777" w:rsidR="00877DE5" w:rsidRPr="003B55F5" w:rsidRDefault="00877DE5" w:rsidP="00067100">
      <w:pPr>
        <w:spacing w:after="0" w:line="240" w:lineRule="auto"/>
        <w:ind w:firstLine="709"/>
        <w:jc w:val="right"/>
        <w:rPr>
          <w:rFonts w:ascii="Times New Roman" w:hAnsi="Times New Roman" w:cs="Times New Roman"/>
          <w:b/>
          <w:i/>
          <w:iCs/>
          <w:color w:val="000000" w:themeColor="text1"/>
          <w:sz w:val="21"/>
          <w:szCs w:val="21"/>
          <w:lang w:val="en-US"/>
        </w:rPr>
      </w:pPr>
      <w:r>
        <w:rPr>
          <w:rFonts w:ascii="Times New Roman" w:hAnsi="Times New Roman" w:cs="Times New Roman"/>
          <w:b/>
          <w:i/>
          <w:iCs/>
          <w:color w:val="000000" w:themeColor="text1"/>
          <w:sz w:val="21"/>
          <w:szCs w:val="21"/>
          <w:lang w:val="en-US"/>
        </w:rPr>
        <w:t>Berlin S. I</w:t>
      </w:r>
      <w:r w:rsidRPr="003B55F5">
        <w:rPr>
          <w:rFonts w:ascii="Times New Roman" w:hAnsi="Times New Roman" w:cs="Times New Roman"/>
          <w:b/>
          <w:i/>
          <w:iCs/>
          <w:color w:val="000000" w:themeColor="text1"/>
          <w:sz w:val="21"/>
          <w:szCs w:val="21"/>
          <w:lang w:val="en-US"/>
        </w:rPr>
        <w:t>.,</w:t>
      </w:r>
    </w:p>
    <w:p w14:paraId="125B34C6" w14:textId="77777777" w:rsidR="00877DE5" w:rsidRPr="009472DE" w:rsidRDefault="00877DE5" w:rsidP="00067100">
      <w:pPr>
        <w:spacing w:after="0" w:line="240" w:lineRule="auto"/>
        <w:ind w:firstLine="709"/>
        <w:jc w:val="right"/>
        <w:rPr>
          <w:rFonts w:ascii="Times New Roman" w:hAnsi="Times New Roman" w:cs="Times New Roman"/>
          <w:i/>
          <w:iCs/>
          <w:color w:val="000000" w:themeColor="text1"/>
          <w:sz w:val="21"/>
          <w:szCs w:val="21"/>
          <w:lang w:val="en-US"/>
        </w:rPr>
      </w:pPr>
      <w:r w:rsidRPr="009472DE">
        <w:rPr>
          <w:rFonts w:ascii="Times New Roman" w:hAnsi="Times New Roman" w:cs="Times New Roman"/>
          <w:i/>
          <w:iCs/>
          <w:color w:val="000000" w:themeColor="text1"/>
          <w:sz w:val="21"/>
          <w:szCs w:val="21"/>
          <w:lang w:val="en-US"/>
        </w:rPr>
        <w:t>Associate Professor, Candidate of Economics</w:t>
      </w:r>
    </w:p>
    <w:p w14:paraId="50045623"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Financial University under the Government of the Russian Federation</w:t>
      </w:r>
    </w:p>
    <w:p w14:paraId="51695E1F"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iCs/>
          <w:sz w:val="21"/>
          <w:szCs w:val="21"/>
          <w:lang w:val="en-US"/>
        </w:rPr>
        <w:t>Krasnodar, Russia</w:t>
      </w:r>
    </w:p>
    <w:p w14:paraId="524CAA32" w14:textId="77777777" w:rsidR="00877DE5" w:rsidRPr="009472DE" w:rsidRDefault="00877DE5" w:rsidP="00067100">
      <w:pPr>
        <w:pStyle w:val="af5"/>
        <w:spacing w:before="0" w:after="0"/>
        <w:ind w:firstLine="709"/>
        <w:jc w:val="right"/>
        <w:rPr>
          <w:rFonts w:ascii="Times New Roman" w:hAnsi="Times New Roman"/>
          <w:i/>
          <w:iCs/>
          <w:lang w:val="en-US"/>
        </w:rPr>
      </w:pPr>
      <w:r w:rsidRPr="009472DE">
        <w:rPr>
          <w:rFonts w:ascii="Times New Roman" w:hAnsi="Times New Roman"/>
          <w:i/>
          <w:iCs/>
          <w:sz w:val="21"/>
          <w:szCs w:val="21"/>
        </w:rPr>
        <w:t>е</w:t>
      </w:r>
      <w:r>
        <w:rPr>
          <w:rFonts w:ascii="Times New Roman" w:hAnsi="Times New Roman"/>
          <w:i/>
          <w:iCs/>
          <w:sz w:val="21"/>
          <w:szCs w:val="21"/>
          <w:lang w:val="en-US"/>
        </w:rPr>
        <w:t xml:space="preserve">-mail: </w:t>
      </w:r>
      <w:r w:rsidRPr="009472DE">
        <w:rPr>
          <w:rFonts w:ascii="Times New Roman" w:hAnsi="Times New Roman"/>
          <w:i/>
          <w:iCs/>
          <w:sz w:val="21"/>
          <w:szCs w:val="21"/>
          <w:lang w:val="en-US"/>
        </w:rPr>
        <w:t>SIBerlin@fa.ru</w:t>
      </w:r>
    </w:p>
    <w:p w14:paraId="050080DB" w14:textId="77777777" w:rsidR="00877DE5" w:rsidRPr="009472DE" w:rsidRDefault="00877DE5" w:rsidP="00067100">
      <w:pPr>
        <w:spacing w:after="0" w:line="240" w:lineRule="auto"/>
        <w:ind w:firstLine="709"/>
        <w:jc w:val="both"/>
        <w:rPr>
          <w:rFonts w:ascii="Times New Roman" w:eastAsia="Times New Roman" w:hAnsi="Times New Roman" w:cs="Times New Roman"/>
          <w:b/>
          <w:color w:val="000000"/>
          <w:sz w:val="21"/>
          <w:szCs w:val="21"/>
          <w:lang w:val="en-US" w:eastAsia="ru-RU"/>
        </w:rPr>
      </w:pPr>
    </w:p>
    <w:p w14:paraId="7F5C12E4" w14:textId="77777777" w:rsidR="00877DE5" w:rsidRPr="009472DE" w:rsidRDefault="00877DE5" w:rsidP="00067100">
      <w:pPr>
        <w:spacing w:after="0" w:line="240" w:lineRule="auto"/>
        <w:ind w:firstLine="709"/>
        <w:jc w:val="center"/>
        <w:rPr>
          <w:rFonts w:ascii="Times New Roman" w:eastAsia="Times New Roman" w:hAnsi="Times New Roman" w:cs="Times New Roman"/>
          <w:b/>
          <w:color w:val="000000"/>
          <w:sz w:val="21"/>
          <w:szCs w:val="21"/>
          <w:lang w:val="en-US" w:eastAsia="ru-RU"/>
        </w:rPr>
      </w:pPr>
      <w:r w:rsidRPr="009472DE">
        <w:rPr>
          <w:rFonts w:ascii="Times New Roman" w:eastAsia="Times New Roman" w:hAnsi="Times New Roman" w:cs="Times New Roman"/>
          <w:b/>
          <w:color w:val="000000"/>
          <w:sz w:val="21"/>
          <w:szCs w:val="21"/>
          <w:lang w:val="en-US" w:eastAsia="ru-RU"/>
        </w:rPr>
        <w:t>Personal insurance, its forms and features. Classification of life insurance contracts</w:t>
      </w:r>
    </w:p>
    <w:p w14:paraId="0A4DC405" w14:textId="77777777" w:rsidR="00877DE5" w:rsidRPr="009472DE" w:rsidRDefault="00877DE5" w:rsidP="00067100">
      <w:pPr>
        <w:spacing w:after="0" w:line="240" w:lineRule="auto"/>
        <w:ind w:firstLine="709"/>
        <w:jc w:val="both"/>
        <w:rPr>
          <w:rFonts w:ascii="Times New Roman" w:eastAsia="Times New Roman" w:hAnsi="Times New Roman" w:cs="Times New Roman"/>
          <w:b/>
          <w:color w:val="000000"/>
          <w:sz w:val="21"/>
          <w:szCs w:val="21"/>
          <w:lang w:val="en-US" w:eastAsia="ru-RU"/>
        </w:rPr>
      </w:pPr>
    </w:p>
    <w:p w14:paraId="6465ABC9" w14:textId="77777777" w:rsidR="00877DE5" w:rsidRPr="009472DE" w:rsidRDefault="00877DE5" w:rsidP="00067100">
      <w:pPr>
        <w:spacing w:after="0" w:line="240" w:lineRule="auto"/>
        <w:ind w:firstLine="709"/>
        <w:jc w:val="both"/>
        <w:rPr>
          <w:rFonts w:ascii="Times New Roman" w:eastAsia="Times New Roman" w:hAnsi="Times New Roman" w:cs="Times New Roman"/>
          <w:color w:val="000000"/>
          <w:sz w:val="21"/>
          <w:szCs w:val="21"/>
          <w:lang w:val="en-US" w:eastAsia="ru-RU"/>
        </w:rPr>
      </w:pPr>
      <w:r w:rsidRPr="009472DE">
        <w:rPr>
          <w:rFonts w:ascii="Times New Roman" w:eastAsia="Times New Roman" w:hAnsi="Times New Roman" w:cs="Times New Roman"/>
          <w:b/>
          <w:color w:val="000000"/>
          <w:sz w:val="21"/>
          <w:szCs w:val="21"/>
          <w:lang w:val="en-US" w:eastAsia="ru-RU"/>
        </w:rPr>
        <w:t>Abstract</w:t>
      </w:r>
      <w:r w:rsidRPr="009472DE">
        <w:rPr>
          <w:rFonts w:ascii="Times New Roman" w:eastAsia="Times New Roman" w:hAnsi="Times New Roman" w:cs="Times New Roman"/>
          <w:color w:val="000000"/>
          <w:sz w:val="21"/>
          <w:szCs w:val="21"/>
          <w:lang w:val="en-US" w:eastAsia="ru-RU"/>
        </w:rPr>
        <w:t xml:space="preserve">. This article discusses personal insurance, its forms and features, as well as the classification of life insurance contracts. Such basic forms of personal insurance as life insurance, medical insurance, and accident insurance are considered. The article presents a detailed classification of life insurance contracts according to </w:t>
      </w:r>
      <w:r w:rsidRPr="009472DE">
        <w:rPr>
          <w:rFonts w:ascii="Times New Roman" w:eastAsia="Times New Roman" w:hAnsi="Times New Roman" w:cs="Times New Roman"/>
          <w:color w:val="000000"/>
          <w:sz w:val="21"/>
          <w:szCs w:val="21"/>
          <w:lang w:val="en-US" w:eastAsia="ru-RU"/>
        </w:rPr>
        <w:lastRenderedPageBreak/>
        <w:t>various criteria: insurance objectives, validity periods, number of insured persons, types of risks and other parameters.</w:t>
      </w:r>
    </w:p>
    <w:p w14:paraId="2B7C3229" w14:textId="77777777" w:rsidR="00877DE5" w:rsidRPr="009472DE" w:rsidRDefault="00877DE5" w:rsidP="00067100">
      <w:pPr>
        <w:spacing w:after="0" w:line="240" w:lineRule="auto"/>
        <w:ind w:firstLine="709"/>
        <w:jc w:val="both"/>
        <w:rPr>
          <w:rFonts w:ascii="Times New Roman" w:eastAsia="Times New Roman" w:hAnsi="Times New Roman" w:cs="Times New Roman"/>
          <w:color w:val="000000"/>
          <w:sz w:val="21"/>
          <w:szCs w:val="21"/>
          <w:lang w:val="en-US" w:eastAsia="ru-RU"/>
        </w:rPr>
      </w:pPr>
      <w:r w:rsidRPr="009472DE">
        <w:rPr>
          <w:rFonts w:ascii="Times New Roman" w:eastAsia="Times New Roman" w:hAnsi="Times New Roman" w:cs="Times New Roman"/>
          <w:b/>
          <w:color w:val="000000"/>
          <w:sz w:val="21"/>
          <w:szCs w:val="21"/>
          <w:lang w:val="en-US" w:eastAsia="ru-RU"/>
        </w:rPr>
        <w:t xml:space="preserve">Key </w:t>
      </w:r>
      <w:r w:rsidRPr="009472DE">
        <w:rPr>
          <w:rFonts w:ascii="Times New Roman" w:eastAsia="Times New Roman" w:hAnsi="Times New Roman" w:cs="Times New Roman"/>
          <w:b/>
          <w:sz w:val="21"/>
          <w:szCs w:val="21"/>
          <w:lang w:val="en-US" w:eastAsia="ru-RU"/>
        </w:rPr>
        <w:t>words:</w:t>
      </w:r>
      <w:r w:rsidRPr="009472DE">
        <w:rPr>
          <w:rFonts w:ascii="Times New Roman" w:eastAsia="Times New Roman" w:hAnsi="Times New Roman" w:cs="Times New Roman"/>
          <w:sz w:val="21"/>
          <w:szCs w:val="21"/>
          <w:lang w:val="en-US" w:eastAsia="ru-RU"/>
        </w:rPr>
        <w:t xml:space="preserve"> </w:t>
      </w:r>
      <w:r w:rsidRPr="009472DE">
        <w:rPr>
          <w:rFonts w:ascii="Times New Roman" w:hAnsi="Times New Roman" w:cs="Times New Roman"/>
          <w:sz w:val="21"/>
          <w:szCs w:val="21"/>
          <w:lang w:val="en-US"/>
        </w:rPr>
        <w:t>insurance, personal insurance, classification of insurance contracts, forms of insurance, life insurance.</w:t>
      </w:r>
    </w:p>
    <w:p w14:paraId="569D1733" w14:textId="77777777" w:rsidR="00877DE5" w:rsidRPr="00877DE5" w:rsidRDefault="00877DE5" w:rsidP="00067100">
      <w:pPr>
        <w:spacing w:after="0" w:line="240" w:lineRule="auto"/>
        <w:ind w:firstLine="709"/>
        <w:jc w:val="both"/>
        <w:rPr>
          <w:rFonts w:ascii="Times New Roman" w:hAnsi="Times New Roman" w:cs="Times New Roman"/>
          <w:sz w:val="32"/>
          <w:szCs w:val="32"/>
          <w:lang w:val="en-US"/>
        </w:rPr>
      </w:pPr>
    </w:p>
    <w:p w14:paraId="638FE43B" w14:textId="77777777" w:rsidR="00877DE5" w:rsidRPr="009472DE" w:rsidRDefault="00877DE5" w:rsidP="00FD5033">
      <w:pPr>
        <w:tabs>
          <w:tab w:val="left" w:pos="993"/>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Личное страхование охватывает широкий спектр рисков и может быть разделено на несколько основных форм [4]:</w:t>
      </w:r>
    </w:p>
    <w:p w14:paraId="22338A12" w14:textId="77777777" w:rsidR="00877DE5" w:rsidRPr="009472DE" w:rsidRDefault="00877DE5" w:rsidP="00FD5033">
      <w:pPr>
        <w:numPr>
          <w:ilvl w:val="0"/>
          <w:numId w:val="2"/>
        </w:numPr>
        <w:tabs>
          <w:tab w:val="left" w:pos="993"/>
        </w:tabs>
        <w:spacing w:after="0" w:line="240" w:lineRule="auto"/>
        <w:ind w:left="0"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Страхование жизни </w:t>
      </w:r>
      <w:proofErr w:type="gramStart"/>
      <w:r w:rsidRPr="009472DE">
        <w:rPr>
          <w:rFonts w:ascii="Times New Roman" w:hAnsi="Times New Roman" w:cs="Times New Roman"/>
          <w:sz w:val="32"/>
          <w:szCs w:val="32"/>
        </w:rPr>
        <w:t>- это</w:t>
      </w:r>
      <w:proofErr w:type="gramEnd"/>
      <w:r w:rsidRPr="009472DE">
        <w:rPr>
          <w:rFonts w:ascii="Times New Roman" w:hAnsi="Times New Roman" w:cs="Times New Roman"/>
          <w:sz w:val="32"/>
          <w:szCs w:val="32"/>
        </w:rPr>
        <w:t xml:space="preserve"> одна из наиболее популярных форм личного страхования, которая обеспечивает финансовую защиту в случае смерти, дожития до определённого возраста или потери трудоспособности. Программы страхования жизни могут также включать накопительные и инвестиционные компоненты.</w:t>
      </w:r>
    </w:p>
    <w:p w14:paraId="2E4497D3" w14:textId="77777777" w:rsidR="00877DE5" w:rsidRPr="009472DE" w:rsidRDefault="00877DE5" w:rsidP="00FD5033">
      <w:pPr>
        <w:numPr>
          <w:ilvl w:val="0"/>
          <w:numId w:val="2"/>
        </w:numPr>
        <w:tabs>
          <w:tab w:val="left" w:pos="993"/>
        </w:tabs>
        <w:spacing w:after="0" w:line="240" w:lineRule="auto"/>
        <w:ind w:left="0" w:firstLine="709"/>
        <w:jc w:val="both"/>
        <w:rPr>
          <w:rFonts w:ascii="Times New Roman" w:hAnsi="Times New Roman" w:cs="Times New Roman"/>
          <w:sz w:val="32"/>
          <w:szCs w:val="32"/>
        </w:rPr>
      </w:pPr>
      <w:r w:rsidRPr="009472DE">
        <w:rPr>
          <w:rFonts w:ascii="Times New Roman" w:hAnsi="Times New Roman" w:cs="Times New Roman"/>
          <w:sz w:val="32"/>
          <w:szCs w:val="32"/>
        </w:rPr>
        <w:t>Медицинское страхование - включает добровольное медицинское страхование (ДМС) и программы страхования от болезней и несчастных случаев. Основная цель — обеспечить доступ к качественной медицинской помощи и покрыть расходы на лечение.</w:t>
      </w:r>
    </w:p>
    <w:p w14:paraId="188157D7" w14:textId="77777777" w:rsidR="00877DE5" w:rsidRPr="009472DE" w:rsidRDefault="00877DE5" w:rsidP="00FD5033">
      <w:pPr>
        <w:numPr>
          <w:ilvl w:val="0"/>
          <w:numId w:val="2"/>
        </w:numPr>
        <w:tabs>
          <w:tab w:val="left" w:pos="993"/>
        </w:tabs>
        <w:spacing w:after="0" w:line="240" w:lineRule="auto"/>
        <w:ind w:left="0" w:firstLine="709"/>
        <w:jc w:val="both"/>
        <w:rPr>
          <w:rFonts w:ascii="Times New Roman" w:hAnsi="Times New Roman" w:cs="Times New Roman"/>
          <w:sz w:val="32"/>
          <w:szCs w:val="32"/>
        </w:rPr>
      </w:pPr>
      <w:r w:rsidRPr="009472DE">
        <w:rPr>
          <w:rFonts w:ascii="Times New Roman" w:hAnsi="Times New Roman" w:cs="Times New Roman"/>
          <w:sz w:val="32"/>
          <w:szCs w:val="32"/>
        </w:rPr>
        <w:t>Страхование от несчастных случаев - этот вид страхования защищает застрахованное лицо в случае получения травм, инвалидности или смерти в результате несчастного случая. Программы могут быть как индивидуальными, так и коллективными.</w:t>
      </w:r>
    </w:p>
    <w:p w14:paraId="351392F2" w14:textId="77777777" w:rsidR="00877DE5" w:rsidRPr="009472DE" w:rsidRDefault="00877DE5" w:rsidP="00FD5033">
      <w:pPr>
        <w:numPr>
          <w:ilvl w:val="0"/>
          <w:numId w:val="2"/>
        </w:numPr>
        <w:tabs>
          <w:tab w:val="left" w:pos="993"/>
        </w:tabs>
        <w:spacing w:after="0" w:line="240" w:lineRule="auto"/>
        <w:ind w:left="0" w:firstLine="709"/>
        <w:jc w:val="both"/>
        <w:rPr>
          <w:rFonts w:ascii="Times New Roman" w:hAnsi="Times New Roman" w:cs="Times New Roman"/>
          <w:sz w:val="32"/>
          <w:szCs w:val="32"/>
        </w:rPr>
      </w:pPr>
      <w:r w:rsidRPr="009472DE">
        <w:rPr>
          <w:rFonts w:ascii="Times New Roman" w:hAnsi="Times New Roman" w:cs="Times New Roman"/>
          <w:sz w:val="32"/>
          <w:szCs w:val="32"/>
        </w:rPr>
        <w:t>Пенсионное страхование - предполагает создание дополнительных источников дохода после выхода на пенсию. Программы пенсионного страхования часто используются как альтернатива государственным пенсионным системам.</w:t>
      </w:r>
    </w:p>
    <w:p w14:paraId="4AF91E76" w14:textId="77777777" w:rsidR="00877DE5" w:rsidRPr="009472DE" w:rsidRDefault="00877DE5" w:rsidP="00FD5033">
      <w:pPr>
        <w:numPr>
          <w:ilvl w:val="0"/>
          <w:numId w:val="2"/>
        </w:numPr>
        <w:tabs>
          <w:tab w:val="left" w:pos="993"/>
        </w:tabs>
        <w:spacing w:after="0" w:line="240" w:lineRule="auto"/>
        <w:ind w:left="0" w:firstLine="709"/>
        <w:jc w:val="both"/>
        <w:rPr>
          <w:rFonts w:ascii="Times New Roman" w:hAnsi="Times New Roman" w:cs="Times New Roman"/>
          <w:sz w:val="32"/>
          <w:szCs w:val="32"/>
        </w:rPr>
      </w:pPr>
      <w:r w:rsidRPr="009472DE">
        <w:rPr>
          <w:rFonts w:ascii="Times New Roman" w:hAnsi="Times New Roman" w:cs="Times New Roman"/>
          <w:sz w:val="32"/>
          <w:szCs w:val="32"/>
        </w:rPr>
        <w:t>Страхование от потери трудоспособности - предназначено для оказания финансовой поддержки в случае временной или постоянной потери трудоспособности и дохода.</w:t>
      </w:r>
    </w:p>
    <w:p w14:paraId="033F6ED7" w14:textId="77777777" w:rsidR="00FD5033" w:rsidRDefault="00877DE5" w:rsidP="00067100">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Личное страхование отличается рядом специфических характеристик, которые делают его уникальным среди других видов страхования. Индивидуальный характер страхования, где каждый договор заключается с конкретным человеком, что требует учёта личных особенностей застрахованного, таких как возраст, состояние здоровья, профессия и образ жизни [1]. </w:t>
      </w:r>
    </w:p>
    <w:p w14:paraId="521278D2" w14:textId="08676FFA" w:rsidR="00877DE5" w:rsidRPr="009472DE" w:rsidRDefault="00877DE5" w:rsidP="00067100">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Долгосрочные обязательства, где многие программы личного страхования, особенно страхование жизни, имеют длительный срок действия, иногда достигающий нескольких десятилетий. Комплексность защиты. Современные страховые продукты часто объединяют несколько видов защиты в одном договоре, например, страхование жизни и медицинское страхование [5].</w:t>
      </w:r>
    </w:p>
    <w:p w14:paraId="29B1F5F8" w14:textId="77777777" w:rsidR="00877DE5" w:rsidRDefault="00877DE5" w:rsidP="00067100">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 xml:space="preserve">Наличие накопительной и инвестиционной составляющих. То есть некоторые программы личного страхования, такие как накопительное или инвестиционное страхование жизни, позволяют не только защищаться от рисков, но и формировать капитал. Высокий уровень регулирования, где личное страхование строго контролируется государством, что обеспечивает надежность и стабильность страховых компаний. Социальная значимость, причем личное страхование способствует снижению нагрузки на государственные системы социального обеспечения и повышает финансовую грамотность населения. </w:t>
      </w:r>
    </w:p>
    <w:p w14:paraId="2B35F13A" w14:textId="77777777" w:rsidR="00877DE5" w:rsidRPr="009472DE" w:rsidRDefault="00877DE5" w:rsidP="00067100">
      <w:pPr>
        <w:spacing w:after="0" w:line="240" w:lineRule="auto"/>
        <w:ind w:firstLine="709"/>
        <w:jc w:val="both"/>
        <w:rPr>
          <w:rFonts w:ascii="Times New Roman" w:hAnsi="Times New Roman" w:cs="Times New Roman"/>
          <w:sz w:val="32"/>
          <w:szCs w:val="32"/>
        </w:rPr>
      </w:pPr>
    </w:p>
    <w:p w14:paraId="4F741882" w14:textId="5548A8C5" w:rsidR="00877DE5" w:rsidRPr="009472DE" w:rsidRDefault="00877DE5" w:rsidP="00FD5033">
      <w:pPr>
        <w:pStyle w:val="af6"/>
        <w:keepNext/>
        <w:spacing w:after="0"/>
        <w:jc w:val="both"/>
        <w:rPr>
          <w:rFonts w:ascii="Times New Roman" w:hAnsi="Times New Roman" w:cs="Times New Roman"/>
          <w:b w:val="0"/>
          <w:color w:val="auto"/>
          <w:sz w:val="32"/>
          <w:szCs w:val="32"/>
        </w:rPr>
      </w:pPr>
      <w:r w:rsidRPr="009472DE">
        <w:rPr>
          <w:rFonts w:ascii="Times New Roman" w:hAnsi="Times New Roman" w:cs="Times New Roman"/>
          <w:b w:val="0"/>
          <w:color w:val="auto"/>
          <w:sz w:val="32"/>
          <w:szCs w:val="32"/>
        </w:rPr>
        <w:t xml:space="preserve">Таблица </w:t>
      </w:r>
      <w:r w:rsidRPr="009472DE">
        <w:rPr>
          <w:rFonts w:ascii="Times New Roman" w:hAnsi="Times New Roman" w:cs="Times New Roman"/>
          <w:b w:val="0"/>
          <w:color w:val="auto"/>
          <w:sz w:val="32"/>
          <w:szCs w:val="32"/>
        </w:rPr>
        <w:fldChar w:fldCharType="begin"/>
      </w:r>
      <w:r w:rsidRPr="009472DE">
        <w:rPr>
          <w:rFonts w:ascii="Times New Roman" w:hAnsi="Times New Roman" w:cs="Times New Roman"/>
          <w:b w:val="0"/>
          <w:color w:val="auto"/>
          <w:sz w:val="32"/>
          <w:szCs w:val="32"/>
        </w:rPr>
        <w:instrText xml:space="preserve"> SEQ Таблица \* ARABIC </w:instrText>
      </w:r>
      <w:r w:rsidRPr="009472DE">
        <w:rPr>
          <w:rFonts w:ascii="Times New Roman" w:hAnsi="Times New Roman" w:cs="Times New Roman"/>
          <w:b w:val="0"/>
          <w:color w:val="auto"/>
          <w:sz w:val="32"/>
          <w:szCs w:val="32"/>
        </w:rPr>
        <w:fldChar w:fldCharType="separate"/>
      </w:r>
      <w:r w:rsidR="00350EE8">
        <w:rPr>
          <w:rFonts w:ascii="Times New Roman" w:hAnsi="Times New Roman" w:cs="Times New Roman"/>
          <w:b w:val="0"/>
          <w:noProof/>
          <w:color w:val="auto"/>
          <w:sz w:val="32"/>
          <w:szCs w:val="32"/>
        </w:rPr>
        <w:t>1</w:t>
      </w:r>
      <w:r w:rsidRPr="009472DE">
        <w:rPr>
          <w:rFonts w:ascii="Times New Roman" w:hAnsi="Times New Roman" w:cs="Times New Roman"/>
          <w:b w:val="0"/>
          <w:color w:val="auto"/>
          <w:sz w:val="32"/>
          <w:szCs w:val="32"/>
        </w:rPr>
        <w:fldChar w:fldCharType="end"/>
      </w:r>
      <w:r w:rsidRPr="009472DE">
        <w:rPr>
          <w:rFonts w:ascii="Times New Roman" w:hAnsi="Times New Roman" w:cs="Times New Roman"/>
          <w:b w:val="0"/>
          <w:color w:val="auto"/>
          <w:sz w:val="32"/>
          <w:szCs w:val="32"/>
        </w:rPr>
        <w:t xml:space="preserve"> - Статистика по объему договоров личного страхования за 2022-2024 годы [5].</w:t>
      </w:r>
    </w:p>
    <w:tbl>
      <w:tblPr>
        <w:tblW w:w="9894" w:type="dxa"/>
        <w:tblInd w:w="-5" w:type="dxa"/>
        <w:tblLook w:val="04A0" w:firstRow="1" w:lastRow="0" w:firstColumn="1" w:lastColumn="0" w:noHBand="0" w:noVBand="1"/>
      </w:tblPr>
      <w:tblGrid>
        <w:gridCol w:w="2358"/>
        <w:gridCol w:w="1378"/>
        <w:gridCol w:w="1134"/>
        <w:gridCol w:w="1378"/>
        <w:gridCol w:w="1134"/>
        <w:gridCol w:w="1378"/>
        <w:gridCol w:w="1134"/>
      </w:tblGrid>
      <w:tr w:rsidR="00877DE5" w:rsidRPr="009472DE" w14:paraId="59F54AF6" w14:textId="77777777" w:rsidTr="00FD5033">
        <w:trPr>
          <w:trHeight w:val="600"/>
        </w:trPr>
        <w:tc>
          <w:tcPr>
            <w:tcW w:w="2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D1648"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Виды личного страхования</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ACA6F1" w14:textId="6E881618"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2022</w:t>
            </w:r>
            <w:r w:rsidR="00FD5033" w:rsidRPr="00B64D5E">
              <w:rPr>
                <w:rFonts w:ascii="Times New Roman" w:eastAsia="Times New Roman" w:hAnsi="Times New Roman" w:cs="Times New Roman"/>
                <w:color w:val="000000"/>
                <w:sz w:val="28"/>
                <w:szCs w:val="28"/>
                <w:lang w:eastAsia="ru-RU"/>
              </w:rPr>
              <w:t xml:space="preserve"> </w:t>
            </w:r>
            <w:r w:rsidRPr="00B64D5E">
              <w:rPr>
                <w:rFonts w:ascii="Times New Roman" w:eastAsia="Times New Roman" w:hAnsi="Times New Roman" w:cs="Times New Roman"/>
                <w:color w:val="000000"/>
                <w:sz w:val="28"/>
                <w:szCs w:val="28"/>
                <w:lang w:eastAsia="ru-RU"/>
              </w:rPr>
              <w:t>г.</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8D3CC6" w14:textId="75C48D0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2023</w:t>
            </w:r>
            <w:r w:rsidR="00FD5033" w:rsidRPr="00B64D5E">
              <w:rPr>
                <w:rFonts w:ascii="Times New Roman" w:eastAsia="Times New Roman" w:hAnsi="Times New Roman" w:cs="Times New Roman"/>
                <w:color w:val="000000"/>
                <w:sz w:val="28"/>
                <w:szCs w:val="28"/>
                <w:lang w:eastAsia="ru-RU"/>
              </w:rPr>
              <w:t xml:space="preserve"> </w:t>
            </w:r>
            <w:r w:rsidRPr="00B64D5E">
              <w:rPr>
                <w:rFonts w:ascii="Times New Roman" w:eastAsia="Times New Roman" w:hAnsi="Times New Roman" w:cs="Times New Roman"/>
                <w:color w:val="000000"/>
                <w:sz w:val="28"/>
                <w:szCs w:val="28"/>
                <w:lang w:eastAsia="ru-RU"/>
              </w:rPr>
              <w:t>г.</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614DE0" w14:textId="68607D34"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2024</w:t>
            </w:r>
            <w:r w:rsidR="00FD5033" w:rsidRPr="00B64D5E">
              <w:rPr>
                <w:rFonts w:ascii="Times New Roman" w:eastAsia="Times New Roman" w:hAnsi="Times New Roman" w:cs="Times New Roman"/>
                <w:color w:val="000000"/>
                <w:sz w:val="28"/>
                <w:szCs w:val="28"/>
                <w:lang w:eastAsia="ru-RU"/>
              </w:rPr>
              <w:t xml:space="preserve"> </w:t>
            </w:r>
            <w:r w:rsidRPr="00B64D5E">
              <w:rPr>
                <w:rFonts w:ascii="Times New Roman" w:eastAsia="Times New Roman" w:hAnsi="Times New Roman" w:cs="Times New Roman"/>
                <w:color w:val="000000"/>
                <w:sz w:val="28"/>
                <w:szCs w:val="28"/>
                <w:lang w:eastAsia="ru-RU"/>
              </w:rPr>
              <w:t>г.</w:t>
            </w:r>
          </w:p>
        </w:tc>
      </w:tr>
      <w:tr w:rsidR="00877DE5" w:rsidRPr="009472DE" w14:paraId="7BC1B124" w14:textId="77777777" w:rsidTr="00FD5033">
        <w:trPr>
          <w:trHeight w:val="300"/>
        </w:trPr>
        <w:tc>
          <w:tcPr>
            <w:tcW w:w="2665" w:type="dxa"/>
            <w:vMerge/>
            <w:tcBorders>
              <w:top w:val="single" w:sz="4" w:space="0" w:color="auto"/>
              <w:left w:val="single" w:sz="4" w:space="0" w:color="auto"/>
              <w:bottom w:val="single" w:sz="4" w:space="0" w:color="auto"/>
              <w:right w:val="single" w:sz="4" w:space="0" w:color="auto"/>
            </w:tcBorders>
            <w:vAlign w:val="center"/>
            <w:hideMark/>
          </w:tcPr>
          <w:p w14:paraId="3249AF3C" w14:textId="77777777" w:rsidR="00877DE5" w:rsidRPr="00B64D5E" w:rsidRDefault="00877DE5" w:rsidP="00C465D4">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FD471E7"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млрд.руб.</w:t>
            </w:r>
          </w:p>
        </w:tc>
        <w:tc>
          <w:tcPr>
            <w:tcW w:w="1134" w:type="dxa"/>
            <w:tcBorders>
              <w:top w:val="nil"/>
              <w:left w:val="nil"/>
              <w:bottom w:val="single" w:sz="4" w:space="0" w:color="auto"/>
              <w:right w:val="single" w:sz="4" w:space="0" w:color="auto"/>
            </w:tcBorders>
            <w:shd w:val="clear" w:color="auto" w:fill="auto"/>
            <w:noWrap/>
            <w:vAlign w:val="center"/>
            <w:hideMark/>
          </w:tcPr>
          <w:p w14:paraId="24229458"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DA1BD3F"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млрд.руб.</w:t>
            </w:r>
          </w:p>
        </w:tc>
        <w:tc>
          <w:tcPr>
            <w:tcW w:w="1134" w:type="dxa"/>
            <w:tcBorders>
              <w:top w:val="nil"/>
              <w:left w:val="nil"/>
              <w:bottom w:val="single" w:sz="4" w:space="0" w:color="auto"/>
              <w:right w:val="single" w:sz="4" w:space="0" w:color="auto"/>
            </w:tcBorders>
            <w:shd w:val="clear" w:color="auto" w:fill="auto"/>
            <w:noWrap/>
            <w:vAlign w:val="center"/>
            <w:hideMark/>
          </w:tcPr>
          <w:p w14:paraId="20E60C74"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788D91"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млрд.руб.</w:t>
            </w:r>
          </w:p>
        </w:tc>
        <w:tc>
          <w:tcPr>
            <w:tcW w:w="1134" w:type="dxa"/>
            <w:tcBorders>
              <w:top w:val="nil"/>
              <w:left w:val="nil"/>
              <w:bottom w:val="single" w:sz="4" w:space="0" w:color="auto"/>
              <w:right w:val="single" w:sz="4" w:space="0" w:color="auto"/>
            </w:tcBorders>
            <w:shd w:val="clear" w:color="auto" w:fill="auto"/>
            <w:noWrap/>
            <w:vAlign w:val="center"/>
            <w:hideMark/>
          </w:tcPr>
          <w:p w14:paraId="0FDBBBD6"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w:t>
            </w:r>
          </w:p>
        </w:tc>
      </w:tr>
      <w:tr w:rsidR="00877DE5" w:rsidRPr="009472DE" w14:paraId="36984E16" w14:textId="77777777" w:rsidTr="00FD5033">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B5BF51" w14:textId="77777777" w:rsidR="00877DE5" w:rsidRPr="00B64D5E" w:rsidRDefault="00877DE5" w:rsidP="00C465D4">
            <w:pPr>
              <w:spacing w:after="0" w:line="240" w:lineRule="auto"/>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Страхование жизни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96F66"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511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38840"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54,83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EE42D"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775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485E3"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63,11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32C0"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1170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CF10"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69,64</w:t>
            </w:r>
          </w:p>
        </w:tc>
      </w:tr>
      <w:tr w:rsidR="00877DE5" w:rsidRPr="009472DE" w14:paraId="08A0BA1D" w14:textId="77777777" w:rsidTr="00FD5033">
        <w:trPr>
          <w:trHeight w:val="600"/>
        </w:trPr>
        <w:tc>
          <w:tcPr>
            <w:tcW w:w="26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88174" w14:textId="77777777" w:rsidR="00877DE5" w:rsidRPr="00B64D5E" w:rsidRDefault="00877DE5" w:rsidP="00C465D4">
            <w:pPr>
              <w:spacing w:after="0" w:line="240" w:lineRule="auto"/>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Страхование от несчастных случаев</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B025A"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60DEA"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22,21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08DF8"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33345"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16,29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29F2D"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17BA1"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8,33</w:t>
            </w:r>
          </w:p>
        </w:tc>
      </w:tr>
      <w:tr w:rsidR="00877DE5" w:rsidRPr="009472DE" w14:paraId="457134F7" w14:textId="77777777" w:rsidTr="00FD5033">
        <w:trPr>
          <w:trHeight w:val="771"/>
        </w:trPr>
        <w:tc>
          <w:tcPr>
            <w:tcW w:w="26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0B039" w14:textId="77777777" w:rsidR="00877DE5" w:rsidRPr="00B64D5E" w:rsidRDefault="00877DE5" w:rsidP="00C465D4">
            <w:pPr>
              <w:spacing w:after="0" w:line="240" w:lineRule="auto"/>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Добровольное медицинское страхование,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52B56"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C57A9"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22,96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BCAEE"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4F2D1"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20,60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3F40D"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370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64C12"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22,02</w:t>
            </w:r>
          </w:p>
        </w:tc>
      </w:tr>
      <w:tr w:rsidR="00877DE5" w:rsidRPr="009472DE" w14:paraId="25067C63" w14:textId="77777777" w:rsidTr="00FD5033">
        <w:trPr>
          <w:trHeight w:val="293"/>
        </w:trPr>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9CD43" w14:textId="77777777" w:rsidR="00877DE5" w:rsidRPr="00B64D5E" w:rsidRDefault="00877DE5" w:rsidP="00C465D4">
            <w:pPr>
              <w:spacing w:after="0" w:line="240" w:lineRule="auto"/>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A143B89"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932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3CD974"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A6EF316"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1228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D705274"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182693"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1680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8CA799" w14:textId="77777777" w:rsidR="00877DE5" w:rsidRPr="00B64D5E" w:rsidRDefault="00877DE5" w:rsidP="00C465D4">
            <w:pPr>
              <w:spacing w:after="0" w:line="240" w:lineRule="auto"/>
              <w:jc w:val="center"/>
              <w:rPr>
                <w:rFonts w:ascii="Times New Roman" w:eastAsia="Times New Roman" w:hAnsi="Times New Roman" w:cs="Times New Roman"/>
                <w:color w:val="000000"/>
                <w:sz w:val="28"/>
                <w:szCs w:val="28"/>
                <w:lang w:eastAsia="ru-RU"/>
              </w:rPr>
            </w:pPr>
            <w:r w:rsidRPr="00B64D5E">
              <w:rPr>
                <w:rFonts w:ascii="Times New Roman" w:eastAsia="Times New Roman" w:hAnsi="Times New Roman" w:cs="Times New Roman"/>
                <w:color w:val="000000"/>
                <w:sz w:val="28"/>
                <w:szCs w:val="28"/>
                <w:lang w:eastAsia="ru-RU"/>
              </w:rPr>
              <w:t>100,00</w:t>
            </w:r>
          </w:p>
        </w:tc>
      </w:tr>
    </w:tbl>
    <w:p w14:paraId="04DEB9B6" w14:textId="77777777" w:rsidR="00877DE5" w:rsidRPr="009472DE" w:rsidRDefault="00877DE5" w:rsidP="00C465D4">
      <w:pPr>
        <w:spacing w:after="0" w:line="240" w:lineRule="auto"/>
        <w:jc w:val="both"/>
        <w:rPr>
          <w:rFonts w:ascii="Times New Roman" w:hAnsi="Times New Roman" w:cs="Times New Roman"/>
          <w:sz w:val="28"/>
          <w:szCs w:val="28"/>
        </w:rPr>
      </w:pPr>
    </w:p>
    <w:p w14:paraId="50DB6D60" w14:textId="77777777" w:rsidR="00B64D5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 xml:space="preserve">Российский рынок личного страхования за последние два года демонстрирует устойчивую динамику роста. По данным официальной статистики, общий объем рынка увеличился с 932 млрд рублей в 2022 году до 1680 млрд рублей в 2024 году, что составляет рост на +80,3%. Это свидетельствует о восстановлении доверия населения к страховому сектору и изменении структуры спроса. </w:t>
      </w:r>
    </w:p>
    <w:p w14:paraId="6F872320" w14:textId="674EB0A4" w:rsidR="00877DE5" w:rsidRPr="009472D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В период с 2022 по 2024 год темпы роста не только сохраняются, но и немного ускоряются, что говорит о долгосрочной тенденции развития отрасли, так в сравнении с 2022 годом в 2023 году рост в абсолютном выражении представленных видов личного страхования увеличились на 296 млрд руб. или на 31,8%, а в сравнении с 2023 годом в 2024 году рост составил 452 млрд руб. или на 36,8%.</w:t>
      </w:r>
    </w:p>
    <w:p w14:paraId="2E5B82AE" w14:textId="77777777" w:rsidR="00877DE5" w:rsidRPr="009472D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 xml:space="preserve">Самый быстрорастущий сегмент является страхование жизни, рост за три года составил 129%. Увеличение доли с 54,8% до 69,6% </w:t>
      </w:r>
      <w:r w:rsidRPr="009472DE">
        <w:rPr>
          <w:rFonts w:ascii="Times New Roman" w:hAnsi="Times New Roman" w:cs="Times New Roman"/>
          <w:sz w:val="32"/>
          <w:szCs w:val="28"/>
        </w:rPr>
        <w:lastRenderedPageBreak/>
        <w:t>указывает на структурный сдвиг в сторону накопительных продуктов жизни (НСЖ). Рост связан с повышением интереса к альтернативным инвестиционным инструментам, особенно в условиях высокой волатильности банковских депозитов.</w:t>
      </w:r>
    </w:p>
    <w:p w14:paraId="07B11106" w14:textId="77777777" w:rsidR="00877DE5" w:rsidRPr="009472D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Значительное снижение заметно в сегменте страхования от несчастных случаев, за 3 года снижение составило 67 млрд рублей или 32%. Падение доли с 22,2% до 8,3% говорит о снижении популярности этого вида страхования среди физических лиц. Причины могут быть связаны со снижением активности агентских сетей, низкой цифровой зрелостью продукта, а также перехода потребителей к более выгодным предложениям, таким как страхование жизни с инвестиционной составляющей.</w:t>
      </w:r>
    </w:p>
    <w:p w14:paraId="2EE6D56B" w14:textId="2191B838" w:rsidR="00877DE5" w:rsidRPr="009472D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Стабильный рост объёма наблюдается в сегменте добровольного медицинского страхования, за три года изменение составило увеличение на 156 млрд рублей или на 73%. Доля меняется волнообразно, но в целом остаётся на уровне 22%. Рост связан с повышением качества частной медицины, использованием ДМС как части корпоративных программ льгот, а также желанием граждан получать качественную помощь без очередей.</w:t>
      </w:r>
    </w:p>
    <w:p w14:paraId="68963339" w14:textId="77777777" w:rsidR="00877DE5" w:rsidRPr="009472DE" w:rsidRDefault="00877DE5" w:rsidP="00B64D5E">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Страхование жизни является одной из ключевых форм личного страхования и имеет сложную систему классификации договоров. Рассмотрим основные категории [3]:</w:t>
      </w:r>
    </w:p>
    <w:p w14:paraId="65380B3D" w14:textId="20519E7C"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1. По целям страхования</w:t>
      </w:r>
      <w:r w:rsidR="00FD5033">
        <w:rPr>
          <w:rFonts w:ascii="Times New Roman" w:hAnsi="Times New Roman" w:cs="Times New Roman"/>
          <w:bCs/>
          <w:sz w:val="32"/>
          <w:szCs w:val="28"/>
        </w:rPr>
        <w:t>.</w:t>
      </w:r>
    </w:p>
    <w:p w14:paraId="321414D4" w14:textId="77777777" w:rsidR="00877DE5" w:rsidRPr="009472DE" w:rsidRDefault="00877DE5" w:rsidP="00B64D5E">
      <w:pPr>
        <w:tabs>
          <w:tab w:val="left" w:pos="993"/>
        </w:tabs>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Накопительное страхование. Предполагает накопление денежных средств к определённому сроку. Часто используется для финансирования крупных покупок, обучения детей или создания «финансовой подушки безопасности».</w:t>
      </w:r>
    </w:p>
    <w:p w14:paraId="476FD18C" w14:textId="77777777" w:rsidR="00877DE5" w:rsidRPr="009472DE" w:rsidRDefault="00877DE5" w:rsidP="00B64D5E">
      <w:pPr>
        <w:tabs>
          <w:tab w:val="left" w:pos="993"/>
        </w:tabs>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Рисковое страхование. Предназначено для защиты от чистых рисков, таких как смерть или потеря трудоспособности. Выплаты производятся только при наступлении страхового случая.</w:t>
      </w:r>
    </w:p>
    <w:p w14:paraId="27C6BB1B" w14:textId="7639B3EA"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2. По срокам действия</w:t>
      </w:r>
      <w:r w:rsidR="00FD5033">
        <w:rPr>
          <w:rFonts w:ascii="Times New Roman" w:hAnsi="Times New Roman" w:cs="Times New Roman"/>
          <w:bCs/>
          <w:sz w:val="32"/>
          <w:szCs w:val="28"/>
        </w:rPr>
        <w:t>.</w:t>
      </w:r>
    </w:p>
    <w:p w14:paraId="0E04CD15" w14:textId="415506B8" w:rsidR="00877DE5" w:rsidRPr="00FD5033" w:rsidRDefault="00FD5033" w:rsidP="00AD58CD">
      <w:pPr>
        <w:pStyle w:val="a8"/>
        <w:numPr>
          <w:ilvl w:val="0"/>
          <w:numId w:val="252"/>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к</w:t>
      </w:r>
      <w:r w:rsidR="00877DE5" w:rsidRPr="00FD5033">
        <w:rPr>
          <w:rFonts w:ascii="Times New Roman" w:hAnsi="Times New Roman" w:cs="Times New Roman"/>
          <w:sz w:val="32"/>
          <w:szCs w:val="28"/>
        </w:rPr>
        <w:t>раткосрочное (до 1 года)</w:t>
      </w:r>
      <w:r>
        <w:rPr>
          <w:rFonts w:ascii="Times New Roman" w:hAnsi="Times New Roman" w:cs="Times New Roman"/>
          <w:sz w:val="32"/>
          <w:szCs w:val="28"/>
        </w:rPr>
        <w:t>;</w:t>
      </w:r>
    </w:p>
    <w:p w14:paraId="693C6309" w14:textId="75EF8B52" w:rsidR="00877DE5" w:rsidRPr="00FD5033" w:rsidRDefault="00FD5033" w:rsidP="00AD58CD">
      <w:pPr>
        <w:pStyle w:val="a8"/>
        <w:numPr>
          <w:ilvl w:val="0"/>
          <w:numId w:val="252"/>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с</w:t>
      </w:r>
      <w:r w:rsidR="00877DE5" w:rsidRPr="00FD5033">
        <w:rPr>
          <w:rFonts w:ascii="Times New Roman" w:hAnsi="Times New Roman" w:cs="Times New Roman"/>
          <w:sz w:val="32"/>
          <w:szCs w:val="28"/>
        </w:rPr>
        <w:t>реднесрочное (от 1 до 5 лет)</w:t>
      </w:r>
      <w:r>
        <w:rPr>
          <w:rFonts w:ascii="Times New Roman" w:hAnsi="Times New Roman" w:cs="Times New Roman"/>
          <w:sz w:val="32"/>
          <w:szCs w:val="28"/>
        </w:rPr>
        <w:t>;</w:t>
      </w:r>
    </w:p>
    <w:p w14:paraId="4CB04A41" w14:textId="01C0B7C3" w:rsidR="00877DE5" w:rsidRPr="00FD5033" w:rsidRDefault="00FD5033" w:rsidP="00AD58CD">
      <w:pPr>
        <w:pStyle w:val="a8"/>
        <w:numPr>
          <w:ilvl w:val="0"/>
          <w:numId w:val="252"/>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д</w:t>
      </w:r>
      <w:r w:rsidR="00877DE5" w:rsidRPr="00FD5033">
        <w:rPr>
          <w:rFonts w:ascii="Times New Roman" w:hAnsi="Times New Roman" w:cs="Times New Roman"/>
          <w:sz w:val="32"/>
          <w:szCs w:val="28"/>
        </w:rPr>
        <w:t>олгосрочное (более 5 лет)</w:t>
      </w:r>
      <w:r>
        <w:rPr>
          <w:rFonts w:ascii="Times New Roman" w:hAnsi="Times New Roman" w:cs="Times New Roman"/>
          <w:sz w:val="32"/>
          <w:szCs w:val="28"/>
        </w:rPr>
        <w:t>;</w:t>
      </w:r>
    </w:p>
    <w:p w14:paraId="221D6E5D" w14:textId="595667C4" w:rsidR="00877DE5" w:rsidRPr="00FD5033" w:rsidRDefault="00FD5033" w:rsidP="00AD58CD">
      <w:pPr>
        <w:pStyle w:val="a8"/>
        <w:numPr>
          <w:ilvl w:val="0"/>
          <w:numId w:val="252"/>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п</w:t>
      </w:r>
      <w:r w:rsidR="00877DE5" w:rsidRPr="00FD5033">
        <w:rPr>
          <w:rFonts w:ascii="Times New Roman" w:hAnsi="Times New Roman" w:cs="Times New Roman"/>
          <w:sz w:val="32"/>
          <w:szCs w:val="28"/>
        </w:rPr>
        <w:t>ожизненное страхование</w:t>
      </w:r>
      <w:r>
        <w:rPr>
          <w:rFonts w:ascii="Times New Roman" w:hAnsi="Times New Roman" w:cs="Times New Roman"/>
          <w:sz w:val="32"/>
          <w:szCs w:val="28"/>
        </w:rPr>
        <w:t>.</w:t>
      </w:r>
    </w:p>
    <w:p w14:paraId="5E1FBBF4" w14:textId="1EB8130B"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3. По числу застрахованных лиц</w:t>
      </w:r>
      <w:r w:rsidR="00FD5033">
        <w:rPr>
          <w:rFonts w:ascii="Times New Roman" w:hAnsi="Times New Roman" w:cs="Times New Roman"/>
          <w:bCs/>
          <w:sz w:val="32"/>
          <w:szCs w:val="28"/>
        </w:rPr>
        <w:t>.</w:t>
      </w:r>
    </w:p>
    <w:p w14:paraId="027A5523" w14:textId="22542895" w:rsidR="00877DE5" w:rsidRPr="00FD5033" w:rsidRDefault="00FD5033" w:rsidP="00AD58CD">
      <w:pPr>
        <w:pStyle w:val="a8"/>
        <w:numPr>
          <w:ilvl w:val="0"/>
          <w:numId w:val="253"/>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и</w:t>
      </w:r>
      <w:r w:rsidR="00877DE5" w:rsidRPr="00FD5033">
        <w:rPr>
          <w:rFonts w:ascii="Times New Roman" w:hAnsi="Times New Roman" w:cs="Times New Roman"/>
          <w:sz w:val="32"/>
          <w:szCs w:val="28"/>
        </w:rPr>
        <w:t>ндивидуальное страхование</w:t>
      </w:r>
      <w:r>
        <w:rPr>
          <w:rFonts w:ascii="Times New Roman" w:hAnsi="Times New Roman" w:cs="Times New Roman"/>
          <w:sz w:val="32"/>
          <w:szCs w:val="28"/>
        </w:rPr>
        <w:t>;</w:t>
      </w:r>
    </w:p>
    <w:p w14:paraId="2A20DCDC" w14:textId="19910751" w:rsidR="00877DE5" w:rsidRPr="00FD5033" w:rsidRDefault="00FD5033" w:rsidP="00AD58CD">
      <w:pPr>
        <w:pStyle w:val="a8"/>
        <w:numPr>
          <w:ilvl w:val="0"/>
          <w:numId w:val="253"/>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lastRenderedPageBreak/>
        <w:t>г</w:t>
      </w:r>
      <w:r w:rsidR="00877DE5" w:rsidRPr="00FD5033">
        <w:rPr>
          <w:rFonts w:ascii="Times New Roman" w:hAnsi="Times New Roman" w:cs="Times New Roman"/>
          <w:sz w:val="32"/>
          <w:szCs w:val="28"/>
        </w:rPr>
        <w:t>рупповое страхование (коллективы сотрудников, семьи, профессиональные группы)</w:t>
      </w:r>
      <w:r>
        <w:rPr>
          <w:rFonts w:ascii="Times New Roman" w:hAnsi="Times New Roman" w:cs="Times New Roman"/>
          <w:sz w:val="32"/>
          <w:szCs w:val="28"/>
        </w:rPr>
        <w:t>.</w:t>
      </w:r>
    </w:p>
    <w:p w14:paraId="49C59FCB" w14:textId="16BF4A5D"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4. По видам страховых рисков</w:t>
      </w:r>
      <w:r w:rsidR="00FD5033">
        <w:rPr>
          <w:rFonts w:ascii="Times New Roman" w:hAnsi="Times New Roman" w:cs="Times New Roman"/>
          <w:bCs/>
          <w:sz w:val="32"/>
          <w:szCs w:val="28"/>
        </w:rPr>
        <w:t>.</w:t>
      </w:r>
    </w:p>
    <w:p w14:paraId="3D8FFE3F" w14:textId="734EDB8A" w:rsidR="00877DE5" w:rsidRPr="009472DE" w:rsidRDefault="00877DE5" w:rsidP="00B64D5E">
      <w:pPr>
        <w:tabs>
          <w:tab w:val="left" w:pos="993"/>
        </w:tabs>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Страхование на случай смерти</w:t>
      </w:r>
      <w:r w:rsidR="00FD5033">
        <w:rPr>
          <w:rFonts w:ascii="Times New Roman" w:hAnsi="Times New Roman" w:cs="Times New Roman"/>
          <w:sz w:val="32"/>
          <w:szCs w:val="28"/>
        </w:rPr>
        <w:t>:</w:t>
      </w:r>
    </w:p>
    <w:p w14:paraId="58198603" w14:textId="7B6CC590" w:rsidR="00877DE5" w:rsidRPr="00FD5033" w:rsidRDefault="00FD5033" w:rsidP="00AD58CD">
      <w:pPr>
        <w:pStyle w:val="a8"/>
        <w:numPr>
          <w:ilvl w:val="0"/>
          <w:numId w:val="254"/>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с</w:t>
      </w:r>
      <w:r w:rsidR="00877DE5" w:rsidRPr="00FD5033">
        <w:rPr>
          <w:rFonts w:ascii="Times New Roman" w:hAnsi="Times New Roman" w:cs="Times New Roman"/>
          <w:sz w:val="32"/>
          <w:szCs w:val="28"/>
        </w:rPr>
        <w:t>трахование на случай дожития</w:t>
      </w:r>
      <w:r w:rsidRPr="00FD5033">
        <w:rPr>
          <w:rFonts w:ascii="Times New Roman" w:hAnsi="Times New Roman" w:cs="Times New Roman"/>
          <w:sz w:val="32"/>
          <w:szCs w:val="28"/>
        </w:rPr>
        <w:t>;</w:t>
      </w:r>
    </w:p>
    <w:p w14:paraId="6636F3BC" w14:textId="46EAE872" w:rsidR="00877DE5" w:rsidRPr="00FD5033" w:rsidRDefault="00FD5033" w:rsidP="00AD58CD">
      <w:pPr>
        <w:pStyle w:val="a8"/>
        <w:numPr>
          <w:ilvl w:val="0"/>
          <w:numId w:val="254"/>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с</w:t>
      </w:r>
      <w:r w:rsidR="00877DE5" w:rsidRPr="00FD5033">
        <w:rPr>
          <w:rFonts w:ascii="Times New Roman" w:hAnsi="Times New Roman" w:cs="Times New Roman"/>
          <w:sz w:val="32"/>
          <w:szCs w:val="28"/>
        </w:rPr>
        <w:t>мешанное страхование (комбинирует оба риска)</w:t>
      </w:r>
      <w:r w:rsidRPr="00FD5033">
        <w:rPr>
          <w:rFonts w:ascii="Times New Roman" w:hAnsi="Times New Roman" w:cs="Times New Roman"/>
          <w:sz w:val="32"/>
          <w:szCs w:val="28"/>
        </w:rPr>
        <w:t>.</w:t>
      </w:r>
    </w:p>
    <w:p w14:paraId="65315A8C" w14:textId="3739A57A"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5. По наличию инвестиционной составляющей</w:t>
      </w:r>
      <w:r w:rsidR="00FD5033">
        <w:rPr>
          <w:rFonts w:ascii="Times New Roman" w:hAnsi="Times New Roman" w:cs="Times New Roman"/>
          <w:bCs/>
          <w:sz w:val="32"/>
          <w:szCs w:val="28"/>
        </w:rPr>
        <w:t>:</w:t>
      </w:r>
    </w:p>
    <w:p w14:paraId="316B923D" w14:textId="16649C7C" w:rsidR="00877DE5" w:rsidRPr="00FD5033" w:rsidRDefault="00FD5033" w:rsidP="00AD58CD">
      <w:pPr>
        <w:pStyle w:val="a8"/>
        <w:numPr>
          <w:ilvl w:val="0"/>
          <w:numId w:val="255"/>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т</w:t>
      </w:r>
      <w:r w:rsidR="00877DE5" w:rsidRPr="00FD5033">
        <w:rPr>
          <w:rFonts w:ascii="Times New Roman" w:hAnsi="Times New Roman" w:cs="Times New Roman"/>
          <w:sz w:val="32"/>
          <w:szCs w:val="28"/>
        </w:rPr>
        <w:t>радиционное страхование жизни</w:t>
      </w:r>
      <w:r w:rsidRPr="00FD5033">
        <w:rPr>
          <w:rFonts w:ascii="Times New Roman" w:hAnsi="Times New Roman" w:cs="Times New Roman"/>
          <w:sz w:val="32"/>
          <w:szCs w:val="28"/>
        </w:rPr>
        <w:t>;</w:t>
      </w:r>
    </w:p>
    <w:p w14:paraId="06D5FEC9" w14:textId="59FF6E5C" w:rsidR="00877DE5" w:rsidRPr="00FD5033" w:rsidRDefault="00FD5033" w:rsidP="00AD58CD">
      <w:pPr>
        <w:pStyle w:val="a8"/>
        <w:numPr>
          <w:ilvl w:val="0"/>
          <w:numId w:val="255"/>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и</w:t>
      </w:r>
      <w:r w:rsidR="00877DE5" w:rsidRPr="00FD5033">
        <w:rPr>
          <w:rFonts w:ascii="Times New Roman" w:hAnsi="Times New Roman" w:cs="Times New Roman"/>
          <w:sz w:val="32"/>
          <w:szCs w:val="28"/>
        </w:rPr>
        <w:t>нвестиционное страхование жизни (ИСЖ), включающее:</w:t>
      </w:r>
    </w:p>
    <w:p w14:paraId="5A9C2994" w14:textId="398DFBEF" w:rsidR="00877DE5" w:rsidRPr="00FD5033" w:rsidRDefault="00FD5033" w:rsidP="00AD58CD">
      <w:pPr>
        <w:pStyle w:val="a8"/>
        <w:numPr>
          <w:ilvl w:val="0"/>
          <w:numId w:val="255"/>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у</w:t>
      </w:r>
      <w:r w:rsidR="00877DE5" w:rsidRPr="00FD5033">
        <w:rPr>
          <w:rFonts w:ascii="Times New Roman" w:hAnsi="Times New Roman" w:cs="Times New Roman"/>
          <w:sz w:val="32"/>
          <w:szCs w:val="28"/>
        </w:rPr>
        <w:t>ниверсальное страхование жизни</w:t>
      </w:r>
      <w:r>
        <w:rPr>
          <w:rFonts w:ascii="Times New Roman" w:hAnsi="Times New Roman" w:cs="Times New Roman"/>
          <w:sz w:val="32"/>
          <w:szCs w:val="28"/>
        </w:rPr>
        <w:t>;</w:t>
      </w:r>
    </w:p>
    <w:p w14:paraId="33F3F453" w14:textId="1706C5A9" w:rsidR="00877DE5" w:rsidRPr="00FD5033" w:rsidRDefault="00FD5033" w:rsidP="00AD58CD">
      <w:pPr>
        <w:pStyle w:val="a8"/>
        <w:numPr>
          <w:ilvl w:val="0"/>
          <w:numId w:val="255"/>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и</w:t>
      </w:r>
      <w:r w:rsidR="00877DE5" w:rsidRPr="00FD5033">
        <w:rPr>
          <w:rFonts w:ascii="Times New Roman" w:hAnsi="Times New Roman" w:cs="Times New Roman"/>
          <w:sz w:val="32"/>
          <w:szCs w:val="28"/>
        </w:rPr>
        <w:t>ндексированное страхование жизни</w:t>
      </w:r>
      <w:r>
        <w:rPr>
          <w:rFonts w:ascii="Times New Roman" w:hAnsi="Times New Roman" w:cs="Times New Roman"/>
          <w:sz w:val="32"/>
          <w:szCs w:val="28"/>
        </w:rPr>
        <w:t>;</w:t>
      </w:r>
    </w:p>
    <w:p w14:paraId="30F0DAA9" w14:textId="79D9A2F5" w:rsidR="00877DE5" w:rsidRPr="00FD5033" w:rsidRDefault="00FD5033" w:rsidP="00AD58CD">
      <w:pPr>
        <w:pStyle w:val="a8"/>
        <w:numPr>
          <w:ilvl w:val="0"/>
          <w:numId w:val="255"/>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е</w:t>
      </w:r>
      <w:r w:rsidR="00877DE5" w:rsidRPr="00FD5033">
        <w:rPr>
          <w:rFonts w:ascii="Times New Roman" w:hAnsi="Times New Roman" w:cs="Times New Roman"/>
          <w:sz w:val="32"/>
          <w:szCs w:val="28"/>
        </w:rPr>
        <w:t>диновременное страхование жизни</w:t>
      </w:r>
      <w:r>
        <w:rPr>
          <w:rFonts w:ascii="Times New Roman" w:hAnsi="Times New Roman" w:cs="Times New Roman"/>
          <w:sz w:val="32"/>
          <w:szCs w:val="28"/>
        </w:rPr>
        <w:t>.</w:t>
      </w:r>
    </w:p>
    <w:p w14:paraId="23015C50" w14:textId="319EA104"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6. По способу уплаты страховых взносов</w:t>
      </w:r>
      <w:r w:rsidR="00FD5033">
        <w:rPr>
          <w:rFonts w:ascii="Times New Roman" w:hAnsi="Times New Roman" w:cs="Times New Roman"/>
          <w:bCs/>
          <w:sz w:val="32"/>
          <w:szCs w:val="28"/>
        </w:rPr>
        <w:t>:</w:t>
      </w:r>
    </w:p>
    <w:p w14:paraId="063F3784" w14:textId="121D2A13" w:rsidR="00877DE5" w:rsidRPr="00FD5033" w:rsidRDefault="00FD5033" w:rsidP="00AD58CD">
      <w:pPr>
        <w:pStyle w:val="a8"/>
        <w:numPr>
          <w:ilvl w:val="0"/>
          <w:numId w:val="256"/>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е</w:t>
      </w:r>
      <w:r w:rsidR="00877DE5" w:rsidRPr="00FD5033">
        <w:rPr>
          <w:rFonts w:ascii="Times New Roman" w:hAnsi="Times New Roman" w:cs="Times New Roman"/>
          <w:sz w:val="32"/>
          <w:szCs w:val="28"/>
        </w:rPr>
        <w:t>диновременная уплата</w:t>
      </w:r>
      <w:r>
        <w:rPr>
          <w:rFonts w:ascii="Times New Roman" w:hAnsi="Times New Roman" w:cs="Times New Roman"/>
          <w:sz w:val="32"/>
          <w:szCs w:val="28"/>
        </w:rPr>
        <w:t>;</w:t>
      </w:r>
    </w:p>
    <w:p w14:paraId="42417D3F" w14:textId="5920067D" w:rsidR="00877DE5" w:rsidRPr="00FD5033" w:rsidRDefault="00FD5033" w:rsidP="00AD58CD">
      <w:pPr>
        <w:pStyle w:val="a8"/>
        <w:numPr>
          <w:ilvl w:val="0"/>
          <w:numId w:val="256"/>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п</w:t>
      </w:r>
      <w:r w:rsidR="00877DE5" w:rsidRPr="00FD5033">
        <w:rPr>
          <w:rFonts w:ascii="Times New Roman" w:hAnsi="Times New Roman" w:cs="Times New Roman"/>
          <w:sz w:val="32"/>
          <w:szCs w:val="28"/>
        </w:rPr>
        <w:t>ериодическая уплата (регулярные или гибкие платежи)</w:t>
      </w:r>
      <w:r>
        <w:rPr>
          <w:rFonts w:ascii="Times New Roman" w:hAnsi="Times New Roman" w:cs="Times New Roman"/>
          <w:sz w:val="32"/>
          <w:szCs w:val="28"/>
        </w:rPr>
        <w:t>.</w:t>
      </w:r>
    </w:p>
    <w:p w14:paraId="656EBFDD" w14:textId="77777777" w:rsidR="00877DE5" w:rsidRPr="009472DE" w:rsidRDefault="00877DE5" w:rsidP="00B64D5E">
      <w:pPr>
        <w:tabs>
          <w:tab w:val="left" w:pos="993"/>
        </w:tabs>
        <w:spacing w:after="0" w:line="240" w:lineRule="auto"/>
        <w:ind w:firstLine="709"/>
        <w:jc w:val="both"/>
        <w:rPr>
          <w:rFonts w:ascii="Times New Roman" w:hAnsi="Times New Roman" w:cs="Times New Roman"/>
          <w:bCs/>
          <w:sz w:val="32"/>
          <w:szCs w:val="28"/>
        </w:rPr>
      </w:pPr>
      <w:r w:rsidRPr="009472DE">
        <w:rPr>
          <w:rFonts w:ascii="Times New Roman" w:hAnsi="Times New Roman" w:cs="Times New Roman"/>
          <w:bCs/>
          <w:sz w:val="32"/>
          <w:szCs w:val="28"/>
        </w:rPr>
        <w:t>7. По условиям выплаты страхового обеспечения</w:t>
      </w:r>
    </w:p>
    <w:p w14:paraId="64C3634A" w14:textId="533C9303" w:rsidR="00877DE5" w:rsidRPr="00FD5033" w:rsidRDefault="00FD5033" w:rsidP="00AD58CD">
      <w:pPr>
        <w:pStyle w:val="a8"/>
        <w:numPr>
          <w:ilvl w:val="0"/>
          <w:numId w:val="257"/>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е</w:t>
      </w:r>
      <w:r w:rsidR="00877DE5" w:rsidRPr="00FD5033">
        <w:rPr>
          <w:rFonts w:ascii="Times New Roman" w:hAnsi="Times New Roman" w:cs="Times New Roman"/>
          <w:sz w:val="32"/>
          <w:szCs w:val="28"/>
        </w:rPr>
        <w:t>диновременные выплаты</w:t>
      </w:r>
      <w:r w:rsidRPr="00FD5033">
        <w:rPr>
          <w:rFonts w:ascii="Times New Roman" w:hAnsi="Times New Roman" w:cs="Times New Roman"/>
          <w:sz w:val="32"/>
          <w:szCs w:val="28"/>
        </w:rPr>
        <w:t>;</w:t>
      </w:r>
    </w:p>
    <w:p w14:paraId="36C4FE34" w14:textId="293B196F" w:rsidR="00877DE5" w:rsidRPr="00FD5033" w:rsidRDefault="00FD5033" w:rsidP="00AD58CD">
      <w:pPr>
        <w:pStyle w:val="a8"/>
        <w:numPr>
          <w:ilvl w:val="0"/>
          <w:numId w:val="257"/>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п</w:t>
      </w:r>
      <w:r w:rsidR="00877DE5" w:rsidRPr="00FD5033">
        <w:rPr>
          <w:rFonts w:ascii="Times New Roman" w:hAnsi="Times New Roman" w:cs="Times New Roman"/>
          <w:sz w:val="32"/>
          <w:szCs w:val="28"/>
        </w:rPr>
        <w:t>ериодические выплаты</w:t>
      </w:r>
      <w:r w:rsidRPr="00FD5033">
        <w:rPr>
          <w:rFonts w:ascii="Times New Roman" w:hAnsi="Times New Roman" w:cs="Times New Roman"/>
          <w:sz w:val="32"/>
          <w:szCs w:val="28"/>
        </w:rPr>
        <w:t>;</w:t>
      </w:r>
    </w:p>
    <w:p w14:paraId="3E58CF15" w14:textId="7CA82E74" w:rsidR="00877DE5" w:rsidRPr="00FD5033" w:rsidRDefault="00FD5033" w:rsidP="00AD58CD">
      <w:pPr>
        <w:pStyle w:val="a8"/>
        <w:numPr>
          <w:ilvl w:val="0"/>
          <w:numId w:val="257"/>
        </w:numPr>
        <w:tabs>
          <w:tab w:val="left" w:pos="993"/>
        </w:tabs>
        <w:spacing w:after="0" w:line="240" w:lineRule="auto"/>
        <w:ind w:left="0" w:firstLine="709"/>
        <w:jc w:val="both"/>
        <w:rPr>
          <w:rFonts w:ascii="Times New Roman" w:hAnsi="Times New Roman" w:cs="Times New Roman"/>
          <w:sz w:val="32"/>
          <w:szCs w:val="28"/>
        </w:rPr>
      </w:pPr>
      <w:r>
        <w:rPr>
          <w:rFonts w:ascii="Times New Roman" w:hAnsi="Times New Roman" w:cs="Times New Roman"/>
          <w:sz w:val="32"/>
          <w:szCs w:val="28"/>
        </w:rPr>
        <w:t>в</w:t>
      </w:r>
      <w:r w:rsidR="00877DE5" w:rsidRPr="00FD5033">
        <w:rPr>
          <w:rFonts w:ascii="Times New Roman" w:hAnsi="Times New Roman" w:cs="Times New Roman"/>
          <w:sz w:val="32"/>
          <w:szCs w:val="28"/>
        </w:rPr>
        <w:t>ыплата в виде аннуитета</w:t>
      </w:r>
      <w:r w:rsidRPr="00FD5033">
        <w:rPr>
          <w:rFonts w:ascii="Times New Roman" w:hAnsi="Times New Roman" w:cs="Times New Roman"/>
          <w:sz w:val="32"/>
          <w:szCs w:val="28"/>
        </w:rPr>
        <w:t>.</w:t>
      </w:r>
    </w:p>
    <w:p w14:paraId="5073FF99" w14:textId="77777777" w:rsidR="00B64D5E" w:rsidRDefault="00877DE5" w:rsidP="00B64D5E">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 xml:space="preserve">Личное страхование играет важную роль в обеспечении финансовой стабильности и социальной защищённости граждан. Основные преимущества включают защита имущественных интересов, а именно страхование помогает компенсировать финансовые потери, вызванные непредвиденными ситуациями, такими как болезнь, травма или потеря кормильца. </w:t>
      </w:r>
    </w:p>
    <w:p w14:paraId="700D2953" w14:textId="0CFFE800" w:rsidR="00877DE5" w:rsidRPr="009472DE" w:rsidRDefault="00877DE5" w:rsidP="00B64D5E">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Обеспечение доступа к качественной медицинской помощи. То есть программы медицинского страхования позволяют получать своевременную медицинскую помощь в лучших клиниках, что особенно важно в условиях перегруженности государственных систем здравоохранения [2].</w:t>
      </w:r>
    </w:p>
    <w:p w14:paraId="43F7470B" w14:textId="77777777" w:rsidR="00877DE5" w:rsidRPr="009472DE" w:rsidRDefault="00877DE5" w:rsidP="00B64D5E">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Финансовое планирование, где личное страхование помогает формировать долгосрочные финансовые цели, такие как накопление капитала, образование детей или обеспечение комфортной пенсии. Социальная значимость - развитие личного страхования способствует снижению нагрузки на государственные системы социального обеспечения и повышению уровня благосостояния общества.</w:t>
      </w:r>
    </w:p>
    <w:p w14:paraId="006D4E70" w14:textId="77777777" w:rsidR="00877DE5" w:rsidRPr="009472DE" w:rsidRDefault="00877DE5" w:rsidP="00B64D5E">
      <w:pPr>
        <w:tabs>
          <w:tab w:val="left" w:pos="993"/>
        </w:tabs>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Развитие личного страхования в будущем будет определяться следующими несколькими тенденциями:</w:t>
      </w:r>
    </w:p>
    <w:p w14:paraId="7C66BF34" w14:textId="77777777" w:rsidR="00877DE5" w:rsidRPr="009472DE" w:rsidRDefault="00877DE5" w:rsidP="00AD58CD">
      <w:pPr>
        <w:numPr>
          <w:ilvl w:val="0"/>
          <w:numId w:val="4"/>
        </w:numPr>
        <w:tabs>
          <w:tab w:val="left" w:pos="993"/>
        </w:tabs>
        <w:spacing w:after="0" w:line="240" w:lineRule="auto"/>
        <w:ind w:left="0" w:firstLine="709"/>
        <w:jc w:val="both"/>
        <w:rPr>
          <w:rFonts w:ascii="Times New Roman" w:hAnsi="Times New Roman" w:cs="Times New Roman"/>
          <w:sz w:val="32"/>
          <w:szCs w:val="28"/>
        </w:rPr>
      </w:pPr>
      <w:r w:rsidRPr="009472DE">
        <w:rPr>
          <w:rFonts w:ascii="Times New Roman" w:hAnsi="Times New Roman" w:cs="Times New Roman"/>
          <w:sz w:val="32"/>
          <w:szCs w:val="28"/>
        </w:rPr>
        <w:lastRenderedPageBreak/>
        <w:t>Цифровизация процессов - внедрение онлайн-продаж, автоматизация процессов оформления и обслуживания, использование больших данных для более точной оценки рисков.</w:t>
      </w:r>
    </w:p>
    <w:p w14:paraId="0CC227A7" w14:textId="77777777" w:rsidR="00877DE5" w:rsidRPr="009472DE" w:rsidRDefault="00877DE5" w:rsidP="00AD58CD">
      <w:pPr>
        <w:numPr>
          <w:ilvl w:val="0"/>
          <w:numId w:val="4"/>
        </w:numPr>
        <w:tabs>
          <w:tab w:val="left" w:pos="993"/>
        </w:tabs>
        <w:spacing w:after="0" w:line="240" w:lineRule="auto"/>
        <w:ind w:left="0" w:firstLine="709"/>
        <w:jc w:val="both"/>
        <w:rPr>
          <w:rFonts w:ascii="Times New Roman" w:hAnsi="Times New Roman" w:cs="Times New Roman"/>
          <w:sz w:val="32"/>
          <w:szCs w:val="28"/>
        </w:rPr>
      </w:pPr>
      <w:r w:rsidRPr="009472DE">
        <w:rPr>
          <w:rFonts w:ascii="Times New Roman" w:hAnsi="Times New Roman" w:cs="Times New Roman"/>
          <w:sz w:val="32"/>
          <w:szCs w:val="28"/>
        </w:rPr>
        <w:t>Персонализация продуктов - создание гибких и индивидуальных страховых программ, учитывающих уникальные потребности каждого клиента.</w:t>
      </w:r>
    </w:p>
    <w:p w14:paraId="0F77F721" w14:textId="77777777" w:rsidR="00877DE5" w:rsidRPr="009472DE" w:rsidRDefault="00877DE5" w:rsidP="00AD58CD">
      <w:pPr>
        <w:numPr>
          <w:ilvl w:val="0"/>
          <w:numId w:val="4"/>
        </w:numPr>
        <w:tabs>
          <w:tab w:val="left" w:pos="993"/>
        </w:tabs>
        <w:spacing w:after="0" w:line="240" w:lineRule="auto"/>
        <w:ind w:left="0" w:firstLine="709"/>
        <w:jc w:val="both"/>
        <w:rPr>
          <w:rFonts w:ascii="Times New Roman" w:hAnsi="Times New Roman" w:cs="Times New Roman"/>
          <w:sz w:val="32"/>
          <w:szCs w:val="28"/>
        </w:rPr>
      </w:pPr>
      <w:r w:rsidRPr="009472DE">
        <w:rPr>
          <w:rFonts w:ascii="Times New Roman" w:hAnsi="Times New Roman" w:cs="Times New Roman"/>
          <w:sz w:val="32"/>
          <w:szCs w:val="28"/>
        </w:rPr>
        <w:t>Расширение страхового покрытия - включение новых видов рисков, таких как киберугрозы, пандемии или экологические катастрофы.</w:t>
      </w:r>
    </w:p>
    <w:p w14:paraId="08506F14" w14:textId="77777777" w:rsidR="00877DE5" w:rsidRPr="009472DE" w:rsidRDefault="00877DE5" w:rsidP="00AD58CD">
      <w:pPr>
        <w:numPr>
          <w:ilvl w:val="0"/>
          <w:numId w:val="4"/>
        </w:numPr>
        <w:tabs>
          <w:tab w:val="left" w:pos="993"/>
        </w:tabs>
        <w:spacing w:after="0" w:line="240" w:lineRule="auto"/>
        <w:ind w:left="0" w:firstLine="709"/>
        <w:jc w:val="both"/>
        <w:rPr>
          <w:rFonts w:ascii="Times New Roman" w:hAnsi="Times New Roman" w:cs="Times New Roman"/>
          <w:sz w:val="32"/>
          <w:szCs w:val="28"/>
        </w:rPr>
      </w:pPr>
      <w:r w:rsidRPr="009472DE">
        <w:rPr>
          <w:rFonts w:ascii="Times New Roman" w:hAnsi="Times New Roman" w:cs="Times New Roman"/>
          <w:sz w:val="32"/>
          <w:szCs w:val="28"/>
        </w:rPr>
        <w:t>Интеграция со смежными сервисами - сочетание страховых продуктов с финансовыми, медицинскими и оздоровительными услугами для создания комплексных решений.</w:t>
      </w:r>
    </w:p>
    <w:p w14:paraId="4B6BFA20" w14:textId="77777777" w:rsidR="00FD5033"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 xml:space="preserve">Таким образом, личное страхование является важным инструментом защиты имущественных интересов граждан и обеспечения их финансовой стабильности. Его различные формы и виды позволяют эффективно решать широкий спектр задач, связанных с защитой жизни, здоровья и трудоспособности. Особое место занимает страхование жизни, которое сочетает в себе функции защиты, накопления и инвестирования. </w:t>
      </w:r>
    </w:p>
    <w:p w14:paraId="10C20DB0" w14:textId="318B6344" w:rsidR="00877DE5" w:rsidRPr="009472DE" w:rsidRDefault="00877DE5" w:rsidP="00FD5033">
      <w:pPr>
        <w:spacing w:after="0" w:line="240" w:lineRule="auto"/>
        <w:ind w:firstLine="709"/>
        <w:jc w:val="both"/>
        <w:rPr>
          <w:rFonts w:ascii="Times New Roman" w:hAnsi="Times New Roman" w:cs="Times New Roman"/>
          <w:sz w:val="32"/>
          <w:szCs w:val="28"/>
        </w:rPr>
      </w:pPr>
      <w:r w:rsidRPr="009472DE">
        <w:rPr>
          <w:rFonts w:ascii="Times New Roman" w:hAnsi="Times New Roman" w:cs="Times New Roman"/>
          <w:sz w:val="32"/>
          <w:szCs w:val="28"/>
        </w:rPr>
        <w:t>Разнообразие программ и гибкая система классификации договоров страхования жизни позволяют подобрать оптимальное решение практически для любой категории населения. В условиях растущей неопределённости и усложнения жизненных ситуаций личное страхование становится необходимым элементом современной жизни. Его дальнейшее развитие и совершенствование будут и дальше играть ключевую роль в обеспечении стабильности и благополучия общества в целом.</w:t>
      </w:r>
    </w:p>
    <w:p w14:paraId="7F93CDFC" w14:textId="77777777" w:rsidR="00877DE5" w:rsidRPr="009472DE" w:rsidRDefault="00877DE5" w:rsidP="00067100">
      <w:pPr>
        <w:spacing w:after="0" w:line="240" w:lineRule="auto"/>
        <w:ind w:firstLine="709"/>
        <w:jc w:val="both"/>
        <w:rPr>
          <w:rFonts w:ascii="Times New Roman" w:hAnsi="Times New Roman" w:cs="Times New Roman"/>
          <w:sz w:val="32"/>
        </w:rPr>
      </w:pPr>
    </w:p>
    <w:p w14:paraId="64522D76" w14:textId="77777777" w:rsidR="00877DE5" w:rsidRPr="009472DE" w:rsidRDefault="00877DE5" w:rsidP="00067100">
      <w:pPr>
        <w:spacing w:after="0" w:line="240" w:lineRule="auto"/>
        <w:ind w:firstLine="709"/>
        <w:jc w:val="center"/>
        <w:rPr>
          <w:rFonts w:ascii="Times New Roman" w:hAnsi="Times New Roman" w:cs="Times New Roman"/>
          <w:sz w:val="21"/>
          <w:szCs w:val="21"/>
        </w:rPr>
      </w:pPr>
      <w:r w:rsidRPr="009472DE">
        <w:rPr>
          <w:rFonts w:ascii="Times New Roman" w:hAnsi="Times New Roman" w:cs="Times New Roman"/>
          <w:b/>
          <w:sz w:val="21"/>
          <w:szCs w:val="21"/>
        </w:rPr>
        <w:t>Литература</w:t>
      </w:r>
      <w:r w:rsidRPr="009472DE">
        <w:rPr>
          <w:rFonts w:ascii="Times New Roman" w:hAnsi="Times New Roman" w:cs="Times New Roman"/>
          <w:sz w:val="21"/>
          <w:szCs w:val="21"/>
        </w:rPr>
        <w:t>:</w:t>
      </w:r>
    </w:p>
    <w:p w14:paraId="3FA6FDE1" w14:textId="77777777" w:rsidR="00877DE5" w:rsidRPr="00877DE5" w:rsidRDefault="00877DE5" w:rsidP="00AD58CD">
      <w:pPr>
        <w:pStyle w:val="afc"/>
        <w:numPr>
          <w:ilvl w:val="0"/>
          <w:numId w:val="5"/>
        </w:numPr>
        <w:tabs>
          <w:tab w:val="clear" w:pos="720"/>
          <w:tab w:val="left" w:pos="0"/>
          <w:tab w:val="left" w:pos="142"/>
          <w:tab w:val="left" w:pos="426"/>
        </w:tabs>
        <w:ind w:left="0" w:firstLine="0"/>
        <w:rPr>
          <w:rFonts w:eastAsia="Times New Roman" w:cs="Times New Roman"/>
          <w:color w:val="000000"/>
          <w:lang w:val="ru-RU"/>
        </w:rPr>
      </w:pPr>
      <w:r w:rsidRPr="00877DE5">
        <w:rPr>
          <w:rFonts w:eastAsia="Times New Roman" w:cs="Times New Roman"/>
          <w:color w:val="000000"/>
          <w:lang w:val="ru-RU"/>
        </w:rPr>
        <w:t xml:space="preserve">Кузнецова Н.В. Личное страхование: учебное пособие. — СПб.: Питер, 2023. — 288 с. </w:t>
      </w:r>
    </w:p>
    <w:p w14:paraId="04667DCE" w14:textId="77777777" w:rsidR="00877DE5" w:rsidRPr="00877DE5" w:rsidRDefault="00877DE5" w:rsidP="00AD58CD">
      <w:pPr>
        <w:pStyle w:val="afc"/>
        <w:numPr>
          <w:ilvl w:val="0"/>
          <w:numId w:val="5"/>
        </w:numPr>
        <w:tabs>
          <w:tab w:val="clear" w:pos="720"/>
          <w:tab w:val="left" w:pos="0"/>
          <w:tab w:val="left" w:pos="142"/>
          <w:tab w:val="left" w:pos="426"/>
        </w:tabs>
        <w:ind w:left="0" w:firstLine="0"/>
        <w:rPr>
          <w:rFonts w:eastAsia="Times New Roman" w:cs="Times New Roman"/>
          <w:color w:val="000000"/>
          <w:lang w:val="ru-RU"/>
        </w:rPr>
      </w:pPr>
      <w:r w:rsidRPr="00877DE5">
        <w:rPr>
          <w:rFonts w:eastAsia="Times New Roman" w:cs="Times New Roman"/>
          <w:color w:val="000000"/>
          <w:lang w:val="ru-RU"/>
        </w:rPr>
        <w:t xml:space="preserve">Лялин В.С., Шахов В.В. Страхование: учебник для вузов. — М.: Юрайт, 2021. — 512 с. </w:t>
      </w:r>
    </w:p>
    <w:p w14:paraId="6AF4EBE0" w14:textId="77777777" w:rsidR="00877DE5" w:rsidRPr="00877DE5" w:rsidRDefault="00877DE5" w:rsidP="00AD58CD">
      <w:pPr>
        <w:pStyle w:val="afc"/>
        <w:numPr>
          <w:ilvl w:val="0"/>
          <w:numId w:val="5"/>
        </w:numPr>
        <w:tabs>
          <w:tab w:val="clear" w:pos="720"/>
          <w:tab w:val="left" w:pos="0"/>
          <w:tab w:val="left" w:pos="142"/>
          <w:tab w:val="left" w:pos="426"/>
        </w:tabs>
        <w:ind w:left="0" w:firstLine="0"/>
        <w:rPr>
          <w:rFonts w:eastAsia="Times New Roman" w:cs="Times New Roman"/>
          <w:color w:val="000000"/>
          <w:lang w:val="ru-RU"/>
        </w:rPr>
      </w:pPr>
      <w:r w:rsidRPr="00877DE5">
        <w:rPr>
          <w:rFonts w:eastAsia="Times New Roman" w:cs="Times New Roman"/>
          <w:color w:val="000000"/>
          <w:lang w:val="ru-RU"/>
        </w:rPr>
        <w:t xml:space="preserve">Медведев И.Г. Современные тенденции развития страхового рынка России. — М.: Дело, 2022. — 240 с. </w:t>
      </w:r>
    </w:p>
    <w:p w14:paraId="5109D860" w14:textId="77777777" w:rsidR="00877DE5" w:rsidRPr="00877DE5" w:rsidRDefault="00877DE5" w:rsidP="00AD58CD">
      <w:pPr>
        <w:pStyle w:val="afc"/>
        <w:numPr>
          <w:ilvl w:val="0"/>
          <w:numId w:val="5"/>
        </w:numPr>
        <w:tabs>
          <w:tab w:val="clear" w:pos="720"/>
          <w:tab w:val="left" w:pos="0"/>
          <w:tab w:val="left" w:pos="142"/>
          <w:tab w:val="left" w:pos="426"/>
        </w:tabs>
        <w:ind w:left="0" w:firstLine="0"/>
        <w:rPr>
          <w:rFonts w:eastAsia="Times New Roman" w:cs="Times New Roman"/>
          <w:color w:val="000000"/>
          <w:lang w:val="ru-RU"/>
        </w:rPr>
      </w:pPr>
      <w:r w:rsidRPr="00877DE5">
        <w:rPr>
          <w:rFonts w:eastAsia="Times New Roman" w:cs="Times New Roman"/>
          <w:color w:val="000000"/>
          <w:lang w:val="ru-RU"/>
        </w:rPr>
        <w:t>Международная практика страхования: учебное пособие / Под ред. А.Ю. Семенова. — М.: Юстицинформ, 2024. — 312 с.</w:t>
      </w:r>
    </w:p>
    <w:p w14:paraId="01BEB937" w14:textId="77777777" w:rsidR="00877DE5" w:rsidRPr="00877DE5" w:rsidRDefault="00877DE5" w:rsidP="00AD58CD">
      <w:pPr>
        <w:pStyle w:val="afc"/>
        <w:numPr>
          <w:ilvl w:val="0"/>
          <w:numId w:val="5"/>
        </w:numPr>
        <w:tabs>
          <w:tab w:val="clear" w:pos="720"/>
          <w:tab w:val="left" w:pos="0"/>
          <w:tab w:val="left" w:pos="142"/>
          <w:tab w:val="left" w:pos="426"/>
        </w:tabs>
        <w:ind w:left="0" w:firstLine="0"/>
        <w:rPr>
          <w:rFonts w:eastAsia="Times New Roman" w:cs="Times New Roman"/>
          <w:color w:val="000000"/>
          <w:lang w:val="ru-RU"/>
        </w:rPr>
      </w:pPr>
      <w:r w:rsidRPr="00877DE5">
        <w:rPr>
          <w:rFonts w:eastAsia="Times New Roman" w:cs="Times New Roman"/>
          <w:color w:val="000000"/>
          <w:lang w:val="ru-RU"/>
        </w:rPr>
        <w:t>Страховой рынок России: аналитический обзор / Под ред. В.В. Шахова. — М.: Альпина Паблишер, 2023. — 200 с.</w:t>
      </w:r>
    </w:p>
    <w:p w14:paraId="3ABF4DAC" w14:textId="256CB244" w:rsidR="00B64D5E" w:rsidRDefault="00B64D5E">
      <w:pPr>
        <w:rPr>
          <w:rFonts w:ascii="Times New Roman" w:hAnsi="Times New Roman" w:cs="Times New Roman"/>
          <w:b/>
          <w:sz w:val="21"/>
          <w:szCs w:val="21"/>
        </w:rPr>
      </w:pPr>
      <w:r>
        <w:rPr>
          <w:rFonts w:ascii="Times New Roman" w:hAnsi="Times New Roman" w:cs="Times New Roman"/>
          <w:b/>
          <w:sz w:val="21"/>
          <w:szCs w:val="21"/>
        </w:rPr>
        <w:br w:type="page"/>
      </w:r>
    </w:p>
    <w:p w14:paraId="3FC8F35B" w14:textId="24F7352A" w:rsidR="00E27E57" w:rsidRPr="009472DE" w:rsidRDefault="00E27E57" w:rsidP="00E27E57">
      <w:pPr>
        <w:spacing w:after="0" w:line="240" w:lineRule="auto"/>
        <w:rPr>
          <w:rFonts w:ascii="Times New Roman" w:hAnsi="Times New Roman" w:cs="Times New Roman"/>
          <w:b/>
          <w:i/>
          <w:iCs/>
          <w:sz w:val="21"/>
          <w:szCs w:val="21"/>
        </w:rPr>
      </w:pPr>
      <w:r w:rsidRPr="009472DE">
        <w:rPr>
          <w:rFonts w:ascii="Times New Roman" w:hAnsi="Times New Roman" w:cs="Times New Roman"/>
          <w:b/>
          <w:sz w:val="21"/>
          <w:szCs w:val="21"/>
        </w:rPr>
        <w:lastRenderedPageBreak/>
        <w:t>УДК</w:t>
      </w:r>
      <w:r>
        <w:rPr>
          <w:rFonts w:ascii="Times New Roman" w:hAnsi="Times New Roman" w:cs="Times New Roman"/>
          <w:b/>
          <w:sz w:val="21"/>
          <w:szCs w:val="21"/>
        </w:rPr>
        <w:t xml:space="preserve"> </w:t>
      </w:r>
      <w:r w:rsidRPr="009472DE">
        <w:rPr>
          <w:rFonts w:ascii="Times New Roman" w:hAnsi="Times New Roman" w:cs="Times New Roman"/>
          <w:b/>
          <w:sz w:val="21"/>
          <w:szCs w:val="21"/>
        </w:rPr>
        <w:t xml:space="preserve">470.620                                                                                                                                      </w:t>
      </w:r>
    </w:p>
    <w:p w14:paraId="1B2CC134" w14:textId="77777777" w:rsidR="00E27E57" w:rsidRPr="009472DE" w:rsidRDefault="00E27E57" w:rsidP="00E27E57">
      <w:pPr>
        <w:spacing w:after="0" w:line="240" w:lineRule="auto"/>
        <w:ind w:firstLine="709"/>
        <w:contextualSpacing/>
        <w:jc w:val="right"/>
        <w:rPr>
          <w:rFonts w:ascii="Times New Roman" w:hAnsi="Times New Roman" w:cs="Times New Roman"/>
          <w:b/>
          <w:i/>
          <w:iCs/>
          <w:sz w:val="21"/>
          <w:szCs w:val="21"/>
        </w:rPr>
      </w:pPr>
      <w:r w:rsidRPr="009472DE">
        <w:rPr>
          <w:rFonts w:ascii="Times New Roman" w:hAnsi="Times New Roman" w:cs="Times New Roman"/>
          <w:b/>
          <w:i/>
          <w:iCs/>
          <w:sz w:val="21"/>
          <w:szCs w:val="21"/>
        </w:rPr>
        <w:t>Корнеева В.А., Мищенко А.О.</w:t>
      </w:r>
      <w:r>
        <w:rPr>
          <w:rFonts w:ascii="Times New Roman" w:hAnsi="Times New Roman" w:cs="Times New Roman"/>
          <w:b/>
          <w:i/>
          <w:iCs/>
          <w:sz w:val="21"/>
          <w:szCs w:val="21"/>
        </w:rPr>
        <w:t>,</w:t>
      </w:r>
    </w:p>
    <w:p w14:paraId="1EFCA4E2" w14:textId="77777777" w:rsidR="00E27E57" w:rsidRDefault="00E27E57" w:rsidP="00E27E57">
      <w:pPr>
        <w:spacing w:after="0" w:line="240" w:lineRule="auto"/>
        <w:ind w:firstLine="709"/>
        <w:contextualSpacing/>
        <w:jc w:val="right"/>
        <w:rPr>
          <w:rFonts w:ascii="Times New Roman" w:hAnsi="Times New Roman" w:cs="Times New Roman"/>
          <w:i/>
          <w:iCs/>
          <w:sz w:val="21"/>
          <w:szCs w:val="21"/>
        </w:rPr>
      </w:pPr>
      <w:r>
        <w:rPr>
          <w:rFonts w:ascii="Times New Roman" w:hAnsi="Times New Roman" w:cs="Times New Roman"/>
          <w:i/>
          <w:iCs/>
          <w:sz w:val="21"/>
          <w:szCs w:val="21"/>
        </w:rPr>
        <w:t>3 курс, группа 22-ФБД-иуп-о/з</w:t>
      </w:r>
    </w:p>
    <w:p w14:paraId="5D4E4665"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 xml:space="preserve">Краснодарский филиал ФГОБУ </w:t>
      </w:r>
      <w:r>
        <w:rPr>
          <w:rFonts w:ascii="Times New Roman" w:hAnsi="Times New Roman" w:cs="Times New Roman"/>
          <w:i/>
          <w:iCs/>
          <w:sz w:val="21"/>
          <w:szCs w:val="21"/>
        </w:rPr>
        <w:t xml:space="preserve">ВО «Финансовый университет при Правительстве Российской </w:t>
      </w:r>
      <w:r w:rsidRPr="009472DE">
        <w:rPr>
          <w:rFonts w:ascii="Times New Roman" w:hAnsi="Times New Roman" w:cs="Times New Roman"/>
          <w:i/>
          <w:iCs/>
          <w:sz w:val="21"/>
          <w:szCs w:val="21"/>
        </w:rPr>
        <w:t>Федерации»</w:t>
      </w:r>
    </w:p>
    <w:p w14:paraId="1EEF77CC"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г. Краснодар, Россия</w:t>
      </w:r>
    </w:p>
    <w:p w14:paraId="63D37E30"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lang w:val="fr-FR"/>
        </w:rPr>
      </w:pPr>
      <w:r w:rsidRPr="009472DE">
        <w:rPr>
          <w:rFonts w:ascii="Times New Roman" w:hAnsi="Times New Roman" w:cs="Times New Roman"/>
          <w:i/>
          <w:iCs/>
          <w:sz w:val="21"/>
          <w:szCs w:val="21"/>
          <w:lang w:val="fr-FR"/>
        </w:rPr>
        <w:t>e-mail: sashaparhomenkogm@gmail.com</w:t>
      </w:r>
    </w:p>
    <w:p w14:paraId="439CD04D"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lang w:val="fr-FR"/>
        </w:rPr>
      </w:pPr>
      <w:r w:rsidRPr="009472DE">
        <w:rPr>
          <w:rFonts w:ascii="Times New Roman" w:hAnsi="Times New Roman" w:cs="Times New Roman"/>
          <w:i/>
          <w:iCs/>
          <w:sz w:val="21"/>
          <w:szCs w:val="21"/>
          <w:lang w:val="fr-FR"/>
        </w:rPr>
        <w:t xml:space="preserve">e-mail: </w:t>
      </w:r>
      <w:hyperlink r:id="rId48" w:history="1">
        <w:r w:rsidRPr="009472DE">
          <w:rPr>
            <w:rStyle w:val="aa"/>
            <w:rFonts w:ascii="Times New Roman" w:hAnsi="Times New Roman" w:cs="Times New Roman"/>
            <w:i/>
            <w:iCs/>
            <w:sz w:val="21"/>
            <w:szCs w:val="21"/>
            <w:lang w:val="fr-FR"/>
          </w:rPr>
          <w:t>K0rneeva-VA@yandex.ru</w:t>
        </w:r>
      </w:hyperlink>
    </w:p>
    <w:p w14:paraId="71F00425"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lang w:val="fr-FR"/>
        </w:rPr>
      </w:pPr>
    </w:p>
    <w:p w14:paraId="1FDBE80B" w14:textId="77777777" w:rsidR="00E27E57" w:rsidRDefault="00E27E57" w:rsidP="00E27E57">
      <w:pPr>
        <w:spacing w:after="0" w:line="240" w:lineRule="auto"/>
        <w:ind w:firstLine="709"/>
        <w:contextualSpacing/>
        <w:jc w:val="right"/>
        <w:rPr>
          <w:rFonts w:ascii="Times New Roman" w:hAnsi="Times New Roman" w:cs="Times New Roman"/>
          <w:b/>
          <w:i/>
          <w:iCs/>
          <w:sz w:val="21"/>
          <w:szCs w:val="21"/>
        </w:rPr>
      </w:pPr>
      <w:r>
        <w:rPr>
          <w:rFonts w:ascii="Times New Roman" w:hAnsi="Times New Roman" w:cs="Times New Roman"/>
          <w:b/>
          <w:i/>
          <w:iCs/>
          <w:sz w:val="21"/>
          <w:szCs w:val="21"/>
        </w:rPr>
        <w:t xml:space="preserve">Научный руководитель: </w:t>
      </w:r>
    </w:p>
    <w:p w14:paraId="5261B75A" w14:textId="77777777" w:rsidR="00E27E57" w:rsidRPr="009472DE" w:rsidRDefault="00E27E57" w:rsidP="00E27E57">
      <w:pPr>
        <w:spacing w:after="0" w:line="240" w:lineRule="auto"/>
        <w:ind w:firstLine="709"/>
        <w:contextualSpacing/>
        <w:jc w:val="right"/>
        <w:rPr>
          <w:rFonts w:ascii="Times New Roman" w:hAnsi="Times New Roman" w:cs="Times New Roman"/>
          <w:b/>
          <w:i/>
          <w:iCs/>
          <w:sz w:val="21"/>
          <w:szCs w:val="21"/>
        </w:rPr>
      </w:pPr>
      <w:r w:rsidRPr="009472DE">
        <w:rPr>
          <w:rFonts w:ascii="Times New Roman" w:hAnsi="Times New Roman" w:cs="Times New Roman"/>
          <w:b/>
          <w:i/>
          <w:iCs/>
          <w:sz w:val="21"/>
          <w:szCs w:val="21"/>
        </w:rPr>
        <w:t>Пименов Г.Г.</w:t>
      </w:r>
      <w:r>
        <w:rPr>
          <w:rFonts w:ascii="Times New Roman" w:hAnsi="Times New Roman" w:cs="Times New Roman"/>
          <w:b/>
          <w:i/>
          <w:iCs/>
          <w:sz w:val="21"/>
          <w:szCs w:val="21"/>
        </w:rPr>
        <w:t>,</w:t>
      </w:r>
    </w:p>
    <w:p w14:paraId="09C3CADF"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 xml:space="preserve">кандидат экономических наук, </w:t>
      </w:r>
    </w:p>
    <w:p w14:paraId="374A71F4"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доцент кафедры «Экономика и финансы»</w:t>
      </w:r>
    </w:p>
    <w:p w14:paraId="3E02662C"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Краснодарского филиала ФГОБУ ВО «Финансовый университет при Правительстве Российской Федерации»</w:t>
      </w:r>
    </w:p>
    <w:p w14:paraId="7D16793A" w14:textId="77777777" w:rsidR="00E27E57" w:rsidRPr="009472DE" w:rsidRDefault="00E27E57" w:rsidP="00E27E57">
      <w:pPr>
        <w:spacing w:after="0" w:line="240" w:lineRule="auto"/>
        <w:ind w:firstLine="709"/>
        <w:contextualSpacing/>
        <w:jc w:val="right"/>
        <w:rPr>
          <w:rFonts w:ascii="Times New Roman" w:hAnsi="Times New Roman" w:cs="Times New Roman"/>
          <w:i/>
          <w:iCs/>
          <w:sz w:val="21"/>
          <w:szCs w:val="21"/>
        </w:rPr>
      </w:pPr>
      <w:r w:rsidRPr="009472DE">
        <w:rPr>
          <w:rFonts w:ascii="Times New Roman" w:hAnsi="Times New Roman" w:cs="Times New Roman"/>
          <w:i/>
          <w:iCs/>
          <w:sz w:val="21"/>
          <w:szCs w:val="21"/>
        </w:rPr>
        <w:t xml:space="preserve">г. Краснодар, Россия </w:t>
      </w:r>
    </w:p>
    <w:p w14:paraId="62359EB4" w14:textId="77777777" w:rsidR="00E27E57" w:rsidRPr="00447FF5" w:rsidRDefault="00E27E57" w:rsidP="00E27E57">
      <w:pPr>
        <w:spacing w:after="0" w:line="240" w:lineRule="auto"/>
        <w:ind w:firstLine="709"/>
        <w:contextualSpacing/>
        <w:jc w:val="right"/>
        <w:rPr>
          <w:rFonts w:ascii="Times New Roman" w:hAnsi="Times New Roman" w:cs="Times New Roman"/>
          <w:sz w:val="21"/>
          <w:szCs w:val="21"/>
        </w:rPr>
      </w:pPr>
      <w:r w:rsidRPr="009472DE">
        <w:rPr>
          <w:rFonts w:ascii="Times New Roman" w:hAnsi="Times New Roman" w:cs="Times New Roman"/>
          <w:i/>
          <w:iCs/>
          <w:sz w:val="21"/>
          <w:szCs w:val="21"/>
          <w:lang w:val="en-US"/>
        </w:rPr>
        <w:t>e</w:t>
      </w:r>
      <w:r w:rsidRPr="009472DE">
        <w:rPr>
          <w:rFonts w:ascii="Times New Roman" w:hAnsi="Times New Roman" w:cs="Times New Roman"/>
          <w:i/>
          <w:iCs/>
          <w:sz w:val="21"/>
          <w:szCs w:val="21"/>
        </w:rPr>
        <w:t>-</w:t>
      </w:r>
      <w:r w:rsidRPr="009472DE">
        <w:rPr>
          <w:rFonts w:ascii="Times New Roman" w:hAnsi="Times New Roman" w:cs="Times New Roman"/>
          <w:i/>
          <w:iCs/>
          <w:sz w:val="21"/>
          <w:szCs w:val="21"/>
          <w:lang w:val="en-US"/>
        </w:rPr>
        <w:t>mail</w:t>
      </w:r>
      <w:r w:rsidRPr="009472DE">
        <w:rPr>
          <w:rFonts w:ascii="Times New Roman" w:hAnsi="Times New Roman" w:cs="Times New Roman"/>
          <w:i/>
          <w:iCs/>
          <w:sz w:val="21"/>
          <w:szCs w:val="21"/>
        </w:rPr>
        <w:t>:</w:t>
      </w:r>
      <w:r w:rsidRPr="009472DE">
        <w:rPr>
          <w:rFonts w:ascii="Times New Roman" w:hAnsi="Times New Roman" w:cs="Times New Roman"/>
        </w:rPr>
        <w:t xml:space="preserve"> </w:t>
      </w:r>
      <w:hyperlink r:id="rId49" w:history="1">
        <w:r w:rsidRPr="006459B2">
          <w:rPr>
            <w:rStyle w:val="aa"/>
            <w:rFonts w:ascii="Times New Roman" w:hAnsi="Times New Roman" w:cs="Times New Roman"/>
            <w:i/>
            <w:iCs/>
            <w:sz w:val="21"/>
            <w:szCs w:val="21"/>
            <w:lang w:val="en-US"/>
          </w:rPr>
          <w:t>GGPimenov</w:t>
        </w:r>
        <w:r w:rsidRPr="006459B2">
          <w:rPr>
            <w:rStyle w:val="aa"/>
            <w:rFonts w:ascii="Times New Roman" w:hAnsi="Times New Roman" w:cs="Times New Roman"/>
            <w:i/>
            <w:iCs/>
            <w:sz w:val="21"/>
            <w:szCs w:val="21"/>
          </w:rPr>
          <w:t>@</w:t>
        </w:r>
        <w:r w:rsidRPr="006459B2">
          <w:rPr>
            <w:rStyle w:val="aa"/>
            <w:rFonts w:ascii="Times New Roman" w:hAnsi="Times New Roman" w:cs="Times New Roman"/>
            <w:i/>
            <w:iCs/>
            <w:sz w:val="21"/>
            <w:szCs w:val="21"/>
            <w:lang w:val="en-US"/>
          </w:rPr>
          <w:t>fa</w:t>
        </w:r>
        <w:r w:rsidRPr="006459B2">
          <w:rPr>
            <w:rStyle w:val="aa"/>
            <w:rFonts w:ascii="Times New Roman" w:hAnsi="Times New Roman" w:cs="Times New Roman"/>
            <w:i/>
            <w:iCs/>
            <w:sz w:val="21"/>
            <w:szCs w:val="21"/>
          </w:rPr>
          <w:t>.</w:t>
        </w:r>
        <w:r w:rsidRPr="006459B2">
          <w:rPr>
            <w:rStyle w:val="aa"/>
            <w:rFonts w:ascii="Times New Roman" w:hAnsi="Times New Roman" w:cs="Times New Roman"/>
            <w:i/>
            <w:iCs/>
            <w:sz w:val="21"/>
            <w:szCs w:val="21"/>
            <w:lang w:val="en-US"/>
          </w:rPr>
          <w:t>ru</w:t>
        </w:r>
      </w:hyperlink>
      <w:r>
        <w:rPr>
          <w:rFonts w:ascii="Times New Roman" w:hAnsi="Times New Roman" w:cs="Times New Roman"/>
          <w:i/>
          <w:iCs/>
          <w:sz w:val="21"/>
          <w:szCs w:val="21"/>
        </w:rPr>
        <w:t xml:space="preserve"> </w:t>
      </w:r>
    </w:p>
    <w:p w14:paraId="3E164A50" w14:textId="77777777" w:rsidR="00E27E57" w:rsidRPr="009472DE" w:rsidRDefault="00E27E57" w:rsidP="00E27E57">
      <w:pPr>
        <w:spacing w:after="0" w:line="240" w:lineRule="auto"/>
        <w:ind w:firstLine="709"/>
        <w:jc w:val="right"/>
        <w:rPr>
          <w:rFonts w:ascii="Times New Roman" w:hAnsi="Times New Roman" w:cs="Times New Roman"/>
          <w:sz w:val="21"/>
          <w:szCs w:val="21"/>
        </w:rPr>
      </w:pPr>
    </w:p>
    <w:p w14:paraId="782DC09E" w14:textId="77777777" w:rsidR="00E27E57" w:rsidRPr="009472DE" w:rsidRDefault="00E27E57" w:rsidP="00E27E57">
      <w:pPr>
        <w:spacing w:after="0" w:line="240" w:lineRule="auto"/>
        <w:ind w:firstLine="709"/>
        <w:jc w:val="center"/>
        <w:rPr>
          <w:rFonts w:ascii="Times New Roman" w:hAnsi="Times New Roman" w:cs="Times New Roman"/>
          <w:b/>
          <w:sz w:val="21"/>
          <w:szCs w:val="21"/>
        </w:rPr>
      </w:pPr>
      <w:r>
        <w:rPr>
          <w:rFonts w:ascii="Times New Roman" w:hAnsi="Times New Roman" w:cs="Times New Roman"/>
          <w:b/>
          <w:sz w:val="21"/>
          <w:szCs w:val="21"/>
        </w:rPr>
        <w:t>Инфляция: факторы, механизм, стратегия п</w:t>
      </w:r>
      <w:r w:rsidRPr="009472DE">
        <w:rPr>
          <w:rFonts w:ascii="Times New Roman" w:hAnsi="Times New Roman" w:cs="Times New Roman"/>
          <w:b/>
          <w:sz w:val="21"/>
          <w:szCs w:val="21"/>
        </w:rPr>
        <w:t>реодоления</w:t>
      </w:r>
    </w:p>
    <w:p w14:paraId="0E435A46" w14:textId="77777777" w:rsidR="00E27E57" w:rsidRPr="009472DE" w:rsidRDefault="00E27E57" w:rsidP="00E27E57">
      <w:pPr>
        <w:spacing w:after="0" w:line="240" w:lineRule="auto"/>
        <w:ind w:firstLine="709"/>
        <w:jc w:val="center"/>
        <w:rPr>
          <w:rFonts w:ascii="Times New Roman" w:hAnsi="Times New Roman" w:cs="Times New Roman"/>
          <w:b/>
          <w:sz w:val="21"/>
          <w:szCs w:val="21"/>
        </w:rPr>
      </w:pPr>
    </w:p>
    <w:p w14:paraId="48EAE00F"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21"/>
          <w:szCs w:val="21"/>
          <w:highlight w:val="yellow"/>
          <w:lang w:eastAsia="ru-RU"/>
        </w:rPr>
      </w:pPr>
      <w:r w:rsidRPr="009472DE">
        <w:rPr>
          <w:rFonts w:ascii="Times New Roman" w:eastAsia="Times New Roman" w:hAnsi="Times New Roman" w:cs="Times New Roman"/>
          <w:b/>
          <w:color w:val="000000"/>
          <w:sz w:val="21"/>
          <w:szCs w:val="21"/>
          <w:lang w:eastAsia="ru-RU"/>
        </w:rPr>
        <w:t>Аннотация</w:t>
      </w:r>
      <w:r w:rsidRPr="009472DE">
        <w:rPr>
          <w:rFonts w:ascii="Times New Roman" w:eastAsia="Times New Roman" w:hAnsi="Times New Roman" w:cs="Times New Roman"/>
          <w:color w:val="000000"/>
          <w:sz w:val="21"/>
          <w:szCs w:val="21"/>
          <w:lang w:eastAsia="ru-RU"/>
        </w:rPr>
        <w:t xml:space="preserve">. В данной статье исследуется инфляция как многофакторный экономический процесс, анализируя её и механизмы. Рассмотрены стратегии борьбы: монетарные, фискальные и структурные реформы. Примеры включают гиперинфляцию в Германии (1923), антикризисные меры ФРС США (1980-е) и Израиля (1985), а также актуальные данные по России и Еврозоне (2022–2023). Подчеркивается важность баланса между сдерживанием цен и поддержанием экономического роста в условиях глобальных вызовов.  </w:t>
      </w:r>
    </w:p>
    <w:p w14:paraId="75A274DD"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9472DE">
        <w:rPr>
          <w:rFonts w:ascii="Times New Roman" w:eastAsia="Times New Roman" w:hAnsi="Times New Roman" w:cs="Times New Roman"/>
          <w:b/>
          <w:color w:val="000000"/>
          <w:sz w:val="21"/>
          <w:szCs w:val="21"/>
          <w:lang w:eastAsia="ru-RU"/>
        </w:rPr>
        <w:t>Ключевые слова:</w:t>
      </w:r>
      <w:r w:rsidRPr="009472DE">
        <w:rPr>
          <w:rFonts w:ascii="Times New Roman" w:eastAsia="Times New Roman" w:hAnsi="Times New Roman" w:cs="Times New Roman"/>
          <w:color w:val="000000"/>
          <w:sz w:val="21"/>
          <w:szCs w:val="21"/>
          <w:lang w:eastAsia="ru-RU"/>
        </w:rPr>
        <w:t xml:space="preserve"> инфляция, монетарная политика, гиперинфляция, ключевая ставка, структурные реформы.</w:t>
      </w:r>
    </w:p>
    <w:p w14:paraId="746A452F" w14:textId="77777777" w:rsidR="00E27E57" w:rsidRPr="00384142" w:rsidRDefault="00E27E57" w:rsidP="00E27E57">
      <w:pPr>
        <w:shd w:val="clear" w:color="auto" w:fill="FFFFFF"/>
        <w:spacing w:after="0" w:line="240" w:lineRule="auto"/>
        <w:ind w:firstLine="709"/>
        <w:jc w:val="right"/>
        <w:rPr>
          <w:rFonts w:ascii="Times New Roman" w:eastAsia="Times New Roman" w:hAnsi="Times New Roman" w:cs="Times New Roman"/>
          <w:b/>
          <w:bCs/>
          <w:i/>
          <w:color w:val="000000"/>
          <w:sz w:val="21"/>
          <w:szCs w:val="21"/>
          <w:lang w:val="en-US" w:eastAsia="ru-RU"/>
        </w:rPr>
      </w:pPr>
      <w:r w:rsidRPr="00384142">
        <w:rPr>
          <w:rFonts w:ascii="Times New Roman" w:eastAsia="Times New Roman" w:hAnsi="Times New Roman" w:cs="Times New Roman"/>
          <w:b/>
          <w:bCs/>
          <w:i/>
          <w:color w:val="000000"/>
          <w:sz w:val="21"/>
          <w:szCs w:val="21"/>
          <w:lang w:val="en-US" w:eastAsia="ru-RU"/>
        </w:rPr>
        <w:t>Korneeva V.A., Mishchenko A.O.</w:t>
      </w:r>
    </w:p>
    <w:p w14:paraId="2BED0281"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3st year, group 22-FBD-iup-o/z</w:t>
      </w:r>
    </w:p>
    <w:p w14:paraId="3E85CE07"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 xml:space="preserve">Krasnodar branch </w:t>
      </w:r>
    </w:p>
    <w:p w14:paraId="2E3DC11B" w14:textId="77777777" w:rsidR="00E27E57" w:rsidRPr="00384142" w:rsidRDefault="00E27E57" w:rsidP="00E27E57">
      <w:pPr>
        <w:pStyle w:val="af5"/>
        <w:spacing w:before="0" w:after="0"/>
        <w:ind w:firstLine="709"/>
        <w:jc w:val="right"/>
        <w:rPr>
          <w:rFonts w:ascii="Times New Roman" w:hAnsi="Times New Roman"/>
          <w:i/>
          <w:sz w:val="21"/>
          <w:szCs w:val="21"/>
          <w:lang w:val="en-US"/>
        </w:rPr>
      </w:pPr>
      <w:r w:rsidRPr="00384142">
        <w:rPr>
          <w:rFonts w:ascii="Times New Roman" w:hAnsi="Times New Roman"/>
          <w:i/>
          <w:sz w:val="21"/>
          <w:szCs w:val="21"/>
          <w:lang w:val="en-US"/>
        </w:rPr>
        <w:t>Financial University under the Government of the Russia Federation</w:t>
      </w:r>
    </w:p>
    <w:p w14:paraId="1225E521"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Krasnodar, Russia</w:t>
      </w:r>
    </w:p>
    <w:p w14:paraId="52D3DEEE" w14:textId="77777777" w:rsidR="00E27E57" w:rsidRPr="00384142" w:rsidRDefault="00E27E57" w:rsidP="00E27E57">
      <w:pPr>
        <w:spacing w:after="0" w:line="240" w:lineRule="auto"/>
        <w:ind w:firstLine="709"/>
        <w:contextualSpacing/>
        <w:jc w:val="right"/>
        <w:rPr>
          <w:rFonts w:ascii="Times New Roman" w:hAnsi="Times New Roman" w:cs="Times New Roman"/>
          <w:i/>
          <w:iCs/>
          <w:sz w:val="21"/>
          <w:szCs w:val="21"/>
          <w:lang w:val="en-US"/>
        </w:rPr>
      </w:pPr>
      <w:r w:rsidRPr="00384142">
        <w:rPr>
          <w:rFonts w:ascii="Times New Roman" w:hAnsi="Times New Roman" w:cs="Times New Roman"/>
          <w:i/>
          <w:iCs/>
          <w:sz w:val="21"/>
          <w:szCs w:val="21"/>
          <w:lang w:val="en-US"/>
        </w:rPr>
        <w:t>e-mail: sashaparhomenkogm@gmail.com</w:t>
      </w:r>
    </w:p>
    <w:p w14:paraId="251C364A" w14:textId="77777777" w:rsidR="00E27E57" w:rsidRPr="00384142" w:rsidRDefault="00E27E57" w:rsidP="00E27E57">
      <w:pPr>
        <w:spacing w:after="0" w:line="240" w:lineRule="auto"/>
        <w:ind w:firstLine="709"/>
        <w:contextualSpacing/>
        <w:jc w:val="right"/>
        <w:rPr>
          <w:rFonts w:ascii="Times New Roman" w:hAnsi="Times New Roman" w:cs="Times New Roman"/>
          <w:i/>
          <w:iCs/>
          <w:sz w:val="21"/>
          <w:szCs w:val="21"/>
          <w:lang w:val="fr-FR"/>
        </w:rPr>
      </w:pPr>
      <w:r w:rsidRPr="00384142">
        <w:rPr>
          <w:rFonts w:ascii="Times New Roman" w:hAnsi="Times New Roman" w:cs="Times New Roman"/>
          <w:i/>
          <w:iCs/>
          <w:sz w:val="21"/>
          <w:szCs w:val="21"/>
          <w:lang w:val="fr-FR"/>
        </w:rPr>
        <w:t xml:space="preserve">e-mail: </w:t>
      </w:r>
      <w:hyperlink r:id="rId50" w:history="1">
        <w:r w:rsidRPr="00384142">
          <w:rPr>
            <w:rStyle w:val="aa"/>
            <w:rFonts w:ascii="Times New Roman" w:hAnsi="Times New Roman" w:cs="Times New Roman"/>
            <w:i/>
            <w:iCs/>
            <w:sz w:val="21"/>
            <w:szCs w:val="21"/>
            <w:lang w:val="fr-FR"/>
          </w:rPr>
          <w:t>K0rneeva-VA@yandex.ru</w:t>
        </w:r>
      </w:hyperlink>
    </w:p>
    <w:p w14:paraId="465B88F4" w14:textId="77777777" w:rsidR="00E27E57" w:rsidRPr="00384142" w:rsidRDefault="00E27E57" w:rsidP="00E27E57">
      <w:pPr>
        <w:spacing w:after="0" w:line="240" w:lineRule="auto"/>
        <w:ind w:firstLine="709"/>
        <w:contextualSpacing/>
        <w:jc w:val="right"/>
        <w:rPr>
          <w:rFonts w:ascii="Times New Roman" w:hAnsi="Times New Roman" w:cs="Times New Roman"/>
          <w:i/>
          <w:iCs/>
          <w:sz w:val="21"/>
          <w:szCs w:val="21"/>
          <w:lang w:val="fr-FR"/>
        </w:rPr>
      </w:pPr>
    </w:p>
    <w:p w14:paraId="40A1CAD6"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b/>
          <w:bCs/>
          <w:i/>
          <w:color w:val="000000"/>
          <w:sz w:val="21"/>
          <w:szCs w:val="21"/>
          <w:lang w:val="en-US" w:eastAsia="ru-RU"/>
        </w:rPr>
      </w:pPr>
      <w:r w:rsidRPr="00384142">
        <w:rPr>
          <w:rFonts w:ascii="Times New Roman" w:eastAsia="Times New Roman" w:hAnsi="Times New Roman" w:cs="Times New Roman"/>
          <w:b/>
          <w:bCs/>
          <w:i/>
          <w:color w:val="000000"/>
          <w:sz w:val="21"/>
          <w:szCs w:val="21"/>
          <w:lang w:val="en-US" w:eastAsia="ru-RU"/>
        </w:rPr>
        <w:t>Scientific supervisor:</w:t>
      </w:r>
    </w:p>
    <w:p w14:paraId="19EF578D"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b/>
          <w:bCs/>
          <w:i/>
          <w:color w:val="000000"/>
          <w:sz w:val="21"/>
          <w:szCs w:val="21"/>
          <w:lang w:val="en-US" w:eastAsia="ru-RU"/>
        </w:rPr>
      </w:pPr>
      <w:r w:rsidRPr="00384142">
        <w:rPr>
          <w:rFonts w:ascii="Times New Roman" w:eastAsia="Times New Roman" w:hAnsi="Times New Roman" w:cs="Times New Roman"/>
          <w:b/>
          <w:bCs/>
          <w:i/>
          <w:color w:val="000000"/>
          <w:sz w:val="21"/>
          <w:szCs w:val="21"/>
          <w:lang w:val="en-US" w:eastAsia="ru-RU"/>
        </w:rPr>
        <w:t>Pimenov G.G.</w:t>
      </w:r>
    </w:p>
    <w:p w14:paraId="0DFE6D9B"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 xml:space="preserve">Candidate of Economic Sciences, </w:t>
      </w:r>
    </w:p>
    <w:p w14:paraId="74BF7B51"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 xml:space="preserve">Associate Professor of the Department of Economics and Finance of the Krasnodar branch </w:t>
      </w:r>
    </w:p>
    <w:p w14:paraId="70EAD27A" w14:textId="77777777" w:rsidR="00E27E57" w:rsidRPr="00384142" w:rsidRDefault="00E27E57" w:rsidP="00E27E57">
      <w:pPr>
        <w:pStyle w:val="af5"/>
        <w:spacing w:before="0" w:after="0"/>
        <w:ind w:firstLine="709"/>
        <w:jc w:val="right"/>
        <w:rPr>
          <w:rFonts w:ascii="Times New Roman" w:hAnsi="Times New Roman"/>
          <w:i/>
          <w:sz w:val="21"/>
          <w:szCs w:val="21"/>
          <w:lang w:val="en-US"/>
        </w:rPr>
      </w:pPr>
      <w:r w:rsidRPr="00384142">
        <w:rPr>
          <w:rFonts w:ascii="Times New Roman" w:hAnsi="Times New Roman"/>
          <w:i/>
          <w:sz w:val="21"/>
          <w:szCs w:val="21"/>
          <w:lang w:val="en-US"/>
        </w:rPr>
        <w:t>Financial University under the Government of the Russia Federation</w:t>
      </w:r>
    </w:p>
    <w:p w14:paraId="7B997C7E"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 xml:space="preserve">Krasnodar, Russia </w:t>
      </w:r>
    </w:p>
    <w:p w14:paraId="4A49D673" w14:textId="77777777" w:rsidR="00E27E57" w:rsidRPr="00384142" w:rsidRDefault="00E27E57" w:rsidP="00E27E57">
      <w:pPr>
        <w:shd w:val="clear" w:color="auto" w:fill="FFFFFF"/>
        <w:spacing w:after="0" w:line="240" w:lineRule="auto"/>
        <w:ind w:firstLine="709"/>
        <w:contextualSpacing/>
        <w:jc w:val="right"/>
        <w:rPr>
          <w:rFonts w:ascii="Times New Roman" w:eastAsia="Times New Roman" w:hAnsi="Times New Roman" w:cs="Times New Roman"/>
          <w:i/>
          <w:color w:val="000000"/>
          <w:sz w:val="21"/>
          <w:szCs w:val="21"/>
          <w:lang w:val="en-US" w:eastAsia="ru-RU"/>
        </w:rPr>
      </w:pPr>
      <w:r w:rsidRPr="00384142">
        <w:rPr>
          <w:rFonts w:ascii="Times New Roman" w:eastAsia="Times New Roman" w:hAnsi="Times New Roman" w:cs="Times New Roman"/>
          <w:i/>
          <w:color w:val="000000"/>
          <w:sz w:val="21"/>
          <w:szCs w:val="21"/>
          <w:lang w:val="en-US" w:eastAsia="ru-RU"/>
        </w:rPr>
        <w:t>e-mail:</w:t>
      </w:r>
      <w:r w:rsidRPr="00384142">
        <w:rPr>
          <w:rFonts w:ascii="Times New Roman" w:hAnsi="Times New Roman" w:cs="Times New Roman"/>
          <w:i/>
          <w:iCs/>
          <w:sz w:val="21"/>
          <w:szCs w:val="21"/>
          <w:lang w:val="en-US"/>
        </w:rPr>
        <w:t xml:space="preserve"> </w:t>
      </w:r>
      <w:hyperlink r:id="rId51" w:history="1">
        <w:r w:rsidRPr="006459B2">
          <w:rPr>
            <w:rStyle w:val="aa"/>
            <w:rFonts w:ascii="Times New Roman" w:hAnsi="Times New Roman" w:cs="Times New Roman"/>
            <w:i/>
            <w:iCs/>
            <w:sz w:val="21"/>
            <w:szCs w:val="21"/>
            <w:lang w:val="en-US"/>
          </w:rPr>
          <w:t>GGPimenov@fa.ru</w:t>
        </w:r>
      </w:hyperlink>
      <w:r w:rsidRPr="00384142">
        <w:rPr>
          <w:rFonts w:ascii="Times New Roman" w:hAnsi="Times New Roman" w:cs="Times New Roman"/>
          <w:i/>
          <w:iCs/>
          <w:sz w:val="21"/>
          <w:szCs w:val="21"/>
          <w:lang w:val="en-US"/>
        </w:rPr>
        <w:t xml:space="preserve"> </w:t>
      </w:r>
    </w:p>
    <w:p w14:paraId="0DB4CA2E" w14:textId="77777777" w:rsidR="00E27E57" w:rsidRPr="009472DE" w:rsidRDefault="00E27E57" w:rsidP="00E27E57">
      <w:pPr>
        <w:shd w:val="clear" w:color="auto" w:fill="FFFFFF"/>
        <w:spacing w:after="0" w:line="240" w:lineRule="auto"/>
        <w:ind w:firstLine="709"/>
        <w:jc w:val="right"/>
        <w:rPr>
          <w:rFonts w:ascii="Times New Roman" w:eastAsia="Times New Roman" w:hAnsi="Times New Roman" w:cs="Times New Roman"/>
          <w:color w:val="000000"/>
          <w:sz w:val="21"/>
          <w:szCs w:val="21"/>
          <w:lang w:val="en-US" w:eastAsia="ru-RU"/>
        </w:rPr>
      </w:pPr>
    </w:p>
    <w:p w14:paraId="6BBCF65D" w14:textId="77777777" w:rsidR="00E27E57" w:rsidRPr="00877DE5" w:rsidRDefault="00E27E57" w:rsidP="00E27E57">
      <w:pPr>
        <w:shd w:val="clear" w:color="auto" w:fill="FFFFFF"/>
        <w:spacing w:after="0" w:line="240" w:lineRule="auto"/>
        <w:ind w:firstLine="709"/>
        <w:jc w:val="center"/>
        <w:rPr>
          <w:rFonts w:ascii="Times New Roman" w:eastAsia="Times New Roman" w:hAnsi="Times New Roman" w:cs="Times New Roman"/>
          <w:b/>
          <w:color w:val="000000"/>
          <w:sz w:val="21"/>
          <w:szCs w:val="21"/>
          <w:lang w:val="en-US" w:eastAsia="ru-RU"/>
        </w:rPr>
      </w:pPr>
      <w:r>
        <w:rPr>
          <w:rFonts w:ascii="Times New Roman" w:eastAsia="Times New Roman" w:hAnsi="Times New Roman" w:cs="Times New Roman"/>
          <w:b/>
          <w:color w:val="000000"/>
          <w:sz w:val="21"/>
          <w:szCs w:val="21"/>
          <w:lang w:val="en-US" w:eastAsia="ru-RU"/>
        </w:rPr>
        <w:t>Inflation: factors, mechanism, coping s</w:t>
      </w:r>
      <w:r w:rsidRPr="009472DE">
        <w:rPr>
          <w:rFonts w:ascii="Times New Roman" w:eastAsia="Times New Roman" w:hAnsi="Times New Roman" w:cs="Times New Roman"/>
          <w:b/>
          <w:color w:val="000000"/>
          <w:sz w:val="21"/>
          <w:szCs w:val="21"/>
          <w:lang w:val="en-US" w:eastAsia="ru-RU"/>
        </w:rPr>
        <w:t>trategy</w:t>
      </w:r>
    </w:p>
    <w:p w14:paraId="4B443BB4" w14:textId="77777777" w:rsidR="00E27E57" w:rsidRPr="009472DE" w:rsidRDefault="00E27E57" w:rsidP="00E27E57">
      <w:pPr>
        <w:shd w:val="clear" w:color="auto" w:fill="FFFFFF"/>
        <w:spacing w:after="0" w:line="240" w:lineRule="auto"/>
        <w:ind w:firstLine="709"/>
        <w:rPr>
          <w:rFonts w:ascii="Times New Roman" w:eastAsia="Times New Roman" w:hAnsi="Times New Roman" w:cs="Times New Roman"/>
          <w:color w:val="000000"/>
          <w:sz w:val="21"/>
          <w:szCs w:val="21"/>
          <w:lang w:val="en-US" w:eastAsia="ru-RU"/>
        </w:rPr>
      </w:pPr>
    </w:p>
    <w:p w14:paraId="13B35437"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21"/>
          <w:szCs w:val="21"/>
          <w:lang w:val="en-US" w:eastAsia="ru-RU"/>
        </w:rPr>
      </w:pPr>
      <w:r w:rsidRPr="009472DE">
        <w:rPr>
          <w:rFonts w:ascii="Times New Roman" w:eastAsia="Times New Roman" w:hAnsi="Times New Roman" w:cs="Times New Roman"/>
          <w:b/>
          <w:bCs/>
          <w:color w:val="000000"/>
          <w:sz w:val="21"/>
          <w:szCs w:val="21"/>
          <w:lang w:val="en-US" w:eastAsia="ru-RU"/>
        </w:rPr>
        <w:t>Annotation</w:t>
      </w:r>
      <w:r w:rsidRPr="009472DE">
        <w:rPr>
          <w:rFonts w:ascii="Times New Roman" w:eastAsia="Times New Roman" w:hAnsi="Times New Roman" w:cs="Times New Roman"/>
          <w:color w:val="000000"/>
          <w:sz w:val="21"/>
          <w:szCs w:val="21"/>
          <w:lang w:val="en-US" w:eastAsia="ru-RU"/>
        </w:rPr>
        <w:t>.</w:t>
      </w:r>
      <w:r w:rsidRPr="009472DE">
        <w:rPr>
          <w:rFonts w:ascii="Times New Roman" w:hAnsi="Times New Roman" w:cs="Times New Roman"/>
          <w:sz w:val="21"/>
          <w:szCs w:val="21"/>
          <w:lang w:val="en-US"/>
        </w:rPr>
        <w:t xml:space="preserve"> </w:t>
      </w:r>
      <w:r w:rsidRPr="009472DE">
        <w:rPr>
          <w:rFonts w:ascii="Times New Roman" w:eastAsia="Times New Roman" w:hAnsi="Times New Roman" w:cs="Times New Roman"/>
          <w:color w:val="000000"/>
          <w:sz w:val="21"/>
          <w:szCs w:val="21"/>
          <w:lang w:val="en-US" w:eastAsia="ru-RU"/>
        </w:rPr>
        <w:t>This article examines inflation as a multifactorial economic process, analyzing its mechanisms. The strategies of struggle are considered: monetary, fiscal and structural reforms. Examples include hyperinflation in Germany (1923), anti-crisis measures by the US Federal Reserve (1980s) and Israel (1985), as well as current data on Russia and the Eurozone (2022-2023). The importance of a balance between price restraint and maintaining economic growth in the face of global challenges is emphasized.</w:t>
      </w:r>
    </w:p>
    <w:p w14:paraId="61B28411"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21"/>
          <w:szCs w:val="21"/>
          <w:lang w:val="en-US" w:eastAsia="ru-RU"/>
        </w:rPr>
      </w:pPr>
      <w:r w:rsidRPr="009472DE">
        <w:rPr>
          <w:rFonts w:ascii="Times New Roman" w:eastAsia="Times New Roman" w:hAnsi="Times New Roman" w:cs="Times New Roman"/>
          <w:b/>
          <w:bCs/>
          <w:color w:val="000000"/>
          <w:sz w:val="21"/>
          <w:szCs w:val="21"/>
          <w:lang w:val="en-US" w:eastAsia="ru-RU"/>
        </w:rPr>
        <w:t xml:space="preserve">Keywords: </w:t>
      </w:r>
      <w:r w:rsidRPr="009472DE">
        <w:rPr>
          <w:rFonts w:ascii="Times New Roman" w:eastAsia="Times New Roman" w:hAnsi="Times New Roman" w:cs="Times New Roman"/>
          <w:color w:val="000000"/>
          <w:sz w:val="21"/>
          <w:szCs w:val="21"/>
          <w:lang w:val="en-US" w:eastAsia="ru-RU"/>
        </w:rPr>
        <w:t>inflation, monetary policy, hyperinflation, key interest rate, structural reforms.</w:t>
      </w:r>
    </w:p>
    <w:p w14:paraId="188161F6" w14:textId="77777777" w:rsidR="00E27E57" w:rsidRPr="009472DE" w:rsidRDefault="00E27E57" w:rsidP="00E27E57">
      <w:pPr>
        <w:shd w:val="clear" w:color="auto" w:fill="FFFFFF"/>
        <w:spacing w:after="0" w:line="240" w:lineRule="auto"/>
        <w:ind w:firstLine="709"/>
        <w:jc w:val="both"/>
        <w:rPr>
          <w:rFonts w:ascii="Times New Roman" w:hAnsi="Times New Roman" w:cs="Times New Roman"/>
          <w:strike/>
          <w:color w:val="000000"/>
          <w:sz w:val="28"/>
          <w:szCs w:val="28"/>
          <w:lang w:val="en-US"/>
        </w:rPr>
      </w:pPr>
    </w:p>
    <w:p w14:paraId="3697CF6B"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Инфляция — один из ключевых экономических показателей, отражающий устойчивый рост общего уровня цен на товары и услуги в течение определенного периода. Это явление уменьшает покупательскую способность денег, влияя на благосостояние </w:t>
      </w:r>
      <w:r w:rsidRPr="009472DE">
        <w:rPr>
          <w:rFonts w:ascii="Times New Roman" w:eastAsia="Times New Roman" w:hAnsi="Times New Roman" w:cs="Times New Roman"/>
          <w:color w:val="000000"/>
          <w:sz w:val="32"/>
          <w:szCs w:val="32"/>
          <w:lang w:eastAsia="ru-RU"/>
        </w:rPr>
        <w:lastRenderedPageBreak/>
        <w:t>населения, бизнес и государственную политику. Понимание причин возникновения инфляции, её механизмов и методов борьбы с ней имеет большое значение для стабилизации экономики. В данной статье рассмотрены основные факторы инфляции, её движущие силы и стратегии смягчения последствий.</w:t>
      </w:r>
    </w:p>
    <w:p w14:paraId="78FD066C"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Инфляция формируется под воздействием массы факторов, которые условно можно разделить на две группы: инфляция спроса и инфляция издержек [1].  </w:t>
      </w:r>
    </w:p>
    <w:p w14:paraId="1DEC532D"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Инфляция спроса возникает, когда совокупный спрос превышает производственные возможности экономики («слишком много денег гоняется за слишком малым количеством товаров»). Причины данной ситуации:  </w:t>
      </w:r>
    </w:p>
    <w:p w14:paraId="0E3F953B" w14:textId="6D5A4275" w:rsidR="00E27E57" w:rsidRPr="00B64D5E" w:rsidRDefault="00E27E57" w:rsidP="00AD58CD">
      <w:pPr>
        <w:pStyle w:val="a8"/>
        <w:numPr>
          <w:ilvl w:val="0"/>
          <w:numId w:val="25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рост денежной массы из-за мягкой кредитной политики ЦБ РФ [2];</w:t>
      </w:r>
    </w:p>
    <w:p w14:paraId="384CAE88" w14:textId="475574DC" w:rsidR="00E27E57" w:rsidRPr="00B64D5E" w:rsidRDefault="00E27E57" w:rsidP="00AD58CD">
      <w:pPr>
        <w:pStyle w:val="a8"/>
        <w:numPr>
          <w:ilvl w:val="0"/>
          <w:numId w:val="25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увеличение государственных расходов или потребительских кредитов;</w:t>
      </w:r>
    </w:p>
    <w:p w14:paraId="70D076CA" w14:textId="3470FB02" w:rsidR="00E27E57" w:rsidRPr="00B64D5E" w:rsidRDefault="00E27E57" w:rsidP="00AD58CD">
      <w:pPr>
        <w:pStyle w:val="a8"/>
        <w:numPr>
          <w:ilvl w:val="0"/>
          <w:numId w:val="25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рост доходов населения, не подкрепленный повышением производительности [3].</w:t>
      </w:r>
    </w:p>
    <w:p w14:paraId="086A05FE"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Инфляция издержек связана с удорожанием факторов производства. Основными источниками являются:  </w:t>
      </w:r>
    </w:p>
    <w:p w14:paraId="6674963F" w14:textId="6162FBCB" w:rsidR="00E27E57" w:rsidRPr="00B64D5E" w:rsidRDefault="00E27E57" w:rsidP="00AD58CD">
      <w:pPr>
        <w:pStyle w:val="a8"/>
        <w:numPr>
          <w:ilvl w:val="0"/>
          <w:numId w:val="25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повышение цен на сырье (нефть, газ, металлы и др.);</w:t>
      </w:r>
    </w:p>
    <w:p w14:paraId="21B4D8D6" w14:textId="2D627F3A" w:rsidR="00E27E57" w:rsidRPr="00B64D5E" w:rsidRDefault="00E27E57" w:rsidP="00AD58CD">
      <w:pPr>
        <w:pStyle w:val="a8"/>
        <w:numPr>
          <w:ilvl w:val="0"/>
          <w:numId w:val="259"/>
        </w:numPr>
        <w:shd w:val="clear" w:color="auto" w:fill="FFFFFF"/>
        <w:tabs>
          <w:tab w:val="left" w:pos="851"/>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рост заработной платы, опережающий рост производительности труда;</w:t>
      </w:r>
    </w:p>
    <w:p w14:paraId="31EF5D70" w14:textId="36B79DCD" w:rsidR="00E27E57" w:rsidRPr="00B64D5E" w:rsidRDefault="00E27E57" w:rsidP="00AD58CD">
      <w:pPr>
        <w:pStyle w:val="a8"/>
        <w:numPr>
          <w:ilvl w:val="0"/>
          <w:numId w:val="25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увеличение налогов или тарифов на импорт. </w:t>
      </w:r>
    </w:p>
    <w:p w14:paraId="46E06768"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Так же на уровень инфляции влияют и внешние факторы такие как:</w:t>
      </w:r>
    </w:p>
    <w:p w14:paraId="29EBD2D4" w14:textId="03EBDEFE" w:rsidR="00E27E57" w:rsidRPr="00B64D5E" w:rsidRDefault="00E27E57" w:rsidP="00AD58CD">
      <w:pPr>
        <w:pStyle w:val="a8"/>
        <w:numPr>
          <w:ilvl w:val="0"/>
          <w:numId w:val="26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глобальные кризисы (пандемии, военные конфликты), нарушающие цепочки поставок [4]; </w:t>
      </w:r>
    </w:p>
    <w:p w14:paraId="5703E4E2" w14:textId="0AD67285" w:rsidR="00E27E57" w:rsidRPr="00B64D5E" w:rsidRDefault="00E27E57" w:rsidP="00AD58CD">
      <w:pPr>
        <w:pStyle w:val="a8"/>
        <w:numPr>
          <w:ilvl w:val="0"/>
          <w:numId w:val="26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зависимость от импорта: рост мировых цен на продовольствие или энергоносители [5];  </w:t>
      </w:r>
    </w:p>
    <w:p w14:paraId="4B709216" w14:textId="5FF40D4A" w:rsidR="00E27E57" w:rsidRPr="00B64D5E" w:rsidRDefault="00E27E57" w:rsidP="00AD58CD">
      <w:pPr>
        <w:pStyle w:val="a8"/>
        <w:numPr>
          <w:ilvl w:val="0"/>
          <w:numId w:val="26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инфляционные ожидания: если население и бизнес ожидают роста цен, они начинают завышать цены и зарплаты заранее.  </w:t>
      </w:r>
    </w:p>
    <w:p w14:paraId="38A1239E"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Механизм инфляции включает в себя цепочку взаимосвязанных процессов:</w:t>
      </w:r>
    </w:p>
    <w:p w14:paraId="18E04522" w14:textId="07F1F298" w:rsidR="00E27E57" w:rsidRPr="00B64D5E" w:rsidRDefault="00E27E57" w:rsidP="00AD58CD">
      <w:pPr>
        <w:pStyle w:val="a8"/>
        <w:numPr>
          <w:ilvl w:val="0"/>
          <w:numId w:val="26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Денежный фактор: Увеличение денежной массы (например, эмиссия) при сохранении объема товаров ведет к обесцениванию денег.  </w:t>
      </w:r>
    </w:p>
    <w:p w14:paraId="6EC8EFEE" w14:textId="67F4734E" w:rsidR="00E27E57" w:rsidRPr="00B64D5E" w:rsidRDefault="00E27E57" w:rsidP="00AD58CD">
      <w:pPr>
        <w:pStyle w:val="a8"/>
        <w:numPr>
          <w:ilvl w:val="0"/>
          <w:numId w:val="26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lastRenderedPageBreak/>
        <w:t xml:space="preserve">Издержки производства: Рост цен на нефть повышает затраты на логистику и производство, вынуждая компании перекладывать расходы на потребителей.  </w:t>
      </w:r>
    </w:p>
    <w:p w14:paraId="2DA981B6" w14:textId="27F8591F" w:rsidR="00E27E57" w:rsidRPr="00B64D5E" w:rsidRDefault="00E27E57" w:rsidP="00AD58CD">
      <w:pPr>
        <w:pStyle w:val="a8"/>
        <w:numPr>
          <w:ilvl w:val="0"/>
          <w:numId w:val="26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32"/>
          <w:szCs w:val="32"/>
          <w:lang w:eastAsia="ru-RU"/>
        </w:rPr>
      </w:pPr>
      <w:r w:rsidRPr="00B64D5E">
        <w:rPr>
          <w:rFonts w:ascii="Times New Roman" w:eastAsia="Times New Roman" w:hAnsi="Times New Roman" w:cs="Times New Roman"/>
          <w:color w:val="000000"/>
          <w:sz w:val="32"/>
          <w:szCs w:val="32"/>
          <w:lang w:eastAsia="ru-RU"/>
        </w:rPr>
        <w:t xml:space="preserve">Инфляционная спираль: Повышение цен приводит к требованию повысить зарплаты, что в свою очередь приводит к росту издержек бизнеса, а это приводит к новому витку роста цен [6].  </w:t>
      </w:r>
    </w:p>
    <w:p w14:paraId="5AE1ED85"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Примером цепочки взаимосвязанных процессов может служить ситуация, сложившаяся в 2022 году, когда мировой энергетический кризис привел к удорожанию электроэнергии в Европе, что спровоцировало инфляцию издержек в промышленности и сфере услуг.</w:t>
      </w:r>
    </w:p>
    <w:p w14:paraId="2861EF52" w14:textId="77777777" w:rsidR="00E27E57" w:rsidRPr="009472DE" w:rsidRDefault="00E27E57" w:rsidP="00B64D5E">
      <w:pPr>
        <w:shd w:val="clear" w:color="auto" w:fill="FFFFFF"/>
        <w:tabs>
          <w:tab w:val="left" w:pos="993"/>
        </w:tabs>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Основываясь на данных об инфляции, которые доступны на сайте Банка России [9], можно заметить, что за период с 2021 по 2024 год показатель инфляции был подвержен значительным колебаниям. В этом </w:t>
      </w:r>
      <w:proofErr w:type="gramStart"/>
      <w:r w:rsidRPr="009472DE">
        <w:rPr>
          <w:rFonts w:ascii="Times New Roman" w:eastAsia="Times New Roman" w:hAnsi="Times New Roman" w:cs="Times New Roman"/>
          <w:color w:val="000000"/>
          <w:sz w:val="32"/>
          <w:szCs w:val="32"/>
          <w:lang w:eastAsia="ru-RU"/>
        </w:rPr>
        <w:t>можно убедиться</w:t>
      </w:r>
      <w:proofErr w:type="gramEnd"/>
      <w:r w:rsidRPr="009472DE">
        <w:rPr>
          <w:rFonts w:ascii="Times New Roman" w:eastAsia="Times New Roman" w:hAnsi="Times New Roman" w:cs="Times New Roman"/>
          <w:color w:val="000000"/>
          <w:sz w:val="32"/>
          <w:szCs w:val="32"/>
          <w:lang w:eastAsia="ru-RU"/>
        </w:rPr>
        <w:t xml:space="preserve"> обратившись к диаграмме инфляции и ключевой ставки Банка России, представленной на рисунке 1.</w:t>
      </w:r>
    </w:p>
    <w:p w14:paraId="5026D4C3"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p>
    <w:p w14:paraId="7CBD0A9D" w14:textId="77777777" w:rsidR="00E27E57" w:rsidRPr="009472DE" w:rsidRDefault="00E27E57" w:rsidP="00E27E5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noProof/>
          <w:color w:val="000000"/>
          <w:sz w:val="32"/>
          <w:szCs w:val="32"/>
          <w:lang w:eastAsia="ru-RU"/>
        </w:rPr>
        <w:drawing>
          <wp:inline distT="0" distB="0" distL="0" distR="0" wp14:anchorId="6D968DAB" wp14:editId="075319A2">
            <wp:extent cx="6120130" cy="4448175"/>
            <wp:effectExtent l="0" t="0" r="0" b="9525"/>
            <wp:docPr id="855906103" name="Рисунок 85590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4448175"/>
                    </a:xfrm>
                    <a:prstGeom prst="rect">
                      <a:avLst/>
                    </a:prstGeom>
                  </pic:spPr>
                </pic:pic>
              </a:graphicData>
            </a:graphic>
          </wp:inline>
        </w:drawing>
      </w:r>
    </w:p>
    <w:p w14:paraId="7B4D17B3" w14:textId="77777777" w:rsidR="00E27E57" w:rsidRPr="009472DE" w:rsidRDefault="00E27E57" w:rsidP="00E27E5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Рисунок 1 - Инфляция и ключевая ставка Банка России</w:t>
      </w:r>
    </w:p>
    <w:p w14:paraId="5793392B" w14:textId="1A0B2176" w:rsidR="00B64D5E" w:rsidRDefault="00B64D5E">
      <w:pP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br w:type="page"/>
      </w:r>
    </w:p>
    <w:p w14:paraId="46050C4C"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lastRenderedPageBreak/>
        <w:t xml:space="preserve">Диаграмма показывает динамику инфляции в России и ключевой ставки Банка России с января 2021 года по декабрь 2024 года, а также целевой уровень инфляции на уровне 4%. </w:t>
      </w:r>
    </w:p>
    <w:p w14:paraId="4AB5AC1B" w14:textId="16C2C6E4"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Анализируя диаграмму</w:t>
      </w:r>
      <w:r w:rsidR="00EC7C62">
        <w:rPr>
          <w:rFonts w:ascii="Times New Roman" w:eastAsia="Times New Roman" w:hAnsi="Times New Roman" w:cs="Times New Roman"/>
          <w:color w:val="000000"/>
          <w:sz w:val="32"/>
          <w:szCs w:val="32"/>
          <w:lang w:eastAsia="ru-RU"/>
        </w:rPr>
        <w:t>,</w:t>
      </w:r>
      <w:r w:rsidRPr="009472DE">
        <w:rPr>
          <w:rFonts w:ascii="Times New Roman" w:eastAsia="Times New Roman" w:hAnsi="Times New Roman" w:cs="Times New Roman"/>
          <w:color w:val="000000"/>
          <w:sz w:val="32"/>
          <w:szCs w:val="32"/>
          <w:lang w:eastAsia="ru-RU"/>
        </w:rPr>
        <w:t xml:space="preserve"> можно сделать вывод, что в целом, наблюдается обратная зависимость между ключевой ставкой и инфляцией. Когда инфляция растет, Центральный Банк России повышает ключевую ставку, чтобы охладить экономику и сдержать инфляцию. Когда инфляция снижается, ЦБ РФ может понижать ключевую ставку для стимулирования экономического роста.</w:t>
      </w:r>
    </w:p>
    <w:p w14:paraId="3698623F"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С 2021 год по начало 2022 года наблюдается повышение ключевой ставки для сдерживания растущей инфляции, которая за данный период выросла с значения 5,20% до 8,73%. Это произошло из-за восстановления экономики после пандемии, роста мировых цен на сырье, ослабления рубля. </w:t>
      </w:r>
    </w:p>
    <w:p w14:paraId="0EFDEDF2"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Весной 2022 года произошло резкое повышение ключевой ставки в ответ на геополитический шок и резкий рост инфляции до 17,83%. Причиной этого стал начало специальной военной операции (СВО): геополитическая неопределенность и введение санкций вызвали панику на рынках, резкое падение рубля и всплеск инфляции.</w:t>
      </w:r>
    </w:p>
    <w:p w14:paraId="3E9E1556"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В середине 2022 года - весной 2023 года наблюдалось снижение ключевой ставки по мере стабилизации ситуации и снижения инфляции до 2,31%. Это произошло за счёт адаптации экономики к новым условиям, укрепления рубля, снижения инфляционных ожиданий.</w:t>
      </w:r>
    </w:p>
    <w:p w14:paraId="51A55577"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В конец 2023 года - 2024 год повышение ключевой ставки возобновилось в ответ на ускорение инфляции, которая по конец 2024 года составила 9,52%. Причиной этого стало ослабление рубля, рост внутреннего спроса, а также дефицит рабочей силы. </w:t>
      </w:r>
    </w:p>
    <w:p w14:paraId="4ECC8C2C"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Диаграмма демонстрирует, что инфляция в России подвержена значительным колебаниям, обусловленным как внутренними, так и внешними факторами. Центральный Банк России (ЦБ РФ) активно использует инструменты денежно-кредитной политики, в первую очередь ключевую ставку, для управления инфляцией и удержания ее вблизи целевого уровня.</w:t>
      </w:r>
    </w:p>
    <w:p w14:paraId="182A5AF0" w14:textId="77777777"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Борьба с инфляцией требует комплексного подхода, сочетающего краткосрочные меры и долгосрочные реформы.  </w:t>
      </w:r>
    </w:p>
    <w:p w14:paraId="2BEF72B2" w14:textId="5327538E" w:rsidR="00E27E57" w:rsidRPr="009472DE" w:rsidRDefault="00E27E57" w:rsidP="00B64D5E">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Одной из таких мер является монетарная политика. Она заключается в повышение ключевой ставки, что способствует снижению спроса и замедлению роста цен путем удорожания </w:t>
      </w:r>
      <w:r w:rsidRPr="009472DE">
        <w:rPr>
          <w:rFonts w:ascii="Times New Roman" w:eastAsia="Times New Roman" w:hAnsi="Times New Roman" w:cs="Times New Roman"/>
          <w:color w:val="000000"/>
          <w:sz w:val="32"/>
          <w:szCs w:val="32"/>
          <w:lang w:eastAsia="ru-RU"/>
        </w:rPr>
        <w:lastRenderedPageBreak/>
        <w:t xml:space="preserve">кредитов, а также сокращению денежной массы путем продажи государственных облигаций центральным банком («стерилизация» ликвидности).  </w:t>
      </w:r>
    </w:p>
    <w:p w14:paraId="1C0FD169"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Примером монетарной политики может служить повышение в конце 1970-х в США под руководством Пола Волкера ключевой ставки до 20%, благодаря чему остановилась гиперинфляция.  </w:t>
      </w:r>
    </w:p>
    <w:p w14:paraId="25E16C35"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Ещё одной мерой борьбы с инфляцией может служить фискальная политика. Она заключается в сокращение дефицита госбюджета за счет снижения расходов или повышения налогов, а также отказ от популистских мер (например, необоснованных социальных выплат).  </w:t>
      </w:r>
    </w:p>
    <w:p w14:paraId="5400F688"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Одной из реформ может служить структурная реформа, она заключается в стимулирование конкуренции для предотвращения монопольного ценообразования, инвестициях в технологии для роста производительности, диверсификации экономики и снижение зависимости от импорта.  </w:t>
      </w:r>
    </w:p>
    <w:p w14:paraId="43FEB1F9"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Также необходимо контролировать инфляционные ожидания путем проведения прозрачной коммуникации центрального банка и правительства [8], и создания независимых антиинфляционных фондов (например, стабилизационных фондов для сырьевых экономик). </w:t>
      </w:r>
    </w:p>
    <w:p w14:paraId="1CFE6CE2"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Кроме того, необходимо налаживать международное сотрудничество с помощью согласования политики с торговыми партнерами и участия в международных организациях (МВФ, Всемирный банк) для стабилизации валютных курсов.  </w:t>
      </w:r>
    </w:p>
    <w:p w14:paraId="67A3E241" w14:textId="77777777"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Историческим примером остановки инфляции можно привести случай в 1985 году, когда Израиль остановил гиперинфляцию (до 450% в год) через «План стабилизации», включавший заморозку цен, сокращение госрасходов и введение фиксированного курса шекеля.</w:t>
      </w:r>
    </w:p>
    <w:p w14:paraId="45B8B8F8" w14:textId="77777777" w:rsidR="00B64D5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 xml:space="preserve">В заключение можно сделать вывод, что инфляция — это многогранная проблема, требующая гибкого подхода. Крайне важно сочетать сдерживающие меры (повышение ставок, сокращение дефицита) с инвестициями в устойчивый рост. </w:t>
      </w:r>
    </w:p>
    <w:p w14:paraId="152BD4BF" w14:textId="26BD42CF" w:rsidR="00E27E57" w:rsidRPr="009472DE" w:rsidRDefault="00E27E57" w:rsidP="00E27E57">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9472DE">
        <w:rPr>
          <w:rFonts w:ascii="Times New Roman" w:eastAsia="Times New Roman" w:hAnsi="Times New Roman" w:cs="Times New Roman"/>
          <w:color w:val="000000"/>
          <w:sz w:val="32"/>
          <w:szCs w:val="32"/>
          <w:lang w:eastAsia="ru-RU"/>
        </w:rPr>
        <w:t>Однако избыточное ужесточение политики может спровоцировать рецессию, поэтому ключевая задача — найти баланс между контролем цен и поддержанием экономической активности. В условиях глобальных вызовов, таких как климатические изменения и цифровая трансформация, стратегии борьбы с инфляцией должны адаптироваться, учитывая новые риски и возможности [7].</w:t>
      </w:r>
    </w:p>
    <w:p w14:paraId="443E5774" w14:textId="77777777" w:rsidR="00E27E57" w:rsidRPr="002679E0" w:rsidRDefault="00E27E57" w:rsidP="00E27E57">
      <w:pPr>
        <w:shd w:val="clear" w:color="auto" w:fill="FFFFFF"/>
        <w:spacing w:after="0" w:line="240" w:lineRule="auto"/>
        <w:ind w:firstLine="709"/>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lastRenderedPageBreak/>
        <w:t xml:space="preserve">Литература: </w:t>
      </w:r>
    </w:p>
    <w:p w14:paraId="26ADE25F"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 xml:space="preserve">Макроэкономика: учебник для вузов/ А. Абель, Б. Бернанке. — М.: Издательский дом «Питер», 2020 [https://institutiones.com/download/books/1987-makroekonomika-abel-bernanke.html] </w:t>
      </w:r>
    </w:p>
    <w:p w14:paraId="77D21932"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Деньги, банковское дело и денежно-кредитная политика*/ Ф. Мишкин. — М.: «Вильямс», 2018 [https://studfile.net/preview/1098193/]</w:t>
      </w:r>
    </w:p>
    <w:p w14:paraId="521D8654"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Мировая экономика: вызовы глобализации** / Дж. Стиглиц. — М.: «Инфра-М», 2019 [https://cyberleninka.ru/article/n/mirovaya-ekonomika-vyzovy-globalizatsii]</w:t>
      </w:r>
    </w:p>
    <w:p w14:paraId="51B72566"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Отчеты Международного валютного фонда (МВФ). — [Официальный сайт МВФ] [https://www.imf.org/ru/Home]</w:t>
      </w:r>
    </w:p>
    <w:p w14:paraId="7A228E92"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 xml:space="preserve">Энергетические кризисы и их влияние на экономику / Аналитический доклад Всемирного банка [https://pro.rbc.ru/demo/635961479a79474b28418750] </w:t>
      </w:r>
    </w:p>
    <w:p w14:paraId="1AC4730C"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 xml:space="preserve">Инфляционные ожидания: теория и практика/ Р. Шиллер. — Журнал «Экономические исследования», № 4, 2022.  [https://journal.econorus.org/pdf/NEA-63.pdf] </w:t>
      </w:r>
    </w:p>
    <w:p w14:paraId="7D7E5E82"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Цифровая валюта и инфляция / Исследование Банка международных расчетов (BIS)  [https://cyberleninka.ru/article/n/mirovoy-opyt-vnedreniya-tsifrovyh-valyut-tsentralnyh-bankov-dlya-roznichnyh-platezhey-v-stranah-s-formiruyuschimsya-rynkom-i]</w:t>
      </w:r>
    </w:p>
    <w:p w14:paraId="73FCA88B"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Доклад о денежно-кредитной политике Банка России (2023 г.) [https://www.cbr.ru]</w:t>
      </w:r>
    </w:p>
    <w:p w14:paraId="3EDADE7F" w14:textId="77777777" w:rsidR="00E27E57" w:rsidRPr="0058396F" w:rsidRDefault="00E27E57" w:rsidP="00AD58CD">
      <w:pPr>
        <w:pStyle w:val="afc"/>
        <w:numPr>
          <w:ilvl w:val="0"/>
          <w:numId w:val="12"/>
        </w:numPr>
        <w:tabs>
          <w:tab w:val="left" w:pos="0"/>
          <w:tab w:val="left" w:pos="284"/>
        </w:tabs>
        <w:ind w:left="0" w:firstLine="0"/>
        <w:rPr>
          <w:rFonts w:eastAsia="Times New Roman" w:cs="Times New Roman"/>
          <w:lang w:val="x-none"/>
        </w:rPr>
      </w:pPr>
      <w:r w:rsidRPr="0058396F">
        <w:rPr>
          <w:rFonts w:eastAsia="Times New Roman" w:cs="Times New Roman"/>
          <w:lang w:val="x-none"/>
        </w:rPr>
        <w:t>Инфляция и ключевая ставка Банка России [https://cbr.ru/hd_base/infl/]</w:t>
      </w:r>
    </w:p>
    <w:p w14:paraId="13C66FFA" w14:textId="739D6CD3" w:rsidR="00E27E57" w:rsidRDefault="00E27E57" w:rsidP="00E27E57">
      <w:pPr>
        <w:spacing w:after="0" w:line="240" w:lineRule="auto"/>
        <w:rPr>
          <w:rFonts w:ascii="Times New Roman" w:hAnsi="Times New Roman" w:cs="Times New Roman"/>
          <w:sz w:val="21"/>
          <w:szCs w:val="21"/>
          <w:lang w:val="x-none"/>
        </w:rPr>
      </w:pPr>
    </w:p>
    <w:p w14:paraId="7964D2AF" w14:textId="77777777" w:rsidR="00B64D5E" w:rsidRDefault="00B64D5E" w:rsidP="00E27E57">
      <w:pPr>
        <w:spacing w:after="0" w:line="240" w:lineRule="auto"/>
        <w:rPr>
          <w:rFonts w:ascii="Times New Roman" w:hAnsi="Times New Roman" w:cs="Times New Roman"/>
          <w:sz w:val="21"/>
          <w:szCs w:val="21"/>
          <w:lang w:val="x-none"/>
        </w:rPr>
      </w:pPr>
    </w:p>
    <w:p w14:paraId="7FDF4E4B" w14:textId="77777777" w:rsidR="00E10AFB" w:rsidRPr="0086360B" w:rsidRDefault="00E10AFB" w:rsidP="00E10AFB">
      <w:pPr>
        <w:spacing w:after="0" w:line="240" w:lineRule="auto"/>
        <w:jc w:val="both"/>
        <w:rPr>
          <w:rFonts w:ascii="Times New Roman" w:eastAsia="Aptos" w:hAnsi="Times New Roman" w:cs="Times New Roman"/>
          <w:b/>
          <w:bCs/>
          <w:kern w:val="2"/>
          <w:sz w:val="21"/>
          <w:szCs w:val="32"/>
          <w14:ligatures w14:val="standardContextual"/>
        </w:rPr>
      </w:pPr>
      <w:r>
        <w:rPr>
          <w:rFonts w:ascii="Times New Roman" w:eastAsia="Aptos" w:hAnsi="Times New Roman" w:cs="Times New Roman"/>
          <w:b/>
          <w:bCs/>
          <w:kern w:val="2"/>
          <w:sz w:val="21"/>
          <w:szCs w:val="32"/>
          <w14:ligatures w14:val="standardContextual"/>
        </w:rPr>
        <w:t xml:space="preserve">УДК </w:t>
      </w:r>
      <w:r w:rsidRPr="0086360B">
        <w:rPr>
          <w:rFonts w:ascii="Times New Roman" w:eastAsia="Aptos" w:hAnsi="Times New Roman" w:cs="Times New Roman"/>
          <w:b/>
          <w:bCs/>
          <w:kern w:val="2"/>
          <w:sz w:val="21"/>
          <w:szCs w:val="32"/>
          <w14:ligatures w14:val="standardContextual"/>
        </w:rPr>
        <w:t>338</w:t>
      </w:r>
    </w:p>
    <w:p w14:paraId="34CB892F"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color w:val="000000"/>
          <w:sz w:val="21"/>
          <w:szCs w:val="21"/>
          <w:lang w:eastAsia="ar-SA"/>
        </w:rPr>
      </w:pPr>
      <w:r w:rsidRPr="0086360B">
        <w:rPr>
          <w:rFonts w:ascii="Times New Roman" w:eastAsia="Times New Roman" w:hAnsi="Times New Roman" w:cs="Times New Roman"/>
          <w:b/>
          <w:i/>
          <w:color w:val="000000"/>
          <w:sz w:val="21"/>
          <w:szCs w:val="21"/>
          <w:lang w:eastAsia="ar-SA"/>
        </w:rPr>
        <w:t xml:space="preserve">Кретов О.А., </w:t>
      </w:r>
    </w:p>
    <w:p w14:paraId="7F5AA650"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color w:val="000000"/>
          <w:sz w:val="21"/>
          <w:szCs w:val="21"/>
          <w:lang w:eastAsia="ar-SA"/>
        </w:rPr>
      </w:pPr>
      <w:r w:rsidRPr="0086360B">
        <w:rPr>
          <w:rFonts w:ascii="Times New Roman" w:eastAsia="Times New Roman" w:hAnsi="Times New Roman" w:cs="Times New Roman"/>
          <w:i/>
          <w:color w:val="000000"/>
          <w:sz w:val="21"/>
          <w:szCs w:val="21"/>
          <w:lang w:eastAsia="ar-SA"/>
        </w:rPr>
        <w:t xml:space="preserve">Студент 3 курса </w:t>
      </w:r>
    </w:p>
    <w:p w14:paraId="53AB4DE3" w14:textId="77777777" w:rsidR="00E10AFB" w:rsidRDefault="00E10AFB" w:rsidP="00E10AFB">
      <w:pPr>
        <w:spacing w:after="0" w:line="240" w:lineRule="auto"/>
        <w:ind w:firstLine="567"/>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DD7DCFF"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sz w:val="21"/>
          <w:szCs w:val="20"/>
          <w:lang w:eastAsia="ar-SA"/>
        </w:rPr>
      </w:pPr>
      <w:r w:rsidRPr="0086360B">
        <w:rPr>
          <w:rFonts w:ascii="Times New Roman" w:eastAsia="Times New Roman" w:hAnsi="Times New Roman" w:cs="Times New Roman"/>
          <w:i/>
          <w:sz w:val="21"/>
          <w:szCs w:val="20"/>
          <w:lang w:eastAsia="ar-SA"/>
        </w:rPr>
        <w:t>г. Краснодар, Россия</w:t>
      </w:r>
    </w:p>
    <w:p w14:paraId="0D46132F" w14:textId="77777777" w:rsidR="00E10AFB" w:rsidRPr="0086360B" w:rsidRDefault="00E10AFB" w:rsidP="00E10AFB">
      <w:pPr>
        <w:spacing w:after="0" w:line="240" w:lineRule="auto"/>
        <w:ind w:firstLine="567"/>
        <w:jc w:val="right"/>
        <w:rPr>
          <w:rFonts w:ascii="Times New Roman" w:eastAsia="Aptos" w:hAnsi="Times New Roman" w:cs="Times New Roman"/>
          <w:i/>
          <w:kern w:val="2"/>
          <w:sz w:val="21"/>
          <w:szCs w:val="24"/>
          <w14:ligatures w14:val="standardContextual"/>
        </w:rPr>
      </w:pPr>
      <w:r w:rsidRPr="0086360B">
        <w:rPr>
          <w:rFonts w:ascii="Times New Roman" w:eastAsia="Aptos" w:hAnsi="Times New Roman" w:cs="Times New Roman"/>
          <w:i/>
          <w:kern w:val="2"/>
          <w:sz w:val="21"/>
          <w:szCs w:val="20"/>
          <w14:ligatures w14:val="standardContextual"/>
        </w:rPr>
        <w:t>е-</w:t>
      </w:r>
      <w:r w:rsidRPr="0086360B">
        <w:rPr>
          <w:rFonts w:ascii="Times New Roman" w:eastAsia="Aptos" w:hAnsi="Times New Roman" w:cs="Times New Roman"/>
          <w:i/>
          <w:kern w:val="2"/>
          <w:sz w:val="21"/>
          <w:szCs w:val="20"/>
          <w:lang w:val="en-US"/>
          <w14:ligatures w14:val="standardContextual"/>
        </w:rPr>
        <w:t>mail</w:t>
      </w:r>
      <w:r w:rsidRPr="0086360B">
        <w:rPr>
          <w:rFonts w:ascii="Times New Roman" w:eastAsia="Aptos" w:hAnsi="Times New Roman" w:cs="Times New Roman"/>
          <w:i/>
          <w:kern w:val="2"/>
          <w:sz w:val="21"/>
          <w:szCs w:val="20"/>
          <w14:ligatures w14:val="standardContextual"/>
        </w:rPr>
        <w:t xml:space="preserve">: </w:t>
      </w:r>
      <w:hyperlink r:id="rId53" w:history="1">
        <w:r w:rsidRPr="0086360B">
          <w:rPr>
            <w:rFonts w:ascii="Times New Roman" w:eastAsia="Aptos" w:hAnsi="Times New Roman" w:cs="Times New Roman"/>
            <w:i/>
            <w:color w:val="467886"/>
            <w:kern w:val="2"/>
            <w:sz w:val="21"/>
            <w:szCs w:val="24"/>
            <w:u w:val="single"/>
            <w14:ligatures w14:val="standardContextual"/>
          </w:rPr>
          <w:t>100</w:t>
        </w:r>
        <w:r w:rsidRPr="0086360B">
          <w:rPr>
            <w:rFonts w:ascii="Times New Roman" w:eastAsia="Aptos" w:hAnsi="Times New Roman" w:cs="Times New Roman"/>
            <w:i/>
            <w:color w:val="467886"/>
            <w:kern w:val="2"/>
            <w:sz w:val="21"/>
            <w:szCs w:val="24"/>
            <w:u w:val="single"/>
            <w:lang w:val="en-US"/>
            <w14:ligatures w14:val="standardContextual"/>
          </w:rPr>
          <w:t>dot</w:t>
        </w:r>
        <w:r w:rsidRPr="0086360B">
          <w:rPr>
            <w:rFonts w:ascii="Times New Roman" w:eastAsia="Aptos" w:hAnsi="Times New Roman" w:cs="Times New Roman"/>
            <w:i/>
            <w:color w:val="467886"/>
            <w:kern w:val="2"/>
            <w:sz w:val="21"/>
            <w:szCs w:val="24"/>
            <w:u w:val="single"/>
            <w14:ligatures w14:val="standardContextual"/>
          </w:rPr>
          <w:t>13</w:t>
        </w:r>
        <w:r w:rsidRPr="0086360B">
          <w:rPr>
            <w:rFonts w:ascii="Times New Roman" w:eastAsia="Aptos" w:hAnsi="Times New Roman" w:cs="Times New Roman"/>
            <w:i/>
            <w:color w:val="467886"/>
            <w:kern w:val="2"/>
            <w:sz w:val="21"/>
            <w:szCs w:val="24"/>
            <w:u w:val="single"/>
            <w:lang w:val="en-US"/>
            <w14:ligatures w14:val="standardContextual"/>
          </w:rPr>
          <w:t>sl</w:t>
        </w:r>
        <w:r w:rsidRPr="0086360B">
          <w:rPr>
            <w:rFonts w:ascii="Times New Roman" w:eastAsia="Aptos" w:hAnsi="Times New Roman" w:cs="Times New Roman"/>
            <w:i/>
            <w:color w:val="467886"/>
            <w:kern w:val="2"/>
            <w:sz w:val="21"/>
            <w:szCs w:val="24"/>
            <w:u w:val="single"/>
            <w14:ligatures w14:val="standardContextual"/>
          </w:rPr>
          <w:t>220177@</w:t>
        </w:r>
        <w:r w:rsidRPr="0086360B">
          <w:rPr>
            <w:rFonts w:ascii="Times New Roman" w:eastAsia="Aptos" w:hAnsi="Times New Roman" w:cs="Times New Roman"/>
            <w:i/>
            <w:color w:val="467886"/>
            <w:kern w:val="2"/>
            <w:sz w:val="21"/>
            <w:szCs w:val="24"/>
            <w:u w:val="single"/>
            <w:lang w:val="en-US"/>
            <w14:ligatures w14:val="standardContextual"/>
          </w:rPr>
          <w:t>edu</w:t>
        </w:r>
        <w:r w:rsidRPr="0086360B">
          <w:rPr>
            <w:rFonts w:ascii="Times New Roman" w:eastAsia="Aptos" w:hAnsi="Times New Roman" w:cs="Times New Roman"/>
            <w:i/>
            <w:color w:val="467886"/>
            <w:kern w:val="2"/>
            <w:sz w:val="21"/>
            <w:szCs w:val="24"/>
            <w:u w:val="single"/>
            <w14:ligatures w14:val="standardContextual"/>
          </w:rPr>
          <w:t>.</w:t>
        </w:r>
        <w:r w:rsidRPr="0086360B">
          <w:rPr>
            <w:rFonts w:ascii="Times New Roman" w:eastAsia="Aptos" w:hAnsi="Times New Roman" w:cs="Times New Roman"/>
            <w:i/>
            <w:color w:val="467886"/>
            <w:kern w:val="2"/>
            <w:sz w:val="21"/>
            <w:szCs w:val="24"/>
            <w:u w:val="single"/>
            <w:lang w:val="en-US"/>
            <w14:ligatures w14:val="standardContextual"/>
          </w:rPr>
          <w:t>fa</w:t>
        </w:r>
        <w:r w:rsidRPr="0086360B">
          <w:rPr>
            <w:rFonts w:ascii="Times New Roman" w:eastAsia="Aptos" w:hAnsi="Times New Roman" w:cs="Times New Roman"/>
            <w:i/>
            <w:color w:val="467886"/>
            <w:kern w:val="2"/>
            <w:sz w:val="21"/>
            <w:szCs w:val="24"/>
            <w:u w:val="single"/>
            <w14:ligatures w14:val="standardContextual"/>
          </w:rPr>
          <w:t>.</w:t>
        </w:r>
        <w:r w:rsidRPr="0086360B">
          <w:rPr>
            <w:rFonts w:ascii="Times New Roman" w:eastAsia="Aptos" w:hAnsi="Times New Roman" w:cs="Times New Roman"/>
            <w:i/>
            <w:color w:val="467886"/>
            <w:kern w:val="2"/>
            <w:sz w:val="21"/>
            <w:szCs w:val="24"/>
            <w:u w:val="single"/>
            <w:lang w:val="en-US"/>
            <w14:ligatures w14:val="standardContextual"/>
          </w:rPr>
          <w:t>ru</w:t>
        </w:r>
      </w:hyperlink>
    </w:p>
    <w:p w14:paraId="545A9EF5" w14:textId="77777777" w:rsidR="00E10AFB" w:rsidRDefault="00E10AFB" w:rsidP="00E10AFB">
      <w:pPr>
        <w:spacing w:after="0" w:line="240" w:lineRule="auto"/>
        <w:ind w:firstLine="567"/>
        <w:jc w:val="right"/>
        <w:rPr>
          <w:rFonts w:ascii="Times New Roman" w:eastAsia="Aptos" w:hAnsi="Times New Roman" w:cs="Times New Roman"/>
          <w:b/>
          <w:i/>
          <w:kern w:val="2"/>
          <w:sz w:val="21"/>
          <w:szCs w:val="20"/>
          <w14:ligatures w14:val="standardContextual"/>
        </w:rPr>
      </w:pPr>
    </w:p>
    <w:p w14:paraId="3390EF47" w14:textId="77777777" w:rsidR="00E10AFB" w:rsidRPr="0086360B" w:rsidRDefault="00E10AFB" w:rsidP="00E10AFB">
      <w:pPr>
        <w:spacing w:after="0" w:line="240" w:lineRule="auto"/>
        <w:ind w:firstLine="567"/>
        <w:jc w:val="right"/>
        <w:rPr>
          <w:rFonts w:ascii="Times New Roman" w:eastAsia="Aptos" w:hAnsi="Times New Roman" w:cs="Times New Roman"/>
          <w:b/>
          <w:i/>
          <w:kern w:val="2"/>
          <w:sz w:val="21"/>
          <w:szCs w:val="20"/>
          <w14:ligatures w14:val="standardContextual"/>
        </w:rPr>
      </w:pPr>
      <w:r w:rsidRPr="0086360B">
        <w:rPr>
          <w:rFonts w:ascii="Times New Roman" w:eastAsia="Aptos" w:hAnsi="Times New Roman" w:cs="Times New Roman"/>
          <w:b/>
          <w:i/>
          <w:kern w:val="2"/>
          <w:sz w:val="21"/>
          <w:szCs w:val="20"/>
          <w14:ligatures w14:val="standardContextual"/>
        </w:rPr>
        <w:t>Научный руководитель:</w:t>
      </w:r>
    </w:p>
    <w:p w14:paraId="5A383B34" w14:textId="77777777" w:rsidR="00E10AFB" w:rsidRPr="0086360B" w:rsidRDefault="00E10AFB" w:rsidP="00E10AFB">
      <w:pPr>
        <w:spacing w:after="0" w:line="240" w:lineRule="auto"/>
        <w:ind w:firstLine="567"/>
        <w:jc w:val="right"/>
        <w:rPr>
          <w:rFonts w:ascii="Times New Roman" w:eastAsia="Aptos" w:hAnsi="Times New Roman" w:cs="Times New Roman"/>
          <w:b/>
          <w:i/>
          <w:kern w:val="2"/>
          <w:sz w:val="21"/>
          <w:szCs w:val="20"/>
          <w14:ligatures w14:val="standardContextual"/>
        </w:rPr>
      </w:pPr>
      <w:r w:rsidRPr="0086360B">
        <w:rPr>
          <w:rFonts w:ascii="Times New Roman" w:eastAsia="Aptos" w:hAnsi="Times New Roman" w:cs="Times New Roman"/>
          <w:b/>
          <w:i/>
          <w:kern w:val="2"/>
          <w:sz w:val="21"/>
          <w:szCs w:val="20"/>
          <w14:ligatures w14:val="standardContextual"/>
        </w:rPr>
        <w:t>Рощектаева У. Ю.,</w:t>
      </w:r>
    </w:p>
    <w:p w14:paraId="3A440D83" w14:textId="77777777" w:rsidR="00E10AFB" w:rsidRPr="0086360B" w:rsidRDefault="00E10AFB" w:rsidP="00E10AFB">
      <w:pPr>
        <w:spacing w:after="0" w:line="240" w:lineRule="auto"/>
        <w:ind w:firstLine="567"/>
        <w:jc w:val="right"/>
        <w:rPr>
          <w:rFonts w:ascii="Times New Roman" w:eastAsia="Aptos" w:hAnsi="Times New Roman" w:cs="Times New Roman"/>
          <w:i/>
          <w:kern w:val="2"/>
          <w:sz w:val="21"/>
          <w:szCs w:val="20"/>
          <w14:ligatures w14:val="standardContextual"/>
        </w:rPr>
      </w:pPr>
      <w:r w:rsidRPr="0086360B">
        <w:rPr>
          <w:rFonts w:ascii="Times New Roman" w:eastAsia="Aptos" w:hAnsi="Times New Roman" w:cs="Times New Roman"/>
          <w:i/>
          <w:kern w:val="2"/>
          <w:sz w:val="21"/>
          <w:szCs w:val="20"/>
          <w14:ligatures w14:val="standardContextual"/>
        </w:rPr>
        <w:t>к.э.н, доцент</w:t>
      </w:r>
    </w:p>
    <w:p w14:paraId="5FC72956" w14:textId="77777777" w:rsidR="00E10AFB" w:rsidRDefault="00E10AFB" w:rsidP="00E10AFB">
      <w:pPr>
        <w:spacing w:after="0" w:line="240" w:lineRule="auto"/>
        <w:ind w:firstLine="567"/>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689C4C5"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sz w:val="21"/>
          <w:szCs w:val="20"/>
          <w:lang w:eastAsia="ar-SA"/>
        </w:rPr>
      </w:pPr>
      <w:r w:rsidRPr="0086360B">
        <w:rPr>
          <w:rFonts w:ascii="Times New Roman" w:eastAsia="Times New Roman" w:hAnsi="Times New Roman" w:cs="Times New Roman"/>
          <w:i/>
          <w:sz w:val="21"/>
          <w:szCs w:val="20"/>
          <w:lang w:eastAsia="ar-SA"/>
        </w:rPr>
        <w:t>г. Краснодар, Россия</w:t>
      </w:r>
    </w:p>
    <w:p w14:paraId="1E4EB56D" w14:textId="77777777" w:rsidR="00E10AFB" w:rsidRPr="0086360B" w:rsidRDefault="00E10AFB" w:rsidP="00E10AFB">
      <w:pPr>
        <w:spacing w:after="0" w:line="240" w:lineRule="auto"/>
        <w:ind w:firstLine="567"/>
        <w:jc w:val="right"/>
        <w:rPr>
          <w:rFonts w:ascii="Times New Roman" w:eastAsia="Aptos" w:hAnsi="Times New Roman" w:cs="Times New Roman"/>
          <w:b/>
          <w:bCs/>
          <w:kern w:val="2"/>
          <w:sz w:val="21"/>
          <w:szCs w:val="24"/>
          <w14:ligatures w14:val="standardContextual"/>
        </w:rPr>
      </w:pPr>
      <w:r w:rsidRPr="0086360B">
        <w:rPr>
          <w:rFonts w:ascii="Times New Roman" w:eastAsia="Times New Roman" w:hAnsi="Times New Roman" w:cs="Times New Roman"/>
          <w:i/>
          <w:sz w:val="21"/>
          <w:szCs w:val="20"/>
          <w:lang w:eastAsia="ar-SA"/>
        </w:rPr>
        <w:t>е-</w:t>
      </w:r>
      <w:r w:rsidRPr="0086360B">
        <w:rPr>
          <w:rFonts w:ascii="Times New Roman" w:eastAsia="Times New Roman" w:hAnsi="Times New Roman" w:cs="Times New Roman"/>
          <w:i/>
          <w:sz w:val="21"/>
          <w:szCs w:val="20"/>
          <w:lang w:val="en-US" w:eastAsia="ar-SA"/>
        </w:rPr>
        <w:t>mail</w:t>
      </w:r>
      <w:r w:rsidRPr="0086360B">
        <w:rPr>
          <w:rFonts w:ascii="Times New Roman" w:eastAsia="Times New Roman" w:hAnsi="Times New Roman" w:cs="Times New Roman"/>
          <w:i/>
          <w:sz w:val="21"/>
          <w:szCs w:val="20"/>
          <w:lang w:eastAsia="ar-SA"/>
        </w:rPr>
        <w:t xml:space="preserve">: </w:t>
      </w:r>
      <w:hyperlink r:id="rId54" w:history="1">
        <w:r w:rsidRPr="0086360B">
          <w:rPr>
            <w:rFonts w:ascii="Times New Roman" w:eastAsia="Times New Roman" w:hAnsi="Times New Roman" w:cs="Times New Roman"/>
            <w:i/>
            <w:color w:val="0000FF"/>
            <w:sz w:val="21"/>
            <w:szCs w:val="20"/>
            <w:u w:val="single"/>
            <w:lang w:val="x-none" w:eastAsia="ar-SA"/>
          </w:rPr>
          <w:t>uyuroschektaeva@fa.ru</w:t>
        </w:r>
      </w:hyperlink>
    </w:p>
    <w:p w14:paraId="4C92D3D0" w14:textId="77777777" w:rsidR="00E10AFB" w:rsidRPr="0086360B" w:rsidRDefault="00E10AFB" w:rsidP="00E10AFB">
      <w:pPr>
        <w:spacing w:after="0" w:line="240" w:lineRule="auto"/>
        <w:ind w:firstLine="567"/>
        <w:jc w:val="center"/>
        <w:rPr>
          <w:rFonts w:ascii="Times New Roman" w:eastAsia="Aptos" w:hAnsi="Times New Roman" w:cs="Times New Roman"/>
          <w:b/>
          <w:bCs/>
          <w:kern w:val="2"/>
          <w:sz w:val="21"/>
          <w:szCs w:val="24"/>
          <w14:ligatures w14:val="standardContextual"/>
        </w:rPr>
      </w:pPr>
    </w:p>
    <w:p w14:paraId="37D4BBC3" w14:textId="77777777" w:rsidR="00E10AFB" w:rsidRPr="0086360B" w:rsidRDefault="00E10AFB" w:rsidP="00E10AFB">
      <w:pPr>
        <w:spacing w:after="0" w:line="240" w:lineRule="auto"/>
        <w:ind w:firstLine="567"/>
        <w:jc w:val="center"/>
        <w:rPr>
          <w:rFonts w:ascii="Times New Roman" w:eastAsia="Aptos" w:hAnsi="Times New Roman" w:cs="Times New Roman"/>
          <w:b/>
          <w:bCs/>
          <w:kern w:val="2"/>
          <w:sz w:val="21"/>
          <w:szCs w:val="24"/>
          <w14:ligatures w14:val="standardContextual"/>
        </w:rPr>
      </w:pPr>
      <w:r w:rsidRPr="0086360B">
        <w:rPr>
          <w:rFonts w:ascii="Times New Roman" w:eastAsia="Aptos" w:hAnsi="Times New Roman" w:cs="Times New Roman"/>
          <w:b/>
          <w:bCs/>
          <w:kern w:val="2"/>
          <w:sz w:val="21"/>
          <w:szCs w:val="24"/>
          <w14:ligatures w14:val="standardContextual"/>
        </w:rPr>
        <w:t>Взаимодействие между подразделениями при движении товаров: склад — торговля — логистика</w:t>
      </w:r>
    </w:p>
    <w:p w14:paraId="77340293" w14:textId="77777777" w:rsidR="00E10AFB" w:rsidRPr="0086360B" w:rsidRDefault="00E10AFB" w:rsidP="00E10AFB">
      <w:pPr>
        <w:spacing w:after="0" w:line="240" w:lineRule="auto"/>
        <w:ind w:firstLine="567"/>
        <w:jc w:val="center"/>
        <w:rPr>
          <w:rFonts w:ascii="Times New Roman" w:eastAsia="Aptos" w:hAnsi="Times New Roman" w:cs="Times New Roman"/>
          <w:b/>
          <w:bCs/>
          <w:kern w:val="2"/>
          <w:sz w:val="21"/>
          <w:szCs w:val="24"/>
          <w14:ligatures w14:val="standardContextual"/>
        </w:rPr>
      </w:pPr>
    </w:p>
    <w:p w14:paraId="2153C055" w14:textId="77777777" w:rsidR="00E10AFB" w:rsidRPr="0086360B" w:rsidRDefault="00E10AFB" w:rsidP="00E10AFB">
      <w:pPr>
        <w:spacing w:after="0" w:line="240" w:lineRule="auto"/>
        <w:ind w:firstLine="567"/>
        <w:jc w:val="both"/>
        <w:rPr>
          <w:rFonts w:ascii="Times New Roman" w:eastAsia="Times New Roman" w:hAnsi="Times New Roman" w:cs="Times New Roman"/>
          <w:sz w:val="21"/>
          <w:szCs w:val="24"/>
          <w:lang w:eastAsia="ru-RU"/>
        </w:rPr>
      </w:pPr>
      <w:r w:rsidRPr="0086360B">
        <w:rPr>
          <w:rFonts w:ascii="Times New Roman" w:eastAsia="Times New Roman" w:hAnsi="Times New Roman" w:cs="Times New Roman"/>
          <w:b/>
          <w:bCs/>
          <w:sz w:val="21"/>
          <w:szCs w:val="24"/>
          <w:lang w:eastAsia="ru-RU"/>
        </w:rPr>
        <w:t>Аннотация.</w:t>
      </w:r>
      <w:r w:rsidRPr="0086360B">
        <w:rPr>
          <w:rFonts w:ascii="Times New Roman" w:eastAsia="Times New Roman" w:hAnsi="Times New Roman" w:cs="Times New Roman"/>
          <w:sz w:val="21"/>
          <w:szCs w:val="24"/>
          <w:lang w:eastAsia="ru-RU"/>
        </w:rPr>
        <w:t xml:space="preserve"> В статье рассматриваются вопросы эффективного взаимодействия подразделений склада, торговли и логистики в цепи поставок, что приобретает особую актуальность к 2025 году в условиях цифровой трансформации и санкционных ограничений. Анализируются теоретические модели интеграции логистических процессов и принципы межфункционального планирования, позволяющие связать складские, торговые и транспортные операции в единые сквозные бизнес-процессы. Приводятся практические примеры современных российских компаний (внедрение WMS-систем в X5 Group и «Магните»), а также общие схемы оптимизации товародвижения (кросс-докинг, автоматизация складов). Рассматриваются последние исследования и актуальные нормативные акты в сфере логистики (законы, постановления, ГОСТы). На основе проведенного анализа обоснована ключевая роль согласованного взаимодействия между подразделениями в повышении эффективности и гибкости цепи поставок.</w:t>
      </w:r>
    </w:p>
    <w:p w14:paraId="25064B55" w14:textId="77777777" w:rsidR="00E10AFB" w:rsidRDefault="00E10AFB" w:rsidP="00E10AFB">
      <w:pPr>
        <w:spacing w:after="0" w:line="240" w:lineRule="auto"/>
        <w:ind w:firstLine="567"/>
        <w:jc w:val="both"/>
        <w:rPr>
          <w:rFonts w:ascii="Times New Roman" w:eastAsia="Times New Roman" w:hAnsi="Times New Roman" w:cs="Times New Roman"/>
          <w:sz w:val="21"/>
          <w:szCs w:val="24"/>
          <w:lang w:eastAsia="ru-RU"/>
        </w:rPr>
      </w:pPr>
      <w:r w:rsidRPr="0086360B">
        <w:rPr>
          <w:rFonts w:ascii="Times New Roman" w:eastAsia="Times New Roman" w:hAnsi="Times New Roman" w:cs="Times New Roman"/>
          <w:b/>
          <w:bCs/>
          <w:sz w:val="21"/>
          <w:szCs w:val="24"/>
          <w:lang w:eastAsia="ru-RU"/>
        </w:rPr>
        <w:t>Ключевые слова:</w:t>
      </w:r>
      <w:r w:rsidRPr="0086360B">
        <w:rPr>
          <w:rFonts w:ascii="Times New Roman" w:eastAsia="Times New Roman" w:hAnsi="Times New Roman" w:cs="Times New Roman"/>
          <w:sz w:val="21"/>
          <w:szCs w:val="24"/>
          <w:lang w:eastAsia="ru-RU"/>
        </w:rPr>
        <w:t xml:space="preserve"> взаимодействие подразделений, цепь поставок, складская логистика, торговля, управление запасами, кросс-докинг, автоматизация.</w:t>
      </w:r>
    </w:p>
    <w:p w14:paraId="7D84B62B" w14:textId="77777777" w:rsidR="00E10AFB" w:rsidRPr="0086360B" w:rsidRDefault="00E10AFB" w:rsidP="00E10AFB">
      <w:pPr>
        <w:spacing w:after="0" w:line="240" w:lineRule="auto"/>
        <w:ind w:firstLine="567"/>
        <w:jc w:val="both"/>
        <w:rPr>
          <w:rFonts w:ascii="Times New Roman" w:eastAsia="Times New Roman" w:hAnsi="Times New Roman" w:cs="Times New Roman"/>
          <w:sz w:val="21"/>
          <w:szCs w:val="24"/>
          <w:lang w:eastAsia="ru-RU"/>
        </w:rPr>
      </w:pPr>
    </w:p>
    <w:p w14:paraId="674D9BF6" w14:textId="77777777" w:rsidR="00E10AFB" w:rsidRPr="0086360B" w:rsidRDefault="00E10AFB" w:rsidP="00E10AFB">
      <w:pPr>
        <w:spacing w:after="0" w:line="240" w:lineRule="auto"/>
        <w:ind w:firstLine="567"/>
        <w:jc w:val="right"/>
        <w:rPr>
          <w:rFonts w:ascii="Times New Roman" w:eastAsia="Aptos" w:hAnsi="Times New Roman" w:cs="Times New Roman"/>
          <w:b/>
          <w:bCs/>
          <w:i/>
          <w:iCs/>
          <w:kern w:val="2"/>
          <w:sz w:val="21"/>
          <w:szCs w:val="32"/>
          <w:lang w:val="en-US"/>
          <w14:ligatures w14:val="standardContextual"/>
        </w:rPr>
      </w:pPr>
      <w:r w:rsidRPr="0086360B">
        <w:rPr>
          <w:rFonts w:ascii="Times New Roman" w:eastAsia="Aptos" w:hAnsi="Times New Roman" w:cs="Times New Roman"/>
          <w:b/>
          <w:bCs/>
          <w:i/>
          <w:iCs/>
          <w:kern w:val="2"/>
          <w:sz w:val="21"/>
          <w:szCs w:val="32"/>
          <w:lang w:val="en-US"/>
          <w14:ligatures w14:val="standardContextual"/>
        </w:rPr>
        <w:t xml:space="preserve">Kretov </w:t>
      </w:r>
      <w:r w:rsidRPr="0086360B">
        <w:rPr>
          <w:rFonts w:ascii="Times New Roman" w:eastAsia="Aptos" w:hAnsi="Times New Roman" w:cs="Times New Roman"/>
          <w:b/>
          <w:bCs/>
          <w:i/>
          <w:iCs/>
          <w:kern w:val="2"/>
          <w:sz w:val="21"/>
          <w:szCs w:val="32"/>
          <w14:ligatures w14:val="standardContextual"/>
        </w:rPr>
        <w:t>О</w:t>
      </w:r>
      <w:r w:rsidRPr="0086360B">
        <w:rPr>
          <w:rFonts w:ascii="Times New Roman" w:eastAsia="Aptos" w:hAnsi="Times New Roman" w:cs="Times New Roman"/>
          <w:b/>
          <w:bCs/>
          <w:i/>
          <w:iCs/>
          <w:kern w:val="2"/>
          <w:sz w:val="21"/>
          <w:szCs w:val="32"/>
          <w:lang w:val="en-US"/>
          <w14:ligatures w14:val="standardContextual"/>
        </w:rPr>
        <w:t>.A.,</w:t>
      </w:r>
    </w:p>
    <w:p w14:paraId="27650E73"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86360B">
        <w:rPr>
          <w:rFonts w:ascii="Times New Roman" w:eastAsia="Times New Roman" w:hAnsi="Times New Roman" w:cs="Times New Roman"/>
          <w:i/>
          <w:color w:val="000000"/>
          <w:sz w:val="21"/>
          <w:szCs w:val="21"/>
          <w:lang w:val="en-US" w:eastAsia="ar-SA"/>
        </w:rPr>
        <w:t>Student, 3rd year</w:t>
      </w:r>
    </w:p>
    <w:p w14:paraId="6AE822B3"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spacing w:val="-6"/>
          <w:sz w:val="21"/>
          <w:szCs w:val="20"/>
          <w:lang w:val="en-US" w:eastAsia="ar-SA"/>
        </w:rPr>
      </w:pPr>
      <w:r w:rsidRPr="0086360B">
        <w:rPr>
          <w:rFonts w:ascii="Times New Roman" w:eastAsia="Times New Roman" w:hAnsi="Times New Roman" w:cs="Times New Roman"/>
          <w:i/>
          <w:spacing w:val="-6"/>
          <w:sz w:val="21"/>
          <w:szCs w:val="20"/>
          <w:lang w:val="x-none" w:eastAsia="ar-SA"/>
        </w:rPr>
        <w:t>Financial University under the Government of the Russian Federation</w:t>
      </w:r>
      <w:r w:rsidRPr="0086360B">
        <w:rPr>
          <w:rFonts w:ascii="Times New Roman" w:eastAsia="Times New Roman" w:hAnsi="Times New Roman" w:cs="Times New Roman"/>
          <w:i/>
          <w:spacing w:val="-6"/>
          <w:sz w:val="21"/>
          <w:szCs w:val="20"/>
          <w:lang w:val="en-US" w:eastAsia="ar-SA"/>
        </w:rPr>
        <w:t xml:space="preserve"> </w:t>
      </w:r>
    </w:p>
    <w:p w14:paraId="66880D75"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color w:val="000000"/>
          <w:sz w:val="21"/>
          <w:szCs w:val="20"/>
          <w:lang w:val="en-US" w:eastAsia="ar-SA"/>
        </w:rPr>
      </w:pPr>
      <w:r w:rsidRPr="0086360B">
        <w:rPr>
          <w:rFonts w:ascii="Times New Roman" w:eastAsia="Times New Roman" w:hAnsi="Times New Roman" w:cs="Times New Roman"/>
          <w:i/>
          <w:color w:val="000000"/>
          <w:sz w:val="21"/>
          <w:szCs w:val="20"/>
          <w:lang w:val="en-US" w:eastAsia="ar-SA"/>
        </w:rPr>
        <w:t>Krasnodar, Russia</w:t>
      </w:r>
    </w:p>
    <w:p w14:paraId="0C793905" w14:textId="77777777" w:rsidR="00E10AFB" w:rsidRPr="00656AA8" w:rsidRDefault="00E10AFB" w:rsidP="00E10AFB">
      <w:pPr>
        <w:spacing w:after="0" w:line="240" w:lineRule="auto"/>
        <w:ind w:firstLine="567"/>
        <w:jc w:val="right"/>
        <w:rPr>
          <w:rFonts w:ascii="Aptos" w:eastAsia="Aptos" w:hAnsi="Aptos" w:cs="Times New Roman"/>
          <w:kern w:val="2"/>
          <w:sz w:val="24"/>
          <w:szCs w:val="24"/>
          <w:lang w:val="en-US"/>
          <w14:ligatures w14:val="standardContextual"/>
        </w:rPr>
      </w:pPr>
      <w:r w:rsidRPr="0086360B">
        <w:rPr>
          <w:rFonts w:ascii="Times New Roman" w:eastAsia="Aptos" w:hAnsi="Times New Roman" w:cs="Times New Roman"/>
          <w:i/>
          <w:kern w:val="2"/>
          <w:sz w:val="21"/>
          <w:szCs w:val="20"/>
          <w14:ligatures w14:val="standardContextual"/>
        </w:rPr>
        <w:t>е</w:t>
      </w:r>
      <w:r w:rsidRPr="0086360B">
        <w:rPr>
          <w:rFonts w:ascii="Times New Roman" w:eastAsia="Aptos" w:hAnsi="Times New Roman" w:cs="Times New Roman"/>
          <w:i/>
          <w:kern w:val="2"/>
          <w:sz w:val="21"/>
          <w:szCs w:val="20"/>
          <w:lang w:val="en-US"/>
          <w14:ligatures w14:val="standardContextual"/>
        </w:rPr>
        <w:t xml:space="preserve">-mail: </w:t>
      </w:r>
      <w:hyperlink r:id="rId55" w:history="1">
        <w:r w:rsidRPr="0086360B">
          <w:rPr>
            <w:rFonts w:ascii="Times New Roman" w:eastAsia="Aptos" w:hAnsi="Times New Roman" w:cs="Times New Roman"/>
            <w:i/>
            <w:color w:val="467886"/>
            <w:kern w:val="2"/>
            <w:sz w:val="21"/>
            <w:szCs w:val="24"/>
            <w:u w:val="single"/>
            <w:lang w:val="en-US"/>
            <w14:ligatures w14:val="standardContextual"/>
          </w:rPr>
          <w:t>100dot13sl220177@edu.fa.ru</w:t>
        </w:r>
      </w:hyperlink>
    </w:p>
    <w:p w14:paraId="218D1D6E" w14:textId="77777777" w:rsidR="00E10AFB" w:rsidRPr="0086360B" w:rsidRDefault="00E10AFB" w:rsidP="00E10AFB">
      <w:pPr>
        <w:spacing w:after="0" w:line="240" w:lineRule="auto"/>
        <w:ind w:firstLine="567"/>
        <w:jc w:val="right"/>
        <w:rPr>
          <w:rFonts w:ascii="Times New Roman" w:eastAsia="Aptos" w:hAnsi="Times New Roman" w:cs="Times New Roman"/>
          <w:i/>
          <w:kern w:val="2"/>
          <w:sz w:val="21"/>
          <w:szCs w:val="20"/>
          <w:lang w:val="en-US"/>
          <w14:ligatures w14:val="standardContextual"/>
        </w:rPr>
      </w:pPr>
    </w:p>
    <w:p w14:paraId="3DAEC9AC" w14:textId="77777777" w:rsidR="00E10AFB" w:rsidRPr="0086360B" w:rsidRDefault="00E10AFB" w:rsidP="00E10AFB">
      <w:pPr>
        <w:spacing w:after="0" w:line="240" w:lineRule="auto"/>
        <w:ind w:firstLine="567"/>
        <w:jc w:val="right"/>
        <w:rPr>
          <w:rFonts w:ascii="Times New Roman" w:eastAsia="Aptos" w:hAnsi="Times New Roman" w:cs="Times New Roman"/>
          <w:b/>
          <w:i/>
          <w:kern w:val="2"/>
          <w:sz w:val="21"/>
          <w:szCs w:val="21"/>
          <w:lang w:val="en-US"/>
          <w14:ligatures w14:val="standardContextual"/>
        </w:rPr>
      </w:pPr>
      <w:r w:rsidRPr="0086360B">
        <w:rPr>
          <w:rFonts w:ascii="Times New Roman" w:eastAsia="Aptos" w:hAnsi="Times New Roman" w:cs="Times New Roman"/>
          <w:b/>
          <w:i/>
          <w:kern w:val="2"/>
          <w:sz w:val="21"/>
          <w:szCs w:val="21"/>
          <w:lang w:val="en-US"/>
          <w14:ligatures w14:val="standardContextual"/>
        </w:rPr>
        <w:t>Scientific Adviser:</w:t>
      </w:r>
    </w:p>
    <w:p w14:paraId="757B949D" w14:textId="77777777" w:rsidR="00E10AFB" w:rsidRPr="0086360B" w:rsidRDefault="00E10AFB" w:rsidP="00E10AFB">
      <w:pPr>
        <w:spacing w:after="0" w:line="240" w:lineRule="auto"/>
        <w:ind w:firstLine="567"/>
        <w:jc w:val="right"/>
        <w:rPr>
          <w:rFonts w:ascii="Times New Roman" w:eastAsia="Aptos" w:hAnsi="Times New Roman" w:cs="Times New Roman"/>
          <w:b/>
          <w:i/>
          <w:kern w:val="2"/>
          <w:sz w:val="21"/>
          <w:szCs w:val="20"/>
          <w:lang w:val="en-US"/>
          <w14:ligatures w14:val="standardContextual"/>
        </w:rPr>
      </w:pPr>
      <w:r w:rsidRPr="0086360B">
        <w:rPr>
          <w:rFonts w:ascii="Times New Roman" w:eastAsia="Aptos" w:hAnsi="Times New Roman" w:cs="Times New Roman"/>
          <w:b/>
          <w:i/>
          <w:kern w:val="2"/>
          <w:sz w:val="21"/>
          <w:szCs w:val="20"/>
          <w:lang w:val="en-US"/>
          <w14:ligatures w14:val="standardContextual"/>
        </w:rPr>
        <w:t>Roschektaeva U.YU.</w:t>
      </w:r>
    </w:p>
    <w:p w14:paraId="21012FAB" w14:textId="77777777" w:rsidR="00E10AFB" w:rsidRPr="0086360B" w:rsidRDefault="00E10AFB" w:rsidP="00E10AFB">
      <w:pPr>
        <w:spacing w:after="0" w:line="240" w:lineRule="auto"/>
        <w:ind w:firstLine="567"/>
        <w:jc w:val="right"/>
        <w:rPr>
          <w:rFonts w:ascii="Times New Roman" w:eastAsia="Aptos" w:hAnsi="Times New Roman" w:cs="Times New Roman"/>
          <w:i/>
          <w:iCs/>
          <w:kern w:val="2"/>
          <w:sz w:val="21"/>
          <w:szCs w:val="21"/>
          <w:shd w:val="clear" w:color="auto" w:fill="FFFFFF"/>
          <w:lang w:val="en-US"/>
          <w14:ligatures w14:val="standardContextual"/>
        </w:rPr>
      </w:pPr>
      <w:r w:rsidRPr="0086360B">
        <w:rPr>
          <w:rFonts w:ascii="Times New Roman" w:eastAsia="Aptos" w:hAnsi="Times New Roman" w:cs="Times New Roman"/>
          <w:i/>
          <w:iCs/>
          <w:kern w:val="2"/>
          <w:sz w:val="21"/>
          <w:szCs w:val="21"/>
          <w:shd w:val="clear" w:color="auto" w:fill="FFFFFF"/>
          <w:lang w:val="en-US"/>
          <w14:ligatures w14:val="standardContextual"/>
        </w:rPr>
        <w:lastRenderedPageBreak/>
        <w:t>Doctor of Science (Economics),</w:t>
      </w:r>
      <w:r w:rsidRPr="0086360B">
        <w:rPr>
          <w:rFonts w:ascii="Times New Roman" w:eastAsia="Aptos" w:hAnsi="Times New Roman" w:cs="Times New Roman"/>
          <w:i/>
          <w:kern w:val="2"/>
          <w:sz w:val="21"/>
          <w:szCs w:val="24"/>
          <w:lang w:val="en-US"/>
          <w14:ligatures w14:val="standardContextual"/>
        </w:rPr>
        <w:t xml:space="preserve"> </w:t>
      </w:r>
      <w:r w:rsidRPr="0086360B">
        <w:rPr>
          <w:rFonts w:ascii="Times New Roman" w:eastAsia="Aptos" w:hAnsi="Times New Roman" w:cs="Times New Roman"/>
          <w:i/>
          <w:iCs/>
          <w:kern w:val="2"/>
          <w:sz w:val="21"/>
          <w:szCs w:val="21"/>
          <w:shd w:val="clear" w:color="auto" w:fill="FFFFFF"/>
          <w:lang w:val="en-US"/>
          <w14:ligatures w14:val="standardContextual"/>
        </w:rPr>
        <w:t>Docent</w:t>
      </w:r>
    </w:p>
    <w:p w14:paraId="458E6480"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spacing w:val="-6"/>
          <w:sz w:val="21"/>
          <w:szCs w:val="20"/>
          <w:lang w:val="en-US" w:eastAsia="ar-SA"/>
        </w:rPr>
      </w:pPr>
      <w:r w:rsidRPr="0086360B">
        <w:rPr>
          <w:rFonts w:ascii="Times New Roman" w:eastAsia="Times New Roman" w:hAnsi="Times New Roman" w:cs="Times New Roman"/>
          <w:i/>
          <w:spacing w:val="-6"/>
          <w:sz w:val="21"/>
          <w:szCs w:val="20"/>
          <w:lang w:val="x-none" w:eastAsia="ar-SA"/>
        </w:rPr>
        <w:t>Financial University under the Government of the Russian Federation</w:t>
      </w:r>
      <w:r w:rsidRPr="0086360B">
        <w:rPr>
          <w:rFonts w:ascii="Times New Roman" w:eastAsia="Times New Roman" w:hAnsi="Times New Roman" w:cs="Times New Roman"/>
          <w:i/>
          <w:spacing w:val="-6"/>
          <w:sz w:val="21"/>
          <w:szCs w:val="20"/>
          <w:lang w:val="en-US" w:eastAsia="ar-SA"/>
        </w:rPr>
        <w:t xml:space="preserve"> </w:t>
      </w:r>
    </w:p>
    <w:p w14:paraId="02B250E1" w14:textId="77777777" w:rsidR="00E10AFB" w:rsidRPr="0086360B" w:rsidRDefault="00E10AFB" w:rsidP="00E10AFB">
      <w:pPr>
        <w:suppressAutoHyphens/>
        <w:spacing w:after="0" w:line="240" w:lineRule="auto"/>
        <w:ind w:firstLine="567"/>
        <w:jc w:val="right"/>
        <w:rPr>
          <w:rFonts w:ascii="Times New Roman" w:eastAsia="Times New Roman" w:hAnsi="Times New Roman" w:cs="Times New Roman"/>
          <w:i/>
          <w:color w:val="000000"/>
          <w:sz w:val="21"/>
          <w:szCs w:val="20"/>
          <w:lang w:val="en-US" w:eastAsia="ar-SA"/>
        </w:rPr>
      </w:pPr>
      <w:r w:rsidRPr="0086360B">
        <w:rPr>
          <w:rFonts w:ascii="Times New Roman" w:eastAsia="Times New Roman" w:hAnsi="Times New Roman" w:cs="Times New Roman"/>
          <w:i/>
          <w:color w:val="000000"/>
          <w:sz w:val="21"/>
          <w:szCs w:val="20"/>
          <w:lang w:val="en-US" w:eastAsia="ar-SA"/>
        </w:rPr>
        <w:t>Krasnodar, Russia</w:t>
      </w:r>
    </w:p>
    <w:p w14:paraId="0DD57B11" w14:textId="77777777" w:rsidR="00E10AFB" w:rsidRPr="0086360B" w:rsidRDefault="00E10AFB" w:rsidP="00E10AFB">
      <w:pPr>
        <w:suppressAutoHyphens/>
        <w:spacing w:after="0" w:line="240" w:lineRule="auto"/>
        <w:ind w:firstLine="567"/>
        <w:jc w:val="right"/>
        <w:textAlignment w:val="baseline"/>
        <w:rPr>
          <w:rFonts w:ascii="Times New Roman" w:eastAsia="Times New Roman" w:hAnsi="Times New Roman" w:cs="Times New Roman"/>
          <w:i/>
          <w:color w:val="000000"/>
          <w:sz w:val="21"/>
          <w:szCs w:val="20"/>
          <w:lang w:val="x-none" w:eastAsia="ar-SA"/>
        </w:rPr>
      </w:pPr>
      <w:r w:rsidRPr="0086360B">
        <w:rPr>
          <w:rFonts w:ascii="Times New Roman" w:eastAsia="Times New Roman" w:hAnsi="Times New Roman" w:cs="Times New Roman"/>
          <w:i/>
          <w:sz w:val="21"/>
          <w:szCs w:val="20"/>
          <w:lang w:eastAsia="ar-SA"/>
        </w:rPr>
        <w:t>е</w:t>
      </w:r>
      <w:r w:rsidRPr="0086360B">
        <w:rPr>
          <w:rFonts w:ascii="Times New Roman" w:eastAsia="Times New Roman" w:hAnsi="Times New Roman" w:cs="Times New Roman"/>
          <w:i/>
          <w:sz w:val="21"/>
          <w:szCs w:val="20"/>
          <w:lang w:val="en-US" w:eastAsia="ar-SA"/>
        </w:rPr>
        <w:t xml:space="preserve">-mail: </w:t>
      </w:r>
      <w:hyperlink r:id="rId56" w:history="1">
        <w:r w:rsidRPr="0086360B">
          <w:rPr>
            <w:rFonts w:ascii="Times New Roman" w:eastAsia="Times New Roman" w:hAnsi="Times New Roman" w:cs="Times New Roman"/>
            <w:i/>
            <w:color w:val="0000FF"/>
            <w:sz w:val="21"/>
            <w:szCs w:val="20"/>
            <w:u w:val="single"/>
            <w:lang w:val="x-none" w:eastAsia="ar-SA"/>
          </w:rPr>
          <w:t>uyuroschektaeva@fa.ru</w:t>
        </w:r>
      </w:hyperlink>
    </w:p>
    <w:p w14:paraId="51DEFEEA" w14:textId="77777777" w:rsidR="00E10AFB" w:rsidRPr="0086360B" w:rsidRDefault="00E10AFB" w:rsidP="00E10AFB">
      <w:pPr>
        <w:spacing w:after="0" w:line="240" w:lineRule="auto"/>
        <w:ind w:firstLine="567"/>
        <w:jc w:val="both"/>
        <w:rPr>
          <w:rFonts w:ascii="Times New Roman" w:eastAsia="Times New Roman" w:hAnsi="Times New Roman" w:cs="Times New Roman"/>
          <w:sz w:val="21"/>
          <w:szCs w:val="24"/>
          <w:lang w:val="x-none" w:eastAsia="ru-RU"/>
        </w:rPr>
      </w:pPr>
    </w:p>
    <w:p w14:paraId="72E62947" w14:textId="77777777" w:rsidR="00E10AFB" w:rsidRPr="0086360B" w:rsidRDefault="00E10AFB" w:rsidP="00E10AFB">
      <w:pPr>
        <w:spacing w:after="0" w:line="240" w:lineRule="auto"/>
        <w:ind w:firstLine="567"/>
        <w:jc w:val="center"/>
        <w:rPr>
          <w:rFonts w:ascii="Times New Roman" w:eastAsia="Times New Roman" w:hAnsi="Times New Roman" w:cs="Times New Roman"/>
          <w:b/>
          <w:bCs/>
          <w:sz w:val="21"/>
          <w:szCs w:val="24"/>
          <w:lang w:val="en-US" w:eastAsia="ru-RU"/>
        </w:rPr>
      </w:pPr>
      <w:r w:rsidRPr="0086360B">
        <w:rPr>
          <w:rFonts w:ascii="Times New Roman" w:eastAsia="Times New Roman" w:hAnsi="Times New Roman" w:cs="Times New Roman"/>
          <w:b/>
          <w:bCs/>
          <w:sz w:val="21"/>
          <w:szCs w:val="24"/>
          <w:lang w:val="en-US" w:eastAsia="ru-RU"/>
        </w:rPr>
        <w:t>Interdepartmental interaction in goods movement: warehouse — trade — logistics</w:t>
      </w:r>
    </w:p>
    <w:p w14:paraId="02CA7392" w14:textId="77777777" w:rsidR="00E10AFB" w:rsidRPr="0086360B" w:rsidRDefault="00E10AFB" w:rsidP="00E10AFB">
      <w:pPr>
        <w:spacing w:after="0" w:line="240" w:lineRule="auto"/>
        <w:ind w:firstLine="567"/>
        <w:jc w:val="center"/>
        <w:rPr>
          <w:rFonts w:ascii="Times New Roman" w:eastAsia="Times New Roman" w:hAnsi="Times New Roman" w:cs="Times New Roman"/>
          <w:b/>
          <w:bCs/>
          <w:sz w:val="21"/>
          <w:szCs w:val="24"/>
          <w:lang w:val="en-US" w:eastAsia="ru-RU"/>
        </w:rPr>
      </w:pPr>
    </w:p>
    <w:p w14:paraId="2BC0555F" w14:textId="77777777" w:rsidR="00E10AFB" w:rsidRPr="0086360B" w:rsidRDefault="00E10AFB" w:rsidP="00E10AFB">
      <w:pPr>
        <w:spacing w:after="0" w:line="240" w:lineRule="auto"/>
        <w:ind w:firstLine="567"/>
        <w:jc w:val="both"/>
        <w:rPr>
          <w:rFonts w:ascii="Times New Roman" w:eastAsia="Times New Roman" w:hAnsi="Times New Roman" w:cs="Times New Roman"/>
          <w:sz w:val="21"/>
          <w:szCs w:val="24"/>
          <w:lang w:val="en-US" w:eastAsia="ru-RU"/>
        </w:rPr>
      </w:pPr>
      <w:r w:rsidRPr="00702C17">
        <w:rPr>
          <w:rFonts w:ascii="Times New Roman" w:eastAsia="Times New Roman" w:hAnsi="Times New Roman" w:cs="Times New Roman"/>
          <w:b/>
          <w:bCs/>
          <w:sz w:val="21"/>
          <w:szCs w:val="24"/>
          <w:lang w:val="en-US" w:eastAsia="ru-RU"/>
        </w:rPr>
        <w:t>Abstract</w:t>
      </w:r>
      <w:r w:rsidRPr="00702C17">
        <w:rPr>
          <w:rFonts w:ascii="Times New Roman" w:eastAsiaTheme="minorEastAsia" w:hAnsi="Times New Roman" w:cs="Times New Roman"/>
          <w:b/>
          <w:bCs/>
          <w:sz w:val="21"/>
          <w:szCs w:val="24"/>
          <w:lang w:val="en-US" w:eastAsia="zh-CN"/>
        </w:rPr>
        <w:t>:</w:t>
      </w:r>
      <w:r w:rsidRPr="00702C17">
        <w:rPr>
          <w:rFonts w:ascii="Times New Roman" w:eastAsiaTheme="minorEastAsia" w:hAnsi="Times New Roman" w:cs="Times New Roman"/>
          <w:sz w:val="21"/>
          <w:szCs w:val="24"/>
          <w:lang w:val="en-US" w:eastAsia="zh-CN"/>
        </w:rPr>
        <w:t xml:space="preserve"> </w:t>
      </w:r>
      <w:r w:rsidRPr="0086360B">
        <w:rPr>
          <w:rFonts w:ascii="Times New Roman" w:eastAsia="Times New Roman" w:hAnsi="Times New Roman" w:cs="Times New Roman"/>
          <w:sz w:val="21"/>
          <w:szCs w:val="24"/>
          <w:lang w:val="en-US" w:eastAsia="ru-RU"/>
        </w:rPr>
        <w:t>This article examines the issues of effective interaction among warehouse, trade, and logistics departments within the supply chain, a topic that has become especially relevant by 2025 in the context of digital transformation and sanctions-driven constraints. Theoretical models of logistics process integration and principles of cross-functional planning are analyzed, which make it possible to link warehousing, commercial, and transportation operations into unified end-to-end business processes. Practical examples from modern Russian companies (implementation of WMS systems at X5 Group and Magnit) are provided, along with common schemes for optimizing goods flow (cross-docking, warehouse automation). Recent research and the latest regulatory acts in the field of logistics (laws, decrees, GOST standards) are reviewed. Based on the conducted analysis, the article substantiates the key role of coordinated interdepartmental interaction in enhancing the efficiency and flexibility of the supply chain.</w:t>
      </w:r>
    </w:p>
    <w:p w14:paraId="0C97F33C" w14:textId="77777777" w:rsidR="00E10AFB" w:rsidRPr="00656AA8" w:rsidRDefault="00E10AFB" w:rsidP="00E10AFB">
      <w:pPr>
        <w:spacing w:after="0" w:line="240" w:lineRule="auto"/>
        <w:ind w:firstLine="567"/>
        <w:jc w:val="both"/>
        <w:rPr>
          <w:rFonts w:ascii="Times New Roman" w:eastAsia="Times New Roman" w:hAnsi="Times New Roman" w:cs="Times New Roman"/>
          <w:sz w:val="21"/>
          <w:szCs w:val="24"/>
          <w:lang w:val="en-US" w:eastAsia="ru-RU"/>
        </w:rPr>
      </w:pPr>
      <w:r w:rsidRPr="0086360B">
        <w:rPr>
          <w:rFonts w:ascii="Times New Roman" w:eastAsia="Times New Roman" w:hAnsi="Times New Roman" w:cs="Times New Roman"/>
          <w:b/>
          <w:bCs/>
          <w:sz w:val="21"/>
          <w:szCs w:val="24"/>
          <w:lang w:val="en-US" w:eastAsia="ru-RU"/>
        </w:rPr>
        <w:t>Keywords:</w:t>
      </w:r>
      <w:r w:rsidRPr="0086360B">
        <w:rPr>
          <w:rFonts w:ascii="Times New Roman" w:eastAsia="Times New Roman" w:hAnsi="Times New Roman" w:cs="Times New Roman"/>
          <w:sz w:val="21"/>
          <w:szCs w:val="24"/>
          <w:lang w:val="en-US" w:eastAsia="ru-RU"/>
        </w:rPr>
        <w:t xml:space="preserve"> interdepartmental interaction, supply chain, warehouse logistics, trade, inventory management, cross-docking, automation.</w:t>
      </w:r>
    </w:p>
    <w:p w14:paraId="3C5B077C" w14:textId="77777777" w:rsidR="00E10AFB" w:rsidRPr="00656AA8" w:rsidRDefault="00E10AFB" w:rsidP="00E10AFB">
      <w:pPr>
        <w:spacing w:after="0" w:line="240" w:lineRule="auto"/>
        <w:ind w:firstLine="567"/>
        <w:jc w:val="both"/>
        <w:rPr>
          <w:rFonts w:ascii="Times New Roman" w:eastAsia="Times New Roman" w:hAnsi="Times New Roman" w:cs="Times New Roman"/>
          <w:sz w:val="21"/>
          <w:szCs w:val="24"/>
          <w:lang w:val="en-US" w:eastAsia="ru-RU"/>
        </w:rPr>
      </w:pPr>
    </w:p>
    <w:p w14:paraId="0B3AECDA"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В современных условиях быстрого развития электронной коммерции и глобальной нестабильности вопросы координации работы складских, торговых и логистических подразделений приобретают особую значимость. Рост объема онлайн-продаж и маркетплейсов стимулирует автоматизацию складов и курьерских служб, а импортоориентированная политика и ограничения на перевозки требуют переосмысления традиционных цепочек поставок. Так, ключевыми драйверами логистики 2025 года называются роботизация складов, цифровые технологии и единые IT-системы для сквозного управления товаропотоками. В частности, прогнозируется стремительный рост доли электронного документооборота в транспортной отрасли России – с 1% в 2023 до 29% к 2025 году, что упрощает обмен информацией между подразделениями и снижает издержки. Вместе с тем, остаются вызовы: разрозненная ответственность подразделений и несовпадение целей («отправить больше товара» или «сократить запасы») часто приводят к конфликтам интересов и потере эффективности. Указанные реалии делают актуальным изучение моделей межфункционального взаимодействия и лучших практик интеграции складских, торговых и логистических процессов [1].</w:t>
      </w:r>
      <w:r w:rsidRPr="0086360B">
        <w:rPr>
          <w:rFonts w:ascii="Times New Roman" w:eastAsia="Times New Roman" w:hAnsi="Times New Roman" w:cs="Times New Roman"/>
          <w:sz w:val="32"/>
          <w:szCs w:val="32"/>
          <w:highlight w:val="yellow"/>
          <w:lang w:eastAsia="ru-RU"/>
        </w:rPr>
        <w:t xml:space="preserve"> </w:t>
      </w:r>
    </w:p>
    <w:p w14:paraId="6E9D21A3" w14:textId="6950E7E3"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При традиционной функциональной структуре предприятия каждый отдел («закупки», «склад», «сбыт» и т.д.) фокусируется на своих задачах, что может приводить к «фрагментации» цепи товародвижения. Согласно теории процессно-ориентированного управления, более эффективной является организация работы через сквозные бизнес-процессы, связывающие подразделения между собой. </w:t>
      </w:r>
      <w:r w:rsidRPr="0086360B">
        <w:rPr>
          <w:rFonts w:ascii="Times New Roman" w:eastAsia="Times New Roman" w:hAnsi="Times New Roman" w:cs="Times New Roman"/>
          <w:sz w:val="32"/>
          <w:szCs w:val="32"/>
          <w:lang w:eastAsia="ru-RU"/>
        </w:rPr>
        <w:lastRenderedPageBreak/>
        <w:t>Процессный подход акцентирует внимание на взаимодействии подразделений для достижения общих стратегических целей (например, удовлетворение спроса клиента в минимальные сроки). Таким подходом удаётся связать воедино процессы снабжения, складирования, производства и сбыта, а также обеспечить динамичную адаптацию к изменениям среды. Функциональная структура при этом оказывается слишком статичной: она «накладывает ограничения» на развитие бизнеса, увеличивая накладные расходы при межфункциональном взаимодействии [2,</w:t>
      </w:r>
      <w:r w:rsidR="00B64D5E">
        <w:rPr>
          <w:rFonts w:ascii="Times New Roman" w:eastAsia="Times New Roman" w:hAnsi="Times New Roman" w:cs="Times New Roman"/>
          <w:sz w:val="32"/>
          <w:szCs w:val="32"/>
          <w:lang w:eastAsia="ru-RU"/>
        </w:rPr>
        <w:t xml:space="preserve"> </w:t>
      </w:r>
      <w:r w:rsidRPr="0086360B">
        <w:rPr>
          <w:rFonts w:ascii="Times New Roman" w:eastAsia="Times New Roman" w:hAnsi="Times New Roman" w:cs="Times New Roman"/>
          <w:sz w:val="32"/>
          <w:szCs w:val="32"/>
          <w:lang w:eastAsia="ru-RU"/>
        </w:rPr>
        <w:t>3].</w:t>
      </w:r>
      <w:r w:rsidRPr="0086360B">
        <w:rPr>
          <w:rFonts w:ascii="Aptos" w:eastAsia="Aptos" w:hAnsi="Aptos" w:cs="Times New Roman"/>
          <w:kern w:val="2"/>
          <w:sz w:val="24"/>
          <w:szCs w:val="24"/>
          <w14:ligatures w14:val="standardContextual"/>
        </w:rPr>
        <w:t xml:space="preserve"> </w:t>
      </w:r>
    </w:p>
    <w:p w14:paraId="1D205E22"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В практике управления цепями поставок (SCM) выделяют различные модели интеграции. Например, модель вертикальной интеграции предполагает централизованное планирование и постоянный информационный обмен между отделами снабжения, складом и торговлей. Для этого часто внедряются единые ИТ-системы (ERP, WMS, CRM), которые связывают работу отделов: как правило, приход товара на склад «видят» одновременно служба закупок, склад и служба сбыта. Взаимодействие происходит через электронный документооборот и общую базу данных о заказах и остатках. При таком подходе сближаются цели подразделений: оптимизируется общий товарный запас и уменьшаются потери от «бутылочных горлышек» между звеньями.</w:t>
      </w:r>
    </w:p>
    <w:p w14:paraId="7DC7F1D3"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Другой принцип – согласованное планирование спроса и предложения (S&amp;OP/CPFR). Он предполагает регулярные встречи представителей закупок, логистики и торговли для согласования прогноза продаж, производственных мощностей и логистических ресурсов. Совместное планирование позволяет учесть сезонность, акции и возможные перебои в поставках, снижая эффект «биеньков» (fluctuation of orders) и уровня запасов. Важную роль в этом играют аналитические инструменты и цифры: автоматизированное формирование планов продаж, модели прогноза, BI-отчёты.</w:t>
      </w:r>
    </w:p>
    <w:p w14:paraId="7A9523AF"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Принципы бережливой логистики (lean) и JIT (точно-в-срок) также требуют тесного сотрудничества. Например, чтобы точно доставлять товар в магазины «точно-в-срок», службе снабжения необходимо синхронизировать закупку и транспортировку с распродажами в торговле, а складские запасы свести к минимуму. В современных цепях это достигается через постановку KPI, взаимные отчётные системы и регламентацию процессов. Регуляторно подтверждает подобный подход и национальный стандарт: так, «ГОСТ Р 59282-2020. Системы управления складом. Функциональные </w:t>
      </w:r>
      <w:r w:rsidRPr="0086360B">
        <w:rPr>
          <w:rFonts w:ascii="Times New Roman" w:eastAsia="Times New Roman" w:hAnsi="Times New Roman" w:cs="Times New Roman"/>
          <w:sz w:val="32"/>
          <w:szCs w:val="32"/>
          <w:lang w:eastAsia="ru-RU"/>
        </w:rPr>
        <w:lastRenderedPageBreak/>
        <w:t xml:space="preserve">требования» описывает WMS как ключевой элемент цепи поставок, обеспечивающий увязку складских операций с процессами товародвижения [4]. </w:t>
      </w:r>
    </w:p>
    <w:p w14:paraId="4686F07A"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Современные исследования подчёркивают важность цифровых платформ для организации взаимодействия. Так, цифровая интеграция цепей поставок направлена на обеспечение «межфункционального и межфирменного сотрудничества и координации». Единые API-интерфейсы и математические цифровые двойники позволяют моделировать сквозные операции без риска, что важно при трансформации логистических сетей под внешние шоки. По мнению экспертов, внедрение IT-специалистов в логистические команды и повсеместная автоматизация складов и перевозок являются ключевыми трендами, обусловленными ростом e-commerce и необходимостью адаптации к новым маршрутам поставок [5]. </w:t>
      </w:r>
    </w:p>
    <w:p w14:paraId="41C4548F"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В российских и зарубежных компаниях уже применяются различные схемы интеграции. Один из распространённых приёмов — кросс-докинг. Это схема, при которой поступающий товар сдержится на складском хабе минимально, сразу перенаправляясь в авто для доставки в магазины. «Кросс-док» («сквозная перевалка») сокращает время хранения и снижает оборотный запас: поставка идёт «из точки А в точку Б через транзитный склад без длительного хранения». Такая модель часто используется у крупных ритейлеров и маркетплейсов, позволяя экономить на складских площадях и ускорять доставку. Глобальные компании, например Walmart, были пионерами кросс-докинга, благодаря которому смогли значительно сократить запасы и ускорить ротацию товара [6]. </w:t>
      </w:r>
    </w:p>
    <w:p w14:paraId="23ECBC6E"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В качестве примера координации подразделений можно привести опыт X5 Group – крупнейшей торговой сети России. В 2024 году X5 внедрила собственную WMS-систему Nexus, автоматизирующую процессы от прихода товара на распределительный центр (РЦ) до отгрузки в магазины. Эта система связала в единую цепь складские операции и логистику распределения: более 85% операций на складах (приёмка, комплектация, маршрутизация, отгрузка) переведены на новую платформу. По заявлению руководства, Nexus WMS позволяет обеспечить прозрачность товарных запасов и ускорить ключевые процессы (например, резервирование товара стало в 3 раза быстрее). Таким образом X5 добилась скоординированной работы центральных складов с торговыми подразделениями «Пятёрочка» и «Перекрёсток», обеспечив стабильное пополнение розницы [7]. </w:t>
      </w:r>
    </w:p>
    <w:p w14:paraId="4C059091"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lastRenderedPageBreak/>
        <w:t>Схожую роль играет автоматизация в промышленно-торговых цепочках. Так, в индустриальном парке торговой сети «Магнит» (Кубанский комбинат хлебопродуктов) внедрена система «1</w:t>
      </w:r>
      <w:proofErr w:type="gramStart"/>
      <w:r w:rsidRPr="0086360B">
        <w:rPr>
          <w:rFonts w:ascii="Times New Roman" w:eastAsia="Times New Roman" w:hAnsi="Times New Roman" w:cs="Times New Roman"/>
          <w:sz w:val="32"/>
          <w:szCs w:val="32"/>
          <w:lang w:eastAsia="ru-RU"/>
        </w:rPr>
        <w:t>С:WMS</w:t>
      </w:r>
      <w:proofErr w:type="gramEnd"/>
      <w:r w:rsidRPr="0086360B">
        <w:rPr>
          <w:rFonts w:ascii="Times New Roman" w:eastAsia="Times New Roman" w:hAnsi="Times New Roman" w:cs="Times New Roman"/>
          <w:sz w:val="32"/>
          <w:szCs w:val="32"/>
          <w:lang w:eastAsia="ru-RU"/>
        </w:rPr>
        <w:t xml:space="preserve">» для полного контроля движений сырья и готовой продукции. Интеграция WMS с ERP позволила автоматизировать все операции – от приёмки муки до отгрузки выпечки клиентам – и вывести данные о запасах в единую базу. В результате руководство «Магнита» получило прозрачность процессов и возможность в реальном времени управлять запасами, минимизируя ошибки [8]. </w:t>
      </w:r>
    </w:p>
    <w:p w14:paraId="0C87E4E5"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На международном уровне крупные компании вкладываются в цифровую логистику: Amazon активно внедряет роботов и машинное обучение в сортировочные центры, а Walmart и Target развивают системы VMI (управление запасами поставщиками) для синхронизации поставок с объёмами продаж. Унификация IT-платформ (EDI, ERP, TMS) позволяет обеспечить обмен данными между поставщиками, складами, центрами распределения и торговыми точками. К примеру, системы электронной коммерции часто используют цифровые двойники цепей поставок для оценки сценариев «</w:t>
      </w:r>
      <w:proofErr w:type="gramStart"/>
      <w:r w:rsidRPr="0086360B">
        <w:rPr>
          <w:rFonts w:ascii="Times New Roman" w:eastAsia="Times New Roman" w:hAnsi="Times New Roman" w:cs="Times New Roman"/>
          <w:sz w:val="32"/>
          <w:szCs w:val="32"/>
          <w:lang w:eastAsia="ru-RU"/>
        </w:rPr>
        <w:t>что</w:t>
      </w:r>
      <w:proofErr w:type="gramEnd"/>
      <w:r w:rsidRPr="0086360B">
        <w:rPr>
          <w:rFonts w:ascii="Times New Roman" w:eastAsia="Times New Roman" w:hAnsi="Times New Roman" w:cs="Times New Roman"/>
          <w:sz w:val="32"/>
          <w:szCs w:val="32"/>
          <w:lang w:eastAsia="ru-RU"/>
        </w:rPr>
        <w:t xml:space="preserve"> если» и выбора оптимальных маршрутов доставки.</w:t>
      </w:r>
    </w:p>
    <w:p w14:paraId="5464CCFA"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Работа складских и логистических подразделений регулируется рядом нормативных документов. Так, в декабре 2023 года в России был принят Федеральный закон №669-ФЗ, вводящий штрафы за незаконную перевозку грузов автомобильным транспортом. Это повышает ответственность логистов за соблюдение правил перевозок и подстёгивает компании официально оформлять весь товаропоток. Ежегодно пересматриваются и тарифы транспортных систем (например, системы «Платон» для тяжеловесов), что влияет на затраты на доставку и, соответственно, на решения подразделений о маршрутизации и складировании [9]. </w:t>
      </w:r>
    </w:p>
    <w:p w14:paraId="3A187DF8"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Важную роль играют и отраслевые стандарты. Помимо упомянутого ГОСТ Р 59282-2020, существуют нормативы по организации работы складов и торговых объектов, по маркировке и учёту товаров (например, обязательная цифровая маркировка многих товарных групп), а также по безопасности перевозок. Кроме того, национальная промышленная политика стимулирует импортозамещение в ИТ: в 2024–2025 годах российские компании разрабатывают отечественные WMS и TMS вместо ушедших с рынка зарубежных решений (как сделал X5).</w:t>
      </w:r>
    </w:p>
    <w:p w14:paraId="58A56331"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lastRenderedPageBreak/>
        <w:t>В зарубежных и отечественных исследованиях подчёркивается, что цифровые технологии трансформируют SCM. Отраслевые отчёты отмечают, что интеграция информационных систем и межфункциональное сотрудничество являются базовыми принципами современной логистики. Эксперты прогнозируют, что бум инноваций (роботизация, AI-аналитика, гибкие цепочки) продолжит набирать обороты к 2025 году. При этом многие учёные и практики указывают: без чёткой регламентации и координации действий между отделами любые технологические новшества могут дать лишь разрозненный эффект.</w:t>
      </w:r>
    </w:p>
    <w:p w14:paraId="0FD0A4E9" w14:textId="0CFEAC05" w:rsidR="00B64D5E"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Согласованная работа склада, отдела логистики и коммерческих служб – залог эффективности всей цепи поставок. Комплексное планирование и единые ИТ-системы позволяют обеспечить быстрое и экономичное продвижение товаров: от поставщика к потребителю. При совместной работе экономятся ресурсы (снижаются избыточные запасы и транспортные простои), сокращается время исполнения заказов, уменьшаются ошибки и потери. Наоборот, разрыв во взаимодействии (например, когда склады работают «на переполняемость» или продажи формируют нереальные заказы) приводит к росту затрат и потере клиентов.</w:t>
      </w:r>
      <w:r w:rsidR="00B64D5E">
        <w:rPr>
          <w:rFonts w:ascii="Times New Roman" w:eastAsia="Times New Roman" w:hAnsi="Times New Roman" w:cs="Times New Roman"/>
          <w:sz w:val="32"/>
          <w:szCs w:val="32"/>
          <w:lang w:eastAsia="ru-RU"/>
        </w:rPr>
        <w:t xml:space="preserve"> </w:t>
      </w:r>
      <w:r w:rsidRPr="0086360B">
        <w:rPr>
          <w:rFonts w:ascii="Times New Roman" w:eastAsia="Times New Roman" w:hAnsi="Times New Roman" w:cs="Times New Roman"/>
          <w:sz w:val="32"/>
          <w:szCs w:val="32"/>
          <w:lang w:eastAsia="ru-RU"/>
        </w:rPr>
        <w:t xml:space="preserve">Выводы современных исследований подтверждают: интеграция функциональных подразделений повышает устойчивость цепи поставок к внешним рискам. По мере усложнения логистических процессов (многоканальная торговля, колебания спроса, новые регуляции) компании не могут позволить себе «островное» управление. Компании, которые эффективно синхронизируют работу закупок, склада, транспорта и продаж, получают конкурентное преимущество в скорости и качестве обслуживания клиентов. </w:t>
      </w:r>
    </w:p>
    <w:p w14:paraId="02B2C1BE" w14:textId="10FE88BE"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Таким образом, согласованное взаимодействие способствует оптимизации товарных потоков, повышению прозрачности операций и, в конечном итоге, значительному улучшению ключевых показателей эффективности логистики (оборачиваемости запасов, уровня сервиса, себестоимости товаров).</w:t>
      </w:r>
    </w:p>
    <w:p w14:paraId="1EBF59E9" w14:textId="77777777" w:rsidR="00E10AFB" w:rsidRPr="0086360B" w:rsidRDefault="00E10AFB" w:rsidP="00B64D5E">
      <w:pPr>
        <w:spacing w:after="0" w:line="240" w:lineRule="auto"/>
        <w:ind w:firstLine="709"/>
        <w:jc w:val="both"/>
        <w:rPr>
          <w:rFonts w:ascii="Times New Roman" w:eastAsia="Times New Roman" w:hAnsi="Times New Roman" w:cs="Times New Roman"/>
          <w:sz w:val="32"/>
          <w:szCs w:val="32"/>
          <w:lang w:eastAsia="ru-RU"/>
        </w:rPr>
      </w:pPr>
      <w:r w:rsidRPr="0086360B">
        <w:rPr>
          <w:rFonts w:ascii="Times New Roman" w:eastAsia="Times New Roman" w:hAnsi="Times New Roman" w:cs="Times New Roman"/>
          <w:sz w:val="32"/>
          <w:szCs w:val="32"/>
          <w:lang w:eastAsia="ru-RU"/>
        </w:rPr>
        <w:t xml:space="preserve">Использование современных моделей SCM, внедрение WMS/ERP и постоянная коммуникация между подразделениями создают единую цифровую «экосистему» компании, в которой обмен информацией и материалами происходит бесшовно. Особенно важно в 2025 году, когда цифровизация и внешние вызовы диктуют новые требования к гибкости и масштабируемости логистики. </w:t>
      </w:r>
      <w:r w:rsidRPr="0086360B">
        <w:rPr>
          <w:rFonts w:ascii="Times New Roman" w:eastAsia="Times New Roman" w:hAnsi="Times New Roman" w:cs="Times New Roman"/>
          <w:sz w:val="32"/>
          <w:szCs w:val="32"/>
          <w:lang w:eastAsia="ru-RU"/>
        </w:rPr>
        <w:lastRenderedPageBreak/>
        <w:t>Следовательно, создание регламентов межфункционального взаимодействия и внедрение совместных бизнес-процессов является критически важным условием для повышения эффективности цепи поставок.</w:t>
      </w:r>
    </w:p>
    <w:p w14:paraId="2DE908DA" w14:textId="77777777" w:rsidR="00E10AFB" w:rsidRPr="0086360B" w:rsidRDefault="00E10AFB" w:rsidP="00E10AFB">
      <w:pPr>
        <w:spacing w:after="0" w:line="240" w:lineRule="auto"/>
        <w:ind w:firstLine="567"/>
        <w:jc w:val="both"/>
        <w:rPr>
          <w:rFonts w:ascii="Times New Roman" w:eastAsia="Times New Roman" w:hAnsi="Times New Roman" w:cs="Times New Roman"/>
          <w:sz w:val="32"/>
          <w:szCs w:val="32"/>
          <w:lang w:eastAsia="ru-RU"/>
        </w:rPr>
      </w:pPr>
    </w:p>
    <w:p w14:paraId="60056F6E" w14:textId="77777777" w:rsidR="00E10AFB" w:rsidRPr="0086360B" w:rsidRDefault="00E10AFB" w:rsidP="00E10AFB">
      <w:pPr>
        <w:spacing w:after="0" w:line="240" w:lineRule="auto"/>
        <w:jc w:val="center"/>
        <w:rPr>
          <w:rFonts w:ascii="Times New Roman" w:eastAsia="Aptos" w:hAnsi="Times New Roman" w:cs="Times New Roman"/>
          <w:b/>
          <w:bCs/>
          <w:kern w:val="2"/>
          <w:sz w:val="21"/>
          <w:szCs w:val="20"/>
          <w14:ligatures w14:val="standardContextual"/>
        </w:rPr>
      </w:pPr>
      <w:r w:rsidRPr="0086360B">
        <w:rPr>
          <w:rFonts w:ascii="Times New Roman" w:eastAsia="Aptos" w:hAnsi="Times New Roman" w:cs="Times New Roman"/>
          <w:b/>
          <w:bCs/>
          <w:kern w:val="2"/>
          <w:sz w:val="21"/>
          <w:szCs w:val="20"/>
          <w14:ligatures w14:val="standardContextual"/>
        </w:rPr>
        <w:t>Литература</w:t>
      </w:r>
    </w:p>
    <w:p w14:paraId="4B90BFCD"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Тренды логистики: прогноз на 2025 год </w:t>
      </w:r>
      <w:r w:rsidRPr="00B64D5E">
        <w:rPr>
          <w:rFonts w:ascii="Times New Roman" w:eastAsia="Aptos" w:hAnsi="Times New Roman" w:cs="Times New Roman"/>
          <w:kern w:val="2"/>
          <w:sz w:val="21"/>
          <w:szCs w:val="20"/>
          <w14:ligatures w14:val="standardContextual"/>
        </w:rPr>
        <w:t xml:space="preserve">[Электронный ресурс: </w:t>
      </w:r>
      <w:hyperlink r:id="rId57" w:history="1">
        <w:r w:rsidRPr="00B64D5E">
          <w:rPr>
            <w:rFonts w:ascii="Times New Roman" w:eastAsia="Times New Roman" w:hAnsi="Times New Roman" w:cs="Times New Roman"/>
            <w:sz w:val="21"/>
            <w:szCs w:val="32"/>
            <w:lang w:eastAsia="ru-RU"/>
          </w:rPr>
          <w:t>https://indpages.ru/logistics/trendy-logistiki-prognoz-na-2025-god/</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0B1B0A72"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Aptos" w:hAnsi="Times New Roman" w:cs="Times New Roman"/>
          <w:kern w:val="2"/>
          <w:sz w:val="21"/>
          <w:szCs w:val="24"/>
          <w14:ligatures w14:val="standardContextual"/>
        </w:rPr>
        <w:t xml:space="preserve">Логистика как инструмент повышения эффективности работы компании – УКЦ </w:t>
      </w:r>
      <w:r w:rsidRPr="00B64D5E">
        <w:rPr>
          <w:rFonts w:ascii="Times New Roman" w:eastAsia="Aptos" w:hAnsi="Times New Roman" w:cs="Times New Roman"/>
          <w:kern w:val="2"/>
          <w:sz w:val="21"/>
          <w:szCs w:val="20"/>
          <w14:ligatures w14:val="standardContextual"/>
        </w:rPr>
        <w:t xml:space="preserve">[Электронный ресурс: </w:t>
      </w:r>
      <w:hyperlink r:id="rId58" w:history="1">
        <w:r w:rsidRPr="00B64D5E">
          <w:rPr>
            <w:rFonts w:ascii="Times New Roman" w:eastAsia="Times New Roman" w:hAnsi="Times New Roman" w:cs="Times New Roman"/>
            <w:sz w:val="21"/>
            <w:szCs w:val="32"/>
            <w:lang w:eastAsia="ru-RU"/>
          </w:rPr>
          <w:t>https://hvac-school.ru/vestnik_ano/vestnik_ano_ukc_universitet_21/logistika_kak_instrument/</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276C6B44"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Процессно-ориентированное внедрение ERP-систем </w:t>
      </w:r>
      <w:r w:rsidRPr="00B64D5E">
        <w:rPr>
          <w:rFonts w:ascii="Times New Roman" w:eastAsia="Aptos" w:hAnsi="Times New Roman" w:cs="Times New Roman"/>
          <w:kern w:val="2"/>
          <w:sz w:val="21"/>
          <w:szCs w:val="20"/>
          <w14:ligatures w14:val="standardContextual"/>
        </w:rPr>
        <w:t xml:space="preserve">[Электронный ресурс: </w:t>
      </w:r>
      <w:hyperlink r:id="rId59" w:history="1">
        <w:r w:rsidRPr="00B64D5E">
          <w:rPr>
            <w:rFonts w:ascii="Times New Roman" w:eastAsia="Times New Roman" w:hAnsi="Times New Roman" w:cs="Times New Roman"/>
            <w:sz w:val="21"/>
            <w:szCs w:val="32"/>
            <w:lang w:eastAsia="ru-RU"/>
          </w:rPr>
          <w:t>https://blog.iteam.ru/protsessno-orientirovannoe-vnedrenie-erp-sistem/</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055BDDDB"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Складская логистика: всё об управлении складом. Современная логистика в России </w:t>
      </w:r>
      <w:r w:rsidRPr="00B64D5E">
        <w:rPr>
          <w:rFonts w:ascii="Times New Roman" w:eastAsia="Aptos" w:hAnsi="Times New Roman" w:cs="Times New Roman"/>
          <w:kern w:val="2"/>
          <w:sz w:val="21"/>
          <w:szCs w:val="20"/>
          <w14:ligatures w14:val="standardContextual"/>
        </w:rPr>
        <w:t xml:space="preserve">[Электронный ресурс: </w:t>
      </w:r>
      <w:hyperlink r:id="rId60" w:history="1">
        <w:r w:rsidRPr="00B64D5E">
          <w:rPr>
            <w:rFonts w:ascii="Times New Roman" w:eastAsia="Times New Roman" w:hAnsi="Times New Roman" w:cs="Times New Roman"/>
            <w:sz w:val="21"/>
            <w:szCs w:val="32"/>
            <w:lang w:eastAsia="ru-RU"/>
          </w:rPr>
          <w:t>https://www.toplogwms.ru/blog/skladskaya-sistema-upravlenie-skladom/</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305ADF58"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Управление цепями поставок в условиях цифровизации: опыт зарубежных нефтегазовых компаний </w:t>
      </w:r>
      <w:r w:rsidRPr="00B64D5E">
        <w:rPr>
          <w:rFonts w:ascii="Times New Roman" w:eastAsia="Aptos" w:hAnsi="Times New Roman" w:cs="Times New Roman"/>
          <w:kern w:val="2"/>
          <w:sz w:val="21"/>
          <w:szCs w:val="20"/>
          <w14:ligatures w14:val="standardContextual"/>
        </w:rPr>
        <w:t xml:space="preserve">[Электронный ресурс: </w:t>
      </w:r>
      <w:hyperlink r:id="rId61" w:history="1">
        <w:r w:rsidRPr="00B64D5E">
          <w:rPr>
            <w:rFonts w:ascii="Times New Roman" w:eastAsia="Times New Roman" w:hAnsi="Times New Roman" w:cs="Times New Roman"/>
            <w:sz w:val="21"/>
            <w:szCs w:val="32"/>
            <w:lang w:eastAsia="ru-RU"/>
          </w:rPr>
          <w:t>https://cyberleninka.ru/article/n/upravlenie-tsepyami-postavok-v-usloviyah-tsifrovizatsii-opyt-zarubezhnyh-neftegazovyh-kompaniy</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29370312"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Что такое кросс-докинг: как он работает, схемы, недостатки </w:t>
      </w:r>
      <w:r w:rsidRPr="00B64D5E">
        <w:rPr>
          <w:rFonts w:ascii="Times New Roman" w:eastAsia="Aptos" w:hAnsi="Times New Roman" w:cs="Times New Roman"/>
          <w:kern w:val="2"/>
          <w:sz w:val="21"/>
          <w:szCs w:val="20"/>
          <w14:ligatures w14:val="standardContextual"/>
        </w:rPr>
        <w:t xml:space="preserve">[Электронный ресурс: </w:t>
      </w:r>
      <w:hyperlink r:id="rId62" w:history="1">
        <w:r w:rsidRPr="00B64D5E">
          <w:rPr>
            <w:rFonts w:ascii="Times New Roman" w:eastAsia="Times New Roman" w:hAnsi="Times New Roman" w:cs="Times New Roman"/>
            <w:sz w:val="21"/>
            <w:szCs w:val="32"/>
            <w:lang w:eastAsia="ru-RU"/>
          </w:rPr>
          <w:t>https://kokoc.com/blog/cross-docking/</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3E7D83AF"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Х5 Group разработала собственную систему управления складами </w:t>
      </w:r>
      <w:r w:rsidRPr="00B64D5E">
        <w:rPr>
          <w:rFonts w:ascii="Times New Roman" w:eastAsia="Aptos" w:hAnsi="Times New Roman" w:cs="Times New Roman"/>
          <w:kern w:val="2"/>
          <w:sz w:val="21"/>
          <w:szCs w:val="20"/>
          <w14:ligatures w14:val="standardContextual"/>
        </w:rPr>
        <w:t xml:space="preserve">[Электронный ресурс: </w:t>
      </w:r>
      <w:hyperlink r:id="rId63" w:history="1">
        <w:r w:rsidRPr="00B64D5E">
          <w:rPr>
            <w:rFonts w:ascii="Times New Roman" w:eastAsia="Times New Roman" w:hAnsi="Times New Roman" w:cs="Times New Roman"/>
            <w:sz w:val="21"/>
            <w:szCs w:val="32"/>
            <w:lang w:eastAsia="ru-RU"/>
          </w:rPr>
          <w:t>https://www.x5.ru/ru/news/h5-group-razrabotala-sobstvennuyu-sistemu-upravleniya-skladam/</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7031A89D"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«КОРУС Консалтинг» автоматизировал складской учет на новом предприятии «Магнита»</w:t>
      </w:r>
      <w:r w:rsidRPr="00B64D5E">
        <w:rPr>
          <w:rFonts w:ascii="Times New Roman" w:eastAsia="Aptos" w:hAnsi="Times New Roman" w:cs="Times New Roman"/>
          <w:kern w:val="2"/>
          <w:sz w:val="21"/>
          <w:szCs w:val="20"/>
          <w14:ligatures w14:val="standardContextual"/>
        </w:rPr>
        <w:t xml:space="preserve"> [Электронный ресурс:</w:t>
      </w:r>
      <w:r w:rsidRPr="00B64D5E">
        <w:rPr>
          <w:rFonts w:ascii="Times New Roman" w:eastAsia="Times New Roman" w:hAnsi="Times New Roman" w:cs="Times New Roman"/>
          <w:sz w:val="21"/>
          <w:szCs w:val="32"/>
          <w:lang w:eastAsia="ru-RU"/>
        </w:rPr>
        <w:t xml:space="preserve"> </w:t>
      </w:r>
      <w:hyperlink r:id="rId64" w:history="1">
        <w:r w:rsidRPr="00B64D5E">
          <w:rPr>
            <w:rFonts w:ascii="Times New Roman" w:eastAsia="Times New Roman" w:hAnsi="Times New Roman" w:cs="Times New Roman"/>
            <w:sz w:val="21"/>
            <w:szCs w:val="32"/>
            <w:lang w:eastAsia="ru-RU"/>
          </w:rPr>
          <w:t>https://globalcio.ru/news/20541/</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3C1E7949" w14:textId="77777777" w:rsidR="00E10AFB" w:rsidRPr="00B64D5E" w:rsidRDefault="00E10AFB" w:rsidP="00AD58CD">
      <w:pPr>
        <w:numPr>
          <w:ilvl w:val="0"/>
          <w:numId w:val="138"/>
        </w:numPr>
        <w:spacing w:after="0" w:line="240" w:lineRule="auto"/>
        <w:ind w:left="0" w:firstLine="0"/>
        <w:contextualSpacing/>
        <w:jc w:val="both"/>
        <w:rPr>
          <w:rFonts w:ascii="Times New Roman" w:eastAsia="Times New Roman" w:hAnsi="Times New Roman" w:cs="Times New Roman"/>
          <w:sz w:val="21"/>
          <w:szCs w:val="32"/>
          <w:lang w:eastAsia="ru-RU"/>
        </w:rPr>
      </w:pPr>
      <w:r w:rsidRPr="00B64D5E">
        <w:rPr>
          <w:rFonts w:ascii="Times New Roman" w:eastAsia="Times New Roman" w:hAnsi="Times New Roman" w:cs="Times New Roman"/>
          <w:sz w:val="21"/>
          <w:szCs w:val="32"/>
          <w:lang w:eastAsia="ru-RU"/>
        </w:rPr>
        <w:t xml:space="preserve">Закон есть закон: какие изменения законодательства ожидают логистику в 2024 году </w:t>
      </w:r>
      <w:r w:rsidRPr="00B64D5E">
        <w:rPr>
          <w:rFonts w:ascii="Times New Roman" w:eastAsia="Aptos" w:hAnsi="Times New Roman" w:cs="Times New Roman"/>
          <w:kern w:val="2"/>
          <w:sz w:val="21"/>
          <w:szCs w:val="20"/>
          <w14:ligatures w14:val="standardContextual"/>
        </w:rPr>
        <w:t xml:space="preserve">[Электронный ресурс: </w:t>
      </w:r>
      <w:hyperlink r:id="rId65" w:history="1">
        <w:r w:rsidRPr="00B64D5E">
          <w:rPr>
            <w:rFonts w:ascii="Times New Roman" w:eastAsia="Times New Roman" w:hAnsi="Times New Roman" w:cs="Times New Roman"/>
            <w:sz w:val="21"/>
            <w:szCs w:val="32"/>
            <w:lang w:eastAsia="ru-RU"/>
          </w:rPr>
          <w:t>https://campus.stt.ru/articles/kakie-izmeneniya-zakonodatelstva-ozhidayut-logistiku-v-2024-godu</w:t>
        </w:r>
      </w:hyperlink>
      <w:r w:rsidRPr="00B64D5E">
        <w:rPr>
          <w:rFonts w:ascii="Times New Roman" w:eastAsia="Times New Roman" w:hAnsi="Times New Roman" w:cs="Times New Roman"/>
          <w:sz w:val="21"/>
          <w:szCs w:val="32"/>
          <w:lang w:eastAsia="ru-RU"/>
        </w:rPr>
        <w:t xml:space="preserve"> </w:t>
      </w:r>
      <w:r w:rsidRPr="00B64D5E">
        <w:rPr>
          <w:rFonts w:ascii="Times New Roman" w:eastAsia="Aptos" w:hAnsi="Times New Roman" w:cs="Times New Roman"/>
          <w:kern w:val="2"/>
          <w:sz w:val="21"/>
          <w:szCs w:val="20"/>
          <w14:ligatures w14:val="standardContextual"/>
        </w:rPr>
        <w:t>(дата обращения 23.05.2025)].</w:t>
      </w:r>
    </w:p>
    <w:p w14:paraId="1D311AD6" w14:textId="77777777" w:rsidR="00E10AFB" w:rsidRPr="00E10AFB" w:rsidRDefault="00E10AFB" w:rsidP="00E27E57">
      <w:pPr>
        <w:spacing w:after="0" w:line="240" w:lineRule="auto"/>
        <w:rPr>
          <w:rFonts w:ascii="Times New Roman" w:hAnsi="Times New Roman" w:cs="Times New Roman"/>
          <w:sz w:val="21"/>
          <w:szCs w:val="21"/>
        </w:rPr>
      </w:pPr>
    </w:p>
    <w:p w14:paraId="40055D00" w14:textId="77777777" w:rsidR="00877DE5" w:rsidRPr="009472DE" w:rsidRDefault="00877DE5" w:rsidP="00067100">
      <w:pPr>
        <w:spacing w:after="0" w:line="240" w:lineRule="auto"/>
        <w:ind w:firstLine="709"/>
        <w:rPr>
          <w:rFonts w:ascii="Times New Roman" w:hAnsi="Times New Roman" w:cs="Times New Roman"/>
          <w:sz w:val="21"/>
          <w:szCs w:val="21"/>
        </w:rPr>
      </w:pPr>
    </w:p>
    <w:p w14:paraId="28CD9E56" w14:textId="77777777" w:rsidR="00877DE5" w:rsidRPr="009472DE" w:rsidRDefault="00877DE5" w:rsidP="00C465D4">
      <w:pPr>
        <w:pStyle w:val="af7"/>
        <w:rPr>
          <w:rFonts w:ascii="Times New Roman" w:hAnsi="Times New Roman" w:cs="Times New Roman"/>
          <w:b/>
          <w:sz w:val="21"/>
          <w:szCs w:val="21"/>
        </w:rPr>
      </w:pPr>
      <w:r w:rsidRPr="009472DE">
        <w:rPr>
          <w:rFonts w:ascii="Times New Roman" w:hAnsi="Times New Roman" w:cs="Times New Roman"/>
          <w:b/>
          <w:sz w:val="21"/>
          <w:szCs w:val="21"/>
        </w:rPr>
        <w:t>УДК 330.341</w:t>
      </w:r>
    </w:p>
    <w:p w14:paraId="73400F86" w14:textId="77777777" w:rsidR="00877DE5" w:rsidRPr="009472DE" w:rsidRDefault="00877DE5" w:rsidP="00067100">
      <w:pPr>
        <w:pStyle w:val="af7"/>
        <w:ind w:left="7080" w:firstLine="709"/>
        <w:jc w:val="right"/>
        <w:rPr>
          <w:rFonts w:ascii="Times New Roman" w:hAnsi="Times New Roman" w:cs="Times New Roman"/>
          <w:b/>
          <w:i/>
          <w:sz w:val="21"/>
          <w:szCs w:val="21"/>
        </w:rPr>
      </w:pPr>
      <w:r w:rsidRPr="009472DE">
        <w:rPr>
          <w:rFonts w:ascii="Times New Roman" w:hAnsi="Times New Roman" w:cs="Times New Roman"/>
          <w:b/>
          <w:i/>
          <w:sz w:val="21"/>
          <w:szCs w:val="21"/>
        </w:rPr>
        <w:t>Лазарева С.В.,</w:t>
      </w:r>
    </w:p>
    <w:p w14:paraId="7BA0700D" w14:textId="77777777" w:rsidR="00877DE5" w:rsidRPr="009472DE" w:rsidRDefault="00877DE5" w:rsidP="00067100">
      <w:pPr>
        <w:pStyle w:val="af7"/>
        <w:ind w:left="7080" w:firstLine="709"/>
        <w:jc w:val="right"/>
        <w:rPr>
          <w:rFonts w:ascii="Times New Roman" w:hAnsi="Times New Roman" w:cs="Times New Roman"/>
          <w:i/>
          <w:sz w:val="21"/>
          <w:szCs w:val="21"/>
        </w:rPr>
      </w:pPr>
      <w:r w:rsidRPr="009472DE">
        <w:rPr>
          <w:rFonts w:ascii="Times New Roman" w:hAnsi="Times New Roman" w:cs="Times New Roman"/>
          <w:i/>
          <w:sz w:val="21"/>
          <w:szCs w:val="21"/>
        </w:rPr>
        <w:t>студент 3 курса</w:t>
      </w:r>
    </w:p>
    <w:p w14:paraId="54F7A3F9" w14:textId="77777777" w:rsidR="00877DE5" w:rsidRPr="009472DE" w:rsidRDefault="00877DE5" w:rsidP="00067100">
      <w:pPr>
        <w:pStyle w:val="af7"/>
        <w:ind w:left="4248" w:firstLine="709"/>
        <w:jc w:val="right"/>
        <w:rPr>
          <w:rFonts w:ascii="Times New Roman" w:hAnsi="Times New Roman" w:cs="Times New Roman"/>
          <w:i/>
          <w:sz w:val="21"/>
          <w:szCs w:val="21"/>
        </w:rPr>
      </w:pPr>
      <w:r w:rsidRPr="009472DE">
        <w:rPr>
          <w:rFonts w:ascii="Times New Roman" w:hAnsi="Times New Roman" w:cs="Times New Roman"/>
          <w:i/>
          <w:sz w:val="21"/>
          <w:szCs w:val="21"/>
        </w:rPr>
        <w:t>Финансовый университет при Правительстве РФ</w:t>
      </w:r>
    </w:p>
    <w:p w14:paraId="3B5A6E09" w14:textId="77777777" w:rsidR="00877DE5" w:rsidRPr="009472DE" w:rsidRDefault="00877DE5" w:rsidP="00067100">
      <w:pPr>
        <w:pStyle w:val="af7"/>
        <w:ind w:left="6372" w:firstLine="709"/>
        <w:jc w:val="right"/>
        <w:rPr>
          <w:rFonts w:ascii="Times New Roman" w:hAnsi="Times New Roman" w:cs="Times New Roman"/>
          <w:i/>
          <w:sz w:val="21"/>
          <w:szCs w:val="21"/>
        </w:rPr>
      </w:pPr>
      <w:r w:rsidRPr="009472DE">
        <w:rPr>
          <w:rFonts w:ascii="Times New Roman" w:hAnsi="Times New Roman" w:cs="Times New Roman"/>
          <w:i/>
          <w:sz w:val="21"/>
          <w:szCs w:val="21"/>
        </w:rPr>
        <w:t>(Краснодарский филиал)</w:t>
      </w:r>
    </w:p>
    <w:p w14:paraId="173C1C4C" w14:textId="77777777" w:rsidR="00877DE5" w:rsidRPr="009472DE" w:rsidRDefault="00877DE5" w:rsidP="00067100">
      <w:pPr>
        <w:pStyle w:val="af7"/>
        <w:ind w:left="7080" w:firstLine="709"/>
        <w:jc w:val="right"/>
        <w:rPr>
          <w:rFonts w:ascii="Times New Roman" w:hAnsi="Times New Roman" w:cs="Times New Roman"/>
          <w:i/>
          <w:sz w:val="21"/>
          <w:szCs w:val="21"/>
        </w:rPr>
      </w:pPr>
      <w:r w:rsidRPr="009472DE">
        <w:rPr>
          <w:rFonts w:ascii="Times New Roman" w:hAnsi="Times New Roman" w:cs="Times New Roman"/>
          <w:i/>
          <w:sz w:val="21"/>
          <w:szCs w:val="21"/>
        </w:rPr>
        <w:t>г. Краснодар, Россия</w:t>
      </w:r>
    </w:p>
    <w:p w14:paraId="78165EF5" w14:textId="77777777" w:rsidR="00877DE5" w:rsidRPr="00877DE5"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lang w:val="en-US"/>
        </w:rPr>
        <w:t>e</w:t>
      </w:r>
      <w:r w:rsidRPr="009472DE">
        <w:rPr>
          <w:rFonts w:ascii="Times New Roman" w:hAnsi="Times New Roman" w:cs="Times New Roman"/>
          <w:i/>
          <w:sz w:val="21"/>
          <w:szCs w:val="21"/>
        </w:rPr>
        <w:t>-</w:t>
      </w:r>
      <w:r w:rsidRPr="009472DE">
        <w:rPr>
          <w:rFonts w:ascii="Times New Roman" w:hAnsi="Times New Roman" w:cs="Times New Roman"/>
          <w:i/>
          <w:sz w:val="21"/>
          <w:szCs w:val="21"/>
          <w:lang w:val="en-US"/>
        </w:rPr>
        <w:t>mail</w:t>
      </w:r>
      <w:r w:rsidRPr="009472DE">
        <w:rPr>
          <w:rFonts w:ascii="Times New Roman" w:hAnsi="Times New Roman" w:cs="Times New Roman"/>
          <w:i/>
          <w:sz w:val="21"/>
          <w:szCs w:val="21"/>
        </w:rPr>
        <w:t xml:space="preserve">: </w:t>
      </w:r>
      <w:hyperlink r:id="rId66" w:history="1">
        <w:r w:rsidRPr="006459B2">
          <w:rPr>
            <w:rStyle w:val="aa"/>
            <w:rFonts w:ascii="Times New Roman" w:hAnsi="Times New Roman" w:cs="Times New Roman"/>
            <w:i/>
            <w:sz w:val="21"/>
            <w:szCs w:val="21"/>
            <w:lang w:val="en-US"/>
          </w:rPr>
          <w:t>slazareva</w:t>
        </w:r>
        <w:r w:rsidRPr="006459B2">
          <w:rPr>
            <w:rStyle w:val="aa"/>
            <w:rFonts w:ascii="Times New Roman" w:hAnsi="Times New Roman" w:cs="Times New Roman"/>
            <w:i/>
            <w:sz w:val="21"/>
            <w:szCs w:val="21"/>
          </w:rPr>
          <w:t>0106@</w:t>
        </w:r>
        <w:r w:rsidRPr="006459B2">
          <w:rPr>
            <w:rStyle w:val="aa"/>
            <w:rFonts w:ascii="Times New Roman" w:hAnsi="Times New Roman" w:cs="Times New Roman"/>
            <w:i/>
            <w:sz w:val="21"/>
            <w:szCs w:val="21"/>
            <w:lang w:val="en-US"/>
          </w:rPr>
          <w:t>gmail</w:t>
        </w:r>
        <w:r w:rsidRPr="006459B2">
          <w:rPr>
            <w:rStyle w:val="aa"/>
            <w:rFonts w:ascii="Times New Roman" w:hAnsi="Times New Roman" w:cs="Times New Roman"/>
            <w:i/>
            <w:sz w:val="21"/>
            <w:szCs w:val="21"/>
          </w:rPr>
          <w:t>.</w:t>
        </w:r>
        <w:r w:rsidRPr="006459B2">
          <w:rPr>
            <w:rStyle w:val="aa"/>
            <w:rFonts w:ascii="Times New Roman" w:hAnsi="Times New Roman" w:cs="Times New Roman"/>
            <w:i/>
            <w:sz w:val="21"/>
            <w:szCs w:val="21"/>
            <w:lang w:val="en-US"/>
          </w:rPr>
          <w:t>com</w:t>
        </w:r>
      </w:hyperlink>
    </w:p>
    <w:p w14:paraId="0D45C48F" w14:textId="77777777" w:rsidR="00877DE5" w:rsidRPr="009472DE" w:rsidRDefault="00877DE5" w:rsidP="00067100">
      <w:pPr>
        <w:spacing w:after="0" w:line="240" w:lineRule="auto"/>
        <w:ind w:firstLine="709"/>
        <w:jc w:val="right"/>
        <w:rPr>
          <w:rStyle w:val="aa"/>
          <w:rFonts w:ascii="Times New Roman" w:hAnsi="Times New Roman" w:cs="Times New Roman"/>
          <w:i/>
          <w:sz w:val="21"/>
          <w:szCs w:val="21"/>
        </w:rPr>
      </w:pPr>
    </w:p>
    <w:p w14:paraId="489256A0" w14:textId="77777777" w:rsidR="00877DE5" w:rsidRPr="009472DE" w:rsidRDefault="00877DE5" w:rsidP="00067100">
      <w:pPr>
        <w:pStyle w:val="af7"/>
        <w:ind w:left="7080" w:firstLine="709"/>
        <w:jc w:val="right"/>
        <w:rPr>
          <w:rFonts w:ascii="Times New Roman" w:hAnsi="Times New Roman" w:cs="Times New Roman"/>
          <w:b/>
          <w:i/>
          <w:sz w:val="21"/>
          <w:szCs w:val="21"/>
        </w:rPr>
      </w:pPr>
      <w:r w:rsidRPr="009472DE">
        <w:rPr>
          <w:rFonts w:ascii="Times New Roman" w:hAnsi="Times New Roman" w:cs="Times New Roman"/>
          <w:b/>
          <w:i/>
          <w:sz w:val="21"/>
          <w:szCs w:val="21"/>
        </w:rPr>
        <w:t>Середняя А.А.,</w:t>
      </w:r>
    </w:p>
    <w:p w14:paraId="31120634" w14:textId="77777777" w:rsidR="00877DE5" w:rsidRPr="009472DE" w:rsidRDefault="00877DE5" w:rsidP="00067100">
      <w:pPr>
        <w:pStyle w:val="af7"/>
        <w:ind w:left="7080" w:firstLine="709"/>
        <w:jc w:val="right"/>
        <w:rPr>
          <w:rFonts w:ascii="Times New Roman" w:hAnsi="Times New Roman" w:cs="Times New Roman"/>
          <w:i/>
          <w:sz w:val="21"/>
          <w:szCs w:val="21"/>
        </w:rPr>
      </w:pPr>
      <w:r w:rsidRPr="009472DE">
        <w:rPr>
          <w:rFonts w:ascii="Times New Roman" w:hAnsi="Times New Roman" w:cs="Times New Roman"/>
          <w:i/>
          <w:sz w:val="21"/>
          <w:szCs w:val="21"/>
        </w:rPr>
        <w:t>студент 3 курса</w:t>
      </w:r>
    </w:p>
    <w:p w14:paraId="1B84B6B6" w14:textId="77777777" w:rsidR="00877DE5" w:rsidRPr="009472DE" w:rsidRDefault="00877DE5" w:rsidP="00067100">
      <w:pPr>
        <w:pStyle w:val="af7"/>
        <w:ind w:left="4248" w:firstLine="709"/>
        <w:jc w:val="right"/>
        <w:rPr>
          <w:rFonts w:ascii="Times New Roman" w:hAnsi="Times New Roman" w:cs="Times New Roman"/>
          <w:i/>
          <w:sz w:val="21"/>
          <w:szCs w:val="21"/>
        </w:rPr>
      </w:pPr>
      <w:r w:rsidRPr="009472DE">
        <w:rPr>
          <w:rFonts w:ascii="Times New Roman" w:hAnsi="Times New Roman" w:cs="Times New Roman"/>
          <w:i/>
          <w:sz w:val="21"/>
          <w:szCs w:val="21"/>
        </w:rPr>
        <w:t>Финансовый университет при Правительстве РФ</w:t>
      </w:r>
    </w:p>
    <w:p w14:paraId="4D6211F9" w14:textId="77777777" w:rsidR="00877DE5" w:rsidRPr="009472DE" w:rsidRDefault="00877DE5" w:rsidP="00067100">
      <w:pPr>
        <w:pStyle w:val="af7"/>
        <w:ind w:left="5664" w:firstLine="709"/>
        <w:jc w:val="right"/>
        <w:rPr>
          <w:rFonts w:ascii="Times New Roman" w:hAnsi="Times New Roman" w:cs="Times New Roman"/>
          <w:i/>
          <w:sz w:val="21"/>
          <w:szCs w:val="21"/>
        </w:rPr>
      </w:pPr>
      <w:r w:rsidRPr="009472DE">
        <w:rPr>
          <w:rFonts w:ascii="Times New Roman" w:hAnsi="Times New Roman" w:cs="Times New Roman"/>
          <w:i/>
          <w:sz w:val="21"/>
          <w:szCs w:val="21"/>
        </w:rPr>
        <w:t>(Краснодарский филиал)</w:t>
      </w:r>
    </w:p>
    <w:p w14:paraId="46585D97" w14:textId="77777777" w:rsidR="00877DE5" w:rsidRPr="009472DE" w:rsidRDefault="00877DE5" w:rsidP="00067100">
      <w:pPr>
        <w:pStyle w:val="af7"/>
        <w:ind w:left="7080" w:firstLine="709"/>
        <w:jc w:val="right"/>
        <w:rPr>
          <w:rFonts w:ascii="Times New Roman" w:hAnsi="Times New Roman" w:cs="Times New Roman"/>
          <w:i/>
          <w:sz w:val="21"/>
          <w:szCs w:val="21"/>
        </w:rPr>
      </w:pPr>
      <w:r w:rsidRPr="009472DE">
        <w:rPr>
          <w:rFonts w:ascii="Times New Roman" w:hAnsi="Times New Roman" w:cs="Times New Roman"/>
          <w:i/>
          <w:sz w:val="21"/>
          <w:szCs w:val="21"/>
        </w:rPr>
        <w:t>г. Краснодар, Россия</w:t>
      </w:r>
    </w:p>
    <w:p w14:paraId="470B456B" w14:textId="77777777" w:rsidR="00877DE5" w:rsidRPr="00132A69" w:rsidRDefault="00877DE5" w:rsidP="00067100">
      <w:pPr>
        <w:spacing w:after="0" w:line="240" w:lineRule="auto"/>
        <w:ind w:firstLine="709"/>
        <w:jc w:val="right"/>
        <w:rPr>
          <w:rFonts w:ascii="Times New Roman" w:hAnsi="Times New Roman" w:cs="Times New Roman"/>
          <w:i/>
          <w:iCs/>
          <w:sz w:val="21"/>
          <w:szCs w:val="21"/>
          <w:lang w:val="en-US"/>
        </w:rPr>
      </w:pPr>
      <w:r w:rsidRPr="00132A69">
        <w:rPr>
          <w:rFonts w:ascii="Times New Roman" w:hAnsi="Times New Roman" w:cs="Times New Roman"/>
          <w:i/>
          <w:sz w:val="21"/>
          <w:szCs w:val="21"/>
          <w:lang w:val="en-US"/>
        </w:rPr>
        <w:t xml:space="preserve">                </w:t>
      </w:r>
      <w:r w:rsidRPr="009472DE">
        <w:rPr>
          <w:rFonts w:ascii="Times New Roman" w:hAnsi="Times New Roman" w:cs="Times New Roman"/>
          <w:i/>
          <w:sz w:val="21"/>
          <w:szCs w:val="21"/>
          <w:lang w:val="en-US"/>
        </w:rPr>
        <w:t>e</w:t>
      </w:r>
      <w:r w:rsidRPr="00132A69">
        <w:rPr>
          <w:rFonts w:ascii="Times New Roman" w:hAnsi="Times New Roman" w:cs="Times New Roman"/>
          <w:i/>
          <w:sz w:val="21"/>
          <w:szCs w:val="21"/>
          <w:lang w:val="en-US"/>
        </w:rPr>
        <w:t>-</w:t>
      </w:r>
      <w:r w:rsidRPr="009472DE">
        <w:rPr>
          <w:rFonts w:ascii="Times New Roman" w:hAnsi="Times New Roman" w:cs="Times New Roman"/>
          <w:i/>
          <w:sz w:val="21"/>
          <w:szCs w:val="21"/>
          <w:lang w:val="en-US"/>
        </w:rPr>
        <w:t>mail</w:t>
      </w:r>
      <w:r w:rsidRPr="00132A69">
        <w:rPr>
          <w:rFonts w:ascii="Times New Roman" w:hAnsi="Times New Roman" w:cs="Times New Roman"/>
          <w:i/>
          <w:sz w:val="21"/>
          <w:szCs w:val="21"/>
          <w:lang w:val="en-US"/>
        </w:rPr>
        <w:t xml:space="preserve">: </w:t>
      </w:r>
      <w:bookmarkStart w:id="1" w:name="_Hlk165395559"/>
      <w:r>
        <w:rPr>
          <w:rFonts w:ascii="Times New Roman" w:hAnsi="Times New Roman" w:cs="Times New Roman"/>
          <w:i/>
          <w:iCs/>
          <w:sz w:val="21"/>
          <w:szCs w:val="21"/>
          <w:lang w:val="en-US"/>
        </w:rPr>
        <w:fldChar w:fldCharType="begin"/>
      </w:r>
      <w:r w:rsidRPr="00132A69">
        <w:rPr>
          <w:rFonts w:ascii="Times New Roman" w:hAnsi="Times New Roman" w:cs="Times New Roman"/>
          <w:i/>
          <w:iCs/>
          <w:sz w:val="21"/>
          <w:szCs w:val="21"/>
          <w:lang w:val="en-US"/>
        </w:rPr>
        <w:instrText xml:space="preserve"> </w:instrText>
      </w:r>
      <w:r>
        <w:rPr>
          <w:rFonts w:ascii="Times New Roman" w:hAnsi="Times New Roman" w:cs="Times New Roman"/>
          <w:i/>
          <w:iCs/>
          <w:sz w:val="21"/>
          <w:szCs w:val="21"/>
          <w:lang w:val="en-US"/>
        </w:rPr>
        <w:instrText>HYPERLINK</w:instrText>
      </w:r>
      <w:r w:rsidRPr="00132A69">
        <w:rPr>
          <w:rFonts w:ascii="Times New Roman" w:hAnsi="Times New Roman" w:cs="Times New Roman"/>
          <w:i/>
          <w:iCs/>
          <w:sz w:val="21"/>
          <w:szCs w:val="21"/>
          <w:lang w:val="en-US"/>
        </w:rPr>
        <w:instrText xml:space="preserve"> "</w:instrText>
      </w:r>
      <w:r>
        <w:rPr>
          <w:rFonts w:ascii="Times New Roman" w:hAnsi="Times New Roman" w:cs="Times New Roman"/>
          <w:i/>
          <w:iCs/>
          <w:sz w:val="21"/>
          <w:szCs w:val="21"/>
          <w:lang w:val="en-US"/>
        </w:rPr>
        <w:instrText>mailto</w:instrText>
      </w:r>
      <w:r w:rsidRPr="00132A69">
        <w:rPr>
          <w:rFonts w:ascii="Times New Roman" w:hAnsi="Times New Roman" w:cs="Times New Roman"/>
          <w:i/>
          <w:iCs/>
          <w:sz w:val="21"/>
          <w:szCs w:val="21"/>
          <w:lang w:val="en-US"/>
        </w:rPr>
        <w:instrText>:</w:instrText>
      </w:r>
      <w:r w:rsidRPr="009472DE">
        <w:rPr>
          <w:rFonts w:ascii="Times New Roman" w:hAnsi="Times New Roman" w:cs="Times New Roman"/>
          <w:i/>
          <w:iCs/>
          <w:sz w:val="21"/>
          <w:szCs w:val="21"/>
          <w:lang w:val="en-US"/>
        </w:rPr>
        <w:instrText>nepran</w:instrText>
      </w:r>
      <w:r w:rsidRPr="00132A69">
        <w:rPr>
          <w:rFonts w:ascii="Times New Roman" w:hAnsi="Times New Roman" w:cs="Times New Roman"/>
          <w:i/>
          <w:iCs/>
          <w:sz w:val="21"/>
          <w:szCs w:val="21"/>
          <w:lang w:val="en-US"/>
        </w:rPr>
        <w:instrText>.12</w:instrText>
      </w:r>
      <w:r w:rsidRPr="009472DE">
        <w:rPr>
          <w:rFonts w:ascii="Times New Roman" w:hAnsi="Times New Roman" w:cs="Times New Roman"/>
          <w:i/>
          <w:iCs/>
          <w:sz w:val="21"/>
          <w:szCs w:val="21"/>
          <w:lang w:val="en-US"/>
        </w:rPr>
        <w:instrText>a</w:instrText>
      </w:r>
      <w:r w:rsidRPr="00132A69">
        <w:rPr>
          <w:rFonts w:ascii="Times New Roman" w:hAnsi="Times New Roman" w:cs="Times New Roman"/>
          <w:i/>
          <w:iCs/>
          <w:sz w:val="21"/>
          <w:szCs w:val="21"/>
          <w:lang w:val="en-US"/>
        </w:rPr>
        <w:instrText>@</w:instrText>
      </w:r>
      <w:r w:rsidRPr="009472DE">
        <w:rPr>
          <w:rFonts w:ascii="Times New Roman" w:hAnsi="Times New Roman" w:cs="Times New Roman"/>
          <w:i/>
          <w:iCs/>
          <w:sz w:val="21"/>
          <w:szCs w:val="21"/>
          <w:lang w:val="en-US"/>
        </w:rPr>
        <w:instrText>yandex</w:instrText>
      </w:r>
      <w:r w:rsidRPr="00132A69">
        <w:rPr>
          <w:rFonts w:ascii="Times New Roman" w:hAnsi="Times New Roman" w:cs="Times New Roman"/>
          <w:i/>
          <w:iCs/>
          <w:sz w:val="21"/>
          <w:szCs w:val="21"/>
          <w:lang w:val="en-US"/>
        </w:rPr>
        <w:instrText>.</w:instrText>
      </w:r>
      <w:r w:rsidRPr="009472DE">
        <w:rPr>
          <w:rFonts w:ascii="Times New Roman" w:hAnsi="Times New Roman" w:cs="Times New Roman"/>
          <w:i/>
          <w:iCs/>
          <w:sz w:val="21"/>
          <w:szCs w:val="21"/>
          <w:lang w:val="en-US"/>
        </w:rPr>
        <w:instrText>ru</w:instrText>
      </w:r>
      <w:r w:rsidRPr="00132A69">
        <w:rPr>
          <w:rFonts w:ascii="Times New Roman" w:hAnsi="Times New Roman" w:cs="Times New Roman"/>
          <w:i/>
          <w:iCs/>
          <w:sz w:val="21"/>
          <w:szCs w:val="21"/>
          <w:lang w:val="en-US"/>
        </w:rPr>
        <w:instrText xml:space="preserve">" </w:instrText>
      </w:r>
      <w:r>
        <w:rPr>
          <w:rFonts w:ascii="Times New Roman" w:hAnsi="Times New Roman" w:cs="Times New Roman"/>
          <w:i/>
          <w:iCs/>
          <w:sz w:val="21"/>
          <w:szCs w:val="21"/>
          <w:lang w:val="en-US"/>
        </w:rPr>
        <w:fldChar w:fldCharType="separate"/>
      </w:r>
      <w:r w:rsidRPr="006459B2">
        <w:rPr>
          <w:rStyle w:val="aa"/>
          <w:rFonts w:ascii="Times New Roman" w:hAnsi="Times New Roman" w:cs="Times New Roman"/>
          <w:i/>
          <w:iCs/>
          <w:sz w:val="21"/>
          <w:szCs w:val="21"/>
          <w:lang w:val="en-US"/>
        </w:rPr>
        <w:t>nepran</w:t>
      </w:r>
      <w:r w:rsidRPr="00132A69">
        <w:rPr>
          <w:rStyle w:val="aa"/>
          <w:rFonts w:ascii="Times New Roman" w:hAnsi="Times New Roman" w:cs="Times New Roman"/>
          <w:i/>
          <w:iCs/>
          <w:sz w:val="21"/>
          <w:szCs w:val="21"/>
          <w:lang w:val="en-US"/>
        </w:rPr>
        <w:t>.12</w:t>
      </w:r>
      <w:r w:rsidRPr="006459B2">
        <w:rPr>
          <w:rStyle w:val="aa"/>
          <w:rFonts w:ascii="Times New Roman" w:hAnsi="Times New Roman" w:cs="Times New Roman"/>
          <w:i/>
          <w:iCs/>
          <w:sz w:val="21"/>
          <w:szCs w:val="21"/>
          <w:lang w:val="en-US"/>
        </w:rPr>
        <w:t>a</w:t>
      </w:r>
      <w:r w:rsidRPr="00132A69">
        <w:rPr>
          <w:rStyle w:val="aa"/>
          <w:rFonts w:ascii="Times New Roman" w:hAnsi="Times New Roman" w:cs="Times New Roman"/>
          <w:i/>
          <w:iCs/>
          <w:sz w:val="21"/>
          <w:szCs w:val="21"/>
          <w:lang w:val="en-US"/>
        </w:rPr>
        <w:t>@</w:t>
      </w:r>
      <w:r w:rsidRPr="006459B2">
        <w:rPr>
          <w:rStyle w:val="aa"/>
          <w:rFonts w:ascii="Times New Roman" w:hAnsi="Times New Roman" w:cs="Times New Roman"/>
          <w:i/>
          <w:iCs/>
          <w:sz w:val="21"/>
          <w:szCs w:val="21"/>
          <w:lang w:val="en-US"/>
        </w:rPr>
        <w:t>yandex</w:t>
      </w:r>
      <w:r w:rsidRPr="00132A69">
        <w:rPr>
          <w:rStyle w:val="aa"/>
          <w:rFonts w:ascii="Times New Roman" w:hAnsi="Times New Roman" w:cs="Times New Roman"/>
          <w:i/>
          <w:iCs/>
          <w:sz w:val="21"/>
          <w:szCs w:val="21"/>
          <w:lang w:val="en-US"/>
        </w:rPr>
        <w:t>.</w:t>
      </w:r>
      <w:r w:rsidRPr="006459B2">
        <w:rPr>
          <w:rStyle w:val="aa"/>
          <w:rFonts w:ascii="Times New Roman" w:hAnsi="Times New Roman" w:cs="Times New Roman"/>
          <w:i/>
          <w:iCs/>
          <w:sz w:val="21"/>
          <w:szCs w:val="21"/>
          <w:lang w:val="en-US"/>
        </w:rPr>
        <w:t>ru</w:t>
      </w:r>
      <w:bookmarkEnd w:id="1"/>
      <w:r>
        <w:rPr>
          <w:rFonts w:ascii="Times New Roman" w:hAnsi="Times New Roman" w:cs="Times New Roman"/>
          <w:i/>
          <w:iCs/>
          <w:sz w:val="21"/>
          <w:szCs w:val="21"/>
          <w:lang w:val="en-US"/>
        </w:rPr>
        <w:fldChar w:fldCharType="end"/>
      </w:r>
    </w:p>
    <w:p w14:paraId="1672F25D" w14:textId="77777777" w:rsidR="00877DE5" w:rsidRPr="00132A69" w:rsidRDefault="00877DE5" w:rsidP="00067100">
      <w:pPr>
        <w:spacing w:after="0" w:line="240" w:lineRule="auto"/>
        <w:ind w:firstLine="709"/>
        <w:jc w:val="right"/>
        <w:rPr>
          <w:rFonts w:ascii="Times New Roman" w:hAnsi="Times New Roman" w:cs="Times New Roman"/>
          <w:i/>
          <w:iCs/>
          <w:sz w:val="21"/>
          <w:szCs w:val="21"/>
          <w:lang w:val="en-US"/>
        </w:rPr>
      </w:pPr>
    </w:p>
    <w:p w14:paraId="52C8A11E" w14:textId="77777777" w:rsidR="00877DE5" w:rsidRPr="009472DE" w:rsidRDefault="00877DE5" w:rsidP="00067100">
      <w:pPr>
        <w:spacing w:after="0" w:line="240" w:lineRule="auto"/>
        <w:ind w:firstLine="709"/>
        <w:jc w:val="right"/>
        <w:rPr>
          <w:rFonts w:ascii="Times New Roman" w:hAnsi="Times New Roman" w:cs="Times New Roman"/>
          <w:b/>
          <w:bCs/>
          <w:i/>
          <w:iCs/>
          <w:sz w:val="21"/>
          <w:szCs w:val="21"/>
        </w:rPr>
      </w:pPr>
      <w:r w:rsidRPr="009472DE">
        <w:rPr>
          <w:rFonts w:ascii="Times New Roman" w:hAnsi="Times New Roman" w:cs="Times New Roman"/>
          <w:b/>
          <w:bCs/>
          <w:i/>
          <w:iCs/>
          <w:sz w:val="21"/>
          <w:szCs w:val="21"/>
        </w:rPr>
        <w:t>Научный руководитель:</w:t>
      </w:r>
    </w:p>
    <w:p w14:paraId="75D9D2BD" w14:textId="77777777" w:rsidR="00877DE5" w:rsidRPr="009472DE" w:rsidRDefault="00877DE5" w:rsidP="00067100">
      <w:pPr>
        <w:spacing w:after="0" w:line="240" w:lineRule="auto"/>
        <w:ind w:firstLine="709"/>
        <w:jc w:val="right"/>
        <w:rPr>
          <w:rFonts w:ascii="Times New Roman" w:hAnsi="Times New Roman" w:cs="Times New Roman"/>
          <w:b/>
          <w:bCs/>
          <w:i/>
          <w:iCs/>
          <w:sz w:val="21"/>
          <w:szCs w:val="21"/>
        </w:rPr>
      </w:pPr>
      <w:r w:rsidRPr="009472DE">
        <w:rPr>
          <w:rFonts w:ascii="Times New Roman" w:hAnsi="Times New Roman" w:cs="Times New Roman"/>
          <w:b/>
          <w:bCs/>
          <w:i/>
          <w:iCs/>
          <w:sz w:val="21"/>
          <w:szCs w:val="21"/>
        </w:rPr>
        <w:t>Продолятченко П.А.,</w:t>
      </w:r>
    </w:p>
    <w:p w14:paraId="40768A81" w14:textId="77777777" w:rsidR="00877DE5" w:rsidRPr="009472DE" w:rsidRDefault="00877DE5" w:rsidP="00067100">
      <w:pPr>
        <w:spacing w:after="0" w:line="240" w:lineRule="auto"/>
        <w:ind w:firstLine="709"/>
        <w:jc w:val="right"/>
        <w:rPr>
          <w:rFonts w:ascii="Times New Roman" w:hAnsi="Times New Roman" w:cs="Times New Roman"/>
          <w:i/>
          <w:iCs/>
          <w:sz w:val="21"/>
          <w:szCs w:val="21"/>
        </w:rPr>
      </w:pPr>
      <w:r w:rsidRPr="009472DE">
        <w:rPr>
          <w:rFonts w:ascii="Times New Roman" w:hAnsi="Times New Roman" w:cs="Times New Roman"/>
          <w:i/>
          <w:iCs/>
          <w:sz w:val="21"/>
          <w:szCs w:val="21"/>
        </w:rPr>
        <w:t xml:space="preserve">к.э.н., </w:t>
      </w:r>
      <w:r w:rsidRPr="009472DE">
        <w:rPr>
          <w:rFonts w:ascii="Times New Roman" w:hAnsi="Times New Roman" w:cs="Times New Roman"/>
          <w:i/>
          <w:iCs/>
          <w:sz w:val="21"/>
          <w:szCs w:val="21"/>
          <w:lang w:val="en-US"/>
        </w:rPr>
        <w:t>MBA</w:t>
      </w:r>
      <w:r w:rsidRPr="009472DE">
        <w:rPr>
          <w:rFonts w:ascii="Times New Roman" w:hAnsi="Times New Roman" w:cs="Times New Roman"/>
          <w:i/>
          <w:iCs/>
          <w:sz w:val="21"/>
          <w:szCs w:val="21"/>
        </w:rPr>
        <w:t>,</w:t>
      </w:r>
    </w:p>
    <w:p w14:paraId="1EAC5BCB" w14:textId="77777777" w:rsidR="00877DE5" w:rsidRPr="009472DE" w:rsidRDefault="00877DE5" w:rsidP="00067100">
      <w:pPr>
        <w:spacing w:after="0" w:line="240" w:lineRule="auto"/>
        <w:ind w:firstLine="709"/>
        <w:jc w:val="right"/>
        <w:rPr>
          <w:rFonts w:ascii="Times New Roman" w:hAnsi="Times New Roman" w:cs="Times New Roman"/>
          <w:i/>
          <w:iCs/>
          <w:sz w:val="21"/>
          <w:szCs w:val="21"/>
        </w:rPr>
      </w:pPr>
      <w:r w:rsidRPr="009472DE">
        <w:rPr>
          <w:rFonts w:ascii="Times New Roman" w:hAnsi="Times New Roman" w:cs="Times New Roman"/>
          <w:i/>
          <w:iCs/>
          <w:sz w:val="21"/>
          <w:szCs w:val="21"/>
        </w:rPr>
        <w:t>Финансовый университет при Правительстве РФ</w:t>
      </w:r>
    </w:p>
    <w:p w14:paraId="554A47EC" w14:textId="77777777" w:rsidR="00877DE5" w:rsidRPr="009472DE" w:rsidRDefault="00877DE5" w:rsidP="00067100">
      <w:pPr>
        <w:spacing w:after="0" w:line="240" w:lineRule="auto"/>
        <w:ind w:firstLine="709"/>
        <w:jc w:val="right"/>
        <w:rPr>
          <w:rFonts w:ascii="Times New Roman" w:hAnsi="Times New Roman" w:cs="Times New Roman"/>
          <w:i/>
          <w:iCs/>
          <w:sz w:val="21"/>
          <w:szCs w:val="21"/>
        </w:rPr>
      </w:pPr>
      <w:r w:rsidRPr="009472DE">
        <w:rPr>
          <w:rFonts w:ascii="Times New Roman" w:hAnsi="Times New Roman" w:cs="Times New Roman"/>
          <w:i/>
          <w:iCs/>
          <w:sz w:val="21"/>
          <w:szCs w:val="21"/>
        </w:rPr>
        <w:t>(Краснодарский филиал)</w:t>
      </w:r>
    </w:p>
    <w:p w14:paraId="1DB60606" w14:textId="77777777" w:rsidR="00877DE5" w:rsidRPr="009472DE" w:rsidRDefault="00877DE5" w:rsidP="00067100">
      <w:pPr>
        <w:spacing w:after="0" w:line="240" w:lineRule="auto"/>
        <w:ind w:firstLine="709"/>
        <w:jc w:val="right"/>
        <w:rPr>
          <w:rFonts w:ascii="Times New Roman" w:hAnsi="Times New Roman" w:cs="Times New Roman"/>
          <w:i/>
          <w:iCs/>
          <w:sz w:val="21"/>
          <w:szCs w:val="21"/>
        </w:rPr>
      </w:pPr>
      <w:r w:rsidRPr="009472DE">
        <w:rPr>
          <w:rFonts w:ascii="Times New Roman" w:hAnsi="Times New Roman" w:cs="Times New Roman"/>
          <w:i/>
          <w:iCs/>
          <w:sz w:val="21"/>
          <w:szCs w:val="21"/>
        </w:rPr>
        <w:t>г. Краснодар, Россия</w:t>
      </w:r>
    </w:p>
    <w:p w14:paraId="6B11CD1F" w14:textId="77777777" w:rsidR="00877DE5" w:rsidRPr="009472DE" w:rsidRDefault="00877DE5" w:rsidP="00067100">
      <w:pPr>
        <w:spacing w:after="0" w:line="240" w:lineRule="auto"/>
        <w:ind w:firstLine="709"/>
        <w:jc w:val="right"/>
        <w:rPr>
          <w:rFonts w:ascii="Times New Roman" w:hAnsi="Times New Roman" w:cs="Times New Roman"/>
          <w:i/>
          <w:iCs/>
        </w:rPr>
      </w:pPr>
      <w:r w:rsidRPr="009472DE">
        <w:rPr>
          <w:rFonts w:ascii="Times New Roman" w:hAnsi="Times New Roman" w:cs="Times New Roman"/>
          <w:i/>
          <w:iCs/>
          <w:sz w:val="21"/>
          <w:szCs w:val="21"/>
        </w:rPr>
        <w:t>е-</w:t>
      </w:r>
      <w:r w:rsidRPr="009472DE">
        <w:rPr>
          <w:rFonts w:ascii="Times New Roman" w:hAnsi="Times New Roman" w:cs="Times New Roman"/>
          <w:i/>
          <w:iCs/>
          <w:sz w:val="21"/>
          <w:szCs w:val="21"/>
          <w:lang w:val="en-US"/>
        </w:rPr>
        <w:t>mail</w:t>
      </w:r>
      <w:r w:rsidRPr="009472DE">
        <w:rPr>
          <w:rFonts w:ascii="Times New Roman" w:hAnsi="Times New Roman" w:cs="Times New Roman"/>
          <w:i/>
          <w:iCs/>
          <w:sz w:val="21"/>
          <w:szCs w:val="21"/>
        </w:rPr>
        <w:t xml:space="preserve">: </w:t>
      </w:r>
      <w:hyperlink r:id="rId67" w:history="1">
        <w:r w:rsidRPr="006459B2">
          <w:rPr>
            <w:rStyle w:val="aa"/>
            <w:rFonts w:ascii="Times New Roman" w:hAnsi="Times New Roman" w:cs="Times New Roman"/>
            <w:i/>
            <w:iCs/>
            <w:sz w:val="21"/>
            <w:szCs w:val="21"/>
            <w:lang w:val="en-US"/>
          </w:rPr>
          <w:t>PAProdolyatchenko</w:t>
        </w:r>
        <w:r w:rsidRPr="006459B2">
          <w:rPr>
            <w:rStyle w:val="aa"/>
            <w:rFonts w:ascii="Times New Roman" w:hAnsi="Times New Roman" w:cs="Times New Roman"/>
            <w:i/>
            <w:iCs/>
            <w:sz w:val="21"/>
            <w:szCs w:val="21"/>
          </w:rPr>
          <w:t>@</w:t>
        </w:r>
        <w:r w:rsidRPr="006459B2">
          <w:rPr>
            <w:rStyle w:val="aa"/>
            <w:rFonts w:ascii="Times New Roman" w:hAnsi="Times New Roman" w:cs="Times New Roman"/>
            <w:i/>
            <w:iCs/>
            <w:sz w:val="21"/>
            <w:szCs w:val="21"/>
            <w:lang w:val="en-US"/>
          </w:rPr>
          <w:t>fa</w:t>
        </w:r>
        <w:r w:rsidRPr="006459B2">
          <w:rPr>
            <w:rStyle w:val="aa"/>
            <w:rFonts w:ascii="Times New Roman" w:hAnsi="Times New Roman" w:cs="Times New Roman"/>
            <w:i/>
            <w:iCs/>
            <w:sz w:val="21"/>
            <w:szCs w:val="21"/>
          </w:rPr>
          <w:t>.</w:t>
        </w:r>
        <w:r w:rsidRPr="006459B2">
          <w:rPr>
            <w:rStyle w:val="aa"/>
            <w:rFonts w:ascii="Times New Roman" w:hAnsi="Times New Roman" w:cs="Times New Roman"/>
            <w:i/>
            <w:iCs/>
            <w:sz w:val="21"/>
            <w:szCs w:val="21"/>
            <w:lang w:val="en-US"/>
          </w:rPr>
          <w:t>ru</w:t>
        </w:r>
      </w:hyperlink>
      <w:r w:rsidRPr="00877DE5">
        <w:rPr>
          <w:rFonts w:ascii="Times New Roman" w:hAnsi="Times New Roman" w:cs="Times New Roman"/>
          <w:i/>
          <w:iCs/>
          <w:sz w:val="21"/>
          <w:szCs w:val="21"/>
        </w:rPr>
        <w:t xml:space="preserve"> </w:t>
      </w:r>
    </w:p>
    <w:p w14:paraId="24F72044" w14:textId="77777777" w:rsidR="00877DE5" w:rsidRPr="009472DE" w:rsidRDefault="00877DE5" w:rsidP="00067100">
      <w:pPr>
        <w:spacing w:after="0" w:line="240" w:lineRule="auto"/>
        <w:ind w:firstLine="709"/>
        <w:jc w:val="right"/>
        <w:rPr>
          <w:rFonts w:ascii="Times New Roman" w:hAnsi="Times New Roman" w:cs="Times New Roman"/>
          <w:szCs w:val="28"/>
        </w:rPr>
      </w:pPr>
    </w:p>
    <w:p w14:paraId="379D89E0" w14:textId="77777777" w:rsidR="00877DE5" w:rsidRDefault="00877DE5" w:rsidP="00067100">
      <w:pPr>
        <w:spacing w:after="0" w:line="240" w:lineRule="auto"/>
        <w:ind w:firstLine="709"/>
        <w:jc w:val="center"/>
        <w:rPr>
          <w:rFonts w:ascii="Times New Roman" w:hAnsi="Times New Roman" w:cs="Times New Roman"/>
          <w:b/>
          <w:sz w:val="21"/>
          <w:szCs w:val="21"/>
        </w:rPr>
      </w:pPr>
      <w:r w:rsidRPr="009472DE">
        <w:rPr>
          <w:rFonts w:ascii="Times New Roman" w:hAnsi="Times New Roman" w:cs="Times New Roman"/>
          <w:b/>
          <w:sz w:val="21"/>
          <w:szCs w:val="21"/>
        </w:rPr>
        <w:t>Кредитование в фазах экономического подъема: риски перегрева экономики</w:t>
      </w:r>
    </w:p>
    <w:p w14:paraId="772A63FD" w14:textId="77777777" w:rsidR="00C30970" w:rsidRPr="009472DE" w:rsidRDefault="00C30970" w:rsidP="00067100">
      <w:pPr>
        <w:spacing w:after="0" w:line="240" w:lineRule="auto"/>
        <w:ind w:firstLine="709"/>
        <w:jc w:val="center"/>
        <w:rPr>
          <w:rFonts w:ascii="Times New Roman" w:hAnsi="Times New Roman" w:cs="Times New Roman"/>
          <w:b/>
          <w:sz w:val="21"/>
          <w:szCs w:val="21"/>
        </w:rPr>
      </w:pPr>
    </w:p>
    <w:p w14:paraId="31BF208E" w14:textId="77777777" w:rsidR="00877DE5" w:rsidRPr="009472DE" w:rsidRDefault="00877DE5" w:rsidP="00067100">
      <w:pPr>
        <w:spacing w:after="0" w:line="240" w:lineRule="auto"/>
        <w:ind w:firstLine="709"/>
        <w:jc w:val="both"/>
        <w:rPr>
          <w:rFonts w:ascii="Times New Roman" w:hAnsi="Times New Roman" w:cs="Times New Roman"/>
          <w:sz w:val="21"/>
          <w:szCs w:val="21"/>
        </w:rPr>
      </w:pPr>
      <w:r w:rsidRPr="009472DE">
        <w:rPr>
          <w:rFonts w:ascii="Times New Roman" w:hAnsi="Times New Roman" w:cs="Times New Roman"/>
          <w:b/>
          <w:sz w:val="21"/>
          <w:szCs w:val="21"/>
        </w:rPr>
        <w:lastRenderedPageBreak/>
        <w:t>Аннотация:</w:t>
      </w:r>
      <w:r w:rsidRPr="009472DE">
        <w:rPr>
          <w:rFonts w:ascii="Times New Roman" w:hAnsi="Times New Roman" w:cs="Times New Roman"/>
          <w:sz w:val="21"/>
          <w:szCs w:val="21"/>
        </w:rPr>
        <w:t xml:space="preserve"> В данной работе представлен обзор российского рынка кредитования индивидуальных предпринимателей, юридических и физических лиц с 2019 по 2024 гг. с основным упором на фазы экономического роста национальной экономики. Сформулированы основные тенденции динамики кредитования за исследуемый промежуток времени, рассмотрены риски перегрева экономики и предложены меры по их нивелированию.</w:t>
      </w:r>
    </w:p>
    <w:p w14:paraId="0C50BAAF" w14:textId="77777777" w:rsidR="00877DE5" w:rsidRPr="009472DE" w:rsidRDefault="00877DE5" w:rsidP="00067100">
      <w:pPr>
        <w:spacing w:after="0" w:line="240" w:lineRule="auto"/>
        <w:ind w:firstLine="709"/>
        <w:jc w:val="both"/>
        <w:rPr>
          <w:rFonts w:ascii="Times New Roman" w:hAnsi="Times New Roman" w:cs="Times New Roman"/>
          <w:sz w:val="21"/>
          <w:szCs w:val="21"/>
        </w:rPr>
      </w:pPr>
      <w:r w:rsidRPr="009472DE">
        <w:rPr>
          <w:rFonts w:ascii="Times New Roman" w:hAnsi="Times New Roman" w:cs="Times New Roman"/>
          <w:b/>
          <w:sz w:val="21"/>
          <w:szCs w:val="21"/>
        </w:rPr>
        <w:t>Ключевые слова:</w:t>
      </w:r>
      <w:r w:rsidRPr="009472DE">
        <w:rPr>
          <w:rFonts w:ascii="Times New Roman" w:hAnsi="Times New Roman" w:cs="Times New Roman"/>
          <w:sz w:val="21"/>
          <w:szCs w:val="21"/>
        </w:rPr>
        <w:t xml:space="preserve"> перегрев экономики, экономический подъем, кредитование, риск, инфляция, ключевая ставка.</w:t>
      </w:r>
    </w:p>
    <w:p w14:paraId="10168FE9" w14:textId="77777777" w:rsidR="00877DE5" w:rsidRPr="009472DE" w:rsidRDefault="00877DE5" w:rsidP="00067100">
      <w:pPr>
        <w:spacing w:after="0" w:line="240" w:lineRule="auto"/>
        <w:ind w:firstLine="709"/>
        <w:jc w:val="right"/>
        <w:rPr>
          <w:rFonts w:ascii="Times New Roman" w:hAnsi="Times New Roman" w:cs="Times New Roman"/>
          <w:b/>
          <w:i/>
          <w:sz w:val="21"/>
          <w:szCs w:val="21"/>
          <w:lang w:val="en-US"/>
        </w:rPr>
      </w:pPr>
      <w:r w:rsidRPr="009472DE">
        <w:rPr>
          <w:rFonts w:ascii="Times New Roman" w:hAnsi="Times New Roman" w:cs="Times New Roman"/>
          <w:b/>
          <w:i/>
          <w:sz w:val="21"/>
          <w:szCs w:val="21"/>
          <w:lang w:val="en-US"/>
        </w:rPr>
        <w:t xml:space="preserve">Lazareva S.V., </w:t>
      </w:r>
    </w:p>
    <w:p w14:paraId="4C9BAA4C"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3rd year student </w:t>
      </w:r>
    </w:p>
    <w:p w14:paraId="0AE0F87C"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Financial University under the Government of the Russian Federation </w:t>
      </w:r>
    </w:p>
    <w:p w14:paraId="73A95C79"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(Krasnodar branch) </w:t>
      </w:r>
    </w:p>
    <w:p w14:paraId="434D8D56"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Krasnodar, Russia </w:t>
      </w:r>
    </w:p>
    <w:p w14:paraId="1133EDFE" w14:textId="77777777" w:rsidR="00877DE5"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e-mail: </w:t>
      </w:r>
      <w:hyperlink r:id="rId68" w:history="1">
        <w:r w:rsidRPr="006459B2">
          <w:rPr>
            <w:rStyle w:val="aa"/>
            <w:rFonts w:ascii="Times New Roman" w:hAnsi="Times New Roman" w:cs="Times New Roman"/>
            <w:i/>
            <w:sz w:val="21"/>
            <w:szCs w:val="21"/>
            <w:lang w:val="en-US"/>
          </w:rPr>
          <w:t>slazareva0106@gmail.com</w:t>
        </w:r>
      </w:hyperlink>
    </w:p>
    <w:p w14:paraId="103DE345" w14:textId="77777777" w:rsidR="00877DE5" w:rsidRPr="009472DE" w:rsidRDefault="00877DE5" w:rsidP="00067100">
      <w:pPr>
        <w:spacing w:after="0" w:line="240" w:lineRule="auto"/>
        <w:ind w:firstLine="709"/>
        <w:jc w:val="right"/>
        <w:rPr>
          <w:rFonts w:ascii="Times New Roman" w:hAnsi="Times New Roman" w:cs="Times New Roman"/>
          <w:sz w:val="21"/>
          <w:szCs w:val="21"/>
          <w:lang w:val="en-US"/>
        </w:rPr>
      </w:pPr>
    </w:p>
    <w:p w14:paraId="3144982C" w14:textId="77777777" w:rsidR="00877DE5" w:rsidRPr="009472DE" w:rsidRDefault="00877DE5" w:rsidP="00067100">
      <w:pPr>
        <w:spacing w:after="0" w:line="240" w:lineRule="auto"/>
        <w:ind w:firstLine="709"/>
        <w:jc w:val="right"/>
        <w:rPr>
          <w:rFonts w:ascii="Times New Roman" w:hAnsi="Times New Roman" w:cs="Times New Roman"/>
          <w:b/>
          <w:i/>
          <w:sz w:val="21"/>
          <w:szCs w:val="21"/>
          <w:lang w:val="en-US"/>
        </w:rPr>
      </w:pPr>
      <w:r w:rsidRPr="009472DE">
        <w:rPr>
          <w:rFonts w:ascii="Times New Roman" w:hAnsi="Times New Roman" w:cs="Times New Roman"/>
          <w:b/>
          <w:i/>
          <w:sz w:val="21"/>
          <w:szCs w:val="21"/>
          <w:lang w:val="en-US"/>
        </w:rPr>
        <w:t xml:space="preserve">Serednyaya A.A., </w:t>
      </w:r>
    </w:p>
    <w:p w14:paraId="2F8E9C1D"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3rd year student </w:t>
      </w:r>
    </w:p>
    <w:p w14:paraId="0D07CCFF"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Financial University under the Government of the Russian Federation </w:t>
      </w:r>
    </w:p>
    <w:p w14:paraId="7F4FF88C"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(Krasnodar branch)</w:t>
      </w:r>
    </w:p>
    <w:p w14:paraId="39FF0F9E"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Krasnodar, Russia </w:t>
      </w:r>
    </w:p>
    <w:p w14:paraId="0906E483" w14:textId="77777777" w:rsidR="00877DE5"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e-mail: </w:t>
      </w:r>
      <w:hyperlink r:id="rId69" w:history="1">
        <w:r w:rsidRPr="006459B2">
          <w:rPr>
            <w:rStyle w:val="aa"/>
            <w:rFonts w:ascii="Times New Roman" w:hAnsi="Times New Roman" w:cs="Times New Roman"/>
            <w:i/>
            <w:sz w:val="21"/>
            <w:szCs w:val="21"/>
            <w:lang w:val="en-US"/>
          </w:rPr>
          <w:t>nepran.12a@yandex.ru</w:t>
        </w:r>
      </w:hyperlink>
    </w:p>
    <w:p w14:paraId="68792D56"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p>
    <w:p w14:paraId="0BCD1B7B" w14:textId="77777777" w:rsidR="00877DE5" w:rsidRPr="009472DE" w:rsidRDefault="00877DE5" w:rsidP="00067100">
      <w:pPr>
        <w:spacing w:after="0" w:line="240" w:lineRule="auto"/>
        <w:ind w:firstLine="709"/>
        <w:jc w:val="right"/>
        <w:rPr>
          <w:rFonts w:ascii="Times New Roman" w:hAnsi="Times New Roman" w:cs="Times New Roman"/>
          <w:b/>
          <w:i/>
          <w:sz w:val="21"/>
          <w:szCs w:val="21"/>
          <w:lang w:val="en-US"/>
        </w:rPr>
      </w:pPr>
      <w:r w:rsidRPr="009472DE">
        <w:rPr>
          <w:rFonts w:ascii="Times New Roman" w:hAnsi="Times New Roman" w:cs="Times New Roman"/>
          <w:b/>
          <w:i/>
          <w:sz w:val="21"/>
          <w:szCs w:val="21"/>
          <w:lang w:val="en-US"/>
        </w:rPr>
        <w:t xml:space="preserve">Scientific Adviser: </w:t>
      </w:r>
    </w:p>
    <w:p w14:paraId="56A3EBFD" w14:textId="77777777" w:rsidR="00877DE5" w:rsidRPr="009472DE" w:rsidRDefault="00877DE5" w:rsidP="00067100">
      <w:pPr>
        <w:spacing w:after="0" w:line="240" w:lineRule="auto"/>
        <w:ind w:firstLine="709"/>
        <w:jc w:val="right"/>
        <w:rPr>
          <w:rFonts w:ascii="Times New Roman" w:hAnsi="Times New Roman" w:cs="Times New Roman"/>
          <w:b/>
          <w:i/>
          <w:sz w:val="21"/>
          <w:szCs w:val="21"/>
          <w:lang w:val="en-US"/>
        </w:rPr>
      </w:pPr>
      <w:r w:rsidRPr="009472DE">
        <w:rPr>
          <w:rFonts w:ascii="Times New Roman" w:hAnsi="Times New Roman" w:cs="Times New Roman"/>
          <w:b/>
          <w:i/>
          <w:sz w:val="21"/>
          <w:szCs w:val="21"/>
          <w:lang w:val="en-US"/>
        </w:rPr>
        <w:t xml:space="preserve">Prodolyatchenko P.A., </w:t>
      </w:r>
    </w:p>
    <w:p w14:paraId="69A12C7D"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Associate Professor, MBA </w:t>
      </w:r>
    </w:p>
    <w:p w14:paraId="6734A09B"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Financial University under the Government of the Russian Federation </w:t>
      </w:r>
    </w:p>
    <w:p w14:paraId="69025B68"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(Krasnodar branch) </w:t>
      </w:r>
    </w:p>
    <w:p w14:paraId="1A79A3B6"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Krasnodar, Russia </w:t>
      </w:r>
    </w:p>
    <w:p w14:paraId="478A4B6B" w14:textId="77777777" w:rsidR="00877DE5" w:rsidRPr="009472DE"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lang w:val="en-US"/>
        </w:rPr>
        <w:t xml:space="preserve">e-mail: </w:t>
      </w:r>
      <w:hyperlink r:id="rId70" w:history="1">
        <w:r w:rsidRPr="006459B2">
          <w:rPr>
            <w:rStyle w:val="aa"/>
            <w:rFonts w:ascii="Times New Roman" w:hAnsi="Times New Roman" w:cs="Times New Roman"/>
            <w:i/>
            <w:sz w:val="21"/>
            <w:szCs w:val="21"/>
            <w:lang w:val="en-US"/>
          </w:rPr>
          <w:t>PAProdolyatchenko@fa.ru</w:t>
        </w:r>
      </w:hyperlink>
      <w:r>
        <w:rPr>
          <w:rFonts w:ascii="Times New Roman" w:hAnsi="Times New Roman" w:cs="Times New Roman"/>
          <w:i/>
          <w:sz w:val="21"/>
          <w:szCs w:val="21"/>
          <w:lang w:val="en-US"/>
        </w:rPr>
        <w:t xml:space="preserve"> </w:t>
      </w:r>
    </w:p>
    <w:p w14:paraId="1F7C1A98" w14:textId="77777777" w:rsidR="00877DE5" w:rsidRPr="009472DE" w:rsidRDefault="00877DE5" w:rsidP="00067100">
      <w:pPr>
        <w:spacing w:after="0" w:line="240" w:lineRule="auto"/>
        <w:ind w:firstLine="709"/>
        <w:jc w:val="right"/>
        <w:rPr>
          <w:rFonts w:ascii="Times New Roman" w:hAnsi="Times New Roman" w:cs="Times New Roman"/>
          <w:lang w:val="en-US"/>
        </w:rPr>
      </w:pPr>
    </w:p>
    <w:p w14:paraId="77150112" w14:textId="77777777" w:rsidR="00877DE5" w:rsidRPr="009472DE" w:rsidRDefault="00877DE5" w:rsidP="00067100">
      <w:pPr>
        <w:spacing w:after="0" w:line="240" w:lineRule="auto"/>
        <w:ind w:firstLine="709"/>
        <w:jc w:val="center"/>
        <w:rPr>
          <w:rFonts w:ascii="Times New Roman" w:hAnsi="Times New Roman" w:cs="Times New Roman"/>
          <w:b/>
          <w:lang w:val="en-US"/>
        </w:rPr>
      </w:pPr>
      <w:r w:rsidRPr="009472DE">
        <w:rPr>
          <w:rFonts w:ascii="Times New Roman" w:hAnsi="Times New Roman" w:cs="Times New Roman"/>
          <w:b/>
          <w:lang w:val="en-US"/>
        </w:rPr>
        <w:t>Lending in the phases of economic recovery: risks of overheating of the economy</w:t>
      </w:r>
    </w:p>
    <w:p w14:paraId="7BD71728" w14:textId="77777777" w:rsidR="00877DE5" w:rsidRPr="009472DE" w:rsidRDefault="00877DE5" w:rsidP="00067100">
      <w:pPr>
        <w:spacing w:after="0" w:line="240" w:lineRule="auto"/>
        <w:ind w:firstLine="709"/>
        <w:jc w:val="center"/>
        <w:rPr>
          <w:rFonts w:ascii="Times New Roman" w:hAnsi="Times New Roman" w:cs="Times New Roman"/>
          <w:lang w:val="en-US"/>
        </w:rPr>
      </w:pPr>
    </w:p>
    <w:p w14:paraId="05A0510C" w14:textId="77777777" w:rsidR="00877DE5" w:rsidRPr="009472DE" w:rsidRDefault="00877DE5" w:rsidP="00067100">
      <w:pPr>
        <w:spacing w:after="0" w:line="240" w:lineRule="auto"/>
        <w:ind w:firstLine="709"/>
        <w:jc w:val="both"/>
        <w:rPr>
          <w:rFonts w:ascii="Times New Roman" w:hAnsi="Times New Roman" w:cs="Times New Roman"/>
          <w:sz w:val="21"/>
          <w:szCs w:val="21"/>
          <w:lang w:val="en-US"/>
        </w:rPr>
      </w:pPr>
      <w:r w:rsidRPr="009472DE">
        <w:rPr>
          <w:rFonts w:ascii="Times New Roman" w:hAnsi="Times New Roman" w:cs="Times New Roman"/>
          <w:b/>
          <w:sz w:val="21"/>
          <w:szCs w:val="21"/>
          <w:lang w:val="en-US"/>
        </w:rPr>
        <w:t>Abstract:</w:t>
      </w:r>
      <w:r w:rsidRPr="009472DE">
        <w:rPr>
          <w:rFonts w:ascii="Times New Roman" w:hAnsi="Times New Roman" w:cs="Times New Roman"/>
          <w:sz w:val="21"/>
          <w:szCs w:val="21"/>
          <w:lang w:val="en-US"/>
        </w:rPr>
        <w:t xml:space="preserve"> This paper provides an overview of the Russian lending market for individual entrepreneurs, legal entities and individuals from 2019 to 2024, with a focus on the phases of economic growth of the national economy. The main trends in the dynamics of lending over the studied period of time are formulated, the risks of overheating of the economy are considered and measures for their leveling are proposed.</w:t>
      </w:r>
    </w:p>
    <w:p w14:paraId="7251E20B" w14:textId="77777777" w:rsidR="00877DE5" w:rsidRDefault="00877DE5" w:rsidP="00067100">
      <w:pPr>
        <w:spacing w:after="0" w:line="240" w:lineRule="auto"/>
        <w:ind w:firstLine="709"/>
        <w:jc w:val="both"/>
        <w:rPr>
          <w:rFonts w:ascii="Times New Roman" w:hAnsi="Times New Roman" w:cs="Times New Roman"/>
          <w:sz w:val="21"/>
          <w:szCs w:val="21"/>
          <w:lang w:val="en-US"/>
        </w:rPr>
      </w:pPr>
      <w:r w:rsidRPr="009472DE">
        <w:rPr>
          <w:rFonts w:ascii="Times New Roman" w:hAnsi="Times New Roman" w:cs="Times New Roman"/>
          <w:b/>
          <w:sz w:val="21"/>
          <w:szCs w:val="21"/>
          <w:lang w:val="en-US"/>
        </w:rPr>
        <w:t>Keywords:</w:t>
      </w:r>
      <w:r w:rsidRPr="009472DE">
        <w:rPr>
          <w:rFonts w:ascii="Times New Roman" w:hAnsi="Times New Roman" w:cs="Times New Roman"/>
          <w:sz w:val="21"/>
          <w:szCs w:val="21"/>
          <w:lang w:val="en-US"/>
        </w:rPr>
        <w:t xml:space="preserve"> overheating of the economy, economic recovery, lending, legal entities, individuals, risk, inflation, key rate.</w:t>
      </w:r>
    </w:p>
    <w:p w14:paraId="4A59B209" w14:textId="77777777" w:rsidR="00877DE5" w:rsidRPr="009472DE" w:rsidRDefault="00877DE5" w:rsidP="00067100">
      <w:pPr>
        <w:spacing w:after="0" w:line="240" w:lineRule="auto"/>
        <w:ind w:firstLine="709"/>
        <w:jc w:val="both"/>
        <w:rPr>
          <w:rFonts w:ascii="Times New Roman" w:hAnsi="Times New Roman" w:cs="Times New Roman"/>
          <w:sz w:val="21"/>
          <w:szCs w:val="21"/>
          <w:lang w:val="en-US"/>
        </w:rPr>
      </w:pPr>
    </w:p>
    <w:p w14:paraId="6E0FEECA"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В последние годы экономический словарь активно пополняется новыми терминами. Одним из них является понятие «перегрева экономики».  Что обуславливает необходимость рассмотрения данного феномена во взаимосвязи с системой кредитования экономики и выявления причинно-следственных связей данных процессов.</w:t>
      </w:r>
    </w:p>
    <w:p w14:paraId="7448AE52" w14:textId="133DE9B3"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В российской экономической практике это понятие появилось относительно недавно – в 21 веке, а в последние несколько лет стало употребляться особенно активно, и, естественно, у него есть множество разных определений, варьирующихся от автора к автору, но близких друг к другу по смыслу [1, с. 404]</w:t>
      </w:r>
      <w:r w:rsidR="00B64D5E">
        <w:rPr>
          <w:rFonts w:ascii="Times New Roman" w:hAnsi="Times New Roman" w:cs="Times New Roman"/>
          <w:sz w:val="32"/>
        </w:rPr>
        <w:t>.</w:t>
      </w:r>
      <w:r w:rsidRPr="009472DE">
        <w:rPr>
          <w:rFonts w:ascii="Times New Roman" w:hAnsi="Times New Roman" w:cs="Times New Roman"/>
          <w:sz w:val="32"/>
        </w:rPr>
        <w:t xml:space="preserve"> Так, действующий председатель Центрального Банка РФ, Э.С. Набиуллина дает термину следующее определение: «это состояние экономики, когда объем выпуска превышает, так называемый потенциальный ВВП, то есть тот выпуск товаров и услуг, который может быть произведен экономикой </w:t>
      </w:r>
      <w:r w:rsidRPr="009472DE">
        <w:rPr>
          <w:rFonts w:ascii="Times New Roman" w:hAnsi="Times New Roman" w:cs="Times New Roman"/>
          <w:sz w:val="32"/>
        </w:rPr>
        <w:lastRenderedPageBreak/>
        <w:t>исходя из имеющихся сейчас ресурсов без быстрого роста цен» [2]</w:t>
      </w:r>
      <w:r w:rsidR="00B64D5E">
        <w:rPr>
          <w:rFonts w:ascii="Times New Roman" w:hAnsi="Times New Roman" w:cs="Times New Roman"/>
          <w:sz w:val="32"/>
        </w:rPr>
        <w:t>.</w:t>
      </w:r>
      <w:r w:rsidRPr="009472DE">
        <w:rPr>
          <w:rFonts w:ascii="Times New Roman" w:hAnsi="Times New Roman" w:cs="Times New Roman"/>
          <w:sz w:val="32"/>
        </w:rPr>
        <w:t xml:space="preserve"> А.Л. Кудрин в 2008 г. отмечал, что, перегрев экономики характеризуется не только превышением спроса над предложением, но и существенным отрывом спроса от предложения. Как известно, когда предложение не может удовлетворить спрос, начинают расти и цены, а чем дальше экономика отдаляется от точки равновесия, тем они выше. Таким образом, обе трактовки отсылают нас к одной и той же проблеме, связанной с данным понятием – высокие темпы инфляции. Наиболее общее определение понятия как завершенного процесса дано на сайте «Википедия»: «ситуация, при которой темпы экономического роста приобретают взрывной неподконтрольный характер и, поглотив все ресурсы частного и государственного сектора, близко подходят к черте, за которой дальнейший устойчивый рост исчерпывает себя и начинается рецессия». Г.О. Греф также придерживается мнения, что экономика не может долго пробыть в стадии перегрева и достаточно быстро переходит к спаду.</w:t>
      </w:r>
    </w:p>
    <w:p w14:paraId="23547235"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 xml:space="preserve">Во времена чрезмерных подъемов экономики наблюдается резкое возникновение дисбалансов как в отдельных ее областях, так и в целом. Среди главных индикаторов стоит выделить уже ранее упомянутые высокие темпы инфляции, рост объёмов кредитования экономических субъектов, снижение безработицы в связи с загрузкой производственных мощностей и быстрые темпы прироста ВВП, превышающие средние значения. </w:t>
      </w:r>
    </w:p>
    <w:p w14:paraId="79AE1CD0"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К причинам возникновение перегрева можно отнести следующие факторы: рост заработной платы может служить как маркером перегрева, так и его причиной – производителям приходится увеличивать цены на производимую продукцию, чтобы иметь возможность покрывать неуклонно растущие расходы; низкий уровень ключевой ставки обеспечивает доступность заемных денежных средств для населения, что, в свою очередь, увеличивает объем денежной массы в обращении и вызывает риск инфляционного давления; порой и политика государства в области проведения крупных социальных программ и субсидирования может оказать чрезмерный стимул для экономического развития; структурны дисбалансы в отдельных отраслях экономики, такие как превышение спроса над предложением, нехватка трудовых или сырьевых ресурсов могут вызывать определенные изменения на рынках. Например, дефицит жилья неизбежно приведет к росту цен на квартиры, а следом и к росту цен на строительные материалы и оплату труда рабочих.</w:t>
      </w:r>
    </w:p>
    <w:p w14:paraId="2794554B"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lastRenderedPageBreak/>
        <w:t>Каждое экономическое изменение несет за собой различного рода последствия. При этом, их характер не обязательно будет являться сугубо негативным. Рисками перегрева являются снижение уровня жизни вместе со снижением темпов роста социального развития, последующее снижение экономического развития как следствие ответных мер по регулированию и стабилизированию ситуации. А также формирование так называемых «мыльных пузырей»: яркий пример – российский рынок недвижимости, по оценкам которого, на данный момент времени текущая стоимость жилья превышает ее реальную ценность. Однако, в краткосрочной перспективе перегрев экономики имеет и положительные стороны. Во-первых, снижается уровень безработицы из-за загруженности производственных мощностей. Во-вторых, с увеличением роста доходов происходит стимулирование потребления – население активно приобретает товары и услуги, тем самым поддерживая отрасли экономики поступлением денежных средств. В-третьих, наблюдается увеличение инвестиций в расширение производства и внедрение инноваций, что способствует активному технологическому развитию [1, с. 405]. То есть, в целом наблюдается повышение эффективности экономики, но также важно понимать, что данные положительные аспекты не могут полностью минимизировать негативные последствия на долгосрочном промежутке времени, а потому необходимо принимать соответствующие меры по сдерживанию развития рисков.</w:t>
      </w:r>
    </w:p>
    <w:p w14:paraId="0098F04C"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Какие же периоды национальной экономики могут считаться перегревом? На самом деле, достаточно сложно однозначно определить фазы перегрева экономки, так как у данного понятия нет четкой и общепринятой трактовки. Так же нет и четких границ, на основе которых можно было бы охарактеризовать тот или иной временной период с помощью этого термина. Таким образом, мнения по данному вопросу зачастую базируются лишь на личном восприятии каждого отдельного автора и эксперта и могут расходиться.</w:t>
      </w:r>
    </w:p>
    <w:p w14:paraId="0647431E"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Рассмотрим периоды перегрева национальной экономики в совокупности с анализом динамики объемов кредитования индивидуальных предпринимателей, физических и юридических лиц. Центральный Банк Российской Федерации предоставляет следующие данные (рис. 1 и рис. 2):</w:t>
      </w:r>
    </w:p>
    <w:p w14:paraId="76E68F84" w14:textId="77777777" w:rsidR="00877DE5" w:rsidRPr="009472DE" w:rsidRDefault="00877DE5" w:rsidP="00C465D4">
      <w:pPr>
        <w:spacing w:after="0" w:line="240" w:lineRule="auto"/>
        <w:jc w:val="center"/>
        <w:rPr>
          <w:rFonts w:ascii="Times New Roman" w:hAnsi="Times New Roman" w:cs="Times New Roman"/>
          <w:sz w:val="28"/>
        </w:rPr>
      </w:pPr>
      <w:r w:rsidRPr="009472DE">
        <w:rPr>
          <w:rFonts w:ascii="Times New Roman" w:hAnsi="Times New Roman" w:cs="Times New Roman"/>
          <w:noProof/>
          <w:lang w:eastAsia="ru-RU"/>
        </w:rPr>
        <w:lastRenderedPageBreak/>
        <w:drawing>
          <wp:inline distT="0" distB="0" distL="0" distR="0" wp14:anchorId="0279C481" wp14:editId="1474348D">
            <wp:extent cx="5318760" cy="2606040"/>
            <wp:effectExtent l="0" t="0" r="15240" b="381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61CBA71" w14:textId="77777777" w:rsidR="00877DE5" w:rsidRPr="009472DE" w:rsidRDefault="00877DE5" w:rsidP="00C465D4">
      <w:pPr>
        <w:spacing w:after="0" w:line="240" w:lineRule="auto"/>
        <w:jc w:val="center"/>
        <w:rPr>
          <w:rFonts w:ascii="Times New Roman" w:hAnsi="Times New Roman" w:cs="Times New Roman"/>
          <w:sz w:val="32"/>
        </w:rPr>
      </w:pPr>
      <w:r w:rsidRPr="009472DE">
        <w:rPr>
          <w:rFonts w:ascii="Times New Roman" w:hAnsi="Times New Roman" w:cs="Times New Roman"/>
          <w:sz w:val="32"/>
        </w:rPr>
        <w:t>Рисунок 1 – Объем кредитов, предоставленных физическим лицам за 2019 – 2024 гг., млрд руб.</w:t>
      </w:r>
    </w:p>
    <w:p w14:paraId="17294277" w14:textId="77777777" w:rsidR="00877DE5" w:rsidRPr="009472DE" w:rsidRDefault="00877DE5" w:rsidP="00C465D4">
      <w:pPr>
        <w:spacing w:after="0" w:line="240" w:lineRule="auto"/>
        <w:ind w:firstLine="709"/>
        <w:jc w:val="center"/>
        <w:rPr>
          <w:rFonts w:ascii="Times New Roman" w:hAnsi="Times New Roman" w:cs="Times New Roman"/>
          <w:sz w:val="32"/>
        </w:rPr>
      </w:pPr>
    </w:p>
    <w:p w14:paraId="24E798AA" w14:textId="77777777" w:rsidR="00877DE5" w:rsidRPr="009472DE" w:rsidRDefault="00877DE5" w:rsidP="00C465D4">
      <w:pPr>
        <w:spacing w:after="0" w:line="240" w:lineRule="auto"/>
        <w:jc w:val="center"/>
        <w:rPr>
          <w:rFonts w:ascii="Times New Roman" w:hAnsi="Times New Roman" w:cs="Times New Roman"/>
          <w:sz w:val="28"/>
        </w:rPr>
      </w:pPr>
      <w:r w:rsidRPr="009472DE">
        <w:rPr>
          <w:rFonts w:ascii="Times New Roman" w:hAnsi="Times New Roman" w:cs="Times New Roman"/>
          <w:noProof/>
          <w:lang w:eastAsia="ru-RU"/>
        </w:rPr>
        <w:drawing>
          <wp:inline distT="0" distB="0" distL="0" distR="0" wp14:anchorId="4910B4BB" wp14:editId="20F23A8F">
            <wp:extent cx="5295900" cy="2872740"/>
            <wp:effectExtent l="0" t="0" r="0" b="381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3D86588" w14:textId="77777777" w:rsidR="00877DE5" w:rsidRPr="009472DE" w:rsidRDefault="00877DE5" w:rsidP="00C465D4">
      <w:pPr>
        <w:spacing w:after="0" w:line="240" w:lineRule="auto"/>
        <w:jc w:val="center"/>
        <w:rPr>
          <w:rFonts w:ascii="Times New Roman" w:hAnsi="Times New Roman" w:cs="Times New Roman"/>
          <w:sz w:val="32"/>
        </w:rPr>
      </w:pPr>
      <w:r w:rsidRPr="009472DE">
        <w:rPr>
          <w:rFonts w:ascii="Times New Roman" w:hAnsi="Times New Roman" w:cs="Times New Roman"/>
          <w:sz w:val="32"/>
        </w:rPr>
        <w:t>Рисунок 2 – Объем кредитов, предоставленных юридическим лицам и индивидуальным предпринимателям за 2019 – 2024 гг., млрд руб.</w:t>
      </w:r>
    </w:p>
    <w:p w14:paraId="7FBBFFF3" w14:textId="77777777" w:rsidR="00877DE5" w:rsidRPr="009472DE" w:rsidRDefault="00877DE5" w:rsidP="00067100">
      <w:pPr>
        <w:spacing w:after="0" w:line="240" w:lineRule="auto"/>
        <w:ind w:firstLine="709"/>
        <w:jc w:val="both"/>
        <w:rPr>
          <w:rFonts w:ascii="Times New Roman" w:hAnsi="Times New Roman" w:cs="Times New Roman"/>
          <w:sz w:val="32"/>
          <w:szCs w:val="32"/>
        </w:rPr>
      </w:pPr>
    </w:p>
    <w:p w14:paraId="6A56FC8B"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 xml:space="preserve">Проанализировав представленные графики, можно сделать вывод, что они оба имеют схожую тенденцию к увеличению объемов кредитования к концу периода по сравнению с его началом. При этом, динамика роста показателей не являлась постоянной. Так, в 2021 г. наблюдается достаточно резкий скачок показателя по первому графику на 5 184 млрд руб. или на 33,48 % по отношению к предыдущему году. Изменение в кредитовании юридических лиц и ИП в этом же году составило прирост на 25,41 %, увеличившись в абсолютном изменении на более чем 15 000 млрд руб. Данный период </w:t>
      </w:r>
      <w:r w:rsidRPr="009472DE">
        <w:rPr>
          <w:rFonts w:ascii="Times New Roman" w:hAnsi="Times New Roman" w:cs="Times New Roman"/>
          <w:sz w:val="32"/>
        </w:rPr>
        <w:lastRenderedPageBreak/>
        <w:t xml:space="preserve">не был обозначен как перегрев, но имел некоторые его симптомы - возвращение жизни в привычное русло после пандемии </w:t>
      </w:r>
      <w:r w:rsidRPr="009472DE">
        <w:rPr>
          <w:rFonts w:ascii="Times New Roman" w:hAnsi="Times New Roman" w:cs="Times New Roman"/>
          <w:sz w:val="32"/>
          <w:lang w:val="en-US"/>
        </w:rPr>
        <w:t>COVID</w:t>
      </w:r>
      <w:r w:rsidRPr="009472DE">
        <w:rPr>
          <w:rFonts w:ascii="Times New Roman" w:hAnsi="Times New Roman" w:cs="Times New Roman"/>
          <w:sz w:val="32"/>
        </w:rPr>
        <w:t>-19 и карантина, негативно сказавшемуся на деятельности многих предприятий, привело к бурному экономическому росту, увеличению деловой активности и усилению инфляционного давления. Так, по итогам 2022 г. годовой темп инфляции достиг двузначного значения в 11,94 % [3]. В некоторых отраслях наблюдалась ощутимая нехватка рабочей силы. А на фоне стремительного роста заработной платы потребительский спрос сильно превышал предложение. Можно сказать, что в этот период у российской экономики наблюдались очень высокие риски перегрева. Тем не менее, в 2022 г. внешняя политическая ситуация кардинально изменилась и привела к сокращению наблюдаемых тенденций.</w:t>
      </w:r>
    </w:p>
    <w:p w14:paraId="262356A9" w14:textId="77777777" w:rsidR="00877DE5" w:rsidRPr="009472DE" w:rsidRDefault="00877DE5" w:rsidP="00B64D5E">
      <w:pPr>
        <w:spacing w:after="0" w:line="240" w:lineRule="auto"/>
        <w:ind w:firstLine="709"/>
        <w:jc w:val="both"/>
        <w:rPr>
          <w:rFonts w:ascii="Times New Roman" w:hAnsi="Times New Roman" w:cs="Times New Roman"/>
          <w:sz w:val="32"/>
        </w:rPr>
      </w:pPr>
      <w:r w:rsidRPr="009472DE">
        <w:rPr>
          <w:rFonts w:ascii="Times New Roman" w:hAnsi="Times New Roman" w:cs="Times New Roman"/>
          <w:sz w:val="32"/>
        </w:rPr>
        <w:t xml:space="preserve">На данный момент времени бытует мнение, что по итогам 2023 – 2024 гг. в национальной экономике также наблюдаются ключевые индикаторы перегрева. Так, по мнению Э.С. Набиуллиной пик перегрева уже пройден – к главным маркерам она отнесла высокую экономическую активность и повышенный рост цен. Также отмечается рекордно низкий показатель безработицы, составивший по итогам 2024 г. всего 2,5 %. Г.О. Греф, в свою очередь, указывает на чрезмерную загруженность производственных мощностей, достигшую своего исторического максимума в 84 %, что сопровождается нехваткой оборудования и рабочей силы [4, 5]. И, как можно наблюдать по графикам, на данном отрезке времени вновь наблюдается рост объемов кредитования после его заметного спада в 2022 г. Кредиты физическим лицам в 2023 г. увеличились на 45,54 % по сравнению с показателем предыдущего года, при этом в 2024 г. рост объемов сильно замедлился, увеличившись по итогам года всего на 2,54 %. В то же время объемы выданных кредитов юридическим лицам и ИП увеличивались в среднем на 18 – 20 % ежегодно. Однако, действительно ли можно считать 2024 год «перегревом экономики»? Невзирая на перечисленные индикаторы, экономический рост нельзя назвать высоким, по крайней мере не во всех отраслях. Так, эксперты говорят об активном развитии сферы машиностроения. Но так ли все хорошо на самом деле? Например, крупный отечественный производитель грузовой техники – ПАО «КАМАЗ» – по итогам 2024 г. уступил бо́льшую долю национального автомобильного рынка китайским компаниям. Многие российские машиностроительные компании активно работают в области государственного заказа, имея </w:t>
      </w:r>
      <w:r w:rsidRPr="009472DE">
        <w:rPr>
          <w:rFonts w:ascii="Times New Roman" w:hAnsi="Times New Roman" w:cs="Times New Roman"/>
          <w:sz w:val="32"/>
        </w:rPr>
        <w:lastRenderedPageBreak/>
        <w:t>при этом сложности с реализацией своей продукции в коммерческой сфере.</w:t>
      </w:r>
    </w:p>
    <w:p w14:paraId="34C05608" w14:textId="77777777" w:rsidR="00877DE5" w:rsidRPr="009472DE" w:rsidRDefault="00877DE5" w:rsidP="00B64D5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Стоит рассмотреть меры, которые принимаются государством, а в частности Банком России, в рамках стабилизации экономической ситуации и предотвращения развития рисков перегрева.</w:t>
      </w:r>
    </w:p>
    <w:p w14:paraId="51B13311" w14:textId="77777777" w:rsidR="00877DE5" w:rsidRPr="009472DE" w:rsidRDefault="00877DE5" w:rsidP="00B64D5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Ответной мерой Центрального Банка РФ является повышение ключевой ставки. В 2022 г. именно эта мера была принята для сдерживания как быстрых темпов роста экономики, так и объемов кредитования. И если в январе 2022 г. ее значение не превышало двузначное, то в феврале и марте она достигла своего годового максимума, установившись на отметке в 20 %, после чего начала снижаться, достигнут в июле 9,5 %, а к концу года 7,5 % годовых.  Вновь аналогичная ситуация наблюдалась и в 2023 г. – в июле ставка начала ползти вверх. А начало 2024 г. страна встретила с ключевой ставкой в 16 %. С октября 2024 г. ее значение держится на уровне 21 %. Примечательно, что в прошлые периоды увеличение ключевой ставки сопровождалось и ростом инфляционных темпов. В 2022 г. ее среднегодовой темп составил 13,75 %, при этом в апреле этого года он достигал 17,83 %. А в 2024 г. годовая инфляция по данным Росстата составила 9,52 %, также отмечается, что ее темпы несколько замедлились по сравнению с предыдущим периодом. Конечно, текущие меры являются одним из способов снижения развития негативных последствий перегрева экономики путем контроля денежной массы в обращении и поддержания таргетированного уровня инфляции. Но так ли эти меры обоснованы, а целевой уровень инфляции объективен? Реальному сектору не хватает финансовых ресурсов для полноценного развития, а стоимость заемных средств на данный период времени немаленькая, так как напрямую зависит от ключевой ставки Банка России. Возможно, стоит смотреть не в сторону снижения потребительского спроса, а, напротив, в сторону увеличения предложения, т.е. поддержки и развития бизнеса в стратегически важных отраслях российской экономики [1, с. 406]. Также можно предложить ввести прогрессивную шкалу налогообложения на прибыль организаций, как это было реализовано с налогом на доходы физических лиц, вместо ставки в 25 %, одинаково действующей для всех предприятий. Эта мера будет способствовать увеличению доходов предприятий и их способности вкладывать больше средств в расширение производства и создание новых производственных мощностей.</w:t>
      </w:r>
    </w:p>
    <w:p w14:paraId="1600FBEE" w14:textId="77777777" w:rsidR="00877DE5" w:rsidRPr="009472DE" w:rsidRDefault="00877DE5" w:rsidP="00B64D5E">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Таким образом, по нашему мнению, основной проблемой является нехватка действительного экономического роста в отдельных отраслях отечественной экономики и недостаток долгосрочных инвестиций в ее реальный сектор.</w:t>
      </w:r>
    </w:p>
    <w:p w14:paraId="3ECD8A64" w14:textId="77777777" w:rsidR="00877DE5" w:rsidRPr="009472DE" w:rsidRDefault="00877DE5" w:rsidP="00067100">
      <w:pPr>
        <w:spacing w:after="0" w:line="240" w:lineRule="auto"/>
        <w:ind w:firstLine="709"/>
        <w:jc w:val="both"/>
        <w:rPr>
          <w:rFonts w:ascii="Times New Roman" w:hAnsi="Times New Roman" w:cs="Times New Roman"/>
          <w:sz w:val="28"/>
        </w:rPr>
      </w:pPr>
    </w:p>
    <w:p w14:paraId="6E42E941" w14:textId="77777777" w:rsidR="00877DE5" w:rsidRPr="009472DE" w:rsidRDefault="00877DE5" w:rsidP="00067100">
      <w:pPr>
        <w:spacing w:after="0" w:line="240" w:lineRule="auto"/>
        <w:ind w:firstLine="709"/>
        <w:jc w:val="center"/>
        <w:rPr>
          <w:rFonts w:ascii="Times New Roman" w:hAnsi="Times New Roman" w:cs="Times New Roman"/>
          <w:b/>
          <w:sz w:val="21"/>
          <w:szCs w:val="21"/>
        </w:rPr>
      </w:pPr>
      <w:r w:rsidRPr="009472DE">
        <w:rPr>
          <w:rFonts w:ascii="Times New Roman" w:hAnsi="Times New Roman" w:cs="Times New Roman"/>
          <w:b/>
          <w:sz w:val="21"/>
          <w:szCs w:val="21"/>
        </w:rPr>
        <w:t>Литература:</w:t>
      </w:r>
    </w:p>
    <w:p w14:paraId="17FB5508" w14:textId="2AB2FE32" w:rsidR="00877DE5" w:rsidRPr="009472DE" w:rsidRDefault="00877DE5" w:rsidP="00AD58CD">
      <w:pPr>
        <w:pStyle w:val="a8"/>
        <w:numPr>
          <w:ilvl w:val="0"/>
          <w:numId w:val="6"/>
        </w:numPr>
        <w:tabs>
          <w:tab w:val="left" w:pos="284"/>
        </w:tabs>
        <w:spacing w:after="0" w:line="240" w:lineRule="auto"/>
        <w:ind w:left="0" w:firstLine="0"/>
        <w:jc w:val="both"/>
        <w:rPr>
          <w:rFonts w:ascii="Times New Roman" w:hAnsi="Times New Roman" w:cs="Times New Roman"/>
          <w:sz w:val="21"/>
          <w:szCs w:val="21"/>
        </w:rPr>
      </w:pPr>
      <w:r w:rsidRPr="009472DE">
        <w:rPr>
          <w:rFonts w:ascii="Times New Roman" w:hAnsi="Times New Roman" w:cs="Times New Roman"/>
          <w:sz w:val="21"/>
          <w:szCs w:val="21"/>
        </w:rPr>
        <w:t xml:space="preserve">Продолятченко, П. А. Мантра </w:t>
      </w:r>
      <w:r w:rsidR="00B64D5E">
        <w:rPr>
          <w:rFonts w:ascii="Times New Roman" w:hAnsi="Times New Roman" w:cs="Times New Roman"/>
          <w:sz w:val="21"/>
          <w:szCs w:val="21"/>
        </w:rPr>
        <w:t>«</w:t>
      </w:r>
      <w:r w:rsidRPr="009472DE">
        <w:rPr>
          <w:rFonts w:ascii="Times New Roman" w:hAnsi="Times New Roman" w:cs="Times New Roman"/>
          <w:sz w:val="21"/>
          <w:szCs w:val="21"/>
        </w:rPr>
        <w:t>перегрева</w:t>
      </w:r>
      <w:r w:rsidR="00B64D5E">
        <w:rPr>
          <w:rFonts w:ascii="Times New Roman" w:hAnsi="Times New Roman" w:cs="Times New Roman"/>
          <w:sz w:val="21"/>
          <w:szCs w:val="21"/>
        </w:rPr>
        <w:t>»</w:t>
      </w:r>
      <w:r w:rsidRPr="009472DE">
        <w:rPr>
          <w:rFonts w:ascii="Times New Roman" w:hAnsi="Times New Roman" w:cs="Times New Roman"/>
          <w:sz w:val="21"/>
          <w:szCs w:val="21"/>
        </w:rPr>
        <w:t xml:space="preserve"> российской экономики / П. А. Продолятченко // Институты и механизмы инновационного развития: мировой опыт и российская практика: Сборник статей 14-й Международной научно-практической конференции. В 2-х томах, Курск, 24 октября 2024 года. – Курск: ЗАО </w:t>
      </w:r>
      <w:r w:rsidR="00B64D5E">
        <w:rPr>
          <w:rFonts w:ascii="Times New Roman" w:hAnsi="Times New Roman" w:cs="Times New Roman"/>
          <w:sz w:val="21"/>
          <w:szCs w:val="21"/>
        </w:rPr>
        <w:t>«</w:t>
      </w:r>
      <w:r w:rsidRPr="009472DE">
        <w:rPr>
          <w:rFonts w:ascii="Times New Roman" w:hAnsi="Times New Roman" w:cs="Times New Roman"/>
          <w:sz w:val="21"/>
          <w:szCs w:val="21"/>
        </w:rPr>
        <w:t>Университетская книга</w:t>
      </w:r>
      <w:r w:rsidR="00B64D5E">
        <w:rPr>
          <w:rFonts w:ascii="Times New Roman" w:hAnsi="Times New Roman" w:cs="Times New Roman"/>
          <w:sz w:val="21"/>
          <w:szCs w:val="21"/>
        </w:rPr>
        <w:t>»</w:t>
      </w:r>
      <w:r w:rsidRPr="009472DE">
        <w:rPr>
          <w:rFonts w:ascii="Times New Roman" w:hAnsi="Times New Roman" w:cs="Times New Roman"/>
          <w:sz w:val="21"/>
          <w:szCs w:val="21"/>
        </w:rPr>
        <w:t>, 2024. – С. 403-407. – EDN HFGKJE.</w:t>
      </w:r>
    </w:p>
    <w:p w14:paraId="1FF9D579" w14:textId="77777777" w:rsidR="00877DE5" w:rsidRPr="009472DE" w:rsidRDefault="00877DE5" w:rsidP="00AD58CD">
      <w:pPr>
        <w:pStyle w:val="a8"/>
        <w:numPr>
          <w:ilvl w:val="0"/>
          <w:numId w:val="6"/>
        </w:numPr>
        <w:tabs>
          <w:tab w:val="left" w:pos="284"/>
        </w:tabs>
        <w:spacing w:after="0" w:line="240" w:lineRule="auto"/>
        <w:ind w:left="0" w:firstLine="0"/>
        <w:jc w:val="both"/>
        <w:rPr>
          <w:rFonts w:ascii="Times New Roman" w:hAnsi="Times New Roman" w:cs="Times New Roman"/>
          <w:sz w:val="21"/>
          <w:szCs w:val="21"/>
        </w:rPr>
      </w:pPr>
      <w:r w:rsidRPr="009472DE">
        <w:rPr>
          <w:rFonts w:ascii="Times New Roman" w:hAnsi="Times New Roman" w:cs="Times New Roman"/>
          <w:sz w:val="21"/>
          <w:szCs w:val="21"/>
        </w:rPr>
        <w:t xml:space="preserve">Центральный банк Российской Федерации | Банк России [электронный ресурс] // Официальный сайт Банка России. </w:t>
      </w:r>
      <w:r w:rsidRPr="009472DE">
        <w:rPr>
          <w:rFonts w:ascii="Times New Roman" w:hAnsi="Times New Roman" w:cs="Times New Roman"/>
          <w:sz w:val="21"/>
          <w:szCs w:val="21"/>
          <w:lang w:val="en-US"/>
        </w:rPr>
        <w:t>URL</w:t>
      </w:r>
      <w:r w:rsidRPr="009472DE">
        <w:rPr>
          <w:rFonts w:ascii="Times New Roman" w:hAnsi="Times New Roman" w:cs="Times New Roman"/>
          <w:sz w:val="21"/>
          <w:szCs w:val="21"/>
        </w:rPr>
        <w:t xml:space="preserve">: </w:t>
      </w:r>
      <w:r w:rsidRPr="009472DE">
        <w:rPr>
          <w:rFonts w:ascii="Times New Roman" w:hAnsi="Times New Roman" w:cs="Times New Roman"/>
          <w:sz w:val="21"/>
          <w:szCs w:val="21"/>
          <w:lang w:val="en-US"/>
        </w:rPr>
        <w:t>https</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cbr</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ru</w:t>
      </w:r>
      <w:r w:rsidRPr="009472DE">
        <w:rPr>
          <w:rFonts w:ascii="Times New Roman" w:hAnsi="Times New Roman" w:cs="Times New Roman"/>
          <w:sz w:val="21"/>
          <w:szCs w:val="21"/>
        </w:rPr>
        <w:t>/</w:t>
      </w:r>
    </w:p>
    <w:p w14:paraId="4E7F33F6" w14:textId="77777777" w:rsidR="00877DE5" w:rsidRPr="009472DE" w:rsidRDefault="00877DE5" w:rsidP="00AD58CD">
      <w:pPr>
        <w:pStyle w:val="a8"/>
        <w:numPr>
          <w:ilvl w:val="0"/>
          <w:numId w:val="6"/>
        </w:numPr>
        <w:tabs>
          <w:tab w:val="left" w:pos="284"/>
        </w:tabs>
        <w:spacing w:after="0" w:line="240" w:lineRule="auto"/>
        <w:ind w:left="0" w:firstLine="0"/>
        <w:jc w:val="both"/>
        <w:rPr>
          <w:rFonts w:ascii="Times New Roman" w:hAnsi="Times New Roman" w:cs="Times New Roman"/>
          <w:sz w:val="21"/>
          <w:szCs w:val="21"/>
        </w:rPr>
      </w:pPr>
      <w:r w:rsidRPr="009472DE">
        <w:rPr>
          <w:rFonts w:ascii="Times New Roman" w:hAnsi="Times New Roman" w:cs="Times New Roman"/>
          <w:sz w:val="21"/>
          <w:szCs w:val="21"/>
        </w:rPr>
        <w:t xml:space="preserve">Федеральная служба государственной статистики [электронный ресурс] // Официальный сайт Росстата. </w:t>
      </w:r>
      <w:r w:rsidRPr="009472DE">
        <w:rPr>
          <w:rFonts w:ascii="Times New Roman" w:hAnsi="Times New Roman" w:cs="Times New Roman"/>
          <w:sz w:val="21"/>
          <w:szCs w:val="21"/>
          <w:lang w:val="en-US"/>
        </w:rPr>
        <w:t>URL</w:t>
      </w:r>
      <w:r w:rsidRPr="009472DE">
        <w:rPr>
          <w:rFonts w:ascii="Times New Roman" w:hAnsi="Times New Roman" w:cs="Times New Roman"/>
          <w:sz w:val="21"/>
          <w:szCs w:val="21"/>
        </w:rPr>
        <w:t xml:space="preserve">: </w:t>
      </w:r>
      <w:r w:rsidRPr="009472DE">
        <w:rPr>
          <w:rFonts w:ascii="Times New Roman" w:hAnsi="Times New Roman" w:cs="Times New Roman"/>
          <w:sz w:val="21"/>
          <w:szCs w:val="21"/>
          <w:lang w:val="en-US"/>
        </w:rPr>
        <w:t>https</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rosstat</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gov</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ru</w:t>
      </w:r>
      <w:r w:rsidRPr="009472DE">
        <w:rPr>
          <w:rFonts w:ascii="Times New Roman" w:hAnsi="Times New Roman" w:cs="Times New Roman"/>
          <w:sz w:val="21"/>
          <w:szCs w:val="21"/>
        </w:rPr>
        <w:t>/</w:t>
      </w:r>
    </w:p>
    <w:p w14:paraId="00F93645" w14:textId="77777777" w:rsidR="00877DE5" w:rsidRPr="00B64D5E" w:rsidRDefault="00877DE5" w:rsidP="00AD58CD">
      <w:pPr>
        <w:pStyle w:val="a8"/>
        <w:numPr>
          <w:ilvl w:val="0"/>
          <w:numId w:val="6"/>
        </w:numPr>
        <w:tabs>
          <w:tab w:val="left" w:pos="284"/>
        </w:tabs>
        <w:spacing w:after="0" w:line="240" w:lineRule="auto"/>
        <w:ind w:left="0" w:firstLine="0"/>
        <w:jc w:val="both"/>
        <w:rPr>
          <w:rFonts w:ascii="Times New Roman" w:hAnsi="Times New Roman" w:cs="Times New Roman"/>
          <w:sz w:val="21"/>
          <w:szCs w:val="21"/>
        </w:rPr>
      </w:pPr>
      <w:r w:rsidRPr="009472DE">
        <w:rPr>
          <w:rFonts w:ascii="Times New Roman" w:hAnsi="Times New Roman" w:cs="Times New Roman"/>
          <w:sz w:val="21"/>
          <w:szCs w:val="21"/>
        </w:rPr>
        <w:t xml:space="preserve">Набиуллина оценила перегрев экономики России — РБК [электронный ресурс] // Сайт </w:t>
      </w:r>
      <w:r w:rsidRPr="009472DE">
        <w:rPr>
          <w:rFonts w:ascii="Times New Roman" w:hAnsi="Times New Roman" w:cs="Times New Roman"/>
          <w:sz w:val="21"/>
          <w:szCs w:val="21"/>
          <w:lang w:val="en-US"/>
        </w:rPr>
        <w:t>rbc</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ru</w:t>
      </w:r>
      <w:r w:rsidRPr="009472DE">
        <w:rPr>
          <w:rFonts w:ascii="Times New Roman" w:hAnsi="Times New Roman" w:cs="Times New Roman"/>
          <w:sz w:val="21"/>
          <w:szCs w:val="21"/>
        </w:rPr>
        <w:t xml:space="preserve">. </w:t>
      </w:r>
      <w:r w:rsidRPr="009472DE">
        <w:rPr>
          <w:rFonts w:ascii="Times New Roman" w:hAnsi="Times New Roman" w:cs="Times New Roman"/>
          <w:sz w:val="21"/>
          <w:szCs w:val="21"/>
          <w:lang w:val="en-US"/>
        </w:rPr>
        <w:t>URL</w:t>
      </w:r>
      <w:r w:rsidRPr="009472DE">
        <w:rPr>
          <w:rFonts w:ascii="Times New Roman" w:hAnsi="Times New Roman" w:cs="Times New Roman"/>
          <w:sz w:val="21"/>
          <w:szCs w:val="21"/>
        </w:rPr>
        <w:t xml:space="preserve">: </w:t>
      </w:r>
      <w:hyperlink r:id="rId73" w:history="1">
        <w:r w:rsidRPr="00B64D5E">
          <w:rPr>
            <w:rStyle w:val="aa"/>
            <w:rFonts w:ascii="Times New Roman" w:hAnsi="Times New Roman" w:cs="Times New Roman"/>
            <w:color w:val="auto"/>
            <w:sz w:val="21"/>
            <w:szCs w:val="21"/>
            <w:u w:val="none"/>
          </w:rPr>
          <w:t>https://www.rbc.ru/finances/07/06/2024/66632ef59a7947dfc40c0b09</w:t>
        </w:r>
      </w:hyperlink>
      <w:r w:rsidRPr="00B64D5E">
        <w:rPr>
          <w:rFonts w:ascii="Times New Roman" w:hAnsi="Times New Roman" w:cs="Times New Roman"/>
          <w:sz w:val="21"/>
          <w:szCs w:val="21"/>
        </w:rPr>
        <w:t xml:space="preserve"> (</w:t>
      </w:r>
      <w:bookmarkStart w:id="2" w:name="_Hlk198388594"/>
      <w:r w:rsidRPr="00B64D5E">
        <w:rPr>
          <w:rFonts w:ascii="Times New Roman" w:hAnsi="Times New Roman" w:cs="Times New Roman"/>
          <w:sz w:val="21"/>
          <w:szCs w:val="21"/>
        </w:rPr>
        <w:t>дата обращения 17.05.2025)</w:t>
      </w:r>
      <w:bookmarkEnd w:id="2"/>
    </w:p>
    <w:p w14:paraId="73A396A2" w14:textId="2FCE87E7" w:rsidR="00877DE5" w:rsidRDefault="00877DE5" w:rsidP="00AD58CD">
      <w:pPr>
        <w:pStyle w:val="a8"/>
        <w:numPr>
          <w:ilvl w:val="0"/>
          <w:numId w:val="6"/>
        </w:numPr>
        <w:tabs>
          <w:tab w:val="left" w:pos="284"/>
        </w:tabs>
        <w:spacing w:after="0" w:line="240" w:lineRule="auto"/>
        <w:ind w:left="0" w:firstLine="0"/>
        <w:jc w:val="both"/>
        <w:rPr>
          <w:rFonts w:ascii="Times New Roman" w:hAnsi="Times New Roman" w:cs="Times New Roman"/>
          <w:sz w:val="21"/>
          <w:szCs w:val="21"/>
        </w:rPr>
      </w:pPr>
      <w:r w:rsidRPr="009472DE">
        <w:rPr>
          <w:rFonts w:ascii="Times New Roman" w:hAnsi="Times New Roman" w:cs="Times New Roman"/>
          <w:sz w:val="21"/>
          <w:szCs w:val="21"/>
        </w:rPr>
        <w:t xml:space="preserve">Перегрев экономики: что это значит и как бороться [электронный ресурс] // Сайт </w:t>
      </w:r>
      <w:r w:rsidRPr="009472DE">
        <w:rPr>
          <w:rFonts w:ascii="Times New Roman" w:hAnsi="Times New Roman" w:cs="Times New Roman"/>
          <w:sz w:val="21"/>
          <w:szCs w:val="21"/>
          <w:lang w:val="en-US"/>
        </w:rPr>
        <w:t>commersant</w:t>
      </w:r>
      <w:r w:rsidRPr="009472DE">
        <w:rPr>
          <w:rFonts w:ascii="Times New Roman" w:hAnsi="Times New Roman" w:cs="Times New Roman"/>
          <w:sz w:val="21"/>
          <w:szCs w:val="21"/>
        </w:rPr>
        <w:t>.</w:t>
      </w:r>
      <w:r w:rsidRPr="009472DE">
        <w:rPr>
          <w:rFonts w:ascii="Times New Roman" w:hAnsi="Times New Roman" w:cs="Times New Roman"/>
          <w:sz w:val="21"/>
          <w:szCs w:val="21"/>
          <w:lang w:val="en-US"/>
        </w:rPr>
        <w:t>ru</w:t>
      </w:r>
      <w:r w:rsidRPr="009472DE">
        <w:rPr>
          <w:rFonts w:ascii="Times New Roman" w:hAnsi="Times New Roman" w:cs="Times New Roman"/>
          <w:sz w:val="21"/>
          <w:szCs w:val="21"/>
        </w:rPr>
        <w:t xml:space="preserve">. </w:t>
      </w:r>
      <w:r w:rsidRPr="009472DE">
        <w:rPr>
          <w:rFonts w:ascii="Times New Roman" w:hAnsi="Times New Roman" w:cs="Times New Roman"/>
          <w:sz w:val="21"/>
          <w:szCs w:val="21"/>
          <w:lang w:val="en-US"/>
        </w:rPr>
        <w:t>URL</w:t>
      </w:r>
      <w:r w:rsidRPr="009472DE">
        <w:rPr>
          <w:rFonts w:ascii="Times New Roman" w:hAnsi="Times New Roman" w:cs="Times New Roman"/>
          <w:sz w:val="21"/>
          <w:szCs w:val="21"/>
        </w:rPr>
        <w:t>: https://www.kommersant.ru/doc/6746537 (дата обращения 16.05.2025)</w:t>
      </w:r>
      <w:r w:rsidR="00B64D5E">
        <w:rPr>
          <w:rFonts w:ascii="Times New Roman" w:hAnsi="Times New Roman" w:cs="Times New Roman"/>
          <w:sz w:val="21"/>
          <w:szCs w:val="21"/>
        </w:rPr>
        <w:t>.</w:t>
      </w:r>
    </w:p>
    <w:p w14:paraId="27C90594" w14:textId="77777777" w:rsidR="00B64D5E" w:rsidRPr="009472DE" w:rsidRDefault="00B64D5E" w:rsidP="00B64D5E">
      <w:pPr>
        <w:pStyle w:val="a8"/>
        <w:spacing w:after="0" w:line="240" w:lineRule="auto"/>
        <w:ind w:left="284"/>
        <w:jc w:val="both"/>
        <w:rPr>
          <w:rFonts w:ascii="Times New Roman" w:hAnsi="Times New Roman" w:cs="Times New Roman"/>
          <w:sz w:val="21"/>
          <w:szCs w:val="21"/>
        </w:rPr>
      </w:pPr>
    </w:p>
    <w:p w14:paraId="65D6AD13" w14:textId="77777777" w:rsidR="00877DE5" w:rsidRDefault="00877DE5" w:rsidP="00067100">
      <w:pPr>
        <w:spacing w:after="0" w:line="240" w:lineRule="auto"/>
        <w:ind w:left="165" w:right="30" w:firstLine="709"/>
        <w:rPr>
          <w:rFonts w:ascii="Times New Roman" w:eastAsia="Times New Roman" w:hAnsi="Times New Roman" w:cs="Times New Roman"/>
          <w:b/>
          <w:color w:val="000000"/>
          <w:sz w:val="21"/>
          <w:lang w:eastAsia="ru-RU"/>
        </w:rPr>
      </w:pPr>
    </w:p>
    <w:p w14:paraId="3414256F" w14:textId="77777777" w:rsidR="00377D07" w:rsidRPr="00B64D5E" w:rsidRDefault="00377D07" w:rsidP="00377D07">
      <w:pPr>
        <w:suppressAutoHyphens/>
        <w:spacing w:after="0" w:line="240" w:lineRule="auto"/>
        <w:jc w:val="both"/>
        <w:rPr>
          <w:rFonts w:ascii="Times New Roman" w:eastAsia="Times New Roman" w:hAnsi="Times New Roman" w:cs="Times New Roman"/>
          <w:b/>
          <w:color w:val="000000"/>
          <w:sz w:val="21"/>
          <w:szCs w:val="21"/>
          <w:lang w:eastAsia="ar-SA"/>
        </w:rPr>
      </w:pPr>
      <w:r w:rsidRPr="00B64D5E">
        <w:rPr>
          <w:rFonts w:ascii="Times New Roman" w:eastAsia="Times New Roman" w:hAnsi="Times New Roman" w:cs="Times New Roman"/>
          <w:b/>
          <w:color w:val="000000"/>
          <w:sz w:val="21"/>
          <w:szCs w:val="21"/>
          <w:lang w:eastAsia="ar-SA"/>
        </w:rPr>
        <w:t xml:space="preserve">УДК 338 </w:t>
      </w:r>
    </w:p>
    <w:p w14:paraId="03ECD3FE" w14:textId="77777777" w:rsidR="00377D07" w:rsidRPr="00B64D5E" w:rsidRDefault="00377D07" w:rsidP="00377D07">
      <w:pPr>
        <w:suppressAutoHyphens/>
        <w:spacing w:after="0" w:line="240" w:lineRule="auto"/>
        <w:jc w:val="right"/>
        <w:rPr>
          <w:rFonts w:ascii="Times New Roman" w:eastAsia="Times New Roman" w:hAnsi="Times New Roman" w:cs="Times New Roman"/>
          <w:b/>
          <w:i/>
          <w:color w:val="000000"/>
          <w:sz w:val="20"/>
          <w:szCs w:val="21"/>
          <w:lang w:val="x-none" w:eastAsia="ar-SA"/>
        </w:rPr>
      </w:pPr>
      <w:r w:rsidRPr="00B64D5E">
        <w:rPr>
          <w:rFonts w:ascii="Times New Roman" w:eastAsia="Times New Roman" w:hAnsi="Times New Roman" w:cs="Times New Roman"/>
          <w:b/>
          <w:i/>
          <w:color w:val="000000"/>
          <w:sz w:val="20"/>
          <w:szCs w:val="21"/>
          <w:lang w:eastAsia="ar-SA"/>
        </w:rPr>
        <w:t>Ламанова А.А</w:t>
      </w:r>
      <w:r w:rsidRPr="00B64D5E">
        <w:rPr>
          <w:rFonts w:ascii="Times New Roman" w:eastAsia="Times New Roman" w:hAnsi="Times New Roman" w:cs="Times New Roman"/>
          <w:b/>
          <w:i/>
          <w:color w:val="000000"/>
          <w:sz w:val="20"/>
          <w:szCs w:val="21"/>
          <w:lang w:val="x-none" w:eastAsia="ar-SA"/>
        </w:rPr>
        <w:t>.</w:t>
      </w:r>
    </w:p>
    <w:p w14:paraId="2F8D6162" w14:textId="77777777" w:rsidR="00377D07" w:rsidRPr="00B64D5E" w:rsidRDefault="00377D07" w:rsidP="00377D07">
      <w:pPr>
        <w:suppressAutoHyphens/>
        <w:spacing w:after="0" w:line="240" w:lineRule="auto"/>
        <w:jc w:val="right"/>
        <w:rPr>
          <w:rFonts w:ascii="Times New Roman" w:eastAsia="Times New Roman" w:hAnsi="Times New Roman" w:cs="Times New Roman"/>
          <w:i/>
          <w:color w:val="000000"/>
          <w:sz w:val="21"/>
          <w:szCs w:val="21"/>
          <w:lang w:eastAsia="ar-SA"/>
        </w:rPr>
      </w:pPr>
      <w:r w:rsidRPr="00B64D5E">
        <w:rPr>
          <w:rFonts w:ascii="Times New Roman" w:eastAsia="Times New Roman" w:hAnsi="Times New Roman" w:cs="Times New Roman"/>
          <w:i/>
          <w:color w:val="000000"/>
          <w:sz w:val="21"/>
          <w:szCs w:val="21"/>
          <w:lang w:eastAsia="ar-SA"/>
        </w:rPr>
        <w:t xml:space="preserve">студент 1 курса </w:t>
      </w:r>
    </w:p>
    <w:p w14:paraId="5DDDC996" w14:textId="77777777" w:rsidR="00377D07" w:rsidRPr="00B64D5E" w:rsidRDefault="00377D07" w:rsidP="00377D07">
      <w:pPr>
        <w:spacing w:after="0" w:line="240" w:lineRule="auto"/>
        <w:jc w:val="right"/>
        <w:rPr>
          <w:rFonts w:ascii="Times New Roman" w:eastAsia="Times New Roman" w:hAnsi="Times New Roman" w:cs="Times New Roman"/>
          <w:i/>
          <w:iCs/>
          <w:sz w:val="20"/>
          <w:szCs w:val="20"/>
        </w:rPr>
      </w:pPr>
      <w:r w:rsidRPr="00B64D5E">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08B694B" w14:textId="77777777" w:rsidR="00377D07" w:rsidRPr="00B64D5E" w:rsidRDefault="00377D07" w:rsidP="00377D07">
      <w:pPr>
        <w:suppressAutoHyphens/>
        <w:spacing w:after="0" w:line="240" w:lineRule="auto"/>
        <w:jc w:val="right"/>
        <w:rPr>
          <w:rFonts w:ascii="Times New Roman" w:eastAsia="Times New Roman" w:hAnsi="Times New Roman" w:cs="Times New Roman"/>
          <w:i/>
          <w:sz w:val="21"/>
          <w:szCs w:val="21"/>
          <w:lang w:eastAsia="ar-SA"/>
        </w:rPr>
      </w:pPr>
      <w:r w:rsidRPr="00B64D5E">
        <w:rPr>
          <w:rFonts w:ascii="Times New Roman" w:eastAsia="Times New Roman" w:hAnsi="Times New Roman" w:cs="Times New Roman"/>
          <w:i/>
          <w:sz w:val="21"/>
          <w:szCs w:val="21"/>
          <w:lang w:eastAsia="ar-SA"/>
        </w:rPr>
        <w:t>г. Краснодар, Россия</w:t>
      </w:r>
    </w:p>
    <w:p w14:paraId="1F532802" w14:textId="77777777" w:rsidR="00377D07" w:rsidRPr="00B64D5E" w:rsidRDefault="00377D07" w:rsidP="00377D07">
      <w:pPr>
        <w:spacing w:after="0" w:line="240" w:lineRule="auto"/>
        <w:jc w:val="right"/>
        <w:rPr>
          <w:rFonts w:ascii="Times New Roman" w:eastAsia="Times New Roman" w:hAnsi="Times New Roman" w:cs="Times New Roman"/>
          <w:i/>
          <w:sz w:val="21"/>
          <w:szCs w:val="21"/>
        </w:rPr>
      </w:pPr>
      <w:r w:rsidRPr="00B64D5E">
        <w:rPr>
          <w:rFonts w:ascii="Times New Roman" w:eastAsia="Times New Roman" w:hAnsi="Times New Roman" w:cs="Times New Roman"/>
          <w:i/>
          <w:sz w:val="21"/>
          <w:szCs w:val="21"/>
        </w:rPr>
        <w:t>е-</w:t>
      </w:r>
      <w:r w:rsidRPr="00B64D5E">
        <w:rPr>
          <w:rFonts w:ascii="Times New Roman" w:eastAsia="Times New Roman" w:hAnsi="Times New Roman" w:cs="Times New Roman"/>
          <w:i/>
          <w:sz w:val="21"/>
          <w:szCs w:val="21"/>
          <w:lang w:val="en-US"/>
        </w:rPr>
        <w:t>mail</w:t>
      </w:r>
      <w:r w:rsidRPr="00B64D5E">
        <w:rPr>
          <w:rFonts w:ascii="Times New Roman" w:eastAsia="Times New Roman" w:hAnsi="Times New Roman" w:cs="Times New Roman"/>
          <w:i/>
          <w:sz w:val="21"/>
          <w:szCs w:val="21"/>
        </w:rPr>
        <w:t xml:space="preserve">: </w:t>
      </w:r>
      <w:r w:rsidRPr="00B64D5E">
        <w:rPr>
          <w:rFonts w:ascii="Times New Roman" w:eastAsia="Times New Roman" w:hAnsi="Times New Roman" w:cs="Times New Roman"/>
          <w:i/>
          <w:iCs/>
          <w:sz w:val="21"/>
          <w:szCs w:val="21"/>
          <w:lang w:val="en-US"/>
        </w:rPr>
        <w:t>lamanovaariena</w:t>
      </w:r>
      <w:r w:rsidRPr="00B64D5E">
        <w:rPr>
          <w:rFonts w:ascii="Times New Roman" w:eastAsia="Times New Roman" w:hAnsi="Times New Roman" w:cs="Times New Roman"/>
          <w:i/>
          <w:iCs/>
          <w:sz w:val="21"/>
          <w:szCs w:val="21"/>
        </w:rPr>
        <w:t>@</w:t>
      </w:r>
      <w:r w:rsidRPr="00B64D5E">
        <w:rPr>
          <w:rFonts w:ascii="Times New Roman" w:eastAsia="Times New Roman" w:hAnsi="Times New Roman" w:cs="Times New Roman"/>
          <w:i/>
          <w:iCs/>
          <w:sz w:val="21"/>
          <w:szCs w:val="21"/>
          <w:lang w:val="en-US"/>
        </w:rPr>
        <w:t>yandex</w:t>
      </w:r>
      <w:r w:rsidRPr="00B64D5E">
        <w:rPr>
          <w:rFonts w:ascii="Times New Roman" w:eastAsia="Times New Roman" w:hAnsi="Times New Roman" w:cs="Times New Roman"/>
          <w:i/>
          <w:iCs/>
          <w:sz w:val="21"/>
          <w:szCs w:val="21"/>
        </w:rPr>
        <w:t>.</w:t>
      </w:r>
      <w:r w:rsidRPr="00B64D5E">
        <w:rPr>
          <w:rFonts w:ascii="Times New Roman" w:eastAsia="Times New Roman" w:hAnsi="Times New Roman" w:cs="Times New Roman"/>
          <w:i/>
          <w:iCs/>
          <w:sz w:val="21"/>
          <w:szCs w:val="21"/>
          <w:lang w:val="en-US"/>
        </w:rPr>
        <w:t>ru</w:t>
      </w:r>
    </w:p>
    <w:p w14:paraId="54328C53" w14:textId="77777777" w:rsidR="00377D07" w:rsidRPr="00B64D5E" w:rsidRDefault="00377D07" w:rsidP="00377D07">
      <w:pPr>
        <w:spacing w:after="0" w:line="240" w:lineRule="auto"/>
        <w:jc w:val="right"/>
        <w:rPr>
          <w:rFonts w:ascii="Times New Roman" w:eastAsia="Times New Roman" w:hAnsi="Times New Roman" w:cs="Times New Roman"/>
          <w:i/>
          <w:sz w:val="21"/>
          <w:szCs w:val="21"/>
        </w:rPr>
      </w:pPr>
    </w:p>
    <w:p w14:paraId="323E1D73" w14:textId="77777777" w:rsidR="00377D07" w:rsidRPr="00B64D5E" w:rsidRDefault="00377D07" w:rsidP="00377D07">
      <w:pPr>
        <w:spacing w:after="0" w:line="240" w:lineRule="auto"/>
        <w:jc w:val="right"/>
        <w:rPr>
          <w:rFonts w:ascii="Times New Roman" w:eastAsia="Times New Roman" w:hAnsi="Times New Roman" w:cs="Times New Roman"/>
          <w:b/>
          <w:i/>
          <w:sz w:val="21"/>
          <w:szCs w:val="21"/>
        </w:rPr>
      </w:pPr>
      <w:r w:rsidRPr="00B64D5E">
        <w:rPr>
          <w:rFonts w:ascii="Times New Roman" w:eastAsia="Times New Roman" w:hAnsi="Times New Roman" w:cs="Times New Roman"/>
          <w:b/>
          <w:i/>
          <w:sz w:val="21"/>
          <w:szCs w:val="21"/>
        </w:rPr>
        <w:t>Научный руководитель:</w:t>
      </w:r>
    </w:p>
    <w:p w14:paraId="13FCA1B1" w14:textId="77777777" w:rsidR="00377D07" w:rsidRPr="00B64D5E" w:rsidRDefault="00377D07" w:rsidP="00377D07">
      <w:pPr>
        <w:spacing w:after="0" w:line="240" w:lineRule="auto"/>
        <w:ind w:left="720"/>
        <w:jc w:val="right"/>
        <w:rPr>
          <w:rFonts w:ascii="Times New Roman" w:eastAsia="Times New Roman" w:hAnsi="Times New Roman" w:cs="Times New Roman"/>
          <w:b/>
          <w:i/>
          <w:sz w:val="21"/>
          <w:szCs w:val="21"/>
        </w:rPr>
      </w:pPr>
      <w:r w:rsidRPr="00B64D5E">
        <w:rPr>
          <w:rFonts w:ascii="Times New Roman" w:eastAsia="Times New Roman" w:hAnsi="Times New Roman" w:cs="Times New Roman"/>
          <w:b/>
          <w:i/>
          <w:sz w:val="21"/>
          <w:szCs w:val="21"/>
        </w:rPr>
        <w:t>Радченко Мария Викторовна</w:t>
      </w:r>
    </w:p>
    <w:p w14:paraId="5DD3BFC4" w14:textId="77777777" w:rsidR="00377D07" w:rsidRPr="00B64D5E" w:rsidRDefault="00377D07" w:rsidP="00377D07">
      <w:pPr>
        <w:spacing w:after="0" w:line="240" w:lineRule="auto"/>
        <w:ind w:left="720"/>
        <w:jc w:val="right"/>
        <w:rPr>
          <w:rFonts w:ascii="Times New Roman" w:eastAsia="Times New Roman" w:hAnsi="Times New Roman" w:cs="Times New Roman"/>
          <w:bCs/>
          <w:i/>
          <w:sz w:val="21"/>
          <w:szCs w:val="21"/>
        </w:rPr>
      </w:pPr>
      <w:r w:rsidRPr="00B64D5E">
        <w:rPr>
          <w:rFonts w:ascii="Times New Roman" w:eastAsia="Times New Roman" w:hAnsi="Times New Roman" w:cs="Times New Roman"/>
          <w:bCs/>
          <w:i/>
          <w:sz w:val="21"/>
          <w:szCs w:val="21"/>
        </w:rPr>
        <w:t>Кандидат экономических наук</w:t>
      </w:r>
    </w:p>
    <w:p w14:paraId="1F70B273" w14:textId="77777777" w:rsidR="00377D07" w:rsidRPr="00B64D5E" w:rsidRDefault="00377D07" w:rsidP="00377D07">
      <w:pPr>
        <w:spacing w:after="0" w:line="240" w:lineRule="auto"/>
        <w:jc w:val="right"/>
        <w:rPr>
          <w:rFonts w:ascii="Times New Roman" w:eastAsia="Times New Roman" w:hAnsi="Times New Roman" w:cs="Times New Roman"/>
          <w:i/>
          <w:iCs/>
          <w:sz w:val="20"/>
          <w:szCs w:val="20"/>
        </w:rPr>
      </w:pPr>
      <w:r w:rsidRPr="00B64D5E">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17A9D00" w14:textId="77777777" w:rsidR="00377D07" w:rsidRPr="00B64D5E" w:rsidRDefault="00377D07" w:rsidP="00377D07">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B64D5E">
        <w:rPr>
          <w:rFonts w:ascii="Times New Roman" w:eastAsia="Times New Roman" w:hAnsi="Times New Roman" w:cs="Times New Roman"/>
          <w:i/>
          <w:sz w:val="21"/>
          <w:szCs w:val="21"/>
          <w:lang w:eastAsia="ar-SA"/>
        </w:rPr>
        <w:t>г. Краснодар, Россияе-</w:t>
      </w:r>
    </w:p>
    <w:p w14:paraId="17E5DDD2" w14:textId="77777777" w:rsidR="00377D07" w:rsidRPr="00B64D5E" w:rsidRDefault="00377D07" w:rsidP="00377D07">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B64D5E">
        <w:rPr>
          <w:rFonts w:ascii="Times New Roman" w:eastAsia="Times New Roman" w:hAnsi="Times New Roman" w:cs="Times New Roman"/>
          <w:i/>
          <w:sz w:val="21"/>
          <w:szCs w:val="21"/>
          <w:lang w:val="en-US" w:eastAsia="ar-SA"/>
        </w:rPr>
        <w:t>mail</w:t>
      </w:r>
      <w:r w:rsidRPr="00B64D5E">
        <w:rPr>
          <w:rFonts w:ascii="Times New Roman" w:eastAsia="Times New Roman" w:hAnsi="Times New Roman" w:cs="Times New Roman"/>
          <w:i/>
          <w:sz w:val="21"/>
          <w:szCs w:val="21"/>
          <w:lang w:eastAsia="ar-SA"/>
        </w:rPr>
        <w:t xml:space="preserve">: </w:t>
      </w:r>
      <w:hyperlink r:id="rId74" w:history="1">
        <w:r w:rsidRPr="00B64D5E">
          <w:rPr>
            <w:rFonts w:ascii="Times New Roman" w:eastAsia="Times New Roman" w:hAnsi="Times New Roman" w:cs="Times New Roman"/>
            <w:i/>
            <w:sz w:val="21"/>
            <w:szCs w:val="21"/>
            <w:lang w:val="x-none" w:eastAsia="ar-SA"/>
          </w:rPr>
          <w:t>MVRadchenko@fa.ru</w:t>
        </w:r>
      </w:hyperlink>
    </w:p>
    <w:p w14:paraId="687B8C71" w14:textId="77777777" w:rsidR="00377D07" w:rsidRPr="00B64D5E" w:rsidRDefault="00377D07" w:rsidP="00377D07">
      <w:pPr>
        <w:suppressAutoHyphens/>
        <w:spacing w:after="0" w:line="240" w:lineRule="auto"/>
        <w:jc w:val="right"/>
        <w:textAlignment w:val="baseline"/>
        <w:rPr>
          <w:rFonts w:ascii="Times New Roman" w:eastAsia="Times New Roman" w:hAnsi="Times New Roman" w:cs="Times New Roman"/>
          <w:i/>
          <w:sz w:val="21"/>
          <w:szCs w:val="21"/>
          <w:lang w:eastAsia="ar-SA"/>
        </w:rPr>
      </w:pPr>
    </w:p>
    <w:p w14:paraId="66C7AC02" w14:textId="77777777" w:rsidR="00377D07" w:rsidRPr="00B64D5E" w:rsidRDefault="00377D07" w:rsidP="00377D07">
      <w:pPr>
        <w:spacing w:after="0" w:line="240" w:lineRule="auto"/>
        <w:jc w:val="center"/>
        <w:rPr>
          <w:rFonts w:ascii="Times New Roman" w:eastAsia="Times New Roman" w:hAnsi="Times New Roman" w:cs="Times New Roman"/>
          <w:b/>
          <w:sz w:val="21"/>
          <w:szCs w:val="21"/>
          <w:lang w:eastAsia="ar-SA"/>
        </w:rPr>
      </w:pPr>
      <w:r w:rsidRPr="00B64D5E">
        <w:rPr>
          <w:rFonts w:ascii="Times New Roman" w:eastAsia="Times New Roman" w:hAnsi="Times New Roman" w:cs="Times New Roman"/>
          <w:b/>
          <w:sz w:val="21"/>
          <w:szCs w:val="21"/>
          <w:lang w:eastAsia="ar-SA"/>
        </w:rPr>
        <w:t>Виды инвестиций в человеческий капитал и оценка их эффективности</w:t>
      </w:r>
    </w:p>
    <w:p w14:paraId="151EA438" w14:textId="77777777" w:rsidR="00377D07" w:rsidRPr="005C518B" w:rsidRDefault="00377D07" w:rsidP="00377D07">
      <w:pPr>
        <w:spacing w:after="0" w:line="240" w:lineRule="auto"/>
        <w:ind w:firstLine="567"/>
        <w:jc w:val="both"/>
        <w:rPr>
          <w:rFonts w:ascii="Times New Roman" w:eastAsia="Times New Roman" w:hAnsi="Times New Roman" w:cs="Times New Roman"/>
          <w:i/>
          <w:sz w:val="21"/>
          <w:szCs w:val="21"/>
          <w:shd w:val="clear" w:color="auto" w:fill="00FFFF"/>
        </w:rPr>
      </w:pPr>
    </w:p>
    <w:p w14:paraId="538EA380" w14:textId="77777777" w:rsidR="00377D07" w:rsidRPr="005C518B" w:rsidRDefault="00377D07" w:rsidP="00377D07">
      <w:pPr>
        <w:spacing w:after="0" w:line="240" w:lineRule="auto"/>
        <w:ind w:firstLine="567"/>
        <w:jc w:val="both"/>
        <w:rPr>
          <w:rFonts w:ascii="Times New Roman" w:eastAsia="Times New Roman" w:hAnsi="Times New Roman" w:cs="Times New Roman"/>
          <w:iCs/>
          <w:sz w:val="21"/>
          <w:szCs w:val="21"/>
        </w:rPr>
      </w:pPr>
      <w:r w:rsidRPr="005C518B">
        <w:rPr>
          <w:rFonts w:ascii="Times New Roman" w:eastAsia="Times New Roman" w:hAnsi="Times New Roman" w:cs="Times New Roman"/>
          <w:b/>
          <w:sz w:val="21"/>
          <w:szCs w:val="21"/>
        </w:rPr>
        <w:t>Аннотация:</w:t>
      </w:r>
      <w:r w:rsidRPr="005C518B">
        <w:rPr>
          <w:rFonts w:ascii="Times New Roman" w:eastAsia="Times New Roman" w:hAnsi="Times New Roman" w:cs="Times New Roman"/>
          <w:i/>
          <w:sz w:val="21"/>
          <w:szCs w:val="21"/>
        </w:rPr>
        <w:t xml:space="preserve"> </w:t>
      </w:r>
      <w:r w:rsidRPr="005C518B">
        <w:rPr>
          <w:rFonts w:ascii="Times New Roman" w:eastAsia="Times New Roman" w:hAnsi="Times New Roman" w:cs="Times New Roman"/>
          <w:iCs/>
          <w:sz w:val="21"/>
          <w:szCs w:val="21"/>
        </w:rPr>
        <w:t>В статье исследуются виды инвестиций в человеческий капитал в России и их эффективность, фокусируясь на сфере образования, профессионального развития и здравоохранения. Анализируются теоретические и практические аспекты инвестиций, а также их влияние на ключевые отрасли экономики, такие как информационные технологии и промышленность, на основе анализа нормативно-правовых актов и статистики за 2022–2024 годы. В работе выявляются проблемы, такие как ограниченный доступ к финансированию и дефицит квалифицированных кадров, и делаются выводы о важности инвестиций в человеческий капитал для экономической устойчивости России с рекомендациями по улучшению государственной политики, что будет полезно студентам, преподавателям и представителям власти.</w:t>
      </w:r>
    </w:p>
    <w:p w14:paraId="22235751" w14:textId="77777777" w:rsidR="00377D07" w:rsidRPr="005C518B" w:rsidRDefault="00377D07" w:rsidP="00377D07">
      <w:pPr>
        <w:spacing w:after="0" w:line="240" w:lineRule="auto"/>
        <w:ind w:firstLine="567"/>
        <w:jc w:val="both"/>
        <w:rPr>
          <w:rFonts w:ascii="Times New Roman" w:eastAsia="Times New Roman" w:hAnsi="Times New Roman" w:cs="Times New Roman"/>
          <w:sz w:val="21"/>
          <w:szCs w:val="21"/>
        </w:rPr>
      </w:pPr>
      <w:r w:rsidRPr="005C518B">
        <w:rPr>
          <w:rFonts w:ascii="Times New Roman" w:eastAsia="Times New Roman" w:hAnsi="Times New Roman" w:cs="Times New Roman"/>
          <w:b/>
          <w:sz w:val="21"/>
          <w:szCs w:val="21"/>
        </w:rPr>
        <w:t>Ключевые слова:</w:t>
      </w:r>
      <w:r w:rsidRPr="005C518B">
        <w:rPr>
          <w:rFonts w:ascii="Times New Roman" w:eastAsia="Times New Roman" w:hAnsi="Times New Roman" w:cs="Times New Roman"/>
          <w:sz w:val="21"/>
          <w:szCs w:val="21"/>
        </w:rPr>
        <w:t xml:space="preserve"> человеческий капитал, инвестиции, образование, профессиональная подготовка здравоохранение, производительность, социальные навыки, эффективность.</w:t>
      </w:r>
    </w:p>
    <w:p w14:paraId="40D994E5" w14:textId="77777777" w:rsidR="00377D07" w:rsidRPr="005C518B" w:rsidRDefault="00377D07" w:rsidP="00377D07">
      <w:pPr>
        <w:spacing w:after="0" w:line="240" w:lineRule="auto"/>
        <w:ind w:firstLine="567"/>
        <w:jc w:val="both"/>
        <w:rPr>
          <w:rFonts w:ascii="Times New Roman" w:eastAsia="Times New Roman" w:hAnsi="Times New Roman" w:cs="Times New Roman"/>
          <w:sz w:val="21"/>
          <w:szCs w:val="21"/>
        </w:rPr>
      </w:pPr>
    </w:p>
    <w:p w14:paraId="7631E031" w14:textId="77777777" w:rsidR="00377D07" w:rsidRPr="005C518B" w:rsidRDefault="00377D07" w:rsidP="00377D07">
      <w:pPr>
        <w:suppressAutoHyphens/>
        <w:spacing w:after="0" w:line="240" w:lineRule="auto"/>
        <w:ind w:firstLine="567"/>
        <w:jc w:val="right"/>
        <w:rPr>
          <w:rFonts w:ascii="Times New Roman" w:eastAsia="Times New Roman" w:hAnsi="Times New Roman" w:cs="Times New Roman"/>
          <w:i/>
          <w:iCs/>
          <w:sz w:val="21"/>
          <w:szCs w:val="21"/>
          <w:lang w:val="x-none" w:eastAsia="ar-SA"/>
        </w:rPr>
      </w:pPr>
      <w:r w:rsidRPr="005C518B">
        <w:rPr>
          <w:rFonts w:ascii="Times New Roman" w:eastAsia="Times New Roman" w:hAnsi="Times New Roman" w:cs="Times New Roman"/>
          <w:b/>
          <w:bCs/>
          <w:i/>
          <w:iCs/>
          <w:sz w:val="21"/>
          <w:szCs w:val="21"/>
          <w:lang w:val="x-none" w:eastAsia="ar-SA"/>
        </w:rPr>
        <w:t>Lamanova A.A.</w:t>
      </w:r>
      <w:r w:rsidRPr="005C518B">
        <w:rPr>
          <w:rFonts w:ascii="Times New Roman" w:eastAsia="Times New Roman" w:hAnsi="Times New Roman" w:cs="Times New Roman"/>
          <w:i/>
          <w:iCs/>
          <w:sz w:val="21"/>
          <w:szCs w:val="21"/>
          <w:lang w:val="x-none" w:eastAsia="ar-SA"/>
        </w:rPr>
        <w:br/>
        <w:t>1st year student</w:t>
      </w:r>
      <w:r w:rsidRPr="005C518B">
        <w:rPr>
          <w:rFonts w:ascii="Times New Roman" w:eastAsia="Times New Roman" w:hAnsi="Times New Roman" w:cs="Times New Roman"/>
          <w:i/>
          <w:iCs/>
          <w:sz w:val="21"/>
          <w:szCs w:val="21"/>
          <w:lang w:val="x-none" w:eastAsia="ar-SA"/>
        </w:rPr>
        <w:br/>
        <w:t>Federal State Budgetary Educational Institution of Higher Education “Financial University under the Government of the Russian Federation”</w:t>
      </w:r>
      <w:r w:rsidRPr="005C518B">
        <w:rPr>
          <w:rFonts w:ascii="Times New Roman" w:eastAsia="Times New Roman" w:hAnsi="Times New Roman" w:cs="Times New Roman"/>
          <w:i/>
          <w:iCs/>
          <w:sz w:val="21"/>
          <w:szCs w:val="21"/>
          <w:lang w:val="x-none" w:eastAsia="ar-SA"/>
        </w:rPr>
        <w:br/>
        <w:t>Krasnodar, Russia</w:t>
      </w:r>
      <w:r w:rsidRPr="005C518B">
        <w:rPr>
          <w:rFonts w:ascii="Times New Roman" w:eastAsia="Times New Roman" w:hAnsi="Times New Roman" w:cs="Times New Roman"/>
          <w:i/>
          <w:iCs/>
          <w:sz w:val="21"/>
          <w:szCs w:val="21"/>
          <w:lang w:val="x-none" w:eastAsia="ar-SA"/>
        </w:rPr>
        <w:br/>
        <w:t xml:space="preserve">е-mail: </w:t>
      </w:r>
      <w:r w:rsidRPr="005C518B">
        <w:rPr>
          <w:rFonts w:ascii="Times New Roman" w:eastAsia="Times New Roman" w:hAnsi="Times New Roman" w:cs="Times New Roman"/>
          <w:i/>
          <w:iCs/>
          <w:sz w:val="21"/>
          <w:szCs w:val="21"/>
          <w:u w:val="single"/>
          <w:lang w:val="en-US" w:eastAsia="ar-SA"/>
        </w:rPr>
        <w:t>lamanovaariena@yandex.ru</w:t>
      </w:r>
    </w:p>
    <w:p w14:paraId="7272B12F" w14:textId="77777777" w:rsidR="00377D07" w:rsidRPr="005C518B" w:rsidRDefault="00377D07" w:rsidP="00377D07">
      <w:pPr>
        <w:suppressAutoHyphens/>
        <w:spacing w:after="0" w:line="240" w:lineRule="auto"/>
        <w:ind w:firstLine="567"/>
        <w:jc w:val="right"/>
        <w:rPr>
          <w:rFonts w:ascii="Times New Roman" w:eastAsia="Times New Roman" w:hAnsi="Times New Roman" w:cs="Times New Roman"/>
          <w:i/>
          <w:iCs/>
          <w:sz w:val="21"/>
          <w:szCs w:val="21"/>
          <w:lang w:val="en-US" w:eastAsia="ar-SA"/>
        </w:rPr>
      </w:pPr>
    </w:p>
    <w:p w14:paraId="35043BCE" w14:textId="77777777" w:rsidR="00377D07" w:rsidRPr="005C518B" w:rsidRDefault="00377D07" w:rsidP="00377D07">
      <w:pPr>
        <w:suppressAutoHyphens/>
        <w:spacing w:after="0" w:line="240" w:lineRule="auto"/>
        <w:ind w:firstLine="567"/>
        <w:jc w:val="right"/>
        <w:rPr>
          <w:rFonts w:ascii="Times New Roman" w:eastAsia="Times New Roman" w:hAnsi="Times New Roman" w:cs="Times New Roman"/>
          <w:i/>
          <w:iCs/>
          <w:sz w:val="21"/>
          <w:szCs w:val="21"/>
          <w:lang w:val="en-US" w:eastAsia="ar-SA"/>
        </w:rPr>
      </w:pPr>
      <w:r w:rsidRPr="005C518B">
        <w:rPr>
          <w:rFonts w:ascii="Times New Roman" w:eastAsia="Times New Roman" w:hAnsi="Times New Roman" w:cs="Times New Roman"/>
          <w:b/>
          <w:bCs/>
          <w:i/>
          <w:iCs/>
          <w:sz w:val="21"/>
          <w:szCs w:val="21"/>
          <w:lang w:val="x-none" w:eastAsia="ar-SA"/>
        </w:rPr>
        <w:t>Scientific Adviser:</w:t>
      </w:r>
      <w:r w:rsidRPr="005C518B">
        <w:rPr>
          <w:rFonts w:ascii="Times New Roman" w:eastAsia="Times New Roman" w:hAnsi="Times New Roman" w:cs="Times New Roman"/>
          <w:b/>
          <w:bCs/>
          <w:i/>
          <w:iCs/>
          <w:sz w:val="21"/>
          <w:szCs w:val="21"/>
          <w:lang w:val="x-none" w:eastAsia="ar-SA"/>
        </w:rPr>
        <w:br/>
        <w:t>Radchenko M.V</w:t>
      </w:r>
      <w:r w:rsidRPr="005C518B">
        <w:rPr>
          <w:rFonts w:ascii="Times New Roman" w:eastAsia="Times New Roman" w:hAnsi="Times New Roman" w:cs="Times New Roman"/>
          <w:i/>
          <w:iCs/>
          <w:sz w:val="21"/>
          <w:szCs w:val="21"/>
          <w:lang w:val="x-none" w:eastAsia="ar-SA"/>
        </w:rPr>
        <w:t>.,</w:t>
      </w:r>
      <w:r w:rsidRPr="005C518B">
        <w:rPr>
          <w:rFonts w:ascii="Times New Roman" w:eastAsia="Times New Roman" w:hAnsi="Times New Roman" w:cs="Times New Roman"/>
          <w:i/>
          <w:iCs/>
          <w:sz w:val="21"/>
          <w:szCs w:val="21"/>
          <w:lang w:val="x-none" w:eastAsia="ar-SA"/>
        </w:rPr>
        <w:br/>
      </w:r>
      <w:r w:rsidRPr="005C518B">
        <w:rPr>
          <w:rFonts w:ascii="Times New Roman" w:eastAsia="Times New Roman" w:hAnsi="Times New Roman" w:cs="Times New Roman"/>
          <w:i/>
          <w:iCs/>
          <w:sz w:val="21"/>
          <w:szCs w:val="21"/>
          <w:lang w:val="x-none" w:eastAsia="ar-SA"/>
        </w:rPr>
        <w:lastRenderedPageBreak/>
        <w:t>Candidate of Economic Sciences</w:t>
      </w:r>
      <w:r w:rsidRPr="005C518B">
        <w:rPr>
          <w:rFonts w:ascii="Times New Roman" w:eastAsia="Times New Roman" w:hAnsi="Times New Roman" w:cs="Times New Roman"/>
          <w:i/>
          <w:iCs/>
          <w:sz w:val="21"/>
          <w:szCs w:val="21"/>
          <w:lang w:val="x-none" w:eastAsia="ar-SA"/>
        </w:rPr>
        <w:br/>
        <w:t>Federal State Budgetary Educational Institution of Higher Education “Financial University under the Government of the Russian Federation”</w:t>
      </w:r>
      <w:r w:rsidRPr="005C518B">
        <w:rPr>
          <w:rFonts w:ascii="Times New Roman" w:eastAsia="Times New Roman" w:hAnsi="Times New Roman" w:cs="Times New Roman"/>
          <w:i/>
          <w:iCs/>
          <w:sz w:val="21"/>
          <w:szCs w:val="21"/>
          <w:lang w:val="x-none" w:eastAsia="ar-SA"/>
        </w:rPr>
        <w:br/>
        <w:t>Krasnodar, Russia</w:t>
      </w:r>
      <w:r w:rsidRPr="005C518B">
        <w:rPr>
          <w:rFonts w:ascii="Times New Roman" w:eastAsia="Times New Roman" w:hAnsi="Times New Roman" w:cs="Times New Roman"/>
          <w:i/>
          <w:iCs/>
          <w:sz w:val="21"/>
          <w:szCs w:val="21"/>
          <w:lang w:val="x-none" w:eastAsia="ar-SA"/>
        </w:rPr>
        <w:br/>
        <w:t xml:space="preserve">е-mail: </w:t>
      </w:r>
      <w:hyperlink r:id="rId75" w:tgtFrame="_blank" w:history="1">
        <w:r w:rsidRPr="005C518B">
          <w:rPr>
            <w:rFonts w:ascii="Times New Roman" w:eastAsia="Times New Roman" w:hAnsi="Times New Roman" w:cs="Times New Roman"/>
            <w:i/>
            <w:iCs/>
            <w:color w:val="0000FF"/>
            <w:sz w:val="21"/>
            <w:szCs w:val="21"/>
            <w:u w:val="single"/>
            <w:lang w:val="x-none" w:eastAsia="ar-SA"/>
          </w:rPr>
          <w:t>MVRadchenko@fa.ru</w:t>
        </w:r>
      </w:hyperlink>
    </w:p>
    <w:p w14:paraId="7E771EAE" w14:textId="77777777" w:rsidR="00377D07" w:rsidRPr="005C518B" w:rsidRDefault="00377D07" w:rsidP="00377D07">
      <w:pPr>
        <w:spacing w:after="0" w:line="240" w:lineRule="auto"/>
        <w:ind w:firstLine="567"/>
        <w:jc w:val="right"/>
        <w:rPr>
          <w:rFonts w:ascii="Times New Roman" w:eastAsia="Times New Roman" w:hAnsi="Times New Roman" w:cs="Times New Roman"/>
          <w:sz w:val="21"/>
          <w:szCs w:val="21"/>
          <w:lang w:val="en-US" w:eastAsia="ar-SA"/>
        </w:rPr>
      </w:pPr>
    </w:p>
    <w:p w14:paraId="3AE0F90A" w14:textId="77777777" w:rsidR="00377D07" w:rsidRPr="00656AA8" w:rsidRDefault="00377D07" w:rsidP="00377D07">
      <w:pPr>
        <w:suppressAutoHyphens/>
        <w:spacing w:after="0" w:line="240" w:lineRule="auto"/>
        <w:ind w:firstLine="567"/>
        <w:jc w:val="center"/>
        <w:rPr>
          <w:rFonts w:ascii="Times New Roman" w:eastAsia="Times New Roman" w:hAnsi="Times New Roman" w:cs="Times New Roman"/>
          <w:b/>
          <w:bCs/>
          <w:sz w:val="21"/>
          <w:szCs w:val="21"/>
          <w:lang w:val="en-US" w:eastAsia="ar-SA"/>
        </w:rPr>
      </w:pPr>
      <w:r w:rsidRPr="005C518B">
        <w:rPr>
          <w:rFonts w:ascii="Times New Roman" w:eastAsia="Times New Roman" w:hAnsi="Times New Roman" w:cs="Times New Roman"/>
          <w:b/>
          <w:bCs/>
          <w:sz w:val="21"/>
          <w:szCs w:val="21"/>
          <w:lang w:val="x-none" w:eastAsia="ar-SA"/>
        </w:rPr>
        <w:t>Types of Investments in Human Capital and Their Effectiveness Assessment</w:t>
      </w:r>
    </w:p>
    <w:p w14:paraId="63BEC9F9" w14:textId="77777777" w:rsidR="00377D07" w:rsidRPr="00656AA8" w:rsidRDefault="00377D07" w:rsidP="00377D07">
      <w:pPr>
        <w:suppressAutoHyphens/>
        <w:spacing w:after="0" w:line="240" w:lineRule="auto"/>
        <w:ind w:firstLine="567"/>
        <w:jc w:val="center"/>
        <w:rPr>
          <w:rFonts w:ascii="Times New Roman" w:eastAsia="Times New Roman" w:hAnsi="Times New Roman" w:cs="Times New Roman"/>
          <w:b/>
          <w:bCs/>
          <w:sz w:val="21"/>
          <w:szCs w:val="21"/>
          <w:lang w:val="en-US" w:eastAsia="ar-SA"/>
        </w:rPr>
      </w:pPr>
    </w:p>
    <w:p w14:paraId="29575164" w14:textId="77777777" w:rsidR="00377D07" w:rsidRPr="005C518B" w:rsidRDefault="00377D07" w:rsidP="00377D07">
      <w:pPr>
        <w:spacing w:after="0" w:line="240" w:lineRule="auto"/>
        <w:ind w:firstLine="567"/>
        <w:jc w:val="both"/>
        <w:rPr>
          <w:rFonts w:ascii="Times New Roman" w:eastAsia="Times New Roman" w:hAnsi="Times New Roman" w:cs="Times New Roman"/>
          <w:sz w:val="21"/>
          <w:szCs w:val="21"/>
          <w:lang w:val="en-US" w:eastAsia="ar-SA"/>
        </w:rPr>
      </w:pPr>
      <w:r w:rsidRPr="005C518B">
        <w:rPr>
          <w:rFonts w:ascii="Times New Roman" w:eastAsia="Times New Roman" w:hAnsi="Times New Roman" w:cs="Times New Roman"/>
          <w:b/>
          <w:bCs/>
          <w:sz w:val="21"/>
          <w:szCs w:val="21"/>
          <w:lang w:val="x-none" w:eastAsia="ar-SA"/>
        </w:rPr>
        <w:t xml:space="preserve">Abstract: </w:t>
      </w:r>
      <w:r w:rsidRPr="005C518B">
        <w:rPr>
          <w:rFonts w:ascii="Times New Roman" w:eastAsia="Times New Roman" w:hAnsi="Times New Roman" w:cs="Times New Roman"/>
          <w:sz w:val="21"/>
          <w:szCs w:val="21"/>
          <w:lang w:val="en-US" w:eastAsia="ar-SA"/>
        </w:rPr>
        <w:t>The article explores the types of investments in human capital in Russia and their effectiveness, focusing on education, professional development, and healthcare. It analyzes the theoretical and practical aspects of these investments, as well as their impact on key economic sectors such as information technology and industry, based on the analysis of regulatory acts and statistics for 2022–2024. The paper identifies issues such as limited access to funding and a shortage of qualified personnel, and concludes the importance of investing in human capital for Russia's economic stability, offering recommendations for improving government policy, which will be useful for students, educators, and policymakers.</w:t>
      </w:r>
    </w:p>
    <w:p w14:paraId="15DA2D71" w14:textId="77777777" w:rsidR="00377D07" w:rsidRPr="005C518B" w:rsidRDefault="00377D07" w:rsidP="00377D07">
      <w:pPr>
        <w:spacing w:after="0" w:line="240" w:lineRule="auto"/>
        <w:ind w:firstLine="567"/>
        <w:jc w:val="both"/>
        <w:rPr>
          <w:rFonts w:ascii="Times New Roman" w:eastAsia="Times New Roman" w:hAnsi="Times New Roman" w:cs="Times New Roman"/>
          <w:sz w:val="21"/>
          <w:szCs w:val="21"/>
          <w:lang w:val="x-none" w:eastAsia="ar-SA"/>
        </w:rPr>
      </w:pPr>
      <w:r w:rsidRPr="005C518B">
        <w:rPr>
          <w:rFonts w:ascii="Times New Roman" w:eastAsia="Times New Roman" w:hAnsi="Times New Roman" w:cs="Times New Roman"/>
          <w:b/>
          <w:bCs/>
          <w:sz w:val="21"/>
          <w:szCs w:val="21"/>
          <w:lang w:val="x-none" w:eastAsia="ar-SA"/>
        </w:rPr>
        <w:t xml:space="preserve">Keywords: </w:t>
      </w:r>
      <w:r w:rsidRPr="005C518B">
        <w:rPr>
          <w:rFonts w:ascii="Times New Roman" w:eastAsia="Times New Roman" w:hAnsi="Times New Roman" w:cs="Times New Roman"/>
          <w:sz w:val="21"/>
          <w:szCs w:val="21"/>
          <w:lang w:val="x-none" w:eastAsia="ar-SA"/>
        </w:rPr>
        <w:t>Human capital, investments, education, professional development, healthcare, productivity, social skills, effectiveness.</w:t>
      </w:r>
    </w:p>
    <w:p w14:paraId="6E0DFFCC" w14:textId="77777777" w:rsidR="00377D07" w:rsidRPr="005C518B" w:rsidRDefault="00377D07" w:rsidP="00377D07">
      <w:pPr>
        <w:spacing w:after="0" w:line="240" w:lineRule="auto"/>
        <w:rPr>
          <w:rFonts w:ascii="Times New Roman" w:eastAsia="Times New Roman" w:hAnsi="Times New Roman" w:cs="Times New Roman"/>
          <w:sz w:val="21"/>
          <w:szCs w:val="21"/>
          <w:lang w:val="x-none" w:eastAsia="ar-SA"/>
        </w:rPr>
      </w:pPr>
    </w:p>
    <w:p w14:paraId="2A1B1458" w14:textId="77777777" w:rsidR="00377D07" w:rsidRPr="005C518B" w:rsidRDefault="00377D07" w:rsidP="00377D07">
      <w:pPr>
        <w:spacing w:after="0" w:line="240" w:lineRule="auto"/>
        <w:rPr>
          <w:rFonts w:ascii="Times New Roman" w:eastAsia="Times New Roman" w:hAnsi="Times New Roman" w:cs="Times New Roman"/>
          <w:sz w:val="24"/>
          <w:szCs w:val="24"/>
          <w:lang w:val="en-US" w:eastAsia="ar-SA"/>
        </w:rPr>
      </w:pPr>
    </w:p>
    <w:p w14:paraId="6BE848B6"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Человеческий капитал — это совокупность знаний, навыков, способностей и здоровья, которые позволяют создавать экономическую ценность. Он требует инвестиций для развития и приносит отдачу в виде повышения эффективности труда и экономического роста. Инвестиции в человеческий капитал включают затраты на образование, профессиональную подготовку, здравоохранение и социальные навыки, реализуемые на государственных, корпоративных и индивидуальных уровнях. Человеческий капитал усиливает эффективность использования физического капитала и играет ключевую роль в инновационной деятельности. Кроме того, здоровье работников напрямую влияет на их производительность, подчеркивая необходимость комплексного подхода к управлению этим ресурсом.</w:t>
      </w:r>
    </w:p>
    <w:p w14:paraId="493A58AA" w14:textId="77777777" w:rsidR="00377D07" w:rsidRPr="005C518B" w:rsidRDefault="00377D07" w:rsidP="00B64D5E">
      <w:pPr>
        <w:suppressAutoHyphens/>
        <w:spacing w:after="0" w:line="240" w:lineRule="auto"/>
        <w:ind w:firstLine="709"/>
        <w:jc w:val="both"/>
        <w:rPr>
          <w:rFonts w:ascii="Calibri" w:eastAsia="Times New Roman" w:hAnsi="Calibri" w:cs="Times New Roman"/>
          <w:sz w:val="24"/>
          <w:szCs w:val="24"/>
          <w:lang w:eastAsia="ar-SA"/>
        </w:rPr>
      </w:pPr>
      <w:r w:rsidRPr="005C518B">
        <w:rPr>
          <w:rFonts w:ascii="Times New Roman" w:eastAsia="Times New Roman" w:hAnsi="Times New Roman" w:cs="Times New Roman"/>
          <w:sz w:val="32"/>
          <w:szCs w:val="32"/>
          <w:lang w:eastAsia="ar-SA"/>
        </w:rPr>
        <w:t>Образование, включая школьное и высшее, повышает производительность труда и способствует социальной мобильности, обеспечивая работникам инструменты для выполнения сложных задач. Профессиональная подготовка развивается на корпоративном уровне и ориентирована на конкретные навыки, что особенно полезно при быстрых технологических изменениях. Инвестиции в здравоохранение способствуют поддержанию физического и психического благополучия работников, что напрямую влияет на их производительность и активность на рынке труда. Развитие социальных навыков, таких как коммуникация и лидерство, становится важным в условиях глобализации и цифровизации, повышая эффективность взаимодействия работников и внутреннюю культуру в компаниях</w:t>
      </w:r>
      <w:r w:rsidRPr="00656AA8">
        <w:rPr>
          <w:rFonts w:ascii="Times New Roman" w:eastAsia="Times New Roman" w:hAnsi="Times New Roman" w:cs="Times New Roman"/>
          <w:sz w:val="32"/>
          <w:szCs w:val="32"/>
          <w:lang w:eastAsia="ar-SA"/>
        </w:rPr>
        <w:t xml:space="preserve"> [1]</w:t>
      </w:r>
      <w:r w:rsidRPr="005C518B">
        <w:rPr>
          <w:rFonts w:ascii="Times New Roman" w:eastAsia="Times New Roman" w:hAnsi="Times New Roman" w:cs="Times New Roman"/>
          <w:sz w:val="32"/>
          <w:szCs w:val="32"/>
          <w:lang w:eastAsia="ar-SA"/>
        </w:rPr>
        <w:t>.</w:t>
      </w:r>
      <w:r w:rsidRPr="005C518B">
        <w:rPr>
          <w:rFonts w:ascii="Calibri" w:eastAsia="Times New Roman" w:hAnsi="Calibri" w:cs="Times New Roman"/>
          <w:sz w:val="24"/>
          <w:szCs w:val="24"/>
          <w:lang w:val="x-none" w:eastAsia="ar-SA"/>
        </w:rPr>
        <w:t xml:space="preserve"> </w:t>
      </w:r>
    </w:p>
    <w:p w14:paraId="5E6856FC"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lastRenderedPageBreak/>
        <w:t>Оценка эффективности инвестиций в человеческий капитал является важнейшим элементом управления этим ресурсом, поскольку позволяет определить, насколько оправданы вложенные средства. В экономической науке разработано множество методов для измерения отдачи от таких инвестиций на уровне отдельных людей, компаний и общества в целом, учитывающих как количественные, так и качественные факторы. Один из широко применяемых способов — расчет рентабельности инвестиций, предусматривающий сопоставление расходов на образование или обучение с приростом дохода, который возникает благодаря этим вложениям. Так, например, вложения в высшее образование обычно окупаются за счет увеличения заработной платы. Другой подход основан на анализе производительности труда и демонстрирует, что повышение квалификации и улучшение состояния здоровья работников ведут к росту их эффективности, что можно отразить в увеличении объема выпускаемой продукции или снижении числа ошибок [2].</w:t>
      </w:r>
    </w:p>
    <w:p w14:paraId="63DDEA98" w14:textId="77777777" w:rsidR="00377D07" w:rsidRPr="005C518B" w:rsidRDefault="00377D07" w:rsidP="00B64D5E">
      <w:pPr>
        <w:suppressAutoHyphens/>
        <w:spacing w:after="0" w:line="240" w:lineRule="auto"/>
        <w:ind w:firstLine="709"/>
        <w:jc w:val="both"/>
        <w:rPr>
          <w:rFonts w:ascii="Calibri" w:eastAsia="Times New Roman" w:hAnsi="Calibri" w:cs="Times New Roman"/>
          <w:sz w:val="24"/>
          <w:szCs w:val="24"/>
          <w:lang w:eastAsia="ar-SA"/>
        </w:rPr>
      </w:pPr>
      <w:r w:rsidRPr="005C518B">
        <w:rPr>
          <w:rFonts w:ascii="Times New Roman" w:eastAsia="Times New Roman" w:hAnsi="Times New Roman" w:cs="Times New Roman"/>
          <w:sz w:val="32"/>
          <w:szCs w:val="32"/>
          <w:lang w:eastAsia="ar-SA"/>
        </w:rPr>
        <w:t>Существуют также подходы, ориентированные на социальный эффект, учитывающие влияние инвестиций на общество, включая снижение безработицы и улучшение здоровья населения. Такие эффекты труднее измерить, но они важны для государственной политики, например, программы массового образования могут сокращать социальную напряженность. Однако каждый метод имеет свои ограничения: расчет доходности игнорирует качественные изменения, анализ производительности требует точных данных, а социальный эффект сложно выразить в числовых показателях. Теория человеческого капитала подчеркивает, что наилучшие результаты достигаются при комбинировании методов, что обеспечивает комплексное понимание эффективности инвестиций и помогает в принятии обоснованных управленческих решений [3].</w:t>
      </w:r>
      <w:r w:rsidRPr="005C518B">
        <w:rPr>
          <w:rFonts w:ascii="Calibri" w:eastAsia="Times New Roman" w:hAnsi="Calibri" w:cs="Times New Roman"/>
          <w:sz w:val="24"/>
          <w:szCs w:val="24"/>
          <w:lang w:val="x-none" w:eastAsia="ar-SA"/>
        </w:rPr>
        <w:t xml:space="preserve"> </w:t>
      </w:r>
    </w:p>
    <w:p w14:paraId="537DBC62" w14:textId="1383DE89" w:rsidR="00377D07" w:rsidRDefault="00377D07" w:rsidP="00B64D5E">
      <w:pPr>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 xml:space="preserve">В период с 2022 по 2024 годы инвестиции в человеческий капитал в России сыграли решающую роль в поддержании экономической активности на фоне внешних ограничений и внутренней нестабильности. Инвестиции в образование, профессиональное развитие и здравоохранение способствовали росту производительности труда и укреплению конкурентоспособности ключевых отраслей экономики. Так, в 2023 году такие компании, как ПАО «Сбербанк», активно вкладывались в обучение своих сотрудников, что обеспечило увеличение операционной прибыли финансового сектора на 8% по сравнению с предыдущим годом. Также </w:t>
      </w:r>
      <w:r w:rsidRPr="005C518B">
        <w:rPr>
          <w:rFonts w:ascii="Times New Roman" w:eastAsia="Times New Roman" w:hAnsi="Times New Roman" w:cs="Times New Roman"/>
          <w:sz w:val="32"/>
          <w:szCs w:val="32"/>
          <w:lang w:eastAsia="ar-SA"/>
        </w:rPr>
        <w:lastRenderedPageBreak/>
        <w:t>государственные программы, включая национальный проект «Образование», предоставили финансирование образовательным учреждениям, способствуя подготовке специалистов в сфере высоких технологий [4].</w:t>
      </w:r>
    </w:p>
    <w:p w14:paraId="44FCD8DA" w14:textId="77777777" w:rsidR="00B64D5E" w:rsidRPr="005C518B" w:rsidRDefault="00B64D5E" w:rsidP="00B64D5E">
      <w:pPr>
        <w:spacing w:after="0" w:line="240" w:lineRule="auto"/>
        <w:ind w:firstLine="709"/>
        <w:jc w:val="both"/>
        <w:rPr>
          <w:rFonts w:ascii="Times New Roman" w:eastAsia="Times New Roman" w:hAnsi="Times New Roman" w:cs="Times New Roman"/>
          <w:sz w:val="24"/>
          <w:szCs w:val="24"/>
          <w:lang w:eastAsia="ar-SA"/>
        </w:rPr>
      </w:pPr>
    </w:p>
    <w:p w14:paraId="19B0DC69" w14:textId="77777777" w:rsidR="00377D07" w:rsidRPr="005C518B" w:rsidRDefault="00377D07" w:rsidP="00377D07">
      <w:pPr>
        <w:spacing w:after="0" w:line="240" w:lineRule="auto"/>
        <w:jc w:val="both"/>
        <w:rPr>
          <w:rFonts w:ascii="Times New Roman" w:eastAsia="Times New Roman" w:hAnsi="Times New Roman" w:cs="Times New Roman"/>
          <w:sz w:val="32"/>
          <w:szCs w:val="32"/>
        </w:rPr>
      </w:pPr>
      <w:r w:rsidRPr="005C518B">
        <w:rPr>
          <w:rFonts w:ascii="Times New Roman" w:eastAsia="Times New Roman" w:hAnsi="Times New Roman" w:cs="Times New Roman"/>
          <w:sz w:val="32"/>
          <w:szCs w:val="32"/>
        </w:rPr>
        <w:t>Таблица 1 – Влияние инвестиций в человеческий капитал на экономические показатели (2022–2024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6"/>
        <w:gridCol w:w="1957"/>
        <w:gridCol w:w="2719"/>
        <w:gridCol w:w="3086"/>
      </w:tblGrid>
      <w:tr w:rsidR="00377D07" w:rsidRPr="005C518B" w14:paraId="13C4D8EC" w14:textId="77777777" w:rsidTr="00EB1CB9">
        <w:trPr>
          <w:tblHeader/>
        </w:trPr>
        <w:tc>
          <w:tcPr>
            <w:tcW w:w="0" w:type="auto"/>
            <w:vAlign w:val="center"/>
            <w:hideMark/>
          </w:tcPr>
          <w:p w14:paraId="310475B2" w14:textId="5BF77ACE" w:rsidR="00377D07" w:rsidRPr="005C518B" w:rsidRDefault="00377D07" w:rsidP="00B64D5E">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Отрасль</w:t>
            </w:r>
          </w:p>
        </w:tc>
        <w:tc>
          <w:tcPr>
            <w:tcW w:w="1957" w:type="dxa"/>
            <w:vAlign w:val="center"/>
            <w:hideMark/>
          </w:tcPr>
          <w:p w14:paraId="1324076E" w14:textId="77777777" w:rsidR="00377D07" w:rsidRPr="005C518B" w:rsidRDefault="00377D07" w:rsidP="00B64D5E">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Инвестиции в обучение (млрд руб., 2023 г.)</w:t>
            </w:r>
          </w:p>
        </w:tc>
        <w:tc>
          <w:tcPr>
            <w:tcW w:w="2719" w:type="dxa"/>
            <w:vAlign w:val="center"/>
            <w:hideMark/>
          </w:tcPr>
          <w:p w14:paraId="683DD1AA" w14:textId="77777777" w:rsidR="00377D07" w:rsidRPr="005C518B" w:rsidRDefault="00377D07" w:rsidP="00B64D5E">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Рост производительности труда (%, 2023 г.)</w:t>
            </w:r>
          </w:p>
        </w:tc>
        <w:tc>
          <w:tcPr>
            <w:tcW w:w="0" w:type="auto"/>
            <w:vAlign w:val="center"/>
            <w:hideMark/>
          </w:tcPr>
          <w:p w14:paraId="26A14445" w14:textId="77777777" w:rsidR="00377D07" w:rsidRPr="005C518B" w:rsidRDefault="00377D07" w:rsidP="00B64D5E">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Увеличение выручки (%, 2024 г.)</w:t>
            </w:r>
          </w:p>
        </w:tc>
      </w:tr>
      <w:tr w:rsidR="00377D07" w:rsidRPr="005C518B" w14:paraId="03F6E70E" w14:textId="77777777" w:rsidTr="00EB1CB9">
        <w:tc>
          <w:tcPr>
            <w:tcW w:w="0" w:type="auto"/>
            <w:vAlign w:val="center"/>
            <w:hideMark/>
          </w:tcPr>
          <w:p w14:paraId="01C27EA6"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Финансы</w:t>
            </w:r>
          </w:p>
        </w:tc>
        <w:tc>
          <w:tcPr>
            <w:tcW w:w="1957" w:type="dxa"/>
            <w:vAlign w:val="center"/>
            <w:hideMark/>
          </w:tcPr>
          <w:p w14:paraId="1D816087"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25</w:t>
            </w:r>
          </w:p>
        </w:tc>
        <w:tc>
          <w:tcPr>
            <w:tcW w:w="2719" w:type="dxa"/>
            <w:vAlign w:val="center"/>
            <w:hideMark/>
          </w:tcPr>
          <w:p w14:paraId="0760D3B2"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10</w:t>
            </w:r>
          </w:p>
        </w:tc>
        <w:tc>
          <w:tcPr>
            <w:tcW w:w="0" w:type="auto"/>
            <w:vAlign w:val="center"/>
            <w:hideMark/>
          </w:tcPr>
          <w:p w14:paraId="28A60412"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8</w:t>
            </w:r>
          </w:p>
        </w:tc>
      </w:tr>
      <w:tr w:rsidR="00377D07" w:rsidRPr="005C518B" w14:paraId="3938346E" w14:textId="77777777" w:rsidTr="00EB1CB9">
        <w:tc>
          <w:tcPr>
            <w:tcW w:w="0" w:type="auto"/>
            <w:vAlign w:val="center"/>
            <w:hideMark/>
          </w:tcPr>
          <w:p w14:paraId="320AC6A0"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ИТ</w:t>
            </w:r>
          </w:p>
        </w:tc>
        <w:tc>
          <w:tcPr>
            <w:tcW w:w="1957" w:type="dxa"/>
            <w:vAlign w:val="center"/>
            <w:hideMark/>
          </w:tcPr>
          <w:p w14:paraId="6272A6FD"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18</w:t>
            </w:r>
          </w:p>
        </w:tc>
        <w:tc>
          <w:tcPr>
            <w:tcW w:w="2719" w:type="dxa"/>
            <w:vAlign w:val="center"/>
            <w:hideMark/>
          </w:tcPr>
          <w:p w14:paraId="637D20F5"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12</w:t>
            </w:r>
          </w:p>
        </w:tc>
        <w:tc>
          <w:tcPr>
            <w:tcW w:w="3086" w:type="dxa"/>
            <w:vAlign w:val="center"/>
            <w:hideMark/>
          </w:tcPr>
          <w:p w14:paraId="52664A2B"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10</w:t>
            </w:r>
          </w:p>
        </w:tc>
      </w:tr>
      <w:tr w:rsidR="00377D07" w:rsidRPr="005C518B" w14:paraId="411B018C" w14:textId="77777777" w:rsidTr="00EB1CB9">
        <w:tc>
          <w:tcPr>
            <w:tcW w:w="0" w:type="auto"/>
            <w:vAlign w:val="center"/>
            <w:hideMark/>
          </w:tcPr>
          <w:p w14:paraId="3C402D83"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Промышленность</w:t>
            </w:r>
          </w:p>
        </w:tc>
        <w:tc>
          <w:tcPr>
            <w:tcW w:w="1957" w:type="dxa"/>
            <w:vAlign w:val="center"/>
            <w:hideMark/>
          </w:tcPr>
          <w:p w14:paraId="051ED45C"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15</w:t>
            </w:r>
          </w:p>
        </w:tc>
        <w:tc>
          <w:tcPr>
            <w:tcW w:w="2719" w:type="dxa"/>
            <w:vAlign w:val="center"/>
            <w:hideMark/>
          </w:tcPr>
          <w:p w14:paraId="0AC571C4"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7</w:t>
            </w:r>
          </w:p>
        </w:tc>
        <w:tc>
          <w:tcPr>
            <w:tcW w:w="3086" w:type="dxa"/>
            <w:vAlign w:val="center"/>
            <w:hideMark/>
          </w:tcPr>
          <w:p w14:paraId="53AA2359"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5</w:t>
            </w:r>
          </w:p>
        </w:tc>
      </w:tr>
    </w:tbl>
    <w:p w14:paraId="44172722" w14:textId="77777777" w:rsidR="00377D07" w:rsidRPr="005C518B" w:rsidRDefault="00377D07" w:rsidP="00377D07">
      <w:pPr>
        <w:suppressAutoHyphens/>
        <w:spacing w:after="0" w:line="240" w:lineRule="auto"/>
        <w:ind w:firstLine="567"/>
        <w:jc w:val="both"/>
        <w:rPr>
          <w:rFonts w:ascii="Times New Roman" w:eastAsia="Times New Roman" w:hAnsi="Times New Roman" w:cs="Times New Roman"/>
          <w:sz w:val="32"/>
          <w:szCs w:val="32"/>
          <w:lang w:eastAsia="ar-SA"/>
        </w:rPr>
      </w:pPr>
    </w:p>
    <w:p w14:paraId="474523EF"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Данные таблицы 1 показывают, что в отраслях, инвестировавших в обучение, наблюдался рост производительности и выручки, причем ИТ-сектор адаптировался к ограничениям в доступе к иностранным технологиям. В здравоохранении программы корпоративного здравоохранения снизили текучесть кадров на 5% в 2024 году, что сократило расходы на рекрутинг в условиях дефицита квалифицированных специалистов. Например, ПАО «Газпром» реализовало медицинские программы для повышения вовлеченности работников. Государственное финансирование национального проекта «Демография» в размере 3,5 трлн рублей привело к уменьшению зависших рабочих дней из-за болезней, что положительно сказалось на производительности экономики. В результате, инвестиции в человеческий капитал стали важным инструментом для поддержания стабильности и роста в сложной внешней среде.</w:t>
      </w:r>
    </w:p>
    <w:p w14:paraId="428066D5"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 xml:space="preserve">Ключевые отрасли российской экономики, такие как информационные технологии, промышленность и энергетика, активно инвестировали в человеческий капитал в 2022–2024 годах, чтобы повысить свою конкурентоспособность в условиях санкций и дефицита кадров. В информационном секторе компания «Яндекс» вложила около 10 млрд рублей в обучение и внутренние тренинги, что способствовало росту выручки на 12% в 2024 году. Данные из таблицы 2 показывают, что компании, такие как НЛМК и «Лукойл», сочетали инвестиции в обучение и здравоохранение, что привело к более высоким показателям производительности. НЛМК внедрил программы переподготовки для автоматизации процессов, что сократило время выполнения задач на 10% и снизило аварийность [4]. </w:t>
      </w:r>
    </w:p>
    <w:p w14:paraId="52F5DF81"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lastRenderedPageBreak/>
        <w:t>«Лукойл» инвестировал в программы здравоохранения, что уменьшило текучесть кадров и повысило эффективность труда. Анализ подтверждает, что комплексный подход к инвестициям в человеческий капитал был особенно успешным в условиях внешних ограничений. Вложение в обучение и здоровье работников помогло укрепить позиции компаний на рынке. В результате, инвестиции в человеческий капитал стали ключевым фактором устойчивого развития отраслей. Этот подход позволил не только повысить производительность, но и адаптироваться к новым условиям. Таким образом, человеческий капитал стал стратегическим ресурсом для российской экономики.</w:t>
      </w:r>
    </w:p>
    <w:p w14:paraId="3D8C47CE" w14:textId="77777777" w:rsidR="00377D07" w:rsidRPr="005C518B"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 xml:space="preserve">Реализация инвестиций в человеческий капитал в России в 2022–2024 годах столкнулась с ограничениями, связанными с экономическими, социальными и организационными факторами. Одной из основных проблем был ограниченный доступ к финансированию из-за высокой ключевой ставки (18% в 2024 году), что затрудняло реализацию образовательных и медицинских программ для малых и средних предприятий. Например, небольшие IT-компании испытывали трудности с финансированием тренингов. В 2023 году начали действовать льготные кредиты по программе «1764», что частично решило проблему, но охват оставался ограниченным. </w:t>
      </w:r>
    </w:p>
    <w:p w14:paraId="49AB91E9" w14:textId="5F601898" w:rsidR="00377D07" w:rsidRDefault="00377D07" w:rsidP="00B64D5E">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t xml:space="preserve">Другой проблемой стал дефицит квалифицированных кадров из-за эмиграции специалистов, что потребовало внедрения корпоративных образовательных инициатив, таких как программы переподготовки в «Ростелеком». Также существовала низкая цифровизация образовательных процессов, но в 2024 году компании, такие как «Сбербанк», начали использовать онлайн-платформы, что повысило доступность обучения для 80% сотрудников [5]. </w:t>
      </w:r>
    </w:p>
    <w:p w14:paraId="049C7AA1" w14:textId="77777777" w:rsidR="00B64D5E" w:rsidRPr="005C518B" w:rsidRDefault="00B64D5E" w:rsidP="00B64D5E">
      <w:pPr>
        <w:suppressAutoHyphens/>
        <w:spacing w:after="0" w:line="240" w:lineRule="auto"/>
        <w:ind w:firstLine="709"/>
        <w:jc w:val="both"/>
        <w:rPr>
          <w:rFonts w:ascii="Times New Roman" w:eastAsia="Times New Roman" w:hAnsi="Times New Roman" w:cs="Times New Roman"/>
          <w:sz w:val="32"/>
          <w:szCs w:val="32"/>
          <w:lang w:eastAsia="ar-SA"/>
        </w:rPr>
      </w:pPr>
    </w:p>
    <w:p w14:paraId="56097CF2" w14:textId="77777777" w:rsidR="00377D07" w:rsidRPr="005C518B" w:rsidRDefault="00377D07" w:rsidP="00377D07">
      <w:pPr>
        <w:tabs>
          <w:tab w:val="left" w:pos="1056"/>
        </w:tabs>
        <w:spacing w:after="0" w:line="240" w:lineRule="auto"/>
        <w:jc w:val="both"/>
        <w:rPr>
          <w:rFonts w:ascii="Times New Roman" w:eastAsia="Times New Roman" w:hAnsi="Times New Roman" w:cs="Times New Roman"/>
          <w:sz w:val="28"/>
          <w:szCs w:val="28"/>
        </w:rPr>
      </w:pPr>
      <w:r w:rsidRPr="005C518B">
        <w:rPr>
          <w:rFonts w:ascii="Times New Roman" w:eastAsia="Times New Roman" w:hAnsi="Times New Roman" w:cs="Times New Roman"/>
          <w:sz w:val="32"/>
          <w:szCs w:val="32"/>
        </w:rPr>
        <w:t xml:space="preserve">Таблица 2 – Проблемы реализации инвестиций в человеческий капитал и пути их решения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3"/>
        <w:gridCol w:w="2674"/>
        <w:gridCol w:w="3096"/>
        <w:gridCol w:w="1639"/>
      </w:tblGrid>
      <w:tr w:rsidR="00377D07" w:rsidRPr="005C518B" w14:paraId="56D7117C" w14:textId="77777777" w:rsidTr="00EB1CB9">
        <w:trPr>
          <w:tblHeader/>
          <w:jc w:val="center"/>
        </w:trPr>
        <w:tc>
          <w:tcPr>
            <w:tcW w:w="1161" w:type="pct"/>
            <w:vAlign w:val="center"/>
            <w:hideMark/>
          </w:tcPr>
          <w:p w14:paraId="450B3FEF"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Проблема</w:t>
            </w:r>
          </w:p>
        </w:tc>
        <w:tc>
          <w:tcPr>
            <w:tcW w:w="1395" w:type="pct"/>
            <w:vAlign w:val="center"/>
            <w:hideMark/>
          </w:tcPr>
          <w:p w14:paraId="5BA07C81"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Описание</w:t>
            </w:r>
          </w:p>
        </w:tc>
        <w:tc>
          <w:tcPr>
            <w:tcW w:w="1614" w:type="pct"/>
            <w:vAlign w:val="center"/>
            <w:hideMark/>
          </w:tcPr>
          <w:p w14:paraId="36D5420C"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Решение</w:t>
            </w:r>
          </w:p>
        </w:tc>
        <w:tc>
          <w:tcPr>
            <w:tcW w:w="831" w:type="pct"/>
            <w:vAlign w:val="center"/>
            <w:hideMark/>
          </w:tcPr>
          <w:p w14:paraId="2E539064"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Эффективность (оценка, %)</w:t>
            </w:r>
          </w:p>
        </w:tc>
      </w:tr>
      <w:tr w:rsidR="00377D07" w:rsidRPr="005C518B" w14:paraId="108BBCA4" w14:textId="77777777" w:rsidTr="00EB1CB9">
        <w:trPr>
          <w:jc w:val="center"/>
        </w:trPr>
        <w:tc>
          <w:tcPr>
            <w:tcW w:w="1161" w:type="pct"/>
            <w:vAlign w:val="center"/>
            <w:hideMark/>
          </w:tcPr>
          <w:p w14:paraId="13C6B4FD"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Ограниченное финансирование</w:t>
            </w:r>
          </w:p>
        </w:tc>
        <w:tc>
          <w:tcPr>
            <w:tcW w:w="1395" w:type="pct"/>
            <w:vAlign w:val="center"/>
            <w:hideMark/>
          </w:tcPr>
          <w:p w14:paraId="491A19D0"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Высокая стоимость кредитов</w:t>
            </w:r>
          </w:p>
        </w:tc>
        <w:tc>
          <w:tcPr>
            <w:tcW w:w="1614" w:type="pct"/>
            <w:vAlign w:val="center"/>
            <w:hideMark/>
          </w:tcPr>
          <w:p w14:paraId="095D1A7B"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Льготные государственные программы</w:t>
            </w:r>
          </w:p>
        </w:tc>
        <w:tc>
          <w:tcPr>
            <w:tcW w:w="831" w:type="pct"/>
            <w:vAlign w:val="center"/>
            <w:hideMark/>
          </w:tcPr>
          <w:p w14:paraId="53CD92F6"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75</w:t>
            </w:r>
          </w:p>
        </w:tc>
      </w:tr>
      <w:tr w:rsidR="00377D07" w:rsidRPr="005C518B" w14:paraId="5748CDC7" w14:textId="77777777" w:rsidTr="00EB1CB9">
        <w:trPr>
          <w:jc w:val="center"/>
        </w:trPr>
        <w:tc>
          <w:tcPr>
            <w:tcW w:w="1161" w:type="pct"/>
            <w:vAlign w:val="center"/>
            <w:hideMark/>
          </w:tcPr>
          <w:p w14:paraId="5BD087D0"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Дефицит кадров</w:t>
            </w:r>
          </w:p>
        </w:tc>
        <w:tc>
          <w:tcPr>
            <w:tcW w:w="1395" w:type="pct"/>
            <w:vAlign w:val="center"/>
            <w:hideMark/>
          </w:tcPr>
          <w:p w14:paraId="69F72528"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Эмиграция специалистов</w:t>
            </w:r>
          </w:p>
        </w:tc>
        <w:tc>
          <w:tcPr>
            <w:tcW w:w="1614" w:type="pct"/>
            <w:vAlign w:val="center"/>
            <w:hideMark/>
          </w:tcPr>
          <w:p w14:paraId="49594D44"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Корпоративные образовательные инициативы</w:t>
            </w:r>
          </w:p>
        </w:tc>
        <w:tc>
          <w:tcPr>
            <w:tcW w:w="831" w:type="pct"/>
            <w:vAlign w:val="center"/>
            <w:hideMark/>
          </w:tcPr>
          <w:p w14:paraId="01F60C76"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70</w:t>
            </w:r>
          </w:p>
        </w:tc>
      </w:tr>
      <w:tr w:rsidR="00377D07" w:rsidRPr="005C518B" w14:paraId="061AD174" w14:textId="77777777" w:rsidTr="00EB1CB9">
        <w:trPr>
          <w:jc w:val="center"/>
        </w:trPr>
        <w:tc>
          <w:tcPr>
            <w:tcW w:w="1161" w:type="pct"/>
            <w:vAlign w:val="center"/>
            <w:hideMark/>
          </w:tcPr>
          <w:p w14:paraId="1F0B2D01"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Низкая цифровизация</w:t>
            </w:r>
          </w:p>
        </w:tc>
        <w:tc>
          <w:tcPr>
            <w:tcW w:w="1395" w:type="pct"/>
            <w:vAlign w:val="center"/>
            <w:hideMark/>
          </w:tcPr>
          <w:p w14:paraId="0ACA4473"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Ограниченное использование технологий в обучении</w:t>
            </w:r>
          </w:p>
        </w:tc>
        <w:tc>
          <w:tcPr>
            <w:tcW w:w="1614" w:type="pct"/>
            <w:vAlign w:val="center"/>
            <w:hideMark/>
          </w:tcPr>
          <w:p w14:paraId="0CB0B564"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Внедрение цифровых платформ</w:t>
            </w:r>
          </w:p>
        </w:tc>
        <w:tc>
          <w:tcPr>
            <w:tcW w:w="831" w:type="pct"/>
            <w:vAlign w:val="center"/>
            <w:hideMark/>
          </w:tcPr>
          <w:p w14:paraId="722B66FC" w14:textId="77777777" w:rsidR="00377D07" w:rsidRPr="005C518B" w:rsidRDefault="00377D07" w:rsidP="00EB1CB9">
            <w:pPr>
              <w:spacing w:after="0" w:line="240" w:lineRule="auto"/>
              <w:jc w:val="center"/>
              <w:rPr>
                <w:rFonts w:ascii="Times New Roman" w:eastAsia="Times New Roman" w:hAnsi="Times New Roman" w:cs="Times New Roman"/>
                <w:sz w:val="24"/>
                <w:szCs w:val="24"/>
              </w:rPr>
            </w:pPr>
            <w:r w:rsidRPr="005C518B">
              <w:rPr>
                <w:rFonts w:ascii="Times New Roman" w:eastAsia="Times New Roman" w:hAnsi="Times New Roman" w:cs="Times New Roman"/>
                <w:sz w:val="24"/>
                <w:szCs w:val="24"/>
              </w:rPr>
              <w:t>80</w:t>
            </w:r>
          </w:p>
        </w:tc>
      </w:tr>
    </w:tbl>
    <w:p w14:paraId="76A70941" w14:textId="77777777" w:rsidR="00B64D5E" w:rsidRDefault="00B64D5E">
      <w:pPr>
        <w:rPr>
          <w:rFonts w:ascii="Times New Roman" w:eastAsia="Times New Roman" w:hAnsi="Times New Roman" w:cs="Times New Roman"/>
          <w:sz w:val="32"/>
          <w:szCs w:val="32"/>
          <w:lang w:eastAsia="ar-SA"/>
        </w:rPr>
      </w:pPr>
      <w:r>
        <w:rPr>
          <w:rFonts w:ascii="Times New Roman" w:eastAsia="Times New Roman" w:hAnsi="Times New Roman" w:cs="Times New Roman"/>
          <w:sz w:val="32"/>
          <w:szCs w:val="32"/>
          <w:lang w:eastAsia="ar-SA"/>
        </w:rPr>
        <w:br w:type="page"/>
      </w:r>
    </w:p>
    <w:p w14:paraId="72E734EE" w14:textId="77777777" w:rsidR="00377D07" w:rsidRPr="005C518B" w:rsidRDefault="00377D07" w:rsidP="00F73ACD">
      <w:pPr>
        <w:suppressAutoHyphens/>
        <w:spacing w:after="0" w:line="240" w:lineRule="auto"/>
        <w:ind w:firstLine="709"/>
        <w:jc w:val="both"/>
        <w:rPr>
          <w:rFonts w:ascii="Times New Roman" w:eastAsia="Times New Roman" w:hAnsi="Times New Roman" w:cs="Times New Roman"/>
          <w:sz w:val="32"/>
          <w:szCs w:val="32"/>
          <w:lang w:eastAsia="ar-SA"/>
        </w:rPr>
      </w:pPr>
      <w:r w:rsidRPr="005C518B">
        <w:rPr>
          <w:rFonts w:ascii="Times New Roman" w:eastAsia="Times New Roman" w:hAnsi="Times New Roman" w:cs="Times New Roman"/>
          <w:sz w:val="32"/>
          <w:szCs w:val="32"/>
          <w:lang w:eastAsia="ar-SA"/>
        </w:rPr>
        <w:lastRenderedPageBreak/>
        <w:t>По данным в таблице 2, внедрение цифровых платформ оказалось наиболее эффективным решением. Дальнейшее развитие государственной поддержки и корпоративных инициатив остается важным для повышения эффективности инвестиций в человеческий капитал. Льготное финансирование, расширение образовательных программ и цифровизация обучения продемонстрировали свою эффективность, но масштабирование этих мер является ключевым для устойчивого развития.</w:t>
      </w:r>
    </w:p>
    <w:p w14:paraId="2AE67D6E" w14:textId="77777777" w:rsidR="00377D07" w:rsidRPr="005C518B" w:rsidRDefault="00377D07" w:rsidP="00377D07">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p>
    <w:p w14:paraId="6766BF3F" w14:textId="77777777" w:rsidR="00377D07" w:rsidRPr="005C518B" w:rsidRDefault="00377D07" w:rsidP="00377D07">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5C518B">
        <w:rPr>
          <w:rFonts w:ascii="Times New Roman" w:eastAsia="Times New Roman" w:hAnsi="Times New Roman" w:cs="Times New Roman"/>
          <w:b/>
          <w:color w:val="000000"/>
          <w:sz w:val="21"/>
          <w:szCs w:val="21"/>
          <w:lang w:eastAsia="ar-SA"/>
        </w:rPr>
        <w:t>Литература:</w:t>
      </w:r>
    </w:p>
    <w:p w14:paraId="6BC3CF5E" w14:textId="77777777" w:rsidR="00377D07" w:rsidRPr="005C518B" w:rsidRDefault="00377D07" w:rsidP="00AD58CD">
      <w:pPr>
        <w:numPr>
          <w:ilvl w:val="0"/>
          <w:numId w:val="139"/>
        </w:numPr>
        <w:tabs>
          <w:tab w:val="clear" w:pos="720"/>
          <w:tab w:val="left" w:pos="284"/>
          <w:tab w:val="left" w:pos="993"/>
        </w:tabs>
        <w:spacing w:after="0" w:line="276" w:lineRule="auto"/>
        <w:ind w:left="0" w:firstLine="0"/>
        <w:contextualSpacing/>
        <w:jc w:val="both"/>
        <w:rPr>
          <w:rFonts w:ascii="Times New Roman" w:eastAsia="Times New Roman" w:hAnsi="Times New Roman" w:cs="Times New Roman"/>
          <w:color w:val="000000"/>
          <w:sz w:val="21"/>
          <w:szCs w:val="21"/>
          <w:lang w:eastAsia="ar-SA"/>
        </w:rPr>
      </w:pPr>
      <w:r w:rsidRPr="005C518B">
        <w:rPr>
          <w:rFonts w:ascii="Times New Roman" w:eastAsia="Times New Roman" w:hAnsi="Times New Roman" w:cs="Times New Roman"/>
          <w:color w:val="000000"/>
          <w:sz w:val="21"/>
          <w:szCs w:val="21"/>
          <w:lang w:eastAsia="ar-SA"/>
        </w:rPr>
        <w:t xml:space="preserve">Федеральный закон от 29.12.2012 г. № 273-ФЗ «Об образовании в Российской Федерации» (с изм. и доп.). URL: http://www.consultant.ru (дата обращения: 02.05.2025). </w:t>
      </w:r>
    </w:p>
    <w:p w14:paraId="51F7302D" w14:textId="77777777" w:rsidR="00377D07" w:rsidRPr="005C518B" w:rsidRDefault="00377D07" w:rsidP="00AD58CD">
      <w:pPr>
        <w:numPr>
          <w:ilvl w:val="0"/>
          <w:numId w:val="139"/>
        </w:numPr>
        <w:tabs>
          <w:tab w:val="clear" w:pos="720"/>
          <w:tab w:val="left" w:pos="284"/>
          <w:tab w:val="left" w:pos="993"/>
        </w:tabs>
        <w:spacing w:after="0" w:line="276" w:lineRule="auto"/>
        <w:ind w:left="0" w:firstLine="0"/>
        <w:contextualSpacing/>
        <w:jc w:val="both"/>
        <w:rPr>
          <w:rFonts w:ascii="Times New Roman" w:eastAsia="Times New Roman" w:hAnsi="Times New Roman" w:cs="Times New Roman"/>
          <w:color w:val="000000"/>
          <w:sz w:val="21"/>
          <w:szCs w:val="21"/>
          <w:lang w:eastAsia="ar-SA"/>
        </w:rPr>
      </w:pPr>
      <w:r w:rsidRPr="005C518B">
        <w:rPr>
          <w:rFonts w:ascii="Times New Roman" w:eastAsia="Times New Roman" w:hAnsi="Times New Roman" w:cs="Times New Roman"/>
          <w:color w:val="000000"/>
          <w:sz w:val="21"/>
          <w:szCs w:val="21"/>
          <w:lang w:eastAsia="ar-SA"/>
        </w:rPr>
        <w:t xml:space="preserve">Федеральный закон от 21.11.2011 г. № 323-ФЗ «Об основах охраны здоровья граждан в Российской Федерации» (с изм. и доп.). URL: http://www.consultant.ru (дата обращения: 04.05.2025). </w:t>
      </w:r>
    </w:p>
    <w:p w14:paraId="12FFFEE6" w14:textId="77777777" w:rsidR="00377D07" w:rsidRPr="005C518B" w:rsidRDefault="00377D07" w:rsidP="00AD58CD">
      <w:pPr>
        <w:numPr>
          <w:ilvl w:val="0"/>
          <w:numId w:val="139"/>
        </w:numPr>
        <w:tabs>
          <w:tab w:val="clear" w:pos="720"/>
          <w:tab w:val="left" w:pos="284"/>
          <w:tab w:val="left" w:pos="993"/>
        </w:tabs>
        <w:spacing w:after="0" w:line="276" w:lineRule="auto"/>
        <w:ind w:left="0" w:firstLine="0"/>
        <w:contextualSpacing/>
        <w:jc w:val="both"/>
        <w:rPr>
          <w:rFonts w:ascii="Times New Roman" w:eastAsia="Times New Roman" w:hAnsi="Times New Roman" w:cs="Times New Roman"/>
          <w:color w:val="000000"/>
          <w:sz w:val="21"/>
          <w:szCs w:val="21"/>
          <w:lang w:eastAsia="ar-SA"/>
        </w:rPr>
      </w:pPr>
      <w:r w:rsidRPr="005C518B">
        <w:rPr>
          <w:rFonts w:ascii="Times New Roman" w:eastAsia="Times New Roman" w:hAnsi="Times New Roman" w:cs="Times New Roman"/>
          <w:color w:val="000000"/>
          <w:sz w:val="21"/>
          <w:szCs w:val="21"/>
          <w:lang w:eastAsia="ar-SA"/>
        </w:rPr>
        <w:t>Финансовое стимулирование инновационного развития Российской Федерации / М. В. Радченко, К. Е. Гудым, Ю. А. Карпухова, И. А. Михно // Актуальные вопросы современной экономики. – 2022. – № 6. </w:t>
      </w:r>
    </w:p>
    <w:p w14:paraId="01E27B26" w14:textId="77777777" w:rsidR="00377D07" w:rsidRPr="005C518B" w:rsidRDefault="00377D07" w:rsidP="00AD58CD">
      <w:pPr>
        <w:numPr>
          <w:ilvl w:val="0"/>
          <w:numId w:val="139"/>
        </w:numPr>
        <w:tabs>
          <w:tab w:val="clear" w:pos="720"/>
          <w:tab w:val="left" w:pos="284"/>
          <w:tab w:val="left" w:pos="993"/>
        </w:tabs>
        <w:spacing w:after="0" w:line="276" w:lineRule="auto"/>
        <w:ind w:left="0" w:firstLine="0"/>
        <w:contextualSpacing/>
        <w:jc w:val="both"/>
        <w:rPr>
          <w:rFonts w:ascii="Times New Roman" w:eastAsia="Times New Roman" w:hAnsi="Times New Roman" w:cs="Times New Roman"/>
          <w:color w:val="000000"/>
          <w:sz w:val="21"/>
          <w:szCs w:val="21"/>
          <w:lang w:eastAsia="ar-SA"/>
        </w:rPr>
      </w:pPr>
      <w:r w:rsidRPr="005C518B">
        <w:rPr>
          <w:rFonts w:ascii="Times New Roman" w:eastAsia="Times New Roman" w:hAnsi="Times New Roman" w:cs="Times New Roman"/>
          <w:color w:val="000000"/>
          <w:sz w:val="21"/>
          <w:szCs w:val="21"/>
          <w:lang w:eastAsia="ar-SA"/>
        </w:rPr>
        <w:t xml:space="preserve">Министерство экономического развития РФ. Обзор «Развитие человеческого капитала в Российской Федерации». 2024. URL: https://economy.gov.ru (дата обращения: 14.05.2025). </w:t>
      </w:r>
    </w:p>
    <w:p w14:paraId="1A5A50AE" w14:textId="2E164122" w:rsidR="00377D07" w:rsidRPr="00377D07" w:rsidRDefault="00377D07" w:rsidP="00AD58CD">
      <w:pPr>
        <w:numPr>
          <w:ilvl w:val="0"/>
          <w:numId w:val="139"/>
        </w:numPr>
        <w:tabs>
          <w:tab w:val="clear" w:pos="720"/>
          <w:tab w:val="left" w:pos="284"/>
          <w:tab w:val="left" w:pos="993"/>
        </w:tabs>
        <w:spacing w:after="0" w:line="276" w:lineRule="auto"/>
        <w:ind w:left="0" w:firstLine="0"/>
        <w:jc w:val="both"/>
        <w:rPr>
          <w:rFonts w:ascii="Times New Roman" w:eastAsia="Times New Roman" w:hAnsi="Times New Roman" w:cs="Times New Roman"/>
          <w:color w:val="000000"/>
          <w:sz w:val="21"/>
          <w:szCs w:val="21"/>
          <w:lang w:eastAsia="ar-SA"/>
        </w:rPr>
      </w:pPr>
      <w:r w:rsidRPr="005C518B">
        <w:rPr>
          <w:rFonts w:ascii="Times New Roman" w:eastAsia="Times New Roman" w:hAnsi="Times New Roman" w:cs="Times New Roman"/>
          <w:color w:val="000000"/>
          <w:sz w:val="21"/>
          <w:szCs w:val="21"/>
          <w:lang w:eastAsia="ar-SA"/>
        </w:rPr>
        <w:t xml:space="preserve">Росстат. Статистический сборник «Рынок труда и образование в России». 2024. URL: https://rosstat.gov.ru (дата обращения: 16.05.2025). </w:t>
      </w:r>
    </w:p>
    <w:p w14:paraId="4AA4EC90" w14:textId="29DEDCA1" w:rsidR="00377D07" w:rsidRDefault="00377D07" w:rsidP="00C465D4">
      <w:pPr>
        <w:spacing w:after="0" w:line="240" w:lineRule="auto"/>
        <w:ind w:right="30"/>
        <w:rPr>
          <w:rFonts w:ascii="Times New Roman" w:eastAsia="Times New Roman" w:hAnsi="Times New Roman" w:cs="Times New Roman"/>
          <w:b/>
          <w:color w:val="000000"/>
          <w:sz w:val="21"/>
          <w:lang w:eastAsia="ru-RU"/>
        </w:rPr>
      </w:pPr>
    </w:p>
    <w:p w14:paraId="65C2DE3C" w14:textId="77777777" w:rsidR="00F73ACD" w:rsidRDefault="00F73ACD" w:rsidP="00C465D4">
      <w:pPr>
        <w:spacing w:after="0" w:line="240" w:lineRule="auto"/>
        <w:ind w:right="30"/>
        <w:rPr>
          <w:rFonts w:ascii="Times New Roman" w:eastAsia="Times New Roman" w:hAnsi="Times New Roman" w:cs="Times New Roman"/>
          <w:b/>
          <w:color w:val="000000"/>
          <w:sz w:val="21"/>
          <w:lang w:eastAsia="ru-RU"/>
        </w:rPr>
      </w:pPr>
    </w:p>
    <w:p w14:paraId="273EE14D" w14:textId="77777777" w:rsidR="002B3211" w:rsidRPr="00C660E3" w:rsidRDefault="002B3211" w:rsidP="002B3211">
      <w:pPr>
        <w:spacing w:after="0" w:line="240" w:lineRule="auto"/>
        <w:rPr>
          <w:rFonts w:ascii="Times New Roman" w:eastAsia="Calibri" w:hAnsi="Times New Roman" w:cs="Times New Roman"/>
          <w:b/>
          <w:bCs/>
          <w:sz w:val="21"/>
          <w:szCs w:val="21"/>
        </w:rPr>
      </w:pPr>
      <w:r w:rsidRPr="00C660E3">
        <w:rPr>
          <w:rFonts w:ascii="Times New Roman" w:eastAsia="Calibri" w:hAnsi="Times New Roman" w:cs="Times New Roman"/>
          <w:b/>
          <w:bCs/>
          <w:sz w:val="21"/>
          <w:szCs w:val="21"/>
        </w:rPr>
        <w:t>УДК 338</w:t>
      </w:r>
    </w:p>
    <w:p w14:paraId="32561E6A" w14:textId="77777777" w:rsidR="002B3211" w:rsidRPr="00C660E3" w:rsidRDefault="002B3211" w:rsidP="002B3211">
      <w:pPr>
        <w:spacing w:after="0" w:line="240" w:lineRule="auto"/>
        <w:jc w:val="right"/>
        <w:rPr>
          <w:rFonts w:ascii="Times New Roman" w:eastAsia="Calibri" w:hAnsi="Times New Roman" w:cs="Times New Roman"/>
          <w:b/>
          <w:bCs/>
          <w:i/>
          <w:iCs/>
          <w:sz w:val="21"/>
          <w:szCs w:val="21"/>
        </w:rPr>
      </w:pPr>
      <w:r w:rsidRPr="00C660E3">
        <w:rPr>
          <w:rFonts w:ascii="Times New Roman" w:eastAsia="Calibri" w:hAnsi="Times New Roman" w:cs="Times New Roman"/>
          <w:b/>
          <w:bCs/>
          <w:i/>
          <w:iCs/>
          <w:sz w:val="21"/>
          <w:szCs w:val="21"/>
        </w:rPr>
        <w:t>Любомирская О.А.,</w:t>
      </w:r>
    </w:p>
    <w:p w14:paraId="2CD9A160"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rPr>
        <w:t>студент 1 курса</w:t>
      </w:r>
    </w:p>
    <w:p w14:paraId="3410A3B0" w14:textId="77777777" w:rsidR="002B3211" w:rsidRDefault="002B3211" w:rsidP="002B3211">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D64592C"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rPr>
        <w:t>г. Краснодар, Россия</w:t>
      </w:r>
    </w:p>
    <w:p w14:paraId="0DBDDCB5"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lang w:val="en-US"/>
        </w:rPr>
        <w:t>e</w:t>
      </w:r>
      <w:r w:rsidRPr="00C660E3">
        <w:rPr>
          <w:rFonts w:ascii="Times New Roman" w:eastAsia="Calibri" w:hAnsi="Times New Roman" w:cs="Times New Roman"/>
          <w:i/>
          <w:iCs/>
          <w:sz w:val="21"/>
          <w:szCs w:val="21"/>
        </w:rPr>
        <w:t>-</w:t>
      </w:r>
      <w:r w:rsidRPr="00C660E3">
        <w:rPr>
          <w:rFonts w:ascii="Times New Roman" w:eastAsia="Calibri" w:hAnsi="Times New Roman" w:cs="Times New Roman"/>
          <w:i/>
          <w:iCs/>
          <w:sz w:val="21"/>
          <w:szCs w:val="21"/>
          <w:lang w:val="en-US"/>
        </w:rPr>
        <w:t>mail</w:t>
      </w:r>
      <w:r w:rsidRPr="00C660E3">
        <w:rPr>
          <w:rFonts w:ascii="Times New Roman" w:eastAsia="Calibri" w:hAnsi="Times New Roman" w:cs="Times New Roman"/>
          <w:i/>
          <w:iCs/>
          <w:sz w:val="21"/>
          <w:szCs w:val="21"/>
        </w:rPr>
        <w:t xml:space="preserve">: </w:t>
      </w:r>
      <w:hyperlink r:id="rId76" w:history="1">
        <w:r w:rsidRPr="00C660E3">
          <w:rPr>
            <w:rFonts w:ascii="Times New Roman" w:eastAsia="Calibri" w:hAnsi="Times New Roman" w:cs="Times New Roman"/>
            <w:i/>
            <w:iCs/>
            <w:color w:val="0563C1"/>
            <w:sz w:val="21"/>
            <w:szCs w:val="21"/>
            <w:u w:val="single"/>
            <w:lang w:val="en-US"/>
          </w:rPr>
          <w:t>lubomirskaya</w:t>
        </w:r>
        <w:r w:rsidRPr="00C660E3">
          <w:rPr>
            <w:rFonts w:ascii="Times New Roman" w:eastAsia="Calibri" w:hAnsi="Times New Roman" w:cs="Times New Roman"/>
            <w:i/>
            <w:iCs/>
            <w:color w:val="0563C1"/>
            <w:sz w:val="21"/>
            <w:szCs w:val="21"/>
            <w:u w:val="single"/>
          </w:rPr>
          <w:t>070805@</w:t>
        </w:r>
        <w:r w:rsidRPr="00C660E3">
          <w:rPr>
            <w:rFonts w:ascii="Times New Roman" w:eastAsia="Calibri" w:hAnsi="Times New Roman" w:cs="Times New Roman"/>
            <w:i/>
            <w:iCs/>
            <w:color w:val="0563C1"/>
            <w:sz w:val="21"/>
            <w:szCs w:val="21"/>
            <w:u w:val="single"/>
            <w:lang w:val="en-US"/>
          </w:rPr>
          <w:t>gmail</w:t>
        </w:r>
        <w:r w:rsidRPr="00C660E3">
          <w:rPr>
            <w:rFonts w:ascii="Times New Roman" w:eastAsia="Calibri" w:hAnsi="Times New Roman" w:cs="Times New Roman"/>
            <w:i/>
            <w:iCs/>
            <w:color w:val="0563C1"/>
            <w:sz w:val="21"/>
            <w:szCs w:val="21"/>
            <w:u w:val="single"/>
          </w:rPr>
          <w:t>.</w:t>
        </w:r>
        <w:r w:rsidRPr="00C660E3">
          <w:rPr>
            <w:rFonts w:ascii="Times New Roman" w:eastAsia="Calibri" w:hAnsi="Times New Roman" w:cs="Times New Roman"/>
            <w:i/>
            <w:iCs/>
            <w:color w:val="0563C1"/>
            <w:sz w:val="21"/>
            <w:szCs w:val="21"/>
            <w:u w:val="single"/>
            <w:lang w:val="en-US"/>
          </w:rPr>
          <w:t>com</w:t>
        </w:r>
      </w:hyperlink>
    </w:p>
    <w:p w14:paraId="47C8B8A3"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p>
    <w:p w14:paraId="7A60177C" w14:textId="77777777" w:rsidR="002B3211" w:rsidRPr="00C660E3" w:rsidRDefault="002B3211" w:rsidP="002B3211">
      <w:pPr>
        <w:spacing w:after="0" w:line="240" w:lineRule="auto"/>
        <w:jc w:val="right"/>
        <w:rPr>
          <w:rFonts w:ascii="Times New Roman" w:eastAsia="Calibri" w:hAnsi="Times New Roman" w:cs="Times New Roman"/>
          <w:b/>
          <w:bCs/>
          <w:i/>
          <w:iCs/>
          <w:sz w:val="21"/>
          <w:szCs w:val="21"/>
        </w:rPr>
      </w:pPr>
      <w:r w:rsidRPr="00C660E3">
        <w:rPr>
          <w:rFonts w:ascii="Times New Roman" w:eastAsia="Calibri" w:hAnsi="Times New Roman" w:cs="Times New Roman"/>
          <w:b/>
          <w:bCs/>
          <w:i/>
          <w:iCs/>
          <w:sz w:val="21"/>
          <w:szCs w:val="21"/>
        </w:rPr>
        <w:t>Научный руководитель:</w:t>
      </w:r>
    </w:p>
    <w:p w14:paraId="5371DAD2" w14:textId="77777777" w:rsidR="002B3211" w:rsidRPr="00C660E3" w:rsidRDefault="002B3211" w:rsidP="002B3211">
      <w:pPr>
        <w:spacing w:after="0" w:line="240" w:lineRule="auto"/>
        <w:jc w:val="right"/>
        <w:rPr>
          <w:rFonts w:ascii="Times New Roman" w:eastAsia="Calibri" w:hAnsi="Times New Roman" w:cs="Times New Roman"/>
          <w:b/>
          <w:bCs/>
          <w:i/>
          <w:iCs/>
          <w:sz w:val="21"/>
          <w:szCs w:val="21"/>
        </w:rPr>
      </w:pPr>
      <w:r w:rsidRPr="00C660E3">
        <w:rPr>
          <w:rFonts w:ascii="Times New Roman" w:eastAsia="Calibri" w:hAnsi="Times New Roman" w:cs="Times New Roman"/>
          <w:b/>
          <w:bCs/>
          <w:i/>
          <w:iCs/>
          <w:sz w:val="21"/>
          <w:szCs w:val="21"/>
        </w:rPr>
        <w:t>Радченко М.В.,</w:t>
      </w:r>
    </w:p>
    <w:p w14:paraId="51E47DFC"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rPr>
        <w:t>доцент, к. э.н.</w:t>
      </w:r>
    </w:p>
    <w:p w14:paraId="45C20244" w14:textId="77777777" w:rsidR="002B3211" w:rsidRDefault="002B3211" w:rsidP="002B3211">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EDDBCC0"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rPr>
        <w:t>г. Краснодар, Россия</w:t>
      </w:r>
    </w:p>
    <w:p w14:paraId="5B9EE79E"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r w:rsidRPr="00C660E3">
        <w:rPr>
          <w:rFonts w:ascii="Times New Roman" w:eastAsia="Calibri" w:hAnsi="Times New Roman" w:cs="Times New Roman"/>
          <w:i/>
          <w:iCs/>
          <w:sz w:val="21"/>
          <w:szCs w:val="21"/>
          <w:lang w:val="en-US"/>
        </w:rPr>
        <w:t>e</w:t>
      </w:r>
      <w:r w:rsidRPr="00C660E3">
        <w:rPr>
          <w:rFonts w:ascii="Times New Roman" w:eastAsia="Calibri" w:hAnsi="Times New Roman" w:cs="Times New Roman"/>
          <w:i/>
          <w:iCs/>
          <w:sz w:val="21"/>
          <w:szCs w:val="21"/>
        </w:rPr>
        <w:t>-</w:t>
      </w:r>
      <w:r w:rsidRPr="00C660E3">
        <w:rPr>
          <w:rFonts w:ascii="Times New Roman" w:eastAsia="Calibri" w:hAnsi="Times New Roman" w:cs="Times New Roman"/>
          <w:i/>
          <w:iCs/>
          <w:sz w:val="21"/>
          <w:szCs w:val="21"/>
          <w:lang w:val="en-US"/>
        </w:rPr>
        <w:t>mail</w:t>
      </w:r>
      <w:r w:rsidRPr="00C660E3">
        <w:rPr>
          <w:rFonts w:ascii="Times New Roman" w:eastAsia="Calibri" w:hAnsi="Times New Roman" w:cs="Times New Roman"/>
          <w:i/>
          <w:iCs/>
          <w:sz w:val="21"/>
          <w:szCs w:val="21"/>
        </w:rPr>
        <w:t xml:space="preserve">: </w:t>
      </w:r>
      <w:hyperlink r:id="rId77" w:history="1">
        <w:r w:rsidRPr="00C660E3">
          <w:rPr>
            <w:rFonts w:ascii="Times New Roman" w:eastAsia="Calibri" w:hAnsi="Times New Roman" w:cs="Times New Roman"/>
            <w:i/>
            <w:iCs/>
            <w:color w:val="0563C1"/>
            <w:sz w:val="21"/>
            <w:szCs w:val="21"/>
            <w:u w:val="single"/>
            <w:lang w:val="en-US"/>
          </w:rPr>
          <w:t>mvradchenco</w:t>
        </w:r>
        <w:r w:rsidRPr="00C660E3">
          <w:rPr>
            <w:rFonts w:ascii="Times New Roman" w:eastAsia="Calibri" w:hAnsi="Times New Roman" w:cs="Times New Roman"/>
            <w:i/>
            <w:iCs/>
            <w:color w:val="0563C1"/>
            <w:sz w:val="21"/>
            <w:szCs w:val="21"/>
            <w:u w:val="single"/>
          </w:rPr>
          <w:t>@</w:t>
        </w:r>
        <w:r w:rsidRPr="00C660E3">
          <w:rPr>
            <w:rFonts w:ascii="Times New Roman" w:eastAsia="Calibri" w:hAnsi="Times New Roman" w:cs="Times New Roman"/>
            <w:i/>
            <w:iCs/>
            <w:color w:val="0563C1"/>
            <w:sz w:val="21"/>
            <w:szCs w:val="21"/>
            <w:u w:val="single"/>
            <w:lang w:val="en-US"/>
          </w:rPr>
          <w:t>fa</w:t>
        </w:r>
        <w:r w:rsidRPr="00C660E3">
          <w:rPr>
            <w:rFonts w:ascii="Times New Roman" w:eastAsia="Calibri" w:hAnsi="Times New Roman" w:cs="Times New Roman"/>
            <w:i/>
            <w:iCs/>
            <w:color w:val="0563C1"/>
            <w:sz w:val="21"/>
            <w:szCs w:val="21"/>
            <w:u w:val="single"/>
          </w:rPr>
          <w:t>.</w:t>
        </w:r>
        <w:r w:rsidRPr="00C660E3">
          <w:rPr>
            <w:rFonts w:ascii="Times New Roman" w:eastAsia="Calibri" w:hAnsi="Times New Roman" w:cs="Times New Roman"/>
            <w:i/>
            <w:iCs/>
            <w:color w:val="0563C1"/>
            <w:sz w:val="21"/>
            <w:szCs w:val="21"/>
            <w:u w:val="single"/>
            <w:lang w:val="en-US"/>
          </w:rPr>
          <w:t>ru</w:t>
        </w:r>
      </w:hyperlink>
    </w:p>
    <w:p w14:paraId="7A287861" w14:textId="77777777" w:rsidR="002B3211" w:rsidRPr="00C660E3" w:rsidRDefault="002B3211" w:rsidP="002B3211">
      <w:pPr>
        <w:spacing w:after="0" w:line="240" w:lineRule="auto"/>
        <w:jc w:val="right"/>
        <w:rPr>
          <w:rFonts w:ascii="Times New Roman" w:eastAsia="Calibri" w:hAnsi="Times New Roman" w:cs="Times New Roman"/>
          <w:i/>
          <w:iCs/>
          <w:sz w:val="21"/>
          <w:szCs w:val="21"/>
        </w:rPr>
      </w:pPr>
    </w:p>
    <w:p w14:paraId="7D9F1539" w14:textId="77777777" w:rsidR="002B3211" w:rsidRPr="00C660E3" w:rsidRDefault="002B3211" w:rsidP="002B3211">
      <w:pPr>
        <w:spacing w:line="240" w:lineRule="auto"/>
        <w:jc w:val="center"/>
        <w:rPr>
          <w:rFonts w:ascii="Times New Roman" w:eastAsia="Calibri" w:hAnsi="Times New Roman" w:cs="Times New Roman"/>
          <w:b/>
          <w:bCs/>
          <w:sz w:val="21"/>
          <w:szCs w:val="21"/>
        </w:rPr>
      </w:pPr>
      <w:r w:rsidRPr="00C660E3">
        <w:rPr>
          <w:rFonts w:ascii="Times New Roman" w:eastAsia="Calibri" w:hAnsi="Times New Roman" w:cs="Times New Roman"/>
          <w:b/>
          <w:bCs/>
          <w:sz w:val="21"/>
          <w:szCs w:val="21"/>
        </w:rPr>
        <w:t xml:space="preserve">Экономическая сущность и взаимосвязь функций налогов </w:t>
      </w:r>
    </w:p>
    <w:p w14:paraId="5AFE32CD" w14:textId="7FD48427" w:rsidR="002B3211" w:rsidRPr="00C660E3" w:rsidRDefault="002B3211" w:rsidP="002B3211">
      <w:pPr>
        <w:widowControl w:val="0"/>
        <w:spacing w:after="0" w:line="240" w:lineRule="auto"/>
        <w:ind w:firstLine="567"/>
        <w:jc w:val="both"/>
        <w:rPr>
          <w:rFonts w:ascii="Times New Roman" w:eastAsia="Calibri" w:hAnsi="Times New Roman" w:cs="Times New Roman"/>
          <w:sz w:val="21"/>
          <w:szCs w:val="21"/>
        </w:rPr>
      </w:pPr>
      <w:r w:rsidRPr="00C660E3">
        <w:rPr>
          <w:rFonts w:ascii="Times New Roman" w:eastAsia="Calibri" w:hAnsi="Times New Roman" w:cs="Times New Roman"/>
          <w:b/>
          <w:bCs/>
          <w:sz w:val="21"/>
          <w:szCs w:val="21"/>
        </w:rPr>
        <w:t>Аннотация:</w:t>
      </w:r>
      <w:r w:rsidRPr="00C660E3">
        <w:rPr>
          <w:rFonts w:ascii="Times New Roman" w:eastAsia="Calibri" w:hAnsi="Times New Roman" w:cs="Times New Roman"/>
          <w:sz w:val="21"/>
          <w:szCs w:val="21"/>
        </w:rPr>
        <w:t xml:space="preserve"> Целью научно-исследовательской работы является комплексное изучение экономической сущности налогов и выявление механизмов взаимосвязи их основных функций для оценки влияния этой взаимосвязи на эффективность налоговой политики и экономическое развитие. В данной работе освещаются понятие и принципы</w:t>
      </w:r>
      <w:r w:rsidR="00F73ACD">
        <w:rPr>
          <w:rFonts w:ascii="Times New Roman" w:eastAsia="Calibri" w:hAnsi="Times New Roman" w:cs="Times New Roman"/>
          <w:sz w:val="21"/>
          <w:szCs w:val="21"/>
        </w:rPr>
        <w:t>.</w:t>
      </w:r>
      <w:r w:rsidRPr="00C660E3">
        <w:rPr>
          <w:rFonts w:ascii="Times New Roman" w:eastAsia="Calibri" w:hAnsi="Times New Roman" w:cs="Times New Roman"/>
          <w:sz w:val="21"/>
          <w:szCs w:val="21"/>
        </w:rPr>
        <w:t xml:space="preserve"> Функции налогов и эффективность налоговой системы. Также представлен сравнительный анализ функций налогообложения в Краснодарском крае, Московской области и Красноярском крае.</w:t>
      </w:r>
    </w:p>
    <w:p w14:paraId="64EFCF7E" w14:textId="77777777" w:rsidR="002B3211" w:rsidRPr="00C660E3" w:rsidRDefault="002B3211" w:rsidP="002B3211">
      <w:pPr>
        <w:spacing w:after="0" w:line="240" w:lineRule="auto"/>
        <w:ind w:firstLine="567"/>
        <w:rPr>
          <w:rFonts w:ascii="Times New Roman" w:eastAsia="Calibri" w:hAnsi="Times New Roman" w:cs="Times New Roman"/>
          <w:sz w:val="21"/>
          <w:szCs w:val="21"/>
        </w:rPr>
      </w:pPr>
      <w:r w:rsidRPr="00C660E3">
        <w:rPr>
          <w:rFonts w:ascii="Times New Roman" w:eastAsia="Calibri" w:hAnsi="Times New Roman" w:cs="Times New Roman"/>
          <w:b/>
          <w:bCs/>
          <w:sz w:val="21"/>
          <w:szCs w:val="21"/>
        </w:rPr>
        <w:t>Ключевые слова:</w:t>
      </w:r>
      <w:r w:rsidRPr="00C660E3">
        <w:rPr>
          <w:rFonts w:ascii="Times New Roman" w:eastAsia="Calibri" w:hAnsi="Times New Roman" w:cs="Times New Roman"/>
          <w:sz w:val="21"/>
          <w:szCs w:val="21"/>
        </w:rPr>
        <w:t xml:space="preserve"> налог, фискальная функция, регулирующая функция, стимулирующая функция, распределительная функция, налоговая система, экономическое регулирование.</w:t>
      </w:r>
    </w:p>
    <w:p w14:paraId="5EF7F9A0" w14:textId="77777777" w:rsidR="002B3211" w:rsidRPr="00C660E3" w:rsidRDefault="002B3211" w:rsidP="002B3211">
      <w:pPr>
        <w:spacing w:after="0" w:line="240" w:lineRule="auto"/>
        <w:ind w:firstLine="567"/>
        <w:rPr>
          <w:rFonts w:ascii="Times New Roman" w:eastAsia="Calibri" w:hAnsi="Times New Roman" w:cs="Times New Roman"/>
          <w:sz w:val="21"/>
          <w:szCs w:val="21"/>
        </w:rPr>
      </w:pPr>
    </w:p>
    <w:p w14:paraId="6A305BB2" w14:textId="77777777" w:rsidR="002B3211" w:rsidRPr="00C660E3" w:rsidRDefault="002B3211" w:rsidP="002B3211">
      <w:pPr>
        <w:spacing w:after="0" w:line="240" w:lineRule="auto"/>
        <w:ind w:firstLine="567"/>
        <w:jc w:val="right"/>
        <w:rPr>
          <w:rFonts w:ascii="Times New Roman" w:eastAsia="Calibri" w:hAnsi="Times New Roman" w:cs="Times New Roman"/>
          <w:b/>
          <w:bCs/>
          <w:i/>
          <w:iCs/>
          <w:color w:val="000000"/>
          <w:sz w:val="21"/>
          <w:szCs w:val="21"/>
          <w:lang w:val="en-US"/>
        </w:rPr>
      </w:pPr>
      <w:r w:rsidRPr="00C660E3">
        <w:rPr>
          <w:rFonts w:ascii="Times New Roman" w:eastAsia="Calibri" w:hAnsi="Times New Roman" w:cs="Times New Roman"/>
          <w:b/>
          <w:bCs/>
          <w:i/>
          <w:iCs/>
          <w:color w:val="000000"/>
          <w:sz w:val="21"/>
          <w:szCs w:val="21"/>
          <w:lang w:val="en-US"/>
        </w:rPr>
        <w:t xml:space="preserve">Lubomirskaya O.A., </w:t>
      </w:r>
    </w:p>
    <w:p w14:paraId="5C3A9D12" w14:textId="77777777" w:rsidR="002B3211" w:rsidRPr="00C660E3" w:rsidRDefault="002B3211" w:rsidP="002B3211">
      <w:pPr>
        <w:spacing w:after="0" w:line="240" w:lineRule="auto"/>
        <w:ind w:firstLine="567"/>
        <w:jc w:val="right"/>
        <w:rPr>
          <w:rFonts w:ascii="Times New Roman" w:eastAsia="Calibri" w:hAnsi="Times New Roman" w:cs="Times New Roman"/>
          <w:b/>
          <w:i/>
          <w:iCs/>
          <w:sz w:val="21"/>
          <w:szCs w:val="21"/>
          <w:lang w:val="en-US"/>
        </w:rPr>
      </w:pPr>
      <w:r w:rsidRPr="00C660E3">
        <w:rPr>
          <w:rFonts w:ascii="Times New Roman" w:eastAsia="Calibri" w:hAnsi="Times New Roman" w:cs="Times New Roman"/>
          <w:i/>
          <w:iCs/>
          <w:sz w:val="21"/>
          <w:szCs w:val="21"/>
          <w:lang w:val="en-US"/>
        </w:rPr>
        <w:t>student,</w:t>
      </w:r>
      <w:r w:rsidRPr="00C660E3">
        <w:rPr>
          <w:rFonts w:ascii="Times New Roman" w:eastAsia="Calibri" w:hAnsi="Times New Roman" w:cs="Times New Roman"/>
          <w:i/>
          <w:iCs/>
          <w:lang w:val="en-US"/>
        </w:rPr>
        <w:t xml:space="preserve"> </w:t>
      </w:r>
      <w:r w:rsidRPr="00C660E3">
        <w:rPr>
          <w:rFonts w:ascii="Times New Roman" w:eastAsia="Calibri" w:hAnsi="Times New Roman" w:cs="Times New Roman"/>
          <w:i/>
          <w:iCs/>
          <w:sz w:val="21"/>
          <w:szCs w:val="21"/>
          <w:lang w:val="en-US"/>
        </w:rPr>
        <w:t xml:space="preserve">1 </w:t>
      </w:r>
      <w:proofErr w:type="gramStart"/>
      <w:r w:rsidRPr="00C660E3">
        <w:rPr>
          <w:rFonts w:ascii="Times New Roman" w:eastAsia="Calibri" w:hAnsi="Times New Roman" w:cs="Times New Roman"/>
          <w:i/>
          <w:iCs/>
          <w:sz w:val="21"/>
          <w:szCs w:val="21"/>
          <w:lang w:val="en-US"/>
        </w:rPr>
        <w:t>courses</w:t>
      </w:r>
      <w:proofErr w:type="gramEnd"/>
    </w:p>
    <w:p w14:paraId="4FA89A79" w14:textId="77777777" w:rsidR="002B3211" w:rsidRPr="00C660E3" w:rsidRDefault="002B3211" w:rsidP="002B3211">
      <w:pPr>
        <w:spacing w:after="0" w:line="240" w:lineRule="auto"/>
        <w:ind w:firstLine="567"/>
        <w:jc w:val="right"/>
        <w:rPr>
          <w:rFonts w:ascii="Times New Roman" w:eastAsia="Calibri" w:hAnsi="Times New Roman" w:cs="Times New Roman"/>
          <w:i/>
          <w:iCs/>
          <w:color w:val="000000"/>
          <w:sz w:val="21"/>
          <w:szCs w:val="21"/>
          <w:lang w:val="en-US"/>
        </w:rPr>
      </w:pPr>
      <w:r w:rsidRPr="00C660E3">
        <w:rPr>
          <w:rFonts w:ascii="Times New Roman" w:eastAsia="Calibri" w:hAnsi="Times New Roman" w:cs="Times New Roman"/>
          <w:i/>
          <w:iCs/>
          <w:color w:val="000000"/>
          <w:sz w:val="21"/>
          <w:szCs w:val="21"/>
          <w:lang w:val="en-US"/>
        </w:rPr>
        <w:t>Federal State Educational Budgetary Institution of Higher Education "Financial University under the Government of the Russian Federation"</w:t>
      </w:r>
    </w:p>
    <w:p w14:paraId="123AF31E" w14:textId="77777777" w:rsidR="002B3211" w:rsidRPr="00C660E3" w:rsidRDefault="002B3211" w:rsidP="002B3211">
      <w:pPr>
        <w:spacing w:after="0" w:line="240" w:lineRule="auto"/>
        <w:ind w:firstLine="567"/>
        <w:jc w:val="right"/>
        <w:rPr>
          <w:rFonts w:ascii="Times New Roman" w:eastAsia="Calibri" w:hAnsi="Times New Roman" w:cs="Times New Roman"/>
          <w:i/>
          <w:iCs/>
          <w:color w:val="000000"/>
          <w:sz w:val="21"/>
          <w:szCs w:val="21"/>
          <w:lang w:val="en-US"/>
        </w:rPr>
      </w:pPr>
      <w:r w:rsidRPr="00C660E3">
        <w:rPr>
          <w:rFonts w:ascii="Times New Roman" w:eastAsia="Calibri" w:hAnsi="Times New Roman" w:cs="Times New Roman"/>
          <w:i/>
          <w:iCs/>
          <w:color w:val="000000"/>
          <w:sz w:val="21"/>
          <w:szCs w:val="21"/>
          <w:lang w:val="en-US"/>
        </w:rPr>
        <w:t>Krasnodar, Russia</w:t>
      </w:r>
    </w:p>
    <w:p w14:paraId="7A8D9399" w14:textId="77777777" w:rsidR="002B3211" w:rsidRPr="00C660E3" w:rsidRDefault="002B3211" w:rsidP="002B3211">
      <w:pPr>
        <w:spacing w:after="0" w:line="240" w:lineRule="auto"/>
        <w:jc w:val="right"/>
        <w:rPr>
          <w:rFonts w:ascii="Times New Roman" w:eastAsia="Calibri" w:hAnsi="Times New Roman" w:cs="Times New Roman"/>
          <w:i/>
          <w:iCs/>
          <w:sz w:val="21"/>
          <w:szCs w:val="21"/>
          <w:lang w:val="en-US"/>
        </w:rPr>
      </w:pPr>
      <w:r w:rsidRPr="00C660E3">
        <w:rPr>
          <w:rFonts w:ascii="Times New Roman" w:eastAsia="Calibri" w:hAnsi="Times New Roman" w:cs="Times New Roman"/>
          <w:i/>
          <w:iCs/>
          <w:sz w:val="21"/>
          <w:szCs w:val="21"/>
          <w:lang w:val="en-US"/>
        </w:rPr>
        <w:t xml:space="preserve">e-mail: </w:t>
      </w:r>
      <w:hyperlink r:id="rId78" w:history="1">
        <w:r w:rsidRPr="00C660E3">
          <w:rPr>
            <w:rFonts w:ascii="Times New Roman" w:eastAsia="Calibri" w:hAnsi="Times New Roman" w:cs="Times New Roman"/>
            <w:i/>
            <w:iCs/>
            <w:color w:val="0563C1"/>
            <w:sz w:val="21"/>
            <w:szCs w:val="21"/>
            <w:u w:val="single"/>
            <w:lang w:val="en-US"/>
          </w:rPr>
          <w:t>lubomirskaya070805@gmail.com</w:t>
        </w:r>
      </w:hyperlink>
    </w:p>
    <w:p w14:paraId="24643C49" w14:textId="77777777" w:rsidR="002B3211" w:rsidRPr="00C660E3" w:rsidRDefault="002B3211" w:rsidP="002B3211">
      <w:pPr>
        <w:spacing w:after="0" w:line="240" w:lineRule="auto"/>
        <w:ind w:firstLine="567"/>
        <w:jc w:val="right"/>
        <w:rPr>
          <w:rFonts w:ascii="Times New Roman" w:eastAsia="Calibri" w:hAnsi="Times New Roman" w:cs="Times New Roman"/>
          <w:i/>
          <w:iCs/>
          <w:sz w:val="21"/>
          <w:szCs w:val="21"/>
          <w:lang w:val="en-US"/>
        </w:rPr>
      </w:pPr>
    </w:p>
    <w:p w14:paraId="34697EFB" w14:textId="77777777" w:rsidR="002B3211" w:rsidRPr="00C660E3" w:rsidRDefault="002B3211" w:rsidP="002B3211">
      <w:pPr>
        <w:spacing w:after="0" w:line="240" w:lineRule="auto"/>
        <w:ind w:firstLine="567"/>
        <w:jc w:val="right"/>
        <w:rPr>
          <w:rFonts w:ascii="Times New Roman" w:eastAsia="Calibri" w:hAnsi="Times New Roman" w:cs="Times New Roman"/>
          <w:b/>
          <w:i/>
          <w:sz w:val="21"/>
          <w:szCs w:val="21"/>
          <w:lang w:val="en-US"/>
        </w:rPr>
      </w:pPr>
      <w:r w:rsidRPr="00C660E3">
        <w:rPr>
          <w:rFonts w:ascii="Times New Roman" w:eastAsia="Calibri" w:hAnsi="Times New Roman" w:cs="Times New Roman"/>
          <w:b/>
          <w:i/>
          <w:sz w:val="21"/>
          <w:szCs w:val="21"/>
          <w:lang w:val="en-US"/>
        </w:rPr>
        <w:lastRenderedPageBreak/>
        <w:t>Scientific Adviser:</w:t>
      </w:r>
    </w:p>
    <w:p w14:paraId="4E394171" w14:textId="77777777" w:rsidR="002B3211" w:rsidRPr="00C660E3" w:rsidRDefault="002B3211" w:rsidP="002B3211">
      <w:pPr>
        <w:spacing w:after="0" w:line="240" w:lineRule="auto"/>
        <w:ind w:firstLine="567"/>
        <w:jc w:val="right"/>
        <w:rPr>
          <w:rFonts w:ascii="Times New Roman" w:eastAsia="Calibri" w:hAnsi="Times New Roman" w:cs="Times New Roman"/>
          <w:b/>
          <w:i/>
          <w:sz w:val="21"/>
          <w:szCs w:val="21"/>
          <w:lang w:val="en-US"/>
        </w:rPr>
      </w:pPr>
      <w:r w:rsidRPr="00C660E3">
        <w:rPr>
          <w:rFonts w:ascii="Times New Roman" w:eastAsia="Calibri" w:hAnsi="Times New Roman" w:cs="Times New Roman"/>
          <w:b/>
          <w:i/>
          <w:sz w:val="21"/>
          <w:szCs w:val="21"/>
          <w:lang w:val="en-US"/>
        </w:rPr>
        <w:t>Radchenko M.V.,</w:t>
      </w:r>
    </w:p>
    <w:p w14:paraId="0590793A" w14:textId="77777777" w:rsidR="002B3211" w:rsidRPr="00C660E3" w:rsidRDefault="002B3211" w:rsidP="002B3211">
      <w:pPr>
        <w:spacing w:after="0" w:line="240" w:lineRule="auto"/>
        <w:ind w:firstLine="567"/>
        <w:jc w:val="right"/>
        <w:rPr>
          <w:rFonts w:ascii="Times New Roman" w:eastAsia="Calibri" w:hAnsi="Times New Roman" w:cs="Times New Roman"/>
          <w:i/>
          <w:iCs/>
          <w:sz w:val="21"/>
          <w:szCs w:val="21"/>
          <w:shd w:val="clear" w:color="auto" w:fill="FFFFFF"/>
          <w:lang w:val="en-US"/>
        </w:rPr>
      </w:pPr>
      <w:r w:rsidRPr="00C660E3">
        <w:rPr>
          <w:rFonts w:ascii="Times New Roman" w:eastAsia="Calibri" w:hAnsi="Times New Roman" w:cs="Times New Roman"/>
          <w:i/>
          <w:iCs/>
          <w:sz w:val="21"/>
          <w:szCs w:val="21"/>
          <w:shd w:val="clear" w:color="auto" w:fill="FFFFFF"/>
          <w:lang w:val="en-US"/>
        </w:rPr>
        <w:t>Doctor of Science (Economics),</w:t>
      </w:r>
      <w:r w:rsidRPr="00C660E3">
        <w:rPr>
          <w:rFonts w:ascii="Times New Roman" w:eastAsia="Calibri" w:hAnsi="Times New Roman" w:cs="Times New Roman"/>
          <w:i/>
          <w:lang w:val="en-US"/>
        </w:rPr>
        <w:t xml:space="preserve"> </w:t>
      </w:r>
      <w:r w:rsidRPr="00C660E3">
        <w:rPr>
          <w:rFonts w:ascii="Times New Roman" w:eastAsia="Calibri" w:hAnsi="Times New Roman" w:cs="Times New Roman"/>
          <w:i/>
          <w:iCs/>
          <w:sz w:val="21"/>
          <w:szCs w:val="21"/>
          <w:shd w:val="clear" w:color="auto" w:fill="FFFFFF"/>
          <w:lang w:val="en-US"/>
        </w:rPr>
        <w:t>Docent</w:t>
      </w:r>
    </w:p>
    <w:p w14:paraId="12874C23" w14:textId="77777777" w:rsidR="002B3211" w:rsidRPr="00C660E3" w:rsidRDefault="002B3211" w:rsidP="002B3211">
      <w:pPr>
        <w:spacing w:after="0" w:line="240" w:lineRule="auto"/>
        <w:ind w:firstLine="567"/>
        <w:jc w:val="right"/>
        <w:rPr>
          <w:rFonts w:ascii="Times New Roman" w:eastAsia="Calibri" w:hAnsi="Times New Roman" w:cs="Times New Roman"/>
          <w:i/>
          <w:iCs/>
          <w:color w:val="000000"/>
          <w:sz w:val="21"/>
          <w:szCs w:val="21"/>
          <w:lang w:val="en-US"/>
        </w:rPr>
      </w:pPr>
      <w:r w:rsidRPr="00C660E3">
        <w:rPr>
          <w:rFonts w:ascii="Times New Roman" w:eastAsia="Calibri" w:hAnsi="Times New Roman" w:cs="Times New Roman"/>
          <w:i/>
          <w:iCs/>
          <w:color w:val="000000"/>
          <w:sz w:val="21"/>
          <w:szCs w:val="21"/>
          <w:lang w:val="en-US"/>
        </w:rPr>
        <w:t>Federal State Educational Budgetary Institution of Higher Education "Financial University under the Government of the Russian Federation"</w:t>
      </w:r>
    </w:p>
    <w:p w14:paraId="6B8098AE" w14:textId="77777777" w:rsidR="002B3211" w:rsidRPr="00C660E3" w:rsidRDefault="002B3211" w:rsidP="002B3211">
      <w:pPr>
        <w:spacing w:after="0" w:line="240" w:lineRule="auto"/>
        <w:ind w:firstLine="567"/>
        <w:jc w:val="right"/>
        <w:rPr>
          <w:rFonts w:ascii="Times New Roman" w:eastAsia="Calibri" w:hAnsi="Times New Roman" w:cs="Times New Roman"/>
          <w:i/>
          <w:iCs/>
          <w:color w:val="000000"/>
          <w:sz w:val="21"/>
          <w:szCs w:val="21"/>
          <w:lang w:val="en-US"/>
        </w:rPr>
      </w:pPr>
      <w:r w:rsidRPr="00C660E3">
        <w:rPr>
          <w:rFonts w:ascii="Times New Roman" w:eastAsia="Calibri" w:hAnsi="Times New Roman" w:cs="Times New Roman"/>
          <w:i/>
          <w:iCs/>
          <w:color w:val="000000"/>
          <w:sz w:val="21"/>
          <w:szCs w:val="21"/>
          <w:lang w:val="en-US"/>
        </w:rPr>
        <w:t>Krasnodar, Russia</w:t>
      </w:r>
    </w:p>
    <w:p w14:paraId="3F6E2D5E" w14:textId="77777777" w:rsidR="002B3211" w:rsidRPr="00C660E3" w:rsidRDefault="002B3211" w:rsidP="002B3211">
      <w:pPr>
        <w:spacing w:after="0" w:line="240" w:lineRule="auto"/>
        <w:jc w:val="right"/>
        <w:rPr>
          <w:rFonts w:ascii="Times New Roman" w:eastAsia="Calibri" w:hAnsi="Times New Roman" w:cs="Times New Roman"/>
          <w:i/>
          <w:iCs/>
          <w:sz w:val="21"/>
          <w:szCs w:val="21"/>
          <w:lang w:val="en-US"/>
        </w:rPr>
      </w:pPr>
      <w:r w:rsidRPr="00C660E3">
        <w:rPr>
          <w:rFonts w:ascii="Times New Roman" w:eastAsia="Calibri" w:hAnsi="Times New Roman" w:cs="Times New Roman"/>
          <w:i/>
          <w:iCs/>
          <w:sz w:val="21"/>
          <w:szCs w:val="21"/>
          <w:lang w:val="en-US"/>
        </w:rPr>
        <w:t xml:space="preserve">e-mail: </w:t>
      </w:r>
      <w:hyperlink r:id="rId79" w:history="1">
        <w:r w:rsidRPr="00C660E3">
          <w:rPr>
            <w:rFonts w:ascii="Times New Roman" w:eastAsia="Calibri" w:hAnsi="Times New Roman" w:cs="Times New Roman"/>
            <w:i/>
            <w:iCs/>
            <w:color w:val="0563C1"/>
            <w:sz w:val="21"/>
            <w:szCs w:val="21"/>
            <w:u w:val="single"/>
            <w:lang w:val="en-US"/>
          </w:rPr>
          <w:t>mvradchenco@fa.ru</w:t>
        </w:r>
      </w:hyperlink>
    </w:p>
    <w:p w14:paraId="00CF4732" w14:textId="77777777" w:rsidR="002B3211" w:rsidRPr="00C660E3" w:rsidRDefault="002B3211" w:rsidP="002B3211">
      <w:pPr>
        <w:spacing w:after="0" w:line="240" w:lineRule="auto"/>
        <w:jc w:val="right"/>
        <w:rPr>
          <w:rFonts w:ascii="Times New Roman" w:eastAsia="Calibri" w:hAnsi="Times New Roman" w:cs="Times New Roman"/>
          <w:i/>
          <w:iCs/>
          <w:sz w:val="21"/>
          <w:szCs w:val="21"/>
          <w:lang w:val="en-US"/>
        </w:rPr>
      </w:pPr>
    </w:p>
    <w:p w14:paraId="2AEAE6B0" w14:textId="77777777" w:rsidR="002B3211" w:rsidRPr="00656AA8" w:rsidRDefault="002B3211" w:rsidP="002B3211">
      <w:pPr>
        <w:spacing w:line="240" w:lineRule="auto"/>
        <w:jc w:val="center"/>
        <w:rPr>
          <w:rFonts w:ascii="Times New Roman" w:eastAsia="Calibri" w:hAnsi="Times New Roman" w:cs="Times New Roman"/>
          <w:b/>
          <w:bCs/>
          <w:sz w:val="21"/>
          <w:szCs w:val="21"/>
          <w:lang w:val="en-US"/>
        </w:rPr>
      </w:pPr>
      <w:r w:rsidRPr="00C660E3">
        <w:rPr>
          <w:rFonts w:ascii="Times New Roman" w:eastAsia="Calibri" w:hAnsi="Times New Roman" w:cs="Times New Roman"/>
          <w:b/>
          <w:bCs/>
          <w:sz w:val="21"/>
          <w:szCs w:val="21"/>
          <w:lang w:val="en-US"/>
        </w:rPr>
        <w:t>The economic essence and interrelation of tax functions</w:t>
      </w:r>
    </w:p>
    <w:p w14:paraId="10A0B726" w14:textId="77777777" w:rsidR="002B3211" w:rsidRPr="00C660E3" w:rsidRDefault="002B3211" w:rsidP="002B3211">
      <w:pPr>
        <w:widowControl w:val="0"/>
        <w:spacing w:after="0" w:line="240" w:lineRule="auto"/>
        <w:ind w:firstLine="567"/>
        <w:jc w:val="both"/>
        <w:rPr>
          <w:rFonts w:ascii="Times New Roman" w:eastAsia="Calibri" w:hAnsi="Times New Roman" w:cs="Times New Roman"/>
          <w:sz w:val="21"/>
          <w:szCs w:val="21"/>
          <w:lang w:val="en-US"/>
        </w:rPr>
      </w:pPr>
      <w:r w:rsidRPr="00C660E3">
        <w:rPr>
          <w:rFonts w:ascii="Times New Roman" w:eastAsia="Calibri" w:hAnsi="Times New Roman" w:cs="Times New Roman"/>
          <w:b/>
          <w:bCs/>
          <w:sz w:val="21"/>
          <w:szCs w:val="21"/>
          <w:lang w:val="en-US"/>
        </w:rPr>
        <w:t>Abstract:</w:t>
      </w:r>
      <w:r w:rsidRPr="00C660E3">
        <w:rPr>
          <w:rFonts w:ascii="Times New Roman" w:eastAsia="Calibri" w:hAnsi="Times New Roman" w:cs="Times New Roman"/>
          <w:sz w:val="21"/>
          <w:szCs w:val="21"/>
          <w:lang w:val="en-US"/>
        </w:rPr>
        <w:t xml:space="preserve"> The purpose of the research work is to comprehensively study the economic essence of taxes and identify the mechanisms of interrelation of their main functions in order to assess the impact of this relationship on the effectiveness of tax policy and economic development. This paper highlights the concept and principles of the Tax Function and the effectiveness of the tax system. A comparative analysis of taxation functions in the Krasnodar Territory, the Moscow Region and the Krasnoyarsk Territory is also presented.</w:t>
      </w:r>
    </w:p>
    <w:p w14:paraId="009ED72E" w14:textId="77777777" w:rsidR="002B3211" w:rsidRPr="00C660E3" w:rsidRDefault="002B3211" w:rsidP="002B3211">
      <w:pPr>
        <w:widowControl w:val="0"/>
        <w:spacing w:after="0" w:line="240" w:lineRule="auto"/>
        <w:ind w:firstLine="567"/>
        <w:jc w:val="both"/>
        <w:rPr>
          <w:rFonts w:ascii="Times New Roman" w:eastAsia="Calibri" w:hAnsi="Times New Roman" w:cs="Times New Roman"/>
          <w:sz w:val="21"/>
          <w:szCs w:val="21"/>
          <w:lang w:val="en-US"/>
        </w:rPr>
      </w:pPr>
      <w:r w:rsidRPr="00C660E3">
        <w:rPr>
          <w:rFonts w:ascii="Times New Roman" w:eastAsia="Calibri" w:hAnsi="Times New Roman" w:cs="Times New Roman"/>
          <w:b/>
          <w:bCs/>
          <w:sz w:val="21"/>
          <w:szCs w:val="21"/>
          <w:lang w:val="en-US"/>
        </w:rPr>
        <w:t>Keywords:</w:t>
      </w:r>
      <w:r w:rsidRPr="00C660E3">
        <w:rPr>
          <w:rFonts w:ascii="Times New Roman" w:eastAsia="Calibri" w:hAnsi="Times New Roman" w:cs="Times New Roman"/>
          <w:sz w:val="21"/>
          <w:szCs w:val="21"/>
          <w:lang w:val="en-US"/>
        </w:rPr>
        <w:t xml:space="preserve"> tax, fiscal function, regulatory function, incentive function, distributive function, tax system, economic regulation.</w:t>
      </w:r>
    </w:p>
    <w:p w14:paraId="68B1BB8A" w14:textId="77777777" w:rsidR="002B3211" w:rsidRPr="00656AA8" w:rsidRDefault="002B3211" w:rsidP="002B3211">
      <w:pPr>
        <w:widowControl w:val="0"/>
        <w:spacing w:after="0" w:line="240" w:lineRule="auto"/>
        <w:ind w:firstLine="567"/>
        <w:jc w:val="both"/>
        <w:rPr>
          <w:rFonts w:ascii="Times New Roman" w:eastAsia="Calibri" w:hAnsi="Times New Roman" w:cs="Times New Roman"/>
          <w:sz w:val="32"/>
          <w:szCs w:val="32"/>
          <w:lang w:val="en-US"/>
        </w:rPr>
      </w:pPr>
    </w:p>
    <w:p w14:paraId="05748BB2" w14:textId="77777777" w:rsidR="002B3211" w:rsidRPr="00C660E3" w:rsidRDefault="002B3211" w:rsidP="00F73ACD">
      <w:pPr>
        <w:widowControl w:val="0"/>
        <w:tabs>
          <w:tab w:val="left" w:pos="1134"/>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Налоговая система является одним из ключевых инструментов государственного регулирования экономики. Постоянное изменение экономической конъюнктуры и появление новых экономических субъектов требуют переосмысления традиционных подходов к определению экономической сущности налогов и взаимодействия их функций. Поэтому глубокое понимание экономической сущности налогов и механизмов взаимодействия их функций является необходимым условием для повышения эффективности государственного управления и обеспечения устойчивого экономического развития.</w:t>
      </w:r>
    </w:p>
    <w:p w14:paraId="57A9664B" w14:textId="7774B89F" w:rsidR="002B3211" w:rsidRPr="00F73ACD" w:rsidRDefault="002B3211" w:rsidP="00AD58CD">
      <w:pPr>
        <w:pStyle w:val="a8"/>
        <w:widowControl w:val="0"/>
        <w:numPr>
          <w:ilvl w:val="0"/>
          <w:numId w:val="262"/>
        </w:numPr>
        <w:tabs>
          <w:tab w:val="left" w:pos="1134"/>
        </w:tabs>
        <w:spacing w:after="0" w:line="240" w:lineRule="auto"/>
        <w:ind w:left="0" w:firstLine="709"/>
        <w:jc w:val="both"/>
        <w:rPr>
          <w:rFonts w:ascii="Times New Roman" w:eastAsia="Calibri" w:hAnsi="Times New Roman" w:cs="Times New Roman"/>
          <w:sz w:val="32"/>
          <w:szCs w:val="32"/>
        </w:rPr>
      </w:pPr>
      <w:r w:rsidRPr="00F73ACD">
        <w:rPr>
          <w:rFonts w:ascii="Times New Roman" w:eastAsia="Calibri" w:hAnsi="Times New Roman" w:cs="Times New Roman"/>
          <w:sz w:val="32"/>
          <w:szCs w:val="32"/>
        </w:rPr>
        <w:t>Функции налогов и эффективность налоговой системы</w:t>
      </w:r>
    </w:p>
    <w:p w14:paraId="18C634BF" w14:textId="3705A3AD" w:rsidR="002B3211" w:rsidRPr="00F73ACD" w:rsidRDefault="002B3211" w:rsidP="00AD58CD">
      <w:pPr>
        <w:pStyle w:val="a8"/>
        <w:widowControl w:val="0"/>
        <w:numPr>
          <w:ilvl w:val="1"/>
          <w:numId w:val="262"/>
        </w:numPr>
        <w:tabs>
          <w:tab w:val="left" w:pos="1134"/>
        </w:tabs>
        <w:spacing w:after="0" w:line="240" w:lineRule="auto"/>
        <w:ind w:left="0" w:firstLine="709"/>
        <w:jc w:val="both"/>
        <w:rPr>
          <w:rFonts w:ascii="Times New Roman" w:eastAsia="Calibri" w:hAnsi="Times New Roman" w:cs="Times New Roman"/>
          <w:sz w:val="32"/>
          <w:szCs w:val="32"/>
        </w:rPr>
      </w:pPr>
      <w:r w:rsidRPr="00F73ACD">
        <w:rPr>
          <w:rFonts w:ascii="Times New Roman" w:eastAsia="Calibri" w:hAnsi="Times New Roman" w:cs="Times New Roman"/>
          <w:sz w:val="32"/>
          <w:szCs w:val="32"/>
        </w:rPr>
        <w:t>Экономическая сущность налогов</w:t>
      </w:r>
    </w:p>
    <w:p w14:paraId="33AF5C4C" w14:textId="268DFC49" w:rsidR="002B3211" w:rsidRPr="00C660E3" w:rsidRDefault="002B3211" w:rsidP="00F73ACD">
      <w:pPr>
        <w:widowControl w:val="0"/>
        <w:tabs>
          <w:tab w:val="left" w:pos="1134"/>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Налог – это обязательный, индивидуально безвозмездный платеж, взимаемый с организаций и физических лиц в форме отчуждения</w:t>
      </w:r>
      <w:r w:rsidR="00F73ACD">
        <w:rPr>
          <w:rFonts w:ascii="Times New Roman" w:eastAsia="Calibri" w:hAnsi="Times New Roman" w:cs="Times New Roman"/>
          <w:sz w:val="32"/>
          <w:szCs w:val="32"/>
        </w:rPr>
        <w:t>,</w:t>
      </w:r>
      <w:r>
        <w:rPr>
          <w:rFonts w:ascii="Times New Roman" w:eastAsia="Calibri" w:hAnsi="Times New Roman" w:cs="Times New Roman"/>
          <w:sz w:val="32"/>
          <w:szCs w:val="32"/>
        </w:rPr>
        <w:t xml:space="preserve"> </w:t>
      </w:r>
      <w:r w:rsidRPr="00C660E3">
        <w:rPr>
          <w:rFonts w:ascii="Times New Roman" w:eastAsia="Calibri" w:hAnsi="Times New Roman" w:cs="Times New Roman"/>
          <w:sz w:val="32"/>
          <w:szCs w:val="32"/>
        </w:rPr>
        <w:t>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w:t>
      </w:r>
    </w:p>
    <w:p w14:paraId="69749F68" w14:textId="77777777" w:rsidR="002B3211" w:rsidRPr="00C660E3" w:rsidRDefault="002B3211" w:rsidP="00F73ACD">
      <w:pPr>
        <w:widowControl w:val="0"/>
        <w:tabs>
          <w:tab w:val="left" w:pos="1134"/>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Можно выделить два направления, регулирующих доходность государства в сфере налогообложения: </w:t>
      </w:r>
    </w:p>
    <w:p w14:paraId="3A1443C8" w14:textId="77777777" w:rsidR="002B3211" w:rsidRPr="00C660E3" w:rsidRDefault="002B3211" w:rsidP="00AD58CD">
      <w:pPr>
        <w:widowControl w:val="0"/>
        <w:numPr>
          <w:ilvl w:val="0"/>
          <w:numId w:val="140"/>
        </w:numPr>
        <w:tabs>
          <w:tab w:val="left" w:pos="1134"/>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формирование государственного бюджета за счет сбора налоговых платежей;</w:t>
      </w:r>
    </w:p>
    <w:p w14:paraId="367911D2"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стимулирование по средством рычагов определенных видов экономической деятельности или отраслей экономики. </w:t>
      </w:r>
    </w:p>
    <w:p w14:paraId="5DAD67AD"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Взносы осуществляют основные участники производства ВВП.</w:t>
      </w:r>
    </w:p>
    <w:p w14:paraId="606F2F23"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Налоговая система может перераспределять доходы между различными группами населения. Прогрессивное налогообложение — </w:t>
      </w:r>
      <w:r w:rsidRPr="00C660E3">
        <w:rPr>
          <w:rFonts w:ascii="Times New Roman" w:eastAsia="Calibri" w:hAnsi="Times New Roman" w:cs="Times New Roman"/>
          <w:sz w:val="32"/>
          <w:szCs w:val="32"/>
        </w:rPr>
        <w:lastRenderedPageBreak/>
        <w:t>это система, при которой люди с высокими доходами платят больше налогов. Эти деньги идут на помощь бедным и поддержку социальных программ.</w:t>
      </w:r>
    </w:p>
    <w:p w14:paraId="24704302" w14:textId="77777777" w:rsidR="002B3211" w:rsidRPr="00C660E3" w:rsidRDefault="002B3211" w:rsidP="00F73ACD">
      <w:pPr>
        <w:widowControl w:val="0"/>
        <w:tabs>
          <w:tab w:val="left" w:pos="1276"/>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Экономическая сущность налогов заключается в их многофункциональности. Они служат источником доходов государства, инструментом регулирования экономики и механизмом перераспределения доходов. Понимание этой роли налогов важно для эффективного управления государством и устойчивого экономического развития.</w:t>
      </w:r>
    </w:p>
    <w:p w14:paraId="5B180D24" w14:textId="2EA4C323" w:rsidR="002B3211" w:rsidRPr="00F73ACD" w:rsidRDefault="002B3211" w:rsidP="00AD58CD">
      <w:pPr>
        <w:pStyle w:val="a8"/>
        <w:widowControl w:val="0"/>
        <w:numPr>
          <w:ilvl w:val="1"/>
          <w:numId w:val="262"/>
        </w:numPr>
        <w:tabs>
          <w:tab w:val="left" w:pos="1276"/>
        </w:tabs>
        <w:spacing w:after="0" w:line="240" w:lineRule="auto"/>
        <w:ind w:left="0" w:firstLine="709"/>
        <w:jc w:val="both"/>
        <w:rPr>
          <w:rFonts w:ascii="Times New Roman" w:eastAsia="Calibri" w:hAnsi="Times New Roman" w:cs="Times New Roman"/>
          <w:sz w:val="32"/>
          <w:szCs w:val="32"/>
        </w:rPr>
      </w:pPr>
      <w:r w:rsidRPr="00F73ACD">
        <w:rPr>
          <w:rFonts w:ascii="Times New Roman" w:eastAsia="Calibri" w:hAnsi="Times New Roman" w:cs="Times New Roman"/>
          <w:sz w:val="32"/>
          <w:szCs w:val="32"/>
        </w:rPr>
        <w:t>Систематизация и классификация основных функций налогов</w:t>
      </w:r>
    </w:p>
    <w:p w14:paraId="24D56921" w14:textId="77777777" w:rsidR="002B3211" w:rsidRPr="00C660E3" w:rsidRDefault="002B3211" w:rsidP="00F73ACD">
      <w:pPr>
        <w:widowControl w:val="0"/>
        <w:tabs>
          <w:tab w:val="left" w:pos="1276"/>
        </w:tabs>
        <w:spacing w:after="0" w:line="240" w:lineRule="auto"/>
        <w:ind w:firstLine="709"/>
        <w:jc w:val="both"/>
        <w:rPr>
          <w:rFonts w:ascii="Yandex Sans Text" w:eastAsia="Calibri" w:hAnsi="Yandex Sans Text" w:cs="Times New Roman"/>
          <w:color w:val="FFFFFF"/>
          <w:shd w:val="clear" w:color="auto" w:fill="28282E"/>
        </w:rPr>
      </w:pPr>
      <w:r w:rsidRPr="00C660E3">
        <w:rPr>
          <w:rFonts w:ascii="Times New Roman" w:eastAsia="Calibri" w:hAnsi="Times New Roman" w:cs="Times New Roman"/>
          <w:sz w:val="32"/>
          <w:szCs w:val="32"/>
        </w:rPr>
        <w:t>Основные функции налогов можно классифицировать по различным критериям. Обычно выделяют 4 функции налогов, но их количество и названия могут различаться в зависимости от источника.</w:t>
      </w:r>
    </w:p>
    <w:p w14:paraId="2A2ED57B" w14:textId="77777777" w:rsidR="002B3211" w:rsidRPr="00C660E3" w:rsidRDefault="002B3211" w:rsidP="00F73ACD">
      <w:pPr>
        <w:widowControl w:val="0"/>
        <w:tabs>
          <w:tab w:val="left" w:pos="1276"/>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Фискальная функция налогов – это их основная роль. Она направлена на сбор денег для финансирования государственных нужд. Налоги наполняют бюджет, который используется для реализации социальных программ, обороны и работы государственных органов.</w:t>
      </w:r>
    </w:p>
    <w:p w14:paraId="61C095E4"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Ещё одной важной функцией налогов является регулирующая. Она заключается в том, что изменение налоговых ставок, льгот и освобождений позволяет государству влиять на объёмы производства, инвестиций и другие макроэкономические показатели.</w:t>
      </w:r>
    </w:p>
    <w:p w14:paraId="34432D3C"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Стимулирующая функция налогов направлена на поддержку определенных отраслей экономики или видов деятельности за счет налоговых льгот. Льготы предоставляются для поощрения инноваций, экспорта, развития ключевых отраслей и привлечения инвестиций.</w:t>
      </w:r>
    </w:p>
    <w:p w14:paraId="102B35BC"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Распределительная (социальная) функция. Налоги помогают перераспределять доходы в обществе. Системы прогрессивного налогообложения, в которых более высокие доходы облагаются более высокими ставками, способствуют перераспределению ресурсов от богатых к бедным.</w:t>
      </w:r>
    </w:p>
    <w:p w14:paraId="64B92617"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Налоги играют важную роль в экономике и обществе. Они помогают распределять денежные средства между людьми, оплачивать общественные услуги и поддерживать развитие экономики. Фискальная, регулирующая и стимулирующая функции налогов связаны между собой. </w:t>
      </w:r>
    </w:p>
    <w:p w14:paraId="7FA2D491" w14:textId="78B98095" w:rsidR="002B3211" w:rsidRPr="00F73ACD" w:rsidRDefault="002B3211" w:rsidP="00AD58CD">
      <w:pPr>
        <w:pStyle w:val="a8"/>
        <w:widowControl w:val="0"/>
        <w:numPr>
          <w:ilvl w:val="1"/>
          <w:numId w:val="262"/>
        </w:numPr>
        <w:tabs>
          <w:tab w:val="left" w:pos="993"/>
        </w:tabs>
        <w:spacing w:after="0" w:line="240" w:lineRule="auto"/>
        <w:ind w:left="0" w:firstLine="709"/>
        <w:jc w:val="both"/>
        <w:rPr>
          <w:rFonts w:ascii="Times New Roman" w:eastAsia="Calibri" w:hAnsi="Times New Roman" w:cs="Times New Roman"/>
          <w:sz w:val="32"/>
          <w:szCs w:val="32"/>
        </w:rPr>
      </w:pPr>
      <w:r w:rsidRPr="00F73ACD">
        <w:rPr>
          <w:rFonts w:ascii="Times New Roman" w:eastAsia="Calibri" w:hAnsi="Times New Roman" w:cs="Times New Roman"/>
          <w:sz w:val="32"/>
          <w:szCs w:val="32"/>
        </w:rPr>
        <w:t>Влияние взаимосвязи функций налогов на эффективность налоговой системы </w:t>
      </w:r>
    </w:p>
    <w:p w14:paraId="3A03759F"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Взаимосвязь функций налогов, оказывает значительное влияние </w:t>
      </w:r>
      <w:r w:rsidRPr="00C660E3">
        <w:rPr>
          <w:rFonts w:ascii="Times New Roman" w:eastAsia="Calibri" w:hAnsi="Times New Roman" w:cs="Times New Roman"/>
          <w:sz w:val="32"/>
          <w:szCs w:val="32"/>
        </w:rPr>
        <w:lastRenderedPageBreak/>
        <w:t>на эффективность налоговой системы. Гармоничное взаимодействие этих функций помогает достижению целей налоговой политики. В то же время, конфликты между ними могут снизить эффективность системы и привести к негативным экономическим последствиям.</w:t>
      </w:r>
    </w:p>
    <w:p w14:paraId="31C4228A"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Положительные аспекты взаимосвязи:</w:t>
      </w:r>
    </w:p>
    <w:p w14:paraId="4C6DD070"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синергетический эффект – правильно скоординированные функции могут усиливать друг друга;</w:t>
      </w:r>
    </w:p>
    <w:p w14:paraId="2BE23D65"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оптимизация налоговой нагрузки – разумное сочетание функций позволяет сбалансировать налоговую нагрузку, минимизируя негативное воздействие на экономическую активность;</w:t>
      </w:r>
    </w:p>
    <w:p w14:paraId="215A03F7"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достижение целей налоговой политики – гармоничное взаимодействие функций позволяет достигать целей налоговой политики более эффективно;</w:t>
      </w:r>
    </w:p>
    <w:p w14:paraId="1556DE05"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повышение справедливости налоговой системы – сочетание фискальной и социальной функций позволяет обеспечить более справедливое распределение налогового бремени, направляя дополнительные ресурсы на поддержку малоимущих слоев населения.</w:t>
      </w:r>
    </w:p>
    <w:p w14:paraId="40901DA3"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Негативные аспекты взаимосвязи:</w:t>
      </w:r>
    </w:p>
    <w:p w14:paraId="73CDDC6A"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конфликты между функциями. Например, стимулирующие меры могут снизить налоговые поступления, а высокие налоговые ставки, необходимые для выполнения фискальной функции, могут тормозить экономический рост и снижать инвестиционную активность;</w:t>
      </w:r>
    </w:p>
    <w:p w14:paraId="3B8DC56B"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непродуманные налоговые льготы могут привести к неэффективному использованию ресурсов и недостижению целей стимулирующей функции;</w:t>
      </w:r>
    </w:p>
    <w:p w14:paraId="48DB7DE6"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сложная система налоговых льгот и преференций может увеличить административные издержки для налогоплательщиков и налоговых органов;</w:t>
      </w:r>
    </w:p>
    <w:p w14:paraId="2779CD34" w14:textId="77777777" w:rsidR="002B3211" w:rsidRPr="00C660E3" w:rsidRDefault="002B3211" w:rsidP="00AD58CD">
      <w:pPr>
        <w:widowControl w:val="0"/>
        <w:numPr>
          <w:ilvl w:val="0"/>
          <w:numId w:val="140"/>
        </w:numPr>
        <w:tabs>
          <w:tab w:val="left" w:pos="993"/>
        </w:tabs>
        <w:spacing w:after="0" w:line="240" w:lineRule="auto"/>
        <w:ind w:left="0"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слишком высокая налоговая нагрузка или сложность налоговой системы могут стимулировать рост теневой экономики.</w:t>
      </w:r>
    </w:p>
    <w:p w14:paraId="06C205E8" w14:textId="77777777" w:rsidR="002B3211" w:rsidRPr="00C660E3" w:rsidRDefault="002B3211" w:rsidP="00F73ACD">
      <w:pPr>
        <w:widowControl w:val="0"/>
        <w:tabs>
          <w:tab w:val="left" w:pos="993"/>
        </w:tabs>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Эффективность налоговой системы во многом определяется тем, насколько эффективно сочетаются и взаимодействуют ее основные функции. </w:t>
      </w:r>
    </w:p>
    <w:p w14:paraId="4E3E6A77" w14:textId="011C14B0" w:rsidR="002B3211" w:rsidRPr="00F73ACD" w:rsidRDefault="002B3211" w:rsidP="00AD58CD">
      <w:pPr>
        <w:pStyle w:val="a8"/>
        <w:widowControl w:val="0"/>
        <w:numPr>
          <w:ilvl w:val="0"/>
          <w:numId w:val="262"/>
        </w:numPr>
        <w:tabs>
          <w:tab w:val="left" w:pos="993"/>
        </w:tabs>
        <w:spacing w:after="0" w:line="240" w:lineRule="auto"/>
        <w:ind w:left="0" w:firstLine="709"/>
        <w:jc w:val="both"/>
        <w:rPr>
          <w:rFonts w:ascii="Times New Roman" w:eastAsia="Calibri" w:hAnsi="Times New Roman" w:cs="Times New Roman"/>
          <w:sz w:val="32"/>
          <w:szCs w:val="32"/>
        </w:rPr>
      </w:pPr>
      <w:r w:rsidRPr="00F73ACD">
        <w:rPr>
          <w:rFonts w:ascii="Times New Roman" w:eastAsia="Calibri" w:hAnsi="Times New Roman" w:cs="Times New Roman"/>
          <w:sz w:val="32"/>
          <w:szCs w:val="32"/>
        </w:rPr>
        <w:t>Сравнительный анализ функции налогообложения в Краснодарском крае, Московской области и Красноярском крае</w:t>
      </w:r>
    </w:p>
    <w:p w14:paraId="1FD94A07"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Сравнение функций налогообложения Краснодарского края, Московской области и Красноярского края показывает значительные </w:t>
      </w:r>
      <w:r w:rsidRPr="00C660E3">
        <w:rPr>
          <w:rFonts w:ascii="Times New Roman" w:eastAsia="Calibri" w:hAnsi="Times New Roman" w:cs="Times New Roman"/>
          <w:sz w:val="32"/>
          <w:szCs w:val="32"/>
        </w:rPr>
        <w:lastRenderedPageBreak/>
        <w:t>различия, вызванные их разными экономическими структурами и географическими характеристиками.</w:t>
      </w:r>
    </w:p>
    <w:p w14:paraId="6DF9B2E0"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В Московской области разнообразная экономика с мощной промышленной базой, большое количество состоятельных людей и близость к столице страны, приводит к большой и разнообразной налоговой базе. Налог на доходы, налог на имущество и налог на прибыль организаций являются основными источниками доходов.</w:t>
      </w:r>
    </w:p>
    <w:p w14:paraId="1F502E64"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Краснодарский край больше всего зарабатывает на сельском хозяйстве и туризме. Добыча полезных ископаемых играет здесь меньшую роль. В отличие от Московской области, экономика Краснодарского края не такая разнообразная. Налоговая база в основном зависит от налогов на имущество.</w:t>
      </w:r>
    </w:p>
    <w:p w14:paraId="62108546"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Красноярский край – это регион с богатыми природными ресурсами, где развиты горнодобывающая и металлургическая отрасли, а также лесное хозяйство и энергетика. Основные источники доходов бюджета включают налоги на добычу полезных ископаемых, налог на прибыль крупных компаний в добывающем секторе и налоги на имущество на значительных земельных участках.</w:t>
      </w:r>
    </w:p>
    <w:p w14:paraId="2ED5AB31"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Все три региона обладают определенной автономией в установлении налоговых ставок в рамках федеральных нормативов. Однако их стратегии будут различаться в зависимости от экономических приоритетов.</w:t>
      </w:r>
    </w:p>
    <w:p w14:paraId="56154BB2"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Сравним показатели налоговых поступлений в бюджетную систему Краснодарского края, Московской области и Красноярского края. Для этого были взяты данные с сайта «Аналитический портал ФНС России», представленные на рисунке 2.</w:t>
      </w:r>
    </w:p>
    <w:p w14:paraId="0A05BDCA" w14:textId="77777777" w:rsidR="002B3211" w:rsidRPr="00C660E3" w:rsidRDefault="002B3211" w:rsidP="002B3211">
      <w:pPr>
        <w:widowControl w:val="0"/>
        <w:spacing w:after="0" w:line="240" w:lineRule="auto"/>
        <w:ind w:firstLine="851"/>
        <w:jc w:val="both"/>
        <w:rPr>
          <w:rFonts w:ascii="Times New Roman" w:eastAsia="Calibri" w:hAnsi="Times New Roman" w:cs="Times New Roman"/>
          <w:sz w:val="32"/>
          <w:szCs w:val="32"/>
        </w:rPr>
      </w:pPr>
    </w:p>
    <w:p w14:paraId="194EA4DC" w14:textId="77777777" w:rsidR="002B3211" w:rsidRPr="00C660E3" w:rsidRDefault="002B3211" w:rsidP="002B3211">
      <w:pPr>
        <w:widowControl w:val="0"/>
        <w:spacing w:after="0" w:line="240" w:lineRule="auto"/>
        <w:jc w:val="center"/>
        <w:rPr>
          <w:rFonts w:ascii="Times New Roman" w:eastAsia="Calibri" w:hAnsi="Times New Roman" w:cs="Times New Roman"/>
          <w:sz w:val="32"/>
          <w:szCs w:val="32"/>
        </w:rPr>
      </w:pPr>
      <w:r w:rsidRPr="00C660E3">
        <w:rPr>
          <w:rFonts w:ascii="Times New Roman" w:eastAsia="Calibri" w:hAnsi="Times New Roman" w:cs="Times New Roman"/>
          <w:noProof/>
          <w:sz w:val="32"/>
          <w:szCs w:val="32"/>
          <w:lang w:eastAsia="ru-RU"/>
        </w:rPr>
        <w:drawing>
          <wp:inline distT="0" distB="0" distL="0" distR="0" wp14:anchorId="6642049E" wp14:editId="0DB8097A">
            <wp:extent cx="4739640" cy="1965960"/>
            <wp:effectExtent l="0" t="0" r="3810" b="15240"/>
            <wp:docPr id="1349962249" name="Диаграмма 1349962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917416B" w14:textId="77777777" w:rsidR="002B3211" w:rsidRPr="00C660E3" w:rsidRDefault="002B3211" w:rsidP="002B3211">
      <w:pPr>
        <w:widowControl w:val="0"/>
        <w:spacing w:after="0" w:line="240" w:lineRule="auto"/>
        <w:ind w:firstLine="851"/>
        <w:jc w:val="center"/>
        <w:rPr>
          <w:rFonts w:ascii="Times New Roman" w:eastAsia="Calibri" w:hAnsi="Times New Roman" w:cs="Times New Roman"/>
          <w:sz w:val="32"/>
          <w:szCs w:val="32"/>
        </w:rPr>
      </w:pPr>
    </w:p>
    <w:p w14:paraId="392AC2CE" w14:textId="388019CD" w:rsidR="00F73ACD" w:rsidRDefault="002B3211" w:rsidP="00F73ACD">
      <w:pPr>
        <w:widowControl w:val="0"/>
        <w:spacing w:after="0" w:line="240" w:lineRule="auto"/>
        <w:ind w:firstLine="851"/>
        <w:jc w:val="center"/>
        <w:rPr>
          <w:rFonts w:ascii="Times New Roman" w:eastAsia="Calibri" w:hAnsi="Times New Roman" w:cs="Times New Roman"/>
          <w:sz w:val="32"/>
          <w:szCs w:val="32"/>
        </w:rPr>
      </w:pPr>
      <w:r w:rsidRPr="00C660E3">
        <w:rPr>
          <w:rFonts w:ascii="Times New Roman" w:eastAsia="Calibri" w:hAnsi="Times New Roman" w:cs="Times New Roman"/>
          <w:sz w:val="32"/>
          <w:szCs w:val="32"/>
        </w:rPr>
        <w:t>Рисунок 2 – Налоговые поступления в бюджетную систему регионов РФ</w:t>
      </w:r>
      <w:r w:rsidR="00F73ACD">
        <w:rPr>
          <w:rFonts w:ascii="Times New Roman" w:eastAsia="Calibri" w:hAnsi="Times New Roman" w:cs="Times New Roman"/>
          <w:sz w:val="32"/>
          <w:szCs w:val="32"/>
        </w:rPr>
        <w:br w:type="page"/>
      </w:r>
    </w:p>
    <w:p w14:paraId="27CE3BD4" w14:textId="748345A0" w:rsidR="002B3211"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lastRenderedPageBreak/>
        <w:t>По представленной на рисунке 2 диаграмме видно, что показатели Московской области значительно выше, чем в других рассматриваемых регионах, и с каждым годом они значительно увеличиваются.</w:t>
      </w:r>
      <w:r w:rsidR="00F73ACD">
        <w:rPr>
          <w:rFonts w:ascii="Times New Roman" w:eastAsia="Calibri" w:hAnsi="Times New Roman" w:cs="Times New Roman"/>
          <w:sz w:val="32"/>
          <w:szCs w:val="32"/>
        </w:rPr>
        <w:t xml:space="preserve"> </w:t>
      </w:r>
      <w:r w:rsidRPr="00C660E3">
        <w:rPr>
          <w:rFonts w:ascii="Times New Roman" w:eastAsia="Calibri" w:hAnsi="Times New Roman" w:cs="Times New Roman"/>
          <w:sz w:val="32"/>
          <w:szCs w:val="32"/>
        </w:rPr>
        <w:t xml:space="preserve">Для более полной картины эффективности работы бюджетных систем рассматриваемых регионов, необходимо произвести анализ динамики поступлений в бюджетную систему регионов с 2021 по 2024 года. Для этого рассчитаем показатели абсолютного прироста, темпа роста и темпа прироста. </w:t>
      </w:r>
    </w:p>
    <w:p w14:paraId="6A7C57DC" w14:textId="77777777" w:rsidR="00F73ACD" w:rsidRPr="00C660E3" w:rsidRDefault="00F73ACD" w:rsidP="00F73ACD">
      <w:pPr>
        <w:widowControl w:val="0"/>
        <w:spacing w:after="0" w:line="240" w:lineRule="auto"/>
        <w:ind w:firstLine="709"/>
        <w:jc w:val="both"/>
        <w:rPr>
          <w:rFonts w:ascii="Times New Roman" w:eastAsia="Calibri" w:hAnsi="Times New Roman" w:cs="Times New Roman"/>
          <w:sz w:val="32"/>
          <w:szCs w:val="32"/>
        </w:rPr>
      </w:pPr>
    </w:p>
    <w:p w14:paraId="2DD9ED1D" w14:textId="77777777" w:rsidR="002B3211" w:rsidRPr="00C660E3" w:rsidRDefault="002B3211" w:rsidP="002B3211">
      <w:pPr>
        <w:widowControl w:val="0"/>
        <w:spacing w:after="0" w:line="240" w:lineRule="auto"/>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Таблица 1 – Анализ показателей динамики поступлений в бюджетную систему Краснодарского края с 2021 по 2024 года</w:t>
      </w:r>
    </w:p>
    <w:tbl>
      <w:tblPr>
        <w:tblW w:w="9503" w:type="dxa"/>
        <w:jc w:val="center"/>
        <w:tblLook w:val="04A0" w:firstRow="1" w:lastRow="0" w:firstColumn="1" w:lastColumn="0" w:noHBand="0" w:noVBand="1"/>
      </w:tblPr>
      <w:tblGrid>
        <w:gridCol w:w="1560"/>
        <w:gridCol w:w="2268"/>
        <w:gridCol w:w="2126"/>
        <w:gridCol w:w="1843"/>
        <w:gridCol w:w="1706"/>
      </w:tblGrid>
      <w:tr w:rsidR="002B3211" w:rsidRPr="00C660E3" w14:paraId="61B166A2" w14:textId="77777777" w:rsidTr="00F73ACD">
        <w:trPr>
          <w:trHeight w:val="454"/>
          <w:jc w:val="center"/>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765A9B"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Год</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7EB045"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Поступления в бюджетную систему, млрд. руб.</w:t>
            </w:r>
          </w:p>
        </w:tc>
        <w:tc>
          <w:tcPr>
            <w:tcW w:w="5675" w:type="dxa"/>
            <w:gridSpan w:val="3"/>
            <w:tcBorders>
              <w:top w:val="single" w:sz="4" w:space="0" w:color="auto"/>
              <w:left w:val="nil"/>
              <w:bottom w:val="single" w:sz="4" w:space="0" w:color="auto"/>
              <w:right w:val="single" w:sz="4" w:space="0" w:color="auto"/>
            </w:tcBorders>
            <w:shd w:val="clear" w:color="auto" w:fill="auto"/>
            <w:vAlign w:val="center"/>
            <w:hideMark/>
          </w:tcPr>
          <w:p w14:paraId="2B3D173E"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Цепные показатели динамики</w:t>
            </w:r>
          </w:p>
        </w:tc>
      </w:tr>
      <w:tr w:rsidR="002B3211" w:rsidRPr="00C660E3" w14:paraId="0F87654E" w14:textId="77777777" w:rsidTr="00F73ACD">
        <w:trPr>
          <w:trHeight w:val="454"/>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DBB4F22"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5D7B5F9"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F6CFD93"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абсолютный прирост, млрд. руб.</w:t>
            </w:r>
          </w:p>
        </w:tc>
        <w:tc>
          <w:tcPr>
            <w:tcW w:w="1843" w:type="dxa"/>
            <w:tcBorders>
              <w:top w:val="nil"/>
              <w:left w:val="nil"/>
              <w:bottom w:val="single" w:sz="4" w:space="0" w:color="auto"/>
              <w:right w:val="single" w:sz="4" w:space="0" w:color="auto"/>
            </w:tcBorders>
            <w:shd w:val="clear" w:color="auto" w:fill="auto"/>
            <w:vAlign w:val="center"/>
            <w:hideMark/>
          </w:tcPr>
          <w:p w14:paraId="1348F4BB"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роста, %</w:t>
            </w:r>
          </w:p>
        </w:tc>
        <w:tc>
          <w:tcPr>
            <w:tcW w:w="1706" w:type="dxa"/>
            <w:tcBorders>
              <w:top w:val="nil"/>
              <w:left w:val="nil"/>
              <w:bottom w:val="single" w:sz="4" w:space="0" w:color="auto"/>
              <w:right w:val="single" w:sz="4" w:space="0" w:color="auto"/>
            </w:tcBorders>
            <w:shd w:val="clear" w:color="auto" w:fill="auto"/>
            <w:vAlign w:val="center"/>
            <w:hideMark/>
          </w:tcPr>
          <w:p w14:paraId="70E15504"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прироста, %</w:t>
            </w:r>
          </w:p>
        </w:tc>
      </w:tr>
      <w:tr w:rsidR="002B3211" w:rsidRPr="00C660E3" w14:paraId="67B11C71" w14:textId="77777777" w:rsidTr="00F73ACD">
        <w:trPr>
          <w:trHeight w:val="454"/>
          <w:jc w:val="center"/>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584615B6"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2021</w:t>
            </w:r>
          </w:p>
        </w:tc>
        <w:tc>
          <w:tcPr>
            <w:tcW w:w="2268" w:type="dxa"/>
            <w:tcBorders>
              <w:top w:val="nil"/>
              <w:left w:val="nil"/>
              <w:bottom w:val="single" w:sz="4" w:space="0" w:color="auto"/>
              <w:right w:val="single" w:sz="4" w:space="0" w:color="auto"/>
            </w:tcBorders>
            <w:shd w:val="clear" w:color="auto" w:fill="auto"/>
            <w:vAlign w:val="center"/>
            <w:hideMark/>
          </w:tcPr>
          <w:p w14:paraId="13BBBFAF"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719,40</w:t>
            </w:r>
          </w:p>
        </w:tc>
        <w:tc>
          <w:tcPr>
            <w:tcW w:w="2126" w:type="dxa"/>
            <w:tcBorders>
              <w:top w:val="nil"/>
              <w:left w:val="nil"/>
              <w:bottom w:val="single" w:sz="4" w:space="0" w:color="auto"/>
              <w:right w:val="single" w:sz="4" w:space="0" w:color="auto"/>
            </w:tcBorders>
            <w:shd w:val="clear" w:color="auto" w:fill="auto"/>
            <w:noWrap/>
            <w:vAlign w:val="center"/>
            <w:hideMark/>
          </w:tcPr>
          <w:p w14:paraId="24B56AE0"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5ED1E618"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706" w:type="dxa"/>
            <w:tcBorders>
              <w:top w:val="nil"/>
              <w:left w:val="nil"/>
              <w:bottom w:val="single" w:sz="4" w:space="0" w:color="auto"/>
              <w:right w:val="single" w:sz="4" w:space="0" w:color="auto"/>
            </w:tcBorders>
            <w:shd w:val="clear" w:color="auto" w:fill="auto"/>
            <w:noWrap/>
            <w:vAlign w:val="center"/>
            <w:hideMark/>
          </w:tcPr>
          <w:p w14:paraId="357514F0"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r>
      <w:tr w:rsidR="002B3211" w:rsidRPr="00C660E3" w14:paraId="35237F1D" w14:textId="77777777" w:rsidTr="00F73ACD">
        <w:trPr>
          <w:trHeight w:val="454"/>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9D126A"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2022</w:t>
            </w:r>
          </w:p>
        </w:tc>
        <w:tc>
          <w:tcPr>
            <w:tcW w:w="2268" w:type="dxa"/>
            <w:tcBorders>
              <w:top w:val="nil"/>
              <w:left w:val="nil"/>
              <w:bottom w:val="single" w:sz="4" w:space="0" w:color="auto"/>
              <w:right w:val="single" w:sz="4" w:space="0" w:color="auto"/>
            </w:tcBorders>
            <w:shd w:val="clear" w:color="auto" w:fill="auto"/>
            <w:noWrap/>
            <w:vAlign w:val="center"/>
            <w:hideMark/>
          </w:tcPr>
          <w:p w14:paraId="74D82D8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754,70</w:t>
            </w:r>
          </w:p>
        </w:tc>
        <w:tc>
          <w:tcPr>
            <w:tcW w:w="2126" w:type="dxa"/>
            <w:tcBorders>
              <w:top w:val="nil"/>
              <w:left w:val="nil"/>
              <w:bottom w:val="single" w:sz="4" w:space="0" w:color="auto"/>
              <w:right w:val="single" w:sz="4" w:space="0" w:color="auto"/>
            </w:tcBorders>
            <w:shd w:val="clear" w:color="auto" w:fill="auto"/>
            <w:noWrap/>
            <w:vAlign w:val="center"/>
            <w:hideMark/>
          </w:tcPr>
          <w:p w14:paraId="245820D0"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35,30</w:t>
            </w:r>
          </w:p>
        </w:tc>
        <w:tc>
          <w:tcPr>
            <w:tcW w:w="1843" w:type="dxa"/>
            <w:tcBorders>
              <w:top w:val="nil"/>
              <w:left w:val="nil"/>
              <w:bottom w:val="single" w:sz="4" w:space="0" w:color="auto"/>
              <w:right w:val="single" w:sz="4" w:space="0" w:color="auto"/>
            </w:tcBorders>
            <w:shd w:val="clear" w:color="auto" w:fill="auto"/>
            <w:noWrap/>
            <w:vAlign w:val="center"/>
            <w:hideMark/>
          </w:tcPr>
          <w:p w14:paraId="63EF940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104,91</w:t>
            </w:r>
          </w:p>
        </w:tc>
        <w:tc>
          <w:tcPr>
            <w:tcW w:w="1706" w:type="dxa"/>
            <w:tcBorders>
              <w:top w:val="nil"/>
              <w:left w:val="nil"/>
              <w:bottom w:val="single" w:sz="4" w:space="0" w:color="auto"/>
              <w:right w:val="single" w:sz="4" w:space="0" w:color="auto"/>
            </w:tcBorders>
            <w:shd w:val="clear" w:color="auto" w:fill="auto"/>
            <w:noWrap/>
            <w:vAlign w:val="center"/>
            <w:hideMark/>
          </w:tcPr>
          <w:p w14:paraId="790E5017"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4,91</w:t>
            </w:r>
          </w:p>
        </w:tc>
      </w:tr>
      <w:tr w:rsidR="002B3211" w:rsidRPr="00C660E3" w14:paraId="2955B403" w14:textId="77777777" w:rsidTr="00F73ACD">
        <w:trPr>
          <w:trHeight w:val="454"/>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DD03FA5"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2023</w:t>
            </w:r>
          </w:p>
        </w:tc>
        <w:tc>
          <w:tcPr>
            <w:tcW w:w="2268" w:type="dxa"/>
            <w:tcBorders>
              <w:top w:val="nil"/>
              <w:left w:val="nil"/>
              <w:bottom w:val="single" w:sz="4" w:space="0" w:color="auto"/>
              <w:right w:val="single" w:sz="4" w:space="0" w:color="auto"/>
            </w:tcBorders>
            <w:shd w:val="clear" w:color="auto" w:fill="auto"/>
            <w:noWrap/>
            <w:vAlign w:val="center"/>
            <w:hideMark/>
          </w:tcPr>
          <w:p w14:paraId="29267B0E"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944,50</w:t>
            </w:r>
          </w:p>
        </w:tc>
        <w:tc>
          <w:tcPr>
            <w:tcW w:w="2126" w:type="dxa"/>
            <w:tcBorders>
              <w:top w:val="nil"/>
              <w:left w:val="nil"/>
              <w:bottom w:val="single" w:sz="4" w:space="0" w:color="auto"/>
              <w:right w:val="single" w:sz="4" w:space="0" w:color="auto"/>
            </w:tcBorders>
            <w:shd w:val="clear" w:color="auto" w:fill="auto"/>
            <w:noWrap/>
            <w:vAlign w:val="center"/>
            <w:hideMark/>
          </w:tcPr>
          <w:p w14:paraId="444B80F5"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189,80</w:t>
            </w:r>
          </w:p>
        </w:tc>
        <w:tc>
          <w:tcPr>
            <w:tcW w:w="1843" w:type="dxa"/>
            <w:tcBorders>
              <w:top w:val="nil"/>
              <w:left w:val="nil"/>
              <w:bottom w:val="single" w:sz="4" w:space="0" w:color="auto"/>
              <w:right w:val="single" w:sz="4" w:space="0" w:color="auto"/>
            </w:tcBorders>
            <w:shd w:val="clear" w:color="auto" w:fill="auto"/>
            <w:noWrap/>
            <w:vAlign w:val="center"/>
            <w:hideMark/>
          </w:tcPr>
          <w:p w14:paraId="1F9F0BA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125,15</w:t>
            </w:r>
          </w:p>
        </w:tc>
        <w:tc>
          <w:tcPr>
            <w:tcW w:w="1706" w:type="dxa"/>
            <w:tcBorders>
              <w:top w:val="nil"/>
              <w:left w:val="nil"/>
              <w:bottom w:val="single" w:sz="4" w:space="0" w:color="auto"/>
              <w:right w:val="single" w:sz="4" w:space="0" w:color="auto"/>
            </w:tcBorders>
            <w:shd w:val="clear" w:color="auto" w:fill="auto"/>
            <w:noWrap/>
            <w:vAlign w:val="center"/>
            <w:hideMark/>
          </w:tcPr>
          <w:p w14:paraId="338FA911"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25,15</w:t>
            </w:r>
          </w:p>
        </w:tc>
      </w:tr>
      <w:tr w:rsidR="002B3211" w:rsidRPr="00C660E3" w14:paraId="679F161B" w14:textId="77777777" w:rsidTr="00F73ACD">
        <w:trPr>
          <w:trHeight w:val="454"/>
          <w:jc w:val="center"/>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7E7B1D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2024</w:t>
            </w:r>
          </w:p>
        </w:tc>
        <w:tc>
          <w:tcPr>
            <w:tcW w:w="2268" w:type="dxa"/>
            <w:tcBorders>
              <w:top w:val="nil"/>
              <w:left w:val="nil"/>
              <w:bottom w:val="single" w:sz="4" w:space="0" w:color="auto"/>
              <w:right w:val="single" w:sz="4" w:space="0" w:color="auto"/>
            </w:tcBorders>
            <w:shd w:val="clear" w:color="auto" w:fill="auto"/>
            <w:noWrap/>
            <w:vAlign w:val="center"/>
            <w:hideMark/>
          </w:tcPr>
          <w:p w14:paraId="6E9DEA9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1 095,21</w:t>
            </w:r>
          </w:p>
        </w:tc>
        <w:tc>
          <w:tcPr>
            <w:tcW w:w="2126" w:type="dxa"/>
            <w:tcBorders>
              <w:top w:val="nil"/>
              <w:left w:val="nil"/>
              <w:bottom w:val="single" w:sz="4" w:space="0" w:color="auto"/>
              <w:right w:val="single" w:sz="4" w:space="0" w:color="auto"/>
            </w:tcBorders>
            <w:shd w:val="clear" w:color="auto" w:fill="auto"/>
            <w:noWrap/>
            <w:vAlign w:val="center"/>
            <w:hideMark/>
          </w:tcPr>
          <w:p w14:paraId="3B3D246E"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150,71</w:t>
            </w:r>
          </w:p>
        </w:tc>
        <w:tc>
          <w:tcPr>
            <w:tcW w:w="1843" w:type="dxa"/>
            <w:tcBorders>
              <w:top w:val="nil"/>
              <w:left w:val="nil"/>
              <w:bottom w:val="single" w:sz="4" w:space="0" w:color="auto"/>
              <w:right w:val="single" w:sz="4" w:space="0" w:color="auto"/>
            </w:tcBorders>
            <w:shd w:val="clear" w:color="auto" w:fill="auto"/>
            <w:noWrap/>
            <w:vAlign w:val="center"/>
            <w:hideMark/>
          </w:tcPr>
          <w:p w14:paraId="33AB62C2"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115,96</w:t>
            </w:r>
          </w:p>
        </w:tc>
        <w:tc>
          <w:tcPr>
            <w:tcW w:w="1706" w:type="dxa"/>
            <w:tcBorders>
              <w:top w:val="nil"/>
              <w:left w:val="nil"/>
              <w:bottom w:val="single" w:sz="4" w:space="0" w:color="auto"/>
              <w:right w:val="single" w:sz="4" w:space="0" w:color="auto"/>
            </w:tcBorders>
            <w:shd w:val="clear" w:color="auto" w:fill="auto"/>
            <w:noWrap/>
            <w:vAlign w:val="center"/>
            <w:hideMark/>
          </w:tcPr>
          <w:p w14:paraId="50F87B4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15,96</w:t>
            </w:r>
          </w:p>
        </w:tc>
      </w:tr>
    </w:tbl>
    <w:p w14:paraId="5D20018B" w14:textId="77777777" w:rsidR="002B3211" w:rsidRPr="00C660E3" w:rsidRDefault="002B3211" w:rsidP="002B3211">
      <w:pPr>
        <w:widowControl w:val="0"/>
        <w:spacing w:after="0" w:line="240" w:lineRule="auto"/>
        <w:ind w:firstLine="851"/>
        <w:jc w:val="both"/>
        <w:rPr>
          <w:rFonts w:ascii="Times New Roman" w:eastAsia="Calibri" w:hAnsi="Times New Roman" w:cs="Times New Roman"/>
          <w:sz w:val="32"/>
          <w:szCs w:val="32"/>
        </w:rPr>
      </w:pPr>
    </w:p>
    <w:p w14:paraId="2FE81560"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По таблице 1 можно сказать, что поступления в бюджетную систему региона с каждым годом увеличиваются. В 2023 году наблюдалось наибольшее увеличение показателя на 189,8 млрд. руб., темп прироста составил 25,15 %. За исследуемый период времени с 2021 по 2024 год отрицательных темпов роста, то есть уменьшения поступлений в бюджетную систему края в сравнении с предыдущими, годами не наблюдалось.</w:t>
      </w:r>
    </w:p>
    <w:p w14:paraId="7588E295" w14:textId="77777777" w:rsidR="002B3211" w:rsidRPr="00C660E3" w:rsidRDefault="002B3211" w:rsidP="002B3211">
      <w:pPr>
        <w:widowControl w:val="0"/>
        <w:spacing w:after="0" w:line="240" w:lineRule="auto"/>
        <w:ind w:firstLine="851"/>
        <w:jc w:val="both"/>
        <w:rPr>
          <w:rFonts w:ascii="Times New Roman" w:eastAsia="Calibri" w:hAnsi="Times New Roman" w:cs="Times New Roman"/>
          <w:sz w:val="32"/>
          <w:szCs w:val="32"/>
        </w:rPr>
      </w:pPr>
    </w:p>
    <w:p w14:paraId="1F695EC0" w14:textId="77777777" w:rsidR="002B3211" w:rsidRPr="00C660E3" w:rsidRDefault="002B3211" w:rsidP="002B3211">
      <w:pPr>
        <w:widowControl w:val="0"/>
        <w:spacing w:after="0" w:line="240" w:lineRule="auto"/>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Таблица 2 – Анализ показателей динамики поступлений в бюджетную систему Красноярского края с 2021 по 2024 года</w:t>
      </w:r>
    </w:p>
    <w:tbl>
      <w:tblPr>
        <w:tblW w:w="9458" w:type="dxa"/>
        <w:tblLayout w:type="fixed"/>
        <w:tblLook w:val="04A0" w:firstRow="1" w:lastRow="0" w:firstColumn="1" w:lastColumn="0" w:noHBand="0" w:noVBand="1"/>
      </w:tblPr>
      <w:tblGrid>
        <w:gridCol w:w="1413"/>
        <w:gridCol w:w="2262"/>
        <w:gridCol w:w="2132"/>
        <w:gridCol w:w="1985"/>
        <w:gridCol w:w="1666"/>
      </w:tblGrid>
      <w:tr w:rsidR="002B3211" w:rsidRPr="00C660E3" w14:paraId="254E0087" w14:textId="77777777" w:rsidTr="00EB1CB9">
        <w:trPr>
          <w:trHeight w:val="454"/>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8C53A"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Год</w:t>
            </w:r>
          </w:p>
        </w:tc>
        <w:tc>
          <w:tcPr>
            <w:tcW w:w="2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30AF9"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Поступления в бюджетную систему, млрд. руб.</w:t>
            </w:r>
          </w:p>
        </w:tc>
        <w:tc>
          <w:tcPr>
            <w:tcW w:w="5783" w:type="dxa"/>
            <w:gridSpan w:val="3"/>
            <w:tcBorders>
              <w:top w:val="single" w:sz="4" w:space="0" w:color="auto"/>
              <w:left w:val="nil"/>
              <w:bottom w:val="single" w:sz="4" w:space="0" w:color="auto"/>
              <w:right w:val="single" w:sz="4" w:space="0" w:color="auto"/>
            </w:tcBorders>
            <w:shd w:val="clear" w:color="auto" w:fill="auto"/>
            <w:vAlign w:val="center"/>
            <w:hideMark/>
          </w:tcPr>
          <w:p w14:paraId="3E88E88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Цепные показатели динамики</w:t>
            </w:r>
          </w:p>
        </w:tc>
      </w:tr>
      <w:tr w:rsidR="002B3211" w:rsidRPr="00C660E3" w14:paraId="0E4A0BCE" w14:textId="77777777" w:rsidTr="00EB1CB9">
        <w:trPr>
          <w:trHeight w:val="45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C77015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p>
        </w:tc>
        <w:tc>
          <w:tcPr>
            <w:tcW w:w="2262" w:type="dxa"/>
            <w:vMerge/>
            <w:tcBorders>
              <w:top w:val="single" w:sz="4" w:space="0" w:color="auto"/>
              <w:left w:val="single" w:sz="4" w:space="0" w:color="auto"/>
              <w:bottom w:val="single" w:sz="4" w:space="0" w:color="auto"/>
              <w:right w:val="single" w:sz="4" w:space="0" w:color="auto"/>
            </w:tcBorders>
            <w:vAlign w:val="center"/>
            <w:hideMark/>
          </w:tcPr>
          <w:p w14:paraId="3C7AB587"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p>
        </w:tc>
        <w:tc>
          <w:tcPr>
            <w:tcW w:w="2132" w:type="dxa"/>
            <w:tcBorders>
              <w:top w:val="nil"/>
              <w:left w:val="nil"/>
              <w:bottom w:val="single" w:sz="4" w:space="0" w:color="auto"/>
              <w:right w:val="single" w:sz="4" w:space="0" w:color="auto"/>
            </w:tcBorders>
            <w:shd w:val="clear" w:color="auto" w:fill="auto"/>
            <w:vAlign w:val="center"/>
            <w:hideMark/>
          </w:tcPr>
          <w:p w14:paraId="4A92D6D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абсолютный прирост, млрд. руб.</w:t>
            </w:r>
          </w:p>
        </w:tc>
        <w:tc>
          <w:tcPr>
            <w:tcW w:w="1985" w:type="dxa"/>
            <w:tcBorders>
              <w:top w:val="nil"/>
              <w:left w:val="nil"/>
              <w:bottom w:val="single" w:sz="4" w:space="0" w:color="auto"/>
              <w:right w:val="single" w:sz="4" w:space="0" w:color="auto"/>
            </w:tcBorders>
            <w:shd w:val="clear" w:color="auto" w:fill="auto"/>
            <w:vAlign w:val="center"/>
            <w:hideMark/>
          </w:tcPr>
          <w:p w14:paraId="7E496F17"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роста, %</w:t>
            </w:r>
          </w:p>
        </w:tc>
        <w:tc>
          <w:tcPr>
            <w:tcW w:w="1666" w:type="dxa"/>
            <w:tcBorders>
              <w:top w:val="nil"/>
              <w:left w:val="nil"/>
              <w:bottom w:val="single" w:sz="4" w:space="0" w:color="auto"/>
              <w:right w:val="single" w:sz="4" w:space="0" w:color="auto"/>
            </w:tcBorders>
            <w:shd w:val="clear" w:color="auto" w:fill="auto"/>
            <w:vAlign w:val="center"/>
            <w:hideMark/>
          </w:tcPr>
          <w:p w14:paraId="6237B5E5"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прироста, %</w:t>
            </w:r>
          </w:p>
        </w:tc>
      </w:tr>
      <w:tr w:rsidR="002B3211" w:rsidRPr="00C660E3" w14:paraId="7B57D683" w14:textId="77777777" w:rsidTr="00EB1CB9">
        <w:trPr>
          <w:trHeight w:val="45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389BE"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2021</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07B828C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980,00  </w:t>
            </w:r>
          </w:p>
        </w:tc>
        <w:tc>
          <w:tcPr>
            <w:tcW w:w="2132" w:type="dxa"/>
            <w:tcBorders>
              <w:top w:val="single" w:sz="4" w:space="0" w:color="auto"/>
              <w:left w:val="nil"/>
              <w:bottom w:val="single" w:sz="4" w:space="0" w:color="auto"/>
              <w:right w:val="single" w:sz="4" w:space="0" w:color="auto"/>
            </w:tcBorders>
            <w:shd w:val="clear" w:color="auto" w:fill="auto"/>
            <w:noWrap/>
            <w:vAlign w:val="center"/>
            <w:hideMark/>
          </w:tcPr>
          <w:p w14:paraId="3F01EDB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809EDAF"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3FF028BE"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r>
      <w:tr w:rsidR="002B3211" w:rsidRPr="00C660E3" w14:paraId="0AA4BF13" w14:textId="77777777" w:rsidTr="00EB1CB9">
        <w:trPr>
          <w:trHeight w:val="45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3CD697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2022</w:t>
            </w:r>
          </w:p>
        </w:tc>
        <w:tc>
          <w:tcPr>
            <w:tcW w:w="2262" w:type="dxa"/>
            <w:tcBorders>
              <w:top w:val="single" w:sz="4" w:space="0" w:color="auto"/>
              <w:left w:val="nil"/>
              <w:bottom w:val="single" w:sz="4" w:space="0" w:color="auto"/>
              <w:right w:val="single" w:sz="4" w:space="0" w:color="auto"/>
            </w:tcBorders>
            <w:shd w:val="clear" w:color="auto" w:fill="auto"/>
            <w:vAlign w:val="center"/>
          </w:tcPr>
          <w:p w14:paraId="2A538FB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1 047,96  </w:t>
            </w:r>
          </w:p>
        </w:tc>
        <w:tc>
          <w:tcPr>
            <w:tcW w:w="2132" w:type="dxa"/>
            <w:tcBorders>
              <w:top w:val="single" w:sz="4" w:space="0" w:color="auto"/>
              <w:left w:val="nil"/>
              <w:bottom w:val="single" w:sz="4" w:space="0" w:color="auto"/>
              <w:right w:val="single" w:sz="4" w:space="0" w:color="auto"/>
            </w:tcBorders>
            <w:shd w:val="clear" w:color="auto" w:fill="auto"/>
            <w:noWrap/>
            <w:vAlign w:val="center"/>
          </w:tcPr>
          <w:p w14:paraId="62BDFE3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67,96  </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DCEFC98"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106,93  </w:t>
            </w:r>
          </w:p>
        </w:tc>
        <w:tc>
          <w:tcPr>
            <w:tcW w:w="1666" w:type="dxa"/>
            <w:tcBorders>
              <w:top w:val="single" w:sz="4" w:space="0" w:color="auto"/>
              <w:left w:val="nil"/>
              <w:bottom w:val="single" w:sz="4" w:space="0" w:color="auto"/>
              <w:right w:val="single" w:sz="4" w:space="0" w:color="auto"/>
            </w:tcBorders>
            <w:shd w:val="clear" w:color="auto" w:fill="auto"/>
            <w:noWrap/>
            <w:vAlign w:val="center"/>
          </w:tcPr>
          <w:p w14:paraId="78BD20EB"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6,93  </w:t>
            </w:r>
          </w:p>
        </w:tc>
      </w:tr>
      <w:tr w:rsidR="002B3211" w:rsidRPr="00C660E3" w14:paraId="1789B380" w14:textId="77777777" w:rsidTr="00EB1CB9">
        <w:trPr>
          <w:trHeight w:val="454"/>
        </w:trPr>
        <w:tc>
          <w:tcPr>
            <w:tcW w:w="1413" w:type="dxa"/>
            <w:tcBorders>
              <w:top w:val="nil"/>
              <w:left w:val="single" w:sz="4" w:space="0" w:color="auto"/>
              <w:bottom w:val="single" w:sz="4" w:space="0" w:color="auto"/>
              <w:right w:val="single" w:sz="4" w:space="0" w:color="auto"/>
            </w:tcBorders>
            <w:shd w:val="clear" w:color="auto" w:fill="auto"/>
            <w:vAlign w:val="center"/>
          </w:tcPr>
          <w:p w14:paraId="6D42FE5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2023</w:t>
            </w:r>
          </w:p>
        </w:tc>
        <w:tc>
          <w:tcPr>
            <w:tcW w:w="2262" w:type="dxa"/>
            <w:tcBorders>
              <w:top w:val="nil"/>
              <w:left w:val="nil"/>
              <w:bottom w:val="single" w:sz="4" w:space="0" w:color="auto"/>
              <w:right w:val="single" w:sz="4" w:space="0" w:color="auto"/>
            </w:tcBorders>
            <w:shd w:val="clear" w:color="auto" w:fill="auto"/>
            <w:vAlign w:val="center"/>
          </w:tcPr>
          <w:p w14:paraId="3E25140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1 084,48  </w:t>
            </w:r>
          </w:p>
        </w:tc>
        <w:tc>
          <w:tcPr>
            <w:tcW w:w="2132" w:type="dxa"/>
            <w:tcBorders>
              <w:top w:val="nil"/>
              <w:left w:val="nil"/>
              <w:bottom w:val="single" w:sz="4" w:space="0" w:color="auto"/>
              <w:right w:val="single" w:sz="4" w:space="0" w:color="auto"/>
            </w:tcBorders>
            <w:shd w:val="clear" w:color="auto" w:fill="auto"/>
            <w:noWrap/>
            <w:vAlign w:val="center"/>
          </w:tcPr>
          <w:p w14:paraId="2F7ED751"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36,52  </w:t>
            </w:r>
          </w:p>
        </w:tc>
        <w:tc>
          <w:tcPr>
            <w:tcW w:w="1985" w:type="dxa"/>
            <w:tcBorders>
              <w:top w:val="nil"/>
              <w:left w:val="nil"/>
              <w:bottom w:val="single" w:sz="4" w:space="0" w:color="auto"/>
              <w:right w:val="single" w:sz="4" w:space="0" w:color="auto"/>
            </w:tcBorders>
            <w:shd w:val="clear" w:color="auto" w:fill="auto"/>
            <w:noWrap/>
            <w:vAlign w:val="center"/>
          </w:tcPr>
          <w:p w14:paraId="301718CA"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103,48  </w:t>
            </w:r>
          </w:p>
        </w:tc>
        <w:tc>
          <w:tcPr>
            <w:tcW w:w="1666" w:type="dxa"/>
            <w:tcBorders>
              <w:top w:val="nil"/>
              <w:left w:val="nil"/>
              <w:bottom w:val="single" w:sz="4" w:space="0" w:color="auto"/>
              <w:right w:val="single" w:sz="4" w:space="0" w:color="auto"/>
            </w:tcBorders>
            <w:shd w:val="clear" w:color="auto" w:fill="auto"/>
            <w:noWrap/>
            <w:vAlign w:val="center"/>
          </w:tcPr>
          <w:p w14:paraId="011ED979"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3,48  </w:t>
            </w:r>
          </w:p>
        </w:tc>
      </w:tr>
      <w:tr w:rsidR="002B3211" w:rsidRPr="00C660E3" w14:paraId="2FCD07DD" w14:textId="77777777" w:rsidTr="00EB1CB9">
        <w:trPr>
          <w:trHeight w:val="454"/>
        </w:trPr>
        <w:tc>
          <w:tcPr>
            <w:tcW w:w="1413" w:type="dxa"/>
            <w:tcBorders>
              <w:top w:val="nil"/>
              <w:left w:val="single" w:sz="4" w:space="0" w:color="auto"/>
              <w:bottom w:val="single" w:sz="4" w:space="0" w:color="auto"/>
              <w:right w:val="single" w:sz="4" w:space="0" w:color="auto"/>
            </w:tcBorders>
            <w:shd w:val="clear" w:color="auto" w:fill="auto"/>
            <w:vAlign w:val="center"/>
          </w:tcPr>
          <w:p w14:paraId="18B8065A"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2024</w:t>
            </w:r>
          </w:p>
        </w:tc>
        <w:tc>
          <w:tcPr>
            <w:tcW w:w="2262" w:type="dxa"/>
            <w:tcBorders>
              <w:top w:val="nil"/>
              <w:left w:val="nil"/>
              <w:bottom w:val="single" w:sz="4" w:space="0" w:color="auto"/>
              <w:right w:val="single" w:sz="4" w:space="0" w:color="auto"/>
            </w:tcBorders>
            <w:shd w:val="clear" w:color="auto" w:fill="auto"/>
            <w:vAlign w:val="center"/>
          </w:tcPr>
          <w:p w14:paraId="66D8694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1 251,36  </w:t>
            </w:r>
          </w:p>
        </w:tc>
        <w:tc>
          <w:tcPr>
            <w:tcW w:w="2132" w:type="dxa"/>
            <w:tcBorders>
              <w:top w:val="nil"/>
              <w:left w:val="nil"/>
              <w:bottom w:val="single" w:sz="4" w:space="0" w:color="auto"/>
              <w:right w:val="single" w:sz="4" w:space="0" w:color="auto"/>
            </w:tcBorders>
            <w:shd w:val="clear" w:color="auto" w:fill="auto"/>
            <w:noWrap/>
            <w:vAlign w:val="center"/>
          </w:tcPr>
          <w:p w14:paraId="174C6C7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166,88  </w:t>
            </w:r>
          </w:p>
        </w:tc>
        <w:tc>
          <w:tcPr>
            <w:tcW w:w="1985" w:type="dxa"/>
            <w:tcBorders>
              <w:top w:val="nil"/>
              <w:left w:val="nil"/>
              <w:bottom w:val="single" w:sz="4" w:space="0" w:color="auto"/>
              <w:right w:val="single" w:sz="4" w:space="0" w:color="auto"/>
            </w:tcBorders>
            <w:shd w:val="clear" w:color="auto" w:fill="auto"/>
            <w:noWrap/>
            <w:vAlign w:val="center"/>
          </w:tcPr>
          <w:p w14:paraId="69E96638"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115,39  </w:t>
            </w:r>
          </w:p>
        </w:tc>
        <w:tc>
          <w:tcPr>
            <w:tcW w:w="1666" w:type="dxa"/>
            <w:tcBorders>
              <w:top w:val="nil"/>
              <w:left w:val="nil"/>
              <w:bottom w:val="single" w:sz="4" w:space="0" w:color="auto"/>
              <w:right w:val="single" w:sz="4" w:space="0" w:color="auto"/>
            </w:tcBorders>
            <w:shd w:val="clear" w:color="auto" w:fill="auto"/>
            <w:noWrap/>
            <w:vAlign w:val="center"/>
          </w:tcPr>
          <w:p w14:paraId="3A036882"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15,39  </w:t>
            </w:r>
          </w:p>
        </w:tc>
      </w:tr>
    </w:tbl>
    <w:p w14:paraId="692DDD29" w14:textId="6B130448" w:rsidR="002B3211" w:rsidRDefault="002B3211" w:rsidP="002B3211">
      <w:pPr>
        <w:widowControl w:val="0"/>
        <w:spacing w:after="0" w:line="240" w:lineRule="auto"/>
        <w:ind w:firstLine="851"/>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lastRenderedPageBreak/>
        <w:t>По результатам анализа поступлений в бюджетную систему Красноярского края, представленного в таблице 2, видно, что наибольшее увеличение значения показателя произошло в 2024 году, абсолютный прирост составил 166,88 млрд. руб., а темп роста 15,39 %. Отрицательных темпов прироста за исследуемый период времени не наблюдалось.</w:t>
      </w:r>
    </w:p>
    <w:p w14:paraId="5398336B" w14:textId="77777777" w:rsidR="00F73ACD" w:rsidRPr="00C660E3" w:rsidRDefault="00F73ACD" w:rsidP="002B3211">
      <w:pPr>
        <w:widowControl w:val="0"/>
        <w:spacing w:after="0" w:line="240" w:lineRule="auto"/>
        <w:ind w:firstLine="851"/>
        <w:jc w:val="both"/>
        <w:rPr>
          <w:rFonts w:ascii="Times New Roman" w:eastAsia="Calibri" w:hAnsi="Times New Roman" w:cs="Times New Roman"/>
          <w:sz w:val="32"/>
          <w:szCs w:val="32"/>
        </w:rPr>
      </w:pPr>
    </w:p>
    <w:p w14:paraId="1F8A6B8D" w14:textId="77777777" w:rsidR="002B3211" w:rsidRPr="00C660E3" w:rsidRDefault="002B3211" w:rsidP="002B3211">
      <w:pPr>
        <w:widowControl w:val="0"/>
        <w:spacing w:after="0" w:line="240" w:lineRule="auto"/>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Таблица 3 – Анализ показателей динамики поступлений в бюджетную систему Московской области с 2021 по 2024 года</w:t>
      </w:r>
    </w:p>
    <w:tbl>
      <w:tblPr>
        <w:tblW w:w="9634" w:type="dxa"/>
        <w:tblLook w:val="04A0" w:firstRow="1" w:lastRow="0" w:firstColumn="1" w:lastColumn="0" w:noHBand="0" w:noVBand="1"/>
      </w:tblPr>
      <w:tblGrid>
        <w:gridCol w:w="1413"/>
        <w:gridCol w:w="2268"/>
        <w:gridCol w:w="2126"/>
        <w:gridCol w:w="1985"/>
        <w:gridCol w:w="1842"/>
      </w:tblGrid>
      <w:tr w:rsidR="002B3211" w:rsidRPr="00C660E3" w14:paraId="49C75B54" w14:textId="77777777" w:rsidTr="00F73ACD">
        <w:trPr>
          <w:trHeight w:val="454"/>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6338"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Год</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5D4333"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Поступления в бюджетную систему, млрд. руб.</w:t>
            </w:r>
          </w:p>
        </w:tc>
        <w:tc>
          <w:tcPr>
            <w:tcW w:w="5953" w:type="dxa"/>
            <w:gridSpan w:val="3"/>
            <w:tcBorders>
              <w:top w:val="single" w:sz="4" w:space="0" w:color="auto"/>
              <w:left w:val="nil"/>
              <w:bottom w:val="single" w:sz="4" w:space="0" w:color="auto"/>
              <w:right w:val="single" w:sz="4" w:space="0" w:color="auto"/>
            </w:tcBorders>
            <w:shd w:val="clear" w:color="auto" w:fill="auto"/>
            <w:vAlign w:val="center"/>
            <w:hideMark/>
          </w:tcPr>
          <w:p w14:paraId="58E7A590"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Цепные показатели динамики</w:t>
            </w:r>
          </w:p>
        </w:tc>
      </w:tr>
      <w:tr w:rsidR="002B3211" w:rsidRPr="00C660E3" w14:paraId="41CB0347" w14:textId="77777777" w:rsidTr="00F73ACD">
        <w:trPr>
          <w:trHeight w:val="45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0079371" w14:textId="77777777" w:rsidR="002B3211" w:rsidRPr="00C660E3" w:rsidRDefault="002B3211" w:rsidP="00F73ACD">
            <w:pPr>
              <w:spacing w:after="0" w:line="240" w:lineRule="auto"/>
              <w:rPr>
                <w:rFonts w:ascii="Times New Roman" w:eastAsia="Times New Roman" w:hAnsi="Times New Roman" w:cs="Times New Roman"/>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AFF512" w14:textId="77777777" w:rsidR="002B3211" w:rsidRPr="00C660E3" w:rsidRDefault="002B3211" w:rsidP="00F73ACD">
            <w:pPr>
              <w:spacing w:after="0" w:line="240" w:lineRule="auto"/>
              <w:rPr>
                <w:rFonts w:ascii="Times New Roman" w:eastAsia="Times New Roman" w:hAnsi="Times New Roman" w:cs="Times New Roman"/>
                <w:color w:val="000000"/>
                <w:sz w:val="24"/>
                <w:szCs w:val="2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2599506"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абсолютный прирост, млрд. руб.</w:t>
            </w:r>
          </w:p>
        </w:tc>
        <w:tc>
          <w:tcPr>
            <w:tcW w:w="1985" w:type="dxa"/>
            <w:tcBorders>
              <w:top w:val="nil"/>
              <w:left w:val="nil"/>
              <w:bottom w:val="single" w:sz="4" w:space="0" w:color="auto"/>
              <w:right w:val="single" w:sz="4" w:space="0" w:color="auto"/>
            </w:tcBorders>
            <w:shd w:val="clear" w:color="auto" w:fill="auto"/>
            <w:vAlign w:val="center"/>
            <w:hideMark/>
          </w:tcPr>
          <w:p w14:paraId="61B6D45B"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роста, %</w:t>
            </w:r>
          </w:p>
        </w:tc>
        <w:tc>
          <w:tcPr>
            <w:tcW w:w="1842" w:type="dxa"/>
            <w:tcBorders>
              <w:top w:val="nil"/>
              <w:left w:val="nil"/>
              <w:bottom w:val="single" w:sz="4" w:space="0" w:color="auto"/>
              <w:right w:val="single" w:sz="4" w:space="0" w:color="auto"/>
            </w:tcBorders>
            <w:shd w:val="clear" w:color="auto" w:fill="auto"/>
            <w:vAlign w:val="center"/>
            <w:hideMark/>
          </w:tcPr>
          <w:p w14:paraId="3DFD8458" w14:textId="77777777" w:rsidR="002B3211" w:rsidRPr="00C660E3" w:rsidRDefault="002B3211" w:rsidP="00F73ACD">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темп прироста, %</w:t>
            </w:r>
          </w:p>
        </w:tc>
      </w:tr>
      <w:tr w:rsidR="002B3211" w:rsidRPr="00C660E3" w14:paraId="7053CCCF" w14:textId="77777777" w:rsidTr="00F73ACD">
        <w:trPr>
          <w:trHeight w:val="45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449966F"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2021</w:t>
            </w:r>
          </w:p>
        </w:tc>
        <w:tc>
          <w:tcPr>
            <w:tcW w:w="2268" w:type="dxa"/>
            <w:tcBorders>
              <w:top w:val="nil"/>
              <w:left w:val="nil"/>
              <w:bottom w:val="single" w:sz="4" w:space="0" w:color="auto"/>
              <w:right w:val="single" w:sz="4" w:space="0" w:color="auto"/>
            </w:tcBorders>
            <w:shd w:val="clear" w:color="auto" w:fill="auto"/>
            <w:vAlign w:val="center"/>
            <w:hideMark/>
          </w:tcPr>
          <w:p w14:paraId="361CD96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1 849,14  </w:t>
            </w:r>
          </w:p>
        </w:tc>
        <w:tc>
          <w:tcPr>
            <w:tcW w:w="2126" w:type="dxa"/>
            <w:tcBorders>
              <w:top w:val="nil"/>
              <w:left w:val="nil"/>
              <w:bottom w:val="single" w:sz="4" w:space="0" w:color="auto"/>
              <w:right w:val="single" w:sz="4" w:space="0" w:color="auto"/>
            </w:tcBorders>
            <w:shd w:val="clear" w:color="auto" w:fill="auto"/>
            <w:noWrap/>
            <w:vAlign w:val="center"/>
            <w:hideMark/>
          </w:tcPr>
          <w:p w14:paraId="0BCDC773"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985" w:type="dxa"/>
            <w:tcBorders>
              <w:top w:val="nil"/>
              <w:left w:val="nil"/>
              <w:bottom w:val="single" w:sz="4" w:space="0" w:color="auto"/>
              <w:right w:val="single" w:sz="4" w:space="0" w:color="auto"/>
            </w:tcBorders>
            <w:shd w:val="clear" w:color="auto" w:fill="auto"/>
            <w:noWrap/>
            <w:vAlign w:val="center"/>
            <w:hideMark/>
          </w:tcPr>
          <w:p w14:paraId="706937A1"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hideMark/>
          </w:tcPr>
          <w:p w14:paraId="0F8805D1"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w:t>
            </w:r>
          </w:p>
        </w:tc>
      </w:tr>
      <w:tr w:rsidR="002B3211" w:rsidRPr="00C660E3" w14:paraId="3C9E2325" w14:textId="77777777" w:rsidTr="00F73ACD">
        <w:trPr>
          <w:trHeight w:val="45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9E50FA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2022</w:t>
            </w:r>
          </w:p>
        </w:tc>
        <w:tc>
          <w:tcPr>
            <w:tcW w:w="2268" w:type="dxa"/>
            <w:tcBorders>
              <w:top w:val="nil"/>
              <w:left w:val="nil"/>
              <w:bottom w:val="single" w:sz="4" w:space="0" w:color="auto"/>
              <w:right w:val="single" w:sz="4" w:space="0" w:color="auto"/>
            </w:tcBorders>
            <w:shd w:val="clear" w:color="auto" w:fill="auto"/>
            <w:noWrap/>
            <w:vAlign w:val="center"/>
            <w:hideMark/>
          </w:tcPr>
          <w:p w14:paraId="4395FCE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2 049,91  </w:t>
            </w:r>
          </w:p>
        </w:tc>
        <w:tc>
          <w:tcPr>
            <w:tcW w:w="2126" w:type="dxa"/>
            <w:tcBorders>
              <w:top w:val="nil"/>
              <w:left w:val="nil"/>
              <w:bottom w:val="single" w:sz="4" w:space="0" w:color="auto"/>
              <w:right w:val="single" w:sz="4" w:space="0" w:color="auto"/>
            </w:tcBorders>
            <w:shd w:val="clear" w:color="auto" w:fill="auto"/>
            <w:noWrap/>
            <w:vAlign w:val="center"/>
            <w:hideMark/>
          </w:tcPr>
          <w:p w14:paraId="6C138966"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200,77  </w:t>
            </w:r>
          </w:p>
        </w:tc>
        <w:tc>
          <w:tcPr>
            <w:tcW w:w="1985" w:type="dxa"/>
            <w:tcBorders>
              <w:top w:val="nil"/>
              <w:left w:val="nil"/>
              <w:bottom w:val="single" w:sz="4" w:space="0" w:color="auto"/>
              <w:right w:val="single" w:sz="4" w:space="0" w:color="auto"/>
            </w:tcBorders>
            <w:shd w:val="clear" w:color="auto" w:fill="auto"/>
            <w:noWrap/>
            <w:vAlign w:val="center"/>
            <w:hideMark/>
          </w:tcPr>
          <w:p w14:paraId="448AEE56"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110,86  </w:t>
            </w:r>
          </w:p>
        </w:tc>
        <w:tc>
          <w:tcPr>
            <w:tcW w:w="1842" w:type="dxa"/>
            <w:tcBorders>
              <w:top w:val="nil"/>
              <w:left w:val="nil"/>
              <w:bottom w:val="single" w:sz="4" w:space="0" w:color="auto"/>
              <w:right w:val="single" w:sz="4" w:space="0" w:color="auto"/>
            </w:tcBorders>
            <w:shd w:val="clear" w:color="auto" w:fill="auto"/>
            <w:noWrap/>
            <w:vAlign w:val="center"/>
            <w:hideMark/>
          </w:tcPr>
          <w:p w14:paraId="20E642D2"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10,86  </w:t>
            </w:r>
          </w:p>
        </w:tc>
      </w:tr>
      <w:tr w:rsidR="002B3211" w:rsidRPr="00C660E3" w14:paraId="10F1B2FC" w14:textId="77777777" w:rsidTr="00F73ACD">
        <w:trPr>
          <w:trHeight w:val="45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B70667"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2023</w:t>
            </w:r>
          </w:p>
        </w:tc>
        <w:tc>
          <w:tcPr>
            <w:tcW w:w="2268" w:type="dxa"/>
            <w:tcBorders>
              <w:top w:val="nil"/>
              <w:left w:val="nil"/>
              <w:bottom w:val="single" w:sz="4" w:space="0" w:color="auto"/>
              <w:right w:val="single" w:sz="4" w:space="0" w:color="auto"/>
            </w:tcBorders>
            <w:shd w:val="clear" w:color="auto" w:fill="auto"/>
            <w:noWrap/>
            <w:vAlign w:val="center"/>
            <w:hideMark/>
          </w:tcPr>
          <w:p w14:paraId="1D7D6D98"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2 508,16  </w:t>
            </w:r>
          </w:p>
        </w:tc>
        <w:tc>
          <w:tcPr>
            <w:tcW w:w="2126" w:type="dxa"/>
            <w:tcBorders>
              <w:top w:val="nil"/>
              <w:left w:val="nil"/>
              <w:bottom w:val="single" w:sz="4" w:space="0" w:color="auto"/>
              <w:right w:val="single" w:sz="4" w:space="0" w:color="auto"/>
            </w:tcBorders>
            <w:shd w:val="clear" w:color="auto" w:fill="auto"/>
            <w:noWrap/>
            <w:vAlign w:val="center"/>
            <w:hideMark/>
          </w:tcPr>
          <w:p w14:paraId="6FE2215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458,25  </w:t>
            </w:r>
          </w:p>
        </w:tc>
        <w:tc>
          <w:tcPr>
            <w:tcW w:w="1985" w:type="dxa"/>
            <w:tcBorders>
              <w:top w:val="nil"/>
              <w:left w:val="nil"/>
              <w:bottom w:val="single" w:sz="4" w:space="0" w:color="auto"/>
              <w:right w:val="single" w:sz="4" w:space="0" w:color="auto"/>
            </w:tcBorders>
            <w:shd w:val="clear" w:color="auto" w:fill="auto"/>
            <w:noWrap/>
            <w:vAlign w:val="center"/>
            <w:hideMark/>
          </w:tcPr>
          <w:p w14:paraId="51258DC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122,35  </w:t>
            </w:r>
          </w:p>
        </w:tc>
        <w:tc>
          <w:tcPr>
            <w:tcW w:w="1842" w:type="dxa"/>
            <w:tcBorders>
              <w:top w:val="nil"/>
              <w:left w:val="nil"/>
              <w:bottom w:val="single" w:sz="4" w:space="0" w:color="auto"/>
              <w:right w:val="single" w:sz="4" w:space="0" w:color="auto"/>
            </w:tcBorders>
            <w:shd w:val="clear" w:color="auto" w:fill="auto"/>
            <w:noWrap/>
            <w:vAlign w:val="center"/>
            <w:hideMark/>
          </w:tcPr>
          <w:p w14:paraId="28BDB5BC"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22,35  </w:t>
            </w:r>
          </w:p>
        </w:tc>
      </w:tr>
      <w:tr w:rsidR="002B3211" w:rsidRPr="00C660E3" w14:paraId="499D011D" w14:textId="77777777" w:rsidTr="00F73ACD">
        <w:trPr>
          <w:trHeight w:val="45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36C1E2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2024</w:t>
            </w:r>
          </w:p>
        </w:tc>
        <w:tc>
          <w:tcPr>
            <w:tcW w:w="2268" w:type="dxa"/>
            <w:tcBorders>
              <w:top w:val="nil"/>
              <w:left w:val="nil"/>
              <w:bottom w:val="single" w:sz="4" w:space="0" w:color="auto"/>
              <w:right w:val="single" w:sz="4" w:space="0" w:color="auto"/>
            </w:tcBorders>
            <w:shd w:val="clear" w:color="auto" w:fill="auto"/>
            <w:noWrap/>
            <w:vAlign w:val="center"/>
            <w:hideMark/>
          </w:tcPr>
          <w:p w14:paraId="05CE79C5"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3 048,77  </w:t>
            </w:r>
          </w:p>
        </w:tc>
        <w:tc>
          <w:tcPr>
            <w:tcW w:w="2126" w:type="dxa"/>
            <w:tcBorders>
              <w:top w:val="nil"/>
              <w:left w:val="nil"/>
              <w:bottom w:val="single" w:sz="4" w:space="0" w:color="auto"/>
              <w:right w:val="single" w:sz="4" w:space="0" w:color="auto"/>
            </w:tcBorders>
            <w:shd w:val="clear" w:color="auto" w:fill="auto"/>
            <w:noWrap/>
            <w:vAlign w:val="center"/>
            <w:hideMark/>
          </w:tcPr>
          <w:p w14:paraId="5D2230BD"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540,61  </w:t>
            </w:r>
          </w:p>
        </w:tc>
        <w:tc>
          <w:tcPr>
            <w:tcW w:w="1985" w:type="dxa"/>
            <w:tcBorders>
              <w:top w:val="nil"/>
              <w:left w:val="nil"/>
              <w:bottom w:val="single" w:sz="4" w:space="0" w:color="auto"/>
              <w:right w:val="single" w:sz="4" w:space="0" w:color="auto"/>
            </w:tcBorders>
            <w:shd w:val="clear" w:color="auto" w:fill="auto"/>
            <w:noWrap/>
            <w:vAlign w:val="center"/>
            <w:hideMark/>
          </w:tcPr>
          <w:p w14:paraId="03B4A904"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121,55  </w:t>
            </w:r>
          </w:p>
        </w:tc>
        <w:tc>
          <w:tcPr>
            <w:tcW w:w="1842" w:type="dxa"/>
            <w:tcBorders>
              <w:top w:val="nil"/>
              <w:left w:val="nil"/>
              <w:bottom w:val="single" w:sz="4" w:space="0" w:color="auto"/>
              <w:right w:val="single" w:sz="4" w:space="0" w:color="auto"/>
            </w:tcBorders>
            <w:shd w:val="clear" w:color="auto" w:fill="auto"/>
            <w:noWrap/>
            <w:vAlign w:val="center"/>
            <w:hideMark/>
          </w:tcPr>
          <w:p w14:paraId="44C4B693" w14:textId="77777777" w:rsidR="002B3211" w:rsidRPr="00C660E3" w:rsidRDefault="002B3211" w:rsidP="00EB1CB9">
            <w:pPr>
              <w:spacing w:after="0" w:line="240" w:lineRule="auto"/>
              <w:jc w:val="center"/>
              <w:rPr>
                <w:rFonts w:ascii="Times New Roman" w:eastAsia="Times New Roman" w:hAnsi="Times New Roman" w:cs="Times New Roman"/>
                <w:color w:val="000000"/>
                <w:sz w:val="24"/>
                <w:szCs w:val="24"/>
                <w:lang w:eastAsia="ru-RU"/>
              </w:rPr>
            </w:pPr>
            <w:r w:rsidRPr="00C660E3">
              <w:rPr>
                <w:rFonts w:ascii="Times New Roman" w:eastAsia="Times New Roman" w:hAnsi="Times New Roman" w:cs="Times New Roman"/>
                <w:color w:val="000000"/>
                <w:sz w:val="24"/>
                <w:szCs w:val="24"/>
                <w:lang w:eastAsia="ru-RU"/>
              </w:rPr>
              <w:t xml:space="preserve">21,55  </w:t>
            </w:r>
          </w:p>
        </w:tc>
      </w:tr>
    </w:tbl>
    <w:p w14:paraId="27409BF7" w14:textId="77777777" w:rsidR="002B3211" w:rsidRPr="00C660E3" w:rsidRDefault="002B3211" w:rsidP="002B3211">
      <w:pPr>
        <w:widowControl w:val="0"/>
        <w:spacing w:after="0" w:line="240" w:lineRule="auto"/>
        <w:ind w:firstLine="851"/>
        <w:jc w:val="both"/>
        <w:rPr>
          <w:rFonts w:ascii="Times New Roman" w:eastAsia="Calibri" w:hAnsi="Times New Roman" w:cs="Times New Roman"/>
          <w:sz w:val="32"/>
          <w:szCs w:val="32"/>
        </w:rPr>
      </w:pPr>
    </w:p>
    <w:p w14:paraId="74AC11D1"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По представленным в таблице 3 результатам анализа, видно, что наибольшее увеличение показателя произошло в 2024 году по сравнению с предыдущим годом на 540,61 млрд. руб., а темп прироста составил 21,55 %. Однако в 2023 году абсолютный прирост был меньше</w:t>
      </w:r>
      <w:r>
        <w:rPr>
          <w:rFonts w:ascii="Times New Roman" w:eastAsia="Calibri" w:hAnsi="Times New Roman" w:cs="Times New Roman"/>
          <w:sz w:val="32"/>
          <w:szCs w:val="32"/>
        </w:rPr>
        <w:t>,</w:t>
      </w:r>
      <w:r w:rsidRPr="00C660E3">
        <w:rPr>
          <w:rFonts w:ascii="Times New Roman" w:eastAsia="Calibri" w:hAnsi="Times New Roman" w:cs="Times New Roman"/>
          <w:sz w:val="32"/>
          <w:szCs w:val="32"/>
        </w:rPr>
        <w:t xml:space="preserve"> чем в 2024 году и составил 458,25 млрд. руб., но темп роста составил 22,35 % и оказался максимальным за исследуемый период. Отрицательных темпов прироста за исследуемый период времени не наблюдалось. </w:t>
      </w:r>
    </w:p>
    <w:p w14:paraId="08347CE2"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Если рассматривать изменение показателей 2024 года к 2021 году абсолютный прирост и тем прироста окажутся наибольшими в Московской области и составят 1199,63 млрд. руб. и 64,88 % соответственно. Московская область имеет более развитую и эффективную систему налогообложения благодаря развитой экономике и инфраструктуре.</w:t>
      </w:r>
    </w:p>
    <w:p w14:paraId="60A7AA9D"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Краснодарский край окажется на втором месте со значениями показателей абсолютного прироста 375,81 млрд. руб., темп прироста 52,24 %. Регион может сталкиваться с трудностями со сбором налогов в неформальном сельскохозяйственном секторе.</w:t>
      </w:r>
    </w:p>
    <w:p w14:paraId="1B4931F0"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Значения показателей в Красноярском крае, среди рассматриваемых регионов, будут наименьшими, абсолютный </w:t>
      </w:r>
      <w:r w:rsidRPr="00C660E3">
        <w:rPr>
          <w:rFonts w:ascii="Times New Roman" w:eastAsia="Calibri" w:hAnsi="Times New Roman" w:cs="Times New Roman"/>
          <w:sz w:val="32"/>
          <w:szCs w:val="32"/>
        </w:rPr>
        <w:lastRenderedPageBreak/>
        <w:t>прирост составит 271,36 млрд. руб., а темп прироста 27,69 %. Географически обширный и малонаселенный характер Красноярского края, в сочетании с потенциально удаленными месторождениями полезных ископаемых, создает значительные логистические и административные проблемы для эффективного сбора налогов.</w:t>
      </w:r>
    </w:p>
    <w:p w14:paraId="620D830D"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Эти три региона демонстрируют совершенно разные экономические профили, что приводит к различным налоговым базам и структурам доходов.</w:t>
      </w:r>
    </w:p>
    <w:p w14:paraId="545B00BD"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В заключении к данной работе можно сделать выводы, что взаимосвязь функций налогов проявляется в том, что эффективность выполнения одной функции напрямую зависит от других. </w:t>
      </w:r>
    </w:p>
    <w:p w14:paraId="42384693"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 xml:space="preserve">Анализ изменения налоговых показателей исследуемых регионов с 2021 по 2024 годы демонстрирует значительные региональные различия. Московская область демонстрирует наиболее впечатляющие результаты, что свидетельствует о высокоэффективной системе налогообложения, обусловленной развитой экономикой и инфраструктурой. Краснодарский край занимает второе место, при этом потенциальные проблемы со сбором налогов в неформальном сельском хозяйстве могут сдерживать дальнейший рост. Наименьшие показатели наблюдаются в Красноярском крае, что объясняется его географическими особенностями и логистическими трудностями, связанными с удаленными месторождениями полезных ископаемых, затрудняющими эффективный налоговый контроль. </w:t>
      </w:r>
    </w:p>
    <w:p w14:paraId="03F84F2C" w14:textId="77777777" w:rsidR="002B3211" w:rsidRPr="00C660E3" w:rsidRDefault="002B3211" w:rsidP="00F73ACD">
      <w:pPr>
        <w:widowControl w:val="0"/>
        <w:spacing w:after="0" w:line="240" w:lineRule="auto"/>
        <w:ind w:firstLine="709"/>
        <w:jc w:val="both"/>
        <w:rPr>
          <w:rFonts w:ascii="Times New Roman" w:eastAsia="Calibri" w:hAnsi="Times New Roman" w:cs="Times New Roman"/>
          <w:sz w:val="32"/>
          <w:szCs w:val="32"/>
        </w:rPr>
      </w:pPr>
      <w:r w:rsidRPr="00C660E3">
        <w:rPr>
          <w:rFonts w:ascii="Times New Roman" w:eastAsia="Calibri" w:hAnsi="Times New Roman" w:cs="Times New Roman"/>
          <w:sz w:val="32"/>
          <w:szCs w:val="32"/>
        </w:rPr>
        <w:t>Эффективность налоговой системы существенно зависит от макроэкономических факторов, уровня развития инфраструктуры и особенностей региональной структуры экономики.</w:t>
      </w:r>
    </w:p>
    <w:p w14:paraId="6801EF53" w14:textId="77777777" w:rsidR="002B3211" w:rsidRPr="00F1519A" w:rsidRDefault="002B3211" w:rsidP="002B3211">
      <w:pPr>
        <w:rPr>
          <w:rFonts w:ascii="Times New Roman" w:eastAsia="Calibri" w:hAnsi="Times New Roman" w:cs="Times New Roman"/>
          <w:sz w:val="24"/>
          <w:szCs w:val="24"/>
        </w:rPr>
      </w:pPr>
    </w:p>
    <w:p w14:paraId="2D4720AA" w14:textId="77777777" w:rsidR="002B3211" w:rsidRPr="00C660E3" w:rsidRDefault="002B3211" w:rsidP="002B3211">
      <w:pPr>
        <w:spacing w:after="0"/>
        <w:jc w:val="center"/>
        <w:rPr>
          <w:rFonts w:ascii="Times New Roman" w:eastAsia="Calibri" w:hAnsi="Times New Roman" w:cs="Times New Roman"/>
          <w:b/>
          <w:bCs/>
          <w:sz w:val="21"/>
          <w:szCs w:val="21"/>
        </w:rPr>
      </w:pPr>
      <w:r w:rsidRPr="00C660E3">
        <w:rPr>
          <w:rFonts w:ascii="Times New Roman" w:eastAsia="Calibri" w:hAnsi="Times New Roman" w:cs="Times New Roman"/>
          <w:b/>
          <w:bCs/>
          <w:sz w:val="21"/>
          <w:szCs w:val="21"/>
        </w:rPr>
        <w:t>Литертура:</w:t>
      </w:r>
    </w:p>
    <w:p w14:paraId="1CBCE79C" w14:textId="77777777" w:rsidR="002B3211" w:rsidRPr="00C660E3" w:rsidRDefault="002B3211" w:rsidP="00AD58CD">
      <w:pPr>
        <w:widowControl w:val="0"/>
        <w:numPr>
          <w:ilvl w:val="0"/>
          <w:numId w:val="141"/>
        </w:numPr>
        <w:spacing w:after="0" w:line="240" w:lineRule="auto"/>
        <w:ind w:left="0" w:firstLine="0"/>
        <w:contextualSpacing/>
        <w:jc w:val="both"/>
        <w:rPr>
          <w:rFonts w:ascii="Times New Roman" w:eastAsia="Calibri" w:hAnsi="Times New Roman" w:cs="Times New Roman"/>
          <w:sz w:val="21"/>
          <w:szCs w:val="21"/>
        </w:rPr>
      </w:pPr>
      <w:r w:rsidRPr="00C660E3">
        <w:rPr>
          <w:rFonts w:ascii="Times New Roman" w:eastAsia="Calibri" w:hAnsi="Times New Roman" w:cs="Times New Roman"/>
          <w:sz w:val="21"/>
          <w:szCs w:val="21"/>
        </w:rPr>
        <w:t xml:space="preserve">Российская Федерация. Законы. Налоговый кодекс Российской Федерации часть 2: Федеральный закон № 117-ФЗ: редакция от 22 апреля 2024 года: [принят Государственной Думой 19.07.2000 г.: одобрен Советом Федерации 26.07.2000 г.]. – Текст: электронный // СПС «Гарант» [сайт] – URL: </w:t>
      </w:r>
      <w:hyperlink r:id="rId81" w:anchor="/document/10900200" w:history="1">
        <w:r w:rsidRPr="00C660E3">
          <w:rPr>
            <w:rFonts w:ascii="Times New Roman" w:eastAsia="Calibri" w:hAnsi="Times New Roman" w:cs="Times New Roman"/>
            <w:sz w:val="21"/>
            <w:szCs w:val="21"/>
          </w:rPr>
          <w:t>https://study.garant.ru/#/document/10900200</w:t>
        </w:r>
      </w:hyperlink>
      <w:r w:rsidRPr="00C660E3">
        <w:rPr>
          <w:rFonts w:ascii="Times New Roman" w:eastAsia="Calibri" w:hAnsi="Times New Roman" w:cs="Times New Roman"/>
          <w:sz w:val="21"/>
          <w:szCs w:val="21"/>
        </w:rPr>
        <w:t xml:space="preserve"> (дата обращения: 02.05.2025 г.).</w:t>
      </w:r>
    </w:p>
    <w:p w14:paraId="160E1AF3" w14:textId="0077516A" w:rsidR="002B3211" w:rsidRPr="00C660E3" w:rsidRDefault="002B3211" w:rsidP="00AD58CD">
      <w:pPr>
        <w:widowControl w:val="0"/>
        <w:numPr>
          <w:ilvl w:val="0"/>
          <w:numId w:val="141"/>
        </w:numPr>
        <w:spacing w:after="0" w:line="240" w:lineRule="auto"/>
        <w:ind w:left="0" w:firstLine="0"/>
        <w:contextualSpacing/>
        <w:jc w:val="both"/>
        <w:rPr>
          <w:rFonts w:ascii="Times New Roman" w:eastAsia="Calibri" w:hAnsi="Times New Roman" w:cs="Times New Roman"/>
          <w:sz w:val="21"/>
          <w:szCs w:val="21"/>
        </w:rPr>
      </w:pPr>
      <w:r w:rsidRPr="00C660E3">
        <w:rPr>
          <w:rFonts w:ascii="Times New Roman" w:eastAsia="Calibri" w:hAnsi="Times New Roman" w:cs="Times New Roman"/>
          <w:sz w:val="21"/>
          <w:szCs w:val="21"/>
        </w:rPr>
        <w:t>Налоги и налогообложение: учебник и практикум для вузов / Г.Б. Поляк [и др.]; под редакцией Г.Б. Поляк, Е.Е. Смирнова. – 5-е изд., перераб</w:t>
      </w:r>
      <w:proofErr w:type="gramStart"/>
      <w:r w:rsidRPr="00C660E3">
        <w:rPr>
          <w:rFonts w:ascii="Times New Roman" w:eastAsia="Calibri" w:hAnsi="Times New Roman" w:cs="Times New Roman"/>
          <w:sz w:val="21"/>
          <w:szCs w:val="21"/>
        </w:rPr>
        <w:t>.</w:t>
      </w:r>
      <w:proofErr w:type="gramEnd"/>
      <w:r w:rsidRPr="00C660E3">
        <w:rPr>
          <w:rFonts w:ascii="Times New Roman" w:eastAsia="Calibri" w:hAnsi="Times New Roman" w:cs="Times New Roman"/>
          <w:sz w:val="21"/>
          <w:szCs w:val="21"/>
        </w:rPr>
        <w:t xml:space="preserve"> и доп. – Москва: Юрайт, 2024 г.</w:t>
      </w:r>
      <w:r w:rsidR="00F73ACD">
        <w:rPr>
          <w:rFonts w:ascii="Times New Roman" w:eastAsia="Calibri" w:hAnsi="Times New Roman" w:cs="Times New Roman"/>
          <w:sz w:val="21"/>
          <w:szCs w:val="21"/>
        </w:rPr>
        <w:t xml:space="preserve"> </w:t>
      </w:r>
      <w:r w:rsidRPr="00C660E3">
        <w:rPr>
          <w:rFonts w:ascii="Times New Roman" w:eastAsia="Calibri" w:hAnsi="Times New Roman" w:cs="Times New Roman"/>
          <w:sz w:val="21"/>
          <w:szCs w:val="21"/>
        </w:rPr>
        <w:t>– 433 с. – (Высшее образование). – ISBN 978-5-534-16920-1. – Текст: электронный // Образовательная платформа Юрайт [сайт]. – URL: </w:t>
      </w:r>
      <w:hyperlink r:id="rId82" w:history="1">
        <w:r w:rsidRPr="00C660E3">
          <w:rPr>
            <w:rFonts w:ascii="Times New Roman" w:eastAsia="Calibri" w:hAnsi="Times New Roman" w:cs="Times New Roman"/>
            <w:sz w:val="21"/>
            <w:szCs w:val="21"/>
          </w:rPr>
          <w:t>https://urait.ru/bcode/535665</w:t>
        </w:r>
      </w:hyperlink>
      <w:r w:rsidRPr="00C660E3">
        <w:rPr>
          <w:rFonts w:ascii="Times New Roman" w:eastAsia="Calibri" w:hAnsi="Times New Roman" w:cs="Times New Roman"/>
          <w:sz w:val="21"/>
          <w:szCs w:val="21"/>
        </w:rPr>
        <w:t>.</w:t>
      </w:r>
    </w:p>
    <w:p w14:paraId="362C967F" w14:textId="77777777" w:rsidR="002B3211" w:rsidRPr="00C660E3" w:rsidRDefault="002B3211" w:rsidP="00AD58CD">
      <w:pPr>
        <w:widowControl w:val="0"/>
        <w:numPr>
          <w:ilvl w:val="0"/>
          <w:numId w:val="141"/>
        </w:numPr>
        <w:spacing w:after="0" w:line="240" w:lineRule="auto"/>
        <w:ind w:left="0" w:firstLine="0"/>
        <w:contextualSpacing/>
        <w:jc w:val="both"/>
        <w:rPr>
          <w:rFonts w:ascii="Times New Roman" w:eastAsia="Calibri" w:hAnsi="Times New Roman" w:cs="Times New Roman"/>
          <w:sz w:val="21"/>
          <w:szCs w:val="21"/>
        </w:rPr>
      </w:pPr>
      <w:r w:rsidRPr="00C660E3">
        <w:rPr>
          <w:rFonts w:ascii="Times New Roman" w:eastAsia="Calibri" w:hAnsi="Times New Roman" w:cs="Times New Roman"/>
          <w:sz w:val="21"/>
          <w:szCs w:val="21"/>
        </w:rPr>
        <w:t xml:space="preserve">Проведение расчетов с бюджетом и внебюджетными фондами: учебное пособие для среднего профессионального образования / О.В. Каурова, А.Н. Малолетко, О.В. Шинкарева. – Москва: КноРус, 2023 г. – 220 с. – (Среднее профессиональное образование). – ISBN 978-5-406-11414-8. – Текст: непосредственный. </w:t>
      </w:r>
    </w:p>
    <w:p w14:paraId="67966525" w14:textId="2598B56B" w:rsidR="00F73ACD" w:rsidRDefault="002B3211" w:rsidP="00AD58CD">
      <w:pPr>
        <w:widowControl w:val="0"/>
        <w:numPr>
          <w:ilvl w:val="0"/>
          <w:numId w:val="141"/>
        </w:numPr>
        <w:spacing w:after="0" w:line="240" w:lineRule="auto"/>
        <w:ind w:left="0" w:firstLine="0"/>
        <w:contextualSpacing/>
        <w:jc w:val="both"/>
        <w:rPr>
          <w:rFonts w:ascii="Times New Roman" w:eastAsia="Calibri" w:hAnsi="Times New Roman" w:cs="Times New Roman"/>
          <w:sz w:val="21"/>
          <w:szCs w:val="21"/>
        </w:rPr>
      </w:pPr>
      <w:r w:rsidRPr="00C660E3">
        <w:rPr>
          <w:rFonts w:ascii="Times New Roman" w:eastAsia="Calibri" w:hAnsi="Times New Roman" w:cs="Times New Roman"/>
          <w:sz w:val="21"/>
          <w:szCs w:val="21"/>
        </w:rPr>
        <w:t xml:space="preserve">Федеральная налоговая служба. Аналитический портал ФНС России.: [сайт]. – Москва – Обновляется в течение суток. – Текст: электронный. – URL: </w:t>
      </w:r>
      <w:hyperlink r:id="rId83" w:history="1">
        <w:r w:rsidRPr="00C660E3">
          <w:rPr>
            <w:rFonts w:ascii="Times New Roman" w:eastAsia="Calibri" w:hAnsi="Times New Roman" w:cs="Times New Roman"/>
            <w:sz w:val="21"/>
            <w:szCs w:val="21"/>
          </w:rPr>
          <w:t>https://analytic.nalog.gov.ru/</w:t>
        </w:r>
      </w:hyperlink>
      <w:r w:rsidRPr="00C660E3">
        <w:rPr>
          <w:rFonts w:ascii="Times New Roman" w:eastAsia="Calibri" w:hAnsi="Times New Roman" w:cs="Times New Roman"/>
          <w:sz w:val="21"/>
          <w:szCs w:val="21"/>
        </w:rPr>
        <w:t xml:space="preserve"> (дата обращения: 02.05.2025 г.).</w:t>
      </w:r>
    </w:p>
    <w:p w14:paraId="6E749BB1" w14:textId="77777777" w:rsidR="00F73ACD" w:rsidRDefault="00F73ACD">
      <w:pPr>
        <w:rPr>
          <w:rFonts w:ascii="Times New Roman" w:eastAsia="Calibri" w:hAnsi="Times New Roman" w:cs="Times New Roman"/>
          <w:sz w:val="21"/>
          <w:szCs w:val="21"/>
        </w:rPr>
      </w:pPr>
      <w:r>
        <w:rPr>
          <w:rFonts w:ascii="Times New Roman" w:eastAsia="Calibri" w:hAnsi="Times New Roman" w:cs="Times New Roman"/>
          <w:sz w:val="21"/>
          <w:szCs w:val="21"/>
        </w:rPr>
        <w:br w:type="page"/>
      </w:r>
    </w:p>
    <w:p w14:paraId="77BAB0C1" w14:textId="5CE343EB" w:rsidR="00877DE5" w:rsidRPr="009472DE" w:rsidRDefault="00877DE5" w:rsidP="00C465D4">
      <w:pPr>
        <w:spacing w:after="0" w:line="240" w:lineRule="auto"/>
        <w:ind w:right="30"/>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b/>
          <w:color w:val="000000"/>
          <w:sz w:val="21"/>
          <w:lang w:eastAsia="ru-RU"/>
        </w:rPr>
        <w:lastRenderedPageBreak/>
        <w:t>УДК</w:t>
      </w:r>
      <w:r w:rsidRPr="009472DE">
        <w:rPr>
          <w:rFonts w:ascii="Times New Roman" w:eastAsia="Times New Roman" w:hAnsi="Times New Roman" w:cs="Times New Roman"/>
          <w:b/>
          <w:color w:val="000000"/>
          <w:lang w:eastAsia="ru-RU"/>
        </w:rPr>
        <w:t xml:space="preserve"> </w:t>
      </w:r>
      <w:r w:rsidRPr="009472DE">
        <w:rPr>
          <w:rFonts w:ascii="Times New Roman" w:eastAsia="Times New Roman" w:hAnsi="Times New Roman" w:cs="Times New Roman"/>
          <w:b/>
          <w:color w:val="000000"/>
          <w:sz w:val="21"/>
          <w:lang w:eastAsia="ru-RU"/>
        </w:rPr>
        <w:t>005.591.6</w:t>
      </w:r>
    </w:p>
    <w:p w14:paraId="501BC9CF" w14:textId="77777777" w:rsidR="00877DE5" w:rsidRPr="009472DE" w:rsidRDefault="00877DE5" w:rsidP="00C465D4">
      <w:pPr>
        <w:spacing w:after="0" w:line="240" w:lineRule="auto"/>
        <w:ind w:right="140"/>
        <w:jc w:val="right"/>
        <w:rPr>
          <w:rFonts w:ascii="Times New Roman" w:eastAsia="Times New Roman" w:hAnsi="Times New Roman" w:cs="Times New Roman"/>
          <w:b/>
          <w:i/>
          <w:color w:val="000000"/>
          <w:sz w:val="21"/>
          <w:lang w:eastAsia="ru-RU"/>
        </w:rPr>
      </w:pPr>
      <w:r w:rsidRPr="009472DE">
        <w:rPr>
          <w:rFonts w:ascii="Times New Roman" w:eastAsia="Times New Roman" w:hAnsi="Times New Roman" w:cs="Times New Roman"/>
          <w:b/>
          <w:i/>
          <w:color w:val="000000"/>
          <w:sz w:val="21"/>
          <w:lang w:eastAsia="ru-RU"/>
        </w:rPr>
        <w:t>Мардашева К.Е.,</w:t>
      </w:r>
    </w:p>
    <w:p w14:paraId="5519E10A" w14:textId="48E2A59C" w:rsidR="00877DE5" w:rsidRPr="009472DE" w:rsidRDefault="00877DE5" w:rsidP="00365776">
      <w:pPr>
        <w:tabs>
          <w:tab w:val="left" w:pos="8789"/>
        </w:tabs>
        <w:spacing w:after="0" w:line="240" w:lineRule="auto"/>
        <w:ind w:left="7371" w:right="144"/>
        <w:jc w:val="right"/>
        <w:rPr>
          <w:rFonts w:ascii="Times New Roman" w:eastAsia="Times New Roman" w:hAnsi="Times New Roman" w:cs="Times New Roman"/>
          <w:b/>
          <w:i/>
          <w:color w:val="000000"/>
          <w:sz w:val="21"/>
          <w:lang w:eastAsia="ru-RU"/>
        </w:rPr>
      </w:pPr>
      <w:r w:rsidRPr="009472DE">
        <w:rPr>
          <w:rFonts w:ascii="Times New Roman" w:eastAsia="Times New Roman" w:hAnsi="Times New Roman" w:cs="Times New Roman"/>
          <w:i/>
          <w:color w:val="000000"/>
          <w:sz w:val="21"/>
          <w:lang w:eastAsia="ru-RU"/>
        </w:rPr>
        <w:t xml:space="preserve">студентка 3 курса </w:t>
      </w:r>
      <w:r w:rsidRPr="009472DE">
        <w:rPr>
          <w:rFonts w:ascii="Times New Roman" w:eastAsia="Times New Roman" w:hAnsi="Times New Roman" w:cs="Times New Roman"/>
          <w:color w:val="000000"/>
          <w:sz w:val="21"/>
          <w:lang w:eastAsia="ru-RU"/>
        </w:rPr>
        <w:t xml:space="preserve"> </w:t>
      </w:r>
    </w:p>
    <w:p w14:paraId="5CDB2A7A" w14:textId="77777777" w:rsidR="00877DE5" w:rsidRDefault="00877DE5" w:rsidP="00067100">
      <w:pPr>
        <w:spacing w:after="0" w:line="240" w:lineRule="auto"/>
        <w:ind w:right="98" w:firstLine="709"/>
        <w:jc w:val="right"/>
        <w:rPr>
          <w:rFonts w:ascii="Times New Roman" w:eastAsia="Times New Roman" w:hAnsi="Times New Roman" w:cs="Times New Roman"/>
          <w:i/>
          <w:color w:val="000000"/>
          <w:sz w:val="21"/>
          <w:lang w:eastAsia="ru-RU"/>
        </w:rPr>
      </w:pPr>
      <w:r w:rsidRPr="009472DE">
        <w:rPr>
          <w:rFonts w:ascii="Times New Roman" w:eastAsia="Times New Roman" w:hAnsi="Times New Roman" w:cs="Times New Roman"/>
          <w:i/>
          <w:color w:val="000000"/>
          <w:sz w:val="21"/>
          <w:lang w:eastAsia="ru-RU"/>
        </w:rPr>
        <w:t>Финансовый университ</w:t>
      </w:r>
      <w:r>
        <w:rPr>
          <w:rFonts w:ascii="Times New Roman" w:eastAsia="Times New Roman" w:hAnsi="Times New Roman" w:cs="Times New Roman"/>
          <w:i/>
          <w:color w:val="000000"/>
          <w:sz w:val="21"/>
          <w:lang w:eastAsia="ru-RU"/>
        </w:rPr>
        <w:t xml:space="preserve">ет при Правительстве Российской Федерации </w:t>
      </w:r>
      <w:r w:rsidRPr="009472DE">
        <w:rPr>
          <w:rFonts w:ascii="Times New Roman" w:eastAsia="Times New Roman" w:hAnsi="Times New Roman" w:cs="Times New Roman"/>
          <w:i/>
          <w:color w:val="000000"/>
          <w:sz w:val="21"/>
          <w:lang w:eastAsia="ru-RU"/>
        </w:rPr>
        <w:t xml:space="preserve">(Краснодарский филиал), </w:t>
      </w:r>
    </w:p>
    <w:p w14:paraId="5EF96F19" w14:textId="77777777" w:rsidR="00877DE5" w:rsidRPr="009472DE" w:rsidRDefault="00877DE5" w:rsidP="00067100">
      <w:pPr>
        <w:spacing w:after="0" w:line="240" w:lineRule="auto"/>
        <w:ind w:left="3817" w:right="98" w:firstLine="709"/>
        <w:jc w:val="right"/>
        <w:rPr>
          <w:rFonts w:ascii="Times New Roman" w:eastAsia="Times New Roman" w:hAnsi="Times New Roman" w:cs="Times New Roman"/>
          <w:i/>
          <w:color w:val="000000"/>
          <w:sz w:val="21"/>
          <w:lang w:eastAsia="ru-RU"/>
        </w:rPr>
      </w:pPr>
      <w:r w:rsidRPr="009472DE">
        <w:rPr>
          <w:rFonts w:ascii="Times New Roman" w:eastAsia="Times New Roman" w:hAnsi="Times New Roman" w:cs="Times New Roman"/>
          <w:i/>
          <w:color w:val="000000"/>
          <w:sz w:val="21"/>
          <w:lang w:eastAsia="ru-RU"/>
        </w:rPr>
        <w:t>г. Краснодар, Россия</w:t>
      </w:r>
      <w:r w:rsidRPr="009472DE">
        <w:rPr>
          <w:rFonts w:ascii="Times New Roman" w:eastAsia="Times New Roman" w:hAnsi="Times New Roman" w:cs="Times New Roman"/>
          <w:color w:val="000000"/>
          <w:sz w:val="21"/>
          <w:lang w:eastAsia="ru-RU"/>
        </w:rPr>
        <w:t xml:space="preserve"> </w:t>
      </w:r>
    </w:p>
    <w:p w14:paraId="2227F7B0" w14:textId="77777777" w:rsidR="00877DE5" w:rsidRPr="009472DE" w:rsidRDefault="00877DE5" w:rsidP="00067100">
      <w:pPr>
        <w:spacing w:after="0" w:line="240" w:lineRule="auto"/>
        <w:ind w:left="3450" w:right="98" w:firstLine="709"/>
        <w:jc w:val="right"/>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i/>
          <w:color w:val="000000"/>
          <w:sz w:val="21"/>
          <w:lang w:eastAsia="ru-RU"/>
        </w:rPr>
        <w:t>е-</w:t>
      </w:r>
      <w:r w:rsidRPr="009472DE">
        <w:rPr>
          <w:rFonts w:ascii="Times New Roman" w:eastAsia="Times New Roman" w:hAnsi="Times New Roman" w:cs="Times New Roman"/>
          <w:i/>
          <w:color w:val="000000"/>
          <w:sz w:val="21"/>
          <w:lang w:val="en-US" w:eastAsia="ru-RU"/>
        </w:rPr>
        <w:t>mail</w:t>
      </w:r>
      <w:r w:rsidRPr="009472DE">
        <w:rPr>
          <w:rFonts w:ascii="Times New Roman" w:eastAsia="Times New Roman" w:hAnsi="Times New Roman" w:cs="Times New Roman"/>
          <w:i/>
          <w:color w:val="000000"/>
          <w:sz w:val="21"/>
          <w:lang w:eastAsia="ru-RU"/>
        </w:rPr>
        <w:t>:</w:t>
      </w:r>
      <w:r w:rsidRPr="009472DE">
        <w:rPr>
          <w:rFonts w:ascii="Times New Roman" w:eastAsia="Times New Roman" w:hAnsi="Times New Roman" w:cs="Times New Roman"/>
          <w:color w:val="000000"/>
          <w:sz w:val="32"/>
          <w:lang w:eastAsia="ru-RU"/>
        </w:rPr>
        <w:t xml:space="preserve"> </w:t>
      </w:r>
      <w:r w:rsidRPr="009472DE">
        <w:rPr>
          <w:rFonts w:ascii="Times New Roman" w:eastAsia="Times New Roman" w:hAnsi="Times New Roman" w:cs="Times New Roman"/>
          <w:i/>
          <w:color w:val="000000"/>
          <w:sz w:val="21"/>
          <w:lang w:val="en-US" w:eastAsia="ru-RU"/>
        </w:rPr>
        <w:t>karinamardasheva</w:t>
      </w:r>
      <w:r w:rsidRPr="009472DE">
        <w:rPr>
          <w:rFonts w:ascii="Times New Roman" w:eastAsia="Times New Roman" w:hAnsi="Times New Roman" w:cs="Times New Roman"/>
          <w:i/>
          <w:color w:val="000000"/>
          <w:sz w:val="21"/>
          <w:lang w:eastAsia="ru-RU"/>
        </w:rPr>
        <w:t>@</w:t>
      </w:r>
      <w:r w:rsidRPr="009472DE">
        <w:rPr>
          <w:rFonts w:ascii="Times New Roman" w:eastAsia="Times New Roman" w:hAnsi="Times New Roman" w:cs="Times New Roman"/>
          <w:i/>
          <w:color w:val="000000"/>
          <w:sz w:val="21"/>
          <w:lang w:val="en-US" w:eastAsia="ru-RU"/>
        </w:rPr>
        <w:t>gmail</w:t>
      </w:r>
      <w:r w:rsidRPr="009472DE">
        <w:rPr>
          <w:rFonts w:ascii="Times New Roman" w:eastAsia="Times New Roman" w:hAnsi="Times New Roman" w:cs="Times New Roman"/>
          <w:i/>
          <w:color w:val="000000"/>
          <w:sz w:val="21"/>
          <w:lang w:eastAsia="ru-RU"/>
        </w:rPr>
        <w:t>.</w:t>
      </w:r>
      <w:r w:rsidRPr="009472DE">
        <w:rPr>
          <w:rFonts w:ascii="Times New Roman" w:eastAsia="Times New Roman" w:hAnsi="Times New Roman" w:cs="Times New Roman"/>
          <w:i/>
          <w:color w:val="000000"/>
          <w:sz w:val="21"/>
          <w:lang w:val="en-US" w:eastAsia="ru-RU"/>
        </w:rPr>
        <w:t>com</w:t>
      </w:r>
      <w:r w:rsidRPr="009472DE">
        <w:rPr>
          <w:rFonts w:ascii="Times New Roman" w:eastAsia="Times New Roman" w:hAnsi="Times New Roman" w:cs="Times New Roman"/>
          <w:i/>
          <w:color w:val="000000"/>
          <w:sz w:val="21"/>
          <w:lang w:eastAsia="ru-RU"/>
        </w:rPr>
        <w:t xml:space="preserve"> </w:t>
      </w:r>
      <w:r w:rsidRPr="009472DE">
        <w:rPr>
          <w:rFonts w:ascii="Times New Roman" w:eastAsia="Times New Roman" w:hAnsi="Times New Roman" w:cs="Times New Roman"/>
          <w:color w:val="000000"/>
          <w:sz w:val="21"/>
          <w:lang w:eastAsia="ru-RU"/>
        </w:rPr>
        <w:t xml:space="preserve"> </w:t>
      </w:r>
    </w:p>
    <w:p w14:paraId="599274C3" w14:textId="77777777" w:rsidR="00522844" w:rsidRDefault="00522844" w:rsidP="00067100">
      <w:pPr>
        <w:spacing w:after="0" w:line="240" w:lineRule="auto"/>
        <w:ind w:left="357" w:right="96" w:firstLine="709"/>
        <w:jc w:val="right"/>
        <w:rPr>
          <w:rFonts w:ascii="Times New Roman" w:eastAsia="Times New Roman" w:hAnsi="Times New Roman" w:cs="Times New Roman"/>
          <w:b/>
          <w:i/>
          <w:color w:val="000000"/>
          <w:sz w:val="21"/>
          <w:lang w:eastAsia="ru-RU"/>
        </w:rPr>
      </w:pPr>
    </w:p>
    <w:p w14:paraId="629CF601" w14:textId="3C1A5743" w:rsidR="00877DE5" w:rsidRPr="009472DE" w:rsidRDefault="00877DE5" w:rsidP="00067100">
      <w:pPr>
        <w:spacing w:after="0" w:line="240" w:lineRule="auto"/>
        <w:ind w:left="357" w:right="96" w:firstLine="709"/>
        <w:jc w:val="right"/>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b/>
          <w:i/>
          <w:color w:val="000000"/>
          <w:sz w:val="21"/>
          <w:lang w:eastAsia="ru-RU"/>
        </w:rPr>
        <w:t xml:space="preserve">Научный руководитель: </w:t>
      </w:r>
    </w:p>
    <w:p w14:paraId="3A966732" w14:textId="77777777" w:rsidR="00877DE5" w:rsidRPr="009472DE" w:rsidRDefault="00877DE5" w:rsidP="00067100">
      <w:pPr>
        <w:spacing w:after="0" w:line="240" w:lineRule="auto"/>
        <w:ind w:left="357" w:right="96" w:firstLine="709"/>
        <w:jc w:val="right"/>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b/>
          <w:i/>
          <w:color w:val="000000"/>
          <w:sz w:val="21"/>
          <w:lang w:eastAsia="ru-RU"/>
        </w:rPr>
        <w:t xml:space="preserve">Арефьева С.А., </w:t>
      </w:r>
    </w:p>
    <w:p w14:paraId="3701B30B" w14:textId="77777777" w:rsidR="00877DE5" w:rsidRPr="009472DE" w:rsidRDefault="00877DE5" w:rsidP="00067100">
      <w:pPr>
        <w:spacing w:after="0" w:line="240" w:lineRule="auto"/>
        <w:ind w:left="357" w:right="96" w:firstLine="709"/>
        <w:jc w:val="right"/>
        <w:rPr>
          <w:rFonts w:ascii="Times New Roman" w:eastAsia="Times New Roman" w:hAnsi="Times New Roman" w:cs="Times New Roman"/>
          <w:i/>
          <w:color w:val="000000"/>
          <w:sz w:val="21"/>
          <w:lang w:eastAsia="ru-RU"/>
        </w:rPr>
      </w:pPr>
      <w:bookmarkStart w:id="3" w:name="_Hlk162023781"/>
      <w:r w:rsidRPr="009472DE">
        <w:rPr>
          <w:rFonts w:ascii="Times New Roman" w:eastAsia="Times New Roman" w:hAnsi="Times New Roman" w:cs="Times New Roman"/>
          <w:i/>
          <w:color w:val="000000"/>
          <w:sz w:val="21"/>
          <w:lang w:eastAsia="ru-RU"/>
        </w:rPr>
        <w:t>Доцент кафедры "Математика и информатика",</w:t>
      </w:r>
    </w:p>
    <w:p w14:paraId="573E8A95" w14:textId="77777777" w:rsidR="00877DE5" w:rsidRDefault="00877DE5" w:rsidP="00365776">
      <w:pPr>
        <w:spacing w:after="0" w:line="240" w:lineRule="auto"/>
        <w:ind w:left="357" w:right="144"/>
        <w:jc w:val="right"/>
        <w:rPr>
          <w:rFonts w:ascii="Times New Roman" w:eastAsia="Times New Roman" w:hAnsi="Times New Roman" w:cs="Times New Roman"/>
          <w:i/>
          <w:color w:val="000000"/>
          <w:sz w:val="21"/>
          <w:lang w:eastAsia="ru-RU"/>
        </w:rPr>
      </w:pPr>
      <w:r w:rsidRPr="009472DE">
        <w:rPr>
          <w:rFonts w:ascii="Times New Roman" w:eastAsia="Times New Roman" w:hAnsi="Times New Roman" w:cs="Times New Roman"/>
          <w:i/>
          <w:color w:val="000000"/>
          <w:sz w:val="21"/>
          <w:lang w:eastAsia="ru-RU"/>
        </w:rPr>
        <w:t xml:space="preserve">Финансовый университет при Правительстве Российской Федерации (Краснодарский филиал), </w:t>
      </w:r>
    </w:p>
    <w:p w14:paraId="15574AF3" w14:textId="77777777" w:rsidR="00877DE5" w:rsidRPr="00CA4762" w:rsidRDefault="00877DE5" w:rsidP="00067100">
      <w:pPr>
        <w:spacing w:after="0" w:line="240" w:lineRule="auto"/>
        <w:ind w:left="357" w:right="96" w:firstLine="709"/>
        <w:jc w:val="right"/>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i/>
          <w:color w:val="000000"/>
          <w:sz w:val="21"/>
          <w:lang w:eastAsia="ru-RU"/>
        </w:rPr>
        <w:t>г. Краснодар, Россия</w:t>
      </w:r>
      <w:r w:rsidRPr="009472DE">
        <w:rPr>
          <w:rFonts w:ascii="Times New Roman" w:eastAsia="Times New Roman" w:hAnsi="Times New Roman" w:cs="Times New Roman"/>
          <w:color w:val="000000"/>
          <w:sz w:val="21"/>
          <w:lang w:eastAsia="ru-RU"/>
        </w:rPr>
        <w:t xml:space="preserve"> </w:t>
      </w:r>
    </w:p>
    <w:p w14:paraId="50E3176E" w14:textId="77777777" w:rsidR="00877DE5" w:rsidRPr="009472DE" w:rsidRDefault="00877DE5" w:rsidP="00067100">
      <w:pPr>
        <w:spacing w:after="0" w:line="240" w:lineRule="auto"/>
        <w:ind w:left="357" w:right="96" w:firstLine="709"/>
        <w:jc w:val="right"/>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i/>
          <w:color w:val="000000"/>
          <w:sz w:val="21"/>
          <w:lang w:eastAsia="ru-RU"/>
        </w:rPr>
        <w:t xml:space="preserve">e-mail: </w:t>
      </w:r>
      <w:bookmarkEnd w:id="3"/>
      <w:r w:rsidRPr="009472DE">
        <w:rPr>
          <w:rFonts w:ascii="Times New Roman" w:eastAsia="Times New Roman" w:hAnsi="Times New Roman" w:cs="Times New Roman"/>
          <w:i/>
          <w:color w:val="000000"/>
          <w:sz w:val="21"/>
          <w:lang w:eastAsia="ru-RU"/>
        </w:rPr>
        <w:t>SAArefeva@fa.ru</w:t>
      </w:r>
    </w:p>
    <w:p w14:paraId="2F1F2699" w14:textId="77777777" w:rsidR="00522844" w:rsidRDefault="00877DE5" w:rsidP="00522844">
      <w:pPr>
        <w:spacing w:after="0" w:line="240" w:lineRule="auto"/>
        <w:ind w:left="84" w:firstLine="709"/>
        <w:jc w:val="center"/>
        <w:rPr>
          <w:rFonts w:ascii="Times New Roman" w:eastAsia="Times New Roman" w:hAnsi="Times New Roman" w:cs="Times New Roman"/>
          <w:color w:val="000000"/>
          <w:sz w:val="21"/>
          <w:lang w:eastAsia="ru-RU"/>
        </w:rPr>
      </w:pPr>
      <w:r w:rsidRPr="009472DE">
        <w:rPr>
          <w:rFonts w:ascii="Times New Roman" w:eastAsia="Times New Roman" w:hAnsi="Times New Roman" w:cs="Times New Roman"/>
          <w:color w:val="000000"/>
          <w:sz w:val="21"/>
          <w:lang w:eastAsia="ru-RU"/>
        </w:rPr>
        <w:t xml:space="preserve"> </w:t>
      </w:r>
    </w:p>
    <w:p w14:paraId="23CA8DDC" w14:textId="6584B4F6" w:rsidR="00877DE5" w:rsidRPr="009472DE" w:rsidRDefault="00877DE5" w:rsidP="00522844">
      <w:pPr>
        <w:spacing w:after="0" w:line="240" w:lineRule="auto"/>
        <w:ind w:left="84" w:firstLine="709"/>
        <w:jc w:val="center"/>
        <w:rPr>
          <w:rFonts w:ascii="Times New Roman" w:eastAsia="Times New Roman" w:hAnsi="Times New Roman" w:cs="Times New Roman"/>
          <w:color w:val="000000"/>
          <w:sz w:val="32"/>
          <w:lang w:eastAsia="ru-RU"/>
        </w:rPr>
      </w:pPr>
      <w:r w:rsidRPr="009472DE">
        <w:rPr>
          <w:rFonts w:ascii="Times New Roman" w:eastAsia="Times New Roman" w:hAnsi="Times New Roman" w:cs="Times New Roman"/>
          <w:b/>
          <w:color w:val="000000"/>
          <w:sz w:val="21"/>
          <w:lang w:eastAsia="ru-RU"/>
        </w:rPr>
        <w:t>Совершенствование процесса сервисной службы технической поддержки в банковской организации</w:t>
      </w:r>
    </w:p>
    <w:p w14:paraId="2CB10272" w14:textId="77777777" w:rsidR="00877DE5" w:rsidRPr="009472DE" w:rsidRDefault="00877DE5" w:rsidP="00067100">
      <w:pPr>
        <w:spacing w:after="0" w:line="240" w:lineRule="auto"/>
        <w:ind w:left="312" w:right="250" w:firstLine="709"/>
        <w:jc w:val="both"/>
        <w:rPr>
          <w:rFonts w:ascii="Times New Roman" w:eastAsia="Times New Roman" w:hAnsi="Times New Roman" w:cs="Times New Roman"/>
          <w:b/>
          <w:color w:val="000000"/>
          <w:sz w:val="21"/>
          <w:lang w:eastAsia="ru-RU"/>
        </w:rPr>
      </w:pPr>
    </w:p>
    <w:p w14:paraId="1DB79ADF" w14:textId="77777777" w:rsidR="00877DE5" w:rsidRPr="009472DE" w:rsidRDefault="00877DE5" w:rsidP="00067100">
      <w:pPr>
        <w:spacing w:after="0" w:line="240" w:lineRule="auto"/>
        <w:ind w:left="284" w:right="250" w:firstLine="709"/>
        <w:jc w:val="both"/>
        <w:rPr>
          <w:rFonts w:ascii="Times New Roman" w:eastAsia="Times New Roman" w:hAnsi="Times New Roman" w:cs="Times New Roman"/>
          <w:color w:val="000000"/>
          <w:sz w:val="21"/>
          <w:lang w:eastAsia="ru-RU"/>
        </w:rPr>
      </w:pPr>
      <w:r w:rsidRPr="009472DE">
        <w:rPr>
          <w:rFonts w:ascii="Times New Roman" w:eastAsia="Times New Roman" w:hAnsi="Times New Roman" w:cs="Times New Roman"/>
          <w:b/>
          <w:color w:val="000000"/>
          <w:sz w:val="21"/>
          <w:lang w:eastAsia="ru-RU"/>
        </w:rPr>
        <w:t xml:space="preserve">Аннотация: </w:t>
      </w:r>
      <w:r w:rsidRPr="009472DE">
        <w:rPr>
          <w:rFonts w:ascii="Times New Roman" w:eastAsia="Times New Roman" w:hAnsi="Times New Roman" w:cs="Times New Roman"/>
          <w:color w:val="000000"/>
          <w:sz w:val="21"/>
          <w:lang w:eastAsia="ru-RU"/>
        </w:rPr>
        <w:t>Статья рассматривает проблемы служб поддержки в российских банках, такие как медленное решение вопросов и недостаточная автоматизация, и предлагает решения, включая интеллектуальные тикет-системы, AI, чат-ботов, оптимизацию SLA и повышение квалификации сотрудников. Приводятся примеры успешных кейсов Сбербанка, Тинькофф и Альфа-Банка, а также KPI и рекомендации по внедрению современных инструментов.</w:t>
      </w:r>
    </w:p>
    <w:p w14:paraId="27BD0D1E" w14:textId="77777777" w:rsidR="00877DE5" w:rsidRDefault="00877DE5" w:rsidP="00067100">
      <w:pPr>
        <w:spacing w:after="0" w:line="240" w:lineRule="auto"/>
        <w:ind w:left="284" w:right="99" w:firstLine="709"/>
        <w:jc w:val="both"/>
        <w:rPr>
          <w:rFonts w:ascii="Times New Roman" w:eastAsia="Times New Roman" w:hAnsi="Times New Roman" w:cs="Times New Roman"/>
          <w:color w:val="000000"/>
          <w:sz w:val="21"/>
          <w:lang w:eastAsia="ru-RU"/>
        </w:rPr>
      </w:pPr>
      <w:r w:rsidRPr="009472DE">
        <w:rPr>
          <w:rFonts w:ascii="Times New Roman" w:eastAsia="Times New Roman" w:hAnsi="Times New Roman" w:cs="Times New Roman"/>
          <w:b/>
          <w:color w:val="000000"/>
          <w:sz w:val="21"/>
          <w:lang w:eastAsia="ru-RU"/>
        </w:rPr>
        <w:t>Ключевые слова:</w:t>
      </w:r>
      <w:r w:rsidRPr="009472DE">
        <w:rPr>
          <w:rFonts w:ascii="Times New Roman" w:eastAsia="Times New Roman" w:hAnsi="Times New Roman" w:cs="Times New Roman"/>
          <w:color w:val="000000"/>
          <w:sz w:val="21"/>
          <w:lang w:eastAsia="ru-RU"/>
        </w:rPr>
        <w:t xml:space="preserve"> техническая поддержка, банковский сектор, цифровая трансформация, искусственный интеллект, автоматизац</w:t>
      </w:r>
      <w:r>
        <w:rPr>
          <w:rFonts w:ascii="Times New Roman" w:eastAsia="Times New Roman" w:hAnsi="Times New Roman" w:cs="Times New Roman"/>
          <w:color w:val="000000"/>
          <w:sz w:val="21"/>
          <w:lang w:eastAsia="ru-RU"/>
        </w:rPr>
        <w:t>ия процессов, CRM-системы, KPI.</w:t>
      </w:r>
    </w:p>
    <w:p w14:paraId="1AAD02E7" w14:textId="77777777" w:rsidR="00877DE5" w:rsidRPr="00CA4762" w:rsidRDefault="00877DE5" w:rsidP="008A7756">
      <w:pPr>
        <w:spacing w:after="0" w:line="240" w:lineRule="auto"/>
        <w:ind w:left="284" w:right="99" w:firstLine="709"/>
        <w:jc w:val="both"/>
        <w:rPr>
          <w:rFonts w:ascii="Times New Roman" w:eastAsia="Times New Roman" w:hAnsi="Times New Roman" w:cs="Times New Roman"/>
          <w:color w:val="000000"/>
          <w:sz w:val="21"/>
          <w:lang w:eastAsia="ru-RU"/>
        </w:rPr>
      </w:pPr>
    </w:p>
    <w:p w14:paraId="7A552AEF" w14:textId="77777777" w:rsidR="00877DE5" w:rsidRPr="009472DE" w:rsidRDefault="00877DE5" w:rsidP="008A7756">
      <w:pPr>
        <w:spacing w:after="0" w:line="240" w:lineRule="auto"/>
        <w:ind w:right="99"/>
        <w:jc w:val="right"/>
        <w:rPr>
          <w:rFonts w:ascii="Times New Roman" w:eastAsia="Times New Roman" w:hAnsi="Times New Roman" w:cs="Times New Roman"/>
          <w:b/>
          <w:i/>
          <w:color w:val="000000"/>
          <w:sz w:val="21"/>
          <w:lang w:val="en-US" w:eastAsia="ru-RU"/>
        </w:rPr>
      </w:pPr>
      <w:r w:rsidRPr="009472DE">
        <w:rPr>
          <w:rFonts w:ascii="Times New Roman" w:eastAsia="Times New Roman" w:hAnsi="Times New Roman" w:cs="Times New Roman"/>
          <w:b/>
          <w:i/>
          <w:color w:val="000000"/>
          <w:sz w:val="21"/>
          <w:lang w:val="en-US" w:eastAsia="ru-RU"/>
        </w:rPr>
        <w:t xml:space="preserve">Mardasheva K.E., </w:t>
      </w:r>
    </w:p>
    <w:p w14:paraId="305D1CEB" w14:textId="77777777" w:rsidR="00877DE5" w:rsidRPr="009472DE" w:rsidRDefault="00877DE5" w:rsidP="008A7756">
      <w:pPr>
        <w:spacing w:after="0" w:line="240" w:lineRule="auto"/>
        <w:ind w:left="7513" w:right="99"/>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i/>
          <w:color w:val="000000"/>
          <w:sz w:val="21"/>
          <w:lang w:val="en-US" w:eastAsia="ru-RU"/>
        </w:rPr>
        <w:t>student, 3 courses</w:t>
      </w:r>
    </w:p>
    <w:p w14:paraId="7F2B3437" w14:textId="77777777" w:rsidR="00877DE5" w:rsidRPr="009472DE" w:rsidRDefault="00877DE5" w:rsidP="008A7756">
      <w:pPr>
        <w:spacing w:after="0" w:line="240" w:lineRule="auto"/>
        <w:ind w:left="357" w:right="99"/>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i/>
          <w:color w:val="000000"/>
          <w:sz w:val="21"/>
          <w:lang w:val="en-US" w:eastAsia="ru-RU"/>
        </w:rPr>
        <w:t xml:space="preserve">Krasnodar branch of FGOBU VO "Financial University under the Government of the Russian Federation </w:t>
      </w:r>
    </w:p>
    <w:p w14:paraId="377F21CF" w14:textId="77777777" w:rsidR="00877DE5" w:rsidRPr="009472DE" w:rsidRDefault="00877DE5" w:rsidP="00067100">
      <w:pPr>
        <w:spacing w:after="0" w:line="240" w:lineRule="auto"/>
        <w:ind w:left="3450" w:right="98" w:firstLine="709"/>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i/>
          <w:color w:val="000000"/>
          <w:sz w:val="21"/>
          <w:lang w:val="en-US" w:eastAsia="ru-RU"/>
        </w:rPr>
        <w:t xml:space="preserve">Krasnodar, Russia </w:t>
      </w:r>
    </w:p>
    <w:p w14:paraId="2340D78B" w14:textId="77777777" w:rsidR="00877DE5" w:rsidRPr="009472DE" w:rsidRDefault="00877DE5" w:rsidP="00067100">
      <w:pPr>
        <w:spacing w:after="0" w:line="240" w:lineRule="auto"/>
        <w:ind w:left="3450" w:right="98" w:firstLine="709"/>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i/>
          <w:color w:val="000000"/>
          <w:sz w:val="21"/>
          <w:lang w:val="en-US" w:eastAsia="ru-RU"/>
        </w:rPr>
        <w:t>e-mail: karinamardasheva@gmail.com</w:t>
      </w:r>
    </w:p>
    <w:p w14:paraId="59A2350E" w14:textId="77777777" w:rsidR="00522844" w:rsidRPr="00420733" w:rsidRDefault="00522844" w:rsidP="00067100">
      <w:pPr>
        <w:spacing w:after="0" w:line="240" w:lineRule="auto"/>
        <w:ind w:left="357" w:right="96" w:firstLine="709"/>
        <w:jc w:val="right"/>
        <w:rPr>
          <w:rFonts w:ascii="Times New Roman" w:eastAsia="Times New Roman" w:hAnsi="Times New Roman" w:cs="Times New Roman"/>
          <w:b/>
          <w:i/>
          <w:color w:val="000000"/>
          <w:sz w:val="21"/>
          <w:lang w:val="en-US" w:eastAsia="ru-RU"/>
        </w:rPr>
      </w:pPr>
    </w:p>
    <w:p w14:paraId="6B29E149" w14:textId="2A715A4E" w:rsidR="00877DE5" w:rsidRPr="009472DE" w:rsidRDefault="00877DE5" w:rsidP="00067100">
      <w:pPr>
        <w:spacing w:after="0" w:line="240" w:lineRule="auto"/>
        <w:ind w:left="357" w:right="96" w:firstLine="709"/>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b/>
          <w:i/>
          <w:color w:val="000000"/>
          <w:sz w:val="21"/>
          <w:lang w:val="en-US" w:eastAsia="ru-RU"/>
        </w:rPr>
        <w:t xml:space="preserve">Scientific adviser: </w:t>
      </w:r>
    </w:p>
    <w:p w14:paraId="40B48BA1" w14:textId="77777777" w:rsidR="00877DE5" w:rsidRPr="009472DE" w:rsidRDefault="00877DE5" w:rsidP="00067100">
      <w:pPr>
        <w:spacing w:after="0" w:line="240" w:lineRule="auto"/>
        <w:ind w:left="357" w:right="96" w:firstLine="709"/>
        <w:jc w:val="right"/>
        <w:rPr>
          <w:rFonts w:ascii="Times New Roman" w:eastAsia="Times New Roman" w:hAnsi="Times New Roman" w:cs="Times New Roman"/>
          <w:b/>
          <w:i/>
          <w:color w:val="000000"/>
          <w:sz w:val="21"/>
          <w:lang w:val="en-US" w:eastAsia="ru-RU"/>
        </w:rPr>
      </w:pPr>
      <w:r w:rsidRPr="009472DE">
        <w:rPr>
          <w:rFonts w:ascii="Times New Roman" w:eastAsia="Times New Roman" w:hAnsi="Times New Roman" w:cs="Times New Roman"/>
          <w:b/>
          <w:i/>
          <w:color w:val="000000"/>
          <w:sz w:val="21"/>
          <w:lang w:val="en-US" w:eastAsia="ru-RU"/>
        </w:rPr>
        <w:t xml:space="preserve">Arefieva S.A., </w:t>
      </w:r>
    </w:p>
    <w:p w14:paraId="695D7EB8" w14:textId="77777777" w:rsidR="00877DE5" w:rsidRPr="009472DE" w:rsidRDefault="00877DE5" w:rsidP="00067100">
      <w:pPr>
        <w:spacing w:after="0" w:line="240" w:lineRule="auto"/>
        <w:ind w:left="357" w:right="96" w:firstLine="709"/>
        <w:jc w:val="right"/>
        <w:rPr>
          <w:rFonts w:ascii="Times New Roman" w:eastAsia="Times New Roman" w:hAnsi="Times New Roman" w:cs="Times New Roman"/>
          <w:i/>
          <w:color w:val="000000"/>
          <w:sz w:val="21"/>
          <w:lang w:val="en-US" w:eastAsia="ru-RU"/>
        </w:rPr>
      </w:pPr>
      <w:r w:rsidRPr="009472DE">
        <w:rPr>
          <w:rFonts w:ascii="Times New Roman" w:eastAsia="Times New Roman" w:hAnsi="Times New Roman" w:cs="Times New Roman"/>
          <w:i/>
          <w:color w:val="000000"/>
          <w:sz w:val="21"/>
          <w:lang w:val="en-US" w:eastAsia="ru-RU"/>
        </w:rPr>
        <w:t>Associate Professor of the Department of Mathematics and Computer Science,</w:t>
      </w:r>
    </w:p>
    <w:p w14:paraId="42D353E0" w14:textId="77777777" w:rsidR="00877DE5" w:rsidRPr="009472DE" w:rsidRDefault="00877DE5" w:rsidP="008A7756">
      <w:pPr>
        <w:tabs>
          <w:tab w:val="left" w:pos="9072"/>
          <w:tab w:val="left" w:pos="9214"/>
        </w:tabs>
        <w:spacing w:after="0" w:line="240" w:lineRule="auto"/>
        <w:ind w:left="357" w:right="144"/>
        <w:jc w:val="right"/>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i/>
          <w:color w:val="000000"/>
          <w:sz w:val="21"/>
          <w:lang w:val="en-US" w:eastAsia="ru-RU"/>
        </w:rPr>
        <w:t xml:space="preserve">Krasnodar branch of FGOBU VO "Financial University under the Government of the Russian Federation </w:t>
      </w:r>
    </w:p>
    <w:p w14:paraId="40459BF4" w14:textId="77777777" w:rsidR="00877DE5" w:rsidRPr="009472DE" w:rsidRDefault="00877DE5" w:rsidP="00067100">
      <w:pPr>
        <w:spacing w:after="0" w:line="240" w:lineRule="auto"/>
        <w:ind w:right="58" w:firstLine="709"/>
        <w:jc w:val="right"/>
        <w:rPr>
          <w:rFonts w:ascii="Times New Roman" w:eastAsia="Times New Roman" w:hAnsi="Times New Roman" w:cs="Times New Roman"/>
          <w:i/>
          <w:color w:val="000000"/>
          <w:sz w:val="21"/>
          <w:lang w:val="en-US" w:eastAsia="ru-RU"/>
        </w:rPr>
      </w:pPr>
      <w:r w:rsidRPr="009472DE">
        <w:rPr>
          <w:rFonts w:ascii="Times New Roman" w:eastAsia="Times New Roman" w:hAnsi="Times New Roman" w:cs="Times New Roman"/>
          <w:i/>
          <w:color w:val="000000"/>
          <w:sz w:val="21"/>
          <w:lang w:val="en-US" w:eastAsia="ru-RU"/>
        </w:rPr>
        <w:t>Krasnodar, Russia</w:t>
      </w:r>
    </w:p>
    <w:p w14:paraId="497CC8D7" w14:textId="77777777" w:rsidR="00877DE5" w:rsidRPr="009472DE" w:rsidRDefault="00877DE5" w:rsidP="00067100">
      <w:pPr>
        <w:spacing w:after="0" w:line="240" w:lineRule="auto"/>
        <w:ind w:right="58" w:firstLine="709"/>
        <w:jc w:val="right"/>
        <w:rPr>
          <w:rFonts w:ascii="Times New Roman" w:eastAsia="Times New Roman" w:hAnsi="Times New Roman" w:cs="Times New Roman"/>
          <w:i/>
          <w:color w:val="000000"/>
          <w:sz w:val="21"/>
          <w:lang w:val="en-US" w:eastAsia="ru-RU"/>
        </w:rPr>
      </w:pPr>
      <w:r w:rsidRPr="009472DE">
        <w:rPr>
          <w:rFonts w:ascii="Times New Roman" w:eastAsia="Times New Roman" w:hAnsi="Times New Roman" w:cs="Times New Roman"/>
          <w:i/>
          <w:color w:val="000000"/>
          <w:sz w:val="21"/>
          <w:lang w:val="en-US" w:eastAsia="ru-RU"/>
        </w:rPr>
        <w:t>e-mail: SAArefeva@fa.ru</w:t>
      </w:r>
    </w:p>
    <w:p w14:paraId="054BB80F" w14:textId="77777777" w:rsidR="00522844" w:rsidRPr="00420733" w:rsidRDefault="00522844" w:rsidP="00067100">
      <w:pPr>
        <w:spacing w:after="0" w:line="240" w:lineRule="auto"/>
        <w:ind w:left="850" w:firstLine="709"/>
        <w:rPr>
          <w:rFonts w:ascii="Times New Roman" w:eastAsia="Times New Roman" w:hAnsi="Times New Roman" w:cs="Times New Roman"/>
          <w:b/>
          <w:color w:val="000000"/>
          <w:sz w:val="21"/>
          <w:lang w:val="en-US" w:eastAsia="ru-RU"/>
        </w:rPr>
      </w:pPr>
    </w:p>
    <w:p w14:paraId="35D9C909" w14:textId="6D08CA74" w:rsidR="00877DE5" w:rsidRPr="009472DE" w:rsidRDefault="00877DE5" w:rsidP="00067100">
      <w:pPr>
        <w:spacing w:after="0" w:line="240" w:lineRule="auto"/>
        <w:ind w:left="850" w:firstLine="709"/>
        <w:rPr>
          <w:rFonts w:ascii="Times New Roman" w:eastAsia="Times New Roman" w:hAnsi="Times New Roman" w:cs="Times New Roman"/>
          <w:color w:val="000000"/>
          <w:sz w:val="32"/>
          <w:lang w:val="en-US" w:eastAsia="ru-RU"/>
        </w:rPr>
      </w:pPr>
      <w:r w:rsidRPr="009472DE">
        <w:rPr>
          <w:rFonts w:ascii="Times New Roman" w:eastAsia="Times New Roman" w:hAnsi="Times New Roman" w:cs="Times New Roman"/>
          <w:b/>
          <w:color w:val="000000"/>
          <w:sz w:val="21"/>
          <w:lang w:val="en-US" w:eastAsia="ru-RU"/>
        </w:rPr>
        <w:t xml:space="preserve">                               Artificial intelligence: how it is changing the future </w:t>
      </w:r>
    </w:p>
    <w:p w14:paraId="7F022C91" w14:textId="77777777" w:rsidR="00877DE5" w:rsidRPr="009472DE" w:rsidRDefault="00877DE5" w:rsidP="00067100">
      <w:pPr>
        <w:spacing w:after="0" w:line="240" w:lineRule="auto"/>
        <w:ind w:left="127" w:right="99" w:firstLine="709"/>
        <w:jc w:val="both"/>
        <w:rPr>
          <w:rFonts w:ascii="Times New Roman" w:eastAsia="Times New Roman" w:hAnsi="Times New Roman" w:cs="Times New Roman"/>
          <w:b/>
          <w:color w:val="000000"/>
          <w:sz w:val="21"/>
          <w:lang w:val="en-US" w:eastAsia="ru-RU"/>
        </w:rPr>
      </w:pPr>
    </w:p>
    <w:p w14:paraId="1174AFC3" w14:textId="77777777" w:rsidR="00877DE5" w:rsidRPr="009472DE" w:rsidRDefault="00877DE5" w:rsidP="00067100">
      <w:pPr>
        <w:spacing w:after="0" w:line="240" w:lineRule="auto"/>
        <w:ind w:left="284" w:right="99" w:firstLine="709"/>
        <w:jc w:val="both"/>
        <w:rPr>
          <w:rFonts w:ascii="Times New Roman" w:eastAsia="Times New Roman" w:hAnsi="Times New Roman" w:cs="Times New Roman"/>
          <w:bCs/>
          <w:color w:val="000000"/>
          <w:sz w:val="21"/>
          <w:lang w:val="en-US" w:eastAsia="ru-RU"/>
        </w:rPr>
      </w:pPr>
      <w:r w:rsidRPr="009472DE">
        <w:rPr>
          <w:rFonts w:ascii="Times New Roman" w:eastAsia="Times New Roman" w:hAnsi="Times New Roman" w:cs="Times New Roman"/>
          <w:b/>
          <w:color w:val="000000"/>
          <w:sz w:val="21"/>
          <w:lang w:val="en-US" w:eastAsia="ru-RU"/>
        </w:rPr>
        <w:t xml:space="preserve">Abstract: </w:t>
      </w:r>
      <w:r w:rsidRPr="009472DE">
        <w:rPr>
          <w:rFonts w:ascii="Times New Roman" w:eastAsia="Times New Roman" w:hAnsi="Times New Roman" w:cs="Times New Roman"/>
          <w:bCs/>
          <w:color w:val="000000"/>
          <w:sz w:val="21"/>
          <w:lang w:val="en-US" w:eastAsia="ru-RU"/>
        </w:rPr>
        <w:t>The article examines the problems of support services in Russian banks, such as slow resolution of issues and insufficient automation, and offers solutions, including intelligent ticket systems, AI, chatbots, SLA optimization and staff development. Examples of successful cases of Sberbank, Tinkoff and Alfa-Bank are given, as well as KPIs and recommendations for the introduction of modern tools.</w:t>
      </w:r>
    </w:p>
    <w:p w14:paraId="448793B2" w14:textId="77777777" w:rsidR="00877DE5" w:rsidRPr="009472DE" w:rsidRDefault="00877DE5" w:rsidP="00067100">
      <w:pPr>
        <w:spacing w:after="0" w:line="240" w:lineRule="auto"/>
        <w:ind w:left="284" w:right="99" w:firstLine="709"/>
        <w:jc w:val="both"/>
        <w:rPr>
          <w:rFonts w:ascii="Times New Roman" w:eastAsia="Times New Roman" w:hAnsi="Times New Roman" w:cs="Times New Roman"/>
          <w:color w:val="000000"/>
          <w:sz w:val="21"/>
          <w:lang w:val="en-US" w:eastAsia="ru-RU"/>
        </w:rPr>
      </w:pPr>
      <w:r w:rsidRPr="009472DE">
        <w:rPr>
          <w:rFonts w:ascii="Times New Roman" w:eastAsia="Times New Roman" w:hAnsi="Times New Roman" w:cs="Times New Roman"/>
          <w:b/>
          <w:color w:val="000000"/>
          <w:sz w:val="21"/>
          <w:lang w:val="en-US" w:eastAsia="ru-RU"/>
        </w:rPr>
        <w:t>Keywords:</w:t>
      </w:r>
      <w:r w:rsidRPr="009472DE">
        <w:rPr>
          <w:rFonts w:ascii="Times New Roman" w:eastAsia="Times New Roman" w:hAnsi="Times New Roman" w:cs="Times New Roman"/>
          <w:color w:val="000000"/>
          <w:sz w:val="21"/>
          <w:lang w:val="en-US" w:eastAsia="ru-RU"/>
        </w:rPr>
        <w:t xml:space="preserve"> technical support, banking sector, digital transformation, artificial intelligence, process automation, CRM systems, KPIs.</w:t>
      </w:r>
    </w:p>
    <w:p w14:paraId="2039F4EC" w14:textId="77777777" w:rsidR="00877DE5" w:rsidRPr="009472DE" w:rsidRDefault="00877DE5" w:rsidP="00067100">
      <w:pPr>
        <w:spacing w:after="0" w:line="240" w:lineRule="auto"/>
        <w:ind w:left="284" w:right="99" w:firstLine="709"/>
        <w:jc w:val="both"/>
        <w:rPr>
          <w:rFonts w:ascii="Times New Roman" w:eastAsia="Times New Roman" w:hAnsi="Times New Roman" w:cs="Times New Roman"/>
          <w:color w:val="000000"/>
          <w:sz w:val="21"/>
          <w:lang w:val="en-US" w:eastAsia="ru-RU"/>
        </w:rPr>
      </w:pPr>
      <w:r>
        <w:rPr>
          <w:rFonts w:ascii="Times New Roman" w:eastAsia="Times New Roman" w:hAnsi="Times New Roman" w:cs="Times New Roman"/>
          <w:color w:val="000000"/>
          <w:sz w:val="21"/>
          <w:lang w:val="en-US" w:eastAsia="ru-RU"/>
        </w:rPr>
        <w:t xml:space="preserve"> </w:t>
      </w:r>
    </w:p>
    <w:p w14:paraId="45223756"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В банковской сфере, где бесперебойная работа критически важна для поддержания доверия клиентов, техническая поддержка играет ключевую роль. Однако, российские банки, как и многие другие, сталкиваются с серьезными проблемами в этой области: длительное реагирование, устаревшие технологии и постоянно растущие требования клиентов приводят к разочарованию и снижению эффективности. Во времена цифрового банкинга потребность в </w:t>
      </w:r>
      <w:r w:rsidRPr="00A722AD">
        <w:rPr>
          <w:rFonts w:ascii="Times New Roman" w:eastAsia="Times New Roman" w:hAnsi="Times New Roman" w:cs="Times New Roman"/>
          <w:color w:val="000000"/>
          <w:sz w:val="32"/>
          <w:szCs w:val="28"/>
          <w:lang w:eastAsia="ru-RU"/>
        </w:rPr>
        <w:lastRenderedPageBreak/>
        <w:t xml:space="preserve">оперативной, надежной и безопасной технической поддержке становится все более острой. </w:t>
      </w:r>
    </w:p>
    <w:p w14:paraId="4CB1AB31"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Эта статья анализирует основные проблемы технической поддержки в российских банках и предлагает стратегии для повышения ее эффективности, сокращения времени решения проблем и улучшения клиентского опыта.</w:t>
      </w:r>
    </w:p>
    <w:p w14:paraId="5701658B"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Внедрение современных инструментов, автоматизации и передовых практик позволит банкам превратить службу поддержки в конкурентное преимущество. Основные сложности включают длительные сроки решения проблем из-за ручных процессов и бюрократических процедур, а также недостаточный уровень автоматизации. Многие запросы, такие как сброс паролей или разблокировка счетов, до сих пор обрабатываются вручную.  </w:t>
      </w:r>
    </w:p>
    <w:p w14:paraId="6BA1712A"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Другая серьезная проблема – дефицит квалифицированных кадров и слабая подготовка сотрудников первой линии поддержки. Кроме того, устаревшие ИТ-системы, которые не интегрированы между собой, усложняют диагностику и решение проблем. Это приводит к снижению доверия клиентов. По данным исследования НАФИ, 34% клиентов российских банков сталкивались с задержками при решении технических вопросов, а каждый пятый готов сменить банк из-за неудовлетворительной работы поддержки.  </w:t>
      </w:r>
    </w:p>
    <w:p w14:paraId="2B7F5923"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Примеры из практики подтверждают эти проблемы. В 2023 году Промсвязьбанк (ПСБ) столкнулся с волной негатива в соцсетях из-за сбоев в мобильном приложении. Техподдержка не справилась с нагрузкой, и среднее время ответа составило 72 часа. Другой пример – региональный банк «Русский стандарт», который при внедрении новой CRM-системы потерял 15% клиентов из-за неготовности сотрудников колл-центра работать с обновленной системой. Эти кейсы показывают, что без модернизации процессов поддержки банки рискуют не только репутацией, но и коммерческими результатами.  </w:t>
      </w:r>
    </w:p>
    <w:p w14:paraId="4F8B5760"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Для улучшения технической поддержки необходимо внедрение интеллектуальных тикет-систем. Современные решения на базе ИИ, такие как Zendesk AI или Freshdesk, позволяют автоматизировать 60-70% рутинных запросов, интегрироваться с CRM для персонализированного обслуживания и сократить время первичного ответа с 2 часов до 15 минут, как это произошло в Сбербанке после внедрения подобной системы.  </w:t>
      </w:r>
    </w:p>
    <w:p w14:paraId="2FA3D88A"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Не менее важно развитие кадрового потенциала. Основные меры содержат в себе ежеквартальные тренинги по продуктам и soft skills </w:t>
      </w:r>
      <w:r w:rsidRPr="00A722AD">
        <w:rPr>
          <w:rFonts w:ascii="Times New Roman" w:eastAsia="Times New Roman" w:hAnsi="Times New Roman" w:cs="Times New Roman"/>
          <w:color w:val="000000"/>
          <w:sz w:val="32"/>
          <w:szCs w:val="28"/>
          <w:lang w:eastAsia="ru-RU"/>
        </w:rPr>
        <w:lastRenderedPageBreak/>
        <w:t xml:space="preserve">(например, VR-симуляторы сложных кейсов в ВТБ), создание единой базы знаний с элементами геймификации (как в Тинькофф) и внедрение системы менторства для новых сотрудников.  </w:t>
      </w:r>
    </w:p>
    <w:p w14:paraId="3BB6F7BB"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Использование AI и чат-ботов значительно повышает эффективность работы. Опыт таких крупных банков, как Альфа-Банк и Сбер, показывает, что чат-боты способны самостоятельно решать до 85% типовых вопросов, что приводит к 40%-ному снижению нагрузки на операторов и обеспечивает непрерывную поддержку клиентов на разных языках, включая региональные.</w:t>
      </w:r>
    </w:p>
    <w:p w14:paraId="754A935A"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Оптимизация SLA, с внедрением многоуровневых стандартов (например, 15 минут на критичные сбои и 4 часа на некритичные) и применением прогнозной аналитики на основе Big Data (как в Райффайзенбанке), позволяет еще больше повысить эффективность работы службы поддержки. </w:t>
      </w:r>
    </w:p>
    <w:p w14:paraId="7C3ECD43" w14:textId="0CB2B89B"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При этом всем, вопросы безопасности и соответствия требованиям остаются ключевыми. Сквозное шифрование всех каналов связи, автоматические алерт-системы при подозрении на мошенничество и регулярные аудиты на соответствие 152-ФЗ и PCI DSS – ключевые меры для защиты данных клиентов и соблюдения регуляторных требований.Здесь примером служит Газпромбанк, который сократил инциденты с утечками данных на 90% после внедрения голосовой биометрии в колл-центре.</w:t>
      </w:r>
      <w:r w:rsidR="00F73ACD">
        <w:rPr>
          <w:rFonts w:ascii="Times New Roman" w:eastAsia="Times New Roman" w:hAnsi="Times New Roman" w:cs="Times New Roman"/>
          <w:color w:val="000000"/>
          <w:sz w:val="32"/>
          <w:szCs w:val="28"/>
          <w:lang w:eastAsia="ru-RU"/>
        </w:rPr>
        <w:t xml:space="preserve"> </w:t>
      </w:r>
      <w:r w:rsidRPr="00A722AD">
        <w:rPr>
          <w:rFonts w:ascii="Times New Roman" w:eastAsia="Times New Roman" w:hAnsi="Times New Roman" w:cs="Times New Roman"/>
          <w:color w:val="000000"/>
          <w:sz w:val="32"/>
          <w:szCs w:val="28"/>
          <w:lang w:eastAsia="ru-RU"/>
        </w:rPr>
        <w:t>Внедрение системы ключевых показателей эффективности (</w:t>
      </w:r>
      <w:r w:rsidRPr="00A722AD">
        <w:rPr>
          <w:rFonts w:ascii="Times New Roman" w:eastAsia="Times New Roman" w:hAnsi="Times New Roman" w:cs="Times New Roman"/>
          <w:color w:val="000000"/>
          <w:sz w:val="32"/>
          <w:szCs w:val="28"/>
          <w:lang w:val="en-US" w:eastAsia="ru-RU"/>
        </w:rPr>
        <w:t>KPI</w:t>
      </w:r>
      <w:r w:rsidRPr="00A722AD">
        <w:rPr>
          <w:rFonts w:ascii="Times New Roman" w:eastAsia="Times New Roman" w:hAnsi="Times New Roman" w:cs="Times New Roman"/>
          <w:color w:val="000000"/>
          <w:sz w:val="32"/>
          <w:szCs w:val="28"/>
          <w:lang w:eastAsia="ru-RU"/>
        </w:rPr>
        <w:t>) также является обязательным условием для оценки успешности модернизации службы технической поддержки в банках. Основное внимание следует уделять трем фундаментальным метрикам, которые комплексно отражают качество сервиса.</w:t>
      </w:r>
      <w:r w:rsidR="00F73ACD">
        <w:rPr>
          <w:rFonts w:ascii="Times New Roman" w:eastAsia="Times New Roman" w:hAnsi="Times New Roman" w:cs="Times New Roman"/>
          <w:color w:val="000000"/>
          <w:sz w:val="32"/>
          <w:szCs w:val="28"/>
          <w:lang w:eastAsia="ru-RU"/>
        </w:rPr>
        <w:t xml:space="preserve"> </w:t>
      </w:r>
      <w:r w:rsidRPr="00A722AD">
        <w:rPr>
          <w:rFonts w:ascii="Times New Roman" w:eastAsia="Times New Roman" w:hAnsi="Times New Roman" w:cs="Times New Roman"/>
          <w:color w:val="000000"/>
          <w:sz w:val="32"/>
          <w:szCs w:val="28"/>
          <w:lang w:eastAsia="ru-RU"/>
        </w:rPr>
        <w:t>Время первого ответа (</w:t>
      </w:r>
      <w:r w:rsidRPr="00A722AD">
        <w:rPr>
          <w:rFonts w:ascii="Times New Roman" w:eastAsia="Times New Roman" w:hAnsi="Times New Roman" w:cs="Times New Roman"/>
          <w:color w:val="000000"/>
          <w:sz w:val="32"/>
          <w:szCs w:val="28"/>
          <w:lang w:val="en-US" w:eastAsia="ru-RU"/>
        </w:rPr>
        <w:t>FRT</w:t>
      </w:r>
      <w:r w:rsidRPr="00A722AD">
        <w:rPr>
          <w:rFonts w:ascii="Times New Roman" w:eastAsia="Times New Roman" w:hAnsi="Times New Roman" w:cs="Times New Roman"/>
          <w:color w:val="000000"/>
          <w:sz w:val="32"/>
          <w:szCs w:val="28"/>
          <w:lang w:eastAsia="ru-RU"/>
        </w:rPr>
        <w:t xml:space="preserve">) служит важнейшим индикатором оперативности работы поддержки. Современные банки стремятся сократить этот показатель до 10 минут для стандартных запросов и до 5 минут для критически важных обращений. Например, после внедрения системы автоматической маршрутизации запросов Тинькофф Банк смог уменьшить </w:t>
      </w:r>
      <w:r w:rsidRPr="00A722AD">
        <w:rPr>
          <w:rFonts w:ascii="Times New Roman" w:eastAsia="Times New Roman" w:hAnsi="Times New Roman" w:cs="Times New Roman"/>
          <w:color w:val="000000"/>
          <w:sz w:val="32"/>
          <w:szCs w:val="28"/>
          <w:lang w:val="en-US" w:eastAsia="ru-RU"/>
        </w:rPr>
        <w:t>FRT</w:t>
      </w:r>
      <w:r w:rsidRPr="00A722AD">
        <w:rPr>
          <w:rFonts w:ascii="Times New Roman" w:eastAsia="Times New Roman" w:hAnsi="Times New Roman" w:cs="Times New Roman"/>
          <w:color w:val="000000"/>
          <w:sz w:val="32"/>
          <w:szCs w:val="28"/>
          <w:lang w:eastAsia="ru-RU"/>
        </w:rPr>
        <w:t xml:space="preserve"> с 25 до 7 минут, что значительно повысило лояльность клиентов.</w:t>
      </w:r>
    </w:p>
    <w:p w14:paraId="105574B6"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Не менее важным показателем является среднее время решения проблемы (</w:t>
      </w:r>
      <w:r w:rsidRPr="00A722AD">
        <w:rPr>
          <w:rFonts w:ascii="Times New Roman" w:eastAsia="Times New Roman" w:hAnsi="Times New Roman" w:cs="Times New Roman"/>
          <w:color w:val="000000"/>
          <w:sz w:val="32"/>
          <w:szCs w:val="28"/>
          <w:lang w:val="en-US" w:eastAsia="ru-RU"/>
        </w:rPr>
        <w:t>ART</w:t>
      </w:r>
      <w:r w:rsidRPr="00A722AD">
        <w:rPr>
          <w:rFonts w:ascii="Times New Roman" w:eastAsia="Times New Roman" w:hAnsi="Times New Roman" w:cs="Times New Roman"/>
          <w:color w:val="000000"/>
          <w:sz w:val="32"/>
          <w:szCs w:val="28"/>
          <w:lang w:eastAsia="ru-RU"/>
        </w:rPr>
        <w:t>). Оптимальным значением для российских банков считается разрешение стандартных запросов в течение 4 часов. Для достижения таких результатов передовые финансовые организации используют технологии предиктивной аналитики, позволяющие заранее определять сложные кейсы и оптимальные пути их решения.</w:t>
      </w:r>
    </w:p>
    <w:p w14:paraId="396B16DA"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lastRenderedPageBreak/>
        <w:t>Особое место в системе оценки занимает индекс удовлетворенности клиентов (</w:t>
      </w:r>
      <w:r w:rsidRPr="00A722AD">
        <w:rPr>
          <w:rFonts w:ascii="Times New Roman" w:eastAsia="Times New Roman" w:hAnsi="Times New Roman" w:cs="Times New Roman"/>
          <w:color w:val="000000"/>
          <w:sz w:val="32"/>
          <w:szCs w:val="28"/>
          <w:lang w:val="en-US" w:eastAsia="ru-RU"/>
        </w:rPr>
        <w:t>CSAT</w:t>
      </w:r>
      <w:r w:rsidRPr="00A722AD">
        <w:rPr>
          <w:rFonts w:ascii="Times New Roman" w:eastAsia="Times New Roman" w:hAnsi="Times New Roman" w:cs="Times New Roman"/>
          <w:color w:val="000000"/>
          <w:sz w:val="32"/>
          <w:szCs w:val="28"/>
          <w:lang w:eastAsia="ru-RU"/>
        </w:rPr>
        <w:t xml:space="preserve">). Банки-лидеры российского рынка устанавливают планку в 85% положительных отзывов. Для сбора обратной связи применяются автоматизированные опросы, дополненные анализом эмоциональной окраски разговоров с помощью технологий обработки естественного языка. Ярким примером эффективности такой системы стал Альфа-Банк, которому за полгода удалось поднять </w:t>
      </w:r>
      <w:r w:rsidRPr="00A722AD">
        <w:rPr>
          <w:rFonts w:ascii="Times New Roman" w:eastAsia="Times New Roman" w:hAnsi="Times New Roman" w:cs="Times New Roman"/>
          <w:color w:val="000000"/>
          <w:sz w:val="32"/>
          <w:szCs w:val="28"/>
          <w:lang w:val="en-US" w:eastAsia="ru-RU"/>
        </w:rPr>
        <w:t>CSAT</w:t>
      </w:r>
      <w:r w:rsidRPr="00A722AD">
        <w:rPr>
          <w:rFonts w:ascii="Times New Roman" w:eastAsia="Times New Roman" w:hAnsi="Times New Roman" w:cs="Times New Roman"/>
          <w:color w:val="000000"/>
          <w:sz w:val="32"/>
          <w:szCs w:val="28"/>
          <w:lang w:eastAsia="ru-RU"/>
        </w:rPr>
        <w:t xml:space="preserve"> с 72% до 89% благодаря внедрению геймифицированной системы мотивации сотрудников.</w:t>
      </w:r>
    </w:p>
    <w:p w14:paraId="7FD75D51" w14:textId="51DFC178"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Постоянное совершенствование сервиса требует регулярного анализа полученных данных. Передовые практики включают еженедельный разбор наихудших кейсов, проведение </w:t>
      </w:r>
      <w:r w:rsidRPr="00A722AD">
        <w:rPr>
          <w:rFonts w:ascii="Times New Roman" w:eastAsia="Times New Roman" w:hAnsi="Times New Roman" w:cs="Times New Roman"/>
          <w:color w:val="000000"/>
          <w:sz w:val="32"/>
          <w:szCs w:val="28"/>
          <w:lang w:val="en-US" w:eastAsia="ru-RU"/>
        </w:rPr>
        <w:t>A</w:t>
      </w:r>
      <w:r w:rsidRPr="00A722AD">
        <w:rPr>
          <w:rFonts w:ascii="Times New Roman" w:eastAsia="Times New Roman" w:hAnsi="Times New Roman" w:cs="Times New Roman"/>
          <w:color w:val="000000"/>
          <w:sz w:val="32"/>
          <w:szCs w:val="28"/>
          <w:lang w:eastAsia="ru-RU"/>
        </w:rPr>
        <w:t>/</w:t>
      </w:r>
      <w:r w:rsidRPr="00A722AD">
        <w:rPr>
          <w:rFonts w:ascii="Times New Roman" w:eastAsia="Times New Roman" w:hAnsi="Times New Roman" w:cs="Times New Roman"/>
          <w:color w:val="000000"/>
          <w:sz w:val="32"/>
          <w:szCs w:val="28"/>
          <w:lang w:val="en-US" w:eastAsia="ru-RU"/>
        </w:rPr>
        <w:t>B</w:t>
      </w:r>
      <w:r w:rsidRPr="00A722AD">
        <w:rPr>
          <w:rFonts w:ascii="Times New Roman" w:eastAsia="Times New Roman" w:hAnsi="Times New Roman" w:cs="Times New Roman"/>
          <w:color w:val="000000"/>
          <w:sz w:val="32"/>
          <w:szCs w:val="28"/>
          <w:lang w:eastAsia="ru-RU"/>
        </w:rPr>
        <w:t>-тестирования новых сценариев общения и постоянное сравнение своих показателей с результатами топовых игроков рынка. Особое внимание при этом уделяется соблюдению требований российских регуляторов, что делает систему оценки одновременно эффективной и соответствующей всем нормативным актам. Такой комплексный подход позволяет не только контролировать текущие результаты, но и постоянно выявлять новые возможности для улучшения качества обслуживания клиентов. Рассмотрим практический опыт и успешные кейсы российских банков.</w:t>
      </w:r>
      <w:r w:rsidR="00F73ACD">
        <w:rPr>
          <w:rFonts w:ascii="Times New Roman" w:eastAsia="Times New Roman" w:hAnsi="Times New Roman" w:cs="Times New Roman"/>
          <w:color w:val="000000"/>
          <w:sz w:val="32"/>
          <w:szCs w:val="28"/>
          <w:lang w:eastAsia="ru-RU"/>
        </w:rPr>
        <w:t xml:space="preserve"> </w:t>
      </w:r>
      <w:r w:rsidRPr="00A722AD">
        <w:rPr>
          <w:rFonts w:ascii="Times New Roman" w:eastAsia="Times New Roman" w:hAnsi="Times New Roman" w:cs="Times New Roman"/>
          <w:color w:val="000000"/>
          <w:sz w:val="32"/>
          <w:szCs w:val="28"/>
          <w:lang w:eastAsia="ru-RU"/>
        </w:rPr>
        <w:t xml:space="preserve">Российские банки уже демонстрируют положительные примеры трансформации служб технической поддержки. Крупнейшие участники рынка уже доказали, что модернизация процессов приводит к ощутимым результатам в клиентском опыте и операционной эффективности.  </w:t>
      </w:r>
    </w:p>
    <w:p w14:paraId="0423E896"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Сбербанк использует технологии голосового помощника на базе ИИ, который обрабатывает до 80% типовых запросов. Это позволило сократить нагрузку на операторов на 40% и обеспечить круглосуточную поддержку клиентов. </w:t>
      </w:r>
    </w:p>
    <w:p w14:paraId="709E7537" w14:textId="77777777" w:rsidR="00877DE5" w:rsidRPr="00A722AD" w:rsidRDefault="00877DE5" w:rsidP="00F73ACD">
      <w:pPr>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Тинькофф Банк реализовал систему с элементами геймификации в работе операторов поддержки, где сотрудники зарабатывают бонусы за скорость и качество ответов. Это повысило </w:t>
      </w:r>
      <w:r w:rsidRPr="00A722AD">
        <w:rPr>
          <w:rFonts w:ascii="Times New Roman" w:eastAsia="Times New Roman" w:hAnsi="Times New Roman" w:cs="Times New Roman"/>
          <w:color w:val="000000"/>
          <w:sz w:val="32"/>
          <w:szCs w:val="28"/>
          <w:lang w:val="en-US" w:eastAsia="ru-RU"/>
        </w:rPr>
        <w:t>CSAT</w:t>
      </w:r>
      <w:r w:rsidRPr="00A722AD">
        <w:rPr>
          <w:rFonts w:ascii="Times New Roman" w:eastAsia="Times New Roman" w:hAnsi="Times New Roman" w:cs="Times New Roman"/>
          <w:color w:val="000000"/>
          <w:sz w:val="32"/>
          <w:szCs w:val="28"/>
          <w:lang w:eastAsia="ru-RU"/>
        </w:rPr>
        <w:t xml:space="preserve"> (индекс удовлетворенности) с 75% до 88% за год. </w:t>
      </w:r>
    </w:p>
    <w:p w14:paraId="0A03BE10" w14:textId="77777777" w:rsidR="00877DE5" w:rsidRPr="00A722AD" w:rsidRDefault="00877DE5" w:rsidP="00067100">
      <w:pPr>
        <w:spacing w:after="0" w:line="240" w:lineRule="auto"/>
        <w:ind w:left="127" w:right="99"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Альфа-Банк автоматизировал обработку жалоб через внедрение искусственного интеллекта и на его основе системы анализа тональности. Алгоритмы выявляют негативные обращения и переводят их в приоритетную очередь. В результате время реакции на критические проблемы сократилось в 3 раза. Опыт показывает: эмоциональный анализ помогает предотвращать эскалации.  </w:t>
      </w:r>
    </w:p>
    <w:p w14:paraId="4C9F21AF" w14:textId="77777777" w:rsidR="00877DE5" w:rsidRPr="00A722AD" w:rsidRDefault="00877DE5" w:rsidP="00067100">
      <w:pPr>
        <w:spacing w:after="0" w:line="240" w:lineRule="auto"/>
        <w:ind w:left="127" w:right="99"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lastRenderedPageBreak/>
        <w:t xml:space="preserve">ВТБ сделали акцент на </w:t>
      </w:r>
      <w:r w:rsidRPr="00A722AD">
        <w:rPr>
          <w:rFonts w:ascii="Times New Roman" w:eastAsia="Times New Roman" w:hAnsi="Times New Roman" w:cs="Times New Roman"/>
          <w:color w:val="000000"/>
          <w:sz w:val="32"/>
          <w:szCs w:val="28"/>
          <w:lang w:val="en-US" w:eastAsia="ru-RU"/>
        </w:rPr>
        <w:t>VR</w:t>
      </w:r>
      <w:r w:rsidRPr="00A722AD">
        <w:rPr>
          <w:rFonts w:ascii="Times New Roman" w:eastAsia="Times New Roman" w:hAnsi="Times New Roman" w:cs="Times New Roman"/>
          <w:color w:val="000000"/>
          <w:sz w:val="32"/>
          <w:szCs w:val="28"/>
          <w:lang w:eastAsia="ru-RU"/>
        </w:rPr>
        <w:t xml:space="preserve">-тренинги для сотрудников, где они могут отрабатывать сложные сценарии рабочих ситуаций в виртуальной среде. Это уменьшило количество ошибок новичков на 25%. Главный инсайт: </w:t>
      </w:r>
      <w:r w:rsidRPr="00A722AD">
        <w:rPr>
          <w:rFonts w:ascii="Times New Roman" w:eastAsia="Times New Roman" w:hAnsi="Times New Roman" w:cs="Times New Roman"/>
          <w:color w:val="000000"/>
          <w:sz w:val="32"/>
          <w:szCs w:val="28"/>
          <w:lang w:val="en-US" w:eastAsia="ru-RU"/>
        </w:rPr>
        <w:t>immersive</w:t>
      </w:r>
      <w:r w:rsidRPr="00A722AD">
        <w:rPr>
          <w:rFonts w:ascii="Times New Roman" w:eastAsia="Times New Roman" w:hAnsi="Times New Roman" w:cs="Times New Roman"/>
          <w:color w:val="000000"/>
          <w:sz w:val="32"/>
          <w:szCs w:val="28"/>
          <w:lang w:eastAsia="ru-RU"/>
        </w:rPr>
        <w:t xml:space="preserve">-технологии ускоряют адаптацию персонала.  </w:t>
      </w:r>
    </w:p>
    <w:p w14:paraId="0FDC276B" w14:textId="7E3765B2" w:rsidR="00877DE5" w:rsidRPr="00A722AD" w:rsidRDefault="00877DE5" w:rsidP="00F73ACD">
      <w:pPr>
        <w:tabs>
          <w:tab w:val="left" w:pos="993"/>
        </w:tabs>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Эти примеры подтверждают, что эффективная и успешная трансформация технической поддержки требует комплексного подхода </w:t>
      </w:r>
      <w:r w:rsidR="00F73ACD">
        <w:rPr>
          <w:rFonts w:ascii="Times New Roman" w:eastAsia="Times New Roman" w:hAnsi="Times New Roman" w:cs="Times New Roman"/>
          <w:color w:val="000000"/>
          <w:sz w:val="32"/>
          <w:szCs w:val="28"/>
          <w:lang w:eastAsia="ru-RU"/>
        </w:rPr>
        <w:t>-</w:t>
      </w:r>
      <w:r w:rsidRPr="00A722AD">
        <w:rPr>
          <w:rFonts w:ascii="Times New Roman" w:eastAsia="Times New Roman" w:hAnsi="Times New Roman" w:cs="Times New Roman"/>
          <w:color w:val="000000"/>
          <w:sz w:val="32"/>
          <w:szCs w:val="28"/>
          <w:lang w:eastAsia="ru-RU"/>
        </w:rPr>
        <w:t xml:space="preserve"> сочетания технологий искусственного интеллекта, переобучения сотрудников и пересмотра процессов. Банки, инвестирующие в такого рода изменения, получают по итогу не только доверие и удовлетворенность клиентов, но и значительную экономию ресурсов.  </w:t>
      </w:r>
    </w:p>
    <w:p w14:paraId="0BE0FC7B" w14:textId="77777777" w:rsidR="00877DE5" w:rsidRPr="00A722AD" w:rsidRDefault="00877DE5" w:rsidP="00F73ACD">
      <w:pPr>
        <w:tabs>
          <w:tab w:val="left" w:pos="993"/>
        </w:tabs>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 xml:space="preserve">Совершенствование техподдержки в банковских организациях это не просто тренд, а необходимость в условиях цифровизации финансовых услуг. Внедрение интеллектуальных тикет-систем, автоматизация рутинных операций, развитие навыков сотрудников и использование </w:t>
      </w:r>
      <w:r w:rsidRPr="00A722AD">
        <w:rPr>
          <w:rFonts w:ascii="Times New Roman" w:eastAsia="Times New Roman" w:hAnsi="Times New Roman" w:cs="Times New Roman"/>
          <w:color w:val="000000"/>
          <w:sz w:val="32"/>
          <w:szCs w:val="28"/>
          <w:lang w:val="en-US" w:eastAsia="ru-RU"/>
        </w:rPr>
        <w:t>AI</w:t>
      </w:r>
      <w:r w:rsidRPr="00A722AD">
        <w:rPr>
          <w:rFonts w:ascii="Times New Roman" w:eastAsia="Times New Roman" w:hAnsi="Times New Roman" w:cs="Times New Roman"/>
          <w:color w:val="000000"/>
          <w:sz w:val="32"/>
          <w:szCs w:val="28"/>
          <w:lang w:eastAsia="ru-RU"/>
        </w:rPr>
        <w:t>-решений позволяют коренным образом изменить качество обслуживания клиентов.</w:t>
      </w:r>
    </w:p>
    <w:p w14:paraId="5142AE89" w14:textId="77777777" w:rsidR="00877DE5" w:rsidRPr="00A722AD" w:rsidRDefault="00877DE5" w:rsidP="00F73ACD">
      <w:pPr>
        <w:tabs>
          <w:tab w:val="left" w:pos="993"/>
        </w:tabs>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Эффективная система поддержки приносит долгосрочные преимущества:</w:t>
      </w:r>
    </w:p>
    <w:p w14:paraId="062E8BEC" w14:textId="321043EE" w:rsidR="00877DE5" w:rsidRPr="00F73ACD" w:rsidRDefault="00F73ACD" w:rsidP="00AD58CD">
      <w:pPr>
        <w:pStyle w:val="a8"/>
        <w:numPr>
          <w:ilvl w:val="0"/>
          <w:numId w:val="263"/>
        </w:numPr>
        <w:tabs>
          <w:tab w:val="left" w:pos="993"/>
        </w:tabs>
        <w:spacing w:after="0" w:line="240" w:lineRule="auto"/>
        <w:ind w:left="0" w:firstLine="709"/>
        <w:jc w:val="both"/>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с</w:t>
      </w:r>
      <w:r w:rsidR="00877DE5" w:rsidRPr="00F73ACD">
        <w:rPr>
          <w:rFonts w:ascii="Times New Roman" w:eastAsia="Times New Roman" w:hAnsi="Times New Roman" w:cs="Times New Roman"/>
          <w:color w:val="000000"/>
          <w:sz w:val="32"/>
          <w:szCs w:val="28"/>
          <w:lang w:eastAsia="ru-RU"/>
        </w:rPr>
        <w:t>нижение оттока клиентов за счет оперативного решения проблем</w:t>
      </w:r>
      <w:r>
        <w:rPr>
          <w:rFonts w:ascii="Times New Roman" w:eastAsia="Times New Roman" w:hAnsi="Times New Roman" w:cs="Times New Roman"/>
          <w:color w:val="000000"/>
          <w:sz w:val="32"/>
          <w:szCs w:val="28"/>
          <w:lang w:eastAsia="ru-RU"/>
        </w:rPr>
        <w:t>;</w:t>
      </w:r>
    </w:p>
    <w:p w14:paraId="42BAA185" w14:textId="350ADBD3" w:rsidR="00877DE5" w:rsidRPr="00F73ACD" w:rsidRDefault="00F73ACD" w:rsidP="00AD58CD">
      <w:pPr>
        <w:pStyle w:val="a8"/>
        <w:numPr>
          <w:ilvl w:val="0"/>
          <w:numId w:val="263"/>
        </w:numPr>
        <w:tabs>
          <w:tab w:val="left" w:pos="993"/>
        </w:tabs>
        <w:spacing w:after="0" w:line="240" w:lineRule="auto"/>
        <w:ind w:left="0" w:firstLine="709"/>
        <w:jc w:val="both"/>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р</w:t>
      </w:r>
      <w:r w:rsidR="00877DE5" w:rsidRPr="00F73ACD">
        <w:rPr>
          <w:rFonts w:ascii="Times New Roman" w:eastAsia="Times New Roman" w:hAnsi="Times New Roman" w:cs="Times New Roman"/>
          <w:color w:val="000000"/>
          <w:sz w:val="32"/>
          <w:szCs w:val="28"/>
          <w:lang w:eastAsia="ru-RU"/>
        </w:rPr>
        <w:t>ост операционной эффективности благодаря оптимизации процессов</w:t>
      </w:r>
      <w:r>
        <w:rPr>
          <w:rFonts w:ascii="Times New Roman" w:eastAsia="Times New Roman" w:hAnsi="Times New Roman" w:cs="Times New Roman"/>
          <w:color w:val="000000"/>
          <w:sz w:val="32"/>
          <w:szCs w:val="28"/>
          <w:lang w:eastAsia="ru-RU"/>
        </w:rPr>
        <w:t>;</w:t>
      </w:r>
    </w:p>
    <w:p w14:paraId="0CD33B6B" w14:textId="7CA009BC" w:rsidR="00877DE5" w:rsidRPr="00F73ACD" w:rsidRDefault="00F73ACD" w:rsidP="00AD58CD">
      <w:pPr>
        <w:pStyle w:val="a8"/>
        <w:numPr>
          <w:ilvl w:val="0"/>
          <w:numId w:val="263"/>
        </w:numPr>
        <w:tabs>
          <w:tab w:val="left" w:pos="993"/>
        </w:tabs>
        <w:spacing w:after="0" w:line="240" w:lineRule="auto"/>
        <w:ind w:left="0" w:firstLine="709"/>
        <w:jc w:val="both"/>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у</w:t>
      </w:r>
      <w:r w:rsidR="00877DE5" w:rsidRPr="00F73ACD">
        <w:rPr>
          <w:rFonts w:ascii="Times New Roman" w:eastAsia="Times New Roman" w:hAnsi="Times New Roman" w:cs="Times New Roman"/>
          <w:color w:val="000000"/>
          <w:sz w:val="32"/>
          <w:szCs w:val="28"/>
          <w:lang w:eastAsia="ru-RU"/>
        </w:rPr>
        <w:t>крепление репутации банка как технологичного и клиентоориентированного</w:t>
      </w:r>
      <w:r>
        <w:rPr>
          <w:rFonts w:ascii="Times New Roman" w:eastAsia="Times New Roman" w:hAnsi="Times New Roman" w:cs="Times New Roman"/>
          <w:color w:val="000000"/>
          <w:sz w:val="32"/>
          <w:szCs w:val="28"/>
          <w:lang w:eastAsia="ru-RU"/>
        </w:rPr>
        <w:t>.</w:t>
      </w:r>
    </w:p>
    <w:p w14:paraId="1E9B3205" w14:textId="77777777" w:rsidR="00877DE5" w:rsidRPr="00A722AD" w:rsidRDefault="00877DE5" w:rsidP="00F73ACD">
      <w:pPr>
        <w:tabs>
          <w:tab w:val="left" w:pos="993"/>
        </w:tabs>
        <w:spacing w:after="0" w:line="240" w:lineRule="auto"/>
        <w:ind w:firstLine="709"/>
        <w:jc w:val="both"/>
        <w:rPr>
          <w:rFonts w:ascii="Times New Roman" w:eastAsia="Times New Roman" w:hAnsi="Times New Roman" w:cs="Times New Roman"/>
          <w:color w:val="000000"/>
          <w:sz w:val="32"/>
          <w:szCs w:val="28"/>
          <w:lang w:eastAsia="ru-RU"/>
        </w:rPr>
      </w:pPr>
      <w:r w:rsidRPr="00A722AD">
        <w:rPr>
          <w:rFonts w:ascii="Times New Roman" w:eastAsia="Times New Roman" w:hAnsi="Times New Roman" w:cs="Times New Roman"/>
          <w:color w:val="000000"/>
          <w:sz w:val="32"/>
          <w:szCs w:val="28"/>
          <w:lang w:eastAsia="ru-RU"/>
        </w:rPr>
        <w:t>Российским банкам важно уже сегодня инвестировать в модернизацию служб поддержки, чтобы оставаться конкурентоспособными. Внедрение рассмотренных решений — от чат-ботов до систем анализа удовлетворенности — поможет не только соответствовать ожиданиям клиентов, но и создавать сервис будущего.</w:t>
      </w:r>
    </w:p>
    <w:p w14:paraId="42DA9B7E" w14:textId="77777777" w:rsidR="00877DE5" w:rsidRPr="009472DE" w:rsidRDefault="00877DE5" w:rsidP="00067100">
      <w:pPr>
        <w:spacing w:after="0" w:line="240" w:lineRule="auto"/>
        <w:ind w:left="127" w:right="99" w:firstLine="709"/>
        <w:jc w:val="both"/>
        <w:rPr>
          <w:rFonts w:ascii="Times New Roman" w:eastAsia="Times New Roman" w:hAnsi="Times New Roman" w:cs="Times New Roman"/>
          <w:color w:val="000000"/>
          <w:sz w:val="28"/>
          <w:szCs w:val="28"/>
          <w:lang w:eastAsia="ru-RU"/>
        </w:rPr>
      </w:pPr>
    </w:p>
    <w:p w14:paraId="578C1B05" w14:textId="77777777" w:rsidR="00877DE5" w:rsidRPr="009472DE" w:rsidRDefault="00877DE5" w:rsidP="00C465D4">
      <w:pPr>
        <w:tabs>
          <w:tab w:val="left" w:pos="1276"/>
        </w:tabs>
        <w:autoSpaceDE w:val="0"/>
        <w:autoSpaceDN w:val="0"/>
        <w:adjustRightInd w:val="0"/>
        <w:spacing w:after="0" w:line="240" w:lineRule="auto"/>
        <w:ind w:right="182" w:firstLine="709"/>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Литература:</w:t>
      </w:r>
    </w:p>
    <w:p w14:paraId="34F57E63" w14:textId="4F094DAB"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 xml:space="preserve">Федеральный закон от 27.07.2006 № 152-ФЗ </w:t>
      </w:r>
      <w:r w:rsidR="00F73ACD">
        <w:rPr>
          <w:rFonts w:eastAsia="Times New Roman" w:cs="Times New Roman"/>
          <w:lang w:val="ru-RU"/>
        </w:rPr>
        <w:t>«</w:t>
      </w:r>
      <w:r w:rsidRPr="00A722AD">
        <w:rPr>
          <w:rFonts w:eastAsia="Times New Roman" w:cs="Times New Roman"/>
          <w:lang w:val="x-none"/>
        </w:rPr>
        <w:t>О персональных данных</w:t>
      </w:r>
      <w:r w:rsidR="00F73ACD">
        <w:rPr>
          <w:rFonts w:eastAsia="Times New Roman" w:cs="Times New Roman"/>
          <w:lang w:val="ru-RU"/>
        </w:rPr>
        <w:t>»</w:t>
      </w:r>
    </w:p>
    <w:p w14:paraId="48FE6133" w14:textId="77777777"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Стандарт PCI DSS v4.0 (2022) – требования к безопасности платежных данных</w:t>
      </w:r>
    </w:p>
    <w:p w14:paraId="61E3B512" w14:textId="4F1473FB"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 xml:space="preserve">Положение Банка России № 684-П </w:t>
      </w:r>
      <w:r w:rsidR="00F73ACD">
        <w:rPr>
          <w:rFonts w:eastAsia="Times New Roman" w:cs="Times New Roman"/>
          <w:lang w:val="ru-RU"/>
        </w:rPr>
        <w:t>«</w:t>
      </w:r>
      <w:r w:rsidRPr="00A722AD">
        <w:rPr>
          <w:rFonts w:eastAsia="Times New Roman" w:cs="Times New Roman"/>
          <w:lang w:val="x-none"/>
        </w:rPr>
        <w:t>О требованиях к защите информации в банковской системе</w:t>
      </w:r>
      <w:r w:rsidR="00F73ACD">
        <w:rPr>
          <w:rFonts w:eastAsia="Times New Roman" w:cs="Times New Roman"/>
          <w:lang w:val="ru-RU"/>
        </w:rPr>
        <w:t>»</w:t>
      </w:r>
    </w:p>
    <w:p w14:paraId="77A661AE" w14:textId="77777777"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Иванов А.В. Цифровая трансформация банков: технологии и клиентский опыт. – М.: Альпина Паблишер, 2022. – 320 с.</w:t>
      </w:r>
    </w:p>
    <w:p w14:paraId="44FE50DD" w14:textId="77777777"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Петрова С.К. Искусственный интеллект в финансовом секторе. – СПб: Питер, 2023. – 180 с.</w:t>
      </w:r>
    </w:p>
    <w:p w14:paraId="6B71037A" w14:textId="03DBF2B3"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 xml:space="preserve">Смирнов И.О. </w:t>
      </w:r>
      <w:r w:rsidR="00DB349B">
        <w:rPr>
          <w:rFonts w:eastAsia="Times New Roman" w:cs="Times New Roman"/>
          <w:lang w:val="ru-RU"/>
        </w:rPr>
        <w:t>«</w:t>
      </w:r>
      <w:r w:rsidRPr="00A722AD">
        <w:rPr>
          <w:rFonts w:eastAsia="Times New Roman" w:cs="Times New Roman"/>
          <w:lang w:val="x-none"/>
        </w:rPr>
        <w:t>Автоматизация служб поддержки в российских банках: опыт внедрения чат-ботов</w:t>
      </w:r>
      <w:r w:rsidR="00DB349B">
        <w:rPr>
          <w:rFonts w:eastAsia="Times New Roman" w:cs="Times New Roman"/>
          <w:lang w:val="ru-RU"/>
        </w:rPr>
        <w:t>»</w:t>
      </w:r>
      <w:r w:rsidRPr="00A722AD">
        <w:rPr>
          <w:rFonts w:eastAsia="Times New Roman" w:cs="Times New Roman"/>
          <w:lang w:val="x-none"/>
        </w:rPr>
        <w:t xml:space="preserve"> // Финансы и кредит. – 2023. – № 5. – С. 45-52.</w:t>
      </w:r>
    </w:p>
    <w:p w14:paraId="699F4D50" w14:textId="0C847BEB"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lastRenderedPageBreak/>
        <w:t xml:space="preserve">Козлова Е.А. </w:t>
      </w:r>
      <w:r w:rsidR="00DB349B">
        <w:rPr>
          <w:rFonts w:eastAsia="Times New Roman" w:cs="Times New Roman"/>
          <w:lang w:val="ru-RU"/>
        </w:rPr>
        <w:t>«</w:t>
      </w:r>
      <w:r w:rsidRPr="00A722AD">
        <w:rPr>
          <w:rFonts w:eastAsia="Times New Roman" w:cs="Times New Roman"/>
          <w:lang w:val="x-none"/>
        </w:rPr>
        <w:t>KPI для оценки эффективности техподдержки: международный и российский опыт</w:t>
      </w:r>
      <w:r w:rsidR="00DB349B">
        <w:rPr>
          <w:rFonts w:eastAsia="Times New Roman" w:cs="Times New Roman"/>
          <w:lang w:val="ru-RU"/>
        </w:rPr>
        <w:t>»</w:t>
      </w:r>
      <w:r w:rsidRPr="00A722AD">
        <w:rPr>
          <w:rFonts w:eastAsia="Times New Roman" w:cs="Times New Roman"/>
          <w:lang w:val="x-none"/>
        </w:rPr>
        <w:t xml:space="preserve"> // Банковские технологии. – 2022. – № 12. – С. 34-41.</w:t>
      </w:r>
    </w:p>
    <w:p w14:paraId="1F65E8C8" w14:textId="7D97BB7F" w:rsidR="00877DE5" w:rsidRPr="00A722AD" w:rsidRDefault="00877DE5" w:rsidP="00AD58CD">
      <w:pPr>
        <w:pStyle w:val="afc"/>
        <w:numPr>
          <w:ilvl w:val="0"/>
          <w:numId w:val="7"/>
        </w:numPr>
        <w:tabs>
          <w:tab w:val="left" w:pos="0"/>
          <w:tab w:val="left" w:pos="284"/>
        </w:tabs>
        <w:ind w:left="0" w:firstLine="0"/>
        <w:rPr>
          <w:rFonts w:eastAsia="Times New Roman" w:cs="Times New Roman"/>
          <w:lang w:val="x-none"/>
        </w:rPr>
      </w:pPr>
      <w:r w:rsidRPr="00A722AD">
        <w:rPr>
          <w:rFonts w:eastAsia="Times New Roman" w:cs="Times New Roman"/>
          <w:lang w:val="x-none"/>
        </w:rPr>
        <w:t xml:space="preserve">Отчет НАФИ </w:t>
      </w:r>
      <w:r w:rsidR="00DB349B">
        <w:rPr>
          <w:rFonts w:eastAsia="Times New Roman" w:cs="Times New Roman"/>
          <w:lang w:val="ru-RU"/>
        </w:rPr>
        <w:t>«</w:t>
      </w:r>
      <w:r w:rsidRPr="00A722AD">
        <w:rPr>
          <w:rFonts w:eastAsia="Times New Roman" w:cs="Times New Roman"/>
          <w:lang w:val="x-none"/>
        </w:rPr>
        <w:t>Удовлетворенность клиентов банковскими сервисами</w:t>
      </w:r>
      <w:r w:rsidR="00DB349B">
        <w:rPr>
          <w:rFonts w:eastAsia="Times New Roman" w:cs="Times New Roman"/>
          <w:lang w:val="ru-RU"/>
        </w:rPr>
        <w:t>»</w:t>
      </w:r>
      <w:r w:rsidRPr="00A722AD">
        <w:rPr>
          <w:rFonts w:eastAsia="Times New Roman" w:cs="Times New Roman"/>
          <w:lang w:val="x-none"/>
        </w:rPr>
        <w:t xml:space="preserve"> (2023) [Электронный ресурс]. URL: </w:t>
      </w:r>
      <w:hyperlink r:id="rId84" w:history="1">
        <w:r w:rsidRPr="00A722AD">
          <w:rPr>
            <w:rFonts w:eastAsia="Times New Roman"/>
            <w:lang w:val="x-none"/>
          </w:rPr>
          <w:t>https://nafi.ru/analytics</w:t>
        </w:r>
      </w:hyperlink>
    </w:p>
    <w:p w14:paraId="239FF7A8" w14:textId="76DEF979" w:rsidR="00877DE5" w:rsidRPr="00877DE5" w:rsidRDefault="00877DE5" w:rsidP="00AD58CD">
      <w:pPr>
        <w:pStyle w:val="afc"/>
        <w:numPr>
          <w:ilvl w:val="0"/>
          <w:numId w:val="7"/>
        </w:numPr>
        <w:tabs>
          <w:tab w:val="left" w:pos="0"/>
          <w:tab w:val="left" w:pos="284"/>
        </w:tabs>
        <w:ind w:left="0" w:firstLine="0"/>
        <w:rPr>
          <w:rFonts w:eastAsia="Times New Roman" w:cs="Times New Roman"/>
          <w:color w:val="000000"/>
          <w:lang w:val="ru-RU" w:eastAsia="ru-RU"/>
        </w:rPr>
      </w:pPr>
      <w:r w:rsidRPr="00A722AD">
        <w:rPr>
          <w:rFonts w:eastAsia="Times New Roman" w:cs="Times New Roman"/>
          <w:lang w:val="x-none"/>
        </w:rPr>
        <w:t xml:space="preserve">Исследование Deloitte </w:t>
      </w:r>
      <w:r w:rsidR="00DB349B">
        <w:rPr>
          <w:rFonts w:eastAsia="Times New Roman" w:cs="Times New Roman"/>
          <w:lang w:val="ru-RU"/>
        </w:rPr>
        <w:t>«</w:t>
      </w:r>
      <w:r w:rsidRPr="00A722AD">
        <w:rPr>
          <w:rFonts w:eastAsia="Times New Roman" w:cs="Times New Roman"/>
          <w:lang w:val="x-none"/>
        </w:rPr>
        <w:t>Global Contact Center Survey</w:t>
      </w:r>
      <w:r w:rsidR="00DB349B">
        <w:rPr>
          <w:rFonts w:eastAsia="Times New Roman" w:cs="Times New Roman"/>
          <w:lang w:val="ru-RU"/>
        </w:rPr>
        <w:t>»</w:t>
      </w:r>
      <w:r w:rsidRPr="00A722AD">
        <w:rPr>
          <w:rFonts w:eastAsia="Times New Roman" w:cs="Times New Roman"/>
          <w:lang w:val="x-none"/>
        </w:rPr>
        <w:t xml:space="preserve"> (2023) – раздел по банковскому</w:t>
      </w:r>
      <w:r w:rsidRPr="00877DE5">
        <w:rPr>
          <w:rFonts w:eastAsia="Calibri" w:cs="Times New Roman"/>
          <w:lang w:val="ru-RU"/>
        </w:rPr>
        <w:t xml:space="preserve"> сектору</w:t>
      </w:r>
    </w:p>
    <w:p w14:paraId="4AECA7F2" w14:textId="77777777" w:rsidR="00877DE5" w:rsidRDefault="00877DE5" w:rsidP="00067100">
      <w:pPr>
        <w:spacing w:after="0" w:line="240" w:lineRule="auto"/>
        <w:ind w:firstLine="709"/>
        <w:rPr>
          <w:rFonts w:ascii="Times New Roman" w:hAnsi="Times New Roman" w:cs="Times New Roman"/>
        </w:rPr>
      </w:pPr>
    </w:p>
    <w:p w14:paraId="43B35B70" w14:textId="4819B7C6" w:rsidR="00365776" w:rsidRPr="00365776" w:rsidRDefault="00365776" w:rsidP="008D069C">
      <w:pPr>
        <w:keepNext/>
        <w:widowControl w:val="0"/>
        <w:spacing w:after="0" w:line="240" w:lineRule="auto"/>
        <w:ind w:firstLine="283"/>
        <w:rPr>
          <w:rFonts w:ascii="Times New Roman" w:eastAsia="Times New Roman" w:hAnsi="Times New Roman" w:cs="Times New Roman"/>
          <w:b/>
          <w:b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color w:val="000000"/>
          <w:sz w:val="21"/>
          <w:szCs w:val="21"/>
          <w:u w:color="000000"/>
          <w:lang w:eastAsia="ru-RU"/>
          <w14:textOutline w14:w="12700" w14:cap="flat" w14:cmpd="sng" w14:algn="ctr">
            <w14:noFill/>
            <w14:prstDash w14:val="solid"/>
            <w14:miter w14:lim="100000"/>
          </w14:textOutline>
        </w:rPr>
        <w:t>УДК 338.2</w:t>
      </w:r>
    </w:p>
    <w:p w14:paraId="52C7A3E4"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b/>
          <w:bCs/>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i/>
          <w:iCs/>
          <w:color w:val="000000"/>
          <w:sz w:val="21"/>
          <w:szCs w:val="21"/>
          <w:u w:color="000000"/>
          <w:lang w:eastAsia="ru-RU"/>
          <w14:textOutline w14:w="12700" w14:cap="flat" w14:cmpd="sng" w14:algn="ctr">
            <w14:noFill/>
            <w14:prstDash w14:val="solid"/>
            <w14:miter w14:lim="100000"/>
          </w14:textOutline>
        </w:rPr>
        <w:t>Марусевич Ю.В.,</w:t>
      </w:r>
    </w:p>
    <w:p w14:paraId="4FE73140"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студентка 1 курса </w:t>
      </w:r>
    </w:p>
    <w:p w14:paraId="735952C4"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Финансовый университет при Правительстве Российской Федерации </w:t>
      </w:r>
    </w:p>
    <w:p w14:paraId="44C92655"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(Краснодарский филиал) </w:t>
      </w:r>
    </w:p>
    <w:p w14:paraId="73D071E7"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г. Краснодар Россия </w:t>
      </w:r>
    </w:p>
    <w:p w14:paraId="1EAEA1C2" w14:textId="77777777" w:rsidR="00365776" w:rsidRDefault="00365776" w:rsidP="008D069C">
      <w:pPr>
        <w:keepNext/>
        <w:widowControl w:val="0"/>
        <w:spacing w:after="0" w:line="240" w:lineRule="auto"/>
        <w:ind w:firstLine="283"/>
        <w:jc w:val="right"/>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e</w:t>
      </w:r>
      <w:r w:rsidRPr="00420733">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w:t>
      </w: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mail</w:t>
      </w:r>
      <w:r w:rsidRPr="00420733">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 </w:t>
      </w:r>
      <w:hyperlink r:id="rId85" w:history="1">
        <w:r w:rsidRPr="00365776">
          <w:rPr>
            <w:rFonts w:ascii="Times New Roman" w:eastAsia="Arial Unicode MS" w:hAnsi="Times New Roman" w:cs="Arial Unicode MS"/>
            <w:i/>
            <w:iCs/>
            <w:color w:val="0000FF"/>
            <w:sz w:val="21"/>
            <w:szCs w:val="21"/>
            <w:u w:val="single" w:color="0000FF"/>
            <w:lang w:val="en-US" w:eastAsia="ru-RU"/>
          </w:rPr>
          <w:t>yliamarusevitch</w:t>
        </w:r>
        <w:r w:rsidRPr="00420733">
          <w:rPr>
            <w:rFonts w:ascii="Times New Roman" w:eastAsia="Arial Unicode MS" w:hAnsi="Times New Roman" w:cs="Arial Unicode MS"/>
            <w:i/>
            <w:iCs/>
            <w:color w:val="0000FF"/>
            <w:sz w:val="21"/>
            <w:szCs w:val="21"/>
            <w:u w:val="single" w:color="0000FF"/>
            <w:lang w:eastAsia="ru-RU"/>
          </w:rPr>
          <w:t>@</w:t>
        </w:r>
        <w:r w:rsidRPr="00365776">
          <w:rPr>
            <w:rFonts w:ascii="Times New Roman" w:eastAsia="Arial Unicode MS" w:hAnsi="Times New Roman" w:cs="Arial Unicode MS"/>
            <w:i/>
            <w:iCs/>
            <w:color w:val="0000FF"/>
            <w:sz w:val="21"/>
            <w:szCs w:val="21"/>
            <w:u w:val="single" w:color="0000FF"/>
            <w:lang w:val="en-US" w:eastAsia="ru-RU"/>
          </w:rPr>
          <w:t>yandex</w:t>
        </w:r>
        <w:r w:rsidRPr="00420733">
          <w:rPr>
            <w:rFonts w:ascii="Times New Roman" w:eastAsia="Arial Unicode MS" w:hAnsi="Times New Roman" w:cs="Arial Unicode MS"/>
            <w:i/>
            <w:iCs/>
            <w:color w:val="0000FF"/>
            <w:sz w:val="21"/>
            <w:szCs w:val="21"/>
            <w:u w:val="single" w:color="0000FF"/>
            <w:lang w:eastAsia="ru-RU"/>
          </w:rPr>
          <w:t>.</w:t>
        </w:r>
        <w:r w:rsidRPr="00365776">
          <w:rPr>
            <w:rFonts w:ascii="Times New Roman" w:eastAsia="Arial Unicode MS" w:hAnsi="Times New Roman" w:cs="Arial Unicode MS"/>
            <w:i/>
            <w:iCs/>
            <w:color w:val="0000FF"/>
            <w:sz w:val="21"/>
            <w:szCs w:val="21"/>
            <w:u w:val="single" w:color="0000FF"/>
            <w:lang w:val="en-US" w:eastAsia="ru-RU"/>
          </w:rPr>
          <w:t>ru</w:t>
        </w:r>
      </w:hyperlink>
      <w:r w:rsidRPr="00420733">
        <w:rPr>
          <w:rFonts w:ascii="Times New Roman" w:eastAsia="Arial Unicode MS" w:hAnsi="Times New Roman" w:cs="Arial Unicode MS"/>
          <w:i/>
          <w:iCs/>
          <w:color w:val="000000"/>
          <w:sz w:val="21"/>
          <w:szCs w:val="21"/>
          <w:u w:color="000000"/>
          <w:lang w:eastAsia="ru-RU"/>
          <w14:textOutline w14:w="12700" w14:cap="flat" w14:cmpd="sng" w14:algn="ctr">
            <w14:noFill/>
            <w14:prstDash w14:val="solid"/>
            <w14:miter w14:lim="100000"/>
          </w14:textOutline>
        </w:rPr>
        <w:t xml:space="preserve"> </w:t>
      </w:r>
    </w:p>
    <w:p w14:paraId="7978646E" w14:textId="77777777" w:rsidR="007C612A" w:rsidRPr="00365776" w:rsidRDefault="007C612A"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eastAsia="ru-RU"/>
          <w14:textOutline w14:w="12700" w14:cap="flat" w14:cmpd="sng" w14:algn="ctr">
            <w14:noFill/>
            <w14:prstDash w14:val="solid"/>
            <w14:miter w14:lim="100000"/>
          </w14:textOutline>
        </w:rPr>
      </w:pPr>
    </w:p>
    <w:p w14:paraId="2C804640"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b/>
          <w:bCs/>
          <w:i/>
          <w:i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i/>
          <w:iCs/>
          <w:color w:val="000000"/>
          <w:sz w:val="21"/>
          <w:szCs w:val="21"/>
          <w:u w:color="000000"/>
          <w:lang w:eastAsia="ru-RU"/>
          <w14:textOutline w14:w="12700" w14:cap="flat" w14:cmpd="sng" w14:algn="ctr">
            <w14:noFill/>
            <w14:prstDash w14:val="solid"/>
            <w14:miter w14:lim="100000"/>
          </w14:textOutline>
        </w:rPr>
        <w:t xml:space="preserve">Научный руководитель: </w:t>
      </w:r>
    </w:p>
    <w:p w14:paraId="5013D69F" w14:textId="77777777" w:rsidR="00365776" w:rsidRPr="00365776" w:rsidRDefault="00365776" w:rsidP="008D069C">
      <w:pPr>
        <w:keepNext/>
        <w:widowControl w:val="0"/>
        <w:spacing w:after="0" w:line="240" w:lineRule="auto"/>
        <w:jc w:val="right"/>
        <w:rPr>
          <w:rFonts w:ascii="Times New Roman" w:eastAsia="Times New Roman" w:hAnsi="Times New Roman" w:cs="Times New Roman"/>
          <w:b/>
          <w:bCs/>
          <w:i/>
          <w:iCs/>
          <w:color w:val="000000"/>
          <w:sz w:val="20"/>
          <w:szCs w:val="20"/>
          <w:lang w:eastAsia="ru-RU"/>
          <w14:textOutline w14:w="0" w14:cap="flat" w14:cmpd="sng" w14:algn="ctr">
            <w14:noFill/>
            <w14:prstDash w14:val="solid"/>
            <w14:bevel/>
          </w14:textOutline>
        </w:rPr>
      </w:pPr>
      <w:r w:rsidRPr="00365776">
        <w:rPr>
          <w:rFonts w:ascii="Times New Roman" w:eastAsia="Arial Unicode MS" w:hAnsi="Times New Roman" w:cs="Arial Unicode MS"/>
          <w:b/>
          <w:bCs/>
          <w:i/>
          <w:iCs/>
          <w:color w:val="000000"/>
          <w:sz w:val="20"/>
          <w:szCs w:val="20"/>
          <w:lang w:eastAsia="ru-RU"/>
          <w14:textOutline w14:w="0" w14:cap="flat" w14:cmpd="sng" w14:algn="ctr">
            <w14:noFill/>
            <w14:prstDash w14:val="solid"/>
            <w14:bevel/>
          </w14:textOutline>
        </w:rPr>
        <w:t>Берлин С.И.,</w:t>
      </w:r>
    </w:p>
    <w:p w14:paraId="241D75A5"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0"/>
          <w:szCs w:val="20"/>
          <w:lang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0"/>
          <w:szCs w:val="20"/>
          <w:lang w:eastAsia="ru-RU"/>
          <w14:textOutline w14:w="0" w14:cap="flat" w14:cmpd="sng" w14:algn="ctr">
            <w14:noFill/>
            <w14:prstDash w14:val="solid"/>
            <w14:bevel/>
          </w14:textOutline>
        </w:rPr>
        <w:t>Доктор экономических наук, профессор кафедры «Экономика и финансы»</w:t>
      </w:r>
    </w:p>
    <w:p w14:paraId="1936F34A"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0"/>
          <w:szCs w:val="20"/>
          <w:lang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0"/>
          <w:szCs w:val="20"/>
          <w:lang w:eastAsia="ru-RU"/>
          <w14:textOutline w14:w="0" w14:cap="flat" w14:cmpd="sng" w14:algn="ctr">
            <w14:noFill/>
            <w14:prstDash w14:val="solid"/>
            <w14:bevel/>
          </w14:textOutline>
        </w:rPr>
        <w:t>Финансовый университет при Правительстве Российской Федерации</w:t>
      </w:r>
    </w:p>
    <w:p w14:paraId="6C202822"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0"/>
          <w:szCs w:val="20"/>
          <w:lang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0"/>
          <w:szCs w:val="20"/>
          <w:lang w:eastAsia="ru-RU"/>
          <w14:textOutline w14:w="0" w14:cap="flat" w14:cmpd="sng" w14:algn="ctr">
            <w14:noFill/>
            <w14:prstDash w14:val="solid"/>
            <w14:bevel/>
          </w14:textOutline>
        </w:rPr>
        <w:t>(Краснодарский филиал)</w:t>
      </w:r>
    </w:p>
    <w:p w14:paraId="28B0A0C8"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0"/>
          <w:szCs w:val="20"/>
          <w:lang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0"/>
          <w:szCs w:val="20"/>
          <w:lang w:eastAsia="ru-RU"/>
          <w14:textOutline w14:w="0" w14:cap="flat" w14:cmpd="sng" w14:algn="ctr">
            <w14:noFill/>
            <w14:prstDash w14:val="solid"/>
            <w14:bevel/>
          </w14:textOutline>
        </w:rPr>
        <w:t>г. Краснодар Россия</w:t>
      </w:r>
    </w:p>
    <w:p w14:paraId="1B14D906" w14:textId="77777777" w:rsidR="00365776" w:rsidRDefault="00365776" w:rsidP="008D069C">
      <w:pPr>
        <w:keepNext/>
        <w:widowControl w:val="0"/>
        <w:spacing w:after="0" w:line="240" w:lineRule="auto"/>
        <w:jc w:val="right"/>
        <w:rPr>
          <w:rFonts w:ascii="Helvetica Neue" w:eastAsia="Arial Unicode MS" w:hAnsi="Helvetica Neue" w:cs="Arial Unicode MS" w:hint="eastAsia"/>
          <w:color w:val="000000"/>
          <w:sz w:val="24"/>
          <w:szCs w:val="24"/>
          <w:lang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0"/>
          <w:szCs w:val="20"/>
          <w:lang w:eastAsia="ru-RU"/>
          <w14:textOutline w14:w="0" w14:cap="flat" w14:cmpd="sng" w14:algn="ctr">
            <w14:noFill/>
            <w14:prstDash w14:val="solid"/>
            <w14:bevel/>
          </w14:textOutline>
        </w:rPr>
        <w:t xml:space="preserve">e-mail: </w:t>
      </w:r>
      <w:hyperlink r:id="rId86" w:history="1">
        <w:r w:rsidRPr="00365776">
          <w:rPr>
            <w:rFonts w:ascii="Times New Roman" w:eastAsia="Arial Unicode MS" w:hAnsi="Times New Roman" w:cs="Arial Unicode MS"/>
            <w:i/>
            <w:iCs/>
            <w:color w:val="0000FF"/>
            <w:sz w:val="20"/>
            <w:szCs w:val="20"/>
            <w:u w:val="single" w:color="0000FF"/>
            <w:lang w:val="de-DE" w:eastAsia="ru-RU"/>
          </w:rPr>
          <w:t>SIBerlin@fa.ru</w:t>
        </w:r>
      </w:hyperlink>
    </w:p>
    <w:p w14:paraId="31695A25" w14:textId="77777777" w:rsidR="007C612A" w:rsidRPr="00365776" w:rsidRDefault="007C612A" w:rsidP="008D069C">
      <w:pPr>
        <w:keepNext/>
        <w:widowControl w:val="0"/>
        <w:spacing w:after="0" w:line="240" w:lineRule="auto"/>
        <w:jc w:val="right"/>
        <w:rPr>
          <w:rFonts w:ascii="Times New Roman" w:eastAsia="Times New Roman" w:hAnsi="Times New Roman" w:cs="Times New Roman"/>
          <w:i/>
          <w:iCs/>
          <w:color w:val="000000"/>
          <w:sz w:val="20"/>
          <w:szCs w:val="20"/>
          <w:lang w:eastAsia="ru-RU"/>
          <w14:textOutline w14:w="0" w14:cap="flat" w14:cmpd="sng" w14:algn="ctr">
            <w14:noFill/>
            <w14:prstDash w14:val="solid"/>
            <w14:bevel/>
          </w14:textOutline>
        </w:rPr>
      </w:pPr>
    </w:p>
    <w:p w14:paraId="09D66FC8" w14:textId="77777777" w:rsidR="00365776" w:rsidRDefault="00365776" w:rsidP="008D069C">
      <w:pPr>
        <w:keepNext/>
        <w:widowControl w:val="0"/>
        <w:spacing w:after="0" w:line="240" w:lineRule="auto"/>
        <w:jc w:val="center"/>
        <w:rPr>
          <w:rFonts w:ascii="Times New Roman" w:eastAsia="Arial Unicode MS" w:hAnsi="Times New Roman" w:cs="Arial Unicode MS"/>
          <w:b/>
          <w:bCs/>
          <w:color w:val="000000"/>
          <w:sz w:val="21"/>
          <w:szCs w:val="21"/>
          <w:shd w:val="clear" w:color="auto" w:fill="FFFFFF"/>
          <w:lang w:eastAsia="ru-RU"/>
          <w14:textOutline w14:w="0" w14:cap="flat" w14:cmpd="sng" w14:algn="ctr">
            <w14:noFill/>
            <w14:prstDash w14:val="solid"/>
            <w14:bevel/>
          </w14:textOutline>
        </w:rPr>
      </w:pPr>
      <w:r w:rsidRPr="00365776">
        <w:rPr>
          <w:rFonts w:ascii="Helvetica" w:eastAsia="Arial Unicode MS" w:hAnsi="Helvetica" w:cs="Arial Unicode MS"/>
          <w:color w:val="000000"/>
          <w:sz w:val="32"/>
          <w:szCs w:val="32"/>
          <w:shd w:val="clear" w:color="auto" w:fill="FFFFFF"/>
          <w:lang w:eastAsia="ru-RU"/>
          <w14:textOutline w14:w="0" w14:cap="flat" w14:cmpd="sng" w14:algn="ctr">
            <w14:noFill/>
            <w14:prstDash w14:val="solid"/>
            <w14:bevel/>
          </w14:textOutline>
        </w:rPr>
        <w:t xml:space="preserve"> </w:t>
      </w:r>
      <w:r w:rsidRPr="00365776">
        <w:rPr>
          <w:rFonts w:ascii="Times New Roman" w:eastAsia="Arial Unicode MS" w:hAnsi="Times New Roman" w:cs="Arial Unicode MS"/>
          <w:b/>
          <w:bCs/>
          <w:color w:val="000000"/>
          <w:sz w:val="21"/>
          <w:szCs w:val="21"/>
          <w:shd w:val="clear" w:color="auto" w:fill="FFFFFF"/>
          <w:lang w:eastAsia="ru-RU"/>
          <w14:textOutline w14:w="0" w14:cap="flat" w14:cmpd="sng" w14:algn="ctr">
            <w14:noFill/>
            <w14:prstDash w14:val="solid"/>
            <w14:bevel/>
          </w14:textOutline>
        </w:rPr>
        <w:t>Стратегия импортозамещения как основа стабилизации российской экономики</w:t>
      </w:r>
    </w:p>
    <w:p w14:paraId="4C4DCD13" w14:textId="77777777" w:rsidR="007C612A" w:rsidRPr="00365776" w:rsidRDefault="007C612A" w:rsidP="008D069C">
      <w:pPr>
        <w:keepNext/>
        <w:widowControl w:val="0"/>
        <w:spacing w:after="0" w:line="240" w:lineRule="auto"/>
        <w:jc w:val="center"/>
        <w:rPr>
          <w:rFonts w:ascii="Times New Roman" w:eastAsia="Times New Roman" w:hAnsi="Times New Roman" w:cs="Times New Roman"/>
          <w:b/>
          <w:bCs/>
          <w:color w:val="000000"/>
          <w:sz w:val="21"/>
          <w:szCs w:val="21"/>
          <w:shd w:val="clear" w:color="auto" w:fill="FFFFFF"/>
          <w:lang w:eastAsia="ru-RU"/>
          <w14:textOutline w14:w="0" w14:cap="flat" w14:cmpd="sng" w14:algn="ctr">
            <w14:noFill/>
            <w14:prstDash w14:val="solid"/>
            <w14:bevel/>
          </w14:textOutline>
        </w:rPr>
      </w:pPr>
    </w:p>
    <w:p w14:paraId="028B12C4" w14:textId="77777777" w:rsidR="00365776" w:rsidRPr="00365776" w:rsidRDefault="00365776" w:rsidP="008D069C">
      <w:pPr>
        <w:keepNext/>
        <w:widowControl w:val="0"/>
        <w:spacing w:after="0" w:line="240" w:lineRule="auto"/>
        <w:ind w:firstLine="709"/>
        <w:jc w:val="both"/>
        <w:rPr>
          <w:rFonts w:ascii="Times New Roman" w:eastAsia="Times New Roman" w:hAnsi="Times New Roman" w:cs="Times New Roman"/>
          <w:color w:val="000000"/>
          <w:sz w:val="21"/>
          <w:szCs w:val="21"/>
          <w:shd w:val="clear" w:color="auto" w:fill="FFFFFF"/>
          <w:lang w:eastAsia="ru-RU"/>
          <w14:textOutline w14:w="0" w14:cap="flat" w14:cmpd="sng" w14:algn="ctr">
            <w14:noFill/>
            <w14:prstDash w14:val="solid"/>
            <w14:bevel/>
          </w14:textOutline>
        </w:rPr>
      </w:pPr>
      <w:r w:rsidRPr="00365776">
        <w:rPr>
          <w:rFonts w:ascii="Times New Roman" w:eastAsia="Arial Unicode MS" w:hAnsi="Times New Roman" w:cs="Arial Unicode MS"/>
          <w:b/>
          <w:bCs/>
          <w:color w:val="000000"/>
          <w:sz w:val="21"/>
          <w:szCs w:val="21"/>
          <w:shd w:val="clear" w:color="auto" w:fill="FFFFFF"/>
          <w:lang w:eastAsia="ru-RU"/>
          <w14:textOutline w14:w="0" w14:cap="flat" w14:cmpd="sng" w14:algn="ctr">
            <w14:noFill/>
            <w14:prstDash w14:val="solid"/>
            <w14:bevel/>
          </w14:textOutline>
        </w:rPr>
        <w:t>Аннотация:</w:t>
      </w:r>
      <w:r w:rsidRPr="00365776">
        <w:rPr>
          <w:rFonts w:ascii="Times New Roman" w:eastAsia="Arial Unicode MS" w:hAnsi="Times New Roman" w:cs="Arial Unicode MS"/>
          <w:color w:val="000000"/>
          <w:sz w:val="21"/>
          <w:szCs w:val="21"/>
          <w:shd w:val="clear" w:color="auto" w:fill="FFFFFF"/>
          <w:lang w:eastAsia="ru-RU"/>
          <w14:textOutline w14:w="0" w14:cap="flat" w14:cmpd="sng" w14:algn="ctr">
            <w14:noFill/>
            <w14:prstDash w14:val="solid"/>
            <w14:bevel/>
          </w14:textOutline>
        </w:rPr>
        <w:t xml:space="preserve"> в статье рассмотрены стратегии импортозамещения как основы стабилизации российской экономики. Были выявлены ключевых секторов, где политика импортозамещения наиболее актуальна, в результате которых были предложены решения в сфере импортозамещения. </w:t>
      </w:r>
    </w:p>
    <w:p w14:paraId="2C5BAB24" w14:textId="42AF04F7" w:rsidR="00365776" w:rsidRDefault="00365776" w:rsidP="002F0BF5">
      <w:pPr>
        <w:widowControl w:val="0"/>
        <w:spacing w:after="0" w:line="240" w:lineRule="auto"/>
        <w:ind w:firstLine="709"/>
        <w:jc w:val="both"/>
        <w:rPr>
          <w:rFonts w:ascii="Times New Roman" w:eastAsia="Arial Unicode MS" w:hAnsi="Times New Roman" w:cs="Arial Unicode MS"/>
          <w:color w:val="000000"/>
          <w:sz w:val="21"/>
          <w:szCs w:val="21"/>
          <w:shd w:val="clear" w:color="auto" w:fill="FFFFFF"/>
          <w:lang w:eastAsia="ru-RU"/>
          <w14:textOutline w14:w="0" w14:cap="flat" w14:cmpd="sng" w14:algn="ctr">
            <w14:noFill/>
            <w14:prstDash w14:val="solid"/>
            <w14:bevel/>
          </w14:textOutline>
        </w:rPr>
      </w:pPr>
      <w:r w:rsidRPr="00365776">
        <w:rPr>
          <w:rFonts w:ascii="Times New Roman" w:eastAsia="Arial Unicode MS" w:hAnsi="Times New Roman" w:cs="Arial Unicode MS"/>
          <w:b/>
          <w:bCs/>
          <w:color w:val="000000"/>
          <w:sz w:val="21"/>
          <w:szCs w:val="21"/>
          <w:shd w:val="clear" w:color="auto" w:fill="FFFFFF"/>
          <w:lang w:eastAsia="ru-RU"/>
          <w14:textOutline w14:w="0" w14:cap="flat" w14:cmpd="sng" w14:algn="ctr">
            <w14:noFill/>
            <w14:prstDash w14:val="solid"/>
            <w14:bevel/>
          </w14:textOutline>
        </w:rPr>
        <w:t xml:space="preserve">Ключевые слова: </w:t>
      </w:r>
      <w:r w:rsidRPr="00365776">
        <w:rPr>
          <w:rFonts w:ascii="Times New Roman" w:eastAsia="Arial Unicode MS" w:hAnsi="Times New Roman" w:cs="Arial Unicode MS"/>
          <w:color w:val="000000"/>
          <w:sz w:val="21"/>
          <w:szCs w:val="21"/>
          <w:shd w:val="clear" w:color="auto" w:fill="FFFFFF"/>
          <w:lang w:eastAsia="ru-RU"/>
          <w14:textOutline w14:w="0" w14:cap="flat" w14:cmpd="sng" w14:algn="ctr">
            <w14:noFill/>
            <w14:prstDash w14:val="solid"/>
            <w14:bevel/>
          </w14:textOutline>
        </w:rPr>
        <w:t xml:space="preserve">импортозамещение, валовый внутренний продукт (ВВП), агропромышленный </w:t>
      </w:r>
      <w:r w:rsidR="00A4650D">
        <w:rPr>
          <w:rFonts w:ascii="Times New Roman" w:eastAsia="Arial Unicode MS" w:hAnsi="Times New Roman" w:cs="Arial Unicode MS"/>
          <w:color w:val="000000"/>
          <w:sz w:val="21"/>
          <w:szCs w:val="21"/>
          <w:shd w:val="clear" w:color="auto" w:fill="FFFFFF"/>
          <w:lang w:eastAsia="ru-RU"/>
          <w14:textOutline w14:w="0" w14:cap="flat" w14:cmpd="sng" w14:algn="ctr">
            <w14:noFill/>
            <w14:prstDash w14:val="solid"/>
            <w14:bevel/>
          </w14:textOutline>
        </w:rPr>
        <w:t>к</w:t>
      </w:r>
      <w:r w:rsidRPr="00365776">
        <w:rPr>
          <w:rFonts w:ascii="Times New Roman" w:eastAsia="Arial Unicode MS" w:hAnsi="Times New Roman" w:cs="Arial Unicode MS"/>
          <w:color w:val="000000"/>
          <w:sz w:val="21"/>
          <w:szCs w:val="21"/>
          <w:shd w:val="clear" w:color="auto" w:fill="FFFFFF"/>
          <w:lang w:eastAsia="ru-RU"/>
          <w14:textOutline w14:w="0" w14:cap="flat" w14:cmpd="sng" w14:algn="ctr">
            <w14:noFill/>
            <w14:prstDash w14:val="solid"/>
            <w14:bevel/>
          </w14:textOutline>
        </w:rPr>
        <w:t xml:space="preserve">омплекс, отечественный производитель, энергетический сектор, экономическая стабильность. </w:t>
      </w:r>
    </w:p>
    <w:p w14:paraId="60564BB9" w14:textId="77777777" w:rsidR="007C612A" w:rsidRPr="00365776" w:rsidRDefault="007C612A" w:rsidP="008D069C">
      <w:pPr>
        <w:keepNext/>
        <w:widowControl w:val="0"/>
        <w:spacing w:after="0" w:line="240" w:lineRule="auto"/>
        <w:rPr>
          <w:rFonts w:ascii="Times New Roman" w:eastAsia="Times New Roman" w:hAnsi="Times New Roman" w:cs="Times New Roman"/>
          <w:color w:val="000000"/>
          <w:sz w:val="21"/>
          <w:szCs w:val="21"/>
          <w:shd w:val="clear" w:color="auto" w:fill="FFFFFF"/>
          <w:lang w:eastAsia="ru-RU"/>
          <w14:textOutline w14:w="0" w14:cap="flat" w14:cmpd="sng" w14:algn="ctr">
            <w14:noFill/>
            <w14:prstDash w14:val="solid"/>
            <w14:bevel/>
          </w14:textOutline>
        </w:rPr>
      </w:pPr>
    </w:p>
    <w:p w14:paraId="53C157ED"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b/>
          <w:bCs/>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i/>
          <w:iCs/>
          <w:color w:val="000000"/>
          <w:sz w:val="21"/>
          <w:szCs w:val="21"/>
          <w:u w:color="000000"/>
          <w:lang w:val="en-US" w:eastAsia="ru-RU"/>
          <w14:textOutline w14:w="12700" w14:cap="flat" w14:cmpd="sng" w14:algn="ctr">
            <w14:noFill/>
            <w14:prstDash w14:val="solid"/>
            <w14:miter w14:lim="100000"/>
          </w14:textOutline>
        </w:rPr>
        <w:t>Marusevich Yu.V.,</w:t>
      </w:r>
    </w:p>
    <w:p w14:paraId="3B56F365"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 xml:space="preserve">1st year student </w:t>
      </w:r>
    </w:p>
    <w:p w14:paraId="11C42A6F"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 xml:space="preserve">Financial University under the Government of the Russian Federation </w:t>
      </w:r>
    </w:p>
    <w:p w14:paraId="2D9C9567"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(Krasnodar branch)</w:t>
      </w:r>
    </w:p>
    <w:p w14:paraId="6B1C6948"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 xml:space="preserve">Krasnodar, Russia </w:t>
      </w:r>
    </w:p>
    <w:p w14:paraId="3BFFD955" w14:textId="310EC773" w:rsidR="00365776" w:rsidRPr="00420733" w:rsidRDefault="00365776" w:rsidP="008D069C">
      <w:pPr>
        <w:keepNext/>
        <w:widowControl w:val="0"/>
        <w:spacing w:after="0" w:line="240" w:lineRule="auto"/>
        <w:ind w:firstLine="283"/>
        <w:jc w:val="right"/>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 xml:space="preserve">e-mail: </w:t>
      </w:r>
      <w:hyperlink r:id="rId87" w:history="1">
        <w:r w:rsidR="007C612A" w:rsidRPr="00365776">
          <w:rPr>
            <w:rStyle w:val="aa"/>
            <w:rFonts w:ascii="Times New Roman" w:eastAsia="Arial Unicode MS" w:hAnsi="Times New Roman" w:cs="Arial Unicode MS"/>
            <w:i/>
            <w:iCs/>
            <w:sz w:val="21"/>
            <w:szCs w:val="21"/>
            <w:lang w:val="en-US" w:eastAsia="ru-RU"/>
            <w14:textOutline w14:w="12700" w14:cap="flat" w14:cmpd="sng" w14:algn="ctr">
              <w14:noFill/>
              <w14:prstDash w14:val="solid"/>
              <w14:miter w14:lim="100000"/>
            </w14:textOutline>
          </w:rPr>
          <w:t>yliamarusevitch@yandex.ru</w:t>
        </w:r>
      </w:hyperlink>
      <w:r w:rsidRPr="00365776">
        <w:rPr>
          <w:rFonts w:ascii="Times New Roman" w:eastAsia="Arial Unicode MS" w:hAnsi="Times New Roman" w:cs="Arial Unicode MS"/>
          <w:i/>
          <w:iCs/>
          <w:color w:val="000000"/>
          <w:sz w:val="21"/>
          <w:szCs w:val="21"/>
          <w:u w:color="000000"/>
          <w:lang w:val="en-US" w:eastAsia="ru-RU"/>
          <w14:textOutline w14:w="12700" w14:cap="flat" w14:cmpd="sng" w14:algn="ctr">
            <w14:noFill/>
            <w14:prstDash w14:val="solid"/>
            <w14:miter w14:lim="100000"/>
          </w14:textOutline>
        </w:rPr>
        <w:t xml:space="preserve"> </w:t>
      </w:r>
    </w:p>
    <w:p w14:paraId="14E79373" w14:textId="77777777" w:rsidR="007C612A" w:rsidRPr="00420733" w:rsidRDefault="007C612A" w:rsidP="008D069C">
      <w:pPr>
        <w:keepNext/>
        <w:widowControl w:val="0"/>
        <w:spacing w:after="0" w:line="240" w:lineRule="auto"/>
        <w:ind w:firstLine="283"/>
        <w:jc w:val="right"/>
        <w:rPr>
          <w:rFonts w:ascii="Times New Roman" w:eastAsia="Times New Roman" w:hAnsi="Times New Roman" w:cs="Times New Roman"/>
          <w:i/>
          <w:iCs/>
          <w:color w:val="000000"/>
          <w:sz w:val="21"/>
          <w:szCs w:val="21"/>
          <w:u w:color="000000"/>
          <w:lang w:val="en-US" w:eastAsia="ru-RU"/>
          <w14:textOutline w14:w="12700" w14:cap="flat" w14:cmpd="sng" w14:algn="ctr">
            <w14:noFill/>
            <w14:prstDash w14:val="solid"/>
            <w14:miter w14:lim="100000"/>
          </w14:textOutline>
        </w:rPr>
      </w:pPr>
    </w:p>
    <w:p w14:paraId="61415430" w14:textId="77777777" w:rsidR="00365776" w:rsidRPr="00365776" w:rsidRDefault="00365776" w:rsidP="008D069C">
      <w:pPr>
        <w:keepNext/>
        <w:widowControl w:val="0"/>
        <w:spacing w:after="0" w:line="240" w:lineRule="auto"/>
        <w:ind w:firstLine="283"/>
        <w:jc w:val="right"/>
        <w:rPr>
          <w:rFonts w:ascii="Times New Roman" w:eastAsia="Times New Roman" w:hAnsi="Times New Roman" w:cs="Times New Roman"/>
          <w:b/>
          <w:bCs/>
          <w:i/>
          <w:iCs/>
          <w:color w:val="000000"/>
          <w:sz w:val="21"/>
          <w:szCs w:val="21"/>
          <w:u w:color="000000"/>
          <w:lang w:val="en-US"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i/>
          <w:iCs/>
          <w:color w:val="000000"/>
          <w:sz w:val="21"/>
          <w:szCs w:val="21"/>
          <w:u w:color="000000"/>
          <w:lang w:val="en-US" w:eastAsia="ru-RU"/>
          <w14:textOutline w14:w="12700" w14:cap="flat" w14:cmpd="sng" w14:algn="ctr">
            <w14:noFill/>
            <w14:prstDash w14:val="solid"/>
            <w14:miter w14:lim="100000"/>
          </w14:textOutline>
        </w:rPr>
        <w:t xml:space="preserve">Scientific supervisor: </w:t>
      </w:r>
    </w:p>
    <w:p w14:paraId="2247AC20" w14:textId="77777777" w:rsidR="00365776" w:rsidRPr="00365776" w:rsidRDefault="00365776" w:rsidP="008D069C">
      <w:pPr>
        <w:keepNext/>
        <w:widowControl w:val="0"/>
        <w:spacing w:after="0" w:line="240" w:lineRule="auto"/>
        <w:jc w:val="right"/>
        <w:rPr>
          <w:rFonts w:ascii="Times New Roman" w:eastAsia="Times New Roman" w:hAnsi="Times New Roman" w:cs="Times New Roman"/>
          <w:b/>
          <w:bCs/>
          <w:i/>
          <w:iCs/>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b/>
          <w:bCs/>
          <w:i/>
          <w:iCs/>
          <w:color w:val="000000"/>
          <w:sz w:val="21"/>
          <w:szCs w:val="21"/>
          <w:lang w:val="de-DE" w:eastAsia="ru-RU"/>
          <w14:textOutline w14:w="0" w14:cap="flat" w14:cmpd="sng" w14:algn="ctr">
            <w14:noFill/>
            <w14:prstDash w14:val="solid"/>
            <w14:bevel/>
          </w14:textOutline>
        </w:rPr>
        <w:t>Berlin S.I.,</w:t>
      </w:r>
    </w:p>
    <w:p w14:paraId="32A316AD"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1"/>
          <w:szCs w:val="21"/>
          <w:lang w:val="en-US" w:eastAsia="ru-RU"/>
          <w14:textOutline w14:w="0" w14:cap="flat" w14:cmpd="sng" w14:algn="ctr">
            <w14:noFill/>
            <w14:prstDash w14:val="solid"/>
            <w14:bevel/>
          </w14:textOutline>
        </w:rPr>
        <w:t>Doctor of Economics, Professor of the Department of Economics and Finance</w:t>
      </w:r>
    </w:p>
    <w:p w14:paraId="35A9B687"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1"/>
          <w:szCs w:val="21"/>
          <w:lang w:val="en-US" w:eastAsia="ru-RU"/>
          <w14:textOutline w14:w="0" w14:cap="flat" w14:cmpd="sng" w14:algn="ctr">
            <w14:noFill/>
            <w14:prstDash w14:val="solid"/>
            <w14:bevel/>
          </w14:textOutline>
        </w:rPr>
        <w:t>Krasnodar branch Financial University under the Government of the Russian Federation</w:t>
      </w:r>
    </w:p>
    <w:p w14:paraId="4ACC1E0D" w14:textId="77777777" w:rsidR="00365776" w:rsidRPr="00365776" w:rsidRDefault="00365776" w:rsidP="008D069C">
      <w:pPr>
        <w:keepNext/>
        <w:widowControl w:val="0"/>
        <w:spacing w:after="0" w:line="240" w:lineRule="auto"/>
        <w:jc w:val="right"/>
        <w:rPr>
          <w:rFonts w:ascii="Times New Roman" w:eastAsia="Times New Roman" w:hAnsi="Times New Roman" w:cs="Times New Roman"/>
          <w:i/>
          <w:iCs/>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1"/>
          <w:szCs w:val="21"/>
          <w:lang w:val="nl-NL" w:eastAsia="ru-RU"/>
          <w14:textOutline w14:w="0" w14:cap="flat" w14:cmpd="sng" w14:algn="ctr">
            <w14:noFill/>
            <w14:prstDash w14:val="solid"/>
            <w14:bevel/>
          </w14:textOutline>
        </w:rPr>
        <w:t>Krasnodar, Russia</w:t>
      </w:r>
    </w:p>
    <w:p w14:paraId="13A9BDBB" w14:textId="77777777" w:rsidR="00365776" w:rsidRPr="00420733" w:rsidRDefault="00365776" w:rsidP="008D069C">
      <w:pPr>
        <w:keepNext/>
        <w:widowControl w:val="0"/>
        <w:spacing w:after="0" w:line="240" w:lineRule="auto"/>
        <w:jc w:val="right"/>
        <w:rPr>
          <w:rFonts w:ascii="Helvetica Neue" w:eastAsia="Arial Unicode MS" w:hAnsi="Helvetica Neue" w:cs="Arial Unicode MS" w:hint="eastAsia"/>
          <w:color w:val="000000"/>
          <w:sz w:val="24"/>
          <w:szCs w:val="24"/>
          <w:lang w:val="en-US" w:eastAsia="ru-RU"/>
          <w14:textOutline w14:w="0" w14:cap="flat" w14:cmpd="sng" w14:algn="ctr">
            <w14:noFill/>
            <w14:prstDash w14:val="solid"/>
            <w14:bevel/>
          </w14:textOutline>
        </w:rPr>
      </w:pPr>
      <w:r w:rsidRPr="00365776">
        <w:rPr>
          <w:rFonts w:ascii="Times New Roman" w:eastAsia="Arial Unicode MS" w:hAnsi="Times New Roman" w:cs="Arial Unicode MS"/>
          <w:i/>
          <w:iCs/>
          <w:color w:val="000000"/>
          <w:sz w:val="21"/>
          <w:szCs w:val="21"/>
          <w:lang w:val="en-US" w:eastAsia="ru-RU"/>
          <w14:textOutline w14:w="0" w14:cap="flat" w14:cmpd="sng" w14:algn="ctr">
            <w14:noFill/>
            <w14:prstDash w14:val="solid"/>
            <w14:bevel/>
          </w14:textOutline>
        </w:rPr>
        <w:t xml:space="preserve">e-mail: </w:t>
      </w:r>
      <w:hyperlink r:id="rId88" w:history="1">
        <w:r w:rsidRPr="00365776">
          <w:rPr>
            <w:rFonts w:ascii="Times New Roman" w:eastAsia="Arial Unicode MS" w:hAnsi="Times New Roman" w:cs="Arial Unicode MS"/>
            <w:i/>
            <w:iCs/>
            <w:color w:val="0000FF"/>
            <w:sz w:val="20"/>
            <w:szCs w:val="20"/>
            <w:u w:val="single" w:color="0000FF"/>
            <w:lang w:val="de-DE" w:eastAsia="ru-RU"/>
          </w:rPr>
          <w:t>SIBerlin@fa.r</w:t>
        </w:r>
        <w:r w:rsidRPr="00365776">
          <w:rPr>
            <w:rFonts w:ascii="Times New Roman" w:eastAsia="Arial Unicode MS" w:hAnsi="Times New Roman" w:cs="Arial Unicode MS"/>
            <w:i/>
            <w:iCs/>
            <w:color w:val="0000FF"/>
            <w:sz w:val="20"/>
            <w:szCs w:val="20"/>
            <w:u w:val="single" w:color="0000FF"/>
            <w:lang w:val="en-US" w:eastAsia="ru-RU"/>
          </w:rPr>
          <w:t>u</w:t>
        </w:r>
      </w:hyperlink>
    </w:p>
    <w:p w14:paraId="619DA333" w14:textId="77777777" w:rsidR="007C612A" w:rsidRPr="00365776" w:rsidRDefault="007C612A" w:rsidP="008D069C">
      <w:pPr>
        <w:keepNext/>
        <w:widowControl w:val="0"/>
        <w:spacing w:after="0" w:line="240" w:lineRule="auto"/>
        <w:jc w:val="right"/>
        <w:rPr>
          <w:rFonts w:ascii="Times New Roman" w:eastAsia="Times New Roman" w:hAnsi="Times New Roman" w:cs="Times New Roman"/>
          <w:i/>
          <w:iCs/>
          <w:color w:val="000000"/>
          <w:sz w:val="21"/>
          <w:szCs w:val="21"/>
          <w:lang w:val="en-US" w:eastAsia="ru-RU"/>
          <w14:textOutline w14:w="0" w14:cap="flat" w14:cmpd="sng" w14:algn="ctr">
            <w14:noFill/>
            <w14:prstDash w14:val="solid"/>
            <w14:bevel/>
          </w14:textOutline>
        </w:rPr>
      </w:pPr>
    </w:p>
    <w:p w14:paraId="71E05CB6" w14:textId="77777777" w:rsidR="00365776" w:rsidRPr="00420733" w:rsidRDefault="00365776" w:rsidP="008D069C">
      <w:pPr>
        <w:keepNext/>
        <w:widowControl w:val="0"/>
        <w:spacing w:after="0" w:line="240" w:lineRule="auto"/>
        <w:jc w:val="center"/>
        <w:rPr>
          <w:rFonts w:ascii="Times New Roman" w:eastAsia="Arial Unicode MS" w:hAnsi="Times New Roman" w:cs="Arial Unicode MS"/>
          <w:b/>
          <w:bCs/>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b/>
          <w:bCs/>
          <w:color w:val="000000"/>
          <w:sz w:val="21"/>
          <w:szCs w:val="21"/>
          <w:lang w:val="en-US" w:eastAsia="ru-RU"/>
          <w14:textOutline w14:w="0" w14:cap="flat" w14:cmpd="sng" w14:algn="ctr">
            <w14:noFill/>
            <w14:prstDash w14:val="solid"/>
            <w14:bevel/>
          </w14:textOutline>
        </w:rPr>
        <w:t>Import substitution strategy as a basis for stabilization of the Russian economy</w:t>
      </w:r>
    </w:p>
    <w:p w14:paraId="1F094C93" w14:textId="77777777" w:rsidR="007C612A" w:rsidRPr="00420733" w:rsidRDefault="007C612A" w:rsidP="008D069C">
      <w:pPr>
        <w:keepNext/>
        <w:widowControl w:val="0"/>
        <w:spacing w:after="0" w:line="240" w:lineRule="auto"/>
        <w:jc w:val="center"/>
        <w:rPr>
          <w:rFonts w:ascii="Times New Roman" w:eastAsia="Times New Roman" w:hAnsi="Times New Roman" w:cs="Times New Roman"/>
          <w:b/>
          <w:bCs/>
          <w:color w:val="000000"/>
          <w:sz w:val="21"/>
          <w:szCs w:val="21"/>
          <w:lang w:val="en-US" w:eastAsia="ru-RU"/>
          <w14:textOutline w14:w="0" w14:cap="flat" w14:cmpd="sng" w14:algn="ctr">
            <w14:noFill/>
            <w14:prstDash w14:val="solid"/>
            <w14:bevel/>
          </w14:textOutline>
        </w:rPr>
      </w:pPr>
    </w:p>
    <w:p w14:paraId="4751B1A5" w14:textId="77777777" w:rsidR="00365776" w:rsidRPr="00365776" w:rsidRDefault="00365776" w:rsidP="008D069C">
      <w:pPr>
        <w:keepNext/>
        <w:widowControl w:val="0"/>
        <w:spacing w:after="0" w:line="240" w:lineRule="auto"/>
        <w:ind w:firstLine="709"/>
        <w:jc w:val="both"/>
        <w:rPr>
          <w:rFonts w:ascii="Times New Roman" w:eastAsia="Times New Roman" w:hAnsi="Times New Roman" w:cs="Times New Roman"/>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b/>
          <w:bCs/>
          <w:color w:val="000000"/>
          <w:sz w:val="21"/>
          <w:szCs w:val="21"/>
          <w:lang w:val="en-US" w:eastAsia="ru-RU"/>
          <w14:textOutline w14:w="0" w14:cap="flat" w14:cmpd="sng" w14:algn="ctr">
            <w14:noFill/>
            <w14:prstDash w14:val="solid"/>
            <w14:bevel/>
          </w14:textOutline>
        </w:rPr>
        <w:t>Abstract:</w:t>
      </w:r>
      <w:r w:rsidRPr="00365776">
        <w:rPr>
          <w:rFonts w:ascii="Times New Roman" w:eastAsia="Arial Unicode MS" w:hAnsi="Times New Roman" w:cs="Arial Unicode MS"/>
          <w:color w:val="000000"/>
          <w:sz w:val="21"/>
          <w:szCs w:val="21"/>
          <w:lang w:val="en-US" w:eastAsia="ru-RU"/>
          <w14:textOutline w14:w="0" w14:cap="flat" w14:cmpd="sng" w14:algn="ctr">
            <w14:noFill/>
            <w14:prstDash w14:val="solid"/>
            <w14:bevel/>
          </w14:textOutline>
        </w:rPr>
        <w:t xml:space="preserve"> the article discusses import substitution strategies as the basis for stabilizing the Russian economy. The key sectors where import substitution policy is most relevant have been identified, as a result of which import substitution solutions have been proposed. </w:t>
      </w:r>
    </w:p>
    <w:p w14:paraId="2418E6C7" w14:textId="77777777" w:rsidR="00365776" w:rsidRPr="00365776" w:rsidRDefault="00365776" w:rsidP="008D069C">
      <w:pPr>
        <w:keepNext/>
        <w:widowControl w:val="0"/>
        <w:spacing w:after="0" w:line="240" w:lineRule="auto"/>
        <w:ind w:firstLine="709"/>
        <w:jc w:val="both"/>
        <w:rPr>
          <w:rFonts w:ascii="Times New Roman" w:eastAsia="Times New Roman" w:hAnsi="Times New Roman" w:cs="Times New Roman"/>
          <w:color w:val="000000"/>
          <w:sz w:val="21"/>
          <w:szCs w:val="21"/>
          <w:lang w:val="en-US" w:eastAsia="ru-RU"/>
          <w14:textOutline w14:w="0" w14:cap="flat" w14:cmpd="sng" w14:algn="ctr">
            <w14:noFill/>
            <w14:prstDash w14:val="solid"/>
            <w14:bevel/>
          </w14:textOutline>
        </w:rPr>
      </w:pPr>
      <w:r w:rsidRPr="00365776">
        <w:rPr>
          <w:rFonts w:ascii="Times New Roman" w:eastAsia="Arial Unicode MS" w:hAnsi="Times New Roman" w:cs="Arial Unicode MS"/>
          <w:b/>
          <w:bCs/>
          <w:color w:val="000000"/>
          <w:sz w:val="21"/>
          <w:szCs w:val="21"/>
          <w:lang w:val="en-US" w:eastAsia="ru-RU"/>
          <w14:textOutline w14:w="0" w14:cap="flat" w14:cmpd="sng" w14:algn="ctr">
            <w14:noFill/>
            <w14:prstDash w14:val="solid"/>
            <w14:bevel/>
          </w14:textOutline>
        </w:rPr>
        <w:t>Keywords:</w:t>
      </w:r>
      <w:r w:rsidRPr="00365776">
        <w:rPr>
          <w:rFonts w:ascii="Times New Roman" w:eastAsia="Arial Unicode MS" w:hAnsi="Times New Roman" w:cs="Arial Unicode MS"/>
          <w:color w:val="000000"/>
          <w:sz w:val="21"/>
          <w:szCs w:val="21"/>
          <w:lang w:val="en-US" w:eastAsia="ru-RU"/>
          <w14:textOutline w14:w="0" w14:cap="flat" w14:cmpd="sng" w14:algn="ctr">
            <w14:noFill/>
            <w14:prstDash w14:val="solid"/>
            <w14:bevel/>
          </w14:textOutline>
        </w:rPr>
        <w:t xml:space="preserve"> import substitution, gross domestic product (GDP), agro-industrial complex, domestic producer, energy sector, economic stability.</w:t>
      </w:r>
    </w:p>
    <w:p w14:paraId="6A5A1FFB" w14:textId="77777777" w:rsidR="00365776" w:rsidRPr="00365776" w:rsidRDefault="00365776" w:rsidP="008D069C">
      <w:pPr>
        <w:keepNext/>
        <w:widowControl w:val="0"/>
        <w:spacing w:after="0" w:line="240" w:lineRule="auto"/>
        <w:jc w:val="right"/>
        <w:rPr>
          <w:rFonts w:ascii="Times New Roman" w:eastAsia="Times New Roman" w:hAnsi="Times New Roman" w:cs="Times New Roman"/>
          <w:color w:val="000000"/>
          <w:sz w:val="21"/>
          <w:szCs w:val="21"/>
          <w:lang w:val="en-US" w:eastAsia="ru-RU"/>
          <w14:textOutline w14:w="0" w14:cap="flat" w14:cmpd="sng" w14:algn="ctr">
            <w14:noFill/>
            <w14:prstDash w14:val="solid"/>
            <w14:bevel/>
          </w14:textOutline>
        </w:rPr>
      </w:pPr>
    </w:p>
    <w:p w14:paraId="1E89C929"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1A1A1A"/>
          <w:sz w:val="32"/>
          <w:szCs w:val="32"/>
          <w:shd w:val="clear" w:color="auto" w:fill="FFFFFF"/>
          <w:lang w:eastAsia="ru-RU"/>
          <w14:textOutline w14:w="0" w14:cap="flat" w14:cmpd="sng" w14:algn="ctr">
            <w14:noFill/>
            <w14:prstDash w14:val="solid"/>
            <w14:bevel/>
          </w14:textOutline>
        </w:rPr>
      </w:pPr>
      <w:r w:rsidRPr="00365776">
        <w:rPr>
          <w:rFonts w:ascii="Times New Roman" w:eastAsia="Arial Unicode MS" w:hAnsi="Times New Roman" w:cs="Arial Unicode MS"/>
          <w:color w:val="1A1A1A"/>
          <w:sz w:val="32"/>
          <w:szCs w:val="32"/>
          <w:shd w:val="clear" w:color="auto" w:fill="FFFFFF"/>
          <w:lang w:eastAsia="ru-RU"/>
          <w14:textOutline w14:w="0" w14:cap="flat" w14:cmpd="sng" w14:algn="ctr">
            <w14:noFill/>
            <w14:prstDash w14:val="solid"/>
            <w14:bevel/>
          </w14:textOutline>
        </w:rPr>
        <w:t xml:space="preserve">В условиях глобальных экономических изменений и усиливающейся конкуренции на мировых рынках стратегия импортозамещения приобретает особую актуальность для национальных экономик. Россия, столкнувшись с рядом внешних экономических вызовов, таких как санкции и ограничение доступа к </w:t>
      </w:r>
      <w:r w:rsidRPr="00365776">
        <w:rPr>
          <w:rFonts w:ascii="Times New Roman" w:eastAsia="Arial Unicode MS" w:hAnsi="Times New Roman" w:cs="Arial Unicode MS"/>
          <w:color w:val="1A1A1A"/>
          <w:sz w:val="32"/>
          <w:szCs w:val="32"/>
          <w:shd w:val="clear" w:color="auto" w:fill="FFFFFF"/>
          <w:lang w:eastAsia="ru-RU"/>
          <w14:textOutline w14:w="0" w14:cap="flat" w14:cmpd="sng" w14:algn="ctr">
            <w14:noFill/>
            <w14:prstDash w14:val="solid"/>
            <w14:bevel/>
          </w14:textOutline>
        </w:rPr>
        <w:lastRenderedPageBreak/>
        <w:t>международным рынкам, вынуждена искать пути укрепления своей экономической независимости и устойчивости. Импортозамещение, как инструмент, позволяет не только снизить зависимость от импорта, но и стимулировать развитие отечественного производства, что способствует созданию новых рабочих мест и увеличению внутреннего валового продукта.</w:t>
      </w:r>
      <w:r w:rsidRPr="00365776">
        <w:rPr>
          <w:rFonts w:ascii="Times New Roman" w:eastAsia="Arial Unicode MS" w:hAnsi="Times New Roman" w:cs="Arial Unicode MS"/>
          <w:color w:val="1A1A1A"/>
          <w:sz w:val="32"/>
          <w:szCs w:val="32"/>
          <w:shd w:val="clear" w:color="auto" w:fill="FFFFFF"/>
          <w:lang w:eastAsia="ru-RU"/>
          <w14:textOutline w14:w="0" w14:cap="flat" w14:cmpd="sng" w14:algn="ctr">
            <w14:noFill/>
            <w14:prstDash w14:val="solid"/>
            <w14:bevel/>
          </w14:textOutline>
        </w:rPr>
        <w:tab/>
      </w:r>
    </w:p>
    <w:p w14:paraId="26F6EFBB"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Импортозамещение играет значительную роль в обеспечении экономической устойчивости, так как оно снижает зависимость экономики от внешних поставок и повышает её автономность. В условиях современных экономических вызовов, таких как санкционное давление и нестабильность глобальных рынков, развитие внутреннего производства становится ключевым фактором стабильности. Например, в 2022 году в России импортозамещение позволило снизить долю импортной продукции в ряде отраслей на 20–30%, что способствовало уменьшению зависимости от внешних поставок. Это, в свою очередь, укрепило макроэкономические показатели, такие как занятость и внутренний спрос, а также способствовало развитию национальной промышленности. Таким образом, стратегия импортозамещения является неотъемлемым элементом обеспечения экономической устойчивости, особенно в условиях глобальных экономических изменений.</w:t>
      </w:r>
    </w:p>
    <w:p w14:paraId="6A57977F"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Импортозамещение оказывает значительное влияние на макроэкономические показатели, включая валовой внутренний продукт (ВВП) и уровень занятости. По данным Росстата, в 2022 году доля отечественной продукции в продовольственном секторе возросла до 88%, что способствовало увеличению занятости в сельском хозяйстве. Этот процесс активизирует внутреннее производство, что, в свою очередь, ведет к росту ВВП за счет увеличения добавленной стоимости. Снижение зависимости от импорта создает новые рабочие места, особенно в отраслях, связанных с производством товаров, ранее ввозимых из-за рубежа. Таким образом, стратегия импортозамещения укрепляет национальную экономику, повышая её автономность и устойчивость. Гельбрас отмечает, что «импортозамещение и экспортная ориентация экономики» являются важными аспектами для стабилизации экономики России в условиях глобальных изменений.</w:t>
      </w:r>
    </w:p>
    <w:p w14:paraId="3D5BD6AD"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Импортозамещение также оказывает влияние на уровень инфляции в экономике. Введение санкций против России в 2014 году привело к росту цен на импортные товары, что стимулировало развитие отечественного производства. Это позволило снизить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lastRenderedPageBreak/>
        <w:t>зависимость от импорта и уменьшить влияние колебаний мировых цен на внутренний рынок. Однако в краткосрочной перспективе импортозамещение может приводить к росту цен на товары из-за необходимости инвестиций в развитие собственного производства. В долгосрочной перспективе, благодаря увеличению предложения отечественных товаров, инфляционное давление может снизиться. Таким образом, импортозамещение играет двойственную роль в регулировании инфляции, требуя баланса между инвестициями и ценовой стабильностью.</w:t>
      </w:r>
    </w:p>
    <w:p w14:paraId="07478823"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Агропромышленный комплекс играет фундаментальную роль в обеспечении продовольственной безопасности страны. Он является основой для устойчивого снабжения населения качественными продуктами питания, что особенно важно в условиях глобальных экономических и политических изменений. Россия, обладая значительными природными ресурсами и плодородными землями, имеет все предпосылки для достижения высокой степени самообеспеченности продовольствием. Например, в 2020 году Россия вошла в пятерку крупнейших мировых экспортеров пшеницы, обеспечив около 20% мирового экспорта. Это подчеркивает потенциал агропромышленного комплекса как стратегического сектора экономики, способного не только удовлетворять внутренние потребности, но и укреплять позиции страны на международных рынках.</w:t>
      </w:r>
    </w:p>
    <w:p w14:paraId="5E3E5FA9"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Импортозамещение в сельском хозяйстве стало важным направлением государственной политики, направленным на снижение зависимости от внешних поставок продовольствия и развитие отечественного производства. Введение программы импортозамещения позволило сократить импорт продовольственных товаров на 31% в период с 2014 по 2020 год. Это подтверждает, что поддержка местного производства не только способствует замещению импортных товаров, но и стимулирует инновации, улучшает качество продукции и создает новые рабочие места в сельских регионах. В настоящее время значительное влияние на агропродовольственный рынок в России оказывают антироссийские санкции, введенные ЕС и США, что дало возможность отечественным товаропроизводителям наладить прибыльное производство в таких отраслях, как свиноводство, овощеводство и растениеводство [1]. Таким образом, импортозамещение играет ключевую роль в укреплении продовольственной независимости и устойчивости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lastRenderedPageBreak/>
        <w:t>сельскохозяйственного сектора.</w:t>
      </w:r>
    </w:p>
    <w:p w14:paraId="19E8B209"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Агропромышленный комплекс России демонстрирует значительные успехи, в частности, объем производства молока в 2021 году составил 32,3 миллиона тонн, что на 1,2% больше, чем в предыдущем году. Вместе с тем, сектор сталкивается с рядом вызовов, включая необходимость модернизации инфраструктуры, улучшения логистики и повышения конкурентоспособности продукции на международных рынках. Достигнутые результаты подчеркивают потенциал для дальнейшего развития и укрепления сектора. Для успешной реализации стратегий импортозамещения критически важно обеспечить производство качественной продукции, соответствующей мировым стандартам или даже превосходящей их. Это требует продолжения государственной поддержки и инвестиций в инновационные технологии, что позволит сохранить текущие достижения и обеспечить устойчивый рост в долгосрочной перспективе.</w:t>
      </w:r>
    </w:p>
    <w:p w14:paraId="0F02BC5E"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Промышленность и высокие технологии играют ключевую роль в экономике России, обеспечивая значительный вклад в валовый внутренний продукт и создавая рабочие места. По данным на 2020 год, Россия занимает 11-е место в мире по объемам промышленного производства, что свидетельствует о ее значительном потенциале в этой области. Высокотехнологичные отрасли, такие как информационные технологии, робототехника и электроника, становятся основой для инновационного развития страны, способствуя повышению ее конкурентоспособности на мировом рынке. Эти сектора не только обеспечивают внутренние потребности, но и формируют экспортный потенциал, что делает их стратегически важными для экономической устойчивости.</w:t>
      </w:r>
    </w:p>
    <w:p w14:paraId="7701255B" w14:textId="1D77B220"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Локализация производства является важным инструментом для снижения зависимости от импорта и укрепления экономической стабильности. В 2021 году доля продукции машиностроения, произведенной в России, составила около 70% от общего объема потребления, что свидетельствует о значительных успехах в этой области. Увеличение доли отечественного производства не только сокращает импортозависимость, но и стимулирует развитие смежных отраслей экономики, таких как металлургия и химическая промышленность.</w:t>
      </w:r>
      <w:r w:rsidR="007C612A">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С другой стороны, локализация затрагивает и другие сектора. «Пищевая и перерабатывающая промышленность являются ключом к национальной продовольственной безопасности.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lastRenderedPageBreak/>
        <w:t>Целью данного исследования является развитие пищевой промышленности в условиях экономических санкций, введенных Европейским Союзом и США в ответ на ситуацию в Украине» [2]. Развитие этих отраслей также способствует прогрессу технологий и созданию новых рабочих мест, что в свою очередь укрепляет экономическую устойчивость страны.</w:t>
      </w:r>
    </w:p>
    <w:p w14:paraId="020311A4"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На текущий момент Россия демонстрирует значительные успехи в реализации стратегии импортозамещения в промышленности и высоких технологиях. Национальный проект 'Цифровая экономика' направлен на стимулирование отечественного производства в сфере высоких технологий, открывая новые перспективы для развития. При этом остаются вызовы, связанные с необходимостью модернизации производственных мощностей и повышения квалификации кадров. В условиях глобальных изменений и санкционного давления важно продолжать инвестировать в научные исследования и разработки для обеспечения долгосрочной конкурентоспособности российских компаний на мировом рынке. Глушич, Лядова и Удалова отмечают, что «цель исследования — выявление наиболее существенных противоречий, препятствующих эффективной реализации политики импортозамещения в России в условиях жестких санкций» [3].</w:t>
      </w:r>
    </w:p>
    <w:p w14:paraId="4AC8848A"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Энергетический сектор играет ключевую роль в обеспечении экономической независимости России. Он является основным источником доходов бюджета страны, значительная часть которых формируется за счет экспорта нефти, природного газа и других энергоносителей. В 2021 году доля энергетического сектора в ВВП России составила около 20%, что свидетельствует о его значительном вкладе в экономику. Кроме того, Россия занимает лидирующие позиции на мировом рынке природного газа, обеспечивая 17% его мирового экспорта в 2022 году. Эти данные подчеркивают стратегическое значение энергетического сектора как для внутренней экономики, так и для внешнеэкономической политики страны.</w:t>
      </w:r>
    </w:p>
    <w:p w14:paraId="09917250"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В условиях глобальных изменений, таких как переход на возобновляемые источники энергии и нестабильность мировых рынков, устойчивость энергетического сектора становится одним из ключевых факторов экономической стабильности России. Благодаря значительным запасам традиционных энергоносителей, Россия сохраняет конкурентные преимущества на мировом энергетическом рынке. Однако для поддержания устойчивости необходимо адаптироваться к новым вызовам, включая развитие технологий для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lastRenderedPageBreak/>
        <w:t>повышения энергоэффективности и использования альтернативных источников энергии. Это позволит не только сохранить текущие позиции, но и обеспечить долгосрочную стабильность сектора.</w:t>
      </w:r>
    </w:p>
    <w:p w14:paraId="2BDB18D1"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Одним из значительных достижений стратегии импортозамещения в России стало увеличение доли отечественной продукции в различных секторах экономики. В частности, в сельском хозяйстве доля продукции отечественного производства в 2022 году достигла 83%, что свидетельствует о высоком уровне самообеспечения страны в этом секторе. Эти результаты стали возможны благодаря активной государственной поддержке, внедрению современных технологий и увеличению инвестиций в аграрный сектор. Вместе с тем, по итогам 2013 года производственная зависимость экономики России от импорта составила 14,7%, что заметно увеличилось по сравнению с 8,5% в 2006 году [4]. Успехи в сельском хозяйстве подчеркивают, что эффективная реализация импортозамещения может существенно повысить экономическую устойчивость страны.</w:t>
      </w:r>
    </w:p>
    <w:p w14:paraId="0F53D4C8"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Реализация стратегии импортозамещения, несмотря на достигнутые результаты, сталкивается с рядом недоработок и проблем. В частности, в машиностроении, как указывает отчет Минэкономразвития за 2021 год, наблюдались сложности с обеспечением необходимыми комплектующими, что негативно сказалось на производственных процессах. Основные проблемы включают зависимость отечественных производителей от импортных комплектующих и оборудования, недостаток национальных технологических решений, а также ограниченный доступ к современным технологиям и квалифицированным кадрам [5]. Эти трудности свидетельствуют о недостаточной диверсификации поставок и слабом развитии локального производства компонентов, что ограничивает возможности полной реализации стратегии. Для устранения этих недостатков необходимо дальнейшее развитие инфраструктуры и технологий, а также усиление координации между различными секторами экономики.</w:t>
      </w:r>
    </w:p>
    <w:p w14:paraId="71041E69" w14:textId="088AA606" w:rsidR="008D069C" w:rsidRDefault="00365776" w:rsidP="00DB349B">
      <w:pPr>
        <w:widowControl w:val="0"/>
        <w:spacing w:after="0" w:line="240" w:lineRule="auto"/>
        <w:ind w:firstLine="720"/>
        <w:jc w:val="both"/>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Зависимость от внутренних ресурсов в рамках стратегии импортозамещения представляет значительный риск для экономической устойчивости. Основной проблемой остается ограниченность производственных мощностей и технологий, что затрудняет полное замещение импорта в ряде стратегически важных отраслей. Например, в 2021 году Россия импортировала около 50% оборудования для нефтегазовой отрасли, что свидетельствует о </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lastRenderedPageBreak/>
        <w:t xml:space="preserve">недостаточной производственной базе для удовлетворения внутренних потребностей. Эта ситуация создает уязвимость экономики к внешним факторам, таким как санкции или изменения на мировых рынках, и требует значительных инвестиций в развитие отечественных технологий и производств. Ершова отмечает, что «в настоящее время Россия в экономическом развитии отброшена далеко назад. Промышленный потенциал страны более чем наполовину разрушен, на мировом рынке конкурентоспособны в подавляющем большинстве только отечественные сырьевые ресурсы». </w:t>
      </w:r>
    </w:p>
    <w:p w14:paraId="1E16C1BE" w14:textId="25DBB662" w:rsidR="00365776" w:rsidRDefault="00365776" w:rsidP="00DB349B">
      <w:pPr>
        <w:widowControl w:val="0"/>
        <w:spacing w:after="0" w:line="240" w:lineRule="auto"/>
        <w:ind w:firstLine="720"/>
        <w:jc w:val="both"/>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Таким образом, для достижения устойчивости необходимо комплексное </w:t>
      </w:r>
      <w:r w:rsidR="007C612A">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р</w:t>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азвитие всех аспектов экономики, включая </w:t>
      </w:r>
      <w:r w:rsidR="00DB349B" w:rsidRPr="00365776">
        <w:rPr>
          <w:rFonts w:ascii="Helvetica Neue" w:eastAsia="Arial Unicode MS" w:hAnsi="Helvetica Neue" w:cs="Arial Unicode MS"/>
          <w:noProof/>
          <w:color w:val="000000"/>
          <w:sz w:val="24"/>
          <w:szCs w:val="24"/>
          <w:u w:color="000000"/>
          <w:lang w:eastAsia="ru-RU"/>
          <w14:textOutline w14:w="12700" w14:cap="flat" w14:cmpd="sng" w14:algn="ctr">
            <w14:noFill/>
            <w14:prstDash w14:val="solid"/>
            <w14:miter w14:lim="100000"/>
          </w14:textOutline>
        </w:rPr>
        <w:drawing>
          <wp:anchor distT="152400" distB="152400" distL="152400" distR="152400" simplePos="0" relativeHeight="251686912" behindDoc="0" locked="0" layoutInCell="1" allowOverlap="1" wp14:anchorId="1943AB9E" wp14:editId="78F09B4D">
            <wp:simplePos x="0" y="0"/>
            <wp:positionH relativeFrom="margin">
              <wp:align>left</wp:align>
            </wp:positionH>
            <wp:positionV relativeFrom="line">
              <wp:posOffset>471805</wp:posOffset>
            </wp:positionV>
            <wp:extent cx="6353175" cy="3638550"/>
            <wp:effectExtent l="0" t="0" r="9525" b="0"/>
            <wp:wrapTopAndBottom/>
            <wp:docPr id="327021529" name="officeArt object" descr="IMG_1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G_1583.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353175"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восстановление и модернизацию производственной базы.</w:t>
      </w:r>
    </w:p>
    <w:p w14:paraId="545F660D" w14:textId="77777777" w:rsidR="00704281" w:rsidRDefault="00704281" w:rsidP="002F0BF5">
      <w:pPr>
        <w:widowControl w:val="0"/>
        <w:spacing w:after="0" w:line="240" w:lineRule="auto"/>
        <w:ind w:firstLine="720"/>
        <w:jc w:val="both"/>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pPr>
    </w:p>
    <w:p w14:paraId="6A135BA1" w14:textId="0BD92E8E" w:rsidR="00365776" w:rsidRPr="00365776" w:rsidRDefault="00365776" w:rsidP="00DB349B">
      <w:pPr>
        <w:widowControl w:val="0"/>
        <w:spacing w:after="0" w:line="240" w:lineRule="auto"/>
        <w:ind w:firstLine="720"/>
        <w:jc w:val="both"/>
        <w:rPr>
          <w:rFonts w:ascii="Times New Roman" w:eastAsia="Times New Roman" w:hAnsi="Times New Roman" w:cs="Times New Roman"/>
          <w:color w:val="000000"/>
          <w:sz w:val="32"/>
          <w:szCs w:val="32"/>
          <w:lang w:eastAsia="ru-RU"/>
          <w14:textOutline w14:w="0" w14:cap="flat" w14:cmpd="sng" w14:algn="ctr">
            <w14:noFill/>
            <w14:prstDash w14:val="solid"/>
            <w14:bevel/>
          </w14:textOutline>
        </w:rPr>
      </w:pPr>
      <w:r w:rsidRPr="00365776">
        <w:rPr>
          <w:rFonts w:ascii="Times New Roman" w:eastAsia="Arial Unicode MS" w:hAnsi="Times New Roman" w:cs="Arial Unicode MS"/>
          <w:color w:val="000000"/>
          <w:sz w:val="32"/>
          <w:szCs w:val="32"/>
          <w:lang w:eastAsia="ru-RU"/>
          <w14:textOutline w14:w="0" w14:cap="flat" w14:cmpd="sng" w14:algn="ctr">
            <w14:noFill/>
            <w14:prstDash w14:val="solid"/>
            <w14:bevel/>
          </w14:textOutline>
        </w:rPr>
        <w:t>Согласно данным Росстата, с января по август 2024 года выпуск продукции на предприятиях обрабатывающей промышленности вырос на 8,1% по сравнению с тем же периодом прошлого года, когда прирост составлял 6,6%. Особенно заметно увеличилось производство металлических изделий (более чем на 35%) и компьютеров (примерно на 33%), а мебельная и напитковая отрасли показали рост около 10%. В остальных сегментах обрабатывающей промышленности динамика была скромнее - 4–5%, при этом только табачная индустрия зафиксировала спад объемов производства</w:t>
      </w:r>
    </w:p>
    <w:p w14:paraId="03AF25E1"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lang w:eastAsia="ru-RU"/>
          <w14:textOutline w14:w="0" w14:cap="flat" w14:cmpd="sng" w14:algn="ctr">
            <w14:noFill/>
            <w14:prstDash w14:val="solid"/>
            <w14:bevel/>
          </w14:textOutline>
        </w:rPr>
      </w:pPr>
      <w:r w:rsidRPr="00365776">
        <w:rPr>
          <w:rFonts w:ascii="Times New Roman" w:eastAsia="Arial Unicode MS" w:hAnsi="Times New Roman" w:cs="Arial Unicode MS"/>
          <w:color w:val="000000"/>
          <w:sz w:val="32"/>
          <w:szCs w:val="32"/>
          <w:lang w:eastAsia="ru-RU"/>
          <w14:textOutline w14:w="0" w14:cap="flat" w14:cmpd="sng" w14:algn="ctr">
            <w14:noFill/>
            <w14:prstDash w14:val="solid"/>
            <w14:bevel/>
          </w14:textOutline>
        </w:rPr>
        <w:lastRenderedPageBreak/>
        <w:t>В 2022–2023 годах импортозамещение развивалось быстрыми темпами за счет организационных изменений: российские компании переключались на сотрудничество с отечественными производителями вместо зарубежных партнеров. В 2024 году основное внимание уделяется замещению сложной продукции, что требует либо разработки собственных технологий, либо их приобретения у нейтральных стран, поскольку простая замена поставщика или копирование готовых образцов уже недостаточны. Разработка новых технологий - процесс длительный, и для заметных результатов могут понадобиться годы или даже десятилетия.</w:t>
      </w:r>
    </w:p>
    <w:p w14:paraId="714CDBE9"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lang w:eastAsia="ru-RU"/>
          <w14:textOutline w14:w="0" w14:cap="flat" w14:cmpd="sng" w14:algn="ctr">
            <w14:noFill/>
            <w14:prstDash w14:val="solid"/>
            <w14:bevel/>
          </w14:textOutline>
        </w:rPr>
      </w:pPr>
      <w:r w:rsidRPr="00365776">
        <w:rPr>
          <w:rFonts w:ascii="Times New Roman" w:eastAsia="Arial Unicode MS" w:hAnsi="Times New Roman" w:cs="Arial Unicode MS"/>
          <w:color w:val="000000"/>
          <w:sz w:val="32"/>
          <w:szCs w:val="32"/>
          <w:lang w:eastAsia="ru-RU"/>
          <w14:textOutline w14:w="0" w14:cap="flat" w14:cmpd="sng" w14:algn="ctr">
            <w14:noFill/>
            <w14:prstDash w14:val="solid"/>
            <w14:bevel/>
          </w14:textOutline>
        </w:rPr>
        <w:t>Малый и средний бизнес быстро занимают свободные ниши на рынке потребительских товаров, чему способствует относительная простота и доступность технологий их производства.</w:t>
      </w:r>
    </w:p>
    <w:p w14:paraId="2C9D7C2C" w14:textId="77777777" w:rsidR="00365776" w:rsidRPr="00365776" w:rsidRDefault="00365776" w:rsidP="00DB349B">
      <w:pPr>
        <w:keepNext/>
        <w:widowControl w:val="0"/>
        <w:spacing w:after="0" w:line="240" w:lineRule="auto"/>
        <w:ind w:firstLine="720"/>
        <w:jc w:val="both"/>
        <w:rPr>
          <w:rFonts w:ascii="Times New Roman" w:eastAsia="Times New Roman" w:hAnsi="Times New Roman" w:cs="Times New Roman"/>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Таким образом, стратегия импортозамещения имеет потенциал стать основой для долгосрочной экономической стабильности России.</w:t>
      </w:r>
    </w:p>
    <w:p w14:paraId="5C2E4921" w14:textId="77777777" w:rsidR="00DB349B" w:rsidRDefault="00365776" w:rsidP="00DB349B">
      <w:pPr>
        <w:keepNext/>
        <w:widowControl w:val="0"/>
        <w:spacing w:after="0" w:line="240" w:lineRule="auto"/>
        <w:ind w:firstLine="720"/>
        <w:jc w:val="both"/>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Для успешной реализации стратегии импортозамещения рекомендуется акцентировать внимание на развитии ключевых секторов экономики, таких как агропромышленный комплекс, промышленность и энергетика. </w:t>
      </w:r>
    </w:p>
    <w:p w14:paraId="30B167A5" w14:textId="01315248" w:rsidR="00365776" w:rsidRPr="00365776" w:rsidRDefault="00365776" w:rsidP="00DB349B">
      <w:pPr>
        <w:keepNext/>
        <w:widowControl w:val="0"/>
        <w:spacing w:after="0" w:line="240" w:lineRule="auto"/>
        <w:ind w:firstLine="720"/>
        <w:jc w:val="both"/>
        <w:rPr>
          <w:rFonts w:ascii="Times New Roman" w:eastAsia="Times New Roman" w:hAnsi="Times New Roman" w:cs="Times New Roman"/>
          <w:b/>
          <w:bCs/>
          <w:color w:val="000000"/>
          <w:sz w:val="32"/>
          <w:szCs w:val="32"/>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32"/>
          <w:szCs w:val="32"/>
          <w:u w:color="000000"/>
          <w:lang w:eastAsia="ru-RU"/>
          <w14:textOutline w14:w="12700" w14:cap="flat" w14:cmpd="sng" w14:algn="ctr">
            <w14:noFill/>
            <w14:prstDash w14:val="solid"/>
            <w14:miter w14:lim="100000"/>
          </w14:textOutline>
        </w:rPr>
        <w:t xml:space="preserve">Необходимо создавать благоприятные условия для локализации производства, инвестировать в научные исследования и инновации, а также развивать международное сотрудничество для обмена опытом. В долгосрочной перспективе стратегия импортозамещения должна быть направлена на достижение баланса между внутренними ресурсами и внешними поставками, что обеспечит устойчивое развитие экономики в условиях глобальных изменений. </w:t>
      </w:r>
      <w:r w:rsidRPr="00365776">
        <w:rPr>
          <w:rFonts w:ascii="Times New Roman" w:eastAsia="Arial Unicode MS" w:hAnsi="Times New Roman" w:cs="Arial Unicode MS"/>
          <w:b/>
          <w:bCs/>
          <w:color w:val="000000"/>
          <w:sz w:val="32"/>
          <w:szCs w:val="32"/>
          <w:u w:color="000000"/>
          <w:lang w:eastAsia="ru-RU"/>
          <w14:textOutline w14:w="12700" w14:cap="flat" w14:cmpd="sng" w14:algn="ctr">
            <w14:noFill/>
            <w14:prstDash w14:val="solid"/>
            <w14:miter w14:lim="100000"/>
          </w14:textOutline>
        </w:rPr>
        <w:t xml:space="preserve">    </w:t>
      </w:r>
    </w:p>
    <w:p w14:paraId="20E1FF9B" w14:textId="77777777" w:rsidR="00365776" w:rsidRPr="00365776" w:rsidRDefault="00365776" w:rsidP="008D069C">
      <w:pPr>
        <w:keepNext/>
        <w:widowControl w:val="0"/>
        <w:spacing w:after="0" w:line="240" w:lineRule="auto"/>
        <w:ind w:firstLine="700"/>
        <w:jc w:val="center"/>
        <w:rPr>
          <w:rFonts w:ascii="Times New Roman" w:eastAsia="Times New Roman" w:hAnsi="Times New Roman" w:cs="Times New Roman"/>
          <w:b/>
          <w:bC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b/>
          <w:bCs/>
          <w:color w:val="000000"/>
          <w:sz w:val="21"/>
          <w:szCs w:val="21"/>
          <w:u w:color="000000"/>
          <w:lang w:eastAsia="ru-RU"/>
          <w14:textOutline w14:w="12700" w14:cap="flat" w14:cmpd="sng" w14:algn="ctr">
            <w14:noFill/>
            <w14:prstDash w14:val="solid"/>
            <w14:miter w14:lim="100000"/>
          </w14:textOutline>
        </w:rPr>
        <w:t xml:space="preserve">Литература: </w:t>
      </w:r>
    </w:p>
    <w:p w14:paraId="1917AEE9" w14:textId="77777777" w:rsidR="00365776" w:rsidRPr="00365776" w:rsidRDefault="00365776" w:rsidP="00DB349B">
      <w:pPr>
        <w:keepNext/>
        <w:widowControl w:val="0"/>
        <w:spacing w:after="0" w:line="240" w:lineRule="auto"/>
        <w:jc w:val="both"/>
        <w:rPr>
          <w:rFonts w:ascii="Times New Roman" w:eastAsia="Times New Roman" w:hAnsi="Times New Roman" w:cs="Times New Roman"/>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 xml:space="preserve">1. Кириллова О.В. Проблемы в системе импортозамещения в России // Вестник Казанского ГАУ. — 2017. — № 3(45). — С. 117–118. — </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DOI</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 xml:space="preserve"> 10.12737/</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article</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_5</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a</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1</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d</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9</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eae</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46</w:t>
      </w:r>
      <w:r w:rsidRPr="00365776">
        <w:rPr>
          <w:rFonts w:ascii="Times New Roman" w:eastAsia="Arial Unicode MS" w:hAnsi="Times New Roman" w:cs="Arial Unicode MS"/>
          <w:color w:val="000000"/>
          <w:sz w:val="21"/>
          <w:szCs w:val="21"/>
          <w:u w:color="000000"/>
          <w:lang w:val="en-US" w:eastAsia="ru-RU"/>
          <w14:textOutline w14:w="12700" w14:cap="flat" w14:cmpd="sng" w14:algn="ctr">
            <w14:noFill/>
            <w14:prstDash w14:val="solid"/>
            <w14:miter w14:lim="100000"/>
          </w14:textOutline>
        </w:rPr>
        <w:t>c</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274.08625630.</w:t>
      </w:r>
    </w:p>
    <w:p w14:paraId="3C9DCCB4" w14:textId="77777777" w:rsidR="00365776" w:rsidRPr="00365776" w:rsidRDefault="00365776" w:rsidP="00DB349B">
      <w:pPr>
        <w:keepNext/>
        <w:widowControl w:val="0"/>
        <w:spacing w:after="0" w:line="240" w:lineRule="auto"/>
        <w:jc w:val="both"/>
        <w:rPr>
          <w:rFonts w:ascii="Times New Roman" w:eastAsia="Times New Roman" w:hAnsi="Times New Roman" w:cs="Times New Roman"/>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2. Власенкова Т.А., Горшкова О.П., Козырева Ю.Ю. Импортозамещение в условиях санкций в пищевой промышленности России // Экономика: вчера, сегодня, завтра. — 2023. — Т. 13. — № 2А. — С. 16-27. — DOI: 10.34670/AR.2023.17.38.002.</w:t>
      </w:r>
    </w:p>
    <w:p w14:paraId="0CC2E7BE" w14:textId="77777777" w:rsidR="00365776" w:rsidRPr="00365776" w:rsidRDefault="00365776" w:rsidP="00DB349B">
      <w:pPr>
        <w:keepNext/>
        <w:widowControl w:val="0"/>
        <w:spacing w:after="0" w:line="240" w:lineRule="auto"/>
        <w:jc w:val="both"/>
        <w:rPr>
          <w:rFonts w:ascii="Times New Roman" w:eastAsia="Times New Roman" w:hAnsi="Times New Roman" w:cs="Times New Roman"/>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3. Глушич Н. Г., Лядова Е. В., Удалова Н. А. Основные противоречия реализации политики импортозамещения в экономике России // Журнал экономической теории. — 2017. — № 1. — С. 23.</w:t>
      </w:r>
    </w:p>
    <w:p w14:paraId="2C41090A" w14:textId="77777777" w:rsidR="00365776" w:rsidRPr="00365776" w:rsidRDefault="00365776" w:rsidP="00DB349B">
      <w:pPr>
        <w:keepNext/>
        <w:widowControl w:val="0"/>
        <w:spacing w:after="0" w:line="240" w:lineRule="auto"/>
        <w:jc w:val="both"/>
        <w:rPr>
          <w:rFonts w:ascii="Times New Roman" w:eastAsia="Times New Roman" w:hAnsi="Times New Roman" w:cs="Times New Roman"/>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4. Березинская О. Б., Ведев А. Л. Производственная зависимость российской промышленности от импорта и механизм стратегического импортозамещения // Вопросы экономики. — 2015. — № 1. — С. 103—115.</w:t>
      </w:r>
    </w:p>
    <w:p w14:paraId="56049421" w14:textId="6D8907F5" w:rsidR="00DB349B" w:rsidRDefault="00365776" w:rsidP="00DB349B">
      <w:pPr>
        <w:keepNext/>
        <w:widowControl w:val="0"/>
        <w:spacing w:after="0" w:line="240" w:lineRule="auto"/>
        <w:jc w:val="both"/>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pP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 xml:space="preserve">5. Мартьянова М. А., Голубин А. В. Влияние импортозамещения на экономику России в 21 веке // Электронный научный журнал «Вектор экономики». — 2024. — № 12. — </w:t>
      </w:r>
      <w:r w:rsidRPr="00365776">
        <w:rPr>
          <w:rFonts w:ascii="Times New Roman" w:eastAsia="Arial Unicode MS" w:hAnsi="Times New Roman" w:cs="Arial Unicode MS"/>
          <w:color w:val="000000"/>
          <w:sz w:val="21"/>
          <w:szCs w:val="21"/>
          <w:u w:color="000000"/>
          <w:lang w:val="pt-PT" w:eastAsia="ru-RU"/>
          <w14:textOutline w14:w="12700" w14:cap="flat" w14:cmpd="sng" w14:algn="ctr">
            <w14:noFill/>
            <w14:prstDash w14:val="solid"/>
            <w14:miter w14:lim="100000"/>
          </w14:textOutline>
        </w:rPr>
        <w:t>[</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Электронный ресурс</w:t>
      </w:r>
      <w:r w:rsidRPr="00365776">
        <w:rPr>
          <w:rFonts w:ascii="Times New Roman" w:eastAsia="Arial Unicode MS" w:hAnsi="Times New Roman" w:cs="Arial Unicode MS"/>
          <w:color w:val="000000"/>
          <w:sz w:val="21"/>
          <w:szCs w:val="21"/>
          <w:u w:color="000000"/>
          <w:lang w:val="pt-PT" w:eastAsia="ru-RU"/>
          <w14:textOutline w14:w="12700" w14:cap="flat" w14:cmpd="sng" w14:algn="ctr">
            <w14:noFill/>
            <w14:prstDash w14:val="solid"/>
            <w14:miter w14:lim="100000"/>
          </w14:textOutline>
        </w:rPr>
        <w:t xml:space="preserve">]. </w:t>
      </w:r>
      <w:r w:rsidRPr="00365776">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t>— URL: www.vectoreconomy.ru.</w:t>
      </w:r>
    </w:p>
    <w:p w14:paraId="3D032F2D" w14:textId="77777777" w:rsidR="00DB349B" w:rsidRDefault="00DB349B">
      <w:pPr>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pPr>
      <w:r>
        <w:rPr>
          <w:rFonts w:ascii="Times New Roman" w:eastAsia="Arial Unicode MS" w:hAnsi="Times New Roman" w:cs="Arial Unicode MS"/>
          <w:color w:val="000000"/>
          <w:sz w:val="21"/>
          <w:szCs w:val="21"/>
          <w:u w:color="000000"/>
          <w:lang w:eastAsia="ru-RU"/>
          <w14:textOutline w14:w="12700" w14:cap="flat" w14:cmpd="sng" w14:algn="ctr">
            <w14:noFill/>
            <w14:prstDash w14:val="solid"/>
            <w14:miter w14:lim="100000"/>
          </w14:textOutline>
        </w:rPr>
        <w:br w:type="page"/>
      </w:r>
    </w:p>
    <w:p w14:paraId="4BB08D6B" w14:textId="77777777" w:rsidR="00EA4635" w:rsidRPr="001D3CDE" w:rsidRDefault="00EA4635" w:rsidP="00EA4635">
      <w:pPr>
        <w:spacing w:after="0" w:line="279" w:lineRule="auto"/>
        <w:rPr>
          <w:rFonts w:ascii="Times New Roman" w:eastAsia="Times New Roman" w:hAnsi="Times New Roman" w:cs="Times New Roman"/>
          <w:sz w:val="21"/>
          <w:szCs w:val="21"/>
        </w:rPr>
      </w:pPr>
      <w:r w:rsidRPr="001D3CDE">
        <w:rPr>
          <w:rFonts w:ascii="Times New Roman" w:eastAsia="Times New Roman" w:hAnsi="Times New Roman" w:cs="Times New Roman"/>
          <w:b/>
          <w:bCs/>
          <w:sz w:val="21"/>
          <w:szCs w:val="21"/>
        </w:rPr>
        <w:lastRenderedPageBreak/>
        <w:t>УДК 338</w:t>
      </w:r>
      <w:r w:rsidRPr="001D3CDE">
        <w:rPr>
          <w:rFonts w:ascii="Times New Roman" w:eastAsia="Times New Roman" w:hAnsi="Times New Roman" w:cs="Times New Roman"/>
          <w:sz w:val="21"/>
          <w:szCs w:val="21"/>
        </w:rPr>
        <w:t xml:space="preserve"> </w:t>
      </w:r>
    </w:p>
    <w:p w14:paraId="4F2E156A"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rPr>
      </w:pPr>
      <w:r w:rsidRPr="001D3CDE">
        <w:rPr>
          <w:rFonts w:ascii="Times New Roman" w:eastAsia="Times New Roman" w:hAnsi="Times New Roman" w:cs="Times New Roman"/>
          <w:b/>
          <w:bCs/>
          <w:i/>
          <w:iCs/>
          <w:sz w:val="21"/>
          <w:szCs w:val="21"/>
        </w:rPr>
        <w:t>Маслакова Д. Р., Михайлова А. Е.,</w:t>
      </w:r>
    </w:p>
    <w:p w14:paraId="35F871A7"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rPr>
      </w:pPr>
      <w:r w:rsidRPr="001D3CDE">
        <w:rPr>
          <w:rFonts w:ascii="Times New Roman" w:eastAsia="Times New Roman" w:hAnsi="Times New Roman" w:cs="Times New Roman"/>
          <w:i/>
          <w:iCs/>
          <w:sz w:val="21"/>
          <w:szCs w:val="21"/>
        </w:rPr>
        <w:t>студенты 2 курса</w:t>
      </w:r>
    </w:p>
    <w:p w14:paraId="172CEDF6" w14:textId="77777777" w:rsidR="00EA4635" w:rsidRDefault="00EA4635" w:rsidP="00EA463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1B1A520"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rPr>
      </w:pPr>
      <w:r w:rsidRPr="001D3CDE">
        <w:rPr>
          <w:rFonts w:ascii="Times New Roman" w:eastAsia="Times New Roman" w:hAnsi="Times New Roman" w:cs="Times New Roman"/>
          <w:i/>
          <w:iCs/>
          <w:sz w:val="21"/>
          <w:szCs w:val="21"/>
        </w:rPr>
        <w:t>г. Краснодар, Россия</w:t>
      </w:r>
    </w:p>
    <w:p w14:paraId="07187D4B" w14:textId="77777777" w:rsidR="00EA4635" w:rsidRPr="001D3CDE" w:rsidRDefault="00EA4635" w:rsidP="00EA4635">
      <w:pPr>
        <w:spacing w:after="0" w:line="240" w:lineRule="auto"/>
        <w:jc w:val="right"/>
        <w:rPr>
          <w:rFonts w:ascii="Times New Roman" w:eastAsia="Times New Roman" w:hAnsi="Times New Roman" w:cs="Times New Roman"/>
          <w:sz w:val="21"/>
          <w:szCs w:val="21"/>
        </w:rPr>
      </w:pPr>
      <w:r w:rsidRPr="001D3CDE">
        <w:rPr>
          <w:rFonts w:ascii="Times New Roman" w:eastAsia="Times New Roman" w:hAnsi="Times New Roman" w:cs="Times New Roman"/>
          <w:i/>
          <w:iCs/>
          <w:sz w:val="21"/>
          <w:szCs w:val="21"/>
        </w:rPr>
        <w:t xml:space="preserve">e-mail: </w:t>
      </w:r>
      <w:hyperlink r:id="rId90">
        <w:r w:rsidRPr="001D3CDE">
          <w:rPr>
            <w:rFonts w:ascii="Times New Roman" w:eastAsia="Times New Roman" w:hAnsi="Times New Roman" w:cs="Times New Roman"/>
            <w:i/>
            <w:iCs/>
            <w:sz w:val="21"/>
            <w:szCs w:val="21"/>
          </w:rPr>
          <w:t>maslakova298@gmail.com</w:t>
        </w:r>
      </w:hyperlink>
      <w:r w:rsidRPr="001D3CDE">
        <w:rPr>
          <w:rFonts w:ascii="Times New Roman" w:eastAsia="Times New Roman" w:hAnsi="Times New Roman" w:cs="Times New Roman"/>
          <w:i/>
          <w:iCs/>
          <w:sz w:val="21"/>
          <w:szCs w:val="21"/>
        </w:rPr>
        <w:t>, g</w:t>
      </w:r>
      <w:hyperlink r:id="rId91">
        <w:r w:rsidRPr="001D3CDE">
          <w:rPr>
            <w:rFonts w:ascii="Times New Roman" w:eastAsia="Times New Roman" w:hAnsi="Times New Roman" w:cs="Times New Roman"/>
            <w:i/>
            <w:iCs/>
            <w:sz w:val="21"/>
            <w:szCs w:val="21"/>
          </w:rPr>
          <w:t>aagrit@gmail.com</w:t>
        </w:r>
        <w:r w:rsidRPr="001D3CDE">
          <w:rPr>
            <w:rFonts w:ascii="Aptos" w:eastAsia="Aptos" w:hAnsi="Aptos" w:cs="Times New Roman"/>
            <w:sz w:val="21"/>
            <w:szCs w:val="21"/>
          </w:rPr>
          <w:br/>
        </w:r>
      </w:hyperlink>
      <w:r w:rsidRPr="001D3CDE">
        <w:rPr>
          <w:rFonts w:ascii="Times New Roman" w:eastAsia="Times New Roman" w:hAnsi="Times New Roman" w:cs="Times New Roman"/>
          <w:sz w:val="21"/>
          <w:szCs w:val="21"/>
        </w:rPr>
        <w:t xml:space="preserve"> </w:t>
      </w:r>
    </w:p>
    <w:p w14:paraId="518B505B"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rPr>
      </w:pPr>
      <w:r w:rsidRPr="001D3CDE">
        <w:rPr>
          <w:rFonts w:ascii="Times New Roman" w:eastAsia="Times New Roman" w:hAnsi="Times New Roman" w:cs="Times New Roman"/>
          <w:b/>
          <w:bCs/>
          <w:i/>
          <w:iCs/>
          <w:sz w:val="21"/>
          <w:szCs w:val="21"/>
        </w:rPr>
        <w:t>Научный руководитель:</w:t>
      </w:r>
    </w:p>
    <w:p w14:paraId="6896900B"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rPr>
      </w:pPr>
      <w:r w:rsidRPr="001D3CDE">
        <w:rPr>
          <w:rFonts w:ascii="Times New Roman" w:eastAsia="Times New Roman" w:hAnsi="Times New Roman" w:cs="Times New Roman"/>
          <w:b/>
          <w:bCs/>
          <w:i/>
          <w:iCs/>
          <w:sz w:val="21"/>
          <w:szCs w:val="21"/>
        </w:rPr>
        <w:t>Рощектаева У. Ю.,</w:t>
      </w:r>
    </w:p>
    <w:p w14:paraId="7320DFCB"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rPr>
      </w:pPr>
      <w:r w:rsidRPr="001D3CDE">
        <w:rPr>
          <w:rFonts w:ascii="Times New Roman" w:eastAsia="Times New Roman" w:hAnsi="Times New Roman" w:cs="Times New Roman"/>
          <w:i/>
          <w:iCs/>
          <w:sz w:val="21"/>
          <w:szCs w:val="21"/>
        </w:rPr>
        <w:t>доцент, к.э.н.</w:t>
      </w:r>
    </w:p>
    <w:p w14:paraId="4F365ADE" w14:textId="77777777" w:rsidR="00EA4635" w:rsidRDefault="00EA4635" w:rsidP="00EA463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348D4AE"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rPr>
      </w:pPr>
      <w:r w:rsidRPr="001D3CDE">
        <w:rPr>
          <w:rFonts w:ascii="Times New Roman" w:eastAsia="Times New Roman" w:hAnsi="Times New Roman" w:cs="Times New Roman"/>
          <w:i/>
          <w:iCs/>
          <w:sz w:val="21"/>
          <w:szCs w:val="21"/>
        </w:rPr>
        <w:t>г. Краснодар, Россия</w:t>
      </w:r>
    </w:p>
    <w:p w14:paraId="4C1415D7" w14:textId="77777777" w:rsidR="00EA4635" w:rsidRPr="001D3CDE" w:rsidRDefault="00EA4635" w:rsidP="00EA4635">
      <w:pPr>
        <w:spacing w:after="0" w:line="240" w:lineRule="auto"/>
        <w:jc w:val="right"/>
        <w:rPr>
          <w:rFonts w:ascii="Times New Roman" w:eastAsia="Times New Roman" w:hAnsi="Times New Roman" w:cs="Times New Roman"/>
          <w:sz w:val="21"/>
          <w:szCs w:val="21"/>
        </w:rPr>
      </w:pPr>
      <w:r w:rsidRPr="001D3CDE">
        <w:rPr>
          <w:rFonts w:ascii="Times New Roman" w:eastAsia="Times New Roman" w:hAnsi="Times New Roman" w:cs="Times New Roman"/>
          <w:i/>
          <w:iCs/>
          <w:sz w:val="21"/>
          <w:szCs w:val="21"/>
        </w:rPr>
        <w:t xml:space="preserve">e-mail: </w:t>
      </w:r>
      <w:hyperlink r:id="rId92">
        <w:r w:rsidRPr="001D3CDE">
          <w:rPr>
            <w:rFonts w:ascii="Times New Roman" w:eastAsia="Times New Roman" w:hAnsi="Times New Roman" w:cs="Times New Roman"/>
            <w:i/>
            <w:iCs/>
            <w:sz w:val="21"/>
            <w:szCs w:val="21"/>
          </w:rPr>
          <w:t>UYURoschektaeva@fa.ru</w:t>
        </w:r>
      </w:hyperlink>
    </w:p>
    <w:p w14:paraId="3996B20C" w14:textId="77777777" w:rsidR="00EA4635" w:rsidRPr="001D3CDE" w:rsidRDefault="00EA4635" w:rsidP="00EA4635">
      <w:pPr>
        <w:spacing w:after="0" w:line="240" w:lineRule="auto"/>
        <w:jc w:val="right"/>
        <w:rPr>
          <w:rFonts w:ascii="Times New Roman" w:eastAsia="Times New Roman" w:hAnsi="Times New Roman" w:cs="Times New Roman"/>
          <w:sz w:val="21"/>
          <w:szCs w:val="21"/>
        </w:rPr>
      </w:pPr>
      <w:r w:rsidRPr="001D3CDE">
        <w:rPr>
          <w:rFonts w:ascii="Times New Roman" w:eastAsia="Times New Roman" w:hAnsi="Times New Roman" w:cs="Times New Roman"/>
          <w:sz w:val="21"/>
          <w:szCs w:val="21"/>
        </w:rPr>
        <w:t xml:space="preserve"> </w:t>
      </w:r>
    </w:p>
    <w:p w14:paraId="65394123" w14:textId="77777777" w:rsidR="00EA4635" w:rsidRPr="001D3CDE" w:rsidRDefault="00EA4635" w:rsidP="00EA4635">
      <w:pPr>
        <w:spacing w:after="0" w:line="240" w:lineRule="auto"/>
        <w:jc w:val="center"/>
        <w:rPr>
          <w:rFonts w:ascii="Times New Roman" w:eastAsia="Times New Roman" w:hAnsi="Times New Roman" w:cs="Times New Roman"/>
          <w:color w:val="000000"/>
          <w:sz w:val="21"/>
          <w:szCs w:val="21"/>
          <w14:textFill>
            <w14:solidFill>
              <w14:srgbClr w14:val="000000">
                <w14:lumMod w14:val="100000"/>
                <w14:lumOff w14:val="0"/>
              </w14:srgbClr>
            </w14:solidFill>
          </w14:textFill>
        </w:rPr>
      </w:pPr>
      <w:r w:rsidRPr="001D3CDE">
        <w:rPr>
          <w:rFonts w:ascii="Times New Roman" w:eastAsia="Times New Roman" w:hAnsi="Times New Roman" w:cs="Times New Roman"/>
          <w:b/>
          <w:bCs/>
          <w:color w:val="000000"/>
          <w:sz w:val="21"/>
          <w:szCs w:val="21"/>
          <w14:textFill>
            <w14:solidFill>
              <w14:srgbClr w14:val="000000">
                <w14:lumMod w14:val="100000"/>
                <w14:lumOff w14:val="0"/>
              </w14:srgbClr>
            </w14:solidFill>
          </w14:textFill>
        </w:rPr>
        <w:t>Применение экономического анализа при прогнозировании банкротства с использованием искусственного интеллекта</w:t>
      </w:r>
      <w:r w:rsidRPr="001D3CDE">
        <w:rPr>
          <w:rFonts w:ascii="Times New Roman" w:eastAsia="Times New Roman" w:hAnsi="Times New Roman" w:cs="Times New Roman"/>
          <w:color w:val="000000"/>
          <w:sz w:val="21"/>
          <w:szCs w:val="21"/>
          <w14:textFill>
            <w14:solidFill>
              <w14:srgbClr w14:val="000000">
                <w14:lumMod w14:val="100000"/>
                <w14:lumOff w14:val="0"/>
              </w14:srgbClr>
            </w14:solidFill>
          </w14:textFill>
        </w:rPr>
        <w:t xml:space="preserve"> </w:t>
      </w:r>
    </w:p>
    <w:p w14:paraId="6084C031" w14:textId="77777777" w:rsidR="00EA4635" w:rsidRPr="001D3CDE" w:rsidRDefault="00EA4635" w:rsidP="00EA4635">
      <w:pPr>
        <w:spacing w:after="0" w:line="240" w:lineRule="auto"/>
        <w:jc w:val="center"/>
        <w:rPr>
          <w:rFonts w:ascii="Times New Roman" w:eastAsia="Times New Roman" w:hAnsi="Times New Roman" w:cs="Times New Roman"/>
          <w:color w:val="000000"/>
          <w:sz w:val="21"/>
          <w:szCs w:val="21"/>
          <w14:textFill>
            <w14:solidFill>
              <w14:srgbClr w14:val="000000">
                <w14:lumMod w14:val="100000"/>
                <w14:lumOff w14:val="0"/>
              </w14:srgbClr>
            </w14:solidFill>
          </w14:textFill>
        </w:rPr>
      </w:pPr>
      <w:r w:rsidRPr="001D3CDE">
        <w:rPr>
          <w:rFonts w:ascii="Times New Roman" w:eastAsia="Times New Roman" w:hAnsi="Times New Roman" w:cs="Times New Roman"/>
          <w:color w:val="000000"/>
          <w:sz w:val="21"/>
          <w:szCs w:val="21"/>
          <w14:textFill>
            <w14:solidFill>
              <w14:srgbClr w14:val="000000">
                <w14:lumMod w14:val="100000"/>
                <w14:lumOff w14:val="0"/>
              </w14:srgbClr>
            </w14:solidFill>
          </w14:textFill>
        </w:rPr>
        <w:t xml:space="preserve"> </w:t>
      </w:r>
    </w:p>
    <w:p w14:paraId="5FCE07E4" w14:textId="77777777" w:rsidR="00EA4635" w:rsidRPr="001D3CDE" w:rsidRDefault="00EA4635" w:rsidP="00EA4635">
      <w:pPr>
        <w:spacing w:after="0" w:line="240" w:lineRule="auto"/>
        <w:ind w:firstLine="708"/>
        <w:jc w:val="both"/>
        <w:rPr>
          <w:rFonts w:ascii="Times New Roman" w:eastAsia="Times New Roman" w:hAnsi="Times New Roman" w:cs="Times New Roman"/>
          <w:color w:val="000000"/>
          <w:sz w:val="21"/>
          <w:szCs w:val="21"/>
          <w14:textFill>
            <w14:solidFill>
              <w14:srgbClr w14:val="000000">
                <w14:lumMod w14:val="100000"/>
                <w14:lumOff w14:val="0"/>
              </w14:srgbClr>
            </w14:solidFill>
          </w14:textFill>
        </w:rPr>
      </w:pPr>
      <w:r w:rsidRPr="001D3CDE">
        <w:rPr>
          <w:rFonts w:ascii="Times New Roman" w:eastAsia="Times New Roman" w:hAnsi="Times New Roman" w:cs="Times New Roman"/>
          <w:b/>
          <w:bCs/>
          <w:color w:val="000000"/>
          <w:sz w:val="21"/>
          <w:szCs w:val="21"/>
          <w14:textFill>
            <w14:solidFill>
              <w14:srgbClr w14:val="000000">
                <w14:lumMod w14:val="100000"/>
                <w14:lumOff w14:val="0"/>
              </w14:srgbClr>
            </w14:solidFill>
          </w14:textFill>
        </w:rPr>
        <w:t xml:space="preserve">Аннотация: </w:t>
      </w:r>
      <w:r w:rsidRPr="001D3CDE">
        <w:rPr>
          <w:rFonts w:ascii="Times New Roman" w:eastAsia="Times New Roman" w:hAnsi="Times New Roman" w:cs="Times New Roman"/>
          <w:color w:val="000000"/>
          <w:sz w:val="21"/>
          <w:szCs w:val="21"/>
          <w14:textFill>
            <w14:solidFill>
              <w14:srgbClr w14:val="000000">
                <w14:lumMod w14:val="100000"/>
                <w14:lumOff w14:val="0"/>
              </w14:srgbClr>
            </w14:solidFill>
          </w14:textFill>
        </w:rPr>
        <w:t>в условиях усиливающейся конкуренции и динамичной рыночной среды риск банкротства становится всё более актуальным для множества предприятий. Традиционные подходы к прогнозированию финансовой несостоятельности нуждаются в модернизации, так как они не всегда учитывают современные экономические реалии и возможности технологий. Внедрение искусственного интеллекта в экономический анализ позволяет значительно повысить точность прогнозов за счёт анализа больших массивов данных и выявления сложных зависимостей. Это делает ИИ перспективным инструментом для эффективного управления финансовыми рисками.</w:t>
      </w:r>
    </w:p>
    <w:p w14:paraId="7E11ABD6" w14:textId="77777777" w:rsidR="00EA4635" w:rsidRDefault="00EA4635" w:rsidP="00EA4635">
      <w:pPr>
        <w:spacing w:after="0" w:line="240" w:lineRule="auto"/>
        <w:ind w:firstLine="708"/>
        <w:jc w:val="both"/>
        <w:rPr>
          <w:rFonts w:ascii="Times New Roman" w:eastAsia="Times New Roman" w:hAnsi="Times New Roman" w:cs="Times New Roman"/>
          <w:color w:val="000000"/>
          <w:sz w:val="21"/>
          <w:szCs w:val="21"/>
          <w14:textFill>
            <w14:solidFill>
              <w14:srgbClr w14:val="000000">
                <w14:lumMod w14:val="100000"/>
                <w14:lumOff w14:val="0"/>
              </w14:srgbClr>
            </w14:solidFill>
          </w14:textFill>
        </w:rPr>
      </w:pPr>
      <w:r w:rsidRPr="001D3CDE">
        <w:rPr>
          <w:rFonts w:ascii="Times New Roman" w:eastAsia="Times New Roman" w:hAnsi="Times New Roman" w:cs="Times New Roman"/>
          <w:b/>
          <w:bCs/>
          <w:color w:val="000000"/>
          <w:sz w:val="21"/>
          <w:szCs w:val="21"/>
          <w14:textFill>
            <w14:solidFill>
              <w14:srgbClr w14:val="000000">
                <w14:lumMod w14:val="100000"/>
                <w14:lumOff w14:val="0"/>
              </w14:srgbClr>
            </w14:solidFill>
          </w14:textFill>
        </w:rPr>
        <w:t>Ключевые слова:</w:t>
      </w:r>
      <w:r w:rsidRPr="001D3CDE">
        <w:rPr>
          <w:rFonts w:ascii="Times New Roman" w:eastAsia="Times New Roman" w:hAnsi="Times New Roman" w:cs="Times New Roman"/>
          <w:color w:val="000000"/>
          <w:sz w:val="21"/>
          <w:szCs w:val="21"/>
          <w14:textFill>
            <w14:solidFill>
              <w14:srgbClr w14:val="000000">
                <w14:lumMod w14:val="100000"/>
                <w14:lumOff w14:val="0"/>
              </w14:srgbClr>
            </w14:solidFill>
          </w14:textFill>
        </w:rPr>
        <w:t xml:space="preserve"> банкротство, искусственный интеллект, прогнозирование, экономический анализ, машинное обучение.</w:t>
      </w:r>
    </w:p>
    <w:p w14:paraId="06FA342C" w14:textId="77777777" w:rsidR="00EA4635" w:rsidRPr="001D3CDE" w:rsidRDefault="00EA4635" w:rsidP="00EA4635">
      <w:pPr>
        <w:spacing w:after="0" w:line="240" w:lineRule="auto"/>
        <w:ind w:firstLine="708"/>
        <w:jc w:val="both"/>
        <w:rPr>
          <w:rFonts w:ascii="Times New Roman" w:eastAsia="Times New Roman" w:hAnsi="Times New Roman" w:cs="Times New Roman"/>
          <w:color w:val="000000"/>
          <w:sz w:val="21"/>
          <w:szCs w:val="21"/>
          <w14:textFill>
            <w14:solidFill>
              <w14:srgbClr w14:val="000000">
                <w14:lumMod w14:val="100000"/>
                <w14:lumOff w14:val="0"/>
              </w14:srgbClr>
            </w14:solidFill>
          </w14:textFill>
        </w:rPr>
      </w:pPr>
    </w:p>
    <w:p w14:paraId="47B0202D"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lang w:val="en-US"/>
        </w:rPr>
      </w:pPr>
      <w:r w:rsidRPr="001D3CDE">
        <w:rPr>
          <w:rFonts w:ascii="Times New Roman" w:eastAsia="Times New Roman" w:hAnsi="Times New Roman" w:cs="Times New Roman"/>
          <w:b/>
          <w:bCs/>
          <w:i/>
          <w:iCs/>
          <w:sz w:val="21"/>
          <w:szCs w:val="21"/>
          <w:lang w:val="en-US"/>
        </w:rPr>
        <w:t>Maslakova D. R., Mikhailova A. E.,</w:t>
      </w:r>
    </w:p>
    <w:p w14:paraId="4ACF2DEC"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proofErr w:type="gramStart"/>
      <w:r w:rsidRPr="001D3CDE">
        <w:rPr>
          <w:rFonts w:ascii="Times New Roman" w:eastAsia="Times New Roman" w:hAnsi="Times New Roman" w:cs="Times New Roman"/>
          <w:i/>
          <w:iCs/>
          <w:sz w:val="21"/>
          <w:szCs w:val="21"/>
          <w:lang w:val="en-US"/>
        </w:rPr>
        <w:t>2 year</w:t>
      </w:r>
      <w:proofErr w:type="gramEnd"/>
      <w:r w:rsidRPr="001D3CDE">
        <w:rPr>
          <w:rFonts w:ascii="Times New Roman" w:eastAsia="Times New Roman" w:hAnsi="Times New Roman" w:cs="Times New Roman"/>
          <w:i/>
          <w:iCs/>
          <w:sz w:val="21"/>
          <w:szCs w:val="21"/>
          <w:lang w:val="en-US"/>
        </w:rPr>
        <w:t xml:space="preserve"> students</w:t>
      </w:r>
    </w:p>
    <w:p w14:paraId="09218CD5"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Financial University under the Government of the Russian Federation</w:t>
      </w:r>
    </w:p>
    <w:p w14:paraId="67246F8A"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Krasnodar, Russia</w:t>
      </w:r>
    </w:p>
    <w:p w14:paraId="7BD7E8C1"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 xml:space="preserve">e-mail: </w:t>
      </w:r>
      <w:hyperlink r:id="rId93">
        <w:r w:rsidRPr="001D3CDE">
          <w:rPr>
            <w:rFonts w:ascii="Times New Roman" w:eastAsia="Times New Roman" w:hAnsi="Times New Roman" w:cs="Times New Roman"/>
            <w:i/>
            <w:iCs/>
            <w:sz w:val="21"/>
            <w:szCs w:val="21"/>
            <w:lang w:val="en-US"/>
          </w:rPr>
          <w:t>maslakova298@gmail.com</w:t>
        </w:r>
      </w:hyperlink>
      <w:r w:rsidRPr="001D3CDE">
        <w:rPr>
          <w:rFonts w:ascii="Times New Roman" w:eastAsia="Times New Roman" w:hAnsi="Times New Roman" w:cs="Times New Roman"/>
          <w:i/>
          <w:iCs/>
          <w:sz w:val="21"/>
          <w:szCs w:val="21"/>
          <w:lang w:val="en-US"/>
        </w:rPr>
        <w:t xml:space="preserve">, </w:t>
      </w:r>
      <w:hyperlink r:id="rId94">
        <w:r w:rsidRPr="001D3CDE">
          <w:rPr>
            <w:rFonts w:ascii="Times New Roman" w:eastAsia="Times New Roman" w:hAnsi="Times New Roman" w:cs="Times New Roman"/>
            <w:i/>
            <w:iCs/>
            <w:sz w:val="21"/>
            <w:szCs w:val="21"/>
            <w:lang w:val="en-US"/>
          </w:rPr>
          <w:t>gaagrit@gmail.com</w:t>
        </w:r>
      </w:hyperlink>
      <w:r w:rsidRPr="001D3CDE">
        <w:rPr>
          <w:rFonts w:ascii="Times New Roman" w:eastAsia="Times New Roman" w:hAnsi="Times New Roman" w:cs="Times New Roman"/>
          <w:i/>
          <w:iCs/>
          <w:sz w:val="21"/>
          <w:szCs w:val="21"/>
          <w:lang w:val="en-US"/>
        </w:rPr>
        <w:t xml:space="preserve"> </w:t>
      </w:r>
    </w:p>
    <w:p w14:paraId="25093C56" w14:textId="77777777" w:rsidR="00EA4635" w:rsidRPr="001D3CDE" w:rsidRDefault="00EA4635" w:rsidP="00EA4635">
      <w:pPr>
        <w:spacing w:after="0" w:line="240" w:lineRule="auto"/>
        <w:jc w:val="right"/>
        <w:rPr>
          <w:rFonts w:ascii="Times New Roman" w:eastAsia="Times New Roman" w:hAnsi="Times New Roman" w:cs="Times New Roman"/>
          <w:sz w:val="21"/>
          <w:szCs w:val="21"/>
          <w:lang w:val="en-US"/>
        </w:rPr>
      </w:pPr>
      <w:r w:rsidRPr="001D3CDE">
        <w:rPr>
          <w:rFonts w:ascii="Times New Roman" w:eastAsia="Times New Roman" w:hAnsi="Times New Roman" w:cs="Times New Roman"/>
          <w:b/>
          <w:bCs/>
          <w:i/>
          <w:iCs/>
          <w:sz w:val="21"/>
          <w:szCs w:val="21"/>
          <w:lang w:val="en-US"/>
        </w:rPr>
        <w:t xml:space="preserve">  </w:t>
      </w:r>
      <w:r w:rsidRPr="001D3CDE">
        <w:rPr>
          <w:rFonts w:ascii="Times New Roman" w:eastAsia="Times New Roman" w:hAnsi="Times New Roman" w:cs="Times New Roman"/>
          <w:sz w:val="21"/>
          <w:szCs w:val="21"/>
          <w:lang w:val="en-US"/>
        </w:rPr>
        <w:t xml:space="preserve"> </w:t>
      </w:r>
    </w:p>
    <w:p w14:paraId="6E5C6B68"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lang w:val="en-US"/>
        </w:rPr>
      </w:pPr>
      <w:r w:rsidRPr="001D3CDE">
        <w:rPr>
          <w:rFonts w:ascii="Times New Roman" w:eastAsia="Times New Roman" w:hAnsi="Times New Roman" w:cs="Times New Roman"/>
          <w:b/>
          <w:bCs/>
          <w:i/>
          <w:iCs/>
          <w:sz w:val="21"/>
          <w:szCs w:val="21"/>
          <w:lang w:val="en-US"/>
        </w:rPr>
        <w:t>Scientific Adviser:</w:t>
      </w:r>
    </w:p>
    <w:p w14:paraId="6A916F83" w14:textId="77777777" w:rsidR="00EA4635" w:rsidRPr="001D3CDE" w:rsidRDefault="00EA4635" w:rsidP="00EA4635">
      <w:pPr>
        <w:spacing w:after="0" w:line="240" w:lineRule="auto"/>
        <w:jc w:val="right"/>
        <w:rPr>
          <w:rFonts w:ascii="Times New Roman" w:eastAsia="Times New Roman" w:hAnsi="Times New Roman" w:cs="Times New Roman"/>
          <w:b/>
          <w:bCs/>
          <w:i/>
          <w:iCs/>
          <w:sz w:val="21"/>
          <w:szCs w:val="21"/>
          <w:lang w:val="en-US"/>
        </w:rPr>
      </w:pPr>
      <w:r w:rsidRPr="001D3CDE">
        <w:rPr>
          <w:rFonts w:ascii="Times New Roman" w:eastAsia="Times New Roman" w:hAnsi="Times New Roman" w:cs="Times New Roman"/>
          <w:b/>
          <w:bCs/>
          <w:i/>
          <w:iCs/>
          <w:sz w:val="21"/>
          <w:szCs w:val="21"/>
          <w:lang w:val="en-US"/>
        </w:rPr>
        <w:t>Roshchektaeva U. Y.,</w:t>
      </w:r>
    </w:p>
    <w:p w14:paraId="686FE2CF"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Candidate of Economics, Associate Professor of the</w:t>
      </w:r>
    </w:p>
    <w:p w14:paraId="275D0075"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Financial University under the Government of the Russian Federation</w:t>
      </w:r>
    </w:p>
    <w:p w14:paraId="35E75981" w14:textId="77777777" w:rsidR="00EA4635" w:rsidRPr="001D3CDE" w:rsidRDefault="00EA4635" w:rsidP="00EA4635">
      <w:pPr>
        <w:spacing w:after="0" w:line="240" w:lineRule="auto"/>
        <w:jc w:val="right"/>
        <w:rPr>
          <w:rFonts w:ascii="Times New Roman" w:eastAsia="Times New Roman" w:hAnsi="Times New Roman" w:cs="Times New Roman"/>
          <w:i/>
          <w:iCs/>
          <w:sz w:val="21"/>
          <w:szCs w:val="21"/>
          <w:lang w:val="en-US"/>
        </w:rPr>
      </w:pPr>
      <w:r w:rsidRPr="001D3CDE">
        <w:rPr>
          <w:rFonts w:ascii="Times New Roman" w:eastAsia="Times New Roman" w:hAnsi="Times New Roman" w:cs="Times New Roman"/>
          <w:i/>
          <w:iCs/>
          <w:sz w:val="21"/>
          <w:szCs w:val="21"/>
          <w:lang w:val="en-US"/>
        </w:rPr>
        <w:t>Krasnodar, Russia</w:t>
      </w:r>
    </w:p>
    <w:p w14:paraId="07616AE8" w14:textId="77777777" w:rsidR="00EA4635" w:rsidRPr="001D3CDE" w:rsidRDefault="00EA4635" w:rsidP="00EA4635">
      <w:pPr>
        <w:spacing w:after="0" w:line="240" w:lineRule="auto"/>
        <w:jc w:val="right"/>
        <w:rPr>
          <w:rFonts w:ascii="Times New Roman" w:eastAsia="Times New Roman" w:hAnsi="Times New Roman" w:cs="Times New Roman"/>
          <w:sz w:val="21"/>
          <w:szCs w:val="21"/>
          <w:lang w:val="en-US"/>
        </w:rPr>
      </w:pPr>
      <w:r w:rsidRPr="001D3CDE">
        <w:rPr>
          <w:rFonts w:ascii="Times New Roman" w:eastAsia="Times New Roman" w:hAnsi="Times New Roman" w:cs="Times New Roman"/>
          <w:i/>
          <w:iCs/>
          <w:sz w:val="21"/>
          <w:szCs w:val="21"/>
          <w:lang w:val="en-US"/>
        </w:rPr>
        <w:t xml:space="preserve">e-mail: </w:t>
      </w:r>
      <w:hyperlink r:id="rId95">
        <w:r w:rsidRPr="001D3CDE">
          <w:rPr>
            <w:rFonts w:ascii="Times New Roman" w:eastAsia="Times New Roman" w:hAnsi="Times New Roman" w:cs="Times New Roman"/>
            <w:i/>
            <w:iCs/>
            <w:sz w:val="21"/>
            <w:szCs w:val="21"/>
            <w:lang w:val="en-US"/>
          </w:rPr>
          <w:t>UYURoschektaeva@fa.ru</w:t>
        </w:r>
      </w:hyperlink>
    </w:p>
    <w:p w14:paraId="3F4EECDF" w14:textId="77777777" w:rsidR="00EA4635" w:rsidRPr="001D3CDE" w:rsidRDefault="00EA4635" w:rsidP="00EA4635">
      <w:pPr>
        <w:spacing w:after="0" w:line="240" w:lineRule="auto"/>
        <w:jc w:val="right"/>
        <w:rPr>
          <w:rFonts w:ascii="Times New Roman" w:eastAsia="Times New Roman" w:hAnsi="Times New Roman" w:cs="Times New Roman"/>
          <w:sz w:val="21"/>
          <w:szCs w:val="21"/>
          <w:lang w:val="en-US"/>
        </w:rPr>
      </w:pPr>
      <w:r w:rsidRPr="001D3CDE">
        <w:rPr>
          <w:rFonts w:ascii="Times New Roman" w:eastAsia="Times New Roman" w:hAnsi="Times New Roman" w:cs="Times New Roman"/>
          <w:sz w:val="21"/>
          <w:szCs w:val="21"/>
          <w:lang w:val="en-US"/>
        </w:rPr>
        <w:t xml:space="preserve"> </w:t>
      </w:r>
    </w:p>
    <w:p w14:paraId="51E1EF64" w14:textId="77777777" w:rsidR="00EA4635" w:rsidRPr="001D3CDE" w:rsidRDefault="00EA4635" w:rsidP="00EA4635">
      <w:pPr>
        <w:spacing w:after="0" w:line="240" w:lineRule="auto"/>
        <w:jc w:val="center"/>
        <w:rPr>
          <w:rFonts w:ascii="Times New Roman" w:eastAsia="Times New Roman" w:hAnsi="Times New Roman" w:cs="Times New Roman"/>
          <w:sz w:val="21"/>
          <w:szCs w:val="21"/>
          <w:lang w:val="en-US"/>
        </w:rPr>
      </w:pPr>
      <w:r w:rsidRPr="001D3CDE">
        <w:rPr>
          <w:rFonts w:ascii="Times New Roman" w:eastAsia="Times New Roman" w:hAnsi="Times New Roman" w:cs="Times New Roman"/>
          <w:b/>
          <w:bCs/>
          <w:sz w:val="21"/>
          <w:szCs w:val="21"/>
          <w:lang w:val="en-US"/>
        </w:rPr>
        <w:t xml:space="preserve">The use of economic analysis in predicting bankruptcy using artificial intelligence </w:t>
      </w:r>
      <w:r w:rsidRPr="001D3CDE">
        <w:rPr>
          <w:rFonts w:ascii="Times New Roman" w:eastAsia="Times New Roman" w:hAnsi="Times New Roman" w:cs="Times New Roman"/>
          <w:sz w:val="21"/>
          <w:szCs w:val="21"/>
          <w:lang w:val="en-US"/>
        </w:rPr>
        <w:t xml:space="preserve"> </w:t>
      </w:r>
    </w:p>
    <w:p w14:paraId="63A9BB00" w14:textId="77777777" w:rsidR="00EA4635" w:rsidRPr="001D3CDE" w:rsidRDefault="00EA4635" w:rsidP="00EA4635">
      <w:pPr>
        <w:spacing w:after="0" w:line="240" w:lineRule="auto"/>
        <w:jc w:val="center"/>
        <w:rPr>
          <w:rFonts w:ascii="Times New Roman" w:eastAsia="Times New Roman" w:hAnsi="Times New Roman" w:cs="Times New Roman"/>
          <w:sz w:val="21"/>
          <w:szCs w:val="21"/>
          <w:lang w:val="en-US"/>
        </w:rPr>
      </w:pPr>
    </w:p>
    <w:p w14:paraId="0177C984" w14:textId="77777777" w:rsidR="00EA4635" w:rsidRPr="001D3CDE" w:rsidRDefault="00EA4635" w:rsidP="00EA4635">
      <w:pPr>
        <w:spacing w:after="0" w:line="240" w:lineRule="auto"/>
        <w:ind w:firstLine="708"/>
        <w:jc w:val="both"/>
        <w:rPr>
          <w:rFonts w:ascii="Times New Roman" w:eastAsia="Times New Roman" w:hAnsi="Times New Roman" w:cs="Times New Roman"/>
          <w:sz w:val="21"/>
          <w:szCs w:val="21"/>
          <w:lang w:val="en-US"/>
        </w:rPr>
      </w:pPr>
      <w:r w:rsidRPr="001D3CDE">
        <w:rPr>
          <w:rFonts w:ascii="Times New Roman" w:eastAsia="Times New Roman" w:hAnsi="Times New Roman" w:cs="Times New Roman"/>
          <w:b/>
          <w:bCs/>
          <w:sz w:val="21"/>
          <w:szCs w:val="21"/>
          <w:lang w:val="en-US"/>
        </w:rPr>
        <w:t xml:space="preserve">Annotation: </w:t>
      </w:r>
      <w:r w:rsidRPr="001D3CDE">
        <w:rPr>
          <w:rFonts w:ascii="Times New Roman" w:eastAsia="Times New Roman" w:hAnsi="Times New Roman" w:cs="Times New Roman"/>
          <w:sz w:val="21"/>
          <w:szCs w:val="21"/>
          <w:lang w:val="en-US"/>
        </w:rPr>
        <w:t xml:space="preserve"> In the context of increasing competition and a dynamic market environment, the risk of bankruptcy is becoming increasingly relevant for many enterprises. Traditional approaches to forecasting financial insolvency need to be modernized, as they do not always </w:t>
      </w:r>
      <w:proofErr w:type="gramStart"/>
      <w:r w:rsidRPr="001D3CDE">
        <w:rPr>
          <w:rFonts w:ascii="Times New Roman" w:eastAsia="Times New Roman" w:hAnsi="Times New Roman" w:cs="Times New Roman"/>
          <w:sz w:val="21"/>
          <w:szCs w:val="21"/>
          <w:lang w:val="en-US"/>
        </w:rPr>
        <w:t>take into account</w:t>
      </w:r>
      <w:proofErr w:type="gramEnd"/>
      <w:r w:rsidRPr="001D3CDE">
        <w:rPr>
          <w:rFonts w:ascii="Times New Roman" w:eastAsia="Times New Roman" w:hAnsi="Times New Roman" w:cs="Times New Roman"/>
          <w:sz w:val="21"/>
          <w:szCs w:val="21"/>
          <w:lang w:val="en-US"/>
        </w:rPr>
        <w:t xml:space="preserve"> modern economic realities and technological capabilities. The introduction of artificial intelligence into economic analysis makes it possible to significantly improve the accuracy of forecasts by analyzing large amounts of data and identifying complex dependencies. This makes AI a promising tool for effective financial risk management.</w:t>
      </w:r>
    </w:p>
    <w:p w14:paraId="6B7A909C" w14:textId="77777777" w:rsidR="00EA4635" w:rsidRPr="001D3CDE" w:rsidRDefault="00EA4635" w:rsidP="00EA4635">
      <w:pPr>
        <w:spacing w:after="0" w:line="240" w:lineRule="auto"/>
        <w:ind w:firstLine="708"/>
        <w:jc w:val="both"/>
        <w:rPr>
          <w:rFonts w:ascii="Times New Roman" w:eastAsia="Times New Roman" w:hAnsi="Times New Roman" w:cs="Times New Roman"/>
          <w:sz w:val="21"/>
          <w:szCs w:val="21"/>
          <w:lang w:val="en-US"/>
        </w:rPr>
      </w:pPr>
      <w:r w:rsidRPr="001D3CDE">
        <w:rPr>
          <w:rFonts w:ascii="Times New Roman" w:eastAsia="Times New Roman" w:hAnsi="Times New Roman" w:cs="Times New Roman"/>
          <w:b/>
          <w:bCs/>
          <w:sz w:val="21"/>
          <w:szCs w:val="21"/>
          <w:lang w:val="en-US"/>
        </w:rPr>
        <w:t>Keywords:</w:t>
      </w:r>
      <w:r w:rsidRPr="001D3CDE">
        <w:rPr>
          <w:rFonts w:ascii="Times New Roman" w:eastAsia="Times New Roman" w:hAnsi="Times New Roman" w:cs="Times New Roman"/>
          <w:sz w:val="21"/>
          <w:szCs w:val="21"/>
          <w:lang w:val="en-US"/>
        </w:rPr>
        <w:t xml:space="preserve"> bankruptcy, artificial intelligence, forecasting, economic analysis, machine learning.</w:t>
      </w:r>
    </w:p>
    <w:p w14:paraId="580AB1B3" w14:textId="77777777" w:rsidR="00EA4635" w:rsidRPr="001D3CDE" w:rsidRDefault="00EA4635" w:rsidP="00EA4635">
      <w:pPr>
        <w:spacing w:after="0" w:line="279" w:lineRule="auto"/>
        <w:ind w:firstLine="708"/>
        <w:jc w:val="both"/>
        <w:rPr>
          <w:rFonts w:ascii="Times New Roman" w:eastAsia="Times New Roman" w:hAnsi="Times New Roman" w:cs="Times New Roman"/>
          <w:sz w:val="21"/>
          <w:szCs w:val="21"/>
          <w:lang w:val="en-US"/>
        </w:rPr>
      </w:pPr>
    </w:p>
    <w:p w14:paraId="2D4FFD2A" w14:textId="77777777"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 xml:space="preserve">Ранее анализ риска банкротства проводился вручную экспертами, которые оценивали финансовую отчетность и другую доступную информацию, зачастую с использованием простых вычислительных инструментов. С развитием технологий эту задачу стало возможным автоматизировать с помощью искусственного интеллекта (ИИ), что </w:t>
      </w:r>
      <w:r w:rsidRPr="001D3CDE">
        <w:rPr>
          <w:rFonts w:ascii="Times New Roman" w:eastAsia="Times New Roman" w:hAnsi="Times New Roman" w:cs="Times New Roman"/>
          <w:sz w:val="32"/>
          <w:szCs w:val="32"/>
        </w:rPr>
        <w:lastRenderedPageBreak/>
        <w:t xml:space="preserve">снижает зависимость от человеческого фактора и ускоряет процесс анализа. </w:t>
      </w:r>
    </w:p>
    <w:p w14:paraId="70B005A1" w14:textId="77777777"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 xml:space="preserve">Тем не менее, перед внедрением ИИ-подходов в практику, необходимо тщательно оценить их эффективность и надежность по сравнению с традиционными методами, чтобы определить их применимость в реальных бизнес-ситуациях. </w:t>
      </w:r>
    </w:p>
    <w:p w14:paraId="2BD4D55F" w14:textId="75AA2470"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В федеральном законе «О несостоятельности (банкротстве)» № 127 понятие банкротство обозначено следующим образом: «Признанная арбитражным судом неспособность должника в полном объеме удовлетворить требования кредиторов по денежными обязательствам и (или) исполнить обязанность по уплате обязательных платежей» [1]</w:t>
      </w:r>
      <w:r w:rsidR="00DB349B">
        <w:rPr>
          <w:rFonts w:ascii="Times New Roman" w:eastAsia="Times New Roman" w:hAnsi="Times New Roman" w:cs="Times New Roman"/>
          <w:sz w:val="32"/>
          <w:szCs w:val="32"/>
        </w:rPr>
        <w:t>.</w:t>
      </w:r>
      <w:r w:rsidRPr="001D3CDE">
        <w:rPr>
          <w:rFonts w:ascii="Times New Roman" w:eastAsia="Times New Roman" w:hAnsi="Times New Roman" w:cs="Times New Roman"/>
          <w:sz w:val="32"/>
          <w:szCs w:val="32"/>
        </w:rPr>
        <w:t xml:space="preserve"> </w:t>
      </w:r>
    </w:p>
    <w:p w14:paraId="1F0A55EF" w14:textId="77777777"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Анализ финансового состояния организации и прогнозирование риска банкротства включают оценку множества факторов</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от ликвидности и структуры капитала до макроэкономических условий и управленческих решений. Как правило, кризисное финансовое состояние возникает под влиянием комплекса причин, поэтому для его диагностики и предотвращения применяются различные модели и методики. Среди наиболее известных подходов выделяют следующие модели экономического анализа:</w:t>
      </w:r>
    </w:p>
    <w:p w14:paraId="6A8F830B" w14:textId="395425C0"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Модель Альтмана (Z-скоринг)</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многомерная модель, рассчитывающая интегральный показатель Z на основе пяти коэффициентов: отношение оборотного капитала к активам, рентабельности, финансового рычага, оборачиваемости активов и выручки. Чем ниже значение Z, тем выше риск банкротства [1]</w:t>
      </w:r>
      <w:r w:rsidR="00DB349B">
        <w:rPr>
          <w:rFonts w:ascii="Times New Roman" w:eastAsia="Times New Roman" w:hAnsi="Times New Roman" w:cs="Times New Roman"/>
          <w:sz w:val="32"/>
          <w:szCs w:val="32"/>
        </w:rPr>
        <w:t>.</w:t>
      </w:r>
      <w:r w:rsidRPr="001D3CDE">
        <w:rPr>
          <w:rFonts w:ascii="Times New Roman" w:eastAsia="Times New Roman" w:hAnsi="Times New Roman" w:cs="Times New Roman"/>
          <w:sz w:val="32"/>
          <w:szCs w:val="32"/>
        </w:rPr>
        <w:t xml:space="preserve"> </w:t>
      </w:r>
    </w:p>
    <w:p w14:paraId="1EA3394E" w14:textId="617E0236"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Модель Бивера</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однофакторная модель, основанная на коэффициенте денежного потока к общей задолженности. Позволяет оценить способность компании обслуживать свои обязательства [2]</w:t>
      </w:r>
      <w:r w:rsidR="00DB349B">
        <w:rPr>
          <w:rFonts w:ascii="Times New Roman" w:eastAsia="Times New Roman" w:hAnsi="Times New Roman" w:cs="Times New Roman"/>
          <w:sz w:val="32"/>
          <w:szCs w:val="32"/>
        </w:rPr>
        <w:t>.</w:t>
      </w:r>
      <w:r w:rsidRPr="001D3CDE">
        <w:rPr>
          <w:rFonts w:ascii="Times New Roman" w:eastAsia="Times New Roman" w:hAnsi="Times New Roman" w:cs="Times New Roman"/>
          <w:sz w:val="32"/>
          <w:szCs w:val="32"/>
        </w:rPr>
        <w:t xml:space="preserve"> </w:t>
      </w:r>
    </w:p>
    <w:p w14:paraId="76DA25EC" w14:textId="20AFA4BF"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Модель Спрингейта</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четырехфакторная модель, включающая коэффициенты ликвидности, оборачиваемости активов, рентабельности и уровня заемного капитала. Используется для прогнозирования финансовой несостоятельности [1]</w:t>
      </w:r>
      <w:r w:rsidR="00DB349B">
        <w:rPr>
          <w:rFonts w:ascii="Times New Roman" w:eastAsia="Times New Roman" w:hAnsi="Times New Roman" w:cs="Times New Roman"/>
          <w:sz w:val="32"/>
          <w:szCs w:val="32"/>
        </w:rPr>
        <w:t>.</w:t>
      </w:r>
    </w:p>
    <w:p w14:paraId="29EDBE9B" w14:textId="4D6F7CEC"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Модель Таффлера</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четырехфакторная модель, учитывающая выручку по отношению к обязательствам, ликвидность, операционную рентабельность и структуру капитала. Позволяет диагностировать финансовую устойчивость предприятия [2]</w:t>
      </w:r>
      <w:r w:rsidR="00DB349B">
        <w:rPr>
          <w:rFonts w:ascii="Times New Roman" w:eastAsia="Times New Roman" w:hAnsi="Times New Roman" w:cs="Times New Roman"/>
          <w:sz w:val="32"/>
          <w:szCs w:val="32"/>
        </w:rPr>
        <w:t>.</w:t>
      </w:r>
    </w:p>
    <w:p w14:paraId="20B5FB21" w14:textId="43A2E78A"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Модель Тишоу</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двухфакторная модель, основанная на текущей ликвидности и доле заемного капитала. Используется для разделения компаний на группы с высоким и низким риском банкротства [2]</w:t>
      </w:r>
      <w:r w:rsidR="00DB349B">
        <w:rPr>
          <w:rFonts w:ascii="Times New Roman" w:eastAsia="Times New Roman" w:hAnsi="Times New Roman" w:cs="Times New Roman"/>
          <w:sz w:val="32"/>
          <w:szCs w:val="32"/>
        </w:rPr>
        <w:t>.</w:t>
      </w:r>
      <w:r w:rsidRPr="001D3CDE">
        <w:rPr>
          <w:rFonts w:ascii="Times New Roman" w:eastAsia="Times New Roman" w:hAnsi="Times New Roman" w:cs="Times New Roman"/>
          <w:sz w:val="32"/>
          <w:szCs w:val="32"/>
        </w:rPr>
        <w:t xml:space="preserve"> </w:t>
      </w:r>
    </w:p>
    <w:p w14:paraId="006FEB06" w14:textId="77777777"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lastRenderedPageBreak/>
        <w:t>Традиционные методы прогнозирования банкротства имеют ограничения: узкий диапазон данных, линейность, субъективность и отсутствие учета отраслевых особенностей. Это требует внедрения современных подходов, включая ИИ, для повышения точности и эффективности анализа финансовых рисков.</w:t>
      </w:r>
    </w:p>
    <w:p w14:paraId="6097E3F9" w14:textId="77777777" w:rsidR="00EA4635" w:rsidRPr="001D3CDE" w:rsidRDefault="00EA4635" w:rsidP="00DB349B">
      <w:pPr>
        <w:spacing w:after="0" w:line="240" w:lineRule="auto"/>
        <w:ind w:firstLine="709"/>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Искусственный интеллект</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sz w:val="32"/>
          <w:szCs w:val="32"/>
        </w:rPr>
        <w:t>это область науки и технологии, заключающаяся в воссоздании процессов человеческого интеллекта с помощью машин, в частности компьютерных систем, которая позволяет им адаптироваться к новым условиям, решать задачи, анализировать ситуации, отвечать на вопросы, строить планы и выполнять другие интеллектуальные функции. В таблице 1 представлены ключевые модели машинного обучения, их описания и применения для прогнозирования банкротства [3]:</w:t>
      </w:r>
    </w:p>
    <w:p w14:paraId="3E11BA66" w14:textId="77777777" w:rsidR="00EA4635" w:rsidRDefault="00EA4635" w:rsidP="00EA4635">
      <w:pPr>
        <w:spacing w:line="279" w:lineRule="auto"/>
        <w:rPr>
          <w:rFonts w:ascii="Times New Roman" w:eastAsia="Times New Roman" w:hAnsi="Times New Roman" w:cs="Times New Roman"/>
          <w:color w:val="000000"/>
          <w:sz w:val="32"/>
          <w:szCs w:val="32"/>
          <w14:textFill>
            <w14:solidFill>
              <w14:srgbClr w14:val="000000">
                <w14:lumMod w14:val="100000"/>
                <w14:lumOff w14:val="0"/>
              </w14:srgbClr>
            </w14:solidFill>
          </w14:textFill>
        </w:rPr>
      </w:pPr>
    </w:p>
    <w:p w14:paraId="4928B26C" w14:textId="77777777" w:rsidR="00EA4635" w:rsidRPr="001D3CDE" w:rsidRDefault="00EA4635" w:rsidP="00EA4635">
      <w:pPr>
        <w:spacing w:line="279" w:lineRule="auto"/>
        <w:rPr>
          <w:rFonts w:ascii="Times New Roman" w:eastAsia="Times New Roman" w:hAnsi="Times New Roman" w:cs="Times New Roman"/>
          <w:sz w:val="32"/>
          <w:szCs w:val="32"/>
        </w:rPr>
      </w:pP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Таблица 1–</w:t>
      </w:r>
      <w:r w:rsidRPr="001D3CDE">
        <w:rPr>
          <w:rFonts w:ascii="Times New Roman" w:eastAsia="Times New Roman" w:hAnsi="Times New Roman" w:cs="Times New Roman"/>
          <w:color w:val="000000"/>
          <w:sz w:val="32"/>
          <w:szCs w:val="32"/>
          <w:lang w:val="ru"/>
          <w14:textFill>
            <w14:solidFill>
              <w14:srgbClr w14:val="000000">
                <w14:lumMod w14:val="100000"/>
                <w14:lumOff w14:val="0"/>
              </w14:srgbClr>
            </w14:solidFill>
          </w14:textFill>
        </w:rPr>
        <w:t xml:space="preserve"> </w:t>
      </w:r>
      <w:r w:rsidRPr="001D3CDE">
        <w:rPr>
          <w:rFonts w:ascii="Times New Roman" w:eastAsia="Times New Roman" w:hAnsi="Times New Roman" w:cs="Times New Roman"/>
          <w:color w:val="000000"/>
          <w:sz w:val="32"/>
          <w:szCs w:val="32"/>
          <w14:textFill>
            <w14:solidFill>
              <w14:srgbClr w14:val="000000">
                <w14:lumMod w14:val="100000"/>
                <w14:lumOff w14:val="0"/>
              </w14:srgbClr>
            </w14:solidFill>
          </w14:textFill>
        </w:rPr>
        <w:t>Методы прогнозирования банкротства</w:t>
      </w:r>
    </w:p>
    <w:tbl>
      <w:tblPr>
        <w:tblW w:w="10127"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2702"/>
        <w:gridCol w:w="3542"/>
        <w:gridCol w:w="3883"/>
      </w:tblGrid>
      <w:tr w:rsidR="00EA4635" w:rsidRPr="00DB349B" w14:paraId="67BC5D7A" w14:textId="77777777" w:rsidTr="00EB1CB9">
        <w:trPr>
          <w:trHeight w:val="243"/>
        </w:trPr>
        <w:tc>
          <w:tcPr>
            <w:tcW w:w="2702" w:type="dxa"/>
            <w:vAlign w:val="center"/>
          </w:tcPr>
          <w:p w14:paraId="3951AB22"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Метод</w:t>
            </w:r>
          </w:p>
        </w:tc>
        <w:tc>
          <w:tcPr>
            <w:tcW w:w="3542" w:type="dxa"/>
            <w:vAlign w:val="center"/>
          </w:tcPr>
          <w:p w14:paraId="0D1EFF49"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Описание</w:t>
            </w:r>
          </w:p>
        </w:tc>
        <w:tc>
          <w:tcPr>
            <w:tcW w:w="3883" w:type="dxa"/>
            <w:vAlign w:val="center"/>
          </w:tcPr>
          <w:p w14:paraId="79345561"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Применение в банкротстве</w:t>
            </w:r>
          </w:p>
        </w:tc>
      </w:tr>
      <w:tr w:rsidR="00EA4635" w:rsidRPr="00DB349B" w14:paraId="4A81C198" w14:textId="77777777" w:rsidTr="00EB1CB9">
        <w:trPr>
          <w:trHeight w:val="243"/>
        </w:trPr>
        <w:tc>
          <w:tcPr>
            <w:tcW w:w="2702" w:type="dxa"/>
            <w:vAlign w:val="center"/>
          </w:tcPr>
          <w:p w14:paraId="405AF93F"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Логистическая регрессия</w:t>
            </w:r>
          </w:p>
        </w:tc>
        <w:tc>
          <w:tcPr>
            <w:tcW w:w="3542" w:type="dxa"/>
            <w:vAlign w:val="center"/>
          </w:tcPr>
          <w:p w14:paraId="7D18BD40"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Линейная модель для оценки вероятности бинарного события</w:t>
            </w:r>
          </w:p>
        </w:tc>
        <w:tc>
          <w:tcPr>
            <w:tcW w:w="3883" w:type="dxa"/>
            <w:vAlign w:val="center"/>
          </w:tcPr>
          <w:p w14:paraId="39213883"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Предсказывает вероятность банкротства на основе финансовых коэффициентов</w:t>
            </w:r>
          </w:p>
        </w:tc>
      </w:tr>
      <w:tr w:rsidR="00EA4635" w:rsidRPr="00DB349B" w14:paraId="7B9DD38D" w14:textId="77777777" w:rsidTr="00EB1CB9">
        <w:trPr>
          <w:trHeight w:val="243"/>
        </w:trPr>
        <w:tc>
          <w:tcPr>
            <w:tcW w:w="2702" w:type="dxa"/>
            <w:vAlign w:val="center"/>
          </w:tcPr>
          <w:p w14:paraId="6EECD369"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Случайный лес (Random Forest)</w:t>
            </w:r>
          </w:p>
        </w:tc>
        <w:tc>
          <w:tcPr>
            <w:tcW w:w="3542" w:type="dxa"/>
            <w:vAlign w:val="center"/>
          </w:tcPr>
          <w:p w14:paraId="0E775244"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Ансамбль деревьев решений с голосованием</w:t>
            </w:r>
          </w:p>
        </w:tc>
        <w:tc>
          <w:tcPr>
            <w:tcW w:w="3883" w:type="dxa"/>
            <w:vAlign w:val="center"/>
          </w:tcPr>
          <w:p w14:paraId="129BBC91"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Анализирует важные признаки (напр. долговая нагрузка, ликвидность) и дает итоговый прогноз</w:t>
            </w:r>
          </w:p>
        </w:tc>
      </w:tr>
      <w:tr w:rsidR="00EA4635" w:rsidRPr="00DB349B" w14:paraId="37A57564" w14:textId="77777777" w:rsidTr="00EB1CB9">
        <w:trPr>
          <w:trHeight w:val="243"/>
        </w:trPr>
        <w:tc>
          <w:tcPr>
            <w:tcW w:w="2702" w:type="dxa"/>
            <w:vAlign w:val="center"/>
          </w:tcPr>
          <w:p w14:paraId="70C9AFFF"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Градиентный бустинг</w:t>
            </w:r>
          </w:p>
        </w:tc>
        <w:tc>
          <w:tcPr>
            <w:tcW w:w="3542" w:type="dxa"/>
            <w:vAlign w:val="center"/>
          </w:tcPr>
          <w:p w14:paraId="0471B982"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Последовательное обучение деревьев с фокусом на ошибках</w:t>
            </w:r>
          </w:p>
        </w:tc>
        <w:tc>
          <w:tcPr>
            <w:tcW w:w="3883" w:type="dxa"/>
            <w:vAlign w:val="center"/>
          </w:tcPr>
          <w:p w14:paraId="19E66B0C"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Более точные прогнозы по сравнению со случайным лесом; может выявлять сложные зависимости</w:t>
            </w:r>
          </w:p>
        </w:tc>
      </w:tr>
      <w:tr w:rsidR="00EA4635" w:rsidRPr="00DB349B" w14:paraId="385C0F7A" w14:textId="77777777" w:rsidTr="00EB1CB9">
        <w:trPr>
          <w:trHeight w:val="243"/>
        </w:trPr>
        <w:tc>
          <w:tcPr>
            <w:tcW w:w="2702" w:type="dxa"/>
            <w:vAlign w:val="center"/>
          </w:tcPr>
          <w:p w14:paraId="6195427C"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Нейросети (ANN, RNN, LSTM)</w:t>
            </w:r>
          </w:p>
        </w:tc>
        <w:tc>
          <w:tcPr>
            <w:tcW w:w="3542" w:type="dxa"/>
            <w:vAlign w:val="center"/>
          </w:tcPr>
          <w:p w14:paraId="362481FD"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Архитектуры, имитирующие работу нейронов мозга</w:t>
            </w:r>
          </w:p>
        </w:tc>
        <w:tc>
          <w:tcPr>
            <w:tcW w:w="3883" w:type="dxa"/>
            <w:vAlign w:val="center"/>
          </w:tcPr>
          <w:p w14:paraId="319B92D0"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Прогнозируют банкротства с учетом временной динамики, особенно полезны при анализе финансовых временных рядов</w:t>
            </w:r>
          </w:p>
        </w:tc>
      </w:tr>
      <w:tr w:rsidR="00EA4635" w:rsidRPr="00DB349B" w14:paraId="7CB02A3A" w14:textId="77777777" w:rsidTr="00EB1CB9">
        <w:trPr>
          <w:trHeight w:val="243"/>
        </w:trPr>
        <w:tc>
          <w:tcPr>
            <w:tcW w:w="2702" w:type="dxa"/>
            <w:vAlign w:val="center"/>
          </w:tcPr>
          <w:p w14:paraId="3ECA93F6" w14:textId="77777777" w:rsidR="00EA4635" w:rsidRPr="00DB349B" w:rsidRDefault="00EA4635" w:rsidP="00EB1CB9">
            <w:pPr>
              <w:spacing w:after="0" w:line="240" w:lineRule="auto"/>
              <w:jc w:val="both"/>
              <w:rPr>
                <w:rFonts w:ascii="Times New Roman" w:eastAsia="Times New Roman" w:hAnsi="Times New Roman" w:cs="Times New Roman"/>
                <w:bCs/>
                <w:sz w:val="28"/>
                <w:szCs w:val="28"/>
              </w:rPr>
            </w:pPr>
            <w:r w:rsidRPr="00DB349B">
              <w:rPr>
                <w:rFonts w:ascii="Times New Roman" w:eastAsia="Times New Roman" w:hAnsi="Times New Roman" w:cs="Times New Roman"/>
                <w:bCs/>
                <w:sz w:val="28"/>
                <w:szCs w:val="28"/>
              </w:rPr>
              <w:t>NLP (Natural Language Processing)</w:t>
            </w:r>
          </w:p>
        </w:tc>
        <w:tc>
          <w:tcPr>
            <w:tcW w:w="3542" w:type="dxa"/>
            <w:vAlign w:val="center"/>
          </w:tcPr>
          <w:p w14:paraId="7C9B19A2"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Методы анализа текстов — отчетов, новостей, пресс-релизов</w:t>
            </w:r>
          </w:p>
        </w:tc>
        <w:tc>
          <w:tcPr>
            <w:tcW w:w="3883" w:type="dxa"/>
            <w:vAlign w:val="center"/>
          </w:tcPr>
          <w:p w14:paraId="653350D0" w14:textId="77777777" w:rsidR="00EA4635" w:rsidRPr="00DB349B" w:rsidRDefault="00EA4635" w:rsidP="00EB1CB9">
            <w:pPr>
              <w:spacing w:after="0" w:line="240" w:lineRule="auto"/>
              <w:jc w:val="both"/>
              <w:rPr>
                <w:rFonts w:ascii="Times New Roman" w:eastAsia="Times New Roman" w:hAnsi="Times New Roman" w:cs="Times New Roman"/>
                <w:sz w:val="28"/>
                <w:szCs w:val="28"/>
              </w:rPr>
            </w:pPr>
            <w:r w:rsidRPr="00DB349B">
              <w:rPr>
                <w:rFonts w:ascii="Times New Roman" w:eastAsia="Times New Roman" w:hAnsi="Times New Roman" w:cs="Times New Roman"/>
                <w:sz w:val="28"/>
                <w:szCs w:val="28"/>
              </w:rPr>
              <w:t>Идентифицирует текстовые сигналы риска: слова вроде "суд", "реструктуризация", "дефолт"</w:t>
            </w:r>
          </w:p>
        </w:tc>
      </w:tr>
    </w:tbl>
    <w:p w14:paraId="0D50FE24" w14:textId="77777777" w:rsidR="00EA4635" w:rsidRPr="001D3CDE" w:rsidRDefault="00EA4635" w:rsidP="00EA4635">
      <w:pPr>
        <w:spacing w:after="0" w:line="279" w:lineRule="auto"/>
        <w:jc w:val="center"/>
        <w:rPr>
          <w:rFonts w:ascii="Times New Roman" w:eastAsia="Times New Roman" w:hAnsi="Times New Roman" w:cs="Times New Roman"/>
          <w:sz w:val="24"/>
          <w:szCs w:val="24"/>
        </w:rPr>
      </w:pPr>
    </w:p>
    <w:p w14:paraId="77326359" w14:textId="725F8A87" w:rsidR="00EA4635" w:rsidRPr="001D3CDE" w:rsidRDefault="00EA4635" w:rsidP="00DB349B">
      <w:pPr>
        <w:spacing w:after="0" w:line="240" w:lineRule="auto"/>
        <w:ind w:firstLine="709"/>
        <w:contextualSpacing/>
        <w:jc w:val="both"/>
        <w:rPr>
          <w:rFonts w:ascii="Times New Roman" w:eastAsia="Times New Roman" w:hAnsi="Times New Roman" w:cs="Times New Roman"/>
          <w:sz w:val="32"/>
          <w:szCs w:val="32"/>
        </w:rPr>
      </w:pPr>
      <w:r w:rsidRPr="001D3CDE">
        <w:rPr>
          <w:rFonts w:ascii="Times New Roman" w:eastAsia="Times New Roman" w:hAnsi="Times New Roman" w:cs="Times New Roman"/>
          <w:sz w:val="24"/>
          <w:szCs w:val="24"/>
        </w:rPr>
        <w:t xml:space="preserve"> </w:t>
      </w:r>
      <w:r w:rsidRPr="001D3CDE">
        <w:rPr>
          <w:rFonts w:ascii="Times New Roman" w:eastAsia="Times New Roman" w:hAnsi="Times New Roman" w:cs="Times New Roman"/>
          <w:sz w:val="32"/>
          <w:szCs w:val="32"/>
        </w:rPr>
        <w:t xml:space="preserve">В последнее время актуальными являются работы, в которых рассматривается искусственный интеллект на основе нейронных технологий для оценки риска банкротства. Модели на нейронных сетях имеют ряд преимуществ по сравнению с другими моделями, так </w:t>
      </w:r>
      <w:r w:rsidRPr="001D3CDE">
        <w:rPr>
          <w:rFonts w:ascii="Times New Roman" w:eastAsia="Times New Roman" w:hAnsi="Times New Roman" w:cs="Times New Roman"/>
          <w:sz w:val="32"/>
          <w:szCs w:val="32"/>
        </w:rPr>
        <w:lastRenderedPageBreak/>
        <w:t>как точность прогноза с их помощью оценивается в окрестности 95,7 %, тогда как другие модели показали несколько худший результат: Случайный лес — 90, 69%, Логическая регрессия — 82,26% [4]</w:t>
      </w:r>
      <w:r w:rsidR="00DB349B">
        <w:rPr>
          <w:rFonts w:ascii="Times New Roman" w:eastAsia="Times New Roman" w:hAnsi="Times New Roman" w:cs="Times New Roman"/>
          <w:sz w:val="32"/>
          <w:szCs w:val="32"/>
        </w:rPr>
        <w:t>.</w:t>
      </w:r>
    </w:p>
    <w:p w14:paraId="631A36FB" w14:textId="77777777" w:rsidR="00EA4635" w:rsidRPr="001D3CDE" w:rsidRDefault="00EA4635" w:rsidP="00DB349B">
      <w:pPr>
        <w:spacing w:after="0" w:line="240" w:lineRule="auto"/>
        <w:ind w:firstLine="709"/>
        <w:contextualSpacing/>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Искусственный интеллект позволяет проводить анализ финансовых показателей, строить различные модели, при этом учитывать отраслевую особенность предприятия, прогнозировать риски и, самое главное, интерпретировать результаты анализов и предоставлять рекомендации.</w:t>
      </w:r>
    </w:p>
    <w:p w14:paraId="7FBC1984" w14:textId="30F98BB7" w:rsidR="00EA4635" w:rsidRPr="001D3CDE" w:rsidRDefault="00EA4635" w:rsidP="00DB349B">
      <w:pPr>
        <w:spacing w:after="0" w:line="240" w:lineRule="auto"/>
        <w:ind w:firstLine="709"/>
        <w:contextualSpacing/>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Однако, несмотря на свои преимущества, применение искусственного интеллекта в прогнозировании банкротства связано с рядом трудностей. Прежде всего, точность прогнозов напрямую зависит от качества используемых данных. Во-вторых, интерпретация результатов может вызывать сложности, так как некоторые модели выдают неоднозначные оценки. В-третьих, эффективное использование методов обучения требует специализированных знаний в области статистики, эконометрики и ИИ [3]</w:t>
      </w:r>
      <w:r w:rsidR="00DB349B">
        <w:rPr>
          <w:rFonts w:ascii="Times New Roman" w:eastAsia="Times New Roman" w:hAnsi="Times New Roman" w:cs="Times New Roman"/>
          <w:sz w:val="32"/>
          <w:szCs w:val="32"/>
        </w:rPr>
        <w:t>.</w:t>
      </w:r>
    </w:p>
    <w:p w14:paraId="6E2BD117" w14:textId="77777777" w:rsidR="00EA4635" w:rsidRPr="001D3CDE" w:rsidRDefault="00EA4635" w:rsidP="00DB349B">
      <w:pPr>
        <w:spacing w:after="0" w:line="240" w:lineRule="auto"/>
        <w:ind w:firstLine="709"/>
        <w:contextualSpacing/>
        <w:jc w:val="both"/>
        <w:rPr>
          <w:rFonts w:ascii="Times New Roman" w:eastAsia="Times New Roman" w:hAnsi="Times New Roman" w:cs="Times New Roman"/>
          <w:sz w:val="32"/>
          <w:szCs w:val="32"/>
        </w:rPr>
      </w:pPr>
      <w:r w:rsidRPr="001D3CDE">
        <w:rPr>
          <w:rFonts w:ascii="Times New Roman" w:eastAsia="Times New Roman" w:hAnsi="Times New Roman" w:cs="Times New Roman"/>
          <w:sz w:val="32"/>
          <w:szCs w:val="32"/>
        </w:rPr>
        <w:t>Использование искусственного интеллекта, включая машинное обучение и нейронные сети, позволяет значительно повысить точность прогнозирования за счет обработки больших объемов данных, выявления скрытых закономерностей и адаптации к изменяющимся экономическим условиям.</w:t>
      </w:r>
    </w:p>
    <w:p w14:paraId="22014E2D" w14:textId="77777777" w:rsidR="00EA4635" w:rsidRPr="00C70FBA" w:rsidRDefault="00EA4635" w:rsidP="00DB349B">
      <w:pPr>
        <w:spacing w:after="0" w:line="240" w:lineRule="auto"/>
        <w:ind w:firstLine="709"/>
        <w:contextualSpacing/>
        <w:jc w:val="both"/>
        <w:rPr>
          <w:rFonts w:ascii="Times New Roman" w:eastAsia="Times New Roman" w:hAnsi="Times New Roman" w:cs="Times New Roman"/>
          <w:sz w:val="24"/>
          <w:szCs w:val="24"/>
        </w:rPr>
      </w:pPr>
      <w:r w:rsidRPr="001D3CDE">
        <w:rPr>
          <w:rFonts w:ascii="Times New Roman" w:eastAsia="Times New Roman" w:hAnsi="Times New Roman" w:cs="Times New Roman"/>
          <w:sz w:val="32"/>
          <w:szCs w:val="32"/>
        </w:rPr>
        <w:t>Применение ИИ в экономическом анализе не только ускоряет процесс оценки рисков, но и минимизирует субъективность принятия решений. Однако внедрение таких технологий требует качественных данных, соответствующей инфраструктуры и компетенций аналитиков.</w:t>
      </w:r>
    </w:p>
    <w:p w14:paraId="2720E0B4" w14:textId="77777777" w:rsidR="00EA4635" w:rsidRDefault="00EA4635" w:rsidP="00EA4635">
      <w:pPr>
        <w:spacing w:after="0" w:line="279" w:lineRule="auto"/>
        <w:jc w:val="center"/>
        <w:rPr>
          <w:rFonts w:ascii="Times New Roman" w:eastAsia="Segoe UI" w:hAnsi="Times New Roman" w:cs="Times New Roman"/>
          <w:b/>
          <w:bCs/>
          <w:color w:val="000000"/>
          <w:sz w:val="21"/>
          <w:szCs w:val="21"/>
          <w:shd w:val="clear" w:color="auto" w:fill="FFFFFF"/>
        </w:rPr>
      </w:pPr>
    </w:p>
    <w:p w14:paraId="33591064" w14:textId="77777777" w:rsidR="00EA4635" w:rsidRPr="001D3CDE" w:rsidRDefault="00EA4635" w:rsidP="00EA4635">
      <w:pPr>
        <w:spacing w:after="0" w:line="279" w:lineRule="auto"/>
        <w:jc w:val="center"/>
        <w:rPr>
          <w:rFonts w:ascii="Times New Roman" w:eastAsia="Segoe UI" w:hAnsi="Times New Roman" w:cs="Times New Roman"/>
          <w:b/>
          <w:bCs/>
          <w:color w:val="000000"/>
          <w:sz w:val="21"/>
          <w:szCs w:val="21"/>
          <w:shd w:val="clear" w:color="auto" w:fill="FFFFFF"/>
        </w:rPr>
      </w:pPr>
      <w:r w:rsidRPr="001D3CDE">
        <w:rPr>
          <w:rFonts w:ascii="Times New Roman" w:eastAsia="Segoe UI" w:hAnsi="Times New Roman" w:cs="Times New Roman"/>
          <w:b/>
          <w:bCs/>
          <w:color w:val="000000"/>
          <w:sz w:val="21"/>
          <w:szCs w:val="21"/>
          <w:shd w:val="clear" w:color="auto" w:fill="FFFFFF"/>
        </w:rPr>
        <w:t>Литература:</w:t>
      </w:r>
    </w:p>
    <w:p w14:paraId="7AD68C3D" w14:textId="77777777" w:rsidR="00EA4635" w:rsidRPr="001D3CDE" w:rsidRDefault="00EA4635" w:rsidP="00AD58CD">
      <w:pPr>
        <w:numPr>
          <w:ilvl w:val="0"/>
          <w:numId w:val="142"/>
        </w:numPr>
        <w:spacing w:after="0" w:line="240" w:lineRule="auto"/>
        <w:jc w:val="both"/>
        <w:textAlignment w:val="baseline"/>
        <w:rPr>
          <w:rFonts w:ascii="Times New Roman" w:eastAsia="Segoe UI" w:hAnsi="Times New Roman" w:cs="Times New Roman"/>
          <w:color w:val="000000"/>
          <w:sz w:val="21"/>
          <w:szCs w:val="21"/>
          <w:shd w:val="clear" w:color="auto" w:fill="FFFFFF"/>
        </w:rPr>
      </w:pPr>
      <w:r w:rsidRPr="001D3CDE">
        <w:rPr>
          <w:rFonts w:ascii="Times New Roman" w:eastAsia="Segoe UI" w:hAnsi="Times New Roman" w:cs="Times New Roman"/>
          <w:color w:val="000000"/>
          <w:sz w:val="21"/>
          <w:szCs w:val="21"/>
          <w:shd w:val="clear" w:color="auto" w:fill="FFFFFF"/>
          <w:lang w:val="ru"/>
        </w:rPr>
        <w:t xml:space="preserve">Бутко П. В. ИСПОЛЬЗОВАНИЕ ИСКУСТВЕННОГО ИНТЕЛЛЕКТА (ИИ) ПРИ АНАЛИЗЕ БАНКРОТСТВА КОММЕРЧЕСКИХ ОРГАНИЗАЦИЙ // </w:t>
      </w:r>
      <w:proofErr w:type="gramStart"/>
      <w:r w:rsidRPr="001D3CDE">
        <w:rPr>
          <w:rFonts w:ascii="Times New Roman" w:eastAsia="Segoe UI" w:hAnsi="Times New Roman" w:cs="Times New Roman"/>
          <w:color w:val="000000"/>
          <w:sz w:val="21"/>
          <w:szCs w:val="21"/>
          <w:shd w:val="clear" w:color="auto" w:fill="FFFFFF"/>
          <w:lang w:val="ru"/>
        </w:rPr>
        <w:t>наука И</w:t>
      </w:r>
      <w:proofErr w:type="gramEnd"/>
      <w:r w:rsidRPr="001D3CDE">
        <w:rPr>
          <w:rFonts w:ascii="Times New Roman" w:eastAsia="Segoe UI" w:hAnsi="Times New Roman" w:cs="Times New Roman"/>
          <w:color w:val="000000"/>
          <w:sz w:val="21"/>
          <w:szCs w:val="21"/>
          <w:shd w:val="clear" w:color="auto" w:fill="FFFFFF"/>
          <w:lang w:val="ru"/>
        </w:rPr>
        <w:t xml:space="preserve"> мир. 2024. №. 1. С. 16-20. DOI: </w:t>
      </w:r>
      <w:hyperlink r:id="rId96" w:tgtFrame="https://word-edit.officeapps.live.com/we/_blank" w:history="1">
        <w:r w:rsidRPr="001D3CDE">
          <w:rPr>
            <w:rFonts w:ascii="Times New Roman" w:eastAsia="Segoe UI" w:hAnsi="Times New Roman" w:cs="Times New Roman"/>
            <w:color w:val="000000"/>
            <w:sz w:val="21"/>
            <w:szCs w:val="21"/>
            <w:shd w:val="clear" w:color="auto" w:fill="FFFFFF"/>
            <w:lang w:val="ru"/>
          </w:rPr>
          <w:t>https://doi.Org/10.26526/2307-9401-2024-1-16-20</w:t>
        </w:r>
      </w:hyperlink>
      <w:r w:rsidRPr="001D3CDE">
        <w:rPr>
          <w:rFonts w:ascii="Times New Roman" w:eastAsia="sans-serif" w:hAnsi="Times New Roman" w:cs="Times New Roman"/>
          <w:color w:val="000000"/>
          <w:sz w:val="21"/>
          <w:szCs w:val="21"/>
          <w:shd w:val="clear" w:color="auto" w:fill="FFFFFF"/>
          <w:lang w:val="ru"/>
        </w:rPr>
        <w:t> </w:t>
      </w:r>
    </w:p>
    <w:p w14:paraId="13CEFE0B" w14:textId="77777777" w:rsidR="00EA4635" w:rsidRPr="001D3CDE" w:rsidRDefault="00EA4635" w:rsidP="00AD58CD">
      <w:pPr>
        <w:numPr>
          <w:ilvl w:val="0"/>
          <w:numId w:val="142"/>
        </w:numPr>
        <w:spacing w:after="0" w:line="240" w:lineRule="auto"/>
        <w:jc w:val="both"/>
        <w:textAlignment w:val="baseline"/>
        <w:rPr>
          <w:rFonts w:ascii="Times New Roman" w:eastAsia="Segoe UI" w:hAnsi="Times New Roman" w:cs="Times New Roman"/>
          <w:color w:val="000000"/>
          <w:sz w:val="21"/>
          <w:szCs w:val="21"/>
          <w:shd w:val="clear" w:color="auto" w:fill="FFFFFF"/>
          <w:lang w:val="en-US"/>
        </w:rPr>
      </w:pPr>
      <w:r w:rsidRPr="001D3CDE">
        <w:rPr>
          <w:rFonts w:ascii="Times New Roman" w:eastAsia="Segoe UI" w:hAnsi="Times New Roman" w:cs="Times New Roman"/>
          <w:color w:val="000000"/>
          <w:sz w:val="21"/>
          <w:szCs w:val="21"/>
          <w:shd w:val="clear" w:color="auto" w:fill="FFFFFF"/>
        </w:rPr>
        <w:t xml:space="preserve">Апатова Наталья Владимировна, Попов Виталий Борисович ПРОГНОЗИРОВАНИЯ БАНКРОТСТВА ПРЕДПРИЯТИЙ С ИСПОЛЬЗОВАНИЕМ ИСКУССТВЕННОГО ИНТЕЛЛЕКТА // Научный вестник: финансы, банки, инвестиции. </w:t>
      </w:r>
      <w:r w:rsidRPr="00656AA8">
        <w:rPr>
          <w:rFonts w:ascii="Times New Roman" w:eastAsia="Segoe UI" w:hAnsi="Times New Roman" w:cs="Times New Roman"/>
          <w:color w:val="000000"/>
          <w:sz w:val="21"/>
          <w:szCs w:val="21"/>
          <w:shd w:val="clear" w:color="auto" w:fill="FFFFFF"/>
          <w:lang w:val="en-US"/>
        </w:rPr>
        <w:t xml:space="preserve">2020. №2 (51). </w:t>
      </w:r>
      <w:r w:rsidRPr="001D3CDE">
        <w:rPr>
          <w:rFonts w:ascii="Times New Roman" w:eastAsia="Segoe UI" w:hAnsi="Times New Roman" w:cs="Times New Roman"/>
          <w:color w:val="000000"/>
          <w:sz w:val="21"/>
          <w:szCs w:val="21"/>
          <w:shd w:val="clear" w:color="auto" w:fill="FFFFFF"/>
          <w:lang w:val="en-US"/>
        </w:rPr>
        <w:t xml:space="preserve">URL: </w:t>
      </w:r>
      <w:hyperlink r:id="rId97" w:history="1">
        <w:r w:rsidRPr="001D3CDE">
          <w:rPr>
            <w:rFonts w:ascii="Times New Roman" w:eastAsia="Segoe UI" w:hAnsi="Times New Roman" w:cs="Times New Roman"/>
            <w:color w:val="000000"/>
            <w:sz w:val="21"/>
            <w:szCs w:val="21"/>
            <w:shd w:val="clear" w:color="auto" w:fill="FFFFFF"/>
            <w:lang w:val="en-US"/>
          </w:rPr>
          <w:t>https://cyberleninka.ru/article/n/prognozirovaniya-bankrotstva-predpriyatiy-s-ispolzovaniem-iskusstvennogo-intellekta</w:t>
        </w:r>
      </w:hyperlink>
      <w:r w:rsidRPr="001D3CDE">
        <w:rPr>
          <w:rFonts w:ascii="Times New Roman" w:eastAsia="Segoe UI" w:hAnsi="Times New Roman" w:cs="Times New Roman"/>
          <w:color w:val="000000"/>
          <w:sz w:val="21"/>
          <w:szCs w:val="21"/>
          <w:shd w:val="clear" w:color="auto" w:fill="FFFFFF"/>
          <w:lang w:val="en-US"/>
        </w:rPr>
        <w:t>.</w:t>
      </w:r>
    </w:p>
    <w:p w14:paraId="06F4A578" w14:textId="77777777" w:rsidR="00EA4635" w:rsidRPr="001D3CDE" w:rsidRDefault="00EA4635" w:rsidP="00AD58CD">
      <w:pPr>
        <w:numPr>
          <w:ilvl w:val="0"/>
          <w:numId w:val="142"/>
        </w:numPr>
        <w:spacing w:after="0" w:line="240" w:lineRule="auto"/>
        <w:jc w:val="both"/>
        <w:textAlignment w:val="baseline"/>
        <w:rPr>
          <w:rFonts w:ascii="Times New Roman" w:eastAsia="Segoe UI" w:hAnsi="Times New Roman" w:cs="Times New Roman"/>
          <w:color w:val="000000"/>
          <w:sz w:val="21"/>
          <w:szCs w:val="21"/>
          <w:shd w:val="clear" w:color="auto" w:fill="FFFFFF"/>
        </w:rPr>
      </w:pPr>
      <w:r w:rsidRPr="001D3CDE">
        <w:rPr>
          <w:rFonts w:ascii="Times New Roman" w:eastAsia="Segoe UI" w:hAnsi="Times New Roman" w:cs="Times New Roman"/>
          <w:color w:val="000000"/>
          <w:sz w:val="21"/>
          <w:szCs w:val="21"/>
          <w:shd w:val="clear" w:color="auto" w:fill="FFFFFF"/>
        </w:rPr>
        <w:t xml:space="preserve">Бойкова Т. К. Использование машинного обучения для прогнозирования банкротства предприятий // Актуальные исследования. 2024. №12 (194). Ч.II. С. 35-37. URL: </w:t>
      </w:r>
      <w:hyperlink r:id="rId98" w:history="1">
        <w:r w:rsidRPr="001D3CDE">
          <w:rPr>
            <w:rFonts w:ascii="Times New Roman" w:eastAsia="Segoe UI" w:hAnsi="Times New Roman" w:cs="Times New Roman"/>
            <w:color w:val="000000"/>
            <w:sz w:val="21"/>
            <w:szCs w:val="21"/>
            <w:shd w:val="clear" w:color="auto" w:fill="FFFFFF"/>
          </w:rPr>
          <w:t>https://apni.ru/article/8816-ispolzovanie-mashinnogo-obucheniya-dlya-progn</w:t>
        </w:r>
      </w:hyperlink>
    </w:p>
    <w:p w14:paraId="727CAC48" w14:textId="4F91FB12" w:rsidR="00DB349B" w:rsidRDefault="00EA4635" w:rsidP="00AD58CD">
      <w:pPr>
        <w:numPr>
          <w:ilvl w:val="0"/>
          <w:numId w:val="142"/>
        </w:numPr>
        <w:spacing w:after="0" w:line="240" w:lineRule="auto"/>
        <w:jc w:val="both"/>
        <w:rPr>
          <w:rFonts w:ascii="Times New Roman" w:eastAsia="Segoe UI" w:hAnsi="Times New Roman" w:cs="Times New Roman"/>
          <w:color w:val="000000"/>
          <w:sz w:val="21"/>
          <w:szCs w:val="21"/>
          <w:shd w:val="clear" w:color="auto" w:fill="FFFFFF"/>
          <w:lang w:val="en-US"/>
        </w:rPr>
      </w:pPr>
      <w:r w:rsidRPr="001D3CDE">
        <w:rPr>
          <w:rFonts w:ascii="Times New Roman" w:eastAsia="Segoe UI" w:hAnsi="Times New Roman" w:cs="Times New Roman"/>
          <w:color w:val="000000"/>
          <w:sz w:val="21"/>
          <w:szCs w:val="21"/>
          <w:shd w:val="clear" w:color="auto" w:fill="FFFFFF"/>
        </w:rPr>
        <w:t xml:space="preserve">Иванькова Светлана Сергеевна ОЦЕНКА И АНАЛИЗ РИСКА БАНКРОТСТВА С ИСПОЛЬЗОВАНИЕМ DECISION TREE МОДЕЛИ МАШИННОГО ОБУЧЕНИЯ // Интерактивная наука. </w:t>
      </w:r>
      <w:r w:rsidRPr="001D3CDE">
        <w:rPr>
          <w:rFonts w:ascii="Times New Roman" w:eastAsia="Segoe UI" w:hAnsi="Times New Roman" w:cs="Times New Roman"/>
          <w:color w:val="000000"/>
          <w:sz w:val="21"/>
          <w:szCs w:val="21"/>
          <w:shd w:val="clear" w:color="auto" w:fill="FFFFFF"/>
          <w:lang w:val="en-US"/>
        </w:rPr>
        <w:t xml:space="preserve">2022. №2 (67). URL: </w:t>
      </w:r>
      <w:hyperlink r:id="rId99" w:history="1">
        <w:r w:rsidR="00DB349B" w:rsidRPr="00DB349B">
          <w:rPr>
            <w:rStyle w:val="aa"/>
            <w:rFonts w:ascii="Times New Roman" w:eastAsia="Segoe UI" w:hAnsi="Times New Roman" w:cs="Times New Roman"/>
            <w:color w:val="auto"/>
            <w:sz w:val="21"/>
            <w:szCs w:val="21"/>
            <w:u w:val="none"/>
            <w:shd w:val="clear" w:color="auto" w:fill="FFFFFF"/>
            <w:lang w:val="en-US"/>
          </w:rPr>
          <w:t>https://cyberleninka.ru/article/n/otsenka-i-analiz-riska-bankrotstva-s-ispolzovaniem-decision-tree-modeli-mashinnogo-obucheniya</w:t>
        </w:r>
      </w:hyperlink>
    </w:p>
    <w:p w14:paraId="6160E745" w14:textId="77777777" w:rsidR="00DB349B" w:rsidRDefault="00DB349B">
      <w:pPr>
        <w:rPr>
          <w:rFonts w:ascii="Times New Roman" w:eastAsia="Segoe UI" w:hAnsi="Times New Roman" w:cs="Times New Roman"/>
          <w:color w:val="000000"/>
          <w:sz w:val="21"/>
          <w:szCs w:val="21"/>
          <w:shd w:val="clear" w:color="auto" w:fill="FFFFFF"/>
          <w:lang w:val="en-US"/>
        </w:rPr>
      </w:pPr>
      <w:r>
        <w:rPr>
          <w:rFonts w:ascii="Times New Roman" w:eastAsia="Segoe UI" w:hAnsi="Times New Roman" w:cs="Times New Roman"/>
          <w:color w:val="000000"/>
          <w:sz w:val="21"/>
          <w:szCs w:val="21"/>
          <w:shd w:val="clear" w:color="auto" w:fill="FFFFFF"/>
          <w:lang w:val="en-US"/>
        </w:rPr>
        <w:br w:type="page"/>
      </w:r>
    </w:p>
    <w:p w14:paraId="3A1EF143" w14:textId="77777777" w:rsidR="00EA4635" w:rsidRPr="00692C43" w:rsidRDefault="00EA4635" w:rsidP="00EA4635">
      <w:pPr>
        <w:tabs>
          <w:tab w:val="right" w:pos="9638"/>
        </w:tabs>
        <w:spacing w:after="0" w:line="240" w:lineRule="auto"/>
        <w:rPr>
          <w:rFonts w:ascii="Times New Roman" w:hAnsi="Times New Roman" w:cs="Times New Roman"/>
          <w:b/>
          <w:i/>
          <w:sz w:val="21"/>
          <w:szCs w:val="21"/>
          <w:lang w:eastAsia="ru-RU"/>
        </w:rPr>
      </w:pPr>
      <w:r w:rsidRPr="00692C43">
        <w:rPr>
          <w:rFonts w:ascii="Times New Roman" w:hAnsi="Times New Roman" w:cs="Times New Roman"/>
          <w:b/>
          <w:sz w:val="21"/>
          <w:szCs w:val="21"/>
          <w:lang w:eastAsia="ru-RU"/>
        </w:rPr>
        <w:lastRenderedPageBreak/>
        <w:t>УДК 336.14</w:t>
      </w:r>
      <w:r w:rsidRPr="00692C43">
        <w:rPr>
          <w:rFonts w:ascii="Times New Roman" w:hAnsi="Times New Roman" w:cs="Times New Roman"/>
          <w:sz w:val="21"/>
          <w:szCs w:val="21"/>
          <w:lang w:eastAsia="ru-RU"/>
        </w:rPr>
        <w:tab/>
      </w:r>
      <w:r w:rsidRPr="00692C43">
        <w:rPr>
          <w:rFonts w:ascii="Times New Roman" w:hAnsi="Times New Roman" w:cs="Times New Roman"/>
          <w:b/>
          <w:i/>
          <w:sz w:val="21"/>
          <w:szCs w:val="21"/>
          <w:lang w:eastAsia="ru-RU"/>
        </w:rPr>
        <w:t>Микаелян М.Г.,</w:t>
      </w:r>
    </w:p>
    <w:p w14:paraId="501A5CDF"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r w:rsidRPr="00692C43">
        <w:rPr>
          <w:rFonts w:ascii="Times New Roman" w:hAnsi="Times New Roman" w:cs="Times New Roman"/>
          <w:i/>
          <w:sz w:val="21"/>
          <w:szCs w:val="21"/>
          <w:lang w:eastAsia="ru-RU"/>
        </w:rPr>
        <w:t>студент 1 курса</w:t>
      </w:r>
    </w:p>
    <w:p w14:paraId="1E69C66F" w14:textId="77777777" w:rsidR="00EA4635" w:rsidRDefault="00EA4635" w:rsidP="00EA463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AEE479F"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r w:rsidRPr="00692C43">
        <w:rPr>
          <w:rFonts w:ascii="Times New Roman" w:hAnsi="Times New Roman" w:cs="Times New Roman"/>
          <w:i/>
          <w:sz w:val="21"/>
          <w:szCs w:val="21"/>
          <w:lang w:eastAsia="ru-RU"/>
        </w:rPr>
        <w:t>г. Краснодар, Россия</w:t>
      </w:r>
    </w:p>
    <w:p w14:paraId="023E7A8E" w14:textId="77777777" w:rsidR="00EA4635" w:rsidRDefault="00EA4635" w:rsidP="00EA4635">
      <w:pPr>
        <w:spacing w:after="0" w:line="240" w:lineRule="auto"/>
        <w:jc w:val="right"/>
        <w:rPr>
          <w:rFonts w:ascii="Times New Roman" w:hAnsi="Times New Roman" w:cs="Times New Roman"/>
          <w:i/>
          <w:sz w:val="21"/>
          <w:szCs w:val="21"/>
          <w:u w:val="single"/>
          <w:lang w:eastAsia="ru-RU"/>
        </w:rPr>
      </w:pPr>
      <w:r w:rsidRPr="00692C43">
        <w:rPr>
          <w:rFonts w:ascii="Times New Roman" w:hAnsi="Times New Roman" w:cs="Times New Roman"/>
          <w:i/>
          <w:sz w:val="21"/>
          <w:szCs w:val="21"/>
          <w:lang w:val="en-US" w:eastAsia="ru-RU"/>
        </w:rPr>
        <w:t>E</w:t>
      </w:r>
      <w:r w:rsidRPr="00692C43">
        <w:rPr>
          <w:rFonts w:ascii="Times New Roman" w:hAnsi="Times New Roman" w:cs="Times New Roman"/>
          <w:i/>
          <w:sz w:val="21"/>
          <w:szCs w:val="21"/>
          <w:lang w:eastAsia="ru-RU"/>
        </w:rPr>
        <w:t>-</w:t>
      </w:r>
      <w:r w:rsidRPr="00692C43">
        <w:rPr>
          <w:rFonts w:ascii="Times New Roman" w:hAnsi="Times New Roman" w:cs="Times New Roman"/>
          <w:i/>
          <w:sz w:val="21"/>
          <w:szCs w:val="21"/>
          <w:lang w:val="en-US" w:eastAsia="ru-RU"/>
        </w:rPr>
        <w:t>mail</w:t>
      </w:r>
      <w:r w:rsidRPr="00692C43">
        <w:rPr>
          <w:rFonts w:ascii="Times New Roman" w:hAnsi="Times New Roman" w:cs="Times New Roman"/>
          <w:i/>
          <w:sz w:val="21"/>
          <w:szCs w:val="21"/>
          <w:lang w:eastAsia="ru-RU"/>
        </w:rPr>
        <w:t xml:space="preserve">: </w:t>
      </w:r>
      <w:r w:rsidRPr="00692C43">
        <w:rPr>
          <w:rFonts w:ascii="Times New Roman" w:hAnsi="Times New Roman" w:cs="Times New Roman"/>
          <w:i/>
          <w:sz w:val="21"/>
          <w:szCs w:val="21"/>
          <w:u w:val="single"/>
          <w:lang w:val="en-US" w:eastAsia="ru-RU"/>
        </w:rPr>
        <w:t>mariam</w:t>
      </w:r>
      <w:r w:rsidRPr="00692C43">
        <w:rPr>
          <w:rFonts w:ascii="Times New Roman" w:hAnsi="Times New Roman" w:cs="Times New Roman"/>
          <w:i/>
          <w:sz w:val="21"/>
          <w:szCs w:val="21"/>
          <w:u w:val="single"/>
          <w:lang w:eastAsia="ru-RU"/>
        </w:rPr>
        <w:t>.</w:t>
      </w:r>
      <w:r w:rsidRPr="00692C43">
        <w:rPr>
          <w:rFonts w:ascii="Times New Roman" w:hAnsi="Times New Roman" w:cs="Times New Roman"/>
          <w:i/>
          <w:sz w:val="21"/>
          <w:szCs w:val="21"/>
          <w:u w:val="single"/>
          <w:lang w:val="en-US" w:eastAsia="ru-RU"/>
        </w:rPr>
        <w:t>mikaelyan</w:t>
      </w:r>
      <w:r w:rsidRPr="00692C43">
        <w:rPr>
          <w:rFonts w:ascii="Times New Roman" w:hAnsi="Times New Roman" w:cs="Times New Roman"/>
          <w:i/>
          <w:sz w:val="21"/>
          <w:szCs w:val="21"/>
          <w:u w:val="single"/>
          <w:lang w:eastAsia="ru-RU"/>
        </w:rPr>
        <w:t>.05@</w:t>
      </w:r>
      <w:r w:rsidRPr="00692C43">
        <w:rPr>
          <w:rFonts w:ascii="Times New Roman" w:hAnsi="Times New Roman" w:cs="Times New Roman"/>
          <w:i/>
          <w:sz w:val="21"/>
          <w:szCs w:val="21"/>
          <w:u w:val="single"/>
          <w:lang w:val="en-US" w:eastAsia="ru-RU"/>
        </w:rPr>
        <w:t>mail</w:t>
      </w:r>
      <w:r w:rsidRPr="00692C43">
        <w:rPr>
          <w:rFonts w:ascii="Times New Roman" w:hAnsi="Times New Roman" w:cs="Times New Roman"/>
          <w:i/>
          <w:sz w:val="21"/>
          <w:szCs w:val="21"/>
          <w:u w:val="single"/>
          <w:lang w:eastAsia="ru-RU"/>
        </w:rPr>
        <w:t>.</w:t>
      </w:r>
      <w:r w:rsidRPr="00692C43">
        <w:rPr>
          <w:rFonts w:ascii="Times New Roman" w:hAnsi="Times New Roman" w:cs="Times New Roman"/>
          <w:i/>
          <w:sz w:val="21"/>
          <w:szCs w:val="21"/>
          <w:u w:val="single"/>
          <w:lang w:val="en-US" w:eastAsia="ru-RU"/>
        </w:rPr>
        <w:t>ru</w:t>
      </w:r>
      <w:r w:rsidRPr="00692C43">
        <w:rPr>
          <w:rFonts w:ascii="Times New Roman" w:hAnsi="Times New Roman" w:cs="Times New Roman"/>
          <w:i/>
          <w:sz w:val="21"/>
          <w:szCs w:val="21"/>
          <w:u w:val="single"/>
          <w:lang w:eastAsia="ru-RU"/>
        </w:rPr>
        <w:t xml:space="preserve"> </w:t>
      </w:r>
    </w:p>
    <w:p w14:paraId="31F03A42" w14:textId="77777777" w:rsidR="00EA4635" w:rsidRPr="00692C43" w:rsidRDefault="00EA4635" w:rsidP="00EA4635">
      <w:pPr>
        <w:spacing w:after="0" w:line="240" w:lineRule="auto"/>
        <w:jc w:val="right"/>
        <w:rPr>
          <w:rFonts w:ascii="Times New Roman" w:hAnsi="Times New Roman" w:cs="Times New Roman"/>
          <w:i/>
          <w:sz w:val="21"/>
          <w:szCs w:val="21"/>
          <w:u w:val="single"/>
          <w:lang w:eastAsia="ru-RU"/>
        </w:rPr>
      </w:pPr>
    </w:p>
    <w:p w14:paraId="67F7B0F2" w14:textId="77777777" w:rsidR="00EA4635" w:rsidRPr="00692C43" w:rsidRDefault="00EA4635" w:rsidP="00EA4635">
      <w:pPr>
        <w:spacing w:after="0" w:line="240" w:lineRule="auto"/>
        <w:jc w:val="right"/>
        <w:rPr>
          <w:rFonts w:ascii="Times New Roman" w:hAnsi="Times New Roman" w:cs="Times New Roman"/>
          <w:b/>
          <w:i/>
          <w:sz w:val="21"/>
          <w:szCs w:val="21"/>
          <w:lang w:eastAsia="ru-RU"/>
        </w:rPr>
      </w:pPr>
      <w:r w:rsidRPr="00692C43">
        <w:rPr>
          <w:rFonts w:ascii="Times New Roman" w:hAnsi="Times New Roman" w:cs="Times New Roman"/>
          <w:b/>
          <w:i/>
          <w:sz w:val="21"/>
          <w:szCs w:val="21"/>
          <w:lang w:eastAsia="ru-RU"/>
        </w:rPr>
        <w:t>Научный руководитель:</w:t>
      </w:r>
    </w:p>
    <w:p w14:paraId="244C22E3" w14:textId="77777777" w:rsidR="00EA4635" w:rsidRPr="00692C43" w:rsidRDefault="00EA4635" w:rsidP="00EA4635">
      <w:pPr>
        <w:spacing w:after="0" w:line="240" w:lineRule="auto"/>
        <w:jc w:val="right"/>
        <w:rPr>
          <w:rFonts w:ascii="Times New Roman" w:hAnsi="Times New Roman" w:cs="Times New Roman"/>
          <w:b/>
          <w:i/>
          <w:sz w:val="21"/>
          <w:szCs w:val="21"/>
          <w:lang w:eastAsia="ru-RU"/>
        </w:rPr>
      </w:pPr>
      <w:r w:rsidRPr="00692C43">
        <w:rPr>
          <w:rFonts w:ascii="Times New Roman" w:hAnsi="Times New Roman" w:cs="Times New Roman"/>
          <w:b/>
          <w:i/>
          <w:sz w:val="21"/>
          <w:szCs w:val="21"/>
          <w:lang w:eastAsia="ru-RU"/>
        </w:rPr>
        <w:t>Радченко М.В.,</w:t>
      </w:r>
    </w:p>
    <w:p w14:paraId="17E31251"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r w:rsidRPr="00692C43">
        <w:rPr>
          <w:rFonts w:ascii="Times New Roman" w:hAnsi="Times New Roman" w:cs="Times New Roman"/>
          <w:i/>
          <w:sz w:val="21"/>
          <w:szCs w:val="21"/>
          <w:lang w:eastAsia="ru-RU"/>
        </w:rPr>
        <w:t>доцент к.э.н.</w:t>
      </w:r>
    </w:p>
    <w:p w14:paraId="7D427B93" w14:textId="77777777" w:rsidR="00EA4635" w:rsidRDefault="00EA4635" w:rsidP="00EA463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A8BA18C"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r w:rsidRPr="00692C43">
        <w:rPr>
          <w:rFonts w:ascii="Times New Roman" w:hAnsi="Times New Roman" w:cs="Times New Roman"/>
          <w:i/>
          <w:sz w:val="21"/>
          <w:szCs w:val="21"/>
          <w:lang w:eastAsia="ru-RU"/>
        </w:rPr>
        <w:t>г. Краснодар, Россия</w:t>
      </w:r>
    </w:p>
    <w:p w14:paraId="59C16E78"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r w:rsidRPr="00692C43">
        <w:rPr>
          <w:rFonts w:ascii="Times New Roman" w:hAnsi="Times New Roman" w:cs="Times New Roman"/>
          <w:i/>
          <w:sz w:val="21"/>
          <w:szCs w:val="21"/>
          <w:lang w:val="en-US" w:eastAsia="ru-RU"/>
        </w:rPr>
        <w:t>E</w:t>
      </w:r>
      <w:r w:rsidRPr="00692C43">
        <w:rPr>
          <w:rFonts w:ascii="Times New Roman" w:hAnsi="Times New Roman" w:cs="Times New Roman"/>
          <w:i/>
          <w:sz w:val="21"/>
          <w:szCs w:val="21"/>
          <w:lang w:eastAsia="ru-RU"/>
        </w:rPr>
        <w:t>-</w:t>
      </w:r>
      <w:r w:rsidRPr="00692C43">
        <w:rPr>
          <w:rFonts w:ascii="Times New Roman" w:hAnsi="Times New Roman" w:cs="Times New Roman"/>
          <w:i/>
          <w:sz w:val="21"/>
          <w:szCs w:val="21"/>
          <w:lang w:val="en-US" w:eastAsia="ru-RU"/>
        </w:rPr>
        <w:t>mail</w:t>
      </w:r>
      <w:r w:rsidRPr="00692C43">
        <w:rPr>
          <w:rFonts w:ascii="Times New Roman" w:hAnsi="Times New Roman" w:cs="Times New Roman"/>
          <w:i/>
          <w:sz w:val="21"/>
          <w:szCs w:val="21"/>
          <w:lang w:eastAsia="ru-RU"/>
        </w:rPr>
        <w:t xml:space="preserve">: </w:t>
      </w:r>
      <w:hyperlink r:id="rId100" w:history="1">
        <w:r w:rsidRPr="00692C43">
          <w:rPr>
            <w:rFonts w:ascii="Times New Roman" w:hAnsi="Times New Roman" w:cs="Times New Roman"/>
            <w:i/>
            <w:color w:val="0000FF"/>
            <w:sz w:val="21"/>
            <w:szCs w:val="21"/>
            <w:u w:val="single"/>
            <w:lang w:val="en-US" w:eastAsia="ru-RU"/>
          </w:rPr>
          <w:t>MVRadchenko</w:t>
        </w:r>
        <w:r w:rsidRPr="00692C43">
          <w:rPr>
            <w:rFonts w:ascii="Times New Roman" w:hAnsi="Times New Roman" w:cs="Times New Roman"/>
            <w:i/>
            <w:color w:val="0000FF"/>
            <w:sz w:val="21"/>
            <w:szCs w:val="21"/>
            <w:u w:val="single"/>
            <w:lang w:eastAsia="ru-RU"/>
          </w:rPr>
          <w:t>@</w:t>
        </w:r>
        <w:r w:rsidRPr="00692C43">
          <w:rPr>
            <w:rFonts w:ascii="Times New Roman" w:hAnsi="Times New Roman" w:cs="Times New Roman"/>
            <w:i/>
            <w:color w:val="0000FF"/>
            <w:sz w:val="21"/>
            <w:szCs w:val="21"/>
            <w:u w:val="single"/>
            <w:lang w:val="en-US" w:eastAsia="ru-RU"/>
          </w:rPr>
          <w:t>fa</w:t>
        </w:r>
        <w:r w:rsidRPr="00692C43">
          <w:rPr>
            <w:rFonts w:ascii="Times New Roman" w:hAnsi="Times New Roman" w:cs="Times New Roman"/>
            <w:i/>
            <w:color w:val="0000FF"/>
            <w:sz w:val="21"/>
            <w:szCs w:val="21"/>
            <w:u w:val="single"/>
            <w:lang w:eastAsia="ru-RU"/>
          </w:rPr>
          <w:t>.</w:t>
        </w:r>
        <w:r w:rsidRPr="00692C43">
          <w:rPr>
            <w:rFonts w:ascii="Times New Roman" w:hAnsi="Times New Roman" w:cs="Times New Roman"/>
            <w:i/>
            <w:color w:val="0000FF"/>
            <w:sz w:val="21"/>
            <w:szCs w:val="21"/>
            <w:u w:val="single"/>
            <w:lang w:val="en-US" w:eastAsia="ru-RU"/>
          </w:rPr>
          <w:t>ru</w:t>
        </w:r>
      </w:hyperlink>
    </w:p>
    <w:p w14:paraId="6CB7E01C" w14:textId="77777777" w:rsidR="00EA4635" w:rsidRPr="00692C43" w:rsidRDefault="00EA4635" w:rsidP="00EA4635">
      <w:pPr>
        <w:spacing w:after="0" w:line="240" w:lineRule="auto"/>
        <w:jc w:val="right"/>
        <w:rPr>
          <w:rFonts w:ascii="Times New Roman" w:hAnsi="Times New Roman" w:cs="Times New Roman"/>
          <w:i/>
          <w:sz w:val="21"/>
          <w:szCs w:val="21"/>
          <w:lang w:eastAsia="ru-RU"/>
        </w:rPr>
      </w:pPr>
    </w:p>
    <w:p w14:paraId="651D8F4D" w14:textId="77777777" w:rsidR="00EA4635" w:rsidRPr="00692C43" w:rsidRDefault="00EA4635" w:rsidP="00EA4635">
      <w:pPr>
        <w:spacing w:after="0" w:line="240" w:lineRule="auto"/>
        <w:jc w:val="center"/>
        <w:rPr>
          <w:rFonts w:ascii="Times New Roman" w:eastAsia="Calibri" w:hAnsi="Times New Roman" w:cs="Times New Roman"/>
          <w:b/>
          <w:bCs/>
          <w:sz w:val="21"/>
          <w:szCs w:val="21"/>
          <w:lang w:eastAsia="ru-RU"/>
        </w:rPr>
      </w:pPr>
      <w:r w:rsidRPr="00692C43">
        <w:rPr>
          <w:rFonts w:ascii="Times New Roman" w:eastAsia="Calibri" w:hAnsi="Times New Roman" w:cs="Times New Roman"/>
          <w:b/>
          <w:bCs/>
          <w:sz w:val="21"/>
          <w:szCs w:val="21"/>
          <w:lang w:eastAsia="ru-RU"/>
        </w:rPr>
        <w:t>Анализ показателей развития малого бизнеса в России (Краснодарском крае)</w:t>
      </w:r>
    </w:p>
    <w:p w14:paraId="3A0F6400" w14:textId="77777777" w:rsidR="00EA4635" w:rsidRPr="00692C43" w:rsidRDefault="00EA4635" w:rsidP="00EA4635">
      <w:pPr>
        <w:spacing w:after="0" w:line="240" w:lineRule="auto"/>
        <w:jc w:val="center"/>
        <w:rPr>
          <w:rFonts w:ascii="Times New Roman" w:eastAsia="Calibri" w:hAnsi="Times New Roman" w:cs="Times New Roman"/>
          <w:b/>
          <w:bCs/>
          <w:sz w:val="21"/>
          <w:szCs w:val="21"/>
          <w:lang w:eastAsia="ru-RU"/>
        </w:rPr>
      </w:pPr>
    </w:p>
    <w:p w14:paraId="7B7C2478" w14:textId="77777777" w:rsidR="00EA4635" w:rsidRPr="00692C43" w:rsidRDefault="00EA4635" w:rsidP="00EA4635">
      <w:pPr>
        <w:spacing w:after="0" w:line="240" w:lineRule="auto"/>
        <w:ind w:firstLine="851"/>
        <w:jc w:val="both"/>
        <w:rPr>
          <w:rFonts w:ascii="Times New Roman" w:eastAsia="Calibri" w:hAnsi="Times New Roman" w:cs="Times New Roman"/>
          <w:bCs/>
          <w:sz w:val="21"/>
          <w:szCs w:val="21"/>
          <w:lang w:eastAsia="ru-RU"/>
        </w:rPr>
      </w:pPr>
      <w:r w:rsidRPr="00692C43">
        <w:rPr>
          <w:rFonts w:ascii="Times New Roman" w:eastAsia="Calibri" w:hAnsi="Times New Roman" w:cs="Times New Roman"/>
          <w:b/>
          <w:bCs/>
          <w:sz w:val="21"/>
          <w:szCs w:val="21"/>
          <w:lang w:eastAsia="ru-RU"/>
        </w:rPr>
        <w:t xml:space="preserve">Аннотация: </w:t>
      </w:r>
      <w:r w:rsidRPr="00692C43">
        <w:rPr>
          <w:rFonts w:ascii="Times New Roman" w:eastAsia="Calibri" w:hAnsi="Times New Roman" w:cs="Times New Roman"/>
          <w:bCs/>
          <w:sz w:val="21"/>
          <w:szCs w:val="21"/>
          <w:lang w:eastAsia="ru-RU"/>
        </w:rPr>
        <w:t>В работе проводится комплексный анализ развития малого бизнеса в Российской Федерации с акцентом на Краснодарский край. Исследование охватывает период 2020-2023 гг. и включает оценку количественных показателей, отраслевой структуры, вклада в экономику региона. Особое внимание уделено проблемам предпринимательства и перспективам его развития в условиях современных экономических вызовов. Результаты исследования могут быть полезны для органов государственного управления, предпринимателей и исследователей экономики региона.</w:t>
      </w:r>
    </w:p>
    <w:p w14:paraId="649012F1" w14:textId="77777777" w:rsidR="00EA4635" w:rsidRPr="00692C43" w:rsidRDefault="00EA4635" w:rsidP="00EA4635">
      <w:pPr>
        <w:spacing w:after="0" w:line="240" w:lineRule="auto"/>
        <w:ind w:firstLine="851"/>
        <w:jc w:val="both"/>
        <w:rPr>
          <w:rFonts w:ascii="Times New Roman" w:eastAsia="Calibri" w:hAnsi="Times New Roman" w:cs="Times New Roman"/>
          <w:bCs/>
          <w:sz w:val="21"/>
          <w:szCs w:val="21"/>
          <w:lang w:eastAsia="ru-RU"/>
        </w:rPr>
      </w:pPr>
      <w:r w:rsidRPr="00692C43">
        <w:rPr>
          <w:rFonts w:ascii="Times New Roman" w:eastAsia="Calibri" w:hAnsi="Times New Roman" w:cs="Times New Roman"/>
          <w:b/>
          <w:bCs/>
          <w:sz w:val="21"/>
          <w:szCs w:val="21"/>
          <w:lang w:eastAsia="ru-RU"/>
        </w:rPr>
        <w:t xml:space="preserve">Ключевые слова: </w:t>
      </w:r>
      <w:r w:rsidRPr="00692C43">
        <w:rPr>
          <w:rFonts w:ascii="Times New Roman" w:eastAsia="Calibri" w:hAnsi="Times New Roman" w:cs="Times New Roman"/>
          <w:bCs/>
          <w:sz w:val="21"/>
          <w:szCs w:val="21"/>
          <w:lang w:eastAsia="ru-RU"/>
        </w:rPr>
        <w:t>малый бизнес, статистический анализ, предпринимательство, Краснодарский край, экономическое развитие.</w:t>
      </w:r>
    </w:p>
    <w:p w14:paraId="0633916E"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eastAsia="ru-RU"/>
        </w:rPr>
      </w:pPr>
    </w:p>
    <w:p w14:paraId="035ECF54" w14:textId="77777777" w:rsidR="00EA4635" w:rsidRPr="00692C43" w:rsidRDefault="00EA4635" w:rsidP="00EA4635">
      <w:pPr>
        <w:spacing w:after="0" w:line="240" w:lineRule="auto"/>
        <w:ind w:firstLine="851"/>
        <w:jc w:val="right"/>
        <w:rPr>
          <w:rFonts w:ascii="Times New Roman" w:eastAsia="Calibri" w:hAnsi="Times New Roman" w:cs="Times New Roman"/>
          <w:b/>
          <w:i/>
          <w:iCs/>
          <w:sz w:val="21"/>
          <w:szCs w:val="21"/>
          <w:lang w:val="en-US" w:eastAsia="ru-RU"/>
        </w:rPr>
      </w:pPr>
      <w:r w:rsidRPr="00692C43">
        <w:rPr>
          <w:rFonts w:ascii="Times New Roman" w:eastAsia="Calibri" w:hAnsi="Times New Roman" w:cs="Times New Roman"/>
          <w:b/>
          <w:i/>
          <w:iCs/>
          <w:sz w:val="21"/>
          <w:szCs w:val="21"/>
          <w:lang w:val="en-US" w:eastAsia="ru-RU"/>
        </w:rPr>
        <w:t xml:space="preserve">Mikaelyan M.G., </w:t>
      </w:r>
    </w:p>
    <w:p w14:paraId="67447CFD"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1st year student </w:t>
      </w:r>
    </w:p>
    <w:p w14:paraId="497BEDF2"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Federal State Educational Budgetary Institution of Higher Education Financial University under the Government of the Russian Federation, </w:t>
      </w:r>
    </w:p>
    <w:p w14:paraId="3264364E"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Krasnodar, Russia </w:t>
      </w:r>
    </w:p>
    <w:p w14:paraId="49841C90" w14:textId="77777777" w:rsidR="00EA4635" w:rsidRPr="00656AA8"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E-mail: </w:t>
      </w:r>
      <w:hyperlink r:id="rId101" w:history="1">
        <w:r w:rsidRPr="00692C43">
          <w:rPr>
            <w:rFonts w:ascii="Times New Roman" w:eastAsia="Calibri" w:hAnsi="Times New Roman" w:cs="Times New Roman"/>
            <w:bCs/>
            <w:i/>
            <w:iCs/>
            <w:color w:val="0000FF"/>
            <w:sz w:val="21"/>
            <w:szCs w:val="21"/>
            <w:u w:val="single"/>
            <w:lang w:val="en-US" w:eastAsia="ru-RU"/>
          </w:rPr>
          <w:t>mariam.mikaelyan.05@mail.ru</w:t>
        </w:r>
      </w:hyperlink>
      <w:r w:rsidRPr="00692C43">
        <w:rPr>
          <w:rFonts w:ascii="Times New Roman" w:eastAsia="Calibri" w:hAnsi="Times New Roman" w:cs="Times New Roman"/>
          <w:bCs/>
          <w:i/>
          <w:iCs/>
          <w:sz w:val="21"/>
          <w:szCs w:val="21"/>
          <w:lang w:val="en-US" w:eastAsia="ru-RU"/>
        </w:rPr>
        <w:t xml:space="preserve"> </w:t>
      </w:r>
    </w:p>
    <w:p w14:paraId="6C488C10" w14:textId="77777777" w:rsidR="00EA4635" w:rsidRPr="00656AA8"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p>
    <w:p w14:paraId="36323427" w14:textId="77777777" w:rsidR="00EA4635" w:rsidRPr="00692C43" w:rsidRDefault="00EA4635" w:rsidP="00EA4635">
      <w:pPr>
        <w:spacing w:after="0" w:line="240" w:lineRule="auto"/>
        <w:ind w:firstLine="851"/>
        <w:jc w:val="right"/>
        <w:rPr>
          <w:rFonts w:ascii="Times New Roman" w:eastAsia="Calibri" w:hAnsi="Times New Roman" w:cs="Times New Roman"/>
          <w:b/>
          <w:i/>
          <w:iCs/>
          <w:sz w:val="21"/>
          <w:szCs w:val="21"/>
          <w:lang w:val="en-US" w:eastAsia="ru-RU"/>
        </w:rPr>
      </w:pPr>
      <w:r w:rsidRPr="00692C43">
        <w:rPr>
          <w:rFonts w:ascii="Times New Roman" w:eastAsia="Calibri" w:hAnsi="Times New Roman" w:cs="Times New Roman"/>
          <w:b/>
          <w:i/>
          <w:iCs/>
          <w:sz w:val="21"/>
          <w:szCs w:val="21"/>
          <w:lang w:val="en-US" w:eastAsia="ru-RU"/>
        </w:rPr>
        <w:t>Scientific supervisor:</w:t>
      </w:r>
    </w:p>
    <w:p w14:paraId="3F079D33" w14:textId="77777777" w:rsidR="00EA4635" w:rsidRPr="00692C43" w:rsidRDefault="00EA4635" w:rsidP="00EA4635">
      <w:pPr>
        <w:spacing w:after="0" w:line="240" w:lineRule="auto"/>
        <w:ind w:firstLine="851"/>
        <w:jc w:val="right"/>
        <w:rPr>
          <w:rFonts w:ascii="Times New Roman" w:eastAsia="Calibri" w:hAnsi="Times New Roman" w:cs="Times New Roman"/>
          <w:b/>
          <w:i/>
          <w:iCs/>
          <w:sz w:val="21"/>
          <w:szCs w:val="21"/>
          <w:lang w:val="en-US" w:eastAsia="ru-RU"/>
        </w:rPr>
      </w:pPr>
      <w:r w:rsidRPr="00692C43">
        <w:rPr>
          <w:rFonts w:ascii="Times New Roman" w:eastAsia="Calibri" w:hAnsi="Times New Roman" w:cs="Times New Roman"/>
          <w:b/>
          <w:i/>
          <w:iCs/>
          <w:sz w:val="21"/>
          <w:szCs w:val="21"/>
          <w:lang w:val="en-US" w:eastAsia="ru-RU"/>
        </w:rPr>
        <w:t xml:space="preserve"> Radchenko M.V., </w:t>
      </w:r>
    </w:p>
    <w:p w14:paraId="22268FFC"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Associate Professor, Candidate of Economics, </w:t>
      </w:r>
    </w:p>
    <w:p w14:paraId="3C6E83F3"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Federal State Educational Budgetary Institution of Higher Education Financial University under the Government of the Russian Federation, </w:t>
      </w:r>
    </w:p>
    <w:p w14:paraId="76C8CD1A" w14:textId="77777777" w:rsidR="00EA4635" w:rsidRPr="00692C43" w:rsidRDefault="00EA4635" w:rsidP="00EA4635">
      <w:pPr>
        <w:spacing w:after="0" w:line="240" w:lineRule="auto"/>
        <w:ind w:firstLine="851"/>
        <w:jc w:val="right"/>
        <w:rPr>
          <w:rFonts w:ascii="Times New Roman" w:eastAsia="Calibri" w:hAnsi="Times New Roman" w:cs="Times New Roman"/>
          <w:bCs/>
          <w:i/>
          <w:iCs/>
          <w:sz w:val="21"/>
          <w:szCs w:val="21"/>
          <w:lang w:val="en-US" w:eastAsia="ru-RU"/>
        </w:rPr>
      </w:pPr>
      <w:r w:rsidRPr="00692C43">
        <w:rPr>
          <w:rFonts w:ascii="Times New Roman" w:eastAsia="Calibri" w:hAnsi="Times New Roman" w:cs="Times New Roman"/>
          <w:bCs/>
          <w:i/>
          <w:iCs/>
          <w:sz w:val="21"/>
          <w:szCs w:val="21"/>
          <w:lang w:val="en-US" w:eastAsia="ru-RU"/>
        </w:rPr>
        <w:t xml:space="preserve">Krasnodar, Russia </w:t>
      </w:r>
    </w:p>
    <w:p w14:paraId="107157C2" w14:textId="77777777" w:rsidR="00EA4635" w:rsidRPr="00692C43" w:rsidRDefault="00EA4635" w:rsidP="00EA4635">
      <w:pPr>
        <w:spacing w:after="0" w:line="240" w:lineRule="auto"/>
        <w:jc w:val="right"/>
        <w:rPr>
          <w:rFonts w:ascii="Times New Roman" w:hAnsi="Times New Roman" w:cs="Times New Roman"/>
          <w:i/>
          <w:iCs/>
          <w:sz w:val="21"/>
          <w:szCs w:val="21"/>
          <w:lang w:val="en-US" w:eastAsia="ru-RU"/>
        </w:rPr>
      </w:pPr>
      <w:r w:rsidRPr="00692C43">
        <w:rPr>
          <w:rFonts w:ascii="Times New Roman" w:hAnsi="Times New Roman" w:cs="Times New Roman"/>
          <w:i/>
          <w:iCs/>
          <w:sz w:val="21"/>
          <w:szCs w:val="21"/>
          <w:lang w:val="en-US" w:eastAsia="ru-RU"/>
        </w:rPr>
        <w:t>E-mail: MVRadchenko@fa.ru</w:t>
      </w:r>
    </w:p>
    <w:p w14:paraId="674063F3" w14:textId="77777777" w:rsidR="00EA4635" w:rsidRPr="00692C43" w:rsidRDefault="00EA4635" w:rsidP="00EA4635">
      <w:pPr>
        <w:spacing w:after="0" w:line="240" w:lineRule="auto"/>
        <w:ind w:firstLine="851"/>
        <w:jc w:val="both"/>
        <w:rPr>
          <w:rFonts w:ascii="Times New Roman" w:eastAsia="Calibri" w:hAnsi="Times New Roman" w:cs="Times New Roman"/>
          <w:b/>
          <w:sz w:val="21"/>
          <w:szCs w:val="21"/>
          <w:lang w:val="en-US" w:eastAsia="ru-RU"/>
        </w:rPr>
      </w:pPr>
    </w:p>
    <w:p w14:paraId="2C473D24" w14:textId="77777777" w:rsidR="00EA4635" w:rsidRPr="00692C43" w:rsidRDefault="00EA4635" w:rsidP="00EA4635">
      <w:pPr>
        <w:spacing w:after="0" w:line="240" w:lineRule="auto"/>
        <w:jc w:val="center"/>
        <w:rPr>
          <w:rFonts w:ascii="Times New Roman" w:eastAsia="Calibri" w:hAnsi="Times New Roman" w:cs="Times New Roman"/>
          <w:b/>
          <w:sz w:val="21"/>
          <w:szCs w:val="21"/>
          <w:lang w:val="en-US" w:eastAsia="ru-RU"/>
        </w:rPr>
      </w:pPr>
      <w:r w:rsidRPr="00692C43">
        <w:rPr>
          <w:rFonts w:ascii="Times New Roman" w:eastAsia="Calibri" w:hAnsi="Times New Roman" w:cs="Times New Roman"/>
          <w:b/>
          <w:sz w:val="21"/>
          <w:szCs w:val="21"/>
          <w:lang w:val="en-US" w:eastAsia="ru-RU"/>
        </w:rPr>
        <w:t>Analysis of small business development indicators in Russia (Krasnodar Region)</w:t>
      </w:r>
    </w:p>
    <w:p w14:paraId="44015C14" w14:textId="77777777" w:rsidR="00EA4635" w:rsidRPr="00692C43" w:rsidRDefault="00EA4635" w:rsidP="00EA4635">
      <w:pPr>
        <w:spacing w:after="0" w:line="240" w:lineRule="auto"/>
        <w:ind w:firstLine="851"/>
        <w:jc w:val="both"/>
        <w:rPr>
          <w:rFonts w:ascii="Times New Roman" w:eastAsia="Calibri" w:hAnsi="Times New Roman" w:cs="Times New Roman"/>
          <w:bCs/>
          <w:sz w:val="21"/>
          <w:szCs w:val="21"/>
          <w:lang w:val="en-US" w:eastAsia="ru-RU"/>
        </w:rPr>
      </w:pPr>
    </w:p>
    <w:p w14:paraId="0336487B" w14:textId="77777777" w:rsidR="00EA4635" w:rsidRPr="00692C43" w:rsidRDefault="00EA4635" w:rsidP="00EA4635">
      <w:pPr>
        <w:spacing w:after="0" w:line="240" w:lineRule="auto"/>
        <w:ind w:firstLine="851"/>
        <w:jc w:val="both"/>
        <w:rPr>
          <w:rFonts w:ascii="Times New Roman" w:eastAsia="Calibri" w:hAnsi="Times New Roman" w:cs="Times New Roman"/>
          <w:bCs/>
          <w:sz w:val="21"/>
          <w:szCs w:val="21"/>
          <w:lang w:val="en-US" w:eastAsia="ru-RU"/>
        </w:rPr>
      </w:pPr>
      <w:r w:rsidRPr="00692C43">
        <w:rPr>
          <w:rFonts w:ascii="Times New Roman" w:eastAsia="Calibri" w:hAnsi="Times New Roman" w:cs="Times New Roman"/>
          <w:b/>
          <w:sz w:val="21"/>
          <w:szCs w:val="21"/>
          <w:lang w:val="en-US" w:eastAsia="ru-RU"/>
        </w:rPr>
        <w:t>Abstract</w:t>
      </w:r>
      <w:r w:rsidRPr="00692C43">
        <w:rPr>
          <w:rFonts w:ascii="Times New Roman" w:eastAsia="Calibri" w:hAnsi="Times New Roman" w:cs="Times New Roman"/>
          <w:bCs/>
          <w:sz w:val="21"/>
          <w:szCs w:val="21"/>
          <w:lang w:val="en-US" w:eastAsia="ru-RU"/>
        </w:rPr>
        <w:t>: The paper provides a comprehensive analysis of the development of small businesses in the Russian Federation with an emphasis on the Krasnodar Territory. The study covers the period 2020-2023 and includes an assessment of quantitative indicators, industry structure, and contribution to the region's economy. Special attention is paid to the problems of entrepreneurship and the prospects for its development in the context of modern economic challenges. The results of the study may be useful for health authorities.</w:t>
      </w:r>
    </w:p>
    <w:p w14:paraId="548748A9" w14:textId="77777777" w:rsidR="00EA4635" w:rsidRPr="00692C43" w:rsidRDefault="00EA4635" w:rsidP="00EA4635">
      <w:pPr>
        <w:spacing w:after="0" w:line="240" w:lineRule="auto"/>
        <w:ind w:firstLine="851"/>
        <w:jc w:val="both"/>
        <w:rPr>
          <w:rFonts w:ascii="Times New Roman" w:eastAsia="Calibri" w:hAnsi="Times New Roman" w:cs="Times New Roman"/>
          <w:bCs/>
          <w:sz w:val="21"/>
          <w:szCs w:val="21"/>
          <w:lang w:val="en-US" w:eastAsia="ru-RU"/>
        </w:rPr>
      </w:pPr>
      <w:r w:rsidRPr="00692C43">
        <w:rPr>
          <w:rFonts w:ascii="Times New Roman" w:eastAsia="Calibri" w:hAnsi="Times New Roman" w:cs="Times New Roman"/>
          <w:b/>
          <w:sz w:val="21"/>
          <w:szCs w:val="21"/>
          <w:lang w:val="en-US" w:eastAsia="ru-RU"/>
        </w:rPr>
        <w:t>Keywords</w:t>
      </w:r>
      <w:r w:rsidRPr="00692C43">
        <w:rPr>
          <w:rFonts w:ascii="Times New Roman" w:eastAsia="Calibri" w:hAnsi="Times New Roman" w:cs="Times New Roman"/>
          <w:bCs/>
          <w:sz w:val="21"/>
          <w:szCs w:val="21"/>
          <w:lang w:val="en-US" w:eastAsia="ru-RU"/>
        </w:rPr>
        <w:t>: small business, statistical analysis, entrepreneurship, Krasnodar Region, economic development.</w:t>
      </w:r>
    </w:p>
    <w:p w14:paraId="64FB5B27" w14:textId="77777777" w:rsidR="00EA4635" w:rsidRPr="00692C43" w:rsidRDefault="00EA4635" w:rsidP="00EA4635">
      <w:pPr>
        <w:spacing w:after="200" w:line="240" w:lineRule="auto"/>
        <w:ind w:firstLine="851"/>
        <w:jc w:val="both"/>
        <w:rPr>
          <w:rFonts w:ascii="Times New Roman" w:eastAsia="Calibri" w:hAnsi="Times New Roman" w:cs="Times New Roman"/>
          <w:bCs/>
          <w:sz w:val="21"/>
          <w:szCs w:val="21"/>
          <w:lang w:val="en-US" w:eastAsia="ru-RU"/>
        </w:rPr>
      </w:pPr>
    </w:p>
    <w:p w14:paraId="19E4DD42" w14:textId="110E12F7" w:rsidR="00EA4635"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 xml:space="preserve">Малый бизнес представляет собой важнейший сегмент современной экономики, выполняющий ряд ключевых функций в системе хозяйствования. В условиях глобализации и цифровой трансформации значение малого предпринимательства существенно возрастает, что подтверждается мировым опытом экономически развитых стран. Российская Федерация, несмотря на имеющиеся </w:t>
      </w:r>
      <w:r w:rsidRPr="00692C43">
        <w:rPr>
          <w:rFonts w:ascii="Times New Roman" w:hAnsi="Times New Roman" w:cs="Times New Roman"/>
          <w:sz w:val="32"/>
          <w:szCs w:val="32"/>
          <w:lang w:eastAsia="ru-RU"/>
        </w:rPr>
        <w:lastRenderedPageBreak/>
        <w:t>различия в подходах к определению критериев малого бизнеса, в целом придерживается общепринятой международной практики, что отражено в таблице 1 [1, с. 5].</w:t>
      </w:r>
    </w:p>
    <w:p w14:paraId="63FA574F" w14:textId="77777777" w:rsidR="00DB349B" w:rsidRPr="00692C43" w:rsidRDefault="00DB349B" w:rsidP="00DB349B">
      <w:pPr>
        <w:spacing w:after="0" w:line="240" w:lineRule="auto"/>
        <w:ind w:firstLine="709"/>
        <w:jc w:val="both"/>
        <w:rPr>
          <w:rFonts w:ascii="Times New Roman" w:hAnsi="Times New Roman" w:cs="Times New Roman"/>
          <w:sz w:val="32"/>
          <w:szCs w:val="32"/>
          <w:lang w:eastAsia="ru-RU"/>
        </w:rPr>
      </w:pPr>
    </w:p>
    <w:p w14:paraId="7C08EAA4" w14:textId="3CEAA6CE" w:rsidR="00EA4635" w:rsidRPr="00692C43" w:rsidRDefault="00EA4635" w:rsidP="00EA4635">
      <w:pPr>
        <w:spacing w:after="200" w:line="240" w:lineRule="auto"/>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Таблица 1 - Критерии отнесения к малому бизнесу в РФ</w:t>
      </w:r>
    </w:p>
    <w:tbl>
      <w:tblPr>
        <w:tblStyle w:val="7"/>
        <w:tblW w:w="9967" w:type="dxa"/>
        <w:tblInd w:w="-5" w:type="dxa"/>
        <w:tblLook w:val="04A0" w:firstRow="1" w:lastRow="0" w:firstColumn="1" w:lastColumn="0" w:noHBand="0" w:noVBand="1"/>
      </w:tblPr>
      <w:tblGrid>
        <w:gridCol w:w="2576"/>
        <w:gridCol w:w="2463"/>
        <w:gridCol w:w="2464"/>
        <w:gridCol w:w="2464"/>
      </w:tblGrid>
      <w:tr w:rsidR="00EA4635" w:rsidRPr="00692C43" w14:paraId="09AFAC09" w14:textId="77777777" w:rsidTr="00DB349B">
        <w:tc>
          <w:tcPr>
            <w:tcW w:w="2576" w:type="dxa"/>
          </w:tcPr>
          <w:p w14:paraId="7D1E8239" w14:textId="77777777" w:rsidR="00EA4635" w:rsidRPr="00692C43" w:rsidRDefault="00EA4635" w:rsidP="00EB1CB9">
            <w:pPr>
              <w:jc w:val="center"/>
              <w:rPr>
                <w:rFonts w:ascii="Times New Roman" w:hAnsi="Times New Roman" w:cs="Times New Roman"/>
                <w:sz w:val="32"/>
                <w:szCs w:val="32"/>
              </w:rPr>
            </w:pPr>
            <w:r w:rsidRPr="00692C43">
              <w:rPr>
                <w:rFonts w:ascii="Times New Roman" w:hAnsi="Times New Roman" w:cs="Times New Roman"/>
                <w:sz w:val="24"/>
                <w:szCs w:val="24"/>
              </w:rPr>
              <w:t>Критерий</w:t>
            </w:r>
          </w:p>
        </w:tc>
        <w:tc>
          <w:tcPr>
            <w:tcW w:w="2463" w:type="dxa"/>
          </w:tcPr>
          <w:p w14:paraId="1676AD3C" w14:textId="77777777" w:rsidR="00EA4635" w:rsidRPr="00692C43" w:rsidRDefault="00EA4635" w:rsidP="00EB1CB9">
            <w:pPr>
              <w:jc w:val="center"/>
              <w:rPr>
                <w:rFonts w:ascii="Times New Roman" w:hAnsi="Times New Roman" w:cs="Times New Roman"/>
                <w:sz w:val="32"/>
                <w:szCs w:val="32"/>
              </w:rPr>
            </w:pPr>
            <w:r w:rsidRPr="00692C43">
              <w:rPr>
                <w:rFonts w:ascii="Times New Roman" w:hAnsi="Times New Roman" w:cs="Times New Roman"/>
                <w:sz w:val="24"/>
                <w:szCs w:val="24"/>
              </w:rPr>
              <w:t>Микропредприятия</w:t>
            </w:r>
          </w:p>
        </w:tc>
        <w:tc>
          <w:tcPr>
            <w:tcW w:w="2464" w:type="dxa"/>
          </w:tcPr>
          <w:p w14:paraId="61E09942"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Малые</w:t>
            </w:r>
          </w:p>
          <w:p w14:paraId="0064573E" w14:textId="77777777" w:rsidR="00EA4635" w:rsidRPr="00692C43" w:rsidRDefault="00EA4635" w:rsidP="00EB1CB9">
            <w:pPr>
              <w:jc w:val="center"/>
              <w:rPr>
                <w:rFonts w:ascii="Times New Roman" w:hAnsi="Times New Roman" w:cs="Times New Roman"/>
                <w:sz w:val="32"/>
                <w:szCs w:val="32"/>
              </w:rPr>
            </w:pPr>
            <w:r w:rsidRPr="00692C43">
              <w:rPr>
                <w:rFonts w:ascii="Times New Roman" w:hAnsi="Times New Roman" w:cs="Times New Roman"/>
                <w:sz w:val="24"/>
                <w:szCs w:val="24"/>
              </w:rPr>
              <w:t xml:space="preserve"> предприятия</w:t>
            </w:r>
          </w:p>
        </w:tc>
        <w:tc>
          <w:tcPr>
            <w:tcW w:w="2464" w:type="dxa"/>
          </w:tcPr>
          <w:p w14:paraId="247385F8"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 xml:space="preserve">Средние </w:t>
            </w:r>
          </w:p>
          <w:p w14:paraId="7EE74785" w14:textId="77777777" w:rsidR="00EA4635" w:rsidRPr="00692C43" w:rsidRDefault="00EA4635" w:rsidP="00EB1CB9">
            <w:pPr>
              <w:jc w:val="center"/>
              <w:rPr>
                <w:rFonts w:ascii="Times New Roman" w:hAnsi="Times New Roman" w:cs="Times New Roman"/>
                <w:sz w:val="32"/>
                <w:szCs w:val="32"/>
              </w:rPr>
            </w:pPr>
            <w:r w:rsidRPr="00692C43">
              <w:rPr>
                <w:rFonts w:ascii="Times New Roman" w:hAnsi="Times New Roman" w:cs="Times New Roman"/>
                <w:sz w:val="24"/>
                <w:szCs w:val="24"/>
              </w:rPr>
              <w:t>предприятия</w:t>
            </w:r>
          </w:p>
        </w:tc>
      </w:tr>
      <w:tr w:rsidR="00EA4635" w:rsidRPr="00692C43" w14:paraId="5D682D57" w14:textId="77777777" w:rsidTr="00DB349B">
        <w:tc>
          <w:tcPr>
            <w:tcW w:w="2576" w:type="dxa"/>
          </w:tcPr>
          <w:p w14:paraId="33678C58" w14:textId="77777777" w:rsidR="00EA4635" w:rsidRPr="00692C43" w:rsidRDefault="00EA4635" w:rsidP="00EB1CB9">
            <w:pPr>
              <w:rPr>
                <w:rFonts w:ascii="Times New Roman" w:hAnsi="Times New Roman" w:cs="Times New Roman"/>
                <w:sz w:val="32"/>
                <w:szCs w:val="32"/>
              </w:rPr>
            </w:pPr>
            <w:r w:rsidRPr="00692C43">
              <w:rPr>
                <w:rFonts w:ascii="Times New Roman" w:hAnsi="Times New Roman" w:cs="Times New Roman"/>
                <w:sz w:val="24"/>
                <w:szCs w:val="24"/>
              </w:rPr>
              <w:t>Численность работников</w:t>
            </w:r>
          </w:p>
        </w:tc>
        <w:tc>
          <w:tcPr>
            <w:tcW w:w="2463" w:type="dxa"/>
          </w:tcPr>
          <w:p w14:paraId="267FD2DA" w14:textId="77777777" w:rsidR="00EA4635" w:rsidRPr="00692C43" w:rsidRDefault="00EA4635" w:rsidP="00EB1CB9">
            <w:pPr>
              <w:rPr>
                <w:rFonts w:ascii="Times New Roman" w:hAnsi="Times New Roman" w:cs="Times New Roman"/>
                <w:sz w:val="32"/>
                <w:szCs w:val="32"/>
              </w:rPr>
            </w:pPr>
            <w:r w:rsidRPr="00692C43">
              <w:rPr>
                <w:rFonts w:ascii="Times New Roman" w:hAnsi="Times New Roman" w:cs="Times New Roman"/>
                <w:sz w:val="24"/>
                <w:szCs w:val="24"/>
              </w:rPr>
              <w:t>До 15 человек включительно</w:t>
            </w:r>
          </w:p>
        </w:tc>
        <w:tc>
          <w:tcPr>
            <w:tcW w:w="2464" w:type="dxa"/>
          </w:tcPr>
          <w:p w14:paraId="10C8C898" w14:textId="77777777" w:rsidR="00EA4635" w:rsidRPr="00692C43" w:rsidRDefault="00EA4635" w:rsidP="00EB1CB9">
            <w:pPr>
              <w:rPr>
                <w:rFonts w:ascii="Times New Roman" w:hAnsi="Times New Roman" w:cs="Times New Roman"/>
                <w:sz w:val="32"/>
                <w:szCs w:val="32"/>
              </w:rPr>
            </w:pPr>
            <w:r w:rsidRPr="00692C43">
              <w:rPr>
                <w:rFonts w:ascii="Times New Roman" w:hAnsi="Times New Roman" w:cs="Times New Roman"/>
                <w:sz w:val="24"/>
                <w:szCs w:val="24"/>
              </w:rPr>
              <w:t>От 16 до 100 человек</w:t>
            </w:r>
          </w:p>
        </w:tc>
        <w:tc>
          <w:tcPr>
            <w:tcW w:w="2464" w:type="dxa"/>
          </w:tcPr>
          <w:p w14:paraId="01C42911" w14:textId="77777777" w:rsidR="00EA4635" w:rsidRPr="00692C43" w:rsidRDefault="00EA4635" w:rsidP="00EB1CB9">
            <w:pPr>
              <w:rPr>
                <w:rFonts w:ascii="Times New Roman" w:hAnsi="Times New Roman" w:cs="Times New Roman"/>
                <w:sz w:val="32"/>
                <w:szCs w:val="32"/>
              </w:rPr>
            </w:pPr>
            <w:r w:rsidRPr="00692C43">
              <w:rPr>
                <w:rFonts w:ascii="Times New Roman" w:hAnsi="Times New Roman" w:cs="Times New Roman"/>
                <w:sz w:val="24"/>
                <w:szCs w:val="24"/>
              </w:rPr>
              <w:t>От 101 до 250 человек</w:t>
            </w:r>
          </w:p>
        </w:tc>
      </w:tr>
      <w:tr w:rsidR="00EA4635" w:rsidRPr="00692C43" w14:paraId="66C64327" w14:textId="77777777" w:rsidTr="00DB349B">
        <w:tc>
          <w:tcPr>
            <w:tcW w:w="2576" w:type="dxa"/>
          </w:tcPr>
          <w:p w14:paraId="00A05D58" w14:textId="77777777" w:rsidR="00EA4635" w:rsidRPr="00692C43" w:rsidRDefault="00EA4635" w:rsidP="00EB1CB9">
            <w:pPr>
              <w:rPr>
                <w:rFonts w:ascii="Times New Roman" w:hAnsi="Times New Roman" w:cs="Times New Roman"/>
                <w:sz w:val="24"/>
                <w:szCs w:val="24"/>
              </w:rPr>
            </w:pPr>
            <w:r w:rsidRPr="00692C43">
              <w:rPr>
                <w:rFonts w:ascii="Times New Roman" w:hAnsi="Times New Roman" w:cs="Times New Roman"/>
                <w:sz w:val="24"/>
                <w:szCs w:val="24"/>
              </w:rPr>
              <w:t>Годовая выручка</w:t>
            </w:r>
          </w:p>
        </w:tc>
        <w:tc>
          <w:tcPr>
            <w:tcW w:w="2463" w:type="dxa"/>
          </w:tcPr>
          <w:p w14:paraId="2329B151" w14:textId="77777777" w:rsidR="00EA4635" w:rsidRPr="00692C43" w:rsidRDefault="00EA4635" w:rsidP="00EB1CB9">
            <w:pPr>
              <w:rPr>
                <w:rFonts w:ascii="Times New Roman" w:hAnsi="Times New Roman" w:cs="Times New Roman"/>
                <w:sz w:val="24"/>
                <w:szCs w:val="24"/>
              </w:rPr>
            </w:pPr>
            <w:r w:rsidRPr="00692C43">
              <w:rPr>
                <w:rFonts w:ascii="Times New Roman" w:hAnsi="Times New Roman" w:cs="Times New Roman"/>
                <w:sz w:val="24"/>
                <w:szCs w:val="24"/>
              </w:rPr>
              <w:t>До 120 млн. руб.</w:t>
            </w:r>
          </w:p>
        </w:tc>
        <w:tc>
          <w:tcPr>
            <w:tcW w:w="2464" w:type="dxa"/>
          </w:tcPr>
          <w:p w14:paraId="11843AAF" w14:textId="77777777" w:rsidR="00EA4635" w:rsidRPr="00692C43" w:rsidRDefault="00EA4635" w:rsidP="00EB1CB9">
            <w:pPr>
              <w:rPr>
                <w:rFonts w:ascii="Times New Roman" w:hAnsi="Times New Roman" w:cs="Times New Roman"/>
                <w:sz w:val="24"/>
                <w:szCs w:val="24"/>
              </w:rPr>
            </w:pPr>
            <w:r w:rsidRPr="00692C43">
              <w:rPr>
                <w:rFonts w:ascii="Times New Roman" w:hAnsi="Times New Roman" w:cs="Times New Roman"/>
                <w:sz w:val="24"/>
                <w:szCs w:val="24"/>
              </w:rPr>
              <w:t>До 800 млн. руб</w:t>
            </w:r>
          </w:p>
        </w:tc>
        <w:tc>
          <w:tcPr>
            <w:tcW w:w="2464" w:type="dxa"/>
          </w:tcPr>
          <w:p w14:paraId="18CC0AC7" w14:textId="77777777" w:rsidR="00EA4635" w:rsidRPr="00692C43" w:rsidRDefault="00EA4635" w:rsidP="00EB1CB9">
            <w:pPr>
              <w:rPr>
                <w:rFonts w:ascii="Times New Roman" w:hAnsi="Times New Roman" w:cs="Times New Roman"/>
                <w:sz w:val="24"/>
                <w:szCs w:val="24"/>
              </w:rPr>
            </w:pPr>
            <w:r w:rsidRPr="00692C43">
              <w:rPr>
                <w:rFonts w:ascii="Times New Roman" w:hAnsi="Times New Roman" w:cs="Times New Roman"/>
                <w:sz w:val="24"/>
                <w:szCs w:val="24"/>
              </w:rPr>
              <w:t>До 2 млрд. руб.</w:t>
            </w:r>
          </w:p>
        </w:tc>
      </w:tr>
      <w:tr w:rsidR="00EA4635" w:rsidRPr="00692C43" w14:paraId="3143D096" w14:textId="77777777" w:rsidTr="00DB349B">
        <w:tc>
          <w:tcPr>
            <w:tcW w:w="2576" w:type="dxa"/>
          </w:tcPr>
          <w:p w14:paraId="5F0B22F8"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Доля участия других юридических лиц</w:t>
            </w:r>
          </w:p>
        </w:tc>
        <w:tc>
          <w:tcPr>
            <w:tcW w:w="2463" w:type="dxa"/>
          </w:tcPr>
          <w:p w14:paraId="4949668D"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Не более 25%</w:t>
            </w:r>
          </w:p>
        </w:tc>
        <w:tc>
          <w:tcPr>
            <w:tcW w:w="2464" w:type="dxa"/>
          </w:tcPr>
          <w:p w14:paraId="1FEFFCA0"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Не более 25%</w:t>
            </w:r>
          </w:p>
        </w:tc>
        <w:tc>
          <w:tcPr>
            <w:tcW w:w="2464" w:type="dxa"/>
          </w:tcPr>
          <w:p w14:paraId="54BB51F4"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Не более 25%</w:t>
            </w:r>
          </w:p>
        </w:tc>
      </w:tr>
      <w:tr w:rsidR="00EA4635" w:rsidRPr="00692C43" w14:paraId="7742BA8E" w14:textId="77777777" w:rsidTr="00DB349B">
        <w:tc>
          <w:tcPr>
            <w:tcW w:w="2576" w:type="dxa"/>
          </w:tcPr>
          <w:p w14:paraId="11A5E742"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Категория</w:t>
            </w:r>
          </w:p>
        </w:tc>
        <w:tc>
          <w:tcPr>
            <w:tcW w:w="2463" w:type="dxa"/>
          </w:tcPr>
          <w:p w14:paraId="24A57D82"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Включены в реестр МСП</w:t>
            </w:r>
          </w:p>
        </w:tc>
        <w:tc>
          <w:tcPr>
            <w:tcW w:w="2464" w:type="dxa"/>
          </w:tcPr>
          <w:p w14:paraId="7BCCB658"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Включены в реестр МСП</w:t>
            </w:r>
          </w:p>
        </w:tc>
        <w:tc>
          <w:tcPr>
            <w:tcW w:w="2464" w:type="dxa"/>
          </w:tcPr>
          <w:p w14:paraId="777C512A" w14:textId="77777777" w:rsidR="00EA4635" w:rsidRPr="00692C43" w:rsidRDefault="00EA4635" w:rsidP="00EB1CB9">
            <w:pPr>
              <w:jc w:val="both"/>
              <w:rPr>
                <w:rFonts w:ascii="Times New Roman" w:hAnsi="Times New Roman" w:cs="Times New Roman"/>
                <w:sz w:val="32"/>
                <w:szCs w:val="32"/>
              </w:rPr>
            </w:pPr>
            <w:r w:rsidRPr="00692C43">
              <w:rPr>
                <w:rFonts w:ascii="Times New Roman" w:hAnsi="Times New Roman" w:cs="Times New Roman"/>
                <w:sz w:val="24"/>
                <w:szCs w:val="24"/>
              </w:rPr>
              <w:t>Включены в реестр МСП</w:t>
            </w:r>
          </w:p>
        </w:tc>
      </w:tr>
    </w:tbl>
    <w:p w14:paraId="55FBD4FE" w14:textId="77777777" w:rsidR="00EA4635" w:rsidRPr="00692C43" w:rsidRDefault="00EA4635" w:rsidP="00DB349B">
      <w:pPr>
        <w:spacing w:after="0" w:line="240" w:lineRule="auto"/>
        <w:jc w:val="both"/>
        <w:rPr>
          <w:rFonts w:ascii="Times New Roman" w:hAnsi="Times New Roman" w:cs="Times New Roman"/>
          <w:sz w:val="32"/>
          <w:szCs w:val="32"/>
          <w:lang w:eastAsia="ru-RU"/>
        </w:rPr>
      </w:pPr>
    </w:p>
    <w:p w14:paraId="3926F468"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Современные исследования показывают, что в странах с развитой рыночной экономикой на малый бизнес приходится до 60-70% ВВП. В России этот показатель пока существенно ниже (22% в 2023 году), что свидетельствует о значительном потенциале роста сектора. Особенно важно отметить способность малых предприятий быстро адаптироваться к изменяющимся экономическим условиям, что было наглядно продемонстрировано в период пандемии COVID-19 и последующих санкционных ограничений.</w:t>
      </w:r>
    </w:p>
    <w:p w14:paraId="267B1558" w14:textId="10C49A5E" w:rsidR="00EA4635"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 xml:space="preserve">Методологическая база исследования, представленная в таблице 2, была разработана с учетом современных требований к экономическому анализу. Важно подчеркнуть, что использованный комплексный подход позволяет получить наиболее полную и объективную картину развития малого бизнеса как на федеральном, так и на региональном уровне </w:t>
      </w:r>
      <w:r w:rsidRPr="00DB349B">
        <w:rPr>
          <w:rFonts w:ascii="Times New Roman" w:hAnsi="Times New Roman" w:cs="Times New Roman"/>
          <w:sz w:val="32"/>
          <w:szCs w:val="32"/>
          <w:lang w:eastAsia="ru-RU"/>
        </w:rPr>
        <w:t>[2</w:t>
      </w:r>
      <w:r w:rsidRPr="00692C43">
        <w:rPr>
          <w:rFonts w:ascii="Times New Roman" w:hAnsi="Times New Roman" w:cs="Times New Roman"/>
          <w:sz w:val="32"/>
          <w:szCs w:val="32"/>
          <w:lang w:eastAsia="ru-RU"/>
        </w:rPr>
        <w:t xml:space="preserve">; 3; </w:t>
      </w:r>
      <w:r w:rsidRPr="00DB349B">
        <w:rPr>
          <w:rFonts w:ascii="Times New Roman" w:hAnsi="Times New Roman" w:cs="Times New Roman"/>
          <w:sz w:val="32"/>
          <w:szCs w:val="32"/>
          <w:lang w:eastAsia="ru-RU"/>
        </w:rPr>
        <w:t>4]</w:t>
      </w:r>
      <w:r w:rsidR="00DB349B">
        <w:rPr>
          <w:rFonts w:ascii="Times New Roman" w:hAnsi="Times New Roman" w:cs="Times New Roman"/>
          <w:sz w:val="32"/>
          <w:szCs w:val="32"/>
          <w:lang w:eastAsia="ru-RU"/>
        </w:rPr>
        <w:t>.</w:t>
      </w:r>
    </w:p>
    <w:p w14:paraId="6162D074" w14:textId="77777777" w:rsidR="00DB349B" w:rsidRPr="00DB349B" w:rsidRDefault="00DB349B" w:rsidP="00DB349B">
      <w:pPr>
        <w:spacing w:after="0" w:line="240" w:lineRule="auto"/>
        <w:ind w:firstLine="709"/>
        <w:jc w:val="both"/>
        <w:rPr>
          <w:rFonts w:ascii="Times New Roman" w:hAnsi="Times New Roman" w:cs="Times New Roman"/>
          <w:sz w:val="32"/>
          <w:szCs w:val="32"/>
          <w:lang w:eastAsia="ru-RU"/>
        </w:rPr>
      </w:pPr>
    </w:p>
    <w:p w14:paraId="5AEEA975" w14:textId="0DB5FB1B" w:rsidR="00EA4635" w:rsidRPr="00692C43" w:rsidRDefault="00EA4635" w:rsidP="00EA4635">
      <w:pPr>
        <w:spacing w:after="200" w:line="240" w:lineRule="auto"/>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Таблица 2 - Методологическая база исследования</w:t>
      </w:r>
    </w:p>
    <w:tbl>
      <w:tblPr>
        <w:tblStyle w:val="7"/>
        <w:tblW w:w="9894" w:type="dxa"/>
        <w:tblInd w:w="-5" w:type="dxa"/>
        <w:tblLayout w:type="fixed"/>
        <w:tblLook w:val="04A0" w:firstRow="1" w:lastRow="0" w:firstColumn="1" w:lastColumn="0" w:noHBand="0" w:noVBand="1"/>
      </w:tblPr>
      <w:tblGrid>
        <w:gridCol w:w="3090"/>
        <w:gridCol w:w="3544"/>
        <w:gridCol w:w="3260"/>
      </w:tblGrid>
      <w:tr w:rsidR="00EA4635" w:rsidRPr="00692C43" w14:paraId="15F7E60E" w14:textId="77777777" w:rsidTr="00DB349B">
        <w:tc>
          <w:tcPr>
            <w:tcW w:w="3090" w:type="dxa"/>
          </w:tcPr>
          <w:p w14:paraId="10E7DB34" w14:textId="77777777" w:rsidR="00EA4635" w:rsidRPr="00692C43" w:rsidRDefault="00EA4635" w:rsidP="00EB1CB9">
            <w:pPr>
              <w:ind w:right="617"/>
              <w:jc w:val="both"/>
              <w:rPr>
                <w:rFonts w:ascii="Times New Roman" w:hAnsi="Times New Roman" w:cs="Times New Roman"/>
                <w:sz w:val="24"/>
                <w:szCs w:val="24"/>
              </w:rPr>
            </w:pPr>
            <w:r w:rsidRPr="00692C43">
              <w:rPr>
                <w:rFonts w:ascii="Times New Roman" w:hAnsi="Times New Roman" w:cs="Times New Roman"/>
                <w:sz w:val="24"/>
                <w:szCs w:val="24"/>
              </w:rPr>
              <w:t>Метод</w:t>
            </w:r>
          </w:p>
        </w:tc>
        <w:tc>
          <w:tcPr>
            <w:tcW w:w="3544" w:type="dxa"/>
          </w:tcPr>
          <w:p w14:paraId="29D10A5F" w14:textId="77777777" w:rsidR="00EA4635" w:rsidRPr="00692C43" w:rsidRDefault="00EA4635" w:rsidP="00EB1CB9">
            <w:pPr>
              <w:ind w:right="617"/>
              <w:jc w:val="both"/>
              <w:rPr>
                <w:rFonts w:ascii="Times New Roman" w:hAnsi="Times New Roman" w:cs="Times New Roman"/>
                <w:sz w:val="24"/>
                <w:szCs w:val="24"/>
              </w:rPr>
            </w:pPr>
            <w:r w:rsidRPr="00692C43">
              <w:rPr>
                <w:rFonts w:ascii="Times New Roman" w:hAnsi="Times New Roman" w:cs="Times New Roman"/>
                <w:sz w:val="24"/>
                <w:szCs w:val="24"/>
              </w:rPr>
              <w:t>Применение</w:t>
            </w:r>
          </w:p>
        </w:tc>
        <w:tc>
          <w:tcPr>
            <w:tcW w:w="3260" w:type="dxa"/>
          </w:tcPr>
          <w:p w14:paraId="5387A5FE" w14:textId="77777777" w:rsidR="00EA4635" w:rsidRPr="00692C43" w:rsidRDefault="00EA4635" w:rsidP="00EB1CB9">
            <w:pPr>
              <w:ind w:right="617"/>
              <w:jc w:val="both"/>
              <w:rPr>
                <w:rFonts w:ascii="Times New Roman" w:hAnsi="Times New Roman" w:cs="Times New Roman"/>
                <w:sz w:val="24"/>
                <w:szCs w:val="24"/>
              </w:rPr>
            </w:pPr>
            <w:r w:rsidRPr="00692C43">
              <w:rPr>
                <w:rFonts w:ascii="Times New Roman" w:hAnsi="Times New Roman" w:cs="Times New Roman"/>
                <w:sz w:val="24"/>
                <w:szCs w:val="24"/>
              </w:rPr>
              <w:t>Источник данных</w:t>
            </w:r>
          </w:p>
        </w:tc>
      </w:tr>
      <w:tr w:rsidR="00EA4635" w:rsidRPr="00692C43" w14:paraId="3AB1B040" w14:textId="77777777" w:rsidTr="00DB349B">
        <w:tc>
          <w:tcPr>
            <w:tcW w:w="3090" w:type="dxa"/>
          </w:tcPr>
          <w:p w14:paraId="62416653"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Статистический анализ</w:t>
            </w:r>
          </w:p>
        </w:tc>
        <w:tc>
          <w:tcPr>
            <w:tcW w:w="3544" w:type="dxa"/>
          </w:tcPr>
          <w:p w14:paraId="01FF63AF"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 xml:space="preserve">Оценка динамики показателей </w:t>
            </w:r>
          </w:p>
        </w:tc>
        <w:tc>
          <w:tcPr>
            <w:tcW w:w="3260" w:type="dxa"/>
          </w:tcPr>
          <w:p w14:paraId="3D9FE8C5"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Данные Росстата</w:t>
            </w:r>
          </w:p>
        </w:tc>
      </w:tr>
      <w:tr w:rsidR="00EA4635" w:rsidRPr="00692C43" w14:paraId="69604665" w14:textId="77777777" w:rsidTr="00DB349B">
        <w:tc>
          <w:tcPr>
            <w:tcW w:w="3090" w:type="dxa"/>
          </w:tcPr>
          <w:p w14:paraId="4DC35A32"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Сравнительный метод</w:t>
            </w:r>
          </w:p>
        </w:tc>
        <w:tc>
          <w:tcPr>
            <w:tcW w:w="3544" w:type="dxa"/>
          </w:tcPr>
          <w:p w14:paraId="5A680CED"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Сопоставление региональных и федеральных данных</w:t>
            </w:r>
          </w:p>
        </w:tc>
        <w:tc>
          <w:tcPr>
            <w:tcW w:w="3260" w:type="dxa"/>
          </w:tcPr>
          <w:p w14:paraId="64C4B4FD"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Отчеты Минэкономразвития</w:t>
            </w:r>
          </w:p>
        </w:tc>
      </w:tr>
      <w:tr w:rsidR="00EA4635" w:rsidRPr="00692C43" w14:paraId="46CB185E" w14:textId="77777777" w:rsidTr="00DB349B">
        <w:tc>
          <w:tcPr>
            <w:tcW w:w="3090" w:type="dxa"/>
          </w:tcPr>
          <w:p w14:paraId="2D796D87"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Структурный анализ</w:t>
            </w:r>
          </w:p>
        </w:tc>
        <w:tc>
          <w:tcPr>
            <w:tcW w:w="3544" w:type="dxa"/>
          </w:tcPr>
          <w:p w14:paraId="266BAFE8"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Изучение отраслевого распределения</w:t>
            </w:r>
          </w:p>
        </w:tc>
        <w:tc>
          <w:tcPr>
            <w:tcW w:w="3260" w:type="dxa"/>
          </w:tcPr>
          <w:p w14:paraId="0C482549" w14:textId="77777777" w:rsidR="00EA4635" w:rsidRPr="00692C43" w:rsidRDefault="00EA4635" w:rsidP="00EB1CB9">
            <w:pPr>
              <w:ind w:right="617"/>
              <w:rPr>
                <w:rFonts w:ascii="Times New Roman" w:hAnsi="Times New Roman" w:cs="Times New Roman"/>
                <w:sz w:val="24"/>
                <w:szCs w:val="24"/>
              </w:rPr>
            </w:pPr>
            <w:r w:rsidRPr="00692C43">
              <w:rPr>
                <w:rFonts w:ascii="Times New Roman" w:hAnsi="Times New Roman" w:cs="Times New Roman"/>
                <w:sz w:val="24"/>
                <w:szCs w:val="24"/>
              </w:rPr>
              <w:t>Региональная статистика</w:t>
            </w:r>
          </w:p>
        </w:tc>
      </w:tr>
    </w:tbl>
    <w:p w14:paraId="7872A67C" w14:textId="77777777" w:rsidR="00EA4635" w:rsidRPr="00692C43" w:rsidRDefault="00EA4635" w:rsidP="00EA4635">
      <w:pPr>
        <w:spacing w:after="0" w:line="240" w:lineRule="auto"/>
        <w:jc w:val="both"/>
        <w:rPr>
          <w:rFonts w:ascii="Times New Roman" w:hAnsi="Times New Roman" w:cs="Times New Roman"/>
          <w:sz w:val="32"/>
          <w:szCs w:val="32"/>
          <w:lang w:eastAsia="ru-RU"/>
        </w:rPr>
      </w:pPr>
    </w:p>
    <w:p w14:paraId="6169E92B" w14:textId="77777777" w:rsidR="00EA4635" w:rsidRPr="00692C43" w:rsidRDefault="00EA4635" w:rsidP="00EA4635">
      <w:pPr>
        <w:spacing w:after="0" w:line="240" w:lineRule="auto"/>
        <w:ind w:firstLine="851"/>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 xml:space="preserve">Особое значение имел сравнительный метод, который позволил выявить как общие тенденции, так и региональную специфику </w:t>
      </w:r>
      <w:r w:rsidRPr="00692C43">
        <w:rPr>
          <w:rFonts w:ascii="Times New Roman" w:hAnsi="Times New Roman" w:cs="Times New Roman"/>
          <w:sz w:val="32"/>
          <w:szCs w:val="32"/>
          <w:lang w:eastAsia="ru-RU"/>
        </w:rPr>
        <w:lastRenderedPageBreak/>
        <w:t>развития малого предпринимательства. При этом важно отметить, что сравнение проводилось не только по абсолютным показателям, но и по относительным величинам (на душу населения, в процентах к ВВП и т.д.), что повысило достоверность полученных результатов.</w:t>
      </w:r>
    </w:p>
    <w:p w14:paraId="3722F5DB" w14:textId="77777777" w:rsidR="00EA4635" w:rsidRPr="00692C43" w:rsidRDefault="00EA4635" w:rsidP="00EA4635">
      <w:pPr>
        <w:spacing w:after="0" w:line="240" w:lineRule="auto"/>
        <w:ind w:firstLine="851"/>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Проведенный анализ статистических данных за период 2020-2023 годов позволяет выявить устойчивую положительную динамику развития малого и среднего предпринимательства в Российской Федерации. Как видно из таблицы 3, количество субъектов МСП за исследуемый период увеличилось на 6,8%, достигнув в 2023 году 6,3 млн предприятий. Этот рост происходил неравномерно: наиболее значительный прирост (+3,4%) наблюдался в 2021 году, что было связано с посткризисным восстановлением экономики после пандемии COVID-19 [2; 3; 5].</w:t>
      </w:r>
    </w:p>
    <w:p w14:paraId="533EA73A" w14:textId="5EFDC72B" w:rsidR="00EA4635" w:rsidRPr="00692C43" w:rsidRDefault="00EA4635" w:rsidP="00EA4635">
      <w:pPr>
        <w:spacing w:after="200" w:line="240" w:lineRule="auto"/>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Таблица 3 - Основные показатели МСП в РФ 2020-2023 гг.</w:t>
      </w:r>
    </w:p>
    <w:tbl>
      <w:tblPr>
        <w:tblStyle w:val="7"/>
        <w:tblW w:w="9639" w:type="dxa"/>
        <w:tblInd w:w="-5" w:type="dxa"/>
        <w:tblLook w:val="04A0" w:firstRow="1" w:lastRow="0" w:firstColumn="1" w:lastColumn="0" w:noHBand="0" w:noVBand="1"/>
      </w:tblPr>
      <w:tblGrid>
        <w:gridCol w:w="2523"/>
        <w:gridCol w:w="2410"/>
        <w:gridCol w:w="2551"/>
        <w:gridCol w:w="2155"/>
      </w:tblGrid>
      <w:tr w:rsidR="00EA4635" w:rsidRPr="00692C43" w14:paraId="656AF38C" w14:textId="77777777" w:rsidTr="00DB349B">
        <w:tc>
          <w:tcPr>
            <w:tcW w:w="2523" w:type="dxa"/>
          </w:tcPr>
          <w:p w14:paraId="25A23FA7"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Показатель</w:t>
            </w:r>
          </w:p>
        </w:tc>
        <w:tc>
          <w:tcPr>
            <w:tcW w:w="2410" w:type="dxa"/>
          </w:tcPr>
          <w:p w14:paraId="5C70AC81"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Количество предприятий (тыс.)</w:t>
            </w:r>
          </w:p>
        </w:tc>
        <w:tc>
          <w:tcPr>
            <w:tcW w:w="2551" w:type="dxa"/>
          </w:tcPr>
          <w:p w14:paraId="6996AB99"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Доля в ВВП (%)</w:t>
            </w:r>
          </w:p>
        </w:tc>
        <w:tc>
          <w:tcPr>
            <w:tcW w:w="2155" w:type="dxa"/>
          </w:tcPr>
          <w:p w14:paraId="54420B82"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Занятость</w:t>
            </w:r>
          </w:p>
          <w:p w14:paraId="04C06EE5"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(млн. чел.)</w:t>
            </w:r>
          </w:p>
        </w:tc>
      </w:tr>
      <w:tr w:rsidR="00EA4635" w:rsidRPr="00692C43" w14:paraId="3EC2C534" w14:textId="77777777" w:rsidTr="00DB349B">
        <w:tc>
          <w:tcPr>
            <w:tcW w:w="2523" w:type="dxa"/>
          </w:tcPr>
          <w:p w14:paraId="530E3014"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2020 </w:t>
            </w:r>
            <w:r w:rsidRPr="00692C43">
              <w:rPr>
                <w:sz w:val="24"/>
                <w:szCs w:val="24"/>
              </w:rPr>
              <w:t>г.</w:t>
            </w:r>
          </w:p>
        </w:tc>
        <w:tc>
          <w:tcPr>
            <w:tcW w:w="2410" w:type="dxa"/>
          </w:tcPr>
          <w:p w14:paraId="62575085"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5900</w:t>
            </w:r>
          </w:p>
        </w:tc>
        <w:tc>
          <w:tcPr>
            <w:tcW w:w="2551" w:type="dxa"/>
          </w:tcPr>
          <w:p w14:paraId="4AB8F5AD"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20,1</w:t>
            </w:r>
          </w:p>
        </w:tc>
        <w:tc>
          <w:tcPr>
            <w:tcW w:w="2155" w:type="dxa"/>
          </w:tcPr>
          <w:p w14:paraId="34B5D540"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16,2</w:t>
            </w:r>
          </w:p>
        </w:tc>
      </w:tr>
      <w:tr w:rsidR="00EA4635" w:rsidRPr="00692C43" w14:paraId="07EE6465" w14:textId="77777777" w:rsidTr="00DB349B">
        <w:tc>
          <w:tcPr>
            <w:tcW w:w="2523" w:type="dxa"/>
          </w:tcPr>
          <w:p w14:paraId="51142445"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2021 </w:t>
            </w:r>
            <w:r w:rsidRPr="00692C43">
              <w:rPr>
                <w:sz w:val="24"/>
                <w:szCs w:val="24"/>
              </w:rPr>
              <w:t>г.</w:t>
            </w:r>
          </w:p>
        </w:tc>
        <w:tc>
          <w:tcPr>
            <w:tcW w:w="2410" w:type="dxa"/>
          </w:tcPr>
          <w:p w14:paraId="0CC056BE"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6100 (+200)</w:t>
            </w:r>
          </w:p>
        </w:tc>
        <w:tc>
          <w:tcPr>
            <w:tcW w:w="2551" w:type="dxa"/>
          </w:tcPr>
          <w:p w14:paraId="49CC6B2C"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21,3 (+1,2)</w:t>
            </w:r>
          </w:p>
        </w:tc>
        <w:tc>
          <w:tcPr>
            <w:tcW w:w="2155" w:type="dxa"/>
          </w:tcPr>
          <w:p w14:paraId="42386102"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16,8 (+0,6)</w:t>
            </w:r>
          </w:p>
        </w:tc>
      </w:tr>
      <w:tr w:rsidR="00EA4635" w:rsidRPr="00692C43" w14:paraId="601F7E36" w14:textId="77777777" w:rsidTr="00DB349B">
        <w:tc>
          <w:tcPr>
            <w:tcW w:w="2523" w:type="dxa"/>
          </w:tcPr>
          <w:p w14:paraId="5F8E21EC"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2022 </w:t>
            </w:r>
            <w:r w:rsidRPr="00692C43">
              <w:rPr>
                <w:sz w:val="24"/>
                <w:szCs w:val="24"/>
              </w:rPr>
              <w:t>г.</w:t>
            </w:r>
          </w:p>
        </w:tc>
        <w:tc>
          <w:tcPr>
            <w:tcW w:w="2410" w:type="dxa"/>
          </w:tcPr>
          <w:p w14:paraId="6AB85384"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6200 (+100)</w:t>
            </w:r>
          </w:p>
        </w:tc>
        <w:tc>
          <w:tcPr>
            <w:tcW w:w="2551" w:type="dxa"/>
          </w:tcPr>
          <w:p w14:paraId="3C68E7AA"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21,7 (+0,4)</w:t>
            </w:r>
          </w:p>
        </w:tc>
        <w:tc>
          <w:tcPr>
            <w:tcW w:w="2155" w:type="dxa"/>
          </w:tcPr>
          <w:p w14:paraId="1F8C3023"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17,3 (+0,5)</w:t>
            </w:r>
          </w:p>
        </w:tc>
      </w:tr>
      <w:tr w:rsidR="00EA4635" w:rsidRPr="00692C43" w14:paraId="5A399760" w14:textId="77777777" w:rsidTr="00DB349B">
        <w:tc>
          <w:tcPr>
            <w:tcW w:w="2523" w:type="dxa"/>
          </w:tcPr>
          <w:p w14:paraId="3339D31B"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2023 </w:t>
            </w:r>
            <w:r w:rsidRPr="00692C43">
              <w:rPr>
                <w:sz w:val="24"/>
                <w:szCs w:val="24"/>
              </w:rPr>
              <w:t>г.</w:t>
            </w:r>
          </w:p>
        </w:tc>
        <w:tc>
          <w:tcPr>
            <w:tcW w:w="2410" w:type="dxa"/>
          </w:tcPr>
          <w:p w14:paraId="4C648574"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6300 (+100)</w:t>
            </w:r>
          </w:p>
        </w:tc>
        <w:tc>
          <w:tcPr>
            <w:tcW w:w="2551" w:type="dxa"/>
          </w:tcPr>
          <w:p w14:paraId="47609A64"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22,0 (+0,3)</w:t>
            </w:r>
          </w:p>
        </w:tc>
        <w:tc>
          <w:tcPr>
            <w:tcW w:w="2155" w:type="dxa"/>
          </w:tcPr>
          <w:p w14:paraId="600FD3B4"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17,8 (+0,5)</w:t>
            </w:r>
          </w:p>
        </w:tc>
      </w:tr>
      <w:tr w:rsidR="00EA4635" w:rsidRPr="00692C43" w14:paraId="4087847F" w14:textId="77777777" w:rsidTr="00DB349B">
        <w:tc>
          <w:tcPr>
            <w:tcW w:w="2523" w:type="dxa"/>
          </w:tcPr>
          <w:p w14:paraId="6E7128CC"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Абсолютное изменение </w:t>
            </w:r>
          </w:p>
          <w:p w14:paraId="0636FBAB"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(2020 </w:t>
            </w:r>
            <w:r w:rsidRPr="00692C43">
              <w:rPr>
                <w:sz w:val="24"/>
                <w:szCs w:val="24"/>
              </w:rPr>
              <w:t xml:space="preserve">г. к </w:t>
            </w:r>
            <w:r w:rsidRPr="00692C43">
              <w:rPr>
                <w:rFonts w:ascii="Times New Roman" w:hAnsi="Times New Roman" w:cs="Times New Roman"/>
                <w:sz w:val="24"/>
                <w:szCs w:val="24"/>
              </w:rPr>
              <w:t xml:space="preserve">2023 </w:t>
            </w:r>
            <w:r w:rsidRPr="00692C43">
              <w:rPr>
                <w:sz w:val="24"/>
                <w:szCs w:val="24"/>
              </w:rPr>
              <w:t>г.</w:t>
            </w:r>
            <w:r w:rsidRPr="00692C43">
              <w:rPr>
                <w:rFonts w:ascii="Times New Roman" w:hAnsi="Times New Roman" w:cs="Times New Roman"/>
                <w:sz w:val="24"/>
                <w:szCs w:val="24"/>
              </w:rPr>
              <w:t>)</w:t>
            </w:r>
          </w:p>
        </w:tc>
        <w:tc>
          <w:tcPr>
            <w:tcW w:w="2410" w:type="dxa"/>
          </w:tcPr>
          <w:p w14:paraId="066195C8"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+400</w:t>
            </w:r>
          </w:p>
        </w:tc>
        <w:tc>
          <w:tcPr>
            <w:tcW w:w="2551" w:type="dxa"/>
          </w:tcPr>
          <w:p w14:paraId="68BBD825"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+1,9</w:t>
            </w:r>
          </w:p>
        </w:tc>
        <w:tc>
          <w:tcPr>
            <w:tcW w:w="2155" w:type="dxa"/>
          </w:tcPr>
          <w:p w14:paraId="095FF004"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+1,6</w:t>
            </w:r>
          </w:p>
        </w:tc>
      </w:tr>
      <w:tr w:rsidR="00EA4635" w:rsidRPr="00692C43" w14:paraId="2D656B17" w14:textId="77777777" w:rsidTr="00DB349B">
        <w:tc>
          <w:tcPr>
            <w:tcW w:w="2523" w:type="dxa"/>
          </w:tcPr>
          <w:p w14:paraId="29F2DB13"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Относительное изменение </w:t>
            </w:r>
          </w:p>
          <w:p w14:paraId="64CB20B2"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 xml:space="preserve">(2020 </w:t>
            </w:r>
            <w:r w:rsidRPr="00692C43">
              <w:rPr>
                <w:sz w:val="24"/>
                <w:szCs w:val="24"/>
              </w:rPr>
              <w:t xml:space="preserve">г. к </w:t>
            </w:r>
            <w:r w:rsidRPr="00692C43">
              <w:rPr>
                <w:rFonts w:ascii="Times New Roman" w:hAnsi="Times New Roman" w:cs="Times New Roman"/>
                <w:sz w:val="24"/>
                <w:szCs w:val="24"/>
              </w:rPr>
              <w:t xml:space="preserve">2023 </w:t>
            </w:r>
            <w:r w:rsidRPr="00692C43">
              <w:rPr>
                <w:sz w:val="24"/>
                <w:szCs w:val="24"/>
              </w:rPr>
              <w:t>г.</w:t>
            </w:r>
            <w:r w:rsidRPr="00692C43">
              <w:rPr>
                <w:rFonts w:ascii="Times New Roman" w:hAnsi="Times New Roman" w:cs="Times New Roman"/>
                <w:sz w:val="24"/>
                <w:szCs w:val="24"/>
              </w:rPr>
              <w:t>)</w:t>
            </w:r>
          </w:p>
        </w:tc>
        <w:tc>
          <w:tcPr>
            <w:tcW w:w="2410" w:type="dxa"/>
          </w:tcPr>
          <w:p w14:paraId="5FB240BA"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+6,8%</w:t>
            </w:r>
          </w:p>
        </w:tc>
        <w:tc>
          <w:tcPr>
            <w:tcW w:w="2551" w:type="dxa"/>
          </w:tcPr>
          <w:p w14:paraId="546A0745"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+9,5%</w:t>
            </w:r>
          </w:p>
        </w:tc>
        <w:tc>
          <w:tcPr>
            <w:tcW w:w="2155" w:type="dxa"/>
          </w:tcPr>
          <w:p w14:paraId="02A5CAE5"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+9,9%</w:t>
            </w:r>
          </w:p>
        </w:tc>
      </w:tr>
      <w:tr w:rsidR="00EA4635" w:rsidRPr="00692C43" w14:paraId="32F12F0B" w14:textId="77777777" w:rsidTr="00DB349B">
        <w:tc>
          <w:tcPr>
            <w:tcW w:w="2523" w:type="dxa"/>
          </w:tcPr>
          <w:p w14:paraId="26CA182B" w14:textId="77777777" w:rsidR="00EA4635" w:rsidRPr="00692C43" w:rsidRDefault="00EA4635" w:rsidP="00EB1CB9">
            <w:pPr>
              <w:jc w:val="both"/>
              <w:rPr>
                <w:rFonts w:ascii="Times New Roman" w:hAnsi="Times New Roman" w:cs="Times New Roman"/>
                <w:sz w:val="24"/>
                <w:szCs w:val="24"/>
              </w:rPr>
            </w:pPr>
            <w:r w:rsidRPr="00692C43">
              <w:rPr>
                <w:rFonts w:ascii="Times New Roman" w:hAnsi="Times New Roman" w:cs="Times New Roman"/>
                <w:sz w:val="24"/>
                <w:szCs w:val="24"/>
              </w:rPr>
              <w:t>Средний годовой темп роста, %</w:t>
            </w:r>
          </w:p>
        </w:tc>
        <w:tc>
          <w:tcPr>
            <w:tcW w:w="2410" w:type="dxa"/>
          </w:tcPr>
          <w:p w14:paraId="320DE6B0"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+2,2%</w:t>
            </w:r>
          </w:p>
        </w:tc>
        <w:tc>
          <w:tcPr>
            <w:tcW w:w="2551" w:type="dxa"/>
          </w:tcPr>
          <w:p w14:paraId="5A57C933"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+3,1%</w:t>
            </w:r>
          </w:p>
        </w:tc>
        <w:tc>
          <w:tcPr>
            <w:tcW w:w="2155" w:type="dxa"/>
          </w:tcPr>
          <w:p w14:paraId="74CE8C81" w14:textId="77777777" w:rsidR="00EA4635" w:rsidRPr="00692C43" w:rsidRDefault="00EA4635" w:rsidP="00EB1CB9">
            <w:pPr>
              <w:jc w:val="center"/>
              <w:rPr>
                <w:rFonts w:ascii="Times New Roman" w:hAnsi="Times New Roman" w:cs="Times New Roman"/>
                <w:sz w:val="24"/>
                <w:szCs w:val="24"/>
              </w:rPr>
            </w:pPr>
            <w:r w:rsidRPr="00692C43">
              <w:rPr>
                <w:rFonts w:ascii="Times New Roman" w:hAnsi="Times New Roman" w:cs="Times New Roman"/>
                <w:sz w:val="24"/>
                <w:szCs w:val="24"/>
              </w:rPr>
              <w:t>+3,2%</w:t>
            </w:r>
          </w:p>
        </w:tc>
      </w:tr>
    </w:tbl>
    <w:p w14:paraId="69A68E56" w14:textId="77777777" w:rsidR="00EA4635" w:rsidRPr="00692C43" w:rsidRDefault="00EA4635" w:rsidP="00EA4635">
      <w:pPr>
        <w:spacing w:after="200" w:line="240" w:lineRule="auto"/>
        <w:jc w:val="both"/>
        <w:rPr>
          <w:rFonts w:ascii="Times New Roman" w:hAnsi="Times New Roman" w:cs="Times New Roman"/>
          <w:sz w:val="32"/>
          <w:szCs w:val="32"/>
          <w:lang w:eastAsia="ru-RU"/>
        </w:rPr>
      </w:pPr>
    </w:p>
    <w:p w14:paraId="35AF752D"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Анализ развития малого бизнеса в Краснодарском крае выявляет существенные отличия от общероссийских тенденций. Как показано в таблице 4, плотность распределения МСП в регионе значительно превышает среднероссийские показатели - 52 предприятия на 1000 жителей против 43 по стране в целом. Это объясняется уникальным сочетанием благоприятных экономических условий и развитой инфраструктурой поддержки предпринимательства [2; 3; 4].</w:t>
      </w:r>
    </w:p>
    <w:p w14:paraId="272F0376"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Темпы роста количества субъектов МСП в Краснодарском крае в 2023 году составили 3,2%, что в два раза превышает общероссийский показатель.</w:t>
      </w:r>
    </w:p>
    <w:p w14:paraId="51A47D9D" w14:textId="77777777" w:rsidR="00EA4635" w:rsidRPr="00692C43" w:rsidRDefault="00EA4635" w:rsidP="00EA4635">
      <w:pPr>
        <w:spacing w:after="200" w:line="240" w:lineRule="auto"/>
        <w:ind w:firstLine="851"/>
        <w:jc w:val="both"/>
        <w:rPr>
          <w:rFonts w:ascii="Times New Roman" w:hAnsi="Times New Roman" w:cs="Times New Roman"/>
          <w:sz w:val="32"/>
          <w:szCs w:val="32"/>
          <w:lang w:eastAsia="ru-RU"/>
        </w:rPr>
      </w:pPr>
    </w:p>
    <w:p w14:paraId="2E73CF45" w14:textId="4E39B66E" w:rsidR="00EA4635" w:rsidRPr="00692C43" w:rsidRDefault="00EA4635" w:rsidP="00EA4635">
      <w:pPr>
        <w:spacing w:after="200" w:line="240" w:lineRule="auto"/>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lastRenderedPageBreak/>
        <w:t>Таблица 4 - Сравнительные показатели МСП (2023 г.)</w:t>
      </w:r>
    </w:p>
    <w:tbl>
      <w:tblPr>
        <w:tblStyle w:val="7"/>
        <w:tblW w:w="9526" w:type="dxa"/>
        <w:tblInd w:w="108" w:type="dxa"/>
        <w:tblLook w:val="04A0" w:firstRow="1" w:lastRow="0" w:firstColumn="1" w:lastColumn="0" w:noHBand="0" w:noVBand="1"/>
      </w:tblPr>
      <w:tblGrid>
        <w:gridCol w:w="3544"/>
        <w:gridCol w:w="3119"/>
        <w:gridCol w:w="2863"/>
      </w:tblGrid>
      <w:tr w:rsidR="00EA4635" w:rsidRPr="00DB349B" w14:paraId="2C51D124" w14:textId="77777777" w:rsidTr="00DB349B">
        <w:tc>
          <w:tcPr>
            <w:tcW w:w="3544" w:type="dxa"/>
          </w:tcPr>
          <w:p w14:paraId="2BE35EBD"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Показатель</w:t>
            </w:r>
          </w:p>
        </w:tc>
        <w:tc>
          <w:tcPr>
            <w:tcW w:w="3119" w:type="dxa"/>
          </w:tcPr>
          <w:p w14:paraId="4CB635E0"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РФ</w:t>
            </w:r>
          </w:p>
        </w:tc>
        <w:tc>
          <w:tcPr>
            <w:tcW w:w="2863" w:type="dxa"/>
          </w:tcPr>
          <w:p w14:paraId="053DBB94"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Краснодарский край</w:t>
            </w:r>
          </w:p>
        </w:tc>
      </w:tr>
      <w:tr w:rsidR="00EA4635" w:rsidRPr="00DB349B" w14:paraId="00325BBF" w14:textId="77777777" w:rsidTr="00DB349B">
        <w:trPr>
          <w:trHeight w:val="706"/>
        </w:trPr>
        <w:tc>
          <w:tcPr>
            <w:tcW w:w="3544" w:type="dxa"/>
          </w:tcPr>
          <w:p w14:paraId="59D12AA4"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 xml:space="preserve">Количество МСП на 1000 жителей </w:t>
            </w:r>
          </w:p>
        </w:tc>
        <w:tc>
          <w:tcPr>
            <w:tcW w:w="3119" w:type="dxa"/>
          </w:tcPr>
          <w:p w14:paraId="485DCA3E"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43</w:t>
            </w:r>
          </w:p>
        </w:tc>
        <w:tc>
          <w:tcPr>
            <w:tcW w:w="2863" w:type="dxa"/>
          </w:tcPr>
          <w:p w14:paraId="51247F3E"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52</w:t>
            </w:r>
          </w:p>
        </w:tc>
      </w:tr>
      <w:tr w:rsidR="00EA4635" w:rsidRPr="00DB349B" w14:paraId="6343B828" w14:textId="77777777" w:rsidTr="00DB349B">
        <w:tc>
          <w:tcPr>
            <w:tcW w:w="3544" w:type="dxa"/>
          </w:tcPr>
          <w:p w14:paraId="26F66948"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 xml:space="preserve">Темпы роста количества </w:t>
            </w:r>
            <w:proofErr w:type="gramStart"/>
            <w:r w:rsidRPr="00DB349B">
              <w:rPr>
                <w:rFonts w:ascii="Times New Roman" w:hAnsi="Times New Roman" w:cs="Times New Roman"/>
                <w:sz w:val="28"/>
                <w:szCs w:val="28"/>
              </w:rPr>
              <w:t>МСП(</w:t>
            </w:r>
            <w:proofErr w:type="gramEnd"/>
            <w:r w:rsidRPr="00DB349B">
              <w:rPr>
                <w:rFonts w:ascii="Times New Roman" w:hAnsi="Times New Roman" w:cs="Times New Roman"/>
                <w:sz w:val="28"/>
                <w:szCs w:val="28"/>
              </w:rPr>
              <w:t>%)</w:t>
            </w:r>
          </w:p>
        </w:tc>
        <w:tc>
          <w:tcPr>
            <w:tcW w:w="3119" w:type="dxa"/>
          </w:tcPr>
          <w:p w14:paraId="5631C027"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1,6</w:t>
            </w:r>
          </w:p>
        </w:tc>
        <w:tc>
          <w:tcPr>
            <w:tcW w:w="2863" w:type="dxa"/>
          </w:tcPr>
          <w:p w14:paraId="4DA58DF4"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3,2</w:t>
            </w:r>
          </w:p>
        </w:tc>
      </w:tr>
      <w:tr w:rsidR="00EA4635" w:rsidRPr="00DB349B" w14:paraId="3B9B74F6" w14:textId="77777777" w:rsidTr="00DB349B">
        <w:tc>
          <w:tcPr>
            <w:tcW w:w="3544" w:type="dxa"/>
          </w:tcPr>
          <w:p w14:paraId="37FCD3AA"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 xml:space="preserve">Доля в региональном </w:t>
            </w:r>
            <w:proofErr w:type="gramStart"/>
            <w:r w:rsidRPr="00DB349B">
              <w:rPr>
                <w:rFonts w:ascii="Times New Roman" w:hAnsi="Times New Roman" w:cs="Times New Roman"/>
                <w:sz w:val="28"/>
                <w:szCs w:val="28"/>
              </w:rPr>
              <w:t>ВВП(</w:t>
            </w:r>
            <w:proofErr w:type="gramEnd"/>
            <w:r w:rsidRPr="00DB349B">
              <w:rPr>
                <w:rFonts w:ascii="Times New Roman" w:hAnsi="Times New Roman" w:cs="Times New Roman"/>
                <w:sz w:val="28"/>
                <w:szCs w:val="28"/>
              </w:rPr>
              <w:t>%)</w:t>
            </w:r>
          </w:p>
        </w:tc>
        <w:tc>
          <w:tcPr>
            <w:tcW w:w="3119" w:type="dxa"/>
          </w:tcPr>
          <w:p w14:paraId="7950E145"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22,0</w:t>
            </w:r>
          </w:p>
        </w:tc>
        <w:tc>
          <w:tcPr>
            <w:tcW w:w="2863" w:type="dxa"/>
          </w:tcPr>
          <w:p w14:paraId="2EDEFCF8"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30,5</w:t>
            </w:r>
          </w:p>
        </w:tc>
      </w:tr>
    </w:tbl>
    <w:p w14:paraId="55E2C40D" w14:textId="77777777" w:rsidR="00EA4635" w:rsidRPr="00692C43" w:rsidRDefault="00EA4635" w:rsidP="00EA4635">
      <w:pPr>
        <w:spacing w:after="0" w:line="240" w:lineRule="auto"/>
        <w:jc w:val="both"/>
        <w:rPr>
          <w:rFonts w:ascii="Times New Roman" w:hAnsi="Times New Roman" w:cs="Times New Roman"/>
          <w:sz w:val="32"/>
          <w:szCs w:val="32"/>
          <w:lang w:eastAsia="ru-RU"/>
        </w:rPr>
      </w:pPr>
    </w:p>
    <w:p w14:paraId="778819E2"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Столь значительное отличие обусловлено несколькими региональными особенностями: высоким потребительским спросом благодаря развитому туристическому кластеру и высокой покупательной способности населения; благоприятными агроклиматическими условиями для развития агробизнеса и пищевой промышленности; эффективной системой региональной поддержки предпринимательства, включающей гранты, субсидии и образовательные программы; выгодным географическим положением, способствующим развитию экспортно-ориентированных предприятий.</w:t>
      </w:r>
    </w:p>
    <w:p w14:paraId="3B55FA46" w14:textId="5537E428" w:rsidR="00EA4635"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 xml:space="preserve">Анализ современного состояния малого бизнеса в России и Краснодарском крае выявил комплекс системных проблем, требующих незамедлительного решения. Как показано в таблице 5, наиболее острой остается проблема высокой налоговой нагрузки, которую отмечают 68% предпринимателей. Особенно тяжелое бремя налогообложения ложится на начинающие предприятия в первые 2-3 года работы, когда бизнес еще не вышел на устойчивые показатели рентабельности </w:t>
      </w:r>
      <w:r w:rsidRPr="00DB349B">
        <w:rPr>
          <w:rFonts w:ascii="Times New Roman" w:hAnsi="Times New Roman" w:cs="Times New Roman"/>
          <w:sz w:val="32"/>
          <w:szCs w:val="32"/>
          <w:lang w:eastAsia="ru-RU"/>
        </w:rPr>
        <w:t>[3</w:t>
      </w:r>
      <w:r w:rsidRPr="00692C43">
        <w:rPr>
          <w:rFonts w:ascii="Times New Roman" w:hAnsi="Times New Roman" w:cs="Times New Roman"/>
          <w:sz w:val="32"/>
          <w:szCs w:val="32"/>
          <w:lang w:eastAsia="ru-RU"/>
        </w:rPr>
        <w:t xml:space="preserve">; </w:t>
      </w:r>
      <w:r w:rsidRPr="00DB349B">
        <w:rPr>
          <w:rFonts w:ascii="Times New Roman" w:hAnsi="Times New Roman" w:cs="Times New Roman"/>
          <w:sz w:val="32"/>
          <w:szCs w:val="32"/>
          <w:lang w:eastAsia="ru-RU"/>
        </w:rPr>
        <w:t>5]</w:t>
      </w:r>
      <w:r w:rsidR="00DB349B">
        <w:rPr>
          <w:rFonts w:ascii="Times New Roman" w:hAnsi="Times New Roman" w:cs="Times New Roman"/>
          <w:sz w:val="32"/>
          <w:szCs w:val="32"/>
          <w:lang w:eastAsia="ru-RU"/>
        </w:rPr>
        <w:t>.</w:t>
      </w:r>
    </w:p>
    <w:p w14:paraId="5C38A507" w14:textId="77777777" w:rsidR="00DB349B" w:rsidRPr="00DB349B" w:rsidRDefault="00DB349B" w:rsidP="00DB349B">
      <w:pPr>
        <w:spacing w:after="0" w:line="240" w:lineRule="auto"/>
        <w:ind w:firstLine="709"/>
        <w:jc w:val="both"/>
        <w:rPr>
          <w:rFonts w:ascii="Times New Roman" w:hAnsi="Times New Roman" w:cs="Times New Roman"/>
          <w:sz w:val="32"/>
          <w:szCs w:val="32"/>
          <w:lang w:eastAsia="ru-RU"/>
        </w:rPr>
      </w:pPr>
    </w:p>
    <w:p w14:paraId="6C6F1CFA" w14:textId="2A1726CA" w:rsidR="00EA4635" w:rsidRPr="00692C43" w:rsidRDefault="00EA4635" w:rsidP="00EA4635">
      <w:pPr>
        <w:spacing w:after="200" w:line="240" w:lineRule="auto"/>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Таблица 5 - Рейтинг проблем малого бизнеса</w:t>
      </w:r>
    </w:p>
    <w:tbl>
      <w:tblPr>
        <w:tblStyle w:val="7"/>
        <w:tblW w:w="9526" w:type="dxa"/>
        <w:tblInd w:w="108" w:type="dxa"/>
        <w:tblLook w:val="04A0" w:firstRow="1" w:lastRow="0" w:firstColumn="1" w:lastColumn="0" w:noHBand="0" w:noVBand="1"/>
      </w:tblPr>
      <w:tblGrid>
        <w:gridCol w:w="5245"/>
        <w:gridCol w:w="4281"/>
      </w:tblGrid>
      <w:tr w:rsidR="00EA4635" w:rsidRPr="00DB349B" w14:paraId="6F985082" w14:textId="77777777" w:rsidTr="00DB349B">
        <w:tc>
          <w:tcPr>
            <w:tcW w:w="5245" w:type="dxa"/>
          </w:tcPr>
          <w:p w14:paraId="7DB7A2F2"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Проблема</w:t>
            </w:r>
          </w:p>
        </w:tc>
        <w:tc>
          <w:tcPr>
            <w:tcW w:w="4281" w:type="dxa"/>
          </w:tcPr>
          <w:p w14:paraId="08F30F22"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Доля респондентов (%)</w:t>
            </w:r>
          </w:p>
        </w:tc>
      </w:tr>
      <w:tr w:rsidR="00EA4635" w:rsidRPr="00DB349B" w14:paraId="3857C556" w14:textId="77777777" w:rsidTr="00DB349B">
        <w:tc>
          <w:tcPr>
            <w:tcW w:w="5245" w:type="dxa"/>
          </w:tcPr>
          <w:p w14:paraId="41557E2B"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Высокие налоги</w:t>
            </w:r>
          </w:p>
        </w:tc>
        <w:tc>
          <w:tcPr>
            <w:tcW w:w="4281" w:type="dxa"/>
          </w:tcPr>
          <w:p w14:paraId="07D603AD"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68%</w:t>
            </w:r>
          </w:p>
        </w:tc>
      </w:tr>
      <w:tr w:rsidR="00EA4635" w:rsidRPr="00DB349B" w14:paraId="5D443E23" w14:textId="77777777" w:rsidTr="00DB349B">
        <w:tc>
          <w:tcPr>
            <w:tcW w:w="5245" w:type="dxa"/>
          </w:tcPr>
          <w:p w14:paraId="1A3A44A5"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Доступ к финансированию</w:t>
            </w:r>
          </w:p>
        </w:tc>
        <w:tc>
          <w:tcPr>
            <w:tcW w:w="4281" w:type="dxa"/>
          </w:tcPr>
          <w:p w14:paraId="48681D98"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57%</w:t>
            </w:r>
          </w:p>
        </w:tc>
      </w:tr>
      <w:tr w:rsidR="00EA4635" w:rsidRPr="00DB349B" w14:paraId="3B9EBC3C" w14:textId="77777777" w:rsidTr="00DB349B">
        <w:tc>
          <w:tcPr>
            <w:tcW w:w="5245" w:type="dxa"/>
          </w:tcPr>
          <w:p w14:paraId="1E10B077"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Административные барьеры</w:t>
            </w:r>
          </w:p>
        </w:tc>
        <w:tc>
          <w:tcPr>
            <w:tcW w:w="4281" w:type="dxa"/>
          </w:tcPr>
          <w:p w14:paraId="014E805A"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49%</w:t>
            </w:r>
          </w:p>
        </w:tc>
      </w:tr>
      <w:tr w:rsidR="00EA4635" w:rsidRPr="00DB349B" w14:paraId="52E34951" w14:textId="77777777" w:rsidTr="00DB349B">
        <w:tc>
          <w:tcPr>
            <w:tcW w:w="5245" w:type="dxa"/>
          </w:tcPr>
          <w:p w14:paraId="53A824D6" w14:textId="77777777" w:rsidR="00EA4635" w:rsidRPr="00DB349B" w:rsidRDefault="00EA4635" w:rsidP="00EB1CB9">
            <w:pPr>
              <w:jc w:val="both"/>
              <w:rPr>
                <w:rFonts w:ascii="Times New Roman" w:hAnsi="Times New Roman" w:cs="Times New Roman"/>
                <w:sz w:val="28"/>
                <w:szCs w:val="28"/>
              </w:rPr>
            </w:pPr>
            <w:r w:rsidRPr="00DB349B">
              <w:rPr>
                <w:rFonts w:ascii="Times New Roman" w:hAnsi="Times New Roman" w:cs="Times New Roman"/>
                <w:sz w:val="28"/>
                <w:szCs w:val="28"/>
              </w:rPr>
              <w:t>Кадровый дефицит</w:t>
            </w:r>
          </w:p>
        </w:tc>
        <w:tc>
          <w:tcPr>
            <w:tcW w:w="4281" w:type="dxa"/>
          </w:tcPr>
          <w:p w14:paraId="7499FF47" w14:textId="77777777" w:rsidR="00EA4635" w:rsidRPr="00DB349B" w:rsidRDefault="00EA4635" w:rsidP="00EB1CB9">
            <w:pPr>
              <w:jc w:val="center"/>
              <w:rPr>
                <w:rFonts w:ascii="Times New Roman" w:hAnsi="Times New Roman" w:cs="Times New Roman"/>
                <w:sz w:val="28"/>
                <w:szCs w:val="28"/>
              </w:rPr>
            </w:pPr>
            <w:r w:rsidRPr="00DB349B">
              <w:rPr>
                <w:rFonts w:ascii="Times New Roman" w:hAnsi="Times New Roman" w:cs="Times New Roman"/>
                <w:sz w:val="28"/>
                <w:szCs w:val="28"/>
              </w:rPr>
              <w:t>42%</w:t>
            </w:r>
          </w:p>
        </w:tc>
      </w:tr>
    </w:tbl>
    <w:p w14:paraId="74809272" w14:textId="77777777" w:rsidR="00EA4635" w:rsidRPr="00692C43" w:rsidRDefault="00EA4635" w:rsidP="00EA4635">
      <w:pPr>
        <w:spacing w:after="0" w:line="240" w:lineRule="auto"/>
        <w:jc w:val="both"/>
        <w:rPr>
          <w:rFonts w:ascii="Times New Roman" w:hAnsi="Times New Roman" w:cs="Times New Roman"/>
          <w:sz w:val="32"/>
          <w:szCs w:val="32"/>
          <w:lang w:eastAsia="ru-RU"/>
        </w:rPr>
      </w:pPr>
    </w:p>
    <w:p w14:paraId="037F2072"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 xml:space="preserve">Доступ к финансированию, указанный 57% респондентов как ключевая проблема, имеет несколько аспектов: высокие процентные ставки по кредитам (14-18% годовых); сложность получения займов без залогового обеспечения; ограниченные возможности привлечения </w:t>
      </w:r>
      <w:r w:rsidRPr="00692C43">
        <w:rPr>
          <w:rFonts w:ascii="Times New Roman" w:hAnsi="Times New Roman" w:cs="Times New Roman"/>
          <w:sz w:val="32"/>
          <w:szCs w:val="32"/>
          <w:lang w:eastAsia="ru-RU"/>
        </w:rPr>
        <w:lastRenderedPageBreak/>
        <w:t>долгосрочных инвестиций; бюрократические сложности при участии в программах господдержки.</w:t>
      </w:r>
    </w:p>
    <w:p w14:paraId="3F0C60CC"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Административные барьеры (49%) проявляются в избыточных требованиях контролирующих органов, сложных процедурах согласования документов, частых изменениях нормативно-правовой базы, несовершенстве системы разрешительных процедур.</w:t>
      </w:r>
    </w:p>
    <w:p w14:paraId="58EA5277"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Кадровый дефицит (42%) особенно остро ощущается в Краснодарском крае и имеет специфические причины: миграция квалифицированных специалистов в крупные города; несоответствие системы профессионального образования потребностям бизнеса; конкуренция с крупными предприятиями за ценных сотрудников; сезонный характер многих видов деятельности в регионе.</w:t>
      </w:r>
    </w:p>
    <w:p w14:paraId="7CB44630" w14:textId="637D0E25"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Для преодоления выявленных проблем требуется комплекс мер на федеральном и региональном уровнях [5]. Развитие системы гарантийных фондов должно включать: увеличение объема гарантийного покрытия до 70-80%; упрощение процедур получения поручительств; расширение перечня банков-партнеров; снижение требований к заемщикам.</w:t>
      </w:r>
      <w:r w:rsidR="00DB349B">
        <w:rPr>
          <w:rFonts w:ascii="Times New Roman" w:hAnsi="Times New Roman" w:cs="Times New Roman"/>
          <w:sz w:val="32"/>
          <w:szCs w:val="32"/>
          <w:lang w:eastAsia="ru-RU"/>
        </w:rPr>
        <w:t xml:space="preserve"> </w:t>
      </w:r>
      <w:r w:rsidRPr="00692C43">
        <w:rPr>
          <w:rFonts w:ascii="Times New Roman" w:hAnsi="Times New Roman" w:cs="Times New Roman"/>
          <w:sz w:val="32"/>
          <w:szCs w:val="32"/>
          <w:lang w:eastAsia="ru-RU"/>
        </w:rPr>
        <w:t>Снижение налоговой нагрузки для стартапов может быть реализовано через: введение «налоговых каникул» на первые 2 года деятельности; снижение страховых взносов для вновь созданных предприятий; льготное налогообложение реинвестируемой прибыли; специальные режимы для социального предпринимательства.</w:t>
      </w:r>
      <w:r w:rsidR="00DB349B">
        <w:rPr>
          <w:rFonts w:ascii="Times New Roman" w:hAnsi="Times New Roman" w:cs="Times New Roman"/>
          <w:sz w:val="32"/>
          <w:szCs w:val="32"/>
          <w:lang w:eastAsia="ru-RU"/>
        </w:rPr>
        <w:t xml:space="preserve"> </w:t>
      </w:r>
      <w:r w:rsidRPr="00692C43">
        <w:rPr>
          <w:rFonts w:ascii="Times New Roman" w:hAnsi="Times New Roman" w:cs="Times New Roman"/>
          <w:sz w:val="32"/>
          <w:szCs w:val="32"/>
          <w:lang w:eastAsia="ru-RU"/>
        </w:rPr>
        <w:t>Цифровизация бизнес-процессов должна охватывать: внедрение облачных ERP-систем для малых предприятий; развитие электронного документооборота; создание цифровых платформ для взаимодействия с госорганами; обучение предпринимателей цифровым компетенциям.</w:t>
      </w:r>
      <w:r w:rsidR="00DB349B">
        <w:rPr>
          <w:rFonts w:ascii="Times New Roman" w:hAnsi="Times New Roman" w:cs="Times New Roman"/>
          <w:sz w:val="32"/>
          <w:szCs w:val="32"/>
          <w:lang w:eastAsia="ru-RU"/>
        </w:rPr>
        <w:t xml:space="preserve"> </w:t>
      </w:r>
      <w:r w:rsidRPr="00692C43">
        <w:rPr>
          <w:rFonts w:ascii="Times New Roman" w:hAnsi="Times New Roman" w:cs="Times New Roman"/>
          <w:sz w:val="32"/>
          <w:szCs w:val="32"/>
          <w:lang w:eastAsia="ru-RU"/>
        </w:rPr>
        <w:t>Создание региональных бизнес-инкубаторов требует: развития инфраструктуры совместных рабочих пространств; организации акселерационных программ; предоставления доступа к лабораторному оборудованию; развития системы наставничества и менторства.</w:t>
      </w:r>
    </w:p>
    <w:p w14:paraId="2AF58CD6"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Особое внимание в Краснодарском крае следует уделить: развитию кооперации между малыми предприятиями; созданию кластеров в приоритетных отраслях; поддержке экспортно-ориентированных МСП; развитию системы профессиональной переподготовки кадров.</w:t>
      </w:r>
    </w:p>
    <w:p w14:paraId="2928A8B6" w14:textId="77777777" w:rsidR="00EA4635" w:rsidRPr="00692C43" w:rsidRDefault="00EA4635" w:rsidP="00DB349B">
      <w:pPr>
        <w:spacing w:after="0" w:line="240" w:lineRule="auto"/>
        <w:ind w:firstLine="709"/>
        <w:jc w:val="both"/>
        <w:rPr>
          <w:rFonts w:ascii="Times New Roman" w:hAnsi="Times New Roman" w:cs="Times New Roman"/>
          <w:sz w:val="32"/>
          <w:szCs w:val="32"/>
          <w:lang w:eastAsia="ru-RU"/>
        </w:rPr>
      </w:pPr>
      <w:r w:rsidRPr="00692C43">
        <w:rPr>
          <w:rFonts w:ascii="Times New Roman" w:hAnsi="Times New Roman" w:cs="Times New Roman"/>
          <w:sz w:val="32"/>
          <w:szCs w:val="32"/>
          <w:lang w:eastAsia="ru-RU"/>
        </w:rPr>
        <w:t>Реализация предложенных мер позволит не только решить текущие проблемы малого бизнеса, но и создать условия для его устойчивого развития в долгосрочной перспективе.</w:t>
      </w:r>
    </w:p>
    <w:p w14:paraId="17DD2616" w14:textId="4CDBF12B" w:rsidR="00EA4635" w:rsidRDefault="00EA4635" w:rsidP="00EA4635">
      <w:pPr>
        <w:spacing w:after="0" w:line="240" w:lineRule="auto"/>
        <w:jc w:val="center"/>
        <w:rPr>
          <w:rFonts w:ascii="Times New Roman" w:hAnsi="Times New Roman" w:cs="Times New Roman"/>
          <w:b/>
          <w:sz w:val="21"/>
          <w:szCs w:val="21"/>
          <w:lang w:eastAsia="ru-RU"/>
        </w:rPr>
      </w:pPr>
      <w:r w:rsidRPr="00692C43">
        <w:rPr>
          <w:rFonts w:ascii="Times New Roman" w:hAnsi="Times New Roman" w:cs="Times New Roman"/>
          <w:b/>
          <w:sz w:val="21"/>
          <w:szCs w:val="21"/>
          <w:lang w:eastAsia="ru-RU"/>
        </w:rPr>
        <w:lastRenderedPageBreak/>
        <w:t>Литература:</w:t>
      </w:r>
    </w:p>
    <w:p w14:paraId="2CBFE0EE" w14:textId="77777777" w:rsidR="00DB349B" w:rsidRPr="00692C43" w:rsidRDefault="00DB349B" w:rsidP="00EA4635">
      <w:pPr>
        <w:spacing w:after="0" w:line="240" w:lineRule="auto"/>
        <w:jc w:val="center"/>
        <w:rPr>
          <w:rFonts w:ascii="Times New Roman" w:hAnsi="Times New Roman" w:cs="Times New Roman"/>
          <w:b/>
          <w:sz w:val="21"/>
          <w:szCs w:val="21"/>
          <w:lang w:eastAsia="ru-RU"/>
        </w:rPr>
      </w:pPr>
    </w:p>
    <w:p w14:paraId="1A0AD6E9" w14:textId="5EBF7EC7" w:rsidR="00EA4635" w:rsidRPr="00692C43"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 xml:space="preserve">Федеральный закон от 24.07.2007 № 209-ФЗ </w:t>
      </w:r>
      <w:r w:rsidR="00DB349B">
        <w:rPr>
          <w:rFonts w:ascii="Times New Roman" w:hAnsi="Times New Roman" w:cs="Times New Roman"/>
          <w:sz w:val="21"/>
          <w:szCs w:val="21"/>
          <w:lang w:eastAsia="ru-RU"/>
        </w:rPr>
        <w:t>«</w:t>
      </w:r>
      <w:r w:rsidRPr="00692C43">
        <w:rPr>
          <w:rFonts w:ascii="Times New Roman" w:hAnsi="Times New Roman" w:cs="Times New Roman"/>
          <w:sz w:val="21"/>
          <w:szCs w:val="21"/>
          <w:lang w:eastAsia="ru-RU"/>
        </w:rPr>
        <w:t>О развитии малого и среднего предпринимательства в Российской Федерации</w:t>
      </w:r>
      <w:r w:rsidR="00DB349B">
        <w:rPr>
          <w:rFonts w:ascii="Times New Roman" w:hAnsi="Times New Roman" w:cs="Times New Roman"/>
          <w:sz w:val="21"/>
          <w:szCs w:val="21"/>
          <w:lang w:eastAsia="ru-RU"/>
        </w:rPr>
        <w:t>»</w:t>
      </w:r>
      <w:r w:rsidRPr="00692C43">
        <w:rPr>
          <w:rFonts w:ascii="Times New Roman" w:hAnsi="Times New Roman" w:cs="Times New Roman"/>
          <w:sz w:val="21"/>
          <w:szCs w:val="21"/>
          <w:lang w:eastAsia="ru-RU"/>
        </w:rPr>
        <w:t>. URL: http://www.consultant.ru/document/cons_doc_LAW_52144/ (дата обращения: 15.06.2024)</w:t>
      </w:r>
    </w:p>
    <w:p w14:paraId="2CE375F9" w14:textId="77777777" w:rsidR="00EA4635" w:rsidRPr="00692C43"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Официальный сайт Федеральной службы государственной статистики (Росстат). URL: https://rosstat.gov.ru/ (дата обращения: 15.06.2024)</w:t>
      </w:r>
    </w:p>
    <w:p w14:paraId="2D319651" w14:textId="77777777" w:rsidR="00EA4635" w:rsidRPr="00692C43"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Официальный сайт Министерства экономического развития Российской Федерации. URL: https://economy.gov.ru/ (дата обращения: 16.06.2024)</w:t>
      </w:r>
    </w:p>
    <w:p w14:paraId="6260787E" w14:textId="77777777" w:rsidR="00EA4635" w:rsidRPr="00692C43"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Портал малого и среднего предпринимательства Краснодарского края. URL: https://mbkuban.ru/ (дата обращения: 16.06.2024)</w:t>
      </w:r>
    </w:p>
    <w:p w14:paraId="29FB5629" w14:textId="77777777" w:rsidR="00EA4635" w:rsidRPr="00692C43"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Единый реестр субъектов МСП. URL: https://ofd.nalog.ru/ (дата обращения: 17.06.2024)</w:t>
      </w:r>
    </w:p>
    <w:p w14:paraId="2A253B50" w14:textId="2D87C6A2" w:rsidR="00EA4635" w:rsidRDefault="00EA4635" w:rsidP="00AD58CD">
      <w:pPr>
        <w:numPr>
          <w:ilvl w:val="0"/>
          <w:numId w:val="143"/>
        </w:numPr>
        <w:tabs>
          <w:tab w:val="left" w:pos="284"/>
        </w:tabs>
        <w:spacing w:after="0" w:line="240" w:lineRule="auto"/>
        <w:ind w:left="0" w:firstLine="0"/>
        <w:contextualSpacing/>
        <w:jc w:val="both"/>
        <w:rPr>
          <w:rFonts w:ascii="Times New Roman" w:hAnsi="Times New Roman" w:cs="Times New Roman"/>
          <w:sz w:val="21"/>
          <w:szCs w:val="21"/>
          <w:lang w:eastAsia="ru-RU"/>
        </w:rPr>
      </w:pPr>
      <w:r w:rsidRPr="00692C43">
        <w:rPr>
          <w:rFonts w:ascii="Times New Roman" w:hAnsi="Times New Roman" w:cs="Times New Roman"/>
          <w:sz w:val="21"/>
          <w:szCs w:val="21"/>
          <w:lang w:eastAsia="ru-RU"/>
        </w:rPr>
        <w:t xml:space="preserve">Современная парадигма социально-экономического развития территорий: финансово-инвестиционные аспекты / Л. Л. Игонина, В. В. Вихарев, А. С. Окунь [и др.]. – Москва: Общество с ограниченной ответственностью </w:t>
      </w:r>
      <w:r w:rsidR="00DB349B">
        <w:rPr>
          <w:rFonts w:ascii="Times New Roman" w:hAnsi="Times New Roman" w:cs="Times New Roman"/>
          <w:sz w:val="21"/>
          <w:szCs w:val="21"/>
          <w:lang w:eastAsia="ru-RU"/>
        </w:rPr>
        <w:t>«</w:t>
      </w:r>
      <w:r w:rsidRPr="00692C43">
        <w:rPr>
          <w:rFonts w:ascii="Times New Roman" w:hAnsi="Times New Roman" w:cs="Times New Roman"/>
          <w:sz w:val="21"/>
          <w:szCs w:val="21"/>
          <w:lang w:eastAsia="ru-RU"/>
        </w:rPr>
        <w:t>Русайнс</w:t>
      </w:r>
      <w:r w:rsidR="00DB349B">
        <w:rPr>
          <w:rFonts w:ascii="Times New Roman" w:hAnsi="Times New Roman" w:cs="Times New Roman"/>
          <w:sz w:val="21"/>
          <w:szCs w:val="21"/>
          <w:lang w:eastAsia="ru-RU"/>
        </w:rPr>
        <w:t>»</w:t>
      </w:r>
      <w:r w:rsidRPr="00692C43">
        <w:rPr>
          <w:rFonts w:ascii="Times New Roman" w:hAnsi="Times New Roman" w:cs="Times New Roman"/>
          <w:sz w:val="21"/>
          <w:szCs w:val="21"/>
          <w:lang w:eastAsia="ru-RU"/>
        </w:rPr>
        <w:t>, 2023. – 214 с. </w:t>
      </w:r>
    </w:p>
    <w:p w14:paraId="1EDE27FB" w14:textId="4F94804D" w:rsidR="00EA4635" w:rsidRDefault="00EA4635" w:rsidP="00375471">
      <w:pPr>
        <w:suppressAutoHyphens/>
        <w:spacing w:after="0" w:line="240" w:lineRule="auto"/>
        <w:jc w:val="both"/>
        <w:rPr>
          <w:rFonts w:ascii="Times New Roman" w:eastAsia="Times New Roman" w:hAnsi="Times New Roman" w:cs="Times New Roman"/>
          <w:b/>
          <w:color w:val="000000"/>
          <w:sz w:val="21"/>
          <w:szCs w:val="21"/>
          <w:lang w:eastAsia="ar-SA"/>
        </w:rPr>
      </w:pPr>
    </w:p>
    <w:p w14:paraId="0F0AE22B" w14:textId="77777777" w:rsidR="00DB349B" w:rsidRDefault="00DB349B" w:rsidP="00375471">
      <w:pPr>
        <w:suppressAutoHyphens/>
        <w:spacing w:after="0" w:line="240" w:lineRule="auto"/>
        <w:jc w:val="both"/>
        <w:rPr>
          <w:rFonts w:ascii="Times New Roman" w:eastAsia="Times New Roman" w:hAnsi="Times New Roman" w:cs="Times New Roman"/>
          <w:b/>
          <w:color w:val="000000"/>
          <w:sz w:val="21"/>
          <w:szCs w:val="21"/>
          <w:lang w:eastAsia="ar-SA"/>
        </w:rPr>
      </w:pPr>
    </w:p>
    <w:p w14:paraId="79B71620"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b/>
          <w:bCs/>
          <w:i/>
          <w:iCs/>
          <w:sz w:val="21"/>
          <w:szCs w:val="21"/>
        </w:rPr>
      </w:pPr>
      <w:r w:rsidRPr="00B31919">
        <w:rPr>
          <w:rFonts w:ascii="Times New Roman" w:eastAsia="Times New Roman" w:hAnsi="Times New Roman" w:cs="Times New Roman"/>
          <w:b/>
          <w:bCs/>
          <w:i/>
          <w:iCs/>
          <w:sz w:val="21"/>
          <w:szCs w:val="21"/>
        </w:rPr>
        <w:t>Морозова А.С.,</w:t>
      </w:r>
    </w:p>
    <w:p w14:paraId="7FD8D1EA"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студентка 3-го курса</w:t>
      </w:r>
    </w:p>
    <w:p w14:paraId="3BFA0DCC"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Финансовый университет при Правительстве РФ,</w:t>
      </w:r>
    </w:p>
    <w:p w14:paraId="02F01478"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Краснодарский филиал</w:t>
      </w:r>
    </w:p>
    <w:p w14:paraId="4F4DEC66"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г. Краснодар, Россия</w:t>
      </w:r>
    </w:p>
    <w:p w14:paraId="7B72F6B8"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lang w:val="en-US"/>
        </w:rPr>
        <w:t>e</w:t>
      </w:r>
      <w:r w:rsidRPr="00B31919">
        <w:rPr>
          <w:rFonts w:ascii="Times New Roman" w:eastAsia="Times New Roman" w:hAnsi="Times New Roman" w:cs="Times New Roman"/>
          <w:i/>
          <w:iCs/>
          <w:sz w:val="21"/>
          <w:szCs w:val="21"/>
        </w:rPr>
        <w:t>-</w:t>
      </w:r>
      <w:r w:rsidRPr="00B31919">
        <w:rPr>
          <w:rFonts w:ascii="Times New Roman" w:eastAsia="Times New Roman" w:hAnsi="Times New Roman" w:cs="Times New Roman"/>
          <w:i/>
          <w:iCs/>
          <w:sz w:val="21"/>
          <w:szCs w:val="21"/>
          <w:lang w:val="en-US"/>
        </w:rPr>
        <w:t>mail</w:t>
      </w:r>
      <w:r w:rsidRPr="00B31919">
        <w:rPr>
          <w:rFonts w:ascii="Times New Roman" w:eastAsia="Times New Roman" w:hAnsi="Times New Roman" w:cs="Times New Roman"/>
          <w:i/>
          <w:iCs/>
          <w:sz w:val="21"/>
          <w:szCs w:val="21"/>
        </w:rPr>
        <w:t xml:space="preserve">: </w:t>
      </w:r>
      <w:r w:rsidRPr="00B31919">
        <w:rPr>
          <w:rFonts w:ascii="Times New Roman" w:eastAsia="Times New Roman" w:hAnsi="Times New Roman" w:cs="Times New Roman"/>
          <w:i/>
          <w:iCs/>
          <w:sz w:val="21"/>
          <w:szCs w:val="21"/>
          <w:lang w:val="en-US"/>
        </w:rPr>
        <w:t>alexandramorozova</w:t>
      </w:r>
      <w:r w:rsidRPr="00B31919">
        <w:rPr>
          <w:rFonts w:ascii="Times New Roman" w:eastAsia="Times New Roman" w:hAnsi="Times New Roman" w:cs="Times New Roman"/>
          <w:i/>
          <w:iCs/>
          <w:sz w:val="21"/>
          <w:szCs w:val="21"/>
        </w:rPr>
        <w:t>17@</w:t>
      </w:r>
      <w:r w:rsidRPr="00B31919">
        <w:rPr>
          <w:rFonts w:ascii="Times New Roman" w:eastAsia="Times New Roman" w:hAnsi="Times New Roman" w:cs="Times New Roman"/>
          <w:i/>
          <w:iCs/>
          <w:sz w:val="21"/>
          <w:szCs w:val="21"/>
          <w:lang w:val="en-US"/>
        </w:rPr>
        <w:t>gmail</w:t>
      </w:r>
      <w:r w:rsidRPr="00B31919">
        <w:rPr>
          <w:rFonts w:ascii="Times New Roman" w:eastAsia="Times New Roman" w:hAnsi="Times New Roman" w:cs="Times New Roman"/>
          <w:i/>
          <w:iCs/>
          <w:sz w:val="21"/>
          <w:szCs w:val="21"/>
        </w:rPr>
        <w:t>.</w:t>
      </w:r>
      <w:r w:rsidRPr="00B31919">
        <w:rPr>
          <w:rFonts w:ascii="Times New Roman" w:eastAsia="Times New Roman" w:hAnsi="Times New Roman" w:cs="Times New Roman"/>
          <w:i/>
          <w:iCs/>
          <w:sz w:val="21"/>
          <w:szCs w:val="21"/>
          <w:lang w:val="en-US"/>
        </w:rPr>
        <w:t>com</w:t>
      </w:r>
    </w:p>
    <w:p w14:paraId="046FF6BF"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p>
    <w:p w14:paraId="5659A147"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b/>
          <w:bCs/>
          <w:i/>
          <w:iCs/>
          <w:sz w:val="21"/>
          <w:szCs w:val="21"/>
        </w:rPr>
      </w:pPr>
      <w:r w:rsidRPr="00B31919">
        <w:rPr>
          <w:rFonts w:ascii="Times New Roman" w:eastAsia="Times New Roman" w:hAnsi="Times New Roman" w:cs="Times New Roman"/>
          <w:b/>
          <w:bCs/>
          <w:i/>
          <w:iCs/>
          <w:sz w:val="21"/>
          <w:szCs w:val="21"/>
        </w:rPr>
        <w:t>Научный руководитель:</w:t>
      </w:r>
    </w:p>
    <w:p w14:paraId="478CFADB"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b/>
          <w:bCs/>
          <w:i/>
          <w:iCs/>
          <w:sz w:val="21"/>
          <w:szCs w:val="21"/>
        </w:rPr>
      </w:pPr>
      <w:r w:rsidRPr="00B31919">
        <w:rPr>
          <w:rFonts w:ascii="Times New Roman" w:eastAsia="Times New Roman" w:hAnsi="Times New Roman" w:cs="Times New Roman"/>
          <w:b/>
          <w:bCs/>
          <w:i/>
          <w:iCs/>
          <w:sz w:val="21"/>
          <w:szCs w:val="21"/>
        </w:rPr>
        <w:t>Добрунова М.А.,</w:t>
      </w:r>
    </w:p>
    <w:p w14:paraId="06808A24"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доцент, к.э.н.</w:t>
      </w:r>
    </w:p>
    <w:p w14:paraId="0C402DBF"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Финансовый университет при Правительстве РФ,</w:t>
      </w:r>
    </w:p>
    <w:p w14:paraId="1527A160"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 xml:space="preserve">Краснодарский филиал </w:t>
      </w:r>
    </w:p>
    <w:p w14:paraId="2C66A110"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rPr>
        <w:t>г. Краснодар, Россия</w:t>
      </w:r>
    </w:p>
    <w:p w14:paraId="783DBDB3" w14:textId="77777777" w:rsidR="00B31919" w:rsidRPr="00B31919" w:rsidRDefault="00B31919" w:rsidP="00B31919">
      <w:pPr>
        <w:spacing w:after="0" w:line="240" w:lineRule="auto"/>
        <w:ind w:left="-567" w:right="-1" w:firstLine="709"/>
        <w:jc w:val="right"/>
        <w:rPr>
          <w:rFonts w:ascii="Times New Roman" w:eastAsia="Times New Roman" w:hAnsi="Times New Roman" w:cs="Times New Roman"/>
          <w:i/>
          <w:iCs/>
          <w:sz w:val="21"/>
          <w:szCs w:val="21"/>
        </w:rPr>
      </w:pPr>
      <w:r w:rsidRPr="00B31919">
        <w:rPr>
          <w:rFonts w:ascii="Times New Roman" w:eastAsia="Times New Roman" w:hAnsi="Times New Roman" w:cs="Times New Roman"/>
          <w:i/>
          <w:iCs/>
          <w:sz w:val="21"/>
          <w:szCs w:val="21"/>
          <w:lang w:val="en-US"/>
        </w:rPr>
        <w:t>e</w:t>
      </w:r>
      <w:r w:rsidRPr="00B31919">
        <w:rPr>
          <w:rFonts w:ascii="Times New Roman" w:eastAsia="Times New Roman" w:hAnsi="Times New Roman" w:cs="Times New Roman"/>
          <w:i/>
          <w:iCs/>
          <w:sz w:val="21"/>
          <w:szCs w:val="21"/>
        </w:rPr>
        <w:t>-</w:t>
      </w:r>
      <w:r w:rsidRPr="00B31919">
        <w:rPr>
          <w:rFonts w:ascii="Times New Roman" w:eastAsia="Times New Roman" w:hAnsi="Times New Roman" w:cs="Times New Roman"/>
          <w:i/>
          <w:iCs/>
          <w:sz w:val="21"/>
          <w:szCs w:val="21"/>
          <w:lang w:val="en-US"/>
        </w:rPr>
        <w:t>mail</w:t>
      </w:r>
      <w:r w:rsidRPr="00B31919">
        <w:rPr>
          <w:rFonts w:ascii="Times New Roman" w:eastAsia="Times New Roman" w:hAnsi="Times New Roman" w:cs="Times New Roman"/>
          <w:i/>
          <w:iCs/>
          <w:sz w:val="21"/>
          <w:szCs w:val="21"/>
        </w:rPr>
        <w:t>:</w:t>
      </w:r>
      <w:r w:rsidRPr="00B31919">
        <w:rPr>
          <w:rFonts w:ascii="Helvetica" w:eastAsia="Times New Roman" w:hAnsi="Helvetica" w:cs="Times New Roman"/>
          <w:color w:val="1A1A1A"/>
          <w:sz w:val="23"/>
          <w:szCs w:val="23"/>
          <w:shd w:val="clear" w:color="auto" w:fill="FFFFFF"/>
        </w:rPr>
        <w:t xml:space="preserve"> </w:t>
      </w:r>
      <w:r w:rsidRPr="00B31919">
        <w:rPr>
          <w:rFonts w:ascii="Times New Roman" w:eastAsia="Times New Roman" w:hAnsi="Times New Roman" w:cs="Times New Roman"/>
          <w:i/>
          <w:iCs/>
          <w:sz w:val="21"/>
          <w:szCs w:val="21"/>
        </w:rPr>
        <w:t xml:space="preserve">MADobrunova@fa.ru </w:t>
      </w:r>
    </w:p>
    <w:p w14:paraId="73A36287" w14:textId="77777777" w:rsidR="00B31919" w:rsidRPr="00B31919" w:rsidRDefault="00B31919" w:rsidP="00B31919">
      <w:pPr>
        <w:suppressAutoHyphens/>
        <w:spacing w:after="0" w:line="240" w:lineRule="auto"/>
        <w:ind w:right="-1"/>
        <w:rPr>
          <w:rFonts w:ascii="Times New Roman" w:eastAsia="Times New Roman" w:hAnsi="Times New Roman" w:cs="Times New Roman"/>
          <w:b/>
          <w:sz w:val="21"/>
          <w:szCs w:val="21"/>
          <w:lang w:eastAsia="ar-SA"/>
        </w:rPr>
      </w:pPr>
    </w:p>
    <w:p w14:paraId="5E07C176" w14:textId="77777777" w:rsidR="00B31919" w:rsidRPr="00B31919" w:rsidRDefault="00B31919" w:rsidP="00B31919">
      <w:pPr>
        <w:suppressAutoHyphens/>
        <w:spacing w:after="0" w:line="240" w:lineRule="auto"/>
        <w:ind w:right="-1"/>
        <w:jc w:val="center"/>
        <w:rPr>
          <w:rFonts w:ascii="Times New Roman" w:eastAsia="Times New Roman" w:hAnsi="Times New Roman" w:cs="Times New Roman"/>
          <w:b/>
          <w:sz w:val="21"/>
          <w:szCs w:val="21"/>
          <w:lang w:eastAsia="ar-SA"/>
        </w:rPr>
      </w:pPr>
      <w:r w:rsidRPr="00B31919">
        <w:rPr>
          <w:rFonts w:ascii="Times New Roman" w:eastAsia="Times New Roman" w:hAnsi="Times New Roman" w:cs="Times New Roman"/>
          <w:b/>
          <w:sz w:val="21"/>
          <w:szCs w:val="21"/>
          <w:lang w:eastAsia="ar-SA"/>
        </w:rPr>
        <w:t xml:space="preserve">Особенности </w:t>
      </w:r>
      <w:r w:rsidRPr="00B31919">
        <w:rPr>
          <w:rFonts w:ascii="Times New Roman" w:eastAsia="Times New Roman" w:hAnsi="Times New Roman" w:cs="Times New Roman"/>
          <w:b/>
          <w:sz w:val="21"/>
          <w:szCs w:val="21"/>
          <w:lang w:val="en-US" w:eastAsia="ar-SA"/>
        </w:rPr>
        <w:t>ESG</w:t>
      </w:r>
      <w:r w:rsidRPr="00B31919">
        <w:rPr>
          <w:rFonts w:ascii="Times New Roman" w:eastAsia="Times New Roman" w:hAnsi="Times New Roman" w:cs="Times New Roman"/>
          <w:b/>
          <w:sz w:val="21"/>
          <w:szCs w:val="21"/>
          <w:lang w:eastAsia="ar-SA"/>
        </w:rPr>
        <w:t xml:space="preserve">-отчетности в России: анализ нормативно-правовой базы и практики составления </w:t>
      </w:r>
    </w:p>
    <w:p w14:paraId="6A95C5C6" w14:textId="77777777" w:rsidR="00B31919" w:rsidRPr="00B31919" w:rsidRDefault="00B31919" w:rsidP="00B31919">
      <w:pPr>
        <w:spacing w:after="0" w:line="240" w:lineRule="auto"/>
        <w:ind w:right="-1" w:firstLine="567"/>
        <w:jc w:val="both"/>
        <w:rPr>
          <w:rFonts w:ascii="Times New Roman" w:eastAsia="Times New Roman" w:hAnsi="Times New Roman" w:cs="Times New Roman"/>
          <w:i/>
          <w:sz w:val="21"/>
          <w:szCs w:val="21"/>
          <w:shd w:val="clear" w:color="auto" w:fill="00FFFF"/>
        </w:rPr>
      </w:pPr>
    </w:p>
    <w:p w14:paraId="0ED12B14" w14:textId="77777777" w:rsidR="00B31919" w:rsidRPr="00B31919" w:rsidRDefault="00B31919" w:rsidP="00B31919">
      <w:pPr>
        <w:spacing w:after="0" w:line="240" w:lineRule="auto"/>
        <w:ind w:right="-1" w:firstLine="567"/>
        <w:jc w:val="both"/>
        <w:rPr>
          <w:rFonts w:ascii="Times New Roman" w:eastAsia="Times New Roman" w:hAnsi="Times New Roman" w:cs="Times New Roman"/>
          <w:sz w:val="21"/>
          <w:szCs w:val="21"/>
        </w:rPr>
      </w:pPr>
      <w:r w:rsidRPr="00B31919">
        <w:rPr>
          <w:rFonts w:ascii="Times New Roman" w:eastAsia="Times New Roman" w:hAnsi="Times New Roman" w:cs="Times New Roman"/>
          <w:b/>
          <w:sz w:val="21"/>
          <w:szCs w:val="21"/>
        </w:rPr>
        <w:t>Аннотация:</w:t>
      </w:r>
      <w:r w:rsidRPr="00B31919">
        <w:rPr>
          <w:rFonts w:ascii="Times New Roman" w:eastAsia="Times New Roman" w:hAnsi="Times New Roman" w:cs="Times New Roman"/>
          <w:i/>
          <w:sz w:val="21"/>
          <w:szCs w:val="21"/>
        </w:rPr>
        <w:t xml:space="preserve"> </w:t>
      </w:r>
      <w:r w:rsidRPr="00B31919">
        <w:rPr>
          <w:rFonts w:ascii="Times New Roman" w:eastAsia="Times New Roman" w:hAnsi="Times New Roman" w:cs="Times New Roman"/>
          <w:sz w:val="21"/>
          <w:szCs w:val="21"/>
        </w:rPr>
        <w:t xml:space="preserve">В статье исследуется нормативно-правовая база, регулирующая </w:t>
      </w:r>
      <w:r w:rsidRPr="00B31919">
        <w:rPr>
          <w:rFonts w:ascii="Times New Roman" w:eastAsia="Times New Roman" w:hAnsi="Times New Roman" w:cs="Times New Roman"/>
          <w:sz w:val="21"/>
          <w:szCs w:val="21"/>
          <w:lang w:val="en-US"/>
        </w:rPr>
        <w:t>ESG</w:t>
      </w:r>
      <w:r w:rsidRPr="00B31919">
        <w:rPr>
          <w:rFonts w:ascii="Times New Roman" w:eastAsia="Times New Roman" w:hAnsi="Times New Roman" w:cs="Times New Roman"/>
          <w:sz w:val="21"/>
          <w:szCs w:val="21"/>
        </w:rPr>
        <w:t>-отчетности, ее наличие и необходимость усовершенствования. Кроме того, немаловажным является оценка практики составления нефинансовой отчетности. В работе было представлено распределение отчетов по отраслевой принадлежности компаний. Также были подобраны основные мероприятия и механизмы, направленные на развитие нефинансовой отчетности в России.</w:t>
      </w:r>
    </w:p>
    <w:p w14:paraId="096E5232" w14:textId="77777777" w:rsidR="00B31919" w:rsidRDefault="00B31919" w:rsidP="00B31919">
      <w:pPr>
        <w:spacing w:after="0" w:line="240" w:lineRule="auto"/>
        <w:ind w:right="-1" w:firstLine="567"/>
        <w:jc w:val="both"/>
        <w:rPr>
          <w:rFonts w:ascii="Times New Roman" w:eastAsia="Times New Roman" w:hAnsi="Times New Roman" w:cs="Times New Roman"/>
          <w:sz w:val="21"/>
          <w:szCs w:val="21"/>
        </w:rPr>
      </w:pPr>
      <w:r w:rsidRPr="00B31919">
        <w:rPr>
          <w:rFonts w:ascii="Times New Roman" w:eastAsia="Times New Roman" w:hAnsi="Times New Roman" w:cs="Times New Roman"/>
          <w:b/>
          <w:sz w:val="21"/>
          <w:szCs w:val="21"/>
        </w:rPr>
        <w:t>Ключевые слова:</w:t>
      </w:r>
      <w:r w:rsidRPr="00B31919">
        <w:rPr>
          <w:rFonts w:ascii="Times New Roman" w:eastAsia="Times New Roman" w:hAnsi="Times New Roman" w:cs="Times New Roman"/>
          <w:sz w:val="21"/>
          <w:szCs w:val="21"/>
        </w:rPr>
        <w:t xml:space="preserve"> </w:t>
      </w:r>
      <w:r w:rsidRPr="00B31919">
        <w:rPr>
          <w:rFonts w:ascii="Times New Roman" w:eastAsia="Times New Roman" w:hAnsi="Times New Roman" w:cs="Times New Roman"/>
          <w:sz w:val="21"/>
          <w:szCs w:val="21"/>
          <w:lang w:val="en-US"/>
        </w:rPr>
        <w:t>ESG</w:t>
      </w:r>
      <w:r w:rsidRPr="00B31919">
        <w:rPr>
          <w:rFonts w:ascii="Times New Roman" w:eastAsia="Times New Roman" w:hAnsi="Times New Roman" w:cs="Times New Roman"/>
          <w:sz w:val="21"/>
          <w:szCs w:val="21"/>
        </w:rPr>
        <w:t xml:space="preserve">-отчетность, нефинансовая отчетность, </w:t>
      </w:r>
      <w:r w:rsidRPr="00B31919">
        <w:rPr>
          <w:rFonts w:ascii="Times New Roman" w:eastAsia="Times New Roman" w:hAnsi="Times New Roman" w:cs="Times New Roman"/>
          <w:sz w:val="21"/>
          <w:szCs w:val="21"/>
          <w:lang w:val="en-US"/>
        </w:rPr>
        <w:t>ESG</w:t>
      </w:r>
      <w:r w:rsidRPr="00B31919">
        <w:rPr>
          <w:rFonts w:ascii="Times New Roman" w:eastAsia="Times New Roman" w:hAnsi="Times New Roman" w:cs="Times New Roman"/>
          <w:sz w:val="21"/>
          <w:szCs w:val="21"/>
        </w:rPr>
        <w:t>-принципы, показатель.</w:t>
      </w:r>
    </w:p>
    <w:p w14:paraId="786D82C3" w14:textId="77777777" w:rsidR="009C2775" w:rsidRPr="00B31919" w:rsidRDefault="009C2775" w:rsidP="00B31919">
      <w:pPr>
        <w:spacing w:after="0" w:line="240" w:lineRule="auto"/>
        <w:ind w:right="-1" w:firstLine="567"/>
        <w:jc w:val="both"/>
        <w:rPr>
          <w:rFonts w:ascii="Times New Roman" w:eastAsia="Times New Roman" w:hAnsi="Times New Roman" w:cs="Times New Roman"/>
          <w:sz w:val="21"/>
          <w:szCs w:val="21"/>
        </w:rPr>
      </w:pPr>
    </w:p>
    <w:p w14:paraId="6853F6EB"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b/>
          <w:bCs/>
          <w:i/>
          <w:iCs/>
          <w:sz w:val="21"/>
          <w:szCs w:val="21"/>
          <w:lang w:val="en-US"/>
        </w:rPr>
      </w:pPr>
      <w:r w:rsidRPr="00B31919">
        <w:rPr>
          <w:rFonts w:ascii="Times New Roman" w:eastAsia="Times New Roman" w:hAnsi="Times New Roman" w:cs="Times New Roman"/>
          <w:b/>
          <w:bCs/>
          <w:i/>
          <w:iCs/>
          <w:sz w:val="21"/>
          <w:szCs w:val="21"/>
          <w:lang w:val="en-US"/>
        </w:rPr>
        <w:t>Morozova A.S.,</w:t>
      </w:r>
    </w:p>
    <w:p w14:paraId="78347C65"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student, 3 courses</w:t>
      </w:r>
    </w:p>
    <w:p w14:paraId="10952588"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Financial University under the Government of the Russian Federation,</w:t>
      </w:r>
    </w:p>
    <w:p w14:paraId="44CD892E"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Krasnodar branch</w:t>
      </w:r>
    </w:p>
    <w:p w14:paraId="1C147B16"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Krasnodar, Russia</w:t>
      </w:r>
    </w:p>
    <w:p w14:paraId="58C2B882"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e-mail: alexandramorozova17@gmail.com</w:t>
      </w:r>
    </w:p>
    <w:p w14:paraId="412D31F0"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p>
    <w:p w14:paraId="7DE18E70"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b/>
          <w:bCs/>
          <w:i/>
          <w:iCs/>
          <w:sz w:val="21"/>
          <w:szCs w:val="21"/>
          <w:lang w:val="en-US"/>
        </w:rPr>
      </w:pPr>
      <w:r w:rsidRPr="00B31919">
        <w:rPr>
          <w:rFonts w:ascii="Times New Roman" w:eastAsia="Times New Roman" w:hAnsi="Times New Roman" w:cs="Times New Roman"/>
          <w:b/>
          <w:bCs/>
          <w:i/>
          <w:iCs/>
          <w:sz w:val="21"/>
          <w:szCs w:val="21"/>
          <w:lang w:val="en-US"/>
        </w:rPr>
        <w:t>Scientific adviser:</w:t>
      </w:r>
    </w:p>
    <w:p w14:paraId="51225F1D"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b/>
          <w:bCs/>
          <w:i/>
          <w:iCs/>
          <w:sz w:val="21"/>
          <w:szCs w:val="21"/>
          <w:lang w:val="en-US"/>
        </w:rPr>
      </w:pPr>
      <w:r w:rsidRPr="00B31919">
        <w:rPr>
          <w:rFonts w:ascii="Times New Roman" w:eastAsia="Times New Roman" w:hAnsi="Times New Roman" w:cs="Times New Roman"/>
          <w:b/>
          <w:bCs/>
          <w:i/>
          <w:iCs/>
          <w:sz w:val="21"/>
          <w:szCs w:val="21"/>
          <w:lang w:val="en-US"/>
        </w:rPr>
        <w:t>Dobrunova M.A.,</w:t>
      </w:r>
    </w:p>
    <w:p w14:paraId="2EA7C243"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Candidate of Science (Economics), Docent</w:t>
      </w:r>
    </w:p>
    <w:p w14:paraId="74D45F4D"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Financial University under the Government of the Russian Federation,</w:t>
      </w:r>
    </w:p>
    <w:p w14:paraId="1258FA72"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 xml:space="preserve">Krasnodar branch </w:t>
      </w:r>
    </w:p>
    <w:p w14:paraId="7A8CA96C"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Krasnodar, Russia</w:t>
      </w:r>
    </w:p>
    <w:p w14:paraId="014C956A"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 xml:space="preserve">e-mail: </w:t>
      </w:r>
      <w:hyperlink r:id="rId102" w:history="1">
        <w:r w:rsidRPr="00B31919">
          <w:rPr>
            <w:rFonts w:ascii="Times New Roman" w:eastAsia="Times New Roman" w:hAnsi="Times New Roman" w:cs="Times New Roman"/>
            <w:i/>
            <w:iCs/>
            <w:color w:val="0563C1"/>
            <w:sz w:val="21"/>
            <w:szCs w:val="21"/>
            <w:u w:val="single"/>
            <w:lang w:val="en-US"/>
          </w:rPr>
          <w:t>MADobrunova@fa.ru</w:t>
        </w:r>
      </w:hyperlink>
    </w:p>
    <w:p w14:paraId="720CBCAD" w14:textId="77777777" w:rsidR="00B31919" w:rsidRPr="00B31919" w:rsidRDefault="00B31919" w:rsidP="00B31919">
      <w:pPr>
        <w:tabs>
          <w:tab w:val="left" w:pos="5784"/>
        </w:tabs>
        <w:spacing w:after="0" w:line="240" w:lineRule="auto"/>
        <w:ind w:left="-567" w:right="-1" w:firstLine="709"/>
        <w:jc w:val="right"/>
        <w:rPr>
          <w:rFonts w:ascii="Times New Roman" w:eastAsia="Times New Roman" w:hAnsi="Times New Roman" w:cs="Times New Roman"/>
          <w:i/>
          <w:iCs/>
          <w:sz w:val="21"/>
          <w:szCs w:val="21"/>
          <w:lang w:val="en-US"/>
        </w:rPr>
      </w:pPr>
      <w:r w:rsidRPr="00B31919">
        <w:rPr>
          <w:rFonts w:ascii="Times New Roman" w:eastAsia="Times New Roman" w:hAnsi="Times New Roman" w:cs="Times New Roman"/>
          <w:i/>
          <w:iCs/>
          <w:sz w:val="21"/>
          <w:szCs w:val="21"/>
          <w:lang w:val="en-US"/>
        </w:rPr>
        <w:t xml:space="preserve"> </w:t>
      </w:r>
    </w:p>
    <w:p w14:paraId="6DAF2963" w14:textId="77777777" w:rsidR="00B31919" w:rsidRPr="00B31919" w:rsidRDefault="00B31919" w:rsidP="00B31919">
      <w:pPr>
        <w:suppressAutoHyphens/>
        <w:spacing w:after="0" w:line="240" w:lineRule="auto"/>
        <w:ind w:right="-1" w:firstLine="567"/>
        <w:jc w:val="both"/>
        <w:rPr>
          <w:rFonts w:ascii="Times New Roman" w:eastAsia="Times New Roman" w:hAnsi="Times New Roman" w:cs="Times New Roman"/>
          <w:b/>
          <w:sz w:val="21"/>
          <w:szCs w:val="21"/>
          <w:lang w:val="en-US" w:eastAsia="ar-SA"/>
        </w:rPr>
      </w:pPr>
      <w:r w:rsidRPr="00B31919">
        <w:rPr>
          <w:rFonts w:ascii="Times New Roman" w:eastAsia="Times New Roman" w:hAnsi="Times New Roman" w:cs="Times New Roman"/>
          <w:b/>
          <w:sz w:val="21"/>
          <w:szCs w:val="21"/>
          <w:lang w:val="en-US" w:eastAsia="ar-SA"/>
        </w:rPr>
        <w:t>Specifics of ESG reporting in Russia: analysis of the regulatory framework and application practice</w:t>
      </w:r>
    </w:p>
    <w:p w14:paraId="73D3BFF6" w14:textId="77777777" w:rsidR="00B31919" w:rsidRPr="00B31919" w:rsidRDefault="00B31919" w:rsidP="00B31919">
      <w:pPr>
        <w:suppressAutoHyphens/>
        <w:spacing w:after="0" w:line="240" w:lineRule="auto"/>
        <w:ind w:right="-1" w:firstLine="567"/>
        <w:jc w:val="both"/>
        <w:rPr>
          <w:rFonts w:ascii="Times New Roman" w:eastAsia="Times New Roman" w:hAnsi="Times New Roman" w:cs="Times New Roman"/>
          <w:b/>
          <w:sz w:val="21"/>
          <w:szCs w:val="21"/>
          <w:lang w:val="en-US" w:eastAsia="ar-SA"/>
        </w:rPr>
      </w:pPr>
    </w:p>
    <w:p w14:paraId="1D782A18" w14:textId="77777777" w:rsidR="00B31919" w:rsidRPr="00B31919" w:rsidRDefault="00B31919" w:rsidP="00B31919">
      <w:pPr>
        <w:suppressAutoHyphens/>
        <w:spacing w:before="280" w:after="0" w:line="240" w:lineRule="auto"/>
        <w:ind w:right="-1" w:firstLine="567"/>
        <w:jc w:val="both"/>
        <w:rPr>
          <w:rFonts w:ascii="Times New Roman" w:eastAsia="Times New Roman" w:hAnsi="Times New Roman" w:cs="Times New Roman"/>
          <w:sz w:val="21"/>
          <w:szCs w:val="21"/>
          <w:lang w:val="en-US" w:eastAsia="ar-SA"/>
        </w:rPr>
      </w:pPr>
      <w:r w:rsidRPr="00B31919">
        <w:rPr>
          <w:rFonts w:ascii="Times New Roman" w:eastAsia="Times New Roman" w:hAnsi="Times New Roman" w:cs="Times New Roman"/>
          <w:b/>
          <w:sz w:val="21"/>
          <w:szCs w:val="21"/>
          <w:lang w:val="en-US" w:eastAsia="ar-SA"/>
        </w:rPr>
        <w:lastRenderedPageBreak/>
        <w:t>Abstract:</w:t>
      </w:r>
      <w:r w:rsidRPr="00B31919">
        <w:rPr>
          <w:rFonts w:ascii="Times New Roman" w:eastAsia="Times New Roman" w:hAnsi="Times New Roman" w:cs="Times New Roman"/>
          <w:sz w:val="21"/>
          <w:szCs w:val="21"/>
          <w:lang w:val="en-US" w:eastAsia="ar-SA"/>
        </w:rPr>
        <w:t xml:space="preserve"> The article explores the legal and regulatory framework governing ESG reporting, its availability and the need for improvement. In addition, the assessment of non-financial reporting practices is of no small importance. The paper also presented the distribution of reports by industry affiliation of companies. The main activities and mechanisms aimed at the development of non-financial reporting in Russia were also selected.</w:t>
      </w:r>
    </w:p>
    <w:p w14:paraId="25F39996" w14:textId="77777777" w:rsidR="00B31919" w:rsidRPr="00B31919" w:rsidRDefault="00B31919" w:rsidP="00B31919">
      <w:pPr>
        <w:suppressAutoHyphens/>
        <w:spacing w:after="0" w:line="240" w:lineRule="auto"/>
        <w:ind w:right="-1" w:firstLine="567"/>
        <w:jc w:val="both"/>
        <w:rPr>
          <w:rFonts w:ascii="Times New Roman" w:eastAsia="Times New Roman" w:hAnsi="Times New Roman" w:cs="Times New Roman"/>
          <w:bCs/>
          <w:color w:val="000000"/>
          <w:sz w:val="21"/>
          <w:szCs w:val="21"/>
          <w:shd w:val="clear" w:color="auto" w:fill="FFFFFF"/>
          <w:lang w:val="en-US" w:eastAsia="ar-SA"/>
        </w:rPr>
      </w:pPr>
      <w:r w:rsidRPr="00B31919">
        <w:rPr>
          <w:rFonts w:ascii="Times New Roman" w:eastAsia="Times New Roman" w:hAnsi="Times New Roman" w:cs="Times New Roman"/>
          <w:b/>
          <w:sz w:val="21"/>
          <w:szCs w:val="21"/>
          <w:lang w:val="en-US" w:eastAsia="ar-SA"/>
        </w:rPr>
        <w:t>Keywords:</w:t>
      </w:r>
      <w:r w:rsidRPr="00B31919">
        <w:rPr>
          <w:rFonts w:ascii="Times New Roman" w:eastAsia="Times New Roman" w:hAnsi="Times New Roman" w:cs="Times New Roman"/>
          <w:sz w:val="21"/>
          <w:szCs w:val="21"/>
          <w:lang w:val="en-US" w:eastAsia="ar-SA"/>
        </w:rPr>
        <w:t xml:space="preserve"> ESG reporting, non-financial reporting, ESG principles, indicator.</w:t>
      </w:r>
    </w:p>
    <w:p w14:paraId="0D57D22F" w14:textId="77777777" w:rsidR="00B31919" w:rsidRPr="00B31919" w:rsidRDefault="00B31919" w:rsidP="00B31919">
      <w:pPr>
        <w:spacing w:after="0" w:line="240" w:lineRule="auto"/>
        <w:rPr>
          <w:rFonts w:ascii="Calibri" w:eastAsia="Times New Roman" w:hAnsi="Calibri" w:cs="Times New Roman"/>
          <w:lang w:val="en-US"/>
        </w:rPr>
      </w:pPr>
    </w:p>
    <w:p w14:paraId="7D26FB82" w14:textId="77777777" w:rsidR="00B31919" w:rsidRPr="00B31919" w:rsidRDefault="00B31919" w:rsidP="00DB349B">
      <w:pPr>
        <w:tabs>
          <w:tab w:val="left" w:pos="2835"/>
        </w:tabs>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В настоящее время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-отчетность становится ключевым инструментом устойчивого развития организации. Это происходит в связи с тем, что участники рынка проявляют повышенный интерес не только к финансовой составляющей (бухгалтерской (финансовой) отчетности), но и нефинансовым показателям. Информация, которая содержится в различных финансовых отчётах, не формирует комплексное представление о положении компании: её социальной ответственности, степени влияния деятельности предприятия на экологию и прозрачности её управленческих процессов. Ввиду этого появляется необходимость внедрения специализированной формы отчетности, которая бы детализировала указанные направления работы организации. </w:t>
      </w:r>
    </w:p>
    <w:p w14:paraId="5B8BB165"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w:t>
      </w:r>
      <w:bookmarkStart w:id="4" w:name="_Hlk192380885"/>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-отчетность </w:t>
      </w:r>
      <w:bookmarkEnd w:id="4"/>
      <w:r w:rsidRPr="00B31919">
        <w:rPr>
          <w:rFonts w:ascii="Times New Roman" w:eastAsia="Times New Roman" w:hAnsi="Times New Roman" w:cs="Times New Roman"/>
          <w:sz w:val="32"/>
          <w:szCs w:val="32"/>
        </w:rPr>
        <w:t xml:space="preserve">представляет собой вид раскрытия информации, систематизирующий данные о достижениях компании в области экологической ответственности, управления и реализации социальных проектов». Данная нефинансовая отчётность формируется на основе таких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-показателей, как </w:t>
      </w:r>
      <w:r w:rsidRPr="00B31919">
        <w:rPr>
          <w:rFonts w:ascii="Times New Roman" w:eastAsia="Times New Roman" w:hAnsi="Times New Roman" w:cs="Times New Roman"/>
          <w:sz w:val="32"/>
          <w:szCs w:val="32"/>
          <w:lang w:val="en-US"/>
        </w:rPr>
        <w:t>environmental</w:t>
      </w:r>
      <w:r w:rsidRPr="00B31919">
        <w:rPr>
          <w:rFonts w:ascii="Times New Roman" w:eastAsia="Times New Roman" w:hAnsi="Times New Roman" w:cs="Times New Roman"/>
          <w:sz w:val="32"/>
          <w:szCs w:val="32"/>
        </w:rPr>
        <w:t xml:space="preserve"> (</w:t>
      </w:r>
      <w:r w:rsidRPr="00B31919">
        <w:rPr>
          <w:rFonts w:ascii="Times New Roman" w:eastAsia="Times New Roman" w:hAnsi="Times New Roman" w:cs="Times New Roman"/>
          <w:sz w:val="32"/>
          <w:szCs w:val="32"/>
          <w:lang w:val="en-US"/>
        </w:rPr>
        <w:t>E</w:t>
      </w:r>
      <w:r w:rsidRPr="00B31919">
        <w:rPr>
          <w:rFonts w:ascii="Times New Roman" w:eastAsia="Times New Roman" w:hAnsi="Times New Roman" w:cs="Times New Roman"/>
          <w:sz w:val="32"/>
          <w:szCs w:val="32"/>
        </w:rPr>
        <w:t xml:space="preserve">) – экологические; </w:t>
      </w:r>
      <w:r w:rsidRPr="00B31919">
        <w:rPr>
          <w:rFonts w:ascii="Times New Roman" w:eastAsia="Times New Roman" w:hAnsi="Times New Roman" w:cs="Times New Roman"/>
          <w:sz w:val="32"/>
          <w:szCs w:val="32"/>
          <w:lang w:val="en-US"/>
        </w:rPr>
        <w:t>social</w:t>
      </w:r>
      <w:r w:rsidRPr="00B31919">
        <w:rPr>
          <w:rFonts w:ascii="Times New Roman" w:eastAsia="Times New Roman" w:hAnsi="Times New Roman" w:cs="Times New Roman"/>
          <w:sz w:val="32"/>
          <w:szCs w:val="32"/>
        </w:rPr>
        <w:t xml:space="preserve"> (</w:t>
      </w:r>
      <w:r w:rsidRPr="00B31919">
        <w:rPr>
          <w:rFonts w:ascii="Times New Roman" w:eastAsia="Times New Roman" w:hAnsi="Times New Roman" w:cs="Times New Roman"/>
          <w:sz w:val="32"/>
          <w:szCs w:val="32"/>
          <w:lang w:val="en-US"/>
        </w:rPr>
        <w:t>S</w:t>
      </w:r>
      <w:r w:rsidRPr="00B31919">
        <w:rPr>
          <w:rFonts w:ascii="Times New Roman" w:eastAsia="Times New Roman" w:hAnsi="Times New Roman" w:cs="Times New Roman"/>
          <w:sz w:val="32"/>
          <w:szCs w:val="32"/>
        </w:rPr>
        <w:t xml:space="preserve">) – социальные; </w:t>
      </w:r>
      <w:r w:rsidRPr="00B31919">
        <w:rPr>
          <w:rFonts w:ascii="Times New Roman" w:eastAsia="Times New Roman" w:hAnsi="Times New Roman" w:cs="Times New Roman"/>
          <w:sz w:val="32"/>
          <w:szCs w:val="32"/>
          <w:lang w:val="en-US"/>
        </w:rPr>
        <w:t>governance</w:t>
      </w:r>
      <w:r w:rsidRPr="00B31919">
        <w:rPr>
          <w:rFonts w:ascii="Times New Roman" w:eastAsia="Times New Roman" w:hAnsi="Times New Roman" w:cs="Times New Roman"/>
          <w:sz w:val="32"/>
          <w:szCs w:val="32"/>
        </w:rPr>
        <w:t xml:space="preserve"> (</w:t>
      </w:r>
      <w:r w:rsidRPr="00B31919">
        <w:rPr>
          <w:rFonts w:ascii="Times New Roman" w:eastAsia="Times New Roman" w:hAnsi="Times New Roman" w:cs="Times New Roman"/>
          <w:sz w:val="32"/>
          <w:szCs w:val="32"/>
          <w:lang w:val="en-US"/>
        </w:rPr>
        <w:t>G</w:t>
      </w:r>
      <w:r w:rsidRPr="00B31919">
        <w:rPr>
          <w:rFonts w:ascii="Times New Roman" w:eastAsia="Times New Roman" w:hAnsi="Times New Roman" w:cs="Times New Roman"/>
          <w:sz w:val="32"/>
          <w:szCs w:val="32"/>
        </w:rPr>
        <w:t xml:space="preserve">) – управленческие, интеграция которых в бизнес-процессы повышает инвестиционную привлекательность компании и способствует росту её стоимости [3]. </w:t>
      </w:r>
    </w:p>
    <w:p w14:paraId="1921639C" w14:textId="39458AAD" w:rsid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Для более полного понимания структуры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-отчетности рассмотрим специфику формирующих её показателей в таблице 1.</w:t>
      </w:r>
    </w:p>
    <w:p w14:paraId="3BE5DD39" w14:textId="77777777" w:rsidR="00DB349B" w:rsidRPr="00B31919" w:rsidRDefault="00DB349B" w:rsidP="00DB349B">
      <w:pPr>
        <w:spacing w:after="0" w:line="240" w:lineRule="auto"/>
        <w:ind w:firstLine="709"/>
        <w:jc w:val="both"/>
        <w:rPr>
          <w:rFonts w:ascii="Times New Roman" w:eastAsia="Times New Roman" w:hAnsi="Times New Roman" w:cs="Times New Roman"/>
          <w:sz w:val="32"/>
          <w:szCs w:val="32"/>
        </w:rPr>
      </w:pPr>
    </w:p>
    <w:p w14:paraId="30F70B13" w14:textId="77777777" w:rsidR="00B31919" w:rsidRPr="00B31919" w:rsidRDefault="00B31919" w:rsidP="00B31919">
      <w:pPr>
        <w:spacing w:after="0" w:line="240" w:lineRule="auto"/>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Таблица 1 –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-показатели и их характеристика</w:t>
      </w:r>
    </w:p>
    <w:tbl>
      <w:tblPr>
        <w:tblStyle w:val="180"/>
        <w:tblW w:w="0" w:type="auto"/>
        <w:tblInd w:w="0" w:type="dxa"/>
        <w:tblLook w:val="04A0" w:firstRow="1" w:lastRow="0" w:firstColumn="1" w:lastColumn="0" w:noHBand="0" w:noVBand="1"/>
      </w:tblPr>
      <w:tblGrid>
        <w:gridCol w:w="1573"/>
        <w:gridCol w:w="3242"/>
        <w:gridCol w:w="2126"/>
        <w:gridCol w:w="2687"/>
      </w:tblGrid>
      <w:tr w:rsidR="00B31919" w:rsidRPr="00B31919" w14:paraId="0FAEEC48" w14:textId="77777777">
        <w:tc>
          <w:tcPr>
            <w:tcW w:w="1573" w:type="dxa"/>
            <w:tcBorders>
              <w:top w:val="single" w:sz="4" w:space="0" w:color="auto"/>
              <w:left w:val="single" w:sz="4" w:space="0" w:color="auto"/>
              <w:bottom w:val="single" w:sz="4" w:space="0" w:color="auto"/>
              <w:right w:val="single" w:sz="4" w:space="0" w:color="auto"/>
            </w:tcBorders>
          </w:tcPr>
          <w:p w14:paraId="1070A29C" w14:textId="77777777" w:rsidR="00B31919" w:rsidRPr="00B31919" w:rsidRDefault="00B31919" w:rsidP="00B31919">
            <w:pPr>
              <w:jc w:val="center"/>
              <w:rPr>
                <w:rFonts w:ascii="Times New Roman" w:eastAsia="Times New Roman" w:hAnsi="Times New Roman"/>
                <w:sz w:val="24"/>
                <w:szCs w:val="24"/>
              </w:rPr>
            </w:pPr>
          </w:p>
        </w:tc>
        <w:tc>
          <w:tcPr>
            <w:tcW w:w="3242" w:type="dxa"/>
            <w:tcBorders>
              <w:top w:val="single" w:sz="4" w:space="0" w:color="auto"/>
              <w:left w:val="single" w:sz="4" w:space="0" w:color="auto"/>
              <w:bottom w:val="single" w:sz="4" w:space="0" w:color="auto"/>
              <w:right w:val="single" w:sz="4" w:space="0" w:color="auto"/>
            </w:tcBorders>
            <w:hideMark/>
          </w:tcPr>
          <w:p w14:paraId="4C1AF1D2"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Экологические показатели</w:t>
            </w:r>
          </w:p>
        </w:tc>
        <w:tc>
          <w:tcPr>
            <w:tcW w:w="2126" w:type="dxa"/>
            <w:tcBorders>
              <w:top w:val="single" w:sz="4" w:space="0" w:color="auto"/>
              <w:left w:val="single" w:sz="4" w:space="0" w:color="auto"/>
              <w:bottom w:val="single" w:sz="4" w:space="0" w:color="auto"/>
              <w:right w:val="single" w:sz="4" w:space="0" w:color="auto"/>
            </w:tcBorders>
            <w:hideMark/>
          </w:tcPr>
          <w:p w14:paraId="40BBD324"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Социальные показатели</w:t>
            </w:r>
          </w:p>
        </w:tc>
        <w:tc>
          <w:tcPr>
            <w:tcW w:w="2687" w:type="dxa"/>
            <w:tcBorders>
              <w:top w:val="single" w:sz="4" w:space="0" w:color="auto"/>
              <w:left w:val="single" w:sz="4" w:space="0" w:color="auto"/>
              <w:bottom w:val="single" w:sz="4" w:space="0" w:color="auto"/>
              <w:right w:val="single" w:sz="4" w:space="0" w:color="auto"/>
            </w:tcBorders>
            <w:hideMark/>
          </w:tcPr>
          <w:p w14:paraId="009FDB5B"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Управленческие показатели</w:t>
            </w:r>
          </w:p>
        </w:tc>
      </w:tr>
      <w:tr w:rsidR="00B31919" w:rsidRPr="00B31919" w14:paraId="3C0D469A" w14:textId="77777777">
        <w:trPr>
          <w:trHeight w:val="2446"/>
        </w:trPr>
        <w:tc>
          <w:tcPr>
            <w:tcW w:w="1573" w:type="dxa"/>
            <w:tcBorders>
              <w:top w:val="single" w:sz="4" w:space="0" w:color="auto"/>
              <w:left w:val="single" w:sz="4" w:space="0" w:color="auto"/>
              <w:bottom w:val="single" w:sz="4" w:space="0" w:color="auto"/>
              <w:right w:val="single" w:sz="4" w:space="0" w:color="auto"/>
            </w:tcBorders>
            <w:hideMark/>
          </w:tcPr>
          <w:p w14:paraId="44AB3ECE"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Составные элементы</w:t>
            </w:r>
          </w:p>
        </w:tc>
        <w:tc>
          <w:tcPr>
            <w:tcW w:w="3242" w:type="dxa"/>
            <w:tcBorders>
              <w:top w:val="single" w:sz="4" w:space="0" w:color="auto"/>
              <w:left w:val="single" w:sz="4" w:space="0" w:color="auto"/>
              <w:bottom w:val="single" w:sz="4" w:space="0" w:color="auto"/>
              <w:right w:val="single" w:sz="4" w:space="0" w:color="auto"/>
            </w:tcBorders>
            <w:hideMark/>
          </w:tcPr>
          <w:p w14:paraId="78953019" w14:textId="77777777" w:rsidR="00B31919" w:rsidRPr="00B31919" w:rsidRDefault="00B31919" w:rsidP="00B31919">
            <w:pPr>
              <w:tabs>
                <w:tab w:val="left" w:pos="0"/>
              </w:tabs>
              <w:jc w:val="both"/>
              <w:rPr>
                <w:rFonts w:ascii="Times New Roman" w:eastAsia="Times New Roman" w:hAnsi="Times New Roman"/>
                <w:sz w:val="24"/>
                <w:szCs w:val="24"/>
              </w:rPr>
            </w:pPr>
            <w:r w:rsidRPr="00B31919">
              <w:rPr>
                <w:rFonts w:ascii="Times New Roman" w:eastAsia="Times New Roman" w:hAnsi="Times New Roman"/>
                <w:sz w:val="24"/>
                <w:szCs w:val="24"/>
              </w:rPr>
              <w:t>- способы использования природных ресурсов;</w:t>
            </w:r>
          </w:p>
          <w:p w14:paraId="0E632DB7" w14:textId="77777777" w:rsidR="00B31919" w:rsidRPr="00B31919" w:rsidRDefault="00B31919" w:rsidP="00B31919">
            <w:pPr>
              <w:tabs>
                <w:tab w:val="left" w:pos="0"/>
              </w:tabs>
              <w:jc w:val="both"/>
              <w:rPr>
                <w:rFonts w:ascii="Times New Roman" w:eastAsia="Times New Roman" w:hAnsi="Times New Roman"/>
                <w:sz w:val="24"/>
                <w:szCs w:val="24"/>
              </w:rPr>
            </w:pPr>
            <w:r w:rsidRPr="00B31919">
              <w:rPr>
                <w:rFonts w:ascii="Times New Roman" w:eastAsia="Times New Roman" w:hAnsi="Times New Roman"/>
                <w:sz w:val="24"/>
                <w:szCs w:val="24"/>
              </w:rPr>
              <w:t>- уровень негативного воздействия на окружающую среду;</w:t>
            </w:r>
          </w:p>
          <w:p w14:paraId="0DDD780F" w14:textId="77777777" w:rsidR="00B31919" w:rsidRPr="00B31919" w:rsidRDefault="00B31919" w:rsidP="00B31919">
            <w:pPr>
              <w:tabs>
                <w:tab w:val="left" w:pos="0"/>
              </w:tabs>
              <w:jc w:val="both"/>
              <w:rPr>
                <w:rFonts w:ascii="Times New Roman" w:eastAsia="Times New Roman" w:hAnsi="Times New Roman"/>
                <w:sz w:val="24"/>
                <w:szCs w:val="24"/>
              </w:rPr>
            </w:pPr>
            <w:r w:rsidRPr="00B31919">
              <w:rPr>
                <w:rFonts w:ascii="Times New Roman" w:eastAsia="Times New Roman" w:hAnsi="Times New Roman"/>
                <w:sz w:val="24"/>
                <w:szCs w:val="24"/>
              </w:rPr>
              <w:t>- управление отходами и токсичными веществами.</w:t>
            </w:r>
          </w:p>
        </w:tc>
        <w:tc>
          <w:tcPr>
            <w:tcW w:w="2126" w:type="dxa"/>
            <w:tcBorders>
              <w:top w:val="single" w:sz="4" w:space="0" w:color="auto"/>
              <w:left w:val="single" w:sz="4" w:space="0" w:color="auto"/>
              <w:bottom w:val="single" w:sz="4" w:space="0" w:color="auto"/>
              <w:right w:val="single" w:sz="4" w:space="0" w:color="auto"/>
            </w:tcBorders>
            <w:hideMark/>
          </w:tcPr>
          <w:p w14:paraId="0453A23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условия труда работников;</w:t>
            </w:r>
          </w:p>
          <w:p w14:paraId="17836F8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обеспечение безопасности на рабочих местах;</w:t>
            </w:r>
          </w:p>
          <w:p w14:paraId="285B3DF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качество коммуникации с персоналом и клиентами.</w:t>
            </w:r>
          </w:p>
        </w:tc>
        <w:tc>
          <w:tcPr>
            <w:tcW w:w="2687" w:type="dxa"/>
            <w:tcBorders>
              <w:top w:val="single" w:sz="4" w:space="0" w:color="auto"/>
              <w:left w:val="single" w:sz="4" w:space="0" w:color="auto"/>
              <w:bottom w:val="single" w:sz="4" w:space="0" w:color="auto"/>
              <w:right w:val="single" w:sz="4" w:space="0" w:color="auto"/>
            </w:tcBorders>
            <w:hideMark/>
          </w:tcPr>
          <w:p w14:paraId="4F64894A"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структура управления;</w:t>
            </w:r>
          </w:p>
          <w:p w14:paraId="5EF3B8F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прозрачность отчетности;</w:t>
            </w:r>
          </w:p>
          <w:p w14:paraId="470AE65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профилактика коррупционных схем;</w:t>
            </w:r>
          </w:p>
          <w:p w14:paraId="0832996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взаимодействие с акционерами;</w:t>
            </w:r>
          </w:p>
          <w:p w14:paraId="1834C8E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наличие лоббирования.</w:t>
            </w:r>
          </w:p>
        </w:tc>
      </w:tr>
      <w:tr w:rsidR="00B31919" w:rsidRPr="00B31919" w14:paraId="4BD27411" w14:textId="77777777">
        <w:tc>
          <w:tcPr>
            <w:tcW w:w="1573" w:type="dxa"/>
            <w:tcBorders>
              <w:top w:val="single" w:sz="4" w:space="0" w:color="auto"/>
              <w:left w:val="single" w:sz="4" w:space="0" w:color="auto"/>
              <w:bottom w:val="single" w:sz="4" w:space="0" w:color="auto"/>
              <w:right w:val="single" w:sz="4" w:space="0" w:color="auto"/>
            </w:tcBorders>
            <w:hideMark/>
          </w:tcPr>
          <w:p w14:paraId="645A4A40"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lastRenderedPageBreak/>
              <w:t>Способы сохранения высокого уровня показателя</w:t>
            </w:r>
          </w:p>
        </w:tc>
        <w:tc>
          <w:tcPr>
            <w:tcW w:w="3242" w:type="dxa"/>
            <w:tcBorders>
              <w:top w:val="single" w:sz="4" w:space="0" w:color="auto"/>
              <w:left w:val="single" w:sz="4" w:space="0" w:color="auto"/>
              <w:bottom w:val="single" w:sz="4" w:space="0" w:color="auto"/>
              <w:right w:val="single" w:sz="4" w:space="0" w:color="auto"/>
            </w:tcBorders>
            <w:hideMark/>
          </w:tcPr>
          <w:p w14:paraId="76DF5DF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снижение выбросов метана;</w:t>
            </w:r>
          </w:p>
          <w:p w14:paraId="7224384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рекультивация земель;</w:t>
            </w:r>
          </w:p>
          <w:p w14:paraId="728FBF2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сохранение биоразнообразия;</w:t>
            </w:r>
          </w:p>
          <w:p w14:paraId="0FA5206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оптимизация энергопотребления;</w:t>
            </w:r>
          </w:p>
          <w:p w14:paraId="4CD8ABD1" w14:textId="77777777" w:rsidR="00B31919" w:rsidRPr="00B31919" w:rsidRDefault="00B31919" w:rsidP="00B31919">
            <w:pPr>
              <w:tabs>
                <w:tab w:val="left" w:pos="0"/>
              </w:tabs>
              <w:jc w:val="both"/>
              <w:rPr>
                <w:rFonts w:ascii="Times New Roman" w:eastAsia="Times New Roman" w:hAnsi="Times New Roman"/>
                <w:sz w:val="24"/>
                <w:szCs w:val="24"/>
              </w:rPr>
            </w:pPr>
            <w:r w:rsidRPr="00B31919">
              <w:rPr>
                <w:rFonts w:ascii="Times New Roman" w:eastAsia="Times New Roman" w:hAnsi="Times New Roman"/>
                <w:sz w:val="24"/>
                <w:szCs w:val="24"/>
              </w:rPr>
              <w:t>- соблюдение законодательства в области экологии;</w:t>
            </w:r>
          </w:p>
          <w:p w14:paraId="2F4444B2"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xml:space="preserve">- экологичная переработка отходов. </w:t>
            </w:r>
          </w:p>
        </w:tc>
        <w:tc>
          <w:tcPr>
            <w:tcW w:w="2126" w:type="dxa"/>
            <w:tcBorders>
              <w:top w:val="single" w:sz="4" w:space="0" w:color="auto"/>
              <w:left w:val="single" w:sz="4" w:space="0" w:color="auto"/>
              <w:bottom w:val="single" w:sz="4" w:space="0" w:color="auto"/>
              <w:right w:val="single" w:sz="4" w:space="0" w:color="auto"/>
            </w:tcBorders>
            <w:hideMark/>
          </w:tcPr>
          <w:p w14:paraId="690C3D5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xml:space="preserve">- доступность образования для сотрудников; </w:t>
            </w:r>
          </w:p>
          <w:p w14:paraId="159A73A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оформление страховки для сотрудников;</w:t>
            </w:r>
          </w:p>
          <w:p w14:paraId="6152710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равенство возможностей;</w:t>
            </w:r>
          </w:p>
          <w:p w14:paraId="32C60FD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снижение травматизма.</w:t>
            </w:r>
          </w:p>
        </w:tc>
        <w:tc>
          <w:tcPr>
            <w:tcW w:w="2687" w:type="dxa"/>
            <w:tcBorders>
              <w:top w:val="single" w:sz="4" w:space="0" w:color="auto"/>
              <w:left w:val="single" w:sz="4" w:space="0" w:color="auto"/>
              <w:bottom w:val="single" w:sz="4" w:space="0" w:color="auto"/>
              <w:right w:val="single" w:sz="4" w:space="0" w:color="auto"/>
            </w:tcBorders>
            <w:hideMark/>
          </w:tcPr>
          <w:p w14:paraId="7359F10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прозрачность сделок;</w:t>
            </w:r>
          </w:p>
          <w:p w14:paraId="5C80C8E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защита личных данных, предотвращение их утечки;</w:t>
            </w:r>
          </w:p>
          <w:p w14:paraId="53A714B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поддержание диалога со стейкхолдерами.</w:t>
            </w:r>
          </w:p>
        </w:tc>
      </w:tr>
      <w:tr w:rsidR="00B31919" w:rsidRPr="00B31919" w14:paraId="6F75623C" w14:textId="77777777">
        <w:tc>
          <w:tcPr>
            <w:tcW w:w="1573" w:type="dxa"/>
            <w:tcBorders>
              <w:top w:val="single" w:sz="4" w:space="0" w:color="auto"/>
              <w:left w:val="single" w:sz="4" w:space="0" w:color="auto"/>
              <w:bottom w:val="single" w:sz="4" w:space="0" w:color="auto"/>
              <w:right w:val="single" w:sz="4" w:space="0" w:color="auto"/>
            </w:tcBorders>
            <w:hideMark/>
          </w:tcPr>
          <w:p w14:paraId="63BB83DE"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Особенности в России</w:t>
            </w:r>
          </w:p>
        </w:tc>
        <w:tc>
          <w:tcPr>
            <w:tcW w:w="3242" w:type="dxa"/>
            <w:tcBorders>
              <w:top w:val="single" w:sz="4" w:space="0" w:color="auto"/>
              <w:left w:val="single" w:sz="4" w:space="0" w:color="auto"/>
              <w:bottom w:val="single" w:sz="4" w:space="0" w:color="auto"/>
              <w:right w:val="single" w:sz="4" w:space="0" w:color="auto"/>
            </w:tcBorders>
            <w:hideMark/>
          </w:tcPr>
          <w:p w14:paraId="2BBED7B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учёт климатических зон;</w:t>
            </w:r>
          </w:p>
          <w:p w14:paraId="5366F2F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сложности с логистикой в удаленных регионах;</w:t>
            </w:r>
          </w:p>
          <w:p w14:paraId="2F845D0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зависимость от угля и газа;</w:t>
            </w:r>
          </w:p>
          <w:p w14:paraId="03F29BB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износ инфраструктуры;</w:t>
            </w:r>
          </w:p>
          <w:p w14:paraId="0D4C3C62"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xml:space="preserve">- популярность лесных проектов. </w:t>
            </w:r>
          </w:p>
        </w:tc>
        <w:tc>
          <w:tcPr>
            <w:tcW w:w="2126" w:type="dxa"/>
            <w:tcBorders>
              <w:top w:val="single" w:sz="4" w:space="0" w:color="auto"/>
              <w:left w:val="single" w:sz="4" w:space="0" w:color="auto"/>
              <w:bottom w:val="single" w:sz="4" w:space="0" w:color="auto"/>
              <w:right w:val="single" w:sz="4" w:space="0" w:color="auto"/>
            </w:tcBorders>
            <w:hideMark/>
          </w:tcPr>
          <w:p w14:paraId="40B535F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акцент на программы для инвалидов;</w:t>
            </w:r>
          </w:p>
          <w:p w14:paraId="02E4580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высокие риски в добывающей промышленности.</w:t>
            </w:r>
          </w:p>
        </w:tc>
        <w:tc>
          <w:tcPr>
            <w:tcW w:w="2687" w:type="dxa"/>
            <w:tcBorders>
              <w:top w:val="single" w:sz="4" w:space="0" w:color="auto"/>
              <w:left w:val="single" w:sz="4" w:space="0" w:color="auto"/>
              <w:bottom w:val="single" w:sz="4" w:space="0" w:color="auto"/>
              <w:right w:val="single" w:sz="4" w:space="0" w:color="auto"/>
            </w:tcBorders>
            <w:hideMark/>
          </w:tcPr>
          <w:p w14:paraId="0D12558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рост числа внутренних расследований в госкомпаниях;</w:t>
            </w:r>
          </w:p>
          <w:p w14:paraId="136799A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усиление контроля из-за санкций;</w:t>
            </w:r>
          </w:p>
          <w:p w14:paraId="087E46F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соотношение внутренних и внешних кандидатов на руководящие должности.</w:t>
            </w:r>
          </w:p>
        </w:tc>
      </w:tr>
      <w:tr w:rsidR="00B31919" w:rsidRPr="00B31919" w14:paraId="7176AABE" w14:textId="77777777">
        <w:tc>
          <w:tcPr>
            <w:tcW w:w="1573" w:type="dxa"/>
            <w:tcBorders>
              <w:top w:val="single" w:sz="4" w:space="0" w:color="auto"/>
              <w:left w:val="single" w:sz="4" w:space="0" w:color="auto"/>
              <w:bottom w:val="single" w:sz="4" w:space="0" w:color="auto"/>
              <w:right w:val="single" w:sz="4" w:space="0" w:color="auto"/>
            </w:tcBorders>
            <w:hideMark/>
          </w:tcPr>
          <w:p w14:paraId="05467A98" w14:textId="77777777" w:rsidR="00B31919" w:rsidRPr="00B31919" w:rsidRDefault="00B31919" w:rsidP="00B31919">
            <w:pPr>
              <w:jc w:val="center"/>
              <w:rPr>
                <w:rFonts w:ascii="Times New Roman" w:eastAsia="Times New Roman" w:hAnsi="Times New Roman"/>
                <w:sz w:val="24"/>
                <w:szCs w:val="24"/>
              </w:rPr>
            </w:pPr>
            <w:r w:rsidRPr="00B31919">
              <w:rPr>
                <w:rFonts w:ascii="Times New Roman" w:eastAsia="Times New Roman" w:hAnsi="Times New Roman"/>
                <w:sz w:val="24"/>
                <w:szCs w:val="24"/>
              </w:rPr>
              <w:t>Примеры применения</w:t>
            </w:r>
          </w:p>
        </w:tc>
        <w:tc>
          <w:tcPr>
            <w:tcW w:w="3242" w:type="dxa"/>
            <w:tcBorders>
              <w:top w:val="single" w:sz="4" w:space="0" w:color="auto"/>
              <w:left w:val="single" w:sz="4" w:space="0" w:color="auto"/>
              <w:bottom w:val="single" w:sz="4" w:space="0" w:color="auto"/>
              <w:right w:val="single" w:sz="4" w:space="0" w:color="auto"/>
            </w:tcBorders>
            <w:hideMark/>
          </w:tcPr>
          <w:p w14:paraId="7BD9CC8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Газпром внедрил системы обнаружения утечек на местонахождениях.</w:t>
            </w:r>
          </w:p>
        </w:tc>
        <w:tc>
          <w:tcPr>
            <w:tcW w:w="2126" w:type="dxa"/>
            <w:tcBorders>
              <w:top w:val="single" w:sz="4" w:space="0" w:color="auto"/>
              <w:left w:val="single" w:sz="4" w:space="0" w:color="auto"/>
              <w:bottom w:val="single" w:sz="4" w:space="0" w:color="auto"/>
              <w:right w:val="single" w:sz="4" w:space="0" w:color="auto"/>
            </w:tcBorders>
            <w:hideMark/>
          </w:tcPr>
          <w:p w14:paraId="6D88DA98"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Северсталь: корпоративные клиники и программы ДМС.</w:t>
            </w:r>
          </w:p>
        </w:tc>
        <w:tc>
          <w:tcPr>
            <w:tcW w:w="2687" w:type="dxa"/>
            <w:tcBorders>
              <w:top w:val="single" w:sz="4" w:space="0" w:color="auto"/>
              <w:left w:val="single" w:sz="4" w:space="0" w:color="auto"/>
              <w:bottom w:val="single" w:sz="4" w:space="0" w:color="auto"/>
              <w:right w:val="single" w:sz="4" w:space="0" w:color="auto"/>
            </w:tcBorders>
            <w:hideMark/>
          </w:tcPr>
          <w:p w14:paraId="3636DADA"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 xml:space="preserve">- </w:t>
            </w:r>
            <w:r w:rsidRPr="00B31919">
              <w:rPr>
                <w:rFonts w:ascii="Times New Roman" w:eastAsia="Times New Roman" w:hAnsi="Times New Roman"/>
                <w:sz w:val="24"/>
                <w:szCs w:val="24"/>
                <w:lang w:val="en-US"/>
              </w:rPr>
              <w:t>X</w:t>
            </w:r>
            <w:r w:rsidRPr="00B31919">
              <w:rPr>
                <w:rFonts w:ascii="Times New Roman" w:eastAsia="Times New Roman" w:hAnsi="Times New Roman"/>
                <w:sz w:val="24"/>
                <w:szCs w:val="24"/>
              </w:rPr>
              <w:t xml:space="preserve">5 </w:t>
            </w:r>
            <w:r w:rsidRPr="00B31919">
              <w:rPr>
                <w:rFonts w:ascii="Times New Roman" w:eastAsia="Times New Roman" w:hAnsi="Times New Roman"/>
                <w:sz w:val="24"/>
                <w:szCs w:val="24"/>
                <w:lang w:val="en-US"/>
              </w:rPr>
              <w:t>Retail</w:t>
            </w:r>
            <w:r w:rsidRPr="00B31919">
              <w:rPr>
                <w:rFonts w:ascii="Times New Roman" w:eastAsia="Times New Roman" w:hAnsi="Times New Roman"/>
                <w:sz w:val="24"/>
                <w:szCs w:val="24"/>
              </w:rPr>
              <w:t xml:space="preserve"> </w:t>
            </w:r>
            <w:r w:rsidRPr="00B31919">
              <w:rPr>
                <w:rFonts w:ascii="Times New Roman" w:eastAsia="Times New Roman" w:hAnsi="Times New Roman"/>
                <w:sz w:val="24"/>
                <w:szCs w:val="24"/>
                <w:lang w:val="en-US"/>
              </w:rPr>
              <w:t>Group</w:t>
            </w:r>
            <w:r w:rsidRPr="00B31919">
              <w:rPr>
                <w:rFonts w:ascii="Times New Roman" w:eastAsia="Times New Roman" w:hAnsi="Times New Roman"/>
                <w:sz w:val="24"/>
                <w:szCs w:val="24"/>
              </w:rPr>
              <w:t xml:space="preserve"> публикует детализированные налоговые платежи.</w:t>
            </w:r>
          </w:p>
        </w:tc>
      </w:tr>
    </w:tbl>
    <w:p w14:paraId="70813B26" w14:textId="77777777" w:rsidR="00B31919" w:rsidRPr="00B31919" w:rsidRDefault="00B31919" w:rsidP="00B31919">
      <w:pPr>
        <w:spacing w:after="0" w:line="240" w:lineRule="auto"/>
        <w:ind w:firstLine="567"/>
        <w:jc w:val="both"/>
        <w:rPr>
          <w:rFonts w:ascii="Times New Roman" w:eastAsia="Times New Roman" w:hAnsi="Times New Roman" w:cs="Times New Roman"/>
          <w:sz w:val="32"/>
          <w:szCs w:val="32"/>
        </w:rPr>
      </w:pPr>
    </w:p>
    <w:p w14:paraId="28C71206"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Следовательно, анализ экологических, управленческих и социальных показателей, формирующих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-отчетность, демонстрирует неоднозначную картину: несмотря на повышенное внимание к различным аспектам и наличие позитивных инициатив, сохраняются проблемы, требующие решений. Например, в России наблюдается высокая углеродная зависимость, которая усложняет переход на технологии, направленные на минимизацию воздействия на окружающую среду. Помимо этого, наблюдаются проблемы и в социальных, управленческих сферах, которые компании стараются решить при помощи улучшения условий труда и публикации отчетности.</w:t>
      </w:r>
    </w:p>
    <w:p w14:paraId="780B3556"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В настоящее время в РФ не существует прямой обязанности по составлению нефинансовых показателей, то есть формирование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-отчетности носит скорее рекомендательный характер. Однако в 2022 году Центральный банк России выпустил </w:t>
      </w:r>
      <w:bookmarkStart w:id="5" w:name="_Hlk194787644"/>
      <w:r w:rsidRPr="00B31919">
        <w:rPr>
          <w:rFonts w:ascii="Times New Roman" w:eastAsia="Times New Roman" w:hAnsi="Times New Roman" w:cs="Times New Roman"/>
          <w:sz w:val="32"/>
          <w:szCs w:val="32"/>
        </w:rPr>
        <w:t xml:space="preserve">«информационное письмо, содержащее рекомендации по учету финансовыми организациями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-факторов</w:t>
      </w:r>
      <w:bookmarkEnd w:id="5"/>
      <w:r w:rsidRPr="00B31919">
        <w:rPr>
          <w:rFonts w:ascii="Times New Roman" w:eastAsia="Times New Roman" w:hAnsi="Times New Roman" w:cs="Times New Roman"/>
          <w:sz w:val="32"/>
          <w:szCs w:val="32"/>
        </w:rPr>
        <w:t>, а в 2023 году повестку в области устойчивого развития и климата» [3].</w:t>
      </w:r>
    </w:p>
    <w:p w14:paraId="3017DD7A" w14:textId="623F1A7A"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lastRenderedPageBreak/>
        <w:t>Согласно информационному письму ЦБ РФ, финансовые организации выполняют стратегически важную функцию при формировании экономической системы, ориентированной на долгосрочное устойчивое развитие. «Указанная роль подразумевает принятие решений в рамках своей деятельности с учетом факторов, связанных с окружающей средой, обществом и корпоративным управлением» [2].</w:t>
      </w:r>
      <w:r w:rsidR="00DB349B">
        <w:rPr>
          <w:rFonts w:ascii="Times New Roman" w:eastAsia="Times New Roman" w:hAnsi="Times New Roman" w:cs="Times New Roman"/>
          <w:sz w:val="32"/>
          <w:szCs w:val="32"/>
        </w:rPr>
        <w:t xml:space="preserve"> </w:t>
      </w:r>
      <w:r w:rsidRPr="00B31919">
        <w:rPr>
          <w:rFonts w:ascii="Times New Roman" w:eastAsia="Times New Roman" w:hAnsi="Times New Roman" w:cs="Times New Roman"/>
          <w:sz w:val="32"/>
          <w:szCs w:val="32"/>
        </w:rPr>
        <w:t xml:space="preserve">Таким образом, Центральный банк России подчеркивает необходимость внедрения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-принципов в систему корпоративного управления организаций и выступает главным инициатором введения практики составления нефинансовой отчетности. Кроме того, в Российской Федерации отсутствует полноценная нормативно-правовая база, регулирующая аудит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-отчетности. Единственным законодательным актом, затрагивающим данную область, является распоряжение Правительства РФ от 5 мая 2017 г. В нем предусматриваются два вида подтверждения: общественное и профессиональное заверение [1].</w:t>
      </w:r>
    </w:p>
    <w:p w14:paraId="1E9861B9"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В России общественное заверение нефинансовой отчетности осуществляет </w:t>
      </w:r>
      <w:bookmarkStart w:id="6" w:name="_Hlk194792395"/>
      <w:r w:rsidRPr="00B31919">
        <w:rPr>
          <w:rFonts w:ascii="Times New Roman" w:eastAsia="Times New Roman" w:hAnsi="Times New Roman" w:cs="Times New Roman"/>
          <w:sz w:val="32"/>
          <w:szCs w:val="32"/>
        </w:rPr>
        <w:t>Российский союз промышленников и предпринимателей</w:t>
      </w:r>
      <w:bookmarkEnd w:id="6"/>
      <w:r w:rsidRPr="00B31919">
        <w:rPr>
          <w:rFonts w:ascii="Times New Roman" w:eastAsia="Times New Roman" w:hAnsi="Times New Roman" w:cs="Times New Roman"/>
          <w:sz w:val="32"/>
          <w:szCs w:val="32"/>
        </w:rPr>
        <w:t xml:space="preserve">. Реализация инициативы демонстрирует высокую эффективность: по состоянию на апрель 2025 г. число компаний, опубликовавших экологические (ЭО) и социальные отчеты (СО), отчеты в области устойчивого развития (ОУР) и интегрированные отчеты (ИО), составляет 297. В таблице 2 представлено распределение </w:t>
      </w:r>
      <w:bookmarkStart w:id="7" w:name="_Hlk194797115"/>
      <w:r w:rsidRPr="00B31919">
        <w:rPr>
          <w:rFonts w:ascii="Times New Roman" w:eastAsia="Times New Roman" w:hAnsi="Times New Roman" w:cs="Times New Roman"/>
          <w:sz w:val="32"/>
          <w:szCs w:val="32"/>
        </w:rPr>
        <w:t>отчетов по отраслевой принадлежности компаний</w:t>
      </w:r>
      <w:bookmarkEnd w:id="7"/>
      <w:r w:rsidRPr="00B31919">
        <w:rPr>
          <w:rFonts w:ascii="Times New Roman" w:eastAsia="Times New Roman" w:hAnsi="Times New Roman" w:cs="Times New Roman"/>
          <w:sz w:val="32"/>
          <w:szCs w:val="32"/>
        </w:rPr>
        <w:t xml:space="preserve"> [4].</w:t>
      </w:r>
    </w:p>
    <w:p w14:paraId="56E9A5DC" w14:textId="77777777" w:rsidR="00B31919" w:rsidRPr="00B31919" w:rsidRDefault="00B31919" w:rsidP="00B31919">
      <w:pPr>
        <w:spacing w:after="0" w:line="240" w:lineRule="auto"/>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Таблица 2 – </w:t>
      </w:r>
      <w:bookmarkStart w:id="8" w:name="_Hlk194792307"/>
      <w:r w:rsidRPr="00B31919">
        <w:rPr>
          <w:rFonts w:ascii="Times New Roman" w:eastAsia="Times New Roman" w:hAnsi="Times New Roman" w:cs="Times New Roman"/>
          <w:sz w:val="32"/>
          <w:szCs w:val="32"/>
        </w:rPr>
        <w:t>Национальный Регистр корпоративных нефинансовых отчетов</w:t>
      </w:r>
    </w:p>
    <w:tbl>
      <w:tblPr>
        <w:tblStyle w:val="180"/>
        <w:tblW w:w="0" w:type="auto"/>
        <w:tblInd w:w="0" w:type="dxa"/>
        <w:tblLook w:val="04A0" w:firstRow="1" w:lastRow="0" w:firstColumn="1" w:lastColumn="0" w:noHBand="0" w:noVBand="1"/>
      </w:tblPr>
      <w:tblGrid>
        <w:gridCol w:w="5089"/>
        <w:gridCol w:w="1276"/>
        <w:gridCol w:w="576"/>
        <w:gridCol w:w="709"/>
        <w:gridCol w:w="567"/>
        <w:gridCol w:w="567"/>
        <w:gridCol w:w="844"/>
      </w:tblGrid>
      <w:tr w:rsidR="00B31919" w:rsidRPr="00B31919" w14:paraId="3BB257C0" w14:textId="77777777">
        <w:tc>
          <w:tcPr>
            <w:tcW w:w="5089" w:type="dxa"/>
            <w:vMerge w:val="restart"/>
            <w:tcBorders>
              <w:top w:val="single" w:sz="4" w:space="0" w:color="auto"/>
              <w:left w:val="single" w:sz="4" w:space="0" w:color="auto"/>
              <w:bottom w:val="single" w:sz="4" w:space="0" w:color="auto"/>
              <w:right w:val="single" w:sz="4" w:space="0" w:color="auto"/>
            </w:tcBorders>
            <w:hideMark/>
          </w:tcPr>
          <w:bookmarkEnd w:id="8"/>
          <w:p w14:paraId="5C8CD6D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Отраслевая принадлежность компаний</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21AE1D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Число компаний</w:t>
            </w:r>
          </w:p>
        </w:tc>
        <w:tc>
          <w:tcPr>
            <w:tcW w:w="3263" w:type="dxa"/>
            <w:gridSpan w:val="5"/>
            <w:tcBorders>
              <w:top w:val="single" w:sz="4" w:space="0" w:color="auto"/>
              <w:left w:val="single" w:sz="4" w:space="0" w:color="auto"/>
              <w:bottom w:val="single" w:sz="4" w:space="0" w:color="auto"/>
              <w:right w:val="single" w:sz="4" w:space="0" w:color="auto"/>
            </w:tcBorders>
            <w:hideMark/>
          </w:tcPr>
          <w:p w14:paraId="7C5749AC"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Количество отчетов</w:t>
            </w:r>
          </w:p>
        </w:tc>
      </w:tr>
      <w:tr w:rsidR="00B31919" w:rsidRPr="00B31919" w14:paraId="7ADC71D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3DD3BCA" w14:textId="77777777" w:rsidR="00B31919" w:rsidRPr="00B31919" w:rsidRDefault="00B31919" w:rsidP="00B31919">
            <w:pPr>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B8276" w14:textId="77777777" w:rsidR="00B31919" w:rsidRPr="00B31919" w:rsidRDefault="00B31919" w:rsidP="00B31919">
            <w:pPr>
              <w:rPr>
                <w:rFonts w:ascii="Times New Roman" w:eastAsia="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hideMark/>
          </w:tcPr>
          <w:p w14:paraId="00D8A6B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ИО</w:t>
            </w:r>
          </w:p>
        </w:tc>
        <w:tc>
          <w:tcPr>
            <w:tcW w:w="709" w:type="dxa"/>
            <w:tcBorders>
              <w:top w:val="single" w:sz="4" w:space="0" w:color="auto"/>
              <w:left w:val="single" w:sz="4" w:space="0" w:color="auto"/>
              <w:bottom w:val="single" w:sz="4" w:space="0" w:color="auto"/>
              <w:right w:val="single" w:sz="4" w:space="0" w:color="auto"/>
            </w:tcBorders>
            <w:hideMark/>
          </w:tcPr>
          <w:p w14:paraId="127F5BCC"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ОУР</w:t>
            </w:r>
          </w:p>
        </w:tc>
        <w:tc>
          <w:tcPr>
            <w:tcW w:w="567" w:type="dxa"/>
            <w:tcBorders>
              <w:top w:val="single" w:sz="4" w:space="0" w:color="auto"/>
              <w:left w:val="single" w:sz="4" w:space="0" w:color="auto"/>
              <w:bottom w:val="single" w:sz="4" w:space="0" w:color="auto"/>
              <w:right w:val="single" w:sz="4" w:space="0" w:color="auto"/>
            </w:tcBorders>
            <w:hideMark/>
          </w:tcPr>
          <w:p w14:paraId="3AF15AE2"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СО</w:t>
            </w:r>
          </w:p>
        </w:tc>
        <w:tc>
          <w:tcPr>
            <w:tcW w:w="567" w:type="dxa"/>
            <w:tcBorders>
              <w:top w:val="single" w:sz="4" w:space="0" w:color="auto"/>
              <w:left w:val="single" w:sz="4" w:space="0" w:color="auto"/>
              <w:bottom w:val="single" w:sz="4" w:space="0" w:color="auto"/>
              <w:right w:val="single" w:sz="4" w:space="0" w:color="auto"/>
            </w:tcBorders>
            <w:hideMark/>
          </w:tcPr>
          <w:p w14:paraId="583850C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ЭО</w:t>
            </w:r>
          </w:p>
        </w:tc>
        <w:tc>
          <w:tcPr>
            <w:tcW w:w="844" w:type="dxa"/>
            <w:tcBorders>
              <w:top w:val="single" w:sz="4" w:space="0" w:color="auto"/>
              <w:left w:val="single" w:sz="4" w:space="0" w:color="auto"/>
              <w:bottom w:val="single" w:sz="4" w:space="0" w:color="auto"/>
              <w:right w:val="single" w:sz="4" w:space="0" w:color="auto"/>
            </w:tcBorders>
            <w:hideMark/>
          </w:tcPr>
          <w:p w14:paraId="0380AF9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Итого</w:t>
            </w:r>
          </w:p>
        </w:tc>
      </w:tr>
      <w:tr w:rsidR="00B31919" w:rsidRPr="00B31919" w14:paraId="5345391A" w14:textId="77777777">
        <w:tc>
          <w:tcPr>
            <w:tcW w:w="5089" w:type="dxa"/>
            <w:tcBorders>
              <w:top w:val="single" w:sz="4" w:space="0" w:color="auto"/>
              <w:left w:val="single" w:sz="4" w:space="0" w:color="auto"/>
              <w:bottom w:val="single" w:sz="4" w:space="0" w:color="auto"/>
              <w:right w:val="single" w:sz="4" w:space="0" w:color="auto"/>
            </w:tcBorders>
            <w:hideMark/>
          </w:tcPr>
          <w:p w14:paraId="7608445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Нефтегазовая</w:t>
            </w:r>
          </w:p>
        </w:tc>
        <w:tc>
          <w:tcPr>
            <w:tcW w:w="1276" w:type="dxa"/>
            <w:tcBorders>
              <w:top w:val="single" w:sz="4" w:space="0" w:color="auto"/>
              <w:left w:val="single" w:sz="4" w:space="0" w:color="auto"/>
              <w:bottom w:val="single" w:sz="4" w:space="0" w:color="auto"/>
              <w:right w:val="single" w:sz="4" w:space="0" w:color="auto"/>
            </w:tcBorders>
            <w:hideMark/>
          </w:tcPr>
          <w:p w14:paraId="36325B3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26</w:t>
            </w:r>
          </w:p>
        </w:tc>
        <w:tc>
          <w:tcPr>
            <w:tcW w:w="576" w:type="dxa"/>
            <w:tcBorders>
              <w:top w:val="single" w:sz="4" w:space="0" w:color="auto"/>
              <w:left w:val="single" w:sz="4" w:space="0" w:color="auto"/>
              <w:bottom w:val="single" w:sz="4" w:space="0" w:color="auto"/>
              <w:right w:val="single" w:sz="4" w:space="0" w:color="auto"/>
            </w:tcBorders>
            <w:hideMark/>
          </w:tcPr>
          <w:p w14:paraId="44E1AA2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14:paraId="2048EF2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154</w:t>
            </w:r>
          </w:p>
        </w:tc>
        <w:tc>
          <w:tcPr>
            <w:tcW w:w="567" w:type="dxa"/>
            <w:tcBorders>
              <w:top w:val="single" w:sz="4" w:space="0" w:color="auto"/>
              <w:left w:val="single" w:sz="4" w:space="0" w:color="auto"/>
              <w:bottom w:val="single" w:sz="4" w:space="0" w:color="auto"/>
              <w:right w:val="single" w:sz="4" w:space="0" w:color="auto"/>
            </w:tcBorders>
            <w:hideMark/>
          </w:tcPr>
          <w:p w14:paraId="290BC7B2"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14:paraId="43F8BC4C"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32</w:t>
            </w:r>
          </w:p>
        </w:tc>
        <w:tc>
          <w:tcPr>
            <w:tcW w:w="844" w:type="dxa"/>
            <w:tcBorders>
              <w:top w:val="single" w:sz="4" w:space="0" w:color="auto"/>
              <w:left w:val="single" w:sz="4" w:space="0" w:color="auto"/>
              <w:bottom w:val="single" w:sz="4" w:space="0" w:color="auto"/>
              <w:right w:val="single" w:sz="4" w:space="0" w:color="auto"/>
            </w:tcBorders>
            <w:hideMark/>
          </w:tcPr>
          <w:p w14:paraId="385C982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219</w:t>
            </w:r>
          </w:p>
        </w:tc>
      </w:tr>
      <w:tr w:rsidR="00B31919" w:rsidRPr="00B31919" w14:paraId="39041E61" w14:textId="77777777">
        <w:tc>
          <w:tcPr>
            <w:tcW w:w="5089" w:type="dxa"/>
            <w:tcBorders>
              <w:top w:val="single" w:sz="4" w:space="0" w:color="auto"/>
              <w:left w:val="single" w:sz="4" w:space="0" w:color="auto"/>
              <w:bottom w:val="single" w:sz="4" w:space="0" w:color="auto"/>
              <w:right w:val="single" w:sz="4" w:space="0" w:color="auto"/>
            </w:tcBorders>
            <w:hideMark/>
          </w:tcPr>
          <w:p w14:paraId="21AC71B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Энергетика</w:t>
            </w:r>
          </w:p>
        </w:tc>
        <w:tc>
          <w:tcPr>
            <w:tcW w:w="1276" w:type="dxa"/>
            <w:tcBorders>
              <w:top w:val="single" w:sz="4" w:space="0" w:color="auto"/>
              <w:left w:val="single" w:sz="4" w:space="0" w:color="auto"/>
              <w:bottom w:val="single" w:sz="4" w:space="0" w:color="auto"/>
              <w:right w:val="single" w:sz="4" w:space="0" w:color="auto"/>
            </w:tcBorders>
            <w:hideMark/>
          </w:tcPr>
          <w:p w14:paraId="6F942A9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62</w:t>
            </w:r>
          </w:p>
        </w:tc>
        <w:tc>
          <w:tcPr>
            <w:tcW w:w="576" w:type="dxa"/>
            <w:tcBorders>
              <w:top w:val="single" w:sz="4" w:space="0" w:color="auto"/>
              <w:left w:val="single" w:sz="4" w:space="0" w:color="auto"/>
              <w:bottom w:val="single" w:sz="4" w:space="0" w:color="auto"/>
              <w:right w:val="single" w:sz="4" w:space="0" w:color="auto"/>
            </w:tcBorders>
            <w:hideMark/>
          </w:tcPr>
          <w:p w14:paraId="2232AEE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208</w:t>
            </w:r>
          </w:p>
        </w:tc>
        <w:tc>
          <w:tcPr>
            <w:tcW w:w="709" w:type="dxa"/>
            <w:tcBorders>
              <w:top w:val="single" w:sz="4" w:space="0" w:color="auto"/>
              <w:left w:val="single" w:sz="4" w:space="0" w:color="auto"/>
              <w:bottom w:val="single" w:sz="4" w:space="0" w:color="auto"/>
              <w:right w:val="single" w:sz="4" w:space="0" w:color="auto"/>
            </w:tcBorders>
            <w:hideMark/>
          </w:tcPr>
          <w:p w14:paraId="0D6CE23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hideMark/>
          </w:tcPr>
          <w:p w14:paraId="252EE29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47</w:t>
            </w:r>
          </w:p>
        </w:tc>
        <w:tc>
          <w:tcPr>
            <w:tcW w:w="567" w:type="dxa"/>
            <w:tcBorders>
              <w:top w:val="single" w:sz="4" w:space="0" w:color="auto"/>
              <w:left w:val="single" w:sz="4" w:space="0" w:color="auto"/>
              <w:bottom w:val="single" w:sz="4" w:space="0" w:color="auto"/>
              <w:right w:val="single" w:sz="4" w:space="0" w:color="auto"/>
            </w:tcBorders>
            <w:hideMark/>
          </w:tcPr>
          <w:p w14:paraId="12B8BFA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40</w:t>
            </w:r>
          </w:p>
        </w:tc>
        <w:tc>
          <w:tcPr>
            <w:tcW w:w="844" w:type="dxa"/>
            <w:tcBorders>
              <w:top w:val="single" w:sz="4" w:space="0" w:color="auto"/>
              <w:left w:val="single" w:sz="4" w:space="0" w:color="auto"/>
              <w:bottom w:val="single" w:sz="4" w:space="0" w:color="auto"/>
              <w:right w:val="single" w:sz="4" w:space="0" w:color="auto"/>
            </w:tcBorders>
            <w:hideMark/>
          </w:tcPr>
          <w:p w14:paraId="549D7E5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393</w:t>
            </w:r>
          </w:p>
        </w:tc>
      </w:tr>
      <w:tr w:rsidR="00B31919" w:rsidRPr="00B31919" w14:paraId="1677BF42" w14:textId="77777777">
        <w:tc>
          <w:tcPr>
            <w:tcW w:w="5089" w:type="dxa"/>
            <w:tcBorders>
              <w:top w:val="single" w:sz="4" w:space="0" w:color="auto"/>
              <w:left w:val="single" w:sz="4" w:space="0" w:color="auto"/>
              <w:bottom w:val="single" w:sz="4" w:space="0" w:color="auto"/>
              <w:right w:val="single" w:sz="4" w:space="0" w:color="auto"/>
            </w:tcBorders>
            <w:hideMark/>
          </w:tcPr>
          <w:p w14:paraId="6E0E3C1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Металлургическая и горнодобывающая</w:t>
            </w:r>
          </w:p>
        </w:tc>
        <w:tc>
          <w:tcPr>
            <w:tcW w:w="1276" w:type="dxa"/>
            <w:tcBorders>
              <w:top w:val="single" w:sz="4" w:space="0" w:color="auto"/>
              <w:left w:val="single" w:sz="4" w:space="0" w:color="auto"/>
              <w:bottom w:val="single" w:sz="4" w:space="0" w:color="auto"/>
              <w:right w:val="single" w:sz="4" w:space="0" w:color="auto"/>
            </w:tcBorders>
            <w:hideMark/>
          </w:tcPr>
          <w:p w14:paraId="33250C5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29</w:t>
            </w:r>
          </w:p>
        </w:tc>
        <w:tc>
          <w:tcPr>
            <w:tcW w:w="576" w:type="dxa"/>
            <w:tcBorders>
              <w:top w:val="single" w:sz="4" w:space="0" w:color="auto"/>
              <w:left w:val="single" w:sz="4" w:space="0" w:color="auto"/>
              <w:bottom w:val="single" w:sz="4" w:space="0" w:color="auto"/>
              <w:right w:val="single" w:sz="4" w:space="0" w:color="auto"/>
            </w:tcBorders>
            <w:hideMark/>
          </w:tcPr>
          <w:p w14:paraId="2F562292"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hideMark/>
          </w:tcPr>
          <w:p w14:paraId="1678F5C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102</w:t>
            </w:r>
          </w:p>
        </w:tc>
        <w:tc>
          <w:tcPr>
            <w:tcW w:w="567" w:type="dxa"/>
            <w:tcBorders>
              <w:top w:val="single" w:sz="4" w:space="0" w:color="auto"/>
              <w:left w:val="single" w:sz="4" w:space="0" w:color="auto"/>
              <w:bottom w:val="single" w:sz="4" w:space="0" w:color="auto"/>
              <w:right w:val="single" w:sz="4" w:space="0" w:color="auto"/>
            </w:tcBorders>
            <w:hideMark/>
          </w:tcPr>
          <w:p w14:paraId="3979E31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64</w:t>
            </w:r>
          </w:p>
        </w:tc>
        <w:tc>
          <w:tcPr>
            <w:tcW w:w="567" w:type="dxa"/>
            <w:tcBorders>
              <w:top w:val="single" w:sz="4" w:space="0" w:color="auto"/>
              <w:left w:val="single" w:sz="4" w:space="0" w:color="auto"/>
              <w:bottom w:val="single" w:sz="4" w:space="0" w:color="auto"/>
              <w:right w:val="single" w:sz="4" w:space="0" w:color="auto"/>
            </w:tcBorders>
            <w:hideMark/>
          </w:tcPr>
          <w:p w14:paraId="140965E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14:paraId="479767D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212</w:t>
            </w:r>
          </w:p>
        </w:tc>
      </w:tr>
      <w:tr w:rsidR="00B31919" w:rsidRPr="00B31919" w14:paraId="57E4F3B2" w14:textId="77777777">
        <w:tc>
          <w:tcPr>
            <w:tcW w:w="5089" w:type="dxa"/>
            <w:tcBorders>
              <w:top w:val="single" w:sz="4" w:space="0" w:color="auto"/>
              <w:left w:val="single" w:sz="4" w:space="0" w:color="auto"/>
              <w:bottom w:val="single" w:sz="4" w:space="0" w:color="auto"/>
              <w:right w:val="single" w:sz="4" w:space="0" w:color="auto"/>
            </w:tcBorders>
            <w:hideMark/>
          </w:tcPr>
          <w:p w14:paraId="0AF10F2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Химическая, нефтехимическая, парфюмерия</w:t>
            </w:r>
          </w:p>
        </w:tc>
        <w:tc>
          <w:tcPr>
            <w:tcW w:w="1276" w:type="dxa"/>
            <w:tcBorders>
              <w:top w:val="single" w:sz="4" w:space="0" w:color="auto"/>
              <w:left w:val="single" w:sz="4" w:space="0" w:color="auto"/>
              <w:bottom w:val="single" w:sz="4" w:space="0" w:color="auto"/>
              <w:right w:val="single" w:sz="4" w:space="0" w:color="auto"/>
            </w:tcBorders>
            <w:hideMark/>
          </w:tcPr>
          <w:p w14:paraId="5CDE621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16</w:t>
            </w:r>
          </w:p>
        </w:tc>
        <w:tc>
          <w:tcPr>
            <w:tcW w:w="576" w:type="dxa"/>
            <w:tcBorders>
              <w:top w:val="single" w:sz="4" w:space="0" w:color="auto"/>
              <w:left w:val="single" w:sz="4" w:space="0" w:color="auto"/>
              <w:bottom w:val="single" w:sz="4" w:space="0" w:color="auto"/>
              <w:right w:val="single" w:sz="4" w:space="0" w:color="auto"/>
            </w:tcBorders>
            <w:hideMark/>
          </w:tcPr>
          <w:p w14:paraId="5A66FFC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14:paraId="3C6F37D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43</w:t>
            </w:r>
          </w:p>
        </w:tc>
        <w:tc>
          <w:tcPr>
            <w:tcW w:w="567" w:type="dxa"/>
            <w:tcBorders>
              <w:top w:val="single" w:sz="4" w:space="0" w:color="auto"/>
              <w:left w:val="single" w:sz="4" w:space="0" w:color="auto"/>
              <w:bottom w:val="single" w:sz="4" w:space="0" w:color="auto"/>
              <w:right w:val="single" w:sz="4" w:space="0" w:color="auto"/>
            </w:tcBorders>
            <w:hideMark/>
          </w:tcPr>
          <w:p w14:paraId="11BDA53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14:paraId="3379249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20</w:t>
            </w:r>
          </w:p>
        </w:tc>
        <w:tc>
          <w:tcPr>
            <w:tcW w:w="844" w:type="dxa"/>
            <w:tcBorders>
              <w:top w:val="single" w:sz="4" w:space="0" w:color="auto"/>
              <w:left w:val="single" w:sz="4" w:space="0" w:color="auto"/>
              <w:bottom w:val="single" w:sz="4" w:space="0" w:color="auto"/>
              <w:right w:val="single" w:sz="4" w:space="0" w:color="auto"/>
            </w:tcBorders>
            <w:hideMark/>
          </w:tcPr>
          <w:p w14:paraId="497CE83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128</w:t>
            </w:r>
          </w:p>
        </w:tc>
      </w:tr>
      <w:tr w:rsidR="00B31919" w:rsidRPr="00B31919" w14:paraId="2883E94E" w14:textId="77777777">
        <w:tc>
          <w:tcPr>
            <w:tcW w:w="5089" w:type="dxa"/>
            <w:tcBorders>
              <w:top w:val="single" w:sz="4" w:space="0" w:color="auto"/>
              <w:left w:val="single" w:sz="4" w:space="0" w:color="auto"/>
              <w:bottom w:val="single" w:sz="4" w:space="0" w:color="auto"/>
              <w:right w:val="single" w:sz="4" w:space="0" w:color="auto"/>
            </w:tcBorders>
            <w:hideMark/>
          </w:tcPr>
          <w:p w14:paraId="0565E79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Деревообрабатывающая, целлюлозно-бумажная</w:t>
            </w:r>
          </w:p>
        </w:tc>
        <w:tc>
          <w:tcPr>
            <w:tcW w:w="1276" w:type="dxa"/>
            <w:tcBorders>
              <w:top w:val="single" w:sz="4" w:space="0" w:color="auto"/>
              <w:left w:val="single" w:sz="4" w:space="0" w:color="auto"/>
              <w:bottom w:val="single" w:sz="4" w:space="0" w:color="auto"/>
              <w:right w:val="single" w:sz="4" w:space="0" w:color="auto"/>
            </w:tcBorders>
            <w:hideMark/>
          </w:tcPr>
          <w:p w14:paraId="3171F288"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14:paraId="7B72161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14:paraId="62C70DA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14:paraId="0964C06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7936E4D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18</w:t>
            </w:r>
          </w:p>
        </w:tc>
        <w:tc>
          <w:tcPr>
            <w:tcW w:w="844" w:type="dxa"/>
            <w:tcBorders>
              <w:top w:val="single" w:sz="4" w:space="0" w:color="auto"/>
              <w:left w:val="single" w:sz="4" w:space="0" w:color="auto"/>
              <w:bottom w:val="single" w:sz="4" w:space="0" w:color="auto"/>
              <w:right w:val="single" w:sz="4" w:space="0" w:color="auto"/>
            </w:tcBorders>
            <w:hideMark/>
          </w:tcPr>
          <w:p w14:paraId="49F71F98"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36</w:t>
            </w:r>
          </w:p>
        </w:tc>
      </w:tr>
      <w:tr w:rsidR="00B31919" w:rsidRPr="00B31919" w14:paraId="7507AFB4" w14:textId="77777777">
        <w:tc>
          <w:tcPr>
            <w:tcW w:w="5089" w:type="dxa"/>
            <w:tcBorders>
              <w:top w:val="single" w:sz="4" w:space="0" w:color="auto"/>
              <w:left w:val="single" w:sz="4" w:space="0" w:color="auto"/>
              <w:bottom w:val="single" w:sz="4" w:space="0" w:color="auto"/>
              <w:right w:val="single" w:sz="4" w:space="0" w:color="auto"/>
            </w:tcBorders>
            <w:hideMark/>
          </w:tcPr>
          <w:p w14:paraId="679A1C1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Производство пищевых и других потребительских товаров</w:t>
            </w:r>
          </w:p>
        </w:tc>
        <w:tc>
          <w:tcPr>
            <w:tcW w:w="1276" w:type="dxa"/>
            <w:tcBorders>
              <w:top w:val="single" w:sz="4" w:space="0" w:color="auto"/>
              <w:left w:val="single" w:sz="4" w:space="0" w:color="auto"/>
              <w:bottom w:val="single" w:sz="4" w:space="0" w:color="auto"/>
              <w:right w:val="single" w:sz="4" w:space="0" w:color="auto"/>
            </w:tcBorders>
            <w:hideMark/>
          </w:tcPr>
          <w:p w14:paraId="1E33A40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17</w:t>
            </w:r>
          </w:p>
        </w:tc>
        <w:tc>
          <w:tcPr>
            <w:tcW w:w="576" w:type="dxa"/>
            <w:tcBorders>
              <w:top w:val="single" w:sz="4" w:space="0" w:color="auto"/>
              <w:left w:val="single" w:sz="4" w:space="0" w:color="auto"/>
              <w:bottom w:val="single" w:sz="4" w:space="0" w:color="auto"/>
              <w:right w:val="single" w:sz="4" w:space="0" w:color="auto"/>
            </w:tcBorders>
            <w:hideMark/>
          </w:tcPr>
          <w:p w14:paraId="3E27561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061E6BC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44</w:t>
            </w:r>
          </w:p>
        </w:tc>
        <w:tc>
          <w:tcPr>
            <w:tcW w:w="567" w:type="dxa"/>
            <w:tcBorders>
              <w:top w:val="single" w:sz="4" w:space="0" w:color="auto"/>
              <w:left w:val="single" w:sz="4" w:space="0" w:color="auto"/>
              <w:bottom w:val="single" w:sz="4" w:space="0" w:color="auto"/>
              <w:right w:val="single" w:sz="4" w:space="0" w:color="auto"/>
            </w:tcBorders>
            <w:hideMark/>
          </w:tcPr>
          <w:p w14:paraId="5819665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26</w:t>
            </w:r>
          </w:p>
        </w:tc>
        <w:tc>
          <w:tcPr>
            <w:tcW w:w="567" w:type="dxa"/>
            <w:tcBorders>
              <w:top w:val="single" w:sz="4" w:space="0" w:color="auto"/>
              <w:left w:val="single" w:sz="4" w:space="0" w:color="auto"/>
              <w:bottom w:val="single" w:sz="4" w:space="0" w:color="auto"/>
              <w:right w:val="single" w:sz="4" w:space="0" w:color="auto"/>
            </w:tcBorders>
            <w:hideMark/>
          </w:tcPr>
          <w:p w14:paraId="6178088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844" w:type="dxa"/>
            <w:tcBorders>
              <w:top w:val="single" w:sz="4" w:space="0" w:color="auto"/>
              <w:left w:val="single" w:sz="4" w:space="0" w:color="auto"/>
              <w:bottom w:val="single" w:sz="4" w:space="0" w:color="auto"/>
              <w:right w:val="single" w:sz="4" w:space="0" w:color="auto"/>
            </w:tcBorders>
            <w:hideMark/>
          </w:tcPr>
          <w:p w14:paraId="54EBCC4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73</w:t>
            </w:r>
          </w:p>
        </w:tc>
      </w:tr>
      <w:tr w:rsidR="00B31919" w:rsidRPr="00B31919" w14:paraId="37EE16DC" w14:textId="77777777">
        <w:tc>
          <w:tcPr>
            <w:tcW w:w="5089" w:type="dxa"/>
            <w:tcBorders>
              <w:top w:val="single" w:sz="4" w:space="0" w:color="auto"/>
              <w:left w:val="single" w:sz="4" w:space="0" w:color="auto"/>
              <w:bottom w:val="single" w:sz="4" w:space="0" w:color="auto"/>
              <w:right w:val="single" w:sz="4" w:space="0" w:color="auto"/>
            </w:tcBorders>
            <w:hideMark/>
          </w:tcPr>
          <w:p w14:paraId="42EC814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Транспорт, дорожное строительство и логические услуги</w:t>
            </w:r>
          </w:p>
        </w:tc>
        <w:tc>
          <w:tcPr>
            <w:tcW w:w="1276" w:type="dxa"/>
            <w:tcBorders>
              <w:top w:val="single" w:sz="4" w:space="0" w:color="auto"/>
              <w:left w:val="single" w:sz="4" w:space="0" w:color="auto"/>
              <w:bottom w:val="single" w:sz="4" w:space="0" w:color="auto"/>
              <w:right w:val="single" w:sz="4" w:space="0" w:color="auto"/>
            </w:tcBorders>
            <w:hideMark/>
          </w:tcPr>
          <w:p w14:paraId="0628686C"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15</w:t>
            </w:r>
          </w:p>
        </w:tc>
        <w:tc>
          <w:tcPr>
            <w:tcW w:w="576" w:type="dxa"/>
            <w:tcBorders>
              <w:top w:val="single" w:sz="4" w:space="0" w:color="auto"/>
              <w:left w:val="single" w:sz="4" w:space="0" w:color="auto"/>
              <w:bottom w:val="single" w:sz="4" w:space="0" w:color="auto"/>
              <w:right w:val="single" w:sz="4" w:space="0" w:color="auto"/>
            </w:tcBorders>
            <w:hideMark/>
          </w:tcPr>
          <w:p w14:paraId="573AB2BA"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14:paraId="01E76BF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27</w:t>
            </w:r>
          </w:p>
        </w:tc>
        <w:tc>
          <w:tcPr>
            <w:tcW w:w="567" w:type="dxa"/>
            <w:tcBorders>
              <w:top w:val="single" w:sz="4" w:space="0" w:color="auto"/>
              <w:left w:val="single" w:sz="4" w:space="0" w:color="auto"/>
              <w:bottom w:val="single" w:sz="4" w:space="0" w:color="auto"/>
              <w:right w:val="single" w:sz="4" w:space="0" w:color="auto"/>
            </w:tcBorders>
            <w:hideMark/>
          </w:tcPr>
          <w:p w14:paraId="2625361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14:paraId="7C9846DA"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6</w:t>
            </w:r>
          </w:p>
        </w:tc>
        <w:tc>
          <w:tcPr>
            <w:tcW w:w="844" w:type="dxa"/>
            <w:tcBorders>
              <w:top w:val="single" w:sz="4" w:space="0" w:color="auto"/>
              <w:left w:val="single" w:sz="4" w:space="0" w:color="auto"/>
              <w:bottom w:val="single" w:sz="4" w:space="0" w:color="auto"/>
              <w:right w:val="single" w:sz="4" w:space="0" w:color="auto"/>
            </w:tcBorders>
            <w:hideMark/>
          </w:tcPr>
          <w:p w14:paraId="78E302C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68</w:t>
            </w:r>
          </w:p>
        </w:tc>
      </w:tr>
      <w:tr w:rsidR="00B31919" w:rsidRPr="00B31919" w14:paraId="7C19A6A0" w14:textId="77777777">
        <w:tc>
          <w:tcPr>
            <w:tcW w:w="5089" w:type="dxa"/>
            <w:tcBorders>
              <w:top w:val="single" w:sz="4" w:space="0" w:color="auto"/>
              <w:left w:val="single" w:sz="4" w:space="0" w:color="auto"/>
              <w:bottom w:val="single" w:sz="4" w:space="0" w:color="auto"/>
              <w:right w:val="single" w:sz="4" w:space="0" w:color="auto"/>
            </w:tcBorders>
            <w:hideMark/>
          </w:tcPr>
          <w:p w14:paraId="43EFC0E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Строительство</w:t>
            </w:r>
          </w:p>
        </w:tc>
        <w:tc>
          <w:tcPr>
            <w:tcW w:w="1276" w:type="dxa"/>
            <w:tcBorders>
              <w:top w:val="single" w:sz="4" w:space="0" w:color="auto"/>
              <w:left w:val="single" w:sz="4" w:space="0" w:color="auto"/>
              <w:bottom w:val="single" w:sz="4" w:space="0" w:color="auto"/>
              <w:right w:val="single" w:sz="4" w:space="0" w:color="auto"/>
            </w:tcBorders>
            <w:hideMark/>
          </w:tcPr>
          <w:p w14:paraId="5FC9171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11</w:t>
            </w:r>
          </w:p>
        </w:tc>
        <w:tc>
          <w:tcPr>
            <w:tcW w:w="576" w:type="dxa"/>
            <w:tcBorders>
              <w:top w:val="single" w:sz="4" w:space="0" w:color="auto"/>
              <w:left w:val="single" w:sz="4" w:space="0" w:color="auto"/>
              <w:bottom w:val="single" w:sz="4" w:space="0" w:color="auto"/>
              <w:right w:val="single" w:sz="4" w:space="0" w:color="auto"/>
            </w:tcBorders>
            <w:hideMark/>
          </w:tcPr>
          <w:p w14:paraId="4088BDA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hideMark/>
          </w:tcPr>
          <w:p w14:paraId="58DF9A4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hideMark/>
          </w:tcPr>
          <w:p w14:paraId="152DCED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1964C10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w:t>
            </w:r>
          </w:p>
        </w:tc>
        <w:tc>
          <w:tcPr>
            <w:tcW w:w="844" w:type="dxa"/>
            <w:tcBorders>
              <w:top w:val="single" w:sz="4" w:space="0" w:color="auto"/>
              <w:left w:val="single" w:sz="4" w:space="0" w:color="auto"/>
              <w:bottom w:val="single" w:sz="4" w:space="0" w:color="auto"/>
              <w:right w:val="single" w:sz="4" w:space="0" w:color="auto"/>
            </w:tcBorders>
            <w:hideMark/>
          </w:tcPr>
          <w:p w14:paraId="494F23B5"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28</w:t>
            </w:r>
          </w:p>
        </w:tc>
      </w:tr>
      <w:tr w:rsidR="00B31919" w:rsidRPr="00B31919" w14:paraId="0F42B3F9" w14:textId="77777777">
        <w:tc>
          <w:tcPr>
            <w:tcW w:w="5089" w:type="dxa"/>
            <w:tcBorders>
              <w:top w:val="single" w:sz="4" w:space="0" w:color="auto"/>
              <w:left w:val="single" w:sz="4" w:space="0" w:color="auto"/>
              <w:bottom w:val="single" w:sz="4" w:space="0" w:color="auto"/>
              <w:right w:val="single" w:sz="4" w:space="0" w:color="auto"/>
            </w:tcBorders>
            <w:hideMark/>
          </w:tcPr>
          <w:p w14:paraId="7F1A3A1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Торговля, ритейл</w:t>
            </w:r>
          </w:p>
        </w:tc>
        <w:tc>
          <w:tcPr>
            <w:tcW w:w="1276" w:type="dxa"/>
            <w:tcBorders>
              <w:top w:val="single" w:sz="4" w:space="0" w:color="auto"/>
              <w:left w:val="single" w:sz="4" w:space="0" w:color="auto"/>
              <w:bottom w:val="single" w:sz="4" w:space="0" w:color="auto"/>
              <w:right w:val="single" w:sz="4" w:space="0" w:color="auto"/>
            </w:tcBorders>
            <w:hideMark/>
          </w:tcPr>
          <w:p w14:paraId="2C3368D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hideMark/>
          </w:tcPr>
          <w:p w14:paraId="4B49A38C"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14:paraId="6314087A"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hideMark/>
          </w:tcPr>
          <w:p w14:paraId="1296094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20EE1A1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844" w:type="dxa"/>
            <w:tcBorders>
              <w:top w:val="single" w:sz="4" w:space="0" w:color="auto"/>
              <w:left w:val="single" w:sz="4" w:space="0" w:color="auto"/>
              <w:bottom w:val="single" w:sz="4" w:space="0" w:color="auto"/>
              <w:right w:val="single" w:sz="4" w:space="0" w:color="auto"/>
            </w:tcBorders>
            <w:hideMark/>
          </w:tcPr>
          <w:p w14:paraId="696CD560"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39</w:t>
            </w:r>
          </w:p>
        </w:tc>
      </w:tr>
      <w:tr w:rsidR="00B31919" w:rsidRPr="00B31919" w14:paraId="7D67F677" w14:textId="77777777">
        <w:tc>
          <w:tcPr>
            <w:tcW w:w="5089" w:type="dxa"/>
            <w:tcBorders>
              <w:top w:val="single" w:sz="4" w:space="0" w:color="auto"/>
              <w:left w:val="single" w:sz="4" w:space="0" w:color="auto"/>
              <w:bottom w:val="single" w:sz="4" w:space="0" w:color="auto"/>
              <w:right w:val="single" w:sz="4" w:space="0" w:color="auto"/>
            </w:tcBorders>
            <w:hideMark/>
          </w:tcPr>
          <w:p w14:paraId="0CFF00BF"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Здравоохранение и спорт</w:t>
            </w:r>
          </w:p>
        </w:tc>
        <w:tc>
          <w:tcPr>
            <w:tcW w:w="1276" w:type="dxa"/>
            <w:tcBorders>
              <w:top w:val="single" w:sz="4" w:space="0" w:color="auto"/>
              <w:left w:val="single" w:sz="4" w:space="0" w:color="auto"/>
              <w:bottom w:val="single" w:sz="4" w:space="0" w:color="auto"/>
              <w:right w:val="single" w:sz="4" w:space="0" w:color="auto"/>
            </w:tcBorders>
            <w:hideMark/>
          </w:tcPr>
          <w:p w14:paraId="2DCC561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130F546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E258EB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14:paraId="11DFFAA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89F0CFD"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844" w:type="dxa"/>
            <w:tcBorders>
              <w:top w:val="single" w:sz="4" w:space="0" w:color="auto"/>
              <w:left w:val="single" w:sz="4" w:space="0" w:color="auto"/>
              <w:bottom w:val="single" w:sz="4" w:space="0" w:color="auto"/>
              <w:right w:val="single" w:sz="4" w:space="0" w:color="auto"/>
            </w:tcBorders>
            <w:hideMark/>
          </w:tcPr>
          <w:p w14:paraId="68C2349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13</w:t>
            </w:r>
          </w:p>
        </w:tc>
      </w:tr>
      <w:tr w:rsidR="00B31919" w:rsidRPr="00B31919" w14:paraId="70C6A1BE" w14:textId="77777777">
        <w:tc>
          <w:tcPr>
            <w:tcW w:w="5089" w:type="dxa"/>
            <w:tcBorders>
              <w:top w:val="single" w:sz="4" w:space="0" w:color="auto"/>
              <w:left w:val="single" w:sz="4" w:space="0" w:color="auto"/>
              <w:bottom w:val="single" w:sz="4" w:space="0" w:color="auto"/>
              <w:right w:val="single" w:sz="4" w:space="0" w:color="auto"/>
            </w:tcBorders>
            <w:hideMark/>
          </w:tcPr>
          <w:p w14:paraId="1867383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Прочие виды производства, услуг</w:t>
            </w:r>
          </w:p>
        </w:tc>
        <w:tc>
          <w:tcPr>
            <w:tcW w:w="1276" w:type="dxa"/>
            <w:tcBorders>
              <w:top w:val="single" w:sz="4" w:space="0" w:color="auto"/>
              <w:left w:val="single" w:sz="4" w:space="0" w:color="auto"/>
              <w:bottom w:val="single" w:sz="4" w:space="0" w:color="auto"/>
              <w:right w:val="single" w:sz="4" w:space="0" w:color="auto"/>
            </w:tcBorders>
            <w:hideMark/>
          </w:tcPr>
          <w:p w14:paraId="4AE4F2CB"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13</w:t>
            </w:r>
          </w:p>
        </w:tc>
        <w:tc>
          <w:tcPr>
            <w:tcW w:w="576" w:type="dxa"/>
            <w:tcBorders>
              <w:top w:val="single" w:sz="4" w:space="0" w:color="auto"/>
              <w:left w:val="single" w:sz="4" w:space="0" w:color="auto"/>
              <w:bottom w:val="single" w:sz="4" w:space="0" w:color="auto"/>
              <w:right w:val="single" w:sz="4" w:space="0" w:color="auto"/>
            </w:tcBorders>
            <w:hideMark/>
          </w:tcPr>
          <w:p w14:paraId="4C433AE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A376BA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4B291D2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18</w:t>
            </w:r>
          </w:p>
        </w:tc>
        <w:tc>
          <w:tcPr>
            <w:tcW w:w="567" w:type="dxa"/>
            <w:tcBorders>
              <w:top w:val="single" w:sz="4" w:space="0" w:color="auto"/>
              <w:left w:val="single" w:sz="4" w:space="0" w:color="auto"/>
              <w:bottom w:val="single" w:sz="4" w:space="0" w:color="auto"/>
              <w:right w:val="single" w:sz="4" w:space="0" w:color="auto"/>
            </w:tcBorders>
            <w:hideMark/>
          </w:tcPr>
          <w:p w14:paraId="034FA827"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844" w:type="dxa"/>
            <w:tcBorders>
              <w:top w:val="single" w:sz="4" w:space="0" w:color="auto"/>
              <w:left w:val="single" w:sz="4" w:space="0" w:color="auto"/>
              <w:bottom w:val="single" w:sz="4" w:space="0" w:color="auto"/>
              <w:right w:val="single" w:sz="4" w:space="0" w:color="auto"/>
            </w:tcBorders>
            <w:hideMark/>
          </w:tcPr>
          <w:p w14:paraId="21F28AE1"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43</w:t>
            </w:r>
          </w:p>
        </w:tc>
      </w:tr>
      <w:tr w:rsidR="00B31919" w:rsidRPr="00B31919" w14:paraId="1F4F728F" w14:textId="77777777">
        <w:tc>
          <w:tcPr>
            <w:tcW w:w="5089" w:type="dxa"/>
            <w:tcBorders>
              <w:top w:val="single" w:sz="4" w:space="0" w:color="auto"/>
              <w:left w:val="single" w:sz="4" w:space="0" w:color="auto"/>
              <w:bottom w:val="single" w:sz="4" w:space="0" w:color="auto"/>
              <w:right w:val="single" w:sz="4" w:space="0" w:color="auto"/>
            </w:tcBorders>
            <w:hideMark/>
          </w:tcPr>
          <w:p w14:paraId="0F37FC3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Образование, здравоохранение</w:t>
            </w:r>
          </w:p>
        </w:tc>
        <w:tc>
          <w:tcPr>
            <w:tcW w:w="1276" w:type="dxa"/>
            <w:tcBorders>
              <w:top w:val="single" w:sz="4" w:space="0" w:color="auto"/>
              <w:left w:val="single" w:sz="4" w:space="0" w:color="auto"/>
              <w:bottom w:val="single" w:sz="4" w:space="0" w:color="auto"/>
              <w:right w:val="single" w:sz="4" w:space="0" w:color="auto"/>
            </w:tcBorders>
            <w:hideMark/>
          </w:tcPr>
          <w:p w14:paraId="71D3D678"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66D7A989"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7A8FD4FE"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AEB0783"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258C1484"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0</w:t>
            </w:r>
          </w:p>
        </w:tc>
        <w:tc>
          <w:tcPr>
            <w:tcW w:w="844" w:type="dxa"/>
            <w:tcBorders>
              <w:top w:val="single" w:sz="4" w:space="0" w:color="auto"/>
              <w:left w:val="single" w:sz="4" w:space="0" w:color="auto"/>
              <w:bottom w:val="single" w:sz="4" w:space="0" w:color="auto"/>
              <w:right w:val="single" w:sz="4" w:space="0" w:color="auto"/>
            </w:tcBorders>
            <w:hideMark/>
          </w:tcPr>
          <w:p w14:paraId="09FBE366" w14:textId="77777777" w:rsidR="00B31919" w:rsidRPr="00B31919" w:rsidRDefault="00B31919" w:rsidP="00B31919">
            <w:pPr>
              <w:jc w:val="both"/>
              <w:rPr>
                <w:rFonts w:ascii="Times New Roman" w:eastAsia="Times New Roman" w:hAnsi="Times New Roman"/>
                <w:sz w:val="24"/>
                <w:szCs w:val="24"/>
              </w:rPr>
            </w:pPr>
            <w:r w:rsidRPr="00B31919">
              <w:rPr>
                <w:rFonts w:ascii="Times New Roman" w:eastAsia="Times New Roman" w:hAnsi="Times New Roman"/>
                <w:sz w:val="24"/>
                <w:szCs w:val="24"/>
              </w:rPr>
              <w:t>13</w:t>
            </w:r>
          </w:p>
        </w:tc>
      </w:tr>
    </w:tbl>
    <w:p w14:paraId="54664A13"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lastRenderedPageBreak/>
        <w:t xml:space="preserve">Таким образом, необходимо отметить, что лидерами в вопросе составления и раскрытия нефинансовых отчетов являются такие сектора экономики, как нефтегазовая, металлургическая, горнодобывающая и энергетическая. Такая тенденция обусловлена тем, что данные отрасли оказывают колоссальное негативное воздействие на окружающую среду, которое нужно минимизировать. Также наблюдается отсутствие каких-либо отчетов в отрасли сельского и лесного хозяйств, что может быть связано с низким уровнем корпоративной культуры в данных областях, ограниченным количеством ресурсов при подготовке отчетности и отсутствием давления со стороны стейкхолдеров. </w:t>
      </w:r>
    </w:p>
    <w:p w14:paraId="7334AA9E"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В целом, наличие у организации нефинансовой отчетности является важным фактором для инвесторов. Причиной тому является то, что такие компании являются более устойчивыми и прибыльными в долгосрочной перспективе. </w:t>
      </w:r>
    </w:p>
    <w:p w14:paraId="468268EF" w14:textId="77777777" w:rsidR="00B31919" w:rsidRPr="00B31919" w:rsidRDefault="00B31919" w:rsidP="00DB349B">
      <w:pPr>
        <w:spacing w:after="0" w:line="240" w:lineRule="auto"/>
        <w:ind w:firstLine="709"/>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Для укрепления практики подготовки и верификации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-отчетности в России требуется внедрение комплексных мер, включающих:</w:t>
      </w:r>
    </w:p>
    <w:p w14:paraId="14006448"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Формирование законодательных стандартов, регламентирующих процедуры формирования, публикации и независимой проверки нефинансовой отчетности (данное мероприятие является ключевым элементом развития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-отчетности в России).</w:t>
      </w:r>
    </w:p>
    <w:p w14:paraId="6E13CE42"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Создание стимулирующих механизмов на государственном уровне (например, введение льготного кредитования и специальных тарифов страхования, запуск налоговых льгот для экологических проектов).</w:t>
      </w:r>
    </w:p>
    <w:p w14:paraId="08DCAB59"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Устранение трудностей сбора данных для нефинансовой отчетности посредством разработки стандартизированных методов и инструментов.</w:t>
      </w:r>
    </w:p>
    <w:p w14:paraId="14A62211"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Создание четкой системы оценки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-факторов для их более четкого и объективного учета при подготовке нефинансовой отчетности (социальные аспекты трудно измерить количественно, что затрудняет оценку их реализации и делает ее субъективной). </w:t>
      </w:r>
    </w:p>
    <w:p w14:paraId="4475AA83"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Автоматизацию процессов подготовки и проверки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 xml:space="preserve">-отчетности с помощью внедрения новейших технологий, искусственного интеллекта. </w:t>
      </w:r>
    </w:p>
    <w:p w14:paraId="711B303D" w14:textId="77777777" w:rsidR="00B31919" w:rsidRPr="00B31919" w:rsidRDefault="00B31919" w:rsidP="00AD58CD">
      <w:pPr>
        <w:numPr>
          <w:ilvl w:val="0"/>
          <w:numId w:val="251"/>
        </w:numPr>
        <w:tabs>
          <w:tab w:val="left" w:pos="993"/>
        </w:tabs>
        <w:spacing w:after="0" w:line="240" w:lineRule="auto"/>
        <w:ind w:left="0" w:firstLine="709"/>
        <w:contextualSpacing/>
        <w:jc w:val="both"/>
        <w:rPr>
          <w:rFonts w:ascii="Times New Roman" w:eastAsia="Times New Roman" w:hAnsi="Times New Roman" w:cs="Times New Roman"/>
          <w:sz w:val="32"/>
          <w:szCs w:val="32"/>
        </w:rPr>
      </w:pPr>
      <w:r w:rsidRPr="00B31919">
        <w:rPr>
          <w:rFonts w:ascii="Times New Roman" w:eastAsia="Times New Roman" w:hAnsi="Times New Roman" w:cs="Times New Roman"/>
          <w:sz w:val="32"/>
          <w:szCs w:val="32"/>
        </w:rPr>
        <w:t xml:space="preserve">Повышение квалификации специалистов, занимающих подготовкой, проверкой и анализированием нефинансовой отчетности </w:t>
      </w:r>
      <w:r w:rsidRPr="00B31919">
        <w:rPr>
          <w:rFonts w:ascii="Times New Roman" w:eastAsia="Times New Roman" w:hAnsi="Times New Roman" w:cs="Times New Roman"/>
          <w:sz w:val="32"/>
          <w:szCs w:val="32"/>
        </w:rPr>
        <w:lastRenderedPageBreak/>
        <w:t>(например, для этого необходимо создать обучающие платформы или разработать корпоративные курсы).</w:t>
      </w:r>
    </w:p>
    <w:p w14:paraId="3B168D65" w14:textId="77777777" w:rsidR="00B31919" w:rsidRPr="00B31919" w:rsidRDefault="00B31919" w:rsidP="00DB349B">
      <w:pPr>
        <w:tabs>
          <w:tab w:val="left" w:pos="1134"/>
          <w:tab w:val="left" w:pos="1418"/>
        </w:tabs>
        <w:spacing w:after="0" w:line="240" w:lineRule="auto"/>
        <w:ind w:firstLine="709"/>
        <w:contextualSpacing/>
        <w:jc w:val="both"/>
        <w:rPr>
          <w:rFonts w:ascii="Times New Roman" w:eastAsia="Times New Roman" w:hAnsi="Times New Roman" w:cs="Times New Roman"/>
          <w:strike/>
          <w:sz w:val="32"/>
          <w:szCs w:val="32"/>
        </w:rPr>
      </w:pPr>
      <w:r w:rsidRPr="00B31919">
        <w:rPr>
          <w:rFonts w:ascii="Times New Roman" w:eastAsia="Times New Roman" w:hAnsi="Times New Roman" w:cs="Times New Roman"/>
          <w:sz w:val="32"/>
          <w:szCs w:val="32"/>
        </w:rPr>
        <w:t xml:space="preserve">Таким образом, значимость и популярность </w:t>
      </w:r>
      <w:r w:rsidRPr="00B31919">
        <w:rPr>
          <w:rFonts w:ascii="Times New Roman" w:eastAsia="Times New Roman" w:hAnsi="Times New Roman" w:cs="Times New Roman"/>
          <w:sz w:val="32"/>
          <w:szCs w:val="32"/>
          <w:lang w:val="en-US"/>
        </w:rPr>
        <w:t>ESG</w:t>
      </w:r>
      <w:r w:rsidRPr="00B31919">
        <w:rPr>
          <w:rFonts w:ascii="Times New Roman" w:eastAsia="Times New Roman" w:hAnsi="Times New Roman" w:cs="Times New Roman"/>
          <w:sz w:val="32"/>
          <w:szCs w:val="32"/>
        </w:rPr>
        <w:t>-отчетности всё больше и больше повышается в России. Толчком для более быстрого развития может стать создание нормативного-правовой базы регулирования, а в дальнейшем и внедрение на этой основе определенных методик для облегчения составления нефинансовой отчетности. Введение обязанности по формированию компаниями такого вида отчетности является положительным моментом как для самих организаций, так и для государства в целом. Ведь, для первых ESG-отчетность может способствовать укреплению доверия инвесторов к компании, повышению её привлекательности на рынке, улучшению деловой репутации организации и оптимизации процессов управления рисками. А для вторых – улучшить экологическую и социальную ситуации в государстве, повысить прозрачность бизнеса.</w:t>
      </w:r>
      <w:r w:rsidRPr="00B31919">
        <w:rPr>
          <w:rFonts w:ascii="Times New Roman" w:eastAsia="Times New Roman" w:hAnsi="Times New Roman" w:cs="Times New Roman"/>
          <w:strike/>
          <w:sz w:val="32"/>
          <w:szCs w:val="32"/>
        </w:rPr>
        <w:t xml:space="preserve"> </w:t>
      </w:r>
    </w:p>
    <w:p w14:paraId="6B3B31A2" w14:textId="77777777" w:rsidR="00B31919" w:rsidRPr="00B31919" w:rsidRDefault="00B31919" w:rsidP="00B31919">
      <w:pPr>
        <w:spacing w:after="0" w:line="240" w:lineRule="auto"/>
        <w:ind w:firstLine="567"/>
        <w:jc w:val="both"/>
        <w:rPr>
          <w:rFonts w:ascii="Times New Roman" w:eastAsia="Times New Roman" w:hAnsi="Times New Roman" w:cs="Times New Roman"/>
          <w:sz w:val="32"/>
          <w:szCs w:val="32"/>
        </w:rPr>
      </w:pPr>
    </w:p>
    <w:p w14:paraId="58EBFACD" w14:textId="77777777" w:rsidR="00B31919" w:rsidRPr="00B31919" w:rsidRDefault="00B31919" w:rsidP="00B31919">
      <w:pPr>
        <w:shd w:val="clear" w:color="auto" w:fill="FFFFFF"/>
        <w:suppressAutoHyphens/>
        <w:spacing w:after="0" w:line="240" w:lineRule="auto"/>
        <w:ind w:right="-1" w:firstLine="567"/>
        <w:jc w:val="center"/>
        <w:rPr>
          <w:rFonts w:ascii="Times New Roman" w:eastAsia="Times New Roman" w:hAnsi="Times New Roman" w:cs="Times New Roman"/>
          <w:b/>
          <w:color w:val="000000"/>
          <w:sz w:val="21"/>
          <w:szCs w:val="21"/>
          <w:lang w:eastAsia="ar-SA"/>
        </w:rPr>
      </w:pPr>
      <w:r w:rsidRPr="00B31919">
        <w:rPr>
          <w:rFonts w:ascii="Times New Roman" w:eastAsia="Times New Roman" w:hAnsi="Times New Roman" w:cs="Times New Roman"/>
          <w:b/>
          <w:color w:val="000000"/>
          <w:sz w:val="21"/>
          <w:szCs w:val="21"/>
          <w:lang w:eastAsia="ar-SA"/>
        </w:rPr>
        <w:t>Литература:</w:t>
      </w:r>
    </w:p>
    <w:p w14:paraId="4DB781E9" w14:textId="77777777" w:rsidR="005B3DDD" w:rsidRPr="00DB349B" w:rsidRDefault="00B31919" w:rsidP="00AD58CD">
      <w:pPr>
        <w:pStyle w:val="a8"/>
        <w:numPr>
          <w:ilvl w:val="1"/>
          <w:numId w:val="3"/>
        </w:numPr>
        <w:tabs>
          <w:tab w:val="left" w:pos="0"/>
          <w:tab w:val="left" w:pos="284"/>
        </w:tabs>
        <w:suppressAutoHyphens/>
        <w:autoSpaceDE w:val="0"/>
        <w:spacing w:after="0" w:line="240" w:lineRule="auto"/>
        <w:ind w:left="0" w:firstLine="0"/>
        <w:jc w:val="both"/>
        <w:rPr>
          <w:rFonts w:ascii="Times New Roman" w:eastAsia="Times New Roman" w:hAnsi="Times New Roman" w:cs="Times New Roman"/>
          <w:sz w:val="21"/>
          <w:szCs w:val="21"/>
        </w:rPr>
      </w:pPr>
      <w:r w:rsidRPr="00DB349B">
        <w:rPr>
          <w:rFonts w:ascii="Times New Roman" w:eastAsia="Times New Roman" w:hAnsi="Times New Roman" w:cs="Times New Roman"/>
          <w:sz w:val="21"/>
          <w:szCs w:val="21"/>
        </w:rPr>
        <w:t xml:space="preserve">Распоряжение Правительства РФ от 05.05. 2017 № 876-р «Об утверждении Концепции развития публичной нефинансовой отчетности и плана мероприятий по ее реализации» – URL: </w:t>
      </w:r>
      <w:hyperlink r:id="rId103" w:history="1">
        <w:r w:rsidRPr="00DB349B">
          <w:rPr>
            <w:rFonts w:ascii="Times New Roman" w:eastAsia="Times New Roman" w:hAnsi="Times New Roman" w:cs="Times New Roman"/>
            <w:sz w:val="21"/>
            <w:szCs w:val="21"/>
          </w:rPr>
          <w:t>https://www.consultant.ru/document/cons_doc_LAW_216631/352b02a602c39eea1cf3dde35c6ab8e82bbf6a63/</w:t>
        </w:r>
      </w:hyperlink>
    </w:p>
    <w:p w14:paraId="3E3C74F7" w14:textId="0BB691A4" w:rsidR="005B3DDD" w:rsidRPr="00DB349B" w:rsidRDefault="00B31919" w:rsidP="00AD58CD">
      <w:pPr>
        <w:pStyle w:val="a8"/>
        <w:numPr>
          <w:ilvl w:val="1"/>
          <w:numId w:val="3"/>
        </w:numPr>
        <w:tabs>
          <w:tab w:val="left" w:pos="0"/>
          <w:tab w:val="left" w:pos="284"/>
        </w:tabs>
        <w:suppressAutoHyphens/>
        <w:autoSpaceDE w:val="0"/>
        <w:spacing w:after="0" w:line="240" w:lineRule="auto"/>
        <w:ind w:left="0" w:firstLine="0"/>
        <w:jc w:val="both"/>
        <w:rPr>
          <w:rFonts w:ascii="Times New Roman" w:eastAsia="Times New Roman" w:hAnsi="Times New Roman" w:cs="Times New Roman"/>
          <w:sz w:val="21"/>
          <w:szCs w:val="21"/>
        </w:rPr>
      </w:pPr>
      <w:r w:rsidRPr="00DB349B">
        <w:rPr>
          <w:rFonts w:ascii="Times New Roman" w:eastAsia="Times New Roman" w:hAnsi="Times New Roman" w:cs="Times New Roman"/>
          <w:sz w:val="21"/>
          <w:szCs w:val="21"/>
        </w:rPr>
        <w:t xml:space="preserve">Информационное письмо о рекомендациях по учету финансовыми организациями </w:t>
      </w:r>
      <w:r w:rsidRPr="00DB349B">
        <w:rPr>
          <w:rFonts w:ascii="Times New Roman" w:eastAsia="Times New Roman" w:hAnsi="Times New Roman" w:cs="Times New Roman"/>
          <w:sz w:val="21"/>
          <w:szCs w:val="21"/>
          <w:lang w:val="en-US"/>
        </w:rPr>
        <w:t>ESG</w:t>
      </w:r>
      <w:r w:rsidRPr="00DB349B">
        <w:rPr>
          <w:rFonts w:ascii="Times New Roman" w:eastAsia="Times New Roman" w:hAnsi="Times New Roman" w:cs="Times New Roman"/>
          <w:sz w:val="21"/>
          <w:szCs w:val="21"/>
        </w:rPr>
        <w:t xml:space="preserve">-факторов, а также вопросов устойчивого развития при организации корпоративного управления </w:t>
      </w:r>
      <w:bookmarkStart w:id="9" w:name="_Hlk194792322"/>
      <w:r w:rsidRPr="00DB349B">
        <w:rPr>
          <w:rFonts w:ascii="Times New Roman" w:eastAsia="Times New Roman" w:hAnsi="Times New Roman" w:cs="Times New Roman"/>
          <w:sz w:val="21"/>
          <w:szCs w:val="21"/>
        </w:rPr>
        <w:t xml:space="preserve">// Банк </w:t>
      </w:r>
      <w:proofErr w:type="gramStart"/>
      <w:r w:rsidRPr="00DB349B">
        <w:rPr>
          <w:rFonts w:ascii="Times New Roman" w:eastAsia="Times New Roman" w:hAnsi="Times New Roman" w:cs="Times New Roman"/>
          <w:sz w:val="21"/>
          <w:szCs w:val="21"/>
        </w:rPr>
        <w:t>России :</w:t>
      </w:r>
      <w:proofErr w:type="gramEnd"/>
      <w:r w:rsidRPr="00DB349B">
        <w:rPr>
          <w:rFonts w:ascii="Times New Roman" w:eastAsia="Times New Roman" w:hAnsi="Times New Roman" w:cs="Times New Roman"/>
          <w:sz w:val="21"/>
          <w:szCs w:val="21"/>
        </w:rPr>
        <w:t xml:space="preserve"> [сайт]. – 2022. – URL: </w:t>
      </w:r>
      <w:hyperlink r:id="rId104" w:history="1">
        <w:r w:rsidR="005B3DDD" w:rsidRPr="00DB349B">
          <w:rPr>
            <w:rStyle w:val="aa"/>
            <w:rFonts w:ascii="Times New Roman" w:eastAsia="Times New Roman" w:hAnsi="Times New Roman" w:cs="Times New Roman"/>
            <w:color w:val="auto"/>
            <w:sz w:val="21"/>
            <w:szCs w:val="21"/>
            <w:u w:val="none"/>
          </w:rPr>
          <w:t>https://cbr.ru/Crosscut/LawActs/File/6089</w:t>
        </w:r>
      </w:hyperlink>
      <w:bookmarkEnd w:id="9"/>
    </w:p>
    <w:p w14:paraId="1DFD0B0A" w14:textId="77777777" w:rsidR="009C2775" w:rsidRPr="00DB349B" w:rsidRDefault="00B31919" w:rsidP="00AD58CD">
      <w:pPr>
        <w:pStyle w:val="a8"/>
        <w:numPr>
          <w:ilvl w:val="1"/>
          <w:numId w:val="3"/>
        </w:numPr>
        <w:tabs>
          <w:tab w:val="left" w:pos="0"/>
          <w:tab w:val="left" w:pos="284"/>
        </w:tabs>
        <w:suppressAutoHyphens/>
        <w:autoSpaceDE w:val="0"/>
        <w:spacing w:after="0" w:line="240" w:lineRule="auto"/>
        <w:ind w:left="0" w:firstLine="0"/>
        <w:jc w:val="both"/>
        <w:rPr>
          <w:rFonts w:ascii="Times New Roman" w:eastAsia="Times New Roman" w:hAnsi="Times New Roman" w:cs="Times New Roman"/>
          <w:sz w:val="21"/>
          <w:szCs w:val="21"/>
        </w:rPr>
      </w:pPr>
      <w:r w:rsidRPr="00DB349B">
        <w:rPr>
          <w:rFonts w:ascii="Times New Roman" w:eastAsia="Times New Roman" w:hAnsi="Times New Roman" w:cs="Times New Roman"/>
          <w:sz w:val="21"/>
          <w:szCs w:val="21"/>
        </w:rPr>
        <w:t>Чепулянис А.В. ESG-отчетность как инструмент стратегического анализа устойчивого развития организации / А.В. Чепулянис, А.С. Дайнеко, Д.С. Девятова // Столыпинский вестник. – 2022. – Т. 4, № 8. – С. 4715–4732.</w:t>
      </w:r>
    </w:p>
    <w:p w14:paraId="5AC52CEC" w14:textId="08B740D6" w:rsidR="00B31919" w:rsidRPr="00DB349B" w:rsidRDefault="00B31919" w:rsidP="00AD58CD">
      <w:pPr>
        <w:pStyle w:val="a8"/>
        <w:numPr>
          <w:ilvl w:val="1"/>
          <w:numId w:val="3"/>
        </w:numPr>
        <w:tabs>
          <w:tab w:val="left" w:pos="0"/>
          <w:tab w:val="left" w:pos="284"/>
        </w:tabs>
        <w:suppressAutoHyphens/>
        <w:autoSpaceDE w:val="0"/>
        <w:spacing w:after="0" w:line="240" w:lineRule="auto"/>
        <w:ind w:left="0" w:firstLine="0"/>
        <w:jc w:val="both"/>
        <w:rPr>
          <w:rFonts w:ascii="Times New Roman" w:eastAsia="Times New Roman" w:hAnsi="Times New Roman" w:cs="Times New Roman"/>
          <w:sz w:val="21"/>
          <w:szCs w:val="21"/>
        </w:rPr>
      </w:pPr>
      <w:r w:rsidRPr="00DB349B">
        <w:rPr>
          <w:rFonts w:ascii="Times New Roman" w:eastAsia="Times New Roman" w:hAnsi="Times New Roman" w:cs="Times New Roman"/>
          <w:sz w:val="21"/>
          <w:szCs w:val="21"/>
        </w:rPr>
        <w:t>Национальный Регистр корпоративных нефинансовых отчетов // Российский союз промышленников и предпринимателей: [сайт]. – 2025. – URL: https://rspp.ru/sustainable_development/registr/</w:t>
      </w:r>
    </w:p>
    <w:p w14:paraId="5CBE7E8B" w14:textId="77777777" w:rsidR="007677E5" w:rsidRDefault="007677E5" w:rsidP="00375471">
      <w:pPr>
        <w:suppressAutoHyphens/>
        <w:spacing w:after="0" w:line="240" w:lineRule="auto"/>
        <w:jc w:val="both"/>
        <w:rPr>
          <w:rFonts w:ascii="Times New Roman" w:eastAsia="Times New Roman" w:hAnsi="Times New Roman" w:cs="Times New Roman"/>
          <w:b/>
          <w:color w:val="000000"/>
          <w:sz w:val="21"/>
          <w:szCs w:val="21"/>
          <w:lang w:eastAsia="ar-SA"/>
        </w:rPr>
      </w:pPr>
    </w:p>
    <w:p w14:paraId="70A92BE8" w14:textId="77777777" w:rsidR="007677E5" w:rsidRPr="00375471" w:rsidRDefault="007677E5" w:rsidP="00375471">
      <w:pPr>
        <w:suppressAutoHyphens/>
        <w:spacing w:after="0" w:line="240" w:lineRule="auto"/>
        <w:jc w:val="both"/>
        <w:rPr>
          <w:rFonts w:ascii="Times New Roman" w:eastAsia="Times New Roman" w:hAnsi="Times New Roman" w:cs="Times New Roman"/>
          <w:b/>
          <w:color w:val="000000"/>
          <w:sz w:val="21"/>
          <w:szCs w:val="21"/>
          <w:lang w:eastAsia="ar-SA"/>
        </w:rPr>
      </w:pPr>
    </w:p>
    <w:p w14:paraId="140575CC" w14:textId="77777777" w:rsidR="00375471" w:rsidRPr="00375471" w:rsidRDefault="00375471" w:rsidP="00375471">
      <w:pPr>
        <w:suppressAutoHyphens/>
        <w:spacing w:after="0" w:line="240" w:lineRule="auto"/>
        <w:jc w:val="right"/>
        <w:rPr>
          <w:rFonts w:ascii="Times New Roman" w:eastAsia="Times New Roman" w:hAnsi="Times New Roman" w:cs="Times New Roman"/>
          <w:i/>
          <w:color w:val="000000"/>
          <w:sz w:val="21"/>
          <w:szCs w:val="21"/>
          <w:lang w:eastAsia="ar-SA"/>
        </w:rPr>
      </w:pPr>
      <w:r w:rsidRPr="00375471">
        <w:rPr>
          <w:rFonts w:ascii="Times New Roman" w:eastAsia="Times New Roman" w:hAnsi="Times New Roman" w:cs="Times New Roman"/>
          <w:b/>
          <w:i/>
          <w:color w:val="000000"/>
          <w:sz w:val="20"/>
          <w:szCs w:val="21"/>
          <w:lang w:eastAsia="ar-SA"/>
        </w:rPr>
        <w:t>Озеров Ф.Э.</w:t>
      </w:r>
      <w:r w:rsidRPr="00375471">
        <w:rPr>
          <w:rFonts w:ascii="Times New Roman" w:eastAsia="Times New Roman" w:hAnsi="Times New Roman" w:cs="Times New Roman"/>
          <w:b/>
          <w:i/>
          <w:color w:val="000000"/>
          <w:sz w:val="21"/>
          <w:szCs w:val="21"/>
          <w:lang w:eastAsia="ar-SA"/>
        </w:rPr>
        <w:t xml:space="preserve">, </w:t>
      </w:r>
    </w:p>
    <w:p w14:paraId="3084DB0B" w14:textId="77777777" w:rsidR="00375471" w:rsidRPr="00375471" w:rsidRDefault="00375471" w:rsidP="00375471">
      <w:pPr>
        <w:suppressAutoHyphens/>
        <w:spacing w:after="0" w:line="240" w:lineRule="auto"/>
        <w:jc w:val="right"/>
        <w:rPr>
          <w:rFonts w:ascii="Times New Roman" w:eastAsia="Times New Roman" w:hAnsi="Times New Roman" w:cs="Times New Roman"/>
          <w:i/>
          <w:color w:val="000000"/>
          <w:sz w:val="21"/>
          <w:szCs w:val="21"/>
          <w:lang w:eastAsia="ar-SA"/>
        </w:rPr>
      </w:pPr>
      <w:r w:rsidRPr="00375471">
        <w:rPr>
          <w:rFonts w:ascii="Times New Roman" w:eastAsia="Times New Roman" w:hAnsi="Times New Roman" w:cs="Times New Roman"/>
          <w:i/>
          <w:color w:val="000000"/>
          <w:sz w:val="21"/>
          <w:szCs w:val="21"/>
          <w:lang w:eastAsia="ar-SA"/>
        </w:rPr>
        <w:t xml:space="preserve">студент 1 курса </w:t>
      </w:r>
    </w:p>
    <w:p w14:paraId="73D3F6DB" w14:textId="77777777" w:rsidR="00375471" w:rsidRPr="00375471" w:rsidRDefault="00375471" w:rsidP="00375471">
      <w:pPr>
        <w:suppressAutoHyphens/>
        <w:spacing w:after="0" w:line="240" w:lineRule="auto"/>
        <w:jc w:val="right"/>
        <w:rPr>
          <w:rFonts w:ascii="Arial" w:eastAsia="Times New Roman" w:hAnsi="Arial" w:cs="Arial"/>
          <w:color w:val="121314"/>
          <w:sz w:val="24"/>
          <w:szCs w:val="24"/>
          <w:shd w:val="clear" w:color="auto" w:fill="FFFFFF"/>
          <w:lang w:eastAsia="ar-SA"/>
        </w:rPr>
      </w:pPr>
      <w:r w:rsidRPr="00375471">
        <w:rPr>
          <w:rFonts w:ascii="Times New Roman" w:eastAsia="Times New Roman" w:hAnsi="Times New Roman" w:cs="Times New Roman"/>
          <w:i/>
          <w:color w:val="121314"/>
          <w:sz w:val="21"/>
          <w:szCs w:val="21"/>
          <w:shd w:val="clear" w:color="auto" w:fill="FFFFFF"/>
          <w:lang w:eastAsia="ar-SA"/>
        </w:rPr>
        <w:t xml:space="preserve">Краснодарский филиал федерального государственного образовательного бюджетного учреждения высшего образования «Финансовый университет при Правительстве Российской </w:t>
      </w:r>
      <w:proofErr w:type="gramStart"/>
      <w:r w:rsidRPr="00375471">
        <w:rPr>
          <w:rFonts w:ascii="Times New Roman" w:eastAsia="Times New Roman" w:hAnsi="Times New Roman" w:cs="Times New Roman"/>
          <w:i/>
          <w:color w:val="121314"/>
          <w:sz w:val="21"/>
          <w:szCs w:val="21"/>
          <w:shd w:val="clear" w:color="auto" w:fill="FFFFFF"/>
          <w:lang w:eastAsia="ar-SA"/>
        </w:rPr>
        <w:t>Федерации»</w:t>
      </w:r>
      <w:r w:rsidRPr="00375471">
        <w:rPr>
          <w:rFonts w:ascii="Arial" w:eastAsia="Times New Roman" w:hAnsi="Arial" w:cs="Arial"/>
          <w:color w:val="121314"/>
          <w:sz w:val="24"/>
          <w:szCs w:val="24"/>
          <w:shd w:val="clear" w:color="auto" w:fill="FFFFFF"/>
          <w:lang w:eastAsia="ar-SA"/>
        </w:rPr>
        <w:t>​</w:t>
      </w:r>
      <w:proofErr w:type="gramEnd"/>
    </w:p>
    <w:p w14:paraId="25B222CD" w14:textId="77777777" w:rsidR="00375471" w:rsidRPr="00375471" w:rsidRDefault="00375471" w:rsidP="00375471">
      <w:pPr>
        <w:suppressAutoHyphens/>
        <w:spacing w:after="0" w:line="240" w:lineRule="auto"/>
        <w:jc w:val="right"/>
        <w:rPr>
          <w:rFonts w:ascii="Times New Roman" w:eastAsia="Times New Roman" w:hAnsi="Times New Roman" w:cs="Times New Roman"/>
          <w:i/>
          <w:sz w:val="21"/>
          <w:szCs w:val="21"/>
          <w:lang w:eastAsia="ar-SA"/>
        </w:rPr>
      </w:pPr>
      <w:r w:rsidRPr="00375471">
        <w:rPr>
          <w:rFonts w:ascii="Times New Roman" w:eastAsia="Times New Roman" w:hAnsi="Times New Roman" w:cs="Times New Roman"/>
          <w:i/>
          <w:sz w:val="21"/>
          <w:szCs w:val="21"/>
          <w:lang w:eastAsia="ar-SA"/>
        </w:rPr>
        <w:t>г. Краснодар, Россия</w:t>
      </w:r>
    </w:p>
    <w:p w14:paraId="3DEDD409" w14:textId="77777777" w:rsidR="00375471" w:rsidRPr="00375471" w:rsidRDefault="00375471" w:rsidP="00375471">
      <w:pPr>
        <w:spacing w:after="0" w:line="240" w:lineRule="auto"/>
        <w:jc w:val="right"/>
        <w:rPr>
          <w:rFonts w:ascii="Times New Roman" w:eastAsia="Times New Roman" w:hAnsi="Times New Roman" w:cs="Times New Roman"/>
          <w:i/>
          <w:sz w:val="21"/>
          <w:szCs w:val="21"/>
        </w:rPr>
      </w:pPr>
      <w:r w:rsidRPr="00375471">
        <w:rPr>
          <w:rFonts w:ascii="Times New Roman" w:eastAsia="Times New Roman" w:hAnsi="Times New Roman" w:cs="Times New Roman"/>
          <w:i/>
          <w:sz w:val="21"/>
          <w:szCs w:val="21"/>
        </w:rPr>
        <w:t>е-</w:t>
      </w:r>
      <w:r w:rsidRPr="00375471">
        <w:rPr>
          <w:rFonts w:ascii="Times New Roman" w:eastAsia="Times New Roman" w:hAnsi="Times New Roman" w:cs="Times New Roman"/>
          <w:i/>
          <w:sz w:val="21"/>
          <w:szCs w:val="21"/>
          <w:lang w:val="en-US"/>
        </w:rPr>
        <w:t>mail</w:t>
      </w:r>
      <w:r w:rsidRPr="00375471">
        <w:rPr>
          <w:rFonts w:ascii="Times New Roman" w:eastAsia="Times New Roman" w:hAnsi="Times New Roman" w:cs="Times New Roman"/>
          <w:i/>
          <w:sz w:val="21"/>
          <w:szCs w:val="21"/>
        </w:rPr>
        <w:t>: 100</w:t>
      </w:r>
      <w:r w:rsidRPr="00375471">
        <w:rPr>
          <w:rFonts w:ascii="Times New Roman" w:eastAsia="Times New Roman" w:hAnsi="Times New Roman" w:cs="Times New Roman"/>
          <w:i/>
          <w:sz w:val="21"/>
          <w:szCs w:val="21"/>
          <w:lang w:val="en-US"/>
        </w:rPr>
        <w:t>dot</w:t>
      </w:r>
      <w:r w:rsidRPr="00375471">
        <w:rPr>
          <w:rFonts w:ascii="Times New Roman" w:eastAsia="Times New Roman" w:hAnsi="Times New Roman" w:cs="Times New Roman"/>
          <w:i/>
          <w:sz w:val="21"/>
          <w:szCs w:val="21"/>
        </w:rPr>
        <w:t>13</w:t>
      </w:r>
      <w:r w:rsidRPr="00375471">
        <w:rPr>
          <w:rFonts w:ascii="Times New Roman" w:eastAsia="Times New Roman" w:hAnsi="Times New Roman" w:cs="Times New Roman"/>
          <w:i/>
          <w:sz w:val="21"/>
          <w:szCs w:val="21"/>
          <w:lang w:val="en-US"/>
        </w:rPr>
        <w:t>sl</w:t>
      </w:r>
      <w:r w:rsidRPr="00375471">
        <w:rPr>
          <w:rFonts w:ascii="Times New Roman" w:eastAsia="Times New Roman" w:hAnsi="Times New Roman" w:cs="Times New Roman"/>
          <w:i/>
          <w:sz w:val="21"/>
          <w:szCs w:val="21"/>
        </w:rPr>
        <w:t>240363@</w:t>
      </w:r>
      <w:r w:rsidRPr="00375471">
        <w:rPr>
          <w:rFonts w:ascii="Times New Roman" w:eastAsia="Times New Roman" w:hAnsi="Times New Roman" w:cs="Times New Roman"/>
          <w:i/>
          <w:sz w:val="21"/>
          <w:szCs w:val="21"/>
          <w:lang w:val="en-US"/>
        </w:rPr>
        <w:t>edu</w:t>
      </w:r>
      <w:r w:rsidRPr="00375471">
        <w:rPr>
          <w:rFonts w:ascii="Times New Roman" w:eastAsia="Times New Roman" w:hAnsi="Times New Roman" w:cs="Times New Roman"/>
          <w:i/>
          <w:sz w:val="21"/>
          <w:szCs w:val="21"/>
        </w:rPr>
        <w:t>.</w:t>
      </w:r>
      <w:r w:rsidRPr="00375471">
        <w:rPr>
          <w:rFonts w:ascii="Times New Roman" w:eastAsia="Times New Roman" w:hAnsi="Times New Roman" w:cs="Times New Roman"/>
          <w:i/>
          <w:sz w:val="21"/>
          <w:szCs w:val="21"/>
          <w:lang w:val="en-US"/>
        </w:rPr>
        <w:t>fa</w:t>
      </w:r>
      <w:r w:rsidRPr="00375471">
        <w:rPr>
          <w:rFonts w:ascii="Times New Roman" w:eastAsia="Times New Roman" w:hAnsi="Times New Roman" w:cs="Times New Roman"/>
          <w:i/>
          <w:sz w:val="21"/>
          <w:szCs w:val="21"/>
        </w:rPr>
        <w:t>.</w:t>
      </w:r>
      <w:r w:rsidRPr="00375471">
        <w:rPr>
          <w:rFonts w:ascii="Times New Roman" w:eastAsia="Times New Roman" w:hAnsi="Times New Roman" w:cs="Times New Roman"/>
          <w:i/>
          <w:sz w:val="21"/>
          <w:szCs w:val="21"/>
          <w:lang w:val="en-US"/>
        </w:rPr>
        <w:t>ru</w:t>
      </w:r>
    </w:p>
    <w:p w14:paraId="67EC34A2" w14:textId="77777777" w:rsidR="00375471" w:rsidRPr="00375471" w:rsidRDefault="00375471" w:rsidP="00375471">
      <w:pPr>
        <w:spacing w:after="0" w:line="240" w:lineRule="auto"/>
        <w:jc w:val="right"/>
        <w:rPr>
          <w:rFonts w:ascii="Times New Roman" w:eastAsia="Times New Roman" w:hAnsi="Times New Roman" w:cs="Times New Roman"/>
          <w:i/>
          <w:sz w:val="21"/>
          <w:szCs w:val="21"/>
        </w:rPr>
      </w:pPr>
    </w:p>
    <w:p w14:paraId="6BAC231C" w14:textId="77777777" w:rsidR="00375471" w:rsidRPr="00375471" w:rsidRDefault="00375471" w:rsidP="00375471">
      <w:pPr>
        <w:spacing w:after="0" w:line="240" w:lineRule="auto"/>
        <w:jc w:val="right"/>
        <w:rPr>
          <w:rFonts w:ascii="Times New Roman" w:eastAsia="Times New Roman" w:hAnsi="Times New Roman" w:cs="Times New Roman"/>
          <w:b/>
          <w:i/>
          <w:sz w:val="21"/>
          <w:szCs w:val="21"/>
        </w:rPr>
      </w:pPr>
      <w:r w:rsidRPr="00375471">
        <w:rPr>
          <w:rFonts w:ascii="Times New Roman" w:eastAsia="Times New Roman" w:hAnsi="Times New Roman" w:cs="Times New Roman"/>
          <w:b/>
          <w:i/>
          <w:sz w:val="21"/>
          <w:szCs w:val="21"/>
        </w:rPr>
        <w:t>Научный руководитель:</w:t>
      </w:r>
    </w:p>
    <w:p w14:paraId="45CBD777" w14:textId="77777777" w:rsidR="00375471" w:rsidRPr="00375471" w:rsidRDefault="00375471" w:rsidP="00375471">
      <w:pPr>
        <w:spacing w:after="0" w:line="240" w:lineRule="auto"/>
        <w:jc w:val="right"/>
        <w:rPr>
          <w:rFonts w:ascii="Times New Roman" w:eastAsia="Times New Roman" w:hAnsi="Times New Roman" w:cs="Times New Roman"/>
          <w:b/>
          <w:i/>
          <w:sz w:val="21"/>
          <w:szCs w:val="21"/>
        </w:rPr>
      </w:pPr>
      <w:r w:rsidRPr="00375471">
        <w:rPr>
          <w:rFonts w:ascii="Times New Roman" w:eastAsia="Times New Roman" w:hAnsi="Times New Roman" w:cs="Times New Roman"/>
          <w:b/>
          <w:i/>
          <w:sz w:val="21"/>
          <w:szCs w:val="21"/>
        </w:rPr>
        <w:t>Радченко М.В.,</w:t>
      </w:r>
    </w:p>
    <w:p w14:paraId="3815D875" w14:textId="77777777" w:rsidR="00375471" w:rsidRPr="00375471" w:rsidRDefault="00375471" w:rsidP="00375471">
      <w:pPr>
        <w:spacing w:after="0" w:line="240" w:lineRule="auto"/>
        <w:jc w:val="right"/>
        <w:rPr>
          <w:rFonts w:ascii="Times New Roman" w:eastAsia="Times New Roman" w:hAnsi="Times New Roman" w:cs="Times New Roman"/>
          <w:i/>
          <w:sz w:val="21"/>
          <w:szCs w:val="21"/>
        </w:rPr>
      </w:pPr>
      <w:r w:rsidRPr="00375471">
        <w:rPr>
          <w:rFonts w:ascii="Times New Roman" w:eastAsia="Times New Roman" w:hAnsi="Times New Roman" w:cs="Times New Roman"/>
          <w:b/>
          <w:i/>
          <w:sz w:val="21"/>
          <w:szCs w:val="21"/>
        </w:rPr>
        <w:t xml:space="preserve"> </w:t>
      </w:r>
      <w:r w:rsidRPr="00375471">
        <w:rPr>
          <w:rFonts w:ascii="Times New Roman" w:eastAsia="Times New Roman" w:hAnsi="Times New Roman" w:cs="Times New Roman"/>
          <w:i/>
          <w:sz w:val="21"/>
          <w:szCs w:val="21"/>
        </w:rPr>
        <w:t>Кандидат экономических наук</w:t>
      </w:r>
    </w:p>
    <w:p w14:paraId="391DCD62" w14:textId="77777777" w:rsidR="00375471" w:rsidRPr="00375471" w:rsidRDefault="00375471" w:rsidP="00375471">
      <w:pPr>
        <w:suppressAutoHyphens/>
        <w:spacing w:after="0" w:line="240" w:lineRule="auto"/>
        <w:jc w:val="right"/>
        <w:rPr>
          <w:rFonts w:ascii="Arial" w:eastAsia="Times New Roman" w:hAnsi="Arial" w:cs="Arial"/>
          <w:color w:val="121314"/>
          <w:sz w:val="24"/>
          <w:szCs w:val="24"/>
          <w:shd w:val="clear" w:color="auto" w:fill="FFFFFF"/>
          <w:lang w:eastAsia="ar-SA"/>
        </w:rPr>
      </w:pPr>
      <w:r w:rsidRPr="00375471">
        <w:rPr>
          <w:rFonts w:ascii="Times New Roman" w:eastAsia="Times New Roman" w:hAnsi="Times New Roman" w:cs="Times New Roman"/>
          <w:i/>
          <w:color w:val="121314"/>
          <w:sz w:val="21"/>
          <w:szCs w:val="21"/>
          <w:shd w:val="clear" w:color="auto" w:fill="FFFFFF"/>
          <w:lang w:eastAsia="ar-SA"/>
        </w:rPr>
        <w:t xml:space="preserve">Краснодарский филиал федерального государственного образовательного бюджетного учреждения высшего образования «Финансовый университет при Правительстве Российской </w:t>
      </w:r>
      <w:proofErr w:type="gramStart"/>
      <w:r w:rsidRPr="00375471">
        <w:rPr>
          <w:rFonts w:ascii="Times New Roman" w:eastAsia="Times New Roman" w:hAnsi="Times New Roman" w:cs="Times New Roman"/>
          <w:i/>
          <w:color w:val="121314"/>
          <w:sz w:val="21"/>
          <w:szCs w:val="21"/>
          <w:shd w:val="clear" w:color="auto" w:fill="FFFFFF"/>
          <w:lang w:eastAsia="ar-SA"/>
        </w:rPr>
        <w:t>Федерации»</w:t>
      </w:r>
      <w:r w:rsidRPr="00375471">
        <w:rPr>
          <w:rFonts w:ascii="Arial" w:eastAsia="Times New Roman" w:hAnsi="Arial" w:cs="Arial"/>
          <w:color w:val="121314"/>
          <w:sz w:val="24"/>
          <w:szCs w:val="24"/>
          <w:shd w:val="clear" w:color="auto" w:fill="FFFFFF"/>
          <w:lang w:eastAsia="ar-SA"/>
        </w:rPr>
        <w:t>​</w:t>
      </w:r>
      <w:proofErr w:type="gramEnd"/>
    </w:p>
    <w:p w14:paraId="475CEA04" w14:textId="77777777" w:rsidR="00375471" w:rsidRPr="00375471" w:rsidRDefault="00375471" w:rsidP="00375471">
      <w:pPr>
        <w:suppressAutoHyphens/>
        <w:spacing w:after="0" w:line="240" w:lineRule="auto"/>
        <w:jc w:val="right"/>
        <w:rPr>
          <w:rFonts w:ascii="Times New Roman" w:eastAsia="Times New Roman" w:hAnsi="Times New Roman" w:cs="Times New Roman"/>
          <w:i/>
          <w:sz w:val="21"/>
          <w:szCs w:val="21"/>
          <w:lang w:eastAsia="ar-SA"/>
        </w:rPr>
      </w:pPr>
      <w:r w:rsidRPr="00375471">
        <w:rPr>
          <w:rFonts w:ascii="Times New Roman" w:eastAsia="Times New Roman" w:hAnsi="Times New Roman" w:cs="Times New Roman"/>
          <w:i/>
          <w:sz w:val="21"/>
          <w:szCs w:val="21"/>
          <w:lang w:eastAsia="ar-SA"/>
        </w:rPr>
        <w:t>г. Краснодар, Россия</w:t>
      </w:r>
    </w:p>
    <w:p w14:paraId="528A64E2" w14:textId="77777777" w:rsidR="00375471" w:rsidRPr="00375471" w:rsidRDefault="00375471" w:rsidP="00375471">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375471">
        <w:rPr>
          <w:rFonts w:ascii="Times New Roman" w:eastAsia="Times New Roman" w:hAnsi="Times New Roman" w:cs="Times New Roman"/>
          <w:i/>
          <w:sz w:val="21"/>
          <w:szCs w:val="21"/>
          <w:lang w:eastAsia="ar-SA"/>
        </w:rPr>
        <w:t>е-</w:t>
      </w:r>
      <w:r w:rsidRPr="00375471">
        <w:rPr>
          <w:rFonts w:ascii="Times New Roman" w:eastAsia="Times New Roman" w:hAnsi="Times New Roman" w:cs="Times New Roman"/>
          <w:i/>
          <w:sz w:val="21"/>
          <w:szCs w:val="21"/>
          <w:lang w:val="en-US" w:eastAsia="ar-SA"/>
        </w:rPr>
        <w:t>mail</w:t>
      </w:r>
      <w:r w:rsidRPr="00375471">
        <w:rPr>
          <w:rFonts w:ascii="Times New Roman" w:eastAsia="Times New Roman" w:hAnsi="Times New Roman" w:cs="Times New Roman"/>
          <w:i/>
          <w:sz w:val="21"/>
          <w:szCs w:val="21"/>
          <w:lang w:eastAsia="ar-SA"/>
        </w:rPr>
        <w:t xml:space="preserve">: </w:t>
      </w:r>
      <w:r w:rsidRPr="00375471">
        <w:rPr>
          <w:rFonts w:ascii="Times New Roman" w:eastAsia="Times New Roman" w:hAnsi="Times New Roman" w:cs="Times New Roman"/>
          <w:i/>
          <w:sz w:val="21"/>
          <w:szCs w:val="21"/>
          <w:lang w:val="en-US" w:eastAsia="ar-SA"/>
        </w:rPr>
        <w:t>mvradchenko</w:t>
      </w:r>
      <w:r w:rsidRPr="00375471">
        <w:rPr>
          <w:rFonts w:ascii="Times New Roman" w:eastAsia="Times New Roman" w:hAnsi="Times New Roman" w:cs="Times New Roman"/>
          <w:i/>
          <w:sz w:val="21"/>
          <w:szCs w:val="21"/>
          <w:lang w:eastAsia="ar-SA"/>
        </w:rPr>
        <w:t>@</w:t>
      </w:r>
      <w:r w:rsidRPr="00375471">
        <w:rPr>
          <w:rFonts w:ascii="Times New Roman" w:eastAsia="Times New Roman" w:hAnsi="Times New Roman" w:cs="Times New Roman"/>
          <w:i/>
          <w:sz w:val="21"/>
          <w:szCs w:val="21"/>
          <w:lang w:val="en-US" w:eastAsia="ar-SA"/>
        </w:rPr>
        <w:t>fa</w:t>
      </w:r>
      <w:r w:rsidRPr="00375471">
        <w:rPr>
          <w:rFonts w:ascii="Times New Roman" w:eastAsia="Times New Roman" w:hAnsi="Times New Roman" w:cs="Times New Roman"/>
          <w:i/>
          <w:sz w:val="21"/>
          <w:szCs w:val="21"/>
          <w:lang w:eastAsia="ar-SA"/>
        </w:rPr>
        <w:t>.</w:t>
      </w:r>
      <w:r w:rsidRPr="00375471">
        <w:rPr>
          <w:rFonts w:ascii="Times New Roman" w:eastAsia="Times New Roman" w:hAnsi="Times New Roman" w:cs="Times New Roman"/>
          <w:i/>
          <w:sz w:val="21"/>
          <w:szCs w:val="21"/>
          <w:lang w:val="en-US" w:eastAsia="ar-SA"/>
        </w:rPr>
        <w:t>ru</w:t>
      </w:r>
    </w:p>
    <w:p w14:paraId="224D0C3E" w14:textId="77777777" w:rsidR="00375471" w:rsidRPr="00375471" w:rsidRDefault="00375471" w:rsidP="00375471">
      <w:pPr>
        <w:suppressAutoHyphens/>
        <w:spacing w:after="0" w:line="240" w:lineRule="auto"/>
        <w:jc w:val="center"/>
        <w:rPr>
          <w:rFonts w:ascii="Times New Roman" w:eastAsia="Times New Roman" w:hAnsi="Times New Roman" w:cs="Times New Roman"/>
          <w:b/>
          <w:sz w:val="21"/>
          <w:szCs w:val="21"/>
          <w:lang w:eastAsia="ar-SA"/>
        </w:rPr>
      </w:pPr>
    </w:p>
    <w:p w14:paraId="00DB6DB6" w14:textId="77777777" w:rsidR="00375471" w:rsidRPr="00375471" w:rsidRDefault="00375471" w:rsidP="00375471">
      <w:pPr>
        <w:spacing w:after="0" w:line="240" w:lineRule="auto"/>
        <w:ind w:firstLine="567"/>
        <w:jc w:val="center"/>
        <w:rPr>
          <w:rFonts w:ascii="Times New Roman" w:eastAsia="Times New Roman" w:hAnsi="Times New Roman" w:cs="Times New Roman"/>
          <w:b/>
          <w:bCs/>
          <w:sz w:val="21"/>
          <w:szCs w:val="21"/>
          <w:lang w:eastAsia="ar-SA"/>
        </w:rPr>
      </w:pPr>
      <w:r w:rsidRPr="00375471">
        <w:rPr>
          <w:rFonts w:ascii="Times New Roman" w:eastAsia="Times New Roman" w:hAnsi="Times New Roman" w:cs="Times New Roman"/>
          <w:b/>
          <w:bCs/>
          <w:sz w:val="21"/>
          <w:szCs w:val="21"/>
          <w:lang w:eastAsia="ar-SA"/>
        </w:rPr>
        <w:t>Анализ использования наличных платежей в розничном секторе экономики России</w:t>
      </w:r>
    </w:p>
    <w:p w14:paraId="7D0C81A8" w14:textId="77777777" w:rsidR="00375471" w:rsidRPr="00375471" w:rsidRDefault="00375471" w:rsidP="00375471">
      <w:pPr>
        <w:spacing w:after="0" w:line="240" w:lineRule="auto"/>
        <w:ind w:firstLine="567"/>
        <w:jc w:val="both"/>
        <w:rPr>
          <w:rFonts w:ascii="Times New Roman" w:eastAsia="Times New Roman" w:hAnsi="Times New Roman" w:cs="Times New Roman"/>
          <w:i/>
          <w:sz w:val="21"/>
          <w:szCs w:val="21"/>
          <w:shd w:val="clear" w:color="auto" w:fill="00FFFF"/>
        </w:rPr>
      </w:pPr>
    </w:p>
    <w:p w14:paraId="63D7001E" w14:textId="77777777" w:rsidR="00375471" w:rsidRPr="00375471" w:rsidRDefault="00375471" w:rsidP="00375471">
      <w:pPr>
        <w:spacing w:after="0" w:line="240" w:lineRule="auto"/>
        <w:ind w:firstLine="567"/>
        <w:jc w:val="both"/>
        <w:rPr>
          <w:rFonts w:ascii="Times New Roman" w:eastAsia="Times New Roman" w:hAnsi="Times New Roman" w:cs="Times New Roman"/>
          <w:color w:val="2B2B2B"/>
          <w:shd w:val="clear" w:color="auto" w:fill="FFFFFF"/>
        </w:rPr>
      </w:pPr>
      <w:r w:rsidRPr="00375471">
        <w:rPr>
          <w:rFonts w:ascii="Times New Roman" w:eastAsia="Times New Roman" w:hAnsi="Times New Roman" w:cs="Times New Roman"/>
          <w:b/>
          <w:sz w:val="21"/>
          <w:szCs w:val="21"/>
        </w:rPr>
        <w:t>Аннотация:</w:t>
      </w:r>
      <w:r w:rsidRPr="00375471">
        <w:rPr>
          <w:rFonts w:ascii="Times New Roman" w:eastAsia="Times New Roman" w:hAnsi="Times New Roman" w:cs="Times New Roman"/>
          <w:i/>
          <w:sz w:val="21"/>
          <w:szCs w:val="21"/>
        </w:rPr>
        <w:t xml:space="preserve"> </w:t>
      </w:r>
      <w:r w:rsidRPr="00375471">
        <w:rPr>
          <w:rFonts w:ascii="Times New Roman" w:eastAsia="Times New Roman" w:hAnsi="Times New Roman" w:cs="Times New Roman"/>
          <w:color w:val="2B2B2B"/>
          <w:shd w:val="clear" w:color="auto" w:fill="FFFFFF"/>
        </w:rPr>
        <w:t xml:space="preserve">Статья рассматривает использование наличных платежей в розничном секторе экономики России, анализируя его текущее состояние. Анализируется влияние наличных платежей на эффективность операций и безопасность в торговле. На основе проведенного исследования </w:t>
      </w:r>
      <w:r w:rsidRPr="00375471">
        <w:rPr>
          <w:rFonts w:ascii="Times New Roman" w:eastAsia="Times New Roman" w:hAnsi="Times New Roman" w:cs="Times New Roman"/>
          <w:color w:val="2B2B2B"/>
          <w:shd w:val="clear" w:color="auto" w:fill="FFFFFF"/>
        </w:rPr>
        <w:lastRenderedPageBreak/>
        <w:t>предложены практические рекомендации для малого и среднего предпринимательства, а также банковского сектора, направленные на сокращение использования наличных в розничных расчетах.</w:t>
      </w:r>
    </w:p>
    <w:p w14:paraId="4A2C6E77" w14:textId="77777777" w:rsidR="00375471" w:rsidRPr="00375471" w:rsidRDefault="00375471" w:rsidP="00375471">
      <w:pPr>
        <w:spacing w:after="0" w:line="240" w:lineRule="auto"/>
        <w:ind w:firstLine="567"/>
        <w:jc w:val="both"/>
        <w:rPr>
          <w:rFonts w:ascii="Times New Roman" w:eastAsia="Times New Roman" w:hAnsi="Times New Roman" w:cs="Times New Roman"/>
          <w:sz w:val="21"/>
          <w:szCs w:val="21"/>
        </w:rPr>
      </w:pPr>
      <w:r w:rsidRPr="00375471">
        <w:rPr>
          <w:rFonts w:ascii="Times New Roman" w:eastAsia="Times New Roman" w:hAnsi="Times New Roman" w:cs="Times New Roman"/>
          <w:b/>
          <w:sz w:val="21"/>
          <w:szCs w:val="21"/>
        </w:rPr>
        <w:t>Ключевые слова:</w:t>
      </w:r>
      <w:r w:rsidRPr="00375471">
        <w:rPr>
          <w:rFonts w:ascii="Times New Roman" w:eastAsia="Times New Roman" w:hAnsi="Times New Roman" w:cs="Times New Roman"/>
          <w:sz w:val="21"/>
          <w:szCs w:val="21"/>
        </w:rPr>
        <w:t xml:space="preserve"> безналичные платежи, СБП, Банк России, розничная торговля, цифровизация.</w:t>
      </w:r>
    </w:p>
    <w:p w14:paraId="1283C5A7" w14:textId="77777777" w:rsidR="00AF77FA" w:rsidRDefault="00AF77FA" w:rsidP="00375471">
      <w:pPr>
        <w:spacing w:after="0" w:line="240" w:lineRule="auto"/>
        <w:ind w:firstLine="567"/>
        <w:jc w:val="right"/>
        <w:rPr>
          <w:rFonts w:ascii="Times New Roman" w:eastAsia="Times New Roman" w:hAnsi="Times New Roman" w:cs="Times New Roman"/>
          <w:b/>
          <w:i/>
          <w:sz w:val="21"/>
          <w:szCs w:val="21"/>
        </w:rPr>
      </w:pPr>
    </w:p>
    <w:p w14:paraId="2596B6D4" w14:textId="41486CD4" w:rsidR="00375471" w:rsidRPr="00375471" w:rsidRDefault="00375471" w:rsidP="00375471">
      <w:pPr>
        <w:spacing w:after="0" w:line="240" w:lineRule="auto"/>
        <w:ind w:firstLine="567"/>
        <w:jc w:val="right"/>
        <w:rPr>
          <w:rFonts w:ascii="Times New Roman" w:eastAsia="Times New Roman" w:hAnsi="Times New Roman" w:cs="Times New Roman"/>
          <w:b/>
          <w:i/>
          <w:sz w:val="21"/>
          <w:szCs w:val="21"/>
          <w:lang w:val="en-US"/>
        </w:rPr>
      </w:pPr>
      <w:r w:rsidRPr="00375471">
        <w:rPr>
          <w:rFonts w:ascii="Times New Roman" w:eastAsia="Times New Roman" w:hAnsi="Times New Roman" w:cs="Times New Roman"/>
          <w:b/>
          <w:i/>
          <w:sz w:val="21"/>
          <w:szCs w:val="21"/>
          <w:lang w:val="en-US"/>
        </w:rPr>
        <w:t xml:space="preserve">Ozerov F.E., </w:t>
      </w:r>
    </w:p>
    <w:p w14:paraId="21F0B690" w14:textId="77777777" w:rsidR="00375471" w:rsidRPr="00375471" w:rsidRDefault="00375471" w:rsidP="00375471">
      <w:pPr>
        <w:spacing w:after="0" w:line="240" w:lineRule="auto"/>
        <w:ind w:firstLine="567"/>
        <w:jc w:val="right"/>
        <w:rPr>
          <w:rFonts w:ascii="Times New Roman" w:eastAsia="Times New Roman" w:hAnsi="Times New Roman" w:cs="Times New Roman"/>
          <w:b/>
          <w:i/>
          <w:sz w:val="21"/>
          <w:szCs w:val="21"/>
          <w:lang w:val="en-US"/>
        </w:rPr>
      </w:pPr>
      <w:r w:rsidRPr="00375471">
        <w:rPr>
          <w:rFonts w:ascii="Times New Roman" w:eastAsia="Times New Roman" w:hAnsi="Times New Roman" w:cs="Times New Roman"/>
          <w:i/>
          <w:sz w:val="21"/>
          <w:szCs w:val="21"/>
          <w:lang w:val="en-US"/>
        </w:rPr>
        <w:t>student,</w:t>
      </w:r>
      <w:r w:rsidRPr="00375471">
        <w:rPr>
          <w:rFonts w:ascii="Times New Roman" w:eastAsia="Times New Roman" w:hAnsi="Times New Roman" w:cs="Times New Roman"/>
          <w:i/>
          <w:lang w:val="en-US"/>
        </w:rPr>
        <w:t xml:space="preserve"> </w:t>
      </w:r>
      <w:r w:rsidRPr="00375471">
        <w:rPr>
          <w:rFonts w:ascii="Times New Roman" w:eastAsia="Times New Roman" w:hAnsi="Times New Roman" w:cs="Times New Roman"/>
          <w:i/>
          <w:sz w:val="21"/>
          <w:szCs w:val="21"/>
          <w:lang w:val="en-US"/>
        </w:rPr>
        <w:t>1 course</w:t>
      </w:r>
      <w:r w:rsidRPr="00375471">
        <w:rPr>
          <w:rFonts w:ascii="Times New Roman" w:eastAsia="Times New Roman" w:hAnsi="Times New Roman" w:cs="Times New Roman"/>
          <w:b/>
          <w:i/>
          <w:sz w:val="21"/>
          <w:szCs w:val="21"/>
          <w:lang w:val="en-US"/>
        </w:rPr>
        <w:t xml:space="preserve"> </w:t>
      </w:r>
    </w:p>
    <w:p w14:paraId="2A987A18"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375471">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3690C502"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375471">
        <w:rPr>
          <w:rFonts w:ascii="Times New Roman" w:eastAsia="Times New Roman" w:hAnsi="Times New Roman" w:cs="Times New Roman"/>
          <w:i/>
          <w:sz w:val="21"/>
          <w:szCs w:val="21"/>
          <w:lang w:val="en-US" w:eastAsia="ar-SA"/>
        </w:rPr>
        <w:t xml:space="preserve"> Krasnodar, Russia</w:t>
      </w:r>
    </w:p>
    <w:p w14:paraId="6AE2B2D8"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375471">
        <w:rPr>
          <w:rFonts w:ascii="Times New Roman" w:eastAsia="Times New Roman" w:hAnsi="Times New Roman" w:cs="Times New Roman"/>
          <w:i/>
          <w:sz w:val="21"/>
          <w:szCs w:val="21"/>
          <w:lang w:val="en-US" w:eastAsia="ar-SA"/>
        </w:rPr>
        <w:t xml:space="preserve">e-mail: </w:t>
      </w:r>
      <w:r w:rsidRPr="00375471">
        <w:rPr>
          <w:rFonts w:ascii="Times New Roman" w:eastAsia="Times New Roman" w:hAnsi="Times New Roman" w:cs="Times New Roman"/>
          <w:i/>
          <w:sz w:val="21"/>
          <w:szCs w:val="21"/>
          <w:lang w:val="en-US"/>
        </w:rPr>
        <w:t>100dot13sl240363@edu.fa.ru</w:t>
      </w:r>
      <w:r w:rsidRPr="00375471">
        <w:rPr>
          <w:rFonts w:ascii="Times New Roman" w:eastAsia="Times New Roman" w:hAnsi="Times New Roman" w:cs="Times New Roman"/>
          <w:i/>
          <w:sz w:val="21"/>
          <w:szCs w:val="21"/>
          <w:lang w:val="en-US" w:eastAsia="ar-SA"/>
        </w:rPr>
        <w:t>.</w:t>
      </w:r>
    </w:p>
    <w:p w14:paraId="15F3EF80" w14:textId="77777777" w:rsidR="00375471" w:rsidRPr="00375471" w:rsidRDefault="00375471" w:rsidP="00375471">
      <w:pPr>
        <w:spacing w:after="0" w:line="240" w:lineRule="auto"/>
        <w:ind w:firstLine="567"/>
        <w:jc w:val="right"/>
        <w:rPr>
          <w:rFonts w:ascii="Times New Roman" w:eastAsia="Times New Roman" w:hAnsi="Times New Roman" w:cs="Times New Roman"/>
          <w:b/>
          <w:i/>
          <w:sz w:val="21"/>
          <w:szCs w:val="21"/>
          <w:lang w:val="en-US"/>
        </w:rPr>
      </w:pPr>
    </w:p>
    <w:p w14:paraId="4A37ABAF" w14:textId="77777777" w:rsidR="00375471" w:rsidRPr="00375471" w:rsidRDefault="00375471" w:rsidP="00375471">
      <w:pPr>
        <w:spacing w:after="0" w:line="240" w:lineRule="auto"/>
        <w:ind w:firstLine="567"/>
        <w:jc w:val="right"/>
        <w:rPr>
          <w:rFonts w:ascii="Times New Roman" w:eastAsia="Times New Roman" w:hAnsi="Times New Roman" w:cs="Times New Roman"/>
          <w:b/>
          <w:i/>
          <w:sz w:val="21"/>
          <w:szCs w:val="21"/>
          <w:lang w:val="en-US"/>
        </w:rPr>
      </w:pPr>
      <w:r w:rsidRPr="00375471">
        <w:rPr>
          <w:rFonts w:ascii="Times New Roman" w:eastAsia="Times New Roman" w:hAnsi="Times New Roman" w:cs="Times New Roman"/>
          <w:b/>
          <w:i/>
          <w:sz w:val="21"/>
          <w:szCs w:val="21"/>
          <w:lang w:val="en-US"/>
        </w:rPr>
        <w:t>Scientific Adviser:</w:t>
      </w:r>
    </w:p>
    <w:p w14:paraId="54C23C87" w14:textId="77777777" w:rsidR="00375471" w:rsidRPr="00375471" w:rsidRDefault="00375471" w:rsidP="00375471">
      <w:pPr>
        <w:spacing w:after="0" w:line="240" w:lineRule="auto"/>
        <w:ind w:firstLine="567"/>
        <w:jc w:val="right"/>
        <w:rPr>
          <w:rFonts w:ascii="Times New Roman" w:eastAsia="Times New Roman" w:hAnsi="Times New Roman" w:cs="Times New Roman"/>
          <w:b/>
          <w:i/>
          <w:sz w:val="21"/>
          <w:szCs w:val="21"/>
          <w:lang w:val="en-US"/>
        </w:rPr>
      </w:pPr>
      <w:r w:rsidRPr="00375471">
        <w:rPr>
          <w:rFonts w:ascii="Times New Roman" w:eastAsia="Times New Roman" w:hAnsi="Times New Roman" w:cs="Times New Roman"/>
          <w:b/>
          <w:i/>
          <w:sz w:val="21"/>
          <w:szCs w:val="21"/>
          <w:lang w:val="en-US"/>
        </w:rPr>
        <w:t>Radchenko M.V.,</w:t>
      </w:r>
    </w:p>
    <w:p w14:paraId="3A98ECB9"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375471">
        <w:rPr>
          <w:rFonts w:ascii="Times New Roman" w:eastAsia="Times New Roman" w:hAnsi="Times New Roman" w:cs="Times New Roman"/>
          <w:i/>
          <w:color w:val="000000"/>
          <w:sz w:val="21"/>
          <w:szCs w:val="21"/>
          <w:lang w:val="en-US" w:eastAsia="ar-SA"/>
        </w:rPr>
        <w:t>Candidate of Economic Sciences</w:t>
      </w:r>
    </w:p>
    <w:p w14:paraId="17BE3B58"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375471">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77F7530A" w14:textId="77777777" w:rsidR="00375471" w:rsidRPr="00375471" w:rsidRDefault="00375471" w:rsidP="00375471">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375471">
        <w:rPr>
          <w:rFonts w:ascii="Times New Roman" w:eastAsia="Times New Roman" w:hAnsi="Times New Roman" w:cs="Times New Roman"/>
          <w:i/>
          <w:sz w:val="21"/>
          <w:szCs w:val="21"/>
          <w:lang w:val="en-US" w:eastAsia="ar-SA"/>
        </w:rPr>
        <w:t>Krasnodar, Russia</w:t>
      </w:r>
    </w:p>
    <w:p w14:paraId="6639B00D" w14:textId="77777777" w:rsidR="00375471" w:rsidRPr="00375471" w:rsidRDefault="00375471" w:rsidP="00375471">
      <w:pPr>
        <w:suppressAutoHyphens/>
        <w:spacing w:after="0" w:line="240" w:lineRule="auto"/>
        <w:jc w:val="right"/>
        <w:textAlignment w:val="baseline"/>
        <w:rPr>
          <w:rFonts w:ascii="Times New Roman" w:eastAsia="Times New Roman" w:hAnsi="Times New Roman" w:cs="Times New Roman"/>
          <w:i/>
          <w:sz w:val="21"/>
          <w:szCs w:val="21"/>
          <w:lang w:val="en-US" w:eastAsia="ar-SA"/>
        </w:rPr>
      </w:pPr>
      <w:r w:rsidRPr="00375471">
        <w:rPr>
          <w:rFonts w:ascii="Times New Roman" w:eastAsia="Times New Roman" w:hAnsi="Times New Roman" w:cs="Times New Roman"/>
          <w:i/>
          <w:sz w:val="21"/>
          <w:szCs w:val="21"/>
          <w:lang w:eastAsia="ar-SA"/>
        </w:rPr>
        <w:t>е</w:t>
      </w:r>
      <w:r w:rsidRPr="00375471">
        <w:rPr>
          <w:rFonts w:ascii="Times New Roman" w:eastAsia="Times New Roman" w:hAnsi="Times New Roman" w:cs="Times New Roman"/>
          <w:i/>
          <w:sz w:val="21"/>
          <w:szCs w:val="21"/>
          <w:lang w:val="en-US" w:eastAsia="ar-SA"/>
        </w:rPr>
        <w:t>-mail: mvradchenko@fa.ru</w:t>
      </w:r>
    </w:p>
    <w:p w14:paraId="4E23C1A8" w14:textId="77777777" w:rsidR="00375471" w:rsidRPr="00375471" w:rsidRDefault="00375471" w:rsidP="00375471">
      <w:pPr>
        <w:spacing w:after="0" w:line="240" w:lineRule="auto"/>
        <w:ind w:firstLine="567"/>
        <w:jc w:val="right"/>
        <w:rPr>
          <w:rFonts w:ascii="Times New Roman" w:eastAsia="Times New Roman" w:hAnsi="Times New Roman" w:cs="Times New Roman"/>
          <w:i/>
          <w:sz w:val="21"/>
          <w:szCs w:val="21"/>
          <w:lang w:val="en-US"/>
        </w:rPr>
      </w:pPr>
    </w:p>
    <w:p w14:paraId="4CC92931" w14:textId="77777777" w:rsidR="00375471" w:rsidRPr="00375471" w:rsidRDefault="00375471" w:rsidP="00375471">
      <w:pPr>
        <w:suppressAutoHyphens/>
        <w:spacing w:after="0" w:line="240" w:lineRule="auto"/>
        <w:ind w:firstLine="567"/>
        <w:jc w:val="center"/>
        <w:rPr>
          <w:rFonts w:ascii="Times New Roman" w:eastAsia="Times New Roman" w:hAnsi="Times New Roman" w:cs="Times New Roman"/>
          <w:b/>
          <w:bCs/>
          <w:sz w:val="21"/>
          <w:szCs w:val="21"/>
          <w:shd w:val="clear" w:color="auto" w:fill="FFFFFF"/>
          <w:lang w:val="en-US" w:eastAsia="ar-SA"/>
        </w:rPr>
      </w:pPr>
      <w:r w:rsidRPr="00375471">
        <w:rPr>
          <w:rFonts w:ascii="Times New Roman" w:eastAsia="Times New Roman" w:hAnsi="Times New Roman" w:cs="Times New Roman"/>
          <w:b/>
          <w:bCs/>
          <w:sz w:val="21"/>
          <w:szCs w:val="21"/>
          <w:shd w:val="clear" w:color="auto" w:fill="FFFFFF"/>
          <w:lang w:val="en-US" w:eastAsia="ar-SA"/>
        </w:rPr>
        <w:t>Analysis of Cash Payment Utilization in the Retail Sector of the Russian Economy</w:t>
      </w:r>
    </w:p>
    <w:p w14:paraId="5C3E0A80" w14:textId="77777777" w:rsidR="00375471" w:rsidRPr="00375471" w:rsidRDefault="00375471" w:rsidP="00375471">
      <w:pPr>
        <w:suppressAutoHyphens/>
        <w:spacing w:after="0" w:line="240" w:lineRule="auto"/>
        <w:ind w:firstLine="567"/>
        <w:jc w:val="both"/>
        <w:rPr>
          <w:rFonts w:ascii="Times New Roman" w:eastAsia="Times New Roman" w:hAnsi="Times New Roman" w:cs="Times New Roman"/>
          <w:b/>
          <w:bCs/>
          <w:sz w:val="21"/>
          <w:szCs w:val="21"/>
          <w:shd w:val="clear" w:color="auto" w:fill="FFFFFF"/>
          <w:lang w:val="en-US" w:eastAsia="ar-SA"/>
        </w:rPr>
      </w:pPr>
    </w:p>
    <w:p w14:paraId="5325B833" w14:textId="77777777" w:rsidR="00375471" w:rsidRPr="00375471" w:rsidRDefault="00375471" w:rsidP="00375471">
      <w:pPr>
        <w:suppressAutoHyphens/>
        <w:spacing w:after="0" w:line="240" w:lineRule="auto"/>
        <w:ind w:firstLine="567"/>
        <w:jc w:val="both"/>
        <w:rPr>
          <w:rFonts w:ascii="Times New Roman" w:eastAsia="Times New Roman" w:hAnsi="Times New Roman" w:cs="Times New Roman"/>
          <w:bCs/>
          <w:sz w:val="21"/>
          <w:szCs w:val="21"/>
          <w:shd w:val="clear" w:color="auto" w:fill="FFFFFF"/>
          <w:lang w:val="en-US" w:eastAsia="ar-SA"/>
        </w:rPr>
      </w:pPr>
      <w:r w:rsidRPr="00375471">
        <w:rPr>
          <w:rFonts w:ascii="Times New Roman" w:eastAsia="Times New Roman" w:hAnsi="Times New Roman" w:cs="Times New Roman"/>
          <w:b/>
          <w:bCs/>
          <w:sz w:val="21"/>
          <w:szCs w:val="21"/>
          <w:shd w:val="clear" w:color="auto" w:fill="FFFFFF"/>
          <w:lang w:val="en-US" w:eastAsia="ar-SA"/>
        </w:rPr>
        <w:t>Abstract:</w:t>
      </w:r>
      <w:r w:rsidRPr="00375471">
        <w:rPr>
          <w:rFonts w:ascii="Times New Roman" w:eastAsia="Times New Roman" w:hAnsi="Times New Roman" w:cs="Times New Roman"/>
          <w:bCs/>
          <w:sz w:val="21"/>
          <w:szCs w:val="21"/>
          <w:shd w:val="clear" w:color="auto" w:fill="FFFFFF"/>
          <w:lang w:val="en-US" w:eastAsia="ar-SA"/>
        </w:rPr>
        <w:t xml:space="preserve"> This article is devoted to the issue of reducing the share of cash payments in the retail sector of the Russian economy. The article examines the use of cash payments in the retail sector of the Russian economy, analyzing its current state. The study highlights the problems associated with the high share of cash payments in retail, emphasizing the challenges faced by small and medium-sized enterprises. It analyzes the impact of cash payments on operational efficiency and security in trade. Based on the conducted research, practical recommendations are proposed for small and medium-sized enterprises, as well as the banking sector, aimed at reducing the use of cash in retail transactions.</w:t>
      </w:r>
    </w:p>
    <w:p w14:paraId="6918655A" w14:textId="77777777" w:rsidR="00375471" w:rsidRPr="00375471" w:rsidRDefault="00375471" w:rsidP="00375471">
      <w:pPr>
        <w:suppressAutoHyphens/>
        <w:spacing w:after="0" w:line="240" w:lineRule="auto"/>
        <w:ind w:firstLine="567"/>
        <w:jc w:val="both"/>
        <w:rPr>
          <w:rFonts w:ascii="Times New Roman" w:eastAsia="Times New Roman" w:hAnsi="Times New Roman" w:cs="Times New Roman"/>
          <w:bCs/>
          <w:sz w:val="21"/>
          <w:szCs w:val="21"/>
          <w:shd w:val="clear" w:color="auto" w:fill="FFFFFF"/>
          <w:lang w:val="en-US" w:eastAsia="ar-SA"/>
        </w:rPr>
      </w:pPr>
      <w:r w:rsidRPr="00375471">
        <w:rPr>
          <w:rFonts w:ascii="Times New Roman" w:eastAsia="Times New Roman" w:hAnsi="Times New Roman" w:cs="Times New Roman"/>
          <w:b/>
          <w:bCs/>
          <w:sz w:val="21"/>
          <w:szCs w:val="21"/>
          <w:shd w:val="clear" w:color="auto" w:fill="FFFFFF"/>
          <w:lang w:val="en-US" w:eastAsia="ar-SA"/>
        </w:rPr>
        <w:t xml:space="preserve">Keywords: </w:t>
      </w:r>
      <w:r w:rsidRPr="00375471">
        <w:rPr>
          <w:rFonts w:ascii="Times New Roman" w:eastAsia="Times New Roman" w:hAnsi="Times New Roman" w:cs="Times New Roman"/>
          <w:bCs/>
          <w:sz w:val="21"/>
          <w:szCs w:val="21"/>
          <w:shd w:val="clear" w:color="auto" w:fill="FFFFFF"/>
          <w:lang w:val="en-US" w:eastAsia="ar-SA"/>
        </w:rPr>
        <w:t>non-cash payments, SBP, Bank of Russia, retail, digitalization.</w:t>
      </w:r>
    </w:p>
    <w:p w14:paraId="67F50BF4" w14:textId="77777777" w:rsidR="00375471" w:rsidRPr="00375471" w:rsidRDefault="00375471" w:rsidP="00375471">
      <w:pPr>
        <w:suppressAutoHyphens/>
        <w:spacing w:after="0" w:line="240" w:lineRule="auto"/>
        <w:ind w:firstLine="567"/>
        <w:jc w:val="both"/>
        <w:rPr>
          <w:rFonts w:ascii="Times New Roman" w:eastAsia="Times New Roman" w:hAnsi="Times New Roman" w:cs="Times New Roman"/>
          <w:bCs/>
          <w:sz w:val="21"/>
          <w:szCs w:val="21"/>
          <w:shd w:val="clear" w:color="auto" w:fill="FFFFFF"/>
          <w:lang w:val="en-US" w:eastAsia="ar-SA"/>
        </w:rPr>
      </w:pPr>
    </w:p>
    <w:p w14:paraId="3ED87CD0" w14:textId="77777777" w:rsidR="00375471" w:rsidRPr="00375471" w:rsidRDefault="00375471" w:rsidP="00375471">
      <w:pPr>
        <w:spacing w:after="0" w:line="240" w:lineRule="auto"/>
        <w:ind w:firstLine="851"/>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 xml:space="preserve">В последние годы Банком России проводится планомерная политика по снижению доли наличных платежей в розничном секторе экономики России. Для этого Банк России развивает Систему Быстрых Платежей (СБП), банковский сектор внедряет и развивает банковские приложения, системы онлайн-платежей, а малый и средний бизнес, в свою очередь, запускает бонусные акции при оплате безналичным способом. Также необходимо отметить, что сильное влияние на использование безналичных денег оказала пандемия </w:t>
      </w:r>
      <w:r w:rsidRPr="00375471">
        <w:rPr>
          <w:rFonts w:ascii="Times New Roman" w:eastAsia="Times New Roman" w:hAnsi="Times New Roman" w:cs="Times New Roman"/>
          <w:sz w:val="32"/>
          <w:szCs w:val="32"/>
          <w:lang w:val="en-US"/>
        </w:rPr>
        <w:t>COVID</w:t>
      </w:r>
      <w:r w:rsidRPr="00375471">
        <w:rPr>
          <w:rFonts w:ascii="Times New Roman" w:eastAsia="Times New Roman" w:hAnsi="Times New Roman" w:cs="Times New Roman"/>
          <w:sz w:val="32"/>
          <w:szCs w:val="32"/>
        </w:rPr>
        <w:t xml:space="preserve">-19, после которой впервые можно было отметить глобальную смену предпочтений населения в пользу оплаты бесконтактными способами. </w:t>
      </w:r>
    </w:p>
    <w:p w14:paraId="123903FE" w14:textId="793F0896" w:rsidR="00375471" w:rsidRDefault="00375471" w:rsidP="00375471">
      <w:pPr>
        <w:spacing w:after="0" w:line="240" w:lineRule="auto"/>
        <w:ind w:firstLine="851"/>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Для определения эффективности проводимых мероприятий рассмотрим таблицу 1.</w:t>
      </w:r>
    </w:p>
    <w:p w14:paraId="02396133" w14:textId="77777777" w:rsidR="00B41576" w:rsidRPr="00375471" w:rsidRDefault="00B41576" w:rsidP="00375471">
      <w:pPr>
        <w:spacing w:after="0" w:line="240" w:lineRule="auto"/>
        <w:ind w:firstLine="851"/>
        <w:jc w:val="both"/>
        <w:rPr>
          <w:rFonts w:ascii="Times New Roman" w:eastAsia="Times New Roman" w:hAnsi="Times New Roman" w:cs="Times New Roman"/>
          <w:sz w:val="32"/>
          <w:szCs w:val="32"/>
        </w:rPr>
      </w:pPr>
    </w:p>
    <w:p w14:paraId="305AE53E" w14:textId="77777777" w:rsidR="00375471" w:rsidRPr="00375471" w:rsidRDefault="00375471" w:rsidP="00375471">
      <w:pPr>
        <w:spacing w:after="0" w:line="240" w:lineRule="auto"/>
        <w:jc w:val="both"/>
        <w:rPr>
          <w:rFonts w:ascii="Times New Roman" w:eastAsia="Times New Roman" w:hAnsi="Times New Roman" w:cs="Times New Roman"/>
          <w:color w:val="000000"/>
          <w:sz w:val="32"/>
          <w:szCs w:val="32"/>
          <w:lang w:eastAsia="ru-RU"/>
        </w:rPr>
      </w:pPr>
      <w:r w:rsidRPr="00375471">
        <w:rPr>
          <w:rFonts w:ascii="Times New Roman" w:eastAsia="Times New Roman" w:hAnsi="Times New Roman" w:cs="Times New Roman"/>
          <w:color w:val="000000"/>
          <w:sz w:val="32"/>
          <w:szCs w:val="32"/>
          <w:lang w:eastAsia="ru-RU"/>
        </w:rPr>
        <w:t>Таблица 1 – Изменение доли безналичных платежей в розничном секторе экономики России за 2017-2024 гг., % [1]</w:t>
      </w:r>
    </w:p>
    <w:tbl>
      <w:tblPr>
        <w:tblStyle w:val="110"/>
        <w:tblW w:w="9634" w:type="dxa"/>
        <w:tblInd w:w="0" w:type="dxa"/>
        <w:tblLook w:val="04A0" w:firstRow="1" w:lastRow="0" w:firstColumn="1" w:lastColumn="0" w:noHBand="0" w:noVBand="1"/>
      </w:tblPr>
      <w:tblGrid>
        <w:gridCol w:w="2336"/>
        <w:gridCol w:w="2336"/>
        <w:gridCol w:w="2336"/>
        <w:gridCol w:w="2626"/>
      </w:tblGrid>
      <w:tr w:rsidR="00375471" w:rsidRPr="00B41576" w14:paraId="2B877A9F" w14:textId="77777777">
        <w:tc>
          <w:tcPr>
            <w:tcW w:w="2336" w:type="dxa"/>
            <w:tcBorders>
              <w:top w:val="single" w:sz="4" w:space="0" w:color="auto"/>
              <w:left w:val="single" w:sz="4" w:space="0" w:color="auto"/>
              <w:bottom w:val="single" w:sz="4" w:space="0" w:color="auto"/>
              <w:right w:val="single" w:sz="4" w:space="0" w:color="auto"/>
            </w:tcBorders>
            <w:vAlign w:val="center"/>
            <w:hideMark/>
          </w:tcPr>
          <w:p w14:paraId="246BF652" w14:textId="77777777" w:rsidR="00375471" w:rsidRPr="00B41576" w:rsidRDefault="00375471" w:rsidP="00B41576">
            <w:pPr>
              <w:jc w:val="center"/>
              <w:rPr>
                <w:rFonts w:ascii="Times New Roman" w:eastAsia="Times New Roman" w:hAnsi="Times New Roman"/>
                <w:sz w:val="24"/>
                <w:szCs w:val="24"/>
              </w:rPr>
            </w:pPr>
            <w:r w:rsidRPr="00B41576">
              <w:rPr>
                <w:rFonts w:ascii="Times New Roman" w:eastAsia="Aptos" w:hAnsi="Times New Roman"/>
                <w:sz w:val="24"/>
                <w:szCs w:val="24"/>
              </w:rPr>
              <w:t>Тип оплаты</w:t>
            </w:r>
          </w:p>
        </w:tc>
        <w:tc>
          <w:tcPr>
            <w:tcW w:w="2336" w:type="dxa"/>
            <w:tcBorders>
              <w:top w:val="single" w:sz="4" w:space="0" w:color="auto"/>
              <w:left w:val="single" w:sz="4" w:space="0" w:color="auto"/>
              <w:bottom w:val="single" w:sz="4" w:space="0" w:color="auto"/>
              <w:right w:val="single" w:sz="4" w:space="0" w:color="auto"/>
            </w:tcBorders>
            <w:vAlign w:val="center"/>
            <w:hideMark/>
          </w:tcPr>
          <w:p w14:paraId="5CD55DBC"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2017 г.</w:t>
            </w:r>
          </w:p>
        </w:tc>
        <w:tc>
          <w:tcPr>
            <w:tcW w:w="2336" w:type="dxa"/>
            <w:tcBorders>
              <w:top w:val="single" w:sz="4" w:space="0" w:color="auto"/>
              <w:left w:val="single" w:sz="4" w:space="0" w:color="auto"/>
              <w:bottom w:val="single" w:sz="4" w:space="0" w:color="auto"/>
              <w:right w:val="single" w:sz="4" w:space="0" w:color="auto"/>
            </w:tcBorders>
            <w:vAlign w:val="center"/>
            <w:hideMark/>
          </w:tcPr>
          <w:p w14:paraId="0079ED1D"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2020 г.</w:t>
            </w:r>
          </w:p>
        </w:tc>
        <w:tc>
          <w:tcPr>
            <w:tcW w:w="2626" w:type="dxa"/>
            <w:tcBorders>
              <w:top w:val="single" w:sz="4" w:space="0" w:color="auto"/>
              <w:left w:val="single" w:sz="4" w:space="0" w:color="auto"/>
              <w:bottom w:val="single" w:sz="4" w:space="0" w:color="auto"/>
              <w:right w:val="single" w:sz="4" w:space="0" w:color="auto"/>
            </w:tcBorders>
            <w:vAlign w:val="center"/>
            <w:hideMark/>
          </w:tcPr>
          <w:p w14:paraId="608A0FA8"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2024 г.</w:t>
            </w:r>
          </w:p>
        </w:tc>
      </w:tr>
      <w:tr w:rsidR="00375471" w:rsidRPr="00B41576" w14:paraId="65F8E11F" w14:textId="77777777">
        <w:tc>
          <w:tcPr>
            <w:tcW w:w="2336" w:type="dxa"/>
            <w:tcBorders>
              <w:top w:val="single" w:sz="4" w:space="0" w:color="auto"/>
              <w:left w:val="single" w:sz="4" w:space="0" w:color="auto"/>
              <w:bottom w:val="single" w:sz="4" w:space="0" w:color="auto"/>
              <w:right w:val="single" w:sz="4" w:space="0" w:color="auto"/>
            </w:tcBorders>
            <w:vAlign w:val="center"/>
            <w:hideMark/>
          </w:tcPr>
          <w:p w14:paraId="0777FBDC"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Платежи наличными</w:t>
            </w:r>
          </w:p>
        </w:tc>
        <w:tc>
          <w:tcPr>
            <w:tcW w:w="2336" w:type="dxa"/>
            <w:tcBorders>
              <w:top w:val="single" w:sz="4" w:space="0" w:color="auto"/>
              <w:left w:val="single" w:sz="4" w:space="0" w:color="auto"/>
              <w:bottom w:val="single" w:sz="4" w:space="0" w:color="auto"/>
              <w:right w:val="single" w:sz="4" w:space="0" w:color="auto"/>
            </w:tcBorders>
            <w:vAlign w:val="center"/>
            <w:hideMark/>
          </w:tcPr>
          <w:p w14:paraId="2105CF16"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53</w:t>
            </w:r>
          </w:p>
        </w:tc>
        <w:tc>
          <w:tcPr>
            <w:tcW w:w="2336" w:type="dxa"/>
            <w:tcBorders>
              <w:top w:val="single" w:sz="4" w:space="0" w:color="auto"/>
              <w:left w:val="single" w:sz="4" w:space="0" w:color="auto"/>
              <w:bottom w:val="single" w:sz="4" w:space="0" w:color="auto"/>
              <w:right w:val="single" w:sz="4" w:space="0" w:color="auto"/>
            </w:tcBorders>
            <w:vAlign w:val="center"/>
            <w:hideMark/>
          </w:tcPr>
          <w:p w14:paraId="76E64040"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30</w:t>
            </w:r>
          </w:p>
        </w:tc>
        <w:tc>
          <w:tcPr>
            <w:tcW w:w="2626" w:type="dxa"/>
            <w:tcBorders>
              <w:top w:val="single" w:sz="4" w:space="0" w:color="auto"/>
              <w:left w:val="single" w:sz="4" w:space="0" w:color="auto"/>
              <w:bottom w:val="single" w:sz="4" w:space="0" w:color="auto"/>
              <w:right w:val="single" w:sz="4" w:space="0" w:color="auto"/>
            </w:tcBorders>
            <w:vAlign w:val="center"/>
            <w:hideMark/>
          </w:tcPr>
          <w:p w14:paraId="7A3BDF77"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14</w:t>
            </w:r>
          </w:p>
        </w:tc>
      </w:tr>
      <w:tr w:rsidR="00375471" w:rsidRPr="00B41576" w14:paraId="23170049" w14:textId="77777777">
        <w:tc>
          <w:tcPr>
            <w:tcW w:w="2336" w:type="dxa"/>
            <w:tcBorders>
              <w:top w:val="single" w:sz="4" w:space="0" w:color="auto"/>
              <w:left w:val="single" w:sz="4" w:space="0" w:color="auto"/>
              <w:bottom w:val="single" w:sz="4" w:space="0" w:color="auto"/>
              <w:right w:val="single" w:sz="4" w:space="0" w:color="auto"/>
            </w:tcBorders>
            <w:vAlign w:val="center"/>
            <w:hideMark/>
          </w:tcPr>
          <w:p w14:paraId="17E15D12"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Безналичные платежи</w:t>
            </w:r>
          </w:p>
        </w:tc>
        <w:tc>
          <w:tcPr>
            <w:tcW w:w="2336" w:type="dxa"/>
            <w:tcBorders>
              <w:top w:val="single" w:sz="4" w:space="0" w:color="auto"/>
              <w:left w:val="single" w:sz="4" w:space="0" w:color="auto"/>
              <w:bottom w:val="single" w:sz="4" w:space="0" w:color="auto"/>
              <w:right w:val="single" w:sz="4" w:space="0" w:color="auto"/>
            </w:tcBorders>
            <w:vAlign w:val="center"/>
            <w:hideMark/>
          </w:tcPr>
          <w:p w14:paraId="3BBC4A37"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47</w:t>
            </w:r>
          </w:p>
        </w:tc>
        <w:tc>
          <w:tcPr>
            <w:tcW w:w="2336" w:type="dxa"/>
            <w:tcBorders>
              <w:top w:val="single" w:sz="4" w:space="0" w:color="auto"/>
              <w:left w:val="single" w:sz="4" w:space="0" w:color="auto"/>
              <w:bottom w:val="single" w:sz="4" w:space="0" w:color="auto"/>
              <w:right w:val="single" w:sz="4" w:space="0" w:color="auto"/>
            </w:tcBorders>
            <w:vAlign w:val="center"/>
            <w:hideMark/>
          </w:tcPr>
          <w:p w14:paraId="4177EF2E"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70</w:t>
            </w:r>
          </w:p>
        </w:tc>
        <w:tc>
          <w:tcPr>
            <w:tcW w:w="2626" w:type="dxa"/>
            <w:tcBorders>
              <w:top w:val="single" w:sz="4" w:space="0" w:color="auto"/>
              <w:left w:val="single" w:sz="4" w:space="0" w:color="auto"/>
              <w:bottom w:val="single" w:sz="4" w:space="0" w:color="auto"/>
              <w:right w:val="single" w:sz="4" w:space="0" w:color="auto"/>
            </w:tcBorders>
            <w:vAlign w:val="center"/>
            <w:hideMark/>
          </w:tcPr>
          <w:p w14:paraId="311F9154" w14:textId="77777777" w:rsidR="00375471" w:rsidRPr="00B41576" w:rsidRDefault="00375471" w:rsidP="00B41576">
            <w:pPr>
              <w:jc w:val="center"/>
              <w:rPr>
                <w:rFonts w:ascii="Times New Roman" w:eastAsia="Aptos" w:hAnsi="Times New Roman"/>
                <w:sz w:val="24"/>
                <w:szCs w:val="24"/>
              </w:rPr>
            </w:pPr>
            <w:r w:rsidRPr="00B41576">
              <w:rPr>
                <w:rFonts w:ascii="Times New Roman" w:eastAsia="Aptos" w:hAnsi="Times New Roman"/>
                <w:sz w:val="24"/>
                <w:szCs w:val="24"/>
              </w:rPr>
              <w:t>86</w:t>
            </w:r>
          </w:p>
        </w:tc>
      </w:tr>
    </w:tbl>
    <w:p w14:paraId="7ED34ABE" w14:textId="77777777" w:rsidR="00375471" w:rsidRPr="00375471" w:rsidRDefault="00375471" w:rsidP="00375471">
      <w:pPr>
        <w:spacing w:after="0" w:line="240" w:lineRule="auto"/>
        <w:ind w:firstLine="851"/>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lastRenderedPageBreak/>
        <w:t>За период с 2017 по 2024 год в России наблюдается значительный сдвиг в сторону безналичных платежей при одновременном резком снижении использования наличных денег. Это отражает тенденцию цифровизации платежной системы, рост популярности электронных и мобильных платежей, а также изменение потребительских предпочтений в сторону более удобных и быстрых способов оплаты. Доля безналичных платежей почти удвоилась, а наличных сократилась более чем в три раза.</w:t>
      </w:r>
    </w:p>
    <w:p w14:paraId="681C77D1" w14:textId="77777777" w:rsidR="00375471" w:rsidRPr="00375471" w:rsidRDefault="00375471" w:rsidP="00375471">
      <w:pPr>
        <w:spacing w:after="0" w:line="240" w:lineRule="auto"/>
        <w:ind w:firstLine="851"/>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Данные таблицы 1 наглядно проиллюстрированы на рисунке 1.</w:t>
      </w:r>
    </w:p>
    <w:p w14:paraId="272D8E8E" w14:textId="77777777" w:rsidR="00375471" w:rsidRPr="00375471" w:rsidRDefault="00375471" w:rsidP="00B41576">
      <w:pPr>
        <w:spacing w:after="0" w:line="240" w:lineRule="auto"/>
        <w:jc w:val="center"/>
        <w:rPr>
          <w:rFonts w:ascii="Times New Roman" w:eastAsia="Times New Roman" w:hAnsi="Times New Roman" w:cs="Times New Roman"/>
          <w:sz w:val="32"/>
          <w:szCs w:val="32"/>
        </w:rPr>
      </w:pPr>
      <w:r w:rsidRPr="00375471">
        <w:rPr>
          <w:rFonts w:ascii="Times New Roman" w:eastAsia="Times New Roman" w:hAnsi="Times New Roman" w:cs="Times New Roman"/>
          <w:noProof/>
          <w:sz w:val="32"/>
          <w:szCs w:val="32"/>
          <w:lang w:eastAsia="ru-RU"/>
          <w14:ligatures w14:val="standardContextual"/>
        </w:rPr>
        <w:drawing>
          <wp:inline distT="0" distB="0" distL="0" distR="0" wp14:anchorId="479D4767" wp14:editId="77C925B6">
            <wp:extent cx="6118860" cy="2819400"/>
            <wp:effectExtent l="0" t="0" r="0" b="0"/>
            <wp:docPr id="1354345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18860" cy="2819400"/>
                    </a:xfrm>
                    <a:prstGeom prst="rect">
                      <a:avLst/>
                    </a:prstGeom>
                    <a:noFill/>
                    <a:ln>
                      <a:noFill/>
                    </a:ln>
                  </pic:spPr>
                </pic:pic>
              </a:graphicData>
            </a:graphic>
          </wp:inline>
        </w:drawing>
      </w:r>
    </w:p>
    <w:p w14:paraId="19C29A35" w14:textId="77777777" w:rsidR="00375471" w:rsidRPr="00375471" w:rsidRDefault="00375471" w:rsidP="00375471">
      <w:pPr>
        <w:spacing w:after="0" w:line="240" w:lineRule="auto"/>
        <w:ind w:firstLine="851"/>
        <w:jc w:val="center"/>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 xml:space="preserve">Рисунок 1 - </w:t>
      </w:r>
      <w:r w:rsidRPr="00375471">
        <w:rPr>
          <w:rFonts w:ascii="Times New Roman" w:eastAsia="Times New Roman" w:hAnsi="Times New Roman" w:cs="Times New Roman"/>
          <w:color w:val="000000"/>
          <w:sz w:val="32"/>
          <w:szCs w:val="32"/>
          <w:lang w:eastAsia="ru-RU"/>
        </w:rPr>
        <w:t>Изменение доли безналичных платежей в розничном секторе экономики России за 2017-2024 гг., %</w:t>
      </w:r>
    </w:p>
    <w:p w14:paraId="59A294B5" w14:textId="77777777" w:rsidR="00375471" w:rsidRPr="00375471" w:rsidRDefault="00375471" w:rsidP="00375471">
      <w:pPr>
        <w:spacing w:after="0" w:line="240" w:lineRule="auto"/>
        <w:ind w:firstLine="851"/>
        <w:jc w:val="both"/>
        <w:rPr>
          <w:rFonts w:ascii="Times New Roman" w:eastAsia="Times New Roman" w:hAnsi="Times New Roman" w:cs="Times New Roman"/>
          <w:sz w:val="32"/>
          <w:szCs w:val="32"/>
        </w:rPr>
      </w:pPr>
    </w:p>
    <w:p w14:paraId="4D2FB919" w14:textId="77777777" w:rsidR="00375471" w:rsidRPr="00375471" w:rsidRDefault="00375471" w:rsidP="00B41576">
      <w:pPr>
        <w:spacing w:after="0" w:line="240" w:lineRule="auto"/>
        <w:ind w:firstLine="709"/>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Для обоснования необходимости популяризации безналичных платежей в розничной торговле рассмотрим проблемы, связанные с использованием наличного способа расчета:</w:t>
      </w:r>
    </w:p>
    <w:p w14:paraId="3ADCC9A7" w14:textId="3F1B7214" w:rsidR="00375471" w:rsidRPr="00B41576" w:rsidRDefault="00375471" w:rsidP="00AD58CD">
      <w:pPr>
        <w:pStyle w:val="a8"/>
        <w:numPr>
          <w:ilvl w:val="0"/>
          <w:numId w:val="265"/>
        </w:numPr>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большие издержки при обработке наличных средств как для предприятий, так и для банковской системы, которые заключаются в необходимости обслуживать наличные расчеты граждан и поддерживать для этого соответствующую инфраструктуру;</w:t>
      </w:r>
    </w:p>
    <w:p w14:paraId="4330CFC7" w14:textId="1AF43459" w:rsidR="00375471" w:rsidRPr="00B41576" w:rsidRDefault="00375471" w:rsidP="00AD58CD">
      <w:pPr>
        <w:pStyle w:val="a8"/>
        <w:numPr>
          <w:ilvl w:val="0"/>
          <w:numId w:val="265"/>
        </w:numPr>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повышенные риски безопасности для бизнеса и потребителей, связанные с потенциальными кражами наличных средств из касс розничных магазинов, что приводит к финансовым потерям и создаёт угрозу для сотрудников, работающих с наличными деньгами;</w:t>
      </w:r>
    </w:p>
    <w:p w14:paraId="429FE367" w14:textId="2588EDF6" w:rsidR="00375471" w:rsidRPr="00B41576" w:rsidRDefault="00375471" w:rsidP="00AD58CD">
      <w:pPr>
        <w:pStyle w:val="a8"/>
        <w:numPr>
          <w:ilvl w:val="0"/>
          <w:numId w:val="265"/>
        </w:numPr>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 xml:space="preserve">дополнительные затраты на установку систем видеонаблюдения, сигнализации и другого оборудования, направленного на контроль за оборотом наличных средств, а также </w:t>
      </w:r>
      <w:r w:rsidRPr="00B41576">
        <w:rPr>
          <w:rFonts w:ascii="Times New Roman" w:eastAsia="Times New Roman" w:hAnsi="Times New Roman" w:cs="Times New Roman"/>
          <w:sz w:val="32"/>
          <w:szCs w:val="32"/>
        </w:rPr>
        <w:lastRenderedPageBreak/>
        <w:t>необходимость тщательного обучения персонала, что увеличивает общие затраты бизнеса;</w:t>
      </w:r>
    </w:p>
    <w:p w14:paraId="0AE3C5A8" w14:textId="111DAF9E" w:rsidR="00375471" w:rsidRPr="00B41576" w:rsidRDefault="00375471" w:rsidP="00AD58CD">
      <w:pPr>
        <w:pStyle w:val="a8"/>
        <w:numPr>
          <w:ilvl w:val="0"/>
          <w:numId w:val="265"/>
        </w:numPr>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снижение прозрачности финансовых операций, что в свою очередь может способствовать уклонению от уплаты налогов и другим формам финансовых нарушений.</w:t>
      </w:r>
    </w:p>
    <w:p w14:paraId="5F226C56" w14:textId="77777777" w:rsidR="00375471" w:rsidRPr="00375471" w:rsidRDefault="00375471" w:rsidP="00B41576">
      <w:pPr>
        <w:spacing w:after="0" w:line="240" w:lineRule="auto"/>
        <w:ind w:firstLine="709"/>
        <w:jc w:val="both"/>
        <w:rPr>
          <w:rFonts w:ascii="Times New Roman" w:eastAsia="Aptos" w:hAnsi="Times New Roman" w:cs="Times New Roman"/>
          <w:kern w:val="2"/>
          <w:sz w:val="32"/>
          <w:szCs w:val="32"/>
          <w14:ligatures w14:val="standardContextual"/>
        </w:rPr>
      </w:pPr>
      <w:r w:rsidRPr="00375471">
        <w:rPr>
          <w:rFonts w:ascii="Times New Roman" w:eastAsia="Aptos" w:hAnsi="Times New Roman" w:cs="Times New Roman"/>
          <w:kern w:val="2"/>
          <w:sz w:val="32"/>
          <w:szCs w:val="32"/>
          <w14:ligatures w14:val="standardContextual"/>
        </w:rPr>
        <w:t>Все это затрудняет контроль доходов и расходов, снижает доверие к бизнесу со стороны контрагентов и регулирующих органов, а также создает препятствия для привлечения инвестиций. Кроме того, отсутствие прозрачности может привести к финансовым рискам для самих предприятий, так как усложняет управление денежными потоками, отслеживание эффективности бизнес-процессов и ведение финансовой отчётности.</w:t>
      </w:r>
    </w:p>
    <w:p w14:paraId="46A302D2" w14:textId="77777777" w:rsidR="00375471" w:rsidRPr="00375471" w:rsidRDefault="00375471" w:rsidP="00B41576">
      <w:pPr>
        <w:spacing w:after="0" w:line="240" w:lineRule="auto"/>
        <w:ind w:firstLine="709"/>
        <w:jc w:val="both"/>
        <w:rPr>
          <w:rFonts w:ascii="Times New Roman" w:eastAsia="Aptos" w:hAnsi="Times New Roman" w:cs="Times New Roman"/>
          <w:kern w:val="2"/>
          <w:sz w:val="32"/>
          <w:szCs w:val="32"/>
          <w14:ligatures w14:val="standardContextual"/>
        </w:rPr>
      </w:pPr>
      <w:r w:rsidRPr="00375471">
        <w:rPr>
          <w:rFonts w:ascii="Times New Roman" w:eastAsia="Aptos" w:hAnsi="Times New Roman" w:cs="Times New Roman"/>
          <w:kern w:val="2"/>
          <w:sz w:val="32"/>
          <w:szCs w:val="32"/>
          <w14:ligatures w14:val="standardContextual"/>
        </w:rPr>
        <w:t>Решением может стать цифровизация, которая в контексте платежных систем позволяет упростить и ускорить проведение транзакций, обеспечивая доступ к инновационным способам оплаты.</w:t>
      </w:r>
    </w:p>
    <w:p w14:paraId="76B01B7C" w14:textId="77777777" w:rsidR="00375471" w:rsidRPr="00375471" w:rsidRDefault="00375471" w:rsidP="00B41576">
      <w:pPr>
        <w:spacing w:after="0" w:line="240" w:lineRule="auto"/>
        <w:ind w:firstLine="709"/>
        <w:jc w:val="both"/>
        <w:rPr>
          <w:rFonts w:ascii="Times New Roman" w:eastAsia="Aptos" w:hAnsi="Times New Roman" w:cs="Times New Roman"/>
          <w:kern w:val="2"/>
          <w:sz w:val="32"/>
          <w:szCs w:val="32"/>
          <w14:ligatures w14:val="standardContextual"/>
        </w:rPr>
      </w:pPr>
      <w:r w:rsidRPr="00375471">
        <w:rPr>
          <w:rFonts w:ascii="Times New Roman" w:eastAsia="Aptos" w:hAnsi="Times New Roman" w:cs="Times New Roman"/>
          <w:kern w:val="2"/>
          <w:sz w:val="32"/>
          <w:szCs w:val="32"/>
          <w14:ligatures w14:val="standardContextual"/>
        </w:rPr>
        <w:t>Полезно также рассмотреть и проанализировать зарубежный опыт популяризации безналичных платежей. На примере Южной Кореи можно отметить эффективные законодательные меры, направленные на поддержание использования банковских карт и мобильных приложений, предлагая налоговые льготы и другие стимулы для пользователей безналичных расчетов.</w:t>
      </w:r>
    </w:p>
    <w:p w14:paraId="5D1B6526" w14:textId="77777777" w:rsidR="00375471" w:rsidRPr="00375471" w:rsidRDefault="00375471" w:rsidP="00B41576">
      <w:pPr>
        <w:spacing w:after="0" w:line="240" w:lineRule="auto"/>
        <w:ind w:firstLine="709"/>
        <w:jc w:val="both"/>
        <w:rPr>
          <w:rFonts w:ascii="Times New Roman" w:eastAsia="Aptos" w:hAnsi="Times New Roman" w:cs="Times New Roman"/>
          <w:kern w:val="2"/>
          <w:sz w:val="32"/>
          <w:szCs w:val="32"/>
          <w14:ligatures w14:val="standardContextual"/>
        </w:rPr>
      </w:pPr>
      <w:r w:rsidRPr="00375471">
        <w:rPr>
          <w:rFonts w:ascii="Times New Roman" w:eastAsia="Aptos" w:hAnsi="Times New Roman" w:cs="Times New Roman"/>
          <w:kern w:val="2"/>
          <w:sz w:val="32"/>
          <w:szCs w:val="32"/>
          <w14:ligatures w14:val="standardContextual"/>
        </w:rPr>
        <w:t xml:space="preserve">В Китае активно развивающиеся платформы </w:t>
      </w:r>
      <w:r w:rsidRPr="00375471">
        <w:rPr>
          <w:rFonts w:ascii="Times New Roman" w:eastAsia="Aptos" w:hAnsi="Times New Roman" w:cs="Times New Roman"/>
          <w:kern w:val="2"/>
          <w:sz w:val="32"/>
          <w:szCs w:val="32"/>
          <w:lang w:val="en-US"/>
          <w14:ligatures w14:val="standardContextual"/>
        </w:rPr>
        <w:t>AliPay</w:t>
      </w:r>
      <w:r w:rsidRPr="00375471">
        <w:rPr>
          <w:rFonts w:ascii="Times New Roman" w:eastAsia="Aptos" w:hAnsi="Times New Roman" w:cs="Times New Roman"/>
          <w:kern w:val="2"/>
          <w:sz w:val="32"/>
          <w:szCs w:val="32"/>
          <w14:ligatures w14:val="standardContextual"/>
        </w:rPr>
        <w:t xml:space="preserve"> и </w:t>
      </w:r>
      <w:r w:rsidRPr="00375471">
        <w:rPr>
          <w:rFonts w:ascii="Times New Roman" w:eastAsia="Aptos" w:hAnsi="Times New Roman" w:cs="Times New Roman"/>
          <w:kern w:val="2"/>
          <w:sz w:val="32"/>
          <w:szCs w:val="32"/>
          <w:lang w:val="en-US"/>
          <w14:ligatures w14:val="standardContextual"/>
        </w:rPr>
        <w:t>WeChat</w:t>
      </w:r>
      <w:r w:rsidRPr="00375471">
        <w:rPr>
          <w:rFonts w:ascii="Times New Roman" w:eastAsia="Aptos" w:hAnsi="Times New Roman" w:cs="Times New Roman"/>
          <w:kern w:val="2"/>
          <w:sz w:val="32"/>
          <w:szCs w:val="32"/>
          <w14:ligatures w14:val="standardContextual"/>
        </w:rPr>
        <w:t xml:space="preserve">, на которые приходится более 80% всех розничных платежей в стране, представляют собой многофункциональные приложения, позволяющие осуществлять беспроцентные переводы денежных средств другим пользователям с помощью «красных конвертов». </w:t>
      </w:r>
    </w:p>
    <w:p w14:paraId="7F043B71" w14:textId="77777777" w:rsidR="00375471" w:rsidRPr="00375471" w:rsidRDefault="00375471" w:rsidP="00B41576">
      <w:pPr>
        <w:spacing w:after="0" w:line="240" w:lineRule="auto"/>
        <w:ind w:firstLine="709"/>
        <w:jc w:val="both"/>
        <w:rPr>
          <w:rFonts w:ascii="Times New Roman" w:eastAsia="Aptos" w:hAnsi="Times New Roman" w:cs="Times New Roman"/>
          <w:kern w:val="2"/>
          <w:sz w:val="32"/>
          <w:szCs w:val="32"/>
          <w14:ligatures w14:val="standardContextual"/>
        </w:rPr>
      </w:pPr>
      <w:r w:rsidRPr="00375471">
        <w:rPr>
          <w:rFonts w:ascii="Times New Roman" w:eastAsia="Aptos" w:hAnsi="Times New Roman" w:cs="Times New Roman"/>
          <w:kern w:val="2"/>
          <w:sz w:val="32"/>
          <w:szCs w:val="32"/>
          <w14:ligatures w14:val="standardContextual"/>
        </w:rPr>
        <w:t>Данная функция нашла широкое применение среди граждан Китая за счет использования древней традиции страны, в которой испокон веков люди привыкли дарить близким на праздники и торжества денежные средства именно в красных конвертах.</w:t>
      </w:r>
    </w:p>
    <w:p w14:paraId="606959AE" w14:textId="77777777" w:rsidR="00375471" w:rsidRPr="00375471" w:rsidRDefault="00375471" w:rsidP="00B41576">
      <w:pPr>
        <w:spacing w:after="0" w:line="240" w:lineRule="auto"/>
        <w:ind w:firstLine="709"/>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Опыт и успешные практики этих стран в сфере розничной торговли показали свою эффективность и могут быть применены в российских реалиях.</w:t>
      </w:r>
    </w:p>
    <w:p w14:paraId="44A25D53" w14:textId="77777777" w:rsidR="00375471" w:rsidRPr="00375471" w:rsidRDefault="00375471" w:rsidP="00B41576">
      <w:pPr>
        <w:tabs>
          <w:tab w:val="left" w:pos="993"/>
        </w:tabs>
        <w:spacing w:after="0" w:line="240" w:lineRule="auto"/>
        <w:ind w:firstLine="709"/>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Вместе с тем на основе анализа уже можно дать ряд практических рекомендаций для ускорения процесса цифровизации и распространения безналичных платежей в розничном секторе экономики России:</w:t>
      </w:r>
    </w:p>
    <w:p w14:paraId="23E30F52" w14:textId="5C6DCCB3" w:rsidR="00375471" w:rsidRPr="00B41576" w:rsidRDefault="00375471" w:rsidP="00AD58CD">
      <w:pPr>
        <w:pStyle w:val="a8"/>
        <w:numPr>
          <w:ilvl w:val="0"/>
          <w:numId w:val="264"/>
        </w:numPr>
        <w:tabs>
          <w:tab w:val="left" w:pos="993"/>
        </w:tabs>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 xml:space="preserve">необходимость вкладываться с разработку методических указаний и обеспечивать высокий уровень подготовки персонала для </w:t>
      </w:r>
      <w:r w:rsidRPr="00B41576">
        <w:rPr>
          <w:rFonts w:ascii="Times New Roman" w:eastAsia="Times New Roman" w:hAnsi="Times New Roman" w:cs="Times New Roman"/>
          <w:sz w:val="32"/>
          <w:szCs w:val="32"/>
        </w:rPr>
        <w:lastRenderedPageBreak/>
        <w:t>работы с современными платёжными системами, формирование у них понимания функционала и преимуществ безналичной оплаты для того, чтобы более понятно доносить информацию до конечных потребителей;</w:t>
      </w:r>
    </w:p>
    <w:p w14:paraId="58CF9248" w14:textId="7B52D5D3" w:rsidR="00375471" w:rsidRPr="00B41576" w:rsidRDefault="00375471" w:rsidP="00AD58CD">
      <w:pPr>
        <w:pStyle w:val="a8"/>
        <w:numPr>
          <w:ilvl w:val="0"/>
          <w:numId w:val="264"/>
        </w:numPr>
        <w:tabs>
          <w:tab w:val="left" w:pos="993"/>
        </w:tabs>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 xml:space="preserve">массовое внедрение технологий, таких как терминалы для приёма карт, расширение сети банкоматов (АТМ), создание и совершенствование удобства использования банковских приложений, платформ </w:t>
      </w:r>
      <w:r w:rsidRPr="00B41576">
        <w:rPr>
          <w:rFonts w:ascii="Times New Roman" w:eastAsia="Times New Roman" w:hAnsi="Times New Roman" w:cs="Times New Roman"/>
          <w:sz w:val="32"/>
          <w:szCs w:val="32"/>
          <w:lang w:val="en-US"/>
        </w:rPr>
        <w:t>SMS</w:t>
      </w:r>
      <w:r w:rsidRPr="00B41576">
        <w:rPr>
          <w:rFonts w:ascii="Times New Roman" w:eastAsia="Times New Roman" w:hAnsi="Times New Roman" w:cs="Times New Roman"/>
          <w:sz w:val="32"/>
          <w:szCs w:val="32"/>
        </w:rPr>
        <w:t xml:space="preserve"> и онлайн-банкинга;</w:t>
      </w:r>
    </w:p>
    <w:p w14:paraId="2E2BB7AA" w14:textId="33E207F3" w:rsidR="00375471" w:rsidRPr="00B41576" w:rsidRDefault="00375471" w:rsidP="00AD58CD">
      <w:pPr>
        <w:pStyle w:val="a8"/>
        <w:numPr>
          <w:ilvl w:val="0"/>
          <w:numId w:val="264"/>
        </w:numPr>
        <w:tabs>
          <w:tab w:val="left" w:pos="993"/>
        </w:tabs>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создание технологической инфраструктуры на базе отечественного программного обеспечения для предоставления бесперебойного и независимого от внешнеполитических факторов доступа населения к безналичным финансовым услугам;</w:t>
      </w:r>
    </w:p>
    <w:p w14:paraId="5E31B0A0" w14:textId="0157B858" w:rsidR="00375471" w:rsidRPr="00B41576" w:rsidRDefault="00375471" w:rsidP="00AD58CD">
      <w:pPr>
        <w:pStyle w:val="a8"/>
        <w:numPr>
          <w:ilvl w:val="0"/>
          <w:numId w:val="264"/>
        </w:numPr>
        <w:tabs>
          <w:tab w:val="left" w:pos="993"/>
        </w:tabs>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разработка понятных и выгодных для массового потребителя маркетинговых стратегий, программ лояльности и бонусных акций, направленных на популяризацию оплат товаров и услуг в сфере розничной торговли с использованием систем безналичной оплаты;</w:t>
      </w:r>
    </w:p>
    <w:p w14:paraId="3351C8FC" w14:textId="1D47AAE3" w:rsidR="00375471" w:rsidRPr="00B41576" w:rsidRDefault="00375471" w:rsidP="00AD58CD">
      <w:pPr>
        <w:pStyle w:val="a8"/>
        <w:numPr>
          <w:ilvl w:val="0"/>
          <w:numId w:val="264"/>
        </w:numPr>
        <w:tabs>
          <w:tab w:val="left" w:pos="993"/>
        </w:tabs>
        <w:spacing w:after="0" w:line="240" w:lineRule="auto"/>
        <w:ind w:left="0" w:firstLine="709"/>
        <w:jc w:val="both"/>
        <w:rPr>
          <w:rFonts w:ascii="Times New Roman" w:eastAsia="Times New Roman" w:hAnsi="Times New Roman" w:cs="Times New Roman"/>
          <w:sz w:val="32"/>
          <w:szCs w:val="32"/>
        </w:rPr>
      </w:pPr>
      <w:r w:rsidRPr="00B41576">
        <w:rPr>
          <w:rFonts w:ascii="Times New Roman" w:eastAsia="Times New Roman" w:hAnsi="Times New Roman" w:cs="Times New Roman"/>
          <w:sz w:val="32"/>
          <w:szCs w:val="32"/>
        </w:rPr>
        <w:t xml:space="preserve">инвестиции в инновации, поддержание и модернизацию существующей инфраструктуры, что в свою очередь способствует смене платежных привычек и привлечению новых пользователей в системы безналичных переводов. </w:t>
      </w:r>
    </w:p>
    <w:p w14:paraId="639843BC" w14:textId="77777777" w:rsidR="00375471" w:rsidRPr="00375471" w:rsidRDefault="00375471" w:rsidP="00B41576">
      <w:pPr>
        <w:tabs>
          <w:tab w:val="left" w:pos="993"/>
        </w:tabs>
        <w:spacing w:after="0" w:line="240" w:lineRule="auto"/>
        <w:ind w:firstLine="709"/>
        <w:jc w:val="both"/>
        <w:rPr>
          <w:rFonts w:ascii="Times New Roman" w:eastAsia="Times New Roman" w:hAnsi="Times New Roman" w:cs="Times New Roman"/>
          <w:sz w:val="32"/>
          <w:szCs w:val="32"/>
        </w:rPr>
      </w:pPr>
      <w:r w:rsidRPr="00375471">
        <w:rPr>
          <w:rFonts w:ascii="Times New Roman" w:eastAsia="Times New Roman" w:hAnsi="Times New Roman" w:cs="Times New Roman"/>
          <w:sz w:val="32"/>
          <w:szCs w:val="32"/>
        </w:rPr>
        <w:t>Таким образом, проанализировав все показатели, можно сделать вывод об эффективности применяющихся способов снижения доли безналичных платежей в розничном секторе экономики России. Однако вместе с тем существует ряд проблем, которые только предстоит решить в будущем. На сегодняшний день главной задачей является повышение доступности и привлекательности безналичных платежей для покупателей и продавцов в розничном секторе экономики России. Для решения поставленной задачи необходимо увеличивать количество терминалов бесконтактной оплаты, особенно в малонаселённых пунктах, разрабатывать бонусные программы, предоставлять налоговые льготы и субсидии при использовании безналичной оплаты в розничной торговле.</w:t>
      </w:r>
    </w:p>
    <w:p w14:paraId="55C352B2" w14:textId="77777777" w:rsidR="00AF77FA" w:rsidRDefault="00AF77FA" w:rsidP="00AF77FA">
      <w:pPr>
        <w:shd w:val="clear" w:color="auto" w:fill="FFFFFF"/>
        <w:spacing w:after="0" w:line="240" w:lineRule="auto"/>
        <w:ind w:firstLine="567"/>
        <w:jc w:val="center"/>
        <w:rPr>
          <w:rFonts w:ascii="Times New Roman" w:eastAsia="Times New Roman" w:hAnsi="Times New Roman" w:cs="Times New Roman"/>
          <w:b/>
          <w:bCs/>
          <w:color w:val="000000"/>
          <w:sz w:val="21"/>
          <w:szCs w:val="21"/>
          <w:lang w:eastAsia="ru-RU"/>
        </w:rPr>
      </w:pPr>
    </w:p>
    <w:p w14:paraId="636B7B7B" w14:textId="553B0F35" w:rsidR="00375471" w:rsidRPr="00375471" w:rsidRDefault="00375471" w:rsidP="00AF77FA">
      <w:pPr>
        <w:shd w:val="clear" w:color="auto" w:fill="FFFFFF"/>
        <w:spacing w:after="0" w:line="240" w:lineRule="auto"/>
        <w:ind w:firstLine="567"/>
        <w:jc w:val="center"/>
        <w:rPr>
          <w:rFonts w:ascii="Times New Roman" w:eastAsia="Times New Roman" w:hAnsi="Times New Roman" w:cs="Times New Roman"/>
          <w:color w:val="000000"/>
          <w:sz w:val="21"/>
          <w:szCs w:val="21"/>
          <w:lang w:eastAsia="ru-RU"/>
        </w:rPr>
      </w:pPr>
      <w:r w:rsidRPr="00375471">
        <w:rPr>
          <w:rFonts w:ascii="Times New Roman" w:eastAsia="Times New Roman" w:hAnsi="Times New Roman" w:cs="Times New Roman"/>
          <w:b/>
          <w:bCs/>
          <w:color w:val="000000"/>
          <w:sz w:val="21"/>
          <w:szCs w:val="21"/>
          <w:lang w:eastAsia="ru-RU"/>
        </w:rPr>
        <w:t>Литература:</w:t>
      </w:r>
    </w:p>
    <w:p w14:paraId="2D6D0503" w14:textId="77777777" w:rsidR="00375471" w:rsidRPr="00375471" w:rsidRDefault="00375471" w:rsidP="00AD58CD">
      <w:pPr>
        <w:numPr>
          <w:ilvl w:val="0"/>
          <w:numId w:val="207"/>
        </w:numPr>
        <w:tabs>
          <w:tab w:val="clear" w:pos="720"/>
          <w:tab w:val="num" w:pos="426"/>
        </w:tabs>
        <w:spacing w:after="0" w:line="240" w:lineRule="auto"/>
        <w:ind w:left="0" w:firstLine="0"/>
        <w:jc w:val="both"/>
        <w:rPr>
          <w:rFonts w:ascii="Times New Roman" w:eastAsia="Times New Roman" w:hAnsi="Times New Roman" w:cs="Times New Roman"/>
          <w:color w:val="000000"/>
          <w:sz w:val="21"/>
          <w:szCs w:val="21"/>
          <w:u w:val="single"/>
          <w:lang w:eastAsia="ru-RU"/>
        </w:rPr>
      </w:pPr>
      <w:r w:rsidRPr="00375471">
        <w:rPr>
          <w:rFonts w:ascii="Times New Roman" w:eastAsia="Times New Roman" w:hAnsi="Times New Roman" w:cs="Times New Roman"/>
          <w:color w:val="000000"/>
          <w:sz w:val="21"/>
          <w:szCs w:val="21"/>
          <w:lang w:eastAsia="ru-RU"/>
        </w:rPr>
        <w:t xml:space="preserve">Итоги работы Банка России: коротко о главном. </w:t>
      </w:r>
      <w:r w:rsidRPr="00375471">
        <w:rPr>
          <w:rFonts w:ascii="Times New Roman" w:eastAsia="Times New Roman" w:hAnsi="Times New Roman" w:cs="Times New Roman"/>
          <w:color w:val="000000"/>
          <w:sz w:val="21"/>
          <w:szCs w:val="21"/>
          <w:lang w:val="en-US" w:eastAsia="ru-RU"/>
        </w:rPr>
        <w:t>URL</w:t>
      </w:r>
      <w:r w:rsidRPr="00375471">
        <w:rPr>
          <w:rFonts w:ascii="Times New Roman" w:eastAsia="Times New Roman" w:hAnsi="Times New Roman" w:cs="Times New Roman"/>
          <w:color w:val="000000"/>
          <w:sz w:val="21"/>
          <w:szCs w:val="21"/>
          <w:lang w:eastAsia="ru-RU"/>
        </w:rPr>
        <w:t xml:space="preserve">: </w:t>
      </w:r>
      <w:hyperlink r:id="rId106" w:history="1">
        <w:r w:rsidRPr="00375471">
          <w:rPr>
            <w:rFonts w:ascii="Times New Roman" w:eastAsia="Times New Roman" w:hAnsi="Times New Roman" w:cs="Times New Roman"/>
            <w:color w:val="467886"/>
            <w:sz w:val="21"/>
            <w:szCs w:val="21"/>
            <w:u w:val="single"/>
            <w:lang w:val="en-US" w:eastAsia="ru-RU"/>
          </w:rPr>
          <w:t>https</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cbr</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ru</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about</w:t>
        </w:r>
        <w:r w:rsidRPr="00375471">
          <w:rPr>
            <w:rFonts w:ascii="Times New Roman" w:eastAsia="Times New Roman" w:hAnsi="Times New Roman" w:cs="Times New Roman"/>
            <w:color w:val="467886"/>
            <w:sz w:val="21"/>
            <w:szCs w:val="21"/>
            <w:u w:val="single"/>
            <w:lang w:eastAsia="ru-RU"/>
          </w:rPr>
          <w:t>_</w:t>
        </w:r>
        <w:r w:rsidRPr="00375471">
          <w:rPr>
            <w:rFonts w:ascii="Times New Roman" w:eastAsia="Times New Roman" w:hAnsi="Times New Roman" w:cs="Times New Roman"/>
            <w:color w:val="467886"/>
            <w:sz w:val="21"/>
            <w:szCs w:val="21"/>
            <w:u w:val="single"/>
            <w:lang w:val="en-US" w:eastAsia="ru-RU"/>
          </w:rPr>
          <w:t>br</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publ</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results</w:t>
        </w:r>
        <w:r w:rsidRPr="00375471">
          <w:rPr>
            <w:rFonts w:ascii="Times New Roman" w:eastAsia="Times New Roman" w:hAnsi="Times New Roman" w:cs="Times New Roman"/>
            <w:color w:val="467886"/>
            <w:sz w:val="21"/>
            <w:szCs w:val="21"/>
            <w:u w:val="single"/>
            <w:lang w:eastAsia="ru-RU"/>
          </w:rPr>
          <w:t>_</w:t>
        </w:r>
        <w:r w:rsidRPr="00375471">
          <w:rPr>
            <w:rFonts w:ascii="Times New Roman" w:eastAsia="Times New Roman" w:hAnsi="Times New Roman" w:cs="Times New Roman"/>
            <w:color w:val="467886"/>
            <w:sz w:val="21"/>
            <w:szCs w:val="21"/>
            <w:u w:val="single"/>
            <w:lang w:val="en-US" w:eastAsia="ru-RU"/>
          </w:rPr>
          <w:t>work</w:t>
        </w:r>
        <w:r w:rsidRPr="00375471">
          <w:rPr>
            <w:rFonts w:ascii="Times New Roman" w:eastAsia="Times New Roman" w:hAnsi="Times New Roman" w:cs="Times New Roman"/>
            <w:color w:val="467886"/>
            <w:sz w:val="21"/>
            <w:szCs w:val="21"/>
            <w:u w:val="single"/>
            <w:lang w:eastAsia="ru-RU"/>
          </w:rPr>
          <w:t>/2024/</w:t>
        </w:r>
        <w:r w:rsidRPr="00375471">
          <w:rPr>
            <w:rFonts w:ascii="Times New Roman" w:eastAsia="Times New Roman" w:hAnsi="Times New Roman" w:cs="Times New Roman"/>
            <w:color w:val="467886"/>
            <w:sz w:val="21"/>
            <w:szCs w:val="21"/>
            <w:u w:val="single"/>
            <w:lang w:val="en-US" w:eastAsia="ru-RU"/>
          </w:rPr>
          <w:t>razvitie</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sistemy</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platezhey</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i</w:t>
        </w:r>
        <w:r w:rsidRPr="00375471">
          <w:rPr>
            <w:rFonts w:ascii="Times New Roman" w:eastAsia="Times New Roman" w:hAnsi="Times New Roman" w:cs="Times New Roman"/>
            <w:color w:val="467886"/>
            <w:sz w:val="21"/>
            <w:szCs w:val="21"/>
            <w:u w:val="single"/>
            <w:lang w:eastAsia="ru-RU"/>
          </w:rPr>
          <w:t>-</w:t>
        </w:r>
        <w:r w:rsidRPr="00375471">
          <w:rPr>
            <w:rFonts w:ascii="Times New Roman" w:eastAsia="Times New Roman" w:hAnsi="Times New Roman" w:cs="Times New Roman"/>
            <w:color w:val="467886"/>
            <w:sz w:val="21"/>
            <w:szCs w:val="21"/>
            <w:u w:val="single"/>
            <w:lang w:val="en-US" w:eastAsia="ru-RU"/>
          </w:rPr>
          <w:t>raschetov</w:t>
        </w:r>
        <w:r w:rsidRPr="00375471">
          <w:rPr>
            <w:rFonts w:ascii="Times New Roman" w:eastAsia="Times New Roman" w:hAnsi="Times New Roman" w:cs="Times New Roman"/>
            <w:color w:val="467886"/>
            <w:sz w:val="21"/>
            <w:szCs w:val="21"/>
            <w:u w:val="single"/>
            <w:lang w:eastAsia="ru-RU"/>
          </w:rPr>
          <w:t>/</w:t>
        </w:r>
      </w:hyperlink>
      <w:r w:rsidRPr="00375471">
        <w:rPr>
          <w:rFonts w:ascii="Times New Roman" w:eastAsia="Times New Roman" w:hAnsi="Times New Roman" w:cs="Times New Roman"/>
          <w:color w:val="000000"/>
          <w:sz w:val="21"/>
          <w:szCs w:val="21"/>
          <w:u w:val="single"/>
          <w:lang w:eastAsia="ru-RU"/>
        </w:rPr>
        <w:t xml:space="preserve"> </w:t>
      </w:r>
      <w:r w:rsidRPr="00375471">
        <w:rPr>
          <w:rFonts w:ascii="Times New Roman" w:eastAsia="Times New Roman" w:hAnsi="Times New Roman" w:cs="Times New Roman"/>
          <w:color w:val="000000"/>
          <w:sz w:val="21"/>
          <w:szCs w:val="21"/>
          <w:lang w:eastAsia="ru-RU"/>
        </w:rPr>
        <w:t>(дата обращения: 10.05.2025).</w:t>
      </w:r>
    </w:p>
    <w:p w14:paraId="4A660A13" w14:textId="50C1102E" w:rsidR="00B41576" w:rsidRDefault="00B41576">
      <w:pPr>
        <w:rPr>
          <w:rFonts w:ascii="Times New Roman" w:eastAsia="Times New Roman" w:hAnsi="Times New Roman" w:cs="Times New Roman"/>
          <w:bCs/>
          <w:sz w:val="21"/>
          <w:szCs w:val="21"/>
          <w:shd w:val="clear" w:color="auto" w:fill="FFFFFF"/>
          <w:lang w:eastAsia="ar-SA"/>
        </w:rPr>
      </w:pPr>
      <w:r>
        <w:rPr>
          <w:rFonts w:ascii="Times New Roman" w:eastAsia="Times New Roman" w:hAnsi="Times New Roman" w:cs="Times New Roman"/>
          <w:bCs/>
          <w:sz w:val="21"/>
          <w:szCs w:val="21"/>
          <w:shd w:val="clear" w:color="auto" w:fill="FFFFFF"/>
          <w:lang w:eastAsia="ar-SA"/>
        </w:rPr>
        <w:br w:type="page"/>
      </w:r>
    </w:p>
    <w:p w14:paraId="3AD9E0D7" w14:textId="77777777" w:rsidR="00877DE5" w:rsidRPr="002679E0" w:rsidRDefault="00877DE5" w:rsidP="00C465D4">
      <w:pPr>
        <w:pStyle w:val="Standard"/>
        <w:rPr>
          <w:rFonts w:ascii="Times New Roman" w:eastAsia="Times New Roman" w:hAnsi="Times New Roman" w:cs="Times New Roman"/>
          <w:b/>
          <w:color w:val="000000"/>
          <w:kern w:val="0"/>
          <w:sz w:val="21"/>
          <w:szCs w:val="21"/>
          <w:lang w:eastAsia="ar-SA" w:bidi="ar-SA"/>
        </w:rPr>
      </w:pPr>
      <w:r w:rsidRPr="002679E0">
        <w:rPr>
          <w:rFonts w:ascii="Times New Roman" w:eastAsia="Times New Roman" w:hAnsi="Times New Roman" w:cs="Times New Roman"/>
          <w:b/>
          <w:color w:val="000000"/>
          <w:kern w:val="0"/>
          <w:sz w:val="21"/>
          <w:szCs w:val="21"/>
          <w:lang w:eastAsia="ar-SA" w:bidi="ar-SA"/>
        </w:rPr>
        <w:lastRenderedPageBreak/>
        <w:t>УДК</w:t>
      </w:r>
      <w:r>
        <w:rPr>
          <w:rFonts w:ascii="Times New Roman" w:eastAsia="Times New Roman" w:hAnsi="Times New Roman" w:cs="Times New Roman"/>
          <w:b/>
          <w:color w:val="000000"/>
          <w:kern w:val="0"/>
          <w:sz w:val="21"/>
          <w:szCs w:val="21"/>
          <w:lang w:eastAsia="ar-SA" w:bidi="ar-SA"/>
        </w:rPr>
        <w:t xml:space="preserve"> 330.322</w:t>
      </w:r>
    </w:p>
    <w:p w14:paraId="539372D8" w14:textId="77777777" w:rsidR="00877DE5" w:rsidRPr="002679E0" w:rsidRDefault="00877DE5" w:rsidP="00067100">
      <w:pPr>
        <w:pStyle w:val="12"/>
        <w:tabs>
          <w:tab w:val="left" w:pos="9213"/>
        </w:tabs>
        <w:spacing w:before="0" w:after="0"/>
        <w:ind w:firstLine="709"/>
        <w:jc w:val="right"/>
        <w:rPr>
          <w:rFonts w:ascii="Times New Roman" w:hAnsi="Times New Roman"/>
          <w:i/>
          <w:color w:val="000000"/>
          <w:sz w:val="21"/>
          <w:szCs w:val="21"/>
          <w:lang w:val="ru-RU"/>
        </w:rPr>
      </w:pPr>
      <w:r w:rsidRPr="009472DE">
        <w:rPr>
          <w:rFonts w:ascii="Times New Roman" w:hAnsi="Times New Roman"/>
          <w:b/>
          <w:i/>
          <w:color w:val="000000"/>
          <w:sz w:val="21"/>
          <w:szCs w:val="21"/>
          <w:lang w:val="ru-RU"/>
        </w:rPr>
        <w:t xml:space="preserve">Панченко Д.А., </w:t>
      </w:r>
    </w:p>
    <w:p w14:paraId="5AA9A108" w14:textId="77777777" w:rsidR="00877DE5" w:rsidRPr="002679E0" w:rsidRDefault="00877DE5" w:rsidP="00067100">
      <w:pPr>
        <w:pStyle w:val="12"/>
        <w:tabs>
          <w:tab w:val="left" w:pos="9213"/>
        </w:tabs>
        <w:spacing w:before="0" w:after="0"/>
        <w:ind w:firstLine="709"/>
        <w:jc w:val="right"/>
        <w:rPr>
          <w:rFonts w:ascii="Times New Roman" w:hAnsi="Times New Roman"/>
          <w:i/>
          <w:color w:val="000000"/>
          <w:sz w:val="21"/>
          <w:szCs w:val="21"/>
          <w:lang w:val="ru-RU"/>
        </w:rPr>
      </w:pPr>
      <w:r w:rsidRPr="009472DE">
        <w:rPr>
          <w:rFonts w:ascii="Times New Roman" w:hAnsi="Times New Roman"/>
          <w:i/>
          <w:color w:val="000000"/>
          <w:sz w:val="21"/>
          <w:szCs w:val="21"/>
          <w:lang w:val="ru-RU"/>
        </w:rPr>
        <w:t xml:space="preserve">студент 1 курса </w:t>
      </w:r>
    </w:p>
    <w:p w14:paraId="3893A492" w14:textId="77777777" w:rsidR="00877DE5" w:rsidRPr="009472DE" w:rsidRDefault="00877DE5" w:rsidP="00067100">
      <w:pPr>
        <w:pStyle w:val="af7"/>
        <w:tabs>
          <w:tab w:val="left" w:pos="9213"/>
        </w:tabs>
        <w:ind w:firstLine="709"/>
        <w:jc w:val="right"/>
        <w:rPr>
          <w:rFonts w:ascii="Times New Roman" w:eastAsia="Times New Roman" w:hAnsi="Times New Roman" w:cs="Times New Roman"/>
          <w:bCs/>
          <w:i/>
          <w:sz w:val="21"/>
          <w:szCs w:val="21"/>
        </w:rPr>
      </w:pPr>
      <w:r w:rsidRPr="009472DE">
        <w:rPr>
          <w:rFonts w:ascii="Times New Roman" w:eastAsia="Times New Roman" w:hAnsi="Times New Roman" w:cs="Times New Roman"/>
          <w:i/>
          <w:iCs/>
          <w:sz w:val="21"/>
          <w:szCs w:val="21"/>
        </w:rPr>
        <w:t>Краснодарский филиал Финуниверситета</w:t>
      </w:r>
    </w:p>
    <w:p w14:paraId="131D47C3" w14:textId="77777777" w:rsidR="00877DE5" w:rsidRPr="002679E0" w:rsidRDefault="00877DE5" w:rsidP="00067100">
      <w:pPr>
        <w:pStyle w:val="12"/>
        <w:tabs>
          <w:tab w:val="left" w:pos="9213"/>
        </w:tabs>
        <w:spacing w:before="0" w:after="0"/>
        <w:ind w:firstLine="709"/>
        <w:jc w:val="right"/>
        <w:rPr>
          <w:rFonts w:ascii="Times New Roman" w:hAnsi="Times New Roman"/>
          <w:i/>
          <w:sz w:val="21"/>
          <w:szCs w:val="21"/>
          <w:lang w:val="ru-RU"/>
        </w:rPr>
      </w:pPr>
      <w:r w:rsidRPr="009472DE">
        <w:rPr>
          <w:rFonts w:ascii="Times New Roman" w:hAnsi="Times New Roman"/>
          <w:i/>
          <w:sz w:val="21"/>
          <w:szCs w:val="21"/>
          <w:lang w:val="ru-RU"/>
        </w:rPr>
        <w:t>г. Краснодар, Россия</w:t>
      </w:r>
    </w:p>
    <w:p w14:paraId="6556CBB2" w14:textId="77777777" w:rsidR="00877DE5" w:rsidRPr="009472DE" w:rsidRDefault="00877DE5" w:rsidP="00067100">
      <w:pPr>
        <w:tabs>
          <w:tab w:val="left" w:pos="9213"/>
        </w:tabs>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i/>
          <w:sz w:val="21"/>
          <w:szCs w:val="21"/>
        </w:rPr>
        <w:t>е</w:t>
      </w:r>
      <w:r w:rsidRPr="009472DE">
        <w:rPr>
          <w:rFonts w:ascii="Times New Roman" w:hAnsi="Times New Roman" w:cs="Times New Roman"/>
          <w:i/>
          <w:sz w:val="21"/>
          <w:szCs w:val="21"/>
          <w:lang w:val="en-US"/>
        </w:rPr>
        <w:t xml:space="preserve">-mail: </w:t>
      </w:r>
      <w:hyperlink r:id="rId107" w:tooltip="mailto:darva.pan.chen.ko@mail.ru" w:history="1">
        <w:r w:rsidRPr="009472DE">
          <w:rPr>
            <w:rStyle w:val="aa"/>
            <w:rFonts w:ascii="Times New Roman" w:hAnsi="Times New Roman" w:cs="Times New Roman"/>
            <w:i/>
            <w:sz w:val="21"/>
            <w:szCs w:val="21"/>
            <w:lang w:val="en-US"/>
          </w:rPr>
          <w:t>darva.pan.chen.ko@mail.ru</w:t>
        </w:r>
      </w:hyperlink>
      <w:r w:rsidRPr="009472DE">
        <w:rPr>
          <w:rFonts w:ascii="Times New Roman" w:hAnsi="Times New Roman" w:cs="Times New Roman"/>
          <w:i/>
          <w:sz w:val="21"/>
          <w:szCs w:val="21"/>
          <w:lang w:val="en-US"/>
        </w:rPr>
        <w:t xml:space="preserve"> </w:t>
      </w:r>
    </w:p>
    <w:p w14:paraId="4DD14CEC" w14:textId="77777777" w:rsidR="00877DE5" w:rsidRPr="009472DE" w:rsidRDefault="00877DE5" w:rsidP="00067100">
      <w:pPr>
        <w:tabs>
          <w:tab w:val="left" w:pos="9213"/>
        </w:tabs>
        <w:spacing w:after="0" w:line="240" w:lineRule="auto"/>
        <w:ind w:firstLine="709"/>
        <w:jc w:val="right"/>
        <w:rPr>
          <w:rFonts w:ascii="Times New Roman" w:hAnsi="Times New Roman" w:cs="Times New Roman"/>
          <w:i/>
          <w:sz w:val="21"/>
          <w:szCs w:val="21"/>
          <w:lang w:val="en-US"/>
        </w:rPr>
      </w:pPr>
    </w:p>
    <w:p w14:paraId="7180CABB" w14:textId="77777777" w:rsidR="00877DE5" w:rsidRPr="009472DE" w:rsidRDefault="00877DE5" w:rsidP="00067100">
      <w:pPr>
        <w:tabs>
          <w:tab w:val="left" w:pos="9213"/>
        </w:tabs>
        <w:spacing w:after="0" w:line="240" w:lineRule="auto"/>
        <w:ind w:firstLine="709"/>
        <w:jc w:val="right"/>
        <w:rPr>
          <w:rFonts w:ascii="Times New Roman" w:hAnsi="Times New Roman" w:cs="Times New Roman"/>
          <w:b/>
          <w:i/>
          <w:sz w:val="21"/>
          <w:szCs w:val="21"/>
        </w:rPr>
      </w:pPr>
      <w:r w:rsidRPr="009472DE">
        <w:rPr>
          <w:rFonts w:ascii="Times New Roman" w:hAnsi="Times New Roman" w:cs="Times New Roman"/>
          <w:b/>
          <w:i/>
          <w:sz w:val="21"/>
          <w:szCs w:val="21"/>
        </w:rPr>
        <w:t>Научный руководитель:</w:t>
      </w:r>
    </w:p>
    <w:p w14:paraId="74EE4F55" w14:textId="77777777" w:rsidR="00877DE5" w:rsidRPr="009472DE" w:rsidRDefault="00877DE5" w:rsidP="00067100">
      <w:pPr>
        <w:tabs>
          <w:tab w:val="left" w:pos="9213"/>
        </w:tabs>
        <w:spacing w:after="0" w:line="240" w:lineRule="auto"/>
        <w:ind w:firstLine="709"/>
        <w:jc w:val="right"/>
        <w:rPr>
          <w:rFonts w:ascii="Times New Roman" w:hAnsi="Times New Roman" w:cs="Times New Roman"/>
          <w:b/>
          <w:i/>
          <w:sz w:val="21"/>
          <w:szCs w:val="21"/>
        </w:rPr>
      </w:pPr>
      <w:r w:rsidRPr="009472DE">
        <w:rPr>
          <w:rFonts w:ascii="Times New Roman" w:hAnsi="Times New Roman" w:cs="Times New Roman"/>
          <w:b/>
          <w:i/>
          <w:sz w:val="21"/>
          <w:szCs w:val="21"/>
        </w:rPr>
        <w:t>Берлин С.И.,</w:t>
      </w:r>
    </w:p>
    <w:p w14:paraId="75666331" w14:textId="77777777" w:rsidR="00877DE5" w:rsidRPr="009472DE" w:rsidRDefault="00877DE5" w:rsidP="00067100">
      <w:pPr>
        <w:tabs>
          <w:tab w:val="left" w:pos="9213"/>
        </w:tabs>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д.э.н., профессор</w:t>
      </w:r>
    </w:p>
    <w:p w14:paraId="73F83D9E" w14:textId="77777777" w:rsidR="00877DE5" w:rsidRPr="009472DE" w:rsidRDefault="00877DE5" w:rsidP="00067100">
      <w:pPr>
        <w:pStyle w:val="af7"/>
        <w:tabs>
          <w:tab w:val="left" w:pos="9213"/>
        </w:tabs>
        <w:ind w:firstLine="709"/>
        <w:jc w:val="right"/>
        <w:rPr>
          <w:rFonts w:ascii="Times New Roman" w:eastAsia="Times New Roman" w:hAnsi="Times New Roman" w:cs="Times New Roman"/>
          <w:bCs/>
          <w:i/>
          <w:sz w:val="21"/>
          <w:szCs w:val="21"/>
        </w:rPr>
      </w:pPr>
      <w:r w:rsidRPr="009472DE">
        <w:rPr>
          <w:rFonts w:ascii="Times New Roman" w:eastAsia="Times New Roman" w:hAnsi="Times New Roman" w:cs="Times New Roman"/>
          <w:i/>
          <w:iCs/>
          <w:sz w:val="21"/>
          <w:szCs w:val="21"/>
        </w:rPr>
        <w:t>Краснодарский филиал Финуниверситета</w:t>
      </w:r>
    </w:p>
    <w:p w14:paraId="1560C91E" w14:textId="77777777" w:rsidR="00877DE5" w:rsidRPr="009472DE" w:rsidRDefault="00877DE5" w:rsidP="00067100">
      <w:pPr>
        <w:pStyle w:val="12"/>
        <w:tabs>
          <w:tab w:val="left" w:pos="9213"/>
        </w:tabs>
        <w:spacing w:before="0" w:after="0"/>
        <w:ind w:firstLine="709"/>
        <w:jc w:val="right"/>
        <w:rPr>
          <w:rFonts w:ascii="Times New Roman" w:hAnsi="Times New Roman"/>
          <w:i/>
          <w:sz w:val="21"/>
          <w:szCs w:val="21"/>
          <w:lang w:val="ru-RU"/>
        </w:rPr>
      </w:pPr>
      <w:r w:rsidRPr="009472DE">
        <w:rPr>
          <w:rFonts w:ascii="Times New Roman" w:hAnsi="Times New Roman"/>
          <w:i/>
          <w:sz w:val="21"/>
          <w:szCs w:val="21"/>
          <w:lang w:val="ru-RU"/>
        </w:rPr>
        <w:t>г. Краснодар, Россия</w:t>
      </w:r>
    </w:p>
    <w:p w14:paraId="3D103AF9" w14:textId="77777777" w:rsidR="00877DE5" w:rsidRDefault="00877DE5" w:rsidP="00067100">
      <w:pPr>
        <w:pStyle w:val="12"/>
        <w:tabs>
          <w:tab w:val="left" w:pos="9213"/>
        </w:tabs>
        <w:spacing w:before="0" w:after="0"/>
        <w:ind w:firstLine="709"/>
        <w:jc w:val="right"/>
        <w:rPr>
          <w:rFonts w:ascii="Times New Roman" w:hAnsi="Times New Roman"/>
          <w:i/>
          <w:sz w:val="21"/>
          <w:szCs w:val="21"/>
          <w:lang w:val="ru-RU"/>
        </w:rPr>
      </w:pPr>
      <w:r w:rsidRPr="009472DE">
        <w:rPr>
          <w:rFonts w:ascii="Times New Roman" w:hAnsi="Times New Roman"/>
          <w:i/>
          <w:sz w:val="21"/>
          <w:szCs w:val="21"/>
          <w:lang w:val="ru-RU"/>
        </w:rPr>
        <w:t>е-</w:t>
      </w:r>
      <w:r w:rsidRPr="009472DE">
        <w:rPr>
          <w:rFonts w:ascii="Times New Roman" w:hAnsi="Times New Roman"/>
          <w:i/>
          <w:sz w:val="21"/>
          <w:szCs w:val="21"/>
        </w:rPr>
        <w:t>mail</w:t>
      </w:r>
      <w:r w:rsidRPr="009472DE">
        <w:rPr>
          <w:rFonts w:ascii="Times New Roman" w:hAnsi="Times New Roman"/>
          <w:i/>
          <w:sz w:val="21"/>
          <w:szCs w:val="21"/>
          <w:lang w:val="ru-RU"/>
        </w:rPr>
        <w:t xml:space="preserve">: </w:t>
      </w:r>
      <w:hyperlink r:id="rId108" w:tooltip="http://siberlin@fa.ru" w:history="1">
        <w:r w:rsidRPr="009472DE">
          <w:rPr>
            <w:rStyle w:val="aa"/>
            <w:rFonts w:ascii="Times New Roman" w:hAnsi="Times New Roman"/>
            <w:i/>
            <w:sz w:val="21"/>
            <w:szCs w:val="21"/>
          </w:rPr>
          <w:t>siberlin</w:t>
        </w:r>
        <w:r w:rsidRPr="009472DE">
          <w:rPr>
            <w:rStyle w:val="aa"/>
            <w:rFonts w:ascii="Times New Roman" w:hAnsi="Times New Roman"/>
            <w:i/>
            <w:sz w:val="21"/>
            <w:szCs w:val="21"/>
            <w:lang w:val="ru-RU"/>
          </w:rPr>
          <w:t>@</w:t>
        </w:r>
        <w:r w:rsidRPr="009472DE">
          <w:rPr>
            <w:rStyle w:val="aa"/>
            <w:rFonts w:ascii="Times New Roman" w:hAnsi="Times New Roman"/>
            <w:i/>
            <w:sz w:val="21"/>
            <w:szCs w:val="21"/>
          </w:rPr>
          <w:t>fa</w:t>
        </w:r>
        <w:r w:rsidRPr="009472DE">
          <w:rPr>
            <w:rStyle w:val="aa"/>
            <w:rFonts w:ascii="Times New Roman" w:hAnsi="Times New Roman"/>
            <w:i/>
            <w:sz w:val="21"/>
            <w:szCs w:val="21"/>
            <w:lang w:val="ru-RU"/>
          </w:rPr>
          <w:t>.</w:t>
        </w:r>
        <w:r w:rsidRPr="009472DE">
          <w:rPr>
            <w:rStyle w:val="aa"/>
            <w:rFonts w:ascii="Times New Roman" w:hAnsi="Times New Roman"/>
            <w:i/>
            <w:sz w:val="21"/>
            <w:szCs w:val="21"/>
          </w:rPr>
          <w:t>ru</w:t>
        </w:r>
      </w:hyperlink>
      <w:r w:rsidRPr="009472DE">
        <w:rPr>
          <w:rFonts w:ascii="Times New Roman" w:hAnsi="Times New Roman"/>
          <w:i/>
          <w:sz w:val="21"/>
          <w:szCs w:val="21"/>
          <w:lang w:val="ru-RU"/>
        </w:rPr>
        <w:t xml:space="preserve"> </w:t>
      </w:r>
    </w:p>
    <w:p w14:paraId="32B32957" w14:textId="77777777" w:rsidR="00877DE5" w:rsidRPr="009472DE" w:rsidRDefault="00877DE5" w:rsidP="00067100">
      <w:pPr>
        <w:pStyle w:val="12"/>
        <w:tabs>
          <w:tab w:val="left" w:pos="9213"/>
        </w:tabs>
        <w:spacing w:before="0" w:after="0"/>
        <w:ind w:firstLine="709"/>
        <w:jc w:val="right"/>
        <w:rPr>
          <w:rFonts w:ascii="Times New Roman" w:hAnsi="Times New Roman"/>
          <w:bCs/>
          <w:i/>
          <w:sz w:val="21"/>
          <w:szCs w:val="21"/>
          <w:lang w:val="ru-RU"/>
        </w:rPr>
      </w:pPr>
    </w:p>
    <w:p w14:paraId="1E45C201" w14:textId="77777777" w:rsidR="00877DE5" w:rsidRDefault="00877DE5" w:rsidP="00C465D4">
      <w:pPr>
        <w:tabs>
          <w:tab w:val="left" w:pos="9213"/>
        </w:tabs>
        <w:spacing w:after="0" w:line="240" w:lineRule="auto"/>
        <w:jc w:val="center"/>
        <w:rPr>
          <w:rFonts w:ascii="Times New Roman" w:eastAsia="Times New Roman" w:hAnsi="Times New Roman" w:cs="Times New Roman"/>
          <w:b/>
          <w:bCs/>
          <w:sz w:val="21"/>
          <w:szCs w:val="21"/>
        </w:rPr>
      </w:pPr>
      <w:r w:rsidRPr="009472DE">
        <w:rPr>
          <w:rFonts w:ascii="Times New Roman" w:eastAsia="Times New Roman" w:hAnsi="Times New Roman" w:cs="Times New Roman"/>
          <w:b/>
          <w:bCs/>
          <w:sz w:val="21"/>
          <w:szCs w:val="21"/>
        </w:rPr>
        <w:t>Иностранные инвестиции в современной экономике России. Динамика изменения 2020-2025 гг.</w:t>
      </w:r>
    </w:p>
    <w:p w14:paraId="75305A34" w14:textId="77777777" w:rsidR="00877DE5" w:rsidRPr="009472DE" w:rsidRDefault="00877DE5" w:rsidP="00067100">
      <w:pPr>
        <w:tabs>
          <w:tab w:val="left" w:pos="9213"/>
        </w:tabs>
        <w:spacing w:after="0" w:line="240" w:lineRule="auto"/>
        <w:ind w:firstLine="709"/>
        <w:jc w:val="center"/>
        <w:rPr>
          <w:rFonts w:ascii="Times New Roman" w:eastAsia="Times New Roman" w:hAnsi="Times New Roman" w:cs="Times New Roman"/>
          <w:b/>
          <w:bCs/>
          <w:sz w:val="21"/>
          <w:szCs w:val="21"/>
        </w:rPr>
      </w:pPr>
    </w:p>
    <w:p w14:paraId="5B0185C9" w14:textId="77777777" w:rsidR="00877DE5" w:rsidRPr="009472DE" w:rsidRDefault="00877DE5" w:rsidP="00067100">
      <w:pPr>
        <w:tabs>
          <w:tab w:val="left" w:pos="9213"/>
        </w:tabs>
        <w:spacing w:after="0" w:line="240" w:lineRule="auto"/>
        <w:ind w:firstLine="709"/>
        <w:jc w:val="both"/>
        <w:rPr>
          <w:rFonts w:ascii="Times New Roman" w:hAnsi="Times New Roman" w:cs="Times New Roman"/>
          <w:sz w:val="21"/>
          <w:szCs w:val="21"/>
        </w:rPr>
      </w:pPr>
      <w:r w:rsidRPr="001D7592">
        <w:rPr>
          <w:rFonts w:ascii="Times New Roman" w:eastAsia="Times New Roman" w:hAnsi="Times New Roman" w:cs="Times New Roman"/>
          <w:b/>
          <w:sz w:val="21"/>
          <w:szCs w:val="21"/>
        </w:rPr>
        <w:t>Аннотация:</w:t>
      </w:r>
      <w:r w:rsidRPr="009472DE">
        <w:rPr>
          <w:rFonts w:ascii="Times New Roman" w:eastAsia="Times New Roman" w:hAnsi="Times New Roman" w:cs="Times New Roman"/>
          <w:sz w:val="21"/>
          <w:szCs w:val="21"/>
        </w:rPr>
        <w:t xml:space="preserve"> В статье представлен всесторонний анализ динамики иностранных инвестиций в экономику России в 2020–2025 гг. Основное внимание уделено влиянию внешнеэкономических и геополитических факторов на объёмы и структуру зарубежного капитала, а также трансформации отраслевых приоритетов. Рассматриваются ключевые тенденции, проблемы и вызовы, вызванные санкционным давлением, а также предлагаются рекомендации по повышению инвестиционной привлекательности страны в современных условиях. На основе статистических данных и основные изменения инвестиционного климата и обозначены перспективные направления дальнейшего развития</w:t>
      </w:r>
    </w:p>
    <w:p w14:paraId="64764476" w14:textId="77777777" w:rsidR="00877DE5" w:rsidRPr="009472DE" w:rsidRDefault="00877DE5" w:rsidP="00067100">
      <w:pPr>
        <w:tabs>
          <w:tab w:val="left" w:pos="9213"/>
        </w:tabs>
        <w:spacing w:after="0" w:line="240" w:lineRule="auto"/>
        <w:ind w:firstLine="709"/>
        <w:jc w:val="both"/>
        <w:rPr>
          <w:rFonts w:ascii="Times New Roman" w:eastAsia="Times New Roman" w:hAnsi="Times New Roman" w:cs="Times New Roman"/>
          <w:sz w:val="21"/>
          <w:szCs w:val="21"/>
        </w:rPr>
      </w:pPr>
      <w:r w:rsidRPr="001D7592">
        <w:rPr>
          <w:rFonts w:ascii="Times New Roman" w:eastAsia="Times New Roman" w:hAnsi="Times New Roman" w:cs="Times New Roman"/>
          <w:b/>
          <w:sz w:val="21"/>
          <w:szCs w:val="21"/>
        </w:rPr>
        <w:t>Ключевые слова:</w:t>
      </w:r>
      <w:r w:rsidRPr="009472DE">
        <w:rPr>
          <w:rFonts w:ascii="Times New Roman" w:eastAsia="Times New Roman" w:hAnsi="Times New Roman" w:cs="Times New Roman"/>
          <w:sz w:val="21"/>
          <w:szCs w:val="21"/>
        </w:rPr>
        <w:t xml:space="preserve"> иностранные инвестиции, экономика России, инвестиционный климат, динамика, санкции, инвестиционная привлекательность.</w:t>
      </w:r>
    </w:p>
    <w:p w14:paraId="282D57E8"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b/>
          <w:bCs/>
          <w:i/>
          <w:iCs/>
          <w:sz w:val="21"/>
          <w:szCs w:val="21"/>
          <w:lang w:val="en-US"/>
        </w:rPr>
        <w:t>Panchenko D.A</w:t>
      </w:r>
      <w:r w:rsidRPr="009472DE">
        <w:rPr>
          <w:rFonts w:ascii="Times New Roman" w:eastAsia="Times New Roman" w:hAnsi="Times New Roman" w:cs="Times New Roman"/>
          <w:i/>
          <w:iCs/>
          <w:sz w:val="21"/>
          <w:szCs w:val="21"/>
          <w:lang w:val="en-US"/>
        </w:rPr>
        <w:t>.,</w:t>
      </w:r>
    </w:p>
    <w:p w14:paraId="6E922E7A"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1st year student</w:t>
      </w:r>
    </w:p>
    <w:p w14:paraId="790DFE4B"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Krasnodar branch of the Financial University</w:t>
      </w:r>
    </w:p>
    <w:p w14:paraId="28E18CBE"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Krasnodar, Russia</w:t>
      </w:r>
    </w:p>
    <w:p w14:paraId="6FE1147C" w14:textId="77777777" w:rsidR="00877DE5" w:rsidRPr="009472DE" w:rsidRDefault="00877DE5" w:rsidP="00067100">
      <w:pPr>
        <w:tabs>
          <w:tab w:val="left" w:pos="9213"/>
        </w:tabs>
        <w:spacing w:after="0" w:line="240" w:lineRule="auto"/>
        <w:ind w:firstLine="709"/>
        <w:jc w:val="right"/>
        <w:rPr>
          <w:rFonts w:ascii="Times New Roman" w:eastAsia="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 xml:space="preserve">e-mail: </w:t>
      </w:r>
      <w:hyperlink r:id="rId109" w:tooltip="mailto:darva.pan.chen.ko@mail.ru" w:history="1">
        <w:r w:rsidRPr="009472DE">
          <w:rPr>
            <w:rStyle w:val="13"/>
            <w:rFonts w:ascii="Times New Roman" w:eastAsia="Times New Roman" w:hAnsi="Times New Roman" w:cs="Times New Roman"/>
            <w:i/>
            <w:iCs/>
            <w:sz w:val="21"/>
            <w:szCs w:val="21"/>
            <w:lang w:val="en-US"/>
          </w:rPr>
          <w:t>darva.pan.chen.ko@mail.ru</w:t>
        </w:r>
      </w:hyperlink>
      <w:r w:rsidRPr="009472DE">
        <w:rPr>
          <w:rFonts w:ascii="Times New Roman" w:eastAsia="Times New Roman" w:hAnsi="Times New Roman" w:cs="Times New Roman"/>
          <w:i/>
          <w:iCs/>
          <w:sz w:val="21"/>
          <w:szCs w:val="21"/>
          <w:lang w:val="en-US"/>
        </w:rPr>
        <w:t xml:space="preserve"> </w:t>
      </w:r>
    </w:p>
    <w:p w14:paraId="28DBD37B" w14:textId="77777777" w:rsidR="00877DE5" w:rsidRPr="009472DE" w:rsidRDefault="00877DE5" w:rsidP="00067100">
      <w:pPr>
        <w:tabs>
          <w:tab w:val="left" w:pos="9213"/>
        </w:tabs>
        <w:spacing w:after="0" w:line="240" w:lineRule="auto"/>
        <w:ind w:firstLine="709"/>
        <w:jc w:val="right"/>
        <w:rPr>
          <w:rFonts w:ascii="Times New Roman" w:eastAsia="Times New Roman" w:hAnsi="Times New Roman" w:cs="Times New Roman"/>
          <w:bCs/>
          <w:i/>
          <w:sz w:val="21"/>
          <w:szCs w:val="21"/>
          <w:lang w:val="en-US"/>
        </w:rPr>
      </w:pPr>
    </w:p>
    <w:p w14:paraId="144CE808" w14:textId="77777777" w:rsidR="00877DE5" w:rsidRPr="009472DE" w:rsidRDefault="00877DE5" w:rsidP="00067100">
      <w:pPr>
        <w:tabs>
          <w:tab w:val="left" w:pos="9213"/>
        </w:tabs>
        <w:spacing w:after="0" w:line="240" w:lineRule="auto"/>
        <w:ind w:firstLine="709"/>
        <w:jc w:val="right"/>
        <w:rPr>
          <w:rFonts w:ascii="Times New Roman" w:hAnsi="Times New Roman" w:cs="Times New Roman"/>
          <w:b/>
          <w:bCs/>
          <w:i/>
          <w:sz w:val="21"/>
          <w:szCs w:val="21"/>
          <w:lang w:val="en-US"/>
        </w:rPr>
      </w:pPr>
      <w:r w:rsidRPr="009472DE">
        <w:rPr>
          <w:rFonts w:ascii="Times New Roman" w:eastAsia="Times New Roman" w:hAnsi="Times New Roman" w:cs="Times New Roman"/>
          <w:b/>
          <w:bCs/>
          <w:i/>
          <w:iCs/>
          <w:sz w:val="21"/>
          <w:szCs w:val="21"/>
          <w:lang w:val="en-US"/>
        </w:rPr>
        <w:t>Scientific supervisor:</w:t>
      </w:r>
    </w:p>
    <w:p w14:paraId="656E4648" w14:textId="77777777" w:rsidR="00877DE5" w:rsidRPr="009472DE" w:rsidRDefault="00877DE5" w:rsidP="00067100">
      <w:pPr>
        <w:tabs>
          <w:tab w:val="left" w:pos="9213"/>
        </w:tabs>
        <w:spacing w:after="0" w:line="240" w:lineRule="auto"/>
        <w:ind w:firstLine="709"/>
        <w:jc w:val="right"/>
        <w:rPr>
          <w:rFonts w:ascii="Times New Roman" w:hAnsi="Times New Roman" w:cs="Times New Roman"/>
          <w:b/>
          <w:bCs/>
          <w:i/>
          <w:sz w:val="21"/>
          <w:szCs w:val="21"/>
          <w:lang w:val="en-US"/>
        </w:rPr>
      </w:pPr>
      <w:r w:rsidRPr="009472DE">
        <w:rPr>
          <w:rFonts w:ascii="Times New Roman" w:eastAsia="Times New Roman" w:hAnsi="Times New Roman" w:cs="Times New Roman"/>
          <w:b/>
          <w:bCs/>
          <w:i/>
          <w:iCs/>
          <w:sz w:val="21"/>
          <w:szCs w:val="21"/>
          <w:lang w:val="en-US"/>
        </w:rPr>
        <w:t>Berlin S.I.,</w:t>
      </w:r>
    </w:p>
    <w:p w14:paraId="528B2E05"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Doctor of Economics, Professor</w:t>
      </w:r>
    </w:p>
    <w:p w14:paraId="407144F1"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Krasnodar branch of the Financial University</w:t>
      </w:r>
    </w:p>
    <w:p w14:paraId="546EA432" w14:textId="77777777" w:rsidR="00877DE5" w:rsidRPr="009472DE" w:rsidRDefault="00877DE5" w:rsidP="00067100">
      <w:pPr>
        <w:tabs>
          <w:tab w:val="left" w:pos="9213"/>
        </w:tabs>
        <w:spacing w:after="0" w:line="240" w:lineRule="auto"/>
        <w:ind w:firstLine="709"/>
        <w:jc w:val="right"/>
        <w:rPr>
          <w:rFonts w:ascii="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Krasnodar, Russia</w:t>
      </w:r>
    </w:p>
    <w:p w14:paraId="339DF96B" w14:textId="77777777" w:rsidR="00877DE5" w:rsidRPr="009472DE" w:rsidRDefault="00877DE5" w:rsidP="00067100">
      <w:pPr>
        <w:tabs>
          <w:tab w:val="left" w:pos="9213"/>
        </w:tabs>
        <w:spacing w:after="0" w:line="240" w:lineRule="auto"/>
        <w:ind w:firstLine="709"/>
        <w:jc w:val="right"/>
        <w:rPr>
          <w:rFonts w:ascii="Times New Roman" w:eastAsia="Times New Roman" w:hAnsi="Times New Roman" w:cs="Times New Roman"/>
          <w:bCs/>
          <w:i/>
          <w:sz w:val="21"/>
          <w:szCs w:val="21"/>
          <w:lang w:val="en-US"/>
        </w:rPr>
      </w:pPr>
      <w:r w:rsidRPr="009472DE">
        <w:rPr>
          <w:rFonts w:ascii="Times New Roman" w:eastAsia="Times New Roman" w:hAnsi="Times New Roman" w:cs="Times New Roman"/>
          <w:i/>
          <w:iCs/>
          <w:sz w:val="21"/>
          <w:szCs w:val="21"/>
          <w:lang w:val="en-US"/>
        </w:rPr>
        <w:t xml:space="preserve">e-mail: </w:t>
      </w:r>
      <w:hyperlink r:id="rId110" w:tooltip="http://siberlin@fa.ru" w:history="1">
        <w:r w:rsidRPr="009472DE">
          <w:rPr>
            <w:rStyle w:val="13"/>
            <w:rFonts w:ascii="Times New Roman" w:eastAsia="Times New Roman" w:hAnsi="Times New Roman" w:cs="Times New Roman"/>
            <w:i/>
            <w:iCs/>
            <w:sz w:val="21"/>
            <w:szCs w:val="21"/>
            <w:lang w:val="en-US"/>
          </w:rPr>
          <w:t>siberlin@fa.ru</w:t>
        </w:r>
      </w:hyperlink>
    </w:p>
    <w:p w14:paraId="4E763CE3" w14:textId="77777777" w:rsidR="00877DE5" w:rsidRPr="009472DE" w:rsidRDefault="00877DE5" w:rsidP="00067100">
      <w:pPr>
        <w:tabs>
          <w:tab w:val="left" w:pos="9213"/>
        </w:tabs>
        <w:spacing w:after="0" w:line="240" w:lineRule="auto"/>
        <w:ind w:firstLine="709"/>
        <w:jc w:val="both"/>
        <w:rPr>
          <w:rFonts w:ascii="Times New Roman" w:eastAsia="Times New Roman" w:hAnsi="Times New Roman" w:cs="Times New Roman"/>
          <w:sz w:val="21"/>
          <w:szCs w:val="21"/>
          <w:lang w:val="en-US"/>
        </w:rPr>
      </w:pPr>
    </w:p>
    <w:p w14:paraId="290AA117" w14:textId="77777777" w:rsidR="00877DE5" w:rsidRDefault="00877DE5" w:rsidP="00067100">
      <w:pPr>
        <w:tabs>
          <w:tab w:val="left" w:pos="9213"/>
        </w:tabs>
        <w:spacing w:after="0" w:line="240" w:lineRule="auto"/>
        <w:ind w:firstLine="709"/>
        <w:jc w:val="center"/>
        <w:rPr>
          <w:rFonts w:ascii="Times New Roman" w:eastAsia="Times New Roman" w:hAnsi="Times New Roman" w:cs="Times New Roman"/>
          <w:b/>
          <w:bCs/>
          <w:sz w:val="21"/>
          <w:szCs w:val="21"/>
          <w:lang w:val="en-US"/>
        </w:rPr>
      </w:pPr>
      <w:r w:rsidRPr="009472DE">
        <w:rPr>
          <w:rFonts w:ascii="Times New Roman" w:eastAsia="Times New Roman" w:hAnsi="Times New Roman" w:cs="Times New Roman"/>
          <w:b/>
          <w:bCs/>
          <w:sz w:val="21"/>
          <w:szCs w:val="21"/>
          <w:lang w:val="en-US"/>
        </w:rPr>
        <w:t>Foreign Investments in the Modern Russian Economy: Dynamics of Change in 2020–2025</w:t>
      </w:r>
    </w:p>
    <w:p w14:paraId="17D2B3EB" w14:textId="77777777" w:rsidR="00877DE5" w:rsidRPr="009472DE" w:rsidRDefault="00877DE5" w:rsidP="00067100">
      <w:pPr>
        <w:tabs>
          <w:tab w:val="left" w:pos="9213"/>
        </w:tabs>
        <w:spacing w:after="0" w:line="240" w:lineRule="auto"/>
        <w:ind w:firstLine="709"/>
        <w:jc w:val="center"/>
        <w:rPr>
          <w:rFonts w:ascii="Times New Roman" w:hAnsi="Times New Roman" w:cs="Times New Roman"/>
          <w:b/>
          <w:bCs/>
          <w:sz w:val="21"/>
          <w:szCs w:val="21"/>
          <w:lang w:val="en-US"/>
        </w:rPr>
      </w:pPr>
    </w:p>
    <w:p w14:paraId="094CF991" w14:textId="77777777" w:rsidR="00877DE5" w:rsidRPr="009472DE" w:rsidRDefault="00877DE5" w:rsidP="00067100">
      <w:pPr>
        <w:tabs>
          <w:tab w:val="left" w:pos="9213"/>
        </w:tabs>
        <w:spacing w:after="0" w:line="240" w:lineRule="auto"/>
        <w:ind w:firstLine="709"/>
        <w:jc w:val="both"/>
        <w:rPr>
          <w:rFonts w:ascii="Times New Roman" w:hAnsi="Times New Roman" w:cs="Times New Roman"/>
          <w:sz w:val="21"/>
          <w:szCs w:val="21"/>
          <w:lang w:val="en-US"/>
        </w:rPr>
      </w:pPr>
      <w:r w:rsidRPr="001D7592">
        <w:rPr>
          <w:rFonts w:ascii="Times New Roman" w:eastAsia="Times New Roman" w:hAnsi="Times New Roman" w:cs="Times New Roman"/>
          <w:b/>
          <w:sz w:val="21"/>
          <w:szCs w:val="21"/>
          <w:lang w:val="en-US"/>
        </w:rPr>
        <w:t>Abstract:</w:t>
      </w:r>
      <w:r w:rsidRPr="009472DE">
        <w:rPr>
          <w:rFonts w:ascii="Times New Roman" w:eastAsia="Times New Roman" w:hAnsi="Times New Roman" w:cs="Times New Roman"/>
          <w:sz w:val="21"/>
          <w:szCs w:val="21"/>
          <w:lang w:val="en-US"/>
        </w:rPr>
        <w:t xml:space="preserve"> This article presents an in-depth study of the evolving patterns of foreign investment in Russia from 2020 to 2025. The analysis centers on the influence of both economic shifts and geopolitical developments on the movement of international capital, as well as transformations in sectoral investment priorities. The paper identifies prevailing trends and key obstacles, particularly those stemming from sanctions, and examines their implications for the Russian investment environment. Drawing on statistical data, the research highlights significant changes in the investment climate, discusses the main challenges faced by foreign investors, and offers recommendations aimed at strengthening Russia’s appeal as an investment destination. Finally, the article outlines promising directions for future growth and development in the context of ongoing global and domestic changes.</w:t>
      </w:r>
    </w:p>
    <w:p w14:paraId="690EF62E" w14:textId="77777777" w:rsidR="00877DE5" w:rsidRDefault="00877DE5" w:rsidP="00067100">
      <w:pPr>
        <w:tabs>
          <w:tab w:val="left" w:pos="9213"/>
        </w:tabs>
        <w:spacing w:after="0" w:line="240" w:lineRule="auto"/>
        <w:ind w:firstLine="709"/>
        <w:jc w:val="both"/>
        <w:rPr>
          <w:rFonts w:ascii="Times New Roman" w:eastAsia="Times New Roman" w:hAnsi="Times New Roman" w:cs="Times New Roman"/>
          <w:sz w:val="21"/>
          <w:szCs w:val="21"/>
          <w:lang w:val="en-US"/>
        </w:rPr>
      </w:pPr>
      <w:r w:rsidRPr="001D7592">
        <w:rPr>
          <w:rFonts w:ascii="Times New Roman" w:eastAsia="Times New Roman" w:hAnsi="Times New Roman" w:cs="Times New Roman"/>
          <w:b/>
          <w:sz w:val="21"/>
          <w:szCs w:val="21"/>
          <w:lang w:val="en-US"/>
        </w:rPr>
        <w:t xml:space="preserve">Keywords: </w:t>
      </w:r>
      <w:r w:rsidRPr="009472DE">
        <w:rPr>
          <w:rFonts w:ascii="Times New Roman" w:eastAsia="Times New Roman" w:hAnsi="Times New Roman" w:cs="Times New Roman"/>
          <w:sz w:val="21"/>
          <w:szCs w:val="21"/>
          <w:lang w:val="en-US"/>
        </w:rPr>
        <w:t>foreign investment, Russian economy, investment climate, trends, sanctions, investment attractiveness.</w:t>
      </w:r>
    </w:p>
    <w:p w14:paraId="7E073FFD" w14:textId="77777777" w:rsidR="00877DE5" w:rsidRPr="009472DE" w:rsidRDefault="00877DE5" w:rsidP="00067100">
      <w:pPr>
        <w:tabs>
          <w:tab w:val="left" w:pos="9213"/>
        </w:tabs>
        <w:spacing w:after="0" w:line="240" w:lineRule="auto"/>
        <w:ind w:firstLine="709"/>
        <w:jc w:val="both"/>
        <w:rPr>
          <w:rFonts w:ascii="Times New Roman" w:eastAsia="Times New Roman" w:hAnsi="Times New Roman" w:cs="Times New Roman"/>
          <w:sz w:val="21"/>
          <w:szCs w:val="21"/>
          <w:lang w:val="en-US"/>
        </w:rPr>
      </w:pPr>
    </w:p>
    <w:p w14:paraId="772EC1B8"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 xml:space="preserve">В 2020–2022 годах иностранные инвестиции в российскую экономику подверглись значительным колебаниям, вызванным пандемией COVID-19, изменениями в мировой экономике и ростом геополитической напряжённости. В 2020 году объём прямых иностранных инвестиций снизился почти на 96%, достигнув </w:t>
      </w:r>
      <w:r w:rsidRPr="009472DE">
        <w:rPr>
          <w:rFonts w:ascii="Times New Roman" w:eastAsia="Times New Roman" w:hAnsi="Times New Roman" w:cs="Times New Roman"/>
          <w:sz w:val="32"/>
          <w:szCs w:val="32"/>
        </w:rPr>
        <w:lastRenderedPageBreak/>
        <w:t>минимального значения за последние десятилетия и сравнимого с концом 1990-х годов. Основными причинами стали последствия пандемии, ужесточение санкций и отток капитала. Особенно заметно сократились инвестиции из Китая - их объём уменьшился более чем вдвое, а вложения китайских компаний в российский бизнес снизились почти в пять раз</w:t>
      </w:r>
      <w:r>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rPr>
        <w:t>[4].</w:t>
      </w:r>
    </w:p>
    <w:p w14:paraId="57CAB6F0"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В финансовом секторе в этот период также наблюдались серьёзные колебания: в 2020 году иностранные инвесторы вывели с рынка ценных бумаг значительные средства, приток инвестиций в государственные облигации снизился более чем в пять раз. В 2021 году ситуация временно улучшилась - прямые иностранные инвестиции в российские компании выросли почти в четыре раза, однако в четвёртом квартале приток вновь начал снижаться. В 2022 году на фоне обострения международной обстановки и расширения санкций объём прямых иностранных инвестиций сократился более чем втрое по сравнению с 2021 годом</w:t>
      </w:r>
      <w:r>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rPr>
        <w:t>[2].</w:t>
      </w:r>
    </w:p>
    <w:p w14:paraId="16D90236"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С марта 2022 года по апрель 2025 года динамика и структура иностранных инвестиций в российскую экономику существенно изменились. После начала специальной военной операции и введения масштабных санкций со стороны западных стран объём иностранных вложений резко сократился. В 2022 году общий отток иностранного капитала из российских активов достиг 138 млрд долларов, а в 2023 году - около 80 млрд долларов. В 2024 году объём сделок по выходу иностранных инвесторов снизился до 3,38 млрд долларов, что указывает на замедление оттока, но не на его прекращение. Финансовый сектор оказался под значительным давлением: уход западных инвесторов, ограничения на финансовые операции и новые регуляторные барьеры привели к многократному сокращению притока капитала. Несмотря на это, благодаря антикризисным мерам, поддержке ликвидности, развитию национальной инфраструктуры и цифровизации, включая внедрение цифрового рубля, удалось сохранить базовую устойчивость рынка. Правительство также сосредоточилось на привлечении инвестиций из дружественных стран и альтернативных источников, чтобы частично компенсировать уход западного капитала. К 2025 году ожидается постепенное восстановление интереса к российскому финансовому сектору со стороны новых партнёров [1].</w:t>
      </w:r>
    </w:p>
    <w:p w14:paraId="075BD2D5" w14:textId="77777777" w:rsidR="00B41576" w:rsidRDefault="00877DE5" w:rsidP="00B41576">
      <w:pPr>
        <w:tabs>
          <w:tab w:val="left" w:pos="9213"/>
        </w:tabs>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 xml:space="preserve">В энергетическом секторе, особенно в нефтяной отрасли, до 2022 года сохранялись значительные объёмы зарубежных вложений, </w:t>
      </w:r>
      <w:r w:rsidRPr="009472DE">
        <w:rPr>
          <w:rFonts w:ascii="Times New Roman" w:eastAsia="Times New Roman" w:hAnsi="Times New Roman" w:cs="Times New Roman"/>
          <w:sz w:val="32"/>
          <w:szCs w:val="32"/>
        </w:rPr>
        <w:lastRenderedPageBreak/>
        <w:t xml:space="preserve">особенно со стороны азиатских стран. В 2022 году объём иностранных инвестиций сократился более чем втрое по сравнению с предыдущим годом. Внутренние инвестиции в добычу нефти и газа выросли, однако иностранные вложения в основной капитал отрасли снизились с 137 млрд рублей в 2021 году до примерно 45 млрд рублей в 2022 году. В 2024 году экспорт нефти принёс России около 189 млрд долларов, а в январе 2025 года - 15,77 млрд долларов. Центробанк и аналитики предупреждают о рисках длительного падения мировых цен на нефть, что может негативно сказаться на доходах отрасли. </w:t>
      </w:r>
    </w:p>
    <w:p w14:paraId="1E36901C" w14:textId="0BEC67EE"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В ответ государство и компании делают ставку на модернизацию инфраструктуры, налоговые льготы и сотрудничество с Китаем, Индией и странами Ближнего Востока. Китайские компании участвуют в крупных проектах, таких как «Верхнечонскнефтегаз» (20% капитала, около 1,1 млрд долларов) и «Арктик СПГ-2» (10% участия CNPC, проект стоимостью 25 млрд долларов). Индийские инвестиции в нефтегазовую инфраструктуру оцениваются в 15 млрд долларов. Это частично компенсировало уход западного капитала. Несмотря на продолжающийся отток, интерес со стороны новых партнёров позволяет рассчитывать на постепенное восстановление инвестиционной активности в среднесрочной перспективе.</w:t>
      </w:r>
    </w:p>
    <w:p w14:paraId="2E434862"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В промышленности в 2020–2022 годах наблюдалось сокращение иностранных инвестиций, что было связано с ограничением доступа к современным технологиям и снижением привлекательности российского рынка для зарубежного капитала. В первом квартале 2022 года объём новых прямых инвестиций в промышленность упал почти на 96% по сравнению с аналогичным периодом предыдущего года, составив около 98,5 млн долларов. Массовый уход западных компаний и ограничения на доступ к технологиям существенно затруднили привлечение зарубежного капитала. В индустриальных парках России в 2022 году объём инвестиций в производство превысил 148 млрд рублей, при этом доля иностранных инвестиций составила 49%, а российских - 51%. Доля иностранных резидентов снизилась до 7% от общего числа предприятий, но компании из Германии, США, Китая и Турции продолжают реализовывать крупные проекты.</w:t>
      </w:r>
    </w:p>
    <w:p w14:paraId="663C92A5"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 xml:space="preserve">С 2022 по 2025 годы промышленный сектор испытал дальнейшее сокращение иностранных вложений из западных стран, но вместе с тем усилилась переориентация на азиатские рынки, развитие индустриальных парков и государственная поддержка. Российские компании и государство увеличили собственные инвестиции, что </w:t>
      </w:r>
      <w:r w:rsidRPr="009472DE">
        <w:rPr>
          <w:rFonts w:ascii="Times New Roman" w:eastAsia="Times New Roman" w:hAnsi="Times New Roman" w:cs="Times New Roman"/>
          <w:sz w:val="32"/>
          <w:szCs w:val="32"/>
        </w:rPr>
        <w:lastRenderedPageBreak/>
        <w:t>позволило промышленности частично адаптироваться. В 2023 году валовое накопление основного капитала выросло на 10,5%, чему способствовали государственные инвестиции, собственные средства компаний и кредитование, увеличившиеся на 22%, 20% и 7% соответственно. Рост промышленного производства в январе 2024 года составил 4,6% в годовом выражении, при этом производство в обрабатывающей промышленности выросло на 7,5%. Особенно высокие темпы роста показали производство компьютеров, электронных и оптических изделий (+54,6%), автомобилестроение (+50,2%) и мебельная промышленность (+34,1%).</w:t>
      </w:r>
    </w:p>
    <w:p w14:paraId="3CD2A2E0"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eastAsia="Times New Roman" w:hAnsi="Times New Roman" w:cs="Times New Roman"/>
          <w:sz w:val="32"/>
          <w:szCs w:val="32"/>
        </w:rPr>
        <w:t>Сектор высоких технологий и IT в 2020–2022 годах столкнулся с серьёзными вызовами: уход западных компаний и ограниченный доступ к технологиям привели к сокращению иностранных инвестиций. Российские IT-компании всё чаще обращались к инвесторам из Азии и СНГ, а государство поддерживало импортозамещение. В 2022 году объём иностранных инвестиций в стартапы резко сократился, но в 2023 году благодаря крупной сделке по привлечению 150 млн долларов в сервис inDrive общий объём инвестиций вырос почти в пять раз. В 2023 году приток инвестиций в Россию составил около 8,4 млрд долларов, что свидетельствует о частичном восстановлении, но уровень инвестиций в высокотехнологичный сектор оставался значительно ниже докризисного</w:t>
      </w:r>
      <w:r w:rsidR="00D01EB8">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rPr>
        <w:t>[3]. В период 2022–2025 годов тенденция на сокращение иностранных вложений сохранилась, однако активизация сотрудничества с Китаем, странами Центральной Азии и государственная поддержка импортозамещения позволили частично компенсировать этот спад.</w:t>
      </w:r>
    </w:p>
    <w:p w14:paraId="4B8AF1AC" w14:textId="77777777" w:rsidR="00B41576" w:rsidRDefault="00877DE5" w:rsidP="00B41576">
      <w:pPr>
        <w:tabs>
          <w:tab w:val="left" w:pos="9213"/>
        </w:tabs>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rPr>
        <w:t xml:space="preserve">Рынок недвижимости в 2021 году достиг рекордных 390 млрд рублей инвестиций, но в 2022 году объём вложений снизился на 20–25%, а доля иностранных инвестиций упала до менее чем 3%, что стало минимальным уровнем за всю историю рынка. В первом квартале 2022 года иностранный капитал составлял всего 1,8% в коммерческой недвижимости, и к концу года этот показатель приблизился к нулю. Основной поток продаж пришёлся на торговые центры, офисные здания и склады, а доля сделок с иностранными активами сократилась с 29% до 10% от общего числа транзакций. В 2022–2023 годах доля иностранного капитала на рынке коммерческой недвижимости оставалась на рекордно низких значениях. Общий объём сделок с иностранными активами в 2022 году составил примерно 416–460 млрд </w:t>
      </w:r>
      <w:r w:rsidRPr="009472DE">
        <w:rPr>
          <w:rFonts w:ascii="Times New Roman" w:eastAsia="Times New Roman" w:hAnsi="Times New Roman" w:cs="Times New Roman"/>
          <w:sz w:val="32"/>
          <w:szCs w:val="32"/>
        </w:rPr>
        <w:lastRenderedPageBreak/>
        <w:t xml:space="preserve">рублей. Девелоперы отреагировали на падение спроса снижением ввода жилья на 13% и уменьшением выхода новых проектов почти на треть. Несмотря на сокращение иностранного капитала, российский рынок недвижимости сохранял активность за счёт внутренних инвесторов и переориентации на капиталы из дружественных стран, включая Китай и государства СНГ. В 2024 году совокупный объём строящихся жилых комплексов достиг рекордных 113 млн кв. метров, что на 8% больше, чем в предыдущем году. </w:t>
      </w:r>
    </w:p>
    <w:p w14:paraId="77BF4A88" w14:textId="5D7E262A" w:rsidR="00877DE5" w:rsidRPr="009472DE" w:rsidRDefault="00877DE5" w:rsidP="00B41576">
      <w:pPr>
        <w:tabs>
          <w:tab w:val="left" w:pos="9213"/>
        </w:tabs>
        <w:spacing w:after="0" w:line="240" w:lineRule="auto"/>
        <w:ind w:firstLine="709"/>
        <w:jc w:val="both"/>
        <w:rPr>
          <w:rFonts w:ascii="Times New Roman" w:hAnsi="Times New Roman" w:cs="Times New Roman"/>
          <w:sz w:val="32"/>
          <w:szCs w:val="32"/>
        </w:rPr>
      </w:pPr>
      <w:r w:rsidRPr="009472DE">
        <w:rPr>
          <w:rFonts w:ascii="Times New Roman" w:eastAsia="Times New Roman" w:hAnsi="Times New Roman" w:cs="Times New Roman"/>
          <w:sz w:val="32"/>
          <w:szCs w:val="32"/>
        </w:rPr>
        <w:t>Доля нераспроданных квартир на рынке новостроек к началу 2025 года достигла 69%. В марте 2025 года медианная стоимость квадратного метра на первичном рынке в Москве составила 403 тыс. рублей (+18,7% за год), в Санкт-Петербурге - 263 тыс. рублей (+8,2%), в Новосибирске - 167 тыс. рублей (+17,5%), в Екатеринбурге - 162 тыс. рублей (+11,4%), в Сочи - 464 тыс. рублей (+9,7%). В ряде регионов, таких как Свердловская, Воронежская и Ростовская области, фиксировался устойчивый рост цен на уровне 1,7–2,1% за последние месяцы, тогда как в Красноярском крае и Омской области наблюдалось снижение стоимости на 2–2,4%. Средняя цена сделки по России в 2024 году составила около 185 тыс. рублей за квадратный метр, а без учёта Москвы и Санкт-Петербурга - около 136 тыс. рублей [3].</w:t>
      </w:r>
    </w:p>
    <w:p w14:paraId="009B3779" w14:textId="77777777" w:rsidR="00877DE5" w:rsidRPr="009472DE" w:rsidRDefault="00877DE5" w:rsidP="00B41576">
      <w:pPr>
        <w:tabs>
          <w:tab w:val="left" w:pos="9213"/>
        </w:tabs>
        <w:spacing w:after="0" w:line="240" w:lineRule="auto"/>
        <w:ind w:firstLine="709"/>
        <w:jc w:val="both"/>
        <w:rPr>
          <w:rFonts w:ascii="Times New Roman" w:hAnsi="Times New Roman" w:cs="Times New Roman"/>
        </w:rPr>
      </w:pPr>
      <w:r w:rsidRPr="009472DE">
        <w:rPr>
          <w:rFonts w:ascii="Times New Roman" w:hAnsi="Times New Roman" w:cs="Times New Roman"/>
          <w:sz w:val="32"/>
          <w:szCs w:val="32"/>
        </w:rPr>
        <w:t>Пути привлечения иностранных инвестиций в российскую экономику требуют комплексного подхода, включающего расширение сотрудничества с дружественными странами, улучшение нормативной базы и создание комфортных условий для инвесторов. Важную роль играет поддержка внутренних инвесторов, повышение прозрачности инвестиционного климата и внедрение цифровых инструментов для сопровождения проектов. Развитие инновационных отраслей и программы импортозамещения способствуют снижению зависимости от внешних факторов и укреплению экономической устойчивости.</w:t>
      </w:r>
    </w:p>
    <w:p w14:paraId="40036673" w14:textId="77777777" w:rsidR="00B41576" w:rsidRDefault="00877DE5" w:rsidP="00B41576">
      <w:pPr>
        <w:tabs>
          <w:tab w:val="left" w:pos="9213"/>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В заключение, несмотря на существующие сложности, Россия обладает значительным потенциалом для восстановления и роста иностранных инвестиций при условии системной работы по улучшению инвестиционного климата и адаптации к новым геоэкономическим условиям. </w:t>
      </w:r>
    </w:p>
    <w:p w14:paraId="5DABDE5E" w14:textId="04E0D2CB" w:rsidR="00877DE5" w:rsidRPr="009472DE" w:rsidRDefault="00877DE5" w:rsidP="00B41576">
      <w:pPr>
        <w:tabs>
          <w:tab w:val="left" w:pos="9213"/>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Комплексные меры поддержки и расширение партнерских связей позволят повысить инвестиционную привлекательность страны и обеспечить стабильное развитие экономики в период 2020–2025 годов и в дальнейшем.</w:t>
      </w:r>
    </w:p>
    <w:p w14:paraId="257EABF2" w14:textId="77777777" w:rsidR="00877DE5" w:rsidRPr="009472DE" w:rsidRDefault="00877DE5" w:rsidP="00067100">
      <w:pPr>
        <w:tabs>
          <w:tab w:val="left" w:pos="9213"/>
        </w:tabs>
        <w:spacing w:after="0" w:line="240" w:lineRule="auto"/>
        <w:ind w:firstLine="709"/>
        <w:jc w:val="both"/>
        <w:rPr>
          <w:rFonts w:ascii="Times New Roman" w:hAnsi="Times New Roman" w:cs="Times New Roman"/>
          <w:sz w:val="32"/>
          <w:szCs w:val="32"/>
        </w:rPr>
      </w:pPr>
    </w:p>
    <w:p w14:paraId="07972228" w14:textId="77777777" w:rsidR="00877DE5" w:rsidRPr="007669B4" w:rsidRDefault="00877DE5" w:rsidP="00D01EB8">
      <w:pPr>
        <w:pStyle w:val="afc"/>
        <w:tabs>
          <w:tab w:val="left" w:pos="0"/>
        </w:tabs>
        <w:ind w:firstLine="709"/>
        <w:jc w:val="center"/>
        <w:rPr>
          <w:rFonts w:eastAsia="Times New Roman" w:cs="Times New Roman"/>
          <w:b/>
          <w:lang w:val="x-none"/>
        </w:rPr>
      </w:pPr>
      <w:r w:rsidRPr="007669B4">
        <w:rPr>
          <w:rFonts w:eastAsia="Times New Roman" w:cs="Times New Roman"/>
          <w:b/>
          <w:lang w:val="x-none"/>
        </w:rPr>
        <w:lastRenderedPageBreak/>
        <w:t>Литература:</w:t>
      </w:r>
    </w:p>
    <w:p w14:paraId="4C0617B2" w14:textId="77777777" w:rsidR="00877DE5" w:rsidRPr="007669B4" w:rsidRDefault="00877DE5" w:rsidP="00AD58CD">
      <w:pPr>
        <w:pStyle w:val="afc"/>
        <w:numPr>
          <w:ilvl w:val="0"/>
          <w:numId w:val="13"/>
        </w:numPr>
        <w:tabs>
          <w:tab w:val="left" w:pos="0"/>
          <w:tab w:val="left" w:pos="284"/>
        </w:tabs>
        <w:ind w:left="0" w:firstLine="0"/>
        <w:rPr>
          <w:rFonts w:eastAsia="Times New Roman" w:cs="Times New Roman"/>
          <w:lang w:val="x-none"/>
        </w:rPr>
      </w:pPr>
      <w:r w:rsidRPr="007669B4">
        <w:rPr>
          <w:rFonts w:eastAsia="Times New Roman" w:cs="Times New Roman"/>
          <w:lang w:val="x-none"/>
        </w:rPr>
        <w:t xml:space="preserve">Министерство экономического развития Российской Федерации. Развитие финансового рынка. – Эл. ресурс: </w:t>
      </w:r>
      <w:hyperlink r:id="rId111" w:tooltip="https://www.economy.gov.ru/material/directions/np_effektivnaya_i_konkurentnaya_ekonomika/fp_razvitie_finansovogo_rynka" w:history="1">
        <w:r w:rsidRPr="007669B4">
          <w:rPr>
            <w:rFonts w:eastAsia="Times New Roman"/>
            <w:lang w:val="x-none"/>
          </w:rPr>
          <w:t>https://www.economy.gov.ru/material/directions/np_effektivnaya_i_konkurentnaya_ekonomika/fp_razvitie_finansovogo_rynka</w:t>
        </w:r>
      </w:hyperlink>
      <w:r w:rsidRPr="007669B4">
        <w:rPr>
          <w:rFonts w:eastAsia="Times New Roman" w:cs="Times New Roman"/>
          <w:lang w:val="x-none"/>
        </w:rPr>
        <w:t xml:space="preserve">  (дата обращения: 17.04.2025).</w:t>
      </w:r>
    </w:p>
    <w:p w14:paraId="20C7E63A" w14:textId="77777777" w:rsidR="00877DE5" w:rsidRPr="007669B4" w:rsidRDefault="00877DE5" w:rsidP="00AD58CD">
      <w:pPr>
        <w:pStyle w:val="afc"/>
        <w:numPr>
          <w:ilvl w:val="0"/>
          <w:numId w:val="13"/>
        </w:numPr>
        <w:tabs>
          <w:tab w:val="left" w:pos="0"/>
          <w:tab w:val="left" w:pos="284"/>
        </w:tabs>
        <w:ind w:left="0" w:firstLine="0"/>
        <w:rPr>
          <w:rFonts w:eastAsia="Times New Roman" w:cs="Times New Roman"/>
          <w:lang w:val="x-none"/>
        </w:rPr>
      </w:pPr>
      <w:r w:rsidRPr="007669B4">
        <w:rPr>
          <w:rFonts w:eastAsia="Times New Roman" w:cs="Times New Roman"/>
          <w:lang w:val="x-none"/>
        </w:rPr>
        <w:t xml:space="preserve">Министерство экономического развития Российской Федерации. Развитие финансового рынка. – Эл. ресурс: </w:t>
      </w:r>
      <w:hyperlink r:id="rId112" w:tooltip="https://www.economy.gov.ru/material/directions/np_effektivnaya_i_konkurentnaya_ekonomika/fp_razvitie_finansovogo_rynka" w:history="1">
        <w:r w:rsidRPr="007669B4">
          <w:rPr>
            <w:rFonts w:eastAsia="Times New Roman"/>
            <w:lang w:val="x-none"/>
          </w:rPr>
          <w:t>https://www.economy.gov.ru/material/directions/np_effektivnaya_i_konkurentnaya_ekonomika/fp_razvitie_finansovogo_rynka</w:t>
        </w:r>
      </w:hyperlink>
      <w:r w:rsidRPr="007669B4">
        <w:rPr>
          <w:rFonts w:eastAsia="Times New Roman" w:cs="Times New Roman"/>
          <w:lang w:val="x-none"/>
        </w:rPr>
        <w:t xml:space="preserve">  (дата обращения: 17.04.2025).</w:t>
      </w:r>
    </w:p>
    <w:p w14:paraId="2FD7FB64" w14:textId="77777777" w:rsidR="00877DE5" w:rsidRPr="007669B4" w:rsidRDefault="00877DE5" w:rsidP="00AD58CD">
      <w:pPr>
        <w:pStyle w:val="afc"/>
        <w:numPr>
          <w:ilvl w:val="0"/>
          <w:numId w:val="13"/>
        </w:numPr>
        <w:tabs>
          <w:tab w:val="left" w:pos="0"/>
          <w:tab w:val="left" w:pos="284"/>
        </w:tabs>
        <w:ind w:left="0" w:firstLine="0"/>
        <w:rPr>
          <w:rFonts w:eastAsia="Times New Roman" w:cs="Times New Roman"/>
          <w:lang w:val="x-none"/>
        </w:rPr>
      </w:pPr>
      <w:r w:rsidRPr="007669B4">
        <w:rPr>
          <w:rFonts w:eastAsia="Times New Roman" w:cs="Times New Roman"/>
          <w:lang w:val="x-none"/>
        </w:rPr>
        <w:t xml:space="preserve">Иностранные инвестиции в недвижимость России // РБК Недвижимость, 2022. – Эл. ресурс: </w:t>
      </w:r>
      <w:hyperlink r:id="rId113" w:tooltip="https://realty.rbc.ru/news/6383c3b09a7947fafead6e5f" w:history="1">
        <w:r w:rsidRPr="007669B4">
          <w:rPr>
            <w:rFonts w:eastAsia="Times New Roman"/>
            <w:lang w:val="x-none"/>
          </w:rPr>
          <w:t>https://realty.rbc.ru/news/6383c3b09a7947fafead6e5f</w:t>
        </w:r>
      </w:hyperlink>
      <w:r w:rsidRPr="007669B4">
        <w:rPr>
          <w:rFonts w:eastAsia="Times New Roman" w:cs="Times New Roman"/>
          <w:lang w:val="x-none"/>
        </w:rPr>
        <w:t xml:space="preserve"> (дата обращения: 19.04.2025).</w:t>
      </w:r>
    </w:p>
    <w:p w14:paraId="0BD3E746" w14:textId="77777777" w:rsidR="00877DE5" w:rsidRPr="007669B4" w:rsidRDefault="00877DE5" w:rsidP="00AD58CD">
      <w:pPr>
        <w:pStyle w:val="afc"/>
        <w:numPr>
          <w:ilvl w:val="0"/>
          <w:numId w:val="13"/>
        </w:numPr>
        <w:tabs>
          <w:tab w:val="left" w:pos="0"/>
          <w:tab w:val="left" w:pos="284"/>
        </w:tabs>
        <w:ind w:left="0" w:firstLine="0"/>
        <w:rPr>
          <w:rFonts w:eastAsia="Times New Roman" w:cs="Times New Roman"/>
          <w:lang w:val="x-none"/>
        </w:rPr>
      </w:pPr>
      <w:r w:rsidRPr="007669B4">
        <w:rPr>
          <w:rFonts w:eastAsia="Times New Roman" w:cs="Times New Roman"/>
          <w:lang w:val="x-none"/>
        </w:rPr>
        <w:t xml:space="preserve">Иностранные инвесторы: вернутся ли в Россию? // Коммерсантъ, 2024. – Эл. ресурс: </w:t>
      </w:r>
      <w:hyperlink r:id="rId114" w:tooltip="https://www.kommersant.ru/doc/7641168" w:history="1">
        <w:r w:rsidRPr="007669B4">
          <w:rPr>
            <w:rFonts w:eastAsia="Times New Roman"/>
            <w:lang w:val="x-none"/>
          </w:rPr>
          <w:t>https://www.kommersant.ru/doc/7641168</w:t>
        </w:r>
      </w:hyperlink>
      <w:r w:rsidRPr="007669B4">
        <w:rPr>
          <w:rFonts w:eastAsia="Times New Roman" w:cs="Times New Roman"/>
          <w:lang w:val="x-none"/>
        </w:rPr>
        <w:t xml:space="preserve"> (дата обращения: 25.04.2025).</w:t>
      </w:r>
    </w:p>
    <w:p w14:paraId="5B5C27E5" w14:textId="77777777" w:rsidR="00877DE5" w:rsidRPr="009472DE" w:rsidRDefault="00877DE5" w:rsidP="00067100">
      <w:pPr>
        <w:tabs>
          <w:tab w:val="left" w:pos="9213"/>
        </w:tabs>
        <w:spacing w:after="0" w:line="240" w:lineRule="auto"/>
        <w:ind w:left="-567" w:right="142" w:firstLine="709"/>
        <w:jc w:val="both"/>
        <w:rPr>
          <w:rFonts w:ascii="Times New Roman" w:hAnsi="Times New Roman" w:cs="Times New Roman"/>
          <w:sz w:val="21"/>
          <w:szCs w:val="21"/>
        </w:rPr>
      </w:pPr>
    </w:p>
    <w:p w14:paraId="79735042" w14:textId="77777777" w:rsidR="00877DE5" w:rsidRPr="009472DE" w:rsidRDefault="00877DE5" w:rsidP="00D01EB8">
      <w:pPr>
        <w:spacing w:after="0" w:line="240" w:lineRule="auto"/>
        <w:jc w:val="both"/>
        <w:rPr>
          <w:rFonts w:ascii="Times New Roman" w:hAnsi="Times New Roman" w:cs="Times New Roman"/>
          <w:b/>
          <w:color w:val="000000"/>
          <w:sz w:val="21"/>
          <w:szCs w:val="21"/>
        </w:rPr>
      </w:pPr>
      <w:r w:rsidRPr="009472DE">
        <w:rPr>
          <w:rFonts w:ascii="Times New Roman" w:hAnsi="Times New Roman" w:cs="Times New Roman"/>
          <w:b/>
          <w:color w:val="000000"/>
          <w:sz w:val="21"/>
          <w:szCs w:val="21"/>
        </w:rPr>
        <w:t xml:space="preserve">УДК 338 </w:t>
      </w:r>
    </w:p>
    <w:p w14:paraId="57DAEC89" w14:textId="77777777" w:rsidR="00877DE5" w:rsidRPr="009472DE" w:rsidRDefault="00877DE5" w:rsidP="00067100">
      <w:pPr>
        <w:spacing w:after="0" w:line="240" w:lineRule="auto"/>
        <w:ind w:firstLine="709"/>
        <w:jc w:val="right"/>
        <w:rPr>
          <w:rFonts w:ascii="Times New Roman" w:hAnsi="Times New Roman" w:cs="Times New Roman"/>
          <w:b/>
          <w:i/>
          <w:color w:val="000000"/>
          <w:sz w:val="20"/>
          <w:szCs w:val="21"/>
        </w:rPr>
      </w:pPr>
      <w:r w:rsidRPr="009472DE">
        <w:rPr>
          <w:rFonts w:ascii="Times New Roman" w:hAnsi="Times New Roman" w:cs="Times New Roman"/>
          <w:b/>
          <w:i/>
          <w:color w:val="000000"/>
          <w:sz w:val="20"/>
          <w:szCs w:val="21"/>
        </w:rPr>
        <w:t>Перепечай В.О.</w:t>
      </w:r>
    </w:p>
    <w:p w14:paraId="04B127A7" w14:textId="77777777" w:rsidR="00877DE5" w:rsidRPr="009472DE" w:rsidRDefault="00877DE5" w:rsidP="00067100">
      <w:pPr>
        <w:spacing w:after="0" w:line="240" w:lineRule="auto"/>
        <w:ind w:firstLine="709"/>
        <w:jc w:val="right"/>
        <w:rPr>
          <w:rFonts w:ascii="Times New Roman" w:hAnsi="Times New Roman" w:cs="Times New Roman"/>
          <w:i/>
          <w:color w:val="000000"/>
          <w:sz w:val="21"/>
          <w:szCs w:val="21"/>
        </w:rPr>
      </w:pPr>
      <w:r w:rsidRPr="009472DE">
        <w:rPr>
          <w:rFonts w:ascii="Times New Roman" w:hAnsi="Times New Roman" w:cs="Times New Roman"/>
          <w:i/>
          <w:color w:val="000000"/>
          <w:sz w:val="21"/>
          <w:szCs w:val="21"/>
        </w:rPr>
        <w:t xml:space="preserve">студент 1 курса </w:t>
      </w:r>
    </w:p>
    <w:p w14:paraId="1B4AEA04" w14:textId="77777777" w:rsidR="00877DE5" w:rsidRPr="009472DE" w:rsidRDefault="00877DE5" w:rsidP="00067100">
      <w:pPr>
        <w:spacing w:after="0" w:line="240" w:lineRule="auto"/>
        <w:ind w:firstLine="709"/>
        <w:jc w:val="right"/>
        <w:rPr>
          <w:rFonts w:ascii="Times New Roman" w:hAnsi="Times New Roman" w:cs="Times New Roman"/>
          <w:i/>
          <w:color w:val="000000"/>
          <w:sz w:val="21"/>
          <w:szCs w:val="21"/>
        </w:rPr>
      </w:pPr>
      <w:r w:rsidRPr="009472DE">
        <w:rPr>
          <w:rFonts w:ascii="Times New Roman" w:hAnsi="Times New Roman" w:cs="Times New Roman"/>
          <w:i/>
          <w:color w:val="000000"/>
          <w:sz w:val="21"/>
          <w:szCs w:val="21"/>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240065B6"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г. Краснодар, Россия</w:t>
      </w:r>
    </w:p>
    <w:p w14:paraId="3E4AAAD1" w14:textId="77777777" w:rsidR="00877DE5" w:rsidRPr="009472DE" w:rsidRDefault="00877DE5" w:rsidP="00067100">
      <w:pPr>
        <w:spacing w:after="0" w:line="240" w:lineRule="auto"/>
        <w:ind w:firstLine="709"/>
        <w:jc w:val="right"/>
        <w:rPr>
          <w:rFonts w:ascii="Times New Roman" w:hAnsi="Times New Roman" w:cs="Times New Roman"/>
          <w:i/>
          <w:color w:val="0000FF"/>
          <w:sz w:val="21"/>
          <w:szCs w:val="21"/>
        </w:rPr>
      </w:pPr>
      <w:r w:rsidRPr="009472DE">
        <w:rPr>
          <w:rFonts w:ascii="Times New Roman" w:hAnsi="Times New Roman" w:cs="Times New Roman"/>
          <w:i/>
          <w:sz w:val="21"/>
          <w:szCs w:val="21"/>
        </w:rPr>
        <w:t>е-</w:t>
      </w:r>
      <w:r w:rsidRPr="009472DE">
        <w:rPr>
          <w:rFonts w:ascii="Times New Roman" w:hAnsi="Times New Roman" w:cs="Times New Roman"/>
          <w:i/>
          <w:sz w:val="21"/>
          <w:szCs w:val="21"/>
          <w:lang w:val="en-US"/>
        </w:rPr>
        <w:t>mail</w:t>
      </w:r>
      <w:r w:rsidRPr="009472DE">
        <w:rPr>
          <w:rFonts w:ascii="Times New Roman" w:hAnsi="Times New Roman" w:cs="Times New Roman"/>
          <w:i/>
          <w:sz w:val="21"/>
          <w:szCs w:val="21"/>
        </w:rPr>
        <w:t xml:space="preserve">: </w:t>
      </w:r>
      <w:r w:rsidRPr="009472DE">
        <w:rPr>
          <w:rFonts w:ascii="Times New Roman" w:hAnsi="Times New Roman" w:cs="Times New Roman"/>
          <w:i/>
          <w:iCs/>
          <w:color w:val="0000FF"/>
          <w:sz w:val="21"/>
          <w:szCs w:val="21"/>
          <w:u w:val="single"/>
        </w:rPr>
        <w:t>vadim2811p@mail.ru</w:t>
      </w:r>
    </w:p>
    <w:p w14:paraId="5187FA80"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p>
    <w:p w14:paraId="68A1F3E3" w14:textId="77777777" w:rsidR="00877DE5" w:rsidRPr="009472DE" w:rsidRDefault="00877DE5" w:rsidP="00067100">
      <w:pPr>
        <w:spacing w:after="0" w:line="240" w:lineRule="auto"/>
        <w:ind w:firstLine="709"/>
        <w:jc w:val="right"/>
        <w:rPr>
          <w:rFonts w:ascii="Times New Roman" w:hAnsi="Times New Roman" w:cs="Times New Roman"/>
          <w:b/>
          <w:i/>
          <w:sz w:val="21"/>
          <w:szCs w:val="21"/>
        </w:rPr>
      </w:pPr>
      <w:r w:rsidRPr="009472DE">
        <w:rPr>
          <w:rFonts w:ascii="Times New Roman" w:hAnsi="Times New Roman" w:cs="Times New Roman"/>
          <w:b/>
          <w:i/>
          <w:sz w:val="21"/>
          <w:szCs w:val="21"/>
        </w:rPr>
        <w:t>Научный руководитель:</w:t>
      </w:r>
    </w:p>
    <w:p w14:paraId="2816412E" w14:textId="77777777" w:rsidR="00877DE5" w:rsidRPr="009472DE" w:rsidRDefault="00877DE5" w:rsidP="00067100">
      <w:pPr>
        <w:spacing w:after="0" w:line="240" w:lineRule="auto"/>
        <w:ind w:left="720" w:firstLine="709"/>
        <w:jc w:val="right"/>
        <w:rPr>
          <w:rFonts w:ascii="Times New Roman" w:hAnsi="Times New Roman" w:cs="Times New Roman"/>
          <w:bCs/>
          <w:i/>
          <w:sz w:val="21"/>
          <w:szCs w:val="21"/>
        </w:rPr>
      </w:pPr>
      <w:r w:rsidRPr="009472DE">
        <w:rPr>
          <w:rFonts w:ascii="Times New Roman" w:hAnsi="Times New Roman" w:cs="Times New Roman"/>
          <w:bCs/>
          <w:i/>
          <w:sz w:val="21"/>
          <w:szCs w:val="21"/>
        </w:rPr>
        <w:t xml:space="preserve">Кандидат экономических наук </w:t>
      </w:r>
      <w:r w:rsidRPr="009472DE">
        <w:rPr>
          <w:rFonts w:ascii="Times New Roman" w:hAnsi="Times New Roman" w:cs="Times New Roman"/>
          <w:b/>
          <w:i/>
          <w:sz w:val="21"/>
          <w:szCs w:val="21"/>
        </w:rPr>
        <w:t>Радченко Мария Викторовна</w:t>
      </w:r>
    </w:p>
    <w:p w14:paraId="78CF42E5"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42464C71" w14:textId="77777777" w:rsidR="00877DE5" w:rsidRPr="009472DE" w:rsidRDefault="00877DE5" w:rsidP="00067100">
      <w:pPr>
        <w:spacing w:after="0" w:line="240" w:lineRule="auto"/>
        <w:ind w:firstLine="709"/>
        <w:jc w:val="right"/>
        <w:textAlignment w:val="baseline"/>
        <w:rPr>
          <w:rFonts w:ascii="Times New Roman" w:hAnsi="Times New Roman" w:cs="Times New Roman"/>
          <w:i/>
          <w:sz w:val="21"/>
          <w:szCs w:val="21"/>
        </w:rPr>
      </w:pPr>
      <w:r w:rsidRPr="009472DE">
        <w:rPr>
          <w:rFonts w:ascii="Times New Roman" w:hAnsi="Times New Roman" w:cs="Times New Roman"/>
          <w:i/>
          <w:sz w:val="21"/>
          <w:szCs w:val="21"/>
        </w:rPr>
        <w:t>г. Краснодар, Россияе-</w:t>
      </w:r>
    </w:p>
    <w:p w14:paraId="1DEF71A1" w14:textId="77777777" w:rsidR="00877DE5" w:rsidRPr="009472DE" w:rsidRDefault="00877DE5" w:rsidP="00067100">
      <w:pPr>
        <w:spacing w:after="0" w:line="240" w:lineRule="auto"/>
        <w:ind w:firstLine="709"/>
        <w:jc w:val="right"/>
        <w:textAlignment w:val="baseline"/>
        <w:rPr>
          <w:rFonts w:ascii="Times New Roman" w:hAnsi="Times New Roman" w:cs="Times New Roman"/>
          <w:i/>
          <w:color w:val="0000FF"/>
          <w:sz w:val="21"/>
          <w:szCs w:val="21"/>
        </w:rPr>
      </w:pPr>
      <w:r w:rsidRPr="009472DE">
        <w:rPr>
          <w:rFonts w:ascii="Times New Roman" w:hAnsi="Times New Roman" w:cs="Times New Roman"/>
          <w:i/>
          <w:sz w:val="21"/>
          <w:szCs w:val="21"/>
          <w:lang w:val="en-US"/>
        </w:rPr>
        <w:t>mail</w:t>
      </w:r>
      <w:r w:rsidRPr="009472DE">
        <w:rPr>
          <w:rFonts w:ascii="Times New Roman" w:hAnsi="Times New Roman" w:cs="Times New Roman"/>
          <w:i/>
          <w:sz w:val="21"/>
          <w:szCs w:val="21"/>
        </w:rPr>
        <w:t xml:space="preserve">: </w:t>
      </w:r>
      <w:hyperlink r:id="rId115" w:history="1">
        <w:r w:rsidRPr="009472DE">
          <w:rPr>
            <w:rStyle w:val="aa"/>
            <w:rFonts w:ascii="Times New Roman" w:hAnsi="Times New Roman" w:cs="Times New Roman"/>
            <w:i/>
            <w:sz w:val="21"/>
            <w:szCs w:val="21"/>
          </w:rPr>
          <w:t>MVRadchenko@fa.ru</w:t>
        </w:r>
      </w:hyperlink>
    </w:p>
    <w:p w14:paraId="05E6FA85" w14:textId="77777777" w:rsidR="00877DE5" w:rsidRPr="009472DE" w:rsidRDefault="00877DE5" w:rsidP="00067100">
      <w:pPr>
        <w:spacing w:after="0" w:line="240" w:lineRule="auto"/>
        <w:ind w:firstLine="709"/>
        <w:jc w:val="right"/>
        <w:textAlignment w:val="baseline"/>
        <w:rPr>
          <w:rFonts w:ascii="Times New Roman" w:hAnsi="Times New Roman" w:cs="Times New Roman"/>
          <w:i/>
          <w:sz w:val="21"/>
          <w:szCs w:val="21"/>
        </w:rPr>
      </w:pPr>
    </w:p>
    <w:p w14:paraId="0925694E" w14:textId="77777777" w:rsidR="00877DE5" w:rsidRPr="009472DE" w:rsidRDefault="00877DE5" w:rsidP="00067100">
      <w:pPr>
        <w:spacing w:after="0" w:line="240" w:lineRule="auto"/>
        <w:ind w:firstLine="709"/>
        <w:jc w:val="center"/>
        <w:rPr>
          <w:rFonts w:ascii="Times New Roman" w:hAnsi="Times New Roman" w:cs="Times New Roman"/>
          <w:b/>
          <w:sz w:val="21"/>
          <w:szCs w:val="21"/>
          <w:lang w:eastAsia="ar-SA"/>
        </w:rPr>
      </w:pPr>
      <w:r w:rsidRPr="009472DE">
        <w:rPr>
          <w:rFonts w:ascii="Times New Roman" w:hAnsi="Times New Roman" w:cs="Times New Roman"/>
          <w:b/>
          <w:sz w:val="21"/>
          <w:szCs w:val="21"/>
          <w:lang w:eastAsia="ar-SA"/>
        </w:rPr>
        <w:t>Иностранные инвестиции в современной экономике России</w:t>
      </w:r>
    </w:p>
    <w:p w14:paraId="7B459685" w14:textId="77777777" w:rsidR="00877DE5" w:rsidRPr="009472DE" w:rsidRDefault="00877DE5" w:rsidP="00067100">
      <w:pPr>
        <w:spacing w:after="0" w:line="240" w:lineRule="auto"/>
        <w:ind w:firstLine="709"/>
        <w:jc w:val="both"/>
        <w:rPr>
          <w:rFonts w:ascii="Times New Roman" w:hAnsi="Times New Roman" w:cs="Times New Roman"/>
          <w:i/>
          <w:sz w:val="21"/>
          <w:szCs w:val="21"/>
          <w:shd w:val="clear" w:color="auto" w:fill="00FFFF"/>
        </w:rPr>
      </w:pPr>
    </w:p>
    <w:p w14:paraId="37AC6D92" w14:textId="77777777" w:rsidR="00877DE5" w:rsidRPr="009472DE" w:rsidRDefault="00877DE5" w:rsidP="00067100">
      <w:pPr>
        <w:spacing w:after="0" w:line="240" w:lineRule="auto"/>
        <w:ind w:firstLine="709"/>
        <w:jc w:val="both"/>
        <w:rPr>
          <w:rFonts w:ascii="Times New Roman" w:hAnsi="Times New Roman" w:cs="Times New Roman"/>
          <w:bCs/>
          <w:sz w:val="21"/>
          <w:szCs w:val="21"/>
        </w:rPr>
      </w:pPr>
      <w:r w:rsidRPr="009472DE">
        <w:rPr>
          <w:rFonts w:ascii="Times New Roman" w:hAnsi="Times New Roman" w:cs="Times New Roman"/>
          <w:b/>
          <w:sz w:val="21"/>
          <w:szCs w:val="21"/>
        </w:rPr>
        <w:t>Аннотация:</w:t>
      </w:r>
      <w:r w:rsidRPr="009472DE">
        <w:rPr>
          <w:rFonts w:ascii="Times New Roman" w:hAnsi="Times New Roman" w:cs="Times New Roman"/>
          <w:bCs/>
          <w:sz w:val="21"/>
          <w:szCs w:val="21"/>
        </w:rPr>
        <w:t xml:space="preserve"> Научная работа посвящена анализу иностранных инвестиций как инструмента экономического развития России за 2022–2024 годы. Исследуются их роль в смягчении последствий санкций, динамика и структура инвестиционных потоков, а также выявляются ключевые проблемы и перспективы. Основное внимание уделено отраслевым приоритетам, географической переориентации капитала и влиянию инвестиций на экономический рост. Предложены меры по повышению инвестиционной привлекательности и устранению барьеров. Результаты имеют значение для разработки государственной поли</w:t>
      </w:r>
      <w:r>
        <w:rPr>
          <w:rFonts w:ascii="Times New Roman" w:hAnsi="Times New Roman" w:cs="Times New Roman"/>
          <w:bCs/>
          <w:sz w:val="21"/>
          <w:szCs w:val="21"/>
        </w:rPr>
        <w:t>тики и дальнейших исследований.</w:t>
      </w:r>
    </w:p>
    <w:p w14:paraId="6CF43A40" w14:textId="77777777" w:rsidR="00877DE5" w:rsidRPr="009472DE" w:rsidRDefault="00877DE5" w:rsidP="00067100">
      <w:pPr>
        <w:spacing w:after="0" w:line="240" w:lineRule="auto"/>
        <w:ind w:firstLine="709"/>
        <w:jc w:val="both"/>
        <w:rPr>
          <w:rFonts w:ascii="Times New Roman" w:hAnsi="Times New Roman" w:cs="Times New Roman"/>
          <w:bCs/>
          <w:sz w:val="21"/>
          <w:szCs w:val="21"/>
        </w:rPr>
      </w:pPr>
      <w:r w:rsidRPr="009472DE">
        <w:rPr>
          <w:rFonts w:ascii="Times New Roman" w:hAnsi="Times New Roman" w:cs="Times New Roman"/>
          <w:b/>
          <w:sz w:val="21"/>
          <w:szCs w:val="21"/>
        </w:rPr>
        <w:t>Ключевые слова:</w:t>
      </w:r>
      <w:r w:rsidRPr="009472DE">
        <w:rPr>
          <w:rFonts w:ascii="Times New Roman" w:hAnsi="Times New Roman" w:cs="Times New Roman"/>
          <w:bCs/>
          <w:sz w:val="21"/>
          <w:szCs w:val="21"/>
        </w:rPr>
        <w:t xml:space="preserve"> иностранные инвестиции, экономическое развитие, санкции, отраслевые приоритеты, инвестиционная привлекательность, Россия.</w:t>
      </w:r>
    </w:p>
    <w:p w14:paraId="706B9CA3" w14:textId="77777777" w:rsidR="00877DE5" w:rsidRPr="009472DE" w:rsidRDefault="00877DE5" w:rsidP="00067100">
      <w:pPr>
        <w:spacing w:after="0" w:line="240" w:lineRule="auto"/>
        <w:ind w:firstLine="709"/>
        <w:jc w:val="both"/>
        <w:rPr>
          <w:rFonts w:ascii="Times New Roman" w:hAnsi="Times New Roman" w:cs="Times New Roman"/>
          <w:bCs/>
          <w:sz w:val="21"/>
          <w:szCs w:val="21"/>
        </w:rPr>
      </w:pPr>
    </w:p>
    <w:p w14:paraId="6B650EED" w14:textId="77777777" w:rsidR="00877DE5" w:rsidRPr="00567CC9" w:rsidRDefault="00877DE5" w:rsidP="00067100">
      <w:pPr>
        <w:spacing w:after="0" w:line="240" w:lineRule="auto"/>
        <w:ind w:firstLine="709"/>
        <w:jc w:val="right"/>
        <w:rPr>
          <w:rFonts w:ascii="Times New Roman" w:hAnsi="Times New Roman" w:cs="Times New Roman"/>
          <w:i/>
          <w:sz w:val="21"/>
          <w:szCs w:val="21"/>
          <w:lang w:val="en-US"/>
        </w:rPr>
      </w:pPr>
      <w:r w:rsidRPr="009472DE">
        <w:rPr>
          <w:rFonts w:ascii="Times New Roman" w:hAnsi="Times New Roman" w:cs="Times New Roman"/>
          <w:b/>
          <w:bCs/>
          <w:i/>
          <w:iCs/>
          <w:sz w:val="21"/>
          <w:szCs w:val="21"/>
          <w:lang w:val="en-US"/>
        </w:rPr>
        <w:t>Perepechai V.O.,</w:t>
      </w:r>
      <w:r w:rsidRPr="009472DE">
        <w:rPr>
          <w:rFonts w:ascii="Times New Roman" w:hAnsi="Times New Roman" w:cs="Times New Roman"/>
          <w:i/>
          <w:iCs/>
          <w:sz w:val="21"/>
          <w:szCs w:val="21"/>
          <w:lang w:val="en-US"/>
        </w:rPr>
        <w:br/>
      </w:r>
      <w:r w:rsidRPr="00567CC9">
        <w:rPr>
          <w:rFonts w:ascii="Times New Roman" w:hAnsi="Times New Roman" w:cs="Times New Roman"/>
          <w:i/>
          <w:iCs/>
          <w:sz w:val="21"/>
          <w:szCs w:val="21"/>
          <w:lang w:val="en-US"/>
        </w:rPr>
        <w:t>1st year student</w:t>
      </w:r>
      <w:r w:rsidRPr="00567CC9">
        <w:rPr>
          <w:rFonts w:ascii="Times New Roman" w:hAnsi="Times New Roman" w:cs="Times New Roman"/>
          <w:i/>
          <w:iCs/>
          <w:sz w:val="21"/>
          <w:szCs w:val="21"/>
          <w:lang w:val="en-US"/>
        </w:rPr>
        <w:br/>
        <w:t>Federal State Budgetary Educational Institution of Higher Education “Financial University under the Government of the Russian Federation”</w:t>
      </w:r>
      <w:r w:rsidRPr="00567CC9">
        <w:rPr>
          <w:rFonts w:ascii="Times New Roman" w:hAnsi="Times New Roman" w:cs="Times New Roman"/>
          <w:i/>
          <w:iCs/>
          <w:sz w:val="21"/>
          <w:szCs w:val="21"/>
          <w:lang w:val="en-US"/>
        </w:rPr>
        <w:br/>
        <w:t>Krasnodar, Russia</w:t>
      </w:r>
      <w:r w:rsidRPr="00567CC9">
        <w:rPr>
          <w:rFonts w:ascii="Times New Roman" w:hAnsi="Times New Roman" w:cs="Times New Roman"/>
          <w:i/>
          <w:iCs/>
          <w:sz w:val="21"/>
          <w:szCs w:val="21"/>
          <w:lang w:val="en-US"/>
        </w:rPr>
        <w:br/>
      </w:r>
      <w:r w:rsidRPr="00567CC9">
        <w:rPr>
          <w:rFonts w:ascii="Times New Roman" w:hAnsi="Times New Roman" w:cs="Times New Roman"/>
          <w:i/>
          <w:iCs/>
          <w:sz w:val="21"/>
          <w:szCs w:val="21"/>
        </w:rPr>
        <w:t>е</w:t>
      </w:r>
      <w:r w:rsidRPr="00567CC9">
        <w:rPr>
          <w:rFonts w:ascii="Times New Roman" w:hAnsi="Times New Roman" w:cs="Times New Roman"/>
          <w:i/>
          <w:iCs/>
          <w:sz w:val="21"/>
          <w:szCs w:val="21"/>
          <w:lang w:val="en-US"/>
        </w:rPr>
        <w:t xml:space="preserve">-mail: </w:t>
      </w:r>
      <w:hyperlink r:id="rId116" w:history="1">
        <w:r w:rsidRPr="006459B2">
          <w:rPr>
            <w:rStyle w:val="aa"/>
            <w:rFonts w:ascii="Times New Roman" w:hAnsi="Times New Roman" w:cs="Times New Roman"/>
            <w:i/>
            <w:iCs/>
            <w:sz w:val="21"/>
            <w:szCs w:val="21"/>
            <w:lang w:val="en-US"/>
          </w:rPr>
          <w:t>vadim2811p@mail.ru</w:t>
        </w:r>
      </w:hyperlink>
      <w:r w:rsidRPr="00567CC9">
        <w:rPr>
          <w:rFonts w:ascii="Times New Roman" w:hAnsi="Times New Roman" w:cs="Times New Roman"/>
          <w:i/>
          <w:iCs/>
          <w:sz w:val="21"/>
          <w:szCs w:val="21"/>
          <w:u w:val="single"/>
          <w:lang w:val="en-US"/>
        </w:rPr>
        <w:t xml:space="preserve"> </w:t>
      </w:r>
    </w:p>
    <w:p w14:paraId="1EFA81BA" w14:textId="77777777" w:rsidR="00877DE5" w:rsidRPr="00567CC9" w:rsidRDefault="00877DE5" w:rsidP="00067100">
      <w:pPr>
        <w:spacing w:after="0" w:line="240" w:lineRule="auto"/>
        <w:ind w:firstLine="709"/>
        <w:rPr>
          <w:rFonts w:ascii="Times New Roman" w:hAnsi="Times New Roman" w:cs="Times New Roman"/>
          <w:i/>
          <w:iCs/>
          <w:sz w:val="21"/>
          <w:szCs w:val="21"/>
          <w:lang w:val="en-US"/>
        </w:rPr>
      </w:pPr>
    </w:p>
    <w:p w14:paraId="0B4F7824" w14:textId="77777777" w:rsidR="00877DE5" w:rsidRPr="009472DE" w:rsidRDefault="00877DE5" w:rsidP="00067100">
      <w:pPr>
        <w:spacing w:after="0" w:line="240" w:lineRule="auto"/>
        <w:ind w:firstLine="709"/>
        <w:jc w:val="right"/>
        <w:rPr>
          <w:rFonts w:ascii="Times New Roman" w:hAnsi="Times New Roman" w:cs="Times New Roman"/>
          <w:i/>
          <w:iCs/>
          <w:sz w:val="21"/>
          <w:szCs w:val="21"/>
          <w:lang w:val="en-US"/>
        </w:rPr>
      </w:pPr>
      <w:r w:rsidRPr="00567CC9">
        <w:rPr>
          <w:rFonts w:ascii="Times New Roman" w:hAnsi="Times New Roman" w:cs="Times New Roman"/>
          <w:b/>
          <w:bCs/>
          <w:i/>
          <w:iCs/>
          <w:sz w:val="21"/>
          <w:szCs w:val="21"/>
          <w:lang w:val="en-US"/>
        </w:rPr>
        <w:t>Scientific Adviser:</w:t>
      </w:r>
      <w:r w:rsidRPr="00567CC9">
        <w:rPr>
          <w:rFonts w:ascii="Times New Roman" w:hAnsi="Times New Roman" w:cs="Times New Roman"/>
          <w:b/>
          <w:bCs/>
          <w:i/>
          <w:iCs/>
          <w:sz w:val="21"/>
          <w:szCs w:val="21"/>
          <w:lang w:val="en-US"/>
        </w:rPr>
        <w:br/>
        <w:t>Radchenko M.V</w:t>
      </w:r>
      <w:r w:rsidRPr="00567CC9">
        <w:rPr>
          <w:rFonts w:ascii="Times New Roman" w:hAnsi="Times New Roman" w:cs="Times New Roman"/>
          <w:i/>
          <w:iCs/>
          <w:sz w:val="21"/>
          <w:szCs w:val="21"/>
          <w:lang w:val="en-US"/>
        </w:rPr>
        <w:t>.,</w:t>
      </w:r>
      <w:r w:rsidRPr="00567CC9">
        <w:rPr>
          <w:rFonts w:ascii="Times New Roman" w:hAnsi="Times New Roman" w:cs="Times New Roman"/>
          <w:i/>
          <w:iCs/>
          <w:sz w:val="21"/>
          <w:szCs w:val="21"/>
          <w:lang w:val="en-US"/>
        </w:rPr>
        <w:br/>
        <w:t>Candidate of Economic Sciences</w:t>
      </w:r>
      <w:r w:rsidRPr="00567CC9">
        <w:rPr>
          <w:rFonts w:ascii="Times New Roman" w:hAnsi="Times New Roman" w:cs="Times New Roman"/>
          <w:i/>
          <w:iCs/>
          <w:sz w:val="21"/>
          <w:szCs w:val="21"/>
          <w:lang w:val="en-US"/>
        </w:rPr>
        <w:br/>
        <w:t>Federal State Budgetary Educational Institution of Higher Education “Financial University under the Government of the Russian Federation</w:t>
      </w:r>
      <w:r w:rsidRPr="009472DE">
        <w:rPr>
          <w:rFonts w:ascii="Times New Roman" w:hAnsi="Times New Roman" w:cs="Times New Roman"/>
          <w:i/>
          <w:iCs/>
          <w:sz w:val="21"/>
          <w:szCs w:val="21"/>
          <w:lang w:val="en-US"/>
        </w:rPr>
        <w:t>”</w:t>
      </w:r>
      <w:r w:rsidRPr="009472DE">
        <w:rPr>
          <w:rFonts w:ascii="Times New Roman" w:hAnsi="Times New Roman" w:cs="Times New Roman"/>
          <w:i/>
          <w:iCs/>
          <w:sz w:val="21"/>
          <w:szCs w:val="21"/>
          <w:lang w:val="en-US"/>
        </w:rPr>
        <w:br/>
        <w:t>Krasnodar, Russia</w:t>
      </w:r>
      <w:r w:rsidRPr="009472DE">
        <w:rPr>
          <w:rFonts w:ascii="Times New Roman" w:hAnsi="Times New Roman" w:cs="Times New Roman"/>
          <w:i/>
          <w:iCs/>
          <w:sz w:val="21"/>
          <w:szCs w:val="21"/>
          <w:lang w:val="en-US"/>
        </w:rPr>
        <w:br/>
      </w:r>
      <w:r w:rsidRPr="009472DE">
        <w:rPr>
          <w:rFonts w:ascii="Times New Roman" w:hAnsi="Times New Roman" w:cs="Times New Roman"/>
          <w:i/>
          <w:iCs/>
          <w:sz w:val="21"/>
          <w:szCs w:val="21"/>
        </w:rPr>
        <w:t>е</w:t>
      </w:r>
      <w:r w:rsidRPr="009472DE">
        <w:rPr>
          <w:rFonts w:ascii="Times New Roman" w:hAnsi="Times New Roman" w:cs="Times New Roman"/>
          <w:i/>
          <w:iCs/>
          <w:sz w:val="21"/>
          <w:szCs w:val="21"/>
          <w:lang w:val="en-US"/>
        </w:rPr>
        <w:t xml:space="preserve">-mail: </w:t>
      </w:r>
      <w:hyperlink r:id="rId117" w:tgtFrame="_blank" w:history="1">
        <w:r w:rsidRPr="009472DE">
          <w:rPr>
            <w:rStyle w:val="aa"/>
            <w:rFonts w:ascii="Times New Roman" w:hAnsi="Times New Roman" w:cs="Times New Roman"/>
            <w:i/>
            <w:iCs/>
            <w:sz w:val="21"/>
            <w:szCs w:val="21"/>
            <w:lang w:val="en-US"/>
          </w:rPr>
          <w:t>MVRadchenko@fa.ru</w:t>
        </w:r>
      </w:hyperlink>
    </w:p>
    <w:p w14:paraId="02C0C011" w14:textId="77777777" w:rsidR="00877DE5" w:rsidRPr="009472DE" w:rsidRDefault="00877DE5" w:rsidP="00067100">
      <w:pPr>
        <w:pStyle w:val="af5"/>
        <w:spacing w:before="0" w:after="0"/>
        <w:ind w:firstLine="709"/>
        <w:jc w:val="right"/>
        <w:rPr>
          <w:rFonts w:ascii="Times New Roman" w:hAnsi="Times New Roman"/>
          <w:sz w:val="21"/>
          <w:szCs w:val="21"/>
          <w:lang w:val="en-US"/>
        </w:rPr>
      </w:pPr>
    </w:p>
    <w:p w14:paraId="37950E7D" w14:textId="77777777" w:rsidR="00877DE5" w:rsidRDefault="00877DE5" w:rsidP="00067100">
      <w:pPr>
        <w:pStyle w:val="af5"/>
        <w:spacing w:before="0" w:after="0"/>
        <w:ind w:firstLine="709"/>
        <w:jc w:val="center"/>
        <w:rPr>
          <w:rFonts w:ascii="Times New Roman" w:hAnsi="Times New Roman"/>
          <w:b/>
          <w:bCs/>
          <w:sz w:val="21"/>
          <w:szCs w:val="21"/>
          <w:lang w:val="x-none"/>
        </w:rPr>
      </w:pPr>
      <w:r w:rsidRPr="009472DE">
        <w:rPr>
          <w:rFonts w:ascii="Times New Roman" w:hAnsi="Times New Roman"/>
          <w:b/>
          <w:bCs/>
          <w:sz w:val="21"/>
          <w:szCs w:val="21"/>
          <w:lang w:val="x-none"/>
        </w:rPr>
        <w:t>Foreign Investments in the Modern Russian Economy</w:t>
      </w:r>
    </w:p>
    <w:p w14:paraId="6C59A1BC" w14:textId="77777777" w:rsidR="00877DE5" w:rsidRPr="009472DE" w:rsidRDefault="00877DE5" w:rsidP="00067100">
      <w:pPr>
        <w:pStyle w:val="af5"/>
        <w:spacing w:before="0" w:after="0"/>
        <w:ind w:firstLine="709"/>
        <w:jc w:val="center"/>
        <w:rPr>
          <w:rFonts w:ascii="Times New Roman" w:hAnsi="Times New Roman"/>
          <w:sz w:val="21"/>
          <w:szCs w:val="21"/>
          <w:lang w:val="en-US"/>
        </w:rPr>
      </w:pPr>
    </w:p>
    <w:p w14:paraId="459E8F59" w14:textId="77777777" w:rsidR="00877DE5" w:rsidRPr="009472DE" w:rsidRDefault="00877DE5" w:rsidP="00067100">
      <w:pPr>
        <w:spacing w:after="0" w:line="240" w:lineRule="auto"/>
        <w:ind w:firstLine="709"/>
        <w:jc w:val="both"/>
        <w:rPr>
          <w:rFonts w:ascii="Times New Roman" w:hAnsi="Times New Roman" w:cs="Times New Roman"/>
          <w:sz w:val="21"/>
          <w:szCs w:val="21"/>
          <w:lang w:val="en-US"/>
        </w:rPr>
      </w:pPr>
      <w:r w:rsidRPr="009472DE">
        <w:rPr>
          <w:rFonts w:ascii="Times New Roman" w:hAnsi="Times New Roman" w:cs="Times New Roman"/>
          <w:b/>
          <w:bCs/>
          <w:sz w:val="21"/>
          <w:szCs w:val="21"/>
          <w:lang w:val="en-US"/>
        </w:rPr>
        <w:lastRenderedPageBreak/>
        <w:t>Abstract:</w:t>
      </w:r>
      <w:r w:rsidRPr="009472DE">
        <w:rPr>
          <w:rFonts w:ascii="Times New Roman" w:hAnsi="Times New Roman" w:cs="Times New Roman"/>
          <w:sz w:val="21"/>
          <w:szCs w:val="21"/>
          <w:lang w:val="en-US"/>
        </w:rPr>
        <w:t xml:space="preserve"> The research is devoted to the analysis of fiscal and tax regulation as a tool of stabilization policy in Russia for 2022–2024. It examines its role in mitigating the consequences of sanctions and economic crises, the effectiveness of fiscal measures, and identifies key challenges and prospects. Particular attention is paid to the budget structure, tax reforms, and their impact on economic growth. Measures for revenue diversification and increased transparency are proposed. The results are significant for the development of public policy and further research.</w:t>
      </w:r>
    </w:p>
    <w:p w14:paraId="6EEE3274" w14:textId="77777777" w:rsidR="00877DE5" w:rsidRPr="009472DE" w:rsidRDefault="00877DE5" w:rsidP="00067100">
      <w:pPr>
        <w:spacing w:after="0" w:line="240" w:lineRule="auto"/>
        <w:ind w:firstLine="709"/>
        <w:jc w:val="both"/>
        <w:rPr>
          <w:rFonts w:ascii="Times New Roman" w:hAnsi="Times New Roman" w:cs="Times New Roman"/>
          <w:sz w:val="21"/>
          <w:szCs w:val="21"/>
          <w:lang w:val="en-US"/>
        </w:rPr>
      </w:pPr>
      <w:r w:rsidRPr="009472DE">
        <w:rPr>
          <w:rFonts w:ascii="Times New Roman" w:hAnsi="Times New Roman" w:cs="Times New Roman"/>
          <w:b/>
          <w:bCs/>
          <w:sz w:val="21"/>
          <w:szCs w:val="21"/>
          <w:lang w:val="en-US"/>
        </w:rPr>
        <w:t>Keywords:</w:t>
      </w:r>
      <w:r w:rsidRPr="009472DE">
        <w:rPr>
          <w:rFonts w:ascii="Times New Roman" w:hAnsi="Times New Roman" w:cs="Times New Roman"/>
          <w:sz w:val="21"/>
          <w:szCs w:val="21"/>
          <w:lang w:val="en-US"/>
        </w:rPr>
        <w:t xml:space="preserve"> fiscal and tax regulation, stabilization policy, fiscal measures, economic crisis, diversification, inflation, Russia.</w:t>
      </w:r>
    </w:p>
    <w:p w14:paraId="43128646" w14:textId="77777777" w:rsidR="00877DE5" w:rsidRPr="00877DE5" w:rsidRDefault="00877DE5" w:rsidP="00067100">
      <w:pPr>
        <w:pStyle w:val="af5"/>
        <w:spacing w:before="0" w:after="0"/>
        <w:ind w:firstLine="709"/>
        <w:rPr>
          <w:rFonts w:ascii="Times New Roman" w:hAnsi="Times New Roman"/>
          <w:lang w:val="en-US"/>
        </w:rPr>
      </w:pPr>
    </w:p>
    <w:p w14:paraId="38B60844"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 условиях глобальной экономической нестабильности и санкционного давления, начавшегося в 2022 году, иностранные инвестиции стали важным инструментом поддержания устойчивости российской экономики. Эти капиталовложения обеспечивали модернизацию производства, создание рабочих мест и укрепление связей с незападными экономическими системами. Анализ данных за 2022–2024 годы показывает, что переориентация на капитал из дружественных стран, таких как Китай, Индия и государства Центральной Азии, позволила избежать глубокого инвестиционного кризиса, прогнозировавшегося в 2022 году на уровне 50-процентного сокращения притока, и достичь роста прямых иностранных инвестиций до 1100 миллиардов рублей к 2024 году. Однако геополитические ограничения, бюрократические барьеры и недостаточная прозрачность инвестиционного климата требуют дальнейшего совершенствования государственной политики для обеспечения долгосрочного экономического роста.</w:t>
      </w:r>
    </w:p>
    <w:p w14:paraId="3A67F491"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Иностранные инвестиции представляют собой вложения капитала резидентами одной страны в экономические объекты другой с целью получения прибыли или достижения стратегических задач. Этот процесс включает передачу финансовых ресурсов, технологий или интеллектуальной собственности, что делает его важным элементом международных экономических отношений. В экономической теории такие вложения рассматриваются как механизм интеграции национальных экономик в глобальную систему, стимулирующий развитие производства и обеспечивающий доступ к передовым знаниям. Для России иностранные инвестиции выполняют функции притока капитала, необходимого для расширения производственных мощностей, и передачи современных технологий, повышающих эффективность местных компаний. Однако их приток сопряжён с рисками, такими как усиление зависимости от внешнего финансирования, что требует сбалансированного регулирования.</w:t>
      </w:r>
    </w:p>
    <w:p w14:paraId="411E2CAD"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Роль иностранных инвестиций в экономическом развитии заключается в расширении производственных мощностей, </w:t>
      </w:r>
      <w:r w:rsidRPr="009472DE">
        <w:rPr>
          <w:rFonts w:ascii="Times New Roman" w:hAnsi="Times New Roman" w:cs="Times New Roman"/>
          <w:sz w:val="32"/>
          <w:szCs w:val="32"/>
        </w:rPr>
        <w:lastRenderedPageBreak/>
        <w:t>модернизации промышленности и улучшении инфраструктуры. Эти вложения способствуют включению местных производителей в международные цепочки поставок, открывая доступ к новым рынкам. Создание предприятий с зарубежным капиталом сокращает безработицу и стимулирует развитие человеческого капитала через обучение работников. В России в 2022–2024 годах иностранные инвестиции поддерживали экономическую стабильность, особенно в условиях санкций, способствуя росту ВВП на 4% к 2024 году. Государственная политика, включая налоговые льготы и упрощённые процедуры, сыграла ключевую роль в привлечении капитала, хотя санкции существенно изменили структуру и динамику инвестиционных потоков.</w:t>
      </w:r>
    </w:p>
    <w:p w14:paraId="3DA4C60F"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Динамика иностранных инвестиций в 2022–2024 годах отражала сложные условия, вызванные санкциями. В 2022 году общий объём инвестиций сократился до 823 миллиардов рублей, что на 691 миллиард рублей меньше, чем в 2021 году, из-за ухода западных инвесторов, таких как BP и Shell, особенно из нефтегазового сектора, где вложения упали с 137 миллиардов рублей до 44,9 миллиарда рублей. В 2023 году приток капитала начал восстанавливаться, достигнув 950 миллиардов рублей, а к 2024 году, по оценкам, он вырос до 1100 миллиардов рублей благодаря сотрудничеству с азиатскими и ближневосточными партнёрами. Доля прямых инвестиций увеличилась с 5,5% в 2022 году до 6,8% в 2024 году, что указывает на интерес к долгосрочным проектам. Китай стал ведущим инвестором, направив средства в энергетику и промышленность, а Индия увеличила вложения в фармацевтику и информационные технологии. Инвестиции из Центральной Азии выросли в четыре раза, превысив 4 миллиарда долларов в 2022 году, что привело к созданию более 10 тысяч совместных предприятий.</w:t>
      </w:r>
    </w:p>
    <w:p w14:paraId="754F05C9"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Отраслевые приоритеты иностранных инвестиций сместились от сырьевых секторов к отраслям, обеспечивающим импортозамещение. Обрабатывающая промышленность привлекла значительные средства, увеличив вложения с 12,5 миллиарда рублей в 2022 году до 22 миллиардов рублей в 2024 году. Китайская компания BYD в 2023 году запустила производство электромобилей в Калужской области, создав 5000 рабочих мест и внедрив технологии в автопром. Индийские инвесторы финансировали производство компонентов для электроники, поддерживая программы импортозамещения. Сельское хозяйство также стало важным направлением: казахстанские </w:t>
      </w:r>
      <w:r w:rsidRPr="009472DE">
        <w:rPr>
          <w:rFonts w:ascii="Times New Roman" w:hAnsi="Times New Roman" w:cs="Times New Roman"/>
          <w:sz w:val="32"/>
          <w:szCs w:val="32"/>
        </w:rPr>
        <w:lastRenderedPageBreak/>
        <w:t>компании в 2022 году вложили 2 миллиарда рублей в тепличные комплексы Южного федерального округа, увеличив производство овощей, а турецкие инвесторы в 2024 году финансировали переработку зерновых в Ростовской области, ориентируясь на экспорт. Информационные технологии привлекали капитал из Индии, где компании, такие как Tata Consultancy Services, создавали центры разработки в Москве, хотя объём вложений оставался ниже — 9,5 миллиарда рублей в 2024 году.</w:t>
      </w:r>
    </w:p>
    <w:p w14:paraId="739DF623"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Государственная поддержка сыграла решающую роль в привлечении инвестиций. Создание особых экономических зон, таких как в Приморском крае, привлекло китайских инвесторов в производство строительных материалов в 2023 году. Налоговые льготы для аграрного сектора увеличили вложения на 2 миллиарда рублей в Воронежской области в 2024 году. Упрощённые процедуры для инвесторов из дружественных стран сократили сроки согласования проектов, как в Алтайском крае, где казахстанский проект по переработке зерна получил 1,5 миллиарда рублей. Эти меры способствовали росту числа новых инвестиционных проектов с 150 в 2022 году до 200 в 2024 году, несмотря на сохраняющийся отток капитала, который сократился с 243 миллиардов рублей в 2022 году до 150 миллиардов рублей в 2024 году.</w:t>
      </w:r>
    </w:p>
    <w:p w14:paraId="0DF8A251"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Привлечение иностранных инвестиций столкнулось с рядом проблем. Геополитическая неопределённость, вызванная санкциями, снижала доверие инвесторов, особенно в высокотехнологичных отраслях. В 2022 году заморозка резервов на 280 миллиардов долларов ограничила доступ к финансированию, а ослабление рубля на 25% увеличило стоимость импортных технологий на 30%, затронув IT-сектор. Бюрократические барьеры замедляли проекты: в 2022–2023 годах инвесторы из Казахстана сталкивались с длительными процедурами регистрации, что увеличивало сроки запуска на 20%. Недостаточная прозрачность инвестиционного климата привела к ухудшению позиции России в рейтинге Doing Business с 28 места в 2022 году до 33 места в 2024 году. Дефицит кадров в IT-секторе достиг 1,2 миллиона специалистов к 2024 году, что на 15% выше, чем в 2022 году, замедляя инновации.</w:t>
      </w:r>
    </w:p>
    <w:p w14:paraId="1677ABCF"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Региональные диспропорции также осложняли привлечение капитала. Краснодарский край в 2024 году получил 15% всех инвестиций, тогда как Республика Алтай — менее 1%, что усиливало экономическое неравенство. Для решения этой проблемы в менее </w:t>
      </w:r>
      <w:r w:rsidRPr="009472DE">
        <w:rPr>
          <w:rFonts w:ascii="Times New Roman" w:hAnsi="Times New Roman" w:cs="Times New Roman"/>
          <w:sz w:val="32"/>
          <w:szCs w:val="32"/>
        </w:rPr>
        <w:lastRenderedPageBreak/>
        <w:t>развитых регионах внедрялись дифференцированные налоговые льготы, как в Калужской области, где рост числа новых компаний составил 12% в 2024 году. Ограниченный доступ к международным финансовым рынкам затруднял трансграничные платежи, но развитие расчётов в юанях, достигшее 30% в торговле с Китаем в 2023 году, упростило финансирование проектов, таких как заводы электроники в Подмосковье.</w:t>
      </w:r>
    </w:p>
    <w:p w14:paraId="0806E863"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Для повышения инвестиционной привлекательности необходимо ускорить диверсификацию экономики. Инвестиции в информационные технологии и биотехнологии могут увеличить ненефтегазовые доходы на 10% к 2030 году. Расширение льготных зон, подобных Приморскому краю, привлечёт капитал в производство. Упрощение процедур регистрации сократит сроки запуска проектов на 15%, как показала практика Алтайского края. Цифровизация мониторинга инвестиций, по примеру Сингапура, повысит прозрачность на 5–7%, укрепляя доверие инвесторов. Льготное кредитование под 3–5% увеличит вклад малого бизнеса в ВВП с 20% до 25% к 2030 году. Программы подготовки кадров, увеличившие число IT-специалистов на 15% в 2024 году, следует масштабировать для устранения дефицита.</w:t>
      </w:r>
    </w:p>
    <w:p w14:paraId="0C0DDCAF"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Иностранные инвестиции в 2022–2024 годах сыграли ключевую роль в стабилизации российской экономики, поддержав рост ВВП и смягчив последствия санкций. Переориентация на дружественные страны, развитие обрабатывающей промышленности, сельского хозяйства и информационных технологий обеспечили устойчивость, но геополитические и структурные барьеры сохраняются. Предложенные меры — диверсификация, цифровизация, прозрачность и региональная поддержка — создадут условия для устойчивого притока капитала. </w:t>
      </w:r>
    </w:p>
    <w:p w14:paraId="0AD7DA54" w14:textId="77777777" w:rsidR="00877DE5" w:rsidRPr="009472DE" w:rsidRDefault="00877DE5" w:rsidP="00067100">
      <w:pPr>
        <w:shd w:val="clear" w:color="auto" w:fill="FFFFFF"/>
        <w:spacing w:after="0" w:line="240" w:lineRule="auto"/>
        <w:ind w:firstLine="709"/>
        <w:jc w:val="both"/>
        <w:rPr>
          <w:rFonts w:ascii="Times New Roman" w:hAnsi="Times New Roman" w:cs="Times New Roman"/>
          <w:color w:val="000000"/>
          <w:sz w:val="21"/>
          <w:szCs w:val="21"/>
        </w:rPr>
      </w:pPr>
    </w:p>
    <w:p w14:paraId="15DF7733" w14:textId="77777777" w:rsidR="00877DE5" w:rsidRPr="00771A1E" w:rsidRDefault="00877DE5" w:rsidP="00D01EB8">
      <w:pPr>
        <w:shd w:val="clear" w:color="auto" w:fill="FFFFFF"/>
        <w:spacing w:after="0" w:line="240" w:lineRule="auto"/>
        <w:ind w:firstLine="709"/>
        <w:jc w:val="center"/>
        <w:rPr>
          <w:rFonts w:ascii="Times New Roman" w:hAnsi="Times New Roman" w:cs="Times New Roman"/>
          <w:b/>
          <w:color w:val="000000"/>
          <w:sz w:val="21"/>
          <w:szCs w:val="21"/>
        </w:rPr>
      </w:pPr>
      <w:r>
        <w:rPr>
          <w:rFonts w:ascii="Times New Roman" w:hAnsi="Times New Roman" w:cs="Times New Roman"/>
          <w:b/>
          <w:color w:val="000000"/>
          <w:sz w:val="21"/>
          <w:szCs w:val="21"/>
        </w:rPr>
        <w:t>Литература:</w:t>
      </w:r>
    </w:p>
    <w:p w14:paraId="38EC9939" w14:textId="77777777" w:rsidR="00877DE5" w:rsidRPr="00771A1E" w:rsidRDefault="00877DE5" w:rsidP="00AD58CD">
      <w:pPr>
        <w:pStyle w:val="afc"/>
        <w:numPr>
          <w:ilvl w:val="0"/>
          <w:numId w:val="8"/>
        </w:numPr>
        <w:tabs>
          <w:tab w:val="clear" w:pos="720"/>
          <w:tab w:val="left" w:pos="0"/>
          <w:tab w:val="left" w:pos="284"/>
        </w:tabs>
        <w:ind w:left="0" w:firstLine="0"/>
        <w:rPr>
          <w:rFonts w:eastAsia="Times New Roman" w:cs="Times New Roman"/>
          <w:lang w:val="x-none"/>
        </w:rPr>
      </w:pPr>
      <w:r w:rsidRPr="00771A1E">
        <w:rPr>
          <w:rFonts w:eastAsia="Times New Roman" w:cs="Times New Roman"/>
          <w:lang w:val="x-none"/>
        </w:rPr>
        <w:t xml:space="preserve">Федеральный закон от 25.02.1999 г. № 39-ФЗ «Об инвестиционной деятельности в Российской Федерации, осуществляемой в форме капитальных вложений» (с изм. и доп.). URL: </w:t>
      </w:r>
      <w:hyperlink r:id="rId118" w:tgtFrame="_blank" w:history="1">
        <w:r w:rsidRPr="00771A1E">
          <w:rPr>
            <w:rFonts w:eastAsia="Times New Roman"/>
            <w:lang w:val="x-none"/>
          </w:rPr>
          <w:t>http://www.consultant.ru</w:t>
        </w:r>
      </w:hyperlink>
      <w:r w:rsidRPr="00771A1E">
        <w:rPr>
          <w:rFonts w:eastAsia="Times New Roman" w:cs="Times New Roman"/>
          <w:lang w:val="x-none"/>
        </w:rPr>
        <w:t xml:space="preserve"> (дата обращения: 01.05.2025).</w:t>
      </w:r>
    </w:p>
    <w:p w14:paraId="67BEF44D" w14:textId="77777777" w:rsidR="00877DE5" w:rsidRPr="00771A1E" w:rsidRDefault="00877DE5" w:rsidP="00AD58CD">
      <w:pPr>
        <w:pStyle w:val="afc"/>
        <w:numPr>
          <w:ilvl w:val="0"/>
          <w:numId w:val="8"/>
        </w:numPr>
        <w:tabs>
          <w:tab w:val="clear" w:pos="720"/>
          <w:tab w:val="left" w:pos="0"/>
          <w:tab w:val="left" w:pos="284"/>
        </w:tabs>
        <w:ind w:left="0" w:firstLine="0"/>
        <w:rPr>
          <w:rFonts w:eastAsia="Times New Roman" w:cs="Times New Roman"/>
          <w:lang w:val="x-none"/>
        </w:rPr>
      </w:pPr>
      <w:r w:rsidRPr="00771A1E">
        <w:rPr>
          <w:rFonts w:eastAsia="Times New Roman" w:cs="Times New Roman"/>
          <w:lang w:val="x-none"/>
        </w:rPr>
        <w:t xml:space="preserve">Федеральный закон от 09.07.1999 г. № 160-ФЗ «Об иностранных инвестициях в Российской Федерации» (с изм. и доп.). URL: </w:t>
      </w:r>
      <w:hyperlink r:id="rId119" w:tgtFrame="_blank" w:history="1">
        <w:r w:rsidRPr="00771A1E">
          <w:rPr>
            <w:rFonts w:eastAsia="Times New Roman"/>
            <w:lang w:val="x-none"/>
          </w:rPr>
          <w:t>http://www.consultant.ru</w:t>
        </w:r>
      </w:hyperlink>
      <w:r w:rsidRPr="00771A1E">
        <w:rPr>
          <w:rFonts w:eastAsia="Times New Roman" w:cs="Times New Roman"/>
          <w:lang w:val="x-none"/>
        </w:rPr>
        <w:t xml:space="preserve"> (дата обращения: 02.05.2025).</w:t>
      </w:r>
    </w:p>
    <w:p w14:paraId="23AF0A96" w14:textId="77777777" w:rsidR="00877DE5" w:rsidRPr="00771A1E" w:rsidRDefault="00877DE5" w:rsidP="00AD58CD">
      <w:pPr>
        <w:pStyle w:val="afc"/>
        <w:numPr>
          <w:ilvl w:val="0"/>
          <w:numId w:val="8"/>
        </w:numPr>
        <w:tabs>
          <w:tab w:val="clear" w:pos="720"/>
          <w:tab w:val="left" w:pos="0"/>
          <w:tab w:val="left" w:pos="284"/>
        </w:tabs>
        <w:ind w:left="0" w:firstLine="0"/>
        <w:rPr>
          <w:rFonts w:eastAsia="Times New Roman" w:cs="Times New Roman"/>
          <w:lang w:val="x-none"/>
        </w:rPr>
      </w:pPr>
      <w:r w:rsidRPr="00771A1E">
        <w:rPr>
          <w:rFonts w:eastAsia="Times New Roman" w:cs="Times New Roman"/>
          <w:lang w:val="x-none"/>
        </w:rPr>
        <w:t xml:space="preserve">Указ Президента РФ от 07.05.2024 г. № 309 «О национальных целях развития Российской Федерации на период до 2030 года и на перспективу до 2036 года». URL: </w:t>
      </w:r>
      <w:hyperlink r:id="rId120" w:tgtFrame="_blank" w:history="1">
        <w:r w:rsidRPr="00771A1E">
          <w:rPr>
            <w:rFonts w:eastAsia="Times New Roman"/>
            <w:lang w:val="x-none"/>
          </w:rPr>
          <w:t>http://www.consultant.ru</w:t>
        </w:r>
      </w:hyperlink>
      <w:r w:rsidRPr="00771A1E">
        <w:rPr>
          <w:rFonts w:eastAsia="Times New Roman" w:cs="Times New Roman"/>
          <w:lang w:val="x-none"/>
        </w:rPr>
        <w:t xml:space="preserve"> (дата обращения: 03.05.2025).</w:t>
      </w:r>
    </w:p>
    <w:p w14:paraId="0D35E374" w14:textId="77777777" w:rsidR="00877DE5" w:rsidRDefault="00877DE5" w:rsidP="00AD58CD">
      <w:pPr>
        <w:pStyle w:val="afc"/>
        <w:numPr>
          <w:ilvl w:val="0"/>
          <w:numId w:val="8"/>
        </w:numPr>
        <w:tabs>
          <w:tab w:val="clear" w:pos="720"/>
          <w:tab w:val="left" w:pos="0"/>
          <w:tab w:val="left" w:pos="284"/>
        </w:tabs>
        <w:ind w:left="0" w:firstLine="0"/>
        <w:rPr>
          <w:rFonts w:eastAsia="Times New Roman" w:cs="Times New Roman"/>
          <w:lang w:val="x-none"/>
        </w:rPr>
      </w:pPr>
      <w:r w:rsidRPr="00771A1E">
        <w:rPr>
          <w:rFonts w:eastAsia="Times New Roman" w:cs="Times New Roman"/>
          <w:lang w:val="x-none"/>
        </w:rPr>
        <w:t>Волков В.Д. Инвестиционный климат России: проблемы и решения. Москва: Экономика, 2023. 350 с. (дата обращения: 10.05.2025).</w:t>
      </w:r>
    </w:p>
    <w:p w14:paraId="67638D24" w14:textId="7729CA81" w:rsidR="00B41576" w:rsidRDefault="00B41576">
      <w:pPr>
        <w:rPr>
          <w:rFonts w:ascii="Times New Roman" w:eastAsia="Times New Roman" w:hAnsi="Times New Roman" w:cs="Times New Roman"/>
          <w:sz w:val="21"/>
          <w:szCs w:val="21"/>
          <w:lang w:val="x-none" w:eastAsia="ar-SA"/>
        </w:rPr>
      </w:pPr>
      <w:bookmarkStart w:id="10" w:name="_Hlk204899288"/>
      <w:r>
        <w:rPr>
          <w:rFonts w:eastAsia="Times New Roman" w:cs="Times New Roman"/>
          <w:lang w:val="x-none"/>
        </w:rPr>
        <w:br w:type="page"/>
      </w:r>
    </w:p>
    <w:bookmarkEnd w:id="10"/>
    <w:p w14:paraId="5FBE9D66" w14:textId="77777777" w:rsidR="004427E6" w:rsidRPr="00774D9E" w:rsidRDefault="004427E6" w:rsidP="004427E6">
      <w:pPr>
        <w:suppressAutoHyphens/>
        <w:spacing w:after="0" w:line="240" w:lineRule="auto"/>
        <w:jc w:val="both"/>
        <w:rPr>
          <w:rFonts w:ascii="Times New Roman" w:eastAsia="Times New Roman" w:hAnsi="Times New Roman" w:cs="Times New Roman"/>
          <w:b/>
          <w:color w:val="000000"/>
          <w:sz w:val="21"/>
          <w:szCs w:val="21"/>
          <w:lang w:eastAsia="ar-SA"/>
        </w:rPr>
      </w:pPr>
      <w:r w:rsidRPr="00774D9E">
        <w:rPr>
          <w:rFonts w:ascii="Times New Roman" w:eastAsia="Times New Roman" w:hAnsi="Times New Roman" w:cs="Times New Roman"/>
          <w:b/>
          <w:color w:val="000000"/>
          <w:sz w:val="21"/>
          <w:szCs w:val="21"/>
          <w:lang w:eastAsia="ar-SA"/>
        </w:rPr>
        <w:lastRenderedPageBreak/>
        <w:t>УДК 336</w:t>
      </w:r>
    </w:p>
    <w:p w14:paraId="2EA939AF" w14:textId="77777777" w:rsidR="004427E6" w:rsidRPr="00774D9E" w:rsidRDefault="004427E6" w:rsidP="004427E6">
      <w:pPr>
        <w:suppressAutoHyphens/>
        <w:spacing w:after="0" w:line="240" w:lineRule="auto"/>
        <w:jc w:val="right"/>
        <w:rPr>
          <w:rFonts w:ascii="Times New Roman" w:eastAsia="Times New Roman" w:hAnsi="Times New Roman" w:cs="Times New Roman"/>
          <w:i/>
          <w:color w:val="000000"/>
          <w:sz w:val="21"/>
          <w:szCs w:val="21"/>
          <w:lang w:eastAsia="ar-SA"/>
        </w:rPr>
      </w:pPr>
      <w:r w:rsidRPr="00774D9E">
        <w:rPr>
          <w:rFonts w:ascii="Times New Roman" w:eastAsia="Times New Roman" w:hAnsi="Times New Roman" w:cs="Times New Roman"/>
          <w:b/>
          <w:i/>
          <w:color w:val="000000"/>
          <w:sz w:val="20"/>
          <w:szCs w:val="21"/>
          <w:lang w:eastAsia="ar-SA"/>
        </w:rPr>
        <w:t>Плахотина К.А.</w:t>
      </w:r>
      <w:r w:rsidRPr="00774D9E">
        <w:rPr>
          <w:rFonts w:ascii="Times New Roman" w:eastAsia="Times New Roman" w:hAnsi="Times New Roman" w:cs="Times New Roman"/>
          <w:b/>
          <w:i/>
          <w:color w:val="000000"/>
          <w:sz w:val="21"/>
          <w:szCs w:val="21"/>
          <w:lang w:eastAsia="ar-SA"/>
        </w:rPr>
        <w:t xml:space="preserve">, </w:t>
      </w:r>
    </w:p>
    <w:p w14:paraId="2D16AA12" w14:textId="77777777" w:rsidR="004427E6" w:rsidRPr="00774D9E" w:rsidRDefault="004427E6" w:rsidP="004427E6">
      <w:pPr>
        <w:suppressAutoHyphens/>
        <w:spacing w:after="0" w:line="240" w:lineRule="auto"/>
        <w:jc w:val="right"/>
        <w:rPr>
          <w:rFonts w:ascii="Times New Roman" w:eastAsia="Times New Roman" w:hAnsi="Times New Roman" w:cs="Times New Roman"/>
          <w:i/>
          <w:color w:val="000000"/>
          <w:sz w:val="21"/>
          <w:szCs w:val="21"/>
          <w:lang w:eastAsia="ar-SA"/>
        </w:rPr>
      </w:pPr>
      <w:r w:rsidRPr="00774D9E">
        <w:rPr>
          <w:rFonts w:ascii="Times New Roman" w:eastAsia="Times New Roman" w:hAnsi="Times New Roman" w:cs="Times New Roman"/>
          <w:i/>
          <w:color w:val="000000"/>
          <w:sz w:val="21"/>
          <w:szCs w:val="21"/>
          <w:lang w:eastAsia="ar-SA"/>
        </w:rPr>
        <w:t xml:space="preserve">студентка 1 курса </w:t>
      </w:r>
    </w:p>
    <w:p w14:paraId="5987308E" w14:textId="77777777" w:rsidR="004427E6" w:rsidRDefault="004427E6" w:rsidP="004427E6">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25EA462" w14:textId="77777777" w:rsidR="004427E6" w:rsidRPr="00774D9E" w:rsidRDefault="004427E6" w:rsidP="004427E6">
      <w:pPr>
        <w:suppressAutoHyphens/>
        <w:spacing w:after="0" w:line="240" w:lineRule="auto"/>
        <w:jc w:val="right"/>
        <w:rPr>
          <w:rFonts w:ascii="Times New Roman" w:eastAsia="Times New Roman" w:hAnsi="Times New Roman" w:cs="Times New Roman"/>
          <w:i/>
          <w:sz w:val="21"/>
          <w:szCs w:val="21"/>
          <w:lang w:eastAsia="ar-SA"/>
        </w:rPr>
      </w:pPr>
      <w:r w:rsidRPr="00774D9E">
        <w:rPr>
          <w:rFonts w:ascii="Times New Roman" w:eastAsia="Times New Roman" w:hAnsi="Times New Roman" w:cs="Times New Roman"/>
          <w:i/>
          <w:sz w:val="21"/>
          <w:szCs w:val="21"/>
          <w:lang w:eastAsia="ar-SA"/>
        </w:rPr>
        <w:t>г. Краснодар, Россия</w:t>
      </w:r>
    </w:p>
    <w:p w14:paraId="73D5138C" w14:textId="77777777" w:rsidR="004427E6" w:rsidRPr="00774D9E" w:rsidRDefault="004427E6" w:rsidP="004427E6">
      <w:pPr>
        <w:spacing w:after="0" w:line="240" w:lineRule="auto"/>
        <w:jc w:val="right"/>
        <w:rPr>
          <w:rFonts w:ascii="Times New Roman" w:eastAsia="Times New Roman" w:hAnsi="Times New Roman" w:cs="Times New Roman"/>
          <w:i/>
          <w:sz w:val="21"/>
          <w:szCs w:val="21"/>
        </w:rPr>
      </w:pPr>
      <w:r w:rsidRPr="00774D9E">
        <w:rPr>
          <w:rFonts w:ascii="Times New Roman" w:eastAsia="Times New Roman" w:hAnsi="Times New Roman" w:cs="Times New Roman"/>
          <w:i/>
          <w:sz w:val="21"/>
          <w:szCs w:val="21"/>
        </w:rPr>
        <w:t>е-</w:t>
      </w:r>
      <w:r w:rsidRPr="00774D9E">
        <w:rPr>
          <w:rFonts w:ascii="Times New Roman" w:eastAsia="Times New Roman" w:hAnsi="Times New Roman" w:cs="Times New Roman"/>
          <w:i/>
          <w:sz w:val="21"/>
          <w:szCs w:val="21"/>
          <w:lang w:val="en-US"/>
        </w:rPr>
        <w:t>mail</w:t>
      </w:r>
      <w:r w:rsidRPr="00774D9E">
        <w:rPr>
          <w:rFonts w:ascii="Times New Roman" w:eastAsia="Times New Roman" w:hAnsi="Times New Roman" w:cs="Times New Roman"/>
          <w:i/>
          <w:sz w:val="21"/>
          <w:szCs w:val="21"/>
        </w:rPr>
        <w:t xml:space="preserve">: </w:t>
      </w:r>
      <w:r w:rsidRPr="00774D9E">
        <w:rPr>
          <w:rFonts w:ascii="Times New Roman" w:eastAsia="Times New Roman" w:hAnsi="Times New Roman" w:cs="Times New Roman"/>
          <w:i/>
          <w:sz w:val="21"/>
          <w:szCs w:val="21"/>
          <w:lang w:val="en-US"/>
        </w:rPr>
        <w:t>plahotinaksenia</w:t>
      </w:r>
      <w:r w:rsidRPr="00774D9E">
        <w:rPr>
          <w:rFonts w:ascii="Times New Roman" w:eastAsia="Times New Roman" w:hAnsi="Times New Roman" w:cs="Times New Roman"/>
          <w:i/>
          <w:sz w:val="21"/>
          <w:szCs w:val="21"/>
        </w:rPr>
        <w:t>98@</w:t>
      </w:r>
      <w:r w:rsidRPr="00774D9E">
        <w:rPr>
          <w:rFonts w:ascii="Times New Roman" w:eastAsia="Times New Roman" w:hAnsi="Times New Roman" w:cs="Times New Roman"/>
          <w:i/>
          <w:sz w:val="21"/>
          <w:szCs w:val="21"/>
          <w:lang w:val="en-US"/>
        </w:rPr>
        <w:t>gmail</w:t>
      </w:r>
      <w:r w:rsidRPr="00774D9E">
        <w:rPr>
          <w:rFonts w:ascii="Times New Roman" w:eastAsia="Times New Roman" w:hAnsi="Times New Roman" w:cs="Times New Roman"/>
          <w:i/>
          <w:sz w:val="21"/>
          <w:szCs w:val="21"/>
        </w:rPr>
        <w:t>.</w:t>
      </w:r>
      <w:r w:rsidRPr="00774D9E">
        <w:rPr>
          <w:rFonts w:ascii="Times New Roman" w:eastAsia="Times New Roman" w:hAnsi="Times New Roman" w:cs="Times New Roman"/>
          <w:i/>
          <w:sz w:val="21"/>
          <w:szCs w:val="21"/>
          <w:lang w:val="en-US"/>
        </w:rPr>
        <w:t>ru</w:t>
      </w:r>
    </w:p>
    <w:p w14:paraId="505BDACB" w14:textId="77777777" w:rsidR="004427E6" w:rsidRPr="00774D9E" w:rsidRDefault="004427E6" w:rsidP="004427E6">
      <w:pPr>
        <w:spacing w:after="0" w:line="240" w:lineRule="auto"/>
        <w:jc w:val="right"/>
        <w:rPr>
          <w:rFonts w:ascii="Times New Roman" w:eastAsia="Times New Roman" w:hAnsi="Times New Roman" w:cs="Times New Roman"/>
          <w:i/>
          <w:sz w:val="21"/>
          <w:szCs w:val="21"/>
        </w:rPr>
      </w:pPr>
    </w:p>
    <w:p w14:paraId="6EE57E2D" w14:textId="77777777" w:rsidR="004427E6" w:rsidRPr="00774D9E" w:rsidRDefault="004427E6" w:rsidP="004427E6">
      <w:pPr>
        <w:spacing w:after="0" w:line="240" w:lineRule="auto"/>
        <w:jc w:val="right"/>
        <w:rPr>
          <w:rFonts w:ascii="Times New Roman" w:eastAsia="Times New Roman" w:hAnsi="Times New Roman" w:cs="Times New Roman"/>
          <w:b/>
          <w:i/>
          <w:sz w:val="21"/>
          <w:szCs w:val="21"/>
        </w:rPr>
      </w:pPr>
      <w:r w:rsidRPr="00774D9E">
        <w:rPr>
          <w:rFonts w:ascii="Times New Roman" w:eastAsia="Times New Roman" w:hAnsi="Times New Roman" w:cs="Times New Roman"/>
          <w:b/>
          <w:i/>
          <w:sz w:val="21"/>
          <w:szCs w:val="21"/>
        </w:rPr>
        <w:t>Научный руководитель:</w:t>
      </w:r>
    </w:p>
    <w:p w14:paraId="75267BC8" w14:textId="77777777" w:rsidR="004427E6" w:rsidRPr="00774D9E" w:rsidRDefault="004427E6" w:rsidP="004427E6">
      <w:pPr>
        <w:spacing w:after="0" w:line="240" w:lineRule="auto"/>
        <w:jc w:val="right"/>
        <w:rPr>
          <w:rFonts w:ascii="Times New Roman" w:eastAsia="Times New Roman" w:hAnsi="Times New Roman" w:cs="Times New Roman"/>
          <w:b/>
          <w:i/>
          <w:sz w:val="21"/>
          <w:szCs w:val="21"/>
        </w:rPr>
      </w:pPr>
      <w:r w:rsidRPr="00774D9E">
        <w:rPr>
          <w:rFonts w:ascii="Times New Roman" w:eastAsia="Times New Roman" w:hAnsi="Times New Roman" w:cs="Times New Roman"/>
          <w:b/>
          <w:i/>
          <w:sz w:val="21"/>
          <w:szCs w:val="21"/>
        </w:rPr>
        <w:t>Радченко М.В.,</w:t>
      </w:r>
    </w:p>
    <w:p w14:paraId="6067962D" w14:textId="77777777" w:rsidR="004427E6" w:rsidRPr="00774D9E" w:rsidRDefault="004427E6" w:rsidP="004427E6">
      <w:pPr>
        <w:spacing w:after="0" w:line="240" w:lineRule="auto"/>
        <w:jc w:val="right"/>
        <w:rPr>
          <w:rFonts w:ascii="Times New Roman" w:eastAsia="Times New Roman" w:hAnsi="Times New Roman" w:cs="Times New Roman"/>
          <w:i/>
          <w:sz w:val="21"/>
          <w:szCs w:val="21"/>
        </w:rPr>
      </w:pPr>
      <w:r w:rsidRPr="00774D9E">
        <w:rPr>
          <w:rFonts w:ascii="Times New Roman" w:eastAsia="Times New Roman" w:hAnsi="Times New Roman" w:cs="Times New Roman"/>
          <w:b/>
          <w:i/>
          <w:sz w:val="21"/>
          <w:szCs w:val="21"/>
        </w:rPr>
        <w:t xml:space="preserve"> </w:t>
      </w:r>
      <w:r w:rsidRPr="00774D9E">
        <w:rPr>
          <w:rFonts w:ascii="Times New Roman" w:eastAsia="Times New Roman" w:hAnsi="Times New Roman" w:cs="Times New Roman"/>
          <w:i/>
          <w:sz w:val="21"/>
          <w:szCs w:val="21"/>
        </w:rPr>
        <w:t>Кандидат экономических наук</w:t>
      </w:r>
    </w:p>
    <w:p w14:paraId="00F91332" w14:textId="77777777" w:rsidR="004427E6" w:rsidRDefault="004427E6" w:rsidP="004427E6">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E620648" w14:textId="77777777" w:rsidR="004427E6" w:rsidRPr="00774D9E" w:rsidRDefault="004427E6" w:rsidP="004427E6">
      <w:pPr>
        <w:suppressAutoHyphens/>
        <w:spacing w:after="0" w:line="240" w:lineRule="auto"/>
        <w:jc w:val="right"/>
        <w:rPr>
          <w:rFonts w:ascii="Times New Roman" w:eastAsia="Times New Roman" w:hAnsi="Times New Roman" w:cs="Times New Roman"/>
          <w:i/>
          <w:sz w:val="21"/>
          <w:szCs w:val="21"/>
          <w:lang w:eastAsia="ar-SA"/>
        </w:rPr>
      </w:pPr>
      <w:r w:rsidRPr="00774D9E">
        <w:rPr>
          <w:rFonts w:ascii="Times New Roman" w:eastAsia="Times New Roman" w:hAnsi="Times New Roman" w:cs="Times New Roman"/>
          <w:i/>
          <w:sz w:val="21"/>
          <w:szCs w:val="21"/>
          <w:lang w:eastAsia="ar-SA"/>
        </w:rPr>
        <w:t>г. Краснодар, Россия</w:t>
      </w:r>
    </w:p>
    <w:p w14:paraId="4197DCF0" w14:textId="77777777" w:rsidR="004427E6" w:rsidRPr="00774D9E" w:rsidRDefault="004427E6" w:rsidP="004427E6">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774D9E">
        <w:rPr>
          <w:rFonts w:ascii="Times New Roman" w:eastAsia="Times New Roman" w:hAnsi="Times New Roman" w:cs="Times New Roman"/>
          <w:i/>
          <w:sz w:val="21"/>
          <w:szCs w:val="21"/>
          <w:lang w:eastAsia="ar-SA"/>
        </w:rPr>
        <w:t>е-</w:t>
      </w:r>
      <w:r w:rsidRPr="00774D9E">
        <w:rPr>
          <w:rFonts w:ascii="Times New Roman" w:eastAsia="Times New Roman" w:hAnsi="Times New Roman" w:cs="Times New Roman"/>
          <w:i/>
          <w:sz w:val="21"/>
          <w:szCs w:val="21"/>
          <w:lang w:val="en-US" w:eastAsia="ar-SA"/>
        </w:rPr>
        <w:t>mail</w:t>
      </w:r>
      <w:r w:rsidRPr="00774D9E">
        <w:rPr>
          <w:rFonts w:ascii="Times New Roman" w:eastAsia="Times New Roman" w:hAnsi="Times New Roman" w:cs="Times New Roman"/>
          <w:i/>
          <w:sz w:val="21"/>
          <w:szCs w:val="21"/>
          <w:lang w:eastAsia="ar-SA"/>
        </w:rPr>
        <w:t xml:space="preserve">: </w:t>
      </w:r>
      <w:r w:rsidRPr="00774D9E">
        <w:rPr>
          <w:rFonts w:ascii="Times New Roman" w:eastAsia="Times New Roman" w:hAnsi="Times New Roman" w:cs="Times New Roman"/>
          <w:i/>
          <w:sz w:val="21"/>
          <w:szCs w:val="21"/>
          <w:lang w:val="en-US" w:eastAsia="ar-SA"/>
        </w:rPr>
        <w:t>mvradchenko</w:t>
      </w:r>
      <w:r w:rsidRPr="00774D9E">
        <w:rPr>
          <w:rFonts w:ascii="Times New Roman" w:eastAsia="Times New Roman" w:hAnsi="Times New Roman" w:cs="Times New Roman"/>
          <w:i/>
          <w:sz w:val="21"/>
          <w:szCs w:val="21"/>
          <w:lang w:eastAsia="ar-SA"/>
        </w:rPr>
        <w:t>@</w:t>
      </w:r>
      <w:r w:rsidRPr="00774D9E">
        <w:rPr>
          <w:rFonts w:ascii="Times New Roman" w:eastAsia="Times New Roman" w:hAnsi="Times New Roman" w:cs="Times New Roman"/>
          <w:i/>
          <w:sz w:val="21"/>
          <w:szCs w:val="21"/>
          <w:lang w:val="en-US" w:eastAsia="ar-SA"/>
        </w:rPr>
        <w:t>fa</w:t>
      </w:r>
      <w:r w:rsidRPr="00774D9E">
        <w:rPr>
          <w:rFonts w:ascii="Times New Roman" w:eastAsia="Times New Roman" w:hAnsi="Times New Roman" w:cs="Times New Roman"/>
          <w:i/>
          <w:sz w:val="21"/>
          <w:szCs w:val="21"/>
          <w:lang w:eastAsia="ar-SA"/>
        </w:rPr>
        <w:t>.</w:t>
      </w:r>
      <w:r w:rsidRPr="00774D9E">
        <w:rPr>
          <w:rFonts w:ascii="Times New Roman" w:eastAsia="Times New Roman" w:hAnsi="Times New Roman" w:cs="Times New Roman"/>
          <w:i/>
          <w:sz w:val="21"/>
          <w:szCs w:val="21"/>
          <w:lang w:val="en-US" w:eastAsia="ar-SA"/>
        </w:rPr>
        <w:t>ru</w:t>
      </w:r>
    </w:p>
    <w:p w14:paraId="7A03AE0A" w14:textId="77777777" w:rsidR="004427E6" w:rsidRPr="00774D9E" w:rsidRDefault="004427E6" w:rsidP="004427E6">
      <w:pPr>
        <w:suppressAutoHyphens/>
        <w:spacing w:after="0" w:line="240" w:lineRule="auto"/>
        <w:jc w:val="center"/>
        <w:rPr>
          <w:rFonts w:ascii="Times New Roman" w:eastAsia="Times New Roman" w:hAnsi="Times New Roman" w:cs="Times New Roman"/>
          <w:b/>
          <w:sz w:val="21"/>
          <w:szCs w:val="21"/>
          <w:lang w:eastAsia="ar-SA"/>
        </w:rPr>
      </w:pPr>
    </w:p>
    <w:p w14:paraId="7A38A114" w14:textId="77777777" w:rsidR="004427E6" w:rsidRPr="00774D9E" w:rsidRDefault="004427E6" w:rsidP="004427E6">
      <w:pPr>
        <w:suppressAutoHyphens/>
        <w:spacing w:after="0" w:line="240" w:lineRule="auto"/>
        <w:jc w:val="center"/>
        <w:rPr>
          <w:rFonts w:ascii="Times New Roman" w:eastAsia="Times New Roman" w:hAnsi="Times New Roman" w:cs="Times New Roman"/>
          <w:b/>
          <w:sz w:val="21"/>
          <w:szCs w:val="21"/>
          <w:lang w:eastAsia="ar-SA"/>
        </w:rPr>
      </w:pPr>
      <w:r w:rsidRPr="00774D9E">
        <w:rPr>
          <w:rFonts w:ascii="Times New Roman" w:eastAsia="Times New Roman" w:hAnsi="Times New Roman" w:cs="Times New Roman"/>
          <w:b/>
          <w:bCs/>
          <w:sz w:val="21"/>
          <w:szCs w:val="21"/>
          <w:lang w:eastAsia="ar-SA"/>
        </w:rPr>
        <w:t>Бизнес-ангелы: привлечение инвестиций в малый бизнес</w:t>
      </w:r>
    </w:p>
    <w:p w14:paraId="69886863" w14:textId="77777777" w:rsidR="004427E6" w:rsidRPr="00774D9E" w:rsidRDefault="004427E6" w:rsidP="004427E6">
      <w:pPr>
        <w:spacing w:after="0" w:line="240" w:lineRule="auto"/>
        <w:ind w:firstLine="567"/>
        <w:jc w:val="both"/>
        <w:rPr>
          <w:rFonts w:ascii="Times New Roman" w:eastAsia="Times New Roman" w:hAnsi="Times New Roman" w:cs="Times New Roman"/>
          <w:i/>
          <w:sz w:val="21"/>
          <w:szCs w:val="21"/>
          <w:shd w:val="clear" w:color="auto" w:fill="00FFFF"/>
        </w:rPr>
      </w:pPr>
    </w:p>
    <w:p w14:paraId="31197C00" w14:textId="77777777" w:rsidR="004427E6" w:rsidRPr="00774D9E" w:rsidRDefault="004427E6" w:rsidP="004427E6">
      <w:pPr>
        <w:spacing w:after="0" w:line="240" w:lineRule="auto"/>
        <w:ind w:firstLine="567"/>
        <w:jc w:val="both"/>
        <w:rPr>
          <w:rFonts w:ascii="Times New Roman" w:eastAsia="Times New Roman" w:hAnsi="Times New Roman" w:cs="Times New Roman"/>
          <w:color w:val="2B2B2B"/>
          <w:shd w:val="clear" w:color="auto" w:fill="FFFFFF"/>
        </w:rPr>
      </w:pPr>
      <w:r w:rsidRPr="00774D9E">
        <w:rPr>
          <w:rFonts w:ascii="Times New Roman" w:eastAsia="Times New Roman" w:hAnsi="Times New Roman" w:cs="Times New Roman"/>
          <w:b/>
          <w:sz w:val="21"/>
          <w:szCs w:val="21"/>
        </w:rPr>
        <w:t>Аннотация:</w:t>
      </w:r>
      <w:r w:rsidRPr="00774D9E">
        <w:rPr>
          <w:rFonts w:ascii="Times New Roman" w:eastAsia="Times New Roman" w:hAnsi="Times New Roman" w:cs="Times New Roman"/>
          <w:i/>
          <w:sz w:val="21"/>
          <w:szCs w:val="21"/>
        </w:rPr>
        <w:t xml:space="preserve"> </w:t>
      </w:r>
      <w:r w:rsidRPr="00774D9E">
        <w:rPr>
          <w:rFonts w:ascii="Times New Roman" w:eastAsia="Times New Roman" w:hAnsi="Times New Roman" w:cs="Times New Roman"/>
          <w:color w:val="2B2B2B"/>
          <w:shd w:val="clear" w:color="auto" w:fill="FFFFFF"/>
        </w:rPr>
        <w:t>Настоящая статья посвящена вопросу привлечения инвестиции в малый бизнес. На основе прочитанных источников литературы было сформировано их понятие, структура и динамика важных показателей. Малые предприятия играют ключевую роль в экономической жизни стран, являясь источником инноваций, роста занятости и конкурентоспособности национальной экономики.</w:t>
      </w:r>
    </w:p>
    <w:p w14:paraId="39B6E444" w14:textId="77777777" w:rsidR="004427E6" w:rsidRDefault="004427E6" w:rsidP="004427E6">
      <w:pPr>
        <w:spacing w:after="0" w:line="240" w:lineRule="auto"/>
        <w:ind w:firstLine="567"/>
        <w:jc w:val="both"/>
        <w:rPr>
          <w:rFonts w:ascii="Times New Roman" w:eastAsia="Times New Roman" w:hAnsi="Times New Roman" w:cs="Times New Roman"/>
          <w:sz w:val="21"/>
          <w:szCs w:val="21"/>
        </w:rPr>
      </w:pPr>
      <w:r w:rsidRPr="00774D9E">
        <w:rPr>
          <w:rFonts w:ascii="Times New Roman" w:eastAsia="Times New Roman" w:hAnsi="Times New Roman" w:cs="Times New Roman"/>
          <w:b/>
          <w:sz w:val="21"/>
          <w:szCs w:val="21"/>
        </w:rPr>
        <w:t>Ключевые слова:</w:t>
      </w:r>
      <w:r w:rsidRPr="00774D9E">
        <w:rPr>
          <w:rFonts w:ascii="Times New Roman" w:eastAsia="Times New Roman" w:hAnsi="Times New Roman" w:cs="Times New Roman"/>
          <w:sz w:val="21"/>
          <w:szCs w:val="21"/>
        </w:rPr>
        <w:t xml:space="preserve"> бизнес-ангелы, инвестиции, капитал, стартап, финансирование.</w:t>
      </w:r>
    </w:p>
    <w:p w14:paraId="385FDD7E" w14:textId="77777777" w:rsidR="004427E6" w:rsidRPr="00774D9E" w:rsidRDefault="004427E6" w:rsidP="004427E6">
      <w:pPr>
        <w:spacing w:after="0" w:line="240" w:lineRule="auto"/>
        <w:ind w:firstLine="567"/>
        <w:jc w:val="both"/>
        <w:rPr>
          <w:rFonts w:ascii="Times New Roman" w:eastAsia="Times New Roman" w:hAnsi="Times New Roman" w:cs="Times New Roman"/>
          <w:sz w:val="21"/>
          <w:szCs w:val="21"/>
        </w:rPr>
      </w:pPr>
    </w:p>
    <w:p w14:paraId="50C10DFA" w14:textId="77777777" w:rsidR="004427E6" w:rsidRPr="00774D9E" w:rsidRDefault="004427E6" w:rsidP="004427E6">
      <w:pPr>
        <w:spacing w:after="0" w:line="240" w:lineRule="auto"/>
        <w:ind w:firstLine="567"/>
        <w:jc w:val="right"/>
        <w:rPr>
          <w:rFonts w:ascii="Times New Roman" w:eastAsia="Times New Roman" w:hAnsi="Times New Roman" w:cs="Times New Roman"/>
          <w:b/>
          <w:i/>
          <w:sz w:val="21"/>
          <w:szCs w:val="21"/>
          <w:lang w:val="en-US"/>
        </w:rPr>
      </w:pPr>
      <w:r w:rsidRPr="00774D9E">
        <w:rPr>
          <w:rFonts w:ascii="Times New Roman" w:eastAsia="Times New Roman" w:hAnsi="Times New Roman" w:cs="Times New Roman"/>
          <w:b/>
          <w:i/>
          <w:sz w:val="21"/>
          <w:szCs w:val="21"/>
          <w:lang w:val="en-US"/>
        </w:rPr>
        <w:t xml:space="preserve">Plahotina K.A., </w:t>
      </w:r>
    </w:p>
    <w:p w14:paraId="19421C8B" w14:textId="77777777" w:rsidR="004427E6" w:rsidRPr="00774D9E" w:rsidRDefault="004427E6" w:rsidP="004427E6">
      <w:pPr>
        <w:spacing w:after="0" w:line="240" w:lineRule="auto"/>
        <w:ind w:firstLine="567"/>
        <w:jc w:val="right"/>
        <w:rPr>
          <w:rFonts w:ascii="Times New Roman" w:eastAsia="Times New Roman" w:hAnsi="Times New Roman" w:cs="Times New Roman"/>
          <w:b/>
          <w:i/>
          <w:sz w:val="21"/>
          <w:szCs w:val="21"/>
          <w:lang w:val="en-US"/>
        </w:rPr>
      </w:pPr>
      <w:r w:rsidRPr="00774D9E">
        <w:rPr>
          <w:rFonts w:ascii="Times New Roman" w:eastAsia="Times New Roman" w:hAnsi="Times New Roman" w:cs="Times New Roman"/>
          <w:i/>
          <w:sz w:val="21"/>
          <w:szCs w:val="21"/>
          <w:lang w:val="en-US"/>
        </w:rPr>
        <w:t>student,</w:t>
      </w:r>
      <w:r w:rsidRPr="00774D9E">
        <w:rPr>
          <w:rFonts w:ascii="Times New Roman" w:eastAsia="Times New Roman" w:hAnsi="Times New Roman" w:cs="Times New Roman"/>
          <w:i/>
          <w:lang w:val="en-US"/>
        </w:rPr>
        <w:t xml:space="preserve"> </w:t>
      </w:r>
      <w:r w:rsidRPr="00774D9E">
        <w:rPr>
          <w:rFonts w:ascii="Times New Roman" w:eastAsia="Times New Roman" w:hAnsi="Times New Roman" w:cs="Times New Roman"/>
          <w:i/>
          <w:sz w:val="21"/>
          <w:szCs w:val="21"/>
          <w:lang w:val="en-US"/>
        </w:rPr>
        <w:t>1 course</w:t>
      </w:r>
      <w:r w:rsidRPr="00774D9E">
        <w:rPr>
          <w:rFonts w:ascii="Times New Roman" w:eastAsia="Times New Roman" w:hAnsi="Times New Roman" w:cs="Times New Roman"/>
          <w:b/>
          <w:i/>
          <w:sz w:val="21"/>
          <w:szCs w:val="21"/>
          <w:lang w:val="en-US"/>
        </w:rPr>
        <w:t xml:space="preserve"> </w:t>
      </w:r>
    </w:p>
    <w:p w14:paraId="184DC97B"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774D9E">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7B372402"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774D9E">
        <w:rPr>
          <w:rFonts w:ascii="Times New Roman" w:eastAsia="Times New Roman" w:hAnsi="Times New Roman" w:cs="Times New Roman"/>
          <w:i/>
          <w:sz w:val="21"/>
          <w:szCs w:val="21"/>
          <w:lang w:val="en-US" w:eastAsia="ar-SA"/>
        </w:rPr>
        <w:t xml:space="preserve"> Krasnodar, Russia</w:t>
      </w:r>
    </w:p>
    <w:p w14:paraId="0D6D6700"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774D9E">
        <w:rPr>
          <w:rFonts w:ascii="Times New Roman" w:eastAsia="Times New Roman" w:hAnsi="Times New Roman" w:cs="Times New Roman"/>
          <w:i/>
          <w:sz w:val="21"/>
          <w:szCs w:val="21"/>
          <w:lang w:val="en-US" w:eastAsia="ar-SA"/>
        </w:rPr>
        <w:t>e-mail: polina06012@ yandex.ru</w:t>
      </w:r>
    </w:p>
    <w:p w14:paraId="391531A8" w14:textId="77777777" w:rsidR="004427E6" w:rsidRPr="00774D9E" w:rsidRDefault="004427E6" w:rsidP="004427E6">
      <w:pPr>
        <w:spacing w:after="0" w:line="240" w:lineRule="auto"/>
        <w:ind w:firstLine="567"/>
        <w:jc w:val="right"/>
        <w:rPr>
          <w:rFonts w:ascii="Times New Roman" w:eastAsia="Times New Roman" w:hAnsi="Times New Roman" w:cs="Times New Roman"/>
          <w:b/>
          <w:i/>
          <w:sz w:val="21"/>
          <w:szCs w:val="21"/>
          <w:lang w:val="en-US"/>
        </w:rPr>
      </w:pPr>
    </w:p>
    <w:p w14:paraId="7D1EDEE2" w14:textId="77777777" w:rsidR="004427E6" w:rsidRPr="00774D9E" w:rsidRDefault="004427E6" w:rsidP="004427E6">
      <w:pPr>
        <w:spacing w:after="0" w:line="240" w:lineRule="auto"/>
        <w:ind w:firstLine="567"/>
        <w:jc w:val="right"/>
        <w:rPr>
          <w:rFonts w:ascii="Times New Roman" w:eastAsia="Times New Roman" w:hAnsi="Times New Roman" w:cs="Times New Roman"/>
          <w:b/>
          <w:i/>
          <w:sz w:val="21"/>
          <w:szCs w:val="21"/>
          <w:lang w:val="en-US"/>
        </w:rPr>
      </w:pPr>
      <w:r w:rsidRPr="00774D9E">
        <w:rPr>
          <w:rFonts w:ascii="Times New Roman" w:eastAsia="Times New Roman" w:hAnsi="Times New Roman" w:cs="Times New Roman"/>
          <w:b/>
          <w:i/>
          <w:sz w:val="21"/>
          <w:szCs w:val="21"/>
          <w:lang w:val="en-US"/>
        </w:rPr>
        <w:t>Scientific Adviser:</w:t>
      </w:r>
    </w:p>
    <w:p w14:paraId="245970AD" w14:textId="77777777" w:rsidR="004427E6" w:rsidRPr="00774D9E" w:rsidRDefault="004427E6" w:rsidP="004427E6">
      <w:pPr>
        <w:spacing w:after="0" w:line="240" w:lineRule="auto"/>
        <w:ind w:firstLine="567"/>
        <w:jc w:val="right"/>
        <w:rPr>
          <w:rFonts w:ascii="Times New Roman" w:eastAsia="Times New Roman" w:hAnsi="Times New Roman" w:cs="Times New Roman"/>
          <w:b/>
          <w:i/>
          <w:sz w:val="21"/>
          <w:szCs w:val="21"/>
          <w:lang w:val="en-US"/>
        </w:rPr>
      </w:pPr>
      <w:r w:rsidRPr="00774D9E">
        <w:rPr>
          <w:rFonts w:ascii="Times New Roman" w:eastAsia="Times New Roman" w:hAnsi="Times New Roman" w:cs="Times New Roman"/>
          <w:b/>
          <w:i/>
          <w:sz w:val="21"/>
          <w:szCs w:val="21"/>
          <w:lang w:val="en-US"/>
        </w:rPr>
        <w:t>Radchenko M.V.,</w:t>
      </w:r>
    </w:p>
    <w:p w14:paraId="164457F8"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774D9E">
        <w:rPr>
          <w:rFonts w:ascii="Times New Roman" w:eastAsia="Times New Roman" w:hAnsi="Times New Roman" w:cs="Times New Roman"/>
          <w:i/>
          <w:color w:val="000000"/>
          <w:sz w:val="21"/>
          <w:szCs w:val="21"/>
          <w:lang w:val="en-US" w:eastAsia="ar-SA"/>
        </w:rPr>
        <w:t>Candidate of Economic Sciences</w:t>
      </w:r>
    </w:p>
    <w:p w14:paraId="56EF84A2"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774D9E">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3DC015E4" w14:textId="77777777" w:rsidR="004427E6" w:rsidRPr="00774D9E" w:rsidRDefault="004427E6" w:rsidP="004427E6">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774D9E">
        <w:rPr>
          <w:rFonts w:ascii="Times New Roman" w:eastAsia="Times New Roman" w:hAnsi="Times New Roman" w:cs="Times New Roman"/>
          <w:i/>
          <w:sz w:val="21"/>
          <w:szCs w:val="21"/>
          <w:lang w:val="en-US" w:eastAsia="ar-SA"/>
        </w:rPr>
        <w:t>Krasnodar, Russia</w:t>
      </w:r>
    </w:p>
    <w:p w14:paraId="0D1499E8" w14:textId="77777777" w:rsidR="004427E6" w:rsidRPr="00774D9E" w:rsidRDefault="004427E6" w:rsidP="004427E6">
      <w:pPr>
        <w:suppressAutoHyphens/>
        <w:spacing w:after="0" w:line="240" w:lineRule="auto"/>
        <w:jc w:val="right"/>
        <w:textAlignment w:val="baseline"/>
        <w:rPr>
          <w:rFonts w:ascii="Times New Roman" w:eastAsia="Times New Roman" w:hAnsi="Times New Roman" w:cs="Times New Roman"/>
          <w:i/>
          <w:sz w:val="21"/>
          <w:szCs w:val="21"/>
          <w:lang w:val="en-US" w:eastAsia="ar-SA"/>
        </w:rPr>
      </w:pPr>
      <w:r w:rsidRPr="00774D9E">
        <w:rPr>
          <w:rFonts w:ascii="Times New Roman" w:eastAsia="Times New Roman" w:hAnsi="Times New Roman" w:cs="Times New Roman"/>
          <w:i/>
          <w:sz w:val="21"/>
          <w:szCs w:val="21"/>
          <w:lang w:eastAsia="ar-SA"/>
        </w:rPr>
        <w:t>е</w:t>
      </w:r>
      <w:r w:rsidRPr="00774D9E">
        <w:rPr>
          <w:rFonts w:ascii="Times New Roman" w:eastAsia="Times New Roman" w:hAnsi="Times New Roman" w:cs="Times New Roman"/>
          <w:i/>
          <w:sz w:val="21"/>
          <w:szCs w:val="21"/>
          <w:lang w:val="en-US" w:eastAsia="ar-SA"/>
        </w:rPr>
        <w:t>-mail: mvradchenko@fa.ru</w:t>
      </w:r>
    </w:p>
    <w:p w14:paraId="6A611718" w14:textId="77777777" w:rsidR="004427E6" w:rsidRPr="00774D9E" w:rsidRDefault="004427E6" w:rsidP="004427E6">
      <w:pPr>
        <w:spacing w:after="0" w:line="240" w:lineRule="auto"/>
        <w:ind w:firstLine="567"/>
        <w:jc w:val="right"/>
        <w:rPr>
          <w:rFonts w:ascii="Times New Roman" w:eastAsia="Times New Roman" w:hAnsi="Times New Roman" w:cs="Times New Roman"/>
          <w:i/>
          <w:sz w:val="21"/>
          <w:szCs w:val="21"/>
          <w:lang w:val="en-US"/>
        </w:rPr>
      </w:pPr>
    </w:p>
    <w:p w14:paraId="29BFEE4E" w14:textId="77777777" w:rsidR="004427E6" w:rsidRPr="00774D9E" w:rsidRDefault="004427E6" w:rsidP="004427E6">
      <w:pPr>
        <w:suppressAutoHyphens/>
        <w:spacing w:after="0" w:line="240" w:lineRule="auto"/>
        <w:ind w:firstLine="567"/>
        <w:jc w:val="center"/>
        <w:rPr>
          <w:rFonts w:ascii="Times New Roman" w:eastAsia="Times New Roman" w:hAnsi="Times New Roman" w:cs="Times New Roman"/>
          <w:b/>
          <w:bCs/>
          <w:sz w:val="21"/>
          <w:szCs w:val="21"/>
          <w:shd w:val="clear" w:color="auto" w:fill="FFFFFF"/>
          <w:lang w:val="en-US" w:eastAsia="ar-SA"/>
        </w:rPr>
      </w:pPr>
      <w:r w:rsidRPr="00774D9E">
        <w:rPr>
          <w:rFonts w:ascii="Times New Roman" w:eastAsia="Times New Roman" w:hAnsi="Times New Roman" w:cs="Times New Roman"/>
          <w:b/>
          <w:bCs/>
          <w:sz w:val="21"/>
          <w:szCs w:val="21"/>
          <w:shd w:val="clear" w:color="auto" w:fill="FFFFFF"/>
          <w:lang w:val="en-US" w:eastAsia="ar-SA"/>
        </w:rPr>
        <w:t>Angel Investors: Attracting Investment in Small Businesses</w:t>
      </w:r>
    </w:p>
    <w:p w14:paraId="4325E01B" w14:textId="77777777" w:rsidR="004427E6" w:rsidRPr="00774D9E" w:rsidRDefault="004427E6" w:rsidP="004427E6">
      <w:pPr>
        <w:suppressAutoHyphens/>
        <w:spacing w:after="0" w:line="240" w:lineRule="auto"/>
        <w:ind w:firstLine="567"/>
        <w:jc w:val="both"/>
        <w:rPr>
          <w:rFonts w:ascii="Times New Roman" w:eastAsia="Times New Roman" w:hAnsi="Times New Roman" w:cs="Times New Roman"/>
          <w:b/>
          <w:bCs/>
          <w:sz w:val="21"/>
          <w:szCs w:val="21"/>
          <w:shd w:val="clear" w:color="auto" w:fill="FFFFFF"/>
          <w:lang w:val="en-US" w:eastAsia="ar-SA"/>
        </w:rPr>
      </w:pPr>
    </w:p>
    <w:p w14:paraId="1F134760" w14:textId="77777777" w:rsidR="004427E6" w:rsidRPr="00774D9E" w:rsidRDefault="004427E6" w:rsidP="004427E6">
      <w:pPr>
        <w:suppressAutoHyphens/>
        <w:spacing w:after="0" w:line="240" w:lineRule="auto"/>
        <w:ind w:firstLine="567"/>
        <w:jc w:val="both"/>
        <w:rPr>
          <w:rFonts w:ascii="Times New Roman" w:eastAsia="Times New Roman" w:hAnsi="Times New Roman" w:cs="Times New Roman"/>
          <w:bCs/>
          <w:sz w:val="21"/>
          <w:szCs w:val="21"/>
          <w:shd w:val="clear" w:color="auto" w:fill="FFFFFF"/>
          <w:lang w:val="en-US" w:eastAsia="ar-SA"/>
        </w:rPr>
      </w:pPr>
      <w:r w:rsidRPr="00774D9E">
        <w:rPr>
          <w:rFonts w:ascii="Times New Roman" w:eastAsia="Times New Roman" w:hAnsi="Times New Roman" w:cs="Times New Roman"/>
          <w:b/>
          <w:bCs/>
          <w:sz w:val="21"/>
          <w:szCs w:val="21"/>
          <w:shd w:val="clear" w:color="auto" w:fill="FFFFFF"/>
          <w:lang w:val="en-US" w:eastAsia="ar-SA"/>
        </w:rPr>
        <w:t>Abstract:</w:t>
      </w:r>
      <w:r w:rsidRPr="00774D9E">
        <w:rPr>
          <w:rFonts w:ascii="Times New Roman" w:eastAsia="Times New Roman" w:hAnsi="Times New Roman" w:cs="Times New Roman"/>
          <w:bCs/>
          <w:sz w:val="21"/>
          <w:szCs w:val="21"/>
          <w:shd w:val="clear" w:color="auto" w:fill="FFFFFF"/>
          <w:lang w:val="en-US" w:eastAsia="ar-SA"/>
        </w:rPr>
        <w:t xml:space="preserve"> This article focuses on attracting investment in small businesses. Based on the read sources of literature, their concept, structure and dynamics of important indicators were formed. Small enterprises play a key role in the economic life of countries, being a source of innovation, employment growth and competitiveness of the national economy.</w:t>
      </w:r>
    </w:p>
    <w:p w14:paraId="41A5E001" w14:textId="77777777" w:rsidR="004427E6" w:rsidRPr="00774D9E" w:rsidRDefault="004427E6" w:rsidP="004427E6">
      <w:pPr>
        <w:suppressAutoHyphens/>
        <w:spacing w:after="0" w:line="240" w:lineRule="auto"/>
        <w:ind w:firstLine="567"/>
        <w:jc w:val="both"/>
        <w:rPr>
          <w:rFonts w:ascii="Times New Roman" w:eastAsia="Times New Roman" w:hAnsi="Times New Roman" w:cs="Times New Roman"/>
          <w:bCs/>
          <w:sz w:val="21"/>
          <w:szCs w:val="21"/>
          <w:shd w:val="clear" w:color="auto" w:fill="FFFFFF"/>
          <w:lang w:val="en-US" w:eastAsia="ar-SA"/>
        </w:rPr>
      </w:pPr>
      <w:r w:rsidRPr="00774D9E">
        <w:rPr>
          <w:rFonts w:ascii="Times New Roman" w:eastAsia="Times New Roman" w:hAnsi="Times New Roman" w:cs="Times New Roman"/>
          <w:b/>
          <w:bCs/>
          <w:sz w:val="21"/>
          <w:szCs w:val="21"/>
          <w:shd w:val="clear" w:color="auto" w:fill="FFFFFF"/>
          <w:lang w:val="en-US" w:eastAsia="ar-SA"/>
        </w:rPr>
        <w:t xml:space="preserve">Keywords: </w:t>
      </w:r>
      <w:r w:rsidRPr="00774D9E">
        <w:rPr>
          <w:rFonts w:ascii="Times New Roman" w:eastAsia="Times New Roman" w:hAnsi="Times New Roman" w:cs="Times New Roman"/>
          <w:bCs/>
          <w:sz w:val="21"/>
          <w:szCs w:val="21"/>
          <w:shd w:val="clear" w:color="auto" w:fill="FFFFFF"/>
          <w:lang w:val="en-US" w:eastAsia="ar-SA"/>
        </w:rPr>
        <w:t>business angels, investments, capital, startup, financing.</w:t>
      </w:r>
    </w:p>
    <w:p w14:paraId="138F4DB3" w14:textId="77777777" w:rsidR="004427E6" w:rsidRPr="00774D9E" w:rsidRDefault="004427E6" w:rsidP="004427E6">
      <w:pPr>
        <w:suppressAutoHyphens/>
        <w:spacing w:after="0" w:line="240" w:lineRule="auto"/>
        <w:ind w:firstLine="567"/>
        <w:jc w:val="both"/>
        <w:rPr>
          <w:rFonts w:ascii="Times New Roman" w:eastAsia="Times New Roman" w:hAnsi="Times New Roman" w:cs="Times New Roman"/>
          <w:sz w:val="21"/>
          <w:szCs w:val="21"/>
          <w:lang w:val="en-US" w:eastAsia="ar-SA"/>
        </w:rPr>
      </w:pPr>
    </w:p>
    <w:p w14:paraId="7BA47C81" w14:textId="77777777" w:rsidR="004427E6" w:rsidRPr="00774D9E" w:rsidRDefault="004427E6" w:rsidP="00B41576">
      <w:pPr>
        <w:spacing w:after="0" w:line="240" w:lineRule="auto"/>
        <w:ind w:firstLine="709"/>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Инвестирование в малый бизнес – это не просто вложение денег, это шанс стать частью чего-то большего, поддержать инновации и внести свой вклад в развитие экономики. Малый бизнес, как живой организм, нуждается в ресурсах для роста и процветания, и именно инвестиции могут стать тем самым толчком, который позволит ему реализовать свой потенциал.</w:t>
      </w:r>
    </w:p>
    <w:p w14:paraId="70494EB5" w14:textId="77777777" w:rsidR="004427E6" w:rsidRPr="00774D9E" w:rsidRDefault="004427E6" w:rsidP="00B41576">
      <w:pPr>
        <w:spacing w:after="0" w:line="240" w:lineRule="auto"/>
        <w:ind w:firstLine="709"/>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xml:space="preserve">Бизнес-ангел </w:t>
      </w:r>
      <w:proofErr w:type="gramStart"/>
      <w:r>
        <w:rPr>
          <w:rFonts w:ascii="Times New Roman" w:eastAsia="Times New Roman" w:hAnsi="Times New Roman" w:cs="Times New Roman"/>
          <w:sz w:val="32"/>
          <w:szCs w:val="32"/>
        </w:rPr>
        <w:t xml:space="preserve">- </w:t>
      </w:r>
      <w:r w:rsidRPr="00774D9E">
        <w:rPr>
          <w:rFonts w:ascii="Times New Roman" w:eastAsia="Times New Roman" w:hAnsi="Times New Roman" w:cs="Times New Roman"/>
          <w:sz w:val="32"/>
          <w:szCs w:val="32"/>
        </w:rPr>
        <w:t>это</w:t>
      </w:r>
      <w:proofErr w:type="gramEnd"/>
      <w:r w:rsidRPr="00774D9E">
        <w:rPr>
          <w:rFonts w:ascii="Times New Roman" w:eastAsia="Times New Roman" w:hAnsi="Times New Roman" w:cs="Times New Roman"/>
          <w:sz w:val="32"/>
          <w:szCs w:val="32"/>
        </w:rPr>
        <w:t xml:space="preserve"> частный инвестор, предоставляющий капитал начинающим компаниям (стартапам), часто на ранних стадиях развития бизнеса, когда другие формы финансирования </w:t>
      </w:r>
      <w:r w:rsidRPr="00774D9E">
        <w:rPr>
          <w:rFonts w:ascii="Times New Roman" w:eastAsia="Times New Roman" w:hAnsi="Times New Roman" w:cs="Times New Roman"/>
          <w:sz w:val="32"/>
          <w:szCs w:val="32"/>
        </w:rPr>
        <w:lastRenderedPageBreak/>
        <w:t>труднодоступны или невозможны. Деятельность бизнес-ангелов основана на нескольких ключевых принципах и методологиях:</w:t>
      </w:r>
    </w:p>
    <w:p w14:paraId="475D5AAF" w14:textId="77777777" w:rsidR="004427E6" w:rsidRPr="00774D9E" w:rsidRDefault="004427E6" w:rsidP="00B41576">
      <w:pPr>
        <w:spacing w:after="0" w:line="240" w:lineRule="auto"/>
        <w:ind w:firstLine="709"/>
        <w:jc w:val="both"/>
        <w:rPr>
          <w:rFonts w:ascii="Times New Roman" w:eastAsia="Times New Roman" w:hAnsi="Times New Roman" w:cs="Times New Roman"/>
          <w:b/>
          <w:bCs/>
          <w:sz w:val="32"/>
          <w:szCs w:val="32"/>
        </w:rPr>
      </w:pPr>
      <w:r w:rsidRPr="00774D9E">
        <w:rPr>
          <w:rFonts w:ascii="Times New Roman" w:eastAsia="Times New Roman" w:hAnsi="Times New Roman" w:cs="Times New Roman"/>
          <w:sz w:val="32"/>
          <w:szCs w:val="32"/>
        </w:rPr>
        <w:t xml:space="preserve">– </w:t>
      </w:r>
      <w:r w:rsidRPr="00774D9E">
        <w:rPr>
          <w:rFonts w:ascii="Times New Roman" w:eastAsia="Times New Roman" w:hAnsi="Times New Roman" w:cs="Times New Roman"/>
          <w:bCs/>
          <w:sz w:val="32"/>
          <w:szCs w:val="32"/>
        </w:rPr>
        <w:t>источники капитала: б</w:t>
      </w:r>
      <w:r w:rsidRPr="00774D9E">
        <w:rPr>
          <w:rFonts w:ascii="Times New Roman" w:eastAsia="Times New Roman" w:hAnsi="Times New Roman" w:cs="Times New Roman"/>
          <w:sz w:val="32"/>
          <w:szCs w:val="32"/>
        </w:rPr>
        <w:t>изнес-ангелы инвестируют собственные средства, что отличает их от венчурных фондов, которые управляют деньгами инвесторов. Обычно такие инвесторы имеют значительный личный капитал и готовы рисковать частью своего состояния ради высокой потенциальной прибыли,</w:t>
      </w:r>
    </w:p>
    <w:p w14:paraId="636CB8D3" w14:textId="77777777" w:rsidR="004427E6" w:rsidRPr="00774D9E" w:rsidRDefault="004427E6" w:rsidP="00B41576">
      <w:pPr>
        <w:spacing w:after="0" w:line="240" w:lineRule="auto"/>
        <w:ind w:firstLine="709"/>
        <w:jc w:val="both"/>
        <w:rPr>
          <w:rFonts w:ascii="Times New Roman" w:eastAsia="Times New Roman" w:hAnsi="Times New Roman" w:cs="Times New Roman"/>
          <w:b/>
          <w:bCs/>
          <w:sz w:val="32"/>
          <w:szCs w:val="32"/>
        </w:rPr>
      </w:pPr>
      <w:r w:rsidRPr="00774D9E">
        <w:rPr>
          <w:rFonts w:ascii="Times New Roman" w:eastAsia="Times New Roman" w:hAnsi="Times New Roman" w:cs="Times New Roman"/>
          <w:sz w:val="32"/>
          <w:szCs w:val="32"/>
        </w:rPr>
        <w:t xml:space="preserve">– </w:t>
      </w:r>
      <w:r w:rsidRPr="00774D9E">
        <w:rPr>
          <w:rFonts w:ascii="Times New Roman" w:eastAsia="Times New Roman" w:hAnsi="Times New Roman" w:cs="Times New Roman"/>
          <w:bCs/>
          <w:sz w:val="32"/>
          <w:szCs w:val="32"/>
        </w:rPr>
        <w:t>стадии инвестиций: и</w:t>
      </w:r>
      <w:r w:rsidRPr="00774D9E">
        <w:rPr>
          <w:rFonts w:ascii="Times New Roman" w:eastAsia="Times New Roman" w:hAnsi="Times New Roman" w:cs="Times New Roman"/>
          <w:sz w:val="32"/>
          <w:szCs w:val="32"/>
        </w:rPr>
        <w:t>нвестиции бизнес-ангелов чаще всего происходят на этапе seed (посевная стадия) или pre-seed (предпосевная стадия). Бизнес-ангелы поддерживают стартапы, которым ещё предстоит доказать свою жизнеспособность, создать продукт или привлечь первых клиентов,</w:t>
      </w:r>
    </w:p>
    <w:p w14:paraId="5CFB5AE8" w14:textId="77777777" w:rsidR="004427E6" w:rsidRPr="00774D9E" w:rsidRDefault="004427E6" w:rsidP="00B41576">
      <w:pPr>
        <w:spacing w:after="0" w:line="240" w:lineRule="auto"/>
        <w:ind w:firstLine="709"/>
        <w:jc w:val="both"/>
        <w:rPr>
          <w:rFonts w:ascii="Times New Roman" w:eastAsia="Times New Roman" w:hAnsi="Times New Roman" w:cs="Times New Roman"/>
          <w:bCs/>
          <w:sz w:val="32"/>
          <w:szCs w:val="32"/>
        </w:rPr>
      </w:pPr>
      <w:r w:rsidRPr="00774D9E">
        <w:rPr>
          <w:rFonts w:ascii="Times New Roman" w:eastAsia="Times New Roman" w:hAnsi="Times New Roman" w:cs="Times New Roman"/>
          <w:sz w:val="32"/>
          <w:szCs w:val="32"/>
        </w:rPr>
        <w:t>– о</w:t>
      </w:r>
      <w:r w:rsidRPr="00774D9E">
        <w:rPr>
          <w:rFonts w:ascii="Times New Roman" w:eastAsia="Times New Roman" w:hAnsi="Times New Roman" w:cs="Times New Roman"/>
          <w:bCs/>
          <w:sz w:val="32"/>
          <w:szCs w:val="32"/>
        </w:rPr>
        <w:t>собенности отбора проектов: о</w:t>
      </w:r>
      <w:r w:rsidRPr="00774D9E">
        <w:rPr>
          <w:rFonts w:ascii="Times New Roman" w:eastAsia="Times New Roman" w:hAnsi="Times New Roman" w:cs="Times New Roman"/>
          <w:sz w:val="32"/>
          <w:szCs w:val="32"/>
        </w:rPr>
        <w:t xml:space="preserve">тбор стартапов основан на ряде критериев: </w:t>
      </w:r>
      <w:r w:rsidRPr="00774D9E">
        <w:rPr>
          <w:rFonts w:ascii="Times New Roman" w:eastAsia="Times New Roman" w:hAnsi="Times New Roman" w:cs="Times New Roman"/>
          <w:bCs/>
          <w:sz w:val="32"/>
          <w:szCs w:val="32"/>
        </w:rPr>
        <w:t>идея продукта, команда основателей, рынок, модель монетизации,</w:t>
      </w:r>
    </w:p>
    <w:p w14:paraId="31DB5178" w14:textId="77777777" w:rsidR="004427E6" w:rsidRPr="00774D9E" w:rsidRDefault="004427E6" w:rsidP="00B41576">
      <w:pPr>
        <w:tabs>
          <w:tab w:val="left" w:pos="851"/>
        </w:tabs>
        <w:spacing w:after="0" w:line="240" w:lineRule="auto"/>
        <w:ind w:firstLine="709"/>
        <w:jc w:val="both"/>
        <w:rPr>
          <w:rFonts w:ascii="Times New Roman" w:eastAsia="Times New Roman" w:hAnsi="Times New Roman" w:cs="Times New Roman"/>
          <w:bCs/>
          <w:sz w:val="32"/>
          <w:szCs w:val="32"/>
        </w:rPr>
      </w:pPr>
      <w:r w:rsidRPr="00774D9E">
        <w:rPr>
          <w:rFonts w:ascii="Times New Roman" w:eastAsia="Times New Roman" w:hAnsi="Times New Roman" w:cs="Times New Roman"/>
          <w:sz w:val="32"/>
          <w:szCs w:val="32"/>
        </w:rPr>
        <w:t>– у</w:t>
      </w:r>
      <w:r w:rsidRPr="00774D9E">
        <w:rPr>
          <w:rFonts w:ascii="Times New Roman" w:eastAsia="Times New Roman" w:hAnsi="Times New Roman" w:cs="Times New Roman"/>
          <w:bCs/>
          <w:sz w:val="32"/>
          <w:szCs w:val="32"/>
        </w:rPr>
        <w:t>ровень риска и ожидания доходности: и</w:t>
      </w:r>
      <w:r w:rsidRPr="00774D9E">
        <w:rPr>
          <w:rFonts w:ascii="Times New Roman" w:eastAsia="Times New Roman" w:hAnsi="Times New Roman" w:cs="Times New Roman"/>
          <w:sz w:val="32"/>
          <w:szCs w:val="32"/>
        </w:rPr>
        <w:t>нвестирование в стартапы сопряжено с высоким уровнем риска. По статистике большинство компаний закрываются или оказываются неудачными инвестициями. Однако успешные проекты могут принести многократно большую отдачу (x10-x100),</w:t>
      </w:r>
    </w:p>
    <w:p w14:paraId="45D1449B" w14:textId="77777777" w:rsidR="004427E6" w:rsidRPr="00774D9E" w:rsidRDefault="004427E6" w:rsidP="00B41576">
      <w:pPr>
        <w:spacing w:after="0" w:line="240" w:lineRule="auto"/>
        <w:ind w:firstLine="709"/>
        <w:jc w:val="both"/>
        <w:rPr>
          <w:rFonts w:ascii="Times New Roman" w:eastAsia="Times New Roman" w:hAnsi="Times New Roman" w:cs="Times New Roman"/>
          <w:bCs/>
          <w:sz w:val="32"/>
          <w:szCs w:val="32"/>
        </w:rPr>
      </w:pPr>
      <w:r w:rsidRPr="00774D9E">
        <w:rPr>
          <w:rFonts w:ascii="Times New Roman" w:eastAsia="Times New Roman" w:hAnsi="Times New Roman" w:cs="Times New Roman"/>
          <w:sz w:val="32"/>
          <w:szCs w:val="32"/>
        </w:rPr>
        <w:t>– д</w:t>
      </w:r>
      <w:r w:rsidRPr="00774D9E">
        <w:rPr>
          <w:rFonts w:ascii="Times New Roman" w:eastAsia="Times New Roman" w:hAnsi="Times New Roman" w:cs="Times New Roman"/>
          <w:bCs/>
          <w:sz w:val="32"/>
          <w:szCs w:val="32"/>
        </w:rPr>
        <w:t>обавленная стоимость помимо денег: к</w:t>
      </w:r>
      <w:r w:rsidRPr="00774D9E">
        <w:rPr>
          <w:rFonts w:ascii="Times New Roman" w:eastAsia="Times New Roman" w:hAnsi="Times New Roman" w:cs="Times New Roman"/>
          <w:sz w:val="32"/>
          <w:szCs w:val="32"/>
        </w:rPr>
        <w:t>роме финансовых вложений, бизнес-ангелы часто предоставляют менторство, экспертное мнение, деловые связи и помощь в развитии проекта. Их опыт и контакты значительно увеличивают шансы успеха молодого предприятия,</w:t>
      </w:r>
    </w:p>
    <w:p w14:paraId="0841CA40" w14:textId="77777777" w:rsidR="004427E6" w:rsidRPr="00774D9E" w:rsidRDefault="004427E6" w:rsidP="00B41576">
      <w:pPr>
        <w:spacing w:after="0" w:line="240" w:lineRule="auto"/>
        <w:ind w:firstLine="709"/>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с</w:t>
      </w:r>
      <w:r w:rsidRPr="00774D9E">
        <w:rPr>
          <w:rFonts w:ascii="Times New Roman" w:eastAsia="Times New Roman" w:hAnsi="Times New Roman" w:cs="Times New Roman"/>
          <w:bCs/>
          <w:sz w:val="32"/>
          <w:szCs w:val="32"/>
        </w:rPr>
        <w:t>труктура сделки: о</w:t>
      </w:r>
      <w:r w:rsidRPr="00774D9E">
        <w:rPr>
          <w:rFonts w:ascii="Times New Roman" w:eastAsia="Times New Roman" w:hAnsi="Times New Roman" w:cs="Times New Roman"/>
          <w:sz w:val="32"/>
          <w:szCs w:val="32"/>
        </w:rPr>
        <w:t>бычно инвестиции осуществляются через покупку доли в уставном капитале компании (акций/долей), предоставление конвертируемого займа либо использование гибридных инструментов. Условия сделок варьируются в зависимости от особенностей конкретного стартапа и личных предпочтений ангела.</w:t>
      </w:r>
    </w:p>
    <w:p w14:paraId="5EF8A7DB" w14:textId="77777777" w:rsidR="004427E6" w:rsidRPr="00774D9E" w:rsidRDefault="004427E6" w:rsidP="00B41576">
      <w:pPr>
        <w:spacing w:after="0" w:line="240" w:lineRule="auto"/>
        <w:ind w:firstLine="709"/>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Направления инвестирования бизнес-ангелов зависят от различных факторов, включая личные предпочтения инвестора, уровень риска, ожидаемую доходность и перспективы рынка. Вот основные направления, в которые предпочитают вкладываться бизнес-ангелы:</w:t>
      </w:r>
    </w:p>
    <w:p w14:paraId="044C55A7"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xml:space="preserve">– технологические стартапы: это наиболее популярное направление среди бизнес-ангелов. Инвесторы ищут инновационные решения в сфере IT-технологий, интернета вещей (IoT), искусственного интеллекта, блокчейна и других технологических </w:t>
      </w:r>
      <w:r w:rsidRPr="00774D9E">
        <w:rPr>
          <w:rFonts w:ascii="Times New Roman" w:eastAsia="Times New Roman" w:hAnsi="Times New Roman" w:cs="Times New Roman"/>
          <w:sz w:val="32"/>
          <w:szCs w:val="32"/>
        </w:rPr>
        <w:lastRenderedPageBreak/>
        <w:t>направлений. Примеры включают разработки программного обеспечения, платформы для автоматизации процессов, системы анализа больших данных и онлайн-сервисы. Примеры отраслей: e-commerce и маркетплейсы, облачные сервисы и хранилища данных, финтех-проекты, биотехнологии и медтех, кибербезопасность,</w:t>
      </w:r>
    </w:p>
    <w:p w14:paraId="7F7E9A04"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биотехнологии и здравоохранение: этот сектор привлекает внимание инвесторов благодаря высокому потенциалу и значительному спросу на медицинские технологии и фармацевтику. Примеры областей: биомедицинские стартапы, разработка лекарственных препаратов, медицинские устройства и оборудование, телемедицина.</w:t>
      </w:r>
    </w:p>
    <w:p w14:paraId="36E78E0E"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В таблице 1 рассмотрим факторы инвестиционной активности и сопутствующие им признаки.</w:t>
      </w:r>
    </w:p>
    <w:p w14:paraId="6C4179A3"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p>
    <w:p w14:paraId="26E45827" w14:textId="77777777" w:rsidR="004427E6" w:rsidRPr="00774D9E" w:rsidRDefault="004427E6" w:rsidP="004427E6">
      <w:pPr>
        <w:spacing w:after="0" w:line="240" w:lineRule="auto"/>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Таблица 1 – Факторы инвестиционной активности и соответствующие им признаки</w:t>
      </w:r>
    </w:p>
    <w:tbl>
      <w:tblPr>
        <w:tblStyle w:val="a9"/>
        <w:tblW w:w="9889" w:type="dxa"/>
        <w:tblLook w:val="04A0" w:firstRow="1" w:lastRow="0" w:firstColumn="1" w:lastColumn="0" w:noHBand="0" w:noVBand="1"/>
      </w:tblPr>
      <w:tblGrid>
        <w:gridCol w:w="4785"/>
        <w:gridCol w:w="5104"/>
      </w:tblGrid>
      <w:tr w:rsidR="004427E6" w:rsidRPr="00774D9E" w14:paraId="49C713FB" w14:textId="77777777" w:rsidTr="00EB1CB9">
        <w:tc>
          <w:tcPr>
            <w:tcW w:w="4785" w:type="dxa"/>
          </w:tcPr>
          <w:p w14:paraId="7CFAE69A"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Фактор инвестиционной деятельности</w:t>
            </w:r>
          </w:p>
        </w:tc>
        <w:tc>
          <w:tcPr>
            <w:tcW w:w="5104" w:type="dxa"/>
          </w:tcPr>
          <w:p w14:paraId="406DA7B1"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Признаки (характеристики)</w:t>
            </w:r>
          </w:p>
        </w:tc>
      </w:tr>
      <w:tr w:rsidR="004427E6" w:rsidRPr="00774D9E" w14:paraId="51E14130" w14:textId="77777777" w:rsidTr="00EB1CB9">
        <w:tc>
          <w:tcPr>
            <w:tcW w:w="4785" w:type="dxa"/>
          </w:tcPr>
          <w:p w14:paraId="7556667D"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Внешнеэкономическая ситуация</w:t>
            </w:r>
          </w:p>
          <w:p w14:paraId="0EA6AF3E"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Доступ к внешним рынкам</w:t>
            </w:r>
          </w:p>
        </w:tc>
        <w:tc>
          <w:tcPr>
            <w:tcW w:w="5104" w:type="dxa"/>
          </w:tcPr>
          <w:p w14:paraId="2B9D8B4E"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 xml:space="preserve">Экспортная ориентированность видов деятельности </w:t>
            </w:r>
          </w:p>
          <w:p w14:paraId="55F60880"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Импортозависимость вну</w:t>
            </w:r>
          </w:p>
          <w:p w14:paraId="5AB0F62F"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тренних рынков товаров и услуг</w:t>
            </w:r>
          </w:p>
        </w:tc>
      </w:tr>
      <w:tr w:rsidR="004427E6" w:rsidRPr="00774D9E" w14:paraId="3EDD2582" w14:textId="77777777" w:rsidTr="00EB1CB9">
        <w:tc>
          <w:tcPr>
            <w:tcW w:w="4785" w:type="dxa"/>
          </w:tcPr>
          <w:p w14:paraId="498EBFA7"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Курсовая политика</w:t>
            </w:r>
          </w:p>
        </w:tc>
        <w:tc>
          <w:tcPr>
            <w:tcW w:w="5104" w:type="dxa"/>
          </w:tcPr>
          <w:p w14:paraId="045B551E"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Динамика обменного курса</w:t>
            </w:r>
          </w:p>
        </w:tc>
      </w:tr>
      <w:tr w:rsidR="004427E6" w:rsidRPr="00774D9E" w14:paraId="5DE56D8B" w14:textId="77777777" w:rsidTr="00EB1CB9">
        <w:tc>
          <w:tcPr>
            <w:tcW w:w="4785" w:type="dxa"/>
          </w:tcPr>
          <w:p w14:paraId="44F4BC40"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Процент коммерческого кредита</w:t>
            </w:r>
          </w:p>
        </w:tc>
        <w:tc>
          <w:tcPr>
            <w:tcW w:w="5104" w:type="dxa"/>
          </w:tcPr>
          <w:p w14:paraId="7BE6BCC9"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Динамика ключевой ставки</w:t>
            </w:r>
          </w:p>
        </w:tc>
      </w:tr>
      <w:tr w:rsidR="004427E6" w:rsidRPr="00774D9E" w14:paraId="46777C14" w14:textId="77777777" w:rsidTr="00EB1CB9">
        <w:tc>
          <w:tcPr>
            <w:tcW w:w="4785" w:type="dxa"/>
          </w:tcPr>
          <w:p w14:paraId="45A85785"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Объем собственных средств</w:t>
            </w:r>
          </w:p>
        </w:tc>
        <w:tc>
          <w:tcPr>
            <w:tcW w:w="5104" w:type="dxa"/>
          </w:tcPr>
          <w:p w14:paraId="663263FA"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Обеспеченность собственными оборотными средствами</w:t>
            </w:r>
          </w:p>
          <w:p w14:paraId="363265C8" w14:textId="77777777" w:rsidR="004427E6" w:rsidRPr="00774D9E" w:rsidRDefault="004427E6" w:rsidP="00EB1CB9">
            <w:pPr>
              <w:jc w:val="both"/>
              <w:rPr>
                <w:rFonts w:ascii="Times New Roman" w:eastAsia="Times New Roman" w:hAnsi="Times New Roman" w:cs="Times New Roman"/>
                <w:sz w:val="24"/>
                <w:szCs w:val="24"/>
              </w:rPr>
            </w:pPr>
            <w:r w:rsidRPr="00774D9E">
              <w:rPr>
                <w:rFonts w:ascii="Times New Roman" w:eastAsia="Times New Roman" w:hAnsi="Times New Roman" w:cs="Times New Roman"/>
                <w:sz w:val="24"/>
                <w:szCs w:val="24"/>
              </w:rPr>
              <w:t>Доступность кредитования для предприятий соответствующего вида деятельности</w:t>
            </w:r>
          </w:p>
        </w:tc>
      </w:tr>
    </w:tbl>
    <w:p w14:paraId="70DFDD9C"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p>
    <w:p w14:paraId="57459B69"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Также бизнес-ангелы инвестируют в энергетику и экологию. Экологически чистые технологии становятся всё более востребованными, привлекая интерес бизнес-ангелов. Примеры секторов: солнечная энергия и ветроэнергетика, переработка отходов и вторичное производство, зелёные строительные материалы, электромобили и альтернативные виды транспорта.</w:t>
      </w:r>
    </w:p>
    <w:p w14:paraId="24680129"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xml:space="preserve">Большое значение в инвестировании имеет образование: инновационные образовательные платформы и цифровые инструменты также привлекают внимание инвесторов. Такие стартапы предлагают новые подходы к обучению, повышают доступность образования и улучшают качество образовательных услуг. Примеры направлений: онлайн-курсы и учебные программы, виртуальные </w:t>
      </w:r>
      <w:r w:rsidRPr="00774D9E">
        <w:rPr>
          <w:rFonts w:ascii="Times New Roman" w:eastAsia="Times New Roman" w:hAnsi="Times New Roman" w:cs="Times New Roman"/>
          <w:sz w:val="32"/>
          <w:szCs w:val="32"/>
        </w:rPr>
        <w:lastRenderedPageBreak/>
        <w:t>лаборатории и симуляторы, аналитические системы оценки успеваемости, мобильные приложения для самообразования.</w:t>
      </w:r>
    </w:p>
    <w:p w14:paraId="45013898"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Стартапы, предлагающие уникальные потребительские товары и услуги, тоже пользуются спросом у бизнес-ангелов. Особенно популярны проекты, ориентированные на молодых потребителей, активные группы населения и нишевые рынки. Примеры сегментов: экологически чистая косметика и бытовая химия, органическое питание и фермерская продукция, умные гаджеты и аксессуары, эксклюзивные туристические маршруты и мероприятия</w:t>
      </w:r>
    </w:p>
    <w:p w14:paraId="5AE4E99F"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Некоторые активно участвуют в проектах социального назначения, направленных на решение социальных проблем и улучшение качества жизни людей. Примеры сфер влияния: благотворительные фонды и некоммерческие организации, инклюзивное образование и реабилитация, социальные сети взаимопомощи, поддержка культурных инициатив и искусства</w:t>
      </w:r>
    </w:p>
    <w:p w14:paraId="1AE360C4"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Таким образом, выбор направления зависит от индивидуальных предпочтений каждого инвестора, уровня готовности принять риски и ожиданий относительно будущей прибыли. Важно отметить, что многие бизнес-ангелы диверсифицируют свои портфели, инвестируя одновременно в разные отрасли и сектора экономики.</w:t>
      </w:r>
    </w:p>
    <w:p w14:paraId="2003F72D"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Развитие российского рынка бизнес-ангельского инвестирования продолжается, несмотря на сложности, вызванные экономической нестабильностью и санкциями. Основными факторами, влияющими на дальнейший рост, станут:</w:t>
      </w:r>
    </w:p>
    <w:p w14:paraId="532E471F"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повышение прозрачности рынка и совершенствование законодательства,</w:t>
      </w:r>
    </w:p>
    <w:p w14:paraId="316B5EEF"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поддержка государства и развитие специализированных институтов (например, Российский фонд развития информационных технологий),</w:t>
      </w:r>
    </w:p>
    <w:p w14:paraId="7F25B529"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 увеличение числа профессиональных управляющих и экспертов, готовых консультировать начинающих предпринимателей.</w:t>
      </w:r>
    </w:p>
    <w:p w14:paraId="64A3EAE4"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t>Таким образом, задачей сегодняшнего дня является организация «перелива» капитала в венчурный и бизнес-ангельский сектор. Для решения поставленной задачи необходимо упростить процесс бизнес-ангельских инвестиций и, по сути, создать этот сектор в российской экономике. Имеющийся на сегодня российский опыт инвестиций показывает, что процесс вложения средств бизнес-ангелов в инновационные компании сопряжён с рядом сложностей.</w:t>
      </w:r>
    </w:p>
    <w:p w14:paraId="7F77168C" w14:textId="77777777" w:rsidR="004427E6" w:rsidRPr="00774D9E" w:rsidRDefault="004427E6" w:rsidP="004427E6">
      <w:pPr>
        <w:spacing w:after="0" w:line="240" w:lineRule="auto"/>
        <w:ind w:firstLine="851"/>
        <w:jc w:val="both"/>
        <w:rPr>
          <w:rFonts w:ascii="Times New Roman" w:eastAsia="Times New Roman" w:hAnsi="Times New Roman" w:cs="Times New Roman"/>
          <w:sz w:val="32"/>
          <w:szCs w:val="32"/>
        </w:rPr>
      </w:pPr>
      <w:r w:rsidRPr="00774D9E">
        <w:rPr>
          <w:rFonts w:ascii="Times New Roman" w:eastAsia="Times New Roman" w:hAnsi="Times New Roman" w:cs="Times New Roman"/>
          <w:sz w:val="32"/>
          <w:szCs w:val="32"/>
        </w:rPr>
        <w:lastRenderedPageBreak/>
        <w:t>Инвестиции бизнес-ангелов играют критически важную роль в развитии малого бизнеса, особенно на ранних стадиях, когда традиционные источники финансирования, такие как банки, часто недоступны. Бизнес-ангелы не просто предоставляют капитал, они привносят ценный опыт, знания и связи, которые могут значительно повысить шансы стартапа на успех. Главной проблемой развития бизнес-ангельского инвестирования в России является наличие более привлекательных для вложений объектов: недвижимости, акций сырьевых компаний, потребительского и финансового сектора. Эти сегменты экономики быстрее становятся доходными, а процесс вложения в них значительно проще, чем инвестирование инновационных компаний.</w:t>
      </w:r>
    </w:p>
    <w:p w14:paraId="16A90461" w14:textId="77777777" w:rsidR="004427E6" w:rsidRPr="00774D9E" w:rsidRDefault="004427E6" w:rsidP="004427E6">
      <w:pPr>
        <w:shd w:val="clear" w:color="auto" w:fill="FFFFFF"/>
        <w:suppressAutoHyphens/>
        <w:spacing w:after="0" w:line="240" w:lineRule="auto"/>
        <w:jc w:val="both"/>
        <w:rPr>
          <w:rFonts w:ascii="Times New Roman" w:eastAsia="Times New Roman" w:hAnsi="Times New Roman" w:cs="Times New Roman"/>
          <w:color w:val="000000"/>
          <w:sz w:val="21"/>
          <w:szCs w:val="21"/>
          <w:lang w:eastAsia="ar-SA"/>
        </w:rPr>
      </w:pPr>
    </w:p>
    <w:p w14:paraId="6D19B91B" w14:textId="77777777" w:rsidR="004427E6" w:rsidRPr="00774D9E" w:rsidRDefault="004427E6" w:rsidP="004427E6">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774D9E">
        <w:rPr>
          <w:rFonts w:ascii="Times New Roman" w:eastAsia="Times New Roman" w:hAnsi="Times New Roman" w:cs="Times New Roman"/>
          <w:b/>
          <w:color w:val="000000"/>
          <w:sz w:val="21"/>
          <w:szCs w:val="21"/>
          <w:lang w:eastAsia="ar-SA"/>
        </w:rPr>
        <w:t>Литература:</w:t>
      </w:r>
    </w:p>
    <w:p w14:paraId="0EDF1FAC" w14:textId="77777777" w:rsidR="004427E6" w:rsidRPr="00AF68F3" w:rsidRDefault="004427E6" w:rsidP="00AD58CD">
      <w:pPr>
        <w:pStyle w:val="a8"/>
        <w:numPr>
          <w:ilvl w:val="0"/>
          <w:numId w:val="144"/>
        </w:numPr>
        <w:tabs>
          <w:tab w:val="left" w:pos="0"/>
        </w:tabs>
        <w:suppressAutoHyphens/>
        <w:autoSpaceDE w:val="0"/>
        <w:spacing w:after="0" w:line="240" w:lineRule="auto"/>
        <w:ind w:left="426"/>
        <w:jc w:val="both"/>
        <w:rPr>
          <w:rFonts w:ascii="Times New Roman" w:eastAsia="Times New Roman" w:hAnsi="Times New Roman" w:cs="Times New Roman"/>
          <w:sz w:val="21"/>
          <w:szCs w:val="21"/>
          <w:lang w:eastAsia="ar-SA"/>
        </w:rPr>
      </w:pPr>
      <w:r w:rsidRPr="00AF68F3">
        <w:rPr>
          <w:rFonts w:ascii="Times New Roman" w:eastAsia="Times New Roman" w:hAnsi="Times New Roman" w:cs="Times New Roman"/>
          <w:sz w:val="21"/>
          <w:szCs w:val="21"/>
          <w:lang w:eastAsia="ar-SA"/>
        </w:rPr>
        <w:t>Чистякова О.В. Тенденции развития бизнес-ангелов в России // Современная экономика: актуальные вопросы, достижения и инновации – 2021</w:t>
      </w:r>
    </w:p>
    <w:p w14:paraId="20CEBB77" w14:textId="77777777" w:rsidR="004427E6" w:rsidRPr="00AF68F3" w:rsidRDefault="004427E6" w:rsidP="00AD58CD">
      <w:pPr>
        <w:pStyle w:val="a8"/>
        <w:numPr>
          <w:ilvl w:val="0"/>
          <w:numId w:val="144"/>
        </w:numPr>
        <w:tabs>
          <w:tab w:val="left" w:pos="0"/>
        </w:tabs>
        <w:suppressAutoHyphens/>
        <w:autoSpaceDE w:val="0"/>
        <w:spacing w:after="0" w:line="240" w:lineRule="auto"/>
        <w:ind w:left="426"/>
        <w:jc w:val="both"/>
        <w:rPr>
          <w:rFonts w:ascii="Times New Roman" w:eastAsia="Times New Roman" w:hAnsi="Times New Roman" w:cs="Times New Roman"/>
          <w:sz w:val="21"/>
          <w:szCs w:val="21"/>
          <w:lang w:eastAsia="ar-SA"/>
        </w:rPr>
      </w:pPr>
      <w:r w:rsidRPr="00AF68F3">
        <w:rPr>
          <w:rFonts w:ascii="Times New Roman" w:eastAsia="Times New Roman" w:hAnsi="Times New Roman" w:cs="Times New Roman"/>
          <w:sz w:val="21"/>
          <w:szCs w:val="21"/>
          <w:lang w:eastAsia="ar-SA"/>
        </w:rPr>
        <w:t>История инвестиционных стратегий. Бартон Биггс 2023 г.</w:t>
      </w:r>
    </w:p>
    <w:p w14:paraId="35FA7DA0" w14:textId="77777777" w:rsidR="004427E6" w:rsidRPr="00AF68F3" w:rsidRDefault="004427E6" w:rsidP="00AD58CD">
      <w:pPr>
        <w:pStyle w:val="a8"/>
        <w:numPr>
          <w:ilvl w:val="0"/>
          <w:numId w:val="144"/>
        </w:numPr>
        <w:tabs>
          <w:tab w:val="left" w:pos="0"/>
        </w:tabs>
        <w:suppressAutoHyphens/>
        <w:autoSpaceDE w:val="0"/>
        <w:spacing w:after="0" w:line="240" w:lineRule="auto"/>
        <w:ind w:left="426"/>
        <w:jc w:val="both"/>
        <w:rPr>
          <w:rFonts w:ascii="Times New Roman" w:eastAsia="Times New Roman" w:hAnsi="Times New Roman" w:cs="Times New Roman"/>
          <w:sz w:val="21"/>
          <w:szCs w:val="21"/>
          <w:lang w:eastAsia="ar-SA"/>
        </w:rPr>
      </w:pPr>
      <w:r w:rsidRPr="00AF68F3">
        <w:rPr>
          <w:rFonts w:ascii="Times New Roman" w:eastAsia="Times New Roman" w:hAnsi="Times New Roman" w:cs="Times New Roman"/>
          <w:sz w:val="21"/>
          <w:szCs w:val="21"/>
          <w:lang w:eastAsia="ar-SA"/>
        </w:rPr>
        <w:t xml:space="preserve">«КонсультантПлюс» - законодательство РФ: кодексы, законы, указы, постановление Правительства Российской Федерации, нормативные акты [Электронный документ] https://www.consultant.ru/ </w:t>
      </w:r>
    </w:p>
    <w:p w14:paraId="30A25C60" w14:textId="5CBA42FE" w:rsidR="004427E6" w:rsidRDefault="004427E6" w:rsidP="00D01EB8">
      <w:pPr>
        <w:tabs>
          <w:tab w:val="num" w:pos="851"/>
          <w:tab w:val="left" w:pos="993"/>
        </w:tabs>
        <w:spacing w:after="0" w:line="240" w:lineRule="auto"/>
        <w:rPr>
          <w:rFonts w:ascii="Times New Roman" w:hAnsi="Times New Roman" w:cs="Times New Roman"/>
          <w:b/>
        </w:rPr>
      </w:pPr>
    </w:p>
    <w:p w14:paraId="70A902AE" w14:textId="77777777" w:rsidR="00B41576" w:rsidRDefault="00B41576" w:rsidP="00D01EB8">
      <w:pPr>
        <w:tabs>
          <w:tab w:val="num" w:pos="851"/>
          <w:tab w:val="left" w:pos="993"/>
        </w:tabs>
        <w:spacing w:after="0" w:line="240" w:lineRule="auto"/>
        <w:rPr>
          <w:rFonts w:ascii="Times New Roman" w:hAnsi="Times New Roman" w:cs="Times New Roman"/>
          <w:b/>
        </w:rPr>
      </w:pPr>
    </w:p>
    <w:p w14:paraId="67A3C44B" w14:textId="77777777" w:rsidR="00F305C0" w:rsidRPr="00D201DC" w:rsidRDefault="00F305C0" w:rsidP="00F305C0">
      <w:pPr>
        <w:spacing w:after="0" w:line="240" w:lineRule="auto"/>
        <w:rPr>
          <w:rFonts w:ascii="Times New Roman" w:eastAsia="Times New Roman" w:hAnsi="Times New Roman" w:cs="Times New Roman"/>
          <w:sz w:val="24"/>
          <w:szCs w:val="24"/>
          <w:lang w:eastAsia="zh-CN"/>
        </w:rPr>
      </w:pPr>
      <w:r w:rsidRPr="00D201DC">
        <w:rPr>
          <w:rFonts w:ascii="TimesNewRomanPS-BoldMT" w:eastAsia="Times New Roman" w:hAnsi="TimesNewRomanPS-BoldMT" w:cs="Times New Roman"/>
          <w:b/>
          <w:bCs/>
          <w:color w:val="000000"/>
          <w:sz w:val="21"/>
          <w:szCs w:val="21"/>
          <w:lang w:eastAsia="zh-CN"/>
        </w:rPr>
        <w:t xml:space="preserve">УДК 338 </w:t>
      </w:r>
    </w:p>
    <w:p w14:paraId="10AE6071"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BoldItalicMT" w:eastAsia="Times New Roman" w:hAnsi="TimesNewRomanPS-BoldItalicMT" w:cs="Times New Roman"/>
          <w:b/>
          <w:bCs/>
          <w:i/>
          <w:iCs/>
          <w:color w:val="000000"/>
          <w:sz w:val="20"/>
          <w:szCs w:val="20"/>
          <w:lang w:eastAsia="zh-CN"/>
        </w:rPr>
        <w:t>Рашоян К.Н</w:t>
      </w:r>
      <w:r w:rsidRPr="00D201DC">
        <w:rPr>
          <w:rFonts w:ascii="TimesNewRomanPS-BoldItalicMT" w:eastAsia="Times New Roman" w:hAnsi="TimesNewRomanPS-BoldItalicMT" w:cs="Times New Roman"/>
          <w:b/>
          <w:bCs/>
          <w:i/>
          <w:iCs/>
          <w:color w:val="000000"/>
          <w:sz w:val="21"/>
          <w:szCs w:val="21"/>
          <w:lang w:eastAsia="zh-CN"/>
        </w:rPr>
        <w:t xml:space="preserve">., </w:t>
      </w:r>
    </w:p>
    <w:p w14:paraId="0CB697CF"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студент 1 курса </w:t>
      </w:r>
    </w:p>
    <w:p w14:paraId="53EAA1FC"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Федеральное государственное образовательное бюджетное учреждение высшего образования </w:t>
      </w:r>
    </w:p>
    <w:p w14:paraId="6B552CD1"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Финансовый университет при Правительстве Российской Федерации </w:t>
      </w:r>
    </w:p>
    <w:p w14:paraId="3DA539D3"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г. Краснодар, Россия </w:t>
      </w:r>
    </w:p>
    <w:p w14:paraId="06A81CB6" w14:textId="77777777" w:rsidR="00F305C0" w:rsidRDefault="00F305C0" w:rsidP="00F305C0">
      <w:pPr>
        <w:spacing w:after="0" w:line="240" w:lineRule="auto"/>
        <w:jc w:val="right"/>
        <w:rPr>
          <w:rFonts w:ascii="TimesNewRomanPS-ItalicMT" w:eastAsia="Times New Roman" w:hAnsi="TimesNewRomanPS-ItalicMT" w:cs="Times New Roman"/>
          <w:i/>
          <w:iCs/>
          <w:color w:val="0000FF"/>
          <w:sz w:val="21"/>
          <w:szCs w:val="21"/>
          <w:lang w:eastAsia="zh-CN"/>
        </w:rPr>
      </w:pPr>
      <w:r w:rsidRPr="00D201DC">
        <w:rPr>
          <w:rFonts w:ascii="TimesNewRomanPS-ItalicMT" w:eastAsia="Times New Roman" w:hAnsi="TimesNewRomanPS-ItalicMT" w:cs="Times New Roman"/>
          <w:i/>
          <w:iCs/>
          <w:color w:val="000000"/>
          <w:sz w:val="21"/>
          <w:szCs w:val="21"/>
          <w:lang w:eastAsia="zh-CN"/>
        </w:rPr>
        <w:t xml:space="preserve">е-mail: </w:t>
      </w:r>
      <w:hyperlink r:id="rId121" w:history="1">
        <w:r w:rsidRPr="00D201DC">
          <w:rPr>
            <w:rStyle w:val="aa"/>
            <w:rFonts w:ascii="TimesNewRomanPS-ItalicMT" w:eastAsia="Times New Roman" w:hAnsi="TimesNewRomanPS-ItalicMT" w:cs="Times New Roman"/>
            <w:i/>
            <w:iCs/>
            <w:sz w:val="21"/>
            <w:szCs w:val="21"/>
            <w:lang w:eastAsia="zh-CN"/>
          </w:rPr>
          <w:t>rashoyan2004@mail.ru</w:t>
        </w:r>
      </w:hyperlink>
      <w:r w:rsidRPr="00D201DC">
        <w:rPr>
          <w:rFonts w:ascii="TimesNewRomanPS-ItalicMT" w:eastAsia="Times New Roman" w:hAnsi="TimesNewRomanPS-ItalicMT" w:cs="Times New Roman"/>
          <w:i/>
          <w:iCs/>
          <w:color w:val="0000FF"/>
          <w:sz w:val="21"/>
          <w:szCs w:val="21"/>
          <w:lang w:eastAsia="zh-CN"/>
        </w:rPr>
        <w:t xml:space="preserve"> </w:t>
      </w:r>
    </w:p>
    <w:p w14:paraId="7A622969"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p>
    <w:p w14:paraId="22DBA34C"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BoldItalicMT" w:eastAsia="Times New Roman" w:hAnsi="TimesNewRomanPS-BoldItalicMT" w:cs="Times New Roman"/>
          <w:b/>
          <w:bCs/>
          <w:i/>
          <w:iCs/>
          <w:color w:val="000000"/>
          <w:sz w:val="21"/>
          <w:szCs w:val="21"/>
          <w:lang w:eastAsia="zh-CN"/>
        </w:rPr>
        <w:t xml:space="preserve">Научный руководитель: </w:t>
      </w:r>
    </w:p>
    <w:p w14:paraId="5F1461B7" w14:textId="77777777" w:rsidR="00F305C0" w:rsidRDefault="00F305C0" w:rsidP="00F305C0">
      <w:pPr>
        <w:spacing w:after="0" w:line="240" w:lineRule="auto"/>
        <w:jc w:val="right"/>
        <w:rPr>
          <w:rFonts w:ascii="TimesNewRomanPS-BoldItalicMT" w:eastAsia="Times New Roman" w:hAnsi="TimesNewRomanPS-BoldItalicMT" w:cs="Times New Roman"/>
          <w:b/>
          <w:bCs/>
          <w:i/>
          <w:iCs/>
          <w:color w:val="000000"/>
          <w:sz w:val="21"/>
          <w:szCs w:val="21"/>
          <w:lang w:eastAsia="zh-CN"/>
        </w:rPr>
      </w:pPr>
      <w:r w:rsidRPr="00D201DC">
        <w:rPr>
          <w:rFonts w:ascii="TimesNewRomanPS-BoldItalicMT" w:eastAsia="Times New Roman" w:hAnsi="TimesNewRomanPS-BoldItalicMT" w:cs="Times New Roman"/>
          <w:b/>
          <w:bCs/>
          <w:i/>
          <w:iCs/>
          <w:color w:val="000000"/>
          <w:sz w:val="21"/>
          <w:szCs w:val="21"/>
          <w:lang w:eastAsia="zh-CN"/>
        </w:rPr>
        <w:t xml:space="preserve">Радченко Мария Викторовна </w:t>
      </w:r>
    </w:p>
    <w:p w14:paraId="2BF591C8"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Кандидат экономических наук</w:t>
      </w:r>
    </w:p>
    <w:p w14:paraId="06E67981"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Федеральное государственное образовательное бюджетное учреждение высшего образования </w:t>
      </w:r>
    </w:p>
    <w:p w14:paraId="52D00727"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 xml:space="preserve">Финансовый университет при Правительстве Российской Федерации </w:t>
      </w:r>
    </w:p>
    <w:p w14:paraId="11AF5357"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00"/>
          <w:sz w:val="21"/>
          <w:szCs w:val="21"/>
          <w:lang w:eastAsia="zh-CN"/>
        </w:rPr>
        <w:t>г. Краснодар, Россия</w:t>
      </w:r>
    </w:p>
    <w:p w14:paraId="0E1CE0DD" w14:textId="77777777" w:rsidR="00F305C0" w:rsidRDefault="00F305C0" w:rsidP="00F305C0">
      <w:pPr>
        <w:spacing w:after="0" w:line="240" w:lineRule="auto"/>
        <w:jc w:val="right"/>
        <w:rPr>
          <w:rFonts w:ascii="TimesNewRomanPS-ItalicMT" w:eastAsia="Times New Roman" w:hAnsi="TimesNewRomanPS-ItalicMT" w:cs="Times New Roman"/>
          <w:i/>
          <w:iCs/>
          <w:color w:val="0000FF"/>
          <w:sz w:val="21"/>
          <w:szCs w:val="21"/>
          <w:lang w:eastAsia="zh-CN"/>
        </w:rPr>
      </w:pPr>
      <w:r w:rsidRPr="00D201DC">
        <w:rPr>
          <w:rFonts w:ascii="TimesNewRomanPS-ItalicMT" w:eastAsia="Times New Roman" w:hAnsi="TimesNewRomanPS-ItalicMT" w:cs="Times New Roman"/>
          <w:i/>
          <w:iCs/>
          <w:color w:val="000000"/>
          <w:sz w:val="21"/>
          <w:szCs w:val="21"/>
          <w:lang w:eastAsia="zh-CN"/>
        </w:rPr>
        <w:t xml:space="preserve">mail: </w:t>
      </w:r>
      <w:hyperlink r:id="rId122" w:history="1">
        <w:r w:rsidRPr="00D201DC">
          <w:rPr>
            <w:rStyle w:val="aa"/>
            <w:rFonts w:ascii="TimesNewRomanPS-ItalicMT" w:eastAsia="Times New Roman" w:hAnsi="TimesNewRomanPS-ItalicMT" w:cs="Times New Roman"/>
            <w:i/>
            <w:iCs/>
            <w:sz w:val="21"/>
            <w:szCs w:val="21"/>
            <w:lang w:eastAsia="zh-CN"/>
          </w:rPr>
          <w:t>MVRadchenko@fa.ru</w:t>
        </w:r>
      </w:hyperlink>
    </w:p>
    <w:p w14:paraId="04EB30DE" w14:textId="77777777" w:rsidR="00F305C0" w:rsidRPr="00D201DC" w:rsidRDefault="00F305C0" w:rsidP="00F305C0">
      <w:pPr>
        <w:spacing w:after="0" w:line="240" w:lineRule="auto"/>
        <w:jc w:val="right"/>
        <w:rPr>
          <w:rFonts w:ascii="Times New Roman" w:eastAsia="Times New Roman" w:hAnsi="Times New Roman" w:cs="Times New Roman"/>
          <w:sz w:val="24"/>
          <w:szCs w:val="24"/>
          <w:lang w:eastAsia="zh-CN"/>
        </w:rPr>
      </w:pPr>
      <w:r w:rsidRPr="00D201DC">
        <w:rPr>
          <w:rFonts w:ascii="TimesNewRomanPS-ItalicMT" w:eastAsia="Times New Roman" w:hAnsi="TimesNewRomanPS-ItalicMT" w:cs="Times New Roman"/>
          <w:i/>
          <w:iCs/>
          <w:color w:val="0000FF"/>
          <w:sz w:val="21"/>
          <w:szCs w:val="21"/>
          <w:lang w:eastAsia="zh-CN"/>
        </w:rPr>
        <w:t xml:space="preserve"> </w:t>
      </w:r>
    </w:p>
    <w:p w14:paraId="4DBE5910" w14:textId="77777777" w:rsidR="00F305C0" w:rsidRDefault="00F305C0" w:rsidP="00F305C0">
      <w:pPr>
        <w:spacing w:after="0" w:line="240" w:lineRule="auto"/>
        <w:jc w:val="center"/>
        <w:rPr>
          <w:rFonts w:ascii="TimesNewRomanPS-BoldMT" w:eastAsia="Times New Roman" w:hAnsi="TimesNewRomanPS-BoldMT" w:cs="Times New Roman"/>
          <w:b/>
          <w:bCs/>
          <w:color w:val="000000"/>
          <w:sz w:val="21"/>
          <w:szCs w:val="21"/>
          <w:lang w:eastAsia="zh-CN"/>
        </w:rPr>
      </w:pPr>
      <w:r w:rsidRPr="00D201DC">
        <w:rPr>
          <w:rFonts w:ascii="TimesNewRomanPS-BoldMT" w:eastAsia="Times New Roman" w:hAnsi="TimesNewRomanPS-BoldMT" w:cs="Times New Roman"/>
          <w:b/>
          <w:bCs/>
          <w:color w:val="000000"/>
          <w:sz w:val="21"/>
          <w:szCs w:val="21"/>
          <w:lang w:eastAsia="zh-CN"/>
        </w:rPr>
        <w:t>Оценка конкурентоспособности Российской Экономики: Вызовы и пути решения</w:t>
      </w:r>
    </w:p>
    <w:p w14:paraId="1A6B9F4B" w14:textId="77777777" w:rsidR="00F305C0" w:rsidRPr="00D201DC" w:rsidRDefault="00F305C0" w:rsidP="00F305C0">
      <w:pPr>
        <w:spacing w:after="0" w:line="240" w:lineRule="auto"/>
        <w:jc w:val="both"/>
        <w:rPr>
          <w:rFonts w:ascii="Times New Roman" w:eastAsia="Times New Roman" w:hAnsi="Times New Roman" w:cs="Times New Roman"/>
          <w:sz w:val="24"/>
          <w:szCs w:val="24"/>
          <w:lang w:eastAsia="zh-CN"/>
        </w:rPr>
      </w:pPr>
    </w:p>
    <w:p w14:paraId="2DCAC9FA" w14:textId="77777777" w:rsidR="00F305C0" w:rsidRPr="00D201DC" w:rsidRDefault="00F305C0" w:rsidP="00F305C0">
      <w:pPr>
        <w:spacing w:after="0" w:line="240" w:lineRule="auto"/>
        <w:ind w:firstLine="709"/>
        <w:jc w:val="both"/>
        <w:rPr>
          <w:rFonts w:ascii="Times New Roman" w:eastAsia="Times New Roman" w:hAnsi="Times New Roman" w:cs="Times New Roman"/>
          <w:sz w:val="24"/>
          <w:szCs w:val="24"/>
          <w:lang w:eastAsia="zh-CN"/>
        </w:rPr>
      </w:pPr>
      <w:r w:rsidRPr="00D201DC">
        <w:rPr>
          <w:rFonts w:ascii="TimesNewRomanPS-BoldMT" w:eastAsia="Times New Roman" w:hAnsi="TimesNewRomanPS-BoldMT" w:cs="Times New Roman"/>
          <w:b/>
          <w:bCs/>
          <w:color w:val="000000"/>
          <w:sz w:val="21"/>
          <w:szCs w:val="21"/>
          <w:lang w:eastAsia="zh-CN"/>
        </w:rPr>
        <w:t xml:space="preserve">Аннотация: </w:t>
      </w:r>
      <w:r w:rsidRPr="00D201DC">
        <w:rPr>
          <w:rFonts w:ascii="Times New Roman" w:eastAsia="Times New Roman" w:hAnsi="Times New Roman" w:cs="Times New Roman"/>
          <w:color w:val="000000"/>
          <w:sz w:val="21"/>
          <w:szCs w:val="21"/>
          <w:lang w:eastAsia="zh-CN"/>
        </w:rPr>
        <w:t xml:space="preserve">В статье рассматривается проблема конкурентоспособности российской экономики в </w:t>
      </w:r>
    </w:p>
    <w:p w14:paraId="57B34B78" w14:textId="77777777" w:rsidR="00F305C0" w:rsidRDefault="00F305C0" w:rsidP="00F305C0">
      <w:pPr>
        <w:spacing w:after="0" w:line="240" w:lineRule="auto"/>
        <w:ind w:firstLine="709"/>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условиях глобальной нестабильности и санкционного давления. Проведен анализ макроэкономических факторов и ключевых отраслей, влияющих на конкурентные позиции России. Выявлены основные вызовы, такие как технологическое отставание и кадровый дефицит, а также предложены пути их преодоления через инновации и государственную поддержку. Результаты исследования подчеркивают необходимость комплексного подхода для укрепления экономической устойчивости. </w:t>
      </w:r>
    </w:p>
    <w:p w14:paraId="146317A8" w14:textId="77777777" w:rsidR="00F305C0" w:rsidRPr="00D201DC" w:rsidRDefault="00F305C0" w:rsidP="00F305C0">
      <w:pPr>
        <w:spacing w:after="0" w:line="240" w:lineRule="auto"/>
        <w:ind w:firstLine="709"/>
        <w:jc w:val="both"/>
        <w:rPr>
          <w:rFonts w:ascii="Times New Roman" w:eastAsia="Times New Roman" w:hAnsi="Times New Roman" w:cs="Times New Roman"/>
          <w:sz w:val="24"/>
          <w:szCs w:val="24"/>
          <w:lang w:eastAsia="zh-CN"/>
        </w:rPr>
      </w:pPr>
      <w:r w:rsidRPr="00D201DC">
        <w:rPr>
          <w:rFonts w:ascii="TimesNewRomanPS-BoldMT" w:eastAsia="Times New Roman" w:hAnsi="TimesNewRomanPS-BoldMT" w:cs="Times New Roman"/>
          <w:b/>
          <w:bCs/>
          <w:color w:val="000000"/>
          <w:sz w:val="21"/>
          <w:szCs w:val="21"/>
          <w:lang w:eastAsia="zh-CN"/>
        </w:rPr>
        <w:t xml:space="preserve">Ключевые слова: </w:t>
      </w:r>
      <w:r w:rsidRPr="00D201DC">
        <w:rPr>
          <w:rFonts w:ascii="Times New Roman" w:eastAsia="Times New Roman" w:hAnsi="Times New Roman" w:cs="Times New Roman"/>
          <w:color w:val="000000"/>
          <w:sz w:val="21"/>
          <w:szCs w:val="21"/>
          <w:lang w:eastAsia="zh-CN"/>
        </w:rPr>
        <w:t xml:space="preserve">конкурентоспособность, российская экономика, макроэкономические факторы, импортозамещение, инновации, государственная поддержка, цифровизация. </w:t>
      </w:r>
    </w:p>
    <w:p w14:paraId="388F5270" w14:textId="77777777" w:rsidR="00F305C0" w:rsidRDefault="00F305C0" w:rsidP="00F305C0">
      <w:pPr>
        <w:spacing w:after="0" w:line="240" w:lineRule="auto"/>
        <w:rPr>
          <w:rFonts w:ascii="Times New Roman" w:eastAsia="Times New Roman" w:hAnsi="Times New Roman" w:cs="Times New Roman"/>
          <w:color w:val="000000"/>
          <w:sz w:val="32"/>
          <w:szCs w:val="32"/>
          <w:lang w:eastAsia="zh-CN"/>
        </w:rPr>
      </w:pPr>
    </w:p>
    <w:p w14:paraId="6D5A5452"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Современные условия глобальной экономической</w:t>
      </w:r>
      <w:r>
        <w:rPr>
          <w:rFonts w:ascii="Times New Roman" w:eastAsia="Times New Roman" w:hAnsi="Times New Roman" w:cs="Times New Roman"/>
          <w:color w:val="000000"/>
          <w:sz w:val="32"/>
          <w:szCs w:val="32"/>
          <w:lang w:eastAsia="zh-CN"/>
        </w:rPr>
        <w:t xml:space="preserve"> </w:t>
      </w:r>
      <w:r w:rsidRPr="00D201DC">
        <w:rPr>
          <w:rFonts w:ascii="Times New Roman" w:eastAsia="Times New Roman" w:hAnsi="Times New Roman" w:cs="Times New Roman"/>
          <w:color w:val="000000"/>
          <w:sz w:val="32"/>
          <w:szCs w:val="32"/>
          <w:lang w:eastAsia="zh-CN"/>
        </w:rPr>
        <w:t xml:space="preserve">нестабильности, усиленные геополитическими вызовами и </w:t>
      </w:r>
      <w:r w:rsidRPr="00D201DC">
        <w:rPr>
          <w:rFonts w:ascii="Times New Roman" w:eastAsia="Times New Roman" w:hAnsi="Times New Roman" w:cs="Times New Roman"/>
          <w:color w:val="000000"/>
          <w:sz w:val="32"/>
          <w:szCs w:val="32"/>
          <w:lang w:eastAsia="zh-CN"/>
        </w:rPr>
        <w:lastRenderedPageBreak/>
        <w:t xml:space="preserve">санкционным давлением, подчеркивают важность укрепления конкурентоспособности российской экономики. </w:t>
      </w:r>
    </w:p>
    <w:p w14:paraId="3D61D27D"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Конкурентоспособность, как способность экономики эффективно </w:t>
      </w:r>
    </w:p>
    <w:p w14:paraId="6CD4D342"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функционировать в условиях глобальной конкуренции, становится </w:t>
      </w:r>
    </w:p>
    <w:p w14:paraId="3BB9809D"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ключевым фактором устойчивого развития. Зависимость от сырьевых </w:t>
      </w:r>
    </w:p>
    <w:p w14:paraId="5687E7C4"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рынков, ограниченный доступ к передовым технологиям и волатильность мировых цен на энергоносители создают уязвимости, которые снижают устойчивость национальной экономики и ее позиции на международной арене. В данной работе ставится научная проблема: какие факторы ограничивают конкурентоспособность России, и как их преодолеть для обеспечения долгосрочного экономического роста? Для ответа на этот вопрос необходимо проанализировать текущую экономическую ситуацию, выявить ключевые барьеры и предложить эффективные пути их преодоления. </w:t>
      </w:r>
    </w:p>
    <w:p w14:paraId="36D33726"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Конкурентоспособность российской экономики формируется под </w:t>
      </w:r>
    </w:p>
    <w:p w14:paraId="5FF78AB0"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воздействием множества макроэкономических факторов, таких как инфляция, производительность труда, уровень инвестиций, стабильность валютного курса и институциональная среда. Анализ данных за 2022–2024 годы показывает, что Россия продемонстрировала устойчивый экономический рост: ВВП увеличился на 3,6% в 2023 году и на 4,3% в 2024 году, что позволило стране войти в пятерку самых быстрорастущих экономик G20 [1, с. 6]. </w:t>
      </w:r>
    </w:p>
    <w:p w14:paraId="369072A1"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Этот рост был достигнут несмотря на значительные внешние ограничения, включая санкции, которые ограничили доступ к европейским рынкам и технологиям. Ключевые отрасли, такие как энергетика, информационные технологии (ИТ) и агропромышленный комплекс (АПК), сыграли важную роль в укреплении конкурентных позиций. В 2024 году доля энергоносителей в экспорте составила 84,7%, ИТ-сектор продемонстрировал рост на 10%, а экспорт зерна достиг 63 млн тонн, что укрепило лидерство России на мировом рынке пшеницы [1, с. 12]. </w:t>
      </w:r>
    </w:p>
    <w:p w14:paraId="5E8A6B85"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Энергетический сектор остается основой конкурентоспособности </w:t>
      </w:r>
    </w:p>
    <w:p w14:paraId="7F4BAFC5"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благодаря крупнейшим в мире запасам природного газа и значительным объемам экспорта нефти. Несмотря на сокращение поставок в страны ЕС до 1,7% в 2023 году, Россия успешно переориентировала экспорт на рынки Китая и Индии, увеличив поставки нефти на 25% [1, с. 12]. Однако зависимость от сырьевых </w:t>
      </w:r>
      <w:r w:rsidRPr="00D201DC">
        <w:rPr>
          <w:rFonts w:ascii="Times New Roman" w:eastAsia="Times New Roman" w:hAnsi="Times New Roman" w:cs="Times New Roman"/>
          <w:color w:val="000000"/>
          <w:sz w:val="32"/>
          <w:szCs w:val="32"/>
          <w:lang w:eastAsia="zh-CN"/>
        </w:rPr>
        <w:lastRenderedPageBreak/>
        <w:t xml:space="preserve">доходов создает риски: прогнозируемое снижение цен на нефть Urals до 60 долларов за баррель в 2025 году может сократить экспортные доходы, что подчеркивает необходимость диверсификации экономики [1, с. 12]. ИТ-сектор, в свою очередь, стал драйвером роста благодаря государственной поддержке: в 2023 году экспорт программного обеспечения увеличился на 8%, достигнув 7 млрд долларов, а в 2024 году этот показатель вырос до 7,6 млрд долларов [1, с. 13]. Особенно заметен вклад регионов: например, ИТ-сектор Новосибирска вырос на </w:t>
      </w:r>
    </w:p>
    <w:p w14:paraId="15A30C55"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15% в 2024 году за счет стартапов [1, с. 13]. Агропромышленный комплекс также укрепляет продовольственную безопасность: рост производства сельхозпродукции на 4% в 2023 году и увеличение экспорта сельхозпродукции на 5% в 2024 году демонстрируют устойчивость отрасли [1, с. 14]. </w:t>
      </w:r>
    </w:p>
    <w:p w14:paraId="2B1CE4C8"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Несмотря на положительную динамику, российская экономика сталкивается с рядом серьезных вызовов, которые ограничивают ее конкурентоспособность. Высокая инфляция, достигшая 9,5% в 2024 году, увеличивает производственные издержки и снижает покупательную способность населения [1, с. 9]. Это вынудило Банк России повысить ключевую ставку до 18% в июле 2024 года, что ограничило доступ к кредитам и затруднило инвестиции в модернизацию производства [1, с. 9]. Низкая производительность труда, составляющая лишь 30% от уровня США в 2023 году, также является значительным барьером [1, с. 10]. Этот показатель обусловлен недостаточной автоматизацией (менее 20% процессов в промышленности автоматизированы в 2024 году) и дефицитом квалифицированных кадров, вызванным эмиграцией около 700 тысяч </w:t>
      </w:r>
    </w:p>
    <w:p w14:paraId="0E81A693"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специалистов с 2022 года [1, с. 10, 20]. </w:t>
      </w:r>
    </w:p>
    <w:p w14:paraId="1EE007AE"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Технологическое отставание остается одной из главных проблем, </w:t>
      </w:r>
    </w:p>
    <w:p w14:paraId="1393737B"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особенно в высокотехнологичных отраслях, таких как микроэлектроника, где доля импорта в 2024 году составила 80% [1, с. </w:t>
      </w:r>
    </w:p>
    <w:p w14:paraId="1AC20449"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15]. Ограниченный доступ к передовым технологиям, вызванный санкциями 2022 года, привел к снижению качества отечественной продукции по сравнению с зарубежными аналогами, что снижает конкурентоспособность на мировых рынках [1, с. 15]. Например, в микроэлектронике Россия достигла лишь 50% импортозамещения в программных продуктах, а производство высокопроизводительных чипов ограничено из-за нехватки современного оборудования [1, с. 15]. Кроме того, зависимость от импортных комплектующих сохраняется: в 2023 году 40% промышленных предприятий </w:t>
      </w:r>
      <w:r w:rsidRPr="00D201DC">
        <w:rPr>
          <w:rFonts w:ascii="Times New Roman" w:eastAsia="Times New Roman" w:hAnsi="Times New Roman" w:cs="Times New Roman"/>
          <w:color w:val="000000"/>
          <w:sz w:val="32"/>
          <w:szCs w:val="32"/>
          <w:lang w:eastAsia="zh-CN"/>
        </w:rPr>
        <w:lastRenderedPageBreak/>
        <w:t xml:space="preserve">использовали параллельный импорт, что увеличило издержки на 15– 20% [1, с. 16]. В автомобильной промышленности до 70% комплектующих в 2024 году поставлялись из Китая, что создает новые </w:t>
      </w:r>
    </w:p>
    <w:p w14:paraId="202B2CC1"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риски в случае изменения торговых условий [1, с. 16]. </w:t>
      </w:r>
    </w:p>
    <w:p w14:paraId="33609F7D"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Нехватка квалифицированных кадров, особенно в ИТ-сфере, где </w:t>
      </w:r>
    </w:p>
    <w:p w14:paraId="1CD33ACE"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эмиграция составила около 100 тысяч специалистов в 2022–2023 годах, </w:t>
      </w:r>
    </w:p>
    <w:p w14:paraId="6E83B3BF"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усугубляет проблему [1, с. 15]. Общий дефицит рабочей силы в промышленности в 2024 году оценивается в 2,7 млн человек, что замедляет развитие таких проектов, как производство отечественных двигателей для самолетов SSJ-100 [1, с. 15]. Институциональная среда </w:t>
      </w:r>
    </w:p>
    <w:p w14:paraId="4D938818"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также создает препятствия: Россия занимает 137-е место в Индексе восприятия коррупции Transparency International за 2024 год, что отпугивает иностранных инвесторов и усложняет развитие бизнеса [1, </w:t>
      </w:r>
    </w:p>
    <w:p w14:paraId="2FD8D52A"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с. 11]. Бюрократические барьеры, такие как увеличение времени на получение лицензий на 20% в 2023 году, дополнительно замедляют экономический прогресс [1, с. 11]. </w:t>
      </w:r>
    </w:p>
    <w:p w14:paraId="2C767AEF" w14:textId="77777777" w:rsidR="00F305C0" w:rsidRDefault="00F305C0" w:rsidP="00B41576">
      <w:pPr>
        <w:spacing w:after="0" w:line="240" w:lineRule="auto"/>
        <w:ind w:firstLine="709"/>
        <w:contextualSpacing/>
        <w:jc w:val="both"/>
        <w:rPr>
          <w:rFonts w:ascii="Times New Roman" w:eastAsia="Times New Roman" w:hAnsi="Times New Roman" w:cs="Times New Roman"/>
          <w:color w:val="000000"/>
          <w:sz w:val="32"/>
          <w:szCs w:val="32"/>
          <w:lang w:eastAsia="zh-CN"/>
        </w:rPr>
      </w:pPr>
      <w:r w:rsidRPr="00D201DC">
        <w:rPr>
          <w:rFonts w:ascii="Times New Roman" w:eastAsia="Times New Roman" w:hAnsi="Times New Roman" w:cs="Times New Roman"/>
          <w:color w:val="000000"/>
          <w:sz w:val="32"/>
          <w:szCs w:val="32"/>
          <w:lang w:eastAsia="zh-CN"/>
        </w:rPr>
        <w:t xml:space="preserve">Для преодоления этих вызовов и повышения конкурентоспособности российской экономики предлагается комплексный подход, включающий несколько направлений. Во- первых, развитие региональных инновационных кластеров может стимулировать научно-исследовательскую деятельность и привлечь частные инвестиции. Например, Новосибирск, где ИТ-сектор вырос на 15% в 2024 году, демонстрирует потенциал для масштабирования таких инициатив [1, с. 13]. Государство может поддерживать такие кластеры через налоговые льготы (например, снижение ставки налога на прибыль до 10%) и субсидии на инфраструктуру [1, с. 18]. Это позволит ускорить развитие высокотехнологичных отраслей, таких как ИТ, биотехнологии и микроэлектроника. </w:t>
      </w:r>
    </w:p>
    <w:p w14:paraId="5856F206" w14:textId="77777777" w:rsidR="00F305C0" w:rsidRDefault="00F305C0" w:rsidP="00B41576">
      <w:pPr>
        <w:spacing w:after="0" w:line="240" w:lineRule="auto"/>
        <w:ind w:firstLine="709"/>
        <w:contextualSpacing/>
        <w:jc w:val="both"/>
        <w:rPr>
          <w:rFonts w:ascii="Times New Roman" w:eastAsia="Times New Roman" w:hAnsi="Times New Roman" w:cs="Times New Roman"/>
          <w:color w:val="000000"/>
          <w:sz w:val="32"/>
          <w:szCs w:val="32"/>
          <w:lang w:eastAsia="zh-CN"/>
        </w:rPr>
      </w:pPr>
      <w:r w:rsidRPr="00D201DC">
        <w:rPr>
          <w:rFonts w:ascii="Times New Roman" w:eastAsia="Times New Roman" w:hAnsi="Times New Roman" w:cs="Times New Roman"/>
          <w:color w:val="000000"/>
          <w:sz w:val="32"/>
          <w:szCs w:val="32"/>
          <w:lang w:eastAsia="zh-CN"/>
        </w:rPr>
        <w:t xml:space="preserve">Во-вторых, реформирование системы подготовки кадров является критически важным шагом для устранения кадрового дефицита. Необходимо увеличить количество мест на инженерные и ИТ- специальности в вузах, а также расширить программы переподготовки. В 2024 году гранты на переподготовку охватили 50 тысяч ИТ-специалистов, и этот опыт можно масштабировать до 200 тысяч человек к 2027 году [1, с. 18]. Кроме того, гранты для молодых специалистов и программы стажировок на предприятиях помогут </w:t>
      </w:r>
      <w:r w:rsidRPr="00D201DC">
        <w:rPr>
          <w:rFonts w:ascii="Times New Roman" w:eastAsia="Times New Roman" w:hAnsi="Times New Roman" w:cs="Times New Roman"/>
          <w:color w:val="000000"/>
          <w:sz w:val="32"/>
          <w:szCs w:val="32"/>
          <w:lang w:eastAsia="zh-CN"/>
        </w:rPr>
        <w:lastRenderedPageBreak/>
        <w:t>сократить отток кадров и привлечь молодежь в высокотехнологичные</w:t>
      </w:r>
      <w:r>
        <w:rPr>
          <w:rFonts w:ascii="Times New Roman" w:eastAsia="Times New Roman" w:hAnsi="Times New Roman" w:cs="Times New Roman"/>
          <w:color w:val="000000"/>
          <w:sz w:val="32"/>
          <w:szCs w:val="32"/>
          <w:lang w:eastAsia="zh-CN"/>
        </w:rPr>
        <w:t xml:space="preserve"> </w:t>
      </w:r>
      <w:r w:rsidRPr="00D201DC">
        <w:rPr>
          <w:rFonts w:ascii="Times New Roman" w:eastAsia="Times New Roman" w:hAnsi="Times New Roman" w:cs="Times New Roman"/>
          <w:color w:val="000000"/>
          <w:sz w:val="32"/>
          <w:szCs w:val="32"/>
          <w:lang w:eastAsia="zh-CN"/>
        </w:rPr>
        <w:t xml:space="preserve">отрасли. </w:t>
      </w:r>
    </w:p>
    <w:p w14:paraId="1A8FA9CC"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В-третьих, углубление кооперации с дружественными странами, такими как Китай, Индия и страны БРИКС, обеспечит доступ к необходимым технологиям и комплектующим. Совместное производство микрочипов с Китаем, начатое в 2024 году, уже позволило сократить импорт на 5%, и этот подход можно расширить на другие отрасли [1, с. 19]. Создание совместных предприятий и трансфер технологий помогут ускорить локализацию производства и снизить зависимость от импорта. Например, импорт сельскохозяйственной техники из Китая вырос на 10% в 2024 году, что</w:t>
      </w:r>
      <w:r>
        <w:rPr>
          <w:rFonts w:ascii="Times New Roman" w:eastAsia="Times New Roman" w:hAnsi="Times New Roman" w:cs="Times New Roman"/>
          <w:color w:val="000000"/>
          <w:sz w:val="32"/>
          <w:szCs w:val="32"/>
          <w:lang w:eastAsia="zh-CN"/>
        </w:rPr>
        <w:t xml:space="preserve"> </w:t>
      </w:r>
      <w:r w:rsidRPr="00D201DC">
        <w:rPr>
          <w:rFonts w:ascii="Times New Roman" w:eastAsia="Times New Roman" w:hAnsi="Times New Roman" w:cs="Times New Roman"/>
          <w:color w:val="000000"/>
          <w:sz w:val="32"/>
          <w:szCs w:val="32"/>
          <w:lang w:eastAsia="zh-CN"/>
        </w:rPr>
        <w:t xml:space="preserve">способствовало модернизации АПК [1, с. 17]. </w:t>
      </w:r>
    </w:p>
    <w:p w14:paraId="1471B3E1"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В-четвертых, цифровизация и развитие искусственного интеллекта (ИИ) представляют значительный потенциал для повышения конкурентоспособности. В 2024 году внедрение ИИ в промышленности увеличило производительность на 5–7% в отдельных секторах [1, с. 18]. Программы, такие как «Цифровая экономика», и указ Президента от 7 мая 2024 года о национальных целях до 2036 года подчеркивают приоритет цифровизации [1, с. 18].</w:t>
      </w:r>
      <w:r>
        <w:rPr>
          <w:rFonts w:ascii="Times New Roman" w:eastAsia="Times New Roman" w:hAnsi="Times New Roman" w:cs="Times New Roman"/>
          <w:color w:val="000000"/>
          <w:sz w:val="32"/>
          <w:szCs w:val="32"/>
          <w:lang w:eastAsia="zh-CN"/>
        </w:rPr>
        <w:t xml:space="preserve"> </w:t>
      </w:r>
      <w:r w:rsidRPr="00D201DC">
        <w:rPr>
          <w:rFonts w:ascii="Times New Roman" w:eastAsia="Times New Roman" w:hAnsi="Times New Roman" w:cs="Times New Roman"/>
          <w:color w:val="000000"/>
          <w:sz w:val="32"/>
          <w:szCs w:val="32"/>
          <w:lang w:eastAsia="zh-CN"/>
        </w:rPr>
        <w:t xml:space="preserve">Ускорение внедрения цифровых технологий в ключевых отраслях, таких как обрабатывающая промышленность и ИТ, может дать дополнительный импульс экономическому росту. </w:t>
      </w:r>
    </w:p>
    <w:p w14:paraId="690E7E20"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Наконец, стимулирование частных инвестиций через льготное кредитование и упрощение регуляторных процедур поможет привлечь бизнес к реализации проектов импортозамещения. Введение целевых кредитов с субсидированной ставкой 3–5% для высокотехнологичных </w:t>
      </w:r>
    </w:p>
    <w:p w14:paraId="6C098516" w14:textId="77777777"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t xml:space="preserve">стартапов и малого бизнеса может увеличить их участие в экономике [1, с. 18]. Снижение бюрократических барьеров, таких как время на получение лицензий, и продление моратория на проверки бизнеса до 2026 года также создадут благоприятные условия для предпринимательской активности [1, с. 19]. </w:t>
      </w:r>
    </w:p>
    <w:p w14:paraId="179AA09E" w14:textId="77777777" w:rsidR="00B41576" w:rsidRDefault="00F305C0" w:rsidP="00B41576">
      <w:pPr>
        <w:spacing w:after="0" w:line="240" w:lineRule="auto"/>
        <w:ind w:firstLine="709"/>
        <w:contextualSpacing/>
        <w:jc w:val="both"/>
        <w:rPr>
          <w:rFonts w:ascii="Times New Roman" w:eastAsia="Times New Roman" w:hAnsi="Times New Roman" w:cs="Times New Roman"/>
          <w:color w:val="000000"/>
          <w:sz w:val="32"/>
          <w:szCs w:val="32"/>
          <w:lang w:eastAsia="zh-CN"/>
        </w:rPr>
      </w:pPr>
      <w:r w:rsidRPr="00D201DC">
        <w:rPr>
          <w:rFonts w:ascii="Times New Roman" w:eastAsia="Times New Roman" w:hAnsi="Times New Roman" w:cs="Times New Roman"/>
          <w:color w:val="000000"/>
          <w:sz w:val="32"/>
          <w:szCs w:val="32"/>
          <w:lang w:eastAsia="zh-CN"/>
        </w:rPr>
        <w:t xml:space="preserve">Таким образом, конкурентоспособность российской экономики может быть значительно повышена за счет инновационного развития, модернизации человеческого капитала, углубления международного сотрудничества и усиления государственной поддержки. Реализация предложенных мер позволит России не только преодолеть текущие экономические вызовы, такие как технологическое отставание и кадровый дефицит, но и занять более прочные позиции в глобальной конкуренции. </w:t>
      </w:r>
    </w:p>
    <w:p w14:paraId="444399AC" w14:textId="038B71D5" w:rsidR="00F305C0" w:rsidRPr="00D201DC" w:rsidRDefault="00F305C0" w:rsidP="00B41576">
      <w:pPr>
        <w:spacing w:after="0" w:line="240" w:lineRule="auto"/>
        <w:ind w:firstLine="709"/>
        <w:contextualSpacing/>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32"/>
          <w:szCs w:val="32"/>
          <w:lang w:eastAsia="zh-CN"/>
        </w:rPr>
        <w:lastRenderedPageBreak/>
        <w:t xml:space="preserve">Долгосрочный экономический рост и устойчивое развитие станут возможными при условии комплексного подхода, сочетающего макроэкономическую стабилизацию, институциональные реформы и инвестиции в высокотехнологичные отрасли. </w:t>
      </w:r>
    </w:p>
    <w:p w14:paraId="706B3EE9" w14:textId="77777777" w:rsidR="00F305C0" w:rsidRDefault="00F305C0" w:rsidP="00F305C0">
      <w:pPr>
        <w:spacing w:after="0" w:line="240" w:lineRule="auto"/>
        <w:rPr>
          <w:rFonts w:ascii="TimesNewRomanPS-BoldMT" w:eastAsia="Times New Roman" w:hAnsi="TimesNewRomanPS-BoldMT" w:cs="Times New Roman"/>
          <w:b/>
          <w:bCs/>
          <w:color w:val="000000"/>
          <w:sz w:val="21"/>
          <w:szCs w:val="21"/>
          <w:lang w:eastAsia="zh-CN"/>
        </w:rPr>
      </w:pPr>
    </w:p>
    <w:p w14:paraId="5D597245" w14:textId="77777777" w:rsidR="00F305C0" w:rsidRPr="00D201DC" w:rsidRDefault="00F305C0" w:rsidP="00F305C0">
      <w:pPr>
        <w:spacing w:after="0" w:line="240" w:lineRule="auto"/>
        <w:jc w:val="center"/>
        <w:rPr>
          <w:rFonts w:ascii="Times New Roman" w:eastAsia="Times New Roman" w:hAnsi="Times New Roman" w:cs="Times New Roman"/>
          <w:sz w:val="24"/>
          <w:szCs w:val="24"/>
          <w:lang w:eastAsia="zh-CN"/>
        </w:rPr>
      </w:pPr>
      <w:r w:rsidRPr="00D201DC">
        <w:rPr>
          <w:rFonts w:ascii="TimesNewRomanPS-BoldMT" w:eastAsia="Times New Roman" w:hAnsi="TimesNewRomanPS-BoldMT" w:cs="Times New Roman"/>
          <w:b/>
          <w:bCs/>
          <w:color w:val="000000"/>
          <w:sz w:val="21"/>
          <w:szCs w:val="21"/>
          <w:lang w:eastAsia="zh-CN"/>
        </w:rPr>
        <w:t>Литература:</w:t>
      </w:r>
    </w:p>
    <w:p w14:paraId="4B81A432"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1. Иванов И.И. Оценка конкурентоспособности российской экономики: научно-исследовательский </w:t>
      </w:r>
    </w:p>
    <w:p w14:paraId="4784F7EB"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проект. Краснодар: Финансовый университет, 2025. 23 с. </w:t>
      </w:r>
    </w:p>
    <w:p w14:paraId="5327BF79"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2. Белоусов А.Р. Конкурентоспособность российской экономики в условиях санкций // Экономическая </w:t>
      </w:r>
    </w:p>
    <w:p w14:paraId="36E95B46"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политика. 2024. № 4. С. 12–28. </w:t>
      </w:r>
    </w:p>
    <w:p w14:paraId="315F6FDC"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3. Волков В.Д., Сухарева И.Ю. Макроэкономические факторы конкурентоспособности: российский </w:t>
      </w:r>
    </w:p>
    <w:p w14:paraId="3553262F"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контекст. Москва: Экономика, 2024. 410 с. </w:t>
      </w:r>
    </w:p>
    <w:p w14:paraId="51ECBC0E"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4. Кузнецов А.В., Сидоров М.П. Цифровизация как драйвер конкурентоспособности // Экономика </w:t>
      </w:r>
    </w:p>
    <w:p w14:paraId="01F73CE8" w14:textId="77777777" w:rsidR="00F305C0" w:rsidRPr="00656AA8" w:rsidRDefault="00F305C0" w:rsidP="00B41576">
      <w:pPr>
        <w:spacing w:after="0" w:line="240" w:lineRule="auto"/>
        <w:jc w:val="both"/>
        <w:rPr>
          <w:rFonts w:ascii="Times New Roman" w:eastAsia="Times New Roman" w:hAnsi="Times New Roman" w:cs="Times New Roman"/>
          <w:sz w:val="24"/>
          <w:szCs w:val="24"/>
          <w:lang w:val="en-US" w:eastAsia="zh-CN"/>
        </w:rPr>
      </w:pPr>
      <w:r w:rsidRPr="00D201DC">
        <w:rPr>
          <w:rFonts w:ascii="Times New Roman" w:eastAsia="Times New Roman" w:hAnsi="Times New Roman" w:cs="Times New Roman"/>
          <w:color w:val="000000"/>
          <w:sz w:val="21"/>
          <w:szCs w:val="21"/>
          <w:lang w:eastAsia="zh-CN"/>
        </w:rPr>
        <w:t>региона</w:t>
      </w:r>
      <w:r w:rsidRPr="00656AA8">
        <w:rPr>
          <w:rFonts w:ascii="Times New Roman" w:eastAsia="Times New Roman" w:hAnsi="Times New Roman" w:cs="Times New Roman"/>
          <w:color w:val="000000"/>
          <w:sz w:val="21"/>
          <w:szCs w:val="21"/>
          <w:lang w:val="en-US" w:eastAsia="zh-CN"/>
        </w:rPr>
        <w:t xml:space="preserve">. 2024. </w:t>
      </w:r>
      <w:r w:rsidRPr="00D201DC">
        <w:rPr>
          <w:rFonts w:ascii="Times New Roman" w:eastAsia="Times New Roman" w:hAnsi="Times New Roman" w:cs="Times New Roman"/>
          <w:color w:val="000000"/>
          <w:sz w:val="21"/>
          <w:szCs w:val="21"/>
          <w:lang w:eastAsia="zh-CN"/>
        </w:rPr>
        <w:t>Т</w:t>
      </w:r>
      <w:r w:rsidRPr="00656AA8">
        <w:rPr>
          <w:rFonts w:ascii="Times New Roman" w:eastAsia="Times New Roman" w:hAnsi="Times New Roman" w:cs="Times New Roman"/>
          <w:color w:val="000000"/>
          <w:sz w:val="21"/>
          <w:szCs w:val="21"/>
          <w:lang w:val="en-US" w:eastAsia="zh-CN"/>
        </w:rPr>
        <w:t xml:space="preserve">. 20, № 2. </w:t>
      </w:r>
      <w:r w:rsidRPr="00D201DC">
        <w:rPr>
          <w:rFonts w:ascii="Times New Roman" w:eastAsia="Times New Roman" w:hAnsi="Times New Roman" w:cs="Times New Roman"/>
          <w:color w:val="000000"/>
          <w:sz w:val="21"/>
          <w:szCs w:val="21"/>
          <w:lang w:eastAsia="zh-CN"/>
        </w:rPr>
        <w:t>С</w:t>
      </w:r>
      <w:r w:rsidRPr="00656AA8">
        <w:rPr>
          <w:rFonts w:ascii="Times New Roman" w:eastAsia="Times New Roman" w:hAnsi="Times New Roman" w:cs="Times New Roman"/>
          <w:color w:val="000000"/>
          <w:sz w:val="21"/>
          <w:szCs w:val="21"/>
          <w:lang w:val="en-US" w:eastAsia="zh-CN"/>
        </w:rPr>
        <w:t xml:space="preserve">. 55–70. </w:t>
      </w:r>
    </w:p>
    <w:p w14:paraId="04E83F44"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val="en-US" w:eastAsia="zh-CN"/>
        </w:rPr>
        <w:t xml:space="preserve">5. World Economic Forum. The Global Competitiveness Report 2024. </w:t>
      </w:r>
      <w:r w:rsidRPr="00656AA8">
        <w:rPr>
          <w:rFonts w:ascii="Times New Roman" w:eastAsia="Times New Roman" w:hAnsi="Times New Roman" w:cs="Times New Roman"/>
          <w:color w:val="000000"/>
          <w:sz w:val="21"/>
          <w:szCs w:val="21"/>
          <w:lang w:val="en-US" w:eastAsia="zh-CN"/>
        </w:rPr>
        <w:t>Geneva</w:t>
      </w:r>
      <w:r w:rsidRPr="00F305C0">
        <w:rPr>
          <w:rFonts w:ascii="Times New Roman" w:eastAsia="Times New Roman" w:hAnsi="Times New Roman" w:cs="Times New Roman"/>
          <w:color w:val="000000"/>
          <w:sz w:val="21"/>
          <w:szCs w:val="21"/>
          <w:lang w:val="en-US" w:eastAsia="zh-CN"/>
        </w:rPr>
        <w:t xml:space="preserve">: </w:t>
      </w:r>
      <w:r w:rsidRPr="00656AA8">
        <w:rPr>
          <w:rFonts w:ascii="Times New Roman" w:eastAsia="Times New Roman" w:hAnsi="Times New Roman" w:cs="Times New Roman"/>
          <w:color w:val="000000"/>
          <w:sz w:val="21"/>
          <w:szCs w:val="21"/>
          <w:lang w:val="en-US" w:eastAsia="zh-CN"/>
        </w:rPr>
        <w:t>WEF</w:t>
      </w:r>
      <w:r w:rsidRPr="00F305C0">
        <w:rPr>
          <w:rFonts w:ascii="Times New Roman" w:eastAsia="Times New Roman" w:hAnsi="Times New Roman" w:cs="Times New Roman"/>
          <w:color w:val="000000"/>
          <w:sz w:val="21"/>
          <w:szCs w:val="21"/>
          <w:lang w:val="en-US" w:eastAsia="zh-CN"/>
        </w:rPr>
        <w:t xml:space="preserve">, 2024. </w:t>
      </w:r>
      <w:r w:rsidRPr="00D201DC">
        <w:rPr>
          <w:rFonts w:ascii="Times New Roman" w:eastAsia="Times New Roman" w:hAnsi="Times New Roman" w:cs="Times New Roman"/>
          <w:color w:val="000000"/>
          <w:sz w:val="21"/>
          <w:szCs w:val="21"/>
          <w:lang w:eastAsia="zh-CN"/>
        </w:rPr>
        <w:t xml:space="preserve">URL: </w:t>
      </w:r>
    </w:p>
    <w:p w14:paraId="5CCFC2E9" w14:textId="77777777" w:rsidR="00F305C0" w:rsidRPr="00D201DC" w:rsidRDefault="00F305C0" w:rsidP="00B41576">
      <w:pPr>
        <w:spacing w:after="0" w:line="240" w:lineRule="auto"/>
        <w:jc w:val="both"/>
        <w:rPr>
          <w:rFonts w:ascii="Times New Roman" w:eastAsia="Times New Roman" w:hAnsi="Times New Roman" w:cs="Times New Roman"/>
          <w:sz w:val="24"/>
          <w:szCs w:val="24"/>
          <w:lang w:eastAsia="zh-CN"/>
        </w:rPr>
      </w:pPr>
      <w:r w:rsidRPr="00D201DC">
        <w:rPr>
          <w:rFonts w:ascii="Times New Roman" w:eastAsia="Times New Roman" w:hAnsi="Times New Roman" w:cs="Times New Roman"/>
          <w:color w:val="000000"/>
          <w:sz w:val="21"/>
          <w:szCs w:val="21"/>
          <w:lang w:eastAsia="zh-CN"/>
        </w:rPr>
        <w:t xml:space="preserve">https://www.weforum.org (дата обращения: 06.05.2025).» [Электронный ресурс: www.metalloinvest.com </w:t>
      </w:r>
    </w:p>
    <w:p w14:paraId="29753FC0" w14:textId="77777777" w:rsidR="00F305C0" w:rsidRDefault="00F305C0" w:rsidP="00B41576">
      <w:pPr>
        <w:keepLines/>
        <w:widowControl w:val="0"/>
        <w:spacing w:after="0" w:line="240" w:lineRule="auto"/>
        <w:jc w:val="both"/>
        <w:rPr>
          <w:rFonts w:ascii="Times New Roman" w:eastAsia="Times New Roman" w:hAnsi="Times New Roman" w:cs="Times New Roman"/>
          <w:color w:val="000000"/>
          <w:sz w:val="21"/>
          <w:szCs w:val="21"/>
          <w:lang w:eastAsia="zh-CN"/>
        </w:rPr>
      </w:pPr>
      <w:r w:rsidRPr="00D201DC">
        <w:rPr>
          <w:rFonts w:ascii="Times New Roman" w:eastAsia="Times New Roman" w:hAnsi="Times New Roman" w:cs="Times New Roman"/>
          <w:color w:val="000000"/>
          <w:sz w:val="21"/>
          <w:szCs w:val="21"/>
          <w:lang w:eastAsia="zh-CN"/>
        </w:rPr>
        <w:t>(дата обращения: 20.01.2022)]</w:t>
      </w:r>
    </w:p>
    <w:p w14:paraId="5F5554D1" w14:textId="4BB66E87" w:rsidR="00F305C0" w:rsidRDefault="00F305C0" w:rsidP="00D01EB8">
      <w:pPr>
        <w:tabs>
          <w:tab w:val="num" w:pos="851"/>
          <w:tab w:val="left" w:pos="993"/>
        </w:tabs>
        <w:spacing w:after="0" w:line="240" w:lineRule="auto"/>
        <w:rPr>
          <w:rFonts w:ascii="Times New Roman" w:hAnsi="Times New Roman" w:cs="Times New Roman"/>
          <w:b/>
        </w:rPr>
      </w:pPr>
    </w:p>
    <w:p w14:paraId="30BAFD3F" w14:textId="77777777" w:rsidR="00B41576" w:rsidRDefault="00B41576" w:rsidP="00D01EB8">
      <w:pPr>
        <w:tabs>
          <w:tab w:val="num" w:pos="851"/>
          <w:tab w:val="left" w:pos="993"/>
        </w:tabs>
        <w:spacing w:after="0" w:line="240" w:lineRule="auto"/>
        <w:rPr>
          <w:rFonts w:ascii="Times New Roman" w:hAnsi="Times New Roman" w:cs="Times New Roman"/>
          <w:b/>
        </w:rPr>
      </w:pPr>
    </w:p>
    <w:p w14:paraId="166E0FCB" w14:textId="2B00F8CB" w:rsidR="00877DE5" w:rsidRPr="00771A1E" w:rsidRDefault="00877DE5" w:rsidP="00D01EB8">
      <w:pPr>
        <w:tabs>
          <w:tab w:val="num" w:pos="851"/>
          <w:tab w:val="left" w:pos="993"/>
        </w:tabs>
        <w:spacing w:after="0" w:line="240" w:lineRule="auto"/>
        <w:rPr>
          <w:rFonts w:ascii="Times New Roman" w:hAnsi="Times New Roman" w:cs="Times New Roman"/>
          <w:b/>
        </w:rPr>
      </w:pPr>
      <w:r w:rsidRPr="00771A1E">
        <w:rPr>
          <w:rFonts w:ascii="Times New Roman" w:hAnsi="Times New Roman" w:cs="Times New Roman"/>
          <w:b/>
        </w:rPr>
        <w:t>УДК 332.852.5</w:t>
      </w:r>
    </w:p>
    <w:p w14:paraId="1760AF86" w14:textId="77777777" w:rsidR="00877DE5" w:rsidRPr="009472DE" w:rsidRDefault="00877DE5" w:rsidP="00067100">
      <w:pPr>
        <w:spacing w:after="0" w:line="240" w:lineRule="auto"/>
        <w:ind w:firstLine="709"/>
        <w:jc w:val="right"/>
        <w:rPr>
          <w:rFonts w:ascii="Times New Roman" w:hAnsi="Times New Roman" w:cs="Times New Roman"/>
          <w:b/>
          <w:i/>
          <w:iCs/>
          <w:sz w:val="21"/>
          <w:szCs w:val="21"/>
        </w:rPr>
      </w:pPr>
      <w:r w:rsidRPr="009472DE">
        <w:rPr>
          <w:rFonts w:ascii="Times New Roman" w:hAnsi="Times New Roman" w:cs="Times New Roman"/>
          <w:b/>
          <w:i/>
          <w:iCs/>
          <w:sz w:val="21"/>
          <w:szCs w:val="21"/>
        </w:rPr>
        <w:t>Черненко А.В.</w:t>
      </w:r>
      <w:r w:rsidR="00D01EB8">
        <w:rPr>
          <w:rFonts w:ascii="Times New Roman" w:hAnsi="Times New Roman" w:cs="Times New Roman"/>
          <w:b/>
          <w:i/>
          <w:iCs/>
          <w:sz w:val="21"/>
          <w:szCs w:val="21"/>
        </w:rPr>
        <w:t>, Никонова Е.А., Маннанова С.М.,</w:t>
      </w:r>
    </w:p>
    <w:p w14:paraId="733A53CF" w14:textId="77777777" w:rsidR="00877DE5" w:rsidRPr="009472DE" w:rsidRDefault="00877DE5" w:rsidP="00067100">
      <w:pPr>
        <w:spacing w:after="0" w:line="240" w:lineRule="auto"/>
        <w:ind w:firstLine="709"/>
        <w:jc w:val="right"/>
        <w:rPr>
          <w:rFonts w:ascii="Times New Roman" w:hAnsi="Times New Roman" w:cs="Times New Roman"/>
          <w:bCs/>
          <w:i/>
          <w:iCs/>
          <w:sz w:val="21"/>
          <w:szCs w:val="21"/>
        </w:rPr>
      </w:pPr>
      <w:r w:rsidRPr="009472DE">
        <w:rPr>
          <w:rFonts w:ascii="Times New Roman" w:hAnsi="Times New Roman" w:cs="Times New Roman"/>
          <w:bCs/>
          <w:i/>
          <w:iCs/>
          <w:sz w:val="21"/>
          <w:szCs w:val="21"/>
        </w:rPr>
        <w:t>студенты 3 курса</w:t>
      </w:r>
    </w:p>
    <w:p w14:paraId="1FAE2BE1"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rPr>
        <w:t>Краснодарский филиал финансового университета при Правительстве Российской Федерации</w:t>
      </w:r>
    </w:p>
    <w:p w14:paraId="77D61DFE"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rPr>
        <w:t>г. Краснодар, Россия</w:t>
      </w:r>
    </w:p>
    <w:p w14:paraId="6C498F82"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lang w:val="en-US"/>
        </w:rPr>
        <w:t>e</w:t>
      </w:r>
      <w:r w:rsidRPr="009472DE">
        <w:rPr>
          <w:bCs/>
          <w:i/>
          <w:iCs/>
          <w:sz w:val="21"/>
          <w:szCs w:val="21"/>
        </w:rPr>
        <w:t>-</w:t>
      </w:r>
      <w:r w:rsidRPr="009472DE">
        <w:rPr>
          <w:bCs/>
          <w:i/>
          <w:iCs/>
          <w:sz w:val="21"/>
          <w:szCs w:val="21"/>
          <w:lang w:val="en-US"/>
        </w:rPr>
        <w:t>mail</w:t>
      </w:r>
      <w:r w:rsidRPr="009472DE">
        <w:rPr>
          <w:bCs/>
          <w:i/>
          <w:iCs/>
          <w:sz w:val="21"/>
          <w:szCs w:val="21"/>
        </w:rPr>
        <w:t xml:space="preserve">: </w:t>
      </w:r>
      <w:hyperlink r:id="rId123" w:history="1">
        <w:r w:rsidRPr="006459B2">
          <w:rPr>
            <w:rStyle w:val="aa"/>
            <w:bCs/>
            <w:i/>
            <w:iCs/>
            <w:sz w:val="21"/>
            <w:szCs w:val="21"/>
          </w:rPr>
          <w:t>Alexey23russian@yandex.ru</w:t>
        </w:r>
      </w:hyperlink>
      <w:r>
        <w:rPr>
          <w:bCs/>
          <w:i/>
          <w:iCs/>
          <w:sz w:val="21"/>
          <w:szCs w:val="21"/>
          <w:u w:val="single"/>
        </w:rPr>
        <w:t xml:space="preserve"> </w:t>
      </w:r>
    </w:p>
    <w:p w14:paraId="5D136057" w14:textId="77777777" w:rsidR="00877DE5" w:rsidRPr="009472DE" w:rsidRDefault="00877DE5" w:rsidP="00067100">
      <w:pPr>
        <w:pStyle w:val="af9"/>
        <w:spacing w:after="0" w:line="240" w:lineRule="auto"/>
        <w:ind w:firstLine="709"/>
        <w:jc w:val="right"/>
        <w:rPr>
          <w:b/>
          <w:bCs/>
          <w:i/>
          <w:iCs/>
          <w:sz w:val="21"/>
          <w:szCs w:val="21"/>
        </w:rPr>
      </w:pPr>
    </w:p>
    <w:p w14:paraId="4B63DC05" w14:textId="77777777" w:rsidR="00877DE5" w:rsidRPr="009472DE" w:rsidRDefault="00877DE5" w:rsidP="00067100">
      <w:pPr>
        <w:pStyle w:val="af9"/>
        <w:spacing w:after="0" w:line="240" w:lineRule="auto"/>
        <w:ind w:firstLine="709"/>
        <w:jc w:val="right"/>
        <w:rPr>
          <w:b/>
          <w:bCs/>
          <w:i/>
          <w:iCs/>
          <w:sz w:val="21"/>
          <w:szCs w:val="21"/>
        </w:rPr>
      </w:pPr>
      <w:r w:rsidRPr="009472DE">
        <w:rPr>
          <w:b/>
          <w:bCs/>
          <w:i/>
          <w:iCs/>
          <w:sz w:val="21"/>
          <w:szCs w:val="21"/>
        </w:rPr>
        <w:t>Научный руководитель:</w:t>
      </w:r>
    </w:p>
    <w:p w14:paraId="50FC93AB" w14:textId="77777777" w:rsidR="00877DE5" w:rsidRPr="009472DE" w:rsidRDefault="00877DE5" w:rsidP="00067100">
      <w:pPr>
        <w:pStyle w:val="af9"/>
        <w:spacing w:after="0" w:line="240" w:lineRule="auto"/>
        <w:ind w:firstLine="709"/>
        <w:jc w:val="right"/>
        <w:rPr>
          <w:b/>
          <w:bCs/>
          <w:i/>
          <w:iCs/>
          <w:sz w:val="21"/>
          <w:szCs w:val="21"/>
        </w:rPr>
      </w:pPr>
      <w:r w:rsidRPr="009472DE">
        <w:rPr>
          <w:b/>
          <w:bCs/>
          <w:i/>
          <w:iCs/>
          <w:sz w:val="21"/>
          <w:szCs w:val="21"/>
        </w:rPr>
        <w:t>Маркарян В.Р.</w:t>
      </w:r>
    </w:p>
    <w:p w14:paraId="04B9D786"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rPr>
        <w:t>Доцент, к э.н.</w:t>
      </w:r>
    </w:p>
    <w:p w14:paraId="688DDF55"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rPr>
        <w:t>Краснодарский филиал финансового университета при Правительстве Российской Федерации</w:t>
      </w:r>
    </w:p>
    <w:p w14:paraId="25BDADCD" w14:textId="77777777" w:rsidR="00877DE5" w:rsidRPr="009472DE" w:rsidRDefault="00877DE5" w:rsidP="00067100">
      <w:pPr>
        <w:pStyle w:val="af9"/>
        <w:spacing w:after="0" w:line="240" w:lineRule="auto"/>
        <w:ind w:firstLine="709"/>
        <w:jc w:val="right"/>
        <w:rPr>
          <w:b/>
          <w:bCs/>
          <w:i/>
          <w:iCs/>
          <w:sz w:val="21"/>
          <w:szCs w:val="21"/>
        </w:rPr>
      </w:pPr>
      <w:r w:rsidRPr="009472DE">
        <w:rPr>
          <w:bCs/>
          <w:i/>
          <w:iCs/>
          <w:sz w:val="21"/>
          <w:szCs w:val="21"/>
        </w:rPr>
        <w:t>г. Краснодар, Россия</w:t>
      </w:r>
    </w:p>
    <w:p w14:paraId="78C156DA" w14:textId="7B2906F2" w:rsidR="00877DE5" w:rsidRPr="005A4D71" w:rsidRDefault="00877DE5" w:rsidP="00067100">
      <w:pPr>
        <w:pStyle w:val="af9"/>
        <w:spacing w:after="0" w:line="240" w:lineRule="auto"/>
        <w:ind w:firstLine="709"/>
        <w:jc w:val="right"/>
        <w:rPr>
          <w:bCs/>
          <w:i/>
          <w:iCs/>
          <w:sz w:val="21"/>
          <w:szCs w:val="21"/>
        </w:rPr>
      </w:pPr>
      <w:r w:rsidRPr="009472DE">
        <w:rPr>
          <w:bCs/>
          <w:i/>
          <w:iCs/>
          <w:sz w:val="21"/>
          <w:szCs w:val="21"/>
          <w:lang w:val="en-US"/>
        </w:rPr>
        <w:t>e</w:t>
      </w:r>
      <w:r w:rsidRPr="005A4D71">
        <w:rPr>
          <w:bCs/>
          <w:i/>
          <w:iCs/>
          <w:sz w:val="21"/>
          <w:szCs w:val="21"/>
        </w:rPr>
        <w:t>-</w:t>
      </w:r>
      <w:r w:rsidRPr="009472DE">
        <w:rPr>
          <w:bCs/>
          <w:i/>
          <w:iCs/>
          <w:sz w:val="21"/>
          <w:szCs w:val="21"/>
          <w:lang w:val="en-US"/>
        </w:rPr>
        <w:t>mai</w:t>
      </w:r>
      <w:r w:rsidRPr="005A4D71">
        <w:rPr>
          <w:bCs/>
          <w:i/>
          <w:iCs/>
          <w:sz w:val="21"/>
          <w:szCs w:val="21"/>
        </w:rPr>
        <w:t xml:space="preserve">: </w:t>
      </w:r>
      <w:hyperlink r:id="rId124" w:history="1">
        <w:r w:rsidRPr="006459B2">
          <w:rPr>
            <w:rStyle w:val="aa"/>
            <w:bCs/>
            <w:i/>
            <w:iCs/>
            <w:sz w:val="21"/>
            <w:szCs w:val="21"/>
            <w:lang w:val="en-US"/>
          </w:rPr>
          <w:t>VRMarkaryan</w:t>
        </w:r>
        <w:r w:rsidRPr="005A4D71">
          <w:rPr>
            <w:rStyle w:val="aa"/>
            <w:bCs/>
            <w:i/>
            <w:iCs/>
            <w:sz w:val="21"/>
            <w:szCs w:val="21"/>
          </w:rPr>
          <w:t>@</w:t>
        </w:r>
        <w:r w:rsidRPr="006459B2">
          <w:rPr>
            <w:rStyle w:val="aa"/>
            <w:bCs/>
            <w:i/>
            <w:iCs/>
            <w:sz w:val="21"/>
            <w:szCs w:val="21"/>
            <w:lang w:val="en-US"/>
          </w:rPr>
          <w:t>fa</w:t>
        </w:r>
        <w:r w:rsidRPr="005A4D71">
          <w:rPr>
            <w:rStyle w:val="aa"/>
            <w:bCs/>
            <w:i/>
            <w:iCs/>
            <w:sz w:val="21"/>
            <w:szCs w:val="21"/>
          </w:rPr>
          <w:t>.</w:t>
        </w:r>
        <w:r w:rsidRPr="006459B2">
          <w:rPr>
            <w:rStyle w:val="aa"/>
            <w:bCs/>
            <w:i/>
            <w:iCs/>
            <w:sz w:val="21"/>
            <w:szCs w:val="21"/>
            <w:lang w:val="en-US"/>
          </w:rPr>
          <w:t>ru</w:t>
        </w:r>
      </w:hyperlink>
      <w:r w:rsidRPr="005A4D71">
        <w:rPr>
          <w:bCs/>
          <w:i/>
          <w:iCs/>
          <w:sz w:val="21"/>
          <w:szCs w:val="21"/>
          <w:u w:val="single"/>
        </w:rPr>
        <w:t xml:space="preserve"> </w:t>
      </w:r>
    </w:p>
    <w:p w14:paraId="2C2DF10B" w14:textId="77777777" w:rsidR="00877DE5" w:rsidRPr="005A4D71" w:rsidRDefault="00877DE5" w:rsidP="00067100">
      <w:pPr>
        <w:pStyle w:val="af9"/>
        <w:spacing w:after="0" w:line="240" w:lineRule="auto"/>
        <w:ind w:firstLine="709"/>
        <w:jc w:val="both"/>
        <w:rPr>
          <w:bCs/>
          <w:i/>
          <w:iCs/>
          <w:sz w:val="21"/>
          <w:szCs w:val="21"/>
        </w:rPr>
      </w:pPr>
    </w:p>
    <w:p w14:paraId="7984F29B" w14:textId="77777777" w:rsidR="00877DE5" w:rsidRPr="009472DE" w:rsidRDefault="00877DE5" w:rsidP="00067100">
      <w:pPr>
        <w:pStyle w:val="af9"/>
        <w:spacing w:after="0" w:line="240" w:lineRule="auto"/>
        <w:ind w:firstLine="709"/>
        <w:jc w:val="center"/>
        <w:rPr>
          <w:b/>
          <w:sz w:val="21"/>
          <w:szCs w:val="21"/>
        </w:rPr>
      </w:pPr>
      <w:r w:rsidRPr="009472DE">
        <w:rPr>
          <w:b/>
          <w:sz w:val="21"/>
          <w:szCs w:val="21"/>
        </w:rPr>
        <w:t>Теория и политика формирования цен и</w:t>
      </w:r>
      <w:r>
        <w:rPr>
          <w:b/>
          <w:sz w:val="21"/>
          <w:szCs w:val="21"/>
        </w:rPr>
        <w:t xml:space="preserve"> тарифов в российской экономике</w:t>
      </w:r>
    </w:p>
    <w:p w14:paraId="7C5C2CAD" w14:textId="77777777" w:rsidR="00877DE5" w:rsidRPr="009472DE" w:rsidRDefault="00877DE5" w:rsidP="00067100">
      <w:pPr>
        <w:pStyle w:val="af9"/>
        <w:spacing w:after="0" w:line="240" w:lineRule="auto"/>
        <w:ind w:firstLine="709"/>
        <w:jc w:val="center"/>
        <w:rPr>
          <w:bCs/>
          <w:sz w:val="21"/>
          <w:szCs w:val="21"/>
        </w:rPr>
      </w:pPr>
    </w:p>
    <w:p w14:paraId="772AD92A" w14:textId="77777777" w:rsidR="00877DE5" w:rsidRPr="009472DE" w:rsidRDefault="00877DE5" w:rsidP="00D01EB8">
      <w:pPr>
        <w:pStyle w:val="af9"/>
        <w:spacing w:after="0" w:line="240" w:lineRule="auto"/>
        <w:ind w:left="0" w:firstLine="708"/>
        <w:jc w:val="both"/>
        <w:rPr>
          <w:b/>
          <w:bCs/>
          <w:color w:val="FF0000"/>
          <w:sz w:val="21"/>
          <w:szCs w:val="21"/>
          <w:shd w:val="clear" w:color="auto" w:fill="FFFFFF"/>
        </w:rPr>
      </w:pPr>
      <w:r w:rsidRPr="009472DE">
        <w:rPr>
          <w:b/>
          <w:bCs/>
          <w:sz w:val="21"/>
          <w:szCs w:val="21"/>
        </w:rPr>
        <w:t>Аннотация:</w:t>
      </w:r>
      <w:r w:rsidRPr="009472DE">
        <w:rPr>
          <w:bCs/>
          <w:sz w:val="21"/>
          <w:szCs w:val="21"/>
        </w:rPr>
        <w:t xml:space="preserve"> </w:t>
      </w:r>
      <w:r w:rsidRPr="009472DE">
        <w:rPr>
          <w:bCs/>
          <w:sz w:val="21"/>
          <w:szCs w:val="21"/>
          <w:shd w:val="clear" w:color="auto" w:fill="FFFFFF"/>
        </w:rPr>
        <w:t xml:space="preserve">В статье раскрываются основные аспекты, методы и зависимости в формировании цен и тарифов в России. </w:t>
      </w:r>
    </w:p>
    <w:p w14:paraId="41DA04E3" w14:textId="77777777" w:rsidR="00877DE5" w:rsidRPr="009472DE" w:rsidRDefault="00877DE5" w:rsidP="00067100">
      <w:pPr>
        <w:pStyle w:val="af9"/>
        <w:spacing w:after="0" w:line="240" w:lineRule="auto"/>
        <w:ind w:left="0" w:firstLine="709"/>
        <w:jc w:val="both"/>
        <w:rPr>
          <w:b/>
          <w:bCs/>
          <w:color w:val="FF0000"/>
          <w:sz w:val="21"/>
          <w:szCs w:val="21"/>
          <w:shd w:val="clear" w:color="auto" w:fill="FFFFFF"/>
        </w:rPr>
      </w:pPr>
      <w:r w:rsidRPr="009472DE">
        <w:rPr>
          <w:b/>
          <w:bCs/>
          <w:color w:val="1A1A1A"/>
          <w:sz w:val="21"/>
          <w:szCs w:val="21"/>
          <w:shd w:val="clear" w:color="auto" w:fill="FFFFFF"/>
        </w:rPr>
        <w:t>Ключевые слова:</w:t>
      </w:r>
      <w:r w:rsidRPr="009472DE">
        <w:rPr>
          <w:bCs/>
          <w:color w:val="1A1A1A"/>
          <w:sz w:val="21"/>
          <w:szCs w:val="21"/>
          <w:shd w:val="clear" w:color="auto" w:fill="FFFFFF"/>
        </w:rPr>
        <w:t xml:space="preserve"> Финансовая система, цены, ценообразование, тарифы</w:t>
      </w:r>
      <w:r w:rsidRPr="009472DE">
        <w:rPr>
          <w:bCs/>
          <w:sz w:val="21"/>
          <w:szCs w:val="21"/>
          <w:shd w:val="clear" w:color="auto" w:fill="FFFFFF"/>
        </w:rPr>
        <w:t>, Российская Федерация.</w:t>
      </w:r>
    </w:p>
    <w:p w14:paraId="63FA5034" w14:textId="77777777" w:rsidR="00877DE5" w:rsidRPr="009472DE" w:rsidRDefault="00877DE5" w:rsidP="00067100">
      <w:pPr>
        <w:pStyle w:val="af9"/>
        <w:spacing w:after="0" w:line="240" w:lineRule="auto"/>
        <w:ind w:firstLine="709"/>
        <w:jc w:val="both"/>
        <w:rPr>
          <w:b/>
          <w:bCs/>
          <w:color w:val="1A1A1A"/>
          <w:sz w:val="21"/>
          <w:szCs w:val="21"/>
          <w:shd w:val="clear" w:color="auto" w:fill="FFFFFF"/>
        </w:rPr>
      </w:pPr>
    </w:p>
    <w:p w14:paraId="14E3CFA2" w14:textId="77777777" w:rsidR="00877DE5" w:rsidRPr="009472DE" w:rsidRDefault="00877DE5" w:rsidP="00067100">
      <w:pPr>
        <w:pStyle w:val="af9"/>
        <w:spacing w:after="0" w:line="240" w:lineRule="auto"/>
        <w:ind w:firstLine="709"/>
        <w:jc w:val="right"/>
        <w:rPr>
          <w:b/>
          <w:bCs/>
          <w:i/>
          <w:iCs/>
          <w:color w:val="1A1A1A"/>
          <w:sz w:val="21"/>
          <w:szCs w:val="21"/>
          <w:shd w:val="clear" w:color="auto" w:fill="FFFFFF"/>
          <w:lang w:val="en-US"/>
        </w:rPr>
      </w:pPr>
      <w:r w:rsidRPr="009472DE">
        <w:rPr>
          <w:b/>
          <w:bCs/>
          <w:i/>
          <w:iCs/>
          <w:color w:val="1A1A1A"/>
          <w:sz w:val="21"/>
          <w:szCs w:val="21"/>
          <w:shd w:val="clear" w:color="auto" w:fill="FFFFFF"/>
          <w:lang w:val="en-US"/>
        </w:rPr>
        <w:t>Chernenko A.V., Nikonova E.A., Mannanova S.M.</w:t>
      </w:r>
    </w:p>
    <w:p w14:paraId="02A12D2E" w14:textId="77777777" w:rsidR="00877DE5" w:rsidRPr="009472DE" w:rsidRDefault="00877DE5" w:rsidP="00067100">
      <w:pPr>
        <w:pStyle w:val="af9"/>
        <w:spacing w:after="0" w:line="240" w:lineRule="auto"/>
        <w:ind w:firstLine="709"/>
        <w:jc w:val="right"/>
        <w:rPr>
          <w:b/>
          <w:bCs/>
          <w:i/>
          <w:iCs/>
          <w:color w:val="1A1A1A"/>
          <w:sz w:val="21"/>
          <w:szCs w:val="21"/>
          <w:shd w:val="clear" w:color="auto" w:fill="FFFFFF"/>
          <w:lang w:val="en-US"/>
        </w:rPr>
      </w:pPr>
      <w:r w:rsidRPr="009472DE">
        <w:rPr>
          <w:bCs/>
          <w:i/>
          <w:iCs/>
          <w:color w:val="1A1A1A"/>
          <w:sz w:val="21"/>
          <w:szCs w:val="21"/>
          <w:shd w:val="clear" w:color="auto" w:fill="FFFFFF"/>
          <w:lang w:val="en-US"/>
        </w:rPr>
        <w:t>students, 3 courses</w:t>
      </w:r>
    </w:p>
    <w:p w14:paraId="7C4F0171" w14:textId="77777777" w:rsidR="00877DE5" w:rsidRPr="009472DE" w:rsidRDefault="00877DE5" w:rsidP="00067100">
      <w:pPr>
        <w:pStyle w:val="af9"/>
        <w:spacing w:after="0" w:line="240" w:lineRule="auto"/>
        <w:ind w:firstLine="709"/>
        <w:jc w:val="right"/>
        <w:rPr>
          <w:b/>
          <w:bCs/>
          <w:i/>
          <w:iCs/>
          <w:sz w:val="21"/>
          <w:szCs w:val="21"/>
          <w:lang w:val="en-US"/>
        </w:rPr>
      </w:pPr>
      <w:r w:rsidRPr="009472DE">
        <w:rPr>
          <w:bCs/>
          <w:i/>
          <w:iCs/>
          <w:sz w:val="21"/>
          <w:szCs w:val="21"/>
          <w:lang w:val="en-US"/>
        </w:rPr>
        <w:t>Krasnodar Branch of the Financial University under the Government of the Russian Federation</w:t>
      </w:r>
    </w:p>
    <w:p w14:paraId="7DF7540B" w14:textId="77777777" w:rsidR="00877DE5" w:rsidRPr="009472DE" w:rsidRDefault="00877DE5" w:rsidP="00067100">
      <w:pPr>
        <w:pStyle w:val="af9"/>
        <w:spacing w:after="0" w:line="240" w:lineRule="auto"/>
        <w:ind w:firstLine="709"/>
        <w:jc w:val="right"/>
        <w:rPr>
          <w:b/>
          <w:bCs/>
          <w:i/>
          <w:iCs/>
          <w:sz w:val="21"/>
          <w:szCs w:val="21"/>
          <w:lang w:val="en-US"/>
        </w:rPr>
      </w:pPr>
      <w:r w:rsidRPr="009472DE">
        <w:rPr>
          <w:bCs/>
          <w:i/>
          <w:iCs/>
          <w:sz w:val="21"/>
          <w:szCs w:val="21"/>
          <w:lang w:val="en-US"/>
        </w:rPr>
        <w:t>Krasnodar, Russia</w:t>
      </w:r>
    </w:p>
    <w:p w14:paraId="146034D7" w14:textId="77777777" w:rsidR="00877DE5" w:rsidRPr="00877DE5" w:rsidRDefault="00877DE5" w:rsidP="00067100">
      <w:pPr>
        <w:pStyle w:val="af9"/>
        <w:spacing w:after="0" w:line="240" w:lineRule="auto"/>
        <w:ind w:firstLine="709"/>
        <w:jc w:val="right"/>
        <w:rPr>
          <w:b/>
          <w:bCs/>
          <w:i/>
          <w:iCs/>
          <w:sz w:val="21"/>
          <w:szCs w:val="21"/>
          <w:lang w:val="en-US"/>
        </w:rPr>
      </w:pPr>
      <w:r w:rsidRPr="009472DE">
        <w:rPr>
          <w:bCs/>
          <w:i/>
          <w:iCs/>
          <w:sz w:val="21"/>
          <w:szCs w:val="21"/>
          <w:lang w:val="en-US"/>
        </w:rPr>
        <w:t xml:space="preserve">e-mail: </w:t>
      </w:r>
      <w:hyperlink r:id="rId125" w:history="1">
        <w:r w:rsidRPr="006459B2">
          <w:rPr>
            <w:rStyle w:val="aa"/>
            <w:bCs/>
            <w:i/>
            <w:iCs/>
            <w:sz w:val="21"/>
            <w:szCs w:val="21"/>
            <w:lang w:val="en-US"/>
          </w:rPr>
          <w:t>Alexey23russian@yandex.ru</w:t>
        </w:r>
      </w:hyperlink>
      <w:r w:rsidRPr="00877DE5">
        <w:rPr>
          <w:bCs/>
          <w:i/>
          <w:iCs/>
          <w:sz w:val="21"/>
          <w:szCs w:val="21"/>
          <w:u w:val="single"/>
          <w:lang w:val="en-US"/>
        </w:rPr>
        <w:t xml:space="preserve"> </w:t>
      </w:r>
    </w:p>
    <w:p w14:paraId="49D7E5E9" w14:textId="77777777" w:rsidR="00877DE5" w:rsidRPr="009472DE" w:rsidRDefault="00877DE5" w:rsidP="00067100">
      <w:pPr>
        <w:pStyle w:val="af9"/>
        <w:spacing w:after="0" w:line="240" w:lineRule="auto"/>
        <w:ind w:firstLine="709"/>
        <w:jc w:val="right"/>
        <w:rPr>
          <w:b/>
          <w:bCs/>
          <w:i/>
          <w:iCs/>
          <w:sz w:val="21"/>
          <w:szCs w:val="21"/>
          <w:shd w:val="clear" w:color="auto" w:fill="FFFFFF"/>
          <w:lang w:val="en-US"/>
        </w:rPr>
      </w:pPr>
    </w:p>
    <w:p w14:paraId="7A9BF242" w14:textId="77777777" w:rsidR="00877DE5" w:rsidRPr="009472DE" w:rsidRDefault="00877DE5" w:rsidP="00067100">
      <w:pPr>
        <w:pStyle w:val="af9"/>
        <w:spacing w:after="0" w:line="240" w:lineRule="auto"/>
        <w:ind w:firstLine="709"/>
        <w:jc w:val="right"/>
        <w:rPr>
          <w:b/>
          <w:bCs/>
          <w:i/>
          <w:iCs/>
          <w:sz w:val="21"/>
          <w:szCs w:val="21"/>
          <w:shd w:val="clear" w:color="auto" w:fill="FFFFFF"/>
          <w:lang w:val="en-US"/>
        </w:rPr>
      </w:pPr>
      <w:r w:rsidRPr="009472DE">
        <w:rPr>
          <w:b/>
          <w:bCs/>
          <w:i/>
          <w:iCs/>
          <w:sz w:val="21"/>
          <w:szCs w:val="21"/>
          <w:shd w:val="clear" w:color="auto" w:fill="FFFFFF"/>
          <w:lang w:val="en-US"/>
        </w:rPr>
        <w:t>Scientific Adviser:</w:t>
      </w:r>
    </w:p>
    <w:p w14:paraId="4BA9CD48" w14:textId="77777777" w:rsidR="00877DE5" w:rsidRPr="009472DE" w:rsidRDefault="00877DE5" w:rsidP="00067100">
      <w:pPr>
        <w:pStyle w:val="af9"/>
        <w:spacing w:after="0" w:line="240" w:lineRule="auto"/>
        <w:ind w:firstLine="709"/>
        <w:jc w:val="right"/>
        <w:rPr>
          <w:b/>
          <w:bCs/>
          <w:i/>
          <w:iCs/>
          <w:sz w:val="21"/>
          <w:szCs w:val="21"/>
          <w:shd w:val="clear" w:color="auto" w:fill="FFFFFF"/>
          <w:lang w:val="en-US"/>
        </w:rPr>
      </w:pPr>
      <w:r w:rsidRPr="009472DE">
        <w:rPr>
          <w:b/>
          <w:bCs/>
          <w:i/>
          <w:iCs/>
          <w:sz w:val="21"/>
          <w:szCs w:val="21"/>
          <w:shd w:val="clear" w:color="auto" w:fill="FFFFFF"/>
          <w:lang w:val="en-US"/>
        </w:rPr>
        <w:t>Markaryan V.R.</w:t>
      </w:r>
    </w:p>
    <w:p w14:paraId="4C350E02" w14:textId="77777777" w:rsidR="00877DE5" w:rsidRPr="009472DE" w:rsidRDefault="00877DE5" w:rsidP="00067100">
      <w:pPr>
        <w:pStyle w:val="af9"/>
        <w:spacing w:after="0" w:line="240" w:lineRule="auto"/>
        <w:ind w:firstLine="709"/>
        <w:jc w:val="right"/>
        <w:rPr>
          <w:i/>
          <w:iCs/>
          <w:sz w:val="21"/>
          <w:szCs w:val="21"/>
          <w:shd w:val="clear" w:color="auto" w:fill="FFFFFF"/>
          <w:lang w:val="en-US"/>
        </w:rPr>
      </w:pPr>
      <w:r w:rsidRPr="009472DE">
        <w:rPr>
          <w:i/>
          <w:iCs/>
          <w:sz w:val="21"/>
          <w:szCs w:val="21"/>
          <w:shd w:val="clear" w:color="auto" w:fill="FFFFFF"/>
          <w:lang w:val="en-US"/>
        </w:rPr>
        <w:t>Docent, c. e. c.</w:t>
      </w:r>
    </w:p>
    <w:p w14:paraId="2A674E2D" w14:textId="77777777" w:rsidR="00877DE5" w:rsidRPr="009472DE" w:rsidRDefault="00877DE5" w:rsidP="00067100">
      <w:pPr>
        <w:pStyle w:val="af9"/>
        <w:spacing w:after="0" w:line="240" w:lineRule="auto"/>
        <w:ind w:firstLine="709"/>
        <w:jc w:val="right"/>
        <w:rPr>
          <w:b/>
          <w:bCs/>
          <w:i/>
          <w:iCs/>
          <w:sz w:val="21"/>
          <w:szCs w:val="21"/>
          <w:lang w:val="en-US"/>
        </w:rPr>
      </w:pPr>
      <w:r w:rsidRPr="009472DE">
        <w:rPr>
          <w:bCs/>
          <w:i/>
          <w:iCs/>
          <w:sz w:val="21"/>
          <w:szCs w:val="21"/>
          <w:lang w:val="en-US"/>
        </w:rPr>
        <w:t>Krasnodar Branch of the Financial University under the Government of the Russian Federation</w:t>
      </w:r>
    </w:p>
    <w:p w14:paraId="582ED9F4" w14:textId="77777777" w:rsidR="00877DE5" w:rsidRPr="009472DE" w:rsidRDefault="00877DE5" w:rsidP="00067100">
      <w:pPr>
        <w:pStyle w:val="af9"/>
        <w:spacing w:after="0" w:line="240" w:lineRule="auto"/>
        <w:ind w:firstLine="709"/>
        <w:jc w:val="right"/>
        <w:rPr>
          <w:b/>
          <w:bCs/>
          <w:i/>
          <w:iCs/>
          <w:sz w:val="21"/>
          <w:szCs w:val="21"/>
          <w:lang w:val="en-US"/>
        </w:rPr>
      </w:pPr>
      <w:r w:rsidRPr="009472DE">
        <w:rPr>
          <w:bCs/>
          <w:i/>
          <w:iCs/>
          <w:sz w:val="21"/>
          <w:szCs w:val="21"/>
          <w:lang w:val="en-US"/>
        </w:rPr>
        <w:t>Krasnodar, Russia</w:t>
      </w:r>
    </w:p>
    <w:p w14:paraId="186C5C08" w14:textId="77777777" w:rsidR="00877DE5" w:rsidRPr="00771A1E" w:rsidRDefault="00877DE5" w:rsidP="00067100">
      <w:pPr>
        <w:pStyle w:val="af3"/>
        <w:spacing w:before="0"/>
        <w:ind w:firstLine="709"/>
        <w:jc w:val="right"/>
        <w:rPr>
          <w:lang w:val="en-US"/>
        </w:rPr>
      </w:pPr>
      <w:r w:rsidRPr="009472DE">
        <w:rPr>
          <w:bCs/>
          <w:i/>
          <w:iCs/>
          <w:sz w:val="21"/>
          <w:szCs w:val="21"/>
          <w:lang w:val="en-US" w:eastAsia="ru-RU"/>
        </w:rPr>
        <w:t>e-</w:t>
      </w:r>
      <w:proofErr w:type="gramStart"/>
      <w:r w:rsidRPr="009472DE">
        <w:rPr>
          <w:bCs/>
          <w:i/>
          <w:iCs/>
          <w:sz w:val="21"/>
          <w:szCs w:val="21"/>
          <w:lang w:val="en-US" w:eastAsia="ru-RU"/>
        </w:rPr>
        <w:t>mai:l</w:t>
      </w:r>
      <w:proofErr w:type="gramEnd"/>
      <w:r w:rsidRPr="009472DE">
        <w:rPr>
          <w:bCs/>
          <w:i/>
          <w:iCs/>
          <w:sz w:val="21"/>
          <w:szCs w:val="21"/>
          <w:lang w:val="en-US" w:eastAsia="ru-RU"/>
        </w:rPr>
        <w:t xml:space="preserve"> </w:t>
      </w:r>
      <w:hyperlink r:id="rId126" w:history="1">
        <w:r w:rsidRPr="006459B2">
          <w:rPr>
            <w:rStyle w:val="aa"/>
            <w:bCs/>
            <w:i/>
            <w:iCs/>
            <w:sz w:val="21"/>
            <w:szCs w:val="21"/>
            <w:lang w:val="en-US"/>
          </w:rPr>
          <w:t>VRMarkaryan@fa.ru</w:t>
        </w:r>
      </w:hyperlink>
      <w:r w:rsidRPr="00771A1E">
        <w:rPr>
          <w:bCs/>
          <w:i/>
          <w:iCs/>
          <w:sz w:val="21"/>
          <w:szCs w:val="21"/>
          <w:u w:val="single"/>
          <w:lang w:val="en-US"/>
        </w:rPr>
        <w:t xml:space="preserve"> </w:t>
      </w:r>
    </w:p>
    <w:p w14:paraId="10135216" w14:textId="77777777" w:rsidR="00877DE5" w:rsidRPr="009472DE" w:rsidRDefault="00877DE5" w:rsidP="00067100">
      <w:pPr>
        <w:pStyle w:val="af3"/>
        <w:spacing w:before="0"/>
        <w:ind w:firstLine="709"/>
        <w:jc w:val="right"/>
        <w:rPr>
          <w:rStyle w:val="aa"/>
          <w:bCs/>
          <w:i/>
          <w:iCs/>
          <w:sz w:val="21"/>
          <w:szCs w:val="21"/>
          <w:lang w:val="en-US" w:eastAsia="ru-RU"/>
        </w:rPr>
      </w:pPr>
    </w:p>
    <w:p w14:paraId="5040CBCA" w14:textId="77777777" w:rsidR="00877DE5" w:rsidRPr="009472DE" w:rsidRDefault="00877DE5" w:rsidP="00067100">
      <w:pPr>
        <w:pStyle w:val="af9"/>
        <w:spacing w:after="0" w:line="240" w:lineRule="auto"/>
        <w:ind w:firstLine="709"/>
        <w:jc w:val="center"/>
        <w:rPr>
          <w:b/>
          <w:sz w:val="21"/>
          <w:szCs w:val="21"/>
          <w:lang w:val="en-US"/>
        </w:rPr>
      </w:pPr>
      <w:r w:rsidRPr="009472DE">
        <w:rPr>
          <w:b/>
          <w:sz w:val="21"/>
          <w:szCs w:val="21"/>
          <w:lang w:val="en-US"/>
        </w:rPr>
        <w:t>Theory and policy of price and tariff f</w:t>
      </w:r>
      <w:r>
        <w:rPr>
          <w:b/>
          <w:sz w:val="21"/>
          <w:szCs w:val="21"/>
          <w:lang w:val="en-US"/>
        </w:rPr>
        <w:t>ormation in the Russian economy</w:t>
      </w:r>
    </w:p>
    <w:p w14:paraId="60D6EE41" w14:textId="77777777" w:rsidR="00877DE5" w:rsidRPr="009472DE" w:rsidRDefault="00877DE5" w:rsidP="00067100">
      <w:pPr>
        <w:pStyle w:val="af9"/>
        <w:spacing w:after="0" w:line="240" w:lineRule="auto"/>
        <w:ind w:firstLine="709"/>
        <w:jc w:val="center"/>
        <w:rPr>
          <w:b/>
          <w:sz w:val="21"/>
          <w:szCs w:val="21"/>
          <w:lang w:val="en-US"/>
        </w:rPr>
      </w:pPr>
    </w:p>
    <w:p w14:paraId="307F26B4" w14:textId="77777777" w:rsidR="00877DE5" w:rsidRPr="009472DE" w:rsidRDefault="00877DE5" w:rsidP="00067100">
      <w:pPr>
        <w:pStyle w:val="af9"/>
        <w:spacing w:after="0" w:line="240" w:lineRule="auto"/>
        <w:ind w:left="0" w:firstLine="709"/>
        <w:jc w:val="both"/>
        <w:rPr>
          <w:bCs/>
          <w:sz w:val="21"/>
          <w:szCs w:val="21"/>
          <w:shd w:val="clear" w:color="auto" w:fill="FFFFFF"/>
          <w:lang w:val="en-US"/>
        </w:rPr>
      </w:pPr>
      <w:r w:rsidRPr="009472DE">
        <w:rPr>
          <w:b/>
          <w:bCs/>
          <w:sz w:val="21"/>
          <w:szCs w:val="21"/>
          <w:lang w:val="en-US"/>
        </w:rPr>
        <w:t>Abstract:</w:t>
      </w:r>
      <w:r w:rsidRPr="009472DE">
        <w:rPr>
          <w:bCs/>
          <w:sz w:val="21"/>
          <w:szCs w:val="21"/>
          <w:lang w:val="en-US"/>
        </w:rPr>
        <w:t xml:space="preserve"> </w:t>
      </w:r>
      <w:r w:rsidRPr="009472DE">
        <w:rPr>
          <w:bCs/>
          <w:sz w:val="21"/>
          <w:szCs w:val="21"/>
          <w:shd w:val="clear" w:color="auto" w:fill="FFFFFF"/>
          <w:lang w:val="en-US"/>
        </w:rPr>
        <w:t xml:space="preserve">The article reveals the main aspects, methods and dependencies in the formation of prices and tariffs in Russia. </w:t>
      </w:r>
    </w:p>
    <w:p w14:paraId="18FCA13B" w14:textId="77777777" w:rsidR="00877DE5" w:rsidRPr="009472DE" w:rsidRDefault="00877DE5" w:rsidP="00067100">
      <w:pPr>
        <w:pStyle w:val="af9"/>
        <w:spacing w:after="0" w:line="240" w:lineRule="auto"/>
        <w:ind w:left="0" w:firstLine="709"/>
        <w:jc w:val="both"/>
        <w:rPr>
          <w:bCs/>
          <w:sz w:val="21"/>
          <w:szCs w:val="21"/>
          <w:lang w:val="en-US"/>
        </w:rPr>
      </w:pPr>
      <w:r w:rsidRPr="009472DE">
        <w:rPr>
          <w:b/>
          <w:bCs/>
          <w:sz w:val="21"/>
          <w:szCs w:val="21"/>
          <w:lang w:val="en-US"/>
        </w:rPr>
        <w:t>Keywords:</w:t>
      </w:r>
      <w:r w:rsidRPr="009472DE">
        <w:rPr>
          <w:bCs/>
          <w:sz w:val="21"/>
          <w:szCs w:val="21"/>
          <w:lang w:val="en-US"/>
        </w:rPr>
        <w:t xml:space="preserve"> </w:t>
      </w:r>
      <w:r w:rsidRPr="009472DE">
        <w:rPr>
          <w:bCs/>
          <w:sz w:val="21"/>
          <w:szCs w:val="21"/>
          <w:shd w:val="clear" w:color="auto" w:fill="FFFFFF"/>
          <w:lang w:val="en-US"/>
        </w:rPr>
        <w:t>Financial system, prices, pricing, tariffs, Russian Federation.</w:t>
      </w:r>
    </w:p>
    <w:p w14:paraId="693CB332"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Практически каждый человек может дать определение такому понятию как цена и ценообразование, понимая это как выражение стоимости какого-либо товара в денежной форме.</w:t>
      </w:r>
    </w:p>
    <w:p w14:paraId="58B379C0"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 каждом отдельно взятом государстве процесс ценообразования напрямую зависит от политического строя внутри этого государства, разделяемого на три основных вида: тоталитарный, авторитарный и демократический. В тоталитарном и авторитарном строях (режимах) преобладает административно-командный способ управления экономикой и ценообразованием. В демократическом строе – рыночный. Далее нас будут интересовать преимущественно рыночные механизмы ценообразования и установления тарифов.</w:t>
      </w:r>
    </w:p>
    <w:p w14:paraId="7852ACDD"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Итак, цена является основным элементом деятельности любого предприятия в условиях рыночной экономики, оказывающим непосредственное влияние на производство, обмен и распределение капитала, а также выполняет определённые функции, часть из которых представлена на рисунке 1.</w:t>
      </w:r>
    </w:p>
    <w:p w14:paraId="16BE8CA1" w14:textId="77777777" w:rsidR="00877DE5" w:rsidRPr="009472DE" w:rsidRDefault="00877DE5" w:rsidP="00067100">
      <w:pPr>
        <w:spacing w:after="0" w:line="240" w:lineRule="auto"/>
        <w:ind w:firstLine="709"/>
        <w:jc w:val="both"/>
        <w:rPr>
          <w:rFonts w:ascii="Times New Roman" w:hAnsi="Times New Roman" w:cs="Times New Roman"/>
          <w:sz w:val="32"/>
          <w:szCs w:val="32"/>
        </w:rPr>
      </w:pPr>
    </w:p>
    <w:p w14:paraId="2725B729" w14:textId="77777777" w:rsidR="00877DE5" w:rsidRDefault="00877DE5" w:rsidP="00067100">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noProof/>
          <w:sz w:val="32"/>
          <w:szCs w:val="32"/>
          <w:lang w:eastAsia="ru-RU"/>
        </w:rPr>
        <w:drawing>
          <wp:inline distT="0" distB="0" distL="0" distR="0" wp14:anchorId="18638E5D" wp14:editId="3E5954D6">
            <wp:extent cx="4802588" cy="2894275"/>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7"/>
                    <a:srcRect l="11429" t="2368" r="10130" b="1843"/>
                    <a:stretch/>
                  </pic:blipFill>
                  <pic:spPr bwMode="auto">
                    <a:xfrm>
                      <a:off x="0" y="0"/>
                      <a:ext cx="4805850" cy="2896241"/>
                    </a:xfrm>
                    <a:prstGeom prst="rect">
                      <a:avLst/>
                    </a:prstGeom>
                    <a:ln>
                      <a:noFill/>
                    </a:ln>
                    <a:extLst>
                      <a:ext uri="{53640926-AAD7-44D8-BBD7-CCE9431645EC}">
                        <a14:shadowObscured xmlns:a14="http://schemas.microsoft.com/office/drawing/2010/main"/>
                      </a:ext>
                    </a:extLst>
                  </pic:spPr>
                </pic:pic>
              </a:graphicData>
            </a:graphic>
          </wp:inline>
        </w:drawing>
      </w:r>
    </w:p>
    <w:p w14:paraId="6CF05BFC" w14:textId="77777777" w:rsidR="00877DE5" w:rsidRPr="009472DE" w:rsidRDefault="00877DE5" w:rsidP="00067100">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sz w:val="32"/>
          <w:szCs w:val="32"/>
        </w:rPr>
        <w:t>Рису</w:t>
      </w:r>
      <w:r>
        <w:rPr>
          <w:rFonts w:ascii="Times New Roman" w:hAnsi="Times New Roman" w:cs="Times New Roman"/>
          <w:sz w:val="32"/>
          <w:szCs w:val="32"/>
        </w:rPr>
        <w:t>нок 1 – Функции цены</w:t>
      </w:r>
    </w:p>
    <w:p w14:paraId="5C05C64F" w14:textId="77777777" w:rsidR="00877DE5" w:rsidRPr="009472DE" w:rsidRDefault="00877DE5" w:rsidP="00D01EB8">
      <w:pPr>
        <w:spacing w:after="0" w:line="240" w:lineRule="auto"/>
        <w:jc w:val="both"/>
        <w:rPr>
          <w:rFonts w:ascii="Times New Roman" w:hAnsi="Times New Roman" w:cs="Times New Roman"/>
          <w:sz w:val="32"/>
          <w:szCs w:val="32"/>
        </w:rPr>
      </w:pPr>
    </w:p>
    <w:p w14:paraId="6495B6F7"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Сложность механизма ценообразования состоит в том, что предприятию необходимо одновременно учитывать текущую и прогнозировать будущую ситуацию на рынке, стараться быть на шаг впереди своих конкурентов, а также прогнозировать реакцию рынка на выпуск собственной и конкурирующей продукции. Ввиду перечисленных факторов, процесс ценообразования можно трактовать не только как науку, но и как искусство.</w:t>
      </w:r>
    </w:p>
    <w:p w14:paraId="5E98FBA5"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К важным механизмам ценообразования относят поиск и создание высококвалифицированных кадров, маркетинговую политику и минимизацию затрат.</w:t>
      </w:r>
    </w:p>
    <w:p w14:paraId="2DFAC195"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На снижение цены может влиять большой набор факторов, среди которых стоит отметить снижение налоговой нагрузки и разного рода издержек, развитие производства, увеличение конкуренции и научно-технический прогресс.</w:t>
      </w:r>
    </w:p>
    <w:p w14:paraId="07E14667"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На увеличение цены может влиять не менее большой набор факторов, чем на снижение. Здесь стоит отметить сокращение производства по ряду причин, появление монополии, увеличение денежной массы в обращении (инфляции) и так далее.</w:t>
      </w:r>
    </w:p>
    <w:p w14:paraId="685685A7"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 настоящее время государство оказывает большое влияние на политику ценообразования товаров и услуг. К функциям государства в этой отрасли принято относить прямые и косвенные.</w:t>
      </w:r>
    </w:p>
    <w:p w14:paraId="5A524643" w14:textId="77777777" w:rsidR="00877DE5" w:rsidRDefault="00877DE5" w:rsidP="00067100">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noProof/>
          <w:sz w:val="32"/>
          <w:szCs w:val="32"/>
          <w:lang w:eastAsia="ru-RU"/>
        </w:rPr>
        <w:drawing>
          <wp:inline distT="0" distB="0" distL="0" distR="0" wp14:anchorId="0418616C" wp14:editId="365E313F">
            <wp:extent cx="4747260" cy="20116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4747260" cy="2011680"/>
                    </a:xfrm>
                    <a:prstGeom prst="rect">
                      <a:avLst/>
                    </a:prstGeom>
                  </pic:spPr>
                </pic:pic>
              </a:graphicData>
            </a:graphic>
          </wp:inline>
        </w:drawing>
      </w:r>
    </w:p>
    <w:p w14:paraId="215E5614" w14:textId="77777777" w:rsidR="00877DE5" w:rsidRPr="009472DE" w:rsidRDefault="00877DE5" w:rsidP="00067100">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sz w:val="32"/>
          <w:szCs w:val="32"/>
        </w:rPr>
        <w:t>Рисунок 2 – Экономические функци</w:t>
      </w:r>
      <w:r>
        <w:rPr>
          <w:rFonts w:ascii="Times New Roman" w:hAnsi="Times New Roman" w:cs="Times New Roman"/>
          <w:sz w:val="32"/>
          <w:szCs w:val="32"/>
        </w:rPr>
        <w:t>и государства в ценообразовании</w:t>
      </w:r>
    </w:p>
    <w:p w14:paraId="3B18F9A9" w14:textId="77777777" w:rsidR="00877DE5" w:rsidRPr="009472DE" w:rsidRDefault="00877DE5" w:rsidP="00D01EB8">
      <w:pPr>
        <w:spacing w:after="0" w:line="240" w:lineRule="auto"/>
        <w:jc w:val="both"/>
        <w:rPr>
          <w:rFonts w:ascii="Times New Roman" w:hAnsi="Times New Roman" w:cs="Times New Roman"/>
          <w:sz w:val="32"/>
          <w:szCs w:val="32"/>
        </w:rPr>
      </w:pPr>
    </w:p>
    <w:p w14:paraId="482E8B4E" w14:textId="77777777" w:rsidR="00877DE5" w:rsidRPr="009472DE" w:rsidRDefault="00877DE5" w:rsidP="00B41576">
      <w:pPr>
        <w:tabs>
          <w:tab w:val="left" w:pos="851"/>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Государство регулирует процесс ценообразования с целью обеспечения стабильности и планомерного развития экономики, а также защиты интересов населения, потребителей.</w:t>
      </w:r>
    </w:p>
    <w:p w14:paraId="3CA3110B" w14:textId="77777777" w:rsidR="00877DE5" w:rsidRPr="009472DE" w:rsidRDefault="00877DE5" w:rsidP="00B41576">
      <w:pPr>
        <w:tabs>
          <w:tab w:val="left" w:pos="851"/>
          <w:tab w:val="left" w:pos="993"/>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Методы государственного регулирования включают в себя:</w:t>
      </w:r>
    </w:p>
    <w:p w14:paraId="56D1A770" w14:textId="496CD7B2" w:rsidR="00877DE5" w:rsidRPr="00B41576" w:rsidRDefault="00B41576" w:rsidP="00AD58CD">
      <w:pPr>
        <w:pStyle w:val="a8"/>
        <w:numPr>
          <w:ilvl w:val="0"/>
          <w:numId w:val="266"/>
        </w:numPr>
        <w:tabs>
          <w:tab w:val="left" w:pos="851"/>
          <w:tab w:val="left" w:pos="993"/>
        </w:tabs>
        <w:spacing w:after="0" w:line="240" w:lineRule="auto"/>
        <w:ind w:left="0" w:firstLine="709"/>
        <w:jc w:val="both"/>
        <w:rPr>
          <w:rFonts w:ascii="Times New Roman" w:hAnsi="Times New Roman" w:cs="Times New Roman"/>
          <w:sz w:val="32"/>
          <w:szCs w:val="32"/>
        </w:rPr>
      </w:pPr>
      <w:r>
        <w:rPr>
          <w:rFonts w:ascii="Times New Roman" w:hAnsi="Times New Roman" w:cs="Times New Roman"/>
          <w:sz w:val="32"/>
          <w:szCs w:val="32"/>
        </w:rPr>
        <w:t>у</w:t>
      </w:r>
      <w:r w:rsidR="00877DE5" w:rsidRPr="00B41576">
        <w:rPr>
          <w:rFonts w:ascii="Times New Roman" w:hAnsi="Times New Roman" w:cs="Times New Roman"/>
          <w:sz w:val="32"/>
          <w:szCs w:val="32"/>
        </w:rPr>
        <w:t>становление предельно или минимально допустимых цен на определённые виды и категории товаров и услуг;</w:t>
      </w:r>
    </w:p>
    <w:p w14:paraId="441168BA" w14:textId="3F0B94FF" w:rsidR="00877DE5" w:rsidRPr="00B41576" w:rsidRDefault="00B41576" w:rsidP="00AD58CD">
      <w:pPr>
        <w:pStyle w:val="a8"/>
        <w:numPr>
          <w:ilvl w:val="0"/>
          <w:numId w:val="266"/>
        </w:numPr>
        <w:tabs>
          <w:tab w:val="left" w:pos="851"/>
          <w:tab w:val="left" w:pos="993"/>
        </w:tabs>
        <w:spacing w:after="0" w:line="240" w:lineRule="auto"/>
        <w:ind w:left="0" w:firstLine="709"/>
        <w:jc w:val="both"/>
        <w:rPr>
          <w:rFonts w:ascii="Times New Roman" w:hAnsi="Times New Roman" w:cs="Times New Roman"/>
          <w:sz w:val="32"/>
          <w:szCs w:val="32"/>
        </w:rPr>
      </w:pPr>
      <w:r>
        <w:rPr>
          <w:rFonts w:ascii="Times New Roman" w:hAnsi="Times New Roman" w:cs="Times New Roman"/>
          <w:sz w:val="32"/>
          <w:szCs w:val="32"/>
        </w:rPr>
        <w:t>у</w:t>
      </w:r>
      <w:r w:rsidR="00877DE5" w:rsidRPr="00B41576">
        <w:rPr>
          <w:rFonts w:ascii="Times New Roman" w:hAnsi="Times New Roman" w:cs="Times New Roman"/>
          <w:sz w:val="32"/>
          <w:szCs w:val="32"/>
        </w:rPr>
        <w:t>становление и регулирование ценовых индексов, определяющих возможные колебания цен в определённые периоды времени для обеспечения стабильности экономического развития;</w:t>
      </w:r>
    </w:p>
    <w:p w14:paraId="6AEB76C4" w14:textId="4172A168" w:rsidR="00877DE5" w:rsidRPr="00B41576" w:rsidRDefault="00B41576" w:rsidP="00AD58CD">
      <w:pPr>
        <w:pStyle w:val="a8"/>
        <w:numPr>
          <w:ilvl w:val="0"/>
          <w:numId w:val="266"/>
        </w:numPr>
        <w:tabs>
          <w:tab w:val="left" w:pos="851"/>
          <w:tab w:val="left" w:pos="993"/>
        </w:tabs>
        <w:spacing w:after="0" w:line="240" w:lineRule="auto"/>
        <w:ind w:left="0" w:firstLine="709"/>
        <w:jc w:val="both"/>
        <w:rPr>
          <w:rFonts w:ascii="Times New Roman" w:hAnsi="Times New Roman" w:cs="Times New Roman"/>
          <w:sz w:val="32"/>
          <w:szCs w:val="32"/>
        </w:rPr>
      </w:pPr>
      <w:r>
        <w:rPr>
          <w:rFonts w:ascii="Times New Roman" w:hAnsi="Times New Roman" w:cs="Times New Roman"/>
          <w:sz w:val="32"/>
          <w:szCs w:val="32"/>
        </w:rPr>
        <w:t>н</w:t>
      </w:r>
      <w:r w:rsidR="00877DE5" w:rsidRPr="00B41576">
        <w:rPr>
          <w:rFonts w:ascii="Times New Roman" w:hAnsi="Times New Roman" w:cs="Times New Roman"/>
          <w:sz w:val="32"/>
          <w:szCs w:val="32"/>
        </w:rPr>
        <w:t>алогообложение и субсидирование различных отраслей экономики в интересах устойчивого экономического развития этих и смежных отраслей</w:t>
      </w:r>
      <w:r>
        <w:rPr>
          <w:rFonts w:ascii="Times New Roman" w:hAnsi="Times New Roman" w:cs="Times New Roman"/>
          <w:sz w:val="32"/>
          <w:szCs w:val="32"/>
        </w:rPr>
        <w:t>;</w:t>
      </w:r>
    </w:p>
    <w:p w14:paraId="66383D2E" w14:textId="376A546D" w:rsidR="00877DE5" w:rsidRPr="00B41576" w:rsidRDefault="00B41576" w:rsidP="00AD58CD">
      <w:pPr>
        <w:pStyle w:val="a8"/>
        <w:numPr>
          <w:ilvl w:val="0"/>
          <w:numId w:val="266"/>
        </w:numPr>
        <w:tabs>
          <w:tab w:val="left" w:pos="993"/>
        </w:tabs>
        <w:spacing w:after="0" w:line="240" w:lineRule="auto"/>
        <w:ind w:left="0" w:firstLine="709"/>
        <w:jc w:val="both"/>
        <w:rPr>
          <w:rFonts w:ascii="Times New Roman" w:hAnsi="Times New Roman" w:cs="Times New Roman"/>
          <w:sz w:val="32"/>
          <w:szCs w:val="32"/>
        </w:rPr>
      </w:pPr>
      <w:r>
        <w:rPr>
          <w:rFonts w:ascii="Times New Roman" w:hAnsi="Times New Roman" w:cs="Times New Roman"/>
          <w:sz w:val="32"/>
          <w:szCs w:val="32"/>
        </w:rPr>
        <w:lastRenderedPageBreak/>
        <w:t>э</w:t>
      </w:r>
      <w:r w:rsidR="00877DE5" w:rsidRPr="00B41576">
        <w:rPr>
          <w:rFonts w:ascii="Times New Roman" w:hAnsi="Times New Roman" w:cs="Times New Roman"/>
          <w:sz w:val="32"/>
          <w:szCs w:val="32"/>
        </w:rPr>
        <w:t>кспортные и импортные ограничения в рамках проводимой внешней и внутренней политики государства.</w:t>
      </w:r>
    </w:p>
    <w:p w14:paraId="168FF0D8" w14:textId="77777777" w:rsidR="00877DE5" w:rsidRPr="009472DE" w:rsidRDefault="00877DE5" w:rsidP="00B41576">
      <w:pPr>
        <w:tabs>
          <w:tab w:val="left" w:pos="993"/>
        </w:tabs>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Также на ценообразование влияет внутренняя и внешняя политика государства. Здесь стоит отметить следующие факторы:</w:t>
      </w:r>
    </w:p>
    <w:p w14:paraId="2B174DDC" w14:textId="081726E1" w:rsidR="00877DE5" w:rsidRPr="00B41576" w:rsidRDefault="00B41576" w:rsidP="00AD58CD">
      <w:pPr>
        <w:pStyle w:val="a8"/>
        <w:numPr>
          <w:ilvl w:val="0"/>
          <w:numId w:val="267"/>
        </w:numPr>
        <w:tabs>
          <w:tab w:val="left" w:pos="993"/>
        </w:tabs>
        <w:spacing w:after="0" w:line="240" w:lineRule="auto"/>
        <w:ind w:left="0" w:firstLine="709"/>
        <w:jc w:val="both"/>
        <w:rPr>
          <w:rFonts w:ascii="Times New Roman" w:hAnsi="Times New Roman" w:cs="Times New Roman"/>
          <w:sz w:val="32"/>
          <w:szCs w:val="32"/>
        </w:rPr>
      </w:pPr>
      <w:r w:rsidRPr="00B41576">
        <w:rPr>
          <w:rFonts w:ascii="Times New Roman" w:hAnsi="Times New Roman" w:cs="Times New Roman"/>
          <w:sz w:val="32"/>
          <w:szCs w:val="32"/>
        </w:rPr>
        <w:t>у</w:t>
      </w:r>
      <w:r w:rsidR="00877DE5" w:rsidRPr="00B41576">
        <w:rPr>
          <w:rFonts w:ascii="Times New Roman" w:hAnsi="Times New Roman" w:cs="Times New Roman"/>
          <w:sz w:val="32"/>
          <w:szCs w:val="32"/>
        </w:rPr>
        <w:t>ровень процентной ставки, устанавливаемый Центральным Банком. Высокая процентная ставка способна сдерживать потребление и спрос, что в свою очередь оказывает влияние на ценообразование. И наоборот, низкая процентная ставка стимулирует спрос, в связи с чем могут происходить процессы, обратные политике высоких процентных ставок.</w:t>
      </w:r>
    </w:p>
    <w:p w14:paraId="3812BE06" w14:textId="7B3B280D" w:rsidR="00877DE5" w:rsidRPr="00B41576" w:rsidRDefault="00B41576" w:rsidP="00AD58CD">
      <w:pPr>
        <w:pStyle w:val="a8"/>
        <w:numPr>
          <w:ilvl w:val="0"/>
          <w:numId w:val="267"/>
        </w:numPr>
        <w:tabs>
          <w:tab w:val="left" w:pos="993"/>
        </w:tabs>
        <w:spacing w:after="0" w:line="240" w:lineRule="auto"/>
        <w:ind w:left="0" w:firstLine="709"/>
        <w:jc w:val="both"/>
        <w:rPr>
          <w:rFonts w:ascii="Times New Roman" w:hAnsi="Times New Roman" w:cs="Times New Roman"/>
          <w:sz w:val="32"/>
          <w:szCs w:val="32"/>
        </w:rPr>
      </w:pPr>
      <w:r w:rsidRPr="00B41576">
        <w:rPr>
          <w:rFonts w:ascii="Times New Roman" w:hAnsi="Times New Roman" w:cs="Times New Roman"/>
          <w:sz w:val="32"/>
          <w:szCs w:val="32"/>
        </w:rPr>
        <w:t>в</w:t>
      </w:r>
      <w:r w:rsidR="00877DE5" w:rsidRPr="00B41576">
        <w:rPr>
          <w:rFonts w:ascii="Times New Roman" w:hAnsi="Times New Roman" w:cs="Times New Roman"/>
          <w:sz w:val="32"/>
          <w:szCs w:val="32"/>
        </w:rPr>
        <w:t>нешняя политика и</w:t>
      </w:r>
      <w:r w:rsidR="005A4D71" w:rsidRPr="00B41576">
        <w:rPr>
          <w:rFonts w:ascii="Times New Roman" w:hAnsi="Times New Roman" w:cs="Times New Roman"/>
          <w:sz w:val="32"/>
          <w:szCs w:val="32"/>
        </w:rPr>
        <w:t>,</w:t>
      </w:r>
      <w:r w:rsidR="00877DE5" w:rsidRPr="00B41576">
        <w:rPr>
          <w:rFonts w:ascii="Times New Roman" w:hAnsi="Times New Roman" w:cs="Times New Roman"/>
          <w:sz w:val="32"/>
          <w:szCs w:val="32"/>
        </w:rPr>
        <w:t xml:space="preserve"> в частности</w:t>
      </w:r>
      <w:r w:rsidR="005A4D71" w:rsidRPr="00B41576">
        <w:rPr>
          <w:rFonts w:ascii="Times New Roman" w:hAnsi="Times New Roman" w:cs="Times New Roman"/>
          <w:sz w:val="32"/>
          <w:szCs w:val="32"/>
        </w:rPr>
        <w:t>,</w:t>
      </w:r>
      <w:r w:rsidR="00877DE5" w:rsidRPr="00B41576">
        <w:rPr>
          <w:rFonts w:ascii="Times New Roman" w:hAnsi="Times New Roman" w:cs="Times New Roman"/>
          <w:sz w:val="32"/>
          <w:szCs w:val="32"/>
        </w:rPr>
        <w:t xml:space="preserve"> развитие международной торговли оказывает влияние на динамику изменения цен, как </w:t>
      </w:r>
      <w:r w:rsidR="005A4D71" w:rsidRPr="00B41576">
        <w:rPr>
          <w:rFonts w:ascii="Times New Roman" w:hAnsi="Times New Roman" w:cs="Times New Roman"/>
          <w:sz w:val="32"/>
          <w:szCs w:val="32"/>
        </w:rPr>
        <w:t xml:space="preserve">в </w:t>
      </w:r>
      <w:r w:rsidR="00877DE5" w:rsidRPr="00B41576">
        <w:rPr>
          <w:rFonts w:ascii="Times New Roman" w:hAnsi="Times New Roman" w:cs="Times New Roman"/>
          <w:sz w:val="32"/>
          <w:szCs w:val="32"/>
        </w:rPr>
        <w:t>одну</w:t>
      </w:r>
      <w:r w:rsidR="005A4D71" w:rsidRPr="00B41576">
        <w:rPr>
          <w:rFonts w:ascii="Times New Roman" w:hAnsi="Times New Roman" w:cs="Times New Roman"/>
          <w:sz w:val="32"/>
          <w:szCs w:val="32"/>
        </w:rPr>
        <w:t>,</w:t>
      </w:r>
      <w:r w:rsidR="00877DE5" w:rsidRPr="00B41576">
        <w:rPr>
          <w:rFonts w:ascii="Times New Roman" w:hAnsi="Times New Roman" w:cs="Times New Roman"/>
          <w:sz w:val="32"/>
          <w:szCs w:val="32"/>
        </w:rPr>
        <w:t xml:space="preserve"> так и в обратную сторону. Политическая нестабильность способна негативно отразиться на ценах на продукцию внутри государства и негативно влияет на экономическое развитие, зачастую приводит к экономическим кризисам.</w:t>
      </w:r>
    </w:p>
    <w:p w14:paraId="4210C27F" w14:textId="277C8245" w:rsidR="00877DE5" w:rsidRPr="00B41576" w:rsidRDefault="00B41576" w:rsidP="00AD58CD">
      <w:pPr>
        <w:pStyle w:val="a8"/>
        <w:numPr>
          <w:ilvl w:val="0"/>
          <w:numId w:val="267"/>
        </w:numPr>
        <w:tabs>
          <w:tab w:val="left" w:pos="993"/>
        </w:tabs>
        <w:spacing w:after="0" w:line="240" w:lineRule="auto"/>
        <w:ind w:left="0" w:firstLine="709"/>
        <w:jc w:val="both"/>
        <w:rPr>
          <w:rFonts w:ascii="Times New Roman" w:hAnsi="Times New Roman" w:cs="Times New Roman"/>
          <w:sz w:val="32"/>
          <w:szCs w:val="32"/>
        </w:rPr>
      </w:pPr>
      <w:r w:rsidRPr="00B41576">
        <w:rPr>
          <w:rFonts w:ascii="Times New Roman" w:hAnsi="Times New Roman" w:cs="Times New Roman"/>
          <w:sz w:val="32"/>
          <w:szCs w:val="32"/>
        </w:rPr>
        <w:t>у</w:t>
      </w:r>
      <w:r w:rsidR="00877DE5" w:rsidRPr="00B41576">
        <w:rPr>
          <w:rFonts w:ascii="Times New Roman" w:hAnsi="Times New Roman" w:cs="Times New Roman"/>
          <w:sz w:val="32"/>
          <w:szCs w:val="32"/>
        </w:rPr>
        <w:t>становление минимального размера оплаты труда является программой социальной поддержки населения и способствует росту благосостояния граждан, приводящей в основном к незначительному увеличения спроса.</w:t>
      </w:r>
    </w:p>
    <w:p w14:paraId="18026592" w14:textId="77777777" w:rsidR="00877DE5" w:rsidRPr="009472DE" w:rsidRDefault="00877DE5" w:rsidP="00B41576">
      <w:pPr>
        <w:tabs>
          <w:tab w:val="left" w:pos="993"/>
        </w:tabs>
        <w:spacing w:after="0" w:line="240" w:lineRule="auto"/>
        <w:ind w:firstLine="709"/>
        <w:jc w:val="both"/>
        <w:rPr>
          <w:rFonts w:ascii="Times New Roman" w:hAnsi="Times New Roman" w:cs="Times New Roman"/>
          <w:sz w:val="32"/>
          <w:szCs w:val="32"/>
        </w:rPr>
      </w:pPr>
    </w:p>
    <w:p w14:paraId="2EFF46F1" w14:textId="77777777" w:rsidR="00877DE5" w:rsidRPr="009472DE" w:rsidRDefault="00877DE5" w:rsidP="00B41576">
      <w:pPr>
        <w:spacing w:after="0" w:line="240" w:lineRule="auto"/>
        <w:jc w:val="both"/>
        <w:rPr>
          <w:rFonts w:ascii="Times New Roman" w:hAnsi="Times New Roman" w:cs="Times New Roman"/>
          <w:sz w:val="32"/>
          <w:szCs w:val="32"/>
        </w:rPr>
      </w:pPr>
      <w:r w:rsidRPr="009472DE">
        <w:rPr>
          <w:rFonts w:ascii="Times New Roman" w:hAnsi="Times New Roman" w:cs="Times New Roman"/>
          <w:sz w:val="32"/>
          <w:szCs w:val="32"/>
        </w:rPr>
        <w:t>Таблица 1 – Методы государственного регулирования цен.</w:t>
      </w:r>
    </w:p>
    <w:tbl>
      <w:tblPr>
        <w:tblStyle w:val="a9"/>
        <w:tblW w:w="0" w:type="auto"/>
        <w:tblLook w:val="04A0" w:firstRow="1" w:lastRow="0" w:firstColumn="1" w:lastColumn="0" w:noHBand="0" w:noVBand="1"/>
      </w:tblPr>
      <w:tblGrid>
        <w:gridCol w:w="4821"/>
        <w:gridCol w:w="4811"/>
      </w:tblGrid>
      <w:tr w:rsidR="00877DE5" w:rsidRPr="009472DE" w14:paraId="69EEAB07" w14:textId="77777777" w:rsidTr="00067100">
        <w:tc>
          <w:tcPr>
            <w:tcW w:w="5069" w:type="dxa"/>
          </w:tcPr>
          <w:p w14:paraId="1251482C"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Прямые</w:t>
            </w:r>
          </w:p>
        </w:tc>
        <w:tc>
          <w:tcPr>
            <w:tcW w:w="5069" w:type="dxa"/>
          </w:tcPr>
          <w:p w14:paraId="534A7170"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Косвенные</w:t>
            </w:r>
          </w:p>
        </w:tc>
      </w:tr>
      <w:tr w:rsidR="00877DE5" w:rsidRPr="009472DE" w14:paraId="1B5A5513" w14:textId="77777777" w:rsidTr="00067100">
        <w:tc>
          <w:tcPr>
            <w:tcW w:w="5069" w:type="dxa"/>
          </w:tcPr>
          <w:p w14:paraId="0424277A"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фиксированных цен</w:t>
            </w:r>
          </w:p>
        </w:tc>
        <w:tc>
          <w:tcPr>
            <w:tcW w:w="5069" w:type="dxa"/>
          </w:tcPr>
          <w:p w14:paraId="7A0B376D"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Налогообложение</w:t>
            </w:r>
          </w:p>
        </w:tc>
      </w:tr>
      <w:tr w:rsidR="00877DE5" w:rsidRPr="009472DE" w14:paraId="5F05D34F" w14:textId="77777777" w:rsidTr="00067100">
        <w:tc>
          <w:tcPr>
            <w:tcW w:w="5069" w:type="dxa"/>
          </w:tcPr>
          <w:p w14:paraId="737E72C5"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Замораживание цен</w:t>
            </w:r>
          </w:p>
        </w:tc>
        <w:tc>
          <w:tcPr>
            <w:tcW w:w="5069" w:type="dxa"/>
          </w:tcPr>
          <w:p w14:paraId="5505EA99"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Регулирование денежного обращения</w:t>
            </w:r>
          </w:p>
        </w:tc>
      </w:tr>
      <w:tr w:rsidR="00877DE5" w:rsidRPr="009472DE" w14:paraId="7E03E58C" w14:textId="77777777" w:rsidTr="00067100">
        <w:tc>
          <w:tcPr>
            <w:tcW w:w="5069" w:type="dxa"/>
          </w:tcPr>
          <w:p w14:paraId="7D8874D5"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пределов возможного роста цены</w:t>
            </w:r>
          </w:p>
        </w:tc>
        <w:tc>
          <w:tcPr>
            <w:tcW w:w="5069" w:type="dxa"/>
          </w:tcPr>
          <w:p w14:paraId="76F7083C"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Оплата труда</w:t>
            </w:r>
          </w:p>
        </w:tc>
      </w:tr>
      <w:tr w:rsidR="00877DE5" w:rsidRPr="009472DE" w14:paraId="44702238" w14:textId="77777777" w:rsidTr="00067100">
        <w:tc>
          <w:tcPr>
            <w:tcW w:w="5069" w:type="dxa"/>
          </w:tcPr>
          <w:p w14:paraId="768A2085"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Декларирование цен</w:t>
            </w:r>
          </w:p>
        </w:tc>
        <w:tc>
          <w:tcPr>
            <w:tcW w:w="5069" w:type="dxa"/>
          </w:tcPr>
          <w:p w14:paraId="2C0E877A"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Денежно-кредитная политика</w:t>
            </w:r>
          </w:p>
        </w:tc>
      </w:tr>
      <w:tr w:rsidR="00877DE5" w:rsidRPr="009472DE" w14:paraId="12EB67CD" w14:textId="77777777" w:rsidTr="00067100">
        <w:tc>
          <w:tcPr>
            <w:tcW w:w="5069" w:type="dxa"/>
          </w:tcPr>
          <w:p w14:paraId="1CDDA273"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предельных снабженческо-сбытовых и торговых наценок</w:t>
            </w:r>
          </w:p>
        </w:tc>
        <w:tc>
          <w:tcPr>
            <w:tcW w:w="5069" w:type="dxa"/>
          </w:tcPr>
          <w:p w14:paraId="7DADE306"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Регулирование государственных расходов</w:t>
            </w:r>
          </w:p>
        </w:tc>
      </w:tr>
      <w:tr w:rsidR="00877DE5" w:rsidRPr="009472DE" w14:paraId="4C7CFEA1" w14:textId="77777777" w:rsidTr="00067100">
        <w:tc>
          <w:tcPr>
            <w:tcW w:w="5069" w:type="dxa"/>
          </w:tcPr>
          <w:p w14:paraId="6BF9D872"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рекомендательных цен</w:t>
            </w:r>
          </w:p>
        </w:tc>
        <w:tc>
          <w:tcPr>
            <w:tcW w:w="5069" w:type="dxa"/>
          </w:tcPr>
          <w:p w14:paraId="6AF1775C"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норм амортизации</w:t>
            </w:r>
          </w:p>
        </w:tc>
      </w:tr>
      <w:tr w:rsidR="00877DE5" w:rsidRPr="009472DE" w14:paraId="3688AC8C" w14:textId="77777777" w:rsidTr="00067100">
        <w:tc>
          <w:tcPr>
            <w:tcW w:w="5069" w:type="dxa"/>
          </w:tcPr>
          <w:p w14:paraId="72414A37" w14:textId="77777777" w:rsidR="00877DE5" w:rsidRPr="009472DE" w:rsidRDefault="00877DE5" w:rsidP="00D01EB8">
            <w:pPr>
              <w:jc w:val="both"/>
              <w:rPr>
                <w:rFonts w:ascii="Times New Roman" w:hAnsi="Times New Roman" w:cs="Times New Roman"/>
                <w:sz w:val="32"/>
                <w:szCs w:val="32"/>
              </w:rPr>
            </w:pPr>
            <w:r w:rsidRPr="009472DE">
              <w:rPr>
                <w:rFonts w:ascii="Times New Roman" w:hAnsi="Times New Roman" w:cs="Times New Roman"/>
                <w:sz w:val="32"/>
                <w:szCs w:val="32"/>
              </w:rPr>
              <w:t>Установление паритетных цен</w:t>
            </w:r>
          </w:p>
        </w:tc>
        <w:tc>
          <w:tcPr>
            <w:tcW w:w="5069" w:type="dxa"/>
          </w:tcPr>
          <w:p w14:paraId="4DC9171E" w14:textId="77777777" w:rsidR="00877DE5" w:rsidRPr="009472DE" w:rsidRDefault="00877DE5" w:rsidP="00D01EB8">
            <w:pPr>
              <w:jc w:val="both"/>
              <w:rPr>
                <w:rFonts w:ascii="Times New Roman" w:hAnsi="Times New Roman" w:cs="Times New Roman"/>
                <w:sz w:val="32"/>
                <w:szCs w:val="32"/>
              </w:rPr>
            </w:pPr>
          </w:p>
        </w:tc>
      </w:tr>
    </w:tbl>
    <w:p w14:paraId="345037C0" w14:textId="77777777" w:rsidR="00877DE5" w:rsidRPr="009472DE" w:rsidRDefault="00877DE5" w:rsidP="00D01EB8">
      <w:pPr>
        <w:spacing w:after="0" w:line="240" w:lineRule="auto"/>
        <w:jc w:val="both"/>
        <w:rPr>
          <w:rFonts w:ascii="Times New Roman" w:hAnsi="Times New Roman" w:cs="Times New Roman"/>
          <w:sz w:val="32"/>
          <w:szCs w:val="32"/>
        </w:rPr>
      </w:pPr>
    </w:p>
    <w:p w14:paraId="04777FC5"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lastRenderedPageBreak/>
        <w:t xml:space="preserve">В Российской Федерации, администрации субъектов самостоятельно в пределах своих полномочий определяют методы и направления проведения политики ценообразования в подвластных субъектах хозяйственной деятельности. </w:t>
      </w:r>
    </w:p>
    <w:p w14:paraId="776D52D3"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Анализ динамики ценообразования в российской экономике проводится Федеральной службой государственной статистики за определённый промежуток времени с помощью определённых индикаторов. Одним из них является индекс потребительских цен (ИПЦ), характеризующий уровень цен на определённый набор услуг, продовольственных и непродовольственных товаров. С помощью ИПЦ проводится определение уровня инфляции в стране. Если уровень цен на товары и услуги повышается, то это свидетельствует о росте инфляции. И наоборот, при снижении цен можно говорить о дефляции. В настоящее время нормальным, целевым уровнем инфляции является 4%.</w:t>
      </w:r>
    </w:p>
    <w:p w14:paraId="380F5393"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Помимо инфляции, существуют и другие факторы, влияющие на процесс ценообразования. Некоторые из них представлены на рисунке 3.</w:t>
      </w:r>
    </w:p>
    <w:p w14:paraId="3F061009" w14:textId="77777777" w:rsidR="00877DE5" w:rsidRPr="009472DE" w:rsidRDefault="00877DE5" w:rsidP="00067100">
      <w:pPr>
        <w:spacing w:after="0" w:line="240" w:lineRule="auto"/>
        <w:ind w:firstLine="709"/>
        <w:jc w:val="both"/>
        <w:rPr>
          <w:rFonts w:ascii="Times New Roman" w:hAnsi="Times New Roman" w:cs="Times New Roman"/>
          <w:sz w:val="32"/>
          <w:szCs w:val="32"/>
        </w:rPr>
      </w:pPr>
    </w:p>
    <w:p w14:paraId="66A1F6BE" w14:textId="77777777" w:rsidR="00877DE5" w:rsidRDefault="00877DE5" w:rsidP="00067100">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noProof/>
          <w:sz w:val="32"/>
          <w:szCs w:val="32"/>
          <w:lang w:eastAsia="ru-RU"/>
        </w:rPr>
        <w:drawing>
          <wp:inline distT="0" distB="0" distL="0" distR="0" wp14:anchorId="5693FC87" wp14:editId="064B9B31">
            <wp:extent cx="4174435" cy="308703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srcRect l="1867" t="3604" r="1018" b="1048"/>
                    <a:stretch/>
                  </pic:blipFill>
                  <pic:spPr bwMode="auto">
                    <a:xfrm>
                      <a:off x="0" y="0"/>
                      <a:ext cx="4186145" cy="3095699"/>
                    </a:xfrm>
                    <a:prstGeom prst="rect">
                      <a:avLst/>
                    </a:prstGeom>
                    <a:ln>
                      <a:noFill/>
                    </a:ln>
                    <a:extLst>
                      <a:ext uri="{53640926-AAD7-44D8-BBD7-CCE9431645EC}">
                        <a14:shadowObscured xmlns:a14="http://schemas.microsoft.com/office/drawing/2010/main"/>
                      </a:ext>
                    </a:extLst>
                  </pic:spPr>
                </pic:pic>
              </a:graphicData>
            </a:graphic>
          </wp:inline>
        </w:drawing>
      </w:r>
    </w:p>
    <w:p w14:paraId="6E83D02E" w14:textId="77777777" w:rsidR="00877DE5" w:rsidRDefault="00877DE5" w:rsidP="00D01EB8">
      <w:pPr>
        <w:spacing w:after="0" w:line="240" w:lineRule="auto"/>
        <w:ind w:firstLine="709"/>
        <w:jc w:val="center"/>
        <w:rPr>
          <w:rFonts w:ascii="Times New Roman" w:hAnsi="Times New Roman" w:cs="Times New Roman"/>
          <w:sz w:val="32"/>
          <w:szCs w:val="32"/>
        </w:rPr>
      </w:pPr>
      <w:r w:rsidRPr="009472DE">
        <w:rPr>
          <w:rFonts w:ascii="Times New Roman" w:hAnsi="Times New Roman" w:cs="Times New Roman"/>
          <w:sz w:val="32"/>
          <w:szCs w:val="32"/>
        </w:rPr>
        <w:t>Рисунок 3 – Факторы внешней среды, влия</w:t>
      </w:r>
      <w:r>
        <w:rPr>
          <w:rFonts w:ascii="Times New Roman" w:hAnsi="Times New Roman" w:cs="Times New Roman"/>
          <w:sz w:val="32"/>
          <w:szCs w:val="32"/>
        </w:rPr>
        <w:t>ющие на процесс ценообразования</w:t>
      </w:r>
    </w:p>
    <w:p w14:paraId="51D669E6" w14:textId="77777777" w:rsidR="00D01EB8" w:rsidRPr="009472DE" w:rsidRDefault="00D01EB8" w:rsidP="00D01EB8">
      <w:pPr>
        <w:spacing w:after="0" w:line="240" w:lineRule="auto"/>
        <w:ind w:firstLine="709"/>
        <w:jc w:val="center"/>
        <w:rPr>
          <w:rFonts w:ascii="Times New Roman" w:hAnsi="Times New Roman" w:cs="Times New Roman"/>
          <w:sz w:val="32"/>
          <w:szCs w:val="32"/>
        </w:rPr>
      </w:pPr>
    </w:p>
    <w:p w14:paraId="29A979B1" w14:textId="77777777" w:rsidR="00877DE5" w:rsidRPr="009472DE" w:rsidRDefault="00877DE5" w:rsidP="00B41576">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 xml:space="preserve">Из ранее представленной информации мы видим, что на динамику цен и тарифов в рыночной экономике влияет большой набор факторов, таких как состояние мировой экономики, внутренняя и внешняя политика государства, конкурентная среда на рынке, </w:t>
      </w:r>
      <w:r w:rsidRPr="009472DE">
        <w:rPr>
          <w:rFonts w:ascii="Times New Roman" w:hAnsi="Times New Roman" w:cs="Times New Roman"/>
          <w:sz w:val="32"/>
          <w:szCs w:val="32"/>
        </w:rPr>
        <w:lastRenderedPageBreak/>
        <w:t>изменения в спросе и предложении, социально-экономические тенденции и другие. Анализ динамики процесса установления цен и тарифов позволяет оценить состояние экономики и составить прогноз дальнейшего экономического развития, на основе которого будет возможно принимать соответствующие эконом</w:t>
      </w:r>
      <w:r w:rsidR="00D01EB8">
        <w:rPr>
          <w:rFonts w:ascii="Times New Roman" w:hAnsi="Times New Roman" w:cs="Times New Roman"/>
          <w:sz w:val="32"/>
          <w:szCs w:val="32"/>
        </w:rPr>
        <w:t>ические и политические решения.</w:t>
      </w:r>
    </w:p>
    <w:p w14:paraId="65AE4CAC" w14:textId="77777777" w:rsidR="00877DE5" w:rsidRPr="009472DE" w:rsidRDefault="00877DE5" w:rsidP="00D01EB8">
      <w:pPr>
        <w:spacing w:after="0" w:line="240" w:lineRule="auto"/>
        <w:ind w:firstLine="709"/>
        <w:jc w:val="center"/>
        <w:rPr>
          <w:rFonts w:ascii="Times New Roman" w:hAnsi="Times New Roman" w:cs="Times New Roman"/>
          <w:b/>
          <w:bCs/>
          <w:sz w:val="21"/>
          <w:szCs w:val="21"/>
        </w:rPr>
      </w:pPr>
      <w:r w:rsidRPr="009472DE">
        <w:rPr>
          <w:rFonts w:ascii="Times New Roman" w:hAnsi="Times New Roman" w:cs="Times New Roman"/>
          <w:b/>
          <w:bCs/>
          <w:sz w:val="21"/>
          <w:szCs w:val="21"/>
        </w:rPr>
        <w:t>Литература:</w:t>
      </w:r>
    </w:p>
    <w:p w14:paraId="6AC0465D" w14:textId="77777777" w:rsidR="00877DE5" w:rsidRPr="00B41576" w:rsidRDefault="00877DE5" w:rsidP="00AD58CD">
      <w:pPr>
        <w:pStyle w:val="a8"/>
        <w:numPr>
          <w:ilvl w:val="0"/>
          <w:numId w:val="9"/>
        </w:numPr>
        <w:tabs>
          <w:tab w:val="left" w:pos="284"/>
        </w:tabs>
        <w:spacing w:after="0" w:line="240" w:lineRule="auto"/>
        <w:ind w:left="0" w:firstLine="0"/>
        <w:jc w:val="both"/>
        <w:rPr>
          <w:rFonts w:ascii="Times New Roman" w:hAnsi="Times New Roman" w:cs="Times New Roman"/>
          <w:sz w:val="21"/>
          <w:szCs w:val="21"/>
        </w:rPr>
      </w:pPr>
      <w:r w:rsidRPr="00B41576">
        <w:rPr>
          <w:rFonts w:ascii="Times New Roman" w:hAnsi="Times New Roman" w:cs="Times New Roman"/>
          <w:sz w:val="21"/>
          <w:szCs w:val="21"/>
        </w:rPr>
        <w:t>Доктрина продовольственной безопасности Российской Федерации (Утверждена Указом Президента Российской Федерации от 21 января 2020 года № 20)</w:t>
      </w:r>
    </w:p>
    <w:p w14:paraId="6D583C7E" w14:textId="77777777" w:rsidR="00877DE5" w:rsidRPr="00B41576" w:rsidRDefault="00877DE5" w:rsidP="00AD58CD">
      <w:pPr>
        <w:pStyle w:val="a8"/>
        <w:numPr>
          <w:ilvl w:val="0"/>
          <w:numId w:val="9"/>
        </w:numPr>
        <w:tabs>
          <w:tab w:val="left" w:pos="284"/>
        </w:tabs>
        <w:spacing w:after="0" w:line="240" w:lineRule="auto"/>
        <w:ind w:left="0" w:firstLine="0"/>
        <w:jc w:val="both"/>
        <w:rPr>
          <w:rFonts w:ascii="Times New Roman" w:hAnsi="Times New Roman" w:cs="Times New Roman"/>
          <w:sz w:val="21"/>
          <w:szCs w:val="21"/>
        </w:rPr>
      </w:pPr>
      <w:r w:rsidRPr="00B41576">
        <w:rPr>
          <w:rFonts w:ascii="Times New Roman" w:hAnsi="Times New Roman" w:cs="Times New Roman"/>
          <w:sz w:val="21"/>
          <w:szCs w:val="21"/>
        </w:rPr>
        <w:t>Сайт Центрального банка Российской Федерации. Режим доступа: https://www.cbr.ru</w:t>
      </w:r>
    </w:p>
    <w:p w14:paraId="6D159E63" w14:textId="77777777" w:rsidR="00877DE5" w:rsidRPr="00B41576" w:rsidRDefault="00877DE5" w:rsidP="00AD58CD">
      <w:pPr>
        <w:pStyle w:val="a8"/>
        <w:numPr>
          <w:ilvl w:val="0"/>
          <w:numId w:val="9"/>
        </w:numPr>
        <w:tabs>
          <w:tab w:val="left" w:pos="284"/>
        </w:tabs>
        <w:spacing w:after="0" w:line="240" w:lineRule="auto"/>
        <w:ind w:left="0" w:firstLine="0"/>
        <w:jc w:val="both"/>
        <w:rPr>
          <w:rFonts w:ascii="Times New Roman" w:hAnsi="Times New Roman" w:cs="Times New Roman"/>
          <w:sz w:val="21"/>
          <w:szCs w:val="21"/>
        </w:rPr>
      </w:pPr>
      <w:r w:rsidRPr="00B41576">
        <w:rPr>
          <w:rFonts w:ascii="Times New Roman" w:hAnsi="Times New Roman" w:cs="Times New Roman"/>
          <w:sz w:val="21"/>
          <w:szCs w:val="21"/>
        </w:rPr>
        <w:t>Сайт федеральной службы государственной статистики Российской Федерации. Режим доступа: https://rosstat.gov.ru</w:t>
      </w:r>
    </w:p>
    <w:p w14:paraId="716A3C77" w14:textId="77777777" w:rsidR="00877DE5" w:rsidRPr="00B41576" w:rsidRDefault="00877DE5" w:rsidP="00AD58CD">
      <w:pPr>
        <w:pStyle w:val="a8"/>
        <w:numPr>
          <w:ilvl w:val="0"/>
          <w:numId w:val="9"/>
        </w:numPr>
        <w:tabs>
          <w:tab w:val="left" w:pos="284"/>
        </w:tabs>
        <w:spacing w:after="0" w:line="240" w:lineRule="auto"/>
        <w:ind w:left="0" w:firstLine="0"/>
        <w:jc w:val="both"/>
        <w:rPr>
          <w:rFonts w:ascii="Times New Roman" w:hAnsi="Times New Roman" w:cs="Times New Roman"/>
          <w:sz w:val="21"/>
          <w:szCs w:val="21"/>
        </w:rPr>
      </w:pPr>
      <w:r w:rsidRPr="00B41576">
        <w:rPr>
          <w:rFonts w:ascii="Times New Roman" w:hAnsi="Times New Roman" w:cs="Times New Roman"/>
          <w:sz w:val="21"/>
          <w:szCs w:val="21"/>
        </w:rPr>
        <w:t xml:space="preserve">Сайт «Консультант Плюс» Режим доступа: </w:t>
      </w:r>
      <w:hyperlink r:id="rId130" w:history="1">
        <w:r w:rsidRPr="00B41576">
          <w:rPr>
            <w:rStyle w:val="aa"/>
            <w:rFonts w:ascii="Times New Roman" w:hAnsi="Times New Roman" w:cs="Times New Roman"/>
            <w:color w:val="auto"/>
            <w:sz w:val="21"/>
            <w:szCs w:val="21"/>
            <w:u w:val="none"/>
          </w:rPr>
          <w:t>https://www.consultant.ru</w:t>
        </w:r>
      </w:hyperlink>
    </w:p>
    <w:p w14:paraId="139E8EDB" w14:textId="52E3AD7D" w:rsidR="00877DE5" w:rsidRDefault="00877DE5" w:rsidP="00067100">
      <w:pPr>
        <w:spacing w:after="0" w:line="240" w:lineRule="auto"/>
        <w:ind w:firstLine="709"/>
        <w:jc w:val="both"/>
        <w:rPr>
          <w:rFonts w:ascii="Times New Roman" w:hAnsi="Times New Roman" w:cs="Times New Roman"/>
          <w:sz w:val="21"/>
          <w:szCs w:val="21"/>
        </w:rPr>
      </w:pPr>
    </w:p>
    <w:p w14:paraId="03837A04" w14:textId="77777777" w:rsidR="00B41576" w:rsidRDefault="00B41576" w:rsidP="00067100">
      <w:pPr>
        <w:spacing w:after="0" w:line="240" w:lineRule="auto"/>
        <w:ind w:firstLine="709"/>
        <w:jc w:val="both"/>
        <w:rPr>
          <w:rFonts w:ascii="Times New Roman" w:hAnsi="Times New Roman" w:cs="Times New Roman"/>
          <w:sz w:val="21"/>
          <w:szCs w:val="21"/>
        </w:rPr>
      </w:pPr>
    </w:p>
    <w:p w14:paraId="44DB1125" w14:textId="77777777" w:rsidR="00877DE5" w:rsidRPr="00B41576" w:rsidRDefault="00877DE5" w:rsidP="00D01EB8">
      <w:pPr>
        <w:spacing w:after="0" w:line="240" w:lineRule="auto"/>
        <w:jc w:val="both"/>
        <w:rPr>
          <w:rFonts w:ascii="Times New Roman" w:hAnsi="Times New Roman" w:cs="Times New Roman"/>
          <w:b/>
          <w:sz w:val="21"/>
          <w:szCs w:val="21"/>
        </w:rPr>
      </w:pPr>
      <w:r w:rsidRPr="00B41576">
        <w:rPr>
          <w:rFonts w:ascii="Times New Roman" w:hAnsi="Times New Roman" w:cs="Times New Roman"/>
          <w:b/>
          <w:sz w:val="21"/>
          <w:szCs w:val="21"/>
        </w:rPr>
        <w:t>УДК</w:t>
      </w:r>
      <w:r w:rsidRPr="00B41576">
        <w:rPr>
          <w:b/>
        </w:rPr>
        <w:t xml:space="preserve"> </w:t>
      </w:r>
      <w:r w:rsidRPr="00B41576">
        <w:rPr>
          <w:rFonts w:ascii="Times New Roman" w:hAnsi="Times New Roman" w:cs="Times New Roman"/>
          <w:b/>
          <w:sz w:val="21"/>
          <w:szCs w:val="21"/>
        </w:rPr>
        <w:t>338.532</w:t>
      </w:r>
    </w:p>
    <w:p w14:paraId="232D8B04" w14:textId="77777777" w:rsidR="00877DE5" w:rsidRPr="00B41576" w:rsidRDefault="00877DE5" w:rsidP="00067100">
      <w:pPr>
        <w:pStyle w:val="12"/>
        <w:spacing w:before="0" w:after="0"/>
        <w:ind w:firstLine="709"/>
        <w:jc w:val="right"/>
        <w:rPr>
          <w:rFonts w:ascii="Times New Roman" w:hAnsi="Times New Roman"/>
          <w:i/>
          <w:sz w:val="21"/>
          <w:szCs w:val="21"/>
          <w:lang w:val="ru-RU"/>
        </w:rPr>
      </w:pPr>
      <w:r w:rsidRPr="00B41576">
        <w:rPr>
          <w:rFonts w:ascii="Times New Roman" w:hAnsi="Times New Roman"/>
          <w:b/>
          <w:i/>
          <w:sz w:val="20"/>
          <w:szCs w:val="21"/>
          <w:lang w:val="ru-RU"/>
        </w:rPr>
        <w:t>Чернушкина А.К.</w:t>
      </w:r>
      <w:r w:rsidRPr="00B41576">
        <w:rPr>
          <w:rFonts w:ascii="Times New Roman" w:hAnsi="Times New Roman"/>
          <w:b/>
          <w:i/>
          <w:sz w:val="21"/>
          <w:szCs w:val="21"/>
          <w:lang w:val="ru-RU"/>
        </w:rPr>
        <w:t xml:space="preserve">, </w:t>
      </w:r>
    </w:p>
    <w:p w14:paraId="253AD260" w14:textId="77777777" w:rsidR="00877DE5" w:rsidRPr="00B41576" w:rsidRDefault="00877DE5" w:rsidP="00067100">
      <w:pPr>
        <w:pStyle w:val="12"/>
        <w:spacing w:before="0" w:after="0"/>
        <w:ind w:firstLine="709"/>
        <w:jc w:val="right"/>
        <w:rPr>
          <w:rFonts w:ascii="Times New Roman" w:hAnsi="Times New Roman"/>
          <w:i/>
          <w:sz w:val="21"/>
          <w:szCs w:val="21"/>
          <w:lang w:val="ru-RU"/>
        </w:rPr>
      </w:pPr>
      <w:r w:rsidRPr="00B41576">
        <w:rPr>
          <w:rFonts w:ascii="Times New Roman" w:hAnsi="Times New Roman"/>
          <w:i/>
          <w:sz w:val="21"/>
          <w:szCs w:val="21"/>
          <w:lang w:val="ru-RU"/>
        </w:rPr>
        <w:t>студент 1 курса</w:t>
      </w:r>
    </w:p>
    <w:p w14:paraId="5CA57002" w14:textId="77777777" w:rsidR="00877DE5" w:rsidRPr="00B41576" w:rsidRDefault="00877DE5" w:rsidP="00067100">
      <w:pPr>
        <w:pStyle w:val="12"/>
        <w:spacing w:before="0" w:after="0"/>
        <w:ind w:firstLine="709"/>
        <w:jc w:val="right"/>
        <w:rPr>
          <w:rFonts w:ascii="Times New Roman" w:hAnsi="Times New Roman"/>
          <w:i/>
          <w:iCs/>
          <w:sz w:val="21"/>
          <w:szCs w:val="21"/>
          <w:lang w:val="ru-RU"/>
        </w:rPr>
      </w:pPr>
      <w:r w:rsidRPr="00B41576">
        <w:rPr>
          <w:rFonts w:ascii="Times New Roman" w:hAnsi="Times New Roman"/>
          <w:i/>
          <w:iCs/>
          <w:sz w:val="21"/>
          <w:szCs w:val="21"/>
          <w:lang w:val="ru-RU"/>
        </w:rPr>
        <w:t xml:space="preserve">Краснодарский филиал ФГБОУ ВО Финансового университета при Правительстве РФ </w:t>
      </w:r>
    </w:p>
    <w:p w14:paraId="51C6F356" w14:textId="77777777" w:rsidR="00877DE5" w:rsidRPr="00B41576" w:rsidRDefault="00877DE5" w:rsidP="00067100">
      <w:pPr>
        <w:pStyle w:val="12"/>
        <w:spacing w:before="0" w:after="0"/>
        <w:ind w:firstLine="709"/>
        <w:jc w:val="right"/>
        <w:rPr>
          <w:rFonts w:ascii="Times New Roman" w:hAnsi="Times New Roman"/>
          <w:i/>
          <w:sz w:val="21"/>
          <w:szCs w:val="21"/>
          <w:lang w:val="ru-RU"/>
        </w:rPr>
      </w:pPr>
      <w:r w:rsidRPr="00B41576">
        <w:rPr>
          <w:rFonts w:ascii="Times New Roman" w:hAnsi="Times New Roman"/>
          <w:i/>
          <w:sz w:val="21"/>
          <w:szCs w:val="21"/>
          <w:lang w:val="ru-RU"/>
        </w:rPr>
        <w:t>г. Краснодар, Россия</w:t>
      </w:r>
    </w:p>
    <w:p w14:paraId="587218AF" w14:textId="77777777" w:rsidR="00877DE5" w:rsidRPr="00B41576" w:rsidRDefault="00877DE5" w:rsidP="00067100">
      <w:pPr>
        <w:spacing w:after="0" w:line="240" w:lineRule="auto"/>
        <w:ind w:firstLine="709"/>
        <w:jc w:val="right"/>
        <w:rPr>
          <w:rFonts w:ascii="Times New Roman" w:hAnsi="Times New Roman" w:cs="Times New Roman"/>
          <w:i/>
          <w:sz w:val="21"/>
          <w:szCs w:val="21"/>
        </w:rPr>
      </w:pPr>
      <w:r w:rsidRPr="00B41576">
        <w:rPr>
          <w:rFonts w:ascii="Times New Roman" w:hAnsi="Times New Roman" w:cs="Times New Roman"/>
          <w:i/>
          <w:sz w:val="21"/>
          <w:szCs w:val="21"/>
        </w:rPr>
        <w:t>е-</w:t>
      </w:r>
      <w:r w:rsidRPr="00B41576">
        <w:rPr>
          <w:rFonts w:ascii="Times New Roman" w:hAnsi="Times New Roman" w:cs="Times New Roman"/>
          <w:i/>
          <w:sz w:val="21"/>
          <w:szCs w:val="21"/>
          <w:lang w:val="en-US"/>
        </w:rPr>
        <w:t>mail</w:t>
      </w:r>
      <w:r w:rsidRPr="00B41576">
        <w:rPr>
          <w:rFonts w:ascii="Times New Roman" w:hAnsi="Times New Roman" w:cs="Times New Roman"/>
          <w:i/>
          <w:sz w:val="21"/>
          <w:szCs w:val="21"/>
        </w:rPr>
        <w:t xml:space="preserve">: </w:t>
      </w:r>
      <w:hyperlink r:id="rId131" w:history="1">
        <w:r w:rsidRPr="00B41576">
          <w:rPr>
            <w:rStyle w:val="aa"/>
            <w:rFonts w:ascii="Times New Roman" w:hAnsi="Times New Roman" w:cs="Times New Roman"/>
            <w:i/>
            <w:color w:val="auto"/>
            <w:sz w:val="21"/>
            <w:szCs w:val="21"/>
            <w:u w:val="none"/>
            <w:lang w:val="en-US"/>
          </w:rPr>
          <w:t>angel</w:t>
        </w:r>
        <w:r w:rsidRPr="00B41576">
          <w:rPr>
            <w:rStyle w:val="aa"/>
            <w:rFonts w:ascii="Times New Roman" w:hAnsi="Times New Roman" w:cs="Times New Roman"/>
            <w:i/>
            <w:color w:val="auto"/>
            <w:sz w:val="21"/>
            <w:szCs w:val="21"/>
            <w:u w:val="none"/>
          </w:rPr>
          <w:t>.</w:t>
        </w:r>
        <w:r w:rsidRPr="00B41576">
          <w:rPr>
            <w:rStyle w:val="aa"/>
            <w:rFonts w:ascii="Times New Roman" w:hAnsi="Times New Roman" w:cs="Times New Roman"/>
            <w:i/>
            <w:color w:val="auto"/>
            <w:sz w:val="21"/>
            <w:szCs w:val="21"/>
            <w:u w:val="none"/>
            <w:lang w:val="en-US"/>
          </w:rPr>
          <w:t>tchernushkina</w:t>
        </w:r>
        <w:r w:rsidRPr="00B41576">
          <w:rPr>
            <w:rStyle w:val="aa"/>
            <w:rFonts w:ascii="Times New Roman" w:hAnsi="Times New Roman" w:cs="Times New Roman"/>
            <w:i/>
            <w:color w:val="auto"/>
            <w:sz w:val="21"/>
            <w:szCs w:val="21"/>
            <w:u w:val="none"/>
          </w:rPr>
          <w:t>@</w:t>
        </w:r>
        <w:r w:rsidRPr="00B41576">
          <w:rPr>
            <w:rStyle w:val="aa"/>
            <w:rFonts w:ascii="Times New Roman" w:hAnsi="Times New Roman" w:cs="Times New Roman"/>
            <w:i/>
            <w:color w:val="auto"/>
            <w:sz w:val="21"/>
            <w:szCs w:val="21"/>
            <w:u w:val="none"/>
            <w:lang w:val="en-US"/>
          </w:rPr>
          <w:t>yandex</w:t>
        </w:r>
        <w:r w:rsidRPr="00B41576">
          <w:rPr>
            <w:rStyle w:val="aa"/>
            <w:rFonts w:ascii="Times New Roman" w:hAnsi="Times New Roman" w:cs="Times New Roman"/>
            <w:i/>
            <w:color w:val="auto"/>
            <w:sz w:val="21"/>
            <w:szCs w:val="21"/>
            <w:u w:val="none"/>
          </w:rPr>
          <w:t>.</w:t>
        </w:r>
        <w:r w:rsidRPr="00B41576">
          <w:rPr>
            <w:rStyle w:val="aa"/>
            <w:rFonts w:ascii="Times New Roman" w:hAnsi="Times New Roman" w:cs="Times New Roman"/>
            <w:i/>
            <w:color w:val="auto"/>
            <w:sz w:val="21"/>
            <w:szCs w:val="21"/>
            <w:u w:val="none"/>
            <w:lang w:val="en-US"/>
          </w:rPr>
          <w:t>ru</w:t>
        </w:r>
      </w:hyperlink>
      <w:r w:rsidRPr="00B41576">
        <w:rPr>
          <w:rFonts w:ascii="Times New Roman" w:hAnsi="Times New Roman" w:cs="Times New Roman"/>
          <w:i/>
          <w:sz w:val="21"/>
          <w:szCs w:val="21"/>
        </w:rPr>
        <w:t xml:space="preserve"> </w:t>
      </w:r>
    </w:p>
    <w:p w14:paraId="2C29E7BD" w14:textId="77777777" w:rsidR="00877DE5" w:rsidRPr="00B41576" w:rsidRDefault="00877DE5" w:rsidP="00067100">
      <w:pPr>
        <w:spacing w:after="0" w:line="240" w:lineRule="auto"/>
        <w:ind w:firstLine="709"/>
        <w:jc w:val="right"/>
        <w:rPr>
          <w:rFonts w:ascii="Times New Roman" w:hAnsi="Times New Roman" w:cs="Times New Roman"/>
          <w:i/>
          <w:sz w:val="21"/>
          <w:szCs w:val="21"/>
        </w:rPr>
      </w:pPr>
    </w:p>
    <w:p w14:paraId="5EAC024B" w14:textId="77777777" w:rsidR="00877DE5" w:rsidRPr="00B41576" w:rsidRDefault="00877DE5" w:rsidP="00067100">
      <w:pPr>
        <w:spacing w:after="0" w:line="240" w:lineRule="auto"/>
        <w:ind w:firstLine="709"/>
        <w:jc w:val="right"/>
        <w:rPr>
          <w:rFonts w:ascii="Times New Roman" w:hAnsi="Times New Roman" w:cs="Times New Roman"/>
          <w:b/>
          <w:i/>
          <w:sz w:val="21"/>
          <w:szCs w:val="21"/>
        </w:rPr>
      </w:pPr>
      <w:r w:rsidRPr="00B41576">
        <w:rPr>
          <w:rFonts w:ascii="Times New Roman" w:hAnsi="Times New Roman" w:cs="Times New Roman"/>
          <w:b/>
          <w:i/>
          <w:sz w:val="21"/>
          <w:szCs w:val="21"/>
        </w:rPr>
        <w:t>Научный руководитель:</w:t>
      </w:r>
    </w:p>
    <w:p w14:paraId="07E0DFC6" w14:textId="77777777" w:rsidR="00877DE5" w:rsidRPr="00B41576" w:rsidRDefault="00877DE5" w:rsidP="00067100">
      <w:pPr>
        <w:spacing w:after="0" w:line="240" w:lineRule="auto"/>
        <w:ind w:firstLine="709"/>
        <w:jc w:val="right"/>
        <w:rPr>
          <w:rFonts w:ascii="Times New Roman" w:hAnsi="Times New Roman" w:cs="Times New Roman"/>
          <w:b/>
          <w:i/>
          <w:sz w:val="21"/>
          <w:szCs w:val="21"/>
        </w:rPr>
      </w:pPr>
      <w:r w:rsidRPr="00B41576">
        <w:rPr>
          <w:rFonts w:ascii="Times New Roman" w:hAnsi="Times New Roman" w:cs="Times New Roman"/>
          <w:b/>
          <w:i/>
          <w:sz w:val="21"/>
          <w:szCs w:val="21"/>
        </w:rPr>
        <w:t>Берлин С.И.,</w:t>
      </w:r>
    </w:p>
    <w:p w14:paraId="58F57151" w14:textId="77777777" w:rsidR="00877DE5" w:rsidRPr="00B41576" w:rsidRDefault="00877DE5" w:rsidP="00067100">
      <w:pPr>
        <w:spacing w:after="0" w:line="240" w:lineRule="auto"/>
        <w:ind w:firstLine="709"/>
        <w:jc w:val="right"/>
        <w:rPr>
          <w:rFonts w:ascii="Times New Roman" w:hAnsi="Times New Roman" w:cs="Times New Roman"/>
          <w:i/>
          <w:sz w:val="21"/>
          <w:szCs w:val="21"/>
        </w:rPr>
      </w:pPr>
      <w:r w:rsidRPr="00B41576">
        <w:rPr>
          <w:rFonts w:ascii="Times New Roman" w:hAnsi="Times New Roman" w:cs="Times New Roman"/>
          <w:b/>
          <w:i/>
          <w:sz w:val="21"/>
          <w:szCs w:val="21"/>
        </w:rPr>
        <w:t xml:space="preserve"> </w:t>
      </w:r>
      <w:r w:rsidRPr="00B41576">
        <w:rPr>
          <w:rFonts w:ascii="Times New Roman" w:hAnsi="Times New Roman" w:cs="Times New Roman"/>
          <w:i/>
          <w:sz w:val="21"/>
          <w:szCs w:val="21"/>
        </w:rPr>
        <w:t>профессор, д.э.н.</w:t>
      </w:r>
    </w:p>
    <w:p w14:paraId="5B0907B7" w14:textId="77777777" w:rsidR="00877DE5" w:rsidRPr="00B41576" w:rsidRDefault="00877DE5" w:rsidP="00067100">
      <w:pPr>
        <w:pStyle w:val="12"/>
        <w:spacing w:before="0" w:after="0"/>
        <w:ind w:firstLine="709"/>
        <w:jc w:val="right"/>
        <w:rPr>
          <w:rFonts w:ascii="Times New Roman" w:hAnsi="Times New Roman"/>
          <w:i/>
          <w:iCs/>
          <w:sz w:val="21"/>
          <w:szCs w:val="21"/>
          <w:lang w:val="ru-RU"/>
        </w:rPr>
      </w:pPr>
      <w:r w:rsidRPr="00B41576">
        <w:rPr>
          <w:rFonts w:ascii="Times New Roman" w:hAnsi="Times New Roman"/>
          <w:i/>
          <w:iCs/>
          <w:sz w:val="21"/>
          <w:szCs w:val="21"/>
          <w:lang w:val="ru-RU"/>
        </w:rPr>
        <w:t xml:space="preserve">Краснодарский филиал ФГБОУ ВО Финансового университета при Правительстве РФ </w:t>
      </w:r>
    </w:p>
    <w:p w14:paraId="0479E8C7" w14:textId="77777777" w:rsidR="00877DE5" w:rsidRPr="00B41576" w:rsidRDefault="00877DE5" w:rsidP="00067100">
      <w:pPr>
        <w:pStyle w:val="12"/>
        <w:spacing w:before="0" w:after="0"/>
        <w:ind w:firstLine="709"/>
        <w:jc w:val="right"/>
        <w:rPr>
          <w:rFonts w:ascii="Times New Roman" w:hAnsi="Times New Roman"/>
          <w:i/>
          <w:sz w:val="21"/>
          <w:szCs w:val="21"/>
          <w:lang w:val="ru-RU"/>
        </w:rPr>
      </w:pPr>
      <w:r w:rsidRPr="00B41576">
        <w:rPr>
          <w:rFonts w:ascii="Times New Roman" w:hAnsi="Times New Roman"/>
          <w:i/>
          <w:sz w:val="21"/>
          <w:szCs w:val="21"/>
          <w:lang w:val="ru-RU"/>
        </w:rPr>
        <w:t>г. Краснодар, Россия</w:t>
      </w:r>
    </w:p>
    <w:p w14:paraId="53E3BFFB" w14:textId="77777777" w:rsidR="00877DE5" w:rsidRPr="00B41576" w:rsidRDefault="00877DE5" w:rsidP="00067100">
      <w:pPr>
        <w:pStyle w:val="12"/>
        <w:spacing w:before="0" w:after="0"/>
        <w:ind w:firstLine="709"/>
        <w:jc w:val="right"/>
        <w:textAlignment w:val="baseline"/>
        <w:rPr>
          <w:rFonts w:ascii="Times New Roman" w:hAnsi="Times New Roman"/>
          <w:i/>
          <w:sz w:val="21"/>
          <w:szCs w:val="21"/>
          <w:lang w:val="ru-RU"/>
        </w:rPr>
      </w:pPr>
      <w:r w:rsidRPr="00B41576">
        <w:rPr>
          <w:rFonts w:ascii="Times New Roman" w:hAnsi="Times New Roman"/>
          <w:i/>
          <w:sz w:val="21"/>
          <w:szCs w:val="21"/>
          <w:lang w:val="ru-RU"/>
        </w:rPr>
        <w:t>е-</w:t>
      </w:r>
      <w:r w:rsidRPr="00B41576">
        <w:rPr>
          <w:rFonts w:ascii="Times New Roman" w:hAnsi="Times New Roman"/>
          <w:i/>
          <w:sz w:val="21"/>
          <w:szCs w:val="21"/>
        </w:rPr>
        <w:t>mail</w:t>
      </w:r>
      <w:r w:rsidRPr="00B41576">
        <w:rPr>
          <w:rFonts w:ascii="Times New Roman" w:hAnsi="Times New Roman"/>
          <w:i/>
          <w:sz w:val="21"/>
          <w:szCs w:val="21"/>
          <w:lang w:val="ru-RU"/>
        </w:rPr>
        <w:t>:</w:t>
      </w:r>
      <w:r w:rsidRPr="00B41576">
        <w:rPr>
          <w:rFonts w:ascii="Times New Roman" w:hAnsi="Times New Roman"/>
          <w:lang w:val="ru-RU"/>
        </w:rPr>
        <w:t xml:space="preserve"> </w:t>
      </w:r>
      <w:hyperlink r:id="rId132" w:history="1">
        <w:r w:rsidRPr="00B41576">
          <w:rPr>
            <w:rStyle w:val="aa"/>
            <w:rFonts w:ascii="Times New Roman" w:hAnsi="Times New Roman"/>
            <w:i/>
            <w:color w:val="auto"/>
            <w:sz w:val="21"/>
            <w:szCs w:val="21"/>
            <w:u w:val="none"/>
          </w:rPr>
          <w:t>siberlin</w:t>
        </w:r>
        <w:r w:rsidRPr="00B41576">
          <w:rPr>
            <w:rStyle w:val="aa"/>
            <w:rFonts w:ascii="Times New Roman" w:hAnsi="Times New Roman"/>
            <w:i/>
            <w:color w:val="auto"/>
            <w:sz w:val="21"/>
            <w:szCs w:val="21"/>
            <w:u w:val="none"/>
            <w:lang w:val="ru-RU"/>
          </w:rPr>
          <w:t>@</w:t>
        </w:r>
        <w:r w:rsidRPr="00B41576">
          <w:rPr>
            <w:rStyle w:val="aa"/>
            <w:rFonts w:ascii="Times New Roman" w:hAnsi="Times New Roman"/>
            <w:i/>
            <w:color w:val="auto"/>
            <w:sz w:val="21"/>
            <w:szCs w:val="21"/>
            <w:u w:val="none"/>
          </w:rPr>
          <w:t>fa</w:t>
        </w:r>
        <w:r w:rsidRPr="00B41576">
          <w:rPr>
            <w:rStyle w:val="aa"/>
            <w:rFonts w:ascii="Times New Roman" w:hAnsi="Times New Roman"/>
            <w:i/>
            <w:color w:val="auto"/>
            <w:sz w:val="21"/>
            <w:szCs w:val="21"/>
            <w:u w:val="none"/>
            <w:lang w:val="ru-RU"/>
          </w:rPr>
          <w:t>.</w:t>
        </w:r>
        <w:r w:rsidRPr="00B41576">
          <w:rPr>
            <w:rStyle w:val="aa"/>
            <w:rFonts w:ascii="Times New Roman" w:hAnsi="Times New Roman"/>
            <w:i/>
            <w:color w:val="auto"/>
            <w:sz w:val="21"/>
            <w:szCs w:val="21"/>
            <w:u w:val="none"/>
          </w:rPr>
          <w:t>ru</w:t>
        </w:r>
      </w:hyperlink>
      <w:r w:rsidRPr="00B41576">
        <w:rPr>
          <w:rFonts w:ascii="Times New Roman" w:hAnsi="Times New Roman"/>
          <w:i/>
          <w:sz w:val="21"/>
          <w:szCs w:val="21"/>
          <w:lang w:val="ru-RU"/>
        </w:rPr>
        <w:t xml:space="preserve"> </w:t>
      </w:r>
    </w:p>
    <w:p w14:paraId="6348E808" w14:textId="77777777" w:rsidR="00877DE5" w:rsidRPr="00B41576" w:rsidRDefault="00877DE5" w:rsidP="00067100">
      <w:pPr>
        <w:pStyle w:val="12"/>
        <w:spacing w:before="0" w:after="0"/>
        <w:ind w:firstLine="709"/>
        <w:jc w:val="center"/>
        <w:rPr>
          <w:rFonts w:ascii="Times New Roman" w:hAnsi="Times New Roman"/>
          <w:b/>
          <w:sz w:val="21"/>
          <w:szCs w:val="21"/>
          <w:lang w:val="ru-RU"/>
        </w:rPr>
      </w:pPr>
    </w:p>
    <w:p w14:paraId="7EFA71AA" w14:textId="77777777" w:rsidR="00877DE5" w:rsidRPr="00B41576" w:rsidRDefault="00877DE5" w:rsidP="00067100">
      <w:pPr>
        <w:pStyle w:val="12"/>
        <w:spacing w:before="0" w:after="0"/>
        <w:ind w:firstLine="709"/>
        <w:jc w:val="center"/>
        <w:rPr>
          <w:rFonts w:ascii="Times New Roman" w:hAnsi="Times New Roman"/>
          <w:b/>
          <w:sz w:val="21"/>
          <w:szCs w:val="21"/>
          <w:lang w:val="ru-RU"/>
        </w:rPr>
      </w:pPr>
      <w:r w:rsidRPr="00B41576">
        <w:rPr>
          <w:rFonts w:ascii="Times New Roman" w:hAnsi="Times New Roman"/>
          <w:b/>
          <w:sz w:val="21"/>
          <w:szCs w:val="21"/>
          <w:lang w:val="ru-RU"/>
        </w:rPr>
        <w:t>Государственная политика на валютном рынке, антикризисное регулирование и валютные биржи</w:t>
      </w:r>
    </w:p>
    <w:p w14:paraId="68E78323" w14:textId="77777777" w:rsidR="00877DE5" w:rsidRPr="00B41576" w:rsidRDefault="00877DE5" w:rsidP="00067100">
      <w:pPr>
        <w:spacing w:after="0" w:line="240" w:lineRule="auto"/>
        <w:ind w:firstLine="709"/>
        <w:jc w:val="both"/>
        <w:rPr>
          <w:rFonts w:ascii="Times New Roman" w:hAnsi="Times New Roman" w:cs="Times New Roman"/>
          <w:i/>
          <w:sz w:val="21"/>
          <w:szCs w:val="21"/>
          <w:shd w:val="clear" w:color="auto" w:fill="00FFFF"/>
        </w:rPr>
      </w:pPr>
    </w:p>
    <w:p w14:paraId="149EC3A3" w14:textId="77777777" w:rsidR="00877DE5" w:rsidRPr="00B41576" w:rsidRDefault="00877DE5" w:rsidP="00067100">
      <w:pPr>
        <w:spacing w:after="0" w:line="240" w:lineRule="auto"/>
        <w:ind w:firstLine="709"/>
        <w:jc w:val="both"/>
        <w:rPr>
          <w:rFonts w:ascii="Times New Roman" w:hAnsi="Times New Roman" w:cs="Times New Roman"/>
          <w:iCs/>
          <w:sz w:val="21"/>
          <w:szCs w:val="21"/>
        </w:rPr>
      </w:pPr>
      <w:r w:rsidRPr="00B41576">
        <w:rPr>
          <w:rFonts w:ascii="Times New Roman" w:hAnsi="Times New Roman" w:cs="Times New Roman"/>
          <w:b/>
          <w:sz w:val="21"/>
          <w:szCs w:val="21"/>
        </w:rPr>
        <w:t>Аннотация:</w:t>
      </w:r>
      <w:r w:rsidRPr="00B41576">
        <w:rPr>
          <w:rFonts w:ascii="Times New Roman" w:hAnsi="Times New Roman" w:cs="Times New Roman"/>
          <w:i/>
          <w:sz w:val="21"/>
          <w:szCs w:val="21"/>
        </w:rPr>
        <w:t xml:space="preserve"> </w:t>
      </w:r>
      <w:r w:rsidRPr="00B41576">
        <w:rPr>
          <w:rFonts w:ascii="Times New Roman" w:hAnsi="Times New Roman" w:cs="Times New Roman"/>
          <w:iCs/>
          <w:sz w:val="21"/>
          <w:szCs w:val="21"/>
        </w:rPr>
        <w:t>В статье анализируется государственная политика на валютном рынке России с акцентом на антикризисные инициативы для поддержания стабильности рубля. Особое внимание уделяется валютному регулированию и контролю за движением капитала в условиях нестабильности и введения санкций. Рассматриваются действия Банка России, направленные на укрепление национальной валюты. В заключение делается вывод о необходимости дальнейшего совершенствования инструментов валютного регулирования и нормативных актов, учитывая современные вызовы и накопленный опыт.</w:t>
      </w:r>
    </w:p>
    <w:p w14:paraId="29C4099A" w14:textId="77777777" w:rsidR="00877DE5" w:rsidRPr="00B41576" w:rsidRDefault="00877DE5" w:rsidP="00067100">
      <w:pPr>
        <w:spacing w:after="0" w:line="240" w:lineRule="auto"/>
        <w:ind w:firstLine="709"/>
        <w:jc w:val="both"/>
        <w:rPr>
          <w:rFonts w:ascii="Times New Roman" w:hAnsi="Times New Roman" w:cs="Times New Roman"/>
          <w:sz w:val="21"/>
          <w:szCs w:val="21"/>
        </w:rPr>
      </w:pPr>
      <w:r w:rsidRPr="00B41576">
        <w:rPr>
          <w:rFonts w:ascii="Times New Roman" w:hAnsi="Times New Roman" w:cs="Times New Roman"/>
          <w:b/>
          <w:sz w:val="21"/>
          <w:szCs w:val="21"/>
        </w:rPr>
        <w:t>Ключевые слова:</w:t>
      </w:r>
      <w:r w:rsidRPr="00B41576">
        <w:rPr>
          <w:rFonts w:ascii="Times New Roman" w:hAnsi="Times New Roman" w:cs="Times New Roman"/>
          <w:sz w:val="21"/>
          <w:szCs w:val="21"/>
        </w:rPr>
        <w:t xml:space="preserve"> валютный рынок, государственная политика, курс валют, валютный контроль, инструменты валютного регулирования.</w:t>
      </w:r>
    </w:p>
    <w:p w14:paraId="60B11410" w14:textId="77777777" w:rsidR="00877DE5" w:rsidRPr="00B41576" w:rsidRDefault="00877DE5" w:rsidP="00067100">
      <w:pPr>
        <w:spacing w:after="0" w:line="240" w:lineRule="auto"/>
        <w:ind w:firstLine="709"/>
        <w:jc w:val="both"/>
        <w:rPr>
          <w:rFonts w:ascii="Times New Roman" w:hAnsi="Times New Roman" w:cs="Times New Roman"/>
          <w:sz w:val="21"/>
          <w:szCs w:val="21"/>
        </w:rPr>
      </w:pPr>
    </w:p>
    <w:p w14:paraId="045B8FB8" w14:textId="77777777" w:rsidR="00877DE5" w:rsidRPr="00B41576" w:rsidRDefault="00877DE5" w:rsidP="00067100">
      <w:pPr>
        <w:spacing w:after="0" w:line="240" w:lineRule="auto"/>
        <w:ind w:firstLine="709"/>
        <w:jc w:val="right"/>
        <w:rPr>
          <w:rFonts w:ascii="Times New Roman" w:hAnsi="Times New Roman" w:cs="Times New Roman"/>
          <w:b/>
          <w:i/>
          <w:sz w:val="21"/>
          <w:szCs w:val="21"/>
          <w:lang w:val="en-US"/>
        </w:rPr>
      </w:pPr>
      <w:r w:rsidRPr="00B41576">
        <w:rPr>
          <w:rFonts w:ascii="Times New Roman" w:hAnsi="Times New Roman" w:cs="Times New Roman"/>
          <w:b/>
          <w:i/>
          <w:sz w:val="21"/>
          <w:szCs w:val="21"/>
          <w:lang w:val="en-US"/>
        </w:rPr>
        <w:t>Chernushkina A.K.,</w:t>
      </w:r>
    </w:p>
    <w:p w14:paraId="47A53A85" w14:textId="27D9223A" w:rsidR="00877DE5" w:rsidRPr="00B41576" w:rsidRDefault="00877DE5" w:rsidP="00067100">
      <w:pPr>
        <w:spacing w:after="0" w:line="240" w:lineRule="auto"/>
        <w:ind w:firstLine="709"/>
        <w:jc w:val="right"/>
        <w:rPr>
          <w:rFonts w:ascii="Times New Roman" w:hAnsi="Times New Roman" w:cs="Times New Roman"/>
          <w:b/>
          <w:i/>
          <w:sz w:val="21"/>
          <w:szCs w:val="21"/>
          <w:lang w:val="en-US"/>
        </w:rPr>
      </w:pPr>
      <w:r w:rsidRPr="00B41576">
        <w:rPr>
          <w:rFonts w:ascii="Times New Roman" w:hAnsi="Times New Roman" w:cs="Times New Roman"/>
          <w:i/>
          <w:sz w:val="21"/>
          <w:szCs w:val="21"/>
          <w:lang w:val="en-US"/>
        </w:rPr>
        <w:t>student,</w:t>
      </w:r>
      <w:r w:rsidRPr="00B41576">
        <w:rPr>
          <w:rFonts w:ascii="Times New Roman" w:hAnsi="Times New Roman" w:cs="Times New Roman"/>
          <w:i/>
          <w:lang w:val="en-US"/>
        </w:rPr>
        <w:t xml:space="preserve"> </w:t>
      </w:r>
      <w:r w:rsidRPr="00B41576">
        <w:rPr>
          <w:rFonts w:ascii="Times New Roman" w:hAnsi="Times New Roman" w:cs="Times New Roman"/>
          <w:i/>
          <w:sz w:val="21"/>
          <w:szCs w:val="21"/>
          <w:lang w:val="en-US"/>
        </w:rPr>
        <w:t xml:space="preserve">1 </w:t>
      </w:r>
      <w:proofErr w:type="gramStart"/>
      <w:r w:rsidRPr="00B41576">
        <w:rPr>
          <w:rFonts w:ascii="Times New Roman" w:hAnsi="Times New Roman" w:cs="Times New Roman"/>
          <w:i/>
          <w:sz w:val="21"/>
          <w:szCs w:val="21"/>
          <w:lang w:val="en-US"/>
        </w:rPr>
        <w:t>courses</w:t>
      </w:r>
      <w:proofErr w:type="gramEnd"/>
      <w:r w:rsidRPr="00B41576">
        <w:rPr>
          <w:rFonts w:ascii="Times New Roman" w:hAnsi="Times New Roman" w:cs="Times New Roman"/>
          <w:b/>
          <w:i/>
          <w:sz w:val="21"/>
          <w:szCs w:val="21"/>
          <w:lang w:val="en-US"/>
        </w:rPr>
        <w:t xml:space="preserve"> </w:t>
      </w:r>
    </w:p>
    <w:p w14:paraId="28C2CE65" w14:textId="77777777" w:rsidR="00877DE5" w:rsidRPr="00B41576" w:rsidRDefault="00877DE5" w:rsidP="00067100">
      <w:pPr>
        <w:pStyle w:val="12"/>
        <w:spacing w:before="0" w:after="0"/>
        <w:ind w:firstLine="709"/>
        <w:jc w:val="right"/>
        <w:rPr>
          <w:rFonts w:ascii="Times New Roman" w:hAnsi="Times New Roman"/>
          <w:i/>
          <w:iCs/>
          <w:sz w:val="21"/>
          <w:szCs w:val="21"/>
        </w:rPr>
      </w:pPr>
      <w:r w:rsidRPr="00B41576">
        <w:rPr>
          <w:rFonts w:ascii="Times New Roman" w:hAnsi="Times New Roman"/>
          <w:i/>
          <w:iCs/>
          <w:sz w:val="21"/>
          <w:szCs w:val="21"/>
        </w:rPr>
        <w:t>Financial University under the Government of the Russian Federation (Krasnodar branch)</w:t>
      </w:r>
    </w:p>
    <w:p w14:paraId="5474B682" w14:textId="77777777" w:rsidR="00877DE5" w:rsidRPr="00B41576" w:rsidRDefault="00877DE5" w:rsidP="00067100">
      <w:pPr>
        <w:pStyle w:val="12"/>
        <w:spacing w:before="0" w:after="0"/>
        <w:ind w:firstLine="709"/>
        <w:jc w:val="right"/>
        <w:rPr>
          <w:rFonts w:ascii="Times New Roman" w:hAnsi="Times New Roman"/>
          <w:i/>
          <w:sz w:val="21"/>
          <w:szCs w:val="21"/>
        </w:rPr>
      </w:pPr>
      <w:r w:rsidRPr="00B41576">
        <w:rPr>
          <w:rFonts w:ascii="Times New Roman" w:hAnsi="Times New Roman"/>
          <w:i/>
          <w:sz w:val="21"/>
          <w:szCs w:val="21"/>
        </w:rPr>
        <w:t>Krasnodar, Russia</w:t>
      </w:r>
    </w:p>
    <w:p w14:paraId="1C8A6D73" w14:textId="77777777" w:rsidR="00877DE5" w:rsidRPr="00B41576" w:rsidRDefault="00877DE5" w:rsidP="00067100">
      <w:pPr>
        <w:spacing w:after="0" w:line="240" w:lineRule="auto"/>
        <w:ind w:firstLine="709"/>
        <w:jc w:val="right"/>
        <w:rPr>
          <w:rFonts w:ascii="Times New Roman" w:hAnsi="Times New Roman" w:cs="Times New Roman"/>
          <w:i/>
          <w:sz w:val="21"/>
          <w:szCs w:val="21"/>
          <w:lang w:val="en-US"/>
        </w:rPr>
      </w:pPr>
      <w:r w:rsidRPr="00B41576">
        <w:rPr>
          <w:rFonts w:ascii="Times New Roman" w:hAnsi="Times New Roman" w:cs="Times New Roman"/>
          <w:i/>
          <w:sz w:val="21"/>
          <w:szCs w:val="21"/>
        </w:rPr>
        <w:t>е</w:t>
      </w:r>
      <w:r w:rsidRPr="00B41576">
        <w:rPr>
          <w:rFonts w:ascii="Times New Roman" w:hAnsi="Times New Roman" w:cs="Times New Roman"/>
          <w:i/>
          <w:sz w:val="21"/>
          <w:szCs w:val="21"/>
          <w:lang w:val="en-US"/>
        </w:rPr>
        <w:t>-mail: angel.tchernushkina@yandex.ru</w:t>
      </w:r>
    </w:p>
    <w:p w14:paraId="05958E8D" w14:textId="77777777" w:rsidR="00877DE5" w:rsidRPr="00B41576" w:rsidRDefault="00877DE5" w:rsidP="00067100">
      <w:pPr>
        <w:spacing w:after="0" w:line="240" w:lineRule="auto"/>
        <w:ind w:firstLine="709"/>
        <w:jc w:val="right"/>
        <w:rPr>
          <w:rFonts w:ascii="Times New Roman" w:hAnsi="Times New Roman" w:cs="Times New Roman"/>
          <w:i/>
          <w:sz w:val="21"/>
          <w:szCs w:val="21"/>
          <w:lang w:val="en-US"/>
        </w:rPr>
      </w:pPr>
    </w:p>
    <w:p w14:paraId="558A6C6C" w14:textId="77777777" w:rsidR="00877DE5" w:rsidRPr="00B41576" w:rsidRDefault="00877DE5" w:rsidP="00067100">
      <w:pPr>
        <w:spacing w:after="0" w:line="240" w:lineRule="auto"/>
        <w:ind w:firstLine="709"/>
        <w:jc w:val="right"/>
        <w:rPr>
          <w:rFonts w:ascii="Times New Roman" w:hAnsi="Times New Roman" w:cs="Times New Roman"/>
          <w:b/>
          <w:i/>
          <w:sz w:val="21"/>
          <w:szCs w:val="21"/>
          <w:lang w:val="en-US"/>
        </w:rPr>
      </w:pPr>
      <w:r w:rsidRPr="00B41576">
        <w:rPr>
          <w:rFonts w:ascii="Times New Roman" w:hAnsi="Times New Roman" w:cs="Times New Roman"/>
          <w:b/>
          <w:i/>
          <w:sz w:val="21"/>
          <w:szCs w:val="21"/>
          <w:lang w:val="en-US"/>
        </w:rPr>
        <w:t>Scientific Adviser:</w:t>
      </w:r>
    </w:p>
    <w:p w14:paraId="3A6E43BA" w14:textId="77777777" w:rsidR="00877DE5" w:rsidRPr="00B41576" w:rsidRDefault="00877DE5" w:rsidP="00067100">
      <w:pPr>
        <w:spacing w:after="0" w:line="240" w:lineRule="auto"/>
        <w:ind w:firstLine="709"/>
        <w:jc w:val="right"/>
        <w:rPr>
          <w:rFonts w:ascii="Times New Roman" w:hAnsi="Times New Roman" w:cs="Times New Roman"/>
          <w:b/>
          <w:i/>
          <w:sz w:val="21"/>
          <w:szCs w:val="21"/>
          <w:lang w:val="en-US"/>
        </w:rPr>
      </w:pPr>
      <w:r w:rsidRPr="00B41576">
        <w:rPr>
          <w:rFonts w:ascii="Times New Roman" w:hAnsi="Times New Roman" w:cs="Times New Roman"/>
          <w:b/>
          <w:i/>
          <w:sz w:val="21"/>
          <w:szCs w:val="21"/>
          <w:lang w:val="en-US"/>
        </w:rPr>
        <w:t xml:space="preserve">Berlin S.I., </w:t>
      </w:r>
    </w:p>
    <w:p w14:paraId="3328FDE7" w14:textId="77777777" w:rsidR="00877DE5" w:rsidRPr="00B41576" w:rsidRDefault="00877DE5" w:rsidP="00067100">
      <w:pPr>
        <w:spacing w:after="0" w:line="240" w:lineRule="auto"/>
        <w:ind w:firstLine="709"/>
        <w:jc w:val="right"/>
        <w:rPr>
          <w:rFonts w:ascii="Times New Roman" w:hAnsi="Times New Roman" w:cs="Times New Roman"/>
          <w:i/>
          <w:iCs/>
          <w:sz w:val="21"/>
          <w:szCs w:val="21"/>
          <w:shd w:val="clear" w:color="auto" w:fill="FFFFFF"/>
          <w:lang w:val="en-US"/>
        </w:rPr>
      </w:pPr>
      <w:r w:rsidRPr="00B41576">
        <w:rPr>
          <w:rFonts w:ascii="Times New Roman" w:hAnsi="Times New Roman" w:cs="Times New Roman"/>
          <w:i/>
          <w:iCs/>
          <w:sz w:val="21"/>
          <w:szCs w:val="21"/>
          <w:shd w:val="clear" w:color="auto" w:fill="FFFFFF"/>
          <w:lang w:val="en-US"/>
        </w:rPr>
        <w:t>Doctor of Science (Economics),</w:t>
      </w:r>
      <w:r w:rsidRPr="00B41576">
        <w:rPr>
          <w:rFonts w:ascii="Times New Roman" w:hAnsi="Times New Roman" w:cs="Times New Roman"/>
          <w:i/>
          <w:lang w:val="en-US"/>
        </w:rPr>
        <w:t xml:space="preserve"> </w:t>
      </w:r>
      <w:r w:rsidRPr="00B41576">
        <w:rPr>
          <w:rFonts w:ascii="Times New Roman" w:hAnsi="Times New Roman" w:cs="Times New Roman"/>
          <w:i/>
          <w:iCs/>
          <w:sz w:val="21"/>
          <w:szCs w:val="21"/>
          <w:shd w:val="clear" w:color="auto" w:fill="FFFFFF"/>
          <w:lang w:val="en-US"/>
        </w:rPr>
        <w:t>Professor</w:t>
      </w:r>
    </w:p>
    <w:p w14:paraId="46A15DC3" w14:textId="77777777" w:rsidR="00877DE5" w:rsidRPr="00B41576" w:rsidRDefault="00877DE5" w:rsidP="00067100">
      <w:pPr>
        <w:pStyle w:val="12"/>
        <w:spacing w:before="0" w:after="0"/>
        <w:ind w:firstLine="709"/>
        <w:jc w:val="right"/>
        <w:rPr>
          <w:rFonts w:ascii="Times New Roman" w:hAnsi="Times New Roman"/>
          <w:i/>
          <w:iCs/>
          <w:sz w:val="21"/>
          <w:szCs w:val="21"/>
        </w:rPr>
      </w:pPr>
      <w:r w:rsidRPr="00B41576">
        <w:rPr>
          <w:rFonts w:ascii="Times New Roman" w:hAnsi="Times New Roman"/>
          <w:i/>
          <w:iCs/>
          <w:sz w:val="21"/>
          <w:szCs w:val="21"/>
        </w:rPr>
        <w:t>Financial University under the Government of the Russian Federation (Krasnodar branch)</w:t>
      </w:r>
    </w:p>
    <w:p w14:paraId="3796C953" w14:textId="77777777" w:rsidR="00877DE5" w:rsidRPr="00B41576" w:rsidRDefault="00877DE5" w:rsidP="00067100">
      <w:pPr>
        <w:pStyle w:val="12"/>
        <w:spacing w:before="0" w:after="0"/>
        <w:ind w:firstLine="709"/>
        <w:jc w:val="right"/>
        <w:rPr>
          <w:rFonts w:ascii="Times New Roman" w:hAnsi="Times New Roman"/>
          <w:i/>
          <w:sz w:val="21"/>
          <w:szCs w:val="21"/>
        </w:rPr>
      </w:pPr>
      <w:r w:rsidRPr="00B41576">
        <w:rPr>
          <w:rFonts w:ascii="Times New Roman" w:hAnsi="Times New Roman"/>
          <w:i/>
          <w:sz w:val="21"/>
          <w:szCs w:val="21"/>
        </w:rPr>
        <w:t>Krasnodar, Russia</w:t>
      </w:r>
    </w:p>
    <w:p w14:paraId="2EB63392" w14:textId="77777777" w:rsidR="00877DE5" w:rsidRPr="00B41576" w:rsidRDefault="00877DE5" w:rsidP="00067100">
      <w:pPr>
        <w:pStyle w:val="12"/>
        <w:spacing w:before="0" w:after="0"/>
        <w:ind w:firstLine="709"/>
        <w:jc w:val="right"/>
        <w:textAlignment w:val="baseline"/>
        <w:rPr>
          <w:rFonts w:ascii="Times New Roman" w:hAnsi="Times New Roman"/>
          <w:i/>
          <w:sz w:val="21"/>
          <w:szCs w:val="21"/>
        </w:rPr>
      </w:pPr>
      <w:r w:rsidRPr="00B41576">
        <w:rPr>
          <w:rFonts w:ascii="Times New Roman" w:hAnsi="Times New Roman"/>
          <w:i/>
          <w:sz w:val="21"/>
          <w:szCs w:val="21"/>
          <w:lang w:val="ru-RU"/>
        </w:rPr>
        <w:t>е</w:t>
      </w:r>
      <w:r w:rsidRPr="00B41576">
        <w:rPr>
          <w:rFonts w:ascii="Times New Roman" w:hAnsi="Times New Roman"/>
          <w:i/>
          <w:sz w:val="21"/>
          <w:szCs w:val="21"/>
        </w:rPr>
        <w:t>-mail: siberlin@fa.ru</w:t>
      </w:r>
    </w:p>
    <w:p w14:paraId="1EE52748" w14:textId="77777777" w:rsidR="00877DE5" w:rsidRPr="00B41576" w:rsidRDefault="00877DE5" w:rsidP="00067100">
      <w:pPr>
        <w:spacing w:after="0" w:line="240" w:lineRule="auto"/>
        <w:ind w:firstLine="709"/>
        <w:jc w:val="right"/>
        <w:rPr>
          <w:rFonts w:ascii="Times New Roman" w:hAnsi="Times New Roman" w:cs="Times New Roman"/>
          <w:i/>
          <w:sz w:val="21"/>
          <w:szCs w:val="21"/>
          <w:lang w:val="en-US"/>
        </w:rPr>
      </w:pPr>
    </w:p>
    <w:p w14:paraId="5820B452" w14:textId="77777777" w:rsidR="00877DE5" w:rsidRPr="00B41576" w:rsidRDefault="00877DE5" w:rsidP="00067100">
      <w:pPr>
        <w:spacing w:after="0" w:line="240" w:lineRule="auto"/>
        <w:ind w:firstLine="709"/>
        <w:jc w:val="center"/>
        <w:rPr>
          <w:rFonts w:ascii="Times New Roman" w:hAnsi="Times New Roman" w:cs="Times New Roman"/>
          <w:b/>
          <w:bCs/>
          <w:sz w:val="21"/>
          <w:szCs w:val="21"/>
          <w:shd w:val="clear" w:color="auto" w:fill="FFFFFF"/>
          <w:lang w:val="en-US"/>
        </w:rPr>
      </w:pPr>
      <w:r w:rsidRPr="00B41576">
        <w:rPr>
          <w:rFonts w:ascii="Times New Roman" w:hAnsi="Times New Roman" w:cs="Times New Roman"/>
          <w:b/>
          <w:bCs/>
          <w:sz w:val="21"/>
          <w:szCs w:val="21"/>
          <w:lang w:val="en-US"/>
        </w:rPr>
        <w:t>Government policy on the foreign exchange market, anti-crisis regulation and currency exchanges</w:t>
      </w:r>
    </w:p>
    <w:p w14:paraId="79B28C58" w14:textId="77777777" w:rsidR="00877DE5" w:rsidRPr="00B41576" w:rsidRDefault="00877DE5" w:rsidP="00067100">
      <w:pPr>
        <w:pStyle w:val="12"/>
        <w:spacing w:before="0" w:after="0"/>
        <w:ind w:firstLine="709"/>
        <w:jc w:val="both"/>
        <w:rPr>
          <w:rFonts w:ascii="Times New Roman" w:hAnsi="Times New Roman"/>
          <w:b/>
          <w:bCs/>
          <w:sz w:val="21"/>
          <w:szCs w:val="21"/>
          <w:shd w:val="clear" w:color="auto" w:fill="FFFFFF"/>
        </w:rPr>
      </w:pPr>
    </w:p>
    <w:p w14:paraId="51BF1503" w14:textId="77777777" w:rsidR="00877DE5" w:rsidRPr="009472DE" w:rsidRDefault="00877DE5" w:rsidP="00067100">
      <w:pPr>
        <w:pStyle w:val="12"/>
        <w:spacing w:before="0" w:after="0"/>
        <w:ind w:firstLine="709"/>
        <w:jc w:val="both"/>
        <w:rPr>
          <w:rFonts w:ascii="Times New Roman" w:hAnsi="Times New Roman"/>
          <w:sz w:val="21"/>
          <w:szCs w:val="21"/>
        </w:rPr>
      </w:pPr>
      <w:r w:rsidRPr="009472DE">
        <w:rPr>
          <w:rFonts w:ascii="Times New Roman" w:hAnsi="Times New Roman"/>
          <w:b/>
          <w:bCs/>
          <w:sz w:val="21"/>
          <w:szCs w:val="21"/>
          <w:shd w:val="clear" w:color="auto" w:fill="FFFFFF"/>
        </w:rPr>
        <w:lastRenderedPageBreak/>
        <w:t>Abstract:</w:t>
      </w:r>
      <w:r w:rsidRPr="009472DE">
        <w:rPr>
          <w:rFonts w:ascii="Times New Roman" w:hAnsi="Times New Roman"/>
          <w:sz w:val="21"/>
          <w:szCs w:val="21"/>
          <w:shd w:val="clear" w:color="auto" w:fill="FFFFFF"/>
        </w:rPr>
        <w:t xml:space="preserve"> </w:t>
      </w:r>
      <w:r w:rsidRPr="009472DE">
        <w:rPr>
          <w:rFonts w:ascii="Times New Roman" w:hAnsi="Times New Roman"/>
          <w:color w:val="000000"/>
          <w:sz w:val="21"/>
          <w:szCs w:val="21"/>
        </w:rPr>
        <w:t xml:space="preserve">The article examines the state policy in the Russian foreign exchange market, with particular attention to anti-crisis measures aimed at maintaining the stability of the ruble. Special focus is given to currency regulation and the control of capital flows in conditions of economic instability and the imposition of sanctions. The measures taken by the Bank of Russia to bolster the national currency are also analyzed. In conclusion, it is emphasized that there is a need to further refine the instruments of currency regulation and legislation, </w:t>
      </w:r>
      <w:proofErr w:type="gramStart"/>
      <w:r w:rsidRPr="009472DE">
        <w:rPr>
          <w:rFonts w:ascii="Times New Roman" w:hAnsi="Times New Roman"/>
          <w:color w:val="000000"/>
          <w:sz w:val="21"/>
          <w:szCs w:val="21"/>
        </w:rPr>
        <w:t>taking into account</w:t>
      </w:r>
      <w:proofErr w:type="gramEnd"/>
      <w:r w:rsidRPr="009472DE">
        <w:rPr>
          <w:rFonts w:ascii="Times New Roman" w:hAnsi="Times New Roman"/>
          <w:color w:val="000000"/>
          <w:sz w:val="21"/>
          <w:szCs w:val="21"/>
        </w:rPr>
        <w:t xml:space="preserve"> contemporary challenges and the accumulated experience.</w:t>
      </w:r>
    </w:p>
    <w:p w14:paraId="2A95F679" w14:textId="77777777" w:rsidR="00877DE5" w:rsidRPr="009472DE" w:rsidRDefault="00877DE5" w:rsidP="00067100">
      <w:pPr>
        <w:pStyle w:val="12"/>
        <w:spacing w:before="0" w:after="0"/>
        <w:ind w:firstLine="709"/>
        <w:jc w:val="both"/>
        <w:rPr>
          <w:rFonts w:ascii="Times New Roman" w:hAnsi="Times New Roman"/>
          <w:bCs/>
          <w:color w:val="000000"/>
          <w:sz w:val="21"/>
          <w:szCs w:val="21"/>
          <w:shd w:val="clear" w:color="auto" w:fill="FFFFFF"/>
        </w:rPr>
      </w:pPr>
      <w:r w:rsidRPr="009472DE">
        <w:rPr>
          <w:rFonts w:ascii="Times New Roman" w:hAnsi="Times New Roman"/>
          <w:b/>
          <w:bCs/>
          <w:color w:val="000000"/>
          <w:sz w:val="21"/>
          <w:szCs w:val="21"/>
          <w:shd w:val="clear" w:color="auto" w:fill="FFFFFF"/>
        </w:rPr>
        <w:t>Keywords:</w:t>
      </w:r>
      <w:r w:rsidRPr="009472DE">
        <w:rPr>
          <w:rFonts w:ascii="Times New Roman" w:hAnsi="Times New Roman"/>
          <w:bCs/>
          <w:color w:val="000000"/>
          <w:sz w:val="21"/>
          <w:szCs w:val="21"/>
          <w:shd w:val="clear" w:color="auto" w:fill="FFFFFF"/>
        </w:rPr>
        <w:t xml:space="preserve"> </w:t>
      </w:r>
      <w:r w:rsidRPr="009472DE">
        <w:rPr>
          <w:rFonts w:ascii="Times New Roman" w:hAnsi="Times New Roman"/>
          <w:color w:val="000000"/>
          <w:sz w:val="21"/>
          <w:szCs w:val="21"/>
          <w:shd w:val="clear" w:color="auto" w:fill="FFFFFF"/>
        </w:rPr>
        <w:t>foreign exchange market, government policy, exchange rate, currency control, instruments of currency regulation.</w:t>
      </w:r>
    </w:p>
    <w:p w14:paraId="561D4663" w14:textId="77777777" w:rsidR="00877DE5" w:rsidRPr="00877DE5" w:rsidRDefault="00877DE5" w:rsidP="00067100">
      <w:pPr>
        <w:pStyle w:val="12"/>
        <w:spacing w:before="0" w:after="0"/>
        <w:ind w:firstLine="709"/>
        <w:jc w:val="both"/>
        <w:rPr>
          <w:rFonts w:ascii="Times New Roman" w:hAnsi="Times New Roman"/>
          <w:sz w:val="32"/>
          <w:szCs w:val="32"/>
        </w:rPr>
      </w:pPr>
    </w:p>
    <w:p w14:paraId="3C223A47"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9472DE">
        <w:rPr>
          <w:rFonts w:ascii="Times New Roman" w:hAnsi="Times New Roman"/>
          <w:sz w:val="32"/>
          <w:szCs w:val="32"/>
          <w:lang w:val="ru-RU"/>
        </w:rPr>
        <w:t>В настоящее время государственное регулирование в сфере валютного рынка — это один из ключевых элементов внешнеэкономической деятельности страны. Оно оказывает значительное влияние на экономическую стабильность и финансовое благополучие граждан и государства. В условиях санкционного давления, современных вызовов государство принимает ряд специальных мер для поддержки национальной валюты и предотвращения негативных последствий для российской экономики. Цель работы — исследовать теоретические основы и практические механизмы государственной политики на валютном рынке, а также разработать рекомендации по интеграции новых технологий для эффективного валютного регулирования.</w:t>
      </w:r>
    </w:p>
    <w:p w14:paraId="0822885E"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lang w:eastAsia="ru-RU"/>
        </w:rPr>
      </w:pPr>
      <w:r w:rsidRPr="009472DE">
        <w:rPr>
          <w:rFonts w:ascii="Times New Roman" w:hAnsi="Times New Roman" w:cs="Times New Roman"/>
          <w:color w:val="000000" w:themeColor="text1"/>
          <w:sz w:val="32"/>
          <w:szCs w:val="32"/>
          <w:lang w:eastAsia="ru-RU"/>
        </w:rPr>
        <w:t>Курс рубля с 1992 по 2024 год прошел через значительные колебания и обесценивание. Это было связано с переходом России к рыночной экономике, политической нестабильностью, экономическими кризисами и внешними шоками. В 1992 году после введения свободного курса рубля доллар резко подорожал. В последующие годы рубль стремительно дешевел, достигнув пика в 1994 году во время «черного вторника». Деноминация 1998 года и дефолт стали важными событиями, после которых рубль на время стабилизировался.</w:t>
      </w:r>
    </w:p>
    <w:p w14:paraId="2FD63812"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lang w:eastAsia="ru-RU"/>
        </w:rPr>
      </w:pPr>
      <w:r w:rsidRPr="009472DE">
        <w:rPr>
          <w:rFonts w:ascii="Times New Roman" w:hAnsi="Times New Roman" w:cs="Times New Roman"/>
          <w:color w:val="000000" w:themeColor="text1"/>
          <w:sz w:val="32"/>
          <w:szCs w:val="32"/>
          <w:lang w:eastAsia="ru-RU"/>
        </w:rPr>
        <w:t>В 2000–2008 годах курс рубля был относительно стабильным благодаря росту цен на нефть и укреплению экономики. Однако с 2014 года рубль вновь начал падать из-за санкций и снижения цен на нефть. В 2022–2024 годах курс продолжил колебаться под влиянием геополитических факторов и ограничений.</w:t>
      </w:r>
    </w:p>
    <w:p w14:paraId="4831CDAD"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lang w:eastAsia="ru-RU"/>
        </w:rPr>
      </w:pPr>
      <w:r w:rsidRPr="009472DE">
        <w:rPr>
          <w:rFonts w:ascii="Times New Roman" w:hAnsi="Times New Roman" w:cs="Times New Roman"/>
          <w:color w:val="000000" w:themeColor="text1"/>
          <w:sz w:val="32"/>
          <w:szCs w:val="32"/>
          <w:lang w:eastAsia="ru-RU"/>
        </w:rPr>
        <w:t>Центральный банк неоднократно вмешивался в ситуацию, используя интервенции, изменение ключевой ставки и валютное регулирование. Это помогало сдерживать инфляцию и стабилизировать курс рубля. Таким образом, с 1992 года курс рубля прошел непростой путь, сталкиваясь с экономическими реформами и внешними вызовами.</w:t>
      </w:r>
    </w:p>
    <w:p w14:paraId="39AC3619"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9472DE">
        <w:rPr>
          <w:rFonts w:ascii="Times New Roman" w:hAnsi="Times New Roman"/>
          <w:sz w:val="32"/>
          <w:szCs w:val="32"/>
          <w:lang w:val="ru-RU"/>
        </w:rPr>
        <w:lastRenderedPageBreak/>
        <w:t>С 2014 года Банк России перешел к режиму плавающего валютного курса, что повысило гибкость реагирования на внешние шоки. Такая гибкость позволяет экономике адаптироваться к изменениям внешних факторов, таких как цены на нефть, политическая обстановка, а также смягчать их воздействие, что является преимуществом плавающего курса перед фиксированным. Однако это также привело к увеличению волатильности курса рубля и потребовало определенных мер со стороны регулятора. Банк России внимательно отслеживает ситуацию на валютном рынке и при необходимости проводит операции с валютой, изменяет ключевую ставку. Система валютного контроля призвана предотвращать незаконные валютные операции, отток капитала и повысить прозрачность расчетов. Валютное регулирование включает в себя лицензирование операций, установление лимитов на движение капитала, запрет на определенные о</w:t>
      </w:r>
      <w:r>
        <w:rPr>
          <w:rFonts w:ascii="Times New Roman" w:hAnsi="Times New Roman"/>
          <w:sz w:val="32"/>
          <w:szCs w:val="32"/>
          <w:lang w:val="ru-RU"/>
        </w:rPr>
        <w:t xml:space="preserve">перации с валютой и другие меры </w:t>
      </w:r>
      <w:r w:rsidRPr="009472DE">
        <w:rPr>
          <w:rFonts w:ascii="Times New Roman" w:hAnsi="Times New Roman"/>
          <w:sz w:val="32"/>
          <w:szCs w:val="32"/>
          <w:lang w:val="ru-RU"/>
        </w:rPr>
        <w:t>[1]</w:t>
      </w:r>
      <w:r>
        <w:rPr>
          <w:rFonts w:ascii="Times New Roman" w:hAnsi="Times New Roman"/>
          <w:sz w:val="32"/>
          <w:szCs w:val="32"/>
          <w:lang w:val="ru-RU"/>
        </w:rPr>
        <w:t>.</w:t>
      </w:r>
    </w:p>
    <w:p w14:paraId="1EA4252A" w14:textId="77777777" w:rsidR="00877DE5" w:rsidRPr="00D01EB8" w:rsidRDefault="00877DE5" w:rsidP="00B41576">
      <w:pPr>
        <w:pStyle w:val="12"/>
        <w:spacing w:before="0" w:after="0"/>
        <w:ind w:firstLine="709"/>
        <w:jc w:val="both"/>
        <w:rPr>
          <w:rStyle w:val="aa"/>
          <w:rFonts w:ascii="Times New Roman" w:hAnsi="Times New Roman"/>
          <w:color w:val="000000" w:themeColor="text1"/>
          <w:sz w:val="32"/>
          <w:szCs w:val="32"/>
          <w:u w:val="none"/>
          <w:shd w:val="clear" w:color="auto" w:fill="FFFFFF"/>
          <w:lang w:val="ru-RU"/>
        </w:rPr>
      </w:pPr>
      <w:r w:rsidRPr="009472DE">
        <w:rPr>
          <w:rFonts w:ascii="Times New Roman" w:hAnsi="Times New Roman"/>
          <w:sz w:val="32"/>
          <w:szCs w:val="32"/>
          <w:lang w:val="ru-RU"/>
        </w:rPr>
        <w:t xml:space="preserve">Контроль за валютными операциями — это прерогатива федеральных органов власти. Правовое регулирование строится на принципах, не допускающих исключений. Нормативной базой для регулирования валютного рынка являются: федеральный закон от 10.12.2003 № 173-ФЗ «О валютном регулировании и валютном контроле», КоАП РФ, УК РФ, инструкции и положения ЦБ РФ, акты Правительства РФ, указы Президента РФ. Согласно федеральному закону от 10.12.2003 № 173-ФЗ </w:t>
      </w:r>
      <w:r w:rsidRPr="00163672">
        <w:rPr>
          <w:rFonts w:ascii="Times New Roman" w:hAnsi="Times New Roman"/>
          <w:sz w:val="32"/>
          <w:szCs w:val="32"/>
          <w:lang w:val="ru-RU"/>
        </w:rPr>
        <w:t xml:space="preserve">«О валютном регулировании и валютном контроле» </w:t>
      </w:r>
      <w:r w:rsidRPr="00D01EB8">
        <w:rPr>
          <w:rStyle w:val="aa"/>
          <w:rFonts w:ascii="Times New Roman" w:hAnsi="Times New Roman"/>
          <w:color w:val="000000" w:themeColor="text1"/>
          <w:sz w:val="32"/>
          <w:szCs w:val="32"/>
          <w:u w:val="none"/>
          <w:shd w:val="clear" w:color="auto" w:fill="FFFFFF"/>
          <w:lang w:val="ru-RU"/>
        </w:rPr>
        <w:t>основными принципами валютного регулирования в РФ являются: приоритет экономических мер в реализации государственной политики в области валютного регулирования, исключение неоправданного вмешательства государства и его органов в валютные операции резидентов и нерезидентов, единство внешней и внутренней валютной политики РФ, а также системы валютного контроля, обеспечение государством защиты прав и интересов резидентов и нерезидентов при осуществлении валютных операций. Данные принципы обеспечивают равновесие между свободой валютного регулирования и потребностью в государственном регулировании в интересах национальной экономики, что достигается через координацию действий различных государственных органов, установление единых правил и норм, а также постоянный мониторинг и анализ валютного рынка [2].</w:t>
      </w:r>
    </w:p>
    <w:p w14:paraId="1A328C0F" w14:textId="77777777" w:rsidR="00877DE5" w:rsidRPr="00D01EB8" w:rsidRDefault="00877DE5" w:rsidP="00B41576">
      <w:pPr>
        <w:pStyle w:val="12"/>
        <w:spacing w:before="0" w:after="0"/>
        <w:ind w:firstLine="709"/>
        <w:jc w:val="both"/>
        <w:rPr>
          <w:rStyle w:val="aa"/>
          <w:rFonts w:ascii="Times New Roman" w:hAnsi="Times New Roman"/>
          <w:color w:val="000000" w:themeColor="text1"/>
          <w:sz w:val="32"/>
          <w:szCs w:val="32"/>
          <w:u w:val="none"/>
          <w:shd w:val="clear" w:color="auto" w:fill="FFFFFF"/>
          <w:lang w:val="ru-RU"/>
        </w:rPr>
      </w:pPr>
      <w:r w:rsidRPr="00D01EB8">
        <w:rPr>
          <w:rStyle w:val="aa"/>
          <w:rFonts w:ascii="Times New Roman" w:hAnsi="Times New Roman"/>
          <w:color w:val="000000" w:themeColor="text1"/>
          <w:sz w:val="32"/>
          <w:szCs w:val="32"/>
          <w:u w:val="none"/>
          <w:shd w:val="clear" w:color="auto" w:fill="FFFFFF"/>
          <w:lang w:val="ru-RU"/>
        </w:rPr>
        <w:lastRenderedPageBreak/>
        <w:t>Для регулирования курса рубля Центральный банк использует такой инструмент, как интервенции на валютном рынке. Эффективность интервенций зависит от объема золотовалютных резервов, доверия к ЦБ. Однако у них есть ограничения в виде риска истощения резервов, влияния санкций. В современных условиях волатильности курса и санкционного давления Банк России ищет новые инструменты и более гибкие подходы. Он выявляет подозрительные операции, взаимодействуя с Росфинмониторингом, ФНС и другими контрольно-надзорными органами [3].</w:t>
      </w:r>
    </w:p>
    <w:p w14:paraId="2033E016" w14:textId="77777777" w:rsidR="00877DE5" w:rsidRPr="00D01EB8" w:rsidRDefault="00877DE5" w:rsidP="00B41576">
      <w:pPr>
        <w:pStyle w:val="12"/>
        <w:spacing w:before="0" w:after="0"/>
        <w:ind w:firstLine="709"/>
        <w:jc w:val="both"/>
        <w:rPr>
          <w:rStyle w:val="aa"/>
          <w:rFonts w:ascii="Times New Roman" w:hAnsi="Times New Roman"/>
          <w:color w:val="000000" w:themeColor="text1"/>
          <w:sz w:val="32"/>
          <w:szCs w:val="32"/>
          <w:u w:val="none"/>
          <w:shd w:val="clear" w:color="auto" w:fill="FFFFFF"/>
          <w:lang w:val="ru-RU"/>
        </w:rPr>
      </w:pPr>
      <w:r w:rsidRPr="00D01EB8">
        <w:rPr>
          <w:rStyle w:val="aa"/>
          <w:rFonts w:ascii="Times New Roman" w:hAnsi="Times New Roman"/>
          <w:color w:val="000000" w:themeColor="text1"/>
          <w:sz w:val="32"/>
          <w:szCs w:val="32"/>
          <w:u w:val="none"/>
          <w:shd w:val="clear" w:color="auto" w:fill="FFFFFF"/>
          <w:lang w:val="ru-RU"/>
        </w:rPr>
        <w:t>Валютный контроль в России переживает значительные преобразования. Эти изменения затрагивают различные аспекты, включая институциональный, функциональный и информационный. Например, валютный контроль кроме ЦБ осуществляет Федеральная налоговая служба, следящая за соблюдением налогового законодательства в части валютных операций, и Федеральная таможенная служба, контролирующая перемещение валюты через границу. Кроме того, применяется учет контрактов вместо паспортизации сделок, снижая бюрократическую нагрузку, развиваются электронные способы взаимодействия между участниками валютного контроля на уровне РФ и Евразийского экономического союза, что повышает прозрачность и оперативность контроля, но требует адаптации информационных систем и нормативной базы [4].</w:t>
      </w:r>
    </w:p>
    <w:p w14:paraId="01286E28" w14:textId="77777777" w:rsidR="00877DE5" w:rsidRPr="00D01EB8" w:rsidRDefault="00877DE5" w:rsidP="00B41576">
      <w:pPr>
        <w:pStyle w:val="12"/>
        <w:spacing w:before="0" w:after="0"/>
        <w:ind w:firstLine="709"/>
        <w:jc w:val="both"/>
        <w:rPr>
          <w:rStyle w:val="aa"/>
          <w:rFonts w:ascii="Times New Roman" w:hAnsi="Times New Roman"/>
          <w:color w:val="000000" w:themeColor="text1"/>
          <w:sz w:val="32"/>
          <w:szCs w:val="32"/>
          <w:u w:val="none"/>
          <w:shd w:val="clear" w:color="auto" w:fill="FFFFFF"/>
          <w:lang w:val="ru-RU"/>
        </w:rPr>
      </w:pPr>
      <w:r w:rsidRPr="00D01EB8">
        <w:rPr>
          <w:rStyle w:val="aa"/>
          <w:rFonts w:ascii="Times New Roman" w:hAnsi="Times New Roman"/>
          <w:color w:val="000000" w:themeColor="text1"/>
          <w:sz w:val="32"/>
          <w:szCs w:val="32"/>
          <w:u w:val="none"/>
          <w:shd w:val="clear" w:color="auto" w:fill="FFFFFF"/>
          <w:lang w:val="ru-RU"/>
        </w:rPr>
        <w:t>В настоящее время наблюдается тенденция к либерализации и цифровизации экономики. Одним из первых стал проект Минфина и ЦБ «О цифровых финансовых активах». Согласно законопроекту, «цифровой финансовый актив — имущество в электронной форме, созданное с использованием криптографических средств. Права собственности на данное имущество удостоверяются путем внесения цифровых записей в реестр цифровых транзакций. Цифровые финансовые активы не являются законным средством платежа на территории РФ» [5].</w:t>
      </w:r>
    </w:p>
    <w:p w14:paraId="0716B6EC"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163672">
        <w:rPr>
          <w:rFonts w:ascii="Times New Roman" w:hAnsi="Times New Roman"/>
          <w:sz w:val="32"/>
          <w:szCs w:val="32"/>
          <w:lang w:val="ru-RU"/>
        </w:rPr>
        <w:t xml:space="preserve">С начала 2025 года в России разрешено использовать цифровые финансовые активы для оплаты внешнеторговых сделок. Данные валютные операции разрешено совершать только в системах, в которых выпускают ЦФА, и на инвестиционных платформах. Это открывает новые возможности для бизнеса, снижая затраты на транзакции, а также повышает прозрачность операций, поскольку расчеты происходят в рамках российских информационных систем. </w:t>
      </w:r>
      <w:r w:rsidRPr="00163672">
        <w:rPr>
          <w:rFonts w:ascii="Times New Roman" w:hAnsi="Times New Roman"/>
          <w:sz w:val="32"/>
          <w:szCs w:val="32"/>
          <w:lang w:val="ru-RU"/>
        </w:rPr>
        <w:lastRenderedPageBreak/>
        <w:t>Компании должны уведомлять банки и предоставлять документы об операциях. Банк России наделен полномочиями устанавливать запрет на совершение валютных операций с цифровыми активами, а также определять условия данных сделок. Из-за санкций и внешних рисков контроль за валютными операциями стал строже, особенно для компаний и граждан, работающих с контрагентами</w:t>
      </w:r>
      <w:r>
        <w:rPr>
          <w:rFonts w:ascii="Times New Roman" w:hAnsi="Times New Roman"/>
          <w:sz w:val="32"/>
          <w:szCs w:val="32"/>
          <w:lang w:val="ru-RU"/>
        </w:rPr>
        <w:t xml:space="preserve"> из недружественных стран </w:t>
      </w:r>
      <w:r w:rsidRPr="009472DE">
        <w:rPr>
          <w:rFonts w:ascii="Times New Roman" w:hAnsi="Times New Roman"/>
          <w:sz w:val="32"/>
          <w:szCs w:val="32"/>
          <w:lang w:val="ru-RU"/>
        </w:rPr>
        <w:t>[6]</w:t>
      </w:r>
      <w:r>
        <w:rPr>
          <w:rFonts w:ascii="Times New Roman" w:hAnsi="Times New Roman"/>
          <w:sz w:val="32"/>
          <w:szCs w:val="32"/>
          <w:lang w:val="ru-RU"/>
        </w:rPr>
        <w:t>.</w:t>
      </w:r>
    </w:p>
    <w:p w14:paraId="0D742CAB"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9472DE">
        <w:rPr>
          <w:rFonts w:ascii="Times New Roman" w:hAnsi="Times New Roman"/>
          <w:sz w:val="32"/>
          <w:szCs w:val="32"/>
          <w:lang w:val="ru-RU"/>
        </w:rPr>
        <w:t>Таким образом, внедрение современных технологий, включая блокчейн, ЦФА, повышает прозрачность и эффективность контроля. Например, использование цифровых платформ для мониторинга валютных операций позволяет оперативно выявлять и предотвращать незаконные финансовые потоки, а повышение финансовой грамотности способствует более ответственному отношению к управлению валютными активами.</w:t>
      </w:r>
    </w:p>
    <w:p w14:paraId="3CE24C30"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9472DE">
        <w:rPr>
          <w:rFonts w:ascii="Times New Roman" w:hAnsi="Times New Roman"/>
          <w:sz w:val="32"/>
          <w:szCs w:val="32"/>
          <w:lang w:val="ru-RU"/>
        </w:rPr>
        <w:t xml:space="preserve">Центральный банк России играет большую роль в поддержании стабильности рубля. Он использует различные методы, такие как валютные интервенции и регулирование процентных ставок. Геополитические факторы, международные отношения, военные конфликты также влияют на курс рубля. Санкции ограничивают доступ к мировым финансовым рынкам и технологиям, что снижает приток инвестиций и ослабляет национальную валюту, но дает импульс для внутреннего развития экономики страны и отечественного производства. Для повышения эффективности валютного регулирования и адаптации к новым вызовам необходимо учитывать глобальные экономические тенденции, развитие новых технологий. </w:t>
      </w:r>
    </w:p>
    <w:p w14:paraId="5091A823" w14:textId="77777777" w:rsidR="00877DE5" w:rsidRPr="009472DE" w:rsidRDefault="00877DE5" w:rsidP="00B41576">
      <w:pPr>
        <w:pStyle w:val="12"/>
        <w:spacing w:before="0" w:after="0"/>
        <w:ind w:firstLine="709"/>
        <w:jc w:val="both"/>
        <w:rPr>
          <w:rFonts w:ascii="Times New Roman" w:hAnsi="Times New Roman"/>
          <w:sz w:val="32"/>
          <w:szCs w:val="32"/>
          <w:lang w:val="ru-RU"/>
        </w:rPr>
      </w:pPr>
      <w:r w:rsidRPr="009472DE">
        <w:rPr>
          <w:rFonts w:ascii="Times New Roman" w:hAnsi="Times New Roman"/>
          <w:sz w:val="32"/>
          <w:szCs w:val="32"/>
          <w:lang w:val="ru-RU"/>
        </w:rPr>
        <w:t>Для укрепления рубля и повышения стабильности валютного курса в России помимо существующих методов можно разработать и внедрить следующие инструменты валютного регулирования:</w:t>
      </w:r>
    </w:p>
    <w:p w14:paraId="7EEC2F03" w14:textId="39370E91"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Style w:val="afb"/>
          <w:rFonts w:ascii="Times New Roman" w:hAnsi="Times New Roman" w:cs="Times New Roman"/>
          <w:b w:val="0"/>
          <w:color w:val="000000" w:themeColor="text1"/>
          <w:sz w:val="32"/>
          <w:szCs w:val="32"/>
          <w:shd w:val="clear" w:color="auto" w:fill="FFFFFF"/>
        </w:rPr>
        <w:t>1)</w:t>
      </w:r>
      <w:r w:rsidR="00B41576">
        <w:rPr>
          <w:rStyle w:val="afb"/>
          <w:rFonts w:ascii="Times New Roman" w:hAnsi="Times New Roman" w:cs="Times New Roman"/>
          <w:b w:val="0"/>
          <w:color w:val="000000" w:themeColor="text1"/>
          <w:sz w:val="32"/>
          <w:szCs w:val="32"/>
          <w:shd w:val="clear" w:color="auto" w:fill="FFFFFF"/>
        </w:rPr>
        <w:t xml:space="preserve"> </w:t>
      </w:r>
      <w:r w:rsidRPr="00163672">
        <w:rPr>
          <w:rStyle w:val="afb"/>
          <w:rFonts w:ascii="Times New Roman" w:hAnsi="Times New Roman" w:cs="Times New Roman"/>
          <w:b w:val="0"/>
          <w:color w:val="000000" w:themeColor="text1"/>
          <w:sz w:val="32"/>
          <w:szCs w:val="32"/>
          <w:shd w:val="clear" w:color="auto" w:fill="FFFFFF"/>
        </w:rPr>
        <w:t>Разработка и внедрение более точных моделей прогнозирования валютного курса:</w:t>
      </w:r>
      <w:r w:rsidRPr="00163672">
        <w:rPr>
          <w:rFonts w:ascii="Times New Roman" w:hAnsi="Times New Roman" w:cs="Times New Roman"/>
          <w:color w:val="000000" w:themeColor="text1"/>
          <w:sz w:val="32"/>
          <w:szCs w:val="32"/>
          <w:shd w:val="clear" w:color="auto" w:fill="FFFFFF"/>
        </w:rPr>
        <w:t xml:space="preserve"> Эти модели должны учитывать не только цены на нефть и другие сырьевые товары, но и глобальные экономические тенденции, политические риски и технологические изменения. Это позволит более точно прогнозировать колебания курса и принимать обоснованные решения.  </w:t>
      </w:r>
    </w:p>
    <w:p w14:paraId="45D4804C" w14:textId="1036A4C0"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Style w:val="afb"/>
          <w:rFonts w:ascii="Times New Roman" w:hAnsi="Times New Roman" w:cs="Times New Roman"/>
          <w:b w:val="0"/>
          <w:color w:val="000000" w:themeColor="text1"/>
          <w:sz w:val="32"/>
          <w:szCs w:val="32"/>
          <w:shd w:val="clear" w:color="auto" w:fill="FFFFFF"/>
        </w:rPr>
        <w:t>2)</w:t>
      </w:r>
      <w:r w:rsidR="00B41576">
        <w:rPr>
          <w:rStyle w:val="afb"/>
          <w:rFonts w:ascii="Times New Roman" w:hAnsi="Times New Roman" w:cs="Times New Roman"/>
          <w:b w:val="0"/>
          <w:color w:val="000000" w:themeColor="text1"/>
          <w:sz w:val="32"/>
          <w:szCs w:val="32"/>
          <w:shd w:val="clear" w:color="auto" w:fill="FFFFFF"/>
        </w:rPr>
        <w:t xml:space="preserve"> </w:t>
      </w:r>
      <w:r w:rsidRPr="00163672">
        <w:rPr>
          <w:rStyle w:val="afb"/>
          <w:rFonts w:ascii="Times New Roman" w:hAnsi="Times New Roman" w:cs="Times New Roman"/>
          <w:b w:val="0"/>
          <w:color w:val="000000" w:themeColor="text1"/>
          <w:sz w:val="32"/>
          <w:szCs w:val="32"/>
          <w:shd w:val="clear" w:color="auto" w:fill="FFFFFF"/>
        </w:rPr>
        <w:t>Создание резервных фондов:</w:t>
      </w:r>
      <w:r w:rsidRPr="00163672">
        <w:rPr>
          <w:rFonts w:ascii="Times New Roman" w:hAnsi="Times New Roman" w:cs="Times New Roman"/>
          <w:color w:val="000000" w:themeColor="text1"/>
          <w:sz w:val="32"/>
          <w:szCs w:val="32"/>
          <w:shd w:val="clear" w:color="auto" w:fill="FFFFFF"/>
        </w:rPr>
        <w:t xml:space="preserve"> Резервные фонды, такие как Фонд национального благосостояния, позволяют проводить интервенции в условиях значительных колебаний курса без </w:t>
      </w:r>
      <w:r w:rsidRPr="00163672">
        <w:rPr>
          <w:rFonts w:ascii="Times New Roman" w:hAnsi="Times New Roman" w:cs="Times New Roman"/>
          <w:color w:val="000000" w:themeColor="text1"/>
          <w:sz w:val="32"/>
          <w:szCs w:val="32"/>
          <w:shd w:val="clear" w:color="auto" w:fill="FFFFFF"/>
        </w:rPr>
        <w:lastRenderedPageBreak/>
        <w:t>негативного влияния на бюджет. Это помогает стабилизировать курс рубля и защитить экономику от внешних шоков.  </w:t>
      </w:r>
    </w:p>
    <w:p w14:paraId="044AC758" w14:textId="1B5B0596"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Style w:val="afb"/>
          <w:rFonts w:ascii="Times New Roman" w:hAnsi="Times New Roman" w:cs="Times New Roman"/>
          <w:b w:val="0"/>
          <w:color w:val="000000" w:themeColor="text1"/>
          <w:sz w:val="32"/>
          <w:szCs w:val="32"/>
          <w:shd w:val="clear" w:color="auto" w:fill="FFFFFF"/>
        </w:rPr>
        <w:t>3)</w:t>
      </w:r>
      <w:r w:rsidR="00B41576">
        <w:rPr>
          <w:rStyle w:val="afb"/>
          <w:rFonts w:ascii="Times New Roman" w:hAnsi="Times New Roman" w:cs="Times New Roman"/>
          <w:b w:val="0"/>
          <w:color w:val="000000" w:themeColor="text1"/>
          <w:sz w:val="32"/>
          <w:szCs w:val="32"/>
          <w:shd w:val="clear" w:color="auto" w:fill="FFFFFF"/>
        </w:rPr>
        <w:t xml:space="preserve"> </w:t>
      </w:r>
      <w:r w:rsidRPr="00163672">
        <w:rPr>
          <w:rStyle w:val="afb"/>
          <w:rFonts w:ascii="Times New Roman" w:hAnsi="Times New Roman" w:cs="Times New Roman"/>
          <w:b w:val="0"/>
          <w:color w:val="000000" w:themeColor="text1"/>
          <w:sz w:val="32"/>
          <w:szCs w:val="32"/>
          <w:shd w:val="clear" w:color="auto" w:fill="FFFFFF"/>
        </w:rPr>
        <w:t>Разработка алгоритмов и моделей для выявления потенциальных угроз:</w:t>
      </w:r>
      <w:r w:rsidRPr="00163672">
        <w:rPr>
          <w:rFonts w:ascii="Times New Roman" w:hAnsi="Times New Roman" w:cs="Times New Roman"/>
          <w:color w:val="000000" w:themeColor="text1"/>
          <w:sz w:val="32"/>
          <w:szCs w:val="32"/>
          <w:shd w:val="clear" w:color="auto" w:fill="FFFFFF"/>
        </w:rPr>
        <w:t xml:space="preserve"> Использование больших данных, машинного обучения и искусственного интеллекта позволяет более точно прогнозировать риски. Алгоритмы анализируют различные факторы, такие как экономические показатели, политические события и технологические изменения.  </w:t>
      </w:r>
    </w:p>
    <w:p w14:paraId="43CE2561" w14:textId="0DF208F0"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Fonts w:ascii="Times New Roman" w:hAnsi="Times New Roman" w:cs="Times New Roman"/>
          <w:color w:val="000000" w:themeColor="text1"/>
          <w:sz w:val="32"/>
          <w:szCs w:val="32"/>
          <w:shd w:val="clear" w:color="auto" w:fill="FFFFFF"/>
        </w:rPr>
        <w:t>4)</w:t>
      </w:r>
      <w:r w:rsidR="00B41576">
        <w:rPr>
          <w:rFonts w:ascii="Times New Roman" w:hAnsi="Times New Roman" w:cs="Times New Roman"/>
          <w:color w:val="000000" w:themeColor="text1"/>
          <w:sz w:val="32"/>
          <w:szCs w:val="32"/>
          <w:shd w:val="clear" w:color="auto" w:fill="FFFFFF"/>
        </w:rPr>
        <w:t xml:space="preserve"> </w:t>
      </w:r>
      <w:r w:rsidRPr="00163672">
        <w:rPr>
          <w:rStyle w:val="afb"/>
          <w:rFonts w:ascii="Times New Roman" w:hAnsi="Times New Roman" w:cs="Times New Roman"/>
          <w:b w:val="0"/>
          <w:color w:val="000000" w:themeColor="text1"/>
          <w:sz w:val="32"/>
          <w:szCs w:val="32"/>
          <w:shd w:val="clear" w:color="auto" w:fill="FFFFFF"/>
        </w:rPr>
        <w:t>Публикация данных:</w:t>
      </w:r>
      <w:r w:rsidRPr="00163672">
        <w:rPr>
          <w:rFonts w:ascii="Times New Roman" w:hAnsi="Times New Roman" w:cs="Times New Roman"/>
          <w:color w:val="000000" w:themeColor="text1"/>
          <w:sz w:val="32"/>
          <w:szCs w:val="32"/>
          <w:shd w:val="clear" w:color="auto" w:fill="FFFFFF"/>
        </w:rPr>
        <w:t xml:space="preserve"> Публикация информации о валютных интервенциях и мерах регулирования повышает прозрачность действий регулятора и снижает спекулятивные настроения. Регулярное информирование о целях и инструментах валютной политики повышает доверие к регулятору.  </w:t>
      </w:r>
    </w:p>
    <w:p w14:paraId="567CCCBC" w14:textId="194D9091"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Style w:val="afb"/>
          <w:rFonts w:ascii="Times New Roman" w:hAnsi="Times New Roman" w:cs="Times New Roman"/>
          <w:b w:val="0"/>
          <w:color w:val="000000" w:themeColor="text1"/>
          <w:sz w:val="32"/>
          <w:szCs w:val="32"/>
          <w:shd w:val="clear" w:color="auto" w:fill="FFFFFF"/>
        </w:rPr>
        <w:t>5)</w:t>
      </w:r>
      <w:r w:rsidR="00B41576">
        <w:rPr>
          <w:rStyle w:val="afb"/>
          <w:rFonts w:ascii="Times New Roman" w:hAnsi="Times New Roman" w:cs="Times New Roman"/>
          <w:b w:val="0"/>
          <w:color w:val="000000" w:themeColor="text1"/>
          <w:sz w:val="32"/>
          <w:szCs w:val="32"/>
          <w:shd w:val="clear" w:color="auto" w:fill="FFFFFF"/>
        </w:rPr>
        <w:t xml:space="preserve"> </w:t>
      </w:r>
      <w:r w:rsidRPr="00163672">
        <w:rPr>
          <w:rStyle w:val="afb"/>
          <w:rFonts w:ascii="Times New Roman" w:hAnsi="Times New Roman" w:cs="Times New Roman"/>
          <w:b w:val="0"/>
          <w:color w:val="000000" w:themeColor="text1"/>
          <w:sz w:val="32"/>
          <w:szCs w:val="32"/>
          <w:shd w:val="clear" w:color="auto" w:fill="FFFFFF"/>
        </w:rPr>
        <w:t>Регулярные стресс-тесты</w:t>
      </w:r>
      <w:proofErr w:type="gramStart"/>
      <w:r w:rsidRPr="00163672">
        <w:rPr>
          <w:rStyle w:val="afb"/>
          <w:rFonts w:ascii="Times New Roman" w:hAnsi="Times New Roman" w:cs="Times New Roman"/>
          <w:b w:val="0"/>
          <w:color w:val="000000" w:themeColor="text1"/>
          <w:sz w:val="32"/>
          <w:szCs w:val="32"/>
          <w:shd w:val="clear" w:color="auto" w:fill="FFFFFF"/>
        </w:rPr>
        <w:t>:</w:t>
      </w:r>
      <w:r w:rsidR="00B22211">
        <w:rPr>
          <w:rStyle w:val="afb"/>
          <w:rFonts w:ascii="Times New Roman" w:hAnsi="Times New Roman" w:cs="Times New Roman"/>
          <w:b w:val="0"/>
          <w:color w:val="000000" w:themeColor="text1"/>
          <w:sz w:val="32"/>
          <w:szCs w:val="32"/>
          <w:shd w:val="clear" w:color="auto" w:fill="FFFFFF"/>
        </w:rPr>
        <w:t xml:space="preserve"> </w:t>
      </w:r>
      <w:r w:rsidRPr="00163672">
        <w:rPr>
          <w:rFonts w:ascii="Times New Roman" w:hAnsi="Times New Roman" w:cs="Times New Roman"/>
          <w:color w:val="000000" w:themeColor="text1"/>
          <w:sz w:val="32"/>
          <w:szCs w:val="32"/>
          <w:shd w:val="clear" w:color="auto" w:fill="FFFFFF"/>
        </w:rPr>
        <w:t>Они</w:t>
      </w:r>
      <w:proofErr w:type="gramEnd"/>
      <w:r w:rsidRPr="00163672">
        <w:rPr>
          <w:rFonts w:ascii="Times New Roman" w:hAnsi="Times New Roman" w:cs="Times New Roman"/>
          <w:color w:val="000000" w:themeColor="text1"/>
          <w:sz w:val="32"/>
          <w:szCs w:val="32"/>
          <w:shd w:val="clear" w:color="auto" w:fill="FFFFFF"/>
        </w:rPr>
        <w:t xml:space="preserve"> оценивают устойчивость валютной системы к различным шокам, таким как снижение цен на нефть или экономические санкции. Использование результатов стресс-тестов позволяет корректировать меры валютного регулирования и повышать устойчивость системы.  </w:t>
      </w:r>
    </w:p>
    <w:p w14:paraId="0CC7219D" w14:textId="4FAFD90D"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Fonts w:ascii="Times New Roman" w:hAnsi="Times New Roman" w:cs="Times New Roman"/>
          <w:color w:val="000000" w:themeColor="text1"/>
          <w:sz w:val="32"/>
          <w:szCs w:val="32"/>
          <w:shd w:val="clear" w:color="auto" w:fill="FFFFFF"/>
        </w:rPr>
        <w:t>6)</w:t>
      </w:r>
      <w:r w:rsidR="00B41576">
        <w:rPr>
          <w:rFonts w:ascii="Times New Roman" w:hAnsi="Times New Roman" w:cs="Times New Roman"/>
          <w:color w:val="000000" w:themeColor="text1"/>
          <w:sz w:val="32"/>
          <w:szCs w:val="32"/>
          <w:shd w:val="clear" w:color="auto" w:fill="FFFFFF"/>
        </w:rPr>
        <w:t xml:space="preserve"> </w:t>
      </w:r>
      <w:r w:rsidRPr="00163672">
        <w:rPr>
          <w:rFonts w:ascii="Times New Roman" w:hAnsi="Times New Roman" w:cs="Times New Roman"/>
          <w:color w:val="000000" w:themeColor="text1"/>
          <w:sz w:val="32"/>
          <w:szCs w:val="32"/>
          <w:shd w:val="clear" w:color="auto" w:fill="FFFFFF"/>
        </w:rPr>
        <w:t xml:space="preserve">Диверсификация источников валютного дохода: Снижение зависимости от экспорта одного или нескольких сырьевых товаров, таких как нефть, позволяет уменьшить волатильность курса рубля. Развитие других экспортных направлений и диверсификация экономики делают ее более устойчивой к внешним шокам.  </w:t>
      </w:r>
    </w:p>
    <w:p w14:paraId="4E614B4B" w14:textId="2826A16A" w:rsidR="00877DE5" w:rsidRPr="00163672"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Fonts w:ascii="Times New Roman" w:hAnsi="Times New Roman" w:cs="Times New Roman"/>
          <w:color w:val="000000" w:themeColor="text1"/>
          <w:sz w:val="32"/>
          <w:szCs w:val="32"/>
          <w:shd w:val="clear" w:color="auto" w:fill="FFFFFF"/>
        </w:rPr>
        <w:t>7)</w:t>
      </w:r>
      <w:r w:rsidR="00B41576">
        <w:rPr>
          <w:rFonts w:ascii="Times New Roman" w:hAnsi="Times New Roman" w:cs="Times New Roman"/>
          <w:color w:val="000000" w:themeColor="text1"/>
          <w:sz w:val="32"/>
          <w:szCs w:val="32"/>
          <w:shd w:val="clear" w:color="auto" w:fill="FFFFFF"/>
        </w:rPr>
        <w:t xml:space="preserve"> </w:t>
      </w:r>
      <w:r w:rsidRPr="00163672">
        <w:rPr>
          <w:rFonts w:ascii="Times New Roman" w:hAnsi="Times New Roman" w:cs="Times New Roman"/>
          <w:color w:val="000000" w:themeColor="text1"/>
          <w:sz w:val="32"/>
          <w:szCs w:val="32"/>
          <w:shd w:val="clear" w:color="auto" w:fill="FFFFFF"/>
        </w:rPr>
        <w:t>Укрепление рубля может быть достигнуто путём наращивания отечественного производства, снижения импорта, увеличения экспорта и развития новых технологий в России. Эти меры способствуют повышению экономической самостоятельности и конкурентоспособности страны на международной арене.</w:t>
      </w:r>
    </w:p>
    <w:p w14:paraId="05924C20" w14:textId="77777777" w:rsidR="00877DE5" w:rsidRPr="009472DE" w:rsidRDefault="00877DE5" w:rsidP="00B41576">
      <w:pPr>
        <w:shd w:val="clear" w:color="auto" w:fill="FFFFFF"/>
        <w:spacing w:after="0" w:line="240" w:lineRule="auto"/>
        <w:ind w:firstLine="709"/>
        <w:jc w:val="both"/>
        <w:rPr>
          <w:rFonts w:ascii="Times New Roman" w:hAnsi="Times New Roman" w:cs="Times New Roman"/>
          <w:color w:val="000000" w:themeColor="text1"/>
          <w:sz w:val="32"/>
          <w:szCs w:val="32"/>
          <w:shd w:val="clear" w:color="auto" w:fill="FFFFFF"/>
        </w:rPr>
      </w:pPr>
      <w:r w:rsidRPr="00163672">
        <w:rPr>
          <w:rFonts w:ascii="Times New Roman" w:hAnsi="Times New Roman" w:cs="Times New Roman"/>
          <w:color w:val="000000" w:themeColor="text1"/>
          <w:sz w:val="32"/>
          <w:szCs w:val="32"/>
          <w:shd w:val="clear" w:color="auto" w:fill="FFFFFF"/>
        </w:rPr>
        <w:t>Таким образом, эффективное</w:t>
      </w:r>
      <w:r w:rsidRPr="009472DE">
        <w:rPr>
          <w:rFonts w:ascii="Times New Roman" w:hAnsi="Times New Roman" w:cs="Times New Roman"/>
          <w:color w:val="000000" w:themeColor="text1"/>
          <w:sz w:val="32"/>
          <w:szCs w:val="32"/>
          <w:shd w:val="clear" w:color="auto" w:fill="FFFFFF"/>
        </w:rPr>
        <w:t xml:space="preserve"> управление валютным рынком требует комплексного подхода, который сочетает гибкость и использование цифровых технологий. Важно учитывать уроки прошлого и адаптироваться к современным вызовам. Развитие инфраструктуры, повышение финансовой грамотности и мониторинг рисков способствуют созданию устойчивой и надёжной финансовой системы, которая способна эффективно реагировать на любые изменения и защищать интересы всех участников рынка. Для эффективного управления валютным курсом и обеспечения стабильности национальной валюты необходимо использовать различные инструменты и методы. Это включает в себя разработку </w:t>
      </w:r>
      <w:r w:rsidRPr="009472DE">
        <w:rPr>
          <w:rFonts w:ascii="Times New Roman" w:hAnsi="Times New Roman" w:cs="Times New Roman"/>
          <w:color w:val="000000" w:themeColor="text1"/>
          <w:sz w:val="32"/>
          <w:szCs w:val="32"/>
          <w:shd w:val="clear" w:color="auto" w:fill="FFFFFF"/>
        </w:rPr>
        <w:lastRenderedPageBreak/>
        <w:t>точных моделей прогнозирования, использование инструментов монетарной политики, создание резервных фондов, применение алгоритмов для выявления угроз, публикацию данных о регуляторных мерах и проведение регулярных стресс-тестов. Такие меры позволят более точно прогнозировать колебания курса, своевременно реагировать на риски и обеспечивать устойчивость валютной системы в условиях внешних шоков.</w:t>
      </w:r>
    </w:p>
    <w:p w14:paraId="587F0CDD" w14:textId="77777777" w:rsidR="00877DE5" w:rsidRPr="009472DE" w:rsidRDefault="00877DE5" w:rsidP="00067100">
      <w:pPr>
        <w:shd w:val="clear" w:color="auto" w:fill="FFFFFF"/>
        <w:spacing w:after="0" w:line="240" w:lineRule="auto"/>
        <w:ind w:firstLine="709"/>
        <w:jc w:val="center"/>
        <w:rPr>
          <w:rFonts w:ascii="Times New Roman" w:hAnsi="Times New Roman" w:cs="Times New Roman"/>
          <w:b/>
          <w:bCs/>
          <w:color w:val="0D0D0D" w:themeColor="text1" w:themeTint="F2"/>
          <w:sz w:val="21"/>
          <w:szCs w:val="21"/>
        </w:rPr>
      </w:pPr>
      <w:r w:rsidRPr="009472DE">
        <w:rPr>
          <w:rFonts w:ascii="Times New Roman" w:hAnsi="Times New Roman" w:cs="Times New Roman"/>
          <w:b/>
          <w:bCs/>
          <w:color w:val="0D0D0D" w:themeColor="text1" w:themeTint="F2"/>
          <w:sz w:val="21"/>
          <w:szCs w:val="21"/>
        </w:rPr>
        <w:t>Литература:</w:t>
      </w:r>
    </w:p>
    <w:p w14:paraId="1D1D5EB1" w14:textId="37D09F34" w:rsidR="00877DE5" w:rsidRPr="003D5F9F" w:rsidRDefault="00877DE5" w:rsidP="003D5F9F">
      <w:pPr>
        <w:shd w:val="clear" w:color="auto" w:fill="FFFFFF"/>
        <w:spacing w:after="0" w:line="240" w:lineRule="auto"/>
        <w:jc w:val="both"/>
        <w:rPr>
          <w:rFonts w:ascii="Times New Roman" w:hAnsi="Times New Roman" w:cs="Times New Roman"/>
          <w:sz w:val="21"/>
          <w:szCs w:val="21"/>
        </w:rPr>
      </w:pPr>
      <w:r w:rsidRPr="003D5F9F">
        <w:rPr>
          <w:rFonts w:ascii="Times New Roman" w:hAnsi="Times New Roman" w:cs="Times New Roman"/>
          <w:sz w:val="21"/>
          <w:szCs w:val="21"/>
        </w:rPr>
        <w:t>1.</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Махсудов О.Ш.,</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Максудов М. Валютная политика Банка России: валютное регулирование и валютный контроль // Российское предпринимательство – 2014 – №23.</w:t>
      </w:r>
    </w:p>
    <w:p w14:paraId="0AC66F11" w14:textId="59785BBD" w:rsidR="00877DE5" w:rsidRPr="003D5F9F" w:rsidRDefault="00877DE5" w:rsidP="003D5F9F">
      <w:pPr>
        <w:shd w:val="clear" w:color="auto" w:fill="FFFFFF"/>
        <w:spacing w:after="0" w:line="240" w:lineRule="auto"/>
        <w:jc w:val="both"/>
        <w:rPr>
          <w:rFonts w:ascii="Times New Roman" w:hAnsi="Times New Roman" w:cs="Times New Roman"/>
          <w:sz w:val="21"/>
          <w:szCs w:val="21"/>
        </w:rPr>
      </w:pPr>
      <w:r w:rsidRPr="003D5F9F">
        <w:rPr>
          <w:rFonts w:ascii="Times New Roman" w:hAnsi="Times New Roman" w:cs="Times New Roman"/>
          <w:sz w:val="21"/>
          <w:szCs w:val="21"/>
        </w:rPr>
        <w:t>2.</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Федеральный закон от 10.12.2003 № 173-ФЗ «О валютном регулировании и валютном контроле» [</w:t>
      </w:r>
      <w:r w:rsidRPr="003D5F9F">
        <w:rPr>
          <w:rFonts w:ascii="Times New Roman" w:hAnsi="Times New Roman" w:cs="Times New Roman"/>
          <w:sz w:val="21"/>
          <w:szCs w:val="21"/>
          <w:lang w:val="en-US"/>
        </w:rPr>
        <w:t>https</w:t>
      </w:r>
      <w:r w:rsidRPr="003D5F9F">
        <w:rPr>
          <w:rFonts w:ascii="Times New Roman" w:hAnsi="Times New Roman" w:cs="Times New Roman"/>
          <w:sz w:val="21"/>
          <w:szCs w:val="21"/>
        </w:rPr>
        <w:t>://</w:t>
      </w:r>
      <w:r w:rsidRPr="003D5F9F">
        <w:rPr>
          <w:rFonts w:ascii="Times New Roman" w:hAnsi="Times New Roman" w:cs="Times New Roman"/>
          <w:sz w:val="21"/>
          <w:szCs w:val="21"/>
          <w:lang w:val="en-US"/>
        </w:rPr>
        <w:t>www</w:t>
      </w:r>
      <w:r w:rsidRPr="003D5F9F">
        <w:rPr>
          <w:rFonts w:ascii="Times New Roman" w:hAnsi="Times New Roman" w:cs="Times New Roman"/>
          <w:sz w:val="21"/>
          <w:szCs w:val="21"/>
        </w:rPr>
        <w:t>.</w:t>
      </w:r>
      <w:r w:rsidRPr="003D5F9F">
        <w:rPr>
          <w:rFonts w:ascii="Times New Roman" w:hAnsi="Times New Roman" w:cs="Times New Roman"/>
          <w:sz w:val="21"/>
          <w:szCs w:val="21"/>
          <w:lang w:val="en-US"/>
        </w:rPr>
        <w:t>consultant</w:t>
      </w:r>
      <w:r w:rsidRPr="003D5F9F">
        <w:rPr>
          <w:rFonts w:ascii="Times New Roman" w:hAnsi="Times New Roman" w:cs="Times New Roman"/>
          <w:sz w:val="21"/>
          <w:szCs w:val="21"/>
        </w:rPr>
        <w:t>.</w:t>
      </w:r>
      <w:r w:rsidRPr="003D5F9F">
        <w:rPr>
          <w:rFonts w:ascii="Times New Roman" w:hAnsi="Times New Roman" w:cs="Times New Roman"/>
          <w:sz w:val="21"/>
          <w:szCs w:val="21"/>
          <w:lang w:val="en-US"/>
        </w:rPr>
        <w:t>ru</w:t>
      </w:r>
      <w:r w:rsidRPr="003D5F9F">
        <w:rPr>
          <w:rFonts w:ascii="Times New Roman" w:hAnsi="Times New Roman" w:cs="Times New Roman"/>
          <w:sz w:val="21"/>
          <w:szCs w:val="21"/>
        </w:rPr>
        <w:t>/</w:t>
      </w:r>
      <w:r w:rsidRPr="003D5F9F">
        <w:rPr>
          <w:rFonts w:ascii="Times New Roman" w:hAnsi="Times New Roman" w:cs="Times New Roman"/>
          <w:sz w:val="21"/>
          <w:szCs w:val="21"/>
          <w:lang w:val="en-US"/>
        </w:rPr>
        <w:t>document</w:t>
      </w:r>
      <w:r w:rsidRPr="003D5F9F">
        <w:rPr>
          <w:rFonts w:ascii="Times New Roman" w:hAnsi="Times New Roman" w:cs="Times New Roman"/>
          <w:sz w:val="21"/>
          <w:szCs w:val="21"/>
        </w:rPr>
        <w:t>/</w:t>
      </w:r>
      <w:r w:rsidRPr="003D5F9F">
        <w:rPr>
          <w:rFonts w:ascii="Times New Roman" w:hAnsi="Times New Roman" w:cs="Times New Roman"/>
          <w:sz w:val="21"/>
          <w:szCs w:val="21"/>
          <w:lang w:val="en-US"/>
        </w:rPr>
        <w:t>cons</w:t>
      </w:r>
      <w:r w:rsidRPr="003D5F9F">
        <w:rPr>
          <w:rFonts w:ascii="Times New Roman" w:hAnsi="Times New Roman" w:cs="Times New Roman"/>
          <w:sz w:val="21"/>
          <w:szCs w:val="21"/>
        </w:rPr>
        <w:t>_</w:t>
      </w:r>
      <w:r w:rsidRPr="003D5F9F">
        <w:rPr>
          <w:rFonts w:ascii="Times New Roman" w:hAnsi="Times New Roman" w:cs="Times New Roman"/>
          <w:sz w:val="21"/>
          <w:szCs w:val="21"/>
          <w:lang w:val="en-US"/>
        </w:rPr>
        <w:t>doc</w:t>
      </w:r>
      <w:r w:rsidRPr="003D5F9F">
        <w:rPr>
          <w:rFonts w:ascii="Times New Roman" w:hAnsi="Times New Roman" w:cs="Times New Roman"/>
          <w:sz w:val="21"/>
          <w:szCs w:val="21"/>
        </w:rPr>
        <w:t>_</w:t>
      </w:r>
      <w:r w:rsidRPr="003D5F9F">
        <w:rPr>
          <w:rFonts w:ascii="Times New Roman" w:hAnsi="Times New Roman" w:cs="Times New Roman"/>
          <w:sz w:val="21"/>
          <w:szCs w:val="21"/>
          <w:lang w:val="en-US"/>
        </w:rPr>
        <w:t>LAW</w:t>
      </w:r>
      <w:r w:rsidRPr="003D5F9F">
        <w:rPr>
          <w:rFonts w:ascii="Times New Roman" w:hAnsi="Times New Roman" w:cs="Times New Roman"/>
          <w:sz w:val="21"/>
          <w:szCs w:val="21"/>
        </w:rPr>
        <w:t>_45458/]</w:t>
      </w:r>
    </w:p>
    <w:p w14:paraId="799F8C94" w14:textId="77777777" w:rsidR="00877DE5" w:rsidRPr="003D5F9F" w:rsidRDefault="00877DE5" w:rsidP="003D5F9F">
      <w:pPr>
        <w:shd w:val="clear" w:color="auto" w:fill="FFFFFF"/>
        <w:spacing w:after="0" w:line="240" w:lineRule="auto"/>
        <w:jc w:val="both"/>
        <w:rPr>
          <w:rFonts w:ascii="Times New Roman" w:hAnsi="Times New Roman" w:cs="Times New Roman"/>
          <w:sz w:val="21"/>
          <w:szCs w:val="21"/>
        </w:rPr>
      </w:pPr>
      <w:r w:rsidRPr="003D5F9F">
        <w:rPr>
          <w:rFonts w:ascii="Times New Roman" w:hAnsi="Times New Roman" w:cs="Times New Roman"/>
          <w:sz w:val="21"/>
          <w:szCs w:val="21"/>
        </w:rPr>
        <w:t>3. Пищик В.Я. Особенности современных валютных интервенций как механизма регулирования валютного курса российского рубля// Экономика и предпринимательство. – 2018 – №4.</w:t>
      </w:r>
    </w:p>
    <w:p w14:paraId="78E10CD0" w14:textId="7964574B" w:rsidR="00877DE5" w:rsidRPr="003D5F9F" w:rsidRDefault="00877DE5" w:rsidP="003D5F9F">
      <w:pPr>
        <w:shd w:val="clear" w:color="auto" w:fill="FFFFFF"/>
        <w:spacing w:after="0" w:line="240" w:lineRule="auto"/>
        <w:jc w:val="both"/>
        <w:rPr>
          <w:rFonts w:ascii="Times New Roman" w:hAnsi="Times New Roman" w:cs="Times New Roman"/>
          <w:sz w:val="21"/>
          <w:szCs w:val="21"/>
        </w:rPr>
      </w:pPr>
      <w:r w:rsidRPr="003D5F9F">
        <w:rPr>
          <w:rFonts w:ascii="Times New Roman" w:hAnsi="Times New Roman" w:cs="Times New Roman"/>
          <w:sz w:val="21"/>
          <w:szCs w:val="21"/>
        </w:rPr>
        <w:t>4.</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Понаморенко В.Е. Тенденции развития валютного контроля в России в условиях цифровизации экономики // Юридическая наука. – 2018. – № 2.</w:t>
      </w:r>
    </w:p>
    <w:p w14:paraId="6CB57BEC" w14:textId="0701156B" w:rsidR="00877DE5" w:rsidRPr="003D5F9F" w:rsidRDefault="00877DE5" w:rsidP="003D5F9F">
      <w:pPr>
        <w:shd w:val="clear" w:color="auto" w:fill="FFFFFF"/>
        <w:spacing w:after="0" w:line="240" w:lineRule="auto"/>
        <w:rPr>
          <w:rFonts w:ascii="Times New Roman" w:hAnsi="Times New Roman" w:cs="Times New Roman"/>
          <w:sz w:val="21"/>
          <w:szCs w:val="21"/>
        </w:rPr>
      </w:pPr>
      <w:r w:rsidRPr="003D5F9F">
        <w:rPr>
          <w:rFonts w:ascii="Times New Roman" w:hAnsi="Times New Roman" w:cs="Times New Roman"/>
          <w:sz w:val="21"/>
          <w:szCs w:val="21"/>
        </w:rPr>
        <w:t>5.</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Электронный ресурс</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w:t>
      </w:r>
      <w:hyperlink r:id="rId133" w:history="1">
        <w:r w:rsidRPr="003D5F9F">
          <w:rPr>
            <w:rStyle w:val="aa"/>
            <w:rFonts w:ascii="Times New Roman" w:hAnsi="Times New Roman" w:cs="Times New Roman"/>
            <w:color w:val="auto"/>
            <w:sz w:val="21"/>
            <w:szCs w:val="21"/>
            <w:u w:val="none"/>
            <w:lang w:val="en-US"/>
          </w:rPr>
          <w:t>https</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minfin</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gov</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ru</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ru</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document</w:t>
        </w:r>
        <w:r w:rsidRPr="003D5F9F">
          <w:rPr>
            <w:rStyle w:val="aa"/>
            <w:rFonts w:ascii="Times New Roman" w:hAnsi="Times New Roman" w:cs="Times New Roman"/>
            <w:color w:val="auto"/>
            <w:sz w:val="21"/>
            <w:szCs w:val="21"/>
            <w:u w:val="none"/>
          </w:rPr>
          <w:t>/?</w:t>
        </w:r>
        <w:r w:rsidRPr="003D5F9F">
          <w:rPr>
            <w:rStyle w:val="aa"/>
            <w:rFonts w:ascii="Times New Roman" w:hAnsi="Times New Roman" w:cs="Times New Roman"/>
            <w:color w:val="auto"/>
            <w:sz w:val="21"/>
            <w:szCs w:val="21"/>
            <w:u w:val="none"/>
            <w:lang w:val="en-US"/>
          </w:rPr>
          <w:t>id</w:t>
        </w:r>
        <w:r w:rsidRPr="003D5F9F">
          <w:rPr>
            <w:rStyle w:val="aa"/>
            <w:rFonts w:ascii="Times New Roman" w:hAnsi="Times New Roman" w:cs="Times New Roman"/>
            <w:color w:val="auto"/>
            <w:sz w:val="21"/>
            <w:szCs w:val="21"/>
            <w:u w:val="none"/>
          </w:rPr>
          <w:t>_4=121810</w:t>
        </w:r>
        <w:r w:rsidRPr="003D5F9F">
          <w:rPr>
            <w:rStyle w:val="aa"/>
            <w:rFonts w:ascii="Times New Roman" w:hAnsi="Times New Roman" w:cs="Times New Roman"/>
            <w:color w:val="auto"/>
            <w:sz w:val="21"/>
            <w:szCs w:val="21"/>
            <w:u w:val="none"/>
            <w:lang w:val="en-US"/>
          </w:rPr>
          <w:t>proekt</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federalnogo</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zakona</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o</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tsifrovykh</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finansovykh</w:t>
        </w:r>
        <w:r w:rsidRPr="003D5F9F">
          <w:rPr>
            <w:rStyle w:val="aa"/>
            <w:rFonts w:ascii="Times New Roman" w:hAnsi="Times New Roman" w:cs="Times New Roman"/>
            <w:color w:val="auto"/>
            <w:sz w:val="21"/>
            <w:szCs w:val="21"/>
            <w:u w:val="none"/>
          </w:rPr>
          <w:t>_</w:t>
        </w:r>
        <w:r w:rsidRPr="003D5F9F">
          <w:rPr>
            <w:rStyle w:val="aa"/>
            <w:rFonts w:ascii="Times New Roman" w:hAnsi="Times New Roman" w:cs="Times New Roman"/>
            <w:color w:val="auto"/>
            <w:sz w:val="21"/>
            <w:szCs w:val="21"/>
            <w:u w:val="none"/>
            <w:lang w:val="en-US"/>
          </w:rPr>
          <w:t>aktivakh</w:t>
        </w:r>
      </w:hyperlink>
      <w:r w:rsidRPr="003D5F9F">
        <w:rPr>
          <w:rFonts w:ascii="Times New Roman" w:hAnsi="Times New Roman" w:cs="Times New Roman"/>
          <w:sz w:val="21"/>
          <w:szCs w:val="21"/>
        </w:rPr>
        <w:t>] (дата обращения: 10.05.2025)</w:t>
      </w:r>
    </w:p>
    <w:p w14:paraId="09601063" w14:textId="5A0039E2" w:rsidR="00877DE5" w:rsidRPr="003D5F9F" w:rsidRDefault="00877DE5" w:rsidP="003D5F9F">
      <w:pPr>
        <w:shd w:val="clear" w:color="auto" w:fill="FFFFFF"/>
        <w:spacing w:after="0" w:line="240" w:lineRule="auto"/>
        <w:jc w:val="both"/>
        <w:rPr>
          <w:rFonts w:ascii="Times New Roman" w:hAnsi="Times New Roman" w:cs="Times New Roman"/>
          <w:sz w:val="21"/>
          <w:szCs w:val="21"/>
        </w:rPr>
      </w:pPr>
      <w:r w:rsidRPr="003D5F9F">
        <w:rPr>
          <w:rFonts w:ascii="Times New Roman" w:hAnsi="Times New Roman" w:cs="Times New Roman"/>
          <w:sz w:val="21"/>
          <w:szCs w:val="21"/>
        </w:rPr>
        <w:t>6.</w:t>
      </w:r>
      <w:r w:rsidR="003D5F9F">
        <w:rPr>
          <w:rFonts w:ascii="Times New Roman" w:hAnsi="Times New Roman" w:cs="Times New Roman"/>
          <w:sz w:val="21"/>
          <w:szCs w:val="21"/>
        </w:rPr>
        <w:t xml:space="preserve"> </w:t>
      </w:r>
      <w:r w:rsidRPr="003D5F9F">
        <w:rPr>
          <w:rFonts w:ascii="Times New Roman" w:hAnsi="Times New Roman" w:cs="Times New Roman"/>
          <w:sz w:val="21"/>
          <w:szCs w:val="21"/>
        </w:rPr>
        <w:t>Электронный ресурс [</w:t>
      </w:r>
      <w:hyperlink r:id="rId134" w:history="1">
        <w:r w:rsidRPr="003D5F9F">
          <w:rPr>
            <w:rStyle w:val="aa"/>
            <w:rFonts w:ascii="Times New Roman" w:hAnsi="Times New Roman" w:cs="Times New Roman"/>
            <w:color w:val="auto"/>
            <w:sz w:val="21"/>
            <w:szCs w:val="21"/>
            <w:u w:val="none"/>
          </w:rPr>
          <w:t>https://finansist-kras.ru/news/banks/obzor-izmeneniy-valyutnogo-zakonodatelstva-1-kvartal-2025-goda/</w:t>
        </w:r>
      </w:hyperlink>
      <w:r w:rsidRPr="003D5F9F">
        <w:rPr>
          <w:rStyle w:val="aa"/>
          <w:rFonts w:ascii="Times New Roman" w:hAnsi="Times New Roman" w:cs="Times New Roman"/>
          <w:color w:val="auto"/>
          <w:sz w:val="21"/>
          <w:szCs w:val="21"/>
          <w:u w:val="none"/>
        </w:rPr>
        <w:t>]</w:t>
      </w:r>
      <w:r w:rsidRPr="003D5F9F">
        <w:rPr>
          <w:rFonts w:ascii="Times New Roman" w:hAnsi="Times New Roman" w:cs="Times New Roman"/>
          <w:sz w:val="21"/>
          <w:szCs w:val="21"/>
        </w:rPr>
        <w:t xml:space="preserve"> (дата обращения: 10.05.2025)</w:t>
      </w:r>
    </w:p>
    <w:p w14:paraId="45615EFC" w14:textId="77777777" w:rsidR="00877DE5" w:rsidRPr="009472DE" w:rsidRDefault="00877DE5" w:rsidP="00067100">
      <w:pPr>
        <w:shd w:val="clear" w:color="auto" w:fill="FFFFFF"/>
        <w:spacing w:after="0" w:line="240" w:lineRule="auto"/>
        <w:ind w:firstLine="709"/>
        <w:jc w:val="both"/>
        <w:rPr>
          <w:rFonts w:ascii="Times New Roman" w:hAnsi="Times New Roman" w:cs="Times New Roman"/>
          <w:color w:val="0D0D0D" w:themeColor="text1" w:themeTint="F2"/>
          <w:sz w:val="21"/>
          <w:szCs w:val="21"/>
        </w:rPr>
      </w:pPr>
    </w:p>
    <w:p w14:paraId="223AD06C" w14:textId="77777777" w:rsidR="00B22211" w:rsidRDefault="00B22211" w:rsidP="00D01EB8">
      <w:pPr>
        <w:spacing w:after="0" w:line="240" w:lineRule="auto"/>
        <w:rPr>
          <w:rFonts w:ascii="Times New Roman" w:eastAsia="Times New Roman" w:hAnsi="Times New Roman" w:cs="Times New Roman"/>
          <w:b/>
          <w:bCs/>
          <w:iCs/>
          <w:sz w:val="21"/>
          <w:szCs w:val="21"/>
          <w:lang w:eastAsia="ru-RU"/>
        </w:rPr>
      </w:pPr>
    </w:p>
    <w:p w14:paraId="4385CC27" w14:textId="455A93FA" w:rsidR="00877DE5" w:rsidRPr="009472DE" w:rsidRDefault="00877DE5" w:rsidP="00D01EB8">
      <w:pPr>
        <w:spacing w:after="0" w:line="240" w:lineRule="auto"/>
        <w:rPr>
          <w:rFonts w:ascii="Times New Roman" w:eastAsia="Times New Roman" w:hAnsi="Times New Roman" w:cs="Times New Roman"/>
          <w:b/>
          <w:bCs/>
          <w:iCs/>
          <w:sz w:val="21"/>
          <w:szCs w:val="21"/>
          <w:lang w:eastAsia="ru-RU"/>
        </w:rPr>
      </w:pPr>
      <w:r w:rsidRPr="009472DE">
        <w:rPr>
          <w:rFonts w:ascii="Times New Roman" w:eastAsia="Times New Roman" w:hAnsi="Times New Roman" w:cs="Times New Roman"/>
          <w:b/>
          <w:bCs/>
          <w:iCs/>
          <w:sz w:val="21"/>
          <w:szCs w:val="21"/>
          <w:lang w:eastAsia="ru-RU"/>
        </w:rPr>
        <w:t>УКД 338</w:t>
      </w:r>
    </w:p>
    <w:p w14:paraId="7EF5CF81"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eastAsia="ru-RU"/>
        </w:rPr>
      </w:pPr>
      <w:r w:rsidRPr="009472DE">
        <w:rPr>
          <w:rFonts w:ascii="Times New Roman" w:eastAsia="Times New Roman" w:hAnsi="Times New Roman" w:cs="Times New Roman"/>
          <w:b/>
          <w:bCs/>
          <w:i/>
          <w:sz w:val="21"/>
          <w:szCs w:val="21"/>
          <w:lang w:eastAsia="ru-RU"/>
        </w:rPr>
        <w:t>Ярославцева А.С.,</w:t>
      </w:r>
      <w:r w:rsidRPr="009472DE">
        <w:rPr>
          <w:rFonts w:ascii="Times New Roman" w:eastAsia="Times New Roman" w:hAnsi="Times New Roman" w:cs="Times New Roman"/>
          <w:bCs/>
          <w:i/>
          <w:sz w:val="21"/>
          <w:szCs w:val="21"/>
          <w:lang w:eastAsia="ru-RU"/>
        </w:rPr>
        <w:t xml:space="preserve"> </w:t>
      </w:r>
    </w:p>
    <w:p w14:paraId="372671D0"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eastAsia="Times New Roman" w:hAnsi="Times New Roman" w:cs="Times New Roman"/>
          <w:bCs/>
          <w:i/>
          <w:sz w:val="21"/>
          <w:szCs w:val="21"/>
          <w:lang w:eastAsia="ru-RU"/>
        </w:rPr>
        <w:t xml:space="preserve">студент 1 курса </w:t>
      </w:r>
    </w:p>
    <w:p w14:paraId="58E90C68"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 xml:space="preserve">Финансового университета при Правительстве Российской Федерации, </w:t>
      </w:r>
    </w:p>
    <w:p w14:paraId="7F8DD56F"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г. Краснодар, Россия</w:t>
      </w:r>
    </w:p>
    <w:p w14:paraId="7F41F37D" w14:textId="77777777" w:rsidR="00877DE5" w:rsidRPr="009472DE" w:rsidRDefault="00877DE5" w:rsidP="00067100">
      <w:pPr>
        <w:spacing w:after="0" w:line="240" w:lineRule="auto"/>
        <w:ind w:firstLine="709"/>
        <w:jc w:val="right"/>
        <w:rPr>
          <w:rStyle w:val="aa"/>
          <w:rFonts w:ascii="Times New Roman" w:hAnsi="Times New Roman" w:cs="Times New Roman"/>
          <w:i/>
          <w:sz w:val="21"/>
          <w:szCs w:val="21"/>
        </w:rPr>
      </w:pPr>
      <w:r w:rsidRPr="009472DE">
        <w:rPr>
          <w:rFonts w:ascii="Times New Roman" w:hAnsi="Times New Roman" w:cs="Times New Roman"/>
          <w:i/>
          <w:sz w:val="21"/>
          <w:szCs w:val="21"/>
        </w:rPr>
        <w:t xml:space="preserve">e-mail: </w:t>
      </w:r>
      <w:hyperlink r:id="rId135" w:history="1">
        <w:r w:rsidRPr="009472DE">
          <w:rPr>
            <w:rStyle w:val="aa"/>
            <w:rFonts w:ascii="Times New Roman" w:hAnsi="Times New Roman" w:cs="Times New Roman"/>
            <w:i/>
            <w:sz w:val="21"/>
            <w:szCs w:val="21"/>
          </w:rPr>
          <w:t>100dot13sl240343@edu.fa.ru</w:t>
        </w:r>
      </w:hyperlink>
    </w:p>
    <w:p w14:paraId="2026FF78" w14:textId="77777777" w:rsidR="00877DE5" w:rsidRPr="009472DE" w:rsidRDefault="00877DE5" w:rsidP="00067100">
      <w:pPr>
        <w:spacing w:after="0" w:line="240" w:lineRule="auto"/>
        <w:ind w:firstLine="709"/>
        <w:jc w:val="right"/>
        <w:rPr>
          <w:rStyle w:val="aa"/>
          <w:rFonts w:ascii="Times New Roman" w:hAnsi="Times New Roman" w:cs="Times New Roman"/>
          <w:i/>
          <w:sz w:val="21"/>
          <w:szCs w:val="21"/>
        </w:rPr>
      </w:pPr>
    </w:p>
    <w:p w14:paraId="13235837" w14:textId="77777777" w:rsidR="00877DE5" w:rsidRPr="009472DE" w:rsidRDefault="00877DE5" w:rsidP="00067100">
      <w:pPr>
        <w:spacing w:after="0" w:line="240" w:lineRule="auto"/>
        <w:ind w:firstLine="709"/>
        <w:jc w:val="right"/>
        <w:rPr>
          <w:rFonts w:ascii="Times New Roman" w:hAnsi="Times New Roman" w:cs="Times New Roman"/>
          <w:b/>
          <w:i/>
          <w:sz w:val="21"/>
          <w:szCs w:val="21"/>
        </w:rPr>
      </w:pPr>
      <w:r w:rsidRPr="009472DE">
        <w:rPr>
          <w:rFonts w:ascii="Times New Roman" w:hAnsi="Times New Roman" w:cs="Times New Roman"/>
          <w:b/>
          <w:i/>
          <w:sz w:val="21"/>
          <w:szCs w:val="21"/>
        </w:rPr>
        <w:t xml:space="preserve">Научный руководитель: </w:t>
      </w:r>
    </w:p>
    <w:p w14:paraId="4DFC039B" w14:textId="77777777" w:rsidR="00877DE5" w:rsidRPr="009472DE" w:rsidRDefault="00877DE5" w:rsidP="00067100">
      <w:pPr>
        <w:spacing w:after="0" w:line="240" w:lineRule="auto"/>
        <w:ind w:firstLine="709"/>
        <w:jc w:val="right"/>
        <w:rPr>
          <w:rFonts w:ascii="Times New Roman" w:hAnsi="Times New Roman" w:cs="Times New Roman"/>
          <w:b/>
          <w:i/>
          <w:sz w:val="21"/>
          <w:szCs w:val="21"/>
        </w:rPr>
      </w:pPr>
      <w:r w:rsidRPr="009472DE">
        <w:rPr>
          <w:rFonts w:ascii="Times New Roman" w:hAnsi="Times New Roman" w:cs="Times New Roman"/>
          <w:b/>
          <w:i/>
          <w:sz w:val="21"/>
          <w:szCs w:val="21"/>
        </w:rPr>
        <w:t>Радченко М.В.,</w:t>
      </w:r>
    </w:p>
    <w:p w14:paraId="5823320A"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доцент, к.э.н.</w:t>
      </w:r>
    </w:p>
    <w:p w14:paraId="59439694"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Финансового университета при Правительстве Российской Федерации</w:t>
      </w:r>
    </w:p>
    <w:p w14:paraId="10F489A7" w14:textId="77777777" w:rsidR="00877DE5" w:rsidRPr="009472DE" w:rsidRDefault="00877DE5" w:rsidP="00067100">
      <w:pPr>
        <w:spacing w:after="0" w:line="240" w:lineRule="auto"/>
        <w:ind w:firstLine="709"/>
        <w:jc w:val="right"/>
        <w:rPr>
          <w:rFonts w:ascii="Times New Roman" w:hAnsi="Times New Roman" w:cs="Times New Roman"/>
          <w:i/>
          <w:sz w:val="21"/>
          <w:szCs w:val="21"/>
        </w:rPr>
      </w:pPr>
      <w:r w:rsidRPr="009472DE">
        <w:rPr>
          <w:rFonts w:ascii="Times New Roman" w:hAnsi="Times New Roman" w:cs="Times New Roman"/>
          <w:i/>
          <w:sz w:val="21"/>
          <w:szCs w:val="21"/>
        </w:rPr>
        <w:t>г. Краснодар, Россия</w:t>
      </w:r>
    </w:p>
    <w:p w14:paraId="10519600" w14:textId="77777777" w:rsidR="00877DE5" w:rsidRPr="009472DE" w:rsidRDefault="00877DE5" w:rsidP="00067100">
      <w:pPr>
        <w:spacing w:after="0" w:line="240" w:lineRule="auto"/>
        <w:ind w:firstLine="709"/>
        <w:jc w:val="right"/>
        <w:rPr>
          <w:rFonts w:ascii="Times New Roman" w:hAnsi="Times New Roman" w:cs="Times New Roman"/>
          <w:sz w:val="21"/>
          <w:szCs w:val="21"/>
        </w:rPr>
      </w:pPr>
      <w:r w:rsidRPr="009472DE">
        <w:rPr>
          <w:rFonts w:ascii="Times New Roman" w:hAnsi="Times New Roman" w:cs="Times New Roman"/>
          <w:i/>
          <w:sz w:val="21"/>
          <w:szCs w:val="21"/>
        </w:rPr>
        <w:t xml:space="preserve">e-mail: </w:t>
      </w:r>
      <w:r w:rsidRPr="009472DE">
        <w:rPr>
          <w:rStyle w:val="aa"/>
          <w:rFonts w:ascii="Times New Roman" w:hAnsi="Times New Roman" w:cs="Times New Roman"/>
          <w:i/>
          <w:sz w:val="21"/>
          <w:szCs w:val="21"/>
        </w:rPr>
        <w:t>mvradchenko@fa.ru</w:t>
      </w:r>
    </w:p>
    <w:p w14:paraId="24F438AC" w14:textId="77777777" w:rsidR="00877DE5" w:rsidRPr="009472DE" w:rsidRDefault="00877DE5" w:rsidP="00067100">
      <w:pPr>
        <w:spacing w:after="0" w:line="240" w:lineRule="auto"/>
        <w:ind w:firstLine="709"/>
        <w:jc w:val="center"/>
        <w:rPr>
          <w:rFonts w:ascii="Times New Roman" w:hAnsi="Times New Roman" w:cs="Times New Roman"/>
          <w:b/>
          <w:bCs/>
          <w:sz w:val="21"/>
          <w:szCs w:val="21"/>
        </w:rPr>
      </w:pPr>
    </w:p>
    <w:p w14:paraId="482EDA94" w14:textId="77777777" w:rsidR="00877DE5" w:rsidRPr="009472DE" w:rsidRDefault="00877DE5" w:rsidP="00067100">
      <w:pPr>
        <w:spacing w:after="0" w:line="240" w:lineRule="auto"/>
        <w:ind w:firstLine="709"/>
        <w:jc w:val="center"/>
        <w:rPr>
          <w:rFonts w:ascii="Times New Roman" w:hAnsi="Times New Roman" w:cs="Times New Roman"/>
          <w:b/>
          <w:bCs/>
          <w:sz w:val="21"/>
          <w:szCs w:val="21"/>
        </w:rPr>
      </w:pPr>
      <w:r w:rsidRPr="009472DE">
        <w:rPr>
          <w:rFonts w:ascii="Times New Roman" w:hAnsi="Times New Roman" w:cs="Times New Roman"/>
          <w:b/>
          <w:bCs/>
          <w:sz w:val="21"/>
          <w:szCs w:val="21"/>
        </w:rPr>
        <w:t>Роль государственного долга в развитии экономики</w:t>
      </w:r>
    </w:p>
    <w:p w14:paraId="48842D2B" w14:textId="77777777" w:rsidR="00877DE5" w:rsidRPr="009472DE" w:rsidRDefault="00877DE5" w:rsidP="00067100">
      <w:pPr>
        <w:spacing w:after="0" w:line="240" w:lineRule="auto"/>
        <w:ind w:firstLine="709"/>
        <w:jc w:val="center"/>
        <w:rPr>
          <w:rFonts w:ascii="Times New Roman" w:hAnsi="Times New Roman" w:cs="Times New Roman"/>
          <w:b/>
          <w:bCs/>
          <w:sz w:val="21"/>
          <w:szCs w:val="21"/>
        </w:rPr>
      </w:pPr>
    </w:p>
    <w:p w14:paraId="11C59674" w14:textId="77777777" w:rsidR="00877DE5" w:rsidRPr="009472DE" w:rsidRDefault="00877DE5" w:rsidP="00067100">
      <w:pPr>
        <w:spacing w:after="0" w:line="240" w:lineRule="auto"/>
        <w:ind w:firstLine="709"/>
        <w:jc w:val="both"/>
        <w:rPr>
          <w:rFonts w:ascii="Times New Roman" w:eastAsia="Times New Roman" w:hAnsi="Times New Roman" w:cs="Times New Roman"/>
          <w:b/>
          <w:sz w:val="21"/>
          <w:szCs w:val="21"/>
          <w:lang w:eastAsia="ru-RU"/>
        </w:rPr>
      </w:pPr>
      <w:r w:rsidRPr="009472DE">
        <w:rPr>
          <w:rFonts w:ascii="Times New Roman" w:eastAsia="Times New Roman" w:hAnsi="Times New Roman" w:cs="Times New Roman"/>
          <w:b/>
          <w:sz w:val="21"/>
          <w:szCs w:val="21"/>
          <w:lang w:eastAsia="ru-RU"/>
        </w:rPr>
        <w:t xml:space="preserve">Аннотация: </w:t>
      </w:r>
      <w:r w:rsidRPr="009472DE">
        <w:rPr>
          <w:rFonts w:ascii="Times New Roman" w:eastAsia="Times New Roman" w:hAnsi="Times New Roman" w:cs="Times New Roman"/>
          <w:sz w:val="21"/>
          <w:szCs w:val="21"/>
          <w:lang w:eastAsia="ru-RU"/>
        </w:rPr>
        <w:t xml:space="preserve">Исследование </w:t>
      </w:r>
      <w:r w:rsidRPr="009472DE">
        <w:rPr>
          <w:rFonts w:ascii="Times New Roman" w:hAnsi="Times New Roman" w:cs="Times New Roman"/>
          <w:sz w:val="21"/>
          <w:szCs w:val="21"/>
        </w:rPr>
        <w:t>посвящено анализу состояния и влияния государственного долга Российской Федерации на экономику страны, описывая его составляющие, динамику, проблемы и их решение. В статье рассматривается стабильный рост внутреннего долга России на фоне геополитических санкций и необходимости поддерживать социальные обязательства, а также снижение внешнего долга.</w:t>
      </w:r>
      <w:r w:rsidRPr="009472DE">
        <w:rPr>
          <w:rFonts w:ascii="Times New Roman" w:eastAsia="Times New Roman" w:hAnsi="Times New Roman" w:cs="Times New Roman"/>
          <w:b/>
          <w:sz w:val="21"/>
          <w:szCs w:val="21"/>
          <w:lang w:eastAsia="ru-RU"/>
        </w:rPr>
        <w:t xml:space="preserve"> </w:t>
      </w:r>
    </w:p>
    <w:p w14:paraId="64298CB9"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lang w:eastAsia="ru-RU"/>
        </w:rPr>
      </w:pPr>
      <w:r w:rsidRPr="009472DE">
        <w:rPr>
          <w:rFonts w:ascii="Times New Roman" w:eastAsia="Times New Roman" w:hAnsi="Times New Roman" w:cs="Times New Roman"/>
          <w:b/>
          <w:sz w:val="21"/>
          <w:szCs w:val="21"/>
          <w:lang w:eastAsia="ru-RU"/>
        </w:rPr>
        <w:t>Ключевые слова:</w:t>
      </w:r>
      <w:r w:rsidRPr="009472DE">
        <w:rPr>
          <w:rFonts w:ascii="Times New Roman" w:eastAsia="Times New Roman" w:hAnsi="Times New Roman" w:cs="Times New Roman"/>
          <w:sz w:val="21"/>
          <w:szCs w:val="21"/>
          <w:lang w:eastAsia="ru-RU"/>
        </w:rPr>
        <w:t xml:space="preserve"> государственный долг, внутренний долг, внешний долг, стабилизации долга, методы управления долгом.</w:t>
      </w:r>
    </w:p>
    <w:p w14:paraId="290871F8"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eastAsia="ru-RU"/>
        </w:rPr>
      </w:pPr>
      <w:r w:rsidRPr="009472DE">
        <w:rPr>
          <w:rFonts w:ascii="Times New Roman" w:eastAsia="Times New Roman" w:hAnsi="Times New Roman" w:cs="Times New Roman"/>
          <w:b/>
          <w:bCs/>
          <w:i/>
          <w:sz w:val="21"/>
          <w:szCs w:val="21"/>
          <w:lang w:val="en-US" w:eastAsia="ru-RU"/>
        </w:rPr>
        <w:t>Yaroslavtseva A.S.,</w:t>
      </w:r>
    </w:p>
    <w:p w14:paraId="44090BFD"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proofErr w:type="gramStart"/>
      <w:r w:rsidRPr="009472DE">
        <w:rPr>
          <w:rFonts w:ascii="Times New Roman" w:hAnsi="Times New Roman" w:cs="Times New Roman"/>
          <w:i/>
          <w:sz w:val="21"/>
          <w:szCs w:val="21"/>
          <w:lang w:val="en-US"/>
        </w:rPr>
        <w:t>1 year</w:t>
      </w:r>
      <w:proofErr w:type="gramEnd"/>
      <w:r w:rsidRPr="009472DE">
        <w:rPr>
          <w:rFonts w:ascii="Times New Roman" w:hAnsi="Times New Roman" w:cs="Times New Roman"/>
          <w:i/>
          <w:sz w:val="21"/>
          <w:szCs w:val="21"/>
          <w:lang w:val="en-US"/>
        </w:rPr>
        <w:t xml:space="preserve"> student</w:t>
      </w:r>
      <w:r w:rsidRPr="009472DE">
        <w:rPr>
          <w:rFonts w:ascii="Times New Roman" w:eastAsia="Times New Roman" w:hAnsi="Times New Roman" w:cs="Times New Roman"/>
          <w:bCs/>
          <w:i/>
          <w:sz w:val="21"/>
          <w:szCs w:val="21"/>
          <w:lang w:val="en-US" w:eastAsia="ru-RU"/>
        </w:rPr>
        <w:t xml:space="preserve"> </w:t>
      </w:r>
    </w:p>
    <w:p w14:paraId="2A1DBB09"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r w:rsidRPr="009472DE">
        <w:rPr>
          <w:rFonts w:ascii="Times New Roman" w:eastAsia="Times New Roman" w:hAnsi="Times New Roman" w:cs="Times New Roman"/>
          <w:bCs/>
          <w:i/>
          <w:sz w:val="21"/>
          <w:szCs w:val="21"/>
          <w:lang w:val="en-US" w:eastAsia="ru-RU"/>
        </w:rPr>
        <w:t xml:space="preserve">Financial University under the Government of the Russian Federation, </w:t>
      </w:r>
    </w:p>
    <w:p w14:paraId="519CFEBE"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eastAsia="ru-RU"/>
        </w:rPr>
      </w:pPr>
      <w:r w:rsidRPr="009472DE">
        <w:rPr>
          <w:rFonts w:ascii="Times New Roman" w:eastAsia="Times New Roman" w:hAnsi="Times New Roman" w:cs="Times New Roman"/>
          <w:bCs/>
          <w:i/>
          <w:sz w:val="21"/>
          <w:szCs w:val="21"/>
          <w:lang w:val="en-US" w:eastAsia="ru-RU"/>
        </w:rPr>
        <w:t>Krasnodar, Russia</w:t>
      </w:r>
      <w:r w:rsidRPr="009472DE">
        <w:rPr>
          <w:rFonts w:ascii="Times New Roman" w:eastAsia="Times New Roman" w:hAnsi="Times New Roman" w:cs="Times New Roman"/>
          <w:b/>
          <w:bCs/>
          <w:i/>
          <w:sz w:val="21"/>
          <w:szCs w:val="21"/>
          <w:lang w:val="en-US" w:eastAsia="ru-RU"/>
        </w:rPr>
        <w:t xml:space="preserve"> </w:t>
      </w:r>
    </w:p>
    <w:p w14:paraId="0EE59AE4"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r w:rsidRPr="009472DE">
        <w:rPr>
          <w:rFonts w:ascii="Times New Roman" w:eastAsia="Times New Roman" w:hAnsi="Times New Roman" w:cs="Times New Roman"/>
          <w:bCs/>
          <w:i/>
          <w:sz w:val="21"/>
          <w:szCs w:val="21"/>
          <w:lang w:val="en-US" w:eastAsia="ru-RU"/>
        </w:rPr>
        <w:t>e-mail:</w:t>
      </w:r>
      <w:r w:rsidRPr="009472DE">
        <w:rPr>
          <w:rFonts w:ascii="Times New Roman" w:eastAsia="Times New Roman" w:hAnsi="Times New Roman" w:cs="Times New Roman"/>
          <w:b/>
          <w:bCs/>
          <w:i/>
          <w:sz w:val="21"/>
          <w:szCs w:val="21"/>
          <w:lang w:val="en-US" w:eastAsia="ru-RU"/>
        </w:rPr>
        <w:t xml:space="preserve"> </w:t>
      </w:r>
      <w:hyperlink r:id="rId136" w:history="1">
        <w:r w:rsidRPr="009472DE">
          <w:rPr>
            <w:rStyle w:val="aa"/>
            <w:rFonts w:ascii="Times New Roman" w:eastAsia="Times New Roman" w:hAnsi="Times New Roman" w:cs="Times New Roman"/>
            <w:bCs/>
            <w:i/>
            <w:sz w:val="21"/>
            <w:szCs w:val="21"/>
            <w:lang w:val="en-US" w:eastAsia="ru-RU"/>
          </w:rPr>
          <w:t>100dot13sl240343@edu.fa.ru</w:t>
        </w:r>
      </w:hyperlink>
      <w:r w:rsidRPr="009472DE">
        <w:rPr>
          <w:rFonts w:ascii="Times New Roman" w:eastAsia="Times New Roman" w:hAnsi="Times New Roman" w:cs="Times New Roman"/>
          <w:bCs/>
          <w:i/>
          <w:sz w:val="21"/>
          <w:szCs w:val="21"/>
          <w:lang w:val="en-US" w:eastAsia="ru-RU"/>
        </w:rPr>
        <w:t xml:space="preserve"> </w:t>
      </w:r>
    </w:p>
    <w:p w14:paraId="1973C478"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p>
    <w:p w14:paraId="0944E672"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eastAsia="ru-RU"/>
        </w:rPr>
      </w:pPr>
      <w:r w:rsidRPr="009472DE">
        <w:rPr>
          <w:rFonts w:ascii="Times New Roman" w:eastAsia="Times New Roman" w:hAnsi="Times New Roman" w:cs="Times New Roman"/>
          <w:b/>
          <w:bCs/>
          <w:i/>
          <w:sz w:val="21"/>
          <w:szCs w:val="21"/>
          <w:lang w:val="en-US" w:eastAsia="ru-RU"/>
        </w:rPr>
        <w:t xml:space="preserve">Scientific supervisor: </w:t>
      </w:r>
    </w:p>
    <w:p w14:paraId="33495564" w14:textId="77777777" w:rsidR="00877DE5" w:rsidRPr="009472DE" w:rsidRDefault="00877DE5" w:rsidP="00067100">
      <w:pPr>
        <w:spacing w:after="0" w:line="240" w:lineRule="auto"/>
        <w:ind w:firstLine="709"/>
        <w:jc w:val="right"/>
        <w:rPr>
          <w:rFonts w:ascii="Times New Roman" w:eastAsia="Times New Roman" w:hAnsi="Times New Roman" w:cs="Times New Roman"/>
          <w:b/>
          <w:bCs/>
          <w:i/>
          <w:sz w:val="21"/>
          <w:szCs w:val="21"/>
          <w:lang w:val="en-US" w:eastAsia="ru-RU"/>
        </w:rPr>
      </w:pPr>
      <w:r w:rsidRPr="009472DE">
        <w:rPr>
          <w:rFonts w:ascii="Times New Roman" w:eastAsia="Times New Roman" w:hAnsi="Times New Roman" w:cs="Times New Roman"/>
          <w:b/>
          <w:bCs/>
          <w:i/>
          <w:sz w:val="21"/>
          <w:szCs w:val="21"/>
          <w:lang w:val="en-US" w:eastAsia="ru-RU"/>
        </w:rPr>
        <w:t xml:space="preserve">Radchenko M.V., </w:t>
      </w:r>
    </w:p>
    <w:p w14:paraId="1F5DBD17"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r w:rsidRPr="009472DE">
        <w:rPr>
          <w:rFonts w:ascii="Times New Roman" w:eastAsia="Times New Roman" w:hAnsi="Times New Roman" w:cs="Times New Roman"/>
          <w:bCs/>
          <w:i/>
          <w:sz w:val="21"/>
          <w:szCs w:val="21"/>
          <w:lang w:val="en-US" w:eastAsia="ru-RU"/>
        </w:rPr>
        <w:t xml:space="preserve">Candidate of Science (Economics), Docent </w:t>
      </w:r>
    </w:p>
    <w:p w14:paraId="6A2BD413"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r w:rsidRPr="009472DE">
        <w:rPr>
          <w:rFonts w:ascii="Times New Roman" w:eastAsia="Times New Roman" w:hAnsi="Times New Roman" w:cs="Times New Roman"/>
          <w:bCs/>
          <w:i/>
          <w:sz w:val="21"/>
          <w:szCs w:val="21"/>
          <w:lang w:val="en-US" w:eastAsia="ru-RU"/>
        </w:rPr>
        <w:t xml:space="preserve">Financial University under the Government of the Russian Federation, </w:t>
      </w:r>
    </w:p>
    <w:p w14:paraId="2E73CA00" w14:textId="77777777" w:rsidR="00877DE5" w:rsidRPr="009472DE" w:rsidRDefault="00877DE5" w:rsidP="00067100">
      <w:pPr>
        <w:spacing w:after="0" w:line="240" w:lineRule="auto"/>
        <w:ind w:firstLine="709"/>
        <w:jc w:val="right"/>
        <w:rPr>
          <w:rFonts w:ascii="Times New Roman" w:eastAsia="Times New Roman" w:hAnsi="Times New Roman" w:cs="Times New Roman"/>
          <w:bCs/>
          <w:i/>
          <w:sz w:val="21"/>
          <w:szCs w:val="21"/>
          <w:lang w:val="en-US" w:eastAsia="ru-RU"/>
        </w:rPr>
      </w:pPr>
      <w:r w:rsidRPr="009472DE">
        <w:rPr>
          <w:rFonts w:ascii="Times New Roman" w:eastAsia="Times New Roman" w:hAnsi="Times New Roman" w:cs="Times New Roman"/>
          <w:bCs/>
          <w:i/>
          <w:sz w:val="21"/>
          <w:szCs w:val="21"/>
          <w:lang w:val="en-US" w:eastAsia="ru-RU"/>
        </w:rPr>
        <w:t xml:space="preserve">Krasnodar, Russia </w:t>
      </w:r>
    </w:p>
    <w:p w14:paraId="2B192776" w14:textId="77777777" w:rsidR="00877DE5" w:rsidRPr="009472DE" w:rsidRDefault="00877DE5" w:rsidP="00067100">
      <w:pPr>
        <w:spacing w:after="0" w:line="240" w:lineRule="auto"/>
        <w:ind w:firstLine="709"/>
        <w:jc w:val="right"/>
        <w:rPr>
          <w:rStyle w:val="aa"/>
          <w:rFonts w:ascii="Times New Roman" w:hAnsi="Times New Roman" w:cs="Times New Roman"/>
          <w:i/>
          <w:sz w:val="21"/>
          <w:szCs w:val="21"/>
          <w:lang w:val="en-US" w:eastAsia="ru-RU"/>
        </w:rPr>
      </w:pPr>
      <w:r w:rsidRPr="009472DE">
        <w:rPr>
          <w:rFonts w:ascii="Times New Roman" w:eastAsia="Times New Roman" w:hAnsi="Times New Roman" w:cs="Times New Roman"/>
          <w:bCs/>
          <w:i/>
          <w:sz w:val="21"/>
          <w:szCs w:val="21"/>
          <w:lang w:val="en-US" w:eastAsia="ru-RU"/>
        </w:rPr>
        <w:lastRenderedPageBreak/>
        <w:t>e-mail:</w:t>
      </w:r>
      <w:r w:rsidRPr="009472DE">
        <w:rPr>
          <w:rFonts w:ascii="Times New Roman" w:eastAsia="Times New Roman" w:hAnsi="Times New Roman" w:cs="Times New Roman"/>
          <w:b/>
          <w:bCs/>
          <w:i/>
          <w:sz w:val="21"/>
          <w:szCs w:val="21"/>
          <w:lang w:val="en-US" w:eastAsia="ru-RU"/>
        </w:rPr>
        <w:t xml:space="preserve"> </w:t>
      </w:r>
      <w:hyperlink r:id="rId137" w:history="1">
        <w:r w:rsidRPr="009472DE">
          <w:rPr>
            <w:rStyle w:val="aa"/>
            <w:rFonts w:ascii="Times New Roman" w:hAnsi="Times New Roman" w:cs="Times New Roman"/>
            <w:i/>
            <w:sz w:val="21"/>
            <w:szCs w:val="21"/>
            <w:lang w:val="en-US" w:eastAsia="ru-RU"/>
          </w:rPr>
          <w:t>mvradchenko@fa.ru</w:t>
        </w:r>
      </w:hyperlink>
    </w:p>
    <w:p w14:paraId="7F0B9BF3" w14:textId="77777777" w:rsidR="00877DE5" w:rsidRPr="009472DE" w:rsidRDefault="00877DE5" w:rsidP="00067100">
      <w:pPr>
        <w:spacing w:after="0" w:line="240" w:lineRule="auto"/>
        <w:ind w:firstLine="709"/>
        <w:jc w:val="center"/>
        <w:rPr>
          <w:rFonts w:ascii="Times New Roman" w:hAnsi="Times New Roman" w:cs="Times New Roman"/>
          <w:b/>
          <w:sz w:val="21"/>
          <w:szCs w:val="21"/>
          <w:lang w:val="en-US"/>
        </w:rPr>
      </w:pPr>
    </w:p>
    <w:p w14:paraId="7B6AC16B" w14:textId="77777777" w:rsidR="00877DE5" w:rsidRPr="009472DE" w:rsidRDefault="00877DE5" w:rsidP="00067100">
      <w:pPr>
        <w:spacing w:after="0" w:line="240" w:lineRule="auto"/>
        <w:ind w:firstLine="709"/>
        <w:jc w:val="center"/>
        <w:rPr>
          <w:rStyle w:val="anegp0gi0b9av8jahpyh"/>
          <w:rFonts w:ascii="Times New Roman" w:hAnsi="Times New Roman" w:cs="Times New Roman"/>
          <w:b/>
          <w:sz w:val="21"/>
          <w:szCs w:val="21"/>
          <w:lang w:val="en-US"/>
        </w:rPr>
      </w:pPr>
      <w:r w:rsidRPr="009472DE">
        <w:rPr>
          <w:rFonts w:ascii="Times New Roman" w:hAnsi="Times New Roman" w:cs="Times New Roman"/>
          <w:b/>
          <w:sz w:val="21"/>
          <w:szCs w:val="21"/>
          <w:lang w:val="en-US"/>
        </w:rPr>
        <w:t xml:space="preserve">The </w:t>
      </w:r>
      <w:r w:rsidRPr="009472DE">
        <w:rPr>
          <w:rStyle w:val="anegp0gi0b9av8jahpyh"/>
          <w:rFonts w:ascii="Times New Roman" w:hAnsi="Times New Roman" w:cs="Times New Roman"/>
          <w:b/>
          <w:sz w:val="21"/>
          <w:szCs w:val="21"/>
          <w:lang w:val="en-US"/>
        </w:rPr>
        <w:t>role</w:t>
      </w:r>
      <w:r w:rsidRPr="009472DE">
        <w:rPr>
          <w:rFonts w:ascii="Times New Roman" w:hAnsi="Times New Roman" w:cs="Times New Roman"/>
          <w:b/>
          <w:sz w:val="21"/>
          <w:szCs w:val="21"/>
          <w:lang w:val="en-US"/>
        </w:rPr>
        <w:t xml:space="preserve"> of </w:t>
      </w:r>
      <w:r w:rsidRPr="009472DE">
        <w:rPr>
          <w:rStyle w:val="anegp0gi0b9av8jahpyh"/>
          <w:rFonts w:ascii="Times New Roman" w:hAnsi="Times New Roman" w:cs="Times New Roman"/>
          <w:b/>
          <w:sz w:val="21"/>
          <w:szCs w:val="21"/>
          <w:lang w:val="en-US"/>
        </w:rPr>
        <w:t>public</w:t>
      </w:r>
      <w:r w:rsidRPr="009472DE">
        <w:rPr>
          <w:rFonts w:ascii="Times New Roman" w:hAnsi="Times New Roman" w:cs="Times New Roman"/>
          <w:b/>
          <w:sz w:val="21"/>
          <w:szCs w:val="21"/>
          <w:lang w:val="en-US"/>
        </w:rPr>
        <w:t xml:space="preserve"> </w:t>
      </w:r>
      <w:r w:rsidRPr="009472DE">
        <w:rPr>
          <w:rStyle w:val="anegp0gi0b9av8jahpyh"/>
          <w:rFonts w:ascii="Times New Roman" w:hAnsi="Times New Roman" w:cs="Times New Roman"/>
          <w:b/>
          <w:sz w:val="21"/>
          <w:szCs w:val="21"/>
          <w:lang w:val="en-US"/>
        </w:rPr>
        <w:t>debt</w:t>
      </w:r>
      <w:r w:rsidRPr="009472DE">
        <w:rPr>
          <w:rFonts w:ascii="Times New Roman" w:hAnsi="Times New Roman" w:cs="Times New Roman"/>
          <w:b/>
          <w:sz w:val="21"/>
          <w:szCs w:val="21"/>
          <w:lang w:val="en-US"/>
        </w:rPr>
        <w:t xml:space="preserve"> </w:t>
      </w:r>
      <w:r w:rsidRPr="009472DE">
        <w:rPr>
          <w:rStyle w:val="anegp0gi0b9av8jahpyh"/>
          <w:rFonts w:ascii="Times New Roman" w:hAnsi="Times New Roman" w:cs="Times New Roman"/>
          <w:b/>
          <w:sz w:val="21"/>
          <w:szCs w:val="21"/>
          <w:lang w:val="en-US"/>
        </w:rPr>
        <w:t>in</w:t>
      </w:r>
      <w:r w:rsidRPr="009472DE">
        <w:rPr>
          <w:rFonts w:ascii="Times New Roman" w:hAnsi="Times New Roman" w:cs="Times New Roman"/>
          <w:b/>
          <w:sz w:val="21"/>
          <w:szCs w:val="21"/>
          <w:lang w:val="en-US"/>
        </w:rPr>
        <w:t xml:space="preserve"> </w:t>
      </w:r>
      <w:r w:rsidRPr="009472DE">
        <w:rPr>
          <w:rStyle w:val="anegp0gi0b9av8jahpyh"/>
          <w:rFonts w:ascii="Times New Roman" w:hAnsi="Times New Roman" w:cs="Times New Roman"/>
          <w:b/>
          <w:sz w:val="21"/>
          <w:szCs w:val="21"/>
          <w:lang w:val="en-US"/>
        </w:rPr>
        <w:t>economic</w:t>
      </w:r>
      <w:r w:rsidRPr="009472DE">
        <w:rPr>
          <w:rFonts w:ascii="Times New Roman" w:hAnsi="Times New Roman" w:cs="Times New Roman"/>
          <w:b/>
          <w:sz w:val="21"/>
          <w:szCs w:val="21"/>
          <w:lang w:val="en-US"/>
        </w:rPr>
        <w:t xml:space="preserve"> </w:t>
      </w:r>
      <w:r w:rsidRPr="009472DE">
        <w:rPr>
          <w:rStyle w:val="anegp0gi0b9av8jahpyh"/>
          <w:rFonts w:ascii="Times New Roman" w:hAnsi="Times New Roman" w:cs="Times New Roman"/>
          <w:b/>
          <w:sz w:val="21"/>
          <w:szCs w:val="21"/>
          <w:lang w:val="en-US"/>
        </w:rPr>
        <w:t>development</w:t>
      </w:r>
    </w:p>
    <w:p w14:paraId="498B27B9" w14:textId="77777777" w:rsidR="00877DE5" w:rsidRPr="009472DE" w:rsidRDefault="00877DE5" w:rsidP="00067100">
      <w:pPr>
        <w:spacing w:after="0" w:line="240" w:lineRule="auto"/>
        <w:ind w:firstLine="709"/>
        <w:jc w:val="center"/>
        <w:rPr>
          <w:rStyle w:val="anegp0gi0b9av8jahpyh"/>
          <w:rFonts w:ascii="Times New Roman" w:hAnsi="Times New Roman" w:cs="Times New Roman"/>
          <w:b/>
          <w:sz w:val="21"/>
          <w:szCs w:val="21"/>
          <w:lang w:val="en-US"/>
        </w:rPr>
      </w:pPr>
    </w:p>
    <w:p w14:paraId="7A7FB5CD"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lang w:val="en-US" w:eastAsia="ru-RU"/>
        </w:rPr>
      </w:pPr>
      <w:r w:rsidRPr="009472DE">
        <w:rPr>
          <w:rFonts w:ascii="Times New Roman" w:eastAsia="Times New Roman" w:hAnsi="Times New Roman" w:cs="Times New Roman"/>
          <w:b/>
          <w:sz w:val="21"/>
          <w:szCs w:val="21"/>
          <w:lang w:val="en-US" w:eastAsia="ru-RU"/>
        </w:rPr>
        <w:t>Abstract:</w:t>
      </w:r>
      <w:r w:rsidRPr="009472DE">
        <w:rPr>
          <w:rFonts w:ascii="Times New Roman" w:eastAsia="Times New Roman" w:hAnsi="Times New Roman" w:cs="Times New Roman"/>
          <w:sz w:val="21"/>
          <w:szCs w:val="21"/>
          <w:lang w:val="en-US" w:eastAsia="ru-RU"/>
        </w:rPr>
        <w:t xml:space="preserve"> The study is devoted to the analysis of the state and impact of the public debt of the Russian Federation on the country's economy, describing its components, dynamics, problems and their solutions. The article examines the steady growth of Russia's domestic debt against the background of geopolitical sanctions and the need to maintain social obligations, as well as the reduction of external debt.</w:t>
      </w:r>
    </w:p>
    <w:p w14:paraId="106E7243"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lang w:val="en-US" w:eastAsia="ru-RU"/>
        </w:rPr>
      </w:pPr>
      <w:r w:rsidRPr="009472DE">
        <w:rPr>
          <w:rFonts w:ascii="Times New Roman" w:eastAsia="Times New Roman" w:hAnsi="Times New Roman" w:cs="Times New Roman"/>
          <w:b/>
          <w:sz w:val="21"/>
          <w:szCs w:val="21"/>
          <w:lang w:val="en-US" w:eastAsia="ru-RU"/>
        </w:rPr>
        <w:t>Keywords:</w:t>
      </w:r>
      <w:r w:rsidRPr="009472DE">
        <w:rPr>
          <w:rFonts w:ascii="Times New Roman" w:eastAsia="Times New Roman" w:hAnsi="Times New Roman" w:cs="Times New Roman"/>
          <w:sz w:val="21"/>
          <w:szCs w:val="21"/>
          <w:lang w:val="en-US" w:eastAsia="ru-RU"/>
        </w:rPr>
        <w:t xml:space="preserve"> public debt, domestic debt, external debt, debt stabilization, debt management methods.</w:t>
      </w:r>
    </w:p>
    <w:p w14:paraId="78222052" w14:textId="77777777" w:rsidR="00877DE5" w:rsidRPr="009472DE" w:rsidRDefault="00877DE5" w:rsidP="00067100">
      <w:pPr>
        <w:spacing w:after="0" w:line="240" w:lineRule="auto"/>
        <w:ind w:firstLine="709"/>
        <w:jc w:val="both"/>
        <w:rPr>
          <w:rFonts w:ascii="Times New Roman" w:eastAsia="Times New Roman" w:hAnsi="Times New Roman" w:cs="Times New Roman"/>
          <w:sz w:val="21"/>
          <w:szCs w:val="21"/>
          <w:lang w:val="en-US" w:eastAsia="ru-RU"/>
        </w:rPr>
      </w:pPr>
    </w:p>
    <w:p w14:paraId="503EDB88"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Государственный долг оказывает значительное влияние на экономику каждой страны. Его формирование, обслуживание и погашение воздействуют на широкий спектр экономических показателей и определяют характер отношений между государствами.</w:t>
      </w:r>
    </w:p>
    <w:p w14:paraId="316CB626" w14:textId="4F9A3165" w:rsidR="00877DE5" w:rsidRPr="009472DE" w:rsidRDefault="00877DE5" w:rsidP="003D5F9F">
      <w:pPr>
        <w:shd w:val="clear" w:color="auto" w:fill="FFFFFF"/>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Объем государственного долга является одним из основных критериев для оценки развития или спада экономики страны.</w:t>
      </w:r>
      <w:r w:rsidR="003D5F9F">
        <w:rPr>
          <w:rFonts w:ascii="Times New Roman" w:eastAsia="Times New Roman" w:hAnsi="Times New Roman" w:cs="Times New Roman"/>
          <w:sz w:val="32"/>
          <w:szCs w:val="32"/>
          <w:lang w:eastAsia="ru-RU"/>
        </w:rPr>
        <w:t xml:space="preserve"> </w:t>
      </w:r>
      <w:r w:rsidRPr="009472DE">
        <w:rPr>
          <w:rFonts w:ascii="Times New Roman" w:eastAsia="Times New Roman" w:hAnsi="Times New Roman" w:cs="Times New Roman"/>
          <w:sz w:val="32"/>
          <w:szCs w:val="32"/>
          <w:lang w:eastAsia="ru-RU"/>
        </w:rPr>
        <w:t xml:space="preserve">Главной причиной образования и увеличения государственного долга считается дефицит бюджета (превышение государственных затрат над полученными доходами). В современном мире нет страны, которая бы совсем не имела государственного долга – он стал неотъемлемой частью финансовой системы большинства государств. </w:t>
      </w:r>
    </w:p>
    <w:p w14:paraId="32949A36"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При проведении экономических преобразований многие государства обращаются к заимствованиям, поэтому вопросы эффективного управления как внешним, так и внутренним долгом, его регулирование и выбор оптимальной долговой стратегии приобретают первостепенное значение и остаются актуальными.</w:t>
      </w:r>
    </w:p>
    <w:p w14:paraId="5C3E5AF2" w14:textId="1FDDA5A6" w:rsidR="00877DE5" w:rsidRPr="003D5F9F" w:rsidRDefault="00877DE5" w:rsidP="003D5F9F">
      <w:pPr>
        <w:spacing w:after="0" w:line="240" w:lineRule="auto"/>
        <w:ind w:firstLine="709"/>
        <w:jc w:val="both"/>
        <w:rPr>
          <w:rFonts w:ascii="Times New Roman" w:hAnsi="Times New Roman" w:cs="Times New Roman"/>
          <w:sz w:val="32"/>
          <w:szCs w:val="32"/>
        </w:rPr>
      </w:pPr>
      <w:r w:rsidRPr="009472DE">
        <w:rPr>
          <w:rFonts w:ascii="Times New Roman" w:eastAsia="Times New Roman" w:hAnsi="Times New Roman" w:cs="Times New Roman"/>
          <w:sz w:val="32"/>
          <w:szCs w:val="32"/>
          <w:lang w:eastAsia="ru-RU"/>
        </w:rPr>
        <w:t xml:space="preserve">В Бюджетном кодексе РФ госдолг определяется как </w:t>
      </w:r>
      <w:r w:rsidRPr="009472DE">
        <w:rPr>
          <w:rFonts w:ascii="Times New Roman" w:hAnsi="Times New Roman" w:cs="Times New Roman"/>
          <w:sz w:val="32"/>
          <w:szCs w:val="32"/>
        </w:rPr>
        <w:t>долговые обязательства Российской Федерации перед физическими и юридическими лицами, иностранными государствами, международными организациями и иными субъектами международного права [1].</w:t>
      </w:r>
      <w:r w:rsidR="003D5F9F">
        <w:rPr>
          <w:rFonts w:ascii="Times New Roman" w:hAnsi="Times New Roman" w:cs="Times New Roman"/>
          <w:sz w:val="32"/>
          <w:szCs w:val="32"/>
        </w:rPr>
        <w:t xml:space="preserve"> </w:t>
      </w:r>
      <w:r w:rsidRPr="009472DE">
        <w:rPr>
          <w:rFonts w:ascii="Times New Roman" w:eastAsia="Times New Roman" w:hAnsi="Times New Roman" w:cs="Times New Roman"/>
          <w:sz w:val="32"/>
          <w:szCs w:val="32"/>
          <w:lang w:eastAsia="ru-RU"/>
        </w:rPr>
        <w:t>По юрисдикции кредитора государственный долг может быть внутренним или внешним. Его номинируют в национальной или иностранной валюте.</w:t>
      </w:r>
    </w:p>
    <w:p w14:paraId="5F33EA0D" w14:textId="77777777" w:rsidR="00877DE5" w:rsidRPr="009472DE" w:rsidRDefault="00877DE5" w:rsidP="00067100">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Внутренний долг представляет собой задолженность государства перед резидентами – гражданами и предприятиями, владеющими государственными ценными бумагами.</w:t>
      </w:r>
      <w:r w:rsidRPr="009472DE">
        <w:rPr>
          <w:rFonts w:ascii="Times New Roman" w:hAnsi="Times New Roman" w:cs="Times New Roman"/>
          <w:sz w:val="32"/>
          <w:szCs w:val="32"/>
          <w:lang w:eastAsia="ru-RU"/>
        </w:rPr>
        <w:t xml:space="preserve"> </w:t>
      </w:r>
    </w:p>
    <w:p w14:paraId="65A6E364" w14:textId="77777777" w:rsidR="00877DE5" w:rsidRPr="009472DE" w:rsidRDefault="00877DE5" w:rsidP="00067100">
      <w:pPr>
        <w:spacing w:after="0" w:line="240" w:lineRule="auto"/>
        <w:ind w:firstLine="709"/>
        <w:jc w:val="both"/>
        <w:rPr>
          <w:rFonts w:ascii="Times New Roman" w:hAnsi="Times New Roman" w:cs="Times New Roman"/>
          <w:sz w:val="32"/>
          <w:szCs w:val="32"/>
        </w:rPr>
      </w:pPr>
      <w:r w:rsidRPr="009472DE">
        <w:rPr>
          <w:rFonts w:ascii="Times New Roman" w:hAnsi="Times New Roman" w:cs="Times New Roman"/>
          <w:sz w:val="32"/>
          <w:szCs w:val="32"/>
        </w:rPr>
        <w:t>Внешний долг – это обязательства Российской Федерации, выраженные в иностранной валюте, возникающие при привлечении средств из-за рубежа, от других стран и международных институтов.</w:t>
      </w:r>
    </w:p>
    <w:p w14:paraId="4E6E5808"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lang w:eastAsia="zh-CN"/>
        </w:rPr>
        <w:t>Финансирование государственного долга возможно различными способами.</w:t>
      </w:r>
    </w:p>
    <w:p w14:paraId="7A34098A"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lang w:eastAsia="zh-CN"/>
        </w:rPr>
        <w:lastRenderedPageBreak/>
        <w:t xml:space="preserve">Прежде всего, это эмиссия – процедура выпуска государственных облигаций. Облигация представляет собой ценную бумагу, подтверждающую факт заимствования денег государством у инвесторов с обязательством вернуть их вместе с начисленными процентами в установленный срок. Заём осуществляется на несколько лет под определенный процент. По истечении срока действия облигации инвестор получает обратно полную сумму займа, а до этого регулярно (как правило, один раз в полгода или год) получает выплаты процентов за использование своих денег </w:t>
      </w:r>
      <w:r w:rsidRPr="009472DE">
        <w:rPr>
          <w:rFonts w:ascii="Times New Roman" w:eastAsia="Times New Roman" w:hAnsi="Times New Roman" w:cs="Times New Roman"/>
          <w:sz w:val="32"/>
          <w:szCs w:val="32"/>
          <w:lang w:eastAsia="ru-RU"/>
        </w:rPr>
        <w:t>[3]</w:t>
      </w:r>
      <w:r w:rsidRPr="009472DE">
        <w:rPr>
          <w:rFonts w:ascii="Times New Roman" w:eastAsia="Times New Roman" w:hAnsi="Times New Roman" w:cs="Times New Roman"/>
          <w:sz w:val="32"/>
          <w:szCs w:val="32"/>
          <w:lang w:eastAsia="zh-CN"/>
        </w:rPr>
        <w:t>.</w:t>
      </w:r>
    </w:p>
    <w:p w14:paraId="0D6D580D" w14:textId="20255583" w:rsidR="00877DE5" w:rsidRPr="009472DE" w:rsidRDefault="00877DE5" w:rsidP="003D5F9F">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lang w:eastAsia="zh-CN"/>
        </w:rPr>
        <w:t>Такой метод широко применяется во всем мире и отличается тем, что не приводит к росту цен.</w:t>
      </w:r>
      <w:r w:rsidR="003D5F9F">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lang w:eastAsia="zh-CN"/>
        </w:rPr>
        <w:t>Кроме того, существует возможность получения займов от международных финансовых организаций.</w:t>
      </w:r>
      <w:r w:rsidR="003D5F9F">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lang w:eastAsia="zh-CN"/>
        </w:rPr>
        <w:t>Например, государство может обратиться за кредитом к организациям, подобным Международному валютному фонду (МВФ) или Всемирному банку, которые оказывают финансовую поддержку странам, переживающим экономические трудности.</w:t>
      </w:r>
    </w:p>
    <w:p w14:paraId="38E342F7" w14:textId="534E39E3" w:rsidR="00877DE5" w:rsidRPr="003D5F9F" w:rsidRDefault="00877DE5" w:rsidP="003D5F9F">
      <w:pPr>
        <w:spacing w:after="0" w:line="240" w:lineRule="auto"/>
        <w:ind w:firstLine="709"/>
        <w:jc w:val="both"/>
        <w:rPr>
          <w:rFonts w:ascii="Times New Roman" w:eastAsia="Times New Roman" w:hAnsi="Times New Roman" w:cs="Times New Roman"/>
          <w:sz w:val="32"/>
          <w:szCs w:val="32"/>
        </w:rPr>
      </w:pPr>
      <w:r w:rsidRPr="009472DE">
        <w:rPr>
          <w:rFonts w:ascii="Times New Roman" w:eastAsia="Times New Roman" w:hAnsi="Times New Roman" w:cs="Times New Roman"/>
          <w:sz w:val="32"/>
          <w:szCs w:val="32"/>
          <w:lang w:eastAsia="zh-CN"/>
        </w:rPr>
        <w:t>Займы от этих финансовых институтов имеют более выгодные условия по сравнению с другими источниками финансирования: низкие процентные ставки и увеличенные сроки погашения. Однако, взамен, от заемщиков ожидают проведения демократических реформ и принятия законов, направленных на борьбу с коррупцией.</w:t>
      </w:r>
      <w:r w:rsidR="003D5F9F">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lang w:eastAsia="zh-CN"/>
        </w:rPr>
        <w:t>Не менее важным источником финансирования выступают налоговые отчисления.</w:t>
      </w:r>
      <w:r w:rsidR="003D5F9F">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lang w:eastAsia="zh-CN"/>
        </w:rPr>
        <w:t>Сбор налогов с населения и бизнеса является одним из основных инструментов пополнения государственного бюджета. Собранные средства могут быть использованы как для финансирования текущих государственных нужд, так и для погашения государственного долга.</w:t>
      </w:r>
      <w:r w:rsidR="003D5F9F">
        <w:rPr>
          <w:rFonts w:ascii="Times New Roman" w:eastAsia="Times New Roman" w:hAnsi="Times New Roman" w:cs="Times New Roman"/>
          <w:sz w:val="32"/>
          <w:szCs w:val="32"/>
        </w:rPr>
        <w:t xml:space="preserve"> </w:t>
      </w:r>
      <w:r w:rsidRPr="009472DE">
        <w:rPr>
          <w:rFonts w:ascii="Times New Roman" w:eastAsia="Times New Roman" w:hAnsi="Times New Roman" w:cs="Times New Roman"/>
          <w:sz w:val="32"/>
          <w:szCs w:val="32"/>
          <w:lang w:eastAsia="ru-RU"/>
        </w:rPr>
        <w:t>По данным Минфина России на 1 января 2025 года внутренний государственный долг составляет 23 742,29 млрд рублей [4]. В таблице 1 представлен объем внутреннего государственного долга Российской Федерации с 2020 по 2025 год.</w:t>
      </w:r>
      <w:r w:rsidRPr="009472DE">
        <w:rPr>
          <w:rFonts w:ascii="Times New Roman" w:eastAsia="Times New Roman" w:hAnsi="Times New Roman" w:cs="Times New Roman"/>
          <w:sz w:val="28"/>
          <w:szCs w:val="28"/>
          <w:lang w:eastAsia="ru-RU"/>
        </w:rPr>
        <w:t xml:space="preserve"> </w:t>
      </w:r>
    </w:p>
    <w:p w14:paraId="018CDBEB" w14:textId="77777777" w:rsidR="00877DE5" w:rsidRPr="009472DE" w:rsidRDefault="00877DE5" w:rsidP="00067100">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3DD8637" w14:textId="77777777" w:rsidR="00877DE5" w:rsidRPr="009472DE" w:rsidRDefault="00877DE5" w:rsidP="003D5F9F">
      <w:pPr>
        <w:shd w:val="clear" w:color="auto" w:fill="FFFFFF"/>
        <w:spacing w:after="0" w:line="240" w:lineRule="auto"/>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Таблица 1 – Внутренний долг России за 2020-2025 гг.</w:t>
      </w:r>
    </w:p>
    <w:tbl>
      <w:tblPr>
        <w:tblStyle w:val="a9"/>
        <w:tblW w:w="9794" w:type="dxa"/>
        <w:tblLook w:val="04A0" w:firstRow="1" w:lastRow="0" w:firstColumn="1" w:lastColumn="0" w:noHBand="0" w:noVBand="1"/>
      </w:tblPr>
      <w:tblGrid>
        <w:gridCol w:w="1975"/>
        <w:gridCol w:w="3281"/>
        <w:gridCol w:w="4538"/>
      </w:tblGrid>
      <w:tr w:rsidR="00877DE5" w:rsidRPr="003D5F9F" w14:paraId="358A55A0" w14:textId="77777777" w:rsidTr="00067100">
        <w:tc>
          <w:tcPr>
            <w:tcW w:w="1975" w:type="dxa"/>
            <w:vMerge w:val="restart"/>
            <w:vAlign w:val="center"/>
          </w:tcPr>
          <w:p w14:paraId="3472962B"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Год</w:t>
            </w:r>
          </w:p>
        </w:tc>
        <w:tc>
          <w:tcPr>
            <w:tcW w:w="3281" w:type="dxa"/>
            <w:vMerge w:val="restart"/>
            <w:vAlign w:val="center"/>
          </w:tcPr>
          <w:p w14:paraId="2AF7B8B7"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 xml:space="preserve">Внутренний долг РФ, </w:t>
            </w:r>
          </w:p>
          <w:p w14:paraId="7C761271"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млрд руб.</w:t>
            </w:r>
          </w:p>
        </w:tc>
        <w:tc>
          <w:tcPr>
            <w:tcW w:w="4538" w:type="dxa"/>
            <w:vAlign w:val="center"/>
          </w:tcPr>
          <w:p w14:paraId="58AE65F5"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Из них:</w:t>
            </w:r>
          </w:p>
        </w:tc>
      </w:tr>
      <w:tr w:rsidR="00877DE5" w:rsidRPr="003D5F9F" w14:paraId="33901176" w14:textId="77777777" w:rsidTr="00067100">
        <w:trPr>
          <w:trHeight w:val="705"/>
        </w:trPr>
        <w:tc>
          <w:tcPr>
            <w:tcW w:w="1975" w:type="dxa"/>
            <w:vMerge/>
          </w:tcPr>
          <w:p w14:paraId="1703AB00" w14:textId="77777777" w:rsidR="00877DE5" w:rsidRPr="003D5F9F" w:rsidRDefault="00877DE5" w:rsidP="00D01EB8">
            <w:pPr>
              <w:jc w:val="both"/>
              <w:rPr>
                <w:rFonts w:ascii="Times New Roman" w:hAnsi="Times New Roman" w:cs="Times New Roman"/>
                <w:sz w:val="24"/>
                <w:szCs w:val="24"/>
              </w:rPr>
            </w:pPr>
          </w:p>
        </w:tc>
        <w:tc>
          <w:tcPr>
            <w:tcW w:w="3281" w:type="dxa"/>
            <w:vMerge/>
          </w:tcPr>
          <w:p w14:paraId="02C3EA9B" w14:textId="77777777" w:rsidR="00877DE5" w:rsidRPr="003D5F9F" w:rsidRDefault="00877DE5" w:rsidP="00D01EB8">
            <w:pPr>
              <w:jc w:val="both"/>
              <w:rPr>
                <w:rFonts w:ascii="Times New Roman" w:hAnsi="Times New Roman" w:cs="Times New Roman"/>
                <w:sz w:val="24"/>
                <w:szCs w:val="24"/>
              </w:rPr>
            </w:pPr>
          </w:p>
        </w:tc>
        <w:tc>
          <w:tcPr>
            <w:tcW w:w="4538" w:type="dxa"/>
          </w:tcPr>
          <w:p w14:paraId="310BFA5A"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государственные гарантии Российской Федерации, млрд руб.</w:t>
            </w:r>
          </w:p>
        </w:tc>
      </w:tr>
      <w:tr w:rsidR="00877DE5" w:rsidRPr="003D5F9F" w14:paraId="61F59625" w14:textId="77777777" w:rsidTr="00067100">
        <w:trPr>
          <w:trHeight w:val="292"/>
        </w:trPr>
        <w:tc>
          <w:tcPr>
            <w:tcW w:w="1975" w:type="dxa"/>
          </w:tcPr>
          <w:p w14:paraId="38FAA047"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01.01.2020</w:t>
            </w:r>
          </w:p>
        </w:tc>
        <w:tc>
          <w:tcPr>
            <w:tcW w:w="3281" w:type="dxa"/>
            <w:vAlign w:val="center"/>
          </w:tcPr>
          <w:p w14:paraId="01E3976B"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10 171,93</w:t>
            </w:r>
          </w:p>
        </w:tc>
        <w:tc>
          <w:tcPr>
            <w:tcW w:w="4538" w:type="dxa"/>
            <w:vAlign w:val="center"/>
          </w:tcPr>
          <w:p w14:paraId="13348C43"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840,53</w:t>
            </w:r>
          </w:p>
        </w:tc>
      </w:tr>
      <w:tr w:rsidR="00877DE5" w:rsidRPr="003D5F9F" w14:paraId="5514EE7F" w14:textId="77777777" w:rsidTr="00067100">
        <w:tc>
          <w:tcPr>
            <w:tcW w:w="1975" w:type="dxa"/>
          </w:tcPr>
          <w:p w14:paraId="258DF5F1"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01.01.2021</w:t>
            </w:r>
          </w:p>
        </w:tc>
        <w:tc>
          <w:tcPr>
            <w:tcW w:w="3281" w:type="dxa"/>
            <w:vAlign w:val="center"/>
          </w:tcPr>
          <w:p w14:paraId="5220D2A0"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14 751,44</w:t>
            </w:r>
          </w:p>
        </w:tc>
        <w:tc>
          <w:tcPr>
            <w:tcW w:w="4538" w:type="dxa"/>
            <w:vAlign w:val="center"/>
          </w:tcPr>
          <w:p w14:paraId="503D272E"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695,25</w:t>
            </w:r>
          </w:p>
        </w:tc>
      </w:tr>
      <w:tr w:rsidR="00877DE5" w:rsidRPr="003D5F9F" w14:paraId="65F63C2A" w14:textId="77777777" w:rsidTr="00067100">
        <w:tc>
          <w:tcPr>
            <w:tcW w:w="1975" w:type="dxa"/>
          </w:tcPr>
          <w:p w14:paraId="1F0E4F5C"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01.01.2022</w:t>
            </w:r>
          </w:p>
        </w:tc>
        <w:tc>
          <w:tcPr>
            <w:tcW w:w="3281" w:type="dxa"/>
            <w:vAlign w:val="center"/>
          </w:tcPr>
          <w:p w14:paraId="0307525E"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16 486,44</w:t>
            </w:r>
          </w:p>
        </w:tc>
        <w:tc>
          <w:tcPr>
            <w:tcW w:w="4538" w:type="dxa"/>
            <w:vAlign w:val="center"/>
          </w:tcPr>
          <w:p w14:paraId="4AEFA0BC"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726,59</w:t>
            </w:r>
          </w:p>
        </w:tc>
      </w:tr>
      <w:tr w:rsidR="00877DE5" w:rsidRPr="003D5F9F" w14:paraId="16BD0B02" w14:textId="77777777" w:rsidTr="00067100">
        <w:tc>
          <w:tcPr>
            <w:tcW w:w="1975" w:type="dxa"/>
          </w:tcPr>
          <w:p w14:paraId="326F0F5E"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01.01.2023</w:t>
            </w:r>
          </w:p>
        </w:tc>
        <w:tc>
          <w:tcPr>
            <w:tcW w:w="3281" w:type="dxa"/>
            <w:vAlign w:val="center"/>
          </w:tcPr>
          <w:p w14:paraId="69AD6981"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18 780,96</w:t>
            </w:r>
          </w:p>
        </w:tc>
        <w:tc>
          <w:tcPr>
            <w:tcW w:w="4538" w:type="dxa"/>
            <w:vAlign w:val="center"/>
          </w:tcPr>
          <w:p w14:paraId="3CB56A55"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701,67</w:t>
            </w:r>
          </w:p>
        </w:tc>
      </w:tr>
      <w:tr w:rsidR="00877DE5" w:rsidRPr="003D5F9F" w14:paraId="3BB35022" w14:textId="77777777" w:rsidTr="00067100">
        <w:tc>
          <w:tcPr>
            <w:tcW w:w="1975" w:type="dxa"/>
          </w:tcPr>
          <w:p w14:paraId="6D5C142E"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t>01.01.2024</w:t>
            </w:r>
          </w:p>
        </w:tc>
        <w:tc>
          <w:tcPr>
            <w:tcW w:w="3281" w:type="dxa"/>
            <w:vAlign w:val="center"/>
          </w:tcPr>
          <w:p w14:paraId="007F1B5B"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20 812,75</w:t>
            </w:r>
          </w:p>
        </w:tc>
        <w:tc>
          <w:tcPr>
            <w:tcW w:w="4538" w:type="dxa"/>
            <w:vAlign w:val="center"/>
          </w:tcPr>
          <w:p w14:paraId="2749223D"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700,39</w:t>
            </w:r>
          </w:p>
        </w:tc>
      </w:tr>
      <w:tr w:rsidR="00877DE5" w:rsidRPr="003D5F9F" w14:paraId="3F941D06" w14:textId="77777777" w:rsidTr="00067100">
        <w:tc>
          <w:tcPr>
            <w:tcW w:w="1975" w:type="dxa"/>
          </w:tcPr>
          <w:p w14:paraId="691602C0" w14:textId="77777777" w:rsidR="00877DE5" w:rsidRPr="003D5F9F" w:rsidRDefault="00877DE5" w:rsidP="00D01EB8">
            <w:pPr>
              <w:jc w:val="both"/>
              <w:rPr>
                <w:rFonts w:ascii="Times New Roman" w:hAnsi="Times New Roman" w:cs="Times New Roman"/>
                <w:sz w:val="24"/>
                <w:szCs w:val="24"/>
              </w:rPr>
            </w:pPr>
            <w:r w:rsidRPr="003D5F9F">
              <w:rPr>
                <w:rFonts w:ascii="Times New Roman" w:hAnsi="Times New Roman" w:cs="Times New Roman"/>
                <w:sz w:val="24"/>
                <w:szCs w:val="24"/>
              </w:rPr>
              <w:lastRenderedPageBreak/>
              <w:t>01.01.2025</w:t>
            </w:r>
          </w:p>
        </w:tc>
        <w:tc>
          <w:tcPr>
            <w:tcW w:w="3281" w:type="dxa"/>
            <w:vAlign w:val="center"/>
          </w:tcPr>
          <w:p w14:paraId="0C74728B"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23 742,29</w:t>
            </w:r>
          </w:p>
        </w:tc>
        <w:tc>
          <w:tcPr>
            <w:tcW w:w="4538" w:type="dxa"/>
            <w:vAlign w:val="center"/>
          </w:tcPr>
          <w:p w14:paraId="6A5AFC76" w14:textId="77777777" w:rsidR="00877DE5" w:rsidRPr="003D5F9F" w:rsidRDefault="00877DE5" w:rsidP="00D01EB8">
            <w:pPr>
              <w:jc w:val="center"/>
              <w:rPr>
                <w:rFonts w:ascii="Times New Roman" w:hAnsi="Times New Roman" w:cs="Times New Roman"/>
                <w:sz w:val="24"/>
                <w:szCs w:val="24"/>
              </w:rPr>
            </w:pPr>
            <w:r w:rsidRPr="003D5F9F">
              <w:rPr>
                <w:rFonts w:ascii="Times New Roman" w:hAnsi="Times New Roman" w:cs="Times New Roman"/>
                <w:sz w:val="24"/>
                <w:szCs w:val="24"/>
              </w:rPr>
              <w:t>656,18</w:t>
            </w:r>
          </w:p>
        </w:tc>
      </w:tr>
    </w:tbl>
    <w:p w14:paraId="302A4712" w14:textId="77777777" w:rsidR="00877DE5" w:rsidRPr="009472DE" w:rsidRDefault="00877DE5" w:rsidP="00067100">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60F559D9" w14:textId="77777777" w:rsidR="00877DE5" w:rsidRPr="009472DE" w:rsidRDefault="00877DE5" w:rsidP="00067100">
      <w:pPr>
        <w:widowControl w:val="0"/>
        <w:shd w:val="clear" w:color="auto" w:fill="FFFFFF"/>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hAnsi="Times New Roman" w:cs="Times New Roman"/>
          <w:sz w:val="32"/>
          <w:szCs w:val="32"/>
        </w:rPr>
        <w:t xml:space="preserve">За последние пять лет внутренний государственный долг России вырос более чем вдвое. </w:t>
      </w:r>
      <w:r w:rsidRPr="009472DE">
        <w:rPr>
          <w:rFonts w:ascii="Times New Roman" w:eastAsia="Times New Roman" w:hAnsi="Times New Roman" w:cs="Times New Roman"/>
          <w:sz w:val="32"/>
          <w:szCs w:val="32"/>
          <w:lang w:eastAsia="ru-RU"/>
        </w:rPr>
        <w:t xml:space="preserve">Тенденция к увеличению долга сохраняется на фоне санкционного давления и необходимости поддерживать социальные обязательства и оборонные расходы. </w:t>
      </w:r>
    </w:p>
    <w:p w14:paraId="3F84D1A5" w14:textId="77777777" w:rsidR="00877DE5" w:rsidRPr="009472DE" w:rsidRDefault="00877DE5" w:rsidP="00067100">
      <w:pPr>
        <w:widowControl w:val="0"/>
        <w:shd w:val="clear" w:color="auto" w:fill="FFFFFF"/>
        <w:spacing w:after="0" w:line="240" w:lineRule="auto"/>
        <w:ind w:firstLine="709"/>
        <w:jc w:val="both"/>
        <w:rPr>
          <w:rFonts w:ascii="Times New Roman" w:hAnsi="Times New Roman" w:cs="Times New Roman"/>
          <w:sz w:val="32"/>
          <w:szCs w:val="32"/>
          <w:lang w:eastAsia="ru-RU"/>
        </w:rPr>
      </w:pPr>
      <w:r w:rsidRPr="009472DE">
        <w:rPr>
          <w:rFonts w:ascii="Times New Roman" w:hAnsi="Times New Roman" w:cs="Times New Roman"/>
          <w:sz w:val="32"/>
          <w:szCs w:val="32"/>
          <w:lang w:eastAsia="ru-RU"/>
        </w:rPr>
        <w:t xml:space="preserve">По данным Минфина РФ, в 2024 году Россия направила значительные средства на покрытие дефицита бюджета, который, по предварительным оценкам, составил около 2 % ВВП.  Внутренний долг остается приоритетным инструментом, так как доступ к внешним рынкам капитала ограничен. На начало 2025 года, согласно отчетам ведомства, Россия продолжила наращивать эмиссию облигаций федерального займа (ОФЗ), что поддерживает ликвидность, но усиливает зависимость от внутренних инвесторов [5]. </w:t>
      </w:r>
    </w:p>
    <w:p w14:paraId="656B6B6D" w14:textId="77777777" w:rsidR="00877DE5" w:rsidRPr="009472DE" w:rsidRDefault="00877DE5" w:rsidP="00067100">
      <w:pPr>
        <w:widowControl w:val="0"/>
        <w:shd w:val="clear" w:color="auto" w:fill="FFFFFF"/>
        <w:spacing w:after="0" w:line="240" w:lineRule="auto"/>
        <w:ind w:firstLine="709"/>
        <w:jc w:val="both"/>
        <w:rPr>
          <w:rFonts w:ascii="Times New Roman" w:hAnsi="Times New Roman" w:cs="Times New Roman"/>
          <w:sz w:val="32"/>
          <w:szCs w:val="32"/>
          <w:lang w:eastAsia="ru-RU"/>
        </w:rPr>
      </w:pPr>
      <w:r w:rsidRPr="009472DE">
        <w:rPr>
          <w:rFonts w:ascii="Times New Roman" w:hAnsi="Times New Roman" w:cs="Times New Roman"/>
          <w:sz w:val="32"/>
          <w:szCs w:val="32"/>
          <w:lang w:eastAsia="ru-RU"/>
        </w:rPr>
        <w:t xml:space="preserve">Сейчас есть ограничения на привлечение внешнего долга, поэтому единственная возможность – заимствования внутри страны. </w:t>
      </w:r>
    </w:p>
    <w:p w14:paraId="65050F2F" w14:textId="77777777" w:rsidR="00877DE5" w:rsidRPr="00D01EB8" w:rsidRDefault="00877DE5" w:rsidP="00D01EB8">
      <w:p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hAnsi="Times New Roman" w:cs="Times New Roman"/>
          <w:sz w:val="32"/>
          <w:szCs w:val="32"/>
        </w:rPr>
        <w:t xml:space="preserve">В таблице 2 рассчитаны ряды динамики внешнего госдолга за пять лет. </w:t>
      </w:r>
      <w:r w:rsidRPr="009472DE">
        <w:rPr>
          <w:rFonts w:ascii="Times New Roman" w:eastAsia="Times New Roman" w:hAnsi="Times New Roman" w:cs="Times New Roman"/>
          <w:sz w:val="32"/>
          <w:szCs w:val="32"/>
          <w:lang w:eastAsia="ru-RU"/>
        </w:rPr>
        <w:t xml:space="preserve">Внешний долг в иностранной валюте в 2025 году, составив 52,1 млрд долл. США, демонстрирует снижение на 1,2 млрд долл. США, темп прироста составил </w:t>
      </w:r>
      <w:r w:rsidRPr="009472DE">
        <w:rPr>
          <w:rFonts w:ascii="Times New Roman" w:hAnsi="Times New Roman" w:cs="Times New Roman"/>
          <w:sz w:val="32"/>
          <w:szCs w:val="32"/>
        </w:rPr>
        <w:t>-</w:t>
      </w:r>
      <w:r w:rsidR="00D01EB8">
        <w:rPr>
          <w:rFonts w:ascii="Times New Roman" w:eastAsia="Times New Roman" w:hAnsi="Times New Roman" w:cs="Times New Roman"/>
          <w:sz w:val="32"/>
          <w:szCs w:val="32"/>
          <w:lang w:eastAsia="ru-RU"/>
        </w:rPr>
        <w:t>2,28 %.</w:t>
      </w:r>
    </w:p>
    <w:p w14:paraId="0E246F12" w14:textId="77777777" w:rsidR="00877DE5" w:rsidRPr="009472DE" w:rsidRDefault="00877DE5" w:rsidP="00D01EB8">
      <w:pPr>
        <w:spacing w:after="0" w:line="240" w:lineRule="auto"/>
        <w:ind w:firstLine="708"/>
        <w:jc w:val="both"/>
        <w:rPr>
          <w:rFonts w:ascii="Times New Roman" w:hAnsi="Times New Roman" w:cs="Times New Roman"/>
          <w:sz w:val="32"/>
          <w:szCs w:val="32"/>
        </w:rPr>
      </w:pPr>
      <w:r w:rsidRPr="009472DE">
        <w:rPr>
          <w:rFonts w:ascii="Times New Roman" w:hAnsi="Times New Roman" w:cs="Times New Roman"/>
          <w:sz w:val="32"/>
          <w:szCs w:val="32"/>
        </w:rPr>
        <w:t>Таблица 2 – Динамический ряд внешнего долга РФ</w:t>
      </w:r>
    </w:p>
    <w:tbl>
      <w:tblPr>
        <w:tblStyle w:val="a9"/>
        <w:tblW w:w="0" w:type="auto"/>
        <w:tblLayout w:type="fixed"/>
        <w:tblLook w:val="04A0" w:firstRow="1" w:lastRow="0" w:firstColumn="1" w:lastColumn="0" w:noHBand="0" w:noVBand="1"/>
      </w:tblPr>
      <w:tblGrid>
        <w:gridCol w:w="1674"/>
        <w:gridCol w:w="1895"/>
        <w:gridCol w:w="2231"/>
        <w:gridCol w:w="1856"/>
        <w:gridCol w:w="1988"/>
      </w:tblGrid>
      <w:tr w:rsidR="00877DE5" w:rsidRPr="009472DE" w14:paraId="496BADD3" w14:textId="77777777" w:rsidTr="00067100">
        <w:tc>
          <w:tcPr>
            <w:tcW w:w="1674" w:type="dxa"/>
          </w:tcPr>
          <w:p w14:paraId="26C5B5B8"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 xml:space="preserve"> Год</w:t>
            </w:r>
          </w:p>
        </w:tc>
        <w:tc>
          <w:tcPr>
            <w:tcW w:w="1895" w:type="dxa"/>
          </w:tcPr>
          <w:p w14:paraId="09D925D2"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Внешний долг, млн долл. США</w:t>
            </w:r>
          </w:p>
        </w:tc>
        <w:tc>
          <w:tcPr>
            <w:tcW w:w="2231" w:type="dxa"/>
          </w:tcPr>
          <w:p w14:paraId="6A8C91D3"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Абсолютный прирост, млн долл. США</w:t>
            </w:r>
          </w:p>
        </w:tc>
        <w:tc>
          <w:tcPr>
            <w:tcW w:w="1856" w:type="dxa"/>
          </w:tcPr>
          <w:p w14:paraId="2DC32FC2"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Темп роста, %</w:t>
            </w:r>
          </w:p>
        </w:tc>
        <w:tc>
          <w:tcPr>
            <w:tcW w:w="1988" w:type="dxa"/>
          </w:tcPr>
          <w:p w14:paraId="340BF2BB"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Темп прироста, %</w:t>
            </w:r>
          </w:p>
        </w:tc>
      </w:tr>
      <w:tr w:rsidR="00877DE5" w:rsidRPr="009472DE" w14:paraId="31ECA30C" w14:textId="77777777" w:rsidTr="00067100">
        <w:tc>
          <w:tcPr>
            <w:tcW w:w="1674" w:type="dxa"/>
          </w:tcPr>
          <w:p w14:paraId="42F852D7"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2020</w:t>
            </w:r>
          </w:p>
        </w:tc>
        <w:tc>
          <w:tcPr>
            <w:tcW w:w="1895" w:type="dxa"/>
            <w:vAlign w:val="center"/>
          </w:tcPr>
          <w:p w14:paraId="4B8EDE1E"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54 848,3</w:t>
            </w:r>
          </w:p>
        </w:tc>
        <w:tc>
          <w:tcPr>
            <w:tcW w:w="2231" w:type="dxa"/>
            <w:vAlign w:val="center"/>
          </w:tcPr>
          <w:p w14:paraId="42EC00D6"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w:t>
            </w:r>
          </w:p>
        </w:tc>
        <w:tc>
          <w:tcPr>
            <w:tcW w:w="1856" w:type="dxa"/>
            <w:vAlign w:val="center"/>
          </w:tcPr>
          <w:p w14:paraId="72E8E6B5"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w:t>
            </w:r>
          </w:p>
        </w:tc>
        <w:tc>
          <w:tcPr>
            <w:tcW w:w="1988" w:type="dxa"/>
            <w:vAlign w:val="center"/>
          </w:tcPr>
          <w:p w14:paraId="6BE7AD34"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w:t>
            </w:r>
          </w:p>
        </w:tc>
      </w:tr>
      <w:tr w:rsidR="00877DE5" w:rsidRPr="009472DE" w14:paraId="3EFE4F55" w14:textId="77777777" w:rsidTr="00067100">
        <w:tc>
          <w:tcPr>
            <w:tcW w:w="1674" w:type="dxa"/>
          </w:tcPr>
          <w:p w14:paraId="5E37C046"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2021</w:t>
            </w:r>
          </w:p>
        </w:tc>
        <w:tc>
          <w:tcPr>
            <w:tcW w:w="1895" w:type="dxa"/>
            <w:vAlign w:val="center"/>
          </w:tcPr>
          <w:p w14:paraId="1BD8311F"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56 702,9</w:t>
            </w:r>
          </w:p>
        </w:tc>
        <w:tc>
          <w:tcPr>
            <w:tcW w:w="2231" w:type="dxa"/>
            <w:vAlign w:val="center"/>
          </w:tcPr>
          <w:p w14:paraId="4FE1371F"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1 854,6</w:t>
            </w:r>
          </w:p>
        </w:tc>
        <w:tc>
          <w:tcPr>
            <w:tcW w:w="1856" w:type="dxa"/>
            <w:vAlign w:val="center"/>
          </w:tcPr>
          <w:p w14:paraId="0E0C7755"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103,38</w:t>
            </w:r>
          </w:p>
        </w:tc>
        <w:tc>
          <w:tcPr>
            <w:tcW w:w="1988" w:type="dxa"/>
            <w:vAlign w:val="center"/>
          </w:tcPr>
          <w:p w14:paraId="0F4AADE8"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3,38</w:t>
            </w:r>
          </w:p>
        </w:tc>
      </w:tr>
      <w:tr w:rsidR="00877DE5" w:rsidRPr="009472DE" w14:paraId="5E864841" w14:textId="77777777" w:rsidTr="00067100">
        <w:tc>
          <w:tcPr>
            <w:tcW w:w="1674" w:type="dxa"/>
          </w:tcPr>
          <w:p w14:paraId="3D36569B"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2022</w:t>
            </w:r>
          </w:p>
        </w:tc>
        <w:tc>
          <w:tcPr>
            <w:tcW w:w="1895" w:type="dxa"/>
            <w:vAlign w:val="center"/>
          </w:tcPr>
          <w:p w14:paraId="68A55345"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59 702,0</w:t>
            </w:r>
          </w:p>
        </w:tc>
        <w:tc>
          <w:tcPr>
            <w:tcW w:w="2231" w:type="dxa"/>
            <w:vAlign w:val="center"/>
          </w:tcPr>
          <w:p w14:paraId="29786B8A"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2 999,1</w:t>
            </w:r>
          </w:p>
        </w:tc>
        <w:tc>
          <w:tcPr>
            <w:tcW w:w="1856" w:type="dxa"/>
            <w:vAlign w:val="center"/>
          </w:tcPr>
          <w:p w14:paraId="0BC24F13"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105,29</w:t>
            </w:r>
          </w:p>
        </w:tc>
        <w:tc>
          <w:tcPr>
            <w:tcW w:w="1988" w:type="dxa"/>
            <w:vAlign w:val="center"/>
          </w:tcPr>
          <w:p w14:paraId="38603962"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5,29</w:t>
            </w:r>
          </w:p>
        </w:tc>
      </w:tr>
      <w:tr w:rsidR="00877DE5" w:rsidRPr="009472DE" w14:paraId="71FE5C84" w14:textId="77777777" w:rsidTr="00067100">
        <w:tc>
          <w:tcPr>
            <w:tcW w:w="1674" w:type="dxa"/>
          </w:tcPr>
          <w:p w14:paraId="608ED5C7"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2023</w:t>
            </w:r>
          </w:p>
        </w:tc>
        <w:tc>
          <w:tcPr>
            <w:tcW w:w="1895" w:type="dxa"/>
            <w:vAlign w:val="center"/>
          </w:tcPr>
          <w:p w14:paraId="62AC3046"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57 416,8</w:t>
            </w:r>
          </w:p>
        </w:tc>
        <w:tc>
          <w:tcPr>
            <w:tcW w:w="2231" w:type="dxa"/>
            <w:vAlign w:val="center"/>
          </w:tcPr>
          <w:p w14:paraId="02C4C660"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- 2285,2</w:t>
            </w:r>
          </w:p>
        </w:tc>
        <w:tc>
          <w:tcPr>
            <w:tcW w:w="1856" w:type="dxa"/>
            <w:vAlign w:val="center"/>
          </w:tcPr>
          <w:p w14:paraId="51FAF54A"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96,17</w:t>
            </w:r>
          </w:p>
        </w:tc>
        <w:tc>
          <w:tcPr>
            <w:tcW w:w="1988" w:type="dxa"/>
            <w:vAlign w:val="center"/>
          </w:tcPr>
          <w:p w14:paraId="23A0FC5E"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- 3,83</w:t>
            </w:r>
          </w:p>
        </w:tc>
      </w:tr>
      <w:tr w:rsidR="00877DE5" w:rsidRPr="009472DE" w14:paraId="381221D2" w14:textId="77777777" w:rsidTr="00067100">
        <w:tc>
          <w:tcPr>
            <w:tcW w:w="1674" w:type="dxa"/>
          </w:tcPr>
          <w:p w14:paraId="463020E6"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2024</w:t>
            </w:r>
          </w:p>
        </w:tc>
        <w:tc>
          <w:tcPr>
            <w:tcW w:w="1895" w:type="dxa"/>
            <w:vAlign w:val="center"/>
          </w:tcPr>
          <w:p w14:paraId="3F6AF597"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53 322,9</w:t>
            </w:r>
          </w:p>
        </w:tc>
        <w:tc>
          <w:tcPr>
            <w:tcW w:w="2231" w:type="dxa"/>
            <w:vAlign w:val="center"/>
          </w:tcPr>
          <w:p w14:paraId="055C7A20"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- 4093,9</w:t>
            </w:r>
          </w:p>
        </w:tc>
        <w:tc>
          <w:tcPr>
            <w:tcW w:w="1856" w:type="dxa"/>
            <w:vAlign w:val="center"/>
          </w:tcPr>
          <w:p w14:paraId="47C5D00D"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92,87</w:t>
            </w:r>
          </w:p>
        </w:tc>
        <w:tc>
          <w:tcPr>
            <w:tcW w:w="1988" w:type="dxa"/>
            <w:vAlign w:val="center"/>
          </w:tcPr>
          <w:p w14:paraId="0ACB65EE"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- 7,13</w:t>
            </w:r>
          </w:p>
        </w:tc>
      </w:tr>
      <w:tr w:rsidR="00877DE5" w:rsidRPr="009472DE" w14:paraId="7CD6A49A" w14:textId="77777777" w:rsidTr="00067100">
        <w:tc>
          <w:tcPr>
            <w:tcW w:w="1674" w:type="dxa"/>
          </w:tcPr>
          <w:p w14:paraId="2AA83E45" w14:textId="77777777" w:rsidR="00877DE5" w:rsidRPr="009472DE" w:rsidRDefault="00877DE5" w:rsidP="00D01EB8">
            <w:pPr>
              <w:jc w:val="both"/>
              <w:rPr>
                <w:rFonts w:ascii="Times New Roman" w:hAnsi="Times New Roman" w:cs="Times New Roman"/>
                <w:sz w:val="28"/>
                <w:szCs w:val="28"/>
              </w:rPr>
            </w:pPr>
            <w:r w:rsidRPr="009472DE">
              <w:rPr>
                <w:rFonts w:ascii="Times New Roman" w:hAnsi="Times New Roman" w:cs="Times New Roman"/>
                <w:sz w:val="28"/>
                <w:szCs w:val="28"/>
              </w:rPr>
              <w:t>2025</w:t>
            </w:r>
          </w:p>
        </w:tc>
        <w:tc>
          <w:tcPr>
            <w:tcW w:w="1895" w:type="dxa"/>
            <w:vAlign w:val="center"/>
          </w:tcPr>
          <w:p w14:paraId="1369B3C3"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52 109,2</w:t>
            </w:r>
          </w:p>
        </w:tc>
        <w:tc>
          <w:tcPr>
            <w:tcW w:w="2231" w:type="dxa"/>
            <w:vAlign w:val="center"/>
          </w:tcPr>
          <w:p w14:paraId="5921F962"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- 1213,7</w:t>
            </w:r>
          </w:p>
        </w:tc>
        <w:tc>
          <w:tcPr>
            <w:tcW w:w="1856" w:type="dxa"/>
            <w:vAlign w:val="center"/>
          </w:tcPr>
          <w:p w14:paraId="076911A0"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97,72</w:t>
            </w:r>
          </w:p>
        </w:tc>
        <w:tc>
          <w:tcPr>
            <w:tcW w:w="1988" w:type="dxa"/>
            <w:vAlign w:val="center"/>
          </w:tcPr>
          <w:p w14:paraId="64D5E59D" w14:textId="77777777" w:rsidR="00877DE5" w:rsidRPr="009472DE" w:rsidRDefault="00877DE5" w:rsidP="00D01EB8">
            <w:pPr>
              <w:jc w:val="center"/>
              <w:rPr>
                <w:rFonts w:ascii="Times New Roman" w:hAnsi="Times New Roman" w:cs="Times New Roman"/>
                <w:sz w:val="28"/>
                <w:szCs w:val="28"/>
              </w:rPr>
            </w:pPr>
            <w:r w:rsidRPr="009472DE">
              <w:rPr>
                <w:rFonts w:ascii="Times New Roman" w:hAnsi="Times New Roman" w:cs="Times New Roman"/>
                <w:sz w:val="28"/>
                <w:szCs w:val="28"/>
              </w:rPr>
              <w:t>- 2,28</w:t>
            </w:r>
          </w:p>
        </w:tc>
      </w:tr>
    </w:tbl>
    <w:p w14:paraId="5175AFB7"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 xml:space="preserve"> </w:t>
      </w:r>
    </w:p>
    <w:p w14:paraId="2AE2DE6B" w14:textId="77777777" w:rsidR="00877DE5" w:rsidRPr="009472DE"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hAnsi="Times New Roman" w:cs="Times New Roman"/>
          <w:sz w:val="32"/>
          <w:szCs w:val="32"/>
        </w:rPr>
        <w:t xml:space="preserve">Последние три года внешний долг уменьшается. </w:t>
      </w:r>
      <w:r w:rsidRPr="009472DE">
        <w:rPr>
          <w:rFonts w:ascii="Times New Roman" w:eastAsia="Times New Roman" w:hAnsi="Times New Roman" w:cs="Times New Roman"/>
          <w:sz w:val="32"/>
          <w:szCs w:val="32"/>
          <w:lang w:eastAsia="ru-RU"/>
        </w:rPr>
        <w:t>По данным Министерства финансов Российской федерации и Федеральной службы государственной статистики (Росстата), государственный долг России по итогам 2024 года составил 14,5 % от валового внутреннего продукта страны. По сравнению с 2023 годом, рост составил 13,5 %, что отражает увеличение финансовой нагрузки на экономику в условиях сложной геополитической обстановки [6]. Безопасным же уровнем государственного долга в нашей стране считается</w:t>
      </w:r>
      <w:r w:rsidRPr="009472DE">
        <w:rPr>
          <w:rStyle w:val="afb"/>
          <w:rFonts w:ascii="Times New Roman" w:eastAsia="Arial" w:hAnsi="Times New Roman" w:cs="Times New Roman"/>
          <w:color w:val="333333"/>
          <w:sz w:val="32"/>
          <w:szCs w:val="32"/>
          <w:shd w:val="clear" w:color="auto" w:fill="FFFFFF"/>
        </w:rPr>
        <w:t xml:space="preserve"> </w:t>
      </w:r>
      <w:r w:rsidRPr="009472DE">
        <w:rPr>
          <w:rFonts w:ascii="Times New Roman" w:eastAsia="Times New Roman" w:hAnsi="Times New Roman" w:cs="Times New Roman"/>
          <w:sz w:val="32"/>
          <w:szCs w:val="32"/>
          <w:lang w:eastAsia="ru-RU"/>
        </w:rPr>
        <w:t>отметка ниже 20 % от ВВП.</w:t>
      </w:r>
    </w:p>
    <w:p w14:paraId="5C7B67AA" w14:textId="77777777" w:rsidR="00877DE5" w:rsidRPr="009472DE" w:rsidRDefault="00877DE5" w:rsidP="00067100">
      <w:pPr>
        <w:numPr>
          <w:ilvl w:val="254"/>
          <w:numId w:val="0"/>
        </w:numPr>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bCs/>
          <w:sz w:val="32"/>
          <w:szCs w:val="32"/>
          <w:lang w:eastAsia="ru-RU"/>
        </w:rPr>
        <w:lastRenderedPageBreak/>
        <w:t>Проблемой для стабилизации государственного долга может стать увеличение объёма заимствований</w:t>
      </w:r>
      <w:r w:rsidRPr="009472DE">
        <w:rPr>
          <w:rFonts w:ascii="Times New Roman" w:eastAsia="Times New Roman" w:hAnsi="Times New Roman" w:cs="Times New Roman"/>
          <w:sz w:val="32"/>
          <w:szCs w:val="32"/>
          <w:lang w:eastAsia="ru-RU"/>
        </w:rPr>
        <w:t>. Постоянное наращивание заимствований может привести к угрозе для экономической безопасности страны и стабильности бюджетной системы.</w:t>
      </w:r>
    </w:p>
    <w:p w14:paraId="0544D8D3" w14:textId="77777777" w:rsidR="00877DE5" w:rsidRPr="009472DE" w:rsidRDefault="00877DE5" w:rsidP="00067100">
      <w:pPr>
        <w:numPr>
          <w:ilvl w:val="254"/>
          <w:numId w:val="0"/>
        </w:numPr>
        <w:spacing w:after="0" w:line="240" w:lineRule="auto"/>
        <w:ind w:firstLine="709"/>
        <w:jc w:val="both"/>
        <w:rPr>
          <w:rFonts w:ascii="Times New Roman" w:eastAsia="Times New Roman" w:hAnsi="Times New Roman" w:cs="Times New Roman"/>
          <w:bCs/>
          <w:sz w:val="32"/>
          <w:szCs w:val="32"/>
          <w:lang w:eastAsia="ru-RU"/>
        </w:rPr>
      </w:pPr>
      <w:r w:rsidRPr="009472DE">
        <w:rPr>
          <w:rFonts w:ascii="Times New Roman" w:eastAsia="Times New Roman" w:hAnsi="Times New Roman" w:cs="Times New Roman"/>
          <w:bCs/>
          <w:sz w:val="32"/>
          <w:szCs w:val="32"/>
          <w:lang w:eastAsia="ru-RU"/>
        </w:rPr>
        <w:t>Также проблема может быть в нерациональной структуре долга</w:t>
      </w:r>
      <w:r w:rsidRPr="009472DE">
        <w:rPr>
          <w:rFonts w:ascii="Times New Roman" w:eastAsia="Times New Roman" w:hAnsi="Times New Roman" w:cs="Times New Roman"/>
          <w:sz w:val="32"/>
          <w:szCs w:val="32"/>
          <w:lang w:eastAsia="ru-RU"/>
        </w:rPr>
        <w:t xml:space="preserve">. </w:t>
      </w:r>
      <w:r w:rsidRPr="009472DE">
        <w:rPr>
          <w:rFonts w:ascii="Times New Roman" w:eastAsia="Times New Roman" w:hAnsi="Times New Roman" w:cs="Times New Roman"/>
          <w:bCs/>
          <w:sz w:val="32"/>
          <w:szCs w:val="32"/>
          <w:lang w:eastAsia="ru-RU"/>
        </w:rPr>
        <w:t>При формировании графика погашения необходимо составить его с учетом равномерного распределения расходов на его обслуживание, чтобы избежать значительных единовременных нагрузок на бюджет.</w:t>
      </w:r>
    </w:p>
    <w:p w14:paraId="3D3ED7FE" w14:textId="77777777" w:rsidR="00877DE5" w:rsidRPr="009472DE" w:rsidRDefault="00877DE5" w:rsidP="00067100">
      <w:pPr>
        <w:numPr>
          <w:ilvl w:val="254"/>
          <w:numId w:val="0"/>
        </w:numPr>
        <w:spacing w:after="0" w:line="240" w:lineRule="auto"/>
        <w:ind w:firstLine="709"/>
        <w:jc w:val="both"/>
        <w:rPr>
          <w:rFonts w:ascii="Times New Roman" w:eastAsia="Times New Roman" w:hAnsi="Times New Roman" w:cs="Times New Roman"/>
          <w:bCs/>
          <w:sz w:val="32"/>
          <w:szCs w:val="32"/>
          <w:lang w:eastAsia="ru-RU"/>
        </w:rPr>
      </w:pPr>
      <w:r w:rsidRPr="009472DE">
        <w:rPr>
          <w:rFonts w:ascii="Times New Roman" w:eastAsia="Times New Roman" w:hAnsi="Times New Roman" w:cs="Times New Roman"/>
          <w:bCs/>
          <w:sz w:val="32"/>
          <w:szCs w:val="32"/>
          <w:lang w:eastAsia="ru-RU"/>
        </w:rPr>
        <w:t xml:space="preserve">Нельзя игнорировать стремительный рост процентных расходов </w:t>
      </w:r>
      <w:r w:rsidRPr="009472DE">
        <w:rPr>
          <w:rFonts w:ascii="Times New Roman" w:eastAsia="Times New Roman" w:hAnsi="Times New Roman" w:cs="Times New Roman"/>
          <w:sz w:val="32"/>
          <w:szCs w:val="32"/>
          <w:lang w:eastAsia="ru-RU"/>
        </w:rPr>
        <w:t>–</w:t>
      </w:r>
      <w:r w:rsidRPr="009472DE">
        <w:rPr>
          <w:rFonts w:ascii="Times New Roman" w:eastAsia="Times New Roman" w:hAnsi="Times New Roman" w:cs="Times New Roman"/>
          <w:bCs/>
          <w:sz w:val="32"/>
          <w:szCs w:val="32"/>
          <w:lang w:eastAsia="ru-RU"/>
        </w:rPr>
        <w:t xml:space="preserve"> это чревато негативными последствиями. Выплаты процентов по государственному долгу увеличивают бюджетные траты и вынуждают брать новые кредиты для погашения старых.</w:t>
      </w:r>
    </w:p>
    <w:p w14:paraId="2EF0EDBC" w14:textId="77777777" w:rsidR="00877DE5" w:rsidRPr="009472DE" w:rsidRDefault="00877DE5" w:rsidP="00067100">
      <w:pPr>
        <w:widowControl w:val="0"/>
        <w:spacing w:after="0" w:line="240" w:lineRule="auto"/>
        <w:ind w:firstLine="709"/>
        <w:jc w:val="both"/>
        <w:rPr>
          <w:rFonts w:ascii="Times New Roman" w:eastAsia="Times New Roman" w:hAnsi="Times New Roman" w:cs="Times New Roman"/>
          <w:bCs/>
          <w:sz w:val="32"/>
          <w:szCs w:val="32"/>
          <w:lang w:eastAsia="ru-RU"/>
        </w:rPr>
      </w:pPr>
      <w:r w:rsidRPr="009472DE">
        <w:rPr>
          <w:rFonts w:ascii="Times New Roman" w:eastAsia="Times New Roman" w:hAnsi="Times New Roman" w:cs="Times New Roman"/>
          <w:bCs/>
          <w:sz w:val="32"/>
          <w:szCs w:val="32"/>
          <w:lang w:eastAsia="ru-RU"/>
        </w:rPr>
        <w:t>Увеличение внешнего долга усиливает зависимость государства от иностранных кредиторов, что мешает проведению независимой внешней политики. Кроме того, существенный и постоянно растущий внешний долг создает препятствия для привлечения новых кредитных ресурсов.</w:t>
      </w:r>
    </w:p>
    <w:p w14:paraId="6BDD238E" w14:textId="77777777" w:rsidR="00877DE5" w:rsidRPr="0086192C" w:rsidRDefault="00877DE5" w:rsidP="00067100">
      <w:pPr>
        <w:widowControl w:val="0"/>
        <w:spacing w:after="0" w:line="240" w:lineRule="auto"/>
        <w:ind w:firstLine="709"/>
        <w:jc w:val="both"/>
        <w:rPr>
          <w:rFonts w:ascii="Times New Roman" w:eastAsia="var(--depot-font-size-text-m-pa" w:hAnsi="Times New Roman" w:cs="Times New Roman"/>
          <w:b/>
          <w:sz w:val="32"/>
          <w:szCs w:val="32"/>
          <w:shd w:val="clear" w:color="auto" w:fill="FFFFFF"/>
        </w:rPr>
      </w:pPr>
      <w:r w:rsidRPr="0086192C">
        <w:rPr>
          <w:rStyle w:val="afb"/>
          <w:rFonts w:ascii="Times New Roman" w:eastAsia="var(--depot-font-size-text-m-pa" w:hAnsi="Times New Roman" w:cs="Times New Roman"/>
          <w:b w:val="0"/>
          <w:sz w:val="32"/>
          <w:szCs w:val="32"/>
          <w:shd w:val="clear" w:color="auto" w:fill="FFFFFF"/>
        </w:rPr>
        <w:t>Для решения этих проблем необходимо совершенствовать методы управления финансовыми ресурсами государства</w:t>
      </w:r>
      <w:r w:rsidRPr="0086192C">
        <w:rPr>
          <w:rFonts w:ascii="Times New Roman" w:eastAsia="var(--depot-font-size-text-m-pa" w:hAnsi="Times New Roman" w:cs="Times New Roman"/>
          <w:sz w:val="32"/>
          <w:szCs w:val="32"/>
          <w:shd w:val="clear" w:color="auto" w:fill="FFFFFF"/>
        </w:rPr>
        <w:t>, а также грамотно вести экономическую политику.</w:t>
      </w:r>
    </w:p>
    <w:p w14:paraId="1DA9EBC2" w14:textId="77777777" w:rsidR="00877DE5" w:rsidRPr="0086192C" w:rsidRDefault="00877DE5" w:rsidP="00067100">
      <w:pPr>
        <w:spacing w:after="0" w:line="240" w:lineRule="auto"/>
        <w:ind w:firstLine="709"/>
        <w:jc w:val="both"/>
        <w:rPr>
          <w:rStyle w:val="afb"/>
          <w:rFonts w:ascii="Times New Roman" w:eastAsia="var(--depot-font-size-text-m-pa" w:hAnsi="Times New Roman" w:cs="Times New Roman"/>
          <w:b w:val="0"/>
          <w:bCs w:val="0"/>
          <w:sz w:val="32"/>
          <w:szCs w:val="32"/>
          <w:shd w:val="clear" w:color="auto" w:fill="FFFFFF"/>
        </w:rPr>
      </w:pPr>
      <w:r w:rsidRPr="0086192C">
        <w:rPr>
          <w:rStyle w:val="afb"/>
          <w:rFonts w:ascii="Times New Roman" w:eastAsia="var(--depot-font-size-text-m-pa" w:hAnsi="Times New Roman" w:cs="Times New Roman"/>
          <w:b w:val="0"/>
          <w:sz w:val="32"/>
          <w:szCs w:val="32"/>
          <w:shd w:val="clear" w:color="auto" w:fill="FFFFFF"/>
        </w:rPr>
        <w:t xml:space="preserve">Совершенствование системы управления государственным долгом Российской Федерации включает такие направления как: </w:t>
      </w:r>
    </w:p>
    <w:p w14:paraId="1AC63DFB" w14:textId="77777777" w:rsidR="00877DE5" w:rsidRPr="00EC4161" w:rsidRDefault="00877DE5" w:rsidP="00AD58CD">
      <w:pPr>
        <w:numPr>
          <w:ilvl w:val="0"/>
          <w:numId w:val="10"/>
        </w:numPr>
        <w:spacing w:after="0" w:line="240" w:lineRule="auto"/>
        <w:ind w:firstLine="709"/>
        <w:jc w:val="both"/>
        <w:rPr>
          <w:rFonts w:ascii="Times New Roman" w:hAnsi="Times New Roman" w:cs="Times New Roman"/>
          <w:sz w:val="32"/>
          <w:szCs w:val="32"/>
        </w:rPr>
      </w:pPr>
      <w:r w:rsidRPr="00EC4161">
        <w:rPr>
          <w:rStyle w:val="afb"/>
          <w:rFonts w:ascii="Times New Roman" w:eastAsia="var(--depot-font-size-text-m-pa" w:hAnsi="Times New Roman" w:cs="Times New Roman"/>
          <w:b w:val="0"/>
          <w:sz w:val="32"/>
          <w:szCs w:val="32"/>
          <w:shd w:val="clear" w:color="auto" w:fill="FFFFFF"/>
        </w:rPr>
        <w:t>Рациональное использование заемных средств, например, посредством структурной модернизации экономики, направленной на инновации, играет ключевую роль.</w:t>
      </w:r>
      <w:r w:rsidRPr="00EC4161">
        <w:rPr>
          <w:rFonts w:ascii="Times New Roman" w:hAnsi="Times New Roman" w:cs="Times New Roman"/>
          <w:sz w:val="32"/>
          <w:szCs w:val="32"/>
        </w:rPr>
        <w:t xml:space="preserve"> </w:t>
      </w:r>
    </w:p>
    <w:p w14:paraId="42448B1E" w14:textId="77777777" w:rsidR="00877DE5" w:rsidRPr="00EC4161" w:rsidRDefault="00877DE5" w:rsidP="00AD58CD">
      <w:pPr>
        <w:numPr>
          <w:ilvl w:val="0"/>
          <w:numId w:val="10"/>
        </w:numPr>
        <w:spacing w:after="0" w:line="240" w:lineRule="auto"/>
        <w:ind w:firstLine="709"/>
        <w:jc w:val="both"/>
        <w:rPr>
          <w:rFonts w:ascii="Times New Roman" w:hAnsi="Times New Roman" w:cs="Times New Roman"/>
          <w:sz w:val="32"/>
          <w:szCs w:val="32"/>
          <w:lang w:eastAsia="ru-RU"/>
        </w:rPr>
      </w:pPr>
      <w:r w:rsidRPr="00EC4161">
        <w:rPr>
          <w:rStyle w:val="afb"/>
          <w:rFonts w:ascii="Times New Roman" w:eastAsia="var(--depot-font-size-text-m-pa" w:hAnsi="Times New Roman" w:cs="Times New Roman"/>
          <w:b w:val="0"/>
          <w:sz w:val="32"/>
          <w:szCs w:val="32"/>
          <w:shd w:val="clear" w:color="auto" w:fill="FFFFFF"/>
        </w:rPr>
        <w:t>Укрепление позиций Правительства в резервном фонде. В периоды экономического подъема фонд должен формировать накопления, которые в трудные времена будут направлены на погашение государственного долга.</w:t>
      </w:r>
      <w:r w:rsidRPr="00EC4161">
        <w:rPr>
          <w:rFonts w:ascii="Times New Roman" w:hAnsi="Times New Roman" w:cs="Times New Roman"/>
          <w:sz w:val="32"/>
          <w:szCs w:val="32"/>
        </w:rPr>
        <w:t xml:space="preserve"> </w:t>
      </w:r>
    </w:p>
    <w:p w14:paraId="5A99DBEF" w14:textId="77777777" w:rsidR="00877DE5" w:rsidRPr="00EC4161" w:rsidRDefault="00877DE5" w:rsidP="00AD58CD">
      <w:pPr>
        <w:numPr>
          <w:ilvl w:val="0"/>
          <w:numId w:val="10"/>
        </w:numPr>
        <w:spacing w:after="0" w:line="240" w:lineRule="auto"/>
        <w:ind w:firstLine="709"/>
        <w:jc w:val="both"/>
        <w:rPr>
          <w:rFonts w:ascii="Times New Roman" w:eastAsia="Times New Roman" w:hAnsi="Times New Roman" w:cs="Times New Roman"/>
          <w:sz w:val="32"/>
          <w:szCs w:val="32"/>
          <w:lang w:eastAsia="ru-RU"/>
        </w:rPr>
      </w:pPr>
      <w:r w:rsidRPr="00EC4161">
        <w:rPr>
          <w:rFonts w:ascii="Times New Roman" w:eastAsia="sans-serif" w:hAnsi="Times New Roman" w:cs="Times New Roman"/>
          <w:sz w:val="32"/>
          <w:szCs w:val="32"/>
          <w:shd w:val="clear" w:color="auto" w:fill="FFFFFF"/>
        </w:rPr>
        <w:t>Организация эффективного учета государственного долга и всех связанных с ним операций.</w:t>
      </w:r>
      <w:r w:rsidRPr="00EC4161">
        <w:rPr>
          <w:rFonts w:ascii="Times New Roman" w:hAnsi="Times New Roman" w:cs="Times New Roman"/>
          <w:sz w:val="32"/>
          <w:szCs w:val="32"/>
        </w:rPr>
        <w:t xml:space="preserve"> </w:t>
      </w:r>
    </w:p>
    <w:p w14:paraId="5B973817" w14:textId="77777777" w:rsidR="00877DE5" w:rsidRPr="009472DE" w:rsidRDefault="00877DE5" w:rsidP="00067100">
      <w:pPr>
        <w:pStyle w:val="af5"/>
        <w:shd w:val="clear" w:color="auto" w:fill="FFFFFF"/>
        <w:spacing w:before="0" w:after="0"/>
        <w:ind w:firstLine="709"/>
        <w:jc w:val="both"/>
        <w:textAlignment w:val="baseline"/>
        <w:rPr>
          <w:rFonts w:ascii="Times New Roman" w:eastAsia="sans-serif" w:hAnsi="Times New Roman"/>
          <w:sz w:val="32"/>
          <w:szCs w:val="32"/>
          <w:shd w:val="clear" w:color="auto" w:fill="FFFFFF"/>
        </w:rPr>
      </w:pPr>
      <w:r w:rsidRPr="009472DE">
        <w:rPr>
          <w:rFonts w:ascii="Times New Roman" w:eastAsia="sans-serif" w:hAnsi="Times New Roman"/>
          <w:sz w:val="32"/>
          <w:szCs w:val="32"/>
          <w:shd w:val="clear" w:color="auto" w:fill="FFFFFF"/>
        </w:rPr>
        <w:t xml:space="preserve">Ключевой задачей государственного управления является обеспечение финансовой защиты страны и укрепление её экономического суверенитета. Обеспечение стабильности в области государственного долга предполагает постоянное применение мер, ориентированных на стимулирование экономического развития и устранение ключевых системных препятствий в российской экономике и обществе, в первую очередь, в сфере финансов. </w:t>
      </w:r>
    </w:p>
    <w:p w14:paraId="534FA325" w14:textId="77777777" w:rsidR="00877DE5" w:rsidRPr="009472DE" w:rsidRDefault="00877DE5" w:rsidP="00067100">
      <w:pPr>
        <w:pStyle w:val="af5"/>
        <w:shd w:val="clear" w:color="auto" w:fill="FFFFFF"/>
        <w:spacing w:before="0" w:after="0"/>
        <w:ind w:firstLine="709"/>
        <w:jc w:val="both"/>
        <w:textAlignment w:val="baseline"/>
        <w:rPr>
          <w:rFonts w:ascii="Times New Roman" w:hAnsi="Times New Roman"/>
          <w:sz w:val="32"/>
          <w:szCs w:val="32"/>
          <w:lang w:eastAsia="ru-RU"/>
        </w:rPr>
      </w:pPr>
      <w:r w:rsidRPr="009472DE">
        <w:rPr>
          <w:rFonts w:ascii="Times New Roman" w:eastAsia="sans-serif" w:hAnsi="Times New Roman"/>
          <w:sz w:val="32"/>
          <w:szCs w:val="32"/>
          <w:shd w:val="clear" w:color="auto" w:fill="FFFFFF"/>
        </w:rPr>
        <w:lastRenderedPageBreak/>
        <w:t xml:space="preserve"> </w:t>
      </w:r>
      <w:r w:rsidRPr="009472DE">
        <w:rPr>
          <w:rFonts w:ascii="Times New Roman" w:eastAsia="sans-serif" w:hAnsi="Times New Roman"/>
          <w:sz w:val="32"/>
          <w:szCs w:val="32"/>
          <w:shd w:val="clear" w:color="auto" w:fill="FFFFFF"/>
          <w:lang w:eastAsia="ru-RU"/>
        </w:rPr>
        <w:t xml:space="preserve">Наличие государственного </w:t>
      </w:r>
      <w:r w:rsidRPr="009472DE">
        <w:rPr>
          <w:rFonts w:ascii="Times New Roman" w:hAnsi="Times New Roman"/>
          <w:sz w:val="32"/>
          <w:szCs w:val="32"/>
          <w:lang w:eastAsia="ru-RU"/>
        </w:rPr>
        <w:t>долга оказывает неоднозначное воздействие на экономику</w:t>
      </w:r>
      <w:r w:rsidRPr="009472DE">
        <w:rPr>
          <w:rFonts w:ascii="Times New Roman" w:eastAsia="sans-serif" w:hAnsi="Times New Roman"/>
          <w:color w:val="212529"/>
          <w:sz w:val="32"/>
          <w:szCs w:val="32"/>
          <w:shd w:val="clear" w:color="auto" w:fill="FFFFFF"/>
        </w:rPr>
        <w:t xml:space="preserve">. </w:t>
      </w:r>
      <w:r w:rsidRPr="009472DE">
        <w:rPr>
          <w:rFonts w:ascii="Times New Roman" w:hAnsi="Times New Roman"/>
          <w:sz w:val="32"/>
          <w:szCs w:val="32"/>
          <w:lang w:eastAsia="ru-RU"/>
        </w:rPr>
        <w:t>С одной стороны, наличие долга даёт стране возможность привлекать финансирование из внешних источников, поддерживая тем самым экономическое развитие. С другой стороны, это может привести к уменьшению государственных вложений в национальную экономику, снижению независимости и увеличению затрат на выплату процентов.</w:t>
      </w:r>
    </w:p>
    <w:p w14:paraId="3132A5A6" w14:textId="77777777" w:rsidR="00877DE5" w:rsidRPr="009472DE" w:rsidRDefault="00877DE5" w:rsidP="00067100">
      <w:pPr>
        <w:pStyle w:val="af5"/>
        <w:shd w:val="clear" w:color="auto" w:fill="FFFFFF"/>
        <w:spacing w:before="0" w:after="0"/>
        <w:ind w:firstLine="709"/>
        <w:jc w:val="both"/>
        <w:textAlignment w:val="baseline"/>
        <w:rPr>
          <w:rFonts w:ascii="Times New Roman" w:hAnsi="Times New Roman"/>
          <w:sz w:val="32"/>
          <w:szCs w:val="32"/>
          <w:lang w:eastAsia="ru-RU"/>
        </w:rPr>
      </w:pPr>
      <w:r w:rsidRPr="009472DE">
        <w:rPr>
          <w:rFonts w:ascii="Times New Roman" w:hAnsi="Times New Roman"/>
          <w:sz w:val="32"/>
          <w:szCs w:val="32"/>
          <w:lang w:eastAsia="ru-RU"/>
        </w:rPr>
        <w:t>Дополнительные заимствования в разумных пределах полезны для бюджета, ведь деньги на оплату всех расходов не тратятся из Фонда национального благосостояния (ФНБ).</w:t>
      </w:r>
    </w:p>
    <w:p w14:paraId="7F0997A9" w14:textId="77777777" w:rsidR="00877DE5" w:rsidRPr="009472DE" w:rsidRDefault="00877DE5" w:rsidP="00067100">
      <w:pPr>
        <w:pStyle w:val="af5"/>
        <w:shd w:val="clear" w:color="auto" w:fill="FFFFFF"/>
        <w:spacing w:before="0" w:after="0"/>
        <w:ind w:firstLine="709"/>
        <w:jc w:val="both"/>
        <w:textAlignment w:val="baseline"/>
        <w:rPr>
          <w:rFonts w:ascii="Times New Roman" w:hAnsi="Times New Roman"/>
          <w:sz w:val="32"/>
          <w:szCs w:val="32"/>
          <w:lang w:eastAsia="ru-RU"/>
        </w:rPr>
      </w:pPr>
      <w:r w:rsidRPr="009472DE">
        <w:rPr>
          <w:rFonts w:ascii="Times New Roman" w:hAnsi="Times New Roman"/>
          <w:sz w:val="32"/>
          <w:szCs w:val="32"/>
          <w:lang w:eastAsia="ru-RU"/>
        </w:rPr>
        <w:t>Снижение внешнего государственного долга ослабит фактор влияния мировых валют на российскую экономику, а отечественная экономика станет устойчивее к внешним влияниям. И в случае обострения на валютном рынке Россия испытает незначительные негативные последствия.</w:t>
      </w:r>
    </w:p>
    <w:p w14:paraId="2E0C1DBD" w14:textId="77777777" w:rsidR="00877DE5" w:rsidRPr="009472DE" w:rsidRDefault="00877DE5" w:rsidP="00067100">
      <w:pPr>
        <w:widowControl w:val="0"/>
        <w:spacing w:after="0" w:line="240" w:lineRule="auto"/>
        <w:ind w:firstLine="709"/>
        <w:jc w:val="both"/>
        <w:rPr>
          <w:rFonts w:ascii="Times New Roman" w:eastAsia="Times New Roman" w:hAnsi="Times New Roman" w:cs="Times New Roman"/>
          <w:sz w:val="32"/>
          <w:szCs w:val="32"/>
          <w:lang w:eastAsia="ru-RU"/>
        </w:rPr>
      </w:pPr>
      <w:r w:rsidRPr="009472DE">
        <w:rPr>
          <w:rFonts w:ascii="Times New Roman" w:eastAsia="Times New Roman" w:hAnsi="Times New Roman" w:cs="Times New Roman"/>
          <w:sz w:val="32"/>
          <w:szCs w:val="32"/>
          <w:lang w:eastAsia="ru-RU"/>
        </w:rPr>
        <w:t>Сейчас сумма государственного долга не превышает установленный статьей 1 Федерального закона № 540-ФЗ верхний предел государственного долга [2]. По данным S&amp;P Global Ratings</w:t>
      </w:r>
      <w:r w:rsidRPr="009472DE">
        <w:rPr>
          <w:rFonts w:ascii="Times New Roman" w:eastAsia="Arial" w:hAnsi="Times New Roman" w:cs="Times New Roman"/>
          <w:color w:val="333333"/>
          <w:sz w:val="32"/>
          <w:szCs w:val="32"/>
          <w:shd w:val="clear" w:color="auto" w:fill="FFFFFF"/>
        </w:rPr>
        <w:t xml:space="preserve"> </w:t>
      </w:r>
      <w:r w:rsidRPr="009472DE">
        <w:rPr>
          <w:rFonts w:ascii="Times New Roman" w:eastAsia="Times New Roman" w:hAnsi="Times New Roman" w:cs="Times New Roman"/>
          <w:sz w:val="32"/>
          <w:szCs w:val="32"/>
          <w:lang w:eastAsia="ru-RU"/>
        </w:rPr>
        <w:t>Россия занимает 31 место в мире по объему внешнего долга [7]. Самое важное, что государственный долг Российской Федерации всегда был и остается одним из самых низких в мире.</w:t>
      </w:r>
    </w:p>
    <w:p w14:paraId="21DDB281" w14:textId="77777777" w:rsidR="00877DE5" w:rsidRPr="009472DE" w:rsidRDefault="00877DE5" w:rsidP="00067100">
      <w:pPr>
        <w:pStyle w:val="af5"/>
        <w:shd w:val="clear" w:color="auto" w:fill="FFFFFF"/>
        <w:spacing w:before="0" w:after="0"/>
        <w:ind w:firstLine="709"/>
        <w:jc w:val="both"/>
        <w:rPr>
          <w:rFonts w:ascii="Times New Roman" w:hAnsi="Times New Roman"/>
          <w:b/>
          <w:color w:val="000000"/>
          <w:sz w:val="21"/>
          <w:szCs w:val="21"/>
        </w:rPr>
      </w:pPr>
    </w:p>
    <w:p w14:paraId="5115C658" w14:textId="77777777" w:rsidR="00877DE5" w:rsidRPr="009472DE" w:rsidRDefault="00877DE5" w:rsidP="00D01EB8">
      <w:pPr>
        <w:pStyle w:val="af5"/>
        <w:shd w:val="clear" w:color="auto" w:fill="FFFFFF"/>
        <w:spacing w:before="0" w:after="0"/>
        <w:ind w:firstLine="709"/>
        <w:jc w:val="center"/>
        <w:rPr>
          <w:rFonts w:ascii="Times New Roman" w:hAnsi="Times New Roman"/>
          <w:b/>
          <w:color w:val="000000"/>
          <w:sz w:val="21"/>
          <w:szCs w:val="21"/>
        </w:rPr>
      </w:pPr>
      <w:r w:rsidRPr="009472DE">
        <w:rPr>
          <w:rFonts w:ascii="Times New Roman" w:hAnsi="Times New Roman"/>
          <w:b/>
          <w:color w:val="000000"/>
          <w:sz w:val="21"/>
          <w:szCs w:val="21"/>
        </w:rPr>
        <w:t>Литература:</w:t>
      </w:r>
    </w:p>
    <w:p w14:paraId="4B6702BF"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Бюджетный кодекс Российской Федерации от 31.07.1998 г. № 145-ФЗ  (с изм. и доп., вступ. в силу с 01.01.2025 г.) [Электронный ресурс: </w:t>
      </w:r>
      <w:hyperlink r:id="rId138" w:history="1">
        <w:r w:rsidRPr="00BE191C">
          <w:rPr>
            <w:rFonts w:eastAsia="Times New Roman" w:cs="Times New Roman"/>
            <w:lang w:val="x-none"/>
          </w:rPr>
          <w:t>https://www.consultant.ru</w:t>
        </w:r>
      </w:hyperlink>
      <w:r w:rsidRPr="00BE191C">
        <w:rPr>
          <w:rFonts w:eastAsia="Times New Roman" w:cs="Times New Roman"/>
          <w:lang w:val="x-none"/>
        </w:rPr>
        <w:t xml:space="preserve"> (дата обращения 08.04.2025)]</w:t>
      </w:r>
    </w:p>
    <w:p w14:paraId="49E13EFD"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Федеральный закон от 27 ноября 2023 г. № 540-ФЗ "О федеральном бюджете на 2024 год и на плановый период 2025 и 2026 годов"  (с изм. и доп.). [Электронный ресурс: </w:t>
      </w:r>
      <w:hyperlink r:id="rId139" w:history="1">
        <w:r w:rsidRPr="00BE191C">
          <w:rPr>
            <w:rFonts w:eastAsia="Times New Roman" w:cs="Times New Roman"/>
            <w:lang w:val="x-none"/>
          </w:rPr>
          <w:t>https://base.garant.ru</w:t>
        </w:r>
      </w:hyperlink>
      <w:r w:rsidRPr="00BE191C">
        <w:rPr>
          <w:rFonts w:eastAsia="Times New Roman" w:cs="Times New Roman"/>
          <w:lang w:val="x-none"/>
        </w:rPr>
        <w:t xml:space="preserve"> (дата обращения 10.04.2025)]</w:t>
      </w:r>
    </w:p>
    <w:p w14:paraId="613A5570"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Государственный и муниципальный долг: учебное пособие / Л.Б. Мохнаткина. – Москва: Издательство ИНФРА-М, 2022. – 151 с. – (высшее образование: Бакалавриат). </w:t>
      </w:r>
    </w:p>
    <w:p w14:paraId="15EC8840"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Объём и структура государственного долга Российской Федерации / Минфин РФ. [Электронный ресурс: </w:t>
      </w:r>
      <w:hyperlink r:id="rId140" w:history="1">
        <w:r w:rsidRPr="00BE191C">
          <w:rPr>
            <w:rFonts w:eastAsia="Times New Roman" w:cs="Times New Roman"/>
            <w:lang w:val="x-none"/>
          </w:rPr>
          <w:t>https://minfin.gov.ru/ru/perfomance/public_debt</w:t>
        </w:r>
      </w:hyperlink>
      <w:r w:rsidRPr="00BE191C">
        <w:rPr>
          <w:rFonts w:eastAsia="Times New Roman" w:cs="Times New Roman"/>
          <w:lang w:val="x-none"/>
        </w:rPr>
        <w:t xml:space="preserve"> (дата обращения 05.04.2025)]</w:t>
      </w:r>
    </w:p>
    <w:p w14:paraId="2E33BB92"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Государственный долг Российской Федерации по итогам 2024 года [Электронный ресурс: </w:t>
      </w:r>
      <w:hyperlink r:id="rId141" w:tgtFrame="https://avia.pro/news/_blank" w:history="1">
        <w:r w:rsidRPr="00BE191C">
          <w:rPr>
            <w:rFonts w:eastAsia="Times New Roman" w:cs="Times New Roman"/>
            <w:lang w:val="x-none"/>
          </w:rPr>
          <w:t>https://avia.pro/news/gosudarstvennyy-dolg-rossii-vyros-do-145-vvp-v-2024-godu</w:t>
        </w:r>
      </w:hyperlink>
      <w:r w:rsidRPr="00BE191C">
        <w:rPr>
          <w:rFonts w:eastAsia="Times New Roman" w:cs="Times New Roman"/>
          <w:lang w:val="x-none"/>
        </w:rPr>
        <w:t xml:space="preserve"> (дата обращения 10.04.2025)]</w:t>
      </w:r>
    </w:p>
    <w:p w14:paraId="11AF8BFC" w14:textId="77777777" w:rsidR="00877DE5" w:rsidRPr="00BE191C"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Статистика внешнего сектора / Банк России [Электронный ресурс: </w:t>
      </w:r>
      <w:hyperlink r:id="rId142" w:history="1">
        <w:r w:rsidRPr="00BE191C">
          <w:rPr>
            <w:rFonts w:eastAsia="Times New Roman" w:cs="Times New Roman"/>
            <w:lang w:val="x-none"/>
          </w:rPr>
          <w:t>https://cbr.ru/statistics/macro_itm/external_sector/ed/</w:t>
        </w:r>
      </w:hyperlink>
      <w:r w:rsidRPr="00BE191C">
        <w:rPr>
          <w:rFonts w:eastAsia="Times New Roman" w:cs="Times New Roman"/>
          <w:lang w:val="x-none"/>
        </w:rPr>
        <w:t xml:space="preserve"> (дата обращения 28.03.2025)]</w:t>
      </w:r>
    </w:p>
    <w:p w14:paraId="169A0204" w14:textId="77777777" w:rsidR="00D01EB8" w:rsidRPr="00D01EB8" w:rsidRDefault="00877DE5" w:rsidP="00AD58CD">
      <w:pPr>
        <w:pStyle w:val="afc"/>
        <w:numPr>
          <w:ilvl w:val="0"/>
          <w:numId w:val="14"/>
        </w:numPr>
        <w:tabs>
          <w:tab w:val="left" w:pos="0"/>
        </w:tabs>
        <w:ind w:left="0" w:firstLine="0"/>
        <w:rPr>
          <w:rFonts w:eastAsia="Times New Roman" w:cs="Times New Roman"/>
          <w:lang w:val="x-none"/>
        </w:rPr>
      </w:pPr>
      <w:r w:rsidRPr="00BE191C">
        <w:rPr>
          <w:rFonts w:eastAsia="Times New Roman" w:cs="Times New Roman"/>
          <w:lang w:val="x-none"/>
        </w:rPr>
        <w:t xml:space="preserve">Рейтинг стран мира. [Электронный ресурс: </w:t>
      </w:r>
      <w:hyperlink r:id="rId143" w:history="1">
        <w:r w:rsidRPr="00BE191C">
          <w:rPr>
            <w:rFonts w:eastAsia="Times New Roman" w:cs="Times New Roman"/>
            <w:lang w:val="x-none"/>
          </w:rPr>
          <w:t>https://www.globalfirepower.com/external-debt-by-country.php</w:t>
        </w:r>
      </w:hyperlink>
      <w:r w:rsidRPr="00BE191C">
        <w:rPr>
          <w:rFonts w:eastAsia="Times New Roman" w:cs="Times New Roman"/>
          <w:lang w:val="x-none"/>
        </w:rPr>
        <w:t xml:space="preserve"> (дата обращения 12.04.2025)]</w:t>
      </w:r>
    </w:p>
    <w:p w14:paraId="2D4C0129" w14:textId="77777777" w:rsidR="00D01EB8" w:rsidRDefault="00D01EB8" w:rsidP="00357CF0">
      <w:pPr>
        <w:pStyle w:val="1"/>
        <w:jc w:val="center"/>
        <w:rPr>
          <w:color w:val="000000" w:themeColor="text1"/>
          <w:sz w:val="32"/>
          <w:szCs w:val="32"/>
          <w:lang w:val="x-none"/>
        </w:rPr>
      </w:pPr>
    </w:p>
    <w:p w14:paraId="302E85DB" w14:textId="51354C7B" w:rsidR="00F83E72" w:rsidRDefault="00F83E72" w:rsidP="00DA3A89">
      <w:pPr>
        <w:pStyle w:val="1"/>
        <w:rPr>
          <w:color w:val="000000" w:themeColor="text1"/>
          <w:sz w:val="32"/>
          <w:szCs w:val="32"/>
          <w:lang w:val="x-none"/>
        </w:rPr>
      </w:pPr>
    </w:p>
    <w:p w14:paraId="57D55417" w14:textId="77777777" w:rsidR="00EE54F2" w:rsidRPr="00EE54F2" w:rsidRDefault="00EE54F2" w:rsidP="00357CF0">
      <w:pPr>
        <w:pStyle w:val="1"/>
        <w:jc w:val="center"/>
        <w:rPr>
          <w:b w:val="0"/>
          <w:bCs w:val="0"/>
          <w:color w:val="000000" w:themeColor="text1"/>
          <w:sz w:val="32"/>
          <w:szCs w:val="32"/>
        </w:rPr>
      </w:pPr>
      <w:r w:rsidRPr="00EE54F2">
        <w:rPr>
          <w:color w:val="000000" w:themeColor="text1"/>
          <w:sz w:val="32"/>
          <w:szCs w:val="32"/>
        </w:rPr>
        <w:t>РАЗДЕЛ 2</w:t>
      </w:r>
    </w:p>
    <w:p w14:paraId="2E07DA29" w14:textId="77777777" w:rsidR="00877DE5" w:rsidRDefault="00EE54F2" w:rsidP="00357CF0">
      <w:pPr>
        <w:pStyle w:val="1"/>
        <w:jc w:val="center"/>
        <w:rPr>
          <w:b w:val="0"/>
          <w:sz w:val="32"/>
          <w:szCs w:val="32"/>
        </w:rPr>
      </w:pPr>
      <w:r w:rsidRPr="00EE54F2">
        <w:rPr>
          <w:sz w:val="32"/>
          <w:szCs w:val="32"/>
        </w:rPr>
        <w:lastRenderedPageBreak/>
        <w:t>РАЗВИТИЕ ИНСТРУМЕНТАРИЯ УЧЕТА, АУДИТА, БИЗНЕС-АНАЛИЗА И НАЛОГООБЛОЖЕНИЯ В ПАРАДИГМЕ ЦИФРОВИЗАЦИИ ЭКОНОМИКИ</w:t>
      </w:r>
    </w:p>
    <w:p w14:paraId="60E99760" w14:textId="77777777" w:rsidR="0008081B" w:rsidRPr="00877DE5" w:rsidRDefault="0008081B" w:rsidP="0008081B">
      <w:pPr>
        <w:spacing w:after="0" w:line="240" w:lineRule="auto"/>
        <w:jc w:val="both"/>
        <w:rPr>
          <w:rFonts w:ascii="Times New Roman" w:eastAsia="Times New Roman" w:hAnsi="Times New Roman" w:cs="Times New Roman"/>
          <w:b/>
          <w:bCs/>
          <w:sz w:val="21"/>
          <w:szCs w:val="32"/>
          <w:lang w:eastAsia="ru-RU"/>
        </w:rPr>
      </w:pPr>
      <w:r w:rsidRPr="00877DE5">
        <w:rPr>
          <w:rFonts w:ascii="Times New Roman" w:eastAsia="Times New Roman" w:hAnsi="Times New Roman" w:cs="Times New Roman"/>
          <w:b/>
          <w:bCs/>
          <w:sz w:val="21"/>
          <w:szCs w:val="32"/>
          <w:lang w:eastAsia="ru-RU"/>
        </w:rPr>
        <w:t>УДК 338</w:t>
      </w:r>
    </w:p>
    <w:p w14:paraId="7C613109"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Абрамян А.А., </w:t>
      </w:r>
    </w:p>
    <w:p w14:paraId="37A32D71"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0A13159B"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19308EB6"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76DFA6D1" w14:textId="77777777" w:rsidR="0008081B" w:rsidRPr="00877DE5" w:rsidRDefault="0008081B" w:rsidP="0008081B">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144"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220327@</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r w:rsidRPr="00877DE5">
        <w:rPr>
          <w:rFonts w:ascii="Times New Roman" w:eastAsia="Aptos" w:hAnsi="Times New Roman" w:cs="Times New Roman"/>
          <w:color w:val="467886"/>
          <w:kern w:val="2"/>
          <w:sz w:val="21"/>
          <w:szCs w:val="24"/>
          <w:u w:val="single"/>
          <w14:ligatures w14:val="standardContextual"/>
        </w:rPr>
        <w:t xml:space="preserve"> </w:t>
      </w:r>
    </w:p>
    <w:p w14:paraId="7D0FA3CC" w14:textId="77777777" w:rsidR="0008081B" w:rsidRPr="00877DE5" w:rsidRDefault="0008081B" w:rsidP="0008081B">
      <w:pPr>
        <w:spacing w:after="0" w:line="240" w:lineRule="auto"/>
        <w:ind w:firstLine="709"/>
        <w:jc w:val="right"/>
        <w:rPr>
          <w:rFonts w:ascii="Times New Roman" w:eastAsia="Aptos" w:hAnsi="Times New Roman" w:cs="Times New Roman"/>
          <w:i/>
          <w:kern w:val="2"/>
          <w:sz w:val="21"/>
          <w:szCs w:val="24"/>
          <w14:ligatures w14:val="standardContextual"/>
        </w:rPr>
      </w:pPr>
    </w:p>
    <w:p w14:paraId="5C0BBD52" w14:textId="77777777" w:rsidR="0008081B" w:rsidRPr="00877DE5" w:rsidRDefault="0008081B" w:rsidP="0008081B">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496AE880" w14:textId="77777777" w:rsidR="0008081B" w:rsidRPr="00877DE5" w:rsidRDefault="0008081B" w:rsidP="0008081B">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25665E0E" w14:textId="77777777" w:rsidR="0008081B" w:rsidRPr="00877DE5" w:rsidRDefault="0008081B" w:rsidP="0008081B">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6332F39C"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34B88E2D"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27331A68" w14:textId="77777777" w:rsidR="0008081B" w:rsidRPr="00877DE5" w:rsidRDefault="0008081B" w:rsidP="0008081B">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145" w:history="1">
        <w:r w:rsidRPr="00877DE5">
          <w:rPr>
            <w:rFonts w:ascii="Times New Roman" w:eastAsia="Times New Roman" w:hAnsi="Times New Roman" w:cs="Times New Roman"/>
            <w:i/>
            <w:color w:val="0000FF"/>
            <w:sz w:val="21"/>
            <w:szCs w:val="20"/>
            <w:u w:val="single"/>
            <w:lang w:val="x-none" w:eastAsia="ar-SA"/>
          </w:rPr>
          <w:t>uyuroschektaeva@fa.ru</w:t>
        </w:r>
      </w:hyperlink>
    </w:p>
    <w:p w14:paraId="6E88DB40" w14:textId="77777777" w:rsidR="0008081B" w:rsidRPr="00877DE5" w:rsidRDefault="0008081B" w:rsidP="0008081B">
      <w:pPr>
        <w:spacing w:after="0" w:line="240" w:lineRule="auto"/>
        <w:ind w:firstLine="709"/>
        <w:rPr>
          <w:rFonts w:ascii="Times New Roman" w:eastAsia="Aptos" w:hAnsi="Times New Roman" w:cs="Times New Roman"/>
          <w:kern w:val="2"/>
          <w:sz w:val="24"/>
          <w:szCs w:val="24"/>
          <w:lang w:val="x-none"/>
          <w14:ligatures w14:val="standardContextual"/>
        </w:rPr>
      </w:pPr>
    </w:p>
    <w:p w14:paraId="13500D6E" w14:textId="77777777" w:rsidR="0008081B" w:rsidRPr="00877DE5" w:rsidRDefault="0008081B" w:rsidP="0008081B">
      <w:pPr>
        <w:spacing w:after="0" w:line="240" w:lineRule="auto"/>
        <w:ind w:firstLine="709"/>
        <w:jc w:val="center"/>
        <w:rPr>
          <w:rFonts w:ascii="Times New Roman" w:eastAsia="Times New Roman" w:hAnsi="Times New Roman" w:cs="Times New Roman"/>
          <w:b/>
          <w:bCs/>
          <w:sz w:val="21"/>
          <w:szCs w:val="32"/>
          <w:lang w:eastAsia="ru-RU"/>
        </w:rPr>
      </w:pPr>
      <w:r w:rsidRPr="00877DE5">
        <w:rPr>
          <w:rFonts w:ascii="Times New Roman" w:eastAsia="Times New Roman" w:hAnsi="Times New Roman" w:cs="Times New Roman"/>
          <w:b/>
          <w:bCs/>
          <w:sz w:val="21"/>
          <w:szCs w:val="32"/>
          <w:lang w:eastAsia="ru-RU"/>
        </w:rPr>
        <w:t>Учетная политика предприятия в современных реалиях</w:t>
      </w:r>
    </w:p>
    <w:p w14:paraId="011FED16" w14:textId="77777777" w:rsidR="0008081B" w:rsidRPr="00877DE5" w:rsidRDefault="0008081B" w:rsidP="0008081B">
      <w:pPr>
        <w:spacing w:after="0" w:line="240" w:lineRule="auto"/>
        <w:ind w:firstLine="709"/>
        <w:jc w:val="center"/>
        <w:rPr>
          <w:rFonts w:ascii="Times New Roman" w:eastAsia="Times New Roman" w:hAnsi="Times New Roman" w:cs="Times New Roman"/>
          <w:b/>
          <w:bCs/>
          <w:sz w:val="21"/>
          <w:szCs w:val="32"/>
          <w:lang w:eastAsia="ru-RU"/>
        </w:rPr>
      </w:pPr>
    </w:p>
    <w:p w14:paraId="40D71A57" w14:textId="77777777" w:rsidR="0008081B" w:rsidRPr="00877DE5" w:rsidRDefault="0008081B" w:rsidP="0008081B">
      <w:pPr>
        <w:spacing w:after="0" w:line="240" w:lineRule="auto"/>
        <w:ind w:firstLine="709"/>
        <w:jc w:val="both"/>
        <w:outlineLvl w:val="1"/>
        <w:rPr>
          <w:rFonts w:ascii="Times New Roman" w:eastAsia="Times New Roman" w:hAnsi="Times New Roman" w:cs="Times New Roman"/>
          <w:b/>
          <w:bCs/>
          <w:sz w:val="21"/>
          <w:szCs w:val="32"/>
          <w:lang w:eastAsia="ru-RU"/>
        </w:rPr>
      </w:pPr>
      <w:r w:rsidRPr="00877DE5">
        <w:rPr>
          <w:rFonts w:ascii="Times New Roman" w:eastAsia="Times New Roman" w:hAnsi="Times New Roman" w:cs="Times New Roman"/>
          <w:b/>
          <w:bCs/>
          <w:sz w:val="21"/>
          <w:szCs w:val="32"/>
          <w:lang w:eastAsia="ru-RU"/>
        </w:rPr>
        <w:t xml:space="preserve">Аннотация: </w:t>
      </w:r>
      <w:r w:rsidRPr="00877DE5">
        <w:rPr>
          <w:rFonts w:ascii="Times New Roman" w:eastAsia="Times New Roman" w:hAnsi="Times New Roman" w:cs="Times New Roman"/>
          <w:sz w:val="21"/>
          <w:szCs w:val="32"/>
          <w:lang w:eastAsia="ru-RU"/>
        </w:rPr>
        <w:t>в статье рассмотрены основные принципы формирования учетной политики предприятия в России в условиях современных экономических и технологических изменений. Даны определения учетной политики согласно ПБУ 1/2008 и МСФО (IAS) 8 с обязательными ссылками на эти документы. Проанализирована практика применения учетной политики в российских организациях. Выделены направления её совершенствования с учётом изменений законодательства, цифровизации и требований инвесторов. Представлены таблицы, иллюстрирующие основные положения ПБУ и МСФО.</w:t>
      </w:r>
    </w:p>
    <w:p w14:paraId="171A6209" w14:textId="77777777" w:rsidR="0008081B" w:rsidRPr="00877DE5" w:rsidRDefault="0008081B" w:rsidP="0008081B">
      <w:pPr>
        <w:spacing w:after="0" w:line="240" w:lineRule="auto"/>
        <w:ind w:firstLine="709"/>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b/>
          <w:bCs/>
          <w:sz w:val="21"/>
          <w:szCs w:val="32"/>
          <w:lang w:eastAsia="ru-RU"/>
        </w:rPr>
        <w:t>Ключевые слова:</w:t>
      </w:r>
      <w:r w:rsidRPr="00877DE5">
        <w:rPr>
          <w:rFonts w:ascii="Times New Roman" w:eastAsia="Times New Roman" w:hAnsi="Times New Roman" w:cs="Times New Roman"/>
          <w:sz w:val="21"/>
          <w:szCs w:val="32"/>
          <w:lang w:eastAsia="ru-RU"/>
        </w:rPr>
        <w:t xml:space="preserve"> учетная политика, ПБУ 1/2008, МСФО (IAS) 8, цифровизация, автоматизация, инвесторы, регуляторы</w:t>
      </w:r>
    </w:p>
    <w:p w14:paraId="6A2FBDD2" w14:textId="77777777" w:rsidR="0008081B" w:rsidRPr="00877DE5" w:rsidRDefault="0008081B" w:rsidP="0008081B">
      <w:pPr>
        <w:spacing w:after="0" w:line="240" w:lineRule="auto"/>
        <w:ind w:firstLine="709"/>
        <w:jc w:val="both"/>
        <w:rPr>
          <w:rFonts w:ascii="Times New Roman" w:eastAsia="Times New Roman" w:hAnsi="Times New Roman" w:cs="Times New Roman"/>
          <w:sz w:val="21"/>
          <w:szCs w:val="32"/>
          <w:lang w:eastAsia="ru-RU"/>
        </w:rPr>
      </w:pPr>
    </w:p>
    <w:p w14:paraId="4492173A" w14:textId="77777777" w:rsidR="0008081B" w:rsidRPr="00877DE5" w:rsidRDefault="0008081B" w:rsidP="0008081B">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sidRPr="00877DE5">
        <w:rPr>
          <w:rFonts w:ascii="Times New Roman" w:eastAsia="Aptos" w:hAnsi="Times New Roman" w:cs="Times New Roman"/>
          <w:b/>
          <w:bCs/>
          <w:i/>
          <w:iCs/>
          <w:kern w:val="2"/>
          <w:sz w:val="21"/>
          <w:szCs w:val="32"/>
          <w:lang w:val="en-US"/>
          <w14:ligatures w14:val="standardContextual"/>
        </w:rPr>
        <w:t>Abramyan A.A.,</w:t>
      </w:r>
    </w:p>
    <w:p w14:paraId="3391E22A"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7E9E33C7"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16356749"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19C81717" w14:textId="77777777" w:rsidR="0008081B" w:rsidRPr="00877DE5" w:rsidRDefault="0008081B" w:rsidP="0008081B">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146" w:history="1">
        <w:r w:rsidRPr="00877DE5">
          <w:rPr>
            <w:rFonts w:ascii="Times New Roman" w:eastAsia="Aptos" w:hAnsi="Times New Roman" w:cs="Times New Roman"/>
            <w:color w:val="467886"/>
            <w:kern w:val="2"/>
            <w:sz w:val="21"/>
            <w:szCs w:val="24"/>
            <w:u w:val="single"/>
            <w:lang w:val="en-US"/>
            <w14:ligatures w14:val="standardContextual"/>
          </w:rPr>
          <w:t>100dot13sl220327@edu.fa.ru</w:t>
        </w:r>
      </w:hyperlink>
    </w:p>
    <w:p w14:paraId="2C2A9058" w14:textId="77777777" w:rsidR="0008081B" w:rsidRPr="00877DE5" w:rsidRDefault="0008081B" w:rsidP="0008081B">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77F04247" w14:textId="77777777" w:rsidR="0008081B" w:rsidRPr="00877DE5" w:rsidRDefault="0008081B" w:rsidP="0008081B">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572B947A" w14:textId="77777777" w:rsidR="0008081B" w:rsidRPr="00877DE5" w:rsidRDefault="0008081B" w:rsidP="0008081B">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3DEC01BC" w14:textId="77777777" w:rsidR="0008081B" w:rsidRPr="00877DE5" w:rsidRDefault="0008081B" w:rsidP="0008081B">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220B54FA"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27C7BFD5" w14:textId="77777777" w:rsidR="0008081B" w:rsidRPr="00877DE5" w:rsidRDefault="0008081B" w:rsidP="0008081B">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35170D05" w14:textId="77777777" w:rsidR="0008081B" w:rsidRPr="00877DE5" w:rsidRDefault="0008081B" w:rsidP="0008081B">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147" w:history="1">
        <w:r w:rsidRPr="00877DE5">
          <w:rPr>
            <w:rFonts w:ascii="Times New Roman" w:eastAsia="Times New Roman" w:hAnsi="Times New Roman" w:cs="Times New Roman"/>
            <w:i/>
            <w:color w:val="0000FF"/>
            <w:sz w:val="21"/>
            <w:szCs w:val="20"/>
            <w:u w:val="single"/>
            <w:lang w:val="x-none" w:eastAsia="ar-SA"/>
          </w:rPr>
          <w:t>uyuroschektaeva@fa.ru</w:t>
        </w:r>
      </w:hyperlink>
    </w:p>
    <w:p w14:paraId="505B4CF6" w14:textId="77777777" w:rsidR="0008081B" w:rsidRPr="00877DE5" w:rsidRDefault="0008081B" w:rsidP="0008081B">
      <w:pPr>
        <w:spacing w:after="0" w:line="240" w:lineRule="auto"/>
        <w:ind w:firstLine="709"/>
        <w:jc w:val="center"/>
        <w:rPr>
          <w:rFonts w:ascii="Times New Roman" w:eastAsia="Times New Roman" w:hAnsi="Times New Roman" w:cs="Times New Roman"/>
          <w:b/>
          <w:bCs/>
          <w:sz w:val="21"/>
          <w:szCs w:val="32"/>
          <w:lang w:val="en-US" w:eastAsia="ru-RU"/>
        </w:rPr>
      </w:pPr>
    </w:p>
    <w:p w14:paraId="59A45288" w14:textId="77777777" w:rsidR="0008081B" w:rsidRPr="00877DE5" w:rsidRDefault="0008081B" w:rsidP="0008081B">
      <w:pPr>
        <w:spacing w:after="0" w:line="240" w:lineRule="auto"/>
        <w:ind w:firstLine="709"/>
        <w:jc w:val="center"/>
        <w:rPr>
          <w:rFonts w:ascii="Times New Roman" w:eastAsia="Times New Roman" w:hAnsi="Times New Roman" w:cs="Times New Roman"/>
          <w:b/>
          <w:bCs/>
          <w:sz w:val="21"/>
          <w:szCs w:val="32"/>
          <w:lang w:val="en-US" w:eastAsia="ru-RU"/>
        </w:rPr>
      </w:pPr>
      <w:r w:rsidRPr="00877DE5">
        <w:rPr>
          <w:rFonts w:ascii="Times New Roman" w:eastAsia="Times New Roman" w:hAnsi="Times New Roman" w:cs="Times New Roman"/>
          <w:b/>
          <w:bCs/>
          <w:sz w:val="21"/>
          <w:szCs w:val="32"/>
          <w:lang w:val="en-US" w:eastAsia="ru-RU"/>
        </w:rPr>
        <w:t>Accounting policy of an enterprise in modern realities</w:t>
      </w:r>
    </w:p>
    <w:p w14:paraId="0FFF0B18" w14:textId="77777777" w:rsidR="0008081B" w:rsidRPr="00877DE5" w:rsidRDefault="0008081B" w:rsidP="0008081B">
      <w:pPr>
        <w:spacing w:after="0" w:line="240" w:lineRule="auto"/>
        <w:ind w:firstLine="709"/>
        <w:jc w:val="center"/>
        <w:rPr>
          <w:rFonts w:ascii="Times New Roman" w:eastAsia="Times New Roman" w:hAnsi="Times New Roman" w:cs="Times New Roman"/>
          <w:b/>
          <w:bCs/>
          <w:sz w:val="21"/>
          <w:szCs w:val="32"/>
          <w:lang w:val="en-US" w:eastAsia="ru-RU"/>
        </w:rPr>
      </w:pPr>
    </w:p>
    <w:p w14:paraId="46594979" w14:textId="77777777" w:rsidR="0008081B" w:rsidRPr="00877DE5" w:rsidRDefault="0008081B" w:rsidP="0008081B">
      <w:pPr>
        <w:spacing w:after="0" w:line="240" w:lineRule="auto"/>
        <w:ind w:firstLine="709"/>
        <w:jc w:val="both"/>
        <w:outlineLvl w:val="1"/>
        <w:rPr>
          <w:rFonts w:ascii="Times New Roman" w:eastAsia="Times New Roman" w:hAnsi="Times New Roman" w:cs="Times New Roman"/>
          <w:b/>
          <w:bCs/>
          <w:sz w:val="21"/>
          <w:szCs w:val="32"/>
          <w:lang w:val="en-US" w:eastAsia="ru-RU"/>
        </w:rPr>
      </w:pPr>
      <w:r w:rsidRPr="00877DE5">
        <w:rPr>
          <w:rFonts w:ascii="Times New Roman" w:eastAsia="Times New Roman" w:hAnsi="Times New Roman" w:cs="Times New Roman"/>
          <w:b/>
          <w:bCs/>
          <w:sz w:val="21"/>
          <w:szCs w:val="32"/>
          <w:lang w:val="en-US" w:eastAsia="ru-RU"/>
        </w:rPr>
        <w:t xml:space="preserve">Abstract: </w:t>
      </w:r>
      <w:r w:rsidRPr="00877DE5">
        <w:rPr>
          <w:rFonts w:ascii="Times New Roman" w:eastAsia="Times New Roman" w:hAnsi="Times New Roman" w:cs="Times New Roman"/>
          <w:sz w:val="21"/>
          <w:szCs w:val="32"/>
          <w:lang w:val="en-US" w:eastAsia="ru-RU"/>
        </w:rPr>
        <w:t xml:space="preserve">the article examines the accounting policy of an enterprise in the context of current economic and technological changes. Definitions of accounting policy under Russia’s PBU 1/2008 and IFRS (IAS) 8 are presented with references to the relevant standards. The practice of applying accounting policies in Russian organizations is analyzed. Directions for improvement are identified, </w:t>
      </w:r>
      <w:proofErr w:type="gramStart"/>
      <w:r w:rsidRPr="00877DE5">
        <w:rPr>
          <w:rFonts w:ascii="Times New Roman" w:eastAsia="Times New Roman" w:hAnsi="Times New Roman" w:cs="Times New Roman"/>
          <w:sz w:val="21"/>
          <w:szCs w:val="32"/>
          <w:lang w:val="en-US" w:eastAsia="ru-RU"/>
        </w:rPr>
        <w:t>taking into account</w:t>
      </w:r>
      <w:proofErr w:type="gramEnd"/>
      <w:r w:rsidRPr="00877DE5">
        <w:rPr>
          <w:rFonts w:ascii="Times New Roman" w:eastAsia="Times New Roman" w:hAnsi="Times New Roman" w:cs="Times New Roman"/>
          <w:sz w:val="21"/>
          <w:szCs w:val="32"/>
          <w:lang w:val="en-US" w:eastAsia="ru-RU"/>
        </w:rPr>
        <w:t xml:space="preserve"> legislative changes, digitalization, and investor requirements. Tables illustrate the main provisions of PBU and IFRS.</w:t>
      </w:r>
    </w:p>
    <w:p w14:paraId="6A6471CF" w14:textId="77777777" w:rsidR="0008081B" w:rsidRPr="00877DE5" w:rsidRDefault="0008081B" w:rsidP="0008081B">
      <w:pPr>
        <w:spacing w:after="0" w:line="240" w:lineRule="auto"/>
        <w:ind w:firstLine="709"/>
        <w:jc w:val="both"/>
        <w:rPr>
          <w:rFonts w:ascii="Times New Roman" w:eastAsia="Times New Roman" w:hAnsi="Times New Roman" w:cs="Times New Roman"/>
          <w:sz w:val="21"/>
          <w:szCs w:val="32"/>
          <w:lang w:val="en-US" w:eastAsia="ru-RU"/>
        </w:rPr>
      </w:pPr>
      <w:r w:rsidRPr="00877DE5">
        <w:rPr>
          <w:rFonts w:ascii="Times New Roman" w:eastAsia="Times New Roman" w:hAnsi="Times New Roman" w:cs="Times New Roman"/>
          <w:b/>
          <w:bCs/>
          <w:sz w:val="21"/>
          <w:szCs w:val="32"/>
          <w:lang w:val="en-US" w:eastAsia="ru-RU"/>
        </w:rPr>
        <w:t>Keywords:</w:t>
      </w:r>
      <w:r w:rsidRPr="00877DE5">
        <w:rPr>
          <w:rFonts w:ascii="Times New Roman" w:eastAsia="Times New Roman" w:hAnsi="Times New Roman" w:cs="Times New Roman"/>
          <w:sz w:val="21"/>
          <w:szCs w:val="32"/>
          <w:lang w:val="en-US" w:eastAsia="ru-RU"/>
        </w:rPr>
        <w:t xml:space="preserve"> accounting policy, PBU 1/2008, IFRS (IAS) 8, digitalization, automation, investors, regulators</w:t>
      </w:r>
    </w:p>
    <w:p w14:paraId="2A6EFDA6" w14:textId="77777777" w:rsidR="0008081B" w:rsidRPr="00877DE5" w:rsidRDefault="0008081B" w:rsidP="0008081B">
      <w:pPr>
        <w:spacing w:after="0" w:line="240" w:lineRule="auto"/>
        <w:ind w:firstLine="709"/>
        <w:jc w:val="both"/>
        <w:rPr>
          <w:rFonts w:ascii="Times New Roman" w:eastAsia="Times New Roman" w:hAnsi="Times New Roman" w:cs="Times New Roman"/>
          <w:sz w:val="21"/>
          <w:szCs w:val="32"/>
          <w:lang w:val="en-US" w:eastAsia="ru-RU"/>
        </w:rPr>
      </w:pPr>
    </w:p>
    <w:p w14:paraId="7F058EE9"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Учетная политика организации – важнейший инструмент эффективной работы предприятия, обеспечивающий достоверную постановку финансового учета и отчетности. Она влияет на формирование стоимости активов, обязательств и результатов </w:t>
      </w:r>
      <w:r w:rsidRPr="00877DE5">
        <w:rPr>
          <w:rFonts w:ascii="Times New Roman" w:eastAsia="Times New Roman" w:hAnsi="Times New Roman" w:cs="Times New Roman"/>
          <w:sz w:val="32"/>
          <w:szCs w:val="32"/>
          <w:lang w:eastAsia="ru-RU"/>
        </w:rPr>
        <w:lastRenderedPageBreak/>
        <w:t xml:space="preserve">деятельности, а также на прозрачность финансовой информации. В современных реалиях учетная политика должна адаптироваться к ускоренным изменениям – введению новых стандартов (МСФО), законодательству, цифровизации бухгалтерии, автоматизации процессов и повышенным требованиям инвесторов и регуляторов. Актуальность темы обусловлена необходимостью согласования практики российского бухгалтерского учета с международными стандартами и современными технологическими трендами. </w:t>
      </w:r>
    </w:p>
    <w:p w14:paraId="13487709"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соответствии с ПБУ 1/2008 «Учетная политика организации» устанавливаются правила формирования, изменения и раскрытия учетной политики организаций (за исключением кредитных и госсектора). </w:t>
      </w:r>
    </w:p>
    <w:p w14:paraId="5E0B4772"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Федеральный закон от 06.12.2011 № 402-ФЗ «О бухгалтерском учете» обязывает предприятия самостоятельно разрабатывать учетную политику, исходя из требований законодательства о бухучете, федеральных и (или) отраслевых стандартов. Так, Центральный банк РФ в 2017 г. разъяснил, что некредитные финансовые организации формируют учетную политику на основе ПБУ 1/2008, отраслевых стандартов и МСФО [1]. </w:t>
      </w:r>
    </w:p>
    <w:p w14:paraId="71C0BC93"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По ПБУ 1/2008 «учетной политикой организации понимается принятая ею совокупность способов ведения бухгалтерского учета – первичного наблюдения, стоимостного измерения, текущей группировки и итогового обобщения фактов хозяйственной деятельности». В состав этих способов входят методы группировки и оценки фактов, начисления амортизации, документооборота, инвентаризации, формирование регистров учёта и др. (табл. 1). При формировании учетной политики организация опирается на следующие допущения: имущественной обособленности, непрерывности деятельности, последовательности учёта и временной определённости операций. Принципы аналогичны фундаментальным предпосылкам бухгалтерского учета [2]. </w:t>
      </w:r>
    </w:p>
    <w:p w14:paraId="0A0F3D48" w14:textId="77777777" w:rsidR="0008081B" w:rsidRPr="00877DE5" w:rsidRDefault="0008081B" w:rsidP="0008081B">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1 - Основные положения ПБУ 1/2008</w:t>
      </w:r>
    </w:p>
    <w:tbl>
      <w:tblPr>
        <w:tblStyle w:val="15"/>
        <w:tblW w:w="0" w:type="auto"/>
        <w:tblLook w:val="04A0" w:firstRow="1" w:lastRow="0" w:firstColumn="1" w:lastColumn="0" w:noHBand="0" w:noVBand="1"/>
      </w:tblPr>
      <w:tblGrid>
        <w:gridCol w:w="2122"/>
        <w:gridCol w:w="7506"/>
      </w:tblGrid>
      <w:tr w:rsidR="0008081B" w:rsidRPr="00877DE5" w14:paraId="45FD0318" w14:textId="77777777" w:rsidTr="00EB1CB9">
        <w:tc>
          <w:tcPr>
            <w:tcW w:w="2122" w:type="dxa"/>
            <w:vAlign w:val="center"/>
          </w:tcPr>
          <w:p w14:paraId="05AE9999"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Раздел документа</w:t>
            </w:r>
          </w:p>
        </w:tc>
        <w:tc>
          <w:tcPr>
            <w:tcW w:w="7506" w:type="dxa"/>
            <w:vAlign w:val="center"/>
          </w:tcPr>
          <w:p w14:paraId="16473D07" w14:textId="77777777" w:rsidR="0008081B" w:rsidRPr="00877DE5" w:rsidRDefault="0008081B" w:rsidP="00EB1CB9">
            <w:pPr>
              <w:spacing w:line="278" w:lineRule="auto"/>
              <w:jc w:val="center"/>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Содержание ключевых положений</w:t>
            </w:r>
          </w:p>
        </w:tc>
      </w:tr>
      <w:tr w:rsidR="0008081B" w:rsidRPr="00877DE5" w14:paraId="1105B744" w14:textId="77777777" w:rsidTr="00EB1CB9">
        <w:tc>
          <w:tcPr>
            <w:tcW w:w="2122" w:type="dxa"/>
            <w:vAlign w:val="center"/>
          </w:tcPr>
          <w:p w14:paraId="166C897C" w14:textId="77777777" w:rsidR="0008081B" w:rsidRPr="00877DE5" w:rsidRDefault="0008081B" w:rsidP="00EB1CB9">
            <w:pPr>
              <w:spacing w:line="278" w:lineRule="auto"/>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I. Общие положения</w:t>
            </w:r>
          </w:p>
        </w:tc>
        <w:tc>
          <w:tcPr>
            <w:tcW w:w="7506" w:type="dxa"/>
            <w:vAlign w:val="center"/>
          </w:tcPr>
          <w:p w14:paraId="5CE324C0"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Устанавливает область применения ПБУ (все организации кроме банков и госсектора), определяет понятие учетной политики как совокупности способов учета.</w:t>
            </w:r>
          </w:p>
        </w:tc>
      </w:tr>
      <w:tr w:rsidR="0008081B" w:rsidRPr="00877DE5" w14:paraId="5AA80F7C" w14:textId="77777777" w:rsidTr="00EB1CB9">
        <w:tc>
          <w:tcPr>
            <w:tcW w:w="2122" w:type="dxa"/>
            <w:vAlign w:val="center"/>
          </w:tcPr>
          <w:p w14:paraId="23545331" w14:textId="77777777" w:rsidR="0008081B" w:rsidRPr="00877DE5" w:rsidRDefault="0008081B" w:rsidP="00EB1CB9">
            <w:pPr>
              <w:spacing w:line="278" w:lineRule="auto"/>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II. Формирование учетной политики</w:t>
            </w:r>
          </w:p>
        </w:tc>
        <w:tc>
          <w:tcPr>
            <w:tcW w:w="7506" w:type="dxa"/>
            <w:vAlign w:val="center"/>
          </w:tcPr>
          <w:p w14:paraId="75084E12"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Указано, что учетная политику формирует главный бухгалтер на основе ПБУ, с последующим утверждением руководителем. В состав политики входят план счетов, формы документов, порядок инвентаризации, методы оценки активов/обязательств и др..</w:t>
            </w:r>
          </w:p>
        </w:tc>
      </w:tr>
      <w:tr w:rsidR="0008081B" w:rsidRPr="00877DE5" w14:paraId="15FE7374" w14:textId="77777777" w:rsidTr="00EB1CB9">
        <w:tc>
          <w:tcPr>
            <w:tcW w:w="2122" w:type="dxa"/>
            <w:vAlign w:val="center"/>
          </w:tcPr>
          <w:p w14:paraId="7C66E721" w14:textId="77777777" w:rsidR="0008081B" w:rsidRPr="00877DE5" w:rsidRDefault="0008081B" w:rsidP="00EB1CB9">
            <w:pPr>
              <w:spacing w:line="278" w:lineRule="auto"/>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lastRenderedPageBreak/>
              <w:t>III. Изменение учетной политики</w:t>
            </w:r>
          </w:p>
        </w:tc>
        <w:tc>
          <w:tcPr>
            <w:tcW w:w="7506" w:type="dxa"/>
            <w:vAlign w:val="center"/>
          </w:tcPr>
          <w:p w14:paraId="12BDCA16"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Перечислены основания для изменения политики: изменения законодательства, внедрение новых методов учета, существенные изменения условий хозяйствования. Изменения применяются с начала года и должны быть обоснованы и задокументированы. Эффекты от изменений в случае значительного влияния оцениваются ретроспективно в денежном выражении.</w:t>
            </w:r>
          </w:p>
        </w:tc>
      </w:tr>
    </w:tbl>
    <w:p w14:paraId="5D9FEB3A" w14:textId="77777777" w:rsidR="0008081B" w:rsidRPr="00877DE5" w:rsidRDefault="0008081B" w:rsidP="0008081B">
      <w:pPr>
        <w:spacing w:after="0" w:line="240" w:lineRule="auto"/>
        <w:rPr>
          <w:rFonts w:ascii="Times New Roman" w:eastAsia="Aptos" w:hAnsi="Times New Roman" w:cs="Times New Roman"/>
          <w:kern w:val="2"/>
          <w:sz w:val="24"/>
          <w:szCs w:val="24"/>
          <w14:ligatures w14:val="standardContextual"/>
        </w:rPr>
      </w:pPr>
    </w:p>
    <w:p w14:paraId="5B0FF1DA" w14:textId="77777777" w:rsidR="0008081B" w:rsidRPr="00877DE5" w:rsidRDefault="0008081B" w:rsidP="0008081B">
      <w:pPr>
        <w:spacing w:after="0" w:line="240" w:lineRule="auto"/>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Продолжение таблицы 1</w:t>
      </w:r>
    </w:p>
    <w:tbl>
      <w:tblPr>
        <w:tblStyle w:val="15"/>
        <w:tblW w:w="0" w:type="auto"/>
        <w:tblLook w:val="04A0" w:firstRow="1" w:lastRow="0" w:firstColumn="1" w:lastColumn="0" w:noHBand="0" w:noVBand="1"/>
      </w:tblPr>
      <w:tblGrid>
        <w:gridCol w:w="2122"/>
        <w:gridCol w:w="7506"/>
      </w:tblGrid>
      <w:tr w:rsidR="0008081B" w:rsidRPr="00877DE5" w14:paraId="20DF0AA5" w14:textId="77777777" w:rsidTr="00EB1CB9">
        <w:tc>
          <w:tcPr>
            <w:tcW w:w="2122" w:type="dxa"/>
          </w:tcPr>
          <w:p w14:paraId="0DBE139C"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Раздел документа</w:t>
            </w:r>
          </w:p>
        </w:tc>
        <w:tc>
          <w:tcPr>
            <w:tcW w:w="7506" w:type="dxa"/>
          </w:tcPr>
          <w:p w14:paraId="5003123A" w14:textId="77777777" w:rsidR="0008081B" w:rsidRPr="00877DE5" w:rsidRDefault="0008081B" w:rsidP="00EB1CB9">
            <w:pPr>
              <w:spacing w:line="278" w:lineRule="auto"/>
              <w:jc w:val="center"/>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Содержание ключевых положений</w:t>
            </w:r>
          </w:p>
        </w:tc>
      </w:tr>
      <w:tr w:rsidR="0008081B" w:rsidRPr="00877DE5" w14:paraId="2712C060" w14:textId="77777777" w:rsidTr="00EB1CB9">
        <w:tc>
          <w:tcPr>
            <w:tcW w:w="2122" w:type="dxa"/>
            <w:vAlign w:val="center"/>
          </w:tcPr>
          <w:p w14:paraId="27A83209" w14:textId="77777777" w:rsidR="0008081B" w:rsidRPr="00877DE5" w:rsidRDefault="0008081B" w:rsidP="00EB1CB9">
            <w:pPr>
              <w:spacing w:line="278" w:lineRule="auto"/>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IV. Раскрытие учетной политики</w:t>
            </w:r>
          </w:p>
        </w:tc>
        <w:tc>
          <w:tcPr>
            <w:tcW w:w="7506" w:type="dxa"/>
            <w:vAlign w:val="center"/>
          </w:tcPr>
          <w:p w14:paraId="7A9451CB" w14:textId="77777777" w:rsidR="0008081B" w:rsidRPr="00877DE5" w:rsidRDefault="0008081B" w:rsidP="00EB1CB9">
            <w:pPr>
              <w:spacing w:line="278"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lang w:eastAsia="ru-RU"/>
              </w:rPr>
              <w:t>Организация обязана раскрывать в отчетности выбранные способы ведения учета, важные для пользователей. Конкретный состав раскрытия определяется применяемыми стандартами. Допущения, отличные от базовых (п.5 ПБУ), также подлежат раскрытию.</w:t>
            </w:r>
          </w:p>
        </w:tc>
      </w:tr>
    </w:tbl>
    <w:p w14:paraId="156ADE72"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p>
    <w:p w14:paraId="3FE47E66"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ПБУ 1/2008 регулирует, какими способами должен отражаться учет (план счетов, нормативы амортизации, методы оценки и т.д.) и устанавливает обязательства предприятия по раскрытию используемой политики. В частности, организация должна раскрывать «способы ведения бухгалтерского учета, без знания о применении которых пользователям отчётности невозможна достоверная оценка финансового положения».</w:t>
      </w:r>
    </w:p>
    <w:p w14:paraId="3BD1F7BB"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МСФО (IAS) 8 «Учетная политика, изменения в бухгалтерских оценках и ошибки» устанавливает критерии выбора и изменения учетной политики, а также порядок отражения и раскрытия соответствующих изменений. Согласно МСФО, «учетная политика – это конкретные принципы, основы, соглашения, правила и практика, принятые предприятием для подготовки и представления финансовой отчетности». В отличие от ПБУ, МСФО делает упор на принципы и конвенции учёта, касающиеся подготовки консолидированной финансовой отчетности по общепринятым правилам [3].</w:t>
      </w:r>
      <w:r w:rsidRPr="00877DE5">
        <w:rPr>
          <w:rFonts w:ascii="Times New Roman" w:eastAsia="Aptos" w:hAnsi="Times New Roman" w:cs="Times New Roman"/>
          <w:kern w:val="2"/>
          <w:sz w:val="24"/>
          <w:szCs w:val="24"/>
          <w14:ligatures w14:val="standardContextual"/>
        </w:rPr>
        <w:t xml:space="preserve"> </w:t>
      </w:r>
    </w:p>
    <w:p w14:paraId="01199143"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МСФО требует последовательного применения учетной политики и её раскрытия в примечаниях отчётности. Изменения учетной политики (новые методы) должны применяться ретроспективно ко всем предыдущим периодам, если это возможно. </w:t>
      </w:r>
      <w:r w:rsidRPr="00877DE5">
        <w:rPr>
          <w:rFonts w:ascii="Times New Roman" w:eastAsia="Times New Roman" w:hAnsi="Times New Roman" w:cs="Times New Roman"/>
          <w:i/>
          <w:iCs/>
          <w:sz w:val="32"/>
          <w:szCs w:val="32"/>
          <w:lang w:val="en-US" w:eastAsia="ru-RU"/>
        </w:rPr>
        <w:t>«Changes in an accounting policy are applied retrospectively unless this is impracticable…»</w:t>
      </w:r>
      <w:r w:rsidRPr="00877DE5">
        <w:rPr>
          <w:rFonts w:ascii="Times New Roman" w:eastAsia="Times New Roman" w:hAnsi="Times New Roman" w:cs="Times New Roman"/>
          <w:sz w:val="32"/>
          <w:szCs w:val="32"/>
          <w:lang w:val="en-US" w:eastAsia="ru-RU"/>
        </w:rPr>
        <w:t xml:space="preserve">. </w:t>
      </w:r>
      <w:r w:rsidRPr="00877DE5">
        <w:rPr>
          <w:rFonts w:ascii="Times New Roman" w:eastAsia="Times New Roman" w:hAnsi="Times New Roman" w:cs="Times New Roman"/>
          <w:sz w:val="32"/>
          <w:szCs w:val="32"/>
          <w:lang w:eastAsia="ru-RU"/>
        </w:rPr>
        <w:t xml:space="preserve">Проще говоря, при смене метода требуется корректировать показатели прошлого, чтобы обеспечить сопоставимость. В раскрытии по МСФО должна приводиться информация о характере изменений политики, их обосновании и </w:t>
      </w:r>
      <w:r w:rsidRPr="00877DE5">
        <w:rPr>
          <w:rFonts w:ascii="Times New Roman" w:eastAsia="Times New Roman" w:hAnsi="Times New Roman" w:cs="Times New Roman"/>
          <w:sz w:val="32"/>
          <w:szCs w:val="32"/>
          <w:lang w:eastAsia="ru-RU"/>
        </w:rPr>
        <w:lastRenderedPageBreak/>
        <w:t xml:space="preserve">влиянии на отчётность. Например, IAS 1 требует включения в примечания «резюме значимых учетных политик» [4]. </w:t>
      </w:r>
    </w:p>
    <w:p w14:paraId="4CE66007"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Основные различия между ПБУ 1/2008 и МСФО (IAS) 8 представлены в таблице 2. МСФО дополняет российские нормы критерием релевантности и надежности информации, а также подчёркивает необходимость сопоставимости отчётности между компаниями и по годам.</w:t>
      </w:r>
    </w:p>
    <w:p w14:paraId="3CFEB839" w14:textId="77777777" w:rsidR="0008081B" w:rsidRPr="00877DE5" w:rsidRDefault="0008081B" w:rsidP="0008081B">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2 - Сравнение ключевых положений ПБУ 1/2008 и МСФО (IAS) 8</w:t>
      </w:r>
    </w:p>
    <w:tbl>
      <w:tblPr>
        <w:tblStyle w:val="15"/>
        <w:tblW w:w="0" w:type="auto"/>
        <w:tblLook w:val="04A0" w:firstRow="1" w:lastRow="0" w:firstColumn="1" w:lastColumn="0" w:noHBand="0" w:noVBand="1"/>
      </w:tblPr>
      <w:tblGrid>
        <w:gridCol w:w="2315"/>
        <w:gridCol w:w="3209"/>
        <w:gridCol w:w="4104"/>
      </w:tblGrid>
      <w:tr w:rsidR="0008081B" w:rsidRPr="00877DE5" w14:paraId="2F42A0FD" w14:textId="77777777" w:rsidTr="00EB1CB9">
        <w:tc>
          <w:tcPr>
            <w:tcW w:w="2315" w:type="dxa"/>
            <w:vAlign w:val="center"/>
          </w:tcPr>
          <w:p w14:paraId="12EE332F"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Положение</w:t>
            </w:r>
          </w:p>
        </w:tc>
        <w:tc>
          <w:tcPr>
            <w:tcW w:w="3209" w:type="dxa"/>
            <w:vAlign w:val="center"/>
          </w:tcPr>
          <w:p w14:paraId="572E48B2"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ПБУ 1/2008</w:t>
            </w:r>
          </w:p>
        </w:tc>
        <w:tc>
          <w:tcPr>
            <w:tcW w:w="4104" w:type="dxa"/>
            <w:vAlign w:val="center"/>
          </w:tcPr>
          <w:p w14:paraId="25A7BE77"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МСФО (IAS 8)</w:t>
            </w:r>
          </w:p>
        </w:tc>
      </w:tr>
      <w:tr w:rsidR="0008081B" w:rsidRPr="00877DE5" w14:paraId="7782E980" w14:textId="77777777" w:rsidTr="00EB1CB9">
        <w:tc>
          <w:tcPr>
            <w:tcW w:w="2315" w:type="dxa"/>
            <w:vAlign w:val="center"/>
          </w:tcPr>
          <w:p w14:paraId="2A26E7DF"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Определение учетной политики</w:t>
            </w:r>
          </w:p>
        </w:tc>
        <w:tc>
          <w:tcPr>
            <w:tcW w:w="3209" w:type="dxa"/>
            <w:vAlign w:val="center"/>
          </w:tcPr>
          <w:p w14:paraId="319A274F"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Совокупность способов ведения бухучета (наблюдение, измерение, группировка, обобщение).</w:t>
            </w:r>
          </w:p>
        </w:tc>
        <w:tc>
          <w:tcPr>
            <w:tcW w:w="4104" w:type="dxa"/>
            <w:vAlign w:val="center"/>
          </w:tcPr>
          <w:p w14:paraId="01E2DE9D"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Конкретные принципы, основы, правила и практика, принятые для составления отчетности.</w:t>
            </w:r>
          </w:p>
        </w:tc>
      </w:tr>
      <w:tr w:rsidR="0008081B" w:rsidRPr="00877DE5" w14:paraId="3C81891F" w14:textId="77777777" w:rsidTr="00EB1CB9">
        <w:tc>
          <w:tcPr>
            <w:tcW w:w="2315" w:type="dxa"/>
            <w:vAlign w:val="center"/>
          </w:tcPr>
          <w:p w14:paraId="7444C3BE"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Выбор методов</w:t>
            </w:r>
          </w:p>
        </w:tc>
        <w:tc>
          <w:tcPr>
            <w:tcW w:w="3209" w:type="dxa"/>
            <w:vAlign w:val="center"/>
          </w:tcPr>
          <w:p w14:paraId="0D1644B1"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Организация выбирает методы независимо (ст. 8 Закона 402-ФЗ). Возможен учет по стандартам головной компании (п. 5.1 ПБУ).</w:t>
            </w:r>
          </w:p>
        </w:tc>
        <w:tc>
          <w:tcPr>
            <w:tcW w:w="4104" w:type="dxa"/>
            <w:vAlign w:val="center"/>
          </w:tcPr>
          <w:p w14:paraId="2A55E6BC"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Выбор на основании методов, обеспечивающих достоверность; при отсутствии специфического стандарта применяется решение менеджмента с опорой на Концептуальную основу.</w:t>
            </w:r>
          </w:p>
        </w:tc>
      </w:tr>
      <w:tr w:rsidR="0008081B" w:rsidRPr="00877DE5" w14:paraId="383CA908" w14:textId="77777777" w:rsidTr="00EB1CB9">
        <w:tc>
          <w:tcPr>
            <w:tcW w:w="2315" w:type="dxa"/>
            <w:vAlign w:val="center"/>
          </w:tcPr>
          <w:p w14:paraId="50764766"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Последовательность</w:t>
            </w:r>
          </w:p>
        </w:tc>
        <w:tc>
          <w:tcPr>
            <w:tcW w:w="3209" w:type="dxa"/>
            <w:vAlign w:val="center"/>
          </w:tcPr>
          <w:p w14:paraId="649DE56D"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Обязательное последовательное применение политик из года в год (п.5 ПБУ).</w:t>
            </w:r>
          </w:p>
        </w:tc>
        <w:tc>
          <w:tcPr>
            <w:tcW w:w="4104" w:type="dxa"/>
            <w:vAlign w:val="center"/>
          </w:tcPr>
          <w:p w14:paraId="18776A7B"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Требование последовательности (consistency); политика должна применяться для схожих операций одинаково.</w:t>
            </w:r>
          </w:p>
        </w:tc>
      </w:tr>
      <w:tr w:rsidR="0008081B" w:rsidRPr="00877DE5" w14:paraId="10598229" w14:textId="77777777" w:rsidTr="00EB1CB9">
        <w:tc>
          <w:tcPr>
            <w:tcW w:w="2315" w:type="dxa"/>
            <w:vAlign w:val="center"/>
          </w:tcPr>
          <w:p w14:paraId="0A2D622A"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Изменение политики</w:t>
            </w:r>
          </w:p>
        </w:tc>
        <w:tc>
          <w:tcPr>
            <w:tcW w:w="3209" w:type="dxa"/>
            <w:vAlign w:val="center"/>
          </w:tcPr>
          <w:p w14:paraId="0A1B98F6"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Разрешено при изменении законодательства, новых способах учета, существенных условиях хозяйствования. Изменения оформляются и применяются с начала года, последствия оцениваются ретроспективно.</w:t>
            </w:r>
          </w:p>
        </w:tc>
        <w:tc>
          <w:tcPr>
            <w:tcW w:w="4104" w:type="dxa"/>
            <w:vAlign w:val="center"/>
          </w:tcPr>
          <w:p w14:paraId="5FC7D594"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Разрешено при необходимости (например, для соответствия стандартам). Все изменения применяются ретроспективно (IAS 8), за исключением случаев непрактичности. Требуются подробные раскрытия (характер и суммы корректировок).</w:t>
            </w:r>
          </w:p>
        </w:tc>
      </w:tr>
      <w:tr w:rsidR="0008081B" w:rsidRPr="00877DE5" w14:paraId="2F87F312" w14:textId="77777777" w:rsidTr="00EB1CB9">
        <w:tc>
          <w:tcPr>
            <w:tcW w:w="2315" w:type="dxa"/>
            <w:vAlign w:val="center"/>
          </w:tcPr>
          <w:p w14:paraId="54E307E1"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Раскрытие информации</w:t>
            </w:r>
          </w:p>
        </w:tc>
        <w:tc>
          <w:tcPr>
            <w:tcW w:w="3209" w:type="dxa"/>
            <w:vAlign w:val="center"/>
          </w:tcPr>
          <w:p w14:paraId="24B22A4B"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 отчетности раскрываются выбранные способы учета (например, методы оценки запасов, основных средств и др.). Детали зависит от применяемых стандартов (ПБУ, ФСБУ).</w:t>
            </w:r>
          </w:p>
        </w:tc>
        <w:tc>
          <w:tcPr>
            <w:tcW w:w="4104" w:type="dxa"/>
            <w:vAlign w:val="center"/>
          </w:tcPr>
          <w:p w14:paraId="620D33C5"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 xml:space="preserve">В примечаниях к отчетности требуется описание </w:t>
            </w:r>
            <w:r w:rsidRPr="00877DE5">
              <w:rPr>
                <w:rFonts w:ascii="Times New Roman" w:eastAsia="Times New Roman" w:hAnsi="Times New Roman" w:cs="Times New Roman"/>
                <w:i/>
                <w:iCs/>
                <w:lang w:eastAsia="ru-RU"/>
              </w:rPr>
              <w:t>«значимых»</w:t>
            </w:r>
            <w:r w:rsidRPr="00877DE5">
              <w:rPr>
                <w:rFonts w:ascii="Times New Roman" w:eastAsia="Times New Roman" w:hAnsi="Times New Roman" w:cs="Times New Roman"/>
                <w:lang w:eastAsia="ru-RU"/>
              </w:rPr>
              <w:t xml:space="preserve"> учетных политик (тех, которые имеют существенное влияние на отчётность). Разъясняются способы оценки, критерии признания доходов, основная методология оценки.</w:t>
            </w:r>
          </w:p>
        </w:tc>
      </w:tr>
    </w:tbl>
    <w:p w14:paraId="0D84BF9A"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p>
    <w:p w14:paraId="38B7240E"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настоящее время в России учетная политика остаётся важным элементом обеспечения прозрачности и надежности отчетности </w:t>
      </w:r>
      <w:r w:rsidRPr="00877DE5">
        <w:rPr>
          <w:rFonts w:ascii="Times New Roman" w:eastAsia="Times New Roman" w:hAnsi="Times New Roman" w:cs="Times New Roman"/>
          <w:sz w:val="32"/>
          <w:szCs w:val="32"/>
          <w:lang w:eastAsia="ru-RU"/>
        </w:rPr>
        <w:lastRenderedPageBreak/>
        <w:t xml:space="preserve">компаний. Многие крупные российские компании (особенно публичные) уже составляют свою учетную политику с учётом МСФО, чтобы повысить доверие инвесторов и соответствовать международным требованиям. Так, отечественная практика формирования учетной политики претерпевает изменения: она становится более гибкой и адаптивной. Автоматизация учетных процессов также влияет на политику – при внедрении информационных систем (1С, ERP и др.) учетная политика часто корректируется для учёта новых возможностей и требований программного обеспечения [5]. </w:t>
      </w:r>
    </w:p>
    <w:p w14:paraId="64EEEDE6"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Согласно исследованиям, российские организации в учетной политике широко используют методы начисления амортизации, оценки запасов и признания доходов, позволяющие оптимизировать финансовые показатели и налоговую нагрузку. Например, компании могут выбирать между линейным или нелинейным методом амортизации, FIFO или средневзвешенной оценкой запасов, разной учетной политикой в отношении НИОКР и т.д. (табл. 3). При этом многие организации стремятся к постоянству выбранных методов («последовательность применения учетной политики») – изменения вносятся лишь при существенных основаниях (изменение ФСБУ, условий работы или при переработке значимых учетных принципов).</w:t>
      </w:r>
    </w:p>
    <w:p w14:paraId="3D296EF7"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Также отмечается практический интерес к расширению раскрытия информации. В российских отчётах всё чаще появляются примечания о применяемых методах оценки, сроках полезного использования ОС и др. Активно внедряются отраслевые и федеральные стандарты (ФСБУ) – например, предприятия госсектора, помимо ПБУ, учитывают требования ФСБУ «Учётная политика, оценочные значения и ошибки» [6]. </w:t>
      </w:r>
    </w:p>
    <w:p w14:paraId="7992CE79"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Хотя потребность инвесторов в сопоставимости данных растёт, полное соответствие МСФО пока не достигнуто большинством организаций, и МСФО применяются главным образом для консолидированной отчетности и крупных эмитентов.</w:t>
      </w:r>
    </w:p>
    <w:p w14:paraId="1007E282" w14:textId="77777777" w:rsidR="0008081B" w:rsidRPr="00877DE5" w:rsidRDefault="0008081B" w:rsidP="0008081B">
      <w:pPr>
        <w:spacing w:after="0" w:line="240" w:lineRule="auto"/>
        <w:ind w:firstLine="709"/>
        <w:jc w:val="both"/>
        <w:rPr>
          <w:rFonts w:ascii="Times New Roman" w:eastAsia="Times New Roman" w:hAnsi="Times New Roman" w:cs="Times New Roman"/>
          <w:b/>
          <w:bCs/>
          <w:sz w:val="32"/>
          <w:szCs w:val="32"/>
          <w:lang w:eastAsia="ru-RU"/>
        </w:rPr>
      </w:pPr>
    </w:p>
    <w:p w14:paraId="19895418" w14:textId="77777777" w:rsidR="0008081B" w:rsidRPr="00877DE5" w:rsidRDefault="0008081B" w:rsidP="0008081B">
      <w:pPr>
        <w:spacing w:after="0" w:line="240" w:lineRule="auto"/>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3 - Примеры вариантов учетной политики в российских организациях</w:t>
      </w:r>
    </w:p>
    <w:tbl>
      <w:tblPr>
        <w:tblStyle w:val="15"/>
        <w:tblW w:w="0" w:type="auto"/>
        <w:tblLook w:val="04A0" w:firstRow="1" w:lastRow="0" w:firstColumn="1" w:lastColumn="0" w:noHBand="0" w:noVBand="1"/>
      </w:tblPr>
      <w:tblGrid>
        <w:gridCol w:w="2222"/>
        <w:gridCol w:w="3214"/>
        <w:gridCol w:w="4192"/>
      </w:tblGrid>
      <w:tr w:rsidR="0008081B" w:rsidRPr="00877DE5" w14:paraId="75A8F5BC" w14:textId="77777777" w:rsidTr="00EB1CB9">
        <w:tc>
          <w:tcPr>
            <w:tcW w:w="2222" w:type="dxa"/>
            <w:vAlign w:val="center"/>
          </w:tcPr>
          <w:p w14:paraId="446BDF68"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Вопрос учетной политики</w:t>
            </w:r>
          </w:p>
        </w:tc>
        <w:tc>
          <w:tcPr>
            <w:tcW w:w="3214" w:type="dxa"/>
            <w:vAlign w:val="center"/>
          </w:tcPr>
          <w:p w14:paraId="79666594"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 xml:space="preserve">Варианты применения </w:t>
            </w:r>
          </w:p>
        </w:tc>
        <w:tc>
          <w:tcPr>
            <w:tcW w:w="4192" w:type="dxa"/>
            <w:vAlign w:val="center"/>
          </w:tcPr>
          <w:p w14:paraId="6853E5EF"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Комментарий</w:t>
            </w:r>
          </w:p>
        </w:tc>
      </w:tr>
      <w:tr w:rsidR="0008081B" w:rsidRPr="00877DE5" w14:paraId="390582A0" w14:textId="77777777" w:rsidTr="00EB1CB9">
        <w:tc>
          <w:tcPr>
            <w:tcW w:w="2222" w:type="dxa"/>
            <w:vAlign w:val="center"/>
          </w:tcPr>
          <w:p w14:paraId="6DE82D6C"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Амортизация ОС</w:t>
            </w:r>
          </w:p>
        </w:tc>
        <w:tc>
          <w:tcPr>
            <w:tcW w:w="3214" w:type="dxa"/>
            <w:vAlign w:val="center"/>
          </w:tcPr>
          <w:p w14:paraId="7F237973"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 xml:space="preserve">Линейный метод/Метод уменьшаемого </w:t>
            </w:r>
            <w:r w:rsidRPr="00877DE5">
              <w:rPr>
                <w:rFonts w:ascii="Times New Roman" w:eastAsia="Times New Roman" w:hAnsi="Times New Roman" w:cs="Times New Roman"/>
                <w:lang w:eastAsia="ru-RU"/>
              </w:rPr>
              <w:lastRenderedPageBreak/>
              <w:t>остатка/Производственный метод</w:t>
            </w:r>
          </w:p>
        </w:tc>
        <w:tc>
          <w:tcPr>
            <w:tcW w:w="4192" w:type="dxa"/>
            <w:vAlign w:val="center"/>
          </w:tcPr>
          <w:p w14:paraId="0EF71C4E"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lastRenderedPageBreak/>
              <w:t xml:space="preserve">Линейный метод наиболее распространён; нелинейные могут </w:t>
            </w:r>
            <w:r w:rsidRPr="00877DE5">
              <w:rPr>
                <w:rFonts w:ascii="Times New Roman" w:eastAsia="Times New Roman" w:hAnsi="Times New Roman" w:cs="Times New Roman"/>
                <w:lang w:eastAsia="ru-RU"/>
              </w:rPr>
              <w:lastRenderedPageBreak/>
              <w:t>использоваться для ускоренного списания.</w:t>
            </w:r>
          </w:p>
        </w:tc>
      </w:tr>
      <w:tr w:rsidR="0008081B" w:rsidRPr="00877DE5" w14:paraId="3E275691" w14:textId="77777777" w:rsidTr="00EB1CB9">
        <w:tc>
          <w:tcPr>
            <w:tcW w:w="2222" w:type="dxa"/>
            <w:vAlign w:val="center"/>
          </w:tcPr>
          <w:p w14:paraId="237106FF"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lastRenderedPageBreak/>
              <w:t>Срок полезного использования ОС</w:t>
            </w:r>
          </w:p>
        </w:tc>
        <w:tc>
          <w:tcPr>
            <w:tcW w:w="3214" w:type="dxa"/>
            <w:vAlign w:val="center"/>
          </w:tcPr>
          <w:p w14:paraId="42263A6E"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5–10 лет/10–20 лет/Индивидуально комиссией</w:t>
            </w:r>
          </w:p>
        </w:tc>
        <w:tc>
          <w:tcPr>
            <w:tcW w:w="4192" w:type="dxa"/>
            <w:vAlign w:val="center"/>
          </w:tcPr>
          <w:p w14:paraId="4F9C66FA"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Зависит от специфики активов и практики в отрасли.</w:t>
            </w:r>
          </w:p>
        </w:tc>
      </w:tr>
      <w:tr w:rsidR="0008081B" w:rsidRPr="00877DE5" w14:paraId="6B53B9D1" w14:textId="77777777" w:rsidTr="00EB1CB9">
        <w:tc>
          <w:tcPr>
            <w:tcW w:w="2222" w:type="dxa"/>
            <w:vAlign w:val="center"/>
          </w:tcPr>
          <w:p w14:paraId="0630D90A"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Оценка запасов</w:t>
            </w:r>
          </w:p>
        </w:tc>
        <w:tc>
          <w:tcPr>
            <w:tcW w:w="3214" w:type="dxa"/>
            <w:vAlign w:val="center"/>
          </w:tcPr>
          <w:p w14:paraId="1B02F860"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FIFO/Средневзвешенная себестоимость</w:t>
            </w:r>
          </w:p>
        </w:tc>
        <w:tc>
          <w:tcPr>
            <w:tcW w:w="4192" w:type="dxa"/>
            <w:vAlign w:val="center"/>
          </w:tcPr>
          <w:p w14:paraId="5BFF4700"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Метод влияет на себестоимость реализованной продукции.</w:t>
            </w:r>
          </w:p>
        </w:tc>
      </w:tr>
      <w:tr w:rsidR="0008081B" w:rsidRPr="00877DE5" w14:paraId="31C8C654" w14:textId="77777777" w:rsidTr="00EB1CB9">
        <w:tc>
          <w:tcPr>
            <w:tcW w:w="2222" w:type="dxa"/>
            <w:vAlign w:val="center"/>
          </w:tcPr>
          <w:p w14:paraId="060C7992"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Учет НМА (нематериальных активов)</w:t>
            </w:r>
          </w:p>
        </w:tc>
        <w:tc>
          <w:tcPr>
            <w:tcW w:w="3214" w:type="dxa"/>
            <w:vAlign w:val="center"/>
          </w:tcPr>
          <w:p w14:paraId="27A08638"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Линейная амортизация/Условная нулевка (отложенная амортизация)</w:t>
            </w:r>
          </w:p>
        </w:tc>
        <w:tc>
          <w:tcPr>
            <w:tcW w:w="4192" w:type="dxa"/>
            <w:vAlign w:val="center"/>
          </w:tcPr>
          <w:p w14:paraId="5449E450"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Компании сами выбирают, как амортизировать НМА (срок или списывать сразу, если это возможно).</w:t>
            </w:r>
          </w:p>
        </w:tc>
      </w:tr>
      <w:tr w:rsidR="0008081B" w:rsidRPr="00877DE5" w14:paraId="74418F35" w14:textId="77777777" w:rsidTr="00EB1CB9">
        <w:tc>
          <w:tcPr>
            <w:tcW w:w="2222" w:type="dxa"/>
            <w:vAlign w:val="center"/>
          </w:tcPr>
          <w:p w14:paraId="7E6D4241"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Признание выручки</w:t>
            </w:r>
          </w:p>
        </w:tc>
        <w:tc>
          <w:tcPr>
            <w:tcW w:w="3214" w:type="dxa"/>
            <w:vAlign w:val="center"/>
          </w:tcPr>
          <w:p w14:paraId="4093AB3A"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По дате передачи рисков/По факту оплаты/По завершении услуг</w:t>
            </w:r>
          </w:p>
        </w:tc>
        <w:tc>
          <w:tcPr>
            <w:tcW w:w="4192" w:type="dxa"/>
            <w:vAlign w:val="center"/>
          </w:tcPr>
          <w:p w14:paraId="7C1CB465"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 основном по дате признания выручки, в соответствии с ФСБУ/МСФО (принцип начисления).</w:t>
            </w:r>
          </w:p>
        </w:tc>
      </w:tr>
    </w:tbl>
    <w:p w14:paraId="121FE2A9" w14:textId="77777777" w:rsidR="0008081B" w:rsidRPr="00877DE5" w:rsidRDefault="0008081B" w:rsidP="0008081B">
      <w:pPr>
        <w:spacing w:after="0" w:line="240" w:lineRule="auto"/>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Продолжение таблицы 3</w:t>
      </w:r>
    </w:p>
    <w:tbl>
      <w:tblPr>
        <w:tblStyle w:val="15"/>
        <w:tblW w:w="0" w:type="auto"/>
        <w:tblLook w:val="04A0" w:firstRow="1" w:lastRow="0" w:firstColumn="1" w:lastColumn="0" w:noHBand="0" w:noVBand="1"/>
      </w:tblPr>
      <w:tblGrid>
        <w:gridCol w:w="2222"/>
        <w:gridCol w:w="3214"/>
        <w:gridCol w:w="4192"/>
      </w:tblGrid>
      <w:tr w:rsidR="0008081B" w:rsidRPr="00877DE5" w14:paraId="66A6C44E" w14:textId="77777777" w:rsidTr="00EB1CB9">
        <w:tc>
          <w:tcPr>
            <w:tcW w:w="2222" w:type="dxa"/>
          </w:tcPr>
          <w:p w14:paraId="6C47315A"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Вопрос учетной политики</w:t>
            </w:r>
          </w:p>
        </w:tc>
        <w:tc>
          <w:tcPr>
            <w:tcW w:w="3214" w:type="dxa"/>
          </w:tcPr>
          <w:p w14:paraId="023D403C"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 xml:space="preserve">Варианты применения </w:t>
            </w:r>
          </w:p>
        </w:tc>
        <w:tc>
          <w:tcPr>
            <w:tcW w:w="4192" w:type="dxa"/>
          </w:tcPr>
          <w:p w14:paraId="02D5FF10"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Комментарий</w:t>
            </w:r>
          </w:p>
        </w:tc>
      </w:tr>
      <w:tr w:rsidR="0008081B" w:rsidRPr="00877DE5" w14:paraId="5F5206FA" w14:textId="77777777" w:rsidTr="00EB1CB9">
        <w:tc>
          <w:tcPr>
            <w:tcW w:w="2222" w:type="dxa"/>
            <w:vAlign w:val="center"/>
          </w:tcPr>
          <w:p w14:paraId="26C5DDB8"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Метод калькуляции себестоимости</w:t>
            </w:r>
          </w:p>
        </w:tc>
        <w:tc>
          <w:tcPr>
            <w:tcW w:w="3214" w:type="dxa"/>
            <w:vAlign w:val="center"/>
          </w:tcPr>
          <w:p w14:paraId="0FD79192"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По фактической себестоимости/Стандартная себестоимость/Нормативный метод</w:t>
            </w:r>
          </w:p>
        </w:tc>
        <w:tc>
          <w:tcPr>
            <w:tcW w:w="4192" w:type="dxa"/>
            <w:vAlign w:val="center"/>
          </w:tcPr>
          <w:p w14:paraId="5BF84A94"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Выбор зависит от потребностей управления и задач учета (план-факт-анализ, бюджетирование).</w:t>
            </w:r>
          </w:p>
        </w:tc>
      </w:tr>
      <w:tr w:rsidR="0008081B" w:rsidRPr="00877DE5" w14:paraId="165B2BE4" w14:textId="77777777" w:rsidTr="00EB1CB9">
        <w:tc>
          <w:tcPr>
            <w:tcW w:w="2222" w:type="dxa"/>
            <w:vAlign w:val="center"/>
          </w:tcPr>
          <w:p w14:paraId="68E27E48" w14:textId="77777777" w:rsidR="0008081B" w:rsidRPr="00877DE5" w:rsidRDefault="0008081B"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Консолидация</w:t>
            </w:r>
          </w:p>
        </w:tc>
        <w:tc>
          <w:tcPr>
            <w:tcW w:w="3214" w:type="dxa"/>
            <w:vAlign w:val="center"/>
          </w:tcPr>
          <w:p w14:paraId="54138BB6"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С применением МСФО/Без консолидации</w:t>
            </w:r>
          </w:p>
        </w:tc>
        <w:tc>
          <w:tcPr>
            <w:tcW w:w="4192" w:type="dxa"/>
            <w:vAlign w:val="center"/>
          </w:tcPr>
          <w:p w14:paraId="0CE3B31E" w14:textId="77777777" w:rsidR="0008081B" w:rsidRPr="00877DE5" w:rsidRDefault="0008081B"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Для крупных групп компаний часто готовят консолидированные отчёты по МСФО.</w:t>
            </w:r>
          </w:p>
        </w:tc>
      </w:tr>
    </w:tbl>
    <w:p w14:paraId="42AF80D3" w14:textId="77777777" w:rsidR="0008081B" w:rsidRPr="00877DE5" w:rsidRDefault="0008081B" w:rsidP="0008081B">
      <w:pPr>
        <w:spacing w:after="0" w:line="240" w:lineRule="auto"/>
        <w:jc w:val="both"/>
        <w:rPr>
          <w:rFonts w:ascii="Times New Roman" w:eastAsia="Times New Roman" w:hAnsi="Times New Roman" w:cs="Times New Roman"/>
          <w:sz w:val="32"/>
          <w:szCs w:val="32"/>
          <w:lang w:eastAsia="ru-RU"/>
        </w:rPr>
      </w:pPr>
    </w:p>
    <w:p w14:paraId="61EE04ED"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современных условиях необходимости пересмотра и улучшения практики применения учетной политики диктуются несколькими факторами:</w:t>
      </w:r>
    </w:p>
    <w:p w14:paraId="033FF5FB" w14:textId="77777777" w:rsidR="0008081B" w:rsidRPr="00877DE5" w:rsidRDefault="0008081B" w:rsidP="00AD58CD">
      <w:pPr>
        <w:numPr>
          <w:ilvl w:val="0"/>
          <w:numId w:val="15"/>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Постоянно обновляются федеральные стандарты бухгалтерского учёта (ФСБУ), регулирующие отдельные аспекты учёта (например, ФСБУ по аренде, по запасам, по активам), что требует корректировки политики. Кроме того, Верховный суд и налоговые органы вводят уточнения, влияющие на признание отдельных статей. Предприятия должны оперативно реагировать на новые нормативы, внедряя их в политику учёта и отражая последствия в отчётности;</w:t>
      </w:r>
    </w:p>
    <w:p w14:paraId="47CC57A7" w14:textId="77777777" w:rsidR="0008081B" w:rsidRPr="00877DE5" w:rsidRDefault="0008081B" w:rsidP="00AD58CD">
      <w:pPr>
        <w:numPr>
          <w:ilvl w:val="0"/>
          <w:numId w:val="15"/>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Активное внедрение ИТ-систем (1</w:t>
      </w:r>
      <w:proofErr w:type="gramStart"/>
      <w:r w:rsidRPr="00877DE5">
        <w:rPr>
          <w:rFonts w:ascii="Times New Roman" w:eastAsia="Times New Roman" w:hAnsi="Times New Roman" w:cs="Times New Roman"/>
          <w:sz w:val="32"/>
          <w:szCs w:val="32"/>
          <w:lang w:eastAsia="ru-RU"/>
        </w:rPr>
        <w:t>С:ERP</w:t>
      </w:r>
      <w:proofErr w:type="gramEnd"/>
      <w:r w:rsidRPr="00877DE5">
        <w:rPr>
          <w:rFonts w:ascii="Times New Roman" w:eastAsia="Times New Roman" w:hAnsi="Times New Roman" w:cs="Times New Roman"/>
          <w:sz w:val="32"/>
          <w:szCs w:val="32"/>
          <w:lang w:eastAsia="ru-RU"/>
        </w:rPr>
        <w:t xml:space="preserve">, специализированных решений) меняет формы первичных документов и регистров учета. В результате учетная политика дополняется правилами электронного документооборота, автоматического учета операций (например, автоматизированный расчет амортизации, интеграция с облачными сервисами). При реализации цифровых проектов (Big Data, ИИ в </w:t>
      </w:r>
      <w:r w:rsidRPr="00877DE5">
        <w:rPr>
          <w:rFonts w:ascii="Times New Roman" w:eastAsia="Times New Roman" w:hAnsi="Times New Roman" w:cs="Times New Roman"/>
          <w:sz w:val="32"/>
          <w:szCs w:val="32"/>
          <w:lang w:eastAsia="ru-RU"/>
        </w:rPr>
        <w:lastRenderedPageBreak/>
        <w:t>аналитике) политики должны предусматривать новые процедуры контроля и отражения данных. В то же время создание единой федеральной учетной платформы (идея Минфина) потребует унификации подходов к учёту по всей стране и переработки корпоративных политик в соответствии с централизованной системой данных;</w:t>
      </w:r>
    </w:p>
    <w:p w14:paraId="054B87BA" w14:textId="77777777" w:rsidR="0008081B" w:rsidRPr="00877DE5" w:rsidRDefault="0008081B" w:rsidP="00AD58CD">
      <w:pPr>
        <w:numPr>
          <w:ilvl w:val="0"/>
          <w:numId w:val="15"/>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Инвесторы и международные партнёры ожидают от российских компаний прозрачности и полноты раскрытий. Поэтому рекомендуется усилить применение принципов МСФО при формировании политики (особенно для публичных и планирующих IPO), а также расширить раскрытие существенных учетных оценок и допущений (по примеру требований МСФО). Регуляторы (Банк России, ФНС) также направляют компании к прозрачности: например, для небанковских финансовых организаций (НФО) пока сохраняется возможность учёта по ПБУ, но ЦБ уже требует раскрытия влияния МСФО на отчётность и предупреждает об обязательном переходе в будущем [7];</w:t>
      </w:r>
      <w:r w:rsidRPr="00877DE5">
        <w:rPr>
          <w:rFonts w:ascii="Times New Roman" w:eastAsia="Aptos" w:hAnsi="Times New Roman" w:cs="Times New Roman"/>
          <w:kern w:val="2"/>
          <w:sz w:val="24"/>
          <w:szCs w:val="24"/>
          <w14:ligatures w14:val="standardContextual"/>
        </w:rPr>
        <w:t xml:space="preserve"> </w:t>
      </w:r>
    </w:p>
    <w:p w14:paraId="3DA29DD2" w14:textId="77777777" w:rsidR="0008081B" w:rsidRPr="00877DE5" w:rsidRDefault="0008081B" w:rsidP="00AD58CD">
      <w:pPr>
        <w:numPr>
          <w:ilvl w:val="0"/>
          <w:numId w:val="15"/>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современных рискоориентированных системах управления учетная политика должна содержать механизмы предотвращения ошибок и мошенничества (например, политики резервирования, оценки обесценения). Важным направлением является согласование политики бухгалтерского и налогового учёта (для налоговых целей организация разрабатывает отдельную, но сопоставимую политику), а также интеграция бухгалтерских и управленческих стандартов (чтобы отчётность была полезна всем заинтересованным сторонам).</w:t>
      </w:r>
    </w:p>
    <w:p w14:paraId="228D646C"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Рекомендуется проводить регулярный аудит и ревизию учетной политики при существенных изменениях условий деятельности, а также включать специалистов ИТ и финансовых аналитиков в её разработку для учета новых технологий и информационных потребностей.</w:t>
      </w:r>
    </w:p>
    <w:p w14:paraId="255242A0" w14:textId="77777777" w:rsidR="0008081B" w:rsidRPr="00877DE5" w:rsidRDefault="0008081B" w:rsidP="0008081B">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Учетная политика организации – системообразующий документ бухгалтерии, обеспечивающий непрерывность и сопоставимость финансовой отчётности. В современных реалиях требуется её постоянная адаптация: к новым законодательным требованиям, к цифровым технологиям и к ожиданиям инвесторов, включает обязательный пересмотр методов оценки и раскрытий в свете ФСБУ и МСФО, интеграцию учетных процессов в автоматизированные системы и обеспечение большей прозрачности. Совершенствование политики повысит качество управленческих и финансовых решений, </w:t>
      </w:r>
      <w:r w:rsidRPr="00877DE5">
        <w:rPr>
          <w:rFonts w:ascii="Times New Roman" w:eastAsia="Times New Roman" w:hAnsi="Times New Roman" w:cs="Times New Roman"/>
          <w:sz w:val="32"/>
          <w:szCs w:val="32"/>
          <w:lang w:eastAsia="ru-RU"/>
        </w:rPr>
        <w:lastRenderedPageBreak/>
        <w:t>улучшит доверие внешних пользователей отчетности и приведет российский учет к лучшим мировым практикам.</w:t>
      </w:r>
    </w:p>
    <w:p w14:paraId="5FD2C139" w14:textId="77777777" w:rsidR="0008081B" w:rsidRPr="00877DE5" w:rsidRDefault="0008081B" w:rsidP="0008081B">
      <w:pPr>
        <w:spacing w:after="0" w:line="240" w:lineRule="auto"/>
        <w:ind w:firstLine="709"/>
        <w:jc w:val="both"/>
        <w:rPr>
          <w:rFonts w:ascii="Times New Roman" w:eastAsia="Aptos" w:hAnsi="Times New Roman" w:cs="Times New Roman"/>
          <w:kern w:val="2"/>
          <w:sz w:val="32"/>
          <w:szCs w:val="32"/>
          <w14:ligatures w14:val="standardContextual"/>
        </w:rPr>
      </w:pPr>
    </w:p>
    <w:p w14:paraId="334BA464" w14:textId="32CEDCAC" w:rsidR="0008081B" w:rsidRPr="00877DE5" w:rsidRDefault="0008081B" w:rsidP="0008081B">
      <w:pPr>
        <w:spacing w:after="0" w:line="240" w:lineRule="auto"/>
        <w:ind w:firstLine="709"/>
        <w:jc w:val="center"/>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Литература</w:t>
      </w:r>
      <w:r>
        <w:rPr>
          <w:rFonts w:ascii="Times New Roman" w:eastAsia="Aptos" w:hAnsi="Times New Roman" w:cs="Times New Roman"/>
          <w:b/>
          <w:bCs/>
          <w:kern w:val="2"/>
          <w:sz w:val="21"/>
          <w:szCs w:val="32"/>
          <w14:ligatures w14:val="standardContextual"/>
        </w:rPr>
        <w:t>:</w:t>
      </w:r>
    </w:p>
    <w:p w14:paraId="77EE4D64"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Разъяснения Центрального Банка Российской Федерации (Банк России, ЦБР) от 16 января 2016 г. «О требованиях к порядку формирования учетной политики» </w:t>
      </w:r>
      <w:r w:rsidRPr="00877DE5">
        <w:rPr>
          <w:rFonts w:ascii="Times New Roman" w:eastAsia="Aptos" w:hAnsi="Times New Roman" w:cs="Times New Roman"/>
          <w:kern w:val="2"/>
          <w:sz w:val="21"/>
          <w:szCs w:val="20"/>
          <w14:ligatures w14:val="standardContextual"/>
        </w:rPr>
        <w:t xml:space="preserve">[Электронный ресурс: </w:t>
      </w:r>
      <w:hyperlink r:id="rId148" w:history="1">
        <w:r w:rsidRPr="00877DE5">
          <w:rPr>
            <w:rFonts w:ascii="Times New Roman" w:eastAsia="Times New Roman" w:hAnsi="Times New Roman" w:cs="Times New Roman"/>
            <w:color w:val="467886"/>
            <w:sz w:val="21"/>
            <w:szCs w:val="20"/>
            <w:u w:val="single"/>
            <w:lang w:eastAsia="ru-RU"/>
          </w:rPr>
          <w:t>https://www.garant.ru/products/ipo/prime/doc/71487898/</w:t>
        </w:r>
      </w:hyperlink>
      <w:r w:rsidRPr="00877DE5">
        <w:rPr>
          <w:rFonts w:ascii="Times New Roman" w:eastAsia="Times New Roman" w:hAnsi="Times New Roman" w:cs="Times New Roman"/>
          <w:sz w:val="21"/>
          <w:szCs w:val="20"/>
          <w:lang w:eastAsia="ru-RU"/>
        </w:rPr>
        <w:t xml:space="preserve"> (дата обращения 19.05.2025)].</w:t>
      </w:r>
    </w:p>
    <w:p w14:paraId="0C1BF6F5"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Приказ Минфина России от 06.10.2008 N 106н (ред. от 07.02.2020) «Об утверждении положений по бухгалтерскому учету» (вместе с «Положением по бухгалтерскому учету «Учетная политика организации» (ПБУ 1/2008)»</w:t>
      </w:r>
      <w:r w:rsidRPr="00877DE5">
        <w:rPr>
          <w:rFonts w:ascii="Times New Roman" w:eastAsia="Aptos" w:hAnsi="Times New Roman" w:cs="Times New Roman"/>
          <w:kern w:val="2"/>
          <w:sz w:val="21"/>
          <w:szCs w:val="20"/>
          <w14:ligatures w14:val="standardContextual"/>
        </w:rPr>
        <w:t xml:space="preserve"> [Электронный ресурс: </w:t>
      </w:r>
      <w:r w:rsidRPr="00877DE5">
        <w:rPr>
          <w:rFonts w:ascii="Times New Roman" w:eastAsia="Times New Roman" w:hAnsi="Times New Roman" w:cs="Times New Roman"/>
          <w:sz w:val="21"/>
          <w:szCs w:val="20"/>
          <w:lang w:eastAsia="ru-RU"/>
        </w:rPr>
        <w:t xml:space="preserve"> </w:t>
      </w:r>
      <w:hyperlink r:id="rId149" w:history="1">
        <w:r w:rsidRPr="00877DE5">
          <w:rPr>
            <w:rFonts w:ascii="Times New Roman" w:eastAsia="Times New Roman" w:hAnsi="Times New Roman" w:cs="Times New Roman"/>
            <w:color w:val="467886"/>
            <w:sz w:val="21"/>
            <w:szCs w:val="20"/>
            <w:u w:val="single"/>
            <w:lang w:eastAsia="ru-RU"/>
          </w:rPr>
          <w:t>https://chatgpt.com/c/6829d949-03f8-800a-b10b-8304aafbfd3d</w:t>
        </w:r>
      </w:hyperlink>
      <w:r w:rsidRPr="00877DE5">
        <w:rPr>
          <w:rFonts w:ascii="Times New Roman" w:eastAsia="Times New Roman" w:hAnsi="Times New Roman" w:cs="Times New Roman"/>
          <w:sz w:val="21"/>
          <w:szCs w:val="20"/>
          <w:lang w:eastAsia="ru-RU"/>
        </w:rPr>
        <w:t xml:space="preserve"> (дата обращения 19.05.2025)].</w:t>
      </w:r>
    </w:p>
    <w:p w14:paraId="27DDD1C6"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Aptos" w:hAnsi="Times New Roman" w:cs="Times New Roman"/>
          <w:kern w:val="2"/>
          <w:sz w:val="21"/>
          <w:szCs w:val="20"/>
          <w14:ligatures w14:val="standardContextual"/>
        </w:rPr>
        <w:t xml:space="preserve">Описание стандарта МСФО 8 Учетная политика [Электронный ресурс: </w:t>
      </w:r>
      <w:hyperlink r:id="rId150" w:history="1">
        <w:r w:rsidRPr="00877DE5">
          <w:rPr>
            <w:rFonts w:ascii="Times New Roman" w:eastAsia="Times New Roman" w:hAnsi="Times New Roman" w:cs="Times New Roman"/>
            <w:color w:val="467886"/>
            <w:sz w:val="21"/>
            <w:szCs w:val="20"/>
            <w:u w:val="single"/>
            <w:lang w:eastAsia="ru-RU"/>
          </w:rPr>
          <w:t>https://finacademy.net/materials/standartu-msfo/msfo-ias-8-uchetnaya-politika-izmeneniya-v-bukhgalterskikh-otsenkakh-i-oshibki</w:t>
        </w:r>
      </w:hyperlink>
      <w:r w:rsidRPr="00877DE5">
        <w:rPr>
          <w:rFonts w:ascii="Times New Roman" w:eastAsia="Times New Roman" w:hAnsi="Times New Roman" w:cs="Times New Roman"/>
          <w:sz w:val="21"/>
          <w:szCs w:val="20"/>
          <w:lang w:eastAsia="ru-RU"/>
        </w:rPr>
        <w:t xml:space="preserve"> (дата обращения 19.05.2025)].</w:t>
      </w:r>
    </w:p>
    <w:p w14:paraId="03C55853"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val="en-US" w:eastAsia="ru-RU"/>
        </w:rPr>
      </w:pPr>
      <w:r w:rsidRPr="00877DE5">
        <w:rPr>
          <w:rFonts w:ascii="Times New Roman" w:eastAsia="Times New Roman" w:hAnsi="Times New Roman" w:cs="Times New Roman"/>
          <w:sz w:val="21"/>
          <w:szCs w:val="20"/>
          <w:lang w:val="en-US" w:eastAsia="ru-RU"/>
        </w:rPr>
        <w:t xml:space="preserve">IAS 8 Basis of Preparation of Financial Statements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151" w:history="1">
        <w:r w:rsidRPr="00877DE5">
          <w:rPr>
            <w:rFonts w:ascii="Times New Roman" w:eastAsia="Times New Roman" w:hAnsi="Times New Roman" w:cs="Times New Roman"/>
            <w:color w:val="467886"/>
            <w:sz w:val="21"/>
            <w:szCs w:val="20"/>
            <w:u w:val="single"/>
            <w:lang w:val="en-US" w:eastAsia="ru-RU"/>
          </w:rPr>
          <w:t>https://www.ifrs.org/issued-standards/list-of-standards/ias-8-basis-of-preparation-of-financial-statements</w:t>
        </w:r>
      </w:hyperlink>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дата</w:t>
      </w:r>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обращения</w:t>
      </w:r>
      <w:r w:rsidRPr="00877DE5">
        <w:rPr>
          <w:rFonts w:ascii="Times New Roman" w:eastAsia="Times New Roman" w:hAnsi="Times New Roman" w:cs="Times New Roman"/>
          <w:sz w:val="21"/>
          <w:szCs w:val="20"/>
          <w:lang w:val="en-US" w:eastAsia="ru-RU"/>
        </w:rPr>
        <w:t xml:space="preserve"> 19.05.2025)].</w:t>
      </w:r>
    </w:p>
    <w:p w14:paraId="44DA0EE4"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Корпоративные информационные системы и учетная политика организации при применении автоматизированной формы ведения учета </w:t>
      </w:r>
      <w:r w:rsidRPr="00877DE5">
        <w:rPr>
          <w:rFonts w:ascii="Times New Roman" w:eastAsia="Aptos" w:hAnsi="Times New Roman" w:cs="Times New Roman"/>
          <w:kern w:val="2"/>
          <w:sz w:val="21"/>
          <w:szCs w:val="20"/>
          <w14:ligatures w14:val="standardContextual"/>
        </w:rPr>
        <w:t xml:space="preserve">[Электронный ресурс: </w:t>
      </w:r>
      <w:hyperlink r:id="rId152" w:history="1">
        <w:r w:rsidRPr="00877DE5">
          <w:rPr>
            <w:rFonts w:ascii="Times New Roman" w:eastAsia="Times New Roman" w:hAnsi="Times New Roman" w:cs="Times New Roman"/>
            <w:color w:val="467886"/>
            <w:sz w:val="21"/>
            <w:szCs w:val="20"/>
            <w:u w:val="single"/>
            <w:lang w:eastAsia="ru-RU"/>
          </w:rPr>
          <w:t>https://corpinfosys.ru/archive/2020/issue-9/78-2020-9-accountpolicy</w:t>
        </w:r>
      </w:hyperlink>
      <w:r w:rsidRPr="00877DE5">
        <w:rPr>
          <w:rFonts w:ascii="Times New Roman" w:eastAsia="Times New Roman" w:hAnsi="Times New Roman" w:cs="Times New Roman"/>
          <w:sz w:val="21"/>
          <w:szCs w:val="20"/>
          <w:lang w:eastAsia="ru-RU"/>
        </w:rPr>
        <w:t xml:space="preserve"> (дата обращения 19.05.2025)].</w:t>
      </w:r>
    </w:p>
    <w:p w14:paraId="7C7A1724" w14:textId="77777777" w:rsidR="0008081B" w:rsidRPr="00877DE5" w:rsidRDefault="0008081B" w:rsidP="00AD58CD">
      <w:pPr>
        <w:numPr>
          <w:ilvl w:val="0"/>
          <w:numId w:val="16"/>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Приказ Минфина России от 13.09.2023 № 144н «О внесении изменений в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Министерства финансов Российской Федерации от 30 декабря 2017 г. № 274н» </w:t>
      </w:r>
      <w:r w:rsidRPr="00877DE5">
        <w:rPr>
          <w:rFonts w:ascii="Times New Roman" w:eastAsia="Aptos" w:hAnsi="Times New Roman" w:cs="Times New Roman"/>
          <w:kern w:val="2"/>
          <w:sz w:val="21"/>
          <w:szCs w:val="20"/>
          <w14:ligatures w14:val="standardContextual"/>
        </w:rPr>
        <w:t xml:space="preserve">[Электронный ресурс: </w:t>
      </w:r>
      <w:hyperlink r:id="rId153" w:history="1">
        <w:r w:rsidRPr="00877DE5">
          <w:rPr>
            <w:rFonts w:ascii="Times New Roman" w:eastAsia="Times New Roman" w:hAnsi="Times New Roman" w:cs="Times New Roman"/>
            <w:color w:val="467886"/>
            <w:sz w:val="21"/>
            <w:szCs w:val="20"/>
            <w:u w:val="single"/>
            <w:lang w:eastAsia="ru-RU"/>
          </w:rPr>
          <w:t>https://minfin.gov.ru/ru/document?id_4=304151-prikaz_minfina_rossii_ot_13.09.2023__144n_o_vnesenii_izmenenii_v_federalnyi_standart_bukhgalterskogo_ucheta_dlya_organizatsii_gosudarstvennogo_sektora_uchetnaya_politika_otsenochnye_znacheniya_i_oshibki_utverzhdennyi_prikazom_ministerstva_finansov_rossiiskoi_federatsii_ot_30_dekabrya_2017_g.__274n</w:t>
        </w:r>
      </w:hyperlink>
      <w:r w:rsidRPr="00877DE5">
        <w:rPr>
          <w:rFonts w:ascii="Times New Roman" w:eastAsia="Times New Roman" w:hAnsi="Times New Roman" w:cs="Times New Roman"/>
          <w:sz w:val="21"/>
          <w:szCs w:val="20"/>
          <w:lang w:eastAsia="ru-RU"/>
        </w:rPr>
        <w:t xml:space="preserve"> (дата обращения 19.05.2025)].</w:t>
      </w:r>
    </w:p>
    <w:p w14:paraId="72D6C9DE" w14:textId="77777777" w:rsidR="0008081B" w:rsidRPr="00877DE5" w:rsidRDefault="0008081B" w:rsidP="00AD58CD">
      <w:pPr>
        <w:numPr>
          <w:ilvl w:val="0"/>
          <w:numId w:val="16"/>
        </w:numPr>
        <w:spacing w:after="0" w:line="240" w:lineRule="auto"/>
        <w:ind w:left="0" w:firstLine="0"/>
        <w:contextualSpacing/>
        <w:jc w:val="both"/>
        <w:rPr>
          <w:rFonts w:ascii="Times New Roman" w:eastAsia="Aptos" w:hAnsi="Times New Roman" w:cs="Times New Roman"/>
          <w:color w:val="000000"/>
          <w:kern w:val="2"/>
          <w:sz w:val="21"/>
          <w:szCs w:val="20"/>
          <w:lang w:val="en-US"/>
          <w14:ligatures w14:val="standardContextual"/>
        </w:rPr>
      </w:pPr>
      <w:r w:rsidRPr="00877DE5">
        <w:rPr>
          <w:rFonts w:ascii="Times New Roman" w:eastAsia="Times New Roman" w:hAnsi="Times New Roman" w:cs="Times New Roman"/>
          <w:sz w:val="21"/>
          <w:szCs w:val="20"/>
          <w:lang w:val="en-US" w:eastAsia="ru-RU"/>
        </w:rPr>
        <w:t xml:space="preserve">IAS 1 Presentation of Financial Statements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154" w:history="1">
        <w:r w:rsidRPr="00877DE5">
          <w:rPr>
            <w:rFonts w:ascii="Times New Roman" w:eastAsia="Times New Roman" w:hAnsi="Times New Roman" w:cs="Times New Roman"/>
            <w:color w:val="467886"/>
            <w:sz w:val="21"/>
            <w:szCs w:val="20"/>
            <w:u w:val="single"/>
            <w:lang w:val="en-US" w:eastAsia="ru-RU"/>
          </w:rPr>
          <w:t>https://www.ifrs.org/issued-standards/list-of-standards/ias-1-presentation-of-financial-statements/</w:t>
        </w:r>
      </w:hyperlink>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дата</w:t>
      </w:r>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обращения</w:t>
      </w:r>
      <w:r w:rsidRPr="00877DE5">
        <w:rPr>
          <w:rFonts w:ascii="Times New Roman" w:eastAsia="Times New Roman" w:hAnsi="Times New Roman" w:cs="Times New Roman"/>
          <w:sz w:val="21"/>
          <w:szCs w:val="20"/>
          <w:lang w:val="en-US" w:eastAsia="ru-RU"/>
        </w:rPr>
        <w:t xml:space="preserve"> 19.05.2025)].</w:t>
      </w:r>
    </w:p>
    <w:p w14:paraId="350B4B5A" w14:textId="77777777" w:rsidR="0008081B" w:rsidRPr="00877DE5" w:rsidRDefault="0008081B" w:rsidP="0008081B">
      <w:pPr>
        <w:spacing w:after="0" w:line="240" w:lineRule="auto"/>
        <w:ind w:firstLine="709"/>
        <w:jc w:val="both"/>
        <w:rPr>
          <w:rFonts w:ascii="Times New Roman" w:eastAsia="Aptos" w:hAnsi="Times New Roman" w:cs="Times New Roman"/>
          <w:kern w:val="2"/>
          <w:sz w:val="21"/>
          <w:szCs w:val="20"/>
          <w:lang w:val="en-US"/>
          <w14:ligatures w14:val="standardContextual"/>
        </w:rPr>
      </w:pPr>
    </w:p>
    <w:p w14:paraId="03A6A6BD" w14:textId="77777777" w:rsidR="0008081B" w:rsidRDefault="0008081B" w:rsidP="00FE688C">
      <w:pPr>
        <w:pStyle w:val="afc"/>
        <w:tabs>
          <w:tab w:val="left" w:pos="0"/>
        </w:tabs>
        <w:ind w:firstLine="709"/>
        <w:rPr>
          <w:rFonts w:eastAsia="Times New Roman" w:cs="Times New Roman"/>
          <w:lang w:val="x-none"/>
        </w:rPr>
      </w:pPr>
    </w:p>
    <w:p w14:paraId="064CE89E" w14:textId="77777777" w:rsidR="00FE688C" w:rsidRPr="00D66BFC" w:rsidRDefault="00FE688C" w:rsidP="0008081B">
      <w:pPr>
        <w:pStyle w:val="afc"/>
        <w:tabs>
          <w:tab w:val="left" w:pos="0"/>
        </w:tabs>
        <w:rPr>
          <w:rFonts w:ascii="10,5" w:eastAsia="Times New Roman" w:hAnsi="10,5" w:cs="Times New Roman"/>
          <w:b/>
          <w:lang w:val="ru-RU"/>
        </w:rPr>
      </w:pPr>
      <w:r w:rsidRPr="00D66BFC">
        <w:rPr>
          <w:rFonts w:ascii="10,5" w:eastAsia="Times New Roman" w:hAnsi="10,5" w:cs="Times New Roman"/>
          <w:b/>
          <w:lang w:val="ru-RU"/>
        </w:rPr>
        <w:t>УДК 36</w:t>
      </w:r>
    </w:p>
    <w:p w14:paraId="4F84A607" w14:textId="77777777" w:rsidR="00FE688C" w:rsidRPr="00D66BFC" w:rsidRDefault="00FE688C" w:rsidP="00FE688C">
      <w:pPr>
        <w:spacing w:after="0" w:line="240" w:lineRule="auto"/>
        <w:jc w:val="right"/>
        <w:rPr>
          <w:rFonts w:ascii="10,5" w:eastAsia="Calibri" w:hAnsi="10,5" w:cs="Times New Roman"/>
          <w:b/>
          <w:bCs/>
          <w:i/>
          <w:iCs/>
          <w:color w:val="000000"/>
          <w:sz w:val="21"/>
          <w:szCs w:val="21"/>
        </w:rPr>
      </w:pPr>
      <w:r w:rsidRPr="00D66BFC">
        <w:rPr>
          <w:rFonts w:ascii="10,5" w:eastAsia="Calibri" w:hAnsi="10,5" w:cs="Times New Roman"/>
          <w:b/>
          <w:bCs/>
          <w:i/>
          <w:iCs/>
          <w:color w:val="000000"/>
          <w:sz w:val="21"/>
          <w:szCs w:val="21"/>
        </w:rPr>
        <w:t xml:space="preserve">Андреева А.С. и Труфанова А.А., </w:t>
      </w:r>
    </w:p>
    <w:p w14:paraId="2EE22FF6"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 xml:space="preserve">студентки 3 курса </w:t>
      </w:r>
    </w:p>
    <w:p w14:paraId="3656CCE8"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Финансовый университет при Правительстве РФ</w:t>
      </w:r>
    </w:p>
    <w:p w14:paraId="3AFFA045"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(Краснодарский филиал)</w:t>
      </w:r>
    </w:p>
    <w:p w14:paraId="7BB4558C"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г. Краснодар, Россия</w:t>
      </w:r>
    </w:p>
    <w:p w14:paraId="5042DDEF"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lang w:val="en-US"/>
        </w:rPr>
        <w:t>e</w:t>
      </w:r>
      <w:r w:rsidRPr="00D66BFC">
        <w:rPr>
          <w:rFonts w:ascii="10,5" w:eastAsia="Calibri" w:hAnsi="10,5" w:cs="Times New Roman"/>
          <w:i/>
          <w:iCs/>
          <w:color w:val="000000"/>
          <w:sz w:val="21"/>
          <w:szCs w:val="21"/>
        </w:rPr>
        <w:t>-</w:t>
      </w:r>
      <w:r w:rsidRPr="00D66BFC">
        <w:rPr>
          <w:rFonts w:ascii="10,5" w:eastAsia="Calibri" w:hAnsi="10,5" w:cs="Times New Roman"/>
          <w:i/>
          <w:iCs/>
          <w:color w:val="000000"/>
          <w:sz w:val="21"/>
          <w:szCs w:val="21"/>
          <w:lang w:val="en-US"/>
        </w:rPr>
        <w:t>mail</w:t>
      </w:r>
      <w:r w:rsidRPr="00D66BFC">
        <w:rPr>
          <w:rFonts w:ascii="10,5" w:eastAsia="Calibri" w:hAnsi="10,5" w:cs="Times New Roman"/>
          <w:i/>
          <w:iCs/>
          <w:color w:val="000000"/>
          <w:sz w:val="21"/>
          <w:szCs w:val="21"/>
        </w:rPr>
        <w:t xml:space="preserve">: </w:t>
      </w:r>
      <w:hyperlink r:id="rId155" w:history="1">
        <w:r w:rsidRPr="00D66BFC">
          <w:rPr>
            <w:rFonts w:ascii="10,5" w:eastAsia="Calibri" w:hAnsi="10,5" w:cs="Times New Roman"/>
            <w:i/>
            <w:iCs/>
            <w:color w:val="000000"/>
            <w:sz w:val="21"/>
            <w:szCs w:val="21"/>
            <w:lang w:val="en-US"/>
          </w:rPr>
          <w:t>N</w:t>
        </w:r>
        <w:r w:rsidRPr="00D66BFC">
          <w:rPr>
            <w:rFonts w:ascii="10,5" w:eastAsia="Calibri" w:hAnsi="10,5" w:cs="Times New Roman"/>
            <w:i/>
            <w:iCs/>
            <w:color w:val="000000"/>
            <w:sz w:val="21"/>
            <w:szCs w:val="21"/>
          </w:rPr>
          <w:t>_</w:t>
        </w:r>
        <w:r w:rsidRPr="00D66BFC">
          <w:rPr>
            <w:rFonts w:ascii="10,5" w:eastAsia="Calibri" w:hAnsi="10,5" w:cs="Times New Roman"/>
            <w:i/>
            <w:iCs/>
            <w:color w:val="000000"/>
            <w:sz w:val="21"/>
            <w:szCs w:val="21"/>
            <w:lang w:val="en-US"/>
          </w:rPr>
          <w:t>Andreeva</w:t>
        </w:r>
        <w:r w:rsidRPr="00D66BFC">
          <w:rPr>
            <w:rFonts w:ascii="10,5" w:eastAsia="Calibri" w:hAnsi="10,5" w:cs="Times New Roman"/>
            <w:i/>
            <w:iCs/>
            <w:color w:val="000000"/>
            <w:sz w:val="21"/>
            <w:szCs w:val="21"/>
          </w:rPr>
          <w:t>30@</w:t>
        </w:r>
        <w:r w:rsidRPr="00D66BFC">
          <w:rPr>
            <w:rFonts w:ascii="10,5" w:eastAsia="Calibri" w:hAnsi="10,5" w:cs="Times New Roman"/>
            <w:i/>
            <w:iCs/>
            <w:color w:val="000000"/>
            <w:sz w:val="21"/>
            <w:szCs w:val="21"/>
            <w:lang w:val="en-US"/>
          </w:rPr>
          <w:t>mail</w:t>
        </w:r>
        <w:r w:rsidRPr="00D66BFC">
          <w:rPr>
            <w:rFonts w:ascii="10,5" w:eastAsia="Calibri" w:hAnsi="10,5" w:cs="Times New Roman"/>
            <w:i/>
            <w:iCs/>
            <w:color w:val="000000"/>
            <w:sz w:val="21"/>
            <w:szCs w:val="21"/>
          </w:rPr>
          <w:t>.</w:t>
        </w:r>
        <w:r w:rsidRPr="00D66BFC">
          <w:rPr>
            <w:rFonts w:ascii="10,5" w:eastAsia="Calibri" w:hAnsi="10,5" w:cs="Times New Roman"/>
            <w:i/>
            <w:iCs/>
            <w:color w:val="000000"/>
            <w:sz w:val="21"/>
            <w:szCs w:val="21"/>
            <w:lang w:val="en-US"/>
          </w:rPr>
          <w:t>ru</w:t>
        </w:r>
      </w:hyperlink>
      <w:r w:rsidRPr="00D66BFC">
        <w:rPr>
          <w:rFonts w:ascii="10,5" w:eastAsia="Calibri" w:hAnsi="10,5" w:cs="Times New Roman"/>
          <w:i/>
          <w:iCs/>
          <w:color w:val="000000"/>
          <w:sz w:val="21"/>
          <w:szCs w:val="21"/>
        </w:rPr>
        <w:t xml:space="preserve"> </w:t>
      </w:r>
    </w:p>
    <w:p w14:paraId="30490041" w14:textId="77777777" w:rsidR="00FE688C" w:rsidRPr="00D66BFC" w:rsidRDefault="00FE688C" w:rsidP="00FE688C">
      <w:pPr>
        <w:spacing w:after="0" w:line="240" w:lineRule="auto"/>
        <w:jc w:val="right"/>
        <w:rPr>
          <w:rFonts w:ascii="10,5" w:eastAsia="Calibri" w:hAnsi="10,5" w:cs="Times New Roman"/>
          <w:i/>
          <w:iCs/>
          <w:color w:val="000000"/>
          <w:sz w:val="21"/>
          <w:szCs w:val="21"/>
          <w:lang w:val="en-US"/>
        </w:rPr>
      </w:pPr>
      <w:r w:rsidRPr="00D66BFC">
        <w:rPr>
          <w:rFonts w:ascii="10,5" w:eastAsia="Calibri" w:hAnsi="10,5" w:cs="Times New Roman"/>
          <w:i/>
          <w:iCs/>
          <w:color w:val="000000"/>
          <w:sz w:val="21"/>
          <w:szCs w:val="21"/>
          <w:lang w:val="en-US"/>
        </w:rPr>
        <w:t xml:space="preserve">e-mail: </w:t>
      </w:r>
      <w:hyperlink r:id="rId156" w:history="1">
        <w:r w:rsidRPr="00D66BFC">
          <w:rPr>
            <w:rFonts w:ascii="10,5" w:eastAsia="Calibri" w:hAnsi="10,5" w:cs="Times New Roman"/>
            <w:i/>
            <w:iCs/>
            <w:color w:val="000000"/>
            <w:sz w:val="21"/>
            <w:szCs w:val="21"/>
            <w:lang w:val="en-US"/>
          </w:rPr>
          <w:t>trufanova.a2004@mail.ru</w:t>
        </w:r>
      </w:hyperlink>
      <w:r w:rsidRPr="00D66BFC">
        <w:rPr>
          <w:rFonts w:ascii="10,5" w:eastAsia="Calibri" w:hAnsi="10,5" w:cs="Times New Roman"/>
          <w:i/>
          <w:iCs/>
          <w:color w:val="000000"/>
          <w:sz w:val="21"/>
          <w:szCs w:val="21"/>
          <w:lang w:val="en-US"/>
        </w:rPr>
        <w:t xml:space="preserve"> </w:t>
      </w:r>
    </w:p>
    <w:p w14:paraId="7B9B7CB3" w14:textId="77777777" w:rsidR="00FE688C" w:rsidRPr="00D66BFC" w:rsidRDefault="00FE688C" w:rsidP="00FE688C">
      <w:pPr>
        <w:spacing w:after="0" w:line="240" w:lineRule="auto"/>
        <w:rPr>
          <w:rFonts w:ascii="10,5" w:eastAsia="Calibri" w:hAnsi="10,5" w:cs="Times New Roman"/>
          <w:i/>
          <w:iCs/>
          <w:color w:val="000000"/>
          <w:sz w:val="21"/>
          <w:szCs w:val="21"/>
          <w:lang w:val="en-US"/>
        </w:rPr>
      </w:pPr>
    </w:p>
    <w:p w14:paraId="170BDCFC" w14:textId="77777777" w:rsidR="00FE688C" w:rsidRPr="00D66BFC" w:rsidRDefault="00FE688C" w:rsidP="00FE688C">
      <w:pPr>
        <w:spacing w:after="0" w:line="240" w:lineRule="auto"/>
        <w:jc w:val="right"/>
        <w:rPr>
          <w:rFonts w:ascii="10,5" w:eastAsia="Calibri" w:hAnsi="10,5" w:cs="Times New Roman"/>
          <w:b/>
          <w:bCs/>
          <w:i/>
          <w:iCs/>
          <w:color w:val="000000"/>
          <w:sz w:val="21"/>
          <w:szCs w:val="21"/>
        </w:rPr>
      </w:pPr>
      <w:r w:rsidRPr="00D66BFC">
        <w:rPr>
          <w:rFonts w:ascii="10,5" w:eastAsia="Calibri" w:hAnsi="10,5" w:cs="Times New Roman"/>
          <w:b/>
          <w:bCs/>
          <w:i/>
          <w:iCs/>
          <w:color w:val="000000"/>
          <w:sz w:val="21"/>
          <w:szCs w:val="21"/>
        </w:rPr>
        <w:t>Научный руководитель:</w:t>
      </w:r>
    </w:p>
    <w:p w14:paraId="3D297010" w14:textId="77777777" w:rsidR="00FE688C" w:rsidRPr="00D66BFC" w:rsidRDefault="00FE688C" w:rsidP="00FE688C">
      <w:pPr>
        <w:spacing w:after="0" w:line="240" w:lineRule="auto"/>
        <w:jc w:val="right"/>
        <w:rPr>
          <w:rFonts w:ascii="10,5" w:eastAsia="Calibri" w:hAnsi="10,5" w:cs="Times New Roman"/>
          <w:b/>
          <w:bCs/>
          <w:i/>
          <w:iCs/>
          <w:color w:val="000000"/>
          <w:sz w:val="21"/>
          <w:szCs w:val="21"/>
        </w:rPr>
      </w:pPr>
      <w:r w:rsidRPr="00D66BFC">
        <w:rPr>
          <w:rFonts w:ascii="10,5" w:eastAsia="Calibri" w:hAnsi="10,5" w:cs="Times New Roman"/>
          <w:b/>
          <w:bCs/>
          <w:i/>
          <w:iCs/>
          <w:color w:val="000000"/>
          <w:sz w:val="21"/>
          <w:szCs w:val="21"/>
        </w:rPr>
        <w:t>Берлин С.И.,</w:t>
      </w:r>
    </w:p>
    <w:p w14:paraId="79BCD858"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Профессор кафедры «Экономика и финансы»</w:t>
      </w:r>
    </w:p>
    <w:p w14:paraId="5CC4B38F"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Финансовый университет при Правительстве РФ</w:t>
      </w:r>
    </w:p>
    <w:p w14:paraId="01295E14"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(Краснодарский филиал)</w:t>
      </w:r>
    </w:p>
    <w:p w14:paraId="2B0AD2AC"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г. Краснодар, Россия</w:t>
      </w:r>
    </w:p>
    <w:p w14:paraId="5940ED2C" w14:textId="77777777" w:rsidR="00FE688C" w:rsidRPr="00D66BFC" w:rsidRDefault="00FE688C" w:rsidP="00FE688C">
      <w:pPr>
        <w:spacing w:after="0" w:line="240" w:lineRule="auto"/>
        <w:jc w:val="right"/>
        <w:rPr>
          <w:rFonts w:ascii="10,5" w:eastAsia="Calibri" w:hAnsi="10,5" w:cs="Times New Roman"/>
          <w:i/>
          <w:iCs/>
          <w:color w:val="000000"/>
          <w:sz w:val="21"/>
          <w:szCs w:val="21"/>
        </w:rPr>
      </w:pPr>
      <w:r w:rsidRPr="00D66BFC">
        <w:rPr>
          <w:rFonts w:ascii="10,5" w:eastAsia="Calibri" w:hAnsi="10,5" w:cs="Times New Roman"/>
          <w:i/>
          <w:iCs/>
          <w:color w:val="000000"/>
          <w:sz w:val="21"/>
          <w:szCs w:val="21"/>
        </w:rPr>
        <w:t>е-</w:t>
      </w:r>
      <w:r w:rsidRPr="00D66BFC">
        <w:rPr>
          <w:rFonts w:ascii="10,5" w:eastAsia="Calibri" w:hAnsi="10,5" w:cs="Times New Roman"/>
          <w:i/>
          <w:iCs/>
          <w:color w:val="000000"/>
          <w:sz w:val="21"/>
          <w:szCs w:val="21"/>
          <w:lang w:val="en-US"/>
        </w:rPr>
        <w:t>mail</w:t>
      </w:r>
      <w:r w:rsidRPr="00D66BFC">
        <w:rPr>
          <w:rFonts w:ascii="10,5" w:eastAsia="Calibri" w:hAnsi="10,5" w:cs="Times New Roman"/>
          <w:i/>
          <w:iCs/>
          <w:color w:val="000000"/>
          <w:sz w:val="21"/>
          <w:szCs w:val="21"/>
        </w:rPr>
        <w:t xml:space="preserve">: </w:t>
      </w:r>
      <w:hyperlink r:id="rId157" w:history="1">
        <w:r w:rsidRPr="00D66BFC">
          <w:rPr>
            <w:rFonts w:ascii="10,5" w:eastAsia="Calibri" w:hAnsi="10,5" w:cs="Times New Roman"/>
            <w:i/>
            <w:iCs/>
            <w:color w:val="000000"/>
            <w:sz w:val="21"/>
            <w:szCs w:val="21"/>
            <w:lang w:val="en-US"/>
          </w:rPr>
          <w:t>SIBerlin</w:t>
        </w:r>
        <w:r w:rsidRPr="00D66BFC">
          <w:rPr>
            <w:rFonts w:ascii="10,5" w:eastAsia="Calibri" w:hAnsi="10,5" w:cs="Times New Roman"/>
            <w:i/>
            <w:iCs/>
            <w:color w:val="000000"/>
            <w:sz w:val="21"/>
            <w:szCs w:val="21"/>
          </w:rPr>
          <w:t>@</w:t>
        </w:r>
        <w:r w:rsidRPr="00D66BFC">
          <w:rPr>
            <w:rFonts w:ascii="10,5" w:eastAsia="Calibri" w:hAnsi="10,5" w:cs="Times New Roman"/>
            <w:i/>
            <w:iCs/>
            <w:color w:val="000000"/>
            <w:sz w:val="21"/>
            <w:szCs w:val="21"/>
            <w:lang w:val="en-US"/>
          </w:rPr>
          <w:t>fa</w:t>
        </w:r>
        <w:r w:rsidRPr="00D66BFC">
          <w:rPr>
            <w:rFonts w:ascii="10,5" w:eastAsia="Calibri" w:hAnsi="10,5" w:cs="Times New Roman"/>
            <w:i/>
            <w:iCs/>
            <w:color w:val="000000"/>
            <w:sz w:val="21"/>
            <w:szCs w:val="21"/>
          </w:rPr>
          <w:t>.</w:t>
        </w:r>
        <w:r w:rsidRPr="00D66BFC">
          <w:rPr>
            <w:rFonts w:ascii="10,5" w:eastAsia="Calibri" w:hAnsi="10,5" w:cs="Times New Roman"/>
            <w:i/>
            <w:iCs/>
            <w:color w:val="000000"/>
            <w:sz w:val="21"/>
            <w:szCs w:val="21"/>
            <w:lang w:val="en-US"/>
          </w:rPr>
          <w:t>ru</w:t>
        </w:r>
      </w:hyperlink>
      <w:r w:rsidRPr="00D66BFC">
        <w:rPr>
          <w:rFonts w:ascii="10,5" w:eastAsia="Calibri" w:hAnsi="10,5" w:cs="Times New Roman"/>
          <w:i/>
          <w:iCs/>
          <w:color w:val="000000"/>
          <w:sz w:val="21"/>
          <w:szCs w:val="21"/>
        </w:rPr>
        <w:t xml:space="preserve">   </w:t>
      </w:r>
    </w:p>
    <w:p w14:paraId="29E5C300" w14:textId="77777777" w:rsidR="00FE688C" w:rsidRPr="00D66BFC" w:rsidRDefault="00FE688C" w:rsidP="00B22211">
      <w:pPr>
        <w:spacing w:after="0" w:line="240" w:lineRule="auto"/>
        <w:ind w:right="105"/>
        <w:jc w:val="right"/>
        <w:rPr>
          <w:rFonts w:ascii="10,5" w:eastAsia="Calibri" w:hAnsi="10,5" w:cs="Times New Roman"/>
          <w:i/>
          <w:iCs/>
          <w:color w:val="000000"/>
          <w:sz w:val="21"/>
          <w:szCs w:val="21"/>
        </w:rPr>
      </w:pPr>
    </w:p>
    <w:p w14:paraId="6E769D35" w14:textId="77777777" w:rsidR="00FE688C" w:rsidRPr="00D66BFC" w:rsidRDefault="00FE688C" w:rsidP="00FE688C">
      <w:pPr>
        <w:spacing w:line="276" w:lineRule="auto"/>
        <w:jc w:val="center"/>
        <w:rPr>
          <w:rFonts w:ascii="10,5" w:eastAsia="Calibri" w:hAnsi="10,5" w:cs="Times New Roman"/>
          <w:b/>
          <w:color w:val="000000"/>
          <w:sz w:val="21"/>
          <w:szCs w:val="21"/>
        </w:rPr>
      </w:pPr>
      <w:r w:rsidRPr="00D66BFC">
        <w:rPr>
          <w:rFonts w:ascii="10,5" w:eastAsia="Calibri" w:hAnsi="10,5" w:cs="Times New Roman"/>
          <w:b/>
          <w:color w:val="000000"/>
          <w:sz w:val="21"/>
          <w:szCs w:val="21"/>
        </w:rPr>
        <w:t>Анализ развития страхования сельского хозяйства в России</w:t>
      </w:r>
    </w:p>
    <w:p w14:paraId="5779DBA9" w14:textId="77777777" w:rsidR="00FE688C" w:rsidRPr="00812FF7" w:rsidRDefault="00FE688C" w:rsidP="00FE688C">
      <w:pPr>
        <w:spacing w:after="0" w:line="240" w:lineRule="auto"/>
        <w:ind w:firstLine="708"/>
        <w:jc w:val="both"/>
        <w:rPr>
          <w:rFonts w:ascii="10,5" w:eastAsia="Calibri" w:hAnsi="10,5" w:cs="Times New Roman"/>
          <w:iCs/>
          <w:color w:val="000000"/>
          <w:sz w:val="21"/>
          <w:szCs w:val="21"/>
        </w:rPr>
      </w:pPr>
      <w:r w:rsidRPr="00812FF7">
        <w:rPr>
          <w:rFonts w:ascii="10,5" w:eastAsia="Calibri" w:hAnsi="10,5" w:cs="Times New Roman"/>
          <w:b/>
          <w:iCs/>
          <w:color w:val="000000"/>
          <w:sz w:val="21"/>
          <w:szCs w:val="21"/>
        </w:rPr>
        <w:t>Аннотация:</w:t>
      </w:r>
      <w:r w:rsidRPr="00812FF7">
        <w:rPr>
          <w:rFonts w:ascii="10,5" w:eastAsia="Calibri" w:hAnsi="10,5" w:cs="Times New Roman"/>
          <w:iCs/>
          <w:color w:val="000000"/>
          <w:sz w:val="21"/>
          <w:szCs w:val="21"/>
        </w:rPr>
        <w:t xml:space="preserve"> В статье проведен анализ страхования сельского хозяйства в России за 2019-2024гг., рассмотрены изменения ключевых показателей на протяжении указанного периода, дана оценка влиянию страхования на развитие отрасли и предложены пути дальнейшего повышения ее устойчивости.</w:t>
      </w:r>
    </w:p>
    <w:p w14:paraId="78ECC153" w14:textId="77777777" w:rsidR="00FE688C" w:rsidRPr="00812FF7" w:rsidRDefault="00FE688C" w:rsidP="00FE688C">
      <w:pPr>
        <w:spacing w:after="0" w:line="240" w:lineRule="auto"/>
        <w:ind w:firstLine="708"/>
        <w:jc w:val="both"/>
        <w:rPr>
          <w:rFonts w:ascii="10,5" w:eastAsia="Calibri" w:hAnsi="10,5" w:cs="Times New Roman"/>
          <w:iCs/>
          <w:color w:val="000000"/>
          <w:sz w:val="21"/>
          <w:szCs w:val="21"/>
        </w:rPr>
      </w:pPr>
      <w:r w:rsidRPr="00812FF7">
        <w:rPr>
          <w:rFonts w:ascii="10,5" w:eastAsia="Calibri" w:hAnsi="10,5" w:cs="Times New Roman"/>
          <w:b/>
          <w:iCs/>
          <w:color w:val="000000"/>
          <w:sz w:val="21"/>
          <w:szCs w:val="21"/>
        </w:rPr>
        <w:t>Ключевые слова:</w:t>
      </w:r>
      <w:r w:rsidRPr="00812FF7">
        <w:rPr>
          <w:rFonts w:ascii="10,5" w:eastAsia="Calibri" w:hAnsi="10,5" w:cs="Times New Roman"/>
          <w:iCs/>
          <w:color w:val="000000"/>
          <w:sz w:val="21"/>
          <w:szCs w:val="21"/>
        </w:rPr>
        <w:t xml:space="preserve"> сельское хозяйство; страхование; агрострахование; урожай; аграрий; посевы; государство.</w:t>
      </w:r>
    </w:p>
    <w:p w14:paraId="2DC192AD" w14:textId="77777777" w:rsidR="00FE688C" w:rsidRPr="00D66BFC" w:rsidRDefault="00FE688C" w:rsidP="00FE688C">
      <w:pPr>
        <w:spacing w:after="0" w:line="240" w:lineRule="auto"/>
        <w:jc w:val="both"/>
        <w:rPr>
          <w:rFonts w:ascii="10,5" w:eastAsia="Calibri" w:hAnsi="10,5" w:cs="Times New Roman"/>
          <w:i/>
          <w:color w:val="000000"/>
          <w:sz w:val="21"/>
          <w:szCs w:val="21"/>
        </w:rPr>
      </w:pPr>
    </w:p>
    <w:p w14:paraId="7624C4B2" w14:textId="77777777" w:rsidR="00FE688C" w:rsidRPr="00D66BFC" w:rsidRDefault="00FE688C" w:rsidP="00FE688C">
      <w:pPr>
        <w:spacing w:after="0" w:line="240" w:lineRule="auto"/>
        <w:jc w:val="right"/>
        <w:rPr>
          <w:rFonts w:ascii="10,5" w:eastAsia="Calibri" w:hAnsi="10,5" w:cs="Times New Roman"/>
          <w:b/>
          <w:i/>
          <w:color w:val="000000"/>
          <w:sz w:val="21"/>
          <w:szCs w:val="21"/>
          <w:lang w:val="en-US"/>
        </w:rPr>
      </w:pPr>
      <w:r w:rsidRPr="00D66BFC">
        <w:rPr>
          <w:rFonts w:ascii="10,5" w:eastAsia="Calibri" w:hAnsi="10,5" w:cs="Times New Roman"/>
          <w:b/>
          <w:i/>
          <w:color w:val="000000"/>
          <w:sz w:val="21"/>
          <w:szCs w:val="21"/>
          <w:lang w:val="en-US"/>
        </w:rPr>
        <w:t xml:space="preserve">Andreeva A.S. and Trufanova A.A., </w:t>
      </w:r>
    </w:p>
    <w:p w14:paraId="7B9AD64C"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 xml:space="preserve">3rd year students </w:t>
      </w:r>
    </w:p>
    <w:p w14:paraId="7E1C28B4"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lastRenderedPageBreak/>
        <w:t>Financial University under the Government of the Russian Federation</w:t>
      </w:r>
    </w:p>
    <w:p w14:paraId="19526E6A"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(Krasnodar branch)</w:t>
      </w:r>
    </w:p>
    <w:p w14:paraId="0A629714"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Krasnodar, Russia</w:t>
      </w:r>
    </w:p>
    <w:p w14:paraId="034A8115"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 xml:space="preserve">e-mail: </w:t>
      </w:r>
      <w:hyperlink r:id="rId158" w:history="1">
        <w:r w:rsidRPr="00D66BFC">
          <w:rPr>
            <w:rStyle w:val="aa"/>
            <w:rFonts w:ascii="10,5" w:eastAsia="Calibri" w:hAnsi="10,5" w:cs="Times New Roman"/>
            <w:i/>
            <w:sz w:val="21"/>
            <w:szCs w:val="21"/>
            <w:lang w:val="en-US"/>
          </w:rPr>
          <w:t>N_Andreeva30@mail.ru</w:t>
        </w:r>
      </w:hyperlink>
      <w:r w:rsidRPr="00D66BFC">
        <w:rPr>
          <w:rFonts w:ascii="10,5" w:eastAsia="Calibri" w:hAnsi="10,5" w:cs="Times New Roman"/>
          <w:i/>
          <w:color w:val="000000"/>
          <w:sz w:val="21"/>
          <w:szCs w:val="21"/>
          <w:lang w:val="en-US"/>
        </w:rPr>
        <w:t xml:space="preserve"> </w:t>
      </w:r>
    </w:p>
    <w:p w14:paraId="5C46B98D"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 xml:space="preserve">e-mail: </w:t>
      </w:r>
      <w:hyperlink r:id="rId159" w:history="1">
        <w:r w:rsidRPr="00D66BFC">
          <w:rPr>
            <w:rStyle w:val="aa"/>
            <w:rFonts w:ascii="10,5" w:eastAsia="Calibri" w:hAnsi="10,5" w:cs="Times New Roman"/>
            <w:i/>
            <w:sz w:val="21"/>
            <w:szCs w:val="21"/>
            <w:lang w:val="en-US"/>
          </w:rPr>
          <w:t>trufanova.a2004@mail.ru</w:t>
        </w:r>
      </w:hyperlink>
      <w:r w:rsidRPr="00D66BFC">
        <w:rPr>
          <w:rFonts w:ascii="10,5" w:eastAsia="Calibri" w:hAnsi="10,5" w:cs="Times New Roman"/>
          <w:i/>
          <w:color w:val="000000"/>
          <w:sz w:val="21"/>
          <w:szCs w:val="21"/>
          <w:lang w:val="en-US"/>
        </w:rPr>
        <w:t xml:space="preserve"> </w:t>
      </w:r>
    </w:p>
    <w:p w14:paraId="20493589"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p>
    <w:p w14:paraId="3397950C" w14:textId="77777777" w:rsidR="00FE688C" w:rsidRPr="00D66BFC" w:rsidRDefault="00FE688C" w:rsidP="00FE688C">
      <w:pPr>
        <w:spacing w:after="0" w:line="240" w:lineRule="auto"/>
        <w:jc w:val="right"/>
        <w:rPr>
          <w:rFonts w:ascii="10,5" w:eastAsia="Calibri" w:hAnsi="10,5" w:cs="Times New Roman"/>
          <w:b/>
          <w:i/>
          <w:color w:val="000000"/>
          <w:sz w:val="21"/>
          <w:szCs w:val="21"/>
          <w:lang w:val="en-US"/>
        </w:rPr>
      </w:pPr>
      <w:r w:rsidRPr="00D66BFC">
        <w:rPr>
          <w:rFonts w:ascii="10,5" w:eastAsia="Calibri" w:hAnsi="10,5" w:cs="Times New Roman"/>
          <w:b/>
          <w:i/>
          <w:color w:val="000000"/>
          <w:sz w:val="21"/>
          <w:szCs w:val="21"/>
          <w:lang w:val="en-US"/>
        </w:rPr>
        <w:t>Scientific adviser:</w:t>
      </w:r>
    </w:p>
    <w:p w14:paraId="593DC3C0" w14:textId="77777777" w:rsidR="00FE688C" w:rsidRPr="00D66BFC" w:rsidRDefault="00FE688C" w:rsidP="00FE688C">
      <w:pPr>
        <w:spacing w:after="0" w:line="240" w:lineRule="auto"/>
        <w:jc w:val="right"/>
        <w:rPr>
          <w:rFonts w:ascii="10,5" w:eastAsia="Calibri" w:hAnsi="10,5" w:cs="Times New Roman"/>
          <w:b/>
          <w:i/>
          <w:color w:val="000000"/>
          <w:sz w:val="21"/>
          <w:szCs w:val="21"/>
          <w:lang w:val="en-US"/>
        </w:rPr>
      </w:pPr>
      <w:r w:rsidRPr="00D66BFC">
        <w:rPr>
          <w:rFonts w:ascii="10,5" w:eastAsia="Calibri" w:hAnsi="10,5" w:cs="Times New Roman"/>
          <w:b/>
          <w:i/>
          <w:color w:val="000000"/>
          <w:sz w:val="21"/>
          <w:szCs w:val="21"/>
          <w:lang w:val="en-US"/>
        </w:rPr>
        <w:t>Berlin S.I.,</w:t>
      </w:r>
    </w:p>
    <w:p w14:paraId="318B8726"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Professor of the Department of Economics and Finance</w:t>
      </w:r>
    </w:p>
    <w:p w14:paraId="50CC93F2"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Financial University under the Government of the Russian Federation</w:t>
      </w:r>
    </w:p>
    <w:p w14:paraId="53548E45"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(Krasnodar branch)</w:t>
      </w:r>
    </w:p>
    <w:p w14:paraId="6DE2C15C"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Krasnodar, Russia</w:t>
      </w:r>
    </w:p>
    <w:p w14:paraId="2F20CD86"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r w:rsidRPr="00D66BFC">
        <w:rPr>
          <w:rFonts w:ascii="10,5" w:eastAsia="Calibri" w:hAnsi="10,5" w:cs="Times New Roman"/>
          <w:i/>
          <w:color w:val="000000"/>
          <w:sz w:val="21"/>
          <w:szCs w:val="21"/>
          <w:lang w:val="en-US"/>
        </w:rPr>
        <w:t xml:space="preserve">e-mail: </w:t>
      </w:r>
      <w:hyperlink r:id="rId160" w:history="1">
        <w:r w:rsidRPr="00D66BFC">
          <w:rPr>
            <w:rStyle w:val="aa"/>
            <w:rFonts w:ascii="10,5" w:eastAsia="Calibri" w:hAnsi="10,5" w:cs="Times New Roman"/>
            <w:i/>
            <w:sz w:val="21"/>
            <w:szCs w:val="21"/>
            <w:lang w:val="en-US"/>
          </w:rPr>
          <w:t>SIBerlin@fa.ru</w:t>
        </w:r>
      </w:hyperlink>
    </w:p>
    <w:p w14:paraId="18796520" w14:textId="77777777" w:rsidR="00FE688C" w:rsidRPr="00D66BFC" w:rsidRDefault="00FE688C" w:rsidP="00FE688C">
      <w:pPr>
        <w:spacing w:after="0" w:line="240" w:lineRule="auto"/>
        <w:jc w:val="right"/>
        <w:rPr>
          <w:rFonts w:ascii="10,5" w:eastAsia="Calibri" w:hAnsi="10,5" w:cs="Times New Roman"/>
          <w:i/>
          <w:color w:val="000000"/>
          <w:sz w:val="21"/>
          <w:szCs w:val="21"/>
          <w:lang w:val="en-US"/>
        </w:rPr>
      </w:pPr>
    </w:p>
    <w:p w14:paraId="04292F21" w14:textId="77777777" w:rsidR="00FE688C" w:rsidRPr="00D66BFC" w:rsidRDefault="00FE688C" w:rsidP="00FE688C">
      <w:pPr>
        <w:spacing w:line="276" w:lineRule="auto"/>
        <w:jc w:val="center"/>
        <w:rPr>
          <w:rFonts w:ascii="10,5" w:eastAsia="Calibri" w:hAnsi="10,5" w:cs="Times New Roman"/>
          <w:b/>
          <w:color w:val="000000"/>
          <w:sz w:val="21"/>
          <w:szCs w:val="21"/>
          <w:lang w:val="en-US"/>
        </w:rPr>
      </w:pPr>
      <w:r w:rsidRPr="00D66BFC">
        <w:rPr>
          <w:rFonts w:ascii="10,5" w:eastAsia="Calibri" w:hAnsi="10,5" w:cs="Times New Roman"/>
          <w:b/>
          <w:color w:val="000000"/>
          <w:sz w:val="21"/>
          <w:szCs w:val="21"/>
          <w:lang w:val="en-US"/>
        </w:rPr>
        <w:t>Analysis of the development of agricultural insurance in Russia</w:t>
      </w:r>
    </w:p>
    <w:p w14:paraId="3B01C8CD" w14:textId="77777777" w:rsidR="00FE688C" w:rsidRPr="00812FF7" w:rsidRDefault="00FE688C" w:rsidP="00FE688C">
      <w:pPr>
        <w:widowControl w:val="0"/>
        <w:tabs>
          <w:tab w:val="left" w:pos="573"/>
        </w:tabs>
        <w:suppressAutoHyphens/>
        <w:autoSpaceDN w:val="0"/>
        <w:spacing w:after="0" w:line="240" w:lineRule="auto"/>
        <w:jc w:val="both"/>
        <w:textAlignment w:val="baseline"/>
        <w:rPr>
          <w:rFonts w:ascii="10,5" w:eastAsia="Calibri" w:hAnsi="10,5" w:cs="Times New Roman"/>
          <w:b/>
          <w:iCs/>
          <w:color w:val="000000"/>
          <w:sz w:val="21"/>
          <w:szCs w:val="21"/>
          <w:lang w:val="en-US"/>
        </w:rPr>
      </w:pPr>
      <w:r w:rsidRPr="00D66BFC">
        <w:rPr>
          <w:rFonts w:ascii="10,5" w:eastAsia="Calibri" w:hAnsi="10,5" w:cs="Times New Roman"/>
          <w:b/>
          <w:i/>
          <w:color w:val="000000"/>
          <w:sz w:val="21"/>
          <w:szCs w:val="21"/>
          <w:lang w:val="en-US"/>
        </w:rPr>
        <w:tab/>
      </w:r>
      <w:r w:rsidRPr="00812FF7">
        <w:rPr>
          <w:rFonts w:ascii="10,5" w:eastAsia="Calibri" w:hAnsi="10,5" w:cs="Times New Roman"/>
          <w:b/>
          <w:iCs/>
          <w:color w:val="000000"/>
          <w:sz w:val="21"/>
          <w:szCs w:val="21"/>
          <w:lang w:val="en-US"/>
        </w:rPr>
        <w:t xml:space="preserve">Abstract: </w:t>
      </w:r>
      <w:r w:rsidRPr="00812FF7">
        <w:rPr>
          <w:rFonts w:ascii="10,5" w:eastAsia="Calibri" w:hAnsi="10,5" w:cs="Times New Roman"/>
          <w:iCs/>
          <w:color w:val="000000"/>
          <w:sz w:val="21"/>
          <w:szCs w:val="21"/>
          <w:lang w:val="en-US"/>
        </w:rPr>
        <w:t>The article analyzes agricultural insurance in Russia for 2019-2024, examines changes in crucial indicators during this period, assesses the impact of insurance on the development of the industry and suggests ways to further increasing its sustainability.</w:t>
      </w:r>
    </w:p>
    <w:p w14:paraId="4E8122B5" w14:textId="77777777" w:rsidR="00FE688C" w:rsidRPr="00812FF7" w:rsidRDefault="00FE688C" w:rsidP="00FE688C">
      <w:pPr>
        <w:widowControl w:val="0"/>
        <w:tabs>
          <w:tab w:val="left" w:pos="573"/>
        </w:tabs>
        <w:suppressAutoHyphens/>
        <w:autoSpaceDN w:val="0"/>
        <w:spacing w:after="0" w:line="240" w:lineRule="auto"/>
        <w:jc w:val="both"/>
        <w:textAlignment w:val="baseline"/>
        <w:rPr>
          <w:rFonts w:ascii="10,5" w:eastAsia="PT Astra Serif" w:hAnsi="10,5" w:cs="Times New Roman"/>
          <w:iCs/>
          <w:color w:val="000000"/>
          <w:kern w:val="3"/>
          <w:sz w:val="21"/>
          <w:szCs w:val="21"/>
          <w:lang w:val="en-US" w:eastAsia="ru-RU"/>
        </w:rPr>
      </w:pPr>
      <w:r w:rsidRPr="00812FF7">
        <w:rPr>
          <w:rFonts w:ascii="10,5" w:eastAsia="Calibri" w:hAnsi="10,5" w:cs="Times New Roman"/>
          <w:b/>
          <w:iCs/>
          <w:color w:val="000000"/>
          <w:sz w:val="21"/>
          <w:szCs w:val="21"/>
          <w:lang w:val="en-US"/>
        </w:rPr>
        <w:tab/>
        <w:t xml:space="preserve">Keywords: </w:t>
      </w:r>
      <w:r w:rsidRPr="00812FF7">
        <w:rPr>
          <w:rFonts w:ascii="10,5" w:eastAsia="Calibri" w:hAnsi="10,5" w:cs="Times New Roman"/>
          <w:iCs/>
          <w:color w:val="000000"/>
          <w:sz w:val="21"/>
          <w:szCs w:val="21"/>
          <w:lang w:val="en-US"/>
        </w:rPr>
        <w:t>agriculture; insurance; agricultural insurance; harvest; agrarian; crops; state.</w:t>
      </w:r>
      <w:r w:rsidRPr="00812FF7">
        <w:rPr>
          <w:rFonts w:ascii="10,5" w:eastAsia="PT Astra Serif" w:hAnsi="10,5" w:cs="Times New Roman"/>
          <w:iCs/>
          <w:color w:val="000000"/>
          <w:kern w:val="3"/>
          <w:sz w:val="21"/>
          <w:szCs w:val="21"/>
          <w:lang w:val="en-US" w:eastAsia="ru-RU"/>
        </w:rPr>
        <w:tab/>
      </w:r>
    </w:p>
    <w:p w14:paraId="4B1D6979"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val="en-US" w:eastAsia="ru-RU"/>
        </w:rPr>
      </w:pPr>
    </w:p>
    <w:p w14:paraId="42641A21"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val="en-US" w:eastAsia="ru-RU"/>
        </w:rPr>
        <w:tab/>
      </w:r>
      <w:r w:rsidRPr="00D66BFC">
        <w:rPr>
          <w:rFonts w:ascii="Times New Roman" w:eastAsia="PT Astra Serif" w:hAnsi="Times New Roman" w:cs="Times New Roman"/>
          <w:color w:val="000000"/>
          <w:kern w:val="3"/>
          <w:sz w:val="32"/>
          <w:szCs w:val="24"/>
          <w:lang w:eastAsia="ru-RU"/>
        </w:rPr>
        <w:t xml:space="preserve">В Российской Федерации сельское хозяйство является одной из важнейших сфер экономики. Оно обеспечивает население страны пищей и сырьем для производства различных товаров, а также влияет на положение государства на международной арене. Однако, будучи крайне зависимым от внешних факторов, сельское хозяйство подвержено множеству рисков. Частые природные катаклизмы, заболевания растений и животных, утрата и повреждения сельскохозяйственной техники и оборудования </w:t>
      </w:r>
      <w:r w:rsidRPr="00D66BFC">
        <w:rPr>
          <w:rFonts w:ascii="Times New Roman" w:eastAsia="Calibri" w:hAnsi="Times New Roman" w:cs="Times New Roman"/>
          <w:color w:val="000000"/>
          <w:sz w:val="32"/>
          <w:szCs w:val="21"/>
          <w:shd w:val="clear" w:color="auto" w:fill="FFFFFF"/>
        </w:rPr>
        <w:t>—</w:t>
      </w:r>
      <w:r w:rsidRPr="00D66BFC">
        <w:rPr>
          <w:rFonts w:ascii="Times New Roman" w:eastAsia="PT Astra Serif" w:hAnsi="Times New Roman" w:cs="Times New Roman"/>
          <w:color w:val="000000"/>
          <w:kern w:val="3"/>
          <w:sz w:val="32"/>
          <w:szCs w:val="24"/>
          <w:lang w:eastAsia="ru-RU"/>
        </w:rPr>
        <w:t xml:space="preserve"> все это снижает объемы производства, способствует повышению цен и нестабильности доходов фермеров и предприятий</w:t>
      </w:r>
      <w:r w:rsidRPr="00D66BFC">
        <w:rPr>
          <w:rFonts w:ascii="Times New Roman" w:eastAsia="PT Astra Serif" w:hAnsi="Times New Roman" w:cs="Times New Roman"/>
          <w:i/>
          <w:color w:val="000000"/>
          <w:kern w:val="3"/>
          <w:sz w:val="32"/>
          <w:szCs w:val="24"/>
          <w:lang w:eastAsia="ru-RU"/>
        </w:rPr>
        <w:t xml:space="preserve">, </w:t>
      </w:r>
      <w:r w:rsidRPr="00D66BFC">
        <w:rPr>
          <w:rFonts w:ascii="Times New Roman" w:eastAsia="PT Astra Serif" w:hAnsi="Times New Roman" w:cs="Times New Roman"/>
          <w:color w:val="000000"/>
          <w:kern w:val="3"/>
          <w:sz w:val="32"/>
          <w:szCs w:val="24"/>
          <w:lang w:eastAsia="ru-RU"/>
        </w:rPr>
        <w:t xml:space="preserve">затрудняет им процесс планирования и получения инвестиций, повышает риск их банкротства. </w:t>
      </w:r>
    </w:p>
    <w:p w14:paraId="154B2F4B"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Для борьбы с этими последствиями еще в XVIII-</w:t>
      </w:r>
      <w:r w:rsidRPr="00D66BFC">
        <w:rPr>
          <w:rFonts w:ascii="Times New Roman" w:eastAsia="PT Astra Serif" w:hAnsi="Times New Roman" w:cs="Times New Roman"/>
          <w:color w:val="000000"/>
          <w:kern w:val="3"/>
          <w:sz w:val="32"/>
          <w:szCs w:val="24"/>
          <w:lang w:val="en-US" w:eastAsia="ru-RU"/>
        </w:rPr>
        <w:t>XIX</w:t>
      </w:r>
      <w:r w:rsidRPr="00D66BFC">
        <w:rPr>
          <w:rFonts w:ascii="Times New Roman" w:eastAsia="PT Astra Serif" w:hAnsi="Times New Roman" w:cs="Times New Roman"/>
          <w:color w:val="000000"/>
          <w:kern w:val="3"/>
          <w:sz w:val="32"/>
          <w:szCs w:val="24"/>
          <w:lang w:eastAsia="ru-RU"/>
        </w:rPr>
        <w:t xml:space="preserve"> вв. начали появляться общества страхования посевов, защищавшие фермеров от последствий града. Постепенно перечень страховых рисков увеличивался и подобное страхование становилось все более востребованным.  </w:t>
      </w:r>
    </w:p>
    <w:p w14:paraId="006218C8"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Сегодня сельскохозяйственное страхование </w:t>
      </w:r>
      <w:r w:rsidRPr="00D66BFC">
        <w:rPr>
          <w:rFonts w:ascii="Times New Roman" w:eastAsia="Calibri" w:hAnsi="Times New Roman" w:cs="Times New Roman"/>
          <w:color w:val="000000"/>
          <w:sz w:val="32"/>
          <w:szCs w:val="21"/>
          <w:shd w:val="clear" w:color="auto" w:fill="FFFFFF"/>
        </w:rPr>
        <w:t>—</w:t>
      </w:r>
      <w:r w:rsidRPr="00D66BFC">
        <w:rPr>
          <w:rFonts w:ascii="Times New Roman" w:eastAsia="PT Astra Serif" w:hAnsi="Times New Roman" w:cs="Times New Roman"/>
          <w:color w:val="000000"/>
          <w:kern w:val="3"/>
          <w:sz w:val="32"/>
          <w:szCs w:val="24"/>
          <w:lang w:eastAsia="ru-RU"/>
        </w:rPr>
        <w:t xml:space="preserve"> это обособленная часть системы страхования, являющаяся совокупностью сельхозтоваропроизводителей и различных видов страховых компаний во взаимосвязи со страховым надзором в лице государства, а также экономических отношений, возникающих между ними по поводу страхования сельскохозяйственных рисков [1].  </w:t>
      </w:r>
    </w:p>
    <w:p w14:paraId="4E5D5D8A"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По данным Национального союза агростраховщиков и Банка России, представленным на рисунке 1, рынок страхования </w:t>
      </w:r>
      <w:r w:rsidRPr="00D66BFC">
        <w:rPr>
          <w:rFonts w:ascii="Times New Roman" w:eastAsia="PT Astra Serif" w:hAnsi="Times New Roman" w:cs="Times New Roman"/>
          <w:color w:val="000000"/>
          <w:kern w:val="3"/>
          <w:sz w:val="32"/>
          <w:szCs w:val="24"/>
          <w:lang w:eastAsia="ru-RU"/>
        </w:rPr>
        <w:lastRenderedPageBreak/>
        <w:t xml:space="preserve">сельскохозяйственных рисков ежегодно стабильно растет. За 6 лет объем страховой премии увеличился в 2,4 раза, достигнув в 2024 году 13,6 млрд рублей и продемонстрировав прирост в 5% по отношению к 2023 году. </w:t>
      </w:r>
    </w:p>
    <w:p w14:paraId="6EDA4967"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Во всем мире государство играет важную роль в системе сельскохозяйственного страхования, считая его финансирование ключевым инструментом государственного регулирования и развития агробизнеса. Стоит отметить, что именно страхование с господдержкой на протяжении рассматриваемого периода занимает наибольшую долю в объеме полученных премий (85-87%).</w:t>
      </w:r>
      <w:r w:rsidRPr="00D66BFC">
        <w:rPr>
          <w:rFonts w:ascii="Calibri" w:eastAsia="Calibri" w:hAnsi="Calibri" w:cs="Times New Roman"/>
          <w:color w:val="000000"/>
        </w:rPr>
        <w:t xml:space="preserve"> </w:t>
      </w:r>
      <w:r w:rsidRPr="00D66BFC">
        <w:rPr>
          <w:rFonts w:ascii="Times New Roman" w:eastAsia="PT Astra Serif" w:hAnsi="Times New Roman" w:cs="Times New Roman"/>
          <w:color w:val="000000"/>
          <w:kern w:val="3"/>
          <w:sz w:val="32"/>
          <w:szCs w:val="24"/>
          <w:lang w:eastAsia="ru-RU"/>
        </w:rPr>
        <w:t>Эксперты НСА считают, что, если рассматривать страхование без господдержки в целом, для сельхозпроизводителей оно является скорее вспомогательным вариантом, ведь основная его часть формируется благодаря страхованию дополнительных рисков: аграрии приобретают субсидируемые полисы, а также используют залоговое страхование сельхозживотных [2].</w:t>
      </w:r>
    </w:p>
    <w:p w14:paraId="473EED94"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4"/>
          <w:szCs w:val="24"/>
          <w:lang w:eastAsia="ru-RU"/>
        </w:rPr>
      </w:pPr>
    </w:p>
    <w:p w14:paraId="542D15AA"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Calibri" w:eastAsia="Calibri" w:hAnsi="Calibri" w:cs="Times New Roman"/>
          <w:noProof/>
          <w:color w:val="000000"/>
          <w:lang w:eastAsia="ru-RU"/>
        </w:rPr>
        <w:drawing>
          <wp:inline distT="0" distB="0" distL="0" distR="0" wp14:anchorId="6650C04B" wp14:editId="42EDE0D3">
            <wp:extent cx="6333565" cy="3980330"/>
            <wp:effectExtent l="0" t="0" r="0" b="1270"/>
            <wp:docPr id="316786347" name="Диаграмма 31678634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60A4FEDC"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 xml:space="preserve">Рисунок 1 </w:t>
      </w:r>
      <w:r w:rsidRPr="00D66BFC">
        <w:rPr>
          <w:rFonts w:ascii="Times New Roman" w:eastAsia="Calibri" w:hAnsi="Times New Roman" w:cs="Times New Roman"/>
          <w:color w:val="000000"/>
          <w:sz w:val="32"/>
          <w:szCs w:val="21"/>
          <w:shd w:val="clear" w:color="auto" w:fill="FFFFFF"/>
        </w:rPr>
        <w:t>—</w:t>
      </w:r>
      <w:r w:rsidRPr="00D66BFC">
        <w:rPr>
          <w:rFonts w:ascii="Arial" w:eastAsia="Calibri" w:hAnsi="Arial" w:cs="Arial"/>
          <w:color w:val="000000"/>
          <w:sz w:val="21"/>
          <w:szCs w:val="21"/>
          <w:shd w:val="clear" w:color="auto" w:fill="FFFFFF"/>
        </w:rPr>
        <w:t xml:space="preserve"> </w:t>
      </w:r>
      <w:r w:rsidRPr="00D66BFC">
        <w:rPr>
          <w:rFonts w:ascii="Times New Roman" w:eastAsia="PT Astra Serif" w:hAnsi="Times New Roman" w:cs="Times New Roman"/>
          <w:color w:val="000000"/>
          <w:kern w:val="3"/>
          <w:sz w:val="32"/>
          <w:szCs w:val="24"/>
          <w:lang w:eastAsia="ru-RU"/>
        </w:rPr>
        <w:t xml:space="preserve">Динамика объема премии по страхованию сельхозрисков в России 2019-2024гг., млрд руб. </w:t>
      </w:r>
    </w:p>
    <w:p w14:paraId="34D2318A"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7EC33905"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Анализ структуры рынка страхования сельхозрисков по объему премий, данные о котором представлены на рисунке 2, позволяет уверенно говорить о доминировании страхования урожая </w:t>
      </w:r>
      <w:r w:rsidRPr="00D66BFC">
        <w:rPr>
          <w:rFonts w:ascii="Times New Roman" w:eastAsia="PT Astra Serif" w:hAnsi="Times New Roman" w:cs="Times New Roman"/>
          <w:color w:val="000000"/>
          <w:kern w:val="3"/>
          <w:sz w:val="32"/>
          <w:szCs w:val="24"/>
          <w:lang w:eastAsia="ru-RU"/>
        </w:rPr>
        <w:lastRenderedPageBreak/>
        <w:t xml:space="preserve">сельскохозяйственных культур: объем полученных премий в этом сегменте почти вдвое превышает премии по страхованию сельхозживотных. </w:t>
      </w:r>
    </w:p>
    <w:p w14:paraId="226F765F"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Страхование товарного рыболовства, продемонстрировав внушительный рост премий в 2021 году, на протяжении следующих периодов сохранило их ежегодный объем в размере 300 млн руб. Страхование многолетних насаждений только в последние годы набрало достаточное распространение, однако многие аграрии придерживаются мнения, что программа страхования не соответствует их требованиям и ожиданиям.</w:t>
      </w:r>
    </w:p>
    <w:p w14:paraId="291CD03D"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Необходимо поддерживать все виды сельскохозяйственной деятельности, разрабатывая индивидуальные программы страхования для каждой, учитывая ее особенности и потребности страхователей.  </w:t>
      </w:r>
    </w:p>
    <w:p w14:paraId="516D70B4"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Calibri" w:eastAsia="Calibri" w:hAnsi="Calibri" w:cs="Times New Roman"/>
          <w:noProof/>
          <w:color w:val="000000"/>
          <w:lang w:eastAsia="ru-RU"/>
        </w:rPr>
        <w:drawing>
          <wp:inline distT="0" distB="0" distL="0" distR="0" wp14:anchorId="3AD6E7DA" wp14:editId="618970EF">
            <wp:extent cx="6427694" cy="4222377"/>
            <wp:effectExtent l="0" t="0" r="0" b="6985"/>
            <wp:docPr id="1502569563" name="Диаграмма 1502569563">
              <a:extLst xmlns:a="http://schemas.openxmlformats.org/drawingml/2006/main">
                <a:ext uri="{FF2B5EF4-FFF2-40B4-BE49-F238E27FC236}">
                  <a16:creationId xmlns:a16="http://schemas.microsoft.com/office/drawing/2014/main" id="{9B3BBD74-8644-4CE2-A331-0E9CAC088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6E897A3C"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 xml:space="preserve">Рисунок 2 </w:t>
      </w:r>
      <w:r w:rsidRPr="00D66BFC">
        <w:rPr>
          <w:rFonts w:ascii="Times New Roman" w:eastAsia="Calibri" w:hAnsi="Times New Roman" w:cs="Times New Roman"/>
          <w:color w:val="000000"/>
          <w:sz w:val="32"/>
          <w:szCs w:val="21"/>
          <w:shd w:val="clear" w:color="auto" w:fill="FFFFFF"/>
        </w:rPr>
        <w:t>—</w:t>
      </w:r>
      <w:r w:rsidRPr="00D66BFC">
        <w:rPr>
          <w:rFonts w:ascii="Arial" w:eastAsia="Calibri" w:hAnsi="Arial" w:cs="Arial"/>
          <w:color w:val="000000"/>
          <w:sz w:val="21"/>
          <w:szCs w:val="21"/>
          <w:shd w:val="clear" w:color="auto" w:fill="FFFFFF"/>
        </w:rPr>
        <w:t xml:space="preserve"> </w:t>
      </w:r>
      <w:r w:rsidRPr="00D66BFC">
        <w:rPr>
          <w:rFonts w:ascii="Times New Roman" w:eastAsia="PT Astra Serif" w:hAnsi="Times New Roman" w:cs="Times New Roman"/>
          <w:color w:val="000000"/>
          <w:kern w:val="3"/>
          <w:sz w:val="32"/>
          <w:szCs w:val="24"/>
          <w:lang w:eastAsia="ru-RU"/>
        </w:rPr>
        <w:t xml:space="preserve">Структура рынка страхования сельхозрисков в РФ </w:t>
      </w:r>
    </w:p>
    <w:p w14:paraId="2B234FA0"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(по объему премий) 2019-2023гг., млрд руб.</w:t>
      </w:r>
    </w:p>
    <w:p w14:paraId="04B28279"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4F440B29"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В отрасли АПК России реализовывается обширный перечень опасных явлений, относящихся как к зимнему, так и летнему периоду. В системе агрострахования с господдержкой были компенсированы выплаты аграриям 38 регионов по семи группам опасных явлений.</w:t>
      </w:r>
    </w:p>
    <w:p w14:paraId="006D0E5F"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Основными рисками в растениеводстве уже многие годы являются </w:t>
      </w:r>
      <w:r w:rsidRPr="00D66BFC">
        <w:rPr>
          <w:rFonts w:ascii="Times New Roman" w:eastAsia="PT Astra Serif" w:hAnsi="Times New Roman" w:cs="Times New Roman"/>
          <w:color w:val="000000"/>
          <w:kern w:val="3"/>
          <w:sz w:val="32"/>
          <w:szCs w:val="24"/>
          <w:lang w:eastAsia="ru-RU"/>
        </w:rPr>
        <w:lastRenderedPageBreak/>
        <w:t xml:space="preserve">заморозки и засухи. Так, в 2024 году порядка 34% объема страховых выплат по договорам с государственной поддержкой пришлось на гибель растений вследствие понижения температур. Суховеи, атмосферная и почвенная засухи составили 33%. Также существенную долю имеют: переувлажнение почвы </w:t>
      </w:r>
      <w:r w:rsidRPr="00D66BFC">
        <w:rPr>
          <w:rFonts w:ascii="Arial" w:eastAsia="Calibri" w:hAnsi="Arial" w:cs="Arial"/>
          <w:color w:val="000000"/>
          <w:sz w:val="21"/>
          <w:szCs w:val="21"/>
          <w:shd w:val="clear" w:color="auto" w:fill="FFFFFF"/>
        </w:rPr>
        <w:t>—</w:t>
      </w:r>
      <w:r w:rsidRPr="00D66BFC">
        <w:rPr>
          <w:rFonts w:ascii="Times New Roman" w:eastAsia="PT Astra Serif" w:hAnsi="Times New Roman" w:cs="Times New Roman"/>
          <w:color w:val="000000"/>
          <w:kern w:val="3"/>
          <w:sz w:val="32"/>
          <w:szCs w:val="24"/>
          <w:lang w:eastAsia="ru-RU"/>
        </w:rPr>
        <w:t xml:space="preserve"> около 19% и «штормовые» явления, такие как сильный ветер и град </w:t>
      </w:r>
      <w:r w:rsidRPr="00D66BFC">
        <w:rPr>
          <w:rFonts w:ascii="Arial" w:eastAsia="Calibri" w:hAnsi="Arial" w:cs="Arial"/>
          <w:color w:val="000000"/>
          <w:sz w:val="21"/>
          <w:szCs w:val="21"/>
          <w:shd w:val="clear" w:color="auto" w:fill="FFFFFF"/>
        </w:rPr>
        <w:t>—</w:t>
      </w:r>
      <w:r w:rsidRPr="00D66BFC">
        <w:rPr>
          <w:rFonts w:ascii="Times New Roman" w:eastAsia="PT Astra Serif" w:hAnsi="Times New Roman" w:cs="Times New Roman"/>
          <w:color w:val="000000"/>
          <w:kern w:val="3"/>
          <w:sz w:val="32"/>
          <w:szCs w:val="24"/>
          <w:lang w:eastAsia="ru-RU"/>
        </w:rPr>
        <w:t xml:space="preserve"> 11%. </w:t>
      </w:r>
    </w:p>
    <w:p w14:paraId="72CD0A41"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Были компенсированы убытки и от других явлений </w:t>
      </w:r>
      <w:r w:rsidRPr="00D66BFC">
        <w:rPr>
          <w:rFonts w:ascii="Times New Roman" w:eastAsia="Calibri" w:hAnsi="Times New Roman" w:cs="Times New Roman"/>
          <w:color w:val="000000"/>
          <w:sz w:val="32"/>
          <w:szCs w:val="21"/>
          <w:shd w:val="clear" w:color="auto" w:fill="FFFFFF"/>
        </w:rPr>
        <w:t>—</w:t>
      </w:r>
      <w:r w:rsidRPr="00D66BFC">
        <w:rPr>
          <w:rFonts w:ascii="Times New Roman" w:eastAsia="PT Astra Serif" w:hAnsi="Times New Roman" w:cs="Times New Roman"/>
          <w:color w:val="000000"/>
          <w:kern w:val="3"/>
          <w:sz w:val="32"/>
          <w:szCs w:val="24"/>
          <w:lang w:eastAsia="ru-RU"/>
        </w:rPr>
        <w:t xml:space="preserve"> например, ущерба, нанесенного вредителями, однако доля таких рисков незначительна. Для животноводства основным риском с ежегодной долей более 95% является распространение инфекционных заболеваний (рисунок 3). </w:t>
      </w:r>
    </w:p>
    <w:p w14:paraId="3F0F6536"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Calibri" w:eastAsia="Calibri" w:hAnsi="Calibri" w:cs="Times New Roman"/>
          <w:noProof/>
          <w:color w:val="000000"/>
          <w:lang w:eastAsia="ru-RU"/>
        </w:rPr>
        <w:drawing>
          <wp:inline distT="0" distB="0" distL="0" distR="0" wp14:anchorId="70BE5963" wp14:editId="51781FA1">
            <wp:extent cx="6225988" cy="3859306"/>
            <wp:effectExtent l="0" t="0" r="3810" b="8255"/>
            <wp:docPr id="13348358" name="Диаграмма 13348358">
              <a:extLst xmlns:a="http://schemas.openxmlformats.org/drawingml/2006/main">
                <a:ext uri="{FF2B5EF4-FFF2-40B4-BE49-F238E27FC236}">
                  <a16:creationId xmlns:a16="http://schemas.microsoft.com/office/drawing/2014/main" id="{BB83A8F6-977C-45E2-872E-AC05457EA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4CAAA8E6"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 xml:space="preserve">Рисунок 3 </w:t>
      </w:r>
      <w:r w:rsidRPr="00D66BFC">
        <w:rPr>
          <w:rFonts w:ascii="Times New Roman" w:eastAsia="Calibri" w:hAnsi="Times New Roman" w:cs="Times New Roman"/>
          <w:color w:val="000000"/>
          <w:sz w:val="32"/>
          <w:szCs w:val="21"/>
          <w:shd w:val="clear" w:color="auto" w:fill="FFFFFF"/>
        </w:rPr>
        <w:t>—</w:t>
      </w:r>
      <w:r w:rsidRPr="00D66BFC">
        <w:rPr>
          <w:rFonts w:ascii="Arial" w:eastAsia="Calibri" w:hAnsi="Arial" w:cs="Arial"/>
          <w:color w:val="000000"/>
          <w:sz w:val="21"/>
          <w:szCs w:val="21"/>
          <w:shd w:val="clear" w:color="auto" w:fill="FFFFFF"/>
        </w:rPr>
        <w:t xml:space="preserve"> </w:t>
      </w:r>
      <w:r w:rsidRPr="00D66BFC">
        <w:rPr>
          <w:rFonts w:ascii="Times New Roman" w:eastAsia="PT Astra Serif" w:hAnsi="Times New Roman" w:cs="Times New Roman"/>
          <w:color w:val="000000"/>
          <w:kern w:val="3"/>
          <w:sz w:val="32"/>
          <w:szCs w:val="24"/>
          <w:lang w:eastAsia="ru-RU"/>
        </w:rPr>
        <w:t xml:space="preserve">Распределение выплат по страхованию с/х культур </w:t>
      </w:r>
    </w:p>
    <w:p w14:paraId="4A1E690E"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на условиях господдержки по видам рисков в 2024 году</w:t>
      </w:r>
    </w:p>
    <w:p w14:paraId="0BB10E56"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227FC153"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1A285CF4"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Стоит отметить, что 2024 год отличался высокой частотой природных аномалий: режим чрезвычайной ситуации в связи с явлениями, затронувшими АПК, был объявлен 34 раза в 27 регионах. Сезон сельского хозяйства начался с паводков в Поволжье, на Урале и в Сибири, европейская часть России уже в апреле ощутила аномально теплую погоду, спровоцировавшую преждевременное развитие сельхозкультур. В мае, следом за потеплением, наступили резкие </w:t>
      </w:r>
      <w:r w:rsidRPr="00D66BFC">
        <w:rPr>
          <w:rFonts w:ascii="Times New Roman" w:eastAsia="PT Astra Serif" w:hAnsi="Times New Roman" w:cs="Times New Roman"/>
          <w:color w:val="000000"/>
          <w:kern w:val="3"/>
          <w:sz w:val="32"/>
          <w:szCs w:val="24"/>
          <w:lang w:eastAsia="ru-RU"/>
        </w:rPr>
        <w:lastRenderedPageBreak/>
        <w:t xml:space="preserve">заморозки.  В это время в южных регионах засухи и циклоны с градом также уничтожали часть сельскохозяйственных культур. Последствия такого объема страховых случаев продемонстрированы на рисунке 4. </w:t>
      </w:r>
    </w:p>
    <w:p w14:paraId="1982C147"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Так, именно минувший год стал самым неблагоприятным для страховых компаний: на выплаты фермерам и предприятиям было потрачено порядка 8,8 млрд рублей, что почти в два раза превышает сумму, выплаченную в 2023 году. Исходя из данных за первые 2 месяца текущего года, можно с уверенностью говорить о внушительных объемах будущих годовых страховых выплат. </w:t>
      </w:r>
    </w:p>
    <w:p w14:paraId="483D82F4"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Calibri" w:eastAsia="Calibri" w:hAnsi="Calibri" w:cs="Times New Roman"/>
          <w:noProof/>
          <w:color w:val="000000"/>
          <w:lang w:eastAsia="ru-RU"/>
        </w:rPr>
        <w:drawing>
          <wp:inline distT="0" distB="0" distL="0" distR="0" wp14:anchorId="0862364A" wp14:editId="3AC95D58">
            <wp:extent cx="6421120" cy="3713480"/>
            <wp:effectExtent l="0" t="0" r="0" b="1270"/>
            <wp:docPr id="1315869591" name="Диаграмма 1315869591">
              <a:extLst xmlns:a="http://schemas.openxmlformats.org/drawingml/2006/main">
                <a:ext uri="{FF2B5EF4-FFF2-40B4-BE49-F238E27FC236}">
                  <a16:creationId xmlns:a16="http://schemas.microsoft.com/office/drawing/2014/main" id="{A1EDB32D-0DA9-4D88-AC67-CB13A2105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7AD5B363" w14:textId="77777777" w:rsidR="00FE688C" w:rsidRPr="00D66BFC" w:rsidRDefault="00FE688C" w:rsidP="00FE688C">
      <w:pPr>
        <w:widowControl w:val="0"/>
        <w:tabs>
          <w:tab w:val="left" w:pos="573"/>
        </w:tabs>
        <w:suppressAutoHyphens/>
        <w:autoSpaceDN w:val="0"/>
        <w:spacing w:after="0" w:line="240" w:lineRule="auto"/>
        <w:jc w:val="center"/>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 xml:space="preserve">Рисунок 4 </w:t>
      </w:r>
      <w:r w:rsidRPr="00D66BFC">
        <w:rPr>
          <w:rFonts w:ascii="Times New Roman" w:eastAsia="Calibri" w:hAnsi="Times New Roman" w:cs="Times New Roman"/>
          <w:color w:val="000000"/>
          <w:sz w:val="32"/>
          <w:szCs w:val="21"/>
          <w:shd w:val="clear" w:color="auto" w:fill="FFFFFF"/>
        </w:rPr>
        <w:t>—</w:t>
      </w:r>
      <w:r w:rsidRPr="00D66BFC">
        <w:rPr>
          <w:rFonts w:ascii="Arial" w:eastAsia="Calibri" w:hAnsi="Arial" w:cs="Arial"/>
          <w:color w:val="000000"/>
          <w:sz w:val="21"/>
          <w:szCs w:val="21"/>
          <w:shd w:val="clear" w:color="auto" w:fill="FFFFFF"/>
        </w:rPr>
        <w:t xml:space="preserve"> </w:t>
      </w:r>
      <w:r w:rsidRPr="00D66BFC">
        <w:rPr>
          <w:rFonts w:ascii="Times New Roman" w:eastAsia="PT Astra Serif" w:hAnsi="Times New Roman" w:cs="Times New Roman"/>
          <w:color w:val="000000"/>
          <w:kern w:val="3"/>
          <w:sz w:val="32"/>
          <w:szCs w:val="24"/>
          <w:lang w:eastAsia="ru-RU"/>
        </w:rPr>
        <w:t>Динамика страховых выплат 2019-2025гг. в млрд руб.</w:t>
      </w:r>
    </w:p>
    <w:p w14:paraId="734FDA9E"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5982D0C4"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Несмотря на активный рост показателей агрострахования за последние несколько лет, необходимо отметить существенные недостатки данной системы. Так, наиболее весомой из них является высокая стоимость страховых полисов. Известно, что сельское хозяйство характеризуется низкой рентабельностью, в связи с чем многие фермеры малых и средних предприятий просто не могут позволить себе страхование. Также стоит отметить, что некоторые аграрии в целом недостаточно осведомлены о страховых продуктах, порядке регистрации и объеме выплат, вследствие чего они недополучают необходимые компенсации.   </w:t>
      </w:r>
    </w:p>
    <w:p w14:paraId="0A8FC24D"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Сельское хозяйство отличается сложностью в определении объема возможных рисков, страховой стоимости и размера утраты урожая </w:t>
      </w:r>
      <w:r w:rsidRPr="00D66BFC">
        <w:rPr>
          <w:rFonts w:ascii="Times New Roman" w:eastAsia="PT Astra Serif" w:hAnsi="Times New Roman" w:cs="Times New Roman"/>
          <w:color w:val="000000"/>
          <w:kern w:val="3"/>
          <w:sz w:val="32"/>
          <w:szCs w:val="24"/>
          <w:lang w:eastAsia="ru-RU"/>
        </w:rPr>
        <w:lastRenderedPageBreak/>
        <w:t xml:space="preserve">ввиду его зависимости от множества труднопрогнозируемых факторов: погодных условий, болезней, чрезвычайных ситуаций природного характера и многих других неподконтрольных человеку событий. Сложность методик оценки ущерба позволяет аграриям использовать мошеннические схемы и намеренно создавать условия для наступления страховых случаев. </w:t>
      </w:r>
    </w:p>
    <w:p w14:paraId="481DC84F"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В то же время существует определенная сложность с получением выплат: зачастую аграрии не способны доказать наступление реального страхового случая, например, из-за отсутствия сертифицированной метеостанции на месте посевов или некорректно работающих приборов. Все это подрывает доверие как настоящих, так и будущих страхователей. </w:t>
      </w:r>
    </w:p>
    <w:p w14:paraId="399A4B5A"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Для решения описанных проблем Министерство сельского хозяйство продолжает активно развивать программу поддержки агрострахования. Так, с 1 сентября 2025 года начнут действовать изменения в системе страхования сельского хозяйства с государственной поддержкой, нацеленные на повышения привлекательности страхования для аграриев. Среди нововведений стоит выделить снижение максимального размера франшизы по договорам страхования посадок и урожая сельхозкультур с 50 до 30% от страховой суммы. Это изменение поспособствует увеличению размера страхового возмещения по договорам с высокой франшизой. Страхование животноводства планируется дополнить новыми страховыми событиями, такими как изъятие животных, половодье и паводок [4]. </w:t>
      </w:r>
    </w:p>
    <w:p w14:paraId="6F498E90"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PT Astra Serif" w:hAnsi="Times New Roman" w:cs="Times New Roman"/>
          <w:color w:val="000000"/>
          <w:kern w:val="3"/>
          <w:sz w:val="32"/>
          <w:szCs w:val="24"/>
          <w:lang w:eastAsia="ru-RU"/>
        </w:rPr>
        <w:tab/>
        <w:t xml:space="preserve">Изменится методика определения страховой стоимости и размера утраты урожая сельскохоз культур и посадок многолетних насаждений. Аграриям будет предложен новый порядок расчета размера страховой стоимости урожая фруктов и ягод, который будет учитывать технологию возделывания сельхозкультур и качество самих плодов. Страхование урожая и насаждений затронет еще одно изменение </w:t>
      </w:r>
      <w:r w:rsidRPr="00D66BFC">
        <w:rPr>
          <w:rFonts w:ascii="Times New Roman" w:eastAsia="Calibri" w:hAnsi="Times New Roman" w:cs="Times New Roman"/>
          <w:color w:val="000000"/>
          <w:sz w:val="32"/>
          <w:szCs w:val="21"/>
          <w:shd w:val="clear" w:color="auto" w:fill="FFFFFF"/>
        </w:rPr>
        <w:t>—</w:t>
      </w:r>
      <w:r w:rsidRPr="00D66BFC">
        <w:rPr>
          <w:rFonts w:ascii="Arial" w:eastAsia="Calibri" w:hAnsi="Arial" w:cs="Arial"/>
          <w:color w:val="000000"/>
          <w:sz w:val="21"/>
          <w:szCs w:val="21"/>
          <w:shd w:val="clear" w:color="auto" w:fill="FFFFFF"/>
        </w:rPr>
        <w:t xml:space="preserve"> </w:t>
      </w:r>
      <w:r w:rsidRPr="00D66BFC">
        <w:rPr>
          <w:rFonts w:ascii="Times New Roman" w:eastAsia="PT Astra Serif" w:hAnsi="Times New Roman" w:cs="Times New Roman"/>
          <w:color w:val="000000"/>
          <w:kern w:val="3"/>
          <w:sz w:val="32"/>
          <w:szCs w:val="24"/>
          <w:lang w:eastAsia="ru-RU"/>
        </w:rPr>
        <w:t xml:space="preserve">будет сокращено количество документов для урегулирования убытков и уменьшен срок осуществления страховых выплат. Для некоторых рисков, связанных с погодными явлениями, предлагается исключить требование о предоставлении справки Росгидромета, что, несомненно, упростит процесс выплаты средств за наступление подобных страховых случаев. </w:t>
      </w:r>
    </w:p>
    <w:p w14:paraId="73EF2677"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Calibri" w:hAnsi="Times New Roman" w:cs="Times New Roman"/>
          <w:color w:val="000000"/>
          <w:sz w:val="32"/>
          <w:szCs w:val="21"/>
          <w:shd w:val="clear" w:color="auto" w:fill="FFFFFF"/>
        </w:rPr>
      </w:pPr>
      <w:r w:rsidRPr="00D66BFC">
        <w:rPr>
          <w:rFonts w:ascii="Times New Roman" w:eastAsia="PT Astra Serif" w:hAnsi="Times New Roman" w:cs="Times New Roman"/>
          <w:color w:val="000000"/>
          <w:kern w:val="3"/>
          <w:sz w:val="32"/>
          <w:szCs w:val="24"/>
          <w:lang w:eastAsia="ru-RU"/>
        </w:rPr>
        <w:tab/>
        <w:t xml:space="preserve">Активные действия и поддержка государством агрострахования, несомненно, является важным шагом на пути развития сельского </w:t>
      </w:r>
      <w:r w:rsidRPr="00D66BFC">
        <w:rPr>
          <w:rFonts w:ascii="Times New Roman" w:eastAsia="PT Astra Serif" w:hAnsi="Times New Roman" w:cs="Times New Roman"/>
          <w:color w:val="000000"/>
          <w:kern w:val="3"/>
          <w:sz w:val="32"/>
          <w:szCs w:val="24"/>
          <w:lang w:eastAsia="ru-RU"/>
        </w:rPr>
        <w:lastRenderedPageBreak/>
        <w:t xml:space="preserve">хозяйства </w:t>
      </w:r>
      <w:r w:rsidRPr="00D66BFC">
        <w:rPr>
          <w:rFonts w:ascii="Times New Roman" w:eastAsia="Calibri" w:hAnsi="Times New Roman" w:cs="Times New Roman"/>
          <w:color w:val="000000"/>
          <w:sz w:val="32"/>
          <w:szCs w:val="21"/>
          <w:shd w:val="clear" w:color="auto" w:fill="FFFFFF"/>
        </w:rPr>
        <w:t>— наиважнейшей отрасли в экономике России. Страхование способствует обеспечению непрерывности и бесперебойности производственного процесса, поддержанию стабильности доходов сельскохозяйственных производителей.</w:t>
      </w:r>
    </w:p>
    <w:p w14:paraId="38A3A2AF"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r w:rsidRPr="00D66BFC">
        <w:rPr>
          <w:rFonts w:ascii="Times New Roman" w:eastAsia="Calibri" w:hAnsi="Times New Roman" w:cs="Times New Roman"/>
          <w:color w:val="000000"/>
          <w:sz w:val="32"/>
          <w:szCs w:val="21"/>
          <w:shd w:val="clear" w:color="auto" w:fill="FFFFFF"/>
        </w:rPr>
        <w:tab/>
        <w:t>Однако для выполнения агрострахованием своих функций необходимо качественно и оперативно решать проблемы, связанные с процессом регистрации страхователей и их осведомленностью о страховых продуктах, вносить поправки в методологии оценки ущерба и объема выплат, создавать более доступные условия для получения страхового полиса наиболее уязвленным категориям страхователей —маленьким и средним предприятиям, фермерам. Важным шагом их поддержки может стать развитие совместного сельскохозяйственного страхования — создание кооперативных страховых программ, в которых соседствующие фермеры будут способны объединяться для снижения индивидуальных затрат и, тем самым, расширять объемы застрахованных площадей. Только компромиссы между государством, страховыми компаниями, крупными аграриями и небольшими фермерами способны укрепить доверие страхователей, повысить устойчивость отрасли и обеспечить продовольственную безопасность нашей страны.</w:t>
      </w:r>
    </w:p>
    <w:p w14:paraId="78A4EC5C" w14:textId="77777777" w:rsidR="00FE688C" w:rsidRPr="00D66BFC" w:rsidRDefault="00FE688C" w:rsidP="00FE688C">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32"/>
          <w:szCs w:val="24"/>
          <w:lang w:eastAsia="ru-RU"/>
        </w:rPr>
      </w:pPr>
    </w:p>
    <w:p w14:paraId="6A0C8EFD" w14:textId="77777777" w:rsidR="00FE688C" w:rsidRPr="00D66BFC" w:rsidRDefault="00FE688C" w:rsidP="00FE688C">
      <w:pPr>
        <w:widowControl w:val="0"/>
        <w:tabs>
          <w:tab w:val="left" w:pos="573"/>
        </w:tabs>
        <w:suppressAutoHyphens/>
        <w:autoSpaceDN w:val="0"/>
        <w:spacing w:after="0" w:line="240" w:lineRule="auto"/>
        <w:ind w:firstLine="573"/>
        <w:jc w:val="center"/>
        <w:textAlignment w:val="baseline"/>
        <w:rPr>
          <w:rFonts w:ascii="Times New Roman" w:eastAsia="PT Astra Serif" w:hAnsi="Times New Roman" w:cs="Times New Roman"/>
          <w:b/>
          <w:color w:val="000000"/>
          <w:kern w:val="3"/>
          <w:sz w:val="21"/>
          <w:szCs w:val="21"/>
          <w:lang w:eastAsia="ru-RU"/>
        </w:rPr>
      </w:pPr>
      <w:r w:rsidRPr="00D66BFC">
        <w:rPr>
          <w:rFonts w:ascii="Times New Roman" w:eastAsia="PT Astra Serif" w:hAnsi="Times New Roman" w:cs="Times New Roman"/>
          <w:b/>
          <w:color w:val="000000"/>
          <w:kern w:val="3"/>
          <w:sz w:val="21"/>
          <w:szCs w:val="21"/>
          <w:lang w:eastAsia="ru-RU"/>
        </w:rPr>
        <w:t>Литература:</w:t>
      </w:r>
    </w:p>
    <w:p w14:paraId="7ED66CA1" w14:textId="77777777" w:rsidR="00FE688C" w:rsidRPr="00D66BFC" w:rsidRDefault="00FE688C" w:rsidP="00812FF7">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21"/>
          <w:szCs w:val="21"/>
          <w:lang w:eastAsia="ru-RU"/>
        </w:rPr>
      </w:pPr>
      <w:r w:rsidRPr="00D66BFC">
        <w:rPr>
          <w:rFonts w:ascii="Times New Roman" w:eastAsia="PT Astra Serif" w:hAnsi="Times New Roman" w:cs="Times New Roman"/>
          <w:color w:val="000000"/>
          <w:kern w:val="3"/>
          <w:sz w:val="21"/>
          <w:szCs w:val="21"/>
          <w:lang w:eastAsia="ru-RU"/>
        </w:rPr>
        <w:t>1. Кабирова А.С. Сельскохозяйственное страхование: анализ современного состояния в России и перспективы его развития // Экономика: вчера, сегодня, завтра. 2019. Том 9. № 1А. С. 396 – 403.</w:t>
      </w:r>
    </w:p>
    <w:p w14:paraId="03124BD6" w14:textId="77777777" w:rsidR="00FE688C" w:rsidRPr="00D66BFC" w:rsidRDefault="00FE688C" w:rsidP="00812FF7">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21"/>
          <w:szCs w:val="21"/>
          <w:lang w:eastAsia="ru-RU"/>
        </w:rPr>
      </w:pPr>
      <w:r w:rsidRPr="00D66BFC">
        <w:rPr>
          <w:rFonts w:ascii="Times New Roman" w:eastAsia="PT Astra Serif" w:hAnsi="Times New Roman" w:cs="Times New Roman"/>
          <w:color w:val="000000"/>
          <w:kern w:val="3"/>
          <w:sz w:val="21"/>
          <w:szCs w:val="21"/>
          <w:lang w:eastAsia="ru-RU"/>
        </w:rPr>
        <w:t xml:space="preserve">2. Национальный союз агростраховщиков [Информационный ресурс] </w:t>
      </w:r>
      <w:hyperlink r:id="rId165" w:history="1">
        <w:r w:rsidRPr="00D66BFC">
          <w:rPr>
            <w:rFonts w:ascii="Times New Roman" w:eastAsia="PT Astra Serif" w:hAnsi="Times New Roman" w:cs="Times New Roman"/>
            <w:color w:val="000000"/>
            <w:kern w:val="3"/>
            <w:sz w:val="21"/>
            <w:szCs w:val="21"/>
            <w:u w:val="single"/>
            <w:lang w:eastAsia="ru-RU"/>
          </w:rPr>
          <w:t>https://naai.ru/</w:t>
        </w:r>
      </w:hyperlink>
    </w:p>
    <w:p w14:paraId="6FF40138" w14:textId="77777777" w:rsidR="00FE688C" w:rsidRPr="00D66BFC" w:rsidRDefault="00FE688C" w:rsidP="00812FF7">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21"/>
          <w:szCs w:val="21"/>
          <w:lang w:eastAsia="ru-RU"/>
        </w:rPr>
      </w:pPr>
      <w:r w:rsidRPr="00D66BFC">
        <w:rPr>
          <w:rFonts w:ascii="Times New Roman" w:eastAsia="PT Astra Serif" w:hAnsi="Times New Roman" w:cs="Times New Roman"/>
          <w:color w:val="000000"/>
          <w:kern w:val="3"/>
          <w:sz w:val="21"/>
          <w:szCs w:val="21"/>
          <w:lang w:eastAsia="ru-RU"/>
        </w:rPr>
        <w:t>3. Шуднева Е.Н. Состояние рынка агрострахования в России: проблемы и пути развития // Учет, анализ и аудит: Проблемы теории и практики, 2022. С. 210-215</w:t>
      </w:r>
    </w:p>
    <w:p w14:paraId="7EDFAF30" w14:textId="77777777" w:rsidR="00FE688C" w:rsidRPr="00EF2F67" w:rsidRDefault="00FE688C" w:rsidP="00812FF7">
      <w:pPr>
        <w:widowControl w:val="0"/>
        <w:tabs>
          <w:tab w:val="left" w:pos="573"/>
        </w:tabs>
        <w:suppressAutoHyphens/>
        <w:autoSpaceDN w:val="0"/>
        <w:spacing w:after="0" w:line="240" w:lineRule="auto"/>
        <w:jc w:val="both"/>
        <w:textAlignment w:val="baseline"/>
        <w:rPr>
          <w:rFonts w:ascii="Times New Roman" w:eastAsia="PT Astra Serif" w:hAnsi="Times New Roman" w:cs="Times New Roman"/>
          <w:color w:val="000000"/>
          <w:kern w:val="3"/>
          <w:sz w:val="21"/>
          <w:szCs w:val="21"/>
          <w:lang w:eastAsia="ru-RU"/>
        </w:rPr>
      </w:pPr>
      <w:r w:rsidRPr="00D66BFC">
        <w:rPr>
          <w:rFonts w:ascii="Times New Roman" w:eastAsia="PT Astra Serif" w:hAnsi="Times New Roman" w:cs="Times New Roman"/>
          <w:color w:val="000000"/>
          <w:kern w:val="3"/>
          <w:sz w:val="21"/>
          <w:szCs w:val="21"/>
          <w:lang w:eastAsia="ru-RU"/>
        </w:rPr>
        <w:t xml:space="preserve">4. Министерство сельского хозяйства и продовольствия Смоленской области [Информационный ресурс] </w:t>
      </w:r>
      <w:hyperlink r:id="rId166" w:history="1">
        <w:r w:rsidRPr="00D66BFC">
          <w:rPr>
            <w:rFonts w:ascii="Times New Roman" w:eastAsia="PT Astra Serif" w:hAnsi="Times New Roman" w:cs="Times New Roman"/>
            <w:color w:val="000000"/>
            <w:kern w:val="3"/>
            <w:sz w:val="21"/>
            <w:szCs w:val="21"/>
            <w:u w:val="single"/>
            <w:lang w:eastAsia="ru-RU"/>
          </w:rPr>
          <w:t>https://clck.ru/3LgfiF</w:t>
        </w:r>
      </w:hyperlink>
    </w:p>
    <w:p w14:paraId="7E492EA2" w14:textId="77777777" w:rsidR="00EE54F2" w:rsidRPr="00EE54F2" w:rsidRDefault="00EE54F2" w:rsidP="00FE688C">
      <w:pPr>
        <w:ind w:firstLine="709"/>
        <w:rPr>
          <w:rFonts w:ascii="Times New Roman" w:hAnsi="Times New Roman" w:cs="Times New Roman"/>
          <w:b/>
          <w:color w:val="000000" w:themeColor="text1"/>
          <w:sz w:val="32"/>
          <w:szCs w:val="32"/>
        </w:rPr>
      </w:pPr>
    </w:p>
    <w:p w14:paraId="782942AD" w14:textId="77777777" w:rsidR="00877DE5" w:rsidRPr="00877DE5" w:rsidRDefault="00877DE5" w:rsidP="0008081B">
      <w:pPr>
        <w:spacing w:after="0" w:line="240" w:lineRule="auto"/>
        <w:jc w:val="both"/>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УДК 336.2</w:t>
      </w:r>
    </w:p>
    <w:p w14:paraId="61EFE9B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bookmarkStart w:id="11" w:name="_Hlk199416777"/>
      <w:r w:rsidRPr="00877DE5">
        <w:rPr>
          <w:rFonts w:ascii="Times New Roman" w:eastAsia="Times New Roman" w:hAnsi="Times New Roman" w:cs="Times New Roman"/>
          <w:b/>
          <w:i/>
          <w:color w:val="000000"/>
          <w:sz w:val="21"/>
          <w:szCs w:val="21"/>
          <w:lang w:eastAsia="ar-SA"/>
        </w:rPr>
        <w:t xml:space="preserve">Астахов Б.В., </w:t>
      </w:r>
    </w:p>
    <w:p w14:paraId="4BE72AD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7E625303"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 xml:space="preserve">ФГОБУ ВО «Финансовый университет при Правительстве РФ» </w:t>
      </w:r>
    </w:p>
    <w:p w14:paraId="1D17980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2D30C4E0"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167"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220159@</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42FD87E9"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4"/>
          <w14:ligatures w14:val="standardContextual"/>
        </w:rPr>
      </w:pPr>
    </w:p>
    <w:p w14:paraId="1353DAE0"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13008610"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1623E09E"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796CC7D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 xml:space="preserve">ФГОБУ ВО «Финансовый университет при Правительстве РФ» </w:t>
      </w:r>
    </w:p>
    <w:p w14:paraId="5D3B770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4D51D4A8"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168" w:history="1">
        <w:r w:rsidRPr="00877DE5">
          <w:rPr>
            <w:rFonts w:ascii="Times New Roman" w:eastAsia="Aptos" w:hAnsi="Times New Roman" w:cs="Times New Roman"/>
            <w:color w:val="0000FF"/>
            <w:sz w:val="21"/>
            <w:szCs w:val="20"/>
            <w:u w:val="single"/>
            <w:lang w:val="x-none" w:eastAsia="ar-SA"/>
            <w14:ligatures w14:val="standardContextual"/>
          </w:rPr>
          <w:t>uyuroschektaeva@fa.ru</w:t>
        </w:r>
      </w:hyperlink>
    </w:p>
    <w:bookmarkEnd w:id="11"/>
    <w:p w14:paraId="575802B4"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36"/>
          <w:sz w:val="21"/>
          <w:szCs w:val="48"/>
          <w:lang w:val="x-none" w:eastAsia="ru-RU"/>
        </w:rPr>
      </w:pPr>
    </w:p>
    <w:p w14:paraId="666C8CC7"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36"/>
          <w:sz w:val="21"/>
          <w:szCs w:val="48"/>
          <w:lang w:eastAsia="ru-RU"/>
        </w:rPr>
      </w:pPr>
      <w:r w:rsidRPr="00877DE5">
        <w:rPr>
          <w:rFonts w:ascii="Times New Roman" w:eastAsia="Times New Roman" w:hAnsi="Times New Roman" w:cs="Times New Roman"/>
          <w:b/>
          <w:bCs/>
          <w:kern w:val="36"/>
          <w:sz w:val="21"/>
          <w:szCs w:val="48"/>
          <w:lang w:eastAsia="ru-RU"/>
        </w:rPr>
        <w:t>Методика ведения бухгалтерского учета при упрощенной системе налогообложения (УСН) для объектов «доходы» и «доходы минус расходы»</w:t>
      </w:r>
    </w:p>
    <w:p w14:paraId="6D61A2E1"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36"/>
          <w:sz w:val="21"/>
          <w:szCs w:val="48"/>
          <w:lang w:eastAsia="ru-RU"/>
        </w:rPr>
      </w:pPr>
    </w:p>
    <w:p w14:paraId="55B283DA"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lastRenderedPageBreak/>
        <w:t>Аннотация:</w:t>
      </w:r>
      <w:r w:rsidRPr="00877DE5">
        <w:rPr>
          <w:rFonts w:ascii="Times New Roman" w:eastAsia="Times New Roman" w:hAnsi="Times New Roman" w:cs="Times New Roman"/>
          <w:sz w:val="21"/>
          <w:szCs w:val="24"/>
          <w:lang w:eastAsia="ru-RU"/>
        </w:rPr>
        <w:t xml:space="preserve"> В статье анализируются нормативные основы и методические принципы учета при упрощенной системе налогообложения (УСН) в Российской Федерации. Раскрываются особенности налоговой базы и порядка учета при объектах «доходы» и «доходы, уменьшенные на величину расходов», приводятся примеры типовых операций и расчетов. Особое внимание уделено последним изменениям законодательства (ввод НДС для плательщиков УСН, новые формы «Книги учета доходов и расходов» и др.). Сделаны выводы и приведены рекомендации по оптимизации учета в условиях УСН.</w:t>
      </w:r>
    </w:p>
    <w:p w14:paraId="3C79349D"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Ключевые слова:</w:t>
      </w:r>
      <w:r w:rsidRPr="00877DE5">
        <w:rPr>
          <w:rFonts w:ascii="Times New Roman" w:eastAsia="Times New Roman" w:hAnsi="Times New Roman" w:cs="Times New Roman"/>
          <w:sz w:val="21"/>
          <w:szCs w:val="24"/>
          <w:lang w:eastAsia="ru-RU"/>
        </w:rPr>
        <w:t xml:space="preserve"> упрощенная система налогообложения, доходы, расходы, налоговая база, бухгалтерский учет, упрощенный режим, оптимизация учёта.</w:t>
      </w:r>
    </w:p>
    <w:p w14:paraId="10E42C87"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p>
    <w:p w14:paraId="1C8CE115" w14:textId="77777777" w:rsidR="00877DE5" w:rsidRPr="00877DE5" w:rsidRDefault="00877DE5" w:rsidP="00067100">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bookmarkStart w:id="12" w:name="_Hlk199416826"/>
      <w:r w:rsidRPr="00877DE5">
        <w:rPr>
          <w:rFonts w:ascii="Times New Roman" w:eastAsia="Aptos" w:hAnsi="Times New Roman" w:cs="Times New Roman"/>
          <w:b/>
          <w:bCs/>
          <w:i/>
          <w:iCs/>
          <w:kern w:val="2"/>
          <w:sz w:val="21"/>
          <w:szCs w:val="32"/>
          <w:lang w:val="en-US"/>
          <w14:ligatures w14:val="standardContextual"/>
        </w:rPr>
        <w:t>Astakhov B.V.,</w:t>
      </w:r>
    </w:p>
    <w:p w14:paraId="63A39248"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152FC214"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64353EA6"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69B147C9"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169" w:history="1">
        <w:r w:rsidRPr="00877DE5">
          <w:rPr>
            <w:rFonts w:ascii="Times New Roman" w:eastAsia="Aptos" w:hAnsi="Times New Roman" w:cs="Times New Roman"/>
            <w:color w:val="467886"/>
            <w:kern w:val="2"/>
            <w:sz w:val="21"/>
            <w:szCs w:val="24"/>
            <w:u w:val="single"/>
            <w:lang w:val="en-US"/>
            <w14:ligatures w14:val="standardContextual"/>
          </w:rPr>
          <w:t>100dot13sl220159@edu.fa.ru</w:t>
        </w:r>
      </w:hyperlink>
    </w:p>
    <w:p w14:paraId="511BCFEC"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33046BC6"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4BA75901"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6E0E5F8A"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38742BB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5BBDEB9D"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2004C19A"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170" w:history="1">
        <w:r w:rsidRPr="00877DE5">
          <w:rPr>
            <w:rFonts w:ascii="Times New Roman" w:eastAsia="Aptos" w:hAnsi="Times New Roman" w:cs="Times New Roman"/>
            <w:color w:val="0000FF"/>
            <w:sz w:val="21"/>
            <w:szCs w:val="20"/>
            <w:u w:val="single"/>
            <w:lang w:val="x-none" w:eastAsia="ar-SA"/>
            <w14:ligatures w14:val="standardContextual"/>
          </w:rPr>
          <w:t>uyuroschektaeva@fa.ru</w:t>
        </w:r>
      </w:hyperlink>
    </w:p>
    <w:bookmarkEnd w:id="12"/>
    <w:p w14:paraId="7183E312"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x-none" w:eastAsia="ru-RU"/>
        </w:rPr>
      </w:pPr>
    </w:p>
    <w:p w14:paraId="6BAB173B"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r w:rsidRPr="00877DE5">
        <w:rPr>
          <w:rFonts w:ascii="Times New Roman" w:eastAsia="Times New Roman" w:hAnsi="Times New Roman" w:cs="Times New Roman"/>
          <w:b/>
          <w:bCs/>
          <w:sz w:val="21"/>
          <w:szCs w:val="24"/>
          <w:lang w:val="en-US" w:eastAsia="ru-RU"/>
        </w:rPr>
        <w:t>Methodology of accounting under the simplified taxation system (STS) for the objects «income» and «income minus expenses»</w:t>
      </w:r>
    </w:p>
    <w:p w14:paraId="1DA72FA4" w14:textId="77777777" w:rsidR="00877DE5" w:rsidRPr="00877DE5" w:rsidRDefault="00877DE5" w:rsidP="00067100">
      <w:pPr>
        <w:spacing w:after="0" w:line="240" w:lineRule="auto"/>
        <w:ind w:firstLine="709"/>
        <w:jc w:val="center"/>
        <w:rPr>
          <w:rFonts w:ascii="Times New Roman" w:eastAsia="Times New Roman" w:hAnsi="Times New Roman" w:cs="Times New Roman"/>
          <w:sz w:val="21"/>
          <w:szCs w:val="24"/>
          <w:lang w:val="en-US" w:eastAsia="ru-RU"/>
        </w:rPr>
      </w:pPr>
    </w:p>
    <w:p w14:paraId="31DB6E23"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Abstract:</w:t>
      </w:r>
      <w:r w:rsidRPr="00877DE5">
        <w:rPr>
          <w:rFonts w:ascii="Times New Roman" w:eastAsia="Times New Roman" w:hAnsi="Times New Roman" w:cs="Times New Roman"/>
          <w:sz w:val="21"/>
          <w:szCs w:val="24"/>
          <w:lang w:val="en-US" w:eastAsia="ru-RU"/>
        </w:rPr>
        <w:t xml:space="preserve"> This article analyzes the regulatory framework and methodological principles of accounting under the Simplified Taxation System (STS) in the Russian Federation. It outlines the features of the tax base and accounting procedures for the object’s «income» and «income reduced by expenses», providing examples of typical transactions and calculations. Special attention is given to recent legislative changes (introduction of VAT for STS taxpayers, new forms of the «Book of Income and Expense Records», etc.). Conclusions are drawn, and recommendations are provided for optimizing accounting practices under the STS.</w:t>
      </w:r>
    </w:p>
    <w:p w14:paraId="4A1CFA19"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Keywords:</w:t>
      </w:r>
      <w:r w:rsidRPr="00877DE5">
        <w:rPr>
          <w:rFonts w:ascii="Times New Roman" w:eastAsia="Times New Roman" w:hAnsi="Times New Roman" w:cs="Times New Roman"/>
          <w:sz w:val="21"/>
          <w:szCs w:val="24"/>
          <w:lang w:val="en-US" w:eastAsia="ru-RU"/>
        </w:rPr>
        <w:t xml:space="preserve"> simplified taxation, incomes, expenses, tax base, accounting, simplified regime, accounting optimization</w:t>
      </w:r>
    </w:p>
    <w:p w14:paraId="54B37290"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p>
    <w:p w14:paraId="033EE43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Упрощённая система налогообложения (УСН) является специальным налоговым режимом, предназначенным для субъектов малого и среднего предпринимательства. Она позволяет заменять уплату сразу нескольких налогов (например, налога на прибыль, НДС) единым налогом по упрощённой ставке и упрощённым критериям расчёта. УСН вводилась для снижения налоговой нагрузки и упрощения учёта для небольших предприятий [1]. </w:t>
      </w:r>
    </w:p>
    <w:p w14:paraId="1EC5ED0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Основным нормативным источником, регламентирующим УСН, является Налоговый кодекс Российской Федерации (глава 26.2). Согласно ст. 346.14 НК РФ, при УСН налогоплательщик самостоятельно выбирает объект налогообложения: либо «доходы», либо «доходы, уменьшенные на величину расходов». Норма закреплена и на официальном сайте ФНС России. Выбор объекта можно изменить не чаще чем раз в год (уведомив налоговый орган до 31 декабря). </w:t>
      </w:r>
    </w:p>
    <w:p w14:paraId="2A22A6E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 xml:space="preserve">Налоговый кодекс (ст. 346.15–346.17 НК РФ) определяет порядок признания доходов и расходов. По умолчанию доходы учитываются в соответствии с правилами главы 25 НК (пунктами 1 и 2 статьи 248) — т.е. по контрактной фиксации экономического содержания операции, а расходы при «доходы – расходы» учитываются только в пределах, перечисленных в ст. 346.16 НК РФ. Федеральный закон № 389-ФЗ от 31.07.2023 передал полномочия утверждения форм «книг учёта доходов и расходов» от Минфина в ведение ФНС, что реализовано с 2024 г. (утверждены единые формы и порядок заполнения Книги как для УСН, так и для ЕСХН и ПСН) [2]. </w:t>
      </w:r>
    </w:p>
    <w:p w14:paraId="0E69740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соответствии с п. 1 ст. 346.15 НК РФ в налоговой базе УСН «доходы» учитываются все доходы, определяемые по правилам главы 25 НК РФ. При объекте «доходы – расходы» налоговая база формируется как разница между суммой доходов и суммой расходов. Причем расходы учитываются только в части, установленной перечнем из ст. 346.16 НК РФ (основные средства, нематериальные активы, затраты на реализацию, оплата труда и т.д.). Например, ФНС отмечает, что «уменьшение налоговой базы по УСН с объектом «доходы минус расходы» возможно не на все расходы, а лишь на те, что перечислены ст. 346.16 НК РФ».</w:t>
      </w:r>
    </w:p>
    <w:p w14:paraId="7E94623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Кроме налогового законодательства применяются также требования законодательства о бухучёте. По Федеральному закону «О бухгалтерском учете» организации обязаны вести двойную запись и составлять бухгалтерскую (финансовую) отчётность. Однако малым предприятиям, включая тех, кто на УСН, разрешены упрощённые способы ведения бухучёта. В частности, Минфин РФ разъяснил, что при разработке учётной политики малое предприятие может предусмотреть «упростить систему ведения бухучета» — даже ввести упрощённую систему регистров и использовать простейший план счетов. Для упрощенцев допускается отказаться от строгого двойного счета: «организация на упрощенных способах может вести бухучет по простой системе (без применения двойной записи)». Таким образом, при УСН организация вправе ограничить количество счетов, свести несколько статей затрат к одному счёту и т.п., что значительно облегчает регистрацию операций [3]. </w:t>
      </w:r>
    </w:p>
    <w:p w14:paraId="1D89C57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Одновременно упрощение не отменяет полноты учёта. Налогоплательщики на УСН обязаны отражать все хозяйственные операции, связанные с доходами (и — при необходимости — с расходами). С 2024 г. для организаций на УСН обязательным стал </w:t>
      </w:r>
      <w:r w:rsidRPr="00877DE5">
        <w:rPr>
          <w:rFonts w:ascii="Times New Roman" w:eastAsia="Times New Roman" w:hAnsi="Times New Roman" w:cs="Times New Roman"/>
          <w:sz w:val="32"/>
          <w:szCs w:val="32"/>
          <w:lang w:eastAsia="ru-RU"/>
        </w:rPr>
        <w:lastRenderedPageBreak/>
        <w:t xml:space="preserve">специальный регистр – Книга учёта доходов и расходов (КУДиР). ФНС в Приказе от 07.11.2023 № ЕА-7-3/816@ утвердила форму КУДиР и порядок её заполнения; в ней «в хронологической последовательности на основе первичных документов отражаются все хозяйственные операции за отчётный период». Книга заполняется ежегодно (по окончании года нумеруется и прошнуровывается). Таким образом, одной из задач учёта при УСН является своевременная и достоверная регистрация хозяйственных операций в Книге, а также отражение их в бухгалтерских регистрах (с учётом упрощений, допустимых законодательством) [4]. </w:t>
      </w:r>
    </w:p>
    <w:p w14:paraId="4969DB5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Основные принципы и задачи учёта при УСН сводятся к следующему. Во-первых, нужно обеспечить достоверное отражение доходов в объёме, требуемом для расчёта единого налога. Во-вторых, при выборе режима «доходы минус расходы» необходимо строго отделять разрешённые для налогового учёта расходы от прочих затрат (строгая документальность расходов по НК РФ). В-третьих, даже упрощенные предприятия должны обеспечивать контроль за движением денежных средств и другими активами, так как, например, получение доходов определяется датой оплаты/поступления денежных средств (кассовым методом для целей налогообложения). При этом ИП и ООО на УСН освобождены от ряда налогов (налога на прибыль, НДС и пр.), но обязаны сдавать бухгалтерскую отчетность и налоговую декларацию по УСН. Нормативные акты подчёркивают ориентированность учёта при УСН на принцип разумности и минимизации избыточной работы: регистры заполняются по мере совершения операций, допускается кассовый метод учёта доходов и расходов, упрощённый план счетов и т.д. (см. письма Минфина по бухгалтерскому учёту).</w:t>
      </w:r>
    </w:p>
    <w:p w14:paraId="7D0FB83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практическом учёте различия между режимами «доходы» и «доходы минус расходы» проявляются следующим образом:</w:t>
      </w:r>
    </w:p>
    <w:p w14:paraId="5F1C3276" w14:textId="77777777" w:rsidR="00877DE5" w:rsidRPr="00877DE5" w:rsidRDefault="00877DE5" w:rsidP="00AD58CD">
      <w:pPr>
        <w:numPr>
          <w:ilvl w:val="0"/>
          <w:numId w:val="17"/>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Объект «доходы». Налоговым объектом считаются все денежные поступления (выручка) предприятия за период, определяемые в соответствии с п. 1–2 ст. 248 НК РФ. В налоговом учёте не учитываются произведённые расходы — то есть они не уменьшают налоговую базу. На практике это означает, что КУДиР заполняется только по разделу «Доходы», без раздела «Расходы». Организация отражает поступления денежных средств, услуги, проданные товары и т.д., но затраты не включаются в расчёт налога;</w:t>
      </w:r>
    </w:p>
    <w:p w14:paraId="57C8B028" w14:textId="77777777" w:rsidR="00877DE5" w:rsidRPr="00877DE5" w:rsidRDefault="00877DE5" w:rsidP="00AD58CD">
      <w:pPr>
        <w:numPr>
          <w:ilvl w:val="0"/>
          <w:numId w:val="17"/>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Объект «доходы минус расходы». Налоговая база определяется как разница между суммой доходов и суммой учтённых расходов. При этом допускается включать в расходы лишь те затраты, которые прямо перечислены в НК РФ (ст. 346.16). Обычно это: затраты на материалы и сырьё, оплату труда, социальные взносы по зарплате, амортизацию основных средств и НМА, уплату процентов по кредитам, аренду, другие хозяйственные расходы. Расходы необходимо подтверждать документально (счета-фактуры, договоры и т.п.). Для объекта «доходы-расходы» КУДиР содержит оба раздела – доходы и расходы. При этом по итогам года применяется правило минимального налога: если исчисленная сумма налога оказывается ниже 1 % от полученных доходов, уплачивается минимальный налог в размере 1 % от доходов.</w:t>
      </w:r>
    </w:p>
    <w:p w14:paraId="491ADFD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p>
    <w:p w14:paraId="27096DB5" w14:textId="77777777" w:rsidR="00877DE5" w:rsidRPr="00877DE5" w:rsidRDefault="00877DE5" w:rsidP="0007694F">
      <w:pPr>
        <w:spacing w:after="0" w:line="240" w:lineRule="auto"/>
        <w:ind w:firstLine="708"/>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1 - Ключевые характеристики двух режимов УСН</w:t>
      </w:r>
    </w:p>
    <w:tbl>
      <w:tblPr>
        <w:tblStyle w:val="15"/>
        <w:tblW w:w="0" w:type="auto"/>
        <w:tblLook w:val="04A0" w:firstRow="1" w:lastRow="0" w:firstColumn="1" w:lastColumn="0" w:noHBand="0" w:noVBand="1"/>
      </w:tblPr>
      <w:tblGrid>
        <w:gridCol w:w="2263"/>
        <w:gridCol w:w="3969"/>
        <w:gridCol w:w="3396"/>
      </w:tblGrid>
      <w:tr w:rsidR="00877DE5" w:rsidRPr="00877DE5" w14:paraId="0AE706AC" w14:textId="77777777" w:rsidTr="00067100">
        <w:tc>
          <w:tcPr>
            <w:tcW w:w="2263" w:type="dxa"/>
          </w:tcPr>
          <w:p w14:paraId="2FC27A3E"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Aptos" w:hAnsi="Times New Roman" w:cs="Times New Roman"/>
              </w:rPr>
              <w:t>Параметр</w:t>
            </w:r>
          </w:p>
        </w:tc>
        <w:tc>
          <w:tcPr>
            <w:tcW w:w="3969" w:type="dxa"/>
          </w:tcPr>
          <w:p w14:paraId="52D86CEC"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Aptos" w:hAnsi="Times New Roman" w:cs="Times New Roman"/>
              </w:rPr>
              <w:t>УСН «доходы»</w:t>
            </w:r>
          </w:p>
        </w:tc>
        <w:tc>
          <w:tcPr>
            <w:tcW w:w="3396" w:type="dxa"/>
          </w:tcPr>
          <w:p w14:paraId="53D76FC0"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Aptos" w:hAnsi="Times New Roman" w:cs="Times New Roman"/>
              </w:rPr>
              <w:t>УСН «доходы – расходы»</w:t>
            </w:r>
          </w:p>
        </w:tc>
      </w:tr>
      <w:tr w:rsidR="00877DE5" w:rsidRPr="00877DE5" w14:paraId="293C93DE" w14:textId="77777777" w:rsidTr="00067100">
        <w:tc>
          <w:tcPr>
            <w:tcW w:w="2263" w:type="dxa"/>
            <w:vAlign w:val="center"/>
          </w:tcPr>
          <w:p w14:paraId="5BF7B9DE"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Налоговая ставка</w:t>
            </w:r>
          </w:p>
        </w:tc>
        <w:tc>
          <w:tcPr>
            <w:tcW w:w="3969" w:type="dxa"/>
            <w:vAlign w:val="center"/>
          </w:tcPr>
          <w:p w14:paraId="49A25B21"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6 % (базовая ставка)</w:t>
            </w:r>
          </w:p>
        </w:tc>
        <w:tc>
          <w:tcPr>
            <w:tcW w:w="3396" w:type="dxa"/>
            <w:vAlign w:val="center"/>
          </w:tcPr>
          <w:p w14:paraId="748EE6E3"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15 % (базовая ставка)</w:t>
            </w:r>
          </w:p>
        </w:tc>
      </w:tr>
      <w:tr w:rsidR="00877DE5" w:rsidRPr="00877DE5" w14:paraId="4A049F69" w14:textId="77777777" w:rsidTr="00067100">
        <w:tc>
          <w:tcPr>
            <w:tcW w:w="2263" w:type="dxa"/>
            <w:vAlign w:val="center"/>
          </w:tcPr>
          <w:p w14:paraId="140179CD"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Налоговая база</w:t>
            </w:r>
          </w:p>
        </w:tc>
        <w:tc>
          <w:tcPr>
            <w:tcW w:w="3969" w:type="dxa"/>
            <w:vAlign w:val="center"/>
          </w:tcPr>
          <w:p w14:paraId="17AA7242"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Денежное выражение всех доходов компании</w:t>
            </w:r>
          </w:p>
        </w:tc>
        <w:tc>
          <w:tcPr>
            <w:tcW w:w="3396" w:type="dxa"/>
            <w:vAlign w:val="center"/>
          </w:tcPr>
          <w:p w14:paraId="00EE1E14"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Разница доходов и расходов (доходы – расходы)</w:t>
            </w:r>
          </w:p>
        </w:tc>
      </w:tr>
      <w:tr w:rsidR="00877DE5" w:rsidRPr="00877DE5" w14:paraId="64499CED" w14:textId="77777777" w:rsidTr="00067100">
        <w:tc>
          <w:tcPr>
            <w:tcW w:w="2263" w:type="dxa"/>
            <w:vAlign w:val="center"/>
          </w:tcPr>
          <w:p w14:paraId="2E645730"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Учёт расходов</w:t>
            </w:r>
          </w:p>
        </w:tc>
        <w:tc>
          <w:tcPr>
            <w:tcW w:w="3969" w:type="dxa"/>
            <w:vAlign w:val="center"/>
          </w:tcPr>
          <w:p w14:paraId="5A719BC9"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 расчёте налога не участвуют (не уменьшают базу)</w:t>
            </w:r>
          </w:p>
        </w:tc>
        <w:tc>
          <w:tcPr>
            <w:tcW w:w="3396" w:type="dxa"/>
            <w:vAlign w:val="center"/>
          </w:tcPr>
          <w:p w14:paraId="53725592"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Учитываются только расходы по списку в ст. 346.16 НК РФ</w:t>
            </w:r>
          </w:p>
        </w:tc>
      </w:tr>
      <w:tr w:rsidR="00877DE5" w:rsidRPr="00877DE5" w14:paraId="7F92BF6C" w14:textId="77777777" w:rsidTr="00067100">
        <w:tc>
          <w:tcPr>
            <w:tcW w:w="2263" w:type="dxa"/>
            <w:vAlign w:val="center"/>
          </w:tcPr>
          <w:p w14:paraId="77161699"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Минимальный налог</w:t>
            </w:r>
          </w:p>
        </w:tc>
        <w:tc>
          <w:tcPr>
            <w:tcW w:w="3969" w:type="dxa"/>
            <w:vAlign w:val="center"/>
          </w:tcPr>
          <w:p w14:paraId="256DD801"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Не применяется</w:t>
            </w:r>
          </w:p>
        </w:tc>
        <w:tc>
          <w:tcPr>
            <w:tcW w:w="3396" w:type="dxa"/>
            <w:vAlign w:val="center"/>
          </w:tcPr>
          <w:p w14:paraId="020471EA"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1 % от фактических доходов (если исчисленный налог &lt;1 % доходов)</w:t>
            </w:r>
          </w:p>
        </w:tc>
      </w:tr>
      <w:tr w:rsidR="00877DE5" w:rsidRPr="00877DE5" w14:paraId="68007570" w14:textId="77777777" w:rsidTr="00067100">
        <w:tc>
          <w:tcPr>
            <w:tcW w:w="2263" w:type="dxa"/>
            <w:vAlign w:val="center"/>
          </w:tcPr>
          <w:p w14:paraId="3BC692E4"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Книга учета доходов и расходов</w:t>
            </w:r>
          </w:p>
        </w:tc>
        <w:tc>
          <w:tcPr>
            <w:tcW w:w="3969" w:type="dxa"/>
            <w:vAlign w:val="center"/>
          </w:tcPr>
          <w:p w14:paraId="4BFDFA96"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Заполняется только раздел «Доходы»; раздел «Расходы» не нужен</w:t>
            </w:r>
          </w:p>
        </w:tc>
        <w:tc>
          <w:tcPr>
            <w:tcW w:w="3396" w:type="dxa"/>
            <w:vAlign w:val="center"/>
          </w:tcPr>
          <w:p w14:paraId="69832A73"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Заполняются оба раздела Книги (доходы и расходы)</w:t>
            </w:r>
          </w:p>
        </w:tc>
      </w:tr>
      <w:tr w:rsidR="00877DE5" w:rsidRPr="00877DE5" w14:paraId="0CAE1D6D" w14:textId="77777777" w:rsidTr="00067100">
        <w:tc>
          <w:tcPr>
            <w:tcW w:w="2263" w:type="dxa"/>
            <w:vAlign w:val="center"/>
          </w:tcPr>
          <w:p w14:paraId="74A62698"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Учет НДС</w:t>
            </w:r>
          </w:p>
        </w:tc>
        <w:tc>
          <w:tcPr>
            <w:tcW w:w="3969" w:type="dxa"/>
            <w:vAlign w:val="center"/>
          </w:tcPr>
          <w:p w14:paraId="25239E6A"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До 2025 г. ИП-«упрощенцы» были освобождены от НДС. С 2025 г. плательщики УСН с годовым доходом до 60 млн руб. освобождены от НДС, при превышении платят НДС по обычным или пониженным ставкам.</w:t>
            </w:r>
          </w:p>
        </w:tc>
        <w:tc>
          <w:tcPr>
            <w:tcW w:w="3396" w:type="dxa"/>
            <w:vAlign w:val="center"/>
          </w:tcPr>
          <w:p w14:paraId="62811276"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Аналогично. Если применяются пониженные ставки НДС, входящий НДС нельзя вычитать (его можно включать в расходы).</w:t>
            </w:r>
          </w:p>
        </w:tc>
      </w:tr>
      <w:tr w:rsidR="00877DE5" w:rsidRPr="00877DE5" w14:paraId="60F0B53B" w14:textId="77777777" w:rsidTr="00067100">
        <w:tc>
          <w:tcPr>
            <w:tcW w:w="2263" w:type="dxa"/>
            <w:vAlign w:val="center"/>
          </w:tcPr>
          <w:p w14:paraId="0EAB88EF"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Упрощённый бухучет</w:t>
            </w:r>
          </w:p>
        </w:tc>
        <w:tc>
          <w:tcPr>
            <w:tcW w:w="3969" w:type="dxa"/>
            <w:vAlign w:val="center"/>
          </w:tcPr>
          <w:p w14:paraId="65B1045A"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Разрешается упрощённый план счетов, кассовый метод, отсутствие двойной записи</w:t>
            </w:r>
          </w:p>
        </w:tc>
        <w:tc>
          <w:tcPr>
            <w:tcW w:w="3396" w:type="dxa"/>
            <w:vAlign w:val="center"/>
          </w:tcPr>
          <w:p w14:paraId="5300CE21" w14:textId="77777777" w:rsidR="00877DE5" w:rsidRPr="00877DE5" w:rsidRDefault="00877DE5" w:rsidP="0007694F">
            <w:pPr>
              <w:spacing w:line="278" w:lineRule="auto"/>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То же; дополнительно следует детально отражать расходные операции и контролировать их документально.</w:t>
            </w:r>
          </w:p>
        </w:tc>
      </w:tr>
    </w:tbl>
    <w:p w14:paraId="0D65923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Кроме того, организациям на УСН следует учитывать другие методические нюансы. Например, для построения учёта доходов обычно применяется кассовый метод (доход признаётся по фактическому поступлению денежных средств), при этом в налоговом учёте ДДС не ведутся как при общем режиме. Расходы при «доходы – </w:t>
      </w:r>
      <w:r w:rsidRPr="00877DE5">
        <w:rPr>
          <w:rFonts w:ascii="Times New Roman" w:eastAsia="Times New Roman" w:hAnsi="Times New Roman" w:cs="Times New Roman"/>
          <w:sz w:val="32"/>
          <w:szCs w:val="32"/>
          <w:lang w:eastAsia="ru-RU"/>
        </w:rPr>
        <w:lastRenderedPageBreak/>
        <w:t>расходы» могут учитываться по кассовому или начисленному методу – важно соблюсти правила ст. 346.16 и доказать факт их осуществления. Организации вправе применять пониженную ставку НДС (5 % или 7 %) только с согласия и на условиях, подробно разъяснённых ФНС. Все платёжные документы, счета-фактуры и бухгалтерские записи должны быть упорядочены так, чтобы можно было сформировать декларацию по УСН и, при необходимости, декларацию по НДС.</w:t>
      </w:r>
    </w:p>
    <w:p w14:paraId="0CA6420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целом, УСН предоставляет субъектам малого бизнеса выбор между упрощённым налоговым режимом с базой по доходам и более сложным, но потенциально более выгодным режимом «доходы минус расходы». При этом бухгалтерский учёт при УСН обязан соответствовать налоговым правилам: правильно фиксировать поступление всех доходов, а при объекте «расходы» – только те из них, которые разрешены законодательством. Указанные различия существенно влияют на величину единого налога: если у предприятия мало расходов, выгоднее объект «доходы», а при большом удельном весе затрат – «доходы – расходы».</w:t>
      </w:r>
    </w:p>
    <w:p w14:paraId="613F294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Новые законодательные изменения (переход УСН-плательщиков на НДС, обновление форм КУДиР, пересмотр ставок) предъявили повышенные требования к учётной дисциплине. В частности, с 2025 г. организации должны вести раздельный учёт операций с НДС и без НДС, выписывать счета-фактуры, вести книгу продаж и покупок, сдавать декларацию по НДС в соответствии с выбранной ставкой. Все это требует дополнительной автоматизации учёта и повышения квалификации бухгалтеров.</w:t>
      </w:r>
    </w:p>
    <w:p w14:paraId="4F1E9D5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Для оптимизации учёта при УСН можно рекомендовать следующее:</w:t>
      </w:r>
    </w:p>
    <w:p w14:paraId="64872709"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Строго соблюдать порядок заполнения Книги учета доходов и расходов, утверждённый ФНС. Вести её в электронном виде с последующим нумерованием и подписью. Позволит одновременно вести учёт по обеим системам (бухгалтерской и налоговой);</w:t>
      </w:r>
    </w:p>
    <w:p w14:paraId="2FF17DF4"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Регулярно анализировать структуру доходов и расходов предприятия. При значительных расходах планомерно рассмотреть смену объекта с «доходы» на «доходы – расходы» (или наоборот) с учётом сроков перехода (уведомление до 31 декабря) и размеров ставок;</w:t>
      </w:r>
    </w:p>
    <w:p w14:paraId="5E79D2E1"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Использовать возможности упрощённого бухучёта: применять упрощённый план счетов, кассовый метод учёта, оформлять операции </w:t>
      </w:r>
      <w:r w:rsidRPr="00877DE5">
        <w:rPr>
          <w:rFonts w:ascii="Times New Roman" w:eastAsia="Times New Roman" w:hAnsi="Times New Roman" w:cs="Times New Roman"/>
          <w:sz w:val="32"/>
          <w:szCs w:val="32"/>
          <w:lang w:eastAsia="ru-RU"/>
        </w:rPr>
        <w:lastRenderedPageBreak/>
        <w:t>по унифицированным формам уменьшит трудоёмкость обработки документов;</w:t>
      </w:r>
    </w:p>
    <w:p w14:paraId="029BE865"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Внедрять информационные системы для синхронизации банковской выписки, 1С (или аналоги) и налоговой отчётности. Автоматизация позволит быстрее проводить проводки, формировать отчёты и декларации, контролировать лимиты доходов (с учётом индексации) и вовремя переходить на новые ставки НДС;</w:t>
      </w:r>
    </w:p>
    <w:p w14:paraId="322F1853"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Всегда документально подтверждать расходы, включаемые в налоговую базу. Своевременно проводить инвентаризацию основных средств (для начисления амортизации) и сверку взаиморасчётов. При необходимости получать консультации у налоговых органов или аудиторов по спорным расходам (реализация ОС, передача имущества участнику и т.д.);</w:t>
      </w:r>
    </w:p>
    <w:p w14:paraId="53C4F362" w14:textId="77777777" w:rsidR="00877DE5" w:rsidRPr="00877DE5" w:rsidRDefault="00877DE5" w:rsidP="00AD58CD">
      <w:pPr>
        <w:numPr>
          <w:ilvl w:val="0"/>
          <w:numId w:val="18"/>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условиях введения НДС для УСН-плательщиков применять оптимальные схемы: при возможности оставаться в статусе освобождённого (до 60 млн руб.) или заранее выбрать выгодную ставку НДС 5 %/7 %, если организация преимущественно покупает со ставкой 20 % (в этом случае входящий НДС расходами включать нельзя).</w:t>
      </w:r>
    </w:p>
    <w:p w14:paraId="45B9CF2B"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Соблюдение указанных рекомендаций позволит бухгалтерии организации на УСН обеспечить точный расчёт налога и минимизировать налоговые риски, сохранив при этом простоту учёта. При внедрении изменений важно опираться на официальные разъяснения ФНС и Минфина, а также на разъяснения Конституционного Суда РФ (например, по учёту передачи имущества при выходе участника).</w:t>
      </w:r>
    </w:p>
    <w:p w14:paraId="044D72ED" w14:textId="77777777" w:rsidR="00877DE5" w:rsidRPr="00877DE5" w:rsidRDefault="00877DE5" w:rsidP="00067100">
      <w:pPr>
        <w:shd w:val="clear" w:color="auto" w:fill="FFFFFF"/>
        <w:spacing w:after="0" w:line="240" w:lineRule="auto"/>
        <w:ind w:firstLine="709"/>
        <w:jc w:val="center"/>
        <w:rPr>
          <w:rFonts w:ascii="Times New Roman" w:eastAsia="Aptos" w:hAnsi="Times New Roman" w:cs="Times New Roman"/>
          <w:b/>
          <w:color w:val="000000"/>
          <w:kern w:val="2"/>
          <w:sz w:val="21"/>
          <w:szCs w:val="21"/>
          <w14:ligatures w14:val="standardContextual"/>
        </w:rPr>
      </w:pPr>
    </w:p>
    <w:p w14:paraId="2A3E9A75" w14:textId="77777777" w:rsidR="00877DE5" w:rsidRPr="00877DE5" w:rsidRDefault="00877DE5" w:rsidP="00067100">
      <w:pPr>
        <w:shd w:val="clear" w:color="auto" w:fill="FFFFFF"/>
        <w:spacing w:after="0" w:line="240" w:lineRule="auto"/>
        <w:ind w:firstLine="709"/>
        <w:jc w:val="center"/>
        <w:rPr>
          <w:rFonts w:ascii="Times New Roman" w:eastAsia="Aptos" w:hAnsi="Times New Roman" w:cs="Times New Roman"/>
          <w:b/>
          <w:color w:val="000000"/>
          <w:kern w:val="2"/>
          <w:sz w:val="21"/>
          <w:szCs w:val="21"/>
          <w14:ligatures w14:val="standardContextual"/>
        </w:rPr>
      </w:pPr>
      <w:r w:rsidRPr="00877DE5">
        <w:rPr>
          <w:rFonts w:ascii="Times New Roman" w:eastAsia="Aptos" w:hAnsi="Times New Roman" w:cs="Times New Roman"/>
          <w:b/>
          <w:color w:val="000000"/>
          <w:kern w:val="2"/>
          <w:sz w:val="21"/>
          <w:szCs w:val="21"/>
          <w14:ligatures w14:val="standardContextual"/>
        </w:rPr>
        <w:t>Литература:</w:t>
      </w:r>
    </w:p>
    <w:p w14:paraId="3EB8425C" w14:textId="77777777" w:rsidR="00877DE5" w:rsidRPr="00877DE5" w:rsidRDefault="00877DE5" w:rsidP="00AD58CD">
      <w:pPr>
        <w:numPr>
          <w:ilvl w:val="0"/>
          <w:numId w:val="19"/>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ФНС России: Упрощенная система налогообложения </w:t>
      </w:r>
      <w:r w:rsidRPr="00877DE5">
        <w:rPr>
          <w:rFonts w:ascii="Times New Roman" w:eastAsia="Aptos" w:hAnsi="Times New Roman" w:cs="Times New Roman"/>
          <w:kern w:val="2"/>
          <w:sz w:val="21"/>
          <w:szCs w:val="24"/>
          <w14:ligatures w14:val="standardContextual"/>
        </w:rPr>
        <w:t xml:space="preserve">[Электронный ресурс: </w:t>
      </w:r>
      <w:hyperlink r:id="rId171" w:history="1">
        <w:r w:rsidRPr="00877DE5">
          <w:rPr>
            <w:rFonts w:ascii="Times New Roman" w:eastAsia="Times New Roman" w:hAnsi="Times New Roman" w:cs="Times New Roman"/>
            <w:color w:val="467886"/>
            <w:sz w:val="21"/>
            <w:szCs w:val="32"/>
            <w:u w:val="single"/>
            <w:lang w:eastAsia="ru-RU"/>
          </w:rPr>
          <w:t>https://www.nalog.gov.ru/rn77/taxation/taxes/usn/</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4"/>
          <w14:ligatures w14:val="standardContextual"/>
        </w:rPr>
        <w:t>(дата обращения 29.05.2025)];</w:t>
      </w:r>
    </w:p>
    <w:p w14:paraId="3DD6A4AE" w14:textId="77777777" w:rsidR="00877DE5" w:rsidRPr="00877DE5" w:rsidRDefault="00877DE5" w:rsidP="00AD58CD">
      <w:pPr>
        <w:numPr>
          <w:ilvl w:val="0"/>
          <w:numId w:val="19"/>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«Налоговый кодекс Российской Федерации (часть вторая)» от 05.08.2000 N 117-ФЗ (ред. от 28.12.2024, с изм. от 21.01.2025) (с изм. и доп., вступ. в силу с 01.04.2025) </w:t>
      </w:r>
      <w:r w:rsidRPr="00877DE5">
        <w:rPr>
          <w:rFonts w:ascii="Times New Roman" w:eastAsia="Aptos" w:hAnsi="Times New Roman" w:cs="Times New Roman"/>
          <w:kern w:val="2"/>
          <w:sz w:val="21"/>
          <w:szCs w:val="24"/>
          <w14:ligatures w14:val="standardContextual"/>
        </w:rPr>
        <w:t xml:space="preserve">[Электронный ресурс: </w:t>
      </w:r>
      <w:hyperlink r:id="rId172" w:history="1">
        <w:r w:rsidRPr="00877DE5">
          <w:rPr>
            <w:rFonts w:ascii="Times New Roman" w:eastAsia="Times New Roman" w:hAnsi="Times New Roman" w:cs="Times New Roman"/>
            <w:color w:val="467886"/>
            <w:sz w:val="21"/>
            <w:szCs w:val="32"/>
            <w:u w:val="single"/>
            <w:lang w:eastAsia="ru-RU"/>
          </w:rPr>
          <w:t>https://www.consultant.ru/document/cons_doc_LAW_28165/281ce306d4c05188cf38182099250dc8b2fc2a73/</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4"/>
          <w14:ligatures w14:val="standardContextual"/>
        </w:rPr>
        <w:t>(дата обращения 29.05.2025)];</w:t>
      </w:r>
    </w:p>
    <w:p w14:paraId="6E787835" w14:textId="77777777" w:rsidR="00877DE5" w:rsidRPr="00877DE5" w:rsidRDefault="00877DE5" w:rsidP="00AD58CD">
      <w:pPr>
        <w:numPr>
          <w:ilvl w:val="0"/>
          <w:numId w:val="19"/>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ПЗ - 3/2024 «Об упрощенной системе бухгалтерского учета, включая бухгалтерскую (финансовую) отчетность» </w:t>
      </w:r>
      <w:r w:rsidRPr="00877DE5">
        <w:rPr>
          <w:rFonts w:ascii="Times New Roman" w:eastAsia="Aptos" w:hAnsi="Times New Roman" w:cs="Times New Roman"/>
          <w:kern w:val="2"/>
          <w:sz w:val="21"/>
          <w:szCs w:val="24"/>
          <w14:ligatures w14:val="standardContextual"/>
        </w:rPr>
        <w:t xml:space="preserve">[Электронный ресурс: </w:t>
      </w:r>
      <w:hyperlink r:id="rId173" w:history="1">
        <w:r w:rsidRPr="00877DE5">
          <w:rPr>
            <w:rFonts w:ascii="Times New Roman" w:eastAsia="Times New Roman" w:hAnsi="Times New Roman" w:cs="Times New Roman"/>
            <w:color w:val="467886"/>
            <w:sz w:val="21"/>
            <w:szCs w:val="32"/>
            <w:u w:val="single"/>
            <w:lang w:eastAsia="ru-RU"/>
          </w:rPr>
          <w:t>https://minfin.gov.ru/ru/document?id_4=63366-pz_-_32024_ob_uproshchennoi_sisteme_bukhgalterskogo_ucheta_vklyuchaya_bukhgalterskuyu_finansovuyu_otchetnost</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4"/>
          <w14:ligatures w14:val="standardContextual"/>
        </w:rPr>
        <w:t>(дата обращения 29.05.2025)];</w:t>
      </w:r>
    </w:p>
    <w:p w14:paraId="1EA870A8" w14:textId="77777777" w:rsidR="00877DE5" w:rsidRPr="00877DE5" w:rsidRDefault="00877DE5" w:rsidP="00AD58CD">
      <w:pPr>
        <w:numPr>
          <w:ilvl w:val="0"/>
          <w:numId w:val="19"/>
        </w:numPr>
        <w:spacing w:after="0" w:line="240" w:lineRule="auto"/>
        <w:ind w:left="0" w:firstLine="0"/>
        <w:contextualSpacing/>
        <w:jc w:val="both"/>
        <w:rPr>
          <w:rFonts w:ascii="Times New Roman" w:eastAsia="Aptos" w:hAnsi="Times New Roman" w:cs="Times New Roman"/>
          <w:color w:val="000000"/>
          <w:kern w:val="2"/>
          <w:sz w:val="21"/>
          <w:szCs w:val="28"/>
          <w14:ligatures w14:val="standardContextual"/>
        </w:rPr>
      </w:pPr>
      <w:r w:rsidRPr="00877DE5">
        <w:rPr>
          <w:rFonts w:ascii="Times New Roman" w:eastAsia="Times New Roman" w:hAnsi="Times New Roman" w:cs="Times New Roman"/>
          <w:sz w:val="21"/>
          <w:szCs w:val="32"/>
          <w:lang w:eastAsia="ru-RU"/>
        </w:rPr>
        <w:t xml:space="preserve">Приказ ФНС России от 07.11.2023 N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w:t>
      </w:r>
      <w:r w:rsidRPr="00877DE5">
        <w:rPr>
          <w:rFonts w:ascii="Times New Roman" w:eastAsia="Aptos" w:hAnsi="Times New Roman" w:cs="Times New Roman"/>
          <w:kern w:val="2"/>
          <w:sz w:val="21"/>
          <w:szCs w:val="24"/>
          <w14:ligatures w14:val="standardContextual"/>
        </w:rPr>
        <w:t xml:space="preserve">[Электронный ресурс: </w:t>
      </w:r>
      <w:hyperlink r:id="rId174" w:anchor="dst100404" w:history="1">
        <w:r w:rsidRPr="00877DE5">
          <w:rPr>
            <w:rFonts w:ascii="Times New Roman" w:eastAsia="Times New Roman" w:hAnsi="Times New Roman" w:cs="Times New Roman"/>
            <w:color w:val="467886"/>
            <w:sz w:val="21"/>
            <w:szCs w:val="32"/>
            <w:u w:val="single"/>
            <w:lang w:eastAsia="ru-RU"/>
          </w:rPr>
          <w:t>https://www.consultant.ru/document/cons_doc_LAW_463427/53bb117b6de4d3f36bcf65180d24e86f6ccd99dc/#dst100404</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4"/>
          <w14:ligatures w14:val="standardContextual"/>
        </w:rPr>
        <w:t>(дата обращения 29.05.2025)].</w:t>
      </w:r>
    </w:p>
    <w:p w14:paraId="3EF6A9FC" w14:textId="77777777" w:rsidR="00877DE5" w:rsidRPr="00877DE5" w:rsidRDefault="00877DE5" w:rsidP="00067100">
      <w:pPr>
        <w:spacing w:after="0" w:line="240" w:lineRule="auto"/>
        <w:ind w:left="567" w:firstLine="709"/>
        <w:contextualSpacing/>
        <w:jc w:val="both"/>
        <w:rPr>
          <w:rFonts w:ascii="Times New Roman" w:eastAsia="Aptos" w:hAnsi="Times New Roman" w:cs="Times New Roman"/>
          <w:color w:val="000000"/>
          <w:kern w:val="2"/>
          <w:sz w:val="21"/>
          <w:szCs w:val="28"/>
          <w14:ligatures w14:val="standardContextual"/>
        </w:rPr>
      </w:pPr>
    </w:p>
    <w:p w14:paraId="5E93CFEC" w14:textId="77777777" w:rsidR="00877DE5" w:rsidRPr="00877DE5" w:rsidRDefault="00877DE5" w:rsidP="009C4BD3">
      <w:pPr>
        <w:suppressAutoHyphens/>
        <w:spacing w:after="0" w:line="240" w:lineRule="auto"/>
        <w:rPr>
          <w:rFonts w:ascii="Times New Roman" w:eastAsia="Times New Roman" w:hAnsi="Times New Roman" w:cs="Times New Roman"/>
          <w:b/>
          <w:iCs/>
          <w:color w:val="000000"/>
          <w:sz w:val="21"/>
          <w:szCs w:val="21"/>
          <w:lang w:eastAsia="ar-SA"/>
        </w:rPr>
      </w:pPr>
      <w:r w:rsidRPr="00877DE5">
        <w:rPr>
          <w:rFonts w:ascii="Times New Roman" w:eastAsia="Times New Roman" w:hAnsi="Times New Roman" w:cs="Times New Roman"/>
          <w:b/>
          <w:iCs/>
          <w:color w:val="000000"/>
          <w:sz w:val="21"/>
          <w:szCs w:val="21"/>
          <w:lang w:eastAsia="ar-SA"/>
        </w:rPr>
        <w:t>УДК 338</w:t>
      </w:r>
    </w:p>
    <w:p w14:paraId="679C897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lastRenderedPageBreak/>
        <w:t xml:space="preserve">Бондарева М.А., </w:t>
      </w:r>
    </w:p>
    <w:p w14:paraId="7B51A5C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06522C4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19783C1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34A5F19C"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175"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220171@</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5D32AA70"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4"/>
          <w14:ligatures w14:val="standardContextual"/>
        </w:rPr>
      </w:pPr>
    </w:p>
    <w:p w14:paraId="7BC17070"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47036C27"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6958EA8F"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132B5A5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0135DF7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0ACB0851"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176" w:history="1">
        <w:r w:rsidRPr="00877DE5">
          <w:rPr>
            <w:rFonts w:ascii="Times New Roman" w:eastAsia="Times New Roman" w:hAnsi="Times New Roman" w:cs="Times New Roman"/>
            <w:i/>
            <w:color w:val="0000FF"/>
            <w:sz w:val="21"/>
            <w:szCs w:val="20"/>
            <w:u w:val="single"/>
            <w:lang w:val="x-none" w:eastAsia="ar-SA"/>
          </w:rPr>
          <w:t>uyuroschektaeva@fa.ru</w:t>
        </w:r>
      </w:hyperlink>
    </w:p>
    <w:p w14:paraId="2A0AB95C" w14:textId="77777777" w:rsidR="00877DE5" w:rsidRPr="00877DE5" w:rsidRDefault="00877DE5" w:rsidP="00067100">
      <w:pPr>
        <w:spacing w:after="0" w:line="240" w:lineRule="auto"/>
        <w:ind w:firstLine="709"/>
        <w:rPr>
          <w:rFonts w:ascii="Times New Roman" w:eastAsia="Aptos" w:hAnsi="Times New Roman" w:cs="Times New Roman"/>
          <w:b/>
          <w:bCs/>
          <w:kern w:val="2"/>
          <w:sz w:val="24"/>
          <w:szCs w:val="24"/>
          <w:lang w:val="x-none"/>
          <w14:ligatures w14:val="standardContextual"/>
        </w:rPr>
      </w:pPr>
    </w:p>
    <w:p w14:paraId="7875CAA9"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4"/>
          <w14:ligatures w14:val="standardContextual"/>
        </w:rPr>
      </w:pPr>
      <w:r w:rsidRPr="00877DE5">
        <w:rPr>
          <w:rFonts w:ascii="Times New Roman" w:eastAsia="Aptos" w:hAnsi="Times New Roman" w:cs="Times New Roman"/>
          <w:b/>
          <w:bCs/>
          <w:kern w:val="2"/>
          <w:sz w:val="21"/>
          <w:szCs w:val="24"/>
          <w14:ligatures w14:val="standardContextual"/>
        </w:rPr>
        <w:t>Актуальные проблемы применения ФСБУ</w:t>
      </w:r>
    </w:p>
    <w:p w14:paraId="59EC9B7C"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4"/>
          <w14:ligatures w14:val="standardContextual"/>
        </w:rPr>
      </w:pPr>
    </w:p>
    <w:p w14:paraId="6515BD6F" w14:textId="77777777" w:rsidR="00877DE5" w:rsidRPr="00877DE5" w:rsidRDefault="00877DE5" w:rsidP="00067100">
      <w:pPr>
        <w:spacing w:after="0" w:line="240" w:lineRule="auto"/>
        <w:ind w:firstLine="709"/>
        <w:jc w:val="both"/>
        <w:rPr>
          <w:rFonts w:ascii="Times New Roman" w:eastAsia="Aptos" w:hAnsi="Times New Roman" w:cs="Times New Roman"/>
          <w:b/>
          <w:bCs/>
          <w:kern w:val="2"/>
          <w:sz w:val="21"/>
          <w:szCs w:val="24"/>
          <w14:ligatures w14:val="standardContextual"/>
        </w:rPr>
      </w:pPr>
      <w:r w:rsidRPr="00877DE5">
        <w:rPr>
          <w:rFonts w:ascii="Times New Roman" w:eastAsia="Times New Roman" w:hAnsi="Times New Roman" w:cs="Times New Roman"/>
          <w:b/>
          <w:bCs/>
          <w:kern w:val="36"/>
          <w:sz w:val="21"/>
          <w:szCs w:val="48"/>
          <w:lang w:eastAsia="ru-RU"/>
        </w:rPr>
        <w:t xml:space="preserve">Аннотация: </w:t>
      </w:r>
      <w:r w:rsidRPr="00877DE5">
        <w:rPr>
          <w:rFonts w:ascii="Times New Roman" w:eastAsia="Times New Roman" w:hAnsi="Times New Roman" w:cs="Times New Roman"/>
          <w:sz w:val="21"/>
          <w:szCs w:val="24"/>
          <w:lang w:eastAsia="ru-RU"/>
        </w:rPr>
        <w:t xml:space="preserve">В статье анализируются актуальные проблемы внедрения и применения Федеральных стандартов бухгалтерского учёта (ФСБУ) в коммерческих организациях. Рассмотрены цели и законодательные основы новой системы стандартизации (Федеральный закон № 402-ФЗ, приказы Минфина РФ), а также отличия ФСБУ от прежних ПБУ и связь с МСФО. Особое внимание уделено практическим трудностям – ретроспективному пересчёту данных за сравниваемые периоды, перенастройке форм отчётности и взаимосвязанных расчётов, проблемам агрегации/дезагрегации показателей, типичным ошибкам при учёте по новым правилам (например, обесценение активов, операции со связанными сторонами, учёт долгосрочных обязательств), недостаточному раскрытию пояснений и техническим ограничениям (нехватка автоматизации, особенности «1С» и ручного ввода). В разделе приведены примеры затруднений на основе материалов КонсультантПлюс и МСФО (IFRS). </w:t>
      </w:r>
    </w:p>
    <w:p w14:paraId="0E113FEA"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Ключевые слова:</w:t>
      </w:r>
      <w:r w:rsidRPr="00877DE5">
        <w:rPr>
          <w:rFonts w:ascii="Times New Roman" w:eastAsia="Times New Roman" w:hAnsi="Times New Roman" w:cs="Times New Roman"/>
          <w:sz w:val="21"/>
          <w:szCs w:val="24"/>
          <w:lang w:eastAsia="ru-RU"/>
        </w:rPr>
        <w:t xml:space="preserve"> Федеральные стандарты бухгалтерского учёта, ФСБУ, бухгалтерский учёт, финансовая отчётность, переход на ФСБУ, ретроспективный пересчёт, автоматизация.</w:t>
      </w:r>
    </w:p>
    <w:p w14:paraId="46CDBFC3" w14:textId="77777777" w:rsidR="00877DE5" w:rsidRPr="00877DE5" w:rsidRDefault="00877DE5" w:rsidP="00067100">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sidRPr="00877DE5">
        <w:rPr>
          <w:rFonts w:ascii="Times New Roman" w:eastAsia="Aptos" w:hAnsi="Times New Roman" w:cs="Times New Roman"/>
          <w:b/>
          <w:bCs/>
          <w:i/>
          <w:iCs/>
          <w:kern w:val="2"/>
          <w:sz w:val="21"/>
          <w:szCs w:val="32"/>
          <w:lang w:val="en-US"/>
          <w14:ligatures w14:val="standardContextual"/>
        </w:rPr>
        <w:t>Bondareva M.A.,</w:t>
      </w:r>
    </w:p>
    <w:p w14:paraId="5E4267D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34959DC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6AD3E2B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5DAD827C"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177" w:history="1">
        <w:r w:rsidRPr="00877DE5">
          <w:rPr>
            <w:rFonts w:ascii="Times New Roman" w:eastAsia="Aptos" w:hAnsi="Times New Roman" w:cs="Times New Roman"/>
            <w:color w:val="467886"/>
            <w:kern w:val="2"/>
            <w:sz w:val="21"/>
            <w:szCs w:val="24"/>
            <w:u w:val="single"/>
            <w:lang w:val="en-US"/>
            <w14:ligatures w14:val="standardContextual"/>
          </w:rPr>
          <w:t>100dot13sl220171@edu.fa.ru</w:t>
        </w:r>
      </w:hyperlink>
    </w:p>
    <w:p w14:paraId="6473C090"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47AF3545"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279B738E"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11ACE01C"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301E5DA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17FA9998"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03E3273A"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FF"/>
          <w:sz w:val="21"/>
          <w:szCs w:val="20"/>
          <w:u w:val="single"/>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178" w:history="1">
        <w:r w:rsidRPr="00877DE5">
          <w:rPr>
            <w:rFonts w:ascii="Times New Roman" w:eastAsia="Times New Roman" w:hAnsi="Times New Roman" w:cs="Times New Roman"/>
            <w:i/>
            <w:color w:val="0000FF"/>
            <w:sz w:val="21"/>
            <w:szCs w:val="20"/>
            <w:u w:val="single"/>
            <w:lang w:val="x-none" w:eastAsia="ar-SA"/>
          </w:rPr>
          <w:t>uyuroschektaeva@fa.ru</w:t>
        </w:r>
      </w:hyperlink>
    </w:p>
    <w:p w14:paraId="3C6488BA"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p>
    <w:p w14:paraId="77DE2B4C"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r w:rsidRPr="00877DE5">
        <w:rPr>
          <w:rFonts w:ascii="Times New Roman" w:eastAsia="Times New Roman" w:hAnsi="Times New Roman" w:cs="Times New Roman"/>
          <w:b/>
          <w:bCs/>
          <w:sz w:val="21"/>
          <w:szCs w:val="24"/>
          <w:lang w:val="en-US" w:eastAsia="ru-RU"/>
        </w:rPr>
        <w:t xml:space="preserve">Current issues in the application of Federal Accounting Standards </w:t>
      </w:r>
    </w:p>
    <w:p w14:paraId="212FF9BF"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p>
    <w:p w14:paraId="488CE708"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Abstract</w:t>
      </w:r>
      <w:r w:rsidRPr="00877DE5">
        <w:rPr>
          <w:rFonts w:ascii="Times New Roman" w:eastAsia="Times New Roman" w:hAnsi="Times New Roman" w:cs="Times New Roman"/>
          <w:sz w:val="21"/>
          <w:szCs w:val="24"/>
          <w:lang w:val="en-US" w:eastAsia="ru-RU"/>
        </w:rPr>
        <w:t>: The article examines current challenges in implementing Federal Accounting Standards (FSBU) in commercial enterprises. It discusses the objectives and legal framework for FSBU adoption (Federal Law No. 402-FZ, relevant Ministry of Finance orders), as well as key differences from previous Russian accounting regulations (PBU) and links to IFRS requirements. Special attention is given to practical issues: the need to restate comparative data for prior periods, aligning new reporting formats and calculations, aggregation/disaggregation of data, common errors under new rules (e.g. impairment, related-party transactions, long-term liabilities), insufficient disclosure details, and technical constraints (lack of automation, 1C software adjustments, manual data entry). The article provides examples of encountered difficulties based on ConsultantPlus and IFRS materials. The conclusion offers recommendations for accountants and IFRS specialists.</w:t>
      </w:r>
    </w:p>
    <w:p w14:paraId="60880528"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Keywords:</w:t>
      </w:r>
      <w:r w:rsidRPr="00877DE5">
        <w:rPr>
          <w:rFonts w:ascii="Times New Roman" w:eastAsia="Times New Roman" w:hAnsi="Times New Roman" w:cs="Times New Roman"/>
          <w:sz w:val="21"/>
          <w:szCs w:val="24"/>
          <w:lang w:val="en-US" w:eastAsia="ru-RU"/>
        </w:rPr>
        <w:t xml:space="preserve"> FSBU, federal accounting standards, financial reporting, retrospective restatement, IFRS, accounting transition, automation.</w:t>
      </w:r>
    </w:p>
    <w:p w14:paraId="5D3AB4E8"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p>
    <w:p w14:paraId="303B1F4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последние годы в российском бухучёте происходит переход на новую систему нормативных актов – Федеральные стандарты бухгалтерского учёта (ФСБУ). Их введение обусловлено задачей </w:t>
      </w:r>
      <w:r w:rsidRPr="00877DE5">
        <w:rPr>
          <w:rFonts w:ascii="Times New Roman" w:eastAsia="Times New Roman" w:hAnsi="Times New Roman" w:cs="Times New Roman"/>
          <w:sz w:val="32"/>
          <w:szCs w:val="32"/>
          <w:lang w:eastAsia="ru-RU"/>
        </w:rPr>
        <w:lastRenderedPageBreak/>
        <w:t xml:space="preserve">сближения отечественной финансовой отчётности с международными стандартами и применимо на основе Федерального закона от 06.12.2011 № 402-ФЗ «О бухгалтерском учёте». Разработку и утверждение ФСБУ осуществляет Минфин РФ (см. приказ от 17.09.2020 № 204н). В числе первых стандартов (ФСБУ 6/2020 «Основные средства», ФСБУ 26/2020 «Капитальные вложения») закреплена поэтапная схема внедрения: они применяются с отчётности 2022 года (законодательно 1 января 2022), при этом старые ПБУ (например, ПБУ 6/01 по ОС) признаны утратившими силу. Одновременно в 2023 году утверждён ФСБУ 4/2023 «Бухгалтерская (финансовая) отчётность», обязательный к применению с 2025 года. Актуальность темы определяется тем, что большинство коммерческих организаций испытывают сложности при переходе на ФСБУ: новые требования затрагивают методологию, формы отчётности и программные инструменты. </w:t>
      </w:r>
    </w:p>
    <w:p w14:paraId="672B5EA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ФСБУ представляют собой свод федеральных стандартов, каждый из которых регулирует отдельные объекты учёта (аналогично ПБУ). Например, ФСБУ 6/2020 и 26/2020 касаются основных средств и капитальных вложений [1], ФСБУ 25/2018 – аренды, ФСБУ 5/2019 – запасов и т. д. В отличие от ранее действовавших ПБУ, ФСБУ по большей части ориентированы на принципы МСФО (МСФО) – со строгим разделением категорий активов/обязательств, расширенными раскрытиями и новыми критериями признания. Так, ФСБУ 4/2023 изменил структуру отчётных форм: в балансе появились «Инвестиционная недвижимость» и «Долгосрочные активы к продаже», в пассиве – «Накопленная дооценка внеоборотных активов». Строго регламентируются критерии текущих и долгосрочных активов/обязательств. В этом смысле ФСБУ сближаются с МСФО: согласно IAS 1, например, организации обязаны представлять полные отчёты с учётом показателей двух предыдущих периодов, что совпадает с новой практикой ФСБУ по раскрытию сравнительных данных [2,3]. </w:t>
      </w:r>
      <w:bookmarkStart w:id="13" w:name="_Hlk198557666"/>
    </w:p>
    <w:bookmarkEnd w:id="13"/>
    <w:p w14:paraId="05DA01A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Существенным отличием является и переход на ФСБУ: при смене учётной политики последствия нужно отражать ретроспективно (аналогично требованию IAS 8 «Бухгалтерская политика»). Однако законодательство предусматривает выбор между полным и упрощённым пересчётом (как у арендаторов по ФСБУ 25/2018). Таким образом, переход к ФСБУ носит глубокий системный характер: он требует пересмотра учетных подходов, обновления регламентов и ИТ-</w:t>
      </w:r>
      <w:r w:rsidRPr="00877DE5">
        <w:rPr>
          <w:rFonts w:ascii="Times New Roman" w:eastAsia="Times New Roman" w:hAnsi="Times New Roman" w:cs="Times New Roman"/>
          <w:sz w:val="32"/>
          <w:szCs w:val="32"/>
          <w:lang w:eastAsia="ru-RU"/>
        </w:rPr>
        <w:lastRenderedPageBreak/>
        <w:t xml:space="preserve">систем. По сути, ФСБУ становятся новым рамочным регулированием учёта и отчётности в РФ [4,5]. </w:t>
      </w:r>
    </w:p>
    <w:p w14:paraId="177F5D1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При изменении учётной политики под требования ФСБУ организации вынуждены вносить корректировки в сравнительные показатели прошлых лет (переход в рамках ФСБУ, например, отражается «как если бы стандарт применялся всегда»). Это приводит к значительной нагрузке: необходимо пересчитать остатки, амортизацию и другие параметры за предыдущий год, а при невозможности ретроспективного пересчёта (например, по отдельным договорам аренды) часто применяют упрощённый подход. Стоит отметить, что и МСФО по общему правилу требует ретроспективного применения изменений (IAS 8), однако регуляторы признают, что полный пересчёт иногда затруднителен (считается крайне трудоёмким). В российских условиях учетные данные старых периодов могут быть неполными, что ещё более осложняет задачу.</w:t>
      </w:r>
    </w:p>
    <w:p w14:paraId="0C22C58D" w14:textId="77777777" w:rsidR="00877DE5" w:rsidRPr="00877DE5" w:rsidRDefault="00877DE5" w:rsidP="00AD58CD">
      <w:pPr>
        <w:numPr>
          <w:ilvl w:val="0"/>
          <w:numId w:val="20"/>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ФСБУ привели к корректировке форм бухгалтерской отчётности. ФСБУ 4/2023 утвердил новые шаблоны баланса, отчёта о финансовых результатах и пояснений. Многие строки были переименованы или введены заново; например, в активе баланса появились статьи по инвестиционной недвижимости и выбытиям, а в пассиве – «Накопленная дооценка внеоборотных активов». Изменения в классификации статей требуют переработки шаблонов «1С» и иных программ учёта. Приводит к необходимости согласования межформовых связей и формул. Для промежуточной отчётности ФСБУ 4/2023 теперь требует наличия показателей прошлых периодов, что также осложняет подготовку квартальных отчётов;</w:t>
      </w:r>
    </w:p>
    <w:p w14:paraId="2D015A50" w14:textId="77777777" w:rsidR="00877DE5" w:rsidRPr="00877DE5" w:rsidRDefault="00877DE5" w:rsidP="00AD58CD">
      <w:pPr>
        <w:numPr>
          <w:ilvl w:val="0"/>
          <w:numId w:val="20"/>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При выполнении требований ФСБУ нередко возникают сложности группирования и детализации показателей. Согласно исследованиям, «сложности с объединением и разделением данных в соответствии с требованиями МСФО могут привести к некорректному отражению финансовых результатов». Например, при переходе на новые стандарты бухгалтеры отмечают, что показатели выручки и денежных потоков могут не согласовываться (что усложняет сопоставимость с другими компаниями). Недостаточно чёткие указания при объединении схожих статей (с учётом уровня существенности) заставляют организации самостоятельно решать, какие данные аггрегировать, а какие раскрывать детально [6];</w:t>
      </w:r>
      <w:r w:rsidRPr="00877DE5">
        <w:rPr>
          <w:rFonts w:ascii="Times New Roman" w:eastAsia="Aptos" w:hAnsi="Times New Roman" w:cs="Times New Roman"/>
          <w:kern w:val="2"/>
          <w:sz w:val="24"/>
          <w:szCs w:val="24"/>
          <w14:ligatures w14:val="standardContextual"/>
        </w:rPr>
        <w:t xml:space="preserve"> </w:t>
      </w:r>
    </w:p>
    <w:p w14:paraId="27F2695C" w14:textId="77777777" w:rsidR="00877DE5" w:rsidRPr="00877DE5" w:rsidRDefault="00877DE5" w:rsidP="00AD58CD">
      <w:pPr>
        <w:numPr>
          <w:ilvl w:val="0"/>
          <w:numId w:val="20"/>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 многих ФСБУ введены новые правила оценки и раскрытия. По наблюдениям экспертов, часто совершаются ошибки при </w:t>
      </w:r>
      <w:r w:rsidRPr="00877DE5">
        <w:rPr>
          <w:rFonts w:ascii="Times New Roman" w:eastAsia="Times New Roman" w:hAnsi="Times New Roman" w:cs="Times New Roman"/>
          <w:sz w:val="32"/>
          <w:szCs w:val="32"/>
          <w:lang w:eastAsia="ru-RU"/>
        </w:rPr>
        <w:lastRenderedPageBreak/>
        <w:t>применении норм обесценения активов, расчёте обязательств и учёте операций со связанными сторонами. Так, ФСБУ перекликаются с МСФО в требовании признавать убытки от обесценения, если балансовая стоимость активов превышает возмещаемую, но бухгалтера могут не всегда правильно оценивать условие и величину обесценения. Аналогично, ФСБУ обращают внимание на отношения со связанными лицами, требуя раскрывать их влияние на отчётность. Ошибки в этих разделах могут привести к искажению финансового результата и неспособности прозрачного сравнения показателей. Также частыми являются неточности при разделе обязательств на долгосрочные и краткосрочные (например, реструктурированные долги могут рассматриваться по-разному), что усложняет подготовку корректного баланса [7];</w:t>
      </w:r>
    </w:p>
    <w:p w14:paraId="19C0AE0A" w14:textId="77777777" w:rsidR="00877DE5" w:rsidRPr="00877DE5" w:rsidRDefault="00877DE5" w:rsidP="00AD58CD">
      <w:pPr>
        <w:numPr>
          <w:ilvl w:val="0"/>
          <w:numId w:val="20"/>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ФСБУ 4/2023 усилил требования к раскрытию информации: компании должны раскрывать существенные события после отчётной даты и иные факторы, влияющие на отчётность. На практике наблюдаются случаи, когда организации не дают в пояснениях достаточной информации – например, не описывают изменение учетной политики по ОС или не раскрывают условия крупных сделок. Это снижает понятность отчётов для пользователей и противоречит духу открытости, заложенному в стандартах. Как отмечает ряд экспертов, отсутствие необходимых пояснений и раскрытий существенно затрудняет понимание финансового состояния компании.</w:t>
      </w:r>
    </w:p>
    <w:p w14:paraId="0FE17147" w14:textId="77777777" w:rsidR="00877DE5" w:rsidRPr="00877DE5" w:rsidRDefault="00877DE5" w:rsidP="00AD58CD">
      <w:pPr>
        <w:numPr>
          <w:ilvl w:val="0"/>
          <w:numId w:val="20"/>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Переход на ФСБУ сталкивается с проблемами программной поддержки. Не все конфигурации «1С» или других систем сразу готовы к новым стандартам, поэтому бухгалтеры часто выполняют расчёты вручную. Например, при альтернативном переходе на ФСБУ 6/2020 основные средства нужно вводить в «1С» вручную с учётом корректировок по ФСБУ (см. пошаговую инструкцию). Нехватка автоматизации повышает риск ошибок при вводе данных из одних таблиц в другие. Использование разрозненных Excel-таблиц и ручных проводок (как отмечают практики) ведёт к трудностям сопоставления показателей между формами. В итоге участники рынка полагают, что при переходе на ФСБУ необходимо заранее внедрять специализированные ИТ-решения и регулярно проверять расчёты на корректность [8]. </w:t>
      </w:r>
    </w:p>
    <w:p w14:paraId="56C37AB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Рассмотрим конкретные примеры, фиксируемые в бухгалтерской практике и обсуждаемые в профессиональных источниках. Так, при переходе на ФСБУ 6/2020 «Основные средства» организации </w:t>
      </w:r>
      <w:r w:rsidRPr="00877DE5">
        <w:rPr>
          <w:rFonts w:ascii="Times New Roman" w:eastAsia="Times New Roman" w:hAnsi="Times New Roman" w:cs="Times New Roman"/>
          <w:sz w:val="32"/>
          <w:szCs w:val="32"/>
          <w:lang w:eastAsia="ru-RU"/>
        </w:rPr>
        <w:lastRenderedPageBreak/>
        <w:t>отмечают: если модуль «1С» не поддерживает автоматический перевод данных, необходимо вручную пересчитать остаточную стоимость и амортизацию основных средств, а затем скорректировать остатки в программе. В «Бухэксперт» описан сценарий, когда при альтернативном переходе бухгалтеры закрывают старый год, а затем в «1С» вводят откорректированные остатки ОС на 01.01.2022 вручную. Такая практика кропотлива и подвержена ошибкам («человек — человеку рознь»): если неверно перенести проводку, данные баланса и ОФР расходятся.</w:t>
      </w:r>
    </w:p>
    <w:p w14:paraId="2448D5F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Другой пример – применение ФСБУ 25/2018 «Аренда». По общему правилу стандарт предписывает ретроспективный пересчёт прошлых периодов. Однако ФСБУ разрешает при переходе отказаться от полного пересчёта: арендатор может не признавать право пользования активом и обязательство по аренде для договоров, срок исполнения которых заканчивается до конца переходного периода. На практике бухгалтеры часто задаются вопросом: как применять это послабление и насколько оно целесообразно. При таких договорах арендатор вправе не пересчитывать показатель, но недостаточная методологическая проработка внятно сформулированных указаний приводит к неуверенности и двойным трактовкам в отчетности. В сравнении с МСФО: при внедрении стандарта МСФО 16 арендаторы могли выбирать полную или сокращённую ретроспективу (с аналогичным обоснованием упрощения). Однако в российских реалиях «хоть и допускается упрощённый подход, в большинстве случаев бухгалтеры вынуждены проверять оба варианта вручную, что удваивает работу» [9]. </w:t>
      </w:r>
    </w:p>
    <w:p w14:paraId="19444F4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Также следует отметить практики раскрытия информации. В ФСБУ 4/2023 напрямую указывается, что все формы отчётности (включая промежуточные) должны содержать показатели за предыдущий период. Тем не менее нередко компании публикуют квартальную отчётность без сравнительной таблицы или с неполными пояснениями. Аналогично, отсутствие разъяснений к существенным изменениям в учётной политике (например, к переходу на ФСБУ 6/2020 или ФСБУ 25/2018) приводит к претензиям контролирующих органов. Для примера: наблюдается, что данные консолидации или сведения о связанных сторонах в пояснениях даются недостаточно подробно, хотя по МСФО такие раскрытия обязательны (IAS 24 требует раскрывать существенность связанных отношений и операций). Отмечается в разъяснениях как </w:t>
      </w:r>
      <w:r w:rsidRPr="00877DE5">
        <w:rPr>
          <w:rFonts w:ascii="Times New Roman" w:eastAsia="Times New Roman" w:hAnsi="Times New Roman" w:cs="Times New Roman"/>
          <w:sz w:val="32"/>
          <w:szCs w:val="32"/>
          <w:lang w:eastAsia="ru-RU"/>
        </w:rPr>
        <w:lastRenderedPageBreak/>
        <w:t xml:space="preserve">распространённая ошибка – пользователи отчёта не могут оценить, как новые правила (например, по обесценению или лизингу) повлияли на результат [10]. </w:t>
      </w:r>
    </w:p>
    <w:p w14:paraId="6CA115C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целом практические примеры указывают: ФСБУ сильно усилили требования к детализации данных и полноте отчётности. Наглядно демонстрируют сложность перехода кейсы из реальных компаний и консультации экспертов. Так, одной из рекомендаций профильных источников является ранняя апробация новых форм на пилотных балансах и проверка согласованности с формами старого образца – с целью минимизировать нарушения требований ФСБУ при официальной сдаче отчётности.</w:t>
      </w:r>
    </w:p>
    <w:p w14:paraId="7ACD50B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Переход на Федеральные стандарты бухгалтерского учёта представляет собой комплексный вызов для коммерческих организаций. С одной стороны, ФСБУ повышают качество и сопоставимость отчётности (приближая её к МСФО), с другой – усложняют ежедневную работу бухгалтера. В статье выявлены ключевые проблемы: требование ретроспективного пересчёта, необходимость адаптации новых форм, сложности объединения/расчленения данных, типичные ошибки в расчётах и раскрытиях, а также технические препятствия автоматизации. Эти факторы увеличивают объём подготовки отчётности и риски искажений.</w:t>
      </w:r>
    </w:p>
    <w:p w14:paraId="319EDCE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Для преодоления проблем следует: </w:t>
      </w:r>
    </w:p>
    <w:p w14:paraId="368CF144" w14:textId="77777777" w:rsidR="00877DE5" w:rsidRPr="00877DE5" w:rsidRDefault="00877DE5" w:rsidP="00AD58CD">
      <w:pPr>
        <w:numPr>
          <w:ilvl w:val="0"/>
          <w:numId w:val="22"/>
        </w:numPr>
        <w:spacing w:after="0" w:line="240" w:lineRule="auto"/>
        <w:ind w:left="0" w:firstLine="709"/>
        <w:contextualSpacing/>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заранее планировать переход, создавать детализированный план внедрения ФСБУ; </w:t>
      </w:r>
    </w:p>
    <w:p w14:paraId="5810A0C2" w14:textId="77777777" w:rsidR="00877DE5" w:rsidRPr="00877DE5" w:rsidRDefault="00877DE5" w:rsidP="00AD58CD">
      <w:pPr>
        <w:numPr>
          <w:ilvl w:val="0"/>
          <w:numId w:val="22"/>
        </w:numPr>
        <w:spacing w:after="0" w:line="240" w:lineRule="auto"/>
        <w:ind w:left="0" w:firstLine="709"/>
        <w:contextualSpacing/>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настраивать системы «1С» или иное ПО под новые учётные правила; </w:t>
      </w:r>
    </w:p>
    <w:p w14:paraId="10F41144" w14:textId="77777777" w:rsidR="00877DE5" w:rsidRPr="00877DE5" w:rsidRDefault="00877DE5" w:rsidP="00AD58CD">
      <w:pPr>
        <w:numPr>
          <w:ilvl w:val="0"/>
          <w:numId w:val="22"/>
        </w:numPr>
        <w:spacing w:after="0" w:line="240" w:lineRule="auto"/>
        <w:ind w:left="0" w:firstLine="709"/>
        <w:contextualSpacing/>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обучать персонал новым требованиям и особенностям стандартизированных форм; </w:t>
      </w:r>
    </w:p>
    <w:p w14:paraId="7E47088F" w14:textId="77777777" w:rsidR="00877DE5" w:rsidRPr="00877DE5" w:rsidRDefault="00877DE5" w:rsidP="00AD58CD">
      <w:pPr>
        <w:numPr>
          <w:ilvl w:val="0"/>
          <w:numId w:val="22"/>
        </w:numPr>
        <w:spacing w:after="0" w:line="240" w:lineRule="auto"/>
        <w:ind w:left="0" w:firstLine="709"/>
        <w:contextualSpacing/>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тщательно документировать и раскрывать все изменения учётной политики. </w:t>
      </w:r>
    </w:p>
    <w:p w14:paraId="0620524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Рекомендуется также руководствоваться практическими разъяснениями и консультациями экспертов по МСФО, учитывать допуски, предусмотренные самими ФСБУ (альтернативные подходы при переходе). Автоматизация подготовки отчётности и создание единой базы учётной информации также помогут минимизировать ошибки ручного ввода. Следует подчеркнуть: опыт зарубежных стандартов (например, МСФО) показывает, что ретроспективная </w:t>
      </w:r>
      <w:r w:rsidRPr="00877DE5">
        <w:rPr>
          <w:rFonts w:ascii="Times New Roman" w:eastAsia="Times New Roman" w:hAnsi="Times New Roman" w:cs="Times New Roman"/>
          <w:sz w:val="32"/>
          <w:szCs w:val="32"/>
          <w:lang w:eastAsia="ru-RU"/>
        </w:rPr>
        <w:lastRenderedPageBreak/>
        <w:t>готовность и тщательная предварительная настройка – залог корректности финансовых отчётов и прозрачности бизнеса.</w:t>
      </w:r>
    </w:p>
    <w:p w14:paraId="21006EA4" w14:textId="77777777" w:rsidR="00877DE5" w:rsidRPr="00877DE5" w:rsidRDefault="00877DE5" w:rsidP="00067100">
      <w:pPr>
        <w:spacing w:after="0" w:line="240" w:lineRule="auto"/>
        <w:ind w:firstLine="709"/>
        <w:rPr>
          <w:rFonts w:ascii="Times New Roman" w:eastAsia="Aptos" w:hAnsi="Times New Roman" w:cs="Times New Roman"/>
          <w:kern w:val="2"/>
          <w:sz w:val="24"/>
          <w:szCs w:val="24"/>
          <w14:ligatures w14:val="standardContextual"/>
        </w:rPr>
      </w:pPr>
    </w:p>
    <w:p w14:paraId="28A15A0E"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510881B5"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Приказ Минфина России от 17.09.2020 N 204н (ред. от 30.05.2022) «Об утверждении Федеральных стандартов бухгалтерского учета ФСБУ 6/2020 «Основные средства» и ФСБУ 26/2020 «Капитальные вложения» (Зарегистрировано в Минюсте России 15.10.2020 N 60399) </w:t>
      </w:r>
      <w:r w:rsidRPr="00877DE5">
        <w:rPr>
          <w:rFonts w:ascii="Times New Roman" w:eastAsia="Aptos" w:hAnsi="Times New Roman" w:cs="Times New Roman"/>
          <w:kern w:val="2"/>
          <w:sz w:val="21"/>
          <w:szCs w:val="20"/>
          <w14:ligatures w14:val="standardContextual"/>
        </w:rPr>
        <w:t xml:space="preserve">[Электронный ресурс: </w:t>
      </w:r>
      <w:hyperlink r:id="rId179" w:history="1">
        <w:r w:rsidRPr="00877DE5">
          <w:rPr>
            <w:rFonts w:ascii="Times New Roman" w:eastAsia="Times New Roman" w:hAnsi="Times New Roman" w:cs="Times New Roman"/>
            <w:color w:val="467886"/>
            <w:sz w:val="21"/>
            <w:szCs w:val="20"/>
            <w:u w:val="single"/>
            <w:lang w:eastAsia="ru-RU"/>
          </w:rPr>
          <w:t>https://www.consultant.ru/document/cons_doc_LAW_365338/2ff7a8c72de3994f30496a0ccbb1ddafdaddf518/</w:t>
        </w:r>
      </w:hyperlink>
      <w:r w:rsidRPr="00877DE5">
        <w:rPr>
          <w:rFonts w:ascii="Times New Roman" w:eastAsia="Times New Roman" w:hAnsi="Times New Roman" w:cs="Times New Roman"/>
          <w:sz w:val="21"/>
          <w:szCs w:val="20"/>
          <w:lang w:eastAsia="ru-RU"/>
        </w:rPr>
        <w:t xml:space="preserve"> (дата обращения 19.05.2025)];</w:t>
      </w:r>
    </w:p>
    <w:p w14:paraId="4E64E68D"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ФСБУ 4/2023: требования к бухгалтерской отчетности с 2025 года </w:t>
      </w:r>
      <w:r w:rsidRPr="00877DE5">
        <w:rPr>
          <w:rFonts w:ascii="Times New Roman" w:eastAsia="Aptos" w:hAnsi="Times New Roman" w:cs="Times New Roman"/>
          <w:kern w:val="2"/>
          <w:sz w:val="21"/>
          <w:szCs w:val="20"/>
          <w14:ligatures w14:val="standardContextual"/>
        </w:rPr>
        <w:t xml:space="preserve">[Электронный ресурс: </w:t>
      </w:r>
      <w:hyperlink r:id="rId180" w:history="1">
        <w:r w:rsidRPr="00877DE5">
          <w:rPr>
            <w:rFonts w:ascii="Times New Roman" w:eastAsia="Times New Roman" w:hAnsi="Times New Roman" w:cs="Times New Roman"/>
            <w:color w:val="467886"/>
            <w:sz w:val="21"/>
            <w:szCs w:val="20"/>
            <w:u w:val="single"/>
            <w:lang w:eastAsia="ru-RU"/>
          </w:rPr>
          <w:t>https://1c-o.ru/blog/articles/fsbu-42023-trebovaniya-k-buhgalterskoj-otchetnosti-s-2025-goda</w:t>
        </w:r>
      </w:hyperlink>
      <w:r w:rsidRPr="00877DE5">
        <w:rPr>
          <w:rFonts w:ascii="Times New Roman" w:eastAsia="Times New Roman" w:hAnsi="Times New Roman" w:cs="Times New Roman"/>
          <w:sz w:val="21"/>
          <w:szCs w:val="20"/>
          <w:lang w:eastAsia="ru-RU"/>
        </w:rPr>
        <w:t xml:space="preserve"> (дата обращения 19.05.2025)];</w:t>
      </w:r>
    </w:p>
    <w:p w14:paraId="0FED9B59"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val="en-US" w:eastAsia="ru-RU"/>
        </w:rPr>
      </w:pPr>
      <w:r w:rsidRPr="00877DE5">
        <w:rPr>
          <w:rFonts w:ascii="Times New Roman" w:eastAsia="Aptos" w:hAnsi="Times New Roman" w:cs="Times New Roman"/>
          <w:kern w:val="2"/>
          <w:sz w:val="21"/>
          <w:szCs w:val="20"/>
          <w:lang w:val="en-US"/>
          <w14:ligatures w14:val="standardContextual"/>
        </w:rPr>
        <w:t>IAS 1 Presentation of Financial Statements [</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181" w:history="1">
        <w:r w:rsidRPr="00877DE5">
          <w:rPr>
            <w:rFonts w:ascii="Times New Roman" w:eastAsia="Times New Roman" w:hAnsi="Times New Roman" w:cs="Times New Roman"/>
            <w:color w:val="467886"/>
            <w:sz w:val="21"/>
            <w:szCs w:val="20"/>
            <w:u w:val="single"/>
            <w:lang w:val="en-US" w:eastAsia="ru-RU"/>
          </w:rPr>
          <w:t>https://www.ifrs.org/content/dam/ifrs/publications/pdf-standards/english/2022/issued/part-a/ias-1-presentation-of-financial-statements.pdf?bypass=on</w:t>
        </w:r>
      </w:hyperlink>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дата</w:t>
      </w:r>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обращения</w:t>
      </w:r>
      <w:r w:rsidRPr="00877DE5">
        <w:rPr>
          <w:rFonts w:ascii="Times New Roman" w:eastAsia="Times New Roman" w:hAnsi="Times New Roman" w:cs="Times New Roman"/>
          <w:sz w:val="21"/>
          <w:szCs w:val="20"/>
          <w:lang w:val="en-US" w:eastAsia="ru-RU"/>
        </w:rPr>
        <w:t xml:space="preserve"> 19.05.2025)];</w:t>
      </w:r>
    </w:p>
    <w:p w14:paraId="296D5CEE"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Приказ Минфина России от 16.10.2018 N 208н (ред. от 29.06.2022) «Об утверждении Федерального стандарта бухгалтерского учета ФСБУ 25/2018 «Бухгалтерский учет аренды» (вместе с «ФСБУ 25/2018...») (Зарегистрировано в Минюсте России 25.12.2018 N 53162) </w:t>
      </w:r>
      <w:r w:rsidRPr="00877DE5">
        <w:rPr>
          <w:rFonts w:ascii="Times New Roman" w:eastAsia="Aptos" w:hAnsi="Times New Roman" w:cs="Times New Roman"/>
          <w:kern w:val="2"/>
          <w:sz w:val="21"/>
          <w:szCs w:val="20"/>
          <w14:ligatures w14:val="standardContextual"/>
        </w:rPr>
        <w:t xml:space="preserve">[Электронный ресурс: </w:t>
      </w:r>
      <w:hyperlink r:id="rId182" w:history="1">
        <w:r w:rsidRPr="00877DE5">
          <w:rPr>
            <w:rFonts w:ascii="Times New Roman" w:eastAsia="Times New Roman" w:hAnsi="Times New Roman" w:cs="Times New Roman"/>
            <w:color w:val="467886"/>
            <w:sz w:val="21"/>
            <w:szCs w:val="20"/>
            <w:u w:val="single"/>
            <w:lang w:eastAsia="ru-RU"/>
          </w:rPr>
          <w:t>https://www.consultant.ru/document/cons_doc_LAW_314504/e85329935d101f314ccdaedbe8b25f1be3b390a1/</w:t>
        </w:r>
      </w:hyperlink>
      <w:r w:rsidRPr="00877DE5">
        <w:rPr>
          <w:rFonts w:ascii="Times New Roman" w:eastAsia="Times New Roman" w:hAnsi="Times New Roman" w:cs="Times New Roman"/>
          <w:sz w:val="21"/>
          <w:szCs w:val="20"/>
          <w:lang w:eastAsia="ru-RU"/>
        </w:rPr>
        <w:t xml:space="preserve"> (дата обращения 19.05.2025)];</w:t>
      </w:r>
    </w:p>
    <w:p w14:paraId="6392E7C2"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val="en-US" w:eastAsia="ru-RU"/>
        </w:rPr>
      </w:pPr>
      <w:r w:rsidRPr="00877DE5">
        <w:rPr>
          <w:rFonts w:ascii="Times New Roman" w:eastAsia="Times New Roman" w:hAnsi="Times New Roman" w:cs="Times New Roman"/>
          <w:sz w:val="21"/>
          <w:szCs w:val="20"/>
          <w:lang w:val="en-US" w:eastAsia="ru-RU"/>
        </w:rPr>
        <w:t xml:space="preserve">IAS 8 Basis of Preparation of Financial Statements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183" w:history="1">
        <w:r w:rsidRPr="00877DE5">
          <w:rPr>
            <w:rFonts w:ascii="Times New Roman" w:eastAsia="Times New Roman" w:hAnsi="Times New Roman" w:cs="Times New Roman"/>
            <w:color w:val="467886"/>
            <w:sz w:val="21"/>
            <w:szCs w:val="20"/>
            <w:u w:val="single"/>
            <w:lang w:val="en-US" w:eastAsia="ru-RU"/>
          </w:rPr>
          <w:t>www.ifrs.org/issued-standards/list-of-standards/ias-8-accounting-policies-changes-in-accounting-estimates-and-errors/</w:t>
        </w:r>
      </w:hyperlink>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дата</w:t>
      </w:r>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обращения</w:t>
      </w:r>
      <w:r w:rsidRPr="00877DE5">
        <w:rPr>
          <w:rFonts w:ascii="Times New Roman" w:eastAsia="Times New Roman" w:hAnsi="Times New Roman" w:cs="Times New Roman"/>
          <w:sz w:val="21"/>
          <w:szCs w:val="20"/>
          <w:lang w:val="en-US" w:eastAsia="ru-RU"/>
        </w:rPr>
        <w:t xml:space="preserve"> 19.05.2025)];</w:t>
      </w:r>
    </w:p>
    <w:p w14:paraId="15D1DA64"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val="en-US" w:eastAsia="ru-RU"/>
        </w:rPr>
      </w:pPr>
      <w:r w:rsidRPr="00877DE5">
        <w:rPr>
          <w:rFonts w:ascii="Times New Roman" w:eastAsia="Aptos" w:hAnsi="Times New Roman" w:cs="Times New Roman"/>
          <w:kern w:val="2"/>
          <w:sz w:val="21"/>
          <w:szCs w:val="20"/>
          <w14:ligatures w14:val="standardContextual"/>
        </w:rPr>
        <w:t xml:space="preserve">ФСБУ 4/2023: с какими сложностями столкнется бизнес и как их избежать?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184" w:history="1">
        <w:r w:rsidRPr="00877DE5">
          <w:rPr>
            <w:rFonts w:ascii="Times New Roman" w:eastAsia="Times New Roman" w:hAnsi="Times New Roman" w:cs="Times New Roman"/>
            <w:color w:val="467886"/>
            <w:sz w:val="21"/>
            <w:szCs w:val="20"/>
            <w:u w:val="single"/>
            <w:lang w:val="en-US" w:eastAsia="ru-RU"/>
          </w:rPr>
          <w:t>https://www.klerk.ru/user/2485581/629273/</w:t>
        </w:r>
      </w:hyperlink>
      <w:r w:rsidRPr="00877DE5">
        <w:rPr>
          <w:rFonts w:ascii="Times New Roman" w:eastAsia="Times New Roman" w:hAnsi="Times New Roman" w:cs="Times New Roman"/>
          <w:sz w:val="21"/>
          <w:szCs w:val="20"/>
          <w:lang w:eastAsia="ru-RU"/>
        </w:rPr>
        <w:t xml:space="preserve"> </w:t>
      </w:r>
      <w:r w:rsidRPr="00877DE5">
        <w:rPr>
          <w:rFonts w:ascii="Times New Roman" w:eastAsia="Times New Roman" w:hAnsi="Times New Roman" w:cs="Times New Roman"/>
          <w:sz w:val="21"/>
          <w:szCs w:val="20"/>
          <w:lang w:val="en-US" w:eastAsia="ru-RU"/>
        </w:rPr>
        <w:t>(</w:t>
      </w:r>
      <w:r w:rsidRPr="00877DE5">
        <w:rPr>
          <w:rFonts w:ascii="Times New Roman" w:eastAsia="Times New Roman" w:hAnsi="Times New Roman" w:cs="Times New Roman"/>
          <w:sz w:val="21"/>
          <w:szCs w:val="20"/>
          <w:lang w:eastAsia="ru-RU"/>
        </w:rPr>
        <w:t>дата</w:t>
      </w:r>
      <w:r w:rsidRPr="00877DE5">
        <w:rPr>
          <w:rFonts w:ascii="Times New Roman" w:eastAsia="Times New Roman" w:hAnsi="Times New Roman" w:cs="Times New Roman"/>
          <w:sz w:val="21"/>
          <w:szCs w:val="20"/>
          <w:lang w:val="en-US" w:eastAsia="ru-RU"/>
        </w:rPr>
        <w:t xml:space="preserve"> </w:t>
      </w:r>
      <w:r w:rsidRPr="00877DE5">
        <w:rPr>
          <w:rFonts w:ascii="Times New Roman" w:eastAsia="Times New Roman" w:hAnsi="Times New Roman" w:cs="Times New Roman"/>
          <w:sz w:val="21"/>
          <w:szCs w:val="20"/>
          <w:lang w:eastAsia="ru-RU"/>
        </w:rPr>
        <w:t>обращения</w:t>
      </w:r>
      <w:r w:rsidRPr="00877DE5">
        <w:rPr>
          <w:rFonts w:ascii="Times New Roman" w:eastAsia="Times New Roman" w:hAnsi="Times New Roman" w:cs="Times New Roman"/>
          <w:sz w:val="21"/>
          <w:szCs w:val="20"/>
          <w:lang w:val="en-US" w:eastAsia="ru-RU"/>
        </w:rPr>
        <w:t xml:space="preserve"> 19.05.2025)].</w:t>
      </w:r>
    </w:p>
    <w:p w14:paraId="2EB3EACC"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val="en-US" w:eastAsia="ru-RU"/>
        </w:rPr>
        <w:t>IAS</w:t>
      </w:r>
      <w:r w:rsidRPr="00877DE5">
        <w:rPr>
          <w:rFonts w:ascii="Times New Roman" w:eastAsia="Times New Roman" w:hAnsi="Times New Roman" w:cs="Times New Roman"/>
          <w:sz w:val="21"/>
          <w:szCs w:val="20"/>
          <w:lang w:eastAsia="ru-RU"/>
        </w:rPr>
        <w:t xml:space="preserve"> 36 </w:t>
      </w:r>
      <w:r w:rsidRPr="00877DE5">
        <w:rPr>
          <w:rFonts w:ascii="Times New Roman" w:eastAsia="Times New Roman" w:hAnsi="Times New Roman" w:cs="Times New Roman"/>
          <w:sz w:val="21"/>
          <w:szCs w:val="20"/>
          <w:lang w:val="en-US" w:eastAsia="ru-RU"/>
        </w:rPr>
        <w:t>Impairment</w:t>
      </w:r>
      <w:r w:rsidRPr="00877DE5">
        <w:rPr>
          <w:rFonts w:ascii="Times New Roman" w:eastAsia="Times New Roman" w:hAnsi="Times New Roman" w:cs="Times New Roman"/>
          <w:sz w:val="21"/>
          <w:szCs w:val="20"/>
          <w:lang w:eastAsia="ru-RU"/>
        </w:rPr>
        <w:t xml:space="preserve"> </w:t>
      </w:r>
      <w:r w:rsidRPr="00877DE5">
        <w:rPr>
          <w:rFonts w:ascii="Times New Roman" w:eastAsia="Times New Roman" w:hAnsi="Times New Roman" w:cs="Times New Roman"/>
          <w:sz w:val="21"/>
          <w:szCs w:val="20"/>
          <w:lang w:val="en-US" w:eastAsia="ru-RU"/>
        </w:rPr>
        <w:t>of</w:t>
      </w:r>
      <w:r w:rsidRPr="00877DE5">
        <w:rPr>
          <w:rFonts w:ascii="Times New Roman" w:eastAsia="Times New Roman" w:hAnsi="Times New Roman" w:cs="Times New Roman"/>
          <w:sz w:val="21"/>
          <w:szCs w:val="20"/>
          <w:lang w:eastAsia="ru-RU"/>
        </w:rPr>
        <w:t xml:space="preserve"> </w:t>
      </w:r>
      <w:r w:rsidRPr="00877DE5">
        <w:rPr>
          <w:rFonts w:ascii="Times New Roman" w:eastAsia="Times New Roman" w:hAnsi="Times New Roman" w:cs="Times New Roman"/>
          <w:sz w:val="21"/>
          <w:szCs w:val="20"/>
          <w:lang w:val="en-US" w:eastAsia="ru-RU"/>
        </w:rPr>
        <w:t>Assets</w:t>
      </w:r>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 xml:space="preserve">[Электронный ресурс: </w:t>
      </w:r>
      <w:hyperlink r:id="rId185" w:history="1">
        <w:r w:rsidRPr="00877DE5">
          <w:rPr>
            <w:rFonts w:ascii="Times New Roman" w:eastAsia="Times New Roman" w:hAnsi="Times New Roman" w:cs="Times New Roman"/>
            <w:color w:val="467886"/>
            <w:sz w:val="21"/>
            <w:szCs w:val="20"/>
            <w:u w:val="single"/>
            <w:lang w:val="en-US" w:eastAsia="ru-RU"/>
          </w:rPr>
          <w:t>https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www</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ifrs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org</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issued</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standards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list</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of</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standards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ias</w:t>
        </w:r>
        <w:r w:rsidRPr="00877DE5">
          <w:rPr>
            <w:rFonts w:ascii="Times New Roman" w:eastAsia="Times New Roman" w:hAnsi="Times New Roman" w:cs="Times New Roman"/>
            <w:color w:val="467886"/>
            <w:sz w:val="21"/>
            <w:szCs w:val="20"/>
            <w:u w:val="single"/>
            <w:lang w:eastAsia="ru-RU"/>
          </w:rPr>
          <w:t>-36-</w:t>
        </w:r>
        <w:r w:rsidRPr="00877DE5">
          <w:rPr>
            <w:rFonts w:ascii="Times New Roman" w:eastAsia="Times New Roman" w:hAnsi="Times New Roman" w:cs="Times New Roman"/>
            <w:color w:val="467886"/>
            <w:sz w:val="21"/>
            <w:szCs w:val="20"/>
            <w:u w:val="single"/>
            <w:lang w:val="en-US" w:eastAsia="ru-RU"/>
          </w:rPr>
          <w:t>impairment</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of</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assets</w:t>
        </w:r>
        <w:r w:rsidRPr="00877DE5">
          <w:rPr>
            <w:rFonts w:ascii="Times New Roman" w:eastAsia="Times New Roman" w:hAnsi="Times New Roman" w:cs="Times New Roman"/>
            <w:color w:val="467886"/>
            <w:sz w:val="21"/>
            <w:szCs w:val="20"/>
            <w:u w:val="single"/>
            <w:lang w:eastAsia="ru-RU"/>
          </w:rPr>
          <w:t>/</w:t>
        </w:r>
      </w:hyperlink>
      <w:r w:rsidRPr="00877DE5">
        <w:rPr>
          <w:rFonts w:ascii="Times New Roman" w:eastAsia="Times New Roman" w:hAnsi="Times New Roman" w:cs="Times New Roman"/>
          <w:sz w:val="21"/>
          <w:szCs w:val="20"/>
          <w:lang w:eastAsia="ru-RU"/>
        </w:rPr>
        <w:t xml:space="preserve"> (дата обращения 19.05.2025)];</w:t>
      </w:r>
    </w:p>
    <w:p w14:paraId="47435DFD"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Как при альтернативном переходе на ФСБУ 6/2020 подготовиться к вводу остатков ОС или переходу с 2.0 на 3.0 в 1С? </w:t>
      </w:r>
      <w:r w:rsidRPr="00877DE5">
        <w:rPr>
          <w:rFonts w:ascii="Times New Roman" w:eastAsia="Aptos" w:hAnsi="Times New Roman" w:cs="Times New Roman"/>
          <w:kern w:val="2"/>
          <w:sz w:val="21"/>
          <w:szCs w:val="20"/>
          <w14:ligatures w14:val="standardContextual"/>
        </w:rPr>
        <w:t xml:space="preserve">[Электронный ресурс: </w:t>
      </w:r>
      <w:hyperlink r:id="rId186" w:history="1">
        <w:r w:rsidRPr="00877DE5">
          <w:rPr>
            <w:rFonts w:ascii="Times New Roman" w:eastAsia="Times New Roman" w:hAnsi="Times New Roman" w:cs="Times New Roman"/>
            <w:color w:val="467886"/>
            <w:sz w:val="21"/>
            <w:szCs w:val="20"/>
            <w:u w:val="single"/>
            <w:lang w:eastAsia="ru-RU"/>
          </w:rPr>
          <w:t>https://buhexpert8.ru/1s-buhgalteriya/osnovnye-sredstva/fsbu-6-2020-26-2020-os/kak-pri-alternativnom-perehode-na-fsbu-6-2020-podgotovitsya-k-vvodu-ostatkov-os-v-1s.html</w:t>
        </w:r>
      </w:hyperlink>
      <w:r w:rsidRPr="00877DE5">
        <w:rPr>
          <w:rFonts w:ascii="Times New Roman" w:eastAsia="Times New Roman" w:hAnsi="Times New Roman" w:cs="Times New Roman"/>
          <w:sz w:val="21"/>
          <w:szCs w:val="20"/>
          <w:lang w:eastAsia="ru-RU"/>
        </w:rPr>
        <w:t xml:space="preserve"> (дата обращения 19.05.2025)];</w:t>
      </w:r>
    </w:p>
    <w:p w14:paraId="7E79907E"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Приказ Минфина России от 16.10.2018 N 208н (ред. от 29.06.2022) «Об утверждении Федерального стандарта бухгалтерского учета ФСБУ 25/2018 «Бухгалтерский учет аренды» (вместе с «ФСБУ 25/2018...») (Зарегистрировано в Минюсте России 25.12.2018 N 53162) </w:t>
      </w:r>
      <w:r w:rsidRPr="00877DE5">
        <w:rPr>
          <w:rFonts w:ascii="Times New Roman" w:eastAsia="Aptos" w:hAnsi="Times New Roman" w:cs="Times New Roman"/>
          <w:kern w:val="2"/>
          <w:sz w:val="21"/>
          <w:szCs w:val="20"/>
          <w14:ligatures w14:val="standardContextual"/>
        </w:rPr>
        <w:t xml:space="preserve">[Электронный ресурс: </w:t>
      </w:r>
      <w:hyperlink r:id="rId187" w:history="1">
        <w:r w:rsidRPr="00877DE5">
          <w:rPr>
            <w:rFonts w:ascii="Times New Roman" w:eastAsia="Times New Roman" w:hAnsi="Times New Roman" w:cs="Times New Roman"/>
            <w:color w:val="467886"/>
            <w:sz w:val="21"/>
            <w:szCs w:val="20"/>
            <w:u w:val="single"/>
            <w:lang w:eastAsia="ru-RU"/>
          </w:rPr>
          <w:t>https://www.consultant.ru/document/cons_doc_LAW_314504/e85329935d101f314ccdaedbe8b25f1be3b390a1/</w:t>
        </w:r>
      </w:hyperlink>
      <w:r w:rsidRPr="00877DE5">
        <w:rPr>
          <w:rFonts w:ascii="Times New Roman" w:eastAsia="Times New Roman" w:hAnsi="Times New Roman" w:cs="Times New Roman"/>
          <w:sz w:val="21"/>
          <w:szCs w:val="20"/>
          <w:lang w:eastAsia="ru-RU"/>
        </w:rPr>
        <w:t xml:space="preserve"> (дата обращения 19.05.2025)];</w:t>
      </w:r>
    </w:p>
    <w:p w14:paraId="18A92CF5" w14:textId="77777777" w:rsidR="00877DE5" w:rsidRPr="00877DE5" w:rsidRDefault="00877DE5" w:rsidP="00AD58CD">
      <w:pPr>
        <w:numPr>
          <w:ilvl w:val="0"/>
          <w:numId w:val="21"/>
        </w:numPr>
        <w:spacing w:after="0" w:line="240" w:lineRule="auto"/>
        <w:ind w:left="0" w:firstLine="709"/>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val="en-US" w:eastAsia="ru-RU"/>
        </w:rPr>
        <w:t>IAS</w:t>
      </w:r>
      <w:r w:rsidRPr="00877DE5">
        <w:rPr>
          <w:rFonts w:ascii="Times New Roman" w:eastAsia="Times New Roman" w:hAnsi="Times New Roman" w:cs="Times New Roman"/>
          <w:sz w:val="21"/>
          <w:szCs w:val="20"/>
          <w:lang w:eastAsia="ru-RU"/>
        </w:rPr>
        <w:t xml:space="preserve"> 24 </w:t>
      </w:r>
      <w:r w:rsidRPr="00877DE5">
        <w:rPr>
          <w:rFonts w:ascii="Times New Roman" w:eastAsia="Times New Roman" w:hAnsi="Times New Roman" w:cs="Times New Roman"/>
          <w:sz w:val="21"/>
          <w:szCs w:val="20"/>
          <w:lang w:val="en-US" w:eastAsia="ru-RU"/>
        </w:rPr>
        <w:t>Related</w:t>
      </w:r>
      <w:r w:rsidRPr="00877DE5">
        <w:rPr>
          <w:rFonts w:ascii="Times New Roman" w:eastAsia="Times New Roman" w:hAnsi="Times New Roman" w:cs="Times New Roman"/>
          <w:sz w:val="21"/>
          <w:szCs w:val="20"/>
          <w:lang w:eastAsia="ru-RU"/>
        </w:rPr>
        <w:t xml:space="preserve"> </w:t>
      </w:r>
      <w:r w:rsidRPr="00877DE5">
        <w:rPr>
          <w:rFonts w:ascii="Times New Roman" w:eastAsia="Times New Roman" w:hAnsi="Times New Roman" w:cs="Times New Roman"/>
          <w:sz w:val="21"/>
          <w:szCs w:val="20"/>
          <w:lang w:val="en-US" w:eastAsia="ru-RU"/>
        </w:rPr>
        <w:t>Party</w:t>
      </w:r>
      <w:r w:rsidRPr="00877DE5">
        <w:rPr>
          <w:rFonts w:ascii="Times New Roman" w:eastAsia="Times New Roman" w:hAnsi="Times New Roman" w:cs="Times New Roman"/>
          <w:sz w:val="21"/>
          <w:szCs w:val="20"/>
          <w:lang w:eastAsia="ru-RU"/>
        </w:rPr>
        <w:t xml:space="preserve"> </w:t>
      </w:r>
      <w:r w:rsidRPr="00877DE5">
        <w:rPr>
          <w:rFonts w:ascii="Times New Roman" w:eastAsia="Times New Roman" w:hAnsi="Times New Roman" w:cs="Times New Roman"/>
          <w:sz w:val="21"/>
          <w:szCs w:val="20"/>
          <w:lang w:val="en-US" w:eastAsia="ru-RU"/>
        </w:rPr>
        <w:t>Disclosures</w:t>
      </w:r>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 xml:space="preserve">[Электронный ресурс: </w:t>
      </w:r>
      <w:hyperlink r:id="rId188" w:history="1">
        <w:r w:rsidRPr="00877DE5">
          <w:rPr>
            <w:rFonts w:ascii="Times New Roman" w:eastAsia="Times New Roman" w:hAnsi="Times New Roman" w:cs="Times New Roman"/>
            <w:color w:val="467886"/>
            <w:sz w:val="21"/>
            <w:szCs w:val="20"/>
            <w:u w:val="single"/>
            <w:lang w:val="en-US" w:eastAsia="ru-RU"/>
          </w:rPr>
          <w:t>https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www</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ifrs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org</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issued</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standards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list</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of</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standards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ias</w:t>
        </w:r>
        <w:r w:rsidRPr="00877DE5">
          <w:rPr>
            <w:rFonts w:ascii="Times New Roman" w:eastAsia="Times New Roman" w:hAnsi="Times New Roman" w:cs="Times New Roman"/>
            <w:color w:val="467886"/>
            <w:sz w:val="21"/>
            <w:szCs w:val="20"/>
            <w:u w:val="single"/>
            <w:lang w:eastAsia="ru-RU"/>
          </w:rPr>
          <w:t>-24-</w:t>
        </w:r>
        <w:r w:rsidRPr="00877DE5">
          <w:rPr>
            <w:rFonts w:ascii="Times New Roman" w:eastAsia="Times New Roman" w:hAnsi="Times New Roman" w:cs="Times New Roman"/>
            <w:color w:val="467886"/>
            <w:sz w:val="21"/>
            <w:szCs w:val="20"/>
            <w:u w:val="single"/>
            <w:lang w:val="en-US" w:eastAsia="ru-RU"/>
          </w:rPr>
          <w:t>related</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party</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disclosures</w:t>
        </w:r>
        <w:r w:rsidRPr="00877DE5">
          <w:rPr>
            <w:rFonts w:ascii="Times New Roman" w:eastAsia="Times New Roman" w:hAnsi="Times New Roman" w:cs="Times New Roman"/>
            <w:color w:val="467886"/>
            <w:sz w:val="21"/>
            <w:szCs w:val="20"/>
            <w:u w:val="single"/>
            <w:lang w:eastAsia="ru-RU"/>
          </w:rPr>
          <w:t>/</w:t>
        </w:r>
      </w:hyperlink>
      <w:r w:rsidRPr="00877DE5">
        <w:rPr>
          <w:rFonts w:ascii="Times New Roman" w:eastAsia="Times New Roman" w:hAnsi="Times New Roman" w:cs="Times New Roman"/>
          <w:sz w:val="21"/>
          <w:szCs w:val="20"/>
          <w:lang w:eastAsia="ru-RU"/>
        </w:rPr>
        <w:t xml:space="preserve"> (дата обращения 19.05.2025)].</w:t>
      </w:r>
    </w:p>
    <w:p w14:paraId="2D2E7E29" w14:textId="77777777" w:rsidR="00877DE5" w:rsidRPr="00877DE5" w:rsidRDefault="00877DE5" w:rsidP="00067100">
      <w:pPr>
        <w:spacing w:after="0" w:line="240" w:lineRule="auto"/>
        <w:ind w:firstLine="709"/>
        <w:rPr>
          <w:rFonts w:ascii="Times New Roman" w:eastAsia="Aptos" w:hAnsi="Times New Roman" w:cs="Times New Roman"/>
          <w:kern w:val="2"/>
          <w:sz w:val="24"/>
          <w:szCs w:val="24"/>
          <w14:ligatures w14:val="standardContextual"/>
        </w:rPr>
      </w:pPr>
    </w:p>
    <w:p w14:paraId="2F3C03A6" w14:textId="77777777" w:rsidR="00F55044" w:rsidRPr="006C6537" w:rsidRDefault="00F55044" w:rsidP="00F55044">
      <w:pPr>
        <w:suppressAutoHyphens/>
        <w:spacing w:after="0" w:line="240" w:lineRule="auto"/>
        <w:jc w:val="both"/>
        <w:rPr>
          <w:rFonts w:ascii="Times New Roman" w:eastAsia="Times New Roman" w:hAnsi="Times New Roman" w:cs="Times New Roman"/>
          <w:b/>
          <w:color w:val="000000"/>
          <w:sz w:val="21"/>
          <w:szCs w:val="21"/>
          <w:lang w:eastAsia="ar-SA"/>
        </w:rPr>
      </w:pPr>
      <w:r w:rsidRPr="006C6537">
        <w:rPr>
          <w:rFonts w:ascii="Times New Roman" w:eastAsia="Times New Roman" w:hAnsi="Times New Roman" w:cs="Times New Roman"/>
          <w:b/>
          <w:color w:val="000000"/>
          <w:sz w:val="21"/>
          <w:szCs w:val="21"/>
          <w:lang w:eastAsia="ar-SA"/>
        </w:rPr>
        <w:t xml:space="preserve">УДК 338 </w:t>
      </w:r>
    </w:p>
    <w:p w14:paraId="2C64C1C9" w14:textId="77777777" w:rsidR="00F55044" w:rsidRPr="006C6537" w:rsidRDefault="00F55044" w:rsidP="00F55044">
      <w:pPr>
        <w:suppressAutoHyphens/>
        <w:spacing w:after="0" w:line="240" w:lineRule="auto"/>
        <w:jc w:val="right"/>
        <w:rPr>
          <w:rFonts w:ascii="Times New Roman" w:eastAsia="Times New Roman" w:hAnsi="Times New Roman" w:cs="Times New Roman"/>
          <w:b/>
          <w:i/>
          <w:color w:val="000000"/>
          <w:sz w:val="20"/>
          <w:szCs w:val="21"/>
          <w:lang w:val="x-none" w:eastAsia="ar-SA"/>
        </w:rPr>
      </w:pPr>
      <w:r w:rsidRPr="006C6537">
        <w:rPr>
          <w:rFonts w:ascii="Times New Roman" w:eastAsia="Times New Roman" w:hAnsi="Times New Roman" w:cs="Times New Roman"/>
          <w:b/>
          <w:i/>
          <w:color w:val="000000"/>
          <w:sz w:val="20"/>
          <w:szCs w:val="21"/>
          <w:lang w:val="x-none" w:eastAsia="ar-SA"/>
        </w:rPr>
        <w:t>Дремлюга С.Ю.</w:t>
      </w:r>
      <w:r>
        <w:rPr>
          <w:rFonts w:ascii="Times New Roman" w:eastAsia="Times New Roman" w:hAnsi="Times New Roman" w:cs="Times New Roman"/>
          <w:b/>
          <w:i/>
          <w:color w:val="000000"/>
          <w:sz w:val="20"/>
          <w:szCs w:val="21"/>
          <w:lang w:val="x-none" w:eastAsia="ar-SA"/>
        </w:rPr>
        <w:t>,</w:t>
      </w:r>
    </w:p>
    <w:p w14:paraId="306B04A0" w14:textId="77777777" w:rsidR="00F55044" w:rsidRPr="006C6537" w:rsidRDefault="00F55044" w:rsidP="00F55044">
      <w:pPr>
        <w:suppressAutoHyphens/>
        <w:spacing w:after="0" w:line="240" w:lineRule="auto"/>
        <w:jc w:val="right"/>
        <w:rPr>
          <w:rFonts w:ascii="Times New Roman" w:eastAsia="Times New Roman" w:hAnsi="Times New Roman" w:cs="Times New Roman"/>
          <w:i/>
          <w:color w:val="000000"/>
          <w:sz w:val="21"/>
          <w:szCs w:val="21"/>
          <w:lang w:eastAsia="ar-SA"/>
        </w:rPr>
      </w:pPr>
      <w:r w:rsidRPr="006C6537">
        <w:rPr>
          <w:rFonts w:ascii="Times New Roman" w:eastAsia="Times New Roman" w:hAnsi="Times New Roman" w:cs="Times New Roman"/>
          <w:i/>
          <w:color w:val="000000"/>
          <w:sz w:val="21"/>
          <w:szCs w:val="21"/>
          <w:lang w:eastAsia="ar-SA"/>
        </w:rPr>
        <w:t xml:space="preserve">студент 1 курса </w:t>
      </w:r>
    </w:p>
    <w:p w14:paraId="149D4857" w14:textId="77777777" w:rsidR="00F55044" w:rsidRDefault="00F55044" w:rsidP="00F55044">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0ECFFC1" w14:textId="77777777" w:rsidR="00F55044" w:rsidRPr="006C6537" w:rsidRDefault="00F55044" w:rsidP="00F55044">
      <w:pPr>
        <w:suppressAutoHyphens/>
        <w:spacing w:after="0" w:line="240" w:lineRule="auto"/>
        <w:jc w:val="right"/>
        <w:rPr>
          <w:rFonts w:ascii="Times New Roman" w:eastAsia="Times New Roman" w:hAnsi="Times New Roman" w:cs="Times New Roman"/>
          <w:i/>
          <w:sz w:val="21"/>
          <w:szCs w:val="21"/>
          <w:lang w:eastAsia="ar-SA"/>
        </w:rPr>
      </w:pPr>
      <w:r w:rsidRPr="006C6537">
        <w:rPr>
          <w:rFonts w:ascii="Times New Roman" w:eastAsia="Times New Roman" w:hAnsi="Times New Roman" w:cs="Times New Roman"/>
          <w:i/>
          <w:sz w:val="21"/>
          <w:szCs w:val="21"/>
          <w:lang w:eastAsia="ar-SA"/>
        </w:rPr>
        <w:t>г. Краснодар, Россия</w:t>
      </w:r>
    </w:p>
    <w:p w14:paraId="4F1C7A43" w14:textId="77777777" w:rsidR="00F55044" w:rsidRPr="006C6537" w:rsidRDefault="00F55044" w:rsidP="00F55044">
      <w:pPr>
        <w:spacing w:after="0" w:line="240" w:lineRule="auto"/>
        <w:jc w:val="right"/>
        <w:rPr>
          <w:rFonts w:ascii="Times New Roman" w:eastAsia="Times New Roman" w:hAnsi="Times New Roman" w:cs="Times New Roman"/>
          <w:i/>
          <w:color w:val="0000FF"/>
          <w:sz w:val="21"/>
          <w:szCs w:val="21"/>
        </w:rPr>
      </w:pPr>
      <w:r w:rsidRPr="006C6537">
        <w:rPr>
          <w:rFonts w:ascii="Times New Roman" w:eastAsia="Times New Roman" w:hAnsi="Times New Roman" w:cs="Times New Roman"/>
          <w:i/>
          <w:sz w:val="21"/>
          <w:szCs w:val="21"/>
        </w:rPr>
        <w:t>е-</w:t>
      </w:r>
      <w:r w:rsidRPr="006C6537">
        <w:rPr>
          <w:rFonts w:ascii="Times New Roman" w:eastAsia="Times New Roman" w:hAnsi="Times New Roman" w:cs="Times New Roman"/>
          <w:i/>
          <w:sz w:val="21"/>
          <w:szCs w:val="21"/>
          <w:lang w:val="en-US"/>
        </w:rPr>
        <w:t>mail</w:t>
      </w:r>
      <w:r w:rsidRPr="006C6537">
        <w:rPr>
          <w:rFonts w:ascii="Times New Roman" w:eastAsia="Times New Roman" w:hAnsi="Times New Roman" w:cs="Times New Roman"/>
          <w:i/>
          <w:sz w:val="21"/>
          <w:szCs w:val="21"/>
        </w:rPr>
        <w:t xml:space="preserve">: </w:t>
      </w:r>
      <w:r w:rsidRPr="006C6537">
        <w:rPr>
          <w:rFonts w:ascii="Times New Roman" w:eastAsia="Times New Roman" w:hAnsi="Times New Roman" w:cs="Times New Roman"/>
          <w:i/>
          <w:iCs/>
          <w:color w:val="0000FF"/>
          <w:sz w:val="21"/>
          <w:szCs w:val="21"/>
          <w:u w:val="single"/>
        </w:rPr>
        <w:t>Snezhana5600@gmail.com</w:t>
      </w:r>
    </w:p>
    <w:p w14:paraId="128B2C97" w14:textId="77777777" w:rsidR="00F55044" w:rsidRPr="006C6537" w:rsidRDefault="00F55044" w:rsidP="00F55044">
      <w:pPr>
        <w:spacing w:after="0" w:line="240" w:lineRule="auto"/>
        <w:jc w:val="right"/>
        <w:rPr>
          <w:rFonts w:ascii="Times New Roman" w:eastAsia="Times New Roman" w:hAnsi="Times New Roman" w:cs="Times New Roman"/>
          <w:i/>
          <w:sz w:val="21"/>
          <w:szCs w:val="21"/>
        </w:rPr>
      </w:pPr>
    </w:p>
    <w:p w14:paraId="003A64F1" w14:textId="77777777" w:rsidR="00F55044" w:rsidRPr="006C6537" w:rsidRDefault="00F55044" w:rsidP="00F55044">
      <w:pPr>
        <w:spacing w:after="0" w:line="240" w:lineRule="auto"/>
        <w:jc w:val="right"/>
        <w:rPr>
          <w:rFonts w:ascii="Times New Roman" w:eastAsia="Times New Roman" w:hAnsi="Times New Roman" w:cs="Times New Roman"/>
          <w:b/>
          <w:i/>
          <w:sz w:val="21"/>
          <w:szCs w:val="21"/>
        </w:rPr>
      </w:pPr>
      <w:r w:rsidRPr="006C6537">
        <w:rPr>
          <w:rFonts w:ascii="Times New Roman" w:eastAsia="Times New Roman" w:hAnsi="Times New Roman" w:cs="Times New Roman"/>
          <w:b/>
          <w:i/>
          <w:sz w:val="21"/>
          <w:szCs w:val="21"/>
        </w:rPr>
        <w:t>Научный руководитель:</w:t>
      </w:r>
    </w:p>
    <w:p w14:paraId="5B3F1AFC" w14:textId="77777777" w:rsidR="00F55044" w:rsidRDefault="00F55044" w:rsidP="00F55044">
      <w:pPr>
        <w:spacing w:after="0" w:line="240" w:lineRule="auto"/>
        <w:ind w:left="720"/>
        <w:jc w:val="right"/>
        <w:rPr>
          <w:rFonts w:ascii="Times New Roman" w:eastAsia="Times New Roman" w:hAnsi="Times New Roman" w:cs="Times New Roman"/>
          <w:b/>
          <w:i/>
          <w:sz w:val="21"/>
          <w:szCs w:val="21"/>
        </w:rPr>
      </w:pPr>
      <w:r w:rsidRPr="006C6537">
        <w:rPr>
          <w:rFonts w:ascii="Times New Roman" w:eastAsia="Times New Roman" w:hAnsi="Times New Roman" w:cs="Times New Roman"/>
          <w:b/>
          <w:i/>
          <w:sz w:val="21"/>
          <w:szCs w:val="21"/>
        </w:rPr>
        <w:t>Радченко Мария Викторовна</w:t>
      </w:r>
    </w:p>
    <w:p w14:paraId="1EFB208C" w14:textId="77777777" w:rsidR="00F55044" w:rsidRPr="006C6537" w:rsidRDefault="00F55044" w:rsidP="00F55044">
      <w:pPr>
        <w:spacing w:after="0" w:line="240" w:lineRule="auto"/>
        <w:ind w:left="720"/>
        <w:jc w:val="right"/>
        <w:rPr>
          <w:rFonts w:ascii="Times New Roman" w:eastAsia="Times New Roman" w:hAnsi="Times New Roman" w:cs="Times New Roman"/>
          <w:bCs/>
          <w:i/>
          <w:sz w:val="21"/>
          <w:szCs w:val="21"/>
        </w:rPr>
      </w:pPr>
      <w:r w:rsidRPr="006C6537">
        <w:rPr>
          <w:rFonts w:ascii="Times New Roman" w:eastAsia="Times New Roman" w:hAnsi="Times New Roman" w:cs="Times New Roman"/>
          <w:bCs/>
          <w:i/>
          <w:sz w:val="21"/>
          <w:szCs w:val="21"/>
        </w:rPr>
        <w:t>Кандидат экономических наук</w:t>
      </w:r>
    </w:p>
    <w:p w14:paraId="231C6B69" w14:textId="77777777" w:rsidR="00F55044" w:rsidRDefault="00F55044" w:rsidP="00F55044">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45158BD" w14:textId="77777777" w:rsidR="00F55044" w:rsidRPr="006C6537" w:rsidRDefault="00F55044" w:rsidP="00F55044">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6C6537">
        <w:rPr>
          <w:rFonts w:ascii="Times New Roman" w:eastAsia="Times New Roman" w:hAnsi="Times New Roman" w:cs="Times New Roman"/>
          <w:i/>
          <w:sz w:val="21"/>
          <w:szCs w:val="21"/>
          <w:lang w:eastAsia="ar-SA"/>
        </w:rPr>
        <w:t>г. Краснодар, Россия</w:t>
      </w:r>
    </w:p>
    <w:p w14:paraId="0FC609FA" w14:textId="77777777" w:rsidR="00F55044" w:rsidRPr="006C6537" w:rsidRDefault="00F55044" w:rsidP="00F55044">
      <w:pPr>
        <w:suppressAutoHyphens/>
        <w:spacing w:after="0" w:line="240" w:lineRule="auto"/>
        <w:jc w:val="right"/>
        <w:textAlignment w:val="baseline"/>
        <w:rPr>
          <w:rFonts w:ascii="Times New Roman" w:eastAsia="Times New Roman" w:hAnsi="Times New Roman" w:cs="Times New Roman"/>
          <w:i/>
          <w:color w:val="0000FF"/>
          <w:sz w:val="21"/>
          <w:szCs w:val="21"/>
          <w:lang w:eastAsia="ar-SA"/>
        </w:rPr>
      </w:pPr>
      <w:r w:rsidRPr="006C6537">
        <w:rPr>
          <w:rFonts w:ascii="Times New Roman" w:eastAsia="Times New Roman" w:hAnsi="Times New Roman" w:cs="Times New Roman"/>
          <w:i/>
          <w:sz w:val="21"/>
          <w:szCs w:val="21"/>
          <w:lang w:val="en-US" w:eastAsia="ar-SA"/>
        </w:rPr>
        <w:t>mail</w:t>
      </w:r>
      <w:r w:rsidRPr="006C6537">
        <w:rPr>
          <w:rFonts w:ascii="Times New Roman" w:eastAsia="Times New Roman" w:hAnsi="Times New Roman" w:cs="Times New Roman"/>
          <w:i/>
          <w:sz w:val="21"/>
          <w:szCs w:val="21"/>
          <w:lang w:eastAsia="ar-SA"/>
        </w:rPr>
        <w:t xml:space="preserve">: </w:t>
      </w:r>
      <w:hyperlink r:id="rId189" w:history="1">
        <w:r w:rsidRPr="006C6537">
          <w:rPr>
            <w:rFonts w:ascii="Times New Roman" w:eastAsia="Times New Roman" w:hAnsi="Times New Roman" w:cs="Times New Roman"/>
            <w:i/>
            <w:color w:val="0000FF"/>
            <w:sz w:val="21"/>
            <w:szCs w:val="21"/>
            <w:u w:val="single"/>
            <w:lang w:val="x-none" w:eastAsia="ar-SA"/>
          </w:rPr>
          <w:t>MVRadchenko@fa.ru</w:t>
        </w:r>
      </w:hyperlink>
    </w:p>
    <w:p w14:paraId="3B7981F4" w14:textId="77777777" w:rsidR="00F55044" w:rsidRPr="006C6537" w:rsidRDefault="00F55044" w:rsidP="00F55044">
      <w:pPr>
        <w:suppressAutoHyphens/>
        <w:spacing w:after="0" w:line="240" w:lineRule="auto"/>
        <w:jc w:val="right"/>
        <w:textAlignment w:val="baseline"/>
        <w:rPr>
          <w:rFonts w:ascii="Times New Roman" w:eastAsia="Times New Roman" w:hAnsi="Times New Roman" w:cs="Times New Roman"/>
          <w:i/>
          <w:sz w:val="21"/>
          <w:szCs w:val="21"/>
          <w:lang w:eastAsia="ar-SA"/>
        </w:rPr>
      </w:pPr>
    </w:p>
    <w:p w14:paraId="3F7B4814" w14:textId="77777777" w:rsidR="00F55044" w:rsidRPr="006C6537" w:rsidRDefault="00F55044" w:rsidP="00F55044">
      <w:pPr>
        <w:spacing w:after="0" w:line="240" w:lineRule="auto"/>
        <w:jc w:val="center"/>
        <w:rPr>
          <w:rFonts w:ascii="Times New Roman" w:eastAsia="Times New Roman" w:hAnsi="Times New Roman" w:cs="Times New Roman"/>
          <w:b/>
          <w:sz w:val="21"/>
          <w:szCs w:val="21"/>
          <w:lang w:eastAsia="ar-SA"/>
        </w:rPr>
      </w:pPr>
      <w:r w:rsidRPr="006C6537">
        <w:rPr>
          <w:rFonts w:ascii="Times New Roman" w:eastAsia="Times New Roman" w:hAnsi="Times New Roman" w:cs="Times New Roman"/>
          <w:b/>
          <w:sz w:val="21"/>
          <w:szCs w:val="21"/>
          <w:lang w:eastAsia="ar-SA"/>
        </w:rPr>
        <w:t>Бюджетно-налоговое регулирование как элемент стабилизационной политики в России</w:t>
      </w:r>
    </w:p>
    <w:p w14:paraId="77890A51" w14:textId="77777777" w:rsidR="00F55044" w:rsidRPr="006C6537" w:rsidRDefault="00F55044" w:rsidP="00F55044">
      <w:pPr>
        <w:spacing w:after="0" w:line="240" w:lineRule="auto"/>
        <w:ind w:firstLine="567"/>
        <w:jc w:val="both"/>
        <w:rPr>
          <w:rFonts w:ascii="Times New Roman" w:eastAsia="Times New Roman" w:hAnsi="Times New Roman" w:cs="Times New Roman"/>
          <w:i/>
          <w:sz w:val="21"/>
          <w:szCs w:val="21"/>
          <w:shd w:val="clear" w:color="auto" w:fill="00FFFF"/>
        </w:rPr>
      </w:pPr>
    </w:p>
    <w:p w14:paraId="5F5DCA92" w14:textId="77777777" w:rsidR="00F55044" w:rsidRPr="006C6537" w:rsidRDefault="00F55044" w:rsidP="00F55044">
      <w:pPr>
        <w:spacing w:after="0" w:line="240" w:lineRule="auto"/>
        <w:ind w:firstLine="567"/>
        <w:jc w:val="both"/>
        <w:rPr>
          <w:rFonts w:ascii="Times New Roman" w:eastAsia="Times New Roman" w:hAnsi="Times New Roman" w:cs="Times New Roman"/>
          <w:sz w:val="21"/>
          <w:szCs w:val="21"/>
        </w:rPr>
      </w:pPr>
      <w:r w:rsidRPr="006C6537">
        <w:rPr>
          <w:rFonts w:ascii="Times New Roman" w:eastAsia="Times New Roman" w:hAnsi="Times New Roman" w:cs="Times New Roman"/>
          <w:b/>
          <w:sz w:val="21"/>
          <w:szCs w:val="21"/>
        </w:rPr>
        <w:t>Аннотация:</w:t>
      </w:r>
      <w:r w:rsidRPr="006C6537">
        <w:rPr>
          <w:rFonts w:ascii="Times New Roman" w:eastAsia="Times New Roman" w:hAnsi="Times New Roman" w:cs="Times New Roman"/>
          <w:i/>
          <w:sz w:val="21"/>
          <w:szCs w:val="21"/>
        </w:rPr>
        <w:t xml:space="preserve"> </w:t>
      </w:r>
      <w:r w:rsidRPr="006C6537">
        <w:rPr>
          <w:rFonts w:ascii="Times New Roman" w:eastAsia="Times New Roman" w:hAnsi="Times New Roman" w:cs="Times New Roman"/>
          <w:sz w:val="21"/>
          <w:szCs w:val="21"/>
        </w:rPr>
        <w:t xml:space="preserve">Научная работа посвящена анализу бюджетно-налогового регулирования как инструмента стабилизационной политики в России за 2022–2024 годы. Исследуются его роль в смягчении последствий санкций и экономических кризисов, эффективность фискальных мер, а также выявляются </w:t>
      </w:r>
      <w:r w:rsidRPr="006C6537">
        <w:rPr>
          <w:rFonts w:ascii="Times New Roman" w:eastAsia="Times New Roman" w:hAnsi="Times New Roman" w:cs="Times New Roman"/>
          <w:sz w:val="21"/>
          <w:szCs w:val="21"/>
        </w:rPr>
        <w:lastRenderedPageBreak/>
        <w:t>ключевые проблемы и перспективы. Основное внимание уделено структуре бюджета, налоговым реформам и их влиянию на экономический рост. Предложены меры по диверсификации доходов и повышению прозрачности. Результаты имеют значение для разработки государственной политики и дальнейших исследований.</w:t>
      </w:r>
    </w:p>
    <w:p w14:paraId="2C313AB3" w14:textId="77777777" w:rsidR="00F55044" w:rsidRPr="006C6537" w:rsidRDefault="00F55044" w:rsidP="00F55044">
      <w:pPr>
        <w:spacing w:after="0" w:line="240" w:lineRule="auto"/>
        <w:ind w:firstLine="567"/>
        <w:jc w:val="both"/>
        <w:rPr>
          <w:rFonts w:ascii="Times New Roman" w:eastAsia="Times New Roman" w:hAnsi="Times New Roman" w:cs="Times New Roman"/>
          <w:sz w:val="21"/>
          <w:szCs w:val="21"/>
        </w:rPr>
      </w:pPr>
      <w:r w:rsidRPr="006C6537">
        <w:rPr>
          <w:rFonts w:ascii="Times New Roman" w:eastAsia="Times New Roman" w:hAnsi="Times New Roman" w:cs="Times New Roman"/>
          <w:b/>
          <w:sz w:val="21"/>
          <w:szCs w:val="21"/>
        </w:rPr>
        <w:t>Ключевые слова:</w:t>
      </w:r>
      <w:r w:rsidRPr="006C6537">
        <w:rPr>
          <w:rFonts w:ascii="Times New Roman" w:eastAsia="Times New Roman" w:hAnsi="Times New Roman" w:cs="Times New Roman"/>
          <w:sz w:val="21"/>
          <w:szCs w:val="21"/>
        </w:rPr>
        <w:t xml:space="preserve"> бюджетно-налоговое регулирование, стабилизационная политика, фискальные меры, экономический кризис, диверсификация, инфляция, Россия.</w:t>
      </w:r>
    </w:p>
    <w:p w14:paraId="77A5C1EF" w14:textId="77777777" w:rsidR="00F55044" w:rsidRPr="006C6537" w:rsidRDefault="00F55044" w:rsidP="00F55044">
      <w:pPr>
        <w:spacing w:after="0" w:line="240" w:lineRule="auto"/>
        <w:ind w:firstLine="567"/>
        <w:jc w:val="both"/>
        <w:rPr>
          <w:rFonts w:ascii="Times New Roman" w:eastAsia="Times New Roman" w:hAnsi="Times New Roman" w:cs="Times New Roman"/>
          <w:sz w:val="21"/>
          <w:szCs w:val="21"/>
        </w:rPr>
      </w:pPr>
    </w:p>
    <w:p w14:paraId="2D0DF705" w14:textId="77777777" w:rsidR="00F55044" w:rsidRPr="006C6537" w:rsidRDefault="00F55044" w:rsidP="00F55044">
      <w:pPr>
        <w:suppressAutoHyphens/>
        <w:spacing w:after="0" w:line="240" w:lineRule="auto"/>
        <w:ind w:firstLine="567"/>
        <w:jc w:val="right"/>
        <w:rPr>
          <w:rFonts w:ascii="Times New Roman" w:eastAsia="Times New Roman" w:hAnsi="Times New Roman" w:cs="Times New Roman"/>
          <w:i/>
          <w:iCs/>
          <w:color w:val="000000" w:themeColor="text1"/>
          <w:sz w:val="21"/>
          <w:szCs w:val="21"/>
          <w:lang w:val="x-none" w:eastAsia="ar-SA"/>
        </w:rPr>
      </w:pPr>
      <w:r w:rsidRPr="006C6537">
        <w:rPr>
          <w:rFonts w:ascii="Times New Roman" w:eastAsia="Times New Roman" w:hAnsi="Times New Roman" w:cs="Times New Roman"/>
          <w:b/>
          <w:bCs/>
          <w:i/>
          <w:iCs/>
          <w:sz w:val="21"/>
          <w:szCs w:val="21"/>
          <w:lang w:val="x-none" w:eastAsia="ar-SA"/>
        </w:rPr>
        <w:t>Dremlyuga S.Y.,</w:t>
      </w:r>
      <w:r w:rsidRPr="006C6537">
        <w:rPr>
          <w:rFonts w:ascii="Times New Roman" w:eastAsia="Times New Roman" w:hAnsi="Times New Roman" w:cs="Times New Roman"/>
          <w:i/>
          <w:iCs/>
          <w:sz w:val="21"/>
          <w:szCs w:val="21"/>
          <w:lang w:val="x-none" w:eastAsia="ar-SA"/>
        </w:rPr>
        <w:br/>
      </w:r>
      <w:r w:rsidRPr="006C6537">
        <w:rPr>
          <w:rFonts w:ascii="Times New Roman" w:eastAsia="Times New Roman" w:hAnsi="Times New Roman" w:cs="Times New Roman"/>
          <w:i/>
          <w:iCs/>
          <w:color w:val="000000" w:themeColor="text1"/>
          <w:sz w:val="21"/>
          <w:szCs w:val="21"/>
          <w:lang w:val="x-none" w:eastAsia="ar-SA"/>
        </w:rPr>
        <w:t>1st year student</w:t>
      </w:r>
      <w:r w:rsidRPr="006C6537">
        <w:rPr>
          <w:rFonts w:ascii="Times New Roman" w:eastAsia="Times New Roman" w:hAnsi="Times New Roman" w:cs="Times New Roman"/>
          <w:i/>
          <w:iCs/>
          <w:color w:val="000000" w:themeColor="text1"/>
          <w:sz w:val="21"/>
          <w:szCs w:val="21"/>
          <w:lang w:val="x-none" w:eastAsia="ar-SA"/>
        </w:rPr>
        <w:br/>
        <w:t>Federal State Budgetary Educational Institution of Higher Education “Financial University under the Government of the Russian Federation”</w:t>
      </w:r>
      <w:r w:rsidRPr="006C6537">
        <w:rPr>
          <w:rFonts w:ascii="Times New Roman" w:eastAsia="Times New Roman" w:hAnsi="Times New Roman" w:cs="Times New Roman"/>
          <w:i/>
          <w:iCs/>
          <w:color w:val="000000" w:themeColor="text1"/>
          <w:sz w:val="21"/>
          <w:szCs w:val="21"/>
          <w:lang w:val="x-none" w:eastAsia="ar-SA"/>
        </w:rPr>
        <w:br/>
        <w:t>Krasnodar, Russia</w:t>
      </w:r>
      <w:r w:rsidRPr="006C6537">
        <w:rPr>
          <w:rFonts w:ascii="Times New Roman" w:eastAsia="Times New Roman" w:hAnsi="Times New Roman" w:cs="Times New Roman"/>
          <w:i/>
          <w:iCs/>
          <w:color w:val="000000" w:themeColor="text1"/>
          <w:sz w:val="21"/>
          <w:szCs w:val="21"/>
          <w:lang w:val="x-none" w:eastAsia="ar-SA"/>
        </w:rPr>
        <w:br/>
        <w:t xml:space="preserve">е-mail: </w:t>
      </w:r>
      <w:hyperlink r:id="rId190" w:tgtFrame="_blank" w:history="1">
        <w:r w:rsidRPr="006C6537">
          <w:rPr>
            <w:rFonts w:ascii="Times New Roman" w:eastAsia="Times New Roman" w:hAnsi="Times New Roman" w:cs="Times New Roman"/>
            <w:i/>
            <w:iCs/>
            <w:color w:val="000000" w:themeColor="text1"/>
            <w:sz w:val="21"/>
            <w:szCs w:val="21"/>
            <w:u w:val="single"/>
            <w:lang w:val="x-none" w:eastAsia="ar-SA"/>
          </w:rPr>
          <w:t>Snezhana5600@gmail.com</w:t>
        </w:r>
      </w:hyperlink>
    </w:p>
    <w:p w14:paraId="0BCA44C6" w14:textId="77777777" w:rsidR="00F55044" w:rsidRPr="006C6537" w:rsidRDefault="00F55044" w:rsidP="00F55044">
      <w:pPr>
        <w:suppressAutoHyphens/>
        <w:spacing w:after="0" w:line="240" w:lineRule="auto"/>
        <w:ind w:firstLine="567"/>
        <w:jc w:val="right"/>
        <w:rPr>
          <w:rFonts w:ascii="Times New Roman" w:eastAsia="Times New Roman" w:hAnsi="Times New Roman" w:cs="Times New Roman"/>
          <w:i/>
          <w:iCs/>
          <w:color w:val="000000" w:themeColor="text1"/>
          <w:sz w:val="21"/>
          <w:szCs w:val="21"/>
          <w:lang w:val="en-US" w:eastAsia="ar-SA"/>
        </w:rPr>
      </w:pPr>
    </w:p>
    <w:p w14:paraId="69BD1E1E" w14:textId="77777777" w:rsidR="00F55044" w:rsidRPr="006C6537" w:rsidRDefault="00F55044" w:rsidP="00F55044">
      <w:pPr>
        <w:suppressAutoHyphens/>
        <w:spacing w:after="0" w:line="240" w:lineRule="auto"/>
        <w:ind w:firstLine="567"/>
        <w:jc w:val="right"/>
        <w:rPr>
          <w:rFonts w:ascii="Times New Roman" w:eastAsia="Times New Roman" w:hAnsi="Times New Roman" w:cs="Times New Roman"/>
          <w:i/>
          <w:iCs/>
          <w:sz w:val="21"/>
          <w:szCs w:val="21"/>
          <w:lang w:val="en-US" w:eastAsia="ar-SA"/>
        </w:rPr>
      </w:pPr>
      <w:r w:rsidRPr="006C6537">
        <w:rPr>
          <w:rFonts w:ascii="Times New Roman" w:eastAsia="Times New Roman" w:hAnsi="Times New Roman" w:cs="Times New Roman"/>
          <w:b/>
          <w:bCs/>
          <w:i/>
          <w:iCs/>
          <w:color w:val="000000" w:themeColor="text1"/>
          <w:sz w:val="21"/>
          <w:szCs w:val="21"/>
          <w:lang w:val="x-none" w:eastAsia="ar-SA"/>
        </w:rPr>
        <w:t>Scientific Adviser:</w:t>
      </w:r>
      <w:r w:rsidRPr="006C6537">
        <w:rPr>
          <w:rFonts w:ascii="Times New Roman" w:eastAsia="Times New Roman" w:hAnsi="Times New Roman" w:cs="Times New Roman"/>
          <w:b/>
          <w:bCs/>
          <w:i/>
          <w:iCs/>
          <w:color w:val="000000" w:themeColor="text1"/>
          <w:sz w:val="21"/>
          <w:szCs w:val="21"/>
          <w:lang w:val="x-none" w:eastAsia="ar-SA"/>
        </w:rPr>
        <w:br/>
        <w:t>Radchenko M.V</w:t>
      </w:r>
      <w:r w:rsidRPr="006C6537">
        <w:rPr>
          <w:rFonts w:ascii="Times New Roman" w:eastAsia="Times New Roman" w:hAnsi="Times New Roman" w:cs="Times New Roman"/>
          <w:i/>
          <w:iCs/>
          <w:color w:val="000000" w:themeColor="text1"/>
          <w:sz w:val="21"/>
          <w:szCs w:val="21"/>
          <w:lang w:val="x-none" w:eastAsia="ar-SA"/>
        </w:rPr>
        <w:t>.,</w:t>
      </w:r>
      <w:r w:rsidRPr="006C6537">
        <w:rPr>
          <w:rFonts w:ascii="Times New Roman" w:eastAsia="Times New Roman" w:hAnsi="Times New Roman" w:cs="Times New Roman"/>
          <w:i/>
          <w:iCs/>
          <w:color w:val="000000" w:themeColor="text1"/>
          <w:sz w:val="21"/>
          <w:szCs w:val="21"/>
          <w:lang w:val="x-none" w:eastAsia="ar-SA"/>
        </w:rPr>
        <w:br/>
        <w:t>Candidate of Economic Sciences</w:t>
      </w:r>
      <w:r w:rsidRPr="006C6537">
        <w:rPr>
          <w:rFonts w:ascii="Times New Roman" w:eastAsia="Times New Roman" w:hAnsi="Times New Roman" w:cs="Times New Roman"/>
          <w:i/>
          <w:iCs/>
          <w:color w:val="000000" w:themeColor="text1"/>
          <w:sz w:val="21"/>
          <w:szCs w:val="21"/>
          <w:lang w:val="x-none" w:eastAsia="ar-SA"/>
        </w:rPr>
        <w:br/>
      </w:r>
      <w:r w:rsidRPr="006C6537">
        <w:rPr>
          <w:rFonts w:ascii="Times New Roman" w:eastAsia="Times New Roman" w:hAnsi="Times New Roman" w:cs="Times New Roman"/>
          <w:i/>
          <w:iCs/>
          <w:sz w:val="21"/>
          <w:szCs w:val="21"/>
          <w:lang w:val="x-none" w:eastAsia="ar-SA"/>
        </w:rPr>
        <w:t>Federal State Budgetary Educational Institution of Higher Education “Financial University under the Government of the Russian Federation”</w:t>
      </w:r>
      <w:r w:rsidRPr="006C6537">
        <w:rPr>
          <w:rFonts w:ascii="Times New Roman" w:eastAsia="Times New Roman" w:hAnsi="Times New Roman" w:cs="Times New Roman"/>
          <w:i/>
          <w:iCs/>
          <w:sz w:val="21"/>
          <w:szCs w:val="21"/>
          <w:lang w:val="x-none" w:eastAsia="ar-SA"/>
        </w:rPr>
        <w:br/>
        <w:t>Krasnodar, Russia</w:t>
      </w:r>
      <w:r w:rsidRPr="006C6537">
        <w:rPr>
          <w:rFonts w:ascii="Times New Roman" w:eastAsia="Times New Roman" w:hAnsi="Times New Roman" w:cs="Times New Roman"/>
          <w:i/>
          <w:iCs/>
          <w:sz w:val="21"/>
          <w:szCs w:val="21"/>
          <w:lang w:val="x-none" w:eastAsia="ar-SA"/>
        </w:rPr>
        <w:br/>
        <w:t xml:space="preserve">е-mail: </w:t>
      </w:r>
      <w:hyperlink r:id="rId191" w:tgtFrame="_blank" w:history="1">
        <w:r w:rsidRPr="006C6537">
          <w:rPr>
            <w:rFonts w:ascii="Times New Roman" w:eastAsia="Times New Roman" w:hAnsi="Times New Roman" w:cs="Times New Roman"/>
            <w:i/>
            <w:iCs/>
            <w:color w:val="0000FF"/>
            <w:sz w:val="21"/>
            <w:szCs w:val="21"/>
            <w:u w:val="single"/>
            <w:lang w:val="x-none" w:eastAsia="ar-SA"/>
          </w:rPr>
          <w:t>MVRadchenko@fa.ru</w:t>
        </w:r>
      </w:hyperlink>
    </w:p>
    <w:p w14:paraId="17395BF6" w14:textId="77777777" w:rsidR="00F55044" w:rsidRPr="006C6537" w:rsidRDefault="00F55044" w:rsidP="00F55044">
      <w:pPr>
        <w:spacing w:after="0" w:line="240" w:lineRule="auto"/>
        <w:ind w:firstLine="567"/>
        <w:jc w:val="right"/>
        <w:rPr>
          <w:rFonts w:ascii="Times New Roman" w:eastAsia="Times New Roman" w:hAnsi="Times New Roman" w:cs="Times New Roman"/>
          <w:sz w:val="21"/>
          <w:szCs w:val="21"/>
          <w:lang w:val="en-US" w:eastAsia="ar-SA"/>
        </w:rPr>
      </w:pPr>
    </w:p>
    <w:p w14:paraId="0E89B7E6" w14:textId="77777777" w:rsidR="00F55044" w:rsidRPr="006C6537" w:rsidRDefault="00F55044" w:rsidP="00F55044">
      <w:pPr>
        <w:suppressAutoHyphens/>
        <w:spacing w:after="0" w:line="240" w:lineRule="auto"/>
        <w:ind w:firstLine="567"/>
        <w:jc w:val="center"/>
        <w:rPr>
          <w:rFonts w:ascii="Times New Roman" w:eastAsia="Times New Roman" w:hAnsi="Times New Roman" w:cs="Times New Roman"/>
          <w:b/>
          <w:bCs/>
          <w:sz w:val="21"/>
          <w:szCs w:val="21"/>
          <w:lang w:val="en-US" w:eastAsia="ar-SA"/>
        </w:rPr>
      </w:pPr>
      <w:r w:rsidRPr="006C6537">
        <w:rPr>
          <w:rFonts w:ascii="Times New Roman" w:eastAsia="Times New Roman" w:hAnsi="Times New Roman" w:cs="Times New Roman"/>
          <w:b/>
          <w:bCs/>
          <w:sz w:val="21"/>
          <w:szCs w:val="21"/>
          <w:lang w:val="x-none" w:eastAsia="ar-SA"/>
        </w:rPr>
        <w:t>Fiscal and Tax Regulation as an Element of Stabilization Policy in Russia</w:t>
      </w:r>
    </w:p>
    <w:p w14:paraId="5460A9A0" w14:textId="77777777" w:rsidR="00F55044" w:rsidRDefault="00F55044" w:rsidP="00F55044">
      <w:pPr>
        <w:suppressAutoHyphens/>
        <w:spacing w:after="0" w:line="240" w:lineRule="auto"/>
        <w:ind w:firstLine="567"/>
        <w:jc w:val="both"/>
        <w:rPr>
          <w:rFonts w:ascii="Times New Roman" w:eastAsia="Times New Roman" w:hAnsi="Times New Roman" w:cs="Times New Roman"/>
          <w:b/>
          <w:bCs/>
          <w:sz w:val="21"/>
          <w:szCs w:val="21"/>
          <w:lang w:val="x-none" w:eastAsia="ar-SA"/>
        </w:rPr>
      </w:pPr>
    </w:p>
    <w:p w14:paraId="1B584C5F"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21"/>
          <w:szCs w:val="21"/>
          <w:lang w:val="en-US" w:eastAsia="ar-SA"/>
        </w:rPr>
      </w:pPr>
      <w:r w:rsidRPr="006C6537">
        <w:rPr>
          <w:rFonts w:ascii="Times New Roman" w:eastAsia="Times New Roman" w:hAnsi="Times New Roman" w:cs="Times New Roman"/>
          <w:b/>
          <w:bCs/>
          <w:sz w:val="21"/>
          <w:szCs w:val="21"/>
          <w:lang w:val="x-none" w:eastAsia="ar-SA"/>
        </w:rPr>
        <w:t>Abstract:</w:t>
      </w:r>
      <w:r w:rsidRPr="006C6537">
        <w:rPr>
          <w:rFonts w:ascii="Times New Roman" w:eastAsia="Times New Roman" w:hAnsi="Times New Roman" w:cs="Times New Roman"/>
          <w:sz w:val="21"/>
          <w:szCs w:val="21"/>
          <w:lang w:val="x-none" w:eastAsia="ar-SA"/>
        </w:rPr>
        <w:t xml:space="preserve"> The research is devoted to the analysis of fiscal and tax regulation as a tool of stabilization policy in Russia for 2022–2024. It examines its role in mitigating the consequences of sanctions and economic crises, the effectiveness of fiscal measures, and identifies key challenges and prospects. Particular attention is paid to the budget structure, tax reforms, and their impact on economic growth. Measures for revenue diversification and increased transparency are proposed. The results are significant for the development of public policy and further research.</w:t>
      </w:r>
    </w:p>
    <w:p w14:paraId="2576ABE9"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21"/>
          <w:szCs w:val="21"/>
          <w:lang w:val="en-US" w:eastAsia="ar-SA"/>
        </w:rPr>
      </w:pPr>
      <w:r w:rsidRPr="006C6537">
        <w:rPr>
          <w:rFonts w:ascii="Times New Roman" w:eastAsia="Times New Roman" w:hAnsi="Times New Roman" w:cs="Times New Roman"/>
          <w:b/>
          <w:bCs/>
          <w:sz w:val="21"/>
          <w:szCs w:val="21"/>
          <w:lang w:val="x-none" w:eastAsia="ar-SA"/>
        </w:rPr>
        <w:t>Keywords:</w:t>
      </w:r>
      <w:r w:rsidRPr="006C6537">
        <w:rPr>
          <w:rFonts w:ascii="Times New Roman" w:eastAsia="Times New Roman" w:hAnsi="Times New Roman" w:cs="Times New Roman"/>
          <w:sz w:val="21"/>
          <w:szCs w:val="21"/>
          <w:lang w:val="x-none" w:eastAsia="ar-SA"/>
        </w:rPr>
        <w:t xml:space="preserve"> fiscal and tax regulation, stabilization policy, fiscal measures, economic crisis, diversification, inflation, Russia.</w:t>
      </w:r>
    </w:p>
    <w:p w14:paraId="54ADC37D" w14:textId="77777777" w:rsidR="00F55044" w:rsidRDefault="00F55044" w:rsidP="00F55044">
      <w:pPr>
        <w:suppressAutoHyphens/>
        <w:spacing w:after="0" w:line="240" w:lineRule="auto"/>
        <w:ind w:firstLine="567"/>
        <w:jc w:val="both"/>
        <w:rPr>
          <w:rFonts w:ascii="Times New Roman" w:eastAsia="Times New Roman" w:hAnsi="Times New Roman" w:cs="Times New Roman"/>
          <w:sz w:val="21"/>
          <w:szCs w:val="21"/>
          <w:lang w:val="x-none" w:eastAsia="ar-SA"/>
        </w:rPr>
      </w:pPr>
    </w:p>
    <w:p w14:paraId="293174F1"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21"/>
          <w:szCs w:val="21"/>
          <w:lang w:eastAsia="ar-SA"/>
        </w:rPr>
      </w:pPr>
      <w:r w:rsidRPr="006C6537">
        <w:rPr>
          <w:rFonts w:ascii="Times New Roman" w:eastAsia="Times New Roman" w:hAnsi="Times New Roman" w:cs="Times New Roman"/>
          <w:sz w:val="21"/>
          <w:szCs w:val="21"/>
          <w:lang w:val="x-none" w:eastAsia="ar-SA"/>
        </w:rPr>
        <w:t>В настоящее время бюджетно-налоговое регулирование является ключевым инструментом стабилизационной политики, направленной на обеспечение экономической устойчивости России в условиях внешних и внутренних вызовов. Анализ фискальных мер за 2022–2024 годы показывает, что эффективное использование бюджетных и налоговых инструментов позволяет смягчить последствия санкций, поддерживать экономический рост и контролировать инфляционные процессы.</w:t>
      </w:r>
    </w:p>
    <w:p w14:paraId="696015EB"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В условиях глобальной экономической нестабильности и санкционного давления, начавшегося в 2022 году, бюджетно-налоговое регулирование стало ключевым инструментом стабилизации российской экономики. Этот механизм направлен на управление совокупным спросом, поддержку занятости, контроль инфляции и обеспечение устойчивого экономического роста через государственные расходы, налоговую политику и социальные трансферты. Анализ данных за 2022–2024 годы демонстрирует, что грамотно выстроенная фискальная политика позволила избежать глубокого экономического спада, прогнозировавшегося в 2022 году на уровне 10–15% ВВП, и достичь роста ВВП на 4% к 2024 году. Однако текущие вызовы, включая зависимость от сырьевых доходов и ограниченный доступ к международным рынкам, требуют дальнейшего совершенствования бюджетно-налоговых механизмов.</w:t>
      </w:r>
    </w:p>
    <w:p w14:paraId="2635C671"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lastRenderedPageBreak/>
        <w:t>Структура федерального бюджета России в 2022–2024 годах претерпела значительные изменения, отражая адаптацию к внешним шокам. В 2022 году, несмотря на введение санкций, бюджет зафиксировал профицит в размере 1,4 трлн рублей, что было обусловлено высокими нефтегазовыми доходами, составившими 27,7 трлн рублей. Это позволило государству направить значительные средства на социальные программы, поддержку бизнеса и укрепление обороноспособности. Основными статьями расходов в тот период стали социальные выплаты (около 25% бюджета) и финансирование инфраструктурных проектов, таких как модернизация транспортной сети и развитие регионов.</w:t>
      </w:r>
    </w:p>
    <w:p w14:paraId="780AB05E"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К 2024 году ситуация изменилась: бюджет перешёл в дефицит на уровне 0,3 трлн рублей при общих расходах 26,1 трлн рублей. Значительная часть расходов — 40% или 10,8 трлн рублей — была направлена на оборонные нужды, что отражает геополитические приоритеты. Остальные средства распределялись между социальными программами (20%), здравоохранением (15%) и образованием (10%). Снижение нефтегазовых доходов до 25% от общей структуры бюджета (по сравнению с 30% в 2023 году) стало следствием падения мировых цен на энергоносители и ограничений на экспорт. Это выявило уязвимость экономики и необходимость поиска альтернативных источников доходов.</w:t>
      </w:r>
    </w:p>
    <w:p w14:paraId="4D1D05C0"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Налоговые реформы 2024 года стали важным элементом стабилизационной политики. Введение прогрессивной шкалы подоходного налога, где ставка для доходов свыше 50 млн рублей увеличилась до 22%, позволило повысить справедливость налогообложения и привлечь дополнительные средства в бюджет. Повышение налога на прибыль организаций до 25% также способствовало росту налоговых поступлений, которые достигли 35,1 трлн рублей, увеличившись на 22,3% по сравнению с 2023 годом. Эти меры поддержали финансирование социальных и военных расходов, однако вызвали рост долговой нагрузки на бизнес: по данным аналитических агентств, 37% российских компаний столкнулись с просроченными обязательствами в 2024 году.</w:t>
      </w:r>
    </w:p>
    <w:p w14:paraId="6D727D79"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 xml:space="preserve">Региональные налоговые изменения также сыграли роль. Повышение налогов на недвижимость на 10–15% в ряде субъектов РФ, таких как Краснодарский край и Московская область, увеличило доходы местных бюджетов, но усилило диспропорции между регионами. Например, в регионах с низким уровнем доходов, таких как </w:t>
      </w:r>
      <w:r w:rsidRPr="006C6537">
        <w:rPr>
          <w:rFonts w:ascii="Times New Roman" w:eastAsia="Times New Roman" w:hAnsi="Times New Roman" w:cs="Times New Roman"/>
          <w:sz w:val="32"/>
          <w:szCs w:val="32"/>
          <w:lang w:eastAsia="ar-SA"/>
        </w:rPr>
        <w:lastRenderedPageBreak/>
        <w:t>Республика Алтай, рост налоговой нагрузки привёл к снижению потребительской активности на 5–7%. Это подчёркивает необходимость более сбалансированного подхода к региональному налогообложению, который учитывал бы экономические особенности субъектов.</w:t>
      </w:r>
    </w:p>
    <w:p w14:paraId="5C448C48"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Фискальная политика продемонстрировала значительную эффективность в поддержке экономики. Создание 2 млн рабочих мест в военно-промышленном комплексе в 2024 году стало важным фактором снижения безработицы, которая составила 4,2% по итогам года. Рост реальных зарплат на 8,7% и увеличение располагаемых доходов населения на 7,3% за счёт социальных трансфертов (например, индексация пенсий и пособий на 10%) смягчили влияние инфляции, достигшей 8,5% в октябре 2024 года. Эти меры позволили поддержать внутренний спрос, который вырос на 3,5% по сравнению с 2023 годом, особенно в секторах розничной торговли и услуг.</w:t>
      </w:r>
    </w:p>
    <w:p w14:paraId="4CC693C7"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Однако долгосрочная устойчивость экономики остаётся под вопросом. Истощение Национального фонда благосостояния с 117 млрд долларов в 2021 году до 31 млрд долларов в 2024 году ограничило возможности для антикризисных мер. Ослабление рубля на 25% с 2022 года, вызванное ограничениями на валютные операции и снижением экспортных доходов, привело к удорожанию импорта, что усилило инфляционное давление. Например, стоимость импортной электроники выросла на 30–40%, что затронуло как бизнес, так и потребителей. Эти факторы подчёркивают необходимость диверсификации экономики и снижения зависимости от сырьевых доходов.</w:t>
      </w:r>
    </w:p>
    <w:p w14:paraId="7920092A"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Ключевые проблемы бюджетно-налогового регулирования включают недостаточную прозрачность налогового администрирования, высокую налоговую нагрузку на бизнес и ограниченный доступ к международным рынкам. Заморозка международных резервов России на сумму 280 млрд долларов в 2022 году существенно сократила финансовые возможности для инвестиций в развитие. Это особенно сказалось на инновационном секторе, где дефицит квалифицированной рабочей силы достиг 4,8 млн человек к 2024 году, что на 20% выше, чем в 2022 году. Недостаток кадров в высокотехнологичных отраслях, таких как информационные технологии и биотехнологии, замедляет темпы модернизации экономики.</w:t>
      </w:r>
    </w:p>
    <w:p w14:paraId="5D0C8239"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lastRenderedPageBreak/>
        <w:t>Недостаточная прозрачность бюджетных расходов также вызывает обеспокоенность. Например, около 15% расходов на оборону в 2024 году классифицировались как «секретные», что затрудняет общественный контроль и оценку их эффективности. Кроме того, высокая налоговая нагрузка на малый и средний бизнес (рост НДС и страховых взносов на 10% в 2024 году) привела к сокращению числа малых предприятий на 8% по сравнению с 2023 годом. Это ограничивает предпринимательскую активность и тормозит развитие внутреннего рынка.</w:t>
      </w:r>
    </w:p>
    <w:p w14:paraId="43ECA930"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Региональные диспропорции остаются значительным вызовом. В то время как крупные регионы, такие как Москва и Санкт-Петербург, наращивают налоговые поступления за счёт высоких доходов населения, менее развитые регионы сталкиваются с хроническим дефицитом бюджетов. Например, в Республике Бурятия дефицит бюджета в 2024 году составил 12% от доходов, что вынудило местные власти увеличить заимствования на 15%. Это подчёркивает необходимость более справедливого распределения фискальных ресурсов между регионами.</w:t>
      </w:r>
    </w:p>
    <w:p w14:paraId="6923602A"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Для повышения конкурентоспособности российской экономики и усиления эффективности бюджетно-налогового регулирования предлагается ряд мер. Во-первых, необходимо ускорить диверсификацию доходов бюджета через развитие высокотехнологичных отраслей. Например, инвестиции в искусственный интеллект и возобновляемую энергетику могут увеличить долю ненефтегазовых доходов на 10–15% к 2030 году. Создание технопарков и льготных зон для стартапов, как это реализовано в Сколково, позволит привлечь частные инвестиции и снизить зависимость от экспорта сырья.</w:t>
      </w:r>
    </w:p>
    <w:p w14:paraId="0D2D2146"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Во-вторых, усиление прозрачности бюджетных расходов критически важно для повышения доверия общества и бизнеса. Внедрение открытых цифровых платформ для мониторинга государственных закупок и расходов, подобных системе «Госзатраты», может сократить неэффективные траты на 5–7% ежегодно. Такие платформы должны быть доступны для общественного контроля, что укрепит социальную стабильность и снизит коррупционные риски.</w:t>
      </w:r>
    </w:p>
    <w:p w14:paraId="17623121"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 xml:space="preserve">В-третьих, цифровизация бюджетного планирования может повысить точность прогнозирования доходов и расходов. Использование больших данных и аналитических моделей, как это </w:t>
      </w:r>
      <w:r w:rsidRPr="006C6537">
        <w:rPr>
          <w:rFonts w:ascii="Times New Roman" w:eastAsia="Times New Roman" w:hAnsi="Times New Roman" w:cs="Times New Roman"/>
          <w:sz w:val="32"/>
          <w:szCs w:val="32"/>
          <w:lang w:eastAsia="ar-SA"/>
        </w:rPr>
        <w:lastRenderedPageBreak/>
        <w:t>делают в Сингапуре и Южной Корее, позволит оптимизировать распределение ресурсов и сократить дефицит бюджета на 3–5% в среднесрочной перспективе. Например, внедрение автоматизированных систем налогового администрирования уже увеличило собираемость налогов на 10% в 2024 году, и этот подход следует масштабировать.</w:t>
      </w:r>
    </w:p>
    <w:p w14:paraId="2D038965"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В-четвёртых, поддержка частных инвестиций через льготное кредитование с процентными ставками 3–5% станет драйвером роста малого и среднего бизнеса. Программы субсидирования, подобные тем, что реализуются в Китае, могут увеличить долю МСП в ВВП с текущих 20% до 30% к 2030 году. Это особенно важно для регионов, где предпринимательская активность остаётся низкой, таких как Сибирь и Дальний Восток.</w:t>
      </w:r>
    </w:p>
    <w:p w14:paraId="7BBAA953"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Дополнительно рекомендуется пересмотреть региональную налоговую политику, чтобы снизить диспропорции. Например, введение дифференцированных ставок налога на имущество в зависимости от экономического развития региона могло бы стимулировать инвестиции в менее развитые субъекты. Такие меры, как налоговые каникулы для новых предприятий в депрессивных регионах, уже показали эффективность в Калужской области, где рост числа новых компаний составил 12% в 2024 году.</w:t>
      </w:r>
    </w:p>
    <w:p w14:paraId="42FED9DA" w14:textId="77777777" w:rsidR="00F55044" w:rsidRPr="006C6537" w:rsidRDefault="00F55044" w:rsidP="00F55044">
      <w:pPr>
        <w:suppressAutoHyphens/>
        <w:spacing w:after="0" w:line="240" w:lineRule="auto"/>
        <w:ind w:firstLine="567"/>
        <w:jc w:val="both"/>
        <w:rPr>
          <w:rFonts w:ascii="Times New Roman" w:eastAsia="Times New Roman" w:hAnsi="Times New Roman" w:cs="Times New Roman"/>
          <w:sz w:val="32"/>
          <w:szCs w:val="32"/>
          <w:lang w:eastAsia="ar-SA"/>
        </w:rPr>
      </w:pPr>
      <w:r w:rsidRPr="006C6537">
        <w:rPr>
          <w:rFonts w:ascii="Times New Roman" w:eastAsia="Times New Roman" w:hAnsi="Times New Roman" w:cs="Times New Roman"/>
          <w:sz w:val="32"/>
          <w:szCs w:val="32"/>
          <w:lang w:eastAsia="ar-SA"/>
        </w:rPr>
        <w:t>Бюджетно-налоговое регулирование в 2022–2024 годах сыграло решающую роль в стабилизации российской экономики, позволив избежать глубокого кризиса и поддержать рост ВВП. Налоговые реформы, социальные трансферты и увеличение государственных расходов укрепили внутренний спрос и занятость, однако зависимость от нефтегазовых доходов, истощение резервов и региональные диспропорции остаются серьёзными вызовами. Предложенные меры — диверсификация доходов, цифровизация, прозрачность расходов и поддержка бизнеса — направлены на снижение уязвимости экономики и обеспечение устойчивого роста. Реализация этих инициатив потребует координации между федеральными и региональными властями, а также привлечения частного сектора, что станет залогом конкурентоспособности России в долгосрочной перспективе.</w:t>
      </w:r>
    </w:p>
    <w:p w14:paraId="45F84E0C" w14:textId="77777777" w:rsidR="00F55044" w:rsidRPr="006C6537" w:rsidRDefault="00F55044" w:rsidP="00F55044">
      <w:pPr>
        <w:shd w:val="clear" w:color="auto" w:fill="FFFFFF"/>
        <w:suppressAutoHyphens/>
        <w:spacing w:after="0" w:line="240" w:lineRule="auto"/>
        <w:jc w:val="both"/>
        <w:rPr>
          <w:rFonts w:ascii="Times New Roman" w:eastAsia="Times New Roman" w:hAnsi="Times New Roman" w:cs="Times New Roman"/>
          <w:color w:val="000000"/>
          <w:sz w:val="21"/>
          <w:szCs w:val="21"/>
          <w:lang w:eastAsia="ar-SA"/>
        </w:rPr>
      </w:pPr>
    </w:p>
    <w:p w14:paraId="61D6F1A2" w14:textId="77777777" w:rsidR="00F55044" w:rsidRPr="006C6537" w:rsidRDefault="00F55044" w:rsidP="00F55044">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6C6537">
        <w:rPr>
          <w:rFonts w:ascii="Times New Roman" w:eastAsia="Times New Roman" w:hAnsi="Times New Roman" w:cs="Times New Roman"/>
          <w:b/>
          <w:color w:val="000000"/>
          <w:sz w:val="21"/>
          <w:szCs w:val="21"/>
          <w:lang w:eastAsia="ar-SA"/>
        </w:rPr>
        <w:t>Литература:</w:t>
      </w:r>
    </w:p>
    <w:p w14:paraId="0E00B470" w14:textId="77777777" w:rsidR="00F55044" w:rsidRPr="006C6537" w:rsidRDefault="00F55044" w:rsidP="00F55044">
      <w:pPr>
        <w:spacing w:after="200" w:line="276" w:lineRule="auto"/>
        <w:rPr>
          <w:rFonts w:ascii="Times New Roman" w:eastAsia="Times New Roman" w:hAnsi="Times New Roman" w:cs="Times New Roman"/>
          <w:sz w:val="24"/>
          <w:szCs w:val="24"/>
          <w:lang w:eastAsia="ar-SA"/>
        </w:rPr>
      </w:pPr>
    </w:p>
    <w:p w14:paraId="4C16E555" w14:textId="77777777" w:rsidR="00F55044" w:rsidRPr="006C6537" w:rsidRDefault="00F55044" w:rsidP="00AD58CD">
      <w:pPr>
        <w:numPr>
          <w:ilvl w:val="0"/>
          <w:numId w:val="168"/>
        </w:numPr>
        <w:tabs>
          <w:tab w:val="clear" w:pos="720"/>
        </w:tabs>
        <w:spacing w:after="0" w:line="240" w:lineRule="auto"/>
        <w:ind w:left="426"/>
        <w:jc w:val="both"/>
        <w:rPr>
          <w:rFonts w:ascii="Times New Roman" w:eastAsia="Times New Roman" w:hAnsi="Times New Roman" w:cs="Times New Roman"/>
          <w:color w:val="000000"/>
          <w:sz w:val="21"/>
          <w:szCs w:val="21"/>
          <w:lang w:eastAsia="ar-SA"/>
        </w:rPr>
      </w:pPr>
      <w:r w:rsidRPr="006C6537">
        <w:rPr>
          <w:rFonts w:ascii="Times New Roman" w:eastAsia="Times New Roman" w:hAnsi="Times New Roman" w:cs="Times New Roman"/>
          <w:color w:val="000000"/>
          <w:sz w:val="21"/>
          <w:szCs w:val="21"/>
          <w:lang w:eastAsia="ar-SA"/>
        </w:rPr>
        <w:t xml:space="preserve">Федеральный закон от 29.12.2022 № 583-ФЗ «О федеральном бюджете на 2023 год и на плановый период 2024 и 2025 годов». URL: </w:t>
      </w:r>
      <w:hyperlink r:id="rId192" w:tgtFrame="_blank" w:history="1">
        <w:r w:rsidRPr="006C6537">
          <w:rPr>
            <w:rFonts w:ascii="Times New Roman" w:eastAsia="Times New Roman" w:hAnsi="Times New Roman" w:cs="Times New Roman"/>
            <w:color w:val="000000"/>
            <w:sz w:val="21"/>
            <w:szCs w:val="21"/>
            <w:lang w:eastAsia="ar-SA"/>
          </w:rPr>
          <w:t>http://www.consultant.ru</w:t>
        </w:r>
      </w:hyperlink>
      <w:r w:rsidRPr="006C6537">
        <w:rPr>
          <w:rFonts w:ascii="Times New Roman" w:eastAsia="Times New Roman" w:hAnsi="Times New Roman" w:cs="Times New Roman"/>
          <w:color w:val="000000"/>
          <w:sz w:val="21"/>
          <w:szCs w:val="21"/>
          <w:lang w:eastAsia="ar-SA"/>
        </w:rPr>
        <w:t xml:space="preserve"> (дата обращения: 26.04.2025).</w:t>
      </w:r>
    </w:p>
    <w:p w14:paraId="2568D402" w14:textId="77777777" w:rsidR="00F55044" w:rsidRPr="006C6537" w:rsidRDefault="00F55044" w:rsidP="00AD58CD">
      <w:pPr>
        <w:numPr>
          <w:ilvl w:val="0"/>
          <w:numId w:val="168"/>
        </w:numPr>
        <w:tabs>
          <w:tab w:val="clear" w:pos="720"/>
          <w:tab w:val="num" w:pos="851"/>
          <w:tab w:val="left" w:pos="993"/>
        </w:tabs>
        <w:spacing w:after="0" w:line="240" w:lineRule="auto"/>
        <w:ind w:left="426"/>
        <w:jc w:val="both"/>
        <w:rPr>
          <w:rFonts w:ascii="Times New Roman" w:eastAsia="Times New Roman" w:hAnsi="Times New Roman" w:cs="Times New Roman"/>
          <w:color w:val="000000"/>
          <w:sz w:val="21"/>
          <w:szCs w:val="21"/>
          <w:lang w:eastAsia="ar-SA"/>
        </w:rPr>
      </w:pPr>
      <w:r w:rsidRPr="006C6537">
        <w:rPr>
          <w:rFonts w:ascii="Times New Roman" w:eastAsia="Times New Roman" w:hAnsi="Times New Roman" w:cs="Times New Roman"/>
          <w:color w:val="000000"/>
          <w:sz w:val="21"/>
          <w:szCs w:val="21"/>
          <w:lang w:eastAsia="ar-SA"/>
        </w:rPr>
        <w:lastRenderedPageBreak/>
        <w:t xml:space="preserve">Министерство финансов РФ. Отчет об исполнении федерального бюджета за 2023–2024 годы. URL: </w:t>
      </w:r>
      <w:hyperlink r:id="rId193" w:tgtFrame="_blank" w:history="1">
        <w:r w:rsidRPr="006C6537">
          <w:rPr>
            <w:rFonts w:ascii="Times New Roman" w:eastAsia="Times New Roman" w:hAnsi="Times New Roman" w:cs="Times New Roman"/>
            <w:color w:val="000000"/>
            <w:sz w:val="21"/>
            <w:szCs w:val="21"/>
            <w:lang w:eastAsia="ar-SA"/>
          </w:rPr>
          <w:t>https://minfin.gov.ru</w:t>
        </w:r>
      </w:hyperlink>
      <w:r w:rsidRPr="006C6537">
        <w:rPr>
          <w:rFonts w:ascii="Times New Roman" w:eastAsia="Times New Roman" w:hAnsi="Times New Roman" w:cs="Times New Roman"/>
          <w:color w:val="000000"/>
          <w:sz w:val="21"/>
          <w:szCs w:val="21"/>
          <w:lang w:eastAsia="ar-SA"/>
        </w:rPr>
        <w:t xml:space="preserve"> (дата обращения: 07.05.2025).</w:t>
      </w:r>
    </w:p>
    <w:p w14:paraId="419A1A4E" w14:textId="77777777" w:rsidR="00F55044" w:rsidRPr="006C6537" w:rsidRDefault="00F55044" w:rsidP="00AD58CD">
      <w:pPr>
        <w:numPr>
          <w:ilvl w:val="0"/>
          <w:numId w:val="168"/>
        </w:numPr>
        <w:tabs>
          <w:tab w:val="clear" w:pos="720"/>
          <w:tab w:val="num" w:pos="851"/>
          <w:tab w:val="left" w:pos="993"/>
        </w:tabs>
        <w:spacing w:after="0" w:line="240" w:lineRule="auto"/>
        <w:ind w:left="426"/>
        <w:jc w:val="both"/>
        <w:rPr>
          <w:rFonts w:ascii="Times New Roman" w:eastAsia="Times New Roman" w:hAnsi="Times New Roman" w:cs="Times New Roman"/>
          <w:color w:val="000000"/>
          <w:sz w:val="21"/>
          <w:szCs w:val="21"/>
          <w:lang w:eastAsia="ar-SA"/>
        </w:rPr>
      </w:pPr>
      <w:r w:rsidRPr="006C6537">
        <w:rPr>
          <w:rFonts w:ascii="Times New Roman" w:eastAsia="Times New Roman" w:hAnsi="Times New Roman" w:cs="Times New Roman"/>
          <w:color w:val="000000"/>
          <w:sz w:val="21"/>
          <w:szCs w:val="21"/>
          <w:lang w:eastAsia="ar-SA"/>
        </w:rPr>
        <w:t xml:space="preserve">Росстат. Статистический сборник «Экономические показатели России: 2022–2024 годы». URL: </w:t>
      </w:r>
      <w:hyperlink r:id="rId194" w:tgtFrame="_blank" w:history="1">
        <w:r w:rsidRPr="006C6537">
          <w:rPr>
            <w:rFonts w:ascii="Times New Roman" w:eastAsia="Times New Roman" w:hAnsi="Times New Roman" w:cs="Times New Roman"/>
            <w:color w:val="000000"/>
            <w:sz w:val="21"/>
            <w:szCs w:val="21"/>
            <w:lang w:eastAsia="ar-SA"/>
          </w:rPr>
          <w:t>https://rosstat.gov.ru</w:t>
        </w:r>
      </w:hyperlink>
      <w:r w:rsidRPr="006C6537">
        <w:rPr>
          <w:rFonts w:ascii="Times New Roman" w:eastAsia="Times New Roman" w:hAnsi="Times New Roman" w:cs="Times New Roman"/>
          <w:color w:val="000000"/>
          <w:sz w:val="21"/>
          <w:szCs w:val="21"/>
          <w:lang w:eastAsia="ar-SA"/>
        </w:rPr>
        <w:t xml:space="preserve"> (дата обращения: 09.05.2025).</w:t>
      </w:r>
    </w:p>
    <w:p w14:paraId="4FF00A69" w14:textId="77777777" w:rsidR="00F55044" w:rsidRPr="006C6537" w:rsidRDefault="00F55044" w:rsidP="00AD58CD">
      <w:pPr>
        <w:numPr>
          <w:ilvl w:val="0"/>
          <w:numId w:val="168"/>
        </w:numPr>
        <w:tabs>
          <w:tab w:val="clear" w:pos="720"/>
          <w:tab w:val="num" w:pos="851"/>
          <w:tab w:val="left" w:pos="993"/>
        </w:tabs>
        <w:spacing w:after="0" w:line="240" w:lineRule="auto"/>
        <w:ind w:left="426"/>
        <w:jc w:val="both"/>
        <w:rPr>
          <w:rFonts w:ascii="Times New Roman" w:eastAsia="Times New Roman" w:hAnsi="Times New Roman" w:cs="Times New Roman"/>
          <w:color w:val="000000"/>
          <w:sz w:val="21"/>
          <w:szCs w:val="21"/>
          <w:lang w:eastAsia="ar-SA"/>
        </w:rPr>
      </w:pPr>
      <w:r w:rsidRPr="006C6537">
        <w:rPr>
          <w:rFonts w:ascii="Times New Roman" w:eastAsia="Times New Roman" w:hAnsi="Times New Roman" w:cs="Times New Roman"/>
          <w:color w:val="000000"/>
          <w:sz w:val="21"/>
          <w:szCs w:val="21"/>
          <w:lang w:val="en-US" w:eastAsia="ar-SA"/>
        </w:rPr>
        <w:t xml:space="preserve">World Bank. Russia Economic Report 2024. Washington, D.C.: World Bank, 2024. </w:t>
      </w:r>
      <w:r w:rsidRPr="006C6537">
        <w:rPr>
          <w:rFonts w:ascii="Times New Roman" w:eastAsia="Times New Roman" w:hAnsi="Times New Roman" w:cs="Times New Roman"/>
          <w:color w:val="000000"/>
          <w:sz w:val="21"/>
          <w:szCs w:val="21"/>
          <w:lang w:eastAsia="ar-SA"/>
        </w:rPr>
        <w:t xml:space="preserve">URL: </w:t>
      </w:r>
      <w:hyperlink r:id="rId195" w:tgtFrame="_blank" w:history="1">
        <w:r w:rsidRPr="006C6537">
          <w:rPr>
            <w:rFonts w:ascii="Times New Roman" w:eastAsia="Times New Roman" w:hAnsi="Times New Roman" w:cs="Times New Roman"/>
            <w:color w:val="000000"/>
            <w:sz w:val="21"/>
            <w:szCs w:val="21"/>
            <w:lang w:eastAsia="ar-SA"/>
          </w:rPr>
          <w:t>https://www.worldbank.org</w:t>
        </w:r>
      </w:hyperlink>
      <w:r w:rsidRPr="006C6537">
        <w:rPr>
          <w:rFonts w:ascii="Times New Roman" w:eastAsia="Times New Roman" w:hAnsi="Times New Roman" w:cs="Times New Roman"/>
          <w:color w:val="000000"/>
          <w:sz w:val="21"/>
          <w:szCs w:val="21"/>
          <w:lang w:eastAsia="ar-SA"/>
        </w:rPr>
        <w:t xml:space="preserve"> (дата обращения: 11.05.2025).</w:t>
      </w:r>
    </w:p>
    <w:p w14:paraId="346F5C7D" w14:textId="77777777" w:rsidR="00F55044" w:rsidRDefault="00F55044" w:rsidP="000905B1">
      <w:pPr>
        <w:spacing w:after="0" w:line="240" w:lineRule="auto"/>
        <w:jc w:val="both"/>
        <w:rPr>
          <w:rFonts w:ascii="Times New Roman" w:eastAsia="Aptos" w:hAnsi="Times New Roman" w:cs="Times New Roman"/>
          <w:b/>
          <w:bCs/>
          <w:kern w:val="2"/>
          <w:sz w:val="21"/>
          <w:szCs w:val="32"/>
          <w14:ligatures w14:val="standardContextual"/>
        </w:rPr>
      </w:pPr>
    </w:p>
    <w:p w14:paraId="347157F1" w14:textId="5A100A7E" w:rsidR="00877DE5" w:rsidRPr="00877DE5" w:rsidRDefault="00877DE5" w:rsidP="000905B1">
      <w:pPr>
        <w:spacing w:after="0" w:line="240" w:lineRule="auto"/>
        <w:jc w:val="both"/>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УДК 336</w:t>
      </w:r>
    </w:p>
    <w:p w14:paraId="7B4781E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Кагзванцян А.А., </w:t>
      </w:r>
    </w:p>
    <w:p w14:paraId="014F747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6033519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2BCE0AB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1A7CD868"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196"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220168@</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4286D8C9"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4"/>
          <w14:ligatures w14:val="standardContextual"/>
        </w:rPr>
      </w:pPr>
    </w:p>
    <w:p w14:paraId="4A376A0A"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4AEBE55D"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56CAF18F"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42A1CD72"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545367B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1EBF3831"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197" w:history="1">
        <w:r w:rsidRPr="00877DE5">
          <w:rPr>
            <w:rFonts w:ascii="Times New Roman" w:eastAsia="Times New Roman" w:hAnsi="Times New Roman" w:cs="Times New Roman"/>
            <w:i/>
            <w:color w:val="0000FF"/>
            <w:sz w:val="21"/>
            <w:szCs w:val="20"/>
            <w:u w:val="single"/>
            <w:lang w:val="x-none" w:eastAsia="ar-SA"/>
          </w:rPr>
          <w:t>uyuroschektaeva@fa.ru</w:t>
        </w:r>
      </w:hyperlink>
    </w:p>
    <w:p w14:paraId="28DB7FAD" w14:textId="77777777" w:rsidR="00877DE5" w:rsidRPr="00877DE5" w:rsidRDefault="00877DE5" w:rsidP="00067100">
      <w:pPr>
        <w:spacing w:after="0" w:line="240" w:lineRule="auto"/>
        <w:ind w:firstLine="709"/>
        <w:rPr>
          <w:rFonts w:ascii="Times New Roman" w:eastAsia="Aptos" w:hAnsi="Times New Roman" w:cs="Times New Roman"/>
          <w:kern w:val="2"/>
          <w:sz w:val="24"/>
          <w:szCs w:val="24"/>
          <w:lang w:val="x-none"/>
          <w14:ligatures w14:val="standardContextual"/>
        </w:rPr>
      </w:pPr>
    </w:p>
    <w:p w14:paraId="07BDDB74"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Проблемы управления дебиторской задолженностью</w:t>
      </w:r>
    </w:p>
    <w:p w14:paraId="1998AF2F" w14:textId="77777777" w:rsidR="00877DE5" w:rsidRPr="00877DE5" w:rsidRDefault="00877DE5" w:rsidP="00067100">
      <w:pPr>
        <w:spacing w:after="0" w:line="240" w:lineRule="auto"/>
        <w:ind w:firstLine="709"/>
        <w:jc w:val="both"/>
        <w:rPr>
          <w:rFonts w:ascii="Times New Roman" w:eastAsia="Aptos" w:hAnsi="Times New Roman" w:cs="Times New Roman"/>
          <w:b/>
          <w:bCs/>
          <w:kern w:val="2"/>
          <w:sz w:val="21"/>
          <w:szCs w:val="32"/>
          <w14:ligatures w14:val="standardContextual"/>
        </w:rPr>
      </w:pPr>
    </w:p>
    <w:p w14:paraId="118560D7"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Аннотация:</w:t>
      </w:r>
      <w:r w:rsidRPr="00877DE5">
        <w:rPr>
          <w:rFonts w:ascii="Times New Roman" w:eastAsia="Aptos" w:hAnsi="Times New Roman" w:cs="Times New Roman"/>
          <w:kern w:val="2"/>
          <w:sz w:val="21"/>
          <w:szCs w:val="32"/>
          <w14:ligatures w14:val="standardContextual"/>
        </w:rPr>
        <w:t xml:space="preserve"> В статье рассматривается необходимость управления дебиторской задолженностью как важного элемента финансового менеджмента организации. Приведён обзор нормативно-правовой базы (в частности, ФСБУ 4/2023 и ПБУ 10/99) и её влияния на учет и раскрытие сведений о дебиторской задолженности. Проведен анализ современного состояния управления в российской практике (2024–2025 гг.), включая макроэкономические тренды и отраслевые примеры, а также требования государственных органов (например, Минфин РФ). Представлены практические рекомендации по оптимизации работы с дебиторской задолженностью: установление кредитной политики, автоматизация процессов, обучение персонала и использование инструментов страхования и факторинга. В заключение сформулированы выводы о ключевой роли эффективного управления дебиторской задолженностью и представлена литература, использованная при подготовке статьи.</w:t>
      </w:r>
    </w:p>
    <w:p w14:paraId="44E0C583"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 xml:space="preserve">Ключевые слова: </w:t>
      </w:r>
      <w:r w:rsidRPr="00877DE5">
        <w:rPr>
          <w:rFonts w:ascii="Times New Roman" w:eastAsia="Aptos" w:hAnsi="Times New Roman" w:cs="Times New Roman"/>
          <w:kern w:val="2"/>
          <w:sz w:val="21"/>
          <w:szCs w:val="32"/>
          <w14:ligatures w14:val="standardContextual"/>
        </w:rPr>
        <w:t>дебиторская задолженность, управление, ликвидность, кредитная политика, резерв сомнительных долгов, автоматизация, риск-менеджмент.</w:t>
      </w:r>
    </w:p>
    <w:p w14:paraId="7E060F46" w14:textId="77777777" w:rsidR="00877DE5" w:rsidRPr="00877DE5" w:rsidRDefault="00877DE5" w:rsidP="00067100">
      <w:pPr>
        <w:spacing w:after="0" w:line="240" w:lineRule="auto"/>
        <w:ind w:firstLine="709"/>
        <w:jc w:val="both"/>
        <w:rPr>
          <w:rFonts w:ascii="Times New Roman" w:eastAsia="Aptos" w:hAnsi="Times New Roman" w:cs="Times New Roman"/>
          <w:b/>
          <w:bCs/>
          <w:kern w:val="2"/>
          <w:sz w:val="21"/>
          <w:szCs w:val="32"/>
          <w14:ligatures w14:val="standardContextual"/>
        </w:rPr>
      </w:pPr>
    </w:p>
    <w:p w14:paraId="4984E4B8" w14:textId="77777777" w:rsidR="00877DE5" w:rsidRPr="00877DE5" w:rsidRDefault="00877DE5" w:rsidP="00067100">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sidRPr="00877DE5">
        <w:rPr>
          <w:rFonts w:ascii="Times New Roman" w:eastAsia="Aptos" w:hAnsi="Times New Roman" w:cs="Times New Roman"/>
          <w:b/>
          <w:bCs/>
          <w:i/>
          <w:iCs/>
          <w:kern w:val="2"/>
          <w:sz w:val="21"/>
          <w:szCs w:val="32"/>
          <w:lang w:val="en-US"/>
          <w14:ligatures w14:val="standardContextual"/>
        </w:rPr>
        <w:t>Kaghzvantsyan A.A.,</w:t>
      </w:r>
    </w:p>
    <w:p w14:paraId="0A473D1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69FF5174"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02E4AE8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1A082D4A"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198" w:history="1">
        <w:r w:rsidRPr="00877DE5">
          <w:rPr>
            <w:rFonts w:ascii="Times New Roman" w:eastAsia="Aptos" w:hAnsi="Times New Roman" w:cs="Times New Roman"/>
            <w:color w:val="467886"/>
            <w:kern w:val="2"/>
            <w:sz w:val="21"/>
            <w:szCs w:val="24"/>
            <w:u w:val="single"/>
            <w:lang w:val="en-US"/>
            <w14:ligatures w14:val="standardContextual"/>
          </w:rPr>
          <w:t>100dot13sl220168@edu.fa.ru</w:t>
        </w:r>
      </w:hyperlink>
    </w:p>
    <w:p w14:paraId="46BE24DC"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0798E684"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0FCFFA39"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38BF0CE3"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145E327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7CC1C19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302C7B99" w14:textId="77777777" w:rsidR="00877DE5" w:rsidRPr="00420733" w:rsidRDefault="00877DE5" w:rsidP="00067100">
      <w:pPr>
        <w:suppressAutoHyphens/>
        <w:spacing w:after="0" w:line="240" w:lineRule="auto"/>
        <w:ind w:firstLine="709"/>
        <w:jc w:val="right"/>
        <w:textAlignment w:val="baseline"/>
        <w:rPr>
          <w:lang w:val="en-US"/>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199" w:history="1">
        <w:r w:rsidRPr="00877DE5">
          <w:rPr>
            <w:rFonts w:ascii="Times New Roman" w:eastAsia="Times New Roman" w:hAnsi="Times New Roman" w:cs="Times New Roman"/>
            <w:i/>
            <w:color w:val="0000FF"/>
            <w:sz w:val="21"/>
            <w:szCs w:val="20"/>
            <w:u w:val="single"/>
            <w:lang w:val="x-none" w:eastAsia="ar-SA"/>
          </w:rPr>
          <w:t>uyuroschektaeva@fa.ru</w:t>
        </w:r>
      </w:hyperlink>
    </w:p>
    <w:p w14:paraId="346A9684" w14:textId="77777777" w:rsidR="00AC4E1B" w:rsidRPr="00877DE5" w:rsidRDefault="00AC4E1B"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p>
    <w:p w14:paraId="358E69D6"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32"/>
          <w:lang w:val="en-US"/>
          <w14:ligatures w14:val="standardContextual"/>
        </w:rPr>
      </w:pPr>
      <w:r w:rsidRPr="00877DE5">
        <w:rPr>
          <w:rFonts w:ascii="Times New Roman" w:eastAsia="Aptos" w:hAnsi="Times New Roman" w:cs="Times New Roman"/>
          <w:b/>
          <w:bCs/>
          <w:kern w:val="2"/>
          <w:sz w:val="21"/>
          <w:szCs w:val="32"/>
          <w:lang w:val="en-US"/>
          <w14:ligatures w14:val="standardContextual"/>
        </w:rPr>
        <w:t>Problems of accounts receivable management</w:t>
      </w:r>
    </w:p>
    <w:p w14:paraId="337EF4A2"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32"/>
          <w:lang w:val="en-US"/>
          <w14:ligatures w14:val="standardContextual"/>
        </w:rPr>
      </w:pPr>
    </w:p>
    <w:p w14:paraId="287BC60B"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32"/>
          <w:lang w:val="en-US"/>
          <w14:ligatures w14:val="standardContextual"/>
        </w:rPr>
      </w:pPr>
      <w:r w:rsidRPr="00877DE5">
        <w:rPr>
          <w:rFonts w:ascii="Times New Roman" w:eastAsia="Aptos" w:hAnsi="Times New Roman" w:cs="Times New Roman"/>
          <w:b/>
          <w:kern w:val="2"/>
          <w:sz w:val="21"/>
          <w:szCs w:val="32"/>
          <w:lang w:val="en-US"/>
          <w14:ligatures w14:val="standardContextual"/>
        </w:rPr>
        <w:t xml:space="preserve">Abstract: </w:t>
      </w:r>
      <w:r w:rsidRPr="00877DE5">
        <w:rPr>
          <w:rFonts w:ascii="Times New Roman" w:eastAsia="Aptos" w:hAnsi="Times New Roman" w:cs="Times New Roman"/>
          <w:kern w:val="2"/>
          <w:sz w:val="21"/>
          <w:szCs w:val="32"/>
          <w:lang w:val="en-US"/>
          <w14:ligatures w14:val="standardContextual"/>
        </w:rPr>
        <w:t xml:space="preserve">This article examines the necessity of accounts receivable management as a critical element of an organization’s financial management. It provides an overview of the regulatory framework (in particular, Federal Accounting Standard FAS 4/2023 and Accounting «Regulation Organization Expenses» (AR 10/99)) and its impact on the accounting and disclosure of accounts receivable. An analysis of the current state of accounts receivable management in Russian practice (2024–2025) is conducted, </w:t>
      </w:r>
      <w:proofErr w:type="gramStart"/>
      <w:r w:rsidRPr="00877DE5">
        <w:rPr>
          <w:rFonts w:ascii="Times New Roman" w:eastAsia="Aptos" w:hAnsi="Times New Roman" w:cs="Times New Roman"/>
          <w:kern w:val="2"/>
          <w:sz w:val="21"/>
          <w:szCs w:val="32"/>
          <w:lang w:val="en-US"/>
          <w14:ligatures w14:val="standardContextual"/>
        </w:rPr>
        <w:t>taking into account</w:t>
      </w:r>
      <w:proofErr w:type="gramEnd"/>
      <w:r w:rsidRPr="00877DE5">
        <w:rPr>
          <w:rFonts w:ascii="Times New Roman" w:eastAsia="Aptos" w:hAnsi="Times New Roman" w:cs="Times New Roman"/>
          <w:kern w:val="2"/>
          <w:sz w:val="21"/>
          <w:szCs w:val="32"/>
          <w:lang w:val="en-US"/>
          <w14:ligatures w14:val="standardContextual"/>
        </w:rPr>
        <w:t xml:space="preserve"> macroeconomic trends and industry-specific examples, as well as requirements from state bodies (e.g., the Ministry of Finance of the Russian Federation). Practical recommendations for optimizing receivables management are presented, including credit policy establishment, process automation, staff training, and the use of insurance and factoring instruments. The </w:t>
      </w:r>
      <w:r w:rsidRPr="00877DE5">
        <w:rPr>
          <w:rFonts w:ascii="Times New Roman" w:eastAsia="Aptos" w:hAnsi="Times New Roman" w:cs="Times New Roman"/>
          <w:kern w:val="2"/>
          <w:sz w:val="21"/>
          <w:szCs w:val="32"/>
          <w:lang w:val="en-US"/>
          <w14:ligatures w14:val="standardContextual"/>
        </w:rPr>
        <w:lastRenderedPageBreak/>
        <w:t>conclusions emphasize the key role of effective accounts receivable management, and a list of references used in the preparation of the article is provided.</w:t>
      </w:r>
    </w:p>
    <w:p w14:paraId="2F6949A5"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32"/>
          <w:lang w:val="en-US"/>
          <w14:ligatures w14:val="standardContextual"/>
        </w:rPr>
      </w:pPr>
      <w:r w:rsidRPr="00877DE5">
        <w:rPr>
          <w:rFonts w:ascii="Times New Roman" w:eastAsia="Aptos" w:hAnsi="Times New Roman" w:cs="Times New Roman"/>
          <w:b/>
          <w:bCs/>
          <w:kern w:val="2"/>
          <w:sz w:val="21"/>
          <w:szCs w:val="20"/>
          <w:lang w:val="en-US"/>
          <w14:ligatures w14:val="standardContextual"/>
        </w:rPr>
        <w:t xml:space="preserve">Abstract: </w:t>
      </w:r>
      <w:r w:rsidRPr="00877DE5">
        <w:rPr>
          <w:rFonts w:ascii="Times New Roman" w:eastAsia="Aptos" w:hAnsi="Times New Roman" w:cs="Times New Roman"/>
          <w:kern w:val="2"/>
          <w:sz w:val="21"/>
          <w:szCs w:val="32"/>
          <w:lang w:val="en-US"/>
          <w14:ligatures w14:val="standardContextual"/>
        </w:rPr>
        <w:t>accounts receivable, management, liquidity, credit policy, allowance for doubtful accounts, automation, risk management.</w:t>
      </w:r>
    </w:p>
    <w:p w14:paraId="753B1AE0"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32"/>
          <w:lang w:val="en-US"/>
          <w14:ligatures w14:val="standardContextual"/>
        </w:rPr>
      </w:pPr>
    </w:p>
    <w:p w14:paraId="7782FEB4"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Дебиторская задолженность представляет собой сумму обязательств контрагентов организации за поставленные товары, работы и оказанные услуги. В современных экономических условиях грамотное управление дебиторской задолженностью становится критически важным для обеспечения ликвидности и финансовой устойчивости компании. Своевременная инкассация поступлений позволяет поддерживать оборотный капитал и снижать риск накопления безнадёжных долгов. Увеличение объёмов дебиторской задолженности отражается в замороженных активах и может вызывать кассовые разрывы, что требует формирования адекватных резервов и выработки чёткой кредитной политики.</w:t>
      </w:r>
    </w:p>
    <w:p w14:paraId="77723EFE"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Российское законодательство устанавливает требования к учёту и раскрытию информации о дебиторской задолженности. Так, Федеральный стандарт бухгалтерского учёта (ФСБУ) 4/2023 «Бухгалтерская (финансовая) отчётность», утверждённый Приказом Минфина РФ от 4 октября 2023 г. № 157н, вводит новые формы отчётности и пояснений к балансу. В частности, ФСБУ 4/2023 содержит примеры форм пояснений, предусматривающие разделы «Наличие и движение дебиторской задолженности» и «Просроченная дебиторская задолженность» [1]. Положение по бухгалтерскому учёту «Расходы организации» (ПБУ 10/99, Приказ Минфина РФ от 6 мая 1999 г. № 33н) регулирует особенности признания расходов и списания безнадёжной задолженности. Согласно ПБУ 10/99, дебиторская задолженность, по которой истёк срок исковой давности, включается в состав прочих расходов на сумму, ранее учтённую в учёте [2]. При этом ПБУ 10/99 уточняет: если не выполнено хотя бы одно из условий признания расхода, соответствующая сумма отражается как дебиторская задолженность [3].</w:t>
      </w:r>
    </w:p>
    <w:p w14:paraId="74E77CFF"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Введение нового ФСБУ 4/2023 предполагает более системное раскрытие информации о дебиторской задолженности и требует от организаций структурировать внутренний учёт по новым требованиям. Учитывая эти изменения, а также внешнеэкономические вызовы (высокие ставки, санкции и т.д.), организациям необходимо внедрять эффективные системы управления дебиторской задолженностью. </w:t>
      </w:r>
    </w:p>
    <w:p w14:paraId="6FB34409"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lastRenderedPageBreak/>
        <w:t>Цель статьи – проанализировать теоретические аспекты и текущую практику управления дебиторской задолженностью в России (2024–2025 гг.) и сформулировать рекомендации по оптимизации этого процесса.</w:t>
      </w:r>
    </w:p>
    <w:p w14:paraId="4B4601C8"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Дебиторская задолженность рассматривается как часть оборотных активов, возникающая в результате коммерческой деятельности организации. В теории финансов управление дебиторской задолженностью относится к управлению оборотным капиталом и кредитной политикой компании. Рост доли в активах может указывать на чрезмерную лояльность к клиентам и приводить к снижению оборачиваемости капитала. С другой стороны, недостаточное предоставление кредитных условий может ограничивать объёмы продаж. Поэтому основной задачей менеджмента является балансирование между объёмом продаж в кредит и риском неплатежей.</w:t>
      </w:r>
    </w:p>
    <w:p w14:paraId="57BF40E1"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В российском бухгалтерском учете дебиторская задолженность классифицируется как краткосрочная (срок погашения до 12 месяцев) или долгосрочная (свыше 12 месяцев) в зависимости от условий контрактов. Отдельно выделяется просроченная дебиторская задолженность. В балансе организации эти величины отражаются на соответствующих счетах (например, счета 62х «Расчёты с покупателями и заказчиками»). При формировании финансовых результатов аналитически важно учитывать степень оборачиваемости дебиторской задолженности и долю безнадёжных долгов. Согласно методологии бухучёта, организациям рекомендуется создавать резерв по сомнительным долгам (ПБУ 18/02), что позволяет списывать безнадёжную задолженность с учёта с минимальным влиянием на прибыль.</w:t>
      </w:r>
    </w:p>
    <w:p w14:paraId="5F28CECE"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Нормативная база определяет особенности учёта просроченной и безнадёжной задолженности. ПБУ 10/99 прямо указывает: дебиторская задолженность, по которой истёк срок исковой давности или взыскание является нереальным, списывается в расходы в том размере, в каком она была отражена в учёте. ПБУ 10/99 предусматривает механизм перехода «просрочки» в расходы. Кроме того, ПБУ 10/99 содержит правило об отражении дебиторской задолженности при несоответствии условий признания расхода: если фактически передача актива не подтверждена, то связанная задолженность учитывается как дебиторская. Положение отражает экономическую суть – компания по-</w:t>
      </w:r>
      <w:r w:rsidRPr="00877DE5">
        <w:rPr>
          <w:rFonts w:ascii="Times New Roman" w:eastAsia="Aptos" w:hAnsi="Times New Roman" w:cs="Times New Roman"/>
          <w:kern w:val="2"/>
          <w:sz w:val="32"/>
          <w:szCs w:val="32"/>
          <w14:ligatures w14:val="standardContextual"/>
        </w:rPr>
        <w:lastRenderedPageBreak/>
        <w:t>прежнему имеет требование к контрагенту, пока услуга или товар не переданы в полном объёме.</w:t>
      </w:r>
    </w:p>
    <w:p w14:paraId="3B929139"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С принятием ФСБУ 4/2023 изменится структура бухгалтерской отчётности, что требует от компаний дополнительного учёта параметров дебиторской задолженности. Приложение 8 к ФСБУ 4/2023 предусматривает, что пояснения к балансу должны включать отдельные подразделы «Наличие и движение дебиторской задолженности» и «Просроченная дебиторская задолженность». Это говорит о необходимости систематизации информации в финансовой отчётности. При этом сам стандарт предоставляет организациям свободу формировать пояснения исходя из специфики деятельности: раскрытие информации о движении дебиторской задолженности в отчётности оценивается с точки зрения существенности [4]. Если организация решает не детализировать такие данные, ФСБУ 4/2023 рекомендует отразить это в пояснительной записке.</w:t>
      </w:r>
    </w:p>
    <w:p w14:paraId="00DA1020"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Теоретически управление дебиторской задолженностью включает: разработку кредитной политики (лицензионные, товарные и коммерческие кредиты), оценку платёжеспособности контрагентов, мониторинг сроков оплаты, формирование резервов по сомнительным долгам, своевременное списание просрочки, а также учёт требований федеральных стандартов (ФСБУ) и приказов Минфина. Эффективное управление снижает риск кассовых разрывов и необходимости курсовых корректировок (т.к. возникшие просрочки в валюте отражаются в учёте по курсу на день выдачи займа). С позиции управления рисками к дебиторской задолженности применимы различные инструменты: поручительство, залог, страхование дебиторской задолженности, факторинг и банковские гарантии [5]. </w:t>
      </w:r>
    </w:p>
    <w:p w14:paraId="48A95BFD"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Российские эксперты по управлению финансами выделяют следующие шаги по построению системы контроля: </w:t>
      </w:r>
    </w:p>
    <w:p w14:paraId="243AD3E0" w14:textId="77777777" w:rsidR="00877DE5" w:rsidRPr="00877DE5" w:rsidRDefault="00877DE5" w:rsidP="00AD58CD">
      <w:pPr>
        <w:numPr>
          <w:ilvl w:val="0"/>
          <w:numId w:val="27"/>
        </w:numPr>
        <w:spacing w:after="0" w:line="240" w:lineRule="auto"/>
        <w:ind w:left="0" w:firstLine="709"/>
        <w:contextualSpacing/>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разработка регламентов и документации;</w:t>
      </w:r>
    </w:p>
    <w:p w14:paraId="7FDF0AF1" w14:textId="77777777" w:rsidR="00877DE5" w:rsidRPr="00877DE5" w:rsidRDefault="00877DE5" w:rsidP="00AD58CD">
      <w:pPr>
        <w:numPr>
          <w:ilvl w:val="0"/>
          <w:numId w:val="27"/>
        </w:numPr>
        <w:spacing w:after="0" w:line="240" w:lineRule="auto"/>
        <w:ind w:left="0" w:firstLine="709"/>
        <w:contextualSpacing/>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обучение и мотивация персонала;</w:t>
      </w:r>
    </w:p>
    <w:p w14:paraId="2AB3C633" w14:textId="77777777" w:rsidR="00877DE5" w:rsidRPr="00877DE5" w:rsidRDefault="00877DE5" w:rsidP="00AD58CD">
      <w:pPr>
        <w:numPr>
          <w:ilvl w:val="0"/>
          <w:numId w:val="27"/>
        </w:numPr>
        <w:spacing w:after="0" w:line="240" w:lineRule="auto"/>
        <w:ind w:left="0" w:firstLine="709"/>
        <w:contextualSpacing/>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автоматизация учёта;</w:t>
      </w:r>
    </w:p>
    <w:p w14:paraId="4DC755BD" w14:textId="77777777" w:rsidR="00877DE5" w:rsidRPr="00877DE5" w:rsidRDefault="00877DE5" w:rsidP="00AD58CD">
      <w:pPr>
        <w:numPr>
          <w:ilvl w:val="0"/>
          <w:numId w:val="27"/>
        </w:numPr>
        <w:spacing w:after="0" w:line="240" w:lineRule="auto"/>
        <w:ind w:left="0" w:firstLine="709"/>
        <w:contextualSpacing/>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применение аналитических процедур. </w:t>
      </w:r>
    </w:p>
    <w:p w14:paraId="73310AE0"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Аспекты будут учтены в анализе текущей практики и рекомендациях.</w:t>
      </w:r>
    </w:p>
    <w:p w14:paraId="3B7B1DB3"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Анализ практики управления дебиторской задолженностью показывает противоречивую динамику. С одной стороны, изменения в экономике России создают риски для инкассации обязательств контрагентов. Во многом это связано с внешнеэкономическими </w:t>
      </w:r>
      <w:r w:rsidRPr="00877DE5">
        <w:rPr>
          <w:rFonts w:ascii="Times New Roman" w:eastAsia="Aptos" w:hAnsi="Times New Roman" w:cs="Times New Roman"/>
          <w:kern w:val="2"/>
          <w:sz w:val="32"/>
          <w:szCs w:val="32"/>
          <w14:ligatures w14:val="standardContextual"/>
        </w:rPr>
        <w:lastRenderedPageBreak/>
        <w:t>ограничениями. Как отмечают эксперты, после введения антироссийских санкций компании оказались в затруднительном положении: зарубежные дебиторы массово используют правовые лазейки, а международное взыскание «практически встало». По данным коллекторского агентства, средний размер просроченной задолженности иностранного контрагента в России составляет порядка 600–700 млн руб., а в Северо-Западном регионе («окне в Европу») — до 1,5 млрд руб. [6]. При этом часть компаний безуспешно пытается получить взысканные суммы через иностранный арбитраж и не может перевести их в Россию. Повышает неопределённость и заставляет российских предприятий искать альтернативные инструменты (продажа долга, досрочное урегулирование и т.п.).</w:t>
      </w:r>
    </w:p>
    <w:p w14:paraId="7D2F2C46"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С другой стороны, по словам ведущих аналитиков, в отдельных секторах ситуация с дебиторской задолженностью улучшилась. Главный аналитик Центра экспертизы Промсвязьбанка Д. Попов сообщил, что в 2023 г. наблюдалось снижение просроченной дебиторской задолженности в секторах торговли и недвижимости, хотя в агросекторе, транспорте, добыче и сфере услуг ситуация усугубилась. Говорит о том, что эффективность управления сильно зависит от отраслевой конъюнктуры и качества кредитной политики внутри бизнеса. Важно отметить также, что внутренний спрос в России сохраняется драйвером роста производства, что даёт предприятиям возможность продавать больше продукции (пусть и с кредитом), но одновременно предъявляет более высокие требования к контролю за платежами.</w:t>
      </w:r>
    </w:p>
    <w:p w14:paraId="15C267E0"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В 2024–2025 гг. российские компании внедряют практики оптимизации дебиторской задолженностью. Так, в рамках конференции «Управление дебиторской задолженностью» представители крупного бизнеса поделились реальными кейсами. Например, начальник управления по работе с дебиторской задолженностью Tele2 М. Кузьменко рассказал о механизмах оптимизации в телекоммуникационной компании. Tele2 существенно увеличила долю электронного документооборота (ЭДО) для договоров и первичных документов с контрагентами, что ускорило расчёты. Кроме того, для работы с иностранными партнёрами были введены дополнительные меры: организация персонифицированной оплаты (post-payment), дополнительная проверка контрагентов, использование взаимозачётов, подключение платёжных агентов и резервных счетов </w:t>
      </w:r>
      <w:r w:rsidRPr="00877DE5">
        <w:rPr>
          <w:rFonts w:ascii="Times New Roman" w:eastAsia="Aptos" w:hAnsi="Times New Roman" w:cs="Times New Roman"/>
          <w:kern w:val="2"/>
          <w:sz w:val="32"/>
          <w:szCs w:val="32"/>
          <w14:ligatures w14:val="standardContextual"/>
        </w:rPr>
        <w:lastRenderedPageBreak/>
        <w:t>дебиторов. Такие практики позволяют Tele2 снизить риск образования просрочек при внешнеторговых операциях.</w:t>
      </w:r>
    </w:p>
    <w:p w14:paraId="5E17CC52"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Другой пример – нефтяная компания «Татнефть». Начальник отдела корпоративных финансов Л. Садреева описала создание сервиса по управлению просроченной дебиторской задолженностью. В компании были введены стандарты и регламенты взаимодействия со всеми подразделениями, участвующими в работе с дебиторской задолженностью. Среди принципов, которые она выделила, – отсутствие закреплённых регламентов приводит к «отсутствию процесса», требуется максимально исключать человеческий фактор и жёстко контролировать дисциплину исполнения финансовых обязательств. Садреева также рассказала о роботизации процедуры сбора отчётности по просроченной задолженности и тиражировании успешных практик в разных подразделениях (что соответствует общей тенденции цифровизации учёта).</w:t>
      </w:r>
    </w:p>
    <w:p w14:paraId="52065EB9"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На уровне государства вопросы дебиторской задолженности также в центре внимания. В начале 2025 г. Минфин РФ утвердил общие требования к регламенту управления дебиторской задолженностью для получателей средств федерального бюджета. В документе перечислены меры по предупреждению возникновения просроченной задолженности по расходам (мониторинг, лимиты, анализ рисков) и алгоритмы реагирования на уже выявленные дефекты. Фактически это означает, что предприятия госсектора обязаны организовать контролируемую систему учёта расчетов по расходам, что подчёркивает социально-экономическую значимость проблемы. Аналогичные рекомендации звучат и со стороны Президента и Контрольно-счётной палаты (пресс-релизы ПСК и поручения Президента РФ 2023 г.), подчёркивающие, что «от эффективности управления дебиторской задолженностью зависит наполняемость бюджета» и необходимо не допускать избыточного роста подобных активов [7].</w:t>
      </w:r>
    </w:p>
    <w:p w14:paraId="596CBF7D"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Таким образом, анализ текущего состояния показывает, что российские организации всё больше внимания уделяют управлению дебиторской задолженностью. Макроэкономические вызовы (санкции, инфляция, высокие ставки) диктуют необходимость усиленной работы с кредиторско-кассовыми рисками. На практике компании используют международный опыт (факторинг, страхование, экспресс-платежи), а также создают собственные регламенты и автоматизированные системы контроля. В то же время ввод новых стандартов </w:t>
      </w:r>
      <w:r w:rsidRPr="00877DE5">
        <w:rPr>
          <w:rFonts w:ascii="Times New Roman" w:eastAsia="Aptos" w:hAnsi="Times New Roman" w:cs="Times New Roman"/>
          <w:kern w:val="2"/>
          <w:sz w:val="32"/>
          <w:szCs w:val="32"/>
          <w14:ligatures w14:val="standardContextual"/>
        </w:rPr>
        <w:lastRenderedPageBreak/>
        <w:t>бухгалтерского учёта (ФСБУ 4/2023) требует от бизнеса более строгого документирования и раскрытия информации, что ставит задачу пересмотра учетной политики и IT-систем.</w:t>
      </w:r>
    </w:p>
    <w:p w14:paraId="3BFB07E9"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Исходя из теоретических основ и практического анализа, можно выделить ключевые выводы и выработать рекомендации по оптимизации управления дебиторской задолженностью в организациях:</w:t>
      </w:r>
    </w:p>
    <w:p w14:paraId="286B45E5"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Компаниям следует формализовать процедуры взаимодействия с дебиторами: предусмотреть лимиты кредитования, условия отсрочек оплаты, критерии оценки надёжности контрагентов. Отсутствие регламентов часто приводит к неэффективному управлению (как подчеркнула Л. Садреева, «нет регламента – нет процесса»). Регламент должен оговаривать действия на всех этапах: проверка контрагента, выставление счета, сроки оплаты и автоматические напоминания, претензионную работу;</w:t>
      </w:r>
    </w:p>
    <w:p w14:paraId="36652A46"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Организации должны регулярно оценивать платёжеспособность партнёров. Практика крупных компаний (например, «Силовые машины») показывает: предварительная проработка условий расчетов по экспортным и импортным сделкам, проверка списка банков контрагентов, требование открытия рублёвых счетов или счетов в «лояльных» банках помогает снизить риски при ВЭД. При обнаружении проблем с оплатой необходим быстрый контакт с клиентом и оперативные меры (пересмотр условий, графика оплаты, уступка долга);</w:t>
      </w:r>
    </w:p>
    <w:p w14:paraId="62138F3A"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Современные информационные технологии позволяют оптимизировать работу с дебиторской задолженностью. Например, Tele2 и другие компании стремятся к 100%-ному переходу на электронный документооборот по договорам и первичным документам. Ускоряет обработку счетов и снижает количество ошибок. Внедрение CRM-систем и модулей «soft collection» позволяет фиксировать все действия по взысканию (напоминания, звонки, письма) и учитывать статистику (дни просрочки, результативность). Специалисты отмечают, что автоматизация претензионной и судебной работы (автоматическая отправка претензий, проверка статуса контрагента по ЕГРЮЛ и др.) помогает сократить расходы на взыскание и быстро переключать акценты в работе с проблемными долгами;</w:t>
      </w:r>
    </w:p>
    <w:p w14:paraId="236A8F12"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Управление дебиторской задолженностью — это процесс, задействующий несколько подразделений (продажи, бухгалтерия, </w:t>
      </w:r>
      <w:r w:rsidRPr="00877DE5">
        <w:rPr>
          <w:rFonts w:ascii="Times New Roman" w:eastAsia="Aptos" w:hAnsi="Times New Roman" w:cs="Times New Roman"/>
          <w:kern w:val="2"/>
          <w:sz w:val="32"/>
          <w:szCs w:val="32"/>
          <w14:ligatures w14:val="standardContextual"/>
        </w:rPr>
        <w:lastRenderedPageBreak/>
        <w:t>юристы, служба качества). Необходимо обучать менеджеров правильной технике ведения переговоров о платежах, регламентировать сроки выставления счетов и оплаты, а также вводить мотивацию за снижение объёма просрочки. Например, специалисты TFN Group рекомендуют проводить регулярные тренинги для сотрудников, отвечающих за расчёты, и связывать часть бонусов с качеством управления дебиторской задолженностью;</w:t>
      </w:r>
    </w:p>
    <w:p w14:paraId="49FF67B3"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Для снижения риска невозврата следует применять дополнительные финансовые механизмы. В частности, возможно страхование кредитного риска дебитора или привлечение факторов по безрегрессному факторингу (когда риски остаются у фактора). Также эффективны банковские гарантии и поруки контрагентов, особенно в крупных сделках. Инструменты уменьшают потенциальные потери: если клиент не платит, банк или страховая компания покроют долг.</w:t>
      </w:r>
    </w:p>
    <w:p w14:paraId="663A26C6"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Согласно нормативам ПБУ 10/99, безнадёжные долги списываются в расходы. Для оптимизации финансового результата желательно заранее создавать резерв по сомнительным долгам (ПБУ 18/02). Позволит заблаговременно уменьшить прибыль при неизбежности невозврата части задолженности. Регулярный анализ и вовремя проведённый аудит дебиторской задолженности, а также применение правил признания выручки по фактическому поступлению (для УСН), помогают не создавать «скрытых» долгов в учёте;</w:t>
      </w:r>
    </w:p>
    <w:p w14:paraId="5FEE7795" w14:textId="77777777" w:rsidR="00877DE5" w:rsidRPr="00877DE5" w:rsidRDefault="00877DE5" w:rsidP="00AD58CD">
      <w:pPr>
        <w:numPr>
          <w:ilvl w:val="0"/>
          <w:numId w:val="26"/>
        </w:numPr>
        <w:spacing w:after="0" w:line="240" w:lineRule="auto"/>
        <w:ind w:left="0"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Эффективное управление требует постоянного мониторинга ключевых метрик: доли дебиторской задолженности в активах, средних дней до оплаты (DSO), удельного веса просроченной части. Внутренние отчёты о дебиторской задолженности должны регулярно анализироваться руководством. С учётом требований ФСБУ 4/2023 стоит предусмотреть отчётность, которая облегчает последующее раскрытие в пояснениях. Так, можно составлять внутренний регламент формирования пояснений «Наличие и движение дебиторской задолженности» и «Просроченная задолженность», что упростит подготовку годовых отчётов. Если компания решит не включать детальные сведения о движении, ФСБУ 4/2023 рекомендует отразить этот факт в пояснениях. Прозрачность раскрытия и обоснование отказа от детализации демонстрируют ответственность менеджмента перед инвесторами и контролирующими органами.</w:t>
      </w:r>
    </w:p>
    <w:p w14:paraId="5A6E806B"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В целом, внедрение комплексного подхода к управлению дебиторской задолженностью – сочетание строгой учётной политики </w:t>
      </w:r>
      <w:r w:rsidRPr="00877DE5">
        <w:rPr>
          <w:rFonts w:ascii="Times New Roman" w:eastAsia="Aptos" w:hAnsi="Times New Roman" w:cs="Times New Roman"/>
          <w:kern w:val="2"/>
          <w:sz w:val="32"/>
          <w:szCs w:val="32"/>
          <w14:ligatures w14:val="standardContextual"/>
        </w:rPr>
        <w:lastRenderedPageBreak/>
        <w:t>(с учётом ФСБУ 4/2023 и ПБУ 10/99), оперативных процедур контроля, современных финансовых инструментов и обучения персонала – позволяет организациям оптимизировать денежные потоки и снижать финансовые риски. Практика российских компаний (Tele2, Татнефть, РЖД Логистика и др.) показывает, что такие меры дают положительные результаты: уменьшаются доля просрочки и расходы на её взыскание.</w:t>
      </w:r>
    </w:p>
    <w:p w14:paraId="5C417B49"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p>
    <w:p w14:paraId="5723875E"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090D17EA"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«Последний аккорд»: пояснения к бухотчетности по ФСБУ 4/2023 [Электронный ресурс: </w:t>
      </w:r>
      <w:hyperlink r:id="rId200" w:history="1">
        <w:r w:rsidRPr="00877DE5">
          <w:rPr>
            <w:rFonts w:ascii="Times New Roman" w:eastAsia="Aptos" w:hAnsi="Times New Roman" w:cs="Times New Roman"/>
            <w:color w:val="467886"/>
            <w:kern w:val="2"/>
            <w:sz w:val="21"/>
            <w:szCs w:val="20"/>
            <w:u w:val="single"/>
            <w14:ligatures w14:val="standardContextual"/>
          </w:rPr>
          <w:t>https://www.berator.ru/info/2080087/</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565B1BA9"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Приказ Минфина России от 06.05.1999 N 33н (ред. от 06.04.2015) "Об утверждении Положения по бухгалтерскому учету "Расходы организации" ПБУ 10/99" (Зарегистрировано в Минюсте России 31.05.1999 N 1790) [Электронный ресурс:  </w:t>
      </w:r>
      <w:hyperlink r:id="rId201" w:history="1">
        <w:r w:rsidRPr="00877DE5">
          <w:rPr>
            <w:rFonts w:ascii="Times New Roman" w:eastAsia="Aptos" w:hAnsi="Times New Roman" w:cs="Times New Roman"/>
            <w:color w:val="467886"/>
            <w:kern w:val="2"/>
            <w:sz w:val="21"/>
            <w:szCs w:val="20"/>
            <w:u w:val="single"/>
            <w14:ligatures w14:val="standardContextual"/>
          </w:rPr>
          <w:t>https://www.consultant.ru/document/cons_doc_LAW_12508/776dafe44f6f85723ba59a0c913883ce2e044156/</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00411052"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ПОЛОЖЕНИЕ ПО БУХГАЛТЕРСКОМУ УЧЕТУ "РАСХОДЫ ОРГАНИЗАЦИИ" ПБУ 10/99 [Электронный ресурс: </w:t>
      </w:r>
      <w:hyperlink r:id="rId202" w:history="1">
        <w:r w:rsidRPr="00877DE5">
          <w:rPr>
            <w:rFonts w:ascii="Times New Roman" w:eastAsia="Aptos" w:hAnsi="Times New Roman" w:cs="Times New Roman"/>
            <w:color w:val="467886"/>
            <w:kern w:val="2"/>
            <w:sz w:val="21"/>
            <w:szCs w:val="20"/>
            <w:u w:val="single"/>
            <w14:ligatures w14:val="standardContextual"/>
          </w:rPr>
          <w:t>https://ru.wikisource.org/wiki/Положение_по_бухгалтерскому_учёту_«Расходы_организации»_ПБУ_10/99</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5B1BB8CF"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Методические материалы на тему: Вопросы и ответы по ФСБУ 4/2023 «Бухгалтерская (финансовая) отчетность» [Электронный ресурс: </w:t>
      </w:r>
      <w:hyperlink r:id="rId203" w:history="1">
        <w:r w:rsidRPr="00877DE5">
          <w:rPr>
            <w:rFonts w:ascii="Times New Roman" w:eastAsia="Aptos" w:hAnsi="Times New Roman" w:cs="Times New Roman"/>
            <w:color w:val="467886"/>
            <w:kern w:val="2"/>
            <w:sz w:val="21"/>
            <w:szCs w:val="20"/>
            <w:u w:val="single"/>
            <w14:ligatures w14:val="standardContextual"/>
          </w:rPr>
          <w:t>https://sroaas.ru/upload/iblock/1a0/rvbsd5gp4iyo6q16cwifmzt6etlnca1c/Voprosy-i-otvety-po-FSBU-4_2023-okt-2024.pdf</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518DBEAF"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Отчет об Одиннадцатой конференции «Управление дебиторской задолженностью» [Электронный ресурс: </w:t>
      </w:r>
      <w:hyperlink r:id="rId204" w:history="1">
        <w:r w:rsidRPr="00877DE5">
          <w:rPr>
            <w:rFonts w:ascii="Times New Roman" w:eastAsia="Aptos" w:hAnsi="Times New Roman" w:cs="Times New Roman"/>
            <w:color w:val="467886"/>
            <w:kern w:val="2"/>
            <w:sz w:val="21"/>
            <w:szCs w:val="20"/>
            <w:u w:val="single"/>
            <w14:ligatures w14:val="standardContextual"/>
          </w:rPr>
          <w:t>https://www.cfo-russia.ru/stati/?article=86295</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45D90D80"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Покупка и взыскание дебиторской задолженности в 2024 году: мнения экспертов - [Электронный ресурс: </w:t>
      </w:r>
      <w:hyperlink r:id="rId205" w:history="1">
        <w:r w:rsidRPr="00877DE5">
          <w:rPr>
            <w:rFonts w:ascii="Times New Roman" w:eastAsia="Aptos" w:hAnsi="Times New Roman" w:cs="Times New Roman"/>
            <w:color w:val="467886"/>
            <w:kern w:val="2"/>
            <w:sz w:val="21"/>
            <w:szCs w:val="20"/>
            <w:u w:val="single"/>
            <w14:ligatures w14:val="standardContextual"/>
          </w:rPr>
          <w:t>https://rvzrus.ru/blog/2866</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32E7BDBE"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20"/>
          <w14:ligatures w14:val="standardContextual"/>
        </w:rPr>
        <w:t xml:space="preserve">Минфин обозначил требования по управлению дебиторской задолженностью для получателей средств федерального бюджета. [Электронный ресурс: </w:t>
      </w:r>
      <w:hyperlink r:id="rId206" w:history="1">
        <w:r w:rsidRPr="00877DE5">
          <w:rPr>
            <w:rFonts w:ascii="Times New Roman" w:eastAsia="Aptos" w:hAnsi="Times New Roman" w:cs="Times New Roman"/>
            <w:color w:val="467886"/>
            <w:kern w:val="2"/>
            <w:sz w:val="21"/>
            <w:szCs w:val="20"/>
            <w:u w:val="single"/>
            <w14:ligatures w14:val="standardContextual"/>
          </w:rPr>
          <w:t>https://fabrikant-media.ru/legislation/minfin-oboznachil-trebovaniya-po-upravleniyu-debitorskoy-zadolzhennostyu-dlya-poluchateley-sredstv-f/</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7F66FE7B" w14:textId="77777777" w:rsidR="00877DE5" w:rsidRPr="00877DE5" w:rsidRDefault="00877DE5" w:rsidP="00AD58CD">
      <w:pPr>
        <w:numPr>
          <w:ilvl w:val="0"/>
          <w:numId w:val="28"/>
        </w:numPr>
        <w:spacing w:after="0" w:line="240" w:lineRule="auto"/>
        <w:ind w:left="0" w:firstLine="709"/>
        <w:contextualSpacing/>
        <w:jc w:val="both"/>
        <w:rPr>
          <w:rFonts w:ascii="Times New Roman" w:eastAsia="Aptos" w:hAnsi="Times New Roman" w:cs="Times New Roman"/>
          <w:kern w:val="2"/>
          <w:sz w:val="21"/>
          <w:szCs w:val="24"/>
          <w14:ligatures w14:val="standardContextual"/>
        </w:rPr>
      </w:pPr>
      <w:r w:rsidRPr="00877DE5">
        <w:rPr>
          <w:rFonts w:ascii="Times New Roman" w:eastAsia="Aptos" w:hAnsi="Times New Roman" w:cs="Times New Roman"/>
          <w:kern w:val="2"/>
          <w:sz w:val="21"/>
          <w:szCs w:val="32"/>
          <w14:ligatures w14:val="standardContextual"/>
        </w:rPr>
        <w:t xml:space="preserve">Федеральный закон от 06.12.2011 № 402-ФЗ «О бухгалтерском учёте» </w:t>
      </w:r>
      <w:r w:rsidRPr="00877DE5">
        <w:rPr>
          <w:rFonts w:ascii="Times New Roman" w:eastAsia="Aptos" w:hAnsi="Times New Roman" w:cs="Times New Roman"/>
          <w:kern w:val="2"/>
          <w:sz w:val="21"/>
          <w:szCs w:val="20"/>
          <w14:ligatures w14:val="standardContextual"/>
        </w:rPr>
        <w:t xml:space="preserve">[Электронный ресурс: </w:t>
      </w:r>
      <w:hyperlink r:id="rId207" w:history="1">
        <w:r w:rsidRPr="00877DE5">
          <w:rPr>
            <w:rFonts w:ascii="Times New Roman" w:eastAsia="Aptos" w:hAnsi="Times New Roman" w:cs="Times New Roman"/>
            <w:color w:val="467886"/>
            <w:kern w:val="2"/>
            <w:sz w:val="21"/>
            <w:szCs w:val="20"/>
            <w:u w:val="single"/>
            <w14:ligatures w14:val="standardContextual"/>
          </w:rPr>
          <w:t>https://www.consultant.ru/document/cons_doc_LAW_122855/</w:t>
        </w:r>
      </w:hyperlink>
      <w:r w:rsidRPr="00877DE5">
        <w:rPr>
          <w:rFonts w:ascii="Times New Roman" w:eastAsia="Aptos" w:hAnsi="Times New Roman" w:cs="Times New Roman"/>
          <w:kern w:val="2"/>
          <w:sz w:val="21"/>
          <w:szCs w:val="20"/>
          <w14:ligatures w14:val="standardContextual"/>
        </w:rPr>
        <w:t xml:space="preserve"> (дата обращения 17.05.2025)];</w:t>
      </w:r>
    </w:p>
    <w:p w14:paraId="2D3DBA6F"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p>
    <w:p w14:paraId="1067E5C4" w14:textId="77777777" w:rsidR="00877DE5" w:rsidRPr="00420733" w:rsidRDefault="00877DE5" w:rsidP="00067100">
      <w:pPr>
        <w:spacing w:after="0" w:line="240" w:lineRule="auto"/>
        <w:ind w:firstLine="709"/>
        <w:jc w:val="both"/>
        <w:rPr>
          <w:rFonts w:ascii="Times New Roman" w:eastAsia="Aptos" w:hAnsi="Times New Roman" w:cs="Times New Roman"/>
          <w:kern w:val="2"/>
          <w:sz w:val="21"/>
          <w:szCs w:val="20"/>
          <w14:ligatures w14:val="standardContextual"/>
        </w:rPr>
      </w:pPr>
    </w:p>
    <w:p w14:paraId="7CE64BD8" w14:textId="77777777" w:rsidR="00877DE5" w:rsidRPr="00877DE5" w:rsidRDefault="00877DE5" w:rsidP="00067100">
      <w:pPr>
        <w:spacing w:after="0" w:line="240" w:lineRule="auto"/>
        <w:ind w:firstLine="709"/>
        <w:rPr>
          <w:rFonts w:ascii="Times New Roman" w:eastAsia="Aptos" w:hAnsi="Times New Roman" w:cs="Times New Roman"/>
          <w:b/>
          <w:bCs/>
          <w:iCs/>
          <w:kern w:val="2"/>
          <w:sz w:val="21"/>
          <w:szCs w:val="21"/>
          <w:shd w:val="clear" w:color="auto" w:fill="FFFFFF"/>
          <w14:ligatures w14:val="standardContextual"/>
        </w:rPr>
      </w:pPr>
      <w:r w:rsidRPr="00877DE5">
        <w:rPr>
          <w:rFonts w:ascii="Times New Roman" w:eastAsia="Aptos" w:hAnsi="Times New Roman" w:cs="Times New Roman"/>
          <w:b/>
          <w:bCs/>
          <w:iCs/>
          <w:kern w:val="2"/>
          <w:sz w:val="21"/>
          <w:szCs w:val="21"/>
          <w:shd w:val="clear" w:color="auto" w:fill="FFFFFF"/>
          <w14:ligatures w14:val="standardContextual"/>
        </w:rPr>
        <w:t>УДК 336.14</w:t>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r w:rsidRPr="00877DE5">
        <w:rPr>
          <w:rFonts w:ascii="Times New Roman" w:eastAsia="Aptos" w:hAnsi="Times New Roman" w:cs="Times New Roman"/>
          <w:b/>
          <w:bCs/>
          <w:iCs/>
          <w:kern w:val="2"/>
          <w:sz w:val="21"/>
          <w:szCs w:val="21"/>
          <w:shd w:val="clear" w:color="auto" w:fill="FFFFFF"/>
          <w14:ligatures w14:val="standardContextual"/>
        </w:rPr>
        <w:tab/>
      </w:r>
    </w:p>
    <w:p w14:paraId="29F88DCA" w14:textId="77777777" w:rsidR="00877DE5" w:rsidRPr="00877DE5" w:rsidRDefault="0007694F" w:rsidP="00067100">
      <w:pPr>
        <w:spacing w:after="0" w:line="240" w:lineRule="auto"/>
        <w:ind w:firstLine="709"/>
        <w:jc w:val="right"/>
        <w:rPr>
          <w:rFonts w:ascii="Times New Roman" w:eastAsia="Aptos" w:hAnsi="Times New Roman" w:cs="Times New Roman"/>
          <w:b/>
          <w:bCs/>
          <w:i/>
          <w:kern w:val="2"/>
          <w:sz w:val="21"/>
          <w:szCs w:val="21"/>
          <w:shd w:val="clear" w:color="auto" w:fill="FFFFFF"/>
          <w14:ligatures w14:val="standardContextual"/>
        </w:rPr>
      </w:pPr>
      <w:r>
        <w:rPr>
          <w:rFonts w:ascii="Times New Roman" w:eastAsia="Aptos" w:hAnsi="Times New Roman" w:cs="Times New Roman"/>
          <w:b/>
          <w:bCs/>
          <w:i/>
          <w:kern w:val="2"/>
          <w:sz w:val="21"/>
          <w:szCs w:val="21"/>
          <w:shd w:val="clear" w:color="auto" w:fill="FFFFFF"/>
          <w14:ligatures w14:val="standardContextual"/>
        </w:rPr>
        <w:t>Канаева У.В</w:t>
      </w:r>
      <w:r w:rsidR="00877DE5" w:rsidRPr="00877DE5">
        <w:rPr>
          <w:rFonts w:ascii="Times New Roman" w:eastAsia="Aptos" w:hAnsi="Times New Roman" w:cs="Times New Roman"/>
          <w:b/>
          <w:bCs/>
          <w:i/>
          <w:kern w:val="2"/>
          <w:sz w:val="21"/>
          <w:szCs w:val="21"/>
          <w:shd w:val="clear" w:color="auto" w:fill="FFFFFF"/>
          <w14:ligatures w14:val="standardContextual"/>
        </w:rPr>
        <w:t>.,</w:t>
      </w:r>
    </w:p>
    <w:p w14:paraId="3F643CA6"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877DE5">
        <w:rPr>
          <w:rFonts w:ascii="Times New Roman" w:eastAsia="Aptos" w:hAnsi="Times New Roman" w:cs="Times New Roman"/>
          <w:b/>
          <w:bCs/>
          <w:i/>
          <w:kern w:val="2"/>
          <w:sz w:val="21"/>
          <w:szCs w:val="21"/>
          <w:shd w:val="clear" w:color="auto" w:fill="FFFFFF"/>
          <w14:ligatures w14:val="standardContextual"/>
        </w:rPr>
        <w:tab/>
      </w:r>
      <w:r w:rsidRPr="0007694F">
        <w:rPr>
          <w:rFonts w:ascii="Times New Roman" w:eastAsia="Aptos" w:hAnsi="Times New Roman" w:cs="Times New Roman"/>
          <w:bCs/>
          <w:i/>
          <w:kern w:val="2"/>
          <w:sz w:val="21"/>
          <w:szCs w:val="21"/>
          <w:shd w:val="clear" w:color="auto" w:fill="FFFFFF"/>
          <w:lang w:val="en-US"/>
          <w14:ligatures w14:val="standardContextual"/>
        </w:rPr>
        <w:t>c</w:t>
      </w:r>
      <w:r w:rsidRPr="0007694F">
        <w:rPr>
          <w:rFonts w:ascii="Times New Roman" w:eastAsia="Aptos" w:hAnsi="Times New Roman" w:cs="Times New Roman"/>
          <w:bCs/>
          <w:i/>
          <w:kern w:val="2"/>
          <w:sz w:val="21"/>
          <w:szCs w:val="21"/>
          <w:shd w:val="clear" w:color="auto" w:fill="FFFFFF"/>
          <w14:ligatures w14:val="standardContextual"/>
        </w:rPr>
        <w:t>тудент 1 курса</w:t>
      </w:r>
    </w:p>
    <w:p w14:paraId="037783FA"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ab/>
        <w:t>Федеральное государственное образовательное бюджетное учреждение высшего образования</w:t>
      </w:r>
    </w:p>
    <w:p w14:paraId="1B0EAEDE"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Финансовый университет при Правительстве Российской Федерации</w:t>
      </w:r>
    </w:p>
    <w:p w14:paraId="1D573219"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ab/>
      </w:r>
      <w:r w:rsidRPr="0007694F">
        <w:rPr>
          <w:rFonts w:ascii="Times New Roman" w:eastAsia="Aptos" w:hAnsi="Times New Roman" w:cs="Times New Roman"/>
          <w:bCs/>
          <w:i/>
          <w:kern w:val="2"/>
          <w:sz w:val="21"/>
          <w:szCs w:val="21"/>
          <w:shd w:val="clear" w:color="auto" w:fill="FFFFFF"/>
          <w14:ligatures w14:val="standardContextual"/>
        </w:rPr>
        <w:tab/>
      </w:r>
      <w:r w:rsidRPr="0007694F">
        <w:rPr>
          <w:rFonts w:ascii="Times New Roman" w:eastAsia="Aptos" w:hAnsi="Times New Roman" w:cs="Times New Roman"/>
          <w:bCs/>
          <w:i/>
          <w:kern w:val="2"/>
          <w:sz w:val="21"/>
          <w:szCs w:val="21"/>
          <w:shd w:val="clear" w:color="auto" w:fill="FFFFFF"/>
          <w14:ligatures w14:val="standardContextual"/>
        </w:rPr>
        <w:tab/>
      </w:r>
      <w:r w:rsidRPr="0007694F">
        <w:rPr>
          <w:rFonts w:ascii="Times New Roman" w:eastAsia="Aptos" w:hAnsi="Times New Roman" w:cs="Times New Roman"/>
          <w:bCs/>
          <w:i/>
          <w:kern w:val="2"/>
          <w:sz w:val="21"/>
          <w:szCs w:val="21"/>
          <w:shd w:val="clear" w:color="auto" w:fill="FFFFFF"/>
          <w14:ligatures w14:val="standardContextual"/>
        </w:rPr>
        <w:tab/>
      </w:r>
      <w:r w:rsidRPr="0007694F">
        <w:rPr>
          <w:rFonts w:ascii="Times New Roman" w:eastAsia="Aptos" w:hAnsi="Times New Roman" w:cs="Times New Roman"/>
          <w:bCs/>
          <w:i/>
          <w:kern w:val="2"/>
          <w:sz w:val="21"/>
          <w:szCs w:val="21"/>
          <w:shd w:val="clear" w:color="auto" w:fill="FFFFFF"/>
          <w14:ligatures w14:val="standardContextual"/>
        </w:rPr>
        <w:tab/>
        <w:t>г.Краснодар, Россия</w:t>
      </w:r>
    </w:p>
    <w:p w14:paraId="3529AC72"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lang w:val="en-US"/>
          <w14:ligatures w14:val="standardContextual"/>
        </w:rPr>
        <w:t>E</w:t>
      </w:r>
      <w:r w:rsidRPr="0007694F">
        <w:rPr>
          <w:rFonts w:ascii="Times New Roman" w:eastAsia="Aptos" w:hAnsi="Times New Roman" w:cs="Times New Roman"/>
          <w:bCs/>
          <w:i/>
          <w:kern w:val="2"/>
          <w:sz w:val="21"/>
          <w:szCs w:val="21"/>
          <w:shd w:val="clear" w:color="auto" w:fill="FFFFFF"/>
          <w14:ligatures w14:val="standardContextual"/>
        </w:rPr>
        <w:t>-</w:t>
      </w:r>
      <w:r w:rsidRPr="0007694F">
        <w:rPr>
          <w:rFonts w:ascii="Times New Roman" w:eastAsia="Aptos" w:hAnsi="Times New Roman" w:cs="Times New Roman"/>
          <w:bCs/>
          <w:i/>
          <w:kern w:val="2"/>
          <w:sz w:val="21"/>
          <w:szCs w:val="21"/>
          <w:shd w:val="clear" w:color="auto" w:fill="FFFFFF"/>
          <w:lang w:val="en-US"/>
          <w14:ligatures w14:val="standardContextual"/>
        </w:rPr>
        <w:t>mail</w:t>
      </w:r>
      <w:r w:rsidRPr="0007694F">
        <w:rPr>
          <w:rFonts w:ascii="Times New Roman" w:eastAsia="Aptos" w:hAnsi="Times New Roman" w:cs="Times New Roman"/>
          <w:bCs/>
          <w:i/>
          <w:kern w:val="2"/>
          <w:sz w:val="21"/>
          <w:szCs w:val="21"/>
          <w:shd w:val="clear" w:color="auto" w:fill="FFFFFF"/>
          <w14:ligatures w14:val="standardContextual"/>
        </w:rPr>
        <w:t xml:space="preserve">:  </w:t>
      </w:r>
      <w:hyperlink r:id="rId208" w:history="1">
        <w:r w:rsidRPr="0007694F">
          <w:rPr>
            <w:rFonts w:ascii="Times New Roman" w:eastAsia="Aptos" w:hAnsi="Times New Roman" w:cs="Times New Roman"/>
            <w:color w:val="467886"/>
            <w:kern w:val="2"/>
            <w:sz w:val="21"/>
            <w:szCs w:val="21"/>
            <w:u w:val="single"/>
            <w:shd w:val="clear" w:color="auto" w:fill="FFFFFF"/>
            <w:lang w:val="en-US"/>
            <w14:ligatures w14:val="standardContextual"/>
          </w:rPr>
          <w:t>blockfoxbro</w:t>
        </w:r>
        <w:r w:rsidRPr="0007694F">
          <w:rPr>
            <w:rFonts w:ascii="Times New Roman" w:eastAsia="Aptos" w:hAnsi="Times New Roman" w:cs="Times New Roman"/>
            <w:color w:val="467886"/>
            <w:kern w:val="2"/>
            <w:sz w:val="21"/>
            <w:szCs w:val="21"/>
            <w:u w:val="single"/>
            <w:shd w:val="clear" w:color="auto" w:fill="FFFFFF"/>
            <w14:ligatures w14:val="standardContextual"/>
          </w:rPr>
          <w:t>@</w:t>
        </w:r>
        <w:r w:rsidRPr="0007694F">
          <w:rPr>
            <w:rFonts w:ascii="Times New Roman" w:eastAsia="Aptos" w:hAnsi="Times New Roman" w:cs="Times New Roman"/>
            <w:color w:val="467886"/>
            <w:kern w:val="2"/>
            <w:sz w:val="21"/>
            <w:szCs w:val="21"/>
            <w:u w:val="single"/>
            <w:shd w:val="clear" w:color="auto" w:fill="FFFFFF"/>
            <w:lang w:val="en-US"/>
            <w14:ligatures w14:val="standardContextual"/>
          </w:rPr>
          <w:t>gmail</w:t>
        </w:r>
        <w:r w:rsidRPr="0007694F">
          <w:rPr>
            <w:rFonts w:ascii="Times New Roman" w:eastAsia="Aptos" w:hAnsi="Times New Roman" w:cs="Times New Roman"/>
            <w:color w:val="467886"/>
            <w:kern w:val="2"/>
            <w:sz w:val="21"/>
            <w:szCs w:val="21"/>
            <w:u w:val="single"/>
            <w:shd w:val="clear" w:color="auto" w:fill="FFFFFF"/>
            <w14:ligatures w14:val="standardContextual"/>
          </w:rPr>
          <w:t>.</w:t>
        </w:r>
        <w:r w:rsidRPr="0007694F">
          <w:rPr>
            <w:rFonts w:ascii="Times New Roman" w:eastAsia="Aptos" w:hAnsi="Times New Roman" w:cs="Times New Roman"/>
            <w:color w:val="467886"/>
            <w:kern w:val="2"/>
            <w:sz w:val="21"/>
            <w:szCs w:val="21"/>
            <w:u w:val="single"/>
            <w:shd w:val="clear" w:color="auto" w:fill="FFFFFF"/>
            <w:lang w:val="en-US"/>
            <w14:ligatures w14:val="standardContextual"/>
          </w:rPr>
          <w:t>com</w:t>
        </w:r>
      </w:hyperlink>
    </w:p>
    <w:p w14:paraId="1AC95035" w14:textId="77777777" w:rsidR="00877DE5" w:rsidRPr="00877DE5"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p>
    <w:p w14:paraId="3816BCF9" w14:textId="77777777" w:rsidR="00877DE5" w:rsidRPr="00877DE5"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877DE5">
        <w:rPr>
          <w:rFonts w:ascii="Times New Roman" w:eastAsia="Aptos" w:hAnsi="Times New Roman" w:cs="Times New Roman"/>
          <w:b/>
          <w:bCs/>
          <w:i/>
          <w:kern w:val="2"/>
          <w:sz w:val="21"/>
          <w:szCs w:val="21"/>
          <w:shd w:val="clear" w:color="auto" w:fill="FFFFFF"/>
          <w14:ligatures w14:val="standardContextual"/>
        </w:rPr>
        <w:t>Научный руководитель:</w:t>
      </w:r>
    </w:p>
    <w:p w14:paraId="5B5C6D61" w14:textId="77777777" w:rsidR="00877DE5" w:rsidRPr="00877DE5" w:rsidRDefault="0007694F" w:rsidP="00067100">
      <w:pPr>
        <w:spacing w:after="0" w:line="240" w:lineRule="auto"/>
        <w:ind w:firstLine="709"/>
        <w:jc w:val="right"/>
        <w:rPr>
          <w:rFonts w:ascii="Times New Roman" w:eastAsia="Aptos" w:hAnsi="Times New Roman" w:cs="Times New Roman"/>
          <w:b/>
          <w:bCs/>
          <w:i/>
          <w:kern w:val="2"/>
          <w:sz w:val="21"/>
          <w:szCs w:val="21"/>
          <w:shd w:val="clear" w:color="auto" w:fill="FFFFFF"/>
          <w14:ligatures w14:val="standardContextual"/>
        </w:rPr>
      </w:pPr>
      <w:r>
        <w:rPr>
          <w:rFonts w:ascii="Times New Roman" w:eastAsia="Aptos" w:hAnsi="Times New Roman" w:cs="Times New Roman"/>
          <w:b/>
          <w:bCs/>
          <w:i/>
          <w:kern w:val="2"/>
          <w:sz w:val="21"/>
          <w:szCs w:val="21"/>
          <w:shd w:val="clear" w:color="auto" w:fill="FFFFFF"/>
          <w14:ligatures w14:val="standardContextual"/>
        </w:rPr>
        <w:t>Радченко М.В</w:t>
      </w:r>
      <w:r w:rsidR="00877DE5" w:rsidRPr="00877DE5">
        <w:rPr>
          <w:rFonts w:ascii="Times New Roman" w:eastAsia="Aptos" w:hAnsi="Times New Roman" w:cs="Times New Roman"/>
          <w:b/>
          <w:bCs/>
          <w:i/>
          <w:kern w:val="2"/>
          <w:sz w:val="21"/>
          <w:szCs w:val="21"/>
          <w:shd w:val="clear" w:color="auto" w:fill="FFFFFF"/>
          <w14:ligatures w14:val="standardContextual"/>
        </w:rPr>
        <w:t>.,</w:t>
      </w:r>
    </w:p>
    <w:p w14:paraId="03DD02AD"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доцент, к.э.н.</w:t>
      </w:r>
    </w:p>
    <w:p w14:paraId="50BC518E"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Федеральное государственное образовательное бюджетное учреждение высшего образования</w:t>
      </w:r>
    </w:p>
    <w:p w14:paraId="6391A2F4"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 xml:space="preserve">Финансовый университет при Правительстве Российской Федерации </w:t>
      </w:r>
    </w:p>
    <w:p w14:paraId="652559D5" w14:textId="77777777" w:rsidR="00877DE5" w:rsidRPr="0007694F" w:rsidRDefault="00877DE5" w:rsidP="00067100">
      <w:pPr>
        <w:spacing w:after="0" w:line="240" w:lineRule="auto"/>
        <w:ind w:firstLine="709"/>
        <w:jc w:val="right"/>
        <w:rPr>
          <w:rFonts w:ascii="Times New Roman" w:eastAsia="Aptos" w:hAnsi="Times New Roman" w:cs="Times New Roman"/>
          <w:bCs/>
          <w:i/>
          <w:kern w:val="2"/>
          <w:sz w:val="21"/>
          <w:szCs w:val="21"/>
          <w:shd w:val="clear" w:color="auto" w:fill="FFFFFF"/>
          <w14:ligatures w14:val="standardContextual"/>
        </w:rPr>
      </w:pPr>
      <w:r w:rsidRPr="0007694F">
        <w:rPr>
          <w:rFonts w:ascii="Times New Roman" w:eastAsia="Aptos" w:hAnsi="Times New Roman" w:cs="Times New Roman"/>
          <w:bCs/>
          <w:i/>
          <w:kern w:val="2"/>
          <w:sz w:val="21"/>
          <w:szCs w:val="21"/>
          <w:shd w:val="clear" w:color="auto" w:fill="FFFFFF"/>
          <w14:ligatures w14:val="standardContextual"/>
        </w:rPr>
        <w:t>г.Краснодар, Россия</w:t>
      </w:r>
    </w:p>
    <w:p w14:paraId="64F42F7F" w14:textId="77777777" w:rsidR="00877DE5" w:rsidRPr="0007694F" w:rsidRDefault="00877DE5" w:rsidP="00067100">
      <w:pPr>
        <w:spacing w:after="0" w:line="240" w:lineRule="auto"/>
        <w:ind w:left="4956" w:firstLine="709"/>
        <w:jc w:val="right"/>
        <w:rPr>
          <w:rFonts w:ascii="Times New Roman" w:eastAsia="Aptos" w:hAnsi="Times New Roman" w:cs="Times New Roman"/>
          <w:i/>
          <w:kern w:val="2"/>
          <w:sz w:val="21"/>
          <w:szCs w:val="21"/>
          <w14:ligatures w14:val="standardContextual"/>
        </w:rPr>
      </w:pPr>
      <w:r w:rsidRPr="0007694F">
        <w:rPr>
          <w:rFonts w:ascii="Times New Roman" w:eastAsia="Aptos" w:hAnsi="Times New Roman" w:cs="Times New Roman"/>
          <w:i/>
          <w:kern w:val="2"/>
          <w:sz w:val="21"/>
          <w:szCs w:val="21"/>
          <w:lang w:val="en-US"/>
          <w14:ligatures w14:val="standardContextual"/>
        </w:rPr>
        <w:t>E</w:t>
      </w:r>
      <w:r w:rsidRPr="0007694F">
        <w:rPr>
          <w:rFonts w:ascii="Times New Roman" w:eastAsia="Aptos" w:hAnsi="Times New Roman" w:cs="Times New Roman"/>
          <w:i/>
          <w:kern w:val="2"/>
          <w:sz w:val="21"/>
          <w:szCs w:val="21"/>
          <w14:ligatures w14:val="standardContextual"/>
        </w:rPr>
        <w:t>-</w:t>
      </w:r>
      <w:r w:rsidRPr="0007694F">
        <w:rPr>
          <w:rFonts w:ascii="Times New Roman" w:eastAsia="Aptos" w:hAnsi="Times New Roman" w:cs="Times New Roman"/>
          <w:i/>
          <w:kern w:val="2"/>
          <w:sz w:val="21"/>
          <w:szCs w:val="21"/>
          <w:lang w:val="en-US"/>
          <w14:ligatures w14:val="standardContextual"/>
        </w:rPr>
        <w:t>mail</w:t>
      </w:r>
      <w:r w:rsidRPr="0007694F">
        <w:rPr>
          <w:rFonts w:ascii="Times New Roman" w:eastAsia="Aptos" w:hAnsi="Times New Roman" w:cs="Times New Roman"/>
          <w:i/>
          <w:kern w:val="2"/>
          <w:sz w:val="21"/>
          <w:szCs w:val="21"/>
          <w14:ligatures w14:val="standardContextual"/>
        </w:rPr>
        <w:t>:</w:t>
      </w:r>
      <w:r w:rsidRPr="0007694F">
        <w:rPr>
          <w:rFonts w:ascii="Times New Roman" w:eastAsia="Aptos" w:hAnsi="Times New Roman" w:cs="Times New Roman"/>
          <w:kern w:val="2"/>
          <w:sz w:val="21"/>
          <w:szCs w:val="21"/>
          <w14:ligatures w14:val="standardContextual"/>
        </w:rPr>
        <w:t xml:space="preserve"> </w:t>
      </w:r>
      <w:hyperlink r:id="rId209" w:history="1">
        <w:r w:rsidRPr="0007694F">
          <w:rPr>
            <w:rFonts w:ascii="Times New Roman" w:eastAsia="Aptos" w:hAnsi="Times New Roman" w:cs="Times New Roman"/>
            <w:color w:val="467886"/>
            <w:kern w:val="2"/>
            <w:sz w:val="21"/>
            <w:szCs w:val="21"/>
            <w:u w:val="single"/>
            <w:lang w:val="en-US"/>
            <w14:ligatures w14:val="standardContextual"/>
          </w:rPr>
          <w:t>MVRadchenko</w:t>
        </w:r>
        <w:r w:rsidRPr="0007694F">
          <w:rPr>
            <w:rFonts w:ascii="Times New Roman" w:eastAsia="Aptos" w:hAnsi="Times New Roman" w:cs="Times New Roman"/>
            <w:color w:val="467886"/>
            <w:kern w:val="2"/>
            <w:sz w:val="21"/>
            <w:szCs w:val="21"/>
            <w:u w:val="single"/>
            <w14:ligatures w14:val="standardContextual"/>
          </w:rPr>
          <w:t>@</w:t>
        </w:r>
        <w:r w:rsidRPr="0007694F">
          <w:rPr>
            <w:rFonts w:ascii="Times New Roman" w:eastAsia="Aptos" w:hAnsi="Times New Roman" w:cs="Times New Roman"/>
            <w:color w:val="467886"/>
            <w:kern w:val="2"/>
            <w:sz w:val="21"/>
            <w:szCs w:val="21"/>
            <w:u w:val="single"/>
            <w:lang w:val="en-US"/>
            <w14:ligatures w14:val="standardContextual"/>
          </w:rPr>
          <w:t>fa</w:t>
        </w:r>
        <w:r w:rsidRPr="0007694F">
          <w:rPr>
            <w:rFonts w:ascii="Times New Roman" w:eastAsia="Aptos" w:hAnsi="Times New Roman" w:cs="Times New Roman"/>
            <w:color w:val="467886"/>
            <w:kern w:val="2"/>
            <w:sz w:val="21"/>
            <w:szCs w:val="21"/>
            <w:u w:val="single"/>
            <w14:ligatures w14:val="standardContextual"/>
          </w:rPr>
          <w:t>.</w:t>
        </w:r>
        <w:r w:rsidRPr="0007694F">
          <w:rPr>
            <w:rFonts w:ascii="Times New Roman" w:eastAsia="Aptos" w:hAnsi="Times New Roman" w:cs="Times New Roman"/>
            <w:color w:val="467886"/>
            <w:kern w:val="2"/>
            <w:sz w:val="21"/>
            <w:szCs w:val="21"/>
            <w:u w:val="single"/>
            <w:lang w:val="en-US"/>
            <w14:ligatures w14:val="standardContextual"/>
          </w:rPr>
          <w:t>ru</w:t>
        </w:r>
      </w:hyperlink>
    </w:p>
    <w:p w14:paraId="06CF034A" w14:textId="77777777" w:rsidR="00877DE5" w:rsidRPr="00877DE5" w:rsidRDefault="00877DE5" w:rsidP="00067100">
      <w:pPr>
        <w:spacing w:after="0" w:line="240" w:lineRule="auto"/>
        <w:ind w:left="4956" w:firstLine="709"/>
        <w:jc w:val="right"/>
        <w:rPr>
          <w:rFonts w:ascii="Times New Roman" w:eastAsia="Aptos" w:hAnsi="Times New Roman" w:cs="Times New Roman"/>
          <w:i/>
          <w:kern w:val="2"/>
          <w:sz w:val="21"/>
          <w:szCs w:val="21"/>
          <w14:ligatures w14:val="standardContextual"/>
        </w:rPr>
      </w:pPr>
    </w:p>
    <w:p w14:paraId="4EBDF3CA" w14:textId="77777777" w:rsidR="00877DE5" w:rsidRPr="00877DE5" w:rsidRDefault="00877DE5" w:rsidP="00067100">
      <w:pPr>
        <w:spacing w:after="0" w:line="240" w:lineRule="auto"/>
        <w:ind w:firstLine="709"/>
        <w:jc w:val="center"/>
        <w:rPr>
          <w:rFonts w:ascii="Times New Roman" w:eastAsia="Aptos" w:hAnsi="Times New Roman" w:cs="Times New Roman"/>
          <w:b/>
          <w:kern w:val="2"/>
          <w:sz w:val="20"/>
          <w:szCs w:val="20"/>
          <w14:ligatures w14:val="standardContextual"/>
        </w:rPr>
      </w:pPr>
      <w:r w:rsidRPr="00877DE5">
        <w:rPr>
          <w:rFonts w:ascii="Times New Roman" w:eastAsia="Aptos" w:hAnsi="Times New Roman" w:cs="Times New Roman"/>
          <w:b/>
          <w:kern w:val="2"/>
          <w:sz w:val="20"/>
          <w:szCs w:val="20"/>
          <w14:ligatures w14:val="standardContextual"/>
        </w:rPr>
        <w:t>Региональные бюджеты: современные проблемы и приоритеты выхода на траекторию посткризисного развития</w:t>
      </w:r>
    </w:p>
    <w:p w14:paraId="683E7847" w14:textId="77777777" w:rsidR="00877DE5" w:rsidRPr="00877DE5" w:rsidRDefault="00877DE5" w:rsidP="00067100">
      <w:pPr>
        <w:spacing w:after="0" w:line="240" w:lineRule="auto"/>
        <w:ind w:firstLine="709"/>
        <w:jc w:val="both"/>
        <w:rPr>
          <w:rFonts w:ascii="Times New Roman" w:eastAsia="Aptos" w:hAnsi="Times New Roman" w:cs="Times New Roman"/>
          <w:b/>
          <w:kern w:val="2"/>
          <w:sz w:val="20"/>
          <w:szCs w:val="20"/>
          <w14:ligatures w14:val="standardContextual"/>
        </w:rPr>
      </w:pPr>
    </w:p>
    <w:p w14:paraId="3F992B36"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Аннотация</w:t>
      </w:r>
      <w:r w:rsidRPr="00877DE5">
        <w:rPr>
          <w:rFonts w:ascii="Times New Roman" w:eastAsia="Aptos" w:hAnsi="Times New Roman" w:cs="Times New Roman"/>
          <w:kern w:val="2"/>
          <w:sz w:val="21"/>
          <w:szCs w:val="21"/>
          <w14:ligatures w14:val="standardContextual"/>
        </w:rPr>
        <w:t>: Настоящий научно-исследовательский проект посвящён анализу современных проблем региональных бюджетов Российской Федерации и определению приоритетов их выхода на траекторию посткризисного развития. Предметом исследования выступают региональные финансы, а тема охватывает аспекты устойчивости и сбалансированности бюджетной системы. Целью работы является выявление ключевых факторов бюджетных дисбалансов и разработка рекомендаций по укреплению финансовой устойчивости регионов в условиях восстановления после экономических и социальных кризисов.</w:t>
      </w:r>
    </w:p>
    <w:p w14:paraId="721B9446"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 xml:space="preserve">Ключевые слова: </w:t>
      </w:r>
      <w:r w:rsidRPr="00877DE5">
        <w:rPr>
          <w:rFonts w:ascii="Times New Roman" w:eastAsia="Aptos" w:hAnsi="Times New Roman" w:cs="Times New Roman"/>
          <w:kern w:val="2"/>
          <w:sz w:val="21"/>
          <w:szCs w:val="21"/>
          <w14:ligatures w14:val="standardContextual"/>
        </w:rPr>
        <w:t>Региональные бюджеты, бюджетная система, устойчивость бюджета, посткризисное развитие, региональные финансы, доходы бюджетов, расходы бюджетов</w:t>
      </w:r>
    </w:p>
    <w:p w14:paraId="27144395" w14:textId="77777777" w:rsidR="00877DE5" w:rsidRPr="00877DE5" w:rsidRDefault="00877DE5" w:rsidP="00067100">
      <w:pPr>
        <w:spacing w:after="0" w:line="240" w:lineRule="auto"/>
        <w:ind w:firstLine="709"/>
        <w:rPr>
          <w:rFonts w:ascii="Times New Roman" w:eastAsia="Aptos" w:hAnsi="Times New Roman" w:cs="Times New Roman"/>
          <w:kern w:val="2"/>
          <w:sz w:val="21"/>
          <w:szCs w:val="21"/>
          <w14:ligatures w14:val="standardContextual"/>
        </w:rPr>
      </w:pPr>
    </w:p>
    <w:p w14:paraId="4F71723C" w14:textId="77777777" w:rsidR="00877DE5" w:rsidRPr="00877DE5" w:rsidRDefault="00877DE5" w:rsidP="00067100">
      <w:pPr>
        <w:spacing w:after="0" w:line="240" w:lineRule="auto"/>
        <w:ind w:firstLine="709"/>
        <w:jc w:val="center"/>
        <w:rPr>
          <w:rFonts w:ascii="Times New Roman" w:eastAsia="Aptos" w:hAnsi="Times New Roman" w:cs="Times New Roman"/>
          <w:b/>
          <w:kern w:val="2"/>
          <w:sz w:val="21"/>
          <w:szCs w:val="21"/>
          <w:lang w:val="en-US"/>
          <w14:ligatures w14:val="standardContextual"/>
        </w:rPr>
      </w:pPr>
      <w:r w:rsidRPr="00877DE5">
        <w:rPr>
          <w:rFonts w:ascii="Times New Roman" w:eastAsia="Aptos" w:hAnsi="Times New Roman" w:cs="Times New Roman"/>
          <w:b/>
          <w:kern w:val="2"/>
          <w:sz w:val="21"/>
          <w:szCs w:val="21"/>
          <w:lang w:val="en-US"/>
          <w14:ligatures w14:val="standardContextual"/>
        </w:rPr>
        <w:t>Regional budgets: current problems and priorities for reaching the post-crisis development trajectory</w:t>
      </w:r>
    </w:p>
    <w:p w14:paraId="4E385019" w14:textId="77777777" w:rsidR="00877DE5" w:rsidRPr="00877DE5" w:rsidRDefault="00877DE5" w:rsidP="00067100">
      <w:pPr>
        <w:spacing w:after="0" w:line="240" w:lineRule="auto"/>
        <w:ind w:firstLine="709"/>
        <w:rPr>
          <w:rFonts w:ascii="Times New Roman" w:eastAsia="Aptos" w:hAnsi="Times New Roman" w:cs="Times New Roman"/>
          <w:kern w:val="2"/>
          <w:sz w:val="21"/>
          <w:szCs w:val="21"/>
          <w:lang w:val="en-US"/>
          <w14:ligatures w14:val="standardContextual"/>
        </w:rPr>
      </w:pPr>
    </w:p>
    <w:p w14:paraId="6165A2ED"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lang w:val="en-US"/>
          <w14:ligatures w14:val="standardContextual"/>
        </w:rPr>
      </w:pPr>
      <w:r w:rsidRPr="00877DE5">
        <w:rPr>
          <w:rFonts w:ascii="Times New Roman" w:eastAsia="Aptos" w:hAnsi="Times New Roman" w:cs="Times New Roman"/>
          <w:b/>
          <w:kern w:val="2"/>
          <w:sz w:val="21"/>
          <w:szCs w:val="21"/>
          <w:lang w:val="en-US"/>
          <w14:ligatures w14:val="standardContextual"/>
        </w:rPr>
        <w:t xml:space="preserve">Abstract: </w:t>
      </w:r>
      <w:r w:rsidRPr="00877DE5">
        <w:rPr>
          <w:rFonts w:ascii="Times New Roman" w:eastAsia="Aptos" w:hAnsi="Times New Roman" w:cs="Times New Roman"/>
          <w:kern w:val="2"/>
          <w:sz w:val="21"/>
          <w:szCs w:val="21"/>
          <w:lang w:val="en-US"/>
          <w14:ligatures w14:val="standardContextual"/>
        </w:rPr>
        <w:t>This research project is devoted to the analysis of current problems of regional budgets of the Russian Federation and the definition of priorities for their reaching the post-crisis development trajectory. The subject of the study is regional finances, and the topic covers aspects of sustainability and balance of the budget system. The purpose of the work is to identify key factors of budget imbalances and develop recommendations for strengthening the financial stability of regions in the context of recovery from economic and social crises.</w:t>
      </w:r>
    </w:p>
    <w:p w14:paraId="132841C1"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lang w:val="en-US"/>
          <w14:ligatures w14:val="standardContextual"/>
        </w:rPr>
      </w:pPr>
      <w:r w:rsidRPr="00877DE5">
        <w:rPr>
          <w:rFonts w:ascii="Times New Roman" w:eastAsia="Aptos" w:hAnsi="Times New Roman" w:cs="Times New Roman"/>
          <w:b/>
          <w:kern w:val="2"/>
          <w:sz w:val="21"/>
          <w:szCs w:val="21"/>
          <w:lang w:val="en-US"/>
          <w14:ligatures w14:val="standardContextual"/>
        </w:rPr>
        <w:t xml:space="preserve">Keywords: </w:t>
      </w:r>
      <w:r w:rsidRPr="00877DE5">
        <w:rPr>
          <w:rFonts w:ascii="Times New Roman" w:eastAsia="Aptos" w:hAnsi="Times New Roman" w:cs="Times New Roman"/>
          <w:kern w:val="2"/>
          <w:sz w:val="21"/>
          <w:szCs w:val="21"/>
          <w:lang w:val="en-US"/>
          <w14:ligatures w14:val="standardContextual"/>
        </w:rPr>
        <w:t>Regional budgets, budget system, budget sustainability, post-crisis development, regional finances, budget revenues, budget expenditures</w:t>
      </w:r>
    </w:p>
    <w:p w14:paraId="0A6F52EC" w14:textId="77777777" w:rsidR="00877DE5" w:rsidRPr="00877DE5" w:rsidRDefault="00877DE5" w:rsidP="00067100">
      <w:pPr>
        <w:spacing w:after="0" w:line="240" w:lineRule="auto"/>
        <w:ind w:firstLine="709"/>
        <w:jc w:val="right"/>
        <w:rPr>
          <w:rFonts w:ascii="Times New Roman" w:eastAsia="Aptos" w:hAnsi="Times New Roman" w:cs="Times New Roman"/>
          <w:b/>
          <w:kern w:val="2"/>
          <w:sz w:val="28"/>
          <w:szCs w:val="28"/>
          <w:lang w:val="en-US"/>
          <w14:ligatures w14:val="standardContextual"/>
        </w:rPr>
      </w:pP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r w:rsidRPr="00877DE5">
        <w:rPr>
          <w:rFonts w:ascii="Times New Roman" w:eastAsia="Aptos" w:hAnsi="Times New Roman" w:cs="Times New Roman"/>
          <w:b/>
          <w:caps/>
          <w:kern w:val="2"/>
          <w:sz w:val="21"/>
          <w:szCs w:val="21"/>
          <w:lang w:val="en-US"/>
          <w14:ligatures w14:val="standardContextual"/>
        </w:rPr>
        <w:tab/>
      </w:r>
    </w:p>
    <w:p w14:paraId="6BCCD7FC"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 xml:space="preserve">Современное развитие регионов Российской Федерации сталкивается с рядом серьёзных вызовов, вызванных как внутренними структурными ограничениями, так и внешними кризисными воздействиями, например такими как: пандемия, санкционное давление, инфляционное колебание, нарушение логистических цепочек. </w:t>
      </w:r>
    </w:p>
    <w:p w14:paraId="2C86DDDA"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Государственный бюджет отражает состояние экономики, в так же играет влияющую роль в обеспечении общей сбалансированности региональных бюджетов. Региональные бюджеты играют ключевую роль в обеспечении социально-экономического развития субъектов Российской Федерации.  Рассмотрим темп изменения доходов бюджетов некоторых регионов РФ за 2023 – 2024 года [3]:</w:t>
      </w:r>
    </w:p>
    <w:p w14:paraId="4CF9BF0C" w14:textId="77777777" w:rsidR="00877DE5" w:rsidRPr="00877DE5" w:rsidRDefault="00877DE5" w:rsidP="0007694F">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Таблица 1 – Доходы бюджетов РФ за 2023 – 2024 гг., млрд руб.</w:t>
      </w:r>
    </w:p>
    <w:tbl>
      <w:tblPr>
        <w:tblStyle w:val="15"/>
        <w:tblW w:w="0" w:type="auto"/>
        <w:tblLook w:val="04A0" w:firstRow="1" w:lastRow="0" w:firstColumn="1" w:lastColumn="0" w:noHBand="0" w:noVBand="1"/>
      </w:tblPr>
      <w:tblGrid>
        <w:gridCol w:w="562"/>
        <w:gridCol w:w="3991"/>
        <w:gridCol w:w="1462"/>
        <w:gridCol w:w="1462"/>
        <w:gridCol w:w="1868"/>
      </w:tblGrid>
      <w:tr w:rsidR="00877DE5" w:rsidRPr="00877DE5" w14:paraId="3616583C" w14:textId="77777777" w:rsidTr="00067100">
        <w:tc>
          <w:tcPr>
            <w:tcW w:w="562" w:type="dxa"/>
          </w:tcPr>
          <w:p w14:paraId="24231AC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 п/п</w:t>
            </w:r>
          </w:p>
        </w:tc>
        <w:tc>
          <w:tcPr>
            <w:tcW w:w="3991" w:type="dxa"/>
          </w:tcPr>
          <w:p w14:paraId="71C83CC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Наименование субъекта</w:t>
            </w:r>
          </w:p>
        </w:tc>
        <w:tc>
          <w:tcPr>
            <w:tcW w:w="1462" w:type="dxa"/>
          </w:tcPr>
          <w:p w14:paraId="29D1A13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Доходы 2023г</w:t>
            </w:r>
          </w:p>
        </w:tc>
        <w:tc>
          <w:tcPr>
            <w:tcW w:w="1462" w:type="dxa"/>
          </w:tcPr>
          <w:p w14:paraId="6A22E13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Доходы 2024г</w:t>
            </w:r>
          </w:p>
        </w:tc>
        <w:tc>
          <w:tcPr>
            <w:tcW w:w="1868" w:type="dxa"/>
          </w:tcPr>
          <w:p w14:paraId="57280A0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Темп роста, %</w:t>
            </w:r>
          </w:p>
        </w:tc>
      </w:tr>
      <w:tr w:rsidR="00877DE5" w:rsidRPr="00877DE5" w14:paraId="18840627" w14:textId="77777777" w:rsidTr="00067100">
        <w:tc>
          <w:tcPr>
            <w:tcW w:w="562" w:type="dxa"/>
          </w:tcPr>
          <w:p w14:paraId="1243C287"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w:t>
            </w:r>
          </w:p>
        </w:tc>
        <w:tc>
          <w:tcPr>
            <w:tcW w:w="3991" w:type="dxa"/>
          </w:tcPr>
          <w:p w14:paraId="4C8A688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г. Москва</w:t>
            </w:r>
          </w:p>
        </w:tc>
        <w:tc>
          <w:tcPr>
            <w:tcW w:w="1462" w:type="dxa"/>
          </w:tcPr>
          <w:p w14:paraId="74D887F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3 746,90</w:t>
            </w:r>
          </w:p>
        </w:tc>
        <w:tc>
          <w:tcPr>
            <w:tcW w:w="1462" w:type="dxa"/>
          </w:tcPr>
          <w:p w14:paraId="31E5CE4D"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4 289,80</w:t>
            </w:r>
          </w:p>
        </w:tc>
        <w:tc>
          <w:tcPr>
            <w:tcW w:w="1868" w:type="dxa"/>
            <w:tcBorders>
              <w:top w:val="nil"/>
              <w:left w:val="nil"/>
              <w:bottom w:val="single" w:sz="8" w:space="0" w:color="auto"/>
              <w:right w:val="single" w:sz="8" w:space="0" w:color="auto"/>
            </w:tcBorders>
            <w:shd w:val="clear" w:color="auto" w:fill="auto"/>
            <w:vAlign w:val="center"/>
          </w:tcPr>
          <w:p w14:paraId="58282E4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114,50</w:t>
            </w:r>
          </w:p>
        </w:tc>
      </w:tr>
      <w:tr w:rsidR="00877DE5" w:rsidRPr="00877DE5" w14:paraId="0FA61550" w14:textId="77777777" w:rsidTr="00067100">
        <w:tc>
          <w:tcPr>
            <w:tcW w:w="562" w:type="dxa"/>
          </w:tcPr>
          <w:p w14:paraId="1BECCE07"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2</w:t>
            </w:r>
          </w:p>
        </w:tc>
        <w:tc>
          <w:tcPr>
            <w:tcW w:w="3991" w:type="dxa"/>
          </w:tcPr>
          <w:p w14:paraId="66A89D6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Московская область</w:t>
            </w:r>
          </w:p>
        </w:tc>
        <w:tc>
          <w:tcPr>
            <w:tcW w:w="1462" w:type="dxa"/>
          </w:tcPr>
          <w:p w14:paraId="6DACA2A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876,00</w:t>
            </w:r>
          </w:p>
        </w:tc>
        <w:tc>
          <w:tcPr>
            <w:tcW w:w="1462" w:type="dxa"/>
          </w:tcPr>
          <w:p w14:paraId="12E9FAFA"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1 025,70</w:t>
            </w:r>
          </w:p>
        </w:tc>
        <w:tc>
          <w:tcPr>
            <w:tcW w:w="1868" w:type="dxa"/>
            <w:tcBorders>
              <w:top w:val="nil"/>
              <w:left w:val="nil"/>
              <w:bottom w:val="single" w:sz="8" w:space="0" w:color="auto"/>
              <w:right w:val="single" w:sz="8" w:space="0" w:color="auto"/>
            </w:tcBorders>
            <w:shd w:val="clear" w:color="auto" w:fill="auto"/>
            <w:vAlign w:val="center"/>
          </w:tcPr>
          <w:p w14:paraId="354E15C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117,09</w:t>
            </w:r>
          </w:p>
        </w:tc>
      </w:tr>
      <w:tr w:rsidR="00877DE5" w:rsidRPr="00877DE5" w14:paraId="4D02FD92" w14:textId="77777777" w:rsidTr="00067100">
        <w:tc>
          <w:tcPr>
            <w:tcW w:w="562" w:type="dxa"/>
          </w:tcPr>
          <w:p w14:paraId="718C635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3</w:t>
            </w:r>
          </w:p>
        </w:tc>
        <w:tc>
          <w:tcPr>
            <w:tcW w:w="3991" w:type="dxa"/>
          </w:tcPr>
          <w:p w14:paraId="31CD0E07"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г. Санкт-Петербург</w:t>
            </w:r>
          </w:p>
        </w:tc>
        <w:tc>
          <w:tcPr>
            <w:tcW w:w="1462" w:type="dxa"/>
          </w:tcPr>
          <w:p w14:paraId="229FE63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1 048,60</w:t>
            </w:r>
          </w:p>
        </w:tc>
        <w:tc>
          <w:tcPr>
            <w:tcW w:w="1462" w:type="dxa"/>
          </w:tcPr>
          <w:p w14:paraId="6B4F338D"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1 179,60</w:t>
            </w:r>
          </w:p>
        </w:tc>
        <w:tc>
          <w:tcPr>
            <w:tcW w:w="1868" w:type="dxa"/>
            <w:tcBorders>
              <w:top w:val="nil"/>
              <w:left w:val="nil"/>
              <w:bottom w:val="single" w:sz="8" w:space="0" w:color="auto"/>
              <w:right w:val="single" w:sz="8" w:space="0" w:color="auto"/>
            </w:tcBorders>
            <w:shd w:val="clear" w:color="auto" w:fill="auto"/>
            <w:vAlign w:val="center"/>
          </w:tcPr>
          <w:p w14:paraId="5879A02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112,49</w:t>
            </w:r>
          </w:p>
        </w:tc>
      </w:tr>
      <w:tr w:rsidR="00877DE5" w:rsidRPr="00877DE5" w14:paraId="0CBFF3D6" w14:textId="77777777" w:rsidTr="00067100">
        <w:tc>
          <w:tcPr>
            <w:tcW w:w="562" w:type="dxa"/>
          </w:tcPr>
          <w:p w14:paraId="06C6A35B"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4</w:t>
            </w:r>
          </w:p>
        </w:tc>
        <w:tc>
          <w:tcPr>
            <w:tcW w:w="3991" w:type="dxa"/>
          </w:tcPr>
          <w:p w14:paraId="0D75A152"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Краснодарский край</w:t>
            </w:r>
          </w:p>
        </w:tc>
        <w:tc>
          <w:tcPr>
            <w:tcW w:w="1462" w:type="dxa"/>
          </w:tcPr>
          <w:p w14:paraId="74BA704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389,80</w:t>
            </w:r>
          </w:p>
        </w:tc>
        <w:tc>
          <w:tcPr>
            <w:tcW w:w="1462" w:type="dxa"/>
          </w:tcPr>
          <w:p w14:paraId="2F73059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451,10</w:t>
            </w:r>
          </w:p>
        </w:tc>
        <w:tc>
          <w:tcPr>
            <w:tcW w:w="1868" w:type="dxa"/>
            <w:tcBorders>
              <w:top w:val="nil"/>
              <w:left w:val="nil"/>
              <w:bottom w:val="single" w:sz="8" w:space="0" w:color="auto"/>
              <w:right w:val="single" w:sz="8" w:space="0" w:color="auto"/>
            </w:tcBorders>
            <w:shd w:val="clear" w:color="auto" w:fill="auto"/>
            <w:vAlign w:val="center"/>
          </w:tcPr>
          <w:p w14:paraId="6AA9BCE1"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115,73</w:t>
            </w:r>
          </w:p>
        </w:tc>
      </w:tr>
      <w:tr w:rsidR="00877DE5" w:rsidRPr="00877DE5" w14:paraId="278ED993" w14:textId="77777777" w:rsidTr="00067100">
        <w:tc>
          <w:tcPr>
            <w:tcW w:w="562" w:type="dxa"/>
          </w:tcPr>
          <w:p w14:paraId="3AFA0207"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5</w:t>
            </w:r>
          </w:p>
        </w:tc>
        <w:tc>
          <w:tcPr>
            <w:tcW w:w="3991" w:type="dxa"/>
          </w:tcPr>
          <w:p w14:paraId="242CA39B"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Свердловская область</w:t>
            </w:r>
          </w:p>
        </w:tc>
        <w:tc>
          <w:tcPr>
            <w:tcW w:w="1462" w:type="dxa"/>
          </w:tcPr>
          <w:p w14:paraId="5F8D3BB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354,40</w:t>
            </w:r>
          </w:p>
        </w:tc>
        <w:tc>
          <w:tcPr>
            <w:tcW w:w="1462" w:type="dxa"/>
          </w:tcPr>
          <w:p w14:paraId="48389D1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420,10</w:t>
            </w:r>
          </w:p>
        </w:tc>
        <w:tc>
          <w:tcPr>
            <w:tcW w:w="1868" w:type="dxa"/>
            <w:tcBorders>
              <w:top w:val="nil"/>
              <w:left w:val="nil"/>
              <w:bottom w:val="single" w:sz="8" w:space="0" w:color="auto"/>
              <w:right w:val="single" w:sz="8" w:space="0" w:color="auto"/>
            </w:tcBorders>
            <w:shd w:val="clear" w:color="auto" w:fill="auto"/>
            <w:vAlign w:val="center"/>
          </w:tcPr>
          <w:p w14:paraId="3EF0663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118,54</w:t>
            </w:r>
          </w:p>
        </w:tc>
      </w:tr>
      <w:tr w:rsidR="00877DE5" w:rsidRPr="00877DE5" w14:paraId="6CFE0C4B" w14:textId="77777777" w:rsidTr="00067100">
        <w:tc>
          <w:tcPr>
            <w:tcW w:w="562" w:type="dxa"/>
          </w:tcPr>
          <w:p w14:paraId="2E3DA4B6"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6</w:t>
            </w:r>
          </w:p>
        </w:tc>
        <w:tc>
          <w:tcPr>
            <w:tcW w:w="3991" w:type="dxa"/>
          </w:tcPr>
          <w:p w14:paraId="0DE4987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Красноярский край</w:t>
            </w:r>
          </w:p>
        </w:tc>
        <w:tc>
          <w:tcPr>
            <w:tcW w:w="1462" w:type="dxa"/>
          </w:tcPr>
          <w:p w14:paraId="15B99F2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344,00</w:t>
            </w:r>
          </w:p>
        </w:tc>
        <w:tc>
          <w:tcPr>
            <w:tcW w:w="1462" w:type="dxa"/>
          </w:tcPr>
          <w:p w14:paraId="0D1AEB5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379,30</w:t>
            </w:r>
          </w:p>
        </w:tc>
        <w:tc>
          <w:tcPr>
            <w:tcW w:w="1868" w:type="dxa"/>
            <w:tcBorders>
              <w:top w:val="nil"/>
              <w:left w:val="nil"/>
              <w:bottom w:val="single" w:sz="8" w:space="0" w:color="auto"/>
              <w:right w:val="single" w:sz="8" w:space="0" w:color="auto"/>
            </w:tcBorders>
            <w:shd w:val="clear" w:color="auto" w:fill="auto"/>
            <w:vAlign w:val="center"/>
          </w:tcPr>
          <w:p w14:paraId="5CC42CF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110,26</w:t>
            </w:r>
          </w:p>
        </w:tc>
      </w:tr>
    </w:tbl>
    <w:p w14:paraId="692A9028" w14:textId="77777777" w:rsidR="00877DE5" w:rsidRPr="00877DE5" w:rsidRDefault="00877DE5" w:rsidP="0007694F">
      <w:pPr>
        <w:spacing w:after="0" w:line="240" w:lineRule="auto"/>
        <w:ind w:firstLine="708"/>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Продолжение таблицы 1</w:t>
      </w:r>
    </w:p>
    <w:tbl>
      <w:tblPr>
        <w:tblStyle w:val="15"/>
        <w:tblW w:w="0" w:type="auto"/>
        <w:tblLook w:val="04A0" w:firstRow="1" w:lastRow="0" w:firstColumn="1" w:lastColumn="0" w:noHBand="0" w:noVBand="1"/>
      </w:tblPr>
      <w:tblGrid>
        <w:gridCol w:w="562"/>
        <w:gridCol w:w="3991"/>
        <w:gridCol w:w="1462"/>
        <w:gridCol w:w="1462"/>
        <w:gridCol w:w="1868"/>
      </w:tblGrid>
      <w:tr w:rsidR="00877DE5" w:rsidRPr="00877DE5" w14:paraId="14C1A43C" w14:textId="77777777" w:rsidTr="00067100">
        <w:tc>
          <w:tcPr>
            <w:tcW w:w="562" w:type="dxa"/>
          </w:tcPr>
          <w:p w14:paraId="20E93290"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7</w:t>
            </w:r>
          </w:p>
        </w:tc>
        <w:tc>
          <w:tcPr>
            <w:tcW w:w="3991" w:type="dxa"/>
          </w:tcPr>
          <w:p w14:paraId="2D458499"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Республика Татарстан</w:t>
            </w:r>
          </w:p>
        </w:tc>
        <w:tc>
          <w:tcPr>
            <w:tcW w:w="1462" w:type="dxa"/>
          </w:tcPr>
          <w:p w14:paraId="5EFCA39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343,90</w:t>
            </w:r>
          </w:p>
        </w:tc>
        <w:tc>
          <w:tcPr>
            <w:tcW w:w="1462" w:type="dxa"/>
          </w:tcPr>
          <w:p w14:paraId="1D1CD90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399,60</w:t>
            </w:r>
          </w:p>
        </w:tc>
        <w:tc>
          <w:tcPr>
            <w:tcW w:w="1868" w:type="dxa"/>
            <w:tcBorders>
              <w:top w:val="single" w:sz="4" w:space="0" w:color="auto"/>
              <w:left w:val="nil"/>
              <w:bottom w:val="single" w:sz="4" w:space="0" w:color="auto"/>
              <w:right w:val="single" w:sz="4" w:space="0" w:color="auto"/>
            </w:tcBorders>
            <w:shd w:val="clear" w:color="auto" w:fill="auto"/>
            <w:vAlign w:val="center"/>
          </w:tcPr>
          <w:p w14:paraId="76BEE77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116,20</w:t>
            </w:r>
          </w:p>
        </w:tc>
      </w:tr>
      <w:tr w:rsidR="00877DE5" w:rsidRPr="00877DE5" w14:paraId="4F367F1E" w14:textId="77777777" w:rsidTr="00067100">
        <w:tc>
          <w:tcPr>
            <w:tcW w:w="562" w:type="dxa"/>
          </w:tcPr>
          <w:p w14:paraId="63C63EAD"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8</w:t>
            </w:r>
          </w:p>
        </w:tc>
        <w:tc>
          <w:tcPr>
            <w:tcW w:w="3991" w:type="dxa"/>
          </w:tcPr>
          <w:p w14:paraId="475F6B7B"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Ростовская область</w:t>
            </w:r>
          </w:p>
        </w:tc>
        <w:tc>
          <w:tcPr>
            <w:tcW w:w="1462" w:type="dxa"/>
          </w:tcPr>
          <w:p w14:paraId="32AB387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274,60</w:t>
            </w:r>
          </w:p>
        </w:tc>
        <w:tc>
          <w:tcPr>
            <w:tcW w:w="1462" w:type="dxa"/>
          </w:tcPr>
          <w:p w14:paraId="6DA1B41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327,50</w:t>
            </w:r>
          </w:p>
        </w:tc>
        <w:tc>
          <w:tcPr>
            <w:tcW w:w="1868" w:type="dxa"/>
            <w:tcBorders>
              <w:top w:val="single" w:sz="4" w:space="0" w:color="auto"/>
              <w:left w:val="nil"/>
              <w:bottom w:val="single" w:sz="8" w:space="0" w:color="auto"/>
              <w:right w:val="single" w:sz="8" w:space="0" w:color="auto"/>
            </w:tcBorders>
            <w:shd w:val="clear" w:color="auto" w:fill="auto"/>
            <w:vAlign w:val="center"/>
          </w:tcPr>
          <w:p w14:paraId="6F87FE5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119,26</w:t>
            </w:r>
          </w:p>
        </w:tc>
      </w:tr>
      <w:tr w:rsidR="00877DE5" w:rsidRPr="00877DE5" w14:paraId="2A885804" w14:textId="77777777" w:rsidTr="00067100">
        <w:tc>
          <w:tcPr>
            <w:tcW w:w="562" w:type="dxa"/>
          </w:tcPr>
          <w:p w14:paraId="78B77E6F"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9</w:t>
            </w:r>
          </w:p>
        </w:tc>
        <w:tc>
          <w:tcPr>
            <w:tcW w:w="3991" w:type="dxa"/>
          </w:tcPr>
          <w:p w14:paraId="327A4EAD"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Республика Саха</w:t>
            </w:r>
          </w:p>
        </w:tc>
        <w:tc>
          <w:tcPr>
            <w:tcW w:w="1462" w:type="dxa"/>
          </w:tcPr>
          <w:p w14:paraId="1929217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272,80</w:t>
            </w:r>
          </w:p>
        </w:tc>
        <w:tc>
          <w:tcPr>
            <w:tcW w:w="1462" w:type="dxa"/>
          </w:tcPr>
          <w:p w14:paraId="59F6555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302,60</w:t>
            </w:r>
          </w:p>
        </w:tc>
        <w:tc>
          <w:tcPr>
            <w:tcW w:w="1868" w:type="dxa"/>
            <w:tcBorders>
              <w:top w:val="nil"/>
              <w:left w:val="nil"/>
              <w:bottom w:val="single" w:sz="8" w:space="0" w:color="auto"/>
              <w:right w:val="single" w:sz="8" w:space="0" w:color="auto"/>
            </w:tcBorders>
            <w:shd w:val="clear" w:color="auto" w:fill="auto"/>
            <w:vAlign w:val="center"/>
          </w:tcPr>
          <w:p w14:paraId="5A347C1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110,92</w:t>
            </w:r>
          </w:p>
        </w:tc>
      </w:tr>
    </w:tbl>
    <w:p w14:paraId="4BA56200" w14:textId="77777777" w:rsidR="00877DE5" w:rsidRPr="00877DE5" w:rsidRDefault="00877DE5" w:rsidP="0007694F">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lastRenderedPageBreak/>
        <w:t>Также следует рассмотреть расходную часть данных регионов за 2023 – 2024 года [3]:</w:t>
      </w:r>
    </w:p>
    <w:p w14:paraId="22AD7DF5" w14:textId="77777777" w:rsidR="00877DE5" w:rsidRPr="00877DE5" w:rsidRDefault="00877DE5" w:rsidP="0007694F">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Таблица 2 – Расходы бюджетов РФ за 2023 – 2024 гг., млрд руб.</w:t>
      </w:r>
    </w:p>
    <w:tbl>
      <w:tblPr>
        <w:tblStyle w:val="15"/>
        <w:tblW w:w="0" w:type="auto"/>
        <w:tblLook w:val="04A0" w:firstRow="1" w:lastRow="0" w:firstColumn="1" w:lastColumn="0" w:noHBand="0" w:noVBand="1"/>
      </w:tblPr>
      <w:tblGrid>
        <w:gridCol w:w="562"/>
        <w:gridCol w:w="3991"/>
        <w:gridCol w:w="1462"/>
        <w:gridCol w:w="1462"/>
        <w:gridCol w:w="1868"/>
      </w:tblGrid>
      <w:tr w:rsidR="00877DE5" w:rsidRPr="00877DE5" w14:paraId="67865D17" w14:textId="77777777" w:rsidTr="0030095D">
        <w:tc>
          <w:tcPr>
            <w:tcW w:w="562" w:type="dxa"/>
            <w:tcBorders>
              <w:top w:val="single" w:sz="4" w:space="0" w:color="auto"/>
              <w:bottom w:val="single" w:sz="4" w:space="0" w:color="auto"/>
              <w:right w:val="single" w:sz="4" w:space="0" w:color="auto"/>
            </w:tcBorders>
          </w:tcPr>
          <w:p w14:paraId="74C5DF51"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 п/п</w:t>
            </w:r>
          </w:p>
        </w:tc>
        <w:tc>
          <w:tcPr>
            <w:tcW w:w="3991" w:type="dxa"/>
            <w:tcBorders>
              <w:top w:val="single" w:sz="4" w:space="0" w:color="auto"/>
              <w:left w:val="single" w:sz="4" w:space="0" w:color="auto"/>
              <w:bottom w:val="single" w:sz="4" w:space="0" w:color="auto"/>
              <w:right w:val="single" w:sz="4" w:space="0" w:color="auto"/>
            </w:tcBorders>
          </w:tcPr>
          <w:p w14:paraId="661512E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Наименование субъекта</w:t>
            </w:r>
          </w:p>
        </w:tc>
        <w:tc>
          <w:tcPr>
            <w:tcW w:w="1462" w:type="dxa"/>
            <w:tcBorders>
              <w:top w:val="single" w:sz="4" w:space="0" w:color="auto"/>
              <w:left w:val="single" w:sz="4" w:space="0" w:color="auto"/>
              <w:bottom w:val="single" w:sz="4" w:space="0" w:color="auto"/>
              <w:right w:val="single" w:sz="4" w:space="0" w:color="auto"/>
            </w:tcBorders>
          </w:tcPr>
          <w:p w14:paraId="5183C22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Расходы 2023г</w:t>
            </w:r>
          </w:p>
        </w:tc>
        <w:tc>
          <w:tcPr>
            <w:tcW w:w="1462" w:type="dxa"/>
            <w:tcBorders>
              <w:top w:val="single" w:sz="4" w:space="0" w:color="auto"/>
              <w:left w:val="single" w:sz="4" w:space="0" w:color="auto"/>
              <w:bottom w:val="single" w:sz="4" w:space="0" w:color="auto"/>
              <w:right w:val="single" w:sz="4" w:space="0" w:color="auto"/>
            </w:tcBorders>
          </w:tcPr>
          <w:p w14:paraId="46BCF50A"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Расходы 2024г</w:t>
            </w:r>
          </w:p>
        </w:tc>
        <w:tc>
          <w:tcPr>
            <w:tcW w:w="1868" w:type="dxa"/>
            <w:tcBorders>
              <w:top w:val="single" w:sz="4" w:space="0" w:color="auto"/>
              <w:left w:val="single" w:sz="4" w:space="0" w:color="auto"/>
              <w:bottom w:val="single" w:sz="4" w:space="0" w:color="auto"/>
              <w:right w:val="single" w:sz="4" w:space="0" w:color="auto"/>
            </w:tcBorders>
          </w:tcPr>
          <w:p w14:paraId="5A115F6A"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Темп роста, %</w:t>
            </w:r>
          </w:p>
        </w:tc>
      </w:tr>
      <w:tr w:rsidR="00877DE5" w:rsidRPr="00877DE5" w14:paraId="0FD28542" w14:textId="77777777" w:rsidTr="0030095D">
        <w:tc>
          <w:tcPr>
            <w:tcW w:w="562" w:type="dxa"/>
            <w:tcBorders>
              <w:top w:val="single" w:sz="4" w:space="0" w:color="auto"/>
              <w:bottom w:val="single" w:sz="4" w:space="0" w:color="auto"/>
              <w:right w:val="single" w:sz="4" w:space="0" w:color="auto"/>
            </w:tcBorders>
          </w:tcPr>
          <w:p w14:paraId="28AE37AA"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w:t>
            </w:r>
          </w:p>
        </w:tc>
        <w:tc>
          <w:tcPr>
            <w:tcW w:w="3991" w:type="dxa"/>
            <w:tcBorders>
              <w:top w:val="single" w:sz="4" w:space="0" w:color="auto"/>
              <w:left w:val="single" w:sz="4" w:space="0" w:color="auto"/>
              <w:bottom w:val="single" w:sz="4" w:space="0" w:color="auto"/>
              <w:right w:val="single" w:sz="4" w:space="0" w:color="auto"/>
            </w:tcBorders>
          </w:tcPr>
          <w:p w14:paraId="3E9A355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г. Москва</w:t>
            </w:r>
          </w:p>
        </w:tc>
        <w:tc>
          <w:tcPr>
            <w:tcW w:w="1462" w:type="dxa"/>
            <w:tcBorders>
              <w:top w:val="single" w:sz="4" w:space="0" w:color="auto"/>
              <w:left w:val="single" w:sz="4" w:space="0" w:color="auto"/>
              <w:bottom w:val="single" w:sz="4" w:space="0" w:color="auto"/>
              <w:right w:val="single" w:sz="4" w:space="0" w:color="auto"/>
            </w:tcBorders>
          </w:tcPr>
          <w:p w14:paraId="3CFD60D6" w14:textId="77777777" w:rsidR="00877DE5" w:rsidRPr="00877DE5" w:rsidRDefault="00877DE5" w:rsidP="0007694F">
            <w:pPr>
              <w:jc w:val="both"/>
              <w:textAlignment w:val="baseline"/>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4 183,10</w:t>
            </w:r>
          </w:p>
        </w:tc>
        <w:tc>
          <w:tcPr>
            <w:tcW w:w="1462" w:type="dxa"/>
            <w:tcBorders>
              <w:top w:val="single" w:sz="4" w:space="0" w:color="auto"/>
              <w:left w:val="single" w:sz="4" w:space="0" w:color="auto"/>
              <w:bottom w:val="single" w:sz="4" w:space="0" w:color="auto"/>
              <w:right w:val="single" w:sz="4" w:space="0" w:color="auto"/>
            </w:tcBorders>
          </w:tcPr>
          <w:p w14:paraId="5F78D2D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4 790,10</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bottom"/>
          </w:tcPr>
          <w:p w14:paraId="393DB842"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114,51</w:t>
            </w:r>
          </w:p>
        </w:tc>
      </w:tr>
      <w:tr w:rsidR="00877DE5" w:rsidRPr="00877DE5" w14:paraId="71C89785" w14:textId="77777777" w:rsidTr="0030095D">
        <w:tc>
          <w:tcPr>
            <w:tcW w:w="562" w:type="dxa"/>
            <w:tcBorders>
              <w:top w:val="single" w:sz="4" w:space="0" w:color="auto"/>
              <w:bottom w:val="single" w:sz="4" w:space="0" w:color="auto"/>
              <w:right w:val="single" w:sz="4" w:space="0" w:color="auto"/>
            </w:tcBorders>
          </w:tcPr>
          <w:p w14:paraId="1A4F012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2</w:t>
            </w:r>
          </w:p>
        </w:tc>
        <w:tc>
          <w:tcPr>
            <w:tcW w:w="3991" w:type="dxa"/>
            <w:tcBorders>
              <w:top w:val="single" w:sz="4" w:space="0" w:color="auto"/>
              <w:left w:val="single" w:sz="4" w:space="0" w:color="auto"/>
              <w:bottom w:val="single" w:sz="4" w:space="0" w:color="auto"/>
              <w:right w:val="single" w:sz="4" w:space="0" w:color="auto"/>
            </w:tcBorders>
          </w:tcPr>
          <w:p w14:paraId="63ED1122"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Московская область</w:t>
            </w:r>
          </w:p>
        </w:tc>
        <w:tc>
          <w:tcPr>
            <w:tcW w:w="1462" w:type="dxa"/>
            <w:tcBorders>
              <w:top w:val="single" w:sz="4" w:space="0" w:color="auto"/>
              <w:left w:val="single" w:sz="4" w:space="0" w:color="auto"/>
              <w:bottom w:val="single" w:sz="4" w:space="0" w:color="auto"/>
              <w:right w:val="single" w:sz="4" w:space="0" w:color="auto"/>
            </w:tcBorders>
          </w:tcPr>
          <w:p w14:paraId="18B733E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954,70</w:t>
            </w:r>
          </w:p>
        </w:tc>
        <w:tc>
          <w:tcPr>
            <w:tcW w:w="1462" w:type="dxa"/>
            <w:tcBorders>
              <w:top w:val="single" w:sz="4" w:space="0" w:color="auto"/>
              <w:left w:val="single" w:sz="4" w:space="0" w:color="auto"/>
              <w:bottom w:val="single" w:sz="4" w:space="0" w:color="auto"/>
              <w:right w:val="single" w:sz="4" w:space="0" w:color="auto"/>
            </w:tcBorders>
          </w:tcPr>
          <w:p w14:paraId="474DC8C7"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1 068,80</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bottom"/>
          </w:tcPr>
          <w:p w14:paraId="0E1C612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111,95</w:t>
            </w:r>
          </w:p>
        </w:tc>
      </w:tr>
      <w:tr w:rsidR="00877DE5" w:rsidRPr="00877DE5" w14:paraId="2B0EC5F8" w14:textId="77777777" w:rsidTr="0030095D">
        <w:tc>
          <w:tcPr>
            <w:tcW w:w="562" w:type="dxa"/>
            <w:tcBorders>
              <w:top w:val="single" w:sz="4" w:space="0" w:color="auto"/>
              <w:bottom w:val="single" w:sz="4" w:space="0" w:color="auto"/>
              <w:right w:val="single" w:sz="4" w:space="0" w:color="auto"/>
            </w:tcBorders>
          </w:tcPr>
          <w:p w14:paraId="3769AE8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3</w:t>
            </w:r>
          </w:p>
        </w:tc>
        <w:tc>
          <w:tcPr>
            <w:tcW w:w="3991" w:type="dxa"/>
            <w:tcBorders>
              <w:top w:val="single" w:sz="4" w:space="0" w:color="auto"/>
              <w:left w:val="single" w:sz="4" w:space="0" w:color="auto"/>
              <w:bottom w:val="single" w:sz="4" w:space="0" w:color="auto"/>
              <w:right w:val="single" w:sz="4" w:space="0" w:color="auto"/>
            </w:tcBorders>
          </w:tcPr>
          <w:p w14:paraId="6C59F39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г. Санкт-Петербург</w:t>
            </w:r>
          </w:p>
        </w:tc>
        <w:tc>
          <w:tcPr>
            <w:tcW w:w="1462" w:type="dxa"/>
            <w:tcBorders>
              <w:top w:val="single" w:sz="4" w:space="0" w:color="auto"/>
              <w:left w:val="single" w:sz="4" w:space="0" w:color="auto"/>
              <w:bottom w:val="single" w:sz="4" w:space="0" w:color="auto"/>
              <w:right w:val="single" w:sz="4" w:space="0" w:color="auto"/>
            </w:tcBorders>
          </w:tcPr>
          <w:p w14:paraId="51E3EE8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1 137,10</w:t>
            </w:r>
          </w:p>
        </w:tc>
        <w:tc>
          <w:tcPr>
            <w:tcW w:w="1462" w:type="dxa"/>
            <w:tcBorders>
              <w:top w:val="single" w:sz="4" w:space="0" w:color="auto"/>
              <w:left w:val="single" w:sz="4" w:space="0" w:color="auto"/>
              <w:bottom w:val="single" w:sz="4" w:space="0" w:color="auto"/>
              <w:right w:val="single" w:sz="4" w:space="0" w:color="auto"/>
            </w:tcBorders>
          </w:tcPr>
          <w:p w14:paraId="3042B43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1 337,40</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bottom"/>
          </w:tcPr>
          <w:p w14:paraId="0A098A6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117,61</w:t>
            </w:r>
          </w:p>
        </w:tc>
      </w:tr>
      <w:tr w:rsidR="00877DE5" w:rsidRPr="00877DE5" w14:paraId="1F409D2A" w14:textId="77777777" w:rsidTr="0030095D">
        <w:tc>
          <w:tcPr>
            <w:tcW w:w="562" w:type="dxa"/>
            <w:tcBorders>
              <w:top w:val="single" w:sz="4" w:space="0" w:color="auto"/>
              <w:bottom w:val="single" w:sz="4" w:space="0" w:color="auto"/>
              <w:right w:val="single" w:sz="4" w:space="0" w:color="auto"/>
            </w:tcBorders>
          </w:tcPr>
          <w:p w14:paraId="70CD71F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4</w:t>
            </w:r>
          </w:p>
        </w:tc>
        <w:tc>
          <w:tcPr>
            <w:tcW w:w="3991" w:type="dxa"/>
            <w:tcBorders>
              <w:top w:val="single" w:sz="4" w:space="0" w:color="auto"/>
              <w:left w:val="single" w:sz="4" w:space="0" w:color="auto"/>
              <w:bottom w:val="single" w:sz="4" w:space="0" w:color="auto"/>
              <w:right w:val="single" w:sz="4" w:space="0" w:color="auto"/>
            </w:tcBorders>
          </w:tcPr>
          <w:p w14:paraId="149902E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Краснодарский край</w:t>
            </w:r>
          </w:p>
        </w:tc>
        <w:tc>
          <w:tcPr>
            <w:tcW w:w="1462" w:type="dxa"/>
            <w:tcBorders>
              <w:top w:val="single" w:sz="4" w:space="0" w:color="auto"/>
              <w:left w:val="single" w:sz="4" w:space="0" w:color="auto"/>
              <w:bottom w:val="single" w:sz="4" w:space="0" w:color="auto"/>
              <w:right w:val="single" w:sz="4" w:space="0" w:color="auto"/>
            </w:tcBorders>
          </w:tcPr>
          <w:p w14:paraId="4D10C4A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446,20</w:t>
            </w:r>
          </w:p>
        </w:tc>
        <w:tc>
          <w:tcPr>
            <w:tcW w:w="1462" w:type="dxa"/>
            <w:tcBorders>
              <w:top w:val="single" w:sz="4" w:space="0" w:color="auto"/>
              <w:left w:val="single" w:sz="4" w:space="0" w:color="auto"/>
              <w:bottom w:val="single" w:sz="4" w:space="0" w:color="auto"/>
              <w:right w:val="single" w:sz="4" w:space="0" w:color="auto"/>
            </w:tcBorders>
          </w:tcPr>
          <w:p w14:paraId="17556D73"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515,20</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bottom"/>
          </w:tcPr>
          <w:p w14:paraId="4354976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115,46</w:t>
            </w:r>
          </w:p>
        </w:tc>
      </w:tr>
      <w:tr w:rsidR="00877DE5" w:rsidRPr="00877DE5" w14:paraId="39C9DC35" w14:textId="77777777" w:rsidTr="0030095D">
        <w:tc>
          <w:tcPr>
            <w:tcW w:w="562" w:type="dxa"/>
            <w:tcBorders>
              <w:top w:val="single" w:sz="4" w:space="0" w:color="auto"/>
              <w:right w:val="nil"/>
            </w:tcBorders>
          </w:tcPr>
          <w:p w14:paraId="0CDA12D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5</w:t>
            </w:r>
          </w:p>
        </w:tc>
        <w:tc>
          <w:tcPr>
            <w:tcW w:w="3991" w:type="dxa"/>
            <w:tcBorders>
              <w:top w:val="single" w:sz="4" w:space="0" w:color="auto"/>
              <w:left w:val="nil"/>
              <w:bottom w:val="nil"/>
              <w:right w:val="nil"/>
            </w:tcBorders>
          </w:tcPr>
          <w:p w14:paraId="2510F5D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Свердловская область</w:t>
            </w:r>
          </w:p>
        </w:tc>
        <w:tc>
          <w:tcPr>
            <w:tcW w:w="1462" w:type="dxa"/>
            <w:tcBorders>
              <w:top w:val="single" w:sz="4" w:space="0" w:color="auto"/>
              <w:left w:val="nil"/>
              <w:bottom w:val="nil"/>
              <w:right w:val="nil"/>
            </w:tcBorders>
          </w:tcPr>
          <w:p w14:paraId="16B3A34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374,10</w:t>
            </w:r>
          </w:p>
        </w:tc>
        <w:tc>
          <w:tcPr>
            <w:tcW w:w="1462" w:type="dxa"/>
            <w:tcBorders>
              <w:top w:val="single" w:sz="4" w:space="0" w:color="auto"/>
              <w:left w:val="nil"/>
              <w:bottom w:val="nil"/>
              <w:right w:val="nil"/>
            </w:tcBorders>
          </w:tcPr>
          <w:p w14:paraId="048CA049"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438,40</w:t>
            </w:r>
          </w:p>
        </w:tc>
        <w:tc>
          <w:tcPr>
            <w:tcW w:w="1868" w:type="dxa"/>
            <w:tcBorders>
              <w:top w:val="single" w:sz="4" w:space="0" w:color="auto"/>
              <w:left w:val="nil"/>
              <w:bottom w:val="nil"/>
              <w:right w:val="nil"/>
            </w:tcBorders>
            <w:shd w:val="clear" w:color="auto" w:fill="auto"/>
            <w:vAlign w:val="bottom"/>
          </w:tcPr>
          <w:p w14:paraId="21EDC5C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117,19</w:t>
            </w:r>
          </w:p>
        </w:tc>
      </w:tr>
      <w:tr w:rsidR="00877DE5" w:rsidRPr="00877DE5" w14:paraId="61E5287A" w14:textId="77777777" w:rsidTr="0030095D">
        <w:tc>
          <w:tcPr>
            <w:tcW w:w="562" w:type="dxa"/>
          </w:tcPr>
          <w:p w14:paraId="1011A078"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6</w:t>
            </w:r>
          </w:p>
        </w:tc>
        <w:tc>
          <w:tcPr>
            <w:tcW w:w="3991" w:type="dxa"/>
            <w:tcBorders>
              <w:top w:val="nil"/>
            </w:tcBorders>
          </w:tcPr>
          <w:p w14:paraId="0F45CC73"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Красноярский край</w:t>
            </w:r>
          </w:p>
        </w:tc>
        <w:tc>
          <w:tcPr>
            <w:tcW w:w="1462" w:type="dxa"/>
            <w:tcBorders>
              <w:top w:val="nil"/>
            </w:tcBorders>
          </w:tcPr>
          <w:p w14:paraId="03C11BBE"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389,00</w:t>
            </w:r>
          </w:p>
        </w:tc>
        <w:tc>
          <w:tcPr>
            <w:tcW w:w="1462" w:type="dxa"/>
            <w:tcBorders>
              <w:top w:val="nil"/>
            </w:tcBorders>
          </w:tcPr>
          <w:p w14:paraId="2251F1D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437,20</w:t>
            </w:r>
          </w:p>
        </w:tc>
        <w:tc>
          <w:tcPr>
            <w:tcW w:w="1868" w:type="dxa"/>
            <w:tcBorders>
              <w:top w:val="nil"/>
              <w:left w:val="nil"/>
              <w:bottom w:val="single" w:sz="4" w:space="0" w:color="auto"/>
              <w:right w:val="single" w:sz="4" w:space="0" w:color="auto"/>
            </w:tcBorders>
            <w:shd w:val="clear" w:color="auto" w:fill="auto"/>
            <w:vAlign w:val="bottom"/>
          </w:tcPr>
          <w:p w14:paraId="3CB75FDB"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112,39</w:t>
            </w:r>
          </w:p>
        </w:tc>
      </w:tr>
      <w:tr w:rsidR="00877DE5" w:rsidRPr="00877DE5" w14:paraId="46C48DE5" w14:textId="77777777" w:rsidTr="00067100">
        <w:tc>
          <w:tcPr>
            <w:tcW w:w="562" w:type="dxa"/>
          </w:tcPr>
          <w:p w14:paraId="2F4EBAF2"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7</w:t>
            </w:r>
          </w:p>
        </w:tc>
        <w:tc>
          <w:tcPr>
            <w:tcW w:w="3991" w:type="dxa"/>
          </w:tcPr>
          <w:p w14:paraId="7A669B98"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Республика Татарстан</w:t>
            </w:r>
          </w:p>
        </w:tc>
        <w:tc>
          <w:tcPr>
            <w:tcW w:w="1462" w:type="dxa"/>
          </w:tcPr>
          <w:p w14:paraId="4D6C1393"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371,10</w:t>
            </w:r>
          </w:p>
        </w:tc>
        <w:tc>
          <w:tcPr>
            <w:tcW w:w="1462" w:type="dxa"/>
          </w:tcPr>
          <w:p w14:paraId="4637C3E5"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399,60</w:t>
            </w:r>
          </w:p>
        </w:tc>
        <w:tc>
          <w:tcPr>
            <w:tcW w:w="1868" w:type="dxa"/>
            <w:tcBorders>
              <w:top w:val="single" w:sz="4" w:space="0" w:color="auto"/>
              <w:left w:val="nil"/>
              <w:bottom w:val="single" w:sz="4" w:space="0" w:color="auto"/>
              <w:right w:val="single" w:sz="4" w:space="0" w:color="auto"/>
            </w:tcBorders>
            <w:shd w:val="clear" w:color="auto" w:fill="auto"/>
            <w:vAlign w:val="bottom"/>
          </w:tcPr>
          <w:p w14:paraId="64630BB2"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107,68</w:t>
            </w:r>
          </w:p>
        </w:tc>
      </w:tr>
      <w:tr w:rsidR="00877DE5" w:rsidRPr="00877DE5" w14:paraId="45E24358" w14:textId="77777777" w:rsidTr="00067100">
        <w:tc>
          <w:tcPr>
            <w:tcW w:w="562" w:type="dxa"/>
          </w:tcPr>
          <w:p w14:paraId="7D84690C"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8</w:t>
            </w:r>
          </w:p>
        </w:tc>
        <w:tc>
          <w:tcPr>
            <w:tcW w:w="3991" w:type="dxa"/>
          </w:tcPr>
          <w:p w14:paraId="5BBEEFE9"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Ростовская область</w:t>
            </w:r>
          </w:p>
        </w:tc>
        <w:tc>
          <w:tcPr>
            <w:tcW w:w="1462" w:type="dxa"/>
          </w:tcPr>
          <w:p w14:paraId="4706B5E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293,10</w:t>
            </w:r>
          </w:p>
        </w:tc>
        <w:tc>
          <w:tcPr>
            <w:tcW w:w="1462" w:type="dxa"/>
          </w:tcPr>
          <w:p w14:paraId="677D4D3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336,70</w:t>
            </w:r>
          </w:p>
        </w:tc>
        <w:tc>
          <w:tcPr>
            <w:tcW w:w="1868" w:type="dxa"/>
            <w:tcBorders>
              <w:top w:val="single" w:sz="4" w:space="0" w:color="auto"/>
              <w:left w:val="nil"/>
              <w:bottom w:val="single" w:sz="4" w:space="0" w:color="auto"/>
              <w:right w:val="single" w:sz="4" w:space="0" w:color="auto"/>
            </w:tcBorders>
            <w:shd w:val="clear" w:color="auto" w:fill="auto"/>
            <w:vAlign w:val="bottom"/>
          </w:tcPr>
          <w:p w14:paraId="4D07F8D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114,88</w:t>
            </w:r>
          </w:p>
        </w:tc>
      </w:tr>
      <w:tr w:rsidR="00877DE5" w:rsidRPr="00877DE5" w14:paraId="6032353D" w14:textId="77777777" w:rsidTr="00067100">
        <w:tc>
          <w:tcPr>
            <w:tcW w:w="562" w:type="dxa"/>
          </w:tcPr>
          <w:p w14:paraId="143E6EBF"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9</w:t>
            </w:r>
          </w:p>
        </w:tc>
        <w:tc>
          <w:tcPr>
            <w:tcW w:w="3991" w:type="dxa"/>
          </w:tcPr>
          <w:p w14:paraId="3A2B5ED1" w14:textId="77777777" w:rsidR="00877DE5" w:rsidRPr="00877DE5" w:rsidRDefault="00877DE5" w:rsidP="0007694F">
            <w:pPr>
              <w:spacing w:line="278" w:lineRule="auto"/>
              <w:jc w:val="both"/>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Республика Саха</w:t>
            </w:r>
          </w:p>
        </w:tc>
        <w:tc>
          <w:tcPr>
            <w:tcW w:w="1462" w:type="dxa"/>
          </w:tcPr>
          <w:p w14:paraId="2CE15211"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282,90</w:t>
            </w:r>
          </w:p>
        </w:tc>
        <w:tc>
          <w:tcPr>
            <w:tcW w:w="1462" w:type="dxa"/>
          </w:tcPr>
          <w:p w14:paraId="5B161D5B"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311,80</w:t>
            </w:r>
          </w:p>
        </w:tc>
        <w:tc>
          <w:tcPr>
            <w:tcW w:w="1868" w:type="dxa"/>
            <w:tcBorders>
              <w:top w:val="single" w:sz="4" w:space="0" w:color="auto"/>
              <w:left w:val="nil"/>
              <w:bottom w:val="single" w:sz="4" w:space="0" w:color="auto"/>
              <w:right w:val="single" w:sz="4" w:space="0" w:color="auto"/>
            </w:tcBorders>
            <w:shd w:val="clear" w:color="auto" w:fill="auto"/>
            <w:vAlign w:val="bottom"/>
          </w:tcPr>
          <w:p w14:paraId="7A711B53"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110,22</w:t>
            </w:r>
          </w:p>
        </w:tc>
      </w:tr>
    </w:tbl>
    <w:p w14:paraId="01314932" w14:textId="77777777" w:rsidR="00877DE5" w:rsidRPr="00877DE5" w:rsidRDefault="00877DE5" w:rsidP="0007694F">
      <w:pPr>
        <w:spacing w:after="0" w:line="240" w:lineRule="auto"/>
        <w:jc w:val="both"/>
        <w:rPr>
          <w:rFonts w:ascii="Times New Roman" w:eastAsia="Aptos" w:hAnsi="Times New Roman" w:cs="Times New Roman"/>
          <w:color w:val="000000"/>
          <w:kern w:val="2"/>
          <w:sz w:val="32"/>
          <w:szCs w:val="32"/>
          <w14:ligatures w14:val="standardContextual"/>
        </w:rPr>
      </w:pPr>
    </w:p>
    <w:p w14:paraId="5AD1A315" w14:textId="77777777" w:rsidR="00877DE5" w:rsidRPr="00877DE5" w:rsidRDefault="00877DE5" w:rsidP="0007694F">
      <w:pPr>
        <w:spacing w:after="0" w:line="240" w:lineRule="auto"/>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Анализ расходов бюджетов субъектов Российской Федерации за 2023 и 2024 годы показывает общий тренд роста, что свидетельствует о намерении регионов инвестировать в развитие и улучшение социальной инфраструктуры.</w:t>
      </w:r>
    </w:p>
    <w:p w14:paraId="376A4502" w14:textId="77777777" w:rsidR="00877DE5" w:rsidRPr="00877DE5" w:rsidRDefault="00877DE5" w:rsidP="0007694F">
      <w:pPr>
        <w:spacing w:after="0" w:line="240" w:lineRule="auto"/>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Рассмотрим расходную и доходную часть наибольших бюджетов РФ за 2024 год [4]:</w:t>
      </w:r>
    </w:p>
    <w:p w14:paraId="02E61DA5" w14:textId="77777777" w:rsidR="00877DE5" w:rsidRPr="00877DE5" w:rsidRDefault="00877DE5" w:rsidP="0007694F">
      <w:pPr>
        <w:shd w:val="clear" w:color="auto" w:fill="FFFFFF"/>
        <w:spacing w:after="0" w:line="240" w:lineRule="auto"/>
        <w:ind w:firstLine="708"/>
        <w:textAlignment w:val="baseline"/>
        <w:outlineLvl w:val="1"/>
        <w:rPr>
          <w:rFonts w:ascii="Times New Roman" w:eastAsia="Times New Roman" w:hAnsi="Times New Roman" w:cs="Times New Roman"/>
          <w:color w:val="000000"/>
          <w:sz w:val="32"/>
          <w:szCs w:val="32"/>
          <w:lang w:eastAsia="ru-RU"/>
        </w:rPr>
      </w:pPr>
      <w:bookmarkStart w:id="14" w:name="_Toc196433368"/>
      <w:bookmarkStart w:id="15" w:name="_Toc198059676"/>
      <w:r w:rsidRPr="00877DE5">
        <w:rPr>
          <w:rFonts w:ascii="Times New Roman" w:eastAsia="Times New Roman" w:hAnsi="Times New Roman" w:cs="Times New Roman"/>
          <w:bCs/>
          <w:color w:val="000000"/>
          <w:sz w:val="32"/>
          <w:szCs w:val="32"/>
          <w:lang w:eastAsia="ru-RU"/>
        </w:rPr>
        <w:t>Таблица 3 – Анализ доходов и расходов бюджетов субъектов РФ, млрд. руб.</w:t>
      </w:r>
      <w:bookmarkEnd w:id="14"/>
      <w:bookmarkEnd w:id="15"/>
    </w:p>
    <w:tbl>
      <w:tblPr>
        <w:tblStyle w:val="15"/>
        <w:tblW w:w="0" w:type="auto"/>
        <w:tblLayout w:type="fixed"/>
        <w:tblLook w:val="04A0" w:firstRow="1" w:lastRow="0" w:firstColumn="1" w:lastColumn="0" w:noHBand="0" w:noVBand="1"/>
      </w:tblPr>
      <w:tblGrid>
        <w:gridCol w:w="3114"/>
        <w:gridCol w:w="1559"/>
        <w:gridCol w:w="1418"/>
        <w:gridCol w:w="1417"/>
        <w:gridCol w:w="1559"/>
      </w:tblGrid>
      <w:tr w:rsidR="00877DE5" w:rsidRPr="00877DE5" w14:paraId="0641BE4B" w14:textId="77777777" w:rsidTr="00067100">
        <w:trPr>
          <w:trHeight w:val="477"/>
        </w:trPr>
        <w:tc>
          <w:tcPr>
            <w:tcW w:w="3114" w:type="dxa"/>
          </w:tcPr>
          <w:p w14:paraId="510BF418" w14:textId="77777777" w:rsidR="00877DE5" w:rsidRPr="00877DE5" w:rsidRDefault="00877DE5" w:rsidP="0007694F">
            <w:pPr>
              <w:textAlignment w:val="baseline"/>
              <w:outlineLvl w:val="1"/>
              <w:rPr>
                <w:rFonts w:ascii="Times New Roman" w:eastAsia="Times New Roman" w:hAnsi="Times New Roman" w:cs="Times New Roman"/>
                <w:color w:val="000000"/>
                <w:lang w:eastAsia="ru-RU"/>
              </w:rPr>
            </w:pPr>
            <w:bookmarkStart w:id="16" w:name="_Toc196433369"/>
            <w:bookmarkStart w:id="17" w:name="_Toc198059677"/>
            <w:r w:rsidRPr="00877DE5">
              <w:rPr>
                <w:rFonts w:ascii="Times New Roman" w:eastAsia="Times New Roman" w:hAnsi="Times New Roman" w:cs="Times New Roman"/>
                <w:b/>
                <w:bCs/>
                <w:color w:val="000000"/>
                <w:lang w:eastAsia="ru-RU"/>
              </w:rPr>
              <w:t>Наименование субъекта</w:t>
            </w:r>
            <w:bookmarkEnd w:id="16"/>
            <w:bookmarkEnd w:id="17"/>
          </w:p>
        </w:tc>
        <w:tc>
          <w:tcPr>
            <w:tcW w:w="1559" w:type="dxa"/>
          </w:tcPr>
          <w:p w14:paraId="52A01C8E" w14:textId="77777777" w:rsidR="00877DE5" w:rsidRPr="00877DE5" w:rsidRDefault="00877DE5" w:rsidP="0007694F">
            <w:pPr>
              <w:textAlignment w:val="baseline"/>
              <w:outlineLvl w:val="1"/>
              <w:rPr>
                <w:rFonts w:ascii="Times New Roman" w:eastAsia="Times New Roman" w:hAnsi="Times New Roman" w:cs="Times New Roman"/>
                <w:color w:val="000000"/>
                <w:lang w:eastAsia="ru-RU"/>
              </w:rPr>
            </w:pPr>
            <w:bookmarkStart w:id="18" w:name="_Toc196433370"/>
            <w:bookmarkStart w:id="19" w:name="_Toc198059678"/>
            <w:r w:rsidRPr="00877DE5">
              <w:rPr>
                <w:rFonts w:ascii="Times New Roman" w:eastAsia="Times New Roman" w:hAnsi="Times New Roman" w:cs="Times New Roman"/>
                <w:b/>
                <w:bCs/>
                <w:color w:val="000000"/>
                <w:lang w:eastAsia="ru-RU"/>
              </w:rPr>
              <w:t>Доходы</w:t>
            </w:r>
            <w:bookmarkEnd w:id="18"/>
            <w:bookmarkEnd w:id="19"/>
          </w:p>
        </w:tc>
        <w:tc>
          <w:tcPr>
            <w:tcW w:w="1418" w:type="dxa"/>
          </w:tcPr>
          <w:p w14:paraId="63744A47" w14:textId="77777777" w:rsidR="00877DE5" w:rsidRPr="00877DE5" w:rsidRDefault="00877DE5" w:rsidP="0007694F">
            <w:pPr>
              <w:textAlignment w:val="baseline"/>
              <w:outlineLvl w:val="1"/>
              <w:rPr>
                <w:rFonts w:ascii="Times New Roman" w:eastAsia="Times New Roman" w:hAnsi="Times New Roman" w:cs="Times New Roman"/>
                <w:color w:val="000000"/>
                <w:lang w:eastAsia="ru-RU"/>
              </w:rPr>
            </w:pPr>
            <w:bookmarkStart w:id="20" w:name="_Toc196433371"/>
            <w:bookmarkStart w:id="21" w:name="_Toc198059679"/>
            <w:r w:rsidRPr="00877DE5">
              <w:rPr>
                <w:rFonts w:ascii="Times New Roman" w:eastAsia="Times New Roman" w:hAnsi="Times New Roman" w:cs="Times New Roman"/>
                <w:b/>
                <w:bCs/>
                <w:color w:val="000000"/>
                <w:lang w:eastAsia="ru-RU"/>
              </w:rPr>
              <w:t>Расходы</w:t>
            </w:r>
            <w:bookmarkEnd w:id="20"/>
            <w:bookmarkEnd w:id="21"/>
          </w:p>
        </w:tc>
        <w:tc>
          <w:tcPr>
            <w:tcW w:w="1417" w:type="dxa"/>
          </w:tcPr>
          <w:p w14:paraId="7F5265B3" w14:textId="77777777" w:rsidR="00877DE5" w:rsidRPr="00877DE5" w:rsidRDefault="00877DE5" w:rsidP="0007694F">
            <w:pPr>
              <w:textAlignment w:val="baseline"/>
              <w:outlineLvl w:val="1"/>
              <w:rPr>
                <w:rFonts w:ascii="Times New Roman" w:eastAsia="Times New Roman" w:hAnsi="Times New Roman" w:cs="Times New Roman"/>
                <w:color w:val="000000"/>
                <w:lang w:eastAsia="ru-RU"/>
              </w:rPr>
            </w:pPr>
            <w:bookmarkStart w:id="22" w:name="_Toc196433372"/>
            <w:bookmarkStart w:id="23" w:name="_Toc198059680"/>
            <w:r w:rsidRPr="00877DE5">
              <w:rPr>
                <w:rFonts w:ascii="Times New Roman" w:eastAsia="Times New Roman" w:hAnsi="Times New Roman" w:cs="Times New Roman"/>
                <w:b/>
                <w:bCs/>
                <w:color w:val="000000"/>
                <w:shd w:val="clear" w:color="auto" w:fill="FFFFFF"/>
                <w:lang w:eastAsia="ru-RU"/>
              </w:rPr>
              <w:t>Дефицит</w:t>
            </w:r>
            <w:bookmarkEnd w:id="22"/>
            <w:bookmarkEnd w:id="23"/>
          </w:p>
        </w:tc>
        <w:tc>
          <w:tcPr>
            <w:tcW w:w="1559" w:type="dxa"/>
          </w:tcPr>
          <w:p w14:paraId="1714710D" w14:textId="77777777" w:rsidR="00877DE5" w:rsidRPr="00877DE5" w:rsidRDefault="00877DE5" w:rsidP="0007694F">
            <w:pPr>
              <w:textAlignment w:val="baseline"/>
              <w:outlineLvl w:val="1"/>
              <w:rPr>
                <w:rFonts w:ascii="Times New Roman" w:eastAsia="Times New Roman" w:hAnsi="Times New Roman" w:cs="Times New Roman"/>
                <w:color w:val="000000"/>
                <w:shd w:val="clear" w:color="auto" w:fill="FFFFFF"/>
                <w:lang w:eastAsia="ru-RU"/>
              </w:rPr>
            </w:pPr>
            <w:bookmarkStart w:id="24" w:name="_Toc196433373"/>
            <w:bookmarkStart w:id="25" w:name="_Toc198059681"/>
            <w:r w:rsidRPr="00877DE5">
              <w:rPr>
                <w:rFonts w:ascii="Times New Roman" w:eastAsia="Times New Roman" w:hAnsi="Times New Roman" w:cs="Times New Roman"/>
                <w:b/>
                <w:bCs/>
                <w:color w:val="000000"/>
                <w:shd w:val="clear" w:color="auto" w:fill="FFFFFF"/>
                <w:lang w:eastAsia="ru-RU"/>
              </w:rPr>
              <w:t>Дефицит, %</w:t>
            </w:r>
            <w:bookmarkEnd w:id="24"/>
            <w:bookmarkEnd w:id="25"/>
          </w:p>
        </w:tc>
      </w:tr>
      <w:tr w:rsidR="00877DE5" w:rsidRPr="00877DE5" w14:paraId="0F550F17" w14:textId="77777777" w:rsidTr="00067100">
        <w:trPr>
          <w:trHeight w:val="196"/>
        </w:trPr>
        <w:tc>
          <w:tcPr>
            <w:tcW w:w="3114" w:type="dxa"/>
          </w:tcPr>
          <w:p w14:paraId="232DEA10" w14:textId="77777777" w:rsidR="00877DE5" w:rsidRPr="00877DE5" w:rsidRDefault="00877DE5" w:rsidP="0007694F">
            <w:pPr>
              <w:tabs>
                <w:tab w:val="right" w:pos="2898"/>
              </w:tabs>
              <w:spacing w:line="278" w:lineRule="auto"/>
              <w:rPr>
                <w:rFonts w:ascii="Times New Roman" w:eastAsia="Aptos" w:hAnsi="Times New Roman" w:cs="Times New Roman"/>
                <w:color w:val="000000"/>
              </w:rPr>
            </w:pPr>
            <w:r w:rsidRPr="00877DE5">
              <w:rPr>
                <w:rFonts w:ascii="Times New Roman" w:eastAsia="Aptos" w:hAnsi="Times New Roman" w:cs="Times New Roman"/>
                <w:color w:val="000000"/>
              </w:rPr>
              <w:t>г. Москва</w:t>
            </w:r>
            <w:r w:rsidRPr="00877DE5">
              <w:rPr>
                <w:rFonts w:ascii="Times New Roman" w:eastAsia="Aptos" w:hAnsi="Times New Roman" w:cs="Times New Roman"/>
                <w:color w:val="000000"/>
              </w:rPr>
              <w:tab/>
            </w:r>
          </w:p>
        </w:tc>
        <w:tc>
          <w:tcPr>
            <w:tcW w:w="1559" w:type="dxa"/>
          </w:tcPr>
          <w:p w14:paraId="33791EBC"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26" w:name="_Toc196433374"/>
            <w:bookmarkStart w:id="27" w:name="_Toc198059682"/>
            <w:r w:rsidRPr="00877DE5">
              <w:rPr>
                <w:rFonts w:ascii="Times New Roman" w:eastAsia="Times New Roman" w:hAnsi="Times New Roman" w:cs="Times New Roman"/>
                <w:b/>
                <w:bCs/>
                <w:color w:val="000000"/>
                <w:shd w:val="clear" w:color="auto" w:fill="FFFFFF"/>
                <w:lang w:eastAsia="ru-RU"/>
              </w:rPr>
              <w:t>4 289,80</w:t>
            </w:r>
            <w:bookmarkEnd w:id="26"/>
            <w:bookmarkEnd w:id="27"/>
          </w:p>
        </w:tc>
        <w:tc>
          <w:tcPr>
            <w:tcW w:w="1418" w:type="dxa"/>
          </w:tcPr>
          <w:p w14:paraId="489CF19B"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28" w:name="_Toc196433375"/>
            <w:bookmarkStart w:id="29" w:name="_Toc198059683"/>
            <w:r w:rsidRPr="00877DE5">
              <w:rPr>
                <w:rFonts w:ascii="Times New Roman" w:eastAsia="Times New Roman" w:hAnsi="Times New Roman" w:cs="Times New Roman"/>
                <w:b/>
                <w:bCs/>
                <w:color w:val="000000"/>
                <w:shd w:val="clear" w:color="auto" w:fill="FFFFFF"/>
                <w:lang w:eastAsia="ru-RU"/>
              </w:rPr>
              <w:t>4 790,10</w:t>
            </w:r>
            <w:bookmarkEnd w:id="28"/>
            <w:bookmarkEnd w:id="29"/>
          </w:p>
        </w:tc>
        <w:tc>
          <w:tcPr>
            <w:tcW w:w="1417" w:type="dxa"/>
          </w:tcPr>
          <w:p w14:paraId="47EDA2F2" w14:textId="77777777" w:rsidR="00877DE5" w:rsidRPr="00877DE5" w:rsidRDefault="00877DE5" w:rsidP="0007694F">
            <w:pPr>
              <w:jc w:val="center"/>
              <w:textAlignment w:val="baseline"/>
              <w:outlineLvl w:val="1"/>
              <w:rPr>
                <w:rFonts w:ascii="Times New Roman" w:eastAsia="Times New Roman" w:hAnsi="Times New Roman" w:cs="Times New Roman"/>
                <w:color w:val="000000"/>
                <w:shd w:val="clear" w:color="auto" w:fill="FFFFFF"/>
                <w:lang w:eastAsia="ru-RU"/>
              </w:rPr>
            </w:pPr>
            <w:bookmarkStart w:id="30" w:name="_Toc196433376"/>
            <w:bookmarkStart w:id="31" w:name="_Toc198059684"/>
            <w:r w:rsidRPr="00877DE5">
              <w:rPr>
                <w:rFonts w:ascii="Times New Roman" w:eastAsia="Times New Roman" w:hAnsi="Times New Roman" w:cs="Times New Roman"/>
                <w:b/>
                <w:bCs/>
                <w:color w:val="000000"/>
                <w:shd w:val="clear" w:color="auto" w:fill="FFFFFF"/>
                <w:lang w:eastAsia="ru-RU"/>
              </w:rPr>
              <w:t>500,30</w:t>
            </w:r>
            <w:bookmarkEnd w:id="30"/>
            <w:bookmarkEnd w:id="31"/>
          </w:p>
        </w:tc>
        <w:tc>
          <w:tcPr>
            <w:tcW w:w="1559" w:type="dxa"/>
          </w:tcPr>
          <w:p w14:paraId="0290FD60" w14:textId="77777777" w:rsidR="00877DE5" w:rsidRPr="00877DE5" w:rsidRDefault="00877DE5" w:rsidP="0007694F">
            <w:pPr>
              <w:jc w:val="center"/>
              <w:textAlignment w:val="baseline"/>
              <w:outlineLvl w:val="1"/>
              <w:rPr>
                <w:rFonts w:ascii="Times New Roman" w:eastAsia="Times New Roman" w:hAnsi="Times New Roman" w:cs="Times New Roman"/>
                <w:color w:val="000000"/>
                <w:shd w:val="clear" w:color="auto" w:fill="FFFFFF"/>
                <w:lang w:eastAsia="ru-RU"/>
              </w:rPr>
            </w:pPr>
            <w:bookmarkStart w:id="32" w:name="_Toc196433377"/>
            <w:bookmarkStart w:id="33" w:name="_Toc198059685"/>
            <w:r w:rsidRPr="00877DE5">
              <w:rPr>
                <w:rFonts w:ascii="Times New Roman" w:eastAsia="Times New Roman" w:hAnsi="Times New Roman" w:cs="Times New Roman"/>
                <w:b/>
                <w:bCs/>
                <w:color w:val="000000"/>
                <w:shd w:val="clear" w:color="auto" w:fill="FFFFFF"/>
                <w:lang w:eastAsia="ru-RU"/>
              </w:rPr>
              <w:t>11,70</w:t>
            </w:r>
            <w:bookmarkEnd w:id="32"/>
            <w:bookmarkEnd w:id="33"/>
          </w:p>
        </w:tc>
      </w:tr>
      <w:tr w:rsidR="00877DE5" w:rsidRPr="00877DE5" w14:paraId="0642FEC2" w14:textId="77777777" w:rsidTr="00067100">
        <w:tc>
          <w:tcPr>
            <w:tcW w:w="3114" w:type="dxa"/>
          </w:tcPr>
          <w:p w14:paraId="4D309636" w14:textId="77777777" w:rsidR="00877DE5" w:rsidRPr="00877DE5" w:rsidRDefault="00877DE5" w:rsidP="0007694F">
            <w:pPr>
              <w:spacing w:line="278" w:lineRule="auto"/>
              <w:rPr>
                <w:rFonts w:ascii="Times New Roman" w:eastAsia="Aptos" w:hAnsi="Times New Roman" w:cs="Times New Roman"/>
                <w:color w:val="000000"/>
              </w:rPr>
            </w:pPr>
            <w:r w:rsidRPr="00877DE5">
              <w:rPr>
                <w:rFonts w:ascii="Times New Roman" w:eastAsia="Aptos" w:hAnsi="Times New Roman" w:cs="Times New Roman"/>
                <w:color w:val="000000"/>
              </w:rPr>
              <w:t>Московская область</w:t>
            </w:r>
          </w:p>
        </w:tc>
        <w:tc>
          <w:tcPr>
            <w:tcW w:w="1559" w:type="dxa"/>
          </w:tcPr>
          <w:p w14:paraId="5BFF7094"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34" w:name="_Toc196433378"/>
            <w:bookmarkStart w:id="35" w:name="_Toc198059686"/>
            <w:r w:rsidRPr="00877DE5">
              <w:rPr>
                <w:rFonts w:ascii="Times New Roman" w:eastAsia="Times New Roman" w:hAnsi="Times New Roman" w:cs="Times New Roman"/>
                <w:b/>
                <w:bCs/>
                <w:color w:val="000000"/>
                <w:shd w:val="clear" w:color="auto" w:fill="FFFFFF"/>
                <w:lang w:eastAsia="ru-RU"/>
              </w:rPr>
              <w:t>1 025,70</w:t>
            </w:r>
            <w:bookmarkEnd w:id="34"/>
            <w:bookmarkEnd w:id="35"/>
          </w:p>
        </w:tc>
        <w:tc>
          <w:tcPr>
            <w:tcW w:w="1418" w:type="dxa"/>
          </w:tcPr>
          <w:p w14:paraId="718ECB3C"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1 068,80</w:t>
            </w:r>
          </w:p>
        </w:tc>
        <w:tc>
          <w:tcPr>
            <w:tcW w:w="1417" w:type="dxa"/>
          </w:tcPr>
          <w:p w14:paraId="0E17A51A"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43,10</w:t>
            </w:r>
          </w:p>
        </w:tc>
        <w:tc>
          <w:tcPr>
            <w:tcW w:w="1559" w:type="dxa"/>
          </w:tcPr>
          <w:p w14:paraId="3C2583ED"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4,20</w:t>
            </w:r>
          </w:p>
        </w:tc>
      </w:tr>
      <w:tr w:rsidR="00877DE5" w:rsidRPr="00877DE5" w14:paraId="2BAE47EB" w14:textId="77777777" w:rsidTr="00067100">
        <w:tc>
          <w:tcPr>
            <w:tcW w:w="3114" w:type="dxa"/>
          </w:tcPr>
          <w:p w14:paraId="5333FBEB" w14:textId="77777777" w:rsidR="00877DE5" w:rsidRPr="00877DE5" w:rsidRDefault="00877DE5" w:rsidP="0007694F">
            <w:pPr>
              <w:spacing w:line="278" w:lineRule="auto"/>
              <w:rPr>
                <w:rFonts w:ascii="Times New Roman" w:eastAsia="Aptos" w:hAnsi="Times New Roman" w:cs="Times New Roman"/>
                <w:color w:val="000000"/>
              </w:rPr>
            </w:pPr>
            <w:r w:rsidRPr="00877DE5">
              <w:rPr>
                <w:rFonts w:ascii="Times New Roman" w:eastAsia="Aptos" w:hAnsi="Times New Roman" w:cs="Times New Roman"/>
                <w:color w:val="000000"/>
              </w:rPr>
              <w:t>г. Санкт-Петербург</w:t>
            </w:r>
          </w:p>
        </w:tc>
        <w:tc>
          <w:tcPr>
            <w:tcW w:w="1559" w:type="dxa"/>
          </w:tcPr>
          <w:p w14:paraId="0C543CFE"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36" w:name="_Toc196433379"/>
            <w:bookmarkStart w:id="37" w:name="_Toc198059687"/>
            <w:r w:rsidRPr="00877DE5">
              <w:rPr>
                <w:rFonts w:ascii="Times New Roman" w:eastAsia="Times New Roman" w:hAnsi="Times New Roman" w:cs="Times New Roman"/>
                <w:b/>
                <w:bCs/>
                <w:color w:val="000000"/>
                <w:shd w:val="clear" w:color="auto" w:fill="FFFFFF"/>
                <w:lang w:eastAsia="ru-RU"/>
              </w:rPr>
              <w:t>1 179,60</w:t>
            </w:r>
            <w:bookmarkEnd w:id="36"/>
            <w:bookmarkEnd w:id="37"/>
          </w:p>
        </w:tc>
        <w:tc>
          <w:tcPr>
            <w:tcW w:w="1418" w:type="dxa"/>
          </w:tcPr>
          <w:p w14:paraId="16B48EDA"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38" w:name="_Toc196433380"/>
            <w:bookmarkStart w:id="39" w:name="_Toc198059688"/>
            <w:r w:rsidRPr="00877DE5">
              <w:rPr>
                <w:rFonts w:ascii="Times New Roman" w:eastAsia="Times New Roman" w:hAnsi="Times New Roman" w:cs="Times New Roman"/>
                <w:b/>
                <w:bCs/>
                <w:color w:val="000000"/>
                <w:lang w:eastAsia="ru-RU"/>
              </w:rPr>
              <w:t>1 337,40</w:t>
            </w:r>
            <w:bookmarkEnd w:id="38"/>
            <w:bookmarkEnd w:id="39"/>
          </w:p>
        </w:tc>
        <w:tc>
          <w:tcPr>
            <w:tcW w:w="1417" w:type="dxa"/>
          </w:tcPr>
          <w:p w14:paraId="27D90BFA"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40" w:name="_Toc196433381"/>
            <w:bookmarkStart w:id="41" w:name="_Toc198059689"/>
            <w:r w:rsidRPr="00877DE5">
              <w:rPr>
                <w:rFonts w:ascii="Times New Roman" w:eastAsia="Times New Roman" w:hAnsi="Times New Roman" w:cs="Times New Roman"/>
                <w:b/>
                <w:bCs/>
                <w:color w:val="000000"/>
                <w:shd w:val="clear" w:color="auto" w:fill="FFFFFF"/>
                <w:lang w:eastAsia="ru-RU"/>
              </w:rPr>
              <w:t>157,80</w:t>
            </w:r>
            <w:bookmarkEnd w:id="40"/>
            <w:bookmarkEnd w:id="41"/>
          </w:p>
        </w:tc>
        <w:tc>
          <w:tcPr>
            <w:tcW w:w="1559" w:type="dxa"/>
          </w:tcPr>
          <w:p w14:paraId="4CAD33EF" w14:textId="77777777" w:rsidR="00877DE5" w:rsidRPr="00877DE5" w:rsidRDefault="00877DE5" w:rsidP="0007694F">
            <w:pPr>
              <w:jc w:val="center"/>
              <w:textAlignment w:val="baseline"/>
              <w:outlineLvl w:val="1"/>
              <w:rPr>
                <w:rFonts w:ascii="Times New Roman" w:eastAsia="Times New Roman" w:hAnsi="Times New Roman" w:cs="Times New Roman"/>
                <w:color w:val="000000"/>
                <w:shd w:val="clear" w:color="auto" w:fill="FFFFFF"/>
                <w:lang w:eastAsia="ru-RU"/>
              </w:rPr>
            </w:pPr>
            <w:bookmarkStart w:id="42" w:name="_Toc196433382"/>
            <w:bookmarkStart w:id="43" w:name="_Toc198059690"/>
            <w:r w:rsidRPr="00877DE5">
              <w:rPr>
                <w:rFonts w:ascii="Times New Roman" w:eastAsia="Times New Roman" w:hAnsi="Times New Roman" w:cs="Times New Roman"/>
                <w:b/>
                <w:bCs/>
                <w:color w:val="000000"/>
                <w:shd w:val="clear" w:color="auto" w:fill="FFFFFF"/>
                <w:lang w:eastAsia="ru-RU"/>
              </w:rPr>
              <w:t>13,40</w:t>
            </w:r>
            <w:bookmarkEnd w:id="42"/>
            <w:bookmarkEnd w:id="43"/>
          </w:p>
        </w:tc>
      </w:tr>
      <w:tr w:rsidR="00877DE5" w:rsidRPr="00877DE5" w14:paraId="089506B8" w14:textId="77777777" w:rsidTr="00067100">
        <w:tc>
          <w:tcPr>
            <w:tcW w:w="3114" w:type="dxa"/>
          </w:tcPr>
          <w:p w14:paraId="5809D205" w14:textId="77777777" w:rsidR="00877DE5" w:rsidRPr="00877DE5" w:rsidRDefault="00877DE5" w:rsidP="0007694F">
            <w:pPr>
              <w:spacing w:line="278" w:lineRule="auto"/>
              <w:rPr>
                <w:rFonts w:ascii="Times New Roman" w:eastAsia="Aptos" w:hAnsi="Times New Roman" w:cs="Times New Roman"/>
                <w:color w:val="000000"/>
              </w:rPr>
            </w:pPr>
            <w:r w:rsidRPr="00877DE5">
              <w:rPr>
                <w:rFonts w:ascii="Times New Roman" w:eastAsia="Aptos" w:hAnsi="Times New Roman" w:cs="Times New Roman"/>
                <w:color w:val="000000"/>
              </w:rPr>
              <w:t>Краснодарский край</w:t>
            </w:r>
          </w:p>
        </w:tc>
        <w:tc>
          <w:tcPr>
            <w:tcW w:w="1559" w:type="dxa"/>
          </w:tcPr>
          <w:p w14:paraId="0BCAE6E1"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44" w:name="_Toc196433383"/>
            <w:bookmarkStart w:id="45" w:name="_Toc198059691"/>
            <w:r w:rsidRPr="00877DE5">
              <w:rPr>
                <w:rFonts w:ascii="Times New Roman" w:eastAsia="Times New Roman" w:hAnsi="Times New Roman" w:cs="Times New Roman"/>
                <w:b/>
                <w:bCs/>
                <w:color w:val="000000"/>
                <w:shd w:val="clear" w:color="auto" w:fill="FFFFFF"/>
                <w:lang w:eastAsia="ru-RU"/>
              </w:rPr>
              <w:t>451,10</w:t>
            </w:r>
            <w:bookmarkEnd w:id="44"/>
            <w:bookmarkEnd w:id="45"/>
          </w:p>
        </w:tc>
        <w:tc>
          <w:tcPr>
            <w:tcW w:w="1418" w:type="dxa"/>
          </w:tcPr>
          <w:p w14:paraId="02081025"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46" w:name="_Toc196433384"/>
            <w:bookmarkStart w:id="47" w:name="_Toc198059692"/>
            <w:r w:rsidRPr="00877DE5">
              <w:rPr>
                <w:rFonts w:ascii="Times New Roman" w:eastAsia="Times New Roman" w:hAnsi="Times New Roman" w:cs="Times New Roman"/>
                <w:b/>
                <w:bCs/>
                <w:color w:val="000000"/>
                <w:shd w:val="clear" w:color="auto" w:fill="FFFFFF"/>
                <w:lang w:eastAsia="ru-RU"/>
              </w:rPr>
              <w:t>515,20</w:t>
            </w:r>
            <w:bookmarkEnd w:id="46"/>
            <w:bookmarkEnd w:id="47"/>
          </w:p>
        </w:tc>
        <w:tc>
          <w:tcPr>
            <w:tcW w:w="1417" w:type="dxa"/>
          </w:tcPr>
          <w:p w14:paraId="0A601D15" w14:textId="77777777" w:rsidR="00877DE5" w:rsidRPr="00877DE5" w:rsidRDefault="00877DE5" w:rsidP="0007694F">
            <w:pPr>
              <w:jc w:val="center"/>
              <w:textAlignment w:val="baseline"/>
              <w:outlineLvl w:val="1"/>
              <w:rPr>
                <w:rFonts w:ascii="Times New Roman" w:eastAsia="Times New Roman" w:hAnsi="Times New Roman" w:cs="Times New Roman"/>
                <w:color w:val="000000"/>
                <w:shd w:val="clear" w:color="auto" w:fill="FFFFFF"/>
                <w:lang w:eastAsia="ru-RU"/>
              </w:rPr>
            </w:pPr>
            <w:bookmarkStart w:id="48" w:name="_Toc196433385"/>
            <w:bookmarkStart w:id="49" w:name="_Toc198059693"/>
            <w:r w:rsidRPr="00877DE5">
              <w:rPr>
                <w:rFonts w:ascii="Times New Roman" w:eastAsia="Times New Roman" w:hAnsi="Times New Roman" w:cs="Times New Roman"/>
                <w:b/>
                <w:bCs/>
                <w:color w:val="000000"/>
                <w:shd w:val="clear" w:color="auto" w:fill="FFFFFF"/>
                <w:lang w:eastAsia="ru-RU"/>
              </w:rPr>
              <w:t>64,10</w:t>
            </w:r>
            <w:bookmarkEnd w:id="48"/>
            <w:bookmarkEnd w:id="49"/>
          </w:p>
        </w:tc>
        <w:tc>
          <w:tcPr>
            <w:tcW w:w="1559" w:type="dxa"/>
          </w:tcPr>
          <w:p w14:paraId="2448669B" w14:textId="77777777" w:rsidR="00877DE5" w:rsidRPr="00877DE5" w:rsidRDefault="00877DE5" w:rsidP="0007694F">
            <w:pPr>
              <w:jc w:val="center"/>
              <w:textAlignment w:val="baseline"/>
              <w:outlineLvl w:val="1"/>
              <w:rPr>
                <w:rFonts w:ascii="Times New Roman" w:eastAsia="Times New Roman" w:hAnsi="Times New Roman" w:cs="Times New Roman"/>
                <w:color w:val="000000"/>
                <w:shd w:val="clear" w:color="auto" w:fill="FFFFFF"/>
                <w:lang w:eastAsia="ru-RU"/>
              </w:rPr>
            </w:pPr>
            <w:bookmarkStart w:id="50" w:name="_Toc196433386"/>
            <w:bookmarkStart w:id="51" w:name="_Toc198059694"/>
            <w:r w:rsidRPr="00877DE5">
              <w:rPr>
                <w:rFonts w:ascii="Times New Roman" w:eastAsia="Times New Roman" w:hAnsi="Times New Roman" w:cs="Times New Roman"/>
                <w:b/>
                <w:bCs/>
                <w:color w:val="000000"/>
                <w:shd w:val="clear" w:color="auto" w:fill="FFFFFF"/>
                <w:lang w:eastAsia="ru-RU"/>
              </w:rPr>
              <w:t>14,20</w:t>
            </w:r>
            <w:bookmarkEnd w:id="50"/>
            <w:bookmarkEnd w:id="51"/>
          </w:p>
        </w:tc>
      </w:tr>
      <w:tr w:rsidR="00877DE5" w:rsidRPr="00877DE5" w14:paraId="543C6D8A" w14:textId="77777777" w:rsidTr="00067100">
        <w:tc>
          <w:tcPr>
            <w:tcW w:w="3114" w:type="dxa"/>
          </w:tcPr>
          <w:p w14:paraId="582F70D6" w14:textId="77777777" w:rsidR="00877DE5" w:rsidRPr="00877DE5" w:rsidRDefault="00877DE5" w:rsidP="0007694F">
            <w:pPr>
              <w:spacing w:line="278" w:lineRule="auto"/>
              <w:rPr>
                <w:rFonts w:ascii="Times New Roman" w:eastAsia="Aptos" w:hAnsi="Times New Roman" w:cs="Times New Roman"/>
                <w:color w:val="000000"/>
              </w:rPr>
            </w:pPr>
            <w:r w:rsidRPr="00877DE5">
              <w:rPr>
                <w:rFonts w:ascii="Times New Roman" w:eastAsia="Aptos" w:hAnsi="Times New Roman" w:cs="Times New Roman"/>
                <w:color w:val="000000"/>
              </w:rPr>
              <w:t>Свердловская область</w:t>
            </w:r>
          </w:p>
        </w:tc>
        <w:tc>
          <w:tcPr>
            <w:tcW w:w="1559" w:type="dxa"/>
          </w:tcPr>
          <w:p w14:paraId="2F08957A"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420,10</w:t>
            </w:r>
          </w:p>
        </w:tc>
        <w:tc>
          <w:tcPr>
            <w:tcW w:w="1418" w:type="dxa"/>
          </w:tcPr>
          <w:p w14:paraId="775B2F4D" w14:textId="77777777" w:rsidR="00877DE5" w:rsidRPr="00877DE5" w:rsidRDefault="00877DE5" w:rsidP="0007694F">
            <w:pPr>
              <w:jc w:val="center"/>
              <w:textAlignment w:val="baseline"/>
              <w:outlineLvl w:val="1"/>
              <w:rPr>
                <w:rFonts w:ascii="Times New Roman" w:eastAsia="Times New Roman" w:hAnsi="Times New Roman" w:cs="Times New Roman"/>
                <w:color w:val="000000"/>
                <w:lang w:eastAsia="ru-RU"/>
              </w:rPr>
            </w:pPr>
            <w:bookmarkStart w:id="52" w:name="_Toc196433387"/>
            <w:bookmarkStart w:id="53" w:name="_Toc198059695"/>
            <w:r w:rsidRPr="00877DE5">
              <w:rPr>
                <w:rFonts w:ascii="Times New Roman" w:eastAsia="Times New Roman" w:hAnsi="Times New Roman" w:cs="Times New Roman"/>
                <w:b/>
                <w:bCs/>
                <w:color w:val="000000"/>
                <w:shd w:val="clear" w:color="auto" w:fill="FFFFFF"/>
                <w:lang w:eastAsia="ru-RU"/>
              </w:rPr>
              <w:t>438,40</w:t>
            </w:r>
            <w:bookmarkEnd w:id="52"/>
            <w:bookmarkEnd w:id="53"/>
          </w:p>
        </w:tc>
        <w:tc>
          <w:tcPr>
            <w:tcW w:w="1417" w:type="dxa"/>
          </w:tcPr>
          <w:p w14:paraId="00328FD8"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18,30</w:t>
            </w:r>
          </w:p>
        </w:tc>
        <w:tc>
          <w:tcPr>
            <w:tcW w:w="1559" w:type="dxa"/>
          </w:tcPr>
          <w:p w14:paraId="2EC4F01E"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4,40</w:t>
            </w:r>
          </w:p>
        </w:tc>
      </w:tr>
    </w:tbl>
    <w:p w14:paraId="2D4329AA" w14:textId="77777777" w:rsidR="00877DE5" w:rsidRPr="00877DE5" w:rsidRDefault="00877DE5" w:rsidP="0007694F">
      <w:pPr>
        <w:shd w:val="clear" w:color="auto" w:fill="FFFFFF"/>
        <w:spacing w:after="0" w:line="240" w:lineRule="auto"/>
        <w:textAlignment w:val="baseline"/>
        <w:outlineLvl w:val="1"/>
        <w:rPr>
          <w:rFonts w:ascii="Times New Roman" w:eastAsia="Times New Roman" w:hAnsi="Times New Roman" w:cs="Times New Roman"/>
          <w:b/>
          <w:bCs/>
          <w:color w:val="000000"/>
          <w:sz w:val="32"/>
          <w:szCs w:val="32"/>
          <w:lang w:eastAsia="ru-RU"/>
        </w:rPr>
      </w:pPr>
    </w:p>
    <w:p w14:paraId="04A23322" w14:textId="77777777" w:rsidR="00877DE5" w:rsidRPr="00877DE5" w:rsidRDefault="00877DE5" w:rsidP="0007694F">
      <w:pPr>
        <w:spacing w:after="0" w:line="240" w:lineRule="auto"/>
        <w:ind w:firstLine="708"/>
        <w:jc w:val="both"/>
        <w:rPr>
          <w:rFonts w:ascii="Times New Roman" w:eastAsia="Aptos" w:hAnsi="Times New Roman" w:cs="Times New Roman"/>
          <w:color w:val="242423"/>
          <w:kern w:val="2"/>
          <w:sz w:val="32"/>
          <w:szCs w:val="32"/>
          <w:shd w:val="clear" w:color="auto" w:fill="FFFFFF"/>
          <w14:ligatures w14:val="standardContextual"/>
        </w:rPr>
      </w:pPr>
      <w:r w:rsidRPr="00877DE5">
        <w:rPr>
          <w:rFonts w:ascii="Times New Roman" w:eastAsia="Aptos" w:hAnsi="Times New Roman" w:cs="Times New Roman"/>
          <w:color w:val="000000"/>
          <w:kern w:val="2"/>
          <w:sz w:val="32"/>
          <w:szCs w:val="32"/>
          <w14:ligatures w14:val="standardContextual"/>
        </w:rPr>
        <w:t xml:space="preserve">Исходя из данных таблицы 3, можно сделать вывод о том, что </w:t>
      </w:r>
      <w:r w:rsidRPr="00877DE5">
        <w:rPr>
          <w:rFonts w:ascii="Times New Roman" w:eastAsia="Aptos" w:hAnsi="Times New Roman" w:cs="Times New Roman"/>
          <w:color w:val="000000"/>
          <w:kern w:val="2"/>
          <w:sz w:val="32"/>
          <w:szCs w:val="32"/>
          <w:shd w:val="clear" w:color="auto" w:fill="FFFFFF"/>
          <w14:ligatures w14:val="standardContextual"/>
        </w:rPr>
        <w:t xml:space="preserve">по объему доходов бюджета лидируют Москва, Санкт-Петербург, Московская область, Краснодарский край и Свердловская область. </w:t>
      </w:r>
      <w:r w:rsidRPr="00877DE5">
        <w:rPr>
          <w:rFonts w:ascii="Times New Roman" w:eastAsia="Aptos" w:hAnsi="Times New Roman" w:cs="Times New Roman"/>
          <w:color w:val="242423"/>
          <w:kern w:val="2"/>
          <w:sz w:val="32"/>
          <w:szCs w:val="32"/>
          <w:shd w:val="clear" w:color="auto" w:fill="FFFFFF"/>
          <w14:ligatures w14:val="standardContextual"/>
        </w:rPr>
        <w:t>Расходы региональных бюджетов в 2024 году росли более опережающими темпами, чем доходы.</w:t>
      </w:r>
    </w:p>
    <w:p w14:paraId="5D9040B1" w14:textId="77777777" w:rsidR="00877DE5" w:rsidRPr="00877DE5" w:rsidRDefault="00877DE5" w:rsidP="0007694F">
      <w:pPr>
        <w:spacing w:after="0" w:line="240" w:lineRule="auto"/>
        <w:jc w:val="both"/>
        <w:rPr>
          <w:rFonts w:ascii="Times New Roman" w:eastAsia="Aptos" w:hAnsi="Times New Roman" w:cs="Times New Roman"/>
          <w:color w:val="242423"/>
          <w:kern w:val="2"/>
          <w:sz w:val="32"/>
          <w:szCs w:val="32"/>
          <w:shd w:val="clear" w:color="auto" w:fill="FFFFFF"/>
          <w14:ligatures w14:val="standardContextual"/>
        </w:rPr>
      </w:pPr>
      <w:r w:rsidRPr="00877DE5">
        <w:rPr>
          <w:rFonts w:ascii="Times New Roman" w:eastAsia="Aptos" w:hAnsi="Times New Roman" w:cs="Times New Roman"/>
          <w:color w:val="242423"/>
          <w:kern w:val="2"/>
          <w:sz w:val="32"/>
          <w:szCs w:val="32"/>
          <w:shd w:val="clear" w:color="auto" w:fill="FFFFFF"/>
          <w14:ligatures w14:val="standardContextual"/>
        </w:rPr>
        <w:t>Основные статьи доходов в субъектах РФ за 2024 год [4]:</w:t>
      </w:r>
    </w:p>
    <w:p w14:paraId="020EBFFD" w14:textId="77777777" w:rsidR="00877DE5" w:rsidRPr="00877DE5" w:rsidRDefault="00877DE5" w:rsidP="0007694F">
      <w:pPr>
        <w:spacing w:after="0" w:line="240" w:lineRule="auto"/>
        <w:ind w:firstLine="708"/>
        <w:jc w:val="both"/>
        <w:rPr>
          <w:rFonts w:ascii="Times New Roman" w:eastAsia="Aptos" w:hAnsi="Times New Roman" w:cs="Times New Roman"/>
          <w:color w:val="242423"/>
          <w:kern w:val="2"/>
          <w:sz w:val="32"/>
          <w:szCs w:val="32"/>
          <w:shd w:val="clear" w:color="auto" w:fill="FFFFFF"/>
          <w14:ligatures w14:val="standardContextual"/>
        </w:rPr>
      </w:pPr>
      <w:r w:rsidRPr="00877DE5">
        <w:rPr>
          <w:rFonts w:ascii="Times New Roman" w:eastAsia="Aptos" w:hAnsi="Times New Roman" w:cs="Times New Roman"/>
          <w:color w:val="242423"/>
          <w:kern w:val="2"/>
          <w:sz w:val="32"/>
          <w:szCs w:val="32"/>
          <w:shd w:val="clear" w:color="auto" w:fill="FFFFFF"/>
          <w14:ligatures w14:val="standardContextual"/>
        </w:rPr>
        <w:t>Таблица 4 – Доходы в бюджет субъектов за 2024 г, млн. руб.</w:t>
      </w:r>
    </w:p>
    <w:tbl>
      <w:tblPr>
        <w:tblStyle w:val="15"/>
        <w:tblW w:w="9634" w:type="dxa"/>
        <w:tblLook w:val="04A0" w:firstRow="1" w:lastRow="0" w:firstColumn="1" w:lastColumn="0" w:noHBand="0" w:noVBand="1"/>
      </w:tblPr>
      <w:tblGrid>
        <w:gridCol w:w="2263"/>
        <w:gridCol w:w="2127"/>
        <w:gridCol w:w="1559"/>
        <w:gridCol w:w="2268"/>
        <w:gridCol w:w="1417"/>
      </w:tblGrid>
      <w:tr w:rsidR="00877DE5" w:rsidRPr="00877DE5" w14:paraId="1F5A99B3" w14:textId="77777777" w:rsidTr="00067100">
        <w:trPr>
          <w:trHeight w:val="579"/>
        </w:trPr>
        <w:tc>
          <w:tcPr>
            <w:tcW w:w="2263" w:type="dxa"/>
            <w:noWrap/>
            <w:hideMark/>
          </w:tcPr>
          <w:p w14:paraId="0AE7FFCA"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Наименование субъекта</w:t>
            </w:r>
          </w:p>
        </w:tc>
        <w:tc>
          <w:tcPr>
            <w:tcW w:w="2127" w:type="dxa"/>
            <w:hideMark/>
          </w:tcPr>
          <w:p w14:paraId="014CA8AE"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Налог на прибыль организаций</w:t>
            </w:r>
          </w:p>
        </w:tc>
        <w:tc>
          <w:tcPr>
            <w:tcW w:w="1559" w:type="dxa"/>
            <w:noWrap/>
            <w:hideMark/>
          </w:tcPr>
          <w:p w14:paraId="74EFB978"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НДФЛ</w:t>
            </w:r>
          </w:p>
        </w:tc>
        <w:tc>
          <w:tcPr>
            <w:tcW w:w="2268" w:type="dxa"/>
            <w:noWrap/>
            <w:hideMark/>
          </w:tcPr>
          <w:p w14:paraId="2BAB303A"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Налог на имущество организаций</w:t>
            </w:r>
          </w:p>
        </w:tc>
        <w:tc>
          <w:tcPr>
            <w:tcW w:w="1417" w:type="dxa"/>
            <w:noWrap/>
            <w:hideMark/>
          </w:tcPr>
          <w:p w14:paraId="6165F450"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Акцизы</w:t>
            </w:r>
          </w:p>
        </w:tc>
      </w:tr>
      <w:tr w:rsidR="00877DE5" w:rsidRPr="00877DE5" w14:paraId="49917479" w14:textId="77777777" w:rsidTr="00067100">
        <w:trPr>
          <w:trHeight w:val="406"/>
        </w:trPr>
        <w:tc>
          <w:tcPr>
            <w:tcW w:w="2263" w:type="dxa"/>
            <w:noWrap/>
            <w:hideMark/>
          </w:tcPr>
          <w:p w14:paraId="71C72C6F"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lastRenderedPageBreak/>
              <w:t>г. Москва</w:t>
            </w:r>
          </w:p>
        </w:tc>
        <w:tc>
          <w:tcPr>
            <w:tcW w:w="2127" w:type="dxa"/>
            <w:noWrap/>
            <w:hideMark/>
          </w:tcPr>
          <w:p w14:paraId="01009850"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1 599 242,90</w:t>
            </w:r>
          </w:p>
        </w:tc>
        <w:tc>
          <w:tcPr>
            <w:tcW w:w="1559" w:type="dxa"/>
            <w:noWrap/>
            <w:hideMark/>
          </w:tcPr>
          <w:p w14:paraId="0EDFDD74"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Aptos" w:hAnsi="Times New Roman" w:cs="Times New Roman"/>
                <w:color w:val="000000"/>
              </w:rPr>
              <w:t>2 209 490,50</w:t>
            </w:r>
          </w:p>
        </w:tc>
        <w:tc>
          <w:tcPr>
            <w:tcW w:w="2268" w:type="dxa"/>
            <w:noWrap/>
            <w:hideMark/>
          </w:tcPr>
          <w:p w14:paraId="3D3F5AF2"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206 934,20</w:t>
            </w:r>
          </w:p>
        </w:tc>
        <w:tc>
          <w:tcPr>
            <w:tcW w:w="1417" w:type="dxa"/>
            <w:noWrap/>
            <w:hideMark/>
          </w:tcPr>
          <w:p w14:paraId="4290D6E9"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63 927,00</w:t>
            </w:r>
          </w:p>
        </w:tc>
      </w:tr>
      <w:tr w:rsidR="00877DE5" w:rsidRPr="00877DE5" w14:paraId="4DE9C9E0" w14:textId="77777777" w:rsidTr="00067100">
        <w:trPr>
          <w:trHeight w:val="554"/>
        </w:trPr>
        <w:tc>
          <w:tcPr>
            <w:tcW w:w="2263" w:type="dxa"/>
            <w:noWrap/>
            <w:hideMark/>
          </w:tcPr>
          <w:p w14:paraId="6C2E18E6"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Московская область</w:t>
            </w:r>
          </w:p>
        </w:tc>
        <w:tc>
          <w:tcPr>
            <w:tcW w:w="2127" w:type="dxa"/>
            <w:noWrap/>
            <w:hideMark/>
          </w:tcPr>
          <w:p w14:paraId="3F7E32AE"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372 823,30</w:t>
            </w:r>
          </w:p>
        </w:tc>
        <w:tc>
          <w:tcPr>
            <w:tcW w:w="1559" w:type="dxa"/>
            <w:noWrap/>
            <w:hideMark/>
          </w:tcPr>
          <w:p w14:paraId="676B1241"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Aptos" w:hAnsi="Times New Roman" w:cs="Times New Roman"/>
                <w:color w:val="000000"/>
              </w:rPr>
              <w:t>548 166,80</w:t>
            </w:r>
          </w:p>
        </w:tc>
        <w:tc>
          <w:tcPr>
            <w:tcW w:w="2268" w:type="dxa"/>
            <w:noWrap/>
            <w:hideMark/>
          </w:tcPr>
          <w:p w14:paraId="11A827AD"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60 559,00</w:t>
            </w:r>
          </w:p>
        </w:tc>
        <w:tc>
          <w:tcPr>
            <w:tcW w:w="1417" w:type="dxa"/>
            <w:noWrap/>
            <w:hideMark/>
          </w:tcPr>
          <w:p w14:paraId="7B06C613"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72 078,70</w:t>
            </w:r>
          </w:p>
        </w:tc>
      </w:tr>
      <w:tr w:rsidR="00877DE5" w:rsidRPr="00877DE5" w14:paraId="78742F98" w14:textId="77777777" w:rsidTr="00067100">
        <w:trPr>
          <w:trHeight w:val="554"/>
        </w:trPr>
        <w:tc>
          <w:tcPr>
            <w:tcW w:w="2263" w:type="dxa"/>
            <w:noWrap/>
          </w:tcPr>
          <w:p w14:paraId="1CF283B3"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г. Санкт-Петербург</w:t>
            </w:r>
          </w:p>
        </w:tc>
        <w:tc>
          <w:tcPr>
            <w:tcW w:w="2127" w:type="dxa"/>
            <w:noWrap/>
          </w:tcPr>
          <w:p w14:paraId="1EB31E08"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372 185,50</w:t>
            </w:r>
          </w:p>
        </w:tc>
        <w:tc>
          <w:tcPr>
            <w:tcW w:w="1559" w:type="dxa"/>
            <w:noWrap/>
          </w:tcPr>
          <w:p w14:paraId="5893CEA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562 326,60</w:t>
            </w:r>
          </w:p>
        </w:tc>
        <w:tc>
          <w:tcPr>
            <w:tcW w:w="2268" w:type="dxa"/>
            <w:noWrap/>
          </w:tcPr>
          <w:p w14:paraId="396AD965"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58 364,70</w:t>
            </w:r>
          </w:p>
        </w:tc>
        <w:tc>
          <w:tcPr>
            <w:tcW w:w="1417" w:type="dxa"/>
            <w:noWrap/>
          </w:tcPr>
          <w:p w14:paraId="5322C88A"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42 958,60</w:t>
            </w:r>
          </w:p>
        </w:tc>
      </w:tr>
      <w:tr w:rsidR="00877DE5" w:rsidRPr="00877DE5" w14:paraId="4DBC1E28" w14:textId="77777777" w:rsidTr="00067100">
        <w:trPr>
          <w:trHeight w:val="406"/>
        </w:trPr>
        <w:tc>
          <w:tcPr>
            <w:tcW w:w="2263" w:type="dxa"/>
            <w:noWrap/>
          </w:tcPr>
          <w:p w14:paraId="1C52D5C7"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Свердловская область</w:t>
            </w:r>
          </w:p>
        </w:tc>
        <w:tc>
          <w:tcPr>
            <w:tcW w:w="2127" w:type="dxa"/>
            <w:noWrap/>
          </w:tcPr>
          <w:p w14:paraId="30DFFB00"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156 966,20</w:t>
            </w:r>
          </w:p>
        </w:tc>
        <w:tc>
          <w:tcPr>
            <w:tcW w:w="1559" w:type="dxa"/>
            <w:noWrap/>
          </w:tcPr>
          <w:p w14:paraId="1BAD025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218 479,90</w:t>
            </w:r>
          </w:p>
        </w:tc>
        <w:tc>
          <w:tcPr>
            <w:tcW w:w="2268" w:type="dxa"/>
            <w:noWrap/>
          </w:tcPr>
          <w:p w14:paraId="573EDD07"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29 973,20</w:t>
            </w:r>
          </w:p>
        </w:tc>
        <w:tc>
          <w:tcPr>
            <w:tcW w:w="1417" w:type="dxa"/>
            <w:noWrap/>
          </w:tcPr>
          <w:p w14:paraId="21B23C32"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38 970,30</w:t>
            </w:r>
          </w:p>
        </w:tc>
      </w:tr>
      <w:tr w:rsidR="00877DE5" w:rsidRPr="00877DE5" w14:paraId="20A5D04C" w14:textId="77777777" w:rsidTr="00067100">
        <w:trPr>
          <w:trHeight w:val="367"/>
        </w:trPr>
        <w:tc>
          <w:tcPr>
            <w:tcW w:w="2263" w:type="dxa"/>
            <w:noWrap/>
          </w:tcPr>
          <w:p w14:paraId="44DDD61F" w14:textId="77777777" w:rsidR="00877DE5" w:rsidRPr="00877DE5" w:rsidRDefault="00877DE5" w:rsidP="0007694F">
            <w:pPr>
              <w:spacing w:line="278" w:lineRule="auto"/>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Краснодарский край</w:t>
            </w:r>
          </w:p>
        </w:tc>
        <w:tc>
          <w:tcPr>
            <w:tcW w:w="2127" w:type="dxa"/>
            <w:noWrap/>
          </w:tcPr>
          <w:p w14:paraId="0D6C4B31"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127 217,90</w:t>
            </w:r>
          </w:p>
        </w:tc>
        <w:tc>
          <w:tcPr>
            <w:tcW w:w="1559" w:type="dxa"/>
            <w:noWrap/>
          </w:tcPr>
          <w:p w14:paraId="0E8D47CF"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192 440,50</w:t>
            </w:r>
          </w:p>
        </w:tc>
        <w:tc>
          <w:tcPr>
            <w:tcW w:w="2268" w:type="dxa"/>
            <w:noWrap/>
          </w:tcPr>
          <w:p w14:paraId="5D087BBB" w14:textId="77777777" w:rsidR="00877DE5" w:rsidRPr="00877DE5" w:rsidRDefault="00877DE5" w:rsidP="0007694F">
            <w:pPr>
              <w:spacing w:line="278" w:lineRule="auto"/>
              <w:jc w:val="center"/>
              <w:rPr>
                <w:rFonts w:ascii="Times New Roman" w:eastAsia="Times New Roman" w:hAnsi="Times New Roman" w:cs="Times New Roman"/>
                <w:color w:val="000000"/>
                <w:lang w:eastAsia="ru-RU"/>
              </w:rPr>
            </w:pPr>
            <w:r w:rsidRPr="00877DE5">
              <w:rPr>
                <w:rFonts w:ascii="Times New Roman" w:eastAsia="Times New Roman" w:hAnsi="Times New Roman" w:cs="Times New Roman"/>
                <w:color w:val="000000"/>
                <w:lang w:eastAsia="ru-RU"/>
              </w:rPr>
              <w:t>47 328,90</w:t>
            </w:r>
          </w:p>
        </w:tc>
        <w:tc>
          <w:tcPr>
            <w:tcW w:w="1417" w:type="dxa"/>
            <w:noWrap/>
          </w:tcPr>
          <w:p w14:paraId="297FA33B"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46 914,70</w:t>
            </w:r>
          </w:p>
        </w:tc>
      </w:tr>
    </w:tbl>
    <w:p w14:paraId="1434C07D" w14:textId="77777777" w:rsidR="00877DE5" w:rsidRPr="00877DE5" w:rsidRDefault="00877DE5" w:rsidP="0007694F">
      <w:pPr>
        <w:spacing w:after="0" w:line="240" w:lineRule="auto"/>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242423"/>
          <w:kern w:val="2"/>
          <w:sz w:val="32"/>
          <w:szCs w:val="32"/>
          <w:shd w:val="clear" w:color="auto" w:fill="FFFFFF"/>
          <w14:ligatures w14:val="standardContextual"/>
        </w:rPr>
        <w:t xml:space="preserve"> </w:t>
      </w:r>
    </w:p>
    <w:p w14:paraId="46C93CD3" w14:textId="77777777" w:rsidR="00877DE5" w:rsidRPr="00877DE5" w:rsidRDefault="00877DE5" w:rsidP="007C03EB">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Сложности региональных финансов усугубляются высокой чувствительностью к макроэкономическим колебаниям. Инфляционное давление, замедление промышленного производства и падение потребительской активности в посткризисный период снизили поступления по основным налоговым статьям — налогу на прибыль, НДФЛ и акцизам. В результате регионы оказались ограничены в реализации инвестиционных программ и социальной поддержки населения.</w:t>
      </w:r>
    </w:p>
    <w:p w14:paraId="312F3415"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Финансовая устойчивость региональных бюджетов находится в центре внимания как государственных органов, так и аналитических структур, включая рейтинговые агентства, а также российских и зарубежных исследователей. Их цель — анализ и оценка возможных рисков и угроз, влияющих на экономическую безопасность субъектов РФ. </w:t>
      </w:r>
    </w:p>
    <w:p w14:paraId="7AEDE3C4"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Финансовая устойчивость регионального бюджета в значительной степени зависит от эффективности реализуемых инструментов бюджетного планирования, рационального распределения бюджетных ресурсов, а также от качества управления бюджетными потоками и обязательствами по долгам [2].</w:t>
      </w:r>
    </w:p>
    <w:p w14:paraId="1347C3C0"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В ряде субъектов наблюдается недостаточная прозрачность и целевая направленность использования бюджетных средств. Это снижает отдачу от государственных вложений и провоцирует рост дефицита бюджета. Зависимость от федеральных трансфертов. </w:t>
      </w:r>
    </w:p>
    <w:p w14:paraId="432D65CE"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Отсутствие долгосрочного бюджетного планирования — в условиях высокой неопределённости и краткосрочных политико-экономических приоритетов долгосрочные стратегии регионального развития остаются слабо проработанными, что мешает формированию устойчивой финансовой политики на местах.</w:t>
      </w:r>
    </w:p>
    <w:p w14:paraId="3FA76D7F"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Ключевые причины бюджетных дисбалансов в регионах Российской Федерации связаны с фискальной централизацией, </w:t>
      </w:r>
      <w:r w:rsidRPr="00877DE5">
        <w:rPr>
          <w:rFonts w:ascii="Times New Roman" w:eastAsia="Aptos" w:hAnsi="Times New Roman" w:cs="Times New Roman"/>
          <w:color w:val="000000"/>
          <w:kern w:val="2"/>
          <w:sz w:val="32"/>
          <w:szCs w:val="32"/>
          <w14:ligatures w14:val="standardContextual"/>
        </w:rPr>
        <w:lastRenderedPageBreak/>
        <w:t>экономическим неравенством между субъектами, неэффективностью расходной политики и слабостью стратегического управления.</w:t>
      </w:r>
    </w:p>
    <w:p w14:paraId="15207CED"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В 2024 году федеральная бюджетная политика Российской Федерации оказала значительное влияние на финансовое состояние регионов. Несмотря на общую тенденцию к росту доходов, наблюдалась разнонаправленность в динамике бюджетов субъектов РФ [2, с. 1–5].</w:t>
      </w:r>
    </w:p>
    <w:p w14:paraId="1A655722"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Федеральный бюджет на 2024 год был сформирован с дефицитом в 1,6 трлн рублей, что составляет 0,8% ВВП. Это обусловлено снижением темпов роста налоговых поступлений и увеличением расходов на социальные обязательства и инфраструктурные проекты [3].</w:t>
      </w:r>
    </w:p>
    <w:p w14:paraId="3CCC6E52"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В рамках межбюджетных отношений были предприняты меры по поддержке регионов. </w:t>
      </w:r>
    </w:p>
    <w:p w14:paraId="09B117C2"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Налоговые поступления от новых направлений деятельности, развиваемых в рамках создаваемой инфраструктуры, будут способствовать оптимизации структуры межбюджетных трансфертов, повышению эффективности финансовых отношений между уровнями власти и сокращению долговой нагрузки регионов.</w:t>
      </w:r>
    </w:p>
    <w:p w14:paraId="69E92A64"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Разработка и внедрение новых механизмов, направленных на повышение эффективности функционирования региональных экономик и рост инвестиционной привлекательности субъектов Российской Федерации.</w:t>
      </w:r>
    </w:p>
    <w:p w14:paraId="310C3205"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Стимулирование регионов к выполнению установленных задач и достижению целевых показателей, предусмотренных в рамках реализации национальных проектов, с использованием предоставленных межбюджетных трансфертов [4].</w:t>
      </w:r>
    </w:p>
    <w:p w14:paraId="3BE7AEAD"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В 2024 году объем дотаций на выравнивание бюджетной обеспеченности субъектов Российской Федерации составил </w:t>
      </w:r>
      <w:r w:rsidRPr="00877DE5">
        <w:rPr>
          <w:rFonts w:ascii="Times New Roman" w:eastAsia="Aptos" w:hAnsi="Times New Roman" w:cs="Times New Roman"/>
          <w:color w:val="000000"/>
          <w:kern w:val="2"/>
          <w:sz w:val="32"/>
          <w:szCs w:val="32"/>
          <w:shd w:val="clear" w:color="auto" w:fill="FFFFFF"/>
          <w14:ligatures w14:val="standardContextual"/>
        </w:rPr>
        <w:t>1 035 811, 65 млн</w:t>
      </w:r>
      <w:r w:rsidRPr="00877DE5">
        <w:rPr>
          <w:rFonts w:ascii="Times New Roman" w:eastAsia="Aptos" w:hAnsi="Times New Roman" w:cs="Times New Roman"/>
          <w:color w:val="000000"/>
          <w:kern w:val="2"/>
          <w:sz w:val="32"/>
          <w:szCs w:val="32"/>
          <w14:ligatures w14:val="standardContextual"/>
        </w:rPr>
        <w:t xml:space="preserve"> рублей, что на 35 млрд рублей больше по сравнению с 2023 годом. Данный рост обусловлен необходимостью сокращения различий в уровнях бюджетной обеспеченности регионов. В 2025 году планируется дальнейшее увеличение объема дотаций до </w:t>
      </w:r>
      <w:r w:rsidRPr="00877DE5">
        <w:rPr>
          <w:rFonts w:ascii="Times New Roman" w:eastAsia="Aptos" w:hAnsi="Times New Roman" w:cs="Times New Roman"/>
          <w:color w:val="000000"/>
          <w:kern w:val="2"/>
          <w:sz w:val="32"/>
          <w:szCs w:val="32"/>
          <w:shd w:val="clear" w:color="auto" w:fill="FFFFFF"/>
          <w14:ligatures w14:val="standardContextual"/>
        </w:rPr>
        <w:t>1 049 661,43</w:t>
      </w:r>
      <w:r w:rsidRPr="00877DE5">
        <w:rPr>
          <w:rFonts w:ascii="Times New Roman" w:eastAsia="Aptos" w:hAnsi="Times New Roman" w:cs="Times New Roman"/>
          <w:color w:val="000000"/>
          <w:kern w:val="2"/>
          <w:sz w:val="32"/>
          <w:szCs w:val="32"/>
          <w14:ligatures w14:val="standardContextual"/>
        </w:rPr>
        <w:t xml:space="preserve"> млн рублей ежегодно на период 2025 – 2027 годов [1].</w:t>
      </w:r>
    </w:p>
    <w:p w14:paraId="4224F9EA"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Распределение дотаций по некоторым регионам в 2024 и 2025 годах представлено в таблице ниже:</w:t>
      </w:r>
    </w:p>
    <w:p w14:paraId="1F946266" w14:textId="77777777" w:rsidR="00877DE5" w:rsidRPr="00877DE5" w:rsidRDefault="00877DE5" w:rsidP="0007694F">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Таблица 5 – Дотации субъектов РФ на 2024 – 2025 гг., млн. руб.</w:t>
      </w:r>
    </w:p>
    <w:tbl>
      <w:tblPr>
        <w:tblStyle w:val="15"/>
        <w:tblW w:w="0" w:type="auto"/>
        <w:tblLook w:val="04A0" w:firstRow="1" w:lastRow="0" w:firstColumn="1" w:lastColumn="0" w:noHBand="0" w:noVBand="1"/>
      </w:tblPr>
      <w:tblGrid>
        <w:gridCol w:w="540"/>
        <w:gridCol w:w="12"/>
        <w:gridCol w:w="3196"/>
        <w:gridCol w:w="3079"/>
        <w:gridCol w:w="2518"/>
      </w:tblGrid>
      <w:tr w:rsidR="00877DE5" w:rsidRPr="00877DE5" w14:paraId="3C037868" w14:textId="77777777" w:rsidTr="00067100">
        <w:tc>
          <w:tcPr>
            <w:tcW w:w="540" w:type="dxa"/>
            <w:vMerge w:val="restart"/>
          </w:tcPr>
          <w:p w14:paraId="1A8F951C"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 п/п</w:t>
            </w:r>
          </w:p>
        </w:tc>
        <w:tc>
          <w:tcPr>
            <w:tcW w:w="3208" w:type="dxa"/>
            <w:gridSpan w:val="2"/>
            <w:vMerge w:val="restart"/>
          </w:tcPr>
          <w:p w14:paraId="1158138A"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Субъект РФ</w:t>
            </w:r>
          </w:p>
        </w:tc>
        <w:tc>
          <w:tcPr>
            <w:tcW w:w="5597" w:type="dxa"/>
            <w:gridSpan w:val="2"/>
          </w:tcPr>
          <w:p w14:paraId="7AF249B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Дотации</w:t>
            </w:r>
          </w:p>
        </w:tc>
      </w:tr>
      <w:tr w:rsidR="00877DE5" w:rsidRPr="00877DE5" w14:paraId="4E5EF92A" w14:textId="77777777" w:rsidTr="00067100">
        <w:tc>
          <w:tcPr>
            <w:tcW w:w="540" w:type="dxa"/>
            <w:vMerge/>
          </w:tcPr>
          <w:p w14:paraId="6C2EEFCA" w14:textId="77777777" w:rsidR="00877DE5" w:rsidRPr="00877DE5" w:rsidRDefault="00877DE5" w:rsidP="0007694F">
            <w:pPr>
              <w:spacing w:line="278" w:lineRule="auto"/>
              <w:jc w:val="center"/>
              <w:rPr>
                <w:rFonts w:ascii="Times New Roman" w:eastAsia="Aptos" w:hAnsi="Times New Roman" w:cs="Times New Roman"/>
                <w:color w:val="000000"/>
              </w:rPr>
            </w:pPr>
          </w:p>
        </w:tc>
        <w:tc>
          <w:tcPr>
            <w:tcW w:w="3208" w:type="dxa"/>
            <w:gridSpan w:val="2"/>
            <w:vMerge/>
          </w:tcPr>
          <w:p w14:paraId="5FB2198F" w14:textId="77777777" w:rsidR="00877DE5" w:rsidRPr="00877DE5" w:rsidRDefault="00877DE5" w:rsidP="0007694F">
            <w:pPr>
              <w:spacing w:line="278" w:lineRule="auto"/>
              <w:jc w:val="center"/>
              <w:rPr>
                <w:rFonts w:ascii="Times New Roman" w:eastAsia="Aptos" w:hAnsi="Times New Roman" w:cs="Times New Roman"/>
                <w:color w:val="000000"/>
              </w:rPr>
            </w:pPr>
          </w:p>
        </w:tc>
        <w:tc>
          <w:tcPr>
            <w:tcW w:w="3079" w:type="dxa"/>
          </w:tcPr>
          <w:p w14:paraId="4E8B627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2024 г</w:t>
            </w:r>
          </w:p>
        </w:tc>
        <w:tc>
          <w:tcPr>
            <w:tcW w:w="2518" w:type="dxa"/>
          </w:tcPr>
          <w:p w14:paraId="544DF93A"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2025 г</w:t>
            </w:r>
          </w:p>
        </w:tc>
      </w:tr>
      <w:tr w:rsidR="00877DE5" w:rsidRPr="00877DE5" w14:paraId="54A87622" w14:textId="77777777" w:rsidTr="00067100">
        <w:tc>
          <w:tcPr>
            <w:tcW w:w="540" w:type="dxa"/>
          </w:tcPr>
          <w:p w14:paraId="2C89AAF5"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lastRenderedPageBreak/>
              <w:t>1</w:t>
            </w:r>
          </w:p>
        </w:tc>
        <w:tc>
          <w:tcPr>
            <w:tcW w:w="3208" w:type="dxa"/>
            <w:gridSpan w:val="2"/>
          </w:tcPr>
          <w:p w14:paraId="387045A8"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Омская область</w:t>
            </w:r>
          </w:p>
        </w:tc>
        <w:tc>
          <w:tcPr>
            <w:tcW w:w="3079" w:type="dxa"/>
          </w:tcPr>
          <w:p w14:paraId="462D10E7"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15 077,40</w:t>
            </w:r>
          </w:p>
        </w:tc>
        <w:tc>
          <w:tcPr>
            <w:tcW w:w="2518" w:type="dxa"/>
          </w:tcPr>
          <w:p w14:paraId="49EE43B6"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8 442,01</w:t>
            </w:r>
          </w:p>
        </w:tc>
      </w:tr>
      <w:tr w:rsidR="00877DE5" w:rsidRPr="00877DE5" w14:paraId="67D201CB" w14:textId="77777777" w:rsidTr="00067100">
        <w:tc>
          <w:tcPr>
            <w:tcW w:w="540" w:type="dxa"/>
          </w:tcPr>
          <w:p w14:paraId="5DC8C819"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2</w:t>
            </w:r>
          </w:p>
        </w:tc>
        <w:tc>
          <w:tcPr>
            <w:tcW w:w="3208" w:type="dxa"/>
            <w:gridSpan w:val="2"/>
          </w:tcPr>
          <w:p w14:paraId="7AB14770"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Тверская область</w:t>
            </w:r>
          </w:p>
        </w:tc>
        <w:tc>
          <w:tcPr>
            <w:tcW w:w="3079" w:type="dxa"/>
          </w:tcPr>
          <w:p w14:paraId="7E0E8427"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5 166,34</w:t>
            </w:r>
          </w:p>
        </w:tc>
        <w:tc>
          <w:tcPr>
            <w:tcW w:w="2518" w:type="dxa"/>
          </w:tcPr>
          <w:p w14:paraId="0DF0BEB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shd w:val="clear" w:color="auto" w:fill="FFFFFF"/>
              </w:rPr>
              <w:t>4 237,67</w:t>
            </w:r>
          </w:p>
        </w:tc>
      </w:tr>
      <w:tr w:rsidR="00877DE5" w:rsidRPr="00877DE5" w14:paraId="45AB3E35" w14:textId="77777777" w:rsidTr="00067100">
        <w:tc>
          <w:tcPr>
            <w:tcW w:w="540" w:type="dxa"/>
          </w:tcPr>
          <w:p w14:paraId="7E9BBE3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w:t>
            </w:r>
          </w:p>
        </w:tc>
        <w:tc>
          <w:tcPr>
            <w:tcW w:w="3208" w:type="dxa"/>
            <w:gridSpan w:val="2"/>
          </w:tcPr>
          <w:p w14:paraId="37DDD672"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Республика Дагестан</w:t>
            </w:r>
          </w:p>
        </w:tc>
        <w:tc>
          <w:tcPr>
            <w:tcW w:w="3079" w:type="dxa"/>
          </w:tcPr>
          <w:p w14:paraId="54789460"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96 225,10</w:t>
            </w:r>
          </w:p>
        </w:tc>
        <w:tc>
          <w:tcPr>
            <w:tcW w:w="2518" w:type="dxa"/>
          </w:tcPr>
          <w:p w14:paraId="30E11339"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69 161,79</w:t>
            </w:r>
          </w:p>
        </w:tc>
      </w:tr>
      <w:tr w:rsidR="00877DE5" w:rsidRPr="00877DE5" w14:paraId="367EF003" w14:textId="77777777" w:rsidTr="00067100">
        <w:tc>
          <w:tcPr>
            <w:tcW w:w="552" w:type="dxa"/>
            <w:gridSpan w:val="2"/>
          </w:tcPr>
          <w:p w14:paraId="557E628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4</w:t>
            </w:r>
          </w:p>
        </w:tc>
        <w:tc>
          <w:tcPr>
            <w:tcW w:w="3196" w:type="dxa"/>
          </w:tcPr>
          <w:p w14:paraId="6C97994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Краснодарский край</w:t>
            </w:r>
          </w:p>
        </w:tc>
        <w:tc>
          <w:tcPr>
            <w:tcW w:w="3079" w:type="dxa"/>
          </w:tcPr>
          <w:p w14:paraId="0EDF513F"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12 723,04</w:t>
            </w:r>
          </w:p>
        </w:tc>
        <w:tc>
          <w:tcPr>
            <w:tcW w:w="2518" w:type="dxa"/>
          </w:tcPr>
          <w:p w14:paraId="283C9077"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11 096 48</w:t>
            </w:r>
          </w:p>
        </w:tc>
      </w:tr>
      <w:tr w:rsidR="00877DE5" w:rsidRPr="00877DE5" w14:paraId="2C33A859" w14:textId="77777777" w:rsidTr="00067100">
        <w:tc>
          <w:tcPr>
            <w:tcW w:w="552" w:type="dxa"/>
            <w:gridSpan w:val="2"/>
          </w:tcPr>
          <w:p w14:paraId="3ECA6135"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5</w:t>
            </w:r>
          </w:p>
        </w:tc>
        <w:tc>
          <w:tcPr>
            <w:tcW w:w="3196" w:type="dxa"/>
          </w:tcPr>
          <w:p w14:paraId="74FFF7F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Республика Бурятия</w:t>
            </w:r>
          </w:p>
        </w:tc>
        <w:tc>
          <w:tcPr>
            <w:tcW w:w="3079" w:type="dxa"/>
          </w:tcPr>
          <w:p w14:paraId="1AD94E3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28 162,10</w:t>
            </w:r>
          </w:p>
        </w:tc>
        <w:tc>
          <w:tcPr>
            <w:tcW w:w="2518" w:type="dxa"/>
          </w:tcPr>
          <w:p w14:paraId="1D99B14D"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20 241,54</w:t>
            </w:r>
          </w:p>
        </w:tc>
      </w:tr>
      <w:tr w:rsidR="00877DE5" w:rsidRPr="00877DE5" w14:paraId="474BF424" w14:textId="77777777" w:rsidTr="00067100">
        <w:tc>
          <w:tcPr>
            <w:tcW w:w="552" w:type="dxa"/>
            <w:gridSpan w:val="2"/>
          </w:tcPr>
          <w:p w14:paraId="54CE1BD9"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6</w:t>
            </w:r>
          </w:p>
        </w:tc>
        <w:tc>
          <w:tcPr>
            <w:tcW w:w="3196" w:type="dxa"/>
          </w:tcPr>
          <w:p w14:paraId="020F328C"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Республика Башкортостан</w:t>
            </w:r>
          </w:p>
        </w:tc>
        <w:tc>
          <w:tcPr>
            <w:tcW w:w="3079" w:type="dxa"/>
          </w:tcPr>
          <w:p w14:paraId="1C12C8C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24 753,80</w:t>
            </w:r>
          </w:p>
        </w:tc>
        <w:tc>
          <w:tcPr>
            <w:tcW w:w="2518" w:type="dxa"/>
          </w:tcPr>
          <w:p w14:paraId="17AC47D2"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17 791,81</w:t>
            </w:r>
          </w:p>
        </w:tc>
      </w:tr>
      <w:tr w:rsidR="00877DE5" w:rsidRPr="00877DE5" w14:paraId="3F2432BC" w14:textId="77777777" w:rsidTr="00067100">
        <w:tc>
          <w:tcPr>
            <w:tcW w:w="552" w:type="dxa"/>
            <w:gridSpan w:val="2"/>
          </w:tcPr>
          <w:p w14:paraId="47E1F367"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7</w:t>
            </w:r>
          </w:p>
        </w:tc>
        <w:tc>
          <w:tcPr>
            <w:tcW w:w="3196" w:type="dxa"/>
          </w:tcPr>
          <w:p w14:paraId="42438697"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Республика Алтай</w:t>
            </w:r>
          </w:p>
        </w:tc>
        <w:tc>
          <w:tcPr>
            <w:tcW w:w="3079" w:type="dxa"/>
          </w:tcPr>
          <w:p w14:paraId="338F3655"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12 644,20</w:t>
            </w:r>
          </w:p>
        </w:tc>
        <w:tc>
          <w:tcPr>
            <w:tcW w:w="2518" w:type="dxa"/>
          </w:tcPr>
          <w:p w14:paraId="18242ECD"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9 087,98</w:t>
            </w:r>
          </w:p>
        </w:tc>
      </w:tr>
      <w:tr w:rsidR="00877DE5" w:rsidRPr="00877DE5" w14:paraId="7A626202" w14:textId="77777777" w:rsidTr="00067100">
        <w:tc>
          <w:tcPr>
            <w:tcW w:w="552" w:type="dxa"/>
            <w:gridSpan w:val="2"/>
          </w:tcPr>
          <w:p w14:paraId="6ABB1BFA"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8</w:t>
            </w:r>
          </w:p>
        </w:tc>
        <w:tc>
          <w:tcPr>
            <w:tcW w:w="3196" w:type="dxa"/>
          </w:tcPr>
          <w:p w14:paraId="272D432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Республика Адыгея</w:t>
            </w:r>
          </w:p>
        </w:tc>
        <w:tc>
          <w:tcPr>
            <w:tcW w:w="3079" w:type="dxa"/>
          </w:tcPr>
          <w:p w14:paraId="0E76EAC5"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6740,70</w:t>
            </w:r>
          </w:p>
        </w:tc>
        <w:tc>
          <w:tcPr>
            <w:tcW w:w="2518" w:type="dxa"/>
          </w:tcPr>
          <w:p w14:paraId="03193DBE"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4 844,88</w:t>
            </w:r>
          </w:p>
        </w:tc>
      </w:tr>
      <w:tr w:rsidR="00877DE5" w:rsidRPr="00877DE5" w14:paraId="2D68F022" w14:textId="77777777" w:rsidTr="00067100">
        <w:tc>
          <w:tcPr>
            <w:tcW w:w="552" w:type="dxa"/>
            <w:gridSpan w:val="2"/>
          </w:tcPr>
          <w:p w14:paraId="2B56EB94"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w:t>
            </w:r>
          </w:p>
        </w:tc>
        <w:tc>
          <w:tcPr>
            <w:tcW w:w="3196" w:type="dxa"/>
          </w:tcPr>
          <w:p w14:paraId="4098591E"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Волгоградская область</w:t>
            </w:r>
          </w:p>
        </w:tc>
        <w:tc>
          <w:tcPr>
            <w:tcW w:w="3079" w:type="dxa"/>
          </w:tcPr>
          <w:p w14:paraId="2F9FB143"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15 350,74</w:t>
            </w:r>
          </w:p>
        </w:tc>
        <w:tc>
          <w:tcPr>
            <w:tcW w:w="2518" w:type="dxa"/>
          </w:tcPr>
          <w:p w14:paraId="1C601742"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9 392,16</w:t>
            </w:r>
          </w:p>
        </w:tc>
      </w:tr>
      <w:tr w:rsidR="00877DE5" w:rsidRPr="00877DE5" w14:paraId="7407804B" w14:textId="77777777" w:rsidTr="00067100">
        <w:tc>
          <w:tcPr>
            <w:tcW w:w="552" w:type="dxa"/>
            <w:gridSpan w:val="2"/>
          </w:tcPr>
          <w:p w14:paraId="2DD101D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10</w:t>
            </w:r>
          </w:p>
        </w:tc>
        <w:tc>
          <w:tcPr>
            <w:tcW w:w="3196" w:type="dxa"/>
          </w:tcPr>
          <w:p w14:paraId="463FBB57"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Ростовская область</w:t>
            </w:r>
          </w:p>
        </w:tc>
        <w:tc>
          <w:tcPr>
            <w:tcW w:w="3079" w:type="dxa"/>
          </w:tcPr>
          <w:p w14:paraId="1602E195"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18 938,19</w:t>
            </w:r>
          </w:p>
        </w:tc>
        <w:tc>
          <w:tcPr>
            <w:tcW w:w="2518" w:type="dxa"/>
          </w:tcPr>
          <w:p w14:paraId="0794D6F7" w14:textId="77777777" w:rsidR="00877DE5" w:rsidRPr="00877DE5" w:rsidRDefault="00877DE5" w:rsidP="0007694F">
            <w:pPr>
              <w:spacing w:line="278" w:lineRule="auto"/>
              <w:jc w:val="center"/>
              <w:rPr>
                <w:rFonts w:ascii="Times New Roman" w:eastAsia="Aptos" w:hAnsi="Times New Roman" w:cs="Times New Roman"/>
                <w:color w:val="000000"/>
                <w:shd w:val="clear" w:color="auto" w:fill="FFFFFF"/>
              </w:rPr>
            </w:pPr>
            <w:r w:rsidRPr="00877DE5">
              <w:rPr>
                <w:rFonts w:ascii="Times New Roman" w:eastAsia="Aptos" w:hAnsi="Times New Roman" w:cs="Times New Roman"/>
                <w:color w:val="000000"/>
                <w:shd w:val="clear" w:color="auto" w:fill="FFFFFF"/>
              </w:rPr>
              <w:t>15 245,24</w:t>
            </w:r>
          </w:p>
        </w:tc>
      </w:tr>
    </w:tbl>
    <w:p w14:paraId="5ED1B0C9" w14:textId="77777777" w:rsidR="00877DE5" w:rsidRPr="00877DE5" w:rsidRDefault="00877DE5" w:rsidP="0007694F">
      <w:pPr>
        <w:spacing w:after="0" w:line="240" w:lineRule="auto"/>
        <w:rPr>
          <w:rFonts w:ascii="Times New Roman" w:eastAsia="Aptos" w:hAnsi="Times New Roman" w:cs="Times New Roman"/>
          <w:kern w:val="2"/>
          <w:sz w:val="32"/>
          <w:szCs w:val="32"/>
          <w14:ligatures w14:val="standardContextual"/>
        </w:rPr>
      </w:pPr>
    </w:p>
    <w:p w14:paraId="2D77EC75"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Помимо дотаций на выравнивание бюджетной обеспеченности, в 2024 году были предусмотрены следующие меры поддержки: </w:t>
      </w:r>
    </w:p>
    <w:p w14:paraId="6CB70B62"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Дотации на поддержку мер по обеспечению сбалансированности бюджетов субъектов РФ в размере 35,9 млрд рублей.</w:t>
      </w:r>
    </w:p>
    <w:p w14:paraId="453CA85C"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Дотации на частичную компенсацию выпадающих доходов бюджетов субъектов от применения инвестиционного налогового вычета в объеме 5 млрд рублей ежегодно.</w:t>
      </w:r>
    </w:p>
    <w:p w14:paraId="4313B1B4"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Проектом федерального бюджета о поддержке регионов бюджетные ассигнования на предоставление межбюджетных трансфертов предусмотрены в 2025 году в объеме 3 261,9 млрд рублей. Бюджетные ассигнования на предоставление межбюджетных трансфертов на реализацию национальных проектов предусмотрены в 2025 году в объеме 979,8 млрд рублей [1].</w:t>
      </w:r>
    </w:p>
    <w:p w14:paraId="65952FE3" w14:textId="77777777" w:rsidR="00877DE5" w:rsidRPr="00877DE5" w:rsidRDefault="00877DE5" w:rsidP="0007694F">
      <w:pPr>
        <w:spacing w:after="0" w:line="240" w:lineRule="auto"/>
        <w:ind w:firstLine="708"/>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Таблица 6 – Межбюджетные трансферты из Федерального бюджета бюджетам субъектов РФ на 2025 год, млрд. руб.</w:t>
      </w:r>
    </w:p>
    <w:tbl>
      <w:tblPr>
        <w:tblStyle w:val="15"/>
        <w:tblW w:w="0" w:type="auto"/>
        <w:tblLook w:val="04A0" w:firstRow="1" w:lastRow="0" w:firstColumn="1" w:lastColumn="0" w:noHBand="0" w:noVBand="1"/>
      </w:tblPr>
      <w:tblGrid>
        <w:gridCol w:w="5665"/>
        <w:gridCol w:w="2127"/>
        <w:gridCol w:w="1701"/>
      </w:tblGrid>
      <w:tr w:rsidR="00877DE5" w:rsidRPr="00877DE5" w14:paraId="253B3010" w14:textId="77777777" w:rsidTr="00067100">
        <w:tc>
          <w:tcPr>
            <w:tcW w:w="5665" w:type="dxa"/>
            <w:vMerge w:val="restart"/>
          </w:tcPr>
          <w:p w14:paraId="275B0E14"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 xml:space="preserve">Межбюджетные трансферты, всего </w:t>
            </w:r>
          </w:p>
        </w:tc>
        <w:tc>
          <w:tcPr>
            <w:tcW w:w="2127" w:type="dxa"/>
          </w:tcPr>
          <w:p w14:paraId="6B37DD58"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2024 г</w:t>
            </w:r>
          </w:p>
        </w:tc>
        <w:tc>
          <w:tcPr>
            <w:tcW w:w="1701" w:type="dxa"/>
          </w:tcPr>
          <w:p w14:paraId="59336F2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2025 г</w:t>
            </w:r>
          </w:p>
        </w:tc>
      </w:tr>
      <w:tr w:rsidR="00877DE5" w:rsidRPr="00877DE5" w14:paraId="680144CB" w14:textId="77777777" w:rsidTr="00067100">
        <w:tc>
          <w:tcPr>
            <w:tcW w:w="5665" w:type="dxa"/>
            <w:vMerge/>
          </w:tcPr>
          <w:p w14:paraId="6AAF9EF1" w14:textId="77777777" w:rsidR="00877DE5" w:rsidRPr="00877DE5" w:rsidRDefault="00877DE5" w:rsidP="0007694F">
            <w:pPr>
              <w:spacing w:line="278" w:lineRule="auto"/>
              <w:jc w:val="both"/>
              <w:rPr>
                <w:rFonts w:ascii="Times New Roman" w:eastAsia="Aptos" w:hAnsi="Times New Roman" w:cs="Times New Roman"/>
                <w:color w:val="000000"/>
              </w:rPr>
            </w:pPr>
          </w:p>
        </w:tc>
        <w:tc>
          <w:tcPr>
            <w:tcW w:w="2127" w:type="dxa"/>
          </w:tcPr>
          <w:p w14:paraId="6E71682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3 596,10</w:t>
            </w:r>
          </w:p>
        </w:tc>
        <w:tc>
          <w:tcPr>
            <w:tcW w:w="1701" w:type="dxa"/>
          </w:tcPr>
          <w:p w14:paraId="0FB6846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3 261,90</w:t>
            </w:r>
          </w:p>
        </w:tc>
      </w:tr>
      <w:tr w:rsidR="00877DE5" w:rsidRPr="00877DE5" w14:paraId="0EA82BFF" w14:textId="77777777" w:rsidTr="00067100">
        <w:tc>
          <w:tcPr>
            <w:tcW w:w="5665" w:type="dxa"/>
          </w:tcPr>
          <w:p w14:paraId="13B90B7F"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 реализацию проектов, в том числе:</w:t>
            </w:r>
          </w:p>
        </w:tc>
        <w:tc>
          <w:tcPr>
            <w:tcW w:w="2127" w:type="dxa"/>
          </w:tcPr>
          <w:p w14:paraId="3CFAC241"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939,00</w:t>
            </w:r>
          </w:p>
        </w:tc>
        <w:tc>
          <w:tcPr>
            <w:tcW w:w="1701" w:type="dxa"/>
          </w:tcPr>
          <w:p w14:paraId="7AFB1D8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979,90</w:t>
            </w:r>
          </w:p>
        </w:tc>
      </w:tr>
      <w:tr w:rsidR="00877DE5" w:rsidRPr="00877DE5" w14:paraId="7510B188" w14:textId="77777777" w:rsidTr="00067100">
        <w:tc>
          <w:tcPr>
            <w:tcW w:w="5665" w:type="dxa"/>
          </w:tcPr>
          <w:p w14:paraId="64AC7D6C"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Дотации</w:t>
            </w:r>
          </w:p>
        </w:tc>
        <w:tc>
          <w:tcPr>
            <w:tcW w:w="2127" w:type="dxa"/>
          </w:tcPr>
          <w:p w14:paraId="48548362"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1 304,80</w:t>
            </w:r>
          </w:p>
        </w:tc>
        <w:tc>
          <w:tcPr>
            <w:tcW w:w="1701" w:type="dxa"/>
          </w:tcPr>
          <w:p w14:paraId="6D4116B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1 279,20</w:t>
            </w:r>
          </w:p>
        </w:tc>
      </w:tr>
      <w:tr w:rsidR="00877DE5" w:rsidRPr="00877DE5" w14:paraId="3EA069AC" w14:textId="77777777" w:rsidTr="00067100">
        <w:tc>
          <w:tcPr>
            <w:tcW w:w="5665" w:type="dxa"/>
          </w:tcPr>
          <w:p w14:paraId="1C77ACD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Субсидии, в том числе</w:t>
            </w:r>
          </w:p>
        </w:tc>
        <w:tc>
          <w:tcPr>
            <w:tcW w:w="2127" w:type="dxa"/>
          </w:tcPr>
          <w:p w14:paraId="362D6B86"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1 747,70</w:t>
            </w:r>
          </w:p>
        </w:tc>
        <w:tc>
          <w:tcPr>
            <w:tcW w:w="1701" w:type="dxa"/>
          </w:tcPr>
          <w:p w14:paraId="0782C3D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1 474,50</w:t>
            </w:r>
          </w:p>
        </w:tc>
      </w:tr>
      <w:tr w:rsidR="00877DE5" w:rsidRPr="00877DE5" w14:paraId="5A402E34" w14:textId="77777777" w:rsidTr="00067100">
        <w:tc>
          <w:tcPr>
            <w:tcW w:w="5665" w:type="dxa"/>
          </w:tcPr>
          <w:p w14:paraId="2B02BF68"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 реализацию национальных проектов</w:t>
            </w:r>
          </w:p>
        </w:tc>
        <w:tc>
          <w:tcPr>
            <w:tcW w:w="2127" w:type="dxa"/>
          </w:tcPr>
          <w:p w14:paraId="2375BD0B"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906,50</w:t>
            </w:r>
          </w:p>
        </w:tc>
        <w:tc>
          <w:tcPr>
            <w:tcW w:w="1701" w:type="dxa"/>
          </w:tcPr>
          <w:p w14:paraId="76E214A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813,30</w:t>
            </w:r>
          </w:p>
        </w:tc>
      </w:tr>
      <w:tr w:rsidR="00877DE5" w:rsidRPr="00877DE5" w14:paraId="0A04ED7F" w14:textId="77777777" w:rsidTr="00067100">
        <w:tc>
          <w:tcPr>
            <w:tcW w:w="5665" w:type="dxa"/>
          </w:tcPr>
          <w:p w14:paraId="6B395662"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Субвенции, в том числе</w:t>
            </w:r>
          </w:p>
        </w:tc>
        <w:tc>
          <w:tcPr>
            <w:tcW w:w="2127" w:type="dxa"/>
          </w:tcPr>
          <w:p w14:paraId="11B3D11C"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318,50</w:t>
            </w:r>
          </w:p>
        </w:tc>
        <w:tc>
          <w:tcPr>
            <w:tcW w:w="1701" w:type="dxa"/>
          </w:tcPr>
          <w:p w14:paraId="3A69DB0A"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327,90</w:t>
            </w:r>
          </w:p>
        </w:tc>
      </w:tr>
      <w:tr w:rsidR="00877DE5" w:rsidRPr="00877DE5" w14:paraId="27972648" w14:textId="77777777" w:rsidTr="00067100">
        <w:tc>
          <w:tcPr>
            <w:tcW w:w="5665" w:type="dxa"/>
          </w:tcPr>
          <w:p w14:paraId="7A17D2F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 реализацию национальных проектов</w:t>
            </w:r>
          </w:p>
        </w:tc>
        <w:tc>
          <w:tcPr>
            <w:tcW w:w="2127" w:type="dxa"/>
          </w:tcPr>
          <w:p w14:paraId="7F051F8C"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9,80</w:t>
            </w:r>
          </w:p>
        </w:tc>
        <w:tc>
          <w:tcPr>
            <w:tcW w:w="1701" w:type="dxa"/>
          </w:tcPr>
          <w:p w14:paraId="02984B8E"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3,70</w:t>
            </w:r>
          </w:p>
        </w:tc>
      </w:tr>
      <w:tr w:rsidR="00877DE5" w:rsidRPr="00877DE5" w14:paraId="7DBA08DA" w14:textId="77777777" w:rsidTr="00067100">
        <w:tc>
          <w:tcPr>
            <w:tcW w:w="5665" w:type="dxa"/>
          </w:tcPr>
          <w:p w14:paraId="6CA46BA0"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Иные межбюджетные трансферты, в том числе</w:t>
            </w:r>
          </w:p>
        </w:tc>
        <w:tc>
          <w:tcPr>
            <w:tcW w:w="2127" w:type="dxa"/>
          </w:tcPr>
          <w:p w14:paraId="7AC1D74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225,2</w:t>
            </w:r>
          </w:p>
        </w:tc>
        <w:tc>
          <w:tcPr>
            <w:tcW w:w="1701" w:type="dxa"/>
          </w:tcPr>
          <w:p w14:paraId="796DA0AD"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180,20</w:t>
            </w:r>
          </w:p>
        </w:tc>
      </w:tr>
      <w:tr w:rsidR="00877DE5" w:rsidRPr="00877DE5" w14:paraId="7EFCCEBD" w14:textId="77777777" w:rsidTr="00067100">
        <w:tc>
          <w:tcPr>
            <w:tcW w:w="5665" w:type="dxa"/>
          </w:tcPr>
          <w:p w14:paraId="64F284B6" w14:textId="77777777" w:rsidR="00877DE5" w:rsidRPr="00877DE5" w:rsidRDefault="00877DE5" w:rsidP="0007694F">
            <w:pPr>
              <w:spacing w:line="278" w:lineRule="auto"/>
              <w:jc w:val="both"/>
              <w:rPr>
                <w:rFonts w:ascii="Times New Roman" w:eastAsia="Aptos" w:hAnsi="Times New Roman" w:cs="Times New Roman"/>
                <w:color w:val="000000"/>
              </w:rPr>
            </w:pPr>
            <w:r w:rsidRPr="00877DE5">
              <w:rPr>
                <w:rFonts w:ascii="Times New Roman" w:eastAsia="Aptos" w:hAnsi="Times New Roman" w:cs="Times New Roman"/>
                <w:color w:val="000000"/>
              </w:rPr>
              <w:t>На реализацию национальных проектов</w:t>
            </w:r>
          </w:p>
        </w:tc>
        <w:tc>
          <w:tcPr>
            <w:tcW w:w="2127" w:type="dxa"/>
          </w:tcPr>
          <w:p w14:paraId="46DA1B26"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22,70</w:t>
            </w:r>
          </w:p>
        </w:tc>
        <w:tc>
          <w:tcPr>
            <w:tcW w:w="1701" w:type="dxa"/>
          </w:tcPr>
          <w:p w14:paraId="38506343" w14:textId="77777777" w:rsidR="00877DE5" w:rsidRPr="00877DE5" w:rsidRDefault="00877DE5" w:rsidP="0007694F">
            <w:pPr>
              <w:spacing w:line="278" w:lineRule="auto"/>
              <w:jc w:val="center"/>
              <w:rPr>
                <w:rFonts w:ascii="Times New Roman" w:eastAsia="Aptos" w:hAnsi="Times New Roman" w:cs="Times New Roman"/>
                <w:color w:val="000000"/>
              </w:rPr>
            </w:pPr>
            <w:r w:rsidRPr="00877DE5">
              <w:rPr>
                <w:rFonts w:ascii="Times New Roman" w:eastAsia="Aptos" w:hAnsi="Times New Roman" w:cs="Times New Roman"/>
                <w:color w:val="000000"/>
              </w:rPr>
              <w:t>162,80</w:t>
            </w:r>
          </w:p>
        </w:tc>
      </w:tr>
    </w:tbl>
    <w:p w14:paraId="43941ADA"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p>
    <w:p w14:paraId="23D6F025"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На основе анализа текущего состояния региональных финансов и изучения современных научных подходов предлагаются следующие рекомендации: </w:t>
      </w:r>
    </w:p>
    <w:p w14:paraId="07C771D8"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lastRenderedPageBreak/>
        <w:t xml:space="preserve">Необходимо совершенствовать систему межбюджетных трансфертов, обеспечивая их прозрачность и предсказуемость. Это позволит регионам более эффективно планировать свои бюджеты и снижать зависимость. </w:t>
      </w:r>
    </w:p>
    <w:p w14:paraId="09671A01"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 Активизировать работу по управлению государственной и муниципальной собственностью, включая аренду и приватизацию, что может обеспечить дополнительные поступления в бюджет.</w:t>
      </w:r>
    </w:p>
    <w:p w14:paraId="535D441F"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Стимулирование экономической активности на региональном уровне способствует увеличению налоговых и неналоговых поступлений. Особое внимание следует уделить поддержке малого и среднего предпринимательства, а также развитию инновационных отраслей экономики. </w:t>
      </w:r>
    </w:p>
    <w:p w14:paraId="3C0B3619"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Проведение регулярного аудита бюджетных программ и проектов на предмет их эффективности и результативности позволит оптимизировать расходование средств и направить их на приоритетные направления развития региона.</w:t>
      </w:r>
    </w:p>
    <w:p w14:paraId="152738F2"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 xml:space="preserve">Эффективное управление расходами способствует снижению дефицита бюджета и долговой нагрузки. Сосредоточенные бюджетные средства на наиболее значимых и эффективных направлениях, таких как здравоохранение, образование и инфраструктура. </w:t>
      </w:r>
    </w:p>
    <w:p w14:paraId="1CC069EB" w14:textId="77777777" w:rsidR="00877DE5" w:rsidRPr="00877DE5" w:rsidRDefault="00877DE5" w:rsidP="00067100">
      <w:pPr>
        <w:spacing w:after="0" w:line="240" w:lineRule="auto"/>
        <w:ind w:firstLine="709"/>
        <w:jc w:val="both"/>
        <w:rPr>
          <w:rFonts w:ascii="Times New Roman" w:eastAsia="Aptos" w:hAnsi="Times New Roman" w:cs="Times New Roman"/>
          <w:color w:val="000000"/>
          <w:kern w:val="2"/>
          <w:sz w:val="32"/>
          <w:szCs w:val="32"/>
          <w14:ligatures w14:val="standardContextual"/>
        </w:rPr>
      </w:pPr>
      <w:r w:rsidRPr="00877DE5">
        <w:rPr>
          <w:rFonts w:ascii="Times New Roman" w:eastAsia="Aptos" w:hAnsi="Times New Roman" w:cs="Times New Roman"/>
          <w:color w:val="000000"/>
          <w:kern w:val="2"/>
          <w:sz w:val="32"/>
          <w:szCs w:val="32"/>
          <w14:ligatures w14:val="standardContextual"/>
        </w:rPr>
        <w:t>Развитие механизмов государственного и муниципального финансового контроля, повышение квалификации кадров и внедрение современных информационных технологий в бюджетный процесс способствуют повышению прозрачности и подотчетности в управлении региональными финансами.</w:t>
      </w:r>
    </w:p>
    <w:p w14:paraId="1CAC1339" w14:textId="77777777" w:rsidR="00877DE5" w:rsidRPr="00877DE5" w:rsidRDefault="00877DE5" w:rsidP="0007694F">
      <w:pPr>
        <w:spacing w:after="0" w:line="240" w:lineRule="auto"/>
        <w:ind w:firstLine="709"/>
        <w:jc w:val="both"/>
        <w:rPr>
          <w:rFonts w:ascii="Times New Roman" w:eastAsia="Aptos" w:hAnsi="Times New Roman" w:cs="Times New Roman"/>
          <w:color w:val="000000"/>
          <w:kern w:val="2"/>
          <w:sz w:val="32"/>
          <w:szCs w:val="32"/>
          <w14:ligatures w14:val="standardContextual"/>
        </w:rPr>
      </w:pPr>
    </w:p>
    <w:p w14:paraId="106A23B0" w14:textId="77777777" w:rsidR="00877DE5" w:rsidRPr="00877DE5" w:rsidRDefault="00877DE5" w:rsidP="0007694F">
      <w:pPr>
        <w:shd w:val="clear" w:color="auto" w:fill="FFFFFF"/>
        <w:suppressAutoHyphens/>
        <w:spacing w:after="0" w:line="240" w:lineRule="auto"/>
        <w:ind w:firstLine="709"/>
        <w:jc w:val="center"/>
        <w:rPr>
          <w:rFonts w:ascii="Times New Roman" w:eastAsia="Times New Roman" w:hAnsi="Times New Roman" w:cs="Times New Roman"/>
          <w:b/>
          <w:color w:val="000000"/>
          <w:kern w:val="2"/>
          <w:sz w:val="21"/>
          <w:szCs w:val="21"/>
          <w:lang w:val="x-none" w:eastAsia="ar-SA"/>
          <w14:ligatures w14:val="standardContextual"/>
        </w:rPr>
      </w:pPr>
      <w:r w:rsidRPr="00877DE5">
        <w:rPr>
          <w:rFonts w:ascii="Times New Roman" w:eastAsia="Times New Roman" w:hAnsi="Times New Roman" w:cs="Times New Roman"/>
          <w:b/>
          <w:color w:val="000000"/>
          <w:kern w:val="2"/>
          <w:sz w:val="21"/>
          <w:szCs w:val="21"/>
          <w:lang w:eastAsia="ar-SA"/>
          <w14:ligatures w14:val="standardContextual"/>
        </w:rPr>
        <w:t>Литература:</w:t>
      </w:r>
    </w:p>
    <w:p w14:paraId="52E7D055" w14:textId="77777777" w:rsidR="00877DE5" w:rsidRPr="00877DE5" w:rsidRDefault="00877DE5" w:rsidP="00777A9B">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1.</w:t>
      </w:r>
      <w:r w:rsidRPr="00877DE5">
        <w:rPr>
          <w:rFonts w:ascii="Times New Roman" w:eastAsia="Times New Roman" w:hAnsi="Times New Roman" w:cs="Times New Roman"/>
          <w:sz w:val="21"/>
          <w:szCs w:val="21"/>
          <w:lang w:val="x-none" w:eastAsia="ar-SA"/>
        </w:rPr>
        <w:tab/>
        <w:t>Проект федерального бюджета на 2025–2027 годы. Москва, 2024. [Электронный ресурс: minfin.gov.ru (дата обращения: 28.03.2025)]</w:t>
      </w:r>
    </w:p>
    <w:p w14:paraId="22302BF7" w14:textId="77777777" w:rsidR="00877DE5" w:rsidRPr="00877DE5" w:rsidRDefault="00877DE5" w:rsidP="00777A9B">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2.</w:t>
      </w:r>
      <w:r w:rsidRPr="00877DE5">
        <w:rPr>
          <w:rFonts w:ascii="Times New Roman" w:eastAsia="Times New Roman" w:hAnsi="Times New Roman" w:cs="Times New Roman"/>
          <w:sz w:val="21"/>
          <w:szCs w:val="21"/>
          <w:lang w:val="x-none" w:eastAsia="ar-SA"/>
        </w:rPr>
        <w:tab/>
        <w:t>Косынкина Е.И., Ермошина Т.В. «Актуальные проблемы формирования бюджетов субъектов Российской Федерации» // Текст научной статьи по специальности «Экономика и бизнес». Москва, 2024. С. 1-5.</w:t>
      </w:r>
    </w:p>
    <w:p w14:paraId="2D136977" w14:textId="77777777" w:rsidR="00877DE5" w:rsidRPr="00877DE5" w:rsidRDefault="00877DE5" w:rsidP="00777A9B">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3.</w:t>
      </w:r>
      <w:r w:rsidRPr="00877DE5">
        <w:rPr>
          <w:rFonts w:ascii="Times New Roman" w:eastAsia="Times New Roman" w:hAnsi="Times New Roman" w:cs="Times New Roman"/>
          <w:sz w:val="21"/>
          <w:szCs w:val="21"/>
          <w:lang w:val="x-none" w:eastAsia="ar-SA"/>
        </w:rPr>
        <w:tab/>
        <w:t>Бюджеты субъектов РФ в цифрах в 2023-2024 году. – 2024. – [Электронный ресурс: bujet.ru (дата обращения: 05.04.2025)]</w:t>
      </w:r>
    </w:p>
    <w:p w14:paraId="5CC1BFB0" w14:textId="77777777" w:rsidR="00877DE5" w:rsidRPr="00877DE5" w:rsidRDefault="00877DE5" w:rsidP="00777A9B">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4.</w:t>
      </w:r>
      <w:r w:rsidRPr="00877DE5">
        <w:rPr>
          <w:rFonts w:ascii="Times New Roman" w:eastAsia="Times New Roman" w:hAnsi="Times New Roman" w:cs="Times New Roman"/>
          <w:sz w:val="21"/>
          <w:szCs w:val="21"/>
          <w:lang w:val="x-none" w:eastAsia="ar-SA"/>
        </w:rPr>
        <w:tab/>
        <w:t xml:space="preserve"> Основные показатели бюджетов субъектов РФ. – 2024. – [Электронный ресурс: budget.permkrai.ru (дата обращения: 05.04.2025)]</w:t>
      </w:r>
    </w:p>
    <w:p w14:paraId="0FE3AB64" w14:textId="77777777" w:rsidR="00877DE5" w:rsidRDefault="00877DE5" w:rsidP="0007694F">
      <w:pPr>
        <w:spacing w:after="0" w:line="240" w:lineRule="auto"/>
        <w:ind w:firstLine="709"/>
        <w:jc w:val="both"/>
        <w:rPr>
          <w:rFonts w:ascii="Times New Roman" w:eastAsia="Times New Roman" w:hAnsi="Times New Roman" w:cs="Times New Roman"/>
          <w:kern w:val="2"/>
          <w:sz w:val="21"/>
          <w:szCs w:val="21"/>
          <w:lang w:val="x-none" w:eastAsia="ar-SA"/>
          <w14:ligatures w14:val="standardContextual"/>
        </w:rPr>
      </w:pPr>
    </w:p>
    <w:p w14:paraId="2C32D6BF" w14:textId="77777777" w:rsidR="00C80798" w:rsidRPr="00C80798" w:rsidRDefault="00C80798" w:rsidP="009618B2">
      <w:pPr>
        <w:spacing w:after="0" w:line="240" w:lineRule="auto"/>
        <w:jc w:val="both"/>
        <w:rPr>
          <w:rFonts w:ascii="Times New Roman" w:eastAsia="Times New Roman" w:hAnsi="Times New Roman" w:cs="Times New Roman"/>
          <w:b/>
          <w:kern w:val="2"/>
          <w:sz w:val="21"/>
          <w:szCs w:val="21"/>
          <w:lang w:eastAsia="ar-SA"/>
          <w14:ligatures w14:val="standardContextual"/>
        </w:rPr>
      </w:pPr>
      <w:r w:rsidRPr="00C80798">
        <w:rPr>
          <w:rFonts w:ascii="Times New Roman" w:eastAsia="Times New Roman" w:hAnsi="Times New Roman" w:cs="Times New Roman"/>
          <w:b/>
          <w:kern w:val="2"/>
          <w:sz w:val="21"/>
          <w:szCs w:val="21"/>
          <w:lang w:eastAsia="ar-SA"/>
          <w14:ligatures w14:val="standardContextual"/>
        </w:rPr>
        <w:t>УДК</w:t>
      </w:r>
      <w:r w:rsidR="00C27FD5">
        <w:rPr>
          <w:rFonts w:ascii="Times New Roman" w:eastAsia="Times New Roman" w:hAnsi="Times New Roman" w:cs="Times New Roman"/>
          <w:b/>
          <w:kern w:val="2"/>
          <w:sz w:val="21"/>
          <w:szCs w:val="21"/>
          <w:lang w:eastAsia="ar-SA"/>
          <w14:ligatures w14:val="standardContextual"/>
        </w:rPr>
        <w:t xml:space="preserve"> 657.6</w:t>
      </w:r>
    </w:p>
    <w:p w14:paraId="356538CD"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14:ligatures w14:val="standardContextual"/>
        </w:rPr>
      </w:pPr>
      <w:bookmarkStart w:id="54" w:name="_Hlk134119269"/>
      <w:bookmarkEnd w:id="54"/>
      <w:r w:rsidRPr="00C80798">
        <w:rPr>
          <w:rFonts w:ascii="Times New Roman" w:eastAsia="Calibri" w:hAnsi="Times New Roman" w:cs="Times New Roman"/>
          <w:b/>
          <w:bCs/>
          <w:i/>
          <w:iCs/>
          <w:kern w:val="2"/>
          <w:sz w:val="21"/>
          <w:szCs w:val="21"/>
          <w14:ligatures w14:val="standardContextual"/>
        </w:rPr>
        <w:t>Келлер М.В.</w:t>
      </w:r>
    </w:p>
    <w:p w14:paraId="0740DB08"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14:ligatures w14:val="standardContextual"/>
        </w:rPr>
      </w:pPr>
      <w:r w:rsidRPr="00C80798">
        <w:rPr>
          <w:rFonts w:ascii="Times New Roman" w:eastAsia="Calibri" w:hAnsi="Times New Roman" w:cs="Times New Roman"/>
          <w:b/>
          <w:bCs/>
          <w:i/>
          <w:iCs/>
          <w:kern w:val="2"/>
          <w:sz w:val="21"/>
          <w:szCs w:val="21"/>
          <w14:ligatures w14:val="standardContextual"/>
        </w:rPr>
        <w:t>Молчанова Д. С.</w:t>
      </w:r>
    </w:p>
    <w:p w14:paraId="5E1F6B1E"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14:ligatures w14:val="standardContextual"/>
        </w:rPr>
        <w:t xml:space="preserve">Студенты </w:t>
      </w:r>
      <w:r w:rsidR="00821857">
        <w:rPr>
          <w:rFonts w:ascii="Times New Roman" w:eastAsia="Calibri" w:hAnsi="Times New Roman" w:cs="Times New Roman"/>
          <w:i/>
          <w:iCs/>
          <w:kern w:val="2"/>
          <w:sz w:val="21"/>
          <w:szCs w:val="21"/>
          <w14:ligatures w14:val="standardContextual"/>
        </w:rPr>
        <w:t>3</w:t>
      </w:r>
      <w:r w:rsidRPr="00C80798">
        <w:rPr>
          <w:rFonts w:ascii="Times New Roman" w:eastAsia="Calibri" w:hAnsi="Times New Roman" w:cs="Times New Roman"/>
          <w:i/>
          <w:iCs/>
          <w:kern w:val="2"/>
          <w:sz w:val="21"/>
          <w:szCs w:val="21"/>
          <w14:ligatures w14:val="standardContextual"/>
        </w:rPr>
        <w:t xml:space="preserve"> курса</w:t>
      </w:r>
    </w:p>
    <w:p w14:paraId="765D33FD"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14:ligatures w14:val="standardContextual"/>
        </w:rPr>
        <w:t>Краснодарский филиал Финуниверситета</w:t>
      </w:r>
    </w:p>
    <w:p w14:paraId="70A065CC"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14:ligatures w14:val="standardContextual"/>
        </w:rPr>
        <w:t>Г. Краснодар, Россия</w:t>
      </w:r>
    </w:p>
    <w:p w14:paraId="546E2ABC" w14:textId="77777777" w:rsidR="00C80798" w:rsidRPr="00C80798" w:rsidRDefault="00C80798" w:rsidP="00C80798">
      <w:pPr>
        <w:spacing w:after="0" w:line="240" w:lineRule="auto"/>
        <w:jc w:val="right"/>
        <w:rPr>
          <w:rFonts w:ascii="Times New Roman" w:eastAsia="Calibri" w:hAnsi="Times New Roman" w:cs="Times New Roman"/>
          <w:i/>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 xml:space="preserve">e-mail: </w:t>
      </w:r>
      <w:hyperlink r:id="rId210" w:history="1">
        <w:r w:rsidRPr="00417E53">
          <w:rPr>
            <w:rFonts w:ascii="Times New Roman" w:eastAsia="Calibri" w:hAnsi="Times New Roman" w:cs="Times New Roman"/>
            <w:i/>
            <w:iCs/>
            <w:color w:val="0563C1"/>
            <w:kern w:val="2"/>
            <w:sz w:val="21"/>
            <w:szCs w:val="21"/>
            <w:u w:val="single"/>
            <w:lang w:val="en-US"/>
            <w14:ligatures w14:val="standardContextual"/>
          </w:rPr>
          <w:t>keller.margari@yandex.ru</w:t>
        </w:r>
      </w:hyperlink>
      <w:r w:rsidRPr="00C80798">
        <w:rPr>
          <w:rFonts w:ascii="Times New Roman" w:eastAsia="Calibri" w:hAnsi="Times New Roman" w:cs="Times New Roman"/>
          <w:i/>
          <w:kern w:val="2"/>
          <w:sz w:val="21"/>
          <w:szCs w:val="21"/>
          <w:lang w:val="en-US"/>
          <w14:ligatures w14:val="standardContextual"/>
        </w:rPr>
        <w:t xml:space="preserve"> </w:t>
      </w:r>
    </w:p>
    <w:p w14:paraId="216A503B" w14:textId="77777777" w:rsidR="00C80798" w:rsidRPr="00C80798" w:rsidRDefault="00C80798" w:rsidP="00C80798">
      <w:pPr>
        <w:spacing w:line="240" w:lineRule="auto"/>
        <w:jc w:val="right"/>
        <w:rPr>
          <w:rFonts w:ascii="Times New Roman" w:eastAsia="Calibri" w:hAnsi="Times New Roman" w:cs="Times New Roman"/>
          <w:i/>
          <w:kern w:val="2"/>
          <w:sz w:val="21"/>
          <w:szCs w:val="21"/>
          <w14:ligatures w14:val="standardContextual"/>
        </w:rPr>
      </w:pPr>
      <w:r w:rsidRPr="00C80798">
        <w:rPr>
          <w:rFonts w:ascii="Times New Roman" w:eastAsia="Calibri" w:hAnsi="Times New Roman" w:cs="Times New Roman"/>
          <w:i/>
          <w:kern w:val="2"/>
          <w:sz w:val="21"/>
          <w:szCs w:val="21"/>
          <w:lang w:val="en-US"/>
          <w14:ligatures w14:val="standardContextual"/>
        </w:rPr>
        <w:t>e</w:t>
      </w:r>
      <w:r w:rsidRPr="00C80798">
        <w:rPr>
          <w:rFonts w:ascii="Times New Roman" w:eastAsia="Calibri" w:hAnsi="Times New Roman" w:cs="Times New Roman"/>
          <w:i/>
          <w:kern w:val="2"/>
          <w:sz w:val="21"/>
          <w:szCs w:val="21"/>
          <w14:ligatures w14:val="standardContextual"/>
        </w:rPr>
        <w:t>-</w:t>
      </w:r>
      <w:r w:rsidRPr="00C80798">
        <w:rPr>
          <w:rFonts w:ascii="Times New Roman" w:eastAsia="Calibri" w:hAnsi="Times New Roman" w:cs="Times New Roman"/>
          <w:i/>
          <w:kern w:val="2"/>
          <w:sz w:val="21"/>
          <w:szCs w:val="21"/>
          <w:lang w:val="en-US"/>
          <w14:ligatures w14:val="standardContextual"/>
        </w:rPr>
        <w:t>mail</w:t>
      </w:r>
      <w:r w:rsidRPr="00C80798">
        <w:rPr>
          <w:rFonts w:ascii="Times New Roman" w:eastAsia="Calibri" w:hAnsi="Times New Roman" w:cs="Times New Roman"/>
          <w:i/>
          <w:kern w:val="2"/>
          <w:sz w:val="21"/>
          <w:szCs w:val="21"/>
          <w14:ligatures w14:val="standardContextual"/>
        </w:rPr>
        <w:t xml:space="preserve">: </w:t>
      </w:r>
      <w:hyperlink r:id="rId211" w:history="1">
        <w:r w:rsidRPr="00417E53">
          <w:rPr>
            <w:rFonts w:ascii="Times New Roman" w:eastAsia="Calibri" w:hAnsi="Times New Roman" w:cs="Times New Roman"/>
            <w:i/>
            <w:color w:val="0563C1"/>
            <w:kern w:val="2"/>
            <w:sz w:val="21"/>
            <w:szCs w:val="21"/>
            <w:u w:val="single"/>
            <w:lang w:val="en-US"/>
            <w14:ligatures w14:val="standardContextual"/>
          </w:rPr>
          <w:t>dacham</w:t>
        </w:r>
        <w:r w:rsidRPr="00417E53">
          <w:rPr>
            <w:rFonts w:ascii="Times New Roman" w:eastAsia="Calibri" w:hAnsi="Times New Roman" w:cs="Times New Roman"/>
            <w:i/>
            <w:color w:val="0563C1"/>
            <w:kern w:val="2"/>
            <w:sz w:val="21"/>
            <w:szCs w:val="21"/>
            <w:u w:val="single"/>
            <w14:ligatures w14:val="standardContextual"/>
          </w:rPr>
          <w:t>04@</w:t>
        </w:r>
        <w:r w:rsidRPr="00417E53">
          <w:rPr>
            <w:rFonts w:ascii="Times New Roman" w:eastAsia="Calibri" w:hAnsi="Times New Roman" w:cs="Times New Roman"/>
            <w:i/>
            <w:color w:val="0563C1"/>
            <w:kern w:val="2"/>
            <w:sz w:val="21"/>
            <w:szCs w:val="21"/>
            <w:u w:val="single"/>
            <w:lang w:val="en-US"/>
            <w14:ligatures w14:val="standardContextual"/>
          </w:rPr>
          <w:t>gmail</w:t>
        </w:r>
        <w:r w:rsidRPr="00417E53">
          <w:rPr>
            <w:rFonts w:ascii="Times New Roman" w:eastAsia="Calibri" w:hAnsi="Times New Roman" w:cs="Times New Roman"/>
            <w:i/>
            <w:color w:val="0563C1"/>
            <w:kern w:val="2"/>
            <w:sz w:val="21"/>
            <w:szCs w:val="21"/>
            <w:u w:val="single"/>
            <w14:ligatures w14:val="standardContextual"/>
          </w:rPr>
          <w:t>.</w:t>
        </w:r>
        <w:r w:rsidRPr="00417E53">
          <w:rPr>
            <w:rFonts w:ascii="Times New Roman" w:eastAsia="Calibri" w:hAnsi="Times New Roman" w:cs="Times New Roman"/>
            <w:i/>
            <w:color w:val="0563C1"/>
            <w:kern w:val="2"/>
            <w:sz w:val="21"/>
            <w:szCs w:val="21"/>
            <w:u w:val="single"/>
            <w:lang w:val="en-US"/>
            <w14:ligatures w14:val="standardContextual"/>
          </w:rPr>
          <w:t>com</w:t>
        </w:r>
      </w:hyperlink>
      <w:r w:rsidRPr="00C80798">
        <w:rPr>
          <w:rFonts w:ascii="Times New Roman" w:eastAsia="Calibri" w:hAnsi="Times New Roman" w:cs="Times New Roman"/>
          <w:i/>
          <w:kern w:val="2"/>
          <w:sz w:val="21"/>
          <w:szCs w:val="21"/>
          <w14:ligatures w14:val="standardContextual"/>
        </w:rPr>
        <w:t xml:space="preserve"> </w:t>
      </w:r>
    </w:p>
    <w:p w14:paraId="0694AA6C"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14:ligatures w14:val="standardContextual"/>
        </w:rPr>
      </w:pPr>
      <w:r w:rsidRPr="00C80798">
        <w:rPr>
          <w:rFonts w:ascii="Times New Roman" w:eastAsia="Calibri" w:hAnsi="Times New Roman" w:cs="Times New Roman"/>
          <w:b/>
          <w:bCs/>
          <w:i/>
          <w:iCs/>
          <w:kern w:val="2"/>
          <w:sz w:val="21"/>
          <w:szCs w:val="21"/>
          <w14:ligatures w14:val="standardContextual"/>
        </w:rPr>
        <w:lastRenderedPageBreak/>
        <w:t>Научный руководитель:</w:t>
      </w:r>
    </w:p>
    <w:p w14:paraId="105AB38D" w14:textId="77777777" w:rsidR="00C80798" w:rsidRPr="00C80798" w:rsidRDefault="00C80798" w:rsidP="00C80798">
      <w:pPr>
        <w:spacing w:after="0" w:line="240" w:lineRule="auto"/>
        <w:jc w:val="right"/>
        <w:rPr>
          <w:rFonts w:ascii="Times New Roman" w:eastAsia="Calibri" w:hAnsi="Times New Roman" w:cs="Times New Roman"/>
          <w:b/>
          <w:i/>
          <w:iCs/>
          <w:kern w:val="2"/>
          <w:sz w:val="21"/>
          <w:szCs w:val="21"/>
          <w14:ligatures w14:val="standardContextual"/>
        </w:rPr>
      </w:pPr>
      <w:r w:rsidRPr="00C80798">
        <w:rPr>
          <w:rFonts w:ascii="Times New Roman" w:eastAsia="Calibri" w:hAnsi="Times New Roman" w:cs="Times New Roman"/>
          <w:b/>
          <w:i/>
          <w:iCs/>
          <w:kern w:val="2"/>
          <w:sz w:val="21"/>
          <w:szCs w:val="21"/>
          <w14:ligatures w14:val="standardContextual"/>
        </w:rPr>
        <w:t>Добрунова М.А.</w:t>
      </w:r>
    </w:p>
    <w:p w14:paraId="02A6D230"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14:ligatures w14:val="standardContextual"/>
        </w:rPr>
        <w:t>доцент, к.э.н.</w:t>
      </w:r>
    </w:p>
    <w:p w14:paraId="54DA241F"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14:ligatures w14:val="standardContextual"/>
        </w:rPr>
        <w:t>Краснодарский филиал Финуниверситета</w:t>
      </w:r>
    </w:p>
    <w:p w14:paraId="4FA8AB4E" w14:textId="77777777" w:rsidR="00C80798" w:rsidRPr="00C80798" w:rsidRDefault="00C80798" w:rsidP="00C80798">
      <w:pPr>
        <w:spacing w:after="0" w:line="240" w:lineRule="auto"/>
        <w:ind w:left="720"/>
        <w:jc w:val="right"/>
        <w:rPr>
          <w:rFonts w:ascii="Times New Roman" w:eastAsia="Calibri" w:hAnsi="Times New Roman" w:cs="Times New Roman"/>
          <w:i/>
          <w:iCs/>
          <w:kern w:val="2"/>
          <w:sz w:val="21"/>
          <w:szCs w:val="21"/>
          <w14:ligatures w14:val="standardContextual"/>
        </w:rPr>
      </w:pPr>
      <w:r w:rsidRPr="00C80798">
        <w:rPr>
          <w:rFonts w:ascii="Times New Roman" w:eastAsia="Calibri" w:hAnsi="Times New Roman" w:cs="Times New Roman"/>
          <w:i/>
          <w:iCs/>
          <w:kern w:val="2"/>
          <w:sz w:val="21"/>
          <w:szCs w:val="21"/>
          <w:lang w:val="en-US"/>
          <w14:ligatures w14:val="standardContextual"/>
        </w:rPr>
        <w:t>e</w:t>
      </w:r>
      <w:r w:rsidRPr="00C80798">
        <w:rPr>
          <w:rFonts w:ascii="Times New Roman" w:eastAsia="Calibri" w:hAnsi="Times New Roman" w:cs="Times New Roman"/>
          <w:i/>
          <w:iCs/>
          <w:kern w:val="2"/>
          <w:sz w:val="21"/>
          <w:szCs w:val="21"/>
          <w14:ligatures w14:val="standardContextual"/>
        </w:rPr>
        <w:t>-</w:t>
      </w:r>
      <w:r w:rsidRPr="00C80798">
        <w:rPr>
          <w:rFonts w:ascii="Times New Roman" w:eastAsia="Calibri" w:hAnsi="Times New Roman" w:cs="Times New Roman"/>
          <w:i/>
          <w:iCs/>
          <w:kern w:val="2"/>
          <w:sz w:val="21"/>
          <w:szCs w:val="21"/>
          <w:lang w:val="en-US"/>
          <w14:ligatures w14:val="standardContextual"/>
        </w:rPr>
        <w:t>mail</w:t>
      </w:r>
      <w:r w:rsidRPr="00C80798">
        <w:rPr>
          <w:rFonts w:ascii="Times New Roman" w:eastAsia="Calibri" w:hAnsi="Times New Roman" w:cs="Times New Roman"/>
          <w:i/>
          <w:iCs/>
          <w:kern w:val="2"/>
          <w:sz w:val="21"/>
          <w:szCs w:val="21"/>
          <w14:ligatures w14:val="standardContextual"/>
        </w:rPr>
        <w:t xml:space="preserve">: </w:t>
      </w:r>
      <w:hyperlink r:id="rId212" w:history="1">
        <w:r w:rsidRPr="00C80798">
          <w:rPr>
            <w:rFonts w:ascii="Times New Roman" w:eastAsia="Calibri" w:hAnsi="Times New Roman" w:cs="Times New Roman"/>
            <w:i/>
            <w:iCs/>
            <w:color w:val="0563C1"/>
            <w:kern w:val="2"/>
            <w:sz w:val="21"/>
            <w:szCs w:val="21"/>
            <w:u w:val="single"/>
            <w:lang w:val="en-US"/>
            <w14:ligatures w14:val="standardContextual"/>
          </w:rPr>
          <w:t>MADobrunova</w:t>
        </w:r>
        <w:r w:rsidRPr="00C80798">
          <w:rPr>
            <w:rFonts w:ascii="Times New Roman" w:eastAsia="Calibri" w:hAnsi="Times New Roman" w:cs="Times New Roman"/>
            <w:i/>
            <w:iCs/>
            <w:color w:val="0563C1"/>
            <w:kern w:val="2"/>
            <w:sz w:val="21"/>
            <w:szCs w:val="21"/>
            <w:u w:val="single"/>
            <w14:ligatures w14:val="standardContextual"/>
          </w:rPr>
          <w:t>@</w:t>
        </w:r>
        <w:r w:rsidRPr="00C80798">
          <w:rPr>
            <w:rFonts w:ascii="Times New Roman" w:eastAsia="Calibri" w:hAnsi="Times New Roman" w:cs="Times New Roman"/>
            <w:i/>
            <w:iCs/>
            <w:color w:val="0563C1"/>
            <w:kern w:val="2"/>
            <w:sz w:val="21"/>
            <w:szCs w:val="21"/>
            <w:u w:val="single"/>
            <w:lang w:val="en-US"/>
            <w14:ligatures w14:val="standardContextual"/>
          </w:rPr>
          <w:t>fa</w:t>
        </w:r>
        <w:r w:rsidRPr="00C80798">
          <w:rPr>
            <w:rFonts w:ascii="Times New Roman" w:eastAsia="Calibri" w:hAnsi="Times New Roman" w:cs="Times New Roman"/>
            <w:i/>
            <w:iCs/>
            <w:color w:val="0563C1"/>
            <w:kern w:val="2"/>
            <w:sz w:val="21"/>
            <w:szCs w:val="21"/>
            <w:u w:val="single"/>
            <w14:ligatures w14:val="standardContextual"/>
          </w:rPr>
          <w:t>.</w:t>
        </w:r>
        <w:r w:rsidRPr="00C80798">
          <w:rPr>
            <w:rFonts w:ascii="Times New Roman" w:eastAsia="Calibri" w:hAnsi="Times New Roman" w:cs="Times New Roman"/>
            <w:i/>
            <w:iCs/>
            <w:color w:val="0563C1"/>
            <w:kern w:val="2"/>
            <w:sz w:val="21"/>
            <w:szCs w:val="21"/>
            <w:u w:val="single"/>
            <w:lang w:val="en-US"/>
            <w14:ligatures w14:val="standardContextual"/>
          </w:rPr>
          <w:t>ru</w:t>
        </w:r>
      </w:hyperlink>
      <w:r w:rsidRPr="00C80798">
        <w:rPr>
          <w:rFonts w:ascii="Times New Roman" w:eastAsia="Calibri" w:hAnsi="Times New Roman" w:cs="Times New Roman"/>
          <w:i/>
          <w:iCs/>
          <w:kern w:val="2"/>
          <w:sz w:val="21"/>
          <w:szCs w:val="21"/>
          <w:lang w:val="en-US"/>
          <w14:ligatures w14:val="standardContextual"/>
        </w:rPr>
        <w:t> </w:t>
      </w:r>
      <w:r w:rsidRPr="00C80798">
        <w:rPr>
          <w:rFonts w:ascii="Times New Roman" w:eastAsia="Calibri" w:hAnsi="Times New Roman" w:cs="Times New Roman"/>
          <w:i/>
          <w:iCs/>
          <w:kern w:val="2"/>
          <w:sz w:val="21"/>
          <w:szCs w:val="21"/>
          <w14:ligatures w14:val="standardContextual"/>
        </w:rPr>
        <w:t xml:space="preserve"> </w:t>
      </w:r>
    </w:p>
    <w:p w14:paraId="14C0AB5A" w14:textId="77777777" w:rsidR="00C80798" w:rsidRPr="00C80798" w:rsidRDefault="00C80798" w:rsidP="00C80798">
      <w:pPr>
        <w:spacing w:line="240" w:lineRule="auto"/>
        <w:jc w:val="center"/>
        <w:rPr>
          <w:rFonts w:ascii="Times New Roman" w:eastAsia="Calibri" w:hAnsi="Times New Roman" w:cs="Times New Roman"/>
          <w:kern w:val="2"/>
          <w:sz w:val="21"/>
          <w:szCs w:val="21"/>
          <w14:ligatures w14:val="standardContextual"/>
        </w:rPr>
      </w:pPr>
    </w:p>
    <w:p w14:paraId="3E7A5145" w14:textId="77777777" w:rsidR="00417E53" w:rsidRDefault="00C80798" w:rsidP="00821857">
      <w:pPr>
        <w:spacing w:after="0" w:line="240" w:lineRule="auto"/>
        <w:ind w:firstLine="709"/>
        <w:jc w:val="center"/>
        <w:rPr>
          <w:rFonts w:ascii="Times New Roman" w:eastAsia="Calibri" w:hAnsi="Times New Roman" w:cs="Times New Roman"/>
          <w:b/>
          <w:bCs/>
          <w:kern w:val="2"/>
          <w:sz w:val="21"/>
          <w:szCs w:val="21"/>
          <w14:ligatures w14:val="standardContextual"/>
        </w:rPr>
      </w:pPr>
      <w:r w:rsidRPr="00C80798">
        <w:rPr>
          <w:rFonts w:ascii="Times New Roman" w:eastAsia="Calibri" w:hAnsi="Times New Roman" w:cs="Times New Roman"/>
          <w:b/>
          <w:bCs/>
          <w:kern w:val="2"/>
          <w:sz w:val="21"/>
          <w:szCs w:val="21"/>
          <w14:ligatures w14:val="standardContextual"/>
        </w:rPr>
        <w:t>Роль внутреннего аудита в управлении операционными рисками: современные подходы и инструменты</w:t>
      </w:r>
    </w:p>
    <w:p w14:paraId="758C9908" w14:textId="77777777" w:rsidR="00821857" w:rsidRPr="00C80798" w:rsidRDefault="00821857" w:rsidP="00821857">
      <w:pPr>
        <w:spacing w:after="0" w:line="240" w:lineRule="auto"/>
        <w:ind w:firstLine="709"/>
        <w:jc w:val="center"/>
        <w:rPr>
          <w:rFonts w:ascii="Times New Roman" w:eastAsia="Calibri" w:hAnsi="Times New Roman" w:cs="Times New Roman"/>
          <w:b/>
          <w:bCs/>
          <w:kern w:val="2"/>
          <w:sz w:val="21"/>
          <w:szCs w:val="21"/>
          <w14:ligatures w14:val="standardContextual"/>
        </w:rPr>
      </w:pPr>
    </w:p>
    <w:p w14:paraId="2DD7C75C" w14:textId="77777777" w:rsidR="00C80798" w:rsidRPr="00C80798" w:rsidRDefault="00C80798" w:rsidP="00C80798">
      <w:pPr>
        <w:spacing w:after="0" w:line="240" w:lineRule="auto"/>
        <w:ind w:firstLine="709"/>
        <w:jc w:val="both"/>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b/>
          <w:bCs/>
          <w:kern w:val="2"/>
          <w:sz w:val="21"/>
          <w:szCs w:val="21"/>
          <w14:ligatures w14:val="standardContextual"/>
        </w:rPr>
        <w:t>Аннотация:</w:t>
      </w:r>
      <w:r w:rsidRPr="00C80798">
        <w:rPr>
          <w:rFonts w:ascii="Times New Roman" w:eastAsia="Calibri" w:hAnsi="Times New Roman" w:cs="Times New Roman"/>
          <w:kern w:val="2"/>
          <w:sz w:val="21"/>
          <w:szCs w:val="21"/>
          <w14:ligatures w14:val="standardContextual"/>
        </w:rPr>
        <w:t xml:space="preserve"> В статье рассмотрена важность и актуальность предотвращения мошенничества в финансовой отчетности, способы искажения данных бухгалтерского учета, мотивы их совершения, а также способы предотвращения мошенничества в финансовой отчетности. </w:t>
      </w:r>
    </w:p>
    <w:p w14:paraId="4A07ED36" w14:textId="77777777" w:rsidR="00C80798" w:rsidRPr="00C80798" w:rsidRDefault="00C80798" w:rsidP="00C80798">
      <w:pPr>
        <w:spacing w:after="0" w:line="240" w:lineRule="auto"/>
        <w:ind w:firstLine="709"/>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b/>
          <w:bCs/>
          <w:kern w:val="2"/>
          <w:sz w:val="21"/>
          <w:szCs w:val="21"/>
          <w14:ligatures w14:val="standardContextual"/>
        </w:rPr>
        <w:t>Ключевые слова:</w:t>
      </w:r>
      <w:r w:rsidRPr="00C80798">
        <w:rPr>
          <w:rFonts w:ascii="Times New Roman" w:eastAsia="Calibri" w:hAnsi="Times New Roman" w:cs="Times New Roman"/>
          <w:kern w:val="2"/>
          <w:sz w:val="21"/>
          <w:szCs w:val="21"/>
          <w14:ligatures w14:val="standardContextual"/>
        </w:rPr>
        <w:t xml:space="preserve"> мошенничество, финансовая отчетность, бухгалтерский учет.</w:t>
      </w:r>
    </w:p>
    <w:p w14:paraId="2D2413D3"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lang w:val="en-US"/>
          <w14:ligatures w14:val="standardContextual"/>
        </w:rPr>
      </w:pPr>
      <w:r w:rsidRPr="00C80798">
        <w:rPr>
          <w:rFonts w:ascii="Times New Roman" w:eastAsia="Calibri" w:hAnsi="Times New Roman" w:cs="Times New Roman"/>
          <w:b/>
          <w:bCs/>
          <w:i/>
          <w:iCs/>
          <w:kern w:val="2"/>
          <w:sz w:val="21"/>
          <w:szCs w:val="21"/>
          <w:lang w:val="en-US"/>
          <w14:ligatures w14:val="standardContextual"/>
        </w:rPr>
        <w:t>Keller M.V</w:t>
      </w:r>
    </w:p>
    <w:p w14:paraId="5C194C02"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lang w:val="en-US"/>
          <w14:ligatures w14:val="standardContextual"/>
        </w:rPr>
      </w:pPr>
      <w:r w:rsidRPr="00C80798">
        <w:rPr>
          <w:rFonts w:ascii="Times New Roman" w:eastAsia="Calibri" w:hAnsi="Times New Roman" w:cs="Times New Roman"/>
          <w:b/>
          <w:bCs/>
          <w:i/>
          <w:iCs/>
          <w:kern w:val="2"/>
          <w:sz w:val="21"/>
          <w:szCs w:val="21"/>
          <w:lang w:val="en-US"/>
          <w14:ligatures w14:val="standardContextual"/>
        </w:rPr>
        <w:t>Molchanova D.S.</w:t>
      </w:r>
    </w:p>
    <w:p w14:paraId="5185D812" w14:textId="77777777" w:rsidR="00C80798" w:rsidRPr="00C80798" w:rsidRDefault="00821857"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Pr>
          <w:rFonts w:ascii="Times New Roman" w:eastAsia="Calibri" w:hAnsi="Times New Roman" w:cs="Times New Roman"/>
          <w:i/>
          <w:iCs/>
          <w:kern w:val="2"/>
          <w:sz w:val="21"/>
          <w:szCs w:val="21"/>
          <w:lang w:val="en-US"/>
          <w14:ligatures w14:val="standardContextual"/>
        </w:rPr>
        <w:t>3</w:t>
      </w:r>
      <w:r w:rsidR="00C80798" w:rsidRPr="00C80798">
        <w:rPr>
          <w:rFonts w:ascii="Times New Roman" w:eastAsia="Calibri" w:hAnsi="Times New Roman" w:cs="Times New Roman"/>
          <w:i/>
          <w:iCs/>
          <w:kern w:val="2"/>
          <w:sz w:val="21"/>
          <w:szCs w:val="21"/>
          <w:lang w:val="en-US"/>
          <w14:ligatures w14:val="standardContextual"/>
        </w:rPr>
        <w:t>nd year student</w:t>
      </w:r>
    </w:p>
    <w:p w14:paraId="16BF013C"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 xml:space="preserve">Krasnodar Branch of the Financial University </w:t>
      </w:r>
    </w:p>
    <w:p w14:paraId="389F1458"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 xml:space="preserve">under the Government of the Russian Federation </w:t>
      </w:r>
    </w:p>
    <w:p w14:paraId="49DC3AA0"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Krasnodar, Russia</w:t>
      </w:r>
    </w:p>
    <w:p w14:paraId="20C1F0FB" w14:textId="77777777" w:rsidR="00C80798" w:rsidRPr="00C80798" w:rsidRDefault="00C80798" w:rsidP="00C80798">
      <w:pPr>
        <w:spacing w:after="0" w:line="240" w:lineRule="auto"/>
        <w:jc w:val="right"/>
        <w:rPr>
          <w:rFonts w:ascii="Times New Roman" w:eastAsia="Calibri" w:hAnsi="Times New Roman" w:cs="Times New Roman"/>
          <w:b/>
          <w:b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 xml:space="preserve">e-mail: </w:t>
      </w:r>
      <w:hyperlink r:id="rId213" w:history="1">
        <w:r w:rsidRPr="00C80798">
          <w:rPr>
            <w:rFonts w:ascii="Times New Roman" w:eastAsia="Calibri" w:hAnsi="Times New Roman" w:cs="Times New Roman"/>
            <w:i/>
            <w:iCs/>
            <w:color w:val="0563C1"/>
            <w:kern w:val="2"/>
            <w:sz w:val="21"/>
            <w:szCs w:val="21"/>
            <w:u w:val="single"/>
            <w:lang w:val="en-US"/>
            <w14:ligatures w14:val="standardContextual"/>
          </w:rPr>
          <w:t>keller.margari@yandex.ru</w:t>
        </w:r>
      </w:hyperlink>
      <w:r w:rsidRPr="00C80798">
        <w:rPr>
          <w:rFonts w:ascii="Times New Roman" w:eastAsia="Calibri" w:hAnsi="Times New Roman" w:cs="Times New Roman"/>
          <w:b/>
          <w:bCs/>
          <w:kern w:val="2"/>
          <w:sz w:val="21"/>
          <w:szCs w:val="21"/>
          <w:lang w:val="en-US"/>
          <w14:ligatures w14:val="standardContextual"/>
        </w:rPr>
        <w:t xml:space="preserve"> </w:t>
      </w:r>
    </w:p>
    <w:p w14:paraId="4B469364" w14:textId="77777777" w:rsidR="00C80798" w:rsidRPr="00C80798" w:rsidRDefault="00C80798" w:rsidP="00C80798">
      <w:pPr>
        <w:spacing w:line="240" w:lineRule="auto"/>
        <w:jc w:val="right"/>
        <w:rPr>
          <w:rFonts w:ascii="Times New Roman" w:eastAsia="Calibri" w:hAnsi="Times New Roman" w:cs="Times New Roman"/>
          <w:i/>
          <w:kern w:val="2"/>
          <w:sz w:val="21"/>
          <w:szCs w:val="21"/>
          <w:lang w:val="en-US"/>
          <w14:ligatures w14:val="standardContextual"/>
        </w:rPr>
      </w:pPr>
      <w:r w:rsidRPr="00C80798">
        <w:rPr>
          <w:rFonts w:ascii="Times New Roman" w:eastAsia="Calibri" w:hAnsi="Times New Roman" w:cs="Times New Roman"/>
          <w:i/>
          <w:kern w:val="2"/>
          <w:sz w:val="21"/>
          <w:szCs w:val="21"/>
          <w:lang w:val="en-US"/>
          <w14:ligatures w14:val="standardContextual"/>
        </w:rPr>
        <w:t xml:space="preserve">e-mail: </w:t>
      </w:r>
      <w:hyperlink r:id="rId214" w:history="1">
        <w:r w:rsidRPr="00821857">
          <w:rPr>
            <w:rFonts w:ascii="Times New Roman" w:eastAsia="Calibri" w:hAnsi="Times New Roman" w:cs="Times New Roman"/>
            <w:i/>
            <w:color w:val="0563C1"/>
            <w:kern w:val="2"/>
            <w:sz w:val="21"/>
            <w:szCs w:val="21"/>
            <w:u w:val="single"/>
            <w:lang w:val="en-US"/>
            <w14:ligatures w14:val="standardContextual"/>
          </w:rPr>
          <w:t>dacham04@gmail.com</w:t>
        </w:r>
      </w:hyperlink>
      <w:r w:rsidRPr="00C80798">
        <w:rPr>
          <w:rFonts w:ascii="Times New Roman" w:eastAsia="Calibri" w:hAnsi="Times New Roman" w:cs="Times New Roman"/>
          <w:i/>
          <w:kern w:val="2"/>
          <w:sz w:val="21"/>
          <w:szCs w:val="21"/>
          <w:lang w:val="en-US"/>
          <w14:ligatures w14:val="standardContextual"/>
        </w:rPr>
        <w:t xml:space="preserve"> </w:t>
      </w:r>
    </w:p>
    <w:p w14:paraId="6D9144BC" w14:textId="77777777" w:rsidR="00C80798" w:rsidRPr="00C80798" w:rsidRDefault="00C80798" w:rsidP="00C80798">
      <w:pPr>
        <w:spacing w:after="0" w:line="240" w:lineRule="auto"/>
        <w:jc w:val="right"/>
        <w:rPr>
          <w:rFonts w:ascii="Times New Roman" w:eastAsia="Calibri" w:hAnsi="Times New Roman" w:cs="Times New Roman"/>
          <w:b/>
          <w:bCs/>
          <w:i/>
          <w:iCs/>
          <w:kern w:val="2"/>
          <w:sz w:val="21"/>
          <w:szCs w:val="21"/>
          <w:lang w:val="en-US"/>
          <w14:ligatures w14:val="standardContextual"/>
        </w:rPr>
      </w:pPr>
      <w:r w:rsidRPr="00C80798">
        <w:rPr>
          <w:rFonts w:ascii="Times New Roman" w:eastAsia="Calibri" w:hAnsi="Times New Roman" w:cs="Times New Roman"/>
          <w:b/>
          <w:bCs/>
          <w:i/>
          <w:iCs/>
          <w:kern w:val="2"/>
          <w:sz w:val="21"/>
          <w:szCs w:val="21"/>
          <w:lang w:val="en-US"/>
          <w14:ligatures w14:val="standardContextual"/>
        </w:rPr>
        <w:t>Scientific Adviser:</w:t>
      </w:r>
    </w:p>
    <w:p w14:paraId="7906BF3A"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Dobrunova M.A.,</w:t>
      </w:r>
    </w:p>
    <w:p w14:paraId="12E319AC"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Candidate of Science (Economics), Docent</w:t>
      </w:r>
    </w:p>
    <w:p w14:paraId="2D5C89DE" w14:textId="77777777" w:rsidR="00C80798" w:rsidRPr="00C80798" w:rsidRDefault="00C80798" w:rsidP="00C80798">
      <w:pPr>
        <w:spacing w:after="0" w:line="240" w:lineRule="auto"/>
        <w:jc w:val="right"/>
        <w:rPr>
          <w:rFonts w:ascii="Times New Roman" w:eastAsia="Calibri" w:hAnsi="Times New Roman" w:cs="Times New Roman"/>
          <w:i/>
          <w:i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Financial University under the Government of Russian Federation</w:t>
      </w:r>
    </w:p>
    <w:p w14:paraId="5221CDD5" w14:textId="77777777" w:rsidR="00C80798" w:rsidRPr="00C80798" w:rsidRDefault="00C80798" w:rsidP="00C80798">
      <w:pPr>
        <w:spacing w:after="0" w:line="240" w:lineRule="auto"/>
        <w:jc w:val="right"/>
        <w:rPr>
          <w:rFonts w:ascii="Times New Roman" w:eastAsia="Calibri" w:hAnsi="Times New Roman" w:cs="Times New Roman"/>
          <w:b/>
          <w:b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Krasnodar, Russia</w:t>
      </w:r>
    </w:p>
    <w:p w14:paraId="75E24974" w14:textId="77777777" w:rsidR="00C80798" w:rsidRPr="00C80798" w:rsidRDefault="00C80798" w:rsidP="00C80798">
      <w:pPr>
        <w:spacing w:after="0" w:line="240" w:lineRule="auto"/>
        <w:jc w:val="right"/>
        <w:rPr>
          <w:rFonts w:ascii="Times New Roman" w:eastAsia="Calibri" w:hAnsi="Times New Roman" w:cs="Times New Roman"/>
          <w:b/>
          <w:bCs/>
          <w:kern w:val="2"/>
          <w:sz w:val="21"/>
          <w:szCs w:val="21"/>
          <w:lang w:val="en-US"/>
          <w14:ligatures w14:val="standardContextual"/>
        </w:rPr>
      </w:pPr>
      <w:r w:rsidRPr="00C80798">
        <w:rPr>
          <w:rFonts w:ascii="Times New Roman" w:eastAsia="Calibri" w:hAnsi="Times New Roman" w:cs="Times New Roman"/>
          <w:i/>
          <w:iCs/>
          <w:kern w:val="2"/>
          <w:sz w:val="21"/>
          <w:szCs w:val="21"/>
          <w:lang w:val="en-US"/>
          <w14:ligatures w14:val="standardContextual"/>
        </w:rPr>
        <w:t>e-mail: </w:t>
      </w:r>
      <w:hyperlink r:id="rId215" w:history="1">
        <w:r w:rsidRPr="00C80798">
          <w:rPr>
            <w:rFonts w:ascii="Times New Roman" w:eastAsia="Calibri" w:hAnsi="Times New Roman" w:cs="Times New Roman"/>
            <w:i/>
            <w:iCs/>
            <w:color w:val="0563C1"/>
            <w:kern w:val="2"/>
            <w:sz w:val="21"/>
            <w:szCs w:val="21"/>
            <w:u w:val="single"/>
            <w:lang w:val="en-US"/>
            <w14:ligatures w14:val="standardContextual"/>
          </w:rPr>
          <w:t>MADobrunova@fa.ru</w:t>
        </w:r>
      </w:hyperlink>
      <w:r w:rsidRPr="00C80798">
        <w:rPr>
          <w:rFonts w:ascii="Times New Roman" w:eastAsia="Calibri" w:hAnsi="Times New Roman" w:cs="Times New Roman"/>
          <w:i/>
          <w:iCs/>
          <w:kern w:val="2"/>
          <w:sz w:val="21"/>
          <w:szCs w:val="21"/>
          <w:lang w:val="en-US"/>
          <w14:ligatures w14:val="standardContextual"/>
        </w:rPr>
        <w:t xml:space="preserve"> </w:t>
      </w:r>
    </w:p>
    <w:p w14:paraId="0D70CA72" w14:textId="77777777" w:rsidR="00C80798" w:rsidRPr="00821857" w:rsidRDefault="00C80798" w:rsidP="00C80798">
      <w:pPr>
        <w:spacing w:after="0" w:line="240" w:lineRule="auto"/>
        <w:jc w:val="center"/>
        <w:rPr>
          <w:rFonts w:ascii="Times New Roman" w:eastAsia="Calibri" w:hAnsi="Times New Roman" w:cs="Times New Roman"/>
          <w:b/>
          <w:bCs/>
          <w:kern w:val="2"/>
          <w:sz w:val="21"/>
          <w:szCs w:val="21"/>
          <w:lang w:val="en-US"/>
          <w14:ligatures w14:val="standardContextual"/>
        </w:rPr>
      </w:pPr>
      <w:r w:rsidRPr="00C80798">
        <w:rPr>
          <w:rFonts w:ascii="Times New Roman" w:eastAsia="Calibri" w:hAnsi="Times New Roman" w:cs="Times New Roman"/>
          <w:b/>
          <w:bCs/>
          <w:kern w:val="2"/>
          <w:sz w:val="21"/>
          <w:szCs w:val="21"/>
          <w:lang w:val="en-US"/>
          <w14:ligatures w14:val="standardContextual"/>
        </w:rPr>
        <w:t>Impact and prevention of fraud on financial statements</w:t>
      </w:r>
    </w:p>
    <w:p w14:paraId="3B13311C" w14:textId="77777777" w:rsidR="00821857" w:rsidRPr="00C80798" w:rsidRDefault="00821857" w:rsidP="00C80798">
      <w:pPr>
        <w:spacing w:after="0" w:line="240" w:lineRule="auto"/>
        <w:jc w:val="center"/>
        <w:rPr>
          <w:rFonts w:ascii="Times New Roman" w:eastAsia="Calibri" w:hAnsi="Times New Roman" w:cs="Times New Roman"/>
          <w:b/>
          <w:bCs/>
          <w:kern w:val="2"/>
          <w:sz w:val="28"/>
          <w:szCs w:val="28"/>
          <w:lang w:val="en-US"/>
          <w14:ligatures w14:val="standardContextual"/>
        </w:rPr>
      </w:pPr>
    </w:p>
    <w:p w14:paraId="6A4FD3C3" w14:textId="77777777" w:rsidR="00C80798" w:rsidRPr="00C80798" w:rsidRDefault="00C80798" w:rsidP="00C80798">
      <w:pPr>
        <w:spacing w:after="0" w:line="240" w:lineRule="auto"/>
        <w:ind w:firstLine="709"/>
        <w:jc w:val="both"/>
        <w:rPr>
          <w:rFonts w:ascii="Times New Roman" w:eastAsia="Calibri" w:hAnsi="Times New Roman" w:cs="Times New Roman"/>
          <w:kern w:val="2"/>
          <w:sz w:val="21"/>
          <w:szCs w:val="21"/>
          <w:lang w:val="en-US"/>
          <w14:ligatures w14:val="standardContextual"/>
        </w:rPr>
      </w:pPr>
      <w:r w:rsidRPr="00C80798">
        <w:rPr>
          <w:rFonts w:ascii="Times New Roman" w:eastAsia="Calibri" w:hAnsi="Times New Roman" w:cs="Times New Roman"/>
          <w:b/>
          <w:bCs/>
          <w:kern w:val="2"/>
          <w:sz w:val="21"/>
          <w:szCs w:val="21"/>
          <w:lang w:val="en-US"/>
          <w14:ligatures w14:val="standardContextual"/>
        </w:rPr>
        <w:t>Abstract:</w:t>
      </w:r>
      <w:r w:rsidRPr="00C80798">
        <w:rPr>
          <w:rFonts w:ascii="Times New Roman" w:eastAsia="Calibri" w:hAnsi="Times New Roman" w:cs="Times New Roman"/>
          <w:kern w:val="2"/>
          <w:sz w:val="21"/>
          <w:szCs w:val="21"/>
          <w:lang w:val="en-US"/>
          <w14:ligatures w14:val="standardContextual"/>
        </w:rPr>
        <w:t xml:space="preserve"> The article examines the importance and relevance of fraud prevention in financial statements, methods of misrepresentation of accounting data, motives for their commission, as well as ways to prevent fraud in financial statements.</w:t>
      </w:r>
    </w:p>
    <w:p w14:paraId="137BE2D1" w14:textId="77777777" w:rsidR="00C80798" w:rsidRPr="00C80798" w:rsidRDefault="00C80798" w:rsidP="00C80798">
      <w:pPr>
        <w:spacing w:after="0" w:line="240" w:lineRule="auto"/>
        <w:ind w:firstLine="709"/>
        <w:jc w:val="both"/>
        <w:rPr>
          <w:rFonts w:ascii="Times New Roman" w:eastAsia="Calibri" w:hAnsi="Times New Roman" w:cs="Times New Roman"/>
          <w:kern w:val="2"/>
          <w:sz w:val="21"/>
          <w:szCs w:val="21"/>
          <w:lang w:val="en-US"/>
          <w14:ligatures w14:val="standardContextual"/>
        </w:rPr>
      </w:pPr>
      <w:r w:rsidRPr="00C80798">
        <w:rPr>
          <w:rFonts w:ascii="Times New Roman" w:eastAsia="Calibri" w:hAnsi="Times New Roman" w:cs="Times New Roman"/>
          <w:b/>
          <w:bCs/>
          <w:kern w:val="2"/>
          <w:sz w:val="21"/>
          <w:szCs w:val="21"/>
          <w:lang w:val="en-US"/>
          <w14:ligatures w14:val="standardContextual"/>
        </w:rPr>
        <w:t>Keywords:</w:t>
      </w:r>
      <w:r w:rsidRPr="00C80798">
        <w:rPr>
          <w:rFonts w:ascii="Times New Roman" w:eastAsia="Calibri" w:hAnsi="Times New Roman" w:cs="Times New Roman"/>
          <w:kern w:val="2"/>
          <w:sz w:val="21"/>
          <w:szCs w:val="21"/>
          <w:lang w:val="en-US"/>
          <w14:ligatures w14:val="standardContextual"/>
        </w:rPr>
        <w:t xml:space="preserve"> fraud, financial reporting, accounting.</w:t>
      </w:r>
    </w:p>
    <w:p w14:paraId="12B932E3" w14:textId="77777777" w:rsidR="00C80798" w:rsidRPr="00C80798" w:rsidRDefault="00C80798" w:rsidP="00C80798">
      <w:pPr>
        <w:spacing w:line="240" w:lineRule="auto"/>
        <w:ind w:left="644"/>
        <w:contextualSpacing/>
        <w:jc w:val="both"/>
        <w:rPr>
          <w:rFonts w:ascii="Times New Roman" w:eastAsia="Calibri" w:hAnsi="Times New Roman" w:cs="Times New Roman"/>
          <w:kern w:val="2"/>
          <w:sz w:val="32"/>
          <w:szCs w:val="32"/>
          <w:lang w:val="en-US"/>
          <w14:ligatures w14:val="standardContextual"/>
        </w:rPr>
      </w:pPr>
    </w:p>
    <w:p w14:paraId="65E1E277"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Внутренний аудит является важным инструментом управления, который направлен на оценку и улучшение эффективность операционных процессов и контроля в компании.</w:t>
      </w:r>
    </w:p>
    <w:p w14:paraId="25B9CB52" w14:textId="28F517C1"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Согласно Федеральному закону от 26.12.1995 №208-ФЗ «Об акционерных обществах» внутренний аудит – это деятельность по контролю за финансово-хозяйственной деятельностью организации осуществляемая ревизионной комиссией или внутренним аудитором [1]. Цель внутреннего аудита – обеспечение надежного управления компаний, а также улучшение ее финансового состояния за счет повышения эффективности систем внутреннего контроля, управления рисками и корпоративного управления.</w:t>
      </w:r>
    </w:p>
    <w:p w14:paraId="63B9C554"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 xml:space="preserve">Актуальность темы заключается в том, что внутренний аудит в наши дни трансформируется в инструмент оценки рисков, наблюдается смещение акцентов от оценки отдельных операций к оценке рисков в деятельности компании в целом. </w:t>
      </w:r>
    </w:p>
    <w:p w14:paraId="68D41EB9"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lastRenderedPageBreak/>
        <w:t>Риски возникновения убытков в результате ненадежности внутренних процедур управления компаний, недобросовестности сотрудников, отказа информационных систем или вследствие влияния на деятельность компании внешних событий являются операционными [2].</w:t>
      </w:r>
    </w:p>
    <w:p w14:paraId="2CAB9F09"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Выделяют следующие основные причины возникновения операционных рисков в организации (рисунок 1)</w:t>
      </w:r>
    </w:p>
    <w:p w14:paraId="4F00F176" w14:textId="77777777" w:rsidR="00C80798" w:rsidRPr="00C80798" w:rsidRDefault="00C80798" w:rsidP="00821857">
      <w:pPr>
        <w:spacing w:after="0" w:line="240" w:lineRule="auto"/>
        <w:contextualSpacing/>
        <w:jc w:val="center"/>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noProof/>
          <w:kern w:val="2"/>
          <w:sz w:val="32"/>
          <w:szCs w:val="32"/>
          <w:lang w:eastAsia="ru-RU"/>
          <w14:ligatures w14:val="standardContextual"/>
        </w:rPr>
        <mc:AlternateContent>
          <mc:Choice Requires="wpc">
            <w:drawing>
              <wp:inline distT="0" distB="0" distL="0" distR="0" wp14:anchorId="1D8D599B" wp14:editId="52B348A1">
                <wp:extent cx="6108700" cy="3257551"/>
                <wp:effectExtent l="0" t="0" r="6350" b="0"/>
                <wp:docPr id="2112080425"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00589728" name="Надпись 1000589728"/>
                        <wps:cNvSpPr txBox="1"/>
                        <wps:spPr>
                          <a:xfrm>
                            <a:off x="1428750" y="107934"/>
                            <a:ext cx="3251200" cy="558800"/>
                          </a:xfrm>
                          <a:prstGeom prst="rect">
                            <a:avLst/>
                          </a:prstGeom>
                          <a:solidFill>
                            <a:sysClr val="window" lastClr="FFFFFF"/>
                          </a:solidFill>
                          <a:ln w="6350">
                            <a:solidFill>
                              <a:prstClr val="black"/>
                            </a:solidFill>
                          </a:ln>
                        </wps:spPr>
                        <wps:txbx>
                          <w:txbxContent>
                            <w:p w14:paraId="401A9975" w14:textId="77777777" w:rsidR="00132A69" w:rsidRPr="00EC0574" w:rsidRDefault="00132A69" w:rsidP="00C80798">
                              <w:pPr>
                                <w:jc w:val="center"/>
                                <w:rPr>
                                  <w:rFonts w:ascii="Times New Roman" w:hAnsi="Times New Roman" w:cs="Times New Roman"/>
                                  <w:sz w:val="28"/>
                                  <w:szCs w:val="28"/>
                                </w:rPr>
                              </w:pPr>
                              <w:r w:rsidRPr="00EC0574">
                                <w:rPr>
                                  <w:rFonts w:ascii="Times New Roman" w:hAnsi="Times New Roman" w:cs="Times New Roman"/>
                                  <w:sz w:val="28"/>
                                  <w:szCs w:val="28"/>
                                </w:rPr>
                                <w:t xml:space="preserve">Причины возникновения операционных рисков в </w:t>
                              </w:r>
                              <w:r>
                                <w:rPr>
                                  <w:rFonts w:ascii="Times New Roman" w:hAnsi="Times New Roman" w:cs="Times New Roman"/>
                                  <w:sz w:val="28"/>
                                  <w:szCs w:val="28"/>
                                </w:rPr>
                                <w:t>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4860426" name="Надпись 1094860426"/>
                        <wps:cNvSpPr txBox="1"/>
                        <wps:spPr>
                          <a:xfrm>
                            <a:off x="171450" y="939518"/>
                            <a:ext cx="1568450" cy="1206782"/>
                          </a:xfrm>
                          <a:prstGeom prst="rect">
                            <a:avLst/>
                          </a:prstGeom>
                          <a:solidFill>
                            <a:sysClr val="window" lastClr="FFFFFF"/>
                          </a:solidFill>
                          <a:ln w="6350">
                            <a:solidFill>
                              <a:prstClr val="black"/>
                            </a:solidFill>
                          </a:ln>
                        </wps:spPr>
                        <wps:txbx>
                          <w:txbxContent>
                            <w:p w14:paraId="17B77A66" w14:textId="77777777" w:rsidR="00132A69" w:rsidRPr="00CE509F" w:rsidRDefault="00132A69" w:rsidP="00C80798">
                              <w:pPr>
                                <w:jc w:val="center"/>
                                <w:rPr>
                                  <w:rFonts w:ascii="Times New Roman" w:hAnsi="Times New Roman" w:cs="Times New Roman"/>
                                  <w:sz w:val="28"/>
                                  <w:szCs w:val="28"/>
                                </w:rPr>
                              </w:pPr>
                              <w:r w:rsidRPr="00CE509F">
                                <w:rPr>
                                  <w:rFonts w:ascii="Times New Roman" w:hAnsi="Times New Roman" w:cs="Times New Roman"/>
                                  <w:sz w:val="28"/>
                                  <w:szCs w:val="28"/>
                                </w:rPr>
                                <w:t>Случайные или преднамеренные действия людей или организаций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776559" name="Надпись 1"/>
                        <wps:cNvSpPr txBox="1"/>
                        <wps:spPr>
                          <a:xfrm>
                            <a:off x="2065950" y="948350"/>
                            <a:ext cx="1568450" cy="1206500"/>
                          </a:xfrm>
                          <a:prstGeom prst="rect">
                            <a:avLst/>
                          </a:prstGeom>
                          <a:solidFill>
                            <a:sysClr val="window" lastClr="FFFFFF"/>
                          </a:solidFill>
                          <a:ln w="6350">
                            <a:solidFill>
                              <a:prstClr val="black"/>
                            </a:solidFill>
                          </a:ln>
                        </wps:spPr>
                        <wps:txbx>
                          <w:txbxContent>
                            <w:p w14:paraId="38164F16" w14:textId="77777777" w:rsidR="00132A69" w:rsidRPr="00D93F28" w:rsidRDefault="00132A69" w:rsidP="00C80798">
                              <w:pPr>
                                <w:jc w:val="center"/>
                                <w:rPr>
                                  <w:rFonts w:ascii="Times New Roman" w:hAnsi="Times New Roman" w:cs="Times New Roman"/>
                                  <w:sz w:val="28"/>
                                  <w:szCs w:val="28"/>
                                </w:rPr>
                              </w:pPr>
                              <w:r w:rsidRPr="00D93F28">
                                <w:rPr>
                                  <w:rFonts w:ascii="Times New Roman" w:hAnsi="Times New Roman" w:cs="Times New Roman"/>
                                  <w:sz w:val="28"/>
                                  <w:szCs w:val="28"/>
                                </w:rPr>
                                <w:t>Несовершенство организационной структуры</w:t>
                              </w:r>
                              <w:r>
                                <w:rPr>
                                  <w:rFonts w:ascii="Times New Roman" w:hAnsi="Times New Roman" w:cs="Times New Roman"/>
                                  <w:sz w:val="28"/>
                                  <w:szCs w:val="28"/>
                                </w:rPr>
                                <w:t>, неэффективность процедур</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1989181" name="Надпись 1"/>
                        <wps:cNvSpPr txBox="1"/>
                        <wps:spPr>
                          <a:xfrm>
                            <a:off x="4009050" y="947924"/>
                            <a:ext cx="1712300" cy="1206500"/>
                          </a:xfrm>
                          <a:prstGeom prst="rect">
                            <a:avLst/>
                          </a:prstGeom>
                          <a:solidFill>
                            <a:sysClr val="window" lastClr="FFFFFF"/>
                          </a:solidFill>
                          <a:ln w="6350">
                            <a:solidFill>
                              <a:prstClr val="black"/>
                            </a:solidFill>
                          </a:ln>
                        </wps:spPr>
                        <wps:txbx>
                          <w:txbxContent>
                            <w:p w14:paraId="44E9DCE2" w14:textId="77777777" w:rsidR="00132A69" w:rsidRPr="001A0BED" w:rsidRDefault="00132A69" w:rsidP="00C80798">
                              <w:pPr>
                                <w:spacing w:line="256" w:lineRule="auto"/>
                                <w:jc w:val="center"/>
                                <w:rPr>
                                  <w:rFonts w:ascii="Times New Roman" w:eastAsia="Calibri" w:hAnsi="Times New Roman" w:cs="Times New Roman"/>
                                  <w:sz w:val="28"/>
                                  <w:szCs w:val="28"/>
                                </w:rPr>
                              </w:pPr>
                              <w:r w:rsidRPr="001A0BED">
                                <w:rPr>
                                  <w:rFonts w:ascii="Times New Roman" w:eastAsia="Calibri" w:hAnsi="Times New Roman" w:cs="Times New Roman"/>
                                  <w:sz w:val="28"/>
                                  <w:szCs w:val="28"/>
                                </w:rPr>
                                <w:t>Сбои в функционировании систем и оборудования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91371677" name="Надпись 1"/>
                        <wps:cNvSpPr txBox="1"/>
                        <wps:spPr>
                          <a:xfrm>
                            <a:off x="1043600" y="2363715"/>
                            <a:ext cx="1636100" cy="563636"/>
                          </a:xfrm>
                          <a:prstGeom prst="rect">
                            <a:avLst/>
                          </a:prstGeom>
                          <a:solidFill>
                            <a:sysClr val="window" lastClr="FFFFFF"/>
                          </a:solidFill>
                          <a:ln w="6350">
                            <a:solidFill>
                              <a:prstClr val="black"/>
                            </a:solidFill>
                          </a:ln>
                        </wps:spPr>
                        <wps:txbx>
                          <w:txbxContent>
                            <w:p w14:paraId="51CA614F" w14:textId="77777777" w:rsidR="00132A69" w:rsidRPr="00A32627" w:rsidRDefault="00132A69" w:rsidP="00C80798">
                              <w:pPr>
                                <w:spacing w:line="256" w:lineRule="auto"/>
                                <w:rPr>
                                  <w:rFonts w:ascii="Times New Roman" w:eastAsia="Calibri" w:hAnsi="Times New Roman" w:cs="Times New Roman"/>
                                  <w:sz w:val="28"/>
                                  <w:szCs w:val="28"/>
                                </w:rPr>
                              </w:pPr>
                              <w:r w:rsidRPr="00A32627">
                                <w:rPr>
                                  <w:rFonts w:ascii="Times New Roman" w:eastAsia="Calibri" w:hAnsi="Times New Roman" w:cs="Times New Roman"/>
                                  <w:sz w:val="28"/>
                                  <w:szCs w:val="28"/>
                                </w:rPr>
                                <w:t>Внешние факторы</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87289440" name="Надпись 1"/>
                        <wps:cNvSpPr txBox="1"/>
                        <wps:spPr>
                          <a:xfrm>
                            <a:off x="3183550" y="2349781"/>
                            <a:ext cx="1568450" cy="793469"/>
                          </a:xfrm>
                          <a:prstGeom prst="rect">
                            <a:avLst/>
                          </a:prstGeom>
                          <a:solidFill>
                            <a:sysClr val="window" lastClr="FFFFFF"/>
                          </a:solidFill>
                          <a:ln w="6350">
                            <a:solidFill>
                              <a:prstClr val="black"/>
                            </a:solidFill>
                          </a:ln>
                        </wps:spPr>
                        <wps:txbx>
                          <w:txbxContent>
                            <w:p w14:paraId="1D329F04" w14:textId="77777777" w:rsidR="00132A69" w:rsidRPr="000076F5" w:rsidRDefault="00132A69" w:rsidP="00C80798">
                              <w:pPr>
                                <w:spacing w:line="256" w:lineRule="auto"/>
                                <w:jc w:val="center"/>
                                <w:rPr>
                                  <w:rFonts w:ascii="Times New Roman" w:eastAsia="Calibri" w:hAnsi="Times New Roman" w:cs="Times New Roman"/>
                                  <w:sz w:val="28"/>
                                  <w:szCs w:val="28"/>
                                </w:rPr>
                              </w:pPr>
                              <w:r w:rsidRPr="000076F5">
                                <w:rPr>
                                  <w:rFonts w:ascii="Times New Roman" w:eastAsia="Calibri" w:hAnsi="Times New Roman" w:cs="Times New Roman"/>
                                  <w:sz w:val="28"/>
                                  <w:szCs w:val="28"/>
                                </w:rPr>
                                <w:t>Изменение в потребительском спросе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2504638" name="Соединитель: уступ 422504638"/>
                        <wps:cNvCnPr>
                          <a:stCxn id="1000589728" idx="1"/>
                          <a:endCxn id="1094860426" idx="0"/>
                        </wps:cNvCnPr>
                        <wps:spPr>
                          <a:xfrm rot="10800000" flipV="1">
                            <a:off x="882650" y="387275"/>
                            <a:ext cx="546100" cy="552101"/>
                          </a:xfrm>
                          <a:prstGeom prst="bentConnector2">
                            <a:avLst/>
                          </a:prstGeom>
                          <a:noFill/>
                          <a:ln w="6350" cap="flat" cmpd="sng" algn="ctr">
                            <a:solidFill>
                              <a:sysClr val="windowText" lastClr="000000"/>
                            </a:solidFill>
                            <a:prstDash val="solid"/>
                            <a:miter lim="800000"/>
                            <a:tailEnd type="triangle"/>
                          </a:ln>
                          <a:effectLst/>
                        </wps:spPr>
                        <wps:bodyPr/>
                      </wps:wsp>
                      <wps:wsp>
                        <wps:cNvPr id="831099358" name="Соединитель: уступ 831099358"/>
                        <wps:cNvCnPr>
                          <a:stCxn id="1000589728" idx="3"/>
                        </wps:cNvCnPr>
                        <wps:spPr>
                          <a:xfrm>
                            <a:off x="4679950" y="387276"/>
                            <a:ext cx="355600" cy="552101"/>
                          </a:xfrm>
                          <a:prstGeom prst="bentConnector2">
                            <a:avLst/>
                          </a:prstGeom>
                          <a:noFill/>
                          <a:ln w="6350" cap="flat" cmpd="sng" algn="ctr">
                            <a:solidFill>
                              <a:sysClr val="windowText" lastClr="000000"/>
                            </a:solidFill>
                            <a:prstDash val="solid"/>
                            <a:miter lim="800000"/>
                            <a:tailEnd type="triangle"/>
                          </a:ln>
                          <a:effectLst/>
                        </wps:spPr>
                        <wps:bodyPr/>
                      </wps:wsp>
                      <wps:wsp>
                        <wps:cNvPr id="25879734" name="Прямая со стрелкой 25879734"/>
                        <wps:cNvCnPr/>
                        <wps:spPr>
                          <a:xfrm>
                            <a:off x="2882900" y="673100"/>
                            <a:ext cx="0" cy="228600"/>
                          </a:xfrm>
                          <a:prstGeom prst="straightConnector1">
                            <a:avLst/>
                          </a:prstGeom>
                          <a:noFill/>
                          <a:ln w="6350" cap="flat" cmpd="sng" algn="ctr">
                            <a:solidFill>
                              <a:sysClr val="windowText" lastClr="000000"/>
                            </a:solidFill>
                            <a:prstDash val="solid"/>
                            <a:miter lim="800000"/>
                            <a:tailEnd type="triangle"/>
                          </a:ln>
                          <a:effectLst/>
                        </wps:spPr>
                        <wps:bodyPr/>
                      </wps:wsp>
                      <wps:wsp>
                        <wps:cNvPr id="502467664" name="Прямая со стрелкой 502467664"/>
                        <wps:cNvCnPr/>
                        <wps:spPr>
                          <a:xfrm>
                            <a:off x="1873250" y="666634"/>
                            <a:ext cx="6350" cy="1638416"/>
                          </a:xfrm>
                          <a:prstGeom prst="straightConnector1">
                            <a:avLst/>
                          </a:prstGeom>
                          <a:noFill/>
                          <a:ln w="6350" cap="flat" cmpd="sng" algn="ctr">
                            <a:solidFill>
                              <a:sysClr val="windowText" lastClr="000000"/>
                            </a:solidFill>
                            <a:prstDash val="solid"/>
                            <a:miter lim="800000"/>
                            <a:tailEnd type="triangle"/>
                          </a:ln>
                          <a:effectLst/>
                        </wps:spPr>
                        <wps:bodyPr/>
                      </wps:wsp>
                      <wps:wsp>
                        <wps:cNvPr id="2099488864" name="Прямая со стрелкой 2099488864"/>
                        <wps:cNvCnPr/>
                        <wps:spPr>
                          <a:xfrm>
                            <a:off x="3841750" y="666534"/>
                            <a:ext cx="0" cy="1663916"/>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1D8D599B" id="Полотно 19" o:spid="_x0000_s1026" editas="canvas" style="width:481pt;height:256.5pt;mso-position-horizontal-relative:char;mso-position-vertical-relative:line" coordsize="61087,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087;height:32575;visibility:visible;mso-wrap-style:square" filled="t">
                  <v:fill o:detectmouseclick="t"/>
                  <v:path o:connecttype="none"/>
                </v:shape>
                <v:shapetype id="_x0000_t202" coordsize="21600,21600" o:spt="202" path="m,l,21600r21600,l21600,xe">
                  <v:stroke joinstyle="miter"/>
                  <v:path gradientshapeok="t" o:connecttype="rect"/>
                </v:shapetype>
                <v:shape id="Надпись 1000589728" o:spid="_x0000_s1028" type="#_x0000_t202" style="position:absolute;left:14287;top:1079;width:32512;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" fillcolor="window" strokeweight=".5pt">
                  <v:textbox>
                    <w:txbxContent>
                      <w:p w14:paraId="401A9975" w14:textId="77777777" w:rsidR="00132A69" w:rsidRPr="00EC0574" w:rsidRDefault="00132A69" w:rsidP="00C80798">
                        <w:pPr>
                          <w:jc w:val="center"/>
                          <w:rPr>
                            <w:rFonts w:ascii="Times New Roman" w:hAnsi="Times New Roman" w:cs="Times New Roman"/>
                            <w:sz w:val="28"/>
                            <w:szCs w:val="28"/>
                          </w:rPr>
                        </w:pPr>
                        <w:r w:rsidRPr="00EC0574">
                          <w:rPr>
                            <w:rFonts w:ascii="Times New Roman" w:hAnsi="Times New Roman" w:cs="Times New Roman"/>
                            <w:sz w:val="28"/>
                            <w:szCs w:val="28"/>
                          </w:rPr>
                          <w:t xml:space="preserve">Причины возникновения операционных рисков в </w:t>
                        </w:r>
                        <w:r>
                          <w:rPr>
                            <w:rFonts w:ascii="Times New Roman" w:hAnsi="Times New Roman" w:cs="Times New Roman"/>
                            <w:sz w:val="28"/>
                            <w:szCs w:val="28"/>
                          </w:rPr>
                          <w:t>организации</w:t>
                        </w:r>
                      </w:p>
                    </w:txbxContent>
                  </v:textbox>
                </v:shape>
                <v:shape id="Надпись 1094860426" o:spid="_x0000_s1029" type="#_x0000_t202" style="position:absolute;left:1714;top:9395;width:15685;height:1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" fillcolor="window" strokeweight=".5pt">
                  <v:textbox>
                    <w:txbxContent>
                      <w:p w14:paraId="17B77A66" w14:textId="77777777" w:rsidR="00132A69" w:rsidRPr="00CE509F" w:rsidRDefault="00132A69" w:rsidP="00C80798">
                        <w:pPr>
                          <w:jc w:val="center"/>
                          <w:rPr>
                            <w:rFonts w:ascii="Times New Roman" w:hAnsi="Times New Roman" w:cs="Times New Roman"/>
                            <w:sz w:val="28"/>
                            <w:szCs w:val="28"/>
                          </w:rPr>
                        </w:pPr>
                        <w:r w:rsidRPr="00CE509F">
                          <w:rPr>
                            <w:rFonts w:ascii="Times New Roman" w:hAnsi="Times New Roman" w:cs="Times New Roman"/>
                            <w:sz w:val="28"/>
                            <w:szCs w:val="28"/>
                          </w:rPr>
                          <w:t>Случайные или преднамеренные действия людей или организаций</w:t>
                        </w:r>
                      </w:p>
                    </w:txbxContent>
                  </v:textbox>
                </v:shape>
                <v:shape id="Надпись 1" o:spid="_x0000_s1030" type="#_x0000_t202" style="position:absolute;left:20659;top:9483;width:15685;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" fillcolor="window" strokeweight=".5pt">
                  <v:textbox>
                    <w:txbxContent>
                      <w:p w14:paraId="38164F16" w14:textId="77777777" w:rsidR="00132A69" w:rsidRPr="00D93F28" w:rsidRDefault="00132A69" w:rsidP="00C80798">
                        <w:pPr>
                          <w:jc w:val="center"/>
                          <w:rPr>
                            <w:rFonts w:ascii="Times New Roman" w:hAnsi="Times New Roman" w:cs="Times New Roman"/>
                            <w:sz w:val="28"/>
                            <w:szCs w:val="28"/>
                          </w:rPr>
                        </w:pPr>
                        <w:r w:rsidRPr="00D93F28">
                          <w:rPr>
                            <w:rFonts w:ascii="Times New Roman" w:hAnsi="Times New Roman" w:cs="Times New Roman"/>
                            <w:sz w:val="28"/>
                            <w:szCs w:val="28"/>
                          </w:rPr>
                          <w:t>Несовершенство организационной структуры</w:t>
                        </w:r>
                        <w:r>
                          <w:rPr>
                            <w:rFonts w:ascii="Times New Roman" w:hAnsi="Times New Roman" w:cs="Times New Roman"/>
                            <w:sz w:val="28"/>
                            <w:szCs w:val="28"/>
                          </w:rPr>
                          <w:t>, неэффективность процедур</w:t>
                        </w:r>
                      </w:p>
                    </w:txbxContent>
                  </v:textbox>
                </v:shape>
                <v:shape id="Надпись 1" o:spid="_x0000_s1031" type="#_x0000_t202" style="position:absolute;left:40090;top:9479;width:17123;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" fillcolor="window" strokeweight=".5pt">
                  <v:textbox>
                    <w:txbxContent>
                      <w:p w14:paraId="44E9DCE2" w14:textId="77777777" w:rsidR="00132A69" w:rsidRPr="001A0BED" w:rsidRDefault="00132A69" w:rsidP="00C80798">
                        <w:pPr>
                          <w:spacing w:line="256" w:lineRule="auto"/>
                          <w:jc w:val="center"/>
                          <w:rPr>
                            <w:rFonts w:ascii="Times New Roman" w:eastAsia="Calibri" w:hAnsi="Times New Roman" w:cs="Times New Roman"/>
                            <w:sz w:val="28"/>
                            <w:szCs w:val="28"/>
                          </w:rPr>
                        </w:pPr>
                        <w:r w:rsidRPr="001A0BED">
                          <w:rPr>
                            <w:rFonts w:ascii="Times New Roman" w:eastAsia="Calibri" w:hAnsi="Times New Roman" w:cs="Times New Roman"/>
                            <w:sz w:val="28"/>
                            <w:szCs w:val="28"/>
                          </w:rPr>
                          <w:t>Сбои в функционировании систем и оборудования</w:t>
                        </w:r>
                      </w:p>
                    </w:txbxContent>
                  </v:textbox>
                </v:shape>
                <v:shape id="Надпись 1" o:spid="_x0000_s1032" type="#_x0000_t202" style="position:absolute;left:10436;top:23637;width:16361;height:5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" fillcolor="window" strokeweight=".5pt">
                  <v:textbox>
                    <w:txbxContent>
                      <w:p w14:paraId="51CA614F" w14:textId="77777777" w:rsidR="00132A69" w:rsidRPr="00A32627" w:rsidRDefault="00132A69" w:rsidP="00C80798">
                        <w:pPr>
                          <w:spacing w:line="256" w:lineRule="auto"/>
                          <w:rPr>
                            <w:rFonts w:ascii="Times New Roman" w:eastAsia="Calibri" w:hAnsi="Times New Roman" w:cs="Times New Roman"/>
                            <w:sz w:val="28"/>
                            <w:szCs w:val="28"/>
                          </w:rPr>
                        </w:pPr>
                        <w:r w:rsidRPr="00A32627">
                          <w:rPr>
                            <w:rFonts w:ascii="Times New Roman" w:eastAsia="Calibri" w:hAnsi="Times New Roman" w:cs="Times New Roman"/>
                            <w:sz w:val="28"/>
                            <w:szCs w:val="28"/>
                          </w:rPr>
                          <w:t>Внешние факторы</w:t>
                        </w:r>
                      </w:p>
                    </w:txbxContent>
                  </v:textbox>
                </v:shape>
                <v:shape id="Надпись 1" o:spid="_x0000_s1033" type="#_x0000_t202" style="position:absolute;left:31835;top:23497;width:15685;height:7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" fillcolor="window" strokeweight=".5pt">
                  <v:textbox>
                    <w:txbxContent>
                      <w:p w14:paraId="1D329F04" w14:textId="77777777" w:rsidR="00132A69" w:rsidRPr="000076F5" w:rsidRDefault="00132A69" w:rsidP="00C80798">
                        <w:pPr>
                          <w:spacing w:line="256" w:lineRule="auto"/>
                          <w:jc w:val="center"/>
                          <w:rPr>
                            <w:rFonts w:ascii="Times New Roman" w:eastAsia="Calibri" w:hAnsi="Times New Roman" w:cs="Times New Roman"/>
                            <w:sz w:val="28"/>
                            <w:szCs w:val="28"/>
                          </w:rPr>
                        </w:pPr>
                        <w:r w:rsidRPr="000076F5">
                          <w:rPr>
                            <w:rFonts w:ascii="Times New Roman" w:eastAsia="Calibri" w:hAnsi="Times New Roman" w:cs="Times New Roman"/>
                            <w:sz w:val="28"/>
                            <w:szCs w:val="28"/>
                          </w:rPr>
                          <w:t>Изменение в потребительском спросе</w:t>
                        </w:r>
                      </w:p>
                    </w:txbxContent>
                  </v:textbox>
                </v:shape>
                <v:shapetype id="_x0000_t33" coordsize="21600,21600" o:spt="33" o:oned="t" path="m,l21600,r,21600e" filled="f">
                  <v:stroke joinstyle="miter"/>
                  <v:path arrowok="t" fillok="f" o:connecttype="none"/>
                  <o:lock v:ext="edit" shapetype="t"/>
                </v:shapetype>
                <v:shape id="Соединитель: уступ 422504638" o:spid="_x0000_s1034" type="#_x0000_t33" style="position:absolute;left:8826;top:3872;width:5461;height:552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" strokecolor="windowText" strokeweight=".5pt">
                  <v:stroke endarrow="block"/>
                </v:shape>
                <v:shape id="Соединитель: уступ 831099358" o:spid="_x0000_s1035" type="#_x0000_t33" style="position:absolute;left:46799;top:3872;width:3556;height:552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" strokecolor="windowText" strokeweight=".5pt">
                  <v:stroke endarrow="block"/>
                </v:shape>
                <v:shapetype id="_x0000_t32" coordsize="21600,21600" o:spt="32" o:oned="t" path="m,l21600,21600e" filled="f">
                  <v:path arrowok="t" fillok="f" o:connecttype="none"/>
                  <o:lock v:ext="edit" shapetype="t"/>
                </v:shapetype>
                <v:shape id="Прямая со стрелкой 25879734" o:spid="_x0000_s1036" type="#_x0000_t32" style="position:absolute;left:28829;top:6731;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" strokecolor="windowText" strokeweight=".5pt">
                  <v:stroke endarrow="block" joinstyle="miter"/>
                </v:shape>
                <v:shape id="Прямая со стрелкой 502467664" o:spid="_x0000_s1037" type="#_x0000_t32" style="position:absolute;left:18732;top:6666;width:64;height:16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" strokecolor="windowText" strokeweight=".5pt">
                  <v:stroke endarrow="block" joinstyle="miter"/>
                </v:shape>
                <v:shape id="Прямая со стрелкой 2099488864" o:spid="_x0000_s1038" type="#_x0000_t32" style="position:absolute;left:38417;top:6665;width:0;height:16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" strokecolor="windowText" strokeweight=".5pt">
                  <v:stroke endarrow="block" joinstyle="miter"/>
                </v:shape>
                <w10:anchorlock/>
              </v:group>
            </w:pict>
          </mc:Fallback>
        </mc:AlternateContent>
      </w:r>
    </w:p>
    <w:p w14:paraId="723C29DC" w14:textId="77777777" w:rsidR="00C80798" w:rsidRPr="00C80798" w:rsidRDefault="00C80798" w:rsidP="00821857">
      <w:pPr>
        <w:spacing w:after="0" w:line="240" w:lineRule="auto"/>
        <w:ind w:firstLine="709"/>
        <w:contextualSpacing/>
        <w:jc w:val="center"/>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Рисунок 1 – Причины возникновения операционных рисков в организации</w:t>
      </w:r>
    </w:p>
    <w:p w14:paraId="091ECFA4"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p>
    <w:p w14:paraId="7E107DA6"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 xml:space="preserve">Управление операционными рисками необходимо для поддержания устойчивости бизнеса, защиты активов компании, ее репутации, а также для минимизации финансовых потерь. Внутренний аудит играет в этом вопросе важную роль, так как аудит выявляет не только недостатки, но и предлагает рекомендации по улучшению управленческих процессов, которые в результате могут минимизировать операционные риски. </w:t>
      </w:r>
    </w:p>
    <w:p w14:paraId="59B1368D"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 xml:space="preserve">Наглядным примером недостаточности внутреннего контроля является компания </w:t>
      </w:r>
      <w:r w:rsidRPr="00C80798">
        <w:rPr>
          <w:rFonts w:ascii="Times New Roman" w:eastAsia="Calibri" w:hAnsi="Times New Roman" w:cs="Times New Roman"/>
          <w:kern w:val="2"/>
          <w:sz w:val="32"/>
          <w:szCs w:val="32"/>
          <w:lang w:val="en-US"/>
          <w14:ligatures w14:val="standardContextual"/>
        </w:rPr>
        <w:t>Enron</w:t>
      </w:r>
      <w:r w:rsidRPr="00C80798">
        <w:rPr>
          <w:rFonts w:ascii="Times New Roman" w:eastAsia="Calibri" w:hAnsi="Times New Roman" w:cs="Times New Roman"/>
          <w:kern w:val="2"/>
          <w:sz w:val="32"/>
          <w:szCs w:val="32"/>
          <w14:ligatures w14:val="standardContextual"/>
        </w:rPr>
        <w:t xml:space="preserve">, которая манипулировала финансовыми показателями. Организация скрывала реальные долговые обязательства посредством перевода активов на аффилированные структуры, что позволяло руководству искажать реальную картину прибыли и демонстрировать инвесторам завышенную финансовую устойчивость. Расследование вскрыло систематические нарушения принципов корпоративного управления и бухгалтерского учета, </w:t>
      </w:r>
      <w:r w:rsidRPr="00C80798">
        <w:rPr>
          <w:rFonts w:ascii="Times New Roman" w:eastAsia="Calibri" w:hAnsi="Times New Roman" w:cs="Times New Roman"/>
          <w:kern w:val="2"/>
          <w:sz w:val="32"/>
          <w:szCs w:val="32"/>
          <w14:ligatures w14:val="standardContextual"/>
        </w:rPr>
        <w:lastRenderedPageBreak/>
        <w:t>приведшие к массовым потерям акционеров и сотрудников компании. Принятие закона Сарбейнза-Оксли стало реакцией государства на обнаруженные злоупотребления, усилив контроль над соблюдением стандартов отчетности и защищенности прав инвесторов.</w:t>
      </w:r>
    </w:p>
    <w:p w14:paraId="7E8692C4"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 xml:space="preserve">Существуют международные стандарты, такие как </w:t>
      </w:r>
      <w:r w:rsidRPr="00C80798">
        <w:rPr>
          <w:rFonts w:ascii="Times New Roman" w:eastAsia="Calibri" w:hAnsi="Times New Roman" w:cs="Times New Roman"/>
          <w:kern w:val="2"/>
          <w:sz w:val="32"/>
          <w:szCs w:val="32"/>
          <w:lang w:val="en-US"/>
          <w14:ligatures w14:val="standardContextual"/>
        </w:rPr>
        <w:t>ISO</w:t>
      </w:r>
      <w:r w:rsidRPr="00C80798">
        <w:rPr>
          <w:rFonts w:ascii="Times New Roman" w:eastAsia="Calibri" w:hAnsi="Times New Roman" w:cs="Times New Roman"/>
          <w:kern w:val="2"/>
          <w:sz w:val="32"/>
          <w:szCs w:val="32"/>
          <w14:ligatures w14:val="standardContextual"/>
        </w:rPr>
        <w:t xml:space="preserve"> 31000 «Управление рисками» и </w:t>
      </w:r>
      <w:r w:rsidRPr="00C80798">
        <w:rPr>
          <w:rFonts w:ascii="Times New Roman" w:eastAsia="Calibri" w:hAnsi="Times New Roman" w:cs="Times New Roman"/>
          <w:kern w:val="2"/>
          <w:sz w:val="32"/>
          <w:szCs w:val="32"/>
          <w:lang w:val="en-US"/>
          <w14:ligatures w14:val="standardContextual"/>
        </w:rPr>
        <w:t>COSO</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The</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Committee</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of</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Sponsoring</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Organizations</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of</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the</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Treadway</w:t>
      </w:r>
      <w:r w:rsidRPr="00C80798">
        <w:rPr>
          <w:rFonts w:ascii="Times New Roman" w:eastAsia="Calibri" w:hAnsi="Times New Roman" w:cs="Times New Roman"/>
          <w:kern w:val="2"/>
          <w:sz w:val="32"/>
          <w:szCs w:val="32"/>
          <w14:ligatures w14:val="standardContextual"/>
        </w:rPr>
        <w:t xml:space="preserve"> </w:t>
      </w:r>
      <w:r w:rsidRPr="00C80798">
        <w:rPr>
          <w:rFonts w:ascii="Times New Roman" w:eastAsia="Calibri" w:hAnsi="Times New Roman" w:cs="Times New Roman"/>
          <w:kern w:val="2"/>
          <w:sz w:val="32"/>
          <w:szCs w:val="32"/>
          <w:lang w:val="en-US"/>
          <w14:ligatures w14:val="standardContextual"/>
        </w:rPr>
        <w:t>Commission</w:t>
      </w:r>
      <w:r w:rsidRPr="00C80798">
        <w:rPr>
          <w:rFonts w:ascii="Times New Roman" w:eastAsia="Calibri" w:hAnsi="Times New Roman" w:cs="Times New Roman"/>
          <w:kern w:val="2"/>
          <w:sz w:val="32"/>
          <w:szCs w:val="32"/>
          <w14:ligatures w14:val="standardContextual"/>
        </w:rPr>
        <w:t xml:space="preserve">) – модель, которая разрабатывает рекомендации для корпоративного руководства. Проводя внутренний аудит организации, можно использовать эти принципы для оценки эффективности существующих систем управления. </w:t>
      </w:r>
    </w:p>
    <w:p w14:paraId="0BB9575A"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В наши дни существует достаточно большое количество подходов к управлению операционными рисками. Одним из них является интегрированный подход. Он заключается в комплексном выявлении, оценке, управлении и мониторинге рисков в различных бизнес-функциях. Данный подход позволяет принимать организациям единую стратегию управления, как операционными, так и стратегическими рисками, что обеспечивает долгосрочную устойчивость компании [3]. Интегрированный подход основывается на взаимодействии различных подразделений и уровнях управления, а также на использовании современных инструментов и методик.</w:t>
      </w:r>
    </w:p>
    <w:p w14:paraId="6058CBC5"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 xml:space="preserve">Использование технологий в управлении операционными рисками становится все более распространенным. Современные аудиторские инструменты включают (рисунок 2) [4]: </w:t>
      </w:r>
    </w:p>
    <w:p w14:paraId="498E279F" w14:textId="77777777" w:rsidR="00C80798" w:rsidRPr="00C80798" w:rsidRDefault="00C80798" w:rsidP="00C80798">
      <w:pPr>
        <w:spacing w:after="0" w:line="240" w:lineRule="auto"/>
        <w:ind w:hanging="142"/>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noProof/>
          <w:kern w:val="2"/>
          <w:sz w:val="32"/>
          <w:szCs w:val="32"/>
          <w:lang w:eastAsia="ru-RU"/>
          <w14:ligatures w14:val="standardContextual"/>
        </w:rPr>
        <mc:AlternateContent>
          <mc:Choice Requires="wpc">
            <w:drawing>
              <wp:inline distT="0" distB="0" distL="0" distR="0" wp14:anchorId="42F6209B" wp14:editId="774DA529">
                <wp:extent cx="6648450" cy="3343275"/>
                <wp:effectExtent l="0" t="0" r="0" b="9525"/>
                <wp:docPr id="295926723"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10584111" name="Надпись 1910584111"/>
                        <wps:cNvSpPr txBox="1"/>
                        <wps:spPr>
                          <a:xfrm>
                            <a:off x="1822450" y="101600"/>
                            <a:ext cx="3708400" cy="381000"/>
                          </a:xfrm>
                          <a:prstGeom prst="rect">
                            <a:avLst/>
                          </a:prstGeom>
                          <a:solidFill>
                            <a:sysClr val="window" lastClr="FFFFFF"/>
                          </a:solidFill>
                          <a:ln w="6350">
                            <a:solidFill>
                              <a:prstClr val="black"/>
                            </a:solidFill>
                          </a:ln>
                        </wps:spPr>
                        <wps:txbx>
                          <w:txbxContent>
                            <w:p w14:paraId="5643A590" w14:textId="77777777" w:rsidR="00132A69" w:rsidRPr="001E0335" w:rsidRDefault="00132A69" w:rsidP="00C80798">
                              <w:pPr>
                                <w:jc w:val="center"/>
                                <w:rPr>
                                  <w:rFonts w:ascii="Times New Roman" w:hAnsi="Times New Roman" w:cs="Times New Roman"/>
                                  <w:sz w:val="28"/>
                                  <w:szCs w:val="28"/>
                                </w:rPr>
                              </w:pPr>
                              <w:r w:rsidRPr="001E0335">
                                <w:rPr>
                                  <w:rFonts w:ascii="Times New Roman" w:hAnsi="Times New Roman" w:cs="Times New Roman"/>
                                  <w:sz w:val="28"/>
                                  <w:szCs w:val="28"/>
                                </w:rPr>
                                <w:t>Аудиторские инструменты выявления рисков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9857832" name="Надпись 1269857832"/>
                        <wps:cNvSpPr txBox="1"/>
                        <wps:spPr>
                          <a:xfrm>
                            <a:off x="558800" y="819150"/>
                            <a:ext cx="1530350" cy="520700"/>
                          </a:xfrm>
                          <a:prstGeom prst="rect">
                            <a:avLst/>
                          </a:prstGeom>
                          <a:solidFill>
                            <a:sysClr val="window" lastClr="FFFFFF"/>
                          </a:solidFill>
                          <a:ln w="6350">
                            <a:solidFill>
                              <a:prstClr val="black"/>
                            </a:solidFill>
                          </a:ln>
                        </wps:spPr>
                        <wps:txbx>
                          <w:txbxContent>
                            <w:p w14:paraId="5A0FAA41" w14:textId="77777777" w:rsidR="00132A69" w:rsidRPr="00247F01" w:rsidRDefault="00132A69" w:rsidP="00C80798">
                              <w:pPr>
                                <w:jc w:val="center"/>
                                <w:rPr>
                                  <w:rFonts w:ascii="Times New Roman" w:hAnsi="Times New Roman" w:cs="Times New Roman"/>
                                  <w:sz w:val="28"/>
                                  <w:szCs w:val="28"/>
                                </w:rPr>
                              </w:pPr>
                              <w:r w:rsidRPr="00247F01">
                                <w:rPr>
                                  <w:rFonts w:ascii="Times New Roman" w:hAnsi="Times New Roman" w:cs="Times New Roman"/>
                                  <w:sz w:val="28"/>
                                  <w:szCs w:val="28"/>
                                </w:rPr>
                                <w:t>Аналитика данных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0166249" name="Надпись 970166249"/>
                        <wps:cNvSpPr txBox="1"/>
                        <wps:spPr>
                          <a:xfrm>
                            <a:off x="2457450" y="711200"/>
                            <a:ext cx="4057650" cy="806450"/>
                          </a:xfrm>
                          <a:prstGeom prst="rect">
                            <a:avLst/>
                          </a:prstGeom>
                          <a:solidFill>
                            <a:sysClr val="window" lastClr="FFFFFF"/>
                          </a:solidFill>
                          <a:ln w="6350">
                            <a:solidFill>
                              <a:prstClr val="black"/>
                            </a:solidFill>
                          </a:ln>
                        </wps:spPr>
                        <wps:txbx>
                          <w:txbxContent>
                            <w:p w14:paraId="68A59328" w14:textId="77777777" w:rsidR="00132A69" w:rsidRPr="00EC2D5B" w:rsidRDefault="00132A69" w:rsidP="00C80798">
                              <w:pPr>
                                <w:jc w:val="both"/>
                                <w:rPr>
                                  <w:rFonts w:ascii="Times New Roman" w:hAnsi="Times New Roman" w:cs="Times New Roman"/>
                                  <w:sz w:val="28"/>
                                  <w:szCs w:val="28"/>
                                </w:rPr>
                              </w:pPr>
                              <w:r w:rsidRPr="00EC2D5B">
                                <w:rPr>
                                  <w:rFonts w:ascii="Times New Roman" w:hAnsi="Times New Roman" w:cs="Times New Roman"/>
                                  <w:sz w:val="28"/>
                                  <w:szCs w:val="28"/>
                                </w:rPr>
                                <w:t>позволяет выявлять аномалии и тенденции в данных, которые могут указывать на операционные риски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154144" name="Надпись 1"/>
                        <wps:cNvSpPr txBox="1"/>
                        <wps:spPr>
                          <a:xfrm>
                            <a:off x="580050" y="1754800"/>
                            <a:ext cx="1483700" cy="537550"/>
                          </a:xfrm>
                          <a:prstGeom prst="rect">
                            <a:avLst/>
                          </a:prstGeom>
                          <a:solidFill>
                            <a:sysClr val="window" lastClr="FFFFFF"/>
                          </a:solidFill>
                          <a:ln w="6350">
                            <a:solidFill>
                              <a:prstClr val="black"/>
                            </a:solidFill>
                          </a:ln>
                        </wps:spPr>
                        <wps:txbx>
                          <w:txbxContent>
                            <w:p w14:paraId="54E38AA5" w14:textId="77777777" w:rsidR="00132A69" w:rsidRPr="00610EA6" w:rsidRDefault="00132A69" w:rsidP="00C80798">
                              <w:pPr>
                                <w:spacing w:after="0" w:line="240" w:lineRule="auto"/>
                                <w:jc w:val="center"/>
                                <w:rPr>
                                  <w:rFonts w:ascii="Times New Roman" w:eastAsia="Calibri" w:hAnsi="Times New Roman" w:cs="Times New Roman"/>
                                  <w:sz w:val="28"/>
                                  <w:szCs w:val="28"/>
                                </w:rPr>
                              </w:pPr>
                              <w:r w:rsidRPr="00610EA6">
                                <w:rPr>
                                  <w:rFonts w:ascii="Times New Roman" w:eastAsia="Calibri" w:hAnsi="Times New Roman" w:cs="Times New Roman"/>
                                  <w:sz w:val="28"/>
                                  <w:szCs w:val="28"/>
                                </w:rPr>
                                <w:t>Автоматизация процессов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9016798" name="Надпись 1"/>
                        <wps:cNvSpPr txBox="1"/>
                        <wps:spPr>
                          <a:xfrm>
                            <a:off x="2457450" y="1761150"/>
                            <a:ext cx="4057650" cy="531200"/>
                          </a:xfrm>
                          <a:prstGeom prst="rect">
                            <a:avLst/>
                          </a:prstGeom>
                          <a:solidFill>
                            <a:sysClr val="window" lastClr="FFFFFF"/>
                          </a:solidFill>
                          <a:ln w="6350">
                            <a:solidFill>
                              <a:prstClr val="black"/>
                            </a:solidFill>
                          </a:ln>
                        </wps:spPr>
                        <wps:txbx>
                          <w:txbxContent>
                            <w:p w14:paraId="250A0CE2" w14:textId="77777777" w:rsidR="00132A69" w:rsidRPr="00A91D51" w:rsidRDefault="00132A69" w:rsidP="00C80798">
                              <w:pPr>
                                <w:spacing w:after="0" w:line="240" w:lineRule="auto"/>
                                <w:jc w:val="both"/>
                                <w:rPr>
                                  <w:rFonts w:ascii="Times New Roman" w:hAnsi="Times New Roman" w:cs="Times New Roman"/>
                                  <w:sz w:val="28"/>
                                  <w:szCs w:val="28"/>
                                </w:rPr>
                              </w:pPr>
                              <w:r w:rsidRPr="00A91D51">
                                <w:rPr>
                                  <w:rFonts w:ascii="Times New Roman" w:hAnsi="Times New Roman" w:cs="Times New Roman"/>
                                  <w:sz w:val="28"/>
                                  <w:szCs w:val="28"/>
                                </w:rPr>
                                <w:t>Снижает вероятность ошибок и способствует стандартизации процессов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35975412" name="Надпись 1"/>
                        <wps:cNvSpPr txBox="1"/>
                        <wps:spPr>
                          <a:xfrm>
                            <a:off x="535600" y="2624750"/>
                            <a:ext cx="1483360" cy="537210"/>
                          </a:xfrm>
                          <a:prstGeom prst="rect">
                            <a:avLst/>
                          </a:prstGeom>
                          <a:solidFill>
                            <a:sysClr val="window" lastClr="FFFFFF"/>
                          </a:solidFill>
                          <a:ln w="6350">
                            <a:solidFill>
                              <a:prstClr val="black"/>
                            </a:solidFill>
                          </a:ln>
                        </wps:spPr>
                        <wps:txbx>
                          <w:txbxContent>
                            <w:p w14:paraId="59EB4612" w14:textId="77777777" w:rsidR="00132A69" w:rsidRPr="00AB7CE6" w:rsidRDefault="00132A69" w:rsidP="00C80798">
                              <w:pPr>
                                <w:spacing w:line="256" w:lineRule="auto"/>
                                <w:jc w:val="center"/>
                                <w:rPr>
                                  <w:rFonts w:ascii="Times New Roman" w:eastAsia="Calibri" w:hAnsi="Times New Roman" w:cs="Times New Roman"/>
                                  <w:sz w:val="28"/>
                                  <w:szCs w:val="28"/>
                                </w:rPr>
                              </w:pPr>
                              <w:r w:rsidRPr="00AB7CE6">
                                <w:rPr>
                                  <w:rFonts w:ascii="Times New Roman" w:eastAsia="Calibri" w:hAnsi="Times New Roman" w:cs="Times New Roman"/>
                                  <w:sz w:val="28"/>
                                  <w:szCs w:val="28"/>
                                </w:rPr>
                                <w:t>Индикаторы риска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60276979" name="Надпись 1"/>
                        <wps:cNvSpPr txBox="1"/>
                        <wps:spPr>
                          <a:xfrm>
                            <a:off x="2434250" y="2542200"/>
                            <a:ext cx="4057650" cy="709000"/>
                          </a:xfrm>
                          <a:prstGeom prst="rect">
                            <a:avLst/>
                          </a:prstGeom>
                          <a:solidFill>
                            <a:sysClr val="window" lastClr="FFFFFF"/>
                          </a:solidFill>
                          <a:ln w="6350">
                            <a:solidFill>
                              <a:prstClr val="black"/>
                            </a:solidFill>
                          </a:ln>
                        </wps:spPr>
                        <wps:txbx>
                          <w:txbxContent>
                            <w:p w14:paraId="4929FC49" w14:textId="77777777" w:rsidR="00132A69" w:rsidRPr="00AB7CE6" w:rsidRDefault="00132A69" w:rsidP="00C80798">
                              <w:pPr>
                                <w:spacing w:after="0" w:line="240" w:lineRule="auto"/>
                                <w:jc w:val="both"/>
                                <w:rPr>
                                  <w:rFonts w:ascii="Times New Roman" w:eastAsia="Calibri" w:hAnsi="Times New Roman" w:cs="Times New Roman"/>
                                  <w:sz w:val="28"/>
                                  <w:szCs w:val="28"/>
                                </w:rPr>
                              </w:pPr>
                              <w:r w:rsidRPr="00AB7CE6">
                                <w:rPr>
                                  <w:rFonts w:ascii="Times New Roman" w:eastAsia="Calibri" w:hAnsi="Times New Roman" w:cs="Times New Roman"/>
                                  <w:sz w:val="28"/>
                                  <w:szCs w:val="28"/>
                                </w:rPr>
                                <w:t>Применение ключевых индикаторов производительности и индикаторов риска для мониторинга потенциальных угроз</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79337402" name="Соединитель: уступ 1379337402"/>
                        <wps:cNvCnPr>
                          <a:endCxn id="1035975412" idx="1"/>
                        </wps:cNvCnPr>
                        <wps:spPr>
                          <a:xfrm rot="5400000">
                            <a:off x="-159702" y="923902"/>
                            <a:ext cx="2664755" cy="1274150"/>
                          </a:xfrm>
                          <a:prstGeom prst="bentConnector4">
                            <a:avLst>
                              <a:gd name="adj1" fmla="val -78"/>
                              <a:gd name="adj2" fmla="val 130400"/>
                            </a:avLst>
                          </a:prstGeom>
                          <a:noFill/>
                          <a:ln w="6350" cap="flat" cmpd="sng" algn="ctr">
                            <a:solidFill>
                              <a:sysClr val="windowText" lastClr="000000"/>
                            </a:solidFill>
                            <a:prstDash val="solid"/>
                            <a:miter lim="800000"/>
                            <a:tailEnd type="triangle"/>
                          </a:ln>
                          <a:effectLst/>
                        </wps:spPr>
                        <wps:bodyPr/>
                      </wps:wsp>
                      <wps:wsp>
                        <wps:cNvPr id="1737881471" name="Прямая со стрелкой 1737881471"/>
                        <wps:cNvCnPr>
                          <a:endCxn id="1269857832" idx="1"/>
                        </wps:cNvCnPr>
                        <wps:spPr>
                          <a:xfrm>
                            <a:off x="146050" y="1073150"/>
                            <a:ext cx="412750" cy="6350"/>
                          </a:xfrm>
                          <a:prstGeom prst="straightConnector1">
                            <a:avLst/>
                          </a:prstGeom>
                          <a:noFill/>
                          <a:ln w="6350" cap="flat" cmpd="sng" algn="ctr">
                            <a:solidFill>
                              <a:sysClr val="windowText" lastClr="000000"/>
                            </a:solidFill>
                            <a:prstDash val="solid"/>
                            <a:miter lim="800000"/>
                            <a:tailEnd type="triangle"/>
                          </a:ln>
                          <a:effectLst/>
                        </wps:spPr>
                        <wps:bodyPr/>
                      </wps:wsp>
                      <wps:wsp>
                        <wps:cNvPr id="1032623634" name="Прямая со стрелкой 1032623634"/>
                        <wps:cNvCnPr>
                          <a:endCxn id="763154144" idx="1"/>
                        </wps:cNvCnPr>
                        <wps:spPr>
                          <a:xfrm>
                            <a:off x="139700" y="2023575"/>
                            <a:ext cx="440350" cy="0"/>
                          </a:xfrm>
                          <a:prstGeom prst="straightConnector1">
                            <a:avLst/>
                          </a:prstGeom>
                          <a:noFill/>
                          <a:ln w="6350" cap="flat" cmpd="sng" algn="ctr">
                            <a:solidFill>
                              <a:sysClr val="windowText" lastClr="000000"/>
                            </a:solidFill>
                            <a:prstDash val="solid"/>
                            <a:miter lim="800000"/>
                            <a:tailEnd type="triangle"/>
                          </a:ln>
                          <a:effectLst/>
                        </wps:spPr>
                        <wps:bodyPr/>
                      </wps:wsp>
                      <wps:wsp>
                        <wps:cNvPr id="462797645" name="Прямая соединительная линия 462797645"/>
                        <wps:cNvCnPr>
                          <a:stCxn id="1269857832" idx="3"/>
                        </wps:cNvCnPr>
                        <wps:spPr>
                          <a:xfrm>
                            <a:off x="2089150" y="1079500"/>
                            <a:ext cx="361950" cy="6350"/>
                          </a:xfrm>
                          <a:prstGeom prst="line">
                            <a:avLst/>
                          </a:prstGeom>
                          <a:noFill/>
                          <a:ln w="6350" cap="flat" cmpd="sng" algn="ctr">
                            <a:solidFill>
                              <a:sysClr val="windowText" lastClr="000000"/>
                            </a:solidFill>
                            <a:prstDash val="solid"/>
                            <a:miter lim="800000"/>
                          </a:ln>
                          <a:effectLst/>
                        </wps:spPr>
                        <wps:bodyPr/>
                      </wps:wsp>
                      <wps:wsp>
                        <wps:cNvPr id="586990031" name="Прямая соединительная линия 586990031"/>
                        <wps:cNvCnPr>
                          <a:stCxn id="763154144" idx="3"/>
                          <a:endCxn id="549016798" idx="1"/>
                        </wps:cNvCnPr>
                        <wps:spPr>
                          <a:xfrm>
                            <a:off x="2063750" y="2023575"/>
                            <a:ext cx="393700" cy="3175"/>
                          </a:xfrm>
                          <a:prstGeom prst="line">
                            <a:avLst/>
                          </a:prstGeom>
                          <a:noFill/>
                          <a:ln w="6350" cap="flat" cmpd="sng" algn="ctr">
                            <a:solidFill>
                              <a:sysClr val="windowText" lastClr="000000"/>
                            </a:solidFill>
                            <a:prstDash val="solid"/>
                            <a:miter lim="800000"/>
                          </a:ln>
                          <a:effectLst/>
                        </wps:spPr>
                        <wps:bodyPr/>
                      </wps:wsp>
                      <wps:wsp>
                        <wps:cNvPr id="1475213547" name="Прямая соединительная линия 1475213547"/>
                        <wps:cNvCnPr>
                          <a:stCxn id="1035975412" idx="3"/>
                          <a:endCxn id="1560276979" idx="1"/>
                        </wps:cNvCnPr>
                        <wps:spPr>
                          <a:xfrm>
                            <a:off x="2018960" y="2893355"/>
                            <a:ext cx="415290" cy="3345"/>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42F6209B" id="Полотно 20" o:spid="_x0000_s1039" editas="canvas" style="width:523.5pt;height:263.25pt;mso-position-horizontal-relative:char;mso-position-vertical-relative:line" coordsize="66484,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">
                <v:shape id="_x0000_s1040" type="#_x0000_t75" style="position:absolute;width:66484;height:33432;visibility:visible;mso-wrap-style:square" filled="t">
                  <v:fill o:detectmouseclick="t"/>
                  <v:path o:connecttype="none"/>
                </v:shape>
                <v:shape id="Надпись 1910584111" o:spid="_x0000_s1041" type="#_x0000_t202" style="position:absolute;left:18224;top:1016;width:3708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" fillcolor="window" strokeweight=".5pt">
                  <v:textbox>
                    <w:txbxContent>
                      <w:p w14:paraId="5643A590" w14:textId="77777777" w:rsidR="00132A69" w:rsidRPr="001E0335" w:rsidRDefault="00132A69" w:rsidP="00C80798">
                        <w:pPr>
                          <w:jc w:val="center"/>
                          <w:rPr>
                            <w:rFonts w:ascii="Times New Roman" w:hAnsi="Times New Roman" w:cs="Times New Roman"/>
                            <w:sz w:val="28"/>
                            <w:szCs w:val="28"/>
                          </w:rPr>
                        </w:pPr>
                        <w:r w:rsidRPr="001E0335">
                          <w:rPr>
                            <w:rFonts w:ascii="Times New Roman" w:hAnsi="Times New Roman" w:cs="Times New Roman"/>
                            <w:sz w:val="28"/>
                            <w:szCs w:val="28"/>
                          </w:rPr>
                          <w:t>Аудиторские инструменты выявления рисков</w:t>
                        </w:r>
                      </w:p>
                    </w:txbxContent>
                  </v:textbox>
                </v:shape>
                <v:shape id="Надпись 1269857832" o:spid="_x0000_s1042" type="#_x0000_t202" style="position:absolute;left:5588;top:8191;width:15303;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" fillcolor="window" strokeweight=".5pt">
                  <v:textbox>
                    <w:txbxContent>
                      <w:p w14:paraId="5A0FAA41" w14:textId="77777777" w:rsidR="00132A69" w:rsidRPr="00247F01" w:rsidRDefault="00132A69" w:rsidP="00C80798">
                        <w:pPr>
                          <w:jc w:val="center"/>
                          <w:rPr>
                            <w:rFonts w:ascii="Times New Roman" w:hAnsi="Times New Roman" w:cs="Times New Roman"/>
                            <w:sz w:val="28"/>
                            <w:szCs w:val="28"/>
                          </w:rPr>
                        </w:pPr>
                        <w:r w:rsidRPr="00247F01">
                          <w:rPr>
                            <w:rFonts w:ascii="Times New Roman" w:hAnsi="Times New Roman" w:cs="Times New Roman"/>
                            <w:sz w:val="28"/>
                            <w:szCs w:val="28"/>
                          </w:rPr>
                          <w:t>Аналитика данных</w:t>
                        </w:r>
                      </w:p>
                    </w:txbxContent>
                  </v:textbox>
                </v:shape>
                <v:shape id="Надпись 970166249" o:spid="_x0000_s1043" type="#_x0000_t202" style="position:absolute;left:24574;top:7112;width:40577;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" fillcolor="window" strokeweight=".5pt">
                  <v:textbox>
                    <w:txbxContent>
                      <w:p w14:paraId="68A59328" w14:textId="77777777" w:rsidR="00132A69" w:rsidRPr="00EC2D5B" w:rsidRDefault="00132A69" w:rsidP="00C80798">
                        <w:pPr>
                          <w:jc w:val="both"/>
                          <w:rPr>
                            <w:rFonts w:ascii="Times New Roman" w:hAnsi="Times New Roman" w:cs="Times New Roman"/>
                            <w:sz w:val="28"/>
                            <w:szCs w:val="28"/>
                          </w:rPr>
                        </w:pPr>
                        <w:r w:rsidRPr="00EC2D5B">
                          <w:rPr>
                            <w:rFonts w:ascii="Times New Roman" w:hAnsi="Times New Roman" w:cs="Times New Roman"/>
                            <w:sz w:val="28"/>
                            <w:szCs w:val="28"/>
                          </w:rPr>
                          <w:t>позволяет выявлять аномалии и тенденции в данных, которые могут указывать на операционные риски</w:t>
                        </w:r>
                      </w:p>
                    </w:txbxContent>
                  </v:textbox>
                </v:shape>
                <v:shape id="Надпись 1" o:spid="_x0000_s1044" type="#_x0000_t202" style="position:absolute;left:5800;top:17548;width:14837;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" fillcolor="window" strokeweight=".5pt">
                  <v:textbox>
                    <w:txbxContent>
                      <w:p w14:paraId="54E38AA5" w14:textId="77777777" w:rsidR="00132A69" w:rsidRPr="00610EA6" w:rsidRDefault="00132A69" w:rsidP="00C80798">
                        <w:pPr>
                          <w:spacing w:after="0" w:line="240" w:lineRule="auto"/>
                          <w:jc w:val="center"/>
                          <w:rPr>
                            <w:rFonts w:ascii="Times New Roman" w:eastAsia="Calibri" w:hAnsi="Times New Roman" w:cs="Times New Roman"/>
                            <w:sz w:val="28"/>
                            <w:szCs w:val="28"/>
                          </w:rPr>
                        </w:pPr>
                        <w:r w:rsidRPr="00610EA6">
                          <w:rPr>
                            <w:rFonts w:ascii="Times New Roman" w:eastAsia="Calibri" w:hAnsi="Times New Roman" w:cs="Times New Roman"/>
                            <w:sz w:val="28"/>
                            <w:szCs w:val="28"/>
                          </w:rPr>
                          <w:t>Автоматизация процессов</w:t>
                        </w:r>
                      </w:p>
                    </w:txbxContent>
                  </v:textbox>
                </v:shape>
                <v:shape id="Надпись 1" o:spid="_x0000_s1045" type="#_x0000_t202" style="position:absolute;left:24574;top:17611;width:40577;height:5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" fillcolor="window" strokeweight=".5pt">
                  <v:textbox>
                    <w:txbxContent>
                      <w:p w14:paraId="250A0CE2" w14:textId="77777777" w:rsidR="00132A69" w:rsidRPr="00A91D51" w:rsidRDefault="00132A69" w:rsidP="00C80798">
                        <w:pPr>
                          <w:spacing w:after="0" w:line="240" w:lineRule="auto"/>
                          <w:jc w:val="both"/>
                          <w:rPr>
                            <w:rFonts w:ascii="Times New Roman" w:hAnsi="Times New Roman" w:cs="Times New Roman"/>
                            <w:sz w:val="28"/>
                            <w:szCs w:val="28"/>
                          </w:rPr>
                        </w:pPr>
                        <w:r w:rsidRPr="00A91D51">
                          <w:rPr>
                            <w:rFonts w:ascii="Times New Roman" w:hAnsi="Times New Roman" w:cs="Times New Roman"/>
                            <w:sz w:val="28"/>
                            <w:szCs w:val="28"/>
                          </w:rPr>
                          <w:t>Снижает вероятность ошибок и способствует стандартизации процессов</w:t>
                        </w:r>
                      </w:p>
                    </w:txbxContent>
                  </v:textbox>
                </v:shape>
                <v:shape id="Надпись 1" o:spid="_x0000_s1046" type="#_x0000_t202" style="position:absolute;left:5356;top:26247;width:14833;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" fillcolor="window" strokeweight=".5pt">
                  <v:textbox>
                    <w:txbxContent>
                      <w:p w14:paraId="59EB4612" w14:textId="77777777" w:rsidR="00132A69" w:rsidRPr="00AB7CE6" w:rsidRDefault="00132A69" w:rsidP="00C80798">
                        <w:pPr>
                          <w:spacing w:line="256" w:lineRule="auto"/>
                          <w:jc w:val="center"/>
                          <w:rPr>
                            <w:rFonts w:ascii="Times New Roman" w:eastAsia="Calibri" w:hAnsi="Times New Roman" w:cs="Times New Roman"/>
                            <w:sz w:val="28"/>
                            <w:szCs w:val="28"/>
                          </w:rPr>
                        </w:pPr>
                        <w:r w:rsidRPr="00AB7CE6">
                          <w:rPr>
                            <w:rFonts w:ascii="Times New Roman" w:eastAsia="Calibri" w:hAnsi="Times New Roman" w:cs="Times New Roman"/>
                            <w:sz w:val="28"/>
                            <w:szCs w:val="28"/>
                          </w:rPr>
                          <w:t>Индикаторы риска</w:t>
                        </w:r>
                      </w:p>
                    </w:txbxContent>
                  </v:textbox>
                </v:shape>
                <v:shape id="Надпись 1" o:spid="_x0000_s1047" type="#_x0000_t202" style="position:absolute;left:24342;top:25422;width:40577;height:7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" fillcolor="window" strokeweight=".5pt">
                  <v:textbox>
                    <w:txbxContent>
                      <w:p w14:paraId="4929FC49" w14:textId="77777777" w:rsidR="00132A69" w:rsidRPr="00AB7CE6" w:rsidRDefault="00132A69" w:rsidP="00C80798">
                        <w:pPr>
                          <w:spacing w:after="0" w:line="240" w:lineRule="auto"/>
                          <w:jc w:val="both"/>
                          <w:rPr>
                            <w:rFonts w:ascii="Times New Roman" w:eastAsia="Calibri" w:hAnsi="Times New Roman" w:cs="Times New Roman"/>
                            <w:sz w:val="28"/>
                            <w:szCs w:val="28"/>
                          </w:rPr>
                        </w:pPr>
                        <w:r w:rsidRPr="00AB7CE6">
                          <w:rPr>
                            <w:rFonts w:ascii="Times New Roman" w:eastAsia="Calibri" w:hAnsi="Times New Roman" w:cs="Times New Roman"/>
                            <w:sz w:val="28"/>
                            <w:szCs w:val="28"/>
                          </w:rPr>
                          <w:t>Применение ключевых индикаторов производительности и индикаторов риска для мониторинга потенциальных угроз</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оединитель: уступ 1379337402" o:spid="_x0000_s1048" type="#_x0000_t35" style="position:absolute;left:-1597;top:9238;width:26648;height:1274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" adj="-17,28166" strokecolor="windowText" strokeweight=".5pt">
                  <v:stroke endarrow="block"/>
                </v:shape>
                <v:shape id="Прямая со стрелкой 1737881471" o:spid="_x0000_s1049" type="#_x0000_t32" style="position:absolute;left:1460;top:10731;width:4128;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" strokecolor="windowText" strokeweight=".5pt">
                  <v:stroke endarrow="block" joinstyle="miter"/>
                </v:shape>
                <v:shape id="Прямая со стрелкой 1032623634" o:spid="_x0000_s1050" type="#_x0000_t32" style="position:absolute;left:1397;top:20235;width:44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" strokecolor="windowText" strokeweight=".5pt">
                  <v:stroke endarrow="block" joinstyle="miter"/>
                </v:shape>
                <v:line id="Прямая соединительная линия 462797645" o:spid="_x0000_s1051" style="position:absolute;visibility:visible;mso-wrap-style:square" from="20891,10795" to="24511,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" strokecolor="windowText" strokeweight=".5pt">
                  <v:stroke joinstyle="miter"/>
                </v:line>
                <v:line id="Прямая соединительная линия 586990031" o:spid="_x0000_s1052" style="position:absolute;visibility:visible;mso-wrap-style:square" from="20637,20235" to="24574,2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" strokecolor="windowText" strokeweight=".5pt">
                  <v:stroke joinstyle="miter"/>
                </v:line>
                <v:line id="Прямая соединительная линия 1475213547" o:spid="_x0000_s1053" style="position:absolute;visibility:visible;mso-wrap-style:square" from="20189,28933" to="24342,2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" strokecolor="windowText" strokeweight=".5pt">
                  <v:stroke joinstyle="miter"/>
                </v:line>
                <w10:anchorlock/>
              </v:group>
            </w:pict>
          </mc:Fallback>
        </mc:AlternateContent>
      </w:r>
    </w:p>
    <w:p w14:paraId="6D92DD8B" w14:textId="77777777" w:rsidR="00C80798" w:rsidRPr="00C80798" w:rsidRDefault="00C80798" w:rsidP="00C80798">
      <w:pPr>
        <w:spacing w:after="0" w:line="240" w:lineRule="auto"/>
        <w:ind w:firstLine="709"/>
        <w:contextualSpacing/>
        <w:jc w:val="center"/>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lastRenderedPageBreak/>
        <w:t>Рисунок 2 – Современные инструменты аудитора для выявления рисков</w:t>
      </w:r>
    </w:p>
    <w:p w14:paraId="364A1515"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p>
    <w:p w14:paraId="53179C92"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Еще один подход, используемый во внутреннем аудите для выявления операционных рисков – риск-ориентированный подход. Этот подход используется для исследования тех областей и функций компании, где риски являются наиболее значительными.</w:t>
      </w:r>
    </w:p>
    <w:p w14:paraId="4BDE73FD"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Основные процедуры риск-ориентированного подхода изображены на рисунке 3:</w:t>
      </w:r>
    </w:p>
    <w:p w14:paraId="3014A0C8" w14:textId="77777777" w:rsidR="00C80798" w:rsidRPr="00C80798" w:rsidRDefault="00C80798" w:rsidP="00C80798">
      <w:pPr>
        <w:spacing w:after="0" w:line="240" w:lineRule="auto"/>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noProof/>
          <w:kern w:val="2"/>
          <w:sz w:val="32"/>
          <w:szCs w:val="32"/>
          <w:lang w:eastAsia="ru-RU"/>
          <w14:ligatures w14:val="standardContextual"/>
        </w:rPr>
        <mc:AlternateContent>
          <mc:Choice Requires="wps">
            <w:drawing>
              <wp:anchor distT="0" distB="0" distL="114300" distR="114300" simplePos="0" relativeHeight="251672576" behindDoc="0" locked="0" layoutInCell="1" allowOverlap="1" wp14:anchorId="78C60157" wp14:editId="5F2E52BA">
                <wp:simplePos x="0" y="0"/>
                <wp:positionH relativeFrom="margin">
                  <wp:align>left</wp:align>
                </wp:positionH>
                <wp:positionV relativeFrom="paragraph">
                  <wp:posOffset>1435100</wp:posOffset>
                </wp:positionV>
                <wp:extent cx="5635625" cy="368300"/>
                <wp:effectExtent l="0" t="0" r="22225" b="12700"/>
                <wp:wrapNone/>
                <wp:docPr id="1365108584" name="Надпись 22"/>
                <wp:cNvGraphicFramePr/>
                <a:graphic xmlns:a="http://schemas.openxmlformats.org/drawingml/2006/main">
                  <a:graphicData uri="http://schemas.microsoft.com/office/word/2010/wordprocessingShape">
                    <wps:wsp>
                      <wps:cNvSpPr txBox="1"/>
                      <wps:spPr>
                        <a:xfrm>
                          <a:off x="0" y="0"/>
                          <a:ext cx="5635625" cy="368300"/>
                        </a:xfrm>
                        <a:prstGeom prst="rect">
                          <a:avLst/>
                        </a:prstGeom>
                        <a:solidFill>
                          <a:sysClr val="window" lastClr="FFFFFF"/>
                        </a:solidFill>
                        <a:ln w="6350">
                          <a:solidFill>
                            <a:prstClr val="black"/>
                          </a:solidFill>
                        </a:ln>
                      </wps:spPr>
                      <wps:txbx>
                        <w:txbxContent>
                          <w:p w14:paraId="6D6DB3BB" w14:textId="77777777" w:rsidR="00132A69" w:rsidRPr="008C6972" w:rsidRDefault="00132A69" w:rsidP="00C80798">
                            <w:pPr>
                              <w:rPr>
                                <w:rFonts w:ascii="Times New Roman" w:hAnsi="Times New Roman" w:cs="Times New Roman"/>
                                <w:sz w:val="28"/>
                                <w:szCs w:val="28"/>
                              </w:rPr>
                            </w:pPr>
                            <w:r w:rsidRPr="008C6972">
                              <w:rPr>
                                <w:rFonts w:ascii="Times New Roman" w:hAnsi="Times New Roman" w:cs="Times New Roman"/>
                                <w:sz w:val="28"/>
                                <w:szCs w:val="28"/>
                              </w:rPr>
                              <w:t>2. Определение факторов риска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60157" id="Надпись 22" o:spid="_x0000_s1054" type="#_x0000_t202" style="position:absolute;left:0;text-align:left;margin-left:0;margin-top:113pt;width:443.75pt;height:29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" fillcolor="window" strokeweight=".5pt">
                <v:textbox>
                  <w:txbxContent>
                    <w:p w14:paraId="6D6DB3BB" w14:textId="77777777" w:rsidR="00132A69" w:rsidRPr="008C6972" w:rsidRDefault="00132A69" w:rsidP="00C80798">
                      <w:pPr>
                        <w:rPr>
                          <w:rFonts w:ascii="Times New Roman" w:hAnsi="Times New Roman" w:cs="Times New Roman"/>
                          <w:sz w:val="28"/>
                          <w:szCs w:val="28"/>
                        </w:rPr>
                      </w:pPr>
                      <w:r w:rsidRPr="008C6972">
                        <w:rPr>
                          <w:rFonts w:ascii="Times New Roman" w:hAnsi="Times New Roman" w:cs="Times New Roman"/>
                          <w:sz w:val="28"/>
                          <w:szCs w:val="28"/>
                        </w:rPr>
                        <w:t>2. Определение факторов риска</w:t>
                      </w:r>
                    </w:p>
                  </w:txbxContent>
                </v:textbox>
                <w10:wrap anchorx="margin"/>
              </v:shape>
            </w:pict>
          </mc:Fallback>
        </mc:AlternateContent>
      </w:r>
      <w:r w:rsidRPr="00C80798">
        <w:rPr>
          <w:rFonts w:ascii="Times New Roman" w:eastAsia="Calibri" w:hAnsi="Times New Roman" w:cs="Times New Roman"/>
          <w:noProof/>
          <w:kern w:val="2"/>
          <w:sz w:val="32"/>
          <w:szCs w:val="32"/>
          <w:lang w:eastAsia="ru-RU"/>
          <w14:ligatures w14:val="standardContextual"/>
        </w:rPr>
        <mc:AlternateContent>
          <mc:Choice Requires="wps">
            <w:drawing>
              <wp:anchor distT="0" distB="0" distL="114300" distR="114300" simplePos="0" relativeHeight="251671552" behindDoc="0" locked="0" layoutInCell="1" allowOverlap="1" wp14:anchorId="0F28879C" wp14:editId="20E71D94">
                <wp:simplePos x="0" y="0"/>
                <wp:positionH relativeFrom="margin">
                  <wp:align>left</wp:align>
                </wp:positionH>
                <wp:positionV relativeFrom="paragraph">
                  <wp:posOffset>854075</wp:posOffset>
                </wp:positionV>
                <wp:extent cx="5638800" cy="368300"/>
                <wp:effectExtent l="0" t="0" r="19050" b="12700"/>
                <wp:wrapNone/>
                <wp:docPr id="1955513043" name="Надпись 22"/>
                <wp:cNvGraphicFramePr/>
                <a:graphic xmlns:a="http://schemas.openxmlformats.org/drawingml/2006/main">
                  <a:graphicData uri="http://schemas.microsoft.com/office/word/2010/wordprocessingShape">
                    <wps:wsp>
                      <wps:cNvSpPr txBox="1"/>
                      <wps:spPr>
                        <a:xfrm>
                          <a:off x="0" y="0"/>
                          <a:ext cx="5638800" cy="368300"/>
                        </a:xfrm>
                        <a:prstGeom prst="rect">
                          <a:avLst/>
                        </a:prstGeom>
                        <a:solidFill>
                          <a:sysClr val="window" lastClr="FFFFFF"/>
                        </a:solidFill>
                        <a:ln w="6350">
                          <a:solidFill>
                            <a:prstClr val="black"/>
                          </a:solidFill>
                        </a:ln>
                      </wps:spPr>
                      <wps:txbx>
                        <w:txbxContent>
                          <w:p w14:paraId="05D241B5" w14:textId="77777777" w:rsidR="00132A69" w:rsidRPr="008C6972" w:rsidRDefault="00132A69" w:rsidP="00C80798">
                            <w:pPr>
                              <w:rPr>
                                <w:rFonts w:ascii="Times New Roman" w:hAnsi="Times New Roman" w:cs="Times New Roman"/>
                                <w:sz w:val="28"/>
                                <w:szCs w:val="28"/>
                              </w:rPr>
                            </w:pPr>
                            <w:r w:rsidRPr="008C6972">
                              <w:rPr>
                                <w:rFonts w:ascii="Times New Roman" w:hAnsi="Times New Roman" w:cs="Times New Roman"/>
                                <w:sz w:val="28"/>
                                <w:szCs w:val="28"/>
                              </w:rPr>
                              <w:t>1. Определение контр</w:t>
                            </w:r>
                            <w:r>
                              <w:rPr>
                                <w:rFonts w:ascii="Times New Roman" w:hAnsi="Times New Roman" w:cs="Times New Roman"/>
                                <w:sz w:val="28"/>
                                <w:szCs w:val="28"/>
                              </w:rPr>
                              <w:t>олируемого (проверяемого) объекта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8879C" id="_x0000_s1055" type="#_x0000_t202" style="position:absolute;left:0;text-align:left;margin-left:0;margin-top:67.25pt;width:444pt;height:29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" fillcolor="window" strokeweight=".5pt">
                <v:textbox>
                  <w:txbxContent>
                    <w:p w14:paraId="05D241B5" w14:textId="77777777" w:rsidR="00132A69" w:rsidRPr="008C6972" w:rsidRDefault="00132A69" w:rsidP="00C80798">
                      <w:pPr>
                        <w:rPr>
                          <w:rFonts w:ascii="Times New Roman" w:hAnsi="Times New Roman" w:cs="Times New Roman"/>
                          <w:sz w:val="28"/>
                          <w:szCs w:val="28"/>
                        </w:rPr>
                      </w:pPr>
                      <w:r w:rsidRPr="008C6972">
                        <w:rPr>
                          <w:rFonts w:ascii="Times New Roman" w:hAnsi="Times New Roman" w:cs="Times New Roman"/>
                          <w:sz w:val="28"/>
                          <w:szCs w:val="28"/>
                        </w:rPr>
                        <w:t>1. Определение контр</w:t>
                      </w:r>
                      <w:r>
                        <w:rPr>
                          <w:rFonts w:ascii="Times New Roman" w:hAnsi="Times New Roman" w:cs="Times New Roman"/>
                          <w:sz w:val="28"/>
                          <w:szCs w:val="28"/>
                        </w:rPr>
                        <w:t>олируемого (проверяемого) объекта</w:t>
                      </w:r>
                    </w:p>
                  </w:txbxContent>
                </v:textbox>
                <w10:wrap anchorx="margin"/>
              </v:shape>
            </w:pict>
          </mc:Fallback>
        </mc:AlternateContent>
      </w:r>
      <w:r w:rsidRPr="00C80798">
        <w:rPr>
          <w:rFonts w:ascii="Times New Roman" w:eastAsia="Calibri" w:hAnsi="Times New Roman" w:cs="Times New Roman"/>
          <w:noProof/>
          <w:kern w:val="2"/>
          <w:sz w:val="32"/>
          <w:szCs w:val="32"/>
          <w:lang w:eastAsia="ru-RU"/>
          <w14:ligatures w14:val="standardContextual"/>
        </w:rPr>
        <mc:AlternateContent>
          <mc:Choice Requires="wpc">
            <w:drawing>
              <wp:inline distT="0" distB="0" distL="0" distR="0" wp14:anchorId="5D666931" wp14:editId="3CDE6002">
                <wp:extent cx="5674360" cy="3219450"/>
                <wp:effectExtent l="0" t="0" r="2540" b="19050"/>
                <wp:docPr id="91649477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90324440" name="Надпись 290324440"/>
                        <wps:cNvSpPr txBox="1"/>
                        <wps:spPr>
                          <a:xfrm>
                            <a:off x="615950" y="100965"/>
                            <a:ext cx="4483100" cy="508000"/>
                          </a:xfrm>
                          <a:prstGeom prst="rect">
                            <a:avLst/>
                          </a:prstGeom>
                          <a:solidFill>
                            <a:sysClr val="window" lastClr="FFFFFF"/>
                          </a:solidFill>
                          <a:ln w="6350">
                            <a:solidFill>
                              <a:prstClr val="black"/>
                            </a:solidFill>
                          </a:ln>
                        </wps:spPr>
                        <wps:txbx>
                          <w:txbxContent>
                            <w:p w14:paraId="2B5C0B58" w14:textId="77777777" w:rsidR="00132A69" w:rsidRPr="00886BF9" w:rsidRDefault="00132A69" w:rsidP="00C80798">
                              <w:pPr>
                                <w:jc w:val="center"/>
                                <w:rPr>
                                  <w:rFonts w:ascii="Times New Roman" w:hAnsi="Times New Roman" w:cs="Times New Roman"/>
                                  <w:sz w:val="28"/>
                                  <w:szCs w:val="28"/>
                                </w:rPr>
                              </w:pPr>
                              <w:r w:rsidRPr="00886BF9">
                                <w:rPr>
                                  <w:rFonts w:ascii="Times New Roman" w:hAnsi="Times New Roman" w:cs="Times New Roman"/>
                                  <w:sz w:val="28"/>
                                  <w:szCs w:val="28"/>
                                </w:rPr>
                                <w:t>Основные процедуры риск-ориентированного подхода внутреннего аудита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9236005" name="Надпись 22"/>
                        <wps:cNvSpPr txBox="1"/>
                        <wps:spPr>
                          <a:xfrm>
                            <a:off x="0" y="1999614"/>
                            <a:ext cx="5638800" cy="504825"/>
                          </a:xfrm>
                          <a:prstGeom prst="rect">
                            <a:avLst/>
                          </a:prstGeom>
                          <a:solidFill>
                            <a:sysClr val="window" lastClr="FFFFFF"/>
                          </a:solidFill>
                          <a:ln w="6350">
                            <a:solidFill>
                              <a:prstClr val="black"/>
                            </a:solidFill>
                          </a:ln>
                        </wps:spPr>
                        <wps:txbx>
                          <w:txbxContent>
                            <w:p w14:paraId="0064380A" w14:textId="77777777" w:rsidR="00132A69" w:rsidRPr="008C6972" w:rsidRDefault="00132A69" w:rsidP="00C80798">
                              <w:pPr>
                                <w:spacing w:line="256" w:lineRule="auto"/>
                                <w:rPr>
                                  <w:rFonts w:ascii="Times New Roman" w:hAnsi="Times New Roman" w:cs="Times New Roman"/>
                                  <w:sz w:val="28"/>
                                  <w:szCs w:val="28"/>
                                </w:rPr>
                              </w:pPr>
                              <w:r w:rsidRPr="008C6972">
                                <w:rPr>
                                  <w:rFonts w:ascii="Times New Roman" w:hAnsi="Times New Roman" w:cs="Times New Roman"/>
                                  <w:sz w:val="28"/>
                                  <w:szCs w:val="28"/>
                                </w:rPr>
                                <w:t>3. Методология определения уровня риска по контролируемым объектам</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4011925" name="Надпись 22"/>
                        <wps:cNvSpPr txBox="1"/>
                        <wps:spPr>
                          <a:xfrm>
                            <a:off x="0" y="2655612"/>
                            <a:ext cx="5638801" cy="563838"/>
                          </a:xfrm>
                          <a:prstGeom prst="rect">
                            <a:avLst/>
                          </a:prstGeom>
                          <a:solidFill>
                            <a:sysClr val="window" lastClr="FFFFFF"/>
                          </a:solidFill>
                          <a:ln w="6350">
                            <a:solidFill>
                              <a:prstClr val="black"/>
                            </a:solidFill>
                          </a:ln>
                        </wps:spPr>
                        <wps:txbx>
                          <w:txbxContent>
                            <w:p w14:paraId="1BC5A606" w14:textId="77777777" w:rsidR="00132A69" w:rsidRPr="008C6972" w:rsidRDefault="00132A69" w:rsidP="00C80798">
                              <w:pPr>
                                <w:spacing w:line="256" w:lineRule="auto"/>
                                <w:rPr>
                                  <w:rFonts w:ascii="Times New Roman" w:hAnsi="Times New Roman" w:cs="Times New Roman"/>
                                  <w:sz w:val="28"/>
                                  <w:szCs w:val="28"/>
                                </w:rPr>
                              </w:pPr>
                              <w:r w:rsidRPr="008C6972">
                                <w:rPr>
                                  <w:rFonts w:ascii="Times New Roman" w:hAnsi="Times New Roman" w:cs="Times New Roman"/>
                                  <w:sz w:val="28"/>
                                  <w:szCs w:val="28"/>
                                </w:rPr>
                                <w:t>4. Разработка документов, включающих методологию оценки и управления рисками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8152605" name="Прямая со стрелкой 408152605"/>
                        <wps:cNvCnPr/>
                        <wps:spPr>
                          <a:xfrm>
                            <a:off x="2857500" y="608965"/>
                            <a:ext cx="0" cy="254000"/>
                          </a:xfrm>
                          <a:prstGeom prst="straightConnector1">
                            <a:avLst/>
                          </a:prstGeom>
                          <a:noFill/>
                          <a:ln w="6350" cap="flat" cmpd="sng" algn="ctr">
                            <a:solidFill>
                              <a:sysClr val="windowText" lastClr="000000"/>
                            </a:solidFill>
                            <a:prstDash val="solid"/>
                            <a:miter lim="800000"/>
                            <a:tailEnd type="triangle"/>
                          </a:ln>
                          <a:effectLst/>
                        </wps:spPr>
                        <wps:bodyPr/>
                      </wps:wsp>
                      <wps:wsp>
                        <wps:cNvPr id="1595440515" name="Прямая со стрелкой 1595440515"/>
                        <wps:cNvCnPr/>
                        <wps:spPr>
                          <a:xfrm>
                            <a:off x="2835275" y="1218565"/>
                            <a:ext cx="1" cy="215900"/>
                          </a:xfrm>
                          <a:prstGeom prst="straightConnector1">
                            <a:avLst/>
                          </a:prstGeom>
                          <a:noFill/>
                          <a:ln w="6350" cap="flat" cmpd="sng" algn="ctr">
                            <a:solidFill>
                              <a:sysClr val="windowText" lastClr="000000"/>
                            </a:solidFill>
                            <a:prstDash val="solid"/>
                            <a:miter lim="800000"/>
                            <a:tailEnd type="triangle"/>
                          </a:ln>
                          <a:effectLst/>
                        </wps:spPr>
                        <wps:bodyPr/>
                      </wps:wsp>
                      <wps:wsp>
                        <wps:cNvPr id="1876556181" name="Прямая со стрелкой 1876556181"/>
                        <wps:cNvCnPr>
                          <a:endCxn id="499236005" idx="0"/>
                        </wps:cNvCnPr>
                        <wps:spPr>
                          <a:xfrm>
                            <a:off x="2819400" y="1818640"/>
                            <a:ext cx="0" cy="180974"/>
                          </a:xfrm>
                          <a:prstGeom prst="straightConnector1">
                            <a:avLst/>
                          </a:prstGeom>
                          <a:noFill/>
                          <a:ln w="6350" cap="flat" cmpd="sng" algn="ctr">
                            <a:solidFill>
                              <a:sysClr val="windowText" lastClr="000000"/>
                            </a:solidFill>
                            <a:prstDash val="solid"/>
                            <a:miter lim="800000"/>
                            <a:tailEnd type="triangle"/>
                          </a:ln>
                          <a:effectLst/>
                        </wps:spPr>
                        <wps:bodyPr/>
                      </wps:wsp>
                      <wps:wsp>
                        <wps:cNvPr id="2048870646" name="Прямая со стрелкой 2048870646"/>
                        <wps:cNvCnPr/>
                        <wps:spPr>
                          <a:xfrm>
                            <a:off x="2835274" y="2467566"/>
                            <a:ext cx="1" cy="227373"/>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5D666931" id="Полотно 21" o:spid="_x0000_s1056" editas="canvas" style="width:446.8pt;height:253.5pt;mso-position-horizontal-relative:char;mso-position-vertical-relative:line" coordsize="56743,3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">
                <v:shape id="_x0000_s1057" type="#_x0000_t75" style="position:absolute;width:56743;height:32194;visibility:visible;mso-wrap-style:square" filled="t">
                  <v:fill o:detectmouseclick="t"/>
                  <v:path o:connecttype="none"/>
                </v:shape>
                <v:shape id="Надпись 290324440" o:spid="_x0000_s1058" type="#_x0000_t202" style="position:absolute;left:6159;top:1009;width:44831;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" fillcolor="window" strokeweight=".5pt">
                  <v:textbox>
                    <w:txbxContent>
                      <w:p w14:paraId="2B5C0B58" w14:textId="77777777" w:rsidR="00132A69" w:rsidRPr="00886BF9" w:rsidRDefault="00132A69" w:rsidP="00C80798">
                        <w:pPr>
                          <w:jc w:val="center"/>
                          <w:rPr>
                            <w:rFonts w:ascii="Times New Roman" w:hAnsi="Times New Roman" w:cs="Times New Roman"/>
                            <w:sz w:val="28"/>
                            <w:szCs w:val="28"/>
                          </w:rPr>
                        </w:pPr>
                        <w:r w:rsidRPr="00886BF9">
                          <w:rPr>
                            <w:rFonts w:ascii="Times New Roman" w:hAnsi="Times New Roman" w:cs="Times New Roman"/>
                            <w:sz w:val="28"/>
                            <w:szCs w:val="28"/>
                          </w:rPr>
                          <w:t>Основные процедуры риск-ориентированного подхода внутреннего аудита</w:t>
                        </w:r>
                      </w:p>
                    </w:txbxContent>
                  </v:textbox>
                </v:shape>
                <v:shape id="_x0000_s1059" type="#_x0000_t202" style="position:absolute;top:19996;width:5638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" fillcolor="window" strokeweight=".5pt">
                  <v:textbox>
                    <w:txbxContent>
                      <w:p w14:paraId="0064380A" w14:textId="77777777" w:rsidR="00132A69" w:rsidRPr="008C6972" w:rsidRDefault="00132A69" w:rsidP="00C80798">
                        <w:pPr>
                          <w:spacing w:line="256" w:lineRule="auto"/>
                          <w:rPr>
                            <w:rFonts w:ascii="Times New Roman" w:hAnsi="Times New Roman" w:cs="Times New Roman"/>
                            <w:sz w:val="28"/>
                            <w:szCs w:val="28"/>
                          </w:rPr>
                        </w:pPr>
                        <w:r w:rsidRPr="008C6972">
                          <w:rPr>
                            <w:rFonts w:ascii="Times New Roman" w:hAnsi="Times New Roman" w:cs="Times New Roman"/>
                            <w:sz w:val="28"/>
                            <w:szCs w:val="28"/>
                          </w:rPr>
                          <w:t>3. Методология определения уровня риска по контролируемым объектам</w:t>
                        </w:r>
                      </w:p>
                    </w:txbxContent>
                  </v:textbox>
                </v:shape>
                <v:shape id="_x0000_s1060" type="#_x0000_t202" style="position:absolute;top:26556;width:56388;height:5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" fillcolor="window" strokeweight=".5pt">
                  <v:textbox>
                    <w:txbxContent>
                      <w:p w14:paraId="1BC5A606" w14:textId="77777777" w:rsidR="00132A69" w:rsidRPr="008C6972" w:rsidRDefault="00132A69" w:rsidP="00C80798">
                        <w:pPr>
                          <w:spacing w:line="256" w:lineRule="auto"/>
                          <w:rPr>
                            <w:rFonts w:ascii="Times New Roman" w:hAnsi="Times New Roman" w:cs="Times New Roman"/>
                            <w:sz w:val="28"/>
                            <w:szCs w:val="28"/>
                          </w:rPr>
                        </w:pPr>
                        <w:r w:rsidRPr="008C6972">
                          <w:rPr>
                            <w:rFonts w:ascii="Times New Roman" w:hAnsi="Times New Roman" w:cs="Times New Roman"/>
                            <w:sz w:val="28"/>
                            <w:szCs w:val="28"/>
                          </w:rPr>
                          <w:t>4. Разработка документов, включающих методологию оценки и управления рисками</w:t>
                        </w:r>
                      </w:p>
                    </w:txbxContent>
                  </v:textbox>
                </v:shape>
                <v:shape id="Прямая со стрелкой 408152605" o:spid="_x0000_s1061" type="#_x0000_t32" style="position:absolute;left:28575;top:6089;width: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" strokecolor="windowText" strokeweight=".5pt">
                  <v:stroke endarrow="block" joinstyle="miter"/>
                </v:shape>
                <v:shape id="Прямая со стрелкой 1595440515" o:spid="_x0000_s1062" type="#_x0000_t32" style="position:absolute;left:28352;top:12185;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" strokecolor="windowText" strokeweight=".5pt">
                  <v:stroke endarrow="block" joinstyle="miter"/>
                </v:shape>
                <v:shape id="Прямая со стрелкой 1876556181" o:spid="_x0000_s1063" type="#_x0000_t32" style="position:absolute;left:28194;top:1818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" strokecolor="windowText" strokeweight=".5pt">
                  <v:stroke endarrow="block" joinstyle="miter"/>
                </v:shape>
                <v:shape id="Прямая со стрелкой 2048870646" o:spid="_x0000_s1064" type="#_x0000_t32" style="position:absolute;left:28352;top:24675;width:0;height:2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" strokecolor="windowText" strokeweight=".5pt">
                  <v:stroke endarrow="block" joinstyle="miter"/>
                </v:shape>
                <w10:anchorlock/>
              </v:group>
            </w:pict>
          </mc:Fallback>
        </mc:AlternateContent>
      </w:r>
    </w:p>
    <w:p w14:paraId="2268D367" w14:textId="77777777" w:rsidR="00C80798" w:rsidRPr="00C80798" w:rsidRDefault="00C80798" w:rsidP="00C80798">
      <w:pPr>
        <w:spacing w:after="0" w:line="240" w:lineRule="auto"/>
        <w:ind w:firstLine="284"/>
        <w:contextualSpacing/>
        <w:jc w:val="center"/>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Рисунок 3 – Основные процедуры риск-ориентированного подхода внутреннего аудита</w:t>
      </w:r>
    </w:p>
    <w:p w14:paraId="2A82D97B" w14:textId="77777777" w:rsidR="00C80798" w:rsidRPr="00C80798" w:rsidRDefault="00C80798" w:rsidP="00C80798">
      <w:pPr>
        <w:spacing w:after="0" w:line="240" w:lineRule="auto"/>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ab/>
        <w:t xml:space="preserve">Проведенный анализ позволяет сформулировать ряд практических рекомендаций, направленных на совершенствование системы внутреннего аудита и минимизацию операционных рисков. </w:t>
      </w:r>
    </w:p>
    <w:p w14:paraId="78DE0CF6" w14:textId="77777777" w:rsidR="00C80798" w:rsidRPr="00C80798" w:rsidRDefault="00C80798" w:rsidP="00C80798">
      <w:pPr>
        <w:spacing w:after="0" w:line="240" w:lineRule="auto"/>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ab/>
        <w:t>В первую очередь мы предлагаем автоматизировать процесс контроля риска. Автоматизация рутинных процедур, мониторинга и отчетности существенно повысит эффективность деятельности подразделений внутреннего аудита, тем самым сократит затраты ресурсов сотрудников. Также использование автоматизированных решений обеспечит непрерывность и оперативность проверки, соблюдение внутренних стандартов и политик организаций.</w:t>
      </w:r>
    </w:p>
    <w:p w14:paraId="79A42BEE" w14:textId="77777777" w:rsidR="00C80798" w:rsidRPr="00C80798" w:rsidRDefault="00C80798" w:rsidP="00C80798">
      <w:pPr>
        <w:spacing w:after="0" w:line="240" w:lineRule="auto"/>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ab/>
        <w:t xml:space="preserve">Помимо этого, мы предлагаем внедрить применение инновационных технологий и искусственно-интеллектуальных систем. Внедрение интеллектуальных консультантов на основе искусственных нейронных сетей, предназначенных для анализа </w:t>
      </w:r>
      <w:r w:rsidRPr="00C80798">
        <w:rPr>
          <w:rFonts w:ascii="Times New Roman" w:eastAsia="Calibri" w:hAnsi="Times New Roman" w:cs="Times New Roman"/>
          <w:kern w:val="2"/>
          <w:sz w:val="32"/>
          <w:szCs w:val="32"/>
          <w14:ligatures w14:val="standardContextual"/>
        </w:rPr>
        <w:lastRenderedPageBreak/>
        <w:t>специфики отрасли и рекомендации действий при возникновении нестандартных ситуаций, позволят аудиторам оперативно получать подсказки и советы относительно оптимального подхода для управления операционными рисками.</w:t>
      </w:r>
    </w:p>
    <w:p w14:paraId="2A363F53" w14:textId="77777777" w:rsidR="00C80798" w:rsidRPr="00C80798" w:rsidRDefault="00C80798" w:rsidP="00C80798">
      <w:pPr>
        <w:spacing w:after="0" w:line="240" w:lineRule="auto"/>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ab/>
        <w:t>Высокий уровень компетенции специалистов является ключевым фактором реализации инновационных методик и эффективного внутреннего контроля над операционными рисками. В связи с этим, мы предлагаем создать программу непрерывного профессионального развития сотрудников службы внутреннего аудита, включив курсы повышения квалификации в области анализа данных, методов моделирования и управления рисками на основе цифровых платформ.</w:t>
      </w:r>
    </w:p>
    <w:p w14:paraId="7E282259" w14:textId="77777777" w:rsidR="00C80798" w:rsidRPr="00C80798" w:rsidRDefault="00C80798" w:rsidP="00C80798">
      <w:pPr>
        <w:spacing w:after="0" w:line="240" w:lineRule="auto"/>
        <w:ind w:firstLine="709"/>
        <w:contextualSpacing/>
        <w:jc w:val="both"/>
        <w:rPr>
          <w:rFonts w:ascii="Times New Roman" w:eastAsia="Calibri" w:hAnsi="Times New Roman" w:cs="Times New Roman"/>
          <w:kern w:val="2"/>
          <w:sz w:val="32"/>
          <w:szCs w:val="32"/>
          <w14:ligatures w14:val="standardContextual"/>
        </w:rPr>
      </w:pPr>
      <w:r w:rsidRPr="00C80798">
        <w:rPr>
          <w:rFonts w:ascii="Times New Roman" w:eastAsia="Calibri" w:hAnsi="Times New Roman" w:cs="Times New Roman"/>
          <w:kern w:val="2"/>
          <w:sz w:val="32"/>
          <w:szCs w:val="32"/>
          <w14:ligatures w14:val="standardContextual"/>
        </w:rPr>
        <w:t>Таким образом, внутренний аудит играет ключевую роль в управлении операционными рисками, обеспечивая независимую оценку, рекомендации по улучшению и мониторинг эффективности внедрения мероприятий. Современные подходы и инструменты, включая интегрированный подход к управлению рисками, технологии и использование международных стандартов значительно увеличивают эту роль. В условиях быстро меняющейся бизнес-среды эффективное управление рисками является важным фактором для устойчивости и конкурентоспособности компании.</w:t>
      </w:r>
    </w:p>
    <w:p w14:paraId="64BAB04F" w14:textId="77777777" w:rsidR="00C80798" w:rsidRPr="00C80798" w:rsidRDefault="00C80798" w:rsidP="00C80798">
      <w:pPr>
        <w:spacing w:after="0" w:line="240" w:lineRule="auto"/>
        <w:contextualSpacing/>
        <w:jc w:val="both"/>
        <w:rPr>
          <w:rFonts w:ascii="Times New Roman" w:eastAsia="Calibri" w:hAnsi="Times New Roman" w:cs="Times New Roman"/>
          <w:kern w:val="2"/>
          <w:sz w:val="21"/>
          <w:szCs w:val="21"/>
          <w14:ligatures w14:val="standardContextual"/>
        </w:rPr>
      </w:pPr>
    </w:p>
    <w:p w14:paraId="690AA9D4" w14:textId="77777777" w:rsidR="00C80798" w:rsidRPr="00C80798" w:rsidRDefault="00C80798" w:rsidP="00C80798">
      <w:pPr>
        <w:spacing w:after="0" w:line="240" w:lineRule="auto"/>
        <w:contextualSpacing/>
        <w:jc w:val="center"/>
        <w:rPr>
          <w:rFonts w:ascii="Times New Roman" w:eastAsia="Calibri" w:hAnsi="Times New Roman" w:cs="Times New Roman"/>
          <w:b/>
          <w:kern w:val="2"/>
          <w:sz w:val="21"/>
          <w:szCs w:val="21"/>
          <w14:ligatures w14:val="standardContextual"/>
        </w:rPr>
      </w:pPr>
      <w:r w:rsidRPr="00C80798">
        <w:rPr>
          <w:rFonts w:ascii="Times New Roman" w:eastAsia="Calibri" w:hAnsi="Times New Roman" w:cs="Times New Roman"/>
          <w:b/>
          <w:kern w:val="2"/>
          <w:sz w:val="21"/>
          <w:szCs w:val="21"/>
          <w14:ligatures w14:val="standardContextual"/>
        </w:rPr>
        <w:t>Литература:</w:t>
      </w:r>
    </w:p>
    <w:p w14:paraId="59220FC4" w14:textId="77777777" w:rsidR="00C80798" w:rsidRPr="00C80798" w:rsidRDefault="00C80798" w:rsidP="00AD58CD">
      <w:pPr>
        <w:numPr>
          <w:ilvl w:val="0"/>
          <w:numId w:val="89"/>
        </w:numPr>
        <w:spacing w:after="0" w:line="240" w:lineRule="auto"/>
        <w:ind w:left="0" w:firstLine="142"/>
        <w:contextualSpacing/>
        <w:jc w:val="both"/>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kern w:val="2"/>
          <w:sz w:val="21"/>
          <w:szCs w:val="21"/>
          <w14:ligatures w14:val="standardContextual"/>
        </w:rPr>
        <w:t>Федеральный закон от 26.12.1995 №208-ФЗ (ред. От 30.11.2024) «Об акционерных обществах» (с изм. и доп., вступ. в силу с 01.03.2025) https://www.consultant.ru/document/cons_doc_LAW_8743/</w:t>
      </w:r>
    </w:p>
    <w:p w14:paraId="0AC3C5AC" w14:textId="77777777" w:rsidR="00C80798" w:rsidRPr="00C80798" w:rsidRDefault="00C80798" w:rsidP="00AD58CD">
      <w:pPr>
        <w:numPr>
          <w:ilvl w:val="0"/>
          <w:numId w:val="89"/>
        </w:numPr>
        <w:spacing w:after="0" w:line="240" w:lineRule="auto"/>
        <w:ind w:left="0" w:firstLine="142"/>
        <w:contextualSpacing/>
        <w:jc w:val="both"/>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kern w:val="2"/>
          <w:sz w:val="21"/>
          <w:szCs w:val="21"/>
          <w14:ligatures w14:val="standardContextual"/>
        </w:rPr>
        <w:t>Письмо Банка России от 29.06.2011 N 96-Т "О Методических рекомендациях по организации кредитными организациями внутренних процедур оценки достаточности капитала"https://www.consultant.ru/document/cons_doc_LAW_116327/8d9ad98aaaff605f8e9ffca994864575f57b8fd3/</w:t>
      </w:r>
    </w:p>
    <w:p w14:paraId="13830771" w14:textId="77777777" w:rsidR="00C80798" w:rsidRPr="00C80798" w:rsidRDefault="00C80798" w:rsidP="00AD58CD">
      <w:pPr>
        <w:numPr>
          <w:ilvl w:val="0"/>
          <w:numId w:val="89"/>
        </w:numPr>
        <w:spacing w:after="0" w:line="240" w:lineRule="auto"/>
        <w:ind w:left="0" w:firstLine="142"/>
        <w:contextualSpacing/>
        <w:jc w:val="both"/>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kern w:val="2"/>
          <w:sz w:val="21"/>
          <w:szCs w:val="21"/>
          <w14:ligatures w14:val="standardContextual"/>
        </w:rPr>
        <w:t>Основы интегрированного управления рисками https://visuresolutions.com/ru/руководство-FMEA-по-управлению-рисками/интеграция-решений-visure/</w:t>
      </w:r>
    </w:p>
    <w:p w14:paraId="24C1371F" w14:textId="77777777" w:rsidR="00C80798" w:rsidRPr="00821857" w:rsidRDefault="00C80798" w:rsidP="00AD58CD">
      <w:pPr>
        <w:numPr>
          <w:ilvl w:val="0"/>
          <w:numId w:val="89"/>
        </w:numPr>
        <w:spacing w:after="0" w:line="240" w:lineRule="auto"/>
        <w:ind w:left="0" w:firstLine="142"/>
        <w:contextualSpacing/>
        <w:jc w:val="both"/>
        <w:rPr>
          <w:rFonts w:ascii="Times New Roman" w:eastAsia="Calibri" w:hAnsi="Times New Roman" w:cs="Times New Roman"/>
          <w:kern w:val="2"/>
          <w:sz w:val="21"/>
          <w:szCs w:val="21"/>
          <w14:ligatures w14:val="standardContextual"/>
        </w:rPr>
      </w:pPr>
      <w:r w:rsidRPr="00C80798">
        <w:rPr>
          <w:rFonts w:ascii="Times New Roman" w:eastAsia="Calibri" w:hAnsi="Times New Roman" w:cs="Times New Roman"/>
          <w:kern w:val="2"/>
          <w:sz w:val="21"/>
          <w:szCs w:val="21"/>
          <w14:ligatures w14:val="standardContextual"/>
        </w:rPr>
        <w:t>Методические рекомендации по оценке рисков при проведении стратегического аудита и аудита эффективности</w:t>
      </w:r>
      <w:r w:rsidRPr="00C80798">
        <w:rPr>
          <w:rFonts w:ascii="Times New Roman" w:eastAsia="Calibri" w:hAnsi="Times New Roman" w:cs="Times New Roman"/>
          <w:kern w:val="2"/>
          <w:sz w:val="21"/>
          <w:szCs w:val="21"/>
          <w14:ligatures w14:val="standardContextual"/>
        </w:rPr>
        <w:cr/>
        <w:t>https://ksp.mosreg.ru/sites/default/files/file_with_title/metodicheskie_rekomendacii_po_ocenke_riskov_pri_provedenii_strategicheskogo_audita_i_audita_effektivnosti.pdf?utm_referrer=https%3a%2f%2fyandex.ru%2f</w:t>
      </w:r>
    </w:p>
    <w:p w14:paraId="236C552A" w14:textId="77777777" w:rsidR="00C80798" w:rsidRPr="00821857" w:rsidRDefault="00C80798" w:rsidP="0007694F">
      <w:pPr>
        <w:spacing w:after="0" w:line="240" w:lineRule="auto"/>
        <w:ind w:firstLine="709"/>
        <w:jc w:val="both"/>
        <w:rPr>
          <w:rFonts w:ascii="Times New Roman" w:eastAsia="Times New Roman" w:hAnsi="Times New Roman" w:cs="Times New Roman"/>
          <w:kern w:val="2"/>
          <w:sz w:val="21"/>
          <w:szCs w:val="21"/>
          <w:lang w:eastAsia="ar-SA"/>
          <w14:ligatures w14:val="standardContextual"/>
        </w:rPr>
      </w:pPr>
    </w:p>
    <w:p w14:paraId="20CA0503" w14:textId="77777777" w:rsidR="00FE7EA5" w:rsidRPr="00AB0FF3" w:rsidRDefault="00FE7EA5" w:rsidP="00FE7EA5">
      <w:pPr>
        <w:suppressAutoHyphens/>
        <w:spacing w:after="0" w:line="240" w:lineRule="auto"/>
        <w:jc w:val="right"/>
        <w:rPr>
          <w:rFonts w:ascii="Times New Roman" w:eastAsia="Times New Roman" w:hAnsi="Times New Roman" w:cs="Times New Roman"/>
          <w:i/>
          <w:color w:val="000000"/>
          <w:sz w:val="21"/>
          <w:szCs w:val="21"/>
          <w:lang w:eastAsia="ar-SA"/>
        </w:rPr>
      </w:pPr>
      <w:r w:rsidRPr="00AB0FF3">
        <w:rPr>
          <w:rFonts w:ascii="Times New Roman" w:eastAsia="Times New Roman" w:hAnsi="Times New Roman" w:cs="Times New Roman"/>
          <w:b/>
          <w:i/>
          <w:color w:val="000000"/>
          <w:sz w:val="20"/>
          <w:szCs w:val="21"/>
          <w:lang w:eastAsia="ar-SA"/>
        </w:rPr>
        <w:t>Кисленко Д.А.</w:t>
      </w:r>
      <w:r w:rsidRPr="00AB0FF3">
        <w:rPr>
          <w:rFonts w:ascii="Times New Roman" w:eastAsia="Times New Roman" w:hAnsi="Times New Roman" w:cs="Times New Roman"/>
          <w:b/>
          <w:i/>
          <w:color w:val="000000"/>
          <w:sz w:val="21"/>
          <w:szCs w:val="21"/>
          <w:lang w:eastAsia="ar-SA"/>
        </w:rPr>
        <w:t xml:space="preserve">, </w:t>
      </w:r>
    </w:p>
    <w:p w14:paraId="012EFDF0" w14:textId="77777777" w:rsidR="00FE7EA5" w:rsidRPr="00AB0FF3" w:rsidRDefault="00FE7EA5" w:rsidP="00FE7EA5">
      <w:pPr>
        <w:suppressAutoHyphens/>
        <w:spacing w:after="0" w:line="240" w:lineRule="auto"/>
        <w:jc w:val="right"/>
        <w:rPr>
          <w:rFonts w:ascii="Times New Roman" w:eastAsia="Times New Roman" w:hAnsi="Times New Roman" w:cs="Times New Roman"/>
          <w:i/>
          <w:color w:val="000000"/>
          <w:sz w:val="21"/>
          <w:szCs w:val="21"/>
          <w:lang w:eastAsia="ar-SA"/>
        </w:rPr>
      </w:pPr>
      <w:r w:rsidRPr="00AB0FF3">
        <w:rPr>
          <w:rFonts w:ascii="Times New Roman" w:eastAsia="Times New Roman" w:hAnsi="Times New Roman" w:cs="Times New Roman"/>
          <w:i/>
          <w:color w:val="000000"/>
          <w:sz w:val="21"/>
          <w:szCs w:val="21"/>
          <w:lang w:eastAsia="ar-SA"/>
        </w:rPr>
        <w:t xml:space="preserve">студентка 1 курса </w:t>
      </w:r>
    </w:p>
    <w:p w14:paraId="02D09C5C" w14:textId="77777777" w:rsidR="00FE7EA5" w:rsidRDefault="00FE7EA5" w:rsidP="00FE7EA5">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80B236F" w14:textId="77777777" w:rsidR="00FE7EA5" w:rsidRPr="00AB0FF3" w:rsidRDefault="00FE7EA5" w:rsidP="00FE7EA5">
      <w:pPr>
        <w:suppressAutoHyphens/>
        <w:spacing w:after="0" w:line="240" w:lineRule="auto"/>
        <w:jc w:val="right"/>
        <w:rPr>
          <w:rFonts w:ascii="Times New Roman" w:eastAsia="Times New Roman" w:hAnsi="Times New Roman" w:cs="Times New Roman"/>
          <w:i/>
          <w:sz w:val="21"/>
          <w:szCs w:val="21"/>
          <w:lang w:eastAsia="ar-SA"/>
        </w:rPr>
      </w:pPr>
      <w:r w:rsidRPr="00AB0FF3">
        <w:rPr>
          <w:rFonts w:ascii="Times New Roman" w:eastAsia="Times New Roman" w:hAnsi="Times New Roman" w:cs="Times New Roman"/>
          <w:i/>
          <w:sz w:val="21"/>
          <w:szCs w:val="21"/>
          <w:lang w:eastAsia="ar-SA"/>
        </w:rPr>
        <w:t>г. Краснодар, Россия</w:t>
      </w:r>
    </w:p>
    <w:p w14:paraId="7E5B062A" w14:textId="77777777" w:rsidR="00FE7EA5" w:rsidRPr="00AB0FF3" w:rsidRDefault="00FE7EA5" w:rsidP="00FE7EA5">
      <w:pPr>
        <w:spacing w:after="0" w:line="240" w:lineRule="auto"/>
        <w:jc w:val="right"/>
        <w:rPr>
          <w:rFonts w:ascii="Times New Roman" w:eastAsia="Times New Roman" w:hAnsi="Times New Roman" w:cs="Times New Roman"/>
          <w:i/>
          <w:sz w:val="21"/>
          <w:szCs w:val="21"/>
        </w:rPr>
      </w:pPr>
      <w:r w:rsidRPr="00AB0FF3">
        <w:rPr>
          <w:rFonts w:ascii="Times New Roman" w:eastAsia="Times New Roman" w:hAnsi="Times New Roman" w:cs="Times New Roman"/>
          <w:i/>
          <w:sz w:val="21"/>
          <w:szCs w:val="21"/>
        </w:rPr>
        <w:t>е-</w:t>
      </w:r>
      <w:r w:rsidRPr="00AB0FF3">
        <w:rPr>
          <w:rFonts w:ascii="Times New Roman" w:eastAsia="Times New Roman" w:hAnsi="Times New Roman" w:cs="Times New Roman"/>
          <w:i/>
          <w:sz w:val="21"/>
          <w:szCs w:val="21"/>
          <w:lang w:val="en-US"/>
        </w:rPr>
        <w:t>mail</w:t>
      </w:r>
      <w:r w:rsidRPr="00AB0FF3">
        <w:rPr>
          <w:rFonts w:ascii="Times New Roman" w:eastAsia="Times New Roman" w:hAnsi="Times New Roman" w:cs="Times New Roman"/>
          <w:i/>
          <w:sz w:val="21"/>
          <w:szCs w:val="21"/>
        </w:rPr>
        <w:t>: kislenko_1995@list.ru</w:t>
      </w:r>
    </w:p>
    <w:p w14:paraId="05086A97" w14:textId="77777777" w:rsidR="00FE7EA5" w:rsidRPr="00AB0FF3" w:rsidRDefault="00FE7EA5" w:rsidP="00FE7EA5">
      <w:pPr>
        <w:spacing w:after="0" w:line="240" w:lineRule="auto"/>
        <w:jc w:val="right"/>
        <w:rPr>
          <w:rFonts w:ascii="Times New Roman" w:eastAsia="Times New Roman" w:hAnsi="Times New Roman" w:cs="Times New Roman"/>
          <w:i/>
          <w:sz w:val="21"/>
          <w:szCs w:val="21"/>
        </w:rPr>
      </w:pPr>
    </w:p>
    <w:p w14:paraId="2EEDDF53" w14:textId="77777777" w:rsidR="00FE7EA5" w:rsidRPr="00AB0FF3" w:rsidRDefault="00FE7EA5" w:rsidP="00FE7EA5">
      <w:pPr>
        <w:spacing w:after="0" w:line="240" w:lineRule="auto"/>
        <w:jc w:val="right"/>
        <w:rPr>
          <w:rFonts w:ascii="Times New Roman" w:eastAsia="Times New Roman" w:hAnsi="Times New Roman" w:cs="Times New Roman"/>
          <w:b/>
          <w:i/>
          <w:sz w:val="21"/>
          <w:szCs w:val="21"/>
        </w:rPr>
      </w:pPr>
      <w:r w:rsidRPr="00AB0FF3">
        <w:rPr>
          <w:rFonts w:ascii="Times New Roman" w:eastAsia="Times New Roman" w:hAnsi="Times New Roman" w:cs="Times New Roman"/>
          <w:b/>
          <w:i/>
          <w:sz w:val="21"/>
          <w:szCs w:val="21"/>
        </w:rPr>
        <w:t>Научный руководитель:</w:t>
      </w:r>
    </w:p>
    <w:p w14:paraId="769D3D07" w14:textId="77777777" w:rsidR="00FE7EA5" w:rsidRPr="00AB0FF3" w:rsidRDefault="00FE7EA5" w:rsidP="00FE7EA5">
      <w:pPr>
        <w:spacing w:after="0" w:line="240" w:lineRule="auto"/>
        <w:jc w:val="right"/>
        <w:rPr>
          <w:rFonts w:ascii="Times New Roman" w:eastAsia="Times New Roman" w:hAnsi="Times New Roman" w:cs="Times New Roman"/>
          <w:b/>
          <w:i/>
          <w:sz w:val="21"/>
          <w:szCs w:val="21"/>
        </w:rPr>
      </w:pPr>
      <w:r w:rsidRPr="00AB0FF3">
        <w:rPr>
          <w:rFonts w:ascii="Times New Roman" w:eastAsia="Times New Roman" w:hAnsi="Times New Roman" w:cs="Times New Roman"/>
          <w:b/>
          <w:i/>
          <w:sz w:val="21"/>
          <w:szCs w:val="21"/>
        </w:rPr>
        <w:t>Радченко М.В.,</w:t>
      </w:r>
    </w:p>
    <w:p w14:paraId="093B397F" w14:textId="77777777" w:rsidR="00FE7EA5" w:rsidRPr="00AB0FF3" w:rsidRDefault="00FE7EA5" w:rsidP="00FE7EA5">
      <w:pPr>
        <w:spacing w:after="0" w:line="240" w:lineRule="auto"/>
        <w:jc w:val="right"/>
        <w:rPr>
          <w:rFonts w:ascii="Times New Roman" w:eastAsia="Times New Roman" w:hAnsi="Times New Roman" w:cs="Times New Roman"/>
          <w:i/>
          <w:sz w:val="21"/>
          <w:szCs w:val="21"/>
        </w:rPr>
      </w:pPr>
      <w:r w:rsidRPr="00AB0FF3">
        <w:rPr>
          <w:rFonts w:ascii="Times New Roman" w:eastAsia="Times New Roman" w:hAnsi="Times New Roman" w:cs="Times New Roman"/>
          <w:b/>
          <w:i/>
          <w:sz w:val="21"/>
          <w:szCs w:val="21"/>
        </w:rPr>
        <w:t xml:space="preserve"> </w:t>
      </w:r>
      <w:r w:rsidRPr="00AB0FF3">
        <w:rPr>
          <w:rFonts w:ascii="Times New Roman" w:eastAsia="Times New Roman" w:hAnsi="Times New Roman" w:cs="Times New Roman"/>
          <w:i/>
          <w:sz w:val="21"/>
          <w:szCs w:val="21"/>
        </w:rPr>
        <w:t>Кандидат экономических наук</w:t>
      </w:r>
    </w:p>
    <w:p w14:paraId="40196BAB" w14:textId="77777777" w:rsidR="00FE7EA5" w:rsidRDefault="00FE7EA5" w:rsidP="00FE7EA5">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A44513F" w14:textId="77777777" w:rsidR="00FE7EA5" w:rsidRPr="00AB0FF3" w:rsidRDefault="00FE7EA5" w:rsidP="00FE7EA5">
      <w:pPr>
        <w:suppressAutoHyphens/>
        <w:spacing w:after="0" w:line="240" w:lineRule="auto"/>
        <w:jc w:val="right"/>
        <w:rPr>
          <w:rFonts w:ascii="Times New Roman" w:eastAsia="Times New Roman" w:hAnsi="Times New Roman" w:cs="Times New Roman"/>
          <w:i/>
          <w:sz w:val="21"/>
          <w:szCs w:val="21"/>
          <w:lang w:eastAsia="ar-SA"/>
        </w:rPr>
      </w:pPr>
      <w:r w:rsidRPr="00AB0FF3">
        <w:rPr>
          <w:rFonts w:ascii="Times New Roman" w:eastAsia="Times New Roman" w:hAnsi="Times New Roman" w:cs="Times New Roman"/>
          <w:i/>
          <w:sz w:val="21"/>
          <w:szCs w:val="21"/>
          <w:lang w:eastAsia="ar-SA"/>
        </w:rPr>
        <w:t>г. Краснодар, Россия</w:t>
      </w:r>
    </w:p>
    <w:p w14:paraId="19ED945D" w14:textId="77777777" w:rsidR="00FE7EA5" w:rsidRPr="00AB0FF3" w:rsidRDefault="00FE7EA5" w:rsidP="00FE7EA5">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AB0FF3">
        <w:rPr>
          <w:rFonts w:ascii="Times New Roman" w:eastAsia="Times New Roman" w:hAnsi="Times New Roman" w:cs="Times New Roman"/>
          <w:i/>
          <w:sz w:val="21"/>
          <w:szCs w:val="21"/>
          <w:lang w:eastAsia="ar-SA"/>
        </w:rPr>
        <w:t>е-</w:t>
      </w:r>
      <w:r w:rsidRPr="00AB0FF3">
        <w:rPr>
          <w:rFonts w:ascii="Times New Roman" w:eastAsia="Times New Roman" w:hAnsi="Times New Roman" w:cs="Times New Roman"/>
          <w:i/>
          <w:sz w:val="21"/>
          <w:szCs w:val="21"/>
          <w:lang w:val="en-US" w:eastAsia="ar-SA"/>
        </w:rPr>
        <w:t>mail</w:t>
      </w:r>
      <w:r w:rsidRPr="00AB0FF3">
        <w:rPr>
          <w:rFonts w:ascii="Times New Roman" w:eastAsia="Times New Roman" w:hAnsi="Times New Roman" w:cs="Times New Roman"/>
          <w:i/>
          <w:sz w:val="21"/>
          <w:szCs w:val="21"/>
          <w:lang w:eastAsia="ar-SA"/>
        </w:rPr>
        <w:t xml:space="preserve">: </w:t>
      </w:r>
      <w:r w:rsidRPr="00AB0FF3">
        <w:rPr>
          <w:rFonts w:ascii="Times New Roman" w:eastAsia="Times New Roman" w:hAnsi="Times New Roman" w:cs="Times New Roman"/>
          <w:i/>
          <w:sz w:val="21"/>
          <w:szCs w:val="21"/>
          <w:lang w:val="en-US" w:eastAsia="ar-SA"/>
        </w:rPr>
        <w:t>mvradchenko</w:t>
      </w:r>
      <w:r w:rsidRPr="00AB0FF3">
        <w:rPr>
          <w:rFonts w:ascii="Times New Roman" w:eastAsia="Times New Roman" w:hAnsi="Times New Roman" w:cs="Times New Roman"/>
          <w:i/>
          <w:sz w:val="21"/>
          <w:szCs w:val="21"/>
          <w:lang w:eastAsia="ar-SA"/>
        </w:rPr>
        <w:t>@</w:t>
      </w:r>
      <w:r w:rsidRPr="00AB0FF3">
        <w:rPr>
          <w:rFonts w:ascii="Times New Roman" w:eastAsia="Times New Roman" w:hAnsi="Times New Roman" w:cs="Times New Roman"/>
          <w:i/>
          <w:sz w:val="21"/>
          <w:szCs w:val="21"/>
          <w:lang w:val="en-US" w:eastAsia="ar-SA"/>
        </w:rPr>
        <w:t>fa</w:t>
      </w:r>
      <w:r w:rsidRPr="00AB0FF3">
        <w:rPr>
          <w:rFonts w:ascii="Times New Roman" w:eastAsia="Times New Roman" w:hAnsi="Times New Roman" w:cs="Times New Roman"/>
          <w:i/>
          <w:sz w:val="21"/>
          <w:szCs w:val="21"/>
          <w:lang w:eastAsia="ar-SA"/>
        </w:rPr>
        <w:t>.</w:t>
      </w:r>
      <w:r w:rsidRPr="00AB0FF3">
        <w:rPr>
          <w:rFonts w:ascii="Times New Roman" w:eastAsia="Times New Roman" w:hAnsi="Times New Roman" w:cs="Times New Roman"/>
          <w:i/>
          <w:sz w:val="21"/>
          <w:szCs w:val="21"/>
          <w:lang w:val="en-US" w:eastAsia="ar-SA"/>
        </w:rPr>
        <w:t>ru</w:t>
      </w:r>
    </w:p>
    <w:p w14:paraId="4A616949" w14:textId="77777777" w:rsidR="00FE7EA5" w:rsidRPr="00AB0FF3" w:rsidRDefault="00FE7EA5" w:rsidP="00FE7EA5">
      <w:pPr>
        <w:suppressAutoHyphens/>
        <w:spacing w:after="0" w:line="240" w:lineRule="auto"/>
        <w:rPr>
          <w:rFonts w:ascii="Times New Roman" w:eastAsia="Times New Roman" w:hAnsi="Times New Roman" w:cs="Times New Roman"/>
          <w:b/>
          <w:sz w:val="21"/>
          <w:szCs w:val="21"/>
          <w:lang w:eastAsia="ar-SA"/>
        </w:rPr>
      </w:pPr>
    </w:p>
    <w:p w14:paraId="1610E386" w14:textId="77777777" w:rsidR="00FE7EA5" w:rsidRPr="00AB0FF3" w:rsidRDefault="00FE7EA5" w:rsidP="00FE7EA5">
      <w:pPr>
        <w:spacing w:after="0" w:line="240" w:lineRule="auto"/>
        <w:ind w:firstLine="709"/>
        <w:jc w:val="center"/>
        <w:rPr>
          <w:rFonts w:ascii="Times New Roman" w:eastAsia="Times New Roman" w:hAnsi="Times New Roman" w:cs="Times New Roman"/>
          <w:b/>
          <w:bCs/>
          <w:sz w:val="21"/>
          <w:szCs w:val="21"/>
        </w:rPr>
      </w:pPr>
      <w:r w:rsidRPr="00AB0FF3">
        <w:rPr>
          <w:rFonts w:ascii="Times New Roman" w:eastAsia="Times New Roman" w:hAnsi="Times New Roman" w:cs="Times New Roman"/>
          <w:b/>
          <w:bCs/>
          <w:sz w:val="21"/>
          <w:szCs w:val="21"/>
        </w:rPr>
        <w:t>Теория и практика государственного регулирования естественных монополий</w:t>
      </w:r>
    </w:p>
    <w:p w14:paraId="20F54288" w14:textId="77777777" w:rsidR="00FE7EA5" w:rsidRPr="00AB0FF3" w:rsidRDefault="00FE7EA5" w:rsidP="00FE7EA5">
      <w:pPr>
        <w:spacing w:after="0" w:line="240" w:lineRule="auto"/>
        <w:ind w:firstLine="709"/>
        <w:jc w:val="center"/>
        <w:rPr>
          <w:rFonts w:ascii="Times New Roman" w:eastAsia="Times New Roman" w:hAnsi="Times New Roman" w:cs="Times New Roman"/>
          <w:b/>
          <w:bCs/>
          <w:sz w:val="21"/>
          <w:szCs w:val="21"/>
        </w:rPr>
      </w:pPr>
    </w:p>
    <w:p w14:paraId="7C060D61" w14:textId="77777777" w:rsidR="00FE7EA5" w:rsidRPr="00AB0FF3" w:rsidRDefault="00FE7EA5" w:rsidP="00FE7EA5">
      <w:pPr>
        <w:spacing w:after="0" w:line="240" w:lineRule="auto"/>
        <w:ind w:firstLine="709"/>
        <w:jc w:val="both"/>
        <w:rPr>
          <w:rFonts w:ascii="Times New Roman" w:eastAsia="Times New Roman" w:hAnsi="Times New Roman" w:cs="Times New Roman"/>
          <w:color w:val="2B2B2B"/>
          <w:shd w:val="clear" w:color="auto" w:fill="FFFFFF"/>
        </w:rPr>
      </w:pPr>
      <w:r w:rsidRPr="00AB0FF3">
        <w:rPr>
          <w:rFonts w:ascii="Times New Roman" w:eastAsia="Times New Roman" w:hAnsi="Times New Roman" w:cs="Times New Roman"/>
          <w:b/>
          <w:sz w:val="21"/>
          <w:szCs w:val="21"/>
        </w:rPr>
        <w:t>Аннотация:</w:t>
      </w:r>
      <w:r w:rsidRPr="00AB0FF3">
        <w:rPr>
          <w:rFonts w:ascii="Times New Roman" w:eastAsia="Times New Roman" w:hAnsi="Times New Roman" w:cs="Times New Roman"/>
          <w:i/>
          <w:sz w:val="21"/>
          <w:szCs w:val="21"/>
        </w:rPr>
        <w:t xml:space="preserve"> </w:t>
      </w:r>
      <w:r w:rsidRPr="00AB0FF3">
        <w:rPr>
          <w:rFonts w:ascii="Times New Roman" w:eastAsia="Times New Roman" w:hAnsi="Times New Roman" w:cs="Times New Roman"/>
          <w:color w:val="2B2B2B"/>
          <w:shd w:val="clear" w:color="auto" w:fill="FFFFFF"/>
        </w:rPr>
        <w:t>Настоящая статья посвящена вопросу теории и практики государственного регулирования естественных монополий. В условиях рыночной экономики естественные монополии играют ключевую роль в обеспечении стабильности и доступности жизненно важных услуг, таких как электроэнергия, водоснабжение и транспорт.</w:t>
      </w:r>
    </w:p>
    <w:p w14:paraId="0F3C485D" w14:textId="77777777" w:rsidR="00FE7EA5" w:rsidRPr="00AB0FF3" w:rsidRDefault="00FE7EA5" w:rsidP="00FE7EA5">
      <w:pPr>
        <w:spacing w:after="0" w:line="240" w:lineRule="auto"/>
        <w:ind w:firstLine="567"/>
        <w:jc w:val="both"/>
        <w:rPr>
          <w:rFonts w:ascii="Times New Roman" w:eastAsia="Times New Roman" w:hAnsi="Times New Roman" w:cs="Times New Roman"/>
          <w:sz w:val="21"/>
          <w:szCs w:val="21"/>
        </w:rPr>
      </w:pPr>
      <w:r w:rsidRPr="00AB0FF3">
        <w:rPr>
          <w:rFonts w:ascii="Times New Roman" w:eastAsia="Times New Roman" w:hAnsi="Times New Roman" w:cs="Times New Roman"/>
          <w:b/>
          <w:sz w:val="21"/>
          <w:szCs w:val="21"/>
        </w:rPr>
        <w:t>Ключевые слова:</w:t>
      </w:r>
      <w:r w:rsidRPr="00AB0FF3">
        <w:rPr>
          <w:rFonts w:ascii="Times New Roman" w:eastAsia="Times New Roman" w:hAnsi="Times New Roman" w:cs="Times New Roman"/>
          <w:sz w:val="21"/>
          <w:szCs w:val="21"/>
        </w:rPr>
        <w:t xml:space="preserve"> Регулирование, доход, монополии, контроль, инвестиции.</w:t>
      </w:r>
    </w:p>
    <w:p w14:paraId="16B0D0A9" w14:textId="77777777" w:rsidR="00FE7EA5" w:rsidRPr="00AB0FF3" w:rsidRDefault="00FE7EA5" w:rsidP="00FE7EA5">
      <w:pPr>
        <w:spacing w:after="0" w:line="240" w:lineRule="auto"/>
        <w:ind w:firstLine="567"/>
        <w:jc w:val="both"/>
        <w:rPr>
          <w:rFonts w:ascii="Calibri" w:eastAsia="Times New Roman" w:hAnsi="Calibri" w:cs="Times New Roman"/>
        </w:rPr>
      </w:pPr>
    </w:p>
    <w:p w14:paraId="184191B4" w14:textId="77777777" w:rsidR="00FE7EA5" w:rsidRPr="00AB0FF3" w:rsidRDefault="00FE7EA5" w:rsidP="00FE7EA5">
      <w:pPr>
        <w:spacing w:after="0" w:line="240" w:lineRule="auto"/>
        <w:ind w:firstLine="567"/>
        <w:jc w:val="right"/>
        <w:rPr>
          <w:rFonts w:ascii="Times New Roman" w:eastAsia="Times New Roman" w:hAnsi="Times New Roman" w:cs="Times New Roman"/>
          <w:b/>
          <w:i/>
          <w:sz w:val="21"/>
          <w:szCs w:val="21"/>
          <w:lang w:val="en-US"/>
        </w:rPr>
      </w:pPr>
      <w:r w:rsidRPr="00AB0FF3">
        <w:rPr>
          <w:rFonts w:ascii="Times New Roman" w:eastAsia="Times New Roman" w:hAnsi="Times New Roman" w:cs="Times New Roman"/>
          <w:b/>
          <w:i/>
          <w:sz w:val="21"/>
          <w:szCs w:val="21"/>
          <w:lang w:val="en-US"/>
        </w:rPr>
        <w:t xml:space="preserve">Kislenko D.A., </w:t>
      </w:r>
    </w:p>
    <w:p w14:paraId="267F639C" w14:textId="77777777" w:rsidR="00FE7EA5" w:rsidRPr="00AB0FF3" w:rsidRDefault="00FE7EA5" w:rsidP="00FE7EA5">
      <w:pPr>
        <w:spacing w:after="0" w:line="240" w:lineRule="auto"/>
        <w:ind w:firstLine="567"/>
        <w:jc w:val="right"/>
        <w:rPr>
          <w:rFonts w:ascii="Times New Roman" w:eastAsia="Times New Roman" w:hAnsi="Times New Roman" w:cs="Times New Roman"/>
          <w:b/>
          <w:i/>
          <w:sz w:val="21"/>
          <w:szCs w:val="21"/>
          <w:lang w:val="en-US"/>
        </w:rPr>
      </w:pPr>
      <w:r w:rsidRPr="00AB0FF3">
        <w:rPr>
          <w:rFonts w:ascii="Times New Roman" w:eastAsia="Times New Roman" w:hAnsi="Times New Roman" w:cs="Times New Roman"/>
          <w:i/>
          <w:sz w:val="21"/>
          <w:szCs w:val="21"/>
          <w:lang w:val="en-US"/>
        </w:rPr>
        <w:t>student,</w:t>
      </w:r>
      <w:r w:rsidRPr="00AB0FF3">
        <w:rPr>
          <w:rFonts w:ascii="Times New Roman" w:eastAsia="Times New Roman" w:hAnsi="Times New Roman" w:cs="Times New Roman"/>
          <w:i/>
          <w:lang w:val="en-US"/>
        </w:rPr>
        <w:t xml:space="preserve"> </w:t>
      </w:r>
      <w:r w:rsidRPr="00AB0FF3">
        <w:rPr>
          <w:rFonts w:ascii="Times New Roman" w:eastAsia="Times New Roman" w:hAnsi="Times New Roman" w:cs="Times New Roman"/>
          <w:i/>
          <w:sz w:val="21"/>
          <w:szCs w:val="21"/>
          <w:lang w:val="en-US"/>
        </w:rPr>
        <w:t>1 course</w:t>
      </w:r>
      <w:r w:rsidRPr="00AB0FF3">
        <w:rPr>
          <w:rFonts w:ascii="Times New Roman" w:eastAsia="Times New Roman" w:hAnsi="Times New Roman" w:cs="Times New Roman"/>
          <w:b/>
          <w:i/>
          <w:sz w:val="21"/>
          <w:szCs w:val="21"/>
          <w:lang w:val="en-US"/>
        </w:rPr>
        <w:t xml:space="preserve"> </w:t>
      </w:r>
    </w:p>
    <w:p w14:paraId="001D1A83"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AB0FF3">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778EC7F6"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AB0FF3">
        <w:rPr>
          <w:rFonts w:ascii="Times New Roman" w:eastAsia="Times New Roman" w:hAnsi="Times New Roman" w:cs="Times New Roman"/>
          <w:i/>
          <w:sz w:val="21"/>
          <w:szCs w:val="21"/>
          <w:lang w:val="en-US" w:eastAsia="ar-SA"/>
        </w:rPr>
        <w:t xml:space="preserve"> Krasnodar, Russia</w:t>
      </w:r>
    </w:p>
    <w:p w14:paraId="3B9A274C"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AB0FF3">
        <w:rPr>
          <w:rFonts w:ascii="Times New Roman" w:eastAsia="Times New Roman" w:hAnsi="Times New Roman" w:cs="Times New Roman"/>
          <w:i/>
          <w:sz w:val="21"/>
          <w:szCs w:val="21"/>
          <w:lang w:val="en-US" w:eastAsia="ar-SA"/>
        </w:rPr>
        <w:t>e-mail: kislenko_1995@list.ru</w:t>
      </w:r>
    </w:p>
    <w:p w14:paraId="23E26B4C" w14:textId="77777777" w:rsidR="00FE7EA5" w:rsidRPr="00AB0FF3" w:rsidRDefault="00FE7EA5" w:rsidP="00FE7EA5">
      <w:pPr>
        <w:spacing w:after="0" w:line="240" w:lineRule="auto"/>
        <w:ind w:firstLine="567"/>
        <w:jc w:val="right"/>
        <w:rPr>
          <w:rFonts w:ascii="Times New Roman" w:eastAsia="Times New Roman" w:hAnsi="Times New Roman" w:cs="Times New Roman"/>
          <w:b/>
          <w:i/>
          <w:sz w:val="21"/>
          <w:szCs w:val="21"/>
          <w:lang w:val="en-US"/>
        </w:rPr>
      </w:pPr>
    </w:p>
    <w:p w14:paraId="403B1089" w14:textId="77777777" w:rsidR="00FE7EA5" w:rsidRPr="00AB0FF3" w:rsidRDefault="00FE7EA5" w:rsidP="00FE7EA5">
      <w:pPr>
        <w:spacing w:after="0" w:line="240" w:lineRule="auto"/>
        <w:ind w:firstLine="567"/>
        <w:jc w:val="right"/>
        <w:rPr>
          <w:rFonts w:ascii="Times New Roman" w:eastAsia="Times New Roman" w:hAnsi="Times New Roman" w:cs="Times New Roman"/>
          <w:b/>
          <w:i/>
          <w:sz w:val="21"/>
          <w:szCs w:val="21"/>
          <w:lang w:val="en-US"/>
        </w:rPr>
      </w:pPr>
      <w:r w:rsidRPr="00AB0FF3">
        <w:rPr>
          <w:rFonts w:ascii="Times New Roman" w:eastAsia="Times New Roman" w:hAnsi="Times New Roman" w:cs="Times New Roman"/>
          <w:b/>
          <w:i/>
          <w:sz w:val="21"/>
          <w:szCs w:val="21"/>
          <w:lang w:val="en-US"/>
        </w:rPr>
        <w:t>Scientific Adviser:</w:t>
      </w:r>
    </w:p>
    <w:p w14:paraId="34F62E03" w14:textId="77777777" w:rsidR="00FE7EA5" w:rsidRPr="00AB0FF3" w:rsidRDefault="00FE7EA5" w:rsidP="00FE7EA5">
      <w:pPr>
        <w:spacing w:after="0" w:line="240" w:lineRule="auto"/>
        <w:ind w:firstLine="567"/>
        <w:jc w:val="right"/>
        <w:rPr>
          <w:rFonts w:ascii="Times New Roman" w:eastAsia="Times New Roman" w:hAnsi="Times New Roman" w:cs="Times New Roman"/>
          <w:b/>
          <w:i/>
          <w:sz w:val="21"/>
          <w:szCs w:val="21"/>
          <w:lang w:val="en-US"/>
        </w:rPr>
      </w:pPr>
      <w:r w:rsidRPr="00AB0FF3">
        <w:rPr>
          <w:rFonts w:ascii="Times New Roman" w:eastAsia="Times New Roman" w:hAnsi="Times New Roman" w:cs="Times New Roman"/>
          <w:b/>
          <w:i/>
          <w:sz w:val="21"/>
          <w:szCs w:val="21"/>
          <w:lang w:val="en-US"/>
        </w:rPr>
        <w:t>Radchenko M.V.,</w:t>
      </w:r>
    </w:p>
    <w:p w14:paraId="6350058D"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AB0FF3">
        <w:rPr>
          <w:rFonts w:ascii="Times New Roman" w:eastAsia="Times New Roman" w:hAnsi="Times New Roman" w:cs="Times New Roman"/>
          <w:i/>
          <w:color w:val="000000"/>
          <w:sz w:val="21"/>
          <w:szCs w:val="21"/>
          <w:lang w:val="en-US" w:eastAsia="ar-SA"/>
        </w:rPr>
        <w:t>Candidate of Economic Sciences</w:t>
      </w:r>
    </w:p>
    <w:p w14:paraId="0FF1D19C"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AB0FF3">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4B0309EA" w14:textId="77777777" w:rsidR="00FE7EA5" w:rsidRPr="00AB0FF3" w:rsidRDefault="00FE7EA5" w:rsidP="00FE7EA5">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AB0FF3">
        <w:rPr>
          <w:rFonts w:ascii="Times New Roman" w:eastAsia="Times New Roman" w:hAnsi="Times New Roman" w:cs="Times New Roman"/>
          <w:i/>
          <w:sz w:val="21"/>
          <w:szCs w:val="21"/>
          <w:lang w:val="en-US" w:eastAsia="ar-SA"/>
        </w:rPr>
        <w:t>Krasnodar, Russia</w:t>
      </w:r>
    </w:p>
    <w:p w14:paraId="4EA03158" w14:textId="77777777" w:rsidR="00FE7EA5" w:rsidRPr="00AB0FF3" w:rsidRDefault="00FE7EA5" w:rsidP="00FE7EA5">
      <w:pPr>
        <w:suppressAutoHyphens/>
        <w:spacing w:after="0" w:line="240" w:lineRule="auto"/>
        <w:jc w:val="right"/>
        <w:textAlignment w:val="baseline"/>
        <w:rPr>
          <w:rFonts w:ascii="Times New Roman" w:eastAsia="Times New Roman" w:hAnsi="Times New Roman" w:cs="Times New Roman"/>
          <w:i/>
          <w:sz w:val="21"/>
          <w:szCs w:val="21"/>
          <w:lang w:val="en-US" w:eastAsia="ar-SA"/>
        </w:rPr>
      </w:pPr>
      <w:r w:rsidRPr="00AB0FF3">
        <w:rPr>
          <w:rFonts w:ascii="Times New Roman" w:eastAsia="Times New Roman" w:hAnsi="Times New Roman" w:cs="Times New Roman"/>
          <w:i/>
          <w:sz w:val="21"/>
          <w:szCs w:val="21"/>
          <w:lang w:eastAsia="ar-SA"/>
        </w:rPr>
        <w:t>е</w:t>
      </w:r>
      <w:r w:rsidRPr="00AB0FF3">
        <w:rPr>
          <w:rFonts w:ascii="Times New Roman" w:eastAsia="Times New Roman" w:hAnsi="Times New Roman" w:cs="Times New Roman"/>
          <w:i/>
          <w:sz w:val="21"/>
          <w:szCs w:val="21"/>
          <w:lang w:val="en-US" w:eastAsia="ar-SA"/>
        </w:rPr>
        <w:t>-mail: mvradchenko@fa.ru</w:t>
      </w:r>
    </w:p>
    <w:p w14:paraId="7291E6EA" w14:textId="77777777" w:rsidR="00FE7EA5" w:rsidRPr="00AB0FF3" w:rsidRDefault="00FE7EA5" w:rsidP="00FE7EA5">
      <w:pPr>
        <w:spacing w:after="0" w:line="240" w:lineRule="auto"/>
        <w:ind w:firstLine="709"/>
        <w:jc w:val="both"/>
        <w:rPr>
          <w:rFonts w:ascii="Times New Roman" w:eastAsia="Times New Roman" w:hAnsi="Times New Roman" w:cs="Times New Roman"/>
          <w:b/>
          <w:bCs/>
          <w:sz w:val="21"/>
          <w:szCs w:val="21"/>
          <w:lang w:val="en-US"/>
        </w:rPr>
      </w:pPr>
    </w:p>
    <w:p w14:paraId="62549910" w14:textId="77777777" w:rsidR="00FE7EA5" w:rsidRPr="00AB0FF3" w:rsidRDefault="00FE7EA5" w:rsidP="00FE7EA5">
      <w:pPr>
        <w:spacing w:after="0" w:line="240" w:lineRule="auto"/>
        <w:ind w:firstLine="567"/>
        <w:jc w:val="center"/>
        <w:rPr>
          <w:rFonts w:ascii="Times New Roman" w:eastAsia="Times New Roman" w:hAnsi="Times New Roman" w:cs="Times New Roman"/>
          <w:b/>
          <w:bCs/>
          <w:sz w:val="21"/>
          <w:szCs w:val="21"/>
          <w:lang w:val="en-US"/>
        </w:rPr>
      </w:pPr>
      <w:r w:rsidRPr="00AB0FF3">
        <w:rPr>
          <w:rFonts w:ascii="Times New Roman" w:eastAsia="Times New Roman" w:hAnsi="Times New Roman" w:cs="Times New Roman"/>
          <w:b/>
          <w:bCs/>
          <w:sz w:val="21"/>
          <w:szCs w:val="21"/>
          <w:lang w:val="en"/>
        </w:rPr>
        <w:t>Theory and practice of state regulation of natural monopolies</w:t>
      </w:r>
    </w:p>
    <w:p w14:paraId="6280F6F8" w14:textId="77777777" w:rsidR="00FE7EA5" w:rsidRPr="00AB0FF3" w:rsidRDefault="00FE7EA5" w:rsidP="00FE7EA5">
      <w:pPr>
        <w:spacing w:after="0" w:line="240" w:lineRule="auto"/>
        <w:ind w:firstLine="709"/>
        <w:jc w:val="both"/>
        <w:rPr>
          <w:rFonts w:ascii="Times New Roman" w:eastAsia="Times New Roman" w:hAnsi="Times New Roman" w:cs="Times New Roman"/>
          <w:b/>
          <w:bCs/>
          <w:sz w:val="21"/>
          <w:szCs w:val="21"/>
          <w:lang w:val="en-US"/>
        </w:rPr>
      </w:pPr>
    </w:p>
    <w:p w14:paraId="088F611D" w14:textId="77777777" w:rsidR="00FE7EA5" w:rsidRPr="00AB0FF3" w:rsidRDefault="00FE7EA5" w:rsidP="00FE7EA5">
      <w:pPr>
        <w:spacing w:after="0" w:line="240" w:lineRule="auto"/>
        <w:ind w:firstLine="709"/>
        <w:jc w:val="both"/>
        <w:rPr>
          <w:rFonts w:ascii="Times New Roman" w:eastAsia="Times New Roman" w:hAnsi="Times New Roman" w:cs="Times New Roman"/>
          <w:b/>
          <w:bCs/>
          <w:sz w:val="21"/>
          <w:szCs w:val="21"/>
          <w:lang w:val="en-US"/>
        </w:rPr>
      </w:pPr>
      <w:r w:rsidRPr="00AB0FF3">
        <w:rPr>
          <w:rFonts w:ascii="Times New Roman" w:eastAsia="Times New Roman" w:hAnsi="Times New Roman" w:cs="Times New Roman"/>
          <w:b/>
          <w:bCs/>
          <w:sz w:val="21"/>
          <w:szCs w:val="21"/>
          <w:lang w:val="en-US"/>
        </w:rPr>
        <w:t>Abstract</w:t>
      </w:r>
      <w:r w:rsidRPr="00AB0FF3">
        <w:rPr>
          <w:rFonts w:ascii="Times New Roman" w:eastAsia="Times New Roman" w:hAnsi="Times New Roman" w:cs="Times New Roman"/>
          <w:sz w:val="21"/>
          <w:szCs w:val="21"/>
          <w:lang w:val="en-US"/>
        </w:rPr>
        <w:t>: This article is devoted to the issue of the theory and practice of state regulation of natural monopolies. In a market economy, natural monopolies play a key role in ensuring the stability and availability of vital services such as electricity, water supply and transport.</w:t>
      </w:r>
    </w:p>
    <w:p w14:paraId="7F8D40EA" w14:textId="77777777" w:rsidR="00FE7EA5" w:rsidRPr="00AB0FF3" w:rsidRDefault="00FE7EA5" w:rsidP="00FE7EA5">
      <w:pPr>
        <w:spacing w:after="0" w:line="240" w:lineRule="auto"/>
        <w:ind w:firstLine="709"/>
        <w:jc w:val="both"/>
        <w:rPr>
          <w:rFonts w:ascii="Times New Roman" w:eastAsia="Times New Roman" w:hAnsi="Times New Roman" w:cs="Times New Roman"/>
          <w:sz w:val="21"/>
          <w:szCs w:val="21"/>
          <w:lang w:val="en-US"/>
        </w:rPr>
      </w:pPr>
      <w:r w:rsidRPr="00AB0FF3">
        <w:rPr>
          <w:rFonts w:ascii="Times New Roman" w:eastAsia="Times New Roman" w:hAnsi="Times New Roman" w:cs="Times New Roman"/>
          <w:b/>
          <w:bCs/>
          <w:sz w:val="21"/>
          <w:szCs w:val="21"/>
          <w:lang w:val="en-US"/>
        </w:rPr>
        <w:t xml:space="preserve">Keywords: </w:t>
      </w:r>
      <w:r w:rsidRPr="00AB0FF3">
        <w:rPr>
          <w:rFonts w:ascii="Times New Roman" w:eastAsia="Times New Roman" w:hAnsi="Times New Roman" w:cs="Times New Roman"/>
          <w:sz w:val="21"/>
          <w:szCs w:val="21"/>
          <w:lang w:val="en-US"/>
        </w:rPr>
        <w:t xml:space="preserve">Regulation, </w:t>
      </w:r>
      <w:r w:rsidRPr="00AB0FF3">
        <w:rPr>
          <w:rFonts w:ascii="Times New Roman" w:eastAsia="Times New Roman" w:hAnsi="Times New Roman" w:cs="Times New Roman"/>
          <w:sz w:val="21"/>
          <w:szCs w:val="21"/>
          <w:lang w:val="en"/>
        </w:rPr>
        <w:t>income, monopolies, control, investments</w:t>
      </w:r>
      <w:r w:rsidRPr="00AB0FF3">
        <w:rPr>
          <w:rFonts w:ascii="Times New Roman" w:eastAsia="Times New Roman" w:hAnsi="Times New Roman" w:cs="Times New Roman"/>
          <w:sz w:val="21"/>
          <w:szCs w:val="21"/>
          <w:lang w:val="en-US"/>
        </w:rPr>
        <w:t>.</w:t>
      </w:r>
    </w:p>
    <w:p w14:paraId="690057BA" w14:textId="77777777" w:rsidR="00FE7EA5" w:rsidRPr="00AB0FF3" w:rsidRDefault="00FE7EA5" w:rsidP="00FE7EA5">
      <w:pPr>
        <w:spacing w:after="0" w:line="240" w:lineRule="auto"/>
        <w:jc w:val="both"/>
        <w:rPr>
          <w:rFonts w:ascii="Times New Roman" w:eastAsia="Times New Roman" w:hAnsi="Times New Roman" w:cs="Times New Roman"/>
          <w:sz w:val="21"/>
          <w:szCs w:val="21"/>
          <w:lang w:val="en-US"/>
        </w:rPr>
      </w:pPr>
    </w:p>
    <w:p w14:paraId="4D326B30"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Естественная монополия возникает там, где технологически оправдано существование единственного производителя определенного вида продукта или услуги. Причинами являются значительная экономия на масштабах производства и высокая доля постоянных издержек, делающая невозможным эффективное соперничество нескольких конкурентов. Наиболее типичные сферы естественной монополии включают энергетику, транспортировку нефти и газа, телекоммуникационные сети и железнодорожные перевозки.</w:t>
      </w:r>
      <w:r w:rsidRPr="00AB0FF3">
        <w:rPr>
          <w:rFonts w:ascii="Calibri" w:eastAsia="Times New Roman" w:hAnsi="Calibri" w:cs="Times New Roman"/>
          <w:sz w:val="32"/>
          <w:szCs w:val="32"/>
        </w:rPr>
        <w:t xml:space="preserve"> </w:t>
      </w:r>
      <w:r w:rsidRPr="00AB0FF3">
        <w:rPr>
          <w:rFonts w:ascii="Times New Roman" w:eastAsia="Times New Roman" w:hAnsi="Times New Roman" w:cs="Times New Roman"/>
          <w:sz w:val="32"/>
          <w:szCs w:val="32"/>
        </w:rPr>
        <w:t>В некоторых случаях может быть целесообразно внедрение системы лицензирования, которая требует от компаний соблюдения определенных стандартов и условий для ведения бизнеса. Это также позволяет государству контролировать вход на рынок и предотвращать появление недобросовестных игроков.</w:t>
      </w:r>
    </w:p>
    <w:p w14:paraId="2246EA81"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xml:space="preserve">Важно отметить, что эффективное регулирование естественных монополий требует сбалансированного подхода. С одной стороны, необходимо защищать интересы потребителей и обеспечивать доступность услуг, с другой создавать стимулы для инвестиций и инноваций со стороны монополистов. В этом контексте могут применяться механизмы, такие как «регулирование по результатам», </w:t>
      </w:r>
      <w:r w:rsidRPr="00AB0FF3">
        <w:rPr>
          <w:rFonts w:ascii="Times New Roman" w:eastAsia="Times New Roman" w:hAnsi="Times New Roman" w:cs="Times New Roman"/>
          <w:sz w:val="32"/>
          <w:szCs w:val="32"/>
        </w:rPr>
        <w:lastRenderedPageBreak/>
        <w:t>при котором компании получают вознаграждение за достижение определенных показателей качества и эффективности.</w:t>
      </w:r>
    </w:p>
    <w:p w14:paraId="159F1714"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При отсутствии надлежащего регулирования такие монополисты способны устанавливать неоправданно высокие тарифы, ограничивать доступ новым участникам рынка и игнорировать требования улучшения качества обслуживания</w:t>
      </w:r>
      <w:r w:rsidRPr="00AB0FF3">
        <w:rPr>
          <w:rFonts w:ascii="Calibri" w:eastAsia="Times New Roman" w:hAnsi="Calibri" w:cs="Times New Roman"/>
          <w:sz w:val="32"/>
          <w:szCs w:val="32"/>
        </w:rPr>
        <w:t xml:space="preserve">. </w:t>
      </w:r>
      <w:r w:rsidRPr="00AB0FF3">
        <w:rPr>
          <w:rFonts w:ascii="Times New Roman" w:eastAsia="Times New Roman" w:hAnsi="Times New Roman" w:cs="Times New Roman"/>
          <w:sz w:val="32"/>
          <w:szCs w:val="32"/>
        </w:rPr>
        <w:t>Поэтому важнейшей задачей государства становится разработка эффективных методов контроля и ограничения негативных последствий монопольного положения, одновременно поддерживая устойчивость отрасли и возможности её дальнейшего развития.</w:t>
      </w:r>
    </w:p>
    <w:p w14:paraId="1345274C"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Необходимость в регулировании естественных монополий обуславливается рядом аргументов. Основные из них заключаются в следующих задачах:</w:t>
      </w:r>
    </w:p>
    <w:p w14:paraId="5F013798"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ограничить потенциально злоупотребляющую или несправедливую рыночную власть компании;</w:t>
      </w:r>
    </w:p>
    <w:p w14:paraId="4CBEA9C5"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содействовать развитию конкурентной среды;</w:t>
      </w:r>
    </w:p>
    <w:p w14:paraId="4983C574"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стимулировать капитальные вложения (инвестирования);</w:t>
      </w:r>
    </w:p>
    <w:p w14:paraId="5F3AD9A4"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расширить масштабы хозяйственной деятельности;</w:t>
      </w:r>
    </w:p>
    <w:p w14:paraId="6FBC54FF"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стабилизировать макроэкономическую ситуацию.</w:t>
      </w:r>
    </w:p>
    <w:p w14:paraId="2715B479" w14:textId="77777777" w:rsidR="00FE7EA5" w:rsidRPr="00AB0FF3" w:rsidRDefault="00FE7EA5" w:rsidP="00FE7EA5">
      <w:pPr>
        <w:tabs>
          <w:tab w:val="left" w:pos="1815"/>
        </w:tabs>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В таблице 1 рассмотрим рейтинг крупнейших компаний – естественных монополистов за январь 2022 г.</w:t>
      </w:r>
    </w:p>
    <w:p w14:paraId="06B946EC" w14:textId="77777777" w:rsidR="00FE7EA5" w:rsidRPr="00AB0FF3" w:rsidRDefault="00FE7EA5" w:rsidP="00FE7EA5">
      <w:pPr>
        <w:tabs>
          <w:tab w:val="left" w:pos="1815"/>
        </w:tabs>
        <w:spacing w:after="0" w:line="360" w:lineRule="auto"/>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Таблица 1 - Рейтинг крупнейших компаний – естественных монополистов за январь 2022 г.</w:t>
      </w:r>
    </w:p>
    <w:tbl>
      <w:tblPr>
        <w:tblStyle w:val="9"/>
        <w:tblpPr w:leftFromText="180" w:rightFromText="180" w:vertAnchor="text" w:tblpY="1"/>
        <w:tblOverlap w:val="never"/>
        <w:tblW w:w="0" w:type="auto"/>
        <w:tblLayout w:type="fixed"/>
        <w:tblLook w:val="04A0" w:firstRow="1" w:lastRow="0" w:firstColumn="1" w:lastColumn="0" w:noHBand="0" w:noVBand="1"/>
      </w:tblPr>
      <w:tblGrid>
        <w:gridCol w:w="1555"/>
        <w:gridCol w:w="1417"/>
        <w:gridCol w:w="1134"/>
        <w:gridCol w:w="1276"/>
        <w:gridCol w:w="850"/>
        <w:gridCol w:w="1560"/>
        <w:gridCol w:w="1552"/>
      </w:tblGrid>
      <w:tr w:rsidR="00FE7EA5" w:rsidRPr="00AB0FF3" w14:paraId="7AE61ED7" w14:textId="77777777" w:rsidTr="00EB1CB9">
        <w:trPr>
          <w:trHeight w:val="1125"/>
        </w:trPr>
        <w:tc>
          <w:tcPr>
            <w:tcW w:w="1555" w:type="dxa"/>
          </w:tcPr>
          <w:p w14:paraId="0CE291B9"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Компания</w:t>
            </w:r>
          </w:p>
        </w:tc>
        <w:tc>
          <w:tcPr>
            <w:tcW w:w="1417" w:type="dxa"/>
          </w:tcPr>
          <w:p w14:paraId="6AFD0C58"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Объем реализации 2022 (млн.)</w:t>
            </w:r>
          </w:p>
        </w:tc>
        <w:tc>
          <w:tcPr>
            <w:tcW w:w="1134" w:type="dxa"/>
          </w:tcPr>
          <w:p w14:paraId="08CF7745"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Рейтинг по объему реализации</w:t>
            </w:r>
          </w:p>
        </w:tc>
        <w:tc>
          <w:tcPr>
            <w:tcW w:w="1276" w:type="dxa"/>
          </w:tcPr>
          <w:p w14:paraId="1A1F49BE"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Чистая прибыль 2022 (млн руб.)</w:t>
            </w:r>
          </w:p>
        </w:tc>
        <w:tc>
          <w:tcPr>
            <w:tcW w:w="850" w:type="dxa"/>
          </w:tcPr>
          <w:p w14:paraId="3D5CAFED"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Темп прироста в 2022 (%)</w:t>
            </w:r>
          </w:p>
        </w:tc>
        <w:tc>
          <w:tcPr>
            <w:tcW w:w="1560" w:type="dxa"/>
          </w:tcPr>
          <w:p w14:paraId="27D5EFE4"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Показатель капитализации за январь 2022 (млн руб.)</w:t>
            </w:r>
          </w:p>
        </w:tc>
        <w:tc>
          <w:tcPr>
            <w:tcW w:w="1552" w:type="dxa"/>
          </w:tcPr>
          <w:p w14:paraId="5560BAAB"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Доля госсобственности</w:t>
            </w:r>
          </w:p>
        </w:tc>
      </w:tr>
      <w:tr w:rsidR="00FE7EA5" w:rsidRPr="00AB0FF3" w14:paraId="20C2F1E4" w14:textId="77777777" w:rsidTr="00EB1CB9">
        <w:tc>
          <w:tcPr>
            <w:tcW w:w="1555" w:type="dxa"/>
          </w:tcPr>
          <w:p w14:paraId="693A0D72"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Газпром</w:t>
            </w:r>
          </w:p>
        </w:tc>
        <w:tc>
          <w:tcPr>
            <w:tcW w:w="1417" w:type="dxa"/>
          </w:tcPr>
          <w:p w14:paraId="7322CB9E" w14:textId="77777777" w:rsidR="00FE7EA5" w:rsidRPr="00AB0FF3" w:rsidRDefault="00FE7EA5" w:rsidP="00EB1CB9">
            <w:pPr>
              <w:tabs>
                <w:tab w:val="left" w:pos="1815"/>
              </w:tabs>
              <w:jc w:val="both"/>
              <w:rPr>
                <w:rFonts w:ascii="Times New Roman" w:eastAsia="Times New Roman" w:hAnsi="Times New Roman" w:cs="Times New Roman"/>
                <w:sz w:val="24"/>
                <w:szCs w:val="24"/>
                <w:lang w:val="en-US"/>
              </w:rPr>
            </w:pPr>
            <w:r w:rsidRPr="00AB0FF3">
              <w:rPr>
                <w:rFonts w:ascii="Times New Roman" w:eastAsia="Times New Roman" w:hAnsi="Times New Roman" w:cs="Times New Roman"/>
                <w:sz w:val="24"/>
                <w:szCs w:val="24"/>
                <w:lang w:val="en-US"/>
              </w:rPr>
              <w:t>10 000 0</w:t>
            </w:r>
            <w:r w:rsidRPr="00AB0FF3">
              <w:rPr>
                <w:rFonts w:ascii="Times New Roman" w:eastAsia="Times New Roman" w:hAnsi="Times New Roman" w:cs="Times New Roman"/>
                <w:sz w:val="24"/>
                <w:szCs w:val="24"/>
              </w:rPr>
              <w:t>0</w:t>
            </w:r>
            <w:r w:rsidRPr="00AB0FF3">
              <w:rPr>
                <w:rFonts w:ascii="Times New Roman" w:eastAsia="Times New Roman" w:hAnsi="Times New Roman" w:cs="Times New Roman"/>
                <w:sz w:val="24"/>
                <w:szCs w:val="24"/>
                <w:lang w:val="en-US"/>
              </w:rPr>
              <w:t>0</w:t>
            </w:r>
          </w:p>
        </w:tc>
        <w:tc>
          <w:tcPr>
            <w:tcW w:w="1134" w:type="dxa"/>
          </w:tcPr>
          <w:p w14:paraId="18EA5A3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w:t>
            </w:r>
          </w:p>
        </w:tc>
        <w:tc>
          <w:tcPr>
            <w:tcW w:w="1276" w:type="dxa"/>
          </w:tcPr>
          <w:p w14:paraId="7194E17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2 500 000</w:t>
            </w:r>
          </w:p>
        </w:tc>
        <w:tc>
          <w:tcPr>
            <w:tcW w:w="850" w:type="dxa"/>
          </w:tcPr>
          <w:p w14:paraId="7799EC50"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15</w:t>
            </w:r>
          </w:p>
        </w:tc>
        <w:tc>
          <w:tcPr>
            <w:tcW w:w="1560" w:type="dxa"/>
          </w:tcPr>
          <w:p w14:paraId="670BBCDC"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6 000 000</w:t>
            </w:r>
          </w:p>
        </w:tc>
        <w:tc>
          <w:tcPr>
            <w:tcW w:w="1552" w:type="dxa"/>
          </w:tcPr>
          <w:p w14:paraId="4859313E"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Более 50%</w:t>
            </w:r>
          </w:p>
        </w:tc>
      </w:tr>
      <w:tr w:rsidR="00FE7EA5" w:rsidRPr="00AB0FF3" w14:paraId="5B2A5E22" w14:textId="77777777" w:rsidTr="00EB1CB9">
        <w:tc>
          <w:tcPr>
            <w:tcW w:w="1555" w:type="dxa"/>
          </w:tcPr>
          <w:p w14:paraId="71C66D8D"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РЖД</w:t>
            </w:r>
          </w:p>
        </w:tc>
        <w:tc>
          <w:tcPr>
            <w:tcW w:w="1417" w:type="dxa"/>
          </w:tcPr>
          <w:p w14:paraId="64659D20"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3 500 000</w:t>
            </w:r>
          </w:p>
        </w:tc>
        <w:tc>
          <w:tcPr>
            <w:tcW w:w="1134" w:type="dxa"/>
          </w:tcPr>
          <w:p w14:paraId="2949CBD6"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4</w:t>
            </w:r>
          </w:p>
        </w:tc>
        <w:tc>
          <w:tcPr>
            <w:tcW w:w="1276" w:type="dxa"/>
          </w:tcPr>
          <w:p w14:paraId="0F1DAA36"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600 000</w:t>
            </w:r>
          </w:p>
        </w:tc>
        <w:tc>
          <w:tcPr>
            <w:tcW w:w="850" w:type="dxa"/>
          </w:tcPr>
          <w:p w14:paraId="00178874"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10</w:t>
            </w:r>
          </w:p>
        </w:tc>
        <w:tc>
          <w:tcPr>
            <w:tcW w:w="1560" w:type="dxa"/>
          </w:tcPr>
          <w:p w14:paraId="21DA6B69"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1 200 000</w:t>
            </w:r>
          </w:p>
        </w:tc>
        <w:tc>
          <w:tcPr>
            <w:tcW w:w="1552" w:type="dxa"/>
          </w:tcPr>
          <w:p w14:paraId="5357677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100%</w:t>
            </w:r>
          </w:p>
        </w:tc>
      </w:tr>
      <w:tr w:rsidR="00FE7EA5" w:rsidRPr="00AB0FF3" w14:paraId="489BAD5A" w14:textId="77777777" w:rsidTr="00EB1CB9">
        <w:trPr>
          <w:trHeight w:val="573"/>
        </w:trPr>
        <w:tc>
          <w:tcPr>
            <w:tcW w:w="1555" w:type="dxa"/>
          </w:tcPr>
          <w:p w14:paraId="036A26E1"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Холдинг МРСК</w:t>
            </w:r>
          </w:p>
        </w:tc>
        <w:tc>
          <w:tcPr>
            <w:tcW w:w="1417" w:type="dxa"/>
          </w:tcPr>
          <w:p w14:paraId="1A624821"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1 800 000</w:t>
            </w:r>
          </w:p>
        </w:tc>
        <w:tc>
          <w:tcPr>
            <w:tcW w:w="1134" w:type="dxa"/>
          </w:tcPr>
          <w:p w14:paraId="4775CAEB"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9</w:t>
            </w:r>
          </w:p>
        </w:tc>
        <w:tc>
          <w:tcPr>
            <w:tcW w:w="1276" w:type="dxa"/>
          </w:tcPr>
          <w:p w14:paraId="0CF6644E"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300 000</w:t>
            </w:r>
          </w:p>
        </w:tc>
        <w:tc>
          <w:tcPr>
            <w:tcW w:w="850" w:type="dxa"/>
          </w:tcPr>
          <w:p w14:paraId="6372AA06"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8</w:t>
            </w:r>
          </w:p>
        </w:tc>
        <w:tc>
          <w:tcPr>
            <w:tcW w:w="1560" w:type="dxa"/>
          </w:tcPr>
          <w:p w14:paraId="40F19008"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800 000</w:t>
            </w:r>
          </w:p>
        </w:tc>
        <w:tc>
          <w:tcPr>
            <w:tcW w:w="1552" w:type="dxa"/>
          </w:tcPr>
          <w:p w14:paraId="0E2F534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52%</w:t>
            </w:r>
          </w:p>
        </w:tc>
      </w:tr>
      <w:tr w:rsidR="00FE7EA5" w:rsidRPr="00AB0FF3" w14:paraId="2696620A" w14:textId="77777777" w:rsidTr="00EB1CB9">
        <w:trPr>
          <w:trHeight w:val="257"/>
        </w:trPr>
        <w:tc>
          <w:tcPr>
            <w:tcW w:w="1555" w:type="dxa"/>
          </w:tcPr>
          <w:p w14:paraId="1756439E"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АК транснефть</w:t>
            </w:r>
          </w:p>
        </w:tc>
        <w:tc>
          <w:tcPr>
            <w:tcW w:w="1417" w:type="dxa"/>
          </w:tcPr>
          <w:p w14:paraId="636CC9C8"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1 200 000</w:t>
            </w:r>
          </w:p>
        </w:tc>
        <w:tc>
          <w:tcPr>
            <w:tcW w:w="1134" w:type="dxa"/>
          </w:tcPr>
          <w:p w14:paraId="5F85DF2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11</w:t>
            </w:r>
          </w:p>
        </w:tc>
        <w:tc>
          <w:tcPr>
            <w:tcW w:w="1276" w:type="dxa"/>
          </w:tcPr>
          <w:p w14:paraId="2DCE279E"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400 000</w:t>
            </w:r>
          </w:p>
        </w:tc>
        <w:tc>
          <w:tcPr>
            <w:tcW w:w="850" w:type="dxa"/>
          </w:tcPr>
          <w:p w14:paraId="58D2B36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12</w:t>
            </w:r>
          </w:p>
        </w:tc>
        <w:tc>
          <w:tcPr>
            <w:tcW w:w="1560" w:type="dxa"/>
          </w:tcPr>
          <w:p w14:paraId="263A9DC4"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900 000</w:t>
            </w:r>
          </w:p>
        </w:tc>
        <w:tc>
          <w:tcPr>
            <w:tcW w:w="1552" w:type="dxa"/>
          </w:tcPr>
          <w:p w14:paraId="31C32605"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78,10%</w:t>
            </w:r>
          </w:p>
        </w:tc>
      </w:tr>
      <w:tr w:rsidR="00FE7EA5" w:rsidRPr="00AB0FF3" w14:paraId="73020FA0" w14:textId="77777777" w:rsidTr="00EB1CB9">
        <w:tc>
          <w:tcPr>
            <w:tcW w:w="1555" w:type="dxa"/>
          </w:tcPr>
          <w:p w14:paraId="723BD366"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Русгидро</w:t>
            </w:r>
          </w:p>
        </w:tc>
        <w:tc>
          <w:tcPr>
            <w:tcW w:w="1417" w:type="dxa"/>
          </w:tcPr>
          <w:p w14:paraId="7C29F1FA"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900 000</w:t>
            </w:r>
          </w:p>
        </w:tc>
        <w:tc>
          <w:tcPr>
            <w:tcW w:w="1134" w:type="dxa"/>
          </w:tcPr>
          <w:p w14:paraId="703502D2"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12</w:t>
            </w:r>
          </w:p>
        </w:tc>
        <w:tc>
          <w:tcPr>
            <w:tcW w:w="1276" w:type="dxa"/>
          </w:tcPr>
          <w:p w14:paraId="3CBA2DF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150 000</w:t>
            </w:r>
          </w:p>
        </w:tc>
        <w:tc>
          <w:tcPr>
            <w:tcW w:w="850" w:type="dxa"/>
          </w:tcPr>
          <w:p w14:paraId="4D836547"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w:t>
            </w:r>
          </w:p>
        </w:tc>
        <w:tc>
          <w:tcPr>
            <w:tcW w:w="1560" w:type="dxa"/>
          </w:tcPr>
          <w:p w14:paraId="44D1463C"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500 000</w:t>
            </w:r>
          </w:p>
        </w:tc>
        <w:tc>
          <w:tcPr>
            <w:tcW w:w="1552" w:type="dxa"/>
          </w:tcPr>
          <w:p w14:paraId="2B8045CA"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60%</w:t>
            </w:r>
          </w:p>
        </w:tc>
      </w:tr>
      <w:tr w:rsidR="00FE7EA5" w:rsidRPr="00AB0FF3" w14:paraId="6868251B" w14:textId="77777777" w:rsidTr="00EB1CB9">
        <w:trPr>
          <w:trHeight w:val="114"/>
        </w:trPr>
        <w:tc>
          <w:tcPr>
            <w:tcW w:w="1555" w:type="dxa"/>
          </w:tcPr>
          <w:p w14:paraId="311E64A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Связьинвест</w:t>
            </w:r>
          </w:p>
        </w:tc>
        <w:tc>
          <w:tcPr>
            <w:tcW w:w="1417" w:type="dxa"/>
          </w:tcPr>
          <w:p w14:paraId="7607904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600 000</w:t>
            </w:r>
          </w:p>
        </w:tc>
        <w:tc>
          <w:tcPr>
            <w:tcW w:w="1134" w:type="dxa"/>
          </w:tcPr>
          <w:p w14:paraId="1B364C62"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21</w:t>
            </w:r>
          </w:p>
        </w:tc>
        <w:tc>
          <w:tcPr>
            <w:tcW w:w="1276" w:type="dxa"/>
          </w:tcPr>
          <w:p w14:paraId="0D1D10C4"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100 000</w:t>
            </w:r>
          </w:p>
        </w:tc>
        <w:tc>
          <w:tcPr>
            <w:tcW w:w="850" w:type="dxa"/>
          </w:tcPr>
          <w:p w14:paraId="2F18D56B"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7</w:t>
            </w:r>
          </w:p>
        </w:tc>
        <w:tc>
          <w:tcPr>
            <w:tcW w:w="1560" w:type="dxa"/>
          </w:tcPr>
          <w:p w14:paraId="66C035C5"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300 000</w:t>
            </w:r>
          </w:p>
        </w:tc>
        <w:tc>
          <w:tcPr>
            <w:tcW w:w="1552" w:type="dxa"/>
          </w:tcPr>
          <w:p w14:paraId="76DBC6D7"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100%</w:t>
            </w:r>
          </w:p>
        </w:tc>
      </w:tr>
      <w:tr w:rsidR="00FE7EA5" w:rsidRPr="00AB0FF3" w14:paraId="37061152" w14:textId="77777777" w:rsidTr="00EB1CB9">
        <w:trPr>
          <w:trHeight w:val="60"/>
        </w:trPr>
        <w:tc>
          <w:tcPr>
            <w:tcW w:w="1555" w:type="dxa"/>
          </w:tcPr>
          <w:p w14:paraId="7E64788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ФСК ЕЭС</w:t>
            </w:r>
          </w:p>
        </w:tc>
        <w:tc>
          <w:tcPr>
            <w:tcW w:w="1417" w:type="dxa"/>
          </w:tcPr>
          <w:p w14:paraId="6F703585"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500 000</w:t>
            </w:r>
          </w:p>
        </w:tc>
        <w:tc>
          <w:tcPr>
            <w:tcW w:w="1134" w:type="dxa"/>
          </w:tcPr>
          <w:p w14:paraId="3EC219F1"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49</w:t>
            </w:r>
          </w:p>
        </w:tc>
        <w:tc>
          <w:tcPr>
            <w:tcW w:w="1276" w:type="dxa"/>
          </w:tcPr>
          <w:p w14:paraId="3769F84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80 000</w:t>
            </w:r>
          </w:p>
        </w:tc>
        <w:tc>
          <w:tcPr>
            <w:tcW w:w="850" w:type="dxa"/>
          </w:tcPr>
          <w:p w14:paraId="7767CCA8"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6</w:t>
            </w:r>
          </w:p>
        </w:tc>
        <w:tc>
          <w:tcPr>
            <w:tcW w:w="1560" w:type="dxa"/>
          </w:tcPr>
          <w:p w14:paraId="642340B1"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250 000</w:t>
            </w:r>
          </w:p>
        </w:tc>
        <w:tc>
          <w:tcPr>
            <w:tcW w:w="1552" w:type="dxa"/>
          </w:tcPr>
          <w:p w14:paraId="3775A34A"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 xml:space="preserve">12,44% - Росимущество, в дальнейшем ожидается увеличение </w:t>
            </w:r>
            <w:r w:rsidRPr="00AB0FF3">
              <w:rPr>
                <w:rFonts w:ascii="Times New Roman" w:eastAsia="Times New Roman" w:hAnsi="Times New Roman" w:cs="Times New Roman"/>
                <w:sz w:val="24"/>
                <w:szCs w:val="24"/>
              </w:rPr>
              <w:lastRenderedPageBreak/>
              <w:t>госсобственности до 75% плюс 1 акция</w:t>
            </w:r>
          </w:p>
        </w:tc>
      </w:tr>
      <w:tr w:rsidR="00FE7EA5" w:rsidRPr="00AB0FF3" w14:paraId="7B5161EC" w14:textId="77777777" w:rsidTr="00EB1CB9">
        <w:trPr>
          <w:trHeight w:val="627"/>
        </w:trPr>
        <w:tc>
          <w:tcPr>
            <w:tcW w:w="1555" w:type="dxa"/>
          </w:tcPr>
          <w:p w14:paraId="7ED33C8B"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lastRenderedPageBreak/>
              <w:t>Почта России</w:t>
            </w:r>
          </w:p>
        </w:tc>
        <w:tc>
          <w:tcPr>
            <w:tcW w:w="1417" w:type="dxa"/>
          </w:tcPr>
          <w:p w14:paraId="08C6A4D3"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400 000</w:t>
            </w:r>
          </w:p>
        </w:tc>
        <w:tc>
          <w:tcPr>
            <w:tcW w:w="1134" w:type="dxa"/>
          </w:tcPr>
          <w:p w14:paraId="47ADDDBC"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52</w:t>
            </w:r>
          </w:p>
        </w:tc>
        <w:tc>
          <w:tcPr>
            <w:tcW w:w="1276" w:type="dxa"/>
          </w:tcPr>
          <w:p w14:paraId="74206024"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50 000</w:t>
            </w:r>
          </w:p>
        </w:tc>
        <w:tc>
          <w:tcPr>
            <w:tcW w:w="850" w:type="dxa"/>
          </w:tcPr>
          <w:p w14:paraId="19154608"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4</w:t>
            </w:r>
          </w:p>
        </w:tc>
        <w:tc>
          <w:tcPr>
            <w:tcW w:w="1560" w:type="dxa"/>
          </w:tcPr>
          <w:p w14:paraId="602C6B9C"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200 000</w:t>
            </w:r>
          </w:p>
        </w:tc>
        <w:tc>
          <w:tcPr>
            <w:tcW w:w="1552" w:type="dxa"/>
          </w:tcPr>
          <w:p w14:paraId="23291D2F" w14:textId="77777777" w:rsidR="00FE7EA5" w:rsidRPr="00AB0FF3" w:rsidRDefault="00FE7EA5" w:rsidP="00EB1CB9">
            <w:pPr>
              <w:tabs>
                <w:tab w:val="left" w:pos="1815"/>
              </w:tabs>
              <w:jc w:val="both"/>
              <w:rPr>
                <w:rFonts w:ascii="Times New Roman" w:eastAsia="Times New Roman" w:hAnsi="Times New Roman" w:cs="Times New Roman"/>
                <w:sz w:val="24"/>
                <w:szCs w:val="24"/>
              </w:rPr>
            </w:pPr>
            <w:r w:rsidRPr="00AB0FF3">
              <w:rPr>
                <w:rFonts w:ascii="Times New Roman" w:eastAsia="Times New Roman" w:hAnsi="Times New Roman" w:cs="Times New Roman"/>
                <w:sz w:val="24"/>
                <w:szCs w:val="24"/>
              </w:rPr>
              <w:t>100%</w:t>
            </w:r>
          </w:p>
        </w:tc>
      </w:tr>
    </w:tbl>
    <w:p w14:paraId="7C26905E" w14:textId="77777777" w:rsidR="00FE7EA5" w:rsidRPr="00AB0FF3" w:rsidRDefault="00FE7EA5" w:rsidP="00FE7EA5">
      <w:pPr>
        <w:spacing w:after="0" w:line="240" w:lineRule="auto"/>
        <w:jc w:val="both"/>
        <w:rPr>
          <w:rFonts w:ascii="Times New Roman" w:eastAsia="Times New Roman" w:hAnsi="Times New Roman" w:cs="Times New Roman"/>
          <w:sz w:val="32"/>
          <w:szCs w:val="32"/>
        </w:rPr>
      </w:pPr>
    </w:p>
    <w:p w14:paraId="6E7D6D3E"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Таким образом, естественные монополии играют важную роль в экономике России, и их успешное функционирование зависит как от внутренних факторов, так и от государственной политики.</w:t>
      </w:r>
    </w:p>
    <w:p w14:paraId="5CD4D08B"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xml:space="preserve">Регулирование естественных монополий </w:t>
      </w:r>
      <w:proofErr w:type="gramStart"/>
      <w:r>
        <w:rPr>
          <w:rFonts w:ascii="Times New Roman" w:eastAsia="Times New Roman" w:hAnsi="Times New Roman" w:cs="Times New Roman"/>
          <w:sz w:val="32"/>
          <w:szCs w:val="32"/>
        </w:rPr>
        <w:t xml:space="preserve">- </w:t>
      </w:r>
      <w:r w:rsidRPr="00AB0FF3">
        <w:rPr>
          <w:rFonts w:ascii="Times New Roman" w:eastAsia="Times New Roman" w:hAnsi="Times New Roman" w:cs="Times New Roman"/>
          <w:sz w:val="32"/>
          <w:szCs w:val="32"/>
        </w:rPr>
        <w:t>это</w:t>
      </w:r>
      <w:proofErr w:type="gramEnd"/>
      <w:r w:rsidRPr="00AB0FF3">
        <w:rPr>
          <w:rFonts w:ascii="Times New Roman" w:eastAsia="Times New Roman" w:hAnsi="Times New Roman" w:cs="Times New Roman"/>
          <w:sz w:val="32"/>
          <w:szCs w:val="32"/>
        </w:rPr>
        <w:t xml:space="preserve"> важная задача для обеспечения справедливой конкуренции и защиты интересов потребителей. Вот несколько практических механизмов регулирования таких монополий:</w:t>
      </w:r>
    </w:p>
    <w:p w14:paraId="6B51496C"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тарифное регулирование: государственные органы устанавливают максимально допустимые тарифы на услуги, предоставляемые естественными монополиями. Это позволяет контролировать цены и предотвращать злоупотребления монополистов. Тарифы могут быть основаны на методах, таких как: Метод затрат плюс и метод целевых затрат.</w:t>
      </w:r>
    </w:p>
    <w:p w14:paraId="287AA7C7"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лицензирование: государство может требовать от естественных монополий получения лицензий для осуществления своей деятельности. Лицензии могут содержать условия, касающиеся качества услуг, тарифов и обязательств по инвестициям в модернизацию инфраструктуры.</w:t>
      </w:r>
    </w:p>
    <w:p w14:paraId="0483345F"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контроль качества: регулирующие органы могут устанавливать стандарты качества услуг, которые должны соблюдать естественные монополии. Это включает в себя регулярные проверки и мониторинг, чтобы гарантировать, что услуги соответствуют установленным стандартам.</w:t>
      </w:r>
    </w:p>
    <w:p w14:paraId="387CC108"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регулирование доступа: в некоторых случаях естественные монополии могут быть обязаны предоставить доступ к своей инфраструктуре другим компаниям (например, в случае железнодорожного транспорта или телекоммуникаций). Это позволяет создать конкуренцию на уровне услуг, даже если сама инфраструктура остается монопольной.</w:t>
      </w:r>
    </w:p>
    <w:p w14:paraId="2506234E"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xml:space="preserve">– инвестиционное регулирование: государственные органы могут контролировать инвестиции, которые делают естественные монополии, чтобы убедиться, что они направлены на улучшение услуг </w:t>
      </w:r>
      <w:r w:rsidRPr="00AB0FF3">
        <w:rPr>
          <w:rFonts w:ascii="Times New Roman" w:eastAsia="Times New Roman" w:hAnsi="Times New Roman" w:cs="Times New Roman"/>
          <w:sz w:val="32"/>
          <w:szCs w:val="32"/>
        </w:rPr>
        <w:lastRenderedPageBreak/>
        <w:t>и инфраструктуры. Это может включать в себя обязательства по модернизации оборудования или расширению сети.</w:t>
      </w:r>
    </w:p>
    <w:p w14:paraId="7785212D"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регулирование доходов: некоторые страны используют методы регулирования доходов, при которых регулируется не только тариф, но и общий доход компании. Это позволяет ограничить прибыль монополии и направить средства на улучшение услуг.</w:t>
      </w:r>
    </w:p>
    <w:p w14:paraId="4956C43E"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 публичные консультации и участие: регулирующие органы могут проводить публичные консультации и вовлекать потребителей в процесс принятия решений. Это позволяет учитывать мнения граждан и организаций, что способствует более прозрачному и справедливому регулированию.</w:t>
      </w:r>
    </w:p>
    <w:p w14:paraId="20B352F8"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Современные тенденции в регулировании естественных монополий подчеркивают необходимость адаптации существующих механизмов к быстро меняющимся экономическим условиям. В условиях глобализации и цифровизации экономики возникает потребность в более гибких и эффективных подходах к регулированию, которые смогут учитывать интересы как потребителей, так и компаний.</w:t>
      </w:r>
    </w:p>
    <w:p w14:paraId="1A82C2C5" w14:textId="77777777" w:rsidR="00FE7EA5" w:rsidRPr="00AB0FF3" w:rsidRDefault="00FE7EA5" w:rsidP="00FE7EA5">
      <w:pPr>
        <w:spacing w:after="0" w:line="240" w:lineRule="auto"/>
        <w:ind w:firstLine="851"/>
        <w:jc w:val="both"/>
        <w:rPr>
          <w:rFonts w:ascii="Times New Roman" w:eastAsia="Times New Roman" w:hAnsi="Times New Roman" w:cs="Times New Roman"/>
          <w:sz w:val="32"/>
          <w:szCs w:val="32"/>
        </w:rPr>
      </w:pPr>
      <w:r w:rsidRPr="00AB0FF3">
        <w:rPr>
          <w:rFonts w:ascii="Times New Roman" w:eastAsia="Times New Roman" w:hAnsi="Times New Roman" w:cs="Times New Roman"/>
          <w:sz w:val="32"/>
          <w:szCs w:val="32"/>
        </w:rPr>
        <w:t>Таким образом государственное регулирование естественных монополий остается актуальной проблемой современной экономики. Эффективная организация процесса регулирования позволит создать благоприятные условия для устойчивого социально-экономического развития регионов и всей страны в целом.</w:t>
      </w:r>
    </w:p>
    <w:p w14:paraId="2576CEC4" w14:textId="77777777" w:rsidR="00FE7EA5" w:rsidRDefault="00FE7EA5" w:rsidP="00FE7EA5">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p>
    <w:p w14:paraId="59E70ED1" w14:textId="77777777" w:rsidR="00FE7EA5" w:rsidRPr="00AB0FF3" w:rsidRDefault="00FE7EA5" w:rsidP="00FE7EA5">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AB0FF3">
        <w:rPr>
          <w:rFonts w:ascii="Times New Roman" w:eastAsia="Times New Roman" w:hAnsi="Times New Roman" w:cs="Times New Roman"/>
          <w:b/>
          <w:color w:val="000000"/>
          <w:sz w:val="21"/>
          <w:szCs w:val="21"/>
          <w:lang w:eastAsia="ar-SA"/>
        </w:rPr>
        <w:t>Литература:</w:t>
      </w:r>
    </w:p>
    <w:p w14:paraId="10304B0F" w14:textId="77777777" w:rsidR="00FE7EA5" w:rsidRPr="00AB0FF3" w:rsidRDefault="00FE7EA5" w:rsidP="00AD58CD">
      <w:pPr>
        <w:numPr>
          <w:ilvl w:val="0"/>
          <w:numId w:val="169"/>
        </w:numPr>
        <w:spacing w:after="0" w:line="240" w:lineRule="auto"/>
        <w:ind w:left="284" w:hanging="284"/>
        <w:contextualSpacing/>
        <w:jc w:val="both"/>
        <w:rPr>
          <w:rFonts w:ascii="Times New Roman" w:eastAsia="Times New Roman" w:hAnsi="Times New Roman" w:cs="Times New Roman"/>
        </w:rPr>
      </w:pPr>
      <w:r w:rsidRPr="00AB0FF3">
        <w:rPr>
          <w:rFonts w:ascii="Times New Roman" w:eastAsia="Times New Roman" w:hAnsi="Times New Roman" w:cs="Times New Roman"/>
        </w:rPr>
        <w:t>Балахонцев В.И., Федорова Н.С., Хохлов С.П. Проблемы государственного регулирования деятельности естественных монополий в России // Инновации. Наука. Образование. 2022</w:t>
      </w:r>
    </w:p>
    <w:p w14:paraId="27BC3DD7" w14:textId="77777777" w:rsidR="00FE7EA5" w:rsidRPr="00AB0FF3" w:rsidRDefault="00FE7EA5" w:rsidP="00AD58CD">
      <w:pPr>
        <w:numPr>
          <w:ilvl w:val="0"/>
          <w:numId w:val="169"/>
        </w:numPr>
        <w:spacing w:after="0" w:line="240" w:lineRule="auto"/>
        <w:ind w:left="284" w:hanging="284"/>
        <w:contextualSpacing/>
        <w:jc w:val="both"/>
        <w:rPr>
          <w:rFonts w:ascii="Times New Roman" w:eastAsia="Times New Roman" w:hAnsi="Times New Roman" w:cs="Times New Roman"/>
        </w:rPr>
      </w:pPr>
      <w:r w:rsidRPr="00AB0FF3">
        <w:rPr>
          <w:rFonts w:ascii="Times New Roman" w:eastAsia="Times New Roman" w:hAnsi="Times New Roman" w:cs="Times New Roman"/>
        </w:rPr>
        <w:t xml:space="preserve">Жабинская И.С., Мартыненко А.С. Естественные монополии и их роль в экономике </w:t>
      </w:r>
      <w:proofErr w:type="gramStart"/>
      <w:r w:rsidRPr="00AB0FF3">
        <w:rPr>
          <w:rFonts w:ascii="Times New Roman" w:eastAsia="Times New Roman" w:hAnsi="Times New Roman" w:cs="Times New Roman"/>
        </w:rPr>
        <w:t>России .</w:t>
      </w:r>
      <w:proofErr w:type="gramEnd"/>
      <w:r w:rsidRPr="00AB0FF3">
        <w:rPr>
          <w:rFonts w:ascii="Times New Roman" w:eastAsia="Times New Roman" w:hAnsi="Times New Roman" w:cs="Times New Roman"/>
        </w:rPr>
        <w:t xml:space="preserve"> 2020</w:t>
      </w:r>
    </w:p>
    <w:p w14:paraId="0E0BE8E1" w14:textId="2F8CB204" w:rsidR="00C80798" w:rsidRPr="00FE7EA5" w:rsidRDefault="00FE7EA5" w:rsidP="00AD58CD">
      <w:pPr>
        <w:numPr>
          <w:ilvl w:val="0"/>
          <w:numId w:val="169"/>
        </w:numPr>
        <w:tabs>
          <w:tab w:val="left" w:pos="0"/>
        </w:tabs>
        <w:suppressAutoHyphens/>
        <w:autoSpaceDE w:val="0"/>
        <w:spacing w:after="0" w:line="240" w:lineRule="auto"/>
        <w:ind w:left="284" w:hanging="284"/>
        <w:jc w:val="both"/>
        <w:rPr>
          <w:rFonts w:ascii="Times New Roman" w:eastAsia="Times New Roman" w:hAnsi="Times New Roman" w:cs="Times New Roman"/>
          <w:sz w:val="21"/>
          <w:szCs w:val="21"/>
          <w:lang w:eastAsia="ar-SA"/>
        </w:rPr>
      </w:pPr>
      <w:r w:rsidRPr="00AB0FF3">
        <w:rPr>
          <w:rFonts w:ascii="Times New Roman" w:eastAsia="Times New Roman" w:hAnsi="Times New Roman" w:cs="Times New Roman"/>
          <w:sz w:val="21"/>
          <w:szCs w:val="21"/>
          <w:lang w:eastAsia="ar-SA"/>
        </w:rPr>
        <w:t xml:space="preserve">«КонсультантПлюс» - законодательство РФ: кодексы, законы, указы, постановление Правительства Российской Федерации, нормативные акты [Электронный документ] </w:t>
      </w:r>
      <w:hyperlink r:id="rId216" w:history="1">
        <w:r w:rsidRPr="00AB0FF3">
          <w:rPr>
            <w:rFonts w:ascii="Times New Roman" w:eastAsia="DengXian Light" w:hAnsi="Times New Roman" w:cs="Times New Roman"/>
            <w:color w:val="0563C1"/>
            <w:sz w:val="21"/>
            <w:szCs w:val="21"/>
            <w:u w:val="single"/>
            <w:lang w:eastAsia="ar-SA"/>
          </w:rPr>
          <w:t>https://www.consultant.ru/</w:t>
        </w:r>
      </w:hyperlink>
      <w:r w:rsidRPr="00AB0FF3">
        <w:rPr>
          <w:rFonts w:ascii="Times New Roman" w:eastAsia="Times New Roman" w:hAnsi="Times New Roman" w:cs="Times New Roman"/>
          <w:sz w:val="21"/>
          <w:szCs w:val="21"/>
          <w:lang w:eastAsia="ar-SA"/>
        </w:rPr>
        <w:t xml:space="preserve"> </w:t>
      </w:r>
    </w:p>
    <w:p w14:paraId="53E20441" w14:textId="77777777" w:rsidR="00FE7EA5" w:rsidRPr="00877DE5" w:rsidRDefault="00FE7EA5" w:rsidP="0007694F">
      <w:pPr>
        <w:spacing w:after="0" w:line="240" w:lineRule="auto"/>
        <w:ind w:firstLine="709"/>
        <w:jc w:val="both"/>
        <w:rPr>
          <w:rFonts w:ascii="Times New Roman" w:eastAsia="Times New Roman" w:hAnsi="Times New Roman" w:cs="Times New Roman"/>
          <w:kern w:val="2"/>
          <w:sz w:val="21"/>
          <w:szCs w:val="21"/>
          <w:lang w:val="x-none" w:eastAsia="ar-SA"/>
          <w14:ligatures w14:val="standardContextual"/>
        </w:rPr>
      </w:pPr>
    </w:p>
    <w:p w14:paraId="57C4C901" w14:textId="77777777" w:rsidR="007F2468" w:rsidRPr="00E879E7" w:rsidRDefault="007F2468" w:rsidP="007F2468">
      <w:pPr>
        <w:suppressAutoHyphens/>
        <w:spacing w:after="0" w:line="240" w:lineRule="auto"/>
        <w:jc w:val="right"/>
        <w:rPr>
          <w:rFonts w:ascii="Times New Roman" w:eastAsia="Times New Roman" w:hAnsi="Times New Roman" w:cs="Times New Roman"/>
          <w:i/>
          <w:color w:val="000000"/>
          <w:sz w:val="21"/>
          <w:szCs w:val="21"/>
          <w:lang w:eastAsia="ar-SA"/>
        </w:rPr>
      </w:pPr>
      <w:r w:rsidRPr="00E879E7">
        <w:rPr>
          <w:rFonts w:ascii="Times New Roman" w:eastAsia="Times New Roman" w:hAnsi="Times New Roman" w:cs="Times New Roman"/>
          <w:b/>
          <w:i/>
          <w:color w:val="000000"/>
          <w:sz w:val="20"/>
          <w:szCs w:val="21"/>
          <w:lang w:eastAsia="ar-SA"/>
        </w:rPr>
        <w:t>Козлова П</w:t>
      </w:r>
      <w:r w:rsidRPr="00E879E7">
        <w:rPr>
          <w:rFonts w:ascii="Times New Roman" w:eastAsia="Times New Roman" w:hAnsi="Times New Roman" w:cs="Times New Roman"/>
          <w:b/>
          <w:i/>
          <w:color w:val="000000"/>
          <w:sz w:val="21"/>
          <w:szCs w:val="21"/>
          <w:lang w:eastAsia="ar-SA"/>
        </w:rPr>
        <w:t xml:space="preserve">.Д., </w:t>
      </w:r>
    </w:p>
    <w:p w14:paraId="336003C8" w14:textId="77777777" w:rsidR="007F2468" w:rsidRPr="00E879E7" w:rsidRDefault="007F2468" w:rsidP="007F2468">
      <w:pPr>
        <w:suppressAutoHyphens/>
        <w:spacing w:after="0" w:line="240" w:lineRule="auto"/>
        <w:jc w:val="right"/>
        <w:rPr>
          <w:rFonts w:ascii="Times New Roman" w:eastAsia="Times New Roman" w:hAnsi="Times New Roman" w:cs="Times New Roman"/>
          <w:i/>
          <w:color w:val="000000"/>
          <w:sz w:val="21"/>
          <w:szCs w:val="21"/>
          <w:lang w:eastAsia="ar-SA"/>
        </w:rPr>
      </w:pPr>
      <w:r w:rsidRPr="00E879E7">
        <w:rPr>
          <w:rFonts w:ascii="Times New Roman" w:eastAsia="Times New Roman" w:hAnsi="Times New Roman" w:cs="Times New Roman"/>
          <w:i/>
          <w:color w:val="000000"/>
          <w:sz w:val="21"/>
          <w:szCs w:val="21"/>
          <w:lang w:eastAsia="ar-SA"/>
        </w:rPr>
        <w:t xml:space="preserve">студентка 1 курса </w:t>
      </w:r>
    </w:p>
    <w:p w14:paraId="057DD006" w14:textId="77777777" w:rsidR="007F2468" w:rsidRDefault="007F2468" w:rsidP="007F2468">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6A22AC7" w14:textId="77777777" w:rsidR="007F2468" w:rsidRPr="00E879E7" w:rsidRDefault="007F2468" w:rsidP="007F2468">
      <w:pPr>
        <w:suppressAutoHyphens/>
        <w:spacing w:after="0" w:line="240" w:lineRule="auto"/>
        <w:jc w:val="right"/>
        <w:rPr>
          <w:rFonts w:ascii="Times New Roman" w:eastAsia="Times New Roman" w:hAnsi="Times New Roman" w:cs="Times New Roman"/>
          <w:i/>
          <w:sz w:val="21"/>
          <w:szCs w:val="21"/>
          <w:lang w:eastAsia="ar-SA"/>
        </w:rPr>
      </w:pPr>
      <w:r w:rsidRPr="00E879E7">
        <w:rPr>
          <w:rFonts w:ascii="Times New Roman" w:eastAsia="Times New Roman" w:hAnsi="Times New Roman" w:cs="Times New Roman"/>
          <w:i/>
          <w:sz w:val="21"/>
          <w:szCs w:val="21"/>
          <w:lang w:eastAsia="ar-SA"/>
        </w:rPr>
        <w:t>г. Краснодар, Россия</w:t>
      </w:r>
    </w:p>
    <w:p w14:paraId="565001C3" w14:textId="77777777" w:rsidR="007F2468" w:rsidRPr="00E879E7" w:rsidRDefault="007F2468" w:rsidP="007F2468">
      <w:pPr>
        <w:spacing w:after="0" w:line="240" w:lineRule="auto"/>
        <w:jc w:val="right"/>
        <w:rPr>
          <w:rFonts w:ascii="Times New Roman" w:eastAsia="Times New Roman" w:hAnsi="Times New Roman" w:cs="Times New Roman"/>
          <w:i/>
          <w:sz w:val="21"/>
          <w:szCs w:val="21"/>
        </w:rPr>
      </w:pPr>
      <w:r w:rsidRPr="00E879E7">
        <w:rPr>
          <w:rFonts w:ascii="Times New Roman" w:eastAsia="Times New Roman" w:hAnsi="Times New Roman" w:cs="Times New Roman"/>
          <w:i/>
          <w:sz w:val="21"/>
          <w:szCs w:val="21"/>
        </w:rPr>
        <w:t>е-</w:t>
      </w:r>
      <w:r w:rsidRPr="00E879E7">
        <w:rPr>
          <w:rFonts w:ascii="Times New Roman" w:eastAsia="Times New Roman" w:hAnsi="Times New Roman" w:cs="Times New Roman"/>
          <w:i/>
          <w:sz w:val="21"/>
          <w:szCs w:val="21"/>
          <w:lang w:val="en-US"/>
        </w:rPr>
        <w:t>mail</w:t>
      </w:r>
      <w:r w:rsidRPr="00E879E7">
        <w:rPr>
          <w:rFonts w:ascii="Times New Roman" w:eastAsia="Times New Roman" w:hAnsi="Times New Roman" w:cs="Times New Roman"/>
          <w:i/>
          <w:sz w:val="21"/>
          <w:szCs w:val="21"/>
        </w:rPr>
        <w:t xml:space="preserve">: </w:t>
      </w:r>
      <w:r w:rsidRPr="00E879E7">
        <w:rPr>
          <w:rFonts w:ascii="Times New Roman" w:eastAsia="Times New Roman" w:hAnsi="Times New Roman" w:cs="Times New Roman"/>
          <w:i/>
          <w:sz w:val="21"/>
          <w:szCs w:val="21"/>
          <w:lang w:val="en-US"/>
        </w:rPr>
        <w:t>polina</w:t>
      </w:r>
      <w:r w:rsidRPr="00E879E7">
        <w:rPr>
          <w:rFonts w:ascii="Times New Roman" w:eastAsia="Times New Roman" w:hAnsi="Times New Roman" w:cs="Times New Roman"/>
          <w:i/>
          <w:sz w:val="21"/>
          <w:szCs w:val="21"/>
        </w:rPr>
        <w:t>06012@</w:t>
      </w:r>
      <w:r w:rsidRPr="00E879E7">
        <w:rPr>
          <w:rFonts w:ascii="Calibri" w:eastAsia="Times New Roman" w:hAnsi="Calibri" w:cs="Times New Roman"/>
        </w:rPr>
        <w:t xml:space="preserve"> </w:t>
      </w:r>
      <w:r w:rsidRPr="00E879E7">
        <w:rPr>
          <w:rFonts w:ascii="Times New Roman" w:eastAsia="Times New Roman" w:hAnsi="Times New Roman" w:cs="Times New Roman"/>
          <w:i/>
          <w:sz w:val="21"/>
          <w:szCs w:val="21"/>
        </w:rPr>
        <w:t>yandex.ru</w:t>
      </w:r>
    </w:p>
    <w:p w14:paraId="56607E24" w14:textId="77777777" w:rsidR="007F2468" w:rsidRPr="00E879E7" w:rsidRDefault="007F2468" w:rsidP="007F2468">
      <w:pPr>
        <w:spacing w:after="0" w:line="240" w:lineRule="auto"/>
        <w:jc w:val="right"/>
        <w:rPr>
          <w:rFonts w:ascii="Times New Roman" w:eastAsia="Times New Roman" w:hAnsi="Times New Roman" w:cs="Times New Roman"/>
          <w:i/>
          <w:sz w:val="21"/>
          <w:szCs w:val="21"/>
        </w:rPr>
      </w:pPr>
    </w:p>
    <w:p w14:paraId="4ED3FEEC" w14:textId="77777777" w:rsidR="007F2468" w:rsidRPr="00E879E7" w:rsidRDefault="007F2468" w:rsidP="007F2468">
      <w:pPr>
        <w:spacing w:after="0" w:line="240" w:lineRule="auto"/>
        <w:jc w:val="right"/>
        <w:rPr>
          <w:rFonts w:ascii="Times New Roman" w:eastAsia="Times New Roman" w:hAnsi="Times New Roman" w:cs="Times New Roman"/>
          <w:b/>
          <w:i/>
          <w:sz w:val="21"/>
          <w:szCs w:val="21"/>
        </w:rPr>
      </w:pPr>
      <w:r w:rsidRPr="00E879E7">
        <w:rPr>
          <w:rFonts w:ascii="Times New Roman" w:eastAsia="Times New Roman" w:hAnsi="Times New Roman" w:cs="Times New Roman"/>
          <w:b/>
          <w:i/>
          <w:sz w:val="21"/>
          <w:szCs w:val="21"/>
        </w:rPr>
        <w:t>Научный руководитель:</w:t>
      </w:r>
    </w:p>
    <w:p w14:paraId="35E78764" w14:textId="77777777" w:rsidR="007F2468" w:rsidRPr="00E879E7" w:rsidRDefault="007F2468" w:rsidP="007F2468">
      <w:pPr>
        <w:spacing w:after="0" w:line="240" w:lineRule="auto"/>
        <w:jc w:val="right"/>
        <w:rPr>
          <w:rFonts w:ascii="Times New Roman" w:eastAsia="Times New Roman" w:hAnsi="Times New Roman" w:cs="Times New Roman"/>
          <w:b/>
          <w:i/>
          <w:sz w:val="21"/>
          <w:szCs w:val="21"/>
        </w:rPr>
      </w:pPr>
      <w:r w:rsidRPr="00E879E7">
        <w:rPr>
          <w:rFonts w:ascii="Times New Roman" w:eastAsia="Times New Roman" w:hAnsi="Times New Roman" w:cs="Times New Roman"/>
          <w:b/>
          <w:i/>
          <w:sz w:val="21"/>
          <w:szCs w:val="21"/>
        </w:rPr>
        <w:t>Радченко М.В.,</w:t>
      </w:r>
    </w:p>
    <w:p w14:paraId="0E41D123" w14:textId="77777777" w:rsidR="007F2468" w:rsidRPr="00E879E7" w:rsidRDefault="007F2468" w:rsidP="007F2468">
      <w:pPr>
        <w:spacing w:after="0" w:line="240" w:lineRule="auto"/>
        <w:jc w:val="right"/>
        <w:rPr>
          <w:rFonts w:ascii="Times New Roman" w:eastAsia="Times New Roman" w:hAnsi="Times New Roman" w:cs="Times New Roman"/>
          <w:i/>
          <w:sz w:val="21"/>
          <w:szCs w:val="21"/>
        </w:rPr>
      </w:pPr>
      <w:r w:rsidRPr="00E879E7">
        <w:rPr>
          <w:rFonts w:ascii="Times New Roman" w:eastAsia="Times New Roman" w:hAnsi="Times New Roman" w:cs="Times New Roman"/>
          <w:b/>
          <w:i/>
          <w:sz w:val="21"/>
          <w:szCs w:val="21"/>
        </w:rPr>
        <w:t xml:space="preserve"> </w:t>
      </w:r>
      <w:r w:rsidRPr="00E879E7">
        <w:rPr>
          <w:rFonts w:ascii="Times New Roman" w:eastAsia="Times New Roman" w:hAnsi="Times New Roman" w:cs="Times New Roman"/>
          <w:i/>
          <w:sz w:val="21"/>
          <w:szCs w:val="21"/>
        </w:rPr>
        <w:t>Кандидат экономических наук</w:t>
      </w:r>
    </w:p>
    <w:p w14:paraId="0E00DBF9" w14:textId="77777777" w:rsidR="007F2468" w:rsidRDefault="007F2468" w:rsidP="007F2468">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2039208" w14:textId="77777777" w:rsidR="007F2468" w:rsidRPr="00E879E7" w:rsidRDefault="007F2468" w:rsidP="007F2468">
      <w:pPr>
        <w:suppressAutoHyphens/>
        <w:spacing w:after="0" w:line="240" w:lineRule="auto"/>
        <w:jc w:val="right"/>
        <w:rPr>
          <w:rFonts w:ascii="Times New Roman" w:eastAsia="Times New Roman" w:hAnsi="Times New Roman" w:cs="Times New Roman"/>
          <w:i/>
          <w:sz w:val="21"/>
          <w:szCs w:val="21"/>
          <w:lang w:eastAsia="ar-SA"/>
        </w:rPr>
      </w:pPr>
      <w:r w:rsidRPr="00E879E7">
        <w:rPr>
          <w:rFonts w:ascii="Times New Roman" w:eastAsia="Times New Roman" w:hAnsi="Times New Roman" w:cs="Times New Roman"/>
          <w:i/>
          <w:sz w:val="21"/>
          <w:szCs w:val="21"/>
          <w:lang w:eastAsia="ar-SA"/>
        </w:rPr>
        <w:t>г. Краснодар, Россия</w:t>
      </w:r>
    </w:p>
    <w:p w14:paraId="6E062E0C" w14:textId="77777777" w:rsidR="007F2468" w:rsidRPr="00E879E7" w:rsidRDefault="007F2468" w:rsidP="007F2468">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E879E7">
        <w:rPr>
          <w:rFonts w:ascii="Times New Roman" w:eastAsia="Times New Roman" w:hAnsi="Times New Roman" w:cs="Times New Roman"/>
          <w:i/>
          <w:sz w:val="21"/>
          <w:szCs w:val="21"/>
          <w:lang w:eastAsia="ar-SA"/>
        </w:rPr>
        <w:t>е-</w:t>
      </w:r>
      <w:r w:rsidRPr="00E879E7">
        <w:rPr>
          <w:rFonts w:ascii="Times New Roman" w:eastAsia="Times New Roman" w:hAnsi="Times New Roman" w:cs="Times New Roman"/>
          <w:i/>
          <w:sz w:val="21"/>
          <w:szCs w:val="21"/>
          <w:lang w:val="en-US" w:eastAsia="ar-SA"/>
        </w:rPr>
        <w:t>mail</w:t>
      </w:r>
      <w:r w:rsidRPr="00E879E7">
        <w:rPr>
          <w:rFonts w:ascii="Times New Roman" w:eastAsia="Times New Roman" w:hAnsi="Times New Roman" w:cs="Times New Roman"/>
          <w:i/>
          <w:sz w:val="21"/>
          <w:szCs w:val="21"/>
          <w:lang w:eastAsia="ar-SA"/>
        </w:rPr>
        <w:t xml:space="preserve">: </w:t>
      </w:r>
      <w:r w:rsidRPr="00E879E7">
        <w:rPr>
          <w:rFonts w:ascii="Times New Roman" w:eastAsia="Times New Roman" w:hAnsi="Times New Roman" w:cs="Times New Roman"/>
          <w:i/>
          <w:sz w:val="21"/>
          <w:szCs w:val="21"/>
          <w:lang w:val="en-US" w:eastAsia="ar-SA"/>
        </w:rPr>
        <w:t>mvradchenko</w:t>
      </w:r>
      <w:r w:rsidRPr="00E879E7">
        <w:rPr>
          <w:rFonts w:ascii="Times New Roman" w:eastAsia="Times New Roman" w:hAnsi="Times New Roman" w:cs="Times New Roman"/>
          <w:i/>
          <w:sz w:val="21"/>
          <w:szCs w:val="21"/>
          <w:lang w:eastAsia="ar-SA"/>
        </w:rPr>
        <w:t>@</w:t>
      </w:r>
      <w:r w:rsidRPr="00E879E7">
        <w:rPr>
          <w:rFonts w:ascii="Times New Roman" w:eastAsia="Times New Roman" w:hAnsi="Times New Roman" w:cs="Times New Roman"/>
          <w:i/>
          <w:sz w:val="21"/>
          <w:szCs w:val="21"/>
          <w:lang w:val="en-US" w:eastAsia="ar-SA"/>
        </w:rPr>
        <w:t>fa</w:t>
      </w:r>
      <w:r w:rsidRPr="00E879E7">
        <w:rPr>
          <w:rFonts w:ascii="Times New Roman" w:eastAsia="Times New Roman" w:hAnsi="Times New Roman" w:cs="Times New Roman"/>
          <w:i/>
          <w:sz w:val="21"/>
          <w:szCs w:val="21"/>
          <w:lang w:eastAsia="ar-SA"/>
        </w:rPr>
        <w:t>.</w:t>
      </w:r>
      <w:r w:rsidRPr="00E879E7">
        <w:rPr>
          <w:rFonts w:ascii="Times New Roman" w:eastAsia="Times New Roman" w:hAnsi="Times New Roman" w:cs="Times New Roman"/>
          <w:i/>
          <w:sz w:val="21"/>
          <w:szCs w:val="21"/>
          <w:lang w:val="en-US" w:eastAsia="ar-SA"/>
        </w:rPr>
        <w:t>ru</w:t>
      </w:r>
    </w:p>
    <w:p w14:paraId="7E2166D6" w14:textId="77777777" w:rsidR="007F2468" w:rsidRPr="00E879E7" w:rsidRDefault="007F2468" w:rsidP="007F2468">
      <w:pPr>
        <w:suppressAutoHyphens/>
        <w:spacing w:after="0" w:line="240" w:lineRule="auto"/>
        <w:jc w:val="center"/>
        <w:rPr>
          <w:rFonts w:ascii="Times New Roman" w:eastAsia="Times New Roman" w:hAnsi="Times New Roman" w:cs="Times New Roman"/>
          <w:b/>
          <w:sz w:val="21"/>
          <w:szCs w:val="21"/>
          <w:lang w:eastAsia="ar-SA"/>
        </w:rPr>
      </w:pPr>
    </w:p>
    <w:p w14:paraId="62730FE8" w14:textId="7B9D4F5D" w:rsidR="007F2468" w:rsidRPr="00E879E7" w:rsidRDefault="007F2468" w:rsidP="007F2468">
      <w:pPr>
        <w:suppressAutoHyphens/>
        <w:spacing w:after="0" w:line="240" w:lineRule="auto"/>
        <w:jc w:val="center"/>
        <w:rPr>
          <w:rFonts w:ascii="Times New Roman" w:eastAsia="Times New Roman" w:hAnsi="Times New Roman" w:cs="Times New Roman"/>
          <w:b/>
          <w:sz w:val="21"/>
          <w:szCs w:val="21"/>
          <w:lang w:eastAsia="ar-SA"/>
        </w:rPr>
      </w:pPr>
      <w:r w:rsidRPr="00E879E7">
        <w:rPr>
          <w:rFonts w:ascii="Times New Roman" w:eastAsia="Times New Roman" w:hAnsi="Times New Roman" w:cs="Times New Roman"/>
          <w:b/>
          <w:sz w:val="21"/>
          <w:szCs w:val="21"/>
          <w:lang w:eastAsia="ar-SA"/>
        </w:rPr>
        <w:t>Финансовая система Российской Федерации: особенности современного этапа развития</w:t>
      </w:r>
    </w:p>
    <w:p w14:paraId="73363455" w14:textId="77777777" w:rsidR="007F2468" w:rsidRPr="00E879E7" w:rsidRDefault="007F2468" w:rsidP="007F2468">
      <w:pPr>
        <w:spacing w:after="0" w:line="240" w:lineRule="auto"/>
        <w:ind w:firstLine="567"/>
        <w:jc w:val="both"/>
        <w:rPr>
          <w:rFonts w:ascii="Times New Roman" w:eastAsia="Times New Roman" w:hAnsi="Times New Roman" w:cs="Times New Roman"/>
          <w:i/>
          <w:sz w:val="21"/>
          <w:szCs w:val="21"/>
          <w:shd w:val="clear" w:color="auto" w:fill="00FFFF"/>
        </w:rPr>
      </w:pPr>
    </w:p>
    <w:p w14:paraId="0182A728" w14:textId="77777777" w:rsidR="007F2468" w:rsidRPr="00E879E7" w:rsidRDefault="007F2468" w:rsidP="007F2468">
      <w:pPr>
        <w:spacing w:after="0" w:line="240" w:lineRule="auto"/>
        <w:ind w:firstLine="567"/>
        <w:jc w:val="both"/>
        <w:rPr>
          <w:rFonts w:ascii="Times New Roman" w:eastAsia="Times New Roman" w:hAnsi="Times New Roman" w:cs="Times New Roman"/>
          <w:color w:val="2B2B2B"/>
          <w:shd w:val="clear" w:color="auto" w:fill="FFFFFF"/>
        </w:rPr>
      </w:pPr>
      <w:r w:rsidRPr="00E879E7">
        <w:rPr>
          <w:rFonts w:ascii="Times New Roman" w:eastAsia="Times New Roman" w:hAnsi="Times New Roman" w:cs="Times New Roman"/>
          <w:b/>
          <w:sz w:val="21"/>
          <w:szCs w:val="21"/>
        </w:rPr>
        <w:lastRenderedPageBreak/>
        <w:t>Аннотация:</w:t>
      </w:r>
      <w:r w:rsidRPr="00E879E7">
        <w:rPr>
          <w:rFonts w:ascii="Times New Roman" w:eastAsia="Times New Roman" w:hAnsi="Times New Roman" w:cs="Times New Roman"/>
          <w:i/>
          <w:sz w:val="21"/>
          <w:szCs w:val="21"/>
        </w:rPr>
        <w:t xml:space="preserve"> </w:t>
      </w:r>
      <w:r w:rsidRPr="00E879E7">
        <w:rPr>
          <w:rFonts w:ascii="Times New Roman" w:eastAsia="Times New Roman" w:hAnsi="Times New Roman" w:cs="Times New Roman"/>
          <w:color w:val="2B2B2B"/>
          <w:shd w:val="clear" w:color="auto" w:fill="FFFFFF"/>
        </w:rPr>
        <w:t>Настоящая статья посвящена вопросу финансовой системы Российской Федерации. На основе прочитанных источников литературы было сформировано ее понятие, структура и динамика важных показателей. Финансовая система страны служит корневой основой для экономических и внешнеторговых процессов.</w:t>
      </w:r>
    </w:p>
    <w:p w14:paraId="0C5349D4" w14:textId="77777777" w:rsidR="007F2468" w:rsidRDefault="007F2468" w:rsidP="007F2468">
      <w:pPr>
        <w:spacing w:after="0" w:line="240" w:lineRule="auto"/>
        <w:ind w:firstLine="567"/>
        <w:jc w:val="both"/>
        <w:rPr>
          <w:rFonts w:ascii="Times New Roman" w:eastAsia="Times New Roman" w:hAnsi="Times New Roman" w:cs="Times New Roman"/>
          <w:sz w:val="21"/>
          <w:szCs w:val="21"/>
        </w:rPr>
      </w:pPr>
      <w:r w:rsidRPr="00E879E7">
        <w:rPr>
          <w:rFonts w:ascii="Times New Roman" w:eastAsia="Times New Roman" w:hAnsi="Times New Roman" w:cs="Times New Roman"/>
          <w:b/>
          <w:sz w:val="21"/>
          <w:szCs w:val="21"/>
        </w:rPr>
        <w:t>Ключевые слова:</w:t>
      </w:r>
      <w:r w:rsidRPr="00E879E7">
        <w:rPr>
          <w:rFonts w:ascii="Times New Roman" w:eastAsia="Times New Roman" w:hAnsi="Times New Roman" w:cs="Times New Roman"/>
          <w:sz w:val="21"/>
          <w:szCs w:val="21"/>
        </w:rPr>
        <w:t xml:space="preserve"> Финансовая система, государство, доходы, расходы, финансы.</w:t>
      </w:r>
    </w:p>
    <w:p w14:paraId="72440881" w14:textId="77777777" w:rsidR="007F2468" w:rsidRPr="00E879E7" w:rsidRDefault="007F2468" w:rsidP="007F2468">
      <w:pPr>
        <w:spacing w:after="0" w:line="240" w:lineRule="auto"/>
        <w:ind w:firstLine="567"/>
        <w:jc w:val="both"/>
        <w:rPr>
          <w:rFonts w:ascii="Times New Roman" w:eastAsia="Times New Roman" w:hAnsi="Times New Roman" w:cs="Times New Roman"/>
          <w:sz w:val="21"/>
          <w:szCs w:val="21"/>
        </w:rPr>
      </w:pPr>
    </w:p>
    <w:p w14:paraId="370734F0" w14:textId="77777777" w:rsidR="007F2468" w:rsidRPr="00E879E7" w:rsidRDefault="007F2468" w:rsidP="007F2468">
      <w:pPr>
        <w:spacing w:after="0" w:line="240" w:lineRule="auto"/>
        <w:ind w:firstLine="567"/>
        <w:jc w:val="right"/>
        <w:rPr>
          <w:rFonts w:ascii="Times New Roman" w:eastAsia="Times New Roman" w:hAnsi="Times New Roman" w:cs="Times New Roman"/>
          <w:b/>
          <w:i/>
          <w:sz w:val="21"/>
          <w:szCs w:val="21"/>
          <w:lang w:val="en-US"/>
        </w:rPr>
      </w:pPr>
      <w:r w:rsidRPr="00E879E7">
        <w:rPr>
          <w:rFonts w:ascii="Times New Roman" w:eastAsia="Times New Roman" w:hAnsi="Times New Roman" w:cs="Times New Roman"/>
          <w:b/>
          <w:i/>
          <w:sz w:val="21"/>
          <w:szCs w:val="21"/>
          <w:lang w:val="en-US"/>
        </w:rPr>
        <w:t xml:space="preserve">Kozlova P.D., </w:t>
      </w:r>
    </w:p>
    <w:p w14:paraId="2A86A4FE" w14:textId="77777777" w:rsidR="007F2468" w:rsidRPr="00E879E7" w:rsidRDefault="007F2468" w:rsidP="007F2468">
      <w:pPr>
        <w:spacing w:after="0" w:line="240" w:lineRule="auto"/>
        <w:ind w:firstLine="567"/>
        <w:jc w:val="right"/>
        <w:rPr>
          <w:rFonts w:ascii="Times New Roman" w:eastAsia="Times New Roman" w:hAnsi="Times New Roman" w:cs="Times New Roman"/>
          <w:b/>
          <w:i/>
          <w:sz w:val="21"/>
          <w:szCs w:val="21"/>
          <w:lang w:val="en-US"/>
        </w:rPr>
      </w:pPr>
      <w:r w:rsidRPr="00E879E7">
        <w:rPr>
          <w:rFonts w:ascii="Times New Roman" w:eastAsia="Times New Roman" w:hAnsi="Times New Roman" w:cs="Times New Roman"/>
          <w:i/>
          <w:sz w:val="21"/>
          <w:szCs w:val="21"/>
          <w:lang w:val="en-US"/>
        </w:rPr>
        <w:t>student,</w:t>
      </w:r>
      <w:r w:rsidRPr="00E879E7">
        <w:rPr>
          <w:rFonts w:ascii="Times New Roman" w:eastAsia="Times New Roman" w:hAnsi="Times New Roman" w:cs="Times New Roman"/>
          <w:i/>
          <w:lang w:val="en-US"/>
        </w:rPr>
        <w:t xml:space="preserve"> </w:t>
      </w:r>
      <w:r w:rsidRPr="00E879E7">
        <w:rPr>
          <w:rFonts w:ascii="Times New Roman" w:eastAsia="Times New Roman" w:hAnsi="Times New Roman" w:cs="Times New Roman"/>
          <w:i/>
          <w:sz w:val="21"/>
          <w:szCs w:val="21"/>
          <w:lang w:val="en-US"/>
        </w:rPr>
        <w:t>1 course</w:t>
      </w:r>
      <w:r w:rsidRPr="00E879E7">
        <w:rPr>
          <w:rFonts w:ascii="Times New Roman" w:eastAsia="Times New Roman" w:hAnsi="Times New Roman" w:cs="Times New Roman"/>
          <w:b/>
          <w:i/>
          <w:sz w:val="21"/>
          <w:szCs w:val="21"/>
          <w:lang w:val="en-US"/>
        </w:rPr>
        <w:t xml:space="preserve"> </w:t>
      </w:r>
    </w:p>
    <w:p w14:paraId="0A747AE5"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E879E7">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319B55C5"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E879E7">
        <w:rPr>
          <w:rFonts w:ascii="Times New Roman" w:eastAsia="Times New Roman" w:hAnsi="Times New Roman" w:cs="Times New Roman"/>
          <w:i/>
          <w:sz w:val="21"/>
          <w:szCs w:val="21"/>
          <w:lang w:val="en-US" w:eastAsia="ar-SA"/>
        </w:rPr>
        <w:t xml:space="preserve"> Krasnodar, Russia</w:t>
      </w:r>
    </w:p>
    <w:p w14:paraId="2F363159"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E879E7">
        <w:rPr>
          <w:rFonts w:ascii="Times New Roman" w:eastAsia="Times New Roman" w:hAnsi="Times New Roman" w:cs="Times New Roman"/>
          <w:i/>
          <w:sz w:val="21"/>
          <w:szCs w:val="21"/>
          <w:lang w:val="en-US" w:eastAsia="ar-SA"/>
        </w:rPr>
        <w:t>e-mail: polina06012@ yandex.ru</w:t>
      </w:r>
    </w:p>
    <w:p w14:paraId="4D0FE172" w14:textId="77777777" w:rsidR="007F2468" w:rsidRPr="00E879E7" w:rsidRDefault="007F2468" w:rsidP="007F2468">
      <w:pPr>
        <w:spacing w:after="0" w:line="240" w:lineRule="auto"/>
        <w:ind w:firstLine="567"/>
        <w:jc w:val="right"/>
        <w:rPr>
          <w:rFonts w:ascii="Times New Roman" w:eastAsia="Times New Roman" w:hAnsi="Times New Roman" w:cs="Times New Roman"/>
          <w:b/>
          <w:i/>
          <w:sz w:val="21"/>
          <w:szCs w:val="21"/>
          <w:lang w:val="en-US"/>
        </w:rPr>
      </w:pPr>
    </w:p>
    <w:p w14:paraId="7548C281" w14:textId="77777777" w:rsidR="007F2468" w:rsidRPr="00E879E7" w:rsidRDefault="007F2468" w:rsidP="007F2468">
      <w:pPr>
        <w:spacing w:after="0" w:line="240" w:lineRule="auto"/>
        <w:ind w:firstLine="567"/>
        <w:jc w:val="right"/>
        <w:rPr>
          <w:rFonts w:ascii="Times New Roman" w:eastAsia="Times New Roman" w:hAnsi="Times New Roman" w:cs="Times New Roman"/>
          <w:b/>
          <w:i/>
          <w:sz w:val="21"/>
          <w:szCs w:val="21"/>
          <w:lang w:val="en-US"/>
        </w:rPr>
      </w:pPr>
      <w:r w:rsidRPr="00E879E7">
        <w:rPr>
          <w:rFonts w:ascii="Times New Roman" w:eastAsia="Times New Roman" w:hAnsi="Times New Roman" w:cs="Times New Roman"/>
          <w:b/>
          <w:i/>
          <w:sz w:val="21"/>
          <w:szCs w:val="21"/>
          <w:lang w:val="en-US"/>
        </w:rPr>
        <w:t>Scientific Adviser:</w:t>
      </w:r>
    </w:p>
    <w:p w14:paraId="035AC4E1" w14:textId="77777777" w:rsidR="007F2468" w:rsidRPr="00E879E7" w:rsidRDefault="007F2468" w:rsidP="007F2468">
      <w:pPr>
        <w:spacing w:after="0" w:line="240" w:lineRule="auto"/>
        <w:ind w:firstLine="567"/>
        <w:jc w:val="right"/>
        <w:rPr>
          <w:rFonts w:ascii="Times New Roman" w:eastAsia="Times New Roman" w:hAnsi="Times New Roman" w:cs="Times New Roman"/>
          <w:b/>
          <w:i/>
          <w:sz w:val="21"/>
          <w:szCs w:val="21"/>
          <w:lang w:val="en-US"/>
        </w:rPr>
      </w:pPr>
      <w:r w:rsidRPr="00E879E7">
        <w:rPr>
          <w:rFonts w:ascii="Times New Roman" w:eastAsia="Times New Roman" w:hAnsi="Times New Roman" w:cs="Times New Roman"/>
          <w:b/>
          <w:i/>
          <w:sz w:val="21"/>
          <w:szCs w:val="21"/>
          <w:lang w:val="en-US"/>
        </w:rPr>
        <w:t>Radchenko M.V.,</w:t>
      </w:r>
    </w:p>
    <w:p w14:paraId="4C3FA283"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E879E7">
        <w:rPr>
          <w:rFonts w:ascii="Times New Roman" w:eastAsia="Times New Roman" w:hAnsi="Times New Roman" w:cs="Times New Roman"/>
          <w:i/>
          <w:color w:val="000000"/>
          <w:sz w:val="21"/>
          <w:szCs w:val="21"/>
          <w:lang w:val="en-US" w:eastAsia="ar-SA"/>
        </w:rPr>
        <w:t>Candidate of Economic Sciences</w:t>
      </w:r>
    </w:p>
    <w:p w14:paraId="404A4CF6"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E879E7">
        <w:rPr>
          <w:rFonts w:ascii="Times New Roman" w:eastAsia="Times New Roman" w:hAnsi="Times New Roman" w:cs="Times New Roman"/>
          <w:i/>
          <w:color w:val="000000"/>
          <w:sz w:val="21"/>
          <w:szCs w:val="21"/>
          <w:lang w:val="en-US" w:eastAsia="ar-SA"/>
        </w:rPr>
        <w:t>Krasnodar Branch of the Federal State Educational Budgetary Institution of Higher Education "Financial University under the Government of the Russian Federation"</w:t>
      </w:r>
    </w:p>
    <w:p w14:paraId="7D775D3E" w14:textId="77777777" w:rsidR="007F2468" w:rsidRPr="00E879E7" w:rsidRDefault="007F2468" w:rsidP="007F2468">
      <w:pPr>
        <w:suppressAutoHyphens/>
        <w:spacing w:after="0" w:line="240" w:lineRule="auto"/>
        <w:ind w:firstLine="567"/>
        <w:jc w:val="right"/>
        <w:rPr>
          <w:rFonts w:ascii="Times New Roman" w:eastAsia="Times New Roman" w:hAnsi="Times New Roman" w:cs="Times New Roman"/>
          <w:i/>
          <w:color w:val="000000"/>
          <w:sz w:val="21"/>
          <w:szCs w:val="21"/>
          <w:lang w:val="en-US" w:eastAsia="ar-SA"/>
        </w:rPr>
      </w:pPr>
      <w:r w:rsidRPr="00E879E7">
        <w:rPr>
          <w:rFonts w:ascii="Times New Roman" w:eastAsia="Times New Roman" w:hAnsi="Times New Roman" w:cs="Times New Roman"/>
          <w:i/>
          <w:sz w:val="21"/>
          <w:szCs w:val="21"/>
          <w:lang w:val="en-US" w:eastAsia="ar-SA"/>
        </w:rPr>
        <w:t>Krasnodar, Russia</w:t>
      </w:r>
    </w:p>
    <w:p w14:paraId="67411898" w14:textId="77777777" w:rsidR="007F2468" w:rsidRPr="00E879E7" w:rsidRDefault="007F2468" w:rsidP="007F2468">
      <w:pPr>
        <w:suppressAutoHyphens/>
        <w:spacing w:after="0" w:line="240" w:lineRule="auto"/>
        <w:jc w:val="right"/>
        <w:textAlignment w:val="baseline"/>
        <w:rPr>
          <w:rFonts w:ascii="Times New Roman" w:eastAsia="Times New Roman" w:hAnsi="Times New Roman" w:cs="Times New Roman"/>
          <w:i/>
          <w:sz w:val="21"/>
          <w:szCs w:val="21"/>
          <w:lang w:val="en-US" w:eastAsia="ar-SA"/>
        </w:rPr>
      </w:pPr>
      <w:r w:rsidRPr="00E879E7">
        <w:rPr>
          <w:rFonts w:ascii="Times New Roman" w:eastAsia="Times New Roman" w:hAnsi="Times New Roman" w:cs="Times New Roman"/>
          <w:i/>
          <w:sz w:val="21"/>
          <w:szCs w:val="21"/>
          <w:lang w:eastAsia="ar-SA"/>
        </w:rPr>
        <w:t>е</w:t>
      </w:r>
      <w:r w:rsidRPr="00E879E7">
        <w:rPr>
          <w:rFonts w:ascii="Times New Roman" w:eastAsia="Times New Roman" w:hAnsi="Times New Roman" w:cs="Times New Roman"/>
          <w:i/>
          <w:sz w:val="21"/>
          <w:szCs w:val="21"/>
          <w:lang w:val="en-US" w:eastAsia="ar-SA"/>
        </w:rPr>
        <w:t>-mail: mvradchenko@fa.ru</w:t>
      </w:r>
    </w:p>
    <w:p w14:paraId="47596FD6" w14:textId="77777777" w:rsidR="007F2468" w:rsidRPr="00E879E7" w:rsidRDefault="007F2468" w:rsidP="007F2468">
      <w:pPr>
        <w:spacing w:after="0" w:line="240" w:lineRule="auto"/>
        <w:ind w:firstLine="567"/>
        <w:jc w:val="right"/>
        <w:rPr>
          <w:rFonts w:ascii="Times New Roman" w:eastAsia="Times New Roman" w:hAnsi="Times New Roman" w:cs="Times New Roman"/>
          <w:i/>
          <w:sz w:val="21"/>
          <w:szCs w:val="21"/>
          <w:lang w:val="en-US"/>
        </w:rPr>
      </w:pPr>
    </w:p>
    <w:p w14:paraId="4D243ECE" w14:textId="77777777" w:rsidR="007F2468" w:rsidRPr="00E879E7" w:rsidRDefault="007F2468" w:rsidP="007F2468">
      <w:pPr>
        <w:suppressAutoHyphens/>
        <w:spacing w:after="0" w:line="240" w:lineRule="auto"/>
        <w:ind w:firstLine="567"/>
        <w:jc w:val="both"/>
        <w:rPr>
          <w:rFonts w:ascii="Times New Roman" w:eastAsia="Times New Roman" w:hAnsi="Times New Roman" w:cs="Times New Roman"/>
          <w:b/>
          <w:bCs/>
          <w:sz w:val="21"/>
          <w:szCs w:val="21"/>
          <w:shd w:val="clear" w:color="auto" w:fill="FFFFFF"/>
          <w:lang w:val="en-US" w:eastAsia="ar-SA"/>
        </w:rPr>
      </w:pPr>
      <w:r w:rsidRPr="00E879E7">
        <w:rPr>
          <w:rFonts w:ascii="Times New Roman" w:eastAsia="Times New Roman" w:hAnsi="Times New Roman" w:cs="Times New Roman"/>
          <w:b/>
          <w:sz w:val="21"/>
          <w:szCs w:val="21"/>
          <w:lang w:val="en-US"/>
        </w:rPr>
        <w:t>The financial system of the Russian Federation: features of the modern stage of development.</w:t>
      </w:r>
    </w:p>
    <w:p w14:paraId="028A4B6B" w14:textId="77777777" w:rsidR="007F2468" w:rsidRPr="00E879E7" w:rsidRDefault="007F2468" w:rsidP="007F2468">
      <w:pPr>
        <w:suppressAutoHyphens/>
        <w:spacing w:before="280" w:after="0" w:line="240" w:lineRule="auto"/>
        <w:ind w:firstLine="567"/>
        <w:jc w:val="both"/>
        <w:rPr>
          <w:rFonts w:ascii="Times New Roman" w:eastAsia="Times New Roman" w:hAnsi="Times New Roman" w:cs="Times New Roman"/>
          <w:bCs/>
          <w:sz w:val="21"/>
          <w:szCs w:val="21"/>
          <w:shd w:val="clear" w:color="auto" w:fill="FFFFFF"/>
          <w:lang w:val="en-US" w:eastAsia="ar-SA"/>
        </w:rPr>
      </w:pPr>
      <w:r w:rsidRPr="00E879E7">
        <w:rPr>
          <w:rFonts w:ascii="Times New Roman" w:eastAsia="Times New Roman" w:hAnsi="Times New Roman" w:cs="Times New Roman"/>
          <w:b/>
          <w:bCs/>
          <w:sz w:val="21"/>
          <w:szCs w:val="21"/>
          <w:shd w:val="clear" w:color="auto" w:fill="FFFFFF"/>
          <w:lang w:val="en-US" w:eastAsia="ar-SA"/>
        </w:rPr>
        <w:t xml:space="preserve">Abstract: </w:t>
      </w:r>
      <w:r w:rsidRPr="00E879E7">
        <w:rPr>
          <w:rFonts w:ascii="Times New Roman" w:eastAsia="Times New Roman" w:hAnsi="Times New Roman" w:cs="Times New Roman"/>
          <w:bCs/>
          <w:sz w:val="21"/>
          <w:szCs w:val="21"/>
          <w:shd w:val="clear" w:color="auto" w:fill="FFFFFF"/>
          <w:lang w:val="en-US" w:eastAsia="ar-SA"/>
        </w:rPr>
        <w:t>This article deals with the financial system of the Russian Federation. Based on the read sources of literature, its concept, structure and dynamics of important indicators were formed. The country's financial system serves as the root basis for economic and foreign trade processes.</w:t>
      </w:r>
    </w:p>
    <w:p w14:paraId="0E7BEE8A" w14:textId="77777777" w:rsidR="007F2468" w:rsidRPr="00E879E7" w:rsidRDefault="007F2468" w:rsidP="007F2468">
      <w:pPr>
        <w:suppressAutoHyphens/>
        <w:spacing w:after="0" w:line="240" w:lineRule="auto"/>
        <w:ind w:firstLine="567"/>
        <w:jc w:val="both"/>
        <w:rPr>
          <w:rFonts w:ascii="Times New Roman" w:eastAsia="Times New Roman" w:hAnsi="Times New Roman" w:cs="Times New Roman"/>
          <w:b/>
          <w:bCs/>
          <w:sz w:val="21"/>
          <w:szCs w:val="21"/>
          <w:shd w:val="clear" w:color="auto" w:fill="FFFFFF"/>
          <w:lang w:val="en-US" w:eastAsia="ar-SA"/>
        </w:rPr>
      </w:pPr>
      <w:r w:rsidRPr="00E879E7">
        <w:rPr>
          <w:rFonts w:ascii="Times New Roman" w:eastAsia="Times New Roman" w:hAnsi="Times New Roman" w:cs="Times New Roman"/>
          <w:b/>
          <w:bCs/>
          <w:sz w:val="21"/>
          <w:szCs w:val="21"/>
          <w:shd w:val="clear" w:color="auto" w:fill="FFFFFF"/>
          <w:lang w:val="en-US" w:eastAsia="ar-SA"/>
        </w:rPr>
        <w:t xml:space="preserve">Keywords: </w:t>
      </w:r>
      <w:r w:rsidRPr="00E879E7">
        <w:rPr>
          <w:rFonts w:ascii="Times New Roman" w:eastAsia="Times New Roman" w:hAnsi="Times New Roman" w:cs="Times New Roman"/>
          <w:bCs/>
          <w:sz w:val="21"/>
          <w:szCs w:val="21"/>
          <w:shd w:val="clear" w:color="auto" w:fill="FFFFFF"/>
          <w:lang w:val="en-US" w:eastAsia="ar-SA"/>
        </w:rPr>
        <w:t>Financial system, state, income, expenses, finance.</w:t>
      </w:r>
    </w:p>
    <w:p w14:paraId="437ACD1F" w14:textId="77777777" w:rsidR="007F2468" w:rsidRPr="00E879E7" w:rsidRDefault="007F2468" w:rsidP="007F2468">
      <w:pPr>
        <w:suppressAutoHyphens/>
        <w:spacing w:after="0" w:line="240" w:lineRule="auto"/>
        <w:ind w:firstLine="567"/>
        <w:jc w:val="both"/>
        <w:rPr>
          <w:rFonts w:ascii="Times New Roman" w:eastAsia="Times New Roman" w:hAnsi="Times New Roman" w:cs="Times New Roman"/>
          <w:sz w:val="21"/>
          <w:szCs w:val="21"/>
          <w:lang w:val="en-US" w:eastAsia="ar-SA"/>
        </w:rPr>
      </w:pPr>
    </w:p>
    <w:p w14:paraId="591BF673"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Финансовая система представляет собой комплекс взаимосвязанных финансовых отношений. Эти отношения, по своей сути, носят распределительный характер, направляя потоки стоимости, главным образом, между различными участниками. Формирование целевых денежных фондов этими участниками определяется их функцией в экономике: непосредственным участием в производстве, организацией страховой деятельности или проведением государственного регулирования. </w:t>
      </w:r>
    </w:p>
    <w:p w14:paraId="20CA91F7" w14:textId="77777777" w:rsidR="007F2468" w:rsidRPr="00E879E7" w:rsidRDefault="007F2468" w:rsidP="007F2468">
      <w:pPr>
        <w:spacing w:after="0" w:line="240" w:lineRule="auto"/>
        <w:ind w:firstLine="708"/>
        <w:jc w:val="both"/>
        <w:rPr>
          <w:rFonts w:ascii="Times New Roman" w:eastAsia="Times New Roman" w:hAnsi="Times New Roman" w:cs="Times New Roman"/>
          <w:color w:val="1A1A1A"/>
          <w:sz w:val="32"/>
          <w:szCs w:val="32"/>
          <w:lang w:eastAsia="ru-RU"/>
        </w:rPr>
      </w:pPr>
      <w:r w:rsidRPr="00E879E7">
        <w:rPr>
          <w:rFonts w:ascii="Times New Roman" w:eastAsia="Times New Roman" w:hAnsi="Times New Roman" w:cs="Times New Roman"/>
          <w:color w:val="1A1A1A"/>
          <w:sz w:val="32"/>
          <w:szCs w:val="32"/>
          <w:lang w:eastAsia="ru-RU"/>
        </w:rPr>
        <w:t xml:space="preserve">Финансовый сектор является фундаментальным фактором, определяющим успешное развитие экономики любого государства. Сбалансированное состояние и динамика различных секторов экономики осуществляются благодаря национальной финансовой системе, охватывающей публичные финансы, корпоративный сектор и финансы домохозяйств. Эту систему можно рассматривать как механизм, обеспечивающий оптимальное распределение и перераспределение экономических ресурсов по времени и пространству, что достигается за счёт совершенной системы финансовых инструментов и институтов. Уровень развития финансовой системы напрямую сказывается на общем экономическом потенциале страны: слаборазвитые финансовые структуры, включая </w:t>
      </w:r>
      <w:r w:rsidRPr="00E879E7">
        <w:rPr>
          <w:rFonts w:ascii="Times New Roman" w:eastAsia="Times New Roman" w:hAnsi="Times New Roman" w:cs="Times New Roman"/>
          <w:color w:val="1A1A1A"/>
          <w:sz w:val="32"/>
          <w:szCs w:val="32"/>
          <w:lang w:eastAsia="ru-RU"/>
        </w:rPr>
        <w:lastRenderedPageBreak/>
        <w:t xml:space="preserve">незрелый финансовый рынок, приводят к снижению конкурентоспособности и замедлению экономического роста по сравнению с государствами, обладающими мощной и эффективной финансовой системой. </w:t>
      </w:r>
    </w:p>
    <w:p w14:paraId="164E71B2"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Финансовая структура Российской Федерации – это сложная сеть общественных связей, обеспечивающая движение и перераспределение созданного в стране богатства и доходов, а также формирование, распределение и применение различных фондов – как централизованных, так и региональных. Финансы организованы в последовательные этапы. </w:t>
      </w:r>
    </w:p>
    <w:p w14:paraId="5A6C7FA5"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Поэтому каждое государство не только признает финансовую сферу как важную правовую область, но и активно создает собственную систему управления денежными потоками. Эта система включает в себя: </w:t>
      </w:r>
    </w:p>
    <w:p w14:paraId="0F69CFCF"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1) Финансовые институты – от банков и инвестиционных компаний до страховых организаций, которые занимаются накоплением и распределением капитала. </w:t>
      </w:r>
    </w:p>
    <w:p w14:paraId="6955FD22"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2) Государственные органы – министерства финансов, центральные банки, налоговые службы и другие ведомства, осуществляющие контроль за денежно-кредитной политикой в рамках своих компетенций. </w:t>
      </w:r>
    </w:p>
    <w:p w14:paraId="22DCDF64"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В России финансовая система играет ключевую роль в экономике страны, поскольку ее эффективность напрямую влияет на общее состояние экономики. Понимание значимости этой системы необходимо для разработки стратегий ее дальнейшего совершенствования. </w:t>
      </w:r>
    </w:p>
    <w:p w14:paraId="0E72B13C"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color w:val="212529"/>
          <w:sz w:val="32"/>
          <w:szCs w:val="32"/>
          <w:shd w:val="clear" w:color="auto" w:fill="FFFFFF"/>
        </w:rPr>
        <w:t>Финансы являются неотъемлемой частью денежных отношений, поскольку они поддерживают широкий спектр общественных нужд, охватывая всю экономику и социальную сферу. Без них невозможно организовать эффективное распределение благ, удовлетворить потребности населения и стимулировать рост производства.</w:t>
      </w:r>
    </w:p>
    <w:p w14:paraId="6105FD39" w14:textId="77777777" w:rsidR="007F2468" w:rsidRPr="00E879E7" w:rsidRDefault="007F2468" w:rsidP="007F2468">
      <w:pPr>
        <w:spacing w:after="0" w:line="240" w:lineRule="auto"/>
        <w:ind w:firstLine="851"/>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 xml:space="preserve">В таблице 1 рассмотрим тенденцию развития основных экономических показателей России за 2019-2024 гг. </w:t>
      </w:r>
    </w:p>
    <w:p w14:paraId="3DD056EA" w14:textId="77777777" w:rsidR="007F2468" w:rsidRPr="00E879E7" w:rsidRDefault="007F2468" w:rsidP="007F2468">
      <w:pPr>
        <w:spacing w:after="0" w:line="240" w:lineRule="auto"/>
        <w:jc w:val="both"/>
        <w:rPr>
          <w:rFonts w:ascii="Times New Roman" w:eastAsia="Times New Roman" w:hAnsi="Times New Roman" w:cs="Times New Roman"/>
          <w:sz w:val="32"/>
          <w:szCs w:val="32"/>
        </w:rPr>
      </w:pPr>
    </w:p>
    <w:p w14:paraId="7CA3155D" w14:textId="77777777" w:rsidR="007F2468" w:rsidRPr="00E879E7" w:rsidRDefault="007F2468" w:rsidP="007F2468">
      <w:pPr>
        <w:spacing w:after="0" w:line="240" w:lineRule="auto"/>
        <w:ind w:hanging="142"/>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Таблица 1 – Динамика важнейших финансовых показателей РФ за 2019-2024г.</w:t>
      </w:r>
    </w:p>
    <w:p w14:paraId="17778022" w14:textId="77777777" w:rsidR="007F2468" w:rsidRPr="00E879E7" w:rsidRDefault="007F2468" w:rsidP="007F2468">
      <w:pPr>
        <w:spacing w:after="0" w:line="240" w:lineRule="auto"/>
        <w:ind w:firstLine="708"/>
        <w:jc w:val="center"/>
        <w:rPr>
          <w:rFonts w:ascii="Times New Roman" w:eastAsia="Times New Roman" w:hAnsi="Times New Roman" w:cs="Times New Roman"/>
          <w:sz w:val="32"/>
          <w:szCs w:val="32"/>
        </w:rPr>
      </w:pPr>
    </w:p>
    <w:tbl>
      <w:tblPr>
        <w:tblStyle w:val="a9"/>
        <w:tblW w:w="9681" w:type="dxa"/>
        <w:tblLayout w:type="fixed"/>
        <w:tblLook w:val="04A0" w:firstRow="1" w:lastRow="0" w:firstColumn="1" w:lastColumn="0" w:noHBand="0" w:noVBand="1"/>
      </w:tblPr>
      <w:tblGrid>
        <w:gridCol w:w="1951"/>
        <w:gridCol w:w="709"/>
        <w:gridCol w:w="850"/>
        <w:gridCol w:w="851"/>
        <w:gridCol w:w="850"/>
        <w:gridCol w:w="851"/>
        <w:gridCol w:w="850"/>
        <w:gridCol w:w="1276"/>
        <w:gridCol w:w="1493"/>
      </w:tblGrid>
      <w:tr w:rsidR="007F2468" w:rsidRPr="00E879E7" w14:paraId="2349F354" w14:textId="77777777" w:rsidTr="00EB1CB9">
        <w:trPr>
          <w:trHeight w:val="689"/>
        </w:trPr>
        <w:tc>
          <w:tcPr>
            <w:tcW w:w="1951" w:type="dxa"/>
          </w:tcPr>
          <w:p w14:paraId="5E7B48D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Показатель</w:t>
            </w:r>
          </w:p>
        </w:tc>
        <w:tc>
          <w:tcPr>
            <w:tcW w:w="709" w:type="dxa"/>
          </w:tcPr>
          <w:p w14:paraId="3AA5DADC"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2019 </w:t>
            </w:r>
          </w:p>
        </w:tc>
        <w:tc>
          <w:tcPr>
            <w:tcW w:w="850" w:type="dxa"/>
          </w:tcPr>
          <w:p w14:paraId="07CA0EB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2020 </w:t>
            </w:r>
          </w:p>
        </w:tc>
        <w:tc>
          <w:tcPr>
            <w:tcW w:w="851" w:type="dxa"/>
          </w:tcPr>
          <w:p w14:paraId="6DA2CEA1"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2021 </w:t>
            </w:r>
          </w:p>
        </w:tc>
        <w:tc>
          <w:tcPr>
            <w:tcW w:w="850" w:type="dxa"/>
          </w:tcPr>
          <w:p w14:paraId="19DDDC05"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2022 </w:t>
            </w:r>
          </w:p>
        </w:tc>
        <w:tc>
          <w:tcPr>
            <w:tcW w:w="851" w:type="dxa"/>
          </w:tcPr>
          <w:p w14:paraId="6F4E6416"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2023</w:t>
            </w:r>
          </w:p>
        </w:tc>
        <w:tc>
          <w:tcPr>
            <w:tcW w:w="850" w:type="dxa"/>
          </w:tcPr>
          <w:p w14:paraId="2D6289A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2024 </w:t>
            </w:r>
          </w:p>
        </w:tc>
        <w:tc>
          <w:tcPr>
            <w:tcW w:w="1276" w:type="dxa"/>
            <w:vAlign w:val="center"/>
          </w:tcPr>
          <w:p w14:paraId="384736E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Абсолютные </w:t>
            </w:r>
            <w:r w:rsidRPr="00E879E7">
              <w:rPr>
                <w:rFonts w:ascii="Times New Roman" w:eastAsia="Times New Roman" w:hAnsi="Times New Roman" w:cs="Times New Roman"/>
                <w:sz w:val="24"/>
                <w:szCs w:val="24"/>
              </w:rPr>
              <w:lastRenderedPageBreak/>
              <w:t>изменения 2024г. к 2023г.</w:t>
            </w:r>
          </w:p>
        </w:tc>
        <w:tc>
          <w:tcPr>
            <w:tcW w:w="1493" w:type="dxa"/>
            <w:vAlign w:val="center"/>
          </w:tcPr>
          <w:p w14:paraId="1F127CC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lastRenderedPageBreak/>
              <w:t xml:space="preserve">Относительные </w:t>
            </w:r>
            <w:r w:rsidRPr="00E879E7">
              <w:rPr>
                <w:rFonts w:ascii="Times New Roman" w:eastAsia="Times New Roman" w:hAnsi="Times New Roman" w:cs="Times New Roman"/>
                <w:sz w:val="24"/>
                <w:szCs w:val="24"/>
              </w:rPr>
              <w:lastRenderedPageBreak/>
              <w:t>изменения 2024г. к 2023г. %</w:t>
            </w:r>
          </w:p>
        </w:tc>
      </w:tr>
      <w:tr w:rsidR="007F2468" w:rsidRPr="00E879E7" w14:paraId="6A4CC1A2" w14:textId="77777777" w:rsidTr="00EB1CB9">
        <w:trPr>
          <w:trHeight w:val="339"/>
        </w:trPr>
        <w:tc>
          <w:tcPr>
            <w:tcW w:w="1951" w:type="dxa"/>
          </w:tcPr>
          <w:p w14:paraId="67089BDB"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lastRenderedPageBreak/>
              <w:t>ВВП, млрд. руб.</w:t>
            </w:r>
          </w:p>
        </w:tc>
        <w:tc>
          <w:tcPr>
            <w:tcW w:w="709" w:type="dxa"/>
            <w:vAlign w:val="center"/>
          </w:tcPr>
          <w:p w14:paraId="504FFF31"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110</w:t>
            </w:r>
          </w:p>
        </w:tc>
        <w:tc>
          <w:tcPr>
            <w:tcW w:w="850" w:type="dxa"/>
            <w:vAlign w:val="center"/>
          </w:tcPr>
          <w:p w14:paraId="27FDE47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107</w:t>
            </w:r>
          </w:p>
        </w:tc>
        <w:tc>
          <w:tcPr>
            <w:tcW w:w="851" w:type="dxa"/>
            <w:vAlign w:val="center"/>
          </w:tcPr>
          <w:p w14:paraId="5231EDF6"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109</w:t>
            </w:r>
          </w:p>
        </w:tc>
        <w:tc>
          <w:tcPr>
            <w:tcW w:w="850" w:type="dxa"/>
            <w:vAlign w:val="center"/>
          </w:tcPr>
          <w:p w14:paraId="6082DC91"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106</w:t>
            </w:r>
          </w:p>
        </w:tc>
        <w:tc>
          <w:tcPr>
            <w:tcW w:w="851" w:type="dxa"/>
            <w:vAlign w:val="center"/>
          </w:tcPr>
          <w:p w14:paraId="17549D97"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171</w:t>
            </w:r>
          </w:p>
        </w:tc>
        <w:tc>
          <w:tcPr>
            <w:tcW w:w="850" w:type="dxa"/>
            <w:vAlign w:val="center"/>
          </w:tcPr>
          <w:p w14:paraId="242E6773"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200</w:t>
            </w:r>
          </w:p>
        </w:tc>
        <w:tc>
          <w:tcPr>
            <w:tcW w:w="1276" w:type="dxa"/>
            <w:vAlign w:val="center"/>
          </w:tcPr>
          <w:p w14:paraId="2343661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29</w:t>
            </w:r>
          </w:p>
        </w:tc>
        <w:tc>
          <w:tcPr>
            <w:tcW w:w="1493" w:type="dxa"/>
            <w:vAlign w:val="center"/>
          </w:tcPr>
          <w:p w14:paraId="6BB06CD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16,96</w:t>
            </w:r>
          </w:p>
        </w:tc>
      </w:tr>
      <w:tr w:rsidR="007F2468" w:rsidRPr="00E879E7" w14:paraId="38CA1277" w14:textId="77777777" w:rsidTr="00EB1CB9">
        <w:trPr>
          <w:trHeight w:val="203"/>
        </w:trPr>
        <w:tc>
          <w:tcPr>
            <w:tcW w:w="1951" w:type="dxa"/>
          </w:tcPr>
          <w:p w14:paraId="1DAD46FC"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Инфляция, %</w:t>
            </w:r>
          </w:p>
        </w:tc>
        <w:tc>
          <w:tcPr>
            <w:tcW w:w="709" w:type="dxa"/>
            <w:vAlign w:val="center"/>
          </w:tcPr>
          <w:p w14:paraId="1B88F0F0"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3,04</w:t>
            </w:r>
          </w:p>
        </w:tc>
        <w:tc>
          <w:tcPr>
            <w:tcW w:w="850" w:type="dxa"/>
            <w:vAlign w:val="center"/>
          </w:tcPr>
          <w:p w14:paraId="6F8FF44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4,91</w:t>
            </w:r>
          </w:p>
        </w:tc>
        <w:tc>
          <w:tcPr>
            <w:tcW w:w="851" w:type="dxa"/>
            <w:vAlign w:val="center"/>
          </w:tcPr>
          <w:p w14:paraId="009B913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8,32</w:t>
            </w:r>
          </w:p>
        </w:tc>
        <w:tc>
          <w:tcPr>
            <w:tcW w:w="850" w:type="dxa"/>
            <w:vAlign w:val="center"/>
          </w:tcPr>
          <w:p w14:paraId="6B1E34F4"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12,46</w:t>
            </w:r>
          </w:p>
        </w:tc>
        <w:tc>
          <w:tcPr>
            <w:tcW w:w="851" w:type="dxa"/>
            <w:vAlign w:val="center"/>
          </w:tcPr>
          <w:p w14:paraId="00E27646"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7,41</w:t>
            </w:r>
          </w:p>
        </w:tc>
        <w:tc>
          <w:tcPr>
            <w:tcW w:w="850" w:type="dxa"/>
            <w:vAlign w:val="center"/>
          </w:tcPr>
          <w:p w14:paraId="0ADFFD3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9,52</w:t>
            </w:r>
          </w:p>
        </w:tc>
        <w:tc>
          <w:tcPr>
            <w:tcW w:w="1276" w:type="dxa"/>
            <w:vAlign w:val="center"/>
          </w:tcPr>
          <w:p w14:paraId="4E024A7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2,11</w:t>
            </w:r>
          </w:p>
        </w:tc>
        <w:tc>
          <w:tcPr>
            <w:tcW w:w="1493" w:type="dxa"/>
            <w:vAlign w:val="center"/>
          </w:tcPr>
          <w:p w14:paraId="48EFF656"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28,48</w:t>
            </w:r>
          </w:p>
        </w:tc>
      </w:tr>
      <w:tr w:rsidR="007F2468" w:rsidRPr="00E879E7" w14:paraId="68EAC3A2" w14:textId="77777777" w:rsidTr="00EB1CB9">
        <w:tc>
          <w:tcPr>
            <w:tcW w:w="1951" w:type="dxa"/>
          </w:tcPr>
          <w:p w14:paraId="3B33352D"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 xml:space="preserve">Реальные денежные доходы, руб. </w:t>
            </w:r>
          </w:p>
        </w:tc>
        <w:tc>
          <w:tcPr>
            <w:tcW w:w="709" w:type="dxa"/>
            <w:vAlign w:val="center"/>
          </w:tcPr>
          <w:p w14:paraId="368BBFF0"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40876</w:t>
            </w:r>
          </w:p>
        </w:tc>
        <w:tc>
          <w:tcPr>
            <w:tcW w:w="850" w:type="dxa"/>
            <w:vAlign w:val="center"/>
          </w:tcPr>
          <w:p w14:paraId="2A4F23B2"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30204</w:t>
            </w:r>
          </w:p>
        </w:tc>
        <w:tc>
          <w:tcPr>
            <w:tcW w:w="851" w:type="dxa"/>
            <w:vAlign w:val="center"/>
          </w:tcPr>
          <w:p w14:paraId="39191E6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43216</w:t>
            </w:r>
          </w:p>
        </w:tc>
        <w:tc>
          <w:tcPr>
            <w:tcW w:w="850" w:type="dxa"/>
            <w:vAlign w:val="center"/>
          </w:tcPr>
          <w:p w14:paraId="13B06535"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48587</w:t>
            </w:r>
          </w:p>
        </w:tc>
        <w:tc>
          <w:tcPr>
            <w:tcW w:w="851" w:type="dxa"/>
            <w:vAlign w:val="center"/>
          </w:tcPr>
          <w:p w14:paraId="71276B8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50265</w:t>
            </w:r>
          </w:p>
        </w:tc>
        <w:tc>
          <w:tcPr>
            <w:tcW w:w="850" w:type="dxa"/>
            <w:vAlign w:val="center"/>
          </w:tcPr>
          <w:p w14:paraId="105532F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63083</w:t>
            </w:r>
          </w:p>
        </w:tc>
        <w:tc>
          <w:tcPr>
            <w:tcW w:w="1276" w:type="dxa"/>
            <w:vAlign w:val="center"/>
          </w:tcPr>
          <w:p w14:paraId="2F9149F5"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12818</w:t>
            </w:r>
          </w:p>
        </w:tc>
        <w:tc>
          <w:tcPr>
            <w:tcW w:w="1493" w:type="dxa"/>
            <w:vAlign w:val="center"/>
          </w:tcPr>
          <w:p w14:paraId="73CF0B20"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25,5</w:t>
            </w:r>
          </w:p>
        </w:tc>
      </w:tr>
      <w:tr w:rsidR="007F2468" w:rsidRPr="00E879E7" w14:paraId="37DF4B40" w14:textId="77777777" w:rsidTr="00EB1CB9">
        <w:tc>
          <w:tcPr>
            <w:tcW w:w="1951" w:type="dxa"/>
          </w:tcPr>
          <w:p w14:paraId="1160052E"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Уровень безработицы, %</w:t>
            </w:r>
          </w:p>
        </w:tc>
        <w:tc>
          <w:tcPr>
            <w:tcW w:w="709" w:type="dxa"/>
            <w:vAlign w:val="center"/>
          </w:tcPr>
          <w:p w14:paraId="2BB37BB2"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4,5</w:t>
            </w:r>
          </w:p>
        </w:tc>
        <w:tc>
          <w:tcPr>
            <w:tcW w:w="850" w:type="dxa"/>
            <w:vAlign w:val="center"/>
          </w:tcPr>
          <w:p w14:paraId="1F9D282B"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5,9</w:t>
            </w:r>
          </w:p>
        </w:tc>
        <w:tc>
          <w:tcPr>
            <w:tcW w:w="851" w:type="dxa"/>
            <w:vAlign w:val="center"/>
          </w:tcPr>
          <w:p w14:paraId="6B1ABE8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5,2</w:t>
            </w:r>
          </w:p>
        </w:tc>
        <w:tc>
          <w:tcPr>
            <w:tcW w:w="850" w:type="dxa"/>
            <w:vAlign w:val="center"/>
          </w:tcPr>
          <w:p w14:paraId="7C0D2B9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3,7</w:t>
            </w:r>
          </w:p>
        </w:tc>
        <w:tc>
          <w:tcPr>
            <w:tcW w:w="851" w:type="dxa"/>
            <w:vAlign w:val="center"/>
          </w:tcPr>
          <w:p w14:paraId="204F4B1B"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3,2</w:t>
            </w:r>
          </w:p>
        </w:tc>
        <w:tc>
          <w:tcPr>
            <w:tcW w:w="850" w:type="dxa"/>
            <w:vAlign w:val="center"/>
          </w:tcPr>
          <w:p w14:paraId="1D01044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2,3</w:t>
            </w:r>
          </w:p>
        </w:tc>
        <w:tc>
          <w:tcPr>
            <w:tcW w:w="1276" w:type="dxa"/>
            <w:vAlign w:val="center"/>
          </w:tcPr>
          <w:p w14:paraId="4B0DFDD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-0,9</w:t>
            </w:r>
          </w:p>
        </w:tc>
        <w:tc>
          <w:tcPr>
            <w:tcW w:w="1493" w:type="dxa"/>
            <w:vAlign w:val="center"/>
          </w:tcPr>
          <w:p w14:paraId="72D03071"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-28,13</w:t>
            </w:r>
          </w:p>
        </w:tc>
      </w:tr>
      <w:tr w:rsidR="007F2468" w:rsidRPr="00E879E7" w14:paraId="4957CECB" w14:textId="77777777" w:rsidTr="00EB1CB9">
        <w:tc>
          <w:tcPr>
            <w:tcW w:w="1951" w:type="dxa"/>
          </w:tcPr>
          <w:p w14:paraId="0C5694D2"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Оборот организаций по всем видам экономической деятельности, млрд. руб.</w:t>
            </w:r>
          </w:p>
        </w:tc>
        <w:tc>
          <w:tcPr>
            <w:tcW w:w="709" w:type="dxa"/>
            <w:vAlign w:val="center"/>
          </w:tcPr>
          <w:p w14:paraId="7097E31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201</w:t>
            </w:r>
          </w:p>
        </w:tc>
        <w:tc>
          <w:tcPr>
            <w:tcW w:w="850" w:type="dxa"/>
            <w:vAlign w:val="center"/>
          </w:tcPr>
          <w:p w14:paraId="0DF039BC"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207</w:t>
            </w:r>
          </w:p>
        </w:tc>
        <w:tc>
          <w:tcPr>
            <w:tcW w:w="851" w:type="dxa"/>
            <w:vAlign w:val="center"/>
          </w:tcPr>
          <w:p w14:paraId="53E39A51"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211</w:t>
            </w:r>
          </w:p>
        </w:tc>
        <w:tc>
          <w:tcPr>
            <w:tcW w:w="850" w:type="dxa"/>
            <w:vAlign w:val="center"/>
          </w:tcPr>
          <w:p w14:paraId="5DA3F80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220</w:t>
            </w:r>
          </w:p>
        </w:tc>
        <w:tc>
          <w:tcPr>
            <w:tcW w:w="851" w:type="dxa"/>
            <w:vAlign w:val="center"/>
          </w:tcPr>
          <w:p w14:paraId="766F263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278</w:t>
            </w:r>
          </w:p>
        </w:tc>
        <w:tc>
          <w:tcPr>
            <w:tcW w:w="850" w:type="dxa"/>
            <w:vAlign w:val="center"/>
          </w:tcPr>
          <w:p w14:paraId="211B0279"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926</w:t>
            </w:r>
          </w:p>
        </w:tc>
        <w:tc>
          <w:tcPr>
            <w:tcW w:w="1276" w:type="dxa"/>
            <w:vAlign w:val="center"/>
          </w:tcPr>
          <w:p w14:paraId="243AAFC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648</w:t>
            </w:r>
          </w:p>
        </w:tc>
        <w:tc>
          <w:tcPr>
            <w:tcW w:w="1493" w:type="dxa"/>
            <w:vAlign w:val="center"/>
          </w:tcPr>
          <w:p w14:paraId="7A772F20"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233,1</w:t>
            </w:r>
          </w:p>
        </w:tc>
      </w:tr>
      <w:tr w:rsidR="007F2468" w:rsidRPr="00E879E7" w14:paraId="0642B226" w14:textId="77777777" w:rsidTr="00EB1CB9">
        <w:tc>
          <w:tcPr>
            <w:tcW w:w="1951" w:type="dxa"/>
          </w:tcPr>
          <w:p w14:paraId="48A51870"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Среднемесячная заработная плата, руб.</w:t>
            </w:r>
          </w:p>
        </w:tc>
        <w:tc>
          <w:tcPr>
            <w:tcW w:w="709" w:type="dxa"/>
            <w:vAlign w:val="center"/>
          </w:tcPr>
          <w:p w14:paraId="00A7609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47468</w:t>
            </w:r>
          </w:p>
        </w:tc>
        <w:tc>
          <w:tcPr>
            <w:tcW w:w="850" w:type="dxa"/>
            <w:vAlign w:val="center"/>
          </w:tcPr>
          <w:p w14:paraId="3031943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31540</w:t>
            </w:r>
          </w:p>
        </w:tc>
        <w:tc>
          <w:tcPr>
            <w:tcW w:w="851" w:type="dxa"/>
            <w:vAlign w:val="center"/>
          </w:tcPr>
          <w:p w14:paraId="7910CD03"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54687</w:t>
            </w:r>
          </w:p>
        </w:tc>
        <w:tc>
          <w:tcPr>
            <w:tcW w:w="850" w:type="dxa"/>
            <w:vAlign w:val="center"/>
          </w:tcPr>
          <w:p w14:paraId="1495E42A"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47330</w:t>
            </w:r>
          </w:p>
        </w:tc>
        <w:tc>
          <w:tcPr>
            <w:tcW w:w="851" w:type="dxa"/>
            <w:vAlign w:val="center"/>
          </w:tcPr>
          <w:p w14:paraId="555EE910"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73109</w:t>
            </w:r>
          </w:p>
        </w:tc>
        <w:tc>
          <w:tcPr>
            <w:tcW w:w="850" w:type="dxa"/>
            <w:vAlign w:val="center"/>
          </w:tcPr>
          <w:p w14:paraId="351FE16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87952</w:t>
            </w:r>
          </w:p>
        </w:tc>
        <w:tc>
          <w:tcPr>
            <w:tcW w:w="1276" w:type="dxa"/>
            <w:vAlign w:val="center"/>
          </w:tcPr>
          <w:p w14:paraId="231811E7"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14843</w:t>
            </w:r>
          </w:p>
        </w:tc>
        <w:tc>
          <w:tcPr>
            <w:tcW w:w="1493" w:type="dxa"/>
            <w:vAlign w:val="center"/>
          </w:tcPr>
          <w:p w14:paraId="6D7395B2"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20,31</w:t>
            </w:r>
          </w:p>
        </w:tc>
      </w:tr>
      <w:tr w:rsidR="007F2468" w:rsidRPr="00E879E7" w14:paraId="40EE5CD6" w14:textId="77777777" w:rsidTr="00EB1CB9">
        <w:tc>
          <w:tcPr>
            <w:tcW w:w="1951" w:type="dxa"/>
          </w:tcPr>
          <w:p w14:paraId="47B8FF3F" w14:textId="77777777" w:rsidR="007F2468" w:rsidRPr="00E879E7" w:rsidRDefault="007F2468" w:rsidP="00EB1CB9">
            <w:pP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Рентабельность активов организаций по видам экономической деятельности, %</w:t>
            </w:r>
          </w:p>
        </w:tc>
        <w:tc>
          <w:tcPr>
            <w:tcW w:w="709" w:type="dxa"/>
            <w:vAlign w:val="center"/>
          </w:tcPr>
          <w:p w14:paraId="1F24EA82"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10,8</w:t>
            </w:r>
          </w:p>
        </w:tc>
        <w:tc>
          <w:tcPr>
            <w:tcW w:w="850" w:type="dxa"/>
            <w:vAlign w:val="center"/>
          </w:tcPr>
          <w:p w14:paraId="66452FCD"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9,4</w:t>
            </w:r>
          </w:p>
        </w:tc>
        <w:tc>
          <w:tcPr>
            <w:tcW w:w="851" w:type="dxa"/>
            <w:vAlign w:val="center"/>
          </w:tcPr>
          <w:p w14:paraId="0747BC9E"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14,7</w:t>
            </w:r>
          </w:p>
        </w:tc>
        <w:tc>
          <w:tcPr>
            <w:tcW w:w="850" w:type="dxa"/>
            <w:vAlign w:val="center"/>
          </w:tcPr>
          <w:p w14:paraId="661BB783"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10,7</w:t>
            </w:r>
          </w:p>
        </w:tc>
        <w:tc>
          <w:tcPr>
            <w:tcW w:w="851" w:type="dxa"/>
            <w:vAlign w:val="center"/>
          </w:tcPr>
          <w:p w14:paraId="505C0CAF"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12,4</w:t>
            </w:r>
          </w:p>
        </w:tc>
        <w:tc>
          <w:tcPr>
            <w:tcW w:w="850" w:type="dxa"/>
            <w:vAlign w:val="center"/>
          </w:tcPr>
          <w:p w14:paraId="765F6538" w14:textId="77777777" w:rsidR="007F2468" w:rsidRPr="00E879E7" w:rsidRDefault="007F2468" w:rsidP="00EB1CB9">
            <w:pPr>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27,8</w:t>
            </w:r>
          </w:p>
        </w:tc>
        <w:tc>
          <w:tcPr>
            <w:tcW w:w="1276" w:type="dxa"/>
            <w:vAlign w:val="center"/>
          </w:tcPr>
          <w:p w14:paraId="44BB18C5" w14:textId="77777777" w:rsidR="007F2468" w:rsidRPr="00E879E7" w:rsidRDefault="007F2468" w:rsidP="00EB1CB9">
            <w:pPr>
              <w:ind w:left="31" w:firstLine="33"/>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15,4</w:t>
            </w:r>
          </w:p>
        </w:tc>
        <w:tc>
          <w:tcPr>
            <w:tcW w:w="1493" w:type="dxa"/>
            <w:vAlign w:val="center"/>
          </w:tcPr>
          <w:p w14:paraId="58B2081E" w14:textId="77777777" w:rsidR="007F2468" w:rsidRPr="00E879E7" w:rsidRDefault="007F2468" w:rsidP="00EB1CB9">
            <w:pPr>
              <w:ind w:left="31" w:firstLine="33"/>
              <w:jc w:val="center"/>
              <w:rPr>
                <w:rFonts w:ascii="Times New Roman" w:eastAsia="Times New Roman" w:hAnsi="Times New Roman" w:cs="Times New Roman"/>
                <w:sz w:val="24"/>
                <w:szCs w:val="24"/>
              </w:rPr>
            </w:pPr>
            <w:r w:rsidRPr="00E879E7">
              <w:rPr>
                <w:rFonts w:ascii="Times New Roman" w:eastAsia="Times New Roman" w:hAnsi="Times New Roman" w:cs="Times New Roman"/>
                <w:sz w:val="24"/>
                <w:szCs w:val="24"/>
              </w:rPr>
              <w:t>124,2</w:t>
            </w:r>
          </w:p>
        </w:tc>
      </w:tr>
    </w:tbl>
    <w:p w14:paraId="136C53D6"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p>
    <w:p w14:paraId="3DD90744"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 xml:space="preserve">Проанализировав данные таблицы 1, можно сказать, что санкции не только повлияли на все финансовые отношения России, но и затронули каждую сферу деятельности. Это привело к структурным сдвигам в экономической системе. Российской экономике пришлось стать гибкой и подстраиваться под ситуацию в мире. </w:t>
      </w:r>
    </w:p>
    <w:p w14:paraId="49F8A354"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 xml:space="preserve">Несмотря на жесткие ограничения, можно отметить, что ВВП России стремительно вырос после наложения санкционных мер (с 106 121 млрд. рублей до 171 041 млрд. рублей соответственно), одной из главных причин неожиданного роста можно назвать стабилизацию на рынке труда, так, безработица в РФ достигла исторического минимума и составила 3,2% в 2023 г., т.е. ряд ограничений стал так называемым катализатором для стимулирования развития экономики. Инфляция за 2022 г. составила 12,46%, причиной такого высокого показателя стала зависимость России от валютного рынка и от импорта, который был значительно ограничен после введения санкций, но уже в 2023 г. инфляция снизилась практические вдвое, этому способствовала грамотная политика ЦБ РФ. </w:t>
      </w:r>
    </w:p>
    <w:p w14:paraId="629EAF5F"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 xml:space="preserve">В целом, основные финансовые показатели экономики парадоксально увеличились, санкции выступили рычагом </w:t>
      </w:r>
      <w:r w:rsidRPr="00E879E7">
        <w:rPr>
          <w:rFonts w:ascii="Times New Roman" w:eastAsia="Times New Roman" w:hAnsi="Times New Roman" w:cs="Times New Roman"/>
          <w:sz w:val="32"/>
          <w:szCs w:val="32"/>
        </w:rPr>
        <w:lastRenderedPageBreak/>
        <w:t>стимулирования и запустили процесс перестройки российской экономики в лучшую сторону: увеличилось число инвестиций в промышленность, произошло задействование и развитие новых производственных мощностей и наблюдается значительный рост доходов населения (среднемесячная заработная плата увеличилась на 54,5% в 2023 г. по сравнению с «санкционным» 2022 г. и на 54,1% по сравнению с 2019 г.).</w:t>
      </w:r>
    </w:p>
    <w:p w14:paraId="7CBAB1E4"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Финансы как комплексная категория экономической структуры общества состоят из взаимосвязанных элементов (институтов), каждый из которых обладает уникальными особенностями в общем контексте. Такое разнообразие обусловлено различными социальными и экономическими нуждами страны.</w:t>
      </w:r>
    </w:p>
    <w:p w14:paraId="214764A0"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28"/>
        </w:rPr>
      </w:pPr>
      <w:r w:rsidRPr="00E879E7">
        <w:rPr>
          <w:rFonts w:ascii="Times New Roman" w:eastAsia="Times New Roman" w:hAnsi="Times New Roman" w:cs="Times New Roman"/>
          <w:sz w:val="32"/>
          <w:szCs w:val="28"/>
        </w:rPr>
        <w:t>Таким образом, исследуя данную динамику, можно говорить о том, что, несмотря на рекордное количество наложенных санкций и появившиеся угрозы во время их введения, экономика РФ продолжает наращивать темпы роста финансовых показателей, а финансовые отношения проходят новый этап своего развития.</w:t>
      </w:r>
    </w:p>
    <w:p w14:paraId="4AEC1E13"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В финансовой системе Российской Федерации за последние пятнадцать лет произошли значительные трансформации, вызванные новыми экономическими и политическими реалиями (переход к рыночной экономике, распад СССР, изменение федеративных отношений, становление местного самоуправления и др.). Эти изменения затронули как состав самой системы (появление новых институтов), так и содержание ее компонентов, их внутреннюю структуру и взаимодействие.</w:t>
      </w:r>
    </w:p>
    <w:p w14:paraId="5F4A9179" w14:textId="77777777" w:rsidR="007F2468" w:rsidRPr="00E879E7" w:rsidRDefault="007F2468" w:rsidP="007F2468">
      <w:pPr>
        <w:spacing w:after="0" w:line="240" w:lineRule="auto"/>
        <w:ind w:firstLine="708"/>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В современной научной литературе обосновывается необходимость расширительного понимания финансов, включающего в себя банковский кредит.</w:t>
      </w:r>
    </w:p>
    <w:p w14:paraId="4ABBAF3D"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Эти уровни финансовой системы – федеральный, региональный и муниципальный – обладают общими чертами, но оказывают разное воздействие на социально-экономическую ситуацию, тесно взаимодействуя между собой. Такая многоуровневость повышает гибкость и результативность всей системы. </w:t>
      </w:r>
    </w:p>
    <w:p w14:paraId="1D3EA0A9"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Современное развитие финансовой системы РФ связано с освоением передового зарубежного опыта. Она приобретает черты, характерные для рыночной экономики, и формируются финансовые институты на местном уровне. Органы местного самоуправления, согласно Конституции РФ, не являются частью государственной власти, но играют важную роль в финансовой сфере. </w:t>
      </w:r>
    </w:p>
    <w:p w14:paraId="06A643A6"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lastRenderedPageBreak/>
        <w:t xml:space="preserve">Каждое звено финансовой системы фокусируется на определенных финансовых отношениях, посредством которых формируются и используются денежные фонды (доходы) для удовлетворения самых разных общественных нужд, отличающихся по содержанию и масштабу. </w:t>
      </w:r>
    </w:p>
    <w:p w14:paraId="337DD906"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Однако финансовая система России имеет и уникальные особенности, отражающие экономическую и политическую обстановку, исторические традиции и приоритеты страны. </w:t>
      </w:r>
    </w:p>
    <w:p w14:paraId="7DFB8AFA"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 xml:space="preserve">Любая финансовая система в государстве состоит из взаимосвязанных элементов (институтов) и структур. Разнообразие этих институтов обусловлено широким спектром потребностей общества, которые финансы призваны удовлетворять, и охватывает все сферы экономики и социальной жизни. </w:t>
      </w:r>
    </w:p>
    <w:p w14:paraId="360F83D2"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Главная цель финансов – создание денежных поступлений и фондов, необходимых государству, предприятиям, организациям и гражданам, а также контроль за их использованием. Российская финансовая система – это сложный комплекс денежных отношений, обеспечивающий систематическое формирование, распределение и применение фондов государства, организаций и населения.</w:t>
      </w:r>
    </w:p>
    <w:p w14:paraId="0C40D174"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Эволюция финансовой системы России тесно связана с развитием институтов государственного управления. Формирование этих институтов во многом было обусловлено стремлением к оптимальной организации материальных и финансовых потоков в стране.</w:t>
      </w:r>
    </w:p>
    <w:p w14:paraId="2DB01187" w14:textId="77777777" w:rsidR="007F2468" w:rsidRPr="00E879E7" w:rsidRDefault="007F2468" w:rsidP="007F2468">
      <w:pPr>
        <w:spacing w:after="0" w:line="240" w:lineRule="auto"/>
        <w:ind w:firstLine="708"/>
        <w:jc w:val="both"/>
        <w:rPr>
          <w:rFonts w:ascii="Times New Roman" w:eastAsia="Times New Roman" w:hAnsi="Times New Roman" w:cs="Times New Roman"/>
          <w:color w:val="212529"/>
          <w:sz w:val="32"/>
          <w:szCs w:val="32"/>
          <w:shd w:val="clear" w:color="auto" w:fill="FFFFFF"/>
        </w:rPr>
      </w:pPr>
      <w:r w:rsidRPr="00E879E7">
        <w:rPr>
          <w:rFonts w:ascii="Times New Roman" w:eastAsia="Times New Roman" w:hAnsi="Times New Roman" w:cs="Times New Roman"/>
          <w:color w:val="212529"/>
          <w:sz w:val="32"/>
          <w:szCs w:val="32"/>
          <w:shd w:val="clear" w:color="auto" w:fill="FFFFFF"/>
        </w:rPr>
        <w:t>Для достижения поставленных перед государством целей критически важна финансовая политика, которая задает основные направления использования финансовых инструментов. Именно с помощью финансовой политики реализуются цели повышения эффективности использования денежных ресурсов и улучшения качества жизни населения.</w:t>
      </w:r>
    </w:p>
    <w:p w14:paraId="569D3F55" w14:textId="77777777" w:rsidR="007F2468" w:rsidRPr="00E879E7" w:rsidRDefault="007F2468" w:rsidP="007F2468">
      <w:pPr>
        <w:spacing w:after="0" w:line="240" w:lineRule="auto"/>
        <w:ind w:firstLine="567"/>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t>Финансовая система играет ключевую роль в стимулировании экономического прогресса, обеспечивая гибкое и результативное распределение капитала в те сферы, где он наиболее востребован. Она способствует укреплению личного благосостояния, развитию бизнеса и поддержанию стабильности национальной экономики, являясь основой мировой экономической структуры. В условиях экономических колебаний и климатических проблем, которые ожидаются в 2025 году и в последующие годы, способность финансовой системы адаптироваться станет определяющим фактором для поддержания устойчивого развития и стимулирования инноваций.</w:t>
      </w:r>
    </w:p>
    <w:p w14:paraId="6993912B" w14:textId="77777777" w:rsidR="007F2468" w:rsidRPr="00E879E7" w:rsidRDefault="007F2468" w:rsidP="007F2468">
      <w:pPr>
        <w:spacing w:after="0" w:line="240" w:lineRule="auto"/>
        <w:ind w:firstLine="567"/>
        <w:jc w:val="both"/>
        <w:rPr>
          <w:rFonts w:ascii="Times New Roman" w:eastAsia="Times New Roman" w:hAnsi="Times New Roman" w:cs="Times New Roman"/>
          <w:sz w:val="32"/>
          <w:szCs w:val="32"/>
        </w:rPr>
      </w:pPr>
      <w:r w:rsidRPr="00E879E7">
        <w:rPr>
          <w:rFonts w:ascii="Times New Roman" w:eastAsia="Times New Roman" w:hAnsi="Times New Roman" w:cs="Times New Roman"/>
          <w:sz w:val="32"/>
          <w:szCs w:val="32"/>
        </w:rPr>
        <w:lastRenderedPageBreak/>
        <w:t>Стабильная финансовая система жизненно необходима для процветания и развития экономики. Она не только упрощает управление финансовыми ресурсами и инвестирование, но и выполняет важную функцию в обеспечении экономической устойчивости, приспосабливаясь к возникающим трудностям и эволюционируя для удовлетворения потребностей всех участников. Постоянное внедрение новых технологий, совершенствование нормативной базы и акцент на экологически устойчивом развитии будут определять дальнейшее развитие финансовой системы, что требует от всех заинтересованных сторон постоянного информирования и активного участия.</w:t>
      </w:r>
    </w:p>
    <w:p w14:paraId="5D351109" w14:textId="77777777" w:rsidR="007F2468" w:rsidRPr="00E879E7" w:rsidRDefault="007F2468" w:rsidP="007F2468">
      <w:pPr>
        <w:shd w:val="clear" w:color="auto" w:fill="FFFFFF"/>
        <w:suppressAutoHyphens/>
        <w:spacing w:after="0" w:line="240" w:lineRule="auto"/>
        <w:jc w:val="both"/>
        <w:rPr>
          <w:rFonts w:ascii="Times New Roman" w:eastAsia="Times New Roman" w:hAnsi="Times New Roman" w:cs="Times New Roman"/>
          <w:color w:val="000000"/>
          <w:sz w:val="21"/>
          <w:szCs w:val="21"/>
          <w:lang w:eastAsia="ar-SA"/>
        </w:rPr>
      </w:pPr>
    </w:p>
    <w:p w14:paraId="57DB6E1E" w14:textId="77777777" w:rsidR="007F2468" w:rsidRPr="00E879E7" w:rsidRDefault="007F2468" w:rsidP="007F2468">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E879E7">
        <w:rPr>
          <w:rFonts w:ascii="Times New Roman" w:eastAsia="Times New Roman" w:hAnsi="Times New Roman" w:cs="Times New Roman"/>
          <w:b/>
          <w:color w:val="000000"/>
          <w:sz w:val="21"/>
          <w:szCs w:val="21"/>
          <w:lang w:eastAsia="ar-SA"/>
        </w:rPr>
        <w:t>Литература:</w:t>
      </w:r>
    </w:p>
    <w:p w14:paraId="181C6BAA" w14:textId="77777777" w:rsidR="007F2468" w:rsidRPr="00CF4EA0" w:rsidRDefault="007F2468" w:rsidP="00AD58CD">
      <w:pPr>
        <w:pStyle w:val="a8"/>
        <w:numPr>
          <w:ilvl w:val="0"/>
          <w:numId w:val="175"/>
        </w:numPr>
        <w:tabs>
          <w:tab w:val="clear" w:pos="720"/>
          <w:tab w:val="left" w:pos="0"/>
          <w:tab w:val="num" w:pos="360"/>
        </w:tabs>
        <w:suppressAutoHyphens/>
        <w:autoSpaceDE w:val="0"/>
        <w:spacing w:after="0" w:line="240" w:lineRule="auto"/>
        <w:ind w:left="426" w:hanging="426"/>
        <w:jc w:val="both"/>
        <w:rPr>
          <w:rFonts w:ascii="Times New Roman" w:eastAsia="Times New Roman" w:hAnsi="Times New Roman" w:cs="Times New Roman"/>
          <w:sz w:val="21"/>
          <w:szCs w:val="21"/>
          <w:lang w:eastAsia="ar-SA"/>
        </w:rPr>
      </w:pPr>
      <w:r w:rsidRPr="00CF4EA0">
        <w:rPr>
          <w:rFonts w:ascii="Times New Roman" w:eastAsia="Times New Roman" w:hAnsi="Times New Roman" w:cs="Times New Roman"/>
          <w:sz w:val="21"/>
          <w:szCs w:val="21"/>
          <w:lang w:eastAsia="ar-SA"/>
        </w:rPr>
        <w:t>Арькова О.В., Дедеева С.А., Галушко М.В., Спешилова Н.В., Современное состояние банковской системы в РФ // Экономика и предпринимательство. 2022 – 132с.</w:t>
      </w:r>
    </w:p>
    <w:p w14:paraId="155B086A" w14:textId="77777777" w:rsidR="007F2468" w:rsidRPr="00CF4EA0" w:rsidRDefault="007F2468" w:rsidP="00AD58CD">
      <w:pPr>
        <w:pStyle w:val="a8"/>
        <w:numPr>
          <w:ilvl w:val="0"/>
          <w:numId w:val="175"/>
        </w:numPr>
        <w:tabs>
          <w:tab w:val="clear" w:pos="720"/>
          <w:tab w:val="left" w:pos="0"/>
          <w:tab w:val="num" w:pos="360"/>
        </w:tabs>
        <w:suppressAutoHyphens/>
        <w:autoSpaceDE w:val="0"/>
        <w:spacing w:after="0" w:line="240" w:lineRule="auto"/>
        <w:ind w:left="426" w:hanging="426"/>
        <w:jc w:val="both"/>
        <w:rPr>
          <w:rFonts w:ascii="Times New Roman" w:eastAsia="Times New Roman" w:hAnsi="Times New Roman" w:cs="Times New Roman"/>
          <w:sz w:val="21"/>
          <w:szCs w:val="21"/>
          <w:lang w:eastAsia="ar-SA"/>
        </w:rPr>
      </w:pPr>
      <w:r w:rsidRPr="00CF4EA0">
        <w:rPr>
          <w:rFonts w:ascii="Times New Roman" w:eastAsia="Times New Roman" w:hAnsi="Times New Roman" w:cs="Times New Roman"/>
          <w:sz w:val="21"/>
          <w:szCs w:val="21"/>
          <w:shd w:val="clear" w:color="auto" w:fill="FFFFFF"/>
          <w:lang w:eastAsia="ar-SA"/>
        </w:rPr>
        <w:t>Беспалова, О. В. Финансы России: история и современность / «Научно-издательский центр ИНФРА-М», 2020 – 196с.</w:t>
      </w:r>
    </w:p>
    <w:p w14:paraId="605E9210" w14:textId="77777777" w:rsidR="007F2468" w:rsidRPr="00CF4EA0" w:rsidRDefault="007F2468" w:rsidP="00AD58CD">
      <w:pPr>
        <w:pStyle w:val="a8"/>
        <w:numPr>
          <w:ilvl w:val="0"/>
          <w:numId w:val="175"/>
        </w:numPr>
        <w:tabs>
          <w:tab w:val="clear" w:pos="720"/>
          <w:tab w:val="left" w:pos="0"/>
          <w:tab w:val="num" w:pos="360"/>
        </w:tabs>
        <w:suppressAutoHyphens/>
        <w:autoSpaceDE w:val="0"/>
        <w:spacing w:after="0" w:line="240" w:lineRule="auto"/>
        <w:ind w:left="426" w:hanging="426"/>
        <w:jc w:val="both"/>
        <w:rPr>
          <w:rFonts w:ascii="Times New Roman" w:eastAsia="Times New Roman" w:hAnsi="Times New Roman" w:cs="Times New Roman"/>
          <w:sz w:val="21"/>
          <w:szCs w:val="21"/>
          <w:lang w:eastAsia="ar-SA"/>
        </w:rPr>
      </w:pPr>
      <w:r w:rsidRPr="00CF4EA0">
        <w:rPr>
          <w:rFonts w:ascii="Times New Roman" w:eastAsia="Times New Roman" w:hAnsi="Times New Roman" w:cs="Times New Roman"/>
          <w:sz w:val="21"/>
          <w:szCs w:val="21"/>
          <w:lang w:eastAsia="ar-SA"/>
        </w:rPr>
        <w:t>Дадашев А.З. Финансовая система России/ А.З. Дадышев, Д.Г. Черник. - ИНФРА-М, 2023. - 280с</w:t>
      </w:r>
      <w:r w:rsidRPr="00CF4EA0">
        <w:rPr>
          <w:rFonts w:ascii="Times New Roman" w:eastAsia="Times New Roman" w:hAnsi="Times New Roman" w:cs="Times New Roman"/>
          <w:color w:val="373D3F"/>
          <w:sz w:val="21"/>
          <w:szCs w:val="21"/>
          <w:lang w:eastAsia="ar-SA"/>
        </w:rPr>
        <w:t>.</w:t>
      </w:r>
      <w:r w:rsidRPr="00CF4EA0">
        <w:rPr>
          <w:rFonts w:ascii="Times New Roman" w:eastAsia="Times New Roman" w:hAnsi="Times New Roman" w:cs="Times New Roman"/>
          <w:color w:val="000000"/>
          <w:sz w:val="21"/>
          <w:szCs w:val="21"/>
          <w:lang w:eastAsia="ar-SA"/>
        </w:rPr>
        <w:t xml:space="preserve"> </w:t>
      </w:r>
    </w:p>
    <w:p w14:paraId="27165B90" w14:textId="77777777" w:rsidR="007F2468" w:rsidRPr="00CF4EA0" w:rsidRDefault="007F2468" w:rsidP="00AD58CD">
      <w:pPr>
        <w:pStyle w:val="a8"/>
        <w:numPr>
          <w:ilvl w:val="0"/>
          <w:numId w:val="175"/>
        </w:numPr>
        <w:tabs>
          <w:tab w:val="clear" w:pos="720"/>
          <w:tab w:val="left" w:pos="0"/>
          <w:tab w:val="num" w:pos="360"/>
        </w:tabs>
        <w:suppressAutoHyphens/>
        <w:autoSpaceDE w:val="0"/>
        <w:spacing w:after="0" w:line="240" w:lineRule="auto"/>
        <w:ind w:left="426" w:hanging="426"/>
        <w:jc w:val="both"/>
        <w:rPr>
          <w:rFonts w:ascii="Times New Roman" w:eastAsia="Times New Roman" w:hAnsi="Times New Roman" w:cs="Times New Roman"/>
          <w:sz w:val="21"/>
          <w:szCs w:val="21"/>
          <w:lang w:eastAsia="ar-SA"/>
        </w:rPr>
      </w:pPr>
      <w:r w:rsidRPr="00CF4EA0">
        <w:rPr>
          <w:rFonts w:ascii="Times New Roman" w:eastAsia="Times New Roman" w:hAnsi="Times New Roman" w:cs="Times New Roman"/>
          <w:sz w:val="21"/>
          <w:szCs w:val="21"/>
          <w:lang w:eastAsia="ar-SA"/>
        </w:rPr>
        <w:t xml:space="preserve">«КонсультантПлюс» - законодательство РФ: кодексы, законы, указы, постановление Правительства Российской Федерации, нормативные акты [Электронный документ] </w:t>
      </w:r>
      <w:hyperlink r:id="rId217" w:history="1">
        <w:r w:rsidRPr="00CF4EA0">
          <w:rPr>
            <w:rFonts w:ascii="Times New Roman" w:eastAsia="Times New Roman" w:hAnsi="Times New Roman" w:cs="Times New Roman"/>
            <w:color w:val="0000FF"/>
            <w:sz w:val="21"/>
            <w:szCs w:val="21"/>
            <w:u w:val="single"/>
            <w:lang w:eastAsia="ar-SA"/>
          </w:rPr>
          <w:t>https://www.consultant.ru/</w:t>
        </w:r>
      </w:hyperlink>
      <w:r w:rsidRPr="00CF4EA0">
        <w:rPr>
          <w:rFonts w:ascii="Times New Roman" w:eastAsia="Times New Roman" w:hAnsi="Times New Roman" w:cs="Times New Roman"/>
          <w:sz w:val="21"/>
          <w:szCs w:val="21"/>
          <w:lang w:eastAsia="ar-SA"/>
        </w:rPr>
        <w:t xml:space="preserve"> </w:t>
      </w:r>
    </w:p>
    <w:p w14:paraId="1427D937" w14:textId="77777777" w:rsidR="007F2468" w:rsidRDefault="007F2468" w:rsidP="009618B2">
      <w:pPr>
        <w:spacing w:after="0" w:line="240" w:lineRule="auto"/>
        <w:jc w:val="both"/>
        <w:rPr>
          <w:rFonts w:ascii="Times New Roman" w:eastAsia="Aptos" w:hAnsi="Times New Roman" w:cs="Times New Roman"/>
          <w:b/>
          <w:bCs/>
          <w:kern w:val="2"/>
          <w:sz w:val="21"/>
          <w:szCs w:val="32"/>
          <w14:ligatures w14:val="standardContextual"/>
        </w:rPr>
      </w:pPr>
    </w:p>
    <w:p w14:paraId="79F1B130" w14:textId="760E0D79" w:rsidR="00877DE5" w:rsidRPr="00877DE5" w:rsidRDefault="00877DE5" w:rsidP="009618B2">
      <w:pPr>
        <w:spacing w:after="0" w:line="240" w:lineRule="auto"/>
        <w:jc w:val="both"/>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УДК 336</w:t>
      </w:r>
    </w:p>
    <w:p w14:paraId="48277A2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Кретова М.В., </w:t>
      </w:r>
    </w:p>
    <w:p w14:paraId="2D85B316"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7D341E1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5372728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68A084B9"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218"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220176@</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7110ABAF"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4"/>
          <w14:ligatures w14:val="standardContextual"/>
        </w:rPr>
      </w:pPr>
    </w:p>
    <w:p w14:paraId="279749CB"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71F6B5E7"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20AD51DC"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342A30F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51A5A84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5B36AF19"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219" w:history="1">
        <w:r w:rsidRPr="00877DE5">
          <w:rPr>
            <w:rFonts w:ascii="Times New Roman" w:eastAsia="Times New Roman" w:hAnsi="Times New Roman" w:cs="Times New Roman"/>
            <w:i/>
            <w:color w:val="0000FF"/>
            <w:sz w:val="21"/>
            <w:szCs w:val="20"/>
            <w:u w:val="single"/>
            <w:lang w:val="x-none" w:eastAsia="ar-SA"/>
          </w:rPr>
          <w:t>uyuroschektaeva@fa.ru</w:t>
        </w:r>
      </w:hyperlink>
    </w:p>
    <w:p w14:paraId="5BE82819" w14:textId="77777777" w:rsidR="00877DE5" w:rsidRPr="00877DE5" w:rsidRDefault="00877DE5" w:rsidP="00067100">
      <w:pPr>
        <w:spacing w:after="0" w:line="240" w:lineRule="auto"/>
        <w:ind w:firstLine="709"/>
        <w:jc w:val="both"/>
        <w:rPr>
          <w:rFonts w:ascii="Times New Roman" w:eastAsia="Times New Roman" w:hAnsi="Times New Roman" w:cs="Times New Roman"/>
          <w:b/>
          <w:bCs/>
          <w:kern w:val="36"/>
          <w:sz w:val="20"/>
          <w:szCs w:val="20"/>
          <w:lang w:val="x-none" w:eastAsia="ru-RU"/>
        </w:rPr>
      </w:pPr>
    </w:p>
    <w:p w14:paraId="74573500" w14:textId="77777777" w:rsidR="00877DE5" w:rsidRPr="00877DE5" w:rsidRDefault="00877DE5" w:rsidP="0007694F">
      <w:pPr>
        <w:spacing w:after="0" w:line="240" w:lineRule="auto"/>
        <w:jc w:val="center"/>
        <w:rPr>
          <w:rFonts w:ascii="Times New Roman" w:eastAsia="Times New Roman" w:hAnsi="Times New Roman" w:cs="Times New Roman"/>
          <w:b/>
          <w:bCs/>
          <w:kern w:val="36"/>
          <w:sz w:val="21"/>
          <w:szCs w:val="20"/>
          <w:lang w:eastAsia="ru-RU"/>
        </w:rPr>
      </w:pPr>
      <w:r w:rsidRPr="00877DE5">
        <w:rPr>
          <w:rFonts w:ascii="Times New Roman" w:eastAsia="Times New Roman" w:hAnsi="Times New Roman" w:cs="Times New Roman"/>
          <w:b/>
          <w:bCs/>
          <w:kern w:val="36"/>
          <w:sz w:val="21"/>
          <w:szCs w:val="20"/>
          <w:lang w:eastAsia="ru-RU"/>
        </w:rPr>
        <w:t>Нормативное регулирование бухгалтерского учёта в фармацевтических организациях России</w:t>
      </w:r>
    </w:p>
    <w:p w14:paraId="50992CBF" w14:textId="77777777" w:rsidR="00877DE5" w:rsidRPr="00877DE5" w:rsidRDefault="00877DE5" w:rsidP="00067100">
      <w:pPr>
        <w:spacing w:after="0" w:line="240" w:lineRule="auto"/>
        <w:ind w:firstLine="709"/>
        <w:jc w:val="both"/>
        <w:rPr>
          <w:rFonts w:ascii="Times New Roman" w:eastAsia="Times New Roman" w:hAnsi="Times New Roman" w:cs="Times New Roman"/>
          <w:b/>
          <w:bCs/>
          <w:kern w:val="36"/>
          <w:sz w:val="21"/>
          <w:szCs w:val="20"/>
          <w:lang w:eastAsia="ru-RU"/>
        </w:rPr>
      </w:pPr>
    </w:p>
    <w:p w14:paraId="1F567D05" w14:textId="6361AF24"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Аннотация</w:t>
      </w:r>
      <w:proofErr w:type="gramStart"/>
      <w:r w:rsidRPr="00877DE5">
        <w:rPr>
          <w:rFonts w:ascii="Times New Roman" w:eastAsia="Times New Roman" w:hAnsi="Times New Roman" w:cs="Times New Roman"/>
          <w:b/>
          <w:bCs/>
          <w:sz w:val="21"/>
          <w:szCs w:val="24"/>
          <w:lang w:eastAsia="ru-RU"/>
        </w:rPr>
        <w:t>:</w:t>
      </w:r>
      <w:r w:rsidR="00FD7389">
        <w:rPr>
          <w:rFonts w:ascii="Times New Roman" w:eastAsia="Times New Roman" w:hAnsi="Times New Roman" w:cs="Times New Roman"/>
          <w:sz w:val="21"/>
          <w:szCs w:val="24"/>
          <w:lang w:eastAsia="ru-RU"/>
        </w:rPr>
        <w:t xml:space="preserve"> </w:t>
      </w:r>
      <w:r w:rsidRPr="00877DE5">
        <w:rPr>
          <w:rFonts w:ascii="Times New Roman" w:eastAsia="Times New Roman" w:hAnsi="Times New Roman" w:cs="Times New Roman"/>
          <w:sz w:val="21"/>
          <w:szCs w:val="24"/>
          <w:lang w:eastAsia="ru-RU"/>
        </w:rPr>
        <w:t>Исследуется</w:t>
      </w:r>
      <w:proofErr w:type="gramEnd"/>
      <w:r w:rsidRPr="00877DE5">
        <w:rPr>
          <w:rFonts w:ascii="Times New Roman" w:eastAsia="Times New Roman" w:hAnsi="Times New Roman" w:cs="Times New Roman"/>
          <w:sz w:val="21"/>
          <w:szCs w:val="24"/>
          <w:lang w:eastAsia="ru-RU"/>
        </w:rPr>
        <w:t xml:space="preserve"> совокупность нормативно-правовых актов, регулирующих бухгалтерский учёт в фармацевтических организациях РФ. Анализируются Федеральный закон №402-ФЗ «О бухгалтерском учёте», федеральные стандарты (ФСБУ), положения по учёту (ПБУ) и приказы Минфина, применимые в отрасли. Особое внимание уделено учёту лекарств (запасов) и нематериальных активов в фармацевтике, приведены примеры из практики компаний («Фармстандарт», «Р-Фарм»). Приведены сравнительные таблицы основных нормативов и финансовых показателей отраслевых предприятий. Даны выводы о необходимости совершенствования учётной базы с учётом отраслевых особенностей.</w:t>
      </w:r>
    </w:p>
    <w:p w14:paraId="5406F64B"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Ключевые слова:</w:t>
      </w:r>
      <w:r w:rsidRPr="00877DE5">
        <w:rPr>
          <w:rFonts w:ascii="Times New Roman" w:eastAsia="Times New Roman" w:hAnsi="Times New Roman" w:cs="Times New Roman"/>
          <w:sz w:val="21"/>
          <w:szCs w:val="24"/>
          <w:lang w:eastAsia="ru-RU"/>
        </w:rPr>
        <w:t xml:space="preserve"> бухгалтерский учёт, нормативное регулирование, фармацевтическая промышленность, ФСБУ, 402-ФЗ, запасы, нематериальные активы.</w:t>
      </w:r>
    </w:p>
    <w:p w14:paraId="2A236E0B" w14:textId="77777777" w:rsidR="00877DE5" w:rsidRPr="00877DE5" w:rsidRDefault="00877DE5" w:rsidP="00067100">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sidRPr="00877DE5">
        <w:rPr>
          <w:rFonts w:ascii="Times New Roman" w:eastAsia="Times New Roman" w:hAnsi="Times New Roman" w:cs="Times New Roman"/>
          <w:sz w:val="21"/>
          <w:szCs w:val="24"/>
          <w:lang w:eastAsia="ru-RU"/>
        </w:rPr>
        <w:t xml:space="preserve"> </w:t>
      </w:r>
      <w:r w:rsidRPr="00877DE5">
        <w:rPr>
          <w:rFonts w:ascii="Times New Roman" w:eastAsia="Aptos" w:hAnsi="Times New Roman" w:cs="Times New Roman"/>
          <w:b/>
          <w:bCs/>
          <w:i/>
          <w:iCs/>
          <w:kern w:val="2"/>
          <w:sz w:val="21"/>
          <w:szCs w:val="32"/>
          <w:lang w:val="en-US"/>
          <w14:ligatures w14:val="standardContextual"/>
        </w:rPr>
        <w:t>Kretova M.V.,</w:t>
      </w:r>
    </w:p>
    <w:p w14:paraId="2C416AD2"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64ABD76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2F7441F9"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1A13AAFA"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220" w:history="1">
        <w:r w:rsidRPr="00877DE5">
          <w:rPr>
            <w:rFonts w:ascii="Times New Roman" w:eastAsia="Aptos" w:hAnsi="Times New Roman" w:cs="Times New Roman"/>
            <w:color w:val="467886"/>
            <w:kern w:val="2"/>
            <w:sz w:val="21"/>
            <w:szCs w:val="24"/>
            <w:u w:val="single"/>
            <w:lang w:val="en-US"/>
            <w14:ligatures w14:val="standardContextual"/>
          </w:rPr>
          <w:t>100dot13sl220176@edu.fa.ru</w:t>
        </w:r>
      </w:hyperlink>
    </w:p>
    <w:p w14:paraId="7F92F12A"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433AC8E0"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41391384"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45AE7623"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lastRenderedPageBreak/>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50F6E59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2AD3D47D"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1B8B7D14"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221" w:history="1">
        <w:r w:rsidRPr="00877DE5">
          <w:rPr>
            <w:rFonts w:ascii="Times New Roman" w:eastAsia="Times New Roman" w:hAnsi="Times New Roman" w:cs="Times New Roman"/>
            <w:i/>
            <w:color w:val="0000FF"/>
            <w:sz w:val="21"/>
            <w:szCs w:val="20"/>
            <w:u w:val="single"/>
            <w:lang w:val="x-none" w:eastAsia="ar-SA"/>
          </w:rPr>
          <w:t>uyuroschektaeva@fa.ru</w:t>
        </w:r>
      </w:hyperlink>
    </w:p>
    <w:p w14:paraId="514A2E8C" w14:textId="77777777" w:rsidR="00877DE5" w:rsidRPr="00877DE5" w:rsidRDefault="00877DE5" w:rsidP="00067100">
      <w:pPr>
        <w:spacing w:after="0" w:line="240" w:lineRule="auto"/>
        <w:ind w:firstLine="709"/>
        <w:jc w:val="both"/>
        <w:rPr>
          <w:rFonts w:ascii="Times New Roman" w:eastAsia="Aptos" w:hAnsi="Times New Roman" w:cs="Times New Roman"/>
          <w:b/>
          <w:bCs/>
          <w:kern w:val="2"/>
          <w:sz w:val="21"/>
          <w:szCs w:val="32"/>
          <w:lang w:val="en-US"/>
          <w14:ligatures w14:val="standardContextual"/>
        </w:rPr>
      </w:pPr>
    </w:p>
    <w:p w14:paraId="25E8993D"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32"/>
          <w:lang w:val="en-US"/>
          <w14:ligatures w14:val="standardContextual"/>
        </w:rPr>
      </w:pPr>
      <w:r w:rsidRPr="00877DE5">
        <w:rPr>
          <w:rFonts w:ascii="Times New Roman" w:eastAsia="Aptos" w:hAnsi="Times New Roman" w:cs="Times New Roman"/>
          <w:b/>
          <w:bCs/>
          <w:kern w:val="2"/>
          <w:sz w:val="21"/>
          <w:szCs w:val="32"/>
          <w:lang w:val="en-US"/>
          <w14:ligatures w14:val="standardContextual"/>
        </w:rPr>
        <w:t>Regulatory framework of accounting in pharmaceutical organizations of Russia</w:t>
      </w:r>
    </w:p>
    <w:p w14:paraId="674B6D9C"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x-none" w:eastAsia="ru-RU"/>
        </w:rPr>
      </w:pPr>
    </w:p>
    <w:p w14:paraId="53B8D934"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Abstract:</w:t>
      </w:r>
      <w:r w:rsidRPr="00877DE5">
        <w:rPr>
          <w:rFonts w:ascii="Times New Roman" w:eastAsia="Times New Roman" w:hAnsi="Times New Roman" w:cs="Times New Roman"/>
          <w:sz w:val="21"/>
          <w:szCs w:val="24"/>
          <w:lang w:val="en-US" w:eastAsia="ru-RU"/>
        </w:rPr>
        <w:t xml:space="preserve"> This article examines the regulatory framework of accounting in Russian pharmaceutical organizations. It reviews the Federal Law No.402-FZ «On Accounting» and related accounting standards (FSBU), accounting regulations (PBU) and Ministry of Finance orders applicable to the sector. Special focus is placed on inventory (medicines) accounting and intangible asset accounting in pharma, with examples from major companies (e.g. Pharmstandard, R-Pharm). Comparative tables of key regulations and financial results of pharmaceutical enterprises are provided. The paper concludes with recommendations to improve accounting regulations considering industry specifics.</w:t>
      </w:r>
    </w:p>
    <w:p w14:paraId="7571906E"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Keywords:</w:t>
      </w:r>
      <w:r w:rsidRPr="00877DE5">
        <w:rPr>
          <w:rFonts w:ascii="Times New Roman" w:eastAsia="Times New Roman" w:hAnsi="Times New Roman" w:cs="Times New Roman"/>
          <w:sz w:val="21"/>
          <w:szCs w:val="24"/>
          <w:lang w:val="en-US" w:eastAsia="ru-RU"/>
        </w:rPr>
        <w:t xml:space="preserve"> accounting regulation, pharmaceutical organizations, FSBU, Federal Law 402, inventory, intangible assets, standards.</w:t>
      </w:r>
    </w:p>
    <w:p w14:paraId="20BEC56C"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p>
    <w:p w14:paraId="51A884A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Фармацевтическая отрасль России является одной из стратегически важных и быстрорастущих. По данным аналитики, объём фармацевтического рынка в 2022 году превысил 2,5 трлн руб. (рост на 11,9% по сравнению с 2021 г.). В таких условиях качественный бухгалтерский учёт и отчётность являются критичными для управления компаниями (производителями и дистрибьюторами лекарств) и для контроля над выполнением госконтрактов и государственных программ поддержки отрасли. Одновременно фармацевтика отличается особой спецификой: управление большими запасами дорогостоящих лекарств с ограниченным сроком годности, научно-исследовательские расходы на разработку лекарственных препаратов, государственное ценообразование и регламентация (список ЖНВЛП) требуют надёжной учётной базы. Поэтому вопросы нормативного регулирования бухучёта в этой сфере остаются актуальными [1]. </w:t>
      </w:r>
    </w:p>
    <w:p w14:paraId="48F5819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Согласно Федеральному закону №402-ФЗ «О бухгалтерском учёте» (от 06.12.2011, последняя редакция 2023 г.), все организации обязаны вести бухгалтерский учёт и составлять отчётность по единым правилам. В статье 21 Закона указано, что к документам регулирования относятся федеральные и отраслевые стандарты бухучёта (ФСБУ), ПБУ, нормативные акты ЦБ РФ и рекомендации. ФСБУ устанавливают «минимально необходимые требования к бухгалтерскому учёту» и обязательны для всех организаций, не относящихся к бюджетной сфере. Так, ФСБУ 5/2019 «Запасы» регламентирует учет товарно-материальных запасов: запасы классифицируются по этапам операционного цикла и учитываются по фактической себестоимости, что имеет прямое отношение к фармацевтическим компаниям, отражающим движение лекарств. </w:t>
      </w:r>
      <w:r w:rsidRPr="00877DE5">
        <w:rPr>
          <w:rFonts w:ascii="Times New Roman" w:eastAsia="Times New Roman" w:hAnsi="Times New Roman" w:cs="Times New Roman"/>
          <w:sz w:val="32"/>
          <w:szCs w:val="32"/>
          <w:lang w:eastAsia="ru-RU"/>
        </w:rPr>
        <w:lastRenderedPageBreak/>
        <w:t>Федеральный стандарт ФСБУ 14/2022 «Нематериальные активы» определяет порядок признания и амортизации НМА, включая результаты НИОКР и фармацевтических лицензий. Минфин РФ регулярно выпускает приказы, утверждающие ФСБУ и новые редакции ПБУ. Международные стандарты (МСФО/IFRS) применяются компаниями добровольно или в части требований законодательства по раскрытию информации (например, при публичном размещении ценных бумаг), однако специфика отрасли учтена преимущественно в российских стандартах. Таким образом, нормативное регулирование бухучёта в целом едино для всех секторов, но ФСБУ и ПБУ детализируют отдельные объекты учёта (запасы, ОС, НМА, доходы и т.д.) и обеспечивают основу для построения учетной политики фармацевтических организаций [2,3,4,5].</w:t>
      </w:r>
      <w:r w:rsidRPr="00877DE5">
        <w:rPr>
          <w:rFonts w:ascii="Times New Roman" w:eastAsia="Aptos" w:hAnsi="Times New Roman" w:cs="Times New Roman"/>
          <w:kern w:val="2"/>
          <w:sz w:val="24"/>
          <w:szCs w:val="24"/>
          <w14:ligatures w14:val="standardContextual"/>
        </w:rPr>
        <w:t xml:space="preserve"> </w:t>
      </w:r>
      <w:bookmarkStart w:id="55" w:name="_Hlk198889368"/>
    </w:p>
    <w:bookmarkEnd w:id="55"/>
    <w:p w14:paraId="0D784011" w14:textId="77777777" w:rsidR="00877DE5" w:rsidRPr="00877DE5" w:rsidRDefault="00877DE5" w:rsidP="0007694F">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1- Основные нормативные акты и стандарты бухгалтерского учёта в РФ</w:t>
      </w:r>
    </w:p>
    <w:tbl>
      <w:tblPr>
        <w:tblStyle w:val="15"/>
        <w:tblW w:w="9634" w:type="dxa"/>
        <w:tblLook w:val="04A0" w:firstRow="1" w:lastRow="0" w:firstColumn="1" w:lastColumn="0" w:noHBand="0" w:noVBand="1"/>
      </w:tblPr>
      <w:tblGrid>
        <w:gridCol w:w="2689"/>
        <w:gridCol w:w="6945"/>
      </w:tblGrid>
      <w:tr w:rsidR="00877DE5" w:rsidRPr="00877DE5" w14:paraId="7143CD5A" w14:textId="77777777" w:rsidTr="00067100">
        <w:tc>
          <w:tcPr>
            <w:tcW w:w="2689" w:type="dxa"/>
            <w:vAlign w:val="center"/>
          </w:tcPr>
          <w:p w14:paraId="593E7BFB" w14:textId="77777777" w:rsidR="00877DE5" w:rsidRPr="00877DE5" w:rsidRDefault="00877DE5" w:rsidP="0007694F">
            <w:pPr>
              <w:spacing w:line="278" w:lineRule="auto"/>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Документ</w:t>
            </w:r>
          </w:p>
        </w:tc>
        <w:tc>
          <w:tcPr>
            <w:tcW w:w="6945" w:type="dxa"/>
            <w:vAlign w:val="center"/>
          </w:tcPr>
          <w:p w14:paraId="4D2721AD" w14:textId="77777777" w:rsidR="00877DE5" w:rsidRPr="00877DE5" w:rsidRDefault="00877DE5" w:rsidP="0007694F">
            <w:pPr>
              <w:spacing w:line="278" w:lineRule="auto"/>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Основные положения</w:t>
            </w:r>
          </w:p>
        </w:tc>
      </w:tr>
      <w:tr w:rsidR="00877DE5" w:rsidRPr="00877DE5" w14:paraId="30E8D811" w14:textId="77777777" w:rsidTr="00067100">
        <w:tc>
          <w:tcPr>
            <w:tcW w:w="2689" w:type="dxa"/>
            <w:vAlign w:val="center"/>
          </w:tcPr>
          <w:p w14:paraId="5129D7ED"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Федеральный закон №402-ФЗ</w:t>
            </w:r>
          </w:p>
        </w:tc>
        <w:tc>
          <w:tcPr>
            <w:tcW w:w="6945" w:type="dxa"/>
            <w:vAlign w:val="center"/>
          </w:tcPr>
          <w:p w14:paraId="4D4D7E08"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Определяет общие цели и принципы бухучёта и отчетности; устанавливает порядок разработки ФСБУ/ПБУ, ответственность за ведение учёта.</w:t>
            </w:r>
          </w:p>
        </w:tc>
      </w:tr>
    </w:tbl>
    <w:p w14:paraId="6FB5D1E0" w14:textId="77777777" w:rsidR="00877DE5" w:rsidRPr="00877DE5" w:rsidRDefault="00877DE5" w:rsidP="0007694F">
      <w:pPr>
        <w:spacing w:after="0" w:line="240" w:lineRule="auto"/>
        <w:ind w:firstLine="708"/>
        <w:rPr>
          <w:rFonts w:ascii="Times New Roman" w:eastAsia="Aptos" w:hAnsi="Times New Roman" w:cs="Times New Roman"/>
          <w:kern w:val="2"/>
          <w:sz w:val="32"/>
          <w:szCs w:val="32"/>
          <w14:ligatures w14:val="standardContextual"/>
        </w:rPr>
      </w:pPr>
      <w:r w:rsidRPr="00877DE5">
        <w:rPr>
          <w:rFonts w:ascii="Times New Roman" w:eastAsia="Aptos" w:hAnsi="Times New Roman" w:cs="Times New Roman"/>
          <w:kern w:val="2"/>
          <w:sz w:val="32"/>
          <w:szCs w:val="32"/>
          <w14:ligatures w14:val="standardContextual"/>
        </w:rPr>
        <w:t>Продолжение таблицы 1</w:t>
      </w:r>
    </w:p>
    <w:tbl>
      <w:tblPr>
        <w:tblStyle w:val="15"/>
        <w:tblW w:w="9634" w:type="dxa"/>
        <w:tblLook w:val="04A0" w:firstRow="1" w:lastRow="0" w:firstColumn="1" w:lastColumn="0" w:noHBand="0" w:noVBand="1"/>
      </w:tblPr>
      <w:tblGrid>
        <w:gridCol w:w="2689"/>
        <w:gridCol w:w="6945"/>
      </w:tblGrid>
      <w:tr w:rsidR="00877DE5" w:rsidRPr="00877DE5" w14:paraId="312EF0D5" w14:textId="77777777" w:rsidTr="00067100">
        <w:tc>
          <w:tcPr>
            <w:tcW w:w="2689" w:type="dxa"/>
          </w:tcPr>
          <w:p w14:paraId="2D416614" w14:textId="77777777" w:rsidR="00877DE5" w:rsidRPr="00877DE5" w:rsidRDefault="00877DE5" w:rsidP="0007694F">
            <w:pPr>
              <w:spacing w:line="278" w:lineRule="auto"/>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Документ</w:t>
            </w:r>
          </w:p>
        </w:tc>
        <w:tc>
          <w:tcPr>
            <w:tcW w:w="6945" w:type="dxa"/>
          </w:tcPr>
          <w:p w14:paraId="40F5CFBA" w14:textId="77777777" w:rsidR="00877DE5" w:rsidRPr="00877DE5" w:rsidRDefault="00877DE5" w:rsidP="0007694F">
            <w:pPr>
              <w:spacing w:line="278" w:lineRule="auto"/>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Основные положения</w:t>
            </w:r>
          </w:p>
        </w:tc>
      </w:tr>
      <w:tr w:rsidR="00877DE5" w:rsidRPr="00877DE5" w14:paraId="7DEB5D9C" w14:textId="77777777" w:rsidTr="00067100">
        <w:tc>
          <w:tcPr>
            <w:tcW w:w="2689" w:type="dxa"/>
            <w:vAlign w:val="center"/>
          </w:tcPr>
          <w:p w14:paraId="70D9E22F"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ФСБУ 5/2019 «Запасы»</w:t>
            </w:r>
          </w:p>
        </w:tc>
        <w:tc>
          <w:tcPr>
            <w:tcW w:w="6945" w:type="dxa"/>
            <w:vAlign w:val="center"/>
          </w:tcPr>
          <w:p w14:paraId="71C717DD"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Устанавливает правила классификации и оценки запасов (в т.ч. лекарств) по фактической себестоимости.</w:t>
            </w:r>
          </w:p>
        </w:tc>
      </w:tr>
      <w:tr w:rsidR="00877DE5" w:rsidRPr="00877DE5" w14:paraId="641C015F" w14:textId="77777777" w:rsidTr="00067100">
        <w:tc>
          <w:tcPr>
            <w:tcW w:w="2689" w:type="dxa"/>
            <w:vAlign w:val="center"/>
          </w:tcPr>
          <w:p w14:paraId="49733244"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ФСБУ 14/2022 «Нематериальные активы»</w:t>
            </w:r>
          </w:p>
        </w:tc>
        <w:tc>
          <w:tcPr>
            <w:tcW w:w="6945" w:type="dxa"/>
            <w:vAlign w:val="center"/>
          </w:tcPr>
          <w:p w14:paraId="635C39A3"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Правила признания, оценки и амортизации НМА (включая НИОКР, лицензии), применяется с отчётности за 2024 год.</w:t>
            </w:r>
          </w:p>
        </w:tc>
      </w:tr>
      <w:tr w:rsidR="00877DE5" w:rsidRPr="00877DE5" w14:paraId="79585644" w14:textId="77777777" w:rsidTr="00067100">
        <w:tc>
          <w:tcPr>
            <w:tcW w:w="2689" w:type="dxa"/>
            <w:vAlign w:val="center"/>
          </w:tcPr>
          <w:p w14:paraId="216D8D94"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ПБУ 9/99 «Доходы организации»</w:t>
            </w:r>
          </w:p>
        </w:tc>
        <w:tc>
          <w:tcPr>
            <w:tcW w:w="6945" w:type="dxa"/>
            <w:vAlign w:val="center"/>
          </w:tcPr>
          <w:p w14:paraId="02DD281B"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Определяет порядок признания выручки от обычных видов деятельности (реализации товаров/работ); важно для фармацевтов при учёте продаж медикаментов.</w:t>
            </w:r>
          </w:p>
        </w:tc>
      </w:tr>
      <w:tr w:rsidR="00877DE5" w:rsidRPr="00877DE5" w14:paraId="70D6A8BF" w14:textId="77777777" w:rsidTr="00067100">
        <w:tc>
          <w:tcPr>
            <w:tcW w:w="2689" w:type="dxa"/>
            <w:vAlign w:val="center"/>
          </w:tcPr>
          <w:p w14:paraId="4CF27354"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МСФО 15 «Выручка по договорам с клиентами»</w:t>
            </w:r>
          </w:p>
        </w:tc>
        <w:tc>
          <w:tcPr>
            <w:tcW w:w="6945" w:type="dxa"/>
            <w:vAlign w:val="center"/>
          </w:tcPr>
          <w:p w14:paraId="0C3F3B67"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МСФО – аналог ПБУ 9/99 для международной отчётности; учитывает особенности контрактов (не обязательно в российском бухучёте).</w:t>
            </w:r>
          </w:p>
        </w:tc>
      </w:tr>
    </w:tbl>
    <w:p w14:paraId="7614886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Фармацевтические организации используют общую базу учёта, но при этом сталкиваются с отраслевыми особенностями. В частности, лекарственные средства относятся к группе запасов, для которых ФСБУ 5/2019 предписывает учитывать фактическую себестоимость и контролировать сроки хранения. Аптечные фирмы, например, относятся к коммерческой деятельности и ведут учет по счетам 41 «Товары» (закупленные лекарства) и 43 «Готовая продукция» (изготовленные в аптеке лекарства). Отчёт о движении наркотических </w:t>
      </w:r>
      <w:r w:rsidRPr="00877DE5">
        <w:rPr>
          <w:rFonts w:ascii="Times New Roman" w:eastAsia="Times New Roman" w:hAnsi="Times New Roman" w:cs="Times New Roman"/>
          <w:sz w:val="32"/>
          <w:szCs w:val="32"/>
          <w:lang w:eastAsia="ru-RU"/>
        </w:rPr>
        <w:lastRenderedPageBreak/>
        <w:t>и психотропных средств ведётся отдельно по специальным требованиям (не в рамках бухгалтерского учёта, но влияет на операции с запасами).</w:t>
      </w:r>
    </w:p>
    <w:p w14:paraId="0CC2536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Разработка новых лекарств порождает затратную статью – НИОКР, которая в большинстве случаев списывается на расходы, не образуя активы (согласно ФСБУ 14/2022 с 2024 года). Внедрение ФСБУ 14/2022 позволяет компаниям капитализировать результаты исследований (при выполнении критериев признания НМА) и отражать их амортизацию в отчетности, что важно для крупных фармпроизводителей (например, ГК «Фармстандарт»), имеющих собственные R&amp;D-центры.</w:t>
      </w:r>
    </w:p>
    <w:p w14:paraId="16066AD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Компании, такие как АО «Фармстандарт», готовят отчётность по российским стандартам и/или МСФО. По данным компании, её выручка за 2023 г. составила 142,9 млрд руб., тогда как чистая прибыль упала с 49,2 млрд руб. (2022 г.) до 23,3 млрд руб. (снижение на 52,7%). Причины такого спада – высокие инвестиции и влияние макроэкономических факторов (рост ключевой ставки ЦБ). Для сравнения, ГК «Р-Фарм» (крупнейший производитель) в 2024 г. показала выручку 147,5 млрд руб. (рост +13% к 2023). Примеры иллюстрируют, что за финансовыми результатами фармкомпаний стоят изменения нормативной среды, потребительского спроса и господдержки [6]. </w:t>
      </w:r>
    </w:p>
    <w:p w14:paraId="0F3E6EF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Хотя налоговый учёт формально не входит в систему бухучёта, налоговое законодательство (НК РФ) и постановления Правительства по ценам на ЖНВЛП влияют на учетные решения (например, учет уценки просроченных лекарств, введение списаний). Но основные подходы к признанию затрат на НИОКР и отложенным налоговым обязательствам определяются в стандартах бухучёта.</w:t>
      </w:r>
    </w:p>
    <w:p w14:paraId="6933A29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Крупные игроки используют учетную политику, учитывающую ФСБУ. Например, аптечная сеть «Протек» (дистрибьютор лекарств) при оценке запасов руководствуется ФСБУ 5/2019, включая реализацию принципа наименьшей из стоимости и чистой стоимости реализации (что важно при истечении срока годности). АО «Фармстандарт» применяет ФСБУ 4/2023 для подготовки усовершенствованной финансовой отчётности (бухгалтерской отчётности), как требует Минфин. ООО «Герофарм» (группа Biocad) фокусируется на учёте затрат на развитие инновационных дженериков, хотя текущая отчётность пока отражает эти затраты как расходы периода (в ожидании перехода на ФСБУ 14/2022). Таким образом, </w:t>
      </w:r>
      <w:r w:rsidRPr="00877DE5">
        <w:rPr>
          <w:rFonts w:ascii="Times New Roman" w:eastAsia="Times New Roman" w:hAnsi="Times New Roman" w:cs="Times New Roman"/>
          <w:sz w:val="32"/>
          <w:szCs w:val="32"/>
          <w:lang w:eastAsia="ru-RU"/>
        </w:rPr>
        <w:lastRenderedPageBreak/>
        <w:t>отраслевые компании активно адаптируют свои учетные политики к новым стандартам, подтверждая роль ФСБУ и ПБУ в практике.</w:t>
      </w:r>
    </w:p>
    <w:p w14:paraId="7CF06E49" w14:textId="77777777" w:rsidR="00877DE5" w:rsidRPr="00877DE5" w:rsidRDefault="00877DE5" w:rsidP="0007694F">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2 - Финансовые показатели ведущих фармацевтических компаний РФ (по данным </w:t>
      </w:r>
      <w:bookmarkStart w:id="56" w:name="_Hlk198889430"/>
      <w:r w:rsidRPr="00877DE5">
        <w:rPr>
          <w:rFonts w:ascii="Times New Roman" w:eastAsia="Times New Roman" w:hAnsi="Times New Roman" w:cs="Times New Roman"/>
          <w:sz w:val="32"/>
          <w:szCs w:val="32"/>
          <w:lang w:eastAsia="ru-RU"/>
        </w:rPr>
        <w:t>Rusprofile</w:t>
      </w:r>
      <w:bookmarkEnd w:id="56"/>
      <w:r w:rsidRPr="00877DE5">
        <w:rPr>
          <w:rFonts w:ascii="Times New Roman" w:eastAsia="Times New Roman" w:hAnsi="Times New Roman" w:cs="Times New Roman"/>
          <w:sz w:val="32"/>
          <w:szCs w:val="32"/>
          <w:lang w:eastAsia="ru-RU"/>
        </w:rPr>
        <w:t>) [7]</w:t>
      </w:r>
    </w:p>
    <w:tbl>
      <w:tblPr>
        <w:tblStyle w:val="15"/>
        <w:tblW w:w="0" w:type="auto"/>
        <w:tblLook w:val="04A0" w:firstRow="1" w:lastRow="0" w:firstColumn="1" w:lastColumn="0" w:noHBand="0" w:noVBand="1"/>
      </w:tblPr>
      <w:tblGrid>
        <w:gridCol w:w="3209"/>
        <w:gridCol w:w="3209"/>
        <w:gridCol w:w="3210"/>
      </w:tblGrid>
      <w:tr w:rsidR="00877DE5" w:rsidRPr="00877DE5" w14:paraId="29F98840" w14:textId="77777777" w:rsidTr="00067100">
        <w:tc>
          <w:tcPr>
            <w:tcW w:w="3209" w:type="dxa"/>
            <w:vAlign w:val="center"/>
          </w:tcPr>
          <w:p w14:paraId="2EC3F004" w14:textId="77777777" w:rsidR="00877DE5" w:rsidRPr="00877DE5" w:rsidRDefault="00877DE5" w:rsidP="0007694F">
            <w:pPr>
              <w:spacing w:line="278" w:lineRule="auto"/>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Компания</w:t>
            </w:r>
          </w:p>
        </w:tc>
        <w:tc>
          <w:tcPr>
            <w:tcW w:w="3209" w:type="dxa"/>
            <w:vAlign w:val="center"/>
          </w:tcPr>
          <w:p w14:paraId="2DDB88EB" w14:textId="77777777" w:rsidR="00877DE5" w:rsidRPr="00877DE5" w:rsidRDefault="00877DE5" w:rsidP="0007694F">
            <w:pPr>
              <w:spacing w:line="278" w:lineRule="auto"/>
              <w:jc w:val="center"/>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Выручка (последний год), руб.</w:t>
            </w:r>
          </w:p>
        </w:tc>
        <w:tc>
          <w:tcPr>
            <w:tcW w:w="3210" w:type="dxa"/>
            <w:vAlign w:val="center"/>
          </w:tcPr>
          <w:p w14:paraId="5A207370" w14:textId="77777777" w:rsidR="00877DE5" w:rsidRPr="00877DE5" w:rsidRDefault="00877DE5" w:rsidP="0007694F">
            <w:pPr>
              <w:spacing w:line="278" w:lineRule="auto"/>
              <w:jc w:val="center"/>
              <w:outlineLvl w:val="3"/>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Рост к пред. году</w:t>
            </w:r>
          </w:p>
        </w:tc>
      </w:tr>
      <w:tr w:rsidR="00877DE5" w:rsidRPr="00877DE5" w14:paraId="7861B433" w14:textId="77777777" w:rsidTr="00067100">
        <w:tc>
          <w:tcPr>
            <w:tcW w:w="3209" w:type="dxa"/>
            <w:vAlign w:val="center"/>
          </w:tcPr>
          <w:p w14:paraId="64ECBCB0"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АО «Р-Фарм»</w:t>
            </w:r>
          </w:p>
        </w:tc>
        <w:tc>
          <w:tcPr>
            <w:tcW w:w="3209" w:type="dxa"/>
            <w:vAlign w:val="center"/>
          </w:tcPr>
          <w:p w14:paraId="690FAA0A"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147 461 791 000 (2024)</w:t>
            </w:r>
          </w:p>
        </w:tc>
        <w:tc>
          <w:tcPr>
            <w:tcW w:w="3210" w:type="dxa"/>
            <w:vAlign w:val="center"/>
          </w:tcPr>
          <w:p w14:paraId="18FB3660"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+13%</w:t>
            </w:r>
          </w:p>
        </w:tc>
      </w:tr>
      <w:tr w:rsidR="00877DE5" w:rsidRPr="00877DE5" w14:paraId="52A71396" w14:textId="77777777" w:rsidTr="00067100">
        <w:tc>
          <w:tcPr>
            <w:tcW w:w="3209" w:type="dxa"/>
            <w:vAlign w:val="center"/>
          </w:tcPr>
          <w:p w14:paraId="574AF2A0"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АО «Биокад»</w:t>
            </w:r>
          </w:p>
        </w:tc>
        <w:tc>
          <w:tcPr>
            <w:tcW w:w="3209" w:type="dxa"/>
            <w:vAlign w:val="center"/>
          </w:tcPr>
          <w:p w14:paraId="714AC5C1"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92 989 888 000 (2024)</w:t>
            </w:r>
          </w:p>
        </w:tc>
        <w:tc>
          <w:tcPr>
            <w:tcW w:w="3210" w:type="dxa"/>
            <w:vAlign w:val="center"/>
          </w:tcPr>
          <w:p w14:paraId="5C9170F3"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+179%</w:t>
            </w:r>
          </w:p>
        </w:tc>
      </w:tr>
      <w:tr w:rsidR="00877DE5" w:rsidRPr="00877DE5" w14:paraId="097DE40B" w14:textId="77777777" w:rsidTr="00067100">
        <w:tc>
          <w:tcPr>
            <w:tcW w:w="3209" w:type="dxa"/>
            <w:vAlign w:val="center"/>
          </w:tcPr>
          <w:p w14:paraId="6EA73E40"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АО «Фармстандарт-Уфавита»</w:t>
            </w:r>
          </w:p>
        </w:tc>
        <w:tc>
          <w:tcPr>
            <w:tcW w:w="3209" w:type="dxa"/>
            <w:vAlign w:val="center"/>
          </w:tcPr>
          <w:p w14:paraId="210C1882"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67 551 784 000 (2024)</w:t>
            </w:r>
          </w:p>
        </w:tc>
        <w:tc>
          <w:tcPr>
            <w:tcW w:w="3210" w:type="dxa"/>
            <w:vAlign w:val="center"/>
          </w:tcPr>
          <w:p w14:paraId="6815056C"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+157%</w:t>
            </w:r>
          </w:p>
        </w:tc>
      </w:tr>
      <w:tr w:rsidR="00877DE5" w:rsidRPr="00877DE5" w14:paraId="0840E14A" w14:textId="77777777" w:rsidTr="00067100">
        <w:tc>
          <w:tcPr>
            <w:tcW w:w="3209" w:type="dxa"/>
            <w:vAlign w:val="center"/>
          </w:tcPr>
          <w:p w14:paraId="3DA22B60" w14:textId="77777777" w:rsidR="00877DE5" w:rsidRPr="00877DE5" w:rsidRDefault="00877DE5" w:rsidP="0007694F">
            <w:pPr>
              <w:spacing w:line="278" w:lineRule="auto"/>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АО «Фармстандарт» (г. Москва)</w:t>
            </w:r>
          </w:p>
        </w:tc>
        <w:tc>
          <w:tcPr>
            <w:tcW w:w="3209" w:type="dxa"/>
            <w:vAlign w:val="center"/>
          </w:tcPr>
          <w:p w14:paraId="1166D041"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142 900 000 000 (2023)</w:t>
            </w:r>
          </w:p>
        </w:tc>
        <w:tc>
          <w:tcPr>
            <w:tcW w:w="3210" w:type="dxa"/>
            <w:vAlign w:val="center"/>
          </w:tcPr>
          <w:p w14:paraId="305000F1" w14:textId="77777777" w:rsidR="00877DE5" w:rsidRPr="00877DE5" w:rsidRDefault="00877DE5" w:rsidP="0007694F">
            <w:pPr>
              <w:spacing w:line="278" w:lineRule="auto"/>
              <w:jc w:val="center"/>
              <w:outlineLvl w:val="3"/>
              <w:rPr>
                <w:rFonts w:ascii="Times New Roman" w:eastAsia="Times New Roman" w:hAnsi="Times New Roman" w:cs="Times New Roman"/>
                <w:b/>
                <w:bCs/>
                <w:lang w:eastAsia="ru-RU"/>
              </w:rPr>
            </w:pPr>
            <w:r w:rsidRPr="00877DE5">
              <w:rPr>
                <w:rFonts w:ascii="Times New Roman" w:eastAsia="Times New Roman" w:hAnsi="Times New Roman" w:cs="Times New Roman"/>
                <w:lang w:eastAsia="ru-RU"/>
              </w:rPr>
              <w:t>+5,9%</w:t>
            </w:r>
          </w:p>
        </w:tc>
      </w:tr>
    </w:tbl>
    <w:p w14:paraId="3C0F8F2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Проведённый анализ показал, что нормативное регулирование бухгалтерского учёта фармацевтических организаций основано на общероссийских стандартах (ФЗ-402, ФСБУ, ПБУ), которые в значительной мере удовлетворяют отраслевым потребностям. В то же время специфика фармацевтики требует дополнений и акцентуации отдельных моментов. В частности, учитывая повышенные затраты на НИОКР, необходимо обеспечить более чёткие правила капитализации и амортизации разработок (изменения ФСБУ 14/2022 и их ускоренное применение в отрасли). Также важно улучшить методические указания по учёту биологических активов и лекарственной субстанции, а также учёту государственных дотаций и субсидий на разработку стратегических препаратов. Следует рассмотреть возможность введения отраслевых рекомендаций Минфина или Минздрава по учёту специфических операций (клинические испытания, трансферные цены на лекарства и т.д.). Повышению достоверности отчётности фармкомпаний будет способствовать сближение российского бухгалтерского учёта с МСФО (например, переход на ФСБУ 4/2023 по форме отчётности с 2025 года). Наконец, важно учитывать динамику рыночных и нормативных изменений (регулирование импорта, приоритет национальных препаратов) и оперативно адаптировать правила учёта в соответствии с национальными стратегиями (госпрограммы «Фарма 2020/2030» и др.).</w:t>
      </w:r>
    </w:p>
    <w:p w14:paraId="3BF398A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База бухгалтерского учёта в России является комплексной и постоянно обновляется. Для фармацевтического сектора целесообразно усилить отраслевую составляющую в учёте (специальные правила или разъяснения) и учесть опыт крупных компаний, показавших рост финансовых показателей даже в условиях внешних шоков, что позволит обеспечить прозрачный учёт и </w:t>
      </w:r>
      <w:r w:rsidRPr="00877DE5">
        <w:rPr>
          <w:rFonts w:ascii="Times New Roman" w:eastAsia="Times New Roman" w:hAnsi="Times New Roman" w:cs="Times New Roman"/>
          <w:sz w:val="32"/>
          <w:szCs w:val="32"/>
          <w:lang w:eastAsia="ru-RU"/>
        </w:rPr>
        <w:lastRenderedPageBreak/>
        <w:t>отчётность в одной из ключевых отраслей экономики с учётом её научно-технической и социальной значимости.</w:t>
      </w:r>
    </w:p>
    <w:p w14:paraId="0B33C4BE"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p>
    <w:p w14:paraId="5C0F557C"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534F532F"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Как изменилась российская фарминдустрия за последние годы: опыт ГЕРОФАРМ </w:t>
      </w:r>
      <w:r w:rsidRPr="00877DE5">
        <w:rPr>
          <w:rFonts w:ascii="Times New Roman" w:eastAsia="Aptos" w:hAnsi="Times New Roman" w:cs="Times New Roman"/>
          <w:kern w:val="2"/>
          <w:sz w:val="21"/>
          <w:szCs w:val="20"/>
          <w14:ligatures w14:val="standardContextual"/>
        </w:rPr>
        <w:t xml:space="preserve">[Электронный ресурс: </w:t>
      </w:r>
      <w:hyperlink r:id="rId222" w:history="1">
        <w:r w:rsidRPr="00877DE5">
          <w:rPr>
            <w:rFonts w:ascii="Times New Roman" w:eastAsia="Times New Roman" w:hAnsi="Times New Roman" w:cs="Times New Roman"/>
            <w:color w:val="467886"/>
            <w:sz w:val="21"/>
            <w:szCs w:val="20"/>
            <w:u w:val="single"/>
            <w:lang w:eastAsia="ru-RU"/>
          </w:rPr>
          <w:t>https://companies.rbc.ru/news/wJtg3EDNbY/kak-izmenilas-rossijskaya-farmindustriya-za-poslednie-godyi-opyit-gerofarm/</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25370373"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Учёт в аптеке — основные принципы и особенности </w:t>
      </w:r>
      <w:r w:rsidRPr="00877DE5">
        <w:rPr>
          <w:rFonts w:ascii="Times New Roman" w:eastAsia="Aptos" w:hAnsi="Times New Roman" w:cs="Times New Roman"/>
          <w:kern w:val="2"/>
          <w:sz w:val="21"/>
          <w:szCs w:val="20"/>
          <w14:ligatures w14:val="standardContextual"/>
        </w:rPr>
        <w:t xml:space="preserve">[Электронный ресурс: </w:t>
      </w:r>
      <w:hyperlink r:id="rId223" w:history="1">
        <w:r w:rsidRPr="00877DE5">
          <w:rPr>
            <w:rFonts w:ascii="Times New Roman" w:eastAsia="Times New Roman" w:hAnsi="Times New Roman" w:cs="Times New Roman"/>
            <w:color w:val="467886"/>
            <w:sz w:val="21"/>
            <w:szCs w:val="20"/>
            <w:u w:val="single"/>
            <w:lang w:eastAsia="ru-RU"/>
          </w:rPr>
          <w:t>https://iq-provision.ru/articles/uchet-v-apteke</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4A8C104B"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Федеральный закон от 06.12.2011 N 402-ФЗ (ред. от 12.12.2023) "О бухгалтерском учете" </w:t>
      </w:r>
      <w:r w:rsidRPr="00877DE5">
        <w:rPr>
          <w:rFonts w:ascii="Times New Roman" w:eastAsia="Aptos" w:hAnsi="Times New Roman" w:cs="Times New Roman"/>
          <w:kern w:val="2"/>
          <w:sz w:val="21"/>
          <w:szCs w:val="20"/>
          <w14:ligatures w14:val="standardContextual"/>
        </w:rPr>
        <w:t xml:space="preserve">[Электронный ресурс: </w:t>
      </w:r>
      <w:hyperlink r:id="rId224" w:history="1">
        <w:r w:rsidRPr="00877DE5">
          <w:rPr>
            <w:rFonts w:ascii="Times New Roman" w:eastAsia="Times New Roman" w:hAnsi="Times New Roman" w:cs="Times New Roman"/>
            <w:color w:val="467886"/>
            <w:sz w:val="21"/>
            <w:szCs w:val="20"/>
            <w:u w:val="single"/>
            <w:lang w:eastAsia="ru-RU"/>
          </w:rPr>
          <w:t>https://www.consultant.ru/document/cons_doc_LAW_122855/c1b1ebfc4c28e89e4737a4d27885d9f0b15678fb/</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7A59EBF4"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Федеральный стандарт бухгалтерского учета ФСБУ 5/2019 «Запасы» </w:t>
      </w:r>
      <w:r w:rsidRPr="00877DE5">
        <w:rPr>
          <w:rFonts w:ascii="Times New Roman" w:eastAsia="Aptos" w:hAnsi="Times New Roman" w:cs="Times New Roman"/>
          <w:kern w:val="2"/>
          <w:sz w:val="21"/>
          <w:szCs w:val="20"/>
          <w14:ligatures w14:val="standardContextual"/>
        </w:rPr>
        <w:t xml:space="preserve">[Электронный ресурс: </w:t>
      </w:r>
      <w:hyperlink r:id="rId225" w:history="1">
        <w:r w:rsidRPr="00877DE5">
          <w:rPr>
            <w:rFonts w:ascii="Times New Roman" w:eastAsia="Times New Roman" w:hAnsi="Times New Roman" w:cs="Times New Roman"/>
            <w:color w:val="467886"/>
            <w:sz w:val="21"/>
            <w:szCs w:val="20"/>
            <w:u w:val="single"/>
            <w:lang w:eastAsia="ru-RU"/>
          </w:rPr>
          <w:t>https://minfin.gov.ru/ru/document?id_4=133539</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66BDE041"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Приказ Минфина России от 30.05.2022 N 86н «Об утверждении Федерального стандарта бухгалтерского учета ФСБУ 14/2022 «Нематериальные активы» (Зарегистрировано в Минюсте России 28.06.2022 N 69031) </w:t>
      </w:r>
      <w:r w:rsidRPr="00877DE5">
        <w:rPr>
          <w:rFonts w:ascii="Times New Roman" w:eastAsia="Aptos" w:hAnsi="Times New Roman" w:cs="Times New Roman"/>
          <w:kern w:val="2"/>
          <w:sz w:val="21"/>
          <w:szCs w:val="20"/>
          <w14:ligatures w14:val="standardContextual"/>
        </w:rPr>
        <w:t xml:space="preserve">[Электронный ресурс: </w:t>
      </w:r>
      <w:hyperlink r:id="rId226" w:history="1">
        <w:r w:rsidRPr="00877DE5">
          <w:rPr>
            <w:rFonts w:ascii="Times New Roman" w:eastAsia="Times New Roman" w:hAnsi="Times New Roman" w:cs="Times New Roman"/>
            <w:color w:val="467886"/>
            <w:sz w:val="21"/>
            <w:szCs w:val="20"/>
            <w:u w:val="single"/>
            <w:lang w:eastAsia="ru-RU"/>
          </w:rPr>
          <w:t>https://www.consultant.ru/document/cons_doc_LAW_420322/9af1df446be62932907c5f5428b24d64e2375332/</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1D511E1E"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«Фармстандарт»: чем известна компания и чего достигла к 2025 году </w:t>
      </w:r>
      <w:r w:rsidRPr="00877DE5">
        <w:rPr>
          <w:rFonts w:ascii="Times New Roman" w:eastAsia="Aptos" w:hAnsi="Times New Roman" w:cs="Times New Roman"/>
          <w:kern w:val="2"/>
          <w:sz w:val="21"/>
          <w:szCs w:val="20"/>
          <w14:ligatures w14:val="standardContextual"/>
        </w:rPr>
        <w:t xml:space="preserve">[Электронный ресурс: </w:t>
      </w:r>
      <w:hyperlink r:id="rId227" w:history="1">
        <w:r w:rsidRPr="00877DE5">
          <w:rPr>
            <w:rFonts w:ascii="Times New Roman" w:eastAsia="Times New Roman" w:hAnsi="Times New Roman" w:cs="Times New Roman"/>
            <w:color w:val="467886"/>
            <w:sz w:val="21"/>
            <w:szCs w:val="20"/>
            <w:u w:val="single"/>
            <w:lang w:eastAsia="ru-RU"/>
          </w:rPr>
          <w:t>https://finance.mail.ru/card/farmstandart-784/</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4BFD2C14" w14:textId="77777777" w:rsidR="00877DE5" w:rsidRPr="00877DE5" w:rsidRDefault="00877DE5" w:rsidP="00AD58CD">
      <w:pPr>
        <w:numPr>
          <w:ilvl w:val="0"/>
          <w:numId w:val="29"/>
        </w:numPr>
        <w:spacing w:after="0" w:line="240" w:lineRule="auto"/>
        <w:ind w:left="0" w:firstLine="0"/>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val="en-US" w:eastAsia="ru-RU"/>
        </w:rPr>
        <w:t>Rusprofile</w:t>
      </w:r>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 xml:space="preserve">[Электронный ресурс: </w:t>
      </w:r>
      <w:hyperlink r:id="rId228" w:history="1">
        <w:r w:rsidRPr="00877DE5">
          <w:rPr>
            <w:rFonts w:ascii="Times New Roman" w:eastAsia="Times New Roman" w:hAnsi="Times New Roman" w:cs="Times New Roman"/>
            <w:color w:val="467886"/>
            <w:sz w:val="21"/>
            <w:szCs w:val="20"/>
            <w:u w:val="single"/>
            <w:lang w:val="en-US" w:eastAsia="ru-RU"/>
          </w:rPr>
          <w:t>https</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www</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rusprofile</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ru</w:t>
        </w:r>
        <w:r w:rsidRPr="00877DE5">
          <w:rPr>
            <w:rFonts w:ascii="Times New Roman" w:eastAsia="Times New Roman" w:hAnsi="Times New Roman" w:cs="Times New Roman"/>
            <w:color w:val="467886"/>
            <w:sz w:val="21"/>
            <w:szCs w:val="20"/>
            <w:u w:val="single"/>
            <w:lang w:eastAsia="ru-RU"/>
          </w:rPr>
          <w:t>/</w:t>
        </w:r>
        <w:r w:rsidRPr="00877DE5">
          <w:rPr>
            <w:rFonts w:ascii="Times New Roman" w:eastAsia="Times New Roman" w:hAnsi="Times New Roman" w:cs="Times New Roman"/>
            <w:color w:val="467886"/>
            <w:sz w:val="21"/>
            <w:szCs w:val="20"/>
            <w:u w:val="single"/>
            <w:lang w:val="en-US" w:eastAsia="ru-RU"/>
          </w:rPr>
          <w:t>id</w:t>
        </w:r>
        <w:r w:rsidRPr="00877DE5">
          <w:rPr>
            <w:rFonts w:ascii="Times New Roman" w:eastAsia="Times New Roman" w:hAnsi="Times New Roman" w:cs="Times New Roman"/>
            <w:color w:val="467886"/>
            <w:sz w:val="21"/>
            <w:szCs w:val="20"/>
            <w:u w:val="single"/>
            <w:lang w:eastAsia="ru-RU"/>
          </w:rPr>
          <w:t>/726277</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1A1B4C96" w14:textId="19B3F437" w:rsidR="00877DE5" w:rsidRPr="00420733" w:rsidRDefault="00877DE5" w:rsidP="00FD7389">
      <w:pPr>
        <w:spacing w:after="0" w:line="240" w:lineRule="auto"/>
        <w:jc w:val="both"/>
        <w:rPr>
          <w:rFonts w:ascii="Times New Roman" w:eastAsia="Times New Roman" w:hAnsi="Times New Roman" w:cs="Times New Roman"/>
          <w:sz w:val="21"/>
          <w:szCs w:val="24"/>
          <w:lang w:eastAsia="ru-RU"/>
        </w:rPr>
      </w:pPr>
    </w:p>
    <w:p w14:paraId="2455DAD4" w14:textId="77777777" w:rsidR="00877DE5" w:rsidRPr="00420733" w:rsidRDefault="00877DE5" w:rsidP="00067100">
      <w:pPr>
        <w:spacing w:after="0" w:line="240" w:lineRule="auto"/>
        <w:ind w:firstLine="709"/>
        <w:rPr>
          <w:rFonts w:ascii="Times New Roman" w:eastAsia="Aptos" w:hAnsi="Times New Roman" w:cs="Times New Roman"/>
          <w:kern w:val="2"/>
          <w:sz w:val="24"/>
          <w:szCs w:val="24"/>
          <w14:ligatures w14:val="standardContextual"/>
        </w:rPr>
      </w:pPr>
    </w:p>
    <w:p w14:paraId="0CB8C3AC" w14:textId="77777777" w:rsidR="00877DE5" w:rsidRPr="00877DE5" w:rsidRDefault="00877DE5" w:rsidP="00FD7389">
      <w:pPr>
        <w:numPr>
          <w:ilvl w:val="1"/>
          <w:numId w:val="0"/>
        </w:numPr>
        <w:spacing w:after="0" w:line="240" w:lineRule="auto"/>
        <w:rPr>
          <w:rFonts w:ascii="Times New Roman" w:eastAsia="Times New Roman" w:hAnsi="Times New Roman" w:cs="Times New Roman"/>
          <w:b/>
          <w:color w:val="000000"/>
          <w:sz w:val="21"/>
          <w:szCs w:val="21"/>
          <w:lang w:eastAsia="ru-RU"/>
        </w:rPr>
      </w:pPr>
      <w:r w:rsidRPr="00877DE5">
        <w:rPr>
          <w:rFonts w:ascii="Times New Roman" w:eastAsia="Times New Roman" w:hAnsi="Times New Roman" w:cs="Times New Roman"/>
          <w:b/>
          <w:color w:val="000000"/>
          <w:sz w:val="21"/>
          <w:szCs w:val="21"/>
          <w:lang w:eastAsia="ru-RU"/>
        </w:rPr>
        <w:t>УДК 336.564.2</w:t>
      </w:r>
    </w:p>
    <w:p w14:paraId="273749FE"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b/>
          <w:i/>
          <w:color w:val="000000"/>
          <w:sz w:val="21"/>
          <w:szCs w:val="21"/>
          <w:lang w:eastAsia="ru-RU"/>
        </w:rPr>
        <w:t xml:space="preserve">Кукош Д.М., </w:t>
      </w:r>
    </w:p>
    <w:p w14:paraId="0F1E6B12"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 xml:space="preserve">студент 1 курса </w:t>
      </w:r>
    </w:p>
    <w:p w14:paraId="1CFE4431"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bookmarkStart w:id="57" w:name="_Hlk198396286"/>
      <w:r w:rsidRPr="00877DE5">
        <w:rPr>
          <w:rFonts w:ascii="Times New Roman" w:eastAsia="Times New Roman" w:hAnsi="Times New Roman" w:cs="Times New Roman"/>
          <w:i/>
          <w:color w:val="000000"/>
          <w:sz w:val="21"/>
          <w:szCs w:val="21"/>
          <w:lang w:eastAsia="ru-RU"/>
        </w:rPr>
        <w:t>Краснодарский филиал ФГБОУ ВО Финансового университета при Правительстве РФ</w:t>
      </w:r>
    </w:p>
    <w:bookmarkEnd w:id="57"/>
    <w:p w14:paraId="618ADD8C"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г. Краснодар, Россия</w:t>
      </w:r>
    </w:p>
    <w:p w14:paraId="27622438"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r w:rsidRPr="00877DE5">
        <w:rPr>
          <w:rFonts w:ascii="Times New Roman" w:eastAsia="Aptos" w:hAnsi="Times New Roman" w:cs="Times New Roman"/>
          <w:i/>
          <w:kern w:val="2"/>
          <w:sz w:val="21"/>
          <w:szCs w:val="21"/>
          <w14:ligatures w14:val="standardContextual"/>
        </w:rPr>
        <w:t>е-</w:t>
      </w:r>
      <w:r w:rsidRPr="00877DE5">
        <w:rPr>
          <w:rFonts w:ascii="Times New Roman" w:eastAsia="Aptos" w:hAnsi="Times New Roman" w:cs="Times New Roman"/>
          <w:i/>
          <w:kern w:val="2"/>
          <w:sz w:val="21"/>
          <w:szCs w:val="21"/>
          <w:lang w:val="en-US"/>
          <w14:ligatures w14:val="standardContextual"/>
        </w:rPr>
        <w:t>mail</w:t>
      </w:r>
      <w:r w:rsidRPr="00877DE5">
        <w:rPr>
          <w:rFonts w:ascii="Times New Roman" w:eastAsia="Aptos" w:hAnsi="Times New Roman" w:cs="Times New Roman"/>
          <w:i/>
          <w:kern w:val="2"/>
          <w:sz w:val="21"/>
          <w:szCs w:val="21"/>
          <w14:ligatures w14:val="standardContextual"/>
        </w:rPr>
        <w:t xml:space="preserve">: </w:t>
      </w:r>
      <w:hyperlink r:id="rId229" w:history="1">
        <w:r w:rsidRPr="00877DE5">
          <w:rPr>
            <w:rFonts w:ascii="Times New Roman" w:eastAsia="Aptos" w:hAnsi="Times New Roman" w:cs="Times New Roman"/>
            <w:color w:val="467886"/>
            <w:kern w:val="2"/>
            <w:sz w:val="21"/>
            <w:szCs w:val="21"/>
            <w:u w:val="single"/>
            <w:lang w:val="en-US"/>
            <w14:ligatures w14:val="standardContextual"/>
          </w:rPr>
          <w:t>koxdanil</w:t>
        </w:r>
        <w:r w:rsidRPr="00877DE5">
          <w:rPr>
            <w:rFonts w:ascii="Times New Roman" w:eastAsia="Aptos" w:hAnsi="Times New Roman" w:cs="Times New Roman"/>
            <w:color w:val="467886"/>
            <w:kern w:val="2"/>
            <w:sz w:val="21"/>
            <w:szCs w:val="21"/>
            <w:u w:val="single"/>
            <w14:ligatures w14:val="standardContextual"/>
          </w:rPr>
          <w:t>@</w:t>
        </w:r>
        <w:r w:rsidRPr="00877DE5">
          <w:rPr>
            <w:rFonts w:ascii="Times New Roman" w:eastAsia="Aptos" w:hAnsi="Times New Roman" w:cs="Times New Roman"/>
            <w:color w:val="467886"/>
            <w:kern w:val="2"/>
            <w:sz w:val="21"/>
            <w:szCs w:val="21"/>
            <w:u w:val="single"/>
            <w:lang w:val="en-US"/>
            <w14:ligatures w14:val="standardContextual"/>
          </w:rPr>
          <w:t>yandex</w:t>
        </w:r>
        <w:r w:rsidRPr="00877DE5">
          <w:rPr>
            <w:rFonts w:ascii="Times New Roman" w:eastAsia="Aptos" w:hAnsi="Times New Roman" w:cs="Times New Roman"/>
            <w:color w:val="467886"/>
            <w:kern w:val="2"/>
            <w:sz w:val="21"/>
            <w:szCs w:val="21"/>
            <w:u w:val="single"/>
            <w14:ligatures w14:val="standardContextual"/>
          </w:rPr>
          <w:t>.</w:t>
        </w:r>
        <w:r w:rsidRPr="00877DE5">
          <w:rPr>
            <w:rFonts w:ascii="Times New Roman" w:eastAsia="Aptos" w:hAnsi="Times New Roman" w:cs="Times New Roman"/>
            <w:color w:val="467886"/>
            <w:kern w:val="2"/>
            <w:sz w:val="21"/>
            <w:szCs w:val="21"/>
            <w:u w:val="single"/>
            <w:lang w:val="en-US"/>
            <w14:ligatures w14:val="standardContextual"/>
          </w:rPr>
          <w:t>ru</w:t>
        </w:r>
      </w:hyperlink>
      <w:r w:rsidRPr="00877DE5">
        <w:rPr>
          <w:rFonts w:ascii="Times New Roman" w:eastAsia="Aptos" w:hAnsi="Times New Roman" w:cs="Times New Roman"/>
          <w:i/>
          <w:kern w:val="2"/>
          <w:sz w:val="21"/>
          <w:szCs w:val="21"/>
          <w14:ligatures w14:val="standardContextual"/>
        </w:rPr>
        <w:t xml:space="preserve"> </w:t>
      </w:r>
    </w:p>
    <w:p w14:paraId="7B144272"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p>
    <w:p w14:paraId="534601E7"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Научный руководитель:</w:t>
      </w:r>
    </w:p>
    <w:p w14:paraId="3FC3E9BD"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Радченко М.В.,</w:t>
      </w:r>
    </w:p>
    <w:p w14:paraId="59EAC3F0"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 xml:space="preserve"> </w:t>
      </w:r>
      <w:r w:rsidRPr="00877DE5">
        <w:rPr>
          <w:rFonts w:ascii="Times New Roman" w:eastAsia="Aptos" w:hAnsi="Times New Roman" w:cs="Times New Roman"/>
          <w:i/>
          <w:kern w:val="2"/>
          <w:sz w:val="21"/>
          <w:szCs w:val="21"/>
          <w14:ligatures w14:val="standardContextual"/>
        </w:rPr>
        <w:t>доцент, к.э.н.</w:t>
      </w:r>
    </w:p>
    <w:p w14:paraId="1E6BA495"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Краснодарский филиал ФГБОУ ВО Финансового университета при Правительстве РФ</w:t>
      </w:r>
    </w:p>
    <w:p w14:paraId="2295AC2A"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г. Краснодар, Россия</w:t>
      </w:r>
    </w:p>
    <w:p w14:paraId="62FA9E66" w14:textId="77777777" w:rsidR="00877DE5" w:rsidRPr="00877DE5" w:rsidRDefault="00877DE5" w:rsidP="00067100">
      <w:pPr>
        <w:spacing w:after="0" w:line="240" w:lineRule="auto"/>
        <w:ind w:firstLine="709"/>
        <w:jc w:val="right"/>
        <w:textAlignment w:val="baseline"/>
        <w:rPr>
          <w:rFonts w:ascii="Times New Roman" w:eastAsia="Times New Roman" w:hAnsi="Times New Roman" w:cs="Times New Roman"/>
          <w:i/>
          <w:sz w:val="21"/>
          <w:szCs w:val="21"/>
          <w:lang w:val="x-none" w:eastAsia="ru-RU"/>
        </w:rPr>
      </w:pPr>
      <w:r w:rsidRPr="00877DE5">
        <w:rPr>
          <w:rFonts w:ascii="Times New Roman" w:eastAsia="Times New Roman" w:hAnsi="Times New Roman" w:cs="Times New Roman"/>
          <w:i/>
          <w:sz w:val="21"/>
          <w:szCs w:val="21"/>
          <w:lang w:eastAsia="ru-RU"/>
        </w:rPr>
        <w:t>е-</w:t>
      </w:r>
      <w:r w:rsidRPr="00877DE5">
        <w:rPr>
          <w:rFonts w:ascii="Times New Roman" w:eastAsia="Times New Roman" w:hAnsi="Times New Roman" w:cs="Times New Roman"/>
          <w:i/>
          <w:sz w:val="21"/>
          <w:szCs w:val="21"/>
          <w:lang w:val="en-US" w:eastAsia="ru-RU"/>
        </w:rPr>
        <w:t>mail</w:t>
      </w:r>
      <w:r w:rsidRPr="00877DE5">
        <w:rPr>
          <w:rFonts w:ascii="Times New Roman" w:eastAsia="Times New Roman" w:hAnsi="Times New Roman" w:cs="Times New Roman"/>
          <w:i/>
          <w:sz w:val="21"/>
          <w:szCs w:val="21"/>
          <w:lang w:eastAsia="ru-RU"/>
        </w:rPr>
        <w:t xml:space="preserve">: </w:t>
      </w:r>
      <w:hyperlink r:id="rId230" w:history="1">
        <w:r w:rsidRPr="00877DE5">
          <w:rPr>
            <w:rFonts w:ascii="Times New Roman" w:eastAsia="Times New Roman" w:hAnsi="Times New Roman" w:cs="Times New Roman"/>
            <w:color w:val="467886"/>
            <w:sz w:val="21"/>
            <w:szCs w:val="21"/>
            <w:u w:val="single"/>
            <w:lang w:val="en-US" w:eastAsia="ru-RU"/>
          </w:rPr>
          <w:t>mvradchenko</w:t>
        </w:r>
        <w:r w:rsidRPr="00877DE5">
          <w:rPr>
            <w:rFonts w:ascii="Times New Roman" w:eastAsia="Times New Roman" w:hAnsi="Times New Roman" w:cs="Times New Roman"/>
            <w:color w:val="467886"/>
            <w:sz w:val="21"/>
            <w:szCs w:val="21"/>
            <w:u w:val="single"/>
            <w:lang w:val="x-none" w:eastAsia="ru-RU"/>
          </w:rPr>
          <w:t>@</w:t>
        </w:r>
        <w:r w:rsidRPr="00877DE5">
          <w:rPr>
            <w:rFonts w:ascii="Times New Roman" w:eastAsia="Times New Roman" w:hAnsi="Times New Roman" w:cs="Times New Roman"/>
            <w:color w:val="467886"/>
            <w:sz w:val="21"/>
            <w:szCs w:val="21"/>
            <w:u w:val="single"/>
            <w:lang w:val="en-US" w:eastAsia="ru-RU"/>
          </w:rPr>
          <w:t>fa</w:t>
        </w:r>
        <w:r w:rsidRPr="00877DE5">
          <w:rPr>
            <w:rFonts w:ascii="Times New Roman" w:eastAsia="Times New Roman" w:hAnsi="Times New Roman" w:cs="Times New Roman"/>
            <w:color w:val="467886"/>
            <w:sz w:val="21"/>
            <w:szCs w:val="21"/>
            <w:u w:val="single"/>
            <w:lang w:val="x-none" w:eastAsia="ru-RU"/>
          </w:rPr>
          <w:t>.ru</w:t>
        </w:r>
      </w:hyperlink>
    </w:p>
    <w:p w14:paraId="439B9269"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eastAsia="ru-RU"/>
        </w:rPr>
      </w:pPr>
    </w:p>
    <w:p w14:paraId="424C9A70" w14:textId="77777777" w:rsidR="00877DE5" w:rsidRPr="00877DE5" w:rsidRDefault="00877DE5" w:rsidP="00067100">
      <w:pPr>
        <w:spacing w:after="0" w:line="240" w:lineRule="auto"/>
        <w:ind w:firstLine="709"/>
        <w:jc w:val="center"/>
        <w:rPr>
          <w:rFonts w:ascii="Times New Roman" w:eastAsia="Aptos" w:hAnsi="Times New Roman" w:cs="Times New Roman"/>
          <w:b/>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Налоговое стимулирование развития фондового рынка</w:t>
      </w:r>
    </w:p>
    <w:p w14:paraId="0FCDA1CB" w14:textId="77777777" w:rsidR="00877DE5" w:rsidRPr="00877DE5" w:rsidRDefault="00877DE5" w:rsidP="00067100">
      <w:pPr>
        <w:spacing w:after="0" w:line="240" w:lineRule="auto"/>
        <w:ind w:firstLine="709"/>
        <w:jc w:val="both"/>
        <w:rPr>
          <w:rFonts w:ascii="Times New Roman" w:eastAsia="Aptos" w:hAnsi="Times New Roman" w:cs="Times New Roman"/>
          <w:i/>
          <w:kern w:val="2"/>
          <w:sz w:val="21"/>
          <w:szCs w:val="21"/>
          <w:shd w:val="clear" w:color="auto" w:fill="00FFFF"/>
          <w14:ligatures w14:val="standardContextual"/>
        </w:rPr>
      </w:pPr>
    </w:p>
    <w:p w14:paraId="5EC499D3"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Аннотация:</w:t>
      </w:r>
      <w:r w:rsidRPr="00877DE5">
        <w:rPr>
          <w:rFonts w:ascii="Times New Roman" w:eastAsia="Aptos" w:hAnsi="Times New Roman" w:cs="Times New Roman"/>
          <w:i/>
          <w:kern w:val="2"/>
          <w:sz w:val="21"/>
          <w:szCs w:val="21"/>
          <w14:ligatures w14:val="standardContextual"/>
        </w:rPr>
        <w:t xml:space="preserve"> </w:t>
      </w:r>
      <w:r w:rsidRPr="00877DE5">
        <w:rPr>
          <w:rFonts w:ascii="Times New Roman" w:eastAsia="Aptos" w:hAnsi="Times New Roman" w:cs="Times New Roman"/>
          <w:kern w:val="2"/>
          <w:sz w:val="21"/>
          <w:szCs w:val="21"/>
          <w14:ligatures w14:val="standardContextual"/>
        </w:rPr>
        <w:t>В статье рассматривается роль налогового стимулирования как инструмента государственной поддержки развития фондового рынка России. Проанализированы действующие налоговые механизмы, влияющие на инвестиционную активность. На основе аналитических данных сделан вывод о необходимости совершенствования налоговой политики для устойчивого роста фондового рынка.</w:t>
      </w:r>
    </w:p>
    <w:p w14:paraId="374E0C85"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Ключевые слова:</w:t>
      </w:r>
      <w:r w:rsidRPr="00877DE5">
        <w:rPr>
          <w:rFonts w:ascii="Times New Roman" w:eastAsia="Aptos" w:hAnsi="Times New Roman" w:cs="Times New Roman"/>
          <w:kern w:val="2"/>
          <w:sz w:val="21"/>
          <w:szCs w:val="21"/>
          <w14:ligatures w14:val="standardContextual"/>
        </w:rPr>
        <w:t xml:space="preserve"> фондовый рынок, налогообложение, налоговое стимулирование, инвесторы, налоговый вычет, НДФЛ, налоговые льготы.</w:t>
      </w:r>
    </w:p>
    <w:p w14:paraId="48430E20"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Kukosh D.M.,</w:t>
      </w:r>
    </w:p>
    <w:p w14:paraId="4F81CA39"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i/>
          <w:kern w:val="2"/>
          <w:sz w:val="21"/>
          <w:szCs w:val="21"/>
          <w:lang w:val="en-US"/>
          <w14:ligatures w14:val="standardContextual"/>
        </w:rPr>
        <w:t>1st course student</w:t>
      </w:r>
      <w:r w:rsidRPr="00877DE5">
        <w:rPr>
          <w:rFonts w:ascii="Times New Roman" w:eastAsia="Aptos" w:hAnsi="Times New Roman" w:cs="Times New Roman"/>
          <w:b/>
          <w:i/>
          <w:kern w:val="2"/>
          <w:sz w:val="21"/>
          <w:szCs w:val="21"/>
          <w:lang w:val="en-US"/>
          <w14:ligatures w14:val="standardContextual"/>
        </w:rPr>
        <w:t xml:space="preserve"> </w:t>
      </w:r>
    </w:p>
    <w:p w14:paraId="4137DC6D"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x-none" w:eastAsia="ru-RU"/>
        </w:rPr>
      </w:pPr>
      <w:r w:rsidRPr="00877DE5">
        <w:rPr>
          <w:rFonts w:ascii="Times New Roman" w:eastAsia="Times New Roman" w:hAnsi="Times New Roman" w:cs="Times New Roman"/>
          <w:i/>
          <w:sz w:val="21"/>
          <w:szCs w:val="21"/>
          <w:lang w:val="x-none" w:eastAsia="ru-RU"/>
        </w:rPr>
        <w:t>Financial University under the Government of the Russian Federation, Krasnodar Branch</w:t>
      </w:r>
    </w:p>
    <w:p w14:paraId="171014C5"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x-none" w:eastAsia="ru-RU"/>
        </w:rPr>
        <w:t>Krasnodar, Russi</w:t>
      </w:r>
      <w:r w:rsidRPr="00877DE5">
        <w:rPr>
          <w:rFonts w:ascii="Times New Roman" w:eastAsia="Times New Roman" w:hAnsi="Times New Roman" w:cs="Times New Roman"/>
          <w:i/>
          <w:sz w:val="21"/>
          <w:szCs w:val="21"/>
          <w:lang w:val="en-US" w:eastAsia="ru-RU"/>
        </w:rPr>
        <w:t>a</w:t>
      </w:r>
    </w:p>
    <w:p w14:paraId="5EF994DE"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r w:rsidRPr="00877DE5">
        <w:rPr>
          <w:rFonts w:ascii="Times New Roman" w:eastAsia="Aptos" w:hAnsi="Times New Roman" w:cs="Times New Roman"/>
          <w:i/>
          <w:kern w:val="2"/>
          <w:sz w:val="21"/>
          <w:szCs w:val="21"/>
          <w14:ligatures w14:val="standardContextual"/>
        </w:rPr>
        <w:t>е</w:t>
      </w:r>
      <w:r w:rsidRPr="00877DE5">
        <w:rPr>
          <w:rFonts w:ascii="Times New Roman" w:eastAsia="Aptos" w:hAnsi="Times New Roman" w:cs="Times New Roman"/>
          <w:i/>
          <w:kern w:val="2"/>
          <w:sz w:val="21"/>
          <w:szCs w:val="21"/>
          <w:lang w:val="en-US"/>
          <w14:ligatures w14:val="standardContextual"/>
        </w:rPr>
        <w:t xml:space="preserve">-mail: </w:t>
      </w:r>
      <w:hyperlink r:id="rId231" w:history="1">
        <w:r w:rsidRPr="00877DE5">
          <w:rPr>
            <w:rFonts w:ascii="Times New Roman" w:eastAsia="Aptos" w:hAnsi="Times New Roman" w:cs="Times New Roman"/>
            <w:color w:val="467886"/>
            <w:kern w:val="2"/>
            <w:sz w:val="21"/>
            <w:szCs w:val="21"/>
            <w:u w:val="single"/>
            <w:lang w:val="en-US"/>
            <w14:ligatures w14:val="standardContextual"/>
          </w:rPr>
          <w:t>koxdanil@yandex.ru</w:t>
        </w:r>
      </w:hyperlink>
      <w:r w:rsidRPr="00877DE5">
        <w:rPr>
          <w:rFonts w:ascii="Times New Roman" w:eastAsia="Aptos" w:hAnsi="Times New Roman" w:cs="Times New Roman"/>
          <w:i/>
          <w:kern w:val="2"/>
          <w:sz w:val="21"/>
          <w:szCs w:val="21"/>
          <w:lang w:val="en-US"/>
          <w14:ligatures w14:val="standardContextual"/>
        </w:rPr>
        <w:t xml:space="preserve"> </w:t>
      </w:r>
    </w:p>
    <w:p w14:paraId="27D0F78B"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p>
    <w:p w14:paraId="16B562BF"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4799E54B"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 xml:space="preserve">Radchenko M.V., </w:t>
      </w:r>
    </w:p>
    <w:p w14:paraId="75FE5904"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4"/>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39A9E870" w14:textId="77777777" w:rsidR="00877DE5" w:rsidRPr="00877DE5" w:rsidRDefault="00877DE5" w:rsidP="00067100">
      <w:pPr>
        <w:spacing w:after="0" w:line="240" w:lineRule="auto"/>
        <w:ind w:firstLine="709"/>
        <w:jc w:val="right"/>
        <w:textAlignment w:val="baseline"/>
        <w:rPr>
          <w:rFonts w:ascii="Times New Roman" w:eastAsia="Times New Roman" w:hAnsi="Times New Roman" w:cs="Times New Roman"/>
          <w:i/>
          <w:sz w:val="21"/>
          <w:szCs w:val="21"/>
          <w:lang w:val="x-none" w:eastAsia="ru-RU"/>
        </w:rPr>
      </w:pPr>
      <w:r w:rsidRPr="00877DE5">
        <w:rPr>
          <w:rFonts w:ascii="Times New Roman" w:eastAsia="Times New Roman" w:hAnsi="Times New Roman" w:cs="Times New Roman"/>
          <w:i/>
          <w:sz w:val="21"/>
          <w:szCs w:val="21"/>
          <w:lang w:val="x-none" w:eastAsia="ru-RU"/>
        </w:rPr>
        <w:t>Financial University under the Government of the Russian Federation, Krasnodar Branch</w:t>
      </w:r>
    </w:p>
    <w:p w14:paraId="4646DF70" w14:textId="77777777" w:rsidR="00877DE5" w:rsidRPr="00877DE5" w:rsidRDefault="00877DE5" w:rsidP="00067100">
      <w:pPr>
        <w:spacing w:after="0" w:line="240" w:lineRule="auto"/>
        <w:ind w:firstLine="709"/>
        <w:jc w:val="right"/>
        <w:textAlignment w:val="baseline"/>
        <w:rPr>
          <w:rFonts w:ascii="Times New Roman" w:eastAsia="Times New Roman" w:hAnsi="Times New Roman" w:cs="Times New Roman"/>
          <w:i/>
          <w:sz w:val="21"/>
          <w:szCs w:val="21"/>
          <w:lang w:val="x-none" w:eastAsia="ru-RU"/>
        </w:rPr>
      </w:pPr>
      <w:r w:rsidRPr="00877DE5">
        <w:rPr>
          <w:rFonts w:ascii="Times New Roman" w:eastAsia="Times New Roman" w:hAnsi="Times New Roman" w:cs="Times New Roman"/>
          <w:i/>
          <w:sz w:val="21"/>
          <w:szCs w:val="21"/>
          <w:lang w:val="x-none" w:eastAsia="ru-RU"/>
        </w:rPr>
        <w:t>Krasnodar, Russia</w:t>
      </w:r>
    </w:p>
    <w:p w14:paraId="27F6A1DB" w14:textId="77777777" w:rsidR="00877DE5" w:rsidRPr="00877DE5" w:rsidRDefault="00877DE5" w:rsidP="00067100">
      <w:pPr>
        <w:spacing w:after="0" w:line="240" w:lineRule="auto"/>
        <w:ind w:firstLine="709"/>
        <w:jc w:val="right"/>
        <w:textAlignment w:val="baseline"/>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eastAsia="ru-RU"/>
        </w:rPr>
        <w:lastRenderedPageBreak/>
        <w:t>е</w:t>
      </w:r>
      <w:r w:rsidRPr="00877DE5">
        <w:rPr>
          <w:rFonts w:ascii="Times New Roman" w:eastAsia="Times New Roman" w:hAnsi="Times New Roman" w:cs="Times New Roman"/>
          <w:i/>
          <w:sz w:val="21"/>
          <w:szCs w:val="21"/>
          <w:lang w:val="en-US" w:eastAsia="ru-RU"/>
        </w:rPr>
        <w:t xml:space="preserve">-mail: </w:t>
      </w:r>
      <w:hyperlink r:id="rId232" w:history="1">
        <w:r w:rsidRPr="00877DE5">
          <w:rPr>
            <w:rFonts w:ascii="Times New Roman" w:eastAsia="Times New Roman" w:hAnsi="Times New Roman" w:cs="Times New Roman"/>
            <w:color w:val="467886"/>
            <w:sz w:val="21"/>
            <w:szCs w:val="21"/>
            <w:u w:val="single"/>
            <w:lang w:val="en-US" w:eastAsia="ru-RU"/>
          </w:rPr>
          <w:t>mvradchenko</w:t>
        </w:r>
        <w:r w:rsidRPr="00877DE5">
          <w:rPr>
            <w:rFonts w:ascii="Times New Roman" w:eastAsia="Times New Roman" w:hAnsi="Times New Roman" w:cs="Times New Roman"/>
            <w:color w:val="467886"/>
            <w:sz w:val="21"/>
            <w:szCs w:val="21"/>
            <w:u w:val="single"/>
            <w:lang w:val="x-none" w:eastAsia="ru-RU"/>
          </w:rPr>
          <w:t>@</w:t>
        </w:r>
        <w:r w:rsidRPr="00877DE5">
          <w:rPr>
            <w:rFonts w:ascii="Times New Roman" w:eastAsia="Times New Roman" w:hAnsi="Times New Roman" w:cs="Times New Roman"/>
            <w:color w:val="467886"/>
            <w:sz w:val="21"/>
            <w:szCs w:val="21"/>
            <w:u w:val="single"/>
            <w:lang w:val="en-US" w:eastAsia="ru-RU"/>
          </w:rPr>
          <w:t>fa</w:t>
        </w:r>
        <w:r w:rsidRPr="00877DE5">
          <w:rPr>
            <w:rFonts w:ascii="Times New Roman" w:eastAsia="Times New Roman" w:hAnsi="Times New Roman" w:cs="Times New Roman"/>
            <w:color w:val="467886"/>
            <w:sz w:val="21"/>
            <w:szCs w:val="21"/>
            <w:u w:val="single"/>
            <w:lang w:val="x-none" w:eastAsia="ru-RU"/>
          </w:rPr>
          <w:t>.ru</w:t>
        </w:r>
      </w:hyperlink>
    </w:p>
    <w:p w14:paraId="3BAC240D"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p>
    <w:p w14:paraId="55EFEA3A"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val="en-US" w:eastAsia="ru-RU"/>
        </w:rPr>
      </w:pPr>
      <w:r w:rsidRPr="00877DE5">
        <w:rPr>
          <w:rFonts w:ascii="Times New Roman" w:eastAsia="Times New Roman" w:hAnsi="Times New Roman" w:cs="Times New Roman"/>
          <w:b/>
          <w:sz w:val="21"/>
          <w:szCs w:val="21"/>
          <w:lang w:val="en-US" w:eastAsia="ru-RU"/>
        </w:rPr>
        <w:t>Tax incentives for the development of the stock market</w:t>
      </w:r>
    </w:p>
    <w:p w14:paraId="6FF9954C" w14:textId="77777777" w:rsidR="00877DE5" w:rsidRPr="00877DE5" w:rsidRDefault="00877DE5" w:rsidP="00067100">
      <w:pPr>
        <w:spacing w:after="0" w:line="240" w:lineRule="auto"/>
        <w:ind w:firstLine="709"/>
        <w:jc w:val="both"/>
        <w:rPr>
          <w:rFonts w:ascii="Times New Roman" w:eastAsia="Times New Roman" w:hAnsi="Times New Roman" w:cs="Times New Roman"/>
          <w:b/>
          <w:bCs/>
          <w:sz w:val="21"/>
          <w:szCs w:val="21"/>
          <w:shd w:val="clear" w:color="auto" w:fill="FFFFFF"/>
          <w:lang w:val="x-none" w:eastAsia="ru-RU"/>
        </w:rPr>
      </w:pPr>
    </w:p>
    <w:p w14:paraId="54E189D5"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lang w:val="en-US" w:eastAsia="ru-RU"/>
        </w:rPr>
      </w:pPr>
      <w:r w:rsidRPr="00877DE5">
        <w:rPr>
          <w:rFonts w:ascii="Times New Roman" w:eastAsia="Times New Roman" w:hAnsi="Times New Roman" w:cs="Times New Roman"/>
          <w:b/>
          <w:bCs/>
          <w:sz w:val="21"/>
          <w:szCs w:val="21"/>
          <w:shd w:val="clear" w:color="auto" w:fill="FFFFFF"/>
          <w:lang w:val="x-none" w:eastAsia="ru-RU"/>
        </w:rPr>
        <w:t>Abstract</w:t>
      </w:r>
      <w:r w:rsidRPr="00877DE5">
        <w:rPr>
          <w:rFonts w:ascii="Times New Roman" w:eastAsia="Times New Roman" w:hAnsi="Times New Roman" w:cs="Times New Roman"/>
          <w:b/>
          <w:bCs/>
          <w:sz w:val="21"/>
          <w:szCs w:val="21"/>
          <w:shd w:val="clear" w:color="auto" w:fill="FFFFFF"/>
          <w:lang w:val="en-US" w:eastAsia="ru-RU"/>
        </w:rPr>
        <w:t xml:space="preserve">: </w:t>
      </w:r>
      <w:r w:rsidRPr="00877DE5">
        <w:rPr>
          <w:rFonts w:ascii="Times New Roman" w:eastAsia="Times New Roman" w:hAnsi="Times New Roman" w:cs="Times New Roman"/>
          <w:sz w:val="21"/>
          <w:szCs w:val="21"/>
          <w:lang w:val="en-US" w:eastAsia="ru-RU"/>
        </w:rPr>
        <w:t>The article examines the role of tax incentives as a tool of state support for the development of the Russian stock market. The current tax mechanisms affecting investment activity are analyzed. Based on analytical data, a conclusion is made about the need to improve tax policy for sustainable stock market growth.</w:t>
      </w:r>
    </w:p>
    <w:p w14:paraId="6B7188B8" w14:textId="77777777" w:rsidR="00877DE5" w:rsidRPr="00877DE5" w:rsidRDefault="00877DE5" w:rsidP="00067100">
      <w:pPr>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ru-RU"/>
        </w:rPr>
      </w:pPr>
      <w:r w:rsidRPr="00877DE5">
        <w:rPr>
          <w:rFonts w:ascii="Times New Roman" w:eastAsia="Times New Roman" w:hAnsi="Times New Roman" w:cs="Times New Roman"/>
          <w:b/>
          <w:bCs/>
          <w:color w:val="000000"/>
          <w:sz w:val="21"/>
          <w:szCs w:val="21"/>
          <w:shd w:val="clear" w:color="auto" w:fill="FFFFFF"/>
          <w:lang w:val="x-none" w:eastAsia="ru-RU"/>
        </w:rPr>
        <w:t>Keywords</w:t>
      </w:r>
      <w:r w:rsidRPr="00877DE5">
        <w:rPr>
          <w:rFonts w:ascii="Times New Roman" w:eastAsia="Times New Roman" w:hAnsi="Times New Roman" w:cs="Times New Roman"/>
          <w:b/>
          <w:bCs/>
          <w:color w:val="000000"/>
          <w:sz w:val="21"/>
          <w:szCs w:val="21"/>
          <w:shd w:val="clear" w:color="auto" w:fill="FFFFFF"/>
          <w:lang w:val="en-US" w:eastAsia="ru-RU"/>
        </w:rPr>
        <w:t>:</w:t>
      </w:r>
      <w:r w:rsidRPr="00877DE5">
        <w:rPr>
          <w:rFonts w:ascii="Times New Roman" w:eastAsia="Times New Roman" w:hAnsi="Times New Roman" w:cs="Times New Roman"/>
          <w:bCs/>
          <w:color w:val="000000"/>
          <w:sz w:val="21"/>
          <w:szCs w:val="21"/>
          <w:shd w:val="clear" w:color="auto" w:fill="FFFFFF"/>
          <w:lang w:val="en-US" w:eastAsia="ru-RU"/>
        </w:rPr>
        <w:t xml:space="preserve"> stock market, taxation, tax incentives, investors, tax deduction, personal income tax, tax benefits.</w:t>
      </w:r>
    </w:p>
    <w:p w14:paraId="7D96DA9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val="en-US"/>
          <w14:ligatures w14:val="standardContextual"/>
        </w:rPr>
      </w:pPr>
    </w:p>
    <w:p w14:paraId="1F4D252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Фондовый рынок является ключевым элементом финансовой системы, выполняющим функции не только накопления временно свободных денежных ресурсов, но и их эффективного перераспределения между различными секторами экономики. Он способствует росту ликвидности активов и созданию благоприятных условий для долгосрочного вложения капитала. Его развитие напрямую зависит от проводимой государством экономической политики, включая налоговое регулирование [3, с. 78–80]. В целях активизации фондового сегмента финансового рынка органы государственной власти применяют различные налоговые инструменты, направленные на стимулирование инвестиционной активности, расширение круга участников и увеличение притока капитала.</w:t>
      </w:r>
    </w:p>
    <w:p w14:paraId="6D982A7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Основные формы налогового стимулирования фондового рынка:</w:t>
      </w:r>
    </w:p>
    <w:p w14:paraId="01A18EB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1. Предоставление налоговых преимуществ инвесторам:</w:t>
      </w:r>
    </w:p>
    <w:p w14:paraId="2DEBDB2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снижение налоговой нагрузки на инвестиционные доходы физических лиц;</w:t>
      </w:r>
    </w:p>
    <w:p w14:paraId="4C43C34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налоговые льготы для пенсионных и страховых фондов.</w:t>
      </w:r>
    </w:p>
    <w:p w14:paraId="5EA8860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2. Поддержка выхода компаний на рынок ценных бумаг:</w:t>
      </w:r>
    </w:p>
    <w:p w14:paraId="02299D7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фискальные стимулы для эмитентов;</w:t>
      </w:r>
    </w:p>
    <w:p w14:paraId="118BCF6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снижение налогов для компаний, выходящих на международные площадки.</w:t>
      </w:r>
    </w:p>
    <w:p w14:paraId="3BA07A1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3. Упрощение налогообложения фондовых операций:</w:t>
      </w:r>
    </w:p>
    <w:p w14:paraId="16787C6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облегчение налогового режима для профессиональных участников рынка;</w:t>
      </w:r>
    </w:p>
    <w:p w14:paraId="2749502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дифференциация налогообложения по срокам владения активами.</w:t>
      </w:r>
    </w:p>
    <w:p w14:paraId="42951F7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4. Стимулирование вложений в инновационные и технологические проекты:</w:t>
      </w:r>
    </w:p>
    <w:p w14:paraId="6DE4172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поощрение инвестирования в стартапы и высокотехнологичные компании [4, с. 84].</w:t>
      </w:r>
    </w:p>
    <w:p w14:paraId="6258281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lastRenderedPageBreak/>
        <w:t>В российской экономике с целью стимулирования инвестиционной активности инвесторов государство предоставляет ряд налоговых стимулов, позволяющих сократить налоговую нагрузку или полностью освободить отдельные виды доходов от налогообложения.</w:t>
      </w:r>
    </w:p>
    <w:p w14:paraId="6B07427D"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Основные налоговые льготы для инвесторов включают: </w:t>
      </w:r>
    </w:p>
    <w:p w14:paraId="108E957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льгота долгосрочного владения ценными бумагами;</w:t>
      </w:r>
    </w:p>
    <w:p w14:paraId="4908F15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льгота на долгосрочное владение ценными бумагами высокотехнологичного сектора;</w:t>
      </w:r>
    </w:p>
    <w:p w14:paraId="771F5AC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отмена «валютной переоценки» по еврооблигациям;</w:t>
      </w:r>
    </w:p>
    <w:p w14:paraId="08EADC77"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избежание двойного налогообложения дивидендов.</w:t>
      </w:r>
    </w:p>
    <w:p w14:paraId="3518760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Доступные налоговые вычеты: </w:t>
      </w:r>
    </w:p>
    <w:p w14:paraId="0675D31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 уменьшение облагаемой прибыли на сумму убытков;  </w:t>
      </w:r>
    </w:p>
    <w:p w14:paraId="7130420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инвестиционный вычет, предусмотренный для владельцев ИИС.</w:t>
      </w:r>
    </w:p>
    <w:p w14:paraId="63618EC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Среди основных форм налоговых преференций можно выделить следующее:</w:t>
      </w:r>
    </w:p>
    <w:p w14:paraId="30AF8E43"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1. Льгота на долгосрочное владение финансовыми активами. Согласно пункту 1 статьи 219.1 Налогового кодекса Российской Федерации, налогоплательщик имеет право воспользоваться вычетом при продаже ценных бумаг, находившихся в его собственности более трёх лет и обращающихся на организованном рынке. Лимит налогового вычета — до 3 млн рублей за каждый полный год владения.</w:t>
      </w:r>
    </w:p>
    <w:p w14:paraId="59F160A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Кроме того, в случае владения акциями, включая иностранные, свыше пяти лет, полученный доход может быть полностью освобождён от НДФЛ при соблюдении условий, изложенных в статьях 217.1 и 284.2 НК РФ. Однако с 1 января 2025 года вступают в силу ограничения: льгота не применяется при доходе свыше 50 млн рублей, а также отменяется для иностранных эмитентов, за исключением организаций, зарегистрированных в ЕАЭС [1].</w:t>
      </w:r>
    </w:p>
    <w:p w14:paraId="1C14D47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2. Инвестирование в высокотехнологичный сектор. В случае вложений в ценные бумаги компаний, входящих в перечень высокотехнологичных (инновационных), допускается полное освобождение от уплаты НДФЛ или налога на прибыль организаций, при условии, что срок владения акциями превышает один год. Для бумаг, реализуемых после 2027 года, минимальный срок владения увеличится до пяти лет.</w:t>
      </w:r>
    </w:p>
    <w:p w14:paraId="6628644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3. Операции с еврооблигациями. При реализации еврооблигаций в иностранной валюте налогооблагаемая база ранее формировалась с учётом курса рубля, установленного Банком России. Это приводило к </w:t>
      </w:r>
      <w:r w:rsidRPr="00877DE5">
        <w:rPr>
          <w:rFonts w:ascii="Times New Roman" w:eastAsia="Times New Roman" w:hAnsi="Times New Roman" w:cs="Times New Roman"/>
          <w:kern w:val="2"/>
          <w:sz w:val="32"/>
          <w:szCs w:val="32"/>
          <w14:ligatures w14:val="standardContextual"/>
        </w:rPr>
        <w:lastRenderedPageBreak/>
        <w:t>ситуациям, когда убыток в иностранной валюте превращался в налогооблагаемый доход из-за роста курса рубля. Действующая льгота устраняет необходимость уплаты НДФЛ в части дохода, сформированного исключительно за счёт изменения валютного курса. Она распространяется только на физических лиц и действует при расчётах в валюте, но не применяется, если еврооблигации приобретались и продавались за рубли. Исключение составляют случаи, когда выпуск бондов предусматривает рублёвые расчёты с учётом валютной номинации.</w:t>
      </w:r>
    </w:p>
    <w:p w14:paraId="369BB95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4. Избежание двойного налогообложения. Российские частные инвесторы имеют право зачесть или полностью исключить налог на дивиденды, если выплаты уже были обложены налогом в другой стране, с которой у России заключено соглашение об избежании двойного налогообложения (на сегодняшний день их 84). В случае, если за рубежом удержанный налог меньше 13%, инвестору необходимо уплатить разницу в РФ. Если же удержанная сумма превышает российскую ставку, доплата не требуется, однако декларирование дохода в форме 3-НДФЛ остаётся обязательным [5].</w:t>
      </w:r>
    </w:p>
    <w:p w14:paraId="0F22AF6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К числу дополнительных налоговых послаблений относятся:</w:t>
      </w:r>
    </w:p>
    <w:p w14:paraId="40B0BA7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1. Убытки от операций с ценными бумагами. В соответствии с действующим законодательством, возможен перенос инвестиционных убытков на будущие налоговые периоды сроком до 10 лет. Это позволяет инвестору сократить налогооблагаемую базу за счёт предыдущих финансовых потерь. Перенос распространяется на бумаги, котирующиеся на организованных площадках. Для получения вычета необходимо подать налоговую декларацию. При этом прибыли и убытки по всем брокерским счетам (кроме ИИС) учитываются суммарно [1].</w:t>
      </w:r>
    </w:p>
    <w:p w14:paraId="56EF621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2. Индивидуальный инвестиционный счёт (ИИС). Это специальный инструмент, аналогичный брокерскому счёту, но предоставляющий держателю право на получение налоговых льгот при соблюдении установленных условий. Например, досрочное изъятие средств без утраты права на вычеты запрещено, за исключением отдельных случаев. </w:t>
      </w:r>
    </w:p>
    <w:p w14:paraId="38920E67"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До конца 2023 года частным инвесторам были доступны ИИС двух типов А и Б. Такие счета продолжают действовать, однако, в соответствии с действующим законодательством, после 1 января 2024 года возможно открыть только новый ИИС, третьего типа. В таблице 1 представлены различия типов ИИС.</w:t>
      </w:r>
    </w:p>
    <w:p w14:paraId="563F524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lastRenderedPageBreak/>
        <w:t xml:space="preserve">Стоит отметить, что для владельцев ИИС предусмотрены вычеты [5]: </w:t>
      </w:r>
    </w:p>
    <w:p w14:paraId="5644EF0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налоговый вычет на сумму пополнения — до 400 тысяч рублей в год (пп. 3 п. 1 ст. 219.2 НК РФ), если ежегодно вносить на счёт до 400 т. р., можно получить до 52 т. р. при оплате НДФЛ по ставке 13% или до 60 т. р., если ставка 15%, но не более суммы уплаченного НДФЛ. В эту сумму входят и отчисления в НПФ.</w:t>
      </w:r>
    </w:p>
    <w:p w14:paraId="2D92829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налоговый вычет на доход по операциям – освобождение от налогообложения инвестиционного дохода (для ИСС типа А и Б – без ограничений, для ИИС-3 – до 30 млн. руб) (пп. 4 п. 1 ст. 219.2 НК РФ).</w:t>
      </w:r>
    </w:p>
    <w:p w14:paraId="68A974CF" w14:textId="77777777" w:rsidR="00877DE5" w:rsidRPr="00877DE5" w:rsidRDefault="00877DE5" w:rsidP="006B21EF">
      <w:pPr>
        <w:spacing w:after="0" w:line="240" w:lineRule="auto"/>
        <w:ind w:firstLine="708"/>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Таблица 1 – Сравнительный анализ типов ИИС</w:t>
      </w:r>
    </w:p>
    <w:tbl>
      <w:tblPr>
        <w:tblStyle w:val="15"/>
        <w:tblW w:w="0" w:type="auto"/>
        <w:tblLook w:val="04A0" w:firstRow="1" w:lastRow="0" w:firstColumn="1" w:lastColumn="0" w:noHBand="0" w:noVBand="1"/>
      </w:tblPr>
      <w:tblGrid>
        <w:gridCol w:w="2122"/>
        <w:gridCol w:w="1559"/>
        <w:gridCol w:w="1843"/>
        <w:gridCol w:w="3934"/>
      </w:tblGrid>
      <w:tr w:rsidR="00877DE5" w:rsidRPr="00877DE5" w14:paraId="497011FC" w14:textId="77777777" w:rsidTr="00067100">
        <w:tc>
          <w:tcPr>
            <w:tcW w:w="2122" w:type="dxa"/>
          </w:tcPr>
          <w:p w14:paraId="47F316BF" w14:textId="77777777" w:rsidR="00877DE5" w:rsidRPr="00877DE5" w:rsidRDefault="00877DE5" w:rsidP="006B21EF">
            <w:pPr>
              <w:spacing w:line="278" w:lineRule="auto"/>
              <w:jc w:val="center"/>
              <w:rPr>
                <w:rFonts w:ascii="Times New Roman" w:eastAsia="Times New Roman" w:hAnsi="Times New Roman" w:cs="Times New Roman"/>
              </w:rPr>
            </w:pPr>
            <w:r w:rsidRPr="00877DE5">
              <w:rPr>
                <w:rFonts w:ascii="Times New Roman" w:eastAsia="Times New Roman" w:hAnsi="Times New Roman" w:cs="Times New Roman"/>
              </w:rPr>
              <w:t>Критерий</w:t>
            </w:r>
          </w:p>
        </w:tc>
        <w:tc>
          <w:tcPr>
            <w:tcW w:w="1559" w:type="dxa"/>
          </w:tcPr>
          <w:p w14:paraId="53BC664B" w14:textId="77777777" w:rsidR="00877DE5" w:rsidRPr="00877DE5" w:rsidRDefault="00877DE5" w:rsidP="006B21EF">
            <w:pPr>
              <w:spacing w:line="278" w:lineRule="auto"/>
              <w:jc w:val="center"/>
              <w:rPr>
                <w:rFonts w:ascii="Times New Roman" w:eastAsia="Times New Roman" w:hAnsi="Times New Roman" w:cs="Times New Roman"/>
              </w:rPr>
            </w:pPr>
            <w:r w:rsidRPr="00877DE5">
              <w:rPr>
                <w:rFonts w:ascii="Times New Roman" w:eastAsia="Times New Roman" w:hAnsi="Times New Roman" w:cs="Times New Roman"/>
              </w:rPr>
              <w:t>ИИС типа А</w:t>
            </w:r>
          </w:p>
        </w:tc>
        <w:tc>
          <w:tcPr>
            <w:tcW w:w="1843" w:type="dxa"/>
          </w:tcPr>
          <w:p w14:paraId="7DAD1AF7" w14:textId="77777777" w:rsidR="00877DE5" w:rsidRPr="00877DE5" w:rsidRDefault="00877DE5" w:rsidP="006B21EF">
            <w:pPr>
              <w:spacing w:line="278" w:lineRule="auto"/>
              <w:jc w:val="center"/>
              <w:rPr>
                <w:rFonts w:ascii="Times New Roman" w:eastAsia="Times New Roman" w:hAnsi="Times New Roman" w:cs="Times New Roman"/>
              </w:rPr>
            </w:pPr>
            <w:r w:rsidRPr="00877DE5">
              <w:rPr>
                <w:rFonts w:ascii="Times New Roman" w:eastAsia="Times New Roman" w:hAnsi="Times New Roman" w:cs="Times New Roman"/>
              </w:rPr>
              <w:t>ИИС типа Б</w:t>
            </w:r>
          </w:p>
        </w:tc>
        <w:tc>
          <w:tcPr>
            <w:tcW w:w="3934" w:type="dxa"/>
          </w:tcPr>
          <w:p w14:paraId="74F0801F" w14:textId="77777777" w:rsidR="00877DE5" w:rsidRPr="00877DE5" w:rsidRDefault="00877DE5" w:rsidP="006B21EF">
            <w:pPr>
              <w:spacing w:line="278" w:lineRule="auto"/>
              <w:jc w:val="center"/>
              <w:rPr>
                <w:rFonts w:ascii="Times New Roman" w:eastAsia="Times New Roman" w:hAnsi="Times New Roman" w:cs="Times New Roman"/>
              </w:rPr>
            </w:pPr>
            <w:r w:rsidRPr="00877DE5">
              <w:rPr>
                <w:rFonts w:ascii="Times New Roman" w:eastAsia="Times New Roman" w:hAnsi="Times New Roman" w:cs="Times New Roman"/>
              </w:rPr>
              <w:t>ИИС-3</w:t>
            </w:r>
          </w:p>
        </w:tc>
      </w:tr>
      <w:tr w:rsidR="00877DE5" w:rsidRPr="00877DE5" w14:paraId="3EE5BFCC" w14:textId="77777777" w:rsidTr="00067100">
        <w:tc>
          <w:tcPr>
            <w:tcW w:w="2122" w:type="dxa"/>
          </w:tcPr>
          <w:p w14:paraId="6B6EB99A"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Налоговый вычет</w:t>
            </w:r>
          </w:p>
        </w:tc>
        <w:tc>
          <w:tcPr>
            <w:tcW w:w="1559" w:type="dxa"/>
          </w:tcPr>
          <w:p w14:paraId="11D3269C"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на сумму пополнения</w:t>
            </w:r>
          </w:p>
        </w:tc>
        <w:tc>
          <w:tcPr>
            <w:tcW w:w="1843" w:type="dxa"/>
          </w:tcPr>
          <w:p w14:paraId="6C7CE43E"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на доход по операциям</w:t>
            </w:r>
          </w:p>
        </w:tc>
        <w:tc>
          <w:tcPr>
            <w:tcW w:w="3934" w:type="dxa"/>
          </w:tcPr>
          <w:p w14:paraId="0E4D19DC"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оба вычета</w:t>
            </w:r>
          </w:p>
        </w:tc>
      </w:tr>
      <w:tr w:rsidR="00877DE5" w:rsidRPr="00877DE5" w14:paraId="397BE42F" w14:textId="77777777" w:rsidTr="00067100">
        <w:tc>
          <w:tcPr>
            <w:tcW w:w="2122" w:type="dxa"/>
          </w:tcPr>
          <w:p w14:paraId="0EFBDBC4"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Сумма полонения</w:t>
            </w:r>
          </w:p>
        </w:tc>
        <w:tc>
          <w:tcPr>
            <w:tcW w:w="1559" w:type="dxa"/>
          </w:tcPr>
          <w:p w14:paraId="6F2A9BD5"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до 1 млн./год</w:t>
            </w:r>
          </w:p>
        </w:tc>
        <w:tc>
          <w:tcPr>
            <w:tcW w:w="1843" w:type="dxa"/>
          </w:tcPr>
          <w:p w14:paraId="50A92BF8"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до 1 млн./год</w:t>
            </w:r>
          </w:p>
        </w:tc>
        <w:tc>
          <w:tcPr>
            <w:tcW w:w="3934" w:type="dxa"/>
          </w:tcPr>
          <w:p w14:paraId="0508B106"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не ограничена</w:t>
            </w:r>
          </w:p>
        </w:tc>
      </w:tr>
      <w:tr w:rsidR="00877DE5" w:rsidRPr="00877DE5" w14:paraId="2B753EA0" w14:textId="77777777" w:rsidTr="00067100">
        <w:tc>
          <w:tcPr>
            <w:tcW w:w="2122" w:type="dxa"/>
          </w:tcPr>
          <w:p w14:paraId="60EDB0F8"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Минимальный срок владения</w:t>
            </w:r>
          </w:p>
        </w:tc>
        <w:tc>
          <w:tcPr>
            <w:tcW w:w="1559" w:type="dxa"/>
          </w:tcPr>
          <w:p w14:paraId="19AB0864"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3 года</w:t>
            </w:r>
          </w:p>
        </w:tc>
        <w:tc>
          <w:tcPr>
            <w:tcW w:w="1843" w:type="dxa"/>
          </w:tcPr>
          <w:p w14:paraId="516DA630"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 xml:space="preserve">3 года </w:t>
            </w:r>
          </w:p>
        </w:tc>
        <w:tc>
          <w:tcPr>
            <w:tcW w:w="3934" w:type="dxa"/>
          </w:tcPr>
          <w:p w14:paraId="768D72AD"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открытых с 2024 по 2026 год, — через 5 лет, далее минимальный срок увеличивается ежегодно на 1 год</w:t>
            </w:r>
          </w:p>
        </w:tc>
      </w:tr>
      <w:tr w:rsidR="00877DE5" w:rsidRPr="00877DE5" w14:paraId="1128BC10" w14:textId="77777777" w:rsidTr="00067100">
        <w:tc>
          <w:tcPr>
            <w:tcW w:w="2122" w:type="dxa"/>
          </w:tcPr>
          <w:p w14:paraId="4BF049A1"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Количество открытых ИСС</w:t>
            </w:r>
          </w:p>
        </w:tc>
        <w:tc>
          <w:tcPr>
            <w:tcW w:w="1559" w:type="dxa"/>
          </w:tcPr>
          <w:p w14:paraId="5C458698"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только один</w:t>
            </w:r>
          </w:p>
        </w:tc>
        <w:tc>
          <w:tcPr>
            <w:tcW w:w="1843" w:type="dxa"/>
          </w:tcPr>
          <w:p w14:paraId="72495EA4"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только один</w:t>
            </w:r>
          </w:p>
        </w:tc>
        <w:tc>
          <w:tcPr>
            <w:tcW w:w="3934" w:type="dxa"/>
          </w:tcPr>
          <w:p w14:paraId="03C0A93A"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до трех</w:t>
            </w:r>
          </w:p>
        </w:tc>
      </w:tr>
      <w:tr w:rsidR="00877DE5" w:rsidRPr="00877DE5" w14:paraId="55625074" w14:textId="77777777" w:rsidTr="00067100">
        <w:tc>
          <w:tcPr>
            <w:tcW w:w="2122" w:type="dxa"/>
          </w:tcPr>
          <w:p w14:paraId="62C368CF"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Частичный вывод средств без потери вычетов</w:t>
            </w:r>
          </w:p>
        </w:tc>
        <w:tc>
          <w:tcPr>
            <w:tcW w:w="1559" w:type="dxa"/>
          </w:tcPr>
          <w:p w14:paraId="7D98B379"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запрещен</w:t>
            </w:r>
          </w:p>
        </w:tc>
        <w:tc>
          <w:tcPr>
            <w:tcW w:w="1843" w:type="dxa"/>
          </w:tcPr>
          <w:p w14:paraId="662A26D6"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запрещен</w:t>
            </w:r>
          </w:p>
        </w:tc>
        <w:tc>
          <w:tcPr>
            <w:tcW w:w="3934" w:type="dxa"/>
          </w:tcPr>
          <w:p w14:paraId="7A20BF92" w14:textId="77777777" w:rsidR="00877DE5" w:rsidRPr="00877DE5" w:rsidRDefault="00877DE5" w:rsidP="006B21EF">
            <w:pPr>
              <w:spacing w:line="278" w:lineRule="auto"/>
              <w:rPr>
                <w:rFonts w:ascii="Times New Roman" w:eastAsia="Times New Roman" w:hAnsi="Times New Roman" w:cs="Times New Roman"/>
              </w:rPr>
            </w:pPr>
            <w:r w:rsidRPr="00877DE5">
              <w:rPr>
                <w:rFonts w:ascii="Times New Roman" w:eastAsia="Times New Roman" w:hAnsi="Times New Roman" w:cs="Times New Roman"/>
              </w:rPr>
              <w:t>допустимо для оплаты дорогостоящего лечения</w:t>
            </w:r>
          </w:p>
        </w:tc>
      </w:tr>
    </w:tbl>
    <w:p w14:paraId="37B55B4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p>
    <w:p w14:paraId="437B137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 xml:space="preserve">Количество ИИС можно считать ключевым показателем оценки влияния налоговой политики на фондовый рынок, поскольку этот инструмент напрямую связан с предоставлением налоговых льгот частным инвесторам и отражает их реакцию на условия, созданные государством для стимулирования инвестиционной активности. </w:t>
      </w:r>
    </w:p>
    <w:p w14:paraId="63A6E5A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В 2024 году произошла значительная трансформация механизма ИИС: был введён новый, третий тип счёта, рассчитанный на долгосрочные инвестиции. Несмотря на более сложную структуру, интерес инвесторов к ИИС существенно вырос — особенно в IV квартале, когда привлекательность биржевых фондов денежного рынка усилилась на фоне высокой ключевой ставки. Количество действующих ИИС достигло 6,1 млн, однако чистый прирост составил лишь 56 тыс., что является минимальным показателем с начала запуска программы в 2015 году. Причина — массовое закрытие ранее открытых счетов.</w:t>
      </w:r>
    </w:p>
    <w:p w14:paraId="14C4B8D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lastRenderedPageBreak/>
        <w:t>Различная динамика наблюдается в отдельных сегментах: так, в брокерской части было зарегистрировано 684 тыс. новых ИИС, одновременно закрыто — 523 тыс.; а в сфере доверительного управления число счетов сокращалось в течение всего года из-за прекращения стандартных инвестиционных стратегий управляющих компаний, что стало невозможным с 2025 года. В результате количество ИИС в ДУ уменьшилось до 259 тыс., достигнув уровня начала 2020 года.</w:t>
      </w:r>
    </w:p>
    <w:p w14:paraId="59F4F2E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highlight w:val="yellow"/>
          <w14:ligatures w14:val="standardContextual"/>
        </w:rPr>
      </w:pPr>
    </w:p>
    <w:p w14:paraId="2516F14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highlight w:val="yellow"/>
          <w14:ligatures w14:val="standardContextual"/>
        </w:rPr>
      </w:pPr>
    </w:p>
    <w:p w14:paraId="7C338343" w14:textId="77777777" w:rsidR="00877DE5" w:rsidRPr="00877DE5" w:rsidRDefault="00877DE5" w:rsidP="00067100">
      <w:pPr>
        <w:spacing w:after="0" w:line="240" w:lineRule="auto"/>
        <w:ind w:firstLine="709"/>
        <w:jc w:val="center"/>
        <w:rPr>
          <w:rFonts w:ascii="Times New Roman" w:eastAsia="Times New Roman" w:hAnsi="Times New Roman" w:cs="Times New Roman"/>
          <w:kern w:val="2"/>
          <w:sz w:val="32"/>
          <w:szCs w:val="32"/>
          <w:highlight w:val="yellow"/>
          <w14:ligatures w14:val="standardContextual"/>
        </w:rPr>
      </w:pPr>
      <w:r w:rsidRPr="00877DE5">
        <w:rPr>
          <w:rFonts w:ascii="Times New Roman" w:eastAsia="Times New Roman" w:hAnsi="Times New Roman" w:cs="Times New Roman"/>
          <w:noProof/>
          <w:kern w:val="2"/>
          <w:sz w:val="24"/>
          <w:szCs w:val="24"/>
          <w:highlight w:val="yellow"/>
          <w:lang w:eastAsia="ru-RU"/>
          <w14:ligatures w14:val="standardContextual"/>
        </w:rPr>
        <w:drawing>
          <wp:inline distT="0" distB="0" distL="0" distR="0" wp14:anchorId="3A15F316" wp14:editId="771B5BF8">
            <wp:extent cx="4404360" cy="1767840"/>
            <wp:effectExtent l="0" t="0" r="15240" b="381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5F3FAA4F" w14:textId="77777777" w:rsidR="00877DE5" w:rsidRPr="00877DE5" w:rsidRDefault="00877DE5" w:rsidP="00067100">
      <w:pPr>
        <w:spacing w:after="0" w:line="240" w:lineRule="auto"/>
        <w:ind w:firstLine="709"/>
        <w:jc w:val="center"/>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Рисунок 1 – Динамика количества ИИС за 2020-2024 гг., млн. ед.</w:t>
      </w:r>
    </w:p>
    <w:p w14:paraId="2875740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p>
    <w:p w14:paraId="3CF1673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Примечательно, что объем чистых вложений на ИИС в 2024 году резко увеличился, достигнув 83 млрд рублей (из них 64 млрд — в IV квартале). Это позволило увеличить совокупный объём активов по ИИС до 595 млрд рублей. Средний размер брокерского ИИС вырос с 83 до 93 тыс. рублей, а если исключить «пустые» и минимально пополненные счета, то он составил 891 тыс. рублей (в 2023 году — 682 тыс.). В то же время, средняя сумма на счётах ИИС в доверительном управлении продолжила снижаться и составила 197 тыс. рублей [2].</w:t>
      </w:r>
    </w:p>
    <w:p w14:paraId="1411A30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r w:rsidRPr="00877DE5">
        <w:rPr>
          <w:rFonts w:ascii="Times New Roman" w:eastAsia="Times New Roman" w:hAnsi="Times New Roman" w:cs="Times New Roman"/>
          <w:kern w:val="2"/>
          <w:sz w:val="32"/>
          <w:szCs w:val="32"/>
          <w14:ligatures w14:val="standardContextual"/>
        </w:rPr>
        <w:t>Проведённый анализ подтверждает, что налоговая политика оказывает значительное влияние на фондовый рынок. Налоговые стимулы, такие как льготы по ИИС и освобождение доходов от долгосрочного владения, играют важную роль в повышении инвестиционной активности. Вместе с тем, замедление роста количества ИИС и сохраняющееся доминирование банковских вкладов указывают на необходимость адаптации налоговой политики к текущим экономическим реалиям.</w:t>
      </w:r>
    </w:p>
    <w:p w14:paraId="03A88C5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14:ligatures w14:val="standardContextual"/>
        </w:rPr>
      </w:pPr>
    </w:p>
    <w:p w14:paraId="741D2ABD" w14:textId="77777777" w:rsidR="00877DE5" w:rsidRPr="00877DE5" w:rsidRDefault="00877DE5" w:rsidP="006B21EF">
      <w:pPr>
        <w:shd w:val="clear" w:color="auto" w:fill="FFFFFF"/>
        <w:suppressAutoHyphens/>
        <w:spacing w:after="0" w:line="240" w:lineRule="auto"/>
        <w:ind w:firstLine="709"/>
        <w:jc w:val="center"/>
        <w:rPr>
          <w:rFonts w:ascii="Times New Roman" w:eastAsia="Aptos" w:hAnsi="Times New Roman" w:cs="Times New Roman"/>
          <w:b/>
          <w:color w:val="000000"/>
          <w:kern w:val="2"/>
          <w:sz w:val="21"/>
          <w:szCs w:val="21"/>
          <w:lang w:val="x-none" w:eastAsia="ar-SA"/>
          <w14:ligatures w14:val="standardContextual"/>
        </w:rPr>
      </w:pPr>
      <w:r w:rsidRPr="00877DE5">
        <w:rPr>
          <w:rFonts w:ascii="Times New Roman" w:eastAsia="Aptos" w:hAnsi="Times New Roman" w:cs="Times New Roman"/>
          <w:b/>
          <w:color w:val="000000"/>
          <w:kern w:val="2"/>
          <w:sz w:val="21"/>
          <w:szCs w:val="21"/>
          <w:lang w:eastAsia="ar-SA"/>
          <w14:ligatures w14:val="standardContextual"/>
        </w:rPr>
        <w:t>Литература:</w:t>
      </w:r>
    </w:p>
    <w:p w14:paraId="1DFD90E5" w14:textId="77777777" w:rsidR="00877DE5" w:rsidRPr="00877DE5" w:rsidRDefault="00877DE5" w:rsidP="00AD58CD">
      <w:pPr>
        <w:numPr>
          <w:ilvl w:val="0"/>
          <w:numId w:val="30"/>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Налоговый кодекс Российской Федерации (часть вторая) от 05.08.2000 № 117-ФЗ (ред. от 28.12.2024, с изм. от 21.01.2025) (с изм. и доп., вступ. в силу с 01.04.2025) [Электронный ресурс: </w:t>
      </w:r>
      <w:hyperlink r:id="rId234" w:tgtFrame="_new" w:history="1">
        <w:r w:rsidRPr="00877DE5">
          <w:rPr>
            <w:rFonts w:ascii="Times New Roman" w:eastAsia="Times New Roman" w:hAnsi="Times New Roman" w:cs="Times New Roman"/>
            <w:sz w:val="21"/>
            <w:szCs w:val="21"/>
            <w:lang w:val="x-none" w:eastAsia="ar-SA"/>
          </w:rPr>
          <w:t>http://www.consultant.ru</w:t>
        </w:r>
      </w:hyperlink>
      <w:r w:rsidRPr="00877DE5">
        <w:rPr>
          <w:rFonts w:ascii="Times New Roman" w:eastAsia="Times New Roman" w:hAnsi="Times New Roman" w:cs="Times New Roman"/>
          <w:sz w:val="21"/>
          <w:szCs w:val="21"/>
          <w:lang w:val="x-none" w:eastAsia="ar-SA"/>
        </w:rPr>
        <w:t xml:space="preserve"> (дата обращения: 12.05.2025)].</w:t>
      </w:r>
    </w:p>
    <w:p w14:paraId="23AC5AF7" w14:textId="77777777" w:rsidR="00877DE5" w:rsidRPr="00877DE5" w:rsidRDefault="00877DE5" w:rsidP="00AD58CD">
      <w:pPr>
        <w:numPr>
          <w:ilvl w:val="0"/>
          <w:numId w:val="30"/>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lastRenderedPageBreak/>
        <w:t xml:space="preserve">Обзор финансового рынка. IV квартал 2024 года // Банк России [Электронный ресурс: </w:t>
      </w:r>
      <w:hyperlink r:id="rId235" w:tgtFrame="_new" w:history="1">
        <w:r w:rsidRPr="00877DE5">
          <w:rPr>
            <w:rFonts w:ascii="Times New Roman" w:eastAsia="Times New Roman" w:hAnsi="Times New Roman" w:cs="Times New Roman"/>
            <w:sz w:val="21"/>
            <w:szCs w:val="21"/>
            <w:lang w:val="x-none" w:eastAsia="ar-SA"/>
          </w:rPr>
          <w:t>https://cbr.ru/analytics/rcb/iis_4q_2024/</w:t>
        </w:r>
      </w:hyperlink>
      <w:r w:rsidRPr="00877DE5">
        <w:rPr>
          <w:rFonts w:ascii="Times New Roman" w:eastAsia="Times New Roman" w:hAnsi="Times New Roman" w:cs="Times New Roman"/>
          <w:sz w:val="21"/>
          <w:szCs w:val="21"/>
          <w:lang w:val="x-none" w:eastAsia="ar-SA"/>
        </w:rPr>
        <w:t xml:space="preserve"> (дата обращения: 12.05.2025)].</w:t>
      </w:r>
    </w:p>
    <w:p w14:paraId="262A6AEE" w14:textId="77777777" w:rsidR="00877DE5" w:rsidRPr="00877DE5" w:rsidRDefault="00877DE5" w:rsidP="00AD58CD">
      <w:pPr>
        <w:numPr>
          <w:ilvl w:val="0"/>
          <w:numId w:val="30"/>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Рынок ценных бумаг: учебник для вузов / под ред. Н. И. Берзона. – 6-е изд., перераб. и доп. – М.: Юрайт, 2025. – 519 с.</w:t>
      </w:r>
    </w:p>
    <w:p w14:paraId="445504F4" w14:textId="77777777" w:rsidR="00877DE5" w:rsidRPr="00877DE5" w:rsidRDefault="00877DE5" w:rsidP="00AD58CD">
      <w:pPr>
        <w:numPr>
          <w:ilvl w:val="0"/>
          <w:numId w:val="30"/>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Кертиев К., Адинова С. Основы налогового стимулирования расширения фондового рынка // Инновационная наука. – 2024. – № 12-2-2. [Электронный ресурс: </w:t>
      </w:r>
      <w:hyperlink r:id="rId236" w:tgtFrame="_new" w:history="1">
        <w:r w:rsidRPr="00877DE5">
          <w:rPr>
            <w:rFonts w:ascii="Times New Roman" w:eastAsia="Times New Roman" w:hAnsi="Times New Roman" w:cs="Times New Roman"/>
            <w:sz w:val="21"/>
            <w:szCs w:val="21"/>
            <w:lang w:val="x-none" w:eastAsia="ar-SA"/>
          </w:rPr>
          <w:t>https://cyberleninka.ru/article/n/osnovy-nalogovogo-stimulirovaniya-rasshireniya-fondovogo-rynka</w:t>
        </w:r>
      </w:hyperlink>
      <w:r w:rsidRPr="00877DE5">
        <w:rPr>
          <w:rFonts w:ascii="Times New Roman" w:eastAsia="Times New Roman" w:hAnsi="Times New Roman" w:cs="Times New Roman"/>
          <w:sz w:val="21"/>
          <w:szCs w:val="21"/>
          <w:lang w:val="x-none" w:eastAsia="ar-SA"/>
        </w:rPr>
        <w:t xml:space="preserve"> (дата обращения: 12.05.2025)].</w:t>
      </w:r>
    </w:p>
    <w:p w14:paraId="0CABCBFA" w14:textId="77777777" w:rsidR="00877DE5" w:rsidRPr="00877DE5" w:rsidRDefault="00877DE5" w:rsidP="00AD58CD">
      <w:pPr>
        <w:numPr>
          <w:ilvl w:val="0"/>
          <w:numId w:val="30"/>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Налоги на инвестиции: справка для инвесторов // ВТБ [Электронный ресурс: </w:t>
      </w:r>
      <w:hyperlink r:id="rId237" w:tgtFrame="_new" w:history="1">
        <w:r w:rsidRPr="00877DE5">
          <w:rPr>
            <w:rFonts w:ascii="Times New Roman" w:eastAsia="Times New Roman" w:hAnsi="Times New Roman" w:cs="Times New Roman"/>
            <w:sz w:val="21"/>
            <w:szCs w:val="21"/>
            <w:lang w:val="x-none" w:eastAsia="ar-SA"/>
          </w:rPr>
          <w:t>https://www.vbr.ru/investicii/help/nalog-na-investicii/</w:t>
        </w:r>
      </w:hyperlink>
      <w:r w:rsidRPr="00877DE5">
        <w:rPr>
          <w:rFonts w:ascii="Times New Roman" w:eastAsia="Times New Roman" w:hAnsi="Times New Roman" w:cs="Times New Roman"/>
          <w:sz w:val="21"/>
          <w:szCs w:val="21"/>
          <w:lang w:val="x-none" w:eastAsia="ar-SA"/>
        </w:rPr>
        <w:t xml:space="preserve"> (дата обращения: 14.05.2025)].</w:t>
      </w:r>
    </w:p>
    <w:p w14:paraId="35BCE64D" w14:textId="77777777" w:rsidR="00877DE5" w:rsidRDefault="00877DE5" w:rsidP="00067100">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x-none" w:eastAsia="ar-SA"/>
        </w:rPr>
      </w:pPr>
    </w:p>
    <w:p w14:paraId="411CB273" w14:textId="77777777" w:rsidR="00692181" w:rsidRPr="00692181" w:rsidRDefault="00692181" w:rsidP="00692181">
      <w:pPr>
        <w:spacing w:after="0" w:line="278" w:lineRule="auto"/>
        <w:rPr>
          <w:rFonts w:ascii="Times New Roman" w:eastAsia="Times New Roman" w:hAnsi="Times New Roman" w:cs="Times New Roman"/>
          <w:sz w:val="21"/>
          <w:szCs w:val="21"/>
        </w:rPr>
      </w:pPr>
      <w:r w:rsidRPr="00692181">
        <w:rPr>
          <w:rFonts w:ascii="Times New Roman" w:eastAsia="Times New Roman" w:hAnsi="Times New Roman" w:cs="Times New Roman"/>
          <w:b/>
          <w:bCs/>
          <w:sz w:val="21"/>
          <w:szCs w:val="21"/>
        </w:rPr>
        <w:t>УДК 338</w:t>
      </w:r>
      <w:r w:rsidRPr="00692181">
        <w:rPr>
          <w:rFonts w:ascii="Times New Roman" w:eastAsia="Times New Roman" w:hAnsi="Times New Roman" w:cs="Times New Roman"/>
          <w:sz w:val="21"/>
          <w:szCs w:val="21"/>
        </w:rPr>
        <w:t xml:space="preserve"> </w:t>
      </w:r>
    </w:p>
    <w:p w14:paraId="04F6CF81" w14:textId="77777777"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rPr>
      </w:pPr>
      <w:r w:rsidRPr="00692181">
        <w:rPr>
          <w:rFonts w:ascii="Times New Roman" w:eastAsia="Times New Roman" w:hAnsi="Times New Roman" w:cs="Times New Roman"/>
          <w:b/>
          <w:bCs/>
          <w:i/>
          <w:iCs/>
          <w:sz w:val="21"/>
          <w:szCs w:val="21"/>
        </w:rPr>
        <w:t>Маслакова Д. Р., Михайлова А. Е.,</w:t>
      </w:r>
    </w:p>
    <w:p w14:paraId="0B8346A8"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студенты 2 курса</w:t>
      </w:r>
    </w:p>
    <w:p w14:paraId="463A56C0"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Финансовый университет при Правительстве Российской Федерации</w:t>
      </w:r>
    </w:p>
    <w:p w14:paraId="471ED4AC"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г. Краснодар, Россия</w:t>
      </w:r>
    </w:p>
    <w:p w14:paraId="04D1AAEC" w14:textId="129ED836" w:rsidR="00692181" w:rsidRPr="00692181" w:rsidRDefault="00692181" w:rsidP="007B080E">
      <w:pPr>
        <w:spacing w:after="0" w:line="240" w:lineRule="auto"/>
        <w:contextualSpacing/>
        <w:jc w:val="right"/>
        <w:rPr>
          <w:rFonts w:ascii="Times New Roman" w:eastAsia="Times New Roman" w:hAnsi="Times New Roman" w:cs="Times New Roman"/>
          <w:sz w:val="21"/>
          <w:szCs w:val="21"/>
        </w:rPr>
      </w:pPr>
      <w:r w:rsidRPr="00692181">
        <w:rPr>
          <w:rFonts w:ascii="Times New Roman" w:eastAsia="Times New Roman" w:hAnsi="Times New Roman" w:cs="Times New Roman"/>
          <w:i/>
          <w:iCs/>
          <w:sz w:val="21"/>
          <w:szCs w:val="21"/>
        </w:rPr>
        <w:t xml:space="preserve">e-mail: </w:t>
      </w:r>
      <w:hyperlink r:id="rId238" w:history="1">
        <w:r w:rsidRPr="00692181">
          <w:rPr>
            <w:rFonts w:ascii="Times New Roman" w:eastAsia="Times New Roman" w:hAnsi="Times New Roman" w:cs="Times New Roman"/>
            <w:i/>
            <w:iCs/>
            <w:sz w:val="21"/>
            <w:szCs w:val="21"/>
          </w:rPr>
          <w:t>maslakova298@gmail.com</w:t>
        </w:r>
      </w:hyperlink>
      <w:r w:rsidRPr="00692181">
        <w:rPr>
          <w:rFonts w:ascii="Times New Roman" w:eastAsia="Times New Roman" w:hAnsi="Times New Roman" w:cs="Times New Roman"/>
          <w:i/>
          <w:iCs/>
          <w:sz w:val="21"/>
          <w:szCs w:val="21"/>
        </w:rPr>
        <w:t>, g</w:t>
      </w:r>
      <w:hyperlink r:id="rId239" w:history="1">
        <w:r w:rsidRPr="00692181">
          <w:rPr>
            <w:rFonts w:ascii="Times New Roman" w:eastAsia="Times New Roman" w:hAnsi="Times New Roman" w:cs="Times New Roman"/>
            <w:i/>
            <w:iCs/>
            <w:sz w:val="21"/>
            <w:szCs w:val="21"/>
          </w:rPr>
          <w:t>aagrit@gmail.com</w:t>
        </w:r>
        <w:r w:rsidRPr="00692181">
          <w:rPr>
            <w:rFonts w:ascii="Aptos" w:eastAsia="Aptos" w:hAnsi="Aptos" w:cs="Times New Roman"/>
            <w:sz w:val="21"/>
            <w:szCs w:val="21"/>
          </w:rPr>
          <w:br/>
        </w:r>
      </w:hyperlink>
    </w:p>
    <w:p w14:paraId="7A96CA71" w14:textId="77777777"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rPr>
      </w:pPr>
      <w:r w:rsidRPr="00692181">
        <w:rPr>
          <w:rFonts w:ascii="Times New Roman" w:eastAsia="Times New Roman" w:hAnsi="Times New Roman" w:cs="Times New Roman"/>
          <w:b/>
          <w:bCs/>
          <w:i/>
          <w:iCs/>
          <w:sz w:val="21"/>
          <w:szCs w:val="21"/>
        </w:rPr>
        <w:t>Научный руководитель:</w:t>
      </w:r>
    </w:p>
    <w:p w14:paraId="05E13F6D" w14:textId="77777777"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rPr>
      </w:pPr>
      <w:r w:rsidRPr="00692181">
        <w:rPr>
          <w:rFonts w:ascii="Times New Roman" w:eastAsia="Times New Roman" w:hAnsi="Times New Roman" w:cs="Times New Roman"/>
          <w:b/>
          <w:bCs/>
          <w:i/>
          <w:iCs/>
          <w:sz w:val="21"/>
          <w:szCs w:val="21"/>
        </w:rPr>
        <w:t>Рощектаева У. Ю.,</w:t>
      </w:r>
    </w:p>
    <w:p w14:paraId="2D4ADB24"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доцент, к.э.н.</w:t>
      </w:r>
    </w:p>
    <w:p w14:paraId="2BC5C3CE"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Финансовый университет при Правительстве Российской Федерации</w:t>
      </w:r>
    </w:p>
    <w:p w14:paraId="5CF57380"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rPr>
      </w:pPr>
      <w:r w:rsidRPr="00692181">
        <w:rPr>
          <w:rFonts w:ascii="Times New Roman" w:eastAsia="Times New Roman" w:hAnsi="Times New Roman" w:cs="Times New Roman"/>
          <w:i/>
          <w:iCs/>
          <w:sz w:val="21"/>
          <w:szCs w:val="21"/>
        </w:rPr>
        <w:t>г. Краснодар, Россия</w:t>
      </w:r>
    </w:p>
    <w:p w14:paraId="4F5CE225" w14:textId="77777777" w:rsidR="00692181" w:rsidRPr="00692181" w:rsidRDefault="00692181" w:rsidP="007B080E">
      <w:pPr>
        <w:spacing w:after="0" w:line="240" w:lineRule="auto"/>
        <w:contextualSpacing/>
        <w:jc w:val="right"/>
        <w:rPr>
          <w:rFonts w:ascii="Times New Roman" w:eastAsia="Times New Roman" w:hAnsi="Times New Roman" w:cs="Times New Roman"/>
          <w:sz w:val="21"/>
          <w:szCs w:val="21"/>
        </w:rPr>
      </w:pPr>
      <w:r w:rsidRPr="00692181">
        <w:rPr>
          <w:rFonts w:ascii="Times New Roman" w:eastAsia="Times New Roman" w:hAnsi="Times New Roman" w:cs="Times New Roman"/>
          <w:i/>
          <w:iCs/>
          <w:sz w:val="21"/>
          <w:szCs w:val="21"/>
        </w:rPr>
        <w:t xml:space="preserve">e-mail: </w:t>
      </w:r>
      <w:hyperlink r:id="rId240" w:history="1">
        <w:r w:rsidRPr="00692181">
          <w:rPr>
            <w:rFonts w:ascii="Times New Roman" w:eastAsia="Times New Roman" w:hAnsi="Times New Roman" w:cs="Times New Roman"/>
            <w:i/>
            <w:iCs/>
            <w:sz w:val="21"/>
            <w:szCs w:val="21"/>
          </w:rPr>
          <w:t>UYURoschektaeva@fa.ru</w:t>
        </w:r>
      </w:hyperlink>
    </w:p>
    <w:p w14:paraId="395C8DD1" w14:textId="77777777" w:rsidR="00692181" w:rsidRPr="00692181" w:rsidRDefault="00692181" w:rsidP="007B080E">
      <w:pPr>
        <w:spacing w:after="0" w:line="240" w:lineRule="auto"/>
        <w:contextualSpacing/>
        <w:jc w:val="right"/>
        <w:rPr>
          <w:rFonts w:ascii="Times New Roman" w:eastAsia="Times New Roman" w:hAnsi="Times New Roman" w:cs="Times New Roman"/>
          <w:sz w:val="21"/>
          <w:szCs w:val="21"/>
        </w:rPr>
      </w:pPr>
      <w:r w:rsidRPr="00692181">
        <w:rPr>
          <w:rFonts w:ascii="Times New Roman" w:eastAsia="Times New Roman" w:hAnsi="Times New Roman" w:cs="Times New Roman"/>
          <w:sz w:val="21"/>
          <w:szCs w:val="21"/>
        </w:rPr>
        <w:t xml:space="preserve"> </w:t>
      </w:r>
    </w:p>
    <w:p w14:paraId="2EB965BE" w14:textId="77777777" w:rsidR="00692181" w:rsidRPr="00692181" w:rsidRDefault="00692181" w:rsidP="007B080E">
      <w:pPr>
        <w:spacing w:after="0" w:line="240" w:lineRule="auto"/>
        <w:contextualSpacing/>
        <w:jc w:val="center"/>
        <w:rPr>
          <w:rFonts w:ascii="Times New Roman" w:eastAsia="Times New Roman" w:hAnsi="Times New Roman" w:cs="Times New Roman"/>
          <w:color w:val="000000"/>
          <w:sz w:val="21"/>
          <w:szCs w:val="21"/>
        </w:rPr>
      </w:pPr>
      <w:r w:rsidRPr="00692181">
        <w:rPr>
          <w:rFonts w:ascii="Times New Roman" w:eastAsia="Times New Roman" w:hAnsi="Times New Roman" w:cs="Times New Roman"/>
          <w:b/>
          <w:bCs/>
          <w:color w:val="000000"/>
          <w:sz w:val="21"/>
          <w:szCs w:val="21"/>
        </w:rPr>
        <w:t>Применение экономического анализа при прогнозировании банкротства с использованием искусственного интеллекта</w:t>
      </w:r>
      <w:r w:rsidRPr="00692181">
        <w:rPr>
          <w:rFonts w:ascii="Times New Roman" w:eastAsia="Times New Roman" w:hAnsi="Times New Roman" w:cs="Times New Roman"/>
          <w:color w:val="000000"/>
          <w:sz w:val="21"/>
          <w:szCs w:val="21"/>
        </w:rPr>
        <w:t xml:space="preserve"> </w:t>
      </w:r>
    </w:p>
    <w:p w14:paraId="1980E332" w14:textId="77777777" w:rsidR="00692181" w:rsidRPr="00692181" w:rsidRDefault="00692181" w:rsidP="007B080E">
      <w:pPr>
        <w:spacing w:after="0" w:line="240" w:lineRule="auto"/>
        <w:contextualSpacing/>
        <w:jc w:val="center"/>
        <w:rPr>
          <w:rFonts w:ascii="Times New Roman" w:eastAsia="Times New Roman" w:hAnsi="Times New Roman" w:cs="Times New Roman"/>
          <w:color w:val="000000"/>
          <w:sz w:val="21"/>
          <w:szCs w:val="21"/>
        </w:rPr>
      </w:pPr>
      <w:r w:rsidRPr="00692181">
        <w:rPr>
          <w:rFonts w:ascii="Times New Roman" w:eastAsia="Times New Roman" w:hAnsi="Times New Roman" w:cs="Times New Roman"/>
          <w:color w:val="000000"/>
          <w:sz w:val="21"/>
          <w:szCs w:val="21"/>
        </w:rPr>
        <w:t xml:space="preserve"> </w:t>
      </w:r>
    </w:p>
    <w:p w14:paraId="0098BF59" w14:textId="77777777" w:rsidR="00692181" w:rsidRPr="00692181" w:rsidRDefault="00692181" w:rsidP="007B080E">
      <w:pPr>
        <w:spacing w:after="0" w:line="240" w:lineRule="auto"/>
        <w:ind w:firstLine="708"/>
        <w:contextualSpacing/>
        <w:jc w:val="both"/>
        <w:rPr>
          <w:rFonts w:ascii="Times New Roman" w:eastAsia="Times New Roman" w:hAnsi="Times New Roman" w:cs="Times New Roman"/>
          <w:color w:val="000000"/>
          <w:sz w:val="21"/>
          <w:szCs w:val="21"/>
        </w:rPr>
      </w:pPr>
      <w:r w:rsidRPr="00692181">
        <w:rPr>
          <w:rFonts w:ascii="Times New Roman" w:eastAsia="Times New Roman" w:hAnsi="Times New Roman" w:cs="Times New Roman"/>
          <w:b/>
          <w:bCs/>
          <w:color w:val="000000"/>
          <w:sz w:val="21"/>
          <w:szCs w:val="21"/>
        </w:rPr>
        <w:t xml:space="preserve">Аннотация: </w:t>
      </w:r>
      <w:r w:rsidRPr="00692181">
        <w:rPr>
          <w:rFonts w:ascii="Times New Roman" w:eastAsia="Times New Roman" w:hAnsi="Times New Roman" w:cs="Times New Roman"/>
          <w:color w:val="000000"/>
          <w:sz w:val="21"/>
          <w:szCs w:val="21"/>
        </w:rPr>
        <w:t>в условиях усиливающейся конкуренции и динамичной рыночной среды риск банкротства становится всё более актуальным для множества предприятий. Традиционные подходы к прогнозированию финансовой несостоятельности нуждаются в модернизации, так как они не всегда учитывают современные экономические реалии и возможности технологий. Внедрение искусственного интеллекта в экономический анализ позволяет значительно повысить точность прогнозов за счёт анализа больших массивов данных и выявления сложных зависимостей. Это делает ИИ перспективным инструментом для эффективного управления финансовыми рисками.</w:t>
      </w:r>
    </w:p>
    <w:p w14:paraId="7EF16610" w14:textId="77777777" w:rsidR="00692181" w:rsidRPr="00692181" w:rsidRDefault="00692181" w:rsidP="007B080E">
      <w:pPr>
        <w:spacing w:after="0" w:line="240" w:lineRule="auto"/>
        <w:ind w:firstLine="708"/>
        <w:contextualSpacing/>
        <w:jc w:val="both"/>
        <w:rPr>
          <w:rFonts w:ascii="Times New Roman" w:eastAsia="Times New Roman" w:hAnsi="Times New Roman" w:cs="Times New Roman"/>
          <w:color w:val="000000"/>
          <w:sz w:val="21"/>
          <w:szCs w:val="21"/>
        </w:rPr>
      </w:pPr>
      <w:r w:rsidRPr="00692181">
        <w:rPr>
          <w:rFonts w:ascii="Times New Roman" w:eastAsia="Times New Roman" w:hAnsi="Times New Roman" w:cs="Times New Roman"/>
          <w:b/>
          <w:bCs/>
          <w:color w:val="000000"/>
          <w:sz w:val="21"/>
          <w:szCs w:val="21"/>
        </w:rPr>
        <w:t>Ключевые слова:</w:t>
      </w:r>
      <w:r w:rsidRPr="00692181">
        <w:rPr>
          <w:rFonts w:ascii="Times New Roman" w:eastAsia="Times New Roman" w:hAnsi="Times New Roman" w:cs="Times New Roman"/>
          <w:color w:val="000000"/>
          <w:sz w:val="21"/>
          <w:szCs w:val="21"/>
        </w:rPr>
        <w:t xml:space="preserve"> банкротство, искусственный интеллект, прогнозирование, экономический анализ, машинное обучение.</w:t>
      </w:r>
    </w:p>
    <w:p w14:paraId="127B8224" w14:textId="77777777" w:rsidR="007B080E" w:rsidRDefault="007B080E" w:rsidP="007B080E">
      <w:pPr>
        <w:spacing w:after="0" w:line="240" w:lineRule="auto"/>
        <w:contextualSpacing/>
        <w:jc w:val="right"/>
        <w:rPr>
          <w:rFonts w:ascii="Times New Roman" w:eastAsia="Times New Roman" w:hAnsi="Times New Roman" w:cs="Times New Roman"/>
          <w:b/>
          <w:bCs/>
          <w:i/>
          <w:iCs/>
          <w:sz w:val="21"/>
          <w:szCs w:val="21"/>
        </w:rPr>
      </w:pPr>
    </w:p>
    <w:p w14:paraId="0DE55E84" w14:textId="72D93963"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lang w:val="en-US"/>
        </w:rPr>
      </w:pPr>
      <w:r w:rsidRPr="00692181">
        <w:rPr>
          <w:rFonts w:ascii="Times New Roman" w:eastAsia="Times New Roman" w:hAnsi="Times New Roman" w:cs="Times New Roman"/>
          <w:b/>
          <w:bCs/>
          <w:i/>
          <w:iCs/>
          <w:sz w:val="21"/>
          <w:szCs w:val="21"/>
          <w:lang w:val="en-US"/>
        </w:rPr>
        <w:t>Maslakova D. R., Mikhailova A. E.,</w:t>
      </w:r>
    </w:p>
    <w:p w14:paraId="33679FC8"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proofErr w:type="gramStart"/>
      <w:r w:rsidRPr="00692181">
        <w:rPr>
          <w:rFonts w:ascii="Times New Roman" w:eastAsia="Times New Roman" w:hAnsi="Times New Roman" w:cs="Times New Roman"/>
          <w:i/>
          <w:iCs/>
          <w:sz w:val="21"/>
          <w:szCs w:val="21"/>
          <w:lang w:val="en-US"/>
        </w:rPr>
        <w:t>2 year</w:t>
      </w:r>
      <w:proofErr w:type="gramEnd"/>
      <w:r w:rsidRPr="00692181">
        <w:rPr>
          <w:rFonts w:ascii="Times New Roman" w:eastAsia="Times New Roman" w:hAnsi="Times New Roman" w:cs="Times New Roman"/>
          <w:i/>
          <w:iCs/>
          <w:sz w:val="21"/>
          <w:szCs w:val="21"/>
          <w:lang w:val="en-US"/>
        </w:rPr>
        <w:t xml:space="preserve"> students</w:t>
      </w:r>
    </w:p>
    <w:p w14:paraId="29698D7B"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Financial University under the Government of the Russian Federation</w:t>
      </w:r>
    </w:p>
    <w:p w14:paraId="516568A5"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Krasnodar, Russia</w:t>
      </w:r>
    </w:p>
    <w:p w14:paraId="3A6C6E4A"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 xml:space="preserve">e-mail: </w:t>
      </w:r>
      <w:hyperlink r:id="rId241" w:history="1">
        <w:r w:rsidRPr="00692181">
          <w:rPr>
            <w:rFonts w:ascii="Times New Roman" w:eastAsia="Times New Roman" w:hAnsi="Times New Roman" w:cs="Times New Roman"/>
            <w:i/>
            <w:iCs/>
            <w:sz w:val="21"/>
            <w:szCs w:val="21"/>
            <w:lang w:val="en-US"/>
          </w:rPr>
          <w:t>maslakova298@gmail.com</w:t>
        </w:r>
      </w:hyperlink>
      <w:r w:rsidRPr="00692181">
        <w:rPr>
          <w:rFonts w:ascii="Times New Roman" w:eastAsia="Times New Roman" w:hAnsi="Times New Roman" w:cs="Times New Roman"/>
          <w:i/>
          <w:iCs/>
          <w:sz w:val="21"/>
          <w:szCs w:val="21"/>
          <w:lang w:val="en-US"/>
        </w:rPr>
        <w:t xml:space="preserve">, </w:t>
      </w:r>
      <w:hyperlink r:id="rId242" w:history="1">
        <w:r w:rsidRPr="00692181">
          <w:rPr>
            <w:rFonts w:ascii="Times New Roman" w:eastAsia="Times New Roman" w:hAnsi="Times New Roman" w:cs="Times New Roman"/>
            <w:i/>
            <w:iCs/>
            <w:sz w:val="21"/>
            <w:szCs w:val="21"/>
            <w:lang w:val="en-US"/>
          </w:rPr>
          <w:t>gaagrit@gmail.com</w:t>
        </w:r>
      </w:hyperlink>
      <w:r w:rsidRPr="00692181">
        <w:rPr>
          <w:rFonts w:ascii="Times New Roman" w:eastAsia="Times New Roman" w:hAnsi="Times New Roman" w:cs="Times New Roman"/>
          <w:i/>
          <w:iCs/>
          <w:sz w:val="21"/>
          <w:szCs w:val="21"/>
          <w:lang w:val="en-US"/>
        </w:rPr>
        <w:t xml:space="preserve"> </w:t>
      </w:r>
    </w:p>
    <w:p w14:paraId="6CCFD962" w14:textId="77777777" w:rsidR="00692181" w:rsidRPr="00692181" w:rsidRDefault="00692181" w:rsidP="007B080E">
      <w:pPr>
        <w:spacing w:after="0" w:line="240" w:lineRule="auto"/>
        <w:contextualSpacing/>
        <w:jc w:val="right"/>
        <w:rPr>
          <w:rFonts w:ascii="Times New Roman" w:eastAsia="Times New Roman" w:hAnsi="Times New Roman" w:cs="Times New Roman"/>
          <w:sz w:val="21"/>
          <w:szCs w:val="21"/>
          <w:lang w:val="en-US"/>
        </w:rPr>
      </w:pPr>
      <w:r w:rsidRPr="00692181">
        <w:rPr>
          <w:rFonts w:ascii="Times New Roman" w:eastAsia="Times New Roman" w:hAnsi="Times New Roman" w:cs="Times New Roman"/>
          <w:b/>
          <w:bCs/>
          <w:i/>
          <w:iCs/>
          <w:sz w:val="21"/>
          <w:szCs w:val="21"/>
          <w:lang w:val="en-US"/>
        </w:rPr>
        <w:t xml:space="preserve">  </w:t>
      </w:r>
      <w:r w:rsidRPr="00692181">
        <w:rPr>
          <w:rFonts w:ascii="Times New Roman" w:eastAsia="Times New Roman" w:hAnsi="Times New Roman" w:cs="Times New Roman"/>
          <w:sz w:val="21"/>
          <w:szCs w:val="21"/>
          <w:lang w:val="en-US"/>
        </w:rPr>
        <w:t xml:space="preserve"> </w:t>
      </w:r>
    </w:p>
    <w:p w14:paraId="7CD36FE5" w14:textId="77777777"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lang w:val="en-US"/>
        </w:rPr>
      </w:pPr>
      <w:r w:rsidRPr="00692181">
        <w:rPr>
          <w:rFonts w:ascii="Times New Roman" w:eastAsia="Times New Roman" w:hAnsi="Times New Roman" w:cs="Times New Roman"/>
          <w:b/>
          <w:bCs/>
          <w:i/>
          <w:iCs/>
          <w:sz w:val="21"/>
          <w:szCs w:val="21"/>
          <w:lang w:val="en-US"/>
        </w:rPr>
        <w:t>Scientific Adviser:</w:t>
      </w:r>
    </w:p>
    <w:p w14:paraId="5678A897" w14:textId="77777777" w:rsidR="00692181" w:rsidRPr="00692181" w:rsidRDefault="00692181" w:rsidP="007B080E">
      <w:pPr>
        <w:spacing w:after="0" w:line="240" w:lineRule="auto"/>
        <w:contextualSpacing/>
        <w:jc w:val="right"/>
        <w:rPr>
          <w:rFonts w:ascii="Times New Roman" w:eastAsia="Times New Roman" w:hAnsi="Times New Roman" w:cs="Times New Roman"/>
          <w:b/>
          <w:bCs/>
          <w:i/>
          <w:iCs/>
          <w:sz w:val="21"/>
          <w:szCs w:val="21"/>
          <w:lang w:val="en-US"/>
        </w:rPr>
      </w:pPr>
      <w:r w:rsidRPr="00692181">
        <w:rPr>
          <w:rFonts w:ascii="Times New Roman" w:eastAsia="Times New Roman" w:hAnsi="Times New Roman" w:cs="Times New Roman"/>
          <w:b/>
          <w:bCs/>
          <w:i/>
          <w:iCs/>
          <w:sz w:val="21"/>
          <w:szCs w:val="21"/>
          <w:lang w:val="en-US"/>
        </w:rPr>
        <w:t>Roshchektaeva U. Y.,</w:t>
      </w:r>
    </w:p>
    <w:p w14:paraId="6DE88132"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Candidate of Economics, Associate Professor of the</w:t>
      </w:r>
    </w:p>
    <w:p w14:paraId="0BB13AED"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Financial University under the Government of the Russian Federation</w:t>
      </w:r>
    </w:p>
    <w:p w14:paraId="292E4EF8" w14:textId="77777777" w:rsidR="00692181" w:rsidRPr="00692181" w:rsidRDefault="00692181" w:rsidP="007B080E">
      <w:pPr>
        <w:spacing w:after="0" w:line="240" w:lineRule="auto"/>
        <w:contextualSpacing/>
        <w:jc w:val="right"/>
        <w:rPr>
          <w:rFonts w:ascii="Times New Roman" w:eastAsia="Times New Roman" w:hAnsi="Times New Roman" w:cs="Times New Roman"/>
          <w:i/>
          <w:iCs/>
          <w:sz w:val="21"/>
          <w:szCs w:val="21"/>
          <w:lang w:val="en-US"/>
        </w:rPr>
      </w:pPr>
      <w:r w:rsidRPr="00692181">
        <w:rPr>
          <w:rFonts w:ascii="Times New Roman" w:eastAsia="Times New Roman" w:hAnsi="Times New Roman" w:cs="Times New Roman"/>
          <w:i/>
          <w:iCs/>
          <w:sz w:val="21"/>
          <w:szCs w:val="21"/>
          <w:lang w:val="en-US"/>
        </w:rPr>
        <w:t>Krasnodar, Russia</w:t>
      </w:r>
    </w:p>
    <w:p w14:paraId="709854C3" w14:textId="77777777" w:rsidR="00692181" w:rsidRPr="00692181" w:rsidRDefault="00692181" w:rsidP="007B080E">
      <w:pPr>
        <w:spacing w:after="0" w:line="240" w:lineRule="auto"/>
        <w:contextualSpacing/>
        <w:jc w:val="right"/>
        <w:rPr>
          <w:rFonts w:ascii="Times New Roman" w:eastAsia="Times New Roman" w:hAnsi="Times New Roman" w:cs="Times New Roman"/>
          <w:sz w:val="21"/>
          <w:szCs w:val="21"/>
          <w:lang w:val="en-US"/>
        </w:rPr>
      </w:pPr>
      <w:r w:rsidRPr="00692181">
        <w:rPr>
          <w:rFonts w:ascii="Times New Roman" w:eastAsia="Times New Roman" w:hAnsi="Times New Roman" w:cs="Times New Roman"/>
          <w:i/>
          <w:iCs/>
          <w:sz w:val="21"/>
          <w:szCs w:val="21"/>
          <w:lang w:val="en-US"/>
        </w:rPr>
        <w:t xml:space="preserve">e-mail: </w:t>
      </w:r>
      <w:hyperlink r:id="rId243" w:history="1">
        <w:r w:rsidRPr="00692181">
          <w:rPr>
            <w:rFonts w:ascii="Times New Roman" w:eastAsia="Times New Roman" w:hAnsi="Times New Roman" w:cs="Times New Roman"/>
            <w:i/>
            <w:iCs/>
            <w:sz w:val="21"/>
            <w:szCs w:val="21"/>
            <w:lang w:val="en-US"/>
          </w:rPr>
          <w:t>UYURoschektaeva@fa.ru</w:t>
        </w:r>
      </w:hyperlink>
    </w:p>
    <w:p w14:paraId="1EF8A06C" w14:textId="77777777" w:rsidR="00692181" w:rsidRPr="00692181" w:rsidRDefault="00692181" w:rsidP="007B080E">
      <w:pPr>
        <w:spacing w:after="0" w:line="240" w:lineRule="auto"/>
        <w:contextualSpacing/>
        <w:jc w:val="right"/>
        <w:rPr>
          <w:rFonts w:ascii="Times New Roman" w:eastAsia="Times New Roman" w:hAnsi="Times New Roman" w:cs="Times New Roman"/>
          <w:sz w:val="21"/>
          <w:szCs w:val="21"/>
          <w:lang w:val="en-US"/>
        </w:rPr>
      </w:pPr>
      <w:r w:rsidRPr="00692181">
        <w:rPr>
          <w:rFonts w:ascii="Times New Roman" w:eastAsia="Times New Roman" w:hAnsi="Times New Roman" w:cs="Times New Roman"/>
          <w:sz w:val="21"/>
          <w:szCs w:val="21"/>
          <w:lang w:val="en-US"/>
        </w:rPr>
        <w:t xml:space="preserve"> </w:t>
      </w:r>
    </w:p>
    <w:p w14:paraId="432F1225" w14:textId="77777777" w:rsidR="00692181" w:rsidRPr="00692181" w:rsidRDefault="00692181" w:rsidP="007B080E">
      <w:pPr>
        <w:spacing w:after="0" w:line="240" w:lineRule="auto"/>
        <w:contextualSpacing/>
        <w:jc w:val="center"/>
        <w:rPr>
          <w:rFonts w:ascii="Times New Roman" w:eastAsia="Times New Roman" w:hAnsi="Times New Roman" w:cs="Times New Roman"/>
          <w:sz w:val="21"/>
          <w:szCs w:val="21"/>
          <w:lang w:val="en-US"/>
        </w:rPr>
      </w:pPr>
      <w:r w:rsidRPr="00692181">
        <w:rPr>
          <w:rFonts w:ascii="Times New Roman" w:eastAsia="Times New Roman" w:hAnsi="Times New Roman" w:cs="Times New Roman"/>
          <w:b/>
          <w:bCs/>
          <w:sz w:val="21"/>
          <w:szCs w:val="21"/>
          <w:lang w:val="en-US"/>
        </w:rPr>
        <w:t xml:space="preserve">The use of economic analysis in predicting bankruptcy using artificial intelligence </w:t>
      </w:r>
      <w:r w:rsidRPr="00692181">
        <w:rPr>
          <w:rFonts w:ascii="Times New Roman" w:eastAsia="Times New Roman" w:hAnsi="Times New Roman" w:cs="Times New Roman"/>
          <w:sz w:val="21"/>
          <w:szCs w:val="21"/>
          <w:lang w:val="en-US"/>
        </w:rPr>
        <w:t xml:space="preserve"> </w:t>
      </w:r>
    </w:p>
    <w:p w14:paraId="7FD7F725" w14:textId="77777777" w:rsidR="00692181" w:rsidRPr="00692181" w:rsidRDefault="00692181" w:rsidP="007B080E">
      <w:pPr>
        <w:spacing w:after="0" w:line="240" w:lineRule="auto"/>
        <w:contextualSpacing/>
        <w:jc w:val="center"/>
        <w:rPr>
          <w:rFonts w:ascii="Times New Roman" w:eastAsia="Times New Roman" w:hAnsi="Times New Roman" w:cs="Times New Roman"/>
          <w:sz w:val="21"/>
          <w:szCs w:val="21"/>
          <w:lang w:val="en-US"/>
        </w:rPr>
      </w:pPr>
    </w:p>
    <w:p w14:paraId="1B314140" w14:textId="77777777" w:rsidR="00692181" w:rsidRPr="00692181" w:rsidRDefault="00692181" w:rsidP="007B080E">
      <w:pPr>
        <w:spacing w:after="0" w:line="240" w:lineRule="auto"/>
        <w:ind w:firstLine="708"/>
        <w:contextualSpacing/>
        <w:jc w:val="both"/>
        <w:rPr>
          <w:rFonts w:ascii="Times New Roman" w:eastAsia="Times New Roman" w:hAnsi="Times New Roman" w:cs="Times New Roman"/>
          <w:sz w:val="21"/>
          <w:szCs w:val="21"/>
          <w:lang w:val="en-US"/>
        </w:rPr>
      </w:pPr>
      <w:r w:rsidRPr="00692181">
        <w:rPr>
          <w:rFonts w:ascii="Times New Roman" w:eastAsia="Times New Roman" w:hAnsi="Times New Roman" w:cs="Times New Roman"/>
          <w:b/>
          <w:bCs/>
          <w:sz w:val="21"/>
          <w:szCs w:val="21"/>
          <w:lang w:val="en-US"/>
        </w:rPr>
        <w:t xml:space="preserve">Annotation: </w:t>
      </w:r>
      <w:r w:rsidRPr="00692181">
        <w:rPr>
          <w:rFonts w:ascii="Times New Roman" w:eastAsia="Times New Roman" w:hAnsi="Times New Roman" w:cs="Times New Roman"/>
          <w:sz w:val="21"/>
          <w:szCs w:val="21"/>
          <w:lang w:val="en-US"/>
        </w:rPr>
        <w:t xml:space="preserve"> In the context of increasing competition and a dynamic market environment, the risk of bankruptcy is becoming increasingly relevant for many enterprises. Traditional approaches to forecasting financial insolvency need to be modernized, as they do not always </w:t>
      </w:r>
      <w:proofErr w:type="gramStart"/>
      <w:r w:rsidRPr="00692181">
        <w:rPr>
          <w:rFonts w:ascii="Times New Roman" w:eastAsia="Times New Roman" w:hAnsi="Times New Roman" w:cs="Times New Roman"/>
          <w:sz w:val="21"/>
          <w:szCs w:val="21"/>
          <w:lang w:val="en-US"/>
        </w:rPr>
        <w:t>take into account</w:t>
      </w:r>
      <w:proofErr w:type="gramEnd"/>
      <w:r w:rsidRPr="00692181">
        <w:rPr>
          <w:rFonts w:ascii="Times New Roman" w:eastAsia="Times New Roman" w:hAnsi="Times New Roman" w:cs="Times New Roman"/>
          <w:sz w:val="21"/>
          <w:szCs w:val="21"/>
          <w:lang w:val="en-US"/>
        </w:rPr>
        <w:t xml:space="preserve"> modern economic realities and technological capabilities. The introduction of artificial intelligence into economic analysis makes it possible to significantly improve the accuracy of forecasts by analyzing large amounts of data and identifying complex dependencies. This makes AI a promising tool for effective financial risk management.</w:t>
      </w:r>
    </w:p>
    <w:p w14:paraId="4BA10300" w14:textId="77777777" w:rsidR="00692181" w:rsidRPr="00692181" w:rsidRDefault="00692181" w:rsidP="007B080E">
      <w:pPr>
        <w:spacing w:after="0" w:line="240" w:lineRule="auto"/>
        <w:ind w:firstLine="708"/>
        <w:contextualSpacing/>
        <w:jc w:val="both"/>
        <w:rPr>
          <w:rFonts w:ascii="Times New Roman" w:eastAsia="Times New Roman" w:hAnsi="Times New Roman" w:cs="Times New Roman"/>
          <w:sz w:val="21"/>
          <w:szCs w:val="21"/>
          <w:lang w:val="en-US"/>
        </w:rPr>
      </w:pPr>
      <w:r w:rsidRPr="00692181">
        <w:rPr>
          <w:rFonts w:ascii="Times New Roman" w:eastAsia="Times New Roman" w:hAnsi="Times New Roman" w:cs="Times New Roman"/>
          <w:b/>
          <w:bCs/>
          <w:sz w:val="21"/>
          <w:szCs w:val="21"/>
          <w:lang w:val="en-US"/>
        </w:rPr>
        <w:t>Keywords:</w:t>
      </w:r>
      <w:r w:rsidRPr="00692181">
        <w:rPr>
          <w:rFonts w:ascii="Times New Roman" w:eastAsia="Times New Roman" w:hAnsi="Times New Roman" w:cs="Times New Roman"/>
          <w:sz w:val="21"/>
          <w:szCs w:val="21"/>
          <w:lang w:val="en-US"/>
        </w:rPr>
        <w:t xml:space="preserve"> bankruptcy, artificial intelligence, forecasting, economic analysis, machine learning.</w:t>
      </w:r>
    </w:p>
    <w:p w14:paraId="7AFCED2A" w14:textId="77777777" w:rsidR="00692181" w:rsidRPr="00692181" w:rsidRDefault="00692181" w:rsidP="00692181">
      <w:pPr>
        <w:spacing w:after="0" w:line="278" w:lineRule="auto"/>
        <w:ind w:firstLine="708"/>
        <w:jc w:val="both"/>
        <w:rPr>
          <w:rFonts w:ascii="Times New Roman" w:eastAsia="Times New Roman" w:hAnsi="Times New Roman" w:cs="Times New Roman"/>
          <w:sz w:val="21"/>
          <w:szCs w:val="21"/>
          <w:lang w:val="en-US"/>
        </w:rPr>
      </w:pPr>
    </w:p>
    <w:p w14:paraId="5423601D"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 xml:space="preserve">Ранее анализ риска банкротства проводился вручную экспертами, которые оценивали финансовую отчетность и другую доступную информацию, зачастую с использованием простых вычислительных инструментов. С развитием технологий эту задачу стало возможным автоматизировать с помощью искусственного интеллекта (ИИ), что снижает зависимость от человеческого фактора и ускоряет процесс анализа. </w:t>
      </w:r>
    </w:p>
    <w:p w14:paraId="6C2B1C1D"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 xml:space="preserve">Тем не менее, перед внедрением ИИ-подходов в практику, необходимо тщательно оценить их эффективность и надежность по сравнению с традиционными методами, чтобы определить их применимость в реальных бизнес-ситуациях. </w:t>
      </w:r>
    </w:p>
    <w:p w14:paraId="4CE26DBC"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 xml:space="preserve">В федеральном законе «О несостоятельности (банкротстве)» № 127 понятие банкротство обозначено следующим образом: «Признанная арбитражным судом неспособность должника в полном объеме удовлетворить требования кредиторов по денежными обязательствам и (или) исполнить обязанность по уплате обязательных платежей». [1] </w:t>
      </w:r>
    </w:p>
    <w:p w14:paraId="2598A009"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Анализ финансового состояния организации и прогнозирование риска банкротства включают оценку множества факторов</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от ликвидности и структуры капитала до макроэкономических условий и управленческих решений. Как правило, кризисное финансовое состояние возникает под влиянием комплекса причин, поэтому для его диагностики и предотвращения применяются различные модели и методики. Среди наиболее известных подходов выделяют следующие модели экономического анализа:</w:t>
      </w:r>
    </w:p>
    <w:p w14:paraId="6B4051D5"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Модель Альтмана (Z-скоринг)</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 xml:space="preserve">многомерная модель, рассчитывающая интегральный показатель Z на основе пяти коэффициентов: отношение оборотного капитала к активам, рентабельности, финансового рычага, оборачиваемости активов и выручки. Чем ниже значение Z, тем выше риск банкротства. [1] </w:t>
      </w:r>
    </w:p>
    <w:p w14:paraId="1D904D0B"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Модель Бивера</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 xml:space="preserve">однофакторная модель, основанная на коэффициенте денежного потока к общей задолженности. Позволяет оценить способность компании обслуживать свои обязательства. [2] </w:t>
      </w:r>
    </w:p>
    <w:p w14:paraId="43E871CB"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Модель Спрингейта</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четырехфакторная модель, включающая коэффициенты ликвидности, оборачиваемости активов, рентабельности и уровня заемного капитала. Используется для прогнозирования финансовой несостоятельности. [1]</w:t>
      </w:r>
    </w:p>
    <w:p w14:paraId="47624792"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lastRenderedPageBreak/>
        <w:t>Модель Таффлера</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четырехфакторная модель, учитывающая выручку по отношению к обязательствам, ликвидность, операционную рентабельность и структуру капитала. Позволяет диагностировать финансовую устойчивость предприятия. [2]</w:t>
      </w:r>
    </w:p>
    <w:p w14:paraId="2060892D"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Модель Тишоу</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 xml:space="preserve">двухфакторная модель, основанная на текущей ликвидности и доле заемного капитала. Используется для разделения компаний на группы с высоким и низким риском банкротства. [2] </w:t>
      </w:r>
    </w:p>
    <w:p w14:paraId="327B54B9"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Традиционные методы прогнозирования банкротства имеют ограничения: узкий диапазон данных, линейность, субъективность и отсутствие учета отраслевых особенностей. Это требует внедрения современных подходов, включая ИИ, для повышения точности и эффективности анализа финансовых рисков.</w:t>
      </w:r>
    </w:p>
    <w:p w14:paraId="406DFAB9"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Искусственный интеллект</w:t>
      </w:r>
      <w:r w:rsidRPr="00692181">
        <w:rPr>
          <w:rFonts w:ascii="Times New Roman" w:eastAsia="Times New Roman" w:hAnsi="Times New Roman" w:cs="Times New Roman"/>
          <w:color w:val="000000"/>
          <w:sz w:val="32"/>
          <w:szCs w:val="32"/>
        </w:rPr>
        <w:t xml:space="preserve"> – </w:t>
      </w:r>
      <w:r w:rsidRPr="00692181">
        <w:rPr>
          <w:rFonts w:ascii="Times New Roman" w:eastAsia="Times New Roman" w:hAnsi="Times New Roman" w:cs="Times New Roman"/>
          <w:sz w:val="32"/>
          <w:szCs w:val="32"/>
        </w:rPr>
        <w:t>это область науки и технологии, заключающаяся в воссоздании процессов человеческого интеллекта с помощью машин, в частности компьютерных систем, которая позволяет им адаптироваться к новым условиям, решать задачи, анализировать ситуации, отвечать на вопросы, строить планы и выполнять другие интеллектуальные функции. В таблице 1 представлены ключевые модели машинного обучения, их описания и применения для прогнозирования банкротства [3]:</w:t>
      </w:r>
    </w:p>
    <w:p w14:paraId="563869EA" w14:textId="77777777" w:rsidR="00692181" w:rsidRPr="00692181" w:rsidRDefault="00692181" w:rsidP="00692181">
      <w:pPr>
        <w:spacing w:line="278" w:lineRule="auto"/>
        <w:rPr>
          <w:rFonts w:ascii="Times New Roman" w:eastAsia="Times New Roman" w:hAnsi="Times New Roman" w:cs="Times New Roman"/>
          <w:color w:val="000000"/>
          <w:sz w:val="32"/>
          <w:szCs w:val="32"/>
        </w:rPr>
      </w:pPr>
    </w:p>
    <w:p w14:paraId="4D4426A0" w14:textId="77777777" w:rsidR="00692181" w:rsidRPr="00692181" w:rsidRDefault="00692181" w:rsidP="00692181">
      <w:pPr>
        <w:spacing w:line="278" w:lineRule="auto"/>
        <w:rPr>
          <w:rFonts w:ascii="Times New Roman" w:eastAsia="Times New Roman" w:hAnsi="Times New Roman" w:cs="Times New Roman"/>
          <w:sz w:val="32"/>
          <w:szCs w:val="32"/>
        </w:rPr>
      </w:pPr>
      <w:r w:rsidRPr="00692181">
        <w:rPr>
          <w:rFonts w:ascii="Times New Roman" w:eastAsia="Times New Roman" w:hAnsi="Times New Roman" w:cs="Times New Roman"/>
          <w:color w:val="000000"/>
          <w:sz w:val="32"/>
          <w:szCs w:val="32"/>
        </w:rPr>
        <w:t>Таблица 1– Методы прогнозирования банкротства</w:t>
      </w:r>
    </w:p>
    <w:tbl>
      <w:tblPr>
        <w:tblW w:w="0" w:type="auto"/>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A0" w:firstRow="1" w:lastRow="0" w:firstColumn="1" w:lastColumn="0" w:noHBand="0" w:noVBand="1"/>
      </w:tblPr>
      <w:tblGrid>
        <w:gridCol w:w="2405"/>
        <w:gridCol w:w="3153"/>
        <w:gridCol w:w="3456"/>
      </w:tblGrid>
      <w:tr w:rsidR="00692181" w:rsidRPr="00692181" w14:paraId="35E54E09"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4A8AA230"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Метод</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437CF204"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Описание</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2B5D507B"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Применение в банкротстве</w:t>
            </w:r>
          </w:p>
        </w:tc>
      </w:tr>
      <w:tr w:rsidR="00692181" w:rsidRPr="00692181" w14:paraId="2AF9B670"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38EF7075"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Логистическая регрессия</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54BA1364"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Линейная модель для оценки вероятности бинарного события</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0186C9D6"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Предсказывает вероятность банкротства на основе финансовых коэффициентов</w:t>
            </w:r>
          </w:p>
        </w:tc>
      </w:tr>
      <w:tr w:rsidR="00692181" w:rsidRPr="00692181" w14:paraId="22FAC328"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48D8BA29"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Случайный лес (Random Forest)</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3D6A8336"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Ансамбль деревьев решений с голосованием</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3A38755A"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Анализирует важные признаки (напр. долговая нагрузка, ликвидность) и дает итоговый прогноз</w:t>
            </w:r>
          </w:p>
        </w:tc>
      </w:tr>
      <w:tr w:rsidR="00692181" w:rsidRPr="00692181" w14:paraId="1E91902E"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091D979F"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Градиентный бустинг</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4F4E6A2E"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Последовательное обучение деревьев с фокусом на ошибках</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0E4C4220"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Более точные прогнозы по сравнению со случайным лесом; может выявлять сложные зависимости</w:t>
            </w:r>
          </w:p>
        </w:tc>
      </w:tr>
      <w:tr w:rsidR="00692181" w:rsidRPr="00692181" w14:paraId="3694C093"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51550449"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t>Нейросети (ANN, RNN, LSTM)</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45923A9D"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Архитектуры, имитирующие работу нейронов мозга</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15DF6790"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 xml:space="preserve">Прогнозируют банкротства с учетом временной динамики, особенно полезны при </w:t>
            </w:r>
            <w:r w:rsidRPr="00692181">
              <w:rPr>
                <w:rFonts w:ascii="Times New Roman" w:eastAsia="Times New Roman" w:hAnsi="Times New Roman" w:cs="Times New Roman"/>
                <w:sz w:val="28"/>
                <w:szCs w:val="28"/>
              </w:rPr>
              <w:lastRenderedPageBreak/>
              <w:t>анализе финансовых временных рядов</w:t>
            </w:r>
          </w:p>
        </w:tc>
      </w:tr>
      <w:tr w:rsidR="00692181" w:rsidRPr="00692181" w14:paraId="75845781" w14:textId="77777777" w:rsidTr="00692181">
        <w:trPr>
          <w:trHeight w:val="300"/>
        </w:trPr>
        <w:tc>
          <w:tcPr>
            <w:tcW w:w="2405" w:type="dxa"/>
            <w:tcBorders>
              <w:top w:val="single" w:sz="4" w:space="0" w:color="595959"/>
              <w:left w:val="single" w:sz="4" w:space="0" w:color="595959"/>
              <w:bottom w:val="single" w:sz="4" w:space="0" w:color="595959"/>
              <w:right w:val="single" w:sz="4" w:space="0" w:color="595959"/>
            </w:tcBorders>
            <w:vAlign w:val="center"/>
            <w:hideMark/>
          </w:tcPr>
          <w:p w14:paraId="03ACA943" w14:textId="77777777" w:rsidR="00692181" w:rsidRPr="00692181" w:rsidRDefault="00692181" w:rsidP="00692181">
            <w:pPr>
              <w:spacing w:after="0" w:line="240" w:lineRule="auto"/>
              <w:jc w:val="both"/>
              <w:rPr>
                <w:rFonts w:ascii="Times New Roman" w:eastAsia="Times New Roman" w:hAnsi="Times New Roman" w:cs="Times New Roman"/>
                <w:b/>
                <w:bCs/>
                <w:sz w:val="28"/>
                <w:szCs w:val="28"/>
              </w:rPr>
            </w:pPr>
            <w:r w:rsidRPr="00692181">
              <w:rPr>
                <w:rFonts w:ascii="Times New Roman" w:eastAsia="Times New Roman" w:hAnsi="Times New Roman" w:cs="Times New Roman"/>
                <w:b/>
                <w:bCs/>
                <w:sz w:val="28"/>
                <w:szCs w:val="28"/>
              </w:rPr>
              <w:lastRenderedPageBreak/>
              <w:t>NLP (Natural Language Processing)</w:t>
            </w:r>
          </w:p>
        </w:tc>
        <w:tc>
          <w:tcPr>
            <w:tcW w:w="3153" w:type="dxa"/>
            <w:tcBorders>
              <w:top w:val="single" w:sz="4" w:space="0" w:color="595959"/>
              <w:left w:val="single" w:sz="4" w:space="0" w:color="595959"/>
              <w:bottom w:val="single" w:sz="4" w:space="0" w:color="595959"/>
              <w:right w:val="single" w:sz="4" w:space="0" w:color="595959"/>
            </w:tcBorders>
            <w:vAlign w:val="center"/>
            <w:hideMark/>
          </w:tcPr>
          <w:p w14:paraId="11E62B5C"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Методы анализа текстов — отчетов, новостей, пресс-релизов</w:t>
            </w:r>
          </w:p>
        </w:tc>
        <w:tc>
          <w:tcPr>
            <w:tcW w:w="3456" w:type="dxa"/>
            <w:tcBorders>
              <w:top w:val="single" w:sz="4" w:space="0" w:color="595959"/>
              <w:left w:val="single" w:sz="4" w:space="0" w:color="595959"/>
              <w:bottom w:val="single" w:sz="4" w:space="0" w:color="595959"/>
              <w:right w:val="single" w:sz="4" w:space="0" w:color="595959"/>
            </w:tcBorders>
            <w:vAlign w:val="center"/>
            <w:hideMark/>
          </w:tcPr>
          <w:p w14:paraId="461A2EDB" w14:textId="77777777" w:rsidR="00692181" w:rsidRPr="00692181" w:rsidRDefault="00692181" w:rsidP="00692181">
            <w:pPr>
              <w:spacing w:after="0" w:line="240" w:lineRule="auto"/>
              <w:jc w:val="both"/>
              <w:rPr>
                <w:rFonts w:ascii="Times New Roman" w:eastAsia="Times New Roman" w:hAnsi="Times New Roman" w:cs="Times New Roman"/>
                <w:sz w:val="28"/>
                <w:szCs w:val="28"/>
              </w:rPr>
            </w:pPr>
            <w:r w:rsidRPr="00692181">
              <w:rPr>
                <w:rFonts w:ascii="Times New Roman" w:eastAsia="Times New Roman" w:hAnsi="Times New Roman" w:cs="Times New Roman"/>
                <w:sz w:val="28"/>
                <w:szCs w:val="28"/>
              </w:rPr>
              <w:t>Идентифицирует текстовые сигналы риска: слова вроде "суд", "реструктуризация", "дефолт"</w:t>
            </w:r>
          </w:p>
        </w:tc>
      </w:tr>
    </w:tbl>
    <w:p w14:paraId="711DE8CB" w14:textId="77777777" w:rsidR="00692181" w:rsidRPr="00692181" w:rsidRDefault="00692181" w:rsidP="00692181">
      <w:pPr>
        <w:spacing w:after="0" w:line="278" w:lineRule="auto"/>
        <w:jc w:val="center"/>
        <w:rPr>
          <w:rFonts w:ascii="Times New Roman" w:eastAsia="Times New Roman" w:hAnsi="Times New Roman" w:cs="Times New Roman"/>
          <w:sz w:val="24"/>
          <w:szCs w:val="24"/>
        </w:rPr>
      </w:pPr>
    </w:p>
    <w:p w14:paraId="2378BA8B" w14:textId="77777777" w:rsidR="00692181" w:rsidRPr="00692181" w:rsidRDefault="00692181" w:rsidP="00692181">
      <w:pPr>
        <w:spacing w:after="0" w:line="278" w:lineRule="auto"/>
        <w:jc w:val="center"/>
        <w:rPr>
          <w:rFonts w:ascii="Times New Roman" w:eastAsia="Times New Roman" w:hAnsi="Times New Roman" w:cs="Times New Roman"/>
          <w:sz w:val="24"/>
          <w:szCs w:val="24"/>
        </w:rPr>
      </w:pPr>
      <w:r w:rsidRPr="00692181">
        <w:rPr>
          <w:rFonts w:ascii="Times New Roman" w:eastAsia="Times New Roman" w:hAnsi="Times New Roman" w:cs="Times New Roman"/>
          <w:sz w:val="24"/>
          <w:szCs w:val="24"/>
        </w:rPr>
        <w:t xml:space="preserve"> </w:t>
      </w:r>
    </w:p>
    <w:p w14:paraId="699937A4" w14:textId="273C61FE"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 xml:space="preserve">В последнее время актуальными являются работы, в которых рассматривается искусственный интеллект на основе нейронных технологий для оценки риска банкротства. Модели на нейронных сетях имеют ряд преимуществ по сравнению с другими моделями, так как точность прогноза с их помощью оценивается в окрестности 95,7 %, тогда как другие модели показали несколько худший результат: Случайный лес — 90, 69%, Логическая регрессия — 82,26%. [4] </w:t>
      </w:r>
    </w:p>
    <w:p w14:paraId="35F883EB"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Искусственный интеллект позволяет проводить анализ финансовых показателей, строить различные модели, при этом учитывать отраслевую особенность предприятия, прогнозировать риски и, самое главное, интерпретировать результаты анализов и предоставлять рекомендации.</w:t>
      </w:r>
    </w:p>
    <w:p w14:paraId="19E99315"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Однако, несмотря на свои преимущества, применение искусственного интеллекта в прогнозировании банкротства связано с рядом трудностей. Прежде всего, точность прогнозов напрямую зависит от качества используемых данных. Во-вторых, интерпретация результатов может вызывать сложности, так как некоторые модели выдают неоднозначные оценки. В-третьих, эффективное использование методов обучения требует специализированных знаний в области статистики, эконометрики и ИИ. [3]</w:t>
      </w:r>
    </w:p>
    <w:p w14:paraId="30BC55C3" w14:textId="77777777" w:rsidR="00692181" w:rsidRPr="00692181" w:rsidRDefault="00692181" w:rsidP="00692181">
      <w:pPr>
        <w:spacing w:after="0" w:line="240" w:lineRule="auto"/>
        <w:ind w:firstLine="708"/>
        <w:jc w:val="both"/>
        <w:rPr>
          <w:rFonts w:ascii="Times New Roman" w:eastAsia="Times New Roman" w:hAnsi="Times New Roman" w:cs="Times New Roman"/>
          <w:sz w:val="32"/>
          <w:szCs w:val="32"/>
        </w:rPr>
      </w:pPr>
      <w:r w:rsidRPr="00692181">
        <w:rPr>
          <w:rFonts w:ascii="Times New Roman" w:eastAsia="Times New Roman" w:hAnsi="Times New Roman" w:cs="Times New Roman"/>
          <w:sz w:val="32"/>
          <w:szCs w:val="32"/>
        </w:rPr>
        <w:t>Использование искусственного интеллекта, включая машинное обучение и нейронные сети, позволяет значительно повысить точность прогнозирования за счет обработки больших объемов данных, выявления скрытых закономерностей и адаптации к изменяющимся экономическим условиям.</w:t>
      </w:r>
    </w:p>
    <w:p w14:paraId="4432D81B" w14:textId="77777777" w:rsidR="00692181" w:rsidRPr="00692181" w:rsidRDefault="00692181" w:rsidP="007B080E">
      <w:pPr>
        <w:spacing w:after="0" w:line="240" w:lineRule="auto"/>
        <w:ind w:firstLine="708"/>
        <w:jc w:val="both"/>
        <w:rPr>
          <w:rFonts w:ascii="Times New Roman" w:eastAsia="Times New Roman" w:hAnsi="Times New Roman" w:cs="Times New Roman"/>
          <w:sz w:val="24"/>
          <w:szCs w:val="24"/>
        </w:rPr>
      </w:pPr>
      <w:r w:rsidRPr="00692181">
        <w:rPr>
          <w:rFonts w:ascii="Times New Roman" w:eastAsia="Times New Roman" w:hAnsi="Times New Roman" w:cs="Times New Roman"/>
          <w:sz w:val="32"/>
          <w:szCs w:val="32"/>
        </w:rPr>
        <w:t>Применение ИИ в экономическом анализе не только ускоряет процесс оценки рисков, но и минимизирует субъективность принятия решений. Однако внедрение таких технологий требует качественных данных, соответствующей инфраструктуры и компетенций аналитиков.</w:t>
      </w:r>
    </w:p>
    <w:p w14:paraId="2F571EBA" w14:textId="3FAA4987" w:rsidR="00692181" w:rsidRPr="00692181" w:rsidRDefault="00692181" w:rsidP="007B080E">
      <w:pPr>
        <w:spacing w:after="0" w:line="278" w:lineRule="auto"/>
        <w:jc w:val="center"/>
        <w:rPr>
          <w:rFonts w:ascii="Times New Roman" w:eastAsia="Segoe UI" w:hAnsi="Times New Roman" w:cs="Times New Roman"/>
          <w:b/>
          <w:bCs/>
          <w:color w:val="000000"/>
          <w:sz w:val="21"/>
          <w:szCs w:val="21"/>
          <w:shd w:val="clear" w:color="auto" w:fill="FFFFFF"/>
        </w:rPr>
      </w:pPr>
      <w:r w:rsidRPr="00692181">
        <w:rPr>
          <w:rFonts w:ascii="Times New Roman" w:eastAsia="Segoe UI" w:hAnsi="Times New Roman" w:cs="Times New Roman"/>
          <w:b/>
          <w:bCs/>
          <w:color w:val="000000"/>
          <w:sz w:val="21"/>
          <w:szCs w:val="21"/>
          <w:shd w:val="clear" w:color="auto" w:fill="FFFFFF"/>
        </w:rPr>
        <w:t>Литература:</w:t>
      </w:r>
    </w:p>
    <w:p w14:paraId="3C42A375" w14:textId="77777777" w:rsidR="00692181" w:rsidRPr="00692181" w:rsidRDefault="00692181" w:rsidP="00AD58CD">
      <w:pPr>
        <w:numPr>
          <w:ilvl w:val="0"/>
          <w:numId w:val="208"/>
        </w:numPr>
        <w:spacing w:after="0" w:line="240" w:lineRule="auto"/>
        <w:jc w:val="both"/>
        <w:textAlignment w:val="baseline"/>
        <w:rPr>
          <w:rFonts w:ascii="Times New Roman" w:eastAsia="Segoe UI" w:hAnsi="Times New Roman" w:cs="Times New Roman"/>
          <w:color w:val="000000"/>
          <w:sz w:val="21"/>
          <w:szCs w:val="21"/>
          <w:shd w:val="clear" w:color="auto" w:fill="FFFFFF"/>
        </w:rPr>
      </w:pPr>
      <w:r w:rsidRPr="00692181">
        <w:rPr>
          <w:rFonts w:ascii="Times New Roman" w:eastAsia="Segoe UI" w:hAnsi="Times New Roman" w:cs="Times New Roman"/>
          <w:color w:val="000000"/>
          <w:sz w:val="21"/>
          <w:szCs w:val="21"/>
          <w:shd w:val="clear" w:color="auto" w:fill="FFFFFF"/>
        </w:rPr>
        <w:lastRenderedPageBreak/>
        <w:t xml:space="preserve">Бутко П. В. ИСПОЛЬЗОВАНИЕ ИСКУСТВЕННОГО ИНТЕЛЛЕКТА (ИИ) ПРИ АНАЛИЗЕ БАНКРОТСТВА КОММЕРЧЕСКИХ ОРГАНИЗАЦИЙ // </w:t>
      </w:r>
      <w:proofErr w:type="gramStart"/>
      <w:r w:rsidRPr="00692181">
        <w:rPr>
          <w:rFonts w:ascii="Times New Roman" w:eastAsia="Segoe UI" w:hAnsi="Times New Roman" w:cs="Times New Roman"/>
          <w:color w:val="000000"/>
          <w:sz w:val="21"/>
          <w:szCs w:val="21"/>
          <w:shd w:val="clear" w:color="auto" w:fill="FFFFFF"/>
        </w:rPr>
        <w:t>наука И</w:t>
      </w:r>
      <w:proofErr w:type="gramEnd"/>
      <w:r w:rsidRPr="00692181">
        <w:rPr>
          <w:rFonts w:ascii="Times New Roman" w:eastAsia="Segoe UI" w:hAnsi="Times New Roman" w:cs="Times New Roman"/>
          <w:color w:val="000000"/>
          <w:sz w:val="21"/>
          <w:szCs w:val="21"/>
          <w:shd w:val="clear" w:color="auto" w:fill="FFFFFF"/>
        </w:rPr>
        <w:t xml:space="preserve"> мир. 2024. №. 1. С. 16-20. DOI: </w:t>
      </w:r>
      <w:hyperlink r:id="rId244" w:tgtFrame="https://word-edit.officeapps.live.com/we/_blank" w:history="1">
        <w:r w:rsidRPr="00692181">
          <w:rPr>
            <w:rFonts w:ascii="Times New Roman" w:eastAsia="Segoe UI" w:hAnsi="Times New Roman" w:cs="Times New Roman"/>
            <w:color w:val="000000"/>
            <w:sz w:val="21"/>
            <w:szCs w:val="21"/>
            <w:shd w:val="clear" w:color="auto" w:fill="FFFFFF"/>
          </w:rPr>
          <w:t>https://doi.Org/10.26526/2307-9401-2024-1-16-20</w:t>
        </w:r>
      </w:hyperlink>
      <w:r w:rsidRPr="00692181">
        <w:rPr>
          <w:rFonts w:ascii="Times New Roman" w:eastAsia="Arial" w:hAnsi="Times New Roman" w:cs="Times New Roman"/>
          <w:color w:val="000000"/>
          <w:sz w:val="21"/>
          <w:szCs w:val="21"/>
          <w:shd w:val="clear" w:color="auto" w:fill="FFFFFF"/>
        </w:rPr>
        <w:t> </w:t>
      </w:r>
    </w:p>
    <w:p w14:paraId="638589D5" w14:textId="77777777" w:rsidR="00692181" w:rsidRPr="00692181" w:rsidRDefault="00692181" w:rsidP="00AD58CD">
      <w:pPr>
        <w:numPr>
          <w:ilvl w:val="0"/>
          <w:numId w:val="208"/>
        </w:numPr>
        <w:spacing w:after="0" w:line="240" w:lineRule="auto"/>
        <w:jc w:val="both"/>
        <w:textAlignment w:val="baseline"/>
        <w:rPr>
          <w:rFonts w:ascii="Times New Roman" w:eastAsia="Segoe UI" w:hAnsi="Times New Roman" w:cs="Times New Roman"/>
          <w:color w:val="000000"/>
          <w:sz w:val="21"/>
          <w:szCs w:val="21"/>
          <w:shd w:val="clear" w:color="auto" w:fill="FFFFFF"/>
          <w:lang w:val="en-US"/>
        </w:rPr>
      </w:pPr>
      <w:r w:rsidRPr="00692181">
        <w:rPr>
          <w:rFonts w:ascii="Times New Roman" w:eastAsia="Segoe UI" w:hAnsi="Times New Roman" w:cs="Times New Roman"/>
          <w:color w:val="000000"/>
          <w:sz w:val="21"/>
          <w:szCs w:val="21"/>
          <w:shd w:val="clear" w:color="auto" w:fill="FFFFFF"/>
        </w:rPr>
        <w:t xml:space="preserve">Апатова Наталья Владимировна, Попов Виталий Борисович ПРОГНОЗИРОВАНИЯ БАНКРОТСТВА ПРЕДПРИЯТИЙ С ИСПОЛЬЗОВАНИЕМ ИСКУССТВЕННОГО ИНТЕЛЛЕКТА // Научный вестник: финансы, банки, инвестиции. </w:t>
      </w:r>
      <w:r w:rsidRPr="00692181">
        <w:rPr>
          <w:rFonts w:ascii="Times New Roman" w:eastAsia="Segoe UI" w:hAnsi="Times New Roman" w:cs="Times New Roman"/>
          <w:color w:val="000000"/>
          <w:sz w:val="21"/>
          <w:szCs w:val="21"/>
          <w:shd w:val="clear" w:color="auto" w:fill="FFFFFF"/>
          <w:lang w:val="en-US"/>
        </w:rPr>
        <w:t xml:space="preserve">2020. №2 (51). URL: </w:t>
      </w:r>
      <w:hyperlink r:id="rId245" w:history="1">
        <w:r w:rsidRPr="00692181">
          <w:rPr>
            <w:rFonts w:ascii="Times New Roman" w:eastAsia="Segoe UI" w:hAnsi="Times New Roman" w:cs="Times New Roman"/>
            <w:color w:val="000000"/>
            <w:sz w:val="21"/>
            <w:szCs w:val="21"/>
            <w:shd w:val="clear" w:color="auto" w:fill="FFFFFF"/>
            <w:lang w:val="en-US"/>
          </w:rPr>
          <w:t>https://cyberleninka.ru/article/n/prognozirovaniya-bankrotstva-predpriyatiy-s-ispolzovaniem-iskusstvennogo-intellekta</w:t>
        </w:r>
      </w:hyperlink>
      <w:r w:rsidRPr="00692181">
        <w:rPr>
          <w:rFonts w:ascii="Times New Roman" w:eastAsia="Segoe UI" w:hAnsi="Times New Roman" w:cs="Times New Roman"/>
          <w:color w:val="000000"/>
          <w:sz w:val="21"/>
          <w:szCs w:val="21"/>
          <w:shd w:val="clear" w:color="auto" w:fill="FFFFFF"/>
          <w:lang w:val="en-US"/>
        </w:rPr>
        <w:t>.</w:t>
      </w:r>
    </w:p>
    <w:p w14:paraId="1505916A" w14:textId="77777777" w:rsidR="00692181" w:rsidRPr="00692181" w:rsidRDefault="00692181" w:rsidP="00AD58CD">
      <w:pPr>
        <w:numPr>
          <w:ilvl w:val="0"/>
          <w:numId w:val="208"/>
        </w:numPr>
        <w:spacing w:after="0" w:line="240" w:lineRule="auto"/>
        <w:jc w:val="both"/>
        <w:textAlignment w:val="baseline"/>
        <w:rPr>
          <w:rFonts w:ascii="Times New Roman" w:eastAsia="Segoe UI" w:hAnsi="Times New Roman" w:cs="Times New Roman"/>
          <w:color w:val="000000"/>
          <w:sz w:val="21"/>
          <w:szCs w:val="21"/>
          <w:shd w:val="clear" w:color="auto" w:fill="FFFFFF"/>
        </w:rPr>
      </w:pPr>
      <w:r w:rsidRPr="00692181">
        <w:rPr>
          <w:rFonts w:ascii="Times New Roman" w:eastAsia="Segoe UI" w:hAnsi="Times New Roman" w:cs="Times New Roman"/>
          <w:color w:val="000000"/>
          <w:sz w:val="21"/>
          <w:szCs w:val="21"/>
          <w:shd w:val="clear" w:color="auto" w:fill="FFFFFF"/>
        </w:rPr>
        <w:t xml:space="preserve">Бойкова Т. К. Использование машинного обучения для прогнозирования банкротства предприятий // Актуальные исследования. 2024. №12 (194). Ч.II. С. 35-37. URL: </w:t>
      </w:r>
      <w:hyperlink r:id="rId246" w:history="1">
        <w:r w:rsidRPr="00692181">
          <w:rPr>
            <w:rFonts w:ascii="Times New Roman" w:eastAsia="Segoe UI" w:hAnsi="Times New Roman" w:cs="Times New Roman"/>
            <w:color w:val="000000"/>
            <w:sz w:val="21"/>
            <w:szCs w:val="21"/>
            <w:shd w:val="clear" w:color="auto" w:fill="FFFFFF"/>
          </w:rPr>
          <w:t>https://apni.ru/article/8816-ispolzovanie-mashinnogo-obucheniya-dlya-progn</w:t>
        </w:r>
      </w:hyperlink>
    </w:p>
    <w:p w14:paraId="11A84B9A" w14:textId="77777777" w:rsidR="00692181" w:rsidRPr="00692181" w:rsidRDefault="00692181" w:rsidP="00AD58CD">
      <w:pPr>
        <w:numPr>
          <w:ilvl w:val="0"/>
          <w:numId w:val="208"/>
        </w:numPr>
        <w:spacing w:line="240" w:lineRule="auto"/>
        <w:jc w:val="both"/>
        <w:rPr>
          <w:rFonts w:ascii="Times New Roman" w:eastAsia="Segoe UI" w:hAnsi="Times New Roman" w:cs="Times New Roman"/>
          <w:color w:val="000000"/>
          <w:sz w:val="21"/>
          <w:szCs w:val="21"/>
          <w:shd w:val="clear" w:color="auto" w:fill="FFFFFF"/>
          <w:lang w:val="en-US"/>
        </w:rPr>
      </w:pPr>
      <w:r w:rsidRPr="00692181">
        <w:rPr>
          <w:rFonts w:ascii="Times New Roman" w:eastAsia="Segoe UI" w:hAnsi="Times New Roman" w:cs="Times New Roman"/>
          <w:color w:val="000000"/>
          <w:sz w:val="21"/>
          <w:szCs w:val="21"/>
          <w:shd w:val="clear" w:color="auto" w:fill="FFFFFF"/>
        </w:rPr>
        <w:t xml:space="preserve">Иванькова Светлана Сергеевна ОЦЕНКА И АНАЛИЗ РИСКА БАНКРОТСТВА С ИСПОЛЬЗОВАНИЕМ DECISION TREE МОДЕЛИ МАШИННОГО ОБУЧЕНИЯ // Интерактивная наука. </w:t>
      </w:r>
      <w:r w:rsidRPr="00692181">
        <w:rPr>
          <w:rFonts w:ascii="Times New Roman" w:eastAsia="Segoe UI" w:hAnsi="Times New Roman" w:cs="Times New Roman"/>
          <w:color w:val="000000"/>
          <w:sz w:val="21"/>
          <w:szCs w:val="21"/>
          <w:shd w:val="clear" w:color="auto" w:fill="FFFFFF"/>
          <w:lang w:val="en-US"/>
        </w:rPr>
        <w:t>2022. №2 (67). URL: https://cyberleninka.ru/article/n/otsenka-i-analiz-riska-bankrotstva-s-ispolzovaniem-decision-tree-modeli-mashinnogo-obucheniya</w:t>
      </w:r>
    </w:p>
    <w:p w14:paraId="7582B1A2" w14:textId="77777777" w:rsidR="00692181" w:rsidRPr="00420733" w:rsidRDefault="00692181" w:rsidP="007B080E">
      <w:pPr>
        <w:tabs>
          <w:tab w:val="left" w:pos="0"/>
        </w:tabs>
        <w:suppressAutoHyphens/>
        <w:autoSpaceDE w:val="0"/>
        <w:spacing w:after="0" w:line="240" w:lineRule="auto"/>
        <w:jc w:val="both"/>
        <w:rPr>
          <w:rFonts w:ascii="Times New Roman" w:eastAsia="Times New Roman" w:hAnsi="Times New Roman" w:cs="Times New Roman"/>
          <w:sz w:val="21"/>
          <w:szCs w:val="21"/>
          <w:lang w:val="en-US" w:eastAsia="ar-SA"/>
        </w:rPr>
      </w:pPr>
    </w:p>
    <w:p w14:paraId="570E7ED2"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r w:rsidRPr="00436536">
        <w:rPr>
          <w:rFonts w:ascii="Times New Roman" w:eastAsia="Times New Roman" w:hAnsi="Times New Roman" w:cs="Times New Roman"/>
          <w:b/>
          <w:sz w:val="21"/>
          <w:szCs w:val="21"/>
          <w:lang w:eastAsia="ar-SA"/>
        </w:rPr>
        <w:t>УДК 338</w:t>
      </w:r>
    </w:p>
    <w:p w14:paraId="6224125B"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b/>
          <w:i/>
          <w:sz w:val="21"/>
          <w:szCs w:val="21"/>
          <w:lang w:eastAsia="ar-SA"/>
        </w:rPr>
        <w:t xml:space="preserve">Нессонов А.В., </w:t>
      </w:r>
    </w:p>
    <w:p w14:paraId="1CE1259F"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 xml:space="preserve">студент 2 курса </w:t>
      </w:r>
    </w:p>
    <w:p w14:paraId="046D0235"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Финансовый Университет при Правительстве Российской Федерации</w:t>
      </w:r>
    </w:p>
    <w:p w14:paraId="64FA5CA1"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г. Краснодар, Россия</w:t>
      </w:r>
    </w:p>
    <w:p w14:paraId="73C08139"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е-</w:t>
      </w:r>
      <w:r w:rsidRPr="00436536">
        <w:rPr>
          <w:rFonts w:ascii="Times New Roman" w:eastAsia="Times New Roman" w:hAnsi="Times New Roman" w:cs="Times New Roman"/>
          <w:i/>
          <w:sz w:val="21"/>
          <w:szCs w:val="21"/>
          <w:lang w:val="en-US" w:eastAsia="ar-SA"/>
        </w:rPr>
        <w:t>mail</w:t>
      </w:r>
      <w:r w:rsidRPr="00436536">
        <w:rPr>
          <w:rFonts w:ascii="Times New Roman" w:eastAsia="Times New Roman" w:hAnsi="Times New Roman" w:cs="Times New Roman"/>
          <w:i/>
          <w:sz w:val="21"/>
          <w:szCs w:val="21"/>
          <w:lang w:eastAsia="ar-SA"/>
        </w:rPr>
        <w:t xml:space="preserve">: </w:t>
      </w:r>
      <w:r w:rsidRPr="00436536">
        <w:rPr>
          <w:rFonts w:ascii="Times New Roman" w:eastAsia="Times New Roman" w:hAnsi="Times New Roman" w:cs="Times New Roman"/>
          <w:i/>
          <w:sz w:val="21"/>
          <w:szCs w:val="21"/>
          <w:lang w:val="en-US" w:eastAsia="ar-SA"/>
        </w:rPr>
        <w:t>andrejnessonov</w:t>
      </w:r>
      <w:r w:rsidRPr="00436536">
        <w:rPr>
          <w:rFonts w:ascii="Times New Roman" w:eastAsia="Times New Roman" w:hAnsi="Times New Roman" w:cs="Times New Roman"/>
          <w:i/>
          <w:sz w:val="21"/>
          <w:szCs w:val="21"/>
          <w:lang w:eastAsia="ar-SA"/>
        </w:rPr>
        <w:t>@</w:t>
      </w:r>
      <w:r w:rsidRPr="00436536">
        <w:rPr>
          <w:rFonts w:ascii="Times New Roman" w:eastAsia="Times New Roman" w:hAnsi="Times New Roman" w:cs="Times New Roman"/>
          <w:i/>
          <w:sz w:val="21"/>
          <w:szCs w:val="21"/>
          <w:lang w:val="en-US" w:eastAsia="ar-SA"/>
        </w:rPr>
        <w:t>gmail</w:t>
      </w:r>
      <w:r w:rsidRPr="00436536">
        <w:rPr>
          <w:rFonts w:ascii="Times New Roman" w:eastAsia="Times New Roman" w:hAnsi="Times New Roman" w:cs="Times New Roman"/>
          <w:i/>
          <w:sz w:val="21"/>
          <w:szCs w:val="21"/>
          <w:lang w:eastAsia="ar-SA"/>
        </w:rPr>
        <w:t>.</w:t>
      </w:r>
      <w:r w:rsidRPr="00436536">
        <w:rPr>
          <w:rFonts w:ascii="Times New Roman" w:eastAsia="Times New Roman" w:hAnsi="Times New Roman" w:cs="Times New Roman"/>
          <w:i/>
          <w:sz w:val="21"/>
          <w:szCs w:val="21"/>
          <w:lang w:val="en-US" w:eastAsia="ar-SA"/>
        </w:rPr>
        <w:t>com</w:t>
      </w:r>
      <w:r w:rsidRPr="00436536">
        <w:rPr>
          <w:rFonts w:ascii="Times New Roman" w:eastAsia="Times New Roman" w:hAnsi="Times New Roman" w:cs="Times New Roman"/>
          <w:i/>
          <w:sz w:val="21"/>
          <w:szCs w:val="21"/>
          <w:lang w:eastAsia="ar-SA"/>
        </w:rPr>
        <w:t xml:space="preserve"> </w:t>
      </w:r>
    </w:p>
    <w:p w14:paraId="3B2A67C3"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p>
    <w:p w14:paraId="64DB67A6"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b/>
          <w:i/>
          <w:sz w:val="21"/>
          <w:szCs w:val="21"/>
          <w:lang w:eastAsia="ar-SA"/>
        </w:rPr>
      </w:pPr>
      <w:r w:rsidRPr="00436536">
        <w:rPr>
          <w:rFonts w:ascii="Times New Roman" w:eastAsia="Times New Roman" w:hAnsi="Times New Roman" w:cs="Times New Roman"/>
          <w:b/>
          <w:i/>
          <w:sz w:val="21"/>
          <w:szCs w:val="21"/>
          <w:lang w:eastAsia="ar-SA"/>
        </w:rPr>
        <w:t>Научный руководитель:</w:t>
      </w:r>
    </w:p>
    <w:p w14:paraId="502433E7"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b/>
          <w:i/>
          <w:sz w:val="21"/>
          <w:szCs w:val="21"/>
          <w:lang w:eastAsia="ar-SA"/>
        </w:rPr>
      </w:pPr>
      <w:r w:rsidRPr="00436536">
        <w:rPr>
          <w:rFonts w:ascii="Times New Roman" w:eastAsia="Times New Roman" w:hAnsi="Times New Roman" w:cs="Times New Roman"/>
          <w:b/>
          <w:i/>
          <w:sz w:val="21"/>
          <w:szCs w:val="21"/>
          <w:lang w:eastAsia="ar-SA"/>
        </w:rPr>
        <w:t>Маничкина М.В.,</w:t>
      </w:r>
    </w:p>
    <w:p w14:paraId="17E814A4"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b/>
          <w:i/>
          <w:sz w:val="21"/>
          <w:szCs w:val="21"/>
          <w:lang w:eastAsia="ar-SA"/>
        </w:rPr>
        <w:t xml:space="preserve"> </w:t>
      </w:r>
      <w:r w:rsidRPr="00436536">
        <w:rPr>
          <w:rFonts w:ascii="Times New Roman" w:eastAsia="Times New Roman" w:hAnsi="Times New Roman" w:cs="Times New Roman"/>
          <w:i/>
          <w:sz w:val="21"/>
          <w:szCs w:val="21"/>
          <w:lang w:eastAsia="ar-SA"/>
        </w:rPr>
        <w:t>доцент, к.э.н.</w:t>
      </w:r>
    </w:p>
    <w:p w14:paraId="3D6C8463"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Финансовый Университет при Правительстве Российской Федерации</w:t>
      </w:r>
    </w:p>
    <w:p w14:paraId="071F9546"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г. Краснодар, Россия</w:t>
      </w:r>
    </w:p>
    <w:p w14:paraId="61AE4098" w14:textId="77777777" w:rsidR="00436536" w:rsidRPr="00436536" w:rsidRDefault="00436536" w:rsidP="00436536">
      <w:pPr>
        <w:tabs>
          <w:tab w:val="left" w:pos="0"/>
        </w:tabs>
        <w:suppressAutoHyphens/>
        <w:autoSpaceDE w:val="0"/>
        <w:spacing w:after="0" w:line="240" w:lineRule="auto"/>
        <w:jc w:val="right"/>
        <w:rPr>
          <w:rFonts w:ascii="Times New Roman" w:eastAsia="Times New Roman" w:hAnsi="Times New Roman" w:cs="Times New Roman"/>
          <w:i/>
          <w:sz w:val="21"/>
          <w:szCs w:val="21"/>
          <w:lang w:eastAsia="ar-SA"/>
        </w:rPr>
      </w:pPr>
      <w:r w:rsidRPr="00436536">
        <w:rPr>
          <w:rFonts w:ascii="Times New Roman" w:eastAsia="Times New Roman" w:hAnsi="Times New Roman" w:cs="Times New Roman"/>
          <w:i/>
          <w:sz w:val="21"/>
          <w:szCs w:val="21"/>
          <w:lang w:eastAsia="ar-SA"/>
        </w:rPr>
        <w:t>е-</w:t>
      </w:r>
      <w:r w:rsidRPr="00436536">
        <w:rPr>
          <w:rFonts w:ascii="Times New Roman" w:eastAsia="Times New Roman" w:hAnsi="Times New Roman" w:cs="Times New Roman"/>
          <w:i/>
          <w:sz w:val="21"/>
          <w:szCs w:val="21"/>
          <w:lang w:val="en-US" w:eastAsia="ar-SA"/>
        </w:rPr>
        <w:t>mail</w:t>
      </w:r>
      <w:r w:rsidRPr="00436536">
        <w:rPr>
          <w:rFonts w:ascii="Times New Roman" w:eastAsia="Times New Roman" w:hAnsi="Times New Roman" w:cs="Times New Roman"/>
          <w:i/>
          <w:sz w:val="21"/>
          <w:szCs w:val="21"/>
          <w:lang w:eastAsia="ar-SA"/>
        </w:rPr>
        <w:t>: MVManichkina@fa.ru</w:t>
      </w:r>
    </w:p>
    <w:p w14:paraId="74F100D3"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p>
    <w:p w14:paraId="56EDB671" w14:textId="77777777" w:rsidR="00436536" w:rsidRPr="00436536" w:rsidRDefault="00436536" w:rsidP="00436536">
      <w:pPr>
        <w:tabs>
          <w:tab w:val="left" w:pos="0"/>
        </w:tabs>
        <w:suppressAutoHyphens/>
        <w:autoSpaceDE w:val="0"/>
        <w:spacing w:after="0" w:line="240" w:lineRule="auto"/>
        <w:jc w:val="center"/>
        <w:rPr>
          <w:rFonts w:ascii="Times New Roman" w:eastAsia="Times New Roman" w:hAnsi="Times New Roman" w:cs="Times New Roman"/>
          <w:b/>
          <w:sz w:val="21"/>
          <w:szCs w:val="21"/>
          <w:lang w:eastAsia="ar-SA"/>
        </w:rPr>
      </w:pPr>
      <w:r w:rsidRPr="00436536">
        <w:rPr>
          <w:rFonts w:ascii="Times New Roman" w:eastAsia="Times New Roman" w:hAnsi="Times New Roman" w:cs="Times New Roman"/>
          <w:b/>
          <w:sz w:val="21"/>
          <w:szCs w:val="21"/>
          <w:lang w:eastAsia="ar-SA"/>
        </w:rPr>
        <w:t>Рыночная стоимость деловой репутации: согласование стандартов бухгалтерского учёта с восприятием в маркетинге</w:t>
      </w:r>
    </w:p>
    <w:p w14:paraId="787CEE9B"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p>
    <w:p w14:paraId="6BDA9D2D"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b/>
          <w:sz w:val="21"/>
          <w:szCs w:val="21"/>
          <w:lang w:eastAsia="ar-SA"/>
        </w:rPr>
        <w:t>Аннотация:</w:t>
      </w:r>
      <w:r w:rsidRPr="00436536">
        <w:rPr>
          <w:rFonts w:ascii="Times New Roman" w:eastAsia="Times New Roman" w:hAnsi="Times New Roman" w:cs="Times New Roman"/>
          <w:sz w:val="21"/>
          <w:szCs w:val="21"/>
          <w:lang w:eastAsia="ar-SA"/>
        </w:rPr>
        <w:t xml:space="preserve"> Статья посвящена анализу противоречий между подходами маркетинга и бухгалтерского (финансового) учета к оценке деловой репутации. Исследованы причины разрыва в методологиях, включая различия в целях (стратегическое управление и финансовая отчётность) и терминологии. На основе сравнительного анализа стандартов IAS 38, ФСБУ 14 и маркетинговых моделей бренд-активити предложены пути преодоления дисциплинарного разрыва через образование, коммуникацию и разработку гибридных метрик. Результаты работы могут быть использованы для повышения точности оценки стоимости компаний и снижения инвестиционных рисков.</w:t>
      </w:r>
    </w:p>
    <w:p w14:paraId="3CCCC4B4"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b/>
          <w:sz w:val="21"/>
          <w:szCs w:val="21"/>
          <w:lang w:eastAsia="ar-SA"/>
        </w:rPr>
        <w:t>Ключевые слова:</w:t>
      </w:r>
      <w:r w:rsidRPr="00436536">
        <w:rPr>
          <w:rFonts w:ascii="Times New Roman" w:eastAsia="Times New Roman" w:hAnsi="Times New Roman" w:cs="Times New Roman"/>
          <w:sz w:val="21"/>
          <w:szCs w:val="21"/>
          <w:lang w:eastAsia="ar-SA"/>
        </w:rPr>
        <w:t xml:space="preserve"> деловая репутация, гудвилл, бренд-эквити, нематериальные активы, МСФО, междисциплинарный доход.</w:t>
      </w:r>
    </w:p>
    <w:p w14:paraId="16A302E3"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06B27B9C" w14:textId="77777777" w:rsidR="00436536" w:rsidRPr="00436536" w:rsidRDefault="00436536" w:rsidP="00436536">
      <w:pPr>
        <w:tabs>
          <w:tab w:val="left" w:pos="0"/>
        </w:tabs>
        <w:suppressAutoHyphens/>
        <w:autoSpaceDE w:val="0"/>
        <w:spacing w:after="0" w:line="240" w:lineRule="auto"/>
        <w:jc w:val="center"/>
        <w:rPr>
          <w:rFonts w:ascii="Times New Roman" w:eastAsia="Times New Roman" w:hAnsi="Times New Roman" w:cs="Times New Roman"/>
          <w:b/>
          <w:bCs/>
          <w:sz w:val="21"/>
          <w:szCs w:val="21"/>
          <w:lang w:val="en-US" w:eastAsia="ar-SA"/>
        </w:rPr>
      </w:pPr>
      <w:r w:rsidRPr="00436536">
        <w:rPr>
          <w:rFonts w:ascii="Times New Roman" w:eastAsia="Times New Roman" w:hAnsi="Times New Roman" w:cs="Times New Roman"/>
          <w:b/>
          <w:bCs/>
          <w:sz w:val="21"/>
          <w:szCs w:val="21"/>
          <w:lang w:val="en-US" w:eastAsia="ar-SA"/>
        </w:rPr>
        <w:t>Market value of business reputation: alignment of accounting standards with perception in marketing</w:t>
      </w:r>
    </w:p>
    <w:p w14:paraId="083CCB8B"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val="en-US" w:eastAsia="ar-SA"/>
        </w:rPr>
      </w:pPr>
    </w:p>
    <w:p w14:paraId="1F594BFF"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en-US" w:eastAsia="ar-SA"/>
        </w:rPr>
      </w:pPr>
      <w:r w:rsidRPr="00436536">
        <w:rPr>
          <w:rFonts w:ascii="Times New Roman" w:eastAsia="Times New Roman" w:hAnsi="Times New Roman" w:cs="Times New Roman"/>
          <w:b/>
          <w:bCs/>
          <w:sz w:val="21"/>
          <w:szCs w:val="21"/>
          <w:lang w:val="en-US" w:eastAsia="ar-SA"/>
        </w:rPr>
        <w:t>Abstract</w:t>
      </w:r>
      <w:r w:rsidRPr="00436536">
        <w:rPr>
          <w:rFonts w:ascii="Times New Roman" w:eastAsia="Times New Roman" w:hAnsi="Times New Roman" w:cs="Times New Roman"/>
          <w:sz w:val="21"/>
          <w:szCs w:val="21"/>
          <w:lang w:val="en-US" w:eastAsia="ar-SA"/>
        </w:rPr>
        <w:t>: The article is devoted to the analysis of contradictions between marketing and accounting (financial) accounting approaches to business reputation assessment. The reasons for the gap in methodologies, including differences in objectives (strategic management and financial reporting) and terminology, are investigated. Based on a comparative analysis of IAS 38, FAS 14 standards and brand activiti marketing models, ways to bridge the disciplinary gap through education, communication and the development of hybrid metrics are proposed. The results of the work can be used to improve the accuracy of assessing the value of companies and reduce investment risks.</w:t>
      </w:r>
    </w:p>
    <w:p w14:paraId="3FC52777"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en-US" w:eastAsia="ar-SA"/>
        </w:rPr>
      </w:pPr>
      <w:r w:rsidRPr="00436536">
        <w:rPr>
          <w:rFonts w:ascii="Times New Roman" w:eastAsia="Times New Roman" w:hAnsi="Times New Roman" w:cs="Times New Roman"/>
          <w:b/>
          <w:bCs/>
          <w:sz w:val="21"/>
          <w:szCs w:val="21"/>
          <w:lang w:val="en-US" w:eastAsia="ar-SA"/>
        </w:rPr>
        <w:t>Keywords</w:t>
      </w:r>
      <w:r w:rsidRPr="00436536">
        <w:rPr>
          <w:rFonts w:ascii="Times New Roman" w:eastAsia="Times New Roman" w:hAnsi="Times New Roman" w:cs="Times New Roman"/>
          <w:sz w:val="21"/>
          <w:szCs w:val="21"/>
          <w:lang w:val="en-US" w:eastAsia="ar-SA"/>
        </w:rPr>
        <w:t>: business reputation, goodwill, brand equity, intangible assets, IFRS, interdisciplinary income.</w:t>
      </w:r>
    </w:p>
    <w:p w14:paraId="0987D20E"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val="en-US" w:eastAsia="ar-SA"/>
        </w:rPr>
      </w:pPr>
    </w:p>
    <w:p w14:paraId="3A92240D"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Введение: в условиях роста доли нематериальных активов (до 80% рыночной стоимости компаний) деловая репутация становится ключевым фактором конкурентоспособности. Однако оценка репутации сталкивается с противоречием: маркетинг опирается на </w:t>
      </w:r>
      <w:r w:rsidRPr="00436536">
        <w:rPr>
          <w:rFonts w:ascii="Times New Roman" w:eastAsia="Times New Roman" w:hAnsi="Times New Roman" w:cs="Times New Roman"/>
          <w:bCs/>
          <w:sz w:val="32"/>
          <w:szCs w:val="32"/>
          <w:lang w:eastAsia="ar-SA"/>
        </w:rPr>
        <w:lastRenderedPageBreak/>
        <w:t xml:space="preserve">качественные индикаторы, (лояльность клиентов, имидж), а бухучет требует строгой количественной измеримости (IAS 38, ФСБУ 14). Это приводит к искажениям в финансовой отчётности и управленческих решениях. Цель статьи </w:t>
      </w:r>
      <w:r w:rsidRPr="00436536">
        <w:rPr>
          <w:rFonts w:ascii="Cambria Math" w:eastAsia="Times New Roman" w:hAnsi="Cambria Math" w:cs="Cambria Math"/>
          <w:bCs/>
          <w:sz w:val="32"/>
          <w:szCs w:val="32"/>
          <w:lang w:eastAsia="ar-SA"/>
        </w:rPr>
        <w:t>⎯</w:t>
      </w:r>
      <w:r w:rsidRPr="00436536">
        <w:rPr>
          <w:rFonts w:ascii="Times New Roman" w:eastAsia="Times New Roman" w:hAnsi="Times New Roman" w:cs="Times New Roman"/>
          <w:bCs/>
          <w:sz w:val="32"/>
          <w:szCs w:val="32"/>
          <w:lang w:eastAsia="ar-SA"/>
        </w:rPr>
        <w:t xml:space="preserve"> определение ключевых факторов, порождающих эту проблему, и разработка эффективных способов ее решения.</w:t>
      </w:r>
    </w:p>
    <w:p w14:paraId="137DCCB5"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Теоретическая часть</w:t>
      </w:r>
    </w:p>
    <w:p w14:paraId="5C230841" w14:textId="70D66181"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Чтобы выявить причины разрыва и разработки решений, начнем с уточнения сущности и </w:t>
      </w:r>
      <w:proofErr w:type="gramStart"/>
      <w:r w:rsidRPr="00436536">
        <w:rPr>
          <w:rFonts w:ascii="Times New Roman" w:eastAsia="Times New Roman" w:hAnsi="Times New Roman" w:cs="Times New Roman"/>
          <w:bCs/>
          <w:sz w:val="32"/>
          <w:szCs w:val="32"/>
          <w:lang w:eastAsia="ar-SA"/>
        </w:rPr>
        <w:t>целей бухгалтерского учета</w:t>
      </w:r>
      <w:proofErr w:type="gramEnd"/>
      <w:r w:rsidRPr="00436536">
        <w:rPr>
          <w:rFonts w:ascii="Times New Roman" w:eastAsia="Times New Roman" w:hAnsi="Times New Roman" w:cs="Times New Roman"/>
          <w:bCs/>
          <w:sz w:val="32"/>
          <w:szCs w:val="32"/>
          <w:lang w:eastAsia="ar-SA"/>
        </w:rPr>
        <w:t xml:space="preserve"> и маркетинга. Затем определим ключевые понятия в оценке деловой репутации и выявим различия в подходах и методах ее оценки. </w:t>
      </w:r>
    </w:p>
    <w:p w14:paraId="470090E9"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Филипп Котлер определяет маркетинг так: «маркетинг — это функциональное подразделение предприятия, отвечающее за: выявление неудовлетворенных запросов и потребностей; качественную и количественную оценку их объема и потенциальной прибыльности; определение наиболее подходящих для данного случая целевых рынков; разработку продуктов, услуг и программ, соответствующих этим рынкам; ориентацию всех работников на заботу о клиенте и служение его интересам» [4]. Задача маркетинга заключается в преобразовании изменяющихся потребностей людей в возможности для получения прибыли.</w:t>
      </w:r>
    </w:p>
    <w:p w14:paraId="7BC418AD" w14:textId="0F5C44B4"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Бухгалтерский учет — формирование документированной систематизированной информации об объектах, предусмотренных настоящим Федеральным законом, в соответствии с требованиями, установленными настоящим Федеральным законом, и составление на ее основе бухгалтерской (финансовой) отчетности [1]. В отчётности отражают информацию о финансовом положении организации на отчетную дату, финансовом результате ее деятельности и движении денежных средств за отчетный период. Ее используют как инструмент оценки финансового состояния, результатов деятельности, выявления резервов организации и проч. Целью финансового учета является формирование и транслирование через финансовую отчетность полезной и достоверной информации о финансовом положении и финансовых результатах деятельности организации для принятия экономических решений заинтересованными пользователями.</w:t>
      </w:r>
    </w:p>
    <w:p w14:paraId="2CF3A37A" w14:textId="61C45ADF"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Как мы можем заметить, цели бухгалтерского учёта и маркетинга значительно различаются. В контексте целей нетрудно предположить, что разночтения в оценке деловой репутации непременно возникнут. Рассмотрим и сравним содержание понятий нематериальных активов </w:t>
      </w:r>
      <w:r w:rsidRPr="00436536">
        <w:rPr>
          <w:rFonts w:ascii="Times New Roman" w:eastAsia="Times New Roman" w:hAnsi="Times New Roman" w:cs="Times New Roman"/>
          <w:bCs/>
          <w:sz w:val="32"/>
          <w:szCs w:val="32"/>
          <w:lang w:eastAsia="ar-SA"/>
        </w:rPr>
        <w:lastRenderedPageBreak/>
        <w:t>(НМА), конкретно «гудвилла» и «капитала бренда» с точки зрения финансового учета и отчетности и марктинга.</w:t>
      </w:r>
    </w:p>
    <w:p w14:paraId="19D35843" w14:textId="44DF00AB"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Международные стандарты финансовой отчетности (МСФО) определяют нематериальные активы следующим образом: объекты интеллектуальной собственности, которые принадлежат компании или ИП и не имеют физической формы. Примеры нематериальных активов, часто встречающихся в практике: интеллектуальная собственность, знание рынка, торговые марки (включая фирменные наименования), программное обеспечение, патенты, авторские права, кинофильмы, списки (базы) клиентов, права на обслуживание ипотечного кредита, лицензии, импортные квоты, франшизы, отношения с клиентами и поставщиками, долю рынка, соглашения о невступлении в конкуренцию, права на продажу [2,3].</w:t>
      </w:r>
    </w:p>
    <w:p w14:paraId="5BEDCD1E"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Объекты, не отвечающие определению НМА (идентифицируемость, контроль, будущие экономические выгоды), признаются в качестве расходов по мере их возникновения, однако, если объект возникает при объединении компаний с соответствующей ему долей в стоимости покупки, он включается в гудвилл – особенный объект нематериальных активов.</w:t>
      </w:r>
    </w:p>
    <w:p w14:paraId="4CE2DC60"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Гудвилл, возникающий при объединении компаний, </w:t>
      </w:r>
      <w:proofErr w:type="gramStart"/>
      <w:r w:rsidRPr="00436536">
        <w:rPr>
          <w:rFonts w:ascii="Times New Roman" w:eastAsia="Times New Roman" w:hAnsi="Times New Roman" w:cs="Times New Roman"/>
          <w:bCs/>
          <w:sz w:val="32"/>
          <w:szCs w:val="32"/>
          <w:lang w:eastAsia="ar-SA"/>
        </w:rPr>
        <w:t>- это</w:t>
      </w:r>
      <w:proofErr w:type="gramEnd"/>
      <w:r w:rsidRPr="00436536">
        <w:rPr>
          <w:rFonts w:ascii="Times New Roman" w:eastAsia="Times New Roman" w:hAnsi="Times New Roman" w:cs="Times New Roman"/>
          <w:bCs/>
          <w:sz w:val="32"/>
          <w:szCs w:val="32"/>
          <w:lang w:eastAsia="ar-SA"/>
        </w:rPr>
        <w:t xml:space="preserve"> уплачиваемая покупателем сумма сверх рыночной стоимости покупки в ожидании будущих экономических выгод. Будущие экономические выгоды могут возникнуть в результате эффекта синергии приобретенных идентифицируемых НМА или активов, которые по отдельности не подлежат признанию в финансовой отчётности, но которые являются частью стоимости покупки.</w:t>
      </w:r>
    </w:p>
    <w:p w14:paraId="362D3EF8"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Будущие экономические выгоды, получаемые компанией от нематериальных активов, могут включать выручку от продажи товаров, работ, услуг и продукции, а также относительную экономию на затратах и др. </w:t>
      </w:r>
    </w:p>
    <w:p w14:paraId="00D57FBF"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В маркетинге под нематериальными активами следует понимать показатель экономической значимости, обеспечивающий достижение стратегических целей предприятия и поддержание его долгосрочной конкурентоспособности. При этом оценка стоимости деловой репутации вполне может быть произведена через анализ капитала бренда (бренд-эквити).</w:t>
      </w:r>
    </w:p>
    <w:p w14:paraId="19927916"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Капитал бренда — это многомерное и сложное понятие, но его понимание остается центральным для реализации конкурентного потенциала бренда. Его сложность демонстрируется широким </w:t>
      </w:r>
      <w:r w:rsidRPr="00436536">
        <w:rPr>
          <w:rFonts w:ascii="Times New Roman" w:eastAsia="Times New Roman" w:hAnsi="Times New Roman" w:cs="Times New Roman"/>
          <w:bCs/>
          <w:sz w:val="32"/>
          <w:szCs w:val="32"/>
          <w:lang w:eastAsia="ar-SA"/>
        </w:rPr>
        <w:lastRenderedPageBreak/>
        <w:t>спектром воспринимаемых интерпретаций и способов определений как учеными, так и практиками.</w:t>
      </w:r>
    </w:p>
    <w:p w14:paraId="233C0B66"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Капитал бренда (Brand Equity) является нематериальной ценностью, связанной с брендом, которая формируется через его восприятие потребителями. Это совокупность ассоциаций, доверия, лояльности и узнаваемости, которые делают бренд отличным от конкурентов и создают его рыночную стоимость. Для оценки капитала бренда с позиции маркетинга существует несколько основных подходов:</w:t>
      </w:r>
    </w:p>
    <w:p w14:paraId="518E1531"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 финансовый подход - происходит оценка прямого вклада бренда в прибыль компании; </w:t>
      </w:r>
    </w:p>
    <w:p w14:paraId="52CFE5C8"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 - метод избыточных прибылей: сравнение прибыли компании с прибылью аналогичных компаний без сильного бренда;</w:t>
      </w:r>
    </w:p>
    <w:p w14:paraId="0CAF1E40"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роялти метод: оценка стоимости бренда через ставку роялти, которую компания могла бы платить за использование бренда;</w:t>
      </w:r>
    </w:p>
    <w:p w14:paraId="352822A4"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дисконтированные денежные потоки: прогноз будущих доходов, генерируемых брендом;</w:t>
      </w:r>
    </w:p>
    <w:p w14:paraId="5FC5B98E"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потребительский подход предполагает измерение восприятия бренда целевой аудиторией;</w:t>
      </w:r>
    </w:p>
    <w:p w14:paraId="3F6C5D78"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узнаваемость: процент потребителей, которые знают бренд;</w:t>
      </w:r>
    </w:p>
    <w:p w14:paraId="3B4A991D"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лояльность: повторные покупки;</w:t>
      </w:r>
    </w:p>
    <w:p w14:paraId="37E0C32E"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xml:space="preserve"> - воспринимаемое качество: оценки клиентов через опросы;</w:t>
      </w:r>
    </w:p>
    <w:p w14:paraId="44AC86CA"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ассоциации: уникальные атрибуты бренда (например, «инновационный», «надёжный»);</w:t>
      </w:r>
    </w:p>
    <w:p w14:paraId="29BBCD60"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 комбинированные методы объединяют финансовые показатели и потребительские метрики.</w:t>
      </w:r>
    </w:p>
    <w:p w14:paraId="24C2951F"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Хотя гудвилл как нематериальный актив рассматривается и в финансовом учете, и в маркетинге, методы его оценки, учета и управления в этих сферах принципиально различны. Финансовый учет основывается на объективных расчетах и строгом соблюдении нормативных требований, в то время как маркетинг ориентируется на субъективное восприятие потребителей и формирование дополнительной ценности. С точки зрения финансового учета гудвилл представляет собой бухгалтерскую категорию, фиксирующую превышение стоимости приобретения компании над справедливой ценой ее идентифицируемых активов. В маркетинге же гудвилл трактуется как капитал бренда, формируемый за счет репутации компании и лояльности клиентов.</w:t>
      </w:r>
    </w:p>
    <w:p w14:paraId="37C0661F"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Практическая часть</w:t>
      </w:r>
    </w:p>
    <w:p w14:paraId="6B1A77F8"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lastRenderedPageBreak/>
        <w:t>Было бы некорректно рассуждать о различиях в методах оценки деловой репутации без конкретного примера. Для исследования была выбрана компания ООО «Молочная компания «Северский Донец». По данным финансовой отчётности, доступным на ГИР БО — государственном информационном ресурсе бухгалтерской отчётности, который ведёт ФНС России, графа нематериальных активов пустует, что говорит нам об одном: стоимость бренда не учитывается (рис.1). Также отсутствуют сведения о результатах исследований и разработок.  Величина активов по балансу составила 5598837 тыс. руб. Нераспределённая прибыль составила на 2024 год 974107 тыс. руб.</w:t>
      </w:r>
    </w:p>
    <w:p w14:paraId="71795496" w14:textId="17366C79"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noProof/>
          <w:sz w:val="21"/>
          <w:szCs w:val="21"/>
          <w:lang w:eastAsia="ru-RU"/>
        </w:rPr>
        <w:drawing>
          <wp:inline distT="0" distB="0" distL="0" distR="0" wp14:anchorId="5A82972C" wp14:editId="2686AA0D">
            <wp:extent cx="4572000" cy="6507480"/>
            <wp:effectExtent l="0" t="0" r="0" b="7620"/>
            <wp:docPr id="14290996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572000" cy="6507480"/>
                    </a:xfrm>
                    <a:prstGeom prst="rect">
                      <a:avLst/>
                    </a:prstGeom>
                    <a:noFill/>
                    <a:ln>
                      <a:noFill/>
                    </a:ln>
                  </pic:spPr>
                </pic:pic>
              </a:graphicData>
            </a:graphic>
          </wp:inline>
        </w:drawing>
      </w:r>
    </w:p>
    <w:p w14:paraId="56AEE31F"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lastRenderedPageBreak/>
        <w:t>Финансовая отчётность 1</w:t>
      </w:r>
    </w:p>
    <w:p w14:paraId="0E4BF402" w14:textId="1B10366A"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noProof/>
          <w:sz w:val="21"/>
          <w:szCs w:val="21"/>
          <w:lang w:eastAsia="ru-RU"/>
        </w:rPr>
        <w:drawing>
          <wp:inline distT="0" distB="0" distL="0" distR="0" wp14:anchorId="5EEE688C" wp14:editId="5FE2CE46">
            <wp:extent cx="6065520" cy="1028700"/>
            <wp:effectExtent l="0" t="0" r="0" b="0"/>
            <wp:docPr id="167756462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065520" cy="1028700"/>
                    </a:xfrm>
                    <a:prstGeom prst="rect">
                      <a:avLst/>
                    </a:prstGeom>
                    <a:noFill/>
                    <a:ln>
                      <a:noFill/>
                    </a:ln>
                  </pic:spPr>
                </pic:pic>
              </a:graphicData>
            </a:graphic>
          </wp:inline>
        </w:drawing>
      </w:r>
    </w:p>
    <w:p w14:paraId="12DC98BE"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Баланс 1</w:t>
      </w:r>
    </w:p>
    <w:p w14:paraId="33DC645A" w14:textId="03F7E9AA"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noProof/>
          <w:sz w:val="21"/>
          <w:szCs w:val="21"/>
          <w:lang w:eastAsia="ru-RU"/>
        </w:rPr>
        <w:drawing>
          <wp:inline distT="0" distB="0" distL="0" distR="0" wp14:anchorId="7B2D9C78" wp14:editId="611BD644">
            <wp:extent cx="6035040" cy="2110740"/>
            <wp:effectExtent l="0" t="0" r="3810" b="3810"/>
            <wp:docPr id="79219320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035040" cy="2110740"/>
                    </a:xfrm>
                    <a:prstGeom prst="rect">
                      <a:avLst/>
                    </a:prstGeom>
                    <a:noFill/>
                    <a:ln>
                      <a:noFill/>
                    </a:ln>
                  </pic:spPr>
                </pic:pic>
              </a:graphicData>
            </a:graphic>
          </wp:inline>
        </w:drawing>
      </w:r>
    </w:p>
    <w:p w14:paraId="2902946F"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8"/>
          <w:szCs w:val="28"/>
          <w:lang w:eastAsia="ar-SA"/>
        </w:rPr>
      </w:pPr>
      <w:r w:rsidRPr="00436536">
        <w:rPr>
          <w:rFonts w:ascii="Times New Roman" w:eastAsia="Times New Roman" w:hAnsi="Times New Roman" w:cs="Times New Roman"/>
          <w:sz w:val="28"/>
          <w:szCs w:val="28"/>
          <w:lang w:eastAsia="ar-SA"/>
        </w:rPr>
        <w:t>Изображение 1</w:t>
      </w:r>
    </w:p>
    <w:p w14:paraId="63052197"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56E691B2"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По данным сайта testfirm.ru, в 2023 году рентабельность продаж отрасли «Разведение молочного крупного рогатого скота, производство сырого молока» составила +2.1 %.</w:t>
      </w:r>
    </w:p>
    <w:p w14:paraId="66702C75"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Для оценки капитала бренда используем метод избыточной прибыли:</w:t>
      </w:r>
    </w:p>
    <w:p w14:paraId="786679B0"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5598837000 × 2,1 % = 117575577 руб. - ожидаемая прибыль без учёта бренда</w:t>
      </w:r>
    </w:p>
    <w:p w14:paraId="0E575871"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974107000 - 117575577 = 856531423 руб. - избыточная прибыль благодаря бренду</w:t>
      </w:r>
    </w:p>
    <w:p w14:paraId="47E89222"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Произведём дисконтирование на 5 лет, на данный период безрисковая ставка 18,54 %, 3 % по риску масштаба бизнеса, 4 % по специфическим рискам, 15 % по риску перехода к корпоративным инструментам, риск финансового рычага 5 %, итого ставка дисконтирования составляет 45,54 %. Эта ставка означает будущие выгоды от того, что продукция компании выпускается под её брендом.</w:t>
      </w:r>
    </w:p>
    <w:p w14:paraId="403B0D33"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p>
    <w:p w14:paraId="3476381E" w14:textId="12735A2C"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noProof/>
          <w:sz w:val="32"/>
          <w:szCs w:val="32"/>
          <w:lang w:eastAsia="ru-RU"/>
        </w:rPr>
        <w:drawing>
          <wp:inline distT="0" distB="0" distL="0" distR="0" wp14:anchorId="1FD8B117" wp14:editId="027660FC">
            <wp:extent cx="4823460" cy="655320"/>
            <wp:effectExtent l="0" t="0" r="0" b="0"/>
            <wp:docPr id="1347629170" name="Рисунок 35"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wps"/>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823460" cy="655320"/>
                    </a:xfrm>
                    <a:prstGeom prst="rect">
                      <a:avLst/>
                    </a:prstGeom>
                    <a:noFill/>
                    <a:ln>
                      <a:noFill/>
                    </a:ln>
                  </pic:spPr>
                </pic:pic>
              </a:graphicData>
            </a:graphic>
          </wp:inline>
        </w:drawing>
      </w:r>
    </w:p>
    <w:p w14:paraId="3653A187"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p>
    <w:p w14:paraId="41688E96" w14:textId="77777777"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 xml:space="preserve">На данном примере мы видим, что хотя в финансовой отчётности нет данных о состоянии нематериальных активов, капитал бренда показывает, что бизнес имеет весьма существенные нематериальные </w:t>
      </w:r>
      <w:r w:rsidRPr="00436536">
        <w:rPr>
          <w:rFonts w:ascii="Times New Roman" w:eastAsia="Times New Roman" w:hAnsi="Times New Roman" w:cs="Times New Roman"/>
          <w:sz w:val="32"/>
          <w:szCs w:val="32"/>
          <w:lang w:eastAsia="ar-SA"/>
        </w:rPr>
        <w:lastRenderedPageBreak/>
        <w:t xml:space="preserve">активы. Из расчёта можно сделать положительные выводы о значении бренда для данной компании. </w:t>
      </w:r>
    </w:p>
    <w:p w14:paraId="6332E276" w14:textId="6F167780"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bCs/>
          <w:sz w:val="32"/>
          <w:szCs w:val="32"/>
          <w:lang w:eastAsia="ar-SA"/>
        </w:rPr>
      </w:pPr>
      <w:r w:rsidRPr="00436536">
        <w:rPr>
          <w:rFonts w:ascii="Times New Roman" w:eastAsia="Times New Roman" w:hAnsi="Times New Roman" w:cs="Times New Roman"/>
          <w:bCs/>
          <w:sz w:val="32"/>
          <w:szCs w:val="32"/>
          <w:lang w:eastAsia="ar-SA"/>
        </w:rPr>
        <w:t>Заключение</w:t>
      </w:r>
    </w:p>
    <w:p w14:paraId="3226BE22" w14:textId="4BF349B5"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Сравнительный анализ трактовки гудвилла в контексте финансового учёта и маркетинга выявил принципиальные различия в его смысловом наполнении и функциональном значении. В финансовой отчётности гудвилл выступает инструментом для объективного отражения рыночной стоимости поглощённого бизнеса в рамках консолидации данных, обеспечивая прозрачность и соответствие учетных показателей реальной экономической ситуации. В маркетинговой практике эта категория приобретает стратегический характер: её ключевыми задачами становятся формирование уникальных преимуществ перед конкурентами, увеличение клиентской базы и её удержание, рост воспринимаемой ценности бренда, а также укрепление долгосрочных позиций компании на рынке. Таким образом, если в первом случе гудвилл выступает количественным индикатором стоимости, то во втором- качественным ресурсом для достижения бизнес-целей.</w:t>
      </w:r>
    </w:p>
    <w:p w14:paraId="1358DC18" w14:textId="4F5F8749" w:rsidR="00436536" w:rsidRPr="00436536" w:rsidRDefault="00436536" w:rsidP="00436536">
      <w:pPr>
        <w:tabs>
          <w:tab w:val="left" w:pos="0"/>
        </w:tabs>
        <w:suppressAutoHyphens/>
        <w:autoSpaceDE w:val="0"/>
        <w:spacing w:after="0" w:line="240" w:lineRule="auto"/>
        <w:ind w:firstLine="709"/>
        <w:jc w:val="both"/>
        <w:rPr>
          <w:rFonts w:ascii="Times New Roman" w:eastAsia="Times New Roman" w:hAnsi="Times New Roman" w:cs="Times New Roman"/>
          <w:sz w:val="32"/>
          <w:szCs w:val="32"/>
          <w:lang w:eastAsia="ar-SA"/>
        </w:rPr>
      </w:pPr>
      <w:r w:rsidRPr="00436536">
        <w:rPr>
          <w:rFonts w:ascii="Times New Roman" w:eastAsia="Times New Roman" w:hAnsi="Times New Roman" w:cs="Times New Roman"/>
          <w:sz w:val="32"/>
          <w:szCs w:val="32"/>
          <w:lang w:eastAsia="ar-SA"/>
        </w:rPr>
        <w:t xml:space="preserve">Для более точной оценки рыночной репутации бизнеса следует руководствоваться гибридным, комплексным анализом финансовых и маркетинговых показателей, </w:t>
      </w:r>
      <w:proofErr w:type="gramStart"/>
      <w:r w:rsidRPr="00436536">
        <w:rPr>
          <w:rFonts w:ascii="Times New Roman" w:eastAsia="Times New Roman" w:hAnsi="Times New Roman" w:cs="Times New Roman"/>
          <w:sz w:val="32"/>
          <w:szCs w:val="32"/>
          <w:lang w:eastAsia="ar-SA"/>
        </w:rPr>
        <w:t>т.к.</w:t>
      </w:r>
      <w:proofErr w:type="gramEnd"/>
      <w:r w:rsidRPr="00436536">
        <w:rPr>
          <w:rFonts w:ascii="Times New Roman" w:eastAsia="Times New Roman" w:hAnsi="Times New Roman" w:cs="Times New Roman"/>
          <w:sz w:val="32"/>
          <w:szCs w:val="32"/>
          <w:lang w:eastAsia="ar-SA"/>
        </w:rPr>
        <w:t xml:space="preserve"> только наблюдая полную картину положения бизнеса на рынке целиком, можно увидеть реальные перспективы развития бизнеса. Использование данного подхода к оценке бизнеса будет полезно тем, кто заинтересован в покупке или продаже бизнеса, менеджерам и финансистам. При совершенствовании подхода станет возможной более достоверная оценка рыночной репутации бизнеса. </w:t>
      </w:r>
    </w:p>
    <w:p w14:paraId="530051F8"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4E557B59" w14:textId="77777777" w:rsidR="00436536" w:rsidRPr="00436536" w:rsidRDefault="00436536" w:rsidP="00436536">
      <w:pPr>
        <w:tabs>
          <w:tab w:val="left" w:pos="0"/>
        </w:tabs>
        <w:suppressAutoHyphens/>
        <w:autoSpaceDE w:val="0"/>
        <w:spacing w:after="0" w:line="240" w:lineRule="auto"/>
        <w:jc w:val="center"/>
        <w:rPr>
          <w:rFonts w:ascii="Times New Roman" w:eastAsia="Times New Roman" w:hAnsi="Times New Roman" w:cs="Times New Roman"/>
          <w:b/>
          <w:bCs/>
          <w:sz w:val="21"/>
          <w:szCs w:val="21"/>
          <w:lang w:eastAsia="ar-SA"/>
        </w:rPr>
      </w:pPr>
      <w:r w:rsidRPr="00436536">
        <w:rPr>
          <w:rFonts w:ascii="Times New Roman" w:eastAsia="Times New Roman" w:hAnsi="Times New Roman" w:cs="Times New Roman"/>
          <w:b/>
          <w:bCs/>
          <w:sz w:val="21"/>
          <w:szCs w:val="21"/>
          <w:lang w:eastAsia="ar-SA"/>
        </w:rPr>
        <w:t>Литература:</w:t>
      </w:r>
    </w:p>
    <w:p w14:paraId="4069E085" w14:textId="77777777" w:rsidR="00436536" w:rsidRPr="00436536" w:rsidRDefault="00436536" w:rsidP="00AD58CD">
      <w:pPr>
        <w:numPr>
          <w:ilvl w:val="0"/>
          <w:numId w:val="209"/>
        </w:num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 xml:space="preserve">Федеральный закон "О бухгалтерском учете" от 06.12.2011 N 402-ФЗ (последняя редакция)// </w:t>
      </w:r>
      <w:hyperlink r:id="rId251" w:history="1">
        <w:r w:rsidRPr="00436536">
          <w:rPr>
            <w:rStyle w:val="aa"/>
            <w:rFonts w:ascii="Times New Roman" w:eastAsia="Times New Roman" w:hAnsi="Times New Roman" w:cs="Times New Roman"/>
            <w:sz w:val="21"/>
            <w:szCs w:val="21"/>
            <w:lang w:eastAsia="ar-SA"/>
          </w:rPr>
          <w:t>https://www.consultant.ru/document/cons_doc_LAW_122855/</w:t>
        </w:r>
      </w:hyperlink>
      <w:r w:rsidRPr="00436536">
        <w:rPr>
          <w:rFonts w:ascii="Times New Roman" w:eastAsia="Times New Roman" w:hAnsi="Times New Roman" w:cs="Times New Roman"/>
          <w:sz w:val="21"/>
          <w:szCs w:val="21"/>
          <w:lang w:eastAsia="ar-SA"/>
        </w:rPr>
        <w:t xml:space="preserve"> </w:t>
      </w:r>
    </w:p>
    <w:p w14:paraId="38D72A54" w14:textId="77777777" w:rsidR="00436536" w:rsidRPr="00436536" w:rsidRDefault="00436536" w:rsidP="00AD58CD">
      <w:pPr>
        <w:numPr>
          <w:ilvl w:val="0"/>
          <w:numId w:val="209"/>
        </w:num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 xml:space="preserve">Международные стандарты финансовой отчётности // </w:t>
      </w:r>
      <w:hyperlink r:id="rId252" w:history="1">
        <w:r w:rsidRPr="00436536">
          <w:rPr>
            <w:rStyle w:val="aa"/>
            <w:rFonts w:ascii="Times New Roman" w:eastAsia="Times New Roman" w:hAnsi="Times New Roman" w:cs="Times New Roman"/>
            <w:sz w:val="21"/>
            <w:szCs w:val="21"/>
            <w:lang w:eastAsia="ar-SA"/>
          </w:rPr>
          <w:t>https://minfin.gov.ru/ru/perfomance/accounting/mej_standart_fo/standard/docs/</w:t>
        </w:r>
      </w:hyperlink>
    </w:p>
    <w:p w14:paraId="317FB474" w14:textId="77777777" w:rsidR="00436536" w:rsidRPr="00436536" w:rsidRDefault="00436536" w:rsidP="00AD58CD">
      <w:pPr>
        <w:numPr>
          <w:ilvl w:val="0"/>
          <w:numId w:val="209"/>
        </w:num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 xml:space="preserve"> Приказ Минфина России от 30.05.2022 N 86н "Об утверждении Федерального стандарта бухгалтерского учета ФСБУ 14/2022 "Нематериальные активы" (Зарегистрировано в Минюсте России 28.06.2022 N 69031) https://www.consultant.ru/document/cons_doc_LAW_420322/</w:t>
      </w:r>
    </w:p>
    <w:p w14:paraId="0B3A9B1D" w14:textId="77777777" w:rsidR="00436536" w:rsidRPr="00436536" w:rsidRDefault="00436536" w:rsidP="00AD58CD">
      <w:pPr>
        <w:numPr>
          <w:ilvl w:val="0"/>
          <w:numId w:val="209"/>
        </w:num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Крис Саммерз, Томас Л. Уэст, Джеффри Д. Джонс Пер. с англ. Бюро переводов «РОЙД» Глава из книги «Пособие по оценке бизнеса» ИД «Квинто-Консалтинг». Метод избыточных прибылей [Электронный ресурс www.cfin.ru]</w:t>
      </w:r>
    </w:p>
    <w:p w14:paraId="625D5A43"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5. Филипп Котлер. Маркетинг от А до Я. 80 концепций, которые должен знать каждый менеджер.</w:t>
      </w:r>
    </w:p>
    <w:p w14:paraId="325C950E"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 xml:space="preserve">6. Ключевые финансовые показатели отрасли "Разведение молочного крупного рогатого скота, производство сырого молока" [Электронный ресурс </w:t>
      </w:r>
      <w:hyperlink r:id="rId253" w:history="1">
        <w:r w:rsidRPr="00436536">
          <w:rPr>
            <w:rStyle w:val="aa"/>
            <w:rFonts w:ascii="Times New Roman" w:eastAsia="Times New Roman" w:hAnsi="Times New Roman" w:cs="Times New Roman"/>
            <w:sz w:val="21"/>
            <w:szCs w:val="21"/>
            <w:lang w:eastAsia="ar-SA"/>
          </w:rPr>
          <w:t>www.testfirm.ru</w:t>
        </w:r>
      </w:hyperlink>
      <w:r w:rsidRPr="00436536">
        <w:rPr>
          <w:rFonts w:ascii="Times New Roman" w:eastAsia="Times New Roman" w:hAnsi="Times New Roman" w:cs="Times New Roman"/>
          <w:sz w:val="21"/>
          <w:szCs w:val="21"/>
          <w:lang w:eastAsia="ar-SA"/>
        </w:rPr>
        <w:t>.]</w:t>
      </w:r>
    </w:p>
    <w:p w14:paraId="24CF1653" w14:textId="77777777" w:rsidR="00436536" w:rsidRPr="00436536" w:rsidRDefault="00436536" w:rsidP="00436536">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r w:rsidRPr="00436536">
        <w:rPr>
          <w:rFonts w:ascii="Times New Roman" w:eastAsia="Times New Roman" w:hAnsi="Times New Roman" w:cs="Times New Roman"/>
          <w:sz w:val="21"/>
          <w:szCs w:val="21"/>
          <w:lang w:eastAsia="ar-SA"/>
        </w:rPr>
        <w:t>7. Государственный информационный ресурс бухгалтерской (финансовой) отчётности// https://bo.nalog.ru/</w:t>
      </w:r>
    </w:p>
    <w:p w14:paraId="5C5D15A0" w14:textId="77777777" w:rsidR="00AE6EC1" w:rsidRDefault="00AE6EC1" w:rsidP="007B080E">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68F6A0C3" w14:textId="77777777" w:rsidR="003A366B" w:rsidRPr="003A366B" w:rsidRDefault="003A366B" w:rsidP="002859F4">
      <w:pPr>
        <w:spacing w:line="240" w:lineRule="auto"/>
        <w:jc w:val="both"/>
        <w:rPr>
          <w:rFonts w:ascii="Times New Roman" w:eastAsia="Times New Roman" w:hAnsi="Times New Roman" w:cs="Times New Roman"/>
          <w:b/>
          <w:bCs/>
          <w:sz w:val="21"/>
          <w:szCs w:val="21"/>
        </w:rPr>
      </w:pPr>
      <w:r w:rsidRPr="003A366B">
        <w:rPr>
          <w:rFonts w:ascii="Times New Roman" w:eastAsia="Times New Roman" w:hAnsi="Times New Roman" w:cs="Times New Roman"/>
          <w:b/>
          <w:bCs/>
          <w:sz w:val="21"/>
          <w:szCs w:val="21"/>
        </w:rPr>
        <w:t>УДК 336.717.131</w:t>
      </w:r>
    </w:p>
    <w:p w14:paraId="58824410" w14:textId="77777777" w:rsidR="003A366B" w:rsidRPr="003A366B" w:rsidRDefault="003A366B" w:rsidP="003A366B">
      <w:pPr>
        <w:spacing w:after="0" w:line="240" w:lineRule="auto"/>
        <w:jc w:val="right"/>
        <w:rPr>
          <w:rFonts w:ascii="Times New Roman" w:eastAsia="Times New Roman" w:hAnsi="Times New Roman" w:cs="Times New Roman"/>
          <w:b/>
          <w:bCs/>
          <w:i/>
          <w:iCs/>
          <w:sz w:val="21"/>
          <w:szCs w:val="21"/>
          <w:lang w:eastAsia="ru-RU"/>
        </w:rPr>
      </w:pPr>
      <w:r w:rsidRPr="003A366B">
        <w:rPr>
          <w:rFonts w:ascii="Times New Roman" w:eastAsia="Times New Roman" w:hAnsi="Times New Roman" w:cs="Times New Roman"/>
          <w:b/>
          <w:bCs/>
          <w:i/>
          <w:iCs/>
          <w:sz w:val="21"/>
          <w:szCs w:val="21"/>
          <w:lang w:eastAsia="ru-RU"/>
        </w:rPr>
        <w:lastRenderedPageBreak/>
        <w:t>Остапюк В.С.,</w:t>
      </w:r>
    </w:p>
    <w:p w14:paraId="1879F0E2"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студентка 1 курса</w:t>
      </w:r>
    </w:p>
    <w:p w14:paraId="191AC421"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Финансовый университет при Правительстве Российской Федерации</w:t>
      </w:r>
    </w:p>
    <w:p w14:paraId="32E2D80B"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(Краснодарский филиал)</w:t>
      </w:r>
    </w:p>
    <w:p w14:paraId="4386DE5C"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г. Краснодар Россия</w:t>
      </w:r>
    </w:p>
    <w:p w14:paraId="280D4A63"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val="en-US" w:eastAsia="ru-RU"/>
        </w:rPr>
        <w:t>e</w:t>
      </w:r>
      <w:r w:rsidRPr="003A366B">
        <w:rPr>
          <w:rFonts w:ascii="Times New Roman" w:eastAsia="Times New Roman" w:hAnsi="Times New Roman" w:cs="Times New Roman"/>
          <w:i/>
          <w:iCs/>
          <w:sz w:val="21"/>
          <w:szCs w:val="21"/>
          <w:lang w:eastAsia="ru-RU"/>
        </w:rPr>
        <w:t>-</w:t>
      </w:r>
      <w:r w:rsidRPr="003A366B">
        <w:rPr>
          <w:rFonts w:ascii="Times New Roman" w:eastAsia="Times New Roman" w:hAnsi="Times New Roman" w:cs="Times New Roman"/>
          <w:i/>
          <w:iCs/>
          <w:sz w:val="21"/>
          <w:szCs w:val="21"/>
          <w:lang w:val="en-US" w:eastAsia="ru-RU"/>
        </w:rPr>
        <w:t>mail</w:t>
      </w:r>
      <w:r w:rsidRPr="003A366B">
        <w:rPr>
          <w:rFonts w:ascii="Times New Roman" w:eastAsia="Times New Roman" w:hAnsi="Times New Roman" w:cs="Times New Roman"/>
          <w:i/>
          <w:iCs/>
          <w:sz w:val="21"/>
          <w:szCs w:val="21"/>
          <w:lang w:eastAsia="ru-RU"/>
        </w:rPr>
        <w:t xml:space="preserve">: </w:t>
      </w:r>
      <w:hyperlink r:id="rId254" w:history="1">
        <w:r w:rsidRPr="003A366B">
          <w:rPr>
            <w:rFonts w:ascii="Times New Roman" w:eastAsia="Times New Roman" w:hAnsi="Times New Roman" w:cs="Times New Roman"/>
            <w:i/>
            <w:iCs/>
            <w:color w:val="0000FF"/>
            <w:sz w:val="21"/>
            <w:szCs w:val="21"/>
            <w:u w:val="single"/>
            <w:lang w:val="en-US" w:eastAsia="ru-RU"/>
          </w:rPr>
          <w:t>viostapuk</w:t>
        </w:r>
        <w:r w:rsidRPr="003A366B">
          <w:rPr>
            <w:rFonts w:ascii="Times New Roman" w:eastAsia="Times New Roman" w:hAnsi="Times New Roman" w:cs="Times New Roman"/>
            <w:i/>
            <w:iCs/>
            <w:color w:val="0000FF"/>
            <w:sz w:val="21"/>
            <w:szCs w:val="21"/>
            <w:u w:val="single"/>
            <w:lang w:eastAsia="ru-RU"/>
          </w:rPr>
          <w:t>@</w:t>
        </w:r>
        <w:r w:rsidRPr="003A366B">
          <w:rPr>
            <w:rFonts w:ascii="Times New Roman" w:eastAsia="Times New Roman" w:hAnsi="Times New Roman" w:cs="Times New Roman"/>
            <w:i/>
            <w:iCs/>
            <w:color w:val="0000FF"/>
            <w:sz w:val="21"/>
            <w:szCs w:val="21"/>
            <w:u w:val="single"/>
            <w:lang w:val="en-US" w:eastAsia="ru-RU"/>
          </w:rPr>
          <w:t>outlook</w:t>
        </w:r>
        <w:r w:rsidRPr="003A366B">
          <w:rPr>
            <w:rFonts w:ascii="Times New Roman" w:eastAsia="Times New Roman" w:hAnsi="Times New Roman" w:cs="Times New Roman"/>
            <w:i/>
            <w:iCs/>
            <w:color w:val="0000FF"/>
            <w:sz w:val="21"/>
            <w:szCs w:val="21"/>
            <w:u w:val="single"/>
            <w:lang w:eastAsia="ru-RU"/>
          </w:rPr>
          <w:t>.</w:t>
        </w:r>
        <w:r w:rsidRPr="003A366B">
          <w:rPr>
            <w:rFonts w:ascii="Times New Roman" w:eastAsia="Times New Roman" w:hAnsi="Times New Roman" w:cs="Times New Roman"/>
            <w:i/>
            <w:iCs/>
            <w:color w:val="0000FF"/>
            <w:sz w:val="21"/>
            <w:szCs w:val="21"/>
            <w:u w:val="single"/>
            <w:lang w:val="en-US" w:eastAsia="ru-RU"/>
          </w:rPr>
          <w:t>com</w:t>
        </w:r>
      </w:hyperlink>
    </w:p>
    <w:p w14:paraId="5B728588" w14:textId="77777777" w:rsidR="002859F4" w:rsidRDefault="002859F4" w:rsidP="003A366B">
      <w:pPr>
        <w:spacing w:after="0" w:line="240" w:lineRule="auto"/>
        <w:jc w:val="right"/>
        <w:rPr>
          <w:rFonts w:ascii="Times New Roman" w:eastAsia="Times New Roman" w:hAnsi="Times New Roman" w:cs="Times New Roman"/>
          <w:b/>
          <w:bCs/>
          <w:i/>
          <w:iCs/>
          <w:sz w:val="21"/>
          <w:szCs w:val="21"/>
          <w:lang w:eastAsia="ru-RU"/>
        </w:rPr>
      </w:pPr>
    </w:p>
    <w:p w14:paraId="20EB7F13" w14:textId="262458E1" w:rsidR="003A366B" w:rsidRPr="003A366B" w:rsidRDefault="003A366B" w:rsidP="003A366B">
      <w:pPr>
        <w:spacing w:after="0" w:line="240" w:lineRule="auto"/>
        <w:jc w:val="right"/>
        <w:rPr>
          <w:rFonts w:ascii="Times New Roman" w:eastAsia="Times New Roman" w:hAnsi="Times New Roman" w:cs="Times New Roman"/>
          <w:b/>
          <w:bCs/>
          <w:i/>
          <w:iCs/>
          <w:sz w:val="21"/>
          <w:szCs w:val="21"/>
          <w:lang w:eastAsia="ru-RU"/>
        </w:rPr>
      </w:pPr>
      <w:r w:rsidRPr="003A366B">
        <w:rPr>
          <w:rFonts w:ascii="Times New Roman" w:eastAsia="Times New Roman" w:hAnsi="Times New Roman" w:cs="Times New Roman"/>
          <w:b/>
          <w:bCs/>
          <w:i/>
          <w:iCs/>
          <w:sz w:val="21"/>
          <w:szCs w:val="21"/>
          <w:lang w:eastAsia="ru-RU"/>
        </w:rPr>
        <w:t>Научный руководитель:</w:t>
      </w:r>
    </w:p>
    <w:p w14:paraId="0576BDD8" w14:textId="77777777" w:rsidR="003A366B" w:rsidRPr="003A366B" w:rsidRDefault="003A366B" w:rsidP="003A366B">
      <w:pPr>
        <w:spacing w:after="0" w:line="240" w:lineRule="auto"/>
        <w:jc w:val="right"/>
        <w:rPr>
          <w:rFonts w:ascii="Times New Roman" w:eastAsia="Times New Roman" w:hAnsi="Times New Roman" w:cs="Times New Roman"/>
          <w:b/>
          <w:bCs/>
          <w:i/>
          <w:iCs/>
          <w:sz w:val="21"/>
          <w:szCs w:val="21"/>
          <w:lang w:eastAsia="ru-RU"/>
        </w:rPr>
      </w:pPr>
      <w:r w:rsidRPr="003A366B">
        <w:rPr>
          <w:rFonts w:ascii="Times New Roman" w:eastAsia="Times New Roman" w:hAnsi="Times New Roman" w:cs="Times New Roman"/>
          <w:b/>
          <w:bCs/>
          <w:i/>
          <w:iCs/>
          <w:sz w:val="21"/>
          <w:szCs w:val="21"/>
          <w:lang w:eastAsia="ru-RU"/>
        </w:rPr>
        <w:t>Берлин С.И.,</w:t>
      </w:r>
    </w:p>
    <w:p w14:paraId="375DB4F3"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Доктор экономических наук, профессор кафедры «Экономика и финансы»</w:t>
      </w:r>
    </w:p>
    <w:p w14:paraId="20F3B1EF"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Финансовый университет при Правительстве Российской Федерации</w:t>
      </w:r>
    </w:p>
    <w:p w14:paraId="3FFDE7A1"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(Краснодарский филиал)</w:t>
      </w:r>
    </w:p>
    <w:p w14:paraId="0AABE21C"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eastAsia="ru-RU"/>
        </w:rPr>
        <w:t>г. Краснодар Россия</w:t>
      </w:r>
    </w:p>
    <w:p w14:paraId="7F0DFEBF"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r w:rsidRPr="003A366B">
        <w:rPr>
          <w:rFonts w:ascii="Times New Roman" w:eastAsia="Times New Roman" w:hAnsi="Times New Roman" w:cs="Times New Roman"/>
          <w:i/>
          <w:iCs/>
          <w:sz w:val="21"/>
          <w:szCs w:val="21"/>
          <w:lang w:val="en-US" w:eastAsia="ru-RU"/>
        </w:rPr>
        <w:t>e</w:t>
      </w:r>
      <w:r w:rsidRPr="003A366B">
        <w:rPr>
          <w:rFonts w:ascii="Times New Roman" w:eastAsia="Times New Roman" w:hAnsi="Times New Roman" w:cs="Times New Roman"/>
          <w:i/>
          <w:iCs/>
          <w:sz w:val="21"/>
          <w:szCs w:val="21"/>
          <w:lang w:eastAsia="ru-RU"/>
        </w:rPr>
        <w:t>-</w:t>
      </w:r>
      <w:r w:rsidRPr="003A366B">
        <w:rPr>
          <w:rFonts w:ascii="Times New Roman" w:eastAsia="Times New Roman" w:hAnsi="Times New Roman" w:cs="Times New Roman"/>
          <w:i/>
          <w:iCs/>
          <w:sz w:val="21"/>
          <w:szCs w:val="21"/>
          <w:lang w:val="en-US" w:eastAsia="ru-RU"/>
        </w:rPr>
        <w:t>mail</w:t>
      </w:r>
      <w:r w:rsidRPr="003A366B">
        <w:rPr>
          <w:rFonts w:ascii="Times New Roman" w:eastAsia="Times New Roman" w:hAnsi="Times New Roman" w:cs="Times New Roman"/>
          <w:i/>
          <w:iCs/>
          <w:sz w:val="21"/>
          <w:szCs w:val="21"/>
          <w:lang w:eastAsia="ru-RU"/>
        </w:rPr>
        <w:t xml:space="preserve">: </w:t>
      </w:r>
      <w:hyperlink r:id="rId255" w:history="1">
        <w:r w:rsidRPr="003A366B">
          <w:rPr>
            <w:rFonts w:ascii="Times New Roman" w:eastAsia="Times New Roman" w:hAnsi="Times New Roman" w:cs="Times New Roman"/>
            <w:i/>
            <w:iCs/>
            <w:color w:val="0563C1"/>
            <w:sz w:val="21"/>
            <w:szCs w:val="21"/>
            <w:u w:val="single"/>
            <w:lang w:val="en-US" w:eastAsia="ru-RU"/>
          </w:rPr>
          <w:t>SIBerlin</w:t>
        </w:r>
        <w:r w:rsidRPr="003A366B">
          <w:rPr>
            <w:rFonts w:ascii="Times New Roman" w:eastAsia="Times New Roman" w:hAnsi="Times New Roman" w:cs="Times New Roman"/>
            <w:i/>
            <w:iCs/>
            <w:color w:val="0563C1"/>
            <w:sz w:val="21"/>
            <w:szCs w:val="21"/>
            <w:u w:val="single"/>
            <w:lang w:eastAsia="ru-RU"/>
          </w:rPr>
          <w:t>@</w:t>
        </w:r>
        <w:r w:rsidRPr="003A366B">
          <w:rPr>
            <w:rFonts w:ascii="Times New Roman" w:eastAsia="Times New Roman" w:hAnsi="Times New Roman" w:cs="Times New Roman"/>
            <w:i/>
            <w:iCs/>
            <w:color w:val="0563C1"/>
            <w:sz w:val="21"/>
            <w:szCs w:val="21"/>
            <w:u w:val="single"/>
            <w:lang w:val="en-US" w:eastAsia="ru-RU"/>
          </w:rPr>
          <w:t>fa</w:t>
        </w:r>
        <w:r w:rsidRPr="003A366B">
          <w:rPr>
            <w:rFonts w:ascii="Times New Roman" w:eastAsia="Times New Roman" w:hAnsi="Times New Roman" w:cs="Times New Roman"/>
            <w:i/>
            <w:iCs/>
            <w:color w:val="0563C1"/>
            <w:sz w:val="21"/>
            <w:szCs w:val="21"/>
            <w:u w:val="single"/>
            <w:lang w:eastAsia="ru-RU"/>
          </w:rPr>
          <w:t>.</w:t>
        </w:r>
        <w:r w:rsidRPr="003A366B">
          <w:rPr>
            <w:rFonts w:ascii="Times New Roman" w:eastAsia="Times New Roman" w:hAnsi="Times New Roman" w:cs="Times New Roman"/>
            <w:i/>
            <w:iCs/>
            <w:color w:val="0563C1"/>
            <w:sz w:val="21"/>
            <w:szCs w:val="21"/>
            <w:u w:val="single"/>
            <w:lang w:val="en-US" w:eastAsia="ru-RU"/>
          </w:rPr>
          <w:t>ru</w:t>
        </w:r>
      </w:hyperlink>
    </w:p>
    <w:p w14:paraId="56F2D687"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p>
    <w:p w14:paraId="3D1CDDAC" w14:textId="77777777" w:rsidR="003A366B" w:rsidRPr="003A366B" w:rsidRDefault="003A366B" w:rsidP="003A366B">
      <w:pPr>
        <w:spacing w:line="240" w:lineRule="auto"/>
        <w:ind w:firstLine="567"/>
        <w:jc w:val="center"/>
        <w:rPr>
          <w:rFonts w:ascii="Times New Roman" w:eastAsia="Times New Roman" w:hAnsi="Times New Roman" w:cs="Times New Roman"/>
          <w:b/>
          <w:bCs/>
          <w:sz w:val="21"/>
          <w:szCs w:val="21"/>
        </w:rPr>
      </w:pPr>
      <w:r w:rsidRPr="003A366B">
        <w:rPr>
          <w:rFonts w:ascii="Times New Roman" w:eastAsia="Times New Roman" w:hAnsi="Times New Roman" w:cs="Times New Roman"/>
          <w:b/>
          <w:bCs/>
          <w:sz w:val="21"/>
          <w:szCs w:val="21"/>
        </w:rPr>
        <w:t>Способы сокращения доли наличных платежей в розничном секторе экономики России</w:t>
      </w:r>
    </w:p>
    <w:p w14:paraId="1770E727" w14:textId="77777777" w:rsidR="003A366B" w:rsidRPr="003A366B" w:rsidRDefault="003A366B" w:rsidP="002859F4">
      <w:pPr>
        <w:spacing w:after="0" w:line="240" w:lineRule="auto"/>
        <w:ind w:firstLine="709"/>
        <w:jc w:val="both"/>
        <w:rPr>
          <w:rFonts w:ascii="Times New Roman" w:eastAsia="Times New Roman" w:hAnsi="Times New Roman" w:cs="Times New Roman"/>
          <w:sz w:val="21"/>
          <w:szCs w:val="21"/>
        </w:rPr>
      </w:pPr>
      <w:r w:rsidRPr="003A366B">
        <w:rPr>
          <w:rFonts w:ascii="Times New Roman" w:eastAsia="Times New Roman" w:hAnsi="Times New Roman" w:cs="Times New Roman"/>
          <w:b/>
          <w:bCs/>
          <w:sz w:val="21"/>
          <w:szCs w:val="21"/>
        </w:rPr>
        <w:t>Аннотация:</w:t>
      </w:r>
      <w:r w:rsidRPr="003A366B">
        <w:rPr>
          <w:rFonts w:ascii="Times New Roman" w:eastAsia="Times New Roman" w:hAnsi="Times New Roman" w:cs="Times New Roman"/>
          <w:sz w:val="21"/>
          <w:szCs w:val="21"/>
        </w:rPr>
        <w:t xml:space="preserve"> В статье рассмотрены способы сокращения доли наличных платежей в розничном секторе экономики России. Были представлены исторические данные о развитии безналичных платежей и проведен анализ, в результате которого выявлены достоинства инфраструктуры безналичных расчетов. </w:t>
      </w:r>
    </w:p>
    <w:p w14:paraId="61608A93" w14:textId="77777777" w:rsidR="003A366B" w:rsidRPr="003A366B" w:rsidRDefault="003A366B" w:rsidP="002859F4">
      <w:pPr>
        <w:spacing w:after="0" w:line="240" w:lineRule="auto"/>
        <w:ind w:firstLine="709"/>
        <w:jc w:val="both"/>
        <w:rPr>
          <w:rFonts w:ascii="Times New Roman" w:eastAsia="Times New Roman" w:hAnsi="Times New Roman" w:cs="Times New Roman"/>
          <w:sz w:val="21"/>
          <w:szCs w:val="21"/>
        </w:rPr>
      </w:pPr>
      <w:r w:rsidRPr="003A366B">
        <w:rPr>
          <w:rFonts w:ascii="Times New Roman" w:eastAsia="Times New Roman" w:hAnsi="Times New Roman" w:cs="Times New Roman"/>
          <w:b/>
          <w:bCs/>
          <w:sz w:val="21"/>
          <w:szCs w:val="21"/>
        </w:rPr>
        <w:t xml:space="preserve">Ключевые слова: </w:t>
      </w:r>
      <w:r w:rsidRPr="003A366B">
        <w:rPr>
          <w:rFonts w:ascii="Times New Roman" w:eastAsia="Times New Roman" w:hAnsi="Times New Roman" w:cs="Times New Roman"/>
          <w:sz w:val="21"/>
          <w:szCs w:val="21"/>
        </w:rPr>
        <w:t>безналичные расчеты, банковские карты, электронные кошельки, Национальная система платежных карт (МИР), система быстрых платежей (СБП), цифровой рубль, биометрическая идентификация.</w:t>
      </w:r>
    </w:p>
    <w:p w14:paraId="4FB10736"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eastAsia="ru-RU"/>
        </w:rPr>
      </w:pPr>
    </w:p>
    <w:p w14:paraId="556E8C57" w14:textId="77777777" w:rsidR="003A366B" w:rsidRPr="003A366B" w:rsidRDefault="003A366B" w:rsidP="003A366B">
      <w:pPr>
        <w:spacing w:after="0" w:line="240" w:lineRule="auto"/>
        <w:jc w:val="right"/>
        <w:rPr>
          <w:rFonts w:ascii="Times New Roman" w:eastAsia="Times New Roman" w:hAnsi="Times New Roman" w:cs="Times New Roman"/>
          <w:b/>
          <w:bCs/>
          <w:i/>
          <w:iCs/>
          <w:sz w:val="21"/>
          <w:szCs w:val="21"/>
          <w:lang w:val="en-US" w:eastAsia="ru-RU"/>
        </w:rPr>
      </w:pPr>
      <w:r w:rsidRPr="003A366B">
        <w:rPr>
          <w:rFonts w:ascii="Times New Roman" w:eastAsia="Times New Roman" w:hAnsi="Times New Roman" w:cs="Times New Roman"/>
          <w:b/>
          <w:bCs/>
          <w:i/>
          <w:iCs/>
          <w:sz w:val="21"/>
          <w:szCs w:val="21"/>
          <w:lang w:val="en-US" w:eastAsia="ru-RU"/>
        </w:rPr>
        <w:t>Ostapyuk V.S.,</w:t>
      </w:r>
    </w:p>
    <w:p w14:paraId="0D0ACAC3"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1st year student</w:t>
      </w:r>
    </w:p>
    <w:p w14:paraId="7211568E"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Krasnodar branch Financial University under the Government of the Russian Federation</w:t>
      </w:r>
    </w:p>
    <w:p w14:paraId="1E327CE0"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Krasnodar, Russia</w:t>
      </w:r>
    </w:p>
    <w:p w14:paraId="11ED5773"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e-mail: viostapuk@outlook.com</w:t>
      </w:r>
    </w:p>
    <w:p w14:paraId="7A900F7E" w14:textId="77777777" w:rsidR="002859F4" w:rsidRPr="00420733" w:rsidRDefault="002859F4" w:rsidP="003A366B">
      <w:pPr>
        <w:spacing w:after="0" w:line="240" w:lineRule="auto"/>
        <w:jc w:val="right"/>
        <w:rPr>
          <w:rFonts w:ascii="Times New Roman" w:eastAsia="Times New Roman" w:hAnsi="Times New Roman" w:cs="Times New Roman"/>
          <w:b/>
          <w:bCs/>
          <w:i/>
          <w:iCs/>
          <w:sz w:val="21"/>
          <w:szCs w:val="21"/>
          <w:lang w:val="en-US" w:eastAsia="ru-RU"/>
        </w:rPr>
      </w:pPr>
    </w:p>
    <w:p w14:paraId="5940817C" w14:textId="353CDA50" w:rsidR="003A366B" w:rsidRPr="003A366B" w:rsidRDefault="003A366B" w:rsidP="003A366B">
      <w:pPr>
        <w:spacing w:after="0" w:line="240" w:lineRule="auto"/>
        <w:jc w:val="right"/>
        <w:rPr>
          <w:rFonts w:ascii="Times New Roman" w:eastAsia="Times New Roman" w:hAnsi="Times New Roman" w:cs="Times New Roman"/>
          <w:b/>
          <w:bCs/>
          <w:i/>
          <w:iCs/>
          <w:sz w:val="21"/>
          <w:szCs w:val="21"/>
          <w:lang w:val="en-US" w:eastAsia="ru-RU"/>
        </w:rPr>
      </w:pPr>
      <w:r w:rsidRPr="003A366B">
        <w:rPr>
          <w:rFonts w:ascii="Times New Roman" w:eastAsia="Times New Roman" w:hAnsi="Times New Roman" w:cs="Times New Roman"/>
          <w:b/>
          <w:bCs/>
          <w:i/>
          <w:iCs/>
          <w:sz w:val="21"/>
          <w:szCs w:val="21"/>
          <w:lang w:val="en-US" w:eastAsia="ru-RU"/>
        </w:rPr>
        <w:t>Scientific supervisor:</w:t>
      </w:r>
    </w:p>
    <w:p w14:paraId="1AB4606B" w14:textId="77777777" w:rsidR="003A366B" w:rsidRPr="003A366B" w:rsidRDefault="003A366B" w:rsidP="003A366B">
      <w:pPr>
        <w:spacing w:after="0" w:line="240" w:lineRule="auto"/>
        <w:jc w:val="right"/>
        <w:rPr>
          <w:rFonts w:ascii="Times New Roman" w:eastAsia="Times New Roman" w:hAnsi="Times New Roman" w:cs="Times New Roman"/>
          <w:b/>
          <w:bCs/>
          <w:i/>
          <w:iCs/>
          <w:sz w:val="21"/>
          <w:szCs w:val="21"/>
          <w:lang w:val="en-US" w:eastAsia="ru-RU"/>
        </w:rPr>
      </w:pPr>
      <w:r w:rsidRPr="003A366B">
        <w:rPr>
          <w:rFonts w:ascii="Times New Roman" w:eastAsia="Times New Roman" w:hAnsi="Times New Roman" w:cs="Times New Roman"/>
          <w:b/>
          <w:bCs/>
          <w:i/>
          <w:iCs/>
          <w:sz w:val="21"/>
          <w:szCs w:val="21"/>
          <w:lang w:val="en-US" w:eastAsia="ru-RU"/>
        </w:rPr>
        <w:t>Berlin S.I.,</w:t>
      </w:r>
    </w:p>
    <w:p w14:paraId="14E3B1B4"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Doctor of Economics, Professor of the Department of Economics and Finance</w:t>
      </w:r>
    </w:p>
    <w:p w14:paraId="7E250F24"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Krasnodar branch Financial University under the Government of the Russian Federation</w:t>
      </w:r>
    </w:p>
    <w:p w14:paraId="6EC2E697"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Krasnodar, Russia</w:t>
      </w:r>
    </w:p>
    <w:p w14:paraId="46151B47" w14:textId="77777777" w:rsidR="003A366B" w:rsidRPr="003A366B" w:rsidRDefault="003A366B" w:rsidP="003A366B">
      <w:pPr>
        <w:spacing w:after="0" w:line="240" w:lineRule="auto"/>
        <w:jc w:val="right"/>
        <w:rPr>
          <w:rFonts w:ascii="Times New Roman" w:eastAsia="Times New Roman" w:hAnsi="Times New Roman" w:cs="Times New Roman"/>
          <w:i/>
          <w:iCs/>
          <w:sz w:val="21"/>
          <w:szCs w:val="21"/>
          <w:lang w:val="en-US" w:eastAsia="ru-RU"/>
        </w:rPr>
      </w:pPr>
      <w:r w:rsidRPr="003A366B">
        <w:rPr>
          <w:rFonts w:ascii="Times New Roman" w:eastAsia="Times New Roman" w:hAnsi="Times New Roman" w:cs="Times New Roman"/>
          <w:i/>
          <w:iCs/>
          <w:sz w:val="21"/>
          <w:szCs w:val="21"/>
          <w:lang w:val="en-US" w:eastAsia="ru-RU"/>
        </w:rPr>
        <w:t>e-mail: SIBerlin@fa.ru</w:t>
      </w:r>
    </w:p>
    <w:p w14:paraId="32C44657" w14:textId="77777777" w:rsidR="003A366B" w:rsidRPr="003A366B" w:rsidRDefault="003A366B" w:rsidP="003A366B">
      <w:pPr>
        <w:spacing w:after="0" w:line="240" w:lineRule="auto"/>
        <w:jc w:val="both"/>
        <w:rPr>
          <w:rFonts w:ascii="Times New Roman" w:eastAsia="Times New Roman" w:hAnsi="Times New Roman" w:cs="Times New Roman"/>
          <w:sz w:val="21"/>
          <w:szCs w:val="21"/>
          <w:lang w:val="en-US" w:eastAsia="ru-RU"/>
        </w:rPr>
      </w:pPr>
    </w:p>
    <w:p w14:paraId="2ECB3F63" w14:textId="77777777" w:rsidR="003A366B" w:rsidRPr="003A366B" w:rsidRDefault="003A366B" w:rsidP="003A366B">
      <w:pPr>
        <w:spacing w:after="0" w:line="240" w:lineRule="auto"/>
        <w:jc w:val="center"/>
        <w:rPr>
          <w:rFonts w:ascii="Times New Roman" w:eastAsia="Times New Roman" w:hAnsi="Times New Roman" w:cs="Times New Roman"/>
          <w:b/>
          <w:bCs/>
          <w:sz w:val="21"/>
          <w:szCs w:val="21"/>
          <w:lang w:val="en-US" w:eastAsia="ru-RU"/>
        </w:rPr>
      </w:pPr>
      <w:r w:rsidRPr="003A366B">
        <w:rPr>
          <w:rFonts w:ascii="Times New Roman" w:eastAsia="Times New Roman" w:hAnsi="Times New Roman" w:cs="Times New Roman"/>
          <w:b/>
          <w:bCs/>
          <w:sz w:val="21"/>
          <w:szCs w:val="21"/>
          <w:lang w:val="en-US" w:eastAsia="ru-RU"/>
        </w:rPr>
        <w:t>Ways to reduce the share of cash payments in the retail sector of the Russian economy</w:t>
      </w:r>
    </w:p>
    <w:p w14:paraId="464B9341" w14:textId="77777777" w:rsidR="003A366B" w:rsidRPr="003A366B" w:rsidRDefault="003A366B" w:rsidP="003A366B">
      <w:pPr>
        <w:spacing w:after="0" w:line="240" w:lineRule="auto"/>
        <w:jc w:val="both"/>
        <w:rPr>
          <w:rFonts w:ascii="Times New Roman" w:eastAsia="Times New Roman" w:hAnsi="Times New Roman" w:cs="Times New Roman"/>
          <w:sz w:val="21"/>
          <w:szCs w:val="21"/>
          <w:lang w:val="en-US" w:eastAsia="ru-RU"/>
        </w:rPr>
      </w:pPr>
    </w:p>
    <w:p w14:paraId="5C5CF9BB" w14:textId="77777777" w:rsidR="003A366B" w:rsidRPr="003A366B" w:rsidRDefault="003A366B" w:rsidP="002859F4">
      <w:pPr>
        <w:spacing w:after="0" w:line="240" w:lineRule="auto"/>
        <w:ind w:firstLine="709"/>
        <w:jc w:val="both"/>
        <w:rPr>
          <w:rFonts w:ascii="Times New Roman" w:eastAsia="Times New Roman" w:hAnsi="Times New Roman" w:cs="Times New Roman"/>
          <w:sz w:val="21"/>
          <w:szCs w:val="21"/>
          <w:lang w:val="en-US" w:eastAsia="ru-RU"/>
        </w:rPr>
      </w:pPr>
      <w:r w:rsidRPr="003A366B">
        <w:rPr>
          <w:rFonts w:ascii="Times New Roman" w:eastAsia="Times New Roman" w:hAnsi="Times New Roman" w:cs="Times New Roman"/>
          <w:b/>
          <w:bCs/>
          <w:sz w:val="21"/>
          <w:szCs w:val="21"/>
          <w:lang w:val="en-US" w:eastAsia="ru-RU"/>
        </w:rPr>
        <w:t>Abstract:</w:t>
      </w:r>
      <w:r w:rsidRPr="003A366B">
        <w:rPr>
          <w:rFonts w:ascii="Times New Roman" w:eastAsia="Times New Roman" w:hAnsi="Times New Roman" w:cs="Times New Roman"/>
          <w:sz w:val="21"/>
          <w:szCs w:val="21"/>
          <w:lang w:val="en-US" w:eastAsia="ru-RU"/>
        </w:rPr>
        <w:t xml:space="preserve"> The article discusses ways to reduce the share of cash payments in the retail sector of the Russian economy. Historical data on the development of non-cash payments were presented and an analysis was carried out, as a result of which the advantages of the non-cash payment infrastructure were revealed. </w:t>
      </w:r>
    </w:p>
    <w:p w14:paraId="7BEBEAD6" w14:textId="77777777" w:rsidR="003A366B" w:rsidRPr="003A366B" w:rsidRDefault="003A366B" w:rsidP="002859F4">
      <w:pPr>
        <w:spacing w:after="0" w:line="240" w:lineRule="auto"/>
        <w:ind w:firstLine="709"/>
        <w:jc w:val="both"/>
        <w:rPr>
          <w:rFonts w:ascii="Times New Roman" w:eastAsia="Times New Roman" w:hAnsi="Times New Roman" w:cs="Times New Roman"/>
          <w:sz w:val="21"/>
          <w:szCs w:val="21"/>
          <w:lang w:val="en-US" w:eastAsia="ru-RU"/>
        </w:rPr>
      </w:pPr>
      <w:r w:rsidRPr="003A366B">
        <w:rPr>
          <w:rFonts w:ascii="Times New Roman" w:eastAsia="Times New Roman" w:hAnsi="Times New Roman" w:cs="Times New Roman"/>
          <w:b/>
          <w:bCs/>
          <w:sz w:val="21"/>
          <w:szCs w:val="21"/>
          <w:lang w:val="en-US" w:eastAsia="ru-RU"/>
        </w:rPr>
        <w:t>Keywords:</w:t>
      </w:r>
      <w:r w:rsidRPr="003A366B">
        <w:rPr>
          <w:rFonts w:ascii="Times New Roman" w:eastAsia="Times New Roman" w:hAnsi="Times New Roman" w:cs="Times New Roman"/>
          <w:sz w:val="21"/>
          <w:szCs w:val="21"/>
          <w:lang w:val="en-US" w:eastAsia="ru-RU"/>
        </w:rPr>
        <w:t xml:space="preserve"> cashless payments, bank cards, electronic wallets, National Payment Card System (MIR), fast Payment System (SBP), digital ruble, biometric identification, financial infrastructure, cashback.</w:t>
      </w:r>
    </w:p>
    <w:p w14:paraId="249D173E" w14:textId="77777777" w:rsidR="003A366B" w:rsidRPr="003A366B" w:rsidRDefault="003A366B" w:rsidP="003A366B">
      <w:pPr>
        <w:spacing w:after="0" w:line="240" w:lineRule="auto"/>
        <w:ind w:firstLine="567"/>
        <w:jc w:val="both"/>
        <w:rPr>
          <w:rFonts w:ascii="Times New Roman" w:eastAsia="Times New Roman" w:hAnsi="Times New Roman" w:cs="Times New Roman"/>
          <w:sz w:val="21"/>
          <w:szCs w:val="21"/>
          <w:lang w:val="en-US" w:eastAsia="ru-RU"/>
        </w:rPr>
      </w:pPr>
    </w:p>
    <w:p w14:paraId="399176F9"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В последние десятилетия произошла значительная трансформация финансовых систем, что, в свою очередь, повлияло на структуру розничной торговли. В России, как и в других странах, наблюдается устойчивая тенденция к сокращению доли наличных платежей, что обусловлено рядом факторов, таких как развитие технологий и активное внедрение безналичных расчетов. Безналичные платежи, такие как банковские карты, мобильные приложения и электронные кошельки, становятся все более доступными и удобными для граждан, что способствует их популяризации. Это создает </w:t>
      </w:r>
      <w:r w:rsidRPr="003A366B">
        <w:rPr>
          <w:rFonts w:ascii="Times New Roman" w:eastAsia="Calibri" w:hAnsi="Times New Roman" w:cs="Times New Roman"/>
          <w:sz w:val="32"/>
          <w:szCs w:val="32"/>
        </w:rPr>
        <w:lastRenderedPageBreak/>
        <w:t>необходимость в поиске эффективных способов сокращения доли наличных платежей в розничном секторе экономики России.</w:t>
      </w:r>
    </w:p>
    <w:p w14:paraId="1C8DF2F2"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В последние годы наблюдается постепенное снижение доли наличных платежей в экономике России. Согласно данным Центрального банка, в 2020 году эта доля составила около 30% от общего объема операций в розничной торговле, что указывает на значительное сокращение по сравнению с предыдущими годами. Причинами таких изменений стали развитие безналичных технологий и увеличение доступности соответствующей инфраструктуры. Тем не менее наличные платежи продолжают занимать значительную часть рынка, особенно в регионах с ограниченным доступом к современным финансовым услугам. В условиях быстрорастущего объема платежей и расширения интернет-торговли, наблюдается устойчивое увеличение количества безналичных розничных платежей.</w:t>
      </w:r>
    </w:p>
    <w:p w14:paraId="0CADE224"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Использование наличных средств в экономике связано с рядом проблем. Прежде всего, обработка наличных денежных средств обходится банкам и ритейлерам в среднем в 1,5-2% от суммы операции, что значительно превышает стоимость безналичных транзакций.  Кроме того, наличные операции сопряжены с повышенными рисками мошенничества и краж, что требует дополнительных мер безопасности. Все эти факторы создают стимулы для сокращения доли наличных расчетов и перехода к более эффективным безналичным методам. </w:t>
      </w:r>
    </w:p>
    <w:p w14:paraId="05C949B6"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История безналичных платежных систем в России началась с появления банковских карт и электронных платежных решений в 90-х годах XX века. Первые шаги в развитии этих систем были связаны с интеграцией в глобальную финансовую инфраструктуру. До 1990-х годов задача решалась через усиление контроля за кассовой дисциплиной. Ключевой момент произошел в 1990-х, когда на рынок вышли банковские карты, которые в основном использовались для снятия наличных в банкоматах. Тем не менее, несмотря на усилия специалистов в банковской сфере, значительно повысить эффективность или успешно внедрить безналичные платежи не удалось. Эти расчеты требовали определенных бухгалтерских навыков и личных усилий. Для большинства людей они оказались более сложными и менее привычными по сравнению с наличными. Торговые сети и население с недоверием относились к безналичным расчетам: терминалы были редкостью, комиссии — высокими, а случаи мошенничества — распространенными.</w:t>
      </w:r>
    </w:p>
    <w:p w14:paraId="161D7B4D"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lastRenderedPageBreak/>
        <w:t xml:space="preserve">Кризис 1998 года замедлил развитие, но к середине 2000-х начался рост. К началу 20-х годов была создана современная автоматизированная система расчетов. Значительное расширение сферы электронных платежей позволило проводить расчеты быстрее. Банки начали массово выпускать карты, а государство обязало осуществлять выплаты зарплат на них. Поворотным моментом стали события 2014 года. Санкции и угроза отключения от международных платежных систем, таких как Mastercard и Visa, заставили Россию задуматься о финансовом суверенитете. В ответ была создана Национальная система платежных карт (НСПК), а в 2014 году запущена карта «Мир». Согласно статистике ЦБ, доля выпущенных карт с 2018 по 2022 год возросла с 14,5% до 41,3%. Эти данные свидетельствуют о росте, перспективах и доверии населения к отечественной платежной системе, а также ее конкурентоспособности на международной арене. </w:t>
      </w:r>
    </w:p>
    <w:p w14:paraId="040FE496" w14:textId="77777777" w:rsidR="003A366B" w:rsidRPr="003A366B" w:rsidRDefault="003A366B" w:rsidP="009A1721">
      <w:pPr>
        <w:spacing w:after="0" w:line="240" w:lineRule="auto"/>
        <w:ind w:firstLine="709"/>
        <w:jc w:val="center"/>
        <w:rPr>
          <w:rFonts w:ascii="Times New Roman" w:eastAsia="Calibri" w:hAnsi="Times New Roman" w:cs="Times New Roman"/>
          <w:sz w:val="32"/>
          <w:szCs w:val="32"/>
        </w:rPr>
      </w:pPr>
      <w:r w:rsidRPr="003A366B">
        <w:rPr>
          <w:rFonts w:ascii="Times New Roman" w:eastAsia="Calibri" w:hAnsi="Times New Roman" w:cs="Times New Roman"/>
          <w:noProof/>
          <w:sz w:val="32"/>
          <w:szCs w:val="32"/>
          <w:lang w:eastAsia="ru-RU"/>
        </w:rPr>
        <w:drawing>
          <wp:inline distT="0" distB="0" distL="0" distR="0" wp14:anchorId="30C152C2" wp14:editId="0390ACBB">
            <wp:extent cx="5105400" cy="3200400"/>
            <wp:effectExtent l="0" t="0" r="0" b="0"/>
            <wp:docPr id="1238659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105400" cy="3200400"/>
                    </a:xfrm>
                    <a:prstGeom prst="rect">
                      <a:avLst/>
                    </a:prstGeom>
                    <a:noFill/>
                    <a:ln>
                      <a:noFill/>
                    </a:ln>
                  </pic:spPr>
                </pic:pic>
              </a:graphicData>
            </a:graphic>
          </wp:inline>
        </w:drawing>
      </w:r>
    </w:p>
    <w:p w14:paraId="70C0F707"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Для успешного внедрения безналичных платежей необходима хорошо развитая инфраструктура. Установка терминалов в магазинах и внедрение новых технологий, таких как NFC (Near Field Communication) и QR-коды, значительно упрощают процесс оплаты. Рассмотрим инфраструктуру для безналичных расчетов в России по отдельности. </w:t>
      </w:r>
    </w:p>
    <w:p w14:paraId="35D1ABA6"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Платежная система МИР была создана в 2014 году как национальная система платежных карт, целью которой является обеспечение финансовой независимости России от зарубежных платежных систем. Основной задачей создания МИР стало </w:t>
      </w:r>
      <w:r w:rsidRPr="003A366B">
        <w:rPr>
          <w:rFonts w:ascii="Times New Roman" w:eastAsia="Calibri" w:hAnsi="Times New Roman" w:cs="Times New Roman"/>
          <w:sz w:val="32"/>
          <w:szCs w:val="32"/>
        </w:rPr>
        <w:lastRenderedPageBreak/>
        <w:t>предоставление надежного и независимого инструмента для проведения безналичных расчетов на территории страны. Карты МИР обладают всеми необходимыми функциями для осуществления платежей, включая оплату товаров и услуг, снятие наличных и проведение онлайн-транзакций. К 2023 году было выпущено свыше 150 миллионов карт МИР, что свидетельствует о высокой степени распространения и популярности этой системы среди населения.</w:t>
      </w:r>
    </w:p>
    <w:p w14:paraId="47B2CC8E"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Распространение платежной системы МИР способствовало значительному увеличению доли безналичных расчетов в России. Благодаря доступности карт МИР граждане получили возможность удобно и быстро совершать безналичные платежи, что снизило необходимость в использовании наличных средств, особенно в повседневных транзакциях. Вместе с тем, развитие цифровых платежей связано с общим процессом внедрения цифровых технологий в повседневную жизнь, что способствует росту безналичных операций. Кроме того, использование национальной системы платежных карт повышает финансовую прозрачность и безопасность операций, что также стимулирует переход к безналичным расчетам.</w:t>
      </w:r>
    </w:p>
    <w:p w14:paraId="315E47D7" w14:textId="2602A10F"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Запущенная ЦБ в 2019 году, система быстрых платежей (СБП) позволила за считанные секунда переводить деньги между клиентами разных банков по номеру телефона, что упростило расчеты между населением и малым бизнесом, а также снизить затраты бизнеса. Современные потребители ценят удобство и скорость расчетов. Система позволяет избежать очередей и ускоряет процесс покупок. </w:t>
      </w:r>
    </w:p>
    <w:p w14:paraId="6EDA639B" w14:textId="4DE978B1" w:rsidR="009A1721"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СБП зарекомендовала себя как эффективный инструмент для упрощения и ускорения безналичных расчетов. Она предоставляет возможность осуществлять переводы круглосуточно по номеру телефона получателя или с помощью QR-кода. Система завоевала популярность благодаря удобству как онлайн-платежей, так и оффлайн-платежей. Согласно сведениям о переводах денежных средств через СБП, количество переводов на 2024 год составило 13 417,3 млн. в объеме 69 473, 6 млрд. руб., а каждый третий гражданин пользуется сервисов, что отражает удобство и популярность данного сервиса [1]. </w:t>
      </w:r>
    </w:p>
    <w:p w14:paraId="08F6DE4C" w14:textId="30A61758" w:rsidR="003A366B" w:rsidRPr="003A366B" w:rsidRDefault="003A366B" w:rsidP="009A1721">
      <w:pPr>
        <w:spacing w:after="0" w:line="240" w:lineRule="auto"/>
        <w:rPr>
          <w:rFonts w:ascii="Times New Roman" w:eastAsia="Calibri" w:hAnsi="Times New Roman" w:cs="Times New Roman"/>
          <w:sz w:val="32"/>
          <w:szCs w:val="32"/>
        </w:rPr>
      </w:pPr>
      <w:r w:rsidRPr="003A366B">
        <w:rPr>
          <w:rFonts w:ascii="Times New Roman" w:eastAsia="Calibri" w:hAnsi="Times New Roman" w:cs="Times New Roman"/>
          <w:noProof/>
          <w:sz w:val="32"/>
          <w:szCs w:val="32"/>
          <w:lang w:eastAsia="ru-RU"/>
        </w:rPr>
        <w:lastRenderedPageBreak/>
        <w:drawing>
          <wp:inline distT="0" distB="0" distL="0" distR="0" wp14:anchorId="603F23A6" wp14:editId="71478D77">
            <wp:extent cx="6164580" cy="2613660"/>
            <wp:effectExtent l="0" t="0" r="7620" b="0"/>
            <wp:docPr id="2494533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64580" cy="2613660"/>
                    </a:xfrm>
                    <a:prstGeom prst="rect">
                      <a:avLst/>
                    </a:prstGeom>
                    <a:noFill/>
                    <a:ln>
                      <a:noFill/>
                    </a:ln>
                  </pic:spPr>
                </pic:pic>
              </a:graphicData>
            </a:graphic>
          </wp:inline>
        </w:drawing>
      </w:r>
    </w:p>
    <w:p w14:paraId="01BABF43" w14:textId="17539FDB"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В России действует компенсационная программа малому и среднему бизнесу, использующих услуги СБП. Решение о субсидировании было принято в июле 2021 года. Система позволяет бизнесу сократить издержки на прием безналичных платежей, за счет снижения затрат на подключение и банковских комиссий. Комиссия для бизнеса не превышает 0,7% от стоимости товара. Это в 2–2,5 раза ниже, чем у других платежных операторов. Данная программа позволяет бизнесу сэкономить на платежах за обслуживание безналичных расчётов, и даст стимул предпринимателям подключиться к системе.</w:t>
      </w:r>
    </w:p>
    <w:p w14:paraId="744822E9" w14:textId="7E285944"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М. Мишустин отметил, что «Важно, что отечественная система быстрых платежей – это надёжная и удобная альтернатива традиционным эквайринговым расчётам в магазинах с использованием банковских карт. Особенно при сохраняющихся рисках отключения нашей страны от международных платёжных систем» [2].</w:t>
      </w:r>
    </w:p>
    <w:p w14:paraId="0E703FFB" w14:textId="10C7F9A4"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СБП также предлагает платежи между юридическими лицами (B2B), выплаты юридических лиц физическим (B2C) и платежи населения в бюджет (C2G). Внедрена программа лояльности с кэшбэком за переводы, который возвращается покупателю. Процент кэшбэка при оплате через СБП может варьироваться в зависимости от проводимой партнерами акции, примерно он составляет до 10% от суммы покупки.</w:t>
      </w:r>
    </w:p>
    <w:p w14:paraId="035349FE"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Цифровой рубль, новая форма национальной валюты, обладает значительным потенциалом для экономики России. Его внедрение может снизить издержки на проведение финансовых операций, что важно для повышения общей эффективности экономики. При этом цифровой рубль обеспечивает доступность финансовых услуг в </w:t>
      </w:r>
      <w:r w:rsidRPr="003A366B">
        <w:rPr>
          <w:rFonts w:ascii="Times New Roman" w:eastAsia="Calibri" w:hAnsi="Times New Roman" w:cs="Times New Roman"/>
          <w:sz w:val="32"/>
          <w:szCs w:val="32"/>
        </w:rPr>
        <w:lastRenderedPageBreak/>
        <w:t>отдаленных регионах, где традиционная банковская инфраструктура может быть ограничена. Это создает новые возможности для вовлечения ранее недоступных слоев населения в экономическую деятельность, стимулируя их активность. Таким образом, цифровой рубль не только улучшает доступ к финансовым услугам, но и способствует укреплению экономики на уровне страны.</w:t>
      </w:r>
    </w:p>
    <w:p w14:paraId="2D4A4587"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Введение цифрового рубля оказывает глубокое влияние на финансовую систему страны, внося изменения в способы взаимодействия между банками, бизнесом и потребителями. Он способствует повышению прозрачности денежных потоков, что помогает бороться с теневой экономикой и увеличивает доверие к финансовой системе. Кроме того, цифровой рубль может стать инструментом для ускорения расчетов и увеличения финансовой инклюзии, что особенно важно в условиях цифровизации экономики.</w:t>
      </w:r>
    </w:p>
    <w:p w14:paraId="155A24FD"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Внедрение цифрового рубля, несмотря на очевидные преимущества, связано с рядом серьезных вызовов. Одной из ключевых проблем является обеспечение кибербезопасности и защита данных пользователей, что требует значительных инвестиций в технологии и разработку соответствующих нормативных актов. Кроме того, необходимо адаптировать финансовые институты к новым условиям работы, что также может потребовать значительных ресурсов и времени. В этом контексте биометрическая идентификация становится перспективной технологией, которая будет играть важную роль в сфере платежей в ближайшем будущем [3]. Эти вызовы требуют тщательного анализа и проработки для успешного внедрения цифрового рубля в экономику России.</w:t>
      </w:r>
    </w:p>
    <w:p w14:paraId="3E49B954"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В России биометрическая идентификация активно внедряется в сферу платежных услуг, преимущественно для дистанционной верификации пользователей. Единая биометрическая система (ЕБС), инициированная Банком России и МинЦифры, функционирует под управлением ПАО «Ростелеком». Согласно правительственному распоряжению №293–р от 22.02.2018, компания несет ответственность за сбор, обработку и хранение биометрических данных, а также за их сверку с исходными образцами при удаленном открытии счетов или получении кредитов.  </w:t>
      </w:r>
    </w:p>
    <w:p w14:paraId="2D57A6EE"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Первичную регистрацию в системе осуществляют банки, которые имеют право подключать клиентов к ЕСИА и ЕБС. По состоянию на апрель 2021 года таких кредитных организаций насчитывалось 226, этот показатель отражает востребованность и </w:t>
      </w:r>
      <w:r w:rsidRPr="003A366B">
        <w:rPr>
          <w:rFonts w:ascii="Times New Roman" w:eastAsia="Calibri" w:hAnsi="Times New Roman" w:cs="Times New Roman"/>
          <w:sz w:val="32"/>
          <w:szCs w:val="32"/>
        </w:rPr>
        <w:lastRenderedPageBreak/>
        <w:t>актуальность биометрии в платежах. Использование ЕБС в сочетании с ЕСИА позволяет клиентам дистанционно оформлять финансовые продукты, а биометрические данные могут применяться для авторизации платежей. Это способствует расширению доступности услуг и росту их объема, упрощая взаимодействие пользователей с банками без необходимости посещения отделений [3].</w:t>
      </w:r>
    </w:p>
    <w:p w14:paraId="16ABC304"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Следует отметить, что тенденция к увеличению безналичных расчетов сохраняется, как подтверждают данные Банка России. Однако предпочтения пользователей изменчивы: в 2024 году объем операций с картами снизился по сравнению с 2023 годом. Граждане и бизнес стали чаще использовать для расчетов QR-коды и биометрические технологии. С января по сентябрь 2024 года покупки с использованием этих методов составили 2,6 трлн рублей и 7,8 млрд рублей соответственно. Биометрические платежи показывают впечатляющие результаты, обеспечивая пользователям удобство и безопасность. В 2023 году такие покупки совершались примерно 250 000 раз в месяц, что свидетельствует о популярности данного сервиса. Количество терминалов для безналичных платежей превысило 4,8 миллиона, а за три квартала 2024 года их число увеличилось на 341 тысячу [4].</w:t>
      </w:r>
    </w:p>
    <w:p w14:paraId="56654007"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Достигнутый прогресс в области безналичных расчетов подчеркивает необходимость новых законодательных инициатив. Одним из ключевых направлений является развитие правовой базы для внедрения инновационных технологий, таких как цифровая валюта и биометрические методы идентификации в платежах. Это не только ускорит процесс цифровизации, но и обеспечит безопасность и защиту данных пользователей. Важно продолжать работу по стандартизации и унификации процедур, связанных с безналичными расчетами, чтобы сделать их доступными для широкого круга населения, включая жителей отдаленных регионов. «Существующая в настоящее время система безналичных расчетов возникла не сразу, она сложилась в результате многолетних трудов, как практиков, так и теоретиков в области юриспруденции и экономики» [5]. Таким образом, дальнейшее развитие законодательства в этой сфере становится необходимым шагом для обеспечения эффективного и безопасного использования новых технологий.</w:t>
      </w:r>
    </w:p>
    <w:p w14:paraId="055622A4"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 xml:space="preserve">Ожидается, что предложенные законодательные инициативы окажут значительное влияние как на рынок, так и на потребителей. Внедрение цифрового рубля может способствовать снижению </w:t>
      </w:r>
      <w:r w:rsidRPr="003A366B">
        <w:rPr>
          <w:rFonts w:ascii="Times New Roman" w:eastAsia="Calibri" w:hAnsi="Times New Roman" w:cs="Times New Roman"/>
          <w:sz w:val="32"/>
          <w:szCs w:val="32"/>
        </w:rPr>
        <w:lastRenderedPageBreak/>
        <w:t>издержек на проведение операций и повышению прозрачности финансовых потоков. С другой стороны, развитие биометрических технологий упростит процесс оплаты и повысит уровень доверия к безналичным расчетам. Формирование эффективной автоматизированной системы безналичных расчетов является ключевым условием успешного развития новых видов розничных услуг. В совокупности эти меры могут стимулировать рост доли безналичных операций, что будет способствовать укреплению экономической стабильности и удобства для граждан.</w:t>
      </w:r>
    </w:p>
    <w:p w14:paraId="547B95BD"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Государственная поддержка бизнеса и регулирование платежной системы являются взаимосвязанными процессами, которые способствуют устойчивому экономическому росту и развитию финансовых технологий. Эффективная реализация государственных программ может значительно улучшить условия для ведения бизнеса, повысить доступность финансовых услуг и укрепить доверие к платежным системам.</w:t>
      </w:r>
    </w:p>
    <w:p w14:paraId="242C5B4A" w14:textId="77777777" w:rsidR="003A366B" w:rsidRPr="003A366B" w:rsidRDefault="003A366B" w:rsidP="009A1721">
      <w:pPr>
        <w:spacing w:after="0" w:line="240" w:lineRule="auto"/>
        <w:ind w:firstLine="709"/>
        <w:jc w:val="both"/>
        <w:rPr>
          <w:rFonts w:ascii="Times New Roman" w:eastAsia="Calibri" w:hAnsi="Times New Roman" w:cs="Times New Roman"/>
          <w:sz w:val="32"/>
          <w:szCs w:val="32"/>
        </w:rPr>
      </w:pPr>
      <w:r w:rsidRPr="003A366B">
        <w:rPr>
          <w:rFonts w:ascii="Times New Roman" w:eastAsia="Calibri" w:hAnsi="Times New Roman" w:cs="Times New Roman"/>
          <w:sz w:val="32"/>
          <w:szCs w:val="32"/>
        </w:rPr>
        <w:t>Таким образом, проанализировав все показатели, можно сделать вывод о высокой эффективности внедрения безналичных платежей, которые значительно повышают удобство как для общества, так и для бизнеса.</w:t>
      </w:r>
    </w:p>
    <w:p w14:paraId="54B6E160" w14:textId="77777777" w:rsidR="003A366B" w:rsidRPr="003A366B" w:rsidRDefault="003A366B" w:rsidP="009A1721">
      <w:pPr>
        <w:spacing w:after="0" w:line="240" w:lineRule="auto"/>
        <w:ind w:firstLine="567"/>
        <w:jc w:val="center"/>
        <w:rPr>
          <w:rFonts w:ascii="Times New Roman" w:eastAsia="Calibri" w:hAnsi="Times New Roman" w:cs="Times New Roman"/>
          <w:b/>
          <w:bCs/>
          <w:sz w:val="21"/>
          <w:szCs w:val="21"/>
        </w:rPr>
      </w:pPr>
      <w:r w:rsidRPr="003A366B">
        <w:rPr>
          <w:rFonts w:ascii="Times New Roman" w:eastAsia="Calibri" w:hAnsi="Times New Roman" w:cs="Times New Roman"/>
          <w:b/>
          <w:bCs/>
          <w:sz w:val="21"/>
          <w:szCs w:val="21"/>
        </w:rPr>
        <w:t>Литература:</w:t>
      </w:r>
    </w:p>
    <w:p w14:paraId="06F10242" w14:textId="77777777" w:rsidR="003A366B" w:rsidRPr="003A366B" w:rsidRDefault="003A366B" w:rsidP="00AD58CD">
      <w:pPr>
        <w:numPr>
          <w:ilvl w:val="0"/>
          <w:numId w:val="210"/>
        </w:numPr>
        <w:spacing w:after="0" w:line="240" w:lineRule="auto"/>
        <w:ind w:left="567" w:hanging="578"/>
        <w:contextualSpacing/>
        <w:jc w:val="both"/>
        <w:rPr>
          <w:rFonts w:ascii="Times New Roman" w:eastAsia="Times New Roman" w:hAnsi="Times New Roman" w:cs="Times New Roman"/>
          <w:sz w:val="21"/>
          <w:szCs w:val="21"/>
          <w:u w:val="single"/>
          <w:lang w:eastAsia="ru-RU"/>
        </w:rPr>
      </w:pPr>
      <w:r w:rsidRPr="003A366B">
        <w:rPr>
          <w:rFonts w:ascii="Times New Roman" w:eastAsia="Arial" w:hAnsi="Times New Roman" w:cs="Times New Roman"/>
          <w:sz w:val="21"/>
          <w:szCs w:val="21"/>
          <w:lang w:eastAsia="ru-RU"/>
        </w:rPr>
        <w:t xml:space="preserve"> Банк России. Статистика национальной платежной системы: официальный сайт. – </w:t>
      </w:r>
      <w:r w:rsidRPr="003A366B">
        <w:rPr>
          <w:rFonts w:ascii="Times New Roman" w:eastAsia="Arial" w:hAnsi="Times New Roman" w:cs="Times New Roman"/>
          <w:sz w:val="21"/>
          <w:szCs w:val="21"/>
          <w:lang w:val="en-US" w:eastAsia="ru-RU"/>
        </w:rPr>
        <w:t>URL</w:t>
      </w:r>
      <w:r w:rsidRPr="003A366B">
        <w:rPr>
          <w:rFonts w:ascii="Times New Roman" w:eastAsia="Arial" w:hAnsi="Times New Roman" w:cs="Times New Roman"/>
          <w:sz w:val="21"/>
          <w:szCs w:val="21"/>
          <w:lang w:eastAsia="ru-RU"/>
        </w:rPr>
        <w:t xml:space="preserve">: </w:t>
      </w:r>
      <w:hyperlink r:id="rId258" w:history="1">
        <w:r w:rsidRPr="003A366B">
          <w:rPr>
            <w:rFonts w:ascii="Times New Roman" w:eastAsia="Times New Roman" w:hAnsi="Times New Roman" w:cs="Times New Roman"/>
            <w:color w:val="0563C1"/>
            <w:sz w:val="21"/>
            <w:szCs w:val="21"/>
            <w:u w:val="single"/>
            <w:lang w:eastAsia="ru-RU"/>
          </w:rPr>
          <w:t>https://cbr.ru/statistics/nps/psrf/</w:t>
        </w:r>
      </w:hyperlink>
    </w:p>
    <w:p w14:paraId="66F06468" w14:textId="77777777" w:rsidR="003A366B" w:rsidRPr="003A366B" w:rsidRDefault="003A366B" w:rsidP="00AD58CD">
      <w:pPr>
        <w:numPr>
          <w:ilvl w:val="0"/>
          <w:numId w:val="210"/>
        </w:numPr>
        <w:spacing w:after="0" w:line="240" w:lineRule="auto"/>
        <w:ind w:left="567" w:hanging="578"/>
        <w:contextualSpacing/>
        <w:jc w:val="both"/>
        <w:rPr>
          <w:rFonts w:ascii="Times New Roman" w:eastAsia="Times New Roman" w:hAnsi="Times New Roman" w:cs="Times New Roman"/>
          <w:sz w:val="21"/>
          <w:szCs w:val="21"/>
          <w:u w:val="single"/>
          <w:lang w:eastAsia="ru-RU"/>
        </w:rPr>
      </w:pPr>
      <w:r w:rsidRPr="003A366B">
        <w:rPr>
          <w:rFonts w:ascii="Times New Roman" w:eastAsia="Times New Roman" w:hAnsi="Times New Roman" w:cs="Times New Roman"/>
          <w:sz w:val="21"/>
          <w:szCs w:val="21"/>
          <w:lang w:eastAsia="ru-RU"/>
        </w:rPr>
        <w:t xml:space="preserve"> Министерство экономического развития Российской Федерации. Компенсации МСП расходов на систему быстрых платежей: официальный сайт. – URL:</w:t>
      </w:r>
      <w:r w:rsidRPr="003A366B">
        <w:rPr>
          <w:rFonts w:ascii="Times New Roman" w:eastAsia="Times New Roman" w:hAnsi="Times New Roman" w:cs="Times New Roman"/>
          <w:sz w:val="21"/>
          <w:szCs w:val="21"/>
          <w:u w:val="single"/>
          <w:lang w:eastAsia="ru-RU"/>
        </w:rPr>
        <w:t xml:space="preserve"> </w:t>
      </w:r>
      <w:hyperlink r:id="rId259" w:history="1">
        <w:r w:rsidRPr="003A366B">
          <w:rPr>
            <w:rFonts w:ascii="Times New Roman" w:eastAsia="Times New Roman" w:hAnsi="Times New Roman" w:cs="Times New Roman"/>
            <w:color w:val="0563C1"/>
            <w:sz w:val="21"/>
            <w:szCs w:val="21"/>
            <w:u w:val="single"/>
            <w:lang w:eastAsia="ru-RU"/>
          </w:rPr>
          <w:t>https://www.economy.gov.ru/material/directions/sanctions_measures/finansy/kompensacii_msp_rashodov_na_sistemu_bystryh_platezhe/</w:t>
        </w:r>
      </w:hyperlink>
    </w:p>
    <w:p w14:paraId="2F48E018" w14:textId="77777777" w:rsidR="003A366B" w:rsidRPr="003A366B" w:rsidRDefault="003A366B" w:rsidP="00AD58CD">
      <w:pPr>
        <w:numPr>
          <w:ilvl w:val="0"/>
          <w:numId w:val="210"/>
        </w:numPr>
        <w:spacing w:after="0" w:line="240" w:lineRule="auto"/>
        <w:ind w:left="567" w:hanging="578"/>
        <w:contextualSpacing/>
        <w:jc w:val="both"/>
        <w:rPr>
          <w:rFonts w:ascii="Times New Roman" w:eastAsia="Times New Roman" w:hAnsi="Times New Roman" w:cs="Times New Roman"/>
          <w:sz w:val="21"/>
          <w:szCs w:val="21"/>
          <w:lang w:val="en-US" w:eastAsia="ru-RU"/>
        </w:rPr>
      </w:pPr>
      <w:r w:rsidRPr="003A366B">
        <w:rPr>
          <w:rFonts w:ascii="Times New Roman" w:eastAsia="Arial" w:hAnsi="Times New Roman" w:cs="Times New Roman"/>
          <w:sz w:val="21"/>
          <w:szCs w:val="21"/>
          <w:lang w:eastAsia="ru-RU"/>
        </w:rPr>
        <w:t xml:space="preserve">Лыкова П. А. БИОМЕТРИЧЕСКАЯ ИДЕНТИФИКАЦИЯ: СУЩНОСТЬ ПРИМЕНЕНИЯ ТЕХНОЛОГИИ В ПЛАТЁЖНОЙ ИНДУСТРИИ // Хроноэкономика. </w:t>
      </w:r>
      <w:r w:rsidRPr="003A366B">
        <w:rPr>
          <w:rFonts w:ascii="Times New Roman" w:eastAsia="Arial" w:hAnsi="Times New Roman" w:cs="Times New Roman"/>
          <w:sz w:val="21"/>
          <w:szCs w:val="21"/>
          <w:lang w:val="en-US" w:eastAsia="ru-RU"/>
        </w:rPr>
        <w:t>2021. №2 (30). URL: https://cyberleninka.ru/article/n/biometricheskaya-identifikatsiya-suschnost-primeneniya-tehnologii-v-platyozhnoy-industrii.</w:t>
      </w:r>
    </w:p>
    <w:p w14:paraId="19C9CB4B" w14:textId="77777777" w:rsidR="003A366B" w:rsidRPr="003A366B" w:rsidRDefault="003A366B" w:rsidP="00AD58CD">
      <w:pPr>
        <w:numPr>
          <w:ilvl w:val="0"/>
          <w:numId w:val="210"/>
        </w:numPr>
        <w:spacing w:after="0" w:line="240" w:lineRule="auto"/>
        <w:ind w:left="567" w:hanging="578"/>
        <w:contextualSpacing/>
        <w:jc w:val="both"/>
        <w:rPr>
          <w:rFonts w:ascii="Times New Roman" w:eastAsia="Times New Roman" w:hAnsi="Times New Roman" w:cs="Times New Roman"/>
          <w:sz w:val="21"/>
          <w:szCs w:val="21"/>
          <w:lang w:eastAsia="ru-RU"/>
        </w:rPr>
      </w:pPr>
      <w:r w:rsidRPr="003A366B">
        <w:rPr>
          <w:rFonts w:ascii="Times New Roman" w:eastAsia="Arial" w:hAnsi="Times New Roman" w:cs="Times New Roman"/>
          <w:sz w:val="21"/>
          <w:szCs w:val="21"/>
          <w:lang w:eastAsia="ru-RU"/>
        </w:rPr>
        <w:t>Банк России. Платежные предпочтения граждан меняются: новая статистика Банка России</w:t>
      </w:r>
      <w:r w:rsidRPr="003A366B">
        <w:rPr>
          <w:rFonts w:ascii="Times New Roman" w:eastAsia="Times New Roman" w:hAnsi="Times New Roman" w:cs="Times New Roman"/>
          <w:sz w:val="21"/>
          <w:szCs w:val="21"/>
          <w:lang w:eastAsia="ru-RU"/>
        </w:rPr>
        <w:t>: официальный сайт. – URL:</w:t>
      </w:r>
      <w:r w:rsidRPr="003A366B">
        <w:rPr>
          <w:rFonts w:ascii="Times New Roman" w:eastAsia="Times New Roman" w:hAnsi="Times New Roman" w:cs="Times New Roman"/>
          <w:sz w:val="21"/>
          <w:szCs w:val="21"/>
          <w:u w:val="single"/>
          <w:lang w:eastAsia="ru-RU"/>
        </w:rPr>
        <w:t xml:space="preserve"> </w:t>
      </w:r>
      <w:hyperlink r:id="rId260" w:history="1">
        <w:r w:rsidRPr="003A366B">
          <w:rPr>
            <w:rFonts w:ascii="Times New Roman" w:eastAsia="Times New Roman" w:hAnsi="Times New Roman" w:cs="Times New Roman"/>
            <w:color w:val="0563C1"/>
            <w:sz w:val="21"/>
            <w:szCs w:val="21"/>
            <w:u w:val="single"/>
            <w:lang w:val="en-US" w:eastAsia="ru-RU"/>
          </w:rPr>
          <w:t>https</w:t>
        </w:r>
        <w:r w:rsidRPr="003A366B">
          <w:rPr>
            <w:rFonts w:ascii="Times New Roman" w:eastAsia="Times New Roman" w:hAnsi="Times New Roman" w:cs="Times New Roman"/>
            <w:color w:val="0563C1"/>
            <w:sz w:val="21"/>
            <w:szCs w:val="21"/>
            <w:u w:val="single"/>
            <w:lang w:eastAsia="ru-RU"/>
          </w:rPr>
          <w:t>://</w:t>
        </w:r>
        <w:r w:rsidRPr="003A366B">
          <w:rPr>
            <w:rFonts w:ascii="Times New Roman" w:eastAsia="Times New Roman" w:hAnsi="Times New Roman" w:cs="Times New Roman"/>
            <w:color w:val="0563C1"/>
            <w:sz w:val="21"/>
            <w:szCs w:val="21"/>
            <w:u w:val="single"/>
            <w:lang w:val="en-US" w:eastAsia="ru-RU"/>
          </w:rPr>
          <w:t>cbr</w:t>
        </w:r>
        <w:r w:rsidRPr="003A366B">
          <w:rPr>
            <w:rFonts w:ascii="Times New Roman" w:eastAsia="Times New Roman" w:hAnsi="Times New Roman" w:cs="Times New Roman"/>
            <w:color w:val="0563C1"/>
            <w:sz w:val="21"/>
            <w:szCs w:val="21"/>
            <w:u w:val="single"/>
            <w:lang w:eastAsia="ru-RU"/>
          </w:rPr>
          <w:t>.</w:t>
        </w:r>
        <w:r w:rsidRPr="003A366B">
          <w:rPr>
            <w:rFonts w:ascii="Times New Roman" w:eastAsia="Times New Roman" w:hAnsi="Times New Roman" w:cs="Times New Roman"/>
            <w:color w:val="0563C1"/>
            <w:sz w:val="21"/>
            <w:szCs w:val="21"/>
            <w:u w:val="single"/>
            <w:lang w:val="en-US" w:eastAsia="ru-RU"/>
          </w:rPr>
          <w:t>ru</w:t>
        </w:r>
        <w:r w:rsidRPr="003A366B">
          <w:rPr>
            <w:rFonts w:ascii="Times New Roman" w:eastAsia="Times New Roman" w:hAnsi="Times New Roman" w:cs="Times New Roman"/>
            <w:color w:val="0563C1"/>
            <w:sz w:val="21"/>
            <w:szCs w:val="21"/>
            <w:u w:val="single"/>
            <w:lang w:eastAsia="ru-RU"/>
          </w:rPr>
          <w:t>/</w:t>
        </w:r>
        <w:r w:rsidRPr="003A366B">
          <w:rPr>
            <w:rFonts w:ascii="Times New Roman" w:eastAsia="Times New Roman" w:hAnsi="Times New Roman" w:cs="Times New Roman"/>
            <w:color w:val="0563C1"/>
            <w:sz w:val="21"/>
            <w:szCs w:val="21"/>
            <w:u w:val="single"/>
            <w:lang w:val="en-US" w:eastAsia="ru-RU"/>
          </w:rPr>
          <w:t>press</w:t>
        </w:r>
        <w:r w:rsidRPr="003A366B">
          <w:rPr>
            <w:rFonts w:ascii="Times New Roman" w:eastAsia="Times New Roman" w:hAnsi="Times New Roman" w:cs="Times New Roman"/>
            <w:color w:val="0563C1"/>
            <w:sz w:val="21"/>
            <w:szCs w:val="21"/>
            <w:u w:val="single"/>
            <w:lang w:eastAsia="ru-RU"/>
          </w:rPr>
          <w:t>/</w:t>
        </w:r>
        <w:r w:rsidRPr="003A366B">
          <w:rPr>
            <w:rFonts w:ascii="Times New Roman" w:eastAsia="Times New Roman" w:hAnsi="Times New Roman" w:cs="Times New Roman"/>
            <w:color w:val="0563C1"/>
            <w:sz w:val="21"/>
            <w:szCs w:val="21"/>
            <w:u w:val="single"/>
            <w:lang w:val="en-US" w:eastAsia="ru-RU"/>
          </w:rPr>
          <w:t>event</w:t>
        </w:r>
        <w:r w:rsidRPr="003A366B">
          <w:rPr>
            <w:rFonts w:ascii="Times New Roman" w:eastAsia="Times New Roman" w:hAnsi="Times New Roman" w:cs="Times New Roman"/>
            <w:color w:val="0563C1"/>
            <w:sz w:val="21"/>
            <w:szCs w:val="21"/>
            <w:u w:val="single"/>
            <w:lang w:eastAsia="ru-RU"/>
          </w:rPr>
          <w:t>/?</w:t>
        </w:r>
        <w:r w:rsidRPr="003A366B">
          <w:rPr>
            <w:rFonts w:ascii="Times New Roman" w:eastAsia="Times New Roman" w:hAnsi="Times New Roman" w:cs="Times New Roman"/>
            <w:color w:val="0563C1"/>
            <w:sz w:val="21"/>
            <w:szCs w:val="21"/>
            <w:u w:val="single"/>
            <w:lang w:val="en-US" w:eastAsia="ru-RU"/>
          </w:rPr>
          <w:t>id</w:t>
        </w:r>
        <w:r w:rsidRPr="003A366B">
          <w:rPr>
            <w:rFonts w:ascii="Times New Roman" w:eastAsia="Times New Roman" w:hAnsi="Times New Roman" w:cs="Times New Roman"/>
            <w:color w:val="0563C1"/>
            <w:sz w:val="21"/>
            <w:szCs w:val="21"/>
            <w:u w:val="single"/>
            <w:lang w:eastAsia="ru-RU"/>
          </w:rPr>
          <w:t>=23262</w:t>
        </w:r>
      </w:hyperlink>
    </w:p>
    <w:p w14:paraId="6D88B62A" w14:textId="77777777" w:rsidR="003A366B" w:rsidRPr="003A366B" w:rsidRDefault="003A366B" w:rsidP="00AD58CD">
      <w:pPr>
        <w:numPr>
          <w:ilvl w:val="0"/>
          <w:numId w:val="210"/>
        </w:numPr>
        <w:spacing w:after="0" w:line="240" w:lineRule="auto"/>
        <w:ind w:left="567" w:hanging="578"/>
        <w:contextualSpacing/>
        <w:jc w:val="both"/>
        <w:rPr>
          <w:rFonts w:ascii="Times New Roman" w:eastAsia="Arial" w:hAnsi="Times New Roman" w:cs="Times New Roman"/>
          <w:sz w:val="21"/>
          <w:szCs w:val="21"/>
          <w:lang w:eastAsia="ru-RU"/>
        </w:rPr>
      </w:pPr>
      <w:r w:rsidRPr="003A366B">
        <w:rPr>
          <w:rFonts w:ascii="Times New Roman" w:eastAsia="Arial" w:hAnsi="Times New Roman" w:cs="Times New Roman"/>
          <w:sz w:val="21"/>
          <w:szCs w:val="21"/>
          <w:lang w:eastAsia="ru-RU"/>
        </w:rPr>
        <w:t>Ращепкина, К. О. Возникновение и развитие безналичных расчетов в РФ / К. О. Ращепкина // Новый университет. Серия: Экономика и право. – 2012. – № 4. – С. 80-83.</w:t>
      </w:r>
    </w:p>
    <w:p w14:paraId="5B62606B" w14:textId="77777777" w:rsidR="003A366B" w:rsidRDefault="003A366B" w:rsidP="007B080E">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1BB1633B" w14:textId="77777777" w:rsidR="00E727A3" w:rsidRPr="00877DE5" w:rsidRDefault="00E727A3" w:rsidP="00E727A3">
      <w:pPr>
        <w:spacing w:after="0" w:line="240" w:lineRule="auto"/>
        <w:contextualSpacing/>
        <w:jc w:val="both"/>
        <w:rPr>
          <w:rFonts w:ascii="Times New Roman" w:eastAsia="Times New Roman" w:hAnsi="Times New Roman" w:cs="Times New Roman"/>
          <w:b/>
          <w:color w:val="000000"/>
          <w:sz w:val="21"/>
          <w:szCs w:val="21"/>
          <w:lang w:eastAsia="ru-RU"/>
        </w:rPr>
      </w:pPr>
      <w:r w:rsidRPr="00877DE5">
        <w:rPr>
          <w:rFonts w:ascii="Times New Roman" w:eastAsia="Times New Roman" w:hAnsi="Times New Roman" w:cs="Times New Roman"/>
          <w:b/>
          <w:color w:val="000000"/>
          <w:sz w:val="21"/>
          <w:szCs w:val="21"/>
          <w:lang w:eastAsia="ru-RU"/>
        </w:rPr>
        <w:t xml:space="preserve">УДК 336.748.12 </w:t>
      </w:r>
    </w:p>
    <w:p w14:paraId="7F389A7B"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i/>
          <w:kern w:val="2"/>
          <w:sz w:val="21"/>
          <w:szCs w:val="21"/>
          <w:lang w:eastAsia="ru-RU"/>
        </w:rPr>
      </w:pPr>
      <w:r w:rsidRPr="000E783B">
        <w:rPr>
          <w:rFonts w:ascii="Times New Roman" w:eastAsia="Calibri" w:hAnsi="Times New Roman" w:cs="Times New Roman"/>
          <w:b/>
          <w:i/>
          <w:kern w:val="2"/>
          <w:sz w:val="21"/>
          <w:szCs w:val="21"/>
          <w:lang w:eastAsia="ru-RU"/>
        </w:rPr>
        <w:t>Плотникова Е.О.</w:t>
      </w:r>
      <w:r>
        <w:rPr>
          <w:rFonts w:ascii="Times New Roman" w:eastAsia="Calibri" w:hAnsi="Times New Roman" w:cs="Times New Roman"/>
          <w:b/>
          <w:i/>
          <w:kern w:val="2"/>
          <w:sz w:val="21"/>
          <w:szCs w:val="21"/>
          <w:lang w:eastAsia="ru-RU"/>
        </w:rPr>
        <w:t>,</w:t>
      </w:r>
    </w:p>
    <w:p w14:paraId="398B6EE6"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студентка 1-го курса</w:t>
      </w:r>
    </w:p>
    <w:p w14:paraId="352A3E1B"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 xml:space="preserve">Краснодарский филиал ФГБОУ ВО Финансового университета при Правительстве РФ </w:t>
      </w:r>
    </w:p>
    <w:p w14:paraId="309D4F67"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г. Краснодар, Россия</w:t>
      </w:r>
    </w:p>
    <w:p w14:paraId="1DFBE1BC"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val="en-US" w:eastAsia="ru-RU"/>
        </w:rPr>
        <w:t>e</w:t>
      </w:r>
      <w:r w:rsidRPr="000E783B">
        <w:rPr>
          <w:rFonts w:ascii="Times New Roman" w:eastAsia="Calibri" w:hAnsi="Times New Roman" w:cs="Times New Roman"/>
          <w:i/>
          <w:kern w:val="2"/>
          <w:sz w:val="21"/>
          <w:szCs w:val="21"/>
          <w:lang w:eastAsia="ru-RU"/>
        </w:rPr>
        <w:t>-</w:t>
      </w:r>
      <w:r w:rsidRPr="000E783B">
        <w:rPr>
          <w:rFonts w:ascii="Times New Roman" w:eastAsia="Calibri" w:hAnsi="Times New Roman" w:cs="Times New Roman"/>
          <w:i/>
          <w:kern w:val="2"/>
          <w:sz w:val="21"/>
          <w:szCs w:val="21"/>
          <w:lang w:val="en-US" w:eastAsia="ru-RU"/>
        </w:rPr>
        <w:t>mail</w:t>
      </w:r>
      <w:r w:rsidRPr="000E783B">
        <w:rPr>
          <w:rFonts w:ascii="Times New Roman" w:eastAsia="Calibri" w:hAnsi="Times New Roman" w:cs="Times New Roman"/>
          <w:i/>
          <w:kern w:val="2"/>
          <w:sz w:val="21"/>
          <w:szCs w:val="21"/>
          <w:lang w:eastAsia="ru-RU"/>
        </w:rPr>
        <w:t xml:space="preserve">: </w:t>
      </w:r>
      <w:hyperlink r:id="rId261" w:history="1">
        <w:r w:rsidRPr="000E783B">
          <w:rPr>
            <w:rFonts w:ascii="Times New Roman" w:eastAsia="Calibri" w:hAnsi="Times New Roman" w:cs="Times New Roman"/>
            <w:i/>
            <w:color w:val="000080"/>
            <w:kern w:val="2"/>
            <w:sz w:val="21"/>
            <w:szCs w:val="21"/>
            <w:u w:val="single"/>
            <w:lang w:val="en-US" w:eastAsia="ru-RU"/>
          </w:rPr>
          <w:t>elizaveta</w:t>
        </w:r>
        <w:r w:rsidRPr="000E783B">
          <w:rPr>
            <w:rFonts w:ascii="Times New Roman" w:eastAsia="Calibri" w:hAnsi="Times New Roman" w:cs="Times New Roman"/>
            <w:i/>
            <w:color w:val="000080"/>
            <w:kern w:val="2"/>
            <w:sz w:val="21"/>
            <w:szCs w:val="21"/>
            <w:u w:val="single"/>
            <w:lang w:eastAsia="ru-RU"/>
          </w:rPr>
          <w:t>_</w:t>
        </w:r>
        <w:r w:rsidRPr="000E783B">
          <w:rPr>
            <w:rFonts w:ascii="Times New Roman" w:eastAsia="Calibri" w:hAnsi="Times New Roman" w:cs="Times New Roman"/>
            <w:i/>
            <w:color w:val="000080"/>
            <w:kern w:val="2"/>
            <w:sz w:val="21"/>
            <w:szCs w:val="21"/>
            <w:u w:val="single"/>
            <w:lang w:val="en-US" w:eastAsia="ru-RU"/>
          </w:rPr>
          <w:t>plot</w:t>
        </w:r>
        <w:r w:rsidRPr="000E783B">
          <w:rPr>
            <w:rFonts w:ascii="Times New Roman" w:eastAsia="Calibri" w:hAnsi="Times New Roman" w:cs="Times New Roman"/>
            <w:i/>
            <w:color w:val="000080"/>
            <w:kern w:val="2"/>
            <w:sz w:val="21"/>
            <w:szCs w:val="21"/>
            <w:u w:val="single"/>
            <w:lang w:eastAsia="ru-RU"/>
          </w:rPr>
          <w:t>07@</w:t>
        </w:r>
        <w:r w:rsidRPr="000E783B">
          <w:rPr>
            <w:rFonts w:ascii="Times New Roman" w:eastAsia="Calibri" w:hAnsi="Times New Roman" w:cs="Times New Roman"/>
            <w:i/>
            <w:color w:val="000080"/>
            <w:kern w:val="2"/>
            <w:sz w:val="21"/>
            <w:szCs w:val="21"/>
            <w:u w:val="single"/>
            <w:lang w:val="en-US" w:eastAsia="ru-RU"/>
          </w:rPr>
          <w:t>mail</w:t>
        </w:r>
        <w:r w:rsidRPr="000E783B">
          <w:rPr>
            <w:rFonts w:ascii="Times New Roman" w:eastAsia="Calibri" w:hAnsi="Times New Roman" w:cs="Times New Roman"/>
            <w:i/>
            <w:color w:val="000080"/>
            <w:kern w:val="2"/>
            <w:sz w:val="21"/>
            <w:szCs w:val="21"/>
            <w:u w:val="single"/>
            <w:lang w:eastAsia="ru-RU"/>
          </w:rPr>
          <w:t>.</w:t>
        </w:r>
        <w:r w:rsidRPr="000E783B">
          <w:rPr>
            <w:rFonts w:ascii="Times New Roman" w:eastAsia="Calibri" w:hAnsi="Times New Roman" w:cs="Times New Roman"/>
            <w:i/>
            <w:color w:val="000080"/>
            <w:kern w:val="2"/>
            <w:sz w:val="21"/>
            <w:szCs w:val="21"/>
            <w:u w:val="single"/>
            <w:lang w:val="en-US" w:eastAsia="ru-RU"/>
          </w:rPr>
          <w:t>ru</w:t>
        </w:r>
      </w:hyperlink>
    </w:p>
    <w:p w14:paraId="630FAF6E"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p>
    <w:p w14:paraId="6BC9E966"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i/>
          <w:kern w:val="2"/>
          <w:sz w:val="21"/>
          <w:szCs w:val="21"/>
          <w:lang w:eastAsia="ru-RU"/>
        </w:rPr>
      </w:pPr>
      <w:r w:rsidRPr="000E783B">
        <w:rPr>
          <w:rFonts w:ascii="Times New Roman" w:eastAsia="Calibri" w:hAnsi="Times New Roman" w:cs="Times New Roman"/>
          <w:b/>
          <w:i/>
          <w:kern w:val="2"/>
          <w:sz w:val="21"/>
          <w:szCs w:val="21"/>
          <w:lang w:eastAsia="ru-RU"/>
        </w:rPr>
        <w:t>Научный руководитель:</w:t>
      </w:r>
    </w:p>
    <w:p w14:paraId="3C0BD11C"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i/>
          <w:kern w:val="2"/>
          <w:sz w:val="21"/>
          <w:szCs w:val="21"/>
          <w:lang w:eastAsia="ru-RU"/>
        </w:rPr>
      </w:pPr>
      <w:r w:rsidRPr="000E783B">
        <w:rPr>
          <w:rFonts w:ascii="Times New Roman" w:eastAsia="Calibri" w:hAnsi="Times New Roman" w:cs="Times New Roman"/>
          <w:b/>
          <w:i/>
          <w:kern w:val="2"/>
          <w:sz w:val="21"/>
          <w:szCs w:val="21"/>
          <w:lang w:eastAsia="ru-RU"/>
        </w:rPr>
        <w:t>Радченко М.В.</w:t>
      </w:r>
      <w:r>
        <w:rPr>
          <w:rFonts w:ascii="Times New Roman" w:eastAsia="Calibri" w:hAnsi="Times New Roman" w:cs="Times New Roman"/>
          <w:b/>
          <w:i/>
          <w:kern w:val="2"/>
          <w:sz w:val="21"/>
          <w:szCs w:val="21"/>
          <w:lang w:eastAsia="ru-RU"/>
        </w:rPr>
        <w:t>,</w:t>
      </w:r>
    </w:p>
    <w:p w14:paraId="2C61FE1C"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w:t>
      </w:r>
      <w:r w:rsidRPr="000E783B">
        <w:rPr>
          <w:rFonts w:ascii="Times New Roman" w:eastAsia="Times New Roman" w:hAnsi="Times New Roman" w:cs="Times New Roman"/>
          <w:i/>
          <w:kern w:val="2"/>
          <w:sz w:val="24"/>
          <w:szCs w:val="24"/>
          <w:lang w:eastAsia="ru-RU"/>
        </w:rPr>
        <w:t xml:space="preserve"> </w:t>
      </w:r>
      <w:r w:rsidRPr="000E783B">
        <w:rPr>
          <w:rFonts w:ascii="Times New Roman" w:eastAsia="Calibri" w:hAnsi="Times New Roman" w:cs="Times New Roman"/>
          <w:i/>
          <w:kern w:val="2"/>
          <w:sz w:val="21"/>
          <w:szCs w:val="21"/>
          <w:lang w:eastAsia="ru-RU"/>
        </w:rPr>
        <w:t>доцент кафедры "Экономика и финансы"</w:t>
      </w:r>
    </w:p>
    <w:p w14:paraId="465E30F8"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 xml:space="preserve">Краснодарский филиал ФГБОУ ВО Финансового университета при Правительстве РФ </w:t>
      </w:r>
    </w:p>
    <w:p w14:paraId="268967CC"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eastAsia="ru-RU"/>
        </w:rPr>
        <w:t>г. Краснодар, Россия</w:t>
      </w:r>
    </w:p>
    <w:p w14:paraId="005FBE73" w14:textId="77777777" w:rsidR="00E727A3" w:rsidRPr="00877DE5" w:rsidRDefault="00E727A3" w:rsidP="00E727A3">
      <w:pPr>
        <w:spacing w:after="0" w:line="240" w:lineRule="auto"/>
        <w:ind w:firstLine="709"/>
        <w:contextualSpacing/>
        <w:jc w:val="right"/>
        <w:rPr>
          <w:rFonts w:ascii="Times New Roman" w:eastAsia="Calibri" w:hAnsi="Times New Roman" w:cs="Times New Roman"/>
          <w:i/>
          <w:kern w:val="2"/>
          <w:sz w:val="21"/>
          <w:szCs w:val="21"/>
          <w:lang w:eastAsia="ru-RU"/>
        </w:rPr>
      </w:pPr>
      <w:r w:rsidRPr="000E783B">
        <w:rPr>
          <w:rFonts w:ascii="Times New Roman" w:eastAsia="Calibri" w:hAnsi="Times New Roman" w:cs="Times New Roman"/>
          <w:i/>
          <w:kern w:val="2"/>
          <w:sz w:val="21"/>
          <w:szCs w:val="21"/>
          <w:lang w:val="en-US" w:eastAsia="ru-RU"/>
        </w:rPr>
        <w:t>e</w:t>
      </w:r>
      <w:r w:rsidRPr="000E783B">
        <w:rPr>
          <w:rFonts w:ascii="Times New Roman" w:eastAsia="Calibri" w:hAnsi="Times New Roman" w:cs="Times New Roman"/>
          <w:i/>
          <w:kern w:val="2"/>
          <w:sz w:val="21"/>
          <w:szCs w:val="21"/>
          <w:lang w:eastAsia="ru-RU"/>
        </w:rPr>
        <w:t>-</w:t>
      </w:r>
      <w:r w:rsidRPr="000E783B">
        <w:rPr>
          <w:rFonts w:ascii="Times New Roman" w:eastAsia="Calibri" w:hAnsi="Times New Roman" w:cs="Times New Roman"/>
          <w:i/>
          <w:kern w:val="2"/>
          <w:sz w:val="21"/>
          <w:szCs w:val="21"/>
          <w:lang w:val="en-US" w:eastAsia="ru-RU"/>
        </w:rPr>
        <w:t>mail</w:t>
      </w:r>
      <w:r w:rsidRPr="000E783B">
        <w:rPr>
          <w:rFonts w:ascii="Times New Roman" w:eastAsia="Calibri" w:hAnsi="Times New Roman" w:cs="Times New Roman"/>
          <w:i/>
          <w:kern w:val="2"/>
          <w:sz w:val="21"/>
          <w:szCs w:val="21"/>
          <w:lang w:eastAsia="ru-RU"/>
        </w:rPr>
        <w:t xml:space="preserve">: </w:t>
      </w:r>
      <w:r w:rsidRPr="000E783B">
        <w:rPr>
          <w:rFonts w:ascii="Times New Roman" w:eastAsia="Calibri" w:hAnsi="Times New Roman" w:cs="Times New Roman"/>
          <w:i/>
          <w:color w:val="5B9BD5"/>
          <w:kern w:val="2"/>
          <w:sz w:val="21"/>
          <w:szCs w:val="21"/>
          <w:u w:val="single"/>
          <w:lang w:val="en-US" w:eastAsia="ru-RU"/>
        </w:rPr>
        <w:t>mvradchenko</w:t>
      </w:r>
      <w:r w:rsidRPr="000E783B">
        <w:rPr>
          <w:rFonts w:ascii="Times New Roman" w:eastAsia="Calibri" w:hAnsi="Times New Roman" w:cs="Times New Roman"/>
          <w:i/>
          <w:color w:val="5B9BD5"/>
          <w:kern w:val="2"/>
          <w:sz w:val="21"/>
          <w:szCs w:val="21"/>
          <w:u w:val="single"/>
          <w:lang w:eastAsia="ru-RU"/>
        </w:rPr>
        <w:t>@</w:t>
      </w:r>
      <w:r w:rsidRPr="000E783B">
        <w:rPr>
          <w:rFonts w:ascii="Times New Roman" w:eastAsia="Calibri" w:hAnsi="Times New Roman" w:cs="Times New Roman"/>
          <w:i/>
          <w:color w:val="5B9BD5"/>
          <w:kern w:val="2"/>
          <w:sz w:val="21"/>
          <w:szCs w:val="21"/>
          <w:u w:val="single"/>
          <w:lang w:val="en-US" w:eastAsia="ru-RU"/>
        </w:rPr>
        <w:t>fa</w:t>
      </w:r>
      <w:r w:rsidRPr="000E783B">
        <w:rPr>
          <w:rFonts w:ascii="Times New Roman" w:eastAsia="Calibri" w:hAnsi="Times New Roman" w:cs="Times New Roman"/>
          <w:i/>
          <w:color w:val="5B9BD5"/>
          <w:kern w:val="2"/>
          <w:sz w:val="21"/>
          <w:szCs w:val="21"/>
          <w:u w:val="single"/>
          <w:lang w:eastAsia="ru-RU"/>
        </w:rPr>
        <w:t>.</w:t>
      </w:r>
      <w:r w:rsidRPr="000E783B">
        <w:rPr>
          <w:rFonts w:ascii="Times New Roman" w:eastAsia="Calibri" w:hAnsi="Times New Roman" w:cs="Times New Roman"/>
          <w:i/>
          <w:color w:val="5B9BD5"/>
          <w:kern w:val="2"/>
          <w:sz w:val="21"/>
          <w:szCs w:val="21"/>
          <w:u w:val="single"/>
          <w:lang w:val="en-US" w:eastAsia="ru-RU"/>
        </w:rPr>
        <w:t>ru</w:t>
      </w:r>
      <w:r w:rsidRPr="00877DE5">
        <w:rPr>
          <w:rFonts w:ascii="Times New Roman" w:eastAsia="Calibri" w:hAnsi="Times New Roman" w:cs="Times New Roman"/>
          <w:i/>
          <w:color w:val="5B9BD5"/>
          <w:kern w:val="2"/>
          <w:sz w:val="21"/>
          <w:szCs w:val="21"/>
          <w:lang w:eastAsia="ru-RU"/>
        </w:rPr>
        <w:t xml:space="preserve"> </w:t>
      </w:r>
    </w:p>
    <w:p w14:paraId="741A043C" w14:textId="77777777" w:rsidR="00E727A3" w:rsidRPr="00877DE5" w:rsidRDefault="00E727A3" w:rsidP="00E727A3">
      <w:pPr>
        <w:spacing w:after="0" w:line="240" w:lineRule="auto"/>
        <w:ind w:firstLine="709"/>
        <w:jc w:val="right"/>
        <w:rPr>
          <w:rFonts w:ascii="Times New Roman" w:eastAsia="Calibri" w:hAnsi="Times New Roman" w:cs="Times New Roman"/>
          <w:i/>
          <w:kern w:val="2"/>
          <w:sz w:val="21"/>
          <w:szCs w:val="21"/>
          <w:lang w:eastAsia="ru-RU"/>
        </w:rPr>
      </w:pPr>
    </w:p>
    <w:p w14:paraId="2521766C" w14:textId="77777777" w:rsidR="00E727A3" w:rsidRPr="00877DE5" w:rsidRDefault="00E727A3" w:rsidP="00E727A3">
      <w:pPr>
        <w:spacing w:after="0" w:line="240" w:lineRule="auto"/>
        <w:ind w:firstLine="709"/>
        <w:jc w:val="center"/>
        <w:rPr>
          <w:rFonts w:ascii="Times New Roman" w:eastAsia="Calibri" w:hAnsi="Times New Roman" w:cs="Times New Roman"/>
          <w:b/>
          <w:kern w:val="2"/>
          <w:sz w:val="21"/>
          <w:szCs w:val="21"/>
          <w:lang w:eastAsia="ru-RU"/>
        </w:rPr>
      </w:pPr>
      <w:r w:rsidRPr="00877DE5">
        <w:rPr>
          <w:rFonts w:ascii="Times New Roman" w:eastAsia="Calibri" w:hAnsi="Times New Roman" w:cs="Times New Roman"/>
          <w:b/>
          <w:kern w:val="2"/>
          <w:sz w:val="21"/>
          <w:szCs w:val="21"/>
          <w:lang w:eastAsia="ru-RU"/>
        </w:rPr>
        <w:t xml:space="preserve">Инфляция: факторы, механизм, стратегия преодоления </w:t>
      </w:r>
    </w:p>
    <w:p w14:paraId="0FC8E26E" w14:textId="77777777" w:rsidR="00E727A3" w:rsidRPr="00877DE5" w:rsidRDefault="00E727A3" w:rsidP="00E727A3">
      <w:pPr>
        <w:spacing w:after="0" w:line="240" w:lineRule="auto"/>
        <w:ind w:firstLine="709"/>
        <w:jc w:val="center"/>
        <w:rPr>
          <w:rFonts w:ascii="Times New Roman" w:eastAsia="Calibri" w:hAnsi="Times New Roman" w:cs="Times New Roman"/>
          <w:b/>
          <w:kern w:val="2"/>
          <w:sz w:val="21"/>
          <w:szCs w:val="21"/>
          <w:lang w:eastAsia="ru-RU"/>
        </w:rPr>
      </w:pPr>
    </w:p>
    <w:p w14:paraId="28A35D98"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b/>
          <w:bCs/>
          <w:kern w:val="2"/>
          <w:sz w:val="21"/>
          <w:szCs w:val="21"/>
          <w:lang w:eastAsia="ru-RU"/>
        </w:rPr>
        <w:t>Аннотация.</w:t>
      </w:r>
      <w:r w:rsidRPr="00877DE5">
        <w:rPr>
          <w:rFonts w:ascii="Times New Roman" w:eastAsia="Times New Roman" w:hAnsi="Times New Roman" w:cs="Times New Roman"/>
          <w:kern w:val="2"/>
          <w:sz w:val="21"/>
          <w:szCs w:val="21"/>
          <w:lang w:eastAsia="ru-RU"/>
        </w:rPr>
        <w:t xml:space="preserve"> Инфляция представляет собой один из ключевых экономических процессов, оказывающих значительное влияние на финансовую стабильность и экономическое развитие стран. В данной статье исследуется сущность инфляции, ее виды, причины, механизмы, а также социально-экономические последствия.</w:t>
      </w:r>
    </w:p>
    <w:p w14:paraId="1E4A5C93" w14:textId="77777777" w:rsidR="00E727A3" w:rsidRPr="00877DE5" w:rsidRDefault="00E727A3" w:rsidP="00E727A3">
      <w:pPr>
        <w:spacing w:after="0" w:line="240" w:lineRule="auto"/>
        <w:ind w:firstLine="709"/>
        <w:contextualSpacing/>
        <w:jc w:val="both"/>
        <w:rPr>
          <w:rFonts w:ascii="Times New Roman" w:eastAsia="Calibri" w:hAnsi="Times New Roman" w:cs="Times New Roman"/>
          <w:kern w:val="2"/>
          <w:sz w:val="21"/>
          <w:szCs w:val="21"/>
          <w:lang w:eastAsia="ru-RU"/>
        </w:rPr>
      </w:pPr>
      <w:r w:rsidRPr="00877DE5">
        <w:rPr>
          <w:rFonts w:ascii="Times New Roman" w:eastAsia="Times New Roman" w:hAnsi="Times New Roman" w:cs="Times New Roman"/>
          <w:b/>
          <w:bCs/>
          <w:kern w:val="2"/>
          <w:sz w:val="21"/>
          <w:szCs w:val="21"/>
          <w:lang w:eastAsia="ru-RU"/>
        </w:rPr>
        <w:t xml:space="preserve">Ключевые слова: </w:t>
      </w:r>
      <w:r w:rsidRPr="00877DE5">
        <w:rPr>
          <w:rFonts w:ascii="Times New Roman" w:eastAsia="Times New Roman" w:hAnsi="Times New Roman" w:cs="Times New Roman"/>
          <w:kern w:val="2"/>
          <w:sz w:val="21"/>
          <w:szCs w:val="21"/>
          <w:lang w:eastAsia="ru-RU"/>
        </w:rPr>
        <w:t>инфляция, дефляция, инфляция спроса, инфляция предложения</w:t>
      </w:r>
      <w:r w:rsidRPr="00877DE5">
        <w:rPr>
          <w:rFonts w:ascii="Times New Roman" w:eastAsia="Times New Roman" w:hAnsi="Times New Roman" w:cs="Times New Roman"/>
          <w:kern w:val="2"/>
          <w:sz w:val="24"/>
          <w:szCs w:val="24"/>
          <w:lang w:eastAsia="ru-RU"/>
        </w:rPr>
        <w:t>, а</w:t>
      </w:r>
      <w:r w:rsidRPr="00877DE5">
        <w:rPr>
          <w:rFonts w:ascii="Times New Roman" w:eastAsia="Times New Roman" w:hAnsi="Times New Roman" w:cs="Times New Roman"/>
          <w:kern w:val="2"/>
          <w:sz w:val="21"/>
          <w:szCs w:val="21"/>
          <w:lang w:eastAsia="ru-RU"/>
        </w:rPr>
        <w:t>нтиинфляционная политика, индекс потребительских цен.</w:t>
      </w:r>
    </w:p>
    <w:p w14:paraId="25CE2A67"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bCs/>
          <w:i/>
          <w:kern w:val="2"/>
          <w:sz w:val="21"/>
          <w:szCs w:val="21"/>
          <w:lang w:val="en-US" w:eastAsia="ru-RU"/>
        </w:rPr>
      </w:pPr>
      <w:r w:rsidRPr="000E783B">
        <w:rPr>
          <w:rFonts w:ascii="Times New Roman" w:eastAsia="Calibri" w:hAnsi="Times New Roman" w:cs="Times New Roman"/>
          <w:b/>
          <w:bCs/>
          <w:i/>
          <w:kern w:val="2"/>
          <w:sz w:val="21"/>
          <w:szCs w:val="21"/>
          <w:lang w:val="en-US" w:eastAsia="ru-RU"/>
        </w:rPr>
        <w:t>Plotnikova E.O.</w:t>
      </w:r>
    </w:p>
    <w:p w14:paraId="713D7154"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r w:rsidRPr="000E783B">
        <w:rPr>
          <w:rFonts w:ascii="Times New Roman" w:eastAsia="Calibri" w:hAnsi="Times New Roman" w:cs="Times New Roman"/>
          <w:i/>
          <w:iCs/>
          <w:kern w:val="2"/>
          <w:sz w:val="21"/>
          <w:szCs w:val="21"/>
          <w:lang w:val="en-US" w:eastAsia="ru-RU"/>
        </w:rPr>
        <w:t>1st year student</w:t>
      </w:r>
    </w:p>
    <w:p w14:paraId="5D31A165"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r w:rsidRPr="000E783B">
        <w:rPr>
          <w:rFonts w:ascii="Times New Roman" w:eastAsia="Calibri" w:hAnsi="Times New Roman" w:cs="Times New Roman"/>
          <w:i/>
          <w:iCs/>
          <w:kern w:val="2"/>
          <w:sz w:val="21"/>
          <w:szCs w:val="21"/>
          <w:lang w:val="en-US" w:eastAsia="ru-RU"/>
        </w:rPr>
        <w:t>Financial University under the Government of the Russian Federation (Krasnodar branch)</w:t>
      </w:r>
    </w:p>
    <w:p w14:paraId="54097F86"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r w:rsidRPr="000E783B">
        <w:rPr>
          <w:rFonts w:ascii="Times New Roman" w:eastAsia="Calibri" w:hAnsi="Times New Roman" w:cs="Times New Roman"/>
          <w:i/>
          <w:iCs/>
          <w:kern w:val="2"/>
          <w:sz w:val="21"/>
          <w:szCs w:val="21"/>
          <w:lang w:val="en-US" w:eastAsia="ru-RU"/>
        </w:rPr>
        <w:t>Krasnodar, Russia</w:t>
      </w:r>
    </w:p>
    <w:p w14:paraId="0B6E1DBC"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color w:val="5B9BD5"/>
          <w:kern w:val="2"/>
          <w:sz w:val="21"/>
          <w:szCs w:val="21"/>
          <w:u w:val="single"/>
          <w:lang w:val="en-US" w:eastAsia="ru-RU"/>
        </w:rPr>
      </w:pPr>
      <w:r w:rsidRPr="000E783B">
        <w:rPr>
          <w:rFonts w:ascii="Times New Roman" w:eastAsia="Calibri" w:hAnsi="Times New Roman" w:cs="Times New Roman"/>
          <w:i/>
          <w:iCs/>
          <w:kern w:val="2"/>
          <w:sz w:val="21"/>
          <w:szCs w:val="21"/>
          <w:lang w:val="en-US" w:eastAsia="ru-RU"/>
        </w:rPr>
        <w:t xml:space="preserve">e-mail: </w:t>
      </w:r>
      <w:r w:rsidRPr="000E783B">
        <w:rPr>
          <w:rFonts w:ascii="Times New Roman" w:eastAsia="Calibri" w:hAnsi="Times New Roman" w:cs="Times New Roman"/>
          <w:i/>
          <w:iCs/>
          <w:color w:val="5B9BD5"/>
          <w:kern w:val="2"/>
          <w:sz w:val="21"/>
          <w:szCs w:val="21"/>
          <w:u w:val="single"/>
          <w:lang w:val="en-US" w:eastAsia="ru-RU"/>
        </w:rPr>
        <w:t>elizaveta_plot07@mail.ru</w:t>
      </w:r>
    </w:p>
    <w:p w14:paraId="1A7777E9"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p>
    <w:p w14:paraId="743FEB7A"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bCs/>
          <w:i/>
          <w:kern w:val="2"/>
          <w:sz w:val="21"/>
          <w:szCs w:val="21"/>
          <w:lang w:val="en-US" w:eastAsia="ru-RU"/>
        </w:rPr>
      </w:pPr>
      <w:r w:rsidRPr="000E783B">
        <w:rPr>
          <w:rFonts w:ascii="Times New Roman" w:eastAsia="Calibri" w:hAnsi="Times New Roman" w:cs="Times New Roman"/>
          <w:b/>
          <w:bCs/>
          <w:i/>
          <w:kern w:val="2"/>
          <w:sz w:val="21"/>
          <w:szCs w:val="21"/>
          <w:lang w:val="en-US" w:eastAsia="ru-RU"/>
        </w:rPr>
        <w:t>Scientific supervisor:</w:t>
      </w:r>
    </w:p>
    <w:p w14:paraId="53398C3F" w14:textId="77777777" w:rsidR="00E727A3" w:rsidRPr="000E783B" w:rsidRDefault="00E727A3" w:rsidP="00E727A3">
      <w:pPr>
        <w:spacing w:after="0" w:line="240" w:lineRule="auto"/>
        <w:ind w:firstLine="709"/>
        <w:contextualSpacing/>
        <w:jc w:val="right"/>
        <w:rPr>
          <w:rFonts w:ascii="Times New Roman" w:eastAsia="Calibri" w:hAnsi="Times New Roman" w:cs="Times New Roman"/>
          <w:b/>
          <w:bCs/>
          <w:i/>
          <w:kern w:val="2"/>
          <w:sz w:val="21"/>
          <w:szCs w:val="21"/>
          <w:lang w:val="en-US" w:eastAsia="ru-RU"/>
        </w:rPr>
      </w:pPr>
      <w:r w:rsidRPr="000E783B">
        <w:rPr>
          <w:rFonts w:ascii="Times New Roman" w:eastAsia="Calibri" w:hAnsi="Times New Roman" w:cs="Times New Roman"/>
          <w:b/>
          <w:bCs/>
          <w:i/>
          <w:kern w:val="2"/>
          <w:sz w:val="21"/>
          <w:szCs w:val="21"/>
          <w:lang w:val="en-US" w:eastAsia="ru-RU"/>
        </w:rPr>
        <w:t>Radchenko M.V.</w:t>
      </w:r>
    </w:p>
    <w:p w14:paraId="61C64080"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r w:rsidRPr="000E783B">
        <w:rPr>
          <w:rFonts w:ascii="Times New Roman" w:eastAsia="Calibri" w:hAnsi="Times New Roman" w:cs="Times New Roman"/>
          <w:i/>
          <w:iCs/>
          <w:kern w:val="2"/>
          <w:sz w:val="21"/>
          <w:szCs w:val="21"/>
          <w:lang w:val="en-US" w:eastAsia="ru-RU"/>
        </w:rPr>
        <w:t>Associate Professor of the Department of Economics and Finance</w:t>
      </w:r>
    </w:p>
    <w:p w14:paraId="0DA552C2"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iCs/>
          <w:kern w:val="2"/>
          <w:sz w:val="21"/>
          <w:szCs w:val="21"/>
          <w:lang w:val="en-US" w:eastAsia="ru-RU"/>
        </w:rPr>
      </w:pPr>
      <w:r w:rsidRPr="000E783B">
        <w:rPr>
          <w:rFonts w:ascii="Times New Roman" w:eastAsia="Calibri" w:hAnsi="Times New Roman" w:cs="Times New Roman"/>
          <w:i/>
          <w:iCs/>
          <w:kern w:val="2"/>
          <w:sz w:val="21"/>
          <w:szCs w:val="21"/>
          <w:lang w:val="en-US" w:eastAsia="ru-RU"/>
        </w:rPr>
        <w:t>Financial University under the Government of the Russian Federation (Krasnodar branch)</w:t>
      </w:r>
    </w:p>
    <w:p w14:paraId="1A64914E" w14:textId="77777777" w:rsidR="00E727A3" w:rsidRPr="000E783B" w:rsidRDefault="00E727A3" w:rsidP="00E727A3">
      <w:pPr>
        <w:spacing w:after="0" w:line="240" w:lineRule="auto"/>
        <w:ind w:firstLine="709"/>
        <w:contextualSpacing/>
        <w:jc w:val="right"/>
        <w:rPr>
          <w:rFonts w:ascii="Times New Roman" w:eastAsia="Calibri" w:hAnsi="Times New Roman" w:cs="Times New Roman"/>
          <w:i/>
          <w:kern w:val="2"/>
          <w:sz w:val="21"/>
          <w:szCs w:val="21"/>
          <w:lang w:val="en-US" w:eastAsia="ru-RU"/>
        </w:rPr>
      </w:pPr>
      <w:r w:rsidRPr="000E783B">
        <w:rPr>
          <w:rFonts w:ascii="Times New Roman" w:eastAsia="Calibri" w:hAnsi="Times New Roman" w:cs="Times New Roman"/>
          <w:i/>
          <w:iCs/>
          <w:kern w:val="2"/>
          <w:sz w:val="21"/>
          <w:szCs w:val="21"/>
          <w:lang w:val="en-US" w:eastAsia="ru-RU"/>
        </w:rPr>
        <w:t>Krasnodar, Russia</w:t>
      </w:r>
    </w:p>
    <w:p w14:paraId="1F2712FD" w14:textId="77777777" w:rsidR="00E727A3" w:rsidRPr="00877DE5" w:rsidRDefault="00E727A3" w:rsidP="00E727A3">
      <w:pPr>
        <w:spacing w:after="0" w:line="240" w:lineRule="auto"/>
        <w:ind w:firstLine="709"/>
        <w:contextualSpacing/>
        <w:jc w:val="right"/>
        <w:rPr>
          <w:rFonts w:ascii="Times New Roman" w:eastAsia="Calibri" w:hAnsi="Times New Roman" w:cs="Times New Roman"/>
          <w:i/>
          <w:kern w:val="2"/>
          <w:sz w:val="21"/>
          <w:szCs w:val="21"/>
          <w:lang w:val="en-US" w:eastAsia="ru-RU"/>
        </w:rPr>
      </w:pPr>
      <w:r w:rsidRPr="000E783B">
        <w:rPr>
          <w:rFonts w:ascii="Times New Roman" w:eastAsia="Calibri" w:hAnsi="Times New Roman" w:cs="Times New Roman"/>
          <w:i/>
          <w:kern w:val="2"/>
          <w:sz w:val="21"/>
          <w:szCs w:val="21"/>
          <w:lang w:val="en-US" w:eastAsia="ru-RU"/>
        </w:rPr>
        <w:t xml:space="preserve">e-mail: </w:t>
      </w:r>
      <w:r w:rsidRPr="000E783B">
        <w:rPr>
          <w:rFonts w:ascii="Times New Roman" w:eastAsia="Calibri" w:hAnsi="Times New Roman" w:cs="Times New Roman"/>
          <w:i/>
          <w:color w:val="5B9BD5"/>
          <w:kern w:val="2"/>
          <w:sz w:val="21"/>
          <w:szCs w:val="21"/>
          <w:u w:val="single"/>
          <w:lang w:val="en-US" w:eastAsia="ru-RU"/>
        </w:rPr>
        <w:t>mvradchenko@fa.ru</w:t>
      </w:r>
      <w:r w:rsidRPr="00877DE5">
        <w:rPr>
          <w:rFonts w:ascii="Times New Roman" w:eastAsia="Calibri" w:hAnsi="Times New Roman" w:cs="Times New Roman"/>
          <w:i/>
          <w:color w:val="5B9BD5"/>
          <w:kern w:val="2"/>
          <w:sz w:val="21"/>
          <w:szCs w:val="21"/>
          <w:lang w:val="en-US" w:eastAsia="ru-RU"/>
        </w:rPr>
        <w:t xml:space="preserve"> </w:t>
      </w:r>
    </w:p>
    <w:p w14:paraId="3910297C" w14:textId="77777777" w:rsidR="00E727A3" w:rsidRPr="00877DE5" w:rsidRDefault="00E727A3" w:rsidP="00E727A3">
      <w:pPr>
        <w:spacing w:after="0" w:line="240" w:lineRule="auto"/>
        <w:ind w:firstLine="709"/>
        <w:jc w:val="right"/>
        <w:rPr>
          <w:rFonts w:ascii="Times New Roman" w:eastAsia="Calibri" w:hAnsi="Times New Roman" w:cs="Times New Roman"/>
          <w:i/>
          <w:kern w:val="2"/>
          <w:sz w:val="21"/>
          <w:szCs w:val="21"/>
          <w:lang w:val="en-US" w:eastAsia="ru-RU"/>
        </w:rPr>
      </w:pPr>
    </w:p>
    <w:p w14:paraId="3C144F04" w14:textId="77777777" w:rsidR="00E727A3" w:rsidRPr="00877DE5" w:rsidRDefault="00E727A3" w:rsidP="00E727A3">
      <w:pPr>
        <w:spacing w:after="0" w:line="240" w:lineRule="auto"/>
        <w:ind w:firstLine="709"/>
        <w:contextualSpacing/>
        <w:jc w:val="center"/>
        <w:rPr>
          <w:rFonts w:ascii="Times New Roman" w:eastAsia="Times New Roman" w:hAnsi="Times New Roman" w:cs="Times New Roman"/>
          <w:b/>
          <w:bCs/>
          <w:kern w:val="2"/>
          <w:sz w:val="21"/>
          <w:szCs w:val="21"/>
          <w:lang w:val="en-US" w:eastAsia="ru-RU"/>
        </w:rPr>
      </w:pPr>
      <w:r w:rsidRPr="00877DE5">
        <w:rPr>
          <w:rFonts w:ascii="Times New Roman" w:eastAsia="Times New Roman" w:hAnsi="Times New Roman" w:cs="Times New Roman"/>
          <w:b/>
          <w:bCs/>
          <w:kern w:val="2"/>
          <w:sz w:val="21"/>
          <w:szCs w:val="21"/>
          <w:lang w:val="en-US" w:eastAsia="ru-RU"/>
        </w:rPr>
        <w:t>Inflation: factors, mechanism, coping strategy</w:t>
      </w:r>
    </w:p>
    <w:p w14:paraId="7228258A" w14:textId="77777777" w:rsidR="00E727A3" w:rsidRPr="00877DE5" w:rsidRDefault="00E727A3" w:rsidP="00E727A3">
      <w:pPr>
        <w:spacing w:after="0" w:line="240" w:lineRule="auto"/>
        <w:ind w:firstLine="709"/>
        <w:contextualSpacing/>
        <w:jc w:val="center"/>
        <w:rPr>
          <w:rFonts w:ascii="Times New Roman" w:eastAsia="Times New Roman" w:hAnsi="Times New Roman" w:cs="Times New Roman"/>
          <w:b/>
          <w:bCs/>
          <w:kern w:val="2"/>
          <w:sz w:val="21"/>
          <w:szCs w:val="21"/>
          <w:lang w:val="en-US" w:eastAsia="ru-RU"/>
        </w:rPr>
      </w:pPr>
    </w:p>
    <w:p w14:paraId="09351E37"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val="en-US" w:eastAsia="ru-RU"/>
        </w:rPr>
      </w:pPr>
      <w:r w:rsidRPr="00877DE5">
        <w:rPr>
          <w:rFonts w:ascii="Times New Roman" w:eastAsia="Times New Roman" w:hAnsi="Times New Roman" w:cs="Times New Roman"/>
          <w:b/>
          <w:bCs/>
          <w:kern w:val="2"/>
          <w:sz w:val="21"/>
          <w:szCs w:val="21"/>
          <w:lang w:val="en-US" w:eastAsia="ru-RU"/>
        </w:rPr>
        <w:t>Annotation.</w:t>
      </w:r>
      <w:r w:rsidRPr="00877DE5">
        <w:rPr>
          <w:rFonts w:ascii="Times New Roman" w:eastAsia="Times New Roman" w:hAnsi="Times New Roman" w:cs="Times New Roman"/>
          <w:kern w:val="2"/>
          <w:sz w:val="21"/>
          <w:szCs w:val="21"/>
          <w:lang w:val="en-US" w:eastAsia="ru-RU"/>
        </w:rPr>
        <w:t xml:space="preserve"> Inflation is one of the key economic processes that have a significant impact on the financial stability and economic development of countries. This article examines the essence of inflation, its types, causes, mechanisms, as well as socio-economic consequences. </w:t>
      </w:r>
    </w:p>
    <w:p w14:paraId="55D4D9DA"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val="en-US" w:eastAsia="ru-RU"/>
        </w:rPr>
      </w:pPr>
      <w:r w:rsidRPr="00877DE5">
        <w:rPr>
          <w:rFonts w:ascii="Times New Roman" w:eastAsia="Times New Roman" w:hAnsi="Times New Roman" w:cs="Times New Roman"/>
          <w:b/>
          <w:bCs/>
          <w:kern w:val="2"/>
          <w:sz w:val="21"/>
          <w:szCs w:val="21"/>
          <w:lang w:val="en-US" w:eastAsia="ru-RU"/>
        </w:rPr>
        <w:t>Keywords</w:t>
      </w:r>
      <w:r w:rsidRPr="00877DE5">
        <w:rPr>
          <w:rFonts w:ascii="Times New Roman" w:eastAsia="Times New Roman" w:hAnsi="Times New Roman" w:cs="Times New Roman"/>
          <w:kern w:val="2"/>
          <w:sz w:val="21"/>
          <w:szCs w:val="21"/>
          <w:lang w:val="en-US" w:eastAsia="ru-RU"/>
        </w:rPr>
        <w:t>: inflation, deflation, demand inflation, supply inflation, anti-inflationary policy, consumer price index.</w:t>
      </w:r>
    </w:p>
    <w:p w14:paraId="61B67109"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val="en-US" w:eastAsia="ru-RU"/>
        </w:rPr>
      </w:pPr>
    </w:p>
    <w:p w14:paraId="2F1B553D"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val="en-US" w:eastAsia="ru-RU"/>
        </w:rPr>
      </w:pPr>
    </w:p>
    <w:p w14:paraId="46A1DF60"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Термин "инфляция" (от лат. "inflatio" - вздутие) впервые был зафиксирован в экономических документах периода Гражданской войны в США (1861-1865 гг.). Особенно часто о нём заговорили после Первой мировой войны, когда многие государства столкнулись с резким обесцениванием бумажных денег [7].</w:t>
      </w:r>
    </w:p>
    <w:p w14:paraId="4B033406"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Инфляция – это повышение общего уровня цен на товары, работы и услуги (населения страны и предприятий) на длительный срок.</w:t>
      </w:r>
    </w:p>
    <w:p w14:paraId="54EFB554"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При инфляции на одну и ту же сумму денежных средств по истечении некоторого периода времени можно будет купить меньше товаров, работ и услуг, чем прежде.</w:t>
      </w:r>
    </w:p>
    <w:p w14:paraId="0B0C279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Экономисты различают три основных вида инфляции:</w:t>
      </w:r>
    </w:p>
    <w:p w14:paraId="6C58928A" w14:textId="77777777" w:rsidR="00E727A3" w:rsidRPr="00877DE5" w:rsidRDefault="00E727A3" w:rsidP="00AD58CD">
      <w:pPr>
        <w:numPr>
          <w:ilvl w:val="0"/>
          <w:numId w:val="75"/>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Умеренная (ещё её называют ползучей) -</w:t>
      </w:r>
      <w:r w:rsidRPr="00877DE5">
        <w:rPr>
          <w:rFonts w:ascii="Times New Roman" w:eastAsia="Times New Roman" w:hAnsi="Times New Roman" w:cs="Times New Roman"/>
          <w:color w:val="000000"/>
          <w:sz w:val="32"/>
          <w:shd w:val="clear" w:color="auto" w:fill="FFFFFF"/>
          <w:lang w:eastAsia="ru-RU"/>
        </w:rPr>
        <w:t xml:space="preserve"> </w:t>
      </w:r>
      <w:r w:rsidRPr="00877DE5">
        <w:rPr>
          <w:rFonts w:ascii="Times New Roman" w:eastAsia="Times New Roman" w:hAnsi="Times New Roman" w:cs="Times New Roman"/>
          <w:color w:val="000000"/>
          <w:sz w:val="32"/>
          <w:szCs w:val="32"/>
          <w:lang w:eastAsia="ru-RU"/>
        </w:rPr>
        <w:t>цены растут не больше 10% за год;</w:t>
      </w:r>
    </w:p>
    <w:p w14:paraId="1CFAB68A" w14:textId="77777777" w:rsidR="00E727A3" w:rsidRPr="00877DE5" w:rsidRDefault="00E727A3" w:rsidP="00AD58CD">
      <w:pPr>
        <w:numPr>
          <w:ilvl w:val="0"/>
          <w:numId w:val="75"/>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Галопирующая -</w:t>
      </w:r>
      <w:r w:rsidRPr="00877DE5">
        <w:rPr>
          <w:rFonts w:ascii="Times New Roman" w:eastAsia="Times New Roman" w:hAnsi="Times New Roman" w:cs="Times New Roman"/>
          <w:color w:val="000000"/>
          <w:sz w:val="32"/>
          <w:shd w:val="clear" w:color="auto" w:fill="FFFFFF"/>
          <w:lang w:eastAsia="ru-RU"/>
        </w:rPr>
        <w:t xml:space="preserve"> </w:t>
      </w:r>
      <w:r w:rsidRPr="00877DE5">
        <w:rPr>
          <w:rFonts w:ascii="Times New Roman" w:eastAsia="Times New Roman" w:hAnsi="Times New Roman" w:cs="Times New Roman"/>
          <w:color w:val="000000"/>
          <w:sz w:val="32"/>
          <w:szCs w:val="32"/>
          <w:lang w:eastAsia="ru-RU"/>
        </w:rPr>
        <w:t>цены растут быстро, от 10% до 100% в год;</w:t>
      </w:r>
    </w:p>
    <w:p w14:paraId="59399017" w14:textId="77777777" w:rsidR="00E727A3" w:rsidRPr="00877DE5" w:rsidRDefault="00E727A3" w:rsidP="00AD58CD">
      <w:pPr>
        <w:numPr>
          <w:ilvl w:val="0"/>
          <w:numId w:val="75"/>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Гиперинфляция - ежемесячный рост цен превышает 50%, что приводит к утрате деньгами своих основных функций.</w:t>
      </w:r>
    </w:p>
    <w:p w14:paraId="1059B8E5" w14:textId="77777777" w:rsidR="00E727A3" w:rsidRPr="00877DE5" w:rsidRDefault="00E727A3" w:rsidP="00E727A3">
      <w:pPr>
        <w:tabs>
          <w:tab w:val="left" w:pos="284"/>
          <w:tab w:val="left" w:pos="851"/>
        </w:tabs>
        <w:spacing w:after="0" w:line="240" w:lineRule="auto"/>
        <w:ind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Яркий пример: в 1992 году в России была зафиксирована гиперинфляция, что привело к полной утрате сбережений населения.</w:t>
      </w:r>
    </w:p>
    <w:p w14:paraId="5D16EA4D" w14:textId="77777777" w:rsidR="00E727A3" w:rsidRPr="00877DE5" w:rsidRDefault="00E727A3" w:rsidP="00E727A3">
      <w:pPr>
        <w:tabs>
          <w:tab w:val="left" w:pos="284"/>
          <w:tab w:val="left" w:pos="851"/>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 xml:space="preserve">Почему растут цены? Факторов много, но их можно разделить на три группы: </w:t>
      </w:r>
    </w:p>
    <w:p w14:paraId="53278641" w14:textId="77777777" w:rsidR="00E727A3" w:rsidRPr="00877DE5" w:rsidRDefault="00E727A3" w:rsidP="00AD58CD">
      <w:pPr>
        <w:numPr>
          <w:ilvl w:val="0"/>
          <w:numId w:val="76"/>
        </w:numPr>
        <w:tabs>
          <w:tab w:val="left" w:pos="284"/>
          <w:tab w:val="left" w:pos="851"/>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Инфляция спроса;</w:t>
      </w:r>
    </w:p>
    <w:p w14:paraId="2E56563D" w14:textId="77777777" w:rsidR="00E727A3" w:rsidRPr="00877DE5" w:rsidRDefault="00E727A3" w:rsidP="00AD58CD">
      <w:pPr>
        <w:numPr>
          <w:ilvl w:val="0"/>
          <w:numId w:val="76"/>
        </w:numPr>
        <w:tabs>
          <w:tab w:val="left" w:pos="284"/>
          <w:tab w:val="left" w:pos="851"/>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Инфляция предложения;</w:t>
      </w:r>
    </w:p>
    <w:p w14:paraId="413727D8" w14:textId="77777777" w:rsidR="00E727A3" w:rsidRPr="00877DE5" w:rsidRDefault="00E727A3" w:rsidP="00AD58CD">
      <w:pPr>
        <w:numPr>
          <w:ilvl w:val="0"/>
          <w:numId w:val="76"/>
        </w:numPr>
        <w:tabs>
          <w:tab w:val="left" w:pos="284"/>
          <w:tab w:val="left" w:pos="851"/>
        </w:tab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Инфляция ожиданий.</w:t>
      </w:r>
    </w:p>
    <w:p w14:paraId="7C006075"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Инфляция спроса возникает, когда общий спрос на товары и услуги превышает их предложение, а производители не могут удовлетворить растущие потребности из-за ограничений в ресурсах или мощностях.</w:t>
      </w:r>
    </w:p>
    <w:p w14:paraId="35816449"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Механизм: рост доходов населения → увеличение потребительской активности → дефицит товаров → повышение цен.</w:t>
      </w:r>
    </w:p>
    <w:p w14:paraId="3FF1210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Инфляция предложения возникает при снижении объёма производства товаров и предоставления услуг, которое приводит к росту их стоимости.</w:t>
      </w:r>
    </w:p>
    <w:p w14:paraId="208DFC71"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Механизм: рост затрат на производство → уменьшение выпуска продукции → повышение цен при стабильном спросе.</w:t>
      </w:r>
    </w:p>
    <w:p w14:paraId="021A332D"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Особую опасность представляет инфляция ожиданий, когда потребители и производители прогнозируют рост цен в будущем, что приводит к повышению текущих.</w:t>
      </w:r>
    </w:p>
    <w:p w14:paraId="4229FAB2"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Механизм: потребители, ожидая подорожания, покупают товары впрок → ажиотажный потребительский спрос приводит к дефициту товаров на рынке → дефицит ведёт к росту уровня цен на товары.</w:t>
      </w:r>
    </w:p>
    <w:p w14:paraId="5F836517"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Процесс, противоположный инфляции, называют дефляцией.</w:t>
      </w:r>
      <w:r w:rsidRPr="00877DE5">
        <w:rPr>
          <w:rFonts w:ascii="Times New Roman" w:eastAsia="Times New Roman" w:hAnsi="Times New Roman" w:cs="Times New Roman"/>
          <w:kern w:val="2"/>
          <w:sz w:val="24"/>
          <w:szCs w:val="24"/>
          <w:lang w:eastAsia="ru-RU"/>
        </w:rPr>
        <w:t xml:space="preserve"> </w:t>
      </w:r>
      <w:r w:rsidRPr="00877DE5">
        <w:rPr>
          <w:rFonts w:ascii="Times New Roman" w:eastAsia="Times New Roman" w:hAnsi="Times New Roman" w:cs="Times New Roman"/>
          <w:kern w:val="2"/>
          <w:sz w:val="32"/>
          <w:szCs w:val="32"/>
          <w:lang w:eastAsia="ru-RU"/>
        </w:rPr>
        <w:t>В отличие от инфляции, при дефляции покупательная способность денег увеличивается — со временем на ту же сумму можно купить больше товаров.</w:t>
      </w:r>
      <w:r w:rsidRPr="00877DE5">
        <w:rPr>
          <w:rFonts w:ascii="Times New Roman" w:eastAsia="Times New Roman" w:hAnsi="Times New Roman" w:cs="Times New Roman"/>
          <w:kern w:val="2"/>
          <w:sz w:val="24"/>
          <w:szCs w:val="24"/>
          <w:lang w:eastAsia="ru-RU"/>
        </w:rPr>
        <w:t xml:space="preserve"> </w:t>
      </w:r>
      <w:r w:rsidRPr="00877DE5">
        <w:rPr>
          <w:rFonts w:ascii="Times New Roman" w:eastAsia="Times New Roman" w:hAnsi="Times New Roman" w:cs="Times New Roman"/>
          <w:kern w:val="2"/>
          <w:sz w:val="32"/>
          <w:szCs w:val="32"/>
          <w:lang w:eastAsia="ru-RU"/>
        </w:rPr>
        <w:t>Но это редкое явление, обычно экономисты больше беспокоятся именно о росте цен. Причём в реальной жизни все три причины инфляции часто действуют одновременно, усиливая друг друга.</w:t>
      </w:r>
    </w:p>
    <w:p w14:paraId="4ECA1FD0"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Антиинфляционная политика государства включает в себя комплекс мер, которые направленны на стабилизацию цен и минимизацию уровня инфляции. Ключевыми инструментами, используемыми для реализации антиинфляционных целей, являются денежно-кредитная политика, фискальная политика и административные меры [3].</w:t>
      </w:r>
    </w:p>
    <w:p w14:paraId="3B333D17"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 сфере денежно-кредитного регулирования Центральный банк Российской Федерации играет определяющую роль. Являясь ключевым значением в этой сфере, использует различные инструменты для борьбы с высокой инфляцией:</w:t>
      </w:r>
    </w:p>
    <w:p w14:paraId="37BB5C9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1. Изменение ключевой ставки: когда инфляция ускоряется, ключевую ставку повышают, чтобы уменьшить спрос, когда инфляция замедляется — ставку снижают;</w:t>
      </w:r>
    </w:p>
    <w:p w14:paraId="29DCFB42"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2. Проведение операций с государственными ценными бумагами (покупка и продажа на открытом рынке);</w:t>
      </w:r>
    </w:p>
    <w:p w14:paraId="1D9FCEFF"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3.  Контроль за объемом денежной массы в обращении</w:t>
      </w:r>
    </w:p>
    <w:p w14:paraId="16D4D312"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ЦБ стремится приблизить инфляцию к 4% — это достаточно низкий показатель, который позволяет экономике развиваться, но при этом не разоряет население.</w:t>
      </w:r>
    </w:p>
    <w:p w14:paraId="7DB2297C"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Фискальная политика, в свою очередь, направлена на управление государственными расходами и доходами. В условиях инфляции государство может усиливать фискальные меры, например, путем сокращения бюджетных расходов или увеличения налогов, с целью стабилизации экономической ситуации.</w:t>
      </w:r>
    </w:p>
    <w:p w14:paraId="36EE72FB"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Административные меры антиинфляционной политики могут включать контроль за ценами на ключевые товары и услуги. Эти меры могут оказывать краткосрочный эффект, в долгосрочной перспективе они могут нарушать рыночные механизмы, что, в свою очередь, может привести к экономическим дисбалансам [5].</w:t>
      </w:r>
    </w:p>
    <w:p w14:paraId="74BDE79D"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Полностью победить инфляцию невозможно - да и не нужно. Небольшой рост цен даже полезен для экономики, так как стимулирует людей не копить деньги, а вкладывать их в развитие бизнеса. Главное - не допускать выхода инфляции из-под контроля, когда она начинает разрушать экономику и жизнь обычных людей.</w:t>
      </w:r>
    </w:p>
    <w:p w14:paraId="346B6979"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Мониторинг инфляционных процессов осуществляется Федеральной службой государственной статистики (Росстат) посредством расчета индекса потребительских цен (ИПЦ). </w:t>
      </w:r>
    </w:p>
    <w:p w14:paraId="17BA0F1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Расчёт ИПЦ включает четыре этапа:</w:t>
      </w:r>
    </w:p>
    <w:p w14:paraId="57E2A24D"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1. Формирование потребительской корзины, которая включает товары и услуги, которые обычно приобретают люди: продукты питания, одежда, транспорт, коммунальные услуги и другие. Цель - наиболее точно отразить структуру потребления населения.</w:t>
      </w:r>
    </w:p>
    <w:p w14:paraId="2C794ADA"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2. Сбор информации. Чтобы данные были объективными и актуальными, Росстат собирает данные ежемесячно и равномерно по всей стране. Учитывается стоимость корзины и в центральных, и в отдалённых регионах. </w:t>
      </w:r>
    </w:p>
    <w:p w14:paraId="44394FBB"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3. Расчёт среднего уровня цен. Путем анализа данных находится средняя стоимость каждого товара и услуги в корзине. Для этого все цены, собранные вместе, складывают и делят на общее количество.</w:t>
      </w:r>
    </w:p>
    <w:p w14:paraId="65B49E29"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4. Расчёт стоимости корзины. После определения средней стоимости каждого отдельного товара и услуги, можно рассчитать общую цену всей корзины товаров и услуг. Эта стоимость определяется как за текущий месяц, так и за предыдущий период - обычно за прошлый месяц или год.</w:t>
      </w:r>
    </w:p>
    <w:p w14:paraId="5D2473F1"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Воздействие инфляции на социально-экономическую сферу проявляется в нескольких аспектах. Прежде всего, она непосредственно сказывается на покупательной способности населения. Увеличение цен на товары и услуги снижает реальный доход граждан, что приводит к ухудшению уровня жизни и увеличению социального напряжения. Наиболее уязвимыми оказываются низкооплачиваемые группы населения, так как их доходы не всегда способны компенсировать рост цен [4].</w:t>
      </w:r>
    </w:p>
    <w:p w14:paraId="5A80D7B7"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К экономическим последствиям относятся: </w:t>
      </w:r>
    </w:p>
    <w:p w14:paraId="1BE0684A"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1. Сокращение производства - компании уменьшают выпуск продукции из-за нестабильной экономической обстановки;</w:t>
      </w:r>
    </w:p>
    <w:p w14:paraId="0B0DAC70"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2.  Изменения цен - мешают планированию и прогнозированию на предприятиях;</w:t>
      </w:r>
    </w:p>
    <w:p w14:paraId="269CF817"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3. Рост спекуляций -</w:t>
      </w:r>
      <w:r w:rsidRPr="00877DE5">
        <w:rPr>
          <w:rFonts w:ascii="Times New Roman" w:eastAsia="Times New Roman" w:hAnsi="Times New Roman" w:cs="Times New Roman"/>
          <w:color w:val="1E1E1E"/>
          <w:kern w:val="2"/>
          <w:sz w:val="24"/>
          <w:szCs w:val="24"/>
          <w:shd w:val="clear" w:color="auto" w:fill="FFFFFF"/>
          <w:lang w:eastAsia="ru-RU"/>
        </w:rPr>
        <w:t xml:space="preserve"> </w:t>
      </w:r>
      <w:r w:rsidRPr="00877DE5">
        <w:rPr>
          <w:rFonts w:ascii="Times New Roman" w:eastAsia="Times New Roman" w:hAnsi="Times New Roman" w:cs="Times New Roman"/>
          <w:kern w:val="2"/>
          <w:sz w:val="32"/>
          <w:szCs w:val="32"/>
          <w:lang w:eastAsia="ru-RU"/>
        </w:rPr>
        <w:t>вызывает резкие колебания цен и ограничение кредитных операций;</w:t>
      </w:r>
    </w:p>
    <w:p w14:paraId="6EE6550E"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4. Обесценивание финансовых ресурсов - ведет к нарушению платежного баланса.</w:t>
      </w:r>
    </w:p>
    <w:p w14:paraId="1559FDF6"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К социальным последствия относятся: </w:t>
      </w:r>
    </w:p>
    <w:p w14:paraId="38709438"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1. Обесценивание сбережений -</w:t>
      </w:r>
      <w:r w:rsidRPr="00877DE5">
        <w:rPr>
          <w:rFonts w:ascii="Times New Roman" w:eastAsia="Times New Roman" w:hAnsi="Times New Roman" w:cs="Times New Roman"/>
          <w:color w:val="1E1E1E"/>
          <w:kern w:val="2"/>
          <w:sz w:val="24"/>
          <w:szCs w:val="24"/>
          <w:shd w:val="clear" w:color="auto" w:fill="FFFFFF"/>
          <w:lang w:eastAsia="ru-RU"/>
        </w:rPr>
        <w:t xml:space="preserve"> </w:t>
      </w:r>
      <w:r w:rsidRPr="00877DE5">
        <w:rPr>
          <w:rFonts w:ascii="Times New Roman" w:eastAsia="Times New Roman" w:hAnsi="Times New Roman" w:cs="Times New Roman"/>
          <w:kern w:val="2"/>
          <w:sz w:val="32"/>
          <w:szCs w:val="32"/>
          <w:lang w:eastAsia="ru-RU"/>
        </w:rPr>
        <w:t>граждане теряют покупательную способность своих сбережений;</w:t>
      </w:r>
    </w:p>
    <w:p w14:paraId="51F2F79E"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2. Сокращение потребления - люди вынуждены сокращать расходы из-за роста цен;</w:t>
      </w:r>
    </w:p>
    <w:p w14:paraId="711248FA" w14:textId="77777777" w:rsidR="00E727A3" w:rsidRPr="00877DE5" w:rsidRDefault="00E727A3" w:rsidP="00E727A3">
      <w:pPr>
        <w:tabs>
          <w:tab w:val="left" w:pos="142"/>
          <w:tab w:val="left" w:pos="284"/>
        </w:tabs>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3. Усиление социального неравенства - богатые становятся богаче, бедные – беднее.</w:t>
      </w:r>
    </w:p>
    <w:p w14:paraId="6586A431"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Стратегии преодоления инфляции требуют комплексного подхода и основан на анализе внутренних и наружных факторов, способствующих росту цен. Разработка и внедрение таких стратегий необходимо для стабилизации экономики и предотвращения негативных последствий инфляции [1].  </w:t>
      </w:r>
    </w:p>
    <w:p w14:paraId="7955D1ED"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Контроль инфляции можно улучшить, если в торговле будет больше конкуренции. Поддержка малых и средних бизнесов, а также облегчение выхода новых компаний на рынок помогает увеличить количество товаров и услуг. Чем больше конкуренция, тем меньше вероятно повышение цен. Также развитие экспорта и внедрение новых </w:t>
      </w:r>
      <w:r w:rsidRPr="00877DE5">
        <w:rPr>
          <w:rFonts w:ascii="Times New Roman" w:eastAsia="Times New Roman" w:hAnsi="Times New Roman" w:cs="Times New Roman"/>
          <w:kern w:val="2"/>
          <w:sz w:val="32"/>
          <w:szCs w:val="32"/>
          <w:lang w:eastAsia="ru-RU"/>
        </w:rPr>
        <w:lastRenderedPageBreak/>
        <w:t>технологий повышают производительность и снижают расходы, что помогает удерживать цены на стабильном уровне.</w:t>
      </w:r>
    </w:p>
    <w:p w14:paraId="6C63610A"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Монетарная политика ЦБ РФ направлена на регулирование денежной массы и уровнем процентных ставок. Для этого применяются разные методы, такие как покупка и продажа ценных бумаг, изменение основной процентной ставки и требований к обязательным резервам банков. Эти меры помогают контролировать рост цен и поддерживать развитие экономики [2].</w:t>
      </w:r>
    </w:p>
    <w:p w14:paraId="3B8EA4DC"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Фискальная политика тоже важна для борьбы с инфляцией. Умеренное сокращение государственных расходов при одновременном стимулировании инвестиций может сбалансировать спрос и предложение.</w:t>
      </w:r>
    </w:p>
    <w:p w14:paraId="6A5758DF"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Внедрение структурных реформ также необходимо. Эти реформы могут включать в себя либерализацию рынков, дерегулирование отдельных секторов, а также создание лучших условий для инвестиций.</w:t>
      </w:r>
    </w:p>
    <w:p w14:paraId="33F951C2"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Социальная политика не должна оставаться в стороне. Улучшение уровня жизни, развитие системы поддержки и помощь нуждающимся помогут уменьшить плохие последствия инфляции для самых уязвимых людей [6].</w:t>
      </w:r>
    </w:p>
    <w:p w14:paraId="7EC244C8"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Взаимодействие всех этих действий между различными государственными органами и частным сектором является необходимым условием успешной реализации стратегии преодоления инфляции. Взаимодействие и обмен опытом между государственными и частными структурами могут как помочь в синхронизации усилий, так и создать комплексные решения для устранения причин инфляции [3].</w:t>
      </w:r>
    </w:p>
    <w:p w14:paraId="7DD5AD88"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Таким образом, инфляция представляет собой сложное и многогранное явление, требующее внимательного анализа и продуманной политики. Чтобы с ней справиться, нужно внимательно изучать причины и применять продуманные меры. Управлять инфляцией можно только тогда, когда учитываются все стороны экономики страны. Важно, чтобы государственные органы, бизнес и общество работали в едином направлении для достижения стабильности и процветания.</w:t>
      </w:r>
    </w:p>
    <w:p w14:paraId="096F246F"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32"/>
          <w:szCs w:val="32"/>
          <w:lang w:eastAsia="ru-RU"/>
        </w:rPr>
      </w:pPr>
    </w:p>
    <w:p w14:paraId="07D56AB4" w14:textId="77777777" w:rsidR="00E727A3" w:rsidRPr="00877DE5" w:rsidRDefault="00E727A3" w:rsidP="00E727A3">
      <w:pPr>
        <w:spacing w:after="0" w:line="240" w:lineRule="auto"/>
        <w:ind w:firstLine="709"/>
        <w:contextualSpacing/>
        <w:jc w:val="center"/>
        <w:rPr>
          <w:rFonts w:ascii="Times New Roman" w:eastAsia="Times New Roman" w:hAnsi="Times New Roman" w:cs="Times New Roman"/>
          <w:b/>
          <w:bCs/>
          <w:kern w:val="2"/>
          <w:sz w:val="21"/>
          <w:szCs w:val="21"/>
          <w:lang w:eastAsia="ru-RU"/>
        </w:rPr>
      </w:pPr>
      <w:r w:rsidRPr="00877DE5">
        <w:rPr>
          <w:rFonts w:ascii="Times New Roman" w:eastAsia="Times New Roman" w:hAnsi="Times New Roman" w:cs="Times New Roman"/>
          <w:b/>
          <w:bCs/>
          <w:kern w:val="2"/>
          <w:sz w:val="21"/>
          <w:szCs w:val="21"/>
          <w:lang w:eastAsia="ru-RU"/>
        </w:rPr>
        <w:t>Литература:</w:t>
      </w:r>
    </w:p>
    <w:p w14:paraId="216B2D98"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1. Инфляционные процессы и денежно-кредитные регистрации в России и за рубежом: Учебник/ Под ред. Миронова Л.Е., Малкина М.Ю. Издательство ИНФРА-М, 2021</w:t>
      </w:r>
    </w:p>
    <w:p w14:paraId="27C0EE85"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lastRenderedPageBreak/>
        <w:t xml:space="preserve">2. Кошелев А.Н. Причины инфляции в России: анализ и прогнозы // Финансовый журнал. – 2022 – № 3 – с. 38–45. </w:t>
      </w:r>
    </w:p>
    <w:p w14:paraId="2F8B370A"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3. Смирнов В.Е. Антиинфляционная политика в условиях глобальных вызовов // Журнал экономической теории – 2023 – № 4 – С. 67–79.</w:t>
      </w:r>
    </w:p>
    <w:p w14:paraId="0ACB427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 xml:space="preserve">4. Иванов П.С. Роль Центрального банка в борьбе с инфляцией // Экономика и управление – 2021 – № 2 – С. 22–29. </w:t>
      </w:r>
    </w:p>
    <w:p w14:paraId="32C296AB"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5. Николаев А.А. Механизмы антиинфляционного регулирования в России // Проблемы современной экономики – 2022 – № 1 – С. 45–52.</w:t>
      </w:r>
    </w:p>
    <w:p w14:paraId="6E1AEF1E"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 xml:space="preserve">6. Сергеева Л.В. Инфляция и ее влияние на экономическую стабильность // Вестник экономической науки – 2022 – № 5– С. 15–24. </w:t>
      </w:r>
    </w:p>
    <w:p w14:paraId="1A54394D" w14:textId="77777777" w:rsidR="00E727A3" w:rsidRPr="00877DE5" w:rsidRDefault="00E727A3" w:rsidP="00E727A3">
      <w:pPr>
        <w:spacing w:after="0" w:line="240" w:lineRule="auto"/>
        <w:ind w:firstLine="709"/>
        <w:contextualSpacing/>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kern w:val="2"/>
          <w:sz w:val="21"/>
          <w:szCs w:val="21"/>
          <w:lang w:eastAsia="ru-RU"/>
        </w:rPr>
        <w:t>7. Тихонов А.В. Исторический аспект инфляции в России: от переходного периода до современности // Российский экономический журнал. – 2023 – № 8 – С. 50–59.</w:t>
      </w:r>
    </w:p>
    <w:p w14:paraId="5AC81361" w14:textId="77777777" w:rsidR="00AE6EC1" w:rsidRDefault="00AE6EC1" w:rsidP="007B080E">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74B92FD1" w14:textId="77777777" w:rsidR="00E727A3" w:rsidRPr="007B080E" w:rsidRDefault="00E727A3" w:rsidP="007B080E">
      <w:pPr>
        <w:tabs>
          <w:tab w:val="left" w:pos="0"/>
        </w:tabs>
        <w:suppressAutoHyphens/>
        <w:autoSpaceDE w:val="0"/>
        <w:spacing w:after="0" w:line="240" w:lineRule="auto"/>
        <w:jc w:val="both"/>
        <w:rPr>
          <w:rFonts w:ascii="Times New Roman" w:eastAsia="Times New Roman" w:hAnsi="Times New Roman" w:cs="Times New Roman"/>
          <w:sz w:val="21"/>
          <w:szCs w:val="21"/>
          <w:lang w:eastAsia="ar-SA"/>
        </w:rPr>
      </w:pPr>
    </w:p>
    <w:p w14:paraId="2ADBDF75" w14:textId="77777777" w:rsidR="00877DE5" w:rsidRPr="00877DE5" w:rsidRDefault="00877DE5" w:rsidP="00F63ADB">
      <w:pPr>
        <w:suppressAutoHyphens/>
        <w:spacing w:after="0" w:line="240" w:lineRule="auto"/>
        <w:rPr>
          <w:rFonts w:ascii="Times New Roman" w:eastAsia="Times New Roman" w:hAnsi="Times New Roman" w:cs="Times New Roman"/>
          <w:b/>
          <w:iCs/>
          <w:color w:val="000000"/>
          <w:sz w:val="21"/>
          <w:szCs w:val="21"/>
          <w:lang w:eastAsia="ar-SA"/>
        </w:rPr>
      </w:pPr>
      <w:r w:rsidRPr="00877DE5">
        <w:rPr>
          <w:rFonts w:ascii="Times New Roman" w:eastAsia="Times New Roman" w:hAnsi="Times New Roman" w:cs="Times New Roman"/>
          <w:b/>
          <w:iCs/>
          <w:color w:val="000000"/>
          <w:sz w:val="21"/>
          <w:szCs w:val="21"/>
          <w:lang w:eastAsia="ar-SA"/>
        </w:rPr>
        <w:t>УДК 336</w:t>
      </w:r>
    </w:p>
    <w:p w14:paraId="501849EB"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Романова И.О., </w:t>
      </w:r>
    </w:p>
    <w:p w14:paraId="4ED8A1F9"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67CAB2F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66414C1B"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72118A7D" w14:textId="77777777" w:rsidR="00877DE5" w:rsidRPr="00EE54F2" w:rsidRDefault="00877DE5" w:rsidP="00067100">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262"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220166@</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25FABFB8"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4"/>
          <w14:ligatures w14:val="standardContextual"/>
        </w:rPr>
      </w:pPr>
    </w:p>
    <w:p w14:paraId="1F99B54F"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66CD6BC4"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71AC36C3"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76BDBAA4"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67AE23AE"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1E9BBF07"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263" w:history="1">
        <w:r w:rsidRPr="00877DE5">
          <w:rPr>
            <w:rFonts w:ascii="Times New Roman" w:eastAsia="Times New Roman" w:hAnsi="Times New Roman" w:cs="Times New Roman"/>
            <w:i/>
            <w:color w:val="0000FF"/>
            <w:sz w:val="21"/>
            <w:szCs w:val="20"/>
            <w:u w:val="single"/>
            <w:lang w:val="x-none" w:eastAsia="ar-SA"/>
          </w:rPr>
          <w:t>uyuroschektaeva@fa.ru</w:t>
        </w:r>
      </w:hyperlink>
    </w:p>
    <w:p w14:paraId="57FC29D6" w14:textId="77777777" w:rsidR="00877DE5" w:rsidRPr="00877DE5" w:rsidRDefault="00877DE5" w:rsidP="00067100">
      <w:pPr>
        <w:spacing w:after="0" w:line="240" w:lineRule="auto"/>
        <w:ind w:firstLine="709"/>
        <w:rPr>
          <w:rFonts w:ascii="Times New Roman" w:eastAsia="Aptos" w:hAnsi="Times New Roman" w:cs="Times New Roman"/>
          <w:kern w:val="2"/>
          <w:sz w:val="24"/>
          <w:szCs w:val="24"/>
          <w:lang w:val="x-none"/>
          <w14:ligatures w14:val="standardContextual"/>
        </w:rPr>
      </w:pPr>
    </w:p>
    <w:p w14:paraId="7FDDDCB7"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4"/>
          <w14:ligatures w14:val="standardContextual"/>
        </w:rPr>
      </w:pPr>
      <w:r w:rsidRPr="00877DE5">
        <w:rPr>
          <w:rFonts w:ascii="Times New Roman" w:eastAsia="Aptos" w:hAnsi="Times New Roman" w:cs="Times New Roman"/>
          <w:b/>
          <w:bCs/>
          <w:kern w:val="2"/>
          <w:sz w:val="21"/>
          <w:szCs w:val="24"/>
          <w14:ligatures w14:val="standardContextual"/>
        </w:rPr>
        <w:t>Сравнительный анализ стандартов по учету основных средств: МСФО 16 и ФСБУ 6/2020</w:t>
      </w:r>
    </w:p>
    <w:p w14:paraId="7D6960D9"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4"/>
          <w14:ligatures w14:val="standardContextual"/>
        </w:rPr>
      </w:pPr>
    </w:p>
    <w:p w14:paraId="4EB55526"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b/>
          <w:sz w:val="21"/>
          <w:szCs w:val="32"/>
          <w:lang w:eastAsia="ru-RU"/>
        </w:rPr>
        <w:t>Аннотация:</w:t>
      </w:r>
      <w:r w:rsidRPr="00877DE5">
        <w:rPr>
          <w:rFonts w:ascii="Times New Roman" w:eastAsia="Times New Roman" w:hAnsi="Times New Roman" w:cs="Times New Roman"/>
          <w:sz w:val="21"/>
          <w:szCs w:val="32"/>
          <w:lang w:eastAsia="ru-RU"/>
        </w:rPr>
        <w:t xml:space="preserve"> В статье представлен сравнительный анализ международного стандарта IAS 16 «Основные средства» и федерального стандарта ФСБУ 6/2020 «Основные средства» по пяти ключевым аспектам: признание, первоначальная и последующая оценка, начисление амортизации, выбытие и раскрытие информации. Выявлены основные сходства и различия в подходах, а также их влияние на показатели финансовой отчётности российских организаций. На основе проведённого исследования сформулированы рекомендации по адаптации учетной политики для повышения сопоставимости и прозрачности отчётности. Практическая значимость работы заключается в улучшении методологии учета ОС и оптимизации налоговой нагрузки.</w:t>
      </w:r>
    </w:p>
    <w:p w14:paraId="1D907770" w14:textId="77777777" w:rsidR="00877DE5" w:rsidRDefault="00877DE5" w:rsidP="00067100">
      <w:pPr>
        <w:spacing w:after="0" w:line="240" w:lineRule="auto"/>
        <w:ind w:firstLine="709"/>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b/>
          <w:bCs/>
          <w:sz w:val="21"/>
          <w:szCs w:val="32"/>
          <w:lang w:eastAsia="ru-RU"/>
        </w:rPr>
        <w:t xml:space="preserve">Ключевые слова: </w:t>
      </w:r>
      <w:r w:rsidRPr="00877DE5">
        <w:rPr>
          <w:rFonts w:ascii="Times New Roman" w:eastAsia="Times New Roman" w:hAnsi="Times New Roman" w:cs="Times New Roman"/>
          <w:sz w:val="21"/>
          <w:szCs w:val="32"/>
          <w:lang w:eastAsia="ru-RU"/>
        </w:rPr>
        <w:t>МСФО 16, ФСБУ 6/2020, основные средства, амортизация, модели оценки, раскрытие информации, сопоставимость.</w:t>
      </w:r>
    </w:p>
    <w:p w14:paraId="3521A7BE" w14:textId="77777777" w:rsidR="00123B88" w:rsidRPr="00877DE5" w:rsidRDefault="00123B88" w:rsidP="00067100">
      <w:pPr>
        <w:spacing w:after="0" w:line="240" w:lineRule="auto"/>
        <w:ind w:firstLine="709"/>
        <w:jc w:val="both"/>
        <w:rPr>
          <w:rFonts w:ascii="Times New Roman" w:eastAsia="Times New Roman" w:hAnsi="Times New Roman" w:cs="Times New Roman"/>
          <w:sz w:val="21"/>
          <w:szCs w:val="32"/>
          <w:lang w:eastAsia="ru-RU"/>
        </w:rPr>
      </w:pPr>
    </w:p>
    <w:p w14:paraId="4A42B4FD" w14:textId="4E7B2B7A"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b/>
          <w:i/>
          <w:color w:val="000000"/>
          <w:sz w:val="21"/>
          <w:szCs w:val="21"/>
          <w:lang w:val="en-US" w:eastAsia="ar-SA"/>
        </w:rPr>
        <w:t>Romanova I.O.,</w:t>
      </w:r>
    </w:p>
    <w:p w14:paraId="7C263BAD"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61CC600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788C8989"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42855849" w14:textId="77777777" w:rsidR="00877DE5" w:rsidRPr="00877DE5" w:rsidRDefault="00877DE5" w:rsidP="00067100">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264" w:history="1">
        <w:r w:rsidRPr="00877DE5">
          <w:rPr>
            <w:rFonts w:ascii="Times New Roman" w:eastAsia="Aptos" w:hAnsi="Times New Roman" w:cs="Times New Roman"/>
            <w:color w:val="467886"/>
            <w:kern w:val="2"/>
            <w:sz w:val="21"/>
            <w:szCs w:val="24"/>
            <w:u w:val="single"/>
            <w:lang w:val="en-US"/>
            <w14:ligatures w14:val="standardContextual"/>
          </w:rPr>
          <w:t>100dot13sl220166@edu.fa.ru</w:t>
        </w:r>
      </w:hyperlink>
    </w:p>
    <w:p w14:paraId="1098CAC1"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50A7069C"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32B566DD"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7437FE1B"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231C3923"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0CC8B9C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0B8BB467"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265" w:history="1">
        <w:r w:rsidRPr="00877DE5">
          <w:rPr>
            <w:rFonts w:ascii="Times New Roman" w:eastAsia="Times New Roman" w:hAnsi="Times New Roman" w:cs="Times New Roman"/>
            <w:i/>
            <w:color w:val="0000FF"/>
            <w:sz w:val="21"/>
            <w:szCs w:val="20"/>
            <w:u w:val="single"/>
            <w:lang w:val="x-none" w:eastAsia="ar-SA"/>
          </w:rPr>
          <w:t>uyuroschektaeva@fa.ru</w:t>
        </w:r>
      </w:hyperlink>
    </w:p>
    <w:p w14:paraId="0994943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val="x-none" w:eastAsia="ru-RU"/>
        </w:rPr>
      </w:pPr>
    </w:p>
    <w:p w14:paraId="240779D8"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32"/>
          <w:lang w:val="en-US" w:eastAsia="ru-RU"/>
        </w:rPr>
      </w:pPr>
      <w:r w:rsidRPr="00877DE5">
        <w:rPr>
          <w:rFonts w:ascii="Times New Roman" w:eastAsia="Times New Roman" w:hAnsi="Times New Roman" w:cs="Times New Roman"/>
          <w:b/>
          <w:bCs/>
          <w:sz w:val="21"/>
          <w:szCs w:val="32"/>
          <w:lang w:val="en-US" w:eastAsia="ru-RU"/>
        </w:rPr>
        <w:t>Comparative analysis of property, plant and equipment accounting standards: IAS 16 and FSBU 6/2020</w:t>
      </w:r>
    </w:p>
    <w:p w14:paraId="4DDA2836"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32"/>
          <w:lang w:val="en-US" w:eastAsia="ru-RU"/>
        </w:rPr>
      </w:pPr>
    </w:p>
    <w:p w14:paraId="45458A2A"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32"/>
          <w:lang w:val="en-US" w:eastAsia="ru-RU"/>
        </w:rPr>
      </w:pPr>
      <w:r w:rsidRPr="00877DE5">
        <w:rPr>
          <w:rFonts w:ascii="Times New Roman" w:eastAsia="Times New Roman" w:hAnsi="Times New Roman" w:cs="Times New Roman"/>
          <w:b/>
          <w:sz w:val="21"/>
          <w:szCs w:val="32"/>
          <w:lang w:val="en-US" w:eastAsia="ru-RU"/>
        </w:rPr>
        <w:t>Abstract:</w:t>
      </w:r>
      <w:r w:rsidRPr="00877DE5">
        <w:rPr>
          <w:rFonts w:ascii="Times New Roman" w:eastAsia="Times New Roman" w:hAnsi="Times New Roman" w:cs="Times New Roman"/>
          <w:sz w:val="21"/>
          <w:szCs w:val="32"/>
          <w:lang w:val="en-US" w:eastAsia="ru-RU"/>
        </w:rPr>
        <w:t xml:space="preserve"> This paper provides a comparative analysis of the international standard IAS 16 «Property, Plant and Equipment» and the Russian federal standard FSBU 6/2020 «Property, Plant and Equipment» across five key </w:t>
      </w:r>
      <w:r w:rsidRPr="00877DE5">
        <w:rPr>
          <w:rFonts w:ascii="Times New Roman" w:eastAsia="Times New Roman" w:hAnsi="Times New Roman" w:cs="Times New Roman"/>
          <w:sz w:val="21"/>
          <w:szCs w:val="32"/>
          <w:lang w:val="en-US" w:eastAsia="ru-RU"/>
        </w:rPr>
        <w:lastRenderedPageBreak/>
        <w:t>dimensions: recognition, initial and subsequent measurement, depreciation, derecognition, and disclosure. It identifies core similarities and differences in methodologies and assesses their impact on the financial statements of Russian entities. Based on the findings, recommendations are offered for adapting accounting policies to enhance the comparability and transparency of reporting. The study’s practical contribution lies in refining PPE accounting practices and optimizing tax treatment.</w:t>
      </w:r>
    </w:p>
    <w:p w14:paraId="17D25257"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32"/>
          <w:lang w:val="en-US" w:eastAsia="ru-RU"/>
        </w:rPr>
      </w:pPr>
      <w:r w:rsidRPr="00877DE5">
        <w:rPr>
          <w:rFonts w:ascii="Times New Roman" w:eastAsia="Times New Roman" w:hAnsi="Times New Roman" w:cs="Times New Roman"/>
          <w:b/>
          <w:bCs/>
          <w:sz w:val="21"/>
          <w:szCs w:val="32"/>
          <w:lang w:val="en-US" w:eastAsia="ru-RU"/>
        </w:rPr>
        <w:t xml:space="preserve">Keywords: </w:t>
      </w:r>
      <w:r w:rsidRPr="00877DE5">
        <w:rPr>
          <w:rFonts w:ascii="Times New Roman" w:eastAsia="Times New Roman" w:hAnsi="Times New Roman" w:cs="Times New Roman"/>
          <w:sz w:val="21"/>
          <w:szCs w:val="32"/>
          <w:lang w:val="en-US" w:eastAsia="ru-RU"/>
        </w:rPr>
        <w:t>IFRS 16, FSBU 6/2020, property, plant and equipment, depreciation, valuation models, disclosure, comparability.</w:t>
      </w:r>
    </w:p>
    <w:p w14:paraId="7AAD885A"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32"/>
          <w:lang w:val="en-US" w:eastAsia="ru-RU"/>
        </w:rPr>
      </w:pPr>
    </w:p>
    <w:p w14:paraId="6E54E01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Учет основных средств – важнейший раздел бухгалтерии, формирующий информацию об инвестициях организации в долгосрочные материальные активы. </w:t>
      </w:r>
    </w:p>
    <w:p w14:paraId="4926259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Международный стандарт IAS 16 «Основные средства» ориентирован на раскрытие пользователям отчетности сведений о вложениях предприятия в ОС и об их изменениях [1]. </w:t>
      </w:r>
    </w:p>
    <w:p w14:paraId="577C7A6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Федеральный стандарт ФСБУ 6/2020 «Основные средства» также устанавливает требования к формированию информации об ОС на национальном уровне [2]. </w:t>
      </w:r>
    </w:p>
    <w:p w14:paraId="5D70A0E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современных условиях вопросы сопоставимости МСФО и национальных стандартов становятся особенно актуальными. </w:t>
      </w:r>
    </w:p>
    <w:p w14:paraId="44D89AF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Цель статьи – провести сравнительный анализ МСФО (IAS) 16 и ФСБУ 6/2020 по ключевым положениям (признание, оценка, амортизация, выбытие, раскрытие информации) и выявить практические отличия. </w:t>
      </w:r>
    </w:p>
    <w:p w14:paraId="44BD337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МСФО (IAS) 16 применяется к учету ОС за исключением случаев, когда другие стандарты требуют иного подхода. В частности, IAS 16 не распространяется на объекты, классифицированные как предназначенные к продаже (IAS 5), на биологические активы (кроме плодоносящих сельхозрастений) и на право на разведку и добычу полезных ископаемых. ФСБУ 6/2020 действует в коммерческих организациях (не применяется в бюджетной сфере) и вводит аналогичное понятие ОС как материального актива, используемого для хозяйственных нужд более чем 12 месяцев и способного приносить экономические выгоды в будущем. При этом ФСБУ 6/2020 допускает применение лимита стоимости: активы с первоначальной стоимостью ниже установленной организации суммы по выбору могут сразу списываться на расходы.</w:t>
      </w:r>
    </w:p>
    <w:p w14:paraId="296D531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МСФО (IAS) 16 определяет ОС как «материальные активы, предназначенные для использования в производстве, предоставления услуг, сдачи в аренду или для управленческих нужд, и срок службы которых превышает один период». Стоимость такого актива признается как ОС «только если вероятно, что будущие экономические выгоды будут связаны с этим активом, и затраты можно измерить </w:t>
      </w:r>
      <w:r w:rsidRPr="00877DE5">
        <w:rPr>
          <w:rFonts w:ascii="Times New Roman" w:eastAsia="Times New Roman" w:hAnsi="Times New Roman" w:cs="Times New Roman"/>
          <w:sz w:val="32"/>
          <w:szCs w:val="32"/>
          <w:lang w:eastAsia="ru-RU"/>
        </w:rPr>
        <w:lastRenderedPageBreak/>
        <w:t>надежно». Таким образом, МСФО требует одновременного выполнения двух условий при признании. ФСБУ 6/2020 не вводит явных условий признания помимо определения объекта ОС, но при этом предписывает отражать ОС по первоначальной стоимости (сумме накопленных капитальных вложений до момента признания). Стоит отметить, что МСФО (IAS) 16 допускает только надежные и обоснованные методы учета (например, не разрешает использовать метод начисления амортизации на основе выручки), тогда как ФСБУ 6/2020 прямо перечисляет допустимые методы начисления амортизации (линейный, уменьшаемого остатка, пропорциональный объему выпуска).</w:t>
      </w:r>
    </w:p>
    <w:p w14:paraId="6219B64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МСФО (IAS) 16 устанавливает строгие критерии признания ОС как актива: первоначальная стоимость объекта ОС признается только при выполнении условий вероятности будущих выгод и возможности достоверно измерить затраты. ФСБУ 6/2020 не содержит отдельных условий «вероятности», но аналогично формулирует признаки ОС и предусматривает порог: активы с стоимостью ниже лимита могут сразу списываться на расходы текущего периода. При признании ОС ФСБУ 6/2020 предписывает оценивать его по первоначальной стоимости — общей сумме связанных с этим активом капитальных вложений, понесенных до момента признания. Таким образом, по обоим стандартам объект, удовлетворяющий признакам ОС (материальный актив, используемый дольше одного года), сначала учитывается по себестоимости приобретения (строительства), однако ФСБУ допускает не капитализировать мелкие приобретения (ниже порога), чего в МСФО формально не предусмотрено.</w:t>
      </w:r>
    </w:p>
    <w:p w14:paraId="0F71C31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Согласно МСФО (IAS) 16, каждый объект ОС после признания оценивается по модели себестоимости или модели переоценки по выбору организации. При использовании модели себестоимости актив учитывается по первоначальной стоимости за вычетом накопленной амортизации и обесценения. При применении модели переоценки ОС отражается по переоцененной (справедливой) стоимости на дату переоценки за вычетом амортизации и обесценения, при этом периодические переоценки проводятся регулярно, чтобы не допустить существенного расхождения балансовой стоимости с рыночной. ФСБУ 6/2020 предлагает аналогичный выбор: после признания ОС его можно оценивать либо по первоначальной стоимости, либо по переоцененной. При применении модели себестоимости в ФСБУ стоимость актива и сумма накопленной амортизации не изменяются, </w:t>
      </w:r>
      <w:r w:rsidRPr="00877DE5">
        <w:rPr>
          <w:rFonts w:ascii="Times New Roman" w:eastAsia="Times New Roman" w:hAnsi="Times New Roman" w:cs="Times New Roman"/>
          <w:sz w:val="32"/>
          <w:szCs w:val="32"/>
          <w:lang w:eastAsia="ru-RU"/>
        </w:rPr>
        <w:lastRenderedPageBreak/>
        <w:t>если иное не установлено стандартом. При выборе модели переоценки активы переоцениваются таким образом, чтобы их балансовая стоимость была равна справедливой (рыночной) стоимости, определяемой по Международному стандарту IFRS 13. Оба стандарта допускают две модели оценки: МСФО (IAS) 16 требует, чтобы метод применялся ко всему классу активов, а ФСБУ 6/2020 — ко всей выбранной группе ОС.</w:t>
      </w:r>
    </w:p>
    <w:p w14:paraId="1A561D4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МСФО (IAS) 16 определяет амортизацию как систематическое распределение амортизируемой стоимости актива в течение его полезного срока службы. ОС, срок службы которых ограничен, подлежат амортизации; при этом подразделение актива на значимые части и вычисление износа для каждой части является обязательным. Полезный срок службы может определяться либо как период времени, либо через объем продукции. ФСБУ 6/2020 также требует гашения стоимости ОС посредством амортизации. Стандарт устанавливает, что ОС, не имеющие признаков износа (например, земля, музейные коллекции, специальные мобилизационные объекты) и объекты инвестиционной недвижимости по переоцененной стоимости, не подлежат амортизации. Для амортизируемых ОС ФСБУ допускает линейный метод или метод уменьшаемого остатка, а также пропорциональный методу по объему выпуска продукции. В обоих стандартах остаточная (ликвидационная) стоимость актива учитывается при расчете амортизации. По МСФО она определяется как ожидаемая чистая выручка от выбытия после вычета расходов, при условии, что актив уже находится в конце своего срока службы. ФСБУ дает аналогичное определение ликвидационной стоимости как сумму поступлений от выбытия минус затраты на выбытие. МСФО и ФСБУ сходятся в ключевых принципах начисления амортизации – систематичное распределение стоимости по установленному сроку, но во ФСБУ фиксируется заранее выбранный метод, а также прямо перечислены конкретные неамортизируемые категории ОС.</w:t>
      </w:r>
    </w:p>
    <w:p w14:paraId="74ADF10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Оба стандарта предусматривают списание ОС при его выбытии или утрате способности приносить экономические выгоды. По ФСБУ 6/2020 объект ОС списывается в момент его выбытия или прекращения использования – например, при ликвидации вследствие износа, при передаче по договору продажи или мены, при передаче в финансовую аренду, при физической гибели (стихийные бедствия и т.д.). При списании все накопленные амортизация и обесценение уменьшают первоначальную (или переоцененную) стоимость объекта. </w:t>
      </w:r>
      <w:r w:rsidRPr="00877DE5">
        <w:rPr>
          <w:rFonts w:ascii="Times New Roman" w:eastAsia="Times New Roman" w:hAnsi="Times New Roman" w:cs="Times New Roman"/>
          <w:sz w:val="32"/>
          <w:szCs w:val="32"/>
          <w:lang w:eastAsia="ru-RU"/>
        </w:rPr>
        <w:lastRenderedPageBreak/>
        <w:t>Разница между балансовой стоимостью объекта (за минусом затрат на выбытие) и поступлениями от его выбытия признается прибылью или убытком отчетного периода. МСФО (IAS) 16 соответствует этим положениям: балансовая стоимость актива выводится из учета при его выбытии или если не ожидается получение дальнейших выгод. Любые прибыть или убыток от выбытия учитываются в прибыли или убытках периода и равны разнице между выручкой (за минусом расходов на выбытие) и балансовой стоимостью актива. Отличий в принципе нет, разве что ФСБУ четко регламентирует некоторые специфические виды выбытия (например, передача в финансовую аренду) в национальных условиях.</w:t>
      </w:r>
    </w:p>
    <w:p w14:paraId="50056BC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По МСФО (IAS) 16 в примечаниях к отчетности для каждого класса ОС должны раскрываться используемые методы оценки (модель себестоимости или переоценки), методы амортизации и применяемые сроки (или ставки) амортизации. Кроме того, требуется раскрыть остаточную стоимость и накопленную амортизацию на начало и конец периода, а также привести сверку балансовой стоимости ОС за период, отражающую добавление приобретений, выбытие, переоценку, начисленную амортизацию, обесценение и другие изменения. ФСБУ 6/2020 предъявляет более детальные требования. В отчетности по каждому виду (группе) ОС необходимо показать остатки на начало и конец года по первоначальной (или переоцененной) стоимости, амортизации и обесценению, а также движение по ним (приход, выбытие, переоценка, амортизация, обесценение). Обязательно раскрываются также результат от выбытия ОС и результаты переоценки, отнесенные на финансовый результат или капитал. Перечень информации включает и суммы начисленной амортизации, примененные нормы и методы оценки ОС, а также наличие ОС, переданных в аренду, незадействованных и обремененных залогом. В целом требования ФСБУ более детализированы, но по ключевым пунктам (методы оценки, виды изменений ОС, ограничения) они перекликаются с МСФО [3].</w:t>
      </w:r>
    </w:p>
    <w:p w14:paraId="7B043BB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реальной практике применения стандартов заметно ряд отличий. Так, ФСБУ 6/2020 дает предприятиям право сразу списывать мелкие покупки, тогда как по МСФО необходимо оценивать возможность получения будущих выгод от каждого актива. При передаче ОС в финансовую аренду ФСБУ 6/2020 рассматривает это как выбытие ОС, тогда как при применении МСФО (IFRS 16) такие сделки учитываются по правилам лизинга. Также ФСБУ устанавливает </w:t>
      </w:r>
      <w:r w:rsidRPr="00877DE5">
        <w:rPr>
          <w:rFonts w:ascii="Times New Roman" w:eastAsia="Times New Roman" w:hAnsi="Times New Roman" w:cs="Times New Roman"/>
          <w:sz w:val="32"/>
          <w:szCs w:val="32"/>
          <w:lang w:eastAsia="ru-RU"/>
        </w:rPr>
        <w:lastRenderedPageBreak/>
        <w:t>специальные правила: например, не начислять амортизацию на объекты, законсервированные для мобилизационных нужд или используемые для обороны, что в МСФО отсутствует. При обесценении ФСБУ требует списывать ОС, если он утратил способность приносить выгоды, а по МСФО в аналогичных случаях применяют процедуру теста на обесценение по IAS 36 (что может привести к более частому признанию потерь). Наконец, разницы могут возникать из-за организационных моментов: МСФО (IAS) 16 обслуживается модулями учета ОС в международной практике, а внедрение ФСБУ 6/2020 часто требует адаптации локального ПО и методик учета, так как стандарт сравнительно новый (вводится с отчетности за 2022 год) [5].</w:t>
      </w:r>
    </w:p>
    <w:p w14:paraId="6C73721B"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Сравнительный анализ показал, что МСФО (IAS) 16 и ФСБУ 6/2020 в целом совпадают по основным принципам учета ОС: оба стандарта требуют признания ОС по стоимости приобретения, последующего распределения стоимости на расходы будущих периодов (амортизации) и списания при выбытии с отражением разницы в результате периода. Однотипным является и использование моделей оценки (себестоимость или переоценка), и раскрытие ключевых характеристик ОС (методы и сроки амортизации, изменения балансов). Вместе с тем ФСБУ 6/2020 содержит национальные особенности: возможность амортизации частных групп активов, порог капитализации, специфичные льготы (неамортизируемые категории), а также более детализированный перечень раскрываемой информации. Практические различия могут приводить к отклонениям в показателях баланса и отчета финансовых результатах, что необходимо учитывать при анализе отчетности. В целом для российских организаций при переходе на ФСБУ 6/2020 рекомендуется провести ревизию учетной политики: привести классификацию ОС, методы переоценки и обесценения в соответствие с новым стандартом, а также обеспечить требуемое раскрытие информации в примечаниях. Соблюдение актуальных нормативных требований позволит повысить сопоставимость отчетности с международными стандартами и оптимизировать учет основных средств в организации.</w:t>
      </w:r>
    </w:p>
    <w:p w14:paraId="23ED709E" w14:textId="77777777" w:rsidR="00877DE5" w:rsidRPr="00877DE5" w:rsidRDefault="00877DE5" w:rsidP="00067100">
      <w:pPr>
        <w:spacing w:after="0" w:line="240" w:lineRule="auto"/>
        <w:ind w:firstLine="709"/>
        <w:rPr>
          <w:rFonts w:ascii="Times New Roman" w:eastAsia="Aptos" w:hAnsi="Times New Roman" w:cs="Times New Roman"/>
          <w:kern w:val="2"/>
          <w:sz w:val="24"/>
          <w:szCs w:val="24"/>
          <w14:ligatures w14:val="standardContextual"/>
        </w:rPr>
      </w:pPr>
    </w:p>
    <w:p w14:paraId="67062C25" w14:textId="77777777" w:rsidR="00877DE5" w:rsidRPr="00123B88"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0B398DF0" w14:textId="77777777" w:rsidR="00123B88" w:rsidRPr="00123B88" w:rsidRDefault="00877DE5" w:rsidP="00AD58CD">
      <w:pPr>
        <w:pStyle w:val="a8"/>
        <w:numPr>
          <w:ilvl w:val="1"/>
          <w:numId w:val="207"/>
        </w:numPr>
        <w:tabs>
          <w:tab w:val="clear" w:pos="1440"/>
        </w:tabs>
        <w:spacing w:after="0" w:line="240" w:lineRule="auto"/>
        <w:ind w:left="426" w:hanging="447"/>
        <w:jc w:val="both"/>
        <w:rPr>
          <w:rFonts w:ascii="Times New Roman" w:eastAsia="Aptos" w:hAnsi="Times New Roman" w:cs="Times New Roman"/>
          <w:kern w:val="2"/>
          <w:sz w:val="21"/>
          <w:szCs w:val="24"/>
          <w14:ligatures w14:val="standardContextual"/>
        </w:rPr>
      </w:pPr>
      <w:r w:rsidRPr="00123B88">
        <w:rPr>
          <w:rFonts w:ascii="Times New Roman" w:eastAsia="Aptos" w:hAnsi="Times New Roman" w:cs="Times New Roman"/>
          <w:kern w:val="2"/>
          <w:sz w:val="21"/>
          <w:szCs w:val="24"/>
          <w:lang w:val="en-US"/>
          <w14:ligatures w14:val="standardContextual"/>
        </w:rPr>
        <w:t>IAS</w:t>
      </w:r>
      <w:r w:rsidRPr="00123B88">
        <w:rPr>
          <w:rFonts w:ascii="Times New Roman" w:eastAsia="Aptos" w:hAnsi="Times New Roman" w:cs="Times New Roman"/>
          <w:kern w:val="2"/>
          <w:sz w:val="21"/>
          <w:szCs w:val="24"/>
          <w14:ligatures w14:val="standardContextual"/>
        </w:rPr>
        <w:t xml:space="preserve"> 16 </w:t>
      </w:r>
      <w:r w:rsidRPr="00123B88">
        <w:rPr>
          <w:rFonts w:ascii="Times New Roman" w:eastAsia="Aptos" w:hAnsi="Times New Roman" w:cs="Times New Roman"/>
          <w:kern w:val="2"/>
          <w:sz w:val="21"/>
          <w:szCs w:val="24"/>
          <w:lang w:val="en-US"/>
          <w14:ligatures w14:val="standardContextual"/>
        </w:rPr>
        <w:t>Property</w:t>
      </w:r>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4"/>
          <w:lang w:val="en-US"/>
          <w14:ligatures w14:val="standardContextual"/>
        </w:rPr>
        <w:t>Plant</w:t>
      </w:r>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4"/>
          <w:lang w:val="en-US"/>
          <w14:ligatures w14:val="standardContextual"/>
        </w:rPr>
        <w:t>and</w:t>
      </w:r>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4"/>
          <w:lang w:val="en-US"/>
          <w14:ligatures w14:val="standardContextual"/>
        </w:rPr>
        <w:t>Equipment</w:t>
      </w:r>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0"/>
          <w14:ligatures w14:val="standardContextual"/>
        </w:rPr>
        <w:t xml:space="preserve">[Электронный ресурс: </w:t>
      </w:r>
      <w:hyperlink r:id="rId266" w:history="1">
        <w:r w:rsidRPr="00123B88">
          <w:rPr>
            <w:rFonts w:ascii="Times New Roman" w:eastAsia="Aptos" w:hAnsi="Times New Roman" w:cs="Times New Roman"/>
            <w:color w:val="467886"/>
            <w:kern w:val="2"/>
            <w:sz w:val="21"/>
            <w:szCs w:val="24"/>
            <w:u w:val="single"/>
            <w:lang w:val="en-US"/>
            <w14:ligatures w14:val="standardContextual"/>
          </w:rPr>
          <w:t>https</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www</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ifrs</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org</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content</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dam</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ifrs</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publications</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pdf</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standards</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english</w:t>
        </w:r>
        <w:r w:rsidRPr="00123B88">
          <w:rPr>
            <w:rFonts w:ascii="Times New Roman" w:eastAsia="Aptos" w:hAnsi="Times New Roman" w:cs="Times New Roman"/>
            <w:color w:val="467886"/>
            <w:kern w:val="2"/>
            <w:sz w:val="21"/>
            <w:szCs w:val="24"/>
            <w:u w:val="single"/>
            <w14:ligatures w14:val="standardContextual"/>
          </w:rPr>
          <w:t>/2021/</w:t>
        </w:r>
        <w:r w:rsidRPr="00123B88">
          <w:rPr>
            <w:rFonts w:ascii="Times New Roman" w:eastAsia="Aptos" w:hAnsi="Times New Roman" w:cs="Times New Roman"/>
            <w:color w:val="467886"/>
            <w:kern w:val="2"/>
            <w:sz w:val="21"/>
            <w:szCs w:val="24"/>
            <w:u w:val="single"/>
            <w:lang w:val="en-US"/>
            <w14:ligatures w14:val="standardContextual"/>
          </w:rPr>
          <w:t>issued</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part</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a</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ias</w:t>
        </w:r>
        <w:r w:rsidRPr="00123B88">
          <w:rPr>
            <w:rFonts w:ascii="Times New Roman" w:eastAsia="Aptos" w:hAnsi="Times New Roman" w:cs="Times New Roman"/>
            <w:color w:val="467886"/>
            <w:kern w:val="2"/>
            <w:sz w:val="21"/>
            <w:szCs w:val="24"/>
            <w:u w:val="single"/>
            <w14:ligatures w14:val="standardContextual"/>
          </w:rPr>
          <w:t>-16-</w:t>
        </w:r>
        <w:r w:rsidRPr="00123B88">
          <w:rPr>
            <w:rFonts w:ascii="Times New Roman" w:eastAsia="Aptos" w:hAnsi="Times New Roman" w:cs="Times New Roman"/>
            <w:color w:val="467886"/>
            <w:kern w:val="2"/>
            <w:sz w:val="21"/>
            <w:szCs w:val="24"/>
            <w:u w:val="single"/>
            <w:lang w:val="en-US"/>
            <w14:ligatures w14:val="standardContextual"/>
          </w:rPr>
          <w:t>property</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plant</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and</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equipment</w:t>
        </w:r>
        <w:r w:rsidRPr="00123B88">
          <w:rPr>
            <w:rFonts w:ascii="Times New Roman" w:eastAsia="Aptos" w:hAnsi="Times New Roman" w:cs="Times New Roman"/>
            <w:color w:val="467886"/>
            <w:kern w:val="2"/>
            <w:sz w:val="21"/>
            <w:szCs w:val="24"/>
            <w:u w:val="single"/>
            <w14:ligatures w14:val="standardContextual"/>
          </w:rPr>
          <w:t>.</w:t>
        </w:r>
        <w:r w:rsidRPr="00123B88">
          <w:rPr>
            <w:rFonts w:ascii="Times New Roman" w:eastAsia="Aptos" w:hAnsi="Times New Roman" w:cs="Times New Roman"/>
            <w:color w:val="467886"/>
            <w:kern w:val="2"/>
            <w:sz w:val="21"/>
            <w:szCs w:val="24"/>
            <w:u w:val="single"/>
            <w:lang w:val="en-US"/>
            <w14:ligatures w14:val="standardContextual"/>
          </w:rPr>
          <w:t>pdf</w:t>
        </w:r>
      </w:hyperlink>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0"/>
          <w14:ligatures w14:val="standardContextual"/>
        </w:rPr>
        <w:t>(дата обращения 11.05.2025)];</w:t>
      </w:r>
    </w:p>
    <w:p w14:paraId="6DA33761" w14:textId="77777777" w:rsidR="00123B88" w:rsidRPr="00123B88" w:rsidRDefault="00877DE5" w:rsidP="00AD58CD">
      <w:pPr>
        <w:pStyle w:val="a8"/>
        <w:numPr>
          <w:ilvl w:val="1"/>
          <w:numId w:val="207"/>
        </w:numPr>
        <w:tabs>
          <w:tab w:val="clear" w:pos="1440"/>
        </w:tabs>
        <w:spacing w:after="0" w:line="240" w:lineRule="auto"/>
        <w:ind w:left="426" w:hanging="447"/>
        <w:jc w:val="both"/>
        <w:rPr>
          <w:rFonts w:ascii="Times New Roman" w:eastAsia="Aptos" w:hAnsi="Times New Roman" w:cs="Times New Roman"/>
          <w:kern w:val="2"/>
          <w:sz w:val="21"/>
          <w:szCs w:val="24"/>
          <w14:ligatures w14:val="standardContextual"/>
        </w:rPr>
      </w:pPr>
      <w:r w:rsidRPr="00123B88">
        <w:rPr>
          <w:rFonts w:ascii="Times New Roman" w:eastAsia="Aptos" w:hAnsi="Times New Roman" w:cs="Times New Roman"/>
          <w:kern w:val="2"/>
          <w:sz w:val="21"/>
          <w:szCs w:val="24"/>
          <w14:ligatures w14:val="standardContextual"/>
        </w:rPr>
        <w:t xml:space="preserve">Приказ Минфина России от 17.09.2020 N 204н (ред. от 30.05.2022) "Об утверждении Федеральных стандартов бухгалтерского учета ФСБУ 6/2020 "Основные средства" и ФСБУ 26/2020 "Капитальные </w:t>
      </w:r>
      <w:r w:rsidRPr="00123B88">
        <w:rPr>
          <w:rFonts w:ascii="Times New Roman" w:eastAsia="Aptos" w:hAnsi="Times New Roman" w:cs="Times New Roman"/>
          <w:kern w:val="2"/>
          <w:sz w:val="21"/>
          <w:szCs w:val="24"/>
          <w14:ligatures w14:val="standardContextual"/>
        </w:rPr>
        <w:lastRenderedPageBreak/>
        <w:t xml:space="preserve">вложения" (Зарегистрировано в Минюсте России 15.10.2020 N 60399) </w:t>
      </w:r>
      <w:r w:rsidRPr="00123B88">
        <w:rPr>
          <w:rFonts w:ascii="Times New Roman" w:eastAsia="Aptos" w:hAnsi="Times New Roman" w:cs="Times New Roman"/>
          <w:kern w:val="2"/>
          <w:sz w:val="21"/>
          <w:szCs w:val="20"/>
          <w14:ligatures w14:val="standardContextual"/>
        </w:rPr>
        <w:t xml:space="preserve">[Электронный ресурс: </w:t>
      </w:r>
      <w:hyperlink r:id="rId267" w:history="1">
        <w:r w:rsidRPr="00123B88">
          <w:rPr>
            <w:rFonts w:ascii="Times New Roman" w:eastAsia="Aptos" w:hAnsi="Times New Roman" w:cs="Times New Roman"/>
            <w:color w:val="467886"/>
            <w:kern w:val="2"/>
            <w:sz w:val="21"/>
            <w:szCs w:val="24"/>
            <w:u w:val="single"/>
            <w14:ligatures w14:val="standardContextual"/>
          </w:rPr>
          <w:t>https://www.consultant.ru/document/cons_doc_LAW_365338/7c84e53612cafbe7b9abb0711010248eec4de677/</w:t>
        </w:r>
      </w:hyperlink>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0"/>
          <w14:ligatures w14:val="standardContextual"/>
        </w:rPr>
        <w:t>(дата обращения 11.05.2025)];</w:t>
      </w:r>
    </w:p>
    <w:p w14:paraId="6FD2944D" w14:textId="77777777" w:rsidR="00123B88" w:rsidRDefault="00877DE5" w:rsidP="00AD58CD">
      <w:pPr>
        <w:pStyle w:val="a8"/>
        <w:numPr>
          <w:ilvl w:val="1"/>
          <w:numId w:val="207"/>
        </w:numPr>
        <w:tabs>
          <w:tab w:val="clear" w:pos="1440"/>
        </w:tabs>
        <w:spacing w:after="0" w:line="240" w:lineRule="auto"/>
        <w:ind w:left="426" w:hanging="447"/>
        <w:jc w:val="both"/>
        <w:rPr>
          <w:rFonts w:ascii="Times New Roman" w:eastAsia="Aptos" w:hAnsi="Times New Roman" w:cs="Times New Roman"/>
          <w:kern w:val="2"/>
          <w:sz w:val="21"/>
          <w:szCs w:val="24"/>
          <w14:ligatures w14:val="standardContextual"/>
        </w:rPr>
      </w:pPr>
      <w:r w:rsidRPr="00123B88">
        <w:rPr>
          <w:rFonts w:ascii="Times New Roman" w:eastAsia="Aptos" w:hAnsi="Times New Roman" w:cs="Times New Roman"/>
          <w:kern w:val="2"/>
          <w:sz w:val="21"/>
          <w:szCs w:val="24"/>
          <w14:ligatures w14:val="standardContextual"/>
        </w:rPr>
        <w:t xml:space="preserve">Федеральные стандарты бухгалтерского учета и отчетности в Российской </w:t>
      </w:r>
      <w:proofErr w:type="gramStart"/>
      <w:r w:rsidRPr="00123B88">
        <w:rPr>
          <w:rFonts w:ascii="Times New Roman" w:eastAsia="Aptos" w:hAnsi="Times New Roman" w:cs="Times New Roman"/>
          <w:kern w:val="2"/>
          <w:sz w:val="21"/>
          <w:szCs w:val="24"/>
          <w14:ligatures w14:val="standardContextual"/>
        </w:rPr>
        <w:t>Федерации :</w:t>
      </w:r>
      <w:proofErr w:type="gramEnd"/>
      <w:r w:rsidRPr="00123B88">
        <w:rPr>
          <w:rFonts w:ascii="Times New Roman" w:eastAsia="Aptos" w:hAnsi="Times New Roman" w:cs="Times New Roman"/>
          <w:kern w:val="2"/>
          <w:sz w:val="21"/>
          <w:szCs w:val="24"/>
          <w14:ligatures w14:val="standardContextual"/>
        </w:rPr>
        <w:t xml:space="preserve"> учебник для вузов / Н. А. Бусуёк, С. А. Забелина, Л. М. Макарова, Е. Е. Родина. — Санкт-</w:t>
      </w:r>
      <w:proofErr w:type="gramStart"/>
      <w:r w:rsidRPr="00123B88">
        <w:rPr>
          <w:rFonts w:ascii="Times New Roman" w:eastAsia="Aptos" w:hAnsi="Times New Roman" w:cs="Times New Roman"/>
          <w:kern w:val="2"/>
          <w:sz w:val="21"/>
          <w:szCs w:val="24"/>
          <w14:ligatures w14:val="standardContextual"/>
        </w:rPr>
        <w:t>Петербург :</w:t>
      </w:r>
      <w:proofErr w:type="gramEnd"/>
      <w:r w:rsidRPr="00123B88">
        <w:rPr>
          <w:rFonts w:ascii="Times New Roman" w:eastAsia="Aptos" w:hAnsi="Times New Roman" w:cs="Times New Roman"/>
          <w:kern w:val="2"/>
          <w:sz w:val="21"/>
          <w:szCs w:val="24"/>
          <w14:ligatures w14:val="standardContextual"/>
        </w:rPr>
        <w:t xml:space="preserve"> Лань, 2024. — 448 с. — ISBN 978-5-507-48680-9.</w:t>
      </w:r>
    </w:p>
    <w:p w14:paraId="54898B49" w14:textId="77777777" w:rsidR="00123B88" w:rsidRPr="00123B88" w:rsidRDefault="00877DE5" w:rsidP="00AD58CD">
      <w:pPr>
        <w:pStyle w:val="a8"/>
        <w:numPr>
          <w:ilvl w:val="1"/>
          <w:numId w:val="207"/>
        </w:numPr>
        <w:tabs>
          <w:tab w:val="clear" w:pos="1440"/>
        </w:tabs>
        <w:spacing w:after="0" w:line="240" w:lineRule="auto"/>
        <w:ind w:left="426" w:hanging="447"/>
        <w:jc w:val="both"/>
        <w:rPr>
          <w:rFonts w:ascii="Times New Roman" w:eastAsia="Aptos" w:hAnsi="Times New Roman" w:cs="Times New Roman"/>
          <w:kern w:val="2"/>
          <w:sz w:val="21"/>
          <w:szCs w:val="24"/>
          <w14:ligatures w14:val="standardContextual"/>
        </w:rPr>
      </w:pPr>
      <w:r w:rsidRPr="00123B88">
        <w:rPr>
          <w:rFonts w:ascii="Times New Roman" w:eastAsia="Aptos" w:hAnsi="Times New Roman" w:cs="Times New Roman"/>
          <w:kern w:val="2"/>
          <w:sz w:val="21"/>
          <w:szCs w:val="24"/>
          <w14:ligatures w14:val="standardContextual"/>
        </w:rPr>
        <w:t>Федеральный закон "О бухгалтерском учете" от 06.12.2011 N 402-ФЗ (последняя редакция)</w:t>
      </w:r>
      <w:r w:rsidRPr="00123B88">
        <w:rPr>
          <w:rFonts w:ascii="Times New Roman" w:eastAsia="Aptos" w:hAnsi="Times New Roman" w:cs="Times New Roman"/>
          <w:kern w:val="2"/>
          <w:sz w:val="21"/>
          <w:szCs w:val="20"/>
          <w14:ligatures w14:val="standardContextual"/>
        </w:rPr>
        <w:t xml:space="preserve"> [Электронный ресурс: </w:t>
      </w:r>
      <w:hyperlink r:id="rId268" w:history="1">
        <w:r w:rsidRPr="00123B88">
          <w:rPr>
            <w:rFonts w:ascii="Times New Roman" w:eastAsia="Aptos" w:hAnsi="Times New Roman" w:cs="Times New Roman"/>
            <w:color w:val="467886"/>
            <w:kern w:val="2"/>
            <w:sz w:val="21"/>
            <w:szCs w:val="24"/>
            <w:u w:val="single"/>
            <w14:ligatures w14:val="standardContextual"/>
          </w:rPr>
          <w:t>https://www.consultant.ru/document/cons_doc_LAW_122855/</w:t>
        </w:r>
      </w:hyperlink>
      <w:r w:rsidRPr="00123B88">
        <w:rPr>
          <w:rFonts w:ascii="Times New Roman" w:eastAsia="Aptos" w:hAnsi="Times New Roman" w:cs="Times New Roman"/>
          <w:kern w:val="2"/>
          <w:sz w:val="21"/>
          <w:szCs w:val="24"/>
          <w14:ligatures w14:val="standardContextual"/>
        </w:rPr>
        <w:t xml:space="preserve"> </w:t>
      </w:r>
      <w:r w:rsidRPr="00123B88">
        <w:rPr>
          <w:rFonts w:ascii="Times New Roman" w:eastAsia="Aptos" w:hAnsi="Times New Roman" w:cs="Times New Roman"/>
          <w:kern w:val="2"/>
          <w:sz w:val="21"/>
          <w:szCs w:val="20"/>
          <w14:ligatures w14:val="standardContextual"/>
        </w:rPr>
        <w:t>(дата обращения 11.05.2025)];</w:t>
      </w:r>
    </w:p>
    <w:p w14:paraId="6A4E8015" w14:textId="5587C47B" w:rsidR="00877DE5" w:rsidRPr="00123B88" w:rsidRDefault="00877DE5" w:rsidP="00AD58CD">
      <w:pPr>
        <w:pStyle w:val="a8"/>
        <w:numPr>
          <w:ilvl w:val="1"/>
          <w:numId w:val="207"/>
        </w:numPr>
        <w:tabs>
          <w:tab w:val="clear" w:pos="1440"/>
        </w:tabs>
        <w:spacing w:after="0" w:line="240" w:lineRule="auto"/>
        <w:ind w:left="426" w:hanging="447"/>
        <w:jc w:val="both"/>
        <w:rPr>
          <w:rFonts w:ascii="Times New Roman" w:eastAsia="Aptos" w:hAnsi="Times New Roman" w:cs="Times New Roman"/>
          <w:kern w:val="2"/>
          <w:sz w:val="21"/>
          <w:szCs w:val="24"/>
          <w14:ligatures w14:val="standardContextual"/>
        </w:rPr>
      </w:pPr>
      <w:r w:rsidRPr="00123B88">
        <w:rPr>
          <w:rFonts w:ascii="Times New Roman" w:eastAsia="Aptos" w:hAnsi="Times New Roman" w:cs="Times New Roman"/>
          <w:kern w:val="2"/>
          <w:sz w:val="21"/>
          <w:szCs w:val="24"/>
          <w14:ligatures w14:val="standardContextual"/>
        </w:rPr>
        <w:t>Основные средства и капитальные вложения: Практическое руководство по ведению бухучета в соответствии с требованиями ФСБУ 6/2020 и 26/2020, МСФО и рекомендациями разработчиков / С.А. Смирнова - М.: Издательство АйСи, 2024. - 576 с. ISBN 978-5-6050752-4-0</w:t>
      </w:r>
    </w:p>
    <w:p w14:paraId="1065E06B" w14:textId="77777777" w:rsidR="00877DE5" w:rsidRPr="00877DE5" w:rsidRDefault="00877DE5" w:rsidP="00123B88">
      <w:pPr>
        <w:spacing w:after="0" w:line="240" w:lineRule="auto"/>
        <w:rPr>
          <w:rFonts w:ascii="Times New Roman" w:eastAsia="Aptos" w:hAnsi="Times New Roman" w:cs="Times New Roman"/>
          <w:kern w:val="2"/>
          <w:sz w:val="24"/>
          <w:szCs w:val="24"/>
          <w14:ligatures w14:val="standardContextual"/>
        </w:rPr>
      </w:pPr>
    </w:p>
    <w:p w14:paraId="2F5F25F0" w14:textId="77777777" w:rsidR="00877DE5" w:rsidRPr="00877DE5" w:rsidRDefault="00877DE5" w:rsidP="00123B88">
      <w:pPr>
        <w:suppressAutoHyphens/>
        <w:spacing w:after="0" w:line="240" w:lineRule="auto"/>
        <w:rPr>
          <w:rFonts w:ascii="Times New Roman" w:eastAsia="Times New Roman" w:hAnsi="Times New Roman" w:cs="Times New Roman"/>
          <w:b/>
          <w:iCs/>
          <w:color w:val="000000"/>
          <w:sz w:val="21"/>
          <w:szCs w:val="21"/>
          <w:lang w:eastAsia="ar-SA"/>
        </w:rPr>
      </w:pPr>
      <w:r w:rsidRPr="00877DE5">
        <w:rPr>
          <w:rFonts w:ascii="Times New Roman" w:eastAsia="Times New Roman" w:hAnsi="Times New Roman" w:cs="Times New Roman"/>
          <w:b/>
          <w:iCs/>
          <w:color w:val="000000"/>
          <w:sz w:val="21"/>
          <w:szCs w:val="21"/>
          <w:lang w:eastAsia="ar-SA"/>
        </w:rPr>
        <w:t>УДК 336</w:t>
      </w:r>
    </w:p>
    <w:p w14:paraId="703F4373"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Сапрыкина А.А., </w:t>
      </w:r>
    </w:p>
    <w:p w14:paraId="460B75C2"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40B16B5E"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7170D175"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10206D51" w14:textId="77777777" w:rsidR="00877DE5" w:rsidRPr="00EE54F2" w:rsidRDefault="00877DE5" w:rsidP="00D916B5">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269"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220160@</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470E80FC" w14:textId="77777777" w:rsidR="00877DE5" w:rsidRPr="00877DE5" w:rsidRDefault="00877DE5" w:rsidP="00D916B5">
      <w:pPr>
        <w:spacing w:after="0" w:line="240" w:lineRule="auto"/>
        <w:ind w:firstLine="709"/>
        <w:jc w:val="right"/>
        <w:rPr>
          <w:rFonts w:ascii="Times New Roman" w:eastAsia="Aptos" w:hAnsi="Times New Roman" w:cs="Times New Roman"/>
          <w:i/>
          <w:kern w:val="2"/>
          <w:sz w:val="21"/>
          <w:szCs w:val="24"/>
          <w14:ligatures w14:val="standardContextual"/>
        </w:rPr>
      </w:pPr>
    </w:p>
    <w:p w14:paraId="1277251B" w14:textId="77777777" w:rsidR="00877DE5" w:rsidRPr="00877DE5" w:rsidRDefault="00877DE5" w:rsidP="00D916B5">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7FD74350" w14:textId="77777777" w:rsidR="00877DE5" w:rsidRPr="00877DE5" w:rsidRDefault="00877DE5" w:rsidP="00D916B5">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003E5159" w14:textId="77777777" w:rsidR="00877DE5" w:rsidRPr="00877DE5" w:rsidRDefault="00877DE5" w:rsidP="00D916B5">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71C36B6A"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70FCC887"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2CA5D768" w14:textId="77777777" w:rsidR="00877DE5" w:rsidRPr="00877DE5" w:rsidRDefault="00877DE5" w:rsidP="00D916B5">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270" w:history="1">
        <w:r w:rsidRPr="00877DE5">
          <w:rPr>
            <w:rFonts w:ascii="Times New Roman" w:eastAsia="Times New Roman" w:hAnsi="Times New Roman" w:cs="Times New Roman"/>
            <w:i/>
            <w:color w:val="0000FF"/>
            <w:sz w:val="21"/>
            <w:szCs w:val="20"/>
            <w:u w:val="single"/>
            <w:lang w:val="x-none" w:eastAsia="ar-SA"/>
          </w:rPr>
          <w:t>uyuroschektaeva@fa.ru</w:t>
        </w:r>
      </w:hyperlink>
    </w:p>
    <w:p w14:paraId="71458E10" w14:textId="77777777" w:rsidR="00877DE5" w:rsidRPr="00877DE5" w:rsidRDefault="00877DE5" w:rsidP="00D916B5">
      <w:pPr>
        <w:suppressAutoHyphens/>
        <w:spacing w:after="0" w:line="240" w:lineRule="auto"/>
        <w:ind w:firstLine="709"/>
        <w:jc w:val="center"/>
        <w:textAlignment w:val="baseline"/>
        <w:rPr>
          <w:rFonts w:ascii="Times New Roman" w:eastAsia="Times New Roman" w:hAnsi="Times New Roman" w:cs="Times New Roman"/>
          <w:b/>
          <w:bCs/>
          <w:kern w:val="36"/>
          <w:sz w:val="21"/>
          <w:szCs w:val="20"/>
          <w:lang w:eastAsia="ru-RU"/>
        </w:rPr>
      </w:pPr>
    </w:p>
    <w:p w14:paraId="1468017D" w14:textId="77777777" w:rsidR="00877DE5" w:rsidRPr="00877DE5" w:rsidRDefault="00877DE5" w:rsidP="00D916B5">
      <w:pPr>
        <w:suppressAutoHyphens/>
        <w:spacing w:after="0" w:line="240" w:lineRule="auto"/>
        <w:ind w:firstLine="709"/>
        <w:jc w:val="center"/>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b/>
          <w:bCs/>
          <w:kern w:val="36"/>
          <w:sz w:val="21"/>
          <w:szCs w:val="20"/>
          <w:lang w:eastAsia="ru-RU"/>
        </w:rPr>
        <w:t>Сравнительный анализ требований РСБУ и МСФО к учету краткосрочных обязательств</w:t>
      </w:r>
    </w:p>
    <w:p w14:paraId="750DCDAE" w14:textId="77777777" w:rsidR="00877DE5" w:rsidRPr="00877DE5" w:rsidRDefault="00877DE5" w:rsidP="00D916B5">
      <w:pPr>
        <w:spacing w:after="0" w:line="240" w:lineRule="auto"/>
        <w:ind w:firstLine="709"/>
        <w:jc w:val="both"/>
        <w:rPr>
          <w:rFonts w:ascii="Times New Roman" w:eastAsia="Times New Roman" w:hAnsi="Times New Roman" w:cs="Times New Roman"/>
          <w:b/>
          <w:bCs/>
          <w:kern w:val="36"/>
          <w:sz w:val="21"/>
          <w:szCs w:val="20"/>
          <w:lang w:eastAsia="ru-RU"/>
        </w:rPr>
      </w:pPr>
    </w:p>
    <w:p w14:paraId="2D989209" w14:textId="77777777" w:rsidR="00877DE5" w:rsidRPr="00877DE5" w:rsidRDefault="00877DE5" w:rsidP="00D916B5">
      <w:pPr>
        <w:spacing w:after="0" w:line="240" w:lineRule="auto"/>
        <w:ind w:firstLine="709"/>
        <w:jc w:val="both"/>
        <w:rPr>
          <w:rFonts w:ascii="Times New Roman" w:eastAsia="Times New Roman" w:hAnsi="Times New Roman" w:cs="Times New Roman"/>
          <w:sz w:val="24"/>
          <w:szCs w:val="24"/>
          <w:lang w:eastAsia="ru-RU"/>
        </w:rPr>
      </w:pPr>
      <w:r w:rsidRPr="00877DE5">
        <w:rPr>
          <w:rFonts w:ascii="Times New Roman" w:eastAsia="Times New Roman" w:hAnsi="Times New Roman" w:cs="Times New Roman"/>
          <w:b/>
          <w:bCs/>
          <w:sz w:val="24"/>
          <w:szCs w:val="24"/>
          <w:lang w:eastAsia="ru-RU"/>
        </w:rPr>
        <w:t>Аннотация:</w:t>
      </w:r>
      <w:r w:rsidRPr="00877DE5">
        <w:rPr>
          <w:rFonts w:ascii="Times New Roman" w:eastAsia="Times New Roman" w:hAnsi="Times New Roman" w:cs="Times New Roman"/>
          <w:sz w:val="24"/>
          <w:szCs w:val="24"/>
          <w:lang w:eastAsia="ru-RU"/>
        </w:rPr>
        <w:t xml:space="preserve"> В статье рассматриваются общие принципы и критерии признания и классификации краткосрочных обязательств по российским стандартам бухгалтерского учета (РСБУ) и МСФО. Приводится анализ нормативных требований (ФСБУ, ПБУ, стандартов IAS/IFRS) к определению краткосрочных обязательств, их первоначальной оценке и последующему учету. Особое внимание уделено учету краткосрочной кредиторской задолженности, включая примеры отражения в учетной политике российских компаний. На основе сравнения делаются выводы о сходствах и различиях подходов РСБУ и МСФО.</w:t>
      </w:r>
    </w:p>
    <w:p w14:paraId="512726A1" w14:textId="6EB63B39" w:rsidR="00877DE5" w:rsidRPr="00D916B5" w:rsidRDefault="00877DE5" w:rsidP="00D916B5">
      <w:pPr>
        <w:spacing w:after="0" w:line="240" w:lineRule="auto"/>
        <w:ind w:firstLine="709"/>
        <w:jc w:val="both"/>
        <w:rPr>
          <w:rFonts w:ascii="Times New Roman" w:eastAsia="Times New Roman" w:hAnsi="Times New Roman" w:cs="Times New Roman"/>
          <w:sz w:val="24"/>
          <w:szCs w:val="24"/>
          <w:lang w:eastAsia="ru-RU"/>
        </w:rPr>
      </w:pPr>
      <w:r w:rsidRPr="00877DE5">
        <w:rPr>
          <w:rFonts w:ascii="Times New Roman" w:eastAsia="Times New Roman" w:hAnsi="Times New Roman" w:cs="Times New Roman"/>
          <w:b/>
          <w:bCs/>
          <w:sz w:val="24"/>
          <w:szCs w:val="24"/>
          <w:lang w:eastAsia="ru-RU"/>
        </w:rPr>
        <w:t>Ключевые слова:</w:t>
      </w:r>
      <w:r w:rsidRPr="00877DE5">
        <w:rPr>
          <w:rFonts w:ascii="Times New Roman" w:eastAsia="Times New Roman" w:hAnsi="Times New Roman" w:cs="Times New Roman"/>
          <w:sz w:val="24"/>
          <w:szCs w:val="24"/>
          <w:lang w:eastAsia="ru-RU"/>
        </w:rPr>
        <w:t xml:space="preserve"> краткосрочные обязательства, РСБУ, МСФО, учет, кредиторская задолженность, классификация, учетная политика.</w:t>
      </w:r>
    </w:p>
    <w:p w14:paraId="6601D3A4" w14:textId="5AA707B7" w:rsidR="00877DE5" w:rsidRPr="00877DE5" w:rsidRDefault="00D916B5" w:rsidP="00D916B5">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Pr>
          <w:rFonts w:ascii="Times New Roman" w:eastAsia="Aptos" w:hAnsi="Times New Roman" w:cs="Times New Roman"/>
          <w:b/>
          <w:bCs/>
          <w:i/>
          <w:iCs/>
          <w:kern w:val="2"/>
          <w:sz w:val="21"/>
          <w:szCs w:val="32"/>
          <w:lang w:val="en-US"/>
          <w14:ligatures w14:val="standardContextual"/>
        </w:rPr>
        <w:t xml:space="preserve">Saprikina </w:t>
      </w:r>
      <w:r w:rsidR="00877DE5" w:rsidRPr="00877DE5">
        <w:rPr>
          <w:rFonts w:ascii="Times New Roman" w:eastAsia="Aptos" w:hAnsi="Times New Roman" w:cs="Times New Roman"/>
          <w:b/>
          <w:bCs/>
          <w:i/>
          <w:iCs/>
          <w:kern w:val="2"/>
          <w:sz w:val="21"/>
          <w:szCs w:val="32"/>
          <w:lang w:val="en-US"/>
          <w14:ligatures w14:val="standardContextual"/>
        </w:rPr>
        <w:t>A.A.,</w:t>
      </w:r>
    </w:p>
    <w:p w14:paraId="6F211CA8"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64555051"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37F713DC"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1CC1AFFF" w14:textId="77777777" w:rsidR="00877DE5" w:rsidRPr="00877DE5" w:rsidRDefault="00877DE5" w:rsidP="00D916B5">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271" w:history="1">
        <w:r w:rsidRPr="00877DE5">
          <w:rPr>
            <w:rFonts w:ascii="Times New Roman" w:eastAsia="Aptos" w:hAnsi="Times New Roman" w:cs="Times New Roman"/>
            <w:color w:val="467886"/>
            <w:kern w:val="2"/>
            <w:sz w:val="21"/>
            <w:szCs w:val="24"/>
            <w:u w:val="single"/>
            <w:lang w:val="en-US"/>
            <w14:ligatures w14:val="standardContextual"/>
          </w:rPr>
          <w:t>100dot13sl220160@edu.fa.ru</w:t>
        </w:r>
      </w:hyperlink>
    </w:p>
    <w:p w14:paraId="4D8991A4" w14:textId="77777777" w:rsidR="00877DE5" w:rsidRPr="00877DE5" w:rsidRDefault="00877DE5" w:rsidP="00D916B5">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31A52FC6" w14:textId="77777777" w:rsidR="00877DE5" w:rsidRPr="00877DE5" w:rsidRDefault="00877DE5" w:rsidP="00D916B5">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292687B0" w14:textId="77777777" w:rsidR="00877DE5" w:rsidRPr="00877DE5" w:rsidRDefault="00877DE5" w:rsidP="00D916B5">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46302CB9" w14:textId="77777777" w:rsidR="00877DE5" w:rsidRPr="00877DE5" w:rsidRDefault="00877DE5" w:rsidP="00D916B5">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4130A17B"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01AFB139" w14:textId="77777777" w:rsidR="00877DE5" w:rsidRPr="00877DE5" w:rsidRDefault="00877DE5" w:rsidP="00D916B5">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4C2E7A66" w14:textId="77777777" w:rsidR="00877DE5" w:rsidRPr="00877DE5" w:rsidRDefault="00877DE5" w:rsidP="00D916B5">
      <w:pPr>
        <w:spacing w:after="0" w:line="240" w:lineRule="auto"/>
        <w:ind w:firstLine="709"/>
        <w:jc w:val="right"/>
        <w:rPr>
          <w:rFonts w:ascii="Times New Roman" w:eastAsia="Times New Roman" w:hAnsi="Times New Roman" w:cs="Times New Roman"/>
          <w:sz w:val="24"/>
          <w:szCs w:val="24"/>
          <w:lang w:val="x-none" w:eastAsia="ru-RU"/>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272" w:history="1">
        <w:r w:rsidRPr="00877DE5">
          <w:rPr>
            <w:rFonts w:ascii="Times New Roman" w:eastAsia="Times New Roman" w:hAnsi="Times New Roman" w:cs="Times New Roman"/>
            <w:i/>
            <w:color w:val="0000FF"/>
            <w:sz w:val="21"/>
            <w:szCs w:val="20"/>
            <w:u w:val="single"/>
            <w:lang w:val="x-none" w:eastAsia="ar-SA"/>
          </w:rPr>
          <w:t>uyuroschektaeva@fa.ru</w:t>
        </w:r>
      </w:hyperlink>
    </w:p>
    <w:p w14:paraId="2E1A78B8" w14:textId="77777777" w:rsidR="00877DE5" w:rsidRPr="00877DE5" w:rsidRDefault="00877DE5" w:rsidP="00D916B5">
      <w:pPr>
        <w:spacing w:after="0" w:line="240" w:lineRule="auto"/>
        <w:ind w:firstLine="709"/>
        <w:jc w:val="center"/>
        <w:rPr>
          <w:rFonts w:ascii="Times New Roman" w:eastAsia="Times New Roman" w:hAnsi="Times New Roman" w:cs="Times New Roman"/>
          <w:b/>
          <w:bCs/>
          <w:kern w:val="36"/>
          <w:sz w:val="21"/>
          <w:szCs w:val="20"/>
          <w:lang w:val="en-US" w:eastAsia="ru-RU"/>
        </w:rPr>
      </w:pPr>
    </w:p>
    <w:p w14:paraId="4895F745" w14:textId="77777777" w:rsidR="00877DE5" w:rsidRPr="00877DE5" w:rsidRDefault="00877DE5" w:rsidP="00D916B5">
      <w:pPr>
        <w:spacing w:after="0" w:line="240" w:lineRule="auto"/>
        <w:ind w:firstLine="709"/>
        <w:jc w:val="center"/>
        <w:rPr>
          <w:rFonts w:ascii="Times New Roman" w:eastAsia="Times New Roman" w:hAnsi="Times New Roman" w:cs="Times New Roman"/>
          <w:sz w:val="24"/>
          <w:szCs w:val="24"/>
          <w:lang w:val="en-US" w:eastAsia="ru-RU"/>
        </w:rPr>
      </w:pPr>
      <w:r w:rsidRPr="00877DE5">
        <w:rPr>
          <w:rFonts w:ascii="Times New Roman" w:eastAsia="Times New Roman" w:hAnsi="Times New Roman" w:cs="Times New Roman"/>
          <w:b/>
          <w:bCs/>
          <w:kern w:val="36"/>
          <w:sz w:val="21"/>
          <w:szCs w:val="20"/>
          <w:lang w:val="en-US" w:eastAsia="ru-RU"/>
        </w:rPr>
        <w:t>Comparative analysis of RAS and IFRS requirements for accounting of short-term liabilities</w:t>
      </w:r>
    </w:p>
    <w:p w14:paraId="3C3BF665" w14:textId="77777777" w:rsidR="00877DE5" w:rsidRPr="00877DE5" w:rsidRDefault="00877DE5" w:rsidP="00D916B5">
      <w:pPr>
        <w:spacing w:after="0" w:line="240" w:lineRule="auto"/>
        <w:ind w:firstLine="709"/>
        <w:jc w:val="center"/>
        <w:rPr>
          <w:rFonts w:ascii="Times New Roman" w:eastAsia="Times New Roman" w:hAnsi="Times New Roman" w:cs="Times New Roman"/>
          <w:sz w:val="24"/>
          <w:szCs w:val="24"/>
          <w:lang w:val="en-US" w:eastAsia="ru-RU"/>
        </w:rPr>
      </w:pPr>
    </w:p>
    <w:p w14:paraId="636862D8" w14:textId="77777777" w:rsidR="00877DE5" w:rsidRPr="00D916B5" w:rsidRDefault="00877DE5" w:rsidP="00D916B5">
      <w:pPr>
        <w:spacing w:after="0" w:line="240" w:lineRule="auto"/>
        <w:ind w:firstLine="709"/>
        <w:jc w:val="both"/>
        <w:rPr>
          <w:rFonts w:ascii="Times New Roman" w:eastAsia="Times New Roman" w:hAnsi="Times New Roman" w:cs="Times New Roman"/>
          <w:sz w:val="21"/>
          <w:szCs w:val="21"/>
          <w:lang w:val="en-US" w:eastAsia="ru-RU"/>
        </w:rPr>
      </w:pPr>
      <w:r w:rsidRPr="00D916B5">
        <w:rPr>
          <w:rFonts w:ascii="Times New Roman" w:eastAsia="Times New Roman" w:hAnsi="Times New Roman" w:cs="Times New Roman"/>
          <w:b/>
          <w:bCs/>
          <w:sz w:val="21"/>
          <w:szCs w:val="21"/>
          <w:lang w:val="en-US" w:eastAsia="ru-RU"/>
        </w:rPr>
        <w:t>Abstract:</w:t>
      </w:r>
      <w:r w:rsidRPr="00D916B5">
        <w:rPr>
          <w:rFonts w:ascii="Times New Roman" w:eastAsia="Times New Roman" w:hAnsi="Times New Roman" w:cs="Times New Roman"/>
          <w:sz w:val="21"/>
          <w:szCs w:val="21"/>
          <w:lang w:val="en-US" w:eastAsia="ru-RU"/>
        </w:rPr>
        <w:t xml:space="preserve"> The article examines the principles and criteria for recognition and classification of short-term liabilities under Russian Accounting Standards (RAS) and International Financial Reporting Standards (IFRS). It analyzes regulatory requirements (Russian federal accounting standards and IAS/IFRS) regarding the definition of short-term liabilities, their initial measurement and subsequent accounting. Special focus is given to short-term </w:t>
      </w:r>
      <w:r w:rsidRPr="00D916B5">
        <w:rPr>
          <w:rFonts w:ascii="Times New Roman" w:eastAsia="Times New Roman" w:hAnsi="Times New Roman" w:cs="Times New Roman"/>
          <w:sz w:val="21"/>
          <w:szCs w:val="21"/>
          <w:lang w:val="en-US" w:eastAsia="ru-RU"/>
        </w:rPr>
        <w:lastRenderedPageBreak/>
        <w:t>accounts payable, with examples from the accounting policies of Russian companies. The comparison highlights similarities and differences between RAS and IFRS approaches.</w:t>
      </w:r>
    </w:p>
    <w:p w14:paraId="36A4F6B9" w14:textId="77777777" w:rsidR="00877DE5" w:rsidRPr="00D916B5" w:rsidRDefault="00877DE5" w:rsidP="00D916B5">
      <w:pPr>
        <w:spacing w:after="0" w:line="240" w:lineRule="auto"/>
        <w:ind w:firstLine="709"/>
        <w:jc w:val="both"/>
        <w:rPr>
          <w:rFonts w:ascii="Times New Roman" w:eastAsia="Times New Roman" w:hAnsi="Times New Roman" w:cs="Times New Roman"/>
          <w:sz w:val="21"/>
          <w:szCs w:val="21"/>
          <w:lang w:val="en-US" w:eastAsia="ru-RU"/>
        </w:rPr>
      </w:pPr>
      <w:r w:rsidRPr="00D916B5">
        <w:rPr>
          <w:rFonts w:ascii="Times New Roman" w:eastAsia="Times New Roman" w:hAnsi="Times New Roman" w:cs="Times New Roman"/>
          <w:b/>
          <w:bCs/>
          <w:sz w:val="21"/>
          <w:szCs w:val="21"/>
          <w:lang w:val="en-US" w:eastAsia="ru-RU"/>
        </w:rPr>
        <w:t>Keywords:</w:t>
      </w:r>
      <w:r w:rsidRPr="00D916B5">
        <w:rPr>
          <w:rFonts w:ascii="Times New Roman" w:eastAsia="Times New Roman" w:hAnsi="Times New Roman" w:cs="Times New Roman"/>
          <w:sz w:val="21"/>
          <w:szCs w:val="21"/>
          <w:lang w:val="en-US" w:eastAsia="ru-RU"/>
        </w:rPr>
        <w:t xml:space="preserve"> short-term liabilities, RAS, IFRS, accounting, accounts payable, classification, accounting policy.</w:t>
      </w:r>
    </w:p>
    <w:p w14:paraId="7199F384" w14:textId="77777777" w:rsidR="00877DE5" w:rsidRPr="00877DE5" w:rsidRDefault="00877DE5" w:rsidP="00150457">
      <w:pPr>
        <w:spacing w:after="0" w:line="240" w:lineRule="auto"/>
        <w:ind w:firstLine="709"/>
        <w:jc w:val="both"/>
        <w:rPr>
          <w:rFonts w:ascii="Times New Roman" w:eastAsia="Times New Roman" w:hAnsi="Times New Roman" w:cs="Times New Roman"/>
          <w:sz w:val="24"/>
          <w:szCs w:val="24"/>
          <w:lang w:val="en-US" w:eastAsia="ru-RU"/>
        </w:rPr>
      </w:pPr>
    </w:p>
    <w:p w14:paraId="3A2006C4" w14:textId="77777777" w:rsidR="00877DE5" w:rsidRPr="00877DE5" w:rsidRDefault="00877DE5" w:rsidP="00150457">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современных условиях компании, ведущие отчетность по РСБУ и по МСФО, сталкиваются с необходимостью обеспечивать сопоставимость показателей по краткосрочным обязательствам. Краткосрочные обязательства представляют собой долги организации, подлежащие погашению в течение 12 месяцев после отчетной даты. Несмотря на общий характер определения (присутствие на отчетную дату существующей задолженности, требующей выплаты ресурсов), нормативная база РСБУ и МСФО по этим обязательствам имеет ряд специфических особенностей. В РСБУ требования к учетным операциям определяются Федеральными стандартами (ФСБУ), ПБУ и Планом счетов, тогда как МСФО ориентируются на стандарты IAS/IFRS (в первую очередь IAS 1 «Представление финансовой отчетности» и IFRS 9 «Финансовые инструменты»). </w:t>
      </w:r>
    </w:p>
    <w:p w14:paraId="79B051C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 МСФО, и РСБУ рассматривают обязательство как существующую на отчетную дату обязанность организации по передаче ресурсов вследствие совершенных хозяйственных операций. Так, «обязательством считается существующая на отчетную дату задолженность организации, которая является следствием свершившихся фактов хозяйственной деятельности и расчеты по которой должны привести к оттоку активов». Аналогичное определение встречается в концептуальных рамках МСФО (Conceptual Framework). При этом для целей учета краткосрочных обязательств важны дополнительные критерии классификации и оценки.</w:t>
      </w:r>
    </w:p>
    <w:p w14:paraId="7C3D876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Обязательства представляются в бухгалтерском балансе как краткосрочные или долгосрочные в зависимости от срока их погашения. «Краткосрочными» признаются те обязательства, которые должны быть погашены в течение 12 месяцев после отчетной даты. В частности, ФСБУ 4/2023 устанавливает, что обязательство классифицируется как краткосрочное, если выполняется хотя бы одно из следующих условий: либо оно подлежит погашению в течение 12 месяцев после отчетной даты; либо связано с обычным операционным циклом компании (например, расчеты с поставщиками за материалы, начисленная зарплата и др.). Кроме того, ФСБУ уточняет, что отсутствие безусловного права организации отсрочить погашение обязательства более чем на год приводит к его классификации как </w:t>
      </w:r>
      <w:r w:rsidRPr="00877DE5">
        <w:rPr>
          <w:rFonts w:ascii="Times New Roman" w:eastAsia="Times New Roman" w:hAnsi="Times New Roman" w:cs="Times New Roman"/>
          <w:sz w:val="32"/>
          <w:szCs w:val="32"/>
          <w:lang w:eastAsia="ru-RU"/>
        </w:rPr>
        <w:lastRenderedPageBreak/>
        <w:t xml:space="preserve">краткосрочного. Правила практически совпадают с критериями, заложенными в МСФО (IAS 1). Согласно IAS 1, обязательство считается текущим, если оно подлежит погашению в течение операционного цикла организации или не позднее чем через 12 месяцев после отчетной даты, а также если оно удерживается для целей торговли или отсутствует право на отсрочку платежа более чем на год. В основе классификации лежит срок погашения и связь обязательства с операционным циклом предприятия [1,2]. </w:t>
      </w:r>
      <w:bookmarkStart w:id="58" w:name="_Hlk198918974"/>
    </w:p>
    <w:bookmarkEnd w:id="58"/>
    <w:p w14:paraId="5F801AB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обоих подходах к краткосрочным обязательствам относятся задолженности перед поставщиками и подрядчиками за товары и услуги, краткосрочные кредиты и займы, начисленные расходы (например, зарплата, налоги), а также другие обязательства по текущей деятельности. В соответствии с МСФО краткосрочные обязательства включают, например, «обязательства в результате приобретения товаров и услуг в рамках обычного операционного цикла (кредиторская задолженность перед поставщиками, краткосрочные векселя к погашению, задолженность по заработной плате, налогам и т.д.)». ФСБУ 4/2023 также прямо указывает, что краткосрочными являются задолженности перед поставщиками и подрядчиками за приобретение основных средств (то есть эти суммы помечаются как текущие обязательства). В разделе баланса РСБУ краткосрочные обязательства отражаются агрегированно (итог по строке 1500) с детализацией на строки 1510–1560 (займы, кредиторская задолженность, доходы будущих периодов, налоги, резервы и прочие обязательства). По МСФО аналогичные статьи раскрываются либо в балансе, либо в примечаниях. Например, в консолидированной отчетности ПАО «Роснефть» к статье «Краткосрочные обязательства» отнесены «кредиторская задолженность и начисления, кредиты и </w:t>
      </w:r>
      <w:proofErr w:type="gramStart"/>
      <w:r w:rsidRPr="00877DE5">
        <w:rPr>
          <w:rFonts w:ascii="Times New Roman" w:eastAsia="Times New Roman" w:hAnsi="Times New Roman" w:cs="Times New Roman"/>
          <w:sz w:val="32"/>
          <w:szCs w:val="32"/>
          <w:lang w:eastAsia="ru-RU"/>
        </w:rPr>
        <w:t>займы</w:t>
      </w:r>
      <w:proofErr w:type="gramEnd"/>
      <w:r w:rsidRPr="00877DE5">
        <w:rPr>
          <w:rFonts w:ascii="Times New Roman" w:eastAsia="Times New Roman" w:hAnsi="Times New Roman" w:cs="Times New Roman"/>
          <w:sz w:val="32"/>
          <w:szCs w:val="32"/>
          <w:lang w:eastAsia="ru-RU"/>
        </w:rPr>
        <w:t xml:space="preserve"> и прочие финансовые обязательства, обязательства по налогу на прибыль и прочим налогам, резервы, авансы по долгосрочным договорам поставки … и прочие краткосрочные обязательства». Таким образом, и в РСБУ, и в МСФО краткосрочные обязательства включают схожий набор позиций, но различаются детализация и терминология [3]. </w:t>
      </w:r>
    </w:p>
    <w:p w14:paraId="508D9D0B"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Оценка краткосрочных обязательств в РСБУ и МСФО также имеет схожие принципы, но с некоторыми отличиями. По РСБУ задолженность принимается к учету на дату возникновения в сумме, предусмотренной договором (номинальной стоимости) без дополнительных корректировок. Так, суммы по счетам 60 «Расчеты с </w:t>
      </w:r>
      <w:r w:rsidRPr="00877DE5">
        <w:rPr>
          <w:rFonts w:ascii="Times New Roman" w:eastAsia="Times New Roman" w:hAnsi="Times New Roman" w:cs="Times New Roman"/>
          <w:sz w:val="32"/>
          <w:szCs w:val="32"/>
          <w:lang w:eastAsia="ru-RU"/>
        </w:rPr>
        <w:lastRenderedPageBreak/>
        <w:t xml:space="preserve">поставщиками» или 66 «Расчеты по краткосрочным кредитам и займам» показываются по курсу договора (в валюте – по курсу ЦБ РФ на дату признания) и без дисконтирования. По МСФО финансовые обязательства (включая кредиторскую задолженность) первоначально признаются по справедливой стоимости; однако короткие суммы (обычно равные номиналу) в дальнейшем оцениваются по амортизированной стоимости с применением эффективной процентной ставки (IFRS 9). В учётной политике компании обычно указывается, что «прочие финансовые обязательства, в частности торговая и </w:t>
      </w:r>
      <w:proofErr w:type="gramStart"/>
      <w:r w:rsidRPr="00877DE5">
        <w:rPr>
          <w:rFonts w:ascii="Times New Roman" w:eastAsia="Times New Roman" w:hAnsi="Times New Roman" w:cs="Times New Roman"/>
          <w:sz w:val="32"/>
          <w:szCs w:val="32"/>
          <w:lang w:eastAsia="ru-RU"/>
        </w:rPr>
        <w:t>прочая кредиторская задолженность</w:t>
      </w:r>
      <w:proofErr w:type="gramEnd"/>
      <w:r w:rsidRPr="00877DE5">
        <w:rPr>
          <w:rFonts w:ascii="Times New Roman" w:eastAsia="Times New Roman" w:hAnsi="Times New Roman" w:cs="Times New Roman"/>
          <w:sz w:val="32"/>
          <w:szCs w:val="32"/>
          <w:lang w:eastAsia="ru-RU"/>
        </w:rPr>
        <w:t xml:space="preserve"> и задолженность по кредитам и займам, после первоначального признания оцениваются по амортизированной стоимости». Поскольку речь идет о краткосрочных суммах, амортизированная стоимость в МСФО фактически совпадает с номиналом, если отсутствуют существенные первоначальные платежи. В РСБУ начисленные проценты по краткосрочным займам учитываются аналогично (ПБУ 15/2008), а при погашении обязательства разница списывается в расходы.</w:t>
      </w:r>
    </w:p>
    <w:p w14:paraId="63CEA28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Важным отличием является процедура переклассификации обязательств. По РСБУ, аналогично МСФО, часть обязательства считается краткосрочной, если она подлежит погашению в течение 12 месяцев. Например, «часть долгосрочного обязательства, подлежащая погашению в течение двенадцати месяцев после отчетной даты… представляется в бухгалтерском балансе как краткосрочные обязательства». В МСФО действует похожее правило: текущая часть долгосрочного долга вносится в состав краткосрочных обязательств (исключением могут быть случаи подтвержденного рефинансирования). В остальном принципы дисконтирования долга по РСБУ и МСФО принципиально сходны: обязательство прекращается после его исполнения или погашения, а разница между погашением и балансовой стоимостью признается в прибыли/убытке.</w:t>
      </w:r>
    </w:p>
    <w:p w14:paraId="093E3F0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Краткосрочные обязательства, выраженные в иностранной валюте, должны быть пересчитаны по курсу на отчетную дату. По РСБУ (ПБУ 19/2002 «Учет финансовых вложений» и указаниям Минфина) курс устанавливается ЦБ РФ; суммы курсовых разниц отражаются в составе прочих расходов или доходов. По МСФО (IAS 21) расчет аналогичен: на дату баланса обязательство пересчитывается по текущему курсу, а курсовые разницы в части, касающейся обязательства, также отражаются в прибыли/убытке. В </w:t>
      </w:r>
      <w:r w:rsidRPr="00877DE5">
        <w:rPr>
          <w:rFonts w:ascii="Times New Roman" w:eastAsia="Times New Roman" w:hAnsi="Times New Roman" w:cs="Times New Roman"/>
          <w:sz w:val="32"/>
          <w:szCs w:val="32"/>
          <w:lang w:eastAsia="ru-RU"/>
        </w:rPr>
        <w:lastRenderedPageBreak/>
        <w:t>обоих подходах это приводит к появлению финансового результата от изменения курса валюты.</w:t>
      </w:r>
    </w:p>
    <w:p w14:paraId="3405DB6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Для практического сравнения учётной политики обратимся к реальным документам компаний. В учетной политике по МСФО крупные российские компании обычно указывают методы признания и оценки обязательств. Так, в консолидированных примечаниях к МСФО ПАО «Роснефть» прямо отмечено, что прочие финансовые обязательства (в том числе торговая и прочая кредиторская задолженность) после первоначального признания оцениваются по амортизированной стоимости. Это означает, что в МСФО «кредиторская задолженность» рассматривается как финансовый инструмент, измеряемый аналогично долговым обязательствам: на практике </w:t>
      </w:r>
      <w:proofErr w:type="gramStart"/>
      <w:r w:rsidRPr="00877DE5">
        <w:rPr>
          <w:rFonts w:ascii="Times New Roman" w:eastAsia="Times New Roman" w:hAnsi="Times New Roman" w:cs="Times New Roman"/>
          <w:sz w:val="32"/>
          <w:szCs w:val="32"/>
          <w:lang w:eastAsia="ru-RU"/>
        </w:rPr>
        <w:t>это</w:t>
      </w:r>
      <w:proofErr w:type="gramEnd"/>
      <w:r w:rsidRPr="00877DE5">
        <w:rPr>
          <w:rFonts w:ascii="Times New Roman" w:eastAsia="Times New Roman" w:hAnsi="Times New Roman" w:cs="Times New Roman"/>
          <w:sz w:val="32"/>
          <w:szCs w:val="32"/>
          <w:lang w:eastAsia="ru-RU"/>
        </w:rPr>
        <w:t xml:space="preserve"> совпадает с учётом по сумме долга. В то же время РСБУ предписывает отражать кредиторскую задолженность по номинальной стоимости без применения метода эффективной ставки.</w:t>
      </w:r>
    </w:p>
    <w:p w14:paraId="5FBE8D5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сравнении отчетности конкретных компаний видно, что МСФО и РСБУ в этом пункте дают схожий результат, но могут отличаться детализация и раскрытие. Например, в обобщенном консолидированном балансе Роснефти «краткосрочные обязательства» приведены строчками, включающими «кредиторскую задолженность и начисления» (всех видов). Аналогично, в отчетности МСФО других компаний (например, Газпром, ЛУКОЙЛ и др.) статья «Trade and other payables» включает как расчёты по поставкам, так и расчёты перед персоналом и бюджетом, обобщая информацию, которая в формах РСБУ распределена по нескольким разделам (строка 1520 «Кредиторская задолженность» и строка 1540 «Расчеты по налогам и сборам», страховым взносам) [3].</w:t>
      </w:r>
    </w:p>
    <w:p w14:paraId="2C40AEF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учётной политике компаний для РСБУ нередко указывается, что кредиторская задолженность по расчетам с поставщиками, подрядчиками и работниками отражается на соответствующих счетах (60, 76, 70 и др.) на дату возникновения долга по сумме задолженности, установленной договором. Однако сам баланс РСБУ сводит эти позиции воедино. Например, в балансе по РСБУ приводятся итоги по счетам кредиторской задолженности перед поставщиками, прочими кредиторами, бюджетом и персоналом в одной строке «Кредиторская задолженность» (1520). В то время как МСФО выделяет отдельные статьи: «Trade payables», «Advances received», «Taxes payable» и т.д. Таким образом, при трансформации отчетности РСБУ в МСФО бухгалтеру приходится перераспределять суммы между новыми </w:t>
      </w:r>
      <w:r w:rsidRPr="00877DE5">
        <w:rPr>
          <w:rFonts w:ascii="Times New Roman" w:eastAsia="Times New Roman" w:hAnsi="Times New Roman" w:cs="Times New Roman"/>
          <w:sz w:val="32"/>
          <w:szCs w:val="32"/>
          <w:lang w:eastAsia="ru-RU"/>
        </w:rPr>
        <w:lastRenderedPageBreak/>
        <w:t>статьями, в то время как РСБУ допускает более агрегированное раскрытие.</w:t>
      </w:r>
    </w:p>
    <w:p w14:paraId="4885700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Отдельно отметим практику учета будущих обязательств. В РСБУ авансы полученные учитываются в строке «Доходы будущих периодов» (1530 баланса) до исполнения обязательства, что аналогично понятию contract liabilities по МСФО (например, авансы клиентов признаются обязательством до признания выручки). В учётных политиках МСФО это называется «contractual liabilities» или «deferred income», а РСБУ – «доходы будущих периодов». Здесь также метод оценки (по контрактной сумме) совпадает, хотя формулировки стандартов разные.</w:t>
      </w:r>
    </w:p>
    <w:p w14:paraId="4227BA1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Наконец, рассмотрим краткосрочные резервы (оценочные обязательства). Согласно РСБУ (ПБУ 8/2010), образованные резервы (на отпуска, гарантийные обязательства и др.) классифицируются как краткосрочные, если их погашение ожидается в течение года. МСФО (IAS 37) аналогично требует признания provisions, когда имеется текущее обязательство и вероятен отток ресурсов. Различия здесь скорее в критериях признания (probability, оценка справедливой стоимости) и раскрытии, но принципы классификации краткосрочности схожи. Учетная политика по МСФО обычно описывает метод определения суммы резерва, тогда как РСБУ-фирмы могут ссылаться на План счетов (счет 96 «Резервы предстоящих расходов») и Общие принципы (стандарты) [4]. </w:t>
      </w:r>
    </w:p>
    <w:p w14:paraId="091C219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результате сравнения требований РСБУ и МСФО по учету краткосрочных обязательств можно констатировать, что базовые принципы довольно схожи: в обоих подходах обязательства классифицируются как текущие, если они подлежат погашению в течение 12 месяцев (или относятся к операционному циклу), а любая часть обязательства, «завтра» подлежащая уплате, считается текущей. Различия проявляются главным образом в детализации и порядке раскрытия. РСБУ задает точную структуру разделов баланса (строки 1510–1560), в то время как МСФО позволяет классифицировать и называть статьи более гибко, фокусируясь на экономическом содержании сделки.</w:t>
      </w:r>
    </w:p>
    <w:p w14:paraId="174147AB"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части оценки различия минимальны. Оценка краткосрочных обязательств по МСФО чаще всего производится методом амортизированной стоимости, что фактически совпадает с номиналом для коротких обязательств. По РСБУ задолженность фиксируется по номинальной стоимости договора, без требования применять </w:t>
      </w:r>
      <w:r w:rsidRPr="00877DE5">
        <w:rPr>
          <w:rFonts w:ascii="Times New Roman" w:eastAsia="Times New Roman" w:hAnsi="Times New Roman" w:cs="Times New Roman"/>
          <w:sz w:val="32"/>
          <w:szCs w:val="32"/>
          <w:lang w:eastAsia="ru-RU"/>
        </w:rPr>
        <w:lastRenderedPageBreak/>
        <w:t>эффективную ставку. Однако в учётной политике на МСФО компании специально указывают на принцип амортизации долга, тогда как РСБУ отталкивается от хозяйственного договора и федеральных стандартов (ПБУ/ФСБУ) без отдельного раскрытия метода.</w:t>
      </w:r>
    </w:p>
    <w:p w14:paraId="3E672C3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Практические примеры показывают, что при переходе от РСБУ к МСФО компании корректируют классификацию статей баланса и иногда пересматривают принципы учета резервов и начислений. Тем не менее, учётная политика в обоих подходах отражает сходные экономические реалии: кредиторская задолженность перед поставщиками, бюджетом и сотрудниками остается текущей, а курсовые и процентные разницы отражаются по договорным правилам. При правильной трансформации базовые показатели по краткосрочным обязательствам в МСФО зачастую близки к РСБУ, отличаясь в основном деталями представления.</w:t>
      </w:r>
    </w:p>
    <w:p w14:paraId="1718CDB8"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p>
    <w:p w14:paraId="2D98D01B"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5A74617E" w14:textId="77777777" w:rsidR="00877DE5" w:rsidRPr="00877DE5" w:rsidRDefault="00877DE5" w:rsidP="00AD58CD">
      <w:pPr>
        <w:numPr>
          <w:ilvl w:val="0"/>
          <w:numId w:val="31"/>
        </w:numPr>
        <w:spacing w:after="0" w:line="240" w:lineRule="auto"/>
        <w:ind w:left="0" w:firstLine="142"/>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Федеральный стандарт бухгалтерского учета ФСБУ 4/2023 «Бухгалтерская (финансовая) отчетность» </w:t>
      </w:r>
      <w:r w:rsidRPr="00877DE5">
        <w:rPr>
          <w:rFonts w:ascii="Times New Roman" w:eastAsia="Aptos" w:hAnsi="Times New Roman" w:cs="Times New Roman"/>
          <w:kern w:val="2"/>
          <w:sz w:val="21"/>
          <w:szCs w:val="20"/>
          <w14:ligatures w14:val="standardContextual"/>
        </w:rPr>
        <w:t xml:space="preserve">[Электронный ресурс: </w:t>
      </w:r>
      <w:hyperlink r:id="rId273" w:history="1">
        <w:r w:rsidRPr="00877DE5">
          <w:rPr>
            <w:rFonts w:ascii="Times New Roman" w:eastAsia="Times New Roman" w:hAnsi="Times New Roman" w:cs="Times New Roman"/>
            <w:color w:val="467886"/>
            <w:sz w:val="21"/>
            <w:szCs w:val="20"/>
            <w:u w:val="single"/>
            <w:lang w:eastAsia="ru-RU"/>
          </w:rPr>
          <w:t>https://minfin.gov.ru/ru/document?id_4=306759</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3DCCF5C4" w14:textId="77777777" w:rsidR="00877DE5" w:rsidRPr="00877DE5" w:rsidRDefault="00877DE5" w:rsidP="00AD58CD">
      <w:pPr>
        <w:numPr>
          <w:ilvl w:val="0"/>
          <w:numId w:val="31"/>
        </w:numPr>
        <w:spacing w:after="0" w:line="240" w:lineRule="auto"/>
        <w:ind w:left="0" w:firstLine="142"/>
        <w:contextualSpacing/>
        <w:jc w:val="both"/>
        <w:rPr>
          <w:rFonts w:ascii="Times New Roman" w:eastAsia="Times New Roman" w:hAnsi="Times New Roman" w:cs="Times New Roman"/>
          <w:sz w:val="21"/>
          <w:szCs w:val="20"/>
          <w:lang w:eastAsia="ru-RU"/>
        </w:rPr>
      </w:pPr>
      <w:r w:rsidRPr="00877DE5">
        <w:rPr>
          <w:rFonts w:ascii="Times New Roman" w:eastAsia="Times New Roman" w:hAnsi="Times New Roman" w:cs="Times New Roman"/>
          <w:sz w:val="21"/>
          <w:szCs w:val="20"/>
          <w:lang w:eastAsia="ru-RU"/>
        </w:rPr>
        <w:t xml:space="preserve">IAS 1 - Отчет о финансовом положении: как классифицировать обязательства? </w:t>
      </w:r>
      <w:r w:rsidRPr="00877DE5">
        <w:rPr>
          <w:rFonts w:ascii="Times New Roman" w:eastAsia="Aptos" w:hAnsi="Times New Roman" w:cs="Times New Roman"/>
          <w:kern w:val="2"/>
          <w:sz w:val="21"/>
          <w:szCs w:val="20"/>
          <w14:ligatures w14:val="standardContextual"/>
        </w:rPr>
        <w:t xml:space="preserve">[Электронный ресурс: </w:t>
      </w:r>
      <w:hyperlink r:id="rId274" w:history="1">
        <w:r w:rsidRPr="00877DE5">
          <w:rPr>
            <w:rFonts w:ascii="Times New Roman" w:eastAsia="Times New Roman" w:hAnsi="Times New Roman" w:cs="Times New Roman"/>
            <w:color w:val="467886"/>
            <w:sz w:val="21"/>
            <w:szCs w:val="20"/>
            <w:u w:val="single"/>
            <w:lang w:eastAsia="ru-RU"/>
          </w:rPr>
          <w:t>https://fin-accounting.ru/articles/2022/ias-1--statement-of-financial-position--classification-of-liabilities</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7AFD359E" w14:textId="77777777" w:rsidR="00877DE5" w:rsidRPr="00877DE5" w:rsidRDefault="00877DE5" w:rsidP="00AD58CD">
      <w:pPr>
        <w:numPr>
          <w:ilvl w:val="0"/>
          <w:numId w:val="31"/>
        </w:numPr>
        <w:spacing w:after="0" w:line="240" w:lineRule="auto"/>
        <w:ind w:left="0" w:firstLine="142"/>
        <w:contextualSpacing/>
        <w:jc w:val="both"/>
        <w:rPr>
          <w:rFonts w:ascii="Times New Roman" w:eastAsia="Times New Roman" w:hAnsi="Times New Roman" w:cs="Times New Roman"/>
          <w:sz w:val="21"/>
          <w:szCs w:val="20"/>
          <w:lang w:eastAsia="ru-RU"/>
        </w:rPr>
      </w:pPr>
      <w:r w:rsidRPr="00877DE5">
        <w:rPr>
          <w:rFonts w:ascii="Times New Roman" w:eastAsia="Aptos" w:hAnsi="Times New Roman" w:cs="Times New Roman"/>
          <w:kern w:val="2"/>
          <w:sz w:val="21"/>
          <w:szCs w:val="20"/>
          <w14:ligatures w14:val="standardContextual"/>
        </w:rPr>
        <w:t xml:space="preserve">Обобщенная консолидированная финансовая отчетность ПАО «НК «Роснефть» за год, закончившийся 31 декабря 2024 г </w:t>
      </w:r>
      <w:hyperlink r:id="rId275" w:history="1">
        <w:r w:rsidRPr="00877DE5">
          <w:rPr>
            <w:rFonts w:ascii="Times New Roman" w:eastAsia="Aptos" w:hAnsi="Times New Roman" w:cs="Times New Roman"/>
            <w:color w:val="467886"/>
            <w:kern w:val="2"/>
            <w:sz w:val="21"/>
            <w:szCs w:val="20"/>
            <w:u w:val="single"/>
            <w14:ligatures w14:val="standardContextual"/>
          </w:rPr>
          <w:t>https://www.rosneft.ru/upload/site1/12m2024_RUS.pdf?ref=en.thebell.io</w:t>
        </w:r>
      </w:hyperlink>
      <w:r w:rsidRPr="00877DE5">
        <w:rPr>
          <w:rFonts w:ascii="Times New Roman" w:eastAsia="Aptos" w:hAnsi="Times New Roman" w:cs="Times New Roman"/>
          <w:kern w:val="2"/>
          <w:sz w:val="21"/>
          <w:szCs w:val="20"/>
          <w14:ligatures w14:val="standardContextual"/>
        </w:rPr>
        <w:t xml:space="preserve"> [Электронный ресурс: (дата обращения 23.05.2025)];</w:t>
      </w:r>
    </w:p>
    <w:p w14:paraId="5EFEF14C" w14:textId="77777777" w:rsidR="00877DE5" w:rsidRPr="00877DE5" w:rsidRDefault="00877DE5" w:rsidP="00AD58CD">
      <w:pPr>
        <w:numPr>
          <w:ilvl w:val="0"/>
          <w:numId w:val="31"/>
        </w:numPr>
        <w:spacing w:after="0" w:line="240" w:lineRule="auto"/>
        <w:ind w:left="0" w:firstLine="142"/>
        <w:contextualSpacing/>
        <w:jc w:val="both"/>
        <w:rPr>
          <w:rFonts w:ascii="Times New Roman" w:eastAsia="Aptos" w:hAnsi="Times New Roman" w:cs="Times New Roman"/>
          <w:color w:val="000000"/>
          <w:kern w:val="2"/>
          <w:sz w:val="21"/>
          <w:szCs w:val="20"/>
          <w14:ligatures w14:val="standardContextual"/>
        </w:rPr>
      </w:pPr>
      <w:r w:rsidRPr="00877DE5">
        <w:rPr>
          <w:rFonts w:ascii="Times New Roman" w:eastAsia="Times New Roman" w:hAnsi="Times New Roman" w:cs="Times New Roman"/>
          <w:sz w:val="21"/>
          <w:szCs w:val="20"/>
          <w:lang w:eastAsia="ru-RU"/>
        </w:rPr>
        <w:t xml:space="preserve">Краткосрочные обязательства в балансе </w:t>
      </w:r>
      <w:r w:rsidRPr="00877DE5">
        <w:rPr>
          <w:rFonts w:ascii="Times New Roman" w:eastAsia="Aptos" w:hAnsi="Times New Roman" w:cs="Times New Roman"/>
          <w:kern w:val="2"/>
          <w:sz w:val="21"/>
          <w:szCs w:val="20"/>
          <w14:ligatures w14:val="standardContextual"/>
        </w:rPr>
        <w:t xml:space="preserve">[Электронный ресурс: </w:t>
      </w:r>
      <w:hyperlink r:id="rId276" w:history="1">
        <w:r w:rsidRPr="00877DE5">
          <w:rPr>
            <w:rFonts w:ascii="Times New Roman" w:eastAsia="Times New Roman" w:hAnsi="Times New Roman" w:cs="Times New Roman"/>
            <w:color w:val="467886"/>
            <w:sz w:val="21"/>
            <w:szCs w:val="20"/>
            <w:u w:val="single"/>
            <w:lang w:eastAsia="ru-RU"/>
          </w:rPr>
          <w:t>https://buhexpert8.ru/zkn-bu/analiz-fhd/kratkosrochnye-obyazatelstva-v-balanse.html</w:t>
        </w:r>
      </w:hyperlink>
      <w:r w:rsidRPr="00877DE5">
        <w:rPr>
          <w:rFonts w:ascii="Times New Roman" w:eastAsia="Times New Roman" w:hAnsi="Times New Roman" w:cs="Times New Roman"/>
          <w:sz w:val="21"/>
          <w:szCs w:val="20"/>
          <w:lang w:eastAsia="ru-RU"/>
        </w:rPr>
        <w:t xml:space="preserve"> </w:t>
      </w:r>
      <w:r w:rsidRPr="00877DE5">
        <w:rPr>
          <w:rFonts w:ascii="Times New Roman" w:eastAsia="Aptos" w:hAnsi="Times New Roman" w:cs="Times New Roman"/>
          <w:kern w:val="2"/>
          <w:sz w:val="21"/>
          <w:szCs w:val="20"/>
          <w14:ligatures w14:val="standardContextual"/>
        </w:rPr>
        <w:t>(дата обращения 23.05.2025)].</w:t>
      </w:r>
    </w:p>
    <w:p w14:paraId="757BD709" w14:textId="77777777" w:rsidR="00877DE5" w:rsidRPr="00877DE5" w:rsidRDefault="00877DE5" w:rsidP="00067100">
      <w:pPr>
        <w:spacing w:after="0" w:line="240" w:lineRule="auto"/>
        <w:ind w:firstLine="709"/>
        <w:jc w:val="center"/>
        <w:rPr>
          <w:rFonts w:ascii="Times New Roman" w:eastAsia="Aptos" w:hAnsi="Times New Roman" w:cs="Times New Roman"/>
          <w:b/>
          <w:bCs/>
          <w:color w:val="000000"/>
          <w:kern w:val="2"/>
          <w:sz w:val="21"/>
          <w:szCs w:val="20"/>
          <w14:ligatures w14:val="standardContextual"/>
        </w:rPr>
      </w:pPr>
    </w:p>
    <w:p w14:paraId="5E060629" w14:textId="77777777" w:rsidR="00877DE5" w:rsidRPr="00420733" w:rsidRDefault="00877DE5" w:rsidP="00067100">
      <w:pPr>
        <w:spacing w:after="0" w:line="240" w:lineRule="auto"/>
        <w:ind w:firstLine="709"/>
        <w:rPr>
          <w:rFonts w:ascii="Times New Roman" w:eastAsia="Aptos" w:hAnsi="Times New Roman" w:cs="Times New Roman"/>
          <w:kern w:val="2"/>
          <w:sz w:val="24"/>
          <w:szCs w:val="24"/>
          <w14:ligatures w14:val="standardContextual"/>
        </w:rPr>
      </w:pPr>
    </w:p>
    <w:p w14:paraId="282746BC" w14:textId="77777777" w:rsidR="00737306" w:rsidRPr="00877DE5" w:rsidRDefault="00737306" w:rsidP="00D916B5">
      <w:pPr>
        <w:spacing w:after="0" w:line="240" w:lineRule="auto"/>
        <w:jc w:val="both"/>
        <w:rPr>
          <w:rFonts w:ascii="Times New Roman" w:eastAsia="Aptos" w:hAnsi="Times New Roman" w:cs="Times New Roman"/>
          <w:b/>
          <w:bCs/>
          <w:kern w:val="2"/>
          <w:sz w:val="21"/>
          <w:szCs w:val="32"/>
          <w14:ligatures w14:val="standardContextual"/>
        </w:rPr>
      </w:pPr>
      <w:r w:rsidRPr="00877DE5">
        <w:rPr>
          <w:rFonts w:ascii="Times New Roman" w:eastAsia="Aptos" w:hAnsi="Times New Roman" w:cs="Times New Roman"/>
          <w:b/>
          <w:bCs/>
          <w:kern w:val="2"/>
          <w:sz w:val="21"/>
          <w:szCs w:val="32"/>
          <w14:ligatures w14:val="standardContextual"/>
        </w:rPr>
        <w:t>УДК 336</w:t>
      </w:r>
    </w:p>
    <w:p w14:paraId="05D16D19"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Тараненко В.А., </w:t>
      </w:r>
    </w:p>
    <w:p w14:paraId="4E53008B"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6148B1A1"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3CD36539"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14DF1F97" w14:textId="77777777" w:rsidR="00737306" w:rsidRPr="00877DE5" w:rsidRDefault="00737306" w:rsidP="00737306">
      <w:pPr>
        <w:spacing w:after="0" w:line="240" w:lineRule="auto"/>
        <w:ind w:firstLine="709"/>
        <w:jc w:val="right"/>
        <w:rPr>
          <w:rFonts w:ascii="Times New Roman" w:eastAsia="Aptos" w:hAnsi="Times New Roman" w:cs="Times New Roman"/>
          <w:i/>
          <w:color w:val="467886"/>
          <w:kern w:val="2"/>
          <w:sz w:val="21"/>
          <w:szCs w:val="24"/>
          <w:u w:val="single"/>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mail</w:t>
      </w:r>
      <w:r w:rsidRPr="00877DE5">
        <w:rPr>
          <w:rFonts w:ascii="Times New Roman" w:eastAsia="Aptos" w:hAnsi="Times New Roman" w:cs="Times New Roman"/>
          <w:i/>
          <w:kern w:val="2"/>
          <w:sz w:val="21"/>
          <w:szCs w:val="20"/>
          <w14:ligatures w14:val="standardContextual"/>
        </w:rPr>
        <w:t xml:space="preserve">: </w:t>
      </w:r>
      <w:hyperlink r:id="rId277" w:history="1">
        <w:r w:rsidRPr="00877DE5">
          <w:rPr>
            <w:rFonts w:ascii="Times New Roman" w:eastAsia="Aptos" w:hAnsi="Times New Roman" w:cs="Times New Roman"/>
            <w:color w:val="467886"/>
            <w:kern w:val="2"/>
            <w:sz w:val="21"/>
            <w:szCs w:val="24"/>
            <w:u w:val="single"/>
            <w14:ligatures w14:val="standardContextual"/>
          </w:rPr>
          <w:t>100</w:t>
        </w:r>
        <w:r w:rsidRPr="00877DE5">
          <w:rPr>
            <w:rFonts w:ascii="Times New Roman" w:eastAsia="Aptos" w:hAnsi="Times New Roman" w:cs="Times New Roman"/>
            <w:color w:val="467886"/>
            <w:kern w:val="2"/>
            <w:sz w:val="21"/>
            <w:szCs w:val="24"/>
            <w:u w:val="single"/>
            <w:lang w:val="en-US"/>
            <w14:ligatures w14:val="standardContextual"/>
          </w:rPr>
          <w:t>dot</w:t>
        </w:r>
        <w:r w:rsidRPr="00877DE5">
          <w:rPr>
            <w:rFonts w:ascii="Times New Roman" w:eastAsia="Aptos" w:hAnsi="Times New Roman" w:cs="Times New Roman"/>
            <w:color w:val="467886"/>
            <w:kern w:val="2"/>
            <w:sz w:val="21"/>
            <w:szCs w:val="24"/>
            <w:u w:val="single"/>
            <w14:ligatures w14:val="standardContextual"/>
          </w:rPr>
          <w:t>13</w:t>
        </w:r>
        <w:r w:rsidRPr="00877DE5">
          <w:rPr>
            <w:rFonts w:ascii="Times New Roman" w:eastAsia="Aptos" w:hAnsi="Times New Roman" w:cs="Times New Roman"/>
            <w:color w:val="467886"/>
            <w:kern w:val="2"/>
            <w:sz w:val="21"/>
            <w:szCs w:val="24"/>
            <w:u w:val="single"/>
            <w:lang w:val="en-US"/>
            <w14:ligatures w14:val="standardContextual"/>
          </w:rPr>
          <w:t>sl</w:t>
        </w:r>
        <w:r w:rsidRPr="00877DE5">
          <w:rPr>
            <w:rFonts w:ascii="Times New Roman" w:eastAsia="Aptos" w:hAnsi="Times New Roman" w:cs="Times New Roman"/>
            <w:color w:val="467886"/>
            <w:kern w:val="2"/>
            <w:sz w:val="21"/>
            <w:szCs w:val="24"/>
            <w:u w:val="single"/>
            <w14:ligatures w14:val="standardContextual"/>
          </w:rPr>
          <w:t>220169@</w:t>
        </w:r>
        <w:r w:rsidRPr="00877DE5">
          <w:rPr>
            <w:rFonts w:ascii="Times New Roman" w:eastAsia="Aptos" w:hAnsi="Times New Roman" w:cs="Times New Roman"/>
            <w:color w:val="467886"/>
            <w:kern w:val="2"/>
            <w:sz w:val="21"/>
            <w:szCs w:val="24"/>
            <w:u w:val="single"/>
            <w:lang w:val="en-US"/>
            <w14:ligatures w14:val="standardContextual"/>
          </w:rPr>
          <w:t>edu</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fa</w:t>
        </w:r>
        <w:r w:rsidRPr="00877DE5">
          <w:rPr>
            <w:rFonts w:ascii="Times New Roman" w:eastAsia="Aptos" w:hAnsi="Times New Roman" w:cs="Times New Roman"/>
            <w:color w:val="467886"/>
            <w:kern w:val="2"/>
            <w:sz w:val="21"/>
            <w:szCs w:val="24"/>
            <w:u w:val="single"/>
            <w14:ligatures w14:val="standardContextual"/>
          </w:rPr>
          <w:t>.</w:t>
        </w:r>
        <w:r w:rsidRPr="00877DE5">
          <w:rPr>
            <w:rFonts w:ascii="Times New Roman" w:eastAsia="Aptos" w:hAnsi="Times New Roman" w:cs="Times New Roman"/>
            <w:color w:val="467886"/>
            <w:kern w:val="2"/>
            <w:sz w:val="21"/>
            <w:szCs w:val="24"/>
            <w:u w:val="single"/>
            <w:lang w:val="en-US"/>
            <w14:ligatures w14:val="standardContextual"/>
          </w:rPr>
          <w:t>ru</w:t>
        </w:r>
      </w:hyperlink>
    </w:p>
    <w:p w14:paraId="4ECB9C33" w14:textId="77777777" w:rsidR="00737306" w:rsidRPr="00877DE5" w:rsidRDefault="00737306" w:rsidP="00737306">
      <w:pPr>
        <w:spacing w:after="0" w:line="240" w:lineRule="auto"/>
        <w:ind w:firstLine="709"/>
        <w:jc w:val="right"/>
        <w:rPr>
          <w:rFonts w:ascii="Times New Roman" w:eastAsia="Aptos" w:hAnsi="Times New Roman" w:cs="Times New Roman"/>
          <w:i/>
          <w:kern w:val="2"/>
          <w:sz w:val="21"/>
          <w:szCs w:val="24"/>
          <w14:ligatures w14:val="standardContextual"/>
        </w:rPr>
      </w:pPr>
    </w:p>
    <w:p w14:paraId="74344124" w14:textId="77777777" w:rsidR="00737306" w:rsidRPr="00877DE5" w:rsidRDefault="00737306" w:rsidP="00737306">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Научный руководитель:</w:t>
      </w:r>
    </w:p>
    <w:p w14:paraId="13B40282" w14:textId="77777777" w:rsidR="00737306" w:rsidRPr="00877DE5" w:rsidRDefault="00737306" w:rsidP="00737306">
      <w:pPr>
        <w:spacing w:after="0" w:line="240" w:lineRule="auto"/>
        <w:ind w:firstLine="709"/>
        <w:jc w:val="right"/>
        <w:rPr>
          <w:rFonts w:ascii="Times New Roman" w:eastAsia="Aptos" w:hAnsi="Times New Roman" w:cs="Times New Roman"/>
          <w:b/>
          <w:i/>
          <w:kern w:val="2"/>
          <w:sz w:val="21"/>
          <w:szCs w:val="20"/>
          <w14:ligatures w14:val="standardContextual"/>
        </w:rPr>
      </w:pPr>
      <w:r w:rsidRPr="00877DE5">
        <w:rPr>
          <w:rFonts w:ascii="Times New Roman" w:eastAsia="Aptos" w:hAnsi="Times New Roman" w:cs="Times New Roman"/>
          <w:b/>
          <w:i/>
          <w:kern w:val="2"/>
          <w:sz w:val="21"/>
          <w:szCs w:val="20"/>
          <w14:ligatures w14:val="standardContextual"/>
        </w:rPr>
        <w:t>Рощектаева У. Ю.,</w:t>
      </w:r>
    </w:p>
    <w:p w14:paraId="7BD0F596" w14:textId="77777777" w:rsidR="00737306" w:rsidRPr="00877DE5" w:rsidRDefault="00737306" w:rsidP="00737306">
      <w:pPr>
        <w:spacing w:after="0" w:line="240" w:lineRule="auto"/>
        <w:ind w:firstLine="709"/>
        <w:jc w:val="right"/>
        <w:rPr>
          <w:rFonts w:ascii="Times New Roman" w:eastAsia="Aptos" w:hAnsi="Times New Roman" w:cs="Times New Roman"/>
          <w:i/>
          <w:kern w:val="2"/>
          <w:sz w:val="21"/>
          <w:szCs w:val="20"/>
          <w14:ligatures w14:val="standardContextual"/>
        </w:rPr>
      </w:pPr>
      <w:r w:rsidRPr="00877DE5">
        <w:rPr>
          <w:rFonts w:ascii="Times New Roman" w:eastAsia="Aptos" w:hAnsi="Times New Roman" w:cs="Times New Roman"/>
          <w:i/>
          <w:kern w:val="2"/>
          <w:sz w:val="21"/>
          <w:szCs w:val="20"/>
          <w14:ligatures w14:val="standardContextual"/>
        </w:rPr>
        <w:t>к.э.н, доцент</w:t>
      </w:r>
    </w:p>
    <w:p w14:paraId="1A6A7CD2"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02434B8D"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6AB609BB" w14:textId="77777777" w:rsidR="00737306" w:rsidRPr="00877DE5" w:rsidRDefault="00737306" w:rsidP="00737306">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278" w:history="1">
        <w:r w:rsidRPr="00877DE5">
          <w:rPr>
            <w:rFonts w:ascii="Times New Roman" w:eastAsia="Times New Roman" w:hAnsi="Times New Roman" w:cs="Times New Roman"/>
            <w:i/>
            <w:color w:val="0000FF"/>
            <w:sz w:val="21"/>
            <w:szCs w:val="20"/>
            <w:u w:val="single"/>
            <w:lang w:val="x-none" w:eastAsia="ar-SA"/>
          </w:rPr>
          <w:t>uyuroschektaeva@fa.ru</w:t>
        </w:r>
      </w:hyperlink>
    </w:p>
    <w:p w14:paraId="64A03CE6" w14:textId="77777777" w:rsidR="00737306" w:rsidRPr="00877DE5" w:rsidRDefault="00737306" w:rsidP="00737306">
      <w:pPr>
        <w:spacing w:after="0" w:line="240" w:lineRule="auto"/>
        <w:ind w:firstLine="709"/>
        <w:jc w:val="center"/>
        <w:rPr>
          <w:rFonts w:ascii="Times New Roman" w:eastAsia="Aptos" w:hAnsi="Times New Roman" w:cs="Times New Roman"/>
          <w:b/>
          <w:bCs/>
          <w:kern w:val="2"/>
          <w:sz w:val="21"/>
          <w:szCs w:val="24"/>
          <w:lang w:val="x-none"/>
          <w14:ligatures w14:val="standardContextual"/>
        </w:rPr>
      </w:pPr>
    </w:p>
    <w:p w14:paraId="724D3EF5" w14:textId="77777777" w:rsidR="00737306" w:rsidRPr="00877DE5" w:rsidRDefault="00737306" w:rsidP="00737306">
      <w:pPr>
        <w:spacing w:after="0" w:line="240" w:lineRule="auto"/>
        <w:ind w:firstLine="709"/>
        <w:jc w:val="center"/>
        <w:rPr>
          <w:rFonts w:ascii="Times New Roman" w:eastAsia="Aptos" w:hAnsi="Times New Roman" w:cs="Times New Roman"/>
          <w:b/>
          <w:bCs/>
          <w:kern w:val="2"/>
          <w:sz w:val="21"/>
          <w:szCs w:val="24"/>
          <w14:ligatures w14:val="standardContextual"/>
        </w:rPr>
      </w:pPr>
      <w:r w:rsidRPr="00877DE5">
        <w:rPr>
          <w:rFonts w:ascii="Times New Roman" w:eastAsia="Aptos" w:hAnsi="Times New Roman" w:cs="Times New Roman"/>
          <w:b/>
          <w:bCs/>
          <w:kern w:val="2"/>
          <w:sz w:val="21"/>
          <w:szCs w:val="24"/>
          <w14:ligatures w14:val="standardContextual"/>
        </w:rPr>
        <w:t>Совершенствование учета расчетов с подотчетными лицами в условиях цифровизации бизнеса</w:t>
      </w:r>
    </w:p>
    <w:p w14:paraId="1875436E" w14:textId="77777777" w:rsidR="00737306" w:rsidRPr="00877DE5" w:rsidRDefault="00737306" w:rsidP="00737306">
      <w:pPr>
        <w:spacing w:after="0" w:line="240" w:lineRule="auto"/>
        <w:ind w:firstLine="709"/>
        <w:jc w:val="center"/>
        <w:rPr>
          <w:rFonts w:ascii="Times New Roman" w:eastAsia="Aptos" w:hAnsi="Times New Roman" w:cs="Times New Roman"/>
          <w:b/>
          <w:bCs/>
          <w:kern w:val="2"/>
          <w:sz w:val="21"/>
          <w:szCs w:val="24"/>
          <w14:ligatures w14:val="standardContextual"/>
        </w:rPr>
      </w:pPr>
    </w:p>
    <w:p w14:paraId="65A88157" w14:textId="77777777" w:rsidR="00737306" w:rsidRPr="00877DE5" w:rsidRDefault="00737306" w:rsidP="00737306">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Аннотация</w:t>
      </w:r>
      <w:r w:rsidRPr="00877DE5">
        <w:rPr>
          <w:rFonts w:ascii="Times New Roman" w:eastAsia="Times New Roman" w:hAnsi="Times New Roman" w:cs="Times New Roman"/>
          <w:sz w:val="21"/>
          <w:szCs w:val="24"/>
          <w:lang w:eastAsia="ru-RU"/>
        </w:rPr>
        <w:t xml:space="preserve">: В статье рассматриваются особенности учета расчетов с подотчетными лицами в современных условиях цифровизации. Анализируются действующие требования РСБУ и МСФО к таким операциям, а также типичные ошибки бухгалтера при их ведении. Выполнено сравнение ключевых программных решений (1C, «БИТ.Финанс» и др.) с точки зрения автоматизации расчётов с подотчетными суммами. На примерах (до и после внедрения цифровых систем) показаны преимущества автоматизации – значительное сокращение трудозатрат и числа ошибок. Предложены меры по оптимизации учёта </w:t>
      </w:r>
      <w:r w:rsidRPr="00877DE5">
        <w:rPr>
          <w:rFonts w:ascii="Times New Roman" w:eastAsia="Times New Roman" w:hAnsi="Times New Roman" w:cs="Times New Roman"/>
          <w:sz w:val="21"/>
          <w:szCs w:val="24"/>
          <w:lang w:eastAsia="ru-RU"/>
        </w:rPr>
        <w:lastRenderedPageBreak/>
        <w:t xml:space="preserve">подотчетных сумм на основе цифровых инструментов (мобильных приложений, электронного документооборота, механизмов контроля). </w:t>
      </w:r>
    </w:p>
    <w:p w14:paraId="0C76D128" w14:textId="77777777" w:rsidR="00737306" w:rsidRPr="00877DE5" w:rsidRDefault="00737306" w:rsidP="00737306">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Ключевые слова</w:t>
      </w:r>
      <w:r w:rsidRPr="00877DE5">
        <w:rPr>
          <w:rFonts w:ascii="Times New Roman" w:eastAsia="Times New Roman" w:hAnsi="Times New Roman" w:cs="Times New Roman"/>
          <w:sz w:val="21"/>
          <w:szCs w:val="24"/>
          <w:lang w:eastAsia="ru-RU"/>
        </w:rPr>
        <w:t>: подотчетные лица; бухгалтерский учёт; цифровизация; ERP-системы; 1С; SAP Concur; МСФО.</w:t>
      </w:r>
    </w:p>
    <w:p w14:paraId="4542AA3F" w14:textId="77777777" w:rsidR="00737306" w:rsidRPr="00877DE5" w:rsidRDefault="00737306" w:rsidP="00737306">
      <w:pPr>
        <w:spacing w:after="0" w:line="240" w:lineRule="auto"/>
        <w:ind w:firstLine="709"/>
        <w:jc w:val="right"/>
        <w:rPr>
          <w:rFonts w:ascii="Times New Roman" w:eastAsia="Aptos" w:hAnsi="Times New Roman" w:cs="Times New Roman"/>
          <w:b/>
          <w:bCs/>
          <w:i/>
          <w:iCs/>
          <w:kern w:val="2"/>
          <w:sz w:val="21"/>
          <w:szCs w:val="32"/>
          <w:lang w:val="en-US"/>
          <w14:ligatures w14:val="standardContextual"/>
        </w:rPr>
      </w:pPr>
      <w:r w:rsidRPr="00877DE5">
        <w:rPr>
          <w:rFonts w:ascii="Times New Roman" w:eastAsia="Aptos" w:hAnsi="Times New Roman" w:cs="Times New Roman"/>
          <w:b/>
          <w:bCs/>
          <w:i/>
          <w:iCs/>
          <w:kern w:val="2"/>
          <w:sz w:val="21"/>
          <w:szCs w:val="32"/>
          <w:lang w:val="en-US"/>
          <w14:ligatures w14:val="standardContextual"/>
        </w:rPr>
        <w:t>Taranenko V.A.,</w:t>
      </w:r>
    </w:p>
    <w:p w14:paraId="298A0E00"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3047EB0B"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5210E50E"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6D301EAD" w14:textId="77777777" w:rsidR="00737306" w:rsidRPr="00877DE5" w:rsidRDefault="00737306" w:rsidP="00737306">
      <w:pPr>
        <w:spacing w:after="0" w:line="240" w:lineRule="auto"/>
        <w:ind w:firstLine="709"/>
        <w:jc w:val="right"/>
        <w:rPr>
          <w:rFonts w:ascii="Times New Roman" w:eastAsia="Aptos" w:hAnsi="Times New Roman" w:cs="Times New Roman"/>
          <w:i/>
          <w:color w:val="467886"/>
          <w:kern w:val="2"/>
          <w:sz w:val="21"/>
          <w:szCs w:val="24"/>
          <w:u w:val="single"/>
          <w:lang w:val="en-US"/>
          <w14:ligatures w14:val="standardContextual"/>
        </w:rPr>
      </w:pPr>
      <w:r w:rsidRPr="00877DE5">
        <w:rPr>
          <w:rFonts w:ascii="Times New Roman" w:eastAsia="Aptos" w:hAnsi="Times New Roman" w:cs="Times New Roman"/>
          <w:i/>
          <w:kern w:val="2"/>
          <w:sz w:val="21"/>
          <w:szCs w:val="20"/>
          <w14:ligatures w14:val="standardContextual"/>
        </w:rPr>
        <w:t>е</w:t>
      </w:r>
      <w:r w:rsidRPr="00877DE5">
        <w:rPr>
          <w:rFonts w:ascii="Times New Roman" w:eastAsia="Aptos" w:hAnsi="Times New Roman" w:cs="Times New Roman"/>
          <w:i/>
          <w:kern w:val="2"/>
          <w:sz w:val="21"/>
          <w:szCs w:val="20"/>
          <w:lang w:val="en-US"/>
          <w14:ligatures w14:val="standardContextual"/>
        </w:rPr>
        <w:t xml:space="preserve">-mail: </w:t>
      </w:r>
      <w:hyperlink r:id="rId279" w:history="1">
        <w:r w:rsidRPr="00877DE5">
          <w:rPr>
            <w:rFonts w:ascii="Times New Roman" w:eastAsia="Aptos" w:hAnsi="Times New Roman" w:cs="Times New Roman"/>
            <w:color w:val="467886"/>
            <w:kern w:val="2"/>
            <w:sz w:val="21"/>
            <w:szCs w:val="24"/>
            <w:u w:val="single"/>
            <w:lang w:val="en-US"/>
            <w14:ligatures w14:val="standardContextual"/>
          </w:rPr>
          <w:t>100dot13sl220169@edu.fa.ru</w:t>
        </w:r>
      </w:hyperlink>
    </w:p>
    <w:p w14:paraId="6A15D5D2" w14:textId="77777777" w:rsidR="00737306" w:rsidRPr="00877DE5" w:rsidRDefault="00737306" w:rsidP="00737306">
      <w:pPr>
        <w:spacing w:after="0" w:line="240" w:lineRule="auto"/>
        <w:ind w:firstLine="709"/>
        <w:jc w:val="right"/>
        <w:rPr>
          <w:rFonts w:ascii="Times New Roman" w:eastAsia="Aptos" w:hAnsi="Times New Roman" w:cs="Times New Roman"/>
          <w:i/>
          <w:kern w:val="2"/>
          <w:sz w:val="21"/>
          <w:szCs w:val="20"/>
          <w:lang w:val="en-US"/>
          <w14:ligatures w14:val="standardContextual"/>
        </w:rPr>
      </w:pPr>
    </w:p>
    <w:p w14:paraId="62B8C69C" w14:textId="77777777" w:rsidR="00737306" w:rsidRPr="00877DE5" w:rsidRDefault="00737306" w:rsidP="00737306">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65A82909" w14:textId="77777777" w:rsidR="00737306" w:rsidRPr="00877DE5" w:rsidRDefault="00737306" w:rsidP="00737306">
      <w:pPr>
        <w:spacing w:after="0" w:line="240" w:lineRule="auto"/>
        <w:ind w:firstLine="709"/>
        <w:jc w:val="right"/>
        <w:rPr>
          <w:rFonts w:ascii="Times New Roman" w:eastAsia="Aptos" w:hAnsi="Times New Roman" w:cs="Times New Roman"/>
          <w:b/>
          <w:i/>
          <w:kern w:val="2"/>
          <w:sz w:val="21"/>
          <w:szCs w:val="20"/>
          <w:lang w:val="en-US"/>
          <w14:ligatures w14:val="standardContextual"/>
        </w:rPr>
      </w:pPr>
      <w:r w:rsidRPr="00877DE5">
        <w:rPr>
          <w:rFonts w:ascii="Times New Roman" w:eastAsia="Aptos" w:hAnsi="Times New Roman" w:cs="Times New Roman"/>
          <w:b/>
          <w:i/>
          <w:kern w:val="2"/>
          <w:sz w:val="21"/>
          <w:szCs w:val="20"/>
          <w:lang w:val="en-US"/>
          <w14:ligatures w14:val="standardContextual"/>
        </w:rPr>
        <w:t>Roschektaeva U.YU.</w:t>
      </w:r>
    </w:p>
    <w:p w14:paraId="7F3B1A5A" w14:textId="77777777" w:rsidR="00737306" w:rsidRPr="00877DE5" w:rsidRDefault="00737306" w:rsidP="00737306">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1"/>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Docent</w:t>
      </w:r>
    </w:p>
    <w:p w14:paraId="196EF7F7"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512B8F94" w14:textId="77777777" w:rsidR="00737306" w:rsidRPr="00877DE5" w:rsidRDefault="00737306" w:rsidP="00737306">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0F2FFA3C" w14:textId="77777777" w:rsidR="00737306" w:rsidRPr="00877DE5" w:rsidRDefault="00737306" w:rsidP="00737306">
      <w:pPr>
        <w:spacing w:after="0" w:line="240" w:lineRule="auto"/>
        <w:ind w:firstLine="709"/>
        <w:jc w:val="right"/>
        <w:rPr>
          <w:rFonts w:ascii="Times New Roman" w:eastAsia="Times New Roman" w:hAnsi="Times New Roman" w:cs="Times New Roman"/>
          <w:i/>
          <w:color w:val="0000FF"/>
          <w:sz w:val="21"/>
          <w:szCs w:val="20"/>
          <w:u w:val="single"/>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280" w:history="1">
        <w:r w:rsidRPr="00877DE5">
          <w:rPr>
            <w:rFonts w:ascii="Times New Roman" w:eastAsia="Times New Roman" w:hAnsi="Times New Roman" w:cs="Times New Roman"/>
            <w:i/>
            <w:color w:val="0000FF"/>
            <w:sz w:val="21"/>
            <w:szCs w:val="20"/>
            <w:u w:val="single"/>
            <w:lang w:val="x-none" w:eastAsia="ar-SA"/>
          </w:rPr>
          <w:t>uyuroschektaeva@fa.ru</w:t>
        </w:r>
      </w:hyperlink>
    </w:p>
    <w:p w14:paraId="3E9F7EA1" w14:textId="77777777" w:rsidR="00737306" w:rsidRPr="00877DE5" w:rsidRDefault="00737306" w:rsidP="00737306">
      <w:pPr>
        <w:spacing w:after="0" w:line="240" w:lineRule="auto"/>
        <w:ind w:firstLine="709"/>
        <w:jc w:val="center"/>
        <w:rPr>
          <w:rFonts w:ascii="Times New Roman" w:eastAsia="Times New Roman" w:hAnsi="Times New Roman" w:cs="Times New Roman"/>
          <w:b/>
          <w:bCs/>
          <w:sz w:val="21"/>
          <w:szCs w:val="24"/>
          <w:lang w:val="en-US" w:eastAsia="ru-RU"/>
        </w:rPr>
      </w:pPr>
    </w:p>
    <w:p w14:paraId="07C9AE20" w14:textId="77777777" w:rsidR="00737306" w:rsidRPr="00877DE5" w:rsidRDefault="00737306" w:rsidP="00737306">
      <w:pPr>
        <w:spacing w:after="0" w:line="240" w:lineRule="auto"/>
        <w:ind w:firstLine="709"/>
        <w:jc w:val="center"/>
        <w:rPr>
          <w:rFonts w:ascii="Times New Roman" w:eastAsia="Times New Roman" w:hAnsi="Times New Roman" w:cs="Times New Roman"/>
          <w:b/>
          <w:bCs/>
          <w:sz w:val="21"/>
          <w:szCs w:val="24"/>
          <w:lang w:val="en-US" w:eastAsia="ru-RU"/>
        </w:rPr>
      </w:pPr>
      <w:r w:rsidRPr="00877DE5">
        <w:rPr>
          <w:rFonts w:ascii="Times New Roman" w:eastAsia="Times New Roman" w:hAnsi="Times New Roman" w:cs="Times New Roman"/>
          <w:b/>
          <w:bCs/>
          <w:sz w:val="21"/>
          <w:szCs w:val="24"/>
          <w:lang w:val="en-US" w:eastAsia="ru-RU"/>
        </w:rPr>
        <w:t>Enhancing the accounting of transactions with accountable persons in the context of business digitalization</w:t>
      </w:r>
    </w:p>
    <w:p w14:paraId="5F29A79D" w14:textId="77777777" w:rsidR="00737306" w:rsidRPr="00877DE5" w:rsidRDefault="00737306" w:rsidP="00737306">
      <w:pPr>
        <w:spacing w:after="0" w:line="240" w:lineRule="auto"/>
        <w:ind w:firstLine="709"/>
        <w:jc w:val="center"/>
        <w:rPr>
          <w:rFonts w:ascii="Times New Roman" w:eastAsia="Times New Roman" w:hAnsi="Times New Roman" w:cs="Times New Roman"/>
          <w:b/>
          <w:bCs/>
          <w:sz w:val="21"/>
          <w:szCs w:val="24"/>
          <w:lang w:val="en-US" w:eastAsia="ru-RU"/>
        </w:rPr>
      </w:pPr>
    </w:p>
    <w:p w14:paraId="5C100F65" w14:textId="77777777" w:rsidR="00737306" w:rsidRPr="00877DE5" w:rsidRDefault="00737306" w:rsidP="00737306">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Abstract</w:t>
      </w:r>
      <w:r w:rsidRPr="00877DE5">
        <w:rPr>
          <w:rFonts w:ascii="Times New Roman" w:eastAsia="Times New Roman" w:hAnsi="Times New Roman" w:cs="Times New Roman"/>
          <w:sz w:val="21"/>
          <w:szCs w:val="24"/>
          <w:lang w:val="en-US" w:eastAsia="ru-RU"/>
        </w:rPr>
        <w:t xml:space="preserve">: This paper examines accounting for transactions with accountable persons in the context of business digitalization. It reviews the applicable Russian GAAP and IFRS requirements for such transactions and identifies typical accounting errors. A comparison is made of key software solutions (1C, SAP Concur, Bit.Finance, etc.) for automating accountable expenses. Using case examples (before and after implementation of digital systems), the benefits of automation – significant time savings and error reduction – are demonstrated. Recommendations are made for improving accountable-payments accounting through digital tools (mobile apps, e-documentation, and automated controls). </w:t>
      </w:r>
    </w:p>
    <w:p w14:paraId="6F2B7BF7" w14:textId="77777777" w:rsidR="00737306" w:rsidRPr="00877DE5" w:rsidRDefault="00737306" w:rsidP="00737306">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Keywords</w:t>
      </w:r>
      <w:r w:rsidRPr="00877DE5">
        <w:rPr>
          <w:rFonts w:ascii="Times New Roman" w:eastAsia="Times New Roman" w:hAnsi="Times New Roman" w:cs="Times New Roman"/>
          <w:sz w:val="21"/>
          <w:szCs w:val="24"/>
          <w:lang w:val="en-US" w:eastAsia="ru-RU"/>
        </w:rPr>
        <w:t>: accountable persons; accounting; digitalization; ERP systems; 1C; SAP Concur; IFRS.</w:t>
      </w:r>
    </w:p>
    <w:p w14:paraId="723FB09B" w14:textId="77777777" w:rsidR="00737306" w:rsidRPr="00877DE5" w:rsidRDefault="00737306" w:rsidP="00737306">
      <w:pPr>
        <w:spacing w:after="0" w:line="240" w:lineRule="auto"/>
        <w:ind w:firstLine="709"/>
        <w:jc w:val="both"/>
        <w:rPr>
          <w:rFonts w:ascii="Times New Roman" w:eastAsia="Times New Roman" w:hAnsi="Times New Roman" w:cs="Times New Roman"/>
          <w:sz w:val="21"/>
          <w:szCs w:val="24"/>
          <w:lang w:val="en-US" w:eastAsia="ru-RU"/>
        </w:rPr>
      </w:pPr>
    </w:p>
    <w:p w14:paraId="10673082"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Учет расчетов с подотчетными лицами (выдача авансов сотрудникам на хозяйственные расходы) является важной частью бухгалтерского процесса любой организации. Актуальность этой темы усиливается в связи с широким переходом российских предприятий на цифровые технологии в области финансов и автоматизацией учёта. Современные ERP-системы и облачные сервисы (такие как 1</w:t>
      </w:r>
      <w:proofErr w:type="gramStart"/>
      <w:r w:rsidRPr="00877DE5">
        <w:rPr>
          <w:rFonts w:ascii="Times New Roman" w:eastAsia="Times New Roman" w:hAnsi="Times New Roman" w:cs="Times New Roman"/>
          <w:sz w:val="32"/>
          <w:szCs w:val="32"/>
          <w:lang w:eastAsia="ru-RU"/>
        </w:rPr>
        <w:t>С:ERP</w:t>
      </w:r>
      <w:proofErr w:type="gramEnd"/>
      <w:r w:rsidRPr="00877DE5">
        <w:rPr>
          <w:rFonts w:ascii="Times New Roman" w:eastAsia="Times New Roman" w:hAnsi="Times New Roman" w:cs="Times New Roman"/>
          <w:sz w:val="32"/>
          <w:szCs w:val="32"/>
          <w:lang w:eastAsia="ru-RU"/>
        </w:rPr>
        <w:t xml:space="preserve">, SAP Concur, «БИТ.ФИНАНС» и др.) позволяют интегрировать кассовые операции, банковские платежи и отчётность сотрудников в единый цифровой поток. Так, SAP отмечает, что централизованный учёт командировочных и представительских расходов даёт «полное представление о расходах», что позволяет сокращать затраты, повышать эффективность и обеспечивать нормативное соответствие процессов [1]. </w:t>
      </w:r>
    </w:p>
    <w:p w14:paraId="61BCAAFD"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Одновременно обновляются нормативные требования: например, с 2021 года законодательство РФ обязало многие организации применять унифицированные электронные формы первичных документов. Тем не менее при внедрении новых технологий сохраняются специфические проблемы учёта подотчетных сумм. </w:t>
      </w:r>
    </w:p>
    <w:p w14:paraId="1DF89BDB"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российском бухгалтерском учёте операции по выдаче сотрудникам аванса «под отчёт» отражаются на счёте 71 «Расчеты с </w:t>
      </w:r>
      <w:r w:rsidRPr="00877DE5">
        <w:rPr>
          <w:rFonts w:ascii="Times New Roman" w:eastAsia="Times New Roman" w:hAnsi="Times New Roman" w:cs="Times New Roman"/>
          <w:sz w:val="32"/>
          <w:szCs w:val="32"/>
          <w:lang w:eastAsia="ru-RU"/>
        </w:rPr>
        <w:lastRenderedPageBreak/>
        <w:t>подотчетными лицами». Счет является активно-пассивным: по дебету на нём показывают суммы выданных авансов (корреспондируя со счетами кассы 50 или расчетного счета 51), а по кредиту – расходы, осуществлённые за счёт этих сумм (корреспондируя со счетами затрат 10, 20, 26, 91 и др.). Аналитический учёт ведётся по каждому выданному авансу. При этом законодательство требует оформления авансовых отчетов, наличия подтверждающих документов (чеки, счета, командировочные удостоверения и т.д.) и соблюдения локальных регламентов (приказов на выдачу, сроков отчётности). По Плану счетов отражается как списание средств с баланса в дебет счета 71, а при утверждении отчёта – списание 71-го счёта на соответствующие счет затрат [2,3].</w:t>
      </w:r>
      <w:r w:rsidRPr="00877DE5">
        <w:rPr>
          <w:rFonts w:ascii="Times New Roman" w:eastAsia="Aptos" w:hAnsi="Times New Roman" w:cs="Times New Roman"/>
          <w:kern w:val="2"/>
          <w:sz w:val="24"/>
          <w:szCs w:val="24"/>
          <w14:ligatures w14:val="standardContextual"/>
        </w:rPr>
        <w:t xml:space="preserve"> </w:t>
      </w:r>
      <w:bookmarkStart w:id="59" w:name="_Hlk198838279"/>
    </w:p>
    <w:bookmarkEnd w:id="59"/>
    <w:p w14:paraId="657FE245"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МСФО отдельного счета для подотчётных сумм не существует, поскольку МСФО ориентированы на принципиальный (а не формальный) подход. В соответствии с МСФО все выданные работникам средства в рассматриваемом случае классифицируются как прочие дебиторские задолженности (перед сотрудниками) и относятся к финансовым активам. При этом действует правило IAS 1/IFRS 9: такие краткосрочные займы сотрудникам изначально признаются по справедливой или номинальной стоимости, а затем – по амортизированной стоимости с оценкой возможного обесценения. Проще говоря, выданный аванс «записывается» как текущий актив (краткосрочный кредит работнику), и при риске неоплаты должна формироваться резерв под обесценение. Ключевое отличие: в РСБУ для обобщения информации специально используется счет 71, а по МСФО это отражается в составе текущей дебиторской задолженности и требованиях к оценке кредитного риска. Однако цель учёта во всех системах одна – обеспечить документальное подтверждение всех расходов, произведённых на выданные средства, и соблюдение налоговых и нормативных правил [4]. </w:t>
      </w:r>
    </w:p>
    <w:p w14:paraId="7618565E"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При традиционном (бумажном) учете расчетов с подотчетными лицами часто возникают типовые ошибки и нарушения. Из анализа проверок выявлено несколько распространенных групп проблем: неправильное оформление документов командировок и авансовых отчётов, несвоевременная отчётность сотрудников, недостоверность подтверждающих документов. Например, в бюджетных учреждениях нередки случаи возмещения расходов, которые по закону не оплачиваются (добровольное страхование пассажиров, проезд в вагонах повышенной комфортности), что является нарушением </w:t>
      </w:r>
      <w:r w:rsidRPr="00877DE5">
        <w:rPr>
          <w:rFonts w:ascii="Times New Roman" w:eastAsia="Times New Roman" w:hAnsi="Times New Roman" w:cs="Times New Roman"/>
          <w:sz w:val="32"/>
          <w:szCs w:val="32"/>
          <w:lang w:eastAsia="ru-RU"/>
        </w:rPr>
        <w:lastRenderedPageBreak/>
        <w:t>нормативов. Часто недостаёт или искажается первичная документация: сотрудники могли терять бумажные чеки, неправильно указывать суммы или сроки, а бухгалтеры – ошибаться при ручном вводе в программу. Излишние траты и нарушения порядка уменьшали налоговую базу и порождали риск доначислений. До цифровизации ошибки исправлялись трудоёмко (перепроверками и доначислениями). В отсутствие автоматических подсказок и контроля многие ситуации (например, просрочка подачи авансового отчёта или дублирование операций) выявлялись лишь при аудите. В то же время любые задержки с подотчётом блокировали выдачу новых авансов.</w:t>
      </w:r>
    </w:p>
    <w:p w14:paraId="1EB6442B"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Для повышения точности и оперативности учёта подотчетных сумм используются специализированные программные продукты. </w:t>
      </w:r>
    </w:p>
    <w:p w14:paraId="5161EE60" w14:textId="77777777" w:rsidR="00737306" w:rsidRPr="00877DE5" w:rsidRDefault="00737306" w:rsidP="00737306">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Таблица 1 - Сравнение трех популярных вариантов</w:t>
      </w:r>
    </w:p>
    <w:tbl>
      <w:tblPr>
        <w:tblStyle w:val="15"/>
        <w:tblW w:w="9634" w:type="dxa"/>
        <w:tblLook w:val="04A0" w:firstRow="1" w:lastRow="0" w:firstColumn="1" w:lastColumn="0" w:noHBand="0" w:noVBand="1"/>
      </w:tblPr>
      <w:tblGrid>
        <w:gridCol w:w="1836"/>
        <w:gridCol w:w="1591"/>
        <w:gridCol w:w="3089"/>
        <w:gridCol w:w="3118"/>
      </w:tblGrid>
      <w:tr w:rsidR="00737306" w:rsidRPr="00877DE5" w14:paraId="49D08694" w14:textId="77777777" w:rsidTr="00EB1CB9">
        <w:tc>
          <w:tcPr>
            <w:tcW w:w="1836" w:type="dxa"/>
            <w:vAlign w:val="center"/>
          </w:tcPr>
          <w:p w14:paraId="3502C107"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Программа</w:t>
            </w:r>
          </w:p>
        </w:tc>
        <w:tc>
          <w:tcPr>
            <w:tcW w:w="1591" w:type="dxa"/>
            <w:vAlign w:val="center"/>
          </w:tcPr>
          <w:p w14:paraId="45B3EF73"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Разработчик</w:t>
            </w:r>
          </w:p>
        </w:tc>
        <w:tc>
          <w:tcPr>
            <w:tcW w:w="3089" w:type="dxa"/>
            <w:vAlign w:val="center"/>
          </w:tcPr>
          <w:p w14:paraId="22F5FAAD"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Ключевые возможности</w:t>
            </w:r>
          </w:p>
        </w:tc>
        <w:tc>
          <w:tcPr>
            <w:tcW w:w="3118" w:type="dxa"/>
            <w:vAlign w:val="center"/>
          </w:tcPr>
          <w:p w14:paraId="519E87E7"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Особенности</w:t>
            </w:r>
          </w:p>
        </w:tc>
      </w:tr>
      <w:tr w:rsidR="00737306" w:rsidRPr="00877DE5" w14:paraId="5759B511" w14:textId="77777777" w:rsidTr="00EB1CB9">
        <w:tc>
          <w:tcPr>
            <w:tcW w:w="1836" w:type="dxa"/>
            <w:vAlign w:val="center"/>
          </w:tcPr>
          <w:p w14:paraId="5FC7B78D"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1С: ERP,</w:t>
            </w:r>
          </w:p>
          <w:p w14:paraId="0BD9899F"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1</w:t>
            </w:r>
            <w:proofErr w:type="gramStart"/>
            <w:r w:rsidRPr="00877DE5">
              <w:rPr>
                <w:rFonts w:ascii="Times New Roman" w:eastAsia="Times New Roman" w:hAnsi="Times New Roman" w:cs="Times New Roman"/>
                <w:lang w:eastAsia="ru-RU"/>
              </w:rPr>
              <w:t>С:Бухгалтерия</w:t>
            </w:r>
            <w:proofErr w:type="gramEnd"/>
          </w:p>
        </w:tc>
        <w:tc>
          <w:tcPr>
            <w:tcW w:w="1591" w:type="dxa"/>
            <w:vAlign w:val="center"/>
          </w:tcPr>
          <w:p w14:paraId="338153BB"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«1С»</w:t>
            </w:r>
          </w:p>
        </w:tc>
        <w:tc>
          <w:tcPr>
            <w:tcW w:w="3089" w:type="dxa"/>
            <w:vAlign w:val="center"/>
          </w:tcPr>
          <w:p w14:paraId="037604E7"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Полный учет по РСБУ (счет 71), опционально – по МСФО, интеграция с ЗУП, банком.</w:t>
            </w:r>
          </w:p>
        </w:tc>
        <w:tc>
          <w:tcPr>
            <w:tcW w:w="3118" w:type="dxa"/>
            <w:vAlign w:val="center"/>
          </w:tcPr>
          <w:p w14:paraId="61A6CED5"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Широко распространена в России, адаптирована под локальное законодательство.</w:t>
            </w:r>
          </w:p>
        </w:tc>
      </w:tr>
      <w:tr w:rsidR="00737306" w:rsidRPr="00877DE5" w14:paraId="532DF292" w14:textId="77777777" w:rsidTr="00EB1CB9">
        <w:tc>
          <w:tcPr>
            <w:tcW w:w="1836" w:type="dxa"/>
            <w:vAlign w:val="center"/>
          </w:tcPr>
          <w:p w14:paraId="27843866"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SAP Concur</w:t>
            </w:r>
          </w:p>
        </w:tc>
        <w:tc>
          <w:tcPr>
            <w:tcW w:w="1591" w:type="dxa"/>
            <w:vAlign w:val="center"/>
          </w:tcPr>
          <w:p w14:paraId="16747820"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SAP SE (глобальный)</w:t>
            </w:r>
          </w:p>
        </w:tc>
        <w:tc>
          <w:tcPr>
            <w:tcW w:w="3089" w:type="dxa"/>
            <w:vAlign w:val="center"/>
          </w:tcPr>
          <w:p w14:paraId="0D3119A7"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Мобильный сбор и учёт командировочных и других расходов, интеграция с ERP, аналитика.</w:t>
            </w:r>
          </w:p>
        </w:tc>
        <w:tc>
          <w:tcPr>
            <w:tcW w:w="3118" w:type="dxa"/>
            <w:vAlign w:val="center"/>
          </w:tcPr>
          <w:p w14:paraId="2FB1CDB9"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Облачное решение, ориентировано на крупные компании, работа с мультивалютой.</w:t>
            </w:r>
          </w:p>
        </w:tc>
      </w:tr>
      <w:tr w:rsidR="00737306" w:rsidRPr="00877DE5" w14:paraId="442D0FED" w14:textId="77777777" w:rsidTr="00EB1CB9">
        <w:tc>
          <w:tcPr>
            <w:tcW w:w="1836" w:type="dxa"/>
            <w:vAlign w:val="center"/>
          </w:tcPr>
          <w:p w14:paraId="24BFA601"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БИТ.ФИНАНС</w:t>
            </w:r>
          </w:p>
        </w:tc>
        <w:tc>
          <w:tcPr>
            <w:tcW w:w="1591" w:type="dxa"/>
            <w:vAlign w:val="center"/>
          </w:tcPr>
          <w:p w14:paraId="67503B78"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Группа «Первый БИТ» («1С-Бит» и др.)</w:t>
            </w:r>
          </w:p>
        </w:tc>
        <w:tc>
          <w:tcPr>
            <w:tcW w:w="3089" w:type="dxa"/>
            <w:vAlign w:val="center"/>
          </w:tcPr>
          <w:p w14:paraId="0C0652E6"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Управленческий учёт и бюджетирование, автоматизация отчётов и МСФО, модуль казначейства.</w:t>
            </w:r>
          </w:p>
        </w:tc>
        <w:tc>
          <w:tcPr>
            <w:tcW w:w="3118" w:type="dxa"/>
            <w:vAlign w:val="center"/>
          </w:tcPr>
          <w:p w14:paraId="69A6EF09"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Хорошо интегрируется с продуктами 1С, рассчитан на крупный бизнес.</w:t>
            </w:r>
          </w:p>
        </w:tc>
      </w:tr>
      <w:tr w:rsidR="00737306" w:rsidRPr="00877DE5" w14:paraId="5AE369AB" w14:textId="77777777" w:rsidTr="00EB1CB9">
        <w:tc>
          <w:tcPr>
            <w:tcW w:w="1836" w:type="dxa"/>
            <w:vAlign w:val="center"/>
          </w:tcPr>
          <w:p w14:paraId="0FC8C0E8" w14:textId="77777777" w:rsidR="00737306" w:rsidRPr="00877DE5" w:rsidRDefault="00737306" w:rsidP="00EB1CB9">
            <w:pPr>
              <w:spacing w:line="278" w:lineRule="auto"/>
              <w:jc w:val="both"/>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Другие</w:t>
            </w:r>
          </w:p>
        </w:tc>
        <w:tc>
          <w:tcPr>
            <w:tcW w:w="1591" w:type="dxa"/>
            <w:vAlign w:val="center"/>
          </w:tcPr>
          <w:p w14:paraId="239D348A"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Oracle, Microsoft, локальные стартапы</w:t>
            </w:r>
          </w:p>
        </w:tc>
        <w:tc>
          <w:tcPr>
            <w:tcW w:w="3089" w:type="dxa"/>
            <w:vAlign w:val="center"/>
          </w:tcPr>
          <w:p w14:paraId="60F544B5"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Разнообразно: учёт по счетам 71, мобильные приложения, CRM-интеграции и т.д.</w:t>
            </w:r>
          </w:p>
        </w:tc>
        <w:tc>
          <w:tcPr>
            <w:tcW w:w="3118" w:type="dxa"/>
            <w:vAlign w:val="center"/>
          </w:tcPr>
          <w:p w14:paraId="3C59C4E5" w14:textId="77777777" w:rsidR="00737306" w:rsidRPr="00877DE5" w:rsidRDefault="00737306" w:rsidP="00EB1CB9">
            <w:pPr>
              <w:spacing w:line="278" w:lineRule="auto"/>
              <w:jc w:val="center"/>
              <w:rPr>
                <w:rFonts w:ascii="Times New Roman" w:eastAsia="Times New Roman" w:hAnsi="Times New Roman" w:cs="Times New Roman"/>
                <w:lang w:eastAsia="ru-RU"/>
              </w:rPr>
            </w:pPr>
            <w:r w:rsidRPr="00877DE5">
              <w:rPr>
                <w:rFonts w:ascii="Times New Roman" w:eastAsia="Times New Roman" w:hAnsi="Times New Roman" w:cs="Times New Roman"/>
                <w:lang w:eastAsia="ru-RU"/>
              </w:rPr>
              <w:t>Имеются решения для отдельных задач (например, мобильный учёт расходов).</w:t>
            </w:r>
          </w:p>
        </w:tc>
      </w:tr>
    </w:tbl>
    <w:p w14:paraId="6159B536" w14:textId="77777777" w:rsidR="00737306" w:rsidRPr="00877DE5" w:rsidRDefault="00737306" w:rsidP="00737306">
      <w:pPr>
        <w:spacing w:after="0" w:line="240" w:lineRule="auto"/>
        <w:ind w:firstLine="708"/>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После внедрения таких систем бухгалтерия получает инструменты автоматизированного контроля: система сама распределяет проводки по счетам, проверяет сроки подачи отчётов и соответствие расходов бюджетным лимитам. Например, использование облачного модуля «Подотчет» позволяет сотрудникам загружать чеки сразу после покупки, не собирая бумажные квитанции. Подобные решения часто готовы «из коробки» содержать списки требований (кто уполномочен получать аванс, на какие цели), что уменьшает ошибки [5]. </w:t>
      </w:r>
    </w:p>
    <w:p w14:paraId="4989CEA1"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Рассмотрим типичные сценарии работы «до» и «после» автоматизации:</w:t>
      </w:r>
    </w:p>
    <w:p w14:paraId="46C8D38D" w14:textId="77777777" w:rsidR="00737306" w:rsidRPr="00877DE5" w:rsidRDefault="00737306" w:rsidP="00AD58CD">
      <w:pPr>
        <w:numPr>
          <w:ilvl w:val="0"/>
          <w:numId w:val="23"/>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кейс 1 (до внедрения): сотруднику выдаётся наличный аванс, он вручную собирает все бумажные чеки и через несколько недель сдаёт авансовый отчет бухгалтеру. Если чеки утеряны или оформлены с ошибками, отчёт может не пройти проверку, и выдача нового аванса задерживается. Все операции приходится проверять вручную в 1</w:t>
      </w:r>
      <w:proofErr w:type="gramStart"/>
      <w:r w:rsidRPr="00877DE5">
        <w:rPr>
          <w:rFonts w:ascii="Times New Roman" w:eastAsia="Times New Roman" w:hAnsi="Times New Roman" w:cs="Times New Roman"/>
          <w:sz w:val="32"/>
          <w:szCs w:val="32"/>
          <w:lang w:eastAsia="ru-RU"/>
        </w:rPr>
        <w:t>С:кассовом</w:t>
      </w:r>
      <w:proofErr w:type="gramEnd"/>
      <w:r w:rsidRPr="00877DE5">
        <w:rPr>
          <w:rFonts w:ascii="Times New Roman" w:eastAsia="Times New Roman" w:hAnsi="Times New Roman" w:cs="Times New Roman"/>
          <w:sz w:val="32"/>
          <w:szCs w:val="32"/>
          <w:lang w:eastAsia="ru-RU"/>
        </w:rPr>
        <w:t xml:space="preserve"> учёте и бухгалтерии. В таких условиях ошибочный ввод сумм или утрата документа приводят к дополнительным процедурам поиска и исправления;</w:t>
      </w:r>
    </w:p>
    <w:p w14:paraId="216892A1" w14:textId="77777777" w:rsidR="00737306" w:rsidRPr="00877DE5" w:rsidRDefault="00737306" w:rsidP="00AD58CD">
      <w:pPr>
        <w:numPr>
          <w:ilvl w:val="0"/>
          <w:numId w:val="23"/>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кейс 2 (после внедрения цифровых инструментов): та же организация вводит модуль учёта подотчетных сумм (например, в системе 1С или облачном Aspro.Cloud). Сотрудник фотографирует чеки в мобильном приложении сразу после покупки, и они автоматически сохраняются в системе. Бухгалтеру доступен электронный авансовый отчёт: все прикреплённые документы уже отсканированы и пронумерованы. Система сама подсчитывает сумму расходов и проверяет правила (например, лимиты командировочных). Благодаря этому время обработки отчёта резко сокращается;</w:t>
      </w:r>
    </w:p>
    <w:p w14:paraId="43CDEC20" w14:textId="77777777" w:rsidR="00737306" w:rsidRPr="00877DE5" w:rsidRDefault="00737306" w:rsidP="00AD58CD">
      <w:pPr>
        <w:numPr>
          <w:ilvl w:val="0"/>
          <w:numId w:val="23"/>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кейс 3 (международный опыт автоматизации): крупные компании успешно используют специализированные системы: так, корпорация Uber после внедрения SAP Concur сэкономила около 5000 человеко-часов в год и значительно сократила число ошибок в отчётах. Фабрика KUKA сообщила, что ввод затрат ускорился в 7 раз благодаря автоматическому заполнению форм. Стандартная Chartered Bank перевёл свою политику расходов из 67 страниц на 2 благодаря цифровому учёту. Примеры наглядно демонстрируют, что автоматизация позволяет «выжать» эффективность из процессов учёта подотчетных средств.</w:t>
      </w:r>
    </w:p>
    <w:p w14:paraId="4DE865F6"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Исходя из анализа, можно предложить следующие меры для улучшения учета подотчетных сумм в цифровом формате:</w:t>
      </w:r>
    </w:p>
    <w:p w14:paraId="679C5C24" w14:textId="77777777" w:rsidR="00737306" w:rsidRPr="00877DE5" w:rsidRDefault="00737306" w:rsidP="00AD58CD">
      <w:pPr>
        <w:numPr>
          <w:ilvl w:val="0"/>
          <w:numId w:val="24"/>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Интегрировать в ERP-систему функционал учёта подотчёта (например, 1</w:t>
      </w:r>
      <w:proofErr w:type="gramStart"/>
      <w:r w:rsidRPr="00877DE5">
        <w:rPr>
          <w:rFonts w:ascii="Times New Roman" w:eastAsia="Times New Roman" w:hAnsi="Times New Roman" w:cs="Times New Roman"/>
          <w:sz w:val="32"/>
          <w:szCs w:val="32"/>
          <w:lang w:eastAsia="ru-RU"/>
        </w:rPr>
        <w:t>С:ERP</w:t>
      </w:r>
      <w:proofErr w:type="gramEnd"/>
      <w:r w:rsidRPr="00877DE5">
        <w:rPr>
          <w:rFonts w:ascii="Times New Roman" w:eastAsia="Times New Roman" w:hAnsi="Times New Roman" w:cs="Times New Roman"/>
          <w:sz w:val="32"/>
          <w:szCs w:val="32"/>
          <w:lang w:eastAsia="ru-RU"/>
        </w:rPr>
        <w:t xml:space="preserve"> или SAP Concur), чтобы все операции и отчёты велись в едином пространстве. Автоматизация формирования авансовых отчётов и проверки чеков сразу устраняет большую часть ошибок ручного ввода;</w:t>
      </w:r>
    </w:p>
    <w:p w14:paraId="7487BFBF" w14:textId="77777777" w:rsidR="00737306" w:rsidRPr="00877DE5" w:rsidRDefault="00737306" w:rsidP="00AD58CD">
      <w:pPr>
        <w:numPr>
          <w:ilvl w:val="0"/>
          <w:numId w:val="24"/>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Перейти на цифровые формы подтверждающих документов (электронные чеки, сканы квитанций) и унифицированные онлайн-отчёты. Это предотвращает потерю бумаг и ускоряет обработку: </w:t>
      </w:r>
      <w:r w:rsidRPr="00877DE5">
        <w:rPr>
          <w:rFonts w:ascii="Times New Roman" w:eastAsia="Times New Roman" w:hAnsi="Times New Roman" w:cs="Times New Roman"/>
          <w:sz w:val="32"/>
          <w:szCs w:val="32"/>
          <w:lang w:eastAsia="ru-RU"/>
        </w:rPr>
        <w:lastRenderedPageBreak/>
        <w:t>теперь сотрудник просто прикрепляет электронную копию, а бухгалтер видит всё в программе;</w:t>
      </w:r>
    </w:p>
    <w:p w14:paraId="16D3E718" w14:textId="77777777" w:rsidR="00737306" w:rsidRPr="00877DE5" w:rsidRDefault="00737306" w:rsidP="00AD58CD">
      <w:pPr>
        <w:numPr>
          <w:ilvl w:val="0"/>
          <w:numId w:val="24"/>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Настроить систему так, чтобы она автоматически отслеживала соблюдение внутренних регламентов: своевременную сдачу отчётов, соответствие расходов установленным нормам, лимитам и т.д. В случае отклонений система должна блокировать или помечать операцию, что упрощает контроль и снижает риск нарушений;</w:t>
      </w:r>
    </w:p>
    <w:p w14:paraId="5A553BFD" w14:textId="77777777" w:rsidR="00737306" w:rsidRPr="00877DE5" w:rsidRDefault="00737306" w:rsidP="00AD58CD">
      <w:pPr>
        <w:numPr>
          <w:ilvl w:val="0"/>
          <w:numId w:val="24"/>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Обеспечить пользователей понятными инструкциями и тренингами по новому электронному процессу. Четкий алгоритм действий (кто, когда и как формирует отчёт) вместе с программными подсказками обеспечит выполнение правил без «человеческого фактора»;</w:t>
      </w:r>
    </w:p>
    <w:p w14:paraId="12EB4290" w14:textId="77777777" w:rsidR="00737306" w:rsidRPr="00877DE5" w:rsidRDefault="00737306" w:rsidP="00AD58CD">
      <w:pPr>
        <w:numPr>
          <w:ilvl w:val="0"/>
          <w:numId w:val="24"/>
        </w:numPr>
        <w:spacing w:after="0" w:line="240" w:lineRule="auto"/>
        <w:ind w:left="0"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Использовать встроенную аналитику (консолидацию данных) для своевременного выявления аномалий: например, резких превышений затрат по статьям или накопления невозвращённых подотчётных сумм. Цифровые системы позволяют получать отчёты мгновенно и корректировать политику.</w:t>
      </w:r>
    </w:p>
    <w:p w14:paraId="66654622"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целом меры позволят реализовать преимущества цифровизации: ускорить учет операций, сократить ошибки и обеспечить прозрачность. Как показывают исследования, внедрение цифровых решений приводит к заметному экономическому эффекту – урезанию трудозатрат и количеству ошибок.</w:t>
      </w:r>
    </w:p>
    <w:p w14:paraId="56406C8D"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Современная цифровая трансформация учетных процессов диктует необходимость совершенствования учёта расчетов с подотчетными лицами. </w:t>
      </w:r>
    </w:p>
    <w:p w14:paraId="00915423" w14:textId="77777777" w:rsidR="00737306" w:rsidRPr="00877DE5" w:rsidRDefault="00737306" w:rsidP="00737306">
      <w:pPr>
        <w:spacing w:after="0" w:line="240" w:lineRule="auto"/>
        <w:ind w:firstLine="709"/>
        <w:jc w:val="both"/>
        <w:rPr>
          <w:rFonts w:ascii="Times New Roman" w:eastAsia="Times New Roman" w:hAnsi="Times New Roman" w:cs="Times New Roman"/>
          <w:sz w:val="32"/>
          <w:szCs w:val="32"/>
          <w:lang w:eastAsia="ru-RU"/>
        </w:rPr>
      </w:pPr>
    </w:p>
    <w:p w14:paraId="6255804E" w14:textId="77777777" w:rsidR="00737306" w:rsidRPr="00877DE5" w:rsidRDefault="00737306" w:rsidP="00737306">
      <w:pPr>
        <w:spacing w:after="0" w:line="240" w:lineRule="auto"/>
        <w:ind w:firstLine="709"/>
        <w:jc w:val="center"/>
        <w:rPr>
          <w:rFonts w:ascii="Times New Roman" w:eastAsia="Aptos" w:hAnsi="Times New Roman" w:cs="Times New Roman"/>
          <w:b/>
          <w:bCs/>
          <w:kern w:val="2"/>
          <w:sz w:val="21"/>
          <w:szCs w:val="20"/>
          <w14:ligatures w14:val="standardContextual"/>
        </w:rPr>
      </w:pPr>
      <w:r w:rsidRPr="00877DE5">
        <w:rPr>
          <w:rFonts w:ascii="Times New Roman" w:eastAsia="Aptos" w:hAnsi="Times New Roman" w:cs="Times New Roman"/>
          <w:b/>
          <w:bCs/>
          <w:kern w:val="2"/>
          <w:sz w:val="21"/>
          <w:szCs w:val="20"/>
          <w14:ligatures w14:val="standardContextual"/>
        </w:rPr>
        <w:t>Литература</w:t>
      </w:r>
    </w:p>
    <w:p w14:paraId="05281605" w14:textId="77777777" w:rsidR="00737306" w:rsidRPr="00877DE5" w:rsidRDefault="00737306" w:rsidP="00AD58CD">
      <w:pPr>
        <w:numPr>
          <w:ilvl w:val="0"/>
          <w:numId w:val="25"/>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Объединение процессов управления командировками, расходами и счетами для полной прозрачности и надежного контроля </w:t>
      </w:r>
      <w:r w:rsidRPr="00877DE5">
        <w:rPr>
          <w:rFonts w:ascii="Times New Roman" w:eastAsia="Aptos" w:hAnsi="Times New Roman" w:cs="Times New Roman"/>
          <w:kern w:val="2"/>
          <w:sz w:val="21"/>
          <w:szCs w:val="20"/>
          <w14:ligatures w14:val="standardContextual"/>
        </w:rPr>
        <w:t xml:space="preserve">[Электронный ресурс: </w:t>
      </w:r>
      <w:hyperlink r:id="rId281" w:history="1">
        <w:r w:rsidRPr="00877DE5">
          <w:rPr>
            <w:rFonts w:ascii="Times New Roman" w:eastAsia="Times New Roman" w:hAnsi="Times New Roman" w:cs="Times New Roman"/>
            <w:color w:val="467886"/>
            <w:sz w:val="21"/>
            <w:szCs w:val="32"/>
            <w:u w:val="single"/>
            <w:lang w:eastAsia="ru-RU"/>
          </w:rPr>
          <w:t>https://www.sap.com/central-asia-caucasus/products/financial-management/travel-and-expense-management.htm</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0"/>
          <w14:ligatures w14:val="standardContextual"/>
        </w:rPr>
        <w:t>(дата обращения 22.05.2025)];</w:t>
      </w:r>
    </w:p>
    <w:p w14:paraId="6DE1690C" w14:textId="77777777" w:rsidR="00737306" w:rsidRPr="00877DE5" w:rsidRDefault="00737306" w:rsidP="00AD58CD">
      <w:pPr>
        <w:numPr>
          <w:ilvl w:val="0"/>
          <w:numId w:val="25"/>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Подотчетные лица: кто это и как вести с ними расчеты </w:t>
      </w:r>
      <w:r w:rsidRPr="00877DE5">
        <w:rPr>
          <w:rFonts w:ascii="Times New Roman" w:eastAsia="Aptos" w:hAnsi="Times New Roman" w:cs="Times New Roman"/>
          <w:kern w:val="2"/>
          <w:sz w:val="21"/>
          <w:szCs w:val="20"/>
          <w14:ligatures w14:val="standardContextual"/>
        </w:rPr>
        <w:t xml:space="preserve">[Электронный ресурс: </w:t>
      </w:r>
      <w:hyperlink r:id="rId282" w:history="1">
        <w:r w:rsidRPr="00877DE5">
          <w:rPr>
            <w:rFonts w:ascii="Times New Roman" w:eastAsia="Times New Roman" w:hAnsi="Times New Roman" w:cs="Times New Roman"/>
            <w:color w:val="467886"/>
            <w:sz w:val="21"/>
            <w:szCs w:val="32"/>
            <w:u w:val="single"/>
            <w:lang w:val="en-US" w:eastAsia="ru-RU"/>
          </w:rPr>
          <w:t>https</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buhexpert</w:t>
        </w:r>
        <w:r w:rsidRPr="00877DE5">
          <w:rPr>
            <w:rFonts w:ascii="Times New Roman" w:eastAsia="Times New Roman" w:hAnsi="Times New Roman" w:cs="Times New Roman"/>
            <w:color w:val="467886"/>
            <w:sz w:val="21"/>
            <w:szCs w:val="32"/>
            <w:u w:val="single"/>
            <w:lang w:eastAsia="ru-RU"/>
          </w:rPr>
          <w:t>8.</w:t>
        </w:r>
        <w:r w:rsidRPr="00877DE5">
          <w:rPr>
            <w:rFonts w:ascii="Times New Roman" w:eastAsia="Times New Roman" w:hAnsi="Times New Roman" w:cs="Times New Roman"/>
            <w:color w:val="467886"/>
            <w:sz w:val="21"/>
            <w:szCs w:val="32"/>
            <w:u w:val="single"/>
            <w:lang w:val="en-US" w:eastAsia="ru-RU"/>
          </w:rPr>
          <w:t>ru</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zkn</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bu</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podotchet</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buhuchet</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podotchetnye</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litsa</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kto</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eto</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i</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kak</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vesti</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s</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nimi</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raschety</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html</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0"/>
          <w14:ligatures w14:val="standardContextual"/>
        </w:rPr>
        <w:t>(дата обращения 22.05.2025)];</w:t>
      </w:r>
    </w:p>
    <w:p w14:paraId="7B87EA24" w14:textId="77777777" w:rsidR="00737306" w:rsidRPr="00877DE5" w:rsidRDefault="00737306" w:rsidP="00AD58CD">
      <w:pPr>
        <w:numPr>
          <w:ilvl w:val="0"/>
          <w:numId w:val="25"/>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Типовые ошибки, допускаемые при расчетах с подотчетными лицами </w:t>
      </w:r>
      <w:r w:rsidRPr="00877DE5">
        <w:rPr>
          <w:rFonts w:ascii="Times New Roman" w:eastAsia="Aptos" w:hAnsi="Times New Roman" w:cs="Times New Roman"/>
          <w:kern w:val="2"/>
          <w:sz w:val="21"/>
          <w:szCs w:val="20"/>
          <w14:ligatures w14:val="standardContextual"/>
        </w:rPr>
        <w:t xml:space="preserve">[Электронный ресурс: </w:t>
      </w:r>
      <w:r w:rsidRPr="00877DE5">
        <w:rPr>
          <w:rFonts w:ascii="Times New Roman" w:eastAsia="Times New Roman" w:hAnsi="Times New Roman" w:cs="Times New Roman"/>
          <w:sz w:val="21"/>
          <w:szCs w:val="32"/>
          <w:lang w:eastAsia="ru-RU"/>
        </w:rPr>
        <w:t xml:space="preserve"> </w:t>
      </w:r>
      <w:hyperlink r:id="rId283" w:history="1">
        <w:r w:rsidRPr="00877DE5">
          <w:rPr>
            <w:rFonts w:ascii="Times New Roman" w:eastAsia="Times New Roman" w:hAnsi="Times New Roman" w:cs="Times New Roman"/>
            <w:color w:val="467886"/>
            <w:sz w:val="21"/>
            <w:szCs w:val="32"/>
            <w:u w:val="single"/>
            <w:lang w:eastAsia="ru-RU"/>
          </w:rPr>
          <w:t>https://www.tochkai.ru/article/2179</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0"/>
          <w14:ligatures w14:val="standardContextual"/>
        </w:rPr>
        <w:t>(дата обращения 22.05.2025)];</w:t>
      </w:r>
    </w:p>
    <w:p w14:paraId="282E5FCA" w14:textId="77777777" w:rsidR="00737306" w:rsidRPr="00877DE5" w:rsidRDefault="00737306" w:rsidP="00AD58CD">
      <w:pPr>
        <w:numPr>
          <w:ilvl w:val="0"/>
          <w:numId w:val="25"/>
        </w:numPr>
        <w:spacing w:after="0" w:line="240" w:lineRule="auto"/>
        <w:ind w:left="0" w:firstLine="0"/>
        <w:contextualSpacing/>
        <w:jc w:val="both"/>
        <w:rPr>
          <w:rFonts w:ascii="Times New Roman" w:eastAsia="Times New Roman" w:hAnsi="Times New Roman" w:cs="Times New Roman"/>
          <w:sz w:val="21"/>
          <w:szCs w:val="32"/>
          <w:lang w:val="en-US" w:eastAsia="ru-RU"/>
        </w:rPr>
      </w:pPr>
      <w:r w:rsidRPr="00877DE5">
        <w:rPr>
          <w:rFonts w:ascii="Times New Roman" w:eastAsia="Times New Roman" w:hAnsi="Times New Roman" w:cs="Times New Roman"/>
          <w:sz w:val="21"/>
          <w:szCs w:val="32"/>
          <w:lang w:val="en-US" w:eastAsia="ru-RU"/>
        </w:rPr>
        <w:t xml:space="preserve">How to record an advance to an employee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Электронный</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ресурс</w:t>
      </w:r>
      <w:r w:rsidRPr="00877DE5">
        <w:rPr>
          <w:rFonts w:ascii="Times New Roman" w:eastAsia="Aptos" w:hAnsi="Times New Roman" w:cs="Times New Roman"/>
          <w:kern w:val="2"/>
          <w:sz w:val="21"/>
          <w:szCs w:val="20"/>
          <w:lang w:val="en-US"/>
          <w14:ligatures w14:val="standardContextual"/>
        </w:rPr>
        <w:t xml:space="preserve">: </w:t>
      </w:r>
      <w:hyperlink r:id="rId284" w:history="1">
        <w:r w:rsidRPr="00877DE5">
          <w:rPr>
            <w:rFonts w:ascii="Times New Roman" w:eastAsia="Times New Roman" w:hAnsi="Times New Roman" w:cs="Times New Roman"/>
            <w:color w:val="467886"/>
            <w:sz w:val="21"/>
            <w:szCs w:val="32"/>
            <w:u w:val="single"/>
            <w:lang w:val="en-US" w:eastAsia="ru-RU"/>
          </w:rPr>
          <w:t>https://www.accountingtools.com/articles/how-do-i-record-an-advance-to-an-employee.html</w:t>
        </w:r>
      </w:hyperlink>
      <w:r w:rsidRPr="00877DE5">
        <w:rPr>
          <w:rFonts w:ascii="Times New Roman" w:eastAsia="Times New Roman" w:hAnsi="Times New Roman" w:cs="Times New Roman"/>
          <w:sz w:val="21"/>
          <w:szCs w:val="32"/>
          <w:lang w:val="en-US" w:eastAsia="ru-RU"/>
        </w:rPr>
        <w:t xml:space="preserve"> </w:t>
      </w:r>
      <w:r w:rsidRPr="00877DE5">
        <w:rPr>
          <w:rFonts w:ascii="Times New Roman" w:eastAsia="Aptos" w:hAnsi="Times New Roman" w:cs="Times New Roman"/>
          <w:kern w:val="2"/>
          <w:sz w:val="21"/>
          <w:szCs w:val="20"/>
          <w:lang w:val="en-US"/>
          <w14:ligatures w14:val="standardContextual"/>
        </w:rPr>
        <w:t>(</w:t>
      </w:r>
      <w:r w:rsidRPr="00877DE5">
        <w:rPr>
          <w:rFonts w:ascii="Times New Roman" w:eastAsia="Aptos" w:hAnsi="Times New Roman" w:cs="Times New Roman"/>
          <w:kern w:val="2"/>
          <w:sz w:val="21"/>
          <w:szCs w:val="20"/>
          <w14:ligatures w14:val="standardContextual"/>
        </w:rPr>
        <w:t>дата</w:t>
      </w:r>
      <w:r w:rsidRPr="00877DE5">
        <w:rPr>
          <w:rFonts w:ascii="Times New Roman" w:eastAsia="Aptos" w:hAnsi="Times New Roman" w:cs="Times New Roman"/>
          <w:kern w:val="2"/>
          <w:sz w:val="21"/>
          <w:szCs w:val="20"/>
          <w:lang w:val="en-US"/>
          <w14:ligatures w14:val="standardContextual"/>
        </w:rPr>
        <w:t xml:space="preserve"> </w:t>
      </w:r>
      <w:r w:rsidRPr="00877DE5">
        <w:rPr>
          <w:rFonts w:ascii="Times New Roman" w:eastAsia="Aptos" w:hAnsi="Times New Roman" w:cs="Times New Roman"/>
          <w:kern w:val="2"/>
          <w:sz w:val="21"/>
          <w:szCs w:val="20"/>
          <w14:ligatures w14:val="standardContextual"/>
        </w:rPr>
        <w:t>обращения</w:t>
      </w:r>
      <w:r w:rsidRPr="00877DE5">
        <w:rPr>
          <w:rFonts w:ascii="Times New Roman" w:eastAsia="Aptos" w:hAnsi="Times New Roman" w:cs="Times New Roman"/>
          <w:kern w:val="2"/>
          <w:sz w:val="21"/>
          <w:szCs w:val="20"/>
          <w:lang w:val="en-US"/>
          <w14:ligatures w14:val="standardContextual"/>
        </w:rPr>
        <w:t xml:space="preserve"> 22.05.2025)];</w:t>
      </w:r>
    </w:p>
    <w:p w14:paraId="161D93D7" w14:textId="77777777" w:rsidR="00737306" w:rsidRPr="00877DE5" w:rsidRDefault="00737306" w:rsidP="00AD58CD">
      <w:pPr>
        <w:numPr>
          <w:ilvl w:val="0"/>
          <w:numId w:val="25"/>
        </w:numPr>
        <w:spacing w:after="0" w:line="240" w:lineRule="auto"/>
        <w:ind w:left="0" w:firstLine="0"/>
        <w:contextualSpacing/>
        <w:jc w:val="both"/>
        <w:rPr>
          <w:rFonts w:ascii="Times New Roman" w:eastAsia="Times New Roman" w:hAnsi="Times New Roman" w:cs="Times New Roman"/>
          <w:sz w:val="21"/>
          <w:szCs w:val="32"/>
          <w:lang w:eastAsia="ru-RU"/>
        </w:rPr>
      </w:pPr>
      <w:r w:rsidRPr="00877DE5">
        <w:rPr>
          <w:rFonts w:ascii="Times New Roman" w:eastAsia="Times New Roman" w:hAnsi="Times New Roman" w:cs="Times New Roman"/>
          <w:sz w:val="21"/>
          <w:szCs w:val="32"/>
          <w:lang w:eastAsia="ru-RU"/>
        </w:rPr>
        <w:t xml:space="preserve">Топ 10: Программы и сервисы для учета расходов </w:t>
      </w:r>
      <w:r w:rsidRPr="00877DE5">
        <w:rPr>
          <w:rFonts w:ascii="Times New Roman" w:eastAsia="Aptos" w:hAnsi="Times New Roman" w:cs="Times New Roman"/>
          <w:kern w:val="2"/>
          <w:sz w:val="21"/>
          <w:szCs w:val="20"/>
          <w14:ligatures w14:val="standardContextual"/>
        </w:rPr>
        <w:t xml:space="preserve">[Электронный ресурс: </w:t>
      </w:r>
      <w:hyperlink r:id="rId285" w:history="1">
        <w:r w:rsidRPr="00877DE5">
          <w:rPr>
            <w:rFonts w:ascii="Times New Roman" w:eastAsia="Times New Roman" w:hAnsi="Times New Roman" w:cs="Times New Roman"/>
            <w:color w:val="467886"/>
            <w:sz w:val="21"/>
            <w:szCs w:val="32"/>
            <w:u w:val="single"/>
            <w:lang w:val="en-US" w:eastAsia="ru-RU"/>
          </w:rPr>
          <w:t>https</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www</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clouderp</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ru</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tags</w:t>
        </w:r>
        <w:r w:rsidRPr="00877DE5">
          <w:rPr>
            <w:rFonts w:ascii="Times New Roman" w:eastAsia="Times New Roman" w:hAnsi="Times New Roman" w:cs="Times New Roman"/>
            <w:color w:val="467886"/>
            <w:sz w:val="21"/>
            <w:szCs w:val="32"/>
            <w:u w:val="single"/>
            <w:lang w:eastAsia="ru-RU"/>
          </w:rPr>
          <w:t>/</w:t>
        </w:r>
        <w:r w:rsidRPr="00877DE5">
          <w:rPr>
            <w:rFonts w:ascii="Times New Roman" w:eastAsia="Times New Roman" w:hAnsi="Times New Roman" w:cs="Times New Roman"/>
            <w:color w:val="467886"/>
            <w:sz w:val="21"/>
            <w:szCs w:val="32"/>
            <w:u w:val="single"/>
            <w:lang w:val="en-US" w:eastAsia="ru-RU"/>
          </w:rPr>
          <w:t>sistemy</w:t>
        </w:r>
        <w:r w:rsidRPr="00877DE5">
          <w:rPr>
            <w:rFonts w:ascii="Times New Roman" w:eastAsia="Times New Roman" w:hAnsi="Times New Roman" w:cs="Times New Roman"/>
            <w:color w:val="467886"/>
            <w:sz w:val="21"/>
            <w:szCs w:val="32"/>
            <w:u w:val="single"/>
            <w:lang w:eastAsia="ru-RU"/>
          </w:rPr>
          <w:t>_</w:t>
        </w:r>
        <w:r w:rsidRPr="00877DE5">
          <w:rPr>
            <w:rFonts w:ascii="Times New Roman" w:eastAsia="Times New Roman" w:hAnsi="Times New Roman" w:cs="Times New Roman"/>
            <w:color w:val="467886"/>
            <w:sz w:val="21"/>
            <w:szCs w:val="32"/>
            <w:u w:val="single"/>
            <w:lang w:val="en-US" w:eastAsia="ru-RU"/>
          </w:rPr>
          <w:t>ucheta</w:t>
        </w:r>
        <w:r w:rsidRPr="00877DE5">
          <w:rPr>
            <w:rFonts w:ascii="Times New Roman" w:eastAsia="Times New Roman" w:hAnsi="Times New Roman" w:cs="Times New Roman"/>
            <w:color w:val="467886"/>
            <w:sz w:val="21"/>
            <w:szCs w:val="32"/>
            <w:u w:val="single"/>
            <w:lang w:eastAsia="ru-RU"/>
          </w:rPr>
          <w:t>_</w:t>
        </w:r>
        <w:r w:rsidRPr="00877DE5">
          <w:rPr>
            <w:rFonts w:ascii="Times New Roman" w:eastAsia="Times New Roman" w:hAnsi="Times New Roman" w:cs="Times New Roman"/>
            <w:color w:val="467886"/>
            <w:sz w:val="21"/>
            <w:szCs w:val="32"/>
            <w:u w:val="single"/>
            <w:lang w:val="en-US" w:eastAsia="ru-RU"/>
          </w:rPr>
          <w:t>raskhodov</w:t>
        </w:r>
        <w:r w:rsidRPr="00877DE5">
          <w:rPr>
            <w:rFonts w:ascii="Times New Roman" w:eastAsia="Times New Roman" w:hAnsi="Times New Roman" w:cs="Times New Roman"/>
            <w:color w:val="467886"/>
            <w:sz w:val="21"/>
            <w:szCs w:val="32"/>
            <w:u w:val="single"/>
            <w:lang w:eastAsia="ru-RU"/>
          </w:rPr>
          <w:t>/</w:t>
        </w:r>
      </w:hyperlink>
      <w:r w:rsidRPr="00877DE5">
        <w:rPr>
          <w:rFonts w:ascii="Times New Roman" w:eastAsia="Times New Roman" w:hAnsi="Times New Roman" w:cs="Times New Roman"/>
          <w:sz w:val="21"/>
          <w:szCs w:val="32"/>
          <w:lang w:eastAsia="ru-RU"/>
        </w:rPr>
        <w:t xml:space="preserve"> </w:t>
      </w:r>
      <w:r w:rsidRPr="00877DE5">
        <w:rPr>
          <w:rFonts w:ascii="Times New Roman" w:eastAsia="Aptos" w:hAnsi="Times New Roman" w:cs="Times New Roman"/>
          <w:kern w:val="2"/>
          <w:sz w:val="21"/>
          <w:szCs w:val="20"/>
          <w14:ligatures w14:val="standardContextual"/>
        </w:rPr>
        <w:t>(дата обращения 22.05.2025)].</w:t>
      </w:r>
    </w:p>
    <w:p w14:paraId="07BD4F37" w14:textId="77777777" w:rsidR="00737306" w:rsidRPr="00877DE5" w:rsidRDefault="00737306" w:rsidP="00737306">
      <w:pPr>
        <w:spacing w:after="0" w:line="240" w:lineRule="auto"/>
        <w:ind w:left="1069" w:firstLine="709"/>
        <w:jc w:val="center"/>
        <w:rPr>
          <w:rFonts w:ascii="Times New Roman" w:eastAsia="Times New Roman" w:hAnsi="Times New Roman" w:cs="Times New Roman"/>
          <w:b/>
          <w:bCs/>
          <w:sz w:val="21"/>
          <w:szCs w:val="32"/>
          <w:lang w:eastAsia="ru-RU"/>
        </w:rPr>
      </w:pPr>
    </w:p>
    <w:p w14:paraId="0D98A2D4" w14:textId="77777777" w:rsidR="0025481B" w:rsidRDefault="0025481B" w:rsidP="00067100">
      <w:pPr>
        <w:suppressAutoHyphens/>
        <w:spacing w:after="0" w:line="240" w:lineRule="auto"/>
        <w:ind w:firstLine="709"/>
        <w:rPr>
          <w:rFonts w:ascii="Times New Roman" w:eastAsia="Times New Roman" w:hAnsi="Times New Roman" w:cs="Times New Roman"/>
          <w:b/>
          <w:iCs/>
          <w:color w:val="000000"/>
          <w:sz w:val="21"/>
          <w:szCs w:val="21"/>
          <w:lang w:eastAsia="ar-SA"/>
        </w:rPr>
      </w:pPr>
    </w:p>
    <w:p w14:paraId="3A1C2E09" w14:textId="63995D2E" w:rsidR="00877DE5" w:rsidRPr="00877DE5" w:rsidRDefault="00877DE5" w:rsidP="0025481B">
      <w:pPr>
        <w:suppressAutoHyphens/>
        <w:spacing w:after="0" w:line="240" w:lineRule="auto"/>
        <w:rPr>
          <w:rFonts w:ascii="Times New Roman" w:eastAsia="Times New Roman" w:hAnsi="Times New Roman" w:cs="Times New Roman"/>
          <w:b/>
          <w:iCs/>
          <w:color w:val="000000"/>
          <w:sz w:val="21"/>
          <w:szCs w:val="21"/>
          <w:lang w:eastAsia="ar-SA"/>
        </w:rPr>
      </w:pPr>
      <w:r w:rsidRPr="00877DE5">
        <w:rPr>
          <w:rFonts w:ascii="Times New Roman" w:eastAsia="Times New Roman" w:hAnsi="Times New Roman" w:cs="Times New Roman"/>
          <w:b/>
          <w:iCs/>
          <w:color w:val="000000"/>
          <w:sz w:val="21"/>
          <w:szCs w:val="21"/>
          <w:lang w:eastAsia="ar-SA"/>
        </w:rPr>
        <w:t>УДК 336.763</w:t>
      </w:r>
    </w:p>
    <w:p w14:paraId="661EF3AC" w14:textId="77777777" w:rsidR="00877DE5" w:rsidRPr="00877DE5" w:rsidRDefault="006B21EF"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Pr>
          <w:rFonts w:ascii="Times New Roman" w:eastAsia="Times New Roman" w:hAnsi="Times New Roman" w:cs="Times New Roman"/>
          <w:b/>
          <w:i/>
          <w:color w:val="000000"/>
          <w:sz w:val="20"/>
          <w:szCs w:val="21"/>
          <w:lang w:eastAsia="ar-SA"/>
        </w:rPr>
        <w:t>Фатьянова А. Г</w:t>
      </w:r>
      <w:r w:rsidR="00877DE5" w:rsidRPr="00877DE5">
        <w:rPr>
          <w:rFonts w:ascii="Times New Roman" w:eastAsia="Times New Roman" w:hAnsi="Times New Roman" w:cs="Times New Roman"/>
          <w:b/>
          <w:i/>
          <w:color w:val="000000"/>
          <w:sz w:val="20"/>
          <w:szCs w:val="21"/>
          <w:lang w:eastAsia="ar-SA"/>
        </w:rPr>
        <w:t>.</w:t>
      </w:r>
      <w:r w:rsidR="00877DE5" w:rsidRPr="00877DE5">
        <w:rPr>
          <w:rFonts w:ascii="Times New Roman" w:eastAsia="Times New Roman" w:hAnsi="Times New Roman" w:cs="Times New Roman"/>
          <w:b/>
          <w:i/>
          <w:color w:val="000000"/>
          <w:sz w:val="21"/>
          <w:szCs w:val="21"/>
          <w:lang w:eastAsia="ar-SA"/>
        </w:rPr>
        <w:t xml:space="preserve">, </w:t>
      </w:r>
    </w:p>
    <w:p w14:paraId="4C770D9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студент 1 курса</w:t>
      </w:r>
    </w:p>
    <w:p w14:paraId="0E520ABE"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iCs/>
          <w:color w:val="000000"/>
          <w:sz w:val="21"/>
          <w:szCs w:val="21"/>
          <w:lang w:eastAsia="ar-SA"/>
        </w:rPr>
      </w:pPr>
      <w:r w:rsidRPr="009E3E32">
        <w:rPr>
          <w:rFonts w:ascii="Times New Roman" w:eastAsia="Times New Roman" w:hAnsi="Times New Roman" w:cs="Times New Roman"/>
          <w:i/>
          <w:iCs/>
          <w:sz w:val="21"/>
          <w:szCs w:val="21"/>
          <w:lang w:eastAsia="ar-SA"/>
        </w:rPr>
        <w:t>Краснодарский филиал ФГБОУ ВО Финансового университета при Правительстве РФ</w:t>
      </w:r>
      <w:r w:rsidRPr="00877DE5">
        <w:rPr>
          <w:rFonts w:ascii="Times New Roman" w:eastAsia="Times New Roman" w:hAnsi="Times New Roman" w:cs="Times New Roman"/>
          <w:i/>
          <w:iCs/>
          <w:color w:val="000000"/>
          <w:sz w:val="21"/>
          <w:szCs w:val="21"/>
          <w:lang w:eastAsia="ar-SA"/>
        </w:rPr>
        <w:t xml:space="preserve"> </w:t>
      </w:r>
    </w:p>
    <w:p w14:paraId="7C72D22B"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lastRenderedPageBreak/>
        <w:t>г. Краснодар, Россия</w:t>
      </w:r>
    </w:p>
    <w:p w14:paraId="5BF5AFD5"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r w:rsidRPr="00877DE5">
        <w:rPr>
          <w:rFonts w:ascii="Times New Roman" w:eastAsia="Aptos" w:hAnsi="Times New Roman" w:cs="Times New Roman"/>
          <w:i/>
          <w:kern w:val="2"/>
          <w:sz w:val="21"/>
          <w:szCs w:val="21"/>
          <w14:ligatures w14:val="standardContextual"/>
        </w:rPr>
        <w:t>е-</w:t>
      </w:r>
      <w:r w:rsidRPr="00877DE5">
        <w:rPr>
          <w:rFonts w:ascii="Times New Roman" w:eastAsia="Aptos" w:hAnsi="Times New Roman" w:cs="Times New Roman"/>
          <w:i/>
          <w:kern w:val="2"/>
          <w:sz w:val="21"/>
          <w:szCs w:val="21"/>
          <w:lang w:val="en-US"/>
          <w14:ligatures w14:val="standardContextual"/>
        </w:rPr>
        <w:t>mail</w:t>
      </w:r>
      <w:r w:rsidRPr="00877DE5">
        <w:rPr>
          <w:rFonts w:ascii="Times New Roman" w:eastAsia="Aptos" w:hAnsi="Times New Roman" w:cs="Times New Roman"/>
          <w:i/>
          <w:kern w:val="2"/>
          <w:sz w:val="21"/>
          <w:szCs w:val="21"/>
          <w14:ligatures w14:val="standardContextual"/>
        </w:rPr>
        <w:t xml:space="preserve">: </w:t>
      </w:r>
      <w:r w:rsidRPr="00877DE5">
        <w:rPr>
          <w:rFonts w:ascii="Times New Roman" w:eastAsia="Aptos" w:hAnsi="Times New Roman" w:cs="Times New Roman"/>
          <w:i/>
          <w:kern w:val="2"/>
          <w:sz w:val="21"/>
          <w:szCs w:val="21"/>
          <w:lang w:val="en-US"/>
          <w14:ligatures w14:val="standardContextual"/>
        </w:rPr>
        <w:t>hitraabestia</w:t>
      </w:r>
      <w:r w:rsidRPr="00877DE5">
        <w:rPr>
          <w:rFonts w:ascii="Times New Roman" w:eastAsia="Aptos" w:hAnsi="Times New Roman" w:cs="Times New Roman"/>
          <w:i/>
          <w:kern w:val="2"/>
          <w:sz w:val="21"/>
          <w:szCs w:val="21"/>
          <w14:ligatures w14:val="standardContextual"/>
        </w:rPr>
        <w:t>@</w:t>
      </w:r>
      <w:r w:rsidRPr="00877DE5">
        <w:rPr>
          <w:rFonts w:ascii="Times New Roman" w:eastAsia="Aptos" w:hAnsi="Times New Roman" w:cs="Times New Roman"/>
          <w:i/>
          <w:kern w:val="2"/>
          <w:sz w:val="21"/>
          <w:szCs w:val="21"/>
          <w:lang w:val="en-US"/>
          <w14:ligatures w14:val="standardContextual"/>
        </w:rPr>
        <w:t>gmail</w:t>
      </w:r>
      <w:r w:rsidRPr="00877DE5">
        <w:rPr>
          <w:rFonts w:ascii="Times New Roman" w:eastAsia="Aptos" w:hAnsi="Times New Roman" w:cs="Times New Roman"/>
          <w:i/>
          <w:kern w:val="2"/>
          <w:sz w:val="21"/>
          <w:szCs w:val="21"/>
          <w14:ligatures w14:val="standardContextual"/>
        </w:rPr>
        <w:t>.</w:t>
      </w:r>
      <w:r w:rsidRPr="00877DE5">
        <w:rPr>
          <w:rFonts w:ascii="Times New Roman" w:eastAsia="Aptos" w:hAnsi="Times New Roman" w:cs="Times New Roman"/>
          <w:i/>
          <w:kern w:val="2"/>
          <w:sz w:val="21"/>
          <w:szCs w:val="21"/>
          <w:lang w:val="en-US"/>
          <w14:ligatures w14:val="standardContextual"/>
        </w:rPr>
        <w:t>com</w:t>
      </w:r>
    </w:p>
    <w:p w14:paraId="7B677417"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p>
    <w:p w14:paraId="4ADD7DE8"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Научный руководитель:</w:t>
      </w:r>
    </w:p>
    <w:p w14:paraId="2E340852"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Берлин С.И.,</w:t>
      </w:r>
    </w:p>
    <w:p w14:paraId="1D2FFFDE"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14:ligatures w14:val="standardContextual"/>
        </w:rPr>
      </w:pPr>
      <w:r w:rsidRPr="00877DE5">
        <w:rPr>
          <w:rFonts w:ascii="Times New Roman" w:eastAsia="Aptos" w:hAnsi="Times New Roman" w:cs="Times New Roman"/>
          <w:b/>
          <w:i/>
          <w:kern w:val="2"/>
          <w:sz w:val="21"/>
          <w:szCs w:val="21"/>
          <w14:ligatures w14:val="standardContextual"/>
        </w:rPr>
        <w:t xml:space="preserve"> </w:t>
      </w:r>
      <w:r w:rsidRPr="00877DE5">
        <w:rPr>
          <w:rFonts w:ascii="Times New Roman" w:eastAsia="Aptos" w:hAnsi="Times New Roman" w:cs="Times New Roman"/>
          <w:i/>
          <w:kern w:val="2"/>
          <w:sz w:val="21"/>
          <w:szCs w:val="21"/>
          <w14:ligatures w14:val="standardContextual"/>
        </w:rPr>
        <w:t>профессор, д.э.н.</w:t>
      </w:r>
    </w:p>
    <w:p w14:paraId="5577A57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iCs/>
          <w:color w:val="000000"/>
          <w:sz w:val="21"/>
          <w:szCs w:val="21"/>
          <w:lang w:eastAsia="ar-SA"/>
        </w:rPr>
      </w:pPr>
      <w:r w:rsidRPr="009E3E32">
        <w:rPr>
          <w:rFonts w:ascii="Times New Roman" w:eastAsia="Times New Roman" w:hAnsi="Times New Roman" w:cs="Times New Roman"/>
          <w:i/>
          <w:iCs/>
          <w:sz w:val="21"/>
          <w:szCs w:val="21"/>
          <w:lang w:eastAsia="ar-SA"/>
        </w:rPr>
        <w:t>Краснодарский филиал ФГБОУ ВО Финансового университета при Правительстве РФ</w:t>
      </w:r>
      <w:r w:rsidRPr="00877DE5">
        <w:rPr>
          <w:rFonts w:ascii="Times New Roman" w:eastAsia="Times New Roman" w:hAnsi="Times New Roman" w:cs="Times New Roman"/>
          <w:i/>
          <w:iCs/>
          <w:color w:val="000000"/>
          <w:sz w:val="21"/>
          <w:szCs w:val="21"/>
          <w:lang w:eastAsia="ar-SA"/>
        </w:rPr>
        <w:t xml:space="preserve"> </w:t>
      </w:r>
    </w:p>
    <w:p w14:paraId="6A139A73"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г. Краснодар, Россия</w:t>
      </w:r>
    </w:p>
    <w:p w14:paraId="0D190DEA" w14:textId="77777777" w:rsidR="00877DE5" w:rsidRPr="009E3E32"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mail</w:t>
      </w:r>
      <w:r w:rsidRPr="00877DE5">
        <w:rPr>
          <w:rFonts w:ascii="Times New Roman" w:eastAsia="Times New Roman" w:hAnsi="Times New Roman" w:cs="Times New Roman"/>
          <w:i/>
          <w:sz w:val="21"/>
          <w:szCs w:val="21"/>
          <w:lang w:eastAsia="ar-SA"/>
        </w:rPr>
        <w:t>:</w:t>
      </w:r>
      <w:r w:rsidRPr="00877DE5">
        <w:rPr>
          <w:rFonts w:ascii="Times New Roman" w:eastAsia="Times New Roman" w:hAnsi="Times New Roman" w:cs="Times New Roman"/>
          <w:sz w:val="24"/>
          <w:szCs w:val="24"/>
          <w:lang w:eastAsia="ar-SA"/>
        </w:rPr>
        <w:t xml:space="preserve"> </w:t>
      </w:r>
      <w:r w:rsidRPr="00877DE5">
        <w:rPr>
          <w:rFonts w:ascii="Times New Roman" w:eastAsia="Times New Roman" w:hAnsi="Times New Roman" w:cs="Times New Roman"/>
          <w:i/>
          <w:sz w:val="21"/>
          <w:szCs w:val="21"/>
          <w:lang w:val="en-US" w:eastAsia="ar-SA"/>
        </w:rPr>
        <w:t>siberlin</w:t>
      </w:r>
      <w:r w:rsidRPr="00877DE5">
        <w:rPr>
          <w:rFonts w:ascii="Times New Roman" w:eastAsia="Times New Roman" w:hAnsi="Times New Roman" w:cs="Times New Roman"/>
          <w:i/>
          <w:sz w:val="21"/>
          <w:szCs w:val="21"/>
          <w:lang w:eastAsia="ar-SA"/>
        </w:rPr>
        <w:t>@</w:t>
      </w:r>
      <w:r w:rsidRPr="00877DE5">
        <w:rPr>
          <w:rFonts w:ascii="Times New Roman" w:eastAsia="Times New Roman" w:hAnsi="Times New Roman" w:cs="Times New Roman"/>
          <w:i/>
          <w:sz w:val="21"/>
          <w:szCs w:val="21"/>
          <w:lang w:val="en-US" w:eastAsia="ar-SA"/>
        </w:rPr>
        <w:t>fa</w:t>
      </w:r>
      <w:r w:rsidRPr="00877DE5">
        <w:rPr>
          <w:rFonts w:ascii="Times New Roman" w:eastAsia="Times New Roman" w:hAnsi="Times New Roman" w:cs="Times New Roman"/>
          <w:i/>
          <w:sz w:val="21"/>
          <w:szCs w:val="21"/>
          <w:lang w:eastAsia="ar-SA"/>
        </w:rPr>
        <w:t>.</w:t>
      </w:r>
      <w:r w:rsidRPr="00877DE5">
        <w:rPr>
          <w:rFonts w:ascii="Times New Roman" w:eastAsia="Times New Roman" w:hAnsi="Times New Roman" w:cs="Times New Roman"/>
          <w:i/>
          <w:sz w:val="21"/>
          <w:szCs w:val="21"/>
          <w:lang w:val="en-US" w:eastAsia="ar-SA"/>
        </w:rPr>
        <w:t>ru</w:t>
      </w:r>
    </w:p>
    <w:p w14:paraId="15377F36"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sz w:val="21"/>
          <w:szCs w:val="21"/>
          <w:lang w:eastAsia="ar-SA"/>
        </w:rPr>
      </w:pPr>
    </w:p>
    <w:p w14:paraId="0D17ECBF"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eastAsia="ar-SA"/>
        </w:rPr>
        <w:t>Антикризисное регулирование рынка ценных бумаг</w:t>
      </w:r>
    </w:p>
    <w:p w14:paraId="69E222B7" w14:textId="77777777" w:rsidR="00877DE5" w:rsidRPr="00877DE5" w:rsidRDefault="00877DE5" w:rsidP="00067100">
      <w:pPr>
        <w:spacing w:after="0" w:line="240" w:lineRule="auto"/>
        <w:ind w:firstLine="709"/>
        <w:jc w:val="both"/>
        <w:rPr>
          <w:rFonts w:ascii="Times New Roman" w:eastAsia="Aptos" w:hAnsi="Times New Roman" w:cs="Times New Roman"/>
          <w:i/>
          <w:kern w:val="2"/>
          <w:sz w:val="21"/>
          <w:szCs w:val="21"/>
          <w:shd w:val="clear" w:color="auto" w:fill="00FFFF"/>
          <w14:ligatures w14:val="standardContextual"/>
        </w:rPr>
      </w:pPr>
    </w:p>
    <w:p w14:paraId="235AC3B0"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21"/>
          <w:szCs w:val="21"/>
          <w:shd w:val="clear" w:color="auto" w:fill="FFFFFF"/>
          <w14:ligatures w14:val="standardContextual"/>
        </w:rPr>
      </w:pPr>
      <w:r w:rsidRPr="00877DE5">
        <w:rPr>
          <w:rFonts w:ascii="Times New Roman" w:eastAsia="Aptos" w:hAnsi="Times New Roman" w:cs="Times New Roman"/>
          <w:b/>
          <w:kern w:val="2"/>
          <w:sz w:val="21"/>
          <w:szCs w:val="21"/>
          <w14:ligatures w14:val="standardContextual"/>
        </w:rPr>
        <w:t>Аннотация:</w:t>
      </w:r>
      <w:r w:rsidRPr="00877DE5">
        <w:rPr>
          <w:rFonts w:ascii="Times New Roman" w:eastAsia="Aptos" w:hAnsi="Times New Roman" w:cs="Times New Roman"/>
          <w:i/>
          <w:kern w:val="2"/>
          <w:sz w:val="21"/>
          <w:szCs w:val="21"/>
          <w14:ligatures w14:val="standardContextual"/>
        </w:rPr>
        <w:t xml:space="preserve"> </w:t>
      </w:r>
      <w:r w:rsidRPr="00877DE5">
        <w:rPr>
          <w:rFonts w:ascii="Times New Roman" w:eastAsia="Yandex Sans Text" w:hAnsi="Times New Roman" w:cs="Times New Roman"/>
          <w:color w:val="000000"/>
          <w:kern w:val="2"/>
          <w:sz w:val="21"/>
          <w:szCs w:val="21"/>
          <w:shd w:val="clear" w:color="auto" w:fill="FFFFFF"/>
          <w14:ligatures w14:val="standardContextual"/>
        </w:rPr>
        <w:t>В статье анализируются применяемые антикризисные меры на рынке ценных бумаг для поддержания стабильности и эффективного развития финансового сектора. Особое внимание уделяется роли фондового рынка как основного источника финансирования. В заключении делаются выводы о необходимости совершенствования инструментов регулирования с учётом цифровизации, накопленного опыта и современных вызовов.</w:t>
      </w:r>
    </w:p>
    <w:p w14:paraId="6C11FE6B"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r w:rsidRPr="00877DE5">
        <w:rPr>
          <w:rFonts w:ascii="Times New Roman" w:eastAsia="Aptos" w:hAnsi="Times New Roman" w:cs="Times New Roman"/>
          <w:b/>
          <w:kern w:val="2"/>
          <w:sz w:val="21"/>
          <w:szCs w:val="21"/>
          <w14:ligatures w14:val="standardContextual"/>
        </w:rPr>
        <w:t>Ключевые слова:</w:t>
      </w:r>
      <w:r w:rsidRPr="00877DE5">
        <w:rPr>
          <w:rFonts w:ascii="Times New Roman" w:eastAsia="Aptos" w:hAnsi="Times New Roman" w:cs="Times New Roman"/>
          <w:kern w:val="2"/>
          <w:sz w:val="21"/>
          <w:szCs w:val="21"/>
          <w14:ligatures w14:val="standardContextual"/>
        </w:rPr>
        <w:t xml:space="preserve"> фондовый рынок, антикризисные меры, рынок ценных бумаг, финансовый рынок.</w:t>
      </w:r>
    </w:p>
    <w:p w14:paraId="095A33A7" w14:textId="77777777" w:rsidR="00877DE5" w:rsidRPr="00877DE5" w:rsidRDefault="00877DE5" w:rsidP="00067100">
      <w:pPr>
        <w:spacing w:after="0" w:line="240" w:lineRule="auto"/>
        <w:ind w:firstLine="709"/>
        <w:jc w:val="both"/>
        <w:rPr>
          <w:rFonts w:ascii="Times New Roman" w:eastAsia="Aptos" w:hAnsi="Times New Roman" w:cs="Times New Roman"/>
          <w:kern w:val="2"/>
          <w:sz w:val="21"/>
          <w:szCs w:val="21"/>
          <w14:ligatures w14:val="standardContextual"/>
        </w:rPr>
      </w:pPr>
    </w:p>
    <w:p w14:paraId="647C4CFB" w14:textId="5E8E0C9A"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Fatianova A. G.,</w:t>
      </w:r>
    </w:p>
    <w:p w14:paraId="0FA225AF"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i/>
          <w:kern w:val="2"/>
          <w:sz w:val="21"/>
          <w:szCs w:val="21"/>
          <w:lang w:val="en-US"/>
          <w14:ligatures w14:val="standardContextual"/>
        </w:rPr>
        <w:t>student,</w:t>
      </w:r>
      <w:r w:rsidRPr="00877DE5">
        <w:rPr>
          <w:rFonts w:ascii="Times New Roman" w:eastAsia="Aptos" w:hAnsi="Times New Roman" w:cs="Times New Roman"/>
          <w:i/>
          <w:kern w:val="2"/>
          <w:sz w:val="24"/>
          <w:szCs w:val="24"/>
          <w:lang w:val="en-US"/>
          <w14:ligatures w14:val="standardContextual"/>
        </w:rPr>
        <w:t xml:space="preserve"> </w:t>
      </w:r>
      <w:r w:rsidRPr="00877DE5">
        <w:rPr>
          <w:rFonts w:ascii="Times New Roman" w:eastAsia="Aptos" w:hAnsi="Times New Roman" w:cs="Times New Roman"/>
          <w:i/>
          <w:kern w:val="2"/>
          <w:sz w:val="21"/>
          <w:szCs w:val="21"/>
          <w:lang w:val="en-US"/>
          <w14:ligatures w14:val="standardContextual"/>
        </w:rPr>
        <w:t xml:space="preserve">1 </w:t>
      </w:r>
      <w:proofErr w:type="gramStart"/>
      <w:r w:rsidRPr="00877DE5">
        <w:rPr>
          <w:rFonts w:ascii="Times New Roman" w:eastAsia="Aptos" w:hAnsi="Times New Roman" w:cs="Times New Roman"/>
          <w:i/>
          <w:kern w:val="2"/>
          <w:sz w:val="21"/>
          <w:szCs w:val="21"/>
          <w:lang w:val="en-US"/>
          <w14:ligatures w14:val="standardContextual"/>
        </w:rPr>
        <w:t>courses</w:t>
      </w:r>
      <w:proofErr w:type="gramEnd"/>
      <w:r w:rsidRPr="00877DE5">
        <w:rPr>
          <w:rFonts w:ascii="Times New Roman" w:eastAsia="Aptos" w:hAnsi="Times New Roman" w:cs="Times New Roman"/>
          <w:b/>
          <w:i/>
          <w:kern w:val="2"/>
          <w:sz w:val="21"/>
          <w:szCs w:val="21"/>
          <w:lang w:val="en-US"/>
          <w14:ligatures w14:val="standardContextual"/>
        </w:rPr>
        <w:t xml:space="preserve"> </w:t>
      </w:r>
    </w:p>
    <w:p w14:paraId="5A8C5EA6" w14:textId="77777777" w:rsidR="00877DE5" w:rsidRPr="009E3E32" w:rsidRDefault="00877DE5" w:rsidP="00067100">
      <w:pPr>
        <w:suppressAutoHyphens/>
        <w:spacing w:after="0" w:line="240" w:lineRule="auto"/>
        <w:ind w:firstLine="709"/>
        <w:jc w:val="right"/>
        <w:rPr>
          <w:rFonts w:ascii="Times New Roman" w:eastAsia="Times New Roman" w:hAnsi="Times New Roman" w:cs="Times New Roman"/>
          <w:i/>
          <w:iCs/>
          <w:sz w:val="21"/>
          <w:szCs w:val="21"/>
          <w:lang w:val="en-US" w:eastAsia="ar-SA"/>
        </w:rPr>
      </w:pPr>
      <w:r w:rsidRPr="009E3E32">
        <w:rPr>
          <w:rFonts w:ascii="Times New Roman" w:eastAsia="Times New Roman" w:hAnsi="Times New Roman" w:cs="Times New Roman"/>
          <w:i/>
          <w:iCs/>
          <w:sz w:val="21"/>
          <w:szCs w:val="21"/>
          <w:lang w:val="en-US" w:eastAsia="ar-SA"/>
        </w:rPr>
        <w:t>Financial University under the Government of the Russian Federation (Krasnodar branch)</w:t>
      </w:r>
    </w:p>
    <w:p w14:paraId="5617E95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val="en-US" w:eastAsia="ar-SA"/>
        </w:rPr>
      </w:pPr>
      <w:r w:rsidRPr="00877DE5">
        <w:rPr>
          <w:rFonts w:ascii="Times New Roman" w:eastAsia="Times New Roman" w:hAnsi="Times New Roman" w:cs="Times New Roman"/>
          <w:i/>
          <w:sz w:val="21"/>
          <w:szCs w:val="21"/>
          <w:lang w:val="en-US" w:eastAsia="ar-SA"/>
        </w:rPr>
        <w:t>Krasnodar, Russia</w:t>
      </w:r>
    </w:p>
    <w:p w14:paraId="6E604D34" w14:textId="23B47F8D"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r w:rsidRPr="00877DE5">
        <w:rPr>
          <w:rFonts w:ascii="Times New Roman" w:eastAsia="Aptos" w:hAnsi="Times New Roman" w:cs="Times New Roman"/>
          <w:i/>
          <w:kern w:val="2"/>
          <w:sz w:val="21"/>
          <w:szCs w:val="21"/>
          <w14:ligatures w14:val="standardContextual"/>
        </w:rPr>
        <w:t>е</w:t>
      </w:r>
      <w:r w:rsidRPr="00877DE5">
        <w:rPr>
          <w:rFonts w:ascii="Times New Roman" w:eastAsia="Aptos" w:hAnsi="Times New Roman" w:cs="Times New Roman"/>
          <w:i/>
          <w:kern w:val="2"/>
          <w:sz w:val="21"/>
          <w:szCs w:val="21"/>
          <w:lang w:val="en-US"/>
          <w14:ligatures w14:val="standardContextual"/>
        </w:rPr>
        <w:t>-mail:</w:t>
      </w:r>
      <w:r w:rsidR="00C24B97" w:rsidRPr="00420733">
        <w:rPr>
          <w:rFonts w:ascii="Times New Roman" w:eastAsia="Aptos" w:hAnsi="Times New Roman" w:cs="Times New Roman"/>
          <w:i/>
          <w:kern w:val="2"/>
          <w:sz w:val="21"/>
          <w:szCs w:val="21"/>
          <w:lang w:val="en-US"/>
          <w14:ligatures w14:val="standardContextual"/>
        </w:rPr>
        <w:t xml:space="preserve"> </w:t>
      </w:r>
      <w:r w:rsidRPr="00877DE5">
        <w:rPr>
          <w:rFonts w:ascii="Times New Roman" w:eastAsia="Aptos" w:hAnsi="Times New Roman" w:cs="Times New Roman"/>
          <w:i/>
          <w:kern w:val="2"/>
          <w:sz w:val="21"/>
          <w:szCs w:val="21"/>
          <w:lang w:val="en-US"/>
          <w14:ligatures w14:val="standardContextual"/>
        </w:rPr>
        <w:t>hitraabestia@gmail.com</w:t>
      </w:r>
    </w:p>
    <w:p w14:paraId="7F7EBB79"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r w:rsidRPr="00877DE5">
        <w:rPr>
          <w:rFonts w:ascii="Times New Roman" w:eastAsia="Aptos" w:hAnsi="Times New Roman" w:cs="Times New Roman"/>
          <w:i/>
          <w:kern w:val="2"/>
          <w:sz w:val="21"/>
          <w:szCs w:val="21"/>
          <w:lang w:val="en-US"/>
          <w14:ligatures w14:val="standardContextual"/>
        </w:rPr>
        <w:t xml:space="preserve"> </w:t>
      </w:r>
    </w:p>
    <w:p w14:paraId="3BEB0D43"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Scientific Adviser:</w:t>
      </w:r>
    </w:p>
    <w:p w14:paraId="4368AA5E" w14:textId="77777777" w:rsidR="00877DE5" w:rsidRPr="00877DE5" w:rsidRDefault="00877DE5" w:rsidP="00067100">
      <w:pPr>
        <w:spacing w:after="0" w:line="240" w:lineRule="auto"/>
        <w:ind w:firstLine="709"/>
        <w:jc w:val="right"/>
        <w:rPr>
          <w:rFonts w:ascii="Times New Roman" w:eastAsia="Aptos" w:hAnsi="Times New Roman" w:cs="Times New Roman"/>
          <w:b/>
          <w:i/>
          <w:kern w:val="2"/>
          <w:sz w:val="21"/>
          <w:szCs w:val="21"/>
          <w:lang w:val="en-US"/>
          <w14:ligatures w14:val="standardContextual"/>
        </w:rPr>
      </w:pPr>
      <w:r w:rsidRPr="00877DE5">
        <w:rPr>
          <w:rFonts w:ascii="Times New Roman" w:eastAsia="Aptos" w:hAnsi="Times New Roman" w:cs="Times New Roman"/>
          <w:b/>
          <w:i/>
          <w:kern w:val="2"/>
          <w:sz w:val="21"/>
          <w:szCs w:val="21"/>
          <w:lang w:val="en-US"/>
          <w14:ligatures w14:val="standardContextual"/>
        </w:rPr>
        <w:t xml:space="preserve">Berlin S.I., </w:t>
      </w:r>
    </w:p>
    <w:p w14:paraId="215CA8A0" w14:textId="77777777" w:rsidR="00877DE5" w:rsidRPr="00877DE5" w:rsidRDefault="00877DE5" w:rsidP="00067100">
      <w:pPr>
        <w:spacing w:after="0" w:line="240" w:lineRule="auto"/>
        <w:ind w:firstLine="709"/>
        <w:jc w:val="right"/>
        <w:rPr>
          <w:rFonts w:ascii="Times New Roman" w:eastAsia="Aptos" w:hAnsi="Times New Roman" w:cs="Times New Roman"/>
          <w:i/>
          <w:iCs/>
          <w:kern w:val="2"/>
          <w:sz w:val="21"/>
          <w:szCs w:val="21"/>
          <w:shd w:val="clear" w:color="auto" w:fill="FFFFFF"/>
          <w:lang w:val="en-US"/>
          <w14:ligatures w14:val="standardContextual"/>
        </w:rPr>
      </w:pPr>
      <w:r w:rsidRPr="00877DE5">
        <w:rPr>
          <w:rFonts w:ascii="Times New Roman" w:eastAsia="Aptos" w:hAnsi="Times New Roman" w:cs="Times New Roman"/>
          <w:i/>
          <w:iCs/>
          <w:kern w:val="2"/>
          <w:sz w:val="21"/>
          <w:szCs w:val="21"/>
          <w:shd w:val="clear" w:color="auto" w:fill="FFFFFF"/>
          <w:lang w:val="en-US"/>
          <w14:ligatures w14:val="standardContextual"/>
        </w:rPr>
        <w:t>Doctor of Science (Economics),</w:t>
      </w:r>
      <w:r w:rsidRPr="00877DE5">
        <w:rPr>
          <w:rFonts w:ascii="Times New Roman" w:eastAsia="Aptos" w:hAnsi="Times New Roman" w:cs="Times New Roman"/>
          <w:i/>
          <w:kern w:val="2"/>
          <w:sz w:val="24"/>
          <w:szCs w:val="24"/>
          <w:lang w:val="en-US"/>
          <w14:ligatures w14:val="standardContextual"/>
        </w:rPr>
        <w:t xml:space="preserve"> </w:t>
      </w:r>
      <w:r w:rsidRPr="00877DE5">
        <w:rPr>
          <w:rFonts w:ascii="Times New Roman" w:eastAsia="Aptos" w:hAnsi="Times New Roman" w:cs="Times New Roman"/>
          <w:i/>
          <w:iCs/>
          <w:kern w:val="2"/>
          <w:sz w:val="21"/>
          <w:szCs w:val="21"/>
          <w:shd w:val="clear" w:color="auto" w:fill="FFFFFF"/>
          <w:lang w:val="en-US"/>
          <w14:ligatures w14:val="standardContextual"/>
        </w:rPr>
        <w:t>Professor</w:t>
      </w:r>
    </w:p>
    <w:p w14:paraId="7ABDB8BF" w14:textId="77777777" w:rsidR="00877DE5" w:rsidRPr="009E3E32" w:rsidRDefault="00877DE5" w:rsidP="00067100">
      <w:pPr>
        <w:suppressAutoHyphens/>
        <w:spacing w:after="0" w:line="240" w:lineRule="auto"/>
        <w:ind w:firstLine="709"/>
        <w:jc w:val="right"/>
        <w:rPr>
          <w:rFonts w:ascii="Times New Roman" w:eastAsia="Times New Roman" w:hAnsi="Times New Roman" w:cs="Times New Roman"/>
          <w:i/>
          <w:iCs/>
          <w:sz w:val="21"/>
          <w:szCs w:val="21"/>
          <w:lang w:val="en-US" w:eastAsia="ar-SA"/>
        </w:rPr>
      </w:pPr>
      <w:r w:rsidRPr="009E3E32">
        <w:rPr>
          <w:rFonts w:ascii="Times New Roman" w:eastAsia="Times New Roman" w:hAnsi="Times New Roman" w:cs="Times New Roman"/>
          <w:i/>
          <w:iCs/>
          <w:sz w:val="21"/>
          <w:szCs w:val="21"/>
          <w:lang w:val="en-US" w:eastAsia="ar-SA"/>
        </w:rPr>
        <w:t>Financial University under the Government of the Russian Federation (Krasnodar branch)</w:t>
      </w:r>
    </w:p>
    <w:p w14:paraId="5B65612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val="en-US" w:eastAsia="ar-SA"/>
        </w:rPr>
      </w:pPr>
      <w:r w:rsidRPr="00877DE5">
        <w:rPr>
          <w:rFonts w:ascii="Times New Roman" w:eastAsia="Times New Roman" w:hAnsi="Times New Roman" w:cs="Times New Roman"/>
          <w:i/>
          <w:sz w:val="21"/>
          <w:szCs w:val="21"/>
          <w:lang w:val="en-US" w:eastAsia="ar-SA"/>
        </w:rPr>
        <w:t>Krasnodar, Russia</w:t>
      </w:r>
    </w:p>
    <w:p w14:paraId="5B4E3432"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1"/>
          <w:lang w:val="en-US"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-mail: siberlin@fa.ru</w:t>
      </w:r>
    </w:p>
    <w:p w14:paraId="6235401F" w14:textId="77777777" w:rsidR="00877DE5" w:rsidRPr="00877DE5" w:rsidRDefault="00877DE5" w:rsidP="00067100">
      <w:pPr>
        <w:spacing w:after="0" w:line="240" w:lineRule="auto"/>
        <w:ind w:firstLine="709"/>
        <w:jc w:val="right"/>
        <w:rPr>
          <w:rFonts w:ascii="Times New Roman" w:eastAsia="Aptos" w:hAnsi="Times New Roman" w:cs="Times New Roman"/>
          <w:i/>
          <w:kern w:val="2"/>
          <w:sz w:val="21"/>
          <w:szCs w:val="21"/>
          <w:lang w:val="en-US"/>
          <w14:ligatures w14:val="standardContextual"/>
        </w:rPr>
      </w:pPr>
    </w:p>
    <w:p w14:paraId="2FE9DCEC" w14:textId="77777777" w:rsidR="00877DE5" w:rsidRPr="00877DE5" w:rsidRDefault="00877DE5" w:rsidP="00067100">
      <w:pPr>
        <w:spacing w:after="0" w:line="240" w:lineRule="auto"/>
        <w:ind w:firstLine="709"/>
        <w:jc w:val="center"/>
        <w:rPr>
          <w:rFonts w:ascii="Times New Roman" w:eastAsia="Aptos" w:hAnsi="Times New Roman" w:cs="Times New Roman"/>
          <w:b/>
          <w:bCs/>
          <w:kern w:val="2"/>
          <w:sz w:val="21"/>
          <w:szCs w:val="21"/>
          <w:shd w:val="clear" w:color="auto" w:fill="FFFFFF"/>
          <w:lang w:val="en-US"/>
          <w14:ligatures w14:val="standardContextual"/>
        </w:rPr>
      </w:pPr>
      <w:r w:rsidRPr="00877DE5">
        <w:rPr>
          <w:rFonts w:ascii="Times New Roman" w:eastAsia="Aptos" w:hAnsi="Times New Roman" w:cs="Times New Roman"/>
          <w:b/>
          <w:bCs/>
          <w:color w:val="000000"/>
          <w:kern w:val="2"/>
          <w:sz w:val="21"/>
          <w:szCs w:val="21"/>
          <w:lang w:val="en-US"/>
          <w14:ligatures w14:val="standardContextual"/>
        </w:rPr>
        <w:t>Government policy on the foreign exchange market, anti-crisis regulation and currency exchanges</w:t>
      </w:r>
    </w:p>
    <w:p w14:paraId="39CD26A5" w14:textId="77777777" w:rsidR="00877DE5" w:rsidRPr="009E3E32" w:rsidRDefault="00877DE5" w:rsidP="00067100">
      <w:pPr>
        <w:suppressAutoHyphens/>
        <w:spacing w:after="0" w:line="240" w:lineRule="auto"/>
        <w:ind w:firstLine="709"/>
        <w:jc w:val="both"/>
        <w:rPr>
          <w:rFonts w:ascii="Times New Roman" w:eastAsia="Times New Roman" w:hAnsi="Times New Roman" w:cs="Times New Roman"/>
          <w:b/>
          <w:bCs/>
          <w:sz w:val="21"/>
          <w:szCs w:val="21"/>
          <w:shd w:val="clear" w:color="auto" w:fill="FFFFFF"/>
          <w:lang w:val="en-US" w:eastAsia="ar-SA"/>
        </w:rPr>
      </w:pPr>
    </w:p>
    <w:p w14:paraId="0E506AC6"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sz w:val="21"/>
          <w:szCs w:val="21"/>
          <w:lang w:val="en-US" w:eastAsia="ar-SA"/>
        </w:rPr>
      </w:pPr>
      <w:r w:rsidRPr="009E3E32">
        <w:rPr>
          <w:rFonts w:ascii="Times New Roman" w:eastAsia="Times New Roman" w:hAnsi="Times New Roman" w:cs="Times New Roman"/>
          <w:b/>
          <w:bCs/>
          <w:sz w:val="21"/>
          <w:szCs w:val="21"/>
          <w:shd w:val="clear" w:color="auto" w:fill="FFFFFF"/>
          <w:lang w:val="en-US" w:eastAsia="ar-SA"/>
        </w:rPr>
        <w:t>Abstract</w:t>
      </w:r>
      <w:r w:rsidRPr="00877DE5">
        <w:rPr>
          <w:rFonts w:ascii="Times New Roman" w:eastAsia="Times New Roman" w:hAnsi="Times New Roman" w:cs="Times New Roman"/>
          <w:b/>
          <w:bCs/>
          <w:sz w:val="21"/>
          <w:szCs w:val="21"/>
          <w:shd w:val="clear" w:color="auto" w:fill="FFFFFF"/>
          <w:lang w:val="en-US" w:eastAsia="ar-SA"/>
        </w:rPr>
        <w:t xml:space="preserve">: </w:t>
      </w:r>
      <w:r w:rsidRPr="00877DE5">
        <w:rPr>
          <w:rFonts w:ascii="Times New Roman" w:eastAsia="Times New Roman" w:hAnsi="Times New Roman" w:cs="Times New Roman"/>
          <w:color w:val="000000"/>
          <w:sz w:val="21"/>
          <w:szCs w:val="21"/>
          <w:lang w:val="en-US" w:eastAsia="ar-SA"/>
        </w:rPr>
        <w:t xml:space="preserve"> </w:t>
      </w:r>
      <w:r w:rsidRPr="009E3E32">
        <w:rPr>
          <w:rFonts w:ascii="Times New Roman" w:eastAsia="Yandex Sans Text" w:hAnsi="Times New Roman" w:cs="Times New Roman"/>
          <w:color w:val="000000"/>
          <w:sz w:val="21"/>
          <w:szCs w:val="21"/>
          <w:shd w:val="clear" w:color="auto" w:fill="FFFFFF"/>
          <w:lang w:val="en-US" w:eastAsia="ar-SA"/>
        </w:rPr>
        <w:t xml:space="preserve">The article analyzes the applied anti-crisis measures in the securities market to maintain the stability and effective development of the financial sector of the country. Special attention is paid to the role of the stock market as the main source of financing for the company. In conclusion, conclusions are drawn about the need to improve regulatory tools, </w:t>
      </w:r>
      <w:proofErr w:type="gramStart"/>
      <w:r w:rsidRPr="009E3E32">
        <w:rPr>
          <w:rFonts w:ascii="Times New Roman" w:eastAsia="Yandex Sans Text" w:hAnsi="Times New Roman" w:cs="Times New Roman"/>
          <w:color w:val="000000"/>
          <w:sz w:val="21"/>
          <w:szCs w:val="21"/>
          <w:shd w:val="clear" w:color="auto" w:fill="FFFFFF"/>
          <w:lang w:val="en-US" w:eastAsia="ar-SA"/>
        </w:rPr>
        <w:t>taking into account</w:t>
      </w:r>
      <w:proofErr w:type="gramEnd"/>
      <w:r w:rsidRPr="009E3E32">
        <w:rPr>
          <w:rFonts w:ascii="Times New Roman" w:eastAsia="Yandex Sans Text" w:hAnsi="Times New Roman" w:cs="Times New Roman"/>
          <w:color w:val="000000"/>
          <w:sz w:val="21"/>
          <w:szCs w:val="21"/>
          <w:shd w:val="clear" w:color="auto" w:fill="FFFFFF"/>
          <w:lang w:val="en-US" w:eastAsia="ar-SA"/>
        </w:rPr>
        <w:t xml:space="preserve"> digitalization, accumulated experience and modern challenges.</w:t>
      </w:r>
    </w:p>
    <w:p w14:paraId="3E1CF7CF" w14:textId="5F7596E9" w:rsidR="00877DE5" w:rsidRPr="00877DE5" w:rsidRDefault="00877DE5" w:rsidP="00067100">
      <w:pPr>
        <w:suppressAutoHyphens/>
        <w:spacing w:after="0" w:line="240" w:lineRule="auto"/>
        <w:ind w:firstLine="709"/>
        <w:jc w:val="both"/>
        <w:rPr>
          <w:rFonts w:ascii="Times New Roman" w:eastAsia="Arial" w:hAnsi="Times New Roman" w:cs="Times New Roman"/>
          <w:color w:val="333333"/>
          <w:sz w:val="21"/>
          <w:szCs w:val="21"/>
          <w:shd w:val="clear" w:color="auto" w:fill="FFFFFF"/>
          <w:lang w:val="en-US" w:eastAsia="ar-SA"/>
        </w:rPr>
      </w:pPr>
      <w:r w:rsidRPr="009E3E32">
        <w:rPr>
          <w:rFonts w:ascii="Times New Roman" w:eastAsia="Times New Roman" w:hAnsi="Times New Roman" w:cs="Times New Roman"/>
          <w:b/>
          <w:bCs/>
          <w:color w:val="000000"/>
          <w:sz w:val="21"/>
          <w:szCs w:val="21"/>
          <w:shd w:val="clear" w:color="auto" w:fill="FFFFFF"/>
          <w:lang w:val="en-US" w:eastAsia="ar-SA"/>
        </w:rPr>
        <w:t>Keywords</w:t>
      </w:r>
      <w:r w:rsidRPr="00877DE5">
        <w:rPr>
          <w:rFonts w:ascii="Times New Roman" w:eastAsia="Times New Roman" w:hAnsi="Times New Roman" w:cs="Times New Roman"/>
          <w:b/>
          <w:bCs/>
          <w:color w:val="000000"/>
          <w:sz w:val="21"/>
          <w:szCs w:val="21"/>
          <w:shd w:val="clear" w:color="auto" w:fill="FFFFFF"/>
          <w:lang w:val="en-US" w:eastAsia="ar-SA"/>
        </w:rPr>
        <w:t>:</w:t>
      </w:r>
      <w:r w:rsidRPr="00877DE5">
        <w:rPr>
          <w:rFonts w:ascii="Times New Roman" w:eastAsia="Times New Roman" w:hAnsi="Times New Roman" w:cs="Times New Roman"/>
          <w:bCs/>
          <w:color w:val="000000"/>
          <w:sz w:val="21"/>
          <w:szCs w:val="21"/>
          <w:shd w:val="clear" w:color="auto" w:fill="FFFFFF"/>
          <w:lang w:val="en-US" w:eastAsia="ar-SA"/>
        </w:rPr>
        <w:t xml:space="preserve"> </w:t>
      </w:r>
      <w:r w:rsidRPr="00C24B97">
        <w:rPr>
          <w:rFonts w:ascii="Times New Roman" w:eastAsia="Arial" w:hAnsi="Times New Roman" w:cs="Times New Roman"/>
          <w:color w:val="333333"/>
          <w:sz w:val="21"/>
          <w:szCs w:val="21"/>
          <w:shd w:val="clear" w:color="auto" w:fill="FFFFFF"/>
          <w:lang w:val="en-US" w:eastAsia="ar-SA"/>
        </w:rPr>
        <w:t>stock market,</w:t>
      </w:r>
      <w:r w:rsidR="00C24B97" w:rsidRPr="00C24B97">
        <w:rPr>
          <w:rFonts w:ascii="Times New Roman" w:eastAsia="Arial" w:hAnsi="Times New Roman" w:cs="Times New Roman"/>
          <w:color w:val="333333"/>
          <w:sz w:val="21"/>
          <w:szCs w:val="21"/>
          <w:shd w:val="clear" w:color="auto" w:fill="FFFFFF"/>
          <w:lang w:val="en-US" w:eastAsia="ar-SA"/>
        </w:rPr>
        <w:t xml:space="preserve"> </w:t>
      </w:r>
      <w:r w:rsidRPr="00C24B97">
        <w:rPr>
          <w:rFonts w:ascii="Times New Roman" w:eastAsia="Arial" w:hAnsi="Times New Roman" w:cs="Times New Roman"/>
          <w:color w:val="333333"/>
          <w:sz w:val="21"/>
          <w:szCs w:val="21"/>
          <w:shd w:val="clear" w:color="auto" w:fill="FFFFFF"/>
          <w:lang w:val="en-US" w:eastAsia="ar-SA"/>
        </w:rPr>
        <w:t>anticrisis measures, securities market, financial market.</w:t>
      </w:r>
    </w:p>
    <w:p w14:paraId="785B9DC8"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ar-SA"/>
        </w:rPr>
      </w:pPr>
    </w:p>
    <w:p w14:paraId="6DC0FCD6" w14:textId="77777777" w:rsidR="00877DE5" w:rsidRPr="00877DE5" w:rsidRDefault="00877DE5" w:rsidP="00067100">
      <w:pPr>
        <w:spacing w:after="0" w:line="240" w:lineRule="auto"/>
        <w:ind w:firstLine="709"/>
        <w:jc w:val="both"/>
        <w:rPr>
          <w:rFonts w:ascii="Times New Roman" w:eastAsia="Yandex Sans Text" w:hAnsi="Times New Roman" w:cs="Times New Roman"/>
          <w:kern w:val="2"/>
          <w:sz w:val="32"/>
          <w:szCs w:val="32"/>
          <w14:ligatures w14:val="standardContextual"/>
        </w:rPr>
      </w:pPr>
      <w:r w:rsidRPr="00877DE5">
        <w:rPr>
          <w:rFonts w:ascii="Times New Roman" w:eastAsia="Yandex Sans Text" w:hAnsi="Times New Roman" w:cs="Times New Roman"/>
          <w:kern w:val="2"/>
          <w:sz w:val="32"/>
          <w:szCs w:val="32"/>
          <w14:ligatures w14:val="standardContextual"/>
        </w:rPr>
        <w:t xml:space="preserve">Фондовый рынок представляет собой механизм перераспределения капитала и является одним из ключевых факторов, влияющих на экономическое развитие, что обуславливает его значимость как приоритетной задачи для современных экономических систем. В условиях глобализации данный рынок особенно подвержен воздействию трансформаций в мировой финансовой архитектуре, часть из которых может иметь негативные последствия для его функционирования и национальной экономики в целом. Исследование антикризисных мер направлено на формирование понимания того, как эффективное регулирование способствует смягчению негативных последствий и управлению рисками на фондовом рынке. Цель данной работы заключается в анализе теоретических основ и практически </w:t>
      </w:r>
      <w:r w:rsidRPr="00877DE5">
        <w:rPr>
          <w:rFonts w:ascii="Times New Roman" w:eastAsia="Yandex Sans Text" w:hAnsi="Times New Roman" w:cs="Times New Roman"/>
          <w:kern w:val="2"/>
          <w:sz w:val="32"/>
          <w:szCs w:val="32"/>
          <w14:ligatures w14:val="standardContextual"/>
        </w:rPr>
        <w:lastRenderedPageBreak/>
        <w:t>применяемых механизмов регулирования фондового рынка в условиях кризисных ситуаций, а также в разработке рекомендаций по внедрению инновационных технологий и совершенствованию существующих антикризисных мер для обеспечения стабильности на фондовом рынке и эффективного контроля его деятельности.</w:t>
      </w:r>
    </w:p>
    <w:p w14:paraId="1FB08F43"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 xml:space="preserve">Финансово-экономический кризис 2008 года стал отправной точкой для глобального экономического перелома, который определил направления последующего развития мировой экономики и сформировал предпосылки для структурных изменений как в национальных экономиках, так и на финансовых рынках. В этот период наблюдалось значительное ослабление банковской системы, снижение процентных ставок и сокращение объемов кредитования. На российском фондовом рынке произошло резкое падение объемов торгов, обусловленное снижением деловой активности и масштабным оттоком капитала. Для минимизации негативных последствий Правительство Российской Федерации оперативно разработало антикризисный план поддержки финансового сектора и инициировало принятие ряда законодательных актов. Владимир Путин, занимавший на тот момент пост Председателя Правительства, представил комплекс мер, направленных на стабилизацию экономической ситуации. План включал 55 пунктов и предусматривал законодательные инициативы, направленные на поддержку различных отраслей экономики. На фондовом рынке были предприняты меры по корректировке дестабилизирующих факторов. Профессиональные участники рынка получили доступ к операциям рефинансирования со стороны Центрального банка, а Банк России, в свою очередь, получил расширенные полномочия для контроля экономических показателей профессиональных участников фондового рынка. В последующие годы российская экономика демонстрировала восстановительный рост, однако достижение докризисных показателей произошло только к 2016 году. </w:t>
      </w:r>
    </w:p>
    <w:p w14:paraId="5374B802"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 xml:space="preserve">Первая половина 2014 года ознаменовалась новым этапом в развитии российского фондового рынка, характеризующимся высокой степенью волатильности. Ключевыми факторами, вызвавшими такие изменения, стали падение цен на энергоносители и введение санкций против России в связи с обострением геополитической ситуации. Российские фондовые индексы испытали резкое снижение, что привело к массовой распродаже акций и утрате доверия инвесторов к рынку. В результате снижения инвестиционной привлекательности </w:t>
      </w:r>
      <w:r w:rsidRPr="00877DE5">
        <w:rPr>
          <w:rFonts w:ascii="Times New Roman" w:eastAsia="Yandex Sans Text" w:hAnsi="Times New Roman" w:cs="Times New Roman"/>
          <w:color w:val="000000"/>
          <w:kern w:val="2"/>
          <w:sz w:val="32"/>
          <w:szCs w:val="32"/>
          <w:shd w:val="clear" w:color="auto" w:fill="FFFFFF"/>
          <w14:ligatures w14:val="standardContextual"/>
        </w:rPr>
        <w:lastRenderedPageBreak/>
        <w:t xml:space="preserve">произошел значительный отток иностранного капитала и сокращение общего объема торгов акциями. Фондовый рынок утратил свою основную функцию — функцию источника финансирования. В ответ на сложившуюся ситуацию Федеральная служба по финансовым рынкам России ввела временные ограничения для профессиональных участников рынка, включая запрет на короткие продажи, маржинальные и необеспеченные сделки. Данные меры были направлены на предотвращение поспешных продаж акций и стабилизацию рынка. Уже в середине мая 2014 года удалось частично восстановить утраченные позиции. </w:t>
      </w:r>
    </w:p>
    <w:p w14:paraId="3FC4072F"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 xml:space="preserve">Пандемия COVID-19 оказала значительное влияние на развитие мирового фондового рынка, включая российский. Глобальный обвал фондовых индексов стал следствием распространения вируса и неопределённости в мировой экономике. На российском рынке, помимо ухудшения финансового состояния компаний традиционных секторов, наблюдался рекордный приток частных инвесторов. В то же время возрос спрос на акции компаний IT-сектора. Банк России принял ряд мер для поддержки профессиональных участников фондового рынка, направленных на снижение их нагрузки и сохранение конкурентоспособности рынка. Среди них были ослабление надзора за деятельностью финансовых организаций и саморегулируемых организаций, а также ограничение санкций за нарушения. Кроме того, был принят Федеральный закон № 306-ФЗ от 31 июля 2020 года, регулирующий деятельность физических лиц в качестве инвесторов и направленный на управление рисками для данной категории участников рынка. Введение данного закона свидетельствует о существенных изменениях в структуре фондового рынка. </w:t>
      </w:r>
    </w:p>
    <w:p w14:paraId="5E546379"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В 2022 году, после начала специальной военной операции, фондовый рынок России столкнулся с новыми вызовами. Основной особенностью текущей ситуации является необходимость опоры на внутренние ресурсы в условиях невозможности привлечения внешних финансовых средств из-за санкций. Ключевой задачей на данном этапе является перестройка инструментов финансирования экономики страны с целью усиления роли фондового рынка в обеспечении экономического роста. </w:t>
      </w:r>
    </w:p>
    <w:p w14:paraId="66790B25"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 xml:space="preserve">Первоначально функции по регулированию финансовых рынков Российской Федерации были распределены между несколькими организациями. Однако данный подход оказался неэффективным, так как между ними возникали разногласия и противоречия в вопросах </w:t>
      </w:r>
      <w:r w:rsidRPr="00877DE5">
        <w:rPr>
          <w:rFonts w:ascii="Times New Roman" w:eastAsia="Yandex Sans Text" w:hAnsi="Times New Roman" w:cs="Times New Roman"/>
          <w:color w:val="000000"/>
          <w:kern w:val="2"/>
          <w:sz w:val="32"/>
          <w:szCs w:val="32"/>
          <w:shd w:val="clear" w:color="auto" w:fill="FFFFFF"/>
          <w14:ligatures w14:val="standardContextual"/>
        </w:rPr>
        <w:lastRenderedPageBreak/>
        <w:t>контроля и управления рыночной деятельностью. В целях устранения этих проблем было принято решение передать все полномочия по регулированию исключительно Центральному банку Российской Федерации (ЦБ РФ). В настоящее время в Российской Федерации Центральный банк является единственным мегарегулятором финансового рынка, и его функции в отношении фондового рынка включают: защиту прав и законных интересов инвесторов, контроль за соблюдением законодательства в сфере финансового рынка, лицензирование профессиональных участников фондового рынка, разработку и внедрение нормативных правовых актов, рассмотрение жалоб и применение мер ответственности к нарушителям законодательства.</w:t>
      </w:r>
      <w:r w:rsidRPr="00877DE5">
        <w:rPr>
          <w:rFonts w:ascii="Times New Roman" w:eastAsia="Aptos" w:hAnsi="Times New Roman" w:cs="Times New Roman"/>
          <w:color w:val="000000"/>
          <w:kern w:val="2"/>
          <w:sz w:val="32"/>
          <w:szCs w:val="32"/>
          <w:u w:val="single"/>
          <w:shd w:val="clear" w:color="auto" w:fill="FFFFFF"/>
          <w14:ligatures w14:val="standardContextual"/>
        </w:rPr>
        <w:t>[1]</w:t>
      </w:r>
      <w:r w:rsidRPr="00877DE5">
        <w:rPr>
          <w:rFonts w:ascii="Times New Roman" w:eastAsia="Yandex Sans Text" w:hAnsi="Times New Roman" w:cs="Times New Roman"/>
          <w:color w:val="000000"/>
          <w:kern w:val="2"/>
          <w:sz w:val="32"/>
          <w:szCs w:val="32"/>
          <w:shd w:val="clear" w:color="auto" w:fill="FFFFFF"/>
          <w14:ligatures w14:val="standardContextual"/>
        </w:rPr>
        <w:t xml:space="preserve"> Правовое регулирование рынка ценных бумаг осуществляется на основании следующих нормативных правовых актов: федеральный закон от 22 апреля 1996 года № 39-ФЗ «О рынке ценных бумаг», Федеральный закон от 5 марта 1996 года № 46-ФЗ «О защите прав и законных интересов инвесторов на рынке ценных бумаг», Гражданский Кодекс Российской Федерации, нормативные акты Министерства финансов Российской Федерации и Центрального банка Российской Федерации. </w:t>
      </w:r>
    </w:p>
    <w:p w14:paraId="4CAD83C0" w14:textId="77777777" w:rsidR="00877DE5" w:rsidRPr="00877DE5" w:rsidRDefault="00877DE5" w:rsidP="00067100">
      <w:pPr>
        <w:spacing w:after="0" w:line="240" w:lineRule="auto"/>
        <w:ind w:firstLine="709"/>
        <w:jc w:val="both"/>
        <w:rPr>
          <w:rFonts w:ascii="Times New Roman" w:eastAsia="Aptos" w:hAnsi="Times New Roman" w:cs="Times New Roman"/>
          <w:kern w:val="2"/>
          <w:sz w:val="32"/>
          <w:szCs w:val="32"/>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Современный фондовый рынок переживает глубокие структурные трансформации, обусловленные комплексом взаимосвязанных факторов. В первую очередь, это санкционное давление со стороны государств, демонстрирующих недружественные намерения по отношению к Российской Федерации. В условиях геополитической нестабильности наблюдается значительное усиление регуляторных и экономических барьеров, что оказывает существенное влияние на инвестиционный климат и стратегическое планирование участников рынка. Во-вторых, эволюция финансовых инструментов в контексте цифровизации и технологического прогресса способствует внедрению инновационных форм торговли и управления активами. Развитие блокчейн-технологий, алгоритмической торговли и финтех-решений создаёт новые возможности для повышения эффективности операций с ценными бумагами, однако также порождает ряд вызовов, связанных с кибербезопасностью и регулятивной адаптацией.</w:t>
      </w:r>
      <w:r w:rsidRPr="00877DE5">
        <w:rPr>
          <w:rFonts w:ascii="Times New Roman" w:eastAsia="Aptos" w:hAnsi="Times New Roman" w:cs="Times New Roman"/>
          <w:color w:val="000000"/>
          <w:kern w:val="2"/>
          <w:sz w:val="32"/>
          <w:szCs w:val="32"/>
          <w:u w:val="single"/>
          <w:shd w:val="clear" w:color="auto" w:fill="FFFFFF"/>
          <w14:ligatures w14:val="standardContextual"/>
        </w:rPr>
        <w:t>[2]</w:t>
      </w:r>
      <w:r w:rsidRPr="00877DE5">
        <w:rPr>
          <w:rFonts w:ascii="Times New Roman" w:eastAsia="Yandex Sans Text" w:hAnsi="Times New Roman" w:cs="Times New Roman"/>
          <w:color w:val="000000"/>
          <w:kern w:val="2"/>
          <w:sz w:val="32"/>
          <w:szCs w:val="32"/>
          <w:shd w:val="clear" w:color="auto" w:fill="FFFFFF"/>
          <w14:ligatures w14:val="standardContextual"/>
        </w:rPr>
        <w:t xml:space="preserve"> Ввиду этого в деятельности регулятора могут возникать определённые проблемы, которые препятствуют эффективному выполнению его функций:</w:t>
      </w:r>
    </w:p>
    <w:p w14:paraId="37A43983" w14:textId="77777777" w:rsidR="00877DE5" w:rsidRPr="00877DE5" w:rsidRDefault="00877DE5" w:rsidP="00AD58CD">
      <w:pPr>
        <w:numPr>
          <w:ilvl w:val="0"/>
          <w:numId w:val="32"/>
        </w:numPr>
        <w:spacing w:after="0" w:line="240" w:lineRule="auto"/>
        <w:ind w:firstLine="709"/>
        <w:jc w:val="both"/>
        <w:rPr>
          <w:rFonts w:ascii="Times New Roman" w:eastAsia="Times New Roman" w:hAnsi="Times New Roman" w:cs="Times New Roman"/>
          <w:sz w:val="24"/>
          <w:szCs w:val="24"/>
          <w:lang w:eastAsia="ru-RU"/>
        </w:rPr>
      </w:pPr>
      <w:r w:rsidRPr="00877DE5">
        <w:rPr>
          <w:rFonts w:ascii="Times New Roman" w:eastAsia="Yandex Sans Text" w:hAnsi="Times New Roman" w:cs="Times New Roman"/>
          <w:color w:val="000000"/>
          <w:sz w:val="32"/>
          <w:szCs w:val="32"/>
          <w:shd w:val="clear" w:color="auto" w:fill="FFFFFF"/>
          <w:lang w:eastAsia="ru-RU"/>
        </w:rPr>
        <w:t xml:space="preserve">Недостаточность регулирования. Эта проблема связана с количественным и качественным дефицитом регулирующих органов. </w:t>
      </w:r>
      <w:r w:rsidRPr="00877DE5">
        <w:rPr>
          <w:rFonts w:ascii="Times New Roman" w:eastAsia="Yandex Sans Text" w:hAnsi="Times New Roman" w:cs="Times New Roman"/>
          <w:color w:val="000000"/>
          <w:sz w:val="32"/>
          <w:szCs w:val="32"/>
          <w:shd w:val="clear" w:color="auto" w:fill="FFFFFF"/>
          <w:lang w:eastAsia="ru-RU"/>
        </w:rPr>
        <w:lastRenderedPageBreak/>
        <w:t>В результате принимаемые меры могут не соответствовать актуальным потребностям, что создаёт риски неблагоприятных последствий для участников финансового рынка;</w:t>
      </w:r>
    </w:p>
    <w:p w14:paraId="323F2B7C" w14:textId="77777777" w:rsidR="00877DE5" w:rsidRPr="00877DE5" w:rsidRDefault="00877DE5" w:rsidP="00AD58CD">
      <w:pPr>
        <w:numPr>
          <w:ilvl w:val="0"/>
          <w:numId w:val="32"/>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Yandex Sans Text" w:hAnsi="Times New Roman" w:cs="Times New Roman"/>
          <w:color w:val="000000"/>
          <w:sz w:val="32"/>
          <w:szCs w:val="32"/>
          <w:shd w:val="clear" w:color="auto" w:fill="FFFFFF"/>
          <w:lang w:eastAsia="ru-RU"/>
        </w:rPr>
        <w:t>Неэффективность нормативно-правовой базы. Противоречия и недостаточная конкретизация в нормативных актах затрудняют их применение и исполнение, что приводит к правовым неопределенностям;</w:t>
      </w:r>
    </w:p>
    <w:p w14:paraId="3C74062B" w14:textId="77777777" w:rsidR="00877DE5" w:rsidRPr="00877DE5" w:rsidRDefault="00877DE5" w:rsidP="00AD58CD">
      <w:pPr>
        <w:numPr>
          <w:ilvl w:val="0"/>
          <w:numId w:val="32"/>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Yandex Sans Text" w:hAnsi="Times New Roman" w:cs="Times New Roman"/>
          <w:color w:val="000000"/>
          <w:sz w:val="32"/>
          <w:szCs w:val="32"/>
          <w:shd w:val="clear" w:color="auto" w:fill="FFFFFF"/>
          <w:lang w:eastAsia="ru-RU"/>
        </w:rPr>
        <w:t>Технологические вызовы. Постоянное появление новых финансовых инструментов, таких как цифровые валюты и технологии блокчейна, требует от регулятора способности оперативно адаптироваться к инновациям и разрабатывать новые подходы и инструменты контроля.</w:t>
      </w:r>
    </w:p>
    <w:p w14:paraId="4A1D7C75" w14:textId="77777777" w:rsidR="00877DE5" w:rsidRPr="00877DE5" w:rsidRDefault="00877DE5" w:rsidP="00067100">
      <w:pPr>
        <w:spacing w:after="0" w:line="240" w:lineRule="auto"/>
        <w:ind w:firstLine="709"/>
        <w:jc w:val="both"/>
        <w:rPr>
          <w:rFonts w:ascii="Times New Roman" w:eastAsia="Yandex Sans Text" w:hAnsi="Times New Roman" w:cs="Times New Roman"/>
          <w:color w:val="000000"/>
          <w:kern w:val="2"/>
          <w:sz w:val="32"/>
          <w:szCs w:val="32"/>
          <w:shd w:val="clear" w:color="auto" w:fill="FFFFFF"/>
          <w14:ligatures w14:val="standardContextual"/>
        </w:rPr>
      </w:pPr>
      <w:r w:rsidRPr="00877DE5">
        <w:rPr>
          <w:rFonts w:ascii="Times New Roman" w:eastAsia="Yandex Sans Text" w:hAnsi="Times New Roman" w:cs="Times New Roman"/>
          <w:color w:val="000000"/>
          <w:kern w:val="2"/>
          <w:sz w:val="32"/>
          <w:szCs w:val="32"/>
          <w:shd w:val="clear" w:color="auto" w:fill="FFFFFF"/>
          <w14:ligatures w14:val="standardContextual"/>
        </w:rPr>
        <w:t>В рамках комплекса мер по регулированию фондового рынка необходимо выделить Стратегию развития финансового рынка Ро</w:t>
      </w:r>
      <w:r w:rsidR="006B21EF">
        <w:rPr>
          <w:rFonts w:ascii="Times New Roman" w:eastAsia="Yandex Sans Text" w:hAnsi="Times New Roman" w:cs="Times New Roman"/>
          <w:color w:val="000000"/>
          <w:kern w:val="2"/>
          <w:sz w:val="32"/>
          <w:szCs w:val="32"/>
          <w:shd w:val="clear" w:color="auto" w:fill="FFFFFF"/>
          <w14:ligatures w14:val="standardContextual"/>
        </w:rPr>
        <w:t xml:space="preserve">ссийской Федерации до 2030 года </w:t>
      </w:r>
      <w:r w:rsidRPr="00877DE5">
        <w:rPr>
          <w:rFonts w:ascii="Times New Roman" w:eastAsia="Aptos" w:hAnsi="Times New Roman" w:cs="Times New Roman"/>
          <w:color w:val="000000"/>
          <w:kern w:val="2"/>
          <w:sz w:val="32"/>
          <w:szCs w:val="32"/>
          <w:u w:val="single"/>
          <w:shd w:val="clear" w:color="auto" w:fill="FFFFFF"/>
          <w14:ligatures w14:val="standardContextual"/>
        </w:rPr>
        <w:t>[3]</w:t>
      </w:r>
      <w:r w:rsidR="006B21EF">
        <w:rPr>
          <w:rFonts w:ascii="Times New Roman" w:eastAsia="Aptos" w:hAnsi="Times New Roman" w:cs="Times New Roman"/>
          <w:color w:val="000000"/>
          <w:kern w:val="2"/>
          <w:sz w:val="32"/>
          <w:szCs w:val="32"/>
          <w:u w:val="single"/>
          <w:shd w:val="clear" w:color="auto" w:fill="FFFFFF"/>
          <w14:ligatures w14:val="standardContextual"/>
        </w:rPr>
        <w:t>.</w:t>
      </w:r>
      <w:r w:rsidRPr="00877DE5">
        <w:rPr>
          <w:rFonts w:ascii="Times New Roman" w:eastAsia="Yandex Sans Text" w:hAnsi="Times New Roman" w:cs="Times New Roman"/>
          <w:color w:val="000000"/>
          <w:kern w:val="2"/>
          <w:sz w:val="32"/>
          <w:szCs w:val="32"/>
          <w:shd w:val="clear" w:color="auto" w:fill="FFFFFF"/>
          <w14:ligatures w14:val="standardContextual"/>
        </w:rPr>
        <w:t xml:space="preserve"> Министерство финансов Российской Федерации совместно с Центральным банком Российской Федерации представило в Правительство Российской Федерации проект Стратегии развития финансового рынка до 2030 года. Основная цель данного документа заключается в ускорении трансформации российской экономики, основанной на внутренних источниках финансирования инвестиционных проектов. Стратегия направлена на содействие развитию и структурной перестройке российской экономики, повышение качества жизни населения, улучшение финансовой грамотности граждан и создание условий для устойчивого роста финансового сектора. В качестве одной из приоритетных задач авторы стратегии определяют обеспечение доступа граждан и субъектов хозяйственной деятельности к финансовым инструментам, соответствующим их потребностям. К числу приоритетных направлений стратегии относятся: развитие рынка капитала, поддержка устойчивого экономического роста, цифровизация финансовой сферы, трансформация системы платежей и расчетов с иностранными партнерами, защита прав потребителей финансовых услуг, а также повышение уровня финансовой грамотности населения. Для реализации целей стратегии разрабатываются среднесрочные планы и дорожные карты, утвержденные Правительством Российской Федерации и Центральным банком Российской Федерации. Эти документы включают конкретные мероприятия с установленными сроками выполнения и ответственными исполнителями. В частности, одним из ключевых проектов является федеральный проект "Развитие </w:t>
      </w:r>
      <w:r w:rsidRPr="00877DE5">
        <w:rPr>
          <w:rFonts w:ascii="Times New Roman" w:eastAsia="Yandex Sans Text" w:hAnsi="Times New Roman" w:cs="Times New Roman"/>
          <w:color w:val="000000"/>
          <w:kern w:val="2"/>
          <w:sz w:val="32"/>
          <w:szCs w:val="32"/>
          <w:shd w:val="clear" w:color="auto" w:fill="FFFFFF"/>
          <w14:ligatures w14:val="standardContextual"/>
        </w:rPr>
        <w:lastRenderedPageBreak/>
        <w:t>финансового рынка" в рамках национального проекта "Эффективная и конкурентная эконом</w:t>
      </w:r>
      <w:r w:rsidR="006B21EF">
        <w:rPr>
          <w:rFonts w:ascii="Times New Roman" w:eastAsia="Yandex Sans Text" w:hAnsi="Times New Roman" w:cs="Times New Roman"/>
          <w:color w:val="000000"/>
          <w:kern w:val="2"/>
          <w:sz w:val="32"/>
          <w:szCs w:val="32"/>
          <w:shd w:val="clear" w:color="auto" w:fill="FFFFFF"/>
          <w14:ligatures w14:val="standardContextual"/>
        </w:rPr>
        <w:t xml:space="preserve">ика" </w:t>
      </w:r>
      <w:r w:rsidRPr="00877DE5">
        <w:rPr>
          <w:rFonts w:ascii="Times New Roman" w:eastAsia="Aptos" w:hAnsi="Times New Roman" w:cs="Times New Roman"/>
          <w:color w:val="000000"/>
          <w:kern w:val="2"/>
          <w:sz w:val="32"/>
          <w:szCs w:val="32"/>
          <w:u w:val="single"/>
          <w:shd w:val="clear" w:color="auto" w:fill="FFFFFF"/>
          <w14:ligatures w14:val="standardContextual"/>
        </w:rPr>
        <w:t>[4]</w:t>
      </w:r>
      <w:r w:rsidR="006B21EF">
        <w:rPr>
          <w:rFonts w:ascii="Times New Roman" w:eastAsia="Aptos" w:hAnsi="Times New Roman" w:cs="Times New Roman"/>
          <w:color w:val="000000"/>
          <w:kern w:val="2"/>
          <w:sz w:val="32"/>
          <w:szCs w:val="32"/>
          <w:u w:val="single"/>
          <w:shd w:val="clear" w:color="auto" w:fill="FFFFFF"/>
          <w14:ligatures w14:val="standardContextual"/>
        </w:rPr>
        <w:t>.</w:t>
      </w:r>
      <w:r w:rsidRPr="00877DE5">
        <w:rPr>
          <w:rFonts w:ascii="Times New Roman" w:eastAsia="Yandex Sans Text" w:hAnsi="Times New Roman" w:cs="Times New Roman"/>
          <w:color w:val="000000"/>
          <w:kern w:val="2"/>
          <w:sz w:val="32"/>
          <w:szCs w:val="32"/>
          <w:shd w:val="clear" w:color="auto" w:fill="FFFFFF"/>
          <w14:ligatures w14:val="standardContextual"/>
        </w:rPr>
        <w:t xml:space="preserve"> </w:t>
      </w:r>
    </w:p>
    <w:p w14:paraId="683C705D" w14:textId="77777777" w:rsidR="00877DE5" w:rsidRPr="00877DE5" w:rsidRDefault="00877DE5" w:rsidP="00067100">
      <w:pPr>
        <w:shd w:val="clear" w:color="auto" w:fill="FFFFFF"/>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Yandex Sans Text" w:hAnsi="Times New Roman" w:cs="Times New Roman"/>
          <w:color w:val="000000"/>
          <w:sz w:val="32"/>
          <w:szCs w:val="32"/>
          <w:shd w:val="clear" w:color="auto" w:fill="FFFFFF"/>
          <w:lang w:eastAsia="ru-RU"/>
        </w:rPr>
        <w:t>В рамках дальнейшего совершенствования регуляторной среды и повышения устойчивости финансового сектора, представляется целесообразным внедрение комплекса инновационных инструментов, учитывающих современные тенденции развития финансового рынка. Эти меры направлены на оптимизацию функционирования рынка ценных бумаг и повышение эффективности управления рисками.</w:t>
      </w:r>
    </w:p>
    <w:p w14:paraId="71AF9425" w14:textId="77777777" w:rsidR="00877DE5" w:rsidRPr="006B21EF" w:rsidRDefault="00877DE5" w:rsidP="00AD58CD">
      <w:pPr>
        <w:numPr>
          <w:ilvl w:val="0"/>
          <w:numId w:val="33"/>
        </w:numPr>
        <w:spacing w:after="0" w:line="240" w:lineRule="auto"/>
        <w:ind w:firstLine="709"/>
        <w:jc w:val="both"/>
        <w:rPr>
          <w:rFonts w:ascii="Times New Roman" w:eastAsia="Times New Roman" w:hAnsi="Times New Roman" w:cs="Times New Roman"/>
          <w:sz w:val="32"/>
          <w:szCs w:val="32"/>
          <w:lang w:eastAsia="ru-RU"/>
        </w:rPr>
      </w:pPr>
      <w:r w:rsidRPr="006B21EF">
        <w:rPr>
          <w:rFonts w:ascii="Times New Roman" w:eastAsia="Yandex Sans Text" w:hAnsi="Times New Roman" w:cs="Times New Roman"/>
          <w:bCs/>
          <w:color w:val="000000"/>
          <w:sz w:val="32"/>
          <w:szCs w:val="32"/>
          <w:shd w:val="clear" w:color="auto" w:fill="FFFFFF"/>
          <w:lang w:eastAsia="ru-RU"/>
        </w:rPr>
        <w:t>Повышение уровня финансовой грамотности среди неквалифицированных инвесторов.</w:t>
      </w:r>
      <w:r w:rsidRPr="006B21EF">
        <w:rPr>
          <w:rFonts w:ascii="Times New Roman" w:eastAsia="Yandex Sans Text" w:hAnsi="Times New Roman" w:cs="Times New Roman"/>
          <w:color w:val="000000"/>
          <w:sz w:val="32"/>
          <w:szCs w:val="32"/>
          <w:shd w:val="clear" w:color="auto" w:fill="FFFFFF"/>
          <w:lang w:eastAsia="ru-RU"/>
        </w:rPr>
        <w:t xml:space="preserve"> Формирование устойчивой культуры инвестирования требует систематического повышения уровня финансовой грамотности среди непрофессиональных участников рынка. Это позволит создать благоприятную инвестиционную среду, снизить нагрузку на регуляторные органы и стимулировать долгосрочные инвестиции. Инвесторы, обладающие знаниями о своих правах и возможностях, смогут более эффективно управлять своими активами, что приведёт к снижению случаев мошенничества и минимизации инвестиционных рисков. Для достижения данной цели необходимо разработать и внедрить комплексные образовательные программы, ориентированные на широкую аудиторию и учитывающие современные образовательные технологии.</w:t>
      </w:r>
    </w:p>
    <w:p w14:paraId="77D35303" w14:textId="77777777" w:rsidR="00877DE5" w:rsidRPr="006B21EF" w:rsidRDefault="00877DE5" w:rsidP="00AD58CD">
      <w:pPr>
        <w:numPr>
          <w:ilvl w:val="0"/>
          <w:numId w:val="33"/>
        </w:numPr>
        <w:spacing w:after="0" w:line="240" w:lineRule="auto"/>
        <w:ind w:firstLine="709"/>
        <w:jc w:val="both"/>
        <w:rPr>
          <w:rFonts w:ascii="Times New Roman" w:eastAsia="Times New Roman" w:hAnsi="Times New Roman" w:cs="Times New Roman"/>
          <w:sz w:val="32"/>
          <w:szCs w:val="32"/>
          <w:lang w:eastAsia="ru-RU"/>
        </w:rPr>
      </w:pPr>
      <w:r w:rsidRPr="006B21EF">
        <w:rPr>
          <w:rFonts w:ascii="Times New Roman" w:eastAsia="Yandex Sans Text" w:hAnsi="Times New Roman" w:cs="Times New Roman"/>
          <w:bCs/>
          <w:color w:val="000000"/>
          <w:sz w:val="32"/>
          <w:szCs w:val="32"/>
          <w:shd w:val="clear" w:color="auto" w:fill="FFFFFF"/>
          <w:lang w:eastAsia="ru-RU"/>
        </w:rPr>
        <w:t>Разработка алгоритмов прогнозирования рисков.</w:t>
      </w:r>
      <w:r w:rsidRPr="006B21EF">
        <w:rPr>
          <w:rFonts w:ascii="Times New Roman" w:eastAsia="Yandex Sans Text" w:hAnsi="Times New Roman" w:cs="Times New Roman"/>
          <w:color w:val="000000"/>
          <w:sz w:val="32"/>
          <w:szCs w:val="32"/>
          <w:shd w:val="clear" w:color="auto" w:fill="FFFFFF"/>
          <w:lang w:eastAsia="ru-RU"/>
        </w:rPr>
        <w:t xml:space="preserve"> Применение передовых технологий, таких как искусственный интеллект, машинное обучение, облачные технологии и анализ больших данных, открывает новые возможности для прогнозирования рисков на фондовом рынке. Это позволит более точно и оперативно оценивать потенциальные угрозы, связанные с политическими событиями, экономическими индикаторами и действиями участников рынка. Внедрение таких алгоритмов повысит качество риск-менеджмента и обеспечит более устойчивое функционирование финансового сектора.</w:t>
      </w:r>
    </w:p>
    <w:p w14:paraId="012498CC" w14:textId="77777777" w:rsidR="00877DE5" w:rsidRPr="006B21EF" w:rsidRDefault="00877DE5" w:rsidP="00AD58CD">
      <w:pPr>
        <w:numPr>
          <w:ilvl w:val="0"/>
          <w:numId w:val="33"/>
        </w:numPr>
        <w:spacing w:after="0" w:line="240" w:lineRule="auto"/>
        <w:ind w:firstLine="709"/>
        <w:jc w:val="both"/>
        <w:rPr>
          <w:rFonts w:ascii="Times New Roman" w:eastAsia="Times New Roman" w:hAnsi="Times New Roman" w:cs="Times New Roman"/>
          <w:sz w:val="32"/>
          <w:szCs w:val="32"/>
          <w:lang w:eastAsia="ru-RU"/>
        </w:rPr>
      </w:pPr>
      <w:r w:rsidRPr="006B21EF">
        <w:rPr>
          <w:rFonts w:ascii="Times New Roman" w:eastAsia="Yandex Sans Text" w:hAnsi="Times New Roman" w:cs="Times New Roman"/>
          <w:bCs/>
          <w:color w:val="000000"/>
          <w:sz w:val="32"/>
          <w:szCs w:val="32"/>
          <w:shd w:val="clear" w:color="auto" w:fill="FFFFFF"/>
          <w:lang w:eastAsia="ru-RU"/>
        </w:rPr>
        <w:t>Автоматизация операционных процессов и развитие онлайн-платформ.</w:t>
      </w:r>
      <w:r w:rsidRPr="006B21EF">
        <w:rPr>
          <w:rFonts w:ascii="Times New Roman" w:eastAsia="Yandex Sans Text" w:hAnsi="Times New Roman" w:cs="Times New Roman"/>
          <w:color w:val="000000"/>
          <w:sz w:val="32"/>
          <w:szCs w:val="32"/>
          <w:shd w:val="clear" w:color="auto" w:fill="FFFFFF"/>
          <w:lang w:eastAsia="ru-RU"/>
        </w:rPr>
        <w:t xml:space="preserve"> Внедрение автоматизированных систем и развитие онлайн-сервисов способствуют активизации торговой деятельности и повышению ликвидности рынка. Это, в свою очередь, создаёт более благоприятные условия для привлечения капитала и способствует развитию экономики в целом.</w:t>
      </w:r>
    </w:p>
    <w:p w14:paraId="74068394" w14:textId="77777777" w:rsidR="00877DE5" w:rsidRPr="006B21EF" w:rsidRDefault="00877DE5" w:rsidP="00AD58CD">
      <w:pPr>
        <w:numPr>
          <w:ilvl w:val="0"/>
          <w:numId w:val="33"/>
        </w:numPr>
        <w:spacing w:after="0" w:line="240" w:lineRule="auto"/>
        <w:ind w:firstLine="709"/>
        <w:jc w:val="both"/>
        <w:rPr>
          <w:rFonts w:ascii="Times New Roman" w:eastAsia="Times New Roman" w:hAnsi="Times New Roman" w:cs="Times New Roman"/>
          <w:sz w:val="32"/>
          <w:szCs w:val="32"/>
          <w:lang w:eastAsia="ru-RU"/>
        </w:rPr>
      </w:pPr>
      <w:r w:rsidRPr="006B21EF">
        <w:rPr>
          <w:rFonts w:ascii="Times New Roman" w:eastAsia="Yandex Sans Text" w:hAnsi="Times New Roman" w:cs="Times New Roman"/>
          <w:bCs/>
          <w:color w:val="000000"/>
          <w:sz w:val="32"/>
          <w:szCs w:val="32"/>
          <w:shd w:val="clear" w:color="auto" w:fill="FFFFFF"/>
          <w:lang w:eastAsia="ru-RU"/>
        </w:rPr>
        <w:t>Внедрение биометрических решений.</w:t>
      </w:r>
      <w:r w:rsidRPr="006B21EF">
        <w:rPr>
          <w:rFonts w:ascii="Times New Roman" w:eastAsia="Yandex Sans Text" w:hAnsi="Times New Roman" w:cs="Times New Roman"/>
          <w:color w:val="000000"/>
          <w:sz w:val="32"/>
          <w:szCs w:val="32"/>
          <w:shd w:val="clear" w:color="auto" w:fill="FFFFFF"/>
          <w:lang w:eastAsia="ru-RU"/>
        </w:rPr>
        <w:t xml:space="preserve"> Несмотря на </w:t>
      </w:r>
      <w:proofErr w:type="gramStart"/>
      <w:r w:rsidRPr="006B21EF">
        <w:rPr>
          <w:rFonts w:ascii="Times New Roman" w:eastAsia="Yandex Sans Text" w:hAnsi="Times New Roman" w:cs="Times New Roman"/>
          <w:color w:val="000000"/>
          <w:sz w:val="32"/>
          <w:szCs w:val="32"/>
          <w:shd w:val="clear" w:color="auto" w:fill="FFFFFF"/>
          <w:lang w:eastAsia="ru-RU"/>
        </w:rPr>
        <w:t>то</w:t>
      </w:r>
      <w:proofErr w:type="gramEnd"/>
      <w:r w:rsidRPr="006B21EF">
        <w:rPr>
          <w:rFonts w:ascii="Times New Roman" w:eastAsia="Yandex Sans Text" w:hAnsi="Times New Roman" w:cs="Times New Roman"/>
          <w:color w:val="000000"/>
          <w:sz w:val="32"/>
          <w:szCs w:val="32"/>
          <w:shd w:val="clear" w:color="auto" w:fill="FFFFFF"/>
          <w:lang w:eastAsia="ru-RU"/>
        </w:rPr>
        <w:t xml:space="preserve"> что биометрические технологии активно применяются с 2018 года, </w:t>
      </w:r>
      <w:r w:rsidRPr="006B21EF">
        <w:rPr>
          <w:rFonts w:ascii="Times New Roman" w:eastAsia="Yandex Sans Text" w:hAnsi="Times New Roman" w:cs="Times New Roman"/>
          <w:color w:val="000000"/>
          <w:sz w:val="32"/>
          <w:szCs w:val="32"/>
          <w:shd w:val="clear" w:color="auto" w:fill="FFFFFF"/>
          <w:lang w:eastAsia="ru-RU"/>
        </w:rPr>
        <w:lastRenderedPageBreak/>
        <w:t>учитывая ускоренную цифровизацию финансового сектора, необходимо сместить акцент на обеспечение кибербезопасности. Это позволит минимизировать риски, связанные с несанкционированным доступом к финансовым активам и операциям.</w:t>
      </w:r>
    </w:p>
    <w:p w14:paraId="38F2AAD2" w14:textId="77777777" w:rsidR="00877DE5" w:rsidRPr="006B21EF" w:rsidRDefault="00877DE5" w:rsidP="00AD58CD">
      <w:pPr>
        <w:numPr>
          <w:ilvl w:val="0"/>
          <w:numId w:val="33"/>
        </w:numPr>
        <w:spacing w:after="0" w:line="240" w:lineRule="auto"/>
        <w:ind w:firstLine="709"/>
        <w:jc w:val="both"/>
        <w:rPr>
          <w:rFonts w:ascii="Times New Roman" w:eastAsia="Times New Roman" w:hAnsi="Times New Roman" w:cs="Times New Roman"/>
          <w:sz w:val="32"/>
          <w:szCs w:val="32"/>
          <w:lang w:eastAsia="ru-RU"/>
        </w:rPr>
      </w:pPr>
      <w:r w:rsidRPr="006B21EF">
        <w:rPr>
          <w:rFonts w:ascii="Times New Roman" w:eastAsia="Yandex Sans Text" w:hAnsi="Times New Roman" w:cs="Times New Roman"/>
          <w:bCs/>
          <w:color w:val="000000"/>
          <w:sz w:val="32"/>
          <w:szCs w:val="32"/>
          <w:shd w:val="clear" w:color="auto" w:fill="FFFFFF"/>
          <w:lang w:eastAsia="ru-RU"/>
        </w:rPr>
        <w:t>Разработка нормативно-правовой базы для цифровых финансовых активов (ЦФА).</w:t>
      </w:r>
      <w:r w:rsidRPr="006B21EF">
        <w:rPr>
          <w:rFonts w:ascii="Times New Roman" w:eastAsia="Yandex Sans Text" w:hAnsi="Times New Roman" w:cs="Times New Roman"/>
          <w:color w:val="000000"/>
          <w:sz w:val="32"/>
          <w:szCs w:val="32"/>
          <w:shd w:val="clear" w:color="auto" w:fill="FFFFFF"/>
          <w:lang w:eastAsia="ru-RU"/>
        </w:rPr>
        <w:t xml:space="preserve"> Цифровые финансовые активы обладают рядом преимуществ, включая гибкость условий выпуска и возможность проведения операций с высокой скоростью. Внедрение нормативно-правовой базы для регулирования оборота ЦФА позволит интегрировать их в существующую финансовую инфраструктуру и создать новые возможности для привлечения капитала.</w:t>
      </w:r>
    </w:p>
    <w:p w14:paraId="50900870" w14:textId="77777777" w:rsidR="00877DE5" w:rsidRPr="006B21EF" w:rsidRDefault="00877DE5" w:rsidP="00067100">
      <w:pPr>
        <w:shd w:val="clear" w:color="auto" w:fill="FFFFFF"/>
        <w:spacing w:after="0" w:line="240" w:lineRule="auto"/>
        <w:ind w:firstLine="709"/>
        <w:jc w:val="both"/>
        <w:rPr>
          <w:rFonts w:ascii="Times New Roman" w:eastAsia="Yandex Sans Text" w:hAnsi="Times New Roman" w:cs="Times New Roman"/>
          <w:color w:val="000000"/>
          <w:sz w:val="32"/>
          <w:szCs w:val="32"/>
          <w:lang w:eastAsia="ru-RU"/>
        </w:rPr>
      </w:pPr>
      <w:r w:rsidRPr="006B21EF">
        <w:rPr>
          <w:rFonts w:ascii="Times New Roman" w:eastAsia="Yandex Sans Text" w:hAnsi="Times New Roman" w:cs="Times New Roman"/>
          <w:color w:val="000000"/>
          <w:sz w:val="32"/>
          <w:szCs w:val="32"/>
          <w:shd w:val="clear" w:color="auto" w:fill="FFFFFF"/>
          <w:lang w:eastAsia="ru-RU"/>
        </w:rPr>
        <w:t>В результате анализа можно сделать вывод, что совершенствование регулирования фондового рынка с помощью цифровизации является актуальной и важной задачей. Это обусловлено необходимостью повышения эффективности и прозрачности рынка, снижения рисков и защиты интересов инвесторов.</w:t>
      </w:r>
    </w:p>
    <w:p w14:paraId="40A09BD6" w14:textId="77777777" w:rsidR="00877DE5" w:rsidRPr="00877DE5" w:rsidRDefault="00877DE5" w:rsidP="00067100">
      <w:pPr>
        <w:shd w:val="clear" w:color="auto" w:fill="FFFFFF"/>
        <w:spacing w:after="0" w:line="240" w:lineRule="auto"/>
        <w:ind w:firstLine="709"/>
        <w:jc w:val="both"/>
        <w:rPr>
          <w:rFonts w:ascii="Times New Roman" w:eastAsia="Yandex Sans Text" w:hAnsi="Times New Roman" w:cs="Times New Roman"/>
          <w:color w:val="000000"/>
          <w:sz w:val="32"/>
          <w:szCs w:val="32"/>
          <w:lang w:eastAsia="ru-RU"/>
        </w:rPr>
      </w:pPr>
      <w:r w:rsidRPr="00877DE5">
        <w:rPr>
          <w:rFonts w:ascii="Times New Roman" w:eastAsia="Yandex Sans Text" w:hAnsi="Times New Roman" w:cs="Times New Roman"/>
          <w:color w:val="000000"/>
          <w:sz w:val="32"/>
          <w:szCs w:val="32"/>
          <w:shd w:val="clear" w:color="auto" w:fill="FFFFFF"/>
          <w:lang w:eastAsia="ru-RU"/>
        </w:rPr>
        <w:t>Опыт прошлых лет показывает, что традиционные методы регулирования могут быть недостаточно эффективными в условиях быстроменяющегося рынка и развития новых технологий. Поэтому необходимо внедрять цифровые инструменты и платформы, которые позволят более оперативно и точно отслеживать тенденции, анализировать большие объёмы данных и принимать обоснованные решения.</w:t>
      </w:r>
    </w:p>
    <w:p w14:paraId="6C8730D7" w14:textId="77777777" w:rsidR="00877DE5" w:rsidRPr="00877DE5" w:rsidRDefault="00877DE5" w:rsidP="00067100">
      <w:pPr>
        <w:shd w:val="clear" w:color="auto" w:fill="FFFFFF"/>
        <w:spacing w:after="0" w:line="240" w:lineRule="auto"/>
        <w:ind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Yandex Sans Text" w:hAnsi="Times New Roman" w:cs="Times New Roman"/>
          <w:color w:val="000000"/>
          <w:sz w:val="32"/>
          <w:szCs w:val="32"/>
          <w:shd w:val="clear" w:color="auto" w:fill="FFFFFF"/>
          <w:lang w:eastAsia="ru-RU"/>
        </w:rPr>
        <w:t>Совершенствование регулирования фондового рынка должно включать в себя разработку и внедрение новых цифровых технологий, повышение квалификации регуляторов и участников рынка, а также создание эффективной системы контроля и надзора. Это позволит обеспечить устойчивое развитие фондового рынка, повысить его конкурентоспособность и привлечь дополнительные инвестиции в экономику.</w:t>
      </w:r>
    </w:p>
    <w:p w14:paraId="1969889E" w14:textId="77777777" w:rsidR="00877DE5" w:rsidRPr="00877DE5" w:rsidRDefault="00877DE5" w:rsidP="00067100">
      <w:pPr>
        <w:shd w:val="clear" w:color="auto" w:fill="FFFFFF"/>
        <w:spacing w:after="0" w:line="240" w:lineRule="auto"/>
        <w:ind w:firstLine="709"/>
        <w:jc w:val="center"/>
        <w:rPr>
          <w:rFonts w:ascii="Times New Roman" w:eastAsia="Aptos" w:hAnsi="Times New Roman" w:cs="Times New Roman"/>
          <w:b/>
          <w:bCs/>
          <w:color w:val="0D0D0D"/>
          <w:kern w:val="2"/>
          <w:sz w:val="21"/>
          <w:szCs w:val="21"/>
          <w14:ligatures w14:val="standardContextual"/>
        </w:rPr>
      </w:pPr>
      <w:r w:rsidRPr="00877DE5">
        <w:rPr>
          <w:rFonts w:ascii="Times New Roman" w:eastAsia="Aptos" w:hAnsi="Times New Roman" w:cs="Times New Roman"/>
          <w:b/>
          <w:bCs/>
          <w:color w:val="0D0D0D"/>
          <w:kern w:val="2"/>
          <w:sz w:val="21"/>
          <w:szCs w:val="21"/>
          <w14:ligatures w14:val="standardContextual"/>
        </w:rPr>
        <w:t>Литература:</w:t>
      </w:r>
    </w:p>
    <w:p w14:paraId="00AAC715" w14:textId="77777777" w:rsidR="00877DE5" w:rsidRPr="00877DE5" w:rsidRDefault="00877DE5" w:rsidP="00067100">
      <w:pPr>
        <w:shd w:val="clear" w:color="auto" w:fill="FFFFFF"/>
        <w:spacing w:after="0" w:line="240" w:lineRule="auto"/>
        <w:ind w:firstLine="709"/>
        <w:jc w:val="both"/>
        <w:rPr>
          <w:rFonts w:ascii="Times New Roman" w:eastAsia="Aptos" w:hAnsi="Times New Roman" w:cs="Times New Roman"/>
          <w:color w:val="0D0D0D"/>
          <w:kern w:val="2"/>
          <w:sz w:val="21"/>
          <w:szCs w:val="21"/>
          <w14:ligatures w14:val="standardContextual"/>
        </w:rPr>
      </w:pPr>
      <w:r w:rsidRPr="00877DE5">
        <w:rPr>
          <w:rFonts w:ascii="Times New Roman" w:eastAsia="Aptos" w:hAnsi="Times New Roman" w:cs="Times New Roman"/>
          <w:color w:val="0D0D0D"/>
          <w:kern w:val="2"/>
          <w:sz w:val="21"/>
          <w:szCs w:val="21"/>
          <w14:ligatures w14:val="standardContextual"/>
        </w:rPr>
        <w:t>1.Федеральный закон от 22.04.1996 № 33-ФЗ «О рынке ценных бумаг» (с изм. и доп., вступ. в силу с 25.04.2025) [https://www.consultant.ru/document/cons_doc_LAW_10148/]</w:t>
      </w:r>
    </w:p>
    <w:p w14:paraId="32A40E27" w14:textId="77777777" w:rsidR="00877DE5" w:rsidRPr="00877DE5" w:rsidRDefault="00877DE5" w:rsidP="00067100">
      <w:pPr>
        <w:shd w:val="clear" w:color="auto" w:fill="FFFFFF"/>
        <w:spacing w:after="0" w:line="240" w:lineRule="auto"/>
        <w:ind w:firstLine="709"/>
        <w:jc w:val="both"/>
        <w:rPr>
          <w:rFonts w:ascii="Times New Roman" w:eastAsia="Aptos" w:hAnsi="Times New Roman" w:cs="Times New Roman"/>
          <w:color w:val="0D0D0D"/>
          <w:kern w:val="2"/>
          <w:sz w:val="21"/>
          <w:szCs w:val="21"/>
          <w14:ligatures w14:val="standardContextual"/>
        </w:rPr>
      </w:pPr>
      <w:r w:rsidRPr="00877DE5">
        <w:rPr>
          <w:rFonts w:ascii="Times New Roman" w:eastAsia="Aptos" w:hAnsi="Times New Roman" w:cs="Times New Roman"/>
          <w:color w:val="0D0D0D"/>
          <w:kern w:val="2"/>
          <w:sz w:val="21"/>
          <w:szCs w:val="21"/>
          <w14:ligatures w14:val="standardContextual"/>
        </w:rPr>
        <w:t xml:space="preserve">2.Мягкова Ю. </w:t>
      </w:r>
      <w:proofErr w:type="gramStart"/>
      <w:r w:rsidRPr="00877DE5">
        <w:rPr>
          <w:rFonts w:ascii="Times New Roman" w:eastAsia="Aptos" w:hAnsi="Times New Roman" w:cs="Times New Roman"/>
          <w:color w:val="0D0D0D"/>
          <w:kern w:val="2"/>
          <w:sz w:val="21"/>
          <w:szCs w:val="21"/>
          <w14:ligatures w14:val="standardContextual"/>
        </w:rPr>
        <w:t>Ю.,Асяева</w:t>
      </w:r>
      <w:proofErr w:type="gramEnd"/>
      <w:r w:rsidRPr="00877DE5">
        <w:rPr>
          <w:rFonts w:ascii="Times New Roman" w:eastAsia="Aptos" w:hAnsi="Times New Roman" w:cs="Times New Roman"/>
          <w:color w:val="0D0D0D"/>
          <w:kern w:val="2"/>
          <w:sz w:val="21"/>
          <w:szCs w:val="21"/>
          <w14:ligatures w14:val="standardContextual"/>
        </w:rPr>
        <w:t xml:space="preserve"> Э. А.Цифровизация финансового рынка РФ: возможности и риски// Финансовая жизнь. – 2023 – №2.</w:t>
      </w:r>
    </w:p>
    <w:p w14:paraId="5ABFB75F" w14:textId="77777777" w:rsidR="00877DE5" w:rsidRPr="00877DE5" w:rsidRDefault="00877DE5" w:rsidP="00067100">
      <w:pPr>
        <w:shd w:val="clear" w:color="auto" w:fill="FFFFFF"/>
        <w:spacing w:after="0" w:line="240" w:lineRule="auto"/>
        <w:ind w:firstLine="709"/>
        <w:jc w:val="both"/>
        <w:rPr>
          <w:rFonts w:ascii="Times New Roman" w:eastAsia="Aptos" w:hAnsi="Times New Roman" w:cs="Times New Roman"/>
          <w:color w:val="0D0D0D"/>
          <w:kern w:val="2"/>
          <w:sz w:val="21"/>
          <w:szCs w:val="21"/>
          <w14:ligatures w14:val="standardContextual"/>
        </w:rPr>
      </w:pPr>
      <w:r w:rsidRPr="00877DE5">
        <w:rPr>
          <w:rFonts w:ascii="Times New Roman" w:eastAsia="Aptos" w:hAnsi="Times New Roman" w:cs="Times New Roman"/>
          <w:color w:val="0D0D0D"/>
          <w:kern w:val="2"/>
          <w:sz w:val="21"/>
          <w:szCs w:val="21"/>
          <w14:ligatures w14:val="standardContextual"/>
        </w:rPr>
        <w:t>3.https://www.economy.gov.ru/ (дата обращения: 15.05.2025)</w:t>
      </w:r>
    </w:p>
    <w:p w14:paraId="07EAAE9D" w14:textId="77777777" w:rsidR="00877DE5" w:rsidRPr="00877DE5" w:rsidRDefault="00877DE5" w:rsidP="00067100">
      <w:pPr>
        <w:shd w:val="clear" w:color="auto" w:fill="FFFFFF"/>
        <w:spacing w:after="0" w:line="240" w:lineRule="auto"/>
        <w:ind w:firstLine="709"/>
        <w:jc w:val="both"/>
        <w:rPr>
          <w:rFonts w:ascii="Times New Roman" w:eastAsia="Aptos" w:hAnsi="Times New Roman" w:cs="Times New Roman"/>
          <w:color w:val="0D0D0D"/>
          <w:kern w:val="2"/>
          <w:sz w:val="21"/>
          <w:szCs w:val="21"/>
          <w14:ligatures w14:val="standardContextual"/>
        </w:rPr>
      </w:pPr>
      <w:r w:rsidRPr="00877DE5">
        <w:rPr>
          <w:rFonts w:ascii="Times New Roman" w:eastAsia="Aptos" w:hAnsi="Times New Roman" w:cs="Times New Roman"/>
          <w:color w:val="0D0D0D"/>
          <w:kern w:val="2"/>
          <w:sz w:val="21"/>
          <w:szCs w:val="21"/>
          <w14:ligatures w14:val="standardContextual"/>
        </w:rPr>
        <w:t xml:space="preserve">4. </w:t>
      </w:r>
      <w:hyperlink r:id="rId286" w:history="1">
        <w:r w:rsidRPr="00877DE5">
          <w:rPr>
            <w:rFonts w:ascii="Times New Roman" w:eastAsia="Aptos" w:hAnsi="Times New Roman" w:cs="Times New Roman"/>
            <w:color w:val="467886"/>
            <w:kern w:val="2"/>
            <w:sz w:val="21"/>
            <w:szCs w:val="21"/>
            <w:u w:val="single"/>
            <w14:ligatures w14:val="standardContextual"/>
          </w:rPr>
          <w:t>https://advis.ru/</w:t>
        </w:r>
      </w:hyperlink>
      <w:r w:rsidRPr="00877DE5">
        <w:rPr>
          <w:rFonts w:ascii="Times New Roman" w:eastAsia="Aptos" w:hAnsi="Times New Roman" w:cs="Times New Roman"/>
          <w:color w:val="0D0D0D"/>
          <w:kern w:val="2"/>
          <w:sz w:val="21"/>
          <w:szCs w:val="21"/>
          <w14:ligatures w14:val="standardContextual"/>
        </w:rPr>
        <w:t xml:space="preserve"> (дата обращения 15.05.2025)</w:t>
      </w:r>
    </w:p>
    <w:p w14:paraId="513978D4" w14:textId="77777777" w:rsidR="00EE54F2" w:rsidRDefault="00EE54F2" w:rsidP="00E2076B">
      <w:pPr>
        <w:rPr>
          <w:rFonts w:ascii="Times New Roman" w:hAnsi="Times New Roman" w:cs="Times New Roman"/>
          <w:b/>
          <w:color w:val="000000" w:themeColor="text1"/>
          <w:sz w:val="32"/>
          <w:szCs w:val="32"/>
        </w:rPr>
      </w:pPr>
    </w:p>
    <w:p w14:paraId="121675DA" w14:textId="265DEA07" w:rsidR="00C24B97" w:rsidRPr="00EE54F2" w:rsidRDefault="00C24B97" w:rsidP="00E2076B">
      <w:pPr>
        <w:rPr>
          <w:rFonts w:ascii="Times New Roman" w:hAnsi="Times New Roman" w:cs="Times New Roman"/>
          <w:b/>
          <w:color w:val="000000" w:themeColor="text1"/>
          <w:sz w:val="32"/>
          <w:szCs w:val="32"/>
        </w:rPr>
      </w:pPr>
    </w:p>
    <w:p w14:paraId="24DD34E9" w14:textId="77777777" w:rsidR="00EE54F2" w:rsidRPr="00EE54F2" w:rsidRDefault="00EE54F2" w:rsidP="00357CF0">
      <w:pPr>
        <w:pStyle w:val="1"/>
        <w:jc w:val="center"/>
        <w:rPr>
          <w:b w:val="0"/>
          <w:color w:val="000000" w:themeColor="text1"/>
          <w:sz w:val="32"/>
          <w:szCs w:val="32"/>
        </w:rPr>
      </w:pPr>
      <w:r w:rsidRPr="00EE54F2">
        <w:rPr>
          <w:color w:val="000000" w:themeColor="text1"/>
          <w:sz w:val="32"/>
          <w:szCs w:val="32"/>
        </w:rPr>
        <w:lastRenderedPageBreak/>
        <w:t>РАЗДЕЛ 3</w:t>
      </w:r>
    </w:p>
    <w:p w14:paraId="55438498" w14:textId="77777777" w:rsidR="00EE54F2" w:rsidRPr="00EE54F2" w:rsidRDefault="00EE54F2" w:rsidP="00357CF0">
      <w:pPr>
        <w:pStyle w:val="1"/>
        <w:jc w:val="center"/>
        <w:rPr>
          <w:b w:val="0"/>
          <w:sz w:val="32"/>
          <w:szCs w:val="32"/>
        </w:rPr>
      </w:pPr>
      <w:r w:rsidRPr="00EE54F2">
        <w:rPr>
          <w:sz w:val="32"/>
          <w:szCs w:val="32"/>
        </w:rPr>
        <w:t>МЕНЕДЖМЕНТ В ПУБЛИЧНОЙ И КОММЕРЧЕСКОЙ СФЕРАХ АКТУАЛИЗАЦИЯ МЕХАНИЗМОВ И НАПРАВЛЕНИЙ УПРАВЛЕНЧЕСКОЙ ДЕЯТЕЛЬНОСТИ</w:t>
      </w:r>
    </w:p>
    <w:p w14:paraId="1A428CAB" w14:textId="77777777" w:rsidR="00EE54F2" w:rsidRDefault="00EE54F2" w:rsidP="00067100">
      <w:pPr>
        <w:spacing w:after="0" w:line="240" w:lineRule="auto"/>
        <w:ind w:firstLine="709"/>
        <w:rPr>
          <w:rFonts w:ascii="Times New Roman" w:eastAsia="Times New Roman" w:hAnsi="Times New Roman" w:cs="Times New Roman"/>
          <w:b/>
          <w:sz w:val="28"/>
          <w:szCs w:val="28"/>
          <w:lang w:eastAsia="ru-RU"/>
        </w:rPr>
      </w:pPr>
    </w:p>
    <w:p w14:paraId="061B409C" w14:textId="77777777" w:rsidR="00877DE5" w:rsidRPr="00877DE5" w:rsidRDefault="00877DE5" w:rsidP="000B3AFF">
      <w:pPr>
        <w:spacing w:after="0" w:line="240" w:lineRule="auto"/>
        <w:rPr>
          <w:rFonts w:ascii="Times New Roman" w:eastAsia="Calibri" w:hAnsi="Times New Roman" w:cs="Times New Roman"/>
          <w:b/>
          <w:sz w:val="21"/>
          <w:szCs w:val="21"/>
        </w:rPr>
      </w:pPr>
      <w:r w:rsidRPr="00877DE5">
        <w:rPr>
          <w:rFonts w:ascii="Times New Roman" w:eastAsia="Calibri" w:hAnsi="Times New Roman" w:cs="Times New Roman"/>
          <w:b/>
          <w:sz w:val="21"/>
          <w:szCs w:val="21"/>
        </w:rPr>
        <w:t>УДК 005.96</w:t>
      </w:r>
    </w:p>
    <w:p w14:paraId="5E8A54E5"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Геворгян А.Г.,</w:t>
      </w:r>
    </w:p>
    <w:p w14:paraId="7BE7C62E"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студентка 3 курса</w:t>
      </w:r>
    </w:p>
    <w:p w14:paraId="05AACF9F"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04EBB273"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г. Краснодар, Россия</w:t>
      </w:r>
    </w:p>
    <w:p w14:paraId="61299548"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lang w:val="en-US"/>
        </w:rPr>
        <w:t>e</w:t>
      </w:r>
      <w:r w:rsidRPr="00877DE5">
        <w:rPr>
          <w:rFonts w:ascii="Times New Roman" w:eastAsia="Calibri" w:hAnsi="Times New Roman" w:cs="Times New Roman"/>
          <w:i/>
          <w:sz w:val="21"/>
          <w:szCs w:val="21"/>
        </w:rPr>
        <w:t>-</w:t>
      </w:r>
      <w:r w:rsidRPr="00877DE5">
        <w:rPr>
          <w:rFonts w:ascii="Times New Roman" w:eastAsia="Calibri" w:hAnsi="Times New Roman" w:cs="Times New Roman"/>
          <w:i/>
          <w:sz w:val="21"/>
          <w:szCs w:val="21"/>
          <w:lang w:val="en-US"/>
        </w:rPr>
        <w:t>mail</w:t>
      </w:r>
      <w:r w:rsidRPr="00877DE5">
        <w:rPr>
          <w:rFonts w:ascii="Times New Roman" w:eastAsia="Calibri" w:hAnsi="Times New Roman" w:cs="Times New Roman"/>
          <w:i/>
          <w:sz w:val="21"/>
          <w:szCs w:val="21"/>
        </w:rPr>
        <w:t xml:space="preserve">: </w:t>
      </w:r>
      <w:hyperlink r:id="rId287" w:history="1">
        <w:r w:rsidRPr="00877DE5">
          <w:rPr>
            <w:rFonts w:ascii="Times New Roman" w:eastAsia="Calibri" w:hAnsi="Times New Roman" w:cs="Times New Roman"/>
            <w:i/>
            <w:color w:val="0563C1"/>
            <w:sz w:val="21"/>
            <w:szCs w:val="21"/>
            <w:u w:val="single"/>
            <w:lang w:val="en-US"/>
          </w:rPr>
          <w:t>angelinagevo</w:t>
        </w:r>
        <w:r w:rsidRPr="00EE54F2">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gmail</w:t>
        </w:r>
        <w:r w:rsidRPr="00EE54F2">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com</w:t>
        </w:r>
      </w:hyperlink>
      <w:r w:rsidRPr="00877DE5">
        <w:rPr>
          <w:rFonts w:ascii="Times New Roman" w:eastAsia="Calibri" w:hAnsi="Times New Roman" w:cs="Times New Roman"/>
          <w:i/>
          <w:sz w:val="21"/>
          <w:szCs w:val="21"/>
        </w:rPr>
        <w:t xml:space="preserve">  </w:t>
      </w:r>
    </w:p>
    <w:p w14:paraId="1350CB24"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p>
    <w:p w14:paraId="1D8DF1B5"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Научный руководитель:</w:t>
      </w:r>
    </w:p>
    <w:p w14:paraId="697E671F"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Рубин А.Г.,</w:t>
      </w:r>
    </w:p>
    <w:p w14:paraId="3146FD35"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доцент, к.э.н.</w:t>
      </w:r>
    </w:p>
    <w:p w14:paraId="0B6CB825"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64E10768"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г. Краснодар, Россия</w:t>
      </w:r>
    </w:p>
    <w:p w14:paraId="27E601D1" w14:textId="77777777" w:rsidR="00877DE5" w:rsidRPr="00350EE8"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e</w:t>
      </w:r>
      <w:r w:rsidRPr="00350EE8">
        <w:rPr>
          <w:rFonts w:ascii="Times New Roman" w:eastAsia="Calibri" w:hAnsi="Times New Roman" w:cs="Times New Roman"/>
          <w:i/>
          <w:sz w:val="21"/>
          <w:szCs w:val="21"/>
          <w:lang w:val="en-US"/>
        </w:rPr>
        <w:t>-</w:t>
      </w:r>
      <w:r w:rsidRPr="00877DE5">
        <w:rPr>
          <w:rFonts w:ascii="Times New Roman" w:eastAsia="Calibri" w:hAnsi="Times New Roman" w:cs="Times New Roman"/>
          <w:i/>
          <w:sz w:val="21"/>
          <w:szCs w:val="21"/>
          <w:lang w:val="en-US"/>
        </w:rPr>
        <w:t>mail</w:t>
      </w:r>
      <w:r w:rsidRPr="00350EE8">
        <w:rPr>
          <w:rFonts w:ascii="Times New Roman" w:eastAsia="Calibri" w:hAnsi="Times New Roman" w:cs="Times New Roman"/>
          <w:i/>
          <w:sz w:val="21"/>
          <w:szCs w:val="21"/>
          <w:lang w:val="en-US"/>
        </w:rPr>
        <w:t xml:space="preserve">: </w:t>
      </w:r>
      <w:bookmarkStart w:id="60" w:name="_Hlk198605193"/>
      <w:r w:rsidRPr="00877DE5">
        <w:rPr>
          <w:rFonts w:ascii="Times New Roman" w:eastAsia="Calibri" w:hAnsi="Times New Roman" w:cs="Times New Roman"/>
          <w:i/>
          <w:sz w:val="21"/>
          <w:szCs w:val="21"/>
          <w:lang w:val="en-US"/>
        </w:rPr>
        <w:fldChar w:fldCharType="begin"/>
      </w:r>
      <w:r w:rsidRPr="00350EE8">
        <w:rPr>
          <w:rFonts w:ascii="Times New Roman" w:eastAsia="Calibri" w:hAnsi="Times New Roman" w:cs="Times New Roman"/>
          <w:i/>
          <w:sz w:val="21"/>
          <w:szCs w:val="21"/>
          <w:lang w:val="en-US"/>
        </w:rPr>
        <w:instrText xml:space="preserve"> </w:instrText>
      </w:r>
      <w:r w:rsidRPr="00877DE5">
        <w:rPr>
          <w:rFonts w:ascii="Times New Roman" w:eastAsia="Calibri" w:hAnsi="Times New Roman" w:cs="Times New Roman"/>
          <w:i/>
          <w:sz w:val="21"/>
          <w:szCs w:val="21"/>
          <w:lang w:val="en-US"/>
        </w:rPr>
        <w:instrText>HYPERLINK</w:instrText>
      </w:r>
      <w:r w:rsidRPr="00350EE8">
        <w:rPr>
          <w:rFonts w:ascii="Times New Roman" w:eastAsia="Calibri" w:hAnsi="Times New Roman" w:cs="Times New Roman"/>
          <w:i/>
          <w:sz w:val="21"/>
          <w:szCs w:val="21"/>
          <w:lang w:val="en-US"/>
        </w:rPr>
        <w:instrText xml:space="preserve"> "</w:instrText>
      </w:r>
      <w:r w:rsidRPr="00877DE5">
        <w:rPr>
          <w:rFonts w:ascii="Times New Roman" w:eastAsia="Calibri" w:hAnsi="Times New Roman" w:cs="Times New Roman"/>
          <w:i/>
          <w:sz w:val="21"/>
          <w:szCs w:val="21"/>
          <w:lang w:val="en-US"/>
        </w:rPr>
        <w:instrText>mailto</w:instrText>
      </w:r>
      <w:r w:rsidRPr="00350EE8">
        <w:rPr>
          <w:rFonts w:ascii="Times New Roman" w:eastAsia="Calibri" w:hAnsi="Times New Roman" w:cs="Times New Roman"/>
          <w:i/>
          <w:sz w:val="21"/>
          <w:szCs w:val="21"/>
          <w:lang w:val="en-US"/>
        </w:rPr>
        <w:instrText>:</w:instrText>
      </w:r>
      <w:r w:rsidRPr="00877DE5">
        <w:rPr>
          <w:rFonts w:ascii="Times New Roman" w:eastAsia="Calibri" w:hAnsi="Times New Roman" w:cs="Times New Roman"/>
          <w:i/>
          <w:sz w:val="21"/>
          <w:szCs w:val="21"/>
          <w:lang w:val="en-US"/>
        </w:rPr>
        <w:instrText>AGRubin</w:instrText>
      </w:r>
      <w:r w:rsidRPr="00350EE8">
        <w:rPr>
          <w:rFonts w:ascii="Times New Roman" w:eastAsia="Calibri" w:hAnsi="Times New Roman" w:cs="Times New Roman"/>
          <w:i/>
          <w:sz w:val="21"/>
          <w:szCs w:val="21"/>
          <w:lang w:val="en-US"/>
        </w:rPr>
        <w:instrText>@</w:instrText>
      </w:r>
      <w:r w:rsidRPr="00877DE5">
        <w:rPr>
          <w:rFonts w:ascii="Times New Roman" w:eastAsia="Calibri" w:hAnsi="Times New Roman" w:cs="Times New Roman"/>
          <w:i/>
          <w:sz w:val="21"/>
          <w:szCs w:val="21"/>
          <w:lang w:val="en-US"/>
        </w:rPr>
        <w:instrText>fa</w:instrText>
      </w:r>
      <w:r w:rsidRPr="00350EE8">
        <w:rPr>
          <w:rFonts w:ascii="Times New Roman" w:eastAsia="Calibri" w:hAnsi="Times New Roman" w:cs="Times New Roman"/>
          <w:i/>
          <w:sz w:val="21"/>
          <w:szCs w:val="21"/>
          <w:lang w:val="en-US"/>
        </w:rPr>
        <w:instrText>.</w:instrText>
      </w:r>
      <w:r w:rsidRPr="00877DE5">
        <w:rPr>
          <w:rFonts w:ascii="Times New Roman" w:eastAsia="Calibri" w:hAnsi="Times New Roman" w:cs="Times New Roman"/>
          <w:i/>
          <w:sz w:val="21"/>
          <w:szCs w:val="21"/>
          <w:lang w:val="en-US"/>
        </w:rPr>
        <w:instrText>ru</w:instrText>
      </w:r>
      <w:r w:rsidRPr="00350EE8">
        <w:rPr>
          <w:rFonts w:ascii="Times New Roman" w:eastAsia="Calibri" w:hAnsi="Times New Roman" w:cs="Times New Roman"/>
          <w:i/>
          <w:sz w:val="21"/>
          <w:szCs w:val="21"/>
          <w:lang w:val="en-US"/>
        </w:rPr>
        <w:instrText xml:space="preserve">" </w:instrText>
      </w:r>
      <w:r w:rsidRPr="00877DE5">
        <w:rPr>
          <w:rFonts w:ascii="Times New Roman" w:eastAsia="Calibri" w:hAnsi="Times New Roman" w:cs="Times New Roman"/>
          <w:i/>
          <w:sz w:val="21"/>
          <w:szCs w:val="21"/>
          <w:lang w:val="en-US"/>
        </w:rPr>
        <w:fldChar w:fldCharType="separate"/>
      </w:r>
      <w:r w:rsidRPr="00877DE5">
        <w:rPr>
          <w:rFonts w:ascii="Times New Roman" w:eastAsia="Calibri" w:hAnsi="Times New Roman" w:cs="Times New Roman"/>
          <w:i/>
          <w:color w:val="0563C1"/>
          <w:sz w:val="21"/>
          <w:szCs w:val="21"/>
          <w:u w:val="single"/>
          <w:lang w:val="en-US"/>
        </w:rPr>
        <w:t>AGRubin</w:t>
      </w:r>
      <w:r w:rsidRPr="00350EE8">
        <w:rPr>
          <w:rFonts w:ascii="Times New Roman" w:eastAsia="Calibri" w:hAnsi="Times New Roman" w:cs="Times New Roman"/>
          <w:i/>
          <w:color w:val="0563C1"/>
          <w:sz w:val="21"/>
          <w:szCs w:val="21"/>
          <w:u w:val="single"/>
          <w:lang w:val="en-US"/>
        </w:rPr>
        <w:t>@</w:t>
      </w:r>
      <w:r w:rsidRPr="00877DE5">
        <w:rPr>
          <w:rFonts w:ascii="Times New Roman" w:eastAsia="Calibri" w:hAnsi="Times New Roman" w:cs="Times New Roman"/>
          <w:i/>
          <w:color w:val="0563C1"/>
          <w:sz w:val="21"/>
          <w:szCs w:val="21"/>
          <w:u w:val="single"/>
          <w:lang w:val="en-US"/>
        </w:rPr>
        <w:t>fa</w:t>
      </w:r>
      <w:r w:rsidRPr="00350EE8">
        <w:rPr>
          <w:rFonts w:ascii="Times New Roman" w:eastAsia="Calibri" w:hAnsi="Times New Roman" w:cs="Times New Roman"/>
          <w:i/>
          <w:color w:val="0563C1"/>
          <w:sz w:val="21"/>
          <w:szCs w:val="21"/>
          <w:u w:val="single"/>
          <w:lang w:val="en-US"/>
        </w:rPr>
        <w:t>.</w:t>
      </w:r>
      <w:r w:rsidRPr="00877DE5">
        <w:rPr>
          <w:rFonts w:ascii="Times New Roman" w:eastAsia="Calibri" w:hAnsi="Times New Roman" w:cs="Times New Roman"/>
          <w:i/>
          <w:color w:val="0563C1"/>
          <w:sz w:val="21"/>
          <w:szCs w:val="21"/>
          <w:u w:val="single"/>
          <w:lang w:val="en-US"/>
        </w:rPr>
        <w:t>ru</w:t>
      </w:r>
      <w:bookmarkEnd w:id="60"/>
      <w:r w:rsidRPr="00877DE5">
        <w:rPr>
          <w:rFonts w:ascii="Times New Roman" w:eastAsia="Calibri" w:hAnsi="Times New Roman" w:cs="Times New Roman"/>
          <w:i/>
          <w:sz w:val="21"/>
          <w:szCs w:val="21"/>
          <w:lang w:val="en-US"/>
        </w:rPr>
        <w:fldChar w:fldCharType="end"/>
      </w:r>
      <w:r w:rsidRPr="00350EE8">
        <w:rPr>
          <w:rFonts w:ascii="Times New Roman" w:eastAsia="Calibri" w:hAnsi="Times New Roman" w:cs="Times New Roman"/>
          <w:i/>
          <w:sz w:val="21"/>
          <w:szCs w:val="21"/>
          <w:lang w:val="en-US"/>
        </w:rPr>
        <w:t xml:space="preserve"> </w:t>
      </w:r>
    </w:p>
    <w:p w14:paraId="3DE06B05" w14:textId="77777777" w:rsidR="00877DE5" w:rsidRPr="00350EE8" w:rsidRDefault="00877DE5" w:rsidP="00067100">
      <w:pPr>
        <w:spacing w:after="0" w:line="240" w:lineRule="auto"/>
        <w:ind w:firstLine="709"/>
        <w:jc w:val="right"/>
        <w:rPr>
          <w:rFonts w:ascii="Times New Roman" w:eastAsia="Calibri" w:hAnsi="Times New Roman" w:cs="Times New Roman"/>
          <w:i/>
          <w:sz w:val="21"/>
          <w:szCs w:val="21"/>
          <w:lang w:val="en-US"/>
        </w:rPr>
      </w:pPr>
    </w:p>
    <w:p w14:paraId="65766C37"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rPr>
      </w:pPr>
      <w:r w:rsidRPr="00877DE5">
        <w:rPr>
          <w:rFonts w:ascii="Times New Roman" w:eastAsia="Calibri" w:hAnsi="Times New Roman" w:cs="Times New Roman"/>
          <w:b/>
          <w:sz w:val="21"/>
          <w:szCs w:val="21"/>
        </w:rPr>
        <w:t xml:space="preserve">Цифровизация управления человеческими ресурсами в современных организациях </w:t>
      </w:r>
    </w:p>
    <w:p w14:paraId="0B226C2D"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rPr>
      </w:pPr>
    </w:p>
    <w:p w14:paraId="429CA6EE" w14:textId="77777777" w:rsidR="00877DE5" w:rsidRPr="00877DE5" w:rsidRDefault="00877DE5" w:rsidP="00067100">
      <w:pPr>
        <w:spacing w:after="0" w:line="240" w:lineRule="auto"/>
        <w:ind w:firstLine="709"/>
        <w:jc w:val="both"/>
        <w:rPr>
          <w:rFonts w:ascii="Times New Roman" w:eastAsia="Calibri" w:hAnsi="Times New Roman" w:cs="Times New Roman"/>
          <w:bCs/>
          <w:sz w:val="21"/>
          <w:szCs w:val="21"/>
        </w:rPr>
      </w:pPr>
      <w:r w:rsidRPr="00877DE5">
        <w:rPr>
          <w:rFonts w:ascii="Times New Roman" w:eastAsia="Calibri" w:hAnsi="Times New Roman" w:cs="Times New Roman"/>
          <w:b/>
          <w:sz w:val="21"/>
          <w:szCs w:val="21"/>
        </w:rPr>
        <w:t>Аннотация:</w:t>
      </w:r>
      <w:bookmarkStart w:id="61" w:name="_Hlk198602126"/>
      <w:r w:rsidRPr="00877DE5">
        <w:rPr>
          <w:rFonts w:ascii="Times New Roman" w:eastAsia="Calibri" w:hAnsi="Times New Roman" w:cs="Times New Roman"/>
          <w:b/>
          <w:sz w:val="21"/>
          <w:szCs w:val="21"/>
        </w:rPr>
        <w:t xml:space="preserve"> </w:t>
      </w:r>
      <w:r w:rsidRPr="00877DE5">
        <w:rPr>
          <w:rFonts w:ascii="Times New Roman" w:eastAsia="Calibri" w:hAnsi="Times New Roman" w:cs="Times New Roman"/>
          <w:bCs/>
          <w:sz w:val="21"/>
          <w:szCs w:val="21"/>
        </w:rPr>
        <w:t xml:space="preserve">В статье рассматривается процесс цифровизации управления человеческими ресурсами (УЧР) в современных организациях, изучается применение искусственного интеллекта в УЧР и определяются связанные с этим риски. Определяется перечень востребованных в будущем компетенций и новых профессий на стыке </w:t>
      </w:r>
      <w:r w:rsidRPr="00877DE5">
        <w:rPr>
          <w:rFonts w:ascii="Times New Roman" w:eastAsia="Calibri" w:hAnsi="Times New Roman" w:cs="Times New Roman"/>
          <w:bCs/>
          <w:sz w:val="21"/>
          <w:szCs w:val="21"/>
          <w:lang w:val="en-US"/>
        </w:rPr>
        <w:t>HR</w:t>
      </w:r>
      <w:r w:rsidRPr="00877DE5">
        <w:rPr>
          <w:rFonts w:ascii="Times New Roman" w:eastAsia="Calibri" w:hAnsi="Times New Roman" w:cs="Times New Roman"/>
          <w:bCs/>
          <w:sz w:val="21"/>
          <w:szCs w:val="21"/>
        </w:rPr>
        <w:t xml:space="preserve"> и </w:t>
      </w:r>
      <w:r w:rsidRPr="00877DE5">
        <w:rPr>
          <w:rFonts w:ascii="Times New Roman" w:eastAsia="Calibri" w:hAnsi="Times New Roman" w:cs="Times New Roman"/>
          <w:bCs/>
          <w:sz w:val="21"/>
          <w:szCs w:val="21"/>
          <w:lang w:val="en-US"/>
        </w:rPr>
        <w:t>IT</w:t>
      </w:r>
      <w:r w:rsidRPr="00877DE5">
        <w:rPr>
          <w:rFonts w:ascii="Times New Roman" w:eastAsia="Calibri" w:hAnsi="Times New Roman" w:cs="Times New Roman"/>
          <w:bCs/>
          <w:sz w:val="21"/>
          <w:szCs w:val="21"/>
        </w:rPr>
        <w:t>. Разработаны рекомендации по снижению рисков, связанных с потенциальной потерей рабочих мест и с цифровым дисбалансом между крупными компаниями и МСБ.</w:t>
      </w:r>
    </w:p>
    <w:p w14:paraId="0EBCD53A"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sz w:val="21"/>
          <w:szCs w:val="21"/>
        </w:rPr>
        <w:t>Ключевые слова:</w:t>
      </w:r>
      <w:r w:rsidRPr="00877DE5">
        <w:rPr>
          <w:rFonts w:ascii="Times New Roman" w:eastAsia="Calibri" w:hAnsi="Times New Roman" w:cs="Times New Roman"/>
          <w:sz w:val="21"/>
          <w:szCs w:val="21"/>
        </w:rPr>
        <w:t xml:space="preserve"> цифровизация </w:t>
      </w:r>
      <w:r w:rsidRPr="00877DE5">
        <w:rPr>
          <w:rFonts w:ascii="Times New Roman" w:eastAsia="Calibri" w:hAnsi="Times New Roman" w:cs="Times New Roman"/>
          <w:sz w:val="21"/>
          <w:szCs w:val="21"/>
          <w:lang w:val="en-US"/>
        </w:rPr>
        <w:t>HR</w:t>
      </w:r>
      <w:r w:rsidRPr="00877DE5">
        <w:rPr>
          <w:rFonts w:ascii="Times New Roman" w:eastAsia="Calibri" w:hAnsi="Times New Roman" w:cs="Times New Roman"/>
          <w:sz w:val="21"/>
          <w:szCs w:val="21"/>
        </w:rPr>
        <w:t xml:space="preserve">, цифровая зрелость, цифровая трансформация управления человеческими ресурсами, искусственный интеллект </w:t>
      </w:r>
      <w:bookmarkStart w:id="62" w:name="_Hlk198604919"/>
      <w:r w:rsidRPr="00877DE5">
        <w:rPr>
          <w:rFonts w:ascii="Times New Roman" w:eastAsia="Calibri" w:hAnsi="Times New Roman" w:cs="Times New Roman"/>
          <w:sz w:val="21"/>
          <w:szCs w:val="21"/>
        </w:rPr>
        <w:t xml:space="preserve">в </w:t>
      </w:r>
      <w:r w:rsidRPr="00877DE5">
        <w:rPr>
          <w:rFonts w:ascii="Times New Roman" w:eastAsia="Calibri" w:hAnsi="Times New Roman" w:cs="Times New Roman"/>
          <w:sz w:val="21"/>
          <w:szCs w:val="21"/>
          <w:lang w:val="en-US"/>
        </w:rPr>
        <w:t>HR</w:t>
      </w:r>
      <w:r w:rsidRPr="00877DE5">
        <w:rPr>
          <w:rFonts w:ascii="Times New Roman" w:eastAsia="Calibri" w:hAnsi="Times New Roman" w:cs="Times New Roman"/>
          <w:sz w:val="21"/>
          <w:szCs w:val="21"/>
        </w:rPr>
        <w:t>-менеджменте</w:t>
      </w:r>
      <w:bookmarkEnd w:id="62"/>
      <w:r w:rsidRPr="00877DE5">
        <w:rPr>
          <w:rFonts w:ascii="Times New Roman" w:eastAsia="Calibri" w:hAnsi="Times New Roman" w:cs="Times New Roman"/>
          <w:sz w:val="21"/>
          <w:szCs w:val="21"/>
        </w:rPr>
        <w:t>, искусственный интеллект и МСБ</w:t>
      </w:r>
    </w:p>
    <w:p w14:paraId="7D4CC099" w14:textId="77777777" w:rsidR="00877DE5" w:rsidRPr="00877DE5" w:rsidRDefault="00877DE5" w:rsidP="00067100">
      <w:pPr>
        <w:spacing w:after="0" w:line="240" w:lineRule="auto"/>
        <w:ind w:firstLine="709"/>
        <w:jc w:val="right"/>
        <w:rPr>
          <w:rFonts w:ascii="Times New Roman" w:eastAsia="Calibri" w:hAnsi="Times New Roman" w:cs="Times New Roman"/>
          <w:b/>
          <w:sz w:val="21"/>
          <w:szCs w:val="21"/>
        </w:rPr>
      </w:pPr>
    </w:p>
    <w:p w14:paraId="0485A612" w14:textId="77777777" w:rsidR="00877DE5" w:rsidRPr="00877DE5" w:rsidRDefault="00877DE5" w:rsidP="00067100">
      <w:pPr>
        <w:spacing w:after="0" w:line="240" w:lineRule="auto"/>
        <w:ind w:firstLine="709"/>
        <w:jc w:val="right"/>
        <w:rPr>
          <w:rFonts w:ascii="Times New Roman" w:eastAsia="Calibri" w:hAnsi="Times New Roman" w:cs="Times New Roman"/>
          <w:b/>
          <w:i/>
          <w:iCs/>
          <w:sz w:val="21"/>
          <w:szCs w:val="21"/>
          <w:lang w:val="en-US"/>
        </w:rPr>
      </w:pPr>
      <w:r w:rsidRPr="00877DE5">
        <w:rPr>
          <w:rFonts w:ascii="Times New Roman" w:eastAsia="Calibri" w:hAnsi="Times New Roman" w:cs="Times New Roman"/>
          <w:b/>
          <w:i/>
          <w:iCs/>
          <w:sz w:val="21"/>
          <w:szCs w:val="21"/>
          <w:lang w:val="en-US"/>
        </w:rPr>
        <w:t>Gevorgyan A.G.,</w:t>
      </w:r>
    </w:p>
    <w:p w14:paraId="1640B704"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student, 3 courses</w:t>
      </w:r>
    </w:p>
    <w:p w14:paraId="4BB9C9F4"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Financial University under the Government of the Russian Federation</w:t>
      </w:r>
    </w:p>
    <w:p w14:paraId="318563A4"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Krasnodar, Russia</w:t>
      </w:r>
    </w:p>
    <w:p w14:paraId="654C67C9"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 xml:space="preserve">e-mail: </w:t>
      </w:r>
      <w:hyperlink r:id="rId288" w:history="1">
        <w:r w:rsidRPr="00877DE5">
          <w:rPr>
            <w:rFonts w:ascii="Times New Roman" w:eastAsia="Calibri" w:hAnsi="Times New Roman" w:cs="Times New Roman"/>
            <w:i/>
            <w:iCs/>
            <w:color w:val="0563C1"/>
            <w:sz w:val="21"/>
            <w:szCs w:val="21"/>
            <w:u w:val="single"/>
            <w:lang w:val="en-US"/>
          </w:rPr>
          <w:t>angelinagevo@gmail.com</w:t>
        </w:r>
      </w:hyperlink>
      <w:r w:rsidRPr="00877DE5">
        <w:rPr>
          <w:rFonts w:ascii="Times New Roman" w:eastAsia="Calibri" w:hAnsi="Times New Roman" w:cs="Times New Roman"/>
          <w:i/>
          <w:iCs/>
          <w:sz w:val="21"/>
          <w:szCs w:val="21"/>
          <w:lang w:val="en-US"/>
        </w:rPr>
        <w:t xml:space="preserve"> </w:t>
      </w:r>
    </w:p>
    <w:p w14:paraId="3F3688B9"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p>
    <w:p w14:paraId="2A2800F8" w14:textId="77777777" w:rsidR="00877DE5" w:rsidRPr="00877DE5" w:rsidRDefault="00877DE5" w:rsidP="00067100">
      <w:pPr>
        <w:spacing w:after="0" w:line="240" w:lineRule="auto"/>
        <w:ind w:firstLine="709"/>
        <w:jc w:val="right"/>
        <w:rPr>
          <w:rFonts w:ascii="Times New Roman" w:eastAsia="Calibri" w:hAnsi="Times New Roman" w:cs="Times New Roman"/>
          <w:b/>
          <w:i/>
          <w:iCs/>
          <w:sz w:val="21"/>
          <w:szCs w:val="21"/>
          <w:lang w:val="en-US"/>
        </w:rPr>
      </w:pPr>
      <w:r w:rsidRPr="00877DE5">
        <w:rPr>
          <w:rFonts w:ascii="Times New Roman" w:eastAsia="Calibri" w:hAnsi="Times New Roman" w:cs="Times New Roman"/>
          <w:b/>
          <w:i/>
          <w:iCs/>
          <w:sz w:val="21"/>
          <w:szCs w:val="21"/>
          <w:lang w:val="en-US"/>
        </w:rPr>
        <w:t>Scientific Adviser:</w:t>
      </w:r>
    </w:p>
    <w:p w14:paraId="5BB9E2D0" w14:textId="77777777" w:rsidR="00877DE5" w:rsidRPr="00877DE5" w:rsidRDefault="00877DE5" w:rsidP="00067100">
      <w:pPr>
        <w:spacing w:after="0" w:line="240" w:lineRule="auto"/>
        <w:ind w:firstLine="709"/>
        <w:jc w:val="right"/>
        <w:rPr>
          <w:rFonts w:ascii="Times New Roman" w:eastAsia="Calibri" w:hAnsi="Times New Roman" w:cs="Times New Roman"/>
          <w:b/>
          <w:i/>
          <w:iCs/>
          <w:sz w:val="21"/>
          <w:szCs w:val="21"/>
          <w:lang w:val="en-US"/>
        </w:rPr>
      </w:pPr>
      <w:r w:rsidRPr="00877DE5">
        <w:rPr>
          <w:rFonts w:ascii="Times New Roman" w:eastAsia="Calibri" w:hAnsi="Times New Roman" w:cs="Times New Roman"/>
          <w:b/>
          <w:i/>
          <w:iCs/>
          <w:sz w:val="21"/>
          <w:szCs w:val="21"/>
          <w:lang w:val="en-US"/>
        </w:rPr>
        <w:t>Rubin A.G.,</w:t>
      </w:r>
    </w:p>
    <w:p w14:paraId="053F32A9"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Candidate of Economic Sciences, Docent</w:t>
      </w:r>
    </w:p>
    <w:p w14:paraId="648742DA"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Financial University under the Government of the Russian Federation</w:t>
      </w:r>
    </w:p>
    <w:p w14:paraId="341C8DA5"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lang w:val="en-US"/>
        </w:rPr>
      </w:pPr>
      <w:r w:rsidRPr="00877DE5">
        <w:rPr>
          <w:rFonts w:ascii="Times New Roman" w:eastAsia="Calibri" w:hAnsi="Times New Roman" w:cs="Times New Roman"/>
          <w:i/>
          <w:iCs/>
          <w:sz w:val="21"/>
          <w:szCs w:val="21"/>
          <w:lang w:val="en-US"/>
        </w:rPr>
        <w:t>Krasnodar, Russia</w:t>
      </w:r>
    </w:p>
    <w:p w14:paraId="4672D4B9" w14:textId="77777777" w:rsidR="00877DE5" w:rsidRPr="00877DE5" w:rsidRDefault="00877DE5" w:rsidP="00067100">
      <w:pPr>
        <w:spacing w:after="0" w:line="240" w:lineRule="auto"/>
        <w:ind w:firstLine="709"/>
        <w:jc w:val="right"/>
        <w:rPr>
          <w:rFonts w:ascii="Times New Roman" w:eastAsia="Calibri" w:hAnsi="Times New Roman" w:cs="Times New Roman"/>
          <w:i/>
          <w:iCs/>
          <w:lang w:val="en-US"/>
        </w:rPr>
      </w:pPr>
      <w:r w:rsidRPr="00877DE5">
        <w:rPr>
          <w:rFonts w:ascii="Times New Roman" w:eastAsia="Calibri" w:hAnsi="Times New Roman" w:cs="Times New Roman"/>
          <w:i/>
          <w:iCs/>
          <w:sz w:val="21"/>
          <w:szCs w:val="21"/>
          <w:lang w:val="en-US"/>
        </w:rPr>
        <w:t xml:space="preserve">e-mail: </w:t>
      </w:r>
      <w:hyperlink r:id="rId289" w:history="1">
        <w:r w:rsidRPr="00877DE5">
          <w:rPr>
            <w:rFonts w:ascii="Times New Roman" w:eastAsia="Calibri" w:hAnsi="Times New Roman" w:cs="Times New Roman"/>
            <w:i/>
            <w:iCs/>
            <w:color w:val="0563C1"/>
            <w:u w:val="single"/>
            <w:lang w:val="en-US"/>
          </w:rPr>
          <w:t>AGRubin@fa.ru</w:t>
        </w:r>
      </w:hyperlink>
      <w:r w:rsidRPr="00877DE5">
        <w:rPr>
          <w:rFonts w:ascii="Times New Roman" w:eastAsia="Calibri" w:hAnsi="Times New Roman" w:cs="Times New Roman"/>
          <w:i/>
          <w:iCs/>
          <w:lang w:val="en-US"/>
        </w:rPr>
        <w:t xml:space="preserve"> </w:t>
      </w:r>
    </w:p>
    <w:p w14:paraId="3E57989F"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p>
    <w:p w14:paraId="4186D651"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lang w:val="en-US"/>
        </w:rPr>
      </w:pPr>
      <w:r w:rsidRPr="00877DE5">
        <w:rPr>
          <w:rFonts w:ascii="Times New Roman" w:eastAsia="Calibri" w:hAnsi="Times New Roman" w:cs="Times New Roman"/>
          <w:b/>
          <w:sz w:val="21"/>
          <w:szCs w:val="21"/>
          <w:lang w:val="en-US"/>
        </w:rPr>
        <w:t>Digitalization of human resource management in modern organizations</w:t>
      </w:r>
    </w:p>
    <w:p w14:paraId="6CD8B0FF"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lang w:val="en-US"/>
        </w:rPr>
      </w:pPr>
    </w:p>
    <w:p w14:paraId="500B2318" w14:textId="77777777" w:rsidR="00877DE5" w:rsidRPr="00877DE5" w:rsidRDefault="00877DE5" w:rsidP="000B3AFF">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sz w:val="21"/>
          <w:szCs w:val="21"/>
          <w:lang w:val="en-US"/>
        </w:rPr>
        <w:t>Abstract:</w:t>
      </w:r>
      <w:r w:rsidRPr="00877DE5">
        <w:rPr>
          <w:rFonts w:ascii="Times New Roman" w:eastAsia="Calibri" w:hAnsi="Times New Roman" w:cs="Times New Roman"/>
          <w:sz w:val="21"/>
          <w:szCs w:val="21"/>
          <w:lang w:val="en-US"/>
        </w:rPr>
        <w:t xml:space="preserve"> The article examines the process of digitalization of human resource management (HRM) in modern organizations, the use of artificial intelligence in HRM and identifies the risks associated with it. The list of competencies and new professions in demand in the future at the intersection of HR and IT is being determined. Recommendations have been developed to reduce the risks associated with the potential loss of jobs and the digital imbalance between large and small companies.</w:t>
      </w:r>
    </w:p>
    <w:p w14:paraId="564E1E51" w14:textId="77777777" w:rsidR="00877DE5" w:rsidRPr="00877DE5" w:rsidRDefault="00877DE5" w:rsidP="000B3AFF">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sz w:val="21"/>
          <w:szCs w:val="21"/>
          <w:lang w:val="en-US"/>
        </w:rPr>
        <w:t>Keywords:</w:t>
      </w:r>
      <w:r w:rsidRPr="00877DE5">
        <w:rPr>
          <w:rFonts w:ascii="Times New Roman" w:eastAsia="Calibri" w:hAnsi="Times New Roman" w:cs="Times New Roman"/>
          <w:sz w:val="21"/>
          <w:szCs w:val="21"/>
          <w:lang w:val="en-US"/>
        </w:rPr>
        <w:t xml:space="preserve"> HR digitalization, digital maturity, digital transformation of human resource management, artificial intelligence in HR management, artificial intelligence and small business </w:t>
      </w:r>
    </w:p>
    <w:p w14:paraId="0DEDF80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lang w:val="en-US"/>
        </w:rPr>
      </w:pPr>
    </w:p>
    <w:p w14:paraId="7D50B58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Одной из наиболее остро стоящих проблем перед современным менеджментом является кадровая политика. Многие организации, стремясь к рыночному доминированию, создают комплексные организационные структуры, разрабатывают многочисленные схемы и модели бизнес-процессов, необходимых для успешной деятельности компании, инвестируют в рекламу и маркетинг, однако, несмотря на это, все еще остаются позади конкурентов. Источник этой проблемы зачастую неочевиден для игроков рынка, особенно для представителей МСБ в силу недостатка опыта и фундаментальных знаний, и кроется в грамотном подходе к управлению человеческими ресурсами. Между всеми компаниями, добившимися выдающихся результатов и укрепивших свои позиции как лидеров, есть общая черта – это их подход к формированию, распределению, использованию и развитию трудовых ресурсов. Однако любая организация – это, в первую очередь, система, являющаяся элементом другой, более крупной системы – внешней среды, которая непосредственно оказывает на нее влияние.</w:t>
      </w:r>
    </w:p>
    <w:p w14:paraId="1C51C4F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color w:val="000000"/>
          <w:sz w:val="32"/>
          <w:szCs w:val="32"/>
        </w:rPr>
        <w:t xml:space="preserve">Развитие науки и техники, как один из важнейших факторов внешней среды, оказывает непосредственное влияние на производительность труда, качество продукции и услуг, способствуют экономии трудовых и материальных </w:t>
      </w:r>
      <w:r w:rsidRPr="00877DE5">
        <w:rPr>
          <w:rFonts w:ascii="Times New Roman" w:eastAsia="Calibri" w:hAnsi="Times New Roman" w:cs="Times New Roman"/>
          <w:sz w:val="32"/>
          <w:szCs w:val="32"/>
        </w:rPr>
        <w:t>ресурсов организации, обеспечивая ей конкурентное преимущество. В этой связи, особую актуальность приобретает изучение процесса управления человеческими ресурсами в контексте текущего уровня интеграции цифровых технологий в деятельность субъектов экономики.</w:t>
      </w:r>
    </w:p>
    <w:p w14:paraId="07FE944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Целью данного исследования является анализ влияния цифровых технологий на управление человеческими ресурсами и разработке практических рекомендаций по снижению рисков в условиях цифровой трансформации.</w:t>
      </w:r>
    </w:p>
    <w:p w14:paraId="4C89FE2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Для достижения поставленной цели предлагается выполнить следующие задачи:</w:t>
      </w:r>
    </w:p>
    <w:p w14:paraId="64E883D2" w14:textId="77777777" w:rsidR="00877DE5" w:rsidRPr="00877DE5" w:rsidRDefault="00877DE5" w:rsidP="00AD58CD">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изучить степень цифровизации российских компаний и определить, какие ИИ-решения уже используются в области управления человеческими ресурсами;</w:t>
      </w:r>
    </w:p>
    <w:p w14:paraId="47160514" w14:textId="77777777" w:rsidR="00877DE5" w:rsidRPr="00877DE5" w:rsidRDefault="00877DE5" w:rsidP="00AD58CD">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проанализировать преимущества и риски внедрения цифровых решений в управление персоналом;</w:t>
      </w:r>
    </w:p>
    <w:p w14:paraId="32CD986C" w14:textId="77777777" w:rsidR="00877DE5" w:rsidRPr="00877DE5" w:rsidRDefault="00877DE5" w:rsidP="00AD58CD">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определить ключевые компетенции и перспективные профессии в сфере HR, которые будут востребованы в ближайшем будущем;</w:t>
      </w:r>
    </w:p>
    <w:p w14:paraId="145D3E01" w14:textId="77777777" w:rsidR="00877DE5" w:rsidRPr="00877DE5" w:rsidRDefault="00877DE5" w:rsidP="00AD58CD">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предложить меры по снижению рисков, связанных с проблемами адаптации в условиях цифровой трансформации.</w:t>
      </w:r>
    </w:p>
    <w:p w14:paraId="58206CE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Система управления персоналом и человеческими ресурсами включает в себя планирование, подбор, отбор, обучение, оценку, мотивацию, удержание персонала и управление карьерой. При отсутствии стратегического подхода к управлению этой системой, построение слаженно работающей команды, добивающейся значимых результатов, сильно усложняется. Вследствие формирования новой информационной инфраструктуры, в организациях меняется подход к управлению трудовыми ресурсами – этот процесс именуется «цифровой трансформацией». Вместе с тем, ошибочно полагать, что цифровая трансформация подразумевает исключительно внедрение инновационных технологических решений в операционную и административную деятельность организации, поскольку подобный подход существенно сужает данное понятие, ведь сам факт использования цифровых инструментов еще не гарантирует кардинальных изменений в его результативности. Важно понимать, что цифровая трансформация – процесс длительный и многоэтапный, который не происходит мгновенно, именно поэтому здесь ключевое значение приобретает концепция цифровой зрелости как способности организации своевременно и должным образом реагировать на технологические изменения в бизнес-среде [1, с. 463].</w:t>
      </w:r>
    </w:p>
    <w:p w14:paraId="6EFDB64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Важным шагом на пути к повышению конкурентоспособности предприятия в условиях новой цифровой действительности является интеграция искусственного интеллекта в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 xml:space="preserve">-сферу. Как правило, в компаниях, находящихся в сегменте B2C, в большей степени прослеживается стремительная адаптация значительного пула технологий, по сравнению с сегментом B2B, что обуславливается высокой конкуренцией на потребительском рынке. По данным исследований, на сегодняшний день доля российских компаний, так или иначе использующей инструменты ИИ в управлении человеческими ресурсами, достигает около 40%, а в ближайшем будущем это значение может вырасти до 60% за счет компаний, в которых активная интеграция ИИ в бизнес-процессы уже происходит, но пока еще не достигла департаментов УЧР [2]. Кроме того, важно обратить внимание на долю субъектов МСП, применяющих в процессе своей деятельности технологии искусственного интеллекта – по данным на 2024 год, речь идет о каждом третьем предприятии. Вместе с тем, следует подчеркнуть, что в малом и среднем бизнесе </w:t>
      </w:r>
      <w:r w:rsidRPr="00877DE5">
        <w:rPr>
          <w:rFonts w:ascii="Times New Roman" w:eastAsia="Calibri" w:hAnsi="Times New Roman" w:cs="Times New Roman"/>
          <w:sz w:val="32"/>
          <w:szCs w:val="32"/>
        </w:rPr>
        <w:lastRenderedPageBreak/>
        <w:t xml:space="preserve">инструменты на базе ИИ, используются, главным образом, для целей маркетинга и рекламы (54%), а не для управления персоналом (12%) [4]. Также стоит заострить внимание на том, что масштаб внедрения ИИ-технологий в крупных компаниях несравнимо выше, чем в МСБ – в силу больших финансовых издержек, полномасштабные и централизованные внедрения доступны только лидерам рынка, а остальным игрокам остается локальное использование инструментария (в рамках деятельности одного человека или отдела) [5]. Наиболее высокий уровень цифровой зрелости HR-подразделений демонстрируют организации финансово-экономического сектора (21%), а также компании, находящиеся в отраслях строительства (17%) и ИТ и телекоммуникаций (16%) </w:t>
      </w:r>
      <w:bookmarkStart w:id="63" w:name="_Hlk198660546"/>
      <w:r w:rsidRPr="00877DE5">
        <w:rPr>
          <w:rFonts w:ascii="Times New Roman" w:eastAsia="Calibri" w:hAnsi="Times New Roman" w:cs="Times New Roman"/>
          <w:sz w:val="32"/>
          <w:szCs w:val="32"/>
        </w:rPr>
        <w:t xml:space="preserve">[2]. </w:t>
      </w:r>
      <w:bookmarkEnd w:id="63"/>
    </w:p>
    <w:p w14:paraId="164680A9"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На сегодняшний день в управлении персоналом уже имеются готовые технологические решения на базе всех видов ИИ (генеративный, классифицирующий, предиктивный, рекомендательный) для решения широкого круга задач, начиная с отбора соответствующих требованиям резюме в процессе рекрутмента и заканчивая прогнозированием увольнений сотрудников, оценкой рисков и причин. На рисунке 1 представим области использования искусственного интеллекта в рамках управления персоналом и задачи, которые решаются с его помощью в России (список неисчерпывающий).</w:t>
      </w:r>
    </w:p>
    <w:p w14:paraId="29C2962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p>
    <w:p w14:paraId="2907504E" w14:textId="77777777" w:rsidR="00877DE5" w:rsidRPr="00877DE5" w:rsidRDefault="00877DE5" w:rsidP="00067100">
      <w:pPr>
        <w:spacing w:after="0" w:line="240" w:lineRule="auto"/>
        <w:ind w:firstLine="709"/>
        <w:jc w:val="center"/>
        <w:rPr>
          <w:rFonts w:ascii="Times New Roman" w:eastAsia="Calibri" w:hAnsi="Times New Roman" w:cs="Times New Roman"/>
          <w:sz w:val="32"/>
          <w:szCs w:val="32"/>
        </w:rPr>
      </w:pPr>
      <w:r w:rsidRPr="00877DE5">
        <w:rPr>
          <w:rFonts w:ascii="Times New Roman" w:eastAsia="Calibri" w:hAnsi="Times New Roman" w:cs="Times New Roman"/>
          <w:noProof/>
          <w:sz w:val="32"/>
          <w:szCs w:val="32"/>
          <w:lang w:eastAsia="ru-RU"/>
        </w:rPr>
        <w:drawing>
          <wp:inline distT="0" distB="0" distL="0" distR="0" wp14:anchorId="6FA43626" wp14:editId="09BE2FCB">
            <wp:extent cx="5971284" cy="3489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977452" cy="3493565"/>
                    </a:xfrm>
                    <a:prstGeom prst="rect">
                      <a:avLst/>
                    </a:prstGeom>
                    <a:noFill/>
                    <a:ln>
                      <a:noFill/>
                    </a:ln>
                  </pic:spPr>
                </pic:pic>
              </a:graphicData>
            </a:graphic>
          </wp:inline>
        </w:drawing>
      </w:r>
    </w:p>
    <w:p w14:paraId="18A076A9" w14:textId="77777777" w:rsidR="00877DE5" w:rsidRPr="00877DE5" w:rsidRDefault="00877DE5" w:rsidP="00067100">
      <w:pPr>
        <w:spacing w:after="0" w:line="240" w:lineRule="auto"/>
        <w:ind w:firstLine="709"/>
        <w:jc w:val="center"/>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Рисунок 1 – Задачи в рамках процессов и функций HR-менеджмента, которые решаются с помощью искусственного интеллекта в России</w:t>
      </w:r>
    </w:p>
    <w:p w14:paraId="5EF4FF52" w14:textId="77777777" w:rsidR="00877DE5" w:rsidRPr="00877DE5" w:rsidRDefault="00877DE5" w:rsidP="00067100">
      <w:pPr>
        <w:spacing w:after="0" w:line="240" w:lineRule="auto"/>
        <w:ind w:firstLine="709"/>
        <w:jc w:val="both"/>
        <w:rPr>
          <w:rFonts w:ascii="Times New Roman" w:eastAsia="Calibri" w:hAnsi="Times New Roman" w:cs="Times New Roman"/>
          <w:i/>
          <w:iCs/>
          <w:sz w:val="24"/>
          <w:szCs w:val="24"/>
        </w:rPr>
      </w:pPr>
      <w:r w:rsidRPr="00877DE5">
        <w:rPr>
          <w:rFonts w:ascii="Times New Roman" w:eastAsia="Calibri" w:hAnsi="Times New Roman" w:cs="Times New Roman"/>
          <w:i/>
          <w:iCs/>
          <w:sz w:val="24"/>
          <w:szCs w:val="24"/>
        </w:rPr>
        <w:t>Источник: составлено автором по материалам [2]</w:t>
      </w:r>
    </w:p>
    <w:p w14:paraId="77F3C307" w14:textId="77777777" w:rsidR="00877DE5" w:rsidRPr="00877DE5" w:rsidRDefault="00877DE5" w:rsidP="00067100">
      <w:pPr>
        <w:spacing w:after="0" w:line="240" w:lineRule="auto"/>
        <w:ind w:firstLine="709"/>
        <w:jc w:val="both"/>
        <w:rPr>
          <w:rFonts w:ascii="Times New Roman" w:eastAsia="Calibri" w:hAnsi="Times New Roman" w:cs="Times New Roman"/>
          <w:i/>
          <w:iCs/>
          <w:sz w:val="32"/>
          <w:szCs w:val="32"/>
        </w:rPr>
      </w:pPr>
    </w:p>
    <w:p w14:paraId="5D8DE65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Тем не менее такое интенсивное распространение искусственного интеллекта в области, имеющей непосредственное отношение к человеку, вызывает неоднозначную реакцию в профессиональной среде, вследствие чего растет потребность в тщательной оценке сопутствующих рисков. Среди возможных угроз, связанных с внедрением ИИ в области управления персоналом, специалисты выделяют следующие:</w:t>
      </w:r>
    </w:p>
    <w:p w14:paraId="27CB83AF"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риски, связанные с информационной безопасностью (утечка персональных и конфиденциальных данных и/или неправомерное их использование);</w:t>
      </w:r>
    </w:p>
    <w:p w14:paraId="45879AC1"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этические и социальные риски (предвзятость и дискриминация – если алгоритмы обучаются на необъективных данных, то они могут воспроизводить и усиливать дискриминацию в разных процессах, например, при отборе или оценке эффективности сотрудника);</w:t>
      </w:r>
    </w:p>
    <w:p w14:paraId="7E48B135"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отсутствие прозрачности и ограниченная объяснимость суждений (сложно объяснить, какие критерии стоят за автоматизированными решениями, что снижает доверие и затрудняет оспаривание спорных случаев);</w:t>
      </w:r>
    </w:p>
    <w:p w14:paraId="45C328F4"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экономические и технологические риски (сложность разработки и внедрения ИИ-решений, а также связанные с этим высокие издержки);</w:t>
      </w:r>
    </w:p>
    <w:p w14:paraId="6B06E54A"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риск цифрового неравенства между крупными компаниями и МСБ;</w:t>
      </w:r>
    </w:p>
    <w:p w14:paraId="0297411F" w14:textId="77777777" w:rsidR="00877DE5" w:rsidRPr="00877DE5" w:rsidRDefault="00877DE5" w:rsidP="00AD58CD">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проблемы интеграции и взаимодействий (недостаточная цифровая зрелость среды, в том числе с точки зрения нехватки необходимых компетенций у сотрудников, отсутствие или недостаток ясных и исчерпывающих механизмов, регулирующих отношения, возникающие вследствие использования ИИ) и другие [3, с. 150].</w:t>
      </w:r>
    </w:p>
    <w:p w14:paraId="7FA9F1D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Несмотря на все общественные волнения, вызванные «выходом в свет» технологий искусственного интеллекта, в бизнес-сообществе такой технологический прорыв считается движущей силой дальнейшего развития сферы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 xml:space="preserve">. Важно отметить, что положительное влияние ИИ, заключающееся в автоматизации рутинных задач, </w:t>
      </w:r>
      <w:r w:rsidRPr="00877DE5">
        <w:rPr>
          <w:rFonts w:ascii="Times New Roman" w:eastAsia="Calibri" w:hAnsi="Times New Roman" w:cs="Times New Roman"/>
          <w:sz w:val="32"/>
          <w:szCs w:val="32"/>
        </w:rPr>
        <w:lastRenderedPageBreak/>
        <w:t xml:space="preserve">повышении скорости и качества принятия решений, возможности оперативного митигирования рисков, связанных с человеческим капиталом, не может игнорироваться руководителями организаций, поскольку все это позволяет увеличить вклад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-функции в развитие компании и достижение её стратегических целей.</w:t>
      </w:r>
    </w:p>
    <w:p w14:paraId="35AFAC0F"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Исходя из вышеизложенного, представляется целесообразным выделить один из наиболее социально значимых и злободневных рисков, связанных со стремительным распространением ИИ в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-менеджменте, а именно – с риском исчезновения ряда профессий на рынке труда. Развитие ИИ-технологий приведет к тому, что значительная часть рабочих процессов будет передана алгоритмам, в результате чего миллионам работников придется осваивать новые профессии.</w:t>
      </w:r>
    </w:p>
    <w:p w14:paraId="2F689C0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 данной работе мы предлагаем проанализировать ключевые компетенции, необходимые HR-специалистам в условиях цифровой трансформации, а также выявить перспективные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-профессии, которые будут востребованы в ближайшем будущем. Наиболее востребованными в нынешних реалиях представляются гибкие навыки, такие как обучаемость, аналитическое и критическое мышление, способность творчески подходить к поставленным задачам. Креативность сохранит свою актуальность, тогда как спрос на базовые когнитивные способности (коммуникация, грамотность, вычисления и т. п.) снизится. Повысится значимость и спрос на технические навыки, такие как: анализ HR-данных (интерпретация предиктивной аналитики, визуализация данных и т. п.), базовые цифровые навыки, промпт-инжиниринг, работа с NLP и чат-ботами и другое. И, наконец, особое внимание следует уделить социально-эмоциональным компетенциям – чтобы повысить свою конкурентоспособность на рынке труда, необходимо делать упор на развитие следующих навыков:</w:t>
      </w:r>
    </w:p>
    <w:p w14:paraId="5B36BDEA"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приспособляемость и гибкость;</w:t>
      </w:r>
    </w:p>
    <w:p w14:paraId="5E20A022"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инициативность и проактивность;</w:t>
      </w:r>
    </w:p>
    <w:p w14:paraId="24AC284C"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лидерство и командообразование;</w:t>
      </w:r>
    </w:p>
    <w:p w14:paraId="7B92AD51"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эмпатия, отзывчивость, эмоциональный интеллект;</w:t>
      </w:r>
    </w:p>
    <w:p w14:paraId="45100818"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продвинутые навыки ведения переговоров;</w:t>
      </w:r>
    </w:p>
    <w:p w14:paraId="13134A60" w14:textId="77777777" w:rsidR="00877DE5" w:rsidRPr="00877DE5" w:rsidRDefault="00877DE5" w:rsidP="00AD58CD">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обучаемость и способность обучать других.</w:t>
      </w:r>
    </w:p>
    <w:p w14:paraId="66190D8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bookmarkStart w:id="64" w:name="_Hlk198761022"/>
      <w:r w:rsidRPr="00877DE5">
        <w:rPr>
          <w:rFonts w:ascii="Times New Roman" w:eastAsia="Calibri" w:hAnsi="Times New Roman" w:cs="Times New Roman"/>
          <w:sz w:val="32"/>
          <w:szCs w:val="32"/>
        </w:rPr>
        <w:t xml:space="preserve">Однако сами по себе компетенции – лишь инструменты. Гораздо важнее то, как они воплощаются в новых профессиональных ролях. </w:t>
      </w:r>
      <w:bookmarkEnd w:id="64"/>
      <w:r w:rsidRPr="00877DE5">
        <w:rPr>
          <w:rFonts w:ascii="Times New Roman" w:eastAsia="Calibri" w:hAnsi="Times New Roman" w:cs="Times New Roman"/>
          <w:sz w:val="32"/>
          <w:szCs w:val="32"/>
        </w:rPr>
        <w:t xml:space="preserve">Уже сегодня мы наблюдаем возрастающую тенденцию на гибридные </w:t>
      </w:r>
      <w:r w:rsidRPr="00877DE5">
        <w:rPr>
          <w:rFonts w:ascii="Times New Roman" w:eastAsia="Calibri" w:hAnsi="Times New Roman" w:cs="Times New Roman"/>
          <w:sz w:val="32"/>
          <w:szCs w:val="32"/>
        </w:rPr>
        <w:lastRenderedPageBreak/>
        <w:t>профессии, в которых переплетаются функции и навыки из разных сфер деятельности. Исходя из обозначенных выше компетенций, составим список некоторых потенциально востребованных профессий в ближайшие 5–10 лет:</w:t>
      </w:r>
    </w:p>
    <w:p w14:paraId="6A29E1C4" w14:textId="77777777" w:rsidR="00877DE5" w:rsidRPr="00877DE5" w:rsidRDefault="00877DE5" w:rsidP="00AD58CD">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аналитик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-данных (анализ данных и прогнозирование, оценка эффективности HR-процессов, анализ кейсов и ad hoc запросов и т. п.);</w:t>
      </w:r>
    </w:p>
    <w:p w14:paraId="63C70C98" w14:textId="77777777" w:rsidR="00877DE5" w:rsidRPr="00877DE5" w:rsidRDefault="00877DE5" w:rsidP="00AD58CD">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цифровой психолог (оценка влияния цифровой среды на психику и т. п.);</w:t>
      </w:r>
    </w:p>
    <w:p w14:paraId="663B0EBD" w14:textId="77777777" w:rsidR="00877DE5" w:rsidRPr="00877DE5" w:rsidRDefault="00877DE5" w:rsidP="00AD58CD">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специалист по ИИ-этике (проведение экспертизы технологий и порядков их использования на соответствие этическим нормам и т. п.);</w:t>
      </w:r>
    </w:p>
    <w:p w14:paraId="02B15B9B" w14:textId="77777777" w:rsidR="00877DE5" w:rsidRPr="00877DE5" w:rsidRDefault="00877DE5" w:rsidP="00AD58CD">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HR-архитектор (проектирование и внедрение автоматизированных систем для HR и т. п.) и др. </w:t>
      </w:r>
    </w:p>
    <w:p w14:paraId="6913EED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Таким образом, ускоренная цифровизация процессов и адаптация кадров к новым условиям могут стать драйверами повышения производительности, одновременно способствуя позитивным изменениям в обществе. Наряду с этим, считаем важным обратить внимание на то, что ответственность за переквалификацию и переподготовку рабочей силы должны на себя брать именно хозяйствующие субъекты, не допуская массовых сокращений в силу несоответствия навыков и компетенций персонала или невостребованности профессий. Взвесив все риски и возможности, руководство может принять решение разработать обучающие программы и курсы внутри самой компании либо вывести это на аутсорс (например, в партнерстве с образовательными институтами). </w:t>
      </w:r>
    </w:p>
    <w:bookmarkEnd w:id="61"/>
    <w:p w14:paraId="3CBED4C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Для успешной интеграции цифровых технологий в управление человеческими ресурсами требуется </w:t>
      </w:r>
      <w:bookmarkStart w:id="65" w:name="_Hlk198762079"/>
      <w:r w:rsidRPr="00877DE5">
        <w:rPr>
          <w:rFonts w:ascii="Times New Roman" w:eastAsia="Calibri" w:hAnsi="Times New Roman" w:cs="Times New Roman"/>
          <w:sz w:val="32"/>
          <w:szCs w:val="32"/>
        </w:rPr>
        <w:t>согласованная работа бизнеса, образовательных учреждений и государственных институтов</w:t>
      </w:r>
      <w:bookmarkEnd w:id="65"/>
      <w:r w:rsidRPr="00877DE5">
        <w:rPr>
          <w:rFonts w:ascii="Times New Roman" w:eastAsia="Calibri" w:hAnsi="Times New Roman" w:cs="Times New Roman"/>
          <w:sz w:val="32"/>
          <w:szCs w:val="32"/>
        </w:rPr>
        <w:t>. На основании проведенного анализа предлагается следующий комплекс мер.</w:t>
      </w:r>
    </w:p>
    <w:p w14:paraId="7FF4930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Для коммерческих организаций ключевым направлением должно стать развитие внутренних программ профессионального роста кадровых специалистов. Компаниям целесообразно:</w:t>
      </w:r>
    </w:p>
    <w:p w14:paraId="64B9661B" w14:textId="77777777" w:rsidR="00877DE5" w:rsidRPr="00877DE5" w:rsidRDefault="00877DE5" w:rsidP="00AD58CD">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разрабатывать корпоративные программы повышения квалификации, акцентируя внимание на освоении HR-аналитики, работе с системами искусственного интеллекта и методах цифрового рекрутинга;</w:t>
      </w:r>
    </w:p>
    <w:p w14:paraId="378F0FAC" w14:textId="77777777" w:rsidR="00877DE5" w:rsidRPr="00877DE5" w:rsidRDefault="00877DE5" w:rsidP="00AD58CD">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внедрять систему наставничества, где опытные специалисты будут передавать практические навыки работы с современными HRM-платформами;</w:t>
      </w:r>
    </w:p>
    <w:p w14:paraId="0659089D" w14:textId="77777777" w:rsidR="00877DE5" w:rsidRPr="00877DE5" w:rsidRDefault="00877DE5" w:rsidP="00AD58CD">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организовывать регулярные тренинги по освоению новых цифровых инструментов управления персоналом.</w:t>
      </w:r>
    </w:p>
    <w:p w14:paraId="20AC1B52" w14:textId="77777777" w:rsidR="00877DE5" w:rsidRPr="00877DE5" w:rsidRDefault="00877DE5" w:rsidP="00067100">
      <w:pPr>
        <w:tabs>
          <w:tab w:val="left" w:pos="1134"/>
        </w:tabs>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Образовательным учреждениям необходима модернизация системы подготовки кадровых специалистов, включающая:</w:t>
      </w:r>
    </w:p>
    <w:p w14:paraId="05A0D9AE" w14:textId="77777777" w:rsidR="00877DE5" w:rsidRPr="00877DE5" w:rsidRDefault="00877DE5" w:rsidP="00AD58CD">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актуализацию учебных программ (например, введение дисциплин </w:t>
      </w:r>
      <w:bookmarkStart w:id="66" w:name="_Hlk198764968"/>
      <w:r w:rsidRPr="00877DE5">
        <w:rPr>
          <w:rFonts w:ascii="Times New Roman" w:eastAsia="Calibri" w:hAnsi="Times New Roman" w:cs="Times New Roman"/>
          <w:sz w:val="32"/>
          <w:szCs w:val="32"/>
        </w:rPr>
        <w:t>по работе с системами предиктивной аналитики и автоматизированного подбора персонала</w:t>
      </w:r>
      <w:bookmarkEnd w:id="66"/>
      <w:r w:rsidRPr="00877DE5">
        <w:rPr>
          <w:rFonts w:ascii="Times New Roman" w:eastAsia="Calibri" w:hAnsi="Times New Roman" w:cs="Times New Roman"/>
          <w:sz w:val="32"/>
          <w:szCs w:val="32"/>
        </w:rPr>
        <w:t>, по этическим аспектам применения ИИ в кадровом менеджменте и др.);</w:t>
      </w:r>
    </w:p>
    <w:p w14:paraId="06CBA73B" w14:textId="77777777" w:rsidR="00877DE5" w:rsidRPr="00877DE5" w:rsidRDefault="00877DE5" w:rsidP="00AD58CD">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организацию HR-tech лабораторий, оснащенных современным программным обеспечением </w:t>
      </w:r>
      <w:bookmarkStart w:id="67" w:name="_Hlk198765097"/>
      <w:r w:rsidRPr="00877DE5">
        <w:rPr>
          <w:rFonts w:ascii="Times New Roman" w:eastAsia="Calibri" w:hAnsi="Times New Roman" w:cs="Times New Roman"/>
          <w:sz w:val="32"/>
          <w:szCs w:val="32"/>
        </w:rPr>
        <w:t>для тестирования инновационных решений</w:t>
      </w:r>
      <w:bookmarkEnd w:id="67"/>
      <w:r w:rsidRPr="00877DE5">
        <w:rPr>
          <w:rFonts w:ascii="Times New Roman" w:eastAsia="Calibri" w:hAnsi="Times New Roman" w:cs="Times New Roman"/>
          <w:sz w:val="32"/>
          <w:szCs w:val="32"/>
        </w:rPr>
        <w:t>;</w:t>
      </w:r>
    </w:p>
    <w:p w14:paraId="4DDB2CB1" w14:textId="77777777" w:rsidR="00877DE5" w:rsidRPr="00877DE5" w:rsidRDefault="00877DE5" w:rsidP="00AD58CD">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32"/>
          <w:szCs w:val="32"/>
        </w:rPr>
      </w:pPr>
      <w:bookmarkStart w:id="68" w:name="_Hlk198765134"/>
      <w:r w:rsidRPr="00877DE5">
        <w:rPr>
          <w:rFonts w:ascii="Times New Roman" w:eastAsia="Calibri" w:hAnsi="Times New Roman" w:cs="Times New Roman"/>
          <w:sz w:val="32"/>
          <w:szCs w:val="32"/>
        </w:rPr>
        <w:t>проведение стажировок и практик в HR-отделах компаний-партнеров образовательной организации, внедряющих ИИ</w:t>
      </w:r>
      <w:bookmarkEnd w:id="68"/>
      <w:r w:rsidRPr="00877DE5">
        <w:rPr>
          <w:rFonts w:ascii="Times New Roman" w:eastAsia="Calibri" w:hAnsi="Times New Roman" w:cs="Times New Roman"/>
          <w:sz w:val="32"/>
          <w:szCs w:val="32"/>
        </w:rPr>
        <w:t>.</w:t>
      </w:r>
    </w:p>
    <w:p w14:paraId="6C4E6D39"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bookmarkStart w:id="69" w:name="_Hlk198765270"/>
      <w:r w:rsidRPr="00877DE5">
        <w:rPr>
          <w:rFonts w:ascii="Times New Roman" w:eastAsia="Calibri" w:hAnsi="Times New Roman" w:cs="Times New Roman"/>
          <w:sz w:val="32"/>
          <w:szCs w:val="32"/>
        </w:rPr>
        <w:t>Со стороны государства также необходима поддержка, которая может выражаться в:</w:t>
      </w:r>
    </w:p>
    <w:p w14:paraId="17C10544" w14:textId="77777777" w:rsidR="00877DE5" w:rsidRPr="00877DE5" w:rsidRDefault="00877DE5" w:rsidP="00AD58CD">
      <w:pPr>
        <w:numPr>
          <w:ilvl w:val="0"/>
          <w:numId w:val="41"/>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создании механизмов распространения корпоративных HR-технологий среди субъектов МСП через «Цифровую платформу МСП.РФ»;</w:t>
      </w:r>
    </w:p>
    <w:p w14:paraId="62F3C85C" w14:textId="77777777" w:rsidR="00877DE5" w:rsidRPr="00877DE5" w:rsidRDefault="00877DE5" w:rsidP="00AD58CD">
      <w:pPr>
        <w:numPr>
          <w:ilvl w:val="0"/>
          <w:numId w:val="41"/>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предоставлении грантовой поддержки субъектам МСП для развития </w:t>
      </w:r>
      <w:r w:rsidRPr="00877DE5">
        <w:rPr>
          <w:rFonts w:ascii="Times New Roman" w:eastAsia="Calibri" w:hAnsi="Times New Roman" w:cs="Times New Roman"/>
          <w:sz w:val="32"/>
          <w:szCs w:val="32"/>
          <w:lang w:val="en-US"/>
        </w:rPr>
        <w:t>HR</w:t>
      </w:r>
      <w:r w:rsidRPr="00877DE5">
        <w:rPr>
          <w:rFonts w:ascii="Times New Roman" w:eastAsia="Calibri" w:hAnsi="Times New Roman" w:cs="Times New Roman"/>
          <w:sz w:val="32"/>
          <w:szCs w:val="32"/>
        </w:rPr>
        <w:t>-</w:t>
      </w:r>
      <w:r w:rsidRPr="00877DE5">
        <w:rPr>
          <w:rFonts w:ascii="Times New Roman" w:eastAsia="Calibri" w:hAnsi="Times New Roman" w:cs="Times New Roman"/>
          <w:sz w:val="32"/>
          <w:szCs w:val="32"/>
          <w:lang w:val="en-US"/>
        </w:rPr>
        <w:t>tech</w:t>
      </w:r>
      <w:r w:rsidRPr="00877DE5">
        <w:rPr>
          <w:rFonts w:ascii="Times New Roman" w:eastAsia="Calibri" w:hAnsi="Times New Roman" w:cs="Times New Roman"/>
          <w:sz w:val="32"/>
          <w:szCs w:val="32"/>
        </w:rPr>
        <w:t xml:space="preserve"> в рамках </w:t>
      </w:r>
      <w:bookmarkStart w:id="70" w:name="_Hlk198658043"/>
      <w:r w:rsidRPr="00877DE5">
        <w:rPr>
          <w:rFonts w:ascii="Times New Roman" w:eastAsia="Calibri" w:hAnsi="Times New Roman" w:cs="Times New Roman"/>
          <w:sz w:val="32"/>
          <w:szCs w:val="32"/>
        </w:rPr>
        <w:t xml:space="preserve">Национального проекта </w:t>
      </w:r>
      <w:bookmarkEnd w:id="70"/>
      <w:r w:rsidRPr="00877DE5">
        <w:rPr>
          <w:rFonts w:ascii="Times New Roman" w:eastAsia="Calibri" w:hAnsi="Times New Roman" w:cs="Times New Roman"/>
          <w:sz w:val="32"/>
          <w:szCs w:val="32"/>
        </w:rPr>
        <w:t>«Малое и среднее предпринимательство»;</w:t>
      </w:r>
    </w:p>
    <w:p w14:paraId="3D5A5647" w14:textId="77777777" w:rsidR="00877DE5" w:rsidRPr="00877DE5" w:rsidRDefault="00877DE5" w:rsidP="00AD58CD">
      <w:pPr>
        <w:numPr>
          <w:ilvl w:val="0"/>
          <w:numId w:val="41"/>
        </w:numPr>
        <w:tabs>
          <w:tab w:val="left" w:pos="1134"/>
        </w:tabs>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разработке и реализации программ субсидирования переподготовки HR-специалистов в рамках Национального проекта «Цифровая экономика».</w:t>
      </w:r>
    </w:p>
    <w:bookmarkEnd w:id="69"/>
    <w:p w14:paraId="4DACA80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Реализация предложенных мер позволит создать эффективную систему адаптации HR-специалистов к вызовам цифровой трансформации, обеспечит гармоничное внедрение технологических инноваций в кадровый менеджмент и будет способствовать плавному переходу к цифровой экономике. Особое значение имеет синхронизация усилий всех заинтересованных сторон – только комплексный подход гарантирует устойчивые положительные изменения в профессиональной сфере управления человеческими ресурсами. </w:t>
      </w:r>
    </w:p>
    <w:p w14:paraId="73B5E96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Таким образом, в современном технологическом мире на первый план выходит необходимость цифровой трансформации компаний. </w:t>
      </w:r>
      <w:r w:rsidRPr="00877DE5">
        <w:rPr>
          <w:rFonts w:ascii="Times New Roman" w:eastAsia="Calibri" w:hAnsi="Times New Roman" w:cs="Times New Roman"/>
          <w:sz w:val="32"/>
          <w:szCs w:val="32"/>
        </w:rPr>
        <w:lastRenderedPageBreak/>
        <w:t>Первые годы активного внедрения искусственного интеллекта в деятельность организаций и их сотрудников демонстрируют то, что выживают те, кто способен вовремя уловить тенденции и приспособиться к ним. Активная интеграция ИИ-инструментов в сферу управления персоналом сегодня обладает как бесспорными преимуществами, так и представляет некоторую угрозу с точки зрения цифрового дисбаланса и потенциальной массовой потерей рабочих мест в ближайшем будущем. В связи с этим автором были предложены рекомендации для преодоления и минимизации этого риска. Реализация предложенных мер позволит сформировать кадровый потенциал HR-специалистов, обладающих необходимыми цифровыми компетенциями для эффективной работы в условиях технологической трансформации сферы управления персоналом.</w:t>
      </w:r>
    </w:p>
    <w:p w14:paraId="24C819B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p>
    <w:p w14:paraId="2B8F60B7" w14:textId="77777777" w:rsidR="00877DE5" w:rsidRPr="00877DE5" w:rsidRDefault="00877DE5" w:rsidP="00067100">
      <w:pPr>
        <w:spacing w:after="0" w:line="240" w:lineRule="auto"/>
        <w:ind w:firstLine="709"/>
        <w:jc w:val="center"/>
        <w:rPr>
          <w:rFonts w:ascii="Times New Roman" w:eastAsia="Calibri" w:hAnsi="Times New Roman" w:cs="Times New Roman"/>
          <w:b/>
          <w:bCs/>
          <w:sz w:val="21"/>
          <w:szCs w:val="21"/>
        </w:rPr>
      </w:pPr>
      <w:r w:rsidRPr="00877DE5">
        <w:rPr>
          <w:rFonts w:ascii="Times New Roman" w:eastAsia="Calibri" w:hAnsi="Times New Roman" w:cs="Times New Roman"/>
          <w:b/>
          <w:bCs/>
          <w:sz w:val="21"/>
          <w:szCs w:val="21"/>
        </w:rPr>
        <w:t>Литература:</w:t>
      </w:r>
    </w:p>
    <w:p w14:paraId="1FCA9263" w14:textId="77777777" w:rsidR="00877DE5" w:rsidRPr="00877DE5" w:rsidRDefault="00877DE5" w:rsidP="00AD58CD">
      <w:pPr>
        <w:numPr>
          <w:ilvl w:val="0"/>
          <w:numId w:val="34"/>
        </w:numPr>
        <w:tabs>
          <w:tab w:val="left" w:pos="1134"/>
        </w:tabs>
        <w:spacing w:after="0" w:line="240" w:lineRule="auto"/>
        <w:ind w:left="284" w:hanging="284"/>
        <w:contextualSpacing/>
        <w:jc w:val="both"/>
        <w:rPr>
          <w:rFonts w:ascii="Times New Roman" w:eastAsia="Calibri" w:hAnsi="Times New Roman" w:cs="Times New Roman"/>
          <w:sz w:val="21"/>
          <w:szCs w:val="21"/>
        </w:rPr>
      </w:pPr>
      <w:bookmarkStart w:id="71" w:name="_Hlk198716874"/>
      <w:bookmarkStart w:id="72" w:name="_Hlk198663426"/>
      <w:r w:rsidRPr="00877DE5">
        <w:rPr>
          <w:rFonts w:ascii="Times New Roman" w:eastAsia="Calibri" w:hAnsi="Times New Roman" w:cs="Times New Roman"/>
          <w:sz w:val="21"/>
          <w:szCs w:val="21"/>
        </w:rPr>
        <w:t xml:space="preserve">Лапиков А.В. </w:t>
      </w:r>
      <w:bookmarkEnd w:id="71"/>
      <w:r w:rsidRPr="00877DE5">
        <w:rPr>
          <w:rFonts w:ascii="Times New Roman" w:eastAsia="Calibri" w:hAnsi="Times New Roman" w:cs="Times New Roman"/>
          <w:sz w:val="21"/>
          <w:szCs w:val="21"/>
        </w:rPr>
        <w:t xml:space="preserve">Оценка цифровой зрелости процесса управления персоналом для организации цифрового перехода компании / А.В. Лапиков // Вестник Кемеровского государственного университета. Серия: Политические, социологические и экономические науки. </w:t>
      </w:r>
      <w:bookmarkStart w:id="73" w:name="_Hlk198662539"/>
      <w:r w:rsidRPr="00877DE5">
        <w:rPr>
          <w:rFonts w:ascii="Times New Roman" w:eastAsia="Calibri" w:hAnsi="Times New Roman" w:cs="Times New Roman"/>
          <w:sz w:val="21"/>
          <w:szCs w:val="21"/>
        </w:rPr>
        <w:t>–</w:t>
      </w:r>
      <w:bookmarkEnd w:id="73"/>
      <w:r w:rsidRPr="00877DE5">
        <w:rPr>
          <w:rFonts w:ascii="Times New Roman" w:eastAsia="Calibri" w:hAnsi="Times New Roman" w:cs="Times New Roman"/>
          <w:sz w:val="21"/>
          <w:szCs w:val="21"/>
        </w:rPr>
        <w:t xml:space="preserve"> 2022. – № 4(26). – С. 461–471.</w:t>
      </w:r>
    </w:p>
    <w:bookmarkEnd w:id="72"/>
    <w:p w14:paraId="395EA2CD" w14:textId="77777777" w:rsidR="00877DE5" w:rsidRPr="00877DE5" w:rsidRDefault="00877DE5" w:rsidP="00AD58CD">
      <w:pPr>
        <w:numPr>
          <w:ilvl w:val="0"/>
          <w:numId w:val="34"/>
        </w:numPr>
        <w:tabs>
          <w:tab w:val="left" w:pos="1134"/>
        </w:tabs>
        <w:spacing w:after="0" w:line="240" w:lineRule="auto"/>
        <w:ind w:left="284" w:hanging="284"/>
        <w:contextualSpacing/>
        <w:jc w:val="both"/>
        <w:rPr>
          <w:rFonts w:ascii="Times New Roman" w:eastAsia="Calibri" w:hAnsi="Times New Roman" w:cs="Times New Roman"/>
          <w:sz w:val="21"/>
          <w:szCs w:val="21"/>
        </w:rPr>
      </w:pPr>
      <w:r w:rsidRPr="00877DE5">
        <w:rPr>
          <w:rFonts w:ascii="Times New Roman" w:eastAsia="Calibri" w:hAnsi="Times New Roman" w:cs="Times New Roman"/>
          <w:sz w:val="21"/>
          <w:szCs w:val="21"/>
        </w:rPr>
        <w:t xml:space="preserve">Совместное исследование «Технологий Доверия» и Knomary, 2024 [Электронный ресурс]. – Режим доступа: </w:t>
      </w:r>
      <w:hyperlink r:id="rId291" w:history="1">
        <w:r w:rsidRPr="00877DE5">
          <w:rPr>
            <w:rFonts w:ascii="Times New Roman" w:eastAsia="Calibri" w:hAnsi="Times New Roman" w:cs="Times New Roman"/>
            <w:color w:val="0563C1"/>
            <w:sz w:val="21"/>
            <w:szCs w:val="21"/>
            <w:u w:val="single"/>
          </w:rPr>
          <w:t>https://data.tedo.ru/publications/ai-hr-2024.pdf</w:t>
        </w:r>
      </w:hyperlink>
      <w:r w:rsidRPr="00877DE5">
        <w:rPr>
          <w:rFonts w:ascii="Times New Roman" w:eastAsia="Calibri" w:hAnsi="Times New Roman" w:cs="Times New Roman"/>
          <w:sz w:val="21"/>
          <w:szCs w:val="21"/>
        </w:rPr>
        <w:t xml:space="preserve">. </w:t>
      </w:r>
    </w:p>
    <w:p w14:paraId="7E986D35" w14:textId="77777777" w:rsidR="00877DE5" w:rsidRPr="00877DE5" w:rsidRDefault="00877DE5" w:rsidP="00AD58CD">
      <w:pPr>
        <w:numPr>
          <w:ilvl w:val="0"/>
          <w:numId w:val="34"/>
        </w:numPr>
        <w:tabs>
          <w:tab w:val="left" w:pos="1134"/>
        </w:tabs>
        <w:spacing w:after="0" w:line="240" w:lineRule="auto"/>
        <w:ind w:left="284" w:hanging="284"/>
        <w:contextualSpacing/>
        <w:jc w:val="both"/>
        <w:rPr>
          <w:rFonts w:ascii="Times New Roman" w:eastAsia="Calibri" w:hAnsi="Times New Roman" w:cs="Times New Roman"/>
          <w:sz w:val="21"/>
          <w:szCs w:val="21"/>
          <w:lang w:val="en-US"/>
        </w:rPr>
      </w:pPr>
      <w:bookmarkStart w:id="74" w:name="_Hlk198662586"/>
      <w:r w:rsidRPr="00877DE5">
        <w:rPr>
          <w:rFonts w:ascii="Times New Roman" w:eastAsia="Calibri" w:hAnsi="Times New Roman" w:cs="Times New Roman"/>
          <w:sz w:val="21"/>
          <w:szCs w:val="21"/>
          <w:lang w:val="en-US"/>
        </w:rPr>
        <w:t xml:space="preserve">Cátia Rosário. Benefits and risks of using AI in Human Resource Management: Literature review // IJMCER. </w:t>
      </w:r>
      <w:bookmarkStart w:id="75" w:name="_Hlk198663227"/>
      <w:r w:rsidRPr="00877DE5">
        <w:rPr>
          <w:rFonts w:ascii="Times New Roman" w:eastAsia="Calibri" w:hAnsi="Times New Roman" w:cs="Times New Roman"/>
          <w:sz w:val="21"/>
          <w:szCs w:val="21"/>
          <w:lang w:val="en-US"/>
        </w:rPr>
        <w:t>–</w:t>
      </w:r>
      <w:bookmarkEnd w:id="75"/>
      <w:r w:rsidRPr="00877DE5">
        <w:rPr>
          <w:rFonts w:ascii="Times New Roman" w:eastAsia="Calibri" w:hAnsi="Times New Roman" w:cs="Times New Roman"/>
          <w:sz w:val="21"/>
          <w:szCs w:val="21"/>
          <w:lang w:val="en-US"/>
        </w:rPr>
        <w:t xml:space="preserve"> 2025. – № 2. – </w:t>
      </w:r>
      <w:r w:rsidRPr="00877DE5">
        <w:rPr>
          <w:rFonts w:ascii="Times New Roman" w:eastAsia="Calibri" w:hAnsi="Times New Roman" w:cs="Times New Roman"/>
          <w:sz w:val="21"/>
          <w:szCs w:val="21"/>
        </w:rPr>
        <w:t>С</w:t>
      </w:r>
      <w:r w:rsidRPr="00877DE5">
        <w:rPr>
          <w:rFonts w:ascii="Times New Roman" w:eastAsia="Calibri" w:hAnsi="Times New Roman" w:cs="Times New Roman"/>
          <w:sz w:val="21"/>
          <w:szCs w:val="21"/>
          <w:lang w:val="en-US"/>
        </w:rPr>
        <w:t>. 146–154 [</w:t>
      </w:r>
      <w:r w:rsidRPr="00877DE5">
        <w:rPr>
          <w:rFonts w:ascii="Times New Roman" w:eastAsia="Calibri" w:hAnsi="Times New Roman" w:cs="Times New Roman"/>
          <w:sz w:val="21"/>
          <w:szCs w:val="21"/>
        </w:rPr>
        <w:t>Электронный</w:t>
      </w:r>
      <w:r w:rsidRPr="00877DE5">
        <w:rPr>
          <w:rFonts w:ascii="Times New Roman" w:eastAsia="Calibri" w:hAnsi="Times New Roman" w:cs="Times New Roman"/>
          <w:sz w:val="21"/>
          <w:szCs w:val="21"/>
          <w:lang w:val="en-US"/>
        </w:rPr>
        <w:t xml:space="preserve"> </w:t>
      </w:r>
      <w:r w:rsidRPr="00877DE5">
        <w:rPr>
          <w:rFonts w:ascii="Times New Roman" w:eastAsia="Calibri" w:hAnsi="Times New Roman" w:cs="Times New Roman"/>
          <w:sz w:val="21"/>
          <w:szCs w:val="21"/>
        </w:rPr>
        <w:t>ресурс</w:t>
      </w:r>
      <w:r w:rsidRPr="00877DE5">
        <w:rPr>
          <w:rFonts w:ascii="Times New Roman" w:eastAsia="Calibri" w:hAnsi="Times New Roman" w:cs="Times New Roman"/>
          <w:sz w:val="21"/>
          <w:szCs w:val="21"/>
          <w:lang w:val="en-US"/>
        </w:rPr>
        <w:t xml:space="preserve">]. – </w:t>
      </w:r>
      <w:r w:rsidRPr="00877DE5">
        <w:rPr>
          <w:rFonts w:ascii="Times New Roman" w:eastAsia="Calibri" w:hAnsi="Times New Roman" w:cs="Times New Roman"/>
          <w:sz w:val="21"/>
          <w:szCs w:val="21"/>
        </w:rPr>
        <w:t>Режим</w:t>
      </w:r>
      <w:r w:rsidRPr="00877DE5">
        <w:rPr>
          <w:rFonts w:ascii="Times New Roman" w:eastAsia="Calibri" w:hAnsi="Times New Roman" w:cs="Times New Roman"/>
          <w:sz w:val="21"/>
          <w:szCs w:val="21"/>
          <w:lang w:val="en-US"/>
        </w:rPr>
        <w:t xml:space="preserve"> </w:t>
      </w:r>
      <w:r w:rsidRPr="00877DE5">
        <w:rPr>
          <w:rFonts w:ascii="Times New Roman" w:eastAsia="Calibri" w:hAnsi="Times New Roman" w:cs="Times New Roman"/>
          <w:sz w:val="21"/>
          <w:szCs w:val="21"/>
        </w:rPr>
        <w:t>доступа</w:t>
      </w:r>
      <w:r w:rsidRPr="00877DE5">
        <w:rPr>
          <w:rFonts w:ascii="Times New Roman" w:eastAsia="Calibri" w:hAnsi="Times New Roman" w:cs="Times New Roman"/>
          <w:sz w:val="21"/>
          <w:szCs w:val="21"/>
          <w:lang w:val="en-US"/>
        </w:rPr>
        <w:t xml:space="preserve">: </w:t>
      </w:r>
      <w:hyperlink r:id="rId292" w:history="1">
        <w:r w:rsidRPr="00877DE5">
          <w:rPr>
            <w:rFonts w:ascii="Times New Roman" w:eastAsia="Calibri" w:hAnsi="Times New Roman" w:cs="Times New Roman"/>
            <w:color w:val="0563C1"/>
            <w:sz w:val="21"/>
            <w:szCs w:val="21"/>
            <w:u w:val="single"/>
            <w:lang w:val="en-US"/>
          </w:rPr>
          <w:t>https://www.ijmcer.com/wp-content/uploads/2025/04/IJMCER_R0720146154.pdf</w:t>
        </w:r>
      </w:hyperlink>
      <w:r w:rsidRPr="00877DE5">
        <w:rPr>
          <w:rFonts w:ascii="Times New Roman" w:eastAsia="Calibri" w:hAnsi="Times New Roman" w:cs="Times New Roman"/>
          <w:sz w:val="21"/>
          <w:szCs w:val="21"/>
          <w:lang w:val="en-US"/>
        </w:rPr>
        <w:t xml:space="preserve">. </w:t>
      </w:r>
    </w:p>
    <w:p w14:paraId="38A2892F" w14:textId="77777777" w:rsidR="00877DE5" w:rsidRPr="00877DE5" w:rsidRDefault="00877DE5" w:rsidP="00AD58CD">
      <w:pPr>
        <w:numPr>
          <w:ilvl w:val="0"/>
          <w:numId w:val="34"/>
        </w:numPr>
        <w:tabs>
          <w:tab w:val="left" w:pos="1134"/>
        </w:tabs>
        <w:spacing w:after="0" w:line="240" w:lineRule="auto"/>
        <w:ind w:left="284" w:hanging="284"/>
        <w:contextualSpacing/>
        <w:jc w:val="both"/>
        <w:rPr>
          <w:rFonts w:ascii="Times New Roman" w:eastAsia="Calibri" w:hAnsi="Times New Roman" w:cs="Times New Roman"/>
          <w:sz w:val="21"/>
          <w:szCs w:val="21"/>
        </w:rPr>
      </w:pPr>
      <w:r w:rsidRPr="00877DE5">
        <w:rPr>
          <w:rFonts w:ascii="Times New Roman" w:eastAsia="Calibri" w:hAnsi="Times New Roman" w:cs="Times New Roman"/>
          <w:sz w:val="21"/>
          <w:szCs w:val="21"/>
        </w:rPr>
        <w:t xml:space="preserve">Официальный сайт Аналитического центра НАФИ [Электронный ресурс]. – Режим доступа: </w:t>
      </w:r>
      <w:hyperlink r:id="rId293" w:history="1">
        <w:r w:rsidRPr="00877DE5">
          <w:rPr>
            <w:rFonts w:ascii="Times New Roman" w:eastAsia="Calibri" w:hAnsi="Times New Roman" w:cs="Times New Roman"/>
            <w:color w:val="0563C1"/>
            <w:sz w:val="21"/>
            <w:szCs w:val="21"/>
            <w:u w:val="single"/>
          </w:rPr>
          <w:t>https://nafi.ru/analytics/kazhdyy-tretiy-predstavitel-msp-ispolzuet-iskusstvennyy-intellekt-v-rabote</w:t>
        </w:r>
      </w:hyperlink>
      <w:bookmarkEnd w:id="74"/>
      <w:r w:rsidRPr="00877DE5">
        <w:rPr>
          <w:rFonts w:ascii="Times New Roman" w:eastAsia="Calibri" w:hAnsi="Times New Roman" w:cs="Times New Roman"/>
          <w:sz w:val="21"/>
          <w:szCs w:val="21"/>
        </w:rPr>
        <w:t xml:space="preserve">. </w:t>
      </w:r>
    </w:p>
    <w:p w14:paraId="4E759E86" w14:textId="77777777" w:rsidR="00877DE5" w:rsidRPr="00877DE5" w:rsidRDefault="00877DE5" w:rsidP="00AD58CD">
      <w:pPr>
        <w:numPr>
          <w:ilvl w:val="0"/>
          <w:numId w:val="34"/>
        </w:numPr>
        <w:tabs>
          <w:tab w:val="left" w:pos="1134"/>
        </w:tabs>
        <w:spacing w:after="0" w:line="240" w:lineRule="auto"/>
        <w:ind w:left="284" w:hanging="284"/>
        <w:contextualSpacing/>
        <w:jc w:val="both"/>
        <w:rPr>
          <w:rFonts w:ascii="Times New Roman" w:eastAsia="Calibri" w:hAnsi="Times New Roman" w:cs="Times New Roman"/>
          <w:sz w:val="21"/>
          <w:szCs w:val="21"/>
        </w:rPr>
      </w:pPr>
      <w:r w:rsidRPr="00877DE5">
        <w:rPr>
          <w:rFonts w:ascii="Times New Roman" w:eastAsia="Calibri" w:hAnsi="Times New Roman" w:cs="Times New Roman"/>
          <w:sz w:val="21"/>
          <w:szCs w:val="21"/>
        </w:rPr>
        <w:t xml:space="preserve">Совместное исследование «Технологий Доверия» и Knomary, 2023 [Электронный ресурс]. – Режим доступа: </w:t>
      </w:r>
      <w:hyperlink r:id="rId294" w:history="1">
        <w:r w:rsidRPr="00877DE5">
          <w:rPr>
            <w:rFonts w:ascii="Times New Roman" w:eastAsia="Calibri" w:hAnsi="Times New Roman" w:cs="Times New Roman"/>
            <w:color w:val="0563C1"/>
            <w:sz w:val="21"/>
            <w:szCs w:val="21"/>
            <w:u w:val="single"/>
          </w:rPr>
          <w:t>https://data.tedo.ru/publications/ai-in-hr.pdf</w:t>
        </w:r>
      </w:hyperlink>
      <w:r w:rsidRPr="00877DE5">
        <w:rPr>
          <w:rFonts w:ascii="Times New Roman" w:eastAsia="Calibri" w:hAnsi="Times New Roman" w:cs="Times New Roman"/>
          <w:sz w:val="21"/>
          <w:szCs w:val="21"/>
        </w:rPr>
        <w:t xml:space="preserve">. </w:t>
      </w:r>
    </w:p>
    <w:p w14:paraId="114F5B57" w14:textId="77777777" w:rsidR="00877DE5" w:rsidRPr="00877DE5" w:rsidRDefault="00877DE5" w:rsidP="00067100">
      <w:pPr>
        <w:tabs>
          <w:tab w:val="left" w:pos="1134"/>
        </w:tabs>
        <w:spacing w:after="0" w:line="240" w:lineRule="auto"/>
        <w:ind w:firstLine="709"/>
        <w:jc w:val="both"/>
        <w:rPr>
          <w:rFonts w:ascii="Times New Roman" w:eastAsia="Calibri" w:hAnsi="Times New Roman" w:cs="Times New Roman"/>
          <w:sz w:val="21"/>
          <w:szCs w:val="21"/>
        </w:rPr>
      </w:pPr>
    </w:p>
    <w:p w14:paraId="2C6FD839" w14:textId="77777777" w:rsidR="00877DE5" w:rsidRPr="00877DE5" w:rsidRDefault="00877DE5" w:rsidP="005D2A85">
      <w:pPr>
        <w:tabs>
          <w:tab w:val="left" w:pos="1134"/>
        </w:tabs>
        <w:spacing w:after="0" w:line="240" w:lineRule="auto"/>
        <w:jc w:val="both"/>
        <w:rPr>
          <w:rFonts w:ascii="Times New Roman" w:eastAsia="Calibri" w:hAnsi="Times New Roman" w:cs="Times New Roman"/>
          <w:b/>
          <w:sz w:val="21"/>
          <w:szCs w:val="21"/>
        </w:rPr>
      </w:pPr>
      <w:r w:rsidRPr="00877DE5">
        <w:rPr>
          <w:rFonts w:ascii="Times New Roman" w:eastAsia="Calibri" w:hAnsi="Times New Roman" w:cs="Times New Roman"/>
          <w:b/>
          <w:sz w:val="21"/>
          <w:szCs w:val="21"/>
        </w:rPr>
        <w:t>УДК</w:t>
      </w:r>
      <w:r w:rsidRPr="00877DE5">
        <w:rPr>
          <w:rFonts w:ascii="Calibri" w:eastAsia="Calibri" w:hAnsi="Calibri" w:cs="Times New Roman"/>
          <w:b/>
        </w:rPr>
        <w:t xml:space="preserve"> </w:t>
      </w:r>
      <w:r w:rsidRPr="00877DE5">
        <w:rPr>
          <w:rFonts w:ascii="Times New Roman" w:eastAsia="Calibri" w:hAnsi="Times New Roman" w:cs="Times New Roman"/>
          <w:b/>
          <w:sz w:val="21"/>
          <w:szCs w:val="21"/>
        </w:rPr>
        <w:t>338.45</w:t>
      </w:r>
    </w:p>
    <w:p w14:paraId="59C6BE59" w14:textId="11E5DCEF"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Горбунова П.И</w:t>
      </w:r>
      <w:r w:rsidR="00F51A51">
        <w:rPr>
          <w:rFonts w:ascii="Times New Roman" w:eastAsia="Times New Roman" w:hAnsi="Times New Roman" w:cs="Times New Roman"/>
          <w:b/>
          <w:i/>
          <w:color w:val="000000"/>
          <w:sz w:val="21"/>
          <w:szCs w:val="21"/>
          <w:lang w:eastAsia="ar-SA"/>
        </w:rPr>
        <w:t>.</w:t>
      </w:r>
      <w:r w:rsidRPr="00877DE5">
        <w:rPr>
          <w:rFonts w:ascii="Times New Roman" w:eastAsia="Times New Roman" w:hAnsi="Times New Roman" w:cs="Times New Roman"/>
          <w:b/>
          <w:i/>
          <w:color w:val="000000"/>
          <w:sz w:val="21"/>
          <w:szCs w:val="21"/>
          <w:lang w:eastAsia="ar-SA"/>
        </w:rPr>
        <w:t xml:space="preserve">, </w:t>
      </w:r>
    </w:p>
    <w:p w14:paraId="38814CA6"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студентка 1 курса магистратуры </w:t>
      </w:r>
    </w:p>
    <w:p w14:paraId="536660D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199EA89F"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г. Краснодар, Россия</w:t>
      </w:r>
    </w:p>
    <w:p w14:paraId="76B7A749"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е-</w:t>
      </w:r>
      <w:r w:rsidRPr="00877DE5">
        <w:rPr>
          <w:rFonts w:ascii="Times New Roman" w:eastAsia="Times New Roman" w:hAnsi="Times New Roman" w:cs="Times New Roman"/>
          <w:i/>
          <w:color w:val="000000"/>
          <w:sz w:val="21"/>
          <w:szCs w:val="21"/>
          <w:lang w:val="en-US"/>
        </w:rPr>
        <w:t>mail</w:t>
      </w:r>
      <w:r w:rsidRPr="00877DE5">
        <w:rPr>
          <w:rFonts w:ascii="Times New Roman" w:eastAsia="Times New Roman" w:hAnsi="Times New Roman" w:cs="Times New Roman"/>
          <w:i/>
          <w:color w:val="000000"/>
          <w:sz w:val="21"/>
          <w:szCs w:val="21"/>
        </w:rPr>
        <w:t xml:space="preserve">: </w:t>
      </w:r>
      <w:r w:rsidRPr="00877DE5">
        <w:rPr>
          <w:rFonts w:ascii="Times New Roman" w:eastAsia="Times New Roman" w:hAnsi="Times New Roman" w:cs="Times New Roman"/>
          <w:i/>
          <w:color w:val="000000"/>
          <w:sz w:val="21"/>
          <w:szCs w:val="21"/>
          <w:lang w:val="en-US"/>
        </w:rPr>
        <w:t>polina</w:t>
      </w:r>
      <w:r w:rsidRPr="00877DE5">
        <w:rPr>
          <w:rFonts w:ascii="Times New Roman" w:eastAsia="Times New Roman" w:hAnsi="Times New Roman" w:cs="Times New Roman"/>
          <w:i/>
          <w:color w:val="000000"/>
          <w:sz w:val="21"/>
          <w:szCs w:val="21"/>
        </w:rPr>
        <w:t>_</w:t>
      </w:r>
      <w:r w:rsidRPr="00877DE5">
        <w:rPr>
          <w:rFonts w:ascii="Times New Roman" w:eastAsia="Times New Roman" w:hAnsi="Times New Roman" w:cs="Times New Roman"/>
          <w:i/>
          <w:color w:val="000000"/>
          <w:sz w:val="21"/>
          <w:szCs w:val="21"/>
          <w:lang w:val="en-US"/>
        </w:rPr>
        <w:t>gorbunova</w:t>
      </w:r>
      <w:r w:rsidRPr="00877DE5">
        <w:rPr>
          <w:rFonts w:ascii="Times New Roman" w:eastAsia="Times New Roman" w:hAnsi="Times New Roman" w:cs="Times New Roman"/>
          <w:i/>
          <w:color w:val="000000"/>
          <w:sz w:val="21"/>
          <w:szCs w:val="21"/>
        </w:rPr>
        <w:t>_2013@</w:t>
      </w:r>
      <w:r w:rsidRPr="00877DE5">
        <w:rPr>
          <w:rFonts w:ascii="Times New Roman" w:eastAsia="Times New Roman" w:hAnsi="Times New Roman" w:cs="Times New Roman"/>
          <w:i/>
          <w:color w:val="000000"/>
          <w:sz w:val="21"/>
          <w:szCs w:val="21"/>
          <w:lang w:val="en-US"/>
        </w:rPr>
        <w:t>mail</w:t>
      </w:r>
      <w:r w:rsidRPr="00877DE5">
        <w:rPr>
          <w:rFonts w:ascii="Times New Roman" w:eastAsia="Times New Roman" w:hAnsi="Times New Roman" w:cs="Times New Roman"/>
          <w:i/>
          <w:color w:val="000000"/>
          <w:sz w:val="21"/>
          <w:szCs w:val="21"/>
        </w:rPr>
        <w:t>.</w:t>
      </w:r>
      <w:r w:rsidRPr="00877DE5">
        <w:rPr>
          <w:rFonts w:ascii="Times New Roman" w:eastAsia="Times New Roman" w:hAnsi="Times New Roman" w:cs="Times New Roman"/>
          <w:i/>
          <w:color w:val="000000"/>
          <w:sz w:val="21"/>
          <w:szCs w:val="21"/>
          <w:lang w:val="en-US"/>
        </w:rPr>
        <w:t>ru</w:t>
      </w:r>
    </w:p>
    <w:p w14:paraId="7E999F51"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p>
    <w:p w14:paraId="6681D3BE"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Научный руководитель:</w:t>
      </w:r>
    </w:p>
    <w:p w14:paraId="1DA520D4"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Константиниди Х.А.,</w:t>
      </w:r>
    </w:p>
    <w:p w14:paraId="62E921B5"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b/>
          <w:i/>
          <w:color w:val="000000"/>
          <w:sz w:val="21"/>
          <w:szCs w:val="21"/>
        </w:rPr>
        <w:t xml:space="preserve"> </w:t>
      </w:r>
      <w:r w:rsidRPr="00877DE5">
        <w:rPr>
          <w:rFonts w:ascii="Times New Roman" w:eastAsia="Times New Roman" w:hAnsi="Times New Roman" w:cs="Times New Roman"/>
          <w:i/>
          <w:color w:val="000000"/>
          <w:sz w:val="21"/>
          <w:szCs w:val="21"/>
        </w:rPr>
        <w:t>доцент, д.э.н.</w:t>
      </w:r>
    </w:p>
    <w:p w14:paraId="24BEFB8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4DC4AE5B"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г. Краснодар, Россия</w:t>
      </w:r>
    </w:p>
    <w:p w14:paraId="0D61AF01" w14:textId="77777777" w:rsidR="00877DE5" w:rsidRPr="00877DE5" w:rsidRDefault="00877DE5" w:rsidP="00067100">
      <w:pPr>
        <w:spacing w:after="0" w:line="240" w:lineRule="auto"/>
        <w:ind w:right="-46" w:firstLine="709"/>
        <w:jc w:val="right"/>
        <w:rPr>
          <w:rFonts w:ascii="Times New Roman" w:eastAsia="Times New Roman" w:hAnsi="Times New Roman" w:cs="Times New Roman"/>
          <w:sz w:val="21"/>
          <w:szCs w:val="21"/>
          <w:lang w:eastAsia="ru-RU"/>
        </w:rPr>
      </w:pPr>
      <w:r w:rsidRPr="00877DE5">
        <w:rPr>
          <w:rFonts w:ascii="Times New Roman" w:eastAsia="Times New Roman" w:hAnsi="Times New Roman" w:cs="Times New Roman"/>
          <w:i/>
          <w:color w:val="000000"/>
          <w:sz w:val="21"/>
          <w:szCs w:val="21"/>
          <w:lang w:eastAsia="ar-SA"/>
        </w:rPr>
        <w:t>е-</w:t>
      </w:r>
      <w:r w:rsidRPr="00877DE5">
        <w:rPr>
          <w:rFonts w:ascii="Times New Roman" w:eastAsia="Times New Roman" w:hAnsi="Times New Roman" w:cs="Times New Roman"/>
          <w:i/>
          <w:color w:val="000000"/>
          <w:sz w:val="21"/>
          <w:szCs w:val="21"/>
          <w:lang w:val="en-US" w:eastAsia="ar-SA"/>
        </w:rPr>
        <w:t>mail</w:t>
      </w:r>
      <w:r w:rsidRPr="00877DE5">
        <w:rPr>
          <w:rFonts w:ascii="Times New Roman" w:eastAsia="Times New Roman" w:hAnsi="Times New Roman" w:cs="Times New Roman"/>
          <w:i/>
          <w:color w:val="000000"/>
          <w:sz w:val="21"/>
          <w:szCs w:val="21"/>
          <w:lang w:eastAsia="ar-SA"/>
        </w:rPr>
        <w:t>:</w:t>
      </w:r>
      <w:r w:rsidRPr="00877DE5">
        <w:rPr>
          <w:rFonts w:ascii="Times New Roman" w:eastAsia="Times New Roman" w:hAnsi="Times New Roman" w:cs="Times New Roman"/>
          <w:color w:val="000000"/>
          <w:sz w:val="21"/>
          <w:szCs w:val="21"/>
          <w:lang w:eastAsia="ru-RU"/>
        </w:rPr>
        <w:t xml:space="preserve"> </w:t>
      </w:r>
      <w:r w:rsidRPr="00877DE5">
        <w:rPr>
          <w:rFonts w:ascii="Times New Roman" w:eastAsia="Times New Roman" w:hAnsi="Times New Roman" w:cs="Times New Roman"/>
          <w:color w:val="000000"/>
          <w:sz w:val="21"/>
          <w:szCs w:val="21"/>
          <w:lang w:val="en-US" w:eastAsia="ru-RU"/>
        </w:rPr>
        <w:t>kx</w:t>
      </w:r>
      <w:r w:rsidRPr="00877DE5">
        <w:rPr>
          <w:rFonts w:ascii="Times New Roman" w:eastAsia="Times New Roman" w:hAnsi="Times New Roman" w:cs="Times New Roman"/>
          <w:color w:val="000000"/>
          <w:sz w:val="21"/>
          <w:szCs w:val="21"/>
          <w:lang w:eastAsia="ru-RU"/>
        </w:rPr>
        <w:t>81@</w:t>
      </w:r>
      <w:r w:rsidRPr="00877DE5">
        <w:rPr>
          <w:rFonts w:ascii="Times New Roman" w:eastAsia="Times New Roman" w:hAnsi="Times New Roman" w:cs="Times New Roman"/>
          <w:color w:val="000000"/>
          <w:sz w:val="21"/>
          <w:szCs w:val="21"/>
          <w:lang w:val="en-US" w:eastAsia="ru-RU"/>
        </w:rPr>
        <w:t>mail</w:t>
      </w:r>
      <w:r w:rsidRPr="00877DE5">
        <w:rPr>
          <w:rFonts w:ascii="Times New Roman" w:eastAsia="Times New Roman" w:hAnsi="Times New Roman" w:cs="Times New Roman"/>
          <w:color w:val="000000"/>
          <w:sz w:val="21"/>
          <w:szCs w:val="21"/>
          <w:lang w:eastAsia="ru-RU"/>
        </w:rPr>
        <w:t>.</w:t>
      </w:r>
      <w:r w:rsidRPr="00877DE5">
        <w:rPr>
          <w:rFonts w:ascii="Times New Roman" w:eastAsia="Times New Roman" w:hAnsi="Times New Roman" w:cs="Times New Roman"/>
          <w:color w:val="000000"/>
          <w:sz w:val="21"/>
          <w:szCs w:val="21"/>
          <w:lang w:val="en-US" w:eastAsia="ru-RU"/>
        </w:rPr>
        <w:t>ru</w:t>
      </w:r>
    </w:p>
    <w:p w14:paraId="778379F3" w14:textId="77777777" w:rsidR="00877DE5" w:rsidRPr="00877DE5" w:rsidRDefault="00877DE5" w:rsidP="00067100">
      <w:pPr>
        <w:spacing w:after="0" w:line="240" w:lineRule="auto"/>
        <w:ind w:right="-46" w:firstLine="709"/>
        <w:jc w:val="center"/>
        <w:rPr>
          <w:rFonts w:ascii="Times New Roman" w:eastAsia="Times New Roman" w:hAnsi="Times New Roman" w:cs="Times New Roman"/>
          <w:sz w:val="21"/>
          <w:szCs w:val="21"/>
          <w:lang w:eastAsia="ru-RU"/>
        </w:rPr>
      </w:pPr>
    </w:p>
    <w:p w14:paraId="09EA4F26" w14:textId="77777777" w:rsidR="00877DE5" w:rsidRPr="00877DE5" w:rsidRDefault="00877DE5" w:rsidP="00067100">
      <w:pPr>
        <w:spacing w:after="0" w:line="240" w:lineRule="auto"/>
        <w:ind w:right="-46" w:firstLine="709"/>
        <w:jc w:val="center"/>
        <w:rPr>
          <w:rFonts w:ascii="Times New Roman" w:eastAsia="Times New Roman" w:hAnsi="Times New Roman" w:cs="Times New Roman"/>
          <w:b/>
          <w:bCs/>
          <w:sz w:val="21"/>
          <w:szCs w:val="21"/>
          <w:lang w:eastAsia="ru-RU"/>
        </w:rPr>
      </w:pPr>
      <w:r w:rsidRPr="00877DE5">
        <w:rPr>
          <w:rFonts w:ascii="Times New Roman" w:eastAsia="Times New Roman" w:hAnsi="Times New Roman" w:cs="Times New Roman"/>
          <w:b/>
          <w:bCs/>
          <w:sz w:val="21"/>
          <w:szCs w:val="21"/>
          <w:lang w:eastAsia="ru-RU"/>
        </w:rPr>
        <w:t>Проектный подход, как инструмент достижения устойчивого развития в нефтегазовом отечественном секторе</w:t>
      </w:r>
    </w:p>
    <w:p w14:paraId="7CEB1F9F"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p>
    <w:p w14:paraId="63290727"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Аннотация:</w:t>
      </w:r>
      <w:r w:rsidRPr="00877DE5">
        <w:rPr>
          <w:rFonts w:ascii="Times New Roman" w:eastAsia="Calibri" w:hAnsi="Times New Roman" w:cs="Times New Roman"/>
          <w:sz w:val="21"/>
          <w:szCs w:val="21"/>
        </w:rPr>
        <w:t xml:space="preserve"> В статье проводится рассмотрение направлений использования проектного подхода, как инструмента достижения устойчивого развития нефтегазового сектора Российской Федерации. Нефтегазовая отрасль по-прежнему занимает центральное место в экономическом развитии страны. Однако в условиях активизации и усиления санкционного давления со стороны зарубежных стран наибольшее количество ограничительных мер было введено в отношении нефтегазового сектора страны, что значительно ограничило его потенциал развития. Приведенные обстоятельства, обуславливают необходимость использования эффективных мер управления, а именно применение проектного подхода на </w:t>
      </w:r>
      <w:r w:rsidRPr="00877DE5">
        <w:rPr>
          <w:rFonts w:ascii="Times New Roman" w:eastAsia="Calibri" w:hAnsi="Times New Roman" w:cs="Times New Roman"/>
          <w:sz w:val="21"/>
          <w:szCs w:val="21"/>
        </w:rPr>
        <w:lastRenderedPageBreak/>
        <w:t>предприятиях нефтегазового отечественного комплекса, с целью повышения уровня конкурентоспособности и устойчивого развития предприятий.</w:t>
      </w:r>
    </w:p>
    <w:p w14:paraId="38044EB1"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Ключевые слова:</w:t>
      </w:r>
      <w:r w:rsidRPr="00877DE5">
        <w:rPr>
          <w:rFonts w:ascii="Times New Roman" w:eastAsia="Calibri" w:hAnsi="Times New Roman" w:cs="Times New Roman"/>
          <w:sz w:val="21"/>
          <w:szCs w:val="21"/>
        </w:rPr>
        <w:t xml:space="preserve"> проектный подход, нефтегазовый сектор, устойчивое развитие предприятия, эффективность, санкции.</w:t>
      </w:r>
    </w:p>
    <w:p w14:paraId="184BA8E1"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p>
    <w:p w14:paraId="299A8BA4"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lang w:val="en-US"/>
        </w:rPr>
      </w:pPr>
      <w:r w:rsidRPr="00877DE5">
        <w:rPr>
          <w:rFonts w:ascii="Times New Roman" w:eastAsia="Calibri" w:hAnsi="Times New Roman" w:cs="Times New Roman"/>
          <w:b/>
          <w:sz w:val="21"/>
          <w:szCs w:val="21"/>
          <w:lang w:val="en-US"/>
        </w:rPr>
        <w:t>Project approach as a tool for achieving sustainable development in the domestic oil and gas sector</w:t>
      </w:r>
    </w:p>
    <w:p w14:paraId="28EBEC7E"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p>
    <w:p w14:paraId="7DDC7669"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bCs/>
          <w:sz w:val="21"/>
          <w:szCs w:val="21"/>
          <w:lang w:val="en-US"/>
        </w:rPr>
        <w:t>Abstract:</w:t>
      </w:r>
      <w:r w:rsidRPr="00877DE5">
        <w:rPr>
          <w:rFonts w:ascii="Times New Roman" w:eastAsia="Calibri" w:hAnsi="Times New Roman" w:cs="Times New Roman"/>
          <w:sz w:val="21"/>
          <w:szCs w:val="21"/>
          <w:lang w:val="en-US"/>
        </w:rPr>
        <w:t xml:space="preserve"> The article examines the directions of using the project approach as a tool for achieving sustainable development of the oil and gas sector of the Russian Federation. The oil and gas industry still </w:t>
      </w:r>
      <w:proofErr w:type="gramStart"/>
      <w:r w:rsidRPr="00877DE5">
        <w:rPr>
          <w:rFonts w:ascii="Times New Roman" w:eastAsia="Calibri" w:hAnsi="Times New Roman" w:cs="Times New Roman"/>
          <w:sz w:val="21"/>
          <w:szCs w:val="21"/>
          <w:lang w:val="en-US"/>
        </w:rPr>
        <w:t>plays</w:t>
      </w:r>
      <w:proofErr w:type="gramEnd"/>
      <w:r w:rsidRPr="00877DE5">
        <w:rPr>
          <w:rFonts w:ascii="Times New Roman" w:eastAsia="Calibri" w:hAnsi="Times New Roman" w:cs="Times New Roman"/>
          <w:sz w:val="21"/>
          <w:szCs w:val="21"/>
          <w:lang w:val="en-US"/>
        </w:rPr>
        <w:t xml:space="preserve"> a central role in the country's economic development. However, in the context of the intensification and strengthening of sanctions pressure from foreign countries, the largest number of restrictive measures has been introduced against the oil and gas sector, significantly limiting its development potential. These circumstances necessitate the implementation of effective management measures, specifically the application of the project approach in domestic oil and gas enterprises, aimed at enhancing competitiveness and sustainable development of the companies.  </w:t>
      </w:r>
    </w:p>
    <w:p w14:paraId="0DB795C8"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bCs/>
          <w:sz w:val="21"/>
          <w:szCs w:val="21"/>
          <w:lang w:val="en-US"/>
        </w:rPr>
        <w:t>Keywords:</w:t>
      </w:r>
      <w:r w:rsidRPr="00877DE5">
        <w:rPr>
          <w:rFonts w:ascii="Times New Roman" w:eastAsia="Calibri" w:hAnsi="Times New Roman" w:cs="Times New Roman"/>
          <w:sz w:val="21"/>
          <w:szCs w:val="21"/>
          <w:lang w:val="en-US"/>
        </w:rPr>
        <w:t xml:space="preserve"> project approach, oil and gas sector, sustainable development of enterprises, efficiency, sanctions.</w:t>
      </w:r>
    </w:p>
    <w:p w14:paraId="56F9C20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lang w:val="en-US"/>
        </w:rPr>
      </w:pPr>
    </w:p>
    <w:p w14:paraId="4695F62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Одним из ключевых элементов системы конкурентоспособности экономики Российской Федерации является нефтегазовый комплекс. Увеличение количества реализованных нефтегазовых мегапроектов за последнее десятилетие вызвало необходимость на усовершенствование и оптимизирование инструментов развития в данной области. За 2024 г. нефтегазовые доходы бюджета РФ выросли на 26 % и достигли порядка 25,6 трлн рублей. Также за прошлый год бюджет страны на 40 % был сформирован за счет экспорт природных энергоносителей на мировой рынок. Однако несмотря на существующие показатели, с 2022 г. в отношении нефтегазового отечественного сектора был введен широкий перечень санкций со стороны зарубежных стран, что существенно влияет на потенциал развития обозначенного сектора. </w:t>
      </w:r>
    </w:p>
    <w:p w14:paraId="02117EC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 результате сложившейся ситуации ограничиваются возможности экспорта газа и нефти на международный рынок, что является значительной проблемой для предприятий нефтегазовой отрасли. Поэтому исследование вопроса повышения устойчивости функционирования нефтегазового комплекса через применение проектного подхода является актуальной темой. </w:t>
      </w:r>
    </w:p>
    <w:p w14:paraId="74386F4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На главной выставке «Нефтегаз», посвященной нефтегазовой отрасли и проходящей с 2 по 5 мая в «Экспоцентре» при поддержке Министерства энергетики РФ, Министерства промышленности и торговли РФ, под патронатом Торгово-промышленной палаты РФ, на 2026 год уже выдвигаются решения вопросов по перспективе развития нефтегазовой отрасли России в условиях санкционного ограничения.</w:t>
      </w:r>
    </w:p>
    <w:p w14:paraId="3410F2D9"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 xml:space="preserve">Во-первых, создание стабильности в данной области, так как за последнее время значительно повысилась вероятность невыполнения поставленных задач. </w:t>
      </w:r>
    </w:p>
    <w:p w14:paraId="09413E5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Во-вторых, уменьшение расходов и потерь на всех стадиях производимых процессов благодаря продвижению внутренней нефтегазовой торговли и регулировании федеральным ресурсным фондом. </w:t>
      </w:r>
    </w:p>
    <w:p w14:paraId="2701120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В-третьих, усовершенствования технической и научной политики в нефтегазовой области. </w:t>
      </w:r>
    </w:p>
    <w:p w14:paraId="6F1C830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Таким образом, в настоящий момент, перед нефтегазовыми предприятиями поставлена задача перехода к стратегии устойчивого развития. Благодаря увеличению негативного антропогенного воздействия на окружающую среду появилась необходимость к переходу на модель сбалансированного развития. Данный тренд отмечается не только в Российской Федерации, но и во всех остальных развитых странах мира. </w:t>
      </w:r>
    </w:p>
    <w:p w14:paraId="33DACAF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Что представляет собой устойчивое развитие? Преподаватель, кандидат экономических наук из Санкт-Петербургского университета экономики и финансов Боброва О.С. отмечает следующее: «</w:t>
      </w:r>
      <w:r w:rsidRPr="00877DE5">
        <w:rPr>
          <w:rFonts w:ascii="Times New Roman" w:eastAsia="Calibri" w:hAnsi="Times New Roman" w:cs="Times New Roman"/>
          <w:color w:val="000000"/>
          <w:sz w:val="32"/>
          <w:szCs w:val="32"/>
          <w:shd w:val="clear" w:color="auto" w:fill="FFFFFF"/>
        </w:rPr>
        <w:t>Устойчивое развитие — это процесс экономических и социальных изменений, при котором природные ресурсы, направление инвестиций, ориентация научно-технического развития, развитие личности и институциональные изменения согласованы друг с другом и укрепляют нынешний и будущий потенциал для удовлетворения человеческих потребностей и устремлений»</w:t>
      </w:r>
      <w:bookmarkStart w:id="76" w:name="_Hlk152256382"/>
      <w:r w:rsidRPr="00877DE5">
        <w:rPr>
          <w:rFonts w:ascii="Times New Roman" w:eastAsia="Calibri" w:hAnsi="Times New Roman" w:cs="Times New Roman"/>
          <w:color w:val="000000"/>
          <w:sz w:val="32"/>
          <w:szCs w:val="32"/>
          <w:shd w:val="clear" w:color="auto" w:fill="FFFFFF"/>
        </w:rPr>
        <w:t xml:space="preserve"> </w:t>
      </w:r>
      <w:r w:rsidRPr="00877DE5">
        <w:rPr>
          <w:rFonts w:ascii="Times New Roman" w:eastAsia="Calibri" w:hAnsi="Times New Roman" w:cs="Times New Roman"/>
          <w:sz w:val="32"/>
          <w:szCs w:val="32"/>
        </w:rPr>
        <w:t>[3, с. 95]</w:t>
      </w:r>
      <w:bookmarkEnd w:id="76"/>
      <w:r w:rsidRPr="00877DE5">
        <w:rPr>
          <w:rFonts w:ascii="Times New Roman" w:eastAsia="Calibri" w:hAnsi="Times New Roman" w:cs="Times New Roman"/>
          <w:sz w:val="32"/>
          <w:szCs w:val="32"/>
        </w:rPr>
        <w:t xml:space="preserve">. Из этого следует, что проектный подход является одним из инструментов, который позволяет достичь модели устойчивого развития и при этом поддерживать уровень конкурентоспособности компаний. </w:t>
      </w:r>
    </w:p>
    <w:p w14:paraId="6BA9BE59" w14:textId="77777777" w:rsidR="00877DE5" w:rsidRPr="00877DE5" w:rsidRDefault="00877DE5" w:rsidP="00067100">
      <w:pPr>
        <w:spacing w:after="0" w:line="240" w:lineRule="auto"/>
        <w:ind w:right="-46"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iCs/>
          <w:sz w:val="32"/>
          <w:szCs w:val="32"/>
          <w:lang w:eastAsia="ru-RU" w:bidi="hi-IN"/>
        </w:rPr>
        <w:t>По результатам рассмотрения работ Козырина А.Л.</w:t>
      </w:r>
      <w:r w:rsidRPr="00877DE5">
        <w:rPr>
          <w:rFonts w:ascii="Times New Roman" w:eastAsia="Times New Roman" w:hAnsi="Times New Roman" w:cs="Times New Roman"/>
          <w:sz w:val="32"/>
          <w:szCs w:val="32"/>
          <w:lang w:eastAsia="ru-RU"/>
        </w:rPr>
        <w:t xml:space="preserve"> [5]</w:t>
      </w:r>
      <w:r w:rsidRPr="00877DE5">
        <w:rPr>
          <w:rFonts w:ascii="Times New Roman" w:eastAsia="Times New Roman" w:hAnsi="Times New Roman" w:cs="Times New Roman"/>
          <w:iCs/>
          <w:sz w:val="32"/>
          <w:szCs w:val="32"/>
          <w:lang w:eastAsia="ru-RU" w:bidi="hi-IN"/>
        </w:rPr>
        <w:t>, Соломонова А.П.</w:t>
      </w:r>
      <w:r w:rsidRPr="00877DE5">
        <w:rPr>
          <w:rFonts w:ascii="Times New Roman" w:eastAsia="Times New Roman" w:hAnsi="Times New Roman" w:cs="Times New Roman"/>
          <w:i/>
          <w:iCs/>
          <w:sz w:val="32"/>
          <w:szCs w:val="32"/>
          <w:lang w:eastAsia="ru-RU" w:bidi="hi-IN"/>
        </w:rPr>
        <w:t xml:space="preserve"> </w:t>
      </w:r>
      <w:r w:rsidRPr="00877DE5">
        <w:rPr>
          <w:rFonts w:ascii="Times New Roman" w:eastAsia="Times New Roman" w:hAnsi="Times New Roman" w:cs="Times New Roman"/>
          <w:sz w:val="32"/>
          <w:szCs w:val="32"/>
          <w:lang w:eastAsia="ru-RU"/>
        </w:rPr>
        <w:t>[6], были систематизированы особенности проектного подхода в нефтегазовом комплексе:</w:t>
      </w:r>
    </w:p>
    <w:p w14:paraId="69F83AE4" w14:textId="77777777" w:rsidR="00877DE5" w:rsidRPr="00877DE5" w:rsidRDefault="00877DE5" w:rsidP="00067100">
      <w:pPr>
        <w:spacing w:after="0" w:line="240" w:lineRule="auto"/>
        <w:ind w:right="-46"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1. Высокий уровень капиталоемкости. Модернизация работы предприятий нефтегазового комплекса, требует привлечения большого объема капитала. Поэтому фактор финансового обеспечения, является определяющим при планировании и реализации проектов в нефтегазовом комплексе.</w:t>
      </w:r>
    </w:p>
    <w:p w14:paraId="72F81FA8" w14:textId="77777777" w:rsidR="00877DE5" w:rsidRPr="00877DE5" w:rsidRDefault="00877DE5" w:rsidP="00067100">
      <w:pPr>
        <w:spacing w:after="0" w:line="240" w:lineRule="auto"/>
        <w:ind w:right="-46"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2. Многообразие технологических процессов. Производственные работы в нефтегазовом комплексе, сопряжены с большим перечнем технологических процессов, разной степени сложности. При </w:t>
      </w:r>
      <w:r w:rsidRPr="00877DE5">
        <w:rPr>
          <w:rFonts w:ascii="Times New Roman" w:eastAsia="Times New Roman" w:hAnsi="Times New Roman" w:cs="Times New Roman"/>
          <w:sz w:val="32"/>
          <w:szCs w:val="32"/>
          <w:lang w:eastAsia="ru-RU"/>
        </w:rPr>
        <w:lastRenderedPageBreak/>
        <w:t>реализации проектов необходимо учитывать данную особенность, с целью недопущения остановки производственной программы. Один день остановки нефтеперерабатывающего завода обойдется в сотни миллионов издержек для компании.</w:t>
      </w:r>
    </w:p>
    <w:p w14:paraId="33E36046" w14:textId="77777777" w:rsidR="00877DE5" w:rsidRPr="00877DE5" w:rsidRDefault="00877DE5" w:rsidP="00067100">
      <w:pPr>
        <w:spacing w:after="0" w:line="240" w:lineRule="auto"/>
        <w:ind w:right="-46"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3. Долгосрочный и стратегический характер проектов. Инвестиции в развитие предприятий нефтегазовой отрасли, имеют значительный срок реализации. Поэтому реализуемые проекты имеют стратегический характер.</w:t>
      </w:r>
    </w:p>
    <w:p w14:paraId="34F13B2A"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sz w:val="32"/>
          <w:szCs w:val="32"/>
          <w:lang w:eastAsia="ru-RU"/>
        </w:rPr>
        <w:t xml:space="preserve">Для подтверждения представленных особенностей были рассмотрены реальные кейсы использования проектного подхода для достижения целей устойчивого развития на примерах Куйбышевский НПЗ, входящего в самарскую группу </w:t>
      </w:r>
      <w:r w:rsidRPr="00877DE5">
        <w:rPr>
          <w:rFonts w:ascii="Times New Roman" w:eastAsia="Times New Roman" w:hAnsi="Times New Roman" w:cs="Times New Roman"/>
          <w:color w:val="000000"/>
          <w:sz w:val="32"/>
          <w:szCs w:val="32"/>
          <w:shd w:val="clear" w:color="auto" w:fill="FFFFFF"/>
          <w:lang w:eastAsia="ru-RU"/>
        </w:rPr>
        <w:t xml:space="preserve">предприятий ПАО «НК «Роснефть» и ООО «Трансойл», занимающегося транспортировкой нефти. </w:t>
      </w:r>
    </w:p>
    <w:p w14:paraId="25779D04"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 xml:space="preserve">Проектный подход использовался для модернизации «Куйбышевского НПЗ» в период с января по октябрь 2024 года. Данный завод является одним из ведущих нефтеперерабатывающих заводов Поволжья. Проектная мощность КНПЗ составляет 7 млн. т нефти в год. </w:t>
      </w:r>
    </w:p>
    <w:p w14:paraId="78CF655C"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С целью решения задачи по модернизации «Куйбышевского НПЗ» в компании ПАО НК «Роснефть», был сформирован проектный офис, в задачи которого, входил полный цикл задач, связанных с реализацией проекта. Реализация проекта предполагала решение следующих задач:</w:t>
      </w:r>
    </w:p>
    <w:p w14:paraId="4770827E"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1. Формирование команды проектного офиса. Были собраны ведущие специалисты компании ПАО НК «Роснефть», имеющие опыт реализации задач, в сфере модернизации нефтеперерабатывающих заводов. Отдельный акцент сделан на комплектации проекта проектировщиками с высоким уровнем квалификации. Специалисты данного профиля были перераспределены с «Туапсинского НПЗ» и «Сызранского НПЗ».</w:t>
      </w:r>
    </w:p>
    <w:p w14:paraId="424AF038"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2. Финансовое обеспечение проекта. Для устойчивого и бесперебойного финансирования проекта модернизации «Куйбышевского НПЗ», топ-менеджмент ПАО НК «Роснефть» выделил статьи в бюджете корпорации в период 2021-2023 гг., для нужд финансирования проекта. Данная мера стала основой финансового обеспечения проекта.</w:t>
      </w:r>
    </w:p>
    <w:p w14:paraId="4FEE6305"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 xml:space="preserve">3. Формирование системы управления рисками проекта. Реализация проекта модернизации «Куйбышевского НПЗ», была </w:t>
      </w:r>
      <w:r w:rsidRPr="00877DE5">
        <w:rPr>
          <w:rFonts w:ascii="Times New Roman" w:eastAsia="Times New Roman" w:hAnsi="Times New Roman" w:cs="Times New Roman"/>
          <w:color w:val="000000"/>
          <w:sz w:val="32"/>
          <w:szCs w:val="32"/>
          <w:shd w:val="clear" w:color="auto" w:fill="FFFFFF"/>
          <w:lang w:eastAsia="ru-RU"/>
        </w:rPr>
        <w:lastRenderedPageBreak/>
        <w:t>сопряжена с целым рядом рисков, учитывая технологическую сложность проведения работ на нефтеперерабатывающих заводов. Особое внимание было уделено формированию мероприятий, направленных на нивелирование следующих групп рисков:</w:t>
      </w:r>
    </w:p>
    <w:p w14:paraId="07598605"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А) Риски, связанные с загрязнением окружающей среды. Осуществление производственных работ на нефтеперерабатывающих заводах всегда сопряжено с риском загрязнения окружающей среды, по причине нарушения целостности емкостей для хранения отходов. Для нивелирования данных рисков в команду проекта были включены высококвалифицированные экологи, имеющие опыт реализации аналогичных проектов.</w:t>
      </w:r>
    </w:p>
    <w:p w14:paraId="10772112"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Б) Риски в сфере промышленной безопасности и охраны труда. Модернизация нефтеперерабатывающего комплекса, является технологически сложным процессом, связанным с выполнением высотных работ, а также перемещением металлических конструкций. Поэтому особенный акцент был сделан на формировании нормативно охраны труда на производственном объекте.</w:t>
      </w:r>
    </w:p>
    <w:p w14:paraId="453C6C4E"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В) Риски, связанные с ресурсным обеспечением проекта. В условиях санкционного давления на отечественную экономику, одним из главных рисков был дефицит оборудования для нефтеперерабатывающих комплексов. Так как большая часть зарубежных стран отказалась от поставки данного вида оборудования в нашу страну. Для нивелирования данной группы рисков, на начальном этапе были заключены договора поставок оборудования и ТМЦ на весь период реализации проекта. Данная мера позволила обеспечить производственный процесс необходимыми видами ресурсов.</w:t>
      </w:r>
    </w:p>
    <w:p w14:paraId="3A13D217"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r w:rsidRPr="00877DE5">
        <w:rPr>
          <w:rFonts w:ascii="Times New Roman" w:eastAsia="Times New Roman" w:hAnsi="Times New Roman" w:cs="Times New Roman"/>
          <w:color w:val="000000"/>
          <w:sz w:val="32"/>
          <w:szCs w:val="32"/>
          <w:shd w:val="clear" w:color="auto" w:fill="FFFFFF"/>
          <w:lang w:eastAsia="ru-RU"/>
        </w:rPr>
        <w:t xml:space="preserve">Итогом проделанной работы, стало завершение первого этап реконструкции установок АВТ-4 и АВТ-5 в 2023 году, что позволило предприятию увеличить отбор вакуумного газойля и получить дополнительный экономический эффект. Также реализации проекта модернизации «Куйбышевского НПЗ» позволила снизить выбросы вредных веществ в атмосферу, которые являются продуктом переработки нефти. </w:t>
      </w:r>
    </w:p>
    <w:p w14:paraId="256F8975" w14:textId="77777777" w:rsidR="00877DE5" w:rsidRPr="00877DE5" w:rsidRDefault="00877DE5" w:rsidP="00067100">
      <w:pPr>
        <w:spacing w:after="0" w:line="240" w:lineRule="auto"/>
        <w:ind w:left="142" w:right="-46"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lang w:bidi="hi-IN"/>
        </w:rPr>
        <w:t xml:space="preserve">Еще один положительный опыт отмечен в отечественной компании ООО «Трансойл», которая занимается транспортировкой нефти. Учитывая специфику деятельности, компания имела существенные риски разлива нефтепродуктов, что могло привести к крупным штрафам от государства, за нарушение природоохранного </w:t>
      </w:r>
      <w:r w:rsidRPr="00877DE5">
        <w:rPr>
          <w:rFonts w:ascii="Times New Roman" w:eastAsia="Calibri" w:hAnsi="Times New Roman" w:cs="Times New Roman"/>
          <w:sz w:val="32"/>
          <w:szCs w:val="32"/>
          <w:lang w:bidi="hi-IN"/>
        </w:rPr>
        <w:lastRenderedPageBreak/>
        <w:t>законодательства.  С целью нивелирования обозначенной группы рисков</w:t>
      </w:r>
      <w:r w:rsidRPr="00877DE5">
        <w:rPr>
          <w:rFonts w:ascii="Times New Roman" w:eastAsia="Calibri" w:hAnsi="Times New Roman" w:cs="Times New Roman"/>
          <w:sz w:val="32"/>
          <w:szCs w:val="32"/>
        </w:rPr>
        <w:t xml:space="preserve"> компания ООО «Профессиональный консультант» разработала ряд проектов для повышения устойчивости деятельности организации ООО «Трансойл». По завершению реализации проектов были получены следующие результаты: создание подразделения, отвечающего за устойчивое развитие; внедрены принципы ответственного инвестирования; заключены полиса комплексного страхования экологических рисков с лимитом ответственности 50 млн. руб.;</w:t>
      </w:r>
    </w:p>
    <w:p w14:paraId="42F923D2" w14:textId="77777777" w:rsidR="00877DE5" w:rsidRPr="00877DE5" w:rsidRDefault="00877DE5" w:rsidP="00067100">
      <w:pPr>
        <w:spacing w:after="0" w:line="240" w:lineRule="auto"/>
        <w:ind w:left="142" w:right="-46" w:firstLine="709"/>
        <w:jc w:val="both"/>
        <w:rPr>
          <w:rFonts w:ascii="Times New Roman" w:eastAsia="Calibri" w:hAnsi="Times New Roman" w:cs="Times New Roman"/>
          <w:sz w:val="32"/>
          <w:szCs w:val="32"/>
          <w:lang w:bidi="hi-IN"/>
        </w:rPr>
      </w:pPr>
      <w:r w:rsidRPr="00877DE5">
        <w:rPr>
          <w:rFonts w:ascii="Times New Roman" w:eastAsia="Calibri" w:hAnsi="Times New Roman" w:cs="Times New Roman"/>
          <w:sz w:val="32"/>
          <w:szCs w:val="32"/>
          <w:lang w:bidi="hi-IN"/>
        </w:rPr>
        <w:t>Результатом реализации проекта, стало значительное снижение рисков компании ООО «Трансойл», при транспортировке нефтепродуктов. Данный пример также положительным образом характеризует использование проектного подхода, для повышения устойчивости функционирования, предприятий нефтегазового комплекса страны.</w:t>
      </w:r>
    </w:p>
    <w:p w14:paraId="6AE012B7" w14:textId="77777777" w:rsidR="00877DE5" w:rsidRPr="00877DE5" w:rsidRDefault="00877DE5" w:rsidP="00067100">
      <w:pPr>
        <w:spacing w:after="0" w:line="240" w:lineRule="auto"/>
        <w:ind w:left="142" w:right="-46" w:firstLine="709"/>
        <w:jc w:val="both"/>
        <w:rPr>
          <w:rFonts w:ascii="Times New Roman" w:eastAsia="Calibri" w:hAnsi="Times New Roman" w:cs="Times New Roman"/>
          <w:sz w:val="32"/>
          <w:szCs w:val="32"/>
          <w:lang w:bidi="hi-IN"/>
        </w:rPr>
      </w:pPr>
      <w:r w:rsidRPr="00877DE5">
        <w:rPr>
          <w:rFonts w:ascii="Times New Roman" w:eastAsia="Calibri" w:hAnsi="Times New Roman" w:cs="Times New Roman"/>
          <w:sz w:val="32"/>
          <w:szCs w:val="32"/>
          <w:lang w:bidi="hi-IN"/>
        </w:rPr>
        <w:t>В заключении, представленные кейсы являются подтверждением актуальности использования проектного подхода, как инструмента достижения устойчивого развития в нефтегазовом комплексе. Реализованная задача модернизации «Куйбышевского НПЗ» проектным офисом, сформированным в компании ПАО НК «Роснефть», позволила улучшить качество производимого продукта, а также снизить объемы выбросов вредных веществ в атмосферу. Проектный подход позволил повысить эффективность работы «Куйбышевского НПЗ», а также оказал положительный эффект на работу всей корпорации ПАО «Роснефть». Компания ООО «Трансойл» в значительной мере минимизировала риски антропогенного воздействия на окружающую среду и получения штрафных санкций от государства. Соответственно, был получен результат улучшения результатов работы, при снижении отрицательного воздействия на окружающую среду.</w:t>
      </w:r>
    </w:p>
    <w:p w14:paraId="313AF81C" w14:textId="77777777" w:rsidR="00877DE5" w:rsidRPr="00877DE5" w:rsidRDefault="00877DE5" w:rsidP="006B21EF">
      <w:pPr>
        <w:spacing w:after="0" w:line="240" w:lineRule="auto"/>
        <w:ind w:left="142" w:right="-46" w:firstLine="709"/>
        <w:jc w:val="both"/>
        <w:rPr>
          <w:rFonts w:ascii="Times New Roman" w:eastAsia="Calibri" w:hAnsi="Times New Roman" w:cs="Times New Roman"/>
          <w:sz w:val="32"/>
          <w:szCs w:val="32"/>
          <w:lang w:bidi="hi-IN"/>
        </w:rPr>
      </w:pPr>
      <w:r w:rsidRPr="00877DE5">
        <w:rPr>
          <w:rFonts w:ascii="Times New Roman" w:eastAsia="Calibri" w:hAnsi="Times New Roman" w:cs="Times New Roman"/>
          <w:sz w:val="32"/>
          <w:szCs w:val="32"/>
        </w:rPr>
        <w:t xml:space="preserve">Нефтегазовый сектор требует от проектного подхода устойчивого развития использование комплекса стратегий и методов, которые будут направлены на балансировку экономических и экологических показателей. Такими методами станут: грамотное и четкое планирование и проектирование с учетом экологических стандартов; оптимизация управления природными ресурсами; инвестирование в модернизацию существующих технологий в данной области и внедрение системы мониторинга для оценки возможных рисков с целью их минимизации. Как показывает опыт нефтегазовых </w:t>
      </w:r>
      <w:r w:rsidRPr="00877DE5">
        <w:rPr>
          <w:rFonts w:ascii="Times New Roman" w:eastAsia="Calibri" w:hAnsi="Times New Roman" w:cs="Times New Roman"/>
          <w:sz w:val="32"/>
          <w:szCs w:val="32"/>
        </w:rPr>
        <w:lastRenderedPageBreak/>
        <w:t xml:space="preserve">компаний при применении проектного подхода значительно понижаются внешние риски, обеспечивается безопасность внутренних работ и происходит максимизация экономической эффективности, что в конечном итоге способствует устойчивому развитию всей отрасли. </w:t>
      </w:r>
    </w:p>
    <w:p w14:paraId="2C100AF1"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p>
    <w:p w14:paraId="7E808CA6" w14:textId="77777777" w:rsidR="00877DE5" w:rsidRPr="00877DE5" w:rsidRDefault="00877DE5" w:rsidP="00067100">
      <w:pPr>
        <w:spacing w:after="0" w:line="240" w:lineRule="auto"/>
        <w:ind w:left="142" w:right="-46" w:firstLine="709"/>
        <w:jc w:val="center"/>
        <w:rPr>
          <w:rFonts w:ascii="Times New Roman" w:eastAsia="Times New Roman" w:hAnsi="Times New Roman" w:cs="Times New Roman"/>
          <w:b/>
          <w:sz w:val="21"/>
          <w:szCs w:val="21"/>
          <w:lang w:eastAsia="ru-RU" w:bidi="hi-IN"/>
        </w:rPr>
      </w:pPr>
      <w:r w:rsidRPr="00877DE5">
        <w:rPr>
          <w:rFonts w:ascii="Times New Roman" w:eastAsia="Times New Roman" w:hAnsi="Times New Roman" w:cs="Times New Roman"/>
          <w:b/>
          <w:sz w:val="21"/>
          <w:szCs w:val="21"/>
          <w:lang w:eastAsia="ru-RU" w:bidi="hi-IN"/>
        </w:rPr>
        <w:t>Литература:</w:t>
      </w:r>
    </w:p>
    <w:p w14:paraId="24A0B8FD"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Абдулкадыров А.С., Минатуллаев А.А. Современные тенденции развития и особенности управления проектами в нефтеперерабатывающей отрасли// Индустриальная экономика. - № 5. – 2021. – с. 523 – 529.</w:t>
      </w:r>
    </w:p>
    <w:p w14:paraId="44E57EFA"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Афонин, А. М. Управление проектами / А.М. Афонин, Ю.Н. Царегородцев, С.А. Петрова. - М.: Форум, </w:t>
      </w:r>
      <w:r w:rsidRPr="00877DE5">
        <w:rPr>
          <w:rFonts w:ascii="Times New Roman" w:eastAsia="Times New Roman" w:hAnsi="Times New Roman" w:cs="Times New Roman"/>
          <w:b/>
          <w:bCs/>
          <w:sz w:val="21"/>
          <w:szCs w:val="21"/>
          <w:lang w:val="x-none" w:eastAsia="ar-SA"/>
        </w:rPr>
        <w:t>2020</w:t>
      </w:r>
      <w:r w:rsidRPr="00877DE5">
        <w:rPr>
          <w:rFonts w:ascii="Times New Roman" w:eastAsia="Times New Roman" w:hAnsi="Times New Roman" w:cs="Times New Roman"/>
          <w:sz w:val="21"/>
          <w:szCs w:val="21"/>
          <w:lang w:val="x-none" w:eastAsia="ar-SA"/>
        </w:rPr>
        <w:t>. - 184 c.</w:t>
      </w:r>
    </w:p>
    <w:p w14:paraId="33451816"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Боброва О.С. От устойчивого развития к ESG: опыт европейских компаний и правительств // Государственное управление. Электронный вестник. - 2022. - № 91. - С. 94-104</w:t>
      </w:r>
    </w:p>
    <w:p w14:paraId="7CB9C09B"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Ефимова О.В., Волков М.А., Королёва Д.А.Анализ влияния принципов ESG на доходность активов: эмпирическое исследование. Финансы: теория и практика. – 2021 -№25(4). – с. 82-97.</w:t>
      </w:r>
    </w:p>
    <w:p w14:paraId="7D1EF87C"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Никонов, Е. А. Особенности проектного подхода в управлении инновационной деятельностью предприятий нефтегазового комплекса / Е. А. Никонов. — Текст: непосредственный // Молодой ученый. — 2021. — № 43 (385). — С. 218-221.</w:t>
      </w:r>
    </w:p>
    <w:p w14:paraId="282FA8C1"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Козырин А.Л. Особенности управления проектами в нефтегазовом комплексе//Экономика и социум. - № 4. – 2023. – 1083 – 1088.</w:t>
      </w:r>
    </w:p>
    <w:p w14:paraId="4769C9C2" w14:textId="77777777" w:rsidR="00877DE5" w:rsidRPr="00877DE5" w:rsidRDefault="00877DE5" w:rsidP="00AD58CD">
      <w:pPr>
        <w:numPr>
          <w:ilvl w:val="0"/>
          <w:numId w:val="42"/>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Соломонов А.П. Развитие мировой нефтепереработки под влиянием структурных изменений в топливно-энергетическом балансе // Вестник Евразийской науки. – 2019. - №6, https://esj.today/PDF/33ECVN619.pdf </w:t>
      </w:r>
    </w:p>
    <w:p w14:paraId="406DE28E" w14:textId="77777777" w:rsidR="00877DE5" w:rsidRPr="00877DE5" w:rsidRDefault="00877DE5" w:rsidP="00067100">
      <w:pPr>
        <w:spacing w:after="0" w:line="240" w:lineRule="auto"/>
        <w:ind w:right="-46" w:firstLine="709"/>
        <w:jc w:val="both"/>
        <w:rPr>
          <w:rFonts w:ascii="Times New Roman" w:eastAsia="Times New Roman" w:hAnsi="Times New Roman" w:cs="Times New Roman"/>
          <w:color w:val="000000"/>
          <w:sz w:val="32"/>
          <w:szCs w:val="32"/>
          <w:shd w:val="clear" w:color="auto" w:fill="FFFFFF"/>
          <w:lang w:eastAsia="ru-RU"/>
        </w:rPr>
      </w:pPr>
    </w:p>
    <w:p w14:paraId="52993B93" w14:textId="77777777" w:rsidR="00877DE5" w:rsidRPr="00877DE5" w:rsidRDefault="00877DE5" w:rsidP="001E62F1">
      <w:pPr>
        <w:spacing w:after="0" w:line="240" w:lineRule="auto"/>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УДК 005.95/.96</w:t>
      </w:r>
    </w:p>
    <w:p w14:paraId="5B8F5602"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b/>
          <w:bCs/>
          <w:i/>
          <w:iCs/>
          <w:sz w:val="21"/>
          <w:szCs w:val="21"/>
        </w:rPr>
        <w:t>Косян Д.А.,</w:t>
      </w:r>
    </w:p>
    <w:p w14:paraId="24E3823D"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студент 1 курса</w:t>
      </w:r>
    </w:p>
    <w:p w14:paraId="47082D22"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Краснодарский филиал Финансового университета при Правительстве Российской Федерации</w:t>
      </w:r>
    </w:p>
    <w:p w14:paraId="1FB85C6D"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г. Краснодар, Россия</w:t>
      </w:r>
    </w:p>
    <w:p w14:paraId="7EBE8AB9"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 xml:space="preserve">е-mail: </w:t>
      </w:r>
      <w:hyperlink r:id="rId295" w:history="1">
        <w:r w:rsidRPr="00877DE5">
          <w:rPr>
            <w:rFonts w:ascii="Times New Roman" w:eastAsia="Calibri" w:hAnsi="Times New Roman" w:cs="Times New Roman"/>
            <w:color w:val="0563C1"/>
            <w:sz w:val="21"/>
            <w:szCs w:val="21"/>
            <w:u w:val="single"/>
          </w:rPr>
          <w:t>newpda985@gmail.com</w:t>
        </w:r>
      </w:hyperlink>
    </w:p>
    <w:p w14:paraId="6EDCE632"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p>
    <w:p w14:paraId="2B780A45" w14:textId="77777777" w:rsidR="00877DE5" w:rsidRPr="00877DE5" w:rsidRDefault="006B21EF" w:rsidP="00067100">
      <w:pPr>
        <w:spacing w:after="0" w:line="240" w:lineRule="auto"/>
        <w:ind w:firstLine="709"/>
        <w:jc w:val="right"/>
        <w:rPr>
          <w:rFonts w:ascii="Times New Roman" w:eastAsia="Calibri" w:hAnsi="Times New Roman" w:cs="Times New Roman"/>
          <w:sz w:val="21"/>
          <w:szCs w:val="21"/>
        </w:rPr>
      </w:pPr>
      <w:r>
        <w:rPr>
          <w:rFonts w:ascii="Times New Roman" w:eastAsia="Calibri" w:hAnsi="Times New Roman" w:cs="Times New Roman"/>
          <w:b/>
          <w:bCs/>
          <w:i/>
          <w:iCs/>
          <w:sz w:val="21"/>
          <w:szCs w:val="21"/>
        </w:rPr>
        <w:t> Григорьева </w:t>
      </w:r>
      <w:r w:rsidR="00877DE5" w:rsidRPr="00877DE5">
        <w:rPr>
          <w:rFonts w:ascii="Times New Roman" w:eastAsia="Calibri" w:hAnsi="Times New Roman" w:cs="Times New Roman"/>
          <w:b/>
          <w:bCs/>
          <w:i/>
          <w:iCs/>
          <w:sz w:val="21"/>
          <w:szCs w:val="21"/>
        </w:rPr>
        <w:t>А.Р.,</w:t>
      </w:r>
    </w:p>
    <w:p w14:paraId="372EC784"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студент 1 курса</w:t>
      </w:r>
    </w:p>
    <w:p w14:paraId="18A8F39D"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Краснодарский филиал Финансового университета при Правительстве Российской Федерации</w:t>
      </w:r>
    </w:p>
    <w:p w14:paraId="24968DA7"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г. Краснодар, Россия</w:t>
      </w:r>
    </w:p>
    <w:p w14:paraId="3EC4FB50"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 xml:space="preserve">е-mail: </w:t>
      </w:r>
      <w:hyperlink r:id="rId296" w:history="1">
        <w:r w:rsidRPr="00877DE5">
          <w:rPr>
            <w:rFonts w:ascii="Times New Roman" w:eastAsia="Calibri" w:hAnsi="Times New Roman" w:cs="Times New Roman"/>
            <w:color w:val="0563C1"/>
            <w:sz w:val="21"/>
            <w:szCs w:val="21"/>
            <w:u w:val="single"/>
          </w:rPr>
          <w:t>sashagrigorieva06@gmail.com</w:t>
        </w:r>
      </w:hyperlink>
    </w:p>
    <w:p w14:paraId="25E9F605"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p>
    <w:p w14:paraId="1B8FDC02"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b/>
          <w:bCs/>
          <w:i/>
          <w:iCs/>
          <w:sz w:val="21"/>
          <w:szCs w:val="21"/>
        </w:rPr>
        <w:t>Научный руководитель:</w:t>
      </w:r>
    </w:p>
    <w:p w14:paraId="78F8096C"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b/>
          <w:bCs/>
          <w:i/>
          <w:iCs/>
          <w:sz w:val="21"/>
          <w:szCs w:val="21"/>
        </w:rPr>
        <w:t>Маркарян В.Р.,</w:t>
      </w:r>
    </w:p>
    <w:p w14:paraId="5E8E6620"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 доцент, к.э.н.</w:t>
      </w:r>
    </w:p>
    <w:p w14:paraId="17F0B710"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Краснодарский филиал Финансового университета при Правительстве Российской Федерации</w:t>
      </w:r>
    </w:p>
    <w:p w14:paraId="08ABA7B3"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rPr>
      </w:pPr>
      <w:r w:rsidRPr="00877DE5">
        <w:rPr>
          <w:rFonts w:ascii="Times New Roman" w:eastAsia="Calibri" w:hAnsi="Times New Roman" w:cs="Times New Roman"/>
          <w:i/>
          <w:iCs/>
          <w:sz w:val="21"/>
          <w:szCs w:val="21"/>
        </w:rPr>
        <w:t>г. Краснодар, Россия</w:t>
      </w:r>
    </w:p>
    <w:p w14:paraId="3C4D2B0F" w14:textId="77777777" w:rsidR="00877DE5" w:rsidRDefault="00877DE5" w:rsidP="00067100">
      <w:pPr>
        <w:spacing w:after="0" w:line="240" w:lineRule="auto"/>
        <w:ind w:firstLine="709"/>
        <w:jc w:val="right"/>
      </w:pPr>
      <w:r w:rsidRPr="00877DE5">
        <w:rPr>
          <w:rFonts w:ascii="Times New Roman" w:eastAsia="Calibri" w:hAnsi="Times New Roman" w:cs="Times New Roman"/>
          <w:i/>
          <w:iCs/>
          <w:sz w:val="21"/>
          <w:szCs w:val="21"/>
        </w:rPr>
        <w:t xml:space="preserve">е-mail: </w:t>
      </w:r>
      <w:hyperlink r:id="rId297" w:history="1">
        <w:r w:rsidRPr="00877DE5">
          <w:rPr>
            <w:rFonts w:ascii="Times New Roman" w:eastAsia="Calibri" w:hAnsi="Times New Roman" w:cs="Times New Roman"/>
            <w:color w:val="0563C1"/>
            <w:sz w:val="21"/>
            <w:szCs w:val="21"/>
            <w:u w:val="single"/>
          </w:rPr>
          <w:t>markarianvr@gmail.com</w:t>
        </w:r>
      </w:hyperlink>
    </w:p>
    <w:p w14:paraId="67340BD4" w14:textId="77777777" w:rsidR="00420733" w:rsidRPr="00877DE5" w:rsidRDefault="00420733" w:rsidP="00067100">
      <w:pPr>
        <w:spacing w:after="0" w:line="240" w:lineRule="auto"/>
        <w:ind w:firstLine="709"/>
        <w:jc w:val="right"/>
        <w:rPr>
          <w:rFonts w:ascii="Times New Roman" w:eastAsia="Calibri" w:hAnsi="Times New Roman" w:cs="Times New Roman"/>
          <w:sz w:val="21"/>
          <w:szCs w:val="21"/>
        </w:rPr>
      </w:pPr>
    </w:p>
    <w:p w14:paraId="7779BEA7" w14:textId="77777777" w:rsidR="00877DE5" w:rsidRPr="00877DE5" w:rsidRDefault="00877DE5" w:rsidP="00067100">
      <w:pPr>
        <w:spacing w:after="0" w:line="240" w:lineRule="auto"/>
        <w:ind w:firstLine="709"/>
        <w:jc w:val="center"/>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Современные формы управления человеческими ресурсами: молодежные советы как ответ на кадровый голод</w:t>
      </w:r>
    </w:p>
    <w:p w14:paraId="14941591"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 xml:space="preserve">Аннотация: </w:t>
      </w:r>
      <w:r w:rsidRPr="00877DE5">
        <w:rPr>
          <w:rFonts w:ascii="Times New Roman" w:eastAsia="Calibri" w:hAnsi="Times New Roman" w:cs="Times New Roman"/>
          <w:sz w:val="21"/>
          <w:szCs w:val="21"/>
        </w:rPr>
        <w:t>В статье ставится задача поиска и выявления способов борьбы со сложившейся проблемой кадрового голода. Были представлены результаты исследовательской работы и анализ текущей ситуации, а также практической работы, в ходе которой одним из решений задачи является создание молодежного совета “SYPE”.</w:t>
      </w:r>
    </w:p>
    <w:p w14:paraId="100C09C3" w14:textId="407071D3"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bCs/>
          <w:sz w:val="21"/>
          <w:szCs w:val="21"/>
        </w:rPr>
        <w:t xml:space="preserve">Ключевые слова: </w:t>
      </w:r>
      <w:r w:rsidRPr="00877DE5">
        <w:rPr>
          <w:rFonts w:ascii="Times New Roman" w:eastAsia="Calibri" w:hAnsi="Times New Roman" w:cs="Times New Roman"/>
          <w:sz w:val="21"/>
          <w:szCs w:val="21"/>
        </w:rPr>
        <w:t>кадровый голод, молодежь, работодатель, геймификация, бизнес, молодой специалист</w:t>
      </w:r>
      <w:r w:rsidR="009C1D17">
        <w:rPr>
          <w:rFonts w:ascii="Times New Roman" w:eastAsia="Calibri" w:hAnsi="Times New Roman" w:cs="Times New Roman"/>
          <w:sz w:val="21"/>
          <w:szCs w:val="21"/>
        </w:rPr>
        <w:t>.</w:t>
      </w:r>
    </w:p>
    <w:p w14:paraId="38DF2627"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b/>
          <w:bCs/>
          <w:i/>
          <w:iCs/>
          <w:sz w:val="21"/>
          <w:szCs w:val="21"/>
          <w:lang w:val="en-US"/>
        </w:rPr>
        <w:t>Kosyan D.A.,</w:t>
      </w:r>
    </w:p>
    <w:p w14:paraId="63C7755E"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 xml:space="preserve">student, 1 </w:t>
      </w:r>
      <w:proofErr w:type="gramStart"/>
      <w:r w:rsidRPr="00877DE5">
        <w:rPr>
          <w:rFonts w:ascii="Times New Roman" w:eastAsia="Calibri" w:hAnsi="Times New Roman" w:cs="Times New Roman"/>
          <w:i/>
          <w:iCs/>
          <w:sz w:val="21"/>
          <w:szCs w:val="21"/>
          <w:lang w:val="en-US"/>
        </w:rPr>
        <w:t>courses</w:t>
      </w:r>
      <w:proofErr w:type="gramEnd"/>
      <w:r w:rsidRPr="00877DE5">
        <w:rPr>
          <w:rFonts w:ascii="Times New Roman" w:eastAsia="Calibri" w:hAnsi="Times New Roman" w:cs="Times New Roman"/>
          <w:b/>
          <w:bCs/>
          <w:i/>
          <w:iCs/>
          <w:sz w:val="21"/>
          <w:szCs w:val="21"/>
          <w:lang w:val="en-US"/>
        </w:rPr>
        <w:t> </w:t>
      </w:r>
    </w:p>
    <w:p w14:paraId="75EE70C2"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Krasnodar Branch of the Financial University under the Government of the Russian Federation</w:t>
      </w:r>
    </w:p>
    <w:p w14:paraId="5768CBF8"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lastRenderedPageBreak/>
        <w:t>Krasnodar, Russia</w:t>
      </w:r>
    </w:p>
    <w:p w14:paraId="6A65CEEB"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r w:rsidRPr="00877DE5">
        <w:rPr>
          <w:rFonts w:ascii="Times New Roman" w:eastAsia="Calibri" w:hAnsi="Times New Roman" w:cs="Times New Roman"/>
          <w:i/>
          <w:iCs/>
          <w:sz w:val="21"/>
          <w:szCs w:val="21"/>
        </w:rPr>
        <w:t>е</w:t>
      </w:r>
      <w:r w:rsidRPr="00877DE5">
        <w:rPr>
          <w:rFonts w:ascii="Times New Roman" w:eastAsia="Calibri" w:hAnsi="Times New Roman" w:cs="Times New Roman"/>
          <w:i/>
          <w:iCs/>
          <w:sz w:val="21"/>
          <w:szCs w:val="21"/>
          <w:lang w:val="en-US"/>
        </w:rPr>
        <w:t xml:space="preserve">-mail: </w:t>
      </w:r>
      <w:hyperlink r:id="rId298" w:history="1">
        <w:r w:rsidRPr="00877DE5">
          <w:rPr>
            <w:rFonts w:ascii="Times New Roman" w:eastAsia="Calibri" w:hAnsi="Times New Roman" w:cs="Times New Roman"/>
            <w:color w:val="0563C1"/>
            <w:sz w:val="21"/>
            <w:szCs w:val="21"/>
            <w:u w:val="single"/>
            <w:lang w:val="en-US"/>
          </w:rPr>
          <w:t>newpda985@gmail.com</w:t>
        </w:r>
      </w:hyperlink>
    </w:p>
    <w:p w14:paraId="5EC007CD"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p>
    <w:p w14:paraId="07F83C09"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b/>
          <w:bCs/>
          <w:i/>
          <w:iCs/>
          <w:sz w:val="21"/>
          <w:szCs w:val="21"/>
          <w:lang w:val="en-US"/>
        </w:rPr>
        <w:t>Grigorieva A.R.,</w:t>
      </w:r>
    </w:p>
    <w:p w14:paraId="5923E2B6"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 xml:space="preserve">student, 1 </w:t>
      </w:r>
      <w:proofErr w:type="gramStart"/>
      <w:r w:rsidRPr="00877DE5">
        <w:rPr>
          <w:rFonts w:ascii="Times New Roman" w:eastAsia="Calibri" w:hAnsi="Times New Roman" w:cs="Times New Roman"/>
          <w:i/>
          <w:iCs/>
          <w:sz w:val="21"/>
          <w:szCs w:val="21"/>
          <w:lang w:val="en-US"/>
        </w:rPr>
        <w:t>courses</w:t>
      </w:r>
      <w:proofErr w:type="gramEnd"/>
      <w:r w:rsidRPr="00877DE5">
        <w:rPr>
          <w:rFonts w:ascii="Times New Roman" w:eastAsia="Calibri" w:hAnsi="Times New Roman" w:cs="Times New Roman"/>
          <w:b/>
          <w:bCs/>
          <w:i/>
          <w:iCs/>
          <w:sz w:val="21"/>
          <w:szCs w:val="21"/>
          <w:lang w:val="en-US"/>
        </w:rPr>
        <w:t> </w:t>
      </w:r>
    </w:p>
    <w:p w14:paraId="50BD37DC"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Krasnodar Branch of the Financial University under the Government of the Russian Federation</w:t>
      </w:r>
    </w:p>
    <w:p w14:paraId="0614C14D"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Krasnodar, Russia</w:t>
      </w:r>
    </w:p>
    <w:p w14:paraId="65485A4C"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r w:rsidRPr="00877DE5">
        <w:rPr>
          <w:rFonts w:ascii="Times New Roman" w:eastAsia="Calibri" w:hAnsi="Times New Roman" w:cs="Times New Roman"/>
          <w:i/>
          <w:iCs/>
          <w:sz w:val="21"/>
          <w:szCs w:val="21"/>
        </w:rPr>
        <w:t>е</w:t>
      </w:r>
      <w:r w:rsidRPr="00877DE5">
        <w:rPr>
          <w:rFonts w:ascii="Times New Roman" w:eastAsia="Calibri" w:hAnsi="Times New Roman" w:cs="Times New Roman"/>
          <w:i/>
          <w:iCs/>
          <w:sz w:val="21"/>
          <w:szCs w:val="21"/>
          <w:lang w:val="en-US"/>
        </w:rPr>
        <w:t xml:space="preserve">-mail: </w:t>
      </w:r>
      <w:hyperlink r:id="rId299" w:history="1">
        <w:r w:rsidRPr="00877DE5">
          <w:rPr>
            <w:rFonts w:ascii="Times New Roman" w:eastAsia="Calibri" w:hAnsi="Times New Roman" w:cs="Times New Roman"/>
            <w:color w:val="0563C1"/>
            <w:sz w:val="21"/>
            <w:szCs w:val="21"/>
            <w:u w:val="single"/>
            <w:lang w:val="en-US"/>
          </w:rPr>
          <w:t>sashagrigorieva06@gmail.com</w:t>
        </w:r>
      </w:hyperlink>
    </w:p>
    <w:p w14:paraId="23BCFFB6"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r w:rsidRPr="00877DE5">
        <w:rPr>
          <w:rFonts w:ascii="Times New Roman" w:eastAsia="Calibri" w:hAnsi="Times New Roman" w:cs="Times New Roman"/>
          <w:i/>
          <w:iCs/>
          <w:sz w:val="21"/>
          <w:szCs w:val="21"/>
          <w:lang w:val="en-US"/>
        </w:rPr>
        <w:t> </w:t>
      </w:r>
    </w:p>
    <w:p w14:paraId="24AAA463"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b/>
          <w:bCs/>
          <w:i/>
          <w:iCs/>
          <w:sz w:val="21"/>
          <w:szCs w:val="21"/>
          <w:lang w:val="en-US"/>
        </w:rPr>
        <w:t>Scientific Adviser:</w:t>
      </w:r>
    </w:p>
    <w:p w14:paraId="41713771"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b/>
          <w:bCs/>
          <w:i/>
          <w:iCs/>
          <w:sz w:val="21"/>
          <w:szCs w:val="21"/>
          <w:lang w:val="en-US"/>
        </w:rPr>
        <w:t>Markarian V.R.,</w:t>
      </w:r>
    </w:p>
    <w:p w14:paraId="2F68BCD9"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Krasnodar Branch of the Financial University under the Government of the Russian Federation</w:t>
      </w:r>
    </w:p>
    <w:p w14:paraId="60219FA8" w14:textId="77777777" w:rsidR="00877DE5" w:rsidRPr="00877DE5" w:rsidRDefault="00877DE5" w:rsidP="00067100">
      <w:pPr>
        <w:spacing w:after="0" w:line="240" w:lineRule="auto"/>
        <w:ind w:firstLine="709"/>
        <w:jc w:val="right"/>
        <w:rPr>
          <w:rFonts w:ascii="Times New Roman" w:eastAsia="Calibri" w:hAnsi="Times New Roman" w:cs="Times New Roman"/>
          <w:b/>
          <w:bCs/>
          <w:sz w:val="21"/>
          <w:szCs w:val="21"/>
          <w:lang w:val="en-US"/>
        </w:rPr>
      </w:pPr>
      <w:r w:rsidRPr="00877DE5">
        <w:rPr>
          <w:rFonts w:ascii="Times New Roman" w:eastAsia="Calibri" w:hAnsi="Times New Roman" w:cs="Times New Roman"/>
          <w:i/>
          <w:iCs/>
          <w:sz w:val="21"/>
          <w:szCs w:val="21"/>
          <w:lang w:val="en-US"/>
        </w:rPr>
        <w:t>Krasnodar, Russia</w:t>
      </w:r>
    </w:p>
    <w:p w14:paraId="04F6CD2C" w14:textId="77777777" w:rsidR="00877DE5" w:rsidRPr="00877DE5" w:rsidRDefault="00877DE5" w:rsidP="00067100">
      <w:pPr>
        <w:spacing w:after="0" w:line="240" w:lineRule="auto"/>
        <w:ind w:firstLine="709"/>
        <w:jc w:val="right"/>
        <w:rPr>
          <w:rFonts w:ascii="Times New Roman" w:eastAsia="Calibri" w:hAnsi="Times New Roman" w:cs="Times New Roman"/>
          <w:sz w:val="21"/>
          <w:szCs w:val="21"/>
          <w:lang w:val="en-US"/>
        </w:rPr>
      </w:pPr>
      <w:r w:rsidRPr="00877DE5">
        <w:rPr>
          <w:rFonts w:ascii="Times New Roman" w:eastAsia="Calibri" w:hAnsi="Times New Roman" w:cs="Times New Roman"/>
          <w:i/>
          <w:iCs/>
          <w:sz w:val="21"/>
          <w:szCs w:val="21"/>
        </w:rPr>
        <w:t>е</w:t>
      </w:r>
      <w:r w:rsidRPr="00877DE5">
        <w:rPr>
          <w:rFonts w:ascii="Times New Roman" w:eastAsia="Calibri" w:hAnsi="Times New Roman" w:cs="Times New Roman"/>
          <w:i/>
          <w:iCs/>
          <w:sz w:val="21"/>
          <w:szCs w:val="21"/>
          <w:lang w:val="en-US"/>
        </w:rPr>
        <w:t xml:space="preserve">-mail: </w:t>
      </w:r>
      <w:hyperlink r:id="rId300" w:history="1">
        <w:r w:rsidRPr="00877DE5">
          <w:rPr>
            <w:rFonts w:ascii="Times New Roman" w:eastAsia="Calibri" w:hAnsi="Times New Roman" w:cs="Times New Roman"/>
            <w:color w:val="0563C1"/>
            <w:sz w:val="21"/>
            <w:szCs w:val="21"/>
            <w:u w:val="single"/>
            <w:lang w:val="en-US"/>
          </w:rPr>
          <w:t>markarianvr@gmail.com</w:t>
        </w:r>
      </w:hyperlink>
    </w:p>
    <w:p w14:paraId="0B29BBFF" w14:textId="77777777" w:rsidR="00877DE5" w:rsidRPr="00877DE5" w:rsidRDefault="00877DE5" w:rsidP="00067100">
      <w:pPr>
        <w:spacing w:after="0" w:line="240" w:lineRule="auto"/>
        <w:ind w:firstLine="709"/>
        <w:rPr>
          <w:rFonts w:ascii="Times New Roman" w:eastAsia="Calibri" w:hAnsi="Times New Roman" w:cs="Times New Roman"/>
          <w:sz w:val="21"/>
          <w:szCs w:val="21"/>
          <w:lang w:val="en-US"/>
        </w:rPr>
      </w:pPr>
    </w:p>
    <w:p w14:paraId="5B1DE327" w14:textId="77777777" w:rsidR="00877DE5" w:rsidRPr="00877DE5" w:rsidRDefault="00877DE5" w:rsidP="00067100">
      <w:pPr>
        <w:spacing w:after="0" w:line="240" w:lineRule="auto"/>
        <w:ind w:firstLine="709"/>
        <w:jc w:val="center"/>
        <w:rPr>
          <w:rFonts w:ascii="Times New Roman" w:eastAsia="Calibri" w:hAnsi="Times New Roman" w:cs="Times New Roman"/>
          <w:sz w:val="21"/>
          <w:szCs w:val="21"/>
          <w:lang w:val="en-US"/>
        </w:rPr>
      </w:pPr>
      <w:r w:rsidRPr="00877DE5">
        <w:rPr>
          <w:rFonts w:ascii="Times New Roman" w:eastAsia="Calibri" w:hAnsi="Times New Roman" w:cs="Times New Roman"/>
          <w:b/>
          <w:bCs/>
          <w:sz w:val="21"/>
          <w:szCs w:val="21"/>
          <w:lang w:val="en-US"/>
        </w:rPr>
        <w:t>Modern forms of human resource management: youth councils as a response to staff shortage</w:t>
      </w:r>
    </w:p>
    <w:p w14:paraId="24A02DE1" w14:textId="77777777" w:rsidR="00877DE5" w:rsidRPr="00877DE5" w:rsidRDefault="00877DE5" w:rsidP="00067100">
      <w:pPr>
        <w:spacing w:after="0" w:line="240" w:lineRule="auto"/>
        <w:ind w:firstLine="709"/>
        <w:rPr>
          <w:rFonts w:ascii="Times New Roman" w:eastAsia="Calibri" w:hAnsi="Times New Roman" w:cs="Times New Roman"/>
          <w:sz w:val="21"/>
          <w:szCs w:val="21"/>
          <w:lang w:val="en-US"/>
        </w:rPr>
      </w:pPr>
    </w:p>
    <w:p w14:paraId="300CDAFE"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bCs/>
          <w:sz w:val="21"/>
          <w:szCs w:val="21"/>
          <w:lang w:val="en-US"/>
        </w:rPr>
        <w:t>Abstract:</w:t>
      </w:r>
      <w:r w:rsidRPr="00877DE5">
        <w:rPr>
          <w:rFonts w:ascii="Times New Roman" w:eastAsia="Calibri" w:hAnsi="Times New Roman" w:cs="Times New Roman"/>
          <w:sz w:val="21"/>
          <w:szCs w:val="21"/>
          <w:lang w:val="en-US"/>
        </w:rPr>
        <w:t xml:space="preserve"> The article sets out the task of finding and identifying ways to combat the current problem of stuff shortage. The results of the research and analysis of the current situation were presented, as well as practical work, during which one of the solutions to the problem is the creation of the youth council “SYPE”.</w:t>
      </w:r>
    </w:p>
    <w:p w14:paraId="783A1C56" w14:textId="34CB8591" w:rsidR="00877DE5" w:rsidRPr="009C1D17"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bCs/>
          <w:sz w:val="21"/>
          <w:szCs w:val="21"/>
          <w:lang w:val="en-US"/>
        </w:rPr>
        <w:t xml:space="preserve">Keywords: </w:t>
      </w:r>
      <w:r w:rsidRPr="00877DE5">
        <w:rPr>
          <w:rFonts w:ascii="Times New Roman" w:eastAsia="Calibri" w:hAnsi="Times New Roman" w:cs="Times New Roman"/>
          <w:sz w:val="21"/>
          <w:szCs w:val="21"/>
          <w:lang w:val="en-US"/>
        </w:rPr>
        <w:t>stuff shortage, youth, employer, gamification, business, young specialist</w:t>
      </w:r>
      <w:r w:rsidR="009C1D17" w:rsidRPr="009C1D17">
        <w:rPr>
          <w:rFonts w:ascii="Times New Roman" w:eastAsia="Calibri" w:hAnsi="Times New Roman" w:cs="Times New Roman"/>
          <w:sz w:val="21"/>
          <w:szCs w:val="21"/>
          <w:lang w:val="en-US"/>
        </w:rPr>
        <w:t>.</w:t>
      </w:r>
    </w:p>
    <w:p w14:paraId="685DF5D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lang w:val="en-US"/>
        </w:rPr>
      </w:pPr>
    </w:p>
    <w:p w14:paraId="77AC4663"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Кадровый голод представляет собой одну из наиболее острых проблем современного рынка труда, проявляющуюся в значительном разрыве между спросом на квалифицированных специалистов и их предложением. Исследование McKinsey &amp; Company указывает, что к 2030 году глобальная нехватка квалифицированных кадров может достичь 85 миллионов человек [1, </w:t>
      </w:r>
      <w:r w:rsidRPr="00877DE5">
        <w:rPr>
          <w:rFonts w:ascii="Times New Roman" w:eastAsia="Calibri" w:hAnsi="Times New Roman" w:cs="Times New Roman"/>
          <w:sz w:val="32"/>
          <w:szCs w:val="32"/>
          <w:lang w:val="en-US"/>
        </w:rPr>
        <w:t>c</w:t>
      </w:r>
      <w:r w:rsidRPr="00877DE5">
        <w:rPr>
          <w:rFonts w:ascii="Times New Roman" w:eastAsia="Calibri" w:hAnsi="Times New Roman" w:cs="Times New Roman"/>
          <w:sz w:val="32"/>
          <w:szCs w:val="32"/>
        </w:rPr>
        <w:t>. 585]. Эта проблема имеет как количественный, так и качественный характер, потому что многие отрасли сталкиваются с дефицитом специалистов, обладающих необходимыми навыками для работы в условиях цифровой трансформации и инновационного развития. </w:t>
      </w:r>
    </w:p>
    <w:p w14:paraId="271540A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России сложилась устойчивая тенденция с застоем в развитии экономики и одним из самых ключевых катализаторов данной проблемы является проблема нехватки кадров. Современная молодежь, следуя трендам, активно высказывает свое желание не работать «на дядю» или не работать в принципе. Те, кто действительно готов начать свою профессиональную деятельность, из-за недостаточной информированности или наличия неопределенностей, не знают, с чего им начать.</w:t>
      </w:r>
    </w:p>
    <w:p w14:paraId="755DDD5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Научная новизна. Мы считаем, что для вовлечения новых кадров в профессиональную сферу необходима синергия между молодыми специалистами и работодателями, которая станет ключевым решением проблемы, посредством как формальных, так и неформальных мероприятий с помощью применения инструментов геймификации.</w:t>
      </w:r>
    </w:p>
    <w:p w14:paraId="2D0260C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Цель. Выяснить практичность молодежных советов как современного инструмента управления человеческими ресурсами и привлечения новых кадров в бизнес.</w:t>
      </w:r>
    </w:p>
    <w:p w14:paraId="4F476F0F"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Задачи:</w:t>
      </w:r>
    </w:p>
    <w:p w14:paraId="027C783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1. Провести анализ причин и особенностей нехватки кадров в современной России, делая акцент на поведение и мотивацию молодежи.</w:t>
      </w:r>
    </w:p>
    <w:p w14:paraId="7C1C2FFD"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2.    Ознакомиться с теоретическими и практическими моделями подхода к привлечению кадров в профессиональную деятельность, используя элементы геймификации и неформального взаимодействия.</w:t>
      </w:r>
    </w:p>
    <w:p w14:paraId="6069F99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3.    Изучить деятельность молодежного совета в качестве инструмента привлечения кадров, на примере SYPE («Sovetchik Young Professionals and Entrepreneurs»).</w:t>
      </w:r>
    </w:p>
    <w:p w14:paraId="5C99105D"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4. Дать оценку работоспособности молодежных советов в качестве способа установления связей между молодыми специалистами и работодателями.</w:t>
      </w:r>
    </w:p>
    <w:p w14:paraId="771598F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Исторически устоявшимся центральным компонентом национального богатства страны является человеческий капитал. Его важность отмечалась ещё со времён СССР (знаменитая фраза «Кадры решают всё», принадлежащая Иосифу Сталину). Эта тенденция наблюдается и в наши дни, экономические показатели сильно зависимы от человеческого капитала.  Колос Е.А. подчеркивает, что «национальное богатство развитых стран только на 5% составляют природные ресурсы, на 18% физический капитал, а основная часть, то есть 77%, приходится на долю человеческого капитала». [2, </w:t>
      </w:r>
      <w:r w:rsidRPr="00877DE5">
        <w:rPr>
          <w:rFonts w:ascii="Times New Roman" w:eastAsia="Calibri" w:hAnsi="Times New Roman" w:cs="Times New Roman"/>
          <w:sz w:val="32"/>
          <w:szCs w:val="32"/>
          <w:lang w:val="en-US"/>
        </w:rPr>
        <w:t>c</w:t>
      </w:r>
      <w:r w:rsidRPr="00877DE5">
        <w:rPr>
          <w:rFonts w:ascii="Times New Roman" w:eastAsia="Calibri" w:hAnsi="Times New Roman" w:cs="Times New Roman"/>
          <w:sz w:val="32"/>
          <w:szCs w:val="32"/>
        </w:rPr>
        <w:t>. 110] Так, исторически устоявшимся центральным компонентом национального богатства страны является именно человеческий капитал. </w:t>
      </w:r>
    </w:p>
    <w:p w14:paraId="129981F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современных условиях рынок труда сталкивается с серьезными вызовами, связанными с нехваткой квалифицированных кадров. Эта проблема, известная как кадровый голод, становится все более актуальна в условиях быстро развивающегося мира, в котором всё большую значимость набирает гибкость и способность приспосабливаться к меняющимся условиям. Сейчас именно эти критерии влияют на конкурентоспособность и устойчивость компаний.</w:t>
      </w:r>
    </w:p>
    <w:p w14:paraId="261B928F"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Молодежь играет ключевую роль в решении данных проблем, предлагая инновационные подходы и “свежие” идеи. Вовлечение молодых специалистов в процессы управления человеческими ресурсами способствует созданию более динамичной и адаптивной </w:t>
      </w:r>
      <w:r w:rsidRPr="00877DE5">
        <w:rPr>
          <w:rFonts w:ascii="Times New Roman" w:eastAsia="Calibri" w:hAnsi="Times New Roman" w:cs="Times New Roman"/>
          <w:sz w:val="32"/>
          <w:szCs w:val="32"/>
        </w:rPr>
        <w:lastRenderedPageBreak/>
        <w:t>рабочей среды. Молодежь не только приспосабливается к изменениям, но и активно формирует новые стандарты и практики в управлении.</w:t>
      </w:r>
    </w:p>
    <w:p w14:paraId="0AD249C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Также в условиях современного рынка тенденция на обязательный трехлетний опыт работы начинает меняться в сторону заинтересованности “свежими” кадрами, так как многие работодатели сами осознают эффективность и потребность “свежей крови” в организации, учитывая нехватку работников в целом и возможность повысить компетентность начинающего сотрудника на практике, учитывая запросы компании, в которой специалист начинает свою трудовую деятельность.</w:t>
      </w:r>
    </w:p>
    <w:p w14:paraId="4064F1E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Нельзя не упомянуть об усложнении ситуации, вызванной современными трендами многочисленных вариантов альтернативного заработка, которые активно пропагандируются в социальных сетях, онлайн-курсах от “инфоцыган”, продающих свой “успешный успех” и других интернет-площадках (VK, Telegram, Яндекс Цзен и др). Также в нынешнее время все большую популярность набирают различные курсы переподготовки или повышения квалификации, так как процент людей, работающих по специальности отнюдь не велик, и среди молодежи популярна мысль о ненадобности высшего образования. Ведь работать по своему направлению они скорее всего не будут.</w:t>
      </w:r>
    </w:p>
    <w:p w14:paraId="7BA0A42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Одним из решений, используемых в мире, является создание молодежных советов. Чаще всего, основанных при организации. Например, в 2021 году компания “Сбер” учредила молодежный совет, который стал площадкой для обсуждения и реализации инновационных проектов, что привело к увеличению вовлеченности сотрудников на 15%. [4] Эти советы дают молодежи возможность участвовать в принятии решений, способствуя их росту и укрепляя связь с организацией. Таким образом, пользу и развитие получают обе стороны: компания - новые идеи, молодежь - профессиональные навыки и возможность продвигаться вверх по карьерной лестнице.</w:t>
      </w:r>
    </w:p>
    <w:p w14:paraId="5CC71ED9" w14:textId="1F61B863"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Также, немаловажную роль, как ранее упоминалось, играет квалификация нашего работника. Стремительный рост сотрудников с недостаточной компетентностью, особенно в инновационных сферах, обуславливается быстрыми темпами технологического прогресса, который требует от работников постоянного обучения новым знаниям и умениям. Так, например, по данным Всемирного экономического форума 39% работников будут требовать переквалификации в ближайшие 5 лет. Но имеются и другие данные: «The Future of Jobs Report» форум информирует, что примерно 60% работников будут </w:t>
      </w:r>
      <w:r w:rsidRPr="00877DE5">
        <w:rPr>
          <w:rFonts w:ascii="Times New Roman" w:eastAsia="Calibri" w:hAnsi="Times New Roman" w:cs="Times New Roman"/>
          <w:sz w:val="32"/>
          <w:szCs w:val="32"/>
        </w:rPr>
        <w:lastRenderedPageBreak/>
        <w:t>нуждаться в переобучении уже к 2027 году из-за быстрой изменчивости условий и необходимых навыков, вызванных активным внедрением цифровых технологий в бизнес. [3</w:t>
      </w:r>
      <w:proofErr w:type="gramStart"/>
      <w:r w:rsidRPr="00877DE5">
        <w:rPr>
          <w:rFonts w:ascii="Times New Roman" w:eastAsia="Calibri" w:hAnsi="Times New Roman" w:cs="Times New Roman"/>
          <w:sz w:val="32"/>
          <w:szCs w:val="32"/>
        </w:rPr>
        <w:t>] А</w:t>
      </w:r>
      <w:proofErr w:type="gramEnd"/>
      <w:r w:rsidRPr="00877DE5">
        <w:rPr>
          <w:rFonts w:ascii="Times New Roman" w:eastAsia="Calibri" w:hAnsi="Times New Roman" w:cs="Times New Roman"/>
          <w:sz w:val="32"/>
          <w:szCs w:val="32"/>
        </w:rPr>
        <w:t xml:space="preserve"> в отчете Всемирного экономического форума «</w:t>
      </w:r>
      <w:r w:rsidR="006B21EF" w:rsidRPr="00877DE5">
        <w:rPr>
          <w:rFonts w:ascii="Times New Roman" w:eastAsia="Calibri" w:hAnsi="Times New Roman" w:cs="Times New Roman"/>
          <w:sz w:val="32"/>
          <w:szCs w:val="32"/>
        </w:rPr>
        <w:t>Будущее рабочих</w:t>
      </w:r>
      <w:r w:rsidRPr="00877DE5">
        <w:rPr>
          <w:rFonts w:ascii="Times New Roman" w:eastAsia="Calibri" w:hAnsi="Times New Roman" w:cs="Times New Roman"/>
          <w:sz w:val="32"/>
          <w:szCs w:val="32"/>
        </w:rPr>
        <w:t xml:space="preserve"> мест», 50% работников нуждаются в дополнительном обучении из-за внедрения технологий в 2025 году. </w:t>
      </w:r>
      <w:proofErr w:type="gramStart"/>
      <w:r w:rsidRPr="00877DE5">
        <w:rPr>
          <w:rFonts w:ascii="Times New Roman" w:eastAsia="Calibri" w:hAnsi="Times New Roman" w:cs="Times New Roman"/>
          <w:sz w:val="32"/>
          <w:szCs w:val="32"/>
        </w:rPr>
        <w:t>Но помимо</w:t>
      </w:r>
      <w:r w:rsidR="006031BE">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rPr>
        <w:t>этого</w:t>
      </w:r>
      <w:proofErr w:type="gramEnd"/>
      <w:r w:rsidRPr="00877DE5">
        <w:rPr>
          <w:rFonts w:ascii="Times New Roman" w:eastAsia="Calibri" w:hAnsi="Times New Roman" w:cs="Times New Roman"/>
          <w:sz w:val="32"/>
          <w:szCs w:val="32"/>
        </w:rPr>
        <w:t>, все эти навыки потребуют обновления уже примерно через 5 лет. [5]</w:t>
      </w:r>
    </w:p>
    <w:p w14:paraId="5DF7563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Для достижения поставленной цели совместно с командой и при поддержке бизнес-клуба “Советчик” организовали и открыли собственный молодежный совет при БКС: </w:t>
      </w:r>
    </w:p>
    <w:p w14:paraId="74B2EDE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SYPE «Sovetchik Young Professionals and Entrepreneurs» (Советчик молодые специалисты и предприниматели).</w:t>
      </w:r>
      <w:r w:rsidRPr="00877DE5">
        <w:rPr>
          <w:rFonts w:ascii="Times New Roman" w:eastAsia="Calibri" w:hAnsi="Times New Roman" w:cs="Times New Roman"/>
          <w:sz w:val="32"/>
          <w:szCs w:val="32"/>
        </w:rPr>
        <w:br/>
        <w:t>Понимая актуальность проблемы и важность ее решения было принято решение об открытии всекраевого общественного движения «SYPE» (далее — Движение). Что самое главное, даже на этапе формирования, мы сразу же нашли большой отклик именно у предпринимателей, они открыты и даже готовы к спонсированию молодых работников (но проблема заключается только в том, что зачастую молодежь, заканчивая оплачиваемое обучение, не остаётся на рабочем месте, но об этом далее). В общем, бизнесмены сразу же поддержали инициативу. Следующей проблемой стала разработка программы, которая будет интересна молодым людям. Нашей миссией стало представление бизнес-процессов в упрощенном, доступном и интересном формате для привлечения новых рабочих кадров. Поддержка, сопровождение и направление начинающих специалистов на их пути - наша работа.</w:t>
      </w:r>
    </w:p>
    <w:p w14:paraId="0F5D3E5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Целями Организации являются: </w:t>
      </w:r>
    </w:p>
    <w:p w14:paraId="072D427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Устранение кадрового дефицита в бизнесе:</w:t>
      </w:r>
    </w:p>
    <w:p w14:paraId="6E5C4F5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Создание программ стажировок и практик для молодежи в малых и средних предприятиях с целью обучения молодых специалистов и подготовки кадров для бизнеса;</w:t>
      </w:r>
    </w:p>
    <w:p w14:paraId="665C6A3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Разработка и внедрение инициатив по трудоустройству молодежи в малый и средний бизнес, с акцентом на ключевые и дефицитные профессии в этой сфере;</w:t>
      </w:r>
    </w:p>
    <w:p w14:paraId="0264717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Образование и повышение финансовой грамотности молодежи:</w:t>
      </w:r>
    </w:p>
    <w:p w14:paraId="6261AAC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Организация образовательных курсов, тренингов и мастер-классов для молодежи с целью повышения уровня финансовой грамотности и предпринимательских навыков;</w:t>
      </w:r>
    </w:p>
    <w:p w14:paraId="57E0CE1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 Привлечение экспертов в сфере финансов, бизнеса и экономики для проведения лекций, семинаров и коворкингов;</w:t>
      </w:r>
    </w:p>
    <w:p w14:paraId="664F0B4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Создание устойчивых сетей взаимодействия между молодежью и бизнесом:</w:t>
      </w:r>
    </w:p>
    <w:p w14:paraId="0170116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Формирование и поддержка сети контактов между молодежными лидерами, предпринимателями и экспертами для обмена знаниями и возможностями;</w:t>
      </w:r>
    </w:p>
    <w:p w14:paraId="4358BD9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Организация регулярных встреч, круглых столов и сетевых мероприятий для укрепления связей и создания новых партнерств;</w:t>
      </w:r>
    </w:p>
    <w:p w14:paraId="3E6E188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Привлечение инвестиций в молодежные бизнес-инициативы:</w:t>
      </w:r>
    </w:p>
    <w:p w14:paraId="20AFF41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Создание платформ для презентации проектов и стартапов молодежи с целью привлечения инвесторов и менторов.</w:t>
      </w:r>
    </w:p>
    <w:p w14:paraId="19332823"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Разработка мероприятий для повышения доступности финансовых ресурсов и инвестиций для молодых предпринимателей.</w:t>
      </w:r>
    </w:p>
    <w:p w14:paraId="5A97992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И это лишь маленькая часть от тех целей, к достижению которых стремится Движение. </w:t>
      </w:r>
    </w:p>
    <w:p w14:paraId="04DAA61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Целевой аудиторией являются активные студенты и, в целом, вся заинтересованная молодежь.</w:t>
      </w:r>
    </w:p>
    <w:p w14:paraId="53217F31" w14:textId="3031ED09"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На данном этапе для продвижения будут использованы программы: “Бизнес-завтрак”, мероприятие в коворкинг-центре “Платформа”, регулярные встречи в бизнес-клубе “Советчик”, совместные поездки и иные мероприятия, пока находящиеся в стадии разработки. К примеру, "Газпром нефть" показывает, что участие молодежных советов в программах стажировок и других активностях, как на стадии планирования, так и на стадии организации, привело к увеличению числа молодых работников на 15% за период последних трех лет. Это подтверждает, что молодежные советы эффективно влияют на восприятие компании как современного и перспективного работодателя. Похожим проектом у нас можно считать “Мастерскую успеха”, в рамках которой все желающие могут не только принять участие в обычном и скучном обучении, но и пройтись по главным аспектам выбранной профессии, не тратя время на большой объем информации, который на деле можно получить во время  стажировки позднее (она также является частью проекта), что, возвращаясь к проблеме обучения новых сотрудников, помогает заинтересовать молодежь в бизнесе и направить ее в нужное русло. Например, на стадии распределения по направлению подготовки, пообщавшись со своим ровесником или просто молодым представителем Движения, молодой сотрудник с большей вероятностью не ошибется. Ведь мы </w:t>
      </w:r>
      <w:r w:rsidRPr="00877DE5">
        <w:rPr>
          <w:rFonts w:ascii="Times New Roman" w:eastAsia="Calibri" w:hAnsi="Times New Roman" w:cs="Times New Roman"/>
          <w:sz w:val="32"/>
          <w:szCs w:val="32"/>
        </w:rPr>
        <w:lastRenderedPageBreak/>
        <w:t xml:space="preserve">знаем как критерии и требования работодателей, так и </w:t>
      </w:r>
      <w:proofErr w:type="gramStart"/>
      <w:r w:rsidRPr="00877DE5">
        <w:rPr>
          <w:rFonts w:ascii="Times New Roman" w:eastAsia="Calibri" w:hAnsi="Times New Roman" w:cs="Times New Roman"/>
          <w:sz w:val="32"/>
          <w:szCs w:val="32"/>
        </w:rPr>
        <w:t>молодежь</w:t>
      </w:r>
      <w:proofErr w:type="gramEnd"/>
      <w:r w:rsidRPr="00877DE5">
        <w:rPr>
          <w:rFonts w:ascii="Times New Roman" w:eastAsia="Calibri" w:hAnsi="Times New Roman" w:cs="Times New Roman"/>
          <w:sz w:val="32"/>
          <w:szCs w:val="32"/>
        </w:rPr>
        <w:t xml:space="preserve"> и её предпочтения и пожелания, находясь “на одной волне”. Так мы поможем начинающему специалисту и работодателю найти друг друга. Членство в совете, конечно, приносит пользу и самим участникам: они приобретают новые интересные и самое главное полезные знакомства, участвуют в закрытых мероприятиях, общаются с опытными людьми, получают приглашения на различные коворкинги и тренинги, а также пользуются скидками участников БКС. Помогать в развитии нам будут уже опытные люди, много лет находящиеся в сфере бизнеса, с искренним желанием стать ближе к юным специалистам. Также внедрение геймификации в процессы упростит построение “моста” между разными поколениями. Так, примером служит изучение бизнес-процессов на переделанной легендарной игре, которая знакома многим поколениям, “Мафия: версия бизнес”, которая направлена на ознакомление с процессами предпринимательской деятельности в доступной, понятной и расслабленной обстановке. </w:t>
      </w:r>
    </w:p>
    <w:p w14:paraId="47194A4D"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Мы уверены, что путь к решению проблем лежит именно через активную коммуникацию и большую роль играет именно налаживание обстановки, стремимся уйти от стандартной системы формальных собеседований и создать будущее, где каждый работник находит именно своего работодателя. Коворкинги, игры, мастер-классы, поездки, конкурсы стартапов и многое другое. Именно за этим мы видим будущее современного бизнес.</w:t>
      </w:r>
    </w:p>
    <w:p w14:paraId="30443B19"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p>
    <w:p w14:paraId="449C00BA" w14:textId="77777777" w:rsidR="00877DE5" w:rsidRPr="00877DE5" w:rsidRDefault="00877DE5" w:rsidP="006B21EF">
      <w:pPr>
        <w:spacing w:after="0" w:line="240" w:lineRule="auto"/>
        <w:ind w:firstLine="709"/>
        <w:jc w:val="center"/>
        <w:rPr>
          <w:rFonts w:ascii="Times New Roman" w:eastAsia="Calibri" w:hAnsi="Times New Roman" w:cs="Times New Roman"/>
          <w:b/>
          <w:bCs/>
          <w:sz w:val="21"/>
          <w:szCs w:val="21"/>
        </w:rPr>
      </w:pPr>
      <w:r w:rsidRPr="00877DE5">
        <w:rPr>
          <w:rFonts w:ascii="Times New Roman" w:eastAsia="Calibri" w:hAnsi="Times New Roman" w:cs="Times New Roman"/>
          <w:b/>
          <w:bCs/>
          <w:sz w:val="21"/>
          <w:szCs w:val="21"/>
        </w:rPr>
        <w:t>Литература:</w:t>
      </w:r>
    </w:p>
    <w:p w14:paraId="2FD4C6D3" w14:textId="77777777" w:rsidR="00877DE5" w:rsidRPr="00877DE5" w:rsidRDefault="00877DE5" w:rsidP="006031BE">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1. Дмитриева С. В. Стратегии привлечения и удержания талантливых сотрудников в условиях изменяющегося рынка труда Economics: Yesterday, Today and Tomorrow. 2024, Vol. 14, Is. 5A</w:t>
      </w:r>
    </w:p>
    <w:p w14:paraId="10DC4BAC" w14:textId="77777777" w:rsidR="00877DE5" w:rsidRPr="00877DE5" w:rsidRDefault="00877DE5" w:rsidP="006031BE">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2. Файнберг Е. И. УСИЛЕНИЕ КОНКУРЕНТОСПОСОБНОСТИ РОССИЙСКОЙ ФЕДЕРАЦИИ ПОСРЕДСТВОМ ВОВЛЕЧЕНИЯ МОЛОДЕЖИ В ПРЕДПРИНИМАТЕЛЬСТВО И ВОЛОНТЕРСТВО Том 15 ¹ 1(42) 2024 ВЕСТНИК УНИВЕРСИТЕТА МИРОВЫХ ЦИВИЛИЗАЦИЙ</w:t>
      </w:r>
    </w:p>
    <w:p w14:paraId="6E4FAFBE" w14:textId="77777777" w:rsidR="00877DE5" w:rsidRPr="00877DE5" w:rsidRDefault="00877DE5" w:rsidP="006031BE">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3. Максим Петров Дефицит талантов растет Коммерсантъ. Карьера 16.05.2025</w:t>
      </w:r>
    </w:p>
    <w:p w14:paraId="0215F6F3" w14:textId="77777777" w:rsidR="00877DE5" w:rsidRPr="00877DE5" w:rsidRDefault="00877DE5" w:rsidP="006031BE">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4. СберУниверситет: Про человекоцентричность, обучение навыкам мотивации, дни «думания» и свободу в большой корпорации wbcmedia.ru</w:t>
      </w:r>
    </w:p>
    <w:p w14:paraId="1FAF838C" w14:textId="77777777" w:rsidR="00877DE5" w:rsidRPr="00877DE5" w:rsidRDefault="00877DE5" w:rsidP="006031BE">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5. Анна Королева Куда ведут нас тренды? Коммерсантъ. Карьера 16.05.2025</w:t>
      </w:r>
    </w:p>
    <w:p w14:paraId="2B565F57" w14:textId="77777777" w:rsidR="00877DE5" w:rsidRDefault="00877DE5" w:rsidP="00067100">
      <w:pPr>
        <w:spacing w:after="0" w:line="240" w:lineRule="auto"/>
        <w:ind w:firstLine="709"/>
        <w:jc w:val="both"/>
        <w:rPr>
          <w:rFonts w:ascii="Times New Roman" w:eastAsia="Calibri" w:hAnsi="Times New Roman" w:cs="Times New Roman"/>
          <w:b/>
          <w:bCs/>
          <w:i/>
          <w:iCs/>
          <w:sz w:val="21"/>
          <w:szCs w:val="21"/>
        </w:rPr>
      </w:pPr>
    </w:p>
    <w:p w14:paraId="32894C6F" w14:textId="3AF673A8" w:rsidR="009F7DF4" w:rsidRPr="009F7DF4" w:rsidRDefault="009F7DF4" w:rsidP="009F7DF4">
      <w:pPr>
        <w:spacing w:after="0" w:line="276" w:lineRule="auto"/>
        <w:jc w:val="both"/>
        <w:rPr>
          <w:rFonts w:ascii="Times New Roman" w:eastAsia="Times New Roman" w:hAnsi="Times New Roman" w:cs="Times New Roman"/>
          <w:b/>
          <w:color w:val="000000"/>
          <w:sz w:val="21"/>
          <w:szCs w:val="21"/>
        </w:rPr>
      </w:pPr>
    </w:p>
    <w:p w14:paraId="58461D7B"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b/>
          <w:bCs/>
          <w:i/>
          <w:iCs/>
          <w:color w:val="000000"/>
          <w:sz w:val="21"/>
          <w:szCs w:val="21"/>
          <w:shd w:val="clear" w:color="auto" w:fill="FFFFFF"/>
          <w:lang w:eastAsia="ru-RU"/>
        </w:rPr>
        <w:t>Зеленская Е. Д.,</w:t>
      </w:r>
    </w:p>
    <w:p w14:paraId="14E5EBC0"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студентка 3 курса</w:t>
      </w:r>
    </w:p>
    <w:p w14:paraId="74D3E89C" w14:textId="008F8CEE" w:rsidR="000F343E" w:rsidRDefault="009F7DF4" w:rsidP="009F7DF4">
      <w:pPr>
        <w:spacing w:after="0" w:line="240" w:lineRule="auto"/>
        <w:jc w:val="right"/>
        <w:rPr>
          <w:rFonts w:ascii="Times New Roman" w:eastAsia="Times New Roman" w:hAnsi="Times New Roman" w:cs="Times New Roman"/>
          <w:i/>
          <w:iCs/>
          <w:color w:val="000000"/>
          <w:sz w:val="21"/>
          <w:szCs w:val="21"/>
          <w:shd w:val="clear" w:color="auto" w:fill="FFFFFF"/>
          <w:lang w:eastAsia="ru-RU"/>
        </w:rPr>
      </w:pPr>
      <w:r w:rsidRPr="009F7DF4">
        <w:rPr>
          <w:rFonts w:ascii="Times New Roman" w:eastAsia="Times New Roman" w:hAnsi="Times New Roman" w:cs="Times New Roman"/>
          <w:i/>
          <w:iCs/>
          <w:color w:val="000000"/>
          <w:sz w:val="21"/>
          <w:szCs w:val="21"/>
          <w:shd w:val="clear" w:color="auto" w:fill="FFFFFF"/>
          <w:lang w:eastAsia="ru-RU"/>
        </w:rPr>
        <w:t>Краснодарский филиал ФГБОУ ВО «Финансовый университет при Правительстве РФ»</w:t>
      </w:r>
    </w:p>
    <w:p w14:paraId="1F34C2D2" w14:textId="2E079B0C"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г. Краснодар, Россия</w:t>
      </w:r>
    </w:p>
    <w:p w14:paraId="4622AA2F" w14:textId="1536FC2F" w:rsidR="009F7DF4" w:rsidRPr="00654CF2" w:rsidRDefault="009F7DF4" w:rsidP="009F7DF4">
      <w:pPr>
        <w:spacing w:after="0" w:line="240" w:lineRule="auto"/>
        <w:jc w:val="right"/>
        <w:rPr>
          <w:rFonts w:ascii="Times New Roman" w:eastAsia="Times New Roman" w:hAnsi="Times New Roman" w:cs="Times New Roman"/>
          <w:i/>
          <w:iCs/>
          <w:color w:val="000000"/>
          <w:sz w:val="21"/>
          <w:szCs w:val="21"/>
          <w:u w:val="single"/>
          <w:lang w:eastAsia="ru-RU"/>
        </w:rPr>
      </w:pPr>
      <w:r w:rsidRPr="009F7DF4">
        <w:rPr>
          <w:rFonts w:ascii="Times New Roman" w:eastAsia="Times New Roman" w:hAnsi="Times New Roman" w:cs="Times New Roman"/>
          <w:i/>
          <w:iCs/>
          <w:color w:val="000000"/>
          <w:sz w:val="21"/>
          <w:szCs w:val="21"/>
          <w:shd w:val="clear" w:color="auto" w:fill="FFFFFF"/>
          <w:lang w:val="en-US" w:eastAsia="ru-RU"/>
        </w:rPr>
        <w:t>e</w:t>
      </w:r>
      <w:r w:rsidRPr="00654CF2">
        <w:rPr>
          <w:rFonts w:ascii="Times New Roman" w:eastAsia="Times New Roman" w:hAnsi="Times New Roman" w:cs="Times New Roman"/>
          <w:i/>
          <w:iCs/>
          <w:color w:val="000000"/>
          <w:sz w:val="21"/>
          <w:szCs w:val="21"/>
          <w:shd w:val="clear" w:color="auto" w:fill="FFFFFF"/>
          <w:lang w:eastAsia="ru-RU"/>
        </w:rPr>
        <w:t>-</w:t>
      </w:r>
      <w:r w:rsidRPr="009F7DF4">
        <w:rPr>
          <w:rFonts w:ascii="Times New Roman" w:eastAsia="Times New Roman" w:hAnsi="Times New Roman" w:cs="Times New Roman"/>
          <w:i/>
          <w:iCs/>
          <w:color w:val="000000"/>
          <w:sz w:val="21"/>
          <w:szCs w:val="21"/>
          <w:shd w:val="clear" w:color="auto" w:fill="FFFFFF"/>
          <w:lang w:val="en-US" w:eastAsia="ru-RU"/>
        </w:rPr>
        <w:t>mail</w:t>
      </w:r>
      <w:r w:rsidRPr="00654CF2">
        <w:rPr>
          <w:rFonts w:ascii="Times New Roman" w:eastAsia="Times New Roman" w:hAnsi="Times New Roman" w:cs="Times New Roman"/>
          <w:i/>
          <w:iCs/>
          <w:color w:val="000000"/>
          <w:sz w:val="21"/>
          <w:szCs w:val="21"/>
          <w:shd w:val="clear" w:color="auto" w:fill="FFFFFF"/>
          <w:lang w:eastAsia="ru-RU"/>
        </w:rPr>
        <w:t xml:space="preserve">: </w:t>
      </w:r>
      <w:hyperlink r:id="rId301" w:history="1">
        <w:r w:rsidR="000F343E" w:rsidRPr="009F7DF4">
          <w:rPr>
            <w:rStyle w:val="aa"/>
            <w:rFonts w:ascii="Times New Roman" w:eastAsia="Times New Roman" w:hAnsi="Times New Roman" w:cs="Times New Roman"/>
            <w:i/>
            <w:iCs/>
            <w:sz w:val="21"/>
            <w:szCs w:val="21"/>
            <w:lang w:val="en-US" w:eastAsia="ru-RU"/>
          </w:rPr>
          <w:t>helen</w:t>
        </w:r>
        <w:r w:rsidR="000F343E" w:rsidRPr="00654CF2">
          <w:rPr>
            <w:rStyle w:val="aa"/>
            <w:rFonts w:ascii="Times New Roman" w:eastAsia="Times New Roman" w:hAnsi="Times New Roman" w:cs="Times New Roman"/>
            <w:i/>
            <w:iCs/>
            <w:sz w:val="21"/>
            <w:szCs w:val="21"/>
            <w:lang w:eastAsia="ru-RU"/>
          </w:rPr>
          <w:t>_04_</w:t>
        </w:r>
        <w:r w:rsidR="000F343E" w:rsidRPr="009F7DF4">
          <w:rPr>
            <w:rStyle w:val="aa"/>
            <w:rFonts w:ascii="Times New Roman" w:eastAsia="Times New Roman" w:hAnsi="Times New Roman" w:cs="Times New Roman"/>
            <w:i/>
            <w:iCs/>
            <w:sz w:val="21"/>
            <w:szCs w:val="21"/>
            <w:lang w:val="en-US" w:eastAsia="ru-RU"/>
          </w:rPr>
          <w:t>d</w:t>
        </w:r>
        <w:r w:rsidR="000F343E" w:rsidRPr="00654CF2">
          <w:rPr>
            <w:rStyle w:val="aa"/>
            <w:rFonts w:ascii="Times New Roman" w:eastAsia="Times New Roman" w:hAnsi="Times New Roman" w:cs="Times New Roman"/>
            <w:i/>
            <w:iCs/>
            <w:sz w:val="21"/>
            <w:szCs w:val="21"/>
            <w:lang w:eastAsia="ru-RU"/>
          </w:rPr>
          <w:t>@</w:t>
        </w:r>
        <w:r w:rsidR="000F343E" w:rsidRPr="009F7DF4">
          <w:rPr>
            <w:rStyle w:val="aa"/>
            <w:rFonts w:ascii="Times New Roman" w:eastAsia="Times New Roman" w:hAnsi="Times New Roman" w:cs="Times New Roman"/>
            <w:i/>
            <w:iCs/>
            <w:sz w:val="21"/>
            <w:szCs w:val="21"/>
            <w:lang w:val="en-US" w:eastAsia="ru-RU"/>
          </w:rPr>
          <w:t>mail</w:t>
        </w:r>
        <w:r w:rsidR="000F343E" w:rsidRPr="00654CF2">
          <w:rPr>
            <w:rStyle w:val="aa"/>
            <w:rFonts w:ascii="Times New Roman" w:eastAsia="Times New Roman" w:hAnsi="Times New Roman" w:cs="Times New Roman"/>
            <w:i/>
            <w:iCs/>
            <w:sz w:val="21"/>
            <w:szCs w:val="21"/>
            <w:lang w:eastAsia="ru-RU"/>
          </w:rPr>
          <w:t>.</w:t>
        </w:r>
        <w:r w:rsidR="000F343E" w:rsidRPr="009F7DF4">
          <w:rPr>
            <w:rStyle w:val="aa"/>
            <w:rFonts w:ascii="Times New Roman" w:eastAsia="Times New Roman" w:hAnsi="Times New Roman" w:cs="Times New Roman"/>
            <w:i/>
            <w:iCs/>
            <w:sz w:val="21"/>
            <w:szCs w:val="21"/>
            <w:lang w:val="en-US" w:eastAsia="ru-RU"/>
          </w:rPr>
          <w:t>ru</w:t>
        </w:r>
      </w:hyperlink>
    </w:p>
    <w:p w14:paraId="29A865E8" w14:textId="77777777" w:rsidR="000F343E" w:rsidRPr="00654CF2" w:rsidRDefault="000F343E" w:rsidP="009F7DF4">
      <w:pPr>
        <w:spacing w:after="0" w:line="240" w:lineRule="auto"/>
        <w:jc w:val="right"/>
        <w:rPr>
          <w:rFonts w:ascii="Times New Roman" w:eastAsia="Times New Roman" w:hAnsi="Times New Roman" w:cs="Times New Roman"/>
          <w:i/>
          <w:iCs/>
          <w:sz w:val="21"/>
          <w:szCs w:val="21"/>
          <w:lang w:eastAsia="ru-RU"/>
        </w:rPr>
      </w:pPr>
    </w:p>
    <w:p w14:paraId="3AE7BA3F"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b/>
          <w:bCs/>
          <w:i/>
          <w:iCs/>
          <w:color w:val="000000"/>
          <w:sz w:val="21"/>
          <w:szCs w:val="21"/>
          <w:shd w:val="clear" w:color="auto" w:fill="FFFFFF"/>
          <w:lang w:eastAsia="ru-RU"/>
        </w:rPr>
        <w:t>Научный руководитель:</w:t>
      </w:r>
    </w:p>
    <w:p w14:paraId="66E0CF50"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b/>
          <w:bCs/>
          <w:i/>
          <w:iCs/>
          <w:color w:val="000000"/>
          <w:sz w:val="21"/>
          <w:szCs w:val="21"/>
          <w:shd w:val="clear" w:color="auto" w:fill="FFFFFF"/>
          <w:lang w:eastAsia="ru-RU"/>
        </w:rPr>
        <w:t>Мазунина М. В.,</w:t>
      </w:r>
    </w:p>
    <w:p w14:paraId="597E1464"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 </w:t>
      </w:r>
      <w:r w:rsidRPr="009F7DF4">
        <w:rPr>
          <w:rFonts w:ascii="Times New Roman" w:eastAsia="Times New Roman" w:hAnsi="Times New Roman" w:cs="Times New Roman"/>
          <w:i/>
          <w:iCs/>
        </w:rPr>
        <w:t>к.э.н., доцент</w:t>
      </w:r>
    </w:p>
    <w:p w14:paraId="54E1227C"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lastRenderedPageBreak/>
        <w:t>Краснодарский филиал ФГБОУ ВО «Финансовый университет при Правительстве РФ» </w:t>
      </w:r>
    </w:p>
    <w:p w14:paraId="5BF4C6F0"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Краснодарский филиал Финуниверситета</w:t>
      </w:r>
    </w:p>
    <w:p w14:paraId="5880C17F"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г. Краснодар, Россия</w:t>
      </w:r>
    </w:p>
    <w:p w14:paraId="5E8C1CF2" w14:textId="77777777" w:rsidR="009F7DF4" w:rsidRPr="009F7DF4" w:rsidRDefault="009F7DF4" w:rsidP="009F7DF4">
      <w:pPr>
        <w:spacing w:after="0" w:line="240" w:lineRule="auto"/>
        <w:jc w:val="right"/>
        <w:rPr>
          <w:rFonts w:ascii="Times New Roman" w:eastAsia="Times New Roman" w:hAnsi="Times New Roman" w:cs="Times New Roman"/>
          <w:i/>
          <w:iCs/>
          <w:sz w:val="21"/>
          <w:szCs w:val="21"/>
          <w:lang w:eastAsia="ru-RU"/>
        </w:rPr>
      </w:pPr>
      <w:r w:rsidRPr="009F7DF4">
        <w:rPr>
          <w:rFonts w:ascii="Times New Roman" w:eastAsia="Times New Roman" w:hAnsi="Times New Roman" w:cs="Times New Roman"/>
          <w:i/>
          <w:iCs/>
          <w:color w:val="000000"/>
          <w:sz w:val="21"/>
          <w:szCs w:val="21"/>
          <w:shd w:val="clear" w:color="auto" w:fill="FFFFFF"/>
          <w:lang w:eastAsia="ru-RU"/>
        </w:rPr>
        <w:t>е-mail:</w:t>
      </w:r>
      <w:r w:rsidRPr="009F7DF4">
        <w:rPr>
          <w:rFonts w:ascii="Calibri" w:eastAsia="Times New Roman" w:hAnsi="Calibri" w:cs="Times New Roman"/>
          <w:i/>
          <w:iCs/>
        </w:rPr>
        <w:t xml:space="preserve"> </w:t>
      </w:r>
      <w:r w:rsidRPr="009F7DF4">
        <w:rPr>
          <w:rFonts w:ascii="Times New Roman" w:eastAsia="Times New Roman" w:hAnsi="Times New Roman" w:cs="Times New Roman"/>
          <w:i/>
          <w:iCs/>
          <w:color w:val="000000"/>
          <w:sz w:val="21"/>
          <w:szCs w:val="21"/>
          <w:shd w:val="clear" w:color="auto" w:fill="FFFFFF"/>
          <w:lang w:eastAsia="ru-RU"/>
        </w:rPr>
        <w:t xml:space="preserve">mvmazunina@fa.ru </w:t>
      </w:r>
    </w:p>
    <w:p w14:paraId="403F5AC3" w14:textId="77777777" w:rsidR="009F7DF4" w:rsidRPr="009F7DF4" w:rsidRDefault="009F7DF4" w:rsidP="009F7DF4">
      <w:pPr>
        <w:spacing w:after="0" w:line="276" w:lineRule="auto"/>
        <w:jc w:val="center"/>
        <w:rPr>
          <w:rFonts w:ascii="Times New Roman" w:eastAsia="Times New Roman" w:hAnsi="Times New Roman" w:cs="Times New Roman"/>
          <w:b/>
          <w:sz w:val="21"/>
          <w:szCs w:val="21"/>
        </w:rPr>
      </w:pPr>
      <w:r w:rsidRPr="009F7DF4">
        <w:rPr>
          <w:rFonts w:ascii="Times New Roman" w:eastAsia="Times New Roman" w:hAnsi="Times New Roman" w:cs="Times New Roman"/>
          <w:b/>
          <w:sz w:val="21"/>
          <w:szCs w:val="21"/>
        </w:rPr>
        <w:t xml:space="preserve">Менеджер и 7 акцентуаций: как сформировать и замотивировать команду? </w:t>
      </w:r>
    </w:p>
    <w:p w14:paraId="5989C56D" w14:textId="77777777" w:rsidR="009F7DF4" w:rsidRPr="009F7DF4" w:rsidRDefault="009F7DF4" w:rsidP="009F7DF4">
      <w:pPr>
        <w:spacing w:after="0" w:line="240" w:lineRule="auto"/>
        <w:ind w:firstLine="567"/>
        <w:jc w:val="both"/>
        <w:rPr>
          <w:rFonts w:ascii="Times New Roman" w:eastAsia="Times New Roman" w:hAnsi="Times New Roman" w:cs="Times New Roman"/>
          <w:i/>
          <w:sz w:val="21"/>
          <w:szCs w:val="21"/>
          <w:shd w:val="clear" w:color="auto" w:fill="00FFFF"/>
        </w:rPr>
      </w:pPr>
    </w:p>
    <w:p w14:paraId="1567D798" w14:textId="77777777" w:rsidR="009F7DF4" w:rsidRPr="009F7DF4" w:rsidRDefault="009F7DF4" w:rsidP="009F7DF4">
      <w:pPr>
        <w:spacing w:after="0" w:line="240" w:lineRule="auto"/>
        <w:ind w:firstLine="567"/>
        <w:jc w:val="both"/>
        <w:rPr>
          <w:rFonts w:ascii="Times New Roman" w:eastAsia="Times New Roman" w:hAnsi="Times New Roman" w:cs="Times New Roman"/>
          <w:sz w:val="21"/>
          <w:szCs w:val="21"/>
        </w:rPr>
      </w:pPr>
      <w:r w:rsidRPr="009F7DF4">
        <w:rPr>
          <w:rFonts w:ascii="Times New Roman" w:eastAsia="Times New Roman" w:hAnsi="Times New Roman" w:cs="Times New Roman"/>
          <w:b/>
          <w:sz w:val="21"/>
          <w:szCs w:val="21"/>
        </w:rPr>
        <w:t>Аннотация:</w:t>
      </w:r>
      <w:r w:rsidRPr="009F7DF4">
        <w:rPr>
          <w:rFonts w:ascii="Times New Roman" w:eastAsia="Times New Roman" w:hAnsi="Times New Roman" w:cs="Times New Roman"/>
          <w:sz w:val="21"/>
          <w:szCs w:val="21"/>
        </w:rPr>
        <w:t xml:space="preserve"> В данной статье рассмотрены основные причины распада коллектива, а также предложены рекомендации по формированию сильной команды и ее мотивации в зависимости от акцентуации характера каждого из участников.</w:t>
      </w:r>
    </w:p>
    <w:p w14:paraId="4BC69266" w14:textId="77777777" w:rsidR="009F7DF4" w:rsidRPr="009F7DF4" w:rsidRDefault="009F7DF4" w:rsidP="009F7DF4">
      <w:pPr>
        <w:spacing w:after="0" w:line="240" w:lineRule="auto"/>
        <w:ind w:firstLine="567"/>
        <w:jc w:val="both"/>
        <w:rPr>
          <w:rFonts w:ascii="Times New Roman" w:eastAsia="Times New Roman" w:hAnsi="Times New Roman" w:cs="Times New Roman"/>
          <w:sz w:val="21"/>
          <w:szCs w:val="21"/>
        </w:rPr>
      </w:pPr>
      <w:r w:rsidRPr="009F7DF4">
        <w:rPr>
          <w:rFonts w:ascii="Times New Roman" w:eastAsia="Times New Roman" w:hAnsi="Times New Roman" w:cs="Times New Roman"/>
          <w:b/>
          <w:sz w:val="21"/>
          <w:szCs w:val="21"/>
        </w:rPr>
        <w:t>Ключевые слова:</w:t>
      </w:r>
      <w:r w:rsidRPr="009F7DF4">
        <w:rPr>
          <w:rFonts w:ascii="Times New Roman" w:eastAsia="Times New Roman" w:hAnsi="Times New Roman" w:cs="Times New Roman"/>
          <w:sz w:val="21"/>
          <w:szCs w:val="21"/>
        </w:rPr>
        <w:t xml:space="preserve"> акцентуация характера, командообразование, мотивация.</w:t>
      </w:r>
    </w:p>
    <w:p w14:paraId="08DAFB47" w14:textId="77777777" w:rsidR="000F343E" w:rsidRDefault="000F343E" w:rsidP="009F7DF4">
      <w:pPr>
        <w:spacing w:after="0" w:line="240" w:lineRule="auto"/>
        <w:jc w:val="right"/>
        <w:rPr>
          <w:rFonts w:ascii="Times New Roman" w:eastAsia="Times New Roman" w:hAnsi="Times New Roman" w:cs="Times New Roman"/>
          <w:b/>
          <w:bCs/>
          <w:color w:val="000000"/>
          <w:sz w:val="21"/>
          <w:szCs w:val="21"/>
          <w:shd w:val="clear" w:color="auto" w:fill="FFFFFF"/>
          <w:lang w:eastAsia="ru-RU"/>
        </w:rPr>
      </w:pPr>
    </w:p>
    <w:p w14:paraId="1BEB2507" w14:textId="1E1E3B70" w:rsidR="009F7DF4" w:rsidRPr="009F7DF4" w:rsidRDefault="009F7DF4" w:rsidP="009F7DF4">
      <w:pPr>
        <w:spacing w:after="0" w:line="240" w:lineRule="auto"/>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b/>
          <w:bCs/>
          <w:color w:val="000000"/>
          <w:sz w:val="21"/>
          <w:szCs w:val="21"/>
          <w:shd w:val="clear" w:color="auto" w:fill="FFFFFF"/>
          <w:lang w:val="en-US" w:eastAsia="ru-RU"/>
        </w:rPr>
        <w:t>Zelenskaya E. D.,</w:t>
      </w:r>
    </w:p>
    <w:p w14:paraId="26F84C72" w14:textId="77777777" w:rsidR="009F7DF4" w:rsidRPr="009F7DF4" w:rsidRDefault="009F7DF4" w:rsidP="009F7DF4">
      <w:pPr>
        <w:spacing w:after="0" w:line="240" w:lineRule="auto"/>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shd w:val="clear" w:color="auto" w:fill="FFFFFF"/>
          <w:lang w:val="en-US" w:eastAsia="ru-RU"/>
        </w:rPr>
        <w:t>student, 3-nd course </w:t>
      </w:r>
    </w:p>
    <w:p w14:paraId="1E996F28" w14:textId="77777777" w:rsidR="009F7DF4" w:rsidRPr="009F7DF4" w:rsidRDefault="009F7DF4" w:rsidP="009F7DF4">
      <w:pPr>
        <w:spacing w:after="0" w:line="240" w:lineRule="auto"/>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shd w:val="clear" w:color="auto" w:fill="FFFFFF"/>
          <w:lang w:val="en-US" w:eastAsia="ru-RU"/>
        </w:rPr>
        <w:t>Krasnodar branch FGBEI HE «Financial university under the Government of the Russia Federation»</w:t>
      </w:r>
    </w:p>
    <w:p w14:paraId="7F4A1EC7" w14:textId="77777777" w:rsidR="009F7DF4" w:rsidRPr="009F7DF4" w:rsidRDefault="009F7DF4" w:rsidP="009F7DF4">
      <w:pPr>
        <w:spacing w:after="0" w:line="240" w:lineRule="auto"/>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shd w:val="clear" w:color="auto" w:fill="FFFFFF"/>
          <w:lang w:val="en-US" w:eastAsia="ru-RU"/>
        </w:rPr>
        <w:t>Krasnodar, Russia</w:t>
      </w:r>
    </w:p>
    <w:p w14:paraId="598BC2E9" w14:textId="2CC14AA0" w:rsidR="009F7DF4" w:rsidRPr="000F343E" w:rsidRDefault="009F7DF4" w:rsidP="009F7DF4">
      <w:pPr>
        <w:spacing w:after="0" w:line="240" w:lineRule="auto"/>
        <w:jc w:val="right"/>
        <w:rPr>
          <w:rFonts w:ascii="Times New Roman" w:eastAsia="Times New Roman" w:hAnsi="Times New Roman" w:cs="Times New Roman"/>
          <w:i/>
          <w:iCs/>
          <w:color w:val="000000"/>
          <w:sz w:val="21"/>
          <w:szCs w:val="21"/>
          <w:u w:val="single"/>
          <w:lang w:val="en-US" w:eastAsia="ru-RU"/>
        </w:rPr>
      </w:pPr>
      <w:r w:rsidRPr="009F7DF4">
        <w:rPr>
          <w:rFonts w:ascii="Times New Roman" w:eastAsia="Times New Roman" w:hAnsi="Times New Roman" w:cs="Times New Roman"/>
          <w:i/>
          <w:iCs/>
          <w:color w:val="000000"/>
          <w:sz w:val="21"/>
          <w:szCs w:val="21"/>
          <w:shd w:val="clear" w:color="auto" w:fill="FFFFFF"/>
          <w:lang w:eastAsia="ru-RU"/>
        </w:rPr>
        <w:t>е</w:t>
      </w:r>
      <w:r w:rsidRPr="009F7DF4">
        <w:rPr>
          <w:rFonts w:ascii="Times New Roman" w:eastAsia="Times New Roman" w:hAnsi="Times New Roman" w:cs="Times New Roman"/>
          <w:i/>
          <w:iCs/>
          <w:color w:val="000000"/>
          <w:sz w:val="21"/>
          <w:szCs w:val="21"/>
          <w:shd w:val="clear" w:color="auto" w:fill="FFFFFF"/>
          <w:lang w:val="en-US" w:eastAsia="ru-RU"/>
        </w:rPr>
        <w:t>-mail:</w:t>
      </w:r>
      <w:r w:rsidRPr="009F7DF4">
        <w:rPr>
          <w:rFonts w:ascii="Times New Roman" w:eastAsia="Times New Roman" w:hAnsi="Times New Roman" w:cs="Times New Roman"/>
          <w:i/>
          <w:iCs/>
          <w:color w:val="000000"/>
          <w:sz w:val="21"/>
          <w:szCs w:val="21"/>
          <w:u w:val="single"/>
          <w:lang w:val="en-US" w:eastAsia="ru-RU"/>
        </w:rPr>
        <w:t xml:space="preserve"> </w:t>
      </w:r>
      <w:hyperlink r:id="rId302" w:history="1">
        <w:r w:rsidR="000F343E" w:rsidRPr="009F7DF4">
          <w:rPr>
            <w:rStyle w:val="aa"/>
            <w:rFonts w:ascii="Times New Roman" w:eastAsia="Times New Roman" w:hAnsi="Times New Roman" w:cs="Times New Roman"/>
            <w:i/>
            <w:iCs/>
            <w:sz w:val="21"/>
            <w:szCs w:val="21"/>
            <w:lang w:val="en-US" w:eastAsia="ru-RU"/>
          </w:rPr>
          <w:t>helen_04_d@mail.ru</w:t>
        </w:r>
      </w:hyperlink>
    </w:p>
    <w:p w14:paraId="4E875D7E" w14:textId="77777777" w:rsidR="000F343E" w:rsidRPr="009F7DF4" w:rsidRDefault="000F343E" w:rsidP="009F7DF4">
      <w:pPr>
        <w:spacing w:after="0" w:line="240" w:lineRule="auto"/>
        <w:jc w:val="right"/>
        <w:rPr>
          <w:rFonts w:ascii="Times New Roman" w:eastAsia="Times New Roman" w:hAnsi="Times New Roman" w:cs="Times New Roman"/>
          <w:sz w:val="21"/>
          <w:szCs w:val="21"/>
          <w:lang w:val="en-US" w:eastAsia="ru-RU"/>
        </w:rPr>
      </w:pPr>
    </w:p>
    <w:p w14:paraId="61C13FFB" w14:textId="77777777" w:rsidR="009F7DF4" w:rsidRPr="009F7DF4" w:rsidRDefault="009F7DF4" w:rsidP="009F7DF4">
      <w:pPr>
        <w:spacing w:after="0" w:line="240" w:lineRule="auto"/>
        <w:ind w:firstLine="567"/>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b/>
          <w:bCs/>
          <w:i/>
          <w:iCs/>
          <w:color w:val="000000"/>
          <w:sz w:val="21"/>
          <w:szCs w:val="21"/>
          <w:lang w:val="en-US" w:eastAsia="ru-RU"/>
        </w:rPr>
        <w:t>Scientific Adviser:</w:t>
      </w:r>
    </w:p>
    <w:p w14:paraId="4DC06A22" w14:textId="77777777" w:rsidR="009F7DF4" w:rsidRPr="009F7DF4" w:rsidRDefault="009F7DF4" w:rsidP="009F7DF4">
      <w:pPr>
        <w:spacing w:after="0" w:line="240" w:lineRule="auto"/>
        <w:jc w:val="right"/>
        <w:rPr>
          <w:rFonts w:ascii="Times New Roman" w:eastAsia="Times New Roman" w:hAnsi="Times New Roman" w:cs="Times New Roman"/>
          <w:b/>
          <w:bCs/>
          <w:color w:val="000000"/>
          <w:sz w:val="21"/>
          <w:szCs w:val="21"/>
          <w:shd w:val="clear" w:color="auto" w:fill="FFFFFF"/>
          <w:lang w:val="en-US" w:eastAsia="ru-RU"/>
        </w:rPr>
      </w:pPr>
      <w:r w:rsidRPr="009F7DF4">
        <w:rPr>
          <w:rFonts w:ascii="Times New Roman" w:eastAsia="Times New Roman" w:hAnsi="Times New Roman" w:cs="Times New Roman"/>
          <w:b/>
          <w:bCs/>
          <w:color w:val="000000"/>
          <w:sz w:val="21"/>
          <w:szCs w:val="21"/>
          <w:shd w:val="clear" w:color="auto" w:fill="FFFFFF"/>
          <w:lang w:val="en-US" w:eastAsia="ru-RU"/>
        </w:rPr>
        <w:t xml:space="preserve">Mazunina M. V., </w:t>
      </w:r>
    </w:p>
    <w:p w14:paraId="69B46E0B" w14:textId="77777777" w:rsidR="009F7DF4" w:rsidRPr="009F7DF4" w:rsidRDefault="009F7DF4" w:rsidP="009F7DF4">
      <w:pPr>
        <w:spacing w:after="0" w:line="240" w:lineRule="auto"/>
        <w:ind w:firstLine="567"/>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shd w:val="clear" w:color="auto" w:fill="FFFFFF"/>
          <w:lang w:val="en-US" w:eastAsia="ru-RU"/>
        </w:rPr>
        <w:t>Docent</w:t>
      </w:r>
    </w:p>
    <w:p w14:paraId="49EE9814" w14:textId="77777777" w:rsidR="009F7DF4" w:rsidRPr="009F7DF4" w:rsidRDefault="009F7DF4" w:rsidP="009F7DF4">
      <w:pPr>
        <w:spacing w:after="0" w:line="240" w:lineRule="auto"/>
        <w:ind w:firstLine="567"/>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lang w:val="en-US" w:eastAsia="ru-RU"/>
        </w:rPr>
        <w:t>Krasnodar branch FGBEI HE «Financial university under the Government of the Russia Federation»</w:t>
      </w:r>
    </w:p>
    <w:p w14:paraId="614D094F" w14:textId="77777777" w:rsidR="009F7DF4" w:rsidRPr="009F7DF4" w:rsidRDefault="009F7DF4" w:rsidP="009F7DF4">
      <w:pPr>
        <w:spacing w:after="0" w:line="240" w:lineRule="auto"/>
        <w:ind w:firstLine="567"/>
        <w:jc w:val="right"/>
        <w:rPr>
          <w:rFonts w:ascii="Times New Roman" w:eastAsia="Times New Roman" w:hAnsi="Times New Roman" w:cs="Times New Roman"/>
          <w:sz w:val="21"/>
          <w:szCs w:val="21"/>
          <w:lang w:val="en-US" w:eastAsia="ru-RU"/>
        </w:rPr>
      </w:pPr>
      <w:r w:rsidRPr="009F7DF4">
        <w:rPr>
          <w:rFonts w:ascii="Times New Roman" w:eastAsia="Times New Roman" w:hAnsi="Times New Roman" w:cs="Times New Roman"/>
          <w:i/>
          <w:iCs/>
          <w:color w:val="000000"/>
          <w:sz w:val="21"/>
          <w:szCs w:val="21"/>
          <w:lang w:val="en-US" w:eastAsia="ru-RU"/>
        </w:rPr>
        <w:t>Krasnodar, Russia</w:t>
      </w:r>
    </w:p>
    <w:p w14:paraId="636B17EE" w14:textId="77777777" w:rsidR="009F7DF4" w:rsidRPr="009F7DF4" w:rsidRDefault="009F7DF4" w:rsidP="009F7DF4">
      <w:pPr>
        <w:spacing w:after="0" w:line="240" w:lineRule="auto"/>
        <w:jc w:val="right"/>
        <w:rPr>
          <w:rFonts w:ascii="Times New Roman" w:eastAsia="Times New Roman" w:hAnsi="Times New Roman" w:cs="Times New Roman"/>
          <w:sz w:val="28"/>
          <w:szCs w:val="28"/>
          <w:lang w:val="en-US" w:eastAsia="ru-RU"/>
        </w:rPr>
      </w:pPr>
      <w:r w:rsidRPr="009F7DF4">
        <w:rPr>
          <w:rFonts w:ascii="Times New Roman" w:eastAsia="Times New Roman" w:hAnsi="Times New Roman" w:cs="Times New Roman"/>
          <w:i/>
          <w:iCs/>
          <w:color w:val="000000"/>
          <w:sz w:val="21"/>
          <w:szCs w:val="21"/>
          <w:lang w:eastAsia="ru-RU"/>
        </w:rPr>
        <w:t>е</w:t>
      </w:r>
      <w:r w:rsidRPr="009F7DF4">
        <w:rPr>
          <w:rFonts w:ascii="Times New Roman" w:eastAsia="Times New Roman" w:hAnsi="Times New Roman" w:cs="Times New Roman"/>
          <w:i/>
          <w:iCs/>
          <w:color w:val="000000"/>
          <w:sz w:val="21"/>
          <w:szCs w:val="21"/>
          <w:lang w:val="en-US" w:eastAsia="ru-RU"/>
        </w:rPr>
        <w:t>-mail: mvmazunina@fa.ru</w:t>
      </w:r>
    </w:p>
    <w:p w14:paraId="1E81E572" w14:textId="77777777" w:rsidR="009F7DF4" w:rsidRPr="009F7DF4" w:rsidRDefault="009F7DF4" w:rsidP="009F7DF4">
      <w:pPr>
        <w:spacing w:after="0" w:line="240" w:lineRule="auto"/>
        <w:ind w:firstLine="567"/>
        <w:jc w:val="right"/>
        <w:rPr>
          <w:rFonts w:ascii="Times New Roman" w:eastAsia="Times New Roman" w:hAnsi="Times New Roman" w:cs="Times New Roman"/>
          <w:b/>
          <w:i/>
          <w:sz w:val="21"/>
          <w:szCs w:val="21"/>
          <w:lang w:val="en-US"/>
        </w:rPr>
      </w:pPr>
    </w:p>
    <w:p w14:paraId="19A9A45E" w14:textId="77777777" w:rsidR="009F7DF4" w:rsidRPr="00654CF2" w:rsidRDefault="009F7DF4" w:rsidP="009F7DF4">
      <w:pPr>
        <w:spacing w:after="0" w:line="276" w:lineRule="auto"/>
        <w:jc w:val="center"/>
        <w:rPr>
          <w:rFonts w:ascii="Times New Roman" w:eastAsia="Times New Roman" w:hAnsi="Times New Roman" w:cs="Times New Roman"/>
          <w:b/>
          <w:sz w:val="21"/>
          <w:szCs w:val="21"/>
          <w:lang w:val="en-US"/>
        </w:rPr>
      </w:pPr>
      <w:r w:rsidRPr="009F7DF4">
        <w:rPr>
          <w:rFonts w:ascii="Times New Roman" w:eastAsia="Times New Roman" w:hAnsi="Times New Roman" w:cs="Times New Roman"/>
          <w:b/>
          <w:sz w:val="21"/>
          <w:szCs w:val="21"/>
          <w:lang w:val="en-US"/>
        </w:rPr>
        <w:t xml:space="preserve">The manager and </w:t>
      </w:r>
      <w:proofErr w:type="gramStart"/>
      <w:r w:rsidRPr="009F7DF4">
        <w:rPr>
          <w:rFonts w:ascii="Times New Roman" w:eastAsia="Times New Roman" w:hAnsi="Times New Roman" w:cs="Times New Roman"/>
          <w:b/>
          <w:sz w:val="21"/>
          <w:szCs w:val="21"/>
          <w:lang w:val="en-US"/>
        </w:rPr>
        <w:t>7 character</w:t>
      </w:r>
      <w:proofErr w:type="gramEnd"/>
      <w:r w:rsidRPr="009F7DF4">
        <w:rPr>
          <w:rFonts w:ascii="Times New Roman" w:eastAsia="Times New Roman" w:hAnsi="Times New Roman" w:cs="Times New Roman"/>
          <w:b/>
          <w:sz w:val="21"/>
          <w:szCs w:val="21"/>
          <w:lang w:val="en-US"/>
        </w:rPr>
        <w:t xml:space="preserve"> accents: how to form and motivate a team?</w:t>
      </w:r>
    </w:p>
    <w:p w14:paraId="7AFEFF77" w14:textId="77777777" w:rsidR="004D074F" w:rsidRPr="00654CF2" w:rsidRDefault="004D074F" w:rsidP="009F7DF4">
      <w:pPr>
        <w:spacing w:after="0" w:line="276" w:lineRule="auto"/>
        <w:jc w:val="center"/>
        <w:rPr>
          <w:rFonts w:ascii="Times New Roman" w:eastAsia="Times New Roman" w:hAnsi="Times New Roman" w:cs="Times New Roman"/>
          <w:b/>
          <w:sz w:val="21"/>
          <w:szCs w:val="21"/>
          <w:lang w:val="en-US"/>
        </w:rPr>
      </w:pPr>
    </w:p>
    <w:p w14:paraId="1C1370CF" w14:textId="77777777" w:rsidR="009F7DF4" w:rsidRPr="009F7DF4" w:rsidRDefault="009F7DF4" w:rsidP="009F7DF4">
      <w:pPr>
        <w:spacing w:after="0" w:line="276" w:lineRule="auto"/>
        <w:ind w:firstLine="567"/>
        <w:jc w:val="both"/>
        <w:rPr>
          <w:rFonts w:ascii="Times New Roman" w:eastAsia="Times New Roman" w:hAnsi="Times New Roman" w:cs="Times New Roman"/>
          <w:iCs/>
          <w:sz w:val="21"/>
          <w:szCs w:val="21"/>
          <w:lang w:val="en-US"/>
        </w:rPr>
      </w:pPr>
      <w:r w:rsidRPr="009F7DF4">
        <w:rPr>
          <w:rFonts w:ascii="Times New Roman" w:eastAsia="Times New Roman" w:hAnsi="Times New Roman" w:cs="Times New Roman"/>
          <w:b/>
          <w:bCs/>
          <w:sz w:val="21"/>
          <w:szCs w:val="21"/>
          <w:shd w:val="clear" w:color="auto" w:fill="FFFFFF"/>
          <w:lang w:val="x-none"/>
        </w:rPr>
        <w:t>Abstract</w:t>
      </w:r>
      <w:r w:rsidRPr="009F7DF4">
        <w:rPr>
          <w:rFonts w:ascii="Times New Roman" w:eastAsia="Times New Roman" w:hAnsi="Times New Roman" w:cs="Times New Roman"/>
          <w:b/>
          <w:bCs/>
          <w:sz w:val="21"/>
          <w:szCs w:val="21"/>
          <w:shd w:val="clear" w:color="auto" w:fill="FFFFFF"/>
          <w:lang w:val="en-US"/>
        </w:rPr>
        <w:t xml:space="preserve">: </w:t>
      </w:r>
      <w:r w:rsidRPr="009F7DF4">
        <w:rPr>
          <w:rFonts w:ascii="Times New Roman" w:eastAsia="Times New Roman" w:hAnsi="Times New Roman" w:cs="Times New Roman"/>
          <w:iCs/>
          <w:sz w:val="21"/>
          <w:szCs w:val="21"/>
          <w:lang w:val="en-US"/>
        </w:rPr>
        <w:t>This article examines the main reasons for the disintegration of the team and offers recommendations for the strong team formation and its motivation, depending on the character accentuation of each of the participants.</w:t>
      </w:r>
    </w:p>
    <w:p w14:paraId="30DB73B1" w14:textId="77777777" w:rsidR="009F7DF4" w:rsidRPr="009F7DF4" w:rsidRDefault="009F7DF4" w:rsidP="009F7DF4">
      <w:pPr>
        <w:spacing w:after="0" w:line="240" w:lineRule="auto"/>
        <w:ind w:firstLine="567"/>
        <w:jc w:val="both"/>
        <w:rPr>
          <w:rFonts w:ascii="Times New Roman" w:eastAsia="Times New Roman" w:hAnsi="Times New Roman" w:cs="Times New Roman"/>
          <w:iCs/>
          <w:sz w:val="21"/>
          <w:szCs w:val="21"/>
          <w:lang w:val="en-US"/>
        </w:rPr>
      </w:pPr>
      <w:r w:rsidRPr="009F7DF4">
        <w:rPr>
          <w:rFonts w:ascii="Times New Roman" w:eastAsia="Times New Roman" w:hAnsi="Times New Roman" w:cs="Times New Roman"/>
          <w:b/>
          <w:iCs/>
          <w:sz w:val="21"/>
          <w:szCs w:val="21"/>
          <w:lang w:val="en-US"/>
        </w:rPr>
        <w:t xml:space="preserve">Keywords: </w:t>
      </w:r>
      <w:r w:rsidRPr="009F7DF4">
        <w:rPr>
          <w:rFonts w:ascii="Times New Roman" w:eastAsia="Times New Roman" w:hAnsi="Times New Roman" w:cs="Times New Roman"/>
          <w:iCs/>
          <w:sz w:val="21"/>
          <w:szCs w:val="21"/>
          <w:lang w:val="en-US"/>
        </w:rPr>
        <w:t>character accentuation, team building,</w:t>
      </w:r>
      <w:r w:rsidRPr="009F7DF4">
        <w:rPr>
          <w:rFonts w:ascii="Arial" w:eastAsia="Times New Roman" w:hAnsi="Arial" w:cs="Arial"/>
          <w:iCs/>
          <w:color w:val="000000"/>
          <w:sz w:val="36"/>
          <w:szCs w:val="36"/>
          <w:lang w:val="en-US"/>
        </w:rPr>
        <w:t xml:space="preserve"> </w:t>
      </w:r>
      <w:r w:rsidRPr="009F7DF4">
        <w:rPr>
          <w:rFonts w:ascii="Times New Roman" w:eastAsia="Times New Roman" w:hAnsi="Times New Roman" w:cs="Times New Roman"/>
          <w:iCs/>
          <w:sz w:val="21"/>
          <w:szCs w:val="21"/>
          <w:lang w:val="en-US"/>
        </w:rPr>
        <w:t>motivation.</w:t>
      </w:r>
    </w:p>
    <w:p w14:paraId="6DF21382" w14:textId="77777777" w:rsidR="009F7DF4" w:rsidRPr="009F7DF4" w:rsidRDefault="009F7DF4" w:rsidP="009F7DF4">
      <w:pPr>
        <w:spacing w:after="0" w:line="240" w:lineRule="auto"/>
        <w:ind w:firstLine="567"/>
        <w:jc w:val="both"/>
        <w:rPr>
          <w:rFonts w:ascii="Times New Roman" w:eastAsia="Times New Roman" w:hAnsi="Times New Roman" w:cs="Times New Roman"/>
          <w:b/>
          <w:sz w:val="21"/>
          <w:szCs w:val="21"/>
          <w:lang w:val="en-US"/>
        </w:rPr>
      </w:pPr>
    </w:p>
    <w:p w14:paraId="7AE343A1" w14:textId="77777777" w:rsidR="009F7DF4" w:rsidRPr="009F7DF4" w:rsidRDefault="009F7DF4" w:rsidP="009F7DF4">
      <w:pPr>
        <w:spacing w:after="0" w:line="240" w:lineRule="auto"/>
        <w:ind w:firstLine="567"/>
        <w:jc w:val="both"/>
        <w:rPr>
          <w:rFonts w:ascii="Times New Roman" w:eastAsia="Times New Roman" w:hAnsi="Times New Roman" w:cs="Times New Roman"/>
          <w:b/>
          <w:sz w:val="21"/>
          <w:szCs w:val="21"/>
        </w:rPr>
      </w:pPr>
      <w:r w:rsidRPr="009F7DF4">
        <w:rPr>
          <w:rFonts w:ascii="Times New Roman" w:eastAsia="Times New Roman" w:hAnsi="Times New Roman" w:cs="Times New Roman"/>
          <w:bCs/>
          <w:sz w:val="32"/>
          <w:szCs w:val="32"/>
        </w:rPr>
        <w:t>В настоящее время тезис о том, что человек – основной ресурс бизнеса, все чаще находит отражение в корпоративной культуре многих компаний. Организации вкладывают финансовые и временные ресурсы в развитие своих сотрудников, чтобы в будущем достигнуть целей бизнеса. Ценность стартапа на первых стадиях жизненного цикла – это не продукт и не идея, а команда, которая эти идеи генерирует, поэтому инвесторы, выбирая объект инвестирования, обращают внимание в первую очередь на команду и вкладывают средства в людей, а не в проект. Грамотное формирование команды приводит к получению синергетического эффекта, когда результат работы сплоченного коллектива выше, чем результат суммирования работ каждого из участников по отдельности, в то время как неэффективное командообразование может привести к ухудшению психологического климата в коллективе, снижению продуктивности сотрудников, массовым увольнениям и, как следствие, к потере организацией основного ресурса – квалифицированных специалистов, которые могли бы реализовывать поставленные цели и развивать бизнес. Это обуславливает актуальность выбранной темы.</w:t>
      </w:r>
    </w:p>
    <w:p w14:paraId="7BA67CC8"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vertAlign w:val="subscript"/>
        </w:rPr>
      </w:pPr>
      <w:r w:rsidRPr="009F7DF4">
        <w:rPr>
          <w:rFonts w:ascii="Times New Roman" w:eastAsia="Times New Roman" w:hAnsi="Times New Roman" w:cs="Times New Roman"/>
          <w:bCs/>
          <w:sz w:val="32"/>
          <w:szCs w:val="32"/>
        </w:rPr>
        <w:lastRenderedPageBreak/>
        <w:t>Новизной данного исследования заключается в снижении риска распада коллектива благодаря формированию команды на основе акцентуаций характера и мотивации сотрудников в зависимости от их акцентуаций.</w:t>
      </w:r>
    </w:p>
    <w:p w14:paraId="3D0E0A41"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Цель исследования – разработать рекомендации по формированию и мотивированию команды на основе акцентуаций характера каждого из сотрудников.</w:t>
      </w:r>
    </w:p>
    <w:p w14:paraId="5EAC345B"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Задачи исследования: изучить основные причины распада команды; исследовать типы и особенности проявлений акцентуаций характера в профессиональной среде; разработать рекомендации по формированию команды и мотивации сотрудников на основе акцентуаций характера.</w:t>
      </w:r>
    </w:p>
    <w:p w14:paraId="0F61719C"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Командообразование – это процесс подбора и отбора участников команды, а также комплекс мероприятий, направленных на мотивацию и сплочение коллектива [1, с. 7].</w:t>
      </w:r>
    </w:p>
    <w:p w14:paraId="28502C63"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Командообразование является неотъемлемой частью успешного бизнеса, так что уделять внимание данному процессу необходимо не только на начальном этапе формирования команды, но и на всех последующих этапах, чтобы не допустить распада коллектива и угрозы потери квалифицированных сотрудников.</w:t>
      </w:r>
    </w:p>
    <w:p w14:paraId="26C3AD14"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На рисунке 1.1 представлены результаты опроса российских специалистов, которые приняли решение уйти из команды в 2024 г. Среди респондентов были как сотрудники, уволившиеся из крупных зрелых фирм, так и специалисты, работавшие над проектами-стартапами на ранних этапах. </w:t>
      </w:r>
    </w:p>
    <w:p w14:paraId="3BD3AD4F" w14:textId="77777777" w:rsidR="009F7DF4" w:rsidRPr="009F7DF4" w:rsidRDefault="009F7DF4" w:rsidP="009F7DF4">
      <w:pPr>
        <w:spacing w:after="0" w:line="240" w:lineRule="auto"/>
        <w:ind w:firstLine="567"/>
        <w:jc w:val="center"/>
        <w:rPr>
          <w:rFonts w:ascii="Times New Roman" w:eastAsia="Times New Roman" w:hAnsi="Times New Roman" w:cs="Times New Roman"/>
          <w:bCs/>
          <w:sz w:val="32"/>
          <w:szCs w:val="32"/>
        </w:rPr>
      </w:pPr>
      <w:r w:rsidRPr="009F7DF4">
        <w:rPr>
          <w:rFonts w:ascii="Times New Roman" w:eastAsia="Times New Roman" w:hAnsi="Times New Roman" w:cs="Times New Roman"/>
          <w:noProof/>
          <w:sz w:val="32"/>
          <w:szCs w:val="32"/>
          <w:lang w:eastAsia="ru-RU"/>
        </w:rPr>
        <w:drawing>
          <wp:inline distT="0" distB="0" distL="0" distR="0" wp14:anchorId="0C8C494C" wp14:editId="7CE4A5BF">
            <wp:extent cx="3253740" cy="1958340"/>
            <wp:effectExtent l="0" t="0" r="3810" b="3810"/>
            <wp:docPr id="2000371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253740" cy="1958340"/>
                    </a:xfrm>
                    <a:prstGeom prst="rect">
                      <a:avLst/>
                    </a:prstGeom>
                    <a:noFill/>
                    <a:ln>
                      <a:noFill/>
                    </a:ln>
                  </pic:spPr>
                </pic:pic>
              </a:graphicData>
            </a:graphic>
          </wp:inline>
        </w:drawing>
      </w:r>
    </w:p>
    <w:p w14:paraId="42AC8FC2" w14:textId="77777777" w:rsidR="009F7DF4" w:rsidRPr="009F7DF4" w:rsidRDefault="009F7DF4" w:rsidP="009F7DF4">
      <w:pPr>
        <w:spacing w:after="0" w:line="240" w:lineRule="auto"/>
        <w:ind w:firstLine="567"/>
        <w:jc w:val="center"/>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Рисунок 1.1 – причины увольнения россиян в 2024 г.</w:t>
      </w:r>
    </w:p>
    <w:p w14:paraId="7113DA11"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Согласно результатам опроса, три основные причины распада команды – это разногласия в коллективе, неподходящая система мотивации (что не всегда означает недостаточную оплату труда) и пассивное руководство. Эти три проблемы можно решить, если </w:t>
      </w:r>
      <w:r w:rsidRPr="009F7DF4">
        <w:rPr>
          <w:rFonts w:ascii="Times New Roman" w:eastAsia="Times New Roman" w:hAnsi="Times New Roman" w:cs="Times New Roman"/>
          <w:bCs/>
          <w:sz w:val="32"/>
          <w:szCs w:val="32"/>
        </w:rPr>
        <w:lastRenderedPageBreak/>
        <w:t>формировать и мотивировать команду на основе акцентуаций характеров сотрудников.</w:t>
      </w:r>
    </w:p>
    <w:p w14:paraId="21A1C127"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На рисунке 1.2 представлены результаты исследования, посвященного сравнению командообразования на основе субъективного взгляда руководителя и командообразования с учетом акцентуации характера кандидата. Эксперимент заключался в том, что для одних и тех же проектов набирали команды на основе двух приведенных методов командообразования, а затем сравнивали процесс и результат выполнения задач по критериям, объединенным в четыре группы: управление конфликтами, синергетический эффект, эффективность коммуникации и продуктивность.</w:t>
      </w:r>
    </w:p>
    <w:p w14:paraId="557BBC20" w14:textId="77777777" w:rsidR="009F7DF4" w:rsidRPr="009F7DF4" w:rsidRDefault="009F7DF4" w:rsidP="009F7DF4">
      <w:pPr>
        <w:spacing w:after="0" w:line="240" w:lineRule="auto"/>
        <w:ind w:firstLine="567"/>
        <w:jc w:val="center"/>
        <w:rPr>
          <w:rFonts w:ascii="Times New Roman" w:eastAsia="Times New Roman" w:hAnsi="Times New Roman" w:cs="Times New Roman"/>
          <w:bCs/>
          <w:sz w:val="32"/>
          <w:szCs w:val="32"/>
        </w:rPr>
      </w:pPr>
      <w:r w:rsidRPr="009F7DF4">
        <w:rPr>
          <w:rFonts w:ascii="Times New Roman" w:eastAsia="Times New Roman" w:hAnsi="Times New Roman" w:cs="Times New Roman"/>
          <w:noProof/>
          <w:sz w:val="32"/>
          <w:szCs w:val="32"/>
          <w:lang w:eastAsia="ru-RU"/>
        </w:rPr>
        <w:drawing>
          <wp:inline distT="0" distB="0" distL="0" distR="0" wp14:anchorId="6AB798FB" wp14:editId="2074B41F">
            <wp:extent cx="3032760" cy="1874520"/>
            <wp:effectExtent l="0" t="0" r="0" b="0"/>
            <wp:docPr id="5999123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032760" cy="1874520"/>
                    </a:xfrm>
                    <a:prstGeom prst="rect">
                      <a:avLst/>
                    </a:prstGeom>
                    <a:noFill/>
                    <a:ln>
                      <a:noFill/>
                    </a:ln>
                  </pic:spPr>
                </pic:pic>
              </a:graphicData>
            </a:graphic>
          </wp:inline>
        </w:drawing>
      </w:r>
    </w:p>
    <w:p w14:paraId="06ECF1FE" w14:textId="77777777" w:rsidR="009F7DF4" w:rsidRPr="009F7DF4" w:rsidRDefault="009F7DF4" w:rsidP="009F7DF4">
      <w:pPr>
        <w:spacing w:after="0" w:line="240" w:lineRule="auto"/>
        <w:ind w:firstLine="567"/>
        <w:jc w:val="center"/>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Рисунок 1.2 – Сравнение методов командообразования, 2024 г.</w:t>
      </w:r>
    </w:p>
    <w:p w14:paraId="4B0C52FF"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Исходя из представленных результатов, формирование команды на основе типов акцентуаций позволяет эффективнее управлять конфликтами в команде, иметь больший синергетический эффект, оптимизировать коммуникацию между участниками команды и способствует более высокой продуктивности коллектива. Командообразование на основе субъективного взгляда руководителя не всегда позволяет добиться такой же эффективности.</w:t>
      </w:r>
    </w:p>
    <w:p w14:paraId="32D8E38B"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Акцентуация характера – это яркая выраженность отдельных черт характера или их сочетаний, являющаяся одним из вариантов нормы [3, с. 19].  Акцентуации могут сохраняться на протяжении длительного времени, иногда всей жизни. </w:t>
      </w:r>
    </w:p>
    <w:p w14:paraId="459E1C58"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К. Леонгард выделил 12 типов акцентуаций характера [3, с. 20], А.Е. Личко. – 11 типов [2]. </w:t>
      </w:r>
    </w:p>
    <w:p w14:paraId="5DB2356F"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Самые часто встречающиеся типы акцентуации в настоящее время – эпилептоидный, паранойяльный, эмотивный, гипотимический, гипертимический, истероидный, тревожно-мнительный и шизоидный.</w:t>
      </w:r>
    </w:p>
    <w:p w14:paraId="18B8B885"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Рассмотрим перечисленные типы акцентуаций характера и особенности поведения сотрудников с тем или иным типом акцентуации:</w:t>
      </w:r>
    </w:p>
    <w:p w14:paraId="018B8DF4"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lastRenderedPageBreak/>
        <w:t>- эпилептоидный тип. Основные черты: ориентированность на порядок и стабильность, педантичность, раздражительность. Сотрудник типа эпилептоид дисциплинирован и пунктуален, придерживается четких правил при выполнении задач, соблюдает иерархию и субординацию, на любые нарушения установленного порядка или предстоящие изменения реагирует гневом.</w:t>
      </w:r>
    </w:p>
    <w:p w14:paraId="61D16FA1"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 паранойяльный тип. Основные черты: целеустремленность, подозрительность, прямолинейность, склонность к конфликтам и борьбе за справедливость, чувствительность к критике. Сотрудник типа паранойял эффективен в защите проектов и мотивации коллег с помощью цели, которая сплотит команду, однако чересчур прямолинеен и привержен собственной цели, настойчив и трудно переубеждаем. </w:t>
      </w:r>
    </w:p>
    <w:p w14:paraId="3AB450DA"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эмотивный тип. Основные черты: эмоциональная открытость, высокий уровень эмпатии, потребность в близких отношениях, неконфликтность. Сотрудник типа эмотив эффективен в командной работе, способен помочь разрешить конфликт и сплотить коллектив, создав дружелюбную атмосферу, однако сам избегает конфликтов, чувствителен к критике и «потрясениям» в коллективе.</w:t>
      </w:r>
    </w:p>
    <w:p w14:paraId="328E8693"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гипотимический тип. Основные черты: склонность к пессимизму, отсутствие амбиций и креатива, скромность. Сотрудник типа гипотим отличается исполнительностью, ответственностью и аккуратностью, в то же время трудно адаптируется к изменениям, избегает публичных выступлений и большой ответственности.</w:t>
      </w:r>
    </w:p>
    <w:p w14:paraId="20CD84E7"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гипертимический тип. Основные черты: коммуникабельность, инициативность, оптимизм, энергичность, высокий уровень эмпатии. Сотрудник типа гипертим часто выступает генератором идей, легко заводит знакомства, быстро адаптируется к изменениям, однако отличается низким уровнем дисциплины, неусидчивостью и при выполнении задач, требующих концентрации, нуждается в контроле.</w:t>
      </w:r>
    </w:p>
    <w:p w14:paraId="0770610C"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истероидный тип. Основные черты: потребность в признании, стремление быть в центре внимания, эмоциональность, внушаемость. Сотрудник типа истероид эффективен в публичных выступлениях, умеет производить впечатление, вдохновлять команду, но в то же время импульсивен, непостоянен, зависим от мнения окружающих, чувствителен к критике.</w:t>
      </w:r>
    </w:p>
    <w:p w14:paraId="7D47B5A3"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 тревожно-мнительный тип. Основные черты: тревожность, подозрительность, осторожность, склонность к постоянному анализу происходящего. Сотрудник тревожно-мнительного типа отличается </w:t>
      </w:r>
      <w:r w:rsidRPr="009F7DF4">
        <w:rPr>
          <w:rFonts w:ascii="Times New Roman" w:eastAsia="Times New Roman" w:hAnsi="Times New Roman" w:cs="Times New Roman"/>
          <w:bCs/>
          <w:sz w:val="32"/>
          <w:szCs w:val="32"/>
        </w:rPr>
        <w:lastRenderedPageBreak/>
        <w:t>высоким уровнем ответственности, вниманием к деталям, концентрацией, способен проанализировать и учесть максимальное количество рисков, однако склонен постоянно перепроверять выполненную работу и преувеличивать угрозы.</w:t>
      </w:r>
    </w:p>
    <w:p w14:paraId="43103BD4"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шизоидный тип. Основные черты: интроверсия, оригинальное и абстрактное мышление, слабая эмоциональная связь с коллегами, независимость, замкнутость. Сотрудник типа шизоид способен генерировать уникальные идеи, решать сложные задачи и мыслить нестандартно, но зачастую неэффективен в командной работе из-за слабой эмоциональной связи с коллегами и избегания общения.</w:t>
      </w:r>
    </w:p>
    <w:p w14:paraId="60D4198B"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Выраженность акцентуаций характера может варьироваться. Кроме того, каждому типу акцентуации присущи определенные сильные стороны, которые можно раскрыть на той или иной должности.</w:t>
      </w:r>
    </w:p>
    <w:p w14:paraId="43E4C80E"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Исходя из рассмотренных особенностей типов акцентуаций, можно сформулировать следующие рекомендации по формированию и мотивированию команды:</w:t>
      </w:r>
    </w:p>
    <w:p w14:paraId="3ADBA3C4"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эпилептоидный тип. Эпилептоида следует нанимать на должности, где требуется точность и следование инструкциям (например, бухгалтер, системный администратор, специалист по контролю качества, инженер-технолог, архивариус). Мотивация эпилептоида: возможность контролировать процесс, материальное поощрение, публичная похвала, четкая формулировка целей, понятные инструкции.</w:t>
      </w:r>
    </w:p>
    <w:p w14:paraId="17267883"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 паранойяльный тип. Паранойял отличается целеустремленностью и подозрительностью, а также способен аргументированно защищать свою точку зрения. Наиболее подходящие вакансии для него: юрист (особенно в области защиты прав), адвокат, аудитор, финансовый аналитик. Мотивация паранойяла: возможность контролировать процесс, возможность бороться за справедливость, материальное поощрение, публичное признание важности его компетенций для достижения общей цели. </w:t>
      </w:r>
    </w:p>
    <w:p w14:paraId="39E9F90E"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 эмотивный тип. Эмотив – это хозяин-хозяйственник, которому важны гармония и близкие отношения с людьми. Его следует нанимать на должность штатного психолога, PR-менеджера, </w:t>
      </w:r>
      <w:r w:rsidRPr="009F7DF4">
        <w:rPr>
          <w:rFonts w:ascii="Times New Roman" w:eastAsia="Times New Roman" w:hAnsi="Times New Roman" w:cs="Times New Roman"/>
          <w:bCs/>
          <w:sz w:val="32"/>
          <w:szCs w:val="32"/>
          <w:lang w:val="en-US"/>
        </w:rPr>
        <w:t>HR</w:t>
      </w:r>
      <w:r w:rsidRPr="009F7DF4">
        <w:rPr>
          <w:rFonts w:ascii="Times New Roman" w:eastAsia="Times New Roman" w:hAnsi="Times New Roman" w:cs="Times New Roman"/>
          <w:bCs/>
          <w:sz w:val="32"/>
          <w:szCs w:val="32"/>
        </w:rPr>
        <w:t>-менеджера или маркетолога. Мотивация эмотива: дружелюбная атмосфера, социально значимая цель, подчеркивание их роли в поддержании командного духа, время на нерабочее взаимодействие с коллегами.</w:t>
      </w:r>
    </w:p>
    <w:p w14:paraId="60046227"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lastRenderedPageBreak/>
        <w:t xml:space="preserve">- гипотимический тип. Гипотим усидчив, внимателен и любит стабильность. Для него подходят должности архивариуса, бухгалтера, документоведа и редактора. Мотивация гипотима: поддержка и одобрение, стабильность и предсказуемость в работе, безопасная и комфортная атмосфера. </w:t>
      </w:r>
    </w:p>
    <w:p w14:paraId="23366ABB"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гипертимический тип. Гипертим креативен, эффективен в выстраивании связей и налаживании контактов, а также нетворкинге. Его следует нанимать на должность менеджера по продажам, журналиста, event-менеджера или инструктора. Мотивация гипертима: интересные и разнообразные задачи, материальное поощрение, возможность проявлять инициативу, публичная похвала.</w:t>
      </w:r>
    </w:p>
    <w:p w14:paraId="79A9455F"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истероидный тип. Истероид коммуницирует через артистизм, эпатаж и самопрезентацию. Ему подходят вакансии торгового представителя, PR-менеджера, ведущего и менеджера по продажам. Мотивация истероида: публичная похвала (даже лесть), возможность быть в центре внимания, конкуренция и возможность доказать свое превосходство, внешние атрибуты успеха и должность, демонстрирующая высокий статус.</w:t>
      </w:r>
    </w:p>
    <w:p w14:paraId="6DD74B9D"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тревожно-мнительный тип. Данному типу свойственно постоянное беспокойство и анализ возможных рисков. Тревожно-мнительному типу подойдут должности риск-менеджера, аудитора, программиста-тестировщика или специалиста по контролю качества. Мотивация сотрудника с тревожно-мнительной акцентуацией: стабильность и отсутствие резких перемен в компании, четкие инструкции и правила, признание его способностей и достижений.</w:t>
      </w:r>
    </w:p>
    <w:p w14:paraId="777CBAD8"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шизоидный тип. Шизоид отличается нестандартным мышлением и социальной отстраненностью. Его следует нанимать на должность научного сотрудника, системного архитектора, аналитика данных или разработчика ПО. Мотивация шизоида: автономия и независимость в выполнении задач, уважение к его идеям и взглядам, сложные и интересные задачи, отсутствие или минимизация контактов с другими людьми.</w:t>
      </w:r>
    </w:p>
    <w:p w14:paraId="0718F791"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Лидер команды при этом должен иметь либо эпилептоидный тип акцентуации, либо эмотивный, либо паранойяльный. </w:t>
      </w:r>
    </w:p>
    <w:p w14:paraId="63DE3C55"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 Допустим, необходимо собрать команду для стартапа в области </w:t>
      </w:r>
      <w:r w:rsidRPr="009F7DF4">
        <w:rPr>
          <w:rFonts w:ascii="Times New Roman" w:eastAsia="Times New Roman" w:hAnsi="Times New Roman" w:cs="Times New Roman"/>
          <w:bCs/>
          <w:sz w:val="32"/>
          <w:szCs w:val="32"/>
          <w:lang w:val="en-US"/>
        </w:rPr>
        <w:t>EdTech</w:t>
      </w:r>
      <w:r w:rsidRPr="009F7DF4">
        <w:rPr>
          <w:rFonts w:ascii="Times New Roman" w:eastAsia="Times New Roman" w:hAnsi="Times New Roman" w:cs="Times New Roman"/>
          <w:bCs/>
          <w:sz w:val="32"/>
          <w:szCs w:val="32"/>
        </w:rPr>
        <w:t xml:space="preserve"> – разработки и запуска мобильного приложения для обучения школьников программированию. На должность менеджера стартапа подойдет специалист с паранойяльной акцентуацией, так как он обладает стратегическим мышлением, готов к конкуренции и борьбе </w:t>
      </w:r>
      <w:r w:rsidRPr="009F7DF4">
        <w:rPr>
          <w:rFonts w:ascii="Times New Roman" w:eastAsia="Times New Roman" w:hAnsi="Times New Roman" w:cs="Times New Roman"/>
          <w:bCs/>
          <w:sz w:val="32"/>
          <w:szCs w:val="32"/>
        </w:rPr>
        <w:lastRenderedPageBreak/>
        <w:t xml:space="preserve">за рынок (в отличие от эмотива) и ради достижения цели готов адаптироваться почти к любым условиям (в то время как эпилептоид более консервативен). Кроме того, паранойял способен сплотить команду вокруг цели. На должность технического директора подходит эпилептоид и его организованность и педантичность. Он будет следить за качеством кода и обеспечивать его соответствие стандартам. Ведущий разработчик – шизоид, будет заниматься разработкой новых функций для приложения, оптимизировать код и решать сложные задачи. Младший разработчик – тревожно-мнительный тип. Он будет тщательно перепроверять результат своей работы, прежде чем отправить его ведущему разработчику, поэтому риск ошибки в коде снизится и шизоиду не нужно будет часто общаться с младшим разработчиком и корректировать его работу. Эмотив займет должность методиста и разработает учебную программу, которая будет интересной, увлекательной и эффективной для достижения социально значимой цели – обучения детей. UI/UX-дизайнер – еще один эмотив, который сможет сделать интерфейс понятным и интересным для школьников благодаря пониманию конечного потребителя, либо гипертим, который тоже обладает высоким уровнем эмпатии и способностью понять потребителя, а также креативным мышлением. Гипотим может занять должность </w:t>
      </w:r>
      <w:r w:rsidRPr="009F7DF4">
        <w:rPr>
          <w:rFonts w:ascii="Times New Roman" w:eastAsia="Times New Roman" w:hAnsi="Times New Roman" w:cs="Times New Roman"/>
          <w:bCs/>
          <w:sz w:val="32"/>
          <w:szCs w:val="32"/>
          <w:lang w:val="en-US"/>
        </w:rPr>
        <w:t>SMM</w:t>
      </w:r>
      <w:r w:rsidRPr="009F7DF4">
        <w:rPr>
          <w:rFonts w:ascii="Times New Roman" w:eastAsia="Times New Roman" w:hAnsi="Times New Roman" w:cs="Times New Roman"/>
          <w:bCs/>
          <w:sz w:val="32"/>
          <w:szCs w:val="32"/>
        </w:rPr>
        <w:t>-маркетолог – истероид, который сможет создать яркую рекламную кампанию, привлечь внимание к приложению и создать позитивный имидж компании. С развитием стартапа появится должность бухгалтера, которая подойдет для гипотима. Для других проектов и целей могут быть другие комбинации типов акцентуаций.</w:t>
      </w:r>
    </w:p>
    <w:p w14:paraId="5FBD6DBB" w14:textId="77777777" w:rsidR="009F7DF4" w:rsidRPr="009F7DF4" w:rsidRDefault="009F7DF4" w:rsidP="009F7DF4">
      <w:pPr>
        <w:spacing w:after="0" w:line="240" w:lineRule="auto"/>
        <w:ind w:firstLine="567"/>
        <w:jc w:val="both"/>
        <w:rPr>
          <w:rFonts w:ascii="Times New Roman" w:eastAsia="Times New Roman" w:hAnsi="Times New Roman" w:cs="Times New Roman"/>
          <w:bCs/>
          <w:sz w:val="32"/>
          <w:szCs w:val="32"/>
        </w:rPr>
      </w:pPr>
      <w:r w:rsidRPr="009F7DF4">
        <w:rPr>
          <w:rFonts w:ascii="Times New Roman" w:eastAsia="Times New Roman" w:hAnsi="Times New Roman" w:cs="Times New Roman"/>
          <w:bCs/>
          <w:sz w:val="32"/>
          <w:szCs w:val="32"/>
        </w:rPr>
        <w:t xml:space="preserve">Таким образом, формирование и мотивирование команды на основе типов акцентуаций характера позволяет выбрать наиболее подходящего руководителя, собрать команду профессионалов так, чтобы им было комфортно работать друг с другом, и замотивировать каждого индивидуально. </w:t>
      </w:r>
    </w:p>
    <w:p w14:paraId="651FB545" w14:textId="77777777" w:rsidR="009F7DF4" w:rsidRPr="009F7DF4" w:rsidRDefault="009F7DF4" w:rsidP="009F7DF4">
      <w:pPr>
        <w:spacing w:after="0" w:line="240" w:lineRule="auto"/>
        <w:jc w:val="both"/>
        <w:rPr>
          <w:rFonts w:ascii="Times New Roman" w:eastAsia="Times New Roman" w:hAnsi="Times New Roman" w:cs="Times New Roman"/>
          <w:bCs/>
          <w:sz w:val="32"/>
          <w:szCs w:val="32"/>
        </w:rPr>
      </w:pPr>
    </w:p>
    <w:p w14:paraId="0C79F701" w14:textId="4842796C" w:rsidR="009F7DF4" w:rsidRPr="009F7DF4" w:rsidRDefault="00741B19" w:rsidP="00741B19">
      <w:pPr>
        <w:spacing w:after="0" w:line="240" w:lineRule="auto"/>
        <w:jc w:val="center"/>
        <w:rPr>
          <w:rFonts w:ascii="Times New Roman" w:eastAsia="Calibri" w:hAnsi="Times New Roman" w:cs="Times New Roman"/>
          <w:b/>
          <w:bCs/>
          <w:sz w:val="21"/>
          <w:szCs w:val="21"/>
        </w:rPr>
      </w:pPr>
      <w:r w:rsidRPr="00741B19">
        <w:rPr>
          <w:rFonts w:ascii="Times New Roman" w:eastAsia="Calibri" w:hAnsi="Times New Roman" w:cs="Times New Roman"/>
          <w:b/>
          <w:bCs/>
          <w:sz w:val="21"/>
          <w:szCs w:val="21"/>
        </w:rPr>
        <w:t>Литература:</w:t>
      </w:r>
    </w:p>
    <w:p w14:paraId="3E05A5A0" w14:textId="77777777" w:rsidR="009F7DF4" w:rsidRPr="009F7DF4" w:rsidRDefault="009F7DF4" w:rsidP="00741B19">
      <w:pPr>
        <w:spacing w:after="0" w:line="240" w:lineRule="auto"/>
        <w:jc w:val="both"/>
        <w:rPr>
          <w:rFonts w:ascii="Times New Roman" w:eastAsia="Calibri" w:hAnsi="Times New Roman" w:cs="Times New Roman"/>
          <w:sz w:val="21"/>
          <w:szCs w:val="21"/>
        </w:rPr>
      </w:pPr>
      <w:r w:rsidRPr="009F7DF4">
        <w:rPr>
          <w:rFonts w:ascii="Times New Roman" w:eastAsia="Calibri" w:hAnsi="Times New Roman" w:cs="Times New Roman"/>
          <w:sz w:val="21"/>
          <w:szCs w:val="21"/>
        </w:rPr>
        <w:t>1. Корниенко, В. И.  </w:t>
      </w:r>
      <w:proofErr w:type="gramStart"/>
      <w:r w:rsidRPr="009F7DF4">
        <w:rPr>
          <w:rFonts w:ascii="Times New Roman" w:eastAsia="Calibri" w:hAnsi="Times New Roman" w:cs="Times New Roman"/>
          <w:sz w:val="21"/>
          <w:szCs w:val="21"/>
        </w:rPr>
        <w:t>Командообразование :</w:t>
      </w:r>
      <w:proofErr w:type="gramEnd"/>
      <w:r w:rsidRPr="009F7DF4">
        <w:rPr>
          <w:rFonts w:ascii="Times New Roman" w:eastAsia="Calibri" w:hAnsi="Times New Roman" w:cs="Times New Roman"/>
          <w:sz w:val="21"/>
          <w:szCs w:val="21"/>
        </w:rPr>
        <w:t xml:space="preserve"> учебник для вузов / В. И. Корниенко. — </w:t>
      </w:r>
      <w:proofErr w:type="gramStart"/>
      <w:r w:rsidRPr="009F7DF4">
        <w:rPr>
          <w:rFonts w:ascii="Times New Roman" w:eastAsia="Calibri" w:hAnsi="Times New Roman" w:cs="Times New Roman"/>
          <w:sz w:val="21"/>
          <w:szCs w:val="21"/>
        </w:rPr>
        <w:t>Москва :</w:t>
      </w:r>
      <w:proofErr w:type="gramEnd"/>
      <w:r w:rsidRPr="009F7DF4">
        <w:rPr>
          <w:rFonts w:ascii="Times New Roman" w:eastAsia="Calibri" w:hAnsi="Times New Roman" w:cs="Times New Roman"/>
          <w:sz w:val="21"/>
          <w:szCs w:val="21"/>
        </w:rPr>
        <w:t xml:space="preserve"> Издательство Юрайт, 2025. — 291 с. — (Высшее образование). — ISBN 978-5-534-14723-0. — </w:t>
      </w:r>
      <w:proofErr w:type="gramStart"/>
      <w:r w:rsidRPr="009F7DF4">
        <w:rPr>
          <w:rFonts w:ascii="Times New Roman" w:eastAsia="Calibri" w:hAnsi="Times New Roman" w:cs="Times New Roman"/>
          <w:sz w:val="21"/>
          <w:szCs w:val="21"/>
        </w:rPr>
        <w:t>Текст :</w:t>
      </w:r>
      <w:proofErr w:type="gramEnd"/>
      <w:r w:rsidRPr="009F7DF4">
        <w:rPr>
          <w:rFonts w:ascii="Times New Roman" w:eastAsia="Calibri" w:hAnsi="Times New Roman" w:cs="Times New Roman"/>
          <w:sz w:val="21"/>
          <w:szCs w:val="21"/>
        </w:rPr>
        <w:t xml:space="preserve"> электронный // Образовательная платформа Юрайт [сайт]. — URL: </w:t>
      </w:r>
      <w:hyperlink r:id="rId305" w:tgtFrame="_blank" w:history="1">
        <w:r w:rsidRPr="009F7DF4">
          <w:rPr>
            <w:rFonts w:ascii="Times New Roman" w:eastAsia="Calibri" w:hAnsi="Times New Roman" w:cs="Times New Roman"/>
            <w:sz w:val="21"/>
            <w:szCs w:val="21"/>
          </w:rPr>
          <w:t>https://urait.ru/bcode/568047</w:t>
        </w:r>
      </w:hyperlink>
      <w:r w:rsidRPr="009F7DF4">
        <w:rPr>
          <w:rFonts w:ascii="Times New Roman" w:eastAsia="Calibri" w:hAnsi="Times New Roman" w:cs="Times New Roman"/>
          <w:sz w:val="21"/>
          <w:szCs w:val="21"/>
        </w:rPr>
        <w:t> (дата обращения: 08.05.2025)</w:t>
      </w:r>
    </w:p>
    <w:p w14:paraId="79AFB0CE" w14:textId="77777777" w:rsidR="009F7DF4" w:rsidRPr="009F7DF4" w:rsidRDefault="009F7DF4" w:rsidP="00741B19">
      <w:pPr>
        <w:spacing w:after="0" w:line="240" w:lineRule="auto"/>
        <w:jc w:val="both"/>
        <w:rPr>
          <w:rFonts w:ascii="Times New Roman" w:eastAsia="Calibri" w:hAnsi="Times New Roman" w:cs="Times New Roman"/>
          <w:sz w:val="21"/>
          <w:szCs w:val="21"/>
        </w:rPr>
      </w:pPr>
      <w:r w:rsidRPr="009F7DF4">
        <w:rPr>
          <w:rFonts w:ascii="Times New Roman" w:eastAsia="Calibri" w:hAnsi="Times New Roman" w:cs="Times New Roman"/>
          <w:sz w:val="21"/>
          <w:szCs w:val="21"/>
        </w:rPr>
        <w:t xml:space="preserve">2. 11 акцентуаций характера по А. Е. Личко </w:t>
      </w:r>
      <w:hyperlink r:id="rId306" w:history="1">
        <w:r w:rsidRPr="009F7DF4">
          <w:rPr>
            <w:rFonts w:ascii="Times New Roman" w:eastAsia="Calibri" w:hAnsi="Times New Roman" w:cs="Times New Roman"/>
            <w:color w:val="0000FF"/>
            <w:sz w:val="21"/>
            <w:szCs w:val="21"/>
            <w:u w:val="single"/>
          </w:rPr>
          <w:t>https://www.b17.ru/article/351764/</w:t>
        </w:r>
      </w:hyperlink>
    </w:p>
    <w:p w14:paraId="641ECC30" w14:textId="77777777" w:rsidR="009F7DF4" w:rsidRPr="009F7DF4" w:rsidRDefault="009F7DF4" w:rsidP="00741B19">
      <w:pPr>
        <w:spacing w:after="0" w:line="240" w:lineRule="auto"/>
        <w:jc w:val="both"/>
        <w:rPr>
          <w:rFonts w:ascii="Times New Roman" w:eastAsia="Calibri" w:hAnsi="Times New Roman" w:cs="Times New Roman"/>
          <w:sz w:val="21"/>
          <w:szCs w:val="21"/>
          <w:lang w:val="en-US"/>
        </w:rPr>
      </w:pPr>
      <w:r w:rsidRPr="009F7DF4">
        <w:rPr>
          <w:rFonts w:ascii="Times New Roman" w:eastAsia="Calibri" w:hAnsi="Times New Roman" w:cs="Times New Roman"/>
          <w:sz w:val="21"/>
          <w:szCs w:val="21"/>
        </w:rPr>
        <w:t xml:space="preserve">3. Психология </w:t>
      </w:r>
      <w:proofErr w:type="gramStart"/>
      <w:r w:rsidRPr="009F7DF4">
        <w:rPr>
          <w:rFonts w:ascii="Times New Roman" w:eastAsia="Calibri" w:hAnsi="Times New Roman" w:cs="Times New Roman"/>
          <w:sz w:val="21"/>
          <w:szCs w:val="21"/>
        </w:rPr>
        <w:t>характера :</w:t>
      </w:r>
      <w:proofErr w:type="gramEnd"/>
      <w:r w:rsidRPr="009F7DF4">
        <w:rPr>
          <w:rFonts w:ascii="Times New Roman" w:eastAsia="Calibri" w:hAnsi="Times New Roman" w:cs="Times New Roman"/>
          <w:sz w:val="21"/>
          <w:szCs w:val="21"/>
        </w:rPr>
        <w:t xml:space="preserve"> учебное пособие / Алтайский государственный университет ; сост.: М.В. Шамардина, И.А. Ральникова, Е.А. Петухова. – </w:t>
      </w:r>
      <w:proofErr w:type="gramStart"/>
      <w:r w:rsidRPr="009F7DF4">
        <w:rPr>
          <w:rFonts w:ascii="Times New Roman" w:eastAsia="Calibri" w:hAnsi="Times New Roman" w:cs="Times New Roman"/>
          <w:sz w:val="21"/>
          <w:szCs w:val="21"/>
        </w:rPr>
        <w:t>Барнаул :</w:t>
      </w:r>
      <w:proofErr w:type="gramEnd"/>
      <w:r w:rsidRPr="009F7DF4">
        <w:rPr>
          <w:rFonts w:ascii="Times New Roman" w:eastAsia="Calibri" w:hAnsi="Times New Roman" w:cs="Times New Roman"/>
          <w:sz w:val="21"/>
          <w:szCs w:val="21"/>
        </w:rPr>
        <w:t xml:space="preserve"> АлтГУ, 2020. – 1 СD-R (2,6 Мб). – Систем. требования: Intel Pentium 1,6 GHz и </w:t>
      </w:r>
      <w:proofErr w:type="gramStart"/>
      <w:r w:rsidRPr="009F7DF4">
        <w:rPr>
          <w:rFonts w:ascii="Times New Roman" w:eastAsia="Calibri" w:hAnsi="Times New Roman" w:cs="Times New Roman"/>
          <w:sz w:val="21"/>
          <w:szCs w:val="21"/>
        </w:rPr>
        <w:t>более ;</w:t>
      </w:r>
      <w:proofErr w:type="gramEnd"/>
      <w:r w:rsidRPr="009F7DF4">
        <w:rPr>
          <w:rFonts w:ascii="Times New Roman" w:eastAsia="Calibri" w:hAnsi="Times New Roman" w:cs="Times New Roman"/>
          <w:sz w:val="21"/>
          <w:szCs w:val="21"/>
        </w:rPr>
        <w:t xml:space="preserve"> 512 Мб (RAM) ; Microsoft Windows 7 и выше ; Adobe Reader. – Загл. с титул. экрана. – </w:t>
      </w:r>
      <w:proofErr w:type="gramStart"/>
      <w:r w:rsidRPr="009F7DF4">
        <w:rPr>
          <w:rFonts w:ascii="Times New Roman" w:eastAsia="Calibri" w:hAnsi="Times New Roman" w:cs="Times New Roman"/>
          <w:sz w:val="21"/>
          <w:szCs w:val="21"/>
        </w:rPr>
        <w:t>Текст :</w:t>
      </w:r>
      <w:proofErr w:type="gramEnd"/>
      <w:r w:rsidRPr="009F7DF4">
        <w:rPr>
          <w:rFonts w:ascii="Times New Roman" w:eastAsia="Calibri" w:hAnsi="Times New Roman" w:cs="Times New Roman"/>
          <w:sz w:val="21"/>
          <w:szCs w:val="21"/>
        </w:rPr>
        <w:t xml:space="preserve"> электронный. </w:t>
      </w:r>
      <w:r w:rsidRPr="009F7DF4">
        <w:rPr>
          <w:rFonts w:ascii="Times New Roman" w:eastAsia="Calibri" w:hAnsi="Times New Roman" w:cs="Times New Roman"/>
          <w:sz w:val="21"/>
          <w:szCs w:val="21"/>
          <w:lang w:val="en-US"/>
        </w:rPr>
        <w:t>URL: http://elibrary.asu.ru/xmlui/bitstream/handle/asu/8747/book.pdf</w:t>
      </w:r>
    </w:p>
    <w:p w14:paraId="09132D04" w14:textId="77777777" w:rsidR="009F7DF4" w:rsidRPr="000F343E" w:rsidRDefault="009F7DF4" w:rsidP="00067100">
      <w:pPr>
        <w:spacing w:after="0" w:line="240" w:lineRule="auto"/>
        <w:ind w:firstLine="709"/>
        <w:jc w:val="both"/>
        <w:rPr>
          <w:rFonts w:ascii="Times New Roman" w:eastAsia="Calibri" w:hAnsi="Times New Roman" w:cs="Times New Roman"/>
          <w:b/>
          <w:bCs/>
          <w:i/>
          <w:iCs/>
          <w:sz w:val="21"/>
          <w:szCs w:val="21"/>
          <w:lang w:val="en-US"/>
        </w:rPr>
      </w:pPr>
    </w:p>
    <w:p w14:paraId="42161E55" w14:textId="77777777" w:rsidR="009F7DF4" w:rsidRPr="000F343E" w:rsidRDefault="009F7DF4" w:rsidP="00067100">
      <w:pPr>
        <w:spacing w:after="0" w:line="240" w:lineRule="auto"/>
        <w:ind w:firstLine="709"/>
        <w:jc w:val="both"/>
        <w:rPr>
          <w:rFonts w:ascii="Times New Roman" w:eastAsia="Calibri" w:hAnsi="Times New Roman" w:cs="Times New Roman"/>
          <w:b/>
          <w:bCs/>
          <w:i/>
          <w:iCs/>
          <w:sz w:val="21"/>
          <w:szCs w:val="21"/>
          <w:lang w:val="en-US"/>
        </w:rPr>
      </w:pPr>
    </w:p>
    <w:p w14:paraId="2B94500B" w14:textId="77777777" w:rsidR="00877DE5" w:rsidRPr="00877DE5" w:rsidRDefault="00877DE5" w:rsidP="007C0A70">
      <w:pPr>
        <w:suppressAutoHyphens/>
        <w:spacing w:after="0" w:line="240" w:lineRule="auto"/>
        <w:jc w:val="both"/>
        <w:rPr>
          <w:rFonts w:ascii="Times New Roman" w:eastAsia="Times New Roman" w:hAnsi="Times New Roman" w:cs="Times New Roman"/>
          <w:b/>
          <w:color w:val="000000"/>
          <w:sz w:val="21"/>
          <w:szCs w:val="21"/>
          <w:lang w:eastAsia="ar-SA"/>
        </w:rPr>
      </w:pPr>
      <w:r w:rsidRPr="00877DE5">
        <w:rPr>
          <w:rFonts w:ascii="Times New Roman" w:eastAsia="Times New Roman" w:hAnsi="Times New Roman" w:cs="Times New Roman"/>
          <w:b/>
          <w:color w:val="000000"/>
          <w:sz w:val="21"/>
          <w:szCs w:val="21"/>
          <w:lang w:eastAsia="ar-SA"/>
        </w:rPr>
        <w:t xml:space="preserve">УДК 339.138 </w:t>
      </w:r>
    </w:p>
    <w:p w14:paraId="73CF7BC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0"/>
          <w:szCs w:val="21"/>
          <w:lang w:eastAsia="ar-SA"/>
        </w:rPr>
        <w:t>Ильина Г.Ю.</w:t>
      </w:r>
      <w:r w:rsidRPr="00877DE5">
        <w:rPr>
          <w:rFonts w:ascii="Times New Roman" w:eastAsia="Times New Roman" w:hAnsi="Times New Roman" w:cs="Times New Roman"/>
          <w:b/>
          <w:i/>
          <w:color w:val="000000"/>
          <w:sz w:val="21"/>
          <w:szCs w:val="21"/>
          <w:lang w:eastAsia="ar-SA"/>
        </w:rPr>
        <w:t xml:space="preserve">, </w:t>
      </w:r>
    </w:p>
    <w:p w14:paraId="79CB7912"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0DF09F5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г. Краснодар, Россия</w:t>
      </w:r>
    </w:p>
    <w:p w14:paraId="631E0441"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rPr>
      </w:pPr>
    </w:p>
    <w:p w14:paraId="1196132C" w14:textId="77777777" w:rsidR="00877DE5" w:rsidRPr="00877DE5" w:rsidRDefault="00877DE5" w:rsidP="00067100">
      <w:pPr>
        <w:spacing w:after="200" w:line="240" w:lineRule="auto"/>
        <w:ind w:left="-567" w:right="-1" w:firstLine="709"/>
        <w:contextualSpacing/>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Научный руководитель:</w:t>
      </w:r>
    </w:p>
    <w:p w14:paraId="456A457E" w14:textId="77777777" w:rsidR="00877DE5" w:rsidRPr="006B21EF" w:rsidRDefault="00877DE5" w:rsidP="00067100">
      <w:pPr>
        <w:spacing w:after="200" w:line="240" w:lineRule="auto"/>
        <w:ind w:left="-567" w:right="-1" w:firstLine="709"/>
        <w:contextualSpacing/>
        <w:jc w:val="right"/>
        <w:rPr>
          <w:rFonts w:ascii="Times New Roman" w:eastAsia="Calibri" w:hAnsi="Times New Roman" w:cs="Times New Roman"/>
          <w:b/>
          <w:i/>
          <w:sz w:val="21"/>
          <w:szCs w:val="21"/>
        </w:rPr>
      </w:pPr>
      <w:r w:rsidRPr="006B21EF">
        <w:rPr>
          <w:rFonts w:ascii="Times New Roman" w:eastAsia="Calibri" w:hAnsi="Times New Roman" w:cs="Times New Roman"/>
          <w:b/>
          <w:i/>
          <w:sz w:val="21"/>
          <w:szCs w:val="21"/>
        </w:rPr>
        <w:t>Константиниди Х.А.,</w:t>
      </w:r>
    </w:p>
    <w:p w14:paraId="18F8C9B1" w14:textId="77777777" w:rsidR="00877DE5" w:rsidRPr="00877DE5" w:rsidRDefault="00877DE5" w:rsidP="00067100">
      <w:pPr>
        <w:spacing w:after="20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 xml:space="preserve"> доцент, д.э.н.</w:t>
      </w:r>
    </w:p>
    <w:p w14:paraId="1B5E59C1" w14:textId="77777777" w:rsidR="00877DE5" w:rsidRPr="00877DE5" w:rsidRDefault="00877DE5" w:rsidP="00067100">
      <w:pPr>
        <w:spacing w:after="20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Финансовый университет при Правительстве Российской Федерации</w:t>
      </w:r>
    </w:p>
    <w:p w14:paraId="0DA5FB69" w14:textId="77777777" w:rsidR="00877DE5" w:rsidRPr="00877DE5" w:rsidRDefault="00877DE5" w:rsidP="00067100">
      <w:pPr>
        <w:spacing w:after="20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г. Краснодар, Россия</w:t>
      </w:r>
    </w:p>
    <w:p w14:paraId="33AAAAC2" w14:textId="77777777" w:rsidR="00877DE5" w:rsidRPr="00877DE5" w:rsidRDefault="00877DE5" w:rsidP="00067100">
      <w:pPr>
        <w:spacing w:after="20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е-mail: kx81@mail.ru</w:t>
      </w:r>
    </w:p>
    <w:p w14:paraId="3565B67C"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sz w:val="21"/>
          <w:szCs w:val="21"/>
          <w:lang w:eastAsia="ar-SA"/>
        </w:rPr>
      </w:pPr>
    </w:p>
    <w:p w14:paraId="1A167D01"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eastAsia="ar-SA"/>
        </w:rPr>
        <w:t>Роль цифрового маркетинга в повышении конкурентоспособности предприятия</w:t>
      </w:r>
    </w:p>
    <w:p w14:paraId="6BC64D8D" w14:textId="77777777" w:rsidR="00877DE5" w:rsidRPr="00877DE5" w:rsidRDefault="00877DE5" w:rsidP="00067100">
      <w:pPr>
        <w:spacing w:after="0" w:line="240" w:lineRule="auto"/>
        <w:ind w:firstLine="709"/>
        <w:jc w:val="both"/>
        <w:rPr>
          <w:rFonts w:ascii="Times New Roman" w:eastAsia="Times New Roman" w:hAnsi="Times New Roman" w:cs="Times New Roman"/>
          <w:i/>
          <w:sz w:val="21"/>
          <w:szCs w:val="21"/>
          <w:shd w:val="clear" w:color="auto" w:fill="00FFFF"/>
        </w:rPr>
      </w:pPr>
    </w:p>
    <w:p w14:paraId="319A1149"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rPr>
      </w:pPr>
      <w:r w:rsidRPr="00877DE5">
        <w:rPr>
          <w:rFonts w:ascii="Times New Roman" w:eastAsia="Times New Roman" w:hAnsi="Times New Roman" w:cs="Times New Roman"/>
          <w:b/>
          <w:sz w:val="21"/>
          <w:szCs w:val="21"/>
        </w:rPr>
        <w:t>Аннотация:</w:t>
      </w:r>
      <w:r w:rsidRPr="00877DE5">
        <w:rPr>
          <w:rFonts w:ascii="Times New Roman" w:eastAsia="Times New Roman" w:hAnsi="Times New Roman" w:cs="Times New Roman"/>
          <w:i/>
          <w:sz w:val="21"/>
          <w:szCs w:val="21"/>
        </w:rPr>
        <w:t xml:space="preserve"> </w:t>
      </w:r>
      <w:r w:rsidRPr="00877DE5">
        <w:rPr>
          <w:rFonts w:ascii="Times New Roman" w:eastAsia="Times New Roman" w:hAnsi="Times New Roman" w:cs="Times New Roman"/>
          <w:sz w:val="21"/>
          <w:szCs w:val="21"/>
        </w:rPr>
        <w:t xml:space="preserve">В статье представлен комплексный анализ конкурентной среды на российском рынке оконных конструкций. Исследуются основные тенденции развития рынка, проводится оценка конкурентных преимуществ участников, анализируются стратегии компаний и перспективы развития отрасли. </w:t>
      </w:r>
    </w:p>
    <w:p w14:paraId="7E95E91E"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rPr>
      </w:pPr>
      <w:r w:rsidRPr="00877DE5">
        <w:rPr>
          <w:rFonts w:ascii="Times New Roman" w:eastAsia="Times New Roman" w:hAnsi="Times New Roman" w:cs="Times New Roman"/>
          <w:b/>
          <w:sz w:val="21"/>
          <w:szCs w:val="21"/>
        </w:rPr>
        <w:t>Ключевые слова:</w:t>
      </w:r>
      <w:r w:rsidRPr="00877DE5">
        <w:rPr>
          <w:rFonts w:ascii="Times New Roman" w:eastAsia="Times New Roman" w:hAnsi="Times New Roman" w:cs="Times New Roman"/>
          <w:sz w:val="21"/>
          <w:szCs w:val="21"/>
        </w:rPr>
        <w:t xml:space="preserve"> исследование влияния digital-инструментов (SMM, SEO, таргетированная реклама) на конкурентные преимущества компании, кейсы успешных стратегий. </w:t>
      </w:r>
    </w:p>
    <w:p w14:paraId="581D2EAA"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rPr>
      </w:pPr>
    </w:p>
    <w:p w14:paraId="729418E1"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val="en-US"/>
        </w:rPr>
      </w:pPr>
      <w:r w:rsidRPr="00877DE5">
        <w:rPr>
          <w:rFonts w:ascii="Times New Roman" w:eastAsia="Times New Roman" w:hAnsi="Times New Roman" w:cs="Times New Roman"/>
          <w:b/>
          <w:sz w:val="21"/>
          <w:szCs w:val="21"/>
          <w:lang w:val="en-US"/>
        </w:rPr>
        <w:t>The role of digital marketing in improving enterprise competitiveness</w:t>
      </w:r>
    </w:p>
    <w:p w14:paraId="368B69DF" w14:textId="77777777" w:rsidR="00877DE5" w:rsidRPr="00877DE5" w:rsidRDefault="00877DE5" w:rsidP="00067100">
      <w:pPr>
        <w:spacing w:after="0" w:line="240" w:lineRule="auto"/>
        <w:ind w:firstLine="709"/>
        <w:jc w:val="both"/>
        <w:rPr>
          <w:rFonts w:ascii="Times New Roman" w:eastAsia="Times New Roman" w:hAnsi="Times New Roman" w:cs="Times New Roman"/>
          <w:b/>
          <w:sz w:val="21"/>
          <w:szCs w:val="21"/>
          <w:lang w:val="en-US"/>
        </w:rPr>
      </w:pPr>
    </w:p>
    <w:p w14:paraId="1D696CDA"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lang w:val="en-US"/>
        </w:rPr>
      </w:pPr>
      <w:r w:rsidRPr="00877DE5">
        <w:rPr>
          <w:rFonts w:ascii="Times New Roman" w:eastAsia="Times New Roman" w:hAnsi="Times New Roman" w:cs="Times New Roman"/>
          <w:b/>
          <w:sz w:val="21"/>
          <w:szCs w:val="21"/>
          <w:lang w:val="en-US"/>
        </w:rPr>
        <w:t xml:space="preserve">Abstract: </w:t>
      </w:r>
      <w:r w:rsidRPr="00877DE5">
        <w:rPr>
          <w:rFonts w:ascii="Times New Roman" w:eastAsia="Times New Roman" w:hAnsi="Times New Roman" w:cs="Times New Roman"/>
          <w:sz w:val="21"/>
          <w:szCs w:val="21"/>
          <w:lang w:val="en-US"/>
        </w:rPr>
        <w:t>The article presents a comprehensive analysis of the competitive environment in the Russian window construction market. The main trends in market development are studied, the competitive advantages of participants are assessed, company strategies and industry development prospects are analyzed.</w:t>
      </w:r>
    </w:p>
    <w:p w14:paraId="70819CB1" w14:textId="77777777" w:rsidR="00877DE5" w:rsidRPr="00877DE5" w:rsidRDefault="00877DE5" w:rsidP="00067100">
      <w:pPr>
        <w:spacing w:after="0" w:line="240" w:lineRule="auto"/>
        <w:ind w:firstLine="709"/>
        <w:jc w:val="both"/>
        <w:rPr>
          <w:rFonts w:ascii="Times New Roman" w:eastAsia="Calibri" w:hAnsi="Times New Roman" w:cs="Times New Roman"/>
          <w:b/>
          <w:bCs/>
          <w:i/>
          <w:iCs/>
          <w:sz w:val="21"/>
          <w:szCs w:val="21"/>
          <w:lang w:val="en-US"/>
        </w:rPr>
      </w:pPr>
      <w:r w:rsidRPr="00877DE5">
        <w:rPr>
          <w:rFonts w:ascii="Times New Roman" w:eastAsia="Times New Roman" w:hAnsi="Times New Roman" w:cs="Times New Roman"/>
          <w:b/>
          <w:sz w:val="21"/>
          <w:szCs w:val="21"/>
          <w:lang w:val="en-US"/>
        </w:rPr>
        <w:t xml:space="preserve">Keywords: </w:t>
      </w:r>
      <w:r w:rsidRPr="00877DE5">
        <w:rPr>
          <w:rFonts w:ascii="Times New Roman" w:eastAsia="Times New Roman" w:hAnsi="Times New Roman" w:cs="Times New Roman"/>
          <w:sz w:val="21"/>
          <w:szCs w:val="21"/>
          <w:lang w:val="en-US"/>
        </w:rPr>
        <w:t>study of the influence of digital tools (SMM, SEO, targeted advertising) on the competitive advantages of a company, cases of successful strategies.</w:t>
      </w:r>
    </w:p>
    <w:p w14:paraId="376526AA" w14:textId="77777777" w:rsidR="00877DE5" w:rsidRPr="00877DE5" w:rsidRDefault="00877DE5" w:rsidP="00067100">
      <w:pPr>
        <w:spacing w:after="0" w:line="240" w:lineRule="auto"/>
        <w:ind w:firstLine="709"/>
        <w:jc w:val="both"/>
        <w:rPr>
          <w:rFonts w:ascii="Times New Roman" w:eastAsia="Calibri" w:hAnsi="Times New Roman" w:cs="Times New Roman"/>
          <w:b/>
          <w:bCs/>
          <w:i/>
          <w:iCs/>
          <w:sz w:val="21"/>
          <w:szCs w:val="21"/>
          <w:lang w:val="en-US"/>
        </w:rPr>
      </w:pPr>
    </w:p>
    <w:p w14:paraId="3E89250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современных условиях цифровой трансформации экономики роль цифрового маркетинга в развитии бизнеса существенно возрастает. Особенно это актуально для малого и среднего предпринимательства, где грамотная маркетинговая стратегия может стать ключевым фактором успеха.</w:t>
      </w:r>
    </w:p>
    <w:p w14:paraId="2E5EF64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bCs/>
          <w:sz w:val="32"/>
          <w:szCs w:val="32"/>
        </w:rPr>
        <w:t>Актуальность данного исследования</w:t>
      </w:r>
      <w:r w:rsidRPr="00877DE5">
        <w:rPr>
          <w:rFonts w:ascii="Times New Roman" w:eastAsia="Calibri" w:hAnsi="Times New Roman" w:cs="Times New Roman"/>
          <w:sz w:val="32"/>
          <w:szCs w:val="32"/>
        </w:rPr>
        <w:t xml:space="preserve"> обусловлена стремительной цифровизацией экономики и трансформацией маркетинговых стратегий современных предприятий. В условиях острой конкуренции на рынке оконных конструкций и постоянно меняющихся потребительских предпочтений роль цифрового маркетинга как инструмента повышения конкурентоспособности бизнеса существенно возрастает.</w:t>
      </w:r>
    </w:p>
    <w:p w14:paraId="0C1BE9F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Кроме того, исследование особенно важно в контексте развития региональной экономики, где компании сталкиваются с необходимостью адаптации глобальных маркетинговых стратегий под специфику местного рынка. Опыт компании «Орас» демонстрирует, как правильно выстроенная цифровая стратегия может помочь </w:t>
      </w:r>
      <w:r w:rsidRPr="00877DE5">
        <w:rPr>
          <w:rFonts w:ascii="Times New Roman" w:eastAsia="Calibri" w:hAnsi="Times New Roman" w:cs="Times New Roman"/>
          <w:sz w:val="32"/>
          <w:szCs w:val="32"/>
        </w:rPr>
        <w:lastRenderedPageBreak/>
        <w:t>региональному производителю успешно конкурировать с федеральными игроками рынка.</w:t>
      </w:r>
    </w:p>
    <w:p w14:paraId="25EBD4E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bCs/>
          <w:sz w:val="32"/>
          <w:szCs w:val="32"/>
        </w:rPr>
        <w:t>Цель исследования</w:t>
      </w:r>
      <w:r w:rsidRPr="00877DE5">
        <w:rPr>
          <w:rFonts w:ascii="Times New Roman" w:eastAsia="Calibri" w:hAnsi="Times New Roman" w:cs="Times New Roman"/>
          <w:sz w:val="32"/>
          <w:szCs w:val="32"/>
        </w:rPr>
        <w:t xml:space="preserve"> заключается в комплексном анализе влияния цифровых маркетинговых инструментов на повышение конкурентоспособности предприятия на примере компании «Орас» и разработке практических рекомендаций по оптимизации маркетинговой стратегии в условиях цифровой трансформации рынка.</w:t>
      </w:r>
    </w:p>
    <w:p w14:paraId="6353FE9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Особую значимость исследование приобретает в контексте развития малого и среднего предпринимательства, где эффективное использование цифровых инструментов может стать решающим фактором выживания и развития компании. В современных условиях традиционные методы продвижения уже недостаточно эффективны, что делает необходимым переход к комплексным цифровым решениям.</w:t>
      </w:r>
    </w:p>
    <w:p w14:paraId="285A7159" w14:textId="77777777" w:rsidR="00877DE5" w:rsidRPr="00877DE5" w:rsidRDefault="00877DE5" w:rsidP="00067100">
      <w:pPr>
        <w:spacing w:after="0" w:line="240" w:lineRule="auto"/>
        <w:ind w:firstLine="709"/>
        <w:jc w:val="center"/>
        <w:rPr>
          <w:rFonts w:ascii="Times New Roman" w:eastAsia="Calibri" w:hAnsi="Times New Roman" w:cs="Times New Roman"/>
          <w:bCs/>
          <w:sz w:val="32"/>
          <w:szCs w:val="32"/>
        </w:rPr>
      </w:pPr>
      <w:r w:rsidRPr="00877DE5">
        <w:rPr>
          <w:rFonts w:ascii="Times New Roman" w:eastAsia="Calibri" w:hAnsi="Times New Roman" w:cs="Times New Roman"/>
          <w:bCs/>
          <w:sz w:val="32"/>
          <w:szCs w:val="32"/>
        </w:rPr>
        <w:t>1. Общая характеристика предприятия</w:t>
      </w:r>
    </w:p>
    <w:p w14:paraId="30BB274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Данное исследование базируется на анализе статистических данных компании «Орас», опросах клиентов и изучении эффективности различных каналов продвижения за период 2020-2024 годов. В 2004 году компания «ОРАС» стала пионером на юге России в области производства ПВХ-профилей для оконных и дверных конструкций. Разработанная с применением передовых зарубежных технологий, профильная система «ОРАС» представляет собой комплексный набор базовых и дополнительных профилей для изготовления окон и дверей.</w:t>
      </w:r>
    </w:p>
    <w:p w14:paraId="16DF386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Производство осуществляется на высокотехнологичном оборудовании от ведущих мировых производителей: немецкого концерна «Krauss Maffei» и австрийской компании «А + G extrusion technology gmbh». На текущий момент производственная линейка включает свыше 70 различных модификаций профилей, среди которых представлены серии ОРАС 58, ОРАС 60 и ОРАС 70.</w:t>
      </w:r>
    </w:p>
    <w:p w14:paraId="0C84485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Особого внимания заслуживает процесс разработки геометрии и дизайна профилей, который был осуществлен австрийской компанией «Gruber&amp;СО». При создании новой системы были интегрированы лучшие решения из уже зарекомендовавших себя профильных систем.</w:t>
      </w:r>
    </w:p>
    <w:p w14:paraId="49D8524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Отличительной особенностью профиля «ОРАС» является его универсальность – он позволяет архитекторам и проектировщикам эффективно использовать его при работе с различными архитектурными задачами, статическими нагрузками и требованиями теплотехники в самых разных климатических условиях. Это делает </w:t>
      </w:r>
      <w:r w:rsidRPr="00877DE5">
        <w:rPr>
          <w:rFonts w:ascii="Times New Roman" w:eastAsia="Calibri" w:hAnsi="Times New Roman" w:cs="Times New Roman"/>
          <w:sz w:val="32"/>
          <w:szCs w:val="32"/>
        </w:rPr>
        <w:lastRenderedPageBreak/>
        <w:t>продукцию компании, востребованной в различных регионах и климатических зонах.</w:t>
      </w:r>
    </w:p>
    <w:p w14:paraId="0AD84BE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Компания «Орас» специализируется на производстве и установке окон, дверей и алюминиевых конструкций в городе Краснодар. За последние три года предприятие продемонстрировало впечатляющие результаты развития: рост клиентской базы составил 45%, увеличился средний чек на 28%, а узнаваемость бренда выросла на 65%.</w:t>
      </w:r>
    </w:p>
    <w:p w14:paraId="26E3960F" w14:textId="77777777" w:rsidR="00877DE5" w:rsidRPr="00877DE5" w:rsidRDefault="00877DE5" w:rsidP="00067100">
      <w:pPr>
        <w:spacing w:after="0" w:line="240" w:lineRule="auto"/>
        <w:ind w:firstLine="709"/>
        <w:jc w:val="center"/>
        <w:rPr>
          <w:rFonts w:ascii="Times New Roman" w:eastAsia="Calibri" w:hAnsi="Times New Roman" w:cs="Times New Roman"/>
          <w:bCs/>
          <w:sz w:val="32"/>
          <w:szCs w:val="32"/>
        </w:rPr>
      </w:pPr>
      <w:r w:rsidRPr="00877DE5">
        <w:rPr>
          <w:rFonts w:ascii="Times New Roman" w:eastAsia="Calibri" w:hAnsi="Times New Roman" w:cs="Times New Roman"/>
          <w:bCs/>
          <w:sz w:val="32"/>
          <w:szCs w:val="32"/>
        </w:rPr>
        <w:t>2. Маркетинговые стратегии компании ООО «Орас»</w:t>
      </w:r>
    </w:p>
    <w:p w14:paraId="0400947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Цифровой маркетинг представляет собой комплекс взаимосвязанных инструментов онлайн-продвижения, включающий контент-маркетинг, email-рассылки, таргетированную рекламу, SEO-оптимизацию и SMM-продвижение. Каждый из этих инструментов вносит существенный вклад в общую эффективность маркетинговой стратегии предприятия.</w:t>
      </w:r>
    </w:p>
    <w:p w14:paraId="254B8879"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Анализ применения цифровых инструментов в маркетинговой стратегии «Орас» показывает высокую эффективность их использования. Контекстная реклама демонстрирует конверсию 12% при ROI 350%. Социальные сети обеспечивают 30% входящего трафика, а email-маркетинг показывает впечатляющую открываемость писем на уровне 42%. Оптимизированный под поисковые системы сайт компании обеспечивает стабильный органический трафик.</w:t>
      </w:r>
    </w:p>
    <w:p w14:paraId="5DBF402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Результаты внедрения комплексного цифрового маркетинга в деятельность компании «Орас» свидетельствуют о значительном повышении её конкурентоспособности. Наблюдается рост онлайн-заявок на 180%, при этом стоимость привлечения клиента снизилась на 45%. Средний чек увеличился на 25%, а уровень лояльности клиентов вырос на 55%.</w:t>
      </w:r>
    </w:p>
    <w:p w14:paraId="0D0C185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Однако процесс цифровизации маркетинга сопряжен с определенными вызовами. Компания сталкивается с необходимостью постоянного обновления контента, острой конкуренцией за внимание аудитории и сложностями в отслеживании эффективности некоторых каналов продвижения.</w:t>
      </w:r>
    </w:p>
    <w:p w14:paraId="240EA01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Внедрение комплексного цифрового маркетинга позволило компании «Орас» значительно повысить свою конкурентоспособность. Цифровые инструменты обеспечили устойчивый рост продаж, расширение клиентской базы и повышение узнаваемости бренда. Для дальнейшего развития рекомендуется проводить регулярный аудит эффективности маркетинговых каналов, интегрировать различные инструменты цифрового маркетинга, </w:t>
      </w:r>
      <w:r w:rsidRPr="00877DE5">
        <w:rPr>
          <w:rFonts w:ascii="Times New Roman" w:eastAsia="Calibri" w:hAnsi="Times New Roman" w:cs="Times New Roman"/>
          <w:sz w:val="32"/>
          <w:szCs w:val="32"/>
        </w:rPr>
        <w:lastRenderedPageBreak/>
        <w:t>фокусироваться на качестве клиентского опыта и использовать аналитические данные для принятия управленческих решений.</w:t>
      </w:r>
    </w:p>
    <w:p w14:paraId="60206E11" w14:textId="77777777" w:rsidR="00877DE5" w:rsidRPr="00877DE5" w:rsidRDefault="00877DE5" w:rsidP="00067100">
      <w:pPr>
        <w:spacing w:after="0" w:line="240" w:lineRule="auto"/>
        <w:ind w:firstLine="709"/>
        <w:jc w:val="center"/>
        <w:rPr>
          <w:rFonts w:ascii="Times New Roman" w:eastAsia="Calibri" w:hAnsi="Times New Roman" w:cs="Times New Roman"/>
          <w:bCs/>
          <w:sz w:val="32"/>
          <w:szCs w:val="32"/>
        </w:rPr>
      </w:pPr>
      <w:r w:rsidRPr="00877DE5">
        <w:rPr>
          <w:rFonts w:ascii="Times New Roman" w:eastAsia="Calibri" w:hAnsi="Times New Roman" w:cs="Times New Roman"/>
          <w:bCs/>
          <w:sz w:val="32"/>
          <w:szCs w:val="32"/>
        </w:rPr>
        <w:t>3. Роль цифрового маркетинга в повышении конкурентоспособности предприятия</w:t>
      </w:r>
    </w:p>
    <w:p w14:paraId="572B689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современных условиях цифровой трансформации экономики роль цифрового маркетинга в развитии бизнеса существенно возрастает. Особенно это актуально для малого и среднего предпринимательства, где грамотная маркетинговая стратегия может стать ключевым фактором успеха.</w:t>
      </w:r>
    </w:p>
    <w:p w14:paraId="3758C166"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Данное исследование базируется на анализе статистических данных компании «Орас», опросах клиентов и изучении эффективности различных каналов продвижения за период 2020-2024 годов. Компания «Орас» специализируется на производстве и установке окон, дверей и алюминиевых конструкций в городе Краснодар. За последние три года предприятие продемонстрировало впечатляющие результаты развития.</w:t>
      </w:r>
    </w:p>
    <w:p w14:paraId="63003DA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Однако процесс цифровизации маркетинга сопряжен с определенными вызовами. Компания сталкивается с необходимостью постоянного обновления контента, острой конкуренцией за внимание аудитории и сложностями в отслеживании эффективности некоторых каналов продвижения.</w:t>
      </w:r>
    </w:p>
    <w:p w14:paraId="1B49C9BF"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Внедрение комплексного цифрового маркетинга позволило компании «Орас» значительно повысить свою конкурентоспособность. Цифровые инструменты обеспечили устойчивый рост продаж, расширение клиентской базы и повышение узнаваемости бренда. Для дальнейшего развития рекомендуется проводить регулярный аудит эффективности маркетинговых каналов, интегрировать различные инструменты цифрового маркетинга, фокусироваться на качестве клиентского опыта и использовать аналитические данные для принятия управленческих решений.</w:t>
      </w:r>
    </w:p>
    <w:p w14:paraId="78CD5FF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Особое внимание в стратегии компании уделяется работе с клиентскими отзывами и обратной связью. Благодаря активному использованию социальных сетей и специализированных площадок для отзывов, «Орас» удалось создать положительный имидж надежного производителя оконных конструкций. Регулярные опросы удовлетворенности клиентов и оперативное реагирование на замечания позволили повысить качество обслуживания и укрепить позиции на рынке.</w:t>
      </w:r>
    </w:p>
    <w:p w14:paraId="79E6FCFD"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Важным элементом маркетинговой стратегии стало внедрение системы персонализации коммуникации с клиентами. На основе анализа поведения пользователей на сайте и в социальных сетях компания формирует индивидуальные предложения, что значительно повышает конверсию. Email-рассылки теперь включают не только информацию о новых продуктах и акциях, но и персональные рекомендации, основанные на предыдущих покупках клиента.</w:t>
      </w:r>
    </w:p>
    <w:p w14:paraId="2D845EB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Компания также активно использует инструменты аналитики для оптимизации маркетинговых кампаний. Благодаря детальному анализу поведения пользователей и эффективности различных каналов продвижения, удается своевременно корректировать стратегию и перераспределять маркетинговый бюджет. Это позволяет максимизировать отдачу от каждого вложенного рубля в продвижение.</w:t>
      </w:r>
    </w:p>
    <w:p w14:paraId="4A3330A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условиях растущей конкуренции на рынке оконных конструкций цифровой маркетинг становится не просто дополнительным инструментом продвижения, а неотъемлемой частью бизнес-стратегии компании. Интеграция онлайн и офлайн каналов коммуникации, использование современных технологий анализа данных и персонализации взаимодействия с клиентами позволяет «Орас» удерживать лидирующие позиции на рынке Краснодара.</w:t>
      </w:r>
    </w:p>
    <w:p w14:paraId="28DD84A1" w14:textId="77777777" w:rsidR="00877DE5" w:rsidRPr="00877DE5" w:rsidRDefault="00877DE5" w:rsidP="00067100">
      <w:pPr>
        <w:spacing w:after="0" w:line="240" w:lineRule="auto"/>
        <w:ind w:firstLine="709"/>
        <w:jc w:val="center"/>
        <w:rPr>
          <w:rFonts w:ascii="Times New Roman" w:eastAsia="Calibri" w:hAnsi="Times New Roman" w:cs="Times New Roman"/>
          <w:bCs/>
          <w:sz w:val="32"/>
          <w:szCs w:val="32"/>
        </w:rPr>
      </w:pPr>
      <w:r w:rsidRPr="00877DE5">
        <w:rPr>
          <w:rFonts w:ascii="Times New Roman" w:eastAsia="Calibri" w:hAnsi="Times New Roman" w:cs="Times New Roman"/>
          <w:bCs/>
          <w:sz w:val="32"/>
          <w:szCs w:val="32"/>
        </w:rPr>
        <w:t>Выводы</w:t>
      </w:r>
    </w:p>
    <w:p w14:paraId="5535DCC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Опыт компании «Орас» наглядно демонстрирует, что в современных условиях цифровой трансформации экономики успешное развитие бизнеса невозможно без активного использования инструментов цифрового маркетинга. Грамотно выстроенная маркетинговая стратегия, основанная на комплексном подходе к продвижению и постоянном совершенствовании используемых инструментов, становится ключевым фактором конкурентоспособности предприятия.</w:t>
      </w:r>
    </w:p>
    <w:p w14:paraId="0E643C7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Перспективы дальнейшего развития компании связаны с расширением использования искусственного интеллекта для анализа клиентского поведения, внедрением чат-ботов для автоматизации коммуникации с клиентами и развитием омниканального подхода к взаимодействию с потребителями. Это позволит еще больше повысить эффективность маркетинговых кампаний и укрепить позиции компании на рынке.</w:t>
      </w:r>
    </w:p>
    <w:p w14:paraId="366FE66A"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Таким образом, опыт компании «Орас» наглядно демонстрирует, что грамотно выстроенная стратегия цифрового маркетинга является </w:t>
      </w:r>
      <w:r w:rsidRPr="00877DE5">
        <w:rPr>
          <w:rFonts w:ascii="Times New Roman" w:eastAsia="Calibri" w:hAnsi="Times New Roman" w:cs="Times New Roman"/>
          <w:sz w:val="32"/>
          <w:szCs w:val="32"/>
        </w:rPr>
        <w:lastRenderedPageBreak/>
        <w:t>мощным инструментом повышения конкурентоспособности предприятия в современных условиях рыночной экономики.</w:t>
      </w:r>
    </w:p>
    <w:p w14:paraId="7DE733CA" w14:textId="77777777" w:rsidR="00877DE5" w:rsidRPr="00877DE5" w:rsidRDefault="00877DE5" w:rsidP="006B21EF">
      <w:pPr>
        <w:spacing w:after="0" w:line="240" w:lineRule="auto"/>
        <w:ind w:firstLine="709"/>
        <w:jc w:val="both"/>
        <w:rPr>
          <w:rFonts w:ascii="Times New Roman" w:eastAsia="Calibri" w:hAnsi="Times New Roman" w:cs="Times New Roman"/>
          <w:sz w:val="32"/>
          <w:szCs w:val="32"/>
        </w:rPr>
      </w:pPr>
    </w:p>
    <w:p w14:paraId="29BAD0EF" w14:textId="77777777" w:rsidR="00877DE5" w:rsidRPr="00877DE5" w:rsidRDefault="00877DE5" w:rsidP="006B21EF">
      <w:pPr>
        <w:spacing w:after="0" w:line="240" w:lineRule="auto"/>
        <w:ind w:firstLine="709"/>
        <w:jc w:val="center"/>
        <w:rPr>
          <w:rFonts w:ascii="Times New Roman" w:eastAsia="Calibri" w:hAnsi="Times New Roman" w:cs="Times New Roman"/>
          <w:b/>
          <w:bCs/>
        </w:rPr>
      </w:pPr>
      <w:r w:rsidRPr="00877DE5">
        <w:rPr>
          <w:rFonts w:ascii="Times New Roman" w:eastAsia="Calibri" w:hAnsi="Times New Roman" w:cs="Times New Roman"/>
          <w:b/>
          <w:bCs/>
        </w:rPr>
        <w:t>Литература:</w:t>
      </w:r>
    </w:p>
    <w:p w14:paraId="7EEE20BC"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Аакер Д. Стратегическое рыночное управление: учеб. пособие / Д. Аакер. – СПб.: Питер, 2020. – 496 с.</w:t>
      </w:r>
    </w:p>
    <w:p w14:paraId="106ACA2E"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Багиев Г. Л. Маркетинг: учеб. для вузов / Г. Л. Багиев, В. М. Тарасевич, Х. Анн. – 3-е изд., перераб. и доп. – М.: Экономика, 2019. – 718 с.</w:t>
      </w:r>
    </w:p>
    <w:p w14:paraId="6BDB002E"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Беляев В. И. Промышленный маркетинг: учеб. пособие / В. И. Беляев. – М.: ЮНИТИ-ДАНА, 2020. – 495 с. </w:t>
      </w:r>
    </w:p>
    <w:p w14:paraId="4BA2CAC3"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Васильев А. А. Цифровой маркетинг: учеб. пособие / А. А. Васильев. – СПб.: Питер, 2021. – 384 с. </w:t>
      </w:r>
    </w:p>
    <w:p w14:paraId="3F4983F7"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Голубков Е. П. Маркетинг в эпоху цифровых технологий: учеб. пособие / Е. П. Голубков. – М.: Юрайт, 2020. – 382 с. </w:t>
      </w:r>
    </w:p>
    <w:p w14:paraId="02586E81"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Котлер Ф. Маркетинг 4.0: из эры цифровой трансформации в эру технологической революции / Ф. Котлер, Х. Картаджайя, И. Сетиаван. – М.: Эксмо, 2020. – 240 с. </w:t>
      </w:r>
    </w:p>
    <w:p w14:paraId="15940130"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Панкрухин А. П. Маркетинг: учеб. для вузов / А. П. Панкрухин. – 5-е изд., стер. – М.: Омега-Л, 2019. – 656 с. </w:t>
      </w:r>
    </w:p>
    <w:p w14:paraId="69FE5C5D"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Романов А. А. Маркетинг: учеб. пособие / А. А. Романов, В. П. Баранчеев, В. И. Ляпунов. – М.: Юрайт, 2020. – 528 с. </w:t>
      </w:r>
    </w:p>
    <w:p w14:paraId="5E2A4907"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Соловьев В. И. Маркетинг взаимоотношений: учеб. пособие / В. И. Соловьев. – М.: ИНФРА-М, 2020. – 381 с. </w:t>
      </w:r>
    </w:p>
    <w:p w14:paraId="17408B4E" w14:textId="77777777" w:rsidR="00877DE5" w:rsidRPr="00877DE5" w:rsidRDefault="00877DE5" w:rsidP="00AD58CD">
      <w:pPr>
        <w:numPr>
          <w:ilvl w:val="0"/>
          <w:numId w:val="43"/>
        </w:numPr>
        <w:tabs>
          <w:tab w:val="clear" w:pos="720"/>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Хруцкий В. Е. Современный маркетинг: учеб. пособие / В. Е. Хруцкий, И. В. Корнеева. – 2-е изд., перераб. и доп. – М.: Финансы и статистика, 2019. – 384 с. </w:t>
      </w:r>
    </w:p>
    <w:p w14:paraId="222CE92F" w14:textId="77777777" w:rsidR="00877DE5" w:rsidRPr="00877DE5" w:rsidRDefault="00877DE5" w:rsidP="00067100">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x-none" w:eastAsia="ar-SA"/>
        </w:rPr>
      </w:pPr>
    </w:p>
    <w:p w14:paraId="2FFA6C3E" w14:textId="77777777" w:rsidR="00877DE5" w:rsidRPr="00877DE5" w:rsidRDefault="00877DE5" w:rsidP="00B02BB6">
      <w:pPr>
        <w:spacing w:after="0" w:line="240" w:lineRule="auto"/>
        <w:jc w:val="both"/>
        <w:rPr>
          <w:rFonts w:ascii="Times New Roman" w:eastAsia="Calibri" w:hAnsi="Times New Roman" w:cs="Times New Roman"/>
          <w:b/>
        </w:rPr>
      </w:pPr>
      <w:r w:rsidRPr="00877DE5">
        <w:rPr>
          <w:rFonts w:ascii="Times New Roman" w:eastAsia="Calibri" w:hAnsi="Times New Roman" w:cs="Times New Roman"/>
          <w:b/>
        </w:rPr>
        <w:t>УДК 331</w:t>
      </w:r>
    </w:p>
    <w:p w14:paraId="35175AE5" w14:textId="77777777" w:rsidR="00877DE5" w:rsidRPr="008D686B" w:rsidRDefault="00877DE5" w:rsidP="008D686B">
      <w:pPr>
        <w:spacing w:after="0" w:line="240" w:lineRule="auto"/>
        <w:ind w:firstLine="709"/>
        <w:jc w:val="right"/>
        <w:rPr>
          <w:rFonts w:ascii="Times New Roman" w:eastAsia="Times New Roman" w:hAnsi="Times New Roman" w:cs="Times New Roman"/>
          <w:b/>
          <w:bCs/>
          <w:i/>
          <w:iCs/>
          <w:sz w:val="21"/>
          <w:szCs w:val="21"/>
          <w:lang w:eastAsia="ru-RU"/>
        </w:rPr>
      </w:pPr>
      <w:r w:rsidRPr="008D686B">
        <w:rPr>
          <w:rFonts w:ascii="Times New Roman" w:eastAsia="Times New Roman" w:hAnsi="Times New Roman" w:cs="Times New Roman"/>
          <w:b/>
          <w:i/>
          <w:sz w:val="21"/>
          <w:szCs w:val="21"/>
          <w:lang w:eastAsia="ru-RU"/>
        </w:rPr>
        <w:t>Коробко В.А.</w:t>
      </w:r>
      <w:r w:rsidR="006B21EF" w:rsidRPr="008D686B">
        <w:rPr>
          <w:rFonts w:ascii="Times New Roman" w:eastAsia="Times New Roman" w:hAnsi="Times New Roman" w:cs="Times New Roman"/>
          <w:b/>
          <w:i/>
          <w:sz w:val="21"/>
          <w:szCs w:val="21"/>
          <w:lang w:eastAsia="ru-RU"/>
        </w:rPr>
        <w:t>,</w:t>
      </w:r>
    </w:p>
    <w:p w14:paraId="5C06CAE5"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Студент 1 курса</w:t>
      </w:r>
    </w:p>
    <w:p w14:paraId="0BA2ACE1"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Финансовый университет при правительстве Российской Федерации</w:t>
      </w:r>
    </w:p>
    <w:p w14:paraId="7ACEE69D"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 xml:space="preserve">Г.Краснодар, Россия </w:t>
      </w:r>
    </w:p>
    <w:p w14:paraId="6E71FBAF"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val="en-GB" w:eastAsia="ru-RU"/>
        </w:rPr>
        <w:t>e</w:t>
      </w:r>
      <w:r w:rsidRPr="008D686B">
        <w:rPr>
          <w:rFonts w:ascii="Times New Roman" w:eastAsia="Times New Roman" w:hAnsi="Times New Roman" w:cs="Times New Roman"/>
          <w:i/>
          <w:sz w:val="21"/>
          <w:szCs w:val="21"/>
          <w:lang w:eastAsia="ru-RU"/>
        </w:rPr>
        <w:t>-</w:t>
      </w:r>
      <w:r w:rsidRPr="008D686B">
        <w:rPr>
          <w:rFonts w:ascii="Times New Roman" w:eastAsia="Times New Roman" w:hAnsi="Times New Roman" w:cs="Times New Roman"/>
          <w:i/>
          <w:sz w:val="21"/>
          <w:szCs w:val="21"/>
          <w:lang w:val="en-GB" w:eastAsia="ru-RU"/>
        </w:rPr>
        <w:t>mail</w:t>
      </w:r>
      <w:r w:rsidRPr="008D686B">
        <w:rPr>
          <w:rFonts w:ascii="Times New Roman" w:eastAsia="Times New Roman" w:hAnsi="Times New Roman" w:cs="Times New Roman"/>
          <w:i/>
          <w:sz w:val="21"/>
          <w:szCs w:val="21"/>
          <w:lang w:eastAsia="ru-RU"/>
        </w:rPr>
        <w:t xml:space="preserve">: </w:t>
      </w:r>
      <w:hyperlink r:id="rId307" w:history="1">
        <w:r w:rsidRPr="008D686B">
          <w:rPr>
            <w:rFonts w:ascii="Times New Roman" w:eastAsia="Times New Roman" w:hAnsi="Times New Roman" w:cs="Times New Roman"/>
            <w:i/>
            <w:iCs/>
            <w:color w:val="0563C1"/>
            <w:sz w:val="21"/>
            <w:szCs w:val="21"/>
            <w:u w:val="single"/>
            <w:lang w:val="en-GB" w:eastAsia="ru-RU"/>
          </w:rPr>
          <w:t>ver</w:t>
        </w:r>
        <w:r w:rsidRPr="008D686B">
          <w:rPr>
            <w:rFonts w:ascii="Times New Roman" w:eastAsia="Times New Roman" w:hAnsi="Times New Roman" w:cs="Times New Roman"/>
            <w:i/>
            <w:iCs/>
            <w:color w:val="0563C1"/>
            <w:sz w:val="21"/>
            <w:szCs w:val="21"/>
            <w:u w:val="single"/>
            <w:lang w:eastAsia="ru-RU"/>
          </w:rPr>
          <w:t>.</w:t>
        </w:r>
        <w:r w:rsidRPr="008D686B">
          <w:rPr>
            <w:rFonts w:ascii="Times New Roman" w:eastAsia="Times New Roman" w:hAnsi="Times New Roman" w:cs="Times New Roman"/>
            <w:i/>
            <w:iCs/>
            <w:color w:val="0563C1"/>
            <w:sz w:val="21"/>
            <w:szCs w:val="21"/>
            <w:u w:val="single"/>
            <w:lang w:val="en-GB" w:eastAsia="ru-RU"/>
          </w:rPr>
          <w:t>korobko</w:t>
        </w:r>
        <w:r w:rsidRPr="008D686B">
          <w:rPr>
            <w:rFonts w:ascii="Times New Roman" w:eastAsia="Times New Roman" w:hAnsi="Times New Roman" w:cs="Times New Roman"/>
            <w:i/>
            <w:iCs/>
            <w:color w:val="0563C1"/>
            <w:sz w:val="21"/>
            <w:szCs w:val="21"/>
            <w:u w:val="single"/>
            <w:lang w:eastAsia="ru-RU"/>
          </w:rPr>
          <w:t>@</w:t>
        </w:r>
        <w:r w:rsidRPr="008D686B">
          <w:rPr>
            <w:rFonts w:ascii="Times New Roman" w:eastAsia="Times New Roman" w:hAnsi="Times New Roman" w:cs="Times New Roman"/>
            <w:i/>
            <w:iCs/>
            <w:color w:val="0563C1"/>
            <w:sz w:val="21"/>
            <w:szCs w:val="21"/>
            <w:u w:val="single"/>
            <w:lang w:val="en-GB" w:eastAsia="ru-RU"/>
          </w:rPr>
          <w:t>gmail</w:t>
        </w:r>
        <w:r w:rsidRPr="008D686B">
          <w:rPr>
            <w:rFonts w:ascii="Times New Roman" w:eastAsia="Times New Roman" w:hAnsi="Times New Roman" w:cs="Times New Roman"/>
            <w:i/>
            <w:iCs/>
            <w:color w:val="0563C1"/>
            <w:sz w:val="21"/>
            <w:szCs w:val="21"/>
            <w:u w:val="single"/>
            <w:lang w:eastAsia="ru-RU"/>
          </w:rPr>
          <w:t>.</w:t>
        </w:r>
        <w:r w:rsidRPr="008D686B">
          <w:rPr>
            <w:rFonts w:ascii="Times New Roman" w:eastAsia="Times New Roman" w:hAnsi="Times New Roman" w:cs="Times New Roman"/>
            <w:i/>
            <w:iCs/>
            <w:color w:val="0563C1"/>
            <w:sz w:val="21"/>
            <w:szCs w:val="21"/>
            <w:u w:val="single"/>
            <w:lang w:val="en-GB" w:eastAsia="ru-RU"/>
          </w:rPr>
          <w:t>com</w:t>
        </w:r>
      </w:hyperlink>
    </w:p>
    <w:p w14:paraId="25D16315"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p>
    <w:p w14:paraId="6CD2F5DE" w14:textId="77777777" w:rsidR="00877DE5" w:rsidRPr="008D686B" w:rsidRDefault="00877DE5" w:rsidP="008D686B">
      <w:pPr>
        <w:spacing w:after="0" w:line="240" w:lineRule="auto"/>
        <w:ind w:firstLine="709"/>
        <w:jc w:val="right"/>
        <w:rPr>
          <w:rFonts w:ascii="Times New Roman" w:eastAsia="Times New Roman" w:hAnsi="Times New Roman" w:cs="Times New Roman"/>
          <w:b/>
          <w:bCs/>
          <w:i/>
          <w:iCs/>
          <w:sz w:val="21"/>
          <w:szCs w:val="21"/>
          <w:lang w:eastAsia="ru-RU"/>
        </w:rPr>
      </w:pPr>
      <w:r w:rsidRPr="008D686B">
        <w:rPr>
          <w:rFonts w:ascii="Times New Roman" w:eastAsia="Times New Roman" w:hAnsi="Times New Roman" w:cs="Times New Roman"/>
          <w:b/>
          <w:i/>
          <w:sz w:val="21"/>
          <w:szCs w:val="21"/>
          <w:lang w:eastAsia="ru-RU"/>
        </w:rPr>
        <w:t>Научный руководитель:</w:t>
      </w:r>
    </w:p>
    <w:p w14:paraId="742F2C4C" w14:textId="77777777" w:rsidR="00877DE5" w:rsidRPr="008D686B" w:rsidRDefault="00877DE5" w:rsidP="008D686B">
      <w:pPr>
        <w:spacing w:after="0" w:line="240" w:lineRule="auto"/>
        <w:ind w:firstLine="709"/>
        <w:jc w:val="right"/>
        <w:rPr>
          <w:rFonts w:ascii="Times New Roman" w:eastAsia="Times New Roman" w:hAnsi="Times New Roman" w:cs="Times New Roman"/>
          <w:b/>
          <w:bCs/>
          <w:i/>
          <w:iCs/>
          <w:sz w:val="21"/>
          <w:szCs w:val="21"/>
          <w:lang w:eastAsia="ru-RU"/>
        </w:rPr>
      </w:pPr>
      <w:r w:rsidRPr="008D686B">
        <w:rPr>
          <w:rFonts w:ascii="Times New Roman" w:eastAsia="Times New Roman" w:hAnsi="Times New Roman" w:cs="Times New Roman"/>
          <w:b/>
          <w:i/>
          <w:sz w:val="21"/>
          <w:szCs w:val="21"/>
          <w:lang w:eastAsia="ru-RU"/>
        </w:rPr>
        <w:t>Артюшкова А.Ю.</w:t>
      </w:r>
      <w:r w:rsidR="006B21EF" w:rsidRPr="008D686B">
        <w:rPr>
          <w:rFonts w:ascii="Times New Roman" w:eastAsia="Times New Roman" w:hAnsi="Times New Roman" w:cs="Times New Roman"/>
          <w:b/>
          <w:i/>
          <w:sz w:val="21"/>
          <w:szCs w:val="21"/>
          <w:lang w:eastAsia="ru-RU"/>
        </w:rPr>
        <w:t>,</w:t>
      </w:r>
    </w:p>
    <w:p w14:paraId="50C35A1E"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доцент к.п.н.</w:t>
      </w:r>
    </w:p>
    <w:p w14:paraId="71650A23"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 xml:space="preserve">Финансовый университет при правительстве Российской Федерации </w:t>
      </w:r>
    </w:p>
    <w:p w14:paraId="4C42C75E"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eastAsia="ru-RU"/>
        </w:rPr>
        <w:t>г.Краснодар, Россия</w:t>
      </w:r>
    </w:p>
    <w:p w14:paraId="38E7354B" w14:textId="77777777" w:rsidR="00877DE5" w:rsidRPr="008D686B" w:rsidRDefault="00877DE5" w:rsidP="008D686B">
      <w:pPr>
        <w:spacing w:after="0" w:line="240" w:lineRule="auto"/>
        <w:ind w:firstLine="709"/>
        <w:jc w:val="right"/>
        <w:rPr>
          <w:rFonts w:ascii="Times New Roman" w:eastAsia="Times New Roman" w:hAnsi="Times New Roman" w:cs="Times New Roman"/>
          <w:i/>
          <w:iCs/>
          <w:sz w:val="21"/>
          <w:szCs w:val="21"/>
          <w:lang w:eastAsia="ru-RU"/>
        </w:rPr>
      </w:pPr>
      <w:r w:rsidRPr="008D686B">
        <w:rPr>
          <w:rFonts w:ascii="Times New Roman" w:eastAsia="Times New Roman" w:hAnsi="Times New Roman" w:cs="Times New Roman"/>
          <w:i/>
          <w:sz w:val="21"/>
          <w:szCs w:val="21"/>
          <w:lang w:val="en-GB" w:eastAsia="ru-RU"/>
        </w:rPr>
        <w:t>e</w:t>
      </w:r>
      <w:r w:rsidRPr="008D686B">
        <w:rPr>
          <w:rFonts w:ascii="Times New Roman" w:eastAsia="Times New Roman" w:hAnsi="Times New Roman" w:cs="Times New Roman"/>
          <w:i/>
          <w:sz w:val="21"/>
          <w:szCs w:val="21"/>
          <w:lang w:eastAsia="ru-RU"/>
        </w:rPr>
        <w:t>-</w:t>
      </w:r>
      <w:r w:rsidRPr="008D686B">
        <w:rPr>
          <w:rFonts w:ascii="Times New Roman" w:eastAsia="Times New Roman" w:hAnsi="Times New Roman" w:cs="Times New Roman"/>
          <w:i/>
          <w:sz w:val="21"/>
          <w:szCs w:val="21"/>
          <w:lang w:val="en-GB" w:eastAsia="ru-RU"/>
        </w:rPr>
        <w:t>mail</w:t>
      </w:r>
      <w:r w:rsidRPr="008D686B">
        <w:rPr>
          <w:rFonts w:ascii="Times New Roman" w:eastAsia="Times New Roman" w:hAnsi="Times New Roman" w:cs="Times New Roman"/>
          <w:i/>
          <w:sz w:val="21"/>
          <w:szCs w:val="21"/>
          <w:lang w:eastAsia="ru-RU"/>
        </w:rPr>
        <w:t>:</w:t>
      </w:r>
      <w:r w:rsidRPr="008D686B">
        <w:rPr>
          <w:rFonts w:ascii="Times New Roman" w:eastAsia="Times New Roman" w:hAnsi="Times New Roman" w:cs="Times New Roman"/>
          <w:i/>
          <w:color w:val="000000"/>
          <w:sz w:val="21"/>
          <w:szCs w:val="21"/>
          <w:lang w:eastAsia="ru-RU"/>
        </w:rPr>
        <w:t xml:space="preserve"> </w:t>
      </w:r>
      <w:hyperlink r:id="rId308" w:history="1">
        <w:r w:rsidRPr="008D686B">
          <w:rPr>
            <w:rFonts w:ascii="Times New Roman" w:eastAsia="Times New Roman" w:hAnsi="Times New Roman" w:cs="Times New Roman"/>
            <w:i/>
            <w:iCs/>
            <w:color w:val="0563C1"/>
            <w:sz w:val="21"/>
            <w:szCs w:val="21"/>
            <w:u w:val="single"/>
            <w:lang w:eastAsia="ru-RU"/>
          </w:rPr>
          <w:t>AYUArtyushkova@fa.ru</w:t>
        </w:r>
      </w:hyperlink>
      <w:r w:rsidRPr="008D686B">
        <w:rPr>
          <w:rFonts w:ascii="Times New Roman" w:eastAsia="Times New Roman" w:hAnsi="Times New Roman" w:cs="Times New Roman"/>
          <w:i/>
          <w:iCs/>
          <w:color w:val="000000"/>
          <w:sz w:val="21"/>
          <w:szCs w:val="21"/>
          <w:lang w:eastAsia="ru-RU"/>
        </w:rPr>
        <w:t xml:space="preserve"> </w:t>
      </w:r>
    </w:p>
    <w:p w14:paraId="18F4576A" w14:textId="77777777" w:rsidR="00877DE5" w:rsidRPr="008D686B" w:rsidRDefault="00877DE5" w:rsidP="008D686B">
      <w:pPr>
        <w:spacing w:after="0" w:line="240" w:lineRule="auto"/>
        <w:ind w:firstLine="709"/>
        <w:rPr>
          <w:rFonts w:ascii="Times New Roman" w:eastAsia="Times New Roman" w:hAnsi="Times New Roman" w:cs="Times New Roman"/>
          <w:i/>
          <w:iCs/>
          <w:sz w:val="21"/>
          <w:szCs w:val="21"/>
          <w:lang w:eastAsia="ru-RU"/>
        </w:rPr>
      </w:pPr>
    </w:p>
    <w:p w14:paraId="70CA36D3" w14:textId="77777777" w:rsidR="00877DE5" w:rsidRPr="008D686B" w:rsidRDefault="00877DE5" w:rsidP="008D686B">
      <w:pPr>
        <w:spacing w:after="0" w:line="240" w:lineRule="auto"/>
        <w:ind w:firstLine="709"/>
        <w:jc w:val="center"/>
        <w:rPr>
          <w:rFonts w:ascii="Times New Roman" w:eastAsia="Times New Roman" w:hAnsi="Times New Roman" w:cs="Times New Roman"/>
          <w:b/>
          <w:bCs/>
          <w:sz w:val="21"/>
          <w:szCs w:val="21"/>
          <w:lang w:eastAsia="ru-RU"/>
        </w:rPr>
      </w:pPr>
      <w:r w:rsidRPr="008D686B">
        <w:rPr>
          <w:rFonts w:ascii="Times New Roman" w:eastAsia="Times New Roman" w:hAnsi="Times New Roman" w:cs="Times New Roman"/>
          <w:b/>
          <w:sz w:val="21"/>
          <w:szCs w:val="21"/>
          <w:lang w:eastAsia="ru-RU"/>
        </w:rPr>
        <w:t>Влияние удаленной работы на управление изменениями:</w:t>
      </w:r>
    </w:p>
    <w:p w14:paraId="18A63B22" w14:textId="77777777" w:rsidR="00877DE5" w:rsidRPr="008D686B" w:rsidRDefault="00877DE5" w:rsidP="008D686B">
      <w:pPr>
        <w:spacing w:after="0" w:line="240" w:lineRule="auto"/>
        <w:ind w:firstLine="709"/>
        <w:jc w:val="center"/>
        <w:rPr>
          <w:rFonts w:ascii="Times New Roman" w:eastAsia="Times New Roman" w:hAnsi="Times New Roman" w:cs="Times New Roman"/>
          <w:b/>
          <w:bCs/>
          <w:sz w:val="21"/>
          <w:szCs w:val="21"/>
          <w:lang w:eastAsia="ru-RU"/>
        </w:rPr>
      </w:pPr>
      <w:r w:rsidRPr="008D686B">
        <w:rPr>
          <w:rFonts w:ascii="Times New Roman" w:eastAsia="Times New Roman" w:hAnsi="Times New Roman" w:cs="Times New Roman"/>
          <w:b/>
          <w:sz w:val="21"/>
          <w:szCs w:val="21"/>
          <w:lang w:eastAsia="ru-RU"/>
        </w:rPr>
        <w:t>Исследование, как переход на удаленный режим работы меняет подходы к управлению изменениями и внедрению инноваций в организациях</w:t>
      </w:r>
    </w:p>
    <w:p w14:paraId="3C375235" w14:textId="77777777" w:rsidR="00877DE5" w:rsidRPr="008D686B" w:rsidRDefault="00877DE5" w:rsidP="008D686B">
      <w:pPr>
        <w:spacing w:after="0" w:line="240" w:lineRule="auto"/>
        <w:ind w:firstLine="709"/>
        <w:jc w:val="center"/>
        <w:rPr>
          <w:rFonts w:ascii="Times New Roman" w:eastAsia="Times New Roman" w:hAnsi="Times New Roman" w:cs="Times New Roman"/>
          <w:b/>
          <w:bCs/>
          <w:sz w:val="21"/>
          <w:szCs w:val="21"/>
          <w:lang w:eastAsia="ru-RU"/>
        </w:rPr>
      </w:pPr>
    </w:p>
    <w:p w14:paraId="31598057" w14:textId="77777777" w:rsidR="00877DE5" w:rsidRPr="008D686B" w:rsidRDefault="00877DE5" w:rsidP="008D686B">
      <w:pPr>
        <w:spacing w:after="0" w:line="240" w:lineRule="auto"/>
        <w:ind w:firstLine="709"/>
        <w:jc w:val="both"/>
        <w:rPr>
          <w:rFonts w:ascii="Times New Roman" w:eastAsia="Times New Roman" w:hAnsi="Times New Roman" w:cs="Times New Roman"/>
          <w:sz w:val="21"/>
          <w:szCs w:val="21"/>
          <w:lang w:eastAsia="ru-RU"/>
        </w:rPr>
      </w:pPr>
      <w:r w:rsidRPr="008D686B">
        <w:rPr>
          <w:rFonts w:ascii="Times New Roman" w:eastAsia="Times New Roman" w:hAnsi="Times New Roman" w:cs="Times New Roman"/>
          <w:b/>
          <w:sz w:val="21"/>
          <w:szCs w:val="21"/>
          <w:lang w:eastAsia="ru-RU"/>
        </w:rPr>
        <w:t>Аннотация</w:t>
      </w:r>
      <w:proofErr w:type="gramStart"/>
      <w:r w:rsidRPr="008D686B">
        <w:rPr>
          <w:rFonts w:ascii="Times New Roman" w:eastAsia="Times New Roman" w:hAnsi="Times New Roman" w:cs="Times New Roman"/>
          <w:b/>
          <w:sz w:val="21"/>
          <w:szCs w:val="21"/>
          <w:lang w:eastAsia="ru-RU"/>
        </w:rPr>
        <w:t>:</w:t>
      </w:r>
      <w:r w:rsidRPr="008D686B">
        <w:rPr>
          <w:rFonts w:ascii="Times New Roman" w:eastAsia="Times New Roman" w:hAnsi="Times New Roman" w:cs="Times New Roman"/>
          <w:sz w:val="21"/>
          <w:szCs w:val="21"/>
          <w:lang w:eastAsia="ru-RU"/>
        </w:rPr>
        <w:t xml:space="preserve"> В условиях</w:t>
      </w:r>
      <w:proofErr w:type="gramEnd"/>
      <w:r w:rsidRPr="008D686B">
        <w:rPr>
          <w:rFonts w:ascii="Times New Roman" w:eastAsia="Times New Roman" w:hAnsi="Times New Roman" w:cs="Times New Roman"/>
          <w:sz w:val="21"/>
          <w:szCs w:val="21"/>
          <w:lang w:eastAsia="ru-RU"/>
        </w:rPr>
        <w:t xml:space="preserve"> глобального перехода на дистанционные форматы работы современные организации сталкиваются с необходимостью переосмысления традиционных подходов к управлению изменениями. Данное исследование анализирует трансформацию процессов внедрения инноваций и организационных преобразований в контексте удалённой работы, выявляя как новые вызовы, так и перспективные возможности.</w:t>
      </w:r>
    </w:p>
    <w:p w14:paraId="519D4F37" w14:textId="77777777" w:rsidR="00877DE5" w:rsidRPr="008D686B" w:rsidRDefault="00877DE5" w:rsidP="008D686B">
      <w:pPr>
        <w:spacing w:after="0" w:line="240" w:lineRule="auto"/>
        <w:ind w:firstLine="709"/>
        <w:jc w:val="both"/>
        <w:rPr>
          <w:rFonts w:ascii="Times New Roman" w:eastAsia="Times New Roman" w:hAnsi="Times New Roman" w:cs="Times New Roman"/>
          <w:sz w:val="21"/>
          <w:szCs w:val="21"/>
          <w:lang w:eastAsia="ru-RU"/>
        </w:rPr>
      </w:pPr>
      <w:r w:rsidRPr="008D686B">
        <w:rPr>
          <w:rFonts w:ascii="Times New Roman" w:eastAsia="Times New Roman" w:hAnsi="Times New Roman" w:cs="Times New Roman"/>
          <w:b/>
          <w:sz w:val="21"/>
          <w:szCs w:val="21"/>
          <w:lang w:eastAsia="ru-RU"/>
        </w:rPr>
        <w:t>Ключевые слова:</w:t>
      </w:r>
      <w:r w:rsidRPr="008D686B">
        <w:rPr>
          <w:rFonts w:ascii="Times New Roman" w:eastAsia="Times New Roman" w:hAnsi="Times New Roman" w:cs="Times New Roman"/>
          <w:sz w:val="21"/>
          <w:szCs w:val="21"/>
          <w:lang w:eastAsia="ru-RU"/>
        </w:rPr>
        <w:t xml:space="preserve"> удалённая работа, управление изменениями, цифровая трансформация, дистанционные команды, организационное развитие.</w:t>
      </w:r>
    </w:p>
    <w:p w14:paraId="1AF4C102" w14:textId="77777777" w:rsidR="00877DE5" w:rsidRPr="008D686B" w:rsidRDefault="00877DE5" w:rsidP="008D686B">
      <w:pPr>
        <w:spacing w:after="0" w:line="240" w:lineRule="auto"/>
        <w:ind w:firstLine="709"/>
        <w:jc w:val="right"/>
        <w:rPr>
          <w:rFonts w:ascii="Times New Roman" w:eastAsia="Times New Roman" w:hAnsi="Times New Roman" w:cs="Times New Roman"/>
          <w:sz w:val="21"/>
          <w:szCs w:val="21"/>
          <w:lang w:eastAsia="ru-RU"/>
        </w:rPr>
      </w:pPr>
    </w:p>
    <w:p w14:paraId="3A9D1CE7" w14:textId="181EF770" w:rsidR="00877DE5" w:rsidRPr="000B3AFF" w:rsidRDefault="00877DE5" w:rsidP="008D686B">
      <w:pPr>
        <w:spacing w:after="0" w:line="240" w:lineRule="auto"/>
        <w:ind w:left="708" w:firstLine="709"/>
        <w:jc w:val="right"/>
        <w:rPr>
          <w:rFonts w:ascii="Times New Roman" w:eastAsia="Times New Roman" w:hAnsi="Times New Roman" w:cs="Times New Roman"/>
          <w:b/>
          <w:bCs/>
          <w:i/>
          <w:iCs/>
          <w:sz w:val="21"/>
          <w:szCs w:val="21"/>
          <w:lang w:val="en-US" w:eastAsia="ru-RU"/>
        </w:rPr>
      </w:pPr>
      <w:r w:rsidRPr="008D686B">
        <w:rPr>
          <w:rFonts w:ascii="Times New Roman" w:eastAsia="Times New Roman" w:hAnsi="Times New Roman" w:cs="Times New Roman"/>
          <w:b/>
          <w:bCs/>
          <w:i/>
          <w:sz w:val="21"/>
          <w:szCs w:val="21"/>
          <w:lang w:val="en-GB" w:eastAsia="ru-RU"/>
        </w:rPr>
        <w:t>Korobko. V.A</w:t>
      </w:r>
      <w:r w:rsidR="00DC5C6C" w:rsidRPr="00654CF2">
        <w:rPr>
          <w:rFonts w:ascii="Times New Roman" w:eastAsia="Times New Roman" w:hAnsi="Times New Roman" w:cs="Times New Roman"/>
          <w:b/>
          <w:bCs/>
          <w:i/>
          <w:sz w:val="21"/>
          <w:szCs w:val="21"/>
          <w:lang w:val="en-US" w:eastAsia="ru-RU"/>
        </w:rPr>
        <w:t>.</w:t>
      </w:r>
      <w:r w:rsidR="008D686B" w:rsidRPr="000B3AFF">
        <w:rPr>
          <w:rFonts w:ascii="Times New Roman" w:eastAsia="Times New Roman" w:hAnsi="Times New Roman" w:cs="Times New Roman"/>
          <w:b/>
          <w:bCs/>
          <w:i/>
          <w:sz w:val="21"/>
          <w:szCs w:val="21"/>
          <w:lang w:val="en-US" w:eastAsia="ru-RU"/>
        </w:rPr>
        <w:t>,</w:t>
      </w:r>
    </w:p>
    <w:p w14:paraId="386AA615" w14:textId="77777777" w:rsidR="00877DE5" w:rsidRPr="008D686B" w:rsidRDefault="00877DE5" w:rsidP="008D686B">
      <w:pPr>
        <w:spacing w:after="0" w:line="240" w:lineRule="auto"/>
        <w:ind w:left="708" w:firstLine="709"/>
        <w:jc w:val="right"/>
        <w:rPr>
          <w:rFonts w:ascii="Times New Roman" w:eastAsia="Times New Roman" w:hAnsi="Times New Roman" w:cs="Times New Roman"/>
          <w:b/>
          <w:bCs/>
          <w:i/>
          <w:iCs/>
          <w:sz w:val="21"/>
          <w:szCs w:val="21"/>
          <w:lang w:val="en-GB" w:eastAsia="ru-RU"/>
        </w:rPr>
      </w:pPr>
      <w:r w:rsidRPr="008D686B">
        <w:rPr>
          <w:rFonts w:ascii="Times New Roman" w:eastAsia="Times New Roman" w:hAnsi="Times New Roman" w:cs="Times New Roman"/>
          <w:i/>
          <w:sz w:val="21"/>
          <w:szCs w:val="21"/>
          <w:lang w:val="en-GB" w:eastAsia="ru-RU"/>
        </w:rPr>
        <w:t xml:space="preserve">Students,1 </w:t>
      </w:r>
      <w:proofErr w:type="gramStart"/>
      <w:r w:rsidRPr="008D686B">
        <w:rPr>
          <w:rFonts w:ascii="Times New Roman" w:eastAsia="Times New Roman" w:hAnsi="Times New Roman" w:cs="Times New Roman"/>
          <w:i/>
          <w:sz w:val="21"/>
          <w:szCs w:val="21"/>
          <w:lang w:val="en-GB" w:eastAsia="ru-RU"/>
        </w:rPr>
        <w:t>courses</w:t>
      </w:r>
      <w:proofErr w:type="gramEnd"/>
      <w:r w:rsidRPr="008D686B">
        <w:rPr>
          <w:rFonts w:ascii="Times New Roman" w:eastAsia="Times New Roman" w:hAnsi="Times New Roman" w:cs="Times New Roman"/>
          <w:i/>
          <w:color w:val="000000"/>
          <w:sz w:val="21"/>
          <w:szCs w:val="21"/>
          <w:shd w:val="clear" w:color="auto" w:fill="FFFFFF"/>
          <w:lang w:val="en-US" w:eastAsia="ru-RU"/>
        </w:rPr>
        <w:t xml:space="preserve"> </w:t>
      </w:r>
    </w:p>
    <w:p w14:paraId="6E723723"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00000"/>
          <w:sz w:val="21"/>
          <w:szCs w:val="21"/>
          <w:shd w:val="clear" w:color="auto" w:fill="FFFFFF"/>
          <w:lang w:val="en-US" w:eastAsia="ru-RU"/>
        </w:rPr>
      </w:pPr>
      <w:r w:rsidRPr="008D686B">
        <w:rPr>
          <w:rFonts w:ascii="Times New Roman" w:eastAsia="Times New Roman" w:hAnsi="Times New Roman" w:cs="Times New Roman"/>
          <w:i/>
          <w:iCs/>
          <w:color w:val="000000"/>
          <w:sz w:val="21"/>
          <w:szCs w:val="21"/>
          <w:shd w:val="clear" w:color="auto" w:fill="FFFFFF"/>
          <w:lang w:val="en-US" w:eastAsia="ru-RU"/>
        </w:rPr>
        <w:t>Financial University under the Government of the Russian Federation</w:t>
      </w:r>
    </w:p>
    <w:p w14:paraId="2EBA2CCE"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00000"/>
          <w:sz w:val="21"/>
          <w:szCs w:val="21"/>
          <w:shd w:val="clear" w:color="auto" w:fill="FFFFFF"/>
          <w:lang w:val="en-US" w:eastAsia="ru-RU"/>
        </w:rPr>
      </w:pPr>
      <w:r w:rsidRPr="008D686B">
        <w:rPr>
          <w:rFonts w:ascii="Times New Roman" w:eastAsia="Times New Roman" w:hAnsi="Times New Roman" w:cs="Times New Roman"/>
          <w:i/>
          <w:iCs/>
          <w:color w:val="000000"/>
          <w:sz w:val="21"/>
          <w:szCs w:val="21"/>
          <w:shd w:val="clear" w:color="auto" w:fill="FFFFFF"/>
          <w:lang w:val="en-US" w:eastAsia="ru-RU"/>
        </w:rPr>
        <w:t xml:space="preserve">Krasnodar, Russia </w:t>
      </w:r>
    </w:p>
    <w:p w14:paraId="3755B4AD"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563C1"/>
          <w:sz w:val="21"/>
          <w:szCs w:val="21"/>
          <w:u w:val="single"/>
          <w:shd w:val="clear" w:color="auto" w:fill="FFFFFF"/>
          <w:lang w:val="en-US" w:eastAsia="ru-RU"/>
        </w:rPr>
      </w:pPr>
      <w:r w:rsidRPr="008D686B">
        <w:rPr>
          <w:rFonts w:ascii="Times New Roman" w:eastAsia="Times New Roman" w:hAnsi="Times New Roman" w:cs="Times New Roman"/>
          <w:i/>
          <w:iCs/>
          <w:color w:val="000000"/>
          <w:sz w:val="21"/>
          <w:szCs w:val="21"/>
          <w:shd w:val="clear" w:color="auto" w:fill="FFFFFF"/>
          <w:lang w:val="en-US" w:eastAsia="ru-RU"/>
        </w:rPr>
        <w:t xml:space="preserve">e-mail: </w:t>
      </w:r>
      <w:hyperlink r:id="rId309" w:history="1">
        <w:r w:rsidRPr="008D686B">
          <w:rPr>
            <w:rFonts w:ascii="Times New Roman" w:eastAsia="Times New Roman" w:hAnsi="Times New Roman" w:cs="Times New Roman"/>
            <w:i/>
            <w:iCs/>
            <w:color w:val="0563C1"/>
            <w:sz w:val="21"/>
            <w:szCs w:val="21"/>
            <w:u w:val="single"/>
            <w:shd w:val="clear" w:color="auto" w:fill="FFFFFF"/>
            <w:lang w:val="en-US" w:eastAsia="ru-RU"/>
          </w:rPr>
          <w:t>ver.korobko@gmail.com</w:t>
        </w:r>
      </w:hyperlink>
    </w:p>
    <w:p w14:paraId="6E012284"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00000"/>
          <w:sz w:val="21"/>
          <w:szCs w:val="21"/>
          <w:shd w:val="clear" w:color="auto" w:fill="FFFFFF"/>
          <w:lang w:val="en-US" w:eastAsia="ru-RU"/>
        </w:rPr>
      </w:pPr>
    </w:p>
    <w:p w14:paraId="3C9621B5" w14:textId="77777777" w:rsidR="00877DE5" w:rsidRPr="008D686B" w:rsidRDefault="00877DE5" w:rsidP="008D686B">
      <w:pPr>
        <w:spacing w:after="0" w:line="240" w:lineRule="auto"/>
        <w:ind w:left="708" w:firstLine="709"/>
        <w:jc w:val="right"/>
        <w:rPr>
          <w:rFonts w:ascii="Times New Roman" w:eastAsia="Times New Roman" w:hAnsi="Times New Roman" w:cs="Times New Roman"/>
          <w:b/>
          <w:bCs/>
          <w:i/>
          <w:iCs/>
          <w:sz w:val="21"/>
          <w:szCs w:val="21"/>
          <w:lang w:val="en-GB" w:eastAsia="ru-RU"/>
        </w:rPr>
      </w:pPr>
      <w:r w:rsidRPr="008D686B">
        <w:rPr>
          <w:rFonts w:ascii="Times New Roman" w:eastAsia="Times New Roman" w:hAnsi="Times New Roman" w:cs="Times New Roman"/>
          <w:b/>
          <w:bCs/>
          <w:i/>
          <w:iCs/>
          <w:color w:val="000000"/>
          <w:sz w:val="21"/>
          <w:szCs w:val="21"/>
          <w:lang w:val="en-US" w:eastAsia="ru-RU"/>
        </w:rPr>
        <w:t>Scientific Adviser:</w:t>
      </w:r>
    </w:p>
    <w:p w14:paraId="6697EB0D" w14:textId="77074F4A" w:rsidR="00877DE5" w:rsidRPr="00654CF2" w:rsidRDefault="00877DE5" w:rsidP="008D686B">
      <w:pPr>
        <w:spacing w:after="0" w:line="240" w:lineRule="auto"/>
        <w:ind w:left="708" w:firstLine="709"/>
        <w:jc w:val="right"/>
        <w:rPr>
          <w:rFonts w:ascii="Times New Roman" w:eastAsia="Times New Roman" w:hAnsi="Times New Roman" w:cs="Times New Roman"/>
          <w:b/>
          <w:bCs/>
          <w:i/>
          <w:iCs/>
          <w:sz w:val="21"/>
          <w:szCs w:val="21"/>
          <w:lang w:val="en-US" w:eastAsia="ru-RU"/>
        </w:rPr>
      </w:pPr>
      <w:r w:rsidRPr="008D686B">
        <w:rPr>
          <w:rFonts w:ascii="Times New Roman" w:eastAsia="Times New Roman" w:hAnsi="Times New Roman" w:cs="Times New Roman"/>
          <w:b/>
          <w:bCs/>
          <w:i/>
          <w:sz w:val="21"/>
          <w:szCs w:val="21"/>
          <w:lang w:val="en-GB" w:eastAsia="ru-RU"/>
        </w:rPr>
        <w:t>Artyushkova A.Y.</w:t>
      </w:r>
      <w:r w:rsidR="00DC5C6C" w:rsidRPr="00654CF2">
        <w:rPr>
          <w:rFonts w:ascii="Times New Roman" w:eastAsia="Times New Roman" w:hAnsi="Times New Roman" w:cs="Times New Roman"/>
          <w:b/>
          <w:bCs/>
          <w:i/>
          <w:sz w:val="21"/>
          <w:szCs w:val="21"/>
          <w:lang w:val="en-US" w:eastAsia="ru-RU"/>
        </w:rPr>
        <w:t>,</w:t>
      </w:r>
    </w:p>
    <w:p w14:paraId="6D214ACE"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sz w:val="21"/>
          <w:szCs w:val="21"/>
          <w:lang w:val="en-US" w:eastAsia="ru-RU"/>
        </w:rPr>
      </w:pPr>
      <w:r w:rsidRPr="008D686B">
        <w:rPr>
          <w:rFonts w:ascii="Times New Roman" w:eastAsia="Times New Roman" w:hAnsi="Times New Roman" w:cs="Times New Roman"/>
          <w:i/>
          <w:sz w:val="21"/>
          <w:szCs w:val="21"/>
          <w:lang w:val="en-GB" w:eastAsia="ru-RU"/>
        </w:rPr>
        <w:lastRenderedPageBreak/>
        <w:t>Associate Professor of Pedagogical Sciences</w:t>
      </w:r>
    </w:p>
    <w:p w14:paraId="313FAF0F"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00000"/>
          <w:sz w:val="21"/>
          <w:szCs w:val="21"/>
          <w:shd w:val="clear" w:color="auto" w:fill="FFFFFF"/>
          <w:lang w:val="en-US" w:eastAsia="ru-RU"/>
        </w:rPr>
      </w:pPr>
      <w:r w:rsidRPr="008D686B">
        <w:rPr>
          <w:rFonts w:ascii="Times New Roman" w:eastAsia="Times New Roman" w:hAnsi="Times New Roman" w:cs="Times New Roman"/>
          <w:i/>
          <w:iCs/>
          <w:color w:val="000000"/>
          <w:sz w:val="21"/>
          <w:szCs w:val="21"/>
          <w:shd w:val="clear" w:color="auto" w:fill="FFFFFF"/>
          <w:lang w:val="en-US" w:eastAsia="ru-RU"/>
        </w:rPr>
        <w:t>Financial University under the Government of the Russi</w:t>
      </w:r>
      <w:r w:rsidRPr="008D686B">
        <w:rPr>
          <w:rFonts w:ascii="Times New Roman" w:eastAsia="Times New Roman" w:hAnsi="Times New Roman" w:cs="Times New Roman"/>
          <w:i/>
          <w:iCs/>
          <w:color w:val="000000"/>
          <w:sz w:val="21"/>
          <w:szCs w:val="21"/>
          <w:shd w:val="clear" w:color="auto" w:fill="FFFFFF"/>
          <w:lang w:val="en-GB" w:eastAsia="ru-RU"/>
        </w:rPr>
        <w:t>n</w:t>
      </w:r>
      <w:r w:rsidRPr="008D686B">
        <w:rPr>
          <w:rFonts w:ascii="Times New Roman" w:eastAsia="Times New Roman" w:hAnsi="Times New Roman" w:cs="Times New Roman"/>
          <w:i/>
          <w:iCs/>
          <w:color w:val="000000"/>
          <w:sz w:val="21"/>
          <w:szCs w:val="21"/>
          <w:shd w:val="clear" w:color="auto" w:fill="FFFFFF"/>
          <w:lang w:val="en-US" w:eastAsia="ru-RU"/>
        </w:rPr>
        <w:t xml:space="preserve"> Federation Krasnodar, Russia</w:t>
      </w:r>
    </w:p>
    <w:p w14:paraId="732B8D6A" w14:textId="77777777" w:rsidR="00877DE5" w:rsidRPr="008D686B" w:rsidRDefault="00877DE5" w:rsidP="008D686B">
      <w:pPr>
        <w:spacing w:after="0" w:line="240" w:lineRule="auto"/>
        <w:ind w:left="708" w:firstLine="709"/>
        <w:jc w:val="right"/>
        <w:rPr>
          <w:rFonts w:ascii="Times New Roman" w:eastAsia="Times New Roman" w:hAnsi="Times New Roman" w:cs="Times New Roman"/>
          <w:i/>
          <w:iCs/>
          <w:color w:val="000000"/>
          <w:sz w:val="21"/>
          <w:szCs w:val="21"/>
          <w:shd w:val="clear" w:color="auto" w:fill="FFFFFF"/>
          <w:lang w:val="en-US" w:eastAsia="ru-RU"/>
        </w:rPr>
      </w:pPr>
      <w:r w:rsidRPr="008D686B">
        <w:rPr>
          <w:rFonts w:ascii="Times New Roman" w:eastAsia="Times New Roman" w:hAnsi="Times New Roman" w:cs="Times New Roman"/>
          <w:i/>
          <w:iCs/>
          <w:color w:val="000000"/>
          <w:sz w:val="21"/>
          <w:szCs w:val="21"/>
          <w:shd w:val="clear" w:color="auto" w:fill="FFFFFF"/>
          <w:lang w:val="en-US" w:eastAsia="ru-RU"/>
        </w:rPr>
        <w:t xml:space="preserve"> e-mail: </w:t>
      </w:r>
      <w:hyperlink r:id="rId310" w:history="1">
        <w:r w:rsidRPr="008D686B">
          <w:rPr>
            <w:rFonts w:ascii="Times New Roman" w:eastAsia="Times New Roman" w:hAnsi="Times New Roman" w:cs="Times New Roman"/>
            <w:i/>
            <w:iCs/>
            <w:color w:val="0563C1"/>
            <w:sz w:val="21"/>
            <w:szCs w:val="21"/>
            <w:u w:val="single"/>
            <w:shd w:val="clear" w:color="auto" w:fill="FFFFFF"/>
            <w:lang w:val="en-US" w:eastAsia="ru-RU"/>
          </w:rPr>
          <w:t>AYUArtyushkova@fa.ru</w:t>
        </w:r>
      </w:hyperlink>
    </w:p>
    <w:p w14:paraId="68DD19D6" w14:textId="77777777" w:rsidR="00877DE5" w:rsidRPr="008D686B" w:rsidRDefault="00877DE5" w:rsidP="008D686B">
      <w:pPr>
        <w:spacing w:after="0" w:line="240" w:lineRule="auto"/>
        <w:ind w:left="708" w:firstLine="709"/>
        <w:jc w:val="center"/>
        <w:rPr>
          <w:rFonts w:ascii="Times New Roman" w:eastAsia="Times New Roman" w:hAnsi="Times New Roman" w:cs="Times New Roman"/>
          <w:color w:val="000000"/>
          <w:sz w:val="21"/>
          <w:szCs w:val="21"/>
          <w:shd w:val="clear" w:color="auto" w:fill="FFFFFF"/>
          <w:lang w:val="en-US" w:eastAsia="ru-RU"/>
        </w:rPr>
      </w:pPr>
    </w:p>
    <w:p w14:paraId="05350A2D" w14:textId="77777777" w:rsidR="00877DE5" w:rsidRPr="008D686B" w:rsidRDefault="00877DE5" w:rsidP="009A629B">
      <w:pPr>
        <w:spacing w:after="0" w:line="240" w:lineRule="auto"/>
        <w:jc w:val="center"/>
        <w:rPr>
          <w:rFonts w:ascii="Times New Roman" w:eastAsia="Times New Roman" w:hAnsi="Times New Roman" w:cs="Times New Roman"/>
          <w:b/>
          <w:bCs/>
          <w:color w:val="000000"/>
          <w:sz w:val="21"/>
          <w:szCs w:val="21"/>
          <w:shd w:val="clear" w:color="auto" w:fill="FFFFFF"/>
          <w:lang w:val="en-US" w:eastAsia="ru-RU"/>
        </w:rPr>
      </w:pPr>
      <w:r w:rsidRPr="008D686B">
        <w:rPr>
          <w:rFonts w:ascii="Times New Roman" w:eastAsia="Times New Roman" w:hAnsi="Times New Roman" w:cs="Times New Roman"/>
          <w:b/>
          <w:bCs/>
          <w:color w:val="000000"/>
          <w:sz w:val="21"/>
          <w:szCs w:val="21"/>
          <w:shd w:val="clear" w:color="auto" w:fill="FFFFFF"/>
          <w:lang w:val="en-US" w:eastAsia="ru-RU"/>
        </w:rPr>
        <w:t>The impact of remote work on change management: A study of how switching to remote work changes approaches to change management and innovation in organizations</w:t>
      </w:r>
    </w:p>
    <w:p w14:paraId="5ED4153F" w14:textId="77777777" w:rsidR="00877DE5" w:rsidRPr="008D686B" w:rsidRDefault="00877DE5" w:rsidP="008D686B">
      <w:pPr>
        <w:spacing w:after="0" w:line="240" w:lineRule="auto"/>
        <w:ind w:left="708" w:firstLine="709"/>
        <w:jc w:val="center"/>
        <w:rPr>
          <w:rFonts w:ascii="Times New Roman" w:eastAsia="Times New Roman" w:hAnsi="Times New Roman" w:cs="Times New Roman"/>
          <w:b/>
          <w:bCs/>
          <w:sz w:val="21"/>
          <w:szCs w:val="21"/>
          <w:lang w:val="en-GB" w:eastAsia="ru-RU"/>
        </w:rPr>
      </w:pPr>
    </w:p>
    <w:p w14:paraId="093FF4DF" w14:textId="77777777" w:rsidR="00877DE5" w:rsidRPr="008D686B" w:rsidRDefault="00877DE5" w:rsidP="008D686B">
      <w:pPr>
        <w:spacing w:after="0" w:line="240" w:lineRule="auto"/>
        <w:ind w:firstLine="709"/>
        <w:rPr>
          <w:rFonts w:ascii="Times New Roman" w:eastAsia="Times New Roman" w:hAnsi="Times New Roman" w:cs="Times New Roman"/>
          <w:color w:val="000000"/>
          <w:sz w:val="21"/>
          <w:szCs w:val="21"/>
          <w:shd w:val="clear" w:color="auto" w:fill="FFFFFF"/>
          <w:lang w:val="en-US" w:eastAsia="ru-RU"/>
        </w:rPr>
      </w:pPr>
      <w:r w:rsidRPr="008D686B">
        <w:rPr>
          <w:rFonts w:ascii="Times New Roman" w:eastAsia="Times New Roman" w:hAnsi="Times New Roman" w:cs="Times New Roman"/>
          <w:b/>
          <w:bCs/>
          <w:sz w:val="21"/>
          <w:szCs w:val="21"/>
          <w:lang w:val="en-US" w:eastAsia="ru-RU"/>
        </w:rPr>
        <w:t xml:space="preserve">Abstract: </w:t>
      </w:r>
      <w:r w:rsidRPr="008D686B">
        <w:rPr>
          <w:rFonts w:ascii="Times New Roman" w:eastAsia="Times New Roman" w:hAnsi="Times New Roman" w:cs="Times New Roman"/>
          <w:color w:val="000000"/>
          <w:sz w:val="21"/>
          <w:szCs w:val="21"/>
          <w:shd w:val="clear" w:color="auto" w:fill="FFFFFF"/>
          <w:lang w:val="en-US" w:eastAsia="ru-RU"/>
        </w:rPr>
        <w:t>In the context of the global transition to remote work formats, modern organizations are faced with the need to rethink traditional approaches to change management. This study analyzes the transformation of innovation and organizational transformation processes in the context of remote work, identifying both new challenges and promising opportunities.</w:t>
      </w:r>
    </w:p>
    <w:p w14:paraId="75A1C076" w14:textId="77777777" w:rsidR="00877DE5" w:rsidRPr="008D686B" w:rsidRDefault="00877DE5" w:rsidP="008D686B">
      <w:pPr>
        <w:spacing w:after="0" w:line="240" w:lineRule="auto"/>
        <w:ind w:firstLine="709"/>
        <w:rPr>
          <w:rFonts w:ascii="Times New Roman" w:eastAsia="Times New Roman" w:hAnsi="Times New Roman" w:cs="Times New Roman"/>
          <w:sz w:val="21"/>
          <w:szCs w:val="21"/>
          <w:lang w:val="en-GB" w:eastAsia="ru-RU"/>
        </w:rPr>
      </w:pPr>
      <w:r w:rsidRPr="008D686B">
        <w:rPr>
          <w:rFonts w:ascii="Times New Roman" w:eastAsia="Times New Roman" w:hAnsi="Times New Roman" w:cs="Times New Roman"/>
          <w:b/>
          <w:bCs/>
          <w:color w:val="000000"/>
          <w:sz w:val="21"/>
          <w:szCs w:val="21"/>
          <w:shd w:val="clear" w:color="auto" w:fill="FFFFFF"/>
          <w:lang w:val="en-GB" w:eastAsia="ru-RU"/>
        </w:rPr>
        <w:t xml:space="preserve">Keywords: </w:t>
      </w:r>
      <w:r w:rsidRPr="008D686B">
        <w:rPr>
          <w:rFonts w:ascii="Times New Roman" w:eastAsia="Times New Roman" w:hAnsi="Times New Roman" w:cs="Times New Roman"/>
          <w:color w:val="000000"/>
          <w:sz w:val="21"/>
          <w:szCs w:val="21"/>
          <w:shd w:val="clear" w:color="auto" w:fill="FFFFFF"/>
          <w:lang w:val="en-US" w:eastAsia="ru-RU"/>
        </w:rPr>
        <w:t>remote work, change management, digital transformation, remote teams, organizational</w:t>
      </w:r>
    </w:p>
    <w:p w14:paraId="59616A93" w14:textId="77777777" w:rsidR="00877DE5" w:rsidRPr="008D686B" w:rsidRDefault="00877DE5" w:rsidP="008D686B">
      <w:pPr>
        <w:spacing w:after="0" w:line="240" w:lineRule="auto"/>
        <w:ind w:firstLine="709"/>
        <w:rPr>
          <w:rFonts w:ascii="Times New Roman" w:eastAsia="Times New Roman" w:hAnsi="Times New Roman" w:cs="Times New Roman"/>
          <w:sz w:val="21"/>
          <w:szCs w:val="21"/>
          <w:lang w:val="en-US" w:eastAsia="ru-RU"/>
        </w:rPr>
      </w:pPr>
    </w:p>
    <w:p w14:paraId="09425F0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Переход на удаленную работу стал одной из ключевых тенденций современного мира, особенно в условиях глобальных вызовов, таких как пандемия COVID-19. Этот процесс оказал значительное влияние на различные аспекты функционирования организаций, включая управление изменениями и внедрение инноваций. Изучение последствий перехода к удаленному формату работы важно для понимания новых вызовов и возможностей, возникающих в управлении изменениями, что делает данную тему актуальной для научного исследования. </w:t>
      </w:r>
    </w:p>
    <w:p w14:paraId="52451A7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Актуальность темы, важна так как в настоящее время наблюдается массовый переход на работу и требует пересмотра традиционных подходов к управлению изменениями. </w:t>
      </w:r>
    </w:p>
    <w:p w14:paraId="401414A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Научная новизна заключается в комплексном анализе взаимосвязи цифровых технологий и социально-психологических факторов при управлении изменениями в удалённых командах, Исследование отличается синтезом управленческих и технологических подходов на основе эксклюзивных отраслевых кейсов 2020-2024 гг., предлагая практические инструменты для организаций разного уровня зрелости. Собственные кейсы, основанные на личном опыте. </w:t>
      </w:r>
    </w:p>
    <w:p w14:paraId="5D6A107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Целью настоящего исследования является изучение влияния удаленной работы на подходы к управлению изменениями и внедрению инноваций в организациях. </w:t>
      </w:r>
    </w:p>
    <w:p w14:paraId="490629A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Задачи: анализ влияния удвоенной работы на организационную культуру, изучение изменений коммуникационных процессах, выявление эффективных практик управления изменениями, разработка рекомендаций для удаленных команд. </w:t>
      </w:r>
    </w:p>
    <w:p w14:paraId="0C78BAA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Управление изменениями — это структурированный процесс, который позволяет организациям эффективно планировать, внедрять и закреплять преобразования. Его задача — помочь сотрудникам </w:t>
      </w:r>
      <w:r w:rsidRPr="00877DE5">
        <w:rPr>
          <w:rFonts w:ascii="Times New Roman" w:eastAsia="Times New Roman" w:hAnsi="Times New Roman" w:cs="Times New Roman"/>
          <w:sz w:val="32"/>
          <w:szCs w:val="32"/>
          <w:lang w:eastAsia="ru-RU"/>
        </w:rPr>
        <w:lastRenderedPageBreak/>
        <w:t>адаптироваться к новым условиям и работать максимально продуктивно.</w:t>
      </w:r>
      <w:r w:rsidR="006B21EF">
        <w:rPr>
          <w:rFonts w:ascii="Times New Roman" w:eastAsia="Times New Roman" w:hAnsi="Times New Roman" w:cs="Times New Roman"/>
          <w:sz w:val="32"/>
          <w:szCs w:val="32"/>
          <w:lang w:eastAsia="ru-RU"/>
        </w:rPr>
        <w:t xml:space="preserve"> </w:t>
      </w:r>
      <w:r w:rsidRPr="00877DE5">
        <w:rPr>
          <w:rFonts w:ascii="Times New Roman" w:eastAsia="Times New Roman" w:hAnsi="Times New Roman" w:cs="Times New Roman"/>
          <w:sz w:val="32"/>
          <w:szCs w:val="32"/>
          <w:lang w:eastAsia="ru-RU"/>
        </w:rPr>
        <w:t xml:space="preserve">Примером данного изменения возьмем переход с Telegram на корпоративный мессенджер. Компания принимает решение перейти с популярного мессенджера на специализированное корпоративное решение. Этот шаг предоставит следующие перспективы организации: Повышение концентрации, единое рабочее пространство, безопасность данных. И одно из важных преимуществ: Удобство для работы с внешними контрагентами. </w:t>
      </w:r>
    </w:p>
    <w:p w14:paraId="0E9D10A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зависимости от масштабов компании управление изменениями реализуется по-разному. В крупных корпорациях стратегию и контроль преобразований осуществляет высшее руководство - генеральный директор, совет директоров или топ-менеджмент, которые разрабатывают план и следят за его выполнением до завершения процесса. В средних организациях координацией занимается проектный офис, отвечающий за планирование, внедрение и мониторинг изменений. В малом бизнесе эти функции обычно возлагаются на менеджера по изменениям — отдельного специалиста, который полностью курирует процесс нововведений.</w:t>
      </w:r>
    </w:p>
    <w:p w14:paraId="3A949FC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Оценка эффективности перехода на удалённую работу требует комплексного анализа трёх взаимосвязанных элементов. Техническое обеспечение: соответствие компьютерного оборудования и программ новым потребностям, надёжность связи, защита информации и производительность работы. Во-вторых, важен человеческий фактор: насколько сотрудники вовлечены в работу, сохраняется ли корпоративная культура и командный дух. В-третьих, нужно грамотно внедрять изменения, начиная с небольшой группы, чтобы оценить результаты и выявить сильные и слабые стороны компании. </w:t>
      </w:r>
    </w:p>
    <w:p w14:paraId="72C339B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современной России удалённая работа становится всё более распространённой формой занятости, охватывая около 3,5 миллионов человек. Особенностью такой работы является ее географическая независимость - сотрудники могут выполнять обязанности как в пределах страны, так и за рубежом, при этом их фактическое местоположение часто указывается в качестве рабочего места.</w:t>
      </w:r>
    </w:p>
    <w:p w14:paraId="468ADF5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Анализ структуры удалённой занятости показывает три основных категории работников:</w:t>
      </w:r>
    </w:p>
    <w:p w14:paraId="58A66112" w14:textId="77777777" w:rsidR="00877DE5" w:rsidRPr="00877DE5" w:rsidRDefault="00877DE5" w:rsidP="00AD58CD">
      <w:pPr>
        <w:numPr>
          <w:ilvl w:val="0"/>
          <w:numId w:val="62"/>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самозанятые специалисты (10%);</w:t>
      </w:r>
    </w:p>
    <w:p w14:paraId="01E6DB4A" w14:textId="77777777" w:rsidR="00877DE5" w:rsidRPr="00877DE5" w:rsidRDefault="00877DE5" w:rsidP="00AD58CD">
      <w:pPr>
        <w:numPr>
          <w:ilvl w:val="0"/>
          <w:numId w:val="62"/>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фрилансеры (25%);</w:t>
      </w:r>
    </w:p>
    <w:p w14:paraId="10776101" w14:textId="77777777" w:rsidR="00877DE5" w:rsidRPr="00877DE5" w:rsidRDefault="00877DE5" w:rsidP="00AD58CD">
      <w:pPr>
        <w:numPr>
          <w:ilvl w:val="0"/>
          <w:numId w:val="62"/>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штатные сотрудники компаний, составляющие большинство (64%).</w:t>
      </w:r>
    </w:p>
    <w:p w14:paraId="4ED122E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Интересно отметить возрастные особенности дистанционной работы. Наибольшую долю занимают специалисты 30-39 лет, молодёжь составляет 20-25 лет. Это объясняется необходимостью получения молодыми специалистами очного опыта и навыков социализации, несмотря на их хорошее знакомство с цифровыми технологиями. При этом представители старшего поколения, несмотря на определённые сложности адаптации к цифровой среде, также составляют существенную часть удалённых работников. Данный формат работы оказывает значительное воздействие на корпоративную культуру, так как сокращает возможности для неформального общения между коллегами. В ответ организации создают альтернативные способы сплочения коллектива - проводят онлайн-мероприятия, внедряют дистанционные обучающие программы и используют специализированные платформы для повышения вовлеченности. Ключевым критерием эффективности становится не физическое присутствие на рабочем месте, а конкретные достижения сотрудников. Сокращение личных контактов увеличивает зависимость от цифровых средств коммуникации, что приводит к активному использованию корпоративных мессенджеров и платформ для видеоконференций. Привычные схемы мотивации, ориентированные на офисных работников, теряют актуальность. Вместо них компании разрабатывают системы оценки, которые фокусируются на реальных показателях продуктивности в условиях удаленного режима.</w:t>
      </w:r>
    </w:p>
    <w:p w14:paraId="4834E9F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1.3. Кейсы успешного внедрения инноваций в удаленных организациях. </w:t>
      </w:r>
    </w:p>
    <w:p w14:paraId="3100476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Яркие примеры внедрения таких технологий включают компьютерное зрение в магазинах X5 Retail Group, обеспечивающее 93,7% точность контроля выкладки товаров, big data-аналитику в «Ленте» на основе данных 13 млн карт лояльности, а также автоматизацию логистики в</w:t>
      </w:r>
    </w:p>
    <w:p w14:paraId="72BF12E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«Магните» с интеллектуальными системами маршрутизации и мониторинга водителей. Кроме того, автоматизированные планограммы в «Карусели» увеличили продажи отдельных категорий товаров на 5-10%, а мобильное приложение «Пульс-М» от «Магнита» создало прямой канал обратной связи с покупателями. Эти инновации не только повышают операционную эффективность, но и усиливают лояльность клиентов, сокращая издержки и увеличивая выручку ритейлеров.</w:t>
      </w:r>
    </w:p>
    <w:p w14:paraId="274415E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 xml:space="preserve">Практические рекомендации для организаций. В условиях стремительной цифровой трансформации бизнес-среды компании кардинально пересматривают принципы инвестиционного проектирования. Сегодня успешная реализация инновационных проектов требует комплексного подхода, сочетающего технологическую экспертизу с экономической эффективностью. Ключевыми приоритетами становятся: достижение целевых производственных показателей, соблюдение строгих стандартов качества и оптимизация сроков возврата инвестиций. Проектный менеджмент превратился в основной драйвер цифровой трансформации, обеспечивая: устойчивый рост ключевых бизнес-материк, максимальную отдачу от инвестиционных вложений, долгосрочное стратегическое развитие компаний. </w:t>
      </w:r>
    </w:p>
    <w:p w14:paraId="7A08585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Крупнейшие мировые корпорации с многомиллиардными оборотами успешно применяют проверенные принципы командной работы, основанные на автономии, гибкости и креативности. Далее представлю список основных принципов: </w:t>
      </w:r>
    </w:p>
    <w:p w14:paraId="2D31E842"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 xml:space="preserve">Радость важнее стресса, что обусловливает гибкость работы. </w:t>
      </w:r>
    </w:p>
    <w:p w14:paraId="6EA8001E"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Гибкость важнее структуры, чтобы быть адаптированным к внешним условиям.</w:t>
      </w:r>
    </w:p>
    <w:p w14:paraId="3E197E6D"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proofErr w:type="gramStart"/>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w:t>
      </w:r>
      <w:proofErr w:type="gramEnd"/>
      <w:r w:rsidRPr="00877DE5">
        <w:rPr>
          <w:rFonts w:ascii="Times New Roman" w:eastAsia="Times New Roman" w:hAnsi="Times New Roman" w:cs="Times New Roman"/>
          <w:sz w:val="32"/>
          <w:szCs w:val="32"/>
          <w:lang w:eastAsia="ru-RU"/>
        </w:rPr>
        <w:t>Мы» важнее «Я».</w:t>
      </w:r>
    </w:p>
    <w:p w14:paraId="7313FB6E"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Несерьезность важнее серьезности, что приветствует креатив.</w:t>
      </w:r>
    </w:p>
    <w:p w14:paraId="60A19103"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Совместная работа важнее иерархии.</w:t>
      </w:r>
    </w:p>
    <w:p w14:paraId="31450937"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Смелость важнее комфорта.</w:t>
      </w:r>
    </w:p>
    <w:p w14:paraId="407F56C0" w14:textId="77777777" w:rsidR="00877DE5" w:rsidRPr="00877DE5" w:rsidRDefault="00877DE5" w:rsidP="00AD58CD">
      <w:pPr>
        <w:numPr>
          <w:ilvl w:val="0"/>
          <w:numId w:val="44"/>
        </w:numPr>
        <w:spacing w:after="0" w:line="240" w:lineRule="auto"/>
        <w:ind w:firstLine="709"/>
        <w:jc w:val="both"/>
        <w:rPr>
          <w:rFonts w:ascii="Times New Roman" w:eastAsia="Times New Roman" w:hAnsi="Times New Roman" w:cs="Times New Roman"/>
          <w:sz w:val="32"/>
          <w:szCs w:val="32"/>
          <w:lang w:eastAsia="ru-RU"/>
        </w:rPr>
      </w:pP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Принципы важнее результата.</w:t>
      </w:r>
    </w:p>
    <w:p w14:paraId="702FE06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Грамотно организованная командная работа служит мощным инструментом преодоления типичных проблем коллективной деятельности. Практика показывает, что грамотно организованная совместная работа не только решает эти проблемы, но и создает синергетический эффект - коллективный результат превосходит сумму отдельных достижений. </w:t>
      </w:r>
    </w:p>
    <w:p w14:paraId="77C1F69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 практике Agile трансформировался в набор адаптивных методик, наиболее эффективных при разработке инноваций распределёнными командами. В условиях постпандемических вызовов российские компании особенно ценят гибкие методы за способность решать масштабные задачи при ограниченных ресурсах. Среди различных подходов особое место занимает Scrum, который сочетает: </w:t>
      </w:r>
      <w:r w:rsidRPr="00877DE5">
        <w:rPr>
          <w:rFonts w:ascii="Times New Roman" w:eastAsia="Times New Roman" w:hAnsi="Times New Roman" w:cs="Times New Roman"/>
          <w:sz w:val="32"/>
          <w:szCs w:val="32"/>
          <w:lang w:eastAsia="ru-RU"/>
        </w:rPr>
        <w:lastRenderedPageBreak/>
        <w:t xml:space="preserve">структурированность традиционного управления, гибкость </w:t>
      </w:r>
      <w:r w:rsidRPr="00877DE5">
        <w:rPr>
          <w:rFonts w:ascii="Times New Roman" w:eastAsia="Times New Roman" w:hAnsi="Times New Roman" w:cs="Times New Roman"/>
          <w:sz w:val="32"/>
          <w:szCs w:val="32"/>
          <w:lang w:val="en-GB" w:eastAsia="ru-RU"/>
        </w:rPr>
        <w:t>Agile</w:t>
      </w:r>
      <w:r w:rsidRPr="00877DE5">
        <w:rPr>
          <w:rFonts w:ascii="Times New Roman" w:eastAsia="Times New Roman" w:hAnsi="Times New Roman" w:cs="Times New Roman"/>
          <w:sz w:val="32"/>
          <w:szCs w:val="32"/>
          <w:lang w:eastAsia="ru-RU"/>
        </w:rPr>
        <w:t xml:space="preserve">-подхода, фокус на качестве продукта. Особенности и функции </w:t>
      </w:r>
      <w:r w:rsidRPr="00877DE5">
        <w:rPr>
          <w:rFonts w:ascii="Times New Roman" w:eastAsia="Times New Roman" w:hAnsi="Times New Roman" w:cs="Times New Roman"/>
          <w:sz w:val="32"/>
          <w:szCs w:val="32"/>
          <w:lang w:val="en-GB" w:eastAsia="ru-RU"/>
        </w:rPr>
        <w:t>Srum</w:t>
      </w:r>
      <w:r w:rsidRPr="00877DE5">
        <w:rPr>
          <w:rFonts w:ascii="Times New Roman" w:eastAsia="Times New Roman" w:hAnsi="Times New Roman" w:cs="Times New Roman"/>
          <w:sz w:val="32"/>
          <w:szCs w:val="32"/>
          <w:lang w:eastAsia="ru-RU"/>
        </w:rPr>
        <w:t xml:space="preserve"> являются: четкая постановка измеримых целей для каждого спринта, комплексное выполнение задач (в них входит: разработка, тестирование, доработка) и ориентация на готовый продуктовый инкремент. Этот метод эффективен как самостоятельный инструмент, так и в комбинации с другими практиками. </w:t>
      </w:r>
    </w:p>
    <w:p w14:paraId="671EBB4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Эффективная работа удаленных команд требует четких целей, объективного распределения задач и открытой коммуникации. Ключевые рекомендации: формулировать измеримые задачи, избегать предвзятости при делегировании, поощрять инициативу команды и поддерживать мотивацию.</w:t>
      </w:r>
    </w:p>
    <w:p w14:paraId="21036F5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Особое внимание следует уделять адаптации новых сотрудников через систему наставничества, регулярные проверки и прозрачные механизмы обратной связи. </w:t>
      </w:r>
    </w:p>
    <w:p w14:paraId="1BD2CFD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1.5. Практическая часть. В практической части данной научной статьи я взяла собственный опыт, который напрямую связан с темой моей работы. </w:t>
      </w:r>
    </w:p>
    <w:p w14:paraId="017D562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 сегодняшний день обладает немалой популярностью удаленная специальность – </w:t>
      </w:r>
      <w:r w:rsidRPr="00877DE5">
        <w:rPr>
          <w:rFonts w:ascii="Times New Roman" w:eastAsia="Times New Roman" w:hAnsi="Times New Roman" w:cs="Times New Roman"/>
          <w:sz w:val="32"/>
          <w:szCs w:val="32"/>
          <w:lang w:val="en-GB" w:eastAsia="ru-RU"/>
        </w:rPr>
        <w:t>SMM</w:t>
      </w:r>
      <w:r w:rsidRPr="00877DE5">
        <w:rPr>
          <w:rFonts w:ascii="Times New Roman" w:eastAsia="Times New Roman" w:hAnsi="Times New Roman" w:cs="Times New Roman"/>
          <w:sz w:val="32"/>
          <w:szCs w:val="32"/>
          <w:lang w:eastAsia="ru-RU"/>
        </w:rPr>
        <w:t>-менеджер. Это эксперт по продвижению в социальных сетях, помогает бизнесу, брендам, публичным лицам и организациям эффективно работать с аудиторией через соцсети. Включает стратегическое позиционирование, контент-маркетинг и управление репутацией в цифровой среде.</w:t>
      </w:r>
    </w:p>
    <w:p w14:paraId="405E321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Аббревиатура </w:t>
      </w:r>
      <w:r w:rsidRPr="00877DE5">
        <w:rPr>
          <w:rFonts w:ascii="Times New Roman" w:eastAsia="Times New Roman" w:hAnsi="Times New Roman" w:cs="Times New Roman"/>
          <w:sz w:val="32"/>
          <w:szCs w:val="32"/>
          <w:lang w:val="en-GB" w:eastAsia="ru-RU"/>
        </w:rPr>
        <w:t>SMM</w:t>
      </w:r>
      <w:r w:rsidRPr="00877DE5">
        <w:rPr>
          <w:rFonts w:ascii="Times New Roman" w:eastAsia="Times New Roman" w:hAnsi="Times New Roman" w:cs="Times New Roman"/>
          <w:sz w:val="32"/>
          <w:szCs w:val="32"/>
          <w:lang w:eastAsia="ru-RU"/>
        </w:rPr>
        <w:t xml:space="preserve"> расшифровывается как </w:t>
      </w:r>
      <w:r w:rsidRPr="00877DE5">
        <w:rPr>
          <w:rFonts w:ascii="Times New Roman" w:eastAsia="Times New Roman" w:hAnsi="Times New Roman" w:cs="Times New Roman"/>
          <w:sz w:val="32"/>
          <w:szCs w:val="32"/>
          <w:lang w:val="en-GB" w:eastAsia="ru-RU"/>
        </w:rPr>
        <w:t>social</w:t>
      </w:r>
      <w:r w:rsidRPr="00877DE5">
        <w:rPr>
          <w:rFonts w:ascii="Times New Roman" w:eastAsia="Times New Roman" w:hAnsi="Times New Roman" w:cs="Times New Roman"/>
          <w:sz w:val="32"/>
          <w:szCs w:val="32"/>
          <w:lang w:eastAsia="ru-RU"/>
        </w:rPr>
        <w:t xml:space="preserve"> </w:t>
      </w:r>
      <w:r w:rsidRPr="00877DE5">
        <w:rPr>
          <w:rFonts w:ascii="Times New Roman" w:eastAsia="Times New Roman" w:hAnsi="Times New Roman" w:cs="Times New Roman"/>
          <w:sz w:val="32"/>
          <w:szCs w:val="32"/>
          <w:lang w:val="en-GB" w:eastAsia="ru-RU"/>
        </w:rPr>
        <w:t>media</w:t>
      </w:r>
      <w:r w:rsidRPr="00877DE5">
        <w:rPr>
          <w:rFonts w:ascii="Times New Roman" w:eastAsia="Times New Roman" w:hAnsi="Times New Roman" w:cs="Times New Roman"/>
          <w:sz w:val="32"/>
          <w:szCs w:val="32"/>
          <w:lang w:eastAsia="ru-RU"/>
        </w:rPr>
        <w:t xml:space="preserve"> </w:t>
      </w:r>
      <w:r w:rsidRPr="00877DE5">
        <w:rPr>
          <w:rFonts w:ascii="Times New Roman" w:eastAsia="Times New Roman" w:hAnsi="Times New Roman" w:cs="Times New Roman"/>
          <w:sz w:val="32"/>
          <w:szCs w:val="32"/>
          <w:lang w:val="en-GB" w:eastAsia="ru-RU"/>
        </w:rPr>
        <w:t>marketing</w:t>
      </w:r>
      <w:r w:rsidRPr="00877DE5">
        <w:rPr>
          <w:rFonts w:ascii="Times New Roman" w:eastAsia="Times New Roman" w:hAnsi="Times New Roman" w:cs="Times New Roman"/>
          <w:sz w:val="32"/>
          <w:szCs w:val="32"/>
          <w:lang w:eastAsia="ru-RU"/>
        </w:rPr>
        <w:t xml:space="preserve">, то есть маркетинг в социальных медиа. </w:t>
      </w:r>
    </w:p>
    <w:p w14:paraId="78B3763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Ключевые функции </w:t>
      </w:r>
      <w:r w:rsidRPr="00877DE5">
        <w:rPr>
          <w:rFonts w:ascii="Times New Roman" w:eastAsia="Times New Roman" w:hAnsi="Times New Roman" w:cs="Times New Roman"/>
          <w:sz w:val="32"/>
          <w:szCs w:val="32"/>
          <w:lang w:val="en-GB" w:eastAsia="ru-RU"/>
        </w:rPr>
        <w:t>SMM</w:t>
      </w:r>
      <w:r w:rsidRPr="00877DE5">
        <w:rPr>
          <w:rFonts w:ascii="Times New Roman" w:eastAsia="Times New Roman" w:hAnsi="Times New Roman" w:cs="Times New Roman"/>
          <w:sz w:val="32"/>
          <w:szCs w:val="32"/>
          <w:lang w:eastAsia="ru-RU"/>
        </w:rPr>
        <w:t xml:space="preserve"> – менеджера:</w:t>
      </w:r>
    </w:p>
    <w:p w14:paraId="17CBF31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1.Стратегия продвижения </w:t>
      </w:r>
      <w:r w:rsidRPr="00877DE5">
        <w:rPr>
          <w:rFonts w:ascii="Tahoma" w:eastAsia="Times New Roman" w:hAnsi="Tahoma" w:cs="Tahoma"/>
          <w:sz w:val="32"/>
          <w:szCs w:val="32"/>
          <w:lang w:eastAsia="ru-RU"/>
        </w:rPr>
        <w:t>﻿﻿﻿</w:t>
      </w:r>
      <w:r w:rsidRPr="00877DE5">
        <w:rPr>
          <w:rFonts w:ascii="Times New Roman" w:eastAsia="Times New Roman" w:hAnsi="Times New Roman" w:cs="Times New Roman"/>
          <w:sz w:val="32"/>
          <w:szCs w:val="32"/>
          <w:lang w:eastAsia="ru-RU"/>
        </w:rPr>
        <w:t>Стратегия продвижения</w:t>
      </w:r>
      <w:r w:rsidRPr="00877DE5">
        <w:rPr>
          <w:rFonts w:ascii="Times New Roman" w:eastAsia="Times New Roman" w:hAnsi="Times New Roman" w:cs="Times New Roman"/>
          <w:sz w:val="32"/>
          <w:szCs w:val="32"/>
          <w:lang w:eastAsia="ru-RU"/>
        </w:rPr>
        <w:br/>
        <w:t>Анализ позиционирования бренда, исследование ЦА и конкурентов, формирование плана развития соцсетей для достижения бизнес-целей.</w:t>
      </w:r>
    </w:p>
    <w:p w14:paraId="063915EB"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2.Контент-планирование. Составление графика публикаций (формат, темы, платформы) с детализацией в таблицах.</w:t>
      </w:r>
    </w:p>
    <w:p w14:paraId="570A8F1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3.Производство контента. Подготовка материалов: Тексты (самостоятельно или с копирайтером); Визуал (фото/видео, сторис, рилс) - часто в коллаборации с дизайнерами. </w:t>
      </w:r>
    </w:p>
    <w:p w14:paraId="4B1F6FF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4.Комьюнити-менеджмент. работа с аудиторией: ответы на комментарии/сообщения, проведение активностей (конкурсы, коллабы), сотрудничество с блогерами.</w:t>
      </w:r>
    </w:p>
    <w:p w14:paraId="1016588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 xml:space="preserve">5.Анализ эффективности. </w:t>
      </w:r>
      <w:r w:rsidRPr="00877DE5">
        <w:rPr>
          <w:rFonts w:ascii="Times New Roman" w:eastAsia="Times New Roman" w:hAnsi="Times New Roman" w:cs="Times New Roman"/>
          <w:sz w:val="32"/>
          <w:szCs w:val="32"/>
          <w:lang w:val="en-GB" w:eastAsia="ru-RU"/>
        </w:rPr>
        <w:t>ER</w:t>
      </w:r>
      <w:r w:rsidRPr="00877DE5">
        <w:rPr>
          <w:rFonts w:ascii="Times New Roman" w:eastAsia="Times New Roman" w:hAnsi="Times New Roman" w:cs="Times New Roman"/>
          <w:sz w:val="32"/>
          <w:szCs w:val="32"/>
          <w:lang w:eastAsia="ru-RU"/>
        </w:rPr>
        <w:t xml:space="preserve"> – вовлеченность, охваты и конверсии. Преимущества данной специальности заключается в следующем: востребованность согласно данным hh.ru, в 2022 году на российском рынке труда было открыто около 50 тысяч вакансий в сфере маркетинга и PR. Универсальность SMM-менеджеры нужны в самых разных отраслях - от торговли и услуг до Т и медиа. Это позволяет выбрать работу в интересной</w:t>
      </w:r>
    </w:p>
    <w:p w14:paraId="444FF78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Для себя сфере. Возможность удалённой работы Профессия даёт возможность:</w:t>
      </w:r>
    </w:p>
    <w:p w14:paraId="4AD8F6B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работать из любой точки мира</w:t>
      </w:r>
    </w:p>
    <w:p w14:paraId="007E05E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Подходит для людей с ограниченными возможностями</w:t>
      </w:r>
    </w:p>
    <w:p w14:paraId="7DB4471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Позволяет совмещать работу с путешествиями. </w:t>
      </w:r>
    </w:p>
    <w:p w14:paraId="0817A8E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Перспективы роста. С развитием digital-маркетинга спрос на SMM-специалистов продолжает расти, открывая возможности для карьерного развития и высокого дохода.</w:t>
      </w:r>
    </w:p>
    <w:p w14:paraId="0EB774D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Для меня эта специальность является истоком творчества, воплощением потока идей и открытием новых возможностей. Несмотря на то, что являюсь начинающим специалистом я уже имею проекты и активно развиваюсь в этой сфере. На данных слайдах предоставлю примеры мною разработанных визуалов бизнес-аккаунтов, примеры контент-плана и охваты аккаунтов. </w:t>
      </w:r>
    </w:p>
    <w:p w14:paraId="2F095A0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Мои рекомендации начинающим специалистам: проведение аналитики, анализ целевой аудитории, конкурентов, работа с ЦА, создание контент-стратегии,</w:t>
      </w:r>
      <w:r w:rsidR="003826E8">
        <w:rPr>
          <w:rFonts w:ascii="Times New Roman" w:eastAsia="Times New Roman" w:hAnsi="Times New Roman" w:cs="Times New Roman"/>
          <w:sz w:val="32"/>
          <w:szCs w:val="32"/>
          <w:lang w:eastAsia="ru-RU"/>
        </w:rPr>
        <w:t xml:space="preserve"> </w:t>
      </w:r>
      <w:r w:rsidRPr="00877DE5">
        <w:rPr>
          <w:rFonts w:ascii="Times New Roman" w:eastAsia="Times New Roman" w:hAnsi="Times New Roman" w:cs="Times New Roman"/>
          <w:sz w:val="32"/>
          <w:szCs w:val="32"/>
          <w:lang w:eastAsia="ru-RU"/>
        </w:rPr>
        <w:t xml:space="preserve">отслеживание модных </w:t>
      </w:r>
      <w:proofErr w:type="gramStart"/>
      <w:r w:rsidRPr="00877DE5">
        <w:rPr>
          <w:rFonts w:ascii="Times New Roman" w:eastAsia="Times New Roman" w:hAnsi="Times New Roman" w:cs="Times New Roman"/>
          <w:sz w:val="32"/>
          <w:szCs w:val="32"/>
          <w:lang w:eastAsia="ru-RU"/>
        </w:rPr>
        <w:t>тенденций,  оценка</w:t>
      </w:r>
      <w:proofErr w:type="gramEnd"/>
      <w:r w:rsidRPr="00877DE5">
        <w:rPr>
          <w:rFonts w:ascii="Times New Roman" w:eastAsia="Times New Roman" w:hAnsi="Times New Roman" w:cs="Times New Roman"/>
          <w:sz w:val="32"/>
          <w:szCs w:val="32"/>
          <w:lang w:eastAsia="ru-RU"/>
        </w:rPr>
        <w:t xml:space="preserve"> результативности и самое важное вера в себя и в свои силы.</w:t>
      </w:r>
    </w:p>
    <w:p w14:paraId="14CFB22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Заключение. Проведенное исследование наглядно демонстрирует фундаментальную трансформацию подходов к управлению организационными изменениями в условиях повсеместного перехода на удаленные форматы работы. Анализ существующих практик и кейсов внедрения изменений позволяет сделать следующие выводы. Традиционные модели управления изменениями, разработанные для офисных форматов работы, требуют существенной модернизации и адаптации к новым реалиям цифровой среды. Для дистанционной работы важны факторы успеха изменений как: организационная гибкость и адаптивность, системная вовлеченность сотрудников, трансформация корпоративной культуры, эффективность цифровых коммуникаций. Практика подтверждает необходимость: активно внедрять современные </w:t>
      </w:r>
      <w:r w:rsidRPr="00877DE5">
        <w:rPr>
          <w:rFonts w:ascii="Times New Roman" w:eastAsia="Times New Roman" w:hAnsi="Times New Roman" w:cs="Times New Roman"/>
          <w:sz w:val="32"/>
          <w:szCs w:val="32"/>
          <w:lang w:val="en-GB" w:eastAsia="ru-RU"/>
        </w:rPr>
        <w:t>digital</w:t>
      </w:r>
      <w:r w:rsidRPr="00877DE5">
        <w:rPr>
          <w:rFonts w:ascii="Times New Roman" w:eastAsia="Times New Roman" w:hAnsi="Times New Roman" w:cs="Times New Roman"/>
          <w:sz w:val="32"/>
          <w:szCs w:val="32"/>
          <w:lang w:eastAsia="ru-RU"/>
        </w:rPr>
        <w:t xml:space="preserve">-инструменты, развивать адаптивные компетенции сотрудников и постоянный мониторинг </w:t>
      </w:r>
      <w:r w:rsidRPr="00877DE5">
        <w:rPr>
          <w:rFonts w:ascii="Times New Roman" w:eastAsia="Times New Roman" w:hAnsi="Times New Roman" w:cs="Times New Roman"/>
          <w:sz w:val="32"/>
          <w:szCs w:val="32"/>
          <w:lang w:eastAsia="ru-RU"/>
        </w:rPr>
        <w:lastRenderedPageBreak/>
        <w:t>психологического климата в команде. Полученные результаты имеют значительную практическую ценность для организаций, осуществляющих цифровую трансформацию и переход на гибридные форматы работы. Они позволяют сформировать научно обоснованный подход к управлению изменениями в новых экономических реалиях.</w:t>
      </w:r>
    </w:p>
    <w:p w14:paraId="7EF28CC8" w14:textId="77777777" w:rsidR="00877DE5" w:rsidRPr="00877DE5" w:rsidRDefault="00877DE5" w:rsidP="00067100">
      <w:pPr>
        <w:tabs>
          <w:tab w:val="left" w:pos="0"/>
        </w:tabs>
        <w:suppressAutoHyphens/>
        <w:autoSpaceDE w:val="0"/>
        <w:spacing w:after="0" w:line="240" w:lineRule="auto"/>
        <w:ind w:left="360" w:firstLine="709"/>
        <w:jc w:val="both"/>
        <w:rPr>
          <w:rFonts w:ascii="Times New Roman" w:eastAsia="Times New Roman" w:hAnsi="Times New Roman" w:cs="Times New Roman"/>
          <w:sz w:val="21"/>
          <w:szCs w:val="21"/>
          <w:lang w:val="x-none" w:eastAsia="ar-SA"/>
        </w:rPr>
      </w:pPr>
    </w:p>
    <w:p w14:paraId="3A0FD635" w14:textId="77777777" w:rsidR="00877DE5" w:rsidRPr="00877DE5" w:rsidRDefault="00877DE5" w:rsidP="00172EAB">
      <w:pPr>
        <w:tabs>
          <w:tab w:val="left" w:pos="0"/>
        </w:tabs>
        <w:suppressAutoHyphens/>
        <w:autoSpaceDE w:val="0"/>
        <w:spacing w:after="0" w:line="240" w:lineRule="auto"/>
        <w:ind w:firstLine="709"/>
        <w:jc w:val="center"/>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val="x-none" w:eastAsia="ar-SA"/>
        </w:rPr>
        <w:t>Литература</w:t>
      </w:r>
      <w:r w:rsidRPr="00877DE5">
        <w:rPr>
          <w:rFonts w:ascii="Times New Roman" w:eastAsia="Times New Roman" w:hAnsi="Times New Roman" w:cs="Times New Roman"/>
          <w:b/>
          <w:sz w:val="21"/>
          <w:szCs w:val="21"/>
          <w:lang w:eastAsia="ar-SA"/>
        </w:rPr>
        <w:t>:</w:t>
      </w:r>
    </w:p>
    <w:p w14:paraId="0C998B58" w14:textId="77777777" w:rsidR="00877DE5" w:rsidRPr="00877DE5" w:rsidRDefault="00877DE5" w:rsidP="00AD58CD">
      <w:pPr>
        <w:numPr>
          <w:ilvl w:val="0"/>
          <w:numId w:val="63"/>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Артемьев Д.Г., Гребенщикова Е.Н. Достижение ключевых факторов успеха проектов по внедрению сложной системы продуктов на разных стадиях жизненного цикла // НИР. Российский журнал управления проектами. — 2016. — № 3. — С. 48:3-18. DOI: 10.12737/20670.</w:t>
      </w:r>
    </w:p>
    <w:p w14:paraId="79836B82" w14:textId="77777777" w:rsidR="00877DE5" w:rsidRPr="00877DE5" w:rsidRDefault="00877DE5" w:rsidP="00AD58CD">
      <w:pPr>
        <w:numPr>
          <w:ilvl w:val="0"/>
          <w:numId w:val="63"/>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Былинина Л. А. Особенности развития организационной культуры предприятия в условиях цифровизации // Конференция «Ломоносов 2021». — Симферополь, 2021. — [б. с.].</w:t>
      </w:r>
    </w:p>
    <w:p w14:paraId="41C05170" w14:textId="77777777" w:rsidR="00877DE5" w:rsidRPr="00877DE5" w:rsidRDefault="00877DE5" w:rsidP="00AD58CD">
      <w:pPr>
        <w:numPr>
          <w:ilvl w:val="0"/>
          <w:numId w:val="63"/>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Воеводина Е. С., Жарикова В. С., Касьянова А.Д., Рамазанова Е. В., Урдаева С. Б. Трансформация управления качеством в условиях удаленной работы: методы и цифровые инструменты // Бизнес-образование в экономике знаний. — 2025. — № 1. — С. 9–10.</w:t>
      </w:r>
    </w:p>
    <w:p w14:paraId="641169B5" w14:textId="147469E6" w:rsidR="006F5395" w:rsidRDefault="00877DE5" w:rsidP="00AD58CD">
      <w:pPr>
        <w:numPr>
          <w:ilvl w:val="0"/>
          <w:numId w:val="63"/>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Кузьмицкий В.Д. Разработка и реализация инновационных технологий в управлении персоналом // [б. и.]. — [б. м.], [б. г.]. — [б. с.].</w:t>
      </w:r>
    </w:p>
    <w:p w14:paraId="5607B759" w14:textId="77777777" w:rsidR="006F5395" w:rsidRDefault="006F5395" w:rsidP="006F5395">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p>
    <w:p w14:paraId="230D9367" w14:textId="77777777" w:rsidR="006F5395" w:rsidRPr="00877DE5" w:rsidRDefault="006F5395" w:rsidP="006F5395">
      <w:pPr>
        <w:spacing w:after="0" w:line="240" w:lineRule="auto"/>
        <w:rPr>
          <w:rFonts w:ascii="Times New Roman" w:eastAsia="Times New Roman" w:hAnsi="Times New Roman" w:cs="Times New Roman"/>
          <w:b/>
          <w:kern w:val="2"/>
          <w:sz w:val="24"/>
          <w:szCs w:val="24"/>
          <w:lang w:eastAsia="ru-RU"/>
        </w:rPr>
      </w:pPr>
      <w:r w:rsidRPr="00877DE5">
        <w:rPr>
          <w:rFonts w:ascii="Times New Roman" w:eastAsia="Times New Roman" w:hAnsi="Times New Roman" w:cs="Times New Roman"/>
          <w:b/>
          <w:kern w:val="2"/>
          <w:sz w:val="24"/>
          <w:szCs w:val="24"/>
          <w:lang w:eastAsia="ru-RU"/>
        </w:rPr>
        <w:t>УДК 339</w:t>
      </w:r>
    </w:p>
    <w:p w14:paraId="5ADC920F" w14:textId="77777777" w:rsidR="006F5395" w:rsidRPr="00E11029" w:rsidRDefault="006F5395" w:rsidP="006F5395">
      <w:pPr>
        <w:spacing w:after="0" w:line="240" w:lineRule="auto"/>
        <w:ind w:firstLine="709"/>
        <w:jc w:val="right"/>
        <w:rPr>
          <w:rFonts w:ascii="Times New Roman" w:eastAsia="Times New Roman" w:hAnsi="Times New Roman" w:cs="Times New Roman"/>
          <w:b/>
          <w:i/>
          <w:kern w:val="2"/>
          <w:sz w:val="21"/>
          <w:szCs w:val="21"/>
          <w:lang w:eastAsia="ru-RU"/>
        </w:rPr>
      </w:pPr>
      <w:r w:rsidRPr="00E11029">
        <w:rPr>
          <w:rFonts w:ascii="Times New Roman" w:eastAsia="Times New Roman" w:hAnsi="Times New Roman" w:cs="Times New Roman"/>
          <w:b/>
          <w:i/>
          <w:kern w:val="2"/>
          <w:sz w:val="21"/>
          <w:szCs w:val="21"/>
          <w:lang w:eastAsia="ru-RU"/>
        </w:rPr>
        <w:t>Кривкова Е.А.,</w:t>
      </w:r>
    </w:p>
    <w:p w14:paraId="5ADC39C4"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Студент 2 курса</w:t>
      </w:r>
    </w:p>
    <w:p w14:paraId="4DA0F8C2"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Краснодарский филиал Финансового университета при Правительстве Российской Федерации</w:t>
      </w:r>
    </w:p>
    <w:p w14:paraId="3373FB2D"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Г. Краснодар, Россия</w:t>
      </w:r>
    </w:p>
    <w:p w14:paraId="0377B8E1"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e-mail: eseniyakrivkova@gmail.com</w:t>
      </w:r>
    </w:p>
    <w:p w14:paraId="22FC46D0"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p>
    <w:p w14:paraId="43356072" w14:textId="77777777" w:rsidR="006F5395" w:rsidRPr="00E11029" w:rsidRDefault="006F5395" w:rsidP="006F5395">
      <w:pPr>
        <w:spacing w:after="0" w:line="240" w:lineRule="auto"/>
        <w:ind w:firstLine="709"/>
        <w:jc w:val="right"/>
        <w:rPr>
          <w:rFonts w:ascii="Times New Roman" w:eastAsia="Times New Roman" w:hAnsi="Times New Roman" w:cs="Times New Roman"/>
          <w:b/>
          <w:i/>
          <w:kern w:val="2"/>
          <w:sz w:val="21"/>
          <w:szCs w:val="21"/>
          <w:lang w:eastAsia="ru-RU"/>
        </w:rPr>
      </w:pPr>
      <w:r w:rsidRPr="00E11029">
        <w:rPr>
          <w:rFonts w:ascii="Times New Roman" w:eastAsia="Times New Roman" w:hAnsi="Times New Roman" w:cs="Times New Roman"/>
          <w:b/>
          <w:i/>
          <w:kern w:val="2"/>
          <w:sz w:val="21"/>
          <w:szCs w:val="21"/>
          <w:lang w:eastAsia="ru-RU"/>
        </w:rPr>
        <w:t>Научный руководитель:</w:t>
      </w:r>
    </w:p>
    <w:p w14:paraId="71C1C8CE" w14:textId="77777777" w:rsidR="006F5395" w:rsidRPr="00E11029" w:rsidRDefault="006F5395" w:rsidP="006F5395">
      <w:pPr>
        <w:spacing w:after="0" w:line="240" w:lineRule="auto"/>
        <w:ind w:firstLine="709"/>
        <w:jc w:val="right"/>
        <w:rPr>
          <w:rFonts w:ascii="Times New Roman" w:eastAsia="Times New Roman" w:hAnsi="Times New Roman" w:cs="Times New Roman"/>
          <w:b/>
          <w:i/>
          <w:kern w:val="2"/>
          <w:sz w:val="21"/>
          <w:szCs w:val="21"/>
          <w:lang w:eastAsia="ru-RU"/>
        </w:rPr>
      </w:pPr>
      <w:r w:rsidRPr="00E11029">
        <w:rPr>
          <w:rFonts w:ascii="Times New Roman" w:eastAsia="Times New Roman" w:hAnsi="Times New Roman" w:cs="Times New Roman"/>
          <w:b/>
          <w:i/>
          <w:kern w:val="2"/>
          <w:sz w:val="21"/>
          <w:szCs w:val="21"/>
          <w:lang w:eastAsia="ru-RU"/>
        </w:rPr>
        <w:t>Артюшкова А.Ю.,</w:t>
      </w:r>
    </w:p>
    <w:p w14:paraId="32418D69"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Краснодарский филиал Финансового университета при Правительстве Российской Федерации</w:t>
      </w:r>
    </w:p>
    <w:p w14:paraId="17DAB151"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eastAsia="ru-RU"/>
        </w:rPr>
      </w:pPr>
      <w:r w:rsidRPr="00E11029">
        <w:rPr>
          <w:rFonts w:ascii="Times New Roman" w:eastAsia="Times New Roman" w:hAnsi="Times New Roman" w:cs="Times New Roman"/>
          <w:i/>
          <w:kern w:val="2"/>
          <w:sz w:val="21"/>
          <w:szCs w:val="21"/>
          <w:lang w:eastAsia="ru-RU"/>
        </w:rPr>
        <w:t>Г. Краснодар, Россия</w:t>
      </w:r>
    </w:p>
    <w:p w14:paraId="3BD11E6F" w14:textId="77777777" w:rsidR="006F5395" w:rsidRPr="00E11029" w:rsidRDefault="006F5395" w:rsidP="006F5395">
      <w:pPr>
        <w:spacing w:after="0" w:line="240" w:lineRule="auto"/>
        <w:ind w:firstLine="709"/>
        <w:jc w:val="right"/>
        <w:rPr>
          <w:rFonts w:ascii="Times New Roman" w:eastAsia="Times New Roman" w:hAnsi="Times New Roman" w:cs="Times New Roman"/>
          <w:i/>
          <w:color w:val="000080"/>
          <w:kern w:val="2"/>
          <w:sz w:val="21"/>
          <w:szCs w:val="21"/>
          <w:u w:val="single"/>
          <w:lang w:eastAsia="ru-RU"/>
        </w:rPr>
      </w:pPr>
      <w:r w:rsidRPr="00E11029">
        <w:rPr>
          <w:rFonts w:ascii="Times New Roman" w:eastAsia="Times New Roman" w:hAnsi="Times New Roman" w:cs="Times New Roman"/>
          <w:i/>
          <w:kern w:val="2"/>
          <w:sz w:val="21"/>
          <w:szCs w:val="21"/>
          <w:lang w:eastAsia="ru-RU"/>
        </w:rPr>
        <w:t xml:space="preserve">e-mail: </w:t>
      </w:r>
      <w:hyperlink r:id="rId311" w:history="1">
        <w:r w:rsidRPr="00E11029">
          <w:rPr>
            <w:rFonts w:ascii="Times New Roman" w:eastAsia="Times New Roman" w:hAnsi="Times New Roman" w:cs="Times New Roman"/>
            <w:i/>
            <w:color w:val="000080"/>
            <w:kern w:val="2"/>
            <w:sz w:val="21"/>
            <w:szCs w:val="21"/>
            <w:u w:val="single"/>
            <w:lang w:eastAsia="ru-RU"/>
          </w:rPr>
          <w:t>AYUArtyushkova@fa.ru</w:t>
        </w:r>
      </w:hyperlink>
    </w:p>
    <w:p w14:paraId="60895007" w14:textId="77777777" w:rsidR="006F5395" w:rsidRPr="00E11029" w:rsidRDefault="006F5395" w:rsidP="006F5395">
      <w:pPr>
        <w:spacing w:after="0" w:line="240" w:lineRule="auto"/>
        <w:ind w:firstLine="709"/>
        <w:jc w:val="right"/>
        <w:rPr>
          <w:rFonts w:ascii="Times New Roman" w:eastAsia="Times New Roman" w:hAnsi="Times New Roman" w:cs="Times New Roman"/>
          <w:i/>
          <w:color w:val="000080"/>
          <w:kern w:val="2"/>
          <w:sz w:val="21"/>
          <w:szCs w:val="21"/>
          <w:u w:val="single"/>
          <w:lang w:eastAsia="ru-RU"/>
        </w:rPr>
      </w:pPr>
    </w:p>
    <w:p w14:paraId="0ED0163B" w14:textId="77777777" w:rsidR="006F5395" w:rsidRDefault="006F5395" w:rsidP="006F5395">
      <w:pPr>
        <w:spacing w:after="0" w:line="240" w:lineRule="auto"/>
        <w:jc w:val="center"/>
        <w:rPr>
          <w:rFonts w:ascii="Times New Roman" w:eastAsia="Times New Roman" w:hAnsi="Times New Roman" w:cs="Times New Roman"/>
          <w:b/>
          <w:kern w:val="2"/>
          <w:sz w:val="21"/>
          <w:szCs w:val="21"/>
          <w:lang w:eastAsia="ru-RU"/>
        </w:rPr>
      </w:pPr>
      <w:r w:rsidRPr="00E11029">
        <w:rPr>
          <w:rFonts w:ascii="Times New Roman" w:eastAsia="Times New Roman" w:hAnsi="Times New Roman" w:cs="Times New Roman"/>
          <w:b/>
          <w:kern w:val="2"/>
          <w:sz w:val="21"/>
          <w:szCs w:val="21"/>
          <w:lang w:eastAsia="ru-RU"/>
        </w:rPr>
        <w:t>Применение lean-технологий в совершенствовании производственной деятельности компании</w:t>
      </w:r>
    </w:p>
    <w:p w14:paraId="5FF1884F" w14:textId="77777777" w:rsidR="006F5395" w:rsidRPr="00E11029" w:rsidRDefault="006F5395" w:rsidP="006F5395">
      <w:pPr>
        <w:spacing w:after="0" w:line="240" w:lineRule="auto"/>
        <w:jc w:val="center"/>
        <w:rPr>
          <w:rFonts w:ascii="Times New Roman" w:eastAsia="Times New Roman" w:hAnsi="Times New Roman" w:cs="Times New Roman"/>
          <w:b/>
          <w:kern w:val="2"/>
          <w:sz w:val="21"/>
          <w:szCs w:val="21"/>
          <w:lang w:eastAsia="ru-RU"/>
        </w:rPr>
      </w:pPr>
    </w:p>
    <w:p w14:paraId="5007255A" w14:textId="77777777" w:rsidR="006F5395" w:rsidRPr="00E11029" w:rsidRDefault="006F5395" w:rsidP="006F5395">
      <w:pPr>
        <w:spacing w:after="0" w:line="240" w:lineRule="auto"/>
        <w:ind w:firstLine="709"/>
        <w:jc w:val="both"/>
        <w:rPr>
          <w:rFonts w:ascii="Times New Roman" w:eastAsia="Times New Roman" w:hAnsi="Times New Roman" w:cs="Times New Roman"/>
          <w:bCs/>
          <w:kern w:val="2"/>
          <w:sz w:val="21"/>
          <w:szCs w:val="21"/>
          <w:lang w:eastAsia="ru-RU"/>
        </w:rPr>
      </w:pPr>
      <w:r w:rsidRPr="00E11029">
        <w:rPr>
          <w:rFonts w:ascii="Times New Roman" w:eastAsia="Times New Roman" w:hAnsi="Times New Roman" w:cs="Times New Roman"/>
          <w:b/>
          <w:kern w:val="2"/>
          <w:sz w:val="21"/>
          <w:szCs w:val="21"/>
          <w:lang w:eastAsia="ru-RU"/>
        </w:rPr>
        <w:t>Аннотация</w:t>
      </w:r>
      <w:r w:rsidRPr="00E11029">
        <w:rPr>
          <w:rFonts w:ascii="Times New Roman" w:eastAsia="Times New Roman" w:hAnsi="Times New Roman" w:cs="Times New Roman"/>
          <w:bCs/>
          <w:kern w:val="2"/>
          <w:sz w:val="21"/>
          <w:szCs w:val="21"/>
          <w:lang w:eastAsia="ru-RU"/>
        </w:rPr>
        <w:t>: Lean-технологии, или бережливое производство, представляют собой подход к управлению, целью которого является минимизация потерь и оптимизация процессов с максимальным увеличением ценности для клиента.</w:t>
      </w:r>
    </w:p>
    <w:p w14:paraId="3D30C1B1" w14:textId="77777777" w:rsidR="006F5395" w:rsidRPr="00E11029" w:rsidRDefault="006F5395" w:rsidP="006F5395">
      <w:pPr>
        <w:spacing w:after="0" w:line="240" w:lineRule="auto"/>
        <w:ind w:firstLine="709"/>
        <w:jc w:val="both"/>
        <w:rPr>
          <w:rFonts w:ascii="Times New Roman" w:eastAsia="Times New Roman" w:hAnsi="Times New Roman" w:cs="Times New Roman"/>
          <w:bCs/>
          <w:kern w:val="2"/>
          <w:sz w:val="21"/>
          <w:szCs w:val="21"/>
          <w:lang w:eastAsia="ru-RU"/>
        </w:rPr>
      </w:pPr>
      <w:r w:rsidRPr="00E11029">
        <w:rPr>
          <w:rFonts w:ascii="Times New Roman" w:eastAsia="Times New Roman" w:hAnsi="Times New Roman" w:cs="Times New Roman"/>
          <w:b/>
          <w:kern w:val="2"/>
          <w:sz w:val="21"/>
          <w:szCs w:val="21"/>
          <w:lang w:eastAsia="ru-RU"/>
        </w:rPr>
        <w:t>Ключевые слова</w:t>
      </w:r>
      <w:r w:rsidRPr="00E11029">
        <w:rPr>
          <w:rFonts w:ascii="Times New Roman" w:eastAsia="Times New Roman" w:hAnsi="Times New Roman" w:cs="Times New Roman"/>
          <w:bCs/>
          <w:kern w:val="2"/>
          <w:sz w:val="21"/>
          <w:szCs w:val="21"/>
          <w:lang w:eastAsia="ru-RU"/>
        </w:rPr>
        <w:t xml:space="preserve">: минимизация потерь, оптимизация процессов, повышение эффективности, качество продукции </w:t>
      </w:r>
    </w:p>
    <w:p w14:paraId="12836E88" w14:textId="77777777" w:rsidR="006F5395" w:rsidRPr="00E11029" w:rsidRDefault="006F5395" w:rsidP="006F5395">
      <w:pPr>
        <w:spacing w:after="0" w:line="240" w:lineRule="auto"/>
        <w:ind w:firstLine="709"/>
        <w:jc w:val="both"/>
        <w:rPr>
          <w:rFonts w:ascii="Times New Roman" w:eastAsia="Times New Roman" w:hAnsi="Times New Roman" w:cs="Times New Roman"/>
          <w:bCs/>
          <w:kern w:val="2"/>
          <w:sz w:val="21"/>
          <w:szCs w:val="21"/>
          <w:lang w:eastAsia="ru-RU"/>
        </w:rPr>
      </w:pPr>
    </w:p>
    <w:p w14:paraId="573418F8" w14:textId="77777777" w:rsidR="006F5395" w:rsidRPr="006F5395" w:rsidRDefault="006F5395" w:rsidP="006F5395">
      <w:pPr>
        <w:spacing w:after="0" w:line="240" w:lineRule="auto"/>
        <w:ind w:firstLine="709"/>
        <w:jc w:val="right"/>
        <w:rPr>
          <w:rFonts w:ascii="Times New Roman" w:eastAsia="Times New Roman" w:hAnsi="Times New Roman" w:cs="Times New Roman"/>
          <w:b/>
          <w:i/>
          <w:kern w:val="2"/>
          <w:sz w:val="21"/>
          <w:szCs w:val="21"/>
          <w:lang w:val="en-US" w:eastAsia="ru-RU"/>
        </w:rPr>
      </w:pPr>
      <w:r w:rsidRPr="00E11029">
        <w:rPr>
          <w:rFonts w:ascii="Times New Roman" w:eastAsia="Times New Roman" w:hAnsi="Times New Roman" w:cs="Times New Roman"/>
          <w:b/>
          <w:i/>
          <w:kern w:val="2"/>
          <w:sz w:val="21"/>
          <w:szCs w:val="21"/>
          <w:lang w:val="en-US" w:eastAsia="ru-RU"/>
        </w:rPr>
        <w:t>Krivkova</w:t>
      </w:r>
      <w:r w:rsidRPr="006F5395">
        <w:rPr>
          <w:rFonts w:ascii="Times New Roman" w:eastAsia="Times New Roman" w:hAnsi="Times New Roman" w:cs="Times New Roman"/>
          <w:b/>
          <w:i/>
          <w:kern w:val="2"/>
          <w:sz w:val="21"/>
          <w:szCs w:val="21"/>
          <w:lang w:val="en-US" w:eastAsia="ru-RU"/>
        </w:rPr>
        <w:t xml:space="preserve"> </w:t>
      </w:r>
      <w:r w:rsidRPr="00E11029">
        <w:rPr>
          <w:rFonts w:ascii="Times New Roman" w:eastAsia="Times New Roman" w:hAnsi="Times New Roman" w:cs="Times New Roman"/>
          <w:b/>
          <w:i/>
          <w:kern w:val="2"/>
          <w:sz w:val="21"/>
          <w:szCs w:val="21"/>
          <w:lang w:val="en-US" w:eastAsia="ru-RU"/>
        </w:rPr>
        <w:t>E.A</w:t>
      </w:r>
      <w:r w:rsidRPr="006F5395">
        <w:rPr>
          <w:rFonts w:ascii="Times New Roman" w:eastAsia="Times New Roman" w:hAnsi="Times New Roman" w:cs="Times New Roman"/>
          <w:b/>
          <w:i/>
          <w:kern w:val="2"/>
          <w:sz w:val="21"/>
          <w:szCs w:val="21"/>
          <w:lang w:val="en-US" w:eastAsia="ru-RU"/>
        </w:rPr>
        <w:t>.,</w:t>
      </w:r>
    </w:p>
    <w:p w14:paraId="04AEB977"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 xml:space="preserve"> Student, 2 courses</w:t>
      </w:r>
    </w:p>
    <w:p w14:paraId="3E0DB5C4"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Krasnodar Branch of the Financial University under the Government of the Russian Federation</w:t>
      </w:r>
    </w:p>
    <w:p w14:paraId="2F02E823"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Krasnodar, Russia</w:t>
      </w:r>
    </w:p>
    <w:p w14:paraId="1D904894"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 xml:space="preserve">e-mail: </w:t>
      </w:r>
      <w:hyperlink r:id="rId312" w:history="1">
        <w:r w:rsidRPr="00E11029">
          <w:rPr>
            <w:rFonts w:ascii="Times New Roman" w:eastAsia="Times New Roman" w:hAnsi="Times New Roman" w:cs="Times New Roman"/>
            <w:i/>
            <w:color w:val="000080"/>
            <w:kern w:val="2"/>
            <w:sz w:val="21"/>
            <w:szCs w:val="21"/>
            <w:u w:val="single"/>
            <w:lang w:val="en-US" w:eastAsia="ru-RU"/>
          </w:rPr>
          <w:t>eseniyakrivkova@gmail.com</w:t>
        </w:r>
      </w:hyperlink>
    </w:p>
    <w:p w14:paraId="433D22A4"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p>
    <w:p w14:paraId="1B66D55B" w14:textId="77777777" w:rsidR="006F5395" w:rsidRPr="00E11029" w:rsidRDefault="006F5395" w:rsidP="006F5395">
      <w:pPr>
        <w:spacing w:after="0" w:line="240" w:lineRule="auto"/>
        <w:ind w:firstLine="709"/>
        <w:jc w:val="right"/>
        <w:rPr>
          <w:rFonts w:ascii="Times New Roman" w:eastAsia="Times New Roman" w:hAnsi="Times New Roman" w:cs="Times New Roman"/>
          <w:b/>
          <w:i/>
          <w:kern w:val="2"/>
          <w:sz w:val="21"/>
          <w:szCs w:val="21"/>
          <w:lang w:val="en-US" w:eastAsia="ru-RU"/>
        </w:rPr>
      </w:pPr>
      <w:r w:rsidRPr="00E11029">
        <w:rPr>
          <w:rFonts w:ascii="Times New Roman" w:eastAsia="Times New Roman" w:hAnsi="Times New Roman" w:cs="Times New Roman"/>
          <w:b/>
          <w:i/>
          <w:kern w:val="2"/>
          <w:sz w:val="21"/>
          <w:szCs w:val="21"/>
          <w:lang w:val="en-US" w:eastAsia="ru-RU"/>
        </w:rPr>
        <w:t>Scientific Adviser:</w:t>
      </w:r>
    </w:p>
    <w:p w14:paraId="5313CD7D" w14:textId="77777777" w:rsidR="006F5395" w:rsidRPr="00EE6AE0" w:rsidRDefault="006F5395" w:rsidP="006F5395">
      <w:pPr>
        <w:spacing w:after="0" w:line="240" w:lineRule="auto"/>
        <w:ind w:firstLine="709"/>
        <w:jc w:val="right"/>
        <w:rPr>
          <w:rFonts w:ascii="Times New Roman" w:eastAsia="Times New Roman" w:hAnsi="Times New Roman" w:cs="Times New Roman"/>
          <w:b/>
          <w:i/>
          <w:kern w:val="2"/>
          <w:sz w:val="21"/>
          <w:szCs w:val="21"/>
          <w:lang w:val="en-US" w:eastAsia="ru-RU"/>
        </w:rPr>
      </w:pPr>
      <w:r w:rsidRPr="00E11029">
        <w:rPr>
          <w:rFonts w:ascii="Times New Roman" w:eastAsia="Times New Roman" w:hAnsi="Times New Roman" w:cs="Times New Roman"/>
          <w:b/>
          <w:i/>
          <w:kern w:val="2"/>
          <w:sz w:val="21"/>
          <w:szCs w:val="21"/>
          <w:lang w:val="en-US" w:eastAsia="ru-RU"/>
        </w:rPr>
        <w:t>Artushkova A.Yu.</w:t>
      </w:r>
      <w:r w:rsidRPr="00EE6AE0">
        <w:rPr>
          <w:rFonts w:ascii="Times New Roman" w:eastAsia="Times New Roman" w:hAnsi="Times New Roman" w:cs="Times New Roman"/>
          <w:b/>
          <w:i/>
          <w:kern w:val="2"/>
          <w:sz w:val="21"/>
          <w:szCs w:val="21"/>
          <w:lang w:val="en-US" w:eastAsia="ru-RU"/>
        </w:rPr>
        <w:t>,</w:t>
      </w:r>
    </w:p>
    <w:p w14:paraId="39BF0E8D"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Krasnodar Branch of the Financial University under the Government of the Russian Federation</w:t>
      </w:r>
    </w:p>
    <w:p w14:paraId="719DFE67" w14:textId="77777777" w:rsidR="006F5395" w:rsidRPr="00E11029" w:rsidRDefault="006F5395" w:rsidP="006F5395">
      <w:pPr>
        <w:spacing w:after="0" w:line="240" w:lineRule="auto"/>
        <w:ind w:firstLine="709"/>
        <w:jc w:val="right"/>
        <w:rPr>
          <w:rFonts w:ascii="Times New Roman" w:eastAsia="Times New Roman" w:hAnsi="Times New Roman" w:cs="Times New Roman"/>
          <w:i/>
          <w:kern w:val="2"/>
          <w:sz w:val="21"/>
          <w:szCs w:val="21"/>
          <w:lang w:val="en-US" w:eastAsia="ru-RU"/>
        </w:rPr>
      </w:pPr>
      <w:r w:rsidRPr="00E11029">
        <w:rPr>
          <w:rFonts w:ascii="Times New Roman" w:eastAsia="Times New Roman" w:hAnsi="Times New Roman" w:cs="Times New Roman"/>
          <w:i/>
          <w:kern w:val="2"/>
          <w:sz w:val="21"/>
          <w:szCs w:val="21"/>
          <w:lang w:val="en-US" w:eastAsia="ru-RU"/>
        </w:rPr>
        <w:t>Krasnodar, Russia</w:t>
      </w:r>
    </w:p>
    <w:p w14:paraId="5535A4AF" w14:textId="77777777" w:rsidR="006F5395" w:rsidRPr="00E11029" w:rsidRDefault="006F5395" w:rsidP="006F5395">
      <w:pPr>
        <w:spacing w:after="0" w:line="240" w:lineRule="auto"/>
        <w:ind w:firstLine="709"/>
        <w:jc w:val="right"/>
        <w:rPr>
          <w:rFonts w:ascii="Times New Roman" w:eastAsia="Times New Roman" w:hAnsi="Times New Roman" w:cs="Times New Roman"/>
          <w:i/>
          <w:color w:val="000080"/>
          <w:kern w:val="2"/>
          <w:sz w:val="21"/>
          <w:szCs w:val="21"/>
          <w:u w:val="single"/>
          <w:lang w:val="en-US" w:eastAsia="ru-RU"/>
        </w:rPr>
      </w:pPr>
      <w:r w:rsidRPr="00E11029">
        <w:rPr>
          <w:rFonts w:ascii="Times New Roman" w:eastAsia="Times New Roman" w:hAnsi="Times New Roman" w:cs="Times New Roman"/>
          <w:i/>
          <w:kern w:val="2"/>
          <w:sz w:val="21"/>
          <w:szCs w:val="21"/>
          <w:lang w:val="en-US" w:eastAsia="ru-RU"/>
        </w:rPr>
        <w:t xml:space="preserve">e-mail: </w:t>
      </w:r>
      <w:hyperlink r:id="rId313" w:history="1">
        <w:r w:rsidRPr="00E11029">
          <w:rPr>
            <w:rFonts w:ascii="Times New Roman" w:eastAsia="Times New Roman" w:hAnsi="Times New Roman" w:cs="Times New Roman"/>
            <w:i/>
            <w:color w:val="000080"/>
            <w:kern w:val="2"/>
            <w:sz w:val="21"/>
            <w:szCs w:val="21"/>
            <w:u w:val="single"/>
            <w:lang w:val="en-US" w:eastAsia="ru-RU"/>
          </w:rPr>
          <w:t>AYUArtyushkova@fa.ru</w:t>
        </w:r>
      </w:hyperlink>
    </w:p>
    <w:p w14:paraId="05FBC3BD" w14:textId="77777777" w:rsidR="006F5395" w:rsidRPr="00E11029" w:rsidRDefault="006F5395" w:rsidP="006F5395">
      <w:pPr>
        <w:spacing w:after="0" w:line="240" w:lineRule="auto"/>
        <w:ind w:firstLine="709"/>
        <w:jc w:val="right"/>
        <w:rPr>
          <w:rFonts w:ascii="Times New Roman" w:eastAsia="Times New Roman" w:hAnsi="Times New Roman" w:cs="Times New Roman"/>
          <w:kern w:val="2"/>
          <w:sz w:val="21"/>
          <w:szCs w:val="21"/>
          <w:lang w:val="en-US" w:eastAsia="ru-RU"/>
        </w:rPr>
      </w:pPr>
    </w:p>
    <w:p w14:paraId="2690EE4C" w14:textId="77777777" w:rsidR="006F5395" w:rsidRPr="00E11029" w:rsidRDefault="006F5395" w:rsidP="006F5395">
      <w:pPr>
        <w:spacing w:after="0" w:line="240" w:lineRule="auto"/>
        <w:ind w:firstLine="709"/>
        <w:jc w:val="center"/>
        <w:rPr>
          <w:rFonts w:ascii="Times New Roman" w:eastAsia="Times New Roman" w:hAnsi="Times New Roman" w:cs="Times New Roman"/>
          <w:b/>
          <w:bCs/>
          <w:iCs/>
          <w:color w:val="000000"/>
          <w:kern w:val="2"/>
          <w:sz w:val="21"/>
          <w:szCs w:val="21"/>
          <w:lang w:val="en-US" w:eastAsia="ru-RU"/>
        </w:rPr>
      </w:pPr>
      <w:r w:rsidRPr="00E11029">
        <w:rPr>
          <w:rFonts w:ascii="Times New Roman" w:eastAsia="Times New Roman" w:hAnsi="Times New Roman" w:cs="Times New Roman"/>
          <w:b/>
          <w:bCs/>
          <w:iCs/>
          <w:color w:val="000000"/>
          <w:kern w:val="2"/>
          <w:sz w:val="21"/>
          <w:szCs w:val="21"/>
          <w:lang w:val="en-US" w:eastAsia="ru-RU"/>
        </w:rPr>
        <w:t>Application of Lean Technologies in improving the Production Activities of a company</w:t>
      </w:r>
    </w:p>
    <w:p w14:paraId="21129BC6" w14:textId="77777777" w:rsidR="006F5395" w:rsidRPr="00E11029" w:rsidRDefault="006F5395" w:rsidP="006F5395">
      <w:pPr>
        <w:spacing w:after="0" w:line="240" w:lineRule="auto"/>
        <w:ind w:firstLine="709"/>
        <w:jc w:val="center"/>
        <w:rPr>
          <w:rFonts w:ascii="Times New Roman" w:eastAsia="Times New Roman" w:hAnsi="Times New Roman" w:cs="Times New Roman"/>
          <w:b/>
          <w:bCs/>
          <w:i/>
          <w:iCs/>
          <w:color w:val="000000"/>
          <w:kern w:val="2"/>
          <w:sz w:val="21"/>
          <w:szCs w:val="21"/>
          <w:lang w:val="en-US" w:eastAsia="ru-RU"/>
        </w:rPr>
      </w:pPr>
    </w:p>
    <w:p w14:paraId="61EEBD50" w14:textId="77777777" w:rsidR="006F5395" w:rsidRPr="00E11029" w:rsidRDefault="006F5395" w:rsidP="006F5395">
      <w:pPr>
        <w:spacing w:after="0" w:line="240" w:lineRule="auto"/>
        <w:ind w:firstLine="709"/>
        <w:jc w:val="both"/>
        <w:rPr>
          <w:rFonts w:ascii="Times New Roman" w:eastAsia="Times New Roman" w:hAnsi="Times New Roman" w:cs="Times New Roman"/>
          <w:color w:val="000000"/>
          <w:kern w:val="2"/>
          <w:sz w:val="21"/>
          <w:szCs w:val="21"/>
          <w:lang w:val="en-US" w:eastAsia="ru-RU"/>
        </w:rPr>
      </w:pPr>
      <w:r w:rsidRPr="00E11029">
        <w:rPr>
          <w:rFonts w:ascii="Times New Roman" w:eastAsia="Times New Roman" w:hAnsi="Times New Roman" w:cs="Times New Roman"/>
          <w:b/>
          <w:kern w:val="2"/>
          <w:sz w:val="21"/>
          <w:szCs w:val="21"/>
          <w:lang w:val="en-US" w:eastAsia="ru-RU"/>
        </w:rPr>
        <w:t>Abstract:</w:t>
      </w:r>
      <w:r w:rsidRPr="00E11029">
        <w:rPr>
          <w:rFonts w:ascii="Times New Roman" w:eastAsia="Times New Roman" w:hAnsi="Times New Roman" w:cs="Times New Roman"/>
          <w:color w:val="000000"/>
          <w:kern w:val="2"/>
          <w:sz w:val="21"/>
          <w:szCs w:val="21"/>
          <w:lang w:val="en-US" w:eastAsia="ru-RU"/>
        </w:rPr>
        <w:t xml:space="preserve"> Lean technologies, or lean manufacturing, are a management approach whose goal is to minimize waste and optimize processes while maximizing customer value.</w:t>
      </w:r>
    </w:p>
    <w:p w14:paraId="1EE1A3B8" w14:textId="77777777" w:rsidR="006F5395" w:rsidRPr="00E11029" w:rsidRDefault="006F5395" w:rsidP="006F5395">
      <w:pPr>
        <w:spacing w:after="0" w:line="240" w:lineRule="auto"/>
        <w:ind w:firstLine="709"/>
        <w:jc w:val="both"/>
        <w:rPr>
          <w:rFonts w:ascii="Times New Roman" w:eastAsia="Times New Roman" w:hAnsi="Times New Roman" w:cs="Times New Roman"/>
          <w:color w:val="000000"/>
          <w:kern w:val="2"/>
          <w:sz w:val="21"/>
          <w:szCs w:val="21"/>
          <w:lang w:val="en-US" w:eastAsia="ru-RU"/>
        </w:rPr>
      </w:pPr>
      <w:r w:rsidRPr="00E11029">
        <w:rPr>
          <w:rFonts w:ascii="Times New Roman" w:eastAsia="Times New Roman" w:hAnsi="Times New Roman" w:cs="Times New Roman"/>
          <w:b/>
          <w:bCs/>
          <w:color w:val="000000"/>
          <w:kern w:val="2"/>
          <w:sz w:val="21"/>
          <w:szCs w:val="21"/>
          <w:lang w:val="en-US" w:eastAsia="ru-RU"/>
        </w:rPr>
        <w:t>Keywords</w:t>
      </w:r>
      <w:r w:rsidRPr="00E11029">
        <w:rPr>
          <w:rFonts w:ascii="Times New Roman" w:eastAsia="Times New Roman" w:hAnsi="Times New Roman" w:cs="Times New Roman"/>
          <w:color w:val="000000"/>
          <w:kern w:val="2"/>
          <w:sz w:val="21"/>
          <w:szCs w:val="21"/>
          <w:lang w:val="en-US" w:eastAsia="ru-RU"/>
        </w:rPr>
        <w:t>: minimizing losses, optimizing processes, increasing efficiency, product quality.</w:t>
      </w:r>
    </w:p>
    <w:p w14:paraId="68223BFB" w14:textId="77777777" w:rsidR="006F5395" w:rsidRPr="00877DE5" w:rsidRDefault="006F5395" w:rsidP="006F5395">
      <w:pPr>
        <w:spacing w:after="0" w:line="240" w:lineRule="auto"/>
        <w:ind w:firstLine="709"/>
        <w:jc w:val="right"/>
        <w:rPr>
          <w:rFonts w:ascii="Times New Roman" w:eastAsia="Times New Roman" w:hAnsi="Times New Roman" w:cs="Times New Roman"/>
          <w:kern w:val="2"/>
          <w:sz w:val="24"/>
          <w:szCs w:val="24"/>
          <w:lang w:val="en-US" w:eastAsia="ru-RU"/>
        </w:rPr>
      </w:pPr>
    </w:p>
    <w:p w14:paraId="0463F40A"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Lean-технологии, или бережливое производство, представляют собой подход к управлению, целью которого является минимизация и оптимизация процессов с максимальным увеличением ценности для клиента. Применение lean-технологий в производственной деятельности компании может значительно повысить эффективность, сократить затраты и улучшить качество продукции. Рассмотрим основные принципы и методы lean-технологий, а также их применение в совершенствовании производственной деятельности [1].</w:t>
      </w:r>
    </w:p>
    <w:p w14:paraId="0995CDAC"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Целью настоящего исследования является анализ методов управления проектами и разработка рекомендаций по их оптимизации в современных условиях. статья о применении lean-технологий в производственной деятельности компании направлена на информирование и обучение о возможности применение lean-технологий для достижения значительных улучшений в производственной деятельности компании. Дать читателям четкое понимание основных принципов и методов lean-подхода, а также их значения для производственной сферы.</w:t>
      </w:r>
    </w:p>
    <w:p w14:paraId="52FFEF23"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Lean-философия акцентирует внимание на выявлении и устранении различных видов потерь (производство, ожидание, транспортировка, избыточные процессы, дефекты и неэффективное использование труда).</w:t>
      </w:r>
    </w:p>
    <w:p w14:paraId="3F85FFA3"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Задачи этой статьи заключаются в объяснении концепции lean-технологий, выявлении преимуществ, анализе успешных примеров, классической концепции lean и современной в цифровом мире.</w:t>
      </w:r>
    </w:p>
    <w:p w14:paraId="12ACD59A"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1C1C1A"/>
          <w:kern w:val="2"/>
          <w:sz w:val="32"/>
          <w:szCs w:val="32"/>
          <w:lang w:eastAsia="ru-RU"/>
        </w:rPr>
        <w:t>Lean: бережливое производство и бережливое управление.</w:t>
      </w:r>
    </w:p>
    <w:p w14:paraId="0B8B3011"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Задачи данной статьи заключаются в объяснении концепции lean-технологий, выявлении их преимуществ, анализе успешных примеров, а также в создании сравнительной таблицы применения lean-технологий в момент их возникновения и в современности с учетом использования искусственного интеллекта.</w:t>
      </w:r>
    </w:p>
    <w:p w14:paraId="75BFBBB6"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Lean-технологии, или бережливое производство и управление, впервые были упомянуты в 1988 году в отчете исследовательского проекта американских автопроизводителей, которые искали причины выдающегося успеха японских конкурентов. Основы этого нового подхода к менеджменту, который обеспечил прорыв японских легковых автомобилей на американском рынке, восходят к производственной системе компании Toyota. Принципы бережливого </w:t>
      </w:r>
      <w:r w:rsidRPr="00877DE5">
        <w:rPr>
          <w:rFonts w:ascii="Times New Roman" w:eastAsia="TimesNewRomanPSMT" w:hAnsi="Times New Roman" w:cs="Times New Roman"/>
          <w:color w:val="000000"/>
          <w:kern w:val="2"/>
          <w:sz w:val="32"/>
          <w:szCs w:val="32"/>
          <w:lang w:eastAsia="ru-RU"/>
        </w:rPr>
        <w:lastRenderedPageBreak/>
        <w:t>производства возникли в результате соперничества между двумя автогигантами — Ford и Toyota.</w:t>
      </w:r>
    </w:p>
    <w:p w14:paraId="57913684"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Позже стало очевидно, что принципы бережливого производства универсальны и могут эффективно применяться не только в промышленности, но и в таких сферах, как услуги, коммунальное хозяйство, здравоохранение и государственное управление. Это привело к формированию концепции бережливой организации и, впоследствии, бережливого управления в целом.</w:t>
      </w:r>
    </w:p>
    <w:p w14:paraId="78E55A77"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Различия между традиционным и lean-мышлением:</w:t>
      </w:r>
    </w:p>
    <w:p w14:paraId="11CC7262"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Традиционное мышление руководителей характеризуется следующими аспектами:</w:t>
      </w:r>
    </w:p>
    <w:p w14:paraId="6B4CC37C"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Ориентация на сокращение масштабов для достижения экономии.</w:t>
      </w:r>
    </w:p>
    <w:p w14:paraId="7AF45A7D"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Фокус на взаимодействии с клиентами и обработке их запросов.</w:t>
      </w:r>
    </w:p>
    <w:p w14:paraId="0B4063BA"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Четкая постановка целей и указание сотрудникам их обязанностей.</w:t>
      </w:r>
    </w:p>
    <w:p w14:paraId="403E82DA"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Стремление быстро исправить непредвиденные ситуации.</w:t>
      </w:r>
    </w:p>
    <w:p w14:paraId="392ECC72"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В отличие от этого, lean-мышление включает в себя:</w:t>
      </w:r>
    </w:p>
    <w:p w14:paraId="536616CB"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Приоритет гибкости над объемами производства.</w:t>
      </w:r>
    </w:p>
    <w:p w14:paraId="0E853A5F"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Создание основной ценности на «переднем фронте», в процессе взаимодействия с клиентами.</w:t>
      </w:r>
    </w:p>
    <w:p w14:paraId="281D1313"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Осознание каждым сотрудником того, как его действия влияют на общие цели организации.</w:t>
      </w:r>
    </w:p>
    <w:p w14:paraId="7E717B18"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Устранение первопричин проблем, а не лишь их последствий.</w:t>
      </w:r>
    </w:p>
    <w:p w14:paraId="628C3496"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•Проблемы воспринимаются как возможности для совершенствования.</w:t>
      </w:r>
    </w:p>
    <w:p w14:paraId="37CA5BD9"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Lean-подход сосредоточен на выявлении истинной ценности товаров и услуг, а также на формировании «потока» — последовательности действий, которая минимизирует временные и ресурсные затраты при создании этой ценности.</w:t>
      </w:r>
    </w:p>
    <w:p w14:paraId="69326940" w14:textId="77777777" w:rsidR="006F5395" w:rsidRPr="00877DE5" w:rsidRDefault="006F5395" w:rsidP="006F5395">
      <w:pPr>
        <w:spacing w:after="0" w:line="240" w:lineRule="auto"/>
        <w:ind w:firstLine="709"/>
        <w:jc w:val="both"/>
        <w:rPr>
          <w:rFonts w:ascii="Times New Roman" w:eastAsia="TimesNewRomanPS-BoldMT" w:hAnsi="Times New Roman" w:cs="Times New Roman"/>
          <w:bCs/>
          <w:color w:val="000000"/>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Внедрение lean-технологий происходит через ряд последовательных шагов:</w:t>
      </w:r>
    </w:p>
    <w:p w14:paraId="4DFC98C9"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1. Определение клиента и понимание ценности процесса для него.</w:t>
      </w:r>
    </w:p>
    <w:p w14:paraId="6E7E3D5E"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2. Картирование потока создания ценности для выявления потерь и действий, добавляющих ценность.</w:t>
      </w:r>
    </w:p>
    <w:p w14:paraId="7C0543FE"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3. Оптимизация потоков процессов с устранением задержек и проблем с качеством.</w:t>
      </w:r>
    </w:p>
    <w:p w14:paraId="710E696C"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lastRenderedPageBreak/>
        <w:t>4. Инициирование цепочки событий потребителем, который сигнализирует о начале следующего этапа работы, а не производителем.</w:t>
      </w:r>
    </w:p>
    <w:p w14:paraId="50EF41B4"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5. Постоянное стремление к совершенству — lean является непрерывным путем к улучшению.</w:t>
      </w:r>
    </w:p>
    <w:p w14:paraId="05B87EC5" w14:textId="77777777" w:rsidR="006F5395" w:rsidRPr="00877DE5" w:rsidRDefault="006F5395" w:rsidP="006F5395">
      <w:pPr>
        <w:spacing w:after="0" w:line="240" w:lineRule="auto"/>
        <w:ind w:firstLine="709"/>
        <w:jc w:val="both"/>
        <w:rPr>
          <w:rFonts w:ascii="Times New Roman" w:eastAsia="TimesNewRomanPS-BoldMT" w:hAnsi="Times New Roman" w:cs="Times New Roman"/>
          <w:bCs/>
          <w:color w:val="000000"/>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Ключевые элементы внедрения lean:</w:t>
      </w:r>
    </w:p>
    <w:p w14:paraId="11E40005"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 </w:t>
      </w:r>
      <w:r w:rsidRPr="00877DE5">
        <w:rPr>
          <w:rFonts w:ascii="Times New Roman" w:eastAsia="TimesNewRomanPS-BoldMT" w:hAnsi="Times New Roman" w:cs="Times New Roman"/>
          <w:color w:val="000000"/>
          <w:kern w:val="2"/>
          <w:sz w:val="32"/>
          <w:szCs w:val="32"/>
          <w:lang w:eastAsia="ru-RU"/>
        </w:rPr>
        <w:t>Практика «вытягивания»,</w:t>
      </w:r>
      <w:r w:rsidRPr="00877DE5">
        <w:rPr>
          <w:rFonts w:ascii="Times New Roman" w:eastAsia="TimesNewRomanPSMT" w:hAnsi="Times New Roman" w:cs="Times New Roman"/>
          <w:color w:val="000000"/>
          <w:kern w:val="2"/>
          <w:sz w:val="32"/>
          <w:szCs w:val="32"/>
          <w:lang w:eastAsia="ru-RU"/>
        </w:rPr>
        <w:t xml:space="preserve"> где объем продукции определяется потребностями последующих этапов.</w:t>
      </w:r>
    </w:p>
    <w:p w14:paraId="72E178FC"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 </w:t>
      </w:r>
      <w:r w:rsidRPr="00877DE5">
        <w:rPr>
          <w:rFonts w:ascii="Times New Roman" w:eastAsia="TimesNewRomanPS-BoldMT" w:hAnsi="Times New Roman" w:cs="Times New Roman"/>
          <w:color w:val="000000"/>
          <w:kern w:val="2"/>
          <w:sz w:val="32"/>
          <w:szCs w:val="32"/>
          <w:lang w:eastAsia="ru-RU"/>
        </w:rPr>
        <w:t>Практика «визуализация потока создания ценности»,</w:t>
      </w:r>
      <w:r w:rsidRPr="00877DE5">
        <w:rPr>
          <w:rFonts w:ascii="Times New Roman" w:eastAsia="TimesNewRomanPSMT" w:hAnsi="Times New Roman" w:cs="Times New Roman"/>
          <w:color w:val="000000"/>
          <w:kern w:val="2"/>
          <w:sz w:val="32"/>
          <w:szCs w:val="32"/>
          <w:lang w:eastAsia="ru-RU"/>
        </w:rPr>
        <w:t xml:space="preserve"> позволяющая наглядно представить материальные и информационные потоки, а также основные точки процесса, затраты времени и ресурсов на каждом этапе.</w:t>
      </w:r>
    </w:p>
    <w:p w14:paraId="4EEB4C17"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 </w:t>
      </w:r>
      <w:r w:rsidRPr="00877DE5">
        <w:rPr>
          <w:rFonts w:ascii="Times New Roman" w:eastAsia="TimesNewRomanPS-BoldMT" w:hAnsi="Times New Roman" w:cs="Times New Roman"/>
          <w:color w:val="000000"/>
          <w:kern w:val="2"/>
          <w:sz w:val="32"/>
          <w:szCs w:val="32"/>
          <w:lang w:eastAsia="ru-RU"/>
        </w:rPr>
        <w:t>Практика «кайдзен»,</w:t>
      </w:r>
      <w:r w:rsidRPr="00877DE5">
        <w:rPr>
          <w:rFonts w:ascii="Times New Roman" w:eastAsia="TimesNewRomanPSMT" w:hAnsi="Times New Roman" w:cs="Times New Roman"/>
          <w:color w:val="000000"/>
          <w:kern w:val="2"/>
          <w:sz w:val="32"/>
          <w:szCs w:val="32"/>
          <w:lang w:eastAsia="ru-RU"/>
        </w:rPr>
        <w:t xml:space="preserve"> подразумевающая постоянное и постепенное улучшение процессов с вовлечением всего коллектива.</w:t>
      </w:r>
    </w:p>
    <w:p w14:paraId="33D2E19A" w14:textId="77777777" w:rsidR="006F5395" w:rsidRPr="00877DE5" w:rsidRDefault="006F5395" w:rsidP="006F5395">
      <w:pPr>
        <w:spacing w:after="0" w:line="240" w:lineRule="auto"/>
        <w:ind w:firstLine="709"/>
        <w:jc w:val="both"/>
        <w:rPr>
          <w:rFonts w:ascii="Times New Roman" w:eastAsia="TimesNewRomanPS-BoldMT" w:hAnsi="Times New Roman" w:cs="Times New Roman"/>
          <w:bCs/>
          <w:color w:val="000000"/>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Основные принципы lean-технологий включают:</w:t>
      </w:r>
    </w:p>
    <w:p w14:paraId="3C25A338"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Фокус на ценности, что означает определение того, что важно для клиента, и сосредоточение усилий на создании этой ценности.</w:t>
      </w:r>
    </w:p>
    <w:p w14:paraId="0AF35FC2"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Идентификация потерь через анализ всех этапов производственного процесса для их устранения (например, запасы, ожидания, перепроизводство, дефекты).</w:t>
      </w:r>
    </w:p>
    <w:p w14:paraId="35AD42BC"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Непрерывное улучшение (кайдзен) — вовлечение всех сотрудников в процесс поиска и внедрения небольших, но постоянных улучшений.</w:t>
      </w:r>
    </w:p>
    <w:p w14:paraId="52E5F50C"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 </w:t>
      </w:r>
      <w:r w:rsidRPr="00877DE5">
        <w:rPr>
          <w:rFonts w:ascii="Times New Roman" w:eastAsia="TimesNewRomanPS-BoldMT" w:hAnsi="Times New Roman" w:cs="Times New Roman"/>
          <w:color w:val="000000"/>
          <w:kern w:val="2"/>
          <w:sz w:val="32"/>
          <w:szCs w:val="32"/>
          <w:lang w:eastAsia="ru-RU"/>
        </w:rPr>
        <w:t>Создание потока</w:t>
      </w:r>
      <w:r w:rsidRPr="00877DE5">
        <w:rPr>
          <w:rFonts w:ascii="Times New Roman" w:eastAsia="TimesNewRomanPSMT" w:hAnsi="Times New Roman" w:cs="Times New Roman"/>
          <w:color w:val="000000"/>
          <w:kern w:val="2"/>
          <w:sz w:val="32"/>
          <w:szCs w:val="32"/>
          <w:lang w:eastAsia="ru-RU"/>
        </w:rPr>
        <w:t xml:space="preserve"> — обеспечение непрерывного движения материалов и информации в производственном процессе для избежания задержек и ускорения выполнения заказов.</w:t>
      </w:r>
    </w:p>
    <w:p w14:paraId="5AF6A387"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Постоянное стремление к оптимизации процессов с участием всех сотрудников, независимо от их специализации.</w:t>
      </w:r>
    </w:p>
    <w:p w14:paraId="42EC4789"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Lean-технологии включают разнообразные методы и инструменты, направленные на оптимизацию производственных процессов и устранение потерь [2].</w:t>
      </w:r>
    </w:p>
    <w:p w14:paraId="7D813645"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 Наиболее распространенные из них:</w:t>
      </w:r>
    </w:p>
    <w:p w14:paraId="610BFDA9"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Картирование потока создания ценности</w:t>
      </w:r>
      <w:r w:rsidRPr="00877DE5">
        <w:rPr>
          <w:rFonts w:ascii="Times New Roman" w:eastAsia="TimesNewRomanPSMT" w:hAnsi="Times New Roman" w:cs="Times New Roman"/>
          <w:color w:val="000000"/>
          <w:kern w:val="2"/>
          <w:sz w:val="32"/>
          <w:szCs w:val="32"/>
          <w:lang w:eastAsia="ru-RU"/>
        </w:rPr>
        <w:t xml:space="preserve"> — метод визуализации всех шагов производственного процесса от получения сырья до доставки готовой продукции, который помогает выявить потери и определить области для улучшения.</w:t>
      </w:r>
    </w:p>
    <w:p w14:paraId="240F1B55"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5S-это методология, состоящая из пяти этапов:</w:t>
      </w:r>
      <w:r w:rsidRPr="00877DE5">
        <w:rPr>
          <w:rFonts w:ascii="Times New Roman" w:eastAsia="TimesNewRomanPS-BoldMT" w:hAnsi="Times New Roman" w:cs="Times New Roman"/>
          <w:b/>
          <w:bCs/>
          <w:color w:val="000000"/>
          <w:kern w:val="2"/>
          <w:sz w:val="32"/>
          <w:szCs w:val="32"/>
          <w:lang w:eastAsia="ru-RU"/>
        </w:rPr>
        <w:t xml:space="preserve"> </w:t>
      </w:r>
      <w:r w:rsidRPr="00877DE5">
        <w:rPr>
          <w:rFonts w:ascii="Times New Roman" w:eastAsia="TimesNewRomanPSMT" w:hAnsi="Times New Roman" w:cs="Times New Roman"/>
          <w:color w:val="000000"/>
          <w:kern w:val="2"/>
          <w:sz w:val="32"/>
          <w:szCs w:val="32"/>
          <w:lang w:eastAsia="ru-RU"/>
        </w:rPr>
        <w:t xml:space="preserve">сортировка, систематизация, сияние, стандартизация и соблюдение. Она направлена на создание организованного и чистого рабочего </w:t>
      </w:r>
      <w:r w:rsidRPr="00877DE5">
        <w:rPr>
          <w:rFonts w:ascii="Times New Roman" w:eastAsia="TimesNewRomanPSMT" w:hAnsi="Times New Roman" w:cs="Times New Roman"/>
          <w:color w:val="000000"/>
          <w:kern w:val="2"/>
          <w:sz w:val="32"/>
          <w:szCs w:val="32"/>
          <w:lang w:eastAsia="ru-RU"/>
        </w:rPr>
        <w:lastRenderedPageBreak/>
        <w:t>пространства, что способствует повышению эффективности и безопасности.</w:t>
      </w:r>
    </w:p>
    <w:p w14:paraId="729844AC"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Пулл-система (Kanban) –</w:t>
      </w:r>
      <w:r w:rsidRPr="00877DE5">
        <w:rPr>
          <w:rFonts w:ascii="Times New Roman" w:eastAsia="TimesNewRomanPSMT" w:hAnsi="Times New Roman" w:cs="Times New Roman"/>
          <w:color w:val="000000"/>
          <w:kern w:val="2"/>
          <w:sz w:val="32"/>
          <w:szCs w:val="32"/>
          <w:lang w:eastAsia="ru-RU"/>
        </w:rPr>
        <w:t xml:space="preserve"> это система управления запасами, при которой производство или поставка компонентов осуществляется по мере необходимости, а не заранее. Это помогает сократить запасы и минимизировать затраты.</w:t>
      </w:r>
    </w:p>
    <w:p w14:paraId="568F6E8C"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SMED (Single minute exchange of die) -</w:t>
      </w:r>
      <w:r w:rsidRPr="00877DE5">
        <w:rPr>
          <w:rFonts w:ascii="Times New Roman" w:eastAsia="TimesNewRomanPS-BoldMT" w:hAnsi="Times New Roman" w:cs="Times New Roman"/>
          <w:b/>
          <w:bCs/>
          <w:color w:val="000000"/>
          <w:kern w:val="2"/>
          <w:sz w:val="32"/>
          <w:szCs w:val="32"/>
          <w:lang w:eastAsia="ru-RU"/>
        </w:rPr>
        <w:t xml:space="preserve"> </w:t>
      </w:r>
      <w:r w:rsidRPr="00877DE5">
        <w:rPr>
          <w:rFonts w:ascii="Times New Roman" w:eastAsia="TimesNewRomanPSMT" w:hAnsi="Times New Roman" w:cs="Times New Roman"/>
          <w:color w:val="000000"/>
          <w:kern w:val="2"/>
          <w:sz w:val="32"/>
          <w:szCs w:val="32"/>
          <w:lang w:eastAsia="ru-RU"/>
        </w:rPr>
        <w:t>метод сокращения времени переналадки оборудования, что позволяет быстрее переходить от одного продукта к другому и повышает гибкость производства.</w:t>
      </w:r>
    </w:p>
    <w:p w14:paraId="5790D8A2"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Фокус на качестве (Quality at the source) -</w:t>
      </w:r>
      <w:r w:rsidRPr="00877DE5">
        <w:rPr>
          <w:rFonts w:ascii="Times New Roman" w:eastAsia="TimesNewRomanPS-BoldMT" w:hAnsi="Times New Roman" w:cs="Times New Roman"/>
          <w:b/>
          <w:bCs/>
          <w:color w:val="000000"/>
          <w:kern w:val="2"/>
          <w:sz w:val="32"/>
          <w:szCs w:val="32"/>
          <w:lang w:eastAsia="ru-RU"/>
        </w:rPr>
        <w:t xml:space="preserve"> </w:t>
      </w:r>
      <w:r w:rsidRPr="00877DE5">
        <w:rPr>
          <w:rFonts w:ascii="Times New Roman" w:eastAsia="TimesNewRomanPSMT" w:hAnsi="Times New Roman" w:cs="Times New Roman"/>
          <w:color w:val="000000"/>
          <w:kern w:val="2"/>
          <w:sz w:val="32"/>
          <w:szCs w:val="32"/>
          <w:lang w:eastAsia="ru-RU"/>
        </w:rPr>
        <w:t>принцип, согласно которому каждый работник несет ответственность за качество своей работы. Это включает в себя использование методов предотвращения дефектов и выявления проблем на ранних стадиях.</w:t>
      </w:r>
    </w:p>
    <w:p w14:paraId="6AD3AEA4"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 xml:space="preserve">Точечный контроль (Poka-Yoke) - </w:t>
      </w:r>
      <w:r w:rsidRPr="00877DE5">
        <w:rPr>
          <w:rFonts w:ascii="Times New Roman" w:eastAsia="TimesNewRomanPSMT" w:hAnsi="Times New Roman" w:cs="Times New Roman"/>
          <w:color w:val="000000"/>
          <w:kern w:val="2"/>
          <w:sz w:val="32"/>
          <w:szCs w:val="32"/>
          <w:lang w:eastAsia="ru-RU"/>
        </w:rPr>
        <w:t>метод предотвращения ошибок путем проектирования процессов таким образом, чтобы избежать возможности их возникновения.</w:t>
      </w:r>
    </w:p>
    <w:p w14:paraId="55DFCA14"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Одной из задач моей статьи является выявление преимуществ внедрения</w:t>
      </w:r>
      <w:r w:rsidRPr="00877DE5">
        <w:rPr>
          <w:rFonts w:ascii="Times New Roman" w:eastAsia="Times New Roman" w:hAnsi="Times New Roman" w:cs="Times New Roman"/>
          <w:kern w:val="2"/>
          <w:sz w:val="32"/>
          <w:szCs w:val="32"/>
          <w:lang w:eastAsia="ru-RU"/>
        </w:rPr>
        <w:t xml:space="preserve"> </w:t>
      </w:r>
      <w:r w:rsidRPr="00877DE5">
        <w:rPr>
          <w:rFonts w:ascii="Times New Roman" w:eastAsia="TimesNewRomanPSMT" w:hAnsi="Times New Roman" w:cs="Times New Roman"/>
          <w:color w:val="000000"/>
          <w:kern w:val="2"/>
          <w:sz w:val="32"/>
          <w:szCs w:val="32"/>
          <w:lang w:eastAsia="ru-RU"/>
        </w:rPr>
        <w:t>lean-технологий против традиционного метода.</w:t>
      </w:r>
    </w:p>
    <w:p w14:paraId="05584EE4"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Внедрение инструментов lean ведет к повышению производительности и увеличению скорости выполнения заказов, оказанию услуг путем минимизации потерь без серьезных вложений. Не обязательно закупать новое дорогостоящее оборудование, переходить на новые материалы и технологии, а также компьютеризировать производство [3].</w:t>
      </w:r>
    </w:p>
    <w:p w14:paraId="27D72A57"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Для этого нужно всего лишь изменить культуру управление производством, систему ценностной ориентации сотрудников и их взаимоотношений, систему взаимоотношений между различными подразделениями предприятия.</w:t>
      </w:r>
    </w:p>
    <w:p w14:paraId="04801736"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000000"/>
          <w:kern w:val="2"/>
          <w:sz w:val="32"/>
          <w:szCs w:val="32"/>
          <w:lang w:eastAsia="ru-RU"/>
        </w:rPr>
        <w:t>Преимущества внедрения lean- технологий:</w:t>
      </w:r>
    </w:p>
    <w:p w14:paraId="410730A8" w14:textId="77777777" w:rsidR="006F5395" w:rsidRPr="00877DE5" w:rsidRDefault="006F5395" w:rsidP="00AD58CD">
      <w:pPr>
        <w:widowControl w:val="0"/>
        <w:numPr>
          <w:ilvl w:val="0"/>
          <w:numId w:val="74"/>
        </w:numPr>
        <w:suppressAutoHyphens/>
        <w:spacing w:after="0" w:line="240" w:lineRule="auto"/>
        <w:ind w:left="0" w:firstLine="709"/>
        <w:contextualSpacing/>
        <w:jc w:val="both"/>
        <w:rPr>
          <w:rFonts w:ascii="Times New Roman" w:eastAsia="TimesNewRomanPSMT" w:hAnsi="Times New Roman" w:cs="Times New Roman"/>
          <w:color w:val="000000"/>
          <w:sz w:val="32"/>
          <w:szCs w:val="32"/>
          <w:lang w:eastAsia="ru-RU"/>
        </w:rPr>
      </w:pPr>
      <w:r w:rsidRPr="00877DE5">
        <w:rPr>
          <w:rFonts w:ascii="Times New Roman" w:eastAsia="TimesNewRomanPSMT" w:hAnsi="Times New Roman" w:cs="Times New Roman"/>
          <w:color w:val="000000"/>
          <w:sz w:val="32"/>
          <w:szCs w:val="32"/>
          <w:lang w:eastAsia="ru-RU"/>
        </w:rPr>
        <w:t>Улучшение качества. Улучшение процессов и повышение эффективности естественным образом приводят к повышению качества продукции.</w:t>
      </w:r>
    </w:p>
    <w:p w14:paraId="4BE28628" w14:textId="77777777" w:rsidR="006F5395" w:rsidRPr="00877DE5" w:rsidRDefault="006F5395" w:rsidP="00AD58CD">
      <w:pPr>
        <w:widowControl w:val="0"/>
        <w:numPr>
          <w:ilvl w:val="0"/>
          <w:numId w:val="74"/>
        </w:numPr>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Повышение производительности. Более высокая эффективность означает более высокую производительность и более эффективное распределение человеческих ресурсов.</w:t>
      </w:r>
    </w:p>
    <w:p w14:paraId="4C41804D" w14:textId="77777777" w:rsidR="006F5395" w:rsidRPr="00877DE5" w:rsidRDefault="006F5395" w:rsidP="00AD58CD">
      <w:pPr>
        <w:widowControl w:val="0"/>
        <w:numPr>
          <w:ilvl w:val="0"/>
          <w:numId w:val="74"/>
        </w:numPr>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Экономия ресурсов. Помимо очевидного сокращения отходов, бережливое производство экономит время и деньги, позволяя производителям направлять ресурсы в другие направления.</w:t>
      </w:r>
    </w:p>
    <w:p w14:paraId="07E3E6AA" w14:textId="77777777" w:rsidR="006F5395" w:rsidRPr="00877DE5" w:rsidRDefault="006F5395" w:rsidP="00AD58CD">
      <w:pPr>
        <w:widowControl w:val="0"/>
        <w:numPr>
          <w:ilvl w:val="0"/>
          <w:numId w:val="74"/>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Более короткие сроки выполнения заказов. Более </w:t>
      </w:r>
      <w:r w:rsidRPr="00877DE5">
        <w:rPr>
          <w:rFonts w:ascii="Times New Roman" w:eastAsia="TimesNewRomanPSMT" w:hAnsi="Times New Roman" w:cs="Times New Roman"/>
          <w:color w:val="000000"/>
          <w:kern w:val="2"/>
          <w:sz w:val="32"/>
          <w:szCs w:val="32"/>
          <w:lang w:eastAsia="ru-RU"/>
        </w:rPr>
        <w:lastRenderedPageBreak/>
        <w:t>эффективное производство означает более быстрый оборот или сокращение сороков поставки.</w:t>
      </w:r>
    </w:p>
    <w:p w14:paraId="4D14AF52" w14:textId="77777777" w:rsidR="006F5395" w:rsidRPr="00877DE5" w:rsidRDefault="006F5395" w:rsidP="00AD58CD">
      <w:pPr>
        <w:widowControl w:val="0"/>
        <w:numPr>
          <w:ilvl w:val="0"/>
          <w:numId w:val="74"/>
        </w:numPr>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Улучшение обслуживания клиентов и повышение их удовлетворенности. Довольные клиенты способствуют более высокому уровню удержания клиентов и укреплению репутации бренда.</w:t>
      </w:r>
    </w:p>
    <w:p w14:paraId="2D96B308" w14:textId="77777777" w:rsidR="006F5395" w:rsidRPr="00877DE5" w:rsidRDefault="006F5395" w:rsidP="00AD58CD">
      <w:pPr>
        <w:widowControl w:val="0"/>
        <w:numPr>
          <w:ilvl w:val="0"/>
          <w:numId w:val="74"/>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Лучшая устойчивость. Бережливое производство может привести к повышению устойчивости в экономике, где происходит жесткая конкуренция.</w:t>
      </w:r>
    </w:p>
    <w:p w14:paraId="095F165F" w14:textId="77777777" w:rsidR="006F5395" w:rsidRPr="00877DE5" w:rsidRDefault="006F5395" w:rsidP="00AD58CD">
      <w:pPr>
        <w:widowControl w:val="0"/>
        <w:numPr>
          <w:ilvl w:val="0"/>
          <w:numId w:val="74"/>
        </w:numPr>
        <w:tabs>
          <w:tab w:val="left" w:pos="490"/>
        </w:tabs>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Повышение удовлетворенности сотрудников. Сотрудники, удовлетворенные своей работой, с большей вероятностью будут хорошо выполнять свою работы и вносить большой вклад в производительность компании.</w:t>
      </w:r>
    </w:p>
    <w:p w14:paraId="1FE9F389"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Для эффективного внедрения принципов бережливого производства важно опираться не только на теоретические знания, но и на реальные примеры их применения. Это помогает лучше осмыслить философию lean и придает уверенность при реализации на практике. Одним из самых наглядных и успешных кейсов в этой сфере является автомобильная промышленность, где lean-подходы значительно повлияли на повышение производительности, снижение расходов и улучшение качества продукции. В центре этого процесса стоит легендарная производственная система Toyota (TPS). </w:t>
      </w:r>
    </w:p>
    <w:p w14:paraId="6D308B02"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Несмотря на </w:t>
      </w:r>
      <w:proofErr w:type="gramStart"/>
      <w:r w:rsidRPr="00877DE5">
        <w:rPr>
          <w:rFonts w:ascii="Times New Roman" w:eastAsia="TimesNewRomanPSMT" w:hAnsi="Times New Roman" w:cs="Times New Roman"/>
          <w:color w:val="000000"/>
          <w:kern w:val="2"/>
          <w:sz w:val="32"/>
          <w:szCs w:val="32"/>
          <w:lang w:eastAsia="ru-RU"/>
        </w:rPr>
        <w:t>то</w:t>
      </w:r>
      <w:proofErr w:type="gramEnd"/>
      <w:r w:rsidRPr="00877DE5">
        <w:rPr>
          <w:rFonts w:ascii="Times New Roman" w:eastAsia="TimesNewRomanPSMT" w:hAnsi="Times New Roman" w:cs="Times New Roman"/>
          <w:color w:val="000000"/>
          <w:kern w:val="2"/>
          <w:sz w:val="32"/>
          <w:szCs w:val="32"/>
          <w:lang w:eastAsia="ru-RU"/>
        </w:rPr>
        <w:t xml:space="preserve"> что идеи рационализации и устранения потерь появились задолго до нашего времени, именно компания Toyota задала современные стандарты бережливого производства. Особая производственная культура, организация труда и тесное взаимодействие между рабочими и управленцами вывели компанию в лидеры по качеству на мировом авторынке.</w:t>
      </w:r>
    </w:p>
    <w:p w14:paraId="7A51CD6D"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Разработанная Toyota система TPS стала основой для дальнейшего развития lean-технологий. Ее суть заключается в постоянном стремлении к устранению всех видом потерь, оптимизации рабочих процессов и философии непрерывных улучшений - кайдзен. Уже в середине XX века руководство компании выделило семь ключевых типов потерь, тормозящих производственный процесс: лишние движения, ненужные перемещения, избыточные запасы, излишняя обработка, простаивание, дефекты и перепроизводство. Все эти факторы приводят к неэффективному использованию времени и ресурсов, снижая общую результативность предприятия.</w:t>
      </w:r>
    </w:p>
    <w:p w14:paraId="2F42B89F"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lastRenderedPageBreak/>
        <w:t>Важной частью lean-культуры стала система 5S, зародившаяся в Японии после Второй Мировой войны. Сегодня она считается фундаментов бережливого подхода и первым шагом на пути к построению эффективной и чистой производственной среды. В систему входят:</w:t>
      </w:r>
    </w:p>
    <w:p w14:paraId="2DB18680" w14:textId="77777777" w:rsidR="006F5395" w:rsidRPr="00877DE5" w:rsidRDefault="006F5395" w:rsidP="00AD58CD">
      <w:pPr>
        <w:widowControl w:val="0"/>
        <w:numPr>
          <w:ilvl w:val="0"/>
          <w:numId w:val="71"/>
        </w:numPr>
        <w:tabs>
          <w:tab w:val="left" w:pos="482"/>
        </w:tabs>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Сортировка- отделение нужного от ненужного, организация рабочего пространства.</w:t>
      </w:r>
    </w:p>
    <w:p w14:paraId="0E81B512" w14:textId="77777777" w:rsidR="006F5395" w:rsidRPr="00877DE5" w:rsidRDefault="006F5395" w:rsidP="00AD58CD">
      <w:pPr>
        <w:widowControl w:val="0"/>
        <w:numPr>
          <w:ilvl w:val="0"/>
          <w:numId w:val="71"/>
        </w:numPr>
        <w:tabs>
          <w:tab w:val="left" w:pos="482"/>
        </w:tabs>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Упорядочивание- закрепление мест для каждого предмета и поддержание порядка.</w:t>
      </w:r>
    </w:p>
    <w:p w14:paraId="210C1B7A" w14:textId="77777777" w:rsidR="006F5395" w:rsidRPr="00877DE5" w:rsidRDefault="006F5395" w:rsidP="00AD58CD">
      <w:pPr>
        <w:widowControl w:val="0"/>
        <w:numPr>
          <w:ilvl w:val="0"/>
          <w:numId w:val="71"/>
        </w:numPr>
        <w:tabs>
          <w:tab w:val="left" w:pos="482"/>
        </w:tabs>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Чистота- регулярное поддержание чистоты, что способствует выявлению неисправностей.</w:t>
      </w:r>
    </w:p>
    <w:p w14:paraId="6886EA0A" w14:textId="77777777" w:rsidR="006F5395" w:rsidRPr="00877DE5" w:rsidRDefault="006F5395" w:rsidP="00AD58CD">
      <w:pPr>
        <w:widowControl w:val="0"/>
        <w:numPr>
          <w:ilvl w:val="0"/>
          <w:numId w:val="71"/>
        </w:numPr>
        <w:tabs>
          <w:tab w:val="left" w:pos="482"/>
        </w:tabs>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Стандартизация- разработка единых правил и процедур для всех процессов.</w:t>
      </w:r>
    </w:p>
    <w:p w14:paraId="1ACD6FDB" w14:textId="77777777" w:rsidR="006F5395" w:rsidRPr="00877DE5" w:rsidRDefault="006F5395" w:rsidP="00AD58CD">
      <w:pPr>
        <w:widowControl w:val="0"/>
        <w:numPr>
          <w:ilvl w:val="0"/>
          <w:numId w:val="71"/>
        </w:numPr>
        <w:tabs>
          <w:tab w:val="left" w:pos="482"/>
        </w:tabs>
        <w:suppressAutoHyphens/>
        <w:spacing w:after="0" w:line="240" w:lineRule="auto"/>
        <w:ind w:left="0"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Совершенствование- стремление к постоянному улучшению рабочих процессов и условий труда.</w:t>
      </w:r>
    </w:p>
    <w:p w14:paraId="5648DF74"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Еще одним незаменимым инструментом lean- подхода является картирование потока создания ценности. Оно позволяет наглядно представит ь производственные процессы, выявить их слабые звенья и избыточные операции еще на этапе планирования. Это облегчает принятие решений по оптимизации и помогает выстроить более эффективные рабочие схемы [4].</w:t>
      </w:r>
    </w:p>
    <w:p w14:paraId="44B13623"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Таким образом, опыт Toyota демонстрирует, что бережливое производство </w:t>
      </w:r>
      <w:proofErr w:type="gramStart"/>
      <w:r w:rsidRPr="00877DE5">
        <w:rPr>
          <w:rFonts w:ascii="Times New Roman" w:eastAsia="TimesNewRomanPSMT" w:hAnsi="Times New Roman" w:cs="Times New Roman"/>
          <w:color w:val="000000"/>
          <w:kern w:val="2"/>
          <w:sz w:val="32"/>
          <w:szCs w:val="32"/>
          <w:lang w:eastAsia="ru-RU"/>
        </w:rPr>
        <w:t>- это</w:t>
      </w:r>
      <w:proofErr w:type="gramEnd"/>
      <w:r w:rsidRPr="00877DE5">
        <w:rPr>
          <w:rFonts w:ascii="Times New Roman" w:eastAsia="TimesNewRomanPSMT" w:hAnsi="Times New Roman" w:cs="Times New Roman"/>
          <w:color w:val="000000"/>
          <w:kern w:val="2"/>
          <w:sz w:val="32"/>
          <w:szCs w:val="32"/>
          <w:lang w:eastAsia="ru-RU"/>
        </w:rPr>
        <w:t xml:space="preserve"> не просто набор инструментов, а целостная философия, направленная на системное развитие предприятия, вовлечение персонала и устранение всего, что не приносит ценности.</w:t>
      </w:r>
    </w:p>
    <w:p w14:paraId="5D76C41D"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Стоит также отметить Total Productive Maintenance (TPM), или "всеобщее обслуживание оборудования". Этот инструмент направлен на снижение простоев в производстве за счет уменьшения поломок и избыточного обслуживания. Это достигается созданием производственной культуры, в которой сотрудники, работающие непосредственно на станках, участвуют в процессе обслуживания наряду с ремонтниками.</w:t>
      </w:r>
    </w:p>
    <w:p w14:paraId="304E7FDA"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Основной принцип бережливого производства заключается в том, что его успешное внедрение возможно только при условии вовлеченности всех сотрудников компании — от уборщика до генерального директора. Все работники должны быть объединены общей целью — повышением качества продукции и снижением затрат.</w:t>
      </w:r>
    </w:p>
    <w:p w14:paraId="4E8B9693"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Эта цель может быть достигнута лишь при активной поддержке позитивной корпоративной культуры со стороны руководства, избегая </w:t>
      </w:r>
      <w:r w:rsidRPr="00877DE5">
        <w:rPr>
          <w:rFonts w:ascii="Times New Roman" w:eastAsia="TimesNewRomanPSMT" w:hAnsi="Times New Roman" w:cs="Times New Roman"/>
          <w:color w:val="000000"/>
          <w:kern w:val="2"/>
          <w:sz w:val="32"/>
          <w:szCs w:val="32"/>
          <w:lang w:eastAsia="ru-RU"/>
        </w:rPr>
        <w:lastRenderedPageBreak/>
        <w:t>негативных методов мотивации, таких как штрафы и дисциплинарные меры. Принудительное внедрение бережливого производства через указания сверху или выполнение отдельных задач не приведет к ожидаемым результатам. Также неэффективны чисто корыстные материальные стимулы. Важно, чтобы каждый сотрудник осознавал, что его финансовое благополучие и возможности карьерного роста напрямую зависят от успехов команды и компании в целом.</w:t>
      </w:r>
    </w:p>
    <w:p w14:paraId="5C1C7113"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В сегодняшних условиях быстро развивающейся цифровой трансформации растет потребность в принятии качественных, быстрых решений в условиях неопределенности. Цифровая трансформация несет с собой огромный потенциал для развития организаций.</w:t>
      </w:r>
    </w:p>
    <w:p w14:paraId="4A2AC06A" w14:textId="77777777" w:rsidR="006F5395" w:rsidRPr="00877DE5" w:rsidRDefault="006F5395" w:rsidP="006F5395">
      <w:pPr>
        <w:spacing w:after="0" w:line="240" w:lineRule="auto"/>
        <w:ind w:firstLine="709"/>
        <w:jc w:val="both"/>
        <w:rPr>
          <w:rFonts w:ascii="Times New Roman" w:eastAsia="TimesNewRomanPSMT" w:hAnsi="Times New Roman" w:cs="Times New Roman"/>
          <w:color w:val="111929"/>
          <w:kern w:val="2"/>
          <w:sz w:val="32"/>
          <w:szCs w:val="32"/>
          <w:lang w:eastAsia="ru-RU"/>
        </w:rPr>
      </w:pPr>
      <w:r w:rsidRPr="00877DE5">
        <w:rPr>
          <w:rFonts w:ascii="Times New Roman" w:eastAsia="TimesNewRomanPSMT" w:hAnsi="Times New Roman" w:cs="Times New Roman"/>
          <w:color w:val="111929"/>
          <w:kern w:val="2"/>
          <w:sz w:val="32"/>
          <w:szCs w:val="32"/>
          <w:lang w:eastAsia="ru-RU"/>
        </w:rPr>
        <w:t>Для компаний, цифровая трансформация предлагает новые возможности для роста и развития. Благодаря цифровым технологиям, компании могут оптимизировать свои бизнес-процессы, улучшить маркетинговые стратегии и повысить уровень обслуживания клиентов, что требует гибкой структуры и адаптации к меняющимся условиям, для сохранения конкурентоспособности.</w:t>
      </w:r>
    </w:p>
    <w:p w14:paraId="65248C88"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111929"/>
          <w:kern w:val="2"/>
          <w:sz w:val="32"/>
          <w:szCs w:val="32"/>
          <w:lang w:eastAsia="ru-RU"/>
        </w:rPr>
        <w:t xml:space="preserve">В данном случае бережливое производство </w:t>
      </w:r>
      <w:proofErr w:type="gramStart"/>
      <w:r w:rsidRPr="00877DE5">
        <w:rPr>
          <w:rFonts w:ascii="Times New Roman" w:eastAsia="TimesNewRomanPSMT" w:hAnsi="Times New Roman" w:cs="Times New Roman"/>
          <w:color w:val="111929"/>
          <w:kern w:val="2"/>
          <w:sz w:val="32"/>
          <w:szCs w:val="32"/>
          <w:lang w:eastAsia="ru-RU"/>
        </w:rPr>
        <w:t>- это</w:t>
      </w:r>
      <w:proofErr w:type="gramEnd"/>
      <w:r w:rsidRPr="00877DE5">
        <w:rPr>
          <w:rFonts w:ascii="Times New Roman" w:eastAsia="TimesNewRomanPSMT" w:hAnsi="Times New Roman" w:cs="Times New Roman"/>
          <w:color w:val="111929"/>
          <w:kern w:val="2"/>
          <w:sz w:val="32"/>
          <w:szCs w:val="32"/>
          <w:lang w:eastAsia="ru-RU"/>
        </w:rPr>
        <w:t xml:space="preserve"> про создание максимальной ценности для клиента, потребителя или пользователя при минимальных затратах, что достигается за счет минимизации ресурсов, времени и тд.</w:t>
      </w:r>
    </w:p>
    <w:p w14:paraId="46301812"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BoldMT" w:hAnsi="Times New Roman" w:cs="Times New Roman"/>
          <w:bCs/>
          <w:color w:val="111929"/>
          <w:kern w:val="2"/>
          <w:sz w:val="32"/>
          <w:szCs w:val="32"/>
          <w:lang w:eastAsia="ru-RU"/>
        </w:rPr>
        <w:t>Принципы Lean в IT</w:t>
      </w:r>
    </w:p>
    <w:p w14:paraId="3E183C23"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Бережливое производство, возникшее в рамках производственной системы Toyota, стало основой для разработки принципов Lean в сфере информационных технологий. </w:t>
      </w:r>
    </w:p>
    <w:p w14:paraId="42C7DD23"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Эти принципы включают:</w:t>
      </w:r>
    </w:p>
    <w:p w14:paraId="087B5A11"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Устранение потерь.</w:t>
      </w:r>
    </w:p>
    <w:p w14:paraId="7F3AE330"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Фокус на обучении и развитии.</w:t>
      </w:r>
    </w:p>
    <w:p w14:paraId="112A9E4E" w14:textId="77777777" w:rsidR="006F5395" w:rsidRPr="00877DE5" w:rsidRDefault="006F5395" w:rsidP="00AD58CD">
      <w:pPr>
        <w:widowControl w:val="0"/>
        <w:numPr>
          <w:ilvl w:val="0"/>
          <w:numId w:val="72"/>
        </w:numPr>
        <w:suppressAutoHyphens/>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NewRomanPSMT" w:hAnsi="Times New Roman" w:cs="Times New Roman"/>
          <w:color w:val="000000"/>
          <w:sz w:val="32"/>
          <w:szCs w:val="32"/>
          <w:lang w:eastAsia="ru-RU"/>
        </w:rPr>
        <w:t>Отсрочка принятия решений до тех пор, пока не будут получены значимые факты, а не на основе предположений.</w:t>
      </w:r>
    </w:p>
    <w:p w14:paraId="2B07BF2C"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Максимально быстрая доставка результатов заказчику.</w:t>
      </w:r>
    </w:p>
    <w:p w14:paraId="633DD499"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Мотивация и вовлеченность команды.</w:t>
      </w:r>
    </w:p>
    <w:p w14:paraId="5611D4B6"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Интеграция и передача полной информации заказчику.</w:t>
      </w:r>
    </w:p>
    <w:p w14:paraId="051A2FE0" w14:textId="77777777" w:rsidR="006F5395" w:rsidRPr="00877DE5" w:rsidRDefault="006F5395" w:rsidP="00AD58CD">
      <w:pPr>
        <w:widowControl w:val="0"/>
        <w:numPr>
          <w:ilvl w:val="0"/>
          <w:numId w:val="72"/>
        </w:numPr>
        <w:suppressAutoHyphens/>
        <w:spacing w:after="0" w:line="240" w:lineRule="auto"/>
        <w:ind w:left="0"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Целостный подход к проектам.</w:t>
      </w:r>
    </w:p>
    <w:p w14:paraId="58AB4B1D"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 xml:space="preserve">Применение этих принципов в разработке программного обеспечения ориентировано на решение реальных задач клиентов, поддержку команд и менеджеров в создании ценности, минимизацию </w:t>
      </w:r>
      <w:r w:rsidRPr="00877DE5">
        <w:rPr>
          <w:rFonts w:ascii="Times New Roman" w:eastAsia="TimesNewRomanPSMT" w:hAnsi="Times New Roman" w:cs="Times New Roman"/>
          <w:color w:val="000000"/>
          <w:kern w:val="2"/>
          <w:sz w:val="32"/>
          <w:szCs w:val="32"/>
          <w:lang w:eastAsia="ru-RU"/>
        </w:rPr>
        <w:lastRenderedPageBreak/>
        <w:t>потерь и рисков, а также ускорение процесса доставки ценности клиенту и повышение эффективности бизнес-процессов.</w:t>
      </w:r>
    </w:p>
    <w:p w14:paraId="3E6D6DDA" w14:textId="77777777" w:rsidR="006F5395" w:rsidRPr="00877DE5" w:rsidRDefault="006F5395" w:rsidP="006F5395">
      <w:pPr>
        <w:spacing w:after="0" w:line="240" w:lineRule="auto"/>
        <w:ind w:firstLine="709"/>
        <w:jc w:val="both"/>
        <w:rPr>
          <w:rFonts w:ascii="Times New Roman" w:eastAsia="TimesNewRomanPSMT" w:hAnsi="Times New Roman" w:cs="Times New Roman"/>
          <w:color w:val="000000"/>
          <w:kern w:val="2"/>
          <w:sz w:val="32"/>
          <w:szCs w:val="32"/>
          <w:lang w:eastAsia="ru-RU"/>
        </w:rPr>
      </w:pPr>
      <w:r w:rsidRPr="00877DE5">
        <w:rPr>
          <w:rFonts w:ascii="Times New Roman" w:eastAsia="TimesNewRomanPSMT" w:hAnsi="Times New Roman" w:cs="Times New Roman"/>
          <w:color w:val="000000"/>
          <w:kern w:val="2"/>
          <w:sz w:val="32"/>
          <w:szCs w:val="32"/>
          <w:lang w:eastAsia="ru-RU"/>
        </w:rPr>
        <w:t>Ярким примером успешного внедрения lean-технологий с использованием искусственного интеллекта является компания Tesla. Она активно интегрирует инновации в свои производственные процессы. Одним из таких примеров является применение роботов на сборочных линиях для производства автомобилей. Это позволило значительно сократить время сборки и повысить качество продукции. Роботы выполняют задачи с высокой точностью и скоростью, что снижает вероятность ошибок и повышает общую производительность.</w:t>
      </w:r>
    </w:p>
    <w:p w14:paraId="071C27A1" w14:textId="77777777" w:rsidR="006F5395" w:rsidRPr="00877DE5" w:rsidRDefault="006F5395" w:rsidP="006F5395">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NewRomanPSMT" w:hAnsi="Times New Roman" w:cs="Times New Roman"/>
          <w:color w:val="000000"/>
          <w:kern w:val="2"/>
          <w:sz w:val="32"/>
          <w:szCs w:val="32"/>
          <w:lang w:eastAsia="ru-RU"/>
        </w:rPr>
        <w:t>Кроме того, Tesla использует автоматизированные системы управления для контроля качества и мониторинга производственных процессов в реальном времени. Это дает возможность быстро выявлять и устранять проблемы, а также оптимизировать процессы на основе актуальных данных. В результате компания смогла значительно улучшить свои производственные показатели и укрепить свои позиции на рынке.</w:t>
      </w:r>
    </w:p>
    <w:p w14:paraId="5E290063" w14:textId="77777777" w:rsidR="006F5395" w:rsidRPr="00877DE5" w:rsidRDefault="006F5395" w:rsidP="006F5395">
      <w:pPr>
        <w:spacing w:after="0" w:line="240" w:lineRule="auto"/>
        <w:ind w:firstLine="709"/>
        <w:jc w:val="both"/>
        <w:rPr>
          <w:rFonts w:ascii="Times New Roman" w:eastAsia="TimesNewRomanPSMT" w:hAnsi="Times New Roman" w:cs="Times New Roman"/>
          <w:kern w:val="2"/>
          <w:sz w:val="32"/>
          <w:szCs w:val="32"/>
          <w:lang w:eastAsia="ru-RU"/>
        </w:rPr>
      </w:pPr>
      <w:r w:rsidRPr="00877DE5">
        <w:rPr>
          <w:rFonts w:ascii="Times New Roman" w:eastAsia="TimesNewRomanPSMT" w:hAnsi="Times New Roman" w:cs="Times New Roman"/>
          <w:kern w:val="2"/>
          <w:sz w:val="32"/>
          <w:szCs w:val="32"/>
          <w:lang w:eastAsia="ru-RU"/>
        </w:rPr>
        <w:t>В заключение данной работы подводя итоги было принято решение о создании визуализации lean-технологий на момент возникновения данной концепции и в цифровое время с использованием ИИ.</w:t>
      </w:r>
    </w:p>
    <w:p w14:paraId="6600B8F1" w14:textId="77777777" w:rsidR="006F5395" w:rsidRPr="00877DE5" w:rsidRDefault="006F5395" w:rsidP="006F5395">
      <w:pPr>
        <w:spacing w:after="0" w:line="240" w:lineRule="auto"/>
        <w:ind w:firstLine="709"/>
        <w:jc w:val="both"/>
        <w:rPr>
          <w:rFonts w:ascii="Times New Roman" w:eastAsia="TimesNewRomanPSMT" w:hAnsi="Times New Roman" w:cs="Times New Roman"/>
          <w:kern w:val="2"/>
          <w:sz w:val="32"/>
          <w:szCs w:val="32"/>
          <w:lang w:eastAsia="ru-RU"/>
        </w:rPr>
      </w:pPr>
      <w:r w:rsidRPr="00877DE5">
        <w:rPr>
          <w:rFonts w:ascii="Times New Roman" w:eastAsia="TimesNewRomanPSMT" w:hAnsi="Times New Roman" w:cs="Times New Roman"/>
          <w:kern w:val="2"/>
          <w:sz w:val="32"/>
          <w:szCs w:val="32"/>
          <w:lang w:eastAsia="ru-RU"/>
        </w:rPr>
        <w:t>Сравнение использования lean-технологий в момент их появления и в цифровое время демонстрирует значительный прогресс концепции, который стал возможен благодаря интеграции искусственного интеллекта. Современные технологии не только совершенствуют традиционные подходы к управлению производством, но и позволяют создавать более гибкие и эффективные системы, способные оперативно реагировать на изменения в потребительских предпочтениях в данной ситуации.</w:t>
      </w:r>
    </w:p>
    <w:p w14:paraId="44C3F3BB" w14:textId="77777777" w:rsidR="006F5395" w:rsidRPr="00877DE5" w:rsidRDefault="006F5395" w:rsidP="006F5395">
      <w:pPr>
        <w:spacing w:after="0" w:line="240" w:lineRule="auto"/>
        <w:ind w:firstLine="709"/>
        <w:jc w:val="center"/>
        <w:rPr>
          <w:rFonts w:ascii="Times New Roman" w:eastAsia="TimesNewRomanPSMT" w:hAnsi="Times New Roman" w:cs="Times New Roman"/>
          <w:noProof/>
          <w:color w:val="111929"/>
          <w:kern w:val="2"/>
          <w:sz w:val="32"/>
          <w:szCs w:val="32"/>
          <w:lang w:eastAsia="ru-RU"/>
        </w:rPr>
      </w:pPr>
      <w:r w:rsidRPr="00877DE5">
        <w:rPr>
          <w:rFonts w:ascii="Times New Roman" w:eastAsia="TimesNewRomanPSMT" w:hAnsi="Times New Roman" w:cs="Times New Roman"/>
          <w:noProof/>
          <w:color w:val="111929"/>
          <w:kern w:val="2"/>
          <w:sz w:val="32"/>
          <w:szCs w:val="32"/>
          <w:lang w:eastAsia="ru-RU"/>
        </w:rPr>
        <w:lastRenderedPageBreak/>
        <w:drawing>
          <wp:inline distT="0" distB="0" distL="0" distR="0" wp14:anchorId="4890C5A1" wp14:editId="74FA9DFB">
            <wp:extent cx="4526280" cy="5394960"/>
            <wp:effectExtent l="0" t="0" r="7620" b="0"/>
            <wp:docPr id="1221768658" name="Рисунок 1221768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526280" cy="5394960"/>
                    </a:xfrm>
                    <a:prstGeom prst="rect">
                      <a:avLst/>
                    </a:prstGeom>
                    <a:noFill/>
                    <a:ln>
                      <a:noFill/>
                    </a:ln>
                  </pic:spPr>
                </pic:pic>
              </a:graphicData>
            </a:graphic>
          </wp:inline>
        </w:drawing>
      </w:r>
    </w:p>
    <w:p w14:paraId="2C6A2247" w14:textId="77777777" w:rsidR="006F5395" w:rsidRPr="00877DE5" w:rsidRDefault="006F5395" w:rsidP="006F5395">
      <w:pPr>
        <w:spacing w:after="0" w:line="240" w:lineRule="auto"/>
        <w:ind w:firstLine="709"/>
        <w:jc w:val="center"/>
        <w:rPr>
          <w:rFonts w:ascii="Times New Roman" w:eastAsia="TimesNewRomanPSMT" w:hAnsi="Times New Roman" w:cs="Times New Roman"/>
          <w:b/>
          <w:color w:val="111929"/>
          <w:kern w:val="2"/>
          <w:sz w:val="21"/>
          <w:szCs w:val="21"/>
          <w:lang w:eastAsia="ru-RU"/>
        </w:rPr>
      </w:pPr>
    </w:p>
    <w:p w14:paraId="7EB1D35C" w14:textId="77777777" w:rsidR="006F5395" w:rsidRPr="00877DE5" w:rsidRDefault="006F5395" w:rsidP="006F5395">
      <w:pPr>
        <w:spacing w:after="0" w:line="240" w:lineRule="auto"/>
        <w:ind w:firstLine="709"/>
        <w:jc w:val="center"/>
        <w:rPr>
          <w:rFonts w:ascii="Times New Roman" w:eastAsia="TimesNewRomanPSMT" w:hAnsi="Times New Roman" w:cs="Times New Roman"/>
          <w:b/>
          <w:color w:val="111929"/>
          <w:kern w:val="2"/>
          <w:sz w:val="21"/>
          <w:szCs w:val="21"/>
          <w:lang w:eastAsia="ru-RU"/>
        </w:rPr>
      </w:pPr>
      <w:r w:rsidRPr="00877DE5">
        <w:rPr>
          <w:rFonts w:ascii="Times New Roman" w:eastAsia="TimesNewRomanPSMT" w:hAnsi="Times New Roman" w:cs="Times New Roman"/>
          <w:b/>
          <w:color w:val="111929"/>
          <w:kern w:val="2"/>
          <w:sz w:val="21"/>
          <w:szCs w:val="21"/>
          <w:lang w:eastAsia="ru-RU"/>
        </w:rPr>
        <w:t>Литература:</w:t>
      </w:r>
    </w:p>
    <w:p w14:paraId="07065AE6" w14:textId="77777777" w:rsidR="006F5395" w:rsidRPr="00877DE5" w:rsidRDefault="006F5395" w:rsidP="00AD58CD">
      <w:pPr>
        <w:numPr>
          <w:ilvl w:val="0"/>
          <w:numId w:val="73"/>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https://</w:t>
      </w:r>
      <w:hyperlink r:id="rId315" w:history="1">
        <w:r w:rsidRPr="002F668B">
          <w:rPr>
            <w:rStyle w:val="aa"/>
            <w:rFonts w:ascii="Times New Roman" w:eastAsia="Times New Roman" w:hAnsi="Times New Roman" w:cs="Times New Roman"/>
            <w:sz w:val="21"/>
            <w:szCs w:val="21"/>
            <w:lang w:val="x-none" w:eastAsia="ar-SA"/>
          </w:rPr>
          <w:t>www.mckinsey.de/~/media/mckinsey/locations/europe</w:t>
        </w:r>
      </w:hyperlink>
      <w:r w:rsidRPr="00877DE5">
        <w:rPr>
          <w:rFonts w:ascii="Times New Roman" w:eastAsia="Times New Roman" w:hAnsi="Times New Roman" w:cs="Times New Roman"/>
          <w:sz w:val="21"/>
          <w:szCs w:val="21"/>
          <w:lang w:val="x-none" w:eastAsia="ar-SA"/>
        </w:rPr>
        <w:t xml:space="preserve"> and middle east/ russia/our insights/innovations in russia/innovations-in-russia_web_lq-1.pdf</w:t>
      </w:r>
    </w:p>
    <w:p w14:paraId="19D9E161" w14:textId="77777777" w:rsidR="006F5395" w:rsidRPr="00877DE5" w:rsidRDefault="006F5395" w:rsidP="00AD58CD">
      <w:pPr>
        <w:numPr>
          <w:ilvl w:val="0"/>
          <w:numId w:val="73"/>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https://scrumtrek.ru/blog/product-management/9113/lean-canvas-chto-eto/</w:t>
      </w:r>
    </w:p>
    <w:p w14:paraId="56A80613" w14:textId="77777777" w:rsidR="006F5395" w:rsidRPr="00877DE5" w:rsidRDefault="006F5395" w:rsidP="00AD58CD">
      <w:pPr>
        <w:numPr>
          <w:ilvl w:val="0"/>
          <w:numId w:val="73"/>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https://pzmzavod.ru/innovacionnye-tehnologii-v-promyslennosti-ih-vlianie-i-   primenenie</w:t>
      </w:r>
    </w:p>
    <w:p w14:paraId="06FDFDD1" w14:textId="77777777" w:rsidR="006F5395" w:rsidRPr="00877DE5" w:rsidRDefault="006F5395" w:rsidP="00AD58CD">
      <w:pPr>
        <w:numPr>
          <w:ilvl w:val="0"/>
          <w:numId w:val="73"/>
        </w:numPr>
        <w:tabs>
          <w:tab w:val="left" w:pos="0"/>
        </w:tabs>
        <w:suppressAutoHyphens/>
        <w:autoSpaceDE w:val="0"/>
        <w:spacing w:after="0" w:line="240" w:lineRule="auto"/>
        <w:ind w:left="36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https://vc.ru/books/1806481-konspekt-knigi-erika-risa-biznes-s-nulya-metod-   lean-startup-dlya-bystrogo-testirovaniya-idei-i-vybora-biznes-modeli</w:t>
      </w:r>
    </w:p>
    <w:p w14:paraId="21F6D995" w14:textId="77777777" w:rsidR="006F5395" w:rsidRPr="00654CF2" w:rsidRDefault="006F5395" w:rsidP="006F5395">
      <w:pPr>
        <w:tabs>
          <w:tab w:val="left" w:pos="0"/>
        </w:tabs>
        <w:suppressAutoHyphens/>
        <w:autoSpaceDE w:val="0"/>
        <w:spacing w:after="0" w:line="240" w:lineRule="auto"/>
        <w:jc w:val="both"/>
        <w:rPr>
          <w:rFonts w:ascii="Times New Roman" w:eastAsia="Times New Roman" w:hAnsi="Times New Roman" w:cs="Times New Roman"/>
          <w:sz w:val="21"/>
          <w:szCs w:val="21"/>
          <w:lang w:val="en-US" w:eastAsia="ar-SA"/>
        </w:rPr>
      </w:pPr>
    </w:p>
    <w:p w14:paraId="7F0608C4" w14:textId="77777777" w:rsidR="006F5395" w:rsidRPr="006F5395" w:rsidRDefault="006F5395" w:rsidP="006F5395">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p>
    <w:p w14:paraId="78BFC14E" w14:textId="77777777" w:rsidR="00877DE5" w:rsidRPr="00877DE5" w:rsidRDefault="00877DE5" w:rsidP="00505093">
      <w:pPr>
        <w:spacing w:after="0" w:line="240" w:lineRule="auto"/>
        <w:rPr>
          <w:rFonts w:ascii="Times New Roman" w:eastAsia="Times New Roman" w:hAnsi="Times New Roman" w:cs="Times New Roman"/>
          <w:b/>
          <w:color w:val="000000"/>
          <w:sz w:val="21"/>
          <w:szCs w:val="21"/>
        </w:rPr>
      </w:pPr>
      <w:r w:rsidRPr="00877DE5">
        <w:rPr>
          <w:rFonts w:ascii="Times New Roman" w:eastAsia="Times New Roman" w:hAnsi="Times New Roman" w:cs="Times New Roman"/>
          <w:b/>
          <w:color w:val="000000"/>
          <w:sz w:val="21"/>
          <w:szCs w:val="21"/>
        </w:rPr>
        <w:t>УДК</w:t>
      </w:r>
      <w:r w:rsidRPr="00877DE5">
        <w:rPr>
          <w:rFonts w:ascii="Calibri" w:eastAsia="Calibri" w:hAnsi="Calibri" w:cs="Times New Roman"/>
        </w:rPr>
        <w:t xml:space="preserve"> </w:t>
      </w:r>
      <w:r w:rsidRPr="00877DE5">
        <w:rPr>
          <w:rFonts w:ascii="Times New Roman" w:eastAsia="Times New Roman" w:hAnsi="Times New Roman" w:cs="Times New Roman"/>
          <w:b/>
          <w:color w:val="000000"/>
          <w:sz w:val="21"/>
          <w:szCs w:val="21"/>
        </w:rPr>
        <w:t>339.138</w:t>
      </w:r>
    </w:p>
    <w:p w14:paraId="6F67C06C"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Крылосова Д.Н.,</w:t>
      </w:r>
    </w:p>
    <w:p w14:paraId="7A4DEF6F"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студент 1 курса</w:t>
      </w:r>
    </w:p>
    <w:p w14:paraId="1AE76D70"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Финансовый университет при Правительстве Российской Федерации</w:t>
      </w:r>
    </w:p>
    <w:p w14:paraId="3B5E1BC2"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г. Краснодар, Россия</w:t>
      </w:r>
    </w:p>
    <w:p w14:paraId="245BB28D"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 xml:space="preserve">е-mail: </w:t>
      </w:r>
      <w:hyperlink r:id="rId316" w:history="1">
        <w:r w:rsidRPr="00877DE5">
          <w:rPr>
            <w:rFonts w:ascii="Times New Roman" w:eastAsia="Times New Roman" w:hAnsi="Times New Roman" w:cs="Times New Roman"/>
            <w:i/>
            <w:color w:val="0563C1"/>
            <w:sz w:val="21"/>
            <w:szCs w:val="21"/>
            <w:u w:val="single"/>
          </w:rPr>
          <w:t>krilosovadaria2002@gmail.com</w:t>
        </w:r>
      </w:hyperlink>
      <w:r w:rsidRPr="00877DE5">
        <w:rPr>
          <w:rFonts w:ascii="Times New Roman" w:eastAsia="Times New Roman" w:hAnsi="Times New Roman" w:cs="Times New Roman"/>
          <w:i/>
          <w:color w:val="000000"/>
          <w:sz w:val="21"/>
          <w:szCs w:val="21"/>
        </w:rPr>
        <w:t xml:space="preserve"> </w:t>
      </w:r>
    </w:p>
    <w:p w14:paraId="6CDD933A"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highlight w:val="yellow"/>
        </w:rPr>
      </w:pPr>
      <w:r w:rsidRPr="00877DE5">
        <w:rPr>
          <w:rFonts w:ascii="Times New Roman" w:eastAsia="Times New Roman" w:hAnsi="Times New Roman" w:cs="Times New Roman"/>
          <w:i/>
          <w:color w:val="000000"/>
          <w:sz w:val="21"/>
          <w:szCs w:val="21"/>
          <w:highlight w:val="yellow"/>
        </w:rPr>
        <w:t xml:space="preserve"> </w:t>
      </w:r>
    </w:p>
    <w:p w14:paraId="0B660744"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Научный руководитель:</w:t>
      </w:r>
    </w:p>
    <w:p w14:paraId="64318475"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Грибок Н.Н.,</w:t>
      </w:r>
    </w:p>
    <w:p w14:paraId="5AB364A7"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b/>
          <w:i/>
          <w:color w:val="000000"/>
          <w:sz w:val="21"/>
          <w:szCs w:val="21"/>
        </w:rPr>
        <w:t xml:space="preserve"> </w:t>
      </w:r>
      <w:r w:rsidRPr="00877DE5">
        <w:rPr>
          <w:rFonts w:ascii="Times New Roman" w:eastAsia="Times New Roman" w:hAnsi="Times New Roman" w:cs="Times New Roman"/>
          <w:i/>
          <w:color w:val="000000"/>
          <w:sz w:val="21"/>
          <w:szCs w:val="21"/>
        </w:rPr>
        <w:t>доцент, к.и.н.</w:t>
      </w:r>
    </w:p>
    <w:p w14:paraId="2F2946F1"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Финансовый университет при Правительстве Российской Федерации</w:t>
      </w:r>
    </w:p>
    <w:p w14:paraId="5D935115"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г. Краснодар, Россия</w:t>
      </w:r>
    </w:p>
    <w:p w14:paraId="779A820B"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е-</w:t>
      </w:r>
      <w:r w:rsidRPr="00877DE5">
        <w:rPr>
          <w:rFonts w:ascii="Times New Roman" w:eastAsia="Times New Roman" w:hAnsi="Times New Roman" w:cs="Times New Roman"/>
          <w:i/>
          <w:color w:val="000000"/>
          <w:sz w:val="21"/>
          <w:szCs w:val="21"/>
          <w:lang w:val="en-US"/>
        </w:rPr>
        <w:t>mail</w:t>
      </w:r>
      <w:r w:rsidRPr="00877DE5">
        <w:rPr>
          <w:rFonts w:ascii="Times New Roman" w:eastAsia="Times New Roman" w:hAnsi="Times New Roman" w:cs="Times New Roman"/>
          <w:i/>
          <w:color w:val="000000"/>
          <w:sz w:val="21"/>
          <w:szCs w:val="21"/>
        </w:rPr>
        <w:t>:</w:t>
      </w:r>
      <w:r w:rsidRPr="00877DE5">
        <w:rPr>
          <w:rFonts w:ascii="Times New Roman" w:eastAsia="Times New Roman" w:hAnsi="Times New Roman" w:cs="Times New Roman"/>
          <w:i/>
          <w:color w:val="000000"/>
          <w:sz w:val="21"/>
          <w:szCs w:val="21"/>
          <w:u w:val="single"/>
        </w:rPr>
        <w:t xml:space="preserve"> </w:t>
      </w:r>
      <w:hyperlink r:id="rId317" w:history="1">
        <w:r w:rsidRPr="00877DE5">
          <w:rPr>
            <w:rFonts w:ascii="Times New Roman" w:eastAsia="Times New Roman" w:hAnsi="Times New Roman" w:cs="Times New Roman"/>
            <w:i/>
            <w:color w:val="0563C1"/>
            <w:sz w:val="21"/>
            <w:szCs w:val="21"/>
            <w:u w:val="single"/>
            <w:lang w:val="en-US"/>
          </w:rPr>
          <w:t>z</w:t>
        </w:r>
        <w:r w:rsidRPr="00877DE5">
          <w:rPr>
            <w:rFonts w:ascii="Times New Roman" w:eastAsia="Times New Roman" w:hAnsi="Times New Roman" w:cs="Times New Roman"/>
            <w:i/>
            <w:color w:val="0563C1"/>
            <w:sz w:val="21"/>
            <w:szCs w:val="21"/>
            <w:u w:val="single"/>
          </w:rPr>
          <w:t>-</w:t>
        </w:r>
        <w:r w:rsidRPr="00877DE5">
          <w:rPr>
            <w:rFonts w:ascii="Times New Roman" w:eastAsia="Times New Roman" w:hAnsi="Times New Roman" w:cs="Times New Roman"/>
            <w:i/>
            <w:color w:val="0563C1"/>
            <w:sz w:val="21"/>
            <w:szCs w:val="21"/>
            <w:u w:val="single"/>
            <w:lang w:val="en-US"/>
          </w:rPr>
          <w:t>gribok</w:t>
        </w:r>
        <w:r w:rsidRPr="00877DE5">
          <w:rPr>
            <w:rFonts w:ascii="Times New Roman" w:eastAsia="Times New Roman" w:hAnsi="Times New Roman" w:cs="Times New Roman"/>
            <w:i/>
            <w:color w:val="0563C1"/>
            <w:sz w:val="21"/>
            <w:szCs w:val="21"/>
            <w:u w:val="single"/>
          </w:rPr>
          <w:t>@</w:t>
        </w:r>
        <w:r w:rsidRPr="00877DE5">
          <w:rPr>
            <w:rFonts w:ascii="Times New Roman" w:eastAsia="Times New Roman" w:hAnsi="Times New Roman" w:cs="Times New Roman"/>
            <w:i/>
            <w:color w:val="0563C1"/>
            <w:sz w:val="21"/>
            <w:szCs w:val="21"/>
            <w:u w:val="single"/>
            <w:lang w:val="en-US"/>
          </w:rPr>
          <w:t>yandex</w:t>
        </w:r>
        <w:r w:rsidRPr="00877DE5">
          <w:rPr>
            <w:rFonts w:ascii="Times New Roman" w:eastAsia="Times New Roman" w:hAnsi="Times New Roman" w:cs="Times New Roman"/>
            <w:i/>
            <w:color w:val="0563C1"/>
            <w:sz w:val="21"/>
            <w:szCs w:val="21"/>
            <w:u w:val="single"/>
          </w:rPr>
          <w:t>.</w:t>
        </w:r>
        <w:r w:rsidRPr="00877DE5">
          <w:rPr>
            <w:rFonts w:ascii="Times New Roman" w:eastAsia="Times New Roman" w:hAnsi="Times New Roman" w:cs="Times New Roman"/>
            <w:i/>
            <w:color w:val="0563C1"/>
            <w:sz w:val="21"/>
            <w:szCs w:val="21"/>
            <w:u w:val="single"/>
            <w:lang w:val="en-US"/>
          </w:rPr>
          <w:t>ru</w:t>
        </w:r>
      </w:hyperlink>
      <w:r w:rsidRPr="00877DE5">
        <w:rPr>
          <w:rFonts w:ascii="Times New Roman" w:eastAsia="Times New Roman" w:hAnsi="Times New Roman" w:cs="Times New Roman"/>
          <w:i/>
          <w:color w:val="000000"/>
          <w:sz w:val="21"/>
          <w:szCs w:val="21"/>
        </w:rPr>
        <w:t xml:space="preserve"> </w:t>
      </w:r>
    </w:p>
    <w:p w14:paraId="7D7BE404" w14:textId="77777777" w:rsidR="00877DE5" w:rsidRPr="00877DE5" w:rsidRDefault="00877DE5" w:rsidP="00067100">
      <w:pPr>
        <w:spacing w:after="0" w:line="240" w:lineRule="auto"/>
        <w:ind w:firstLine="709"/>
        <w:jc w:val="right"/>
        <w:rPr>
          <w:rFonts w:ascii="Times New Roman" w:eastAsia="Times New Roman" w:hAnsi="Times New Roman" w:cs="Times New Roman"/>
          <w:b/>
          <w:color w:val="000000"/>
          <w:sz w:val="21"/>
          <w:szCs w:val="21"/>
          <w:highlight w:val="yellow"/>
        </w:rPr>
      </w:pPr>
      <w:r w:rsidRPr="00877DE5">
        <w:rPr>
          <w:rFonts w:ascii="Times New Roman" w:eastAsia="Times New Roman" w:hAnsi="Times New Roman" w:cs="Times New Roman"/>
          <w:b/>
          <w:color w:val="000000"/>
          <w:sz w:val="21"/>
          <w:szCs w:val="21"/>
          <w:highlight w:val="yellow"/>
        </w:rPr>
        <w:t xml:space="preserve"> </w:t>
      </w:r>
    </w:p>
    <w:p w14:paraId="0DB71429" w14:textId="77777777" w:rsidR="00877DE5" w:rsidRPr="00877DE5" w:rsidRDefault="00877DE5" w:rsidP="00067100">
      <w:pPr>
        <w:spacing w:after="0" w:line="240" w:lineRule="auto"/>
        <w:ind w:firstLine="709"/>
        <w:jc w:val="center"/>
        <w:rPr>
          <w:rFonts w:ascii="Times New Roman" w:eastAsia="Times New Roman" w:hAnsi="Times New Roman" w:cs="Times New Roman"/>
          <w:b/>
          <w:bCs/>
          <w:color w:val="000000"/>
          <w:sz w:val="21"/>
          <w:szCs w:val="21"/>
          <w:lang w:eastAsia="ru-RU"/>
        </w:rPr>
      </w:pPr>
      <w:r w:rsidRPr="00877DE5">
        <w:rPr>
          <w:rFonts w:ascii="Times New Roman" w:eastAsia="Times New Roman" w:hAnsi="Times New Roman" w:cs="Times New Roman"/>
          <w:b/>
          <w:bCs/>
          <w:color w:val="000000"/>
          <w:sz w:val="21"/>
          <w:szCs w:val="21"/>
          <w:lang w:eastAsia="ru-RU"/>
        </w:rPr>
        <w:lastRenderedPageBreak/>
        <w:t>Маркетинговые инструменты устойчивого развития брендов государственных университетов: анализ российских практик</w:t>
      </w:r>
    </w:p>
    <w:p w14:paraId="438D2297" w14:textId="77777777" w:rsidR="00877DE5" w:rsidRPr="00877DE5" w:rsidRDefault="00877DE5" w:rsidP="00067100">
      <w:pPr>
        <w:spacing w:after="0" w:line="240" w:lineRule="auto"/>
        <w:ind w:firstLine="709"/>
        <w:jc w:val="center"/>
        <w:rPr>
          <w:rFonts w:ascii="Times New Roman" w:eastAsia="Times New Roman" w:hAnsi="Times New Roman" w:cs="Times New Roman"/>
          <w:b/>
          <w:bCs/>
          <w:color w:val="000000"/>
          <w:sz w:val="21"/>
          <w:szCs w:val="21"/>
          <w:lang w:eastAsia="ru-RU"/>
        </w:rPr>
      </w:pPr>
    </w:p>
    <w:p w14:paraId="1874CF74"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rPr>
      </w:pPr>
      <w:r w:rsidRPr="00877DE5">
        <w:rPr>
          <w:rFonts w:ascii="Times New Roman" w:eastAsia="Times New Roman" w:hAnsi="Times New Roman" w:cs="Times New Roman"/>
          <w:b/>
          <w:color w:val="000000"/>
          <w:sz w:val="21"/>
          <w:szCs w:val="21"/>
        </w:rPr>
        <w:t>Аннотация:</w:t>
      </w:r>
      <w:r w:rsidRPr="00877DE5">
        <w:rPr>
          <w:rFonts w:ascii="Times New Roman" w:eastAsia="Times New Roman" w:hAnsi="Times New Roman" w:cs="Times New Roman"/>
          <w:i/>
          <w:color w:val="000000"/>
          <w:sz w:val="21"/>
          <w:szCs w:val="21"/>
        </w:rPr>
        <w:t xml:space="preserve"> </w:t>
      </w:r>
      <w:r w:rsidRPr="00877DE5">
        <w:rPr>
          <w:rFonts w:ascii="Times New Roman" w:eastAsia="Calibri" w:hAnsi="Times New Roman" w:cs="Times New Roman"/>
          <w:color w:val="000000"/>
          <w:sz w:val="21"/>
          <w:szCs w:val="21"/>
          <w:shd w:val="clear" w:color="auto" w:fill="FFFFFF"/>
        </w:rPr>
        <w:t>Статья посвящена анализу маркетинговых инструментов устойчивого развития брендов государственных университетов в условиях растущей конкуренции. Рассматриваются теоретические основы брендинга в образовании и исследуются успешные практики МГУ, ВШЭ и Финансового университета. Выявлены основные барьеры и предложены рекомендации для повышения эффективности бренд-стратегий вузов. Результаты могут быть использованы при разработке комплексных коммуникационных стратегий в сфере высшего образования.</w:t>
      </w:r>
    </w:p>
    <w:p w14:paraId="54474B63"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eastAsia="ru-RU"/>
        </w:rPr>
      </w:pPr>
      <w:r w:rsidRPr="00877DE5">
        <w:rPr>
          <w:rFonts w:ascii="Times New Roman" w:eastAsia="Times New Roman" w:hAnsi="Times New Roman" w:cs="Times New Roman"/>
          <w:b/>
          <w:color w:val="000000"/>
          <w:sz w:val="21"/>
          <w:szCs w:val="21"/>
          <w:lang w:eastAsia="ru-RU"/>
        </w:rPr>
        <w:t>Ключевые слова:</w:t>
      </w:r>
      <w:r w:rsidRPr="00877DE5">
        <w:rPr>
          <w:rFonts w:ascii="Times New Roman" w:eastAsia="Times New Roman" w:hAnsi="Times New Roman" w:cs="Times New Roman"/>
          <w:color w:val="000000"/>
          <w:sz w:val="21"/>
          <w:szCs w:val="21"/>
          <w:lang w:eastAsia="ru-RU"/>
        </w:rPr>
        <w:t xml:space="preserve"> Образование, конкуренция, бренд университета, устойчивое развитие, цифровой маркетинг, академическое позиционирование, публичные активности.</w:t>
      </w:r>
    </w:p>
    <w:p w14:paraId="4E240249"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rPr>
      </w:pPr>
    </w:p>
    <w:p w14:paraId="688EAE30"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lang w:val="en-US"/>
        </w:rPr>
      </w:pPr>
      <w:r w:rsidRPr="00877DE5">
        <w:rPr>
          <w:rFonts w:ascii="Times New Roman" w:eastAsia="Times New Roman" w:hAnsi="Times New Roman" w:cs="Times New Roman"/>
          <w:b/>
          <w:i/>
          <w:color w:val="000000"/>
          <w:sz w:val="21"/>
          <w:szCs w:val="21"/>
          <w:lang w:val="en-US"/>
        </w:rPr>
        <w:t>Krylosova D.N.,</w:t>
      </w:r>
    </w:p>
    <w:p w14:paraId="44BD4A58"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Times New Roman" w:hAnsi="Times New Roman" w:cs="Times New Roman"/>
          <w:i/>
          <w:color w:val="000000"/>
          <w:sz w:val="21"/>
          <w:szCs w:val="21"/>
          <w:lang w:val="en-US"/>
        </w:rPr>
        <w:t xml:space="preserve">student, 1 </w:t>
      </w:r>
      <w:proofErr w:type="gramStart"/>
      <w:r w:rsidRPr="00877DE5">
        <w:rPr>
          <w:rFonts w:ascii="Times New Roman" w:eastAsia="Times New Roman" w:hAnsi="Times New Roman" w:cs="Times New Roman"/>
          <w:i/>
          <w:color w:val="000000"/>
          <w:sz w:val="21"/>
          <w:szCs w:val="21"/>
          <w:lang w:val="en-US"/>
        </w:rPr>
        <w:t>courses</w:t>
      </w:r>
      <w:proofErr w:type="gramEnd"/>
    </w:p>
    <w:p w14:paraId="2CD9E2D1"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Calibri" w:hAnsi="Times New Roman" w:cs="Times New Roman"/>
          <w:i/>
          <w:sz w:val="21"/>
          <w:szCs w:val="21"/>
          <w:lang w:val="en-US"/>
        </w:rPr>
        <w:t>Financial University under the Government of the Russia Federation</w:t>
      </w:r>
      <w:r w:rsidRPr="00877DE5">
        <w:rPr>
          <w:rFonts w:ascii="Times New Roman" w:eastAsia="Times New Roman" w:hAnsi="Times New Roman" w:cs="Times New Roman"/>
          <w:i/>
          <w:color w:val="000000"/>
          <w:sz w:val="21"/>
          <w:szCs w:val="21"/>
          <w:lang w:val="en-US"/>
        </w:rPr>
        <w:t xml:space="preserve"> </w:t>
      </w:r>
    </w:p>
    <w:p w14:paraId="3DDF4564"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Times New Roman" w:hAnsi="Times New Roman" w:cs="Times New Roman"/>
          <w:i/>
          <w:color w:val="000000"/>
          <w:sz w:val="21"/>
          <w:szCs w:val="21"/>
          <w:lang w:val="en-US"/>
        </w:rPr>
        <w:t>Krasnodar, Russia</w:t>
      </w:r>
    </w:p>
    <w:p w14:paraId="3975E286" w14:textId="72D51203"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Times New Roman" w:hAnsi="Times New Roman" w:cs="Times New Roman"/>
          <w:i/>
          <w:color w:val="000000"/>
          <w:sz w:val="21"/>
          <w:szCs w:val="21"/>
        </w:rPr>
        <w:t>е</w:t>
      </w:r>
      <w:r w:rsidRPr="00877DE5">
        <w:rPr>
          <w:rFonts w:ascii="Times New Roman" w:eastAsia="Times New Roman" w:hAnsi="Times New Roman" w:cs="Times New Roman"/>
          <w:i/>
          <w:color w:val="000000"/>
          <w:sz w:val="21"/>
          <w:szCs w:val="21"/>
          <w:lang w:val="en-US"/>
        </w:rPr>
        <w:t>-mail:</w:t>
      </w:r>
      <w:r w:rsidR="00D175BF" w:rsidRPr="000B3AFF">
        <w:rPr>
          <w:rFonts w:ascii="Times New Roman" w:eastAsia="Times New Roman" w:hAnsi="Times New Roman" w:cs="Times New Roman"/>
          <w:i/>
          <w:color w:val="000000"/>
          <w:sz w:val="21"/>
          <w:szCs w:val="21"/>
          <w:lang w:val="en-US"/>
        </w:rPr>
        <w:t xml:space="preserve"> </w:t>
      </w:r>
      <w:r w:rsidRPr="00877DE5">
        <w:rPr>
          <w:rFonts w:ascii="Times New Roman" w:eastAsia="Times New Roman" w:hAnsi="Times New Roman" w:cs="Times New Roman"/>
          <w:i/>
          <w:color w:val="000000"/>
          <w:sz w:val="21"/>
          <w:szCs w:val="21"/>
          <w:lang w:val="en-US"/>
        </w:rPr>
        <w:t xml:space="preserve">krilosovadaria2002@gmail.com </w:t>
      </w:r>
    </w:p>
    <w:p w14:paraId="7A7FF64F"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highlight w:val="yellow"/>
          <w:lang w:val="en-US"/>
        </w:rPr>
      </w:pPr>
      <w:r w:rsidRPr="00877DE5">
        <w:rPr>
          <w:rFonts w:ascii="Times New Roman" w:eastAsia="Times New Roman" w:hAnsi="Times New Roman" w:cs="Times New Roman"/>
          <w:i/>
          <w:color w:val="000000"/>
          <w:sz w:val="21"/>
          <w:szCs w:val="21"/>
          <w:highlight w:val="yellow"/>
          <w:lang w:val="en-US"/>
        </w:rPr>
        <w:t xml:space="preserve"> </w:t>
      </w:r>
    </w:p>
    <w:p w14:paraId="1A19276B"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lang w:val="en-US"/>
        </w:rPr>
      </w:pPr>
      <w:r w:rsidRPr="00877DE5">
        <w:rPr>
          <w:rFonts w:ascii="Times New Roman" w:eastAsia="Times New Roman" w:hAnsi="Times New Roman" w:cs="Times New Roman"/>
          <w:b/>
          <w:i/>
          <w:color w:val="000000"/>
          <w:sz w:val="21"/>
          <w:szCs w:val="21"/>
          <w:lang w:val="en-US"/>
        </w:rPr>
        <w:t>Scientific Adviser:</w:t>
      </w:r>
    </w:p>
    <w:p w14:paraId="5209EAF1"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lang w:val="en-US"/>
        </w:rPr>
      </w:pPr>
      <w:r w:rsidRPr="00877DE5">
        <w:rPr>
          <w:rFonts w:ascii="Times New Roman" w:eastAsia="Times New Roman" w:hAnsi="Times New Roman" w:cs="Times New Roman"/>
          <w:b/>
          <w:i/>
          <w:color w:val="000000"/>
          <w:sz w:val="21"/>
          <w:szCs w:val="21"/>
          <w:lang w:val="en-US"/>
        </w:rPr>
        <w:t>Gribok N.N.,</w:t>
      </w:r>
    </w:p>
    <w:p w14:paraId="61870CCB"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highlight w:val="white"/>
          <w:lang w:val="en-US"/>
        </w:rPr>
      </w:pPr>
      <w:r w:rsidRPr="00877DE5">
        <w:rPr>
          <w:rFonts w:ascii="Times New Roman" w:eastAsia="Times New Roman" w:hAnsi="Times New Roman" w:cs="Times New Roman"/>
          <w:i/>
          <w:color w:val="000000"/>
          <w:sz w:val="21"/>
          <w:szCs w:val="21"/>
          <w:highlight w:val="white"/>
          <w:lang w:val="en-US"/>
        </w:rPr>
        <w:t>Doctor of Science (History),</w:t>
      </w:r>
      <w:r w:rsidRPr="00877DE5">
        <w:rPr>
          <w:rFonts w:ascii="Times New Roman" w:eastAsia="Times New Roman" w:hAnsi="Times New Roman" w:cs="Times New Roman"/>
          <w:i/>
          <w:color w:val="000000"/>
          <w:sz w:val="21"/>
          <w:szCs w:val="21"/>
          <w:lang w:val="en-US"/>
        </w:rPr>
        <w:t xml:space="preserve"> </w:t>
      </w:r>
      <w:r w:rsidRPr="00877DE5">
        <w:rPr>
          <w:rFonts w:ascii="Times New Roman" w:eastAsia="Times New Roman" w:hAnsi="Times New Roman" w:cs="Times New Roman"/>
          <w:i/>
          <w:color w:val="000000"/>
          <w:sz w:val="21"/>
          <w:szCs w:val="21"/>
          <w:highlight w:val="white"/>
          <w:lang w:val="en-US"/>
        </w:rPr>
        <w:t>Docent</w:t>
      </w:r>
    </w:p>
    <w:p w14:paraId="1502C182"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Calibri" w:hAnsi="Times New Roman" w:cs="Times New Roman"/>
          <w:i/>
          <w:sz w:val="21"/>
          <w:szCs w:val="21"/>
          <w:lang w:val="en-US"/>
        </w:rPr>
        <w:t>Financial University under the Government of the Russia Federation</w:t>
      </w:r>
      <w:r w:rsidRPr="00877DE5">
        <w:rPr>
          <w:rFonts w:ascii="Times New Roman" w:eastAsia="Times New Roman" w:hAnsi="Times New Roman" w:cs="Times New Roman"/>
          <w:i/>
          <w:color w:val="000000"/>
          <w:sz w:val="21"/>
          <w:szCs w:val="21"/>
          <w:lang w:val="en-US"/>
        </w:rPr>
        <w:t xml:space="preserve"> </w:t>
      </w:r>
    </w:p>
    <w:p w14:paraId="25C65213"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Times New Roman" w:hAnsi="Times New Roman" w:cs="Times New Roman"/>
          <w:i/>
          <w:color w:val="000000"/>
          <w:sz w:val="21"/>
          <w:szCs w:val="21"/>
          <w:lang w:val="en-US"/>
        </w:rPr>
        <w:t>Krasnodar, Russia</w:t>
      </w:r>
    </w:p>
    <w:p w14:paraId="44475F12"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r w:rsidRPr="00877DE5">
        <w:rPr>
          <w:rFonts w:ascii="Times New Roman" w:eastAsia="Times New Roman" w:hAnsi="Times New Roman" w:cs="Times New Roman"/>
          <w:i/>
          <w:color w:val="000000"/>
          <w:sz w:val="21"/>
          <w:szCs w:val="21"/>
        </w:rPr>
        <w:t>е</w:t>
      </w:r>
      <w:r w:rsidRPr="00877DE5">
        <w:rPr>
          <w:rFonts w:ascii="Times New Roman" w:eastAsia="Times New Roman" w:hAnsi="Times New Roman" w:cs="Times New Roman"/>
          <w:i/>
          <w:color w:val="000000"/>
          <w:sz w:val="21"/>
          <w:szCs w:val="21"/>
          <w:lang w:val="en-US"/>
        </w:rPr>
        <w:t>-mail:</w:t>
      </w:r>
      <w:r w:rsidRPr="00877DE5">
        <w:rPr>
          <w:rFonts w:ascii="Times New Roman" w:eastAsia="Times New Roman" w:hAnsi="Times New Roman" w:cs="Times New Roman"/>
          <w:i/>
          <w:color w:val="000000"/>
          <w:sz w:val="21"/>
          <w:szCs w:val="21"/>
          <w:u w:val="single"/>
          <w:lang w:val="en-US"/>
        </w:rPr>
        <w:t xml:space="preserve"> </w:t>
      </w:r>
      <w:hyperlink r:id="rId318" w:history="1">
        <w:r w:rsidRPr="00877DE5">
          <w:rPr>
            <w:rFonts w:ascii="Times New Roman" w:eastAsia="Times New Roman" w:hAnsi="Times New Roman" w:cs="Times New Roman"/>
            <w:i/>
            <w:color w:val="0563C1"/>
            <w:sz w:val="21"/>
            <w:szCs w:val="21"/>
            <w:u w:val="single"/>
            <w:lang w:val="en-US"/>
          </w:rPr>
          <w:t>z-gribok@yandex.ru</w:t>
        </w:r>
      </w:hyperlink>
    </w:p>
    <w:p w14:paraId="011709EA"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val="en-US"/>
        </w:rPr>
      </w:pPr>
    </w:p>
    <w:p w14:paraId="6BE3F759" w14:textId="77777777" w:rsidR="00877DE5" w:rsidRPr="00877DE5" w:rsidRDefault="00877DE5" w:rsidP="00296294">
      <w:pPr>
        <w:spacing w:after="0" w:line="240" w:lineRule="auto"/>
        <w:jc w:val="center"/>
        <w:rPr>
          <w:rFonts w:ascii="Times New Roman" w:eastAsia="Times New Roman" w:hAnsi="Times New Roman" w:cs="Times New Roman"/>
          <w:b/>
          <w:color w:val="000000"/>
          <w:kern w:val="2"/>
          <w:sz w:val="21"/>
          <w:szCs w:val="21"/>
          <w:lang w:val="en-US"/>
          <w14:ligatures w14:val="standardContextual"/>
        </w:rPr>
      </w:pPr>
      <w:r w:rsidRPr="00877DE5">
        <w:rPr>
          <w:rFonts w:ascii="Times New Roman" w:eastAsia="Times New Roman" w:hAnsi="Times New Roman" w:cs="Times New Roman"/>
          <w:b/>
          <w:color w:val="000000"/>
          <w:kern w:val="2"/>
          <w:sz w:val="21"/>
          <w:szCs w:val="21"/>
          <w:lang w:val="en-US"/>
          <w14:ligatures w14:val="standardContextual"/>
        </w:rPr>
        <w:t>Marketing tools for sustainable brand development of state universities: analysis of Russian practices</w:t>
      </w:r>
    </w:p>
    <w:p w14:paraId="23950B05" w14:textId="77777777" w:rsidR="00877DE5" w:rsidRPr="00877DE5" w:rsidRDefault="00877DE5" w:rsidP="00067100">
      <w:pPr>
        <w:spacing w:after="0" w:line="240" w:lineRule="auto"/>
        <w:ind w:firstLine="709"/>
        <w:jc w:val="both"/>
        <w:rPr>
          <w:rFonts w:ascii="Times New Roman" w:eastAsia="Times New Roman" w:hAnsi="Times New Roman" w:cs="Times New Roman"/>
          <w:b/>
          <w:color w:val="000000"/>
          <w:kern w:val="2"/>
          <w:sz w:val="21"/>
          <w:szCs w:val="21"/>
          <w:lang w:val="en-US"/>
          <w14:ligatures w14:val="standardContextual"/>
        </w:rPr>
      </w:pPr>
    </w:p>
    <w:p w14:paraId="27D47D3C" w14:textId="77777777" w:rsidR="00877DE5" w:rsidRPr="00877DE5" w:rsidRDefault="00877DE5" w:rsidP="00067100">
      <w:pPr>
        <w:spacing w:after="0" w:line="240" w:lineRule="auto"/>
        <w:ind w:firstLine="709"/>
        <w:jc w:val="both"/>
        <w:rPr>
          <w:rFonts w:ascii="Times New Roman" w:eastAsia="Times New Roman" w:hAnsi="Times New Roman" w:cs="Times New Roman"/>
          <w:bCs/>
          <w:color w:val="000000"/>
          <w:kern w:val="2"/>
          <w:sz w:val="21"/>
          <w:szCs w:val="21"/>
          <w:lang w:val="en-US"/>
          <w14:ligatures w14:val="standardContextual"/>
        </w:rPr>
      </w:pPr>
      <w:r w:rsidRPr="00877DE5">
        <w:rPr>
          <w:rFonts w:ascii="Times New Roman" w:eastAsia="Times New Roman" w:hAnsi="Times New Roman" w:cs="Times New Roman"/>
          <w:b/>
          <w:color w:val="000000"/>
          <w:kern w:val="2"/>
          <w:sz w:val="21"/>
          <w:szCs w:val="21"/>
          <w:lang w:val="en-US"/>
          <w14:ligatures w14:val="standardContextual"/>
        </w:rPr>
        <w:t xml:space="preserve">Abstract: </w:t>
      </w:r>
      <w:r w:rsidRPr="00877DE5">
        <w:rPr>
          <w:rFonts w:ascii="Times New Roman" w:eastAsia="Times New Roman" w:hAnsi="Times New Roman" w:cs="Times New Roman"/>
          <w:bCs/>
          <w:color w:val="000000"/>
          <w:kern w:val="2"/>
          <w:sz w:val="21"/>
          <w:szCs w:val="21"/>
          <w:lang w:val="en-US"/>
          <w14:ligatures w14:val="standardContextual"/>
        </w:rPr>
        <w:t>The article is devoted to the analysis of marketing tools for sustainable brand development of state universities in the conditions of growing competition. The theoretical foundations of branding in education are considered and successful practices of Moscow State University, Higher School of Economics and Finance University are analyzed. The main barriers are identified and recommendations for improving the effectiveness of brand strategies of universities are offered. The results can be used in the development of comprehensive communication strategies in higher education.</w:t>
      </w:r>
    </w:p>
    <w:p w14:paraId="1DD5260A" w14:textId="77777777" w:rsidR="00877DE5" w:rsidRPr="00877DE5" w:rsidRDefault="00877DE5" w:rsidP="00067100">
      <w:pPr>
        <w:spacing w:after="0" w:line="240" w:lineRule="auto"/>
        <w:ind w:firstLine="709"/>
        <w:jc w:val="both"/>
        <w:rPr>
          <w:rFonts w:ascii="Times New Roman" w:eastAsia="Times New Roman" w:hAnsi="Times New Roman" w:cs="Times New Roman"/>
          <w:bCs/>
          <w:color w:val="000000"/>
          <w:kern w:val="2"/>
          <w:sz w:val="21"/>
          <w:szCs w:val="21"/>
          <w:lang w:val="en-US"/>
          <w14:ligatures w14:val="standardContextual"/>
        </w:rPr>
      </w:pPr>
      <w:r w:rsidRPr="00877DE5">
        <w:rPr>
          <w:rFonts w:ascii="Times New Roman" w:eastAsia="Times New Roman" w:hAnsi="Times New Roman" w:cs="Times New Roman"/>
          <w:b/>
          <w:color w:val="000000"/>
          <w:kern w:val="2"/>
          <w:sz w:val="21"/>
          <w:szCs w:val="21"/>
          <w:lang w:val="en-US"/>
          <w14:ligatures w14:val="standardContextual"/>
        </w:rPr>
        <w:t xml:space="preserve">Key words: </w:t>
      </w:r>
      <w:r w:rsidRPr="00877DE5">
        <w:rPr>
          <w:rFonts w:ascii="Times New Roman" w:eastAsia="Times New Roman" w:hAnsi="Times New Roman" w:cs="Times New Roman"/>
          <w:bCs/>
          <w:color w:val="000000"/>
          <w:kern w:val="2"/>
          <w:sz w:val="21"/>
          <w:szCs w:val="21"/>
          <w:lang w:val="en-US"/>
          <w14:ligatures w14:val="standardContextual"/>
        </w:rPr>
        <w:t>Education, competition, university brand, sustainable development, digital marketing, academic positioning, public activities.</w:t>
      </w:r>
    </w:p>
    <w:p w14:paraId="15210CCD" w14:textId="77777777" w:rsidR="00877DE5" w:rsidRPr="00877DE5" w:rsidRDefault="00877DE5" w:rsidP="00067100">
      <w:pPr>
        <w:spacing w:after="0" w:line="240" w:lineRule="auto"/>
        <w:ind w:firstLine="709"/>
        <w:jc w:val="both"/>
        <w:rPr>
          <w:rFonts w:ascii="Times New Roman" w:eastAsia="Times New Roman" w:hAnsi="Times New Roman" w:cs="Times New Roman"/>
          <w:b/>
          <w:color w:val="000000"/>
          <w:kern w:val="2"/>
          <w:sz w:val="21"/>
          <w:szCs w:val="21"/>
          <w:lang w:val="en-US"/>
          <w14:ligatures w14:val="standardContextual"/>
        </w:rPr>
      </w:pPr>
    </w:p>
    <w:p w14:paraId="2FF4CCAC" w14:textId="77777777" w:rsidR="00877DE5" w:rsidRPr="00877DE5" w:rsidRDefault="00877DE5" w:rsidP="00067100">
      <w:pPr>
        <w:spacing w:after="0" w:line="240" w:lineRule="auto"/>
        <w:ind w:firstLine="709"/>
        <w:jc w:val="both"/>
        <w:rPr>
          <w:rFonts w:ascii="Times New Roman" w:eastAsia="Times New Roman" w:hAnsi="Times New Roman" w:cs="Times New Roman"/>
          <w:b/>
          <w:color w:val="000000"/>
          <w:kern w:val="2"/>
          <w:sz w:val="32"/>
          <w:szCs w:val="32"/>
          <w14:ligatures w14:val="standardContextual"/>
        </w:rPr>
      </w:pPr>
      <w:r w:rsidRPr="00877DE5">
        <w:rPr>
          <w:rFonts w:ascii="Times New Roman" w:eastAsia="Times New Roman" w:hAnsi="Times New Roman" w:cs="Times New Roman"/>
          <w:color w:val="000000"/>
          <w:sz w:val="32"/>
          <w:szCs w:val="32"/>
          <w:lang w:eastAsia="ru-RU"/>
        </w:rPr>
        <w:t>Современное образование переживает трансформационный этап, связанный с возрастающей конкуренцией как на национальном, так и на международном уровне. Государственные университеты, являясь опорными точками научно-образовательного пространства страны, вынуждены адаптироваться к новым условиям, где ключевыми становятся узнаваемость, репутация и привлекательность бренда. Устойчивое развитие бренда университета становится не просто задачей маркетингового отдела, а стратегической необходимостью. Актуальность данной темы обусловлена необходимостью повышения конкурентоспособности отечественных вузов, особенно в условиях цифровизации, глобализации и изменений в демографической структуре общества. Цель статьи заключается в анализе маркетинговых инструментов, способствующих устойчивому развитию бренда государственных университетов России. Задачи исследования включают:</w:t>
      </w:r>
    </w:p>
    <w:p w14:paraId="5D5C9ECD"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lastRenderedPageBreak/>
        <w:t>1. Определение сущности устойчивого развития бренда университета;</w:t>
      </w:r>
    </w:p>
    <w:p w14:paraId="454500C7"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2. Анализ применяемых маркетинговых инструментов;</w:t>
      </w:r>
    </w:p>
    <w:p w14:paraId="033BB82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3. Исследование российских практик и выработка рекомендаций для повышения эффективности брендинговой стратегии.</w:t>
      </w:r>
    </w:p>
    <w:p w14:paraId="25135155"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Устойчивое развитие бренда университета представляет собой комплексный процесс формирования, поддержания и укрепления идентичности образовательной организации на основе принципов долгосрочной ценности, социальной ответственности и академической репутации [1, с. 135]. В отличие от краткосрочных маркетинговых активностей, устойчивый брендинг ориентирован на формирование доверия у целевых аудиторий — абитуриентов, студентов, выпускников, преподавателей, работодателей и государственных институтов. Согласно работам Капфере Ж. и Эштона М., бренд образовательной организации включает в себя такие компоненты, как миссия, ценности, визуальная идентичность, академические достижения и степень вовлечённости в общественную жизнь [2, с. 58].</w:t>
      </w:r>
    </w:p>
    <w:p w14:paraId="7123FC13"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Прежде всего, необходимо отметить, что в рамках устойчивого бренд-менеджмента государственных университетов важнейшее значение приобретает цифровой маркетинг. Использование официальных сайтов, реализация SMM-стратегий, а также активное взаимодействие с потенциальными абитуриентами через социальные сети становятся основой для формирования позитивного имиджа [3, с. 47]. Наиболее ярким примером выступает медиаплатформа «ВШЭ медиа», которая при числе подписчиков, превышающем 100 тысяч, демонстрирует высокий уровень вовлечённости аудитории и эффективную трансляцию как образовательного, так и имиджевого контента.</w:t>
      </w:r>
    </w:p>
    <w:p w14:paraId="0C8A5FB7"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Кроме того, немаловажным элементом устойчивого развития бренда становится академическое позиционирование. Участие в международных рейтингах, таких как QS и THE, также Forbes, RAEX, получение аккредитаций программ, а также высокая публикационная активность профессорско-преподавательского состава формируют восприятие университета как научного и образовательного лидера [5]. Так, по данным рейтингового агентства RAEX за 2024 год, в десятку наиболее цитируемых вузов России вошли МГУ, ВШЭ и Финансовый университет при Правительстве РФ.</w:t>
      </w:r>
    </w:p>
    <w:p w14:paraId="338697DE"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 xml:space="preserve">Следует также подчеркнуть значимость публичных и медиа-активностей. Организация пресс-туров, участие представителей вузов </w:t>
      </w:r>
      <w:r w:rsidRPr="00877DE5">
        <w:rPr>
          <w:rFonts w:ascii="Times New Roman" w:eastAsia="Times New Roman" w:hAnsi="Times New Roman" w:cs="Times New Roman"/>
          <w:color w:val="000000"/>
          <w:sz w:val="32"/>
          <w:szCs w:val="32"/>
          <w:lang w:eastAsia="ru-RU"/>
        </w:rPr>
        <w:lastRenderedPageBreak/>
        <w:t>в экспертных сообществах, а также публикации в авторитетных средствах массовой информации позволяют формировать устойчивое положительное общественное мнение о деятельности университета. Применение подходов кейс-медиа в этих условиях позволяет эффективно структурировать и преподносить имиджевые достижения вуза [4, с. 104].</w:t>
      </w:r>
    </w:p>
    <w:p w14:paraId="4D7CF5D1"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Дополнительно, важным направлением становится выстраивание стратегий взаимодействия с выпускниками. Создание ассоциаций, развитие менторских программ и карьерных клубов способствует не только укреплению связи с выпускниками, но и формированию комьюнити, которое может выступать органическим продолжением бренда вуза за его пределами. Так, платформа «HSE Alumni» уже объединила более 70 тысяч человек, что служит подтверждением высокой степени институционального доверия к бренду.</w:t>
      </w:r>
    </w:p>
    <w:p w14:paraId="4DEF286B"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Наконец, нельзя не упомянуть про социальную ответственность как интегральную составляющую устойчивого брендинга. Участие университетов в экологических инициативах, программах инклюзии, волонтёрской деятельности и региональном развитии способствует формированию образа ответственной и открытой организации. К примеру, Московский государственный университет активно реализует проекты в рамках Целей устойчивого развития ООН, подчёркивая свою приверженность глобальной повестке.</w:t>
      </w:r>
    </w:p>
    <w:p w14:paraId="6AEE746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Для анализа были выбраны три ведущих государственных университета: Московский государственный университет им. М.В. Ломоносова, Национальный исследовательский университет «Высшая школа экономики» и Финансовый университет при Правительстве РФ. Выбор обусловлен их стабильно высокими позициями в национальных и международных рейтингах, которые позволяют всесторонне оценить эффективность различных стратегий брендинга, а также доступностью информации о применяемых маркетинговых стратегиях.</w:t>
      </w:r>
    </w:p>
    <w:p w14:paraId="58F3691B"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Сравнение статистических данных поступления в 2023-2024 учебном году позволяет выявить различия в привлекательности и конкурентоспособности университетских брендов. В МГУ было подано около 47 000 заявлений, в ВШЭ — около 33 000, а в Финансовом университете — около 30 000. Проходные баллы на бюджетные места составили 380, 370 и 360 соответственно. Эти данные указывают на высокую популярность МГУ среди абитуриентов, что подтверждается его высоким проходным баллом. </w:t>
      </w:r>
    </w:p>
    <w:p w14:paraId="0D140FBF"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lastRenderedPageBreak/>
        <w:t>МГУ обладает мощной исторической репутацией, что делает его бренд устойчивым по умолчанию. Однако в последние годы университет активизировал цифровое присутствие, запустив новые образовательные платформы и усилив PR-деятельность. В 2023 году университет вошёл в топ-100 рейтинга QS по направлениям «Физика и астрономия» и «Математика».</w:t>
      </w:r>
    </w:p>
    <w:p w14:paraId="55ACCB2E"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ВШЭ демонстрирует пример динамичного бренд-менеджмента: гибкая маркетинговая стратегия, ориентация на цифровые каналы и международную повестку. Университет активно использует персонализированные коммуникации, развивает англоязычные программы и сотрудничество с ведущими мировыми вузами.</w:t>
      </w:r>
    </w:p>
    <w:p w14:paraId="60FB97C6"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Финансовый университет при Правительстве РФ делает акцент на прикладной направленности образования, партнерстве с бизнесом и госструктурами. Успешная реализация совместных проектов с Минфином и Счетной палатой усиливает его институциональную значимость. Примером успешной реализации концепции устойчивого развития является программа</w:t>
      </w:r>
      <w:r w:rsidRPr="00877DE5">
        <w:rPr>
          <w:rFonts w:ascii="Times New Roman" w:eastAsia="Times New Roman" w:hAnsi="Times New Roman" w:cs="Times New Roman"/>
          <w:color w:val="000000"/>
          <w:sz w:val="24"/>
          <w:szCs w:val="24"/>
          <w:shd w:val="clear" w:color="auto" w:fill="FFFFFF"/>
          <w:lang w:eastAsia="ru-RU"/>
        </w:rPr>
        <w:t xml:space="preserve"> </w:t>
      </w:r>
      <w:r w:rsidRPr="00877DE5">
        <w:rPr>
          <w:rFonts w:ascii="Times New Roman" w:eastAsia="Times New Roman" w:hAnsi="Times New Roman" w:cs="Times New Roman"/>
          <w:color w:val="000000"/>
          <w:sz w:val="32"/>
          <w:szCs w:val="32"/>
          <w:shd w:val="clear" w:color="auto" w:fill="FFFFFF"/>
          <w:lang w:eastAsia="ru-RU"/>
        </w:rPr>
        <w:t>Финансового университета при Правительстве Российской Федерации. Он является одним из разработчиков ЭКГ-рейтинга, вносит значимый вклад не только в реализацию принципов устойчивого развития в деятельности российских компаний, но и становление культуры ответственного ведения бизнеса как таковой. Как отмечает д.э.н., проф. С.Е. Прокофьев, ректор Финансового университета: «Создание и апробация ЭКГ-рейтинга – это один из первых шагов в сторону создания собственных ориентиров устойчивого развития, принципиально не противоречащих глобальной повестке, но при этом способствующих защите государственных интересов и позволяющих добиться прямой взаимосвязи между предпринимательскими инициативами и национальными целями развития»</w:t>
      </w:r>
      <w:r w:rsidRPr="00877DE5">
        <w:rPr>
          <w:rFonts w:ascii="Times New Roman" w:eastAsia="Times New Roman" w:hAnsi="Times New Roman" w:cs="Times New Roman"/>
          <w:color w:val="000000"/>
          <w:sz w:val="32"/>
          <w:szCs w:val="32"/>
          <w:lang w:eastAsia="ru-RU"/>
        </w:rPr>
        <w:t>. Эта инициатива направлена на интеграцию принципов устойчивого развития в образовательный процесс и управление, что формирует положительный имидж университета как ответственного и инновационного учреждения. Также в январе 2023 года, Финуниверситет утвердил Стратегию по экологической и климатической устойчивости.</w:t>
      </w:r>
    </w:p>
    <w:p w14:paraId="2EFA6EA2"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 xml:space="preserve">Несмотря на наличие успешных примеров устойчивого бренд-менеджмента в отдельных российских университетах, проведённый системный анализ позволил выявить ряд общих проблем, препятствующих широкому распространению эффективных практик. </w:t>
      </w:r>
      <w:r w:rsidRPr="00877DE5">
        <w:rPr>
          <w:rFonts w:ascii="Times New Roman" w:eastAsia="Times New Roman" w:hAnsi="Times New Roman" w:cs="Times New Roman"/>
          <w:color w:val="000000"/>
          <w:sz w:val="32"/>
          <w:szCs w:val="32"/>
          <w:lang w:eastAsia="ru-RU"/>
        </w:rPr>
        <w:lastRenderedPageBreak/>
        <w:t>На основе представленного анализа можно выделить несколько ключевых проблем и барьеров устойчивого развития брендов государственных университетов, включая МГУ, ВШЭ, Финансовый университет и другие российские вузы. Несмотря на то, что указанные учреждения демонстрируют отдельные успешные практики, существует ряд системных трудностей, сдерживающих развитие их брендов.</w:t>
      </w:r>
    </w:p>
    <w:p w14:paraId="5872FF5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Прежде всего, отсутствие единой и долгосрочной бренд-стратегии остаётся актуальной проблемой для большинства университетов. Даже ведущие вузы, обладающие устойчивой репутацией (как, например, МГУ), нередко опираются на историческую узнаваемость, не выстраивая целенаправленную маркетинговую стратегию на принципах устойчивого развития. Это ограничивает возможности модернизации имиджа в условиях цифровой экономики и новых образовательных вызовов.</w:t>
      </w:r>
    </w:p>
    <w:p w14:paraId="4EB97E52"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Во-вторых, цифровая трансформация остаётся неравномерной. Хотя ВШЭ показывает прогрессивную работу в сфере цифрового маркетинга, многие другие университеты, особенно региональные, отстают в освоении современных коммуникационных технологий. Не все учреждения обладают достаточными ресурсами и компетенциями для разработки и поддержки активной цифровой экосистемы, охватывающей сайт, социальные сети, мультимедийные платформы и персонализированные коммуникации.</w:t>
      </w:r>
    </w:p>
    <w:p w14:paraId="3D2FFCF6"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Третьей проблемой выступает ограниченность финансирования и кадрового потенциала. В частности, создание качественного маркетингового контента и проведение аналитики эффективности требуют наличия профильных специалистов, которых в университетских структурах нередко не хватает. Особенно это касается отделов по связям с общественностью и маркетинга, функции которых часто сводятся к техническому сопровождению событий, а не стратегическому развитию бренда.</w:t>
      </w:r>
    </w:p>
    <w:p w14:paraId="750835CB"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Кроме того, недостаточная вовлеченность студентов и выпускников в процессы формирования имиджа вуза также снижает потенциал органичного развития бренда. Несмотря на успешные кейсы, как платформа «HSE Alumni», в целом в системе высшего образования России слабо развита практика создания устойчивого сообщества выпускников, готового выступать амбассадорами бренда. Это снижает «живую» узнаваемость вуза за пределами его стен и ограничивает сеть репутационного влияния.</w:t>
      </w:r>
    </w:p>
    <w:p w14:paraId="57049113"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lastRenderedPageBreak/>
        <w:t>Следующий барьер — недостаточное внимание к аспектам социальной ответственности. Хотя университеты участвуют в отдельных проектах, системный подход к интеграции ESG-принципов (экология, социальное развитие, управление) в брендинг реализуется крайне ограниченно. Исключением может служить Финансовый университет, выработавший Стратегию по климатической устойчивости и ставший одним из разработчиков ЭКГ-рейтинга. Однако в большинстве случаев усилия вузов в этой области носят эпизодический характер и не интегрированы в общую коммуникационную стратегию.</w:t>
      </w:r>
    </w:p>
    <w:p w14:paraId="653E6822"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Также стоит отметить низкий уровень аналитики и мониторинга репутационных показателей. Университеты редко используют инструменты оценки восприятия бренда различными аудиториями, что мешает формировать обратную связь и своевременно корректировать маркетинговую политику. Без адекватной метрики эффективности невозможно объективно оценить вклад коммуникационных кампаний в узнаваемость, доверие и лояльность целевых групп.</w:t>
      </w:r>
    </w:p>
    <w:p w14:paraId="262DBF36"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Таким образом, системные барьеры устойчивого бренд-менеджмента российских государственных университетов включают стратегическую фрагментарность, нехватку цифровых и финансовых ресурсов, слабую институционализацию выпускников и студентов как участников бренда, а также ограниченную интеграцию социальных и экологических ориентиров в общую повестку. Преодоление этих вызовов требует комплексной трансформации организационного и коммуникационного ландшафта университетов, с акцентом на профессионализацию бренд-менеджмента, цифровизацию и развитие партнёрских экосистем.</w:t>
      </w:r>
    </w:p>
    <w:p w14:paraId="440D52CF"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 xml:space="preserve">На основе проведённого анализа представляется целесообразным выработать комплекс рекомендаций, направленных на преодоление системных барьеров устойчивого развития брендов государственных университетов России. В первую очередь необходимо сосредоточиться на формировании единой, долгосрочной и институционализированной бренд-стратегии. Это предполагает разработку нормативных документов, отражающих миссию, ценности и уникальные преимущества вуза, а также интеграцию этих компонентов в коммуникационные процессы всех уровней — от ректората до академических подразделений. Важно, чтобы стратегия носила не декларативный, а операциональный характер, с чётко </w:t>
      </w:r>
      <w:r w:rsidRPr="00877DE5">
        <w:rPr>
          <w:rFonts w:ascii="Times New Roman" w:eastAsia="Times New Roman" w:hAnsi="Times New Roman" w:cs="Times New Roman"/>
          <w:color w:val="000000"/>
          <w:sz w:val="32"/>
          <w:szCs w:val="32"/>
          <w:lang w:eastAsia="ru-RU"/>
        </w:rPr>
        <w:lastRenderedPageBreak/>
        <w:t>определёнными целевыми аудиториями, каналами продвижения и измеримыми показателями эффективности.</w:t>
      </w:r>
    </w:p>
    <w:p w14:paraId="4E2EA105"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Цифровизация университетской среды должна стать неотъемлемой частью бренд-менеджмента. Эффективный бренд в XXI веке немыслим без активного присутствия в цифровом пространстве. Поэтому университетам следует развивать цифровую инфраструктуру: модернизировать сайты, запускать мультимедийные платформы, внедрять системы персонализированных коммуникаций и строить SMM-экосистемы. Важно не просто присутствие в цифровых каналах, но и создание релевантного, визуально качественного и эмоционально насыщенного контента, ориентированного на различные аудитории — от абитуриентов до международных партнёров.</w:t>
      </w:r>
    </w:p>
    <w:p w14:paraId="6DE42424"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Существенное внимание необходимо уделить кадровому и финансовому обеспечению процессов брендирования. Создание конкурентоспособного университета невозможно без профессионалов в сфере коммуникаций, дизайна, маркетинга и аналитики. Это требует как внутренних инвестиций, так и привлечения внешних ресурсов, включая гранты, стратегические партнёрства и внебюджетные источники. Также важным направлением становится повышение квалификации сотрудников коммуникационных подразделений, включая международные стажировки и участие в отраслевых форумах.</w:t>
      </w:r>
    </w:p>
    <w:p w14:paraId="644B656C"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Отдельного внимания заслуживает развитие горизонтальных сообществ вокруг университетского бренда. Речь идёт о вовлечении студентов и выпускников в продвижение имиджа вуза. Это может реализовываться через создание клубов амбассадоров, развитие цифровых платформ alumni-сообщества, а также поддержку студенческих инициатив в сфере медиа, PR и событийного маркетинга. Такая модель создаёт органичный канал продвижения университета за его пределами и усиливает идентификацию с брендом.</w:t>
      </w:r>
    </w:p>
    <w:p w14:paraId="3B7ED34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 xml:space="preserve">Не менее значимой задачей является интеграция принципов устойчивого развития — экологических, социальных и управленческих (ESG) — в бренд-коммуникации. Университеты должны не только реализовывать отдельные социальные проекты, но и делать их частью своей идентичности, транслируемой через внешние и внутренние каналы. Публикация отчётов об устойчивом развитии, участие в экологических и инклюзивных инициативах, формирование институтов социальной ответственности — всё это усиливает </w:t>
      </w:r>
      <w:r w:rsidRPr="00877DE5">
        <w:rPr>
          <w:rFonts w:ascii="Times New Roman" w:eastAsia="Times New Roman" w:hAnsi="Times New Roman" w:cs="Times New Roman"/>
          <w:color w:val="000000"/>
          <w:sz w:val="32"/>
          <w:szCs w:val="32"/>
          <w:lang w:eastAsia="ru-RU"/>
        </w:rPr>
        <w:lastRenderedPageBreak/>
        <w:t>восприятие вуза как современного, открытого и ответственного субъекта.</w:t>
      </w:r>
    </w:p>
    <w:p w14:paraId="0B7B112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Дополнительно, университетам необходимо развивать инструменты мониторинга и аналитики репутационных показателей. Это включает регулярный сбор и анализ данных о восприятии бренда различными аудиториями, использование систем метрик вовлечённости и лояльности, а также анализ эффективности конкретных коммуникационных кампаний. Без данных невозможно управление, и именно аналитическая база должна стать основой для гибкой настройки бренд-стратегий.</w:t>
      </w:r>
    </w:p>
    <w:p w14:paraId="0B4CA80F"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Финальной составляющей комплекса мер становится развитие партнёрских экосистем. Вузы должны активнее взаимодействовать с бизнесом, государственными структурами, медиа и общественными организациями, вовлекая их в совместные проекты, образовательные инициативы и коммуникационные кампании. Такие альянсы расширяют присутствие бренда, повышают его социальный капитал и укрепляют институциональную устойчивость.</w:t>
      </w:r>
    </w:p>
    <w:p w14:paraId="16D7FA1B"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32"/>
          <w:szCs w:val="32"/>
          <w:lang w:eastAsia="ru-RU"/>
        </w:rPr>
      </w:pPr>
    </w:p>
    <w:p w14:paraId="76A28930" w14:textId="77777777" w:rsidR="00877DE5" w:rsidRPr="00877DE5" w:rsidRDefault="00877DE5" w:rsidP="003826E8">
      <w:pPr>
        <w:tabs>
          <w:tab w:val="left" w:pos="0"/>
        </w:tabs>
        <w:suppressAutoHyphens/>
        <w:autoSpaceDE w:val="0"/>
        <w:spacing w:after="0" w:line="240" w:lineRule="auto"/>
        <w:ind w:firstLine="709"/>
        <w:jc w:val="center"/>
        <w:rPr>
          <w:rFonts w:ascii="Times New Roman" w:eastAsia="Times New Roman" w:hAnsi="Times New Roman" w:cs="Times New Roman"/>
          <w:b/>
          <w:sz w:val="21"/>
          <w:szCs w:val="21"/>
          <w:lang w:val="x-none" w:eastAsia="ar-SA"/>
        </w:rPr>
      </w:pPr>
      <w:r w:rsidRPr="00877DE5">
        <w:rPr>
          <w:rFonts w:ascii="Times New Roman" w:eastAsia="Times New Roman" w:hAnsi="Times New Roman" w:cs="Times New Roman"/>
          <w:b/>
          <w:sz w:val="21"/>
          <w:szCs w:val="21"/>
          <w:lang w:val="x-none" w:eastAsia="ar-SA"/>
        </w:rPr>
        <w:t>Литература:</w:t>
      </w:r>
    </w:p>
    <w:p w14:paraId="5475FD28" w14:textId="77777777" w:rsidR="00877DE5" w:rsidRPr="00877DE5" w:rsidRDefault="00877DE5" w:rsidP="00AD58CD">
      <w:pPr>
        <w:numPr>
          <w:ilvl w:val="0"/>
          <w:numId w:val="64"/>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Anholt S. Competitive Identity: The New Brand Management for Nations, Cities and Regions. - 175 изд. - New York: PALGRAVE MACMILLAN, 2017. - 146 с.</w:t>
      </w:r>
    </w:p>
    <w:p w14:paraId="4D7DD826" w14:textId="77777777" w:rsidR="00877DE5" w:rsidRPr="00877DE5" w:rsidRDefault="00877DE5" w:rsidP="00AD58CD">
      <w:pPr>
        <w:numPr>
          <w:ilvl w:val="0"/>
          <w:numId w:val="64"/>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Kapferer J.-N. The New Strategic Brand Management: Advanced Insights and Strategic Thinking. - 5 изд. - London: Journal of Brand Management: Advanced Collections, 2023. - 482 с.</w:t>
      </w:r>
    </w:p>
    <w:p w14:paraId="6FDA03DE" w14:textId="77777777" w:rsidR="00877DE5" w:rsidRPr="00877DE5" w:rsidRDefault="00877DE5" w:rsidP="00AD58CD">
      <w:pPr>
        <w:numPr>
          <w:ilvl w:val="0"/>
          <w:numId w:val="64"/>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Кузнецова А.Ю., Сафронова Е.В. Цифровой маркетинг в системе продвижения университетов // Маркетинг в России и за рубежом. – 2022. – №2. – С. 45–56.</w:t>
      </w:r>
    </w:p>
    <w:p w14:paraId="19D3423A" w14:textId="77777777" w:rsidR="00877DE5" w:rsidRPr="00877DE5" w:rsidRDefault="00877DE5" w:rsidP="00AD58CD">
      <w:pPr>
        <w:numPr>
          <w:ilvl w:val="0"/>
          <w:numId w:val="64"/>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Жигалова Е.С. Маркетинговые коммуникации и брендинг вуза: кейс-менеджмент как инструмент. // Бренд-менеджмент. - М: 2022. - С. 102-107.</w:t>
      </w:r>
    </w:p>
    <w:p w14:paraId="58A0782C" w14:textId="77777777" w:rsidR="00877DE5" w:rsidRPr="00877DE5" w:rsidRDefault="00877DE5" w:rsidP="00AD58CD">
      <w:pPr>
        <w:numPr>
          <w:ilvl w:val="0"/>
          <w:numId w:val="64"/>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Рейтинг RAEX-100: лучшие вузы России. 2024. [Электронный ресурс]: </w:t>
      </w:r>
      <w:hyperlink r:id="rId319" w:history="1">
        <w:r w:rsidRPr="00877DE5">
          <w:rPr>
            <w:rFonts w:ascii="Times New Roman" w:eastAsia="Times New Roman" w:hAnsi="Times New Roman" w:cs="Times New Roman"/>
            <w:sz w:val="21"/>
            <w:szCs w:val="21"/>
            <w:lang w:val="x-none" w:eastAsia="ar-SA"/>
          </w:rPr>
          <w:t>https://raex-a.ru/universities/</w:t>
        </w:r>
      </w:hyperlink>
      <w:r w:rsidRPr="00877DE5">
        <w:rPr>
          <w:rFonts w:ascii="Times New Roman" w:eastAsia="Times New Roman" w:hAnsi="Times New Roman" w:cs="Times New Roman"/>
          <w:sz w:val="21"/>
          <w:szCs w:val="21"/>
          <w:lang w:val="x-none" w:eastAsia="ar-SA"/>
        </w:rPr>
        <w:t xml:space="preserve"> (дата обращения: 10.05.2025)</w:t>
      </w:r>
    </w:p>
    <w:p w14:paraId="1F2F064E" w14:textId="77777777" w:rsidR="00877DE5" w:rsidRPr="00877DE5" w:rsidRDefault="00877DE5" w:rsidP="00067100">
      <w:pPr>
        <w:spacing w:after="0" w:line="240" w:lineRule="auto"/>
        <w:ind w:firstLine="709"/>
        <w:jc w:val="both"/>
        <w:rPr>
          <w:rFonts w:ascii="Times New Roman" w:eastAsia="Calibri" w:hAnsi="Times New Roman" w:cs="Times New Roman"/>
          <w:color w:val="000000"/>
          <w:sz w:val="32"/>
          <w:szCs w:val="32"/>
        </w:rPr>
      </w:pPr>
    </w:p>
    <w:p w14:paraId="6A119B66" w14:textId="77777777" w:rsidR="00877DE5" w:rsidRPr="00877DE5" w:rsidRDefault="00877DE5" w:rsidP="00D175BF">
      <w:pPr>
        <w:spacing w:after="0" w:line="240" w:lineRule="auto"/>
        <w:jc w:val="both"/>
        <w:rPr>
          <w:rFonts w:ascii="Times New Roman" w:eastAsia="Times New Roman" w:hAnsi="Times New Roman" w:cs="Times New Roman"/>
          <w:b/>
          <w:color w:val="000000"/>
          <w:sz w:val="21"/>
          <w:szCs w:val="21"/>
          <w:lang w:eastAsia="ru-RU"/>
        </w:rPr>
      </w:pPr>
      <w:r w:rsidRPr="00877DE5">
        <w:rPr>
          <w:rFonts w:ascii="Times New Roman" w:eastAsia="Times New Roman" w:hAnsi="Times New Roman" w:cs="Times New Roman"/>
          <w:b/>
          <w:color w:val="000000"/>
          <w:sz w:val="21"/>
          <w:szCs w:val="21"/>
          <w:lang w:eastAsia="ru-RU"/>
        </w:rPr>
        <w:t>УДК 004.8</w:t>
      </w:r>
    </w:p>
    <w:p w14:paraId="408399AE"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b/>
          <w:i/>
          <w:color w:val="000000"/>
          <w:sz w:val="20"/>
          <w:szCs w:val="21"/>
          <w:lang w:eastAsia="ru-RU"/>
        </w:rPr>
        <w:t>Кузьменко А.В</w:t>
      </w:r>
      <w:r w:rsidRPr="00877DE5">
        <w:rPr>
          <w:rFonts w:ascii="Times New Roman" w:eastAsia="Times New Roman" w:hAnsi="Times New Roman" w:cs="Times New Roman"/>
          <w:b/>
          <w:i/>
          <w:color w:val="000000"/>
          <w:sz w:val="21"/>
          <w:szCs w:val="21"/>
          <w:lang w:eastAsia="ru-RU"/>
        </w:rPr>
        <w:t xml:space="preserve">., </w:t>
      </w:r>
    </w:p>
    <w:p w14:paraId="13AB8B32"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 xml:space="preserve">студент 3 курса </w:t>
      </w:r>
    </w:p>
    <w:p w14:paraId="3707AE9E"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Финансовый университет при Правительстве Российской Федерации</w:t>
      </w:r>
    </w:p>
    <w:p w14:paraId="3CC2B8BE"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г. Краснодар, Россия</w:t>
      </w:r>
    </w:p>
    <w:p w14:paraId="15362698"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е-</w:t>
      </w:r>
      <w:r w:rsidRPr="00877DE5">
        <w:rPr>
          <w:rFonts w:ascii="Times New Roman" w:eastAsia="Calibri" w:hAnsi="Times New Roman" w:cs="Times New Roman"/>
          <w:i/>
          <w:sz w:val="21"/>
          <w:szCs w:val="21"/>
          <w:lang w:val="en-US"/>
        </w:rPr>
        <w:t>mail</w:t>
      </w:r>
      <w:r w:rsidRPr="00877DE5">
        <w:rPr>
          <w:rFonts w:ascii="Times New Roman" w:eastAsia="Calibri" w:hAnsi="Times New Roman" w:cs="Times New Roman"/>
          <w:i/>
          <w:sz w:val="21"/>
          <w:szCs w:val="21"/>
        </w:rPr>
        <w:t xml:space="preserve">: </w:t>
      </w:r>
      <w:hyperlink r:id="rId320" w:history="1">
        <w:r w:rsidRPr="00877DE5">
          <w:rPr>
            <w:rFonts w:ascii="Times New Roman" w:eastAsia="Calibri" w:hAnsi="Times New Roman" w:cs="Times New Roman"/>
            <w:i/>
            <w:color w:val="0563C1"/>
            <w:sz w:val="21"/>
            <w:szCs w:val="21"/>
            <w:u w:val="single"/>
            <w:lang w:val="en-US"/>
          </w:rPr>
          <w:t>kuzmenko</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angelina</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v</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mail</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ru</w:t>
        </w:r>
      </w:hyperlink>
      <w:r w:rsidRPr="00877DE5">
        <w:rPr>
          <w:rFonts w:ascii="Times New Roman" w:eastAsia="Calibri" w:hAnsi="Times New Roman" w:cs="Times New Roman"/>
          <w:i/>
          <w:sz w:val="21"/>
          <w:szCs w:val="21"/>
        </w:rPr>
        <w:t xml:space="preserve"> </w:t>
      </w:r>
    </w:p>
    <w:p w14:paraId="59735954"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rPr>
      </w:pPr>
    </w:p>
    <w:p w14:paraId="3936C9A0"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 xml:space="preserve">Научный руководитель: </w:t>
      </w:r>
    </w:p>
    <w:p w14:paraId="05E1DE5D"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b/>
          <w:i/>
          <w:sz w:val="21"/>
          <w:szCs w:val="21"/>
        </w:rPr>
      </w:pPr>
      <w:r w:rsidRPr="00877DE5">
        <w:rPr>
          <w:rFonts w:ascii="Times New Roman" w:eastAsia="Calibri" w:hAnsi="Times New Roman" w:cs="Times New Roman"/>
          <w:sz w:val="21"/>
          <w:szCs w:val="21"/>
        </w:rPr>
        <w:t xml:space="preserve">                                                                                    </w:t>
      </w:r>
      <w:r w:rsidRPr="00877DE5">
        <w:rPr>
          <w:rFonts w:ascii="Times New Roman" w:eastAsia="Calibri" w:hAnsi="Times New Roman" w:cs="Times New Roman"/>
          <w:b/>
          <w:i/>
          <w:sz w:val="21"/>
          <w:szCs w:val="21"/>
        </w:rPr>
        <w:t>Мазунина М.В.,</w:t>
      </w:r>
    </w:p>
    <w:p w14:paraId="451C4417"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sz w:val="21"/>
          <w:szCs w:val="21"/>
        </w:rPr>
      </w:pPr>
      <w:r w:rsidRPr="00877DE5">
        <w:rPr>
          <w:rFonts w:ascii="Times New Roman" w:eastAsia="Calibri" w:hAnsi="Times New Roman" w:cs="Times New Roman"/>
          <w:sz w:val="21"/>
          <w:szCs w:val="21"/>
        </w:rPr>
        <w:t xml:space="preserve">доцент, к.э.н., </w:t>
      </w:r>
    </w:p>
    <w:p w14:paraId="686D09EF"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 xml:space="preserve">Финансовый университет при Правительстве Российской Федерации </w:t>
      </w:r>
    </w:p>
    <w:p w14:paraId="3A22FF06"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sz w:val="21"/>
          <w:szCs w:val="21"/>
        </w:rPr>
      </w:pPr>
      <w:r w:rsidRPr="00877DE5">
        <w:rPr>
          <w:rFonts w:ascii="Times New Roman" w:eastAsia="Calibri" w:hAnsi="Times New Roman" w:cs="Times New Roman"/>
          <w:i/>
          <w:sz w:val="21"/>
          <w:szCs w:val="21"/>
        </w:rPr>
        <w:t xml:space="preserve">(Краснодарский филиал)     </w:t>
      </w:r>
    </w:p>
    <w:p w14:paraId="6B9E63EA"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rPr>
        <w:t xml:space="preserve">                                                                                     г. Краснодар, Россия</w:t>
      </w:r>
    </w:p>
    <w:p w14:paraId="366C06F0"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rPr>
      </w:pPr>
      <w:r w:rsidRPr="00877DE5">
        <w:rPr>
          <w:rFonts w:ascii="Times New Roman" w:eastAsia="Calibri" w:hAnsi="Times New Roman" w:cs="Times New Roman"/>
          <w:i/>
          <w:sz w:val="21"/>
          <w:szCs w:val="21"/>
          <w:lang w:val="en-US"/>
        </w:rPr>
        <w:t>e</w:t>
      </w:r>
      <w:r w:rsidRPr="00877DE5">
        <w:rPr>
          <w:rFonts w:ascii="Times New Roman" w:eastAsia="Calibri" w:hAnsi="Times New Roman" w:cs="Times New Roman"/>
          <w:i/>
          <w:sz w:val="21"/>
          <w:szCs w:val="21"/>
        </w:rPr>
        <w:t>-</w:t>
      </w:r>
      <w:r w:rsidRPr="00877DE5">
        <w:rPr>
          <w:rFonts w:ascii="Times New Roman" w:eastAsia="Calibri" w:hAnsi="Times New Roman" w:cs="Times New Roman"/>
          <w:i/>
          <w:sz w:val="21"/>
          <w:szCs w:val="21"/>
          <w:lang w:val="en-US"/>
        </w:rPr>
        <w:t>mail</w:t>
      </w:r>
      <w:r w:rsidRPr="00877DE5">
        <w:rPr>
          <w:rFonts w:ascii="Times New Roman" w:eastAsia="Calibri" w:hAnsi="Times New Roman" w:cs="Times New Roman"/>
          <w:i/>
          <w:sz w:val="21"/>
          <w:szCs w:val="21"/>
        </w:rPr>
        <w:t xml:space="preserve">: </w:t>
      </w:r>
      <w:hyperlink r:id="rId321" w:history="1">
        <w:r w:rsidRPr="00877DE5">
          <w:rPr>
            <w:rFonts w:ascii="Times New Roman" w:eastAsia="Calibri" w:hAnsi="Times New Roman" w:cs="Times New Roman"/>
            <w:i/>
            <w:color w:val="0563C1"/>
            <w:sz w:val="21"/>
            <w:szCs w:val="21"/>
            <w:u w:val="single"/>
            <w:lang w:val="en-US"/>
          </w:rPr>
          <w:t>MVMazunina</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fa</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ru</w:t>
        </w:r>
      </w:hyperlink>
      <w:r w:rsidRPr="00877DE5">
        <w:rPr>
          <w:rFonts w:ascii="Times New Roman" w:eastAsia="Calibri" w:hAnsi="Times New Roman" w:cs="Times New Roman"/>
          <w:i/>
          <w:sz w:val="21"/>
          <w:szCs w:val="21"/>
        </w:rPr>
        <w:t xml:space="preserve">                                               </w:t>
      </w:r>
    </w:p>
    <w:p w14:paraId="6952F3A3"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rPr>
      </w:pPr>
    </w:p>
    <w:p w14:paraId="3DB114FD"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lang w:eastAsia="ar-SA"/>
        </w:rPr>
      </w:pPr>
      <w:r w:rsidRPr="00877DE5">
        <w:rPr>
          <w:rFonts w:ascii="Times New Roman" w:eastAsia="Calibri" w:hAnsi="Times New Roman" w:cs="Times New Roman"/>
          <w:b/>
          <w:sz w:val="21"/>
          <w:szCs w:val="21"/>
          <w:lang w:eastAsia="ar-SA"/>
        </w:rPr>
        <w:t>Роль искусственного интеллекта в формировании стратегий современных компаний</w:t>
      </w:r>
    </w:p>
    <w:p w14:paraId="4D7F0FEA" w14:textId="77777777" w:rsidR="00877DE5" w:rsidRPr="00877DE5" w:rsidRDefault="00877DE5" w:rsidP="00067100">
      <w:pPr>
        <w:spacing w:after="0" w:line="240" w:lineRule="auto"/>
        <w:ind w:firstLine="709"/>
        <w:jc w:val="both"/>
        <w:rPr>
          <w:rFonts w:ascii="Times New Roman" w:eastAsia="Calibri" w:hAnsi="Times New Roman" w:cs="Times New Roman"/>
          <w:i/>
          <w:sz w:val="21"/>
          <w:szCs w:val="21"/>
          <w:shd w:val="clear" w:color="auto" w:fill="00FFFF"/>
        </w:rPr>
      </w:pPr>
    </w:p>
    <w:p w14:paraId="1E927454"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sz w:val="21"/>
          <w:szCs w:val="21"/>
        </w:rPr>
        <w:t>Аннотация:</w:t>
      </w:r>
      <w:r w:rsidRPr="00877DE5">
        <w:rPr>
          <w:rFonts w:ascii="Times New Roman" w:eastAsia="Calibri" w:hAnsi="Times New Roman" w:cs="Times New Roman"/>
          <w:i/>
          <w:sz w:val="21"/>
          <w:szCs w:val="21"/>
        </w:rPr>
        <w:t xml:space="preserve"> </w:t>
      </w:r>
      <w:r w:rsidRPr="00877DE5">
        <w:rPr>
          <w:rFonts w:ascii="Times New Roman" w:eastAsia="Calibri" w:hAnsi="Times New Roman" w:cs="Times New Roman"/>
          <w:sz w:val="21"/>
          <w:szCs w:val="21"/>
        </w:rPr>
        <w:t xml:space="preserve">В статье показано, с какими задачами может справляться искусственный интеллект в области стратегического менеджмента. Классифицированы инструменты искусственного интеллекта для </w:t>
      </w:r>
      <w:r w:rsidRPr="00877DE5">
        <w:rPr>
          <w:rFonts w:ascii="Times New Roman" w:eastAsia="Calibri" w:hAnsi="Times New Roman" w:cs="Times New Roman"/>
          <w:sz w:val="21"/>
          <w:szCs w:val="21"/>
        </w:rPr>
        <w:lastRenderedPageBreak/>
        <w:t>различных целей стратегического управления. Сформулированы критерии, которые влияют на использование или отказ от использования инструментов искусственного интеллекта в различных задачах бизнеса.</w:t>
      </w:r>
    </w:p>
    <w:p w14:paraId="738578B4"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rPr>
      </w:pPr>
      <w:r w:rsidRPr="00877DE5">
        <w:rPr>
          <w:rFonts w:ascii="Times New Roman" w:eastAsia="Calibri" w:hAnsi="Times New Roman" w:cs="Times New Roman"/>
          <w:b/>
          <w:sz w:val="21"/>
          <w:szCs w:val="21"/>
        </w:rPr>
        <w:t>Ключевые слова:</w:t>
      </w:r>
      <w:r w:rsidRPr="00877DE5">
        <w:rPr>
          <w:rFonts w:ascii="Times New Roman" w:eastAsia="Calibri" w:hAnsi="Times New Roman" w:cs="Times New Roman"/>
          <w:sz w:val="21"/>
          <w:szCs w:val="21"/>
        </w:rPr>
        <w:t xml:space="preserve"> искусственный интеллект, стратегия, стратегический менеджмент, нейронная сеть, машинное обучение, семантический поиск, системы поддержки принятия решений.</w:t>
      </w:r>
    </w:p>
    <w:p w14:paraId="62748873" w14:textId="77777777" w:rsidR="00877DE5" w:rsidRPr="00877DE5" w:rsidRDefault="00877DE5" w:rsidP="00067100">
      <w:pPr>
        <w:spacing w:after="0" w:line="240" w:lineRule="auto"/>
        <w:ind w:firstLine="709"/>
        <w:jc w:val="both"/>
        <w:rPr>
          <w:rFonts w:ascii="Times New Roman" w:eastAsia="Times New Roman" w:hAnsi="Times New Roman" w:cs="Times New Roman"/>
          <w:b/>
          <w:color w:val="000000"/>
          <w:sz w:val="21"/>
          <w:szCs w:val="21"/>
          <w:lang w:eastAsia="ru-RU"/>
        </w:rPr>
      </w:pPr>
      <w:r w:rsidRPr="00877DE5">
        <w:rPr>
          <w:rFonts w:ascii="Times New Roman" w:eastAsia="Times New Roman" w:hAnsi="Times New Roman" w:cs="Times New Roman"/>
          <w:b/>
          <w:color w:val="000000"/>
          <w:sz w:val="21"/>
          <w:szCs w:val="21"/>
          <w:lang w:eastAsia="ru-RU"/>
        </w:rPr>
        <w:t xml:space="preserve"> </w:t>
      </w:r>
    </w:p>
    <w:p w14:paraId="2BA395BF"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Kuzmenko A.V.,</w:t>
      </w:r>
    </w:p>
    <w:p w14:paraId="3DB47E6E"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i/>
          <w:sz w:val="21"/>
          <w:szCs w:val="21"/>
          <w:lang w:val="en-US"/>
        </w:rPr>
        <w:t>student,</w:t>
      </w:r>
      <w:r w:rsidRPr="00877DE5">
        <w:rPr>
          <w:rFonts w:ascii="Times New Roman" w:eastAsia="Calibri" w:hAnsi="Times New Roman" w:cs="Times New Roman"/>
          <w:i/>
          <w:lang w:val="en-US"/>
        </w:rPr>
        <w:t xml:space="preserve"> </w:t>
      </w:r>
      <w:r w:rsidRPr="00877DE5">
        <w:rPr>
          <w:rFonts w:ascii="Times New Roman" w:eastAsia="Calibri" w:hAnsi="Times New Roman" w:cs="Times New Roman"/>
          <w:i/>
          <w:sz w:val="21"/>
          <w:szCs w:val="21"/>
          <w:lang w:val="en-US"/>
        </w:rPr>
        <w:t>3 courses</w:t>
      </w:r>
      <w:r w:rsidRPr="00877DE5">
        <w:rPr>
          <w:rFonts w:ascii="Times New Roman" w:eastAsia="Calibri" w:hAnsi="Times New Roman" w:cs="Times New Roman"/>
          <w:b/>
          <w:i/>
          <w:sz w:val="21"/>
          <w:szCs w:val="21"/>
          <w:lang w:val="en-US"/>
        </w:rPr>
        <w:t xml:space="preserve"> </w:t>
      </w:r>
    </w:p>
    <w:p w14:paraId="506304B9"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 Financial University under the Government of the Russia Federation</w:t>
      </w:r>
    </w:p>
    <w:p w14:paraId="01B900FB"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Krasnodar, Russia</w:t>
      </w:r>
    </w:p>
    <w:p w14:paraId="31675382"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rPr>
        <w:t>е</w:t>
      </w:r>
      <w:r w:rsidRPr="00877DE5">
        <w:rPr>
          <w:rFonts w:ascii="Times New Roman" w:eastAsia="Calibri" w:hAnsi="Times New Roman" w:cs="Times New Roman"/>
          <w:i/>
          <w:sz w:val="21"/>
          <w:szCs w:val="21"/>
          <w:lang w:val="en-US"/>
        </w:rPr>
        <w:t xml:space="preserve">-mail: </w:t>
      </w:r>
      <w:hyperlink r:id="rId322" w:history="1">
        <w:r w:rsidRPr="00877DE5">
          <w:rPr>
            <w:rFonts w:ascii="Times New Roman" w:eastAsia="Calibri" w:hAnsi="Times New Roman" w:cs="Times New Roman"/>
            <w:i/>
            <w:color w:val="0563C1"/>
            <w:sz w:val="21"/>
            <w:szCs w:val="21"/>
            <w:u w:val="single"/>
            <w:lang w:val="en-US"/>
          </w:rPr>
          <w:t>kuzmenko.angelina.v@mail.ru</w:t>
        </w:r>
      </w:hyperlink>
      <w:r w:rsidRPr="00877DE5">
        <w:rPr>
          <w:rFonts w:ascii="Times New Roman" w:eastAsia="Calibri" w:hAnsi="Times New Roman" w:cs="Times New Roman"/>
          <w:i/>
          <w:sz w:val="21"/>
          <w:szCs w:val="21"/>
          <w:lang w:val="en-US"/>
        </w:rPr>
        <w:t xml:space="preserve">  </w:t>
      </w:r>
    </w:p>
    <w:p w14:paraId="63FB7027"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p>
    <w:p w14:paraId="400A756A"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Scientific Adviser:</w:t>
      </w:r>
    </w:p>
    <w:p w14:paraId="6C4736E7"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Maynina M.V.,</w:t>
      </w:r>
    </w:p>
    <w:p w14:paraId="03121C21"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candidate of economical Sciences, associate Professor,</w:t>
      </w:r>
    </w:p>
    <w:p w14:paraId="68CDDA27"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Financial University under the Government of Russian Federation</w:t>
      </w:r>
    </w:p>
    <w:p w14:paraId="3C3704E7"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Krasnodar, Russia</w:t>
      </w:r>
    </w:p>
    <w:p w14:paraId="25C3F0A1" w14:textId="77777777" w:rsidR="00877DE5" w:rsidRPr="00877DE5" w:rsidRDefault="00877DE5" w:rsidP="00067100">
      <w:pPr>
        <w:spacing w:after="0" w:line="240" w:lineRule="auto"/>
        <w:ind w:left="-567" w:right="-1" w:firstLine="709"/>
        <w:contextualSpacing/>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е-mail:</w:t>
      </w:r>
      <w:r w:rsidRPr="00877DE5">
        <w:rPr>
          <w:rFonts w:ascii="Times New Roman" w:eastAsia="Calibri" w:hAnsi="Times New Roman" w:cs="Times New Roman"/>
          <w:lang w:val="en-US"/>
        </w:rPr>
        <w:t xml:space="preserve"> </w:t>
      </w:r>
      <w:hyperlink r:id="rId323" w:history="1">
        <w:r w:rsidRPr="00877DE5">
          <w:rPr>
            <w:rFonts w:ascii="Times New Roman" w:eastAsia="Calibri" w:hAnsi="Times New Roman" w:cs="Times New Roman"/>
            <w:i/>
            <w:color w:val="0563C1"/>
            <w:sz w:val="21"/>
            <w:szCs w:val="21"/>
            <w:u w:val="single"/>
            <w:lang w:val="en-US"/>
          </w:rPr>
          <w:t>MVMazunina@fa.ru</w:t>
        </w:r>
      </w:hyperlink>
      <w:r w:rsidRPr="00877DE5">
        <w:rPr>
          <w:rFonts w:ascii="Times New Roman" w:eastAsia="Calibri" w:hAnsi="Times New Roman" w:cs="Times New Roman"/>
          <w:i/>
          <w:sz w:val="21"/>
          <w:szCs w:val="21"/>
          <w:lang w:val="en-US"/>
        </w:rPr>
        <w:t xml:space="preserve">                                               </w:t>
      </w:r>
    </w:p>
    <w:p w14:paraId="68F31ABD"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p>
    <w:p w14:paraId="5155C516"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val="en-US"/>
        </w:rPr>
      </w:pPr>
      <w:r w:rsidRPr="00877DE5">
        <w:rPr>
          <w:rFonts w:ascii="Times New Roman" w:eastAsia="Times New Roman" w:hAnsi="Times New Roman" w:cs="Times New Roman"/>
          <w:b/>
          <w:sz w:val="21"/>
          <w:szCs w:val="21"/>
          <w:lang w:val="en-US"/>
        </w:rPr>
        <w:t>The role of artificial intelligence in shaping the strategies of modern companies</w:t>
      </w:r>
    </w:p>
    <w:p w14:paraId="6276C391" w14:textId="77777777" w:rsidR="00877DE5" w:rsidRPr="00877DE5" w:rsidRDefault="00877DE5" w:rsidP="00067100">
      <w:pPr>
        <w:spacing w:after="0" w:line="240" w:lineRule="auto"/>
        <w:ind w:firstLine="709"/>
        <w:jc w:val="both"/>
        <w:rPr>
          <w:rFonts w:ascii="Times New Roman" w:eastAsia="Times New Roman" w:hAnsi="Times New Roman" w:cs="Times New Roman"/>
          <w:b/>
          <w:bCs/>
          <w:sz w:val="21"/>
          <w:szCs w:val="21"/>
          <w:shd w:val="clear" w:color="auto" w:fill="FFFFFF"/>
          <w:lang w:val="en-US" w:eastAsia="ru-RU"/>
        </w:rPr>
      </w:pPr>
    </w:p>
    <w:p w14:paraId="01398512"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lang w:val="en-US" w:eastAsia="ru-RU"/>
        </w:rPr>
      </w:pPr>
      <w:r w:rsidRPr="00877DE5">
        <w:rPr>
          <w:rFonts w:ascii="Times New Roman" w:eastAsia="Times New Roman" w:hAnsi="Times New Roman" w:cs="Times New Roman"/>
          <w:b/>
          <w:bCs/>
          <w:sz w:val="21"/>
          <w:szCs w:val="21"/>
          <w:shd w:val="clear" w:color="auto" w:fill="FFFFFF"/>
          <w:lang w:val="en-US" w:eastAsia="ru-RU"/>
        </w:rPr>
        <w:t xml:space="preserve">Abstract: </w:t>
      </w:r>
      <w:r w:rsidRPr="00877DE5">
        <w:rPr>
          <w:rFonts w:ascii="Times New Roman" w:eastAsia="Times New Roman" w:hAnsi="Times New Roman" w:cs="Times New Roman"/>
          <w:sz w:val="21"/>
          <w:szCs w:val="21"/>
          <w:lang w:val="en-US" w:eastAsia="ru-RU"/>
        </w:rPr>
        <w:t xml:space="preserve">The article shows what tasks artificial intelligence can cope with in the field of strategic management. Artificial intelligence tools for various strategic management purposes are classified. The criteria that influence the use or refusal to use artificial intelligence tools in various business tasks are formulated. </w:t>
      </w:r>
    </w:p>
    <w:p w14:paraId="16B2AC87" w14:textId="77777777" w:rsidR="00877DE5" w:rsidRPr="00877DE5" w:rsidRDefault="00877DE5" w:rsidP="00067100">
      <w:pPr>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ru-RU"/>
        </w:rPr>
      </w:pPr>
      <w:r w:rsidRPr="00877DE5">
        <w:rPr>
          <w:rFonts w:ascii="Times New Roman" w:eastAsia="Times New Roman" w:hAnsi="Times New Roman" w:cs="Times New Roman"/>
          <w:b/>
          <w:bCs/>
          <w:color w:val="000000"/>
          <w:sz w:val="21"/>
          <w:szCs w:val="21"/>
          <w:shd w:val="clear" w:color="auto" w:fill="FFFFFF"/>
          <w:lang w:val="en-US" w:eastAsia="ru-RU"/>
        </w:rPr>
        <w:t>Keywords:</w:t>
      </w:r>
      <w:r w:rsidRPr="00877DE5">
        <w:rPr>
          <w:rFonts w:ascii="Times New Roman" w:eastAsia="Times New Roman" w:hAnsi="Times New Roman" w:cs="Times New Roman"/>
          <w:bCs/>
          <w:color w:val="000000"/>
          <w:sz w:val="21"/>
          <w:szCs w:val="21"/>
          <w:shd w:val="clear" w:color="auto" w:fill="FFFFFF"/>
          <w:lang w:val="en-US" w:eastAsia="ru-RU"/>
        </w:rPr>
        <w:t xml:space="preserve"> artificial intelligence, strategy, strategic management, neural network, machine learning, semantic search, decision support systems. </w:t>
      </w:r>
    </w:p>
    <w:p w14:paraId="5F91783B" w14:textId="77777777" w:rsidR="00877DE5" w:rsidRPr="00877DE5" w:rsidRDefault="00877DE5" w:rsidP="00067100">
      <w:pPr>
        <w:spacing w:after="0" w:line="240" w:lineRule="auto"/>
        <w:ind w:firstLine="709"/>
        <w:rPr>
          <w:rFonts w:ascii="Times New Roman" w:eastAsia="Calibri" w:hAnsi="Times New Roman" w:cs="Times New Roman"/>
          <w:lang w:val="en-US"/>
        </w:rPr>
      </w:pPr>
    </w:p>
    <w:p w14:paraId="6ABE55D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Мы являемся свидетелями появления сильного инструмента, работающего с огромными объемами информации – искусственного интеллекта. С каждым днём растёт количество целей для его использования. Сотрудники современных компаний всё чаще прибегают к его помощи. Однако ещё не ясно, какой из вариантов будет более эффективным и надежным: использование только искусственного интеллекта или использование только человеческих ресурсов? Очевидно, что ответ находится где-то посередине. Собственники компаний не могут игнорировать научный прогресс, а если они захотят это сделать, то быстро столкнутся с тем, что серьёзно отстают от конкурентов. Нужно учитывать и то, что современный искусственный интеллект не идеален – до сих пор существуют задачи, которые лучше выполняют люди, а не машина. Проблема состоит в том, чтобы определить оптимальное соотношение использования такого инструмента и человеческих навыков, а также понять для каких задач искусственный интеллект будет полезен и для каких – вреден.</w:t>
      </w:r>
    </w:p>
    <w:p w14:paraId="22EF4E7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первую очередь разведём понятия искусственный интеллект и нейронная сеть. Искусственный интеллект (</w:t>
      </w:r>
      <w:r w:rsidRPr="00877DE5">
        <w:rPr>
          <w:rFonts w:ascii="Times New Roman" w:eastAsia="Calibri" w:hAnsi="Times New Roman" w:cs="Times New Roman"/>
          <w:sz w:val="32"/>
          <w:szCs w:val="32"/>
          <w:lang w:val="en-US"/>
        </w:rPr>
        <w:t>AI</w:t>
      </w:r>
      <w:r w:rsidRPr="00877DE5">
        <w:rPr>
          <w:rFonts w:ascii="Times New Roman" w:eastAsia="Calibri" w:hAnsi="Times New Roman" w:cs="Times New Roman"/>
          <w:sz w:val="32"/>
          <w:szCs w:val="32"/>
        </w:rPr>
        <w:t xml:space="preserve">, ИИ) – это широкое понятие, которое охватывает любые системы и технологии, способные имитировать человеческое мышление и поведение, решать интеллектуальные задачи и адаптироваться к новым условиям. Он </w:t>
      </w:r>
      <w:r w:rsidRPr="00877DE5">
        <w:rPr>
          <w:rFonts w:ascii="Times New Roman" w:eastAsia="Calibri" w:hAnsi="Times New Roman" w:cs="Times New Roman"/>
          <w:sz w:val="32"/>
          <w:szCs w:val="32"/>
        </w:rPr>
        <w:lastRenderedPageBreak/>
        <w:t xml:space="preserve">нужен для того, чтобы решать задачи, которые раньше выполняли люди. Нейронная сеть (нейросеть) же является конкретным методом реализации ИИ, основанным на структуре похожей на нервные системы человека. </w:t>
      </w:r>
    </w:p>
    <w:p w14:paraId="51A27B7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Нейронная сеть является одной из технологий искусственного интеллекта, входящей в машинное обучение. Помимо неё понятие искусственного интеллекта включает в себя такие инструменты, как логическое программирование, генетическое программирование, теорию игр для разработки стратегий в условиях неопределенности. </w:t>
      </w:r>
    </w:p>
    <w:p w14:paraId="616708E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Рассмотрим основные технологии ИИ, которые используют для стратегического управления. </w:t>
      </w:r>
    </w:p>
    <w:p w14:paraId="48CC5D4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lang w:val="en-US"/>
        </w:rPr>
        <w:t>1.</w:t>
      </w:r>
      <w:r w:rsidRPr="00877DE5">
        <w:rPr>
          <w:rFonts w:ascii="Times New Roman" w:eastAsia="Calibri" w:hAnsi="Times New Roman" w:cs="Times New Roman"/>
          <w:sz w:val="32"/>
          <w:szCs w:val="32"/>
        </w:rPr>
        <w:t>Машинное</w:t>
      </w:r>
      <w:r w:rsidRPr="00877DE5">
        <w:rPr>
          <w:rFonts w:ascii="Times New Roman" w:eastAsia="Calibri" w:hAnsi="Times New Roman" w:cs="Times New Roman"/>
          <w:sz w:val="32"/>
          <w:szCs w:val="32"/>
          <w:lang w:val="en-US"/>
        </w:rPr>
        <w:t xml:space="preserve"> </w:t>
      </w:r>
      <w:r w:rsidRPr="00877DE5">
        <w:rPr>
          <w:rFonts w:ascii="Times New Roman" w:eastAsia="Calibri" w:hAnsi="Times New Roman" w:cs="Times New Roman"/>
          <w:sz w:val="32"/>
          <w:szCs w:val="32"/>
        </w:rPr>
        <w:t>обучение</w:t>
      </w:r>
      <w:r w:rsidRPr="00877DE5">
        <w:rPr>
          <w:rFonts w:ascii="Times New Roman" w:eastAsia="Calibri" w:hAnsi="Times New Roman" w:cs="Times New Roman"/>
          <w:sz w:val="32"/>
          <w:szCs w:val="32"/>
          <w:lang w:val="en-US"/>
        </w:rPr>
        <w:t xml:space="preserve"> (Machine Learning, ML). </w:t>
      </w:r>
      <w:r w:rsidRPr="00877DE5">
        <w:rPr>
          <w:rFonts w:ascii="Times New Roman" w:eastAsia="Calibri" w:hAnsi="Times New Roman" w:cs="Times New Roman"/>
          <w:sz w:val="32"/>
          <w:szCs w:val="32"/>
        </w:rPr>
        <w:t>Алгоритмы машинного обучения занимаются анализом данных, выявлением закономерностей и подготовкой прогнозов на основе полученных результатов.  Эти алгоритмы могут строить дерево решений, линейную регрессию, оперировать нейросетями. Использование машинного обучения будет крайне полезно в области стратегического менеджмента для прогноза объема продаж (</w:t>
      </w:r>
      <w:r w:rsidRPr="00877DE5">
        <w:rPr>
          <w:rFonts w:ascii="Times New Roman" w:eastAsia="Calibri" w:hAnsi="Times New Roman" w:cs="Times New Roman"/>
          <w:sz w:val="32"/>
          <w:szCs w:val="32"/>
          <w:lang w:val="en-US"/>
        </w:rPr>
        <w:t>ML</w:t>
      </w:r>
      <w:r w:rsidRPr="00877DE5">
        <w:rPr>
          <w:rFonts w:ascii="Times New Roman" w:eastAsia="Calibri" w:hAnsi="Times New Roman" w:cs="Times New Roman"/>
          <w:sz w:val="32"/>
          <w:szCs w:val="32"/>
        </w:rPr>
        <w:t xml:space="preserve"> анализирует не только прошлую информацию, но и информацию в режиме реального времени, внутреннюю и внешнюю информацию, охваты огромные массивы данных), прогнозирования и определения профиля потенциального клиента, ценообразования и т.д. Преимущества, которыми обладает </w:t>
      </w:r>
      <w:r w:rsidRPr="00877DE5">
        <w:rPr>
          <w:rFonts w:ascii="Times New Roman" w:eastAsia="Calibri" w:hAnsi="Times New Roman" w:cs="Times New Roman"/>
          <w:sz w:val="32"/>
          <w:szCs w:val="32"/>
          <w:lang w:val="en-US"/>
        </w:rPr>
        <w:t>ML</w:t>
      </w:r>
      <w:r w:rsidRPr="00877DE5">
        <w:rPr>
          <w:rFonts w:ascii="Times New Roman" w:eastAsia="Calibri" w:hAnsi="Times New Roman" w:cs="Times New Roman"/>
          <w:sz w:val="32"/>
          <w:szCs w:val="32"/>
        </w:rPr>
        <w:t xml:space="preserve"> в сравнении с человеком заключается в том, что такие алгоритмы работают с гораздо большим объемом данных и могут мгновенно адаптироваться, добавляя новую информацию. Например, человек может анализировать потребительский опыт по отзывам, в то время как ИИ в состоянии добавлять результаты из различных видеообзоров, интервью и т.д. </w:t>
      </w:r>
    </w:p>
    <w:p w14:paraId="6322655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2.</w:t>
      </w:r>
      <w:r w:rsidRPr="00877DE5">
        <w:rPr>
          <w:rFonts w:ascii="Times New Roman" w:eastAsia="Calibri" w:hAnsi="Times New Roman" w:cs="Times New Roman"/>
        </w:rPr>
        <w:t xml:space="preserve"> </w:t>
      </w:r>
      <w:r w:rsidRPr="00877DE5">
        <w:rPr>
          <w:rFonts w:ascii="Times New Roman" w:eastAsia="Calibri" w:hAnsi="Times New Roman" w:cs="Times New Roman"/>
          <w:sz w:val="32"/>
          <w:szCs w:val="32"/>
          <w:lang w:val="en-US"/>
        </w:rPr>
        <w:t>Named</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Entity</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Recognition</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NER</w:t>
      </w:r>
      <w:r w:rsidRPr="00877DE5">
        <w:rPr>
          <w:rFonts w:ascii="Times New Roman" w:eastAsia="Calibri" w:hAnsi="Times New Roman" w:cs="Times New Roman"/>
          <w:sz w:val="32"/>
          <w:szCs w:val="32"/>
        </w:rPr>
        <w:t xml:space="preserve"> – распознавание именованных сущностей) и семантический поиск. Для начала рассмотрим понятие обработки естественного языка (</w:t>
      </w:r>
      <w:r w:rsidRPr="00877DE5">
        <w:rPr>
          <w:rFonts w:ascii="Times New Roman" w:eastAsia="Calibri" w:hAnsi="Times New Roman" w:cs="Times New Roman"/>
          <w:sz w:val="32"/>
          <w:szCs w:val="32"/>
          <w:lang w:val="en-US"/>
        </w:rPr>
        <w:t>Natural</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Language</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Processing</w:t>
      </w:r>
      <w:r w:rsidRPr="00877DE5">
        <w:rPr>
          <w:rFonts w:ascii="Times New Roman" w:eastAsia="Calibri" w:hAnsi="Times New Roman" w:cs="Times New Roman"/>
          <w:sz w:val="32"/>
          <w:szCs w:val="32"/>
        </w:rPr>
        <w:t xml:space="preserve"> – </w:t>
      </w:r>
      <w:r w:rsidRPr="00877DE5">
        <w:rPr>
          <w:rFonts w:ascii="Times New Roman" w:eastAsia="Calibri" w:hAnsi="Times New Roman" w:cs="Times New Roman"/>
          <w:sz w:val="32"/>
          <w:szCs w:val="32"/>
          <w:lang w:val="en-US"/>
        </w:rPr>
        <w:t>NLP</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lang w:val="en-US"/>
        </w:rPr>
        <w:t>NLP</w:t>
      </w:r>
      <w:r w:rsidRPr="00877DE5">
        <w:rPr>
          <w:rFonts w:ascii="Times New Roman" w:eastAsia="Calibri" w:hAnsi="Times New Roman" w:cs="Times New Roman"/>
          <w:sz w:val="32"/>
          <w:szCs w:val="32"/>
        </w:rPr>
        <w:t xml:space="preserve"> относится к области искусственного интеллекта, которая помогает взаимодействовать людям и машинам, используя естественный язык. Такая система обработки также будет полезна для оптимизации некоторых задач бизнеса. </w:t>
      </w:r>
      <w:r w:rsidRPr="00877DE5">
        <w:rPr>
          <w:rFonts w:ascii="Times New Roman" w:eastAsia="Calibri" w:hAnsi="Times New Roman" w:cs="Times New Roman"/>
          <w:sz w:val="32"/>
          <w:szCs w:val="32"/>
          <w:lang w:val="en-US"/>
        </w:rPr>
        <w:t>NER</w:t>
      </w:r>
      <w:r w:rsidRPr="00877DE5">
        <w:rPr>
          <w:rFonts w:ascii="Times New Roman" w:eastAsia="Calibri" w:hAnsi="Times New Roman" w:cs="Times New Roman"/>
          <w:sz w:val="32"/>
          <w:szCs w:val="32"/>
        </w:rPr>
        <w:t xml:space="preserve"> является одним из методом обработки естественного языка, который находит и выделяет ключевые моменты в тексте. Именованные сущности представляют собой слова и выражения, описывающие любые реальные объекты: людей, места, названия товаров и услуг и т.д. Основной целью </w:t>
      </w:r>
      <w:r w:rsidRPr="00877DE5">
        <w:rPr>
          <w:rFonts w:ascii="Times New Roman" w:eastAsia="Calibri" w:hAnsi="Times New Roman" w:cs="Times New Roman"/>
          <w:sz w:val="32"/>
          <w:szCs w:val="32"/>
          <w:lang w:val="en-US"/>
        </w:rPr>
        <w:t>NER</w:t>
      </w:r>
      <w:r w:rsidRPr="00877DE5">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rPr>
        <w:lastRenderedPageBreak/>
        <w:t xml:space="preserve">является превращение текста в структурированные данные, с которыми можно легко работать. Семантический поиск подразумевает поиск смысла тех или иных фраз для того, чтобы повысить понимание запроса и даже при некорректном запросе найти нужные пользователю объекты. </w:t>
      </w:r>
      <w:r w:rsidRPr="00877DE5">
        <w:rPr>
          <w:rFonts w:ascii="Times New Roman" w:eastAsia="Calibri" w:hAnsi="Times New Roman" w:cs="Times New Roman"/>
          <w:sz w:val="32"/>
          <w:szCs w:val="32"/>
          <w:lang w:val="en-US"/>
        </w:rPr>
        <w:t>NER</w:t>
      </w:r>
      <w:r w:rsidRPr="00877DE5">
        <w:rPr>
          <w:rFonts w:ascii="Times New Roman" w:eastAsia="Calibri" w:hAnsi="Times New Roman" w:cs="Times New Roman"/>
          <w:sz w:val="32"/>
          <w:szCs w:val="32"/>
        </w:rPr>
        <w:t xml:space="preserve"> и семантический поиск обеспечивают более точный поиск. Данные инструменты ИИ могут применяться в стратегическом менеджменте для анализа внешней среды и конкурентов (анализ пресс-релизов, новостей, публикаций в СМИ конкурентов, выявление тенденций рынка), мониторинга репутации бренда (выявление упоминаний о компании для предупреждения кризисных ситуаций), оптимизация внутренних коммуникаций (для поиска документов, отчётов, переписок), поддержка стратегических инициатив (поиск аналогичных успешных проектов).</w:t>
      </w:r>
    </w:p>
    <w:p w14:paraId="3995EB6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3. Системы поддержки принятия решений (Decision Support Systems, DSS) представляет собой автоматизированную компьютерную систему, которая нужна для принятия решений в сложных ситуациях, путём предоставления полной и объективной картины состояния дел. Основная задача такой системы заключается в представлении нужной информации, основанной на исходных данных, в удобном виде (на бумаге, компьютере или записанная голосом). Появление </w:t>
      </w:r>
      <w:r w:rsidRPr="00877DE5">
        <w:rPr>
          <w:rFonts w:ascii="Times New Roman" w:eastAsia="Calibri" w:hAnsi="Times New Roman" w:cs="Times New Roman"/>
          <w:sz w:val="32"/>
          <w:szCs w:val="32"/>
          <w:lang w:val="en-US"/>
        </w:rPr>
        <w:t>DSS</w:t>
      </w:r>
      <w:r w:rsidRPr="00877DE5">
        <w:rPr>
          <w:rFonts w:ascii="Times New Roman" w:eastAsia="Calibri" w:hAnsi="Times New Roman" w:cs="Times New Roman"/>
          <w:sz w:val="32"/>
          <w:szCs w:val="32"/>
        </w:rPr>
        <w:t xml:space="preserve"> стало результатом объединения технологий управленческих информационных систем и систем управления базами данных. Главное отличие таких систем от машинного обучения заключается в том, что их основная цель заключается в имитировании процедуры принятия решений, они тесно связаны с бизнес-процессами, в то время как машинное обучение нужно для получения новых знаний на основе существующих. </w:t>
      </w:r>
      <w:r w:rsidRPr="00877DE5">
        <w:rPr>
          <w:rFonts w:ascii="Times New Roman" w:eastAsia="Calibri" w:hAnsi="Times New Roman" w:cs="Times New Roman"/>
          <w:sz w:val="32"/>
          <w:szCs w:val="32"/>
          <w:lang w:val="en-US"/>
        </w:rPr>
        <w:t>DSS</w:t>
      </w:r>
      <w:r w:rsidRPr="00877DE5">
        <w:rPr>
          <w:rFonts w:ascii="Times New Roman" w:eastAsia="Calibri" w:hAnsi="Times New Roman" w:cs="Times New Roman"/>
          <w:sz w:val="32"/>
          <w:szCs w:val="32"/>
        </w:rPr>
        <w:t xml:space="preserve"> можно использовать для финансового моделирования и бюджетирования, прогнозирования продаж и рыночных трендов, SWOT-анализа (они превращают его в инструмент непрерывного мониторинга, анализа и планирования), сценарного анализа и стресс-тестирование.</w:t>
      </w:r>
    </w:p>
    <w:p w14:paraId="4774CED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4. Роботизация и автоматизация процессов. Предполагается полная или частичная передача дел, которые раньше выполнял человек. В основном эти инструменты используются для операционных процессов, однако могут быть использованы также для стратегических решений. Например, прогностическое моделирование (прогнозирование будущих событий, таких как спад или подъем рынка), аналитика рисков (сюда входит оценка финансового состояния </w:t>
      </w:r>
      <w:r w:rsidRPr="00877DE5">
        <w:rPr>
          <w:rFonts w:ascii="Times New Roman" w:eastAsia="Calibri" w:hAnsi="Times New Roman" w:cs="Times New Roman"/>
          <w:sz w:val="32"/>
          <w:szCs w:val="32"/>
        </w:rPr>
        <w:lastRenderedPageBreak/>
        <w:t>компании и конкурентов), разработка стратегий роста и инноваций (оценка привлекательности рынков и формирование новых идей).</w:t>
      </w:r>
    </w:p>
    <w:p w14:paraId="67301B0B"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Данный список не является исчерпывающим. Существует великое множество других инструментов и возможностей для использования ИИ в бизнесе и стратегическом управлении.</w:t>
      </w:r>
    </w:p>
    <w:p w14:paraId="3B8A6863" w14:textId="6032BDFE"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Однако не все задачи могут быть делегированы искусственному интеллекту. Особенно, это актуально в области стратегического менеджмента, ведь он подразумевает определенные творческие решения и нестандартные подходы, несмотря на то что основывается на глубоком анализе. Рассмотрим критерии, которые помогут определить, стоит ли использовать искусственный интеллект для какой-либо задачи. Стоит помнить, что каждая компания уникальна и должна самостоятельно выбирать допустимый уровень критерия.</w:t>
      </w:r>
    </w:p>
    <w:p w14:paraId="47D36D5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1. Первый важный критерий – это, конечно же, рутинность и повторяемость задачи. Задачи, которые выполняются многократно, хорошо подходят для автоматизации. Критериями оценки будут служить: частота выполнения задачи, наличие четких инструкций и процедур, уровень человеческого вмешательства. При высокой частоте выполнения задачи и наличия понятных, однозначных инструкций, задачу можно успешно автоматизировать и роботизировать. </w:t>
      </w:r>
    </w:p>
    <w:p w14:paraId="15157D9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2. Объём данных и сложность обработки. Если задача связана с большим объёмом данных, анализом и выявлением скрытых закономерностей, то использование правильных инструментов ИИ позволит повысить скорость и качество её выполнения.</w:t>
      </w:r>
      <w:r w:rsidRPr="00877DE5">
        <w:rPr>
          <w:rFonts w:ascii="Times New Roman" w:eastAsia="Calibri" w:hAnsi="Times New Roman" w:cs="Times New Roman"/>
        </w:rPr>
        <w:t xml:space="preserve"> </w:t>
      </w:r>
      <w:r w:rsidRPr="00877DE5">
        <w:rPr>
          <w:rFonts w:ascii="Times New Roman" w:eastAsia="Calibri" w:hAnsi="Times New Roman" w:cs="Times New Roman"/>
          <w:sz w:val="32"/>
          <w:szCs w:val="32"/>
        </w:rPr>
        <w:t>Критерии оценки: количество и разнообразие источников, объём данных, уровень сложности выявления зависимостей и взаимосвязей.</w:t>
      </w:r>
    </w:p>
    <w:p w14:paraId="7480CAEC"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3.</w:t>
      </w:r>
      <w:r w:rsidRPr="00877DE5">
        <w:rPr>
          <w:rFonts w:ascii="Times New Roman" w:eastAsia="Calibri" w:hAnsi="Times New Roman" w:cs="Times New Roman"/>
        </w:rPr>
        <w:t xml:space="preserve"> </w:t>
      </w:r>
      <w:r w:rsidRPr="00877DE5">
        <w:rPr>
          <w:rFonts w:ascii="Times New Roman" w:eastAsia="Calibri" w:hAnsi="Times New Roman" w:cs="Times New Roman"/>
          <w:sz w:val="32"/>
          <w:szCs w:val="32"/>
        </w:rPr>
        <w:t>Требования к точности и скорости. Задача, которая требует высокой точности и быстрой реакции, может быть делегирована искусственному интеллекту, так как он превосходит возможности человеческих ресурсов. Особенно это актуально для срочных задач, где задержка может привести к финансовым или иным потерям. Критерии оценки: допустимый уровень погрешности, время реагирования на изменения условий, важность своевременного предоставления результатов.</w:t>
      </w:r>
    </w:p>
    <w:p w14:paraId="0BF5A63D" w14:textId="0F4367D3"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4.</w:t>
      </w:r>
      <w:r w:rsidRPr="00877DE5">
        <w:rPr>
          <w:rFonts w:ascii="Times New Roman" w:eastAsia="Calibri" w:hAnsi="Times New Roman" w:cs="Times New Roman"/>
        </w:rPr>
        <w:t xml:space="preserve"> </w:t>
      </w:r>
      <w:r w:rsidRPr="00877DE5">
        <w:rPr>
          <w:rFonts w:ascii="Times New Roman" w:eastAsia="Calibri" w:hAnsi="Times New Roman" w:cs="Times New Roman"/>
          <w:sz w:val="32"/>
          <w:szCs w:val="32"/>
        </w:rPr>
        <w:t xml:space="preserve">Уровень риска и ответственности. Задачи, сопряжённые с высоким риском и ответственностью, не стоит передавать ИИ, так как он не всегда в состоянии обеспечить должную надёжность и устойчивость без человека. Критерии оценки: возможные риски и </w:t>
      </w:r>
      <w:r w:rsidRPr="00877DE5">
        <w:rPr>
          <w:rFonts w:ascii="Times New Roman" w:eastAsia="Calibri" w:hAnsi="Times New Roman" w:cs="Times New Roman"/>
          <w:sz w:val="32"/>
          <w:szCs w:val="32"/>
        </w:rPr>
        <w:lastRenderedPageBreak/>
        <w:t xml:space="preserve">убытки вследствие неверного решения, </w:t>
      </w:r>
      <w:proofErr w:type="gramStart"/>
      <w:r w:rsidRPr="00877DE5">
        <w:rPr>
          <w:rFonts w:ascii="Times New Roman" w:eastAsia="Calibri" w:hAnsi="Times New Roman" w:cs="Times New Roman"/>
          <w:sz w:val="32"/>
          <w:szCs w:val="32"/>
        </w:rPr>
        <w:t>степень доверия и надежности</w:t>
      </w:r>
      <w:proofErr w:type="gramEnd"/>
      <w:r w:rsidR="002A4B8F">
        <w:rPr>
          <w:rFonts w:ascii="Times New Roman" w:eastAsia="Calibri" w:hAnsi="Times New Roman" w:cs="Times New Roman"/>
          <w:sz w:val="32"/>
          <w:szCs w:val="32"/>
        </w:rPr>
        <w:t xml:space="preserve"> </w:t>
      </w:r>
      <w:r w:rsidRPr="00877DE5">
        <w:rPr>
          <w:rFonts w:ascii="Times New Roman" w:eastAsia="Calibri" w:hAnsi="Times New Roman" w:cs="Times New Roman"/>
          <w:sz w:val="32"/>
          <w:szCs w:val="32"/>
        </w:rPr>
        <w:t>используемого ИИ-решения, регламентируемый характер задач (соответствие стандартам безопасности и регулирования).</w:t>
      </w:r>
    </w:p>
    <w:p w14:paraId="69F7383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5. Стоимость разработки и эксплуатации. Внедрение искусственного интеллекта предполагает значительные затраты на разработку, тестирование и внедрение. Поэтому важно сопоставить эти расходы с экономией, которую компания получит за счёт использования того или иного инструмента. Критерии оценки: инвестиции в создание и настройку ИИ-систем, ожидаемая экономия и повышение эффективности бизнеса, возврат инвестиций (ROI).</w:t>
      </w:r>
    </w:p>
    <w:p w14:paraId="4C348FD0"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6.</w:t>
      </w:r>
      <w:r w:rsidRPr="00877DE5">
        <w:rPr>
          <w:rFonts w:ascii="Times New Roman" w:eastAsia="Calibri" w:hAnsi="Times New Roman" w:cs="Times New Roman"/>
        </w:rPr>
        <w:t xml:space="preserve"> </w:t>
      </w:r>
      <w:r w:rsidRPr="00877DE5">
        <w:rPr>
          <w:rFonts w:ascii="Times New Roman" w:eastAsia="Calibri" w:hAnsi="Times New Roman" w:cs="Times New Roman"/>
          <w:sz w:val="32"/>
          <w:szCs w:val="32"/>
        </w:rPr>
        <w:t>Доступность квалифицированного персонала. Иногда компания трудно найти высококвалифицированных кадров и сложно и дорого удержать их в организации. В этом случае ИИ помогает снизить зависимость от людей с редкими профессиями или навыками и повысить стабильность бизнес-процессов. Критерии оценки: доступность найма опытных специалистов, длительность подготовки сотрудника, потери от смены кадрового состава.</w:t>
      </w:r>
    </w:p>
    <w:p w14:paraId="177E05BE"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Оценивая эти факторы, организация сможет принять взвешенное решение относительно целесообразности внедрения и использования искусственного интеллекта в своей деятельности. </w:t>
      </w:r>
    </w:p>
    <w:p w14:paraId="58AF0212"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Таким образом, существует множество инструментов искусственного интеллекта, помимо нейронной сети, которые могут быть полезны для разработки и реализации стратегии современной компании. Лучше всего для помощи в стратегическом управлении подходят такие инструменты ИИ, как машинное обучение, </w:t>
      </w:r>
      <w:r w:rsidRPr="00877DE5">
        <w:rPr>
          <w:rFonts w:ascii="Times New Roman" w:eastAsia="Calibri" w:hAnsi="Times New Roman" w:cs="Times New Roman"/>
          <w:sz w:val="32"/>
          <w:szCs w:val="32"/>
          <w:lang w:val="en-US"/>
        </w:rPr>
        <w:t>NER</w:t>
      </w:r>
      <w:r w:rsidRPr="00877DE5">
        <w:rPr>
          <w:rFonts w:ascii="Times New Roman" w:eastAsia="Calibri" w:hAnsi="Times New Roman" w:cs="Times New Roman"/>
          <w:sz w:val="32"/>
          <w:szCs w:val="32"/>
        </w:rPr>
        <w:t xml:space="preserve"> и семантический поиск, система поддержки принятия решений, роботизация и автоматизация. В статье были выделены определенные критерии, которые помогут понять целесообразность внедрения искусственного интеллекта: рутинность и повторяемость задачи, объём данных и сложность обработки, требования к точности и скорости, уровень риска и ответственности, стоимость разработки и эксплуатации, доступность квалифицированного персонала. </w:t>
      </w:r>
    </w:p>
    <w:p w14:paraId="4CEF414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Так, неизбежный симбиоз «человек-машина» приводит к тому, что и компании не могут сопротивляться внедрению искусственного интеллекта. При правильном использовании инструменты ИИ могут сильно улучшить качество управленческих решений.</w:t>
      </w:r>
    </w:p>
    <w:p w14:paraId="11A851B5" w14:textId="77777777" w:rsidR="00877DE5" w:rsidRPr="00877DE5" w:rsidRDefault="00877DE5" w:rsidP="00067100">
      <w:pPr>
        <w:spacing w:after="0" w:line="240" w:lineRule="auto"/>
        <w:ind w:firstLine="709"/>
        <w:rPr>
          <w:rFonts w:ascii="Times New Roman" w:eastAsia="Calibri" w:hAnsi="Times New Roman" w:cs="Times New Roman"/>
        </w:rPr>
      </w:pPr>
    </w:p>
    <w:p w14:paraId="01534B79" w14:textId="77777777" w:rsidR="00877DE5" w:rsidRPr="00877DE5" w:rsidRDefault="00877DE5" w:rsidP="00067100">
      <w:pPr>
        <w:shd w:val="clear" w:color="auto" w:fill="FFFFFF"/>
        <w:spacing w:after="0" w:line="240" w:lineRule="auto"/>
        <w:ind w:firstLine="709"/>
        <w:jc w:val="center"/>
        <w:rPr>
          <w:rFonts w:ascii="Times New Roman" w:eastAsia="Times New Roman" w:hAnsi="Times New Roman" w:cs="Times New Roman"/>
          <w:b/>
          <w:color w:val="000000"/>
          <w:sz w:val="21"/>
          <w:szCs w:val="21"/>
          <w:lang w:eastAsia="ru-RU"/>
        </w:rPr>
      </w:pPr>
      <w:r w:rsidRPr="00877DE5">
        <w:rPr>
          <w:rFonts w:ascii="Times New Roman" w:eastAsia="Times New Roman" w:hAnsi="Times New Roman" w:cs="Times New Roman"/>
          <w:b/>
          <w:color w:val="000000"/>
          <w:sz w:val="21"/>
          <w:szCs w:val="21"/>
          <w:lang w:eastAsia="ru-RU"/>
        </w:rPr>
        <w:t>Литература:</w:t>
      </w:r>
    </w:p>
    <w:p w14:paraId="738315B4" w14:textId="77777777" w:rsidR="00877DE5" w:rsidRPr="00877DE5" w:rsidRDefault="00877DE5" w:rsidP="00AD58CD">
      <w:pPr>
        <w:numPr>
          <w:ilvl w:val="0"/>
          <w:numId w:val="65"/>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lastRenderedPageBreak/>
        <w:t>Станкевич, Л. А.  Интеллектуальные системы и технологии : учебник и практикум для среднего профессионального образования / Л. А. Станкевич. — 2-е изд., перераб. и доп. — Москва : Издательство Юрайт, 2025. — 478 с.</w:t>
      </w:r>
    </w:p>
    <w:p w14:paraId="06E495CD" w14:textId="77777777" w:rsidR="00877DE5" w:rsidRPr="00877DE5" w:rsidRDefault="00877DE5" w:rsidP="00AD58CD">
      <w:pPr>
        <w:numPr>
          <w:ilvl w:val="0"/>
          <w:numId w:val="65"/>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Устинова О.Е. Искусственный интеллект в менеджменте компаний // Креативная экономика. — 2020. — Том 14. — № 5. — С. 885–904.</w:t>
      </w:r>
    </w:p>
    <w:p w14:paraId="0A539EC9" w14:textId="77777777" w:rsidR="00877DE5" w:rsidRPr="00877DE5" w:rsidRDefault="00877DE5" w:rsidP="00AD58CD">
      <w:pPr>
        <w:numPr>
          <w:ilvl w:val="0"/>
          <w:numId w:val="65"/>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Хачатурян, К. С. Искусственный интеллект в маркетинге как новая концепция и бизнес-возможность для повышения эффективности компаний / К. С. Хачатурян, С. В. Пономарева, Н. В. Корюшов // Вестник евразийской науки. — 2023. — Т. 15. — № 3. — С. 6</w:t>
      </w:r>
      <w:r w:rsidRPr="00877DE5">
        <w:rPr>
          <w:rFonts w:ascii="Times New Roman" w:eastAsia="Times New Roman" w:hAnsi="Times New Roman" w:cs="Times New Roman"/>
          <w:sz w:val="21"/>
          <w:szCs w:val="21"/>
          <w:lang w:eastAsia="ar-SA"/>
        </w:rPr>
        <w:t>5</w:t>
      </w:r>
      <w:r w:rsidRPr="00877DE5">
        <w:rPr>
          <w:rFonts w:ascii="Times New Roman" w:eastAsia="Times New Roman" w:hAnsi="Times New Roman" w:cs="Times New Roman"/>
          <w:sz w:val="21"/>
          <w:szCs w:val="21"/>
          <w:lang w:val="x-none" w:eastAsia="ar-SA"/>
        </w:rPr>
        <w:t>–71.</w:t>
      </w:r>
    </w:p>
    <w:p w14:paraId="44FF392B" w14:textId="77777777" w:rsidR="00877DE5" w:rsidRPr="00877DE5" w:rsidRDefault="00877DE5" w:rsidP="00067100">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x-none" w:eastAsia="ar-SA"/>
        </w:rPr>
      </w:pPr>
    </w:p>
    <w:p w14:paraId="0E4110A6" w14:textId="77777777" w:rsidR="00877DE5" w:rsidRPr="00877DE5" w:rsidRDefault="00877DE5" w:rsidP="002A4B8F">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eastAsia="ar-SA"/>
        </w:rPr>
        <w:t>УДК</w:t>
      </w:r>
      <w:r w:rsidRPr="00877DE5">
        <w:rPr>
          <w:rFonts w:ascii="Times New Roman" w:eastAsia="Times New Roman" w:hAnsi="Times New Roman" w:cs="Times New Roman"/>
          <w:b/>
          <w:sz w:val="21"/>
          <w:szCs w:val="21"/>
          <w:lang w:val="x-none" w:eastAsia="ar-SA"/>
        </w:rPr>
        <w:t xml:space="preserve"> </w:t>
      </w:r>
      <w:r w:rsidRPr="00877DE5">
        <w:rPr>
          <w:rFonts w:ascii="Times New Roman" w:eastAsia="Times New Roman" w:hAnsi="Times New Roman" w:cs="Times New Roman"/>
          <w:b/>
          <w:sz w:val="21"/>
          <w:szCs w:val="21"/>
          <w:lang w:eastAsia="ar-SA"/>
        </w:rPr>
        <w:t>581.166</w:t>
      </w:r>
    </w:p>
    <w:p w14:paraId="7128649A" w14:textId="77777777" w:rsidR="00877DE5" w:rsidRPr="00877DE5" w:rsidRDefault="00877DE5" w:rsidP="00067100">
      <w:pPr>
        <w:spacing w:after="0" w:line="240" w:lineRule="auto"/>
        <w:ind w:firstLine="709"/>
        <w:jc w:val="right"/>
        <w:rPr>
          <w:rFonts w:ascii="Times New Roman" w:eastAsia="Times New Roman" w:hAnsi="Times New Roman" w:cs="Times New Roman"/>
          <w:b/>
          <w:i/>
          <w:sz w:val="21"/>
          <w:szCs w:val="21"/>
          <w:lang w:eastAsia="ru-RU"/>
        </w:rPr>
      </w:pPr>
      <w:r w:rsidRPr="00877DE5">
        <w:rPr>
          <w:rFonts w:ascii="Times New Roman" w:eastAsia="Times New Roman" w:hAnsi="Times New Roman" w:cs="Times New Roman"/>
          <w:b/>
          <w:i/>
          <w:sz w:val="21"/>
          <w:szCs w:val="21"/>
          <w:lang w:eastAsia="ru-RU"/>
        </w:rPr>
        <w:t>Кулешева М.Д.,</w:t>
      </w:r>
    </w:p>
    <w:p w14:paraId="35A85FE8"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студентка 1 курса</w:t>
      </w:r>
    </w:p>
    <w:p w14:paraId="177419C8"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0"/>
          <w:szCs w:val="20"/>
          <w:lang w:eastAsia="ru-RU"/>
        </w:rPr>
      </w:pPr>
      <w:r w:rsidRPr="00877DE5">
        <w:rPr>
          <w:rFonts w:ascii="Times New Roman" w:eastAsia="Times New Roman" w:hAnsi="Times New Roman" w:cs="Times New Roman"/>
          <w:bCs/>
          <w:i/>
          <w:sz w:val="20"/>
          <w:szCs w:val="20"/>
          <w:lang w:eastAsia="ru-RU"/>
        </w:rPr>
        <w:t>Финансовый</w:t>
      </w:r>
      <w:r w:rsidRPr="00877DE5">
        <w:rPr>
          <w:rFonts w:ascii="Times New Roman" w:eastAsia="Times New Roman" w:hAnsi="Times New Roman" w:cs="Times New Roman"/>
          <w:i/>
          <w:sz w:val="20"/>
          <w:szCs w:val="20"/>
          <w:lang w:eastAsia="ru-RU"/>
        </w:rPr>
        <w:t> </w:t>
      </w:r>
      <w:r w:rsidRPr="00877DE5">
        <w:rPr>
          <w:rFonts w:ascii="Times New Roman" w:eastAsia="Times New Roman" w:hAnsi="Times New Roman" w:cs="Times New Roman"/>
          <w:bCs/>
          <w:i/>
          <w:sz w:val="20"/>
          <w:szCs w:val="20"/>
          <w:lang w:eastAsia="ru-RU"/>
        </w:rPr>
        <w:t>университет</w:t>
      </w:r>
      <w:r w:rsidRPr="00877DE5">
        <w:rPr>
          <w:rFonts w:ascii="Times New Roman" w:eastAsia="Times New Roman" w:hAnsi="Times New Roman" w:cs="Times New Roman"/>
          <w:i/>
          <w:sz w:val="20"/>
          <w:szCs w:val="20"/>
          <w:lang w:eastAsia="ru-RU"/>
        </w:rPr>
        <w:t> </w:t>
      </w:r>
      <w:r w:rsidRPr="00877DE5">
        <w:rPr>
          <w:rFonts w:ascii="Times New Roman" w:eastAsia="Times New Roman" w:hAnsi="Times New Roman" w:cs="Times New Roman"/>
          <w:bCs/>
          <w:i/>
          <w:sz w:val="20"/>
          <w:szCs w:val="20"/>
          <w:lang w:eastAsia="ru-RU"/>
        </w:rPr>
        <w:t>при</w:t>
      </w:r>
      <w:r w:rsidRPr="00877DE5">
        <w:rPr>
          <w:rFonts w:ascii="Times New Roman" w:eastAsia="Times New Roman" w:hAnsi="Times New Roman" w:cs="Times New Roman"/>
          <w:i/>
          <w:sz w:val="20"/>
          <w:szCs w:val="20"/>
          <w:lang w:eastAsia="ru-RU"/>
        </w:rPr>
        <w:t> </w:t>
      </w:r>
      <w:r w:rsidRPr="00877DE5">
        <w:rPr>
          <w:rFonts w:ascii="Times New Roman" w:eastAsia="Times New Roman" w:hAnsi="Times New Roman" w:cs="Times New Roman"/>
          <w:bCs/>
          <w:i/>
          <w:sz w:val="20"/>
          <w:szCs w:val="20"/>
          <w:lang w:eastAsia="ru-RU"/>
        </w:rPr>
        <w:t>Правительстве</w:t>
      </w:r>
      <w:r w:rsidRPr="00877DE5">
        <w:rPr>
          <w:rFonts w:ascii="Times New Roman" w:eastAsia="Times New Roman" w:hAnsi="Times New Roman" w:cs="Times New Roman"/>
          <w:i/>
          <w:sz w:val="20"/>
          <w:szCs w:val="20"/>
          <w:lang w:eastAsia="ru-RU"/>
        </w:rPr>
        <w:t> </w:t>
      </w:r>
      <w:r w:rsidRPr="00877DE5">
        <w:rPr>
          <w:rFonts w:ascii="Times New Roman" w:eastAsia="Times New Roman" w:hAnsi="Times New Roman" w:cs="Times New Roman"/>
          <w:bCs/>
          <w:i/>
          <w:sz w:val="20"/>
          <w:szCs w:val="20"/>
          <w:lang w:eastAsia="ru-RU"/>
        </w:rPr>
        <w:t>Российской</w:t>
      </w:r>
      <w:r w:rsidRPr="00877DE5">
        <w:rPr>
          <w:rFonts w:ascii="Times New Roman" w:eastAsia="Times New Roman" w:hAnsi="Times New Roman" w:cs="Times New Roman"/>
          <w:i/>
          <w:sz w:val="20"/>
          <w:szCs w:val="20"/>
          <w:lang w:eastAsia="ru-RU"/>
        </w:rPr>
        <w:t> </w:t>
      </w:r>
      <w:r w:rsidRPr="00877DE5">
        <w:rPr>
          <w:rFonts w:ascii="Times New Roman" w:eastAsia="Times New Roman" w:hAnsi="Times New Roman" w:cs="Times New Roman"/>
          <w:bCs/>
          <w:i/>
          <w:sz w:val="20"/>
          <w:szCs w:val="20"/>
          <w:lang w:eastAsia="ru-RU"/>
        </w:rPr>
        <w:t>Федерации,</w:t>
      </w:r>
      <w:r w:rsidRPr="00877DE5">
        <w:rPr>
          <w:rFonts w:ascii="Times New Roman" w:eastAsia="Times New Roman" w:hAnsi="Times New Roman" w:cs="Times New Roman"/>
          <w:i/>
          <w:sz w:val="36"/>
          <w:szCs w:val="36"/>
          <w:lang w:eastAsia="ru-RU"/>
        </w:rPr>
        <w:t xml:space="preserve"> </w:t>
      </w:r>
      <w:r w:rsidRPr="00877DE5">
        <w:rPr>
          <w:rFonts w:ascii="Times New Roman" w:eastAsia="Times New Roman" w:hAnsi="Times New Roman" w:cs="Times New Roman"/>
          <w:bCs/>
          <w:i/>
          <w:sz w:val="20"/>
          <w:szCs w:val="20"/>
          <w:lang w:eastAsia="ru-RU"/>
        </w:rPr>
        <w:t>Краснодарский филиал</w:t>
      </w:r>
    </w:p>
    <w:p w14:paraId="5C0DC09B"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0"/>
          <w:szCs w:val="20"/>
          <w:lang w:eastAsia="ru-RU"/>
        </w:rPr>
      </w:pPr>
      <w:r w:rsidRPr="00877DE5">
        <w:rPr>
          <w:rFonts w:ascii="Times New Roman" w:eastAsia="Times New Roman" w:hAnsi="Times New Roman" w:cs="Times New Roman"/>
          <w:bCs/>
          <w:i/>
          <w:sz w:val="20"/>
          <w:szCs w:val="20"/>
          <w:lang w:eastAsia="ru-RU"/>
        </w:rPr>
        <w:t>г. Краснодар, Россия</w:t>
      </w:r>
    </w:p>
    <w:p w14:paraId="16A2E7EE"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0"/>
          <w:szCs w:val="20"/>
          <w:lang w:eastAsia="ru-RU"/>
        </w:rPr>
      </w:pPr>
      <w:r w:rsidRPr="00877DE5">
        <w:rPr>
          <w:rFonts w:ascii="Times New Roman" w:eastAsia="Times New Roman" w:hAnsi="Times New Roman" w:cs="Times New Roman"/>
          <w:bCs/>
          <w:i/>
          <w:sz w:val="20"/>
          <w:szCs w:val="20"/>
          <w:lang w:eastAsia="ru-RU"/>
        </w:rPr>
        <w:t>е-</w:t>
      </w:r>
      <w:r w:rsidRPr="00877DE5">
        <w:rPr>
          <w:rFonts w:ascii="Times New Roman" w:eastAsia="Times New Roman" w:hAnsi="Times New Roman" w:cs="Times New Roman"/>
          <w:bCs/>
          <w:i/>
          <w:sz w:val="20"/>
          <w:szCs w:val="20"/>
          <w:lang w:val="en-US" w:eastAsia="ru-RU"/>
        </w:rPr>
        <w:t>mail</w:t>
      </w:r>
      <w:r w:rsidRPr="00877DE5">
        <w:rPr>
          <w:rFonts w:ascii="Times New Roman" w:eastAsia="Times New Roman" w:hAnsi="Times New Roman" w:cs="Times New Roman"/>
          <w:bCs/>
          <w:i/>
          <w:sz w:val="20"/>
          <w:szCs w:val="20"/>
          <w:lang w:eastAsia="ru-RU"/>
        </w:rPr>
        <w:t>:</w:t>
      </w:r>
      <w:r w:rsidRPr="00877DE5">
        <w:rPr>
          <w:rFonts w:ascii="Times New Roman" w:eastAsia="Calibri" w:hAnsi="Times New Roman" w:cs="Times New Roman"/>
        </w:rPr>
        <w:t xml:space="preserve"> </w:t>
      </w:r>
      <w:hyperlink r:id="rId324" w:history="1">
        <w:r w:rsidRPr="00877DE5">
          <w:rPr>
            <w:rFonts w:ascii="Times New Roman" w:eastAsia="Times New Roman" w:hAnsi="Times New Roman" w:cs="Times New Roman"/>
            <w:bCs/>
            <w:i/>
            <w:color w:val="0563C1"/>
            <w:sz w:val="20"/>
            <w:szCs w:val="20"/>
            <w:u w:val="single"/>
            <w:lang w:val="en-US" w:eastAsia="ru-RU"/>
          </w:rPr>
          <w:t>m</w:t>
        </w:r>
        <w:r w:rsidRPr="00877DE5">
          <w:rPr>
            <w:rFonts w:ascii="Times New Roman" w:eastAsia="Times New Roman" w:hAnsi="Times New Roman" w:cs="Times New Roman"/>
            <w:bCs/>
            <w:i/>
            <w:color w:val="0563C1"/>
            <w:sz w:val="20"/>
            <w:szCs w:val="20"/>
            <w:u w:val="single"/>
            <w:lang w:eastAsia="ru-RU"/>
          </w:rPr>
          <w:t>.</w:t>
        </w:r>
        <w:r w:rsidRPr="00877DE5">
          <w:rPr>
            <w:rFonts w:ascii="Times New Roman" w:eastAsia="Times New Roman" w:hAnsi="Times New Roman" w:cs="Times New Roman"/>
            <w:bCs/>
            <w:i/>
            <w:color w:val="0563C1"/>
            <w:sz w:val="20"/>
            <w:szCs w:val="20"/>
            <w:u w:val="single"/>
            <w:lang w:val="en-US" w:eastAsia="ru-RU"/>
          </w:rPr>
          <w:t>kulesheva</w:t>
        </w:r>
        <w:r w:rsidRPr="00877DE5">
          <w:rPr>
            <w:rFonts w:ascii="Times New Roman" w:eastAsia="Times New Roman" w:hAnsi="Times New Roman" w:cs="Times New Roman"/>
            <w:bCs/>
            <w:i/>
            <w:color w:val="0563C1"/>
            <w:sz w:val="20"/>
            <w:szCs w:val="20"/>
            <w:u w:val="single"/>
            <w:lang w:eastAsia="ru-RU"/>
          </w:rPr>
          <w:t>@</w:t>
        </w:r>
        <w:r w:rsidRPr="00877DE5">
          <w:rPr>
            <w:rFonts w:ascii="Times New Roman" w:eastAsia="Times New Roman" w:hAnsi="Times New Roman" w:cs="Times New Roman"/>
            <w:bCs/>
            <w:i/>
            <w:color w:val="0563C1"/>
            <w:sz w:val="20"/>
            <w:szCs w:val="20"/>
            <w:u w:val="single"/>
            <w:lang w:val="en-US" w:eastAsia="ru-RU"/>
          </w:rPr>
          <w:t>mail</w:t>
        </w:r>
        <w:r w:rsidRPr="00877DE5">
          <w:rPr>
            <w:rFonts w:ascii="Times New Roman" w:eastAsia="Times New Roman" w:hAnsi="Times New Roman" w:cs="Times New Roman"/>
            <w:bCs/>
            <w:i/>
            <w:color w:val="0563C1"/>
            <w:sz w:val="20"/>
            <w:szCs w:val="20"/>
            <w:u w:val="single"/>
            <w:lang w:eastAsia="ru-RU"/>
          </w:rPr>
          <w:t>.</w:t>
        </w:r>
        <w:r w:rsidRPr="00877DE5">
          <w:rPr>
            <w:rFonts w:ascii="Times New Roman" w:eastAsia="Times New Roman" w:hAnsi="Times New Roman" w:cs="Times New Roman"/>
            <w:bCs/>
            <w:i/>
            <w:color w:val="0563C1"/>
            <w:sz w:val="20"/>
            <w:szCs w:val="20"/>
            <w:u w:val="single"/>
            <w:lang w:val="en-US" w:eastAsia="ru-RU"/>
          </w:rPr>
          <w:t>ru</w:t>
        </w:r>
      </w:hyperlink>
      <w:r w:rsidRPr="00877DE5">
        <w:rPr>
          <w:rFonts w:ascii="Times New Roman" w:eastAsia="Times New Roman" w:hAnsi="Times New Roman" w:cs="Times New Roman"/>
          <w:bCs/>
          <w:i/>
          <w:sz w:val="20"/>
          <w:szCs w:val="20"/>
          <w:lang w:eastAsia="ru-RU"/>
        </w:rPr>
        <w:t xml:space="preserve"> </w:t>
      </w:r>
    </w:p>
    <w:p w14:paraId="02A86557"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0"/>
          <w:szCs w:val="20"/>
          <w:lang w:eastAsia="ru-RU"/>
        </w:rPr>
      </w:pPr>
    </w:p>
    <w:p w14:paraId="11445FD9" w14:textId="77777777" w:rsidR="00877DE5" w:rsidRPr="00877DE5" w:rsidRDefault="00877DE5" w:rsidP="00067100">
      <w:pPr>
        <w:spacing w:after="0" w:line="240" w:lineRule="auto"/>
        <w:ind w:firstLine="709"/>
        <w:jc w:val="right"/>
        <w:rPr>
          <w:rFonts w:ascii="Times New Roman" w:eastAsia="Times New Roman" w:hAnsi="Times New Roman" w:cs="Times New Roman"/>
          <w:b/>
          <w:i/>
          <w:sz w:val="20"/>
          <w:szCs w:val="20"/>
          <w:lang w:eastAsia="ru-RU"/>
        </w:rPr>
      </w:pPr>
      <w:r w:rsidRPr="00877DE5">
        <w:rPr>
          <w:rFonts w:ascii="Times New Roman" w:eastAsia="Times New Roman" w:hAnsi="Times New Roman" w:cs="Times New Roman"/>
          <w:b/>
          <w:i/>
          <w:sz w:val="20"/>
          <w:szCs w:val="20"/>
          <w:lang w:eastAsia="ru-RU"/>
        </w:rPr>
        <w:t>Научный руководитель:</w:t>
      </w:r>
    </w:p>
    <w:p w14:paraId="071DC5E1" w14:textId="77777777" w:rsidR="00877DE5" w:rsidRPr="003826E8" w:rsidRDefault="00877DE5" w:rsidP="00067100">
      <w:pPr>
        <w:spacing w:after="0" w:line="240" w:lineRule="auto"/>
        <w:ind w:firstLine="709"/>
        <w:jc w:val="right"/>
        <w:rPr>
          <w:rFonts w:ascii="Times New Roman" w:eastAsia="Times New Roman" w:hAnsi="Times New Roman" w:cs="Times New Roman"/>
          <w:b/>
          <w:i/>
          <w:sz w:val="21"/>
          <w:szCs w:val="21"/>
          <w:lang w:eastAsia="ru-RU"/>
        </w:rPr>
      </w:pPr>
      <w:r w:rsidRPr="003826E8">
        <w:rPr>
          <w:rFonts w:ascii="Times New Roman" w:eastAsia="Times New Roman" w:hAnsi="Times New Roman" w:cs="Times New Roman"/>
          <w:b/>
          <w:i/>
          <w:sz w:val="21"/>
          <w:szCs w:val="21"/>
          <w:lang w:eastAsia="ru-RU"/>
        </w:rPr>
        <w:t>Артюшкова А.Ю.</w:t>
      </w:r>
      <w:r w:rsidR="003826E8">
        <w:rPr>
          <w:rFonts w:ascii="Times New Roman" w:eastAsia="Times New Roman" w:hAnsi="Times New Roman" w:cs="Times New Roman"/>
          <w:b/>
          <w:i/>
          <w:sz w:val="21"/>
          <w:szCs w:val="21"/>
          <w:lang w:eastAsia="ru-RU"/>
        </w:rPr>
        <w:t>,</w:t>
      </w:r>
    </w:p>
    <w:p w14:paraId="1C3CFC24"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 xml:space="preserve">к.п.н., доцент кафедры «Менеджмент и маркетинг» </w:t>
      </w:r>
    </w:p>
    <w:p w14:paraId="6AA1BBC8"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1"/>
          <w:szCs w:val="21"/>
          <w:lang w:eastAsia="ru-RU"/>
        </w:rPr>
      </w:pPr>
      <w:r w:rsidRPr="00877DE5">
        <w:rPr>
          <w:rFonts w:ascii="Times New Roman" w:eastAsia="Times New Roman" w:hAnsi="Times New Roman" w:cs="Times New Roman"/>
          <w:bCs/>
          <w:i/>
          <w:sz w:val="21"/>
          <w:szCs w:val="21"/>
          <w:lang w:eastAsia="ru-RU"/>
        </w:rPr>
        <w:t>Финансовый</w:t>
      </w:r>
      <w:r w:rsidRPr="00877DE5">
        <w:rPr>
          <w:rFonts w:ascii="Times New Roman" w:eastAsia="Times New Roman" w:hAnsi="Times New Roman" w:cs="Times New Roman"/>
          <w:i/>
          <w:sz w:val="21"/>
          <w:szCs w:val="21"/>
          <w:lang w:eastAsia="ru-RU"/>
        </w:rPr>
        <w:t> </w:t>
      </w:r>
      <w:r w:rsidRPr="00877DE5">
        <w:rPr>
          <w:rFonts w:ascii="Times New Roman" w:eastAsia="Times New Roman" w:hAnsi="Times New Roman" w:cs="Times New Roman"/>
          <w:bCs/>
          <w:i/>
          <w:sz w:val="21"/>
          <w:szCs w:val="21"/>
          <w:lang w:eastAsia="ru-RU"/>
        </w:rPr>
        <w:t>университет</w:t>
      </w:r>
      <w:r w:rsidRPr="00877DE5">
        <w:rPr>
          <w:rFonts w:ascii="Times New Roman" w:eastAsia="Times New Roman" w:hAnsi="Times New Roman" w:cs="Times New Roman"/>
          <w:i/>
          <w:sz w:val="21"/>
          <w:szCs w:val="21"/>
          <w:lang w:eastAsia="ru-RU"/>
        </w:rPr>
        <w:t> </w:t>
      </w:r>
      <w:r w:rsidRPr="00877DE5">
        <w:rPr>
          <w:rFonts w:ascii="Times New Roman" w:eastAsia="Times New Roman" w:hAnsi="Times New Roman" w:cs="Times New Roman"/>
          <w:bCs/>
          <w:i/>
          <w:sz w:val="21"/>
          <w:szCs w:val="21"/>
          <w:lang w:eastAsia="ru-RU"/>
        </w:rPr>
        <w:t>при</w:t>
      </w:r>
      <w:r w:rsidRPr="00877DE5">
        <w:rPr>
          <w:rFonts w:ascii="Times New Roman" w:eastAsia="Times New Roman" w:hAnsi="Times New Roman" w:cs="Times New Roman"/>
          <w:i/>
          <w:sz w:val="21"/>
          <w:szCs w:val="21"/>
          <w:lang w:eastAsia="ru-RU"/>
        </w:rPr>
        <w:t> </w:t>
      </w:r>
      <w:r w:rsidRPr="00877DE5">
        <w:rPr>
          <w:rFonts w:ascii="Times New Roman" w:eastAsia="Times New Roman" w:hAnsi="Times New Roman" w:cs="Times New Roman"/>
          <w:bCs/>
          <w:i/>
          <w:sz w:val="21"/>
          <w:szCs w:val="21"/>
          <w:lang w:eastAsia="ru-RU"/>
        </w:rPr>
        <w:t>Правительстве</w:t>
      </w:r>
      <w:r w:rsidRPr="00877DE5">
        <w:rPr>
          <w:rFonts w:ascii="Times New Roman" w:eastAsia="Times New Roman" w:hAnsi="Times New Roman" w:cs="Times New Roman"/>
          <w:i/>
          <w:sz w:val="21"/>
          <w:szCs w:val="21"/>
          <w:lang w:eastAsia="ru-RU"/>
        </w:rPr>
        <w:t> </w:t>
      </w:r>
      <w:r w:rsidRPr="00877DE5">
        <w:rPr>
          <w:rFonts w:ascii="Times New Roman" w:eastAsia="Times New Roman" w:hAnsi="Times New Roman" w:cs="Times New Roman"/>
          <w:bCs/>
          <w:i/>
          <w:sz w:val="21"/>
          <w:szCs w:val="21"/>
          <w:lang w:eastAsia="ru-RU"/>
        </w:rPr>
        <w:t>Российской</w:t>
      </w:r>
      <w:r w:rsidRPr="00877DE5">
        <w:rPr>
          <w:rFonts w:ascii="Times New Roman" w:eastAsia="Times New Roman" w:hAnsi="Times New Roman" w:cs="Times New Roman"/>
          <w:i/>
          <w:sz w:val="21"/>
          <w:szCs w:val="21"/>
          <w:lang w:eastAsia="ru-RU"/>
        </w:rPr>
        <w:t> </w:t>
      </w:r>
      <w:r w:rsidRPr="00877DE5">
        <w:rPr>
          <w:rFonts w:ascii="Times New Roman" w:eastAsia="Times New Roman" w:hAnsi="Times New Roman" w:cs="Times New Roman"/>
          <w:bCs/>
          <w:i/>
          <w:sz w:val="21"/>
          <w:szCs w:val="21"/>
          <w:lang w:eastAsia="ru-RU"/>
        </w:rPr>
        <w:t>Федерации,</w:t>
      </w:r>
      <w:r w:rsidRPr="00877DE5">
        <w:rPr>
          <w:rFonts w:ascii="Times New Roman" w:eastAsia="Times New Roman" w:hAnsi="Times New Roman" w:cs="Times New Roman"/>
          <w:i/>
          <w:sz w:val="21"/>
          <w:szCs w:val="21"/>
          <w:lang w:eastAsia="ru-RU"/>
        </w:rPr>
        <w:t xml:space="preserve"> </w:t>
      </w:r>
      <w:r w:rsidRPr="00877DE5">
        <w:rPr>
          <w:rFonts w:ascii="Times New Roman" w:eastAsia="Times New Roman" w:hAnsi="Times New Roman" w:cs="Times New Roman"/>
          <w:bCs/>
          <w:i/>
          <w:sz w:val="21"/>
          <w:szCs w:val="21"/>
          <w:lang w:eastAsia="ru-RU"/>
        </w:rPr>
        <w:t>Краснодарский филиал</w:t>
      </w:r>
    </w:p>
    <w:p w14:paraId="59ADC52A"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1"/>
          <w:szCs w:val="21"/>
          <w:lang w:eastAsia="ru-RU"/>
        </w:rPr>
      </w:pPr>
      <w:r w:rsidRPr="00877DE5">
        <w:rPr>
          <w:rFonts w:ascii="Times New Roman" w:eastAsia="Times New Roman" w:hAnsi="Times New Roman" w:cs="Times New Roman"/>
          <w:bCs/>
          <w:i/>
          <w:sz w:val="21"/>
          <w:szCs w:val="21"/>
          <w:lang w:eastAsia="ru-RU"/>
        </w:rPr>
        <w:t>г. Краснодар, Россия</w:t>
      </w:r>
    </w:p>
    <w:p w14:paraId="7A71D078" w14:textId="77777777" w:rsidR="00877DE5" w:rsidRPr="00877DE5" w:rsidRDefault="00877DE5" w:rsidP="00067100">
      <w:pPr>
        <w:spacing w:after="0" w:line="240" w:lineRule="auto"/>
        <w:ind w:firstLine="709"/>
        <w:jc w:val="right"/>
        <w:rPr>
          <w:rFonts w:ascii="Times New Roman" w:eastAsia="Times New Roman" w:hAnsi="Times New Roman" w:cs="Times New Roman"/>
          <w:bCs/>
          <w:i/>
          <w:sz w:val="20"/>
          <w:szCs w:val="20"/>
          <w:lang w:eastAsia="ru-RU"/>
        </w:rPr>
      </w:pPr>
      <w:r w:rsidRPr="00877DE5">
        <w:rPr>
          <w:rFonts w:ascii="Times New Roman" w:eastAsia="Times New Roman" w:hAnsi="Times New Roman" w:cs="Times New Roman"/>
          <w:bCs/>
          <w:i/>
          <w:sz w:val="20"/>
          <w:szCs w:val="20"/>
          <w:lang w:eastAsia="ru-RU"/>
        </w:rPr>
        <w:t>е-</w:t>
      </w:r>
      <w:r w:rsidRPr="00877DE5">
        <w:rPr>
          <w:rFonts w:ascii="Times New Roman" w:eastAsia="Times New Roman" w:hAnsi="Times New Roman" w:cs="Times New Roman"/>
          <w:bCs/>
          <w:i/>
          <w:sz w:val="20"/>
          <w:szCs w:val="20"/>
          <w:lang w:val="en-US" w:eastAsia="ru-RU"/>
        </w:rPr>
        <w:t>mail</w:t>
      </w:r>
      <w:r w:rsidRPr="00877DE5">
        <w:rPr>
          <w:rFonts w:ascii="Times New Roman" w:eastAsia="Times New Roman" w:hAnsi="Times New Roman" w:cs="Times New Roman"/>
          <w:bCs/>
          <w:i/>
          <w:sz w:val="20"/>
          <w:szCs w:val="20"/>
          <w:lang w:eastAsia="ru-RU"/>
        </w:rPr>
        <w:t>:</w:t>
      </w:r>
      <w:r w:rsidRPr="00877DE5">
        <w:rPr>
          <w:rFonts w:ascii="Times New Roman" w:eastAsia="Calibri" w:hAnsi="Times New Roman" w:cs="Times New Roman"/>
        </w:rPr>
        <w:t xml:space="preserve"> </w:t>
      </w:r>
      <w:hyperlink r:id="rId325" w:history="1">
        <w:r w:rsidRPr="00877DE5">
          <w:rPr>
            <w:rFonts w:ascii="Times New Roman" w:eastAsia="Times New Roman" w:hAnsi="Times New Roman" w:cs="Times New Roman"/>
            <w:bCs/>
            <w:i/>
            <w:color w:val="0563C1"/>
            <w:sz w:val="20"/>
            <w:szCs w:val="20"/>
            <w:u w:val="single"/>
            <w:lang w:val="en-US" w:eastAsia="ru-RU"/>
          </w:rPr>
          <w:t>AYUArtyushkova</w:t>
        </w:r>
        <w:r w:rsidRPr="00877DE5">
          <w:rPr>
            <w:rFonts w:ascii="Times New Roman" w:eastAsia="Times New Roman" w:hAnsi="Times New Roman" w:cs="Times New Roman"/>
            <w:bCs/>
            <w:i/>
            <w:color w:val="0563C1"/>
            <w:sz w:val="20"/>
            <w:szCs w:val="20"/>
            <w:u w:val="single"/>
            <w:lang w:eastAsia="ru-RU"/>
          </w:rPr>
          <w:t>@</w:t>
        </w:r>
        <w:r w:rsidRPr="00877DE5">
          <w:rPr>
            <w:rFonts w:ascii="Times New Roman" w:eastAsia="Times New Roman" w:hAnsi="Times New Roman" w:cs="Times New Roman"/>
            <w:bCs/>
            <w:i/>
            <w:color w:val="0563C1"/>
            <w:sz w:val="20"/>
            <w:szCs w:val="20"/>
            <w:u w:val="single"/>
            <w:lang w:val="en-US" w:eastAsia="ru-RU"/>
          </w:rPr>
          <w:t>fa</w:t>
        </w:r>
        <w:r w:rsidRPr="00877DE5">
          <w:rPr>
            <w:rFonts w:ascii="Times New Roman" w:eastAsia="Times New Roman" w:hAnsi="Times New Roman" w:cs="Times New Roman"/>
            <w:bCs/>
            <w:i/>
            <w:color w:val="0563C1"/>
            <w:sz w:val="20"/>
            <w:szCs w:val="20"/>
            <w:u w:val="single"/>
            <w:lang w:eastAsia="ru-RU"/>
          </w:rPr>
          <w:t>.</w:t>
        </w:r>
        <w:r w:rsidRPr="00877DE5">
          <w:rPr>
            <w:rFonts w:ascii="Times New Roman" w:eastAsia="Times New Roman" w:hAnsi="Times New Roman" w:cs="Times New Roman"/>
            <w:bCs/>
            <w:i/>
            <w:color w:val="0563C1"/>
            <w:sz w:val="20"/>
            <w:szCs w:val="20"/>
            <w:u w:val="single"/>
            <w:lang w:val="en-US" w:eastAsia="ru-RU"/>
          </w:rPr>
          <w:t>ru</w:t>
        </w:r>
      </w:hyperlink>
    </w:p>
    <w:p w14:paraId="6705952A" w14:textId="77777777" w:rsidR="00877DE5" w:rsidRPr="00877DE5" w:rsidRDefault="00877DE5" w:rsidP="00067100">
      <w:pPr>
        <w:spacing w:after="0" w:line="240" w:lineRule="auto"/>
        <w:ind w:firstLine="709"/>
        <w:jc w:val="both"/>
        <w:rPr>
          <w:rFonts w:ascii="Times New Roman" w:eastAsia="Times New Roman" w:hAnsi="Times New Roman" w:cs="Times New Roman"/>
          <w:b/>
          <w:sz w:val="21"/>
          <w:szCs w:val="21"/>
          <w:lang w:eastAsia="ru-RU"/>
        </w:rPr>
      </w:pPr>
    </w:p>
    <w:p w14:paraId="5C385947" w14:textId="77777777" w:rsidR="00877DE5" w:rsidRPr="00877DE5" w:rsidRDefault="00877DE5" w:rsidP="00067100">
      <w:pPr>
        <w:spacing w:after="0" w:line="240" w:lineRule="auto"/>
        <w:ind w:firstLine="709"/>
        <w:jc w:val="center"/>
        <w:rPr>
          <w:rFonts w:ascii="Times New Roman" w:eastAsia="Times New Roman" w:hAnsi="Times New Roman" w:cs="Times New Roman"/>
          <w:b/>
          <w:sz w:val="21"/>
          <w:szCs w:val="21"/>
          <w:lang w:eastAsia="ru-RU"/>
        </w:rPr>
      </w:pPr>
      <w:r w:rsidRPr="00877DE5">
        <w:rPr>
          <w:rFonts w:ascii="Times New Roman" w:eastAsia="Times New Roman" w:hAnsi="Times New Roman" w:cs="Times New Roman"/>
          <w:b/>
          <w:sz w:val="21"/>
          <w:szCs w:val="21"/>
          <w:lang w:eastAsia="ru-RU"/>
        </w:rPr>
        <w:t>Влияние поколений на стиль управления</w:t>
      </w:r>
    </w:p>
    <w:p w14:paraId="78C5DDA5" w14:textId="77777777" w:rsidR="00877DE5" w:rsidRPr="00877DE5" w:rsidRDefault="00877DE5" w:rsidP="00067100">
      <w:pPr>
        <w:spacing w:after="0" w:line="240" w:lineRule="auto"/>
        <w:ind w:firstLine="709"/>
        <w:jc w:val="both"/>
        <w:rPr>
          <w:rFonts w:ascii="Times New Roman" w:eastAsia="Times New Roman" w:hAnsi="Times New Roman" w:cs="Times New Roman"/>
          <w:b/>
          <w:sz w:val="21"/>
          <w:szCs w:val="21"/>
          <w:lang w:eastAsia="ru-RU"/>
        </w:rPr>
      </w:pPr>
    </w:p>
    <w:p w14:paraId="59D4EF83"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lang w:eastAsia="ru-RU"/>
        </w:rPr>
      </w:pPr>
      <w:r w:rsidRPr="00877DE5">
        <w:rPr>
          <w:rFonts w:ascii="Times New Roman" w:eastAsia="Times New Roman" w:hAnsi="Times New Roman" w:cs="Times New Roman"/>
          <w:b/>
          <w:sz w:val="21"/>
          <w:szCs w:val="21"/>
          <w:lang w:eastAsia="ru-RU"/>
        </w:rPr>
        <w:t>Аннотация</w:t>
      </w:r>
      <w:proofErr w:type="gramStart"/>
      <w:r w:rsidRPr="00877DE5">
        <w:rPr>
          <w:rFonts w:ascii="Times New Roman" w:eastAsia="Times New Roman" w:hAnsi="Times New Roman" w:cs="Times New Roman"/>
          <w:b/>
          <w:sz w:val="21"/>
          <w:szCs w:val="21"/>
          <w:lang w:eastAsia="ru-RU"/>
        </w:rPr>
        <w:t>:</w:t>
      </w:r>
      <w:r w:rsidRPr="00877DE5">
        <w:rPr>
          <w:rFonts w:ascii="Times New Roman" w:eastAsia="Times New Roman" w:hAnsi="Times New Roman" w:cs="Times New Roman"/>
          <w:sz w:val="21"/>
          <w:szCs w:val="21"/>
          <w:lang w:eastAsia="ru-RU"/>
        </w:rPr>
        <w:t xml:space="preserve"> В условиях</w:t>
      </w:r>
      <w:proofErr w:type="gramEnd"/>
      <w:r w:rsidRPr="00877DE5">
        <w:rPr>
          <w:rFonts w:ascii="Times New Roman" w:eastAsia="Times New Roman" w:hAnsi="Times New Roman" w:cs="Times New Roman"/>
          <w:sz w:val="21"/>
          <w:szCs w:val="21"/>
          <w:lang w:eastAsia="ru-RU"/>
        </w:rPr>
        <w:t xml:space="preserve"> динамичного рынка труда управление организациями становится сложным и многогранным процессом, в значительной степени определяемым особенностями различных поколений сотрудников. В данной работе исследуется влияние различных возрастных групп на стиль управления, их ценности, мотивации и предпочтения. Мы проанализируем, как различия между поколениями — от Бэби-бумеров до Поколения Z — формируют организационную культуру, коммуникацию и процессы принятия решений. Также будут предложены стратегии, позволяющие менеджерам эффективно управлять многообразием поколений в рабочей среде. </w:t>
      </w:r>
    </w:p>
    <w:p w14:paraId="58F55612"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1"/>
          <w:lang w:eastAsia="ru-RU"/>
        </w:rPr>
      </w:pPr>
      <w:r w:rsidRPr="00877DE5">
        <w:rPr>
          <w:rFonts w:ascii="Times New Roman" w:eastAsia="Times New Roman" w:hAnsi="Times New Roman" w:cs="Times New Roman"/>
          <w:b/>
          <w:sz w:val="21"/>
          <w:szCs w:val="21"/>
          <w:lang w:eastAsia="ru-RU"/>
        </w:rPr>
        <w:t>Ключевые слова:</w:t>
      </w:r>
      <w:r w:rsidRPr="00877DE5">
        <w:rPr>
          <w:rFonts w:ascii="Times New Roman" w:eastAsia="Times New Roman" w:hAnsi="Times New Roman" w:cs="Times New Roman"/>
          <w:sz w:val="21"/>
          <w:szCs w:val="21"/>
          <w:lang w:eastAsia="ru-RU"/>
        </w:rPr>
        <w:t xml:space="preserve"> Поколения, стиль управления, организационная культура, мотивация, коммуникация, Бэби-бумеры, Поколение X, </w:t>
      </w:r>
      <w:r w:rsidRPr="00877DE5">
        <w:rPr>
          <w:rFonts w:ascii="Times New Roman" w:eastAsia="Times New Roman" w:hAnsi="Times New Roman" w:cs="Times New Roman"/>
          <w:sz w:val="21"/>
          <w:szCs w:val="21"/>
          <w:lang w:val="en-US" w:eastAsia="ru-RU"/>
        </w:rPr>
        <w:t>Z</w:t>
      </w:r>
      <w:r w:rsidRPr="00877DE5">
        <w:rPr>
          <w:rFonts w:ascii="Times New Roman" w:eastAsia="Times New Roman" w:hAnsi="Times New Roman" w:cs="Times New Roman"/>
          <w:sz w:val="21"/>
          <w:szCs w:val="21"/>
          <w:lang w:eastAsia="ru-RU"/>
        </w:rPr>
        <w:t>, Миллениалы.</w:t>
      </w:r>
    </w:p>
    <w:p w14:paraId="56F3D67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p>
    <w:p w14:paraId="63768816" w14:textId="77777777" w:rsidR="00877DE5" w:rsidRPr="00877DE5" w:rsidRDefault="00877DE5" w:rsidP="00067100">
      <w:pPr>
        <w:spacing w:after="0" w:line="240" w:lineRule="auto"/>
        <w:ind w:firstLine="709"/>
        <w:jc w:val="right"/>
        <w:rPr>
          <w:rFonts w:ascii="Times New Roman" w:eastAsia="Times New Roman" w:hAnsi="Times New Roman" w:cs="Times New Roman"/>
          <w:b/>
          <w:i/>
          <w:sz w:val="21"/>
          <w:szCs w:val="21"/>
          <w:lang w:val="en-US" w:eastAsia="ru-RU"/>
        </w:rPr>
      </w:pPr>
      <w:r w:rsidRPr="00877DE5">
        <w:rPr>
          <w:rFonts w:ascii="Times New Roman" w:eastAsia="Times New Roman" w:hAnsi="Times New Roman" w:cs="Times New Roman"/>
          <w:b/>
          <w:i/>
          <w:sz w:val="21"/>
          <w:szCs w:val="21"/>
          <w:lang w:val="en-US" w:eastAsia="ru-RU"/>
        </w:rPr>
        <w:t>Kulesheva M.D.,</w:t>
      </w:r>
    </w:p>
    <w:p w14:paraId="554FA86E"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1st year student</w:t>
      </w:r>
    </w:p>
    <w:p w14:paraId="6BFD6823"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Financial University under the Government of the Russian Federation, Krasnodar Branch</w:t>
      </w:r>
    </w:p>
    <w:p w14:paraId="7391014B" w14:textId="28DCD42A"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 Krasnodar, Russia</w:t>
      </w:r>
    </w:p>
    <w:p w14:paraId="1CEBA0BF"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e-mail: </w:t>
      </w:r>
      <w:hyperlink r:id="rId326" w:history="1">
        <w:r w:rsidRPr="00877DE5">
          <w:rPr>
            <w:rFonts w:ascii="Times New Roman" w:eastAsia="Times New Roman" w:hAnsi="Times New Roman" w:cs="Times New Roman"/>
            <w:i/>
            <w:color w:val="0563C1"/>
            <w:sz w:val="21"/>
            <w:szCs w:val="21"/>
            <w:u w:val="single"/>
            <w:lang w:val="en-US" w:eastAsia="ru-RU"/>
          </w:rPr>
          <w:t>m.kulesheva@mail.ru</w:t>
        </w:r>
      </w:hyperlink>
    </w:p>
    <w:p w14:paraId="168274AA"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 </w:t>
      </w:r>
    </w:p>
    <w:p w14:paraId="25C256DB" w14:textId="77777777" w:rsidR="00877DE5" w:rsidRPr="00877DE5" w:rsidRDefault="00877DE5" w:rsidP="00067100">
      <w:pPr>
        <w:spacing w:after="0" w:line="240" w:lineRule="auto"/>
        <w:ind w:firstLine="709"/>
        <w:jc w:val="right"/>
        <w:rPr>
          <w:rFonts w:ascii="Times New Roman" w:eastAsia="Times New Roman" w:hAnsi="Times New Roman" w:cs="Times New Roman"/>
          <w:b/>
          <w:i/>
          <w:sz w:val="21"/>
          <w:szCs w:val="21"/>
          <w:lang w:val="en-US" w:eastAsia="ru-RU"/>
        </w:rPr>
      </w:pPr>
      <w:r w:rsidRPr="00877DE5">
        <w:rPr>
          <w:rFonts w:ascii="Times New Roman" w:eastAsia="Times New Roman" w:hAnsi="Times New Roman" w:cs="Times New Roman"/>
          <w:b/>
          <w:i/>
          <w:sz w:val="21"/>
          <w:szCs w:val="21"/>
          <w:lang w:val="en-US" w:eastAsia="ru-RU"/>
        </w:rPr>
        <w:t>Scientific supervisor:</w:t>
      </w:r>
    </w:p>
    <w:p w14:paraId="2B8AD2C5" w14:textId="77777777" w:rsidR="00877DE5" w:rsidRPr="00877DE5" w:rsidRDefault="00877DE5" w:rsidP="00067100">
      <w:pPr>
        <w:spacing w:after="0" w:line="240" w:lineRule="auto"/>
        <w:ind w:firstLine="709"/>
        <w:jc w:val="right"/>
        <w:rPr>
          <w:rFonts w:ascii="Times New Roman" w:eastAsia="Times New Roman" w:hAnsi="Times New Roman" w:cs="Times New Roman"/>
          <w:b/>
          <w:i/>
          <w:sz w:val="21"/>
          <w:szCs w:val="21"/>
          <w:lang w:val="en-US" w:eastAsia="ru-RU"/>
        </w:rPr>
      </w:pPr>
      <w:r w:rsidRPr="00877DE5">
        <w:rPr>
          <w:rFonts w:ascii="Times New Roman" w:eastAsia="Times New Roman" w:hAnsi="Times New Roman" w:cs="Times New Roman"/>
          <w:b/>
          <w:i/>
          <w:sz w:val="21"/>
          <w:szCs w:val="21"/>
          <w:lang w:val="en-US" w:eastAsia="ru-RU"/>
        </w:rPr>
        <w:t>Artyushkova A.Y.</w:t>
      </w:r>
    </w:p>
    <w:p w14:paraId="07C4A6C9" w14:textId="77777777" w:rsidR="00877DE5" w:rsidRPr="00877DE5" w:rsidRDefault="00877DE5" w:rsidP="005E5ED0">
      <w:pPr>
        <w:spacing w:after="0" w:line="240" w:lineRule="auto"/>
        <w:ind w:right="3"/>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Candidate of Pedagogical Sciences, Associate Professor of the Department of Management and Marketing </w:t>
      </w:r>
    </w:p>
    <w:p w14:paraId="1E3F30FB"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Financial University under the Government of the Russian Federation, Krasnodar Branch</w:t>
      </w:r>
    </w:p>
    <w:p w14:paraId="7946DD5B" w14:textId="3AC42820"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 Krasnodar, Russia</w:t>
      </w:r>
    </w:p>
    <w:p w14:paraId="2EA6D389"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 xml:space="preserve">e-mail: </w:t>
      </w:r>
      <w:hyperlink r:id="rId327" w:history="1">
        <w:r w:rsidRPr="00877DE5">
          <w:rPr>
            <w:rFonts w:ascii="Times New Roman" w:eastAsia="Times New Roman" w:hAnsi="Times New Roman" w:cs="Times New Roman"/>
            <w:i/>
            <w:color w:val="0563C1"/>
            <w:sz w:val="21"/>
            <w:szCs w:val="21"/>
            <w:u w:val="single"/>
            <w:lang w:val="en-US" w:eastAsia="ru-RU"/>
          </w:rPr>
          <w:t>AYUArtyushkova@fa.ru</w:t>
        </w:r>
      </w:hyperlink>
    </w:p>
    <w:p w14:paraId="510E02C3"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p>
    <w:p w14:paraId="352437E3" w14:textId="77777777" w:rsidR="00877DE5" w:rsidRPr="00877DE5" w:rsidRDefault="00877DE5" w:rsidP="00067100">
      <w:pPr>
        <w:spacing w:after="0" w:line="240" w:lineRule="auto"/>
        <w:ind w:firstLine="709"/>
        <w:jc w:val="center"/>
        <w:rPr>
          <w:rFonts w:ascii="Times New Roman" w:eastAsia="Calibri" w:hAnsi="Times New Roman" w:cs="Times New Roman"/>
          <w:b/>
          <w:sz w:val="21"/>
          <w:szCs w:val="21"/>
          <w:lang w:val="en-US"/>
        </w:rPr>
      </w:pPr>
      <w:r w:rsidRPr="00877DE5">
        <w:rPr>
          <w:rFonts w:ascii="Times New Roman" w:eastAsia="Calibri" w:hAnsi="Times New Roman" w:cs="Times New Roman"/>
          <w:b/>
          <w:sz w:val="21"/>
          <w:szCs w:val="21"/>
          <w:lang w:val="en-US"/>
        </w:rPr>
        <w:t>The influence of generations on management style</w:t>
      </w:r>
    </w:p>
    <w:p w14:paraId="4980D6D5" w14:textId="77777777" w:rsidR="00877DE5" w:rsidRPr="00877DE5" w:rsidRDefault="00877DE5" w:rsidP="00067100">
      <w:pPr>
        <w:spacing w:after="0" w:line="240" w:lineRule="auto"/>
        <w:ind w:firstLine="709"/>
        <w:jc w:val="both"/>
        <w:rPr>
          <w:rFonts w:ascii="Times New Roman" w:eastAsia="Calibri" w:hAnsi="Times New Roman" w:cs="Times New Roman"/>
          <w:b/>
          <w:sz w:val="21"/>
          <w:szCs w:val="21"/>
          <w:lang w:val="en-US"/>
        </w:rPr>
      </w:pPr>
    </w:p>
    <w:p w14:paraId="6EBE7B46"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sz w:val="21"/>
          <w:szCs w:val="21"/>
          <w:lang w:val="en-US"/>
        </w:rPr>
        <w:t>Abstract</w:t>
      </w:r>
      <w:r w:rsidRPr="00877DE5">
        <w:rPr>
          <w:rFonts w:ascii="Times New Roman" w:eastAsia="Calibri" w:hAnsi="Times New Roman" w:cs="Times New Roman"/>
          <w:sz w:val="21"/>
          <w:szCs w:val="21"/>
          <w:lang w:val="en-US"/>
        </w:rPr>
        <w:t xml:space="preserve">: In a dynamic labor market, management of organizations is becoming a complex and multifaceted process, largely determined by the characteristics of different generations of employees. This paper examines the influence of different age groups on management style, their values, motivations and preferences. We will analyze how differences between generations — from Baby Boomers to Generation Z - shape organizational culture, communication, and decision—making processes. Strategies will also be proposed to enable managers to effectively manage the diversity of generations in the work environment. </w:t>
      </w:r>
    </w:p>
    <w:p w14:paraId="1C8C1ABA"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r w:rsidRPr="00877DE5">
        <w:rPr>
          <w:rFonts w:ascii="Times New Roman" w:eastAsia="Calibri" w:hAnsi="Times New Roman" w:cs="Times New Roman"/>
          <w:b/>
          <w:sz w:val="21"/>
          <w:szCs w:val="21"/>
          <w:lang w:val="en-US"/>
        </w:rPr>
        <w:t>Keywords</w:t>
      </w:r>
      <w:r w:rsidRPr="00877DE5">
        <w:rPr>
          <w:rFonts w:ascii="Times New Roman" w:eastAsia="Calibri" w:hAnsi="Times New Roman" w:cs="Times New Roman"/>
          <w:sz w:val="21"/>
          <w:szCs w:val="21"/>
          <w:lang w:val="en-US"/>
        </w:rPr>
        <w:t>: Generations, management style, organizational culture, motivation, communication, Baby boomers, Generation X, Z, Millennials.</w:t>
      </w:r>
    </w:p>
    <w:p w14:paraId="45EA136F"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p>
    <w:p w14:paraId="3FF85633" w14:textId="77777777" w:rsidR="00877DE5" w:rsidRPr="00877DE5" w:rsidRDefault="00877DE5" w:rsidP="00067100">
      <w:pPr>
        <w:spacing w:after="0" w:line="240" w:lineRule="auto"/>
        <w:ind w:firstLine="709"/>
        <w:jc w:val="both"/>
        <w:rPr>
          <w:rFonts w:ascii="Times New Roman" w:eastAsia="Calibri" w:hAnsi="Times New Roman" w:cs="Times New Roman"/>
          <w:sz w:val="21"/>
          <w:szCs w:val="21"/>
          <w:lang w:val="en-US"/>
        </w:rPr>
      </w:pPr>
    </w:p>
    <w:p w14:paraId="350FCA4E" w14:textId="77777777" w:rsidR="00877DE5" w:rsidRPr="00877DE5" w:rsidRDefault="00877DE5" w:rsidP="00067100">
      <w:pPr>
        <w:spacing w:after="0" w:line="240" w:lineRule="auto"/>
        <w:ind w:firstLine="709"/>
        <w:jc w:val="both"/>
        <w:rPr>
          <w:rFonts w:ascii="Times New Roman" w:eastAsia="Calibri" w:hAnsi="Times New Roman" w:cs="Times New Roman"/>
          <w:b/>
          <w:sz w:val="32"/>
          <w:szCs w:val="32"/>
        </w:rPr>
      </w:pPr>
      <w:r w:rsidRPr="00877DE5">
        <w:rPr>
          <w:rFonts w:ascii="Times New Roman" w:eastAsia="Calibri" w:hAnsi="Times New Roman" w:cs="Times New Roman"/>
          <w:sz w:val="32"/>
          <w:szCs w:val="32"/>
        </w:rPr>
        <w:t>Цель:</w:t>
      </w:r>
      <w:r w:rsidRPr="00877DE5">
        <w:rPr>
          <w:rFonts w:ascii="Times New Roman" w:eastAsia="Calibri" w:hAnsi="Times New Roman" w:cs="Times New Roman"/>
          <w:b/>
          <w:sz w:val="32"/>
          <w:szCs w:val="32"/>
        </w:rPr>
        <w:t xml:space="preserve"> </w:t>
      </w:r>
      <w:r w:rsidRPr="00877DE5">
        <w:rPr>
          <w:rFonts w:ascii="Times New Roman" w:eastAsia="Times New Roman" w:hAnsi="Times New Roman" w:cs="Times New Roman"/>
          <w:sz w:val="32"/>
          <w:szCs w:val="32"/>
          <w:lang w:eastAsia="ru-RU"/>
        </w:rPr>
        <w:t>Выявление и анализ взаимосвязи между характеристиками различных поколений сотрудников (таких как ценности, мотивации, предпочтения в работе и коммуникации) и стилями управления, применяемыми в организациях. Исследование направлено на разработку рекомендаций для создания эффективных управленческих практик, способствующих повышению вовлеченности и производительности труда, а также улучшению взаимодействия в межпоколенных командах. В конечном итоге, цель заключается в формировании адаптивных управленческих стратегий, которые учитывают разнообразие поколений и способствуют гармоничному развитию организационной культуры.</w:t>
      </w:r>
    </w:p>
    <w:p w14:paraId="39D0DBC4"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Задачи:</w:t>
      </w:r>
    </w:p>
    <w:p w14:paraId="1C8BC85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Теоретические задачи: </w:t>
      </w:r>
    </w:p>
    <w:p w14:paraId="39919F2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1. Анализ характеристик поколений и их влияние на стиль управления: Исследовать и классифицировать основные характеристики различных поколений (например, Baby Boomers, Generation X, Millennials, Generation Z) с точки зрения их ценностей, мотиваций и предпочтений в рабочей среде. На основе собранных данных провести анализ влияния этих характеристик на выбор управленческих стилей (авторитарный, демократический, трансформационный и т.д.). Это позволит выявить, каким образом различия в восприятии работы и жизни влияют на подходы к управлению и взаимодействию в командах. </w:t>
      </w:r>
    </w:p>
    <w:p w14:paraId="2293641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2. Разработка теоретической модели взаимодействия поколений в управлении</w:t>
      </w:r>
      <w:proofErr w:type="gramStart"/>
      <w:r w:rsidRPr="00877DE5">
        <w:rPr>
          <w:rFonts w:ascii="Times New Roman" w:eastAsia="Times New Roman" w:hAnsi="Times New Roman" w:cs="Times New Roman"/>
          <w:sz w:val="32"/>
          <w:szCs w:val="32"/>
          <w:lang w:eastAsia="ru-RU"/>
        </w:rPr>
        <w:t>: Создать</w:t>
      </w:r>
      <w:proofErr w:type="gramEnd"/>
      <w:r w:rsidRPr="00877DE5">
        <w:rPr>
          <w:rFonts w:ascii="Times New Roman" w:eastAsia="Times New Roman" w:hAnsi="Times New Roman" w:cs="Times New Roman"/>
          <w:sz w:val="32"/>
          <w:szCs w:val="32"/>
          <w:lang w:eastAsia="ru-RU"/>
        </w:rPr>
        <w:t xml:space="preserve"> теоретическую модель, описывающую динамику взаимодействия между представителями разных поколений в рамках одной организации. В модели следует учитывать такие факторы, как коммуникационные стили, предпочтения в методах работы и подходах к решению конфликтов. Эта модель должна помочь понять, как различия в восприятии могут быть использованы для оптимизации управленческих практик и повышения эффективности командной работы. </w:t>
      </w:r>
    </w:p>
    <w:p w14:paraId="0B72FCA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Практические задачи: </w:t>
      </w:r>
    </w:p>
    <w:p w14:paraId="55526A2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1. Разработка рекомендаций по адаптации стилей управления</w:t>
      </w:r>
      <w:proofErr w:type="gramStart"/>
      <w:r w:rsidRPr="00877DE5">
        <w:rPr>
          <w:rFonts w:ascii="Times New Roman" w:eastAsia="Times New Roman" w:hAnsi="Times New Roman" w:cs="Times New Roman"/>
          <w:sz w:val="32"/>
          <w:szCs w:val="32"/>
          <w:lang w:eastAsia="ru-RU"/>
        </w:rPr>
        <w:t>: На основе</w:t>
      </w:r>
      <w:proofErr w:type="gramEnd"/>
      <w:r w:rsidRPr="00877DE5">
        <w:rPr>
          <w:rFonts w:ascii="Times New Roman" w:eastAsia="Times New Roman" w:hAnsi="Times New Roman" w:cs="Times New Roman"/>
          <w:sz w:val="32"/>
          <w:szCs w:val="32"/>
          <w:lang w:eastAsia="ru-RU"/>
        </w:rPr>
        <w:t xml:space="preserve"> теоретического анализа сформулировать практические рекомендации для руководителей по адаптации их стилей управления к потребностям и ожиданиям сотрудников разных поколений. Это может включать в себя советы по внедрению гибких методов работы, </w:t>
      </w:r>
      <w:r w:rsidRPr="00877DE5">
        <w:rPr>
          <w:rFonts w:ascii="Times New Roman" w:eastAsia="Times New Roman" w:hAnsi="Times New Roman" w:cs="Times New Roman"/>
          <w:sz w:val="32"/>
          <w:szCs w:val="32"/>
          <w:lang w:eastAsia="ru-RU"/>
        </w:rPr>
        <w:lastRenderedPageBreak/>
        <w:t xml:space="preserve">созданию программ наставничества и улучшению коммуникационных процессов. Реализация этих рекомендаций поможет повысить уровень вовлеченности и удовлетворенности сотрудников. </w:t>
      </w:r>
    </w:p>
    <w:p w14:paraId="55BF46D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2. Исследование влияния межпоколенного взаимодействия на производительность труда</w:t>
      </w:r>
      <w:proofErr w:type="gramStart"/>
      <w:r w:rsidRPr="00877DE5">
        <w:rPr>
          <w:rFonts w:ascii="Times New Roman" w:eastAsia="Times New Roman" w:hAnsi="Times New Roman" w:cs="Times New Roman"/>
          <w:sz w:val="32"/>
          <w:szCs w:val="32"/>
          <w:lang w:eastAsia="ru-RU"/>
        </w:rPr>
        <w:t>: Провести</w:t>
      </w:r>
      <w:proofErr w:type="gramEnd"/>
      <w:r w:rsidRPr="00877DE5">
        <w:rPr>
          <w:rFonts w:ascii="Times New Roman" w:eastAsia="Times New Roman" w:hAnsi="Times New Roman" w:cs="Times New Roman"/>
          <w:sz w:val="32"/>
          <w:szCs w:val="32"/>
          <w:lang w:eastAsia="ru-RU"/>
        </w:rPr>
        <w:t xml:space="preserve"> эмпирическое исследование, направленное на оценку влияния межпоколенного взаимодействия в командах на общую производительность труда и качество выполнения задач. Используя методы опросов и интервью, собрать данные о восприятии сотрудниками своих коллег из других поколений и их влиянии на рабочий процесс. Результаты исследования помогут выявить ключевые факторы, способствующие или препятствующие эффективному взаимодействию между поколениями, и предложить практические меры для улучшения командной динамики.</w:t>
      </w:r>
    </w:p>
    <w:p w14:paraId="260C81F1"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Актуальность исследования:</w:t>
      </w:r>
    </w:p>
    <w:p w14:paraId="48E1AF0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Актуальность исследования влияния поколений на стиль управления обусловлена рядом факторов, связанных с изменениями в современном обществе и на рынке труда. В условиях глобализации и быстрого технологического прогресса на рабочем месте сосуществуют представители нескольких поколений — от традиционалистов до миллениалов и поколения Z. Каждый из них обладает уникальными ценностями, предпочтениями и стилем работы, что создает как возможности, так и вызовы для руководителей. </w:t>
      </w:r>
    </w:p>
    <w:p w14:paraId="1503728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Во-первых, различия в подходах к работе и взаимодействию могут существенно влиять на командную динамику и общую производительность. Понимание этих различий позволяет руководителям адаптировать свои управленческие стратегии, чтобы максимально эффективно использовать потенциал каждого поколения. </w:t>
      </w:r>
    </w:p>
    <w:p w14:paraId="404DBBF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Во-вторых, успешное управление многообразными командами способствует повышению уровня вовлеченности сотрудников, что, в свою очередь, ведет к снижению текучести кадров и увеличению удовлетворенности работой. Это особенно актуально в условиях конкуренции за талантливых специалистов. </w:t>
      </w:r>
    </w:p>
    <w:p w14:paraId="01302C6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В-третьих, исследование влияния поколений на стиль управления помогает выявить лучшие практики и стратегии для создания инклюзивной корпоративной культуры, где ценятся разнообразие и взаимопонимание. Это важно для формирования позитивного имиджа компании и привлечения новых клиентов. </w:t>
      </w:r>
    </w:p>
    <w:p w14:paraId="3023233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Таким образом, изучение влияния поколений на стиль управления является не только теоретически значимым, но и </w:t>
      </w:r>
      <w:r w:rsidRPr="00877DE5">
        <w:rPr>
          <w:rFonts w:ascii="Times New Roman" w:eastAsia="Times New Roman" w:hAnsi="Times New Roman" w:cs="Times New Roman"/>
          <w:sz w:val="32"/>
          <w:szCs w:val="32"/>
          <w:lang w:eastAsia="ru-RU"/>
        </w:rPr>
        <w:lastRenderedPageBreak/>
        <w:t>практически важным направлением, способствующим эффективному управлению человеческими ресурсами в условиях постоянно меняющейся бизнес-среды.</w:t>
      </w:r>
    </w:p>
    <w:p w14:paraId="4F0A9B45"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Научная новизна: </w:t>
      </w:r>
    </w:p>
    <w:p w14:paraId="64F3847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Научная новизна исследования влияния поколений на стиль управления заключается в систематическом анализе и интеграции междисциплинарных подходов, что позволяет глубже понять, как различия в ценностях, мотивациях и стилях работы представителей разных поколений влияют на эффективность управленческих практик. </w:t>
      </w:r>
    </w:p>
    <w:p w14:paraId="6D2CA11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Во-первых, данное исследование расширяет существующие теории управления, вводя в них концепцию поколенческого разнообразия как ключевого фактора, определяющего динамику взаимодействия в командах. Это позволяет выявить специфические потребности и предпочтения каждого поколения, что, в свою очередь, способствует созданию более адаптивных и эффективных управленческих стратегий. </w:t>
      </w:r>
    </w:p>
    <w:p w14:paraId="642CD87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Во-вторых, работа предлагает новые методологические подходы для оценки влияния поколений на стиль управления, включая качественные и количественные методы исследования. Это позволяет не только выявить общие тенденции, но и учитывать контекстуальные факторы, такие как отрасль, географическое положение и культурные особенности. </w:t>
      </w:r>
    </w:p>
    <w:p w14:paraId="2779BA8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В-третьих, исследование акцентирует внимание на практических аспектах применения полученных результатов в реальных организациях. Оно предлагает рекомендации по разработке инклюзивных управленческих моделей, которые учитывают потребности и ожидания различных возрастных групп, что способствует повышению уровня вовлеченности сотрудников и улучшению общей атмосферы в коллективе. </w:t>
      </w:r>
    </w:p>
    <w:p w14:paraId="03F5B0B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Таким образом, научная новизна данной темы заключается в создании комплексной модели взаимодействия поколений и стилей управления, что открывает новые горизонты для дальнейших исследований и практического применения в области управления человеческими ресурсами.</w:t>
      </w:r>
    </w:p>
    <w:p w14:paraId="03888CD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Введение:</w:t>
      </w:r>
      <w:r w:rsidRPr="00877DE5">
        <w:rPr>
          <w:rFonts w:ascii="Times New Roman" w:eastAsia="Times New Roman" w:hAnsi="Times New Roman" w:cs="Times New Roman"/>
          <w:b/>
          <w:sz w:val="32"/>
          <w:szCs w:val="32"/>
          <w:lang w:eastAsia="ru-RU"/>
        </w:rPr>
        <w:t xml:space="preserve"> </w:t>
      </w:r>
      <w:r w:rsidRPr="00877DE5">
        <w:rPr>
          <w:rFonts w:ascii="Times New Roman" w:eastAsia="Times New Roman" w:hAnsi="Times New Roman" w:cs="Times New Roman"/>
          <w:sz w:val="32"/>
          <w:szCs w:val="32"/>
          <w:lang w:eastAsia="ru-RU"/>
        </w:rPr>
        <w:t xml:space="preserve">Современный рынок труда претерпевает значительные изменения в демографическом составе работников. Появление новых поколений с уникальными взглядами и подходами к работе требует пересмотра традиционных стилей управления. Каждое поколение приносит свои ценности и ожидания, что создает как возможности, так </w:t>
      </w:r>
      <w:r w:rsidRPr="00877DE5">
        <w:rPr>
          <w:rFonts w:ascii="Times New Roman" w:eastAsia="Times New Roman" w:hAnsi="Times New Roman" w:cs="Times New Roman"/>
          <w:sz w:val="32"/>
          <w:szCs w:val="32"/>
          <w:lang w:eastAsia="ru-RU"/>
        </w:rPr>
        <w:lastRenderedPageBreak/>
        <w:t>и вызовы для управленцев. В этом реферате мы исследуем влияние различных поколений на стиль управления, опираясь на теоретические концепции и практические примеры.</w:t>
      </w:r>
    </w:p>
    <w:p w14:paraId="288F9DF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Характеристика поколений: </w:t>
      </w:r>
    </w:p>
    <w:p w14:paraId="28AD189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Особенности Поколения определяются не только по возрастным рамкам, но и по культурным и социальным условиям, в которых они росли. В большинстве случаев выделяют следующие группы: </w:t>
      </w:r>
    </w:p>
    <w:p w14:paraId="1394B08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Бэби-бумеры (1946-1964): выросли в послевоенное время, ценят стабильность и лояльность к работодателю. </w:t>
      </w:r>
    </w:p>
    <w:p w14:paraId="4A45A8F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Поколение X (1965-1980): характеризуется независимостью и прагматизмом. </w:t>
      </w:r>
    </w:p>
    <w:p w14:paraId="6D70488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Миллениалы (1981-1996): известны своей технологичностью и стремлением к самовыражению. </w:t>
      </w:r>
    </w:p>
    <w:p w14:paraId="079C18E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Поколение Z (1997-2012): выросли с интернетом и социальными сетями, ценят разнообразие и инклюзивность.</w:t>
      </w:r>
    </w:p>
    <w:p w14:paraId="0A73002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Каждое поколение имеет свои отличительные черты: </w:t>
      </w:r>
    </w:p>
    <w:p w14:paraId="78D9832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Бэби-бумеры: трудолюбивы, предпочитают традиционные методы работы и четкую иерархию. </w:t>
      </w:r>
    </w:p>
    <w:p w14:paraId="4B8A393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Поколение X: ценит баланс между работой и личной жизнью, ищет гибкость. </w:t>
      </w:r>
    </w:p>
    <w:p w14:paraId="10C244DC"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Миллениалы: стремятся к смыслу в работе, активно используют технологии. </w:t>
      </w:r>
    </w:p>
    <w:p w14:paraId="07D856C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Поколение Z: ориентированы на результат, высоко ценят личные связи и командную работу.</w:t>
      </w:r>
    </w:p>
    <w:p w14:paraId="11860C9A" w14:textId="77777777" w:rsidR="00877DE5" w:rsidRPr="00877DE5" w:rsidRDefault="00877DE5" w:rsidP="00067100">
      <w:pPr>
        <w:spacing w:after="0" w:line="240" w:lineRule="auto"/>
        <w:ind w:firstLine="709"/>
        <w:jc w:val="both"/>
        <w:rPr>
          <w:rFonts w:ascii="Times New Roman" w:eastAsia="MS Gothic"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Влияние поколений на управленческие подходы </w:t>
      </w:r>
    </w:p>
    <w:p w14:paraId="5E9E3088" w14:textId="77777777" w:rsidR="00877DE5" w:rsidRPr="00877DE5" w:rsidRDefault="00877DE5" w:rsidP="00067100">
      <w:pPr>
        <w:spacing w:after="0" w:line="240" w:lineRule="auto"/>
        <w:ind w:firstLine="709"/>
        <w:jc w:val="both"/>
        <w:rPr>
          <w:rFonts w:ascii="Times New Roman" w:eastAsia="MS Gothic"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Бэби-бумеры часто предпочитают авторитарный стиль управления, обеспечивающий четкую структуру и контроль. Примером может служить компания IBM в 1980-х годах, где руководство придерживалось жесткой иерархии. </w:t>
      </w:r>
    </w:p>
    <w:p w14:paraId="75B8C14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Поколение X склонно к трансформационному стилю управления, акцентирующему внимание на мотивации сотрудников и их вовлеченности. Примером служит компания Google, которая внедряет инновационные подходы к управлению, учитывающие потребности сотрудников</w:t>
      </w:r>
    </w:p>
    <w:p w14:paraId="4BDB7B89" w14:textId="77777777" w:rsidR="00877DE5" w:rsidRPr="00877DE5" w:rsidRDefault="00877DE5" w:rsidP="00067100">
      <w:pPr>
        <w:spacing w:after="0" w:line="240" w:lineRule="auto"/>
        <w:ind w:firstLine="709"/>
        <w:jc w:val="both"/>
        <w:rPr>
          <w:rFonts w:ascii="Times New Roman" w:eastAsia="MS Gothic"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Миллениалы предпочитают демократический стиль управления, где их мнения принимаются во внимание при принятии решений. Starbucks является ярким примером компании, активно вовлекающей своих сотрудников в обсуждение новых идей и инициатив. </w:t>
      </w:r>
    </w:p>
    <w:p w14:paraId="3E1F203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lastRenderedPageBreak/>
        <w:t xml:space="preserve">Поколение Z требует гибкости в управлении и адаптации к быстро меняющимся условиям. Стартапы в области технологий являются хорошим примером компаний, работающих по принципам Agile.  </w:t>
      </w:r>
    </w:p>
    <w:p w14:paraId="4B22E772"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Практические примеры влияния поколений на управление</w:t>
      </w:r>
    </w:p>
    <w:p w14:paraId="1515CC9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Ярким примером межпоколенческого конфликта является ситуация в крупных корпорациях, где Бэби-бумеры могут не понимать стремление Миллениалов к гибкости и самовыражению. Это может привести к недопониманию и снижению морального духа команды.</w:t>
      </w:r>
    </w:p>
    <w:p w14:paraId="005798D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Например, Бэби-бумеры могут считать отсутствие строгих правил работы недостатком дисциплины у молодых сотрудников.</w:t>
      </w:r>
    </w:p>
    <w:p w14:paraId="3B8E9EC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Успешные стратегии управления Компании внедряют программы наставничества, где более опытные сотрудники помогают молодым специалистам адаптироваться к корпоративной культуре, что способствует снижению конфликтов между поколениями. Программы обратной связи также помогают создать открытый диалог между различными возрастными группами.</w:t>
      </w:r>
    </w:p>
    <w:p w14:paraId="696F41F7"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Эффективные стратегии управления многообразием поколений </w:t>
      </w:r>
    </w:p>
    <w:p w14:paraId="6C4295F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Обучение и развитие </w:t>
      </w:r>
    </w:p>
    <w:p w14:paraId="51811560" w14:textId="77777777" w:rsidR="00877DE5" w:rsidRPr="00877DE5" w:rsidRDefault="00877DE5" w:rsidP="00067100">
      <w:pPr>
        <w:spacing w:after="0" w:line="240" w:lineRule="auto"/>
        <w:ind w:firstLine="709"/>
        <w:jc w:val="both"/>
        <w:rPr>
          <w:rFonts w:ascii="Times New Roman" w:eastAsia="MS Gothic"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Организации должны инвестировать в обучение сотрудников о различиях между поколениями. Это может включать тренинги по межпоколенческой коммуникации и совместной работе. Применение коучинга может помочь сотрудникам лучше понять друг друга. </w:t>
      </w:r>
    </w:p>
    <w:p w14:paraId="601DF77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Гибкие рабочие условия </w:t>
      </w:r>
    </w:p>
    <w:p w14:paraId="78AC5AA9" w14:textId="77777777" w:rsidR="00877DE5" w:rsidRPr="00877DE5" w:rsidRDefault="00877DE5" w:rsidP="00067100">
      <w:pPr>
        <w:spacing w:after="0" w:line="240" w:lineRule="auto"/>
        <w:ind w:firstLine="709"/>
        <w:jc w:val="both"/>
        <w:rPr>
          <w:rFonts w:ascii="Times New Roman" w:eastAsia="MS Gothic"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Создание гибких условий труда поможет удовлетворить потребности различных поколений. Например, возможность удаленной работы или гибкого графика может быть привлекательной для всех возрастных групп. Это также может повысить уровень удовлетворенности работой. </w:t>
      </w:r>
    </w:p>
    <w:p w14:paraId="071F06F3"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Вовлечение сотрудников </w:t>
      </w:r>
    </w:p>
    <w:p w14:paraId="4C5A4E0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Важно активно вовлекать сотрудников всех возрастов в процесс принятия решений. Это не только повысит уровень удовлетворенности работой, но и поможет использовать разнообразие мнений для улучшения результатов. Проведение регулярных опросов среди сотрудников может помочь выявить их потребности и предпочтения. </w:t>
      </w:r>
    </w:p>
    <w:p w14:paraId="3F6F38E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Наставничество и обратная связь </w:t>
      </w:r>
    </w:p>
    <w:p w14:paraId="28E6ED2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Создание программ наставничества позволит более опытным сотрудникам делиться знаниями с молодыми специалистами, а также даст возможность молодым работникам предлагать новые идеи и </w:t>
      </w:r>
      <w:r w:rsidRPr="00877DE5">
        <w:rPr>
          <w:rFonts w:ascii="Times New Roman" w:eastAsia="Times New Roman" w:hAnsi="Times New Roman" w:cs="Times New Roman"/>
          <w:sz w:val="32"/>
          <w:szCs w:val="32"/>
          <w:lang w:eastAsia="ru-RU"/>
        </w:rPr>
        <w:lastRenderedPageBreak/>
        <w:t>свежий взгляд на процессы. Регулярные встречи для обмена мнениями могут укрепить командный дух.</w:t>
      </w:r>
    </w:p>
    <w:p w14:paraId="3E23E474"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Заключение. Влияние различных поколений на стиль управления является важной темой для изучения в условиях современного бизнеса. Понимание различий между поколениями позволяет менеджерам адаптировать свои подходы к управлению и создавать более эффективные команды. Успешные компании уже осознали важность межпоколенческого взаимодействия и внедряют стратегии, способствующие гармоничному сосуществованию различных групп сотрудников</w:t>
      </w:r>
    </w:p>
    <w:p w14:paraId="02000B57"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p>
    <w:p w14:paraId="56BFA9DF" w14:textId="77777777" w:rsidR="00877DE5" w:rsidRPr="00877DE5" w:rsidRDefault="00877DE5" w:rsidP="00067100">
      <w:pPr>
        <w:tabs>
          <w:tab w:val="left" w:pos="0"/>
        </w:tabs>
        <w:suppressAutoHyphens/>
        <w:autoSpaceDE w:val="0"/>
        <w:spacing w:after="0" w:line="240" w:lineRule="auto"/>
        <w:ind w:left="360" w:firstLine="709"/>
        <w:jc w:val="center"/>
        <w:rPr>
          <w:rFonts w:ascii="Times New Roman" w:eastAsia="Times New Roman" w:hAnsi="Times New Roman" w:cs="Times New Roman"/>
          <w:b/>
          <w:sz w:val="21"/>
          <w:szCs w:val="21"/>
          <w:lang w:val="x-none" w:eastAsia="ar-SA"/>
        </w:rPr>
      </w:pPr>
      <w:r w:rsidRPr="00877DE5">
        <w:rPr>
          <w:rFonts w:ascii="Times New Roman" w:eastAsia="Times New Roman" w:hAnsi="Times New Roman" w:cs="Times New Roman"/>
          <w:b/>
          <w:sz w:val="21"/>
          <w:szCs w:val="21"/>
          <w:lang w:val="x-none" w:eastAsia="ar-SA"/>
        </w:rPr>
        <w:t>Литература:</w:t>
      </w:r>
    </w:p>
    <w:p w14:paraId="11E4C2BB" w14:textId="77777777" w:rsidR="00877DE5" w:rsidRPr="00877DE5" w:rsidRDefault="00877DE5" w:rsidP="00AD58CD">
      <w:pPr>
        <w:numPr>
          <w:ilvl w:val="0"/>
          <w:numId w:val="66"/>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Долгих А. В. Управление поколениями: Как эффективно работать с разными возрастными группами. - М: КноРус, 2018г.</w:t>
      </w:r>
    </w:p>
    <w:p w14:paraId="100F4DF0" w14:textId="77777777" w:rsidR="00877DE5" w:rsidRPr="00877DE5" w:rsidRDefault="00877DE5" w:rsidP="00AD58CD">
      <w:pPr>
        <w:numPr>
          <w:ilvl w:val="0"/>
          <w:numId w:val="66"/>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Кравченко А. В. Проблемы и перспективы управления межпоколенческими конфликтами в организациях. - Санкт-Петербург, «Питер» 2017г.</w:t>
      </w:r>
    </w:p>
    <w:p w14:paraId="362DA709" w14:textId="77777777" w:rsidR="00877DE5" w:rsidRPr="00877DE5" w:rsidRDefault="00877DE5" w:rsidP="00AD58CD">
      <w:pPr>
        <w:numPr>
          <w:ilvl w:val="0"/>
          <w:numId w:val="66"/>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Лебедева И. А. Психология поколений: Как различия в возрасте влияют на стиль управления. - Екатеринбург: Издательство Уральского университета, 2019г.</w:t>
      </w:r>
    </w:p>
    <w:p w14:paraId="106DDC9D" w14:textId="77777777" w:rsidR="00877DE5" w:rsidRPr="00877DE5" w:rsidRDefault="00877DE5" w:rsidP="00AD58CD">
      <w:pPr>
        <w:numPr>
          <w:ilvl w:val="0"/>
          <w:numId w:val="66"/>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Федотова Н. В. Поколенческий менеджмент: Новые подходы к управлению персоналом. М: Издательство «Альпина Паблишер», 2020г</w:t>
      </w:r>
    </w:p>
    <w:p w14:paraId="61B52C6E" w14:textId="77777777" w:rsidR="005E4E3D" w:rsidRPr="0057345B" w:rsidRDefault="00877DE5" w:rsidP="00AD58CD">
      <w:pPr>
        <w:numPr>
          <w:ilvl w:val="0"/>
          <w:numId w:val="66"/>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Соловьев, В. И. Управление поколениями в организации: Как находить общий язык с разными возрастными группами. Новосибирск: Издательство «Сибирское университетское издательство», 2016г</w:t>
      </w:r>
      <w:r w:rsidRPr="00877DE5">
        <w:rPr>
          <w:rFonts w:ascii="Times New Roman" w:eastAsia="Times New Roman" w:hAnsi="Times New Roman" w:cs="Times New Roman"/>
          <w:sz w:val="32"/>
          <w:szCs w:val="32"/>
          <w:lang w:val="x-none" w:eastAsia="ru-RU"/>
        </w:rPr>
        <w:t xml:space="preserve"> </w:t>
      </w:r>
    </w:p>
    <w:p w14:paraId="7E76570B" w14:textId="77777777" w:rsidR="005E4E3D" w:rsidRDefault="005E4E3D" w:rsidP="005E4E3D">
      <w:pPr>
        <w:tabs>
          <w:tab w:val="left" w:pos="0"/>
        </w:tabs>
        <w:suppressAutoHyphens/>
        <w:autoSpaceDE w:val="0"/>
        <w:spacing w:after="0" w:line="240" w:lineRule="auto"/>
        <w:ind w:left="709"/>
        <w:jc w:val="both"/>
        <w:rPr>
          <w:rFonts w:ascii="Times New Roman" w:eastAsia="Times New Roman" w:hAnsi="Times New Roman" w:cs="Times New Roman"/>
          <w:sz w:val="21"/>
          <w:szCs w:val="21"/>
          <w:lang w:val="x-none" w:eastAsia="ar-SA"/>
        </w:rPr>
      </w:pPr>
    </w:p>
    <w:p w14:paraId="1CF62E18" w14:textId="77777777" w:rsidR="005E4E3D" w:rsidRPr="0057345B" w:rsidRDefault="005E4E3D" w:rsidP="005E5ED0">
      <w:pPr>
        <w:jc w:val="both"/>
        <w:rPr>
          <w:rFonts w:ascii="Times New Roman" w:hAnsi="Times New Roman" w:cs="Times New Roman"/>
          <w:b/>
          <w:color w:val="000000"/>
          <w:sz w:val="21"/>
          <w:szCs w:val="21"/>
        </w:rPr>
      </w:pPr>
      <w:r w:rsidRPr="0057345B">
        <w:rPr>
          <w:rFonts w:ascii="Times New Roman" w:hAnsi="Times New Roman" w:cs="Times New Roman"/>
          <w:b/>
          <w:color w:val="000000"/>
          <w:sz w:val="21"/>
          <w:szCs w:val="21"/>
        </w:rPr>
        <w:t xml:space="preserve">УДК 659.127.4 </w:t>
      </w:r>
    </w:p>
    <w:p w14:paraId="2B53142E" w14:textId="77777777"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eastAsia="ru-RU"/>
        </w:rPr>
      </w:pPr>
      <w:r w:rsidRPr="005E4E3D">
        <w:rPr>
          <w:rFonts w:ascii="Times New Roman" w:eastAsia="Times New Roman" w:hAnsi="Times New Roman" w:cs="Times New Roman"/>
          <w:b/>
          <w:i/>
          <w:color w:val="000000"/>
          <w:sz w:val="20"/>
          <w:szCs w:val="21"/>
          <w:lang w:eastAsia="ru-RU"/>
        </w:rPr>
        <w:t xml:space="preserve">Лагошина Е.А., </w:t>
      </w:r>
    </w:p>
    <w:p w14:paraId="2D39EACD" w14:textId="77777777" w:rsidR="005E4E3D" w:rsidRPr="005E4E3D" w:rsidRDefault="005E4E3D" w:rsidP="005E4E3D">
      <w:pPr>
        <w:spacing w:after="0" w:line="240" w:lineRule="auto"/>
        <w:jc w:val="right"/>
        <w:rPr>
          <w:rFonts w:ascii="Times New Roman" w:eastAsia="Times New Roman" w:hAnsi="Times New Roman" w:cs="Times New Roman"/>
          <w:i/>
          <w:color w:val="000000"/>
          <w:sz w:val="20"/>
          <w:szCs w:val="21"/>
          <w:lang w:eastAsia="ru-RU"/>
        </w:rPr>
      </w:pPr>
      <w:r w:rsidRPr="005E4E3D">
        <w:rPr>
          <w:rFonts w:ascii="Times New Roman" w:eastAsia="Times New Roman" w:hAnsi="Times New Roman" w:cs="Times New Roman"/>
          <w:i/>
          <w:color w:val="000000"/>
          <w:sz w:val="20"/>
          <w:szCs w:val="21"/>
          <w:lang w:eastAsia="ru-RU"/>
        </w:rPr>
        <w:t xml:space="preserve">студент 3 курса </w:t>
      </w:r>
    </w:p>
    <w:p w14:paraId="21F175E5" w14:textId="77777777" w:rsidR="005E4E3D" w:rsidRPr="005E4E3D" w:rsidRDefault="005E4E3D" w:rsidP="005E4E3D">
      <w:pPr>
        <w:spacing w:after="0" w:line="240" w:lineRule="auto"/>
        <w:jc w:val="right"/>
        <w:rPr>
          <w:rFonts w:ascii="Times New Roman" w:eastAsia="Times New Roman" w:hAnsi="Times New Roman" w:cs="Times New Roman"/>
          <w:i/>
          <w:color w:val="000000"/>
          <w:sz w:val="20"/>
          <w:szCs w:val="21"/>
          <w:lang w:eastAsia="ru-RU"/>
        </w:rPr>
      </w:pPr>
      <w:r w:rsidRPr="005E4E3D">
        <w:rPr>
          <w:rFonts w:ascii="Times New Roman" w:eastAsia="Times New Roman" w:hAnsi="Times New Roman" w:cs="Times New Roman"/>
          <w:i/>
          <w:color w:val="000000"/>
          <w:sz w:val="20"/>
          <w:szCs w:val="21"/>
          <w:lang w:eastAsia="ru-RU"/>
        </w:rPr>
        <w:t>Финансовый университет при Правительстве РФ Краснодарский филиал</w:t>
      </w:r>
    </w:p>
    <w:p w14:paraId="4744873E" w14:textId="77777777" w:rsidR="005E4E3D" w:rsidRPr="005E4E3D" w:rsidRDefault="005E4E3D" w:rsidP="005E4E3D">
      <w:pPr>
        <w:spacing w:after="0" w:line="240" w:lineRule="auto"/>
        <w:jc w:val="right"/>
        <w:rPr>
          <w:rFonts w:ascii="Times New Roman" w:eastAsia="Times New Roman" w:hAnsi="Times New Roman" w:cs="Times New Roman"/>
          <w:i/>
          <w:color w:val="000000"/>
          <w:sz w:val="20"/>
          <w:szCs w:val="21"/>
          <w:lang w:eastAsia="ru-RU"/>
        </w:rPr>
      </w:pPr>
      <w:r w:rsidRPr="005E4E3D">
        <w:rPr>
          <w:rFonts w:ascii="Times New Roman" w:eastAsia="Times New Roman" w:hAnsi="Times New Roman" w:cs="Times New Roman"/>
          <w:i/>
          <w:color w:val="000000"/>
          <w:sz w:val="20"/>
          <w:szCs w:val="21"/>
          <w:lang w:eastAsia="ru-RU"/>
        </w:rPr>
        <w:t>г. Краснодар, Россия</w:t>
      </w:r>
    </w:p>
    <w:p w14:paraId="2B052014" w14:textId="77777777" w:rsidR="005E4E3D" w:rsidRPr="005E4E3D" w:rsidRDefault="005E4E3D" w:rsidP="005E4E3D">
      <w:pPr>
        <w:spacing w:after="0" w:line="240" w:lineRule="auto"/>
        <w:jc w:val="right"/>
        <w:rPr>
          <w:rFonts w:ascii="Times New Roman" w:eastAsia="Times New Roman" w:hAnsi="Times New Roman" w:cs="Times New Roman"/>
          <w:i/>
          <w:color w:val="000000"/>
          <w:sz w:val="20"/>
          <w:szCs w:val="21"/>
          <w:lang w:eastAsia="ru-RU"/>
        </w:rPr>
      </w:pPr>
      <w:r w:rsidRPr="005E4E3D">
        <w:rPr>
          <w:rFonts w:ascii="Times New Roman" w:eastAsia="Times New Roman" w:hAnsi="Times New Roman" w:cs="Times New Roman"/>
          <w:i/>
          <w:color w:val="000000"/>
          <w:sz w:val="20"/>
          <w:szCs w:val="21"/>
          <w:lang w:eastAsia="ru-RU"/>
        </w:rPr>
        <w:t xml:space="preserve">е-mail: </w:t>
      </w:r>
      <w:r w:rsidRPr="005E4E3D">
        <w:rPr>
          <w:rFonts w:ascii="Times New Roman" w:eastAsia="Times New Roman" w:hAnsi="Times New Roman" w:cs="Times New Roman"/>
          <w:color w:val="000000"/>
          <w:sz w:val="20"/>
          <w:lang w:eastAsia="ru-RU"/>
        </w:rPr>
        <w:t xml:space="preserve">elenalagoshina12@gmail.com </w:t>
      </w:r>
    </w:p>
    <w:p w14:paraId="7EAC6ED6" w14:textId="77777777" w:rsidR="005E4E3D" w:rsidRPr="005D2A8F" w:rsidRDefault="005E4E3D" w:rsidP="005E4E3D">
      <w:pPr>
        <w:spacing w:after="0" w:line="240" w:lineRule="auto"/>
        <w:jc w:val="right"/>
        <w:rPr>
          <w:rFonts w:ascii="Times New Roman" w:eastAsia="Times New Roman" w:hAnsi="Times New Roman" w:cs="Times New Roman"/>
          <w:i/>
          <w:sz w:val="21"/>
          <w:szCs w:val="21"/>
          <w:lang w:eastAsia="ru-RU"/>
        </w:rPr>
      </w:pPr>
    </w:p>
    <w:p w14:paraId="38250433" w14:textId="77777777"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eastAsia="ru-RU"/>
        </w:rPr>
      </w:pPr>
      <w:r w:rsidRPr="005E4E3D">
        <w:rPr>
          <w:rFonts w:ascii="Times New Roman" w:eastAsia="Times New Roman" w:hAnsi="Times New Roman" w:cs="Times New Roman"/>
          <w:b/>
          <w:i/>
          <w:color w:val="000000"/>
          <w:sz w:val="20"/>
          <w:szCs w:val="21"/>
          <w:lang w:eastAsia="ru-RU"/>
        </w:rPr>
        <w:t>Научный руководитель:</w:t>
      </w:r>
    </w:p>
    <w:p w14:paraId="7F1EE720" w14:textId="77777777"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eastAsia="ru-RU"/>
        </w:rPr>
      </w:pPr>
      <w:r w:rsidRPr="005E4E3D">
        <w:rPr>
          <w:rFonts w:ascii="Times New Roman" w:eastAsia="Times New Roman" w:hAnsi="Times New Roman" w:cs="Times New Roman"/>
          <w:b/>
          <w:i/>
          <w:color w:val="000000"/>
          <w:sz w:val="20"/>
          <w:szCs w:val="21"/>
          <w:lang w:eastAsia="ru-RU"/>
        </w:rPr>
        <w:t>Мазунина М.В.,</w:t>
      </w:r>
    </w:p>
    <w:p w14:paraId="5F95A538"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eastAsia="ru-RU"/>
        </w:rPr>
      </w:pPr>
      <w:r w:rsidRPr="005E4E3D">
        <w:rPr>
          <w:rFonts w:ascii="Times New Roman" w:eastAsia="Times New Roman" w:hAnsi="Times New Roman" w:cs="Times New Roman"/>
          <w:i/>
          <w:color w:val="000000"/>
          <w:sz w:val="21"/>
          <w:szCs w:val="21"/>
          <w:lang w:eastAsia="ru-RU"/>
        </w:rPr>
        <w:t xml:space="preserve"> доцент, к.э.н.</w:t>
      </w:r>
    </w:p>
    <w:p w14:paraId="0AF03315"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eastAsia="ru-RU"/>
        </w:rPr>
      </w:pPr>
      <w:r w:rsidRPr="005E4E3D">
        <w:rPr>
          <w:rFonts w:ascii="Times New Roman" w:eastAsia="Times New Roman" w:hAnsi="Times New Roman" w:cs="Times New Roman"/>
          <w:i/>
          <w:color w:val="000000"/>
          <w:sz w:val="21"/>
          <w:szCs w:val="21"/>
          <w:lang w:eastAsia="ru-RU"/>
        </w:rPr>
        <w:t>Финансовый университет при Правительстве РФ Краснодарский филиал</w:t>
      </w:r>
    </w:p>
    <w:p w14:paraId="3BE46906"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eastAsia="ru-RU"/>
        </w:rPr>
      </w:pPr>
      <w:r w:rsidRPr="005E4E3D">
        <w:rPr>
          <w:rFonts w:ascii="Times New Roman" w:eastAsia="Times New Roman" w:hAnsi="Times New Roman" w:cs="Times New Roman"/>
          <w:i/>
          <w:color w:val="000000"/>
          <w:sz w:val="21"/>
          <w:szCs w:val="21"/>
          <w:lang w:eastAsia="ru-RU"/>
        </w:rPr>
        <w:t>г. Краснодар, Россия</w:t>
      </w:r>
    </w:p>
    <w:p w14:paraId="449DCE17"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eastAsia="ru-RU"/>
        </w:rPr>
      </w:pPr>
      <w:r w:rsidRPr="005E4E3D">
        <w:rPr>
          <w:rFonts w:ascii="Times New Roman" w:eastAsia="Times New Roman" w:hAnsi="Times New Roman" w:cs="Times New Roman"/>
          <w:i/>
          <w:color w:val="000000"/>
          <w:sz w:val="21"/>
          <w:szCs w:val="21"/>
          <w:lang w:eastAsia="ru-RU"/>
        </w:rPr>
        <w:t xml:space="preserve">е-mail: </w:t>
      </w:r>
      <w:hyperlink r:id="rId328" w:history="1">
        <w:r w:rsidRPr="005E4E3D">
          <w:rPr>
            <w:rFonts w:ascii="Times New Roman" w:eastAsia="Times New Roman" w:hAnsi="Times New Roman" w:cs="Times New Roman"/>
            <w:i/>
            <w:color w:val="000000"/>
            <w:sz w:val="21"/>
            <w:szCs w:val="21"/>
            <w:lang w:eastAsia="ru-RU"/>
          </w:rPr>
          <w:t xml:space="preserve">mvmazunina@fa.ru </w:t>
        </w:r>
      </w:hyperlink>
    </w:p>
    <w:p w14:paraId="74F82A0F" w14:textId="77777777" w:rsidR="005E4E3D" w:rsidRPr="005E4E3D" w:rsidRDefault="005E4E3D" w:rsidP="005E4E3D">
      <w:pPr>
        <w:spacing w:after="0" w:line="240" w:lineRule="auto"/>
        <w:jc w:val="center"/>
        <w:rPr>
          <w:rFonts w:ascii="Times New Roman" w:eastAsia="Times New Roman" w:hAnsi="Times New Roman" w:cs="Times New Roman"/>
          <w:b/>
          <w:sz w:val="21"/>
          <w:szCs w:val="21"/>
          <w:lang w:eastAsia="ru-RU"/>
        </w:rPr>
      </w:pPr>
    </w:p>
    <w:p w14:paraId="6F727C41" w14:textId="77777777" w:rsidR="005E4E3D" w:rsidRPr="005E4E3D" w:rsidRDefault="005E4E3D" w:rsidP="005E4E3D">
      <w:pPr>
        <w:spacing w:after="0" w:line="240" w:lineRule="auto"/>
        <w:ind w:firstLine="567"/>
        <w:jc w:val="center"/>
        <w:rPr>
          <w:rFonts w:ascii="Times New Roman" w:eastAsia="Times New Roman" w:hAnsi="Times New Roman" w:cs="Times New Roman"/>
          <w:b/>
          <w:sz w:val="21"/>
          <w:szCs w:val="21"/>
          <w:lang w:eastAsia="ru-RU"/>
        </w:rPr>
      </w:pPr>
      <w:r w:rsidRPr="005E4E3D">
        <w:rPr>
          <w:rFonts w:ascii="Times New Roman" w:eastAsia="Times New Roman" w:hAnsi="Times New Roman" w:cs="Times New Roman"/>
          <w:b/>
          <w:sz w:val="21"/>
          <w:szCs w:val="21"/>
          <w:lang w:eastAsia="ru-RU"/>
        </w:rPr>
        <w:t>Применение эстетического интеллекта в формировании бренда: от визуального к ценностному восприятию</w:t>
      </w:r>
    </w:p>
    <w:p w14:paraId="1615BEBB" w14:textId="77777777" w:rsidR="005E4E3D" w:rsidRPr="005E4E3D" w:rsidRDefault="005E4E3D" w:rsidP="005E4E3D">
      <w:pPr>
        <w:spacing w:after="0" w:line="240" w:lineRule="auto"/>
        <w:ind w:firstLine="567"/>
        <w:jc w:val="both"/>
        <w:rPr>
          <w:rFonts w:ascii="Times New Roman" w:eastAsia="Times New Roman" w:hAnsi="Times New Roman" w:cs="Times New Roman"/>
          <w:b/>
          <w:sz w:val="21"/>
          <w:szCs w:val="21"/>
          <w:lang w:eastAsia="ru-RU"/>
        </w:rPr>
      </w:pPr>
    </w:p>
    <w:p w14:paraId="5B42BBD0" w14:textId="77777777" w:rsidR="005E4E3D" w:rsidRPr="005E4E3D" w:rsidRDefault="005E4E3D" w:rsidP="005E4E3D">
      <w:pPr>
        <w:spacing w:after="0" w:line="240" w:lineRule="auto"/>
        <w:ind w:firstLine="567"/>
        <w:jc w:val="both"/>
        <w:rPr>
          <w:rFonts w:ascii="Times New Roman" w:eastAsia="Times New Roman" w:hAnsi="Times New Roman" w:cs="Times New Roman"/>
          <w:sz w:val="21"/>
          <w:szCs w:val="21"/>
          <w:lang w:eastAsia="ru-RU"/>
        </w:rPr>
      </w:pPr>
      <w:r w:rsidRPr="005E4E3D">
        <w:rPr>
          <w:rFonts w:ascii="Times New Roman" w:eastAsia="Times New Roman" w:hAnsi="Times New Roman" w:cs="Times New Roman"/>
          <w:b/>
          <w:sz w:val="21"/>
          <w:szCs w:val="21"/>
          <w:lang w:eastAsia="ru-RU"/>
        </w:rPr>
        <w:t>Аннотация:</w:t>
      </w:r>
      <w:r w:rsidRPr="005E4E3D">
        <w:rPr>
          <w:rFonts w:ascii="Times New Roman" w:eastAsia="Times New Roman" w:hAnsi="Times New Roman" w:cs="Times New Roman"/>
          <w:i/>
          <w:sz w:val="21"/>
          <w:szCs w:val="21"/>
          <w:lang w:eastAsia="ru-RU"/>
        </w:rPr>
        <w:t xml:space="preserve"> </w:t>
      </w:r>
      <w:r w:rsidRPr="005E4E3D">
        <w:rPr>
          <w:rFonts w:ascii="Times New Roman" w:eastAsia="Times New Roman" w:hAnsi="Times New Roman" w:cs="Times New Roman"/>
          <w:sz w:val="21"/>
          <w:szCs w:val="21"/>
          <w:lang w:eastAsia="ru-RU"/>
        </w:rPr>
        <w:t>В статье рассматриваются теоретические основы и практические подходы к применению эстетического интеллекта в процессе формирования бренда. Особое внимание уделяется переходу от визуального восприятия к формированию ценностной идентичности бренда. На примере реконструкции визуальной концепции бренда «585*Золотой» представлена модель применения эстетических принципов в бренд-дизайне, направленная на повышение эмоционального вовлечения потребителей.</w:t>
      </w:r>
    </w:p>
    <w:p w14:paraId="2A2BF707" w14:textId="77777777" w:rsidR="005E4E3D" w:rsidRPr="005E4E3D" w:rsidRDefault="005E4E3D" w:rsidP="005E4E3D">
      <w:pPr>
        <w:spacing w:after="0" w:line="240" w:lineRule="auto"/>
        <w:ind w:firstLine="567"/>
        <w:jc w:val="both"/>
        <w:rPr>
          <w:rFonts w:ascii="Times New Roman" w:eastAsia="Times New Roman" w:hAnsi="Times New Roman" w:cs="Times New Roman"/>
          <w:sz w:val="21"/>
          <w:szCs w:val="21"/>
          <w:lang w:eastAsia="ru-RU"/>
        </w:rPr>
      </w:pPr>
      <w:r w:rsidRPr="005E4E3D">
        <w:rPr>
          <w:rFonts w:ascii="Times New Roman" w:eastAsia="Times New Roman" w:hAnsi="Times New Roman" w:cs="Times New Roman"/>
          <w:b/>
          <w:sz w:val="21"/>
          <w:szCs w:val="21"/>
          <w:lang w:eastAsia="ru-RU"/>
        </w:rPr>
        <w:t>Ключевые слова:</w:t>
      </w:r>
      <w:r w:rsidRPr="005E4E3D">
        <w:rPr>
          <w:rFonts w:ascii="Times New Roman" w:eastAsia="Times New Roman" w:hAnsi="Times New Roman" w:cs="Times New Roman"/>
          <w:sz w:val="21"/>
          <w:szCs w:val="21"/>
          <w:lang w:eastAsia="ru-RU"/>
        </w:rPr>
        <w:t xml:space="preserve"> эстетический интеллект, брендинг, визуальная айдентика, ценности, восприятие.</w:t>
      </w:r>
    </w:p>
    <w:p w14:paraId="22B8EA93" w14:textId="77777777" w:rsidR="005966E2" w:rsidRDefault="005966E2" w:rsidP="005E4E3D">
      <w:pPr>
        <w:spacing w:after="0" w:line="240" w:lineRule="auto"/>
        <w:jc w:val="right"/>
        <w:rPr>
          <w:rFonts w:ascii="Times New Roman" w:eastAsia="Times New Roman" w:hAnsi="Times New Roman" w:cs="Times New Roman"/>
          <w:b/>
          <w:i/>
          <w:color w:val="000000"/>
          <w:sz w:val="20"/>
          <w:szCs w:val="21"/>
          <w:lang w:eastAsia="ru-RU"/>
        </w:rPr>
      </w:pPr>
    </w:p>
    <w:p w14:paraId="73B08090" w14:textId="46BED9DE"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val="en-US" w:eastAsia="ru-RU"/>
        </w:rPr>
      </w:pPr>
      <w:r w:rsidRPr="005E4E3D">
        <w:rPr>
          <w:rFonts w:ascii="Times New Roman" w:eastAsia="Times New Roman" w:hAnsi="Times New Roman" w:cs="Times New Roman"/>
          <w:b/>
          <w:i/>
          <w:color w:val="000000"/>
          <w:sz w:val="20"/>
          <w:szCs w:val="21"/>
          <w:lang w:val="en-US" w:eastAsia="ru-RU"/>
        </w:rPr>
        <w:t>Lagoshina E.A.,</w:t>
      </w:r>
    </w:p>
    <w:p w14:paraId="5540F6EB"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val="en-US" w:eastAsia="ru-RU"/>
        </w:rPr>
      </w:pPr>
      <w:r w:rsidRPr="005E4E3D">
        <w:rPr>
          <w:rFonts w:ascii="Times New Roman" w:eastAsia="Times New Roman" w:hAnsi="Times New Roman" w:cs="Times New Roman"/>
          <w:i/>
          <w:color w:val="000000"/>
          <w:sz w:val="21"/>
          <w:szCs w:val="21"/>
          <w:lang w:val="en-US" w:eastAsia="ru-RU"/>
        </w:rPr>
        <w:t xml:space="preserve">student, 3 courses </w:t>
      </w:r>
    </w:p>
    <w:p w14:paraId="384D70B6"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val="en-US" w:eastAsia="ru-RU"/>
        </w:rPr>
      </w:pPr>
      <w:r w:rsidRPr="005E4E3D">
        <w:rPr>
          <w:rFonts w:ascii="Times New Roman" w:eastAsia="Times New Roman" w:hAnsi="Times New Roman" w:cs="Times New Roman"/>
          <w:i/>
          <w:color w:val="000000"/>
          <w:sz w:val="21"/>
          <w:szCs w:val="21"/>
          <w:lang w:val="en-US" w:eastAsia="ru-RU"/>
        </w:rPr>
        <w:t>Financial University under the Government of the Russian Federation Krasnodar Branch</w:t>
      </w:r>
    </w:p>
    <w:p w14:paraId="0DE9B9B5"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val="en-US" w:eastAsia="ru-RU"/>
        </w:rPr>
      </w:pPr>
      <w:r w:rsidRPr="005E4E3D">
        <w:rPr>
          <w:rFonts w:ascii="Times New Roman" w:eastAsia="Times New Roman" w:hAnsi="Times New Roman" w:cs="Times New Roman"/>
          <w:i/>
          <w:color w:val="000000"/>
          <w:sz w:val="21"/>
          <w:szCs w:val="21"/>
          <w:lang w:val="en-US" w:eastAsia="ru-RU"/>
        </w:rPr>
        <w:t>Krasnodar, Russia</w:t>
      </w:r>
    </w:p>
    <w:p w14:paraId="5A860216" w14:textId="77777777" w:rsidR="005E4E3D" w:rsidRPr="005E4E3D" w:rsidRDefault="005E4E3D" w:rsidP="005E4E3D">
      <w:pPr>
        <w:spacing w:after="0" w:line="240" w:lineRule="auto"/>
        <w:jc w:val="right"/>
        <w:rPr>
          <w:rFonts w:ascii="Times New Roman" w:eastAsia="Times New Roman" w:hAnsi="Times New Roman" w:cs="Times New Roman"/>
          <w:i/>
          <w:color w:val="000000"/>
          <w:sz w:val="21"/>
          <w:szCs w:val="21"/>
          <w:lang w:val="en-US"/>
        </w:rPr>
      </w:pPr>
      <w:r w:rsidRPr="005E4E3D">
        <w:rPr>
          <w:rFonts w:ascii="Times New Roman" w:eastAsia="Times New Roman" w:hAnsi="Times New Roman" w:cs="Times New Roman"/>
          <w:i/>
          <w:color w:val="000000"/>
          <w:sz w:val="21"/>
          <w:szCs w:val="21"/>
          <w:lang w:eastAsia="ru-RU"/>
        </w:rPr>
        <w:t>е</w:t>
      </w:r>
      <w:r w:rsidRPr="005E4E3D">
        <w:rPr>
          <w:rFonts w:ascii="Times New Roman" w:eastAsia="Times New Roman" w:hAnsi="Times New Roman" w:cs="Times New Roman"/>
          <w:i/>
          <w:color w:val="000000"/>
          <w:sz w:val="21"/>
          <w:szCs w:val="21"/>
          <w:lang w:val="en-US" w:eastAsia="ru-RU"/>
        </w:rPr>
        <w:t>-mail: elenalagoshina12@gmail.com</w:t>
      </w:r>
      <w:r w:rsidRPr="005E4E3D">
        <w:rPr>
          <w:rFonts w:ascii="Times New Roman" w:eastAsia="Calibri" w:hAnsi="Times New Roman" w:cs="Times New Roman"/>
          <w:color w:val="000000"/>
          <w:sz w:val="24"/>
          <w:szCs w:val="24"/>
          <w:lang w:val="en-US"/>
        </w:rPr>
        <w:t xml:space="preserve"> </w:t>
      </w:r>
    </w:p>
    <w:p w14:paraId="620ADBB5" w14:textId="77777777" w:rsidR="005E4E3D" w:rsidRPr="005E4E3D" w:rsidRDefault="005E4E3D" w:rsidP="005E4E3D">
      <w:pPr>
        <w:spacing w:after="0" w:line="240" w:lineRule="auto"/>
        <w:ind w:firstLine="567"/>
        <w:jc w:val="right"/>
        <w:rPr>
          <w:rFonts w:ascii="Times New Roman" w:eastAsia="Times New Roman" w:hAnsi="Times New Roman" w:cs="Times New Roman"/>
          <w:i/>
          <w:sz w:val="21"/>
          <w:szCs w:val="21"/>
          <w:lang w:val="en-US" w:eastAsia="ru-RU"/>
        </w:rPr>
      </w:pPr>
    </w:p>
    <w:p w14:paraId="559BA72A" w14:textId="77777777"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val="en-US" w:eastAsia="ru-RU"/>
        </w:rPr>
      </w:pPr>
      <w:r w:rsidRPr="005E4E3D">
        <w:rPr>
          <w:rFonts w:ascii="Times New Roman" w:eastAsia="Times New Roman" w:hAnsi="Times New Roman" w:cs="Times New Roman"/>
          <w:b/>
          <w:i/>
          <w:color w:val="000000"/>
          <w:sz w:val="20"/>
          <w:szCs w:val="21"/>
          <w:lang w:val="en-US" w:eastAsia="ru-RU"/>
        </w:rPr>
        <w:t>Scientific Adviser:</w:t>
      </w:r>
    </w:p>
    <w:p w14:paraId="4F68CC20" w14:textId="77777777" w:rsidR="005E4E3D" w:rsidRPr="005E4E3D" w:rsidRDefault="005E4E3D" w:rsidP="005E4E3D">
      <w:pPr>
        <w:spacing w:after="0" w:line="240" w:lineRule="auto"/>
        <w:jc w:val="right"/>
        <w:rPr>
          <w:rFonts w:ascii="Times New Roman" w:eastAsia="Times New Roman" w:hAnsi="Times New Roman" w:cs="Times New Roman"/>
          <w:b/>
          <w:i/>
          <w:color w:val="000000"/>
          <w:sz w:val="20"/>
          <w:szCs w:val="21"/>
          <w:lang w:val="en-US" w:eastAsia="ru-RU"/>
        </w:rPr>
      </w:pPr>
      <w:r w:rsidRPr="005E4E3D">
        <w:rPr>
          <w:rFonts w:ascii="Times New Roman" w:eastAsia="Times New Roman" w:hAnsi="Times New Roman" w:cs="Times New Roman"/>
          <w:b/>
          <w:i/>
          <w:color w:val="000000"/>
          <w:sz w:val="20"/>
          <w:szCs w:val="21"/>
          <w:lang w:val="en-US" w:eastAsia="ru-RU"/>
        </w:rPr>
        <w:t>Mazunina M.V.,</w:t>
      </w:r>
    </w:p>
    <w:p w14:paraId="026BC79D" w14:textId="77777777" w:rsidR="005E4E3D" w:rsidRPr="005E4E3D" w:rsidRDefault="005E4E3D" w:rsidP="005E4E3D">
      <w:pPr>
        <w:spacing w:after="0" w:line="240" w:lineRule="auto"/>
        <w:ind w:firstLine="567"/>
        <w:jc w:val="right"/>
        <w:rPr>
          <w:rFonts w:ascii="Times New Roman" w:eastAsia="Calibri" w:hAnsi="Times New Roman" w:cs="Times New Roman"/>
          <w:i/>
          <w:iCs/>
          <w:kern w:val="2"/>
          <w:sz w:val="21"/>
          <w:szCs w:val="21"/>
          <w:shd w:val="clear" w:color="auto" w:fill="FFFFFF"/>
          <w:lang w:val="en-US"/>
          <w14:ligatures w14:val="standardContextual"/>
        </w:rPr>
      </w:pPr>
      <w:r w:rsidRPr="005E4E3D">
        <w:rPr>
          <w:rFonts w:ascii="Times New Roman" w:eastAsia="Calibri" w:hAnsi="Times New Roman" w:cs="Times New Roman"/>
          <w:i/>
          <w:iCs/>
          <w:kern w:val="2"/>
          <w:sz w:val="21"/>
          <w:szCs w:val="21"/>
          <w:shd w:val="clear" w:color="auto" w:fill="FFFFFF"/>
          <w:lang w:val="en-US"/>
          <w14:ligatures w14:val="standardContextual"/>
        </w:rPr>
        <w:t>Associate Professor, Candidate of Economics</w:t>
      </w:r>
    </w:p>
    <w:p w14:paraId="7BD5794B" w14:textId="77777777" w:rsidR="005E4E3D" w:rsidRPr="005E4E3D" w:rsidRDefault="005E4E3D" w:rsidP="005E4E3D">
      <w:pPr>
        <w:spacing w:after="0" w:line="240" w:lineRule="auto"/>
        <w:ind w:firstLine="567"/>
        <w:jc w:val="right"/>
        <w:rPr>
          <w:rFonts w:ascii="Times New Roman" w:eastAsia="Times New Roman" w:hAnsi="Times New Roman" w:cs="Times New Roman"/>
          <w:i/>
          <w:sz w:val="21"/>
          <w:szCs w:val="21"/>
          <w:lang w:val="en-US" w:eastAsia="ru-RU"/>
        </w:rPr>
      </w:pPr>
      <w:r w:rsidRPr="005E4E3D">
        <w:rPr>
          <w:rFonts w:ascii="Times New Roman" w:eastAsia="Times New Roman" w:hAnsi="Times New Roman" w:cs="Times New Roman"/>
          <w:i/>
          <w:sz w:val="21"/>
          <w:szCs w:val="21"/>
          <w:lang w:val="en-US" w:eastAsia="ru-RU"/>
        </w:rPr>
        <w:t>Financial University under the Government of the Russian Federation Krasnodar Branch</w:t>
      </w:r>
    </w:p>
    <w:p w14:paraId="479B3958" w14:textId="77777777" w:rsidR="005E4E3D" w:rsidRPr="005E4E3D" w:rsidRDefault="005E4E3D" w:rsidP="005E4E3D">
      <w:pPr>
        <w:spacing w:after="0" w:line="240" w:lineRule="auto"/>
        <w:ind w:firstLine="567"/>
        <w:jc w:val="right"/>
        <w:textAlignment w:val="baseline"/>
        <w:rPr>
          <w:rFonts w:ascii="Times New Roman" w:eastAsia="Times New Roman" w:hAnsi="Times New Roman" w:cs="Times New Roman"/>
          <w:i/>
          <w:sz w:val="21"/>
          <w:szCs w:val="21"/>
          <w:lang w:val="en-US" w:eastAsia="ru-RU"/>
        </w:rPr>
      </w:pPr>
      <w:r w:rsidRPr="005E4E3D">
        <w:rPr>
          <w:rFonts w:ascii="Times New Roman" w:eastAsia="Times New Roman" w:hAnsi="Times New Roman" w:cs="Times New Roman"/>
          <w:i/>
          <w:sz w:val="21"/>
          <w:szCs w:val="21"/>
          <w:lang w:val="en-US" w:eastAsia="ru-RU"/>
        </w:rPr>
        <w:t>Krasnodar, Russia</w:t>
      </w:r>
    </w:p>
    <w:p w14:paraId="28F3C28E" w14:textId="77777777" w:rsidR="005E4E3D" w:rsidRPr="005E4E3D" w:rsidRDefault="005E4E3D" w:rsidP="005E4E3D">
      <w:pPr>
        <w:spacing w:after="0" w:line="240" w:lineRule="auto"/>
        <w:jc w:val="right"/>
        <w:textAlignment w:val="baseline"/>
        <w:rPr>
          <w:rFonts w:ascii="Times New Roman" w:eastAsia="Times New Roman" w:hAnsi="Times New Roman" w:cs="Times New Roman"/>
          <w:i/>
          <w:sz w:val="21"/>
          <w:szCs w:val="21"/>
          <w:lang w:val="en-US" w:eastAsia="ru-RU"/>
        </w:rPr>
      </w:pPr>
      <w:r w:rsidRPr="005E4E3D">
        <w:rPr>
          <w:rFonts w:ascii="Times New Roman" w:eastAsia="Times New Roman" w:hAnsi="Times New Roman" w:cs="Times New Roman"/>
          <w:i/>
          <w:sz w:val="21"/>
          <w:szCs w:val="21"/>
          <w:lang w:eastAsia="ru-RU"/>
        </w:rPr>
        <w:t>е</w:t>
      </w:r>
      <w:r w:rsidRPr="005E4E3D">
        <w:rPr>
          <w:rFonts w:ascii="Times New Roman" w:eastAsia="Times New Roman" w:hAnsi="Times New Roman" w:cs="Times New Roman"/>
          <w:i/>
          <w:sz w:val="21"/>
          <w:szCs w:val="21"/>
          <w:lang w:val="en-US" w:eastAsia="ru-RU"/>
        </w:rPr>
        <w:t xml:space="preserve">-mail: </w:t>
      </w:r>
      <w:hyperlink r:id="rId329" w:history="1">
        <w:r w:rsidRPr="005E4E3D">
          <w:rPr>
            <w:rFonts w:ascii="Times New Roman" w:eastAsia="Times New Roman" w:hAnsi="Times New Roman" w:cs="Times New Roman"/>
            <w:i/>
            <w:color w:val="0563C1"/>
            <w:sz w:val="21"/>
            <w:szCs w:val="21"/>
            <w:u w:val="single"/>
            <w:lang w:val="en-US" w:eastAsia="ru-RU"/>
          </w:rPr>
          <w:t xml:space="preserve">mvmazunina@fa.ru </w:t>
        </w:r>
      </w:hyperlink>
    </w:p>
    <w:p w14:paraId="2A7B9668" w14:textId="77777777" w:rsidR="005E4E3D" w:rsidRPr="005E4E3D" w:rsidRDefault="005E4E3D" w:rsidP="005E4E3D">
      <w:pPr>
        <w:spacing w:after="0" w:line="240" w:lineRule="auto"/>
        <w:ind w:firstLine="567"/>
        <w:jc w:val="right"/>
        <w:rPr>
          <w:rFonts w:ascii="Times New Roman" w:eastAsia="Times New Roman" w:hAnsi="Times New Roman" w:cs="Times New Roman"/>
          <w:i/>
          <w:sz w:val="21"/>
          <w:szCs w:val="21"/>
          <w:lang w:val="en-US" w:eastAsia="ru-RU"/>
        </w:rPr>
      </w:pPr>
    </w:p>
    <w:p w14:paraId="6245DEEF" w14:textId="77777777" w:rsidR="005E4E3D" w:rsidRPr="005E4E3D" w:rsidRDefault="005E4E3D" w:rsidP="005E4E3D">
      <w:pPr>
        <w:spacing w:after="0" w:line="240" w:lineRule="auto"/>
        <w:ind w:firstLine="567"/>
        <w:jc w:val="center"/>
        <w:rPr>
          <w:rFonts w:ascii="Times New Roman" w:eastAsia="Times New Roman" w:hAnsi="Times New Roman" w:cs="Times New Roman"/>
          <w:b/>
          <w:sz w:val="21"/>
          <w:szCs w:val="21"/>
          <w:shd w:val="clear" w:color="auto" w:fill="FFFFFF"/>
          <w:lang w:val="en-US" w:eastAsia="ru-RU"/>
        </w:rPr>
      </w:pPr>
      <w:r w:rsidRPr="005E4E3D">
        <w:rPr>
          <w:rFonts w:ascii="Times New Roman" w:eastAsia="Times New Roman" w:hAnsi="Times New Roman" w:cs="Times New Roman"/>
          <w:b/>
          <w:sz w:val="21"/>
          <w:szCs w:val="21"/>
          <w:lang w:val="en-US" w:eastAsia="ru-RU"/>
        </w:rPr>
        <w:t>Aesthetic intelligence and its impact on business processes and sales of the company</w:t>
      </w:r>
    </w:p>
    <w:p w14:paraId="2D8657C8" w14:textId="77777777" w:rsidR="005E4E3D" w:rsidRPr="005E4E3D" w:rsidRDefault="005E4E3D" w:rsidP="005E4E3D">
      <w:pPr>
        <w:spacing w:after="0" w:line="240" w:lineRule="auto"/>
        <w:ind w:firstLine="567"/>
        <w:jc w:val="both"/>
        <w:rPr>
          <w:rFonts w:ascii="Times New Roman" w:eastAsia="Times New Roman" w:hAnsi="Times New Roman" w:cs="Times New Roman"/>
          <w:b/>
          <w:bCs/>
          <w:sz w:val="21"/>
          <w:szCs w:val="21"/>
          <w:shd w:val="clear" w:color="auto" w:fill="FFFFFF"/>
          <w:lang w:val="en-US" w:eastAsia="ru-RU"/>
        </w:rPr>
      </w:pPr>
    </w:p>
    <w:p w14:paraId="15E26F26" w14:textId="77777777" w:rsidR="005E4E3D" w:rsidRPr="005E4E3D" w:rsidRDefault="005E4E3D" w:rsidP="005E4E3D">
      <w:pPr>
        <w:spacing w:after="0" w:line="240" w:lineRule="auto"/>
        <w:ind w:firstLine="567"/>
        <w:jc w:val="both"/>
        <w:rPr>
          <w:rFonts w:ascii="Times New Roman" w:eastAsia="Times New Roman" w:hAnsi="Times New Roman" w:cs="Times New Roman"/>
          <w:sz w:val="21"/>
          <w:szCs w:val="21"/>
          <w:lang w:val="en-US" w:eastAsia="ru-RU"/>
        </w:rPr>
      </w:pPr>
      <w:r w:rsidRPr="005E4E3D">
        <w:rPr>
          <w:rFonts w:ascii="Times New Roman" w:eastAsia="Times New Roman" w:hAnsi="Times New Roman" w:cs="Times New Roman"/>
          <w:b/>
          <w:bCs/>
          <w:sz w:val="21"/>
          <w:szCs w:val="21"/>
          <w:shd w:val="clear" w:color="auto" w:fill="FFFFFF"/>
          <w:lang w:val="en-US" w:eastAsia="ru-RU"/>
        </w:rPr>
        <w:t>Abstract:</w:t>
      </w:r>
      <w:r w:rsidRPr="005E4E3D">
        <w:rPr>
          <w:rFonts w:ascii="Times New Roman" w:eastAsia="Times New Roman" w:hAnsi="Times New Roman" w:cs="Times New Roman"/>
          <w:sz w:val="21"/>
          <w:szCs w:val="21"/>
          <w:lang w:val="en-US" w:eastAsia="ru-RU"/>
        </w:rPr>
        <w:t xml:space="preserve"> The article explores the theoretical foundations and practical approaches to applying aesthetic intelligence in brand development. Special attention is paid to the transition from visual perception to the formation of a brand’s value identity. Using the reconstruction of the visual concept of the “585*Zolotoy” brand as an example, a model of applying aesthetic principles in brand design is presented to enhance consumer emotional engagement.</w:t>
      </w:r>
    </w:p>
    <w:p w14:paraId="2ACEAFF7" w14:textId="77777777" w:rsidR="005E4E3D" w:rsidRPr="005E4E3D" w:rsidRDefault="005E4E3D" w:rsidP="005E4E3D">
      <w:pPr>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ru-RU"/>
        </w:rPr>
      </w:pPr>
      <w:r w:rsidRPr="005E4E3D">
        <w:rPr>
          <w:rFonts w:ascii="Times New Roman" w:eastAsia="Times New Roman" w:hAnsi="Times New Roman" w:cs="Times New Roman"/>
          <w:b/>
          <w:bCs/>
          <w:color w:val="000000"/>
          <w:sz w:val="21"/>
          <w:szCs w:val="21"/>
          <w:shd w:val="clear" w:color="auto" w:fill="FFFFFF"/>
          <w:lang w:val="en-US" w:eastAsia="ru-RU"/>
        </w:rPr>
        <w:t>Keywords:</w:t>
      </w:r>
      <w:r w:rsidRPr="005E4E3D">
        <w:rPr>
          <w:rFonts w:ascii="Times New Roman" w:eastAsia="Times New Roman" w:hAnsi="Times New Roman" w:cs="Times New Roman"/>
          <w:bCs/>
          <w:color w:val="000000"/>
          <w:sz w:val="21"/>
          <w:szCs w:val="21"/>
          <w:shd w:val="clear" w:color="auto" w:fill="FFFFFF"/>
          <w:lang w:val="en-US" w:eastAsia="ru-RU"/>
        </w:rPr>
        <w:t xml:space="preserve"> aesthetic intelligence, branding, visual identity, values, perception.</w:t>
      </w:r>
    </w:p>
    <w:p w14:paraId="5641622F" w14:textId="77777777" w:rsidR="005E4E3D" w:rsidRPr="005E4E3D" w:rsidRDefault="005E4E3D" w:rsidP="005E4E3D">
      <w:pPr>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ru-RU"/>
        </w:rPr>
      </w:pPr>
    </w:p>
    <w:p w14:paraId="25607B8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 условиях насыщенного рынка, где функциональные характеристики продуктов становятся всё более стандартизированными, бренды сталкиваются с необходимостью дифференциации не через свойства, а через восприятие [1, с. 12]. Одним из ключевых ресурсов, обеспечивающих устойчивое конкурентное преимущество, становится эстетический интеллект — способность компании создавать эстетически значимые и эмоционально насыщенные образы, способствующие формированию лояльности, доверия и ценностной связи с потребителем [1, с. 15].</w:t>
      </w:r>
    </w:p>
    <w:p w14:paraId="01704E81"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Актуальность темы определяется растущим запросом на осмысленные и визуально выразительные бренды, способные не только удовлетворять функциональные ожидания, но и вызывать эмоциональный отклик [1, с. 19]. Цель исследования – обосновать значимость применения эстетического интеллекта в процессе формирования бренда и представить практическую модель его применения на примере реконцепции бренда «585*Золотой». Объект исследования – визуальная и ценностная составляющая бренда, предмет – механизмы эстетического восприятия в бренд-дизайне.</w:t>
      </w:r>
    </w:p>
    <w:p w14:paraId="4C805785" w14:textId="77777777" w:rsidR="005E4E3D" w:rsidRPr="005E4E3D" w:rsidRDefault="005E4E3D" w:rsidP="005E4E3D">
      <w:pPr>
        <w:spacing w:after="0" w:line="240" w:lineRule="auto"/>
        <w:ind w:firstLine="709"/>
        <w:jc w:val="both"/>
        <w:rPr>
          <w:rFonts w:ascii="Times New Roman" w:eastAsia="Calibri" w:hAnsi="Times New Roman" w:cs="Times New Roman"/>
          <w:sz w:val="32"/>
          <w:szCs w:val="32"/>
        </w:rPr>
      </w:pPr>
      <w:r w:rsidRPr="005E4E3D">
        <w:rPr>
          <w:rFonts w:ascii="Times New Roman" w:eastAsia="Calibri" w:hAnsi="Times New Roman" w:cs="Times New Roman"/>
          <w:sz w:val="32"/>
          <w:szCs w:val="32"/>
        </w:rPr>
        <w:t>Эстетический интеллект (ЭИ) — это способность воспринимать, интерпретировать, оценивать и создавать эстетически целостные образы и смыслы, которые формируют не только визуальное удовлетворение, но и эмоциональную связь с брендом [1, с. 21]. Впервые термин в бизнес-среде был системно введён Полин Браун, которая описывает ЭИ как «чувство прекрасного, превращённое в актив» [1, с. 18]. В отличие от эмоционального интеллекта (EQ), ориентированного на межличностные отношения, ЭИ направлен на эмоциональное восприятие продукта, пространства или визуального образа бренда [2].</w:t>
      </w:r>
    </w:p>
    <w:p w14:paraId="72AA6D0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lastRenderedPageBreak/>
        <w:t>Чтобы определить уровень эстетического интеллекта компании, можно опираться на следующие индикаторы и критерии:</w:t>
      </w:r>
    </w:p>
    <w:p w14:paraId="0F264199"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Визуальная согласованность — гармония в логотипе, цвете, упаковке, соцсетях;</w:t>
      </w:r>
    </w:p>
    <w:p w14:paraId="49AF5523"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Символичность и метафора — логотип, графика и упаковка несут не просто форму, а идею;</w:t>
      </w:r>
    </w:p>
    <w:p w14:paraId="6661EF49"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Цветовая стратегия — цвета продуманы, эмоционально обоснованы;</w:t>
      </w:r>
    </w:p>
    <w:p w14:paraId="5625BFF9"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Тактильность и материальность — используются текстуры, материалы, продуманная подача;</w:t>
      </w:r>
    </w:p>
    <w:p w14:paraId="0142A859"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Философия образа — есть визуальное «Я», эстетический характер;</w:t>
      </w:r>
    </w:p>
    <w:p w14:paraId="75411F97"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Эмоциональное воздействие — присутствует эстетическое удовольствие и интерес;</w:t>
      </w:r>
    </w:p>
    <w:p w14:paraId="5E65EC13"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Проявляется ЭИ в компании не только в «красивой картинке». Он встраивается в четыре ключевые области бизнеса:</w:t>
      </w:r>
    </w:p>
    <w:p w14:paraId="071E82D3" w14:textId="77777777" w:rsidR="005E4E3D" w:rsidRPr="005E4E3D" w:rsidRDefault="005E4E3D" w:rsidP="00AD58CD">
      <w:pPr>
        <w:numPr>
          <w:ilvl w:val="0"/>
          <w:numId w:val="84"/>
        </w:numPr>
        <w:spacing w:after="0"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Продукт — форма, упаковка, текстура, визуальная логика.</w:t>
      </w:r>
    </w:p>
    <w:p w14:paraId="388D9E09" w14:textId="77777777" w:rsidR="005E4E3D" w:rsidRPr="005E4E3D" w:rsidRDefault="005E4E3D" w:rsidP="00AD58CD">
      <w:pPr>
        <w:numPr>
          <w:ilvl w:val="0"/>
          <w:numId w:val="84"/>
        </w:numPr>
        <w:spacing w:after="0"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Пространство — магазины, офисы, точки контакта, цифровая среда.</w:t>
      </w:r>
    </w:p>
    <w:p w14:paraId="2BF4A0C1" w14:textId="77777777" w:rsidR="005E4E3D" w:rsidRPr="005E4E3D" w:rsidRDefault="005E4E3D" w:rsidP="00AD58CD">
      <w:pPr>
        <w:numPr>
          <w:ilvl w:val="0"/>
          <w:numId w:val="84"/>
        </w:numPr>
        <w:spacing w:after="0"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Коммуникация — tone of voice, графика, соцсети, сайт.</w:t>
      </w:r>
    </w:p>
    <w:p w14:paraId="62C7CBA7" w14:textId="77777777" w:rsidR="005E4E3D" w:rsidRPr="005E4E3D" w:rsidRDefault="005E4E3D" w:rsidP="00AD58CD">
      <w:pPr>
        <w:numPr>
          <w:ilvl w:val="0"/>
          <w:numId w:val="84"/>
        </w:numPr>
        <w:spacing w:after="0"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Ценности — то, как эстетика отражает миссию бренда (экологичность, уважение, забота, искусство и т.д.).</w:t>
      </w:r>
    </w:p>
    <w:p w14:paraId="25DCA0B5"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Применение эстетического интеллекта (ЭИ) позволяет брендам формировать не только визуально цельную айдентику, но и эмоциональную связь с потребителем. Рассмотрим успешные кейсы:</w:t>
      </w:r>
    </w:p>
    <w:p w14:paraId="1C0E0DD5"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T-банк выстраивает визуальную систему на принципах минимализма и технологичности. Упрощённые формы, сдержанная палитра и чистая типографика транслируют образ прогрессивного, надёжного и ориентированного на пользователя цифрового бренда.</w:t>
      </w:r>
    </w:p>
    <w:p w14:paraId="62356231"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12Storeez отличается эстетической цельностью, основанной на минимализме, тактильности и мягкой палитре. Приглушённый свет и визуальный ритм формируют ощущение осознанности. Эстетика бренда транслирует философию «меньше — значит глубже» и вовлекает через визуальные смыслы.</w:t>
      </w:r>
    </w:p>
    <w:p w14:paraId="3504EC62"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Viva La Vika — стилистически насыщенный бренд с выраженной культурной рефлексией. Эстетика здесь работает как язык идентичности и принадлежности.</w:t>
      </w:r>
    </w:p>
    <w:p w14:paraId="18ED4BBD"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lastRenderedPageBreak/>
        <w:t>Системно оценить уровень эстетического интеллекта бренда можно через следующую интегративную формулу:</w:t>
      </w:r>
    </w:p>
    <w:p w14:paraId="627F46DC"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ЭИ = Визуальная выразительность × Символическая глубина × Согласованность с ценностями</w:t>
      </w:r>
    </w:p>
    <w:p w14:paraId="47CE3E69"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 данной формуле:</w:t>
      </w:r>
    </w:p>
    <w:p w14:paraId="4E3D2FD7"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визуальная выразительность — это сила, с которой бренд визуально воздействует на потребителя;</w:t>
      </w:r>
    </w:p>
    <w:p w14:paraId="1C6121F3"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символическая глубина — наличие культурных, эмоциональных и философских слоёв в визуальных образах;</w:t>
      </w:r>
    </w:p>
    <w:p w14:paraId="55602EC2"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согласованность с ценностями — соответствие эстетики заявленным ценностям и целям бренда.</w:t>
      </w:r>
    </w:p>
    <w:p w14:paraId="65EEAD41"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xml:space="preserve">Таким образом, высокий эстетический интеллект проявляется не в формальной «красоте», а в способности бренда через визуальные средства передавать смысл, вызывать эмоции и утверждать идентичность. </w:t>
      </w:r>
    </w:p>
    <w:p w14:paraId="10797C38"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«585*Золотой» — один из ведущих игроков на российском рынке ювелирной розницы с высокой узнаваемостью и широкой географией присутствия. Вместе с тем визуальная айдентика бренда демонстрирует устойчивые стилистические несоответствия, не отражающие сущностную природу ювелирного изделия как носителя индивидуального смысла и эмоциональной ценности. Анализ визуальных и коммуникативных характеристик выявляет разрыв между характером продукта и формой его представления потребителю.</w:t>
      </w:r>
    </w:p>
    <w:p w14:paraId="1F9F2F83" w14:textId="77777777" w:rsidR="005E4E3D" w:rsidRPr="005E4E3D" w:rsidRDefault="005E4E3D" w:rsidP="0057345B">
      <w:pPr>
        <w:spacing w:after="0" w:line="240" w:lineRule="auto"/>
        <w:ind w:firstLine="708"/>
        <w:jc w:val="both"/>
        <w:outlineLvl w:val="2"/>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Таблица 1 — Оценка ключевых визуальных элементов</w:t>
      </w:r>
    </w:p>
    <w:tbl>
      <w:tblPr>
        <w:tblStyle w:val="42"/>
        <w:tblW w:w="0" w:type="auto"/>
        <w:tblLook w:val="04A0" w:firstRow="1" w:lastRow="0" w:firstColumn="1" w:lastColumn="0" w:noHBand="0" w:noVBand="1"/>
      </w:tblPr>
      <w:tblGrid>
        <w:gridCol w:w="3209"/>
        <w:gridCol w:w="3209"/>
        <w:gridCol w:w="3210"/>
      </w:tblGrid>
      <w:tr w:rsidR="005E4E3D" w:rsidRPr="005E4E3D" w14:paraId="15ED48B6" w14:textId="77777777" w:rsidTr="00EB1CB9">
        <w:tc>
          <w:tcPr>
            <w:tcW w:w="3209" w:type="dxa"/>
          </w:tcPr>
          <w:p w14:paraId="38EE6CC9"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Элемент</w:t>
            </w:r>
          </w:p>
        </w:tc>
        <w:tc>
          <w:tcPr>
            <w:tcW w:w="3209" w:type="dxa"/>
          </w:tcPr>
          <w:p w14:paraId="2DD03DB4"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Актуальное исполнение</w:t>
            </w:r>
          </w:p>
        </w:tc>
        <w:tc>
          <w:tcPr>
            <w:tcW w:w="3210" w:type="dxa"/>
            <w:vAlign w:val="center"/>
          </w:tcPr>
          <w:p w14:paraId="28DBDE56"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Эстетическая и смысловая проблема</w:t>
            </w:r>
          </w:p>
        </w:tc>
      </w:tr>
      <w:tr w:rsidR="005E4E3D" w:rsidRPr="005E4E3D" w14:paraId="51F783F5" w14:textId="77777777" w:rsidTr="00EB1CB9">
        <w:tc>
          <w:tcPr>
            <w:tcW w:w="3209" w:type="dxa"/>
          </w:tcPr>
          <w:p w14:paraId="4B0B1BD3"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Логотип</w:t>
            </w:r>
          </w:p>
        </w:tc>
        <w:tc>
          <w:tcPr>
            <w:tcW w:w="3209" w:type="dxa"/>
            <w:vAlign w:val="center"/>
          </w:tcPr>
          <w:p w14:paraId="04373FDA"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«585*», красный квадрат, звезда</w:t>
            </w:r>
          </w:p>
        </w:tc>
        <w:tc>
          <w:tcPr>
            <w:tcW w:w="3210" w:type="dxa"/>
            <w:vAlign w:val="center"/>
          </w:tcPr>
          <w:p w14:paraId="56994BA3"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Избыточность, визуальная агрессия, ассоциации с дискаунтером или техникой</w:t>
            </w:r>
          </w:p>
        </w:tc>
      </w:tr>
      <w:tr w:rsidR="005E4E3D" w:rsidRPr="005E4E3D" w14:paraId="0180D3CD" w14:textId="77777777" w:rsidTr="00EB1CB9">
        <w:tc>
          <w:tcPr>
            <w:tcW w:w="3209" w:type="dxa"/>
          </w:tcPr>
          <w:p w14:paraId="1F8E1C62"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Цветовая палитра</w:t>
            </w:r>
          </w:p>
        </w:tc>
        <w:tc>
          <w:tcPr>
            <w:tcW w:w="3209" w:type="dxa"/>
            <w:vAlign w:val="center"/>
          </w:tcPr>
          <w:p w14:paraId="29E38EEE"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Яркий красный, насыщенный жёлтый</w:t>
            </w:r>
          </w:p>
        </w:tc>
        <w:tc>
          <w:tcPr>
            <w:tcW w:w="3210" w:type="dxa"/>
            <w:vAlign w:val="center"/>
          </w:tcPr>
          <w:p w14:paraId="19EF0433"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Визуальные коды промо-формата, ощущение срочности, утрата интимности</w:t>
            </w:r>
          </w:p>
        </w:tc>
      </w:tr>
      <w:tr w:rsidR="005E4E3D" w:rsidRPr="005E4E3D" w14:paraId="783E8D1A" w14:textId="77777777" w:rsidTr="00EB1CB9">
        <w:tc>
          <w:tcPr>
            <w:tcW w:w="3209" w:type="dxa"/>
          </w:tcPr>
          <w:p w14:paraId="464A0696"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Типографика</w:t>
            </w:r>
          </w:p>
        </w:tc>
        <w:tc>
          <w:tcPr>
            <w:tcW w:w="3209" w:type="dxa"/>
            <w:vAlign w:val="center"/>
          </w:tcPr>
          <w:p w14:paraId="20EB7B4B"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Прямолинейные гротеск-шрифты без засечек</w:t>
            </w:r>
          </w:p>
        </w:tc>
        <w:tc>
          <w:tcPr>
            <w:tcW w:w="3210" w:type="dxa"/>
            <w:vAlign w:val="center"/>
          </w:tcPr>
          <w:p w14:paraId="04E5A02D"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Отсутствие характера, эмоциональной глубины, связи с ювелирной тематикой</w:t>
            </w:r>
          </w:p>
        </w:tc>
      </w:tr>
      <w:tr w:rsidR="005E4E3D" w:rsidRPr="005E4E3D" w14:paraId="30A6AA9B" w14:textId="77777777" w:rsidTr="00EB1CB9">
        <w:tc>
          <w:tcPr>
            <w:tcW w:w="3209" w:type="dxa"/>
          </w:tcPr>
          <w:p w14:paraId="12B8057A"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Tone of voice</w:t>
            </w:r>
          </w:p>
        </w:tc>
        <w:tc>
          <w:tcPr>
            <w:tcW w:w="3209" w:type="dxa"/>
            <w:vAlign w:val="center"/>
          </w:tcPr>
          <w:p w14:paraId="38B6C381"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«Суперцены», «выгода», «в два раза дешевле»</w:t>
            </w:r>
          </w:p>
        </w:tc>
        <w:tc>
          <w:tcPr>
            <w:tcW w:w="3210" w:type="dxa"/>
            <w:vAlign w:val="center"/>
          </w:tcPr>
          <w:p w14:paraId="56770FD1"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Обесценивание эмоционального контекста продукта</w:t>
            </w:r>
          </w:p>
        </w:tc>
      </w:tr>
      <w:tr w:rsidR="005E4E3D" w:rsidRPr="005E4E3D" w14:paraId="1401B505" w14:textId="77777777" w:rsidTr="00EB1CB9">
        <w:tc>
          <w:tcPr>
            <w:tcW w:w="3209" w:type="dxa"/>
          </w:tcPr>
          <w:p w14:paraId="04EBC272"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Оформление витрин</w:t>
            </w:r>
          </w:p>
        </w:tc>
        <w:tc>
          <w:tcPr>
            <w:tcW w:w="3209" w:type="dxa"/>
            <w:vAlign w:val="center"/>
          </w:tcPr>
          <w:p w14:paraId="638F437D"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Избыточные акционные элементы, перегрузка</w:t>
            </w:r>
          </w:p>
        </w:tc>
        <w:tc>
          <w:tcPr>
            <w:tcW w:w="3210" w:type="dxa"/>
            <w:vAlign w:val="center"/>
          </w:tcPr>
          <w:p w14:paraId="0A1CF578"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Нарушение композиционного баланса, визуальный шум</w:t>
            </w:r>
          </w:p>
        </w:tc>
      </w:tr>
      <w:tr w:rsidR="005E4E3D" w:rsidRPr="005E4E3D" w14:paraId="1443D1E6" w14:textId="77777777" w:rsidTr="00EB1CB9">
        <w:tc>
          <w:tcPr>
            <w:tcW w:w="3209" w:type="dxa"/>
          </w:tcPr>
          <w:p w14:paraId="208A2BAD" w14:textId="77777777" w:rsidR="005E4E3D" w:rsidRPr="005E4E3D" w:rsidRDefault="005E4E3D" w:rsidP="0057345B">
            <w:pPr>
              <w:jc w:val="both"/>
              <w:outlineLvl w:val="2"/>
              <w:rPr>
                <w:rFonts w:ascii="Times New Roman" w:eastAsia="Times New Roman" w:hAnsi="Times New Roman" w:cs="Times New Roman"/>
                <w:lang w:eastAsia="ru-RU"/>
              </w:rPr>
            </w:pPr>
            <w:r w:rsidRPr="005E4E3D">
              <w:rPr>
                <w:rFonts w:ascii="Times New Roman" w:eastAsia="Times New Roman" w:hAnsi="Times New Roman" w:cs="Times New Roman"/>
                <w:lang w:eastAsia="ru-RU"/>
              </w:rPr>
              <w:lastRenderedPageBreak/>
              <w:t>Сайт и соцсети</w:t>
            </w:r>
          </w:p>
        </w:tc>
        <w:tc>
          <w:tcPr>
            <w:tcW w:w="3209" w:type="dxa"/>
            <w:vAlign w:val="center"/>
          </w:tcPr>
          <w:p w14:paraId="6FBA61CA"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Баннеры, агрессивная реклама, несистемность</w:t>
            </w:r>
          </w:p>
        </w:tc>
        <w:tc>
          <w:tcPr>
            <w:tcW w:w="3210" w:type="dxa"/>
            <w:vAlign w:val="center"/>
          </w:tcPr>
          <w:p w14:paraId="5C466955"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Отсутствие эстетической структуры и сторителлинга</w:t>
            </w:r>
          </w:p>
        </w:tc>
      </w:tr>
    </w:tbl>
    <w:p w14:paraId="08D82D3D"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684C37FA"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Анализ показывает, что визуальная система бренда построена преимущественно на транзакционных сигналах (цена, скидка, выгода), в то время как ювелирное изделие — это, прежде всего, символическое вложение в чувства и отношения.</w:t>
      </w:r>
    </w:p>
    <w:p w14:paraId="4F0C6236"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Ювелирные украшения выполняют функцию культурного и эмоционального кода, закрепляя личностно значимые события и отношения:</w:t>
      </w:r>
    </w:p>
    <w:p w14:paraId="29209D24"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признание и любовь,</w:t>
      </w:r>
    </w:p>
    <w:p w14:paraId="63393AA7"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ритуалы перехода (свадьба, рождение ребёнка),</w:t>
      </w:r>
    </w:p>
    <w:p w14:paraId="258C0AF0"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благодарность, память, статус.</w:t>
      </w:r>
    </w:p>
    <w:p w14:paraId="088C4CBE"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Однако коммуникация бренда «585*Золотой» смещает акцент на прагматичность и доступность, тем самым нивелируя эмоциональную и символическую составляющую продукта. В результате возникает эффект:</w:t>
      </w:r>
    </w:p>
    <w:p w14:paraId="0968C74E"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быстрая покупка — быстрая потеря смысла,</w:t>
      </w:r>
    </w:p>
    <w:p w14:paraId="13B2AA3E"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упрощённый визуал — снижение восприятия качества,</w:t>
      </w:r>
    </w:p>
    <w:p w14:paraId="4839DB1F" w14:textId="77777777" w:rsidR="005E4E3D" w:rsidRPr="005E4E3D" w:rsidRDefault="005E4E3D" w:rsidP="00AD58CD">
      <w:pPr>
        <w:numPr>
          <w:ilvl w:val="0"/>
          <w:numId w:val="86"/>
        </w:numPr>
        <w:spacing w:after="0" w:line="240" w:lineRule="auto"/>
        <w:ind w:left="0" w:firstLine="709"/>
        <w:contextualSpacing/>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агрессивная подача — эмоциональный диссонанс.</w:t>
      </w:r>
    </w:p>
    <w:p w14:paraId="6E9822DA"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xml:space="preserve">Таким образом, бренд провоцирует отчуждение вместо сопричастности, предлагая не историю и эмоцию, а краткосрочную выгоду. </w:t>
      </w:r>
    </w:p>
    <w:p w14:paraId="5D7E094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На основе разработанной шкалы оценки эстетического интеллекта бренд «585*Золотой» получил следующие показатели:</w:t>
      </w:r>
    </w:p>
    <w:p w14:paraId="47376514"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332D7A25" w14:textId="77777777" w:rsidR="005E4E3D" w:rsidRPr="005E4E3D" w:rsidRDefault="005E4E3D" w:rsidP="0057345B">
      <w:pPr>
        <w:spacing w:after="0" w:line="240" w:lineRule="auto"/>
        <w:ind w:firstLine="708"/>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Таблица 2 — Оценка ключевых визуальных элементов</w:t>
      </w:r>
    </w:p>
    <w:tbl>
      <w:tblPr>
        <w:tblStyle w:val="42"/>
        <w:tblW w:w="6418" w:type="dxa"/>
        <w:jc w:val="center"/>
        <w:tblLook w:val="04A0" w:firstRow="1" w:lastRow="0" w:firstColumn="1" w:lastColumn="0" w:noHBand="0" w:noVBand="1"/>
      </w:tblPr>
      <w:tblGrid>
        <w:gridCol w:w="3209"/>
        <w:gridCol w:w="3209"/>
      </w:tblGrid>
      <w:tr w:rsidR="005E4E3D" w:rsidRPr="005E4E3D" w14:paraId="43B84AF0" w14:textId="77777777" w:rsidTr="0057345B">
        <w:trPr>
          <w:jc w:val="center"/>
        </w:trPr>
        <w:tc>
          <w:tcPr>
            <w:tcW w:w="3209" w:type="dxa"/>
            <w:vAlign w:val="center"/>
          </w:tcPr>
          <w:p w14:paraId="72B3BB06"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Параметр</w:t>
            </w:r>
          </w:p>
        </w:tc>
        <w:tc>
          <w:tcPr>
            <w:tcW w:w="3209" w:type="dxa"/>
            <w:vAlign w:val="center"/>
          </w:tcPr>
          <w:p w14:paraId="741AD05C"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Оценка по 5-балльной шкале</w:t>
            </w:r>
          </w:p>
        </w:tc>
      </w:tr>
      <w:tr w:rsidR="005E4E3D" w:rsidRPr="005E4E3D" w14:paraId="7584FDDF" w14:textId="77777777" w:rsidTr="0057345B">
        <w:trPr>
          <w:jc w:val="center"/>
        </w:trPr>
        <w:tc>
          <w:tcPr>
            <w:tcW w:w="3209" w:type="dxa"/>
            <w:vAlign w:val="center"/>
          </w:tcPr>
          <w:p w14:paraId="101FBA39"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Эстетическая согласованность</w:t>
            </w:r>
          </w:p>
        </w:tc>
        <w:tc>
          <w:tcPr>
            <w:tcW w:w="3209" w:type="dxa"/>
            <w:vAlign w:val="center"/>
          </w:tcPr>
          <w:p w14:paraId="2C37D8CD"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2</w:t>
            </w:r>
          </w:p>
        </w:tc>
      </w:tr>
      <w:tr w:rsidR="005E4E3D" w:rsidRPr="005E4E3D" w14:paraId="2E48ED81" w14:textId="77777777" w:rsidTr="0057345B">
        <w:trPr>
          <w:jc w:val="center"/>
        </w:trPr>
        <w:tc>
          <w:tcPr>
            <w:tcW w:w="3209" w:type="dxa"/>
            <w:vAlign w:val="center"/>
          </w:tcPr>
          <w:p w14:paraId="0A0C4635"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Символическая наполненность</w:t>
            </w:r>
          </w:p>
        </w:tc>
        <w:tc>
          <w:tcPr>
            <w:tcW w:w="3209" w:type="dxa"/>
            <w:vAlign w:val="center"/>
          </w:tcPr>
          <w:p w14:paraId="13EE0BD7"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1</w:t>
            </w:r>
          </w:p>
        </w:tc>
      </w:tr>
      <w:tr w:rsidR="005E4E3D" w:rsidRPr="005E4E3D" w14:paraId="0A4D706C" w14:textId="77777777" w:rsidTr="0057345B">
        <w:trPr>
          <w:jc w:val="center"/>
        </w:trPr>
        <w:tc>
          <w:tcPr>
            <w:tcW w:w="3209" w:type="dxa"/>
            <w:vAlign w:val="center"/>
          </w:tcPr>
          <w:p w14:paraId="3ECC42C2"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Эмоциональная выразительность</w:t>
            </w:r>
          </w:p>
        </w:tc>
        <w:tc>
          <w:tcPr>
            <w:tcW w:w="3209" w:type="dxa"/>
            <w:vAlign w:val="center"/>
          </w:tcPr>
          <w:p w14:paraId="3D29DE99"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2</w:t>
            </w:r>
          </w:p>
        </w:tc>
      </w:tr>
      <w:tr w:rsidR="005E4E3D" w:rsidRPr="005E4E3D" w14:paraId="4B1D46D2" w14:textId="77777777" w:rsidTr="0057345B">
        <w:trPr>
          <w:jc w:val="center"/>
        </w:trPr>
        <w:tc>
          <w:tcPr>
            <w:tcW w:w="3209" w:type="dxa"/>
            <w:vAlign w:val="center"/>
          </w:tcPr>
          <w:p w14:paraId="57DE94BB"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Глубина визуального языка</w:t>
            </w:r>
          </w:p>
        </w:tc>
        <w:tc>
          <w:tcPr>
            <w:tcW w:w="3209" w:type="dxa"/>
            <w:vAlign w:val="center"/>
          </w:tcPr>
          <w:p w14:paraId="10FCBE4D"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1</w:t>
            </w:r>
          </w:p>
        </w:tc>
      </w:tr>
      <w:tr w:rsidR="005E4E3D" w:rsidRPr="005E4E3D" w14:paraId="3AA47DF9" w14:textId="77777777" w:rsidTr="0057345B">
        <w:trPr>
          <w:jc w:val="center"/>
        </w:trPr>
        <w:tc>
          <w:tcPr>
            <w:tcW w:w="3209" w:type="dxa"/>
            <w:vAlign w:val="center"/>
          </w:tcPr>
          <w:p w14:paraId="3D32BEA1"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Ценностная осмысленность</w:t>
            </w:r>
          </w:p>
        </w:tc>
        <w:tc>
          <w:tcPr>
            <w:tcW w:w="3209" w:type="dxa"/>
            <w:vAlign w:val="center"/>
          </w:tcPr>
          <w:p w14:paraId="5EC8063F"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1</w:t>
            </w:r>
          </w:p>
        </w:tc>
      </w:tr>
      <w:tr w:rsidR="005E4E3D" w:rsidRPr="005E4E3D" w14:paraId="19E0D56E" w14:textId="77777777" w:rsidTr="0057345B">
        <w:trPr>
          <w:jc w:val="center"/>
        </w:trPr>
        <w:tc>
          <w:tcPr>
            <w:tcW w:w="3209" w:type="dxa"/>
            <w:vAlign w:val="center"/>
          </w:tcPr>
          <w:p w14:paraId="53818030"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Средний интегральный балл</w:t>
            </w:r>
          </w:p>
        </w:tc>
        <w:tc>
          <w:tcPr>
            <w:tcW w:w="3209" w:type="dxa"/>
            <w:vAlign w:val="center"/>
          </w:tcPr>
          <w:p w14:paraId="2A1F9D43"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1.4</w:t>
            </w:r>
          </w:p>
        </w:tc>
      </w:tr>
    </w:tbl>
    <w:p w14:paraId="61689861"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04AA9CA8"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Полученные значения указывают на крайне низкий уровень эстетического интеллекта бренда в текущей конфигурации.</w:t>
      </w:r>
    </w:p>
    <w:p w14:paraId="20487D39"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lastRenderedPageBreak/>
        <w:t>Бренд «585*Золотой» демонстрирует несоответствие между характером продукта и средствами его визуальной и смысловой репрезентации. Вместо того чтобы транслировать эмоциональные и ритуальные смыслы, характерные для ювелирных изделий, бренд опирается на промо-дискаунтную модель коммуникации. Это снижает воспринимаемую ценность продукции и ослабляет лояльность со стороны эмоционально ориентированных потребителей.</w:t>
      </w:r>
    </w:p>
    <w:p w14:paraId="17F8C349"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Данные обстоятельства обусловили необходимость разработки альтернативной эстетической модели, способной восстановить баланс между внешней формой и внутренней сущностью бренда.</w:t>
      </w:r>
    </w:p>
    <w:p w14:paraId="3D687740"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Целью реконцепции визуальной айдентики бренда является преодоление выявленных диспропорций. Новая модель опирается на принципы эстетического интеллекта и исходит из того, что ювелирное изделие — это не просто предмет, а носитель символического и личностного значения.</w:t>
      </w:r>
    </w:p>
    <w:p w14:paraId="6BB3A0C6"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 рамках новой парадигмы бренд позиционируется как медиатор эмоций, эстетического переживания и культурной памяти. Исходная идея может быть выражена в слогане: «Не просто украшение. Эмоция в форме». Рассмотрим визуально-смысловую систему бренда:</w:t>
      </w:r>
    </w:p>
    <w:p w14:paraId="652BB38E"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58943084" w14:textId="77777777" w:rsidR="005E4E3D" w:rsidRPr="005E4E3D" w:rsidRDefault="005E4E3D" w:rsidP="0057345B">
      <w:pPr>
        <w:spacing w:after="0" w:line="240" w:lineRule="auto"/>
        <w:ind w:firstLine="708"/>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Таблица 3 — Оценка ключевых визуальных элементов</w:t>
      </w:r>
    </w:p>
    <w:tbl>
      <w:tblPr>
        <w:tblStyle w:val="42"/>
        <w:tblW w:w="7508" w:type="dxa"/>
        <w:jc w:val="center"/>
        <w:tblLook w:val="04A0" w:firstRow="1" w:lastRow="0" w:firstColumn="1" w:lastColumn="0" w:noHBand="0" w:noVBand="1"/>
      </w:tblPr>
      <w:tblGrid>
        <w:gridCol w:w="3209"/>
        <w:gridCol w:w="4299"/>
      </w:tblGrid>
      <w:tr w:rsidR="005E4E3D" w:rsidRPr="005E4E3D" w14:paraId="22B003A1" w14:textId="77777777" w:rsidTr="0057345B">
        <w:trPr>
          <w:jc w:val="center"/>
        </w:trPr>
        <w:tc>
          <w:tcPr>
            <w:tcW w:w="3209" w:type="dxa"/>
            <w:vAlign w:val="center"/>
          </w:tcPr>
          <w:p w14:paraId="4816214D" w14:textId="77777777" w:rsidR="005E4E3D" w:rsidRPr="005E4E3D" w:rsidRDefault="005E4E3D" w:rsidP="0057345B">
            <w:pPr>
              <w:jc w:val="both"/>
              <w:rPr>
                <w:rFonts w:ascii="Times New Roman" w:eastAsia="Times New Roman" w:hAnsi="Times New Roman" w:cs="Times New Roman"/>
                <w:b/>
                <w:bCs/>
                <w:lang w:eastAsia="ru-RU"/>
              </w:rPr>
            </w:pPr>
            <w:r w:rsidRPr="005E4E3D">
              <w:rPr>
                <w:rFonts w:ascii="Times New Roman" w:eastAsia="Times New Roman" w:hAnsi="Times New Roman" w:cs="Times New Roman"/>
                <w:b/>
                <w:bCs/>
                <w:lang w:eastAsia="ru-RU"/>
              </w:rPr>
              <w:t>Цвет</w:t>
            </w:r>
          </w:p>
        </w:tc>
        <w:tc>
          <w:tcPr>
            <w:tcW w:w="4299" w:type="dxa"/>
            <w:vAlign w:val="center"/>
          </w:tcPr>
          <w:p w14:paraId="14086FA7" w14:textId="77777777" w:rsidR="005E4E3D" w:rsidRPr="005E4E3D" w:rsidRDefault="005E4E3D" w:rsidP="0057345B">
            <w:pPr>
              <w:jc w:val="both"/>
              <w:rPr>
                <w:rFonts w:ascii="Times New Roman" w:eastAsia="Times New Roman" w:hAnsi="Times New Roman" w:cs="Times New Roman"/>
                <w:b/>
                <w:bCs/>
                <w:lang w:eastAsia="ru-RU"/>
              </w:rPr>
            </w:pPr>
            <w:r w:rsidRPr="005E4E3D">
              <w:rPr>
                <w:rFonts w:ascii="Times New Roman" w:eastAsia="Times New Roman" w:hAnsi="Times New Roman" w:cs="Times New Roman"/>
                <w:b/>
                <w:bCs/>
                <w:lang w:eastAsia="ru-RU"/>
              </w:rPr>
              <w:t>Эмоционально-смысловая нагрузка</w:t>
            </w:r>
          </w:p>
        </w:tc>
      </w:tr>
      <w:tr w:rsidR="005E4E3D" w:rsidRPr="005E4E3D" w14:paraId="7C859B91" w14:textId="77777777" w:rsidTr="0057345B">
        <w:trPr>
          <w:jc w:val="center"/>
        </w:trPr>
        <w:tc>
          <w:tcPr>
            <w:tcW w:w="3209" w:type="dxa"/>
            <w:vAlign w:val="center"/>
          </w:tcPr>
          <w:p w14:paraId="55880689"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Золото</w:t>
            </w:r>
          </w:p>
        </w:tc>
        <w:tc>
          <w:tcPr>
            <w:tcW w:w="4299" w:type="dxa"/>
            <w:vAlign w:val="center"/>
          </w:tcPr>
          <w:p w14:paraId="5E6FA7CF"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Тепло, завершённость, статус</w:t>
            </w:r>
          </w:p>
        </w:tc>
      </w:tr>
      <w:tr w:rsidR="005E4E3D" w:rsidRPr="005E4E3D" w14:paraId="5AA00D3E" w14:textId="77777777" w:rsidTr="0057345B">
        <w:trPr>
          <w:jc w:val="center"/>
        </w:trPr>
        <w:tc>
          <w:tcPr>
            <w:tcW w:w="3209" w:type="dxa"/>
            <w:vAlign w:val="center"/>
          </w:tcPr>
          <w:p w14:paraId="2CAE150B"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Бордо</w:t>
            </w:r>
          </w:p>
        </w:tc>
        <w:tc>
          <w:tcPr>
            <w:tcW w:w="4299" w:type="dxa"/>
            <w:vAlign w:val="center"/>
          </w:tcPr>
          <w:p w14:paraId="2D6A1B24"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Глубина, утончённость, романтическое напряжение</w:t>
            </w:r>
          </w:p>
        </w:tc>
      </w:tr>
      <w:tr w:rsidR="005E4E3D" w:rsidRPr="005E4E3D" w14:paraId="052F475E" w14:textId="77777777" w:rsidTr="0057345B">
        <w:trPr>
          <w:jc w:val="center"/>
        </w:trPr>
        <w:tc>
          <w:tcPr>
            <w:tcW w:w="3209" w:type="dxa"/>
            <w:vAlign w:val="center"/>
          </w:tcPr>
          <w:p w14:paraId="4928E335"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Молочный</w:t>
            </w:r>
          </w:p>
        </w:tc>
        <w:tc>
          <w:tcPr>
            <w:tcW w:w="4299" w:type="dxa"/>
            <w:vAlign w:val="center"/>
          </w:tcPr>
          <w:p w14:paraId="40A1405F"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Искренность, свет, спокойствие</w:t>
            </w:r>
          </w:p>
        </w:tc>
      </w:tr>
      <w:tr w:rsidR="005E4E3D" w:rsidRPr="005E4E3D" w14:paraId="3C1F92CF" w14:textId="77777777" w:rsidTr="0057345B">
        <w:trPr>
          <w:jc w:val="center"/>
        </w:trPr>
        <w:tc>
          <w:tcPr>
            <w:tcW w:w="3209" w:type="dxa"/>
            <w:vAlign w:val="center"/>
          </w:tcPr>
          <w:p w14:paraId="01D1A63D"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Графит</w:t>
            </w:r>
          </w:p>
        </w:tc>
        <w:tc>
          <w:tcPr>
            <w:tcW w:w="4299" w:type="dxa"/>
            <w:vAlign w:val="center"/>
          </w:tcPr>
          <w:p w14:paraId="62E31167"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Уверенность, структурность, сдержанность</w:t>
            </w:r>
          </w:p>
        </w:tc>
      </w:tr>
    </w:tbl>
    <w:p w14:paraId="224FD961"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6C533155"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Элементы палитры подбираются с учётом нейропсихологических эффектов восприятия: избегание ярких стимулов, направленность на создание тёплого, медленного взгляда.</w:t>
      </w:r>
    </w:p>
    <w:p w14:paraId="4E987494"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Типографика:</w:t>
      </w:r>
    </w:p>
    <w:p w14:paraId="49BD1E6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Основной шрифт — гуманистический (например, Playfair Display, Canela). Характеризуется высоким контрастом, изогнутыми линиями, отсылает к ручной каллиграфии и ремесленности.</w:t>
      </w:r>
    </w:p>
    <w:p w14:paraId="7744C1BD"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Дополнительный шрифт — нейтральный гротеск (Inter, Neue Haas Grotesk), обеспечивающий баланс между эмоциональностью и читабельностью.</w:t>
      </w:r>
    </w:p>
    <w:p w14:paraId="23C96BD2"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Логотип:</w:t>
      </w:r>
    </w:p>
    <w:p w14:paraId="013A0A05"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lastRenderedPageBreak/>
        <w:t>— Концептуально — знак, основанный на круге (как метафоре кольца, завершённости, непрерывности).</w:t>
      </w:r>
    </w:p>
    <w:p w14:paraId="2A9F142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Графически — лёгкое тиснение без цвета, встроенное в упаковку, а не навязывающееся внешне. Логотип выполняет функцию сопровождения, а не доминирования.</w:t>
      </w:r>
    </w:p>
    <w:p w14:paraId="33D591DC"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Упаковка:</w:t>
      </w:r>
    </w:p>
    <w:p w14:paraId="23497AE7"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Материалы: матовая бумага, микрофлок, натуральные текстуры.</w:t>
      </w:r>
    </w:p>
    <w:p w14:paraId="54FCC72C"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Внутри — карточка с историей изделия или цитатой, например: «Некоторые чувства лучше передавать без слов».</w:t>
      </w:r>
    </w:p>
    <w:p w14:paraId="0071BD9D"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val="en-US" w:eastAsia="ru-RU"/>
        </w:rPr>
      </w:pPr>
      <w:r w:rsidRPr="005E4E3D">
        <w:rPr>
          <w:rFonts w:ascii="Times New Roman" w:eastAsia="Times New Roman" w:hAnsi="Times New Roman" w:cs="Times New Roman"/>
          <w:sz w:val="32"/>
          <w:szCs w:val="32"/>
          <w:lang w:val="en-US" w:eastAsia="ru-RU"/>
        </w:rPr>
        <w:t xml:space="preserve">Tone of Voice </w:t>
      </w:r>
      <w:r w:rsidRPr="005E4E3D">
        <w:rPr>
          <w:rFonts w:ascii="Times New Roman" w:eastAsia="Times New Roman" w:hAnsi="Times New Roman" w:cs="Times New Roman"/>
          <w:sz w:val="32"/>
          <w:szCs w:val="32"/>
          <w:lang w:eastAsia="ru-RU"/>
        </w:rPr>
        <w:t>и</w:t>
      </w:r>
      <w:r w:rsidRPr="005E4E3D">
        <w:rPr>
          <w:rFonts w:ascii="Times New Roman" w:eastAsia="Times New Roman" w:hAnsi="Times New Roman" w:cs="Times New Roman"/>
          <w:sz w:val="32"/>
          <w:szCs w:val="32"/>
          <w:lang w:val="en-US" w:eastAsia="ru-RU"/>
        </w:rPr>
        <w:t xml:space="preserve"> </w:t>
      </w:r>
      <w:r w:rsidRPr="005E4E3D">
        <w:rPr>
          <w:rFonts w:ascii="Times New Roman" w:eastAsia="Times New Roman" w:hAnsi="Times New Roman" w:cs="Times New Roman"/>
          <w:sz w:val="32"/>
          <w:szCs w:val="32"/>
          <w:lang w:eastAsia="ru-RU"/>
        </w:rPr>
        <w:t>контент</w:t>
      </w:r>
      <w:r w:rsidRPr="005E4E3D">
        <w:rPr>
          <w:rFonts w:ascii="Times New Roman" w:eastAsia="Times New Roman" w:hAnsi="Times New Roman" w:cs="Times New Roman"/>
          <w:sz w:val="32"/>
          <w:szCs w:val="32"/>
          <w:lang w:val="en-US" w:eastAsia="ru-RU"/>
        </w:rPr>
        <w:t>:</w:t>
      </w:r>
    </w:p>
    <w:p w14:paraId="2683EAEE"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Переход от прямой продажи к нарративной подаче: «Этот кулон был подарен ей в день, когда она сказала: «Я готова»,</w:t>
      </w:r>
    </w:p>
    <w:p w14:paraId="2DD87D76"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Аналоги: визуальная стилистика брендов Mejuri, Viva La Vika, Completedworks.</w:t>
      </w:r>
    </w:p>
    <w:p w14:paraId="6551E468" w14:textId="77777777" w:rsidR="005E4E3D" w:rsidRPr="005E4E3D" w:rsidRDefault="005E4E3D" w:rsidP="005E4E3D">
      <w:pPr>
        <w:spacing w:after="0" w:line="240" w:lineRule="auto"/>
        <w:ind w:firstLine="709"/>
        <w:jc w:val="both"/>
        <w:rPr>
          <w:rFonts w:ascii="Times New Roman" w:eastAsia="Times New Roman" w:hAnsi="Times New Roman" w:cs="Times New Roman"/>
          <w:sz w:val="24"/>
          <w:szCs w:val="24"/>
          <w:lang w:eastAsia="ru-RU"/>
        </w:rPr>
      </w:pPr>
    </w:p>
    <w:p w14:paraId="11B44562" w14:textId="77777777" w:rsidR="005E4E3D" w:rsidRPr="005E4E3D" w:rsidRDefault="005E4E3D" w:rsidP="0057345B">
      <w:pPr>
        <w:spacing w:after="0" w:line="240" w:lineRule="auto"/>
        <w:ind w:firstLine="708"/>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Таблица 4 — Сравнительный анализ: до и после</w:t>
      </w:r>
    </w:p>
    <w:tbl>
      <w:tblPr>
        <w:tblStyle w:val="42"/>
        <w:tblW w:w="9628" w:type="dxa"/>
        <w:tblLook w:val="04A0" w:firstRow="1" w:lastRow="0" w:firstColumn="1" w:lastColumn="0" w:noHBand="0" w:noVBand="1"/>
      </w:tblPr>
      <w:tblGrid>
        <w:gridCol w:w="3209"/>
        <w:gridCol w:w="3209"/>
        <w:gridCol w:w="3210"/>
      </w:tblGrid>
      <w:tr w:rsidR="005E4E3D" w:rsidRPr="005E4E3D" w14:paraId="247E69C8" w14:textId="77777777" w:rsidTr="00EB1CB9">
        <w:tc>
          <w:tcPr>
            <w:tcW w:w="3209" w:type="dxa"/>
            <w:vAlign w:val="center"/>
          </w:tcPr>
          <w:p w14:paraId="4BD6896E" w14:textId="77777777" w:rsidR="005E4E3D" w:rsidRPr="005E4E3D" w:rsidRDefault="005E4E3D" w:rsidP="0057345B">
            <w:pPr>
              <w:jc w:val="both"/>
              <w:rPr>
                <w:rFonts w:ascii="Times New Roman" w:eastAsia="Times New Roman" w:hAnsi="Times New Roman" w:cs="Times New Roman"/>
                <w:b/>
                <w:bCs/>
                <w:lang w:eastAsia="ru-RU"/>
              </w:rPr>
            </w:pPr>
            <w:r w:rsidRPr="005E4E3D">
              <w:rPr>
                <w:rFonts w:ascii="Times New Roman" w:eastAsia="Times New Roman" w:hAnsi="Times New Roman" w:cs="Times New Roman"/>
                <w:b/>
                <w:bCs/>
                <w:lang w:eastAsia="ru-RU"/>
              </w:rPr>
              <w:t>Параметр</w:t>
            </w:r>
          </w:p>
        </w:tc>
        <w:tc>
          <w:tcPr>
            <w:tcW w:w="3209" w:type="dxa"/>
            <w:vAlign w:val="center"/>
          </w:tcPr>
          <w:p w14:paraId="00633015" w14:textId="77777777" w:rsidR="005E4E3D" w:rsidRPr="005E4E3D" w:rsidRDefault="005E4E3D" w:rsidP="0057345B">
            <w:pPr>
              <w:jc w:val="both"/>
              <w:rPr>
                <w:rFonts w:ascii="Times New Roman" w:eastAsia="Times New Roman" w:hAnsi="Times New Roman" w:cs="Times New Roman"/>
                <w:b/>
                <w:bCs/>
                <w:lang w:eastAsia="ru-RU"/>
              </w:rPr>
            </w:pPr>
            <w:r w:rsidRPr="005E4E3D">
              <w:rPr>
                <w:rFonts w:ascii="Times New Roman" w:eastAsia="Times New Roman" w:hAnsi="Times New Roman" w:cs="Times New Roman"/>
                <w:b/>
                <w:bCs/>
                <w:lang w:eastAsia="ru-RU"/>
              </w:rPr>
              <w:t>До реконцепции</w:t>
            </w:r>
          </w:p>
        </w:tc>
        <w:tc>
          <w:tcPr>
            <w:tcW w:w="3210" w:type="dxa"/>
            <w:vAlign w:val="center"/>
          </w:tcPr>
          <w:p w14:paraId="7838576A" w14:textId="77777777" w:rsidR="005E4E3D" w:rsidRPr="005E4E3D" w:rsidRDefault="005E4E3D" w:rsidP="0057345B">
            <w:pPr>
              <w:jc w:val="both"/>
              <w:rPr>
                <w:rFonts w:ascii="Times New Roman" w:eastAsia="Times New Roman" w:hAnsi="Times New Roman" w:cs="Times New Roman"/>
                <w:b/>
                <w:bCs/>
                <w:lang w:eastAsia="ru-RU"/>
              </w:rPr>
            </w:pPr>
            <w:r w:rsidRPr="005E4E3D">
              <w:rPr>
                <w:rFonts w:ascii="Times New Roman" w:eastAsia="Times New Roman" w:hAnsi="Times New Roman" w:cs="Times New Roman"/>
                <w:b/>
                <w:bCs/>
                <w:lang w:eastAsia="ru-RU"/>
              </w:rPr>
              <w:t>После реконцепции</w:t>
            </w:r>
          </w:p>
        </w:tc>
      </w:tr>
      <w:tr w:rsidR="005E4E3D" w:rsidRPr="005E4E3D" w14:paraId="0B55D945" w14:textId="77777777" w:rsidTr="00EB1CB9">
        <w:tc>
          <w:tcPr>
            <w:tcW w:w="3209" w:type="dxa"/>
            <w:vAlign w:val="center"/>
          </w:tcPr>
          <w:p w14:paraId="20ACF1A7"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Цветовая палитра</w:t>
            </w:r>
          </w:p>
        </w:tc>
        <w:tc>
          <w:tcPr>
            <w:tcW w:w="3209" w:type="dxa"/>
            <w:vAlign w:val="center"/>
          </w:tcPr>
          <w:p w14:paraId="25BF5EE6"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Яркий красный, жёлтый</w:t>
            </w:r>
          </w:p>
        </w:tc>
        <w:tc>
          <w:tcPr>
            <w:tcW w:w="3210" w:type="dxa"/>
            <w:vAlign w:val="center"/>
          </w:tcPr>
          <w:p w14:paraId="39A85F1E"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Бордо, золото, молочный, графит</w:t>
            </w:r>
          </w:p>
        </w:tc>
      </w:tr>
      <w:tr w:rsidR="005E4E3D" w:rsidRPr="005E4E3D" w14:paraId="2039FBD3" w14:textId="77777777" w:rsidTr="00EB1CB9">
        <w:tc>
          <w:tcPr>
            <w:tcW w:w="3209" w:type="dxa"/>
            <w:vAlign w:val="center"/>
          </w:tcPr>
          <w:p w14:paraId="777CD799"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Типографика</w:t>
            </w:r>
          </w:p>
        </w:tc>
        <w:tc>
          <w:tcPr>
            <w:tcW w:w="3209" w:type="dxa"/>
            <w:vAlign w:val="center"/>
          </w:tcPr>
          <w:p w14:paraId="0B67F6E1"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Простой гротеск, без контекста</w:t>
            </w:r>
          </w:p>
        </w:tc>
        <w:tc>
          <w:tcPr>
            <w:tcW w:w="3210" w:type="dxa"/>
            <w:vAlign w:val="center"/>
          </w:tcPr>
          <w:p w14:paraId="2E76D79A"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Антиква + гротеск, эстетически сбалансированы</w:t>
            </w:r>
          </w:p>
        </w:tc>
      </w:tr>
      <w:tr w:rsidR="005E4E3D" w:rsidRPr="005E4E3D" w14:paraId="242CCF09" w14:textId="77777777" w:rsidTr="00EB1CB9">
        <w:tc>
          <w:tcPr>
            <w:tcW w:w="3209" w:type="dxa"/>
            <w:vAlign w:val="center"/>
          </w:tcPr>
          <w:p w14:paraId="6B7E8F10"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Логотип</w:t>
            </w:r>
          </w:p>
        </w:tc>
        <w:tc>
          <w:tcPr>
            <w:tcW w:w="3209" w:type="dxa"/>
            <w:vAlign w:val="center"/>
          </w:tcPr>
          <w:p w14:paraId="7143489A"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Звезда, рамка, цифры</w:t>
            </w:r>
          </w:p>
        </w:tc>
        <w:tc>
          <w:tcPr>
            <w:tcW w:w="3210" w:type="dxa"/>
            <w:vAlign w:val="center"/>
          </w:tcPr>
          <w:p w14:paraId="3D453C73"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Абстрактный символ, круг, тиснение</w:t>
            </w:r>
          </w:p>
        </w:tc>
      </w:tr>
      <w:tr w:rsidR="005E4E3D" w:rsidRPr="005E4E3D" w14:paraId="1EAE6F2E" w14:textId="77777777" w:rsidTr="00EB1CB9">
        <w:tc>
          <w:tcPr>
            <w:tcW w:w="3209" w:type="dxa"/>
            <w:vAlign w:val="center"/>
          </w:tcPr>
          <w:p w14:paraId="660F5C24"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Упаковка</w:t>
            </w:r>
          </w:p>
        </w:tc>
        <w:tc>
          <w:tcPr>
            <w:tcW w:w="3209" w:type="dxa"/>
            <w:vAlign w:val="center"/>
          </w:tcPr>
          <w:p w14:paraId="764EC30B"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Пластик, шрифт, информация на коробке</w:t>
            </w:r>
          </w:p>
        </w:tc>
        <w:tc>
          <w:tcPr>
            <w:tcW w:w="3210" w:type="dxa"/>
            <w:vAlign w:val="center"/>
          </w:tcPr>
          <w:p w14:paraId="469D6166"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Ткань, текстура, цитата, отсутствует наружная реклама</w:t>
            </w:r>
          </w:p>
        </w:tc>
      </w:tr>
      <w:tr w:rsidR="005E4E3D" w:rsidRPr="005E4E3D" w14:paraId="04915AEF" w14:textId="77777777" w:rsidTr="00EB1CB9">
        <w:tc>
          <w:tcPr>
            <w:tcW w:w="3209" w:type="dxa"/>
            <w:vAlign w:val="center"/>
          </w:tcPr>
          <w:p w14:paraId="24EC0B7C"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Тон коммуникации</w:t>
            </w:r>
          </w:p>
        </w:tc>
        <w:tc>
          <w:tcPr>
            <w:tcW w:w="3209" w:type="dxa"/>
            <w:vAlign w:val="center"/>
          </w:tcPr>
          <w:p w14:paraId="0E814A60"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«Суперцены», «выгода», «скидка»</w:t>
            </w:r>
          </w:p>
        </w:tc>
        <w:tc>
          <w:tcPr>
            <w:tcW w:w="3210" w:type="dxa"/>
            <w:vAlign w:val="center"/>
          </w:tcPr>
          <w:p w14:paraId="110EEC71"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История, тишина, глубина</w:t>
            </w:r>
          </w:p>
        </w:tc>
      </w:tr>
      <w:tr w:rsidR="005E4E3D" w:rsidRPr="005E4E3D" w14:paraId="56426A33" w14:textId="77777777" w:rsidTr="00EB1CB9">
        <w:tc>
          <w:tcPr>
            <w:tcW w:w="3209" w:type="dxa"/>
          </w:tcPr>
          <w:p w14:paraId="575A38EC" w14:textId="77777777" w:rsidR="005E4E3D" w:rsidRPr="005E4E3D" w:rsidRDefault="005E4E3D" w:rsidP="0057345B">
            <w:pPr>
              <w:jc w:val="both"/>
              <w:outlineLvl w:val="2"/>
              <w:rPr>
                <w:rFonts w:ascii="Times New Roman" w:eastAsia="Times New Roman" w:hAnsi="Times New Roman" w:cs="Times New Roman"/>
                <w:sz w:val="32"/>
                <w:szCs w:val="32"/>
                <w:lang w:eastAsia="ru-RU"/>
              </w:rPr>
            </w:pPr>
            <w:r w:rsidRPr="005E4E3D">
              <w:rPr>
                <w:rFonts w:ascii="Times New Roman" w:eastAsia="Times New Roman" w:hAnsi="Times New Roman" w:cs="Times New Roman"/>
                <w:lang w:eastAsia="ru-RU"/>
              </w:rPr>
              <w:t>Сайт и соцсети</w:t>
            </w:r>
          </w:p>
        </w:tc>
        <w:tc>
          <w:tcPr>
            <w:tcW w:w="3209" w:type="dxa"/>
            <w:vAlign w:val="center"/>
          </w:tcPr>
          <w:p w14:paraId="3B46951E"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Транзакция</w:t>
            </w:r>
          </w:p>
        </w:tc>
        <w:tc>
          <w:tcPr>
            <w:tcW w:w="3210" w:type="dxa"/>
            <w:vAlign w:val="center"/>
          </w:tcPr>
          <w:p w14:paraId="1DD38282" w14:textId="77777777" w:rsidR="005E4E3D" w:rsidRPr="005E4E3D" w:rsidRDefault="005E4E3D" w:rsidP="0057345B">
            <w:pPr>
              <w:jc w:val="both"/>
              <w:rPr>
                <w:rFonts w:ascii="Times New Roman" w:eastAsia="Times New Roman" w:hAnsi="Times New Roman" w:cs="Times New Roman"/>
                <w:lang w:eastAsia="ru-RU"/>
              </w:rPr>
            </w:pPr>
            <w:r w:rsidRPr="005E4E3D">
              <w:rPr>
                <w:rFonts w:ascii="Times New Roman" w:eastAsia="Times New Roman" w:hAnsi="Times New Roman" w:cs="Times New Roman"/>
                <w:lang w:eastAsia="ru-RU"/>
              </w:rPr>
              <w:t>Эмоция, выбор, память</w:t>
            </w:r>
          </w:p>
        </w:tc>
      </w:tr>
    </w:tbl>
    <w:p w14:paraId="4CF1107A" w14:textId="77777777" w:rsidR="005E4E3D" w:rsidRPr="005E4E3D" w:rsidRDefault="005E4E3D" w:rsidP="005E4E3D">
      <w:pPr>
        <w:spacing w:after="0" w:line="240" w:lineRule="auto"/>
        <w:ind w:firstLine="709"/>
        <w:jc w:val="both"/>
        <w:rPr>
          <w:rFonts w:ascii="Times New Roman" w:eastAsia="Times New Roman" w:hAnsi="Times New Roman" w:cs="Times New Roman"/>
          <w:color w:val="000000"/>
          <w:sz w:val="32"/>
          <w:szCs w:val="32"/>
          <w:shd w:val="clear" w:color="auto" w:fill="FFFFFF"/>
          <w:lang w:eastAsia="ru-RU"/>
        </w:rPr>
      </w:pPr>
    </w:p>
    <w:p w14:paraId="5711EC04"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Заключение</w:t>
      </w:r>
    </w:p>
    <w:p w14:paraId="65982B2B"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Результаты проведённого исследования подтверждают, что эстетический интеллект способен выступать в качестве полноценного стратегического ресурса в построении бренда. Современный потребитель всё чаще ориентирован не на функциональные свойства продукта, а на восприятие, эмоции и ценности, которые транслирует бренд. Именно эстетика, как форма выражения этих смыслов, становится главным каналом коммуникации.</w:t>
      </w:r>
    </w:p>
    <w:p w14:paraId="19BD0909"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 xml:space="preserve">Анализ бренда «585*Золотой» показал наличие глубоких несоответствий между символической природой ювелирного изделия и визуальной подачей, сконцентрированной на акциях, скидках и </w:t>
      </w:r>
      <w:r w:rsidRPr="005E4E3D">
        <w:rPr>
          <w:rFonts w:ascii="Times New Roman" w:eastAsia="Times New Roman" w:hAnsi="Times New Roman" w:cs="Times New Roman"/>
          <w:sz w:val="32"/>
          <w:szCs w:val="32"/>
          <w:lang w:eastAsia="ru-RU"/>
        </w:rPr>
        <w:lastRenderedPageBreak/>
        <w:t>«кричащих» визуальных кодах. Такой подход лишает продукт эмоциональной ценности и обесценивает восприятие бренда в глазах целевой аудитории.</w:t>
      </w:r>
    </w:p>
    <w:p w14:paraId="04104DC7"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Проведённая реконцепция бренда на основе принципов эстетического интеллекта позволила создать новую визуальную систему, которая:</w:t>
      </w:r>
    </w:p>
    <w:p w14:paraId="008484EB" w14:textId="77777777" w:rsidR="005E4E3D" w:rsidRPr="005E4E3D" w:rsidRDefault="005E4E3D" w:rsidP="00AD58CD">
      <w:pPr>
        <w:numPr>
          <w:ilvl w:val="0"/>
          <w:numId w:val="85"/>
        </w:numPr>
        <w:spacing w:before="100" w:beforeAutospacing="1" w:after="100" w:afterAutospacing="1"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гармонизирует внешний облик с внутренней философией продукта;</w:t>
      </w:r>
    </w:p>
    <w:p w14:paraId="76EBD2A1" w14:textId="77777777" w:rsidR="005E4E3D" w:rsidRPr="005E4E3D" w:rsidRDefault="005E4E3D" w:rsidP="00AD58CD">
      <w:pPr>
        <w:numPr>
          <w:ilvl w:val="0"/>
          <w:numId w:val="85"/>
        </w:numPr>
        <w:spacing w:before="100" w:beforeAutospacing="1" w:after="100" w:afterAutospacing="1"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усиливает ощущение персонального выбора и уважения к покупателю;</w:t>
      </w:r>
    </w:p>
    <w:p w14:paraId="4FFC7196" w14:textId="77777777" w:rsidR="005E4E3D" w:rsidRPr="005E4E3D" w:rsidRDefault="005E4E3D" w:rsidP="00AD58CD">
      <w:pPr>
        <w:numPr>
          <w:ilvl w:val="0"/>
          <w:numId w:val="85"/>
        </w:numPr>
        <w:spacing w:before="100" w:beforeAutospacing="1" w:after="100" w:afterAutospacing="1"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формирует доверие через эстетику, а не через цену;</w:t>
      </w:r>
    </w:p>
    <w:p w14:paraId="229E59B1" w14:textId="77777777" w:rsidR="005E4E3D" w:rsidRPr="005E4E3D" w:rsidRDefault="005E4E3D" w:rsidP="00AD58CD">
      <w:pPr>
        <w:numPr>
          <w:ilvl w:val="0"/>
          <w:numId w:val="85"/>
        </w:numPr>
        <w:spacing w:before="100" w:beforeAutospacing="1" w:after="100" w:afterAutospacing="1" w:line="240" w:lineRule="auto"/>
        <w:ind w:left="0"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переводит бренд из категории транзакционного в категорию ценностного и эмоционального.</w:t>
      </w:r>
    </w:p>
    <w:p w14:paraId="2FE398BE"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r w:rsidRPr="005E4E3D">
        <w:rPr>
          <w:rFonts w:ascii="Times New Roman" w:eastAsia="Times New Roman" w:hAnsi="Times New Roman" w:cs="Times New Roman"/>
          <w:sz w:val="32"/>
          <w:szCs w:val="32"/>
          <w:lang w:eastAsia="ru-RU"/>
        </w:rPr>
        <w:t>В перспективе эстетический интеллект может быть интегрирован в программы корпоративного управления, дизайн-мышления, UX-архитектуры, а также стать частью ESG-стратегий как гуманистический и культурный аспект бренда.</w:t>
      </w:r>
    </w:p>
    <w:p w14:paraId="496788C4" w14:textId="77777777" w:rsidR="005E4E3D" w:rsidRPr="005E4E3D" w:rsidRDefault="005E4E3D" w:rsidP="005E4E3D">
      <w:pPr>
        <w:spacing w:after="0" w:line="240" w:lineRule="auto"/>
        <w:ind w:firstLine="709"/>
        <w:jc w:val="both"/>
        <w:rPr>
          <w:rFonts w:ascii="Times New Roman" w:eastAsia="Times New Roman" w:hAnsi="Times New Roman" w:cs="Times New Roman"/>
          <w:sz w:val="32"/>
          <w:szCs w:val="32"/>
          <w:lang w:eastAsia="ru-RU"/>
        </w:rPr>
      </w:pPr>
    </w:p>
    <w:p w14:paraId="23F69595" w14:textId="77777777" w:rsidR="005E4E3D" w:rsidRPr="005E4E3D" w:rsidRDefault="005E4E3D" w:rsidP="005966E2">
      <w:pPr>
        <w:spacing w:after="0" w:line="240" w:lineRule="auto"/>
        <w:jc w:val="center"/>
        <w:rPr>
          <w:rFonts w:ascii="Times New Roman" w:eastAsia="Times New Roman" w:hAnsi="Times New Roman" w:cs="Times New Roman"/>
          <w:b/>
          <w:sz w:val="32"/>
          <w:szCs w:val="32"/>
          <w:lang w:eastAsia="ru-RU"/>
        </w:rPr>
      </w:pPr>
      <w:r w:rsidRPr="005E4E3D">
        <w:rPr>
          <w:rFonts w:ascii="Times New Roman" w:eastAsia="Times New Roman" w:hAnsi="Times New Roman" w:cs="Times New Roman"/>
          <w:b/>
          <w:sz w:val="21"/>
          <w:szCs w:val="21"/>
          <w:lang w:eastAsia="ru-RU"/>
        </w:rPr>
        <w:t>Литература:</w:t>
      </w:r>
    </w:p>
    <w:p w14:paraId="45D52874" w14:textId="77777777" w:rsidR="005E4E3D" w:rsidRPr="005E4E3D" w:rsidRDefault="005E4E3D" w:rsidP="00AD58CD">
      <w:pPr>
        <w:numPr>
          <w:ilvl w:val="0"/>
          <w:numId w:val="87"/>
        </w:numPr>
        <w:spacing w:after="0" w:line="240" w:lineRule="auto"/>
        <w:ind w:left="0" w:firstLine="0"/>
        <w:contextualSpacing/>
        <w:jc w:val="both"/>
        <w:rPr>
          <w:rFonts w:ascii="Times New Roman" w:eastAsia="Times New Roman" w:hAnsi="Times New Roman" w:cs="Times New Roman"/>
          <w:sz w:val="21"/>
          <w:szCs w:val="21"/>
          <w:lang w:eastAsia="ru-RU"/>
        </w:rPr>
      </w:pPr>
      <w:r w:rsidRPr="005E4E3D">
        <w:rPr>
          <w:rFonts w:ascii="Times New Roman" w:eastAsia="Times New Roman" w:hAnsi="Times New Roman" w:cs="Times New Roman"/>
          <w:sz w:val="21"/>
          <w:szCs w:val="21"/>
          <w:lang w:eastAsia="ru-RU"/>
        </w:rPr>
        <w:t>Браун П. Эстетический интеллект: как развить чувство прекрасного и применять его в бизнесе и жизни. — М.: Манн, Иванов и Фербер, 2020. — 288 с.</w:t>
      </w:r>
    </w:p>
    <w:p w14:paraId="1D7DD43E" w14:textId="77777777" w:rsidR="005E4E3D" w:rsidRPr="005E4E3D" w:rsidRDefault="005E4E3D" w:rsidP="00AD58CD">
      <w:pPr>
        <w:numPr>
          <w:ilvl w:val="0"/>
          <w:numId w:val="87"/>
        </w:numPr>
        <w:spacing w:after="0" w:line="240" w:lineRule="auto"/>
        <w:ind w:left="0" w:firstLine="0"/>
        <w:contextualSpacing/>
        <w:jc w:val="both"/>
        <w:rPr>
          <w:rFonts w:ascii="Times New Roman" w:eastAsia="Times New Roman" w:hAnsi="Times New Roman" w:cs="Times New Roman"/>
          <w:sz w:val="21"/>
          <w:szCs w:val="21"/>
          <w:lang w:eastAsia="ru-RU"/>
        </w:rPr>
      </w:pPr>
      <w:r w:rsidRPr="005E4E3D">
        <w:rPr>
          <w:rFonts w:ascii="Times New Roman" w:eastAsia="Times New Roman" w:hAnsi="Times New Roman" w:cs="Times New Roman"/>
          <w:sz w:val="21"/>
          <w:szCs w:val="21"/>
          <w:lang w:eastAsia="ru-RU"/>
        </w:rPr>
        <w:t>Варшавская Ю., Сербина М. «Избыток денег не гарантирует вкус»: Полин Браун о значении эстетического интеллекта // Forbes Woman. — 2023. — URL: https://www.forbes.ru/forbes-woman/508276-izbytok-deneg-ne-garantiruet-vkus-polin-braun-o-znacenii-esteticeskogo-intellekta (дата обращения: 15.05.2025).</w:t>
      </w:r>
    </w:p>
    <w:p w14:paraId="7F4409CA" w14:textId="77777777" w:rsidR="005E4E3D" w:rsidRPr="005E4E3D" w:rsidRDefault="005E4E3D" w:rsidP="00AD58CD">
      <w:pPr>
        <w:numPr>
          <w:ilvl w:val="0"/>
          <w:numId w:val="87"/>
        </w:numPr>
        <w:spacing w:after="0" w:line="240" w:lineRule="auto"/>
        <w:ind w:left="0" w:firstLine="0"/>
        <w:contextualSpacing/>
        <w:jc w:val="both"/>
        <w:rPr>
          <w:rFonts w:ascii="Times New Roman" w:eastAsia="Times New Roman" w:hAnsi="Times New Roman" w:cs="Times New Roman"/>
          <w:sz w:val="21"/>
          <w:szCs w:val="21"/>
          <w:lang w:eastAsia="ru-RU"/>
        </w:rPr>
      </w:pPr>
      <w:r w:rsidRPr="005E4E3D">
        <w:rPr>
          <w:rFonts w:ascii="Times New Roman" w:eastAsia="Times New Roman" w:hAnsi="Times New Roman" w:cs="Times New Roman"/>
          <w:sz w:val="21"/>
          <w:szCs w:val="21"/>
          <w:lang w:eastAsia="ru-RU"/>
        </w:rPr>
        <w:t>Медюха О. Эстетический интеллект: 3 упражнения, чтобы развить чувство прекрасного // Marie Claire. — 2024. — URL: https://www.marieclaire.ru/karera/esteticheskii-intellekt-3-uprazhneniya-chtoby-razvit-chuvstvo-prekrasnogo (дата обращения: 15.05.2025).</w:t>
      </w:r>
    </w:p>
    <w:p w14:paraId="70387E38" w14:textId="77777777" w:rsidR="005E4E3D" w:rsidRDefault="005E4E3D" w:rsidP="005E4E3D">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p>
    <w:p w14:paraId="424F23A7" w14:textId="77777777" w:rsidR="005E4E3D" w:rsidRPr="00877DE5" w:rsidRDefault="005E4E3D" w:rsidP="005E4E3D">
      <w:p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p>
    <w:p w14:paraId="71179A80" w14:textId="77777777" w:rsidR="00877DE5" w:rsidRPr="00877DE5" w:rsidRDefault="00877DE5" w:rsidP="005966E2">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eastAsia="ru-RU"/>
        </w:rPr>
        <w:t>УДК 69</w:t>
      </w:r>
    </w:p>
    <w:p w14:paraId="318F22BA"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
          <w:bCs/>
          <w:i/>
          <w:iCs/>
          <w:spacing w:val="-2"/>
          <w:sz w:val="21"/>
          <w:szCs w:val="21"/>
        </w:rPr>
      </w:pPr>
      <w:r w:rsidRPr="00877DE5">
        <w:rPr>
          <w:rFonts w:ascii="Times New Roman" w:eastAsia="Times New Roman" w:hAnsi="Times New Roman" w:cs="Times New Roman"/>
          <w:b/>
          <w:bCs/>
          <w:i/>
          <w:iCs/>
          <w:sz w:val="21"/>
          <w:szCs w:val="21"/>
        </w:rPr>
        <w:t>Мовсисян</w:t>
      </w:r>
      <w:r w:rsidRPr="00877DE5">
        <w:rPr>
          <w:rFonts w:ascii="Times New Roman" w:eastAsia="Times New Roman" w:hAnsi="Times New Roman" w:cs="Times New Roman"/>
          <w:b/>
          <w:bCs/>
          <w:i/>
          <w:iCs/>
          <w:spacing w:val="-12"/>
          <w:sz w:val="21"/>
          <w:szCs w:val="21"/>
        </w:rPr>
        <w:t xml:space="preserve"> </w:t>
      </w:r>
      <w:r w:rsidRPr="00877DE5">
        <w:rPr>
          <w:rFonts w:ascii="Times New Roman" w:eastAsia="Times New Roman" w:hAnsi="Times New Roman" w:cs="Times New Roman"/>
          <w:b/>
          <w:bCs/>
          <w:i/>
          <w:iCs/>
          <w:sz w:val="21"/>
          <w:szCs w:val="21"/>
        </w:rPr>
        <w:t>В.А.,</w:t>
      </w:r>
    </w:p>
    <w:p w14:paraId="5B3407B8"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Cs/>
          <w:i/>
          <w:iCs/>
          <w:spacing w:val="-2"/>
          <w:sz w:val="21"/>
          <w:szCs w:val="21"/>
        </w:rPr>
      </w:pPr>
      <w:r w:rsidRPr="00877DE5">
        <w:rPr>
          <w:rFonts w:ascii="Times New Roman" w:eastAsia="Times New Roman" w:hAnsi="Times New Roman" w:cs="Times New Roman"/>
          <w:bCs/>
          <w:i/>
          <w:iCs/>
          <w:spacing w:val="-2"/>
          <w:sz w:val="21"/>
          <w:szCs w:val="21"/>
        </w:rPr>
        <w:t xml:space="preserve">студент </w:t>
      </w:r>
    </w:p>
    <w:p w14:paraId="761908FD"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Cs/>
          <w:i/>
          <w:iCs/>
          <w:color w:val="000000"/>
          <w:sz w:val="21"/>
          <w:szCs w:val="21"/>
        </w:rPr>
      </w:pPr>
      <w:r w:rsidRPr="00877DE5">
        <w:rPr>
          <w:rFonts w:ascii="Times New Roman" w:eastAsia="Times New Roman" w:hAnsi="Times New Roman" w:cs="Times New Roman"/>
          <w:bCs/>
          <w:i/>
          <w:iCs/>
          <w:color w:val="000000"/>
          <w:sz w:val="21"/>
          <w:szCs w:val="21"/>
        </w:rPr>
        <w:t>Финансовый университет при Правительстве Российской Федерации,</w:t>
      </w:r>
    </w:p>
    <w:p w14:paraId="397AC85F"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Cs/>
          <w:i/>
          <w:iCs/>
          <w:sz w:val="21"/>
          <w:szCs w:val="21"/>
        </w:rPr>
      </w:pPr>
      <w:r w:rsidRPr="00877DE5">
        <w:rPr>
          <w:rFonts w:ascii="Times New Roman" w:eastAsia="Times New Roman" w:hAnsi="Times New Roman" w:cs="Times New Roman"/>
          <w:bCs/>
          <w:i/>
          <w:iCs/>
          <w:sz w:val="21"/>
          <w:szCs w:val="21"/>
        </w:rPr>
        <w:t>г.</w:t>
      </w:r>
      <w:r w:rsidRPr="00877DE5">
        <w:rPr>
          <w:rFonts w:ascii="Times New Roman" w:eastAsia="Times New Roman" w:hAnsi="Times New Roman" w:cs="Times New Roman"/>
          <w:bCs/>
          <w:i/>
          <w:iCs/>
          <w:spacing w:val="-18"/>
          <w:sz w:val="21"/>
          <w:szCs w:val="21"/>
        </w:rPr>
        <w:t xml:space="preserve"> </w:t>
      </w:r>
      <w:r w:rsidRPr="00877DE5">
        <w:rPr>
          <w:rFonts w:ascii="Times New Roman" w:eastAsia="Times New Roman" w:hAnsi="Times New Roman" w:cs="Times New Roman"/>
          <w:bCs/>
          <w:i/>
          <w:iCs/>
          <w:sz w:val="21"/>
          <w:szCs w:val="21"/>
        </w:rPr>
        <w:t xml:space="preserve">Краснодар </w:t>
      </w:r>
    </w:p>
    <w:p w14:paraId="3665C518"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Cs/>
          <w:iCs/>
          <w:spacing w:val="-2"/>
          <w:sz w:val="21"/>
          <w:szCs w:val="21"/>
        </w:rPr>
      </w:pPr>
      <w:r w:rsidRPr="00877DE5">
        <w:rPr>
          <w:rFonts w:ascii="Times New Roman" w:eastAsia="Times New Roman" w:hAnsi="Times New Roman" w:cs="Times New Roman"/>
          <w:bCs/>
          <w:iCs/>
          <w:sz w:val="21"/>
          <w:szCs w:val="21"/>
          <w:lang w:val="en-US"/>
        </w:rPr>
        <w:t>e</w:t>
      </w:r>
      <w:r w:rsidRPr="00877DE5">
        <w:rPr>
          <w:rFonts w:ascii="Times New Roman" w:eastAsia="Times New Roman" w:hAnsi="Times New Roman" w:cs="Times New Roman"/>
          <w:bCs/>
          <w:i/>
          <w:iCs/>
          <w:sz w:val="21"/>
          <w:szCs w:val="21"/>
        </w:rPr>
        <w:t>-</w:t>
      </w:r>
      <w:r w:rsidRPr="00877DE5">
        <w:rPr>
          <w:rFonts w:ascii="Times New Roman" w:eastAsia="Times New Roman" w:hAnsi="Times New Roman" w:cs="Times New Roman"/>
          <w:bCs/>
          <w:i/>
          <w:iCs/>
          <w:sz w:val="21"/>
          <w:szCs w:val="21"/>
          <w:lang w:val="en-US"/>
        </w:rPr>
        <w:t>mail</w:t>
      </w:r>
      <w:r w:rsidRPr="00877DE5">
        <w:rPr>
          <w:rFonts w:ascii="Times New Roman" w:eastAsia="Times New Roman" w:hAnsi="Times New Roman" w:cs="Times New Roman"/>
          <w:bCs/>
          <w:i/>
          <w:iCs/>
          <w:sz w:val="21"/>
          <w:szCs w:val="21"/>
        </w:rPr>
        <w:t>:</w:t>
      </w:r>
      <w:r w:rsidRPr="00877DE5">
        <w:rPr>
          <w:rFonts w:ascii="Times New Roman" w:eastAsia="Times New Roman" w:hAnsi="Times New Roman" w:cs="Times New Roman"/>
          <w:bCs/>
          <w:i/>
          <w:iCs/>
          <w:spacing w:val="-10"/>
          <w:sz w:val="21"/>
          <w:szCs w:val="21"/>
        </w:rPr>
        <w:t xml:space="preserve"> </w:t>
      </w:r>
      <w:hyperlink r:id="rId330">
        <w:r w:rsidRPr="00877DE5">
          <w:rPr>
            <w:rFonts w:ascii="Times New Roman" w:eastAsia="Times New Roman" w:hAnsi="Times New Roman" w:cs="Times New Roman"/>
            <w:bCs/>
            <w:i/>
            <w:iCs/>
            <w:spacing w:val="-2"/>
            <w:sz w:val="21"/>
            <w:szCs w:val="21"/>
            <w:lang w:val="en-US"/>
          </w:rPr>
          <w:t>obladaet</w:t>
        </w:r>
        <w:r w:rsidRPr="00877DE5">
          <w:rPr>
            <w:rFonts w:ascii="Times New Roman" w:eastAsia="Times New Roman" w:hAnsi="Times New Roman" w:cs="Times New Roman"/>
            <w:bCs/>
            <w:i/>
            <w:iCs/>
            <w:spacing w:val="-2"/>
            <w:sz w:val="21"/>
            <w:szCs w:val="21"/>
          </w:rPr>
          <w:t>123456789@</w:t>
        </w:r>
        <w:r w:rsidRPr="00877DE5">
          <w:rPr>
            <w:rFonts w:ascii="Times New Roman" w:eastAsia="Times New Roman" w:hAnsi="Times New Roman" w:cs="Times New Roman"/>
            <w:bCs/>
            <w:i/>
            <w:iCs/>
            <w:spacing w:val="-2"/>
            <w:sz w:val="21"/>
            <w:szCs w:val="21"/>
            <w:lang w:val="en-US"/>
          </w:rPr>
          <w:t>mail</w:t>
        </w:r>
        <w:r w:rsidRPr="00877DE5">
          <w:rPr>
            <w:rFonts w:ascii="Times New Roman" w:eastAsia="Times New Roman" w:hAnsi="Times New Roman" w:cs="Times New Roman"/>
            <w:bCs/>
            <w:i/>
            <w:iCs/>
            <w:spacing w:val="-2"/>
            <w:sz w:val="21"/>
            <w:szCs w:val="21"/>
          </w:rPr>
          <w:t>.</w:t>
        </w:r>
        <w:r w:rsidRPr="00877DE5">
          <w:rPr>
            <w:rFonts w:ascii="Times New Roman" w:eastAsia="Times New Roman" w:hAnsi="Times New Roman" w:cs="Times New Roman"/>
            <w:bCs/>
            <w:i/>
            <w:iCs/>
            <w:spacing w:val="-2"/>
            <w:sz w:val="21"/>
            <w:szCs w:val="21"/>
            <w:lang w:val="en-US"/>
          </w:rPr>
          <w:t>ru</w:t>
        </w:r>
      </w:hyperlink>
      <w:r w:rsidRPr="00877DE5">
        <w:rPr>
          <w:rFonts w:ascii="Times New Roman" w:eastAsia="Times New Roman" w:hAnsi="Times New Roman" w:cs="Times New Roman"/>
          <w:bCs/>
          <w:iCs/>
          <w:spacing w:val="-2"/>
          <w:sz w:val="21"/>
          <w:szCs w:val="21"/>
        </w:rPr>
        <w:t xml:space="preserve"> </w:t>
      </w:r>
    </w:p>
    <w:p w14:paraId="794708BA" w14:textId="77777777" w:rsidR="00877DE5" w:rsidRPr="00877DE5" w:rsidRDefault="00877DE5" w:rsidP="00067100">
      <w:pPr>
        <w:widowControl w:val="0"/>
        <w:autoSpaceDE w:val="0"/>
        <w:autoSpaceDN w:val="0"/>
        <w:spacing w:after="0" w:line="240" w:lineRule="auto"/>
        <w:ind w:right="137" w:firstLine="709"/>
        <w:jc w:val="right"/>
        <w:outlineLvl w:val="1"/>
        <w:rPr>
          <w:rFonts w:ascii="Times New Roman" w:eastAsia="Times New Roman" w:hAnsi="Times New Roman" w:cs="Times New Roman"/>
          <w:bCs/>
          <w:iCs/>
          <w:spacing w:val="-2"/>
          <w:sz w:val="21"/>
          <w:szCs w:val="21"/>
        </w:rPr>
      </w:pPr>
    </w:p>
    <w:p w14:paraId="3526ADB3" w14:textId="77777777" w:rsidR="00877DE5" w:rsidRPr="00877DE5" w:rsidRDefault="00877DE5" w:rsidP="00067100">
      <w:pPr>
        <w:widowControl w:val="0"/>
        <w:autoSpaceDE w:val="0"/>
        <w:autoSpaceDN w:val="0"/>
        <w:spacing w:after="0" w:line="240" w:lineRule="auto"/>
        <w:ind w:firstLine="709"/>
        <w:jc w:val="center"/>
        <w:outlineLvl w:val="0"/>
        <w:rPr>
          <w:rFonts w:ascii="Times New Roman" w:eastAsia="Times New Roman" w:hAnsi="Times New Roman" w:cs="Times New Roman"/>
          <w:b/>
          <w:bCs/>
          <w:sz w:val="21"/>
          <w:szCs w:val="21"/>
        </w:rPr>
      </w:pPr>
      <w:r w:rsidRPr="00877DE5">
        <w:rPr>
          <w:rFonts w:ascii="Times New Roman" w:eastAsia="Times New Roman" w:hAnsi="Times New Roman" w:cs="Times New Roman"/>
          <w:b/>
          <w:bCs/>
          <w:sz w:val="21"/>
          <w:szCs w:val="21"/>
        </w:rPr>
        <w:t>Анализ</w:t>
      </w:r>
      <w:r w:rsidRPr="00877DE5">
        <w:rPr>
          <w:rFonts w:ascii="Times New Roman" w:eastAsia="Times New Roman" w:hAnsi="Times New Roman" w:cs="Times New Roman"/>
          <w:b/>
          <w:bCs/>
          <w:spacing w:val="-10"/>
          <w:sz w:val="21"/>
          <w:szCs w:val="21"/>
        </w:rPr>
        <w:t xml:space="preserve"> </w:t>
      </w:r>
      <w:r w:rsidRPr="00877DE5">
        <w:rPr>
          <w:rFonts w:ascii="Times New Roman" w:eastAsia="Times New Roman" w:hAnsi="Times New Roman" w:cs="Times New Roman"/>
          <w:b/>
          <w:bCs/>
          <w:sz w:val="21"/>
          <w:szCs w:val="21"/>
        </w:rPr>
        <w:t>и</w:t>
      </w:r>
      <w:r w:rsidRPr="00877DE5">
        <w:rPr>
          <w:rFonts w:ascii="Times New Roman" w:eastAsia="Times New Roman" w:hAnsi="Times New Roman" w:cs="Times New Roman"/>
          <w:b/>
          <w:bCs/>
          <w:spacing w:val="-11"/>
          <w:sz w:val="21"/>
          <w:szCs w:val="21"/>
        </w:rPr>
        <w:t xml:space="preserve"> </w:t>
      </w:r>
      <w:r w:rsidRPr="00877DE5">
        <w:rPr>
          <w:rFonts w:ascii="Times New Roman" w:eastAsia="Times New Roman" w:hAnsi="Times New Roman" w:cs="Times New Roman"/>
          <w:b/>
          <w:bCs/>
          <w:sz w:val="21"/>
          <w:szCs w:val="21"/>
        </w:rPr>
        <w:t>перспективы</w:t>
      </w:r>
      <w:r w:rsidRPr="00877DE5">
        <w:rPr>
          <w:rFonts w:ascii="Times New Roman" w:eastAsia="Times New Roman" w:hAnsi="Times New Roman" w:cs="Times New Roman"/>
          <w:b/>
          <w:bCs/>
          <w:spacing w:val="-11"/>
          <w:sz w:val="21"/>
          <w:szCs w:val="21"/>
        </w:rPr>
        <w:t xml:space="preserve"> </w:t>
      </w:r>
      <w:r w:rsidRPr="00877DE5">
        <w:rPr>
          <w:rFonts w:ascii="Times New Roman" w:eastAsia="Times New Roman" w:hAnsi="Times New Roman" w:cs="Times New Roman"/>
          <w:b/>
          <w:bCs/>
          <w:sz w:val="21"/>
          <w:szCs w:val="21"/>
        </w:rPr>
        <w:t>строительной</w:t>
      </w:r>
      <w:r w:rsidRPr="00877DE5">
        <w:rPr>
          <w:rFonts w:ascii="Times New Roman" w:eastAsia="Times New Roman" w:hAnsi="Times New Roman" w:cs="Times New Roman"/>
          <w:b/>
          <w:bCs/>
          <w:spacing w:val="-12"/>
          <w:sz w:val="21"/>
          <w:szCs w:val="21"/>
        </w:rPr>
        <w:t xml:space="preserve"> </w:t>
      </w:r>
      <w:r w:rsidRPr="00877DE5">
        <w:rPr>
          <w:rFonts w:ascii="Times New Roman" w:eastAsia="Times New Roman" w:hAnsi="Times New Roman" w:cs="Times New Roman"/>
          <w:b/>
          <w:bCs/>
          <w:sz w:val="21"/>
          <w:szCs w:val="21"/>
        </w:rPr>
        <w:t>отрасли Краснодарского края в 2025-2027 гг.</w:t>
      </w:r>
    </w:p>
    <w:p w14:paraId="27E275AF" w14:textId="77777777" w:rsidR="00877DE5" w:rsidRPr="00877DE5" w:rsidRDefault="00877DE5" w:rsidP="00067100">
      <w:pPr>
        <w:widowControl w:val="0"/>
        <w:autoSpaceDE w:val="0"/>
        <w:autoSpaceDN w:val="0"/>
        <w:spacing w:after="0" w:line="240" w:lineRule="auto"/>
        <w:ind w:left="141" w:right="136" w:firstLine="709"/>
        <w:jc w:val="both"/>
        <w:rPr>
          <w:rFonts w:ascii="Times New Roman" w:eastAsia="Times New Roman" w:hAnsi="Times New Roman" w:cs="Times New Roman"/>
          <w:b/>
          <w:sz w:val="21"/>
          <w:szCs w:val="21"/>
        </w:rPr>
      </w:pPr>
    </w:p>
    <w:p w14:paraId="35C98341" w14:textId="77777777" w:rsidR="00877DE5" w:rsidRPr="00877DE5" w:rsidRDefault="00877DE5" w:rsidP="00067100">
      <w:pPr>
        <w:widowControl w:val="0"/>
        <w:autoSpaceDE w:val="0"/>
        <w:autoSpaceDN w:val="0"/>
        <w:spacing w:after="0" w:line="240" w:lineRule="auto"/>
        <w:ind w:left="141" w:right="136" w:firstLine="709"/>
        <w:jc w:val="both"/>
        <w:rPr>
          <w:rFonts w:ascii="Times New Roman" w:eastAsia="Times New Roman" w:hAnsi="Times New Roman" w:cs="Times New Roman"/>
          <w:sz w:val="21"/>
          <w:szCs w:val="21"/>
        </w:rPr>
      </w:pPr>
      <w:r w:rsidRPr="00877DE5">
        <w:rPr>
          <w:rFonts w:ascii="Times New Roman" w:eastAsia="Times New Roman" w:hAnsi="Times New Roman" w:cs="Times New Roman"/>
          <w:b/>
          <w:sz w:val="21"/>
          <w:szCs w:val="21"/>
        </w:rPr>
        <w:t>Аннотация:</w:t>
      </w:r>
      <w:r w:rsidRPr="00877DE5">
        <w:rPr>
          <w:rFonts w:ascii="Times New Roman" w:eastAsia="Times New Roman" w:hAnsi="Times New Roman" w:cs="Times New Roman"/>
          <w:sz w:val="21"/>
          <w:szCs w:val="21"/>
        </w:rPr>
        <w:t xml:space="preserve"> Статья посвящена анализу текущего состояния строительной отрасли Краснодарского края и ее перспективам в период 2025-2027 гг. Рассмотрены факторы, влияющие на развитие отрасли, подробно исследованы ключевые тенденции и завершенные проекты, ожидаемые тенденции 2025-2027 гг. Основное внимание уделяется потенциальным возможностям и вызовам в будущем строительстве в регионе.</w:t>
      </w:r>
    </w:p>
    <w:p w14:paraId="0EBD35CC" w14:textId="77777777" w:rsidR="00877DE5" w:rsidRPr="00877DE5" w:rsidRDefault="00877DE5" w:rsidP="00067100">
      <w:pPr>
        <w:widowControl w:val="0"/>
        <w:autoSpaceDE w:val="0"/>
        <w:autoSpaceDN w:val="0"/>
        <w:spacing w:after="0" w:line="240" w:lineRule="auto"/>
        <w:ind w:left="141" w:right="138" w:firstLine="709"/>
        <w:jc w:val="both"/>
        <w:rPr>
          <w:rFonts w:ascii="Times New Roman" w:eastAsia="Times New Roman" w:hAnsi="Times New Roman" w:cs="Times New Roman"/>
          <w:sz w:val="21"/>
          <w:szCs w:val="21"/>
        </w:rPr>
      </w:pPr>
      <w:r w:rsidRPr="00877DE5">
        <w:rPr>
          <w:rFonts w:ascii="Times New Roman" w:eastAsia="Times New Roman" w:hAnsi="Times New Roman" w:cs="Times New Roman"/>
          <w:b/>
          <w:sz w:val="21"/>
          <w:szCs w:val="21"/>
        </w:rPr>
        <w:t xml:space="preserve">Ключевые слова: </w:t>
      </w:r>
      <w:r w:rsidRPr="00877DE5">
        <w:rPr>
          <w:rFonts w:ascii="Times New Roman" w:eastAsia="Times New Roman" w:hAnsi="Times New Roman" w:cs="Times New Roman"/>
          <w:sz w:val="21"/>
          <w:szCs w:val="21"/>
        </w:rPr>
        <w:t>Краснодарский край; строительная отрасль; экономическое развитие; проектирование; инвестиции.</w:t>
      </w:r>
    </w:p>
    <w:p w14:paraId="0BC59D24" w14:textId="77777777" w:rsidR="00877DE5" w:rsidRPr="00877DE5" w:rsidRDefault="00877DE5" w:rsidP="00067100">
      <w:pPr>
        <w:widowControl w:val="0"/>
        <w:autoSpaceDE w:val="0"/>
        <w:autoSpaceDN w:val="0"/>
        <w:spacing w:after="0" w:line="240" w:lineRule="auto"/>
        <w:ind w:firstLine="709"/>
        <w:outlineLvl w:val="0"/>
        <w:rPr>
          <w:rFonts w:ascii="Times New Roman" w:eastAsia="Times New Roman" w:hAnsi="Times New Roman" w:cs="Times New Roman"/>
          <w:b/>
          <w:bCs/>
          <w:sz w:val="21"/>
          <w:szCs w:val="21"/>
        </w:rPr>
      </w:pPr>
    </w:p>
    <w:p w14:paraId="372A333D" w14:textId="77777777" w:rsidR="00877DE5" w:rsidRPr="00877DE5" w:rsidRDefault="00877DE5" w:rsidP="000D3756">
      <w:pPr>
        <w:spacing w:after="0" w:line="240" w:lineRule="auto"/>
        <w:ind w:right="3"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Movsisyan</w:t>
      </w:r>
      <w:r w:rsidRPr="00877DE5">
        <w:rPr>
          <w:rFonts w:ascii="Times New Roman" w:eastAsia="Calibri" w:hAnsi="Times New Roman" w:cs="Times New Roman"/>
          <w:b/>
          <w:i/>
          <w:spacing w:val="-8"/>
          <w:sz w:val="21"/>
          <w:szCs w:val="21"/>
          <w:lang w:val="en-US"/>
        </w:rPr>
        <w:t xml:space="preserve"> </w:t>
      </w:r>
      <w:r w:rsidRPr="00877DE5">
        <w:rPr>
          <w:rFonts w:ascii="Times New Roman" w:eastAsia="Calibri" w:hAnsi="Times New Roman" w:cs="Times New Roman"/>
          <w:b/>
          <w:i/>
          <w:sz w:val="21"/>
          <w:szCs w:val="21"/>
          <w:lang w:val="en-US"/>
        </w:rPr>
        <w:t>V.A.</w:t>
      </w:r>
    </w:p>
    <w:p w14:paraId="68FC77BC" w14:textId="77777777" w:rsidR="00877DE5" w:rsidRPr="00877DE5" w:rsidRDefault="00877DE5" w:rsidP="00E0307C">
      <w:pPr>
        <w:spacing w:after="0" w:line="240" w:lineRule="auto"/>
        <w:ind w:right="3"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lastRenderedPageBreak/>
        <w:t>student,</w:t>
      </w:r>
    </w:p>
    <w:p w14:paraId="388A5990" w14:textId="1F9C79CA" w:rsidR="00877DE5" w:rsidRPr="00877DE5" w:rsidRDefault="00877DE5" w:rsidP="00E4110F">
      <w:pPr>
        <w:spacing w:after="0" w:line="240" w:lineRule="auto"/>
        <w:ind w:right="3"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Financial University under the Government of the Russia Federation</w:t>
      </w:r>
    </w:p>
    <w:p w14:paraId="2E9AC33A"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val="en-US" w:eastAsia="ru-RU"/>
        </w:rPr>
      </w:pPr>
      <w:r w:rsidRPr="00877DE5">
        <w:rPr>
          <w:rFonts w:ascii="Times New Roman" w:eastAsia="Times New Roman" w:hAnsi="Times New Roman" w:cs="Times New Roman"/>
          <w:i/>
          <w:sz w:val="21"/>
          <w:szCs w:val="21"/>
          <w:lang w:val="en-US" w:eastAsia="ru-RU"/>
        </w:rPr>
        <w:t>Krasnodar, Russia</w:t>
      </w:r>
    </w:p>
    <w:p w14:paraId="024060B7"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rPr>
        <w:t>е</w:t>
      </w:r>
      <w:r w:rsidRPr="00877DE5">
        <w:rPr>
          <w:rFonts w:ascii="Times New Roman" w:eastAsia="Calibri" w:hAnsi="Times New Roman" w:cs="Times New Roman"/>
          <w:i/>
          <w:sz w:val="21"/>
          <w:szCs w:val="21"/>
          <w:lang w:val="en-US"/>
        </w:rPr>
        <w:t>-mail:</w:t>
      </w:r>
      <w:r w:rsidRPr="00877DE5">
        <w:rPr>
          <w:rFonts w:ascii="Calibri" w:eastAsia="Calibri" w:hAnsi="Calibri" w:cs="Times New Roman"/>
          <w:b/>
          <w:i/>
          <w:sz w:val="21"/>
          <w:szCs w:val="21"/>
          <w:lang w:val="en-US"/>
        </w:rPr>
        <w:t xml:space="preserve"> </w:t>
      </w:r>
      <w:hyperlink r:id="rId331">
        <w:r w:rsidRPr="00877DE5">
          <w:rPr>
            <w:rFonts w:ascii="Times New Roman" w:eastAsia="Calibri" w:hAnsi="Times New Roman" w:cs="Times New Roman"/>
            <w:i/>
            <w:spacing w:val="-2"/>
            <w:sz w:val="21"/>
            <w:szCs w:val="21"/>
            <w:lang w:val="en-US"/>
          </w:rPr>
          <w:t>obladaet123456789@mail.ru</w:t>
        </w:r>
      </w:hyperlink>
      <w:r w:rsidRPr="00877DE5">
        <w:rPr>
          <w:rFonts w:ascii="Times New Roman" w:eastAsia="Calibri" w:hAnsi="Times New Roman" w:cs="Times New Roman"/>
          <w:i/>
          <w:sz w:val="21"/>
          <w:szCs w:val="21"/>
          <w:lang w:val="en-US"/>
        </w:rPr>
        <w:t xml:space="preserve"> </w:t>
      </w:r>
    </w:p>
    <w:p w14:paraId="7ACAFB62" w14:textId="77777777" w:rsidR="00877DE5" w:rsidRPr="00877DE5" w:rsidRDefault="00877DE5" w:rsidP="00067100">
      <w:pPr>
        <w:spacing w:after="0" w:line="240" w:lineRule="auto"/>
        <w:ind w:right="137" w:firstLine="709"/>
        <w:jc w:val="right"/>
        <w:rPr>
          <w:rFonts w:ascii="Times New Roman" w:eastAsia="Calibri" w:hAnsi="Times New Roman" w:cs="Times New Roman"/>
          <w:i/>
          <w:spacing w:val="-2"/>
          <w:sz w:val="21"/>
          <w:szCs w:val="21"/>
          <w:lang w:val="en-US"/>
        </w:rPr>
      </w:pPr>
    </w:p>
    <w:p w14:paraId="581AD391" w14:textId="77777777" w:rsidR="00877DE5" w:rsidRPr="00877DE5" w:rsidRDefault="00877DE5" w:rsidP="00E4110F">
      <w:pPr>
        <w:widowControl w:val="0"/>
        <w:autoSpaceDE w:val="0"/>
        <w:autoSpaceDN w:val="0"/>
        <w:spacing w:after="0" w:line="240" w:lineRule="auto"/>
        <w:jc w:val="center"/>
        <w:outlineLvl w:val="0"/>
        <w:rPr>
          <w:rFonts w:ascii="Times New Roman" w:eastAsia="Times New Roman" w:hAnsi="Times New Roman" w:cs="Times New Roman"/>
          <w:b/>
          <w:bCs/>
          <w:sz w:val="21"/>
          <w:szCs w:val="21"/>
          <w:lang w:val="en-US"/>
        </w:rPr>
      </w:pPr>
      <w:r w:rsidRPr="00877DE5">
        <w:rPr>
          <w:rFonts w:ascii="Times New Roman" w:eastAsia="Times New Roman" w:hAnsi="Times New Roman" w:cs="Times New Roman"/>
          <w:b/>
          <w:bCs/>
          <w:sz w:val="21"/>
          <w:szCs w:val="21"/>
          <w:lang w:val="en-US"/>
        </w:rPr>
        <w:t>Analysis</w:t>
      </w:r>
      <w:r w:rsidRPr="00877DE5">
        <w:rPr>
          <w:rFonts w:ascii="Times New Roman" w:eastAsia="Times New Roman" w:hAnsi="Times New Roman" w:cs="Times New Roman"/>
          <w:b/>
          <w:bCs/>
          <w:spacing w:val="-9"/>
          <w:sz w:val="21"/>
          <w:szCs w:val="21"/>
          <w:lang w:val="en-US"/>
        </w:rPr>
        <w:t xml:space="preserve"> </w:t>
      </w:r>
      <w:r w:rsidRPr="00877DE5">
        <w:rPr>
          <w:rFonts w:ascii="Times New Roman" w:eastAsia="Times New Roman" w:hAnsi="Times New Roman" w:cs="Times New Roman"/>
          <w:b/>
          <w:bCs/>
          <w:sz w:val="21"/>
          <w:szCs w:val="21"/>
          <w:lang w:val="en-US"/>
        </w:rPr>
        <w:t>and</w:t>
      </w:r>
      <w:r w:rsidRPr="00877DE5">
        <w:rPr>
          <w:rFonts w:ascii="Times New Roman" w:eastAsia="Times New Roman" w:hAnsi="Times New Roman" w:cs="Times New Roman"/>
          <w:b/>
          <w:bCs/>
          <w:spacing w:val="-8"/>
          <w:sz w:val="21"/>
          <w:szCs w:val="21"/>
          <w:lang w:val="en-US"/>
        </w:rPr>
        <w:t xml:space="preserve"> </w:t>
      </w:r>
      <w:r w:rsidRPr="00877DE5">
        <w:rPr>
          <w:rFonts w:ascii="Times New Roman" w:eastAsia="Times New Roman" w:hAnsi="Times New Roman" w:cs="Times New Roman"/>
          <w:b/>
          <w:bCs/>
          <w:sz w:val="21"/>
          <w:szCs w:val="21"/>
          <w:lang w:val="en-US"/>
        </w:rPr>
        <w:t>prospects</w:t>
      </w:r>
      <w:r w:rsidRPr="00877DE5">
        <w:rPr>
          <w:rFonts w:ascii="Times New Roman" w:eastAsia="Times New Roman" w:hAnsi="Times New Roman" w:cs="Times New Roman"/>
          <w:b/>
          <w:bCs/>
          <w:spacing w:val="-9"/>
          <w:sz w:val="21"/>
          <w:szCs w:val="21"/>
          <w:lang w:val="en-US"/>
        </w:rPr>
        <w:t xml:space="preserve"> </w:t>
      </w:r>
      <w:r w:rsidRPr="00877DE5">
        <w:rPr>
          <w:rFonts w:ascii="Times New Roman" w:eastAsia="Times New Roman" w:hAnsi="Times New Roman" w:cs="Times New Roman"/>
          <w:b/>
          <w:bCs/>
          <w:sz w:val="21"/>
          <w:szCs w:val="21"/>
          <w:lang w:val="en-US"/>
        </w:rPr>
        <w:t>of</w:t>
      </w:r>
      <w:r w:rsidRPr="00877DE5">
        <w:rPr>
          <w:rFonts w:ascii="Times New Roman" w:eastAsia="Times New Roman" w:hAnsi="Times New Roman" w:cs="Times New Roman"/>
          <w:b/>
          <w:bCs/>
          <w:spacing w:val="-7"/>
          <w:sz w:val="21"/>
          <w:szCs w:val="21"/>
          <w:lang w:val="en-US"/>
        </w:rPr>
        <w:t xml:space="preserve"> </w:t>
      </w:r>
      <w:r w:rsidRPr="00877DE5">
        <w:rPr>
          <w:rFonts w:ascii="Times New Roman" w:eastAsia="Times New Roman" w:hAnsi="Times New Roman" w:cs="Times New Roman"/>
          <w:b/>
          <w:bCs/>
          <w:sz w:val="21"/>
          <w:szCs w:val="21"/>
          <w:lang w:val="en-US"/>
        </w:rPr>
        <w:t>the</w:t>
      </w:r>
      <w:r w:rsidRPr="00877DE5">
        <w:rPr>
          <w:rFonts w:ascii="Times New Roman" w:eastAsia="Times New Roman" w:hAnsi="Times New Roman" w:cs="Times New Roman"/>
          <w:b/>
          <w:bCs/>
          <w:spacing w:val="-8"/>
          <w:sz w:val="21"/>
          <w:szCs w:val="21"/>
          <w:lang w:val="en-US"/>
        </w:rPr>
        <w:t xml:space="preserve"> </w:t>
      </w:r>
      <w:r w:rsidRPr="00877DE5">
        <w:rPr>
          <w:rFonts w:ascii="Times New Roman" w:eastAsia="Times New Roman" w:hAnsi="Times New Roman" w:cs="Times New Roman"/>
          <w:b/>
          <w:bCs/>
          <w:sz w:val="21"/>
          <w:szCs w:val="21"/>
          <w:lang w:val="en-US"/>
        </w:rPr>
        <w:t>construction</w:t>
      </w:r>
      <w:r w:rsidRPr="00877DE5">
        <w:rPr>
          <w:rFonts w:ascii="Times New Roman" w:eastAsia="Times New Roman" w:hAnsi="Times New Roman" w:cs="Times New Roman"/>
          <w:b/>
          <w:bCs/>
          <w:spacing w:val="-8"/>
          <w:sz w:val="21"/>
          <w:szCs w:val="21"/>
          <w:lang w:val="en-US"/>
        </w:rPr>
        <w:t xml:space="preserve"> </w:t>
      </w:r>
      <w:r w:rsidRPr="00877DE5">
        <w:rPr>
          <w:rFonts w:ascii="Times New Roman" w:eastAsia="Times New Roman" w:hAnsi="Times New Roman" w:cs="Times New Roman"/>
          <w:b/>
          <w:bCs/>
          <w:sz w:val="21"/>
          <w:szCs w:val="21"/>
          <w:lang w:val="en-US"/>
        </w:rPr>
        <w:t>industry of Krasnodar region in 2025-2027</w:t>
      </w:r>
    </w:p>
    <w:p w14:paraId="183340EA" w14:textId="77777777" w:rsidR="00877DE5" w:rsidRPr="00877DE5" w:rsidRDefault="00877DE5" w:rsidP="00067100">
      <w:pPr>
        <w:widowControl w:val="0"/>
        <w:autoSpaceDE w:val="0"/>
        <w:autoSpaceDN w:val="0"/>
        <w:spacing w:after="0" w:line="240" w:lineRule="auto"/>
        <w:ind w:left="2393" w:firstLine="709"/>
        <w:outlineLvl w:val="0"/>
        <w:rPr>
          <w:rFonts w:ascii="Times New Roman" w:eastAsia="Times New Roman" w:hAnsi="Times New Roman" w:cs="Times New Roman"/>
          <w:b/>
          <w:bCs/>
          <w:sz w:val="21"/>
          <w:szCs w:val="21"/>
          <w:lang w:val="en-US"/>
        </w:rPr>
      </w:pPr>
    </w:p>
    <w:p w14:paraId="014DFF51" w14:textId="77777777" w:rsidR="00877DE5" w:rsidRPr="00877DE5" w:rsidRDefault="00877DE5" w:rsidP="00067100">
      <w:pPr>
        <w:widowControl w:val="0"/>
        <w:autoSpaceDE w:val="0"/>
        <w:autoSpaceDN w:val="0"/>
        <w:spacing w:after="0" w:line="240" w:lineRule="auto"/>
        <w:ind w:left="141" w:right="139" w:firstLine="709"/>
        <w:jc w:val="both"/>
        <w:rPr>
          <w:rFonts w:ascii="Times New Roman" w:eastAsia="Times New Roman" w:hAnsi="Times New Roman" w:cs="Times New Roman"/>
          <w:sz w:val="21"/>
          <w:szCs w:val="21"/>
          <w:lang w:val="en-US"/>
        </w:rPr>
      </w:pPr>
      <w:r w:rsidRPr="00877DE5">
        <w:rPr>
          <w:rFonts w:ascii="Times New Roman" w:eastAsia="Times New Roman" w:hAnsi="Times New Roman" w:cs="Times New Roman"/>
          <w:b/>
          <w:sz w:val="21"/>
          <w:szCs w:val="21"/>
          <w:lang w:val="en-US"/>
        </w:rPr>
        <w:t>Abstract:</w:t>
      </w:r>
      <w:r w:rsidRPr="00877DE5">
        <w:rPr>
          <w:rFonts w:ascii="Times New Roman" w:eastAsia="Times New Roman" w:hAnsi="Times New Roman" w:cs="Times New Roman"/>
          <w:sz w:val="21"/>
          <w:szCs w:val="21"/>
          <w:lang w:val="en-US"/>
        </w:rPr>
        <w:t xml:space="preserve"> The article is devoted to the analysis of the current state of the construction industry of the Krasnodar Territory and its prospects for the period 2025-2027. The factors influencing the development of the industry are considered, key trends and completed projects, expected trends for 2025-2027 are studied in detail. The main attention is paid to potential</w:t>
      </w:r>
      <w:r w:rsidRPr="00877DE5">
        <w:rPr>
          <w:rFonts w:ascii="Times New Roman" w:eastAsia="Times New Roman" w:hAnsi="Times New Roman" w:cs="Times New Roman"/>
          <w:spacing w:val="-3"/>
          <w:sz w:val="21"/>
          <w:szCs w:val="21"/>
          <w:lang w:val="en-US"/>
        </w:rPr>
        <w:t xml:space="preserve"> </w:t>
      </w:r>
      <w:r w:rsidRPr="00877DE5">
        <w:rPr>
          <w:rFonts w:ascii="Times New Roman" w:eastAsia="Times New Roman" w:hAnsi="Times New Roman" w:cs="Times New Roman"/>
          <w:sz w:val="21"/>
          <w:szCs w:val="21"/>
          <w:lang w:val="en-US"/>
        </w:rPr>
        <w:t>opportunities and challenges in future construction in</w:t>
      </w:r>
      <w:r w:rsidRPr="00877DE5">
        <w:rPr>
          <w:rFonts w:ascii="Times New Roman" w:eastAsia="Times New Roman" w:hAnsi="Times New Roman" w:cs="Times New Roman"/>
          <w:spacing w:val="-3"/>
          <w:sz w:val="21"/>
          <w:szCs w:val="21"/>
          <w:lang w:val="en-US"/>
        </w:rPr>
        <w:t xml:space="preserve"> </w:t>
      </w:r>
      <w:r w:rsidRPr="00877DE5">
        <w:rPr>
          <w:rFonts w:ascii="Times New Roman" w:eastAsia="Times New Roman" w:hAnsi="Times New Roman" w:cs="Times New Roman"/>
          <w:sz w:val="21"/>
          <w:szCs w:val="21"/>
          <w:lang w:val="en-US"/>
        </w:rPr>
        <w:t xml:space="preserve">the </w:t>
      </w:r>
      <w:r w:rsidRPr="00877DE5">
        <w:rPr>
          <w:rFonts w:ascii="Times New Roman" w:eastAsia="Times New Roman" w:hAnsi="Times New Roman" w:cs="Times New Roman"/>
          <w:spacing w:val="-2"/>
          <w:sz w:val="21"/>
          <w:szCs w:val="21"/>
          <w:lang w:val="en-US"/>
        </w:rPr>
        <w:t>region.</w:t>
      </w:r>
    </w:p>
    <w:p w14:paraId="284883A5" w14:textId="77777777" w:rsidR="00877DE5" w:rsidRPr="00877DE5" w:rsidRDefault="00877DE5" w:rsidP="00067100">
      <w:pPr>
        <w:widowControl w:val="0"/>
        <w:autoSpaceDE w:val="0"/>
        <w:autoSpaceDN w:val="0"/>
        <w:spacing w:after="0" w:line="240" w:lineRule="auto"/>
        <w:ind w:left="141" w:right="147" w:firstLine="709"/>
        <w:jc w:val="both"/>
        <w:rPr>
          <w:rFonts w:ascii="Times New Roman" w:eastAsia="Times New Roman" w:hAnsi="Times New Roman" w:cs="Times New Roman"/>
          <w:sz w:val="21"/>
          <w:szCs w:val="21"/>
          <w:lang w:val="en-US"/>
        </w:rPr>
      </w:pPr>
      <w:r w:rsidRPr="00877DE5">
        <w:rPr>
          <w:rFonts w:ascii="Times New Roman" w:eastAsia="Times New Roman" w:hAnsi="Times New Roman" w:cs="Times New Roman"/>
          <w:b/>
          <w:sz w:val="21"/>
          <w:szCs w:val="21"/>
          <w:lang w:val="en-US"/>
        </w:rPr>
        <w:t xml:space="preserve">Keywords: </w:t>
      </w:r>
      <w:r w:rsidRPr="00877DE5">
        <w:rPr>
          <w:rFonts w:ascii="Times New Roman" w:eastAsia="Times New Roman" w:hAnsi="Times New Roman" w:cs="Times New Roman"/>
          <w:sz w:val="21"/>
          <w:szCs w:val="21"/>
          <w:lang w:val="en-US"/>
        </w:rPr>
        <w:t>Krasnodar region; construction industry; economic development; design; investments.</w:t>
      </w:r>
    </w:p>
    <w:p w14:paraId="00EF13C8"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sz w:val="28"/>
          <w:szCs w:val="28"/>
          <w:lang w:val="en-US"/>
        </w:rPr>
      </w:pPr>
    </w:p>
    <w:p w14:paraId="6ED69F88" w14:textId="77777777" w:rsidR="00877DE5" w:rsidRPr="00877DE5" w:rsidRDefault="00877DE5" w:rsidP="00067100">
      <w:pPr>
        <w:widowControl w:val="0"/>
        <w:autoSpaceDE w:val="0"/>
        <w:autoSpaceDN w:val="0"/>
        <w:spacing w:after="0" w:line="240" w:lineRule="auto"/>
        <w:ind w:left="141" w:right="139"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Строительная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индустрия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является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одним из</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основных</w:t>
      </w:r>
      <w:r w:rsidRPr="00877DE5">
        <w:rPr>
          <w:rFonts w:ascii="Times New Roman" w:eastAsia="Times New Roman" w:hAnsi="Times New Roman" w:cs="Times New Roman"/>
          <w:spacing w:val="-7"/>
          <w:sz w:val="32"/>
          <w:szCs w:val="32"/>
        </w:rPr>
        <w:t xml:space="preserve"> </w:t>
      </w:r>
      <w:r w:rsidRPr="00877DE5">
        <w:rPr>
          <w:rFonts w:ascii="Times New Roman" w:eastAsia="Times New Roman" w:hAnsi="Times New Roman" w:cs="Times New Roman"/>
          <w:sz w:val="32"/>
          <w:szCs w:val="32"/>
        </w:rPr>
        <w:t>движущих</w:t>
      </w:r>
      <w:r w:rsidRPr="00877DE5">
        <w:rPr>
          <w:rFonts w:ascii="Times New Roman" w:eastAsia="Times New Roman" w:hAnsi="Times New Roman" w:cs="Times New Roman"/>
          <w:spacing w:val="-7"/>
          <w:sz w:val="32"/>
          <w:szCs w:val="32"/>
        </w:rPr>
        <w:t xml:space="preserve"> </w:t>
      </w:r>
      <w:r w:rsidRPr="00877DE5">
        <w:rPr>
          <w:rFonts w:ascii="Times New Roman" w:eastAsia="Times New Roman" w:hAnsi="Times New Roman" w:cs="Times New Roman"/>
          <w:sz w:val="32"/>
          <w:szCs w:val="32"/>
        </w:rPr>
        <w:t>факторов, драйверов развития экономики страны и ее регионов, во многом определяя уровень и темпы социально-экономического их развития. Краснодарский край занимает стратегически важное положение на юге России, обеспечивая значительные объемы строительства жилых и коммерческих объектов. В последние годы отрасль претерпела изменения, которые были вызваны экономическими колебаниями, дневными требованиями к жилому строительству и климатическими условиями.</w:t>
      </w:r>
    </w:p>
    <w:p w14:paraId="3AB30B9F" w14:textId="77777777" w:rsidR="00877DE5" w:rsidRPr="00877DE5" w:rsidRDefault="00877DE5" w:rsidP="00067100">
      <w:pPr>
        <w:widowControl w:val="0"/>
        <w:autoSpaceDE w:val="0"/>
        <w:autoSpaceDN w:val="0"/>
        <w:spacing w:after="0" w:line="240" w:lineRule="auto"/>
        <w:ind w:left="141" w:right="146"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Достигнутые к настоящему времени в Краснодарском крае показатели деятельности строительной индустрии и тенденции ее развития во многом определяются сложившимся общим уровнем социально-экономического развития региона и прогнозируемыми показателями его развития.</w:t>
      </w:r>
    </w:p>
    <w:p w14:paraId="01D1AD0E"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С учетом предстоящих изменений в законодательстве и растущей активности частных и государственных инвесторов, в первую очередь необходимо проанализировать благоприятные и неблагоприятные тенденции влияния на развитие строительного сектора в Краснодарском крае за период до 2027 года.</w:t>
      </w:r>
    </w:p>
    <w:p w14:paraId="63E8A0D7"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Потенциалом высокого уровня развития и</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стабильного роста строительной индустрии в Краснодарском крае являются:</w:t>
      </w:r>
    </w:p>
    <w:p w14:paraId="6E6F3F22" w14:textId="77777777" w:rsidR="00877DE5" w:rsidRPr="00877DE5" w:rsidRDefault="00877DE5" w:rsidP="00AD58CD">
      <w:pPr>
        <w:widowControl w:val="0"/>
        <w:numPr>
          <w:ilvl w:val="0"/>
          <w:numId w:val="46"/>
        </w:numPr>
        <w:tabs>
          <w:tab w:val="left" w:pos="918"/>
        </w:tabs>
        <w:autoSpaceDE w:val="0"/>
        <w:autoSpaceDN w:val="0"/>
        <w:spacing w:after="0" w:line="240" w:lineRule="auto"/>
        <w:ind w:left="0"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практическая</w:t>
      </w:r>
      <w:r w:rsidRPr="00877DE5">
        <w:rPr>
          <w:rFonts w:ascii="Times New Roman" w:eastAsia="Calibri" w:hAnsi="Times New Roman" w:cs="Times New Roman"/>
          <w:spacing w:val="-15"/>
          <w:sz w:val="32"/>
          <w:szCs w:val="32"/>
        </w:rPr>
        <w:t xml:space="preserve"> </w:t>
      </w:r>
      <w:r w:rsidRPr="00877DE5">
        <w:rPr>
          <w:rFonts w:ascii="Times New Roman" w:eastAsia="Calibri" w:hAnsi="Times New Roman" w:cs="Times New Roman"/>
          <w:sz w:val="32"/>
          <w:szCs w:val="32"/>
        </w:rPr>
        <w:t>заинтересованность</w:t>
      </w:r>
      <w:r w:rsidRPr="00877DE5">
        <w:rPr>
          <w:rFonts w:ascii="Times New Roman" w:eastAsia="Calibri" w:hAnsi="Times New Roman" w:cs="Times New Roman"/>
          <w:spacing w:val="-18"/>
          <w:sz w:val="32"/>
          <w:szCs w:val="32"/>
        </w:rPr>
        <w:t xml:space="preserve"> </w:t>
      </w:r>
      <w:r w:rsidRPr="00877DE5">
        <w:rPr>
          <w:rFonts w:ascii="Times New Roman" w:eastAsia="Calibri" w:hAnsi="Times New Roman" w:cs="Times New Roman"/>
          <w:sz w:val="32"/>
          <w:szCs w:val="32"/>
        </w:rPr>
        <w:t>региональных</w:t>
      </w:r>
      <w:r w:rsidRPr="00877DE5">
        <w:rPr>
          <w:rFonts w:ascii="Times New Roman" w:eastAsia="Calibri" w:hAnsi="Times New Roman" w:cs="Times New Roman"/>
          <w:spacing w:val="-16"/>
          <w:sz w:val="32"/>
          <w:szCs w:val="32"/>
        </w:rPr>
        <w:t xml:space="preserve"> </w:t>
      </w:r>
      <w:r w:rsidRPr="00877DE5">
        <w:rPr>
          <w:rFonts w:ascii="Times New Roman" w:eastAsia="Calibri" w:hAnsi="Times New Roman" w:cs="Times New Roman"/>
          <w:spacing w:val="-2"/>
          <w:sz w:val="32"/>
          <w:szCs w:val="32"/>
        </w:rPr>
        <w:t>властей;</w:t>
      </w:r>
    </w:p>
    <w:p w14:paraId="3CD5E2D4" w14:textId="77777777" w:rsidR="00877DE5" w:rsidRPr="00877DE5" w:rsidRDefault="00877DE5" w:rsidP="00AD58CD">
      <w:pPr>
        <w:widowControl w:val="0"/>
        <w:numPr>
          <w:ilvl w:val="0"/>
          <w:numId w:val="46"/>
        </w:numPr>
        <w:tabs>
          <w:tab w:val="left" w:pos="918"/>
        </w:tabs>
        <w:autoSpaceDE w:val="0"/>
        <w:autoSpaceDN w:val="0"/>
        <w:spacing w:after="0" w:line="240" w:lineRule="auto"/>
        <w:ind w:left="0"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стабильный</w:t>
      </w:r>
      <w:r w:rsidRPr="00877DE5">
        <w:rPr>
          <w:rFonts w:ascii="Times New Roman" w:eastAsia="Calibri" w:hAnsi="Times New Roman" w:cs="Times New Roman"/>
          <w:spacing w:val="-14"/>
          <w:sz w:val="32"/>
          <w:szCs w:val="32"/>
        </w:rPr>
        <w:t xml:space="preserve"> </w:t>
      </w:r>
      <w:r w:rsidRPr="00877DE5">
        <w:rPr>
          <w:rFonts w:ascii="Times New Roman" w:eastAsia="Calibri" w:hAnsi="Times New Roman" w:cs="Times New Roman"/>
          <w:sz w:val="32"/>
          <w:szCs w:val="32"/>
        </w:rPr>
        <w:t>прирост</w:t>
      </w:r>
      <w:r w:rsidRPr="00877DE5">
        <w:rPr>
          <w:rFonts w:ascii="Times New Roman" w:eastAsia="Calibri" w:hAnsi="Times New Roman" w:cs="Times New Roman"/>
          <w:spacing w:val="-13"/>
          <w:sz w:val="32"/>
          <w:szCs w:val="32"/>
        </w:rPr>
        <w:t xml:space="preserve"> </w:t>
      </w:r>
      <w:r w:rsidRPr="00877DE5">
        <w:rPr>
          <w:rFonts w:ascii="Times New Roman" w:eastAsia="Calibri" w:hAnsi="Times New Roman" w:cs="Times New Roman"/>
          <w:spacing w:val="-2"/>
          <w:sz w:val="32"/>
          <w:szCs w:val="32"/>
        </w:rPr>
        <w:t>населения;</w:t>
      </w:r>
    </w:p>
    <w:p w14:paraId="746BB302" w14:textId="77777777" w:rsidR="00877DE5" w:rsidRPr="00877DE5" w:rsidRDefault="00877DE5" w:rsidP="00AD58CD">
      <w:pPr>
        <w:widowControl w:val="0"/>
        <w:numPr>
          <w:ilvl w:val="0"/>
          <w:numId w:val="46"/>
        </w:numPr>
        <w:tabs>
          <w:tab w:val="left" w:pos="918"/>
        </w:tabs>
        <w:autoSpaceDE w:val="0"/>
        <w:autoSpaceDN w:val="0"/>
        <w:spacing w:after="0" w:line="240" w:lineRule="auto"/>
        <w:ind w:left="0"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эффективные</w:t>
      </w:r>
      <w:r w:rsidRPr="00877DE5">
        <w:rPr>
          <w:rFonts w:ascii="Times New Roman" w:eastAsia="Calibri" w:hAnsi="Times New Roman" w:cs="Times New Roman"/>
          <w:spacing w:val="-12"/>
          <w:sz w:val="32"/>
          <w:szCs w:val="32"/>
        </w:rPr>
        <w:t xml:space="preserve"> </w:t>
      </w:r>
      <w:r w:rsidRPr="00877DE5">
        <w:rPr>
          <w:rFonts w:ascii="Times New Roman" w:eastAsia="Calibri" w:hAnsi="Times New Roman" w:cs="Times New Roman"/>
          <w:sz w:val="32"/>
          <w:szCs w:val="32"/>
        </w:rPr>
        <w:t>меры</w:t>
      </w:r>
      <w:r w:rsidRPr="00877DE5">
        <w:rPr>
          <w:rFonts w:ascii="Times New Roman" w:eastAsia="Calibri" w:hAnsi="Times New Roman" w:cs="Times New Roman"/>
          <w:spacing w:val="-12"/>
          <w:sz w:val="32"/>
          <w:szCs w:val="32"/>
        </w:rPr>
        <w:t xml:space="preserve"> </w:t>
      </w:r>
      <w:r w:rsidRPr="00877DE5">
        <w:rPr>
          <w:rFonts w:ascii="Times New Roman" w:eastAsia="Calibri" w:hAnsi="Times New Roman" w:cs="Times New Roman"/>
          <w:sz w:val="32"/>
          <w:szCs w:val="32"/>
        </w:rPr>
        <w:t>поддержки</w:t>
      </w:r>
      <w:r w:rsidRPr="00877DE5">
        <w:rPr>
          <w:rFonts w:ascii="Times New Roman" w:eastAsia="Calibri" w:hAnsi="Times New Roman" w:cs="Times New Roman"/>
          <w:spacing w:val="-11"/>
          <w:sz w:val="32"/>
          <w:szCs w:val="32"/>
        </w:rPr>
        <w:t xml:space="preserve"> </w:t>
      </w:r>
      <w:r w:rsidRPr="00877DE5">
        <w:rPr>
          <w:rFonts w:ascii="Times New Roman" w:eastAsia="Calibri" w:hAnsi="Times New Roman" w:cs="Times New Roman"/>
          <w:sz w:val="32"/>
          <w:szCs w:val="32"/>
        </w:rPr>
        <w:t>строительной</w:t>
      </w:r>
      <w:r w:rsidRPr="00877DE5">
        <w:rPr>
          <w:rFonts w:ascii="Times New Roman" w:eastAsia="Calibri" w:hAnsi="Times New Roman" w:cs="Times New Roman"/>
          <w:spacing w:val="-12"/>
          <w:sz w:val="32"/>
          <w:szCs w:val="32"/>
        </w:rPr>
        <w:t xml:space="preserve"> </w:t>
      </w:r>
      <w:r w:rsidRPr="00877DE5">
        <w:rPr>
          <w:rFonts w:ascii="Times New Roman" w:eastAsia="Calibri" w:hAnsi="Times New Roman" w:cs="Times New Roman"/>
          <w:spacing w:val="-2"/>
          <w:sz w:val="32"/>
          <w:szCs w:val="32"/>
        </w:rPr>
        <w:t>отрасли;</w:t>
      </w:r>
    </w:p>
    <w:p w14:paraId="62BF4551" w14:textId="77777777" w:rsidR="00877DE5" w:rsidRPr="00877DE5" w:rsidRDefault="00877DE5" w:rsidP="00AD58CD">
      <w:pPr>
        <w:widowControl w:val="0"/>
        <w:numPr>
          <w:ilvl w:val="0"/>
          <w:numId w:val="46"/>
        </w:numPr>
        <w:tabs>
          <w:tab w:val="left" w:pos="918"/>
        </w:tabs>
        <w:autoSpaceDE w:val="0"/>
        <w:autoSpaceDN w:val="0"/>
        <w:spacing w:after="0" w:line="240" w:lineRule="auto"/>
        <w:ind w:left="0"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выгодное</w:t>
      </w:r>
      <w:r w:rsidRPr="00877DE5">
        <w:rPr>
          <w:rFonts w:ascii="Times New Roman" w:eastAsia="Calibri" w:hAnsi="Times New Roman" w:cs="Times New Roman"/>
          <w:spacing w:val="-7"/>
          <w:sz w:val="32"/>
          <w:szCs w:val="32"/>
        </w:rPr>
        <w:t xml:space="preserve"> </w:t>
      </w:r>
      <w:r w:rsidRPr="00877DE5">
        <w:rPr>
          <w:rFonts w:ascii="Times New Roman" w:eastAsia="Calibri" w:hAnsi="Times New Roman" w:cs="Times New Roman"/>
          <w:sz w:val="32"/>
          <w:szCs w:val="32"/>
        </w:rPr>
        <w:t>расположение</w:t>
      </w:r>
      <w:r w:rsidRPr="00877DE5">
        <w:rPr>
          <w:rFonts w:ascii="Times New Roman" w:eastAsia="Calibri" w:hAnsi="Times New Roman" w:cs="Times New Roman"/>
          <w:spacing w:val="-7"/>
          <w:sz w:val="32"/>
          <w:szCs w:val="32"/>
        </w:rPr>
        <w:t xml:space="preserve"> </w:t>
      </w:r>
      <w:r w:rsidRPr="00877DE5">
        <w:rPr>
          <w:rFonts w:ascii="Times New Roman" w:eastAsia="Calibri" w:hAnsi="Times New Roman" w:cs="Times New Roman"/>
          <w:sz w:val="32"/>
          <w:szCs w:val="32"/>
        </w:rPr>
        <w:t>региона</w:t>
      </w:r>
      <w:r w:rsidRPr="00877DE5">
        <w:rPr>
          <w:rFonts w:ascii="Times New Roman" w:eastAsia="Calibri" w:hAnsi="Times New Roman" w:cs="Times New Roman"/>
          <w:spacing w:val="-4"/>
          <w:sz w:val="32"/>
          <w:szCs w:val="32"/>
        </w:rPr>
        <w:t xml:space="preserve"> </w:t>
      </w:r>
      <w:r w:rsidRPr="00877DE5">
        <w:rPr>
          <w:rFonts w:ascii="Times New Roman" w:eastAsia="Calibri" w:hAnsi="Times New Roman" w:cs="Times New Roman"/>
          <w:sz w:val="32"/>
          <w:szCs w:val="32"/>
        </w:rPr>
        <w:t>[3,</w:t>
      </w:r>
      <w:r w:rsidRPr="00877DE5">
        <w:rPr>
          <w:rFonts w:ascii="Times New Roman" w:eastAsia="Calibri" w:hAnsi="Times New Roman" w:cs="Times New Roman"/>
          <w:spacing w:val="-5"/>
          <w:sz w:val="32"/>
          <w:szCs w:val="32"/>
        </w:rPr>
        <w:t xml:space="preserve"> </w:t>
      </w:r>
      <w:r w:rsidRPr="00877DE5">
        <w:rPr>
          <w:rFonts w:ascii="Times New Roman" w:eastAsia="Calibri" w:hAnsi="Times New Roman" w:cs="Times New Roman"/>
          <w:sz w:val="32"/>
          <w:szCs w:val="32"/>
        </w:rPr>
        <w:t>с.</w:t>
      </w:r>
      <w:r w:rsidRPr="00877DE5">
        <w:rPr>
          <w:rFonts w:ascii="Times New Roman" w:eastAsia="Calibri" w:hAnsi="Times New Roman" w:cs="Times New Roman"/>
          <w:spacing w:val="-4"/>
          <w:sz w:val="32"/>
          <w:szCs w:val="32"/>
        </w:rPr>
        <w:t xml:space="preserve"> </w:t>
      </w:r>
      <w:r w:rsidRPr="00877DE5">
        <w:rPr>
          <w:rFonts w:ascii="Times New Roman" w:eastAsia="Calibri" w:hAnsi="Times New Roman" w:cs="Times New Roman"/>
          <w:spacing w:val="-2"/>
          <w:sz w:val="32"/>
          <w:szCs w:val="32"/>
        </w:rPr>
        <w:t>148].</w:t>
      </w:r>
    </w:p>
    <w:p w14:paraId="5ED31C5A"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 xml:space="preserve">Строительная отрасль Краснодарского края в последние годы демонстрирует стабильный рост, эксперты связывают данный рост с активной градостроительной политикой и реализацией крупных инфраструктурных проектов. Взаимодействие государства и </w:t>
      </w:r>
      <w:r w:rsidRPr="00877DE5">
        <w:rPr>
          <w:rFonts w:ascii="Times New Roman" w:eastAsia="Times New Roman" w:hAnsi="Times New Roman" w:cs="Times New Roman"/>
          <w:sz w:val="32"/>
          <w:szCs w:val="32"/>
        </w:rPr>
        <w:lastRenderedPageBreak/>
        <w:t>частного сектора способствует созданию новых жилищных фондов, улучшению коммунальной инфраструктуры и развитию общественного транспорта.</w:t>
      </w:r>
    </w:p>
    <w:p w14:paraId="63F3800F" w14:textId="77777777" w:rsidR="00877DE5" w:rsidRPr="00877DE5" w:rsidRDefault="00877DE5" w:rsidP="003826E8">
      <w:pPr>
        <w:widowControl w:val="0"/>
        <w:autoSpaceDE w:val="0"/>
        <w:autoSpaceDN w:val="0"/>
        <w:spacing w:after="0" w:line="240" w:lineRule="auto"/>
        <w:ind w:left="141" w:right="154"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Рассмотрим показатель объема работ, выполненных в сфере</w:t>
      </w:r>
      <w:r w:rsidR="003826E8">
        <w:rPr>
          <w:rFonts w:ascii="Times New Roman" w:eastAsia="Times New Roman" w:hAnsi="Times New Roman" w:cs="Times New Roman"/>
          <w:sz w:val="32"/>
          <w:szCs w:val="32"/>
        </w:rPr>
        <w:t xml:space="preserve"> строительства (рисунок 1) [4].</w:t>
      </w:r>
    </w:p>
    <w:p w14:paraId="0F84B7B6" w14:textId="77777777" w:rsidR="00877DE5" w:rsidRPr="00877DE5" w:rsidRDefault="00877DE5" w:rsidP="003826E8">
      <w:pPr>
        <w:widowControl w:val="0"/>
        <w:autoSpaceDE w:val="0"/>
        <w:autoSpaceDN w:val="0"/>
        <w:spacing w:after="0" w:line="240" w:lineRule="auto"/>
        <w:ind w:firstLine="709"/>
        <w:jc w:val="center"/>
        <w:rPr>
          <w:rFonts w:ascii="Times New Roman" w:eastAsia="Times New Roman" w:hAnsi="Times New Roman" w:cs="Times New Roman"/>
          <w:sz w:val="32"/>
          <w:szCs w:val="32"/>
        </w:rPr>
      </w:pPr>
      <w:r w:rsidRPr="00877DE5">
        <w:rPr>
          <w:rFonts w:ascii="Times New Roman" w:eastAsia="Times New Roman" w:hAnsi="Times New Roman" w:cs="Times New Roman"/>
          <w:noProof/>
          <w:sz w:val="32"/>
          <w:szCs w:val="32"/>
          <w:lang w:eastAsia="ru-RU"/>
        </w:rPr>
        <w:drawing>
          <wp:anchor distT="0" distB="0" distL="0" distR="0" simplePos="0" relativeHeight="251661312" behindDoc="1" locked="0" layoutInCell="1" allowOverlap="1" wp14:anchorId="603C2615" wp14:editId="7E8DDB53">
            <wp:simplePos x="0" y="0"/>
            <wp:positionH relativeFrom="page">
              <wp:posOffset>1134738</wp:posOffset>
            </wp:positionH>
            <wp:positionV relativeFrom="paragraph">
              <wp:posOffset>204398</wp:posOffset>
            </wp:positionV>
            <wp:extent cx="5532717" cy="3231356"/>
            <wp:effectExtent l="0" t="0" r="0" b="0"/>
            <wp:wrapTopAndBottom/>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32" cstate="print"/>
                    <a:stretch>
                      <a:fillRect/>
                    </a:stretch>
                  </pic:blipFill>
                  <pic:spPr>
                    <a:xfrm>
                      <a:off x="0" y="0"/>
                      <a:ext cx="5532717" cy="3231356"/>
                    </a:xfrm>
                    <a:prstGeom prst="rect">
                      <a:avLst/>
                    </a:prstGeom>
                  </pic:spPr>
                </pic:pic>
              </a:graphicData>
            </a:graphic>
          </wp:anchor>
        </w:drawing>
      </w:r>
    </w:p>
    <w:p w14:paraId="7188890C" w14:textId="77777777" w:rsidR="00877DE5" w:rsidRPr="00877DE5" w:rsidRDefault="00877DE5" w:rsidP="003826E8">
      <w:pPr>
        <w:widowControl w:val="0"/>
        <w:autoSpaceDE w:val="0"/>
        <w:autoSpaceDN w:val="0"/>
        <w:spacing w:after="0" w:line="240" w:lineRule="auto"/>
        <w:ind w:left="395"/>
        <w:jc w:val="center"/>
        <w:outlineLvl w:val="1"/>
        <w:rPr>
          <w:rFonts w:ascii="Times New Roman" w:eastAsia="Times New Roman" w:hAnsi="Times New Roman" w:cs="Times New Roman"/>
          <w:bCs/>
          <w:iCs/>
          <w:sz w:val="32"/>
          <w:szCs w:val="32"/>
        </w:rPr>
      </w:pPr>
      <w:r w:rsidRPr="00877DE5">
        <w:rPr>
          <w:rFonts w:ascii="Times New Roman" w:eastAsia="Times New Roman" w:hAnsi="Times New Roman" w:cs="Times New Roman"/>
          <w:bCs/>
          <w:iCs/>
          <w:sz w:val="32"/>
          <w:szCs w:val="32"/>
        </w:rPr>
        <w:t>Рисунок</w:t>
      </w:r>
      <w:r w:rsidRPr="00877DE5">
        <w:rPr>
          <w:rFonts w:ascii="Times New Roman" w:eastAsia="Times New Roman" w:hAnsi="Times New Roman" w:cs="Times New Roman"/>
          <w:bCs/>
          <w:iCs/>
          <w:spacing w:val="-10"/>
          <w:sz w:val="32"/>
          <w:szCs w:val="32"/>
        </w:rPr>
        <w:t xml:space="preserve"> </w:t>
      </w:r>
      <w:r w:rsidRPr="00877DE5">
        <w:rPr>
          <w:rFonts w:ascii="Times New Roman" w:eastAsia="Times New Roman" w:hAnsi="Times New Roman" w:cs="Times New Roman"/>
          <w:bCs/>
          <w:iCs/>
          <w:sz w:val="32"/>
          <w:szCs w:val="32"/>
        </w:rPr>
        <w:t>1.</w:t>
      </w:r>
      <w:r w:rsidRPr="00877DE5">
        <w:rPr>
          <w:rFonts w:ascii="Times New Roman" w:eastAsia="Times New Roman" w:hAnsi="Times New Roman" w:cs="Times New Roman"/>
          <w:bCs/>
          <w:iCs/>
          <w:spacing w:val="-4"/>
          <w:sz w:val="32"/>
          <w:szCs w:val="32"/>
        </w:rPr>
        <w:t xml:space="preserve"> </w:t>
      </w:r>
      <w:r w:rsidRPr="00877DE5">
        <w:rPr>
          <w:rFonts w:ascii="Times New Roman" w:eastAsia="Times New Roman" w:hAnsi="Times New Roman" w:cs="Times New Roman"/>
          <w:bCs/>
          <w:iCs/>
          <w:sz w:val="32"/>
          <w:szCs w:val="32"/>
        </w:rPr>
        <w:t>Объем</w:t>
      </w:r>
      <w:r w:rsidRPr="00877DE5">
        <w:rPr>
          <w:rFonts w:ascii="Times New Roman" w:eastAsia="Times New Roman" w:hAnsi="Times New Roman" w:cs="Times New Roman"/>
          <w:bCs/>
          <w:iCs/>
          <w:spacing w:val="-7"/>
          <w:sz w:val="32"/>
          <w:szCs w:val="32"/>
        </w:rPr>
        <w:t xml:space="preserve"> </w:t>
      </w:r>
      <w:r w:rsidRPr="00877DE5">
        <w:rPr>
          <w:rFonts w:ascii="Times New Roman" w:eastAsia="Times New Roman" w:hAnsi="Times New Roman" w:cs="Times New Roman"/>
          <w:bCs/>
          <w:iCs/>
          <w:sz w:val="32"/>
          <w:szCs w:val="32"/>
        </w:rPr>
        <w:t>работ,</w:t>
      </w:r>
      <w:r w:rsidRPr="00877DE5">
        <w:rPr>
          <w:rFonts w:ascii="Times New Roman" w:eastAsia="Times New Roman" w:hAnsi="Times New Roman" w:cs="Times New Roman"/>
          <w:bCs/>
          <w:iCs/>
          <w:spacing w:val="-9"/>
          <w:sz w:val="32"/>
          <w:szCs w:val="32"/>
        </w:rPr>
        <w:t xml:space="preserve"> </w:t>
      </w:r>
      <w:r w:rsidRPr="00877DE5">
        <w:rPr>
          <w:rFonts w:ascii="Times New Roman" w:eastAsia="Times New Roman" w:hAnsi="Times New Roman" w:cs="Times New Roman"/>
          <w:bCs/>
          <w:iCs/>
          <w:sz w:val="32"/>
          <w:szCs w:val="32"/>
        </w:rPr>
        <w:t>выполненных</w:t>
      </w:r>
      <w:r w:rsidRPr="00877DE5">
        <w:rPr>
          <w:rFonts w:ascii="Times New Roman" w:eastAsia="Times New Roman" w:hAnsi="Times New Roman" w:cs="Times New Roman"/>
          <w:bCs/>
          <w:iCs/>
          <w:spacing w:val="-4"/>
          <w:sz w:val="32"/>
          <w:szCs w:val="32"/>
        </w:rPr>
        <w:t xml:space="preserve"> </w:t>
      </w:r>
      <w:r w:rsidRPr="00877DE5">
        <w:rPr>
          <w:rFonts w:ascii="Times New Roman" w:eastAsia="Times New Roman" w:hAnsi="Times New Roman" w:cs="Times New Roman"/>
          <w:bCs/>
          <w:iCs/>
          <w:sz w:val="32"/>
          <w:szCs w:val="32"/>
        </w:rPr>
        <w:t>в</w:t>
      </w:r>
      <w:r w:rsidRPr="00877DE5">
        <w:rPr>
          <w:rFonts w:ascii="Times New Roman" w:eastAsia="Times New Roman" w:hAnsi="Times New Roman" w:cs="Times New Roman"/>
          <w:bCs/>
          <w:iCs/>
          <w:spacing w:val="-7"/>
          <w:sz w:val="32"/>
          <w:szCs w:val="32"/>
        </w:rPr>
        <w:t xml:space="preserve"> </w:t>
      </w:r>
      <w:r w:rsidRPr="00877DE5">
        <w:rPr>
          <w:rFonts w:ascii="Times New Roman" w:eastAsia="Times New Roman" w:hAnsi="Times New Roman" w:cs="Times New Roman"/>
          <w:bCs/>
          <w:iCs/>
          <w:sz w:val="32"/>
          <w:szCs w:val="32"/>
        </w:rPr>
        <w:t>сфере</w:t>
      </w:r>
      <w:r w:rsidRPr="00877DE5">
        <w:rPr>
          <w:rFonts w:ascii="Times New Roman" w:eastAsia="Times New Roman" w:hAnsi="Times New Roman" w:cs="Times New Roman"/>
          <w:bCs/>
          <w:iCs/>
          <w:spacing w:val="-7"/>
          <w:sz w:val="32"/>
          <w:szCs w:val="32"/>
        </w:rPr>
        <w:t xml:space="preserve"> </w:t>
      </w:r>
      <w:r w:rsidRPr="00877DE5">
        <w:rPr>
          <w:rFonts w:ascii="Times New Roman" w:eastAsia="Times New Roman" w:hAnsi="Times New Roman" w:cs="Times New Roman"/>
          <w:bCs/>
          <w:iCs/>
          <w:sz w:val="32"/>
          <w:szCs w:val="32"/>
        </w:rPr>
        <w:t>строительства,</w:t>
      </w:r>
      <w:r w:rsidRPr="00877DE5">
        <w:rPr>
          <w:rFonts w:ascii="Times New Roman" w:eastAsia="Times New Roman" w:hAnsi="Times New Roman" w:cs="Times New Roman"/>
          <w:bCs/>
          <w:iCs/>
          <w:spacing w:val="-9"/>
          <w:sz w:val="32"/>
          <w:szCs w:val="32"/>
        </w:rPr>
        <w:t xml:space="preserve"> </w:t>
      </w:r>
      <w:r w:rsidRPr="00877DE5">
        <w:rPr>
          <w:rFonts w:ascii="Times New Roman" w:eastAsia="Times New Roman" w:hAnsi="Times New Roman" w:cs="Times New Roman"/>
          <w:bCs/>
          <w:iCs/>
          <w:sz w:val="32"/>
          <w:szCs w:val="32"/>
        </w:rPr>
        <w:t>млн.</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pacing w:val="-4"/>
          <w:sz w:val="32"/>
          <w:szCs w:val="32"/>
        </w:rPr>
        <w:t>руб.</w:t>
      </w:r>
    </w:p>
    <w:p w14:paraId="1DFE7996"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b/>
          <w:i/>
          <w:sz w:val="32"/>
          <w:szCs w:val="32"/>
        </w:rPr>
      </w:pPr>
    </w:p>
    <w:p w14:paraId="468B3C72" w14:textId="77777777" w:rsidR="00877DE5" w:rsidRPr="00877DE5" w:rsidRDefault="00877DE5" w:rsidP="00067100">
      <w:pPr>
        <w:widowControl w:val="0"/>
        <w:autoSpaceDE w:val="0"/>
        <w:autoSpaceDN w:val="0"/>
        <w:spacing w:after="0" w:line="240" w:lineRule="auto"/>
        <w:ind w:left="141" w:right="148"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Увеличение объема выполненных работ в сфере строительства в Краснодарском крае на 10,96% в 2024 году по сравнению с 2023 годом говорит о росте активности в строительной отрасли и уверенности инвесторов.</w:t>
      </w:r>
    </w:p>
    <w:p w14:paraId="669AA9CB" w14:textId="77777777" w:rsidR="00877DE5" w:rsidRPr="00877DE5" w:rsidRDefault="00877DE5" w:rsidP="00067100">
      <w:pPr>
        <w:widowControl w:val="0"/>
        <w:autoSpaceDE w:val="0"/>
        <w:autoSpaceDN w:val="0"/>
        <w:spacing w:after="0" w:line="240" w:lineRule="auto"/>
        <w:ind w:left="141" w:right="142"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Исходя из Стратегии социально-экономического развития Краснодарского края до 2030 года, с 2025 года прогнозируется постепенное наращивание объемов ввода жилья в данном регионе [1].</w:t>
      </w:r>
    </w:p>
    <w:p w14:paraId="5670BC6B" w14:textId="77777777" w:rsidR="00877DE5" w:rsidRPr="00877DE5" w:rsidRDefault="00877DE5" w:rsidP="00067100">
      <w:pPr>
        <w:widowControl w:val="0"/>
        <w:autoSpaceDE w:val="0"/>
        <w:autoSpaceDN w:val="0"/>
        <w:spacing w:after="0" w:line="240" w:lineRule="auto"/>
        <w:ind w:left="141" w:right="145"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Наблюдается общий рост объемов вводимого жилья с 2024 по 2025 год, данный факт свидетельствует о положительных тенденциях в строительной отрасли и увеличении спроса на жилье.</w:t>
      </w:r>
    </w:p>
    <w:p w14:paraId="3DF92F63" w14:textId="77777777" w:rsidR="00877DE5" w:rsidRPr="00877DE5" w:rsidRDefault="00877DE5" w:rsidP="00067100">
      <w:pPr>
        <w:widowControl w:val="0"/>
        <w:autoSpaceDE w:val="0"/>
        <w:autoSpaceDN w:val="0"/>
        <w:spacing w:after="0" w:line="240" w:lineRule="auto"/>
        <w:ind w:left="141" w:right="14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Фактический</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и</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планируемый</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объем</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вводимого</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жилья</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Краснодарском</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крае рассмотрим на рисунке 2.</w:t>
      </w:r>
    </w:p>
    <w:p w14:paraId="1B9BACA1"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sz w:val="32"/>
          <w:szCs w:val="32"/>
        </w:rPr>
      </w:pPr>
    </w:p>
    <w:p w14:paraId="3E3A50CA"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sz w:val="32"/>
          <w:szCs w:val="32"/>
        </w:rPr>
      </w:pPr>
      <w:r w:rsidRPr="00877DE5">
        <w:rPr>
          <w:rFonts w:ascii="Times New Roman" w:eastAsia="Times New Roman" w:hAnsi="Times New Roman" w:cs="Times New Roman"/>
          <w:noProof/>
          <w:sz w:val="32"/>
          <w:szCs w:val="32"/>
          <w:lang w:eastAsia="ru-RU"/>
        </w:rPr>
        <w:lastRenderedPageBreak/>
        <w:drawing>
          <wp:anchor distT="0" distB="0" distL="0" distR="0" simplePos="0" relativeHeight="251662336" behindDoc="1" locked="0" layoutInCell="1" allowOverlap="1" wp14:anchorId="23240E58" wp14:editId="3946FDF1">
            <wp:simplePos x="0" y="0"/>
            <wp:positionH relativeFrom="page">
              <wp:posOffset>1113044</wp:posOffset>
            </wp:positionH>
            <wp:positionV relativeFrom="paragraph">
              <wp:posOffset>226714</wp:posOffset>
            </wp:positionV>
            <wp:extent cx="5531978" cy="3231356"/>
            <wp:effectExtent l="0" t="0" r="0" b="0"/>
            <wp:wrapTopAndBottom/>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33" cstate="print"/>
                    <a:stretch>
                      <a:fillRect/>
                    </a:stretch>
                  </pic:blipFill>
                  <pic:spPr>
                    <a:xfrm>
                      <a:off x="0" y="0"/>
                      <a:ext cx="5531978" cy="3231356"/>
                    </a:xfrm>
                    <a:prstGeom prst="rect">
                      <a:avLst/>
                    </a:prstGeom>
                  </pic:spPr>
                </pic:pic>
              </a:graphicData>
            </a:graphic>
          </wp:anchor>
        </w:drawing>
      </w:r>
    </w:p>
    <w:p w14:paraId="5E3A26FA" w14:textId="77777777" w:rsidR="00877DE5" w:rsidRPr="00877DE5" w:rsidRDefault="00877DE5" w:rsidP="00067100">
      <w:pPr>
        <w:widowControl w:val="0"/>
        <w:autoSpaceDE w:val="0"/>
        <w:autoSpaceDN w:val="0"/>
        <w:spacing w:after="0" w:line="240" w:lineRule="auto"/>
        <w:ind w:firstLine="709"/>
        <w:jc w:val="center"/>
        <w:outlineLvl w:val="1"/>
        <w:rPr>
          <w:rFonts w:ascii="Times New Roman" w:eastAsia="Times New Roman" w:hAnsi="Times New Roman" w:cs="Times New Roman"/>
          <w:bCs/>
          <w:iCs/>
          <w:sz w:val="32"/>
          <w:szCs w:val="32"/>
        </w:rPr>
      </w:pPr>
      <w:r w:rsidRPr="00877DE5">
        <w:rPr>
          <w:rFonts w:ascii="Times New Roman" w:eastAsia="Times New Roman" w:hAnsi="Times New Roman" w:cs="Times New Roman"/>
          <w:bCs/>
          <w:iCs/>
          <w:sz w:val="32"/>
          <w:szCs w:val="32"/>
        </w:rPr>
        <w:t>Рисунок</w:t>
      </w:r>
      <w:r w:rsidRPr="00877DE5">
        <w:rPr>
          <w:rFonts w:ascii="Times New Roman" w:eastAsia="Times New Roman" w:hAnsi="Times New Roman" w:cs="Times New Roman"/>
          <w:bCs/>
          <w:iCs/>
          <w:spacing w:val="-5"/>
          <w:sz w:val="32"/>
          <w:szCs w:val="32"/>
        </w:rPr>
        <w:t xml:space="preserve"> </w:t>
      </w:r>
      <w:r w:rsidRPr="00877DE5">
        <w:rPr>
          <w:rFonts w:ascii="Times New Roman" w:eastAsia="Times New Roman" w:hAnsi="Times New Roman" w:cs="Times New Roman"/>
          <w:bCs/>
          <w:iCs/>
          <w:sz w:val="32"/>
          <w:szCs w:val="32"/>
        </w:rPr>
        <w:t>2.</w:t>
      </w:r>
      <w:r w:rsidRPr="00877DE5">
        <w:rPr>
          <w:rFonts w:ascii="Times New Roman" w:eastAsia="Times New Roman" w:hAnsi="Times New Roman" w:cs="Times New Roman"/>
          <w:bCs/>
          <w:iCs/>
          <w:spacing w:val="-3"/>
          <w:sz w:val="32"/>
          <w:szCs w:val="32"/>
        </w:rPr>
        <w:t xml:space="preserve"> </w:t>
      </w:r>
      <w:r w:rsidRPr="00877DE5">
        <w:rPr>
          <w:rFonts w:ascii="Times New Roman" w:eastAsia="Times New Roman" w:hAnsi="Times New Roman" w:cs="Times New Roman"/>
          <w:bCs/>
          <w:iCs/>
          <w:sz w:val="32"/>
          <w:szCs w:val="32"/>
        </w:rPr>
        <w:t>Фактический</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z w:val="32"/>
          <w:szCs w:val="32"/>
        </w:rPr>
        <w:t>и</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z w:val="32"/>
          <w:szCs w:val="32"/>
        </w:rPr>
        <w:t>планируемый</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z w:val="32"/>
          <w:szCs w:val="32"/>
        </w:rPr>
        <w:t>объем</w:t>
      </w:r>
      <w:r w:rsidRPr="00877DE5">
        <w:rPr>
          <w:rFonts w:ascii="Times New Roman" w:eastAsia="Times New Roman" w:hAnsi="Times New Roman" w:cs="Times New Roman"/>
          <w:bCs/>
          <w:iCs/>
          <w:spacing w:val="-4"/>
          <w:sz w:val="32"/>
          <w:szCs w:val="32"/>
        </w:rPr>
        <w:t xml:space="preserve"> </w:t>
      </w:r>
      <w:r w:rsidRPr="00877DE5">
        <w:rPr>
          <w:rFonts w:ascii="Times New Roman" w:eastAsia="Times New Roman" w:hAnsi="Times New Roman" w:cs="Times New Roman"/>
          <w:bCs/>
          <w:iCs/>
          <w:sz w:val="32"/>
          <w:szCs w:val="32"/>
        </w:rPr>
        <w:t>вводимого</w:t>
      </w:r>
      <w:r w:rsidRPr="00877DE5">
        <w:rPr>
          <w:rFonts w:ascii="Times New Roman" w:eastAsia="Times New Roman" w:hAnsi="Times New Roman" w:cs="Times New Roman"/>
          <w:bCs/>
          <w:iCs/>
          <w:spacing w:val="-5"/>
          <w:sz w:val="32"/>
          <w:szCs w:val="32"/>
        </w:rPr>
        <w:t xml:space="preserve"> </w:t>
      </w:r>
      <w:r w:rsidRPr="00877DE5">
        <w:rPr>
          <w:rFonts w:ascii="Times New Roman" w:eastAsia="Times New Roman" w:hAnsi="Times New Roman" w:cs="Times New Roman"/>
          <w:bCs/>
          <w:iCs/>
          <w:sz w:val="32"/>
          <w:szCs w:val="32"/>
        </w:rPr>
        <w:t>жилья</w:t>
      </w:r>
      <w:r w:rsidRPr="00877DE5">
        <w:rPr>
          <w:rFonts w:ascii="Times New Roman" w:eastAsia="Times New Roman" w:hAnsi="Times New Roman" w:cs="Times New Roman"/>
          <w:bCs/>
          <w:iCs/>
          <w:spacing w:val="-4"/>
          <w:sz w:val="32"/>
          <w:szCs w:val="32"/>
        </w:rPr>
        <w:t xml:space="preserve"> </w:t>
      </w:r>
      <w:r w:rsidRPr="00877DE5">
        <w:rPr>
          <w:rFonts w:ascii="Times New Roman" w:eastAsia="Times New Roman" w:hAnsi="Times New Roman" w:cs="Times New Roman"/>
          <w:bCs/>
          <w:iCs/>
          <w:sz w:val="32"/>
          <w:szCs w:val="32"/>
        </w:rPr>
        <w:t>в Краснодарском крае, тыс. кв. м.</w:t>
      </w:r>
    </w:p>
    <w:p w14:paraId="77F63D9A"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b/>
          <w:i/>
          <w:sz w:val="32"/>
          <w:szCs w:val="32"/>
        </w:rPr>
      </w:pPr>
    </w:p>
    <w:p w14:paraId="3CA635A8" w14:textId="77777777" w:rsidR="00877DE5" w:rsidRPr="00877DE5" w:rsidRDefault="00877DE5" w:rsidP="00067100">
      <w:pPr>
        <w:widowControl w:val="0"/>
        <w:autoSpaceDE w:val="0"/>
        <w:autoSpaceDN w:val="0"/>
        <w:spacing w:after="0" w:line="240" w:lineRule="auto"/>
        <w:ind w:left="141" w:right="14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Важно</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отметить,</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что</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запланированные</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объемы</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на</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2024</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год</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(5793</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тыс.</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кв.</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 xml:space="preserve">м) являются достаточно высокими, строительная активность в регионе достаточно </w:t>
      </w:r>
      <w:r w:rsidRPr="00877DE5">
        <w:rPr>
          <w:rFonts w:ascii="Times New Roman" w:eastAsia="Times New Roman" w:hAnsi="Times New Roman" w:cs="Times New Roman"/>
          <w:spacing w:val="-2"/>
          <w:sz w:val="32"/>
          <w:szCs w:val="32"/>
        </w:rPr>
        <w:t>стабильна.</w:t>
      </w:r>
    </w:p>
    <w:p w14:paraId="4F65397C" w14:textId="77777777" w:rsidR="00877DE5" w:rsidRPr="00877DE5" w:rsidRDefault="00877DE5" w:rsidP="00067100">
      <w:pPr>
        <w:widowControl w:val="0"/>
        <w:autoSpaceDE w:val="0"/>
        <w:autoSpaceDN w:val="0"/>
        <w:spacing w:after="0" w:line="240" w:lineRule="auto"/>
        <w:ind w:left="141" w:right="148"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Прогнозы на 2025 и последующие годы также показывают уверенность в дальнейшем развитии рынка жилья.</w:t>
      </w:r>
    </w:p>
    <w:p w14:paraId="795B2083" w14:textId="77777777" w:rsidR="00877DE5" w:rsidRPr="00877DE5" w:rsidRDefault="00877DE5" w:rsidP="00067100">
      <w:pPr>
        <w:widowControl w:val="0"/>
        <w:autoSpaceDE w:val="0"/>
        <w:autoSpaceDN w:val="0"/>
        <w:spacing w:after="0" w:line="240" w:lineRule="auto"/>
        <w:ind w:left="141" w:right="144"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Общая</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тенденция</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к</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увеличению</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объемов</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вводимого</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жилья</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Краснодарском крае на протяжении 2024-2027 годов говорит о растущем интересе к строительству и улучшении условий для застройщиков.</w:t>
      </w:r>
    </w:p>
    <w:p w14:paraId="37FB32F5" w14:textId="77777777" w:rsidR="00877DE5" w:rsidRPr="00877DE5" w:rsidRDefault="00877DE5" w:rsidP="00067100">
      <w:pPr>
        <w:widowControl w:val="0"/>
        <w:autoSpaceDE w:val="0"/>
        <w:autoSpaceDN w:val="0"/>
        <w:spacing w:after="0" w:line="240" w:lineRule="auto"/>
        <w:ind w:left="141" w:right="14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Однако, несмотря на прогнозы Стратегии социально-экономического развития</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Краснодарского</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края</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до</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2030</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года,</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выдача</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ипотеки</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декабре</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2024</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pacing w:val="-4"/>
          <w:sz w:val="32"/>
          <w:szCs w:val="32"/>
        </w:rPr>
        <w:t>года</w:t>
      </w:r>
    </w:p>
    <w:p w14:paraId="3ADEB41A" w14:textId="77777777" w:rsidR="00877DE5" w:rsidRPr="00877DE5" w:rsidRDefault="00877DE5" w:rsidP="00067100">
      <w:pPr>
        <w:widowControl w:val="0"/>
        <w:autoSpaceDE w:val="0"/>
        <w:autoSpaceDN w:val="0"/>
        <w:spacing w:after="0" w:line="240" w:lineRule="auto"/>
        <w:ind w:left="141" w:firstLine="709"/>
        <w:jc w:val="both"/>
        <w:rPr>
          <w:rFonts w:ascii="Times New Roman" w:eastAsia="Times New Roman" w:hAnsi="Times New Roman" w:cs="Times New Roman"/>
          <w:sz w:val="32"/>
          <w:szCs w:val="32"/>
        </w:rPr>
        <w:sectPr w:rsidR="00877DE5" w:rsidRPr="00877DE5" w:rsidSect="00EC1356">
          <w:footerReference w:type="default" r:id="rId334"/>
          <w:pgSz w:w="11910" w:h="16840"/>
          <w:pgMar w:top="1134" w:right="1134" w:bottom="1134" w:left="1134" w:header="720" w:footer="720" w:gutter="0"/>
          <w:cols w:space="720"/>
          <w:titlePg/>
          <w:docGrid w:linePitch="299"/>
        </w:sectPr>
      </w:pPr>
    </w:p>
    <w:p w14:paraId="0CB00DC9" w14:textId="77777777" w:rsidR="00877DE5" w:rsidRPr="00877DE5" w:rsidRDefault="00877DE5" w:rsidP="00067100">
      <w:pPr>
        <w:widowControl w:val="0"/>
        <w:autoSpaceDE w:val="0"/>
        <w:autoSpaceDN w:val="0"/>
        <w:spacing w:after="0" w:line="240" w:lineRule="auto"/>
        <w:ind w:left="141" w:right="138"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lastRenderedPageBreak/>
        <w:t>упала</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на</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73%</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по</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количеству</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кредитов</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и</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на</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69%</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по</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сумме</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сравнении</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с</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декабрем 2023</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года.</w:t>
      </w:r>
      <w:r w:rsidRPr="00877DE5">
        <w:rPr>
          <w:rFonts w:ascii="Times New Roman" w:eastAsia="Times New Roman" w:hAnsi="Times New Roman" w:cs="Times New Roman"/>
          <w:spacing w:val="-1"/>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настоящий</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момент</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темп</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продажи</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жилья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новостройках</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снизился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в 2 раза также в сравнении с прошлым годом.</w:t>
      </w:r>
    </w:p>
    <w:p w14:paraId="590D7E4F" w14:textId="77777777" w:rsidR="00877DE5" w:rsidRPr="00877DE5" w:rsidRDefault="00877DE5" w:rsidP="00067100">
      <w:pPr>
        <w:widowControl w:val="0"/>
        <w:autoSpaceDE w:val="0"/>
        <w:autoSpaceDN w:val="0"/>
        <w:spacing w:after="0" w:line="240" w:lineRule="auto"/>
        <w:ind w:left="707" w:firstLine="709"/>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Существуют</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и</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другие</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проблемы</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7"/>
          <w:sz w:val="32"/>
          <w:szCs w:val="32"/>
        </w:rPr>
        <w:t xml:space="preserve"> </w:t>
      </w:r>
      <w:r w:rsidRPr="00877DE5">
        <w:rPr>
          <w:rFonts w:ascii="Times New Roman" w:eastAsia="Times New Roman" w:hAnsi="Times New Roman" w:cs="Times New Roman"/>
          <w:sz w:val="32"/>
          <w:szCs w:val="32"/>
        </w:rPr>
        <w:t>развитии</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pacing w:val="-2"/>
          <w:sz w:val="32"/>
          <w:szCs w:val="32"/>
        </w:rPr>
        <w:t>отрасли:</w:t>
      </w:r>
    </w:p>
    <w:p w14:paraId="75B36F91" w14:textId="77777777" w:rsidR="00877DE5" w:rsidRPr="00877DE5" w:rsidRDefault="00877DE5" w:rsidP="00AD58CD">
      <w:pPr>
        <w:widowControl w:val="0"/>
        <w:numPr>
          <w:ilvl w:val="0"/>
          <w:numId w:val="45"/>
        </w:numPr>
        <w:tabs>
          <w:tab w:val="left" w:pos="1557"/>
        </w:tabs>
        <w:autoSpaceDE w:val="0"/>
        <w:autoSpaceDN w:val="0"/>
        <w:spacing w:after="0" w:line="240" w:lineRule="auto"/>
        <w:ind w:left="0" w:firstLine="709"/>
        <w:rPr>
          <w:rFonts w:ascii="Times New Roman" w:eastAsia="Calibri" w:hAnsi="Times New Roman" w:cs="Times New Roman"/>
          <w:sz w:val="32"/>
          <w:szCs w:val="32"/>
        </w:rPr>
      </w:pPr>
      <w:r w:rsidRPr="00877DE5">
        <w:rPr>
          <w:rFonts w:ascii="Times New Roman" w:eastAsia="Calibri" w:hAnsi="Times New Roman" w:cs="Times New Roman"/>
          <w:sz w:val="32"/>
          <w:szCs w:val="32"/>
        </w:rPr>
        <w:t>одним</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из</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главных</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вызовов</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остается</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недостаток</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и</w:t>
      </w:r>
      <w:r w:rsidRPr="00877DE5">
        <w:rPr>
          <w:rFonts w:ascii="Times New Roman" w:eastAsia="Calibri" w:hAnsi="Times New Roman" w:cs="Times New Roman"/>
          <w:spacing w:val="80"/>
          <w:sz w:val="32"/>
          <w:szCs w:val="32"/>
        </w:rPr>
        <w:t xml:space="preserve"> </w:t>
      </w:r>
      <w:r w:rsidRPr="00877DE5">
        <w:rPr>
          <w:rFonts w:ascii="Times New Roman" w:eastAsia="Calibri" w:hAnsi="Times New Roman" w:cs="Times New Roman"/>
          <w:sz w:val="32"/>
          <w:szCs w:val="32"/>
        </w:rPr>
        <w:t>дороговизна строительных материалов и рабочей силы;</w:t>
      </w:r>
    </w:p>
    <w:p w14:paraId="7FCC09D4" w14:textId="77777777" w:rsidR="00877DE5" w:rsidRPr="00877DE5" w:rsidRDefault="00877DE5" w:rsidP="00AD58CD">
      <w:pPr>
        <w:widowControl w:val="0"/>
        <w:numPr>
          <w:ilvl w:val="0"/>
          <w:numId w:val="45"/>
        </w:numPr>
        <w:tabs>
          <w:tab w:val="left" w:pos="1557"/>
          <w:tab w:val="left" w:pos="3314"/>
          <w:tab w:val="left" w:pos="4504"/>
          <w:tab w:val="left" w:pos="6337"/>
          <w:tab w:val="left" w:pos="7788"/>
          <w:tab w:val="left" w:pos="8333"/>
        </w:tabs>
        <w:autoSpaceDE w:val="0"/>
        <w:autoSpaceDN w:val="0"/>
        <w:spacing w:after="0" w:line="240" w:lineRule="auto"/>
        <w:ind w:left="0" w:firstLine="709"/>
        <w:rPr>
          <w:rFonts w:ascii="Times New Roman" w:eastAsia="Calibri" w:hAnsi="Times New Roman" w:cs="Times New Roman"/>
          <w:sz w:val="32"/>
          <w:szCs w:val="32"/>
        </w:rPr>
      </w:pPr>
      <w:r w:rsidRPr="00877DE5">
        <w:rPr>
          <w:rFonts w:ascii="Times New Roman" w:eastAsia="Calibri" w:hAnsi="Times New Roman" w:cs="Times New Roman"/>
          <w:spacing w:val="-2"/>
          <w:sz w:val="32"/>
          <w:szCs w:val="32"/>
        </w:rPr>
        <w:t>увеличение</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сроков</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выполнения</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проектов</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10"/>
          <w:sz w:val="32"/>
          <w:szCs w:val="32"/>
        </w:rPr>
        <w:t>и</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удорожание строительства;</w:t>
      </w:r>
    </w:p>
    <w:p w14:paraId="51A20978" w14:textId="77777777" w:rsidR="00877DE5" w:rsidRPr="00877DE5" w:rsidRDefault="00877DE5" w:rsidP="00AD58CD">
      <w:pPr>
        <w:widowControl w:val="0"/>
        <w:numPr>
          <w:ilvl w:val="0"/>
          <w:numId w:val="45"/>
        </w:numPr>
        <w:tabs>
          <w:tab w:val="left" w:pos="1557"/>
          <w:tab w:val="left" w:pos="3097"/>
          <w:tab w:val="left" w:pos="4056"/>
          <w:tab w:val="left" w:pos="4703"/>
          <w:tab w:val="left" w:pos="6310"/>
          <w:tab w:val="left" w:pos="7413"/>
          <w:tab w:val="left" w:pos="8689"/>
        </w:tabs>
        <w:autoSpaceDE w:val="0"/>
        <w:autoSpaceDN w:val="0"/>
        <w:spacing w:after="0" w:line="240" w:lineRule="auto"/>
        <w:ind w:left="0" w:firstLine="709"/>
        <w:rPr>
          <w:rFonts w:ascii="Times New Roman" w:eastAsia="Calibri" w:hAnsi="Times New Roman" w:cs="Times New Roman"/>
          <w:sz w:val="32"/>
          <w:szCs w:val="32"/>
        </w:rPr>
      </w:pPr>
      <w:r w:rsidRPr="00877DE5">
        <w:rPr>
          <w:rFonts w:ascii="Times New Roman" w:eastAsia="Calibri" w:hAnsi="Times New Roman" w:cs="Times New Roman"/>
          <w:spacing w:val="-2"/>
          <w:sz w:val="32"/>
          <w:szCs w:val="32"/>
        </w:rPr>
        <w:t>временные</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4"/>
          <w:sz w:val="32"/>
          <w:szCs w:val="32"/>
        </w:rPr>
        <w:t>рамки</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4"/>
          <w:sz w:val="32"/>
          <w:szCs w:val="32"/>
        </w:rPr>
        <w:t>для</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реализации</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многих</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крупных</w:t>
      </w:r>
      <w:r w:rsidRPr="00877DE5">
        <w:rPr>
          <w:rFonts w:ascii="Times New Roman" w:eastAsia="Calibri" w:hAnsi="Times New Roman" w:cs="Times New Roman"/>
          <w:sz w:val="32"/>
          <w:szCs w:val="32"/>
        </w:rPr>
        <w:tab/>
      </w:r>
      <w:r w:rsidRPr="00877DE5">
        <w:rPr>
          <w:rFonts w:ascii="Times New Roman" w:eastAsia="Calibri" w:hAnsi="Times New Roman" w:cs="Times New Roman"/>
          <w:spacing w:val="-2"/>
          <w:sz w:val="32"/>
          <w:szCs w:val="32"/>
        </w:rPr>
        <w:t xml:space="preserve">проектов </w:t>
      </w:r>
      <w:r w:rsidRPr="00877DE5">
        <w:rPr>
          <w:rFonts w:ascii="Times New Roman" w:eastAsia="Calibri" w:hAnsi="Times New Roman" w:cs="Times New Roman"/>
          <w:sz w:val="32"/>
          <w:szCs w:val="32"/>
        </w:rPr>
        <w:t>оказались под угрозой из-за экономической нестабильности.</w:t>
      </w:r>
    </w:p>
    <w:p w14:paraId="50521962" w14:textId="77777777" w:rsidR="00877DE5" w:rsidRPr="00877DE5" w:rsidRDefault="00877DE5" w:rsidP="00067100">
      <w:pPr>
        <w:widowControl w:val="0"/>
        <w:autoSpaceDE w:val="0"/>
        <w:autoSpaceDN w:val="0"/>
        <w:spacing w:after="0" w:line="240" w:lineRule="auto"/>
        <w:ind w:left="141" w:firstLine="709"/>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Самая</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большая</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проблема</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жилищном</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секторе</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на</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данный</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момент</w:t>
      </w:r>
      <w:r w:rsidRPr="00877DE5">
        <w:rPr>
          <w:rFonts w:ascii="Times New Roman" w:eastAsia="Times New Roman" w:hAnsi="Times New Roman" w:cs="Times New Roman"/>
          <w:spacing w:val="80"/>
          <w:sz w:val="32"/>
          <w:szCs w:val="32"/>
        </w:rPr>
        <w:t xml:space="preserve"> </w:t>
      </w:r>
      <w:r w:rsidRPr="00877DE5">
        <w:rPr>
          <w:rFonts w:ascii="Times New Roman" w:eastAsia="Times New Roman" w:hAnsi="Times New Roman" w:cs="Times New Roman"/>
          <w:sz w:val="32"/>
          <w:szCs w:val="32"/>
        </w:rPr>
        <w:t>— повышение ключевой ставки, которая на данный момент составляет 21%.</w:t>
      </w:r>
    </w:p>
    <w:p w14:paraId="78A4A7CE" w14:textId="77777777" w:rsidR="00877DE5" w:rsidRPr="00877DE5" w:rsidRDefault="00877DE5" w:rsidP="00067100">
      <w:pPr>
        <w:widowControl w:val="0"/>
        <w:autoSpaceDE w:val="0"/>
        <w:autoSpaceDN w:val="0"/>
        <w:spacing w:after="0" w:line="240" w:lineRule="auto"/>
        <w:ind w:left="707" w:firstLine="709"/>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При</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повышении</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ключевой</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pacing w:val="-2"/>
          <w:sz w:val="32"/>
          <w:szCs w:val="32"/>
        </w:rPr>
        <w:t>ставки:</w:t>
      </w:r>
    </w:p>
    <w:p w14:paraId="5FC6768E" w14:textId="77777777" w:rsidR="00877DE5" w:rsidRPr="00877DE5" w:rsidRDefault="00877DE5" w:rsidP="00AD58CD">
      <w:pPr>
        <w:widowControl w:val="0"/>
        <w:numPr>
          <w:ilvl w:val="0"/>
          <w:numId w:val="45"/>
        </w:numPr>
        <w:tabs>
          <w:tab w:val="left" w:pos="860"/>
        </w:tabs>
        <w:autoSpaceDE w:val="0"/>
        <w:autoSpaceDN w:val="0"/>
        <w:spacing w:after="0" w:line="240" w:lineRule="auto"/>
        <w:ind w:left="0" w:firstLine="709"/>
        <w:rPr>
          <w:rFonts w:ascii="Times New Roman" w:eastAsia="Calibri" w:hAnsi="Times New Roman" w:cs="Times New Roman"/>
          <w:sz w:val="32"/>
          <w:szCs w:val="32"/>
        </w:rPr>
      </w:pPr>
      <w:r w:rsidRPr="00877DE5">
        <w:rPr>
          <w:rFonts w:ascii="Times New Roman" w:eastAsia="Calibri" w:hAnsi="Times New Roman" w:cs="Times New Roman"/>
          <w:sz w:val="32"/>
          <w:szCs w:val="32"/>
        </w:rPr>
        <w:t>проценты</w:t>
      </w:r>
      <w:r w:rsidRPr="00877DE5">
        <w:rPr>
          <w:rFonts w:ascii="Times New Roman" w:eastAsia="Calibri" w:hAnsi="Times New Roman" w:cs="Times New Roman"/>
          <w:spacing w:val="-8"/>
          <w:sz w:val="32"/>
          <w:szCs w:val="32"/>
        </w:rPr>
        <w:t xml:space="preserve"> </w:t>
      </w:r>
      <w:r w:rsidRPr="00877DE5">
        <w:rPr>
          <w:rFonts w:ascii="Times New Roman" w:eastAsia="Calibri" w:hAnsi="Times New Roman" w:cs="Times New Roman"/>
          <w:sz w:val="32"/>
          <w:szCs w:val="32"/>
        </w:rPr>
        <w:t>по</w:t>
      </w:r>
      <w:r w:rsidRPr="00877DE5">
        <w:rPr>
          <w:rFonts w:ascii="Times New Roman" w:eastAsia="Calibri" w:hAnsi="Times New Roman" w:cs="Times New Roman"/>
          <w:spacing w:val="-7"/>
          <w:sz w:val="32"/>
          <w:szCs w:val="32"/>
        </w:rPr>
        <w:t xml:space="preserve"> </w:t>
      </w:r>
      <w:r w:rsidRPr="00877DE5">
        <w:rPr>
          <w:rFonts w:ascii="Times New Roman" w:eastAsia="Calibri" w:hAnsi="Times New Roman" w:cs="Times New Roman"/>
          <w:sz w:val="32"/>
          <w:szCs w:val="32"/>
        </w:rPr>
        <w:t>кредитам</w:t>
      </w:r>
      <w:r w:rsidRPr="00877DE5">
        <w:rPr>
          <w:rFonts w:ascii="Times New Roman" w:eastAsia="Calibri" w:hAnsi="Times New Roman" w:cs="Times New Roman"/>
          <w:spacing w:val="-5"/>
          <w:sz w:val="32"/>
          <w:szCs w:val="32"/>
        </w:rPr>
        <w:t xml:space="preserve"> </w:t>
      </w:r>
      <w:r w:rsidRPr="00877DE5">
        <w:rPr>
          <w:rFonts w:ascii="Times New Roman" w:eastAsia="Calibri" w:hAnsi="Times New Roman" w:cs="Times New Roman"/>
          <w:spacing w:val="-2"/>
          <w:sz w:val="32"/>
          <w:szCs w:val="32"/>
        </w:rPr>
        <w:t>увеличиваются;</w:t>
      </w:r>
    </w:p>
    <w:p w14:paraId="5BBF1501" w14:textId="77777777" w:rsidR="00877DE5" w:rsidRPr="00877DE5" w:rsidRDefault="00877DE5" w:rsidP="00AD58CD">
      <w:pPr>
        <w:widowControl w:val="0"/>
        <w:numPr>
          <w:ilvl w:val="0"/>
          <w:numId w:val="45"/>
        </w:numPr>
        <w:tabs>
          <w:tab w:val="left" w:pos="860"/>
        </w:tabs>
        <w:autoSpaceDE w:val="0"/>
        <w:autoSpaceDN w:val="0"/>
        <w:spacing w:after="0" w:line="240" w:lineRule="auto"/>
        <w:ind w:left="0" w:firstLine="709"/>
        <w:rPr>
          <w:rFonts w:ascii="Times New Roman" w:eastAsia="Calibri" w:hAnsi="Times New Roman" w:cs="Times New Roman"/>
          <w:sz w:val="32"/>
          <w:szCs w:val="32"/>
        </w:rPr>
      </w:pPr>
      <w:r w:rsidRPr="00877DE5">
        <w:rPr>
          <w:rFonts w:ascii="Times New Roman" w:eastAsia="Calibri" w:hAnsi="Times New Roman" w:cs="Times New Roman"/>
          <w:sz w:val="32"/>
          <w:szCs w:val="32"/>
        </w:rPr>
        <w:t>снижается</w:t>
      </w:r>
      <w:r w:rsidRPr="00877DE5">
        <w:rPr>
          <w:rFonts w:ascii="Times New Roman" w:eastAsia="Calibri" w:hAnsi="Times New Roman" w:cs="Times New Roman"/>
          <w:spacing w:val="-15"/>
          <w:sz w:val="32"/>
          <w:szCs w:val="32"/>
        </w:rPr>
        <w:t xml:space="preserve"> </w:t>
      </w:r>
      <w:r w:rsidRPr="00877DE5">
        <w:rPr>
          <w:rFonts w:ascii="Times New Roman" w:eastAsia="Calibri" w:hAnsi="Times New Roman" w:cs="Times New Roman"/>
          <w:sz w:val="32"/>
          <w:szCs w:val="32"/>
        </w:rPr>
        <w:t>покупательская</w:t>
      </w:r>
      <w:r w:rsidRPr="00877DE5">
        <w:rPr>
          <w:rFonts w:ascii="Times New Roman" w:eastAsia="Calibri" w:hAnsi="Times New Roman" w:cs="Times New Roman"/>
          <w:spacing w:val="-15"/>
          <w:sz w:val="32"/>
          <w:szCs w:val="32"/>
        </w:rPr>
        <w:t xml:space="preserve"> </w:t>
      </w:r>
      <w:r w:rsidRPr="00877DE5">
        <w:rPr>
          <w:rFonts w:ascii="Times New Roman" w:eastAsia="Calibri" w:hAnsi="Times New Roman" w:cs="Times New Roman"/>
          <w:spacing w:val="-2"/>
          <w:sz w:val="32"/>
          <w:szCs w:val="32"/>
        </w:rPr>
        <w:t>активность;</w:t>
      </w:r>
    </w:p>
    <w:p w14:paraId="4C95A506" w14:textId="77777777" w:rsidR="00877DE5" w:rsidRPr="00877DE5" w:rsidRDefault="00877DE5" w:rsidP="00AD58CD">
      <w:pPr>
        <w:widowControl w:val="0"/>
        <w:numPr>
          <w:ilvl w:val="0"/>
          <w:numId w:val="45"/>
        </w:numPr>
        <w:tabs>
          <w:tab w:val="left" w:pos="860"/>
        </w:tabs>
        <w:autoSpaceDE w:val="0"/>
        <w:autoSpaceDN w:val="0"/>
        <w:spacing w:after="0" w:line="240" w:lineRule="auto"/>
        <w:ind w:left="0"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рост</w:t>
      </w:r>
      <w:r w:rsidRPr="00877DE5">
        <w:rPr>
          <w:rFonts w:ascii="Times New Roman" w:eastAsia="Calibri" w:hAnsi="Times New Roman" w:cs="Times New Roman"/>
          <w:spacing w:val="-8"/>
          <w:sz w:val="32"/>
          <w:szCs w:val="32"/>
        </w:rPr>
        <w:t xml:space="preserve"> </w:t>
      </w:r>
      <w:r w:rsidRPr="00877DE5">
        <w:rPr>
          <w:rFonts w:ascii="Times New Roman" w:eastAsia="Calibri" w:hAnsi="Times New Roman" w:cs="Times New Roman"/>
          <w:sz w:val="32"/>
          <w:szCs w:val="32"/>
        </w:rPr>
        <w:t>экономики</w:t>
      </w:r>
      <w:r w:rsidRPr="00877DE5">
        <w:rPr>
          <w:rFonts w:ascii="Times New Roman" w:eastAsia="Calibri" w:hAnsi="Times New Roman" w:cs="Times New Roman"/>
          <w:spacing w:val="-7"/>
          <w:sz w:val="32"/>
          <w:szCs w:val="32"/>
        </w:rPr>
        <w:t xml:space="preserve"> </w:t>
      </w:r>
      <w:r w:rsidRPr="00877DE5">
        <w:rPr>
          <w:rFonts w:ascii="Times New Roman" w:eastAsia="Calibri" w:hAnsi="Times New Roman" w:cs="Times New Roman"/>
          <w:spacing w:val="-2"/>
          <w:sz w:val="32"/>
          <w:szCs w:val="32"/>
        </w:rPr>
        <w:t>замедляется.</w:t>
      </w:r>
    </w:p>
    <w:p w14:paraId="23E8B2F8" w14:textId="77777777" w:rsidR="00877DE5" w:rsidRPr="00877DE5" w:rsidRDefault="00877DE5" w:rsidP="00067100">
      <w:pPr>
        <w:widowControl w:val="0"/>
        <w:autoSpaceDE w:val="0"/>
        <w:autoSpaceDN w:val="0"/>
        <w:spacing w:after="0" w:line="240" w:lineRule="auto"/>
        <w:ind w:left="141" w:right="148"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Если</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процентные</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ставки</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не</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будут</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снижаться,</w:t>
      </w:r>
      <w:r w:rsidRPr="00877DE5">
        <w:rPr>
          <w:rFonts w:ascii="Times New Roman" w:eastAsia="Times New Roman" w:hAnsi="Times New Roman" w:cs="Times New Roman"/>
          <w:spacing w:val="-15"/>
          <w:sz w:val="32"/>
          <w:szCs w:val="32"/>
        </w:rPr>
        <w:t xml:space="preserve"> </w:t>
      </w:r>
      <w:r w:rsidRPr="00877DE5">
        <w:rPr>
          <w:rFonts w:ascii="Times New Roman" w:eastAsia="Times New Roman" w:hAnsi="Times New Roman" w:cs="Times New Roman"/>
          <w:sz w:val="32"/>
          <w:szCs w:val="32"/>
        </w:rPr>
        <w:t>то</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многие</w:t>
      </w:r>
      <w:r w:rsidRPr="00877DE5">
        <w:rPr>
          <w:rFonts w:ascii="Times New Roman" w:eastAsia="Times New Roman" w:hAnsi="Times New Roman" w:cs="Times New Roman"/>
          <w:spacing w:val="-16"/>
          <w:sz w:val="32"/>
          <w:szCs w:val="32"/>
        </w:rPr>
        <w:t xml:space="preserve"> </w:t>
      </w:r>
      <w:r w:rsidRPr="00877DE5">
        <w:rPr>
          <w:rFonts w:ascii="Times New Roman" w:eastAsia="Times New Roman" w:hAnsi="Times New Roman" w:cs="Times New Roman"/>
          <w:sz w:val="32"/>
          <w:szCs w:val="32"/>
        </w:rPr>
        <w:t>застройщики</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имеют высокий риск обанкротиться.</w:t>
      </w:r>
    </w:p>
    <w:p w14:paraId="31269B21" w14:textId="77777777" w:rsidR="00877DE5" w:rsidRPr="00877DE5" w:rsidRDefault="00877DE5" w:rsidP="00067100">
      <w:pPr>
        <w:widowControl w:val="0"/>
        <w:autoSpaceDE w:val="0"/>
        <w:autoSpaceDN w:val="0"/>
        <w:spacing w:after="0" w:line="240" w:lineRule="auto"/>
        <w:ind w:left="141" w:right="138"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 xml:space="preserve">Отмена основных льготных ипотечных программ побудило застройщиков жилья предлагать покупку жилья в рассрочку. Эксперты и участники рынка недвижимости отмечают значительный рост продаж жилья при помощи такого </w:t>
      </w:r>
      <w:r w:rsidRPr="00877DE5">
        <w:rPr>
          <w:rFonts w:ascii="Times New Roman" w:eastAsia="Times New Roman" w:hAnsi="Times New Roman" w:cs="Times New Roman"/>
          <w:spacing w:val="-2"/>
          <w:sz w:val="32"/>
          <w:szCs w:val="32"/>
        </w:rPr>
        <w:t>механизма.</w:t>
      </w:r>
    </w:p>
    <w:p w14:paraId="3119FBF5" w14:textId="77777777" w:rsidR="00877DE5" w:rsidRPr="00877DE5" w:rsidRDefault="00877DE5" w:rsidP="00067100">
      <w:pPr>
        <w:widowControl w:val="0"/>
        <w:autoSpaceDE w:val="0"/>
        <w:autoSpaceDN w:val="0"/>
        <w:spacing w:after="0" w:line="240" w:lineRule="auto"/>
        <w:ind w:left="141" w:right="137"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Такие</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продажи</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носят</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спекулятивный</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характер,</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поскольку</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покупатели</w:t>
      </w:r>
      <w:r w:rsidRPr="00877DE5">
        <w:rPr>
          <w:rFonts w:ascii="Times New Roman" w:eastAsia="Times New Roman" w:hAnsi="Times New Roman" w:cs="Times New Roman"/>
          <w:spacing w:val="-15"/>
          <w:sz w:val="32"/>
          <w:szCs w:val="32"/>
        </w:rPr>
        <w:t xml:space="preserve"> </w:t>
      </w:r>
      <w:r w:rsidRPr="00877DE5">
        <w:rPr>
          <w:rFonts w:ascii="Times New Roman" w:eastAsia="Times New Roman" w:hAnsi="Times New Roman" w:cs="Times New Roman"/>
          <w:sz w:val="32"/>
          <w:szCs w:val="32"/>
        </w:rPr>
        <w:t>могут столкнуться</w:t>
      </w:r>
      <w:r w:rsidRPr="00877DE5">
        <w:rPr>
          <w:rFonts w:ascii="Times New Roman" w:eastAsia="Times New Roman" w:hAnsi="Times New Roman" w:cs="Times New Roman"/>
          <w:spacing w:val="-2"/>
          <w:sz w:val="32"/>
          <w:szCs w:val="32"/>
        </w:rPr>
        <w:t xml:space="preserve"> </w:t>
      </w:r>
      <w:r w:rsidRPr="00877DE5">
        <w:rPr>
          <w:rFonts w:ascii="Times New Roman" w:eastAsia="Times New Roman" w:hAnsi="Times New Roman" w:cs="Times New Roman"/>
          <w:sz w:val="32"/>
          <w:szCs w:val="32"/>
        </w:rPr>
        <w:t>с</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банкротством,</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если</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снижение</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процентных</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ставок</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не</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произойдет</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в следующем году, жители не смогут осуществить переоформление рассрочек на ипотечные кредиты. Также существуют опасения, что с 2026 года вследствие данного факта у покупателей возникнет задолженность по купленному ими жилью в рассрочку, они не смогут оплачивать его, что приведет к увеличению количества нераспроданного жилья.</w:t>
      </w:r>
    </w:p>
    <w:p w14:paraId="4CE3BDF8" w14:textId="77777777" w:rsidR="00877DE5" w:rsidRPr="00877DE5" w:rsidRDefault="00877DE5" w:rsidP="00067100">
      <w:pPr>
        <w:widowControl w:val="0"/>
        <w:autoSpaceDE w:val="0"/>
        <w:autoSpaceDN w:val="0"/>
        <w:spacing w:after="0" w:line="240" w:lineRule="auto"/>
        <w:ind w:left="141" w:firstLine="709"/>
        <w:jc w:val="both"/>
        <w:rPr>
          <w:rFonts w:ascii="Times New Roman" w:eastAsia="Times New Roman" w:hAnsi="Times New Roman" w:cs="Times New Roman"/>
          <w:sz w:val="32"/>
          <w:szCs w:val="32"/>
        </w:rPr>
        <w:sectPr w:rsidR="00877DE5" w:rsidRPr="00877DE5" w:rsidSect="00067100">
          <w:pgSz w:w="11910" w:h="16840"/>
          <w:pgMar w:top="1134" w:right="1134" w:bottom="1134" w:left="1134" w:header="720" w:footer="720" w:gutter="0"/>
          <w:cols w:space="720"/>
        </w:sectPr>
      </w:pPr>
    </w:p>
    <w:p w14:paraId="57FBB65F" w14:textId="77777777" w:rsidR="00877DE5" w:rsidRPr="00877DE5" w:rsidRDefault="00877DE5" w:rsidP="00067100">
      <w:pPr>
        <w:widowControl w:val="0"/>
        <w:autoSpaceDE w:val="0"/>
        <w:autoSpaceDN w:val="0"/>
        <w:spacing w:after="0" w:line="240" w:lineRule="auto"/>
        <w:ind w:left="141" w:right="14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lastRenderedPageBreak/>
        <w:t>Несмотря на существующие проблемы, согласно прогнозу развития Краснодарского края, на горизонте 2025-2027 гг. ожидается увеличение спроса на жилье в связи с ростом населения и миграционными процессами.</w:t>
      </w:r>
    </w:p>
    <w:p w14:paraId="6E904E33"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Акцент на экологичность строительства и использование инновационных технологий станет ключевым фактором успешности участников рынка. Устойчивое развитие и экологически чистые строительные практики будут способствовать повышению репутации компаний, что вызовет интерес со стороны инвесторов.</w:t>
      </w:r>
    </w:p>
    <w:p w14:paraId="3114E5C0" w14:textId="77777777" w:rsidR="00877DE5" w:rsidRPr="00877DE5" w:rsidRDefault="00877DE5" w:rsidP="00067100">
      <w:pPr>
        <w:widowControl w:val="0"/>
        <w:autoSpaceDE w:val="0"/>
        <w:autoSpaceDN w:val="0"/>
        <w:spacing w:after="0" w:line="240" w:lineRule="auto"/>
        <w:ind w:left="141" w:right="152"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Перспективы развития комплекса строительства в Краснодарском крае отразим в таблице 1 [1].</w:t>
      </w:r>
    </w:p>
    <w:p w14:paraId="09BECDE5" w14:textId="77777777" w:rsidR="00877DE5" w:rsidRPr="00877DE5" w:rsidRDefault="00877DE5" w:rsidP="00067100">
      <w:pPr>
        <w:spacing w:after="0" w:line="240" w:lineRule="auto"/>
        <w:ind w:right="137" w:firstLine="709"/>
        <w:jc w:val="right"/>
        <w:rPr>
          <w:rFonts w:ascii="Times New Roman" w:eastAsia="Calibri" w:hAnsi="Times New Roman" w:cs="Times New Roman"/>
          <w:i/>
          <w:sz w:val="32"/>
          <w:szCs w:val="32"/>
        </w:rPr>
      </w:pPr>
      <w:r w:rsidRPr="00877DE5">
        <w:rPr>
          <w:rFonts w:ascii="Times New Roman" w:eastAsia="Calibri" w:hAnsi="Times New Roman" w:cs="Times New Roman"/>
          <w:i/>
          <w:sz w:val="32"/>
          <w:szCs w:val="32"/>
        </w:rPr>
        <w:t>Таблица</w:t>
      </w:r>
      <w:r w:rsidRPr="00877DE5">
        <w:rPr>
          <w:rFonts w:ascii="Times New Roman" w:eastAsia="Calibri" w:hAnsi="Times New Roman" w:cs="Times New Roman"/>
          <w:i/>
          <w:spacing w:val="-12"/>
          <w:sz w:val="32"/>
          <w:szCs w:val="32"/>
        </w:rPr>
        <w:t xml:space="preserve"> </w:t>
      </w:r>
      <w:r w:rsidRPr="00877DE5">
        <w:rPr>
          <w:rFonts w:ascii="Times New Roman" w:eastAsia="Calibri" w:hAnsi="Times New Roman" w:cs="Times New Roman"/>
          <w:i/>
          <w:spacing w:val="-5"/>
          <w:sz w:val="32"/>
          <w:szCs w:val="32"/>
        </w:rPr>
        <w:t>1.</w:t>
      </w:r>
    </w:p>
    <w:p w14:paraId="77ED872E" w14:textId="77777777" w:rsidR="00877DE5" w:rsidRPr="00877DE5" w:rsidRDefault="00877DE5" w:rsidP="00067100">
      <w:pPr>
        <w:widowControl w:val="0"/>
        <w:autoSpaceDE w:val="0"/>
        <w:autoSpaceDN w:val="0"/>
        <w:spacing w:after="0" w:line="240" w:lineRule="auto"/>
        <w:ind w:left="342" w:firstLine="709"/>
        <w:outlineLvl w:val="0"/>
        <w:rPr>
          <w:rFonts w:ascii="Times New Roman" w:eastAsia="Times New Roman" w:hAnsi="Times New Roman" w:cs="Times New Roman"/>
          <w:bCs/>
          <w:sz w:val="32"/>
          <w:szCs w:val="32"/>
        </w:rPr>
      </w:pPr>
      <w:r w:rsidRPr="00877DE5">
        <w:rPr>
          <w:rFonts w:ascii="Times New Roman" w:eastAsia="Times New Roman" w:hAnsi="Times New Roman" w:cs="Times New Roman"/>
          <w:bCs/>
          <w:sz w:val="32"/>
          <w:szCs w:val="32"/>
        </w:rPr>
        <w:t>Перспективы</w:t>
      </w:r>
      <w:r w:rsidRPr="00877DE5">
        <w:rPr>
          <w:rFonts w:ascii="Times New Roman" w:eastAsia="Times New Roman" w:hAnsi="Times New Roman" w:cs="Times New Roman"/>
          <w:bCs/>
          <w:spacing w:val="-14"/>
          <w:sz w:val="32"/>
          <w:szCs w:val="32"/>
        </w:rPr>
        <w:t xml:space="preserve"> </w:t>
      </w:r>
      <w:r w:rsidRPr="00877DE5">
        <w:rPr>
          <w:rFonts w:ascii="Times New Roman" w:eastAsia="Times New Roman" w:hAnsi="Times New Roman" w:cs="Times New Roman"/>
          <w:bCs/>
          <w:sz w:val="32"/>
          <w:szCs w:val="32"/>
        </w:rPr>
        <w:t>развития</w:t>
      </w:r>
      <w:r w:rsidRPr="00877DE5">
        <w:rPr>
          <w:rFonts w:ascii="Times New Roman" w:eastAsia="Times New Roman" w:hAnsi="Times New Roman" w:cs="Times New Roman"/>
          <w:bCs/>
          <w:spacing w:val="-10"/>
          <w:sz w:val="32"/>
          <w:szCs w:val="32"/>
        </w:rPr>
        <w:t xml:space="preserve"> </w:t>
      </w:r>
      <w:r w:rsidRPr="00877DE5">
        <w:rPr>
          <w:rFonts w:ascii="Times New Roman" w:eastAsia="Times New Roman" w:hAnsi="Times New Roman" w:cs="Times New Roman"/>
          <w:bCs/>
          <w:sz w:val="32"/>
          <w:szCs w:val="32"/>
        </w:rPr>
        <w:t>комплекса</w:t>
      </w:r>
      <w:r w:rsidRPr="00877DE5">
        <w:rPr>
          <w:rFonts w:ascii="Times New Roman" w:eastAsia="Times New Roman" w:hAnsi="Times New Roman" w:cs="Times New Roman"/>
          <w:bCs/>
          <w:spacing w:val="-12"/>
          <w:sz w:val="32"/>
          <w:szCs w:val="32"/>
        </w:rPr>
        <w:t xml:space="preserve"> </w:t>
      </w:r>
      <w:r w:rsidRPr="00877DE5">
        <w:rPr>
          <w:rFonts w:ascii="Times New Roman" w:eastAsia="Times New Roman" w:hAnsi="Times New Roman" w:cs="Times New Roman"/>
          <w:bCs/>
          <w:sz w:val="32"/>
          <w:szCs w:val="32"/>
        </w:rPr>
        <w:t>строительства</w:t>
      </w:r>
      <w:r w:rsidRPr="00877DE5">
        <w:rPr>
          <w:rFonts w:ascii="Times New Roman" w:eastAsia="Times New Roman" w:hAnsi="Times New Roman" w:cs="Times New Roman"/>
          <w:bCs/>
          <w:spacing w:val="-13"/>
          <w:sz w:val="32"/>
          <w:szCs w:val="32"/>
        </w:rPr>
        <w:t xml:space="preserve"> </w:t>
      </w:r>
      <w:r w:rsidRPr="00877DE5">
        <w:rPr>
          <w:rFonts w:ascii="Times New Roman" w:eastAsia="Times New Roman" w:hAnsi="Times New Roman" w:cs="Times New Roman"/>
          <w:bCs/>
          <w:sz w:val="32"/>
          <w:szCs w:val="32"/>
        </w:rPr>
        <w:t>в</w:t>
      </w:r>
      <w:r w:rsidRPr="00877DE5">
        <w:rPr>
          <w:rFonts w:ascii="Times New Roman" w:eastAsia="Times New Roman" w:hAnsi="Times New Roman" w:cs="Times New Roman"/>
          <w:bCs/>
          <w:spacing w:val="-7"/>
          <w:sz w:val="32"/>
          <w:szCs w:val="32"/>
        </w:rPr>
        <w:t xml:space="preserve"> </w:t>
      </w:r>
      <w:r w:rsidRPr="00877DE5">
        <w:rPr>
          <w:rFonts w:ascii="Times New Roman" w:eastAsia="Times New Roman" w:hAnsi="Times New Roman" w:cs="Times New Roman"/>
          <w:bCs/>
          <w:sz w:val="32"/>
          <w:szCs w:val="32"/>
        </w:rPr>
        <w:t>Краснодарском</w:t>
      </w:r>
      <w:r w:rsidRPr="00877DE5">
        <w:rPr>
          <w:rFonts w:ascii="Times New Roman" w:eastAsia="Times New Roman" w:hAnsi="Times New Roman" w:cs="Times New Roman"/>
          <w:bCs/>
          <w:spacing w:val="-10"/>
          <w:sz w:val="32"/>
          <w:szCs w:val="32"/>
        </w:rPr>
        <w:t xml:space="preserve"> </w:t>
      </w:r>
      <w:r w:rsidRPr="00877DE5">
        <w:rPr>
          <w:rFonts w:ascii="Times New Roman" w:eastAsia="Times New Roman" w:hAnsi="Times New Roman" w:cs="Times New Roman"/>
          <w:bCs/>
          <w:spacing w:val="-4"/>
          <w:sz w:val="32"/>
          <w:szCs w:val="32"/>
        </w:rPr>
        <w:t>крае</w:t>
      </w:r>
    </w:p>
    <w:p w14:paraId="6E67EA5E"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b/>
          <w:sz w:val="32"/>
          <w:szCs w:val="32"/>
        </w:rPr>
      </w:pPr>
      <w:r w:rsidRPr="00877DE5">
        <w:rPr>
          <w:rFonts w:ascii="Times New Roman" w:eastAsia="Times New Roman" w:hAnsi="Times New Roman" w:cs="Times New Roman"/>
          <w:b/>
          <w:noProof/>
          <w:sz w:val="32"/>
          <w:szCs w:val="32"/>
          <w:lang w:eastAsia="ru-RU"/>
        </w:rPr>
        <w:drawing>
          <wp:anchor distT="0" distB="0" distL="0" distR="0" simplePos="0" relativeHeight="251663360" behindDoc="1" locked="0" layoutInCell="1" allowOverlap="1" wp14:anchorId="7388D453" wp14:editId="634662D2">
            <wp:simplePos x="0" y="0"/>
            <wp:positionH relativeFrom="page">
              <wp:posOffset>730950</wp:posOffset>
            </wp:positionH>
            <wp:positionV relativeFrom="paragraph">
              <wp:posOffset>135991</wp:posOffset>
            </wp:positionV>
            <wp:extent cx="6061185" cy="4735830"/>
            <wp:effectExtent l="0" t="0" r="0" b="0"/>
            <wp:wrapTopAndBottom/>
            <wp:docPr id="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35" cstate="print"/>
                    <a:stretch>
                      <a:fillRect/>
                    </a:stretch>
                  </pic:blipFill>
                  <pic:spPr>
                    <a:xfrm>
                      <a:off x="0" y="0"/>
                      <a:ext cx="6061185" cy="4735830"/>
                    </a:xfrm>
                    <a:prstGeom prst="rect">
                      <a:avLst/>
                    </a:prstGeom>
                  </pic:spPr>
                </pic:pic>
              </a:graphicData>
            </a:graphic>
          </wp:anchor>
        </w:drawing>
      </w:r>
    </w:p>
    <w:p w14:paraId="2396FF54" w14:textId="77777777" w:rsidR="00877DE5" w:rsidRPr="00877DE5" w:rsidRDefault="00877DE5" w:rsidP="00067100">
      <w:pPr>
        <w:widowControl w:val="0"/>
        <w:autoSpaceDE w:val="0"/>
        <w:autoSpaceDN w:val="0"/>
        <w:spacing w:after="0" w:line="240" w:lineRule="auto"/>
        <w:ind w:left="141" w:firstLine="709"/>
        <w:rPr>
          <w:rFonts w:ascii="Times New Roman" w:eastAsia="Times New Roman" w:hAnsi="Times New Roman" w:cs="Times New Roman"/>
          <w:b/>
          <w:sz w:val="32"/>
          <w:szCs w:val="32"/>
        </w:rPr>
        <w:sectPr w:rsidR="00877DE5" w:rsidRPr="00877DE5" w:rsidSect="00067100">
          <w:pgSz w:w="11910" w:h="16840"/>
          <w:pgMar w:top="1134" w:right="1134" w:bottom="1134" w:left="1134" w:header="720" w:footer="720" w:gutter="0"/>
          <w:cols w:space="720"/>
        </w:sectPr>
      </w:pPr>
    </w:p>
    <w:p w14:paraId="72CDF1A2" w14:textId="77777777" w:rsidR="00877DE5" w:rsidRPr="00877DE5" w:rsidRDefault="00877DE5" w:rsidP="00067100">
      <w:pPr>
        <w:widowControl w:val="0"/>
        <w:autoSpaceDE w:val="0"/>
        <w:autoSpaceDN w:val="0"/>
        <w:spacing w:after="0" w:line="240" w:lineRule="auto"/>
        <w:ind w:left="141" w:right="143"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lastRenderedPageBreak/>
        <w:t>Темп</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роста</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валового</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добавленного</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стоимости</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(ВДС)</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сопоставимых</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ценах показывает стабильный, хотя и замедляющийся рост (с 102,2% в 2025 году до 101,4% в 2027 году). Среднегодовая численность занятых в экономике будет постепенно</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увеличиваться</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с</w:t>
      </w:r>
      <w:r w:rsidRPr="00877DE5">
        <w:rPr>
          <w:rFonts w:ascii="Times New Roman" w:eastAsia="Times New Roman" w:hAnsi="Times New Roman" w:cs="Times New Roman"/>
          <w:spacing w:val="-11"/>
          <w:sz w:val="32"/>
          <w:szCs w:val="32"/>
        </w:rPr>
        <w:t xml:space="preserve"> </w:t>
      </w:r>
      <w:r w:rsidRPr="00877DE5">
        <w:rPr>
          <w:rFonts w:ascii="Times New Roman" w:eastAsia="Times New Roman" w:hAnsi="Times New Roman" w:cs="Times New Roman"/>
          <w:sz w:val="32"/>
          <w:szCs w:val="32"/>
        </w:rPr>
        <w:t>324,1</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тыс.</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человек</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2025</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году</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до</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329,6</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тыс.</w:t>
      </w:r>
      <w:r w:rsidRPr="00877DE5">
        <w:rPr>
          <w:rFonts w:ascii="Times New Roman" w:eastAsia="Times New Roman" w:hAnsi="Times New Roman" w:cs="Times New Roman"/>
          <w:spacing w:val="-10"/>
          <w:sz w:val="32"/>
          <w:szCs w:val="32"/>
        </w:rPr>
        <w:t xml:space="preserve"> </w:t>
      </w:r>
      <w:r w:rsidRPr="00877DE5">
        <w:rPr>
          <w:rFonts w:ascii="Times New Roman" w:eastAsia="Times New Roman" w:hAnsi="Times New Roman" w:cs="Times New Roman"/>
          <w:sz w:val="32"/>
          <w:szCs w:val="32"/>
        </w:rPr>
        <w:t>человек в</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2027</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году,</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свидетельствует</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о</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росте</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занятости</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и</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возможном</w:t>
      </w:r>
      <w:r w:rsidRPr="00877DE5">
        <w:rPr>
          <w:rFonts w:ascii="Times New Roman" w:eastAsia="Times New Roman" w:hAnsi="Times New Roman" w:cs="Times New Roman"/>
          <w:spacing w:val="-18"/>
          <w:sz w:val="32"/>
          <w:szCs w:val="32"/>
        </w:rPr>
        <w:t xml:space="preserve"> </w:t>
      </w:r>
      <w:r w:rsidRPr="00877DE5">
        <w:rPr>
          <w:rFonts w:ascii="Times New Roman" w:eastAsia="Times New Roman" w:hAnsi="Times New Roman" w:cs="Times New Roman"/>
          <w:sz w:val="32"/>
          <w:szCs w:val="32"/>
        </w:rPr>
        <w:t>увеличении</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рабочих мест в строительной отрасли.</w:t>
      </w:r>
    </w:p>
    <w:p w14:paraId="61BBD5ED" w14:textId="77777777" w:rsidR="00877DE5" w:rsidRPr="00877DE5" w:rsidRDefault="00877DE5" w:rsidP="00067100">
      <w:pPr>
        <w:widowControl w:val="0"/>
        <w:autoSpaceDE w:val="0"/>
        <w:autoSpaceDN w:val="0"/>
        <w:spacing w:after="0" w:line="240" w:lineRule="auto"/>
        <w:ind w:left="141" w:right="136"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Темп</w:t>
      </w:r>
      <w:r w:rsidRPr="00877DE5">
        <w:rPr>
          <w:rFonts w:ascii="Times New Roman" w:eastAsia="Times New Roman" w:hAnsi="Times New Roman" w:cs="Times New Roman"/>
          <w:spacing w:val="-14"/>
          <w:sz w:val="32"/>
          <w:szCs w:val="32"/>
        </w:rPr>
        <w:t xml:space="preserve"> </w:t>
      </w:r>
      <w:r w:rsidRPr="00877DE5">
        <w:rPr>
          <w:rFonts w:ascii="Times New Roman" w:eastAsia="Times New Roman" w:hAnsi="Times New Roman" w:cs="Times New Roman"/>
          <w:sz w:val="32"/>
          <w:szCs w:val="32"/>
        </w:rPr>
        <w:t>роста</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ВДС</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15"/>
          <w:sz w:val="32"/>
          <w:szCs w:val="32"/>
        </w:rPr>
        <w:t xml:space="preserve"> </w:t>
      </w:r>
      <w:r w:rsidRPr="00877DE5">
        <w:rPr>
          <w:rFonts w:ascii="Times New Roman" w:eastAsia="Times New Roman" w:hAnsi="Times New Roman" w:cs="Times New Roman"/>
          <w:sz w:val="32"/>
          <w:szCs w:val="32"/>
        </w:rPr>
        <w:t>строительстве</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также</w:t>
      </w:r>
      <w:r w:rsidRPr="00877DE5">
        <w:rPr>
          <w:rFonts w:ascii="Times New Roman" w:eastAsia="Times New Roman" w:hAnsi="Times New Roman" w:cs="Times New Roman"/>
          <w:spacing w:val="-13"/>
          <w:sz w:val="32"/>
          <w:szCs w:val="32"/>
        </w:rPr>
        <w:t xml:space="preserve"> </w:t>
      </w:r>
      <w:r w:rsidRPr="00877DE5">
        <w:rPr>
          <w:rFonts w:ascii="Times New Roman" w:eastAsia="Times New Roman" w:hAnsi="Times New Roman" w:cs="Times New Roman"/>
          <w:sz w:val="32"/>
          <w:szCs w:val="32"/>
        </w:rPr>
        <w:t>демонстрирует</w:t>
      </w:r>
      <w:r w:rsidRPr="00877DE5">
        <w:rPr>
          <w:rFonts w:ascii="Times New Roman" w:eastAsia="Times New Roman" w:hAnsi="Times New Roman" w:cs="Times New Roman"/>
          <w:spacing w:val="-15"/>
          <w:sz w:val="32"/>
          <w:szCs w:val="32"/>
        </w:rPr>
        <w:t xml:space="preserve"> </w:t>
      </w:r>
      <w:r w:rsidRPr="00877DE5">
        <w:rPr>
          <w:rFonts w:ascii="Times New Roman" w:eastAsia="Times New Roman" w:hAnsi="Times New Roman" w:cs="Times New Roman"/>
          <w:sz w:val="32"/>
          <w:szCs w:val="32"/>
        </w:rPr>
        <w:t>стабильность,</w:t>
      </w:r>
      <w:r w:rsidRPr="00877DE5">
        <w:rPr>
          <w:rFonts w:ascii="Times New Roman" w:eastAsia="Times New Roman" w:hAnsi="Times New Roman" w:cs="Times New Roman"/>
          <w:spacing w:val="-7"/>
          <w:sz w:val="32"/>
          <w:szCs w:val="32"/>
        </w:rPr>
        <w:t xml:space="preserve"> </w:t>
      </w:r>
      <w:r w:rsidRPr="00877DE5">
        <w:rPr>
          <w:rFonts w:ascii="Times New Roman" w:eastAsia="Times New Roman" w:hAnsi="Times New Roman" w:cs="Times New Roman"/>
          <w:sz w:val="32"/>
          <w:szCs w:val="32"/>
        </w:rPr>
        <w:t>хотя</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и с небольшим снижением (с 102,0% до 101,2%), указывает на устойчивое развитие строительного сектора, хотя стоит обратить внимание на замедление темпов. Объем ввода жилья будет постепенно увеличиваться: с 4856 тыс. кв. метров в 2025 году до 4965 тыс. кв. метров в 2027 году, это положительная тенденция, указывающая на растущий спрос на жилье.</w:t>
      </w:r>
    </w:p>
    <w:p w14:paraId="7E0ACB85" w14:textId="77777777" w:rsidR="00877DE5" w:rsidRPr="00877DE5" w:rsidRDefault="00877DE5" w:rsidP="00067100">
      <w:pPr>
        <w:widowControl w:val="0"/>
        <w:autoSpaceDE w:val="0"/>
        <w:autoSpaceDN w:val="0"/>
        <w:spacing w:after="0" w:line="240" w:lineRule="auto"/>
        <w:ind w:left="141" w:right="146"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Площадь жилых помещений на одного жителя будет расти с 28,9 кв. м в 2025 году до 32,9 кв. м в 2027 году, что свидетельствует о повышении уровня жизни и улучшении жилищных условий населения.</w:t>
      </w:r>
    </w:p>
    <w:p w14:paraId="7F2EB921"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Темп роста ВДС в производстве строительных материалов также остается высоким, но постепенно снижается до 104,5% в 2027 году, указывает на необходимость адаптации производственных мощностей к растущему спросу.</w:t>
      </w:r>
    </w:p>
    <w:p w14:paraId="3E812518" w14:textId="77777777" w:rsidR="00877DE5" w:rsidRPr="00877DE5" w:rsidRDefault="00877DE5" w:rsidP="00067100">
      <w:pPr>
        <w:widowControl w:val="0"/>
        <w:autoSpaceDE w:val="0"/>
        <w:autoSpaceDN w:val="0"/>
        <w:spacing w:after="0" w:line="240" w:lineRule="auto"/>
        <w:ind w:left="141" w:right="139"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Процент благоустройства жилищного фонда будет увеличиваться с 63,4% до 64,4%. Меры по улучшению инфраструктуры и условий проживания продолжают реализовываться.</w:t>
      </w:r>
    </w:p>
    <w:p w14:paraId="7B78D82A" w14:textId="77777777" w:rsidR="00877DE5" w:rsidRPr="00877DE5" w:rsidRDefault="00877DE5" w:rsidP="00067100">
      <w:pPr>
        <w:widowControl w:val="0"/>
        <w:autoSpaceDE w:val="0"/>
        <w:autoSpaceDN w:val="0"/>
        <w:spacing w:after="0" w:line="240" w:lineRule="auto"/>
        <w:ind w:left="141" w:right="142"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В целом, показатели показывают стабильный рост в строительной отрасли и улучшение жилищных условий в Краснодарском крае. Темпы роста остаются положительными, что свидетельствует о развитии экономики региона.</w:t>
      </w:r>
    </w:p>
    <w:p w14:paraId="6609CA47" w14:textId="77777777" w:rsidR="00877DE5" w:rsidRPr="00877DE5" w:rsidRDefault="00877DE5" w:rsidP="00067100">
      <w:pPr>
        <w:widowControl w:val="0"/>
        <w:autoSpaceDE w:val="0"/>
        <w:autoSpaceDN w:val="0"/>
        <w:spacing w:after="0" w:line="240" w:lineRule="auto"/>
        <w:ind w:left="141" w:right="145"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Для девелоперов рынок становится более рискованным. Многие застройщики сейчас активно распродают земельные активы или выводят на рынок сразу большой объем жилья [2, с. 174].</w:t>
      </w:r>
    </w:p>
    <w:p w14:paraId="20A1EBEC" w14:textId="77777777" w:rsidR="00877DE5" w:rsidRPr="00877DE5" w:rsidRDefault="00877DE5" w:rsidP="00067100">
      <w:pPr>
        <w:widowControl w:val="0"/>
        <w:autoSpaceDE w:val="0"/>
        <w:autoSpaceDN w:val="0"/>
        <w:spacing w:after="0" w:line="240" w:lineRule="auto"/>
        <w:ind w:left="141" w:right="144"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Замедление темпов роста ВДС и строительства может быть сигналом о необходимости внедрения новых стратегий и инициатив для поддержания динамики развития.</w:t>
      </w:r>
    </w:p>
    <w:p w14:paraId="7EE4864F" w14:textId="77777777" w:rsidR="00877DE5" w:rsidRPr="00877DE5" w:rsidRDefault="00877DE5" w:rsidP="00067100">
      <w:pPr>
        <w:widowControl w:val="0"/>
        <w:autoSpaceDE w:val="0"/>
        <w:autoSpaceDN w:val="0"/>
        <w:spacing w:after="0" w:line="240" w:lineRule="auto"/>
        <w:ind w:left="141" w:firstLine="709"/>
        <w:jc w:val="both"/>
        <w:rPr>
          <w:rFonts w:ascii="Times New Roman" w:eastAsia="Times New Roman" w:hAnsi="Times New Roman" w:cs="Times New Roman"/>
          <w:sz w:val="32"/>
          <w:szCs w:val="32"/>
        </w:rPr>
        <w:sectPr w:rsidR="00877DE5" w:rsidRPr="00877DE5" w:rsidSect="00067100">
          <w:pgSz w:w="11910" w:h="16840"/>
          <w:pgMar w:top="1134" w:right="1134" w:bottom="1134" w:left="1134" w:header="720" w:footer="720" w:gutter="0"/>
          <w:cols w:space="720"/>
        </w:sectPr>
      </w:pPr>
    </w:p>
    <w:p w14:paraId="20019324" w14:textId="77777777" w:rsidR="00877DE5" w:rsidRPr="00877DE5" w:rsidRDefault="00877DE5" w:rsidP="00067100">
      <w:pPr>
        <w:widowControl w:val="0"/>
        <w:autoSpaceDE w:val="0"/>
        <w:autoSpaceDN w:val="0"/>
        <w:spacing w:after="0" w:line="240" w:lineRule="auto"/>
        <w:ind w:left="141" w:right="142"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lastRenderedPageBreak/>
        <w:t>Анализ</w:t>
      </w:r>
      <w:r w:rsidRPr="00877DE5">
        <w:rPr>
          <w:rFonts w:ascii="Times New Roman" w:eastAsia="Times New Roman" w:hAnsi="Times New Roman" w:cs="Times New Roman"/>
          <w:spacing w:val="-5"/>
          <w:sz w:val="32"/>
          <w:szCs w:val="32"/>
        </w:rPr>
        <w:t xml:space="preserve"> </w:t>
      </w:r>
      <w:r w:rsidRPr="00877DE5">
        <w:rPr>
          <w:rFonts w:ascii="Times New Roman" w:eastAsia="Times New Roman" w:hAnsi="Times New Roman" w:cs="Times New Roman"/>
          <w:sz w:val="32"/>
          <w:szCs w:val="32"/>
        </w:rPr>
        <w:t>строительной</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отрасли</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Краснодарского</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края</w:t>
      </w:r>
      <w:r w:rsidRPr="00877DE5">
        <w:rPr>
          <w:rFonts w:ascii="Times New Roman" w:eastAsia="Times New Roman" w:hAnsi="Times New Roman" w:cs="Times New Roman"/>
          <w:spacing w:val="-4"/>
          <w:sz w:val="32"/>
          <w:szCs w:val="32"/>
        </w:rPr>
        <w:t xml:space="preserve"> </w:t>
      </w:r>
      <w:r w:rsidRPr="00877DE5">
        <w:rPr>
          <w:rFonts w:ascii="Times New Roman" w:eastAsia="Times New Roman" w:hAnsi="Times New Roman" w:cs="Times New Roman"/>
          <w:sz w:val="32"/>
          <w:szCs w:val="32"/>
        </w:rPr>
        <w:t>показывает,</w:t>
      </w:r>
      <w:r w:rsidRPr="00877DE5">
        <w:rPr>
          <w:rFonts w:ascii="Times New Roman" w:eastAsia="Times New Roman" w:hAnsi="Times New Roman" w:cs="Times New Roman"/>
          <w:spacing w:val="-3"/>
          <w:sz w:val="32"/>
          <w:szCs w:val="32"/>
        </w:rPr>
        <w:t xml:space="preserve"> </w:t>
      </w:r>
      <w:r w:rsidRPr="00877DE5">
        <w:rPr>
          <w:rFonts w:ascii="Times New Roman" w:eastAsia="Times New Roman" w:hAnsi="Times New Roman" w:cs="Times New Roman"/>
          <w:sz w:val="32"/>
          <w:szCs w:val="32"/>
        </w:rPr>
        <w:t>что</w:t>
      </w:r>
      <w:r w:rsidRPr="00877DE5">
        <w:rPr>
          <w:rFonts w:ascii="Times New Roman" w:eastAsia="Times New Roman" w:hAnsi="Times New Roman" w:cs="Times New Roman"/>
          <w:spacing w:val="-6"/>
          <w:sz w:val="32"/>
          <w:szCs w:val="32"/>
        </w:rPr>
        <w:t xml:space="preserve"> </w:t>
      </w:r>
      <w:r w:rsidRPr="00877DE5">
        <w:rPr>
          <w:rFonts w:ascii="Times New Roman" w:eastAsia="Times New Roman" w:hAnsi="Times New Roman" w:cs="Times New Roman"/>
          <w:sz w:val="32"/>
          <w:szCs w:val="32"/>
        </w:rPr>
        <w:t>в</w:t>
      </w:r>
      <w:r w:rsidRPr="00877DE5">
        <w:rPr>
          <w:rFonts w:ascii="Times New Roman" w:eastAsia="Times New Roman" w:hAnsi="Times New Roman" w:cs="Times New Roman"/>
          <w:spacing w:val="-7"/>
          <w:sz w:val="32"/>
          <w:szCs w:val="32"/>
        </w:rPr>
        <w:t xml:space="preserve"> </w:t>
      </w:r>
      <w:r w:rsidRPr="00877DE5">
        <w:rPr>
          <w:rFonts w:ascii="Times New Roman" w:eastAsia="Times New Roman" w:hAnsi="Times New Roman" w:cs="Times New Roman"/>
          <w:sz w:val="32"/>
          <w:szCs w:val="32"/>
        </w:rPr>
        <w:t>2025- 2027 гг. рынок будет сталкиваться как с возможностями, так и с проблемами.</w:t>
      </w:r>
    </w:p>
    <w:p w14:paraId="77768B17" w14:textId="77777777" w:rsidR="00877DE5" w:rsidRPr="00877DE5" w:rsidRDefault="00877DE5" w:rsidP="00067100">
      <w:pPr>
        <w:widowControl w:val="0"/>
        <w:autoSpaceDE w:val="0"/>
        <w:autoSpaceDN w:val="0"/>
        <w:spacing w:after="0" w:line="240" w:lineRule="auto"/>
        <w:ind w:left="141" w:right="147"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Можно сформулировать ряд направлений развития строительства в регионах России в среднесрочной перспективе (рисунок 3).</w:t>
      </w:r>
    </w:p>
    <w:p w14:paraId="19C2E858"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sz w:val="32"/>
          <w:szCs w:val="32"/>
        </w:rPr>
      </w:pPr>
      <w:r w:rsidRPr="00877DE5">
        <w:rPr>
          <w:rFonts w:ascii="Times New Roman" w:eastAsia="Times New Roman" w:hAnsi="Times New Roman" w:cs="Times New Roman"/>
          <w:noProof/>
          <w:sz w:val="32"/>
          <w:szCs w:val="32"/>
          <w:lang w:eastAsia="ru-RU"/>
        </w:rPr>
        <w:drawing>
          <wp:anchor distT="0" distB="0" distL="0" distR="0" simplePos="0" relativeHeight="251664384" behindDoc="1" locked="0" layoutInCell="1" allowOverlap="1" wp14:anchorId="1E49F712" wp14:editId="16982CC8">
            <wp:simplePos x="0" y="0"/>
            <wp:positionH relativeFrom="page">
              <wp:posOffset>1958007</wp:posOffset>
            </wp:positionH>
            <wp:positionV relativeFrom="paragraph">
              <wp:posOffset>244689</wp:posOffset>
            </wp:positionV>
            <wp:extent cx="3670210" cy="2888361"/>
            <wp:effectExtent l="0" t="0" r="0" b="0"/>
            <wp:wrapTopAndBottom/>
            <wp:docPr id="1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36" cstate="print"/>
                    <a:stretch>
                      <a:fillRect/>
                    </a:stretch>
                  </pic:blipFill>
                  <pic:spPr>
                    <a:xfrm>
                      <a:off x="0" y="0"/>
                      <a:ext cx="3670210" cy="2888361"/>
                    </a:xfrm>
                    <a:prstGeom prst="rect">
                      <a:avLst/>
                    </a:prstGeom>
                  </pic:spPr>
                </pic:pic>
              </a:graphicData>
            </a:graphic>
          </wp:anchor>
        </w:drawing>
      </w:r>
    </w:p>
    <w:p w14:paraId="65583C87" w14:textId="77777777" w:rsidR="00877DE5" w:rsidRPr="00877DE5" w:rsidRDefault="00877DE5" w:rsidP="00067100">
      <w:pPr>
        <w:widowControl w:val="0"/>
        <w:autoSpaceDE w:val="0"/>
        <w:autoSpaceDN w:val="0"/>
        <w:spacing w:after="0" w:line="240" w:lineRule="auto"/>
        <w:ind w:firstLine="709"/>
        <w:jc w:val="center"/>
        <w:outlineLvl w:val="1"/>
        <w:rPr>
          <w:rFonts w:ascii="Times New Roman" w:eastAsia="Times New Roman" w:hAnsi="Times New Roman" w:cs="Times New Roman"/>
          <w:bCs/>
          <w:iCs/>
          <w:sz w:val="32"/>
          <w:szCs w:val="32"/>
        </w:rPr>
      </w:pPr>
      <w:r w:rsidRPr="00877DE5">
        <w:rPr>
          <w:rFonts w:ascii="Times New Roman" w:eastAsia="Times New Roman" w:hAnsi="Times New Roman" w:cs="Times New Roman"/>
          <w:bCs/>
          <w:iCs/>
          <w:sz w:val="32"/>
          <w:szCs w:val="32"/>
        </w:rPr>
        <w:t>Рисунок</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z w:val="32"/>
          <w:szCs w:val="32"/>
        </w:rPr>
        <w:t>3.</w:t>
      </w:r>
      <w:r w:rsidRPr="00877DE5">
        <w:rPr>
          <w:rFonts w:ascii="Times New Roman" w:eastAsia="Times New Roman" w:hAnsi="Times New Roman" w:cs="Times New Roman"/>
          <w:bCs/>
          <w:iCs/>
          <w:spacing w:val="-3"/>
          <w:sz w:val="32"/>
          <w:szCs w:val="32"/>
        </w:rPr>
        <w:t xml:space="preserve"> </w:t>
      </w:r>
      <w:r w:rsidRPr="00877DE5">
        <w:rPr>
          <w:rFonts w:ascii="Times New Roman" w:eastAsia="Times New Roman" w:hAnsi="Times New Roman" w:cs="Times New Roman"/>
          <w:bCs/>
          <w:iCs/>
          <w:sz w:val="32"/>
          <w:szCs w:val="32"/>
        </w:rPr>
        <w:t>Направления</w:t>
      </w:r>
      <w:r w:rsidRPr="00877DE5">
        <w:rPr>
          <w:rFonts w:ascii="Times New Roman" w:eastAsia="Times New Roman" w:hAnsi="Times New Roman" w:cs="Times New Roman"/>
          <w:bCs/>
          <w:iCs/>
          <w:spacing w:val="-5"/>
          <w:sz w:val="32"/>
          <w:szCs w:val="32"/>
        </w:rPr>
        <w:t xml:space="preserve"> </w:t>
      </w:r>
      <w:r w:rsidRPr="00877DE5">
        <w:rPr>
          <w:rFonts w:ascii="Times New Roman" w:eastAsia="Times New Roman" w:hAnsi="Times New Roman" w:cs="Times New Roman"/>
          <w:bCs/>
          <w:iCs/>
          <w:sz w:val="32"/>
          <w:szCs w:val="32"/>
        </w:rPr>
        <w:t>развития</w:t>
      </w:r>
      <w:r w:rsidRPr="00877DE5">
        <w:rPr>
          <w:rFonts w:ascii="Times New Roman" w:eastAsia="Times New Roman" w:hAnsi="Times New Roman" w:cs="Times New Roman"/>
          <w:bCs/>
          <w:iCs/>
          <w:spacing w:val="-5"/>
          <w:sz w:val="32"/>
          <w:szCs w:val="32"/>
        </w:rPr>
        <w:t xml:space="preserve"> </w:t>
      </w:r>
      <w:r w:rsidRPr="00877DE5">
        <w:rPr>
          <w:rFonts w:ascii="Times New Roman" w:eastAsia="Times New Roman" w:hAnsi="Times New Roman" w:cs="Times New Roman"/>
          <w:bCs/>
          <w:iCs/>
          <w:sz w:val="32"/>
          <w:szCs w:val="32"/>
        </w:rPr>
        <w:t>строительства</w:t>
      </w:r>
      <w:r w:rsidRPr="00877DE5">
        <w:rPr>
          <w:rFonts w:ascii="Times New Roman" w:eastAsia="Times New Roman" w:hAnsi="Times New Roman" w:cs="Times New Roman"/>
          <w:bCs/>
          <w:iCs/>
          <w:spacing w:val="-9"/>
          <w:sz w:val="32"/>
          <w:szCs w:val="32"/>
        </w:rPr>
        <w:t xml:space="preserve"> </w:t>
      </w:r>
      <w:r w:rsidRPr="00877DE5">
        <w:rPr>
          <w:rFonts w:ascii="Times New Roman" w:eastAsia="Times New Roman" w:hAnsi="Times New Roman" w:cs="Times New Roman"/>
          <w:bCs/>
          <w:iCs/>
          <w:sz w:val="32"/>
          <w:szCs w:val="32"/>
        </w:rPr>
        <w:t>в</w:t>
      </w:r>
      <w:r w:rsidRPr="00877DE5">
        <w:rPr>
          <w:rFonts w:ascii="Times New Roman" w:eastAsia="Times New Roman" w:hAnsi="Times New Roman" w:cs="Times New Roman"/>
          <w:bCs/>
          <w:iCs/>
          <w:spacing w:val="-5"/>
          <w:sz w:val="32"/>
          <w:szCs w:val="32"/>
        </w:rPr>
        <w:t xml:space="preserve"> </w:t>
      </w:r>
      <w:r w:rsidRPr="00877DE5">
        <w:rPr>
          <w:rFonts w:ascii="Times New Roman" w:eastAsia="Times New Roman" w:hAnsi="Times New Roman" w:cs="Times New Roman"/>
          <w:bCs/>
          <w:iCs/>
          <w:sz w:val="32"/>
          <w:szCs w:val="32"/>
        </w:rPr>
        <w:t>регионах</w:t>
      </w:r>
      <w:r w:rsidRPr="00877DE5">
        <w:rPr>
          <w:rFonts w:ascii="Times New Roman" w:eastAsia="Times New Roman" w:hAnsi="Times New Roman" w:cs="Times New Roman"/>
          <w:bCs/>
          <w:iCs/>
          <w:spacing w:val="-6"/>
          <w:sz w:val="32"/>
          <w:szCs w:val="32"/>
        </w:rPr>
        <w:t xml:space="preserve"> </w:t>
      </w:r>
      <w:r w:rsidRPr="00877DE5">
        <w:rPr>
          <w:rFonts w:ascii="Times New Roman" w:eastAsia="Times New Roman" w:hAnsi="Times New Roman" w:cs="Times New Roman"/>
          <w:bCs/>
          <w:iCs/>
          <w:sz w:val="32"/>
          <w:szCs w:val="32"/>
        </w:rPr>
        <w:t>России</w:t>
      </w:r>
      <w:r w:rsidRPr="00877DE5">
        <w:rPr>
          <w:rFonts w:ascii="Times New Roman" w:eastAsia="Times New Roman" w:hAnsi="Times New Roman" w:cs="Times New Roman"/>
          <w:bCs/>
          <w:iCs/>
          <w:spacing w:val="-7"/>
          <w:sz w:val="32"/>
          <w:szCs w:val="32"/>
        </w:rPr>
        <w:t xml:space="preserve"> </w:t>
      </w:r>
      <w:r w:rsidRPr="00877DE5">
        <w:rPr>
          <w:rFonts w:ascii="Times New Roman" w:eastAsia="Times New Roman" w:hAnsi="Times New Roman" w:cs="Times New Roman"/>
          <w:bCs/>
          <w:iCs/>
          <w:sz w:val="32"/>
          <w:szCs w:val="32"/>
        </w:rPr>
        <w:t>в среднесрочной перспективе</w:t>
      </w:r>
    </w:p>
    <w:p w14:paraId="0516E89B"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b/>
          <w:i/>
          <w:sz w:val="32"/>
          <w:szCs w:val="32"/>
        </w:rPr>
      </w:pPr>
    </w:p>
    <w:p w14:paraId="5AE62274" w14:textId="77777777" w:rsidR="00877DE5" w:rsidRPr="00877DE5" w:rsidRDefault="00877DE5" w:rsidP="00067100">
      <w:pPr>
        <w:widowControl w:val="0"/>
        <w:autoSpaceDE w:val="0"/>
        <w:autoSpaceDN w:val="0"/>
        <w:spacing w:after="0" w:line="240" w:lineRule="auto"/>
        <w:ind w:left="141" w:right="153"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Таким образом, строительная отрасль как единый кластер создает импульс для развития смежных отраслей и отдельных предприятий. При этом доля строительной отрасли в ВВП региона с каждым годом увеличивалась, отражая ее возрастающую роль в производстве продукции региона.</w:t>
      </w:r>
    </w:p>
    <w:p w14:paraId="49C4930F" w14:textId="77777777" w:rsidR="00877DE5" w:rsidRPr="00877DE5" w:rsidRDefault="00877DE5" w:rsidP="00067100">
      <w:pPr>
        <w:widowControl w:val="0"/>
        <w:autoSpaceDE w:val="0"/>
        <w:autoSpaceDN w:val="0"/>
        <w:spacing w:after="0" w:line="240" w:lineRule="auto"/>
        <w:ind w:left="141" w:right="140"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При этом на строительный сектор Краснодарского края напрямую влияет инвестиционная активность, она также оказывает непосредственное влияние на общую экономическую ситуацию в регионе.</w:t>
      </w:r>
    </w:p>
    <w:p w14:paraId="154A74E7" w14:textId="77777777" w:rsidR="00877DE5" w:rsidRPr="00877DE5" w:rsidRDefault="00877DE5" w:rsidP="00067100">
      <w:pPr>
        <w:widowControl w:val="0"/>
        <w:autoSpaceDE w:val="0"/>
        <w:autoSpaceDN w:val="0"/>
        <w:spacing w:after="0" w:line="240" w:lineRule="auto"/>
        <w:ind w:left="141" w:right="133"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Поэтому возникает необходимость в расширении возможностей привлечения иностранных инвестиций, также предлагается рассмотреть инвестиции через федеральные программы.</w:t>
      </w:r>
    </w:p>
    <w:p w14:paraId="64737C36" w14:textId="77777777" w:rsidR="00877DE5" w:rsidRPr="00877DE5" w:rsidRDefault="00877DE5" w:rsidP="00067100">
      <w:pPr>
        <w:widowControl w:val="0"/>
        <w:autoSpaceDE w:val="0"/>
        <w:autoSpaceDN w:val="0"/>
        <w:spacing w:after="0" w:line="240" w:lineRule="auto"/>
        <w:ind w:left="141" w:firstLine="709"/>
        <w:jc w:val="both"/>
        <w:rPr>
          <w:rFonts w:ascii="Times New Roman" w:eastAsia="Times New Roman" w:hAnsi="Times New Roman" w:cs="Times New Roman"/>
          <w:sz w:val="32"/>
          <w:szCs w:val="32"/>
        </w:rPr>
        <w:sectPr w:rsidR="00877DE5" w:rsidRPr="00877DE5" w:rsidSect="00067100">
          <w:pgSz w:w="11910" w:h="16840"/>
          <w:pgMar w:top="1134" w:right="1134" w:bottom="1134" w:left="1134" w:header="720" w:footer="720" w:gutter="0"/>
          <w:cols w:space="720"/>
        </w:sectPr>
      </w:pPr>
    </w:p>
    <w:p w14:paraId="3D710998" w14:textId="77777777" w:rsidR="00877DE5" w:rsidRPr="00877DE5" w:rsidRDefault="00877DE5" w:rsidP="00067100">
      <w:pPr>
        <w:widowControl w:val="0"/>
        <w:autoSpaceDE w:val="0"/>
        <w:autoSpaceDN w:val="0"/>
        <w:spacing w:after="0" w:line="240" w:lineRule="auto"/>
        <w:ind w:left="141" w:right="15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lastRenderedPageBreak/>
        <w:t xml:space="preserve">Основной проблемой на данный момент является высокая процентная ставка. Многие застройщики могут обанкротиться, если процентные ставки не </w:t>
      </w:r>
      <w:r w:rsidRPr="00877DE5">
        <w:rPr>
          <w:rFonts w:ascii="Times New Roman" w:eastAsia="Times New Roman" w:hAnsi="Times New Roman" w:cs="Times New Roman"/>
          <w:spacing w:val="-2"/>
          <w:sz w:val="32"/>
          <w:szCs w:val="32"/>
        </w:rPr>
        <w:t>снизятся.</w:t>
      </w:r>
    </w:p>
    <w:p w14:paraId="3489EE3A" w14:textId="77777777" w:rsidR="00877DE5" w:rsidRPr="00877DE5" w:rsidRDefault="00877DE5" w:rsidP="00067100">
      <w:pPr>
        <w:widowControl w:val="0"/>
        <w:autoSpaceDE w:val="0"/>
        <w:autoSpaceDN w:val="0"/>
        <w:spacing w:after="0" w:line="240" w:lineRule="auto"/>
        <w:ind w:left="141" w:right="143"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Процветание строительной отрасли региона будет зависеть от эффективного взаимодействия государственных структур и частного бизнеса, а также</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от</w:t>
      </w:r>
      <w:r w:rsidRPr="00877DE5">
        <w:rPr>
          <w:rFonts w:ascii="Times New Roman" w:eastAsia="Times New Roman" w:hAnsi="Times New Roman" w:cs="Times New Roman"/>
          <w:spacing w:val="-14"/>
          <w:sz w:val="32"/>
          <w:szCs w:val="32"/>
        </w:rPr>
        <w:t xml:space="preserve"> </w:t>
      </w:r>
      <w:r w:rsidRPr="00877DE5">
        <w:rPr>
          <w:rFonts w:ascii="Times New Roman" w:eastAsia="Times New Roman" w:hAnsi="Times New Roman" w:cs="Times New Roman"/>
          <w:sz w:val="32"/>
          <w:szCs w:val="32"/>
        </w:rPr>
        <w:t>внедрения</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новых</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технологий</w:t>
      </w:r>
      <w:r w:rsidRPr="00877DE5">
        <w:rPr>
          <w:rFonts w:ascii="Times New Roman" w:eastAsia="Times New Roman" w:hAnsi="Times New Roman" w:cs="Times New Roman"/>
          <w:spacing w:val="-12"/>
          <w:sz w:val="32"/>
          <w:szCs w:val="32"/>
        </w:rPr>
        <w:t xml:space="preserve"> </w:t>
      </w:r>
      <w:r w:rsidRPr="00877DE5">
        <w:rPr>
          <w:rFonts w:ascii="Times New Roman" w:eastAsia="Times New Roman" w:hAnsi="Times New Roman" w:cs="Times New Roman"/>
          <w:sz w:val="32"/>
          <w:szCs w:val="32"/>
        </w:rPr>
        <w:t>и</w:t>
      </w:r>
      <w:r w:rsidRPr="00877DE5">
        <w:rPr>
          <w:rFonts w:ascii="Times New Roman" w:eastAsia="Times New Roman" w:hAnsi="Times New Roman" w:cs="Times New Roman"/>
          <w:spacing w:val="-8"/>
          <w:sz w:val="32"/>
          <w:szCs w:val="32"/>
        </w:rPr>
        <w:t xml:space="preserve"> </w:t>
      </w:r>
      <w:r w:rsidRPr="00877DE5">
        <w:rPr>
          <w:rFonts w:ascii="Times New Roman" w:eastAsia="Times New Roman" w:hAnsi="Times New Roman" w:cs="Times New Roman"/>
          <w:sz w:val="32"/>
          <w:szCs w:val="32"/>
        </w:rPr>
        <w:t>подходов</w:t>
      </w:r>
      <w:r w:rsidRPr="00877DE5">
        <w:rPr>
          <w:rFonts w:ascii="Times New Roman" w:eastAsia="Times New Roman" w:hAnsi="Times New Roman" w:cs="Times New Roman"/>
          <w:spacing w:val="-14"/>
          <w:sz w:val="32"/>
          <w:szCs w:val="32"/>
        </w:rPr>
        <w:t xml:space="preserve"> </w:t>
      </w:r>
      <w:r w:rsidRPr="00877DE5">
        <w:rPr>
          <w:rFonts w:ascii="Times New Roman" w:eastAsia="Times New Roman" w:hAnsi="Times New Roman" w:cs="Times New Roman"/>
          <w:sz w:val="32"/>
          <w:szCs w:val="32"/>
        </w:rPr>
        <w:t>к</w:t>
      </w:r>
      <w:r w:rsidRPr="00877DE5">
        <w:rPr>
          <w:rFonts w:ascii="Times New Roman" w:eastAsia="Times New Roman" w:hAnsi="Times New Roman" w:cs="Times New Roman"/>
          <w:spacing w:val="-9"/>
          <w:sz w:val="32"/>
          <w:szCs w:val="32"/>
        </w:rPr>
        <w:t xml:space="preserve"> </w:t>
      </w:r>
      <w:r w:rsidRPr="00877DE5">
        <w:rPr>
          <w:rFonts w:ascii="Times New Roman" w:eastAsia="Times New Roman" w:hAnsi="Times New Roman" w:cs="Times New Roman"/>
          <w:sz w:val="32"/>
          <w:szCs w:val="32"/>
        </w:rPr>
        <w:t>устойчивому</w:t>
      </w:r>
      <w:r w:rsidRPr="00877DE5">
        <w:rPr>
          <w:rFonts w:ascii="Times New Roman" w:eastAsia="Times New Roman" w:hAnsi="Times New Roman" w:cs="Times New Roman"/>
          <w:spacing w:val="-17"/>
          <w:sz w:val="32"/>
          <w:szCs w:val="32"/>
        </w:rPr>
        <w:t xml:space="preserve"> </w:t>
      </w:r>
      <w:r w:rsidRPr="00877DE5">
        <w:rPr>
          <w:rFonts w:ascii="Times New Roman" w:eastAsia="Times New Roman" w:hAnsi="Times New Roman" w:cs="Times New Roman"/>
          <w:sz w:val="32"/>
          <w:szCs w:val="32"/>
        </w:rPr>
        <w:t>строительству. Адаптация к новым условиям, концентрация на качественном и экологичном строительстве помогут Краснодарскому краю сохранить свои позиции как одного из центральных строительных регионов России.</w:t>
      </w:r>
    </w:p>
    <w:p w14:paraId="2A84F107" w14:textId="77777777" w:rsidR="00877DE5" w:rsidRPr="00877DE5" w:rsidRDefault="00877DE5" w:rsidP="00067100">
      <w:pPr>
        <w:widowControl w:val="0"/>
        <w:autoSpaceDE w:val="0"/>
        <w:autoSpaceDN w:val="0"/>
        <w:spacing w:after="0" w:line="240" w:lineRule="auto"/>
        <w:ind w:left="141" w:right="141"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Следует обратить внимание на инфраструктуру и туристическую сферу. Особое значение приобретает реализация инвестиционных проектов в этих областях при изменении структуры экономики.</w:t>
      </w:r>
    </w:p>
    <w:p w14:paraId="491F57BC" w14:textId="77777777" w:rsidR="00877DE5" w:rsidRPr="00877DE5" w:rsidRDefault="00877DE5" w:rsidP="00067100">
      <w:pPr>
        <w:widowControl w:val="0"/>
        <w:autoSpaceDE w:val="0"/>
        <w:autoSpaceDN w:val="0"/>
        <w:spacing w:after="0" w:line="240" w:lineRule="auto"/>
        <w:ind w:left="141" w:right="136" w:firstLine="709"/>
        <w:jc w:val="both"/>
        <w:rPr>
          <w:rFonts w:ascii="Times New Roman" w:eastAsia="Times New Roman" w:hAnsi="Times New Roman" w:cs="Times New Roman"/>
          <w:sz w:val="32"/>
          <w:szCs w:val="32"/>
        </w:rPr>
      </w:pPr>
      <w:r w:rsidRPr="00877DE5">
        <w:rPr>
          <w:rFonts w:ascii="Times New Roman" w:eastAsia="Times New Roman" w:hAnsi="Times New Roman" w:cs="Times New Roman"/>
          <w:sz w:val="32"/>
          <w:szCs w:val="32"/>
        </w:rPr>
        <w:t xml:space="preserve">Развитие строительной сферы на основе туристического потенциала и улучшения инфраструктуры сыграет ключевую роль в привлечении дополнительных инвестиций и в увеличении валового регионального продукта </w:t>
      </w:r>
      <w:r w:rsidRPr="00877DE5">
        <w:rPr>
          <w:rFonts w:ascii="Times New Roman" w:eastAsia="Times New Roman" w:hAnsi="Times New Roman" w:cs="Times New Roman"/>
          <w:spacing w:val="-2"/>
          <w:sz w:val="32"/>
          <w:szCs w:val="32"/>
        </w:rPr>
        <w:t>региона.</w:t>
      </w:r>
    </w:p>
    <w:p w14:paraId="527597FE" w14:textId="77777777" w:rsidR="00877DE5" w:rsidRPr="00877DE5" w:rsidRDefault="00877DE5" w:rsidP="00067100">
      <w:pPr>
        <w:widowControl w:val="0"/>
        <w:autoSpaceDE w:val="0"/>
        <w:autoSpaceDN w:val="0"/>
        <w:spacing w:after="0" w:line="240" w:lineRule="auto"/>
        <w:ind w:firstLine="709"/>
        <w:rPr>
          <w:rFonts w:ascii="Times New Roman" w:eastAsia="Times New Roman" w:hAnsi="Times New Roman" w:cs="Times New Roman"/>
          <w:sz w:val="32"/>
          <w:szCs w:val="32"/>
        </w:rPr>
      </w:pPr>
    </w:p>
    <w:p w14:paraId="0454DD2B" w14:textId="77777777" w:rsidR="00877DE5" w:rsidRPr="00877DE5" w:rsidRDefault="00877DE5" w:rsidP="00067100">
      <w:pPr>
        <w:widowControl w:val="0"/>
        <w:autoSpaceDE w:val="0"/>
        <w:autoSpaceDN w:val="0"/>
        <w:spacing w:after="0" w:line="240" w:lineRule="auto"/>
        <w:ind w:firstLine="709"/>
        <w:jc w:val="center"/>
        <w:outlineLvl w:val="0"/>
        <w:rPr>
          <w:rFonts w:ascii="Times New Roman" w:eastAsia="Times New Roman" w:hAnsi="Times New Roman" w:cs="Times New Roman"/>
          <w:b/>
          <w:bCs/>
          <w:sz w:val="21"/>
          <w:szCs w:val="21"/>
        </w:rPr>
      </w:pPr>
      <w:r w:rsidRPr="00877DE5">
        <w:rPr>
          <w:rFonts w:ascii="Times New Roman" w:eastAsia="Times New Roman" w:hAnsi="Times New Roman" w:cs="Times New Roman"/>
          <w:b/>
          <w:bCs/>
          <w:sz w:val="21"/>
          <w:szCs w:val="21"/>
        </w:rPr>
        <w:t>Литература:</w:t>
      </w:r>
    </w:p>
    <w:p w14:paraId="46B571B1" w14:textId="77777777" w:rsidR="00877DE5" w:rsidRPr="00877DE5" w:rsidRDefault="00877DE5" w:rsidP="00AD58CD">
      <w:pPr>
        <w:numPr>
          <w:ilvl w:val="0"/>
          <w:numId w:val="67"/>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Закон Краснодарского края от 21 декабря 2018 года № 3930-КЗ «О Стратегии социально-экономического развития Краснодарского края до 2030 года» — [электронный ресурс] — Режим доступа. — URL: https://docs.cntd.ru/document/550301926 (дата обращения 20.03.2025).</w:t>
      </w:r>
    </w:p>
    <w:p w14:paraId="39D7808C" w14:textId="77777777" w:rsidR="00877DE5" w:rsidRPr="00877DE5" w:rsidRDefault="00877DE5" w:rsidP="00AD58CD">
      <w:pPr>
        <w:numPr>
          <w:ilvl w:val="0"/>
          <w:numId w:val="67"/>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Антоньянц Д.А. Строительная индустрия Краснодарского края: современное состояние и проблемы развития / Д. А. Антоньянц // Жилищные стратегии. – 2024. – Т. 11, № 2. – С. 173-192.</w:t>
      </w:r>
    </w:p>
    <w:p w14:paraId="1B6B4E42" w14:textId="77777777" w:rsidR="00877DE5" w:rsidRPr="00877DE5" w:rsidRDefault="00877DE5" w:rsidP="00AD58CD">
      <w:pPr>
        <w:numPr>
          <w:ilvl w:val="0"/>
          <w:numId w:val="67"/>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Селиверсткин В.В. Оценка развития строительной отрасли в Краснодарском крае / В. В. Селиверсткин // Сборник научных статей. – Ульяновск, 2024. – С. 147-149.</w:t>
      </w:r>
    </w:p>
    <w:p w14:paraId="7EA5F3D1" w14:textId="77777777" w:rsidR="00877DE5" w:rsidRPr="00877DE5" w:rsidRDefault="00877DE5" w:rsidP="00AD58CD">
      <w:pPr>
        <w:numPr>
          <w:ilvl w:val="0"/>
          <w:numId w:val="67"/>
        </w:numPr>
        <w:tabs>
          <w:tab w:val="left" w:pos="0"/>
        </w:tabs>
        <w:suppressAutoHyphens/>
        <w:autoSpaceDE w:val="0"/>
        <w:spacing w:after="0" w:line="240" w:lineRule="auto"/>
        <w:ind w:left="0" w:firstLine="142"/>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Федеральная служба государственной статистики // Официальный сайт.— 2025. — [электронный ресурс] — Режим доступа. — URL: https://37.rosstat.gov.ru/ (дата обращения 20.03.2025).</w:t>
      </w:r>
    </w:p>
    <w:p w14:paraId="3F87A1D2" w14:textId="77777777" w:rsidR="00877DE5" w:rsidRPr="00877DE5" w:rsidRDefault="00877DE5" w:rsidP="00067100">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x-none" w:eastAsia="ar-SA"/>
        </w:rPr>
      </w:pPr>
    </w:p>
    <w:p w14:paraId="5157C9BC" w14:textId="77777777" w:rsidR="00877DE5" w:rsidRPr="00877DE5" w:rsidRDefault="00877DE5" w:rsidP="00067100">
      <w:pPr>
        <w:tabs>
          <w:tab w:val="left" w:pos="0"/>
        </w:tabs>
        <w:suppressAutoHyphens/>
        <w:autoSpaceDE w:val="0"/>
        <w:spacing w:after="0" w:line="240" w:lineRule="auto"/>
        <w:ind w:firstLine="709"/>
        <w:jc w:val="both"/>
        <w:rPr>
          <w:rFonts w:ascii="Times New Roman" w:eastAsia="Times New Roman" w:hAnsi="Times New Roman" w:cs="Times New Roman"/>
          <w:sz w:val="21"/>
          <w:szCs w:val="21"/>
          <w:lang w:val="x-none" w:eastAsia="ar-SA"/>
        </w:rPr>
      </w:pPr>
    </w:p>
    <w:p w14:paraId="3ABC0119" w14:textId="77777777" w:rsidR="00877DE5" w:rsidRPr="00877DE5" w:rsidRDefault="00877DE5" w:rsidP="00C348E3">
      <w:pPr>
        <w:tabs>
          <w:tab w:val="left" w:pos="0"/>
        </w:tabs>
        <w:suppressAutoHyphens/>
        <w:autoSpaceDE w:val="0"/>
        <w:spacing w:after="0" w:line="240" w:lineRule="auto"/>
        <w:jc w:val="both"/>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eastAsia="ar-SA"/>
        </w:rPr>
        <w:t>УДК 339.1</w:t>
      </w:r>
    </w:p>
    <w:p w14:paraId="5982E2F7"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Низамиди М. Е., </w:t>
      </w:r>
    </w:p>
    <w:p w14:paraId="0D49F12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1 курса магистратуры </w:t>
      </w:r>
    </w:p>
    <w:p w14:paraId="68B438D5"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64F525E8"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г. Краснодар, Россия</w:t>
      </w:r>
    </w:p>
    <w:p w14:paraId="2BBC3004"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i/>
          <w:color w:val="000000"/>
          <w:sz w:val="21"/>
          <w:szCs w:val="21"/>
        </w:rPr>
        <w:t>е-</w:t>
      </w:r>
      <w:r w:rsidRPr="00877DE5">
        <w:rPr>
          <w:rFonts w:ascii="Times New Roman" w:eastAsia="Times New Roman" w:hAnsi="Times New Roman" w:cs="Times New Roman"/>
          <w:i/>
          <w:color w:val="000000"/>
          <w:sz w:val="21"/>
          <w:szCs w:val="21"/>
          <w:lang w:val="en-US"/>
        </w:rPr>
        <w:t>mail</w:t>
      </w:r>
      <w:r w:rsidRPr="00877DE5">
        <w:rPr>
          <w:rFonts w:ascii="Times New Roman" w:eastAsia="Times New Roman" w:hAnsi="Times New Roman" w:cs="Times New Roman"/>
          <w:i/>
          <w:color w:val="000000"/>
          <w:sz w:val="21"/>
          <w:szCs w:val="21"/>
        </w:rPr>
        <w:t xml:space="preserve">: </w:t>
      </w:r>
      <w:hyperlink r:id="rId337" w:history="1">
        <w:r w:rsidRPr="00877DE5">
          <w:rPr>
            <w:rFonts w:ascii="Times New Roman" w:eastAsia="Times New Roman" w:hAnsi="Times New Roman" w:cs="Times New Roman"/>
            <w:i/>
            <w:color w:val="0563C1"/>
            <w:sz w:val="21"/>
            <w:szCs w:val="21"/>
            <w:u w:val="single"/>
            <w:lang w:val="en-US"/>
          </w:rPr>
          <w:t>nizamidi</w:t>
        </w:r>
        <w:r w:rsidRPr="00EE54F2">
          <w:rPr>
            <w:rFonts w:ascii="Times New Roman" w:eastAsia="Times New Roman" w:hAnsi="Times New Roman" w:cs="Times New Roman"/>
            <w:i/>
            <w:color w:val="0563C1"/>
            <w:sz w:val="21"/>
            <w:szCs w:val="21"/>
            <w:u w:val="single"/>
          </w:rPr>
          <w:t>.050902@</w:t>
        </w:r>
        <w:r w:rsidRPr="00877DE5">
          <w:rPr>
            <w:rFonts w:ascii="Times New Roman" w:eastAsia="Times New Roman" w:hAnsi="Times New Roman" w:cs="Times New Roman"/>
            <w:i/>
            <w:color w:val="0563C1"/>
            <w:sz w:val="21"/>
            <w:szCs w:val="21"/>
            <w:u w:val="single"/>
            <w:lang w:val="en-US"/>
          </w:rPr>
          <w:t>mail</w:t>
        </w:r>
        <w:r w:rsidRPr="00EE54F2">
          <w:rPr>
            <w:rFonts w:ascii="Times New Roman" w:eastAsia="Times New Roman" w:hAnsi="Times New Roman" w:cs="Times New Roman"/>
            <w:i/>
            <w:color w:val="0563C1"/>
            <w:sz w:val="21"/>
            <w:szCs w:val="21"/>
            <w:u w:val="single"/>
          </w:rPr>
          <w:t>.</w:t>
        </w:r>
        <w:r w:rsidRPr="00877DE5">
          <w:rPr>
            <w:rFonts w:ascii="Times New Roman" w:eastAsia="Times New Roman" w:hAnsi="Times New Roman" w:cs="Times New Roman"/>
            <w:i/>
            <w:color w:val="0563C1"/>
            <w:sz w:val="21"/>
            <w:szCs w:val="21"/>
            <w:u w:val="single"/>
            <w:lang w:val="en-US"/>
          </w:rPr>
          <w:t>ru</w:t>
        </w:r>
      </w:hyperlink>
      <w:r w:rsidRPr="00877DE5">
        <w:rPr>
          <w:rFonts w:ascii="Times New Roman" w:eastAsia="Times New Roman" w:hAnsi="Times New Roman" w:cs="Times New Roman"/>
          <w:i/>
          <w:color w:val="000000"/>
          <w:sz w:val="21"/>
          <w:szCs w:val="21"/>
          <w:u w:val="single"/>
        </w:rPr>
        <w:t xml:space="preserve"> </w:t>
      </w:r>
      <w:r w:rsidRPr="00877DE5">
        <w:rPr>
          <w:rFonts w:ascii="Times New Roman" w:eastAsia="Times New Roman" w:hAnsi="Times New Roman" w:cs="Times New Roman"/>
          <w:i/>
          <w:color w:val="000000"/>
          <w:sz w:val="21"/>
          <w:szCs w:val="21"/>
        </w:rPr>
        <w:t xml:space="preserve">  </w:t>
      </w:r>
    </w:p>
    <w:p w14:paraId="6D8AD128"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p>
    <w:p w14:paraId="0186E538"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Научный руководитель:</w:t>
      </w:r>
    </w:p>
    <w:p w14:paraId="2F144839"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sz w:val="21"/>
          <w:szCs w:val="21"/>
        </w:rPr>
      </w:pPr>
      <w:r w:rsidRPr="00877DE5">
        <w:rPr>
          <w:rFonts w:ascii="Times New Roman" w:eastAsia="Times New Roman" w:hAnsi="Times New Roman" w:cs="Times New Roman"/>
          <w:b/>
          <w:i/>
          <w:color w:val="000000"/>
          <w:sz w:val="21"/>
          <w:szCs w:val="21"/>
        </w:rPr>
        <w:t>Грибок Н.Н.,</w:t>
      </w:r>
    </w:p>
    <w:p w14:paraId="382372FF"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rPr>
      </w:pPr>
      <w:r w:rsidRPr="00877DE5">
        <w:rPr>
          <w:rFonts w:ascii="Times New Roman" w:eastAsia="Times New Roman" w:hAnsi="Times New Roman" w:cs="Times New Roman"/>
          <w:b/>
          <w:i/>
          <w:color w:val="000000"/>
          <w:sz w:val="21"/>
          <w:szCs w:val="21"/>
        </w:rPr>
        <w:t xml:space="preserve"> </w:t>
      </w:r>
      <w:r w:rsidRPr="00877DE5">
        <w:rPr>
          <w:rFonts w:ascii="Times New Roman" w:eastAsia="Times New Roman" w:hAnsi="Times New Roman" w:cs="Times New Roman"/>
          <w:i/>
          <w:color w:val="000000"/>
          <w:sz w:val="21"/>
          <w:szCs w:val="21"/>
        </w:rPr>
        <w:t>доцент, к.и.н.</w:t>
      </w:r>
    </w:p>
    <w:p w14:paraId="42FF8022"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5EE37244"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г. Краснодар, Россия</w:t>
      </w:r>
    </w:p>
    <w:p w14:paraId="56A37358"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е-</w:t>
      </w:r>
      <w:r w:rsidRPr="00877DE5">
        <w:rPr>
          <w:rFonts w:ascii="Times New Roman" w:eastAsia="Times New Roman" w:hAnsi="Times New Roman" w:cs="Times New Roman"/>
          <w:i/>
          <w:color w:val="000000"/>
          <w:sz w:val="21"/>
          <w:szCs w:val="21"/>
          <w:lang w:val="en-US" w:eastAsia="ar-SA"/>
        </w:rPr>
        <w:t>mail</w:t>
      </w:r>
      <w:r w:rsidRPr="00877DE5">
        <w:rPr>
          <w:rFonts w:ascii="Times New Roman" w:eastAsia="Times New Roman" w:hAnsi="Times New Roman" w:cs="Times New Roman"/>
          <w:i/>
          <w:color w:val="000000"/>
          <w:sz w:val="21"/>
          <w:szCs w:val="21"/>
          <w:lang w:eastAsia="ar-SA"/>
        </w:rPr>
        <w:t>:</w:t>
      </w:r>
      <w:r w:rsidRPr="00877DE5">
        <w:rPr>
          <w:rFonts w:ascii="Times New Roman" w:eastAsia="Calibri" w:hAnsi="Times New Roman" w:cs="Times New Roman"/>
          <w:color w:val="000000"/>
          <w:sz w:val="21"/>
          <w:szCs w:val="21"/>
        </w:rPr>
        <w:t xml:space="preserve"> </w:t>
      </w:r>
      <w:hyperlink r:id="rId338" w:history="1">
        <w:r w:rsidRPr="00877DE5">
          <w:rPr>
            <w:rFonts w:ascii="Times New Roman" w:eastAsia="Times New Roman" w:hAnsi="Times New Roman" w:cs="Times New Roman"/>
            <w:i/>
            <w:color w:val="0563C1"/>
            <w:sz w:val="21"/>
            <w:szCs w:val="21"/>
            <w:u w:val="single"/>
            <w:lang w:val="en-US" w:eastAsia="ar-SA"/>
          </w:rPr>
          <w:t>NNGribok</w:t>
        </w:r>
        <w:r w:rsidRPr="00877DE5">
          <w:rPr>
            <w:rFonts w:ascii="Times New Roman" w:eastAsia="Times New Roman" w:hAnsi="Times New Roman" w:cs="Times New Roman"/>
            <w:i/>
            <w:color w:val="0563C1"/>
            <w:sz w:val="21"/>
            <w:szCs w:val="21"/>
            <w:u w:val="single"/>
            <w:lang w:eastAsia="ar-SA"/>
          </w:rPr>
          <w:t>@</w:t>
        </w:r>
        <w:r w:rsidRPr="00877DE5">
          <w:rPr>
            <w:rFonts w:ascii="Times New Roman" w:eastAsia="Times New Roman" w:hAnsi="Times New Roman" w:cs="Times New Roman"/>
            <w:i/>
            <w:color w:val="0563C1"/>
            <w:sz w:val="21"/>
            <w:szCs w:val="21"/>
            <w:u w:val="single"/>
            <w:lang w:val="en-US" w:eastAsia="ar-SA"/>
          </w:rPr>
          <w:t>fa</w:t>
        </w:r>
        <w:r w:rsidRPr="00877DE5">
          <w:rPr>
            <w:rFonts w:ascii="Times New Roman" w:eastAsia="Times New Roman" w:hAnsi="Times New Roman" w:cs="Times New Roman"/>
            <w:i/>
            <w:color w:val="0563C1"/>
            <w:sz w:val="21"/>
            <w:szCs w:val="21"/>
            <w:u w:val="single"/>
            <w:lang w:eastAsia="ar-SA"/>
          </w:rPr>
          <w:t>.</w:t>
        </w:r>
        <w:r w:rsidRPr="00877DE5">
          <w:rPr>
            <w:rFonts w:ascii="Times New Roman" w:eastAsia="Times New Roman" w:hAnsi="Times New Roman" w:cs="Times New Roman"/>
            <w:i/>
            <w:color w:val="0563C1"/>
            <w:sz w:val="21"/>
            <w:szCs w:val="21"/>
            <w:u w:val="single"/>
            <w:lang w:val="en-US" w:eastAsia="ar-SA"/>
          </w:rPr>
          <w:t>ru</w:t>
        </w:r>
      </w:hyperlink>
      <w:r w:rsidRPr="00877DE5">
        <w:rPr>
          <w:rFonts w:ascii="Times New Roman" w:eastAsia="Times New Roman" w:hAnsi="Times New Roman" w:cs="Times New Roman"/>
          <w:i/>
          <w:color w:val="000000"/>
          <w:sz w:val="21"/>
          <w:szCs w:val="21"/>
          <w:lang w:eastAsia="ar-SA"/>
        </w:rPr>
        <w:t xml:space="preserve"> </w:t>
      </w:r>
    </w:p>
    <w:p w14:paraId="578CCC3C"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color w:val="000000"/>
          <w:sz w:val="21"/>
          <w:szCs w:val="21"/>
          <w:lang w:eastAsia="ar-SA"/>
        </w:rPr>
      </w:pPr>
    </w:p>
    <w:p w14:paraId="4F840EC2"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color w:val="000000"/>
          <w:sz w:val="21"/>
          <w:szCs w:val="21"/>
          <w:lang w:eastAsia="ar-SA"/>
        </w:rPr>
      </w:pPr>
      <w:r w:rsidRPr="00877DE5">
        <w:rPr>
          <w:rFonts w:ascii="Times New Roman" w:eastAsia="Times New Roman" w:hAnsi="Times New Roman" w:cs="Times New Roman"/>
          <w:b/>
          <w:color w:val="000000"/>
          <w:sz w:val="21"/>
          <w:szCs w:val="21"/>
          <w:lang w:eastAsia="ar-SA"/>
        </w:rPr>
        <w:t>Совершенствование инструментов реализации рыночной стратегии развития: концептуальные подходы и практические рекомендации</w:t>
      </w:r>
    </w:p>
    <w:p w14:paraId="18371713" w14:textId="77777777" w:rsidR="00877DE5" w:rsidRPr="00877DE5" w:rsidRDefault="00877DE5" w:rsidP="00067100">
      <w:pPr>
        <w:spacing w:after="0" w:line="240" w:lineRule="auto"/>
        <w:ind w:firstLine="709"/>
        <w:jc w:val="both"/>
        <w:rPr>
          <w:rFonts w:ascii="Times New Roman" w:eastAsia="Times New Roman" w:hAnsi="Times New Roman" w:cs="Times New Roman"/>
          <w:i/>
          <w:color w:val="000000"/>
          <w:sz w:val="21"/>
          <w:szCs w:val="21"/>
          <w:shd w:val="clear" w:color="auto" w:fill="00FFFF"/>
        </w:rPr>
      </w:pPr>
    </w:p>
    <w:p w14:paraId="147CEB47" w14:textId="77777777" w:rsidR="00877DE5" w:rsidRPr="00877DE5" w:rsidRDefault="00877DE5" w:rsidP="00067100">
      <w:pPr>
        <w:spacing w:after="0" w:line="240" w:lineRule="auto"/>
        <w:ind w:firstLine="709"/>
        <w:jc w:val="both"/>
        <w:rPr>
          <w:rFonts w:ascii="Times New Roman" w:eastAsia="Arial" w:hAnsi="Times New Roman" w:cs="Times New Roman"/>
          <w:color w:val="000000"/>
          <w:sz w:val="21"/>
          <w:szCs w:val="21"/>
        </w:rPr>
      </w:pPr>
      <w:r w:rsidRPr="00877DE5">
        <w:rPr>
          <w:rFonts w:ascii="Times New Roman" w:eastAsia="Times New Roman" w:hAnsi="Times New Roman" w:cs="Times New Roman"/>
          <w:b/>
          <w:color w:val="000000"/>
          <w:sz w:val="21"/>
          <w:szCs w:val="21"/>
        </w:rPr>
        <w:t>Аннотация:</w:t>
      </w:r>
      <w:r w:rsidRPr="00877DE5">
        <w:rPr>
          <w:rFonts w:ascii="Times New Roman" w:eastAsia="Times New Roman" w:hAnsi="Times New Roman" w:cs="Times New Roman"/>
          <w:i/>
          <w:color w:val="000000"/>
          <w:sz w:val="21"/>
          <w:szCs w:val="21"/>
        </w:rPr>
        <w:t xml:space="preserve"> </w:t>
      </w:r>
      <w:r w:rsidRPr="00877DE5">
        <w:rPr>
          <w:rFonts w:ascii="Times New Roman" w:eastAsia="Times New Roman" w:hAnsi="Times New Roman" w:cs="Times New Roman"/>
          <w:color w:val="000000"/>
          <w:sz w:val="21"/>
          <w:szCs w:val="21"/>
        </w:rPr>
        <w:t xml:space="preserve">Целью данной статьи является комплексное рассмотрение концептуальных подходов к совершенствованию инструментов реализации рыночной стратегии, а также формулировка практических </w:t>
      </w:r>
      <w:r w:rsidRPr="00877DE5">
        <w:rPr>
          <w:rFonts w:ascii="Times New Roman" w:eastAsia="Times New Roman" w:hAnsi="Times New Roman" w:cs="Times New Roman"/>
          <w:color w:val="000000"/>
          <w:sz w:val="21"/>
          <w:szCs w:val="21"/>
        </w:rPr>
        <w:lastRenderedPageBreak/>
        <w:t>рекомендаций, основанных на анализе отечественного опыта. Вызов, с которым сейчас сталкиваются российские бизнес-компании – это быстро изменяющиеся предпочтения потребителей, высокий уровень конкуренции и необходимость во внедрении гибких и адаптивных методик для успешности российских предприятий. На основе типовых проблематик, с которым сталкивается рынок будут выдвинуты рекомендации по совершенствованию инструментов реализации рыночной стратегии развития.</w:t>
      </w:r>
    </w:p>
    <w:p w14:paraId="175ABF3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rPr>
      </w:pPr>
      <w:r w:rsidRPr="00877DE5">
        <w:rPr>
          <w:rFonts w:ascii="Times New Roman" w:eastAsia="Times New Roman" w:hAnsi="Times New Roman" w:cs="Times New Roman"/>
          <w:b/>
          <w:color w:val="000000"/>
          <w:sz w:val="21"/>
          <w:szCs w:val="21"/>
        </w:rPr>
        <w:t>Ключевые слова:</w:t>
      </w:r>
      <w:r w:rsidRPr="00877DE5">
        <w:rPr>
          <w:rFonts w:ascii="Times New Roman" w:eastAsia="Times New Roman" w:hAnsi="Times New Roman" w:cs="Times New Roman"/>
          <w:color w:val="000000"/>
          <w:sz w:val="21"/>
          <w:szCs w:val="21"/>
        </w:rPr>
        <w:t xml:space="preserve"> рыночная стратегия развития, инструменты реализации рыночной стратегии, цифровая трансформация, стратегические рекомендации.</w:t>
      </w:r>
    </w:p>
    <w:p w14:paraId="0F65575A"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rPr>
      </w:pPr>
    </w:p>
    <w:p w14:paraId="3DD4D30A" w14:textId="77777777" w:rsidR="00877DE5" w:rsidRPr="00877DE5" w:rsidRDefault="00877DE5" w:rsidP="00067100">
      <w:pPr>
        <w:spacing w:after="0" w:line="240" w:lineRule="auto"/>
        <w:ind w:firstLine="709"/>
        <w:jc w:val="center"/>
        <w:rPr>
          <w:rFonts w:ascii="Times New Roman" w:eastAsia="Times New Roman" w:hAnsi="Times New Roman" w:cs="Times New Roman"/>
          <w:b/>
          <w:bCs/>
          <w:color w:val="000000"/>
          <w:sz w:val="21"/>
          <w:szCs w:val="21"/>
          <w:lang w:val="en-US"/>
        </w:rPr>
      </w:pPr>
      <w:r w:rsidRPr="00877DE5">
        <w:rPr>
          <w:rFonts w:ascii="Times New Roman" w:eastAsia="Times New Roman" w:hAnsi="Times New Roman" w:cs="Times New Roman"/>
          <w:b/>
          <w:bCs/>
          <w:color w:val="000000"/>
          <w:sz w:val="21"/>
          <w:szCs w:val="21"/>
          <w:lang w:val="en-US"/>
        </w:rPr>
        <w:t>Improving Tools for Implementing Market Development Strategy Conceptual Approaches and Practical Recommendations</w:t>
      </w:r>
    </w:p>
    <w:p w14:paraId="28B0FB14"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val="en-US"/>
        </w:rPr>
      </w:pPr>
    </w:p>
    <w:p w14:paraId="289CFCF1"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b/>
          <w:bCs/>
          <w:color w:val="000000"/>
          <w:sz w:val="21"/>
          <w:szCs w:val="21"/>
          <w:lang w:val="en-US"/>
        </w:rPr>
        <w:t>Abstract:</w:t>
      </w:r>
      <w:r w:rsidRPr="00877DE5">
        <w:rPr>
          <w:rFonts w:ascii="Times New Roman" w:eastAsia="Times New Roman" w:hAnsi="Times New Roman" w:cs="Times New Roman"/>
          <w:color w:val="000000"/>
          <w:sz w:val="21"/>
          <w:szCs w:val="21"/>
          <w:lang w:val="en-US"/>
        </w:rPr>
        <w:t xml:space="preserve"> This article aims to provide a comprehensive examination of the conceptual approaches to improving the tools for implementing market strategy, as well as to formulate practical recommendations based on an analysis of domestic experience. The challenge currently facing Russian businesses is the rapidly changing consumer preferences, high level of competition, and the need to adopt flexible and adaptive methodologies for the success of Russian enterprises. Based on typical issues faced by the market, recommendations will be proposed for enhancing the tools for implementing market development strategy. </w:t>
      </w:r>
    </w:p>
    <w:p w14:paraId="29A078C0"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b/>
          <w:bCs/>
          <w:color w:val="000000"/>
          <w:sz w:val="21"/>
          <w:szCs w:val="21"/>
          <w:lang w:val="en-US"/>
        </w:rPr>
        <w:t>Keywords:</w:t>
      </w:r>
      <w:r w:rsidRPr="00877DE5">
        <w:rPr>
          <w:rFonts w:ascii="Times New Roman" w:eastAsia="Times New Roman" w:hAnsi="Times New Roman" w:cs="Times New Roman"/>
          <w:color w:val="000000"/>
          <w:sz w:val="21"/>
          <w:szCs w:val="21"/>
          <w:lang w:val="en-US"/>
        </w:rPr>
        <w:t xml:space="preserve"> market development strategy, tools for implementing market strategy, digital transformation, strategic recommendations.</w:t>
      </w:r>
    </w:p>
    <w:p w14:paraId="0C45375E"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val="en-US"/>
        </w:rPr>
      </w:pPr>
    </w:p>
    <w:p w14:paraId="5669CDEA"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sz w:val="21"/>
          <w:szCs w:val="21"/>
          <w:lang w:val="en-US"/>
        </w:rPr>
      </w:pPr>
    </w:p>
    <w:p w14:paraId="340D6FC3" w14:textId="77777777" w:rsidR="00877DE5" w:rsidRPr="00877DE5" w:rsidRDefault="00877DE5" w:rsidP="00067100">
      <w:pPr>
        <w:pBdr>
          <w:top w:val="none" w:sz="0" w:space="0" w:color="E7E5E4"/>
          <w:left w:val="none" w:sz="0" w:space="0" w:color="E7E5E4"/>
          <w:bottom w:val="none" w:sz="0" w:space="0" w:color="E7E5E4"/>
          <w:right w:val="none" w:sz="0" w:space="0" w:color="E7E5E4"/>
        </w:pBdr>
        <w:spacing w:after="0" w:line="240" w:lineRule="auto"/>
        <w:ind w:firstLine="709"/>
        <w:jc w:val="both"/>
        <w:rPr>
          <w:rFonts w:ascii="Times New Roman" w:eastAsia="Arial" w:hAnsi="Times New Roman" w:cs="Times New Roman"/>
          <w:color w:val="000000"/>
          <w:sz w:val="32"/>
          <w:szCs w:val="32"/>
          <w:lang w:eastAsia="ru-RU"/>
        </w:rPr>
      </w:pPr>
      <w:r w:rsidRPr="00877DE5">
        <w:rPr>
          <w:rFonts w:ascii="Times New Roman" w:eastAsia="Arial" w:hAnsi="Times New Roman" w:cs="Times New Roman"/>
          <w:color w:val="000000"/>
          <w:sz w:val="32"/>
          <w:szCs w:val="32"/>
          <w:lang w:eastAsia="ru-RU"/>
        </w:rPr>
        <w:t>В современных условиях рыночная среда становится все более динамичной и непредсказуемой, что требует от компаний высокой гибкости и адаптивности в реализации собственных стратегий. Конкурентная борьба, ускоряющиеся темпы цифровизации, а также изменяющиеся предпочтения потребителей формируют новые вызовы для бизнеса. В связи с этим совершенствование инструментов реализации рыночной стратегии приобретает стратегическую значимость для российских предприятий.</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 последние годы российский рынок сталкивается с беспрецедентным уровнем конкуренции и скоростью изменений. Появление новых игроков, развитие цифровых сервисов, внедрение инновационных технологий вынуждают компании регулярно пересматривать свои стратегии и совершенствовать используемые инструменты. Традиционные методы реализации рыночной стратегии зачастую оказываются недостаточно эффективными в новых условиях, что требует поиска новых решений и подходов.</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Особую важность приобретает интеграция цифровых инструментов, развитие бизнес - аналитики и клиент - ориентированных сервисов. Только комплексный и инновационный подход к выбору и применению инструментов способен обеспечить необходимую конкурентоспособность, устойчивость и рост компании в долгосрочной перспективе.</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Анализ отечественной практики показывает, что российские предприятия сталкиваются с рядом типовых проблем при реализации рыночной стратегии: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lastRenderedPageBreak/>
        <w:tab/>
        <w:t xml:space="preserve">1) </w:t>
      </w:r>
      <w:r w:rsidRPr="00877DE5">
        <w:rPr>
          <w:rFonts w:ascii="Times New Roman" w:eastAsia="Arial" w:hAnsi="Times New Roman" w:cs="Times New Roman"/>
          <w:color w:val="000000"/>
          <w:sz w:val="32"/>
          <w:szCs w:val="32"/>
          <w:bdr w:val="none" w:sz="0" w:space="0" w:color="E7E5E4"/>
          <w:lang w:eastAsia="ru-RU"/>
        </w:rPr>
        <w:t>Несвоевременный или ошибочный выбор инструментов, не соответствующих текущим рыночным реалиям;</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2) Недостаточная интеграция между инструментами маркетинга, продаж, клиентского сервиса и аналитики;</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3) Слабая адаптация к быстро меняющимся условиям и низкая гибкость бизнес - процессов;</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4) Ограниченность доступа к современным цифровым решениям и дефицит квалифицированных кадров;</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5) Ориентация на краткосрочные показатели в ущерб стратегическим целям.</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color w:val="000000"/>
          <w:sz w:val="32"/>
          <w:szCs w:val="32"/>
          <w:lang w:eastAsia="ru-RU"/>
        </w:rPr>
        <w:t>Вышеуказанные проблемы приводят к снижению эффективности бизнеса, уменьшению рыночной доли и замедлению темпов развития.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 научной литературе и деловой практике выделяются различные трактовки понятия «рыночная стратегия развития». В широком смысле - это система долгосрочных управленческих решений и действий, направленных на достижение устойчивых конкурентных преимуществ и эффективное позиционирование компании на целевых рынках.</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Целями рыночной стратегии выступают </w:t>
      </w:r>
      <w:r w:rsidRPr="00877DE5">
        <w:rPr>
          <w:rFonts w:ascii="Times New Roman" w:eastAsia="Arial" w:hAnsi="Times New Roman" w:cs="Times New Roman"/>
          <w:color w:val="000000"/>
          <w:sz w:val="32"/>
          <w:szCs w:val="32"/>
          <w:bdr w:val="none" w:sz="0" w:space="0" w:color="E7E5E4"/>
          <w:lang w:eastAsia="ru-RU"/>
        </w:rPr>
        <w:t>наращивание рыночной доли, увеличение прибыли и выручки, формирование лояльности потребителей, повышение узнаваемости бренда и освоение новых рынков.</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color w:val="000000"/>
          <w:sz w:val="32"/>
          <w:szCs w:val="32"/>
          <w:lang w:eastAsia="ru-RU"/>
        </w:rPr>
        <w:t>В зависимости от целей и особенностей бизнеса, принято выделять следующие основные типы рыночных стратегий:</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1) </w:t>
      </w:r>
      <w:r w:rsidRPr="00877DE5">
        <w:rPr>
          <w:rFonts w:ascii="Times New Roman" w:eastAsia="Arial" w:hAnsi="Times New Roman" w:cs="Times New Roman"/>
          <w:bCs/>
          <w:color w:val="000000"/>
          <w:sz w:val="32"/>
          <w:szCs w:val="32"/>
          <w:bdr w:val="none" w:sz="0" w:space="0" w:color="E7E5E4"/>
          <w:lang w:eastAsia="ru-RU"/>
        </w:rPr>
        <w:t>Стратегия роста, как</w:t>
      </w:r>
      <w:r w:rsidRPr="00877DE5">
        <w:rPr>
          <w:rFonts w:ascii="Times New Roman" w:eastAsia="Arial" w:hAnsi="Times New Roman" w:cs="Times New Roman"/>
          <w:color w:val="000000"/>
          <w:sz w:val="32"/>
          <w:szCs w:val="32"/>
          <w:bdr w:val="none" w:sz="0" w:space="0" w:color="E7E5E4"/>
          <w:lang w:eastAsia="ru-RU"/>
        </w:rPr>
        <w:t xml:space="preserve"> расширение присутствия на рынке, увеличение объемов продаж;</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2)  </w:t>
      </w:r>
      <w:r w:rsidRPr="00877DE5">
        <w:rPr>
          <w:rFonts w:ascii="Times New Roman" w:eastAsia="Arial" w:hAnsi="Times New Roman" w:cs="Times New Roman"/>
          <w:bCs/>
          <w:color w:val="000000"/>
          <w:sz w:val="32"/>
          <w:szCs w:val="32"/>
          <w:bdr w:val="none" w:sz="0" w:space="0" w:color="E7E5E4"/>
          <w:lang w:eastAsia="ru-RU"/>
        </w:rPr>
        <w:t>Стратегия удержания,</w:t>
      </w:r>
      <w:r w:rsidRPr="00877DE5">
        <w:rPr>
          <w:rFonts w:ascii="Times New Roman" w:eastAsia="Arial" w:hAnsi="Times New Roman" w:cs="Times New Roman"/>
          <w:b/>
          <w:bCs/>
          <w:color w:val="000000"/>
          <w:sz w:val="32"/>
          <w:szCs w:val="32"/>
          <w:bdr w:val="none" w:sz="0" w:space="0" w:color="E7E5E4"/>
          <w:lang w:eastAsia="ru-RU"/>
        </w:rPr>
        <w:t xml:space="preserve"> </w:t>
      </w:r>
      <w:r w:rsidRPr="00877DE5">
        <w:rPr>
          <w:rFonts w:ascii="Times New Roman" w:eastAsia="Arial" w:hAnsi="Times New Roman" w:cs="Times New Roman"/>
          <w:bCs/>
          <w:color w:val="000000"/>
          <w:sz w:val="32"/>
          <w:szCs w:val="32"/>
          <w:bdr w:val="none" w:sz="0" w:space="0" w:color="E7E5E4"/>
          <w:lang w:eastAsia="ru-RU"/>
        </w:rPr>
        <w:t>как</w:t>
      </w:r>
      <w:r w:rsidRPr="00877DE5">
        <w:rPr>
          <w:rFonts w:ascii="Times New Roman" w:eastAsia="Arial" w:hAnsi="Times New Roman" w:cs="Times New Roman"/>
          <w:color w:val="000000"/>
          <w:sz w:val="32"/>
          <w:szCs w:val="32"/>
          <w:bdr w:val="none" w:sz="0" w:space="0" w:color="E7E5E4"/>
          <w:lang w:eastAsia="ru-RU"/>
        </w:rPr>
        <w:t xml:space="preserve"> сохранение текущих позиций и клиентской базы;</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3) </w:t>
      </w:r>
      <w:r w:rsidRPr="00877DE5">
        <w:rPr>
          <w:rFonts w:ascii="Times New Roman" w:eastAsia="Arial" w:hAnsi="Times New Roman" w:cs="Times New Roman"/>
          <w:bCs/>
          <w:color w:val="000000"/>
          <w:sz w:val="32"/>
          <w:szCs w:val="32"/>
          <w:bdr w:val="none" w:sz="0" w:space="0" w:color="E7E5E4"/>
          <w:lang w:eastAsia="ru-RU"/>
        </w:rPr>
        <w:t>Стратегия диверсификации, как</w:t>
      </w:r>
      <w:r w:rsidRPr="00877DE5">
        <w:rPr>
          <w:rFonts w:ascii="Times New Roman" w:eastAsia="Arial" w:hAnsi="Times New Roman" w:cs="Times New Roman"/>
          <w:color w:val="000000"/>
          <w:sz w:val="32"/>
          <w:szCs w:val="32"/>
          <w:bdr w:val="none" w:sz="0" w:space="0" w:color="E7E5E4"/>
          <w:lang w:eastAsia="ru-RU"/>
        </w:rPr>
        <w:t xml:space="preserve"> освоение новых сегментов, продуктов, рынков;</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4) </w:t>
      </w:r>
      <w:r w:rsidRPr="00877DE5">
        <w:rPr>
          <w:rFonts w:ascii="Times New Roman" w:eastAsia="Arial" w:hAnsi="Times New Roman" w:cs="Times New Roman"/>
          <w:bCs/>
          <w:color w:val="000000"/>
          <w:sz w:val="32"/>
          <w:szCs w:val="32"/>
          <w:bdr w:val="none" w:sz="0" w:space="0" w:color="E7E5E4"/>
          <w:lang w:eastAsia="ru-RU"/>
        </w:rPr>
        <w:t>Стратегия специализации, как</w:t>
      </w:r>
      <w:r w:rsidRPr="00877DE5">
        <w:rPr>
          <w:rFonts w:ascii="Times New Roman" w:eastAsia="Arial" w:hAnsi="Times New Roman" w:cs="Times New Roman"/>
          <w:color w:val="000000"/>
          <w:sz w:val="32"/>
          <w:szCs w:val="32"/>
          <w:bdr w:val="none" w:sz="0" w:space="0" w:color="E7E5E4"/>
          <w:lang w:eastAsia="ru-RU"/>
        </w:rPr>
        <w:t xml:space="preserve"> развитие глубокой экспертизы в выбранной нише.</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В свою очередь, инструментами реализации рыночной стратегии выступают следующие ключевые группы: </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 </w:t>
      </w:r>
      <w:r w:rsidRPr="00877DE5">
        <w:rPr>
          <w:rFonts w:ascii="Times New Roman" w:eastAsia="Arial" w:hAnsi="Times New Roman" w:cs="Times New Roman"/>
          <w:bCs/>
          <w:color w:val="000000"/>
          <w:sz w:val="32"/>
          <w:szCs w:val="32"/>
          <w:bdr w:val="none" w:sz="0" w:space="0" w:color="E7E5E4"/>
          <w:lang w:eastAsia="ru-RU"/>
        </w:rPr>
        <w:t xml:space="preserve">Маркетинговые инструменты: </w:t>
      </w:r>
      <w:r w:rsidRPr="00877DE5">
        <w:rPr>
          <w:rFonts w:ascii="Times New Roman" w:eastAsia="Arial" w:hAnsi="Times New Roman" w:cs="Times New Roman"/>
          <w:color w:val="000000"/>
          <w:sz w:val="32"/>
          <w:szCs w:val="32"/>
          <w:bdr w:val="none" w:sz="0" w:space="0" w:color="E7E5E4"/>
          <w:lang w:eastAsia="ru-RU"/>
        </w:rPr>
        <w:t>анализ и сегментация рынка, бренд -менеджмент, рекламные кампании, продвижение через различные коммуникационные каналы;</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 </w:t>
      </w:r>
      <w:r w:rsidRPr="00877DE5">
        <w:rPr>
          <w:rFonts w:ascii="Times New Roman" w:eastAsia="Arial" w:hAnsi="Times New Roman" w:cs="Times New Roman"/>
          <w:bCs/>
          <w:color w:val="000000"/>
          <w:sz w:val="32"/>
          <w:szCs w:val="32"/>
          <w:bdr w:val="none" w:sz="0" w:space="0" w:color="E7E5E4"/>
          <w:lang w:eastAsia="ru-RU"/>
        </w:rPr>
        <w:t>Инструменты управления продажами:</w:t>
      </w:r>
      <w:r w:rsidRPr="00877DE5">
        <w:rPr>
          <w:rFonts w:ascii="Times New Roman" w:eastAsia="Arial" w:hAnsi="Times New Roman" w:cs="Times New Roman"/>
          <w:b/>
          <w:color w:val="000000"/>
          <w:sz w:val="32"/>
          <w:szCs w:val="32"/>
          <w:lang w:eastAsia="ru-RU"/>
        </w:rPr>
        <w:t> </w:t>
      </w:r>
      <w:r w:rsidRPr="00877DE5">
        <w:rPr>
          <w:rFonts w:ascii="Times New Roman" w:eastAsia="Arial" w:hAnsi="Times New Roman" w:cs="Times New Roman"/>
          <w:color w:val="000000"/>
          <w:sz w:val="32"/>
          <w:szCs w:val="32"/>
          <w:bdr w:val="none" w:sz="0" w:space="0" w:color="E7E5E4"/>
          <w:lang w:eastAsia="ru-RU"/>
        </w:rPr>
        <w:t>формирование эффективных каналов сбыта, автоматизация процессов продаж, системы мотивации персонала, внедрение CRM;</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lastRenderedPageBreak/>
        <w:tab/>
        <w:t xml:space="preserve">- </w:t>
      </w:r>
      <w:r w:rsidRPr="00877DE5">
        <w:rPr>
          <w:rFonts w:ascii="Times New Roman" w:eastAsia="Arial" w:hAnsi="Times New Roman" w:cs="Times New Roman"/>
          <w:bCs/>
          <w:color w:val="000000"/>
          <w:sz w:val="32"/>
          <w:szCs w:val="32"/>
          <w:bdr w:val="none" w:sz="0" w:space="0" w:color="E7E5E4"/>
          <w:lang w:eastAsia="ru-RU"/>
        </w:rPr>
        <w:t>Инструменты управления клиентским опытом:</w:t>
      </w:r>
      <w:r w:rsidRPr="00877DE5">
        <w:rPr>
          <w:rFonts w:ascii="Times New Roman" w:eastAsia="Arial" w:hAnsi="Times New Roman" w:cs="Times New Roman"/>
          <w:color w:val="000000"/>
          <w:sz w:val="32"/>
          <w:szCs w:val="32"/>
          <w:lang w:eastAsia="ru-RU"/>
        </w:rPr>
        <w:t> </w:t>
      </w:r>
      <w:r w:rsidRPr="00877DE5">
        <w:rPr>
          <w:rFonts w:ascii="Times New Roman" w:eastAsia="Arial" w:hAnsi="Times New Roman" w:cs="Times New Roman"/>
          <w:color w:val="000000"/>
          <w:sz w:val="32"/>
          <w:szCs w:val="32"/>
          <w:bdr w:val="none" w:sz="0" w:space="0" w:color="E7E5E4"/>
          <w:lang w:eastAsia="ru-RU"/>
        </w:rPr>
        <w:t>персонализация обслуживания, программы лояльности, обработка и анализ обратной связи;</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 </w:t>
      </w:r>
      <w:r w:rsidRPr="00877DE5">
        <w:rPr>
          <w:rFonts w:ascii="Times New Roman" w:eastAsia="Arial" w:hAnsi="Times New Roman" w:cs="Times New Roman"/>
          <w:bCs/>
          <w:color w:val="000000"/>
          <w:sz w:val="32"/>
          <w:szCs w:val="32"/>
          <w:bdr w:val="none" w:sz="0" w:space="0" w:color="E7E5E4"/>
          <w:lang w:eastAsia="ru-RU"/>
        </w:rPr>
        <w:t>Цифровые инструменты:</w:t>
      </w:r>
      <w:r w:rsidRPr="00877DE5">
        <w:rPr>
          <w:rFonts w:ascii="Times New Roman" w:eastAsia="Arial" w:hAnsi="Times New Roman" w:cs="Times New Roman"/>
          <w:color w:val="000000"/>
          <w:sz w:val="32"/>
          <w:szCs w:val="32"/>
          <w:lang w:eastAsia="ru-RU"/>
        </w:rPr>
        <w:t> </w:t>
      </w:r>
      <w:r w:rsidRPr="00877DE5">
        <w:rPr>
          <w:rFonts w:ascii="Times New Roman" w:eastAsia="Arial" w:hAnsi="Times New Roman" w:cs="Times New Roman"/>
          <w:color w:val="000000"/>
          <w:sz w:val="32"/>
          <w:szCs w:val="32"/>
          <w:bdr w:val="none" w:sz="0" w:space="0" w:color="E7E5E4"/>
          <w:lang w:eastAsia="ru-RU"/>
        </w:rPr>
        <w:t>использование Big Data, цифрового маркетинга (SEO, SMM, таргетинг), автоматизация бизнес - процессов, внедрение онлайн - платформ и мобильных приложений.</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color w:val="000000"/>
          <w:sz w:val="32"/>
          <w:szCs w:val="32"/>
          <w:lang w:eastAsia="ru-RU"/>
        </w:rPr>
        <w:t>Эффективность применения инструментов определяется их способностью интегрироваться в единую систему, поддерживать стратегические цели и быстро адаптироваться к изменениям рынка.</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В свою очередь, среди современных концептуальных подходов к реализации </w:t>
      </w:r>
      <w:r w:rsidRPr="00877DE5">
        <w:rPr>
          <w:rFonts w:ascii="Times New Roman" w:eastAsia="Arial" w:hAnsi="Times New Roman" w:cs="Times New Roman"/>
          <w:color w:val="000000"/>
          <w:sz w:val="32"/>
          <w:szCs w:val="32"/>
          <w:bdr w:val="none" w:sz="0" w:space="0" w:color="E7E5E4"/>
          <w:lang w:eastAsia="ru-RU"/>
        </w:rPr>
        <w:t xml:space="preserve">рыночной стратегии можно выделить концепции ориентации на клиента, </w:t>
      </w:r>
      <w:r w:rsidRPr="00877DE5">
        <w:rPr>
          <w:rFonts w:ascii="Times New Roman" w:eastAsia="Arial" w:hAnsi="Times New Roman" w:cs="Times New Roman"/>
          <w:bCs/>
          <w:color w:val="000000"/>
          <w:sz w:val="32"/>
          <w:szCs w:val="32"/>
          <w:lang w:eastAsia="ru-RU"/>
        </w:rPr>
        <w:t xml:space="preserve">Agile - стратегии и цифровую трансформацию. </w:t>
      </w:r>
      <w:r w:rsidRPr="00877DE5">
        <w:rPr>
          <w:rFonts w:ascii="Times New Roman" w:eastAsia="Arial" w:hAnsi="Times New Roman" w:cs="Times New Roman"/>
          <w:bCs/>
          <w:color w:val="000000"/>
          <w:sz w:val="32"/>
          <w:szCs w:val="32"/>
          <w:lang w:eastAsia="ru-RU"/>
        </w:rPr>
        <w:br/>
      </w:r>
      <w:r w:rsidRPr="00877DE5">
        <w:rPr>
          <w:rFonts w:ascii="Times New Roman" w:eastAsia="Arial" w:hAnsi="Times New Roman" w:cs="Times New Roman"/>
          <w:bCs/>
          <w:color w:val="000000"/>
          <w:sz w:val="32"/>
          <w:szCs w:val="32"/>
          <w:lang w:eastAsia="ru-RU"/>
        </w:rPr>
        <w:tab/>
      </w:r>
      <w:r w:rsidRPr="00877DE5">
        <w:rPr>
          <w:rFonts w:ascii="Times New Roman" w:eastAsia="Arial" w:hAnsi="Times New Roman" w:cs="Times New Roman"/>
          <w:bCs/>
          <w:color w:val="000000"/>
          <w:sz w:val="32"/>
          <w:szCs w:val="32"/>
          <w:bdr w:val="none" w:sz="0" w:space="0" w:color="E7E5E4"/>
          <w:lang w:eastAsia="ru-RU"/>
        </w:rPr>
        <w:t>Ориентация на клиента (customer centricity) - это</w:t>
      </w:r>
      <w:r w:rsidRPr="00877DE5">
        <w:rPr>
          <w:rFonts w:ascii="Times New Roman" w:eastAsia="Arial" w:hAnsi="Times New Roman" w:cs="Times New Roman"/>
          <w:color w:val="000000"/>
          <w:sz w:val="32"/>
          <w:szCs w:val="32"/>
          <w:lang w:eastAsia="ru-RU"/>
        </w:rPr>
        <w:t> </w:t>
      </w:r>
      <w:r w:rsidRPr="00877DE5">
        <w:rPr>
          <w:rFonts w:ascii="Times New Roman" w:eastAsia="Arial" w:hAnsi="Times New Roman" w:cs="Times New Roman"/>
          <w:color w:val="000000"/>
          <w:sz w:val="32"/>
          <w:szCs w:val="32"/>
          <w:bdr w:val="none" w:sz="0" w:space="0" w:color="E7E5E4"/>
          <w:lang w:eastAsia="ru-RU"/>
        </w:rPr>
        <w:t>построение стратегии вокруг потребностей клиента, максимальное внимание к качеству и персонализации сервисов.</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bCs/>
          <w:color w:val="000000"/>
          <w:sz w:val="32"/>
          <w:szCs w:val="32"/>
          <w:bdr w:val="none" w:sz="0" w:space="0" w:color="E7E5E4"/>
          <w:lang w:eastAsia="ru-RU"/>
        </w:rPr>
        <w:t>Agile - стратегии, то есть</w:t>
      </w:r>
      <w:r w:rsidRPr="00877DE5">
        <w:rPr>
          <w:rFonts w:ascii="Times New Roman" w:eastAsia="Arial" w:hAnsi="Times New Roman" w:cs="Times New Roman"/>
          <w:b/>
          <w:bCs/>
          <w:color w:val="000000"/>
          <w:sz w:val="32"/>
          <w:szCs w:val="32"/>
          <w:bdr w:val="none" w:sz="0" w:space="0" w:color="E7E5E4"/>
          <w:lang w:eastAsia="ru-RU"/>
        </w:rPr>
        <w:t xml:space="preserve"> </w:t>
      </w:r>
      <w:r w:rsidRPr="00877DE5">
        <w:rPr>
          <w:rFonts w:ascii="Times New Roman" w:eastAsia="Arial" w:hAnsi="Times New Roman" w:cs="Times New Roman"/>
          <w:color w:val="000000"/>
          <w:sz w:val="32"/>
          <w:szCs w:val="32"/>
          <w:bdr w:val="none" w:sz="0" w:space="0" w:color="E7E5E4"/>
          <w:lang w:eastAsia="ru-RU"/>
        </w:rPr>
        <w:t>гибкое управление проектами и стратегическими инициативами, быстрая корректировка инструментов в ответ на изменения среды.</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bCs/>
          <w:color w:val="000000"/>
          <w:sz w:val="32"/>
          <w:szCs w:val="32"/>
          <w:bdr w:val="none" w:sz="0" w:space="0" w:color="E7E5E4"/>
          <w:lang w:eastAsia="ru-RU"/>
        </w:rPr>
        <w:t>Цифровая трансформация - это</w:t>
      </w:r>
      <w:r w:rsidRPr="00877DE5">
        <w:rPr>
          <w:rFonts w:ascii="Times New Roman" w:eastAsia="Arial" w:hAnsi="Times New Roman" w:cs="Times New Roman"/>
          <w:b/>
          <w:bCs/>
          <w:color w:val="000000"/>
          <w:sz w:val="32"/>
          <w:szCs w:val="32"/>
          <w:bdr w:val="none" w:sz="0" w:space="0" w:color="E7E5E4"/>
          <w:lang w:eastAsia="ru-RU"/>
        </w:rPr>
        <w:t xml:space="preserve"> </w:t>
      </w:r>
      <w:r w:rsidRPr="00877DE5">
        <w:rPr>
          <w:rFonts w:ascii="Times New Roman" w:eastAsia="Arial" w:hAnsi="Times New Roman" w:cs="Times New Roman"/>
          <w:color w:val="000000"/>
          <w:sz w:val="32"/>
          <w:szCs w:val="32"/>
          <w:bdr w:val="none" w:sz="0" w:space="0" w:color="E7E5E4"/>
          <w:lang w:eastAsia="ru-RU"/>
        </w:rPr>
        <w:t>массовое внедрение цифровых решений, автоматизация бизнес - процессов, использование сквозной аналитики для принятия решений.</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r>
      <w:r w:rsidRPr="00877DE5">
        <w:rPr>
          <w:rFonts w:ascii="Times New Roman" w:eastAsia="Arial" w:hAnsi="Times New Roman" w:cs="Times New Roman"/>
          <w:color w:val="000000"/>
          <w:sz w:val="32"/>
          <w:szCs w:val="32"/>
          <w:lang w:eastAsia="ru-RU"/>
        </w:rPr>
        <w:t>Каждая из вышеперечисленных концепций позволяет компаниям повысить скорость реагирования на рыночные изменения, снизить операционные риски и усилить конкурентные позиции.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r>
      <w:r w:rsidRPr="00877DE5">
        <w:rPr>
          <w:rFonts w:ascii="Times New Roman" w:eastAsia="Arial" w:hAnsi="Times New Roman" w:cs="Times New Roman"/>
          <w:color w:val="000000"/>
          <w:sz w:val="32"/>
          <w:szCs w:val="32"/>
          <w:bdr w:val="none" w:sz="0" w:space="0" w:color="E7E5E4"/>
          <w:lang w:eastAsia="ru-RU"/>
        </w:rPr>
        <w:t>Примерами успешного совершенствования инструментов реализации рыночной стратегии в РФ выступают такие компании как:</w:t>
      </w:r>
      <w:r w:rsidRPr="00877DE5">
        <w:rPr>
          <w:rFonts w:ascii="Times New Roman" w:eastAsia="Arial" w:hAnsi="Times New Roman" w:cs="Times New Roman"/>
          <w:color w:val="000000"/>
          <w:sz w:val="32"/>
          <w:szCs w:val="32"/>
          <w:bdr w:val="none" w:sz="0" w:space="0" w:color="E7E5E4"/>
          <w:lang w:eastAsia="ru-RU"/>
        </w:rPr>
        <w:br/>
      </w:r>
      <w:r w:rsidRPr="00877DE5">
        <w:rPr>
          <w:rFonts w:ascii="Times New Roman" w:eastAsia="Arial" w:hAnsi="Times New Roman" w:cs="Times New Roman"/>
          <w:color w:val="000000"/>
          <w:sz w:val="32"/>
          <w:szCs w:val="32"/>
          <w:bdr w:val="none" w:sz="0" w:space="0" w:color="E7E5E4"/>
          <w:lang w:eastAsia="ru-RU"/>
        </w:rPr>
        <w:tab/>
        <w:t xml:space="preserve">1) </w:t>
      </w:r>
      <w:r w:rsidRPr="00877DE5">
        <w:rPr>
          <w:rFonts w:ascii="Times New Roman" w:eastAsia="Arial" w:hAnsi="Times New Roman" w:cs="Times New Roman"/>
          <w:color w:val="000000"/>
          <w:sz w:val="32"/>
          <w:szCs w:val="32"/>
          <w:lang w:eastAsia="ru-RU"/>
        </w:rPr>
        <w:t>Wildberries - крупнейший российский маркетплейс, за последние годы продемонстрировал пример эффективной цифровой трансформации бизнес - процессов. Компания активно внедряет собственные цифровые инструменты: автоматизированные системы управления ассортиментом, персонализированные рекомендации на основе анализа больших данных, инновационные логистические решения. В результате интеграции маркетинга, продаж и клиентского сервиса в единую платформу Wildberries удалось значительно ускорить процессы обработки заказов, повысить удовлетворенность клиентов и укрепить лидерские позиции на рынке электронной коммерции. Особое внимание уделяется сбору и анализу обратной связи, что позволяет компании оперативно выявлять новые запросы клиентов и своевременно корректировать стратегию продвижения.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lastRenderedPageBreak/>
        <w:tab/>
        <w:t>2) Группа компаний «Самокат» — один из пионеров экспресс -доставки продуктов в России. С момента основания компания сделала ставку на инновационные цифровые инструменты: мобильное приложение с персонализацией интерфейса, интеграция с электронными платежными системами, использование искусственного интеллекта для оптимизации маршрутов курьеров и управления складскими запасами.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Для повышения лояльности «Самокат» разработал гибкие программы бонусов, а также активно использует аналитику потребительских предпочтений для формирования индивидуальных предложений. Благодаря интеграции цифровых и клиентских инструментов компания смогла быстро масштабировать бизнес, расширить географию присутствия и занять значимую долю на рынке экспресс - доставки. Постоянное совершенствование инструментов, ориентация на качество клиентского опыта и быстрая адаптация к меняющимся условиям стали ключевыми факторами успеха «Самоката».</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3) Госкорпорация «Росатом» на протяжении последних лет реализует стратегию цифровой трансформации производственных и управленческих процессов. В компании внедрены современные ERP - системы, платформы для управления знаниями, активно используются инструменты проектного управления на принципах agile.</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 рамках цифрового развития «Росатом» создал собственные центры компетенций по аналитике данных и автоматизации, что позволило существенно повысить эффективность реализации инновационных проектов и ускорить вывод новых продуктов на рынок. Особое внимание уделяется обучению персонала новым технологиям и созданию внутренней среды, стимулирующей инновации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 условиях ускоряющихся рыночных изменений и цифровизации для российских компаний важно не просто внедрять современные инструменты, но и адаптировать их к собственной специфике, интегрировать в единую систему стратегического управления.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 частности, необходимо формировать единую цифровую платформу, объединяющую маркетинг, продажи, аналитику и клиентский сервис. Это обеспечит целостность данных, ускорит принятие решений и повысит прозрачность бизнес - процессов.</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Безусловно, уровень эффективность инструментов во многом зависит от качества квалифицированности сотрудников. </w:t>
      </w:r>
      <w:r w:rsidRPr="00877DE5">
        <w:rPr>
          <w:rFonts w:ascii="Times New Roman" w:eastAsia="Arial" w:hAnsi="Times New Roman" w:cs="Times New Roman"/>
          <w:color w:val="000000"/>
          <w:sz w:val="32"/>
          <w:szCs w:val="32"/>
          <w:lang w:eastAsia="ru-RU"/>
        </w:rPr>
        <w:lastRenderedPageBreak/>
        <w:t>Рекомендуется регулярно повышать квалификацию персонала, внедрять программы внутреннего обучения новым технологиям, поощрять обмен опытом между подразделениями.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Все большее использование agile - подходов позволяет оперативно реагировать на изменения рынка, тестировать новые решения и быстро масштабировать успешные практики.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Также безусловно рекомендуется внимательно анализировать клиентский путь, собирать обратную связь, разрабатывать персонализированные предложения и программы лояльности. Это повысит удержание клиентов и создаст долгосрочные конкурентные преимущества.</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Для компаний, реализующих стратегию роста, приоритет - цифровой маркетинг и расширение каналов продаж. Для специализации - экспертный контент и нишевые программы лояльности. Диверсификация требует активного анализа новых рынков и продуктового тестирования.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Проведённое исследование подтверждает, что совершенствование инструментов реализации рыночной стратегии становится одной из ключевых задач для компаний, ориентированных на долгосрочное развитие и укрепление позиций в условиях современной российской экономики. Динамика внешней среды, быстрая эволюция технологий и изменяющиеся ожидания потребителей требуют не только пересмотра стратегических приоритетов, но и постоянного обновления инструментального арсенала бизнеса.</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Анализ теоретических подходов и практического опыта ведущих российских компаний позволяет нам сделать ряд принципиально важных выводов.</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Во-первых, классические инструменты маркетинга и управления продажами, сохраняют свою актуальность, однако их эффективность напрямую зависит от степени интеграции с цифровыми технологиями. Только системное, сквозное использование инструментов аналитики, автоматизации процессов и цифровых коммуникаций даёт возможность выстраивать действительно адаптивные и устойчивые стратегические решения.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Во-вторых, примеры компаний Wildberries, ГК «Самокат» и «Росатом» наглядно показывают, что лидерство на рынке сегодня обеспечивается не объемом инвестиций, а умением быстро внедрять инновационные инструменты, грамотно сочетать различные подходы </w:t>
      </w:r>
      <w:r w:rsidRPr="00877DE5">
        <w:rPr>
          <w:rFonts w:ascii="Times New Roman" w:eastAsia="Arial" w:hAnsi="Times New Roman" w:cs="Times New Roman"/>
          <w:color w:val="000000"/>
          <w:sz w:val="32"/>
          <w:szCs w:val="32"/>
          <w:lang w:eastAsia="ru-RU"/>
        </w:rPr>
        <w:lastRenderedPageBreak/>
        <w:t>и создавать уникальный клиентский опыт. Внедрение собственных платформ, ориентация на персонализацию, развитие уникальных коммуникаций и глубокая аналитика позволяют не только увеличивать рыночную долю, но и формировать новые стандарты отрасли.</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В-третьих, российский бизнес сталкивается с целым рядом уникальных вызовов: ограничением доступа к зарубежным IT - решениям, дефицитом компетенций в области цифровых технологий, разрывами в интеграции инструментов между различными подразделениями. Эти специфические факторы требуют поиска оригинальных решений, развития внутренних компетенций и создания гибких организационных структур, способных быстро реагировать на внешние и внутренние изменения.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В-четвёртых, для эффективной реализации стратегии особое значение приобретает развитие кадрового потенциала. Компании, инвестирующие в обучение и переквалификацию персонала, получают возможность ускоренного внедрения современных инструментов и снижают риски, связанные с технологическими изменениями. Создание корпоративной культуры, ориентированной на инновации и постоянное улучшение, становится существенным конкурентным преимуществом.</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В-пятых, существенное значение имеет регулярная оценка эффективности применяемых инструментов. Только системный мониторинг, внедрение KPI и обратной связи позволяют своевременно выявлять точки роста и корректировать стратегию на всех этапах её реализации. Важно не просто внедрять новые инструменты, а обеспечивать их адаптацию к специфике бизнеса и целям компании, что требует тесного взаимодействия между стратегическим и операционным уровнями управления.</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Перспективы дальнейших исследований и практического применения заключаются в разработке методик быстрой адаптации инструментов под отраслевую специфику, создании типовых сценариев цифровой трансформации для малых и средних предприятий, а также в выстраивании механизмов эффективного сотрудничества бизнеса, науки и государства в области развития рыночных стратегий.</w:t>
      </w:r>
      <w:r w:rsidRPr="00877DE5">
        <w:rPr>
          <w:rFonts w:ascii="Times New Roman" w:eastAsia="Arial" w:hAnsi="Times New Roman" w:cs="Times New Roman"/>
          <w:color w:val="000000"/>
          <w:sz w:val="32"/>
          <w:szCs w:val="32"/>
          <w:lang w:eastAsia="ru-RU"/>
        </w:rPr>
        <w:br/>
      </w:r>
      <w:r w:rsidRPr="00877DE5">
        <w:rPr>
          <w:rFonts w:ascii="Times New Roman" w:eastAsia="Arial" w:hAnsi="Times New Roman" w:cs="Times New Roman"/>
          <w:color w:val="000000"/>
          <w:sz w:val="32"/>
          <w:szCs w:val="32"/>
          <w:lang w:eastAsia="ru-RU"/>
        </w:rPr>
        <w:tab/>
        <w:t xml:space="preserve">Таким образом, совершенствование инструментов реализации рыночной стратегии - это не разовый проект, а непрерывный процесс, требующий стратегического видения, готовности к переменам и постоянной работы над развитием внутреннего потенциала. Обобщая, </w:t>
      </w:r>
      <w:r w:rsidRPr="00877DE5">
        <w:rPr>
          <w:rFonts w:ascii="Times New Roman" w:eastAsia="Arial" w:hAnsi="Times New Roman" w:cs="Times New Roman"/>
          <w:color w:val="000000"/>
          <w:sz w:val="32"/>
          <w:szCs w:val="32"/>
          <w:lang w:eastAsia="ru-RU"/>
        </w:rPr>
        <w:lastRenderedPageBreak/>
        <w:t xml:space="preserve">можно утверждать, что </w:t>
      </w:r>
      <w:r w:rsidRPr="00877DE5">
        <w:rPr>
          <w:rFonts w:ascii="Times New Roman" w:eastAsia="Arial" w:hAnsi="Times New Roman" w:cs="Times New Roman"/>
          <w:color w:val="000000"/>
          <w:sz w:val="32"/>
          <w:szCs w:val="32"/>
          <w:bdr w:val="none" w:sz="0" w:space="0" w:color="E7E5E4"/>
          <w:lang w:eastAsia="ru-RU"/>
        </w:rPr>
        <w:t>к</w:t>
      </w:r>
      <w:r w:rsidRPr="00877DE5">
        <w:rPr>
          <w:rFonts w:ascii="Times New Roman" w:eastAsia="Arial" w:hAnsi="Times New Roman" w:cs="Times New Roman"/>
          <w:color w:val="000000"/>
          <w:sz w:val="32"/>
          <w:szCs w:val="32"/>
          <w:lang w:eastAsia="ru-RU"/>
        </w:rPr>
        <w:t>омпании, которые делают ставку на постоянное совершенствование инструментов и их интеграцию в единую стратегическую систему, обеспечивают себе не только устойчивость в условиях турбулентной среды, но и возможность опережать конкурентов, задавать новые стандарты отрасли и формировать долгосрочную ценность для клиентов и общества. Только такой подход позволит российскому бизнесу успешно преодолевать вызовы времени и реализовывать амбициозные планы роста.</w:t>
      </w:r>
    </w:p>
    <w:p w14:paraId="028558F2" w14:textId="77777777" w:rsidR="00877DE5" w:rsidRPr="00877DE5" w:rsidRDefault="00877DE5" w:rsidP="00067100">
      <w:pPr>
        <w:pBdr>
          <w:top w:val="none" w:sz="0" w:space="0" w:color="E7E5E4"/>
          <w:left w:val="none" w:sz="0" w:space="0" w:color="E7E5E4"/>
          <w:bottom w:val="none" w:sz="0" w:space="0" w:color="E7E5E4"/>
          <w:right w:val="none" w:sz="0" w:space="0" w:color="E7E5E4"/>
        </w:pBdr>
        <w:spacing w:after="0" w:line="240" w:lineRule="auto"/>
        <w:ind w:firstLine="709"/>
        <w:jc w:val="both"/>
        <w:rPr>
          <w:rFonts w:ascii="Times New Roman" w:eastAsia="Arial" w:hAnsi="Times New Roman" w:cs="Times New Roman"/>
          <w:color w:val="000000"/>
          <w:sz w:val="21"/>
          <w:szCs w:val="21"/>
          <w:lang w:eastAsia="ru-RU"/>
        </w:rPr>
      </w:pPr>
    </w:p>
    <w:p w14:paraId="50B1EBDE" w14:textId="77777777" w:rsidR="00877DE5" w:rsidRPr="00877DE5" w:rsidRDefault="00877DE5" w:rsidP="00067100">
      <w:pPr>
        <w:pBdr>
          <w:top w:val="none" w:sz="0" w:space="0" w:color="E7E5E4"/>
          <w:left w:val="none" w:sz="0" w:space="0" w:color="E7E5E4"/>
          <w:bottom w:val="none" w:sz="0" w:space="0" w:color="E7E5E4"/>
          <w:right w:val="none" w:sz="0" w:space="0" w:color="E7E5E4"/>
        </w:pBdr>
        <w:spacing w:after="0" w:line="240" w:lineRule="auto"/>
        <w:ind w:firstLine="709"/>
        <w:jc w:val="center"/>
        <w:rPr>
          <w:rFonts w:ascii="Times New Roman" w:eastAsia="Arial" w:hAnsi="Times New Roman" w:cs="Times New Roman"/>
          <w:b/>
          <w:bCs/>
          <w:color w:val="000000"/>
          <w:sz w:val="21"/>
          <w:szCs w:val="21"/>
          <w:lang w:eastAsia="ru-RU"/>
        </w:rPr>
      </w:pPr>
      <w:r w:rsidRPr="00877DE5">
        <w:rPr>
          <w:rFonts w:ascii="Times New Roman" w:eastAsia="Arial" w:hAnsi="Times New Roman" w:cs="Times New Roman"/>
          <w:b/>
          <w:bCs/>
          <w:color w:val="000000"/>
          <w:sz w:val="21"/>
          <w:szCs w:val="21"/>
          <w:lang w:eastAsia="ru-RU"/>
        </w:rPr>
        <w:t>Литература:</w:t>
      </w:r>
    </w:p>
    <w:p w14:paraId="54B28714" w14:textId="77777777" w:rsidR="00877DE5" w:rsidRPr="00877DE5" w:rsidRDefault="00877DE5" w:rsidP="009E5150">
      <w:pPr>
        <w:pBdr>
          <w:top w:val="none" w:sz="0" w:space="0" w:color="E7E5E4"/>
          <w:left w:val="none" w:sz="0" w:space="0" w:color="E7E5E4"/>
          <w:bottom w:val="none" w:sz="0" w:space="0" w:color="E7E5E4"/>
          <w:right w:val="none" w:sz="0" w:space="0" w:color="E7E5E4"/>
        </w:pBdr>
        <w:spacing w:after="0" w:line="240" w:lineRule="auto"/>
        <w:jc w:val="both"/>
        <w:rPr>
          <w:rFonts w:ascii="Times New Roman" w:eastAsia="Arial" w:hAnsi="Times New Roman" w:cs="Times New Roman"/>
          <w:color w:val="000000"/>
          <w:sz w:val="21"/>
          <w:szCs w:val="21"/>
          <w:lang w:eastAsia="ru-RU"/>
        </w:rPr>
      </w:pPr>
      <w:r w:rsidRPr="00877DE5">
        <w:rPr>
          <w:rFonts w:ascii="Times New Roman" w:eastAsia="Arial" w:hAnsi="Times New Roman" w:cs="Times New Roman"/>
          <w:color w:val="000000"/>
          <w:sz w:val="21"/>
          <w:szCs w:val="21"/>
          <w:lang w:eastAsia="ru-RU"/>
        </w:rPr>
        <w:t xml:space="preserve">1. Власова, В.М. Цифровые платформы как инструмент реализации рыночной стратегии // Российское предпринимательство. - 2022. - Т. 23, № 10. 3. Гришина, Е.В., Моисеева, Н.К. Цифровая трансформация рыночных стратегий компаний // Менеджмент в России и за рубежом. - 2021. - № 6. </w:t>
      </w:r>
      <w:r w:rsidRPr="00877DE5">
        <w:rPr>
          <w:rFonts w:ascii="Times New Roman" w:eastAsia="Arial" w:hAnsi="Times New Roman" w:cs="Times New Roman"/>
          <w:color w:val="000000"/>
          <w:sz w:val="21"/>
          <w:szCs w:val="21"/>
          <w:lang w:eastAsia="ru-RU"/>
        </w:rPr>
        <w:br/>
        <w:t xml:space="preserve">2. Гусева, Н.И. Рыночные стратегии российских компаний в условиях цифровизации // Вестник Томского государственного университета. Экономика. - 2021. - № 55. </w:t>
      </w:r>
      <w:r w:rsidRPr="00877DE5">
        <w:rPr>
          <w:rFonts w:ascii="Times New Roman" w:eastAsia="Arial" w:hAnsi="Times New Roman" w:cs="Times New Roman"/>
          <w:color w:val="000000"/>
          <w:sz w:val="21"/>
          <w:szCs w:val="21"/>
          <w:lang w:eastAsia="ru-RU"/>
        </w:rPr>
        <w:br/>
        <w:t>3. Солодова, Н.Д. Инновационные методы формирования рыночных стратегий предприятий // Управление экономическими системами: электронный научный журнал. - 2023.</w:t>
      </w:r>
      <w:r w:rsidRPr="00877DE5">
        <w:rPr>
          <w:rFonts w:ascii="Times New Roman" w:eastAsia="Arial" w:hAnsi="Times New Roman" w:cs="Times New Roman"/>
          <w:color w:val="000000"/>
          <w:sz w:val="21"/>
          <w:szCs w:val="21"/>
          <w:lang w:eastAsia="ru-RU"/>
        </w:rPr>
        <w:br/>
        <w:t xml:space="preserve">4. Киселева, О.В., Сорокина, Е.Ю. Трансформация маркетинговых инструментов в эпоху цифровой экономики // Маркетинг и маркетинговые исследования. - 2020. </w:t>
      </w:r>
      <w:r w:rsidRPr="00877DE5">
        <w:rPr>
          <w:rFonts w:ascii="Times New Roman" w:eastAsia="Arial" w:hAnsi="Times New Roman" w:cs="Times New Roman"/>
          <w:color w:val="000000"/>
          <w:sz w:val="21"/>
          <w:szCs w:val="21"/>
          <w:lang w:eastAsia="ru-RU"/>
        </w:rPr>
        <w:br/>
        <w:t>5. Савицкая, Г.В. Современные инструменты повышения эффективности бизнеса // Экономика. Предпринимательство. Право. - 2022. - Т. 12.</w:t>
      </w:r>
    </w:p>
    <w:p w14:paraId="5FF4FC88" w14:textId="77777777" w:rsidR="00877DE5" w:rsidRPr="00877DE5" w:rsidRDefault="00877DE5" w:rsidP="00067100">
      <w:pPr>
        <w:pBdr>
          <w:top w:val="none" w:sz="0" w:space="0" w:color="E7E5E4"/>
          <w:left w:val="none" w:sz="0" w:space="0" w:color="E7E5E4"/>
          <w:bottom w:val="none" w:sz="0" w:space="0" w:color="E7E5E4"/>
          <w:right w:val="none" w:sz="0" w:space="0" w:color="E7E5E4"/>
        </w:pBdr>
        <w:spacing w:after="0" w:line="240" w:lineRule="auto"/>
        <w:ind w:firstLine="709"/>
        <w:jc w:val="both"/>
        <w:rPr>
          <w:rFonts w:ascii="Times New Roman" w:eastAsia="sans-serif" w:hAnsi="Times New Roman" w:cs="Times New Roman"/>
          <w:b/>
          <w:bCs/>
          <w:color w:val="000000"/>
          <w:sz w:val="21"/>
          <w:szCs w:val="21"/>
          <w:shd w:val="clear" w:color="auto" w:fill="FFFFFF"/>
          <w:lang w:eastAsia="ru-RU"/>
        </w:rPr>
      </w:pPr>
    </w:p>
    <w:p w14:paraId="5488C752" w14:textId="77777777" w:rsidR="00877DE5" w:rsidRPr="00877DE5" w:rsidRDefault="00877DE5" w:rsidP="009E51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jc w:val="both"/>
        <w:rPr>
          <w:rFonts w:ascii="Times New Roman" w:eastAsia="Times New Roman" w:hAnsi="Times New Roman" w:cs="Times New Roman"/>
          <w:b/>
          <w:bCs/>
          <w:sz w:val="21"/>
          <w:szCs w:val="21"/>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14:textOutline w14:w="12700" w14:cap="flat" w14:cmpd="sng" w14:algn="ctr">
            <w14:noFill/>
            <w14:prstDash w14:val="solid"/>
            <w14:miter w14:lim="400000"/>
          </w14:textOutline>
        </w:rPr>
        <w:t>УДК 65</w:t>
      </w:r>
    </w:p>
    <w:p w14:paraId="1E536D6E"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bookmarkStart w:id="77" w:name="_Hlk34397816"/>
      <w:r w:rsidRPr="00877DE5">
        <w:rPr>
          <w:rFonts w:ascii="Times New Roman" w:eastAsia="Helvetica Neue"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t>Попова Д. Р.,</w:t>
      </w:r>
    </w:p>
    <w:p w14:paraId="0199EA3C" w14:textId="17002AEB"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студент </w:t>
      </w:r>
      <w:r w:rsidR="009E5150">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3</w:t>
      </w: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 курса</w:t>
      </w:r>
    </w:p>
    <w:p w14:paraId="08BBA809"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Краснодарский филиал ФГОБУ ВО «Финансовый университет при Правительстве РФ»</w:t>
      </w:r>
    </w:p>
    <w:p w14:paraId="222A2981"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г. Краснодар, Россия</w:t>
      </w:r>
    </w:p>
    <w:p w14:paraId="4686FCBD" w14:textId="7C7B456C"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e</w:t>
      </w: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mail</w:t>
      </w: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w:t>
      </w:r>
      <w:r w:rsidR="009E5150">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i/>
          <w:iCs/>
          <w:color w:val="000000"/>
          <w:sz w:val="21"/>
          <w:szCs w:val="21"/>
          <w:u w:color="0563C1"/>
          <w:bdr w:val="nil"/>
          <w:lang w:eastAsia="ru-RU"/>
          <w14:textOutline w14:w="12700" w14:cap="flat" w14:cmpd="sng" w14:algn="ctr">
            <w14:noFill/>
            <w14:prstDash w14:val="solid"/>
            <w14:miter w14:lim="400000"/>
          </w14:textOutline>
        </w:rPr>
        <w:t>d</w:t>
      </w:r>
      <w:r w:rsidRPr="00877DE5">
        <w:rPr>
          <w:rFonts w:ascii="Times New Roman" w:eastAsia="Helvetica Neue" w:hAnsi="Times New Roman" w:cs="Times New Roman"/>
          <w:i/>
          <w:iCs/>
          <w:color w:val="000000"/>
          <w:sz w:val="21"/>
          <w:szCs w:val="21"/>
          <w:u w:color="0563C1"/>
          <w:bdr w:val="nil"/>
          <w:lang w:val="en-US" w:eastAsia="ru-RU"/>
          <w14:textOutline w14:w="12700" w14:cap="flat" w14:cmpd="sng" w14:algn="ctr">
            <w14:noFill/>
            <w14:prstDash w14:val="solid"/>
            <w14:miter w14:lim="400000"/>
          </w14:textOutline>
        </w:rPr>
        <w:t>ar</w:t>
      </w:r>
      <w:r w:rsidRPr="00877DE5">
        <w:rPr>
          <w:rFonts w:ascii="Times New Roman" w:eastAsia="Helvetica Neue" w:hAnsi="Times New Roman" w:cs="Times New Roman"/>
          <w:i/>
          <w:iCs/>
          <w:color w:val="000000"/>
          <w:sz w:val="21"/>
          <w:szCs w:val="21"/>
          <w:u w:color="0563C1"/>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i/>
          <w:iCs/>
          <w:color w:val="000000"/>
          <w:sz w:val="21"/>
          <w:szCs w:val="21"/>
          <w:u w:color="0563C1"/>
          <w:bdr w:val="nil"/>
          <w:lang w:val="en-US" w:eastAsia="ru-RU"/>
          <w14:textOutline w14:w="12700" w14:cap="flat" w14:cmpd="sng" w14:algn="ctr">
            <w14:noFill/>
            <w14:prstDash w14:val="solid"/>
            <w14:miter w14:lim="400000"/>
          </w14:textOutline>
        </w:rPr>
        <w:t>roman</w:t>
      </w:r>
      <w:r w:rsidRPr="00877DE5">
        <w:rPr>
          <w:rFonts w:ascii="Times New Roman" w:eastAsia="Helvetica Neue" w:hAnsi="Times New Roman" w:cs="Times New Roman"/>
          <w:i/>
          <w:iCs/>
          <w:color w:val="000000"/>
          <w:sz w:val="21"/>
          <w:szCs w:val="21"/>
          <w:u w:color="0563C1"/>
          <w:bdr w:val="nil"/>
          <w:lang w:eastAsia="ru-RU"/>
          <w14:textOutline w14:w="12700" w14:cap="flat" w14:cmpd="sng" w14:algn="ctr">
            <w14:noFill/>
            <w14:prstDash w14:val="solid"/>
            <w14:miter w14:lim="400000"/>
          </w14:textOutline>
        </w:rPr>
        <w:t>0501@</w:t>
      </w:r>
      <w:r w:rsidRPr="00877DE5">
        <w:rPr>
          <w:rFonts w:ascii="Times New Roman" w:eastAsia="Helvetica Neue" w:hAnsi="Times New Roman" w:cs="Times New Roman"/>
          <w:i/>
          <w:iCs/>
          <w:color w:val="000000"/>
          <w:sz w:val="21"/>
          <w:szCs w:val="21"/>
          <w:u w:color="0563C1"/>
          <w:bdr w:val="nil"/>
          <w:lang w:val="en-US" w:eastAsia="ru-RU"/>
          <w14:textOutline w14:w="12700" w14:cap="flat" w14:cmpd="sng" w14:algn="ctr">
            <w14:noFill/>
            <w14:prstDash w14:val="solid"/>
            <w14:miter w14:lim="400000"/>
          </w14:textOutline>
        </w:rPr>
        <w:t>gmail</w:t>
      </w:r>
      <w:r w:rsidRPr="00877DE5">
        <w:rPr>
          <w:rFonts w:ascii="Times New Roman" w:eastAsia="Helvetica Neue" w:hAnsi="Times New Roman" w:cs="Times New Roman"/>
          <w:i/>
          <w:iCs/>
          <w:color w:val="000000"/>
          <w:sz w:val="21"/>
          <w:szCs w:val="21"/>
          <w:u w:color="0563C1"/>
          <w:bdr w:val="nil"/>
          <w:lang w:eastAsia="ru-RU"/>
          <w14:textOutline w14:w="12700" w14:cap="flat" w14:cmpd="sng" w14:algn="ctr">
            <w14:noFill/>
            <w14:prstDash w14:val="solid"/>
            <w14:miter w14:lim="400000"/>
          </w14:textOutline>
        </w:rPr>
        <w:t>.com</w:t>
      </w:r>
    </w:p>
    <w:p w14:paraId="439AA9B3"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p>
    <w:p w14:paraId="1F6D21AE"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t>Научный руководитель:</w:t>
      </w:r>
    </w:p>
    <w:p w14:paraId="38B1C809"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t>Артюшкова А.Ю.,</w:t>
      </w:r>
    </w:p>
    <w:p w14:paraId="1753C11C"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доцент кафедры «Менеджмент и маркетинг», </w:t>
      </w:r>
    </w:p>
    <w:p w14:paraId="03241FB9"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Краснодарский филиал ФГОБУ ВО «Финансовый университет при Правительстве РФ»</w:t>
      </w:r>
    </w:p>
    <w:p w14:paraId="1BE1B9CD"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г. Краснодар, Россия</w:t>
      </w:r>
    </w:p>
    <w:p w14:paraId="3DA1ACCA"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e</w:t>
      </w: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mail</w:t>
      </w: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 </w:t>
      </w:r>
      <w:bookmarkEnd w:id="77"/>
      <w:r w:rsidR="009D26CC" w:rsidRPr="009D26CC">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 xml:space="preserve">AYUArtyushkova@fa.ru   </w:t>
      </w:r>
    </w:p>
    <w:p w14:paraId="7E6E9E84"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firstLine="709"/>
        <w:jc w:val="center"/>
        <w:rPr>
          <w:rFonts w:ascii="Times New Roman" w:eastAsia="Times New Roman" w:hAnsi="Times New Roman" w:cs="Times New Roman"/>
          <w:i/>
          <w:iCs/>
          <w:sz w:val="21"/>
          <w:szCs w:val="21"/>
          <w14:textOutline w14:w="12700" w14:cap="flat" w14:cmpd="sng" w14:algn="ctr">
            <w14:noFill/>
            <w14:prstDash w14:val="solid"/>
            <w14:miter w14:lim="400000"/>
          </w14:textOutline>
        </w:rPr>
      </w:pPr>
    </w:p>
    <w:p w14:paraId="74C425B0" w14:textId="77777777" w:rsidR="00877DE5" w:rsidRPr="00877DE5" w:rsidRDefault="00877DE5" w:rsidP="009E51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jc w:val="center"/>
        <w:rPr>
          <w:rFonts w:ascii="Times New Roman" w:eastAsia="Times New Roman" w:hAnsi="Times New Roman" w:cs="Times New Roman"/>
          <w:b/>
          <w:bCs/>
          <w:sz w:val="21"/>
          <w:szCs w:val="21"/>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14:textOutline w14:w="12700" w14:cap="flat" w14:cmpd="sng" w14:algn="ctr">
            <w14:noFill/>
            <w14:prstDash w14:val="solid"/>
            <w14:miter w14:lim="400000"/>
          </w14:textOutline>
        </w:rPr>
        <w:t>Кросс-культурные аспекты тайм-менеджмента: Сравнительный анализ подходов к управлению временем в разных культурах и их влияние на бизнес-практики</w:t>
      </w:r>
    </w:p>
    <w:p w14:paraId="23E6B4F8"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i/>
          <w:iCs/>
          <w:sz w:val="21"/>
          <w:szCs w:val="21"/>
          <w:shd w:val="clear" w:color="auto" w:fill="00FFFF"/>
          <w14:textOutline w14:w="12700" w14:cap="flat" w14:cmpd="sng" w14:algn="ctr">
            <w14:noFill/>
            <w14:prstDash w14:val="solid"/>
            <w14:miter w14:lim="400000"/>
          </w14:textOutline>
        </w:rPr>
      </w:pPr>
    </w:p>
    <w:p w14:paraId="64B95473" w14:textId="77777777" w:rsidR="00877DE5" w:rsidRPr="00877DE5" w:rsidRDefault="00877DE5" w:rsidP="0005270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firstLine="709"/>
        <w:jc w:val="both"/>
        <w:rPr>
          <w:rFonts w:ascii="Times New Roman" w:eastAsia="Times New Roman" w:hAnsi="Times New Roman" w:cs="Times New Roman"/>
          <w:sz w:val="21"/>
          <w:szCs w:val="21"/>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14:textOutline w14:w="12700" w14:cap="flat" w14:cmpd="sng" w14:algn="ctr">
            <w14:noFill/>
            <w14:prstDash w14:val="solid"/>
            <w14:miter w14:lim="400000"/>
          </w14:textOutline>
        </w:rPr>
        <w:t>Аннотация:</w:t>
      </w:r>
      <w:r w:rsidRPr="00877DE5">
        <w:rPr>
          <w:rFonts w:ascii="Times New Roman" w:eastAsia="Times New Roman" w:hAnsi="Times New Roman" w:cs="Times New Roman"/>
          <w:i/>
          <w:iCs/>
          <w:color w:val="000000"/>
          <w:sz w:val="21"/>
          <w:szCs w:val="21"/>
          <w:u w:color="00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21"/>
          <w:szCs w:val="21"/>
          <w:u w:color="000000"/>
          <w14:textOutline w14:w="12700" w14:cap="flat" w14:cmpd="sng" w14:algn="ctr">
            <w14:noFill/>
            <w14:prstDash w14:val="solid"/>
            <w14:miter w14:lim="400000"/>
          </w14:textOutline>
        </w:rPr>
        <w:t xml:space="preserve">В статье ставится задача изучения кросс-культурных аспектов управления временем, выявления преимуществ и недостатков в тайм-менеджменте разных культур, а также анализа влияния разных подходов к управлению на бизнес-практики. Были выявлены основные особенности в подходах к управлению временем в разных странах, дана характеристика преимуществ и недостатков в тайм-менеджменте разных стран и разработан универсальный инструмент для управления временем условиях международного партнерства. </w:t>
      </w:r>
    </w:p>
    <w:p w14:paraId="34E9AF1F" w14:textId="77777777" w:rsidR="00877DE5" w:rsidRPr="00877DE5" w:rsidRDefault="00877DE5" w:rsidP="0005270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firstLine="709"/>
        <w:jc w:val="both"/>
        <w:rPr>
          <w:rFonts w:ascii="Times New Roman" w:eastAsia="Times New Roman" w:hAnsi="Times New Roman" w:cs="Times New Roman"/>
          <w:sz w:val="21"/>
          <w:szCs w:val="21"/>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14:textOutline w14:w="12700" w14:cap="flat" w14:cmpd="sng" w14:algn="ctr">
            <w14:noFill/>
            <w14:prstDash w14:val="solid"/>
            <w14:miter w14:lim="400000"/>
          </w14:textOutline>
        </w:rPr>
        <w:t>Ключевые слова:</w:t>
      </w:r>
      <w:r w:rsidRPr="00877DE5">
        <w:rPr>
          <w:rFonts w:ascii="Times New Roman" w:eastAsia="Times New Roman" w:hAnsi="Times New Roman" w:cs="Times New Roman"/>
          <w:color w:val="000000"/>
          <w:sz w:val="21"/>
          <w:szCs w:val="21"/>
          <w:u w:color="000000"/>
          <w14:textOutline w14:w="12700" w14:cap="flat" w14:cmpd="sng" w14:algn="ctr">
            <w14:noFill/>
            <w14:prstDash w14:val="solid"/>
            <w14:miter w14:lim="400000"/>
          </w14:textOutline>
        </w:rPr>
        <w:t xml:space="preserve"> управление временем, тайм-менеджмент, восприятие времени, линейный и циклический подход, разные культуры, переговоры.</w:t>
      </w:r>
    </w:p>
    <w:p w14:paraId="03F00EF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t>Popova D.R.,</w:t>
      </w:r>
    </w:p>
    <w:p w14:paraId="2B7A868D"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t>3</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 xml:space="preserve">-rd year student, </w:t>
      </w:r>
    </w:p>
    <w:p w14:paraId="168895E2"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Financial University under the Government of the Russian Federation</w:t>
      </w:r>
    </w:p>
    <w:p w14:paraId="10EABD98"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Krasnodar, Russian Federation</w:t>
      </w:r>
    </w:p>
    <w:p w14:paraId="1878366E"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е</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 xml:space="preserve">-mail: </w:t>
      </w:r>
      <w:r w:rsidRPr="00877DE5">
        <w:rPr>
          <w:rFonts w:ascii="Times New Roman" w:eastAsia="Helvetica Neue" w:hAnsi="Times New Roman" w:cs="Times New Roman"/>
          <w:i/>
          <w:iCs/>
          <w:color w:val="000000"/>
          <w:sz w:val="21"/>
          <w:szCs w:val="21"/>
          <w:u w:color="0563C1"/>
          <w:bdr w:val="nil"/>
          <w:lang w:val="en-US" w:eastAsia="ru-RU"/>
          <w14:textOutline w14:w="12700" w14:cap="flat" w14:cmpd="sng" w14:algn="ctr">
            <w14:noFill/>
            <w14:prstDash w14:val="solid"/>
            <w14:miter w14:lim="400000"/>
          </w14:textOutline>
        </w:rPr>
        <w:t>dar.roman0501@gmail.com</w:t>
      </w:r>
    </w:p>
    <w:p w14:paraId="1CF114CD" w14:textId="77777777" w:rsidR="0005270D" w:rsidRPr="00654CF2" w:rsidRDefault="0005270D"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Helvetica Neue"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p>
    <w:p w14:paraId="0B14664D" w14:textId="3C582786"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t>Scientific Adviser:</w:t>
      </w:r>
    </w:p>
    <w:p w14:paraId="28A550C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lastRenderedPageBreak/>
        <w:t>Artyushkova A.Yu.,</w:t>
      </w:r>
    </w:p>
    <w:p w14:paraId="69186344"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Associate Professor, Financial University under the Government of the Russian Federation, Department of Management and Marketing</w:t>
      </w:r>
    </w:p>
    <w:p w14:paraId="67A50F67"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Krasnodar, Russian Federation</w:t>
      </w:r>
    </w:p>
    <w:p w14:paraId="424CCB3E"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right"/>
        <w:rPr>
          <w:rFonts w:ascii="Times New Roman" w:eastAsia="Times New Roman" w:hAnsi="Times New Roman" w:cs="Times New Roman"/>
          <w:color w:val="000000"/>
          <w:sz w:val="24"/>
          <w:szCs w:val="24"/>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i/>
          <w:iCs/>
          <w:color w:val="000000"/>
          <w:sz w:val="21"/>
          <w:szCs w:val="21"/>
          <w:u w:color="000000"/>
          <w:bdr w:val="nil"/>
          <w:lang w:eastAsia="ru-RU"/>
          <w14:textOutline w14:w="12700" w14:cap="flat" w14:cmpd="sng" w14:algn="ctr">
            <w14:noFill/>
            <w14:prstDash w14:val="solid"/>
            <w14:miter w14:lim="400000"/>
          </w14:textOutline>
        </w:rPr>
        <w:t>е</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-mail:</w:t>
      </w:r>
      <w:r w:rsidR="009D26CC" w:rsidRPr="00737306">
        <w:rPr>
          <w:lang w:val="en-US"/>
        </w:rPr>
        <w:t xml:space="preserve"> </w:t>
      </w:r>
      <w:r w:rsidR="009D26CC" w:rsidRPr="009D26CC">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 xml:space="preserve">AYUArtyushkova@fa.ru   </w:t>
      </w:r>
      <w:r w:rsidRPr="00877DE5">
        <w:rPr>
          <w:rFonts w:ascii="Times New Roman" w:eastAsia="Helvetica Neue"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t xml:space="preserve"> </w:t>
      </w:r>
    </w:p>
    <w:p w14:paraId="171DE7C9"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center"/>
        <w:rPr>
          <w:rFonts w:ascii="Times New Roman" w:eastAsia="Times New Roman" w:hAnsi="Times New Roman" w:cs="Times New Roman"/>
          <w:lang w:val="en-US"/>
          <w14:textOutline w14:w="12700" w14:cap="flat" w14:cmpd="sng" w14:algn="ctr">
            <w14:noFill/>
            <w14:prstDash w14:val="solid"/>
            <w14:miter w14:lim="400000"/>
          </w14:textOutline>
        </w:rPr>
      </w:pPr>
    </w:p>
    <w:p w14:paraId="7151D0D3"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center"/>
        <w:rPr>
          <w:rFonts w:ascii="Times New Roman" w:eastAsia="Times New Roman" w:hAnsi="Times New Roman" w:cs="Times New Roman"/>
          <w:b/>
          <w:bCs/>
          <w:sz w:val="21"/>
          <w:szCs w:val="21"/>
          <w:shd w:val="clear" w:color="auto" w:fill="FFFFFF"/>
          <w:lang w:val="en-US"/>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lang w:val="en-US"/>
          <w14:textOutline w14:w="12700" w14:cap="flat" w14:cmpd="sng" w14:algn="ctr">
            <w14:noFill/>
            <w14:prstDash w14:val="solid"/>
            <w14:miter w14:lim="400000"/>
          </w14:textOutline>
        </w:rPr>
        <w:t>Cross-cultural aspects of time-management: Comparative analysis of approaches to time management in different cultures and the impact on business practices</w:t>
      </w:r>
    </w:p>
    <w:p w14:paraId="6AC52171"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firstLine="709"/>
        <w:jc w:val="both"/>
        <w:rPr>
          <w:rFonts w:ascii="Times New Roman" w:eastAsia="Times New Roman" w:hAnsi="Times New Roman" w:cs="Times New Roman"/>
          <w:b/>
          <w:bCs/>
          <w:sz w:val="21"/>
          <w:szCs w:val="21"/>
          <w:shd w:val="clear" w:color="auto" w:fill="FFFFFF"/>
          <w:lang w:val="en-US"/>
          <w14:textOutline w14:w="12700" w14:cap="flat" w14:cmpd="sng" w14:algn="ctr">
            <w14:noFill/>
            <w14:prstDash w14:val="solid"/>
            <w14:miter w14:lim="400000"/>
          </w14:textOutline>
        </w:rPr>
      </w:pPr>
    </w:p>
    <w:p w14:paraId="27A0D062" w14:textId="67B7BD22" w:rsidR="00877DE5" w:rsidRPr="00877DE5" w:rsidRDefault="00877DE5" w:rsidP="0005270D">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1"/>
          <w:szCs w:val="21"/>
          <w:u w:color="000000"/>
          <w:bdr w:val="nil"/>
          <w:lang w:val="en-US" w:eastAsia="ru-RU"/>
          <w14:textOutline w14:w="12700" w14:cap="flat" w14:cmpd="sng" w14:algn="ctr">
            <w14:noFill/>
            <w14:prstDash w14:val="solid"/>
            <w14:miter w14:lim="400000"/>
          </w14:textOutline>
        </w:rPr>
      </w:pPr>
      <w:r w:rsidRPr="00877DE5">
        <w:rPr>
          <w:rFonts w:ascii="Times New Roman" w:eastAsia="Helvetica Neue" w:hAnsi="Times New Roman" w:cs="Times New Roman"/>
          <w:b/>
          <w:bCs/>
          <w:color w:val="000000"/>
          <w:sz w:val="21"/>
          <w:szCs w:val="21"/>
          <w:u w:color="000000"/>
          <w:bdr w:val="nil"/>
          <w:shd w:val="clear" w:color="auto" w:fill="FFFFFF"/>
          <w:lang w:val="de-DE" w:eastAsia="ru-RU"/>
          <w14:textOutline w14:w="12700" w14:cap="flat" w14:cmpd="sng" w14:algn="ctr">
            <w14:noFill/>
            <w14:prstDash w14:val="solid"/>
            <w14:miter w14:lim="400000"/>
          </w14:textOutline>
        </w:rPr>
        <w:t>Abstract</w:t>
      </w:r>
      <w:r w:rsidRPr="00877DE5">
        <w:rPr>
          <w:rFonts w:ascii="Times New Roman" w:eastAsia="Helvetica Neue" w:hAnsi="Times New Roman" w:cs="Times New Roman"/>
          <w:b/>
          <w:bCs/>
          <w:color w:val="000000"/>
          <w:sz w:val="21"/>
          <w:szCs w:val="21"/>
          <w:u w:color="000000"/>
          <w:bdr w:val="nil"/>
          <w:shd w:val="clear" w:color="auto" w:fill="FFFFFF"/>
          <w:lang w:val="en-US"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21"/>
          <w:szCs w:val="21"/>
          <w:u w:color="000000"/>
          <w:bdr w:val="nil"/>
          <w:lang w:val="en-US" w:eastAsia="ru-RU"/>
          <w14:textOutline w14:w="12700" w14:cap="flat" w14:cmpd="sng" w14:algn="ctr">
            <w14:noFill/>
            <w14:prstDash w14:val="solid"/>
            <w14:miter w14:lim="400000"/>
          </w14:textOutline>
        </w:rPr>
        <w:t>The article sets the task of studying cross-cultural aspects of time management, identifying advantages and disadvantages in time management of different cultures, and analysing the impact of different approaches to management on business practices. The main features of approaches to time management in different countries were identified, the characteristics of advantages and disadvantages in time management of different countries were given, and a universal tool for time management in the context of international partnership was developed.</w:t>
      </w:r>
    </w:p>
    <w:p w14:paraId="5F66FB78" w14:textId="77777777" w:rsidR="00877DE5" w:rsidRPr="00877DE5" w:rsidRDefault="00877DE5" w:rsidP="0005270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firstLine="709"/>
        <w:jc w:val="both"/>
        <w:rPr>
          <w:rFonts w:ascii="Times New Roman" w:eastAsia="Times New Roman" w:hAnsi="Times New Roman" w:cs="Times New Roman"/>
          <w:color w:val="000000"/>
          <w:sz w:val="21"/>
          <w:szCs w:val="21"/>
          <w:u w:color="000000"/>
          <w:shd w:val="clear" w:color="auto" w:fill="FFFFFF"/>
          <w:lang w:val="en-US"/>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shd w:val="clear" w:color="auto" w:fill="FFFFFF"/>
          <w:lang w:val="en-US"/>
          <w14:textOutline w14:w="12700" w14:cap="flat" w14:cmpd="sng" w14:algn="ctr">
            <w14:noFill/>
            <w14:prstDash w14:val="solid"/>
            <w14:miter w14:lim="400000"/>
          </w14:textOutline>
        </w:rPr>
        <w:t>Keywords:</w:t>
      </w:r>
      <w:r w:rsidRPr="00877DE5">
        <w:rPr>
          <w:rFonts w:ascii="Times New Roman" w:eastAsia="Times New Roman" w:hAnsi="Times New Roman" w:cs="Times New Roman"/>
          <w:color w:val="000000"/>
          <w:sz w:val="21"/>
          <w:szCs w:val="21"/>
          <w:u w:color="000000"/>
          <w:shd w:val="clear" w:color="auto" w:fill="FFFFFF"/>
          <w:lang w:val="en-US"/>
          <w14:textOutline w14:w="12700" w14:cap="flat" w14:cmpd="sng" w14:algn="ctr">
            <w14:noFill/>
            <w14:prstDash w14:val="solid"/>
            <w14:miter w14:lim="400000"/>
          </w14:textOutline>
        </w:rPr>
        <w:t xml:space="preserve"> time management, time perception, linear and cyclical approach, different cultures, negotiations.</w:t>
      </w:r>
    </w:p>
    <w:p w14:paraId="0CCA0975"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firstLine="709"/>
        <w:jc w:val="both"/>
        <w:rPr>
          <w:rFonts w:ascii="Times New Roman" w:eastAsia="Times New Roman" w:hAnsi="Times New Roman" w:cs="Times New Roman"/>
          <w:sz w:val="21"/>
          <w:szCs w:val="21"/>
          <w:lang w:val="en-US"/>
          <w14:textOutline w14:w="12700" w14:cap="flat" w14:cmpd="sng" w14:algn="ctr">
            <w14:noFill/>
            <w14:prstDash w14:val="solid"/>
            <w14:miter w14:lim="400000"/>
          </w14:textOutline>
        </w:rPr>
      </w:pPr>
    </w:p>
    <w:p w14:paraId="3DD97F5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В современном мире любая организация требует четко отлаженной работы всех отделов как частей единой системы, получающей и приумножающей прибыль в результате постоянно растущих потребностей общества. Чтобы выживать на современном рынке, компании вынуждены постоянно искать устойчивые конкурентные преимущества. Одним из них при может стать время. Время – ценнейший ресурс, который при грамотном управлении может сделать любую компанию лидером рынка. Знаменитый американский промышленник Генри Форд утверждал, что время не любит, когда его тратят впустую [1].</w:t>
      </w:r>
    </w:p>
    <w:p w14:paraId="5BF6B1B3" w14:textId="7BC0DBF0"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Актуальность работы заключается в потребности компаний оптимизировать бизнес-процессы и распределять задачи, чтобы сокращать время производства продукции или оказания услуг, умножая прибыль</w:t>
      </w:r>
      <w:proofErr w:type="gramStart"/>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Более</w:t>
      </w:r>
      <w:r w:rsidR="0005270D">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того</w:t>
      </w:r>
      <w:proofErr w:type="gramEnd"/>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разные подходы к управлению временем могут отрицательно влиять на исход переговоров и препятствовать сотрудничеству стран разных культур.</w:t>
      </w:r>
    </w:p>
    <w:p w14:paraId="220C075B"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Цель работы – изучить кросс-культурные аспекты тайм-менеджмента, сравнить подходы к управлению временем в разных культурах, оценить их влияние на бизнес-практики и разработать инновационный продукт для переговоров и сотрудничества международных компаний.</w:t>
      </w:r>
    </w:p>
    <w:p w14:paraId="4282F40B"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Цель работы предусматривает необходимость решения следующих задач: </w:t>
      </w:r>
    </w:p>
    <w:p w14:paraId="34D91680"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изучить особенности управления временем в разных культурах;</w:t>
      </w:r>
    </w:p>
    <w:p w14:paraId="0740F170"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сравнить разные подходы к управлению временем и оценить степень их влияния на бизнес-практики;</w:t>
      </w:r>
    </w:p>
    <w:p w14:paraId="617B0D5C"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lastRenderedPageBreak/>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выявить преимущества и недостатки разных подходов к управлению временем;</w:t>
      </w:r>
    </w:p>
    <w:p w14:paraId="48BC5AB0"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разработать инновационный продукт для межкультурной коммуникации как инструмент для переговоров и сотрудничества.</w:t>
      </w:r>
    </w:p>
    <w:p w14:paraId="7CEFEAB9"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С точки зрения философии понятие времени субъективно и возникает в сознании человека в результате отображения в нем взаимовложенных колебательных процессов, один из которого выбирается в качестве эталонного [2]. Именно поэтому люди разных культур ощущают время по-разному, через призму собственных взглядов, обычаев и религиозных убеждений, что может повлечь за собой разногласия и нарушить деловую коммуникацию. </w:t>
      </w:r>
    </w:p>
    <w:p w14:paraId="1B0CC4C7"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В эпоху глобализации проблема умения управлять временем становится все более актуальной, поскольку меняются и способы взаимодействия с внутренней и внешней средой. Для этой цели в середине 20 века была придумана дисциплина «тайм-менеджмент». </w:t>
      </w:r>
    </w:p>
    <w:p w14:paraId="53E5CCA6"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Тайм-менеджмент – это искусство управления временем, которое даёт людям возможность достигать больших результатов в работе, эффективно использовать свое время и управлять задачами. Тайм-менеджмент включает в себя универсальные техники, которые широко применимы в любой сфере жизни, но особенно полезны в бизнесе [3]. </w:t>
      </w:r>
    </w:p>
    <w:p w14:paraId="31E8EBA6"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Принципы тайм-менеджмента – это совокупность инструментов, которые позволяют людям повысить эффективность управления своим временем и достигать высоких результатов в работе [3].</w:t>
      </w:r>
    </w:p>
    <w:p w14:paraId="4FA515FF"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Рассмотрим наиболее важные принципы тайм-менеджмента и техники их реализации: </w:t>
      </w:r>
    </w:p>
    <w:p w14:paraId="0B49B78C"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 xml:space="preserve"> установление приоритетов; </w:t>
      </w:r>
    </w:p>
    <w:p w14:paraId="26133C85"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 xml:space="preserve"> создание эффективного плана действий;</w:t>
      </w:r>
    </w:p>
    <w:p w14:paraId="4B0578CE"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контроль рабочих процессов;</w:t>
      </w:r>
    </w:p>
    <w:p w14:paraId="2BF86369" w14:textId="77777777" w:rsidR="00877DE5" w:rsidRPr="00877DE5" w:rsidRDefault="00877DE5" w:rsidP="00067100">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Arial Unicode MS" w:hAnsi="Times New Roman" w:cs="Times New Roman"/>
          <w:color w:val="000000"/>
          <w:u w:color="FF0000"/>
          <w:bdr w:val="nil"/>
          <w:lang w:eastAsia="ru-RU"/>
          <w14:textOutline w14:w="12700" w14:cap="flat" w14:cmpd="sng" w14:algn="ctr">
            <w14:noFill/>
            <w14:prstDash w14:val="solid"/>
            <w14:miter w14:lim="400000"/>
          </w14:textOutline>
        </w:rPr>
        <w:t>–</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 xml:space="preserve"> управление стрессом и сохранение здоровья;</w:t>
      </w:r>
    </w:p>
    <w:p w14:paraId="730A6E2F"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Установление приоритетов предписывает выделить из множества задач наиболее важные и сосредоточиться на их выполнении [3]. Для этого используются такие инструменты, как матрица Эйзенхауэра и АВС-анализ. Используя матрицу, мы получаем классификацию задач по важности-срочности и понимаем, что нужно выполнить в первую очередь. АВС-анализ делит задачи на три группы согласно степени их значимости и полезности. </w:t>
      </w:r>
    </w:p>
    <w:p w14:paraId="7232065E"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lastRenderedPageBreak/>
        <w:t xml:space="preserve">Эффективный план действий позволяет определить, не только когда и какие задачи следует выполнять, и как это сделать наиболее продуктивным способом. Для этого чаще всего используется Закон Парето или техника </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Pomodoro</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 Закон Парето гласит, что почти всегда 20% усилий приносят 80% результата. Суть техники </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Pomodoro</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 в том, чтобы каждые двадцать пять минут работы чередовались пятиминутным отдыхом. </w:t>
      </w:r>
    </w:p>
    <w:p w14:paraId="042B49C0" w14:textId="41454FAC"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Контроль рабочих процессов предписывает исключить всевозможные факторы, отвлекающие от работы. Чтобы полностью сконцентрироваться на текущих задачах, можно на время отключить уведомления на почте или в социальных сетях, попросить других людей какое-то время не беспокоить вас. </w:t>
      </w:r>
    </w:p>
    <w:p w14:paraId="0BB8F922"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Появление стресса у сотрудников, развивающихся в сфере бизнеса, может возникать в период многозадачности по причине перенасыщения информацией. К счастью, существует множество способов борьбы со стрессом, таких как йога, медитация, дыхательные практики [3]. Наиболее простые инструменты – это прогулки на свежем воздухе, любая физическая активность, просмотр </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ASMR</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-видео, а также делегирование части задач другим людям. АСМР – это автономная сенсорная меридиональная реакция. Другими словами, приятное покалывание или мурашки, которые проявляются в результате звуковых и визуальных стимулов, таких как шепот, движения рук, жевание, скрежет, постукивания и т.д. [5].</w:t>
      </w:r>
    </w:p>
    <w:p w14:paraId="523A5189"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Данные принципы и техники не являются универсальными. Каждый сотрудник или руководитель может самостоятельно определить способы управления временем, которые подходят именно ему, исходя из своих индивидуальных особенностей. </w:t>
      </w:r>
    </w:p>
    <w:p w14:paraId="2256D9DA"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Остановимся подробнее на том, как время воспринимается людьми из разных стран и какие существуют подходы к тайм-менеджменту в разных культурах. Ученые выделяют два основных подхода к восприятию времени: линейный и циклический. </w:t>
      </w:r>
    </w:p>
    <w:p w14:paraId="78F034F1"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Линейный подход ко времени означает его необратимость, динамичность и последовательность. Время предстает как стрела, пущенная из прошлого, пересекающая настоящее и летящая в будущее [5]. Любое событие, о котором идет речь, принадлежит какому-либо промежутку времени: прошедшему, настоящему или будущему. </w:t>
      </w:r>
    </w:p>
    <w:p w14:paraId="322BFCF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Для циклического времени характерны периодичность, воспроизведение повторяющихся событий и явлений. Циклическое время подобно круговому движению колеса или ритмическому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lastRenderedPageBreak/>
        <w:t xml:space="preserve">колебанию маятника. Действительно, время часто предстает перед нами в образе бесконечных повторений: метроном, тиканье часов, пульс, смена времен года. Всегда есть нечто, что повторяется: зима – лето, день – ночь, прилив – отлив, будни – праздники [5]. </w:t>
      </w:r>
    </w:p>
    <w:p w14:paraId="5C942323"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Сравним линейное и циклическое время на примере жизни человека. С одной стороны, время нашей жизни линейно, так как любое живое существо рождается, взрослеет, стареет и умирает. Но, с другой стороны, жизнь человека – череда значимых, сменяющих друг друга событий: рождение, выпускной из школы, поступление в университет, свадьба и т.д. [5]. Для людей, взаимодействующих с природой, например, агрономов, время циклично, так как их деятельность напрямую связана с процессами в природе. В то время как для офисного работника наибольшим образом близка идея линейного представления о времени. </w:t>
      </w:r>
    </w:p>
    <w:p w14:paraId="3A14D147"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Принято считать, что идея линейного времени наиболее характерна для постиндустриального общества, которому присущи быстрые социальные и технологические изменения и постоянное стремление к прогрессу. Члены такого общества и государства убеждены, что все вокруг никогда не будет таким, каким было некоторое время назад. Однако, не во всех культурах это так. </w:t>
      </w:r>
    </w:p>
    <w:p w14:paraId="4BAD6948"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Рассмотрим, как кросс-культурные различия в восприятии времени влияют на бизнес-практики. Линейный подход ко времени в наибольшей степени распространен в странах западных культур, таких как США и страны Европы. Это обусловлено историческими особенностями. США – многонациональное государство, которое содержит в себе «коктейль» разнообразных культур. Даже у американцев, которые живут в Штатах уже несколько поколений, непременно окажутся ирландские, немецкие, итальянские или иные корни. Американскому политическому деятелю Бенджамину Франклину принадлежит знаменитая фраза «Время – деньги», и американцы по-прежнему руководствуются этим принципом.</w:t>
      </w:r>
    </w:p>
    <w:p w14:paraId="56ACDCDA"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Нам удалось выделить несколько особенностей тайм-менеджмента в США и странах Европы в процессе переговоров и выстраивания деловых отношений: </w:t>
      </w:r>
    </w:p>
    <w:p w14:paraId="40A16E0A"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Письменное слово — это закон. Устные договоренности редко имеют весомую силу [6]. </w:t>
      </w:r>
    </w:p>
    <w:p w14:paraId="0C073D1E"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Пунктуальность — основа деловых встреч. Любые опоздания расцениваются как признак неуважения и небрежного отношения к делу.</w:t>
      </w:r>
    </w:p>
    <w:p w14:paraId="0CC06651"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lastRenderedPageBreak/>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Соблюдение сроков обязательно. Если вы пообещали предоставить информацию к такому-то числу или в такое-то время, именно этого от вас и ожидают [6]. </w:t>
      </w:r>
    </w:p>
    <w:p w14:paraId="4C21F0AA"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Люди данной культуры обожают цифры и факты. Используйте статистику, чтобы подкрепить свои слова. </w:t>
      </w:r>
    </w:p>
    <w:p w14:paraId="4D1A8F49"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Цель большинства переговоров – контракт и конкретная сделка. Долгосрочные отношения могут не быть обязательным ориентиром. </w:t>
      </w:r>
    </w:p>
    <w:p w14:paraId="0EF7C215"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Переговоры развиваются стремительным образом. Здесь также находит свое отражение фраза «время – деньги» [6].</w:t>
      </w:r>
    </w:p>
    <w:p w14:paraId="51DD5BF2"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Особенности отношения ко времени в странах Восточной Азии тесно связаны с их историческими и культурными особенностями, таких как, например, китайская концепция «Инь-Янь». В своей книге «Искусство любить» знаменитый философ Эрих Фромм писал, что на востоке давно поняли: от, что полезно для человека — его тела и души, должно быть также и приятным, даже если вначале приходится преодолевать некоторое сопротивление [8]. </w:t>
      </w:r>
    </w:p>
    <w:p w14:paraId="341D3539"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Далее рассмотрим основные особенности тайм-менеджмента Восточных культур в деловых отношениях: </w:t>
      </w:r>
    </w:p>
    <w:p w14:paraId="5F8F8B2B" w14:textId="77777777" w:rsidR="00877DE5" w:rsidRPr="00877DE5" w:rsidRDefault="00877DE5" w:rsidP="00067100">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Helvetica Neue"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Долгое обдумывание решений и отсутствие импульсивности. Консенсусное принятие решений требует согласования мнений требует согласования мнений различных участников;</w:t>
      </w:r>
    </w:p>
    <w:p w14:paraId="20DAEB0E" w14:textId="77777777" w:rsidR="00877DE5" w:rsidRPr="00877DE5" w:rsidRDefault="00877DE5" w:rsidP="00067100">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tab/>
      </w:r>
      <w:r w:rsidRPr="00877DE5">
        <w:rPr>
          <w:rFonts w:ascii="Times New Roman" w:eastAsia="Helvetica Neue" w:hAnsi="Times New Roman" w:cs="Times New Roman"/>
          <w:color w:val="000000"/>
          <w:u w:color="FF0000"/>
          <w:bdr w:val="nil"/>
          <w:lang w:eastAsia="ru-RU"/>
          <w14:textOutline w14:w="12700" w14:cap="flat" w14:cmpd="sng" w14:algn="ctr">
            <w14:noFill/>
            <w14:prstDash w14:val="solid"/>
            <w14:miter w14:lim="400000"/>
          </w14:textOutline>
        </w:rPr>
        <w:t xml:space="preserve">–  </w:t>
      </w:r>
      <w:r w:rsidRPr="00877DE5">
        <w:rPr>
          <w:rFonts w:ascii="Times New Roman" w:eastAsia="Helvetica Neue" w:hAnsi="Times New Roman" w:cs="Times New Roman"/>
          <w:color w:val="000000"/>
          <w:sz w:val="32"/>
          <w:szCs w:val="32"/>
          <w:u w:color="000000"/>
          <w:bdr w:val="nil"/>
          <w:lang w:eastAsia="ru-RU"/>
          <w14:textOutline w14:w="12700" w14:cap="flat" w14:cmpd="sng" w14:algn="ctr">
            <w14:noFill/>
            <w14:prstDash w14:val="solid"/>
            <w14:miter w14:lim="400000"/>
          </w14:textOutline>
        </w:rPr>
        <w:t>Доверительные отношения, в японской и китайской культурах составляют основу долгосрочного сотрудничества. Это проявляется в продолжительном ведении переговоров как составляющей успеха;</w:t>
      </w:r>
    </w:p>
    <w:p w14:paraId="09784A49"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Очень важную роль в бизнесе играет стратегия по достижению долгосрочных целей. В древнекитайском трактате «Тридцать шесть стратагем» изложены секреты успешного ведения войны. Однако, некоторые их них применимы в современном ведении дел. Примеры таких стратагем: «Спокойно ждать, когда враг утомится», «Если хочешь схватить, прежде дай отойти» [7].</w:t>
      </w:r>
    </w:p>
    <w:p w14:paraId="66C68FF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FF0000"/>
          <w:bdr w:val="nil"/>
          <w:shd w:val="clear" w:color="auto" w:fill="FFFFFF"/>
          <w:lang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Неторопливость и зависимость от внешних факторов. В Китае и Японии не любят жесткие сроки выполнения задач и не считают их соблюдение необходимостью, при выполнении работы качество для них более важно.</w:t>
      </w:r>
    </w:p>
    <w:p w14:paraId="6A8DA81B" w14:textId="75EDA579"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Исходя из вышесказанного видно, что рассмотренные подходы к управлению временем в Западной и Восточной культурах имеют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lastRenderedPageBreak/>
        <w:t xml:space="preserve">существенные различия и принципы, которые противоречат друг другу. Каким же образом преодолеть межкультурные барьеры и избежать непонимания при выстраивании международных связей? По нашему мнению, инновационное технологическое решение в виде приложения-помощника ведения бизнес-коммуникации может стать хорошим решением. </w:t>
      </w:r>
    </w:p>
    <w:p w14:paraId="5777088C"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Приложение предусматривает решение следующих задач: </w:t>
      </w:r>
    </w:p>
    <w:p w14:paraId="0C8FBC8D"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избежать разногласий и неловких ситуаций в процессе переговоров;</w:t>
      </w:r>
    </w:p>
    <w:p w14:paraId="014130F6"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 xml:space="preserve">–   </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помочь ознакомиться с культурой других стран и с предыдущим опытом сотрудничества;</w:t>
      </w:r>
    </w:p>
    <w:p w14:paraId="3D0008A3"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 учесть особенности поведения представителей разных культур уведомить о них другую сторону;</w:t>
      </w:r>
    </w:p>
    <w:p w14:paraId="455822B1" w14:textId="77777777" w:rsidR="00877DE5" w:rsidRPr="00877DE5" w:rsidRDefault="00877DE5"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32"/>
          <w:szCs w:val="32"/>
          <w14:textOutline w14:w="12700" w14:cap="flat" w14:cmpd="sng" w14:algn="ctr">
            <w14:noFill/>
            <w14:prstDash w14:val="solid"/>
            <w14:miter w14:lim="400000"/>
          </w14:textOutline>
        </w:rPr>
      </w:pPr>
      <w:r w:rsidRPr="00877DE5">
        <w:rPr>
          <w:rFonts w:ascii="Times New Roman" w:eastAsia="Times New Roman" w:hAnsi="Times New Roman" w:cs="Times New Roman"/>
          <w:color w:val="000000"/>
          <w:u w:color="FF0000"/>
          <w14:textOutline w14:w="12700" w14:cap="flat" w14:cmpd="sng" w14:algn="ctr">
            <w14:noFill/>
            <w14:prstDash w14:val="solid"/>
            <w14:miter w14:lim="400000"/>
          </w14:textOutline>
        </w:rPr>
        <w:t>–</w:t>
      </w:r>
      <w:r w:rsidRPr="00877DE5">
        <w:rPr>
          <w:rFonts w:ascii="Times New Roman" w:eastAsia="Times New Roman" w:hAnsi="Times New Roman" w:cs="Times New Roman"/>
          <w:color w:val="000000"/>
          <w:sz w:val="32"/>
          <w:szCs w:val="32"/>
          <w:u w:color="000000"/>
          <w14:textOutline w14:w="12700" w14:cap="flat" w14:cmpd="sng" w14:algn="ctr">
            <w14:noFill/>
            <w14:prstDash w14:val="solid"/>
            <w14:miter w14:lim="400000"/>
          </w14:textOutline>
        </w:rPr>
        <w:t xml:space="preserve"> заблаговременно выявить проблемы, которые могут возникнуть между партнерами из-за с разного восприятия времени;</w:t>
      </w:r>
    </w:p>
    <w:p w14:paraId="6137BE8F"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FF0000"/>
          <w:bdr w:val="nil"/>
          <w:shd w:val="clear" w:color="auto" w:fill="FFFFFF"/>
          <w:lang w:eastAsia="ru-RU"/>
          <w14:textOutline w14:w="12700" w14:cap="flat" w14:cmpd="sng" w14:algn="ctr">
            <w14:noFill/>
            <w14:prstDash w14:val="solid"/>
            <w14:miter w14:lim="400000"/>
          </w14:textOutline>
        </w:rPr>
        <w:t>–</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 разрабатывать идеальный план проведения переговоров между конкретными странами;</w:t>
      </w:r>
    </w:p>
    <w:p w14:paraId="3296611F"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Приложение</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будет</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называться</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 «Uni</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с</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orn»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и</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расшифровываться</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xml:space="preserve">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как</w:t>
      </w:r>
      <w:r w:rsidRPr="00877DE5">
        <w:rPr>
          <w:rFonts w:ascii="Times New Roman" w:eastAsia="Arial Unicode MS" w:hAnsi="Times New Roman" w:cs="Times New Roman"/>
          <w:color w:val="000000"/>
          <w:sz w:val="32"/>
          <w:szCs w:val="32"/>
          <w:u w:color="000000"/>
          <w:bdr w:val="nil"/>
          <w:shd w:val="clear" w:color="auto" w:fill="FFFFFF"/>
          <w:lang w:val="en-US" w:eastAsia="ru-RU"/>
          <w14:textOutline w14:w="12700" w14:cap="flat" w14:cmpd="sng" w14:algn="ctr">
            <w14:noFill/>
            <w14:prstDash w14:val="solid"/>
            <w14:miter w14:lim="400000"/>
          </w14:textOutline>
        </w:rPr>
        <w:t>: United negotiation international cross-cultural organisation round the nations.</w:t>
      </w:r>
    </w:p>
    <w:p w14:paraId="4E18AEB0"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Идея приложения заключается в том, чтобы обеспечить международные компании информацией друг о друге. Любая компания, планирующая международное сотрудничество, имела бы возможность зарегистрироваться и опубликовать о себе информацию, и ознакомиться с потенциальными партнерами. Кроме того, приложение автоматически идентифицировало бы культурную принадлежность каждой компании и уведомляло бы о них потенциальных партнеров. С помощью искусственного интеллекта, программа самостоятельно умела бы разрабатывать план переговоров и других коммуникаций с учетом всех индивидуальных особенностей участников, и заблаговременно уведомлять о них стороны деловых отношений. Оно также позволило бы учесть индивидуальные пожелания каждого и отсеять неподходящих для сотрудничества оппонентов на самом начальном этапе, или, напротив установить дружественную связь партнеров еще до личной встречи. </w:t>
      </w:r>
    </w:p>
    <w:p w14:paraId="23F27A45"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ind w:firstLine="709"/>
        <w:jc w:val="both"/>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t xml:space="preserve">На основании предложенного можно сделать вывод, что несмотря на существенные различия в тайм-менеджменте разных культур, всегда нужно стремиться к выстраиванию новых деловых отношений и находить новые пути для сотрудничества. Успешные переговоры — </w:t>
      </w:r>
      <w:r w:rsidRPr="00877DE5">
        <w:rPr>
          <w:rFonts w:ascii="Times New Roman" w:eastAsia="Arial Unicode MS" w:hAnsi="Times New Roman" w:cs="Times New Roman"/>
          <w:color w:val="000000"/>
          <w:sz w:val="32"/>
          <w:szCs w:val="32"/>
          <w:u w:color="000000"/>
          <w:bdr w:val="nil"/>
          <w:shd w:val="clear" w:color="auto" w:fill="FFFFFF"/>
          <w:lang w:eastAsia="ru-RU"/>
          <w14:textOutline w14:w="12700" w14:cap="flat" w14:cmpd="sng" w14:algn="ctr">
            <w14:noFill/>
            <w14:prstDash w14:val="solid"/>
            <w14:miter w14:lim="400000"/>
          </w14:textOutline>
        </w:rPr>
        <w:lastRenderedPageBreak/>
        <w:t>это не только возможность заработать, но и результат взаимного уважения, учета как деловых интересов, так и культурных особенностей, умения слушать и слышать друг друга, правильно истолковывая те или иные действия.</w:t>
      </w:r>
    </w:p>
    <w:p w14:paraId="284964DC" w14:textId="77777777" w:rsidR="00877DE5" w:rsidRPr="00877DE5" w:rsidRDefault="00877DE5" w:rsidP="00067100">
      <w:pPr>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firstLine="709"/>
        <w:jc w:val="both"/>
        <w:rPr>
          <w:rFonts w:ascii="Times New Roman" w:eastAsia="Times New Roman" w:hAnsi="Times New Roman" w:cs="Times New Roman"/>
          <w:sz w:val="21"/>
          <w:szCs w:val="21"/>
          <w14:textOutline w14:w="12700" w14:cap="flat" w14:cmpd="sng" w14:algn="ctr">
            <w14:noFill/>
            <w14:prstDash w14:val="solid"/>
            <w14:miter w14:lim="400000"/>
          </w14:textOutline>
        </w:rPr>
      </w:pPr>
    </w:p>
    <w:p w14:paraId="22AF23D1" w14:textId="77777777" w:rsidR="00877DE5" w:rsidRPr="00877DE5" w:rsidRDefault="00877DE5" w:rsidP="00067100">
      <w:pPr>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autoSpaceDE w:val="0"/>
        <w:autoSpaceDN w:val="0"/>
        <w:spacing w:after="0" w:line="240" w:lineRule="auto"/>
        <w:ind w:left="141" w:firstLine="709"/>
        <w:jc w:val="center"/>
        <w:rPr>
          <w:rFonts w:ascii="Times New Roman" w:eastAsia="Calibri" w:hAnsi="Times New Roman" w:cs="Times New Roman"/>
          <w:sz w:val="28"/>
          <w:szCs w:val="28"/>
          <w14:textOutline w14:w="12700" w14:cap="flat" w14:cmpd="sng" w14:algn="ctr">
            <w14:noFill/>
            <w14:prstDash w14:val="solid"/>
            <w14:miter w14:lim="400000"/>
          </w14:textOutline>
        </w:rPr>
      </w:pPr>
      <w:r w:rsidRPr="00877DE5">
        <w:rPr>
          <w:rFonts w:ascii="Times New Roman" w:eastAsia="Times New Roman" w:hAnsi="Times New Roman" w:cs="Times New Roman"/>
          <w:b/>
          <w:bCs/>
          <w:color w:val="000000"/>
          <w:sz w:val="21"/>
          <w:szCs w:val="21"/>
          <w:u w:color="000000"/>
          <w14:textOutline w14:w="12700" w14:cap="flat" w14:cmpd="sng" w14:algn="ctr">
            <w14:noFill/>
            <w14:prstDash w14:val="solid"/>
            <w14:miter w14:lim="400000"/>
          </w14:textOutline>
        </w:rPr>
        <w:t>Литература:</w:t>
      </w:r>
    </w:p>
    <w:p w14:paraId="33FDBEE0"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Цитаты известных личностей [Электронный ресурс: </w:t>
      </w:r>
      <w:hyperlink r:id="rId339" w:history="1">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https://ru.citaty.net/tsitaty-o-vremeni/</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10.05.2025)]</w:t>
      </w:r>
    </w:p>
    <w:p w14:paraId="289068D3"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Словари и энциклопедии на Академике [Электронный ресурс: </w:t>
      </w:r>
      <w:hyperlink r:id="rId340" w:history="1">
        <w:r w:rsidRPr="00877DE5">
          <w:rPr>
            <w:rFonts w:ascii="Times New Roman" w:eastAsia="Arial Unicode MS" w:hAnsi="Times New Roman" w:cs="Times New Roman"/>
            <w:color w:val="000000"/>
            <w:sz w:val="21"/>
            <w:szCs w:val="21"/>
            <w:u w:color="000000"/>
            <w:bdr w:val="nil"/>
            <w:lang w:val="en-US" w:eastAsia="ru-RU"/>
            <w14:textOutline w14:w="12700" w14:cap="flat" w14:cmpd="sng" w14:algn="ctr">
              <w14:noFill/>
              <w14:prstDash w14:val="solid"/>
              <w14:miter w14:lim="400000"/>
            </w14:textOutline>
          </w:rPr>
          <w:t>https</w:t>
        </w: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w:t>
        </w:r>
        <w:r w:rsidRPr="00877DE5">
          <w:rPr>
            <w:rFonts w:ascii="Times New Roman" w:eastAsia="Arial Unicode MS" w:hAnsi="Times New Roman" w:cs="Times New Roman"/>
            <w:color w:val="000000"/>
            <w:sz w:val="21"/>
            <w:szCs w:val="21"/>
            <w:u w:color="000000"/>
            <w:bdr w:val="nil"/>
            <w:lang w:val="en-US" w:eastAsia="ru-RU"/>
            <w14:textOutline w14:w="12700" w14:cap="flat" w14:cmpd="sng" w14:algn="ctr">
              <w14:noFill/>
              <w14:prstDash w14:val="solid"/>
              <w14:miter w14:lim="400000"/>
            </w14:textOutline>
          </w:rPr>
          <w:t>dic</w:t>
        </w: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w:t>
        </w:r>
        <w:r w:rsidRPr="00877DE5">
          <w:rPr>
            <w:rFonts w:ascii="Times New Roman" w:eastAsia="Arial Unicode MS" w:hAnsi="Times New Roman" w:cs="Times New Roman"/>
            <w:color w:val="000000"/>
            <w:sz w:val="21"/>
            <w:szCs w:val="21"/>
            <w:u w:color="000000"/>
            <w:bdr w:val="nil"/>
            <w:lang w:val="en-US" w:eastAsia="ru-RU"/>
            <w14:textOutline w14:w="12700" w14:cap="flat" w14:cmpd="sng" w14:algn="ctr">
              <w14:noFill/>
              <w14:prstDash w14:val="solid"/>
              <w14:miter w14:lim="400000"/>
            </w14:textOutline>
          </w:rPr>
          <w:t>academic</w:t>
        </w: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w:t>
        </w:r>
        <w:r w:rsidRPr="00877DE5">
          <w:rPr>
            <w:rFonts w:ascii="Times New Roman" w:eastAsia="Arial Unicode MS" w:hAnsi="Times New Roman" w:cs="Times New Roman"/>
            <w:color w:val="000000"/>
            <w:sz w:val="21"/>
            <w:szCs w:val="21"/>
            <w:u w:color="000000"/>
            <w:bdr w:val="nil"/>
            <w:lang w:val="en-US" w:eastAsia="ru-RU"/>
            <w14:textOutline w14:w="12700" w14:cap="flat" w14:cmpd="sng" w14:algn="ctr">
              <w14:noFill/>
              <w14:prstDash w14:val="solid"/>
              <w14:miter w14:lim="400000"/>
            </w14:textOutline>
          </w:rPr>
          <w:t>ru</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10.05.2025)]</w:t>
      </w:r>
    </w:p>
    <w:p w14:paraId="47122B23"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Шарифьянов Д. Тайм-менеджмент в бизнесе 2023 [Электронный ресурс: </w:t>
      </w:r>
      <w:hyperlink r:id="rId341" w:history="1">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https://samizdatt.net/?do=txt&amp;idf=69306061</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10.05.2025)]</w:t>
      </w:r>
    </w:p>
    <w:p w14:paraId="1F0DB84E"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АСМР: что это и как влияет на мозг [Электронный ресурс: </w:t>
      </w:r>
      <w:hyperlink r:id="rId342" w:history="1">
        <w:r w:rsidRPr="00877DE5">
          <w:rPr>
            <w:rFonts w:ascii="Times New Roman" w:eastAsia="Arial Unicode MS" w:hAnsi="Times New Roman" w:cs="Times New Roman"/>
            <w:color w:val="000000"/>
            <w:sz w:val="21"/>
            <w:szCs w:val="21"/>
            <w:u w:color="000000"/>
            <w:bdr w:val="nil"/>
            <w:lang w:val="de-DE" w:eastAsia="ru-RU"/>
            <w14:textOutline w14:w="12700" w14:cap="flat" w14:cmpd="sng" w14:algn="ctr">
              <w14:noFill/>
              <w14:prstDash w14:val="solid"/>
              <w14:miter w14:lim="400000"/>
            </w14:textOutline>
          </w:rPr>
          <w:t>https://trends.rbc.ru/trends/social/62bc4a7a9a79471dc5c169fa</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11.05.2025)] </w:t>
      </w:r>
    </w:p>
    <w:p w14:paraId="6C6452F6"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Материалы для студентов [Электронный ресурс: </w:t>
      </w:r>
      <w:hyperlink r:id="rId343" w:history="1">
        <w:r w:rsidRPr="00877DE5">
          <w:rPr>
            <w:rFonts w:ascii="Times New Roman" w:eastAsia="Arial Unicode MS" w:hAnsi="Times New Roman" w:cs="Times New Roman"/>
            <w:color w:val="000000"/>
            <w:sz w:val="21"/>
            <w:szCs w:val="21"/>
            <w:u w:color="000000"/>
            <w:bdr w:val="nil"/>
            <w:lang w:val="de-DE" w:eastAsia="ru-RU"/>
            <w14:textOutline w14:w="12700" w14:cap="flat" w14:cmpd="sng" w14:algn="ctr">
              <w14:noFill/>
              <w14:prstDash w14:val="solid"/>
              <w14:miter w14:lim="400000"/>
            </w14:textOutline>
          </w:rPr>
          <w:t>https://studme.org/109188/literatura/lineynoe_tsiklicheskoe_vremya</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11.05.2025)]</w:t>
      </w:r>
    </w:p>
    <w:p w14:paraId="5FCFA445"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Деловой этикет в США [Электронный ресурс: </w:t>
      </w:r>
      <w:hyperlink r:id="rId344" w:history="1">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https://skyeng.ru/articles/delovoj-etiket-v-ssha/</w:t>
        </w:r>
      </w:hyperlink>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 (дата обращения 11.05.2025)]</w:t>
      </w:r>
    </w:p>
    <w:p w14:paraId="3BDDE37A"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 xml:space="preserve">Лемке Г.Е. Конкурентная война: Нелинейные методы и стратагемы. Москва: Изд. Ось-89, 2022. 423 с </w:t>
      </w:r>
    </w:p>
    <w:p w14:paraId="4A6C9530" w14:textId="77777777" w:rsidR="00877DE5" w:rsidRPr="00877DE5" w:rsidRDefault="00877DE5" w:rsidP="00AD58CD">
      <w:pPr>
        <w:numPr>
          <w:ilvl w:val="0"/>
          <w:numId w:val="48"/>
        </w:numPr>
        <w:pBdr>
          <w:top w:val="nil"/>
          <w:left w:val="nil"/>
          <w:bottom w:val="nil"/>
          <w:right w:val="nil"/>
          <w:between w:val="nil"/>
          <w:bar w:val="nil"/>
        </w:pBdr>
        <w:suppressAutoHyphens/>
        <w:spacing w:after="0" w:line="240" w:lineRule="auto"/>
        <w:ind w:left="142" w:hanging="142"/>
        <w:jc w:val="both"/>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877DE5">
        <w:rPr>
          <w:rFonts w:ascii="Times New Roman" w:eastAsia="Arial Unicode MS" w:hAnsi="Times New Roman" w:cs="Times New Roman"/>
          <w:color w:val="000000"/>
          <w:sz w:val="21"/>
          <w:szCs w:val="21"/>
          <w:u w:color="000000"/>
          <w:bdr w:val="nil"/>
          <w:lang w:eastAsia="ru-RU"/>
          <w14:textOutline w14:w="12700" w14:cap="flat" w14:cmpd="sng" w14:algn="ctr">
            <w14:noFill/>
            <w14:prstDash w14:val="solid"/>
            <w14:miter w14:lim="400000"/>
          </w14:textOutline>
        </w:rPr>
        <w:t>Фромм Э. Искусство любить. Москва: Изд. АСТ</w:t>
      </w:r>
      <w:r w:rsidRPr="00877DE5">
        <w:rPr>
          <w:rFonts w:ascii="Times New Roman" w:eastAsia="Arial Unicode MS" w:hAnsi="Times New Roman" w:cs="Times New Roman"/>
          <w:color w:val="000000"/>
          <w:sz w:val="21"/>
          <w:szCs w:val="21"/>
          <w:u w:color="000000"/>
          <w:bdr w:val="nil"/>
          <w:lang w:val="en-US" w:eastAsia="ru-RU"/>
          <w14:textOutline w14:w="12700" w14:cap="flat" w14:cmpd="sng" w14:algn="ctr">
            <w14:noFill/>
            <w14:prstDash w14:val="solid"/>
            <w14:miter w14:lim="400000"/>
          </w14:textOutline>
        </w:rPr>
        <w:t>, 2024. 221c.</w:t>
      </w:r>
    </w:p>
    <w:p w14:paraId="42A4326C" w14:textId="77777777" w:rsidR="00877DE5" w:rsidRPr="00877DE5" w:rsidRDefault="00877DE5" w:rsidP="0006710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0" w:line="240" w:lineRule="auto"/>
        <w:ind w:firstLine="709"/>
        <w:jc w:val="both"/>
        <w:rPr>
          <w:rFonts w:ascii="Times New Roman" w:eastAsia="Times New Roman" w:hAnsi="Times New Roman" w:cs="Times New Roman"/>
          <w:color w:val="000000"/>
          <w:sz w:val="21"/>
          <w:szCs w:val="21"/>
          <w:u w:color="000000"/>
          <w:bdr w:val="nil"/>
          <w:lang w:eastAsia="ru-RU"/>
          <w14:textOutline w14:w="12700" w14:cap="flat" w14:cmpd="sng" w14:algn="ctr">
            <w14:noFill/>
            <w14:prstDash w14:val="solid"/>
            <w14:miter w14:lim="400000"/>
          </w14:textOutline>
        </w:rPr>
      </w:pPr>
    </w:p>
    <w:p w14:paraId="1E5D8A35" w14:textId="1060FD82" w:rsidR="00B72DAA" w:rsidRPr="00B72DAA" w:rsidRDefault="00B72DAA" w:rsidP="00B72DAA">
      <w:pPr>
        <w:spacing w:after="0" w:line="240" w:lineRule="auto"/>
        <w:rPr>
          <w:rFonts w:ascii="Times New Roman" w:eastAsia="Times New Roman" w:hAnsi="Times New Roman" w:cs="Times New Roman"/>
          <w:color w:val="000000"/>
          <w:sz w:val="28"/>
          <w:szCs w:val="20"/>
          <w:lang w:eastAsia="zh-CN"/>
        </w:rPr>
      </w:pPr>
    </w:p>
    <w:p w14:paraId="058BC396" w14:textId="5E82C3D8"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lang w:eastAsia="zh-CN"/>
        </w:rPr>
      </w:pPr>
      <w:r w:rsidRPr="00B72DAA">
        <w:rPr>
          <w:rFonts w:ascii="Times New Roman" w:eastAsia="Times New Roman" w:hAnsi="Times New Roman" w:cs="Times New Roman"/>
          <w:b/>
          <w:i/>
          <w:iCs/>
          <w:color w:val="000000"/>
          <w:sz w:val="21"/>
          <w:szCs w:val="21"/>
          <w:lang w:eastAsia="zh-CN"/>
        </w:rPr>
        <w:t>Рябуха М.А</w:t>
      </w:r>
      <w:r w:rsidR="00C24741">
        <w:rPr>
          <w:rFonts w:ascii="Times New Roman" w:eastAsia="Times New Roman" w:hAnsi="Times New Roman" w:cs="Times New Roman"/>
          <w:b/>
          <w:i/>
          <w:iCs/>
          <w:color w:val="000000"/>
          <w:sz w:val="21"/>
          <w:szCs w:val="21"/>
          <w:lang w:eastAsia="zh-CN"/>
        </w:rPr>
        <w:t>.,</w:t>
      </w:r>
    </w:p>
    <w:p w14:paraId="5DDB0B09"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 xml:space="preserve">студент 1 курса </w:t>
      </w:r>
    </w:p>
    <w:p w14:paraId="3743454B"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Финансового университета при Правительстве РФ</w:t>
      </w:r>
    </w:p>
    <w:p w14:paraId="2AC60CBD" w14:textId="752956BE"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г.Краснодар,</w:t>
      </w:r>
      <w:r w:rsidR="00C24741" w:rsidRPr="00C24741">
        <w:rPr>
          <w:rFonts w:ascii="Times New Roman" w:eastAsia="Times New Roman" w:hAnsi="Times New Roman" w:cs="Times New Roman"/>
          <w:i/>
          <w:iCs/>
          <w:color w:val="000000"/>
          <w:sz w:val="21"/>
          <w:szCs w:val="21"/>
          <w:lang w:eastAsia="zh-CN"/>
        </w:rPr>
        <w:t xml:space="preserve"> </w:t>
      </w:r>
      <w:r w:rsidRPr="00B72DAA">
        <w:rPr>
          <w:rFonts w:ascii="Times New Roman" w:eastAsia="Times New Roman" w:hAnsi="Times New Roman" w:cs="Times New Roman"/>
          <w:i/>
          <w:iCs/>
          <w:color w:val="000000"/>
          <w:sz w:val="21"/>
          <w:szCs w:val="21"/>
          <w:lang w:eastAsia="zh-CN"/>
        </w:rPr>
        <w:t xml:space="preserve">Россия  </w:t>
      </w:r>
    </w:p>
    <w:p w14:paraId="0AE374DF"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 xml:space="preserve">е-mail: </w:t>
      </w:r>
      <w:hyperlink r:id="rId345" w:history="1">
        <w:r w:rsidRPr="00B72DAA">
          <w:rPr>
            <w:rFonts w:ascii="Times New Roman" w:eastAsia="Times New Roman" w:hAnsi="Times New Roman" w:cs="Times New Roman"/>
            <w:i/>
            <w:iCs/>
            <w:color w:val="0000FF"/>
            <w:sz w:val="21"/>
            <w:szCs w:val="21"/>
            <w:u w:val="single"/>
            <w:lang w:eastAsia="zh-CN"/>
          </w:rPr>
          <w:t>mari.0608@bk.ru</w:t>
        </w:r>
      </w:hyperlink>
    </w:p>
    <w:p w14:paraId="53074A0E"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p>
    <w:p w14:paraId="59B0DA05" w14:textId="4DF1B161"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Научный руководитель:</w:t>
      </w:r>
    </w:p>
    <w:p w14:paraId="70A8D0F9" w14:textId="75EDEC78"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lang w:eastAsia="zh-CN"/>
        </w:rPr>
      </w:pPr>
      <w:r w:rsidRPr="00B72DAA">
        <w:rPr>
          <w:rFonts w:ascii="Times New Roman" w:eastAsia="Times New Roman" w:hAnsi="Times New Roman" w:cs="Times New Roman"/>
          <w:b/>
          <w:i/>
          <w:iCs/>
          <w:color w:val="000000"/>
          <w:sz w:val="21"/>
          <w:szCs w:val="21"/>
          <w:lang w:eastAsia="zh-CN"/>
        </w:rPr>
        <w:t>Артюшкова А.Ю</w:t>
      </w:r>
      <w:r w:rsidR="00C24741">
        <w:rPr>
          <w:rFonts w:ascii="Times New Roman" w:eastAsia="Times New Roman" w:hAnsi="Times New Roman" w:cs="Times New Roman"/>
          <w:b/>
          <w:i/>
          <w:iCs/>
          <w:color w:val="000000"/>
          <w:sz w:val="21"/>
          <w:szCs w:val="21"/>
          <w:lang w:eastAsia="zh-CN"/>
        </w:rPr>
        <w:t>.,</w:t>
      </w:r>
    </w:p>
    <w:p w14:paraId="1765D486"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 xml:space="preserve">  </w:t>
      </w:r>
      <w:r w:rsidRPr="00B72DAA">
        <w:rPr>
          <w:rFonts w:ascii="Times New Roman" w:eastAsia="Times New Roman" w:hAnsi="Times New Roman" w:cs="Times New Roman"/>
          <w:i/>
          <w:iCs/>
          <w:color w:val="000000"/>
          <w:sz w:val="21"/>
          <w:szCs w:val="21"/>
          <w:highlight w:val="white"/>
          <w:lang w:eastAsia="zh-CN"/>
        </w:rPr>
        <w:t xml:space="preserve">к.п.н., доцент кафедры «Менеджмент и маркетинг» </w:t>
      </w:r>
    </w:p>
    <w:p w14:paraId="3896DA18"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Финансовый университет при Правительстве РФ</w:t>
      </w:r>
    </w:p>
    <w:p w14:paraId="0E399427" w14:textId="0AD46379"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г.Краснодар,</w:t>
      </w:r>
      <w:r w:rsidR="008769D9">
        <w:rPr>
          <w:rFonts w:ascii="Times New Roman" w:eastAsia="Times New Roman" w:hAnsi="Times New Roman" w:cs="Times New Roman"/>
          <w:i/>
          <w:iCs/>
          <w:color w:val="000000"/>
          <w:sz w:val="21"/>
          <w:szCs w:val="21"/>
          <w:lang w:eastAsia="zh-CN"/>
        </w:rPr>
        <w:t xml:space="preserve"> </w:t>
      </w:r>
      <w:r w:rsidRPr="00B72DAA">
        <w:rPr>
          <w:rFonts w:ascii="Times New Roman" w:eastAsia="Times New Roman" w:hAnsi="Times New Roman" w:cs="Times New Roman"/>
          <w:i/>
          <w:iCs/>
          <w:color w:val="000000"/>
          <w:sz w:val="21"/>
          <w:szCs w:val="21"/>
          <w:lang w:eastAsia="zh-CN"/>
        </w:rPr>
        <w:t>Россия</w:t>
      </w:r>
    </w:p>
    <w:p w14:paraId="51F54FF1" w14:textId="77777777" w:rsidR="00B72DAA" w:rsidRPr="00B72DAA" w:rsidRDefault="00B72DAA" w:rsidP="00B72DAA">
      <w:pPr>
        <w:spacing w:after="0" w:line="240" w:lineRule="auto"/>
        <w:jc w:val="right"/>
        <w:rPr>
          <w:rFonts w:ascii="Times New Roman" w:eastAsia="Times New Roman" w:hAnsi="Times New Roman" w:cs="Times New Roman"/>
          <w:i/>
          <w:iCs/>
          <w:color w:val="000000"/>
          <w:sz w:val="21"/>
          <w:szCs w:val="21"/>
          <w:lang w:eastAsia="zh-CN"/>
        </w:rPr>
      </w:pPr>
      <w:r w:rsidRPr="00B72DAA">
        <w:rPr>
          <w:rFonts w:ascii="Times New Roman" w:eastAsia="Times New Roman" w:hAnsi="Times New Roman" w:cs="Times New Roman"/>
          <w:i/>
          <w:iCs/>
          <w:color w:val="000000"/>
          <w:sz w:val="21"/>
          <w:szCs w:val="21"/>
          <w:lang w:eastAsia="zh-CN"/>
        </w:rPr>
        <w:t xml:space="preserve">е-mail: </w:t>
      </w:r>
      <w:hyperlink r:id="rId346" w:history="1">
        <w:r w:rsidRPr="00B72DAA">
          <w:rPr>
            <w:rFonts w:ascii="Times New Roman" w:eastAsia="Times New Roman" w:hAnsi="Times New Roman" w:cs="Times New Roman"/>
            <w:i/>
            <w:iCs/>
            <w:color w:val="0000FF"/>
            <w:sz w:val="21"/>
            <w:szCs w:val="21"/>
            <w:u w:val="single"/>
            <w:lang w:eastAsia="zh-CN"/>
          </w:rPr>
          <w:t>AYUArtyushkova@fa.ru</w:t>
        </w:r>
      </w:hyperlink>
    </w:p>
    <w:p w14:paraId="4B08BE18" w14:textId="77777777" w:rsidR="00B72DAA" w:rsidRPr="00B72DAA" w:rsidRDefault="00B72DAA" w:rsidP="00B72DAA">
      <w:pPr>
        <w:spacing w:after="0" w:line="240" w:lineRule="auto"/>
        <w:jc w:val="center"/>
        <w:rPr>
          <w:rFonts w:ascii="Times New Roman" w:eastAsia="Times New Roman" w:hAnsi="Times New Roman" w:cs="Times New Roman"/>
          <w:color w:val="000000"/>
          <w:sz w:val="21"/>
          <w:szCs w:val="21"/>
          <w:lang w:eastAsia="zh-CN"/>
        </w:rPr>
      </w:pPr>
    </w:p>
    <w:p w14:paraId="29718DFD" w14:textId="77777777" w:rsidR="00B72DAA" w:rsidRPr="00B72DAA" w:rsidRDefault="00B72DAA" w:rsidP="00B72DAA">
      <w:pPr>
        <w:spacing w:after="0" w:line="240" w:lineRule="auto"/>
        <w:jc w:val="center"/>
        <w:rPr>
          <w:rFonts w:ascii="Times New Roman" w:eastAsia="Times New Roman" w:hAnsi="Times New Roman" w:cs="Times New Roman"/>
          <w:b/>
          <w:color w:val="000000"/>
          <w:sz w:val="21"/>
          <w:szCs w:val="21"/>
          <w:lang w:eastAsia="zh-CN"/>
        </w:rPr>
      </w:pPr>
      <w:r w:rsidRPr="00B72DAA">
        <w:rPr>
          <w:rFonts w:ascii="Times New Roman" w:eastAsia="Times New Roman" w:hAnsi="Times New Roman" w:cs="Times New Roman"/>
          <w:b/>
          <w:color w:val="000000"/>
          <w:sz w:val="21"/>
          <w:szCs w:val="21"/>
          <w:lang w:eastAsia="zh-CN"/>
        </w:rPr>
        <w:t>Эмоциональный интеллект в управлении: его влияние на эффективность лидерства и командной работы</w:t>
      </w:r>
    </w:p>
    <w:p w14:paraId="0460F2A3" w14:textId="77777777" w:rsidR="00B72DAA" w:rsidRPr="00B72DAA" w:rsidRDefault="00B72DAA" w:rsidP="00B72DAA">
      <w:pPr>
        <w:spacing w:after="0" w:line="240" w:lineRule="auto"/>
        <w:rPr>
          <w:rFonts w:ascii="Times New Roman" w:eastAsia="Times New Roman" w:hAnsi="Times New Roman" w:cs="Times New Roman"/>
          <w:color w:val="000000"/>
          <w:sz w:val="21"/>
          <w:szCs w:val="21"/>
          <w:lang w:eastAsia="zh-CN"/>
        </w:rPr>
      </w:pPr>
    </w:p>
    <w:p w14:paraId="164914E2" w14:textId="77777777" w:rsidR="00B72DAA" w:rsidRPr="00B72DAA" w:rsidRDefault="00B72DAA" w:rsidP="00C24741">
      <w:pPr>
        <w:spacing w:after="0" w:line="240" w:lineRule="auto"/>
        <w:ind w:firstLine="709"/>
        <w:jc w:val="both"/>
        <w:rPr>
          <w:rFonts w:ascii="Times New Roman" w:eastAsia="Times New Roman" w:hAnsi="Times New Roman" w:cs="Times New Roman"/>
          <w:color w:val="000000"/>
          <w:sz w:val="21"/>
          <w:szCs w:val="21"/>
          <w:lang w:eastAsia="zh-CN"/>
        </w:rPr>
      </w:pPr>
      <w:r w:rsidRPr="00B72DAA">
        <w:rPr>
          <w:rFonts w:ascii="Times New Roman" w:eastAsia="Times New Roman" w:hAnsi="Times New Roman" w:cs="Times New Roman"/>
          <w:b/>
          <w:color w:val="000000"/>
          <w:sz w:val="21"/>
          <w:szCs w:val="21"/>
          <w:lang w:eastAsia="zh-CN"/>
        </w:rPr>
        <w:t xml:space="preserve"> Аннотация:</w:t>
      </w:r>
      <w:r w:rsidRPr="00B72DAA">
        <w:rPr>
          <w:rFonts w:ascii="Times New Roman" w:eastAsia="Times New Roman" w:hAnsi="Times New Roman" w:cs="Times New Roman"/>
          <w:color w:val="000000"/>
          <w:sz w:val="21"/>
          <w:szCs w:val="21"/>
          <w:lang w:eastAsia="zh-CN"/>
        </w:rPr>
        <w:t xml:space="preserve"> </w:t>
      </w:r>
      <w:r w:rsidRPr="00B72DAA">
        <w:rPr>
          <w:rFonts w:ascii="Times New Roman" w:eastAsia="Times New Roman" w:hAnsi="Times New Roman" w:cs="Times New Roman"/>
          <w:color w:val="000000"/>
          <w:sz w:val="21"/>
          <w:szCs w:val="21"/>
          <w:highlight w:val="white"/>
          <w:lang w:eastAsia="zh-CN"/>
        </w:rPr>
        <w:t>В статье рассматривается роль эмоционального интеллекта в сфере управления, его влияние на эффективность лидерства и командной работы. Анализируются основные компоненты эмоционального интеллекта, а также их значение для формирования успешных лидерских качеств и гармоничных командных взаимодействий. Подчеркивается необходимость развития эмоционального интеллекта для повышения эффективности руководителей и достижения организационных целей.</w:t>
      </w:r>
    </w:p>
    <w:p w14:paraId="0CB2E863" w14:textId="59A00B2F" w:rsidR="00B72DAA" w:rsidRPr="00B72DAA" w:rsidRDefault="00B72DAA" w:rsidP="00C24741">
      <w:pPr>
        <w:spacing w:after="0" w:line="240" w:lineRule="auto"/>
        <w:ind w:firstLine="709"/>
        <w:jc w:val="both"/>
        <w:rPr>
          <w:rFonts w:ascii="Times New Roman" w:eastAsia="Times New Roman" w:hAnsi="Times New Roman" w:cs="Times New Roman"/>
          <w:color w:val="000000"/>
          <w:sz w:val="21"/>
          <w:szCs w:val="21"/>
          <w:highlight w:val="white"/>
          <w:lang w:eastAsia="zh-CN"/>
        </w:rPr>
      </w:pPr>
      <w:r w:rsidRPr="00B72DAA">
        <w:rPr>
          <w:rFonts w:ascii="Times New Roman" w:eastAsia="Times New Roman" w:hAnsi="Times New Roman" w:cs="Times New Roman"/>
          <w:b/>
          <w:color w:val="000000"/>
          <w:sz w:val="21"/>
          <w:szCs w:val="21"/>
          <w:highlight w:val="white"/>
          <w:lang w:eastAsia="zh-CN"/>
        </w:rPr>
        <w:t xml:space="preserve"> Ключевые слова:</w:t>
      </w:r>
      <w:r w:rsidRPr="00B72DAA">
        <w:rPr>
          <w:rFonts w:ascii="Times New Roman" w:eastAsia="Times New Roman" w:hAnsi="Times New Roman" w:cs="Times New Roman"/>
          <w:color w:val="000000"/>
          <w:sz w:val="21"/>
          <w:szCs w:val="21"/>
          <w:highlight w:val="white"/>
          <w:lang w:eastAsia="zh-CN"/>
        </w:rPr>
        <w:t xml:space="preserve"> Эмоциональный интеллект, лидерство, руководитель, инструменты развития, теоретические аспекты </w:t>
      </w:r>
    </w:p>
    <w:p w14:paraId="4689DFFA" w14:textId="77777777" w:rsidR="00B72DAA" w:rsidRPr="00B72DAA" w:rsidRDefault="00B72DAA" w:rsidP="00B72DAA">
      <w:pPr>
        <w:spacing w:after="0" w:line="240" w:lineRule="auto"/>
        <w:rPr>
          <w:rFonts w:ascii="Times New Roman" w:eastAsia="Times New Roman" w:hAnsi="Times New Roman" w:cs="Times New Roman"/>
          <w:color w:val="000000"/>
          <w:sz w:val="21"/>
          <w:szCs w:val="21"/>
          <w:highlight w:val="white"/>
          <w:lang w:eastAsia="zh-CN"/>
        </w:rPr>
      </w:pPr>
    </w:p>
    <w:p w14:paraId="326254A2" w14:textId="6769A5EF" w:rsidR="00B72DAA" w:rsidRPr="00654CF2"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b/>
          <w:i/>
          <w:iCs/>
          <w:color w:val="000000"/>
          <w:sz w:val="21"/>
          <w:szCs w:val="21"/>
          <w:highlight w:val="white"/>
          <w:lang w:val="en-US" w:eastAsia="zh-CN"/>
        </w:rPr>
        <w:t>Ryabukha M.A.</w:t>
      </w:r>
      <w:r w:rsidR="00C24741" w:rsidRPr="00654CF2">
        <w:rPr>
          <w:rFonts w:ascii="Times New Roman" w:eastAsia="Times New Roman" w:hAnsi="Times New Roman" w:cs="Times New Roman"/>
          <w:b/>
          <w:i/>
          <w:iCs/>
          <w:color w:val="000000"/>
          <w:sz w:val="21"/>
          <w:szCs w:val="21"/>
          <w:highlight w:val="white"/>
          <w:lang w:val="en-US" w:eastAsia="zh-CN"/>
        </w:rPr>
        <w:t>,</w:t>
      </w:r>
    </w:p>
    <w:p w14:paraId="0155AA64"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 xml:space="preserve"> student 1 courses</w:t>
      </w:r>
    </w:p>
    <w:p w14:paraId="4E766225"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 xml:space="preserve"> Financial University under the Government of the Russian Federation </w:t>
      </w:r>
    </w:p>
    <w:p w14:paraId="2E9FF88A" w14:textId="19A52548"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Krasnodar, Russia</w:t>
      </w:r>
    </w:p>
    <w:p w14:paraId="4A0E95EE"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 xml:space="preserve"> e-mail: </w:t>
      </w:r>
      <w:hyperlink r:id="rId347" w:history="1">
        <w:r w:rsidRPr="00B72DAA">
          <w:rPr>
            <w:rFonts w:ascii="Times New Roman" w:eastAsia="Times New Roman" w:hAnsi="Times New Roman" w:cs="Times New Roman"/>
            <w:i/>
            <w:iCs/>
            <w:color w:val="0000FF"/>
            <w:sz w:val="21"/>
            <w:szCs w:val="21"/>
            <w:highlight w:val="white"/>
            <w:u w:val="single"/>
            <w:lang w:val="en-US" w:eastAsia="zh-CN"/>
          </w:rPr>
          <w:t>mari.0608@bk.ru</w:t>
        </w:r>
      </w:hyperlink>
    </w:p>
    <w:p w14:paraId="2C9AB676"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p>
    <w:p w14:paraId="46568F07"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lang w:val="en-US" w:eastAsia="zh-CN"/>
        </w:rPr>
      </w:pPr>
      <w:r w:rsidRPr="00B72DAA">
        <w:rPr>
          <w:rFonts w:ascii="Times New Roman" w:eastAsia="Times New Roman" w:hAnsi="Times New Roman" w:cs="Times New Roman"/>
          <w:i/>
          <w:iCs/>
          <w:color w:val="000000"/>
          <w:sz w:val="21"/>
          <w:szCs w:val="21"/>
          <w:lang w:val="en-US" w:eastAsia="zh-CN"/>
        </w:rPr>
        <w:t xml:space="preserve">Scientific Adviser: </w:t>
      </w:r>
    </w:p>
    <w:p w14:paraId="01B9E84C" w14:textId="1DBCFA68" w:rsidR="00B72DAA" w:rsidRPr="00654CF2"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 xml:space="preserve"> </w:t>
      </w:r>
      <w:r w:rsidRPr="00B72DAA">
        <w:rPr>
          <w:rFonts w:ascii="Times New Roman" w:eastAsia="Times New Roman" w:hAnsi="Times New Roman" w:cs="Times New Roman"/>
          <w:b/>
          <w:i/>
          <w:iCs/>
          <w:color w:val="000000"/>
          <w:sz w:val="21"/>
          <w:szCs w:val="21"/>
          <w:highlight w:val="white"/>
          <w:lang w:val="en-US" w:eastAsia="zh-CN"/>
        </w:rPr>
        <w:t>Artyushkova A.Y.</w:t>
      </w:r>
      <w:r w:rsidR="00C24741" w:rsidRPr="00654CF2">
        <w:rPr>
          <w:rFonts w:ascii="Times New Roman" w:eastAsia="Times New Roman" w:hAnsi="Times New Roman" w:cs="Times New Roman"/>
          <w:b/>
          <w:i/>
          <w:iCs/>
          <w:color w:val="000000"/>
          <w:sz w:val="21"/>
          <w:szCs w:val="21"/>
          <w:highlight w:val="white"/>
          <w:lang w:val="en-US" w:eastAsia="zh-CN"/>
        </w:rPr>
        <w:t>,</w:t>
      </w:r>
    </w:p>
    <w:p w14:paraId="54115C89"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Associate Professor of the Department of Management and Marketing</w:t>
      </w:r>
    </w:p>
    <w:p w14:paraId="3917E510" w14:textId="102B3AB3"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t xml:space="preserve">Financial University under the Government of the Russian Federation Krasnodar, Russia </w:t>
      </w:r>
    </w:p>
    <w:p w14:paraId="64BB79DE" w14:textId="77777777" w:rsidR="00B72DAA" w:rsidRPr="00B72DAA" w:rsidRDefault="00B72DAA" w:rsidP="00B72DAA">
      <w:pPr>
        <w:spacing w:after="0" w:line="240" w:lineRule="auto"/>
        <w:jc w:val="right"/>
        <w:rPr>
          <w:rFonts w:ascii="Times New Roman" w:eastAsia="Times New Roman" w:hAnsi="Times New Roman" w:cs="Times New Roman"/>
          <w:b/>
          <w:i/>
          <w:iCs/>
          <w:color w:val="000000"/>
          <w:sz w:val="21"/>
          <w:szCs w:val="21"/>
          <w:highlight w:val="white"/>
          <w:lang w:val="en-US" w:eastAsia="zh-CN"/>
        </w:rPr>
      </w:pPr>
      <w:r w:rsidRPr="00B72DAA">
        <w:rPr>
          <w:rFonts w:ascii="Times New Roman" w:eastAsia="Times New Roman" w:hAnsi="Times New Roman" w:cs="Times New Roman"/>
          <w:i/>
          <w:iCs/>
          <w:color w:val="000000"/>
          <w:sz w:val="21"/>
          <w:szCs w:val="21"/>
          <w:highlight w:val="white"/>
          <w:lang w:val="en-US" w:eastAsia="zh-CN"/>
        </w:rPr>
        <w:lastRenderedPageBreak/>
        <w:t>e-mail: AYUArtyushkova@fa.ru</w:t>
      </w:r>
    </w:p>
    <w:p w14:paraId="073F1870" w14:textId="77777777" w:rsidR="00B72DAA" w:rsidRPr="00B72DAA" w:rsidRDefault="00B72DAA" w:rsidP="00B72DAA">
      <w:pPr>
        <w:spacing w:after="0" w:line="240" w:lineRule="auto"/>
        <w:jc w:val="center"/>
        <w:rPr>
          <w:rFonts w:ascii="Times New Roman" w:eastAsia="Times New Roman" w:hAnsi="Times New Roman" w:cs="Times New Roman"/>
          <w:b/>
          <w:color w:val="000000"/>
          <w:sz w:val="21"/>
          <w:szCs w:val="21"/>
          <w:highlight w:val="white"/>
          <w:lang w:val="en-US" w:eastAsia="zh-CN"/>
        </w:rPr>
      </w:pPr>
    </w:p>
    <w:p w14:paraId="1A992B8D" w14:textId="77777777" w:rsidR="00B72DAA" w:rsidRPr="00B72DAA" w:rsidRDefault="00B72DAA" w:rsidP="00B72DAA">
      <w:pPr>
        <w:spacing w:after="0" w:line="240" w:lineRule="auto"/>
        <w:jc w:val="center"/>
        <w:rPr>
          <w:rFonts w:ascii="Times New Roman" w:eastAsia="Times New Roman" w:hAnsi="Times New Roman" w:cs="Times New Roman"/>
          <w:b/>
          <w:color w:val="000000"/>
          <w:sz w:val="21"/>
          <w:szCs w:val="21"/>
          <w:highlight w:val="white"/>
          <w:lang w:val="en-US" w:eastAsia="zh-CN"/>
        </w:rPr>
      </w:pPr>
      <w:r w:rsidRPr="00B72DAA">
        <w:rPr>
          <w:rFonts w:ascii="Times New Roman" w:eastAsia="Times New Roman" w:hAnsi="Times New Roman" w:cs="Times New Roman"/>
          <w:b/>
          <w:color w:val="000000"/>
          <w:sz w:val="21"/>
          <w:szCs w:val="21"/>
          <w:highlight w:val="white"/>
          <w:lang w:val="en-US" w:eastAsia="zh-CN"/>
        </w:rPr>
        <w:t>Emotional intelligence in management: its impact on the effectiveness of leadership and teamwork</w:t>
      </w:r>
    </w:p>
    <w:p w14:paraId="01286FCE" w14:textId="77777777" w:rsidR="00B72DAA" w:rsidRPr="00B72DAA" w:rsidRDefault="00B72DAA" w:rsidP="00B72DAA">
      <w:pPr>
        <w:spacing w:after="0" w:line="240" w:lineRule="auto"/>
        <w:rPr>
          <w:rFonts w:ascii="Times New Roman" w:eastAsia="Times New Roman" w:hAnsi="Times New Roman" w:cs="Times New Roman"/>
          <w:b/>
          <w:color w:val="000000"/>
          <w:sz w:val="21"/>
          <w:szCs w:val="21"/>
          <w:highlight w:val="white"/>
          <w:lang w:val="en-US" w:eastAsia="zh-CN"/>
        </w:rPr>
      </w:pPr>
    </w:p>
    <w:p w14:paraId="0755F26E" w14:textId="77777777" w:rsidR="00B72DAA" w:rsidRPr="00B72DAA" w:rsidRDefault="00B72DAA" w:rsidP="00C24741">
      <w:pPr>
        <w:spacing w:after="0" w:line="240" w:lineRule="auto"/>
        <w:ind w:firstLine="709"/>
        <w:jc w:val="both"/>
        <w:rPr>
          <w:rFonts w:ascii="Times New Roman" w:eastAsia="Times New Roman" w:hAnsi="Times New Roman" w:cs="Times New Roman"/>
          <w:color w:val="000000"/>
          <w:sz w:val="21"/>
          <w:szCs w:val="21"/>
          <w:highlight w:val="white"/>
          <w:lang w:val="en-US" w:eastAsia="zh-CN"/>
        </w:rPr>
      </w:pPr>
      <w:r w:rsidRPr="00B72DAA">
        <w:rPr>
          <w:rFonts w:ascii="Times New Roman" w:eastAsia="Times New Roman" w:hAnsi="Times New Roman" w:cs="Times New Roman"/>
          <w:b/>
          <w:color w:val="000000"/>
          <w:sz w:val="21"/>
          <w:szCs w:val="21"/>
          <w:highlight w:val="white"/>
          <w:lang w:val="en-US" w:eastAsia="zh-CN"/>
        </w:rPr>
        <w:t>Abstract:</w:t>
      </w:r>
      <w:r w:rsidRPr="00B72DAA">
        <w:rPr>
          <w:rFonts w:ascii="Times New Roman" w:eastAsia="Times New Roman" w:hAnsi="Times New Roman" w:cs="Times New Roman"/>
          <w:color w:val="000000"/>
          <w:sz w:val="21"/>
          <w:szCs w:val="21"/>
          <w:highlight w:val="white"/>
          <w:lang w:val="en-US" w:eastAsia="zh-CN"/>
        </w:rPr>
        <w:t xml:space="preserve"> The article examines the role of emotional intelligence in the field of management, its impact on the effectiveness of leadership and teamwork. The main components of emotional intelligence are analyzed, as well as their importance for the formation of successful leadership qualities and harmonious team interactions. The need to develop emotional intelligence is emphasized in order to increase the effectiveness of managers and achieve organizational goals. </w:t>
      </w:r>
    </w:p>
    <w:p w14:paraId="0742091B" w14:textId="0C1F7F94" w:rsidR="00B72DAA" w:rsidRPr="00B72DAA" w:rsidRDefault="00B72DAA" w:rsidP="00C24741">
      <w:pPr>
        <w:spacing w:after="0" w:line="240" w:lineRule="auto"/>
        <w:ind w:firstLine="709"/>
        <w:jc w:val="both"/>
        <w:rPr>
          <w:rFonts w:ascii="Times New Roman" w:eastAsia="Times New Roman" w:hAnsi="Times New Roman" w:cs="Times New Roman"/>
          <w:color w:val="000000"/>
          <w:sz w:val="21"/>
          <w:szCs w:val="21"/>
          <w:highlight w:val="white"/>
          <w:lang w:val="en-US" w:eastAsia="zh-CN"/>
        </w:rPr>
      </w:pPr>
      <w:r w:rsidRPr="00B72DAA">
        <w:rPr>
          <w:rFonts w:ascii="Times New Roman" w:eastAsia="Times New Roman" w:hAnsi="Times New Roman" w:cs="Times New Roman"/>
          <w:b/>
          <w:color w:val="000000"/>
          <w:sz w:val="21"/>
          <w:szCs w:val="21"/>
          <w:highlight w:val="white"/>
          <w:lang w:val="en-US" w:eastAsia="zh-CN"/>
        </w:rPr>
        <w:t xml:space="preserve">Keywords: </w:t>
      </w:r>
      <w:r w:rsidRPr="00B72DAA">
        <w:rPr>
          <w:rFonts w:ascii="Times New Roman" w:eastAsia="Times New Roman" w:hAnsi="Times New Roman" w:cs="Times New Roman"/>
          <w:color w:val="000000"/>
          <w:sz w:val="21"/>
          <w:szCs w:val="21"/>
          <w:highlight w:val="white"/>
          <w:lang w:val="en-US" w:eastAsia="zh-CN"/>
        </w:rPr>
        <w:t>Emotional intelligence, leadership, supervisor, development tools, theoretical aspects</w:t>
      </w:r>
    </w:p>
    <w:p w14:paraId="0B64170F" w14:textId="77777777" w:rsidR="00B72DAA" w:rsidRPr="00B72DAA" w:rsidRDefault="00B72DAA" w:rsidP="00B72DAA">
      <w:pPr>
        <w:spacing w:after="0" w:line="240" w:lineRule="auto"/>
        <w:rPr>
          <w:rFonts w:ascii="Times New Roman" w:eastAsia="Times New Roman" w:hAnsi="Times New Roman" w:cs="Times New Roman"/>
          <w:color w:val="000000"/>
          <w:sz w:val="28"/>
          <w:szCs w:val="20"/>
          <w:highlight w:val="white"/>
          <w:lang w:val="en-US" w:eastAsia="zh-CN"/>
        </w:rPr>
      </w:pPr>
    </w:p>
    <w:p w14:paraId="19D545CC"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Цель:</w:t>
      </w:r>
    </w:p>
    <w:p w14:paraId="25E36CCE"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Проанализировать роль эмоционального интеллекта в управлении, выявить его влияние на эффективность лидерства и командной работы, а также предложить практические рекомендации по развитию эмоционального интеллекта у руководителей и членов команд для повышения общей продуктивности и гармонии в рабочем процессе.Эта цель подразумевает исследование теоретических аспектов эмоционального интеллекта, его компонентов, а также практических примеров и методов, которые могут помочь улучшить взаимодействие в командах и повысить качество лидерства.</w:t>
      </w:r>
    </w:p>
    <w:p w14:paraId="2CB7EB3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lang w:eastAsia="zh-CN"/>
        </w:rPr>
        <w:t>Задачи</w:t>
      </w:r>
    </w:p>
    <w:p w14:paraId="26C800A7"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Теоретические задачи:</w:t>
      </w:r>
    </w:p>
    <w:p w14:paraId="61CDCA10"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1. Изучить основные теоретические концепции и определения эмоционального интеллекта, его составляющих и моделей. </w:t>
      </w:r>
    </w:p>
    <w:p w14:paraId="2ECDC3A2"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2. Анализировать существующие модели лидерства и командной работы с учетом роли эмоционального интеллекта.</w:t>
      </w:r>
    </w:p>
    <w:p w14:paraId="26D6EAB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3. Исследовать теоретические основы взаимосвязи между уровнем развития эмоционального интеллекта руководителей и результативностью их лидерских качеств.</w:t>
      </w:r>
    </w:p>
    <w:p w14:paraId="1DF7C959"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4. Обосновать влияние эмоционального интеллекта на формирование эффективных коммуникаций, мотивацию и управление конфликтами в командной среде. </w:t>
      </w:r>
    </w:p>
    <w:p w14:paraId="45F424C3"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5. Систематизировать существующие подходы и методики оценки уровня эмоционального интеллекта и его компонентов в управленческой практике. </w:t>
      </w:r>
    </w:p>
    <w:p w14:paraId="423326F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6. Осветить теоретические аспекты развития и повышения эмоционального интеллекта у руководителей и сотрудников для повышения эффективности управленческих процессов</w:t>
      </w:r>
    </w:p>
    <w:p w14:paraId="0E78090F"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Практические задачи:</w:t>
      </w:r>
    </w:p>
    <w:p w14:paraId="2E002DD0"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1.</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Разработка программ повышения эмоционального интеллекта для руководителей и сотрудников</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 Создать тренинговые модули и </w:t>
      </w:r>
      <w:r w:rsidRPr="00B72DAA">
        <w:rPr>
          <w:rFonts w:ascii="Times New Roman" w:eastAsia="Times New Roman" w:hAnsi="Times New Roman" w:cs="Times New Roman"/>
          <w:bCs/>
          <w:color w:val="000000"/>
          <w:sz w:val="32"/>
          <w:szCs w:val="32"/>
          <w:highlight w:val="white"/>
          <w:lang w:eastAsia="zh-CN"/>
        </w:rPr>
        <w:lastRenderedPageBreak/>
        <w:t>практические упражнения для развития навыков самосознания, саморегуляции, социальной осознанности и управления отношениями.</w:t>
      </w:r>
    </w:p>
    <w:p w14:paraId="57EA423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2.</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Внедрение методов оценки влияния эмоционального интеллекта на командную работу</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 Организовать мониторинг и сбор обратной связи по результатам командных проектов после проведения тренингов. </w:t>
      </w:r>
    </w:p>
    <w:p w14:paraId="50FB97B7"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3.</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Создание условий для развития эмоционального интеллекта на рабочем месте</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Разработать корпоративные политики и практики, способствующие эмоциональной поддержке, открытому взаимодействию и разрешению конфликтов.</w:t>
      </w:r>
    </w:p>
    <w:p w14:paraId="5EF82FD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4.</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Практическое использование инструментов эмоционального интеллекта в повседневной управленческой деятельности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Построить сценарии ситуаций, в которых руководители используют навыки эмоциональной компетентности для эффективного решения конфликтных или стрессовых ситуаций. — Обучить менеджеров тактикам активного слушания, эмпатии и мотивационной коммуникации.</w:t>
      </w:r>
    </w:p>
    <w:p w14:paraId="7250BF5E"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5.</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Изучение и анализ кейсов успешных организаций, где эмоциональный интеллект является ключевым фактором</w:t>
      </w:r>
      <w:r w:rsidRPr="00B72DAA">
        <w:rPr>
          <w:rFonts w:ascii="Times New Roman" w:eastAsia="Times New Roman" w:hAnsi="Times New Roman" w:cs="Times New Roman"/>
          <w:bCs/>
          <w:color w:val="000000"/>
          <w:sz w:val="32"/>
          <w:szCs w:val="32"/>
          <w:lang w:eastAsia="zh-CN"/>
        </w:rPr>
        <w:t xml:space="preserve"> </w:t>
      </w:r>
    </w:p>
    <w:p w14:paraId="5978B99D"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lang w:eastAsia="zh-CN"/>
        </w:rPr>
        <w:t>Актуальность исследования:</w:t>
      </w:r>
    </w:p>
    <w:p w14:paraId="0775961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Актуальность доклада на тему "Эмоциональный интеллект в управлении: его влияние на эффективность лидерства и командной работы" можно обосновать следующими пунктами: </w:t>
      </w:r>
    </w:p>
    <w:p w14:paraId="450C23A9"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1.</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Современные требования к лидерам:</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 В условиях динамичного и конкурентного рынка современным лидерам необходимо не только управлять процессами, но и эффективно взаимодействовать с командами. Эмоциональный интеллект (EI) становится ключевым навыком для успешного лидерства. </w:t>
      </w:r>
    </w:p>
    <w:p w14:paraId="7DC0D76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2.</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Влияние на производительность:</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 Исследования показывают, что высокий уровень эмоционального интеллекта у руководителей положительно сказывается на производительности команды. Лидеры с EI способны лучше мотивировать сотрудников, поддерживать их вовлеченность и удовлетворенность работой. </w:t>
      </w:r>
    </w:p>
    <w:p w14:paraId="6A151995"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3.</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Управление конфликтами: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 Эмоциональный интеллект помогает руководителям более эффективно справляться с конфликтами внутри команды, что способствует созданию здоровой рабочей атмосферы. Это особенно важно в условиях многообразия и культурных различий в современных рабочих группах. </w:t>
      </w:r>
    </w:p>
    <w:p w14:paraId="468350C1"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p>
    <w:p w14:paraId="36BDDDF8"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lastRenderedPageBreak/>
        <w:t>Научная новизна:</w:t>
      </w:r>
    </w:p>
    <w:p w14:paraId="2CF9557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Научная новизна исследования по теме «Эмоциональный интеллект в управлении: его влияние на эффективность лидерства и командной работы» заключается в следующих аспектах: </w:t>
      </w:r>
    </w:p>
    <w:p w14:paraId="7450EFC0"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1.</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Интеграция понятий эмоционального интеллекта и управленческой эффективности: В работе впервые систематизировано и проанализировано влияние различных компонентов эмоционального интеллекта (само осознанности, саморегуляции, мотивации, эмпатии и социальных навыков) на показатели лидерства и командной работы.</w:t>
      </w:r>
    </w:p>
    <w:p w14:paraId="600A8F0F"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2.</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Разработка модели взаимосвязи эмоционального интеллекта и показателей эффективности: Предложена и апробирована новая моделирование, описывающая механизмы воздействия эмоционального интеллекта на лидерские качества и уровень командной синергии в организациях различных секторов. </w:t>
      </w:r>
    </w:p>
    <w:p w14:paraId="101F2B76"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3.</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Эмпирическое подтверждение влияния эмоционального интеллекта на лидерство и командную работу: Проведен оригинальный эмпирический анализ на базе современных методов диагностики, что позволило выявить значительные корреляции и причинно-следственные связи, ранее недостаточно освещенные в научной литературе. </w:t>
      </w:r>
    </w:p>
    <w:p w14:paraId="16D30EC2"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4.</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Разработка практических рекомендаций по развитию эмоционального интеллекта у руководителей: Предложены инновационные подходы и методики тренингов и программ развития эмоциональных компетенций, способствующих повышению эффективности лидерства и командной работы. </w:t>
      </w:r>
    </w:p>
    <w:p w14:paraId="5D629D65"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Эмоциональный интеллект — это способность осознавать, понимать, управлять и использовать свои эмоции и эмоции других людей для достижения целей, эффективного взаимодействия и принятия решений в управлении. Эта концепция приобретает все большую важность в современном менеджменте, так как способствует созданию позитивной рабочей атмосферы, повышению мотивации сотрудников и улучшению коммуникации в команде.</w:t>
      </w:r>
    </w:p>
    <w:p w14:paraId="61996697"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Основные теоретические концепции и определения эмоционального интеллекта в управлении:</w:t>
      </w:r>
    </w:p>
    <w:p w14:paraId="39C0057D"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Roboto" w:eastAsia="Times New Roman" w:hAnsi="Roboto" w:cs="Times New Roman"/>
          <w:bCs/>
          <w:color w:val="000000"/>
          <w:sz w:val="32"/>
          <w:szCs w:val="32"/>
          <w:highlight w:val="white"/>
          <w:lang w:eastAsia="zh-CN"/>
        </w:rPr>
        <w:t>1</w:t>
      </w:r>
      <w:r w:rsidRPr="00B72DAA">
        <w:rPr>
          <w:rFonts w:ascii="Times New Roman" w:eastAsia="Times New Roman" w:hAnsi="Times New Roman" w:cs="Times New Roman"/>
          <w:bCs/>
          <w:color w:val="000000"/>
          <w:sz w:val="32"/>
          <w:szCs w:val="32"/>
          <w:highlight w:val="white"/>
          <w:lang w:eastAsia="zh-CN"/>
        </w:rPr>
        <w:t>. Классическая концепция Дэниела Гоулмана (Daniel Goleman)</w:t>
      </w:r>
    </w:p>
    <w:p w14:paraId="169F5ADD"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 Определение: ЭИ — это умение распознавать собственные эмоции и эмоции других, управлять ими и использовать эти знания для эффективной деятельности.</w:t>
      </w:r>
    </w:p>
    <w:p w14:paraId="7A6D8A93"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Виды навыков:</w:t>
      </w:r>
    </w:p>
    <w:p w14:paraId="576A35BE"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lastRenderedPageBreak/>
        <w:t xml:space="preserve"> - Самоосознание (саморегуляция) </w:t>
      </w:r>
    </w:p>
    <w:p w14:paraId="209C9C1B"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Саморегуляция – Мотивация</w:t>
      </w:r>
    </w:p>
    <w:p w14:paraId="331D88BB"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 Эмпатия</w:t>
      </w:r>
    </w:p>
    <w:p w14:paraId="0F134E5F"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 Социальные навыки </w:t>
      </w:r>
    </w:p>
    <w:p w14:paraId="72B23D38"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2. Теория Майера и Соломона (Peter Salovey, John Mayer)</w:t>
      </w:r>
    </w:p>
    <w:p w14:paraId="3AE37BB7"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 Определение: Эмоциональный интеллект — это способность понимать свои эмоции, управлять ими, а также распознавать и влиять на эмоции других. </w:t>
      </w:r>
    </w:p>
    <w:p w14:paraId="440DE463"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Основные компоненты:</w:t>
      </w:r>
    </w:p>
    <w:p w14:paraId="63FF79B0"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Восприятие и выражение эмоций </w:t>
      </w:r>
    </w:p>
    <w:p w14:paraId="5AEC38F7"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Использование эмоций для мышления </w:t>
      </w:r>
    </w:p>
    <w:p w14:paraId="33524861"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Понимание эмоций </w:t>
      </w:r>
    </w:p>
    <w:p w14:paraId="76AF733F"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Регуляция эмоций</w:t>
      </w:r>
    </w:p>
    <w:p w14:paraId="43E53910" w14:textId="0D41C0EE"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3. Модель «Интеллектуальной эмоциональности» (Bar-On) - Определение: ЭИ — это набор личностных качеств и навыков, которые позволяют человеку успешно адаптироваться к окружающей среде, решать межличностные проблемы и достигать целей. </w:t>
      </w:r>
    </w:p>
    <w:p w14:paraId="4BCAFA58"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Составляющие эмоционального интеллекта </w:t>
      </w:r>
    </w:p>
    <w:p w14:paraId="44F2F283"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Самоосознание - Способность распознавать свои эмоции в реальном времени. </w:t>
      </w:r>
    </w:p>
    <w:p w14:paraId="374E5EB0"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Саморегуляция - Умение контролировать и управлять своими эмоциональными состояниями.</w:t>
      </w:r>
    </w:p>
    <w:p w14:paraId="54934A45"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Мотивация - Внутренний стимул к достижению целей, устойчивость перед неудачами. </w:t>
      </w:r>
    </w:p>
    <w:p w14:paraId="31952C15"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Эмпатия - Способность распознавать и учитывать эмоции других людей. </w:t>
      </w:r>
    </w:p>
    <w:p w14:paraId="42C8F480"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333333"/>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Социальные навыки - Умение налаживать и поддерживать межличностные отношения, разрешать конфликты. </w:t>
      </w:r>
    </w:p>
    <w:p w14:paraId="3258A84B" w14:textId="77777777" w:rsidR="00B72DAA" w:rsidRPr="00B72DAA" w:rsidRDefault="00B72DAA" w:rsidP="00C24741">
      <w:pPr>
        <w:spacing w:after="0" w:line="240" w:lineRule="auto"/>
        <w:ind w:left="255" w:firstLine="709"/>
        <w:jc w:val="both"/>
        <w:rPr>
          <w:rFonts w:ascii="Times New Roman" w:eastAsia="Times New Roman" w:hAnsi="Times New Roman" w:cs="Times New Roman"/>
          <w:bCs/>
          <w:color w:val="000000"/>
          <w:sz w:val="32"/>
          <w:szCs w:val="32"/>
          <w:highlight w:val="white"/>
          <w:lang w:eastAsia="zh-CN"/>
        </w:rPr>
      </w:pPr>
    </w:p>
    <w:p w14:paraId="0E3D1E44"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Анализ моделей лидерства и командной работы с учетом роли эмоционального интеллекта в управлении</w:t>
      </w:r>
      <w:r w:rsidRPr="00B72DAA">
        <w:rPr>
          <w:rFonts w:ascii="Times New Roman" w:eastAsia="Times New Roman" w:hAnsi="Times New Roman" w:cs="Times New Roman"/>
          <w:bCs/>
          <w:color w:val="000000"/>
          <w:sz w:val="32"/>
          <w:szCs w:val="32"/>
          <w:lang w:eastAsia="zh-CN"/>
        </w:rPr>
        <w:br/>
      </w:r>
    </w:p>
    <w:p w14:paraId="59BEC216" w14:textId="2E93284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1.1. Трансформационное лидерство: лидер вдохновляет и мотивирует команду к достижению высоких целей, стимулирует развитие сотрудников. Роль: высокий уровень эи позволяет лидеру лучше распознавать эмоции членов команды, управлять ими и создавать атмосферу доверия и поддержки, что способствует более эффективной реализации трансформационных процессов. </w:t>
      </w:r>
    </w:p>
    <w:p w14:paraId="0628A65B" w14:textId="1EE11E7D"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lastRenderedPageBreak/>
        <w:t>1.2. Ситуационное лидерство: стиль руководства меняется в зависимости от ситуации и уровня готовности команды. Роль: лидер с развитым эи   адаптируется к эмоциональному состоянию сотрудников, что повышает его способность выбирать оптимальные стратегии взаимодействия и повышения мотивации.</w:t>
      </w:r>
    </w:p>
    <w:p w14:paraId="608294CC" w14:textId="3D5B551C"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1.3. Сервисное лидерство: лидер служит интересам команды, подчеркивает важность заботы и поддержки. Роль ЭИ: эмпатия и умение распознавать эмоциональные потребности помогают лидеру лучше удовлетворять потребности сотрудников и создавать позитивную рабочую атмосферу.</w:t>
      </w:r>
    </w:p>
    <w:p w14:paraId="0C93489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p>
    <w:p w14:paraId="09550468"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2. Модели командной работы</w:t>
      </w:r>
    </w:p>
    <w:p w14:paraId="1D96AFB3" w14:textId="73DCF9BF"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2.1. Модель Tuckman (формирование, шторм, норма, выполнение, закрепление) Описание: стадии развития команды. Роль: высокий уровень ЭИ способствует быстрому преодолению конфликтных ситуаций, укреплению доверия и созданию сплоченной команды на начальных этапах.</w:t>
      </w:r>
    </w:p>
    <w:p w14:paraId="38DF160F" w14:textId="08452CA5"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2.2. Модель Belbin (роли в команде): распределение ролей по характерным функциям. Роль: понимание и управление своими и чужими эмоциями помогает более эффективно взаимодействовать с участниками, учитывать их эмоциональные особенности и избегать конфликтов.</w:t>
      </w:r>
    </w:p>
    <w:p w14:paraId="615E017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2.3. Модель командных компетенций (эффективность, коммуникация, доверие) Описание: развитие ключевых навыков для успешной работы. Роль ЭИ: развитие общения, эмпатии и эмоциональной адаптации способствует укреплению доверия и повышению командной эффективности.</w:t>
      </w:r>
    </w:p>
    <w:p w14:paraId="6E6BC930"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p>
    <w:p w14:paraId="381219C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Влияние ЭИ на управление и развитие лидерства/команд</w:t>
      </w:r>
    </w:p>
    <w:p w14:paraId="29745531"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p>
    <w:p w14:paraId="6EF50779"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 Повышение эмоциональной компетентности способствует улучшению коммуникации, снижению конфликтов и создает позитивную рабочую атмосферы </w:t>
      </w:r>
      <w:proofErr w:type="gramStart"/>
      <w:r w:rsidRPr="00B72DAA">
        <w:rPr>
          <w:rFonts w:ascii="Times New Roman" w:eastAsia="Times New Roman" w:hAnsi="Times New Roman" w:cs="Times New Roman"/>
          <w:bCs/>
          <w:color w:val="000000"/>
          <w:sz w:val="32"/>
          <w:szCs w:val="32"/>
          <w:highlight w:val="white"/>
          <w:lang w:eastAsia="zh-CN"/>
        </w:rPr>
        <w:t>- это</w:t>
      </w:r>
      <w:proofErr w:type="gramEnd"/>
      <w:r w:rsidRPr="00B72DAA">
        <w:rPr>
          <w:rFonts w:ascii="Times New Roman" w:eastAsia="Times New Roman" w:hAnsi="Times New Roman" w:cs="Times New Roman"/>
          <w:bCs/>
          <w:color w:val="000000"/>
          <w:sz w:val="32"/>
          <w:szCs w:val="32"/>
          <w:highlight w:val="white"/>
          <w:lang w:eastAsia="zh-CN"/>
        </w:rPr>
        <w:t xml:space="preserve"> помогает менеджерам лучше распознавать и регулировать собственные эмоции, что важно для принятия взвешенных решений.</w:t>
      </w:r>
    </w:p>
    <w:p w14:paraId="492CA285"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 Развитие эмпатии и социальных навыков усиливает мотивацию и вовлеченность сотрудников.</w:t>
      </w:r>
    </w:p>
    <w:p w14:paraId="5063A201"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t xml:space="preserve"> </w:t>
      </w:r>
    </w:p>
    <w:p w14:paraId="194AEA77"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lastRenderedPageBreak/>
        <w:t>Исследование взаимосвязи между уровнем развития эмоционального интеллекта руководителей и результативностью их лидерских качеств является актуальной областью в области организационной психологии и лидерства</w:t>
      </w:r>
    </w:p>
    <w:p w14:paraId="3F2E05F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Теория предполагает, что руководители с высоким уровнем ЭИ обладают следующими преимуществами:</w:t>
      </w:r>
    </w:p>
    <w:p w14:paraId="63A81A9D"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Более эффективным управлением командой и стрессовыми ситуациями</w:t>
      </w:r>
    </w:p>
    <w:p w14:paraId="4311EE39"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Повышенной способностью мотивировать сотрудников </w:t>
      </w:r>
    </w:p>
    <w:p w14:paraId="21ECDDD8"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Улучшением коммуникаций и межличностных отношений</w:t>
      </w:r>
    </w:p>
    <w:p w14:paraId="170778D8"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 Созданием доверительной и поддерживающей рабочей атмосферы </w:t>
      </w:r>
    </w:p>
    <w:p w14:paraId="14B3B3FD"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Эти качества способствуют достижению бизнес-целей, повышению производительности и развитию организационной культуры. </w:t>
      </w:r>
    </w:p>
    <w:p w14:paraId="4D0CA941"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Эмпирические исследования: Большинство исследований подтверждают положительную связь между уровнем ЭИ руководителей и их лидерской результативностью. Например, исследования показывают, что руководители с развитым ЭИ демонстрируют более высокие показатели эффективности, лучше управляют конфликтами, создают мотивационную среду и способствуют инновациям.</w:t>
      </w:r>
    </w:p>
    <w:p w14:paraId="79C6133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Теоретические основы свидетельствуют, что развитие эмоционального интеллекта является важным фактором формирования эффективных лидерских качеств. Эмоциональный интеллект способствует улучшению межличностных отношений, повышению мотивации и обеспечению устойчивого развития организации. Поэтому для повышения результативности руководителей рекомендуется развитие их эмоционального интеллекта через обучение, тренинги и практические упражнения.</w:t>
      </w:r>
    </w:p>
    <w:p w14:paraId="2FD326DD"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Влияние эмоционального интеллекта на формирование коммуникации, мотивации и управления конфликтами в командной среде. </w:t>
      </w:r>
    </w:p>
    <w:p w14:paraId="1796A95C"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Эффективные коммуникации: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Высокий уровень ЭИ снижает риск недоразумений, способствует эмпатии и активному слушанию. Руководители с развитым ЭИ легко передают и воспринимают информацию, что повышает доверие и содействует конструктивному диалогу. </w:t>
      </w:r>
      <w:r w:rsidRPr="00B72DAA">
        <w:rPr>
          <w:rFonts w:ascii="Times New Roman" w:eastAsia="Times New Roman" w:hAnsi="Times New Roman" w:cs="Times New Roman"/>
          <w:bCs/>
          <w:color w:val="000000"/>
          <w:sz w:val="32"/>
          <w:szCs w:val="32"/>
          <w:lang w:eastAsia="zh-CN"/>
        </w:rPr>
        <w:t xml:space="preserve"> </w:t>
      </w:r>
    </w:p>
    <w:p w14:paraId="09EBF05D"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lastRenderedPageBreak/>
        <w:t>Мотивация:</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ЭИ позволяет руководителям лучше понять потребности, ценности и эмоциональное состояние сотрудников. Это способствует формированию индивидуальных методов мотивации, созданию позитивной рабочей атмосферы и повышению вовлеченности. </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Управление конфликтами: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Экспертное владение собственными эмоциями помогает управлять стрессом и раздражением, а также распознавать эмоциональные причины конфликтов. ЭИ способствует развитию стратегии конструктивного решения разногласий, предотвращая эскалацию конфликтных ситуаций.</w:t>
      </w:r>
    </w:p>
    <w:p w14:paraId="3B70CD44"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p>
    <w:p w14:paraId="717F8D5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Теоретические основы и повышение ЭИ у руководителей и сотрудников</w:t>
      </w:r>
    </w:p>
    <w:p w14:paraId="60CDA3C3" w14:textId="339AB3A3"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Теоретические аспекты:</w:t>
      </w:r>
    </w:p>
    <w:p w14:paraId="4C104FBF"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Модель интегративного развития ЭИ: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включает развитие самосознания, саморегуляции, социальной осведомленности и навыков межличностного взаимодействия. </w:t>
      </w:r>
    </w:p>
    <w:p w14:paraId="28D03F69"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Концепция эмоционального развития (Bar-On)</w:t>
      </w:r>
      <w:proofErr w:type="gramStart"/>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Расширяет</w:t>
      </w:r>
      <w:proofErr w:type="gramEnd"/>
      <w:r w:rsidRPr="00B72DAA">
        <w:rPr>
          <w:rFonts w:ascii="Times New Roman" w:eastAsia="Times New Roman" w:hAnsi="Times New Roman" w:cs="Times New Roman"/>
          <w:bCs/>
          <w:color w:val="000000"/>
          <w:sz w:val="32"/>
          <w:szCs w:val="32"/>
          <w:highlight w:val="white"/>
          <w:lang w:eastAsia="zh-CN"/>
        </w:rPr>
        <w:t xml:space="preserve"> понятия самооценки, стрессоустойчивости, межличностных навыков, что способствует развитию профессиональных компетенций.</w:t>
      </w:r>
    </w:p>
    <w:p w14:paraId="581D5DA2"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Подходы к развитию ЭИ:</w:t>
      </w:r>
      <w:r w:rsidRPr="00B72DAA">
        <w:rPr>
          <w:rFonts w:ascii="Times New Roman" w:eastAsia="Times New Roman" w:hAnsi="Times New Roman" w:cs="Times New Roman"/>
          <w:bCs/>
          <w:color w:val="000000"/>
          <w:sz w:val="32"/>
          <w:szCs w:val="32"/>
          <w:lang w:eastAsia="zh-CN"/>
        </w:rPr>
        <w:t xml:space="preserve"> </w:t>
      </w:r>
    </w:p>
    <w:p w14:paraId="799DFC6B"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Обучающие программы и тренинги:</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через ролевые игры, кейс-методики, тренировки эмоциональной саморегуляции, развитие эмпатии и социальных навыков.</w:t>
      </w:r>
    </w:p>
    <w:p w14:paraId="3CE99CA4"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-Практики осознанности (mindfulness):</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способствуют развитию самосознания и контроля над эмоциями.</w:t>
      </w:r>
    </w:p>
    <w:p w14:paraId="692B1E83"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Наставничество и коучинг:</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 xml:space="preserve">поддержка формирования навыков через обратную связь и индивидуальную работу. </w:t>
      </w:r>
    </w:p>
    <w:p w14:paraId="363E66C0"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Саморефлексия:</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ведение дневников, анализ ситуаций для повышения уровня самосознания.</w:t>
      </w:r>
    </w:p>
    <w:p w14:paraId="12F8A174"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r w:rsidRPr="00B72DAA">
        <w:rPr>
          <w:rFonts w:ascii="Times New Roman" w:eastAsia="Times New Roman" w:hAnsi="Times New Roman" w:cs="Times New Roman"/>
          <w:bCs/>
          <w:color w:val="000000"/>
          <w:sz w:val="32"/>
          <w:szCs w:val="32"/>
          <w:highlight w:val="white"/>
          <w:lang w:eastAsia="zh-CN"/>
        </w:rPr>
        <w:t xml:space="preserve"> -</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Интеграция ЭИ в корпоративную культуру:</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создание условий, стимулирующих развитие эмоциональных компетенций на уровне всей организации</w:t>
      </w:r>
    </w:p>
    <w:p w14:paraId="6756A07A" w14:textId="77777777" w:rsidR="00B72DAA" w:rsidRPr="00B72DAA" w:rsidRDefault="00B72DAA" w:rsidP="00C24741">
      <w:pPr>
        <w:spacing w:after="0" w:line="240" w:lineRule="auto"/>
        <w:ind w:firstLine="709"/>
        <w:jc w:val="both"/>
        <w:rPr>
          <w:rFonts w:ascii="Times New Roman" w:eastAsia="Times New Roman" w:hAnsi="Times New Roman" w:cs="Times New Roman"/>
          <w:bCs/>
          <w:color w:val="000000"/>
          <w:sz w:val="32"/>
          <w:szCs w:val="32"/>
          <w:highlight w:val="white"/>
          <w:lang w:eastAsia="zh-CN"/>
        </w:rPr>
      </w:pPr>
    </w:p>
    <w:p w14:paraId="01575126"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Тренинговые модули и </w:t>
      </w:r>
      <w:proofErr w:type="gramStart"/>
      <w:r w:rsidRPr="00B72DAA">
        <w:rPr>
          <w:rFonts w:ascii="Times New Roman" w:eastAsia="Times New Roman" w:hAnsi="Times New Roman" w:cs="Times New Roman"/>
          <w:bCs/>
          <w:color w:val="000000"/>
          <w:sz w:val="32"/>
          <w:szCs w:val="32"/>
          <w:lang w:eastAsia="zh-CN"/>
        </w:rPr>
        <w:t>практические  упражнения</w:t>
      </w:r>
      <w:proofErr w:type="gramEnd"/>
      <w:r w:rsidRPr="00B72DAA">
        <w:rPr>
          <w:rFonts w:ascii="Times New Roman" w:eastAsia="Times New Roman" w:hAnsi="Times New Roman" w:cs="Times New Roman"/>
          <w:bCs/>
          <w:color w:val="000000"/>
          <w:sz w:val="32"/>
          <w:szCs w:val="32"/>
          <w:lang w:eastAsia="zh-CN"/>
        </w:rPr>
        <w:t xml:space="preserve"> для развития навыков самосознания, саморегуляции, социальной осознанности и управления отношениями </w:t>
      </w:r>
    </w:p>
    <w:p w14:paraId="0DD0D6B4"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Тренинговые модули:</w:t>
      </w:r>
    </w:p>
    <w:p w14:paraId="1FC97E34"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1. Модуль «Саморегуляция и стресс-менеджмент» </w:t>
      </w:r>
    </w:p>
    <w:p w14:paraId="0FFB4275"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lastRenderedPageBreak/>
        <w:t xml:space="preserve">- Техники дыхания и релаксации </w:t>
      </w:r>
    </w:p>
    <w:p w14:paraId="35314F1E"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Упражнения на замедление реакции (например, техника «пауза» при возникновении конфликта)</w:t>
      </w:r>
    </w:p>
    <w:p w14:paraId="3FB51478"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Ролевые игры, моделирующие ситуации, требующие контроль эмоций </w:t>
      </w:r>
    </w:p>
    <w:p w14:paraId="20DF0445"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2. Модуль «Социальная осознанность и эмпатия»</w:t>
      </w:r>
    </w:p>
    <w:p w14:paraId="26B37D9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Оценка невербальных сигналов</w:t>
      </w:r>
    </w:p>
    <w:p w14:paraId="4EE50DD9"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Упражнения на развитие активного слушания</w:t>
      </w:r>
    </w:p>
    <w:p w14:paraId="4451266F"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Взаимодействия в парных и групповых заданиях, направленные на понимание точки зрения другого</w:t>
      </w:r>
    </w:p>
    <w:p w14:paraId="783C39AD"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3. Модуль «Управление отношениями и конфликтами»</w:t>
      </w:r>
    </w:p>
    <w:p w14:paraId="397D9B6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Разбор конфликтных ситуаций и поиск способов их разрешения</w:t>
      </w:r>
    </w:p>
    <w:p w14:paraId="22BECA0E"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Тренинг по построению доверительных коммуникаций </w:t>
      </w:r>
    </w:p>
    <w:p w14:paraId="0C5A518F"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Практика обратной связи Практические упражнения:</w:t>
      </w:r>
    </w:p>
    <w:p w14:paraId="7FF77F96"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Рефлексия после встреч и проектов по вопросам эмоциональной поддержки и взаимодействия</w:t>
      </w:r>
    </w:p>
    <w:p w14:paraId="54E696E0" w14:textId="77777777" w:rsidR="00B72DAA" w:rsidRPr="00B72DAA" w:rsidRDefault="00B72DAA" w:rsidP="00C24741">
      <w:pPr>
        <w:spacing w:after="0" w:line="240" w:lineRule="auto"/>
        <w:ind w:right="120" w:firstLine="709"/>
        <w:jc w:val="both"/>
        <w:rPr>
          <w:rFonts w:ascii="Times New Roman" w:eastAsia="Times New Roman" w:hAnsi="Times New Roman" w:cs="Times New Roman"/>
          <w:bCs/>
          <w:color w:val="000000"/>
          <w:sz w:val="32"/>
          <w:szCs w:val="32"/>
          <w:lang w:eastAsia="zh-CN"/>
        </w:rPr>
      </w:pPr>
    </w:p>
    <w:p w14:paraId="2D36F31B" w14:textId="77777777" w:rsidR="00B72DAA" w:rsidRPr="00B72DAA" w:rsidRDefault="00B72DAA" w:rsidP="00C24741">
      <w:pPr>
        <w:spacing w:after="0" w:line="240" w:lineRule="auto"/>
        <w:ind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Внедрение методов оценки влияния эмоционального интеллекта на командную работу </w:t>
      </w:r>
    </w:p>
    <w:p w14:paraId="30192395"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Организация мониторинга и сбор обратной связи по результатам командных проектов после проведения тренингов </w:t>
      </w:r>
    </w:p>
    <w:p w14:paraId="4F76DDA0"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Меры по оценке:</w:t>
      </w:r>
    </w:p>
    <w:p w14:paraId="1E211C71"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1. Разработка опросников и анкет для участников команд, включающих вопросы о коммуникации, доверии, уровне стресса, эффективности взаимодействия.</w:t>
      </w:r>
    </w:p>
    <w:p w14:paraId="774CE24E"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2. Анализ результатов командных проектов с учетом изменений в показателях эффективности, уровня конфликтности и удовлетворенности участников.</w:t>
      </w:r>
    </w:p>
    <w:p w14:paraId="5B92C09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3. Проведение регулярных фокус-групп и интервью для получения качественной обратной связи.</w:t>
      </w:r>
    </w:p>
    <w:p w14:paraId="27F29328"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w:t>
      </w:r>
    </w:p>
    <w:p w14:paraId="20043183"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Примеры внедрения: </w:t>
      </w:r>
    </w:p>
    <w:p w14:paraId="5BEC291C"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Введение корпоративных ценностей, отражающих уважение и поддержку</w:t>
      </w:r>
    </w:p>
    <w:p w14:paraId="0DF1EBB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Политика «открытых дверей» для руководителей </w:t>
      </w:r>
    </w:p>
    <w:p w14:paraId="14EBBAF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Обеспечение возможности для анонимных обратных связей</w:t>
      </w:r>
    </w:p>
    <w:p w14:paraId="326FA0FE"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lang w:eastAsia="zh-CN"/>
        </w:rPr>
        <w:t xml:space="preserve"> - Поддержка инициатив по развитию эмоциональных навыков </w:t>
      </w:r>
    </w:p>
    <w:p w14:paraId="7F800A4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p>
    <w:p w14:paraId="6E168BF2" w14:textId="77777777" w:rsidR="00B72DAA" w:rsidRPr="00B72DAA" w:rsidRDefault="00B72DAA" w:rsidP="00C24741">
      <w:pPr>
        <w:spacing w:after="0" w:line="240" w:lineRule="auto"/>
        <w:ind w:left="120" w:right="120" w:firstLine="709"/>
        <w:jc w:val="both"/>
        <w:rPr>
          <w:rFonts w:ascii="Times New Roman" w:eastAsia="Times New Roman" w:hAnsi="Times New Roman" w:cs="Times New Roman"/>
          <w:bCs/>
          <w:color w:val="000000"/>
          <w:sz w:val="32"/>
          <w:szCs w:val="32"/>
          <w:lang w:eastAsia="zh-CN"/>
        </w:rPr>
      </w:pPr>
      <w:r w:rsidRPr="00B72DAA">
        <w:rPr>
          <w:rFonts w:ascii="Times New Roman" w:eastAsia="Times New Roman" w:hAnsi="Times New Roman" w:cs="Times New Roman"/>
          <w:bCs/>
          <w:color w:val="000000"/>
          <w:sz w:val="32"/>
          <w:szCs w:val="32"/>
          <w:highlight w:val="white"/>
          <w:lang w:eastAsia="zh-CN"/>
        </w:rPr>
        <w:lastRenderedPageBreak/>
        <w:t>Таким образом, проанализировав все показатели, можно сделать вывод об эффективности проекта и целесообразности его внедрения на предприятии.  </w:t>
      </w:r>
      <w:r w:rsidRPr="00B72DAA">
        <w:rPr>
          <w:rFonts w:ascii="Times New Roman" w:eastAsia="Times New Roman" w:hAnsi="Times New Roman" w:cs="Times New Roman"/>
          <w:bCs/>
          <w:color w:val="000000"/>
          <w:sz w:val="32"/>
          <w:szCs w:val="32"/>
          <w:lang w:eastAsia="zh-CN"/>
        </w:rPr>
        <w:t xml:space="preserve"> </w:t>
      </w:r>
      <w:r w:rsidRPr="00B72DAA">
        <w:rPr>
          <w:rFonts w:ascii="Times New Roman" w:eastAsia="Times New Roman" w:hAnsi="Times New Roman" w:cs="Times New Roman"/>
          <w:bCs/>
          <w:color w:val="000000"/>
          <w:sz w:val="32"/>
          <w:szCs w:val="32"/>
          <w:highlight w:val="white"/>
          <w:lang w:eastAsia="zh-CN"/>
        </w:rPr>
        <w:t>Развитие эмоционального интеллекта является фундаментальной основой формирования эффективных управленческих практик, способствующих улучшению коммуникации, мотивации и управлению конфликтами. Систематическая оценка и целенаправленное развитие компонентов ЭИ позволяют руководителям и сотрудникам достигать более высоких результатов и создавать гармоничную рабочую среду.</w:t>
      </w:r>
    </w:p>
    <w:p w14:paraId="7203BA6C" w14:textId="77777777" w:rsidR="00B72DAA" w:rsidRPr="00B72DAA" w:rsidRDefault="00B72DAA" w:rsidP="00B72DAA">
      <w:pPr>
        <w:spacing w:before="60" w:after="75" w:line="240" w:lineRule="auto"/>
        <w:ind w:left="120" w:right="120"/>
        <w:jc w:val="center"/>
        <w:rPr>
          <w:rFonts w:ascii="Times New Roman" w:eastAsia="Times New Roman" w:hAnsi="Times New Roman" w:cs="Times New Roman"/>
          <w:color w:val="000000"/>
          <w:sz w:val="28"/>
          <w:szCs w:val="20"/>
          <w:lang w:eastAsia="zh-CN"/>
        </w:rPr>
      </w:pPr>
    </w:p>
    <w:p w14:paraId="1413B6A6" w14:textId="24C19F93" w:rsidR="00B72DAA" w:rsidRPr="00B72DAA" w:rsidRDefault="00B72DAA" w:rsidP="00267B27">
      <w:pPr>
        <w:spacing w:after="0" w:line="240" w:lineRule="auto"/>
        <w:jc w:val="center"/>
        <w:rPr>
          <w:rFonts w:ascii="Times New Roman" w:eastAsia="Times New Roman" w:hAnsi="Times New Roman" w:cs="Times New Roman"/>
          <w:b/>
          <w:bCs/>
          <w:color w:val="000000"/>
          <w:sz w:val="21"/>
          <w:szCs w:val="21"/>
          <w:lang w:eastAsia="zh-CN"/>
        </w:rPr>
      </w:pPr>
      <w:r w:rsidRPr="00B72DAA">
        <w:rPr>
          <w:rFonts w:ascii="Times New Roman" w:eastAsia="Times New Roman" w:hAnsi="Times New Roman" w:cs="Times New Roman"/>
          <w:b/>
          <w:bCs/>
          <w:color w:val="000000"/>
          <w:sz w:val="21"/>
          <w:szCs w:val="21"/>
          <w:highlight w:val="white"/>
          <w:lang w:eastAsia="zh-CN"/>
        </w:rPr>
        <w:t>Литература</w:t>
      </w:r>
      <w:r w:rsidR="00952539">
        <w:rPr>
          <w:rFonts w:ascii="Times New Roman" w:eastAsia="Times New Roman" w:hAnsi="Times New Roman" w:cs="Times New Roman"/>
          <w:b/>
          <w:bCs/>
          <w:color w:val="000000"/>
          <w:sz w:val="21"/>
          <w:szCs w:val="21"/>
          <w:lang w:eastAsia="zh-CN"/>
        </w:rPr>
        <w:t>:</w:t>
      </w:r>
    </w:p>
    <w:p w14:paraId="5352CA0E" w14:textId="77777777" w:rsidR="00B72DAA" w:rsidRPr="00B72DAA" w:rsidRDefault="00B72DAA" w:rsidP="00952539">
      <w:pPr>
        <w:spacing w:after="0" w:line="240" w:lineRule="auto"/>
        <w:rPr>
          <w:rFonts w:ascii="Times New Roman" w:eastAsia="Times New Roman" w:hAnsi="Times New Roman" w:cs="Times New Roman"/>
          <w:color w:val="000000"/>
          <w:sz w:val="21"/>
          <w:szCs w:val="21"/>
          <w:highlight w:val="white"/>
          <w:lang w:eastAsia="zh-CN"/>
        </w:rPr>
      </w:pPr>
      <w:r w:rsidRPr="00B72DAA">
        <w:rPr>
          <w:rFonts w:ascii="Times New Roman" w:eastAsia="Times New Roman" w:hAnsi="Times New Roman" w:cs="Times New Roman"/>
          <w:color w:val="000000"/>
          <w:sz w:val="21"/>
          <w:szCs w:val="21"/>
          <w:highlight w:val="white"/>
          <w:lang w:eastAsia="zh-CN"/>
        </w:rPr>
        <w:t xml:space="preserve">1.Статья Осипенковой В.С. «Роль эмоционального интеллекта в менеджменте» </w:t>
      </w:r>
    </w:p>
    <w:p w14:paraId="2A1E6D6E" w14:textId="77777777" w:rsidR="00B72DAA" w:rsidRPr="00B72DAA" w:rsidRDefault="00132A69" w:rsidP="00952539">
      <w:pPr>
        <w:spacing w:after="0" w:line="240" w:lineRule="auto"/>
        <w:rPr>
          <w:rFonts w:ascii="Times New Roman" w:eastAsia="Times New Roman" w:hAnsi="Times New Roman" w:cs="Times New Roman"/>
          <w:color w:val="000000"/>
          <w:sz w:val="21"/>
          <w:szCs w:val="21"/>
          <w:lang w:eastAsia="zh-CN"/>
        </w:rPr>
      </w:pPr>
      <w:hyperlink r:id="rId348" w:history="1">
        <w:r w:rsidR="00B72DAA" w:rsidRPr="00B72DAA">
          <w:rPr>
            <w:rFonts w:ascii="Times New Roman" w:eastAsia="Times New Roman" w:hAnsi="Times New Roman" w:cs="Times New Roman"/>
            <w:color w:val="0000FF"/>
            <w:sz w:val="21"/>
            <w:szCs w:val="21"/>
            <w:u w:val="single"/>
            <w:lang w:eastAsia="zh-CN"/>
          </w:rPr>
          <w:t>https://elar.urfu.ru/bitstream/10995/120367/1/978-5-8295-0816-6_2022_066.pdf</w:t>
        </w:r>
      </w:hyperlink>
    </w:p>
    <w:p w14:paraId="6C58CF7A" w14:textId="77777777" w:rsidR="00B72DAA" w:rsidRPr="00B72DAA" w:rsidRDefault="00B72DAA" w:rsidP="00952539">
      <w:pPr>
        <w:spacing w:after="0" w:line="240" w:lineRule="auto"/>
        <w:rPr>
          <w:rFonts w:ascii="Times New Roman" w:eastAsia="Times New Roman" w:hAnsi="Times New Roman" w:cs="Times New Roman"/>
          <w:color w:val="000000"/>
          <w:sz w:val="21"/>
          <w:szCs w:val="21"/>
          <w:lang w:eastAsia="zh-CN"/>
        </w:rPr>
      </w:pPr>
      <w:r w:rsidRPr="00B72DAA">
        <w:rPr>
          <w:rFonts w:ascii="Times New Roman" w:eastAsia="Times New Roman" w:hAnsi="Times New Roman" w:cs="Times New Roman"/>
          <w:color w:val="000000"/>
          <w:sz w:val="21"/>
          <w:szCs w:val="21"/>
          <w:lang w:eastAsia="zh-CN"/>
        </w:rPr>
        <w:t>2.С</w:t>
      </w:r>
      <w:r w:rsidRPr="00B72DAA">
        <w:rPr>
          <w:rFonts w:ascii="Times New Roman" w:eastAsia="Times New Roman" w:hAnsi="Times New Roman" w:cs="Times New Roman"/>
          <w:color w:val="000000"/>
          <w:sz w:val="21"/>
          <w:szCs w:val="21"/>
          <w:highlight w:val="white"/>
          <w:lang w:eastAsia="zh-CN"/>
        </w:rPr>
        <w:t xml:space="preserve">татья И.В. Никулина «Эмоциональный интеллект: инструменты развития» </w:t>
      </w:r>
    </w:p>
    <w:p w14:paraId="261C7634" w14:textId="77777777" w:rsidR="00B72DAA" w:rsidRPr="00B72DAA" w:rsidRDefault="00132A69" w:rsidP="00952539">
      <w:pPr>
        <w:spacing w:after="0" w:line="240" w:lineRule="auto"/>
        <w:rPr>
          <w:rFonts w:ascii="Times New Roman" w:eastAsia="Times New Roman" w:hAnsi="Times New Roman" w:cs="Times New Roman"/>
          <w:color w:val="000000"/>
          <w:sz w:val="21"/>
          <w:szCs w:val="21"/>
          <w:highlight w:val="white"/>
          <w:lang w:eastAsia="zh-CN"/>
        </w:rPr>
      </w:pPr>
      <w:hyperlink r:id="rId349" w:history="1">
        <w:r w:rsidR="00B72DAA" w:rsidRPr="00B72DAA">
          <w:rPr>
            <w:rFonts w:ascii="Times New Roman" w:eastAsia="Times New Roman" w:hAnsi="Times New Roman" w:cs="Times New Roman"/>
            <w:color w:val="0000FF"/>
            <w:sz w:val="21"/>
            <w:szCs w:val="21"/>
            <w:u w:val="single"/>
            <w:lang w:eastAsia="zh-CN"/>
          </w:rPr>
          <w:t>https://repo.ssau.ru/bitstream/Uchebnye-izdaniya/Emocionalnyi-intellekt-instrumenty-razvitiya-99069/1/978-5-7883-1778-6_2022.pdf</w:t>
        </w:r>
      </w:hyperlink>
    </w:p>
    <w:p w14:paraId="2CEF7E89" w14:textId="77777777" w:rsidR="00B72DAA" w:rsidRPr="00B72DAA" w:rsidRDefault="00B72DAA" w:rsidP="00952539">
      <w:pPr>
        <w:spacing w:after="0" w:line="240" w:lineRule="auto"/>
        <w:rPr>
          <w:rFonts w:ascii="Times New Roman" w:eastAsia="Times New Roman" w:hAnsi="Times New Roman" w:cs="Times New Roman"/>
          <w:color w:val="000000"/>
          <w:sz w:val="21"/>
          <w:szCs w:val="21"/>
          <w:lang w:eastAsia="zh-CN"/>
        </w:rPr>
      </w:pPr>
      <w:r w:rsidRPr="00B72DAA">
        <w:rPr>
          <w:rFonts w:ascii="Times New Roman" w:eastAsia="Times New Roman" w:hAnsi="Times New Roman" w:cs="Times New Roman"/>
          <w:color w:val="000000"/>
          <w:sz w:val="21"/>
          <w:szCs w:val="21"/>
          <w:lang w:eastAsia="zh-CN"/>
        </w:rPr>
        <w:t>3.</w:t>
      </w:r>
      <w:r w:rsidRPr="00B72DAA">
        <w:rPr>
          <w:rFonts w:ascii="Times New Roman" w:eastAsia="Times New Roman" w:hAnsi="Times New Roman" w:cs="Times New Roman"/>
          <w:color w:val="000000"/>
          <w:sz w:val="21"/>
          <w:szCs w:val="21"/>
          <w:highlight w:val="white"/>
          <w:lang w:eastAsia="zh-CN"/>
        </w:rPr>
        <w:t xml:space="preserve">Статья А.Х. Биккузина «Эмоциональный интеллект и важность его развития» </w:t>
      </w:r>
    </w:p>
    <w:p w14:paraId="302F26DD" w14:textId="582C3A5B" w:rsidR="00877DE5" w:rsidRPr="00952539" w:rsidRDefault="00132A69" w:rsidP="00952539">
      <w:pPr>
        <w:spacing w:after="0" w:line="240" w:lineRule="auto"/>
        <w:rPr>
          <w:rFonts w:ascii="Times New Roman" w:eastAsia="Times New Roman" w:hAnsi="Times New Roman" w:cs="Times New Roman"/>
          <w:color w:val="000000"/>
          <w:sz w:val="21"/>
          <w:szCs w:val="21"/>
          <w:highlight w:val="white"/>
          <w:lang w:eastAsia="zh-CN"/>
        </w:rPr>
      </w:pPr>
      <w:hyperlink r:id="rId350" w:history="1">
        <w:r w:rsidR="00B72DAA" w:rsidRPr="00B72DAA">
          <w:rPr>
            <w:rFonts w:ascii="Times New Roman" w:eastAsia="Times New Roman" w:hAnsi="Times New Roman" w:cs="Times New Roman"/>
            <w:color w:val="0000FF"/>
            <w:sz w:val="21"/>
            <w:szCs w:val="21"/>
            <w:u w:val="single"/>
            <w:lang w:eastAsia="zh-CN"/>
          </w:rPr>
          <w:t>https://vestnik.bsau.ru/netcat_files/journal/archive/2024-2-159.9.pdf</w:t>
        </w:r>
      </w:hyperlink>
    </w:p>
    <w:p w14:paraId="3B28B69E" w14:textId="77777777" w:rsidR="00B72DAA" w:rsidRPr="00877DE5" w:rsidRDefault="00B72DAA" w:rsidP="00067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spacing w:after="0" w:line="240" w:lineRule="auto"/>
        <w:ind w:left="141" w:firstLine="709"/>
        <w:jc w:val="both"/>
        <w:rPr>
          <w:rFonts w:ascii="Times New Roman" w:eastAsia="Times New Roman" w:hAnsi="Times New Roman" w:cs="Times New Roman"/>
          <w:sz w:val="28"/>
          <w:szCs w:val="28"/>
        </w:rPr>
      </w:pPr>
    </w:p>
    <w:p w14:paraId="1BF2A6A8" w14:textId="77777777" w:rsidR="00877DE5" w:rsidRPr="00877DE5" w:rsidRDefault="00877DE5" w:rsidP="00666422">
      <w:pPr>
        <w:spacing w:after="0" w:line="240" w:lineRule="auto"/>
        <w:rPr>
          <w:rFonts w:ascii="Times New Roman" w:eastAsia="Times New Roman" w:hAnsi="Times New Roman" w:cs="Times New Roman"/>
          <w:b/>
          <w:bCs/>
          <w:sz w:val="24"/>
          <w:szCs w:val="24"/>
          <w:lang w:eastAsia="ru-RU"/>
        </w:rPr>
      </w:pPr>
      <w:r w:rsidRPr="00877DE5">
        <w:rPr>
          <w:rFonts w:ascii="Times New Roman" w:eastAsia="Times New Roman" w:hAnsi="Times New Roman" w:cs="Times New Roman"/>
          <w:b/>
          <w:bCs/>
          <w:sz w:val="21"/>
          <w:szCs w:val="21"/>
          <w:shd w:val="clear" w:color="auto" w:fill="FFFFFF"/>
          <w:lang w:eastAsia="ru-RU"/>
        </w:rPr>
        <w:t>УДК 331.108</w:t>
      </w:r>
    </w:p>
    <w:p w14:paraId="46F0419D"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b/>
          <w:i/>
          <w:color w:val="000000"/>
          <w:sz w:val="21"/>
          <w:szCs w:val="21"/>
          <w:lang w:eastAsia="ru-RU"/>
        </w:rPr>
        <w:t xml:space="preserve">Соболева С.И., </w:t>
      </w:r>
    </w:p>
    <w:p w14:paraId="0A1201ED"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 xml:space="preserve">студент 2 курса </w:t>
      </w:r>
    </w:p>
    <w:p w14:paraId="6FE08510"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sz w:val="21"/>
          <w:szCs w:val="21"/>
          <w:lang w:eastAsia="ru-RU"/>
        </w:rPr>
      </w:pPr>
      <w:r w:rsidRPr="00877DE5">
        <w:rPr>
          <w:rFonts w:ascii="Times New Roman" w:eastAsia="Times New Roman" w:hAnsi="Times New Roman" w:cs="Times New Roman"/>
          <w:i/>
          <w:color w:val="000000"/>
          <w:sz w:val="21"/>
          <w:szCs w:val="21"/>
          <w:lang w:eastAsia="ru-RU"/>
        </w:rPr>
        <w:t>Краснодарский филиал Финансового университета при Правительстве РФ</w:t>
      </w:r>
    </w:p>
    <w:p w14:paraId="135D97D9"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г. Краснодар, Россия</w:t>
      </w:r>
    </w:p>
    <w:p w14:paraId="08971C01" w14:textId="77777777" w:rsidR="00877DE5" w:rsidRPr="00877DE5" w:rsidRDefault="00877DE5" w:rsidP="00067100">
      <w:pPr>
        <w:spacing w:after="0" w:line="240" w:lineRule="auto"/>
        <w:ind w:firstLine="709"/>
        <w:jc w:val="right"/>
        <w:rPr>
          <w:rFonts w:ascii="Times New Roman" w:eastAsia="Calibri" w:hAnsi="Times New Roman" w:cs="Times New Roman"/>
          <w:i/>
          <w:color w:val="0000FF"/>
          <w:sz w:val="21"/>
          <w:szCs w:val="21"/>
        </w:rPr>
      </w:pPr>
      <w:r w:rsidRPr="00877DE5">
        <w:rPr>
          <w:rFonts w:ascii="Times New Roman" w:eastAsia="Calibri" w:hAnsi="Times New Roman" w:cs="Times New Roman"/>
          <w:i/>
          <w:sz w:val="21"/>
          <w:szCs w:val="21"/>
        </w:rPr>
        <w:t>е-</w:t>
      </w:r>
      <w:r w:rsidRPr="00877DE5">
        <w:rPr>
          <w:rFonts w:ascii="Times New Roman" w:eastAsia="Calibri" w:hAnsi="Times New Roman" w:cs="Times New Roman"/>
          <w:i/>
          <w:sz w:val="21"/>
          <w:szCs w:val="21"/>
          <w:lang w:val="en-US"/>
        </w:rPr>
        <w:t>mail</w:t>
      </w:r>
      <w:r w:rsidRPr="00877DE5">
        <w:rPr>
          <w:rFonts w:ascii="Times New Roman" w:eastAsia="Calibri" w:hAnsi="Times New Roman" w:cs="Times New Roman"/>
          <w:i/>
          <w:sz w:val="21"/>
          <w:szCs w:val="21"/>
        </w:rPr>
        <w:t xml:space="preserve">: </w:t>
      </w:r>
      <w:hyperlink r:id="rId351" w:history="1">
        <w:r w:rsidRPr="00877DE5">
          <w:rPr>
            <w:rFonts w:ascii="Times New Roman" w:eastAsia="Calibri" w:hAnsi="Times New Roman" w:cs="Times New Roman"/>
            <w:i/>
            <w:color w:val="0563C1"/>
            <w:sz w:val="21"/>
            <w:szCs w:val="21"/>
            <w:u w:val="single"/>
            <w:lang w:val="en-US"/>
          </w:rPr>
          <w:t>sonya</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soboleva</w:t>
        </w:r>
        <w:r w:rsidRPr="00877DE5">
          <w:rPr>
            <w:rFonts w:ascii="Times New Roman" w:eastAsia="Calibri" w:hAnsi="Times New Roman" w:cs="Times New Roman"/>
            <w:i/>
            <w:color w:val="0563C1"/>
            <w:sz w:val="21"/>
            <w:szCs w:val="21"/>
            <w:u w:val="single"/>
          </w:rPr>
          <w:t>.2005@</w:t>
        </w:r>
        <w:r w:rsidRPr="00877DE5">
          <w:rPr>
            <w:rFonts w:ascii="Times New Roman" w:eastAsia="Calibri" w:hAnsi="Times New Roman" w:cs="Times New Roman"/>
            <w:i/>
            <w:color w:val="0563C1"/>
            <w:sz w:val="21"/>
            <w:szCs w:val="21"/>
            <w:u w:val="single"/>
            <w:lang w:val="en-US"/>
          </w:rPr>
          <w:t>gmail</w:t>
        </w:r>
        <w:r w:rsidRPr="00877DE5">
          <w:rPr>
            <w:rFonts w:ascii="Times New Roman" w:eastAsia="Calibri" w:hAnsi="Times New Roman" w:cs="Times New Roman"/>
            <w:i/>
            <w:color w:val="0563C1"/>
            <w:sz w:val="21"/>
            <w:szCs w:val="21"/>
            <w:u w:val="single"/>
          </w:rPr>
          <w:t>.</w:t>
        </w:r>
        <w:r w:rsidRPr="00877DE5">
          <w:rPr>
            <w:rFonts w:ascii="Times New Roman" w:eastAsia="Calibri" w:hAnsi="Times New Roman" w:cs="Times New Roman"/>
            <w:i/>
            <w:color w:val="0563C1"/>
            <w:sz w:val="21"/>
            <w:szCs w:val="21"/>
            <w:u w:val="single"/>
            <w:lang w:val="en-US"/>
          </w:rPr>
          <w:t>com</w:t>
        </w:r>
      </w:hyperlink>
    </w:p>
    <w:p w14:paraId="281A005F" w14:textId="77777777" w:rsidR="00877DE5" w:rsidRPr="00877DE5" w:rsidRDefault="00877DE5" w:rsidP="00067100">
      <w:pPr>
        <w:spacing w:after="0" w:line="240" w:lineRule="auto"/>
        <w:ind w:firstLine="709"/>
        <w:jc w:val="right"/>
        <w:rPr>
          <w:rFonts w:ascii="Times New Roman" w:eastAsia="Calibri" w:hAnsi="Times New Roman" w:cs="Times New Roman"/>
          <w:i/>
          <w:color w:val="0000FF"/>
          <w:sz w:val="21"/>
          <w:szCs w:val="21"/>
        </w:rPr>
      </w:pPr>
    </w:p>
    <w:p w14:paraId="088D0439"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rPr>
      </w:pPr>
      <w:r w:rsidRPr="00877DE5">
        <w:rPr>
          <w:rFonts w:ascii="Times New Roman" w:eastAsia="Calibri" w:hAnsi="Times New Roman" w:cs="Times New Roman"/>
          <w:b/>
          <w:i/>
          <w:sz w:val="21"/>
          <w:szCs w:val="21"/>
        </w:rPr>
        <w:t>Научный руководитель:</w:t>
      </w:r>
    </w:p>
    <w:p w14:paraId="24E7ABAA" w14:textId="77777777" w:rsidR="00877DE5" w:rsidRPr="00877DE5" w:rsidRDefault="00877DE5" w:rsidP="00067100">
      <w:pPr>
        <w:spacing w:after="0" w:line="240" w:lineRule="auto"/>
        <w:ind w:firstLine="709"/>
        <w:jc w:val="right"/>
        <w:rPr>
          <w:rFonts w:ascii="Times New Roman" w:eastAsia="Times New Roman" w:hAnsi="Times New Roman" w:cs="Times New Roman"/>
          <w:b/>
          <w:bCs/>
          <w:i/>
          <w:color w:val="000000"/>
          <w:sz w:val="21"/>
          <w:szCs w:val="21"/>
          <w:lang w:eastAsia="ru-RU"/>
        </w:rPr>
      </w:pPr>
      <w:r w:rsidRPr="00877DE5">
        <w:rPr>
          <w:rFonts w:ascii="Times New Roman" w:eastAsia="Times New Roman" w:hAnsi="Times New Roman" w:cs="Times New Roman"/>
          <w:b/>
          <w:bCs/>
          <w:i/>
          <w:color w:val="000000"/>
          <w:sz w:val="21"/>
          <w:szCs w:val="21"/>
          <w:lang w:eastAsia="ru-RU"/>
        </w:rPr>
        <w:t>Артюшкова А.Ю.,</w:t>
      </w:r>
    </w:p>
    <w:p w14:paraId="66B171FF"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color w:val="000000"/>
          <w:sz w:val="21"/>
          <w:szCs w:val="21"/>
          <w:lang w:eastAsia="ru-RU"/>
        </w:rPr>
        <w:t>Краснодарский филиал Финансового университета при Правительстве РФ</w:t>
      </w:r>
      <w:r w:rsidRPr="00877DE5">
        <w:rPr>
          <w:rFonts w:ascii="Times New Roman" w:eastAsia="Times New Roman" w:hAnsi="Times New Roman" w:cs="Times New Roman"/>
          <w:i/>
          <w:sz w:val="21"/>
          <w:szCs w:val="21"/>
          <w:lang w:eastAsia="ru-RU"/>
        </w:rPr>
        <w:t xml:space="preserve"> </w:t>
      </w:r>
    </w:p>
    <w:p w14:paraId="406F2A4A"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г. Краснодар, Россия</w:t>
      </w:r>
    </w:p>
    <w:p w14:paraId="03B62CE2"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r w:rsidRPr="00877DE5">
        <w:rPr>
          <w:rFonts w:ascii="Times New Roman" w:eastAsia="Times New Roman" w:hAnsi="Times New Roman" w:cs="Times New Roman"/>
          <w:i/>
          <w:sz w:val="21"/>
          <w:szCs w:val="21"/>
          <w:lang w:eastAsia="ru-RU"/>
        </w:rPr>
        <w:t>е-</w:t>
      </w:r>
      <w:r w:rsidRPr="00877DE5">
        <w:rPr>
          <w:rFonts w:ascii="Times New Roman" w:eastAsia="Times New Roman" w:hAnsi="Times New Roman" w:cs="Times New Roman"/>
          <w:i/>
          <w:sz w:val="21"/>
          <w:szCs w:val="21"/>
          <w:lang w:val="en-US" w:eastAsia="ru-RU"/>
        </w:rPr>
        <w:t>mail</w:t>
      </w:r>
      <w:r w:rsidRPr="00877DE5">
        <w:rPr>
          <w:rFonts w:ascii="Times New Roman" w:eastAsia="Times New Roman" w:hAnsi="Times New Roman" w:cs="Times New Roman"/>
          <w:i/>
          <w:sz w:val="21"/>
          <w:szCs w:val="21"/>
          <w:lang w:eastAsia="ru-RU"/>
        </w:rPr>
        <w:t>:</w:t>
      </w:r>
      <w:hyperlink r:id="rId352" w:history="1">
        <w:r w:rsidRPr="00877DE5">
          <w:rPr>
            <w:rFonts w:ascii="Times New Roman" w:eastAsia="Times New Roman" w:hAnsi="Times New Roman" w:cs="Times New Roman"/>
            <w:i/>
            <w:color w:val="0563C1"/>
            <w:sz w:val="21"/>
            <w:szCs w:val="21"/>
            <w:u w:val="single"/>
            <w:lang w:eastAsia="ru-RU"/>
          </w:rPr>
          <w:t>AYUArtyushkova@fa.ru</w:t>
        </w:r>
      </w:hyperlink>
      <w:r w:rsidRPr="00877DE5">
        <w:rPr>
          <w:rFonts w:ascii="Times New Roman" w:eastAsia="Times New Roman" w:hAnsi="Times New Roman" w:cs="Times New Roman"/>
          <w:i/>
          <w:sz w:val="21"/>
          <w:szCs w:val="21"/>
          <w:lang w:eastAsia="ru-RU"/>
        </w:rPr>
        <w:t xml:space="preserve"> </w:t>
      </w:r>
    </w:p>
    <w:p w14:paraId="7EE47EF6" w14:textId="77777777" w:rsidR="00877DE5" w:rsidRPr="00877DE5" w:rsidRDefault="00877DE5" w:rsidP="00067100">
      <w:pPr>
        <w:spacing w:after="0" w:line="240" w:lineRule="auto"/>
        <w:ind w:firstLine="709"/>
        <w:jc w:val="right"/>
        <w:rPr>
          <w:rFonts w:ascii="Times New Roman" w:eastAsia="Times New Roman" w:hAnsi="Times New Roman" w:cs="Times New Roman"/>
          <w:i/>
          <w:sz w:val="21"/>
          <w:szCs w:val="21"/>
          <w:lang w:eastAsia="ru-RU"/>
        </w:rPr>
      </w:pPr>
    </w:p>
    <w:p w14:paraId="1EE7B1A9" w14:textId="77777777" w:rsidR="00877DE5" w:rsidRPr="00877DE5" w:rsidRDefault="00877DE5" w:rsidP="00067100">
      <w:pPr>
        <w:spacing w:after="0" w:line="240" w:lineRule="auto"/>
        <w:ind w:firstLine="709"/>
        <w:jc w:val="center"/>
        <w:rPr>
          <w:rFonts w:ascii="Times New Roman" w:eastAsia="Calibri" w:hAnsi="Times New Roman" w:cs="Times New Roman"/>
          <w:b/>
          <w:bCs/>
          <w:sz w:val="21"/>
          <w:szCs w:val="21"/>
        </w:rPr>
      </w:pPr>
      <w:r w:rsidRPr="00877DE5">
        <w:rPr>
          <w:rFonts w:ascii="Times New Roman" w:eastAsia="Calibri" w:hAnsi="Times New Roman" w:cs="Times New Roman"/>
          <w:b/>
          <w:bCs/>
          <w:sz w:val="21"/>
          <w:szCs w:val="21"/>
        </w:rPr>
        <w:t xml:space="preserve">Сущность, создание и продвижение </w:t>
      </w:r>
      <w:r w:rsidRPr="00877DE5">
        <w:rPr>
          <w:rFonts w:ascii="Times New Roman" w:eastAsia="Calibri" w:hAnsi="Times New Roman" w:cs="Times New Roman"/>
          <w:b/>
          <w:bCs/>
          <w:sz w:val="21"/>
          <w:szCs w:val="21"/>
          <w:lang w:val="en-US"/>
        </w:rPr>
        <w:t>HR</w:t>
      </w:r>
      <w:r w:rsidRPr="00877DE5">
        <w:rPr>
          <w:rFonts w:ascii="Times New Roman" w:eastAsia="Calibri" w:hAnsi="Times New Roman" w:cs="Times New Roman"/>
          <w:b/>
          <w:bCs/>
          <w:sz w:val="21"/>
          <w:szCs w:val="21"/>
        </w:rPr>
        <w:t>-</w:t>
      </w:r>
      <w:r w:rsidR="009D26CC">
        <w:rPr>
          <w:rFonts w:ascii="Times New Roman" w:eastAsia="Calibri" w:hAnsi="Times New Roman" w:cs="Times New Roman"/>
          <w:b/>
          <w:bCs/>
          <w:sz w:val="21"/>
          <w:szCs w:val="21"/>
        </w:rPr>
        <w:t>бренда современных организаций</w:t>
      </w:r>
    </w:p>
    <w:p w14:paraId="39975179" w14:textId="77777777" w:rsidR="00877DE5" w:rsidRPr="00877DE5" w:rsidRDefault="00877DE5" w:rsidP="00067100">
      <w:pPr>
        <w:spacing w:after="0" w:line="240" w:lineRule="auto"/>
        <w:ind w:firstLine="709"/>
        <w:jc w:val="both"/>
        <w:rPr>
          <w:rFonts w:ascii="Times New Roman" w:eastAsia="Calibri" w:hAnsi="Times New Roman" w:cs="Times New Roman"/>
          <w:b/>
          <w:bCs/>
          <w:sz w:val="21"/>
          <w:szCs w:val="21"/>
        </w:rPr>
      </w:pPr>
    </w:p>
    <w:p w14:paraId="7D1D67D2" w14:textId="77777777" w:rsidR="00877DE5" w:rsidRPr="00877DE5" w:rsidRDefault="00877DE5" w:rsidP="00067100">
      <w:pPr>
        <w:spacing w:after="0" w:line="240" w:lineRule="auto"/>
        <w:ind w:firstLine="709"/>
        <w:jc w:val="both"/>
        <w:rPr>
          <w:rFonts w:ascii="Times New Roman" w:eastAsia="Calibri" w:hAnsi="Times New Roman" w:cs="Times New Roman"/>
          <w:b/>
          <w:bCs/>
          <w:color w:val="000000"/>
          <w:sz w:val="21"/>
          <w:szCs w:val="21"/>
        </w:rPr>
      </w:pPr>
      <w:r w:rsidRPr="00877DE5">
        <w:rPr>
          <w:rFonts w:ascii="Times New Roman" w:eastAsia="Calibri" w:hAnsi="Times New Roman" w:cs="Times New Roman"/>
          <w:b/>
          <w:bCs/>
          <w:sz w:val="21"/>
          <w:szCs w:val="21"/>
        </w:rPr>
        <w:t>Аннотация</w:t>
      </w:r>
      <w:proofErr w:type="gramStart"/>
      <w:r w:rsidRPr="00877DE5">
        <w:rPr>
          <w:rFonts w:ascii="Times New Roman" w:eastAsia="Calibri" w:hAnsi="Times New Roman" w:cs="Times New Roman"/>
          <w:sz w:val="21"/>
          <w:szCs w:val="21"/>
        </w:rPr>
        <w:t xml:space="preserve">: </w:t>
      </w:r>
      <w:r w:rsidRPr="00877DE5">
        <w:rPr>
          <w:rFonts w:ascii="Times New Roman" w:eastAsia="Calibri" w:hAnsi="Times New Roman" w:cs="Times New Roman"/>
          <w:color w:val="000000"/>
          <w:sz w:val="21"/>
          <w:szCs w:val="21"/>
        </w:rPr>
        <w:t>В условиях</w:t>
      </w:r>
      <w:proofErr w:type="gramEnd"/>
      <w:r w:rsidRPr="00877DE5">
        <w:rPr>
          <w:rFonts w:ascii="Times New Roman" w:eastAsia="Calibri" w:hAnsi="Times New Roman" w:cs="Times New Roman"/>
          <w:color w:val="000000"/>
          <w:sz w:val="21"/>
          <w:szCs w:val="21"/>
        </w:rPr>
        <w:t xml:space="preserve"> обостряющейся конкуренции за таланты, данное исследование раскрывает ключевые аспекты </w:t>
      </w:r>
      <w:r w:rsidRPr="00877DE5">
        <w:rPr>
          <w:rFonts w:ascii="Times New Roman" w:eastAsia="Calibri" w:hAnsi="Times New Roman" w:cs="Times New Roman"/>
          <w:color w:val="000000"/>
          <w:sz w:val="21"/>
          <w:szCs w:val="21"/>
          <w:lang w:val="en-US"/>
        </w:rPr>
        <w:t>HR</w:t>
      </w:r>
      <w:r w:rsidRPr="00877DE5">
        <w:rPr>
          <w:rFonts w:ascii="Times New Roman" w:eastAsia="Calibri" w:hAnsi="Times New Roman" w:cs="Times New Roman"/>
          <w:color w:val="000000"/>
          <w:sz w:val="21"/>
          <w:szCs w:val="21"/>
        </w:rPr>
        <w:t xml:space="preserve">-бренда как стратегического инструмента привлечения и удержания квалифицированных кадров. Работа исследует теоретические основы </w:t>
      </w:r>
      <w:r w:rsidRPr="00877DE5">
        <w:rPr>
          <w:rFonts w:ascii="Times New Roman" w:eastAsia="Calibri" w:hAnsi="Times New Roman" w:cs="Times New Roman"/>
          <w:color w:val="000000"/>
          <w:sz w:val="21"/>
          <w:szCs w:val="21"/>
          <w:lang w:val="en-US"/>
        </w:rPr>
        <w:t>HR</w:t>
      </w:r>
      <w:r w:rsidRPr="00877DE5">
        <w:rPr>
          <w:rFonts w:ascii="Times New Roman" w:eastAsia="Calibri" w:hAnsi="Times New Roman" w:cs="Times New Roman"/>
          <w:color w:val="000000"/>
          <w:sz w:val="21"/>
          <w:szCs w:val="21"/>
        </w:rPr>
        <w:t xml:space="preserve">-брендинга, анализирует факторы, влияющие на его формирование, и определяет эффективные каналы продвижения. Предлагаются практические рекомендации по созданию и развитию привлекательного </w:t>
      </w:r>
      <w:r w:rsidRPr="00877DE5">
        <w:rPr>
          <w:rFonts w:ascii="Times New Roman" w:eastAsia="Calibri" w:hAnsi="Times New Roman" w:cs="Times New Roman"/>
          <w:color w:val="000000"/>
          <w:sz w:val="21"/>
          <w:szCs w:val="21"/>
          <w:lang w:val="en-US"/>
        </w:rPr>
        <w:t>HR</w:t>
      </w:r>
      <w:r w:rsidRPr="00877DE5">
        <w:rPr>
          <w:rFonts w:ascii="Times New Roman" w:eastAsia="Calibri" w:hAnsi="Times New Roman" w:cs="Times New Roman"/>
          <w:color w:val="000000"/>
          <w:sz w:val="21"/>
          <w:szCs w:val="21"/>
        </w:rPr>
        <w:t xml:space="preserve">-бренда, основанные на анализе лучших практик и результатов эмпирического исследования, способствующие укреплению имиджа организации как работодателя. </w:t>
      </w:r>
    </w:p>
    <w:p w14:paraId="6C24CD7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21"/>
          <w:szCs w:val="21"/>
        </w:rPr>
      </w:pPr>
      <w:r w:rsidRPr="00877DE5">
        <w:rPr>
          <w:rFonts w:ascii="Times New Roman" w:eastAsia="Calibri" w:hAnsi="Times New Roman" w:cs="Times New Roman"/>
          <w:b/>
          <w:bCs/>
          <w:color w:val="000000"/>
          <w:sz w:val="21"/>
          <w:szCs w:val="21"/>
        </w:rPr>
        <w:t>Ключевые слова</w:t>
      </w:r>
      <w:r w:rsidRPr="00877DE5">
        <w:rPr>
          <w:rFonts w:ascii="Times New Roman" w:eastAsia="Calibri" w:hAnsi="Times New Roman" w:cs="Times New Roman"/>
          <w:color w:val="000000"/>
          <w:sz w:val="21"/>
          <w:szCs w:val="21"/>
        </w:rPr>
        <w:t xml:space="preserve">: </w:t>
      </w:r>
      <w:r w:rsidRPr="00877DE5">
        <w:rPr>
          <w:rFonts w:ascii="Times New Roman" w:eastAsia="Calibri" w:hAnsi="Times New Roman" w:cs="Times New Roman"/>
          <w:color w:val="000000"/>
          <w:sz w:val="21"/>
          <w:szCs w:val="21"/>
          <w:lang w:val="en-US"/>
        </w:rPr>
        <w:t>HR</w:t>
      </w:r>
      <w:r w:rsidRPr="00877DE5">
        <w:rPr>
          <w:rFonts w:ascii="Times New Roman" w:eastAsia="Calibri" w:hAnsi="Times New Roman" w:cs="Times New Roman"/>
          <w:color w:val="000000"/>
          <w:sz w:val="21"/>
          <w:szCs w:val="21"/>
        </w:rPr>
        <w:t>-бренд, бренд работодателя, привлечение талантов, удержание персонала, имидж работодателя, кадровый потенциал, корпоративная культура, ценностное предложение работнику (</w:t>
      </w:r>
      <w:r w:rsidRPr="00877DE5">
        <w:rPr>
          <w:rFonts w:ascii="Times New Roman" w:eastAsia="Calibri" w:hAnsi="Times New Roman" w:cs="Times New Roman"/>
          <w:color w:val="000000"/>
          <w:sz w:val="21"/>
          <w:szCs w:val="21"/>
          <w:lang w:val="en-US"/>
        </w:rPr>
        <w:t>EVP</w:t>
      </w:r>
      <w:r w:rsidRPr="00877DE5">
        <w:rPr>
          <w:rFonts w:ascii="Times New Roman" w:eastAsia="Calibri" w:hAnsi="Times New Roman" w:cs="Times New Roman"/>
          <w:color w:val="000000"/>
          <w:sz w:val="21"/>
          <w:szCs w:val="21"/>
        </w:rPr>
        <w:t xml:space="preserve">), брендинг, маркетинг персонала, внутренние коммуникации, внешние коммуникации, стратегия </w:t>
      </w:r>
      <w:r w:rsidRPr="00877DE5">
        <w:rPr>
          <w:rFonts w:ascii="Times New Roman" w:eastAsia="Calibri" w:hAnsi="Times New Roman" w:cs="Times New Roman"/>
          <w:color w:val="000000"/>
          <w:sz w:val="21"/>
          <w:szCs w:val="21"/>
          <w:lang w:val="en-US"/>
        </w:rPr>
        <w:t>HR</w:t>
      </w:r>
      <w:r w:rsidRPr="00877DE5">
        <w:rPr>
          <w:rFonts w:ascii="Times New Roman" w:eastAsia="Calibri" w:hAnsi="Times New Roman" w:cs="Times New Roman"/>
          <w:color w:val="000000"/>
          <w:sz w:val="21"/>
          <w:szCs w:val="21"/>
        </w:rPr>
        <w:t>-брендинга, репутация работодателя.</w:t>
      </w:r>
    </w:p>
    <w:p w14:paraId="5AEB108A"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Soboleva S.I.,</w:t>
      </w:r>
    </w:p>
    <w:p w14:paraId="06E674E6"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 xml:space="preserve">Student, 2 courses </w:t>
      </w:r>
    </w:p>
    <w:p w14:paraId="521F4B35"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Financial University under the Government of the Russian Federation</w:t>
      </w:r>
    </w:p>
    <w:p w14:paraId="15951E2D"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(Krasnodar branch)</w:t>
      </w:r>
    </w:p>
    <w:p w14:paraId="14B369BC"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Krasnodar, Russia</w:t>
      </w:r>
    </w:p>
    <w:p w14:paraId="41EC0C6A" w14:textId="77777777" w:rsidR="00877DE5" w:rsidRPr="00877DE5" w:rsidRDefault="00877DE5" w:rsidP="00067100">
      <w:pPr>
        <w:spacing w:after="0" w:line="240" w:lineRule="auto"/>
        <w:ind w:firstLine="709"/>
        <w:jc w:val="right"/>
        <w:rPr>
          <w:rFonts w:ascii="Times New Roman" w:eastAsia="Calibri" w:hAnsi="Times New Roman" w:cs="Times New Roman"/>
          <w:i/>
          <w:color w:val="0000FF"/>
          <w:sz w:val="21"/>
          <w:szCs w:val="21"/>
          <w:lang w:val="en-US"/>
        </w:rPr>
      </w:pPr>
      <w:r w:rsidRPr="00877DE5">
        <w:rPr>
          <w:rFonts w:ascii="Times New Roman" w:eastAsia="Calibri" w:hAnsi="Times New Roman" w:cs="Times New Roman"/>
          <w:i/>
          <w:sz w:val="21"/>
          <w:szCs w:val="21"/>
        </w:rPr>
        <w:t>е</w:t>
      </w:r>
      <w:r w:rsidRPr="00877DE5">
        <w:rPr>
          <w:rFonts w:ascii="Times New Roman" w:eastAsia="Calibri" w:hAnsi="Times New Roman" w:cs="Times New Roman"/>
          <w:i/>
          <w:sz w:val="21"/>
          <w:szCs w:val="21"/>
          <w:lang w:val="en-US"/>
        </w:rPr>
        <w:t xml:space="preserve">-mail: </w:t>
      </w:r>
      <w:hyperlink r:id="rId353" w:history="1">
        <w:r w:rsidRPr="00877DE5">
          <w:rPr>
            <w:rFonts w:ascii="Times New Roman" w:eastAsia="Calibri" w:hAnsi="Times New Roman" w:cs="Times New Roman"/>
            <w:i/>
            <w:color w:val="0563C1"/>
            <w:sz w:val="21"/>
            <w:szCs w:val="21"/>
            <w:u w:val="single"/>
            <w:lang w:val="en-US"/>
          </w:rPr>
          <w:t>sonya.soboleva.2005@gmail.com</w:t>
        </w:r>
      </w:hyperlink>
    </w:p>
    <w:p w14:paraId="17A5246A"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p>
    <w:p w14:paraId="3572AB2F" w14:textId="77777777" w:rsidR="00877DE5" w:rsidRPr="00877DE5" w:rsidRDefault="00877DE5" w:rsidP="00067100">
      <w:pPr>
        <w:spacing w:after="0" w:line="240" w:lineRule="auto"/>
        <w:ind w:firstLine="709"/>
        <w:jc w:val="right"/>
        <w:rPr>
          <w:rFonts w:ascii="Times New Roman" w:eastAsia="Calibri" w:hAnsi="Times New Roman" w:cs="Times New Roman"/>
          <w:b/>
          <w:i/>
          <w:sz w:val="21"/>
          <w:szCs w:val="21"/>
          <w:lang w:val="en-US"/>
        </w:rPr>
      </w:pPr>
      <w:r w:rsidRPr="00877DE5">
        <w:rPr>
          <w:rFonts w:ascii="Times New Roman" w:eastAsia="Calibri" w:hAnsi="Times New Roman" w:cs="Times New Roman"/>
          <w:b/>
          <w:i/>
          <w:sz w:val="21"/>
          <w:szCs w:val="21"/>
          <w:lang w:val="en-US"/>
        </w:rPr>
        <w:t>Scientific Adviser:</w:t>
      </w:r>
    </w:p>
    <w:p w14:paraId="0B1DF827" w14:textId="77777777" w:rsidR="00877DE5" w:rsidRPr="00877DE5" w:rsidRDefault="00877DE5" w:rsidP="00067100">
      <w:pPr>
        <w:spacing w:after="0" w:line="240" w:lineRule="auto"/>
        <w:ind w:firstLine="709"/>
        <w:jc w:val="right"/>
        <w:rPr>
          <w:rFonts w:ascii="Times New Roman" w:eastAsia="Calibri" w:hAnsi="Times New Roman" w:cs="Times New Roman"/>
          <w:i/>
          <w:iCs/>
          <w:sz w:val="21"/>
          <w:szCs w:val="21"/>
          <w:shd w:val="clear" w:color="auto" w:fill="FFFFFF"/>
          <w:lang w:val="en-US"/>
        </w:rPr>
      </w:pPr>
      <w:r w:rsidRPr="00877DE5">
        <w:rPr>
          <w:rFonts w:ascii="Times New Roman" w:eastAsia="Calibri" w:hAnsi="Times New Roman" w:cs="Times New Roman"/>
          <w:b/>
          <w:bCs/>
          <w:i/>
          <w:iCs/>
          <w:sz w:val="21"/>
          <w:szCs w:val="21"/>
          <w:lang w:val="en-US"/>
        </w:rPr>
        <w:t>Artyushkova A.Yu.</w:t>
      </w:r>
    </w:p>
    <w:p w14:paraId="17C5ADFD"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lastRenderedPageBreak/>
        <w:t>Financial University under the Government of the Russian Federation</w:t>
      </w:r>
    </w:p>
    <w:p w14:paraId="15B070C5"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(Krasnodar branch)</w:t>
      </w:r>
    </w:p>
    <w:p w14:paraId="2CE2EF56" w14:textId="77777777" w:rsidR="00877DE5" w:rsidRPr="00877DE5" w:rsidRDefault="00877DE5" w:rsidP="00067100">
      <w:pPr>
        <w:spacing w:after="0" w:line="240" w:lineRule="auto"/>
        <w:ind w:firstLine="709"/>
        <w:jc w:val="right"/>
        <w:rPr>
          <w:rFonts w:ascii="Times New Roman" w:eastAsia="Calibri" w:hAnsi="Times New Roman" w:cs="Times New Roman"/>
          <w:i/>
          <w:sz w:val="21"/>
          <w:szCs w:val="21"/>
          <w:lang w:val="en-US"/>
        </w:rPr>
      </w:pPr>
      <w:r w:rsidRPr="00877DE5">
        <w:rPr>
          <w:rFonts w:ascii="Times New Roman" w:eastAsia="Calibri" w:hAnsi="Times New Roman" w:cs="Times New Roman"/>
          <w:i/>
          <w:sz w:val="21"/>
          <w:szCs w:val="21"/>
          <w:lang w:val="en-US"/>
        </w:rPr>
        <w:t>Krasnodar, Russia</w:t>
      </w:r>
    </w:p>
    <w:p w14:paraId="190491CF"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eastAsia="Calibri" w:hAnsi="Times New Roman" w:cs="Times New Roman"/>
          <w:color w:val="000000"/>
          <w:sz w:val="21"/>
          <w:szCs w:val="21"/>
          <w:lang w:val="en-US"/>
        </w:rPr>
      </w:pPr>
      <w:r w:rsidRPr="00877DE5">
        <w:rPr>
          <w:rFonts w:ascii="Times New Roman" w:eastAsia="Calibri" w:hAnsi="Times New Roman" w:cs="Times New Roman"/>
          <w:i/>
          <w:sz w:val="21"/>
          <w:szCs w:val="21"/>
          <w:lang w:val="en-US"/>
        </w:rPr>
        <w:t>е-mail:</w:t>
      </w:r>
      <w:hyperlink r:id="rId354" w:history="1">
        <w:r w:rsidRPr="00877DE5">
          <w:rPr>
            <w:rFonts w:ascii="Times New Roman" w:eastAsia="Calibri" w:hAnsi="Times New Roman" w:cs="Times New Roman"/>
            <w:i/>
            <w:color w:val="0563C1"/>
            <w:sz w:val="21"/>
            <w:szCs w:val="21"/>
            <w:u w:val="single"/>
            <w:lang w:val="en-US"/>
          </w:rPr>
          <w:t>AYUArtyushkova@fa.ru</w:t>
        </w:r>
      </w:hyperlink>
      <w:r w:rsidRPr="00877DE5">
        <w:rPr>
          <w:rFonts w:ascii="Times New Roman" w:eastAsia="Calibri" w:hAnsi="Times New Roman" w:cs="Times New Roman"/>
          <w:i/>
          <w:sz w:val="21"/>
          <w:szCs w:val="21"/>
          <w:lang w:val="en-US"/>
        </w:rPr>
        <w:t xml:space="preserve"> </w:t>
      </w:r>
    </w:p>
    <w:p w14:paraId="5F5A6453"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right"/>
        <w:rPr>
          <w:rFonts w:ascii="Times New Roman" w:eastAsia="Calibri" w:hAnsi="Times New Roman" w:cs="Times New Roman"/>
          <w:color w:val="000000"/>
          <w:sz w:val="21"/>
          <w:szCs w:val="21"/>
          <w:lang w:val="en-US"/>
        </w:rPr>
      </w:pPr>
    </w:p>
    <w:p w14:paraId="29C7B1D9"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center"/>
        <w:rPr>
          <w:rFonts w:ascii="Times New Roman" w:eastAsia="Calibri" w:hAnsi="Times New Roman" w:cs="Times New Roman"/>
          <w:b/>
          <w:bCs/>
          <w:color w:val="000000"/>
          <w:sz w:val="21"/>
          <w:szCs w:val="21"/>
          <w:lang w:val="en-US"/>
        </w:rPr>
      </w:pPr>
      <w:r w:rsidRPr="00877DE5">
        <w:rPr>
          <w:rFonts w:ascii="Times New Roman" w:eastAsia="Calibri" w:hAnsi="Times New Roman" w:cs="Times New Roman"/>
          <w:b/>
          <w:bCs/>
          <w:color w:val="000000"/>
          <w:sz w:val="21"/>
          <w:szCs w:val="21"/>
          <w:lang w:val="en-US"/>
        </w:rPr>
        <w:t>The Essence, Creation, and Promotion of the H</w:t>
      </w:r>
      <w:r w:rsidR="009D26CC">
        <w:rPr>
          <w:rFonts w:ascii="Times New Roman" w:eastAsia="Calibri" w:hAnsi="Times New Roman" w:cs="Times New Roman"/>
          <w:b/>
          <w:bCs/>
          <w:color w:val="000000"/>
          <w:sz w:val="21"/>
          <w:szCs w:val="21"/>
          <w:lang w:val="en-US"/>
        </w:rPr>
        <w:t>R Brand in Modern Organizations</w:t>
      </w:r>
      <w:r w:rsidRPr="00877DE5">
        <w:rPr>
          <w:rFonts w:ascii="Times New Roman" w:eastAsia="Calibri" w:hAnsi="Times New Roman" w:cs="Times New Roman"/>
          <w:b/>
          <w:bCs/>
          <w:color w:val="000000"/>
          <w:sz w:val="21"/>
          <w:szCs w:val="21"/>
          <w:lang w:val="en-US"/>
        </w:rPr>
        <w:br/>
      </w:r>
    </w:p>
    <w:p w14:paraId="6CFEA8AC"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21"/>
          <w:szCs w:val="21"/>
          <w:lang w:val="en-US"/>
        </w:rPr>
      </w:pPr>
      <w:r w:rsidRPr="00877DE5">
        <w:rPr>
          <w:rFonts w:ascii="Times New Roman" w:eastAsia="Calibri" w:hAnsi="Times New Roman" w:cs="Times New Roman"/>
          <w:b/>
          <w:bCs/>
          <w:color w:val="000000"/>
          <w:sz w:val="21"/>
          <w:szCs w:val="21"/>
          <w:lang w:val="en-US"/>
        </w:rPr>
        <w:t>Abstract</w:t>
      </w:r>
      <w:r w:rsidRPr="00877DE5">
        <w:rPr>
          <w:rFonts w:ascii="Times New Roman" w:eastAsia="Calibri" w:hAnsi="Times New Roman" w:cs="Times New Roman"/>
          <w:color w:val="000000"/>
          <w:sz w:val="21"/>
          <w:szCs w:val="21"/>
          <w:lang w:val="en-US"/>
        </w:rPr>
        <w:t xml:space="preserve">: In the face of increasingly intense competition for talent, this research elucidates the key aspects of the HR brand as a strategic instrument for attracting and retaining qualified personnel. The study explores the theoretical foundations of HR branding, analyzes the factors influencing its formation, and identifies effective promotion channels. Based on an analysis of best practices and empirical research findings, practical recommendations are offered for creating and developing an attractive HR brand, thereby enhancing an organization's employer image. </w:t>
      </w:r>
    </w:p>
    <w:p w14:paraId="0099BC55"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21"/>
          <w:szCs w:val="21"/>
          <w:lang w:val="en-US"/>
        </w:rPr>
      </w:pPr>
      <w:r w:rsidRPr="00877DE5">
        <w:rPr>
          <w:rFonts w:ascii="Times New Roman" w:eastAsia="Calibri" w:hAnsi="Times New Roman" w:cs="Times New Roman"/>
          <w:b/>
          <w:bCs/>
          <w:color w:val="000000"/>
          <w:sz w:val="21"/>
          <w:szCs w:val="21"/>
          <w:lang w:val="en-US"/>
        </w:rPr>
        <w:t>Keywords</w:t>
      </w:r>
      <w:r w:rsidRPr="00877DE5">
        <w:rPr>
          <w:rFonts w:ascii="Times New Roman" w:eastAsia="Calibri" w:hAnsi="Times New Roman" w:cs="Times New Roman"/>
          <w:color w:val="000000"/>
          <w:sz w:val="21"/>
          <w:szCs w:val="21"/>
          <w:lang w:val="en-US"/>
        </w:rPr>
        <w:t>:</w:t>
      </w:r>
      <w:r w:rsidRPr="00877DE5">
        <w:rPr>
          <w:rFonts w:ascii="Times New Roman" w:eastAsia="Calibri" w:hAnsi="Times New Roman" w:cs="Times New Roman"/>
          <w:lang w:val="en-US"/>
        </w:rPr>
        <w:t xml:space="preserve"> </w:t>
      </w:r>
      <w:r w:rsidRPr="00877DE5">
        <w:rPr>
          <w:rFonts w:ascii="Times New Roman" w:eastAsia="Calibri" w:hAnsi="Times New Roman" w:cs="Times New Roman"/>
          <w:color w:val="000000"/>
          <w:sz w:val="21"/>
          <w:szCs w:val="21"/>
          <w:lang w:val="en-US"/>
        </w:rPr>
        <w:t xml:space="preserve">HR brand, Employer Brand, Talent Acquisition, Employee Retention, Employer Image, Workforce Potential, Company Culture, Employee Value Proposition (EVP), Branding, HR, Employee Communications, External Communications, Employer Branding Strategy, Employer Reputation. </w:t>
      </w:r>
    </w:p>
    <w:p w14:paraId="24DAC772"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21"/>
          <w:szCs w:val="21"/>
          <w:lang w:val="en-US"/>
        </w:rPr>
      </w:pPr>
    </w:p>
    <w:p w14:paraId="78222D97"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highlight w:val="white"/>
        </w:rPr>
        <w:t xml:space="preserve">В современном высококонкурентном рынке талантов сильный </w:t>
      </w:r>
      <w:r w:rsidRPr="00877DE5">
        <w:rPr>
          <w:rFonts w:ascii="Times New Roman" w:eastAsia="Calibri" w:hAnsi="Times New Roman" w:cs="Times New Roman"/>
          <w:color w:val="000000"/>
          <w:sz w:val="32"/>
          <w:szCs w:val="32"/>
          <w:highlight w:val="white"/>
          <w:lang w:val="en-US"/>
        </w:rPr>
        <w:t>HR</w:t>
      </w:r>
      <w:r w:rsidRPr="00877DE5">
        <w:rPr>
          <w:rFonts w:ascii="Times New Roman" w:eastAsia="Calibri" w:hAnsi="Times New Roman" w:cs="Times New Roman"/>
          <w:color w:val="000000"/>
          <w:sz w:val="32"/>
          <w:szCs w:val="32"/>
          <w:highlight w:val="white"/>
        </w:rPr>
        <w:t xml:space="preserve">-бренд – это уже не роскошь, а стратегическая необходимость для организаций, стремящихся привлекать, вовлекать и удерживать лучших специалистов. Исследования сущности, создания и продвижения убедительного </w:t>
      </w:r>
      <w:r w:rsidRPr="00877DE5">
        <w:rPr>
          <w:rFonts w:ascii="Times New Roman" w:eastAsia="Calibri" w:hAnsi="Times New Roman" w:cs="Times New Roman"/>
          <w:color w:val="000000"/>
          <w:sz w:val="32"/>
          <w:szCs w:val="32"/>
          <w:highlight w:val="white"/>
          <w:lang w:val="en-US"/>
        </w:rPr>
        <w:t>HR</w:t>
      </w:r>
      <w:r w:rsidRPr="00877DE5">
        <w:rPr>
          <w:rFonts w:ascii="Times New Roman" w:eastAsia="Calibri" w:hAnsi="Times New Roman" w:cs="Times New Roman"/>
          <w:color w:val="000000"/>
          <w:sz w:val="32"/>
          <w:szCs w:val="32"/>
          <w:highlight w:val="white"/>
        </w:rPr>
        <w:t xml:space="preserve">-бренда становятся все более актуальными, поскольку они напрямую влияют на способность организации создавать устойчивое конкурентное преимущество за счет своих сотрудников. Понимание того, как эффективно доносить уникальное ценностное предложение работнику, формировать позитивный имидж работодателя и управлять репутацией работодателя, имеет решающее значение для организаций, ориентирующихся в динамичной и требовательной среде талантов. </w:t>
      </w:r>
      <w:r w:rsidRPr="00877DE5">
        <w:rPr>
          <w:rFonts w:ascii="Times New Roman" w:eastAsia="Calibri" w:hAnsi="Times New Roman" w:cs="Times New Roman"/>
          <w:color w:val="000000"/>
          <w:sz w:val="32"/>
          <w:szCs w:val="32"/>
        </w:rPr>
        <w:t xml:space="preserve"> </w:t>
      </w:r>
    </w:p>
    <w:p w14:paraId="523BE2A4"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Несмотря на растущий интерес к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-брендингу, исследования в данной области характеризуются определенными пробелами. Существующие работы фокусируются преимущественно на крупных компаниях и общей теории, недостаточно внимания уделяя специфике малого и среднего бизнеса, а также влиянию культурных особенностей на формирование и восприятие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Данное исследование направлено на восполнение этих пробелов, путем анализа практического опыта российских компаний и разработки авторской методики оценки эффективности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-брендинга, выявления новых факторов, влияющих на формирование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 в условиях цифровой экономики.</w:t>
      </w:r>
    </w:p>
    <w:p w14:paraId="5E729BA5" w14:textId="77777777" w:rsidR="00877DE5" w:rsidRPr="00877DE5" w:rsidRDefault="00877DE5" w:rsidP="009D26CC">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Цель научной работы является определение сущности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разработка теоретической модели создания и продвижения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 совр</w:t>
      </w:r>
      <w:r w:rsidR="009D26CC">
        <w:rPr>
          <w:rFonts w:ascii="Times New Roman" w:eastAsia="Calibri" w:hAnsi="Times New Roman" w:cs="Times New Roman"/>
          <w:color w:val="000000"/>
          <w:sz w:val="32"/>
          <w:szCs w:val="32"/>
        </w:rPr>
        <w:t>еменных российских организаций.</w:t>
      </w:r>
    </w:p>
    <w:p w14:paraId="6DCA029F"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Задачи научной работы включают следующие ключевые направления:</w:t>
      </w:r>
      <w:r w:rsidRPr="00877DE5">
        <w:rPr>
          <w:rFonts w:ascii="Times New Roman" w:eastAsia="Calibri" w:hAnsi="Times New Roman" w:cs="Times New Roman"/>
          <w:color w:val="000000"/>
          <w:sz w:val="32"/>
          <w:szCs w:val="32"/>
        </w:rPr>
        <w:br/>
      </w:r>
      <w:r w:rsidRPr="00877DE5">
        <w:rPr>
          <w:rFonts w:ascii="Times New Roman" w:eastAsia="Calibri" w:hAnsi="Times New Roman" w:cs="Times New Roman"/>
          <w:color w:val="000000"/>
          <w:sz w:val="32"/>
          <w:szCs w:val="32"/>
        </w:rPr>
        <w:lastRenderedPageBreak/>
        <w:t xml:space="preserve">1. Изучение теоретических основ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-брендинга: понятие, функции, элементы.</w:t>
      </w:r>
      <w:r w:rsidRPr="00877DE5">
        <w:rPr>
          <w:rFonts w:ascii="Times New Roman" w:eastAsia="Calibri" w:hAnsi="Times New Roman" w:cs="Times New Roman"/>
          <w:color w:val="000000"/>
          <w:sz w:val="32"/>
          <w:szCs w:val="32"/>
        </w:rPr>
        <w:br/>
        <w:t xml:space="preserve">2. Анализ факторов, влияющих на формирование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w:t>
      </w:r>
      <w:r w:rsidRPr="00877DE5">
        <w:rPr>
          <w:rFonts w:ascii="Times New Roman" w:eastAsia="Calibri" w:hAnsi="Times New Roman" w:cs="Times New Roman"/>
          <w:color w:val="000000"/>
          <w:sz w:val="32"/>
          <w:szCs w:val="32"/>
        </w:rPr>
        <w:br/>
        <w:t xml:space="preserve">3. Определение каналов и инструментов создания и продвижения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w:t>
      </w:r>
      <w:r w:rsidRPr="00877DE5">
        <w:rPr>
          <w:rFonts w:ascii="Times New Roman" w:eastAsia="Calibri" w:hAnsi="Times New Roman" w:cs="Times New Roman"/>
          <w:color w:val="000000"/>
          <w:sz w:val="32"/>
          <w:szCs w:val="32"/>
        </w:rPr>
        <w:br/>
        <w:t xml:space="preserve">4. Разработка методики оценки эффективности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-брендинга.</w:t>
      </w:r>
      <w:r w:rsidRPr="00877DE5">
        <w:rPr>
          <w:rFonts w:ascii="Times New Roman" w:eastAsia="Calibri" w:hAnsi="Times New Roman" w:cs="Times New Roman"/>
          <w:color w:val="000000"/>
          <w:sz w:val="32"/>
          <w:szCs w:val="32"/>
        </w:rPr>
        <w:br/>
        <w:t xml:space="preserve">5. Проведение эмпирического исследование для выявления лучших практик создания и продвижения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w:t>
      </w:r>
      <w:r w:rsidRPr="00877DE5">
        <w:rPr>
          <w:rFonts w:ascii="Times New Roman" w:eastAsia="Calibri" w:hAnsi="Times New Roman" w:cs="Times New Roman"/>
          <w:color w:val="000000"/>
          <w:sz w:val="32"/>
          <w:szCs w:val="32"/>
        </w:rPr>
        <w:br/>
        <w:t xml:space="preserve">6. Разработка практических рекомендаций для организаций по формированию и продвижению эффективного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w:t>
      </w:r>
      <w:r w:rsidRPr="00877DE5">
        <w:rPr>
          <w:rFonts w:ascii="Times New Roman" w:eastAsia="Calibri" w:hAnsi="Times New Roman" w:cs="Times New Roman"/>
          <w:color w:val="000000"/>
          <w:sz w:val="32"/>
          <w:szCs w:val="32"/>
        </w:rPr>
        <w:br/>
        <w:t xml:space="preserve">Концепция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возникла как ответ на растущую потребность организаций в привлечении, мотивации и удержании талантливых сотрудников. Изначально,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-брендинг рассматривался как инструмент маркетинга персонала, направленный на создание привлекательного имиджа работодателя. Однако, с течением времени, понимание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расширилось, и он стал рассматриваться как комплексная система, включающая в себя не только внешние коммуникации, но и внутреннюю корпоративную культуру, ценностное предложение работнику и другие элементы </w:t>
      </w:r>
      <w:r w:rsidRPr="00877DE5">
        <w:rPr>
          <w:rFonts w:ascii="Times New Roman" w:eastAsia="Calibri" w:hAnsi="Times New Roman" w:cs="Times New Roman"/>
          <w:color w:val="000000"/>
          <w:sz w:val="32"/>
          <w:szCs w:val="36"/>
        </w:rPr>
        <w:t>[1, с.44-48].</w:t>
      </w:r>
      <w:r w:rsidRPr="00877DE5">
        <w:rPr>
          <w:rFonts w:ascii="Times New Roman" w:eastAsia="Calibri" w:hAnsi="Times New Roman" w:cs="Times New Roman"/>
          <w:color w:val="000000"/>
          <w:sz w:val="32"/>
          <w:szCs w:val="32"/>
        </w:rPr>
        <w:br/>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 – это совокупность восприятий и ассоциаций, которые формируются у потенциальных, настоящих и бывших сотрудников организации относительно ее как работодателя.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 можно рассматривать как обещание, которое организация дает своим сотрудникам, определяющее условия работы, возможности для развития и карьерного роста, а также ценности, которые она разделяет.</w:t>
      </w:r>
      <w:r w:rsidRPr="00877DE5">
        <w:rPr>
          <w:rFonts w:ascii="Times New Roman" w:eastAsia="Calibri" w:hAnsi="Times New Roman" w:cs="Times New Roman"/>
          <w:color w:val="000000"/>
          <w:sz w:val="32"/>
          <w:szCs w:val="32"/>
        </w:rPr>
        <w:br/>
        <w:t xml:space="preserve">Основными функциями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 являются:</w:t>
      </w:r>
      <w:r w:rsidRPr="00877DE5">
        <w:rPr>
          <w:rFonts w:ascii="Times New Roman" w:eastAsia="Calibri" w:hAnsi="Times New Roman" w:cs="Times New Roman"/>
          <w:color w:val="000000"/>
          <w:sz w:val="32"/>
          <w:szCs w:val="32"/>
        </w:rPr>
        <w:br/>
        <w:t>• Привлечение талантов: формирование позитивного имиджа работодателя, способствующего привлечению квалифицированных специалистов.</w:t>
      </w:r>
      <w:r w:rsidRPr="00877DE5">
        <w:rPr>
          <w:rFonts w:ascii="Times New Roman" w:eastAsia="Calibri" w:hAnsi="Times New Roman" w:cs="Times New Roman"/>
          <w:color w:val="000000"/>
          <w:sz w:val="32"/>
          <w:szCs w:val="32"/>
        </w:rPr>
        <w:br/>
        <w:t>• Удержание персонала: создание благоприятной рабочей среды и условий, мотивирующих сотрудников оставаться в организации.</w:t>
      </w:r>
      <w:r w:rsidRPr="00877DE5">
        <w:rPr>
          <w:rFonts w:ascii="Times New Roman" w:eastAsia="Calibri" w:hAnsi="Times New Roman" w:cs="Times New Roman"/>
          <w:color w:val="000000"/>
          <w:sz w:val="32"/>
          <w:szCs w:val="32"/>
        </w:rPr>
        <w:br/>
        <w:t>• Вовлечение сотрудников: формирование чувства принадлежности и приверженности организации.</w:t>
      </w:r>
      <w:r w:rsidRPr="00877DE5">
        <w:rPr>
          <w:rFonts w:ascii="Times New Roman" w:eastAsia="Calibri" w:hAnsi="Times New Roman" w:cs="Times New Roman"/>
          <w:color w:val="000000"/>
          <w:sz w:val="32"/>
          <w:szCs w:val="32"/>
        </w:rPr>
        <w:br/>
        <w:t xml:space="preserve">• Повышение производительности: создание мотивационной среды, способствующей повышению эффективности работы сотрудников </w:t>
      </w:r>
      <w:r w:rsidRPr="00877DE5">
        <w:rPr>
          <w:rFonts w:ascii="Times New Roman" w:eastAsia="Calibri" w:hAnsi="Times New Roman" w:cs="Times New Roman"/>
          <w:color w:val="000000"/>
          <w:sz w:val="32"/>
          <w:szCs w:val="36"/>
        </w:rPr>
        <w:t>[3, с.485-501].</w:t>
      </w:r>
      <w:r w:rsidRPr="00877DE5">
        <w:rPr>
          <w:rFonts w:ascii="Times New Roman" w:eastAsia="Calibri" w:hAnsi="Times New Roman" w:cs="Times New Roman"/>
          <w:color w:val="000000"/>
          <w:sz w:val="32"/>
          <w:szCs w:val="32"/>
        </w:rPr>
        <w:br/>
        <w:t xml:space="preserve">К ключевым элементам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 относятся:</w:t>
      </w:r>
      <w:r w:rsidRPr="00877DE5">
        <w:rPr>
          <w:rFonts w:ascii="Times New Roman" w:eastAsia="Calibri" w:hAnsi="Times New Roman" w:cs="Times New Roman"/>
          <w:color w:val="000000"/>
          <w:sz w:val="32"/>
          <w:szCs w:val="32"/>
        </w:rPr>
        <w:br/>
        <w:t>• Ценностное предложение работнику (</w:t>
      </w:r>
      <w:r w:rsidRPr="00877DE5">
        <w:rPr>
          <w:rFonts w:ascii="Times New Roman" w:eastAsia="Calibri" w:hAnsi="Times New Roman" w:cs="Times New Roman"/>
          <w:color w:val="000000"/>
          <w:sz w:val="32"/>
          <w:szCs w:val="32"/>
          <w:lang w:val="en-US"/>
        </w:rPr>
        <w:t>EVP</w:t>
      </w:r>
      <w:r w:rsidRPr="00877DE5">
        <w:rPr>
          <w:rFonts w:ascii="Times New Roman" w:eastAsia="Calibri" w:hAnsi="Times New Roman" w:cs="Times New Roman"/>
          <w:color w:val="000000"/>
          <w:sz w:val="32"/>
          <w:szCs w:val="32"/>
        </w:rPr>
        <w:t xml:space="preserve">): уникальный набор преимуществ, которые организация предлагает своим сотрудникам в </w:t>
      </w:r>
      <w:r w:rsidRPr="00877DE5">
        <w:rPr>
          <w:rFonts w:ascii="Times New Roman" w:eastAsia="Calibri" w:hAnsi="Times New Roman" w:cs="Times New Roman"/>
          <w:color w:val="000000"/>
          <w:sz w:val="32"/>
          <w:szCs w:val="32"/>
        </w:rPr>
        <w:lastRenderedPageBreak/>
        <w:t xml:space="preserve">обмен на их труд и лояльность. </w:t>
      </w:r>
      <w:r w:rsidRPr="00877DE5">
        <w:rPr>
          <w:rFonts w:ascii="Times New Roman" w:eastAsia="Calibri" w:hAnsi="Times New Roman" w:cs="Times New Roman"/>
          <w:color w:val="000000"/>
          <w:sz w:val="32"/>
          <w:szCs w:val="32"/>
          <w:lang w:val="en-US"/>
        </w:rPr>
        <w:t>EVP</w:t>
      </w:r>
      <w:r w:rsidRPr="00877DE5">
        <w:rPr>
          <w:rFonts w:ascii="Times New Roman" w:eastAsia="Calibri" w:hAnsi="Times New Roman" w:cs="Times New Roman"/>
          <w:color w:val="000000"/>
          <w:sz w:val="32"/>
          <w:szCs w:val="32"/>
        </w:rPr>
        <w:t xml:space="preserve"> должно быть привлекательным, реалистичным и соответствовать ожиданиям целевой аудитории.</w:t>
      </w:r>
      <w:r w:rsidRPr="00877DE5">
        <w:rPr>
          <w:rFonts w:ascii="Times New Roman" w:eastAsia="Calibri" w:hAnsi="Times New Roman" w:cs="Times New Roman"/>
          <w:color w:val="000000"/>
          <w:sz w:val="32"/>
          <w:szCs w:val="32"/>
        </w:rPr>
        <w:br/>
        <w:t xml:space="preserve">• Корпоративная культура: система ценностей, норм и убеждений, разделяемых сотрудниками организации. Корпоративная культура оказывает значительное влияние на восприятие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-бренда как внешними, так и внутренними заинтересованными сторонами.</w:t>
      </w:r>
      <w:r w:rsidRPr="00877DE5">
        <w:rPr>
          <w:rFonts w:ascii="Times New Roman" w:eastAsia="Calibri" w:hAnsi="Times New Roman" w:cs="Times New Roman"/>
          <w:color w:val="000000"/>
          <w:sz w:val="32"/>
          <w:szCs w:val="32"/>
        </w:rPr>
        <w:br/>
        <w:t>• Внутренние коммуникации: система обмена информацией внутри организации, обеспечивающая прозрачность, вовлеченность и чувство принадлежности сотрудников.</w:t>
      </w:r>
      <w:r w:rsidRPr="00877DE5">
        <w:rPr>
          <w:rFonts w:ascii="Times New Roman" w:eastAsia="Calibri" w:hAnsi="Times New Roman" w:cs="Times New Roman"/>
          <w:color w:val="000000"/>
          <w:sz w:val="32"/>
          <w:szCs w:val="32"/>
        </w:rPr>
        <w:br/>
        <w:t xml:space="preserve">• Социальная ответственность: обязательства организации перед обществом, проявляющиеся в реализации социальных проектов, а также в соблюдении этических норм ведения бизнеса </w:t>
      </w:r>
      <w:r w:rsidRPr="00877DE5">
        <w:rPr>
          <w:rFonts w:ascii="Times New Roman" w:eastAsia="Calibri" w:hAnsi="Times New Roman" w:cs="Times New Roman"/>
          <w:color w:val="000000"/>
          <w:sz w:val="32"/>
          <w:szCs w:val="36"/>
        </w:rPr>
        <w:t>[1, с.44-48].</w:t>
      </w:r>
      <w:r w:rsidRPr="00877DE5">
        <w:rPr>
          <w:rFonts w:ascii="Times New Roman" w:eastAsia="Calibri" w:hAnsi="Times New Roman" w:cs="Times New Roman"/>
          <w:color w:val="000000"/>
          <w:sz w:val="32"/>
          <w:szCs w:val="32"/>
        </w:rPr>
        <w:br/>
        <w:t xml:space="preserve">Для эффективного создания и продвижения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-бренда необходимо использовать различные каналы и инструменты, как внутренние, так и внешние, ориентированные на целевую аудиторию  </w:t>
      </w:r>
      <w:r w:rsidRPr="00877DE5">
        <w:rPr>
          <w:rFonts w:ascii="Times New Roman" w:eastAsia="Calibri" w:hAnsi="Times New Roman" w:cs="Times New Roman"/>
          <w:color w:val="000000"/>
          <w:sz w:val="32"/>
          <w:szCs w:val="36"/>
        </w:rPr>
        <w:t>[2, с. 272-285].</w:t>
      </w:r>
      <w:r w:rsidRPr="00877DE5">
        <w:rPr>
          <w:rFonts w:ascii="Times New Roman" w:eastAsia="Calibri" w:hAnsi="Times New Roman" w:cs="Times New Roman"/>
          <w:color w:val="000000"/>
          <w:sz w:val="32"/>
          <w:szCs w:val="32"/>
        </w:rPr>
        <w:br/>
        <w:t>Внутренние каналы направлены на формирование позитивного отношения к организации как работодателю среди ее собственных сотрудников (развитые внутренние коммуникации, корпоративные мероприятия, программы обучения и развития).</w:t>
      </w:r>
      <w:r w:rsidRPr="00877DE5">
        <w:rPr>
          <w:rFonts w:ascii="Times New Roman" w:eastAsia="Calibri" w:hAnsi="Times New Roman" w:cs="Times New Roman"/>
          <w:color w:val="000000"/>
          <w:sz w:val="32"/>
          <w:szCs w:val="32"/>
        </w:rPr>
        <w:br/>
        <w:t>Внешние каналы направлены на привлечение потенциальных сотрудников и формирование позитивного имиджа организации как работодателя среди широкой общественности (сайты по поиску работы, социальные сети, участие в конференциях, взаимодействие с ВУЗами).</w:t>
      </w:r>
    </w:p>
    <w:p w14:paraId="79D38D5D"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Оценка эффективности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-брендинга является необходимым этапом для определения результативности проводимых мероприятий, корректировки стратегии и повышения отдачи от инвестиций в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-бренд </w:t>
      </w:r>
      <w:r w:rsidRPr="00877DE5">
        <w:rPr>
          <w:rFonts w:ascii="Times New Roman" w:eastAsia="Calibri" w:hAnsi="Times New Roman" w:cs="Times New Roman"/>
          <w:color w:val="000000"/>
          <w:sz w:val="32"/>
          <w:szCs w:val="36"/>
        </w:rPr>
        <w:t>[4]</w:t>
      </w:r>
      <w:r w:rsidRPr="00877DE5">
        <w:rPr>
          <w:rFonts w:ascii="Times New Roman" w:eastAsia="Calibri" w:hAnsi="Times New Roman" w:cs="Times New Roman"/>
          <w:color w:val="000000"/>
          <w:sz w:val="32"/>
          <w:szCs w:val="32"/>
        </w:rPr>
        <w:t xml:space="preserve">.  </w:t>
      </w:r>
    </w:p>
    <w:p w14:paraId="43E30F83"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Разработка комплексной системы показателей становится ключевым элементом при оценке того, насколько эффективно функционирует бренд работодателя. Такая система должна охватывать не только измерители имиджа компании на рынке труда, но и индикаторы, связанные с вовлечением, сохранением и привлечением сотрудников.</w:t>
      </w:r>
    </w:p>
    <w:p w14:paraId="78D6EFA0"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Когда мы говорим о группе метрик привлечения, мы подразумеваем инструменты, позволяющие понять силу притяжения HR-бренда для потенциальных работников. Сюда входят такие параметры, как затраты на привлечение одного соискателя, процент кандидатов, пришедших через референтный найм, количественные и </w:t>
      </w:r>
      <w:r w:rsidRPr="00877DE5">
        <w:rPr>
          <w:rFonts w:ascii="Times New Roman" w:eastAsia="Calibri" w:hAnsi="Times New Roman" w:cs="Times New Roman"/>
          <w:color w:val="000000"/>
          <w:sz w:val="32"/>
          <w:szCs w:val="32"/>
        </w:rPr>
        <w:lastRenderedPageBreak/>
        <w:t>качественные характеристики полученных откликов на открытые позиции.</w:t>
      </w:r>
    </w:p>
    <w:p w14:paraId="68B3C190"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Привлекательность организации в глазах общественности измеряется через различные индикаторы имиджа. Упоминания в медиа-пространстве, позиции в профессиональных рейтингах и отзывы соискателей на job-порталах формируют цельную картину того, как внешний мир воспринимает компанию в качестве потенциального работодателя.</w:t>
      </w:r>
    </w:p>
    <w:p w14:paraId="531595A4"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Стабильность кадрового состава отслеживается через комплекс показателей удержания. Индекс лояльности, продолжительность службы в компании, уровень вовлеченности в корпоративные коммуникации и общая удовлетворенность рабочими условиями позволяют определить эффективность HR-бренда в сохранении талантов. Коэффициент текучести и другие метрики вовлеченности дополняют аналитическую картину кадровой устойчивости организации.</w:t>
      </w:r>
    </w:p>
    <w:p w14:paraId="7E1A96BB"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Следующая информация посвящена эмпирическому исследованию, направленному на изучение практических аспектов создания и продвижения HR-бренда в современных организациях. Целью исследования является выявление лучших практик, оценка эффективности используемых каналов и инструментов, а также проведение сравнительного анализа HR-брендов компаний различных отраслей. </w:t>
      </w:r>
    </w:p>
    <w:p w14:paraId="5D158230"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Исследовательскую базу составили 50 отечественных компаний из четырех ключевых индустрий – информационных технологий, финансового сектора, розничной торговли и промышленного производства. Изучение их опыта позволило выявить практические аспекты HR-брендинга в российских реалиях.</w:t>
      </w:r>
    </w:p>
    <w:p w14:paraId="1D3047D4"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Географическое положение в регионах России, размеры организаций малого и среднего бизнеса, публично доступная информация о HR-брендинговых активностях, а также присутствие специализированного HR-сотрудника или команды - все эти параметры учитывались в исследовании.</w:t>
      </w:r>
    </w:p>
    <w:p w14:paraId="60404211"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Для достижения объективности в исследовании применялся метод стратифицированного случайного отбора, где количество компаний распределялось пропорционально их отраслевой принадлежности и масштабу деятельности.</w:t>
      </w:r>
    </w:p>
    <w:p w14:paraId="1C336CE8"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Данные собирались через структурированные онлайн-опросы, направленные руководителям HR-подразделений и специалистам по </w:t>
      </w:r>
      <w:r w:rsidRPr="00877DE5">
        <w:rPr>
          <w:rFonts w:ascii="Times New Roman" w:eastAsia="Calibri" w:hAnsi="Times New Roman" w:cs="Times New Roman"/>
          <w:color w:val="000000"/>
          <w:sz w:val="32"/>
          <w:szCs w:val="32"/>
        </w:rPr>
        <w:lastRenderedPageBreak/>
        <w:t>формированию HR-бренда. Были охвачены такие аспекты, как стратегические подходы к HR-брендингу, используемые коммуникационные платформы и техники, подходы к измерению результативности, а также основные сложности и успешные практики в этой области.</w:t>
      </w:r>
    </w:p>
    <w:p w14:paraId="7BE5B4E1"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Исследование включало углубленные беседы с десятью руководителями кадровых подразделений из организаций, выбранных по итогам предварительного опроса. Эти частично структурированные диалоги обеспечили комплексное понимание реальных механизмов формирования бренда работодателя, включая нестандартные методики и современные решения. Параллельно проводилось изучение публичных ресурсов — корпоративных веб-порталов, представительств компаний в социальных медиа, материалов прессы и комментариев работников на площадках трудоустройства, что позволило сформировать объективное представление о репутации этих организаций.</w:t>
      </w:r>
    </w:p>
    <w:p w14:paraId="3659093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p>
    <w:p w14:paraId="10C31EA2"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Результаты анализа собранных данных приведены в следующих таблицах:</w:t>
      </w:r>
    </w:p>
    <w:p w14:paraId="287AE14E"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Таблица 1. Ключевые факторы, влияющие на формирование HR-бренда.</w:t>
      </w:r>
    </w:p>
    <w:tbl>
      <w:tblPr>
        <w:tblStyle w:val="24"/>
        <w:tblW w:w="9945" w:type="dxa"/>
        <w:tblLook w:val="04A0" w:firstRow="1" w:lastRow="0" w:firstColumn="1" w:lastColumn="0" w:noHBand="0" w:noVBand="1"/>
      </w:tblPr>
      <w:tblGrid>
        <w:gridCol w:w="4972"/>
        <w:gridCol w:w="4973"/>
      </w:tblGrid>
      <w:tr w:rsidR="00877DE5" w:rsidRPr="00877DE5" w14:paraId="1FF14FE1" w14:textId="77777777" w:rsidTr="00067100">
        <w:trPr>
          <w:trHeight w:val="417"/>
        </w:trPr>
        <w:tc>
          <w:tcPr>
            <w:tcW w:w="4320" w:type="dxa"/>
          </w:tcPr>
          <w:p w14:paraId="0D22268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Фактор</w:t>
            </w:r>
          </w:p>
        </w:tc>
        <w:tc>
          <w:tcPr>
            <w:tcW w:w="4320" w:type="dxa"/>
          </w:tcPr>
          <w:p w14:paraId="722C1367"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Доля респондентов (%)</w:t>
            </w:r>
          </w:p>
        </w:tc>
      </w:tr>
      <w:tr w:rsidR="00877DE5" w:rsidRPr="00877DE5" w14:paraId="200F5C59" w14:textId="77777777" w:rsidTr="00067100">
        <w:trPr>
          <w:trHeight w:val="417"/>
        </w:trPr>
        <w:tc>
          <w:tcPr>
            <w:tcW w:w="4320" w:type="dxa"/>
          </w:tcPr>
          <w:p w14:paraId="07922F27"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Корпоративная культура</w:t>
            </w:r>
          </w:p>
        </w:tc>
        <w:tc>
          <w:tcPr>
            <w:tcW w:w="4320" w:type="dxa"/>
          </w:tcPr>
          <w:p w14:paraId="0E27986E"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85%</w:t>
            </w:r>
          </w:p>
        </w:tc>
      </w:tr>
      <w:tr w:rsidR="00877DE5" w:rsidRPr="00877DE5" w14:paraId="187B62C8" w14:textId="77777777" w:rsidTr="00067100">
        <w:trPr>
          <w:trHeight w:val="417"/>
        </w:trPr>
        <w:tc>
          <w:tcPr>
            <w:tcW w:w="4320" w:type="dxa"/>
          </w:tcPr>
          <w:p w14:paraId="08569881"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Условия труда</w:t>
            </w:r>
          </w:p>
        </w:tc>
        <w:tc>
          <w:tcPr>
            <w:tcW w:w="4320" w:type="dxa"/>
          </w:tcPr>
          <w:p w14:paraId="7D253BFD"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78%</w:t>
            </w:r>
          </w:p>
        </w:tc>
      </w:tr>
      <w:tr w:rsidR="00877DE5" w:rsidRPr="00877DE5" w14:paraId="26900B53" w14:textId="77777777" w:rsidTr="00067100">
        <w:trPr>
          <w:trHeight w:val="419"/>
        </w:trPr>
        <w:tc>
          <w:tcPr>
            <w:tcW w:w="4320" w:type="dxa"/>
          </w:tcPr>
          <w:p w14:paraId="50894E86"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Система мотивации и развития персонала</w:t>
            </w:r>
          </w:p>
        </w:tc>
        <w:tc>
          <w:tcPr>
            <w:tcW w:w="4320" w:type="dxa"/>
          </w:tcPr>
          <w:p w14:paraId="3E96498A"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72%</w:t>
            </w:r>
          </w:p>
        </w:tc>
      </w:tr>
      <w:tr w:rsidR="00877DE5" w:rsidRPr="00877DE5" w14:paraId="35CC2014" w14:textId="77777777" w:rsidTr="00067100">
        <w:trPr>
          <w:trHeight w:val="417"/>
        </w:trPr>
        <w:tc>
          <w:tcPr>
            <w:tcW w:w="4320" w:type="dxa"/>
          </w:tcPr>
          <w:p w14:paraId="7F0F40F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Репутация компании на рынке</w:t>
            </w:r>
          </w:p>
        </w:tc>
        <w:tc>
          <w:tcPr>
            <w:tcW w:w="4320" w:type="dxa"/>
          </w:tcPr>
          <w:p w14:paraId="073C77C9"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65%</w:t>
            </w:r>
          </w:p>
        </w:tc>
      </w:tr>
    </w:tbl>
    <w:p w14:paraId="72F772BC" w14:textId="77777777" w:rsidR="00877DE5" w:rsidRPr="00877DE5" w:rsidRDefault="00877DE5" w:rsidP="00067100">
      <w:pPr>
        <w:widowControl w:val="0"/>
        <w:autoSpaceDE w:val="0"/>
        <w:autoSpaceDN w:val="0"/>
        <w:spacing w:after="0" w:line="240" w:lineRule="auto"/>
        <w:ind w:firstLine="709"/>
        <w:jc w:val="both"/>
        <w:outlineLvl w:val="0"/>
        <w:rPr>
          <w:rFonts w:ascii="Times New Roman" w:eastAsia="Times New Roman" w:hAnsi="Times New Roman" w:cs="Times New Roman"/>
          <w:color w:val="000000"/>
          <w:sz w:val="32"/>
          <w:szCs w:val="32"/>
        </w:rPr>
      </w:pPr>
      <w:r w:rsidRPr="00877DE5">
        <w:rPr>
          <w:rFonts w:ascii="Times New Roman" w:eastAsia="Times New Roman" w:hAnsi="Times New Roman" w:cs="Times New Roman"/>
          <w:color w:val="000000"/>
          <w:sz w:val="32"/>
          <w:szCs w:val="32"/>
        </w:rPr>
        <w:t>Таблица 2а. Каналы продвижения HR-бренда.</w:t>
      </w:r>
    </w:p>
    <w:tbl>
      <w:tblPr>
        <w:tblStyle w:val="24"/>
        <w:tblW w:w="9947" w:type="dxa"/>
        <w:tblLook w:val="04A0" w:firstRow="1" w:lastRow="0" w:firstColumn="1" w:lastColumn="0" w:noHBand="0" w:noVBand="1"/>
      </w:tblPr>
      <w:tblGrid>
        <w:gridCol w:w="4973"/>
        <w:gridCol w:w="4974"/>
      </w:tblGrid>
      <w:tr w:rsidR="00877DE5" w:rsidRPr="00877DE5" w14:paraId="688CEFC3" w14:textId="77777777" w:rsidTr="00067100">
        <w:trPr>
          <w:trHeight w:val="403"/>
        </w:trPr>
        <w:tc>
          <w:tcPr>
            <w:tcW w:w="4320" w:type="dxa"/>
          </w:tcPr>
          <w:p w14:paraId="19F97D7A"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Канал продвижения</w:t>
            </w:r>
          </w:p>
        </w:tc>
        <w:tc>
          <w:tcPr>
            <w:tcW w:w="4320" w:type="dxa"/>
          </w:tcPr>
          <w:p w14:paraId="134F697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Использование (%)</w:t>
            </w:r>
          </w:p>
        </w:tc>
      </w:tr>
      <w:tr w:rsidR="00877DE5" w:rsidRPr="00877DE5" w14:paraId="1027D621" w14:textId="77777777" w:rsidTr="00067100">
        <w:trPr>
          <w:trHeight w:val="403"/>
        </w:trPr>
        <w:tc>
          <w:tcPr>
            <w:tcW w:w="4320" w:type="dxa"/>
          </w:tcPr>
          <w:p w14:paraId="01D6F245"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Сайты по поиску работы</w:t>
            </w:r>
          </w:p>
        </w:tc>
        <w:tc>
          <w:tcPr>
            <w:tcW w:w="4320" w:type="dxa"/>
          </w:tcPr>
          <w:p w14:paraId="2E19002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92%</w:t>
            </w:r>
          </w:p>
        </w:tc>
      </w:tr>
      <w:tr w:rsidR="00877DE5" w:rsidRPr="00877DE5" w14:paraId="6DCB43CE" w14:textId="77777777" w:rsidTr="00067100">
        <w:trPr>
          <w:trHeight w:val="403"/>
        </w:trPr>
        <w:tc>
          <w:tcPr>
            <w:tcW w:w="4320" w:type="dxa"/>
          </w:tcPr>
          <w:p w14:paraId="634E6111"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Социальные сети</w:t>
            </w:r>
          </w:p>
        </w:tc>
        <w:tc>
          <w:tcPr>
            <w:tcW w:w="4320" w:type="dxa"/>
          </w:tcPr>
          <w:p w14:paraId="50EEA20A"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88%</w:t>
            </w:r>
          </w:p>
        </w:tc>
      </w:tr>
      <w:tr w:rsidR="00877DE5" w:rsidRPr="00877DE5" w14:paraId="2313112B" w14:textId="77777777" w:rsidTr="00067100">
        <w:trPr>
          <w:trHeight w:val="404"/>
        </w:trPr>
        <w:tc>
          <w:tcPr>
            <w:tcW w:w="4320" w:type="dxa"/>
          </w:tcPr>
          <w:p w14:paraId="29F51E70"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Корпоративный веб-сайт</w:t>
            </w:r>
          </w:p>
        </w:tc>
        <w:tc>
          <w:tcPr>
            <w:tcW w:w="4320" w:type="dxa"/>
          </w:tcPr>
          <w:p w14:paraId="3B9D780B"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80%</w:t>
            </w:r>
          </w:p>
        </w:tc>
      </w:tr>
      <w:tr w:rsidR="00877DE5" w:rsidRPr="00877DE5" w14:paraId="780600BB" w14:textId="77777777" w:rsidTr="00067100">
        <w:trPr>
          <w:trHeight w:val="403"/>
        </w:trPr>
        <w:tc>
          <w:tcPr>
            <w:tcW w:w="4320" w:type="dxa"/>
          </w:tcPr>
          <w:p w14:paraId="2D8669ED"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Участие в выставках и конференциях</w:t>
            </w:r>
          </w:p>
        </w:tc>
        <w:tc>
          <w:tcPr>
            <w:tcW w:w="4320" w:type="dxa"/>
          </w:tcPr>
          <w:p w14:paraId="189A71A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60%</w:t>
            </w:r>
          </w:p>
        </w:tc>
      </w:tr>
    </w:tbl>
    <w:p w14:paraId="1956FE92"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br/>
        <w:t xml:space="preserve">3. Оценка эффективности каналов и инструментов: Оценка эффективности проводилась на основе субъективных оценок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-специалистов и анализа </w:t>
      </w:r>
      <w:r w:rsidRPr="00877DE5">
        <w:rPr>
          <w:rFonts w:ascii="Times New Roman" w:eastAsia="Calibri" w:hAnsi="Times New Roman" w:cs="Times New Roman"/>
          <w:color w:val="000000"/>
          <w:sz w:val="32"/>
          <w:szCs w:val="32"/>
          <w:lang w:val="en-US"/>
        </w:rPr>
        <w:t>HR</w:t>
      </w:r>
      <w:r w:rsidRPr="00877DE5">
        <w:rPr>
          <w:rFonts w:ascii="Times New Roman" w:eastAsia="Calibri" w:hAnsi="Times New Roman" w:cs="Times New Roman"/>
          <w:color w:val="000000"/>
          <w:sz w:val="32"/>
          <w:szCs w:val="32"/>
        </w:rPr>
        <w:t xml:space="preserve">-статистики. </w:t>
      </w:r>
    </w:p>
    <w:p w14:paraId="3970EB99" w14:textId="77777777" w:rsidR="00877DE5" w:rsidRPr="00877DE5" w:rsidRDefault="00877DE5" w:rsidP="00067100">
      <w:pPr>
        <w:widowControl w:val="0"/>
        <w:autoSpaceDE w:val="0"/>
        <w:autoSpaceDN w:val="0"/>
        <w:spacing w:after="0" w:line="240" w:lineRule="auto"/>
        <w:ind w:firstLine="709"/>
        <w:jc w:val="both"/>
        <w:outlineLvl w:val="0"/>
        <w:rPr>
          <w:rFonts w:ascii="Times New Roman" w:eastAsia="Times New Roman" w:hAnsi="Times New Roman" w:cs="Times New Roman"/>
          <w:color w:val="000000"/>
          <w:sz w:val="32"/>
          <w:szCs w:val="32"/>
        </w:rPr>
      </w:pPr>
      <w:r w:rsidRPr="00877DE5">
        <w:rPr>
          <w:rFonts w:ascii="Times New Roman" w:eastAsia="Times New Roman" w:hAnsi="Times New Roman" w:cs="Times New Roman"/>
          <w:color w:val="000000"/>
          <w:sz w:val="32"/>
          <w:szCs w:val="32"/>
        </w:rPr>
        <w:t>Таблица 2б. Инструменты HR-брендинга.</w:t>
      </w:r>
    </w:p>
    <w:tbl>
      <w:tblPr>
        <w:tblStyle w:val="24"/>
        <w:tblW w:w="9813" w:type="dxa"/>
        <w:tblLook w:val="04A0" w:firstRow="1" w:lastRow="0" w:firstColumn="1" w:lastColumn="0" w:noHBand="0" w:noVBand="1"/>
      </w:tblPr>
      <w:tblGrid>
        <w:gridCol w:w="4906"/>
        <w:gridCol w:w="4907"/>
      </w:tblGrid>
      <w:tr w:rsidR="00877DE5" w:rsidRPr="00877DE5" w14:paraId="5ADC0E68" w14:textId="77777777" w:rsidTr="00067100">
        <w:trPr>
          <w:trHeight w:val="415"/>
        </w:trPr>
        <w:tc>
          <w:tcPr>
            <w:tcW w:w="4320" w:type="dxa"/>
          </w:tcPr>
          <w:p w14:paraId="3C0B2E24"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lastRenderedPageBreak/>
              <w:t>Инструмент</w:t>
            </w:r>
          </w:p>
        </w:tc>
        <w:tc>
          <w:tcPr>
            <w:tcW w:w="4320" w:type="dxa"/>
          </w:tcPr>
          <w:p w14:paraId="13F5E197"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Применение (%)</w:t>
            </w:r>
          </w:p>
        </w:tc>
      </w:tr>
      <w:tr w:rsidR="00877DE5" w:rsidRPr="00877DE5" w14:paraId="4E72C25A" w14:textId="77777777" w:rsidTr="00067100">
        <w:trPr>
          <w:trHeight w:val="416"/>
        </w:trPr>
        <w:tc>
          <w:tcPr>
            <w:tcW w:w="4320" w:type="dxa"/>
          </w:tcPr>
          <w:p w14:paraId="4721A09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Вакансии (привлекательное описание)</w:t>
            </w:r>
          </w:p>
        </w:tc>
        <w:tc>
          <w:tcPr>
            <w:tcW w:w="4320" w:type="dxa"/>
          </w:tcPr>
          <w:p w14:paraId="701AC7E0"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95%</w:t>
            </w:r>
          </w:p>
        </w:tc>
      </w:tr>
      <w:tr w:rsidR="00877DE5" w:rsidRPr="00877DE5" w14:paraId="44ABED6A" w14:textId="77777777" w:rsidTr="00067100">
        <w:trPr>
          <w:trHeight w:val="414"/>
        </w:trPr>
        <w:tc>
          <w:tcPr>
            <w:tcW w:w="4320" w:type="dxa"/>
          </w:tcPr>
          <w:p w14:paraId="2396D8C7"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Контент-маркетинг</w:t>
            </w:r>
          </w:p>
        </w:tc>
        <w:tc>
          <w:tcPr>
            <w:tcW w:w="4320" w:type="dxa"/>
          </w:tcPr>
          <w:p w14:paraId="6D071B37"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75%</w:t>
            </w:r>
          </w:p>
        </w:tc>
      </w:tr>
      <w:tr w:rsidR="00877DE5" w:rsidRPr="00877DE5" w14:paraId="2174C970" w14:textId="77777777" w:rsidTr="00067100">
        <w:trPr>
          <w:trHeight w:val="416"/>
        </w:trPr>
        <w:tc>
          <w:tcPr>
            <w:tcW w:w="4320" w:type="dxa"/>
          </w:tcPr>
          <w:p w14:paraId="12BFCCA9"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Таргетированная реклама</w:t>
            </w:r>
          </w:p>
        </w:tc>
        <w:tc>
          <w:tcPr>
            <w:tcW w:w="4320" w:type="dxa"/>
          </w:tcPr>
          <w:p w14:paraId="631B1801"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60%</w:t>
            </w:r>
          </w:p>
        </w:tc>
      </w:tr>
      <w:tr w:rsidR="00877DE5" w:rsidRPr="00877DE5" w14:paraId="66C98340" w14:textId="77777777" w:rsidTr="00067100">
        <w:trPr>
          <w:trHeight w:val="414"/>
        </w:trPr>
        <w:tc>
          <w:tcPr>
            <w:tcW w:w="4320" w:type="dxa"/>
          </w:tcPr>
          <w:p w14:paraId="186096D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Программы стажировок для студентов</w:t>
            </w:r>
          </w:p>
        </w:tc>
        <w:tc>
          <w:tcPr>
            <w:tcW w:w="4320" w:type="dxa"/>
          </w:tcPr>
          <w:p w14:paraId="4C86B48E"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55%</w:t>
            </w:r>
          </w:p>
        </w:tc>
      </w:tr>
    </w:tbl>
    <w:p w14:paraId="5BBD1C05" w14:textId="77777777" w:rsidR="00877DE5" w:rsidRPr="00877DE5" w:rsidRDefault="00877DE5" w:rsidP="00067100">
      <w:pPr>
        <w:widowControl w:val="0"/>
        <w:autoSpaceDE w:val="0"/>
        <w:autoSpaceDN w:val="0"/>
        <w:spacing w:after="0" w:line="240" w:lineRule="auto"/>
        <w:ind w:firstLine="709"/>
        <w:jc w:val="both"/>
        <w:outlineLvl w:val="0"/>
        <w:rPr>
          <w:rFonts w:ascii="Times New Roman" w:eastAsia="Times New Roman" w:hAnsi="Times New Roman" w:cs="Times New Roman"/>
          <w:color w:val="000000"/>
          <w:sz w:val="32"/>
          <w:szCs w:val="32"/>
        </w:rPr>
      </w:pPr>
      <w:r w:rsidRPr="00877DE5">
        <w:rPr>
          <w:rFonts w:ascii="Times New Roman" w:eastAsia="Times New Roman" w:hAnsi="Times New Roman" w:cs="Times New Roman"/>
          <w:color w:val="000000"/>
          <w:sz w:val="32"/>
          <w:szCs w:val="32"/>
        </w:rPr>
        <w:t>Таблица 3. Эффективность каналов HR-брендинга</w:t>
      </w:r>
      <w:r w:rsidRPr="00877DE5">
        <w:rPr>
          <w:rFonts w:ascii="Times New Roman" w:eastAsia="Times New Roman" w:hAnsi="Times New Roman" w:cs="Times New Roman"/>
          <w:b/>
          <w:bCs/>
          <w:sz w:val="28"/>
          <w:szCs w:val="28"/>
        </w:rPr>
        <w:t>.</w:t>
      </w:r>
    </w:p>
    <w:tbl>
      <w:tblPr>
        <w:tblStyle w:val="24"/>
        <w:tblW w:w="9779" w:type="dxa"/>
        <w:tblLook w:val="04A0" w:firstRow="1" w:lastRow="0" w:firstColumn="1" w:lastColumn="0" w:noHBand="0" w:noVBand="1"/>
      </w:tblPr>
      <w:tblGrid>
        <w:gridCol w:w="4889"/>
        <w:gridCol w:w="4890"/>
      </w:tblGrid>
      <w:tr w:rsidR="00877DE5" w:rsidRPr="00877DE5" w14:paraId="7B70B1FC" w14:textId="77777777" w:rsidTr="00067100">
        <w:trPr>
          <w:trHeight w:val="509"/>
        </w:trPr>
        <w:tc>
          <w:tcPr>
            <w:tcW w:w="4320" w:type="dxa"/>
          </w:tcPr>
          <w:p w14:paraId="00E8C9A1"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Канал</w:t>
            </w:r>
          </w:p>
        </w:tc>
        <w:tc>
          <w:tcPr>
            <w:tcW w:w="4320" w:type="dxa"/>
          </w:tcPr>
          <w:p w14:paraId="7D8BE8D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Средняя оценка (из 5)</w:t>
            </w:r>
          </w:p>
        </w:tc>
      </w:tr>
      <w:tr w:rsidR="00877DE5" w:rsidRPr="00877DE5" w14:paraId="79BCBE9B" w14:textId="77777777" w:rsidTr="00067100">
        <w:trPr>
          <w:trHeight w:val="509"/>
        </w:trPr>
        <w:tc>
          <w:tcPr>
            <w:tcW w:w="4320" w:type="dxa"/>
          </w:tcPr>
          <w:p w14:paraId="2D68FE2B"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Социальные сети</w:t>
            </w:r>
          </w:p>
        </w:tc>
        <w:tc>
          <w:tcPr>
            <w:tcW w:w="4320" w:type="dxa"/>
          </w:tcPr>
          <w:p w14:paraId="2FEB879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4.5</w:t>
            </w:r>
          </w:p>
        </w:tc>
      </w:tr>
      <w:tr w:rsidR="00877DE5" w:rsidRPr="00877DE5" w14:paraId="16005D33" w14:textId="77777777" w:rsidTr="00067100">
        <w:trPr>
          <w:trHeight w:val="508"/>
        </w:trPr>
        <w:tc>
          <w:tcPr>
            <w:tcW w:w="4320" w:type="dxa"/>
          </w:tcPr>
          <w:p w14:paraId="58E946F4"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Корпоративный веб-сайт</w:t>
            </w:r>
          </w:p>
        </w:tc>
        <w:tc>
          <w:tcPr>
            <w:tcW w:w="4320" w:type="dxa"/>
          </w:tcPr>
          <w:p w14:paraId="0853E83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4.2</w:t>
            </w:r>
          </w:p>
        </w:tc>
      </w:tr>
    </w:tbl>
    <w:p w14:paraId="2704317D" w14:textId="77777777" w:rsidR="00877DE5" w:rsidRPr="00877DE5" w:rsidRDefault="00877DE5" w:rsidP="00067100">
      <w:pPr>
        <w:widowControl w:val="0"/>
        <w:autoSpaceDE w:val="0"/>
        <w:autoSpaceDN w:val="0"/>
        <w:spacing w:after="0" w:line="240" w:lineRule="auto"/>
        <w:ind w:firstLine="709"/>
        <w:jc w:val="both"/>
        <w:outlineLvl w:val="0"/>
        <w:rPr>
          <w:rFonts w:ascii="Times New Roman" w:eastAsia="Times New Roman" w:hAnsi="Times New Roman" w:cs="Times New Roman"/>
          <w:color w:val="000000"/>
          <w:sz w:val="32"/>
          <w:szCs w:val="32"/>
        </w:rPr>
      </w:pPr>
      <w:r w:rsidRPr="00877DE5">
        <w:rPr>
          <w:rFonts w:ascii="Times New Roman" w:eastAsia="Times New Roman" w:hAnsi="Times New Roman" w:cs="Times New Roman"/>
          <w:color w:val="000000"/>
          <w:sz w:val="32"/>
          <w:szCs w:val="32"/>
        </w:rPr>
        <w:t>Таблица 4. Эффективность инструментов HR-брендинга.</w:t>
      </w:r>
    </w:p>
    <w:tbl>
      <w:tblPr>
        <w:tblStyle w:val="24"/>
        <w:tblW w:w="9813" w:type="dxa"/>
        <w:tblLook w:val="04A0" w:firstRow="1" w:lastRow="0" w:firstColumn="1" w:lastColumn="0" w:noHBand="0" w:noVBand="1"/>
      </w:tblPr>
      <w:tblGrid>
        <w:gridCol w:w="4906"/>
        <w:gridCol w:w="4907"/>
      </w:tblGrid>
      <w:tr w:rsidR="00877DE5" w:rsidRPr="00877DE5" w14:paraId="6872953A" w14:textId="77777777" w:rsidTr="00067100">
        <w:trPr>
          <w:trHeight w:val="501"/>
        </w:trPr>
        <w:tc>
          <w:tcPr>
            <w:tcW w:w="4320" w:type="dxa"/>
          </w:tcPr>
          <w:p w14:paraId="66EB5895"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Инструмент</w:t>
            </w:r>
          </w:p>
        </w:tc>
        <w:tc>
          <w:tcPr>
            <w:tcW w:w="4320" w:type="dxa"/>
          </w:tcPr>
          <w:p w14:paraId="6DB2339A"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Средняя оценка (из 5)</w:t>
            </w:r>
          </w:p>
        </w:tc>
      </w:tr>
      <w:tr w:rsidR="00877DE5" w:rsidRPr="00877DE5" w14:paraId="0D653354" w14:textId="77777777" w:rsidTr="00067100">
        <w:trPr>
          <w:trHeight w:val="501"/>
        </w:trPr>
        <w:tc>
          <w:tcPr>
            <w:tcW w:w="4320" w:type="dxa"/>
          </w:tcPr>
          <w:p w14:paraId="0ED3BCB2"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Контент-маркетинг</w:t>
            </w:r>
          </w:p>
        </w:tc>
        <w:tc>
          <w:tcPr>
            <w:tcW w:w="4320" w:type="dxa"/>
          </w:tcPr>
          <w:p w14:paraId="6BFABE58"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4.3</w:t>
            </w:r>
          </w:p>
        </w:tc>
      </w:tr>
      <w:tr w:rsidR="00877DE5" w:rsidRPr="00877DE5" w14:paraId="52B02CA5" w14:textId="77777777" w:rsidTr="00067100">
        <w:trPr>
          <w:trHeight w:val="499"/>
        </w:trPr>
        <w:tc>
          <w:tcPr>
            <w:tcW w:w="4320" w:type="dxa"/>
          </w:tcPr>
          <w:p w14:paraId="7E6ECCA4"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Программы стажировок для студентов</w:t>
            </w:r>
          </w:p>
        </w:tc>
        <w:tc>
          <w:tcPr>
            <w:tcW w:w="4320" w:type="dxa"/>
          </w:tcPr>
          <w:p w14:paraId="7BADB971" w14:textId="77777777" w:rsidR="00877DE5" w:rsidRPr="00877DE5" w:rsidRDefault="00877DE5" w:rsidP="00067100">
            <w:pPr>
              <w:ind w:firstLine="709"/>
              <w:rPr>
                <w:rFonts w:ascii="Times New Roman" w:eastAsia="Calibri" w:hAnsi="Times New Roman" w:cs="Times New Roman"/>
              </w:rPr>
            </w:pPr>
            <w:r w:rsidRPr="00877DE5">
              <w:rPr>
                <w:rFonts w:ascii="Times New Roman" w:eastAsia="Calibri" w:hAnsi="Times New Roman" w:cs="Times New Roman"/>
              </w:rPr>
              <w:t>4.0</w:t>
            </w:r>
          </w:p>
        </w:tc>
      </w:tr>
    </w:tbl>
    <w:p w14:paraId="4BAD94E0" w14:textId="77777777" w:rsidR="00877DE5" w:rsidRPr="00877DE5" w:rsidRDefault="00877DE5" w:rsidP="00067100">
      <w:pPr>
        <w:spacing w:after="0" w:line="240" w:lineRule="auto"/>
        <w:ind w:firstLine="709"/>
        <w:rPr>
          <w:rFonts w:ascii="Times New Roman" w:eastAsia="Calibri" w:hAnsi="Times New Roman" w:cs="Times New Roman"/>
          <w:sz w:val="32"/>
          <w:szCs w:val="32"/>
        </w:rPr>
      </w:pPr>
    </w:p>
    <w:p w14:paraId="5D35348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Анализ HR-статистики продемонстрировал, что организации, активно использующие социальные сети и контент-маркетинг, демонстрируют более низкий уровень текучести кадров и высокую степень вовлеченности сотрудников.</w:t>
      </w:r>
    </w:p>
    <w:p w14:paraId="5D2D3978" w14:textId="77777777" w:rsidR="00877DE5" w:rsidRPr="00877DE5" w:rsidRDefault="00877DE5" w:rsidP="00067100">
      <w:pP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4. Практические советы для современных организаций по созданию и развитию привлекательного образа работодателя основаны как на теоретическом изучении вопроса, так и на данных проведенного исследования. Исследование выявило эффективные стратегии российских компаний в сфере HR-брендинга. Среди удачных примеров можно отметить создание онлайн-платформы с интерактивными элементами, которая знакомит студентов с особенностями корпоративной среды компании. Другой успешной инициативой стала стратегия вовлечения персонала в продвижение бренда работодателя через программу "Амбассадоры бренда", где сотрудники становятся активными представителями компании в цифровом пространстве.</w:t>
      </w:r>
    </w:p>
    <w:p w14:paraId="2B02984C" w14:textId="77777777" w:rsidR="00877DE5" w:rsidRPr="00877DE5" w:rsidRDefault="00877DE5" w:rsidP="00067100">
      <w:pP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Настоящие указания разработаны с намерением вооружить организации практическими методами и решениями, способствующими формированию позитивной репутации на рынке труда, что позволит не только привлекать квалифицированных специалистов, но и обеспечивать их долгосрочную лояльность компании.</w:t>
      </w:r>
    </w:p>
    <w:p w14:paraId="1D995E13"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lastRenderedPageBreak/>
        <w:t>Рекомендации по формированию EVP (Employee Value Proposition).</w:t>
      </w:r>
    </w:p>
    <w:p w14:paraId="1FBAB6CD"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1. Анализ целевой аудитории</w:t>
      </w:r>
    </w:p>
    <w:p w14:paraId="59039D47"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Цель</w:t>
      </w:r>
      <w:proofErr w:type="gramStart"/>
      <w:r w:rsidRPr="00877DE5">
        <w:rPr>
          <w:rFonts w:ascii="Times New Roman" w:eastAsia="Calibri" w:hAnsi="Times New Roman" w:cs="Times New Roman"/>
          <w:color w:val="000000"/>
          <w:sz w:val="32"/>
          <w:szCs w:val="32"/>
        </w:rPr>
        <w:t>: Понять</w:t>
      </w:r>
      <w:proofErr w:type="gramEnd"/>
      <w:r w:rsidRPr="00877DE5">
        <w:rPr>
          <w:rFonts w:ascii="Times New Roman" w:eastAsia="Calibri" w:hAnsi="Times New Roman" w:cs="Times New Roman"/>
          <w:color w:val="000000"/>
          <w:sz w:val="32"/>
          <w:szCs w:val="32"/>
        </w:rPr>
        <w:t>, что важно для сотрудников и кандидатов.</w:t>
      </w:r>
    </w:p>
    <w:p w14:paraId="7AB59F94"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Инструменты: Опросы, интервью, фокус-группы.</w:t>
      </w:r>
    </w:p>
    <w:p w14:paraId="24B7FB7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Сегментация: По возрасту, опыту, образованию, навыкам.</w:t>
      </w:r>
    </w:p>
    <w:p w14:paraId="413699BC"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Действие</w:t>
      </w:r>
      <w:proofErr w:type="gramStart"/>
      <w:r w:rsidRPr="00877DE5">
        <w:rPr>
          <w:rFonts w:ascii="Times New Roman" w:eastAsia="Calibri" w:hAnsi="Times New Roman" w:cs="Times New Roman"/>
          <w:color w:val="000000"/>
          <w:sz w:val="32"/>
          <w:szCs w:val="32"/>
        </w:rPr>
        <w:t>: Разработать</w:t>
      </w:r>
      <w:proofErr w:type="gramEnd"/>
      <w:r w:rsidRPr="00877DE5">
        <w:rPr>
          <w:rFonts w:ascii="Times New Roman" w:eastAsia="Calibri" w:hAnsi="Times New Roman" w:cs="Times New Roman"/>
          <w:color w:val="000000"/>
          <w:sz w:val="32"/>
          <w:szCs w:val="32"/>
        </w:rPr>
        <w:t xml:space="preserve"> адаптированные EVP для разных групп.</w:t>
      </w:r>
    </w:p>
    <w:p w14:paraId="66B4A027"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2. Определение уникальных преимуществ</w:t>
      </w:r>
    </w:p>
    <w:p w14:paraId="3A70F6B9"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Найдите, чем вы отличаетесь от других работодателей. Возможные акценты:</w:t>
      </w:r>
    </w:p>
    <w:p w14:paraId="1AB5E908"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Инновационная корпоративная культура</w:t>
      </w:r>
    </w:p>
    <w:p w14:paraId="4FB998DE"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Возможности развития и карьерного роста</w:t>
      </w:r>
    </w:p>
    <w:p w14:paraId="1E2A68FF"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Гибкий график, удалёнка</w:t>
      </w:r>
    </w:p>
    <w:p w14:paraId="5C0ACB23"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Конкурентная оплата труда и бонусы</w:t>
      </w:r>
    </w:p>
    <w:p w14:paraId="251FE904"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Соцпакет и льготы</w:t>
      </w:r>
    </w:p>
    <w:p w14:paraId="543AF620"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Интересные задачи</w:t>
      </w:r>
    </w:p>
    <w:p w14:paraId="750101E3" w14:textId="77777777" w:rsidR="00877DE5" w:rsidRPr="00877DE5" w:rsidRDefault="00877DE5" w:rsidP="00AD58CD">
      <w:pPr>
        <w:numPr>
          <w:ilvl w:val="0"/>
          <w:numId w:val="50"/>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Сплочённая команда</w:t>
      </w:r>
    </w:p>
    <w:p w14:paraId="42B2609E"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3. Формулировка EVP</w:t>
      </w:r>
    </w:p>
    <w:p w14:paraId="503170AE"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Критерии: Краткость, ясность, запоминаемость.</w:t>
      </w:r>
    </w:p>
    <w:p w14:paraId="13BC908A"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Язык: Простой, привлекательный, без клише.</w:t>
      </w:r>
    </w:p>
    <w:p w14:paraId="4401C2FE"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Пример:</w:t>
      </w:r>
    </w:p>
    <w:p w14:paraId="12A26158"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 [название компании] вы реализуете потенциал, работая над инновациями в команде профессионалов.»</w:t>
      </w:r>
    </w:p>
    <w:p w14:paraId="7A7D22FD"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4. Проверка на соответствие</w:t>
      </w:r>
    </w:p>
    <w:p w14:paraId="2DB442B1" w14:textId="77777777" w:rsidR="00877DE5" w:rsidRPr="00877DE5" w:rsidRDefault="00877DE5" w:rsidP="00AD58CD">
      <w:pPr>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EVP должно отражать реальность.</w:t>
      </w:r>
    </w:p>
    <w:p w14:paraId="776F40A9" w14:textId="77777777" w:rsidR="00877DE5" w:rsidRPr="00877DE5" w:rsidRDefault="00877DE5" w:rsidP="00AD58CD">
      <w:pPr>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Регулярно оценивайте удовлетворённость сотрудников.</w:t>
      </w:r>
    </w:p>
    <w:p w14:paraId="021094BA" w14:textId="77777777" w:rsidR="00877DE5" w:rsidRPr="00877DE5" w:rsidRDefault="00877DE5" w:rsidP="00AD58CD">
      <w:pPr>
        <w:numPr>
          <w:ilvl w:val="0"/>
          <w:numId w:val="51"/>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Корректируйте EVP при изменениях.</w:t>
      </w:r>
    </w:p>
    <w:p w14:paraId="51264477"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5. Коммуникация EVP</w:t>
      </w:r>
    </w:p>
    <w:p w14:paraId="441D591B"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Транслируйте EVP последовательно через все каналы:</w:t>
      </w:r>
    </w:p>
    <w:p w14:paraId="34F0436A" w14:textId="77777777" w:rsidR="00877DE5" w:rsidRPr="00877DE5" w:rsidRDefault="00877DE5" w:rsidP="00AD58CD">
      <w:pPr>
        <w:numPr>
          <w:ilvl w:val="0"/>
          <w:numId w:val="5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Сайт компании</w:t>
      </w:r>
    </w:p>
    <w:p w14:paraId="005714DA" w14:textId="77777777" w:rsidR="00877DE5" w:rsidRPr="00877DE5" w:rsidRDefault="00877DE5" w:rsidP="00AD58CD">
      <w:pPr>
        <w:numPr>
          <w:ilvl w:val="0"/>
          <w:numId w:val="5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Социальные сети</w:t>
      </w:r>
    </w:p>
    <w:p w14:paraId="27C78C6B" w14:textId="77777777" w:rsidR="00877DE5" w:rsidRPr="00877DE5" w:rsidRDefault="00877DE5" w:rsidP="00AD58CD">
      <w:pPr>
        <w:numPr>
          <w:ilvl w:val="0"/>
          <w:numId w:val="5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Вакансии</w:t>
      </w:r>
    </w:p>
    <w:p w14:paraId="2D62B892" w14:textId="77777777" w:rsidR="00877DE5" w:rsidRPr="00877DE5" w:rsidRDefault="00877DE5" w:rsidP="00AD58CD">
      <w:pPr>
        <w:numPr>
          <w:ilvl w:val="0"/>
          <w:numId w:val="5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Интервью с кандидатами</w:t>
      </w:r>
    </w:p>
    <w:p w14:paraId="3F4F76C8" w14:textId="77777777" w:rsidR="00877DE5" w:rsidRPr="00877DE5" w:rsidRDefault="00877DE5" w:rsidP="00AD58CD">
      <w:pPr>
        <w:numPr>
          <w:ilvl w:val="0"/>
          <w:numId w:val="5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lang w:val="en-US"/>
        </w:rPr>
      </w:pPr>
      <w:r w:rsidRPr="00877DE5">
        <w:rPr>
          <w:rFonts w:ascii="Times New Roman" w:eastAsia="Calibri" w:hAnsi="Times New Roman" w:cs="Times New Roman"/>
          <w:color w:val="000000"/>
          <w:sz w:val="32"/>
          <w:szCs w:val="32"/>
        </w:rPr>
        <w:t>Внутренние коммуникации</w:t>
      </w:r>
    </w:p>
    <w:p w14:paraId="668CA3E8"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Разработка дорожной карты HR-брендинга для организаций </w:t>
      </w:r>
      <w:r w:rsidRPr="00877DE5">
        <w:rPr>
          <w:rFonts w:ascii="Times New Roman" w:eastAsia="Calibri" w:hAnsi="Times New Roman" w:cs="Times New Roman"/>
          <w:color w:val="000000"/>
          <w:sz w:val="32"/>
          <w:szCs w:val="36"/>
        </w:rPr>
        <w:t>[5].</w:t>
      </w:r>
    </w:p>
    <w:p w14:paraId="3C78DF89"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Для успешного формирования и продвижения HR-бренда организации необходимо разработать дорожную карту, представляющую собой пошаговый план действий.</w:t>
      </w:r>
    </w:p>
    <w:p w14:paraId="042465F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1. Анализ текущей ситуации</w:t>
      </w:r>
    </w:p>
    <w:p w14:paraId="03684405"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lastRenderedPageBreak/>
        <w:t>Оценка имиджа работодателя:</w:t>
      </w:r>
    </w:p>
    <w:p w14:paraId="52062964"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Внутреннее восприятие сотрудниками.</w:t>
      </w:r>
    </w:p>
    <w:p w14:paraId="516EB64C"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Внешнее восприятие на рынке труда.</w:t>
      </w:r>
    </w:p>
    <w:p w14:paraId="1F545AB4"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Анализ целевой аудитории:</w:t>
      </w:r>
    </w:p>
    <w:p w14:paraId="02285DBF"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Потребности, мотивация, ожидания.</w:t>
      </w:r>
    </w:p>
    <w:p w14:paraId="61A11E42"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Анализ конкурентов:</w:t>
      </w:r>
    </w:p>
    <w:p w14:paraId="7D12BAD1" w14:textId="77777777" w:rsidR="00877DE5" w:rsidRPr="00877DE5" w:rsidRDefault="00877DE5" w:rsidP="00AD58CD">
      <w:pPr>
        <w:numPr>
          <w:ilvl w:val="0"/>
          <w:numId w:val="5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Изучение их HR-брендов и практик.</w:t>
      </w:r>
    </w:p>
    <w:p w14:paraId="5295E9E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p>
    <w:p w14:paraId="5C3AEDB3"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2. Разработка стратегии HR-брендинга</w:t>
      </w:r>
    </w:p>
    <w:p w14:paraId="5BBDE15D"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Цели и задачи:</w:t>
      </w:r>
    </w:p>
    <w:p w14:paraId="1E7B97DC"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Четкое понимание, зачем и для кого создаётся бренд.</w:t>
      </w:r>
    </w:p>
    <w:p w14:paraId="067D9C0E"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Формирование EVP (ценностного предложения работнику).</w:t>
      </w:r>
    </w:p>
    <w:p w14:paraId="1BD8835B"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Ключевые сообщения:</w:t>
      </w:r>
    </w:p>
    <w:p w14:paraId="5C33EB5C"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Что и как вы хотите донести до целевой аудитории.</w:t>
      </w:r>
    </w:p>
    <w:p w14:paraId="4ED91631"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Каналы и инструменты продвижения:</w:t>
      </w:r>
    </w:p>
    <w:p w14:paraId="7935339C" w14:textId="77777777" w:rsidR="00877DE5" w:rsidRPr="00877DE5" w:rsidRDefault="00877DE5" w:rsidP="00AD58CD">
      <w:pPr>
        <w:numPr>
          <w:ilvl w:val="0"/>
          <w:numId w:val="5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Соцсети, карьерный сайт, мероприятия, внутренние ресурсы и др.</w:t>
      </w:r>
    </w:p>
    <w:p w14:paraId="0909D166"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3. Реализация стратегии</w:t>
      </w:r>
    </w:p>
    <w:p w14:paraId="58B2F4EB"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Изменения в корпоративной культуре:</w:t>
      </w:r>
    </w:p>
    <w:p w14:paraId="646AC46B"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Внедрение ценностей, соответствующих HR-бренду.</w:t>
      </w:r>
    </w:p>
    <w:p w14:paraId="6EFE3009"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Программы обучения и развития:</w:t>
      </w:r>
    </w:p>
    <w:p w14:paraId="2885AA14"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Укрепление брендовых ценностей через развитие сотрудников.</w:t>
      </w:r>
    </w:p>
    <w:p w14:paraId="2ADA8ED1"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Коммуникация HR-бренда:</w:t>
      </w:r>
    </w:p>
    <w:p w14:paraId="1DA5C1B1" w14:textId="77777777" w:rsidR="00877DE5" w:rsidRPr="00877DE5" w:rsidRDefault="00877DE5" w:rsidP="00AD58CD">
      <w:pPr>
        <w:numPr>
          <w:ilvl w:val="0"/>
          <w:numId w:val="5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Продвижение через внутренние и внешние каналы.</w:t>
      </w:r>
    </w:p>
    <w:p w14:paraId="7B046E00"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4. Оценка эффективности</w:t>
      </w:r>
    </w:p>
    <w:p w14:paraId="73FCF9DF" w14:textId="77777777" w:rsidR="00877DE5" w:rsidRPr="00877DE5" w:rsidRDefault="00877DE5" w:rsidP="00AD58CD">
      <w:pPr>
        <w:numPr>
          <w:ilvl w:val="0"/>
          <w:numId w:val="56"/>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Метрики и показатели: уровень вовлечённости, текучесть кадров, отклики на вакансии и др.</w:t>
      </w:r>
    </w:p>
    <w:p w14:paraId="4B0AD43A" w14:textId="77777777" w:rsidR="00877DE5" w:rsidRPr="00877DE5" w:rsidRDefault="00877DE5" w:rsidP="00AD58CD">
      <w:pPr>
        <w:numPr>
          <w:ilvl w:val="0"/>
          <w:numId w:val="56"/>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Сбор и анализ данных: регулярный мониторинг обратной связи и статистики.</w:t>
      </w:r>
    </w:p>
    <w:p w14:paraId="797C846B" w14:textId="77777777" w:rsidR="00877DE5" w:rsidRPr="00877DE5" w:rsidRDefault="00877DE5" w:rsidP="00AD58CD">
      <w:pPr>
        <w:numPr>
          <w:ilvl w:val="0"/>
          <w:numId w:val="56"/>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Корректировка стратегии: адаптация в зависимости от результатов и изменений во внешней среде.</w:t>
      </w:r>
    </w:p>
    <w:p w14:paraId="38F0E46C"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 xml:space="preserve">Разработка практических рекомендаций для HR-специалистов и руководителей стала ключевым результатом работы. Эти предложения помогут компаниям усовершенствовать имидж работодателя и оптимизировать HR-брендинг. Изучение опыта российских организаций позволило определить наиболее успешные стратегии формирования и продвижения бренда работодателя. В процессе исследования была создана методика для оценки результативности </w:t>
      </w:r>
      <w:r w:rsidRPr="00877DE5">
        <w:rPr>
          <w:rFonts w:ascii="Times New Roman" w:eastAsia="Calibri" w:hAnsi="Times New Roman" w:cs="Times New Roman"/>
          <w:color w:val="000000"/>
          <w:sz w:val="32"/>
          <w:szCs w:val="32"/>
        </w:rPr>
        <w:lastRenderedPageBreak/>
        <w:t>HR-брендинга, изучены действенные инструменты коммуникации, проанализированы ключевые элементы, влияющие на восприятие компании как работодателя, и углублено понимание сути HR-бренда современных компаний.</w:t>
      </w:r>
    </w:p>
    <w:p w14:paraId="0C77DE47"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Ограниченный масштаб и субъективность оценок создают простор для будущих исследований HR-брендинга. Текущий анализ, охвативший только 50 отечественных компаний, не позволяет делать универсальные выводы. Перспективные работы могли бы расширить географию, включив зарубежные организации, и значительно увеличить размер выборки.</w:t>
      </w:r>
    </w:p>
    <w:p w14:paraId="6D96F181"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Существенным недостатком является опора преимущественно на мнения HR-профессионалов при оценке эффективности брендинговых инструментов. Будущие исследования выиграли бы от внедрения измеримых критериев – анализа финансовых показателей, уровня лояльности сотрудников и статистики увольнений. Хотя полученные данные ценны, эти ограничения указывают на необходимость дальнейшего развития методологии изучения HR-брендинга.</w:t>
      </w:r>
    </w:p>
    <w:p w14:paraId="52BBC60B"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Малый и средний бизнес остается недостаточно изученной средой для развития HR-брендинга, в то время как исследователи преимущественно концентрируют внимание на крупных корпорациях. Постоянная трансформация сферы HR-брендинга требует непрерывного мониторинга и глубокого анализа новых тенденций. Революционные возможности открываются при внедрении технологий искусственного интеллекта в кадровые процессы: от индивидуализированной коммуникации и автоматизированного подбора персонала до создания инновационного опыта взаимодействия с сотрудниками.</w:t>
      </w:r>
    </w:p>
    <w:p w14:paraId="08A9684B"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r w:rsidRPr="00877DE5">
        <w:rPr>
          <w:rFonts w:ascii="Times New Roman" w:eastAsia="Calibri" w:hAnsi="Times New Roman" w:cs="Times New Roman"/>
          <w:color w:val="000000"/>
          <w:sz w:val="32"/>
          <w:szCs w:val="32"/>
        </w:rPr>
        <w:t>Будущие научные исследования углубят понимание брендинга работодателя, способствуя созданию инновационных методов управления персоналом. Разработка передовых инструментов для поиска, стимулирования и сохранения ценных кадров в результате повысит рыночные позиции компаний, усиливая их преимущества перед конкурентами.</w:t>
      </w:r>
    </w:p>
    <w:p w14:paraId="6612C5FB"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eastAsia="Calibri" w:hAnsi="Times New Roman" w:cs="Times New Roman"/>
          <w:color w:val="000000"/>
          <w:sz w:val="32"/>
          <w:szCs w:val="32"/>
        </w:rPr>
      </w:pPr>
    </w:p>
    <w:p w14:paraId="79422BFC" w14:textId="77777777" w:rsidR="00877DE5" w:rsidRPr="00877DE5" w:rsidRDefault="009D26CC" w:rsidP="009D26CC">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center"/>
        <w:rPr>
          <w:rFonts w:ascii="Times New Roman" w:eastAsia="Calibri" w:hAnsi="Times New Roman" w:cs="Times New Roman"/>
          <w:b/>
          <w:bCs/>
          <w:color w:val="000000"/>
          <w:sz w:val="21"/>
          <w:szCs w:val="21"/>
          <w:lang w:val="en-US"/>
        </w:rPr>
      </w:pPr>
      <w:r>
        <w:rPr>
          <w:rFonts w:ascii="Times New Roman" w:eastAsia="Calibri" w:hAnsi="Times New Roman" w:cs="Times New Roman"/>
          <w:b/>
          <w:bCs/>
          <w:color w:val="000000"/>
          <w:sz w:val="21"/>
          <w:szCs w:val="21"/>
          <w:lang w:val="en-US"/>
        </w:rPr>
        <w:t xml:space="preserve">Литература: </w:t>
      </w:r>
    </w:p>
    <w:p w14:paraId="7A9E61C6" w14:textId="77777777" w:rsidR="00877DE5" w:rsidRPr="00877DE5" w:rsidRDefault="00877DE5" w:rsidP="00AD58CD">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142"/>
        <w:jc w:val="both"/>
        <w:rPr>
          <w:rFonts w:ascii="Times New Roman" w:eastAsia="Calibri" w:hAnsi="Times New Roman" w:cs="Times New Roman"/>
          <w:color w:val="000000"/>
          <w:sz w:val="21"/>
          <w:szCs w:val="21"/>
        </w:rPr>
      </w:pPr>
      <w:r w:rsidRPr="00877DE5">
        <w:rPr>
          <w:rFonts w:ascii="Times New Roman" w:eastAsia="Calibri" w:hAnsi="Times New Roman" w:cs="Times New Roman"/>
          <w:color w:val="000000"/>
          <w:sz w:val="21"/>
          <w:szCs w:val="21"/>
        </w:rPr>
        <w:t>Батракова, Л. Г. Эволюция научных взглядов на понятие «Человеческие ресурсы» и его современная специфика/ Л. Г. Батракова// Вестник ЛГУ им. Пушкина. — 2017. — № 2. — 44–48с.</w:t>
      </w:r>
    </w:p>
    <w:p w14:paraId="2919D341" w14:textId="77777777" w:rsidR="00877DE5" w:rsidRPr="00877DE5" w:rsidRDefault="00877DE5" w:rsidP="00AD58CD">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142"/>
        <w:jc w:val="both"/>
        <w:rPr>
          <w:rFonts w:ascii="Times New Roman" w:eastAsia="Calibri" w:hAnsi="Times New Roman" w:cs="Times New Roman"/>
          <w:color w:val="000000"/>
          <w:sz w:val="21"/>
          <w:szCs w:val="21"/>
        </w:rPr>
      </w:pPr>
      <w:r w:rsidRPr="00877DE5">
        <w:rPr>
          <w:rFonts w:ascii="Times New Roman" w:eastAsia="Calibri" w:hAnsi="Times New Roman" w:cs="Times New Roman"/>
          <w:color w:val="000000"/>
          <w:sz w:val="21"/>
          <w:szCs w:val="21"/>
        </w:rPr>
        <w:t>Бруковская, О. HR-бренд. 5 шагов к успеху вашей компании / O Бруковская, Н. Осовицкая. — Спб.: Питер. — 2016. –272-285с.</w:t>
      </w:r>
    </w:p>
    <w:p w14:paraId="5ECA34DC" w14:textId="77777777" w:rsidR="00877DE5" w:rsidRPr="00877DE5" w:rsidRDefault="00877DE5" w:rsidP="00AD58CD">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142"/>
        <w:jc w:val="both"/>
        <w:rPr>
          <w:rFonts w:ascii="Times New Roman" w:eastAsia="Calibri" w:hAnsi="Times New Roman" w:cs="Times New Roman"/>
          <w:color w:val="000000"/>
          <w:sz w:val="21"/>
          <w:szCs w:val="21"/>
        </w:rPr>
      </w:pPr>
      <w:r w:rsidRPr="00877DE5">
        <w:rPr>
          <w:rFonts w:ascii="Times New Roman" w:eastAsia="Calibri" w:hAnsi="Times New Roman" w:cs="Times New Roman"/>
          <w:color w:val="000000"/>
          <w:sz w:val="21"/>
          <w:szCs w:val="21"/>
        </w:rPr>
        <w:t>Джоунс, Ф. Роль рекламы в создании сильных брендов: пер. с англ. / Ф. Джоунс. — M.: Вильямс — 2017. — 485-501с.</w:t>
      </w:r>
    </w:p>
    <w:p w14:paraId="0E5ACA5F" w14:textId="77777777" w:rsidR="00877DE5" w:rsidRPr="00877DE5" w:rsidRDefault="00877DE5" w:rsidP="00AD58CD">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142"/>
        <w:jc w:val="both"/>
        <w:rPr>
          <w:rFonts w:ascii="Times New Roman" w:eastAsia="Calibri" w:hAnsi="Times New Roman" w:cs="Times New Roman"/>
          <w:color w:val="000000"/>
          <w:sz w:val="21"/>
          <w:szCs w:val="21"/>
        </w:rPr>
      </w:pPr>
      <w:r w:rsidRPr="00877DE5">
        <w:rPr>
          <w:rFonts w:ascii="Times New Roman" w:eastAsia="Calibri" w:hAnsi="Times New Roman" w:cs="Times New Roman"/>
          <w:color w:val="000000"/>
          <w:sz w:val="21"/>
          <w:szCs w:val="21"/>
        </w:rPr>
        <w:t>Джон, М. Битва за персонал / М. Джон. - СПб.: Питер, 2004.</w:t>
      </w:r>
    </w:p>
    <w:p w14:paraId="4C1247F2" w14:textId="77777777" w:rsidR="00877DE5" w:rsidRPr="00877DE5" w:rsidRDefault="00877DE5" w:rsidP="00AD58CD">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0" w:firstLine="142"/>
        <w:jc w:val="both"/>
        <w:rPr>
          <w:rFonts w:ascii="Times New Roman" w:eastAsia="Calibri" w:hAnsi="Times New Roman" w:cs="Times New Roman"/>
        </w:rPr>
      </w:pPr>
      <w:r w:rsidRPr="00877DE5">
        <w:rPr>
          <w:rFonts w:ascii="Times New Roman" w:eastAsia="Calibri" w:hAnsi="Times New Roman" w:cs="Times New Roman"/>
          <w:color w:val="000000"/>
          <w:sz w:val="21"/>
          <w:szCs w:val="21"/>
        </w:rPr>
        <w:lastRenderedPageBreak/>
        <w:t xml:space="preserve">Шавандина, А. Кто ответит за имидж работодателя?/ А. Шавандина </w:t>
      </w:r>
      <w:hyperlink r:id="rId355" w:history="1">
        <w:r w:rsidRPr="00877DE5">
          <w:rPr>
            <w:rFonts w:ascii="Times New Roman" w:eastAsia="Calibri" w:hAnsi="Times New Roman" w:cs="Times New Roman"/>
            <w:color w:val="0563C1"/>
            <w:sz w:val="21"/>
            <w:szCs w:val="21"/>
            <w:u w:val="single"/>
          </w:rPr>
          <w:t>http://www.kadrovik.ru/modules.php?op=modload&amp;name=News&amp;file=article&amp;sid</w:t>
        </w:r>
      </w:hyperlink>
    </w:p>
    <w:p w14:paraId="745EF9E9" w14:textId="77777777" w:rsidR="00877DE5" w:rsidRPr="00877DE5" w:rsidRDefault="00877DE5" w:rsidP="0006710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360" w:firstLine="709"/>
        <w:rPr>
          <w:rFonts w:ascii="Times New Roman" w:eastAsia="Calibri" w:hAnsi="Times New Roman" w:cs="Times New Roman"/>
        </w:rPr>
      </w:pPr>
    </w:p>
    <w:p w14:paraId="7AA6482B" w14:textId="77777777" w:rsidR="00877DE5" w:rsidRPr="00877DE5" w:rsidRDefault="00877DE5" w:rsidP="00666422">
      <w:pPr>
        <w:tabs>
          <w:tab w:val="left" w:pos="405"/>
          <w:tab w:val="right" w:pos="10348"/>
        </w:tabs>
        <w:spacing w:after="0" w:line="240" w:lineRule="auto"/>
        <w:contextualSpacing/>
        <w:jc w:val="both"/>
        <w:rPr>
          <w:rFonts w:ascii="10,5" w:eastAsia="Calibri" w:hAnsi="10,5" w:cs="Times New Roman"/>
          <w:b/>
          <w:bCs/>
          <w:i/>
          <w:iCs/>
          <w:sz w:val="21"/>
          <w:szCs w:val="21"/>
        </w:rPr>
      </w:pPr>
      <w:r w:rsidRPr="00877DE5">
        <w:rPr>
          <w:rFonts w:ascii="10,5" w:eastAsia="Calibri" w:hAnsi="10,5" w:cs="Times New Roman"/>
          <w:b/>
          <w:bCs/>
          <w:iCs/>
          <w:sz w:val="21"/>
          <w:szCs w:val="21"/>
        </w:rPr>
        <w:t>УДК 338</w:t>
      </w:r>
      <w:r w:rsidRPr="00877DE5">
        <w:rPr>
          <w:rFonts w:ascii="10,5" w:eastAsia="Calibri" w:hAnsi="10,5" w:cs="Times New Roman"/>
          <w:b/>
          <w:bCs/>
          <w:i/>
          <w:iCs/>
          <w:sz w:val="21"/>
          <w:szCs w:val="21"/>
        </w:rPr>
        <w:tab/>
        <w:t>Шаов А.И.,</w:t>
      </w:r>
    </w:p>
    <w:p w14:paraId="582B8272"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Студент 1 курса</w:t>
      </w:r>
      <w:hyperlink r:id="rId356" w:history="1">
        <w:r w:rsidRPr="00877DE5">
          <w:rPr>
            <w:rFonts w:ascii="10,5" w:eastAsia="Calibri" w:hAnsi="10,5" w:cs="Times New Roman"/>
            <w:color w:val="007BFF"/>
            <w:sz w:val="21"/>
            <w:szCs w:val="21"/>
          </w:rPr>
          <w:br/>
        </w:r>
      </w:hyperlink>
      <w:r w:rsidRPr="00877DE5">
        <w:rPr>
          <w:rFonts w:ascii="10,5" w:eastAsia="Calibri" w:hAnsi="10,5" w:cs="Times New Roman"/>
          <w:sz w:val="21"/>
          <w:szCs w:val="21"/>
        </w:rPr>
        <w:t>ФГОБУ ВО «</w:t>
      </w:r>
      <w:r w:rsidRPr="00877DE5">
        <w:rPr>
          <w:rFonts w:ascii="10,5" w:eastAsia="Calibri" w:hAnsi="10,5" w:cs="Times New Roman"/>
          <w:i/>
          <w:sz w:val="21"/>
          <w:szCs w:val="21"/>
        </w:rPr>
        <w:t>Финансовый</w:t>
      </w:r>
    </w:p>
    <w:p w14:paraId="18382DC0"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 xml:space="preserve"> университета при Правительстве Российской Федерации»</w:t>
      </w:r>
    </w:p>
    <w:p w14:paraId="3E3FEC87"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 xml:space="preserve"> (Краснодарский Филиал) </w:t>
      </w:r>
    </w:p>
    <w:p w14:paraId="3561BF5A"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г. Краснодар, Россия</w:t>
      </w:r>
    </w:p>
    <w:p w14:paraId="01F69E0A" w14:textId="1BFB84E5" w:rsidR="00877DE5" w:rsidRPr="00877DE5" w:rsidRDefault="00877DE5" w:rsidP="009D26CC">
      <w:pPr>
        <w:spacing w:after="0" w:line="240" w:lineRule="auto"/>
        <w:jc w:val="right"/>
        <w:rPr>
          <w:rFonts w:ascii="10,5" w:eastAsia="Calibri" w:hAnsi="10,5" w:cs="Times New Roman"/>
          <w:i/>
          <w:sz w:val="21"/>
          <w:szCs w:val="21"/>
        </w:rPr>
      </w:pPr>
      <w:r w:rsidRPr="00877DE5">
        <w:rPr>
          <w:rFonts w:ascii="10,5" w:eastAsia="Calibri" w:hAnsi="10,5" w:cs="Times New Roman"/>
          <w:i/>
          <w:sz w:val="21"/>
          <w:szCs w:val="21"/>
        </w:rPr>
        <w:t xml:space="preserve">                                                                                                          </w:t>
      </w:r>
      <w:r w:rsidR="009D26CC">
        <w:rPr>
          <w:rFonts w:ascii="10,5" w:eastAsia="Calibri" w:hAnsi="10,5" w:cs="Times New Roman"/>
          <w:i/>
          <w:sz w:val="21"/>
          <w:szCs w:val="21"/>
        </w:rPr>
        <w:t xml:space="preserve">       </w:t>
      </w:r>
      <w:r w:rsidR="009D26CC">
        <w:rPr>
          <w:rFonts w:ascii="10,5" w:eastAsia="Calibri" w:hAnsi="10,5" w:cs="Times New Roman"/>
          <w:i/>
          <w:sz w:val="21"/>
          <w:szCs w:val="21"/>
          <w:lang w:val="en-US"/>
        </w:rPr>
        <w:t>e</w:t>
      </w:r>
      <w:r w:rsidRPr="00877DE5">
        <w:rPr>
          <w:rFonts w:ascii="10,5" w:eastAsia="Calibri" w:hAnsi="10,5" w:cs="Times New Roman"/>
          <w:i/>
          <w:sz w:val="21"/>
          <w:szCs w:val="21"/>
          <w:lang w:val="en-US"/>
        </w:rPr>
        <w:t>mail</w:t>
      </w:r>
      <w:r w:rsidRPr="00877DE5">
        <w:rPr>
          <w:rFonts w:ascii="10,5" w:eastAsia="Calibri" w:hAnsi="10,5" w:cs="Times New Roman"/>
          <w:i/>
          <w:sz w:val="21"/>
          <w:szCs w:val="21"/>
        </w:rPr>
        <w:t>:</w:t>
      </w:r>
      <w:r w:rsidR="00666422">
        <w:rPr>
          <w:rFonts w:ascii="10,5" w:eastAsia="Calibri" w:hAnsi="10,5" w:cs="Times New Roman"/>
          <w:i/>
          <w:sz w:val="21"/>
          <w:szCs w:val="21"/>
        </w:rPr>
        <w:t xml:space="preserve"> </w:t>
      </w:r>
      <w:r w:rsidRPr="00877DE5">
        <w:rPr>
          <w:rFonts w:ascii="10,5" w:eastAsia="Calibri" w:hAnsi="10,5" w:cs="Times New Roman"/>
          <w:i/>
          <w:sz w:val="21"/>
          <w:szCs w:val="21"/>
          <w:lang w:val="en-US"/>
        </w:rPr>
        <w:t>Azamat</w:t>
      </w:r>
      <w:r w:rsidRPr="00877DE5">
        <w:rPr>
          <w:rFonts w:ascii="10,5" w:eastAsia="Calibri" w:hAnsi="10,5" w:cs="Times New Roman"/>
          <w:i/>
          <w:sz w:val="21"/>
          <w:szCs w:val="21"/>
        </w:rPr>
        <w:t>_87@</w:t>
      </w:r>
      <w:r w:rsidRPr="00877DE5">
        <w:rPr>
          <w:rFonts w:ascii="10,5" w:eastAsia="Calibri" w:hAnsi="10,5" w:cs="Times New Roman"/>
          <w:i/>
          <w:sz w:val="21"/>
          <w:szCs w:val="21"/>
          <w:lang w:val="en-US"/>
        </w:rPr>
        <w:t>inbox</w:t>
      </w:r>
      <w:r w:rsidRPr="00877DE5">
        <w:rPr>
          <w:rFonts w:ascii="10,5" w:eastAsia="Calibri" w:hAnsi="10,5" w:cs="Times New Roman"/>
          <w:i/>
          <w:sz w:val="21"/>
          <w:szCs w:val="21"/>
        </w:rPr>
        <w:t>.</w:t>
      </w:r>
      <w:r w:rsidRPr="00877DE5">
        <w:rPr>
          <w:rFonts w:ascii="10,5" w:eastAsia="Calibri" w:hAnsi="10,5" w:cs="Times New Roman"/>
          <w:i/>
          <w:sz w:val="21"/>
          <w:szCs w:val="21"/>
          <w:lang w:val="en-US"/>
        </w:rPr>
        <w:t>ru</w:t>
      </w:r>
    </w:p>
    <w:p w14:paraId="6D199DE7" w14:textId="77777777" w:rsidR="00877DE5" w:rsidRPr="00877DE5" w:rsidRDefault="00877DE5" w:rsidP="00067100">
      <w:pPr>
        <w:spacing w:after="0" w:line="240" w:lineRule="auto"/>
        <w:ind w:firstLine="709"/>
        <w:jc w:val="center"/>
        <w:rPr>
          <w:rFonts w:ascii="10,5" w:eastAsia="Calibri" w:hAnsi="10,5" w:cs="Times New Roman"/>
          <w:color w:val="212529"/>
          <w:sz w:val="21"/>
          <w:szCs w:val="21"/>
        </w:rPr>
      </w:pPr>
    </w:p>
    <w:p w14:paraId="0ACB9093" w14:textId="12143F34" w:rsidR="00877DE5" w:rsidRPr="00877DE5" w:rsidRDefault="00877DE5" w:rsidP="00666422">
      <w:pPr>
        <w:spacing w:after="0" w:line="240" w:lineRule="auto"/>
        <w:ind w:right="13"/>
        <w:jc w:val="right"/>
        <w:rPr>
          <w:rFonts w:ascii="10,5" w:eastAsia="Calibri" w:hAnsi="10,5" w:cs="Times New Roman"/>
          <w:b/>
          <w:i/>
          <w:sz w:val="21"/>
          <w:szCs w:val="21"/>
        </w:rPr>
      </w:pPr>
      <w:r w:rsidRPr="00877DE5">
        <w:rPr>
          <w:rFonts w:ascii="10,5" w:eastAsia="Calibri" w:hAnsi="10,5" w:cs="Times New Roman"/>
          <w:b/>
          <w:i/>
          <w:sz w:val="21"/>
          <w:szCs w:val="21"/>
        </w:rPr>
        <w:t xml:space="preserve">Научный </w:t>
      </w:r>
      <w:r w:rsidRPr="00877DE5">
        <w:rPr>
          <w:rFonts w:ascii="10,5" w:eastAsia="Calibri" w:hAnsi="10,5" w:cs="Times New Roman"/>
          <w:b/>
          <w:i/>
          <w:spacing w:val="-2"/>
          <w:sz w:val="21"/>
          <w:szCs w:val="21"/>
        </w:rPr>
        <w:t>руководитель:</w:t>
      </w:r>
    </w:p>
    <w:p w14:paraId="3E75FFF0"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b/>
          <w:bCs/>
          <w:i/>
          <w:color w:val="212529"/>
          <w:sz w:val="21"/>
          <w:szCs w:val="21"/>
        </w:rPr>
        <w:t>Зинченко Н.В.,</w:t>
      </w:r>
    </w:p>
    <w:p w14:paraId="4FE87E4B" w14:textId="77777777" w:rsidR="00877DE5" w:rsidRPr="00877DE5" w:rsidRDefault="00877DE5" w:rsidP="00067100">
      <w:pPr>
        <w:spacing w:after="0" w:line="240" w:lineRule="auto"/>
        <w:ind w:firstLine="709"/>
        <w:jc w:val="right"/>
        <w:rPr>
          <w:rFonts w:ascii="10,5" w:eastAsia="Calibri" w:hAnsi="10,5" w:cs="Times New Roman"/>
          <w:b/>
          <w:bCs/>
          <w:color w:val="212529"/>
          <w:sz w:val="21"/>
          <w:szCs w:val="21"/>
        </w:rPr>
      </w:pPr>
      <w:proofErr w:type="gramStart"/>
      <w:r w:rsidRPr="00877DE5">
        <w:rPr>
          <w:rFonts w:ascii="10,5" w:eastAsia="Calibri" w:hAnsi="10,5" w:cs="Times New Roman"/>
          <w:i/>
          <w:sz w:val="21"/>
          <w:szCs w:val="21"/>
        </w:rPr>
        <w:t>доцент,к.э.н.</w:t>
      </w:r>
      <w:proofErr w:type="gramEnd"/>
    </w:p>
    <w:p w14:paraId="2541D080"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sz w:val="21"/>
          <w:szCs w:val="21"/>
        </w:rPr>
        <w:t>ФГОБУ ВО «</w:t>
      </w:r>
      <w:r w:rsidRPr="00877DE5">
        <w:rPr>
          <w:rFonts w:ascii="10,5" w:eastAsia="Calibri" w:hAnsi="10,5" w:cs="Times New Roman"/>
          <w:i/>
          <w:sz w:val="21"/>
          <w:szCs w:val="21"/>
        </w:rPr>
        <w:t>Финансовый</w:t>
      </w:r>
    </w:p>
    <w:p w14:paraId="68E87C63"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 xml:space="preserve"> университета при Правительстве Российской Федерации»</w:t>
      </w:r>
    </w:p>
    <w:p w14:paraId="39F8E384"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 xml:space="preserve"> (Краснодарский Филиал) </w:t>
      </w:r>
    </w:p>
    <w:p w14:paraId="1C3D1AF8" w14:textId="77777777" w:rsidR="00877DE5" w:rsidRPr="00877DE5" w:rsidRDefault="00877DE5" w:rsidP="00067100">
      <w:pPr>
        <w:spacing w:after="0" w:line="240" w:lineRule="auto"/>
        <w:ind w:firstLine="709"/>
        <w:jc w:val="right"/>
        <w:rPr>
          <w:rFonts w:ascii="10,5" w:eastAsia="Calibri" w:hAnsi="10,5" w:cs="Times New Roman"/>
          <w:i/>
          <w:sz w:val="21"/>
          <w:szCs w:val="21"/>
        </w:rPr>
      </w:pPr>
      <w:r w:rsidRPr="00877DE5">
        <w:rPr>
          <w:rFonts w:ascii="10,5" w:eastAsia="Calibri" w:hAnsi="10,5" w:cs="Times New Roman"/>
          <w:i/>
          <w:sz w:val="21"/>
          <w:szCs w:val="21"/>
        </w:rPr>
        <w:t>г. Краснодар, Россия</w:t>
      </w:r>
    </w:p>
    <w:p w14:paraId="6F4051AA" w14:textId="77777777" w:rsidR="00877DE5" w:rsidRPr="00877DE5" w:rsidRDefault="00877DE5" w:rsidP="00067100">
      <w:pPr>
        <w:spacing w:after="0" w:line="240" w:lineRule="auto"/>
        <w:ind w:firstLine="709"/>
        <w:contextualSpacing/>
        <w:rPr>
          <w:rFonts w:ascii="10,5" w:eastAsia="Calibri" w:hAnsi="10,5" w:cs="Times New Roman"/>
          <w:b/>
          <w:bCs/>
          <w:sz w:val="21"/>
          <w:szCs w:val="21"/>
        </w:rPr>
      </w:pPr>
    </w:p>
    <w:p w14:paraId="1189E218" w14:textId="77777777" w:rsidR="00877DE5" w:rsidRPr="00877DE5" w:rsidRDefault="00877DE5" w:rsidP="00067100">
      <w:pPr>
        <w:spacing w:after="0" w:line="240" w:lineRule="auto"/>
        <w:ind w:firstLine="709"/>
        <w:contextualSpacing/>
        <w:jc w:val="center"/>
        <w:rPr>
          <w:rFonts w:ascii="10,5" w:eastAsia="Calibri" w:hAnsi="10,5" w:cs="Times New Roman"/>
          <w:b/>
          <w:bCs/>
          <w:sz w:val="21"/>
          <w:szCs w:val="21"/>
        </w:rPr>
      </w:pPr>
      <w:r w:rsidRPr="00877DE5">
        <w:rPr>
          <w:rFonts w:ascii="10,5" w:eastAsia="Calibri" w:hAnsi="10,5" w:cs="Times New Roman"/>
          <w:b/>
          <w:bCs/>
          <w:sz w:val="21"/>
          <w:szCs w:val="21"/>
        </w:rPr>
        <w:t>Роль мега-проектов в социально-эко</w:t>
      </w:r>
      <w:r w:rsidR="009D26CC">
        <w:rPr>
          <w:rFonts w:ascii="10,5" w:eastAsia="Calibri" w:hAnsi="10,5" w:cs="Times New Roman"/>
          <w:b/>
          <w:bCs/>
          <w:sz w:val="21"/>
          <w:szCs w:val="21"/>
        </w:rPr>
        <w:t>номическом развитии территорий</w:t>
      </w:r>
    </w:p>
    <w:p w14:paraId="71B36598" w14:textId="77777777" w:rsidR="00877DE5" w:rsidRPr="00877DE5" w:rsidRDefault="00877DE5" w:rsidP="00067100">
      <w:pPr>
        <w:spacing w:after="0" w:line="240" w:lineRule="auto"/>
        <w:ind w:firstLine="709"/>
        <w:contextualSpacing/>
        <w:jc w:val="center"/>
        <w:rPr>
          <w:rFonts w:ascii="10,5" w:eastAsia="Calibri" w:hAnsi="10,5" w:cs="Times New Roman"/>
          <w:b/>
          <w:bCs/>
          <w:sz w:val="21"/>
          <w:szCs w:val="21"/>
        </w:rPr>
      </w:pPr>
    </w:p>
    <w:p w14:paraId="0A4D5EE0" w14:textId="77777777" w:rsidR="00877DE5" w:rsidRPr="00877DE5" w:rsidRDefault="00877DE5" w:rsidP="00067100">
      <w:pPr>
        <w:spacing w:after="0" w:line="240" w:lineRule="auto"/>
        <w:ind w:firstLine="709"/>
        <w:contextualSpacing/>
        <w:jc w:val="both"/>
        <w:rPr>
          <w:rFonts w:ascii="10,5" w:eastAsia="Calibri" w:hAnsi="10,5" w:cs="Times New Roman"/>
          <w:iCs/>
          <w:sz w:val="21"/>
          <w:szCs w:val="21"/>
        </w:rPr>
      </w:pPr>
      <w:r w:rsidRPr="00877DE5">
        <w:rPr>
          <w:rFonts w:ascii="10,5" w:eastAsia="Calibri" w:hAnsi="10,5" w:cs="Times New Roman"/>
          <w:b/>
          <w:iCs/>
          <w:sz w:val="21"/>
          <w:szCs w:val="21"/>
        </w:rPr>
        <w:t>Аннотация:</w:t>
      </w:r>
      <w:r w:rsidRPr="00877DE5">
        <w:rPr>
          <w:rFonts w:ascii="10,5" w:eastAsia="Calibri" w:hAnsi="10,5" w:cs="Times New Roman"/>
          <w:iCs/>
          <w:sz w:val="21"/>
          <w:szCs w:val="21"/>
        </w:rPr>
        <w:t xml:space="preserve"> В статье рассматривается роль мега-проектов как мощного инструмента стимулирования социально-экономического развития территорий. Анализируются теоретические аспекты роли мега-проектов в формировании показателей развития территорий. Особое внимание уделяется параметрам оценки влияния мега-проектов на качество территориального развития. В заключение предлагаются отдельные параметры оценки влияния мега-проектов на социально-экономическое развитие территорий.</w:t>
      </w:r>
    </w:p>
    <w:p w14:paraId="553D6528" w14:textId="77777777" w:rsidR="00877DE5" w:rsidRPr="00877DE5" w:rsidRDefault="00877DE5" w:rsidP="00067100">
      <w:pPr>
        <w:spacing w:after="0" w:line="240" w:lineRule="auto"/>
        <w:ind w:firstLine="709"/>
        <w:contextualSpacing/>
        <w:jc w:val="both"/>
        <w:rPr>
          <w:rFonts w:ascii="10,5" w:eastAsia="Calibri" w:hAnsi="10,5" w:cs="Times New Roman"/>
          <w:b/>
          <w:iCs/>
          <w:sz w:val="21"/>
          <w:szCs w:val="21"/>
        </w:rPr>
      </w:pPr>
      <w:r w:rsidRPr="00877DE5">
        <w:rPr>
          <w:rFonts w:ascii="10,5" w:eastAsia="Calibri" w:hAnsi="10,5" w:cs="Times New Roman"/>
          <w:b/>
          <w:iCs/>
          <w:sz w:val="21"/>
          <w:szCs w:val="21"/>
        </w:rPr>
        <w:t>Ключевые слова:</w:t>
      </w:r>
      <w:r w:rsidRPr="00877DE5">
        <w:rPr>
          <w:rFonts w:ascii="10,5" w:eastAsia="Calibri" w:hAnsi="10,5" w:cs="Times New Roman"/>
          <w:iCs/>
          <w:sz w:val="21"/>
          <w:szCs w:val="21"/>
        </w:rPr>
        <w:t xml:space="preserve"> мега-проекты, управление проектами, развитие территорий, социально-экономическое развитие</w:t>
      </w:r>
      <w:r w:rsidRPr="00877DE5">
        <w:rPr>
          <w:rFonts w:ascii="10,5" w:eastAsia="Calibri" w:hAnsi="10,5" w:cs="Times New Roman"/>
          <w:b/>
          <w:iCs/>
          <w:sz w:val="21"/>
          <w:szCs w:val="21"/>
        </w:rPr>
        <w:t xml:space="preserve">   </w:t>
      </w:r>
    </w:p>
    <w:p w14:paraId="2F5E88B2" w14:textId="1FBADF81" w:rsidR="00877DE5" w:rsidRPr="00654CF2" w:rsidRDefault="00877DE5" w:rsidP="00067100">
      <w:pPr>
        <w:spacing w:after="0" w:line="240" w:lineRule="auto"/>
        <w:ind w:firstLine="709"/>
        <w:contextualSpacing/>
        <w:jc w:val="both"/>
        <w:rPr>
          <w:rFonts w:ascii="10,5" w:eastAsia="Times New Roman" w:hAnsi="10,5" w:cs="Times New Roman"/>
          <w:b/>
          <w:i/>
          <w:sz w:val="21"/>
          <w:szCs w:val="21"/>
          <w:lang w:val="en-US"/>
        </w:rPr>
      </w:pPr>
      <w:r w:rsidRPr="00877DE5">
        <w:rPr>
          <w:rFonts w:ascii="10,5" w:eastAsia="Calibri" w:hAnsi="10,5" w:cs="Times New Roman"/>
          <w:b/>
          <w:iCs/>
          <w:sz w:val="21"/>
          <w:szCs w:val="21"/>
        </w:rPr>
        <w:t xml:space="preserve">                                                                                                                                                        </w:t>
      </w:r>
      <w:r w:rsidRPr="00877DE5">
        <w:rPr>
          <w:rFonts w:ascii="10,5" w:eastAsia="Calibri" w:hAnsi="10,5" w:cs="Times New Roman"/>
          <w:b/>
          <w:i/>
          <w:iCs/>
          <w:sz w:val="21"/>
          <w:szCs w:val="21"/>
          <w:lang w:val="en-US"/>
        </w:rPr>
        <w:t>Shaov A.I.</w:t>
      </w:r>
      <w:r w:rsidR="00F7511C" w:rsidRPr="00654CF2">
        <w:rPr>
          <w:rFonts w:ascii="10,5" w:eastAsia="Calibri" w:hAnsi="10,5" w:cs="Times New Roman"/>
          <w:b/>
          <w:i/>
          <w:iCs/>
          <w:sz w:val="21"/>
          <w:szCs w:val="21"/>
          <w:lang w:val="en-US"/>
        </w:rPr>
        <w:t>,</w:t>
      </w:r>
    </w:p>
    <w:p w14:paraId="58AEF459" w14:textId="77777777" w:rsidR="00877DE5" w:rsidRPr="00877DE5" w:rsidRDefault="00877DE5" w:rsidP="00067100">
      <w:pPr>
        <w:spacing w:after="0" w:line="240" w:lineRule="auto"/>
        <w:ind w:firstLine="709"/>
        <w:jc w:val="right"/>
        <w:rPr>
          <w:rFonts w:ascii="10,5" w:eastAsia="Times New Roman" w:hAnsi="10,5" w:cs="Times New Roman"/>
          <w:b/>
          <w:i/>
          <w:sz w:val="21"/>
          <w:szCs w:val="21"/>
          <w:lang w:val="en-US"/>
        </w:rPr>
      </w:pPr>
      <w:r w:rsidRPr="00877DE5">
        <w:rPr>
          <w:rFonts w:ascii="10,5" w:eastAsia="Times New Roman" w:hAnsi="10,5" w:cs="Times New Roman"/>
          <w:i/>
          <w:sz w:val="21"/>
          <w:szCs w:val="21"/>
          <w:lang w:val="en-US"/>
        </w:rPr>
        <w:t xml:space="preserve">student, 1 </w:t>
      </w:r>
      <w:proofErr w:type="gramStart"/>
      <w:r w:rsidRPr="00877DE5">
        <w:rPr>
          <w:rFonts w:ascii="10,5" w:eastAsia="Times New Roman" w:hAnsi="10,5" w:cs="Times New Roman"/>
          <w:i/>
          <w:sz w:val="21"/>
          <w:szCs w:val="21"/>
          <w:lang w:val="en-US"/>
        </w:rPr>
        <w:t>courses</w:t>
      </w:r>
      <w:proofErr w:type="gramEnd"/>
    </w:p>
    <w:p w14:paraId="4AE0D273" w14:textId="77777777" w:rsidR="00877DE5" w:rsidRPr="00877DE5" w:rsidRDefault="00877DE5" w:rsidP="00067100">
      <w:pPr>
        <w:spacing w:after="0" w:line="240" w:lineRule="auto"/>
        <w:ind w:firstLine="709"/>
        <w:jc w:val="right"/>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FSOBU " Financial University under</w:t>
      </w:r>
    </w:p>
    <w:p w14:paraId="2DF650A2" w14:textId="77777777" w:rsidR="00877DE5" w:rsidRPr="00877DE5" w:rsidRDefault="00877DE5" w:rsidP="00067100">
      <w:pPr>
        <w:spacing w:after="0" w:line="240" w:lineRule="auto"/>
        <w:ind w:firstLine="709"/>
        <w:jc w:val="right"/>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 xml:space="preserve"> the Government Russian Federation"</w:t>
      </w:r>
    </w:p>
    <w:p w14:paraId="5D801BEF" w14:textId="77777777" w:rsidR="00877DE5" w:rsidRPr="00877DE5" w:rsidRDefault="00877DE5" w:rsidP="00067100">
      <w:pPr>
        <w:spacing w:after="0" w:line="240" w:lineRule="auto"/>
        <w:ind w:firstLine="709"/>
        <w:jc w:val="right"/>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(Krasnodar Branch of the University of Finance)</w:t>
      </w:r>
    </w:p>
    <w:p w14:paraId="16BC8BCC" w14:textId="77777777" w:rsidR="00877DE5" w:rsidRPr="00877DE5" w:rsidRDefault="00877DE5" w:rsidP="00067100">
      <w:pPr>
        <w:spacing w:after="0" w:line="240" w:lineRule="auto"/>
        <w:ind w:firstLine="709"/>
        <w:jc w:val="right"/>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Krasnodar, Russia</w:t>
      </w:r>
    </w:p>
    <w:p w14:paraId="5A4BE122" w14:textId="77777777" w:rsidR="00877DE5" w:rsidRPr="00877DE5" w:rsidRDefault="00877DE5" w:rsidP="00067100">
      <w:pPr>
        <w:spacing w:after="0" w:line="240" w:lineRule="auto"/>
        <w:ind w:firstLine="709"/>
        <w:jc w:val="right"/>
        <w:rPr>
          <w:rFonts w:ascii="10,5" w:eastAsia="Times New Roman" w:hAnsi="10,5" w:cs="Times New Roman"/>
          <w:i/>
          <w:color w:val="0563C1"/>
          <w:sz w:val="21"/>
          <w:szCs w:val="21"/>
          <w:u w:val="single"/>
          <w:lang w:val="en-US"/>
        </w:rPr>
      </w:pPr>
      <w:r w:rsidRPr="00877DE5">
        <w:rPr>
          <w:rFonts w:ascii="10,5" w:eastAsia="Times New Roman" w:hAnsi="10,5" w:cs="Times New Roman"/>
          <w:i/>
          <w:sz w:val="21"/>
          <w:szCs w:val="21"/>
        </w:rPr>
        <w:t>е</w:t>
      </w:r>
      <w:r w:rsidRPr="00877DE5">
        <w:rPr>
          <w:rFonts w:ascii="10,5" w:eastAsia="Times New Roman" w:hAnsi="10,5" w:cs="Times New Roman"/>
          <w:i/>
          <w:sz w:val="21"/>
          <w:szCs w:val="21"/>
          <w:lang w:val="en-US"/>
        </w:rPr>
        <w:t xml:space="preserve">-mail: </w:t>
      </w:r>
      <w:r w:rsidRPr="00877DE5">
        <w:rPr>
          <w:rFonts w:ascii="10,5" w:eastAsia="Calibri" w:hAnsi="10,5" w:cs="Times New Roman"/>
          <w:sz w:val="21"/>
          <w:szCs w:val="21"/>
          <w:lang w:val="en-US"/>
        </w:rPr>
        <w:t>Azamat_87@inbox.ru</w:t>
      </w:r>
    </w:p>
    <w:p w14:paraId="2C08AEE4" w14:textId="77777777" w:rsidR="00877DE5" w:rsidRPr="00877DE5" w:rsidRDefault="00877DE5" w:rsidP="00067100">
      <w:pPr>
        <w:spacing w:after="0" w:line="240" w:lineRule="auto"/>
        <w:ind w:firstLine="709"/>
        <w:jc w:val="right"/>
        <w:rPr>
          <w:rFonts w:ascii="10,5" w:eastAsia="Times New Roman" w:hAnsi="10,5" w:cs="Times New Roman"/>
          <w:i/>
          <w:sz w:val="21"/>
          <w:szCs w:val="21"/>
          <w:highlight w:val="yellow"/>
          <w:lang w:val="en-US"/>
        </w:rPr>
      </w:pPr>
    </w:p>
    <w:p w14:paraId="642A3CFD" w14:textId="77777777" w:rsidR="00877DE5" w:rsidRPr="00877DE5" w:rsidRDefault="00877DE5" w:rsidP="00067100">
      <w:pPr>
        <w:spacing w:after="0" w:line="240" w:lineRule="auto"/>
        <w:ind w:firstLine="709"/>
        <w:jc w:val="right"/>
        <w:rPr>
          <w:rFonts w:ascii="10,5" w:eastAsia="Times New Roman" w:hAnsi="10,5" w:cs="Times New Roman"/>
          <w:b/>
          <w:i/>
          <w:sz w:val="21"/>
          <w:szCs w:val="21"/>
          <w:lang w:val="en-US"/>
        </w:rPr>
      </w:pPr>
      <w:r w:rsidRPr="00877DE5">
        <w:rPr>
          <w:rFonts w:ascii="10,5" w:eastAsia="Times New Roman" w:hAnsi="10,5" w:cs="Times New Roman"/>
          <w:b/>
          <w:i/>
          <w:sz w:val="21"/>
          <w:szCs w:val="21"/>
          <w:lang w:val="en-US"/>
        </w:rPr>
        <w:t>Scientific Adviser:</w:t>
      </w:r>
    </w:p>
    <w:p w14:paraId="43729FC9" w14:textId="77777777" w:rsidR="00877DE5" w:rsidRPr="00877DE5" w:rsidRDefault="00877DE5" w:rsidP="00067100">
      <w:pPr>
        <w:spacing w:after="0" w:line="240" w:lineRule="auto"/>
        <w:ind w:firstLine="709"/>
        <w:jc w:val="right"/>
        <w:rPr>
          <w:rFonts w:ascii="10,5" w:eastAsia="Calibri" w:hAnsi="10,5" w:cs="Times New Roman"/>
          <w:b/>
          <w:color w:val="000000"/>
          <w:sz w:val="21"/>
          <w:szCs w:val="21"/>
          <w:lang w:val="en-US"/>
        </w:rPr>
      </w:pPr>
      <w:r w:rsidRPr="00877DE5">
        <w:rPr>
          <w:rFonts w:ascii="10,5" w:eastAsia="Calibri" w:hAnsi="10,5" w:cs="Times New Roman"/>
          <w:b/>
          <w:color w:val="000000"/>
          <w:sz w:val="21"/>
          <w:szCs w:val="21"/>
          <w:lang w:val="en-US"/>
        </w:rPr>
        <w:t>Zinchenko N. V.,</w:t>
      </w:r>
    </w:p>
    <w:p w14:paraId="1F68AEC0" w14:textId="6A537BA2" w:rsidR="00877DE5" w:rsidRPr="00877DE5" w:rsidRDefault="00877DE5" w:rsidP="00067100">
      <w:pPr>
        <w:spacing w:after="0" w:line="240" w:lineRule="auto"/>
        <w:ind w:firstLine="709"/>
        <w:jc w:val="right"/>
        <w:rPr>
          <w:rFonts w:ascii="10,5" w:eastAsia="Times New Roman" w:hAnsi="10,5" w:cs="Times New Roman"/>
          <w:i/>
          <w:iCs/>
          <w:sz w:val="21"/>
          <w:szCs w:val="21"/>
          <w:highlight w:val="yellow"/>
          <w:shd w:val="clear" w:color="auto" w:fill="FFFFFF"/>
          <w:lang w:val="en-US"/>
        </w:rPr>
      </w:pPr>
      <w:r w:rsidRPr="00877DE5">
        <w:rPr>
          <w:rFonts w:ascii="10,5" w:eastAsia="Times New Roman" w:hAnsi="10,5" w:cs="Times New Roman"/>
          <w:i/>
          <w:iCs/>
          <w:sz w:val="21"/>
          <w:szCs w:val="21"/>
          <w:shd w:val="clear" w:color="auto" w:fill="FFFFFF"/>
          <w:lang w:val="en-US"/>
        </w:rPr>
        <w:t xml:space="preserve">Docent, </w:t>
      </w:r>
      <w:r w:rsidRPr="00877DE5">
        <w:rPr>
          <w:rFonts w:ascii="10,5" w:eastAsia="Calibri" w:hAnsi="10,5" w:cs="Times New Roman"/>
          <w:color w:val="000000"/>
          <w:sz w:val="21"/>
          <w:szCs w:val="21"/>
          <w:lang w:val="en-US"/>
        </w:rPr>
        <w:t>Candidate of Economic Sciences</w:t>
      </w:r>
    </w:p>
    <w:p w14:paraId="0E04AF3B" w14:textId="77777777" w:rsidR="00877DE5" w:rsidRPr="00877DE5" w:rsidRDefault="00877DE5" w:rsidP="00067100">
      <w:pPr>
        <w:suppressAutoHyphens/>
        <w:spacing w:after="0" w:line="240" w:lineRule="auto"/>
        <w:ind w:firstLine="709"/>
        <w:jc w:val="right"/>
        <w:textAlignment w:val="baseline"/>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 xml:space="preserve">FSOBU " Financial University under </w:t>
      </w:r>
    </w:p>
    <w:p w14:paraId="64C315BD" w14:textId="77777777" w:rsidR="00877DE5" w:rsidRPr="00877DE5" w:rsidRDefault="00877DE5" w:rsidP="00067100">
      <w:pPr>
        <w:suppressAutoHyphens/>
        <w:spacing w:after="0" w:line="240" w:lineRule="auto"/>
        <w:ind w:firstLine="709"/>
        <w:jc w:val="right"/>
        <w:textAlignment w:val="baseline"/>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the Government Russian Federation"</w:t>
      </w:r>
    </w:p>
    <w:p w14:paraId="2B25F36A" w14:textId="77777777" w:rsidR="00877DE5" w:rsidRPr="00877DE5" w:rsidRDefault="00877DE5" w:rsidP="00067100">
      <w:pPr>
        <w:suppressAutoHyphens/>
        <w:spacing w:after="0" w:line="240" w:lineRule="auto"/>
        <w:ind w:firstLine="709"/>
        <w:jc w:val="right"/>
        <w:textAlignment w:val="baseline"/>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(Krasnodar Branch of the University of Finance)</w:t>
      </w:r>
    </w:p>
    <w:p w14:paraId="69F7F7BB" w14:textId="77777777" w:rsidR="00877DE5" w:rsidRPr="00877DE5" w:rsidRDefault="00877DE5" w:rsidP="00067100">
      <w:pPr>
        <w:suppressAutoHyphens/>
        <w:spacing w:after="0" w:line="240" w:lineRule="auto"/>
        <w:ind w:firstLine="709"/>
        <w:jc w:val="right"/>
        <w:textAlignment w:val="baseline"/>
        <w:rPr>
          <w:rFonts w:ascii="10,5" w:eastAsia="Times New Roman" w:hAnsi="10,5" w:cs="Times New Roman"/>
          <w:bCs/>
          <w:i/>
          <w:iCs/>
          <w:sz w:val="21"/>
          <w:szCs w:val="21"/>
          <w:lang w:val="en-US" w:eastAsia="ar-SA"/>
        </w:rPr>
      </w:pPr>
      <w:r w:rsidRPr="00877DE5">
        <w:rPr>
          <w:rFonts w:ascii="10,5" w:eastAsia="Times New Roman" w:hAnsi="10,5" w:cs="Times New Roman"/>
          <w:bCs/>
          <w:i/>
          <w:iCs/>
          <w:sz w:val="21"/>
          <w:szCs w:val="21"/>
          <w:lang w:val="en-US" w:eastAsia="ar-SA"/>
        </w:rPr>
        <w:t>Krasnodar, Russia</w:t>
      </w:r>
    </w:p>
    <w:p w14:paraId="68E7B30C" w14:textId="77777777" w:rsidR="00877DE5" w:rsidRPr="00877DE5" w:rsidRDefault="00877DE5" w:rsidP="00067100">
      <w:pPr>
        <w:spacing w:after="0" w:line="240" w:lineRule="auto"/>
        <w:ind w:firstLine="709"/>
        <w:contextualSpacing/>
        <w:jc w:val="both"/>
        <w:rPr>
          <w:rFonts w:ascii="10,5" w:eastAsia="Calibri" w:hAnsi="10,5" w:cs="Times New Roman"/>
          <w:i/>
          <w:iCs/>
          <w:sz w:val="21"/>
          <w:szCs w:val="21"/>
          <w:lang w:val="en-US"/>
        </w:rPr>
      </w:pPr>
    </w:p>
    <w:p w14:paraId="5965732A" w14:textId="77777777" w:rsidR="00877DE5" w:rsidRPr="00877DE5" w:rsidRDefault="00877DE5" w:rsidP="00067100">
      <w:pPr>
        <w:spacing w:after="0" w:line="240" w:lineRule="auto"/>
        <w:ind w:firstLine="709"/>
        <w:contextualSpacing/>
        <w:jc w:val="center"/>
        <w:rPr>
          <w:rFonts w:ascii="10,5" w:eastAsia="Calibri" w:hAnsi="10,5" w:cs="Times New Roman"/>
          <w:b/>
          <w:bCs/>
          <w:sz w:val="21"/>
          <w:szCs w:val="21"/>
          <w:lang w:val="en-US"/>
        </w:rPr>
      </w:pPr>
      <w:r w:rsidRPr="00877DE5">
        <w:rPr>
          <w:rFonts w:ascii="10,5" w:eastAsia="Calibri" w:hAnsi="10,5" w:cs="Times New Roman"/>
          <w:b/>
          <w:bCs/>
          <w:sz w:val="21"/>
          <w:szCs w:val="21"/>
          <w:lang w:val="en-US"/>
        </w:rPr>
        <w:t>The role of mega-projects in the socio-econ</w:t>
      </w:r>
      <w:r w:rsidR="009D26CC">
        <w:rPr>
          <w:rFonts w:ascii="10,5" w:eastAsia="Calibri" w:hAnsi="10,5" w:cs="Times New Roman"/>
          <w:b/>
          <w:bCs/>
          <w:sz w:val="21"/>
          <w:szCs w:val="21"/>
          <w:lang w:val="en-US"/>
        </w:rPr>
        <w:t>omic development of territories</w:t>
      </w:r>
    </w:p>
    <w:p w14:paraId="23FFE7E7" w14:textId="77777777" w:rsidR="00877DE5" w:rsidRPr="00877DE5" w:rsidRDefault="00877DE5" w:rsidP="00067100">
      <w:pPr>
        <w:spacing w:after="0" w:line="240" w:lineRule="auto"/>
        <w:ind w:firstLine="709"/>
        <w:contextualSpacing/>
        <w:jc w:val="both"/>
        <w:rPr>
          <w:rFonts w:ascii="10,5" w:eastAsia="Calibri" w:hAnsi="10,5" w:cs="Times New Roman"/>
          <w:b/>
          <w:bCs/>
          <w:sz w:val="21"/>
          <w:szCs w:val="21"/>
          <w:lang w:val="en-US"/>
        </w:rPr>
      </w:pPr>
    </w:p>
    <w:p w14:paraId="2B7053FF" w14:textId="77777777" w:rsidR="00877DE5" w:rsidRPr="00877DE5" w:rsidRDefault="00877DE5" w:rsidP="00067100">
      <w:pPr>
        <w:spacing w:after="0" w:line="240" w:lineRule="auto"/>
        <w:ind w:firstLine="709"/>
        <w:contextualSpacing/>
        <w:jc w:val="both"/>
        <w:rPr>
          <w:rFonts w:ascii="10,5" w:eastAsia="Calibri" w:hAnsi="10,5" w:cs="Times New Roman"/>
          <w:iCs/>
          <w:sz w:val="21"/>
          <w:szCs w:val="21"/>
          <w:lang w:val="en-US"/>
        </w:rPr>
      </w:pPr>
      <w:r w:rsidRPr="00877DE5">
        <w:rPr>
          <w:rFonts w:ascii="10,5" w:eastAsia="Calibri" w:hAnsi="10,5" w:cs="Times New Roman"/>
          <w:b/>
          <w:iCs/>
          <w:sz w:val="21"/>
          <w:szCs w:val="21"/>
          <w:lang w:val="en-US"/>
        </w:rPr>
        <w:t xml:space="preserve">Abstract: </w:t>
      </w:r>
      <w:r w:rsidRPr="00877DE5">
        <w:rPr>
          <w:rFonts w:ascii="10,5" w:eastAsia="Calibri" w:hAnsi="10,5" w:cs="Times New Roman"/>
          <w:iCs/>
          <w:sz w:val="21"/>
          <w:szCs w:val="21"/>
          <w:lang w:val="en-US"/>
        </w:rPr>
        <w:t>The article examines the role of mega-projects as a powerful tool for stimulating the socio-economic development of territories. The theoretical aspects of the role of mega-projects in the formation of indicators of territorial development are analyzed. Special attention is paid to the parameters of assessing the impact of mega-projects on the quality of territorial development. In conclusion, we propose certain parameters for assessing the impact of mega-projects on the socio-economic development of territories.</w:t>
      </w:r>
    </w:p>
    <w:p w14:paraId="0F5337A1" w14:textId="77777777" w:rsidR="00877DE5" w:rsidRPr="00877DE5" w:rsidRDefault="00877DE5" w:rsidP="00067100">
      <w:pPr>
        <w:spacing w:after="0" w:line="240" w:lineRule="auto"/>
        <w:ind w:firstLine="709"/>
        <w:contextualSpacing/>
        <w:jc w:val="both"/>
        <w:rPr>
          <w:rFonts w:ascii="10,5" w:eastAsia="Calibri" w:hAnsi="10,5" w:cs="Times New Roman"/>
          <w:iCs/>
          <w:sz w:val="21"/>
          <w:szCs w:val="21"/>
          <w:lang w:val="en-US"/>
        </w:rPr>
      </w:pPr>
      <w:r w:rsidRPr="00877DE5">
        <w:rPr>
          <w:rFonts w:ascii="10,5" w:eastAsia="Calibri" w:hAnsi="10,5" w:cs="Times New Roman"/>
          <w:b/>
          <w:iCs/>
          <w:sz w:val="21"/>
          <w:szCs w:val="21"/>
          <w:lang w:val="en-US"/>
        </w:rPr>
        <w:t>Keywords:</w:t>
      </w:r>
      <w:r w:rsidRPr="00877DE5">
        <w:rPr>
          <w:rFonts w:ascii="10,5" w:eastAsia="Calibri" w:hAnsi="10,5" w:cs="Times New Roman"/>
          <w:iCs/>
          <w:sz w:val="21"/>
          <w:szCs w:val="21"/>
          <w:lang w:val="en-US"/>
        </w:rPr>
        <w:t xml:space="preserve"> mega-projects, project management, territorial development, socio-economic development</w:t>
      </w:r>
    </w:p>
    <w:p w14:paraId="0689D4BD" w14:textId="77777777" w:rsidR="00877DE5" w:rsidRPr="00877DE5" w:rsidRDefault="00877DE5" w:rsidP="00067100">
      <w:pPr>
        <w:spacing w:after="0" w:line="240" w:lineRule="auto"/>
        <w:ind w:firstLine="709"/>
        <w:contextualSpacing/>
        <w:jc w:val="both"/>
        <w:rPr>
          <w:rFonts w:ascii="Times New Roman" w:eastAsia="Calibri" w:hAnsi="Times New Roman" w:cs="Times New Roman"/>
          <w:iCs/>
          <w:sz w:val="32"/>
          <w:szCs w:val="32"/>
          <w:lang w:val="en-US"/>
        </w:rPr>
      </w:pPr>
    </w:p>
    <w:p w14:paraId="70B30171"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Современный этап развития мировой экономики характеризуется возрастающей ролью масштабных проектов, получивших </w:t>
      </w:r>
      <w:r w:rsidRPr="00877DE5">
        <w:rPr>
          <w:rFonts w:ascii="Times New Roman" w:eastAsia="Calibri" w:hAnsi="Times New Roman" w:cs="Times New Roman"/>
          <w:sz w:val="32"/>
          <w:szCs w:val="32"/>
        </w:rPr>
        <w:lastRenderedPageBreak/>
        <w:t xml:space="preserve">наименование «мега-проектов», в трансформации социально-экономического развития территорий. </w:t>
      </w:r>
    </w:p>
    <w:p w14:paraId="1E4B4164"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Для больших стран характерны территориальные мега-проекты, или же для территорий, которые объединяются процессами политической или экономической интеграции, например Европейский союз. Мегапроекты — это инвестиционные проекты особо крупного размера и глобального характера, вне зависимости от пространственного уровня реализации. В отличие от финансовых инвестиций, такие решения ориентированы на материальный результат, т.е. на выбранной территории формируется преобразованное пространство с новыми сооружениями, либо это могут быть модернизированные, но ранее существовавшие объекты, в любом случае территория обновляется с точки зрения наполнения.</w:t>
      </w:r>
    </w:p>
    <w:p w14:paraId="48185E30"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Сегодня в мире стало частым явлением использование мегапроектов как инструмента планирования территории [1]. Как отмечает Митрофанова И.В. [2] мега-проекты создаются, когда необходим качественный скачок развития или необходима точечная консолидация финансовых средств на рассматриваемой территории. </w:t>
      </w:r>
    </w:p>
    <w:p w14:paraId="69E22E80"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В случае, когда такой проект успешно реализован, тогда территория вокруг становится привлекательной для ряда пользователей, начиная от туристов и заканчивая представителями бизнеса, в результате возможно увеличение численности населения территории, а инвесторы готовы вкладывать деньги в сопутствующие объекты. </w:t>
      </w:r>
    </w:p>
    <w:p w14:paraId="251EE740"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Однако, как отмечает Фливберг Бент, далеко не всем мега-проектам удается стать успешными [3]. В случае неудачи, мега-проекты могут стать катализаторами негативных процессов. Показательным здесь можно назвать мега-проект Олимпийских объектов в Афинах. После проведения игр только 20% объектов оказались востребованными, а остальные остались стоять «белыми слонами» в окружающей застройке.</w:t>
      </w:r>
    </w:p>
    <w:p w14:paraId="2D9A5AAB"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Мега-проекты можно охарактеризовать как масштабные инициативы, поскольку каждый из них требует иногда просто гигантского количества ресурсов, а итоговая роль в развитии территории может стать мультипликативной, т.е. влияние не только прямое в виде новых объектов, появления инфраструктуры, но и косвенным, связанным с привлечением потенциальных работников в регион.</w:t>
      </w:r>
    </w:p>
    <w:p w14:paraId="1595127D"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Кроме того, мега-проекты стимулируют развитие инфраструктуры, включая её элементы, среди которых следующие:</w:t>
      </w:r>
    </w:p>
    <w:p w14:paraId="12F2FA0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транспортные сети, </w:t>
      </w:r>
    </w:p>
    <w:p w14:paraId="0E6E0C3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энергетические системы, </w:t>
      </w:r>
    </w:p>
    <w:p w14:paraId="2ED6C27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инженерные коммуникации.</w:t>
      </w:r>
    </w:p>
    <w:p w14:paraId="7FEF2312"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Когда модернизация идет по перечисленным направлениям, а обычно она осуществляется параллельно или в дополнение с другими, развитие региона также проходит комплексно.</w:t>
      </w:r>
    </w:p>
    <w:p w14:paraId="1421738F"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Нельзя не отметить роль мега-проектов в росте уровня жизни населения, когда для граждан открываются возможности получить высокооплачиваемую работу или даже создать бизнес под новые нужды, появляющиеся в связи с созданием новых инфраструктурных единиц и т.д.</w:t>
      </w:r>
    </w:p>
    <w:p w14:paraId="625AFEE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Можно выделить ряд ключевых факторов, определяющих их успешность:</w:t>
      </w:r>
    </w:p>
    <w:p w14:paraId="57F1C878"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эффективное управление проектом; </w:t>
      </w:r>
    </w:p>
    <w:p w14:paraId="71A49AA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прозрачность процедур принятия решений; </w:t>
      </w:r>
    </w:p>
    <w:p w14:paraId="52CDEA8F"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привлечение квалифицированных кадров; </w:t>
      </w:r>
    </w:p>
    <w:p w14:paraId="40AC4D6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учет экологических рисков;</w:t>
      </w:r>
    </w:p>
    <w:p w14:paraId="2D2195D9"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соблюдение принципов устойчивого развития; </w:t>
      </w:r>
    </w:p>
    <w:p w14:paraId="7C7E7939"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активное взаимодействие с местным сообществом, чтобы учесть интересы местных граждан [4].</w:t>
      </w:r>
    </w:p>
    <w:p w14:paraId="1AFD8648"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Вместе с тем, реализация мега-проектов сопряжена с определенными рисками:</w:t>
      </w:r>
    </w:p>
    <w:p w14:paraId="0B153454"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превышение сметной стоимости и сроков реализации;</w:t>
      </w:r>
    </w:p>
    <w:p w14:paraId="47852885"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коррупция;</w:t>
      </w:r>
    </w:p>
    <w:p w14:paraId="5A70646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неэффективное использование ресурсов; </w:t>
      </w:r>
    </w:p>
    <w:p w14:paraId="24C7FD49"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негативное воздействие на окружающую среду; </w:t>
      </w:r>
    </w:p>
    <w:p w14:paraId="274CB2C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недовольство населения. </w:t>
      </w:r>
    </w:p>
    <w:p w14:paraId="4472A321"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Преодоление рисков требует разработки эффективных механизмов управления проектами, включая методику оценки, которая позволит всесторонне понять степень влияния такого решения на социально-экономическое развитие конкретной территории.</w:t>
      </w:r>
    </w:p>
    <w:p w14:paraId="7CE8FCFB"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Выработка такой методики требует ряда шагов:</w:t>
      </w:r>
    </w:p>
    <w:p w14:paraId="113E1AC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определения параметров, по которым будет проводиться оценка;</w:t>
      </w:r>
    </w:p>
    <w:p w14:paraId="169605DC"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формирования совокупного результата оценочной работы по разным параметрам;</w:t>
      </w:r>
    </w:p>
    <w:p w14:paraId="146B79EE"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 определения возможностей отслеживания параметров в процессе реализации проекта для его адаптации к изменяющимся условиям.</w:t>
      </w:r>
    </w:p>
    <w:p w14:paraId="7A314AFE"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настоящей статье предлагается 2 параметра, которые должны присутствовать в такой методике.</w:t>
      </w:r>
    </w:p>
    <w:p w14:paraId="5016E091"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Мультипликативный эффект занятости.</w:t>
      </w:r>
    </w:p>
    <w:p w14:paraId="18B202E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Этот параметр оценивает, насколько мега-проект способствует созданию новых рабочих мест не только непосредственно в рамках его самого, но и в смежных отраслях. Анализируется количество созданных рабочих мест (прямых и косвенных) относительно объема инвестиций, а также оценивается изменение структуры занятости и повышение квалификации трудовых ресурсов.</w:t>
      </w:r>
    </w:p>
    <w:p w14:paraId="002624CC"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Индекс интегрального развития инфраструктуры (ИИРИ) представляет собой комплексный параметр отражает совокупное влияние мега-проекта на развитие инфраструктуры территории. ИИРИ включает в себя такие показатели, как:</w:t>
      </w:r>
    </w:p>
    <w:p w14:paraId="525E6785"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увеличение протяженности дорог и транспортной доступности,</w:t>
      </w:r>
    </w:p>
    <w:p w14:paraId="0AB6491D"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повышение энергетической обеспеченности, </w:t>
      </w:r>
    </w:p>
    <w:p w14:paraId="0E1F9FB3"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улучшение доступности образовательных и медицинских учреждений, </w:t>
      </w:r>
    </w:p>
    <w:p w14:paraId="6E3E5869"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 xml:space="preserve">- расширение доступа к интернету и другим информационным технологиям. </w:t>
      </w:r>
    </w:p>
    <w:p w14:paraId="68D2B1CC"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Динамика ИИРИ позволяет оценить вклад мега-проекта в повышение качества жизни населения и создание благоприятных условий для бизнеса.</w:t>
      </w:r>
    </w:p>
    <w:p w14:paraId="75FBD079"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Параметры представлены в таблице 1.</w:t>
      </w:r>
    </w:p>
    <w:p w14:paraId="5879AB57"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80"/>
        <w:gridCol w:w="5862"/>
      </w:tblGrid>
      <w:tr w:rsidR="00877DE5" w:rsidRPr="00877DE5" w14:paraId="3B683BF3" w14:textId="77777777" w:rsidTr="00067100">
        <w:trPr>
          <w:tblHeader/>
        </w:trPr>
        <w:tc>
          <w:tcPr>
            <w:tcW w:w="0" w:type="auto"/>
            <w:shd w:val="clear" w:color="auto" w:fill="FFFFFF"/>
            <w:tcMar>
              <w:top w:w="90" w:type="dxa"/>
              <w:left w:w="195" w:type="dxa"/>
              <w:bottom w:w="90" w:type="dxa"/>
              <w:right w:w="195" w:type="dxa"/>
            </w:tcMar>
            <w:vAlign w:val="center"/>
            <w:hideMark/>
          </w:tcPr>
          <w:p w14:paraId="4EAF0C56"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Параметр</w:t>
            </w:r>
          </w:p>
        </w:tc>
        <w:tc>
          <w:tcPr>
            <w:tcW w:w="0" w:type="auto"/>
            <w:shd w:val="clear" w:color="auto" w:fill="FFFFFF"/>
            <w:tcMar>
              <w:top w:w="90" w:type="dxa"/>
              <w:left w:w="195" w:type="dxa"/>
              <w:bottom w:w="90" w:type="dxa"/>
              <w:right w:w="195" w:type="dxa"/>
            </w:tcMar>
            <w:vAlign w:val="center"/>
            <w:hideMark/>
          </w:tcPr>
          <w:p w14:paraId="2C791004"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Способ расчета</w:t>
            </w:r>
          </w:p>
        </w:tc>
      </w:tr>
      <w:tr w:rsidR="00877DE5" w:rsidRPr="00877DE5" w14:paraId="7F21B89A" w14:textId="77777777" w:rsidTr="00067100">
        <w:tc>
          <w:tcPr>
            <w:tcW w:w="0" w:type="auto"/>
            <w:shd w:val="clear" w:color="auto" w:fill="FFFFFF"/>
            <w:tcMar>
              <w:top w:w="90" w:type="dxa"/>
              <w:left w:w="195" w:type="dxa"/>
              <w:bottom w:w="90" w:type="dxa"/>
              <w:right w:w="195" w:type="dxa"/>
            </w:tcMar>
            <w:vAlign w:val="center"/>
            <w:hideMark/>
          </w:tcPr>
          <w:p w14:paraId="28D0B298"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Мультипликативный эффект занятости</w:t>
            </w:r>
          </w:p>
        </w:tc>
        <w:tc>
          <w:tcPr>
            <w:tcW w:w="0" w:type="auto"/>
            <w:shd w:val="clear" w:color="auto" w:fill="FFFFFF"/>
            <w:tcMar>
              <w:top w:w="90" w:type="dxa"/>
              <w:left w:w="195" w:type="dxa"/>
              <w:bottom w:w="90" w:type="dxa"/>
              <w:right w:w="195" w:type="dxa"/>
            </w:tcMar>
            <w:vAlign w:val="center"/>
            <w:hideMark/>
          </w:tcPr>
          <w:p w14:paraId="69603879"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1. Определение количества прямых рабочих мест, созданных в рамках мега-проекта (строительство, эксплуатация). </w:t>
            </w:r>
          </w:p>
          <w:p w14:paraId="2B637032"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2. Оценка количества косвенных рабочих мест, созданных в смежных отраслях (поставщики, подрядчики, сфера обслуживания) с использованием мультипликаторов занятости (отношение изменения занятости в отрасли к изменению инвестиций в мега-проект). </w:t>
            </w:r>
          </w:p>
          <w:p w14:paraId="20D3F9C5"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3. Расчет отношения общего количества созданных рабочих мест (прямых + косвенных) к объему инвестиций в мега-проект.</w:t>
            </w:r>
          </w:p>
        </w:tc>
      </w:tr>
      <w:tr w:rsidR="00877DE5" w:rsidRPr="00877DE5" w14:paraId="14F15A60" w14:textId="77777777" w:rsidTr="00067100">
        <w:tc>
          <w:tcPr>
            <w:tcW w:w="0" w:type="auto"/>
            <w:shd w:val="clear" w:color="auto" w:fill="FFFFFF"/>
            <w:tcMar>
              <w:top w:w="90" w:type="dxa"/>
              <w:left w:w="195" w:type="dxa"/>
              <w:bottom w:w="90" w:type="dxa"/>
              <w:right w:w="195" w:type="dxa"/>
            </w:tcMar>
            <w:vAlign w:val="center"/>
            <w:hideMark/>
          </w:tcPr>
          <w:p w14:paraId="4BB3FB6F"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lastRenderedPageBreak/>
              <w:t>Индекс интегрального развития инфраструктуры (ИИРИ)</w:t>
            </w:r>
          </w:p>
        </w:tc>
        <w:tc>
          <w:tcPr>
            <w:tcW w:w="0" w:type="auto"/>
            <w:shd w:val="clear" w:color="auto" w:fill="FFFFFF"/>
            <w:tcMar>
              <w:top w:w="90" w:type="dxa"/>
              <w:left w:w="195" w:type="dxa"/>
              <w:bottom w:w="90" w:type="dxa"/>
              <w:right w:w="195" w:type="dxa"/>
            </w:tcMar>
            <w:vAlign w:val="center"/>
            <w:hideMark/>
          </w:tcPr>
          <w:p w14:paraId="52C1A52B"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1. Определение набора ключевых показателей, характеризующих состояние различных видов инфраструктуры (транспорт, энергетика, социальная сфера, информационные технологии). </w:t>
            </w:r>
          </w:p>
          <w:p w14:paraId="69EA4646"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2. Измерение изменений каждого показателя до и после реализации мега-проекта. </w:t>
            </w:r>
          </w:p>
          <w:p w14:paraId="5B96DB99"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3. Нормирование показателей (приведение к единой шкале). </w:t>
            </w:r>
          </w:p>
          <w:p w14:paraId="45735333"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 xml:space="preserve">4. Взвешивание показателей (присвоение весовых коэффициентов в зависимости от значимости для развития территории). </w:t>
            </w:r>
          </w:p>
          <w:p w14:paraId="744BA477" w14:textId="77777777" w:rsidR="00877DE5" w:rsidRPr="00877DE5" w:rsidRDefault="00877DE5" w:rsidP="00067100">
            <w:pPr>
              <w:spacing w:after="0" w:line="240" w:lineRule="auto"/>
              <w:ind w:firstLine="709"/>
              <w:rPr>
                <w:rFonts w:ascii="Times New Roman" w:eastAsia="Times New Roman" w:hAnsi="Times New Roman" w:cs="Times New Roman"/>
                <w:sz w:val="24"/>
                <w:szCs w:val="24"/>
                <w:lang w:eastAsia="ru-RU"/>
              </w:rPr>
            </w:pPr>
            <w:r w:rsidRPr="00877DE5">
              <w:rPr>
                <w:rFonts w:ascii="Times New Roman" w:eastAsia="Times New Roman" w:hAnsi="Times New Roman" w:cs="Times New Roman"/>
                <w:sz w:val="24"/>
                <w:szCs w:val="24"/>
                <w:lang w:eastAsia="ru-RU"/>
              </w:rPr>
              <w:t>5. Расчет ИИРИ как суммы взвешенных и нормированных показателей.</w:t>
            </w:r>
          </w:p>
        </w:tc>
      </w:tr>
    </w:tbl>
    <w:p w14:paraId="0A24D325"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p>
    <w:p w14:paraId="41C4E3BF"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Чем выше мультипликативный эффект, тем большее влияние оказывает мега-проект на снижение уровня безработицы на территории. Высокий показатель свидетельствует о результативном использовании инвестиций, проще говоря, у населения появится возможность устраиваться на хорошо оплачиваемые вакансии на своей территории, которые поднимут покупательскую способность граждан.</w:t>
      </w:r>
    </w:p>
    <w:p w14:paraId="3961DDCB" w14:textId="77777777" w:rsidR="00877DE5" w:rsidRP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Рост параметра ИИРИ после реализации мега-проекта по сравнению с начальным значением характеризует большее влияние проекта на развитие инфраструктуры территории. Так, у населения появляется больше возможностей связи с появлением новых дорог, открытием современных учреждений, например, медицинских. У бизнеса появляется возможность работы непосредственно с проектом либо создавать смежное предложение на территории, привлекательность которого растет в связи с реализацией этого мега-проекта</w:t>
      </w:r>
    </w:p>
    <w:p w14:paraId="7A86928E" w14:textId="77777777" w:rsidR="00877DE5" w:rsidRDefault="00877DE5" w:rsidP="00067100">
      <w:pPr>
        <w:spacing w:after="0" w:line="240" w:lineRule="auto"/>
        <w:ind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заключение следует отметить, что мега-проекты, обладая значительным потенциалом для стимулирования социально-экономического развития территорий, требуют взвешенного подхода к их реализации. В Российской Федерации на сегодняшний день тема крупномасштабных проектов развития территории пока изучена очень мало и демонстрирует дефицит исследований, которые направлены на комплексный анализ влияния таких процессов на территориальное развитие, прежде всего его устойчивость в дальнейшем даже при изменяющихся условиях.</w:t>
      </w:r>
    </w:p>
    <w:p w14:paraId="17B13B50" w14:textId="77777777" w:rsidR="009D26CC" w:rsidRPr="00877DE5" w:rsidRDefault="009D26CC" w:rsidP="00067100">
      <w:pPr>
        <w:spacing w:after="0" w:line="240" w:lineRule="auto"/>
        <w:ind w:firstLine="709"/>
        <w:contextualSpacing/>
        <w:jc w:val="both"/>
        <w:rPr>
          <w:rFonts w:ascii="Times New Roman" w:eastAsia="Calibri" w:hAnsi="Times New Roman" w:cs="Times New Roman"/>
          <w:sz w:val="32"/>
          <w:szCs w:val="32"/>
        </w:rPr>
      </w:pPr>
    </w:p>
    <w:p w14:paraId="053D2AEE" w14:textId="77777777" w:rsidR="00877DE5" w:rsidRPr="009D26CC" w:rsidRDefault="00877DE5" w:rsidP="009D26CC">
      <w:pPr>
        <w:spacing w:after="0" w:line="240" w:lineRule="auto"/>
        <w:ind w:firstLine="709"/>
        <w:contextualSpacing/>
        <w:jc w:val="center"/>
        <w:rPr>
          <w:rFonts w:ascii="Times New Roman" w:eastAsia="Calibri" w:hAnsi="Times New Roman" w:cs="Times New Roman"/>
          <w:b/>
          <w:sz w:val="21"/>
          <w:szCs w:val="21"/>
        </w:rPr>
      </w:pPr>
      <w:r w:rsidRPr="00877DE5">
        <w:rPr>
          <w:rFonts w:ascii="Times New Roman" w:eastAsia="Calibri" w:hAnsi="Times New Roman" w:cs="Times New Roman"/>
          <w:b/>
          <w:sz w:val="21"/>
          <w:szCs w:val="21"/>
        </w:rPr>
        <w:t>Литература:</w:t>
      </w:r>
    </w:p>
    <w:p w14:paraId="16A4AF26" w14:textId="77777777" w:rsidR="00877DE5" w:rsidRPr="00877DE5" w:rsidRDefault="00877DE5" w:rsidP="00AD58CD">
      <w:pPr>
        <w:numPr>
          <w:ilvl w:val="0"/>
          <w:numId w:val="68"/>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lastRenderedPageBreak/>
        <w:t>МурашкоТ.А. Критерииопределениямегапроекта // Architecture and Modern Information Technologies. 2024, №1(66). С.199-209. URL: https://marhi.ru/AMIT/2024/1kvart24/PDF/16 murashko.pdf DOI: 10.24412/1998-48392024-1-199-209 (датаобращения: 05.05.2025).</w:t>
      </w:r>
    </w:p>
    <w:p w14:paraId="46E0119B" w14:textId="77777777" w:rsidR="00877DE5" w:rsidRPr="00877DE5" w:rsidRDefault="00877DE5" w:rsidP="00AD58CD">
      <w:pPr>
        <w:numPr>
          <w:ilvl w:val="0"/>
          <w:numId w:val="68"/>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Митрофанова И.В. Мегапроектирование как инструмент стратегического территориального менеджмента / И.В. Митрофанова, А.Н. Жуков // Экономические и социальные перемены: факты, тенденции, прогноз. 2012. №3(21). С. 74-85.</w:t>
      </w:r>
    </w:p>
    <w:p w14:paraId="1D10481E" w14:textId="77777777" w:rsidR="00877DE5" w:rsidRPr="00877DE5" w:rsidRDefault="00877DE5" w:rsidP="00AD58CD">
      <w:pPr>
        <w:numPr>
          <w:ilvl w:val="0"/>
          <w:numId w:val="68"/>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Волошинская А.А. Устойчивое развитие города и индикаторы для его измерения в целях стратегического планирования / А.А. Волошинская, В.В. Акимова // Государственное управление. Электронный вестник. 2022. № 93. С. 207-223. DOI: 10.24412/2070-1381-2022-93-207-223.</w:t>
      </w:r>
    </w:p>
    <w:p w14:paraId="109F398B" w14:textId="5F8CA70B" w:rsidR="00877DE5" w:rsidRDefault="00877DE5" w:rsidP="00AD58CD">
      <w:pPr>
        <w:numPr>
          <w:ilvl w:val="0"/>
          <w:numId w:val="68"/>
        </w:numPr>
        <w:tabs>
          <w:tab w:val="left" w:pos="0"/>
        </w:tabs>
        <w:suppressAutoHyphens/>
        <w:autoSpaceDE w:val="0"/>
        <w:spacing w:after="0" w:line="240" w:lineRule="auto"/>
        <w:ind w:left="0" w:firstLine="142"/>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Kasimati E. Post-Olympic Use of the Olympic Venues: The Case of Greece // Athens Journal of Sports. 2015. №2(3). С. 167-184. URL: https://www.athensjoumals.gr/sports/2015-2-3-3-Kasimati.pdf (дата обращения: 05.05.25).</w:t>
      </w:r>
    </w:p>
    <w:p w14:paraId="0F1BA1DA" w14:textId="77777777" w:rsidR="0055221C" w:rsidRDefault="0055221C" w:rsidP="0055221C">
      <w:pPr>
        <w:tabs>
          <w:tab w:val="left" w:pos="0"/>
        </w:tabs>
        <w:suppressAutoHyphens/>
        <w:autoSpaceDE w:val="0"/>
        <w:spacing w:after="0" w:line="240" w:lineRule="auto"/>
        <w:ind w:left="142"/>
        <w:jc w:val="both"/>
        <w:rPr>
          <w:rFonts w:ascii="Times New Roman" w:eastAsia="Times New Roman" w:hAnsi="Times New Roman" w:cs="Times New Roman"/>
          <w:sz w:val="21"/>
          <w:szCs w:val="21"/>
          <w:lang w:val="x-none" w:eastAsia="ar-SA"/>
        </w:rPr>
      </w:pPr>
    </w:p>
    <w:p w14:paraId="1D8DB2D6" w14:textId="77777777" w:rsidR="0055221C" w:rsidRPr="00877DE5" w:rsidRDefault="0055221C" w:rsidP="0055221C">
      <w:pPr>
        <w:spacing w:after="0" w:line="240" w:lineRule="auto"/>
        <w:rPr>
          <w:rFonts w:ascii="Times New Roman" w:eastAsia="Times New Roman" w:hAnsi="Times New Roman" w:cs="Times New Roman"/>
          <w:b/>
          <w:kern w:val="2"/>
          <w:sz w:val="32"/>
          <w:szCs w:val="32"/>
          <w:u w:val="single"/>
          <w:lang w:eastAsia="ru-RU"/>
        </w:rPr>
      </w:pPr>
      <w:r w:rsidRPr="00877DE5">
        <w:rPr>
          <w:rFonts w:ascii="Times New Roman" w:eastAsia="Times New Roman" w:hAnsi="Times New Roman" w:cs="Times New Roman"/>
          <w:b/>
          <w:bCs/>
          <w:color w:val="000000"/>
          <w:sz w:val="21"/>
          <w:szCs w:val="21"/>
          <w:lang w:eastAsia="ar-SA"/>
        </w:rPr>
        <w:t>УДК 339</w:t>
      </w:r>
    </w:p>
    <w:p w14:paraId="60127A75"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color w:val="000000"/>
          <w:sz w:val="21"/>
          <w:szCs w:val="21"/>
          <w:lang w:val="x-none" w:eastAsia="ar-SA"/>
        </w:rPr>
      </w:pPr>
      <w:r w:rsidRPr="00877DE5">
        <w:rPr>
          <w:rFonts w:ascii="Times New Roman" w:eastAsia="Times New Roman" w:hAnsi="Times New Roman" w:cs="Times New Roman"/>
          <w:b/>
          <w:i/>
          <w:color w:val="000000"/>
          <w:sz w:val="20"/>
          <w:szCs w:val="21"/>
          <w:lang w:eastAsia="ar-SA"/>
        </w:rPr>
        <w:t>Шимон Д.С</w:t>
      </w:r>
      <w:r w:rsidRPr="00877DE5">
        <w:rPr>
          <w:rFonts w:ascii="Times New Roman" w:eastAsia="Times New Roman" w:hAnsi="Times New Roman" w:cs="Times New Roman"/>
          <w:b/>
          <w:i/>
          <w:color w:val="000000"/>
          <w:sz w:val="21"/>
          <w:szCs w:val="21"/>
          <w:lang w:eastAsia="ar-SA"/>
        </w:rPr>
        <w:t xml:space="preserve">., </w:t>
      </w:r>
    </w:p>
    <w:p w14:paraId="3FF0B59E"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color w:val="000000"/>
          <w:sz w:val="21"/>
          <w:szCs w:val="21"/>
          <w:lang w:val="x-none" w:eastAsia="ar-SA"/>
        </w:rPr>
      </w:pPr>
      <w:r w:rsidRPr="00877DE5">
        <w:rPr>
          <w:rFonts w:ascii="Times New Roman" w:eastAsia="Times New Roman" w:hAnsi="Times New Roman" w:cs="Times New Roman"/>
          <w:i/>
          <w:color w:val="000000"/>
          <w:sz w:val="21"/>
          <w:szCs w:val="21"/>
          <w:lang w:eastAsia="ar-SA"/>
        </w:rPr>
        <w:t xml:space="preserve">студент 2 курса </w:t>
      </w:r>
    </w:p>
    <w:p w14:paraId="10744372" w14:textId="77777777" w:rsidR="0055221C" w:rsidRPr="00877DE5" w:rsidRDefault="0055221C" w:rsidP="0055221C">
      <w:pPr>
        <w:spacing w:after="0" w:line="240" w:lineRule="auto"/>
        <w:ind w:firstLine="709"/>
        <w:jc w:val="right"/>
        <w:rPr>
          <w:rFonts w:ascii="Times New Roman" w:eastAsia="Times New Roman" w:hAnsi="Times New Roman" w:cs="Times New Roman"/>
          <w:i/>
          <w:color w:val="000000"/>
          <w:kern w:val="2"/>
          <w:sz w:val="21"/>
          <w:szCs w:val="21"/>
          <w:lang w:eastAsia="ar-SA"/>
        </w:rPr>
      </w:pPr>
      <w:r w:rsidRPr="00877DE5">
        <w:rPr>
          <w:rFonts w:ascii="Times New Roman" w:eastAsia="Times New Roman" w:hAnsi="Times New Roman" w:cs="Times New Roman"/>
          <w:i/>
          <w:color w:val="000000"/>
          <w:kern w:val="2"/>
          <w:sz w:val="21"/>
          <w:szCs w:val="21"/>
          <w:lang w:eastAsia="ar-SA"/>
        </w:rPr>
        <w:t>Краснодарский филиал Финансового университета при Правительстве РФ</w:t>
      </w:r>
    </w:p>
    <w:p w14:paraId="574C261C" w14:textId="77777777" w:rsidR="0055221C" w:rsidRPr="00877DE5" w:rsidRDefault="0055221C" w:rsidP="0055221C">
      <w:pPr>
        <w:spacing w:after="0" w:line="240" w:lineRule="auto"/>
        <w:ind w:firstLine="709"/>
        <w:jc w:val="right"/>
        <w:rPr>
          <w:rFonts w:ascii="Times New Roman" w:eastAsia="Times New Roman" w:hAnsi="Times New Roman" w:cs="Times New Roman"/>
          <w:i/>
          <w:color w:val="000000"/>
          <w:kern w:val="2"/>
          <w:sz w:val="21"/>
          <w:szCs w:val="21"/>
          <w:lang w:eastAsia="ar-SA"/>
        </w:rPr>
      </w:pPr>
      <w:r w:rsidRPr="00877DE5">
        <w:rPr>
          <w:rFonts w:ascii="Times New Roman" w:eastAsia="Times New Roman" w:hAnsi="Times New Roman" w:cs="Times New Roman"/>
          <w:i/>
          <w:color w:val="000000"/>
          <w:kern w:val="2"/>
          <w:sz w:val="21"/>
          <w:szCs w:val="21"/>
          <w:lang w:eastAsia="ar-SA"/>
        </w:rPr>
        <w:t>г. Краснодар, Россия</w:t>
      </w:r>
    </w:p>
    <w:p w14:paraId="1F5ED4C5" w14:textId="77777777" w:rsidR="0055221C" w:rsidRPr="00877DE5" w:rsidRDefault="0055221C" w:rsidP="0055221C">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color w:val="000000"/>
          <w:kern w:val="2"/>
          <w:sz w:val="21"/>
          <w:szCs w:val="21"/>
          <w:lang w:eastAsia="ar-SA"/>
        </w:rPr>
        <w:t xml:space="preserve">е-mail: </w:t>
      </w:r>
      <w:hyperlink r:id="rId357" w:history="1">
        <w:r w:rsidRPr="00877DE5">
          <w:rPr>
            <w:rFonts w:ascii="Times New Roman" w:eastAsia="Times New Roman" w:hAnsi="Times New Roman" w:cs="Times New Roman"/>
            <w:i/>
            <w:color w:val="000080"/>
            <w:kern w:val="2"/>
            <w:sz w:val="21"/>
            <w:szCs w:val="21"/>
            <w:u w:val="single"/>
            <w:lang w:eastAsia="ar-SA"/>
          </w:rPr>
          <w:t>89284309061@mail.ru</w:t>
        </w:r>
      </w:hyperlink>
      <w:r w:rsidRPr="00877DE5">
        <w:rPr>
          <w:rFonts w:ascii="Times New Roman" w:eastAsia="Times New Roman" w:hAnsi="Times New Roman" w:cs="Times New Roman"/>
          <w:i/>
          <w:color w:val="000000"/>
          <w:kern w:val="2"/>
          <w:sz w:val="21"/>
          <w:szCs w:val="21"/>
          <w:lang w:eastAsia="ar-SA"/>
        </w:rPr>
        <w:t xml:space="preserve"> </w:t>
      </w:r>
      <w:r w:rsidRPr="00877DE5">
        <w:rPr>
          <w:rFonts w:ascii="Times New Roman" w:eastAsia="Times New Roman" w:hAnsi="Times New Roman" w:cs="Times New Roman"/>
          <w:i/>
          <w:kern w:val="2"/>
          <w:sz w:val="21"/>
          <w:szCs w:val="21"/>
          <w:lang w:eastAsia="ru-RU"/>
        </w:rPr>
        <w:t xml:space="preserve"> </w:t>
      </w:r>
    </w:p>
    <w:p w14:paraId="14153FD1" w14:textId="77777777" w:rsidR="0055221C" w:rsidRPr="00877DE5" w:rsidRDefault="0055221C" w:rsidP="0055221C">
      <w:pPr>
        <w:spacing w:after="0" w:line="240" w:lineRule="auto"/>
        <w:ind w:firstLine="709"/>
        <w:jc w:val="right"/>
        <w:rPr>
          <w:rFonts w:ascii="Times New Roman" w:eastAsia="Times New Roman" w:hAnsi="Times New Roman" w:cs="Times New Roman"/>
          <w:i/>
          <w:kern w:val="2"/>
          <w:sz w:val="21"/>
          <w:szCs w:val="21"/>
          <w:lang w:eastAsia="ru-RU"/>
        </w:rPr>
      </w:pPr>
    </w:p>
    <w:p w14:paraId="0E3DFBE3" w14:textId="77777777" w:rsidR="0055221C" w:rsidRPr="00877DE5" w:rsidRDefault="0055221C" w:rsidP="0055221C">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Научный руководитель:</w:t>
      </w:r>
    </w:p>
    <w:p w14:paraId="7AF4E776" w14:textId="77777777" w:rsidR="0055221C" w:rsidRPr="00877DE5" w:rsidRDefault="0055221C" w:rsidP="0055221C">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Артюшкова А.Ю.,</w:t>
      </w:r>
    </w:p>
    <w:p w14:paraId="20609C52" w14:textId="77777777" w:rsidR="0055221C" w:rsidRPr="00877DE5" w:rsidRDefault="0055221C" w:rsidP="0055221C">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старший преподаватель кафедры</w:t>
      </w:r>
    </w:p>
    <w:p w14:paraId="3559B268" w14:textId="77777777" w:rsidR="0055221C" w:rsidRPr="00877DE5" w:rsidRDefault="0055221C" w:rsidP="0055221C">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«Менеджмент и маркетинг», к.п.н.</w:t>
      </w:r>
    </w:p>
    <w:p w14:paraId="4D1E1799"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sz w:val="21"/>
          <w:szCs w:val="21"/>
          <w:lang w:val="x-none" w:eastAsia="ar-SA"/>
        </w:rPr>
      </w:pPr>
      <w:r w:rsidRPr="00877DE5">
        <w:rPr>
          <w:rFonts w:ascii="Times New Roman" w:eastAsia="Times New Roman" w:hAnsi="Times New Roman" w:cs="Times New Roman"/>
          <w:i/>
          <w:color w:val="000000"/>
          <w:sz w:val="21"/>
          <w:szCs w:val="21"/>
          <w:lang w:eastAsia="ar-SA"/>
        </w:rPr>
        <w:t>Краснодарский филиал Финансового университета при Правительстве РФ</w:t>
      </w:r>
      <w:r w:rsidRPr="00877DE5">
        <w:rPr>
          <w:rFonts w:ascii="Times New Roman" w:eastAsia="Times New Roman" w:hAnsi="Times New Roman" w:cs="Times New Roman"/>
          <w:i/>
          <w:sz w:val="21"/>
          <w:szCs w:val="21"/>
          <w:lang w:eastAsia="ar-SA"/>
        </w:rPr>
        <w:t xml:space="preserve"> </w:t>
      </w:r>
    </w:p>
    <w:p w14:paraId="167C1DEE"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sz w:val="21"/>
          <w:szCs w:val="21"/>
          <w:lang w:val="x-none" w:eastAsia="ar-SA"/>
        </w:rPr>
      </w:pPr>
      <w:r w:rsidRPr="00877DE5">
        <w:rPr>
          <w:rFonts w:ascii="Times New Roman" w:eastAsia="Times New Roman" w:hAnsi="Times New Roman" w:cs="Times New Roman"/>
          <w:i/>
          <w:sz w:val="21"/>
          <w:szCs w:val="21"/>
          <w:lang w:eastAsia="ar-SA"/>
        </w:rPr>
        <w:t>г. Краснодар, Россия</w:t>
      </w:r>
    </w:p>
    <w:p w14:paraId="3294E2AB"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color w:val="000080"/>
          <w:sz w:val="24"/>
          <w:szCs w:val="24"/>
          <w:u w:val="single"/>
          <w:lang w:val="x-none"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mail</w:t>
      </w:r>
      <w:r w:rsidRPr="00877DE5">
        <w:rPr>
          <w:rFonts w:ascii="Times New Roman" w:eastAsia="Times New Roman" w:hAnsi="Times New Roman" w:cs="Times New Roman"/>
          <w:i/>
          <w:sz w:val="21"/>
          <w:szCs w:val="21"/>
          <w:lang w:eastAsia="ar-SA"/>
        </w:rPr>
        <w:t xml:space="preserve">: </w:t>
      </w:r>
      <w:r w:rsidRPr="00877DE5">
        <w:rPr>
          <w:rFonts w:ascii="Times New Roman" w:eastAsia="Times New Roman" w:hAnsi="Times New Roman" w:cs="Times New Roman"/>
          <w:i/>
          <w:color w:val="000080"/>
          <w:sz w:val="24"/>
          <w:szCs w:val="24"/>
          <w:u w:val="single"/>
          <w:lang w:val="en-US" w:eastAsia="ar-SA"/>
        </w:rPr>
        <w:t>AYUPahomova</w:t>
      </w:r>
      <w:r w:rsidRPr="00877DE5">
        <w:rPr>
          <w:rFonts w:ascii="Times New Roman" w:eastAsia="Times New Roman" w:hAnsi="Times New Roman" w:cs="Times New Roman"/>
          <w:i/>
          <w:color w:val="000080"/>
          <w:sz w:val="24"/>
          <w:szCs w:val="24"/>
          <w:u w:val="single"/>
          <w:lang w:eastAsia="ar-SA"/>
        </w:rPr>
        <w:t>@</w:t>
      </w:r>
      <w:r w:rsidRPr="00877DE5">
        <w:rPr>
          <w:rFonts w:ascii="Times New Roman" w:eastAsia="Times New Roman" w:hAnsi="Times New Roman" w:cs="Times New Roman"/>
          <w:i/>
          <w:color w:val="000080"/>
          <w:sz w:val="24"/>
          <w:szCs w:val="24"/>
          <w:u w:val="single"/>
          <w:lang w:val="en-US" w:eastAsia="ar-SA"/>
        </w:rPr>
        <w:t>fa</w:t>
      </w:r>
      <w:r w:rsidRPr="00877DE5">
        <w:rPr>
          <w:rFonts w:ascii="Times New Roman" w:eastAsia="Times New Roman" w:hAnsi="Times New Roman" w:cs="Times New Roman"/>
          <w:i/>
          <w:color w:val="000080"/>
          <w:sz w:val="24"/>
          <w:szCs w:val="24"/>
          <w:u w:val="single"/>
          <w:lang w:eastAsia="ar-SA"/>
        </w:rPr>
        <w:t>.</w:t>
      </w:r>
      <w:r w:rsidRPr="00877DE5">
        <w:rPr>
          <w:rFonts w:ascii="Times New Roman" w:eastAsia="Times New Roman" w:hAnsi="Times New Roman" w:cs="Times New Roman"/>
          <w:i/>
          <w:color w:val="000080"/>
          <w:sz w:val="24"/>
          <w:szCs w:val="24"/>
          <w:u w:val="single"/>
          <w:lang w:val="en-US" w:eastAsia="ar-SA"/>
        </w:rPr>
        <w:t>ru</w:t>
      </w:r>
    </w:p>
    <w:p w14:paraId="14C87E3C" w14:textId="77777777" w:rsidR="0055221C" w:rsidRPr="00877DE5" w:rsidRDefault="0055221C" w:rsidP="0055221C">
      <w:pPr>
        <w:suppressAutoHyphens/>
        <w:spacing w:after="0" w:line="240" w:lineRule="auto"/>
        <w:ind w:firstLine="709"/>
        <w:jc w:val="right"/>
        <w:rPr>
          <w:rFonts w:ascii="Times New Roman" w:eastAsia="Times New Roman" w:hAnsi="Times New Roman" w:cs="Times New Roman"/>
          <w:i/>
          <w:sz w:val="21"/>
          <w:szCs w:val="21"/>
          <w:lang w:val="x-none" w:eastAsia="ar-SA"/>
        </w:rPr>
      </w:pPr>
    </w:p>
    <w:p w14:paraId="6A9F7B8B" w14:textId="77777777" w:rsidR="0055221C" w:rsidRPr="00877DE5" w:rsidRDefault="0055221C" w:rsidP="0055221C">
      <w:pPr>
        <w:suppressAutoHyphens/>
        <w:spacing w:after="0" w:line="240" w:lineRule="auto"/>
        <w:ind w:firstLine="709"/>
        <w:jc w:val="center"/>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b/>
          <w:sz w:val="21"/>
          <w:szCs w:val="21"/>
          <w:lang w:val="x-none" w:eastAsia="ar-SA"/>
        </w:rPr>
        <w:t>Электронный бизнес. Цифровизация процессов</w:t>
      </w:r>
    </w:p>
    <w:p w14:paraId="035362BC" w14:textId="77777777" w:rsidR="0055221C" w:rsidRPr="00877DE5" w:rsidRDefault="0055221C" w:rsidP="0055221C">
      <w:pPr>
        <w:spacing w:after="0" w:line="240" w:lineRule="auto"/>
        <w:ind w:firstLine="709"/>
        <w:jc w:val="both"/>
        <w:rPr>
          <w:rFonts w:ascii="Times New Roman" w:eastAsia="Times New Roman" w:hAnsi="Times New Roman" w:cs="Times New Roman"/>
          <w:i/>
          <w:kern w:val="2"/>
          <w:sz w:val="21"/>
          <w:szCs w:val="21"/>
          <w:shd w:val="clear" w:color="auto" w:fill="00FFFF"/>
          <w:lang w:eastAsia="ru-RU"/>
        </w:rPr>
      </w:pPr>
    </w:p>
    <w:p w14:paraId="30FF749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b/>
          <w:kern w:val="2"/>
          <w:sz w:val="21"/>
          <w:szCs w:val="21"/>
          <w:lang w:eastAsia="ru-RU"/>
        </w:rPr>
        <w:t>Аннотация:</w:t>
      </w:r>
      <w:r w:rsidRPr="00877DE5">
        <w:rPr>
          <w:rFonts w:ascii="Times New Roman" w:eastAsia="Times New Roman" w:hAnsi="Times New Roman" w:cs="Times New Roman"/>
          <w:i/>
          <w:kern w:val="2"/>
          <w:sz w:val="21"/>
          <w:szCs w:val="21"/>
          <w:lang w:eastAsia="ru-RU"/>
        </w:rPr>
        <w:t xml:space="preserve"> </w:t>
      </w:r>
      <w:r w:rsidRPr="00877DE5">
        <w:rPr>
          <w:rFonts w:ascii="Times New Roman" w:eastAsia="Times New Roman" w:hAnsi="Times New Roman" w:cs="Times New Roman"/>
          <w:kern w:val="2"/>
          <w:sz w:val="21"/>
          <w:szCs w:val="21"/>
          <w:lang w:eastAsia="ru-RU"/>
        </w:rPr>
        <w:t xml:space="preserve">В статье рассматриваются особенности управления бизнес-процессами в условиях цифровизации экономики. На основе кейса Т-Банка проанализированы современные подходы к оптимизации бизнес-процессов, вызовы и перспективы цифровой трансформации в банковской сфере. </w:t>
      </w:r>
    </w:p>
    <w:p w14:paraId="53291B87"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b/>
          <w:kern w:val="2"/>
          <w:sz w:val="21"/>
          <w:szCs w:val="21"/>
          <w:lang w:eastAsia="ru-RU"/>
        </w:rPr>
        <w:t>Ключевые слова:</w:t>
      </w:r>
      <w:r w:rsidRPr="00877DE5">
        <w:rPr>
          <w:rFonts w:ascii="Times New Roman" w:eastAsia="Times New Roman" w:hAnsi="Times New Roman" w:cs="Times New Roman"/>
          <w:kern w:val="2"/>
          <w:sz w:val="21"/>
          <w:szCs w:val="21"/>
          <w:lang w:eastAsia="ru-RU"/>
        </w:rPr>
        <w:t xml:space="preserve"> цифровизация, бизнес-процессы, банковская сфера, оптимизация, Т-Банк, управление, цифровая трансформация.</w:t>
      </w:r>
    </w:p>
    <w:p w14:paraId="6B11E3E1"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21"/>
          <w:szCs w:val="21"/>
          <w:lang w:eastAsia="ru-RU"/>
        </w:rPr>
      </w:pPr>
    </w:p>
    <w:p w14:paraId="286026C6" w14:textId="77777777" w:rsidR="0055221C" w:rsidRPr="00877DE5" w:rsidRDefault="0055221C" w:rsidP="0055221C">
      <w:pPr>
        <w:spacing w:after="0" w:line="240" w:lineRule="auto"/>
        <w:ind w:firstLine="709"/>
        <w:jc w:val="center"/>
        <w:rPr>
          <w:rFonts w:ascii="Times New Roman" w:eastAsia="Times New Roman" w:hAnsi="Times New Roman" w:cs="Times New Roman"/>
          <w:b/>
          <w:kern w:val="2"/>
          <w:sz w:val="21"/>
          <w:szCs w:val="21"/>
          <w:lang w:val="en-US" w:eastAsia="ru-RU"/>
        </w:rPr>
      </w:pPr>
      <w:r w:rsidRPr="00877DE5">
        <w:rPr>
          <w:rFonts w:ascii="Times New Roman" w:eastAsia="Times New Roman" w:hAnsi="Times New Roman" w:cs="Times New Roman"/>
          <w:b/>
          <w:kern w:val="2"/>
          <w:sz w:val="21"/>
          <w:szCs w:val="21"/>
          <w:lang w:val="en-US" w:eastAsia="ru-RU"/>
        </w:rPr>
        <w:t>Electronic business. Digitalization of processes</w:t>
      </w:r>
    </w:p>
    <w:p w14:paraId="0BBC5379"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21"/>
          <w:szCs w:val="21"/>
          <w:lang w:val="en-US" w:eastAsia="ru-RU"/>
        </w:rPr>
      </w:pPr>
    </w:p>
    <w:p w14:paraId="52DAFEC1" w14:textId="77777777" w:rsidR="0055221C" w:rsidRPr="00877DE5" w:rsidRDefault="0055221C" w:rsidP="0055221C">
      <w:pPr>
        <w:suppressAutoHyphens/>
        <w:spacing w:after="0" w:line="240" w:lineRule="auto"/>
        <w:ind w:firstLine="709"/>
        <w:jc w:val="both"/>
        <w:rPr>
          <w:rFonts w:ascii="Times New Roman" w:eastAsia="Times New Roman" w:hAnsi="Times New Roman" w:cs="Times New Roman"/>
          <w:sz w:val="21"/>
          <w:szCs w:val="21"/>
          <w:shd w:val="clear" w:color="auto" w:fill="FFFFFF"/>
          <w:lang w:val="x-none" w:eastAsia="ar-SA"/>
        </w:rPr>
      </w:pPr>
      <w:r w:rsidRPr="00877DE5">
        <w:rPr>
          <w:rFonts w:ascii="Times New Roman" w:eastAsia="Times New Roman" w:hAnsi="Times New Roman" w:cs="Times New Roman"/>
          <w:b/>
          <w:bCs/>
          <w:sz w:val="21"/>
          <w:szCs w:val="21"/>
          <w:shd w:val="clear" w:color="auto" w:fill="FFFFFF"/>
          <w:lang w:val="x-none" w:eastAsia="ar-SA"/>
        </w:rPr>
        <w:t xml:space="preserve">Abstract: </w:t>
      </w:r>
      <w:r w:rsidRPr="00877DE5">
        <w:rPr>
          <w:rFonts w:ascii="Times New Roman" w:eastAsia="Times New Roman" w:hAnsi="Times New Roman" w:cs="Times New Roman"/>
          <w:sz w:val="21"/>
          <w:szCs w:val="21"/>
          <w:shd w:val="clear" w:color="auto" w:fill="FFFFFF"/>
          <w:lang w:val="x-none" w:eastAsia="ar-SA"/>
        </w:rPr>
        <w:t xml:space="preserve">The article discusses the features of business process management in the context of the digitalization of the economy. Based on the T-Bank case, modern approaches to optimizing business processes, challenges and prospects of digital transformation in the banking sector are analyzed. </w:t>
      </w:r>
    </w:p>
    <w:p w14:paraId="366C1BFD" w14:textId="77777777" w:rsidR="0055221C" w:rsidRPr="00877DE5" w:rsidRDefault="0055221C" w:rsidP="0055221C">
      <w:pPr>
        <w:suppressAutoHyphens/>
        <w:spacing w:after="0" w:line="240" w:lineRule="auto"/>
        <w:ind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b/>
          <w:bCs/>
          <w:sz w:val="21"/>
          <w:szCs w:val="21"/>
          <w:shd w:val="clear" w:color="auto" w:fill="FFFFFF"/>
          <w:lang w:val="x-none" w:eastAsia="ar-SA"/>
        </w:rPr>
        <w:t xml:space="preserve">Keywords: </w:t>
      </w:r>
      <w:r w:rsidRPr="00877DE5">
        <w:rPr>
          <w:rFonts w:ascii="Times New Roman" w:eastAsia="Times New Roman" w:hAnsi="Times New Roman" w:cs="Times New Roman"/>
          <w:sz w:val="21"/>
          <w:szCs w:val="21"/>
          <w:shd w:val="clear" w:color="auto" w:fill="FFFFFF"/>
          <w:lang w:val="x-none" w:eastAsia="ar-SA"/>
        </w:rPr>
        <w:t>digitalization, business processes, banking sector, optimization, T-Bank, management, digital transformation.</w:t>
      </w:r>
    </w:p>
    <w:p w14:paraId="6C7A85A2" w14:textId="77777777" w:rsidR="0055221C" w:rsidRPr="00877DE5" w:rsidRDefault="0055221C" w:rsidP="0055221C">
      <w:pPr>
        <w:suppressAutoHyphens/>
        <w:spacing w:after="0" w:line="240" w:lineRule="auto"/>
        <w:ind w:firstLine="709"/>
        <w:jc w:val="both"/>
        <w:rPr>
          <w:rFonts w:ascii="Times New Roman" w:eastAsia="Times New Roman" w:hAnsi="Times New Roman" w:cs="Times New Roman"/>
          <w:sz w:val="21"/>
          <w:szCs w:val="21"/>
          <w:lang w:val="x-none" w:eastAsia="ar-SA"/>
        </w:rPr>
      </w:pPr>
    </w:p>
    <w:p w14:paraId="3365980E"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Развитие цифровых технологий оказывает существенное влияние на все сферы экономической и управленческой деятельности, формируя новые подходы к ведению бизнеса, трансформируя традиционные модели управления и взаимодействия с клиентами. В условиях глобальной цифровизации особую значимость приобретает электронный бизнес, представляющий собой форму предпринимательства, основанную на использовании интернет-технологий и цифровых платформ для осуществления коммерческой деятельности. Современные условия хозяйствования предъявляют новые требования к бизнесу, особенно в финансовом секторе, где </w:t>
      </w:r>
      <w:r w:rsidRPr="00877DE5">
        <w:rPr>
          <w:rFonts w:ascii="Times New Roman" w:eastAsia="Times New Roman" w:hAnsi="Times New Roman" w:cs="Times New Roman"/>
          <w:kern w:val="2"/>
          <w:sz w:val="32"/>
          <w:szCs w:val="32"/>
          <w:lang w:eastAsia="ru-RU"/>
        </w:rPr>
        <w:lastRenderedPageBreak/>
        <w:t>цифровая трансформация становится фактором конкурентоспособности. Управление бизнес-процессами в таких условиях предполагает внедрение цифровых технологий для повышения эффективности, качества обслуживания клиентов и адаптивности организаций к быстро меняющейся среде. Цель статьи — исследовать влияние цифровизации на управление бизнес-процессами в банках и проанализировать опыт Т-Банка по их цифровой трансформации. [1]</w:t>
      </w:r>
    </w:p>
    <w:p w14:paraId="5B8722D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Электронный бизнес, или e-business, — это совокупность действий, направленных на использование цифровых технологий и телекоммуникационных средств для ведения коммерческой деятельности, управления внутренними ресурсами организации и организации взаимодействия с клиентами, поставщиками и деловыми партнёрами. Он охватывает обширный круг операций, включая онлайн-продажи, прием и обработку заказов, администрирование логистических цепочек, маркетинговые мероприятия и другие аспекты цифровой коммерции. В отличие от классического подхода к предпринимательству, электронный бизнес опирается на цифровые платформы и каналы, что способствует сокращению издержек, ускорению рабочих процессов и улучшению коммуникации с целевой аудиторией </w:t>
      </w:r>
      <w:r w:rsidRPr="00877DE5">
        <w:rPr>
          <w:rFonts w:ascii="Times New Roman" w:eastAsia="MS Mincho" w:hAnsi="Times New Roman" w:cs="Times New Roman"/>
          <w:kern w:val="2"/>
          <w:sz w:val="32"/>
          <w:szCs w:val="32"/>
          <w:lang w:eastAsia="ru-RU"/>
        </w:rPr>
        <w:t>[2]</w:t>
      </w:r>
      <w:r w:rsidRPr="00877DE5">
        <w:rPr>
          <w:rFonts w:ascii="Times New Roman" w:eastAsia="Times New Roman" w:hAnsi="Times New Roman" w:cs="Times New Roman"/>
          <w:kern w:val="2"/>
          <w:sz w:val="32"/>
          <w:szCs w:val="32"/>
          <w:lang w:eastAsia="ru-RU"/>
        </w:rPr>
        <w:t>.</w:t>
      </w:r>
    </w:p>
    <w:p w14:paraId="6A5025BC"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Форматы ведения электронного бизнеса определяют характер и особенности взаимодействия между участниками рынка, а также способы реализации коммерческих сделок в виртуальной среде. Они классифицируются в зависимости от субъектов обмена товарами, услугами или информацией. Наиболее распространённые модели включают:</w:t>
      </w:r>
    </w:p>
    <w:p w14:paraId="1FC48DC4"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1. Business-to-Business (B2B)</w:t>
      </w:r>
    </w:p>
    <w:p w14:paraId="527F6454"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Данная модель представляет собой деловые отношения между компаниями, при которых одна организация реализует продукцию или оказывает услуги другой. Это может касаться поставок сырья, оборудования, компонентов или услуг, необходимых для производства.</w:t>
      </w:r>
    </w:p>
    <w:p w14:paraId="7C38D95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2. Business-to-Consumer (B2C)</w:t>
      </w:r>
    </w:p>
    <w:p w14:paraId="2BF6848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Формат В2С подразумевает прямую продажу товаров или услуг конечным покупателям. Он широко используется в интернет-торговле, где компании предлагают продукцию индивидуальным потребителям через веб-сайты или мобильные приложения.</w:t>
      </w:r>
    </w:p>
    <w:p w14:paraId="2B46B8DC"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3. Consumer-to-Consumer (C2C)</w:t>
      </w:r>
    </w:p>
    <w:p w14:paraId="532EA1E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Модель C2C описывает взаимоотношения между физическими лицами, обменивающимися товарами или услугами. Чаще всего такие взаимодействия осуществляются через онлайн-платформы или маркетплейсы, объединяющие пользователей.</w:t>
      </w:r>
    </w:p>
    <w:p w14:paraId="3F059D17"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Каждый из перечисленных форматов играет важную роль в организации электронной торговли и подбирается с учётом характера бизнеса и предпочтений целевой аудитории </w:t>
      </w:r>
      <w:r w:rsidRPr="00877DE5">
        <w:rPr>
          <w:rFonts w:ascii="Times New Roman" w:eastAsia="MS Mincho" w:hAnsi="Times New Roman" w:cs="Times New Roman"/>
          <w:kern w:val="2"/>
          <w:sz w:val="32"/>
          <w:szCs w:val="32"/>
          <w:lang w:eastAsia="ru-RU"/>
        </w:rPr>
        <w:t>[3]</w:t>
      </w:r>
      <w:r w:rsidRPr="00877DE5">
        <w:rPr>
          <w:rFonts w:ascii="Times New Roman" w:eastAsia="Times New Roman" w:hAnsi="Times New Roman" w:cs="Times New Roman"/>
          <w:kern w:val="2"/>
          <w:sz w:val="32"/>
          <w:szCs w:val="32"/>
          <w:lang w:eastAsia="ru-RU"/>
        </w:rPr>
        <w:t>.</w:t>
      </w:r>
    </w:p>
    <w:p w14:paraId="55685F7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Инфраструктура e-business включает в себя совокупность технологических, организационных и нормативных элементов, необходимых для устойчивого функционирования коммерческой деятельности в цифровом пространстве. Она обеспечивает эффективное взаимодействие между всеми заинтересованными сторонами — как в частном, так и в государственном секторе.</w:t>
      </w:r>
    </w:p>
    <w:p w14:paraId="2022FF1F"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К основным составляющим инфраструктуры относятся:</w:t>
      </w:r>
    </w:p>
    <w:p w14:paraId="79A20626"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1. Сетевая платформа (интернет-инфраструктура)</w:t>
      </w:r>
    </w:p>
    <w:p w14:paraId="57D2E15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Она служит технологической основой для работы цифровых сервисов и включает в себя, в частности, доменные имена и хостинг-площадки.</w:t>
      </w:r>
    </w:p>
    <w:p w14:paraId="501C3C2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2. Платёжная инфраструктура</w:t>
      </w:r>
    </w:p>
    <w:p w14:paraId="663C3A58"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Электронные платёжные системы — важнейший элемент инфраструктуры, обеспечивающий безопасную и быструю оплату товаров и услуг в интернете. Сюда входят:</w:t>
      </w:r>
    </w:p>
    <w:p w14:paraId="2F97392E"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Банковские карты (Visa, MasterCard, Мир, UnionPay и др.);</w:t>
      </w:r>
    </w:p>
    <w:p w14:paraId="5779732D"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Электронные платёжные сервисы (ЮMoney, WebMoney, Qiwi);</w:t>
      </w:r>
    </w:p>
    <w:p w14:paraId="69445A8A"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val="en-US" w:eastAsia="ru-RU"/>
        </w:rPr>
      </w:pPr>
      <w:r w:rsidRPr="00877DE5">
        <w:rPr>
          <w:rFonts w:ascii="Times New Roman" w:eastAsia="Times New Roman" w:hAnsi="Times New Roman" w:cs="Times New Roman"/>
          <w:kern w:val="2"/>
          <w:sz w:val="32"/>
          <w:szCs w:val="32"/>
          <w:lang w:eastAsia="ru-RU"/>
        </w:rPr>
        <w:t xml:space="preserve"> </w:t>
      </w:r>
      <w:r w:rsidRPr="00877DE5">
        <w:rPr>
          <w:rFonts w:ascii="Times New Roman" w:eastAsia="Times New Roman" w:hAnsi="Times New Roman" w:cs="Times New Roman"/>
          <w:kern w:val="2"/>
          <w:sz w:val="32"/>
          <w:szCs w:val="32"/>
          <w:lang w:val="en-US" w:eastAsia="ru-RU"/>
        </w:rPr>
        <w:t xml:space="preserve">• </w:t>
      </w:r>
      <w:r w:rsidRPr="00877DE5">
        <w:rPr>
          <w:rFonts w:ascii="Times New Roman" w:eastAsia="Times New Roman" w:hAnsi="Times New Roman" w:cs="Times New Roman"/>
          <w:kern w:val="2"/>
          <w:sz w:val="32"/>
          <w:szCs w:val="32"/>
          <w:lang w:eastAsia="ru-RU"/>
        </w:rPr>
        <w:t>Системы</w:t>
      </w:r>
      <w:r w:rsidRPr="00877DE5">
        <w:rPr>
          <w:rFonts w:ascii="Times New Roman" w:eastAsia="Times New Roman" w:hAnsi="Times New Roman" w:cs="Times New Roman"/>
          <w:kern w:val="2"/>
          <w:sz w:val="32"/>
          <w:szCs w:val="32"/>
          <w:lang w:val="en-US" w:eastAsia="ru-RU"/>
        </w:rPr>
        <w:t xml:space="preserve"> </w:t>
      </w:r>
      <w:r w:rsidRPr="00877DE5">
        <w:rPr>
          <w:rFonts w:ascii="Times New Roman" w:eastAsia="Times New Roman" w:hAnsi="Times New Roman" w:cs="Times New Roman"/>
          <w:kern w:val="2"/>
          <w:sz w:val="32"/>
          <w:szCs w:val="32"/>
          <w:lang w:eastAsia="ru-RU"/>
        </w:rPr>
        <w:t>мобильных</w:t>
      </w:r>
      <w:r w:rsidRPr="00877DE5">
        <w:rPr>
          <w:rFonts w:ascii="Times New Roman" w:eastAsia="Times New Roman" w:hAnsi="Times New Roman" w:cs="Times New Roman"/>
          <w:kern w:val="2"/>
          <w:sz w:val="32"/>
          <w:szCs w:val="32"/>
          <w:lang w:val="en-US" w:eastAsia="ru-RU"/>
        </w:rPr>
        <w:t xml:space="preserve"> </w:t>
      </w:r>
      <w:r w:rsidRPr="00877DE5">
        <w:rPr>
          <w:rFonts w:ascii="Times New Roman" w:eastAsia="Times New Roman" w:hAnsi="Times New Roman" w:cs="Times New Roman"/>
          <w:kern w:val="2"/>
          <w:sz w:val="32"/>
          <w:szCs w:val="32"/>
          <w:lang w:eastAsia="ru-RU"/>
        </w:rPr>
        <w:t>платежей</w:t>
      </w:r>
      <w:r w:rsidRPr="00877DE5">
        <w:rPr>
          <w:rFonts w:ascii="Times New Roman" w:eastAsia="Times New Roman" w:hAnsi="Times New Roman" w:cs="Times New Roman"/>
          <w:kern w:val="2"/>
          <w:sz w:val="32"/>
          <w:szCs w:val="32"/>
          <w:lang w:val="en-US" w:eastAsia="ru-RU"/>
        </w:rPr>
        <w:t xml:space="preserve"> (Google Pay, Apple Pay, Samsung Pay);</w:t>
      </w:r>
    </w:p>
    <w:p w14:paraId="7E524E2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val="en-US" w:eastAsia="ru-RU"/>
        </w:rPr>
        <w:t xml:space="preserve"> </w:t>
      </w:r>
      <w:r w:rsidRPr="00877DE5">
        <w:rPr>
          <w:rFonts w:ascii="Times New Roman" w:eastAsia="Times New Roman" w:hAnsi="Times New Roman" w:cs="Times New Roman"/>
          <w:kern w:val="2"/>
          <w:sz w:val="32"/>
          <w:szCs w:val="32"/>
          <w:lang w:eastAsia="ru-RU"/>
        </w:rPr>
        <w:t>• Криптовалютные транзакции (Bitcoin, Ethereum и др.).</w:t>
      </w:r>
    </w:p>
    <w:p w14:paraId="368C1457"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3. Серверное и базовое обеспечение</w:t>
      </w:r>
    </w:p>
    <w:p w14:paraId="36F52B0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Серверы и базы данных выполняют функции хранения, обработки и передачи информации, необходимой для корректной работы онлайн-платформ и цифровых приложений</w:t>
      </w:r>
      <w:r>
        <w:rPr>
          <w:rFonts w:ascii="Times New Roman" w:eastAsia="Times New Roman" w:hAnsi="Times New Roman" w:cs="Times New Roman"/>
          <w:kern w:val="2"/>
          <w:sz w:val="32"/>
          <w:szCs w:val="32"/>
          <w:lang w:eastAsia="ru-RU"/>
        </w:rPr>
        <w:t xml:space="preserve"> </w:t>
      </w:r>
      <w:r w:rsidRPr="00877DE5">
        <w:rPr>
          <w:rFonts w:ascii="Times New Roman" w:eastAsia="MS Mincho" w:hAnsi="Times New Roman" w:cs="Times New Roman"/>
          <w:kern w:val="2"/>
          <w:sz w:val="32"/>
          <w:szCs w:val="32"/>
          <w:lang w:eastAsia="ru-RU"/>
        </w:rPr>
        <w:t>[5]</w:t>
      </w:r>
      <w:r w:rsidRPr="00877DE5">
        <w:rPr>
          <w:rFonts w:ascii="Times New Roman" w:eastAsia="Times New Roman" w:hAnsi="Times New Roman" w:cs="Times New Roman"/>
          <w:kern w:val="2"/>
          <w:sz w:val="32"/>
          <w:szCs w:val="32"/>
          <w:lang w:eastAsia="ru-RU"/>
        </w:rPr>
        <w:t>.</w:t>
      </w:r>
    </w:p>
    <w:p w14:paraId="76810BE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Общая характеристика Т-Банка как участника электронного бизнеса.</w:t>
      </w:r>
    </w:p>
    <w:p w14:paraId="4FB18A22"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Т-Банк — это современная финансовая организация, активно развивающаяся в условиях цифровой трансформации экономики. Банк ориентирован на предоставление широкого спектра банковских и финансовых услуг как физическим, так и юридическим лицам с упором на дистанционные и цифровые каналы обслуживания. Основное конкурентное преимущество Т-Банка заключается в гибкой </w:t>
      </w:r>
      <w:r w:rsidRPr="00877DE5">
        <w:rPr>
          <w:rFonts w:ascii="Times New Roman" w:eastAsia="Times New Roman" w:hAnsi="Times New Roman" w:cs="Times New Roman"/>
          <w:kern w:val="2"/>
          <w:sz w:val="32"/>
          <w:szCs w:val="32"/>
          <w:lang w:eastAsia="ru-RU"/>
        </w:rPr>
        <w:lastRenderedPageBreak/>
        <w:t>цифровой инфраструктуре и способности быстро адаптироваться к технологическим изменениям. Т-Банк входит в число банков второго эшелона по объему активов, однако его позиции на рынке электронного банкинга и цифровых финансовых решений значительно выше, благодаря высокой скорости внедрения инноваций и ориентации на клиентский опыт. Банк активно сотрудничает с финтех-компаниями, участвует в национальных и международных проектах по развитию цифровых платформ, а также инвестирует в собственную ИТ-инфраструктуру. В условиях стремительной цифровизации, электронный бизнес становится неотъемлемой частью банковской деятельности. Т-Банк выступает не только как традиционный поставщик финансовых услуг, но и как полноценный участник цифровой экономики. Банк активно реализует стратегию перехода от классической банковской модели к экосистемной, включая в свою цифровую платформу услуги, выходящие за рамки банковской деятельности</w:t>
      </w:r>
      <w:proofErr w:type="gramStart"/>
      <w:r w:rsidRPr="00877DE5">
        <w:rPr>
          <w:rFonts w:ascii="Times New Roman" w:eastAsia="Times New Roman" w:hAnsi="Times New Roman" w:cs="Times New Roman"/>
          <w:kern w:val="2"/>
          <w:sz w:val="32"/>
          <w:szCs w:val="32"/>
          <w:lang w:eastAsia="ru-RU"/>
        </w:rPr>
        <w:t>:</w:t>
      </w:r>
      <w:proofErr w:type="gramEnd"/>
      <w:r w:rsidRPr="00877DE5">
        <w:rPr>
          <w:rFonts w:ascii="Times New Roman" w:eastAsia="Times New Roman" w:hAnsi="Times New Roman" w:cs="Times New Roman"/>
          <w:kern w:val="2"/>
          <w:sz w:val="32"/>
          <w:szCs w:val="32"/>
          <w:lang w:eastAsia="ru-RU"/>
        </w:rPr>
        <w:t xml:space="preserve"> электронная торговля, страхование, инвестиции, а также сервисы для бизнеса.</w:t>
      </w:r>
      <w:r w:rsidRPr="00877DE5">
        <w:rPr>
          <w:rFonts w:ascii="Times New Roman" w:eastAsia="Times New Roman" w:hAnsi="Times New Roman" w:cs="Times New Roman"/>
          <w:kern w:val="2"/>
          <w:sz w:val="24"/>
          <w:szCs w:val="24"/>
          <w:lang w:eastAsia="ru-RU"/>
        </w:rPr>
        <w:t xml:space="preserve"> </w:t>
      </w:r>
    </w:p>
    <w:p w14:paraId="690D1AA2"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Кроме того, Т-Банк активно развивает мобильное и интернет-банковское обслуживание, внедряя инструменты самообслуживания, цифровые консультации и технологии искусственного интеллекта для автоматизации клиентских запросов.</w:t>
      </w:r>
    </w:p>
    <w:p w14:paraId="36C3A25A"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Т-Банк рассматривает цифровизацию как ключевой фактор конкурентоспособности и устойчивости. В отличие от традиционных банков, цифровая трансформация в Т-Банке изначально закладывалась в бизнес-модель: все процессы, от привлечения клиентов до операционного обслуживания, выстраивались с учётом современных ИТ-подходов, автоматизации и самообслуживания. [4]</w:t>
      </w:r>
    </w:p>
    <w:p w14:paraId="0A3826F2"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Целью цифровизации стало не только улучшение клиентского сервиса, но и повышение эффективности внутренних операций, сокращение затрат и снижение операционных рисков. При этом банк активно применяет технологии искусственного интеллекта, роботизированной автоматизации процессов (RPA), облачных вычислений и API-интеграции.</w:t>
      </w:r>
    </w:p>
    <w:p w14:paraId="273AD9FF"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Одним из наиболее технологичных направлений является оформление и выдача кредитов в цифровом формате. Большая часть заявок на потребительские кредиты, кредитные карты и даже ипотеку проходит в Т-Банке полностью дистанционно, без участия сотрудников. </w:t>
      </w:r>
    </w:p>
    <w:p w14:paraId="17C9DB7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Это достигается за счет:</w:t>
      </w:r>
    </w:p>
    <w:p w14:paraId="35F41C53"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 онлайн-заявки через мобильное приложение или сайт;</w:t>
      </w:r>
    </w:p>
    <w:p w14:paraId="70EF5E5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решения по кредиту в течение 1–5 минут, на базе алгоритмов машинного обучения;</w:t>
      </w:r>
    </w:p>
    <w:p w14:paraId="2A020BD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цифровой подписи для заключения договора.</w:t>
      </w:r>
    </w:p>
    <w:p w14:paraId="2B8C0201"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Подобная модель позволяет банку снижать издержки, ускорять цикл сделки и увеличивать масштаб операций без увеличения штата.</w:t>
      </w:r>
    </w:p>
    <w:p w14:paraId="3535B93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Для оптимизации рутинных операций в Т-Банке используются технологии RPA (Robotic Process Automation). Программные роботы обрабатывают документы, проверяют данные, формируют отчёты, уведомления и даже отвечают на типовые клиентские запросы. К примеру:</w:t>
      </w:r>
    </w:p>
    <w:p w14:paraId="690FD03E"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автоматическая проверка данных в анкетах;</w:t>
      </w:r>
    </w:p>
    <w:p w14:paraId="1EB4C32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сверка информации с реестрами (ФНС, ПФР, Росреестр и др.);</w:t>
      </w:r>
    </w:p>
    <w:p w14:paraId="17AE6BFC"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массовая рассылка писем и уведомлений;</w:t>
      </w:r>
    </w:p>
    <w:p w14:paraId="19714F5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архивация и категоризация документов.</w:t>
      </w:r>
    </w:p>
    <w:p w14:paraId="2AFE215D"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Это не только сокращает время обработки операций, но и снижает человеческий фактор и вероятность ошибок.</w:t>
      </w:r>
    </w:p>
    <w:p w14:paraId="7252B550"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Еще одним важным элементом цифровизации является переход на электронный документооборот (ЭДО). Клиенты Т-Банка могут:</w:t>
      </w:r>
    </w:p>
    <w:p w14:paraId="6A02B7AB"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подписывать договоры с помощью электронной подписи;</w:t>
      </w:r>
    </w:p>
    <w:p w14:paraId="054D13D6"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направлять документы через мобильное приложение или личный кабинет;</w:t>
      </w:r>
    </w:p>
    <w:p w14:paraId="78FE9DC1"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 получать справки, выписки и уведомления без посещения офиса.</w:t>
      </w:r>
    </w:p>
    <w:p w14:paraId="5AF6EAF9"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Внутри банка документооборот также осуществляется в цифровой среде: все заявки, обращения, внутренние согласования и служебные записки циркулируют через электронные системы.</w:t>
      </w:r>
    </w:p>
    <w:p w14:paraId="4DA14805"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 условиях глобальной цифровизации экономики и изменения потребительского поведения банки вынуждены адаптироваться к новым реалиям. Современные клиенты всё чаще ожидают от банков не только безопасности и надежности, но и быстроты, удобства и индивидуального подхода. Т-Банк, следуя этим тенденциям, в последние годы реализует стратегию глубокой цифровой трансформации, в основе которой лежит переход от традиционного формата обслуживания к цифрово-ориентированной модели, где приоритет отдается мобильным, онлайн- и дистанционным каналам взаимодействия с клиентами. [4]</w:t>
      </w:r>
    </w:p>
    <w:p w14:paraId="3F54C16E"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Этот переход затрагивает не только технологии, но и организационную культуру, подходы к управлению персоналом и </w:t>
      </w:r>
      <w:r w:rsidRPr="00877DE5">
        <w:rPr>
          <w:rFonts w:ascii="Times New Roman" w:eastAsia="Times New Roman" w:hAnsi="Times New Roman" w:cs="Times New Roman"/>
          <w:kern w:val="2"/>
          <w:sz w:val="32"/>
          <w:szCs w:val="32"/>
          <w:lang w:eastAsia="ru-RU"/>
        </w:rPr>
        <w:lastRenderedPageBreak/>
        <w:t>продуктовую политику. В центре внимания — удобство клиента, минимизация его затрат времени и максимальная автономность при выполнении операций. В результате взаимодействие клиента с банком становится более гибким, доступным 24/7 и не привязанным к географическому местоположению.</w:t>
      </w:r>
    </w:p>
    <w:p w14:paraId="318D7C18" w14:textId="77777777" w:rsidR="0055221C" w:rsidRPr="00877DE5" w:rsidRDefault="0055221C" w:rsidP="0055221C">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Благодаря цифровизации Т-Банк смог значительно повысить уровень клиентской удовлетворенности, ускорить предоставление услуг, снизить операционные затраты и повысить устойчивость к внешним вызовам. В частности, среднее время обработки заявок сократилось на 60%, количество операций, требующих физического присутствия клиента в отделении, уменьшилось более чем на 70%, а показатели финансовой устойчивости сохранились даже в условиях кризисных изменений внешней среды.</w:t>
      </w:r>
    </w:p>
    <w:p w14:paraId="3DB35346" w14:textId="2DC7693B" w:rsidR="0055221C" w:rsidRDefault="0055221C" w:rsidP="00C0581D">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Цифровизация радикально трансформирует подходы к управлению бизнес-процессами, особенно в банковской сфере. Кейс Т-Банка демонстрирует значительные преимущества цифровой трансформации — повышение эффективности, сокращение затрат, рост удовлетворённости клиентов. Вместе с тем успех требует системного подхода, стратегического планирования и постоянных инвестиций в технологии и человеческий капитал.</w:t>
      </w:r>
    </w:p>
    <w:p w14:paraId="6F36C12B" w14:textId="77777777" w:rsidR="00600725" w:rsidRDefault="00600725" w:rsidP="00600725">
      <w:pPr>
        <w:keepNext/>
        <w:keepLines/>
        <w:shd w:val="clear" w:color="auto" w:fill="FFFFFF"/>
        <w:suppressAutoHyphens/>
        <w:spacing w:after="0" w:line="240" w:lineRule="auto"/>
        <w:ind w:firstLine="709"/>
        <w:jc w:val="center"/>
        <w:rPr>
          <w:rFonts w:ascii="Times New Roman" w:eastAsia="Times New Roman" w:hAnsi="Times New Roman" w:cs="Times New Roman"/>
          <w:b/>
          <w:color w:val="000000"/>
          <w:sz w:val="21"/>
          <w:szCs w:val="21"/>
          <w:lang w:eastAsia="ar-SA"/>
        </w:rPr>
      </w:pPr>
    </w:p>
    <w:p w14:paraId="798C43A9" w14:textId="389CB774" w:rsidR="00600725" w:rsidRPr="00877DE5" w:rsidRDefault="00600725" w:rsidP="00600725">
      <w:pPr>
        <w:keepNext/>
        <w:keepLines/>
        <w:shd w:val="clear" w:color="auto" w:fill="FFFFFF"/>
        <w:suppressAutoHyphens/>
        <w:spacing w:after="0" w:line="240" w:lineRule="auto"/>
        <w:ind w:firstLine="709"/>
        <w:jc w:val="center"/>
        <w:rPr>
          <w:rFonts w:ascii="Times New Roman" w:eastAsia="Times New Roman" w:hAnsi="Times New Roman" w:cs="Times New Roman"/>
          <w:b/>
          <w:color w:val="000000"/>
          <w:sz w:val="21"/>
          <w:szCs w:val="21"/>
          <w:lang w:val="x-none" w:eastAsia="ar-SA"/>
        </w:rPr>
      </w:pPr>
      <w:r w:rsidRPr="00877DE5">
        <w:rPr>
          <w:rFonts w:ascii="Times New Roman" w:eastAsia="Times New Roman" w:hAnsi="Times New Roman" w:cs="Times New Roman"/>
          <w:b/>
          <w:color w:val="000000"/>
          <w:sz w:val="21"/>
          <w:szCs w:val="21"/>
          <w:lang w:eastAsia="ar-SA"/>
        </w:rPr>
        <w:t>Литература:</w:t>
      </w:r>
    </w:p>
    <w:p w14:paraId="150CB11E" w14:textId="77777777" w:rsidR="00600725" w:rsidRPr="00877DE5" w:rsidRDefault="00600725" w:rsidP="00AD58CD">
      <w:pPr>
        <w:keepNext/>
        <w:keepLines/>
        <w:numPr>
          <w:ilvl w:val="0"/>
          <w:numId w:val="80"/>
        </w:numPr>
        <w:tabs>
          <w:tab w:val="left" w:pos="0"/>
        </w:tabs>
        <w:suppressAutoHyphens/>
        <w:autoSpaceDE w:val="0"/>
        <w:spacing w:after="0" w:line="240" w:lineRule="auto"/>
        <w:ind w:left="0"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Лапидус, Л. В. Цифровая экономика: управление электронным бизнесом и электронной коммерцией : учебник / Л.В. Лапидус. — Москва : ИНФРА-М, 2023. — 479 с. — (Высшее образование). — DOI 10.12737/textbook_5ad4a78dae3f27.69090312. - ISBN 978-5-16-018513-2. </w:t>
      </w:r>
    </w:p>
    <w:p w14:paraId="22F39628" w14:textId="77777777" w:rsidR="00600725" w:rsidRPr="00877DE5" w:rsidRDefault="00600725" w:rsidP="00AD58CD">
      <w:pPr>
        <w:keepNext/>
        <w:keepLines/>
        <w:numPr>
          <w:ilvl w:val="0"/>
          <w:numId w:val="80"/>
        </w:numPr>
        <w:tabs>
          <w:tab w:val="left" w:pos="0"/>
        </w:tabs>
        <w:suppressAutoHyphens/>
        <w:autoSpaceDE w:val="0"/>
        <w:spacing w:after="0" w:line="240" w:lineRule="auto"/>
        <w:ind w:left="0"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Дорофеев, А. Н., Электронный бизнес. : учебное пособие / А. Н. Дорофеев. — Москва : КноРус, 2021. — 143 с. — ISBN 978-5-406-02143-9. — URL: https://book.ru/book/935769 (дата обращения: 02.05.2025). — Текст: электронный.</w:t>
      </w:r>
    </w:p>
    <w:p w14:paraId="75D4303B" w14:textId="77777777" w:rsidR="00600725" w:rsidRPr="00877DE5" w:rsidRDefault="00600725" w:rsidP="00AD58CD">
      <w:pPr>
        <w:keepNext/>
        <w:keepLines/>
        <w:numPr>
          <w:ilvl w:val="0"/>
          <w:numId w:val="80"/>
        </w:numPr>
        <w:tabs>
          <w:tab w:val="left" w:pos="0"/>
        </w:tabs>
        <w:suppressAutoHyphens/>
        <w:autoSpaceDE w:val="0"/>
        <w:spacing w:after="0" w:line="240" w:lineRule="auto"/>
        <w:ind w:left="0"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Потапова Е.Г., Потеева П.М., Шклярук М.С. Стратегия цифровой трансформации: написать, чтобы выполнить. М.:РАНХиГС, 2021. 184 с.</w:t>
      </w:r>
    </w:p>
    <w:p w14:paraId="684B2E02" w14:textId="77777777" w:rsidR="00600725" w:rsidRPr="00877DE5" w:rsidRDefault="00600725" w:rsidP="00AD58CD">
      <w:pPr>
        <w:keepNext/>
        <w:keepLines/>
        <w:numPr>
          <w:ilvl w:val="0"/>
          <w:numId w:val="80"/>
        </w:numPr>
        <w:tabs>
          <w:tab w:val="left" w:pos="0"/>
        </w:tabs>
        <w:suppressAutoHyphens/>
        <w:autoSpaceDE w:val="0"/>
        <w:spacing w:after="0" w:line="240" w:lineRule="auto"/>
        <w:ind w:left="0"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Официальный сайт Т-Банка [Электронный ресурс]. URL: https://www.tinkoff.ru (дата обращения: 15.04.2025). – Текст: электронный. Режим доступа: по подписке.</w:t>
      </w:r>
    </w:p>
    <w:p w14:paraId="2730F631" w14:textId="77777777" w:rsidR="00600725" w:rsidRPr="00877DE5" w:rsidRDefault="00600725" w:rsidP="00AD58CD">
      <w:pPr>
        <w:keepNext/>
        <w:keepLines/>
        <w:numPr>
          <w:ilvl w:val="0"/>
          <w:numId w:val="80"/>
        </w:numPr>
        <w:tabs>
          <w:tab w:val="left" w:pos="0"/>
        </w:tabs>
        <w:suppressAutoHyphens/>
        <w:autoSpaceDE w:val="0"/>
        <w:spacing w:after="0" w:line="240" w:lineRule="auto"/>
        <w:ind w:left="0" w:firstLine="709"/>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Смирнов, С. Н. Электронный бизнес / Смирнов С.Н., - 2-е изд. - М.:ДМК Пресс, 2018. - 242 с.: ISBN 978-5-93700-064-4. URL: https://znanium.ru/catalog/product/983550 (дата обращения: 03.05.2025). – Текст: электронный. Режим доступа: по подписке.</w:t>
      </w:r>
    </w:p>
    <w:p w14:paraId="28230804" w14:textId="45DAE4E7" w:rsidR="00600725" w:rsidRDefault="00600725" w:rsidP="00600725">
      <w:pPr>
        <w:spacing w:after="0" w:line="240" w:lineRule="auto"/>
        <w:jc w:val="both"/>
        <w:rPr>
          <w:rFonts w:ascii="Times New Roman" w:eastAsia="Times New Roman" w:hAnsi="Times New Roman" w:cs="Times New Roman"/>
          <w:kern w:val="2"/>
          <w:sz w:val="32"/>
          <w:szCs w:val="32"/>
          <w:lang w:eastAsia="ru-RU"/>
        </w:rPr>
      </w:pPr>
    </w:p>
    <w:p w14:paraId="11A48987" w14:textId="77777777" w:rsidR="00600725" w:rsidRPr="00877DE5" w:rsidRDefault="00600725" w:rsidP="00600725">
      <w:pPr>
        <w:keepNext/>
        <w:keepLines/>
        <w:spacing w:after="0" w:line="240" w:lineRule="auto"/>
        <w:jc w:val="both"/>
        <w:rPr>
          <w:rFonts w:ascii="Times New Roman" w:eastAsia="Times New Roman" w:hAnsi="Times New Roman" w:cs="Times New Roman"/>
          <w:color w:val="000000"/>
          <w:sz w:val="21"/>
          <w:szCs w:val="21"/>
        </w:rPr>
      </w:pPr>
      <w:r w:rsidRPr="00877DE5">
        <w:rPr>
          <w:rFonts w:ascii="Times New Roman" w:eastAsia="Times New Roman" w:hAnsi="Times New Roman" w:cs="Times New Roman"/>
          <w:b/>
          <w:bCs/>
          <w:color w:val="000000"/>
          <w:sz w:val="21"/>
          <w:szCs w:val="21"/>
        </w:rPr>
        <w:t>УДК 338</w:t>
      </w:r>
    </w:p>
    <w:p w14:paraId="703CCDD1" w14:textId="77777777" w:rsidR="00600725" w:rsidRPr="00877DE5" w:rsidRDefault="00600725" w:rsidP="00600725">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b/>
          <w:bCs/>
          <w:i/>
          <w:iCs/>
          <w:color w:val="000000"/>
          <w:sz w:val="21"/>
          <w:szCs w:val="21"/>
        </w:rPr>
        <w:t>Юрьева М.М.,</w:t>
      </w:r>
    </w:p>
    <w:p w14:paraId="67B0B998" w14:textId="77777777" w:rsidR="00600725" w:rsidRPr="00877DE5" w:rsidRDefault="00600725" w:rsidP="00600725">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студентка 3 курса</w:t>
      </w:r>
    </w:p>
    <w:p w14:paraId="01CCE100" w14:textId="77777777" w:rsidR="00600725" w:rsidRPr="00877DE5" w:rsidRDefault="00600725" w:rsidP="00600725">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 xml:space="preserve">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2BE07C3E" w14:textId="77777777" w:rsidR="00600725" w:rsidRPr="00877DE5" w:rsidRDefault="00600725" w:rsidP="00600725">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г. Краснодар, Россия</w:t>
      </w:r>
    </w:p>
    <w:p w14:paraId="470122E5" w14:textId="5E0B15B0" w:rsidR="00600725" w:rsidRDefault="00600725" w:rsidP="00600725">
      <w:pPr>
        <w:spacing w:after="0" w:line="240" w:lineRule="auto"/>
        <w:jc w:val="right"/>
      </w:pPr>
      <w:r w:rsidRPr="00877DE5">
        <w:rPr>
          <w:rFonts w:ascii="Times New Roman" w:eastAsia="Times New Roman" w:hAnsi="Times New Roman" w:cs="Times New Roman"/>
          <w:i/>
          <w:iCs/>
          <w:color w:val="000000"/>
          <w:sz w:val="21"/>
          <w:szCs w:val="21"/>
        </w:rPr>
        <w:t xml:space="preserve">e-mail: </w:t>
      </w:r>
      <w:hyperlink r:id="rId358">
        <w:r w:rsidRPr="00877DE5">
          <w:rPr>
            <w:rFonts w:ascii="Times New Roman" w:eastAsia="Times New Roman" w:hAnsi="Times New Roman" w:cs="Times New Roman"/>
            <w:i/>
            <w:iCs/>
            <w:color w:val="0563C1"/>
            <w:sz w:val="21"/>
            <w:szCs w:val="21"/>
            <w:u w:val="single"/>
          </w:rPr>
          <w:t>marijajureva@lenta.ru</w:t>
        </w:r>
      </w:hyperlink>
    </w:p>
    <w:p w14:paraId="6251F265" w14:textId="77777777" w:rsidR="00600725" w:rsidRDefault="00600725" w:rsidP="00600725">
      <w:pPr>
        <w:spacing w:after="0" w:line="240" w:lineRule="auto"/>
        <w:jc w:val="right"/>
      </w:pPr>
    </w:p>
    <w:p w14:paraId="2A9A5D48" w14:textId="77777777" w:rsidR="00600725" w:rsidRPr="00877DE5" w:rsidRDefault="00600725" w:rsidP="00600725">
      <w:pPr>
        <w:keepNext/>
        <w:keepLines/>
        <w:spacing w:after="0" w:line="240" w:lineRule="auto"/>
        <w:jc w:val="center"/>
        <w:rPr>
          <w:rFonts w:ascii="Times New Roman" w:eastAsia="Calibri" w:hAnsi="Times New Roman" w:cs="Times New Roman"/>
          <w:b/>
          <w:bCs/>
          <w:color w:val="000000"/>
          <w:sz w:val="21"/>
          <w:szCs w:val="21"/>
        </w:rPr>
      </w:pPr>
      <w:r w:rsidRPr="00877DE5">
        <w:rPr>
          <w:rFonts w:ascii="Times New Roman" w:eastAsia="Calibri" w:hAnsi="Times New Roman" w:cs="Times New Roman"/>
          <w:b/>
          <w:bCs/>
          <w:color w:val="000000"/>
          <w:sz w:val="21"/>
          <w:szCs w:val="21"/>
        </w:rPr>
        <w:t>Парадокс раннего ухода успешных менеджеров: социологическая и управленческая перспектива</w:t>
      </w:r>
    </w:p>
    <w:p w14:paraId="5C5E5972" w14:textId="77777777" w:rsidR="00600725" w:rsidRPr="00C0581D" w:rsidRDefault="00600725" w:rsidP="00600725">
      <w:pPr>
        <w:spacing w:after="0" w:line="240" w:lineRule="auto"/>
        <w:jc w:val="right"/>
        <w:rPr>
          <w:rFonts w:ascii="Times New Roman" w:eastAsia="Times New Roman" w:hAnsi="Times New Roman" w:cs="Times New Roman"/>
          <w:kern w:val="2"/>
          <w:sz w:val="32"/>
          <w:szCs w:val="32"/>
          <w:lang w:eastAsia="ru-RU"/>
        </w:rPr>
      </w:pPr>
    </w:p>
    <w:p w14:paraId="47C878CF" w14:textId="77777777" w:rsidR="00877DE5" w:rsidRPr="00877DE5" w:rsidRDefault="00877DE5" w:rsidP="00C0581D">
      <w:pPr>
        <w:keepNext/>
        <w:keepLines/>
        <w:spacing w:after="0" w:line="240" w:lineRule="auto"/>
        <w:ind w:firstLine="709"/>
        <w:jc w:val="center"/>
        <w:rPr>
          <w:rFonts w:ascii="Times New Roman" w:eastAsia="Calibri" w:hAnsi="Times New Roman" w:cs="Times New Roman"/>
          <w:b/>
          <w:bCs/>
          <w:color w:val="000000"/>
          <w:sz w:val="21"/>
          <w:szCs w:val="21"/>
        </w:rPr>
      </w:pPr>
    </w:p>
    <w:p w14:paraId="70CF7A08" w14:textId="77777777" w:rsidR="00877DE5" w:rsidRPr="00877DE5" w:rsidRDefault="00877DE5" w:rsidP="00C0581D">
      <w:pPr>
        <w:keepNext/>
        <w:keepLines/>
        <w:spacing w:after="0" w:line="240" w:lineRule="auto"/>
        <w:ind w:firstLine="709"/>
        <w:jc w:val="both"/>
        <w:rPr>
          <w:rFonts w:ascii="Times New Roman" w:eastAsia="Times New Roman" w:hAnsi="Times New Roman" w:cs="Times New Roman"/>
          <w:color w:val="000000"/>
          <w:sz w:val="21"/>
          <w:szCs w:val="21"/>
        </w:rPr>
      </w:pPr>
      <w:r w:rsidRPr="00877DE5">
        <w:rPr>
          <w:rFonts w:ascii="Times New Roman" w:eastAsia="Times New Roman" w:hAnsi="Times New Roman" w:cs="Times New Roman"/>
          <w:b/>
          <w:bCs/>
          <w:color w:val="000000"/>
          <w:sz w:val="21"/>
          <w:szCs w:val="21"/>
        </w:rPr>
        <w:t>Аннотация:</w:t>
      </w:r>
      <w:r w:rsidRPr="00877DE5">
        <w:rPr>
          <w:rFonts w:ascii="Times New Roman" w:eastAsia="Times New Roman" w:hAnsi="Times New Roman" w:cs="Times New Roman"/>
          <w:color w:val="000000"/>
          <w:sz w:val="21"/>
          <w:szCs w:val="21"/>
        </w:rPr>
        <w:t xml:space="preserve"> В данной научной статье проводится исследование парадокса раннего ухода успешных руководителей, несмотря на их высокую эффективность и значительный вклад в развитие бизнеса. Рассматриваются причины такого поведения, а также последствия для компании. Важно отметить, что в исследовании предлагается сместить акцент на менеджеров высшего звена при разработке различных концепций, для того чтобы впоследствии можно было предложить рекомендации, опирающиеся на глубокий анализ причин такого феномена.</w:t>
      </w:r>
    </w:p>
    <w:p w14:paraId="62898721" w14:textId="77777777" w:rsidR="00877DE5" w:rsidRPr="00877DE5" w:rsidRDefault="00877DE5" w:rsidP="00C0581D">
      <w:pPr>
        <w:keepNext/>
        <w:keepLines/>
        <w:spacing w:after="0" w:line="240" w:lineRule="auto"/>
        <w:ind w:firstLine="709"/>
        <w:jc w:val="both"/>
        <w:rPr>
          <w:rFonts w:ascii="Times New Roman" w:eastAsia="Calibri" w:hAnsi="Times New Roman" w:cs="Times New Roman"/>
          <w:color w:val="000000"/>
          <w:sz w:val="21"/>
          <w:szCs w:val="21"/>
        </w:rPr>
      </w:pPr>
      <w:r w:rsidRPr="00877DE5">
        <w:rPr>
          <w:rFonts w:ascii="Times New Roman" w:eastAsia="Times New Roman" w:hAnsi="Times New Roman" w:cs="Times New Roman"/>
          <w:b/>
          <w:bCs/>
          <w:color w:val="000000"/>
          <w:sz w:val="21"/>
          <w:szCs w:val="21"/>
        </w:rPr>
        <w:t>Ключевые слова:</w:t>
      </w:r>
      <w:r w:rsidRPr="00877DE5">
        <w:rPr>
          <w:rFonts w:ascii="Times New Roman" w:eastAsia="Times New Roman" w:hAnsi="Times New Roman" w:cs="Times New Roman"/>
          <w:color w:val="000000"/>
          <w:sz w:val="21"/>
          <w:szCs w:val="21"/>
        </w:rPr>
        <w:t xml:space="preserve"> парадокс, последствия для компании, причины ухода, </w:t>
      </w:r>
      <w:r w:rsidRPr="00877DE5">
        <w:rPr>
          <w:rFonts w:ascii="Times New Roman" w:eastAsia="Calibri" w:hAnsi="Times New Roman" w:cs="Times New Roman"/>
          <w:color w:val="000000"/>
          <w:sz w:val="21"/>
          <w:szCs w:val="21"/>
        </w:rPr>
        <w:t>успешный руководитель.</w:t>
      </w:r>
    </w:p>
    <w:p w14:paraId="5111F180" w14:textId="77777777" w:rsidR="00877DE5" w:rsidRPr="00877DE5" w:rsidRDefault="00877DE5" w:rsidP="00067100">
      <w:pPr>
        <w:keepNext/>
        <w:spacing w:after="0" w:line="240" w:lineRule="auto"/>
        <w:ind w:firstLine="709"/>
        <w:jc w:val="both"/>
        <w:rPr>
          <w:rFonts w:ascii="Times New Roman" w:eastAsia="Times New Roman" w:hAnsi="Times New Roman" w:cs="Times New Roman"/>
          <w:color w:val="000000"/>
          <w:sz w:val="21"/>
          <w:szCs w:val="21"/>
        </w:rPr>
      </w:pPr>
    </w:p>
    <w:p w14:paraId="386AA6A6"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b/>
          <w:bCs/>
          <w:i/>
          <w:iCs/>
          <w:color w:val="000000"/>
          <w:sz w:val="21"/>
          <w:szCs w:val="21"/>
          <w:lang w:val="en-US"/>
        </w:rPr>
        <w:t>Yuryeva M.M.,</w:t>
      </w:r>
    </w:p>
    <w:p w14:paraId="6E87FE67"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student, 3 courses</w:t>
      </w:r>
    </w:p>
    <w:p w14:paraId="723795EC"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Financial University under the Government of the Russian Federation</w:t>
      </w:r>
    </w:p>
    <w:p w14:paraId="597F7D23"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Krasnodar, Russia</w:t>
      </w:r>
    </w:p>
    <w:p w14:paraId="0AF0920B" w14:textId="77777777" w:rsidR="00877DE5" w:rsidRPr="00877DE5" w:rsidRDefault="00877DE5" w:rsidP="00067100">
      <w:pPr>
        <w:keepNext/>
        <w:spacing w:after="0" w:line="240" w:lineRule="auto"/>
        <w:ind w:firstLine="709"/>
        <w:jc w:val="right"/>
        <w:rPr>
          <w:rFonts w:ascii="Times New Roman" w:eastAsia="Calibri"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 xml:space="preserve">e-mail: </w:t>
      </w:r>
      <w:hyperlink r:id="rId359">
        <w:r w:rsidRPr="00877DE5">
          <w:rPr>
            <w:rFonts w:ascii="Times New Roman" w:eastAsia="Times New Roman" w:hAnsi="Times New Roman" w:cs="Times New Roman"/>
            <w:i/>
            <w:iCs/>
            <w:color w:val="0563C1"/>
            <w:sz w:val="21"/>
            <w:szCs w:val="21"/>
            <w:u w:val="single"/>
            <w:lang w:val="en-US"/>
          </w:rPr>
          <w:t>marijajureva@lenta.ru</w:t>
        </w:r>
      </w:hyperlink>
    </w:p>
    <w:p w14:paraId="4A1F59CE"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 xml:space="preserve"> </w:t>
      </w:r>
    </w:p>
    <w:p w14:paraId="2FC51B50"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b/>
          <w:bCs/>
          <w:i/>
          <w:iCs/>
          <w:color w:val="000000"/>
          <w:sz w:val="21"/>
          <w:szCs w:val="21"/>
          <w:lang w:val="en-US"/>
        </w:rPr>
        <w:t>Scientific Adviser:</w:t>
      </w:r>
    </w:p>
    <w:p w14:paraId="37B59FFC" w14:textId="77777777" w:rsidR="00877DE5" w:rsidRPr="00877DE5" w:rsidRDefault="00877DE5" w:rsidP="00067100">
      <w:pPr>
        <w:keepNext/>
        <w:spacing w:after="0" w:line="240" w:lineRule="auto"/>
        <w:ind w:firstLine="709"/>
        <w:jc w:val="right"/>
        <w:rPr>
          <w:rFonts w:ascii="Times New Roman" w:eastAsia="Times New Roman" w:hAnsi="Times New Roman" w:cs="Times New Roman"/>
          <w:b/>
          <w:bCs/>
          <w:i/>
          <w:iCs/>
          <w:color w:val="000000"/>
          <w:sz w:val="21"/>
          <w:szCs w:val="21"/>
          <w:lang w:val="en-US"/>
        </w:rPr>
      </w:pPr>
      <w:r w:rsidRPr="00877DE5">
        <w:rPr>
          <w:rFonts w:ascii="Times New Roman" w:eastAsia="Times New Roman" w:hAnsi="Times New Roman" w:cs="Times New Roman"/>
          <w:b/>
          <w:bCs/>
          <w:i/>
          <w:iCs/>
          <w:color w:val="000000"/>
          <w:sz w:val="21"/>
          <w:szCs w:val="21"/>
          <w:lang w:val="en-US"/>
        </w:rPr>
        <w:t>Mazunina M.V.,</w:t>
      </w:r>
    </w:p>
    <w:p w14:paraId="4DC74ACE"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Candidate of Economic Sciences, Docent</w:t>
      </w:r>
    </w:p>
    <w:p w14:paraId="718DACE1"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Financial University under the Government of the Russian Federation</w:t>
      </w:r>
    </w:p>
    <w:p w14:paraId="632E3117" w14:textId="77777777" w:rsidR="00877DE5" w:rsidRPr="00877DE5" w:rsidRDefault="00877DE5" w:rsidP="00067100">
      <w:pPr>
        <w:keepNext/>
        <w:spacing w:after="0" w:line="240" w:lineRule="auto"/>
        <w:ind w:firstLine="709"/>
        <w:jc w:val="right"/>
        <w:rPr>
          <w:rFonts w:ascii="Times New Roman" w:eastAsia="Times New Roman" w:hAnsi="Times New Roman" w:cs="Times New Roman"/>
          <w:color w:val="000000"/>
          <w:sz w:val="21"/>
          <w:szCs w:val="21"/>
          <w:lang w:val="en-US"/>
        </w:rPr>
      </w:pPr>
      <w:r w:rsidRPr="00877DE5">
        <w:rPr>
          <w:rFonts w:ascii="Times New Roman" w:eastAsia="Times New Roman" w:hAnsi="Times New Roman" w:cs="Times New Roman"/>
          <w:i/>
          <w:iCs/>
          <w:color w:val="000000"/>
          <w:sz w:val="21"/>
          <w:szCs w:val="21"/>
          <w:lang w:val="en-US"/>
        </w:rPr>
        <w:t>Krasnodar, Russia</w:t>
      </w:r>
    </w:p>
    <w:p w14:paraId="7E1E3B35" w14:textId="77777777" w:rsidR="00877DE5" w:rsidRPr="00877DE5" w:rsidRDefault="00877DE5" w:rsidP="00067100">
      <w:pPr>
        <w:keepNext/>
        <w:tabs>
          <w:tab w:val="left" w:pos="851"/>
          <w:tab w:val="left" w:pos="4320"/>
        </w:tabs>
        <w:spacing w:after="0" w:line="240" w:lineRule="auto"/>
        <w:ind w:firstLine="709"/>
        <w:jc w:val="right"/>
        <w:rPr>
          <w:rFonts w:ascii="Times New Roman" w:eastAsia="Calibri" w:hAnsi="Times New Roman" w:cs="Times New Roman"/>
          <w:i/>
          <w:iCs/>
          <w:spacing w:val="-6"/>
          <w:sz w:val="20"/>
          <w:szCs w:val="20"/>
          <w:lang w:val="en-US"/>
        </w:rPr>
      </w:pPr>
      <w:r w:rsidRPr="00877DE5">
        <w:rPr>
          <w:rFonts w:ascii="Times New Roman" w:eastAsia="Times New Roman" w:hAnsi="Times New Roman" w:cs="Times New Roman"/>
          <w:i/>
          <w:iCs/>
          <w:color w:val="000000"/>
          <w:sz w:val="21"/>
          <w:szCs w:val="21"/>
          <w:lang w:val="en-US"/>
        </w:rPr>
        <w:t>e-mail:</w:t>
      </w:r>
      <w:r w:rsidRPr="00877DE5">
        <w:rPr>
          <w:rFonts w:ascii="Times New Roman" w:eastAsia="Calibri" w:hAnsi="Times New Roman" w:cs="Times New Roman"/>
          <w:spacing w:val="-6"/>
          <w:lang w:val="en-US"/>
        </w:rPr>
        <w:t xml:space="preserve"> </w:t>
      </w:r>
      <w:hyperlink r:id="rId360" w:history="1">
        <w:r w:rsidRPr="00877DE5">
          <w:rPr>
            <w:rFonts w:ascii="Times New Roman" w:eastAsia="Calibri" w:hAnsi="Times New Roman" w:cs="Times New Roman"/>
            <w:color w:val="0563C1"/>
            <w:sz w:val="21"/>
            <w:szCs w:val="21"/>
            <w:u w:val="single"/>
            <w:lang w:val="en-US"/>
          </w:rPr>
          <w:t>MVMazunina@fa.ru</w:t>
        </w:r>
      </w:hyperlink>
    </w:p>
    <w:p w14:paraId="68D26A1F" w14:textId="77777777" w:rsidR="00877DE5" w:rsidRPr="00877DE5" w:rsidRDefault="00877DE5" w:rsidP="00067100">
      <w:pPr>
        <w:keepNext/>
        <w:spacing w:after="0" w:line="240" w:lineRule="auto"/>
        <w:ind w:firstLine="709"/>
        <w:jc w:val="center"/>
        <w:rPr>
          <w:rFonts w:ascii="Times New Roman" w:eastAsia="Times New Roman" w:hAnsi="Times New Roman" w:cs="Times New Roman"/>
          <w:b/>
          <w:bCs/>
          <w:sz w:val="21"/>
          <w:szCs w:val="21"/>
          <w:lang w:val="en-US"/>
        </w:rPr>
      </w:pPr>
    </w:p>
    <w:p w14:paraId="6B3E097E" w14:textId="77777777" w:rsidR="00877DE5" w:rsidRPr="00877DE5" w:rsidRDefault="00877DE5" w:rsidP="00067100">
      <w:pPr>
        <w:keepNext/>
        <w:spacing w:after="0" w:line="240" w:lineRule="auto"/>
        <w:ind w:firstLine="709"/>
        <w:jc w:val="center"/>
        <w:rPr>
          <w:rFonts w:ascii="Times New Roman" w:eastAsia="Times New Roman" w:hAnsi="Times New Roman" w:cs="Times New Roman"/>
          <w:b/>
          <w:bCs/>
          <w:sz w:val="21"/>
          <w:szCs w:val="21"/>
          <w:lang w:val="en-US"/>
        </w:rPr>
      </w:pPr>
      <w:r w:rsidRPr="00877DE5">
        <w:rPr>
          <w:rFonts w:ascii="Times New Roman" w:eastAsia="Times New Roman" w:hAnsi="Times New Roman" w:cs="Times New Roman"/>
          <w:b/>
          <w:bCs/>
          <w:sz w:val="21"/>
          <w:szCs w:val="21"/>
          <w:lang w:val="en-US"/>
        </w:rPr>
        <w:t>The paradox of early departure of successful managers: a sociological and managerial perspective</w:t>
      </w:r>
    </w:p>
    <w:p w14:paraId="45FF05A2" w14:textId="77777777" w:rsidR="00877DE5" w:rsidRPr="00877DE5" w:rsidRDefault="00877DE5" w:rsidP="00067100">
      <w:pPr>
        <w:keepNext/>
        <w:spacing w:after="0" w:line="240" w:lineRule="auto"/>
        <w:ind w:firstLine="709"/>
        <w:jc w:val="center"/>
        <w:rPr>
          <w:rFonts w:ascii="Times New Roman" w:eastAsia="Times New Roman" w:hAnsi="Times New Roman" w:cs="Times New Roman"/>
          <w:b/>
          <w:bCs/>
          <w:sz w:val="21"/>
          <w:szCs w:val="21"/>
          <w:lang w:val="en-US"/>
        </w:rPr>
      </w:pPr>
    </w:p>
    <w:p w14:paraId="6387F031" w14:textId="77777777" w:rsidR="00877DE5" w:rsidRPr="00877DE5" w:rsidRDefault="00877DE5" w:rsidP="00067100">
      <w:pPr>
        <w:keepNext/>
        <w:spacing w:after="0" w:line="240" w:lineRule="auto"/>
        <w:ind w:firstLine="709"/>
        <w:jc w:val="both"/>
        <w:rPr>
          <w:rFonts w:ascii="Times New Roman" w:eastAsia="Times New Roman" w:hAnsi="Times New Roman" w:cs="Times New Roman"/>
          <w:b/>
          <w:bCs/>
          <w:color w:val="000000"/>
          <w:sz w:val="21"/>
          <w:szCs w:val="21"/>
          <w:lang w:val="en-US"/>
        </w:rPr>
      </w:pPr>
      <w:r w:rsidRPr="00877DE5">
        <w:rPr>
          <w:rFonts w:ascii="Times New Roman" w:eastAsia="Times New Roman" w:hAnsi="Times New Roman" w:cs="Times New Roman"/>
          <w:b/>
          <w:bCs/>
          <w:color w:val="000000"/>
          <w:sz w:val="21"/>
          <w:szCs w:val="21"/>
          <w:lang w:val="en-US"/>
        </w:rPr>
        <w:t xml:space="preserve">Abstract: </w:t>
      </w:r>
      <w:r w:rsidRPr="00877DE5">
        <w:rPr>
          <w:rFonts w:ascii="Times New Roman" w:eastAsia="Times New Roman" w:hAnsi="Times New Roman" w:cs="Times New Roman"/>
          <w:color w:val="000000"/>
          <w:sz w:val="21"/>
          <w:szCs w:val="21"/>
          <w:lang w:val="en-US"/>
        </w:rPr>
        <w:t>In this article the paradox of early departure of successful managers despite their high efficiency and significant contribution to business development is investigated. The reasons for such behaviour are examined, as well as the consequences for the company. It is important to note that the study proposes to shift the focus to senior managers when developing different concepts, so that recommendations can be based on an in-depth analysis of the causes of this phenomenon.</w:t>
      </w:r>
    </w:p>
    <w:p w14:paraId="7116678E" w14:textId="77777777" w:rsidR="00877DE5" w:rsidRPr="00877DE5" w:rsidRDefault="00877DE5" w:rsidP="00067100">
      <w:pPr>
        <w:keepNext/>
        <w:spacing w:after="0" w:line="240" w:lineRule="auto"/>
        <w:ind w:firstLine="709"/>
        <w:jc w:val="both"/>
        <w:rPr>
          <w:rFonts w:ascii="Times New Roman" w:eastAsia="Calibri" w:hAnsi="Times New Roman" w:cs="Times New Roman"/>
          <w:color w:val="000000"/>
          <w:sz w:val="21"/>
          <w:szCs w:val="21"/>
          <w:lang w:val="en-US"/>
        </w:rPr>
      </w:pPr>
      <w:r w:rsidRPr="00877DE5">
        <w:rPr>
          <w:rFonts w:ascii="Times New Roman" w:eastAsia="Times New Roman" w:hAnsi="Times New Roman" w:cs="Times New Roman"/>
          <w:b/>
          <w:bCs/>
          <w:color w:val="000000"/>
          <w:sz w:val="21"/>
          <w:szCs w:val="21"/>
          <w:lang w:val="en-US"/>
        </w:rPr>
        <w:t>Keywords:</w:t>
      </w:r>
      <w:r w:rsidRPr="00877DE5">
        <w:rPr>
          <w:rFonts w:ascii="Times New Roman" w:eastAsia="Times New Roman" w:hAnsi="Times New Roman" w:cs="Times New Roman"/>
          <w:color w:val="000000"/>
          <w:sz w:val="21"/>
          <w:szCs w:val="21"/>
          <w:lang w:val="en-US"/>
        </w:rPr>
        <w:t xml:space="preserve"> paradox, consequences for the company, reasons for leaving, successful manager.</w:t>
      </w:r>
    </w:p>
    <w:p w14:paraId="038FB80A" w14:textId="77777777" w:rsidR="00877DE5" w:rsidRPr="00877DE5" w:rsidRDefault="00877DE5" w:rsidP="00067100">
      <w:pPr>
        <w:keepNext/>
        <w:spacing w:after="0" w:line="240" w:lineRule="auto"/>
        <w:ind w:firstLine="709"/>
        <w:jc w:val="both"/>
        <w:rPr>
          <w:rFonts w:ascii="Times New Roman" w:eastAsia="Times New Roman" w:hAnsi="Times New Roman" w:cs="Times New Roman"/>
          <w:color w:val="000000"/>
          <w:sz w:val="21"/>
          <w:szCs w:val="21"/>
          <w:lang w:val="en-US"/>
        </w:rPr>
      </w:pPr>
    </w:p>
    <w:p w14:paraId="3B93F814"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Ни для кого не секрет, что управление персоналом играет основополагающую роль в достижении успеха компанией. При рассмотрении определенных проблем и разработках различных концепций в данной сфере чаще всего акцент смещается на рядовых сотрудников, их квалификацию, обучение, вовлеченность и мотивацию, т.е. руководителей расценивают скорее как исполнителей определённых функций и инструмент для повышения эффективности бизнес-процессов, а не как самостоятельные субъекты с уникальными потребностями и проблемами. Менеджеры высшего и среднего звена осуществляют управление всей компанией, отвечая за выполнение стратегических планов и неся ответственность за благополучие фирмы. Исходя из этого, можно сделать вывод о том, что любые сложности, возникающие перед руководством, неизбежно отразятся на работе остальных сотрудников и организации в целом. </w:t>
      </w:r>
    </w:p>
    <w:p w14:paraId="36A0E3B2"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Можно предположить, что многие из нас хотят занять руководящую должность, не задумываясь над проблемами, с которыми ежедневного необходимо сталкиваться лидерам. В последнее время наблюдается устойчивый тренд, связанный с парадоксальным явлением — многие успешные менеджеры неожиданно принимают </w:t>
      </w:r>
      <w:r w:rsidRPr="00877DE5">
        <w:rPr>
          <w:rFonts w:ascii="Times New Roman" w:eastAsia="DengXian" w:hAnsi="Times New Roman" w:cs="Times New Roman"/>
          <w:sz w:val="32"/>
          <w:szCs w:val="32"/>
        </w:rPr>
        <w:lastRenderedPageBreak/>
        <w:t>решение покинуть компанию задолго до завершения своей активной трудовой деятельности. Несмотря на очевидные успехи, высокие должности и весомые профессиональные достижения, они выбирают путь смены работодателя, что вызывает недоумение и требует глубокого анализа с позиции нескольких наук.</w:t>
      </w:r>
      <w:r w:rsidRPr="00877DE5">
        <w:rPr>
          <w:rFonts w:ascii="Times New Roman" w:eastAsia="DengXian" w:hAnsi="Times New Roman" w:cs="Times New Roman"/>
        </w:rPr>
        <w:t xml:space="preserve"> </w:t>
      </w:r>
      <w:r w:rsidRPr="00877DE5">
        <w:rPr>
          <w:rFonts w:ascii="Times New Roman" w:eastAsia="DengXian" w:hAnsi="Times New Roman" w:cs="Times New Roman"/>
          <w:sz w:val="32"/>
          <w:szCs w:val="32"/>
        </w:rPr>
        <w:t>Данный вопрос становится особенно актуальным в современных условиях рынка труда, характеризующегося динамичностью и конкуренцией за таланты.</w:t>
      </w:r>
      <w:r w:rsidRPr="00877DE5">
        <w:rPr>
          <w:rFonts w:ascii="Times New Roman" w:eastAsia="DengXian" w:hAnsi="Times New Roman" w:cs="Times New Roman"/>
        </w:rPr>
        <w:t xml:space="preserve"> </w:t>
      </w:r>
      <w:r w:rsidRPr="00877DE5">
        <w:rPr>
          <w:rFonts w:ascii="Times New Roman" w:eastAsia="DengXian" w:hAnsi="Times New Roman" w:cs="Times New Roman"/>
          <w:sz w:val="32"/>
          <w:szCs w:val="32"/>
        </w:rPr>
        <w:t xml:space="preserve">Причины такого поведения требуют комплексного рассмотрения, т.к. традиционный подход к построению карьеры предполагает постепенное продвижение вверх с длительным пребыванием на позициях топ-менеджмента. </w:t>
      </w:r>
    </w:p>
    <w:p w14:paraId="554BE1A1"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В качестве подтверждения актуальности данной темы можно привести статистику текучести кадров среди генеральных директоров. Так, например, количество уволенных CEO (Chief Executive Officer) в США в 2024 году достигла рекордных значений за всю историю наблюдений, проводимой</w:t>
      </w:r>
      <w:r w:rsidRPr="00877DE5">
        <w:rPr>
          <w:rFonts w:ascii="Times New Roman" w:eastAsia="DengXian" w:hAnsi="Times New Roman" w:cs="Times New Roman"/>
          <w:sz w:val="32"/>
          <w:szCs w:val="32"/>
        </w:rPr>
        <w:tab/>
        <w:t xml:space="preserve">американской компанией Challenger, Gray &amp; Christmas (первая организация, занимающаяся </w:t>
      </w:r>
      <w:proofErr w:type="gramStart"/>
      <w:r w:rsidRPr="00877DE5">
        <w:rPr>
          <w:rFonts w:ascii="Times New Roman" w:eastAsia="DengXian" w:hAnsi="Times New Roman" w:cs="Times New Roman"/>
          <w:sz w:val="32"/>
          <w:szCs w:val="32"/>
        </w:rPr>
        <w:t>комплексом</w:t>
      </w:r>
      <w:proofErr w:type="gramEnd"/>
      <w:r w:rsidRPr="00877DE5">
        <w:rPr>
          <w:rFonts w:ascii="Times New Roman" w:eastAsia="DengXian" w:hAnsi="Times New Roman" w:cs="Times New Roman"/>
          <w:sz w:val="32"/>
          <w:szCs w:val="32"/>
        </w:rPr>
        <w:t xml:space="preserve"> мер по трудоустройству увольняемых руководителей), начиная с 2002 г. [3]. </w:t>
      </w:r>
    </w:p>
    <w:p w14:paraId="5B1BBFA5" w14:textId="77777777" w:rsidR="00877DE5" w:rsidRPr="00877DE5" w:rsidRDefault="00877DE5" w:rsidP="00067100">
      <w:pPr>
        <w:spacing w:after="0" w:line="240" w:lineRule="auto"/>
        <w:ind w:firstLine="709"/>
        <w:jc w:val="both"/>
        <w:rPr>
          <w:rFonts w:ascii="Times New Roman" w:eastAsia="DengXian" w:hAnsi="Times New Roman" w:cs="Times New Roman"/>
        </w:rPr>
      </w:pPr>
    </w:p>
    <w:p w14:paraId="5293F4D5" w14:textId="77777777" w:rsidR="00877DE5" w:rsidRPr="00877DE5" w:rsidRDefault="00877DE5" w:rsidP="00067100">
      <w:pPr>
        <w:spacing w:after="0" w:line="240" w:lineRule="auto"/>
        <w:ind w:firstLine="709"/>
        <w:jc w:val="center"/>
        <w:rPr>
          <w:rFonts w:ascii="Times New Roman" w:eastAsia="DengXian" w:hAnsi="Times New Roman" w:cs="Times New Roman"/>
          <w:sz w:val="32"/>
          <w:szCs w:val="32"/>
        </w:rPr>
      </w:pPr>
      <w:r w:rsidRPr="00877DE5">
        <w:rPr>
          <w:rFonts w:ascii="Times New Roman" w:eastAsia="Calibri" w:hAnsi="Times New Roman" w:cs="Times New Roman"/>
          <w:noProof/>
          <w:lang w:eastAsia="ru-RU"/>
        </w:rPr>
        <w:drawing>
          <wp:inline distT="0" distB="0" distL="0" distR="0" wp14:anchorId="19F93A45" wp14:editId="093D3772">
            <wp:extent cx="3200222" cy="1800000"/>
            <wp:effectExtent l="0" t="0" r="63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3200222" cy="1800000"/>
                    </a:xfrm>
                    <a:prstGeom prst="rect">
                      <a:avLst/>
                    </a:prstGeom>
                    <a:noFill/>
                    <a:ln>
                      <a:noFill/>
                    </a:ln>
                  </pic:spPr>
                </pic:pic>
              </a:graphicData>
            </a:graphic>
          </wp:inline>
        </w:drawing>
      </w:r>
    </w:p>
    <w:p w14:paraId="11246BB2" w14:textId="77777777" w:rsidR="00877DE5" w:rsidRPr="00877DE5" w:rsidRDefault="00877DE5" w:rsidP="00067100">
      <w:pPr>
        <w:spacing w:after="0" w:line="240" w:lineRule="auto"/>
        <w:ind w:firstLine="709"/>
        <w:jc w:val="center"/>
        <w:rPr>
          <w:rFonts w:ascii="Times New Roman" w:eastAsia="DengXian" w:hAnsi="Times New Roman" w:cs="Times New Roman"/>
          <w:sz w:val="28"/>
          <w:szCs w:val="28"/>
        </w:rPr>
      </w:pPr>
      <w:r w:rsidRPr="00877DE5">
        <w:rPr>
          <w:rFonts w:ascii="Times New Roman" w:eastAsia="DengXian" w:hAnsi="Times New Roman" w:cs="Times New Roman"/>
          <w:sz w:val="28"/>
          <w:szCs w:val="28"/>
        </w:rPr>
        <w:t xml:space="preserve">Рисунок 1 – Динамика ухода </w:t>
      </w:r>
      <w:r w:rsidRPr="00877DE5">
        <w:rPr>
          <w:rFonts w:ascii="Times New Roman" w:eastAsia="DengXian" w:hAnsi="Times New Roman" w:cs="Times New Roman"/>
          <w:sz w:val="28"/>
          <w:szCs w:val="28"/>
          <w:lang w:val="en-US"/>
        </w:rPr>
        <w:t>CEO</w:t>
      </w:r>
      <w:r w:rsidRPr="00877DE5">
        <w:rPr>
          <w:rFonts w:ascii="Times New Roman" w:eastAsia="DengXian" w:hAnsi="Times New Roman" w:cs="Times New Roman"/>
          <w:sz w:val="28"/>
          <w:szCs w:val="28"/>
        </w:rPr>
        <w:t xml:space="preserve"> в США в 2020-2025 г.г.</w:t>
      </w:r>
    </w:p>
    <w:p w14:paraId="3D4436C0"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В России можно также найти немало примеров ухода директоров, причины которых не связаны с ухудшением показателей фирмы. Среди них можно отметить, например, генерального директора </w:t>
      </w:r>
      <w:r w:rsidRPr="00877DE5">
        <w:rPr>
          <w:rFonts w:ascii="Times New Roman" w:eastAsia="DengXian" w:hAnsi="Times New Roman" w:cs="Times New Roman"/>
          <w:sz w:val="32"/>
          <w:szCs w:val="32"/>
          <w:lang w:val="en-US"/>
        </w:rPr>
        <w:t>TanukiFamily</w:t>
      </w:r>
      <w:r w:rsidRPr="00877DE5">
        <w:rPr>
          <w:rFonts w:ascii="Times New Roman" w:eastAsia="DengXian" w:hAnsi="Times New Roman" w:cs="Times New Roman"/>
          <w:sz w:val="32"/>
          <w:szCs w:val="32"/>
        </w:rPr>
        <w:t xml:space="preserve"> Аллы Бондаренко, которая покинула свой пост летом 2024 года после успешного завершения нескольких проектов; Сергей Беляков также в 2024 году ушел в отставку с поста управляющего директора </w:t>
      </w:r>
      <w:r w:rsidRPr="00877DE5">
        <w:rPr>
          <w:rFonts w:ascii="Times New Roman" w:eastAsia="DengXian" w:hAnsi="Times New Roman" w:cs="Times New Roman"/>
          <w:sz w:val="32"/>
          <w:szCs w:val="32"/>
          <w:lang w:val="en-US"/>
        </w:rPr>
        <w:t>Ozon</w:t>
      </w:r>
      <w:r w:rsidRPr="00877DE5">
        <w:rPr>
          <w:rFonts w:ascii="Times New Roman" w:eastAsia="DengXian" w:hAnsi="Times New Roman" w:cs="Times New Roman"/>
          <w:sz w:val="32"/>
          <w:szCs w:val="32"/>
        </w:rPr>
        <w:t xml:space="preserve"> [4].</w:t>
      </w:r>
    </w:p>
    <w:p w14:paraId="7CF5283B"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Также в качестве обоснования актуальности описанной проблемы можно упомянуть о дефиците квалифицированных кадров в России. “Кадровый голод” – одная из самых важных и сложных проблем рынка труда в нашей стране. Среди причин такого явления можно выделить: демографический спад прошлых лет; эмиграция </w:t>
      </w:r>
      <w:r w:rsidRPr="00877DE5">
        <w:rPr>
          <w:rFonts w:ascii="Times New Roman" w:eastAsia="DengXian" w:hAnsi="Times New Roman" w:cs="Times New Roman"/>
          <w:sz w:val="32"/>
          <w:szCs w:val="32"/>
        </w:rPr>
        <w:lastRenderedPageBreak/>
        <w:t>квалифицированных сотрудников; частичная мобилизация; цифровизация некоторых бизнес-процессов; несовпадение спроса и предложения на рынке труда. Именно поэтому нельзя игнорировать феномен ухода успешных и эффективных менеджеров.</w:t>
      </w:r>
    </w:p>
    <w:p w14:paraId="64156062"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Причины ухода руководителей раньше положенного срока очень разнообразны. Каждый случай индивидуален и зависит от множества факторов: характер человека; страна; отрасль, в которой осуществляет свою деятельность компания; организационная культура и др. Однако можно выделить основные, наиболее популярные причины ухода, выявленные с помощью обобщения результатов многих анкетирований топ-менеджеров. Среди них можно выделить [1]:</w:t>
      </w:r>
    </w:p>
    <w:p w14:paraId="231F80AC"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1. Усталость и выгорание.</w:t>
      </w:r>
    </w:p>
    <w:p w14:paraId="0A97FDA3"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Руководящие должности сопряжены с большими нагрузками, ответственностью и постоянным давлением. Каждодневный стресс, чрезмерные перегрузки и высокая интенсивность работы приводят к физическому и эмоциональному истощению. Если компания не проводит политику поддержания баланса между личной жизнью и работой, высока вероятность того, что руководитель решит оставить позицию раньше срока.</w:t>
      </w:r>
    </w:p>
    <w:p w14:paraId="03E9FDB5"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2. Несоответствие ожиданий и реальности.</w:t>
      </w:r>
    </w:p>
    <w:p w14:paraId="42B6B1AA"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Часто руководители сталкиваются с ситуациями, когда реальность значительно отличается от их первоначальных ожиданий. Например, трудности с командой, сопротивление изменениям, недостаток полномочий или несбыточные обещания руководства. Когда реальная ситуация оказывается сложнее, чем предполагалось изначально, разочарование может привести к решению покинуть должность.</w:t>
      </w:r>
    </w:p>
    <w:p w14:paraId="75CAA756"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3. Недостаточная профессиональная реализация.</w:t>
      </w:r>
    </w:p>
    <w:p w14:paraId="7A82939C"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Многие руководители стремятся реализовать себя профессионально, развивать карьеру и достигать значительных успехов. Если организация не обеспечивает возможности для карьерного роста, новых проектов или повышения квалификации, руководитель может почувствовать, что стоит на одном месте и затем последует принятие решения о поиске новой должности, где он сможет полностью проявить свои таланты и потенциал.</w:t>
      </w:r>
    </w:p>
    <w:p w14:paraId="7E65D429"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4. Конфликты с собственниками компаний.</w:t>
      </w:r>
    </w:p>
    <w:p w14:paraId="238918EA"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Непонимание и разногласия с высшим руководством являются одной из распространенных причин ухода руководителей. Неспособность согласовать видение стратегии, различающиеся </w:t>
      </w:r>
      <w:r w:rsidRPr="00877DE5">
        <w:rPr>
          <w:rFonts w:ascii="Times New Roman" w:eastAsia="DengXian" w:hAnsi="Times New Roman" w:cs="Times New Roman"/>
          <w:sz w:val="32"/>
          <w:szCs w:val="32"/>
        </w:rPr>
        <w:lastRenderedPageBreak/>
        <w:t>взгляды на приоритеты и стиль управления, недостаточное доверие и отсутствие взаимопонимания могут приводить к серьезным конфликтам, результатом которых нередко становится смена места работы.</w:t>
      </w:r>
    </w:p>
    <w:p w14:paraId="5D8D91C3"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5. Ограниченные полномочия и контроль.</w:t>
      </w:r>
    </w:p>
    <w:p w14:paraId="1B1DCDFE"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Иногда даже опытные руководители чувствуют себя ограниченными рамками установленных процедур и регламентов. Они ощущают нехватку свободы действий и невозможность самостоятельно принимать важные решения. Чувствуя ограничение своей автономии и свободу творчества, некоторые предпочитают уйти, считая, что в другой компании смогут проявлять инициативу и вносить больший вклад.</w:t>
      </w:r>
    </w:p>
    <w:p w14:paraId="61744F2E"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6. Низкая оплата труда и неудовлетворительные условия.</w:t>
      </w:r>
    </w:p>
    <w:p w14:paraId="460E839C"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Заработная плата, премии и другие финансовые стимулы играют значительную роль в мотивации любого работника, включая руководителей. Если вознаграждение ниже рыночной стоимости специалиста или компенсационный пакет недостаточен, руководитель может начать рассматривать предложение от конкурентов.</w:t>
      </w:r>
    </w:p>
    <w:p w14:paraId="35DBC0BA"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7. Отсутствие признания заслуг и благодарности.</w:t>
      </w:r>
    </w:p>
    <w:p w14:paraId="4A7D7D3B"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Один из важнейших моментов, который влияет на лояльность руководителей, — признание их вклада в общее дело. Отсутствие должного уважения, похвалы и признания заслуг со стороны коллег и начальства может снизить мотивацию и вызвать желание двигаться дальше.</w:t>
      </w:r>
    </w:p>
    <w:p w14:paraId="4B3A1C38"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8. Нежелательные изменения в команде или культуре компании.</w:t>
      </w:r>
    </w:p>
    <w:p w14:paraId="0F597DBE"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Изменения в составе команды, культура организации или политическая обстановка внутри компании могут серьезно повлиять на отношение руководителя к своей должности. Особенно болезненно переживаются случаи конфликта интересов, несовместимости стилей управления, несогласованности с новыми коллегами или расхождения во взглядах на ценности компании.</w:t>
      </w:r>
    </w:p>
    <w:p w14:paraId="77399CFD"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9. Внешние предложения и рынок вакансий.</w:t>
      </w:r>
    </w:p>
    <w:p w14:paraId="7848943C"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Конкуренты активно охотятся за талантливыми руководителями, предлагая интересные проекты, лучшие условия и большие зарплаты. Эти предложения создают сильное давление на действующих руководителей, заставляя задуматься о смене работы.</w:t>
      </w:r>
    </w:p>
    <w:p w14:paraId="136BCB98"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10. Собственная инициатива и личные обстоятельства.</w:t>
      </w:r>
    </w:p>
    <w:p w14:paraId="296E3B32"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Некоторые руководители решают покинуть компанию исключительно по своим причинам, например, желание попробовать </w:t>
      </w:r>
      <w:r w:rsidRPr="00877DE5">
        <w:rPr>
          <w:rFonts w:ascii="Times New Roman" w:eastAsia="DengXian" w:hAnsi="Times New Roman" w:cs="Times New Roman"/>
          <w:sz w:val="32"/>
          <w:szCs w:val="32"/>
        </w:rPr>
        <w:lastRenderedPageBreak/>
        <w:t>себя в новом бизнесе, заняться собственным проектом, решить семейные дела, пройти обучение за границей или переехать жить в другой город/страну.</w:t>
      </w:r>
    </w:p>
    <w:p w14:paraId="04E1B0C1"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На рисунке ниже представлены наиболее важные аспекты в работе для руководителей, и как в течение десятилетия менялся их рейтинг [5]. Данные факторы также служат ориентирами при выявлении причин ухода менеджеров.</w:t>
      </w:r>
    </w:p>
    <w:p w14:paraId="61468971" w14:textId="77777777" w:rsidR="00877DE5" w:rsidRPr="00877DE5" w:rsidRDefault="00877DE5" w:rsidP="00067100">
      <w:pPr>
        <w:spacing w:after="0" w:line="240" w:lineRule="auto"/>
        <w:ind w:firstLine="709"/>
        <w:jc w:val="both"/>
        <w:rPr>
          <w:rFonts w:ascii="Times New Roman" w:eastAsia="DengXian" w:hAnsi="Times New Roman" w:cs="Times New Roman"/>
        </w:rPr>
      </w:pPr>
    </w:p>
    <w:p w14:paraId="6A13B021" w14:textId="77777777" w:rsidR="00877DE5" w:rsidRPr="00877DE5" w:rsidRDefault="00877DE5" w:rsidP="00067100">
      <w:pPr>
        <w:spacing w:after="0" w:line="240" w:lineRule="auto"/>
        <w:ind w:firstLine="709"/>
        <w:jc w:val="center"/>
        <w:rPr>
          <w:rFonts w:ascii="Times New Roman" w:eastAsia="DengXian" w:hAnsi="Times New Roman" w:cs="Times New Roman"/>
          <w:sz w:val="32"/>
          <w:szCs w:val="32"/>
        </w:rPr>
      </w:pPr>
      <w:r w:rsidRPr="00877DE5">
        <w:rPr>
          <w:rFonts w:ascii="Times New Roman" w:eastAsia="Calibri" w:hAnsi="Times New Roman" w:cs="Times New Roman"/>
          <w:noProof/>
          <w:lang w:eastAsia="ru-RU"/>
        </w:rPr>
        <w:drawing>
          <wp:inline distT="0" distB="0" distL="0" distR="0" wp14:anchorId="0C84C3BE" wp14:editId="7D20FDE6">
            <wp:extent cx="4574999" cy="1800000"/>
            <wp:effectExtent l="0" t="0" r="0" b="0"/>
            <wp:docPr id="26" name="Рисунок 2" descr="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6.9"/>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4574999" cy="1800000"/>
                    </a:xfrm>
                    <a:prstGeom prst="rect">
                      <a:avLst/>
                    </a:prstGeom>
                    <a:noFill/>
                    <a:ln>
                      <a:noFill/>
                    </a:ln>
                  </pic:spPr>
                </pic:pic>
              </a:graphicData>
            </a:graphic>
          </wp:inline>
        </w:drawing>
      </w:r>
    </w:p>
    <w:p w14:paraId="1058DA67" w14:textId="77777777" w:rsidR="00877DE5" w:rsidRPr="00877DE5" w:rsidRDefault="00877DE5" w:rsidP="00067100">
      <w:pPr>
        <w:spacing w:after="0" w:line="240" w:lineRule="auto"/>
        <w:ind w:firstLine="709"/>
        <w:jc w:val="center"/>
        <w:rPr>
          <w:rFonts w:ascii="Times New Roman" w:eastAsia="DengXian" w:hAnsi="Times New Roman" w:cs="Times New Roman"/>
          <w:sz w:val="28"/>
          <w:szCs w:val="28"/>
        </w:rPr>
      </w:pPr>
      <w:r w:rsidRPr="00877DE5">
        <w:rPr>
          <w:rFonts w:ascii="Times New Roman" w:eastAsia="DengXian" w:hAnsi="Times New Roman" w:cs="Times New Roman"/>
          <w:sz w:val="28"/>
          <w:szCs w:val="28"/>
        </w:rPr>
        <w:t>Рисунок 2 – Рейтинг наиболее важных аспектов работы для сотрудников (2014-2023 г.г.)</w:t>
      </w:r>
    </w:p>
    <w:p w14:paraId="3BBF50EC"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Изучив основные причины ухода руководителей, необходимо проанализировать последствия для компании в связи со сложившимися обстоятельствами. Негативные последствия превалируют над позитивными. Среди отрицательных факторов находятся:</w:t>
      </w:r>
    </w:p>
    <w:p w14:paraId="35904DB8"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1. Нарушение преемственности.</w:t>
      </w:r>
    </w:p>
    <w:p w14:paraId="7C025977"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Генеральный директор несет основную ответственность за установление четких стратегий, разработку и внедрение инициатив, поддержание доверия и отношений с партнерами, инвесторами и клиентами. Его внезапный уход ведет к нарушению преемственности, потере накопленного опыта и утрате важных контактов и договоренностей.</w:t>
      </w:r>
    </w:p>
    <w:p w14:paraId="012F3155"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2. Временная дезориентация и нестабильность.</w:t>
      </w:r>
    </w:p>
    <w:p w14:paraId="0A842A2D"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Сотрудники могут испытывать беспокойство и неуверенность в будущем компании, что снижает их мотивацию и производительность. Период поиска и назначения нового гендиректора сопровождается временным снижением эффективности управления, потерей фокуса и замедлением темпов роста.</w:t>
      </w:r>
    </w:p>
    <w:p w14:paraId="0B52BED8"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3. Рост операционных расходов.</w:t>
      </w:r>
    </w:p>
    <w:p w14:paraId="00700FD2"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Замещение утраченного гендиректора связано с дополнительными затратами на рекрутмент, адаптацию и подготовку нового кандидата. Необходимо оплачивать услуги </w:t>
      </w:r>
      <w:r w:rsidRPr="00877DE5">
        <w:rPr>
          <w:rFonts w:ascii="Times New Roman" w:eastAsia="DengXian" w:hAnsi="Times New Roman" w:cs="Times New Roman"/>
          <w:sz w:val="32"/>
          <w:szCs w:val="32"/>
        </w:rPr>
        <w:lastRenderedPageBreak/>
        <w:t>специализированных агентств, проводить консультации и семинары для нового главы, вводить бонусы и компенсации.</w:t>
      </w:r>
    </w:p>
    <w:p w14:paraId="661B8E9E"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4. Опасность потери клиентов и партнеров.</w:t>
      </w:r>
    </w:p>
    <w:p w14:paraId="4A3B22BF"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Клиенты и партнеры могут пересмотреть свое сотрудничество с компанией, опасаясь изменений в политике и стратегии ведения бизнеса. Важно сохранить доверие и уверенность заинтересованных сторон в надежности и предсказуемости действий компании.</w:t>
      </w:r>
    </w:p>
    <w:p w14:paraId="59B0D0D4"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5. Потери доходов и уменьшение капитализации.</w:t>
      </w:r>
    </w:p>
    <w:p w14:paraId="6F482DE1"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Нестабильная ситуация после ухода генерального директора может оказывать негативное воздействие на финансовые показатели компании и рыночную стоимость акций. Инвесторы чаще всего оценивают подобные изменения как фактор повышенного риска, что приводит к падению стоимости акций и уменьшению инвестиционной привлекательности.</w:t>
      </w:r>
    </w:p>
    <w:p w14:paraId="3F14FAE9"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6. Риск кризиса управления.</w:t>
      </w:r>
    </w:p>
    <w:p w14:paraId="22EAA552"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Отсутствие подготовленных преемников может привести к назначению временного исполняющего обязанности или кандидатуре, не обладающей необходимыми знаниями и опытом. Такая замена увеличивает вероятность ошибок в принятии решений и усугубляет ситуацию.</w:t>
      </w:r>
    </w:p>
    <w:p w14:paraId="1ED50B1D"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Несмотря на то, что позитивные последствия весьма немногочисленны, их тоже необходимо перечислить:</w:t>
      </w:r>
    </w:p>
    <w:p w14:paraId="6E182695" w14:textId="77777777" w:rsidR="00877DE5" w:rsidRPr="00877DE5" w:rsidRDefault="00877DE5" w:rsidP="00AD58CD">
      <w:pPr>
        <w:numPr>
          <w:ilvl w:val="0"/>
          <w:numId w:val="57"/>
        </w:numPr>
        <w:spacing w:after="0" w:line="240" w:lineRule="auto"/>
        <w:ind w:left="0" w:firstLine="709"/>
        <w:contextualSpacing/>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Свежий взгляд и обновление стратегии.</w:t>
      </w:r>
    </w:p>
    <w:p w14:paraId="2F8D142C" w14:textId="77777777" w:rsidR="00877DE5" w:rsidRPr="00877DE5" w:rsidRDefault="00877DE5" w:rsidP="00AD58CD">
      <w:pPr>
        <w:numPr>
          <w:ilvl w:val="0"/>
          <w:numId w:val="57"/>
        </w:numPr>
        <w:spacing w:after="0" w:line="240" w:lineRule="auto"/>
        <w:ind w:left="0" w:firstLine="709"/>
        <w:contextualSpacing/>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Повышение прозрачности и улучшение корпоративного управления.</w:t>
      </w:r>
    </w:p>
    <w:p w14:paraId="524BA124" w14:textId="77777777" w:rsidR="00877DE5" w:rsidRPr="00877DE5" w:rsidRDefault="00877DE5" w:rsidP="00AD58CD">
      <w:pPr>
        <w:numPr>
          <w:ilvl w:val="0"/>
          <w:numId w:val="57"/>
        </w:numPr>
        <w:spacing w:after="0" w:line="240" w:lineRule="auto"/>
        <w:ind w:left="0" w:firstLine="709"/>
        <w:contextualSpacing/>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Расширение возможности для талантливых кадров.</w:t>
      </w:r>
    </w:p>
    <w:p w14:paraId="3A71D505" w14:textId="77777777" w:rsidR="00877DE5" w:rsidRPr="00877DE5" w:rsidRDefault="00877DE5" w:rsidP="00067100">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 xml:space="preserve">Таким образом, возникает вопрос, что необходимо делать руководителям, чтобы действительно верно и вовремя выявить причины желания покинуть свой пост. Необходимо понять, это рациональное и истинное желание, или же преобладание эмоций в определённый момент. Для этого следует изучать данную проблему не только с помощью анкетирований, а проводить более глубокий анализ, используя большие данные и учитывая национальные особенности. На сегодняшний момент много литературы по поводу того, как обращаться руководителю с подчинёнными, которые в большинстве своем представляют собой описание собственного опыта того или иного предпринимателя, но нет комплексного исследования на уровне профессиональных психологов, статистиков и управленцев, как </w:t>
      </w:r>
      <w:r w:rsidRPr="00877DE5">
        <w:rPr>
          <w:rFonts w:ascii="Times New Roman" w:eastAsia="DengXian" w:hAnsi="Times New Roman" w:cs="Times New Roman"/>
          <w:sz w:val="32"/>
          <w:szCs w:val="32"/>
        </w:rPr>
        <w:lastRenderedPageBreak/>
        <w:t xml:space="preserve">правильно принять взвешенное решение о смене работы руководителю. </w:t>
      </w:r>
    </w:p>
    <w:p w14:paraId="3C05ECB8" w14:textId="77777777" w:rsidR="00877DE5" w:rsidRPr="00877DE5" w:rsidRDefault="00877DE5" w:rsidP="009D26CC">
      <w:pPr>
        <w:spacing w:after="0" w:line="240" w:lineRule="auto"/>
        <w:ind w:firstLine="709"/>
        <w:jc w:val="both"/>
        <w:rPr>
          <w:rFonts w:ascii="Times New Roman" w:eastAsia="DengXian" w:hAnsi="Times New Roman" w:cs="Times New Roman"/>
          <w:sz w:val="32"/>
          <w:szCs w:val="32"/>
        </w:rPr>
      </w:pPr>
      <w:r w:rsidRPr="00877DE5">
        <w:rPr>
          <w:rFonts w:ascii="Times New Roman" w:eastAsia="DengXian" w:hAnsi="Times New Roman" w:cs="Times New Roman"/>
          <w:sz w:val="32"/>
          <w:szCs w:val="32"/>
        </w:rPr>
        <w:t>Если с внешними причинами, из-за которых возникает желание покинуть пост руководителя, всё достаточно понятно, их легко устранить, и они в большей степени связаны с рациональной частью нашего мышления, то внутренние причины до конца не изучены. Все вышеизложенные причины ухода эффективных менеджеров на самом деле являются скорее поводами, нежели корнем возникающего парадокса. Именно поэтому следует предложить детализированный подход к выявлению причин данного эффекта. Такой подход будет представлять</w:t>
      </w:r>
      <w:r w:rsidRPr="00877DE5">
        <w:rPr>
          <w:rFonts w:ascii="Times New Roman" w:eastAsia="Calibri" w:hAnsi="Times New Roman" w:cs="Times New Roman"/>
          <w:sz w:val="32"/>
          <w:szCs w:val="32"/>
        </w:rPr>
        <w:t xml:space="preserve"> собой многоуровневую процедуру комплексного научного исследования, которое реализуется силами междисциплинарной группы ученых и специалистов-практиков. Предлагаемое нововведениие охватывает широкий спектр методов и процедур, интегрируя различные дисциплины и участников.</w:t>
      </w:r>
    </w:p>
    <w:p w14:paraId="4A5728C2" w14:textId="77777777" w:rsidR="00877DE5" w:rsidRPr="00877DE5" w:rsidRDefault="00877DE5" w:rsidP="00AD58CD">
      <w:pPr>
        <w:numPr>
          <w:ilvl w:val="0"/>
          <w:numId w:val="61"/>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Планирование и постановка задачи исследования.</w:t>
      </w:r>
    </w:p>
    <w:p w14:paraId="0CC3731F" w14:textId="77777777" w:rsidR="00877DE5" w:rsidRPr="00877DE5" w:rsidRDefault="00877DE5" w:rsidP="00AD58CD">
      <w:pPr>
        <w:numPr>
          <w:ilvl w:val="0"/>
          <w:numId w:val="59"/>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Формирование рабочей группы из представителей различных дисциплин: психология, экономика, менеджмент, статистика, право, социология.</w:t>
      </w:r>
    </w:p>
    <w:p w14:paraId="41241B2B" w14:textId="77777777" w:rsidR="00877DE5" w:rsidRPr="00877DE5" w:rsidRDefault="00877DE5" w:rsidP="00AD58CD">
      <w:pPr>
        <w:numPr>
          <w:ilvl w:val="0"/>
          <w:numId w:val="59"/>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Согласование общей концепции исследования, установление рамок и границ проекта.</w:t>
      </w:r>
    </w:p>
    <w:p w14:paraId="21330F39" w14:textId="77777777" w:rsidR="00877DE5" w:rsidRPr="00877DE5" w:rsidRDefault="00877DE5" w:rsidP="00AD58CD">
      <w:pPr>
        <w:numPr>
          <w:ilvl w:val="0"/>
          <w:numId w:val="59"/>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Утверждение бюджета и сроков реализации.</w:t>
      </w:r>
    </w:p>
    <w:p w14:paraId="3EDBC5F0" w14:textId="77777777" w:rsidR="00877DE5" w:rsidRPr="00877DE5" w:rsidRDefault="00877DE5" w:rsidP="00AD58CD">
      <w:pPr>
        <w:numPr>
          <w:ilvl w:val="0"/>
          <w:numId w:val="61"/>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Формирование базы данных.</w:t>
      </w:r>
    </w:p>
    <w:p w14:paraId="104565ED" w14:textId="77777777" w:rsidR="00877DE5" w:rsidRPr="00877DE5" w:rsidRDefault="00877DE5" w:rsidP="009D26CC">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Ключевой задачей данного этапа является создание выборки управленцев из широкого круга компаний. Эта работа включает следующие шаги:</w:t>
      </w:r>
    </w:p>
    <w:p w14:paraId="5163F17D" w14:textId="77777777" w:rsidR="00877DE5" w:rsidRPr="00877DE5" w:rsidRDefault="00877DE5" w:rsidP="00AD58CD">
      <w:pPr>
        <w:numPr>
          <w:ilvl w:val="0"/>
          <w:numId w:val="60"/>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Выборка компаний: привлекают предприятия разного размера и сектора экономики (производство, финансы, торговля, IT, госуправление и т.п.). Компания должна обладать историей существования минимум 5 лет и функционировать стабильно.</w:t>
      </w:r>
    </w:p>
    <w:p w14:paraId="023431B0" w14:textId="77777777" w:rsidR="00877DE5" w:rsidRPr="00877DE5" w:rsidRDefault="00877DE5" w:rsidP="00AD58CD">
      <w:pPr>
        <w:numPr>
          <w:ilvl w:val="0"/>
          <w:numId w:val="60"/>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Отбор респондентов: отбор осуществляется среди лиц, имеющих официальный статус управленца и работающих в компании не менее трех лет.</w:t>
      </w:r>
    </w:p>
    <w:p w14:paraId="2762E848" w14:textId="77777777" w:rsidR="00877DE5" w:rsidRPr="00877DE5" w:rsidRDefault="00877DE5" w:rsidP="00AD58CD">
      <w:pPr>
        <w:numPr>
          <w:ilvl w:val="0"/>
          <w:numId w:val="60"/>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Категория определения "эффективных": выбираются исключительно сотрудники, соответствующие высоким показателям продуктивности, финансовой отдачи и клиентской удовлетворенности.</w:t>
      </w:r>
    </w:p>
    <w:p w14:paraId="1875E69B" w14:textId="77777777" w:rsidR="00877DE5" w:rsidRPr="00877DE5" w:rsidRDefault="00877DE5" w:rsidP="00AD58CD">
      <w:pPr>
        <w:numPr>
          <w:ilvl w:val="0"/>
          <w:numId w:val="61"/>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Исследовательская деятельность.</w:t>
      </w:r>
    </w:p>
    <w:p w14:paraId="7E1C879F" w14:textId="77777777" w:rsidR="00877DE5" w:rsidRPr="00877DE5" w:rsidRDefault="00877DE5" w:rsidP="009D26CC">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Необходимо применять различные научные методы и процедуры, включающие качественный и количественный анализ.</w:t>
      </w:r>
    </w:p>
    <w:p w14:paraId="278BCB42" w14:textId="77777777" w:rsidR="00877DE5" w:rsidRPr="00877DE5" w:rsidRDefault="00877DE5" w:rsidP="00AD58CD">
      <w:pPr>
        <w:numPr>
          <w:ilvl w:val="0"/>
          <w:numId w:val="61"/>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lastRenderedPageBreak/>
        <w:t>Процесс анализа и формулировка рекомендаций на основе проведенного анализа.</w:t>
      </w:r>
    </w:p>
    <w:p w14:paraId="39017D6A" w14:textId="77777777" w:rsidR="00877DE5" w:rsidRPr="00877DE5" w:rsidRDefault="00877DE5" w:rsidP="009D26CC">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Полученные данные должны быть комплексно обработаны, сделаны выводы и разработаны рекомендованные меры по удержанию эффективных управленцев.</w:t>
      </w:r>
    </w:p>
    <w:p w14:paraId="09352E91" w14:textId="77777777" w:rsidR="00877DE5" w:rsidRPr="00877DE5" w:rsidRDefault="00877DE5" w:rsidP="00AD58CD">
      <w:pPr>
        <w:numPr>
          <w:ilvl w:val="0"/>
          <w:numId w:val="61"/>
        </w:numPr>
        <w:spacing w:after="0" w:line="240" w:lineRule="auto"/>
        <w:ind w:left="0" w:firstLine="709"/>
        <w:contextualSpacing/>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Экспертиза и внедрение.</w:t>
      </w:r>
    </w:p>
    <w:p w14:paraId="5848291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На завершающем этапе необходимо провести обсуждение результатов исследования, в том числе с помощью привлечения независимых экспертов.</w:t>
      </w:r>
    </w:p>
    <w:p w14:paraId="635D754D"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Такой многоступенчатый подход позволяет учесть максимальное число факторов, влияющих на решение об увольнении, и предложить научно обоснованные рекомендации, способные реально изменить ситуацию в лучшую сторону.</w:t>
      </w:r>
    </w:p>
    <w:p w14:paraId="136A0748" w14:textId="77777777" w:rsidR="00877DE5" w:rsidRPr="00877DE5" w:rsidRDefault="00877DE5" w:rsidP="00067100">
      <w:pPr>
        <w:spacing w:after="0" w:line="240" w:lineRule="auto"/>
        <w:ind w:firstLine="709"/>
        <w:jc w:val="both"/>
        <w:rPr>
          <w:rFonts w:ascii="Times New Roman" w:eastAsia="Calibri" w:hAnsi="Times New Roman" w:cs="Times New Roman"/>
          <w:sz w:val="32"/>
          <w:szCs w:val="32"/>
        </w:rPr>
      </w:pPr>
      <w:r w:rsidRPr="00877DE5">
        <w:rPr>
          <w:rFonts w:ascii="Times New Roman" w:eastAsia="Calibri" w:hAnsi="Times New Roman" w:cs="Times New Roman"/>
          <w:sz w:val="32"/>
          <w:szCs w:val="32"/>
        </w:rPr>
        <w:t>В заключение хотелось бы еще раз упомянуть о том, что успешные менеджеры нередко покидают организацию преждевременно, несмотря на свою ценность и высокие достижения. Причины представляют собой огромное разнообразие, которые на самом деле до сих пор никогда не поддавались глубокому и системному анализу. Благодаря более научному подходу к этому феномену при помощи различных наук, впоследствии удастся создать определенные рекомендации по предотвращению подобного явления.</w:t>
      </w:r>
    </w:p>
    <w:p w14:paraId="65A615BE" w14:textId="77777777" w:rsidR="00877DE5" w:rsidRPr="00877DE5" w:rsidRDefault="00877DE5" w:rsidP="00067100">
      <w:pPr>
        <w:spacing w:after="0" w:line="240" w:lineRule="auto"/>
        <w:ind w:firstLine="709"/>
        <w:jc w:val="both"/>
        <w:rPr>
          <w:rFonts w:ascii="Times New Roman" w:eastAsia="Calibri" w:hAnsi="Times New Roman" w:cs="Times New Roman"/>
        </w:rPr>
      </w:pPr>
    </w:p>
    <w:p w14:paraId="2F9D09E5" w14:textId="77777777" w:rsidR="00877DE5" w:rsidRPr="00877DE5" w:rsidRDefault="00877DE5" w:rsidP="00067100">
      <w:pPr>
        <w:shd w:val="clear" w:color="auto" w:fill="FFFFFF"/>
        <w:suppressAutoHyphens/>
        <w:spacing w:after="0" w:line="240" w:lineRule="auto"/>
        <w:ind w:firstLine="709"/>
        <w:jc w:val="center"/>
        <w:rPr>
          <w:rFonts w:ascii="Times New Roman" w:eastAsia="Times New Roman" w:hAnsi="Times New Roman" w:cs="Times New Roman"/>
          <w:b/>
          <w:color w:val="000000"/>
          <w:sz w:val="21"/>
          <w:szCs w:val="21"/>
          <w:lang w:val="x-none" w:eastAsia="ar-SA"/>
        </w:rPr>
      </w:pPr>
      <w:r w:rsidRPr="00877DE5">
        <w:rPr>
          <w:rFonts w:ascii="Times New Roman" w:eastAsia="Times New Roman" w:hAnsi="Times New Roman" w:cs="Times New Roman"/>
          <w:b/>
          <w:color w:val="000000"/>
          <w:sz w:val="21"/>
          <w:szCs w:val="21"/>
          <w:lang w:eastAsia="ar-SA"/>
        </w:rPr>
        <w:t>Литература:</w:t>
      </w:r>
    </w:p>
    <w:p w14:paraId="369150F0" w14:textId="77777777" w:rsidR="00877DE5" w:rsidRPr="00877DE5" w:rsidRDefault="00877DE5" w:rsidP="00AD58CD">
      <w:pPr>
        <w:numPr>
          <w:ilvl w:val="0"/>
          <w:numId w:val="58"/>
        </w:numPr>
        <w:spacing w:after="0" w:line="240" w:lineRule="auto"/>
        <w:ind w:left="0" w:firstLine="0"/>
        <w:contextualSpacing/>
        <w:jc w:val="both"/>
        <w:rPr>
          <w:rFonts w:ascii="Times New Roman" w:eastAsia="DengXian" w:hAnsi="Times New Roman" w:cs="Times New Roman"/>
          <w:sz w:val="21"/>
          <w:szCs w:val="21"/>
        </w:rPr>
      </w:pPr>
      <w:r w:rsidRPr="00877DE5">
        <w:rPr>
          <w:rFonts w:ascii="Times New Roman" w:eastAsia="DengXian" w:hAnsi="Times New Roman" w:cs="Times New Roman"/>
          <w:sz w:val="21"/>
          <w:szCs w:val="21"/>
        </w:rPr>
        <w:t xml:space="preserve">Алекс Штейнгардт «Мне не дают здесь развиваться»: почему руководители уходят из компаний / Алекс Штейнгардт [Электронный ресурс] // </w:t>
      </w:r>
      <w:r w:rsidRPr="00877DE5">
        <w:rPr>
          <w:rFonts w:ascii="Times New Roman" w:eastAsia="DengXian" w:hAnsi="Times New Roman" w:cs="Times New Roman"/>
          <w:sz w:val="21"/>
          <w:szCs w:val="21"/>
          <w:lang w:val="en-US"/>
        </w:rPr>
        <w:t>www</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forbes</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ru</w:t>
      </w:r>
      <w:r w:rsidRPr="00877DE5">
        <w:rPr>
          <w:rFonts w:ascii="Times New Roman" w:eastAsia="DengXian" w:hAnsi="Times New Roman" w:cs="Times New Roman"/>
          <w:sz w:val="21"/>
          <w:szCs w:val="21"/>
        </w:rPr>
        <w:t xml:space="preserve">: [сайт]. — </w:t>
      </w:r>
      <w:r w:rsidRPr="00877DE5">
        <w:rPr>
          <w:rFonts w:ascii="Times New Roman" w:eastAsia="DengXian" w:hAnsi="Times New Roman" w:cs="Times New Roman"/>
          <w:sz w:val="21"/>
          <w:szCs w:val="21"/>
          <w:lang w:val="en-US"/>
        </w:rPr>
        <w:t>URL</w:t>
      </w:r>
      <w:r w:rsidRPr="00877DE5">
        <w:rPr>
          <w:rFonts w:ascii="Times New Roman" w:eastAsia="DengXian" w:hAnsi="Times New Roman" w:cs="Times New Roman"/>
          <w:sz w:val="21"/>
          <w:szCs w:val="21"/>
        </w:rPr>
        <w:t xml:space="preserve">: </w:t>
      </w:r>
      <w:r w:rsidRPr="00877DE5">
        <w:rPr>
          <w:rFonts w:ascii="Times New Roman" w:eastAsia="DengXian" w:hAnsi="Times New Roman" w:cs="Times New Roman"/>
          <w:sz w:val="21"/>
          <w:szCs w:val="21"/>
          <w:lang w:val="en-US"/>
        </w:rPr>
        <w:t>https</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www</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forbes</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ru</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svoi</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biznes</w:t>
      </w:r>
      <w:r w:rsidRPr="00877DE5">
        <w:rPr>
          <w:rFonts w:ascii="Times New Roman" w:eastAsia="DengXian" w:hAnsi="Times New Roman" w:cs="Times New Roman"/>
          <w:sz w:val="21"/>
          <w:szCs w:val="21"/>
        </w:rPr>
        <w:t>/454521-</w:t>
      </w:r>
      <w:r w:rsidRPr="00877DE5">
        <w:rPr>
          <w:rFonts w:ascii="Times New Roman" w:eastAsia="DengXian" w:hAnsi="Times New Roman" w:cs="Times New Roman"/>
          <w:sz w:val="21"/>
          <w:szCs w:val="21"/>
          <w:lang w:val="en-US"/>
        </w:rPr>
        <w:t>mne</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ne</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daut</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zdes</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razvivat</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sa</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pocemu</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rukovoditeli</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uhodat</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iz</w:t>
      </w:r>
      <w:r w:rsidRPr="00877DE5">
        <w:rPr>
          <w:rFonts w:ascii="Times New Roman" w:eastAsia="DengXian" w:hAnsi="Times New Roman" w:cs="Times New Roman"/>
          <w:sz w:val="21"/>
          <w:szCs w:val="21"/>
        </w:rPr>
        <w:t>-</w:t>
      </w:r>
      <w:r w:rsidRPr="00877DE5">
        <w:rPr>
          <w:rFonts w:ascii="Times New Roman" w:eastAsia="DengXian" w:hAnsi="Times New Roman" w:cs="Times New Roman"/>
          <w:sz w:val="21"/>
          <w:szCs w:val="21"/>
          <w:lang w:val="en-US"/>
        </w:rPr>
        <w:t>kompanij</w:t>
      </w:r>
      <w:r w:rsidRPr="00877DE5">
        <w:rPr>
          <w:rFonts w:ascii="Times New Roman" w:eastAsia="DengXian" w:hAnsi="Times New Roman" w:cs="Times New Roman"/>
          <w:sz w:val="21"/>
          <w:szCs w:val="21"/>
        </w:rPr>
        <w:t xml:space="preserve"> (дата обращения: 18.05.2025).</w:t>
      </w:r>
    </w:p>
    <w:p w14:paraId="7FDACA3F" w14:textId="77777777" w:rsidR="00877DE5" w:rsidRPr="00877DE5" w:rsidRDefault="00877DE5" w:rsidP="00AD58CD">
      <w:pPr>
        <w:numPr>
          <w:ilvl w:val="0"/>
          <w:numId w:val="58"/>
        </w:numPr>
        <w:spacing w:after="0" w:line="240" w:lineRule="auto"/>
        <w:ind w:left="0" w:firstLine="0"/>
        <w:contextualSpacing/>
        <w:jc w:val="both"/>
        <w:rPr>
          <w:rFonts w:ascii="Times New Roman" w:eastAsia="DengXian" w:hAnsi="Times New Roman" w:cs="Times New Roman"/>
          <w:sz w:val="21"/>
          <w:szCs w:val="21"/>
        </w:rPr>
      </w:pPr>
      <w:r w:rsidRPr="00877DE5">
        <w:rPr>
          <w:rFonts w:ascii="Times New Roman" w:eastAsia="DengXian" w:hAnsi="Times New Roman" w:cs="Times New Roman"/>
          <w:sz w:val="21"/>
          <w:szCs w:val="21"/>
        </w:rPr>
        <w:t>ТОП-10 отставок менеджеров 2024 года / [Электронный ресурс] // NEW RETAIL: [сайт]. — URL: https://new-retail.ru/business/personal/top_10_otstavok_menedzherov_2024_goda/ (дата обращения: 18.05.2025).</w:t>
      </w:r>
    </w:p>
    <w:p w14:paraId="078DC289" w14:textId="77777777" w:rsidR="00877DE5" w:rsidRPr="00877DE5" w:rsidRDefault="00877DE5" w:rsidP="00AD58CD">
      <w:pPr>
        <w:numPr>
          <w:ilvl w:val="0"/>
          <w:numId w:val="58"/>
        </w:numPr>
        <w:spacing w:after="0" w:line="240" w:lineRule="auto"/>
        <w:ind w:left="0" w:firstLine="0"/>
        <w:contextualSpacing/>
        <w:jc w:val="both"/>
        <w:rPr>
          <w:rFonts w:ascii="Times New Roman" w:eastAsia="DengXian" w:hAnsi="Times New Roman" w:cs="Times New Roman"/>
          <w:sz w:val="21"/>
          <w:szCs w:val="21"/>
          <w:lang w:val="en-US"/>
        </w:rPr>
      </w:pPr>
      <w:r w:rsidRPr="00877DE5">
        <w:rPr>
          <w:rFonts w:ascii="Times New Roman" w:eastAsia="DengXian" w:hAnsi="Times New Roman" w:cs="Times New Roman"/>
          <w:sz w:val="21"/>
          <w:szCs w:val="21"/>
          <w:lang w:val="en-US"/>
        </w:rPr>
        <w:t>CEO Turnover Report. CEO Turnover Nearly Matches Monthly Record / [</w:t>
      </w:r>
      <w:r w:rsidRPr="00877DE5">
        <w:rPr>
          <w:rFonts w:ascii="Times New Roman" w:eastAsia="DengXian" w:hAnsi="Times New Roman" w:cs="Times New Roman"/>
          <w:sz w:val="21"/>
          <w:szCs w:val="21"/>
        </w:rPr>
        <w:t>Электронный</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ресурс</w:t>
      </w:r>
      <w:r w:rsidRPr="00877DE5">
        <w:rPr>
          <w:rFonts w:ascii="Times New Roman" w:eastAsia="DengXian" w:hAnsi="Times New Roman" w:cs="Times New Roman"/>
          <w:sz w:val="21"/>
          <w:szCs w:val="21"/>
          <w:lang w:val="en-US"/>
        </w:rPr>
        <w:t>] // Challenger, Gray &amp; Christmas, Inc.: [</w:t>
      </w:r>
      <w:r w:rsidRPr="00877DE5">
        <w:rPr>
          <w:rFonts w:ascii="Times New Roman" w:eastAsia="DengXian" w:hAnsi="Times New Roman" w:cs="Times New Roman"/>
          <w:sz w:val="21"/>
          <w:szCs w:val="21"/>
        </w:rPr>
        <w:t>сайт</w:t>
      </w:r>
      <w:r w:rsidRPr="00877DE5">
        <w:rPr>
          <w:rFonts w:ascii="Times New Roman" w:eastAsia="DengXian" w:hAnsi="Times New Roman" w:cs="Times New Roman"/>
          <w:sz w:val="21"/>
          <w:szCs w:val="21"/>
          <w:lang w:val="en-US"/>
        </w:rPr>
        <w:t>]. — URL: https://www.challengergray.com/blog/ceo-turnover-nearly-matches-monthly-record-247-ceo-exits-in-february-2025/ (</w:t>
      </w:r>
      <w:r w:rsidRPr="00877DE5">
        <w:rPr>
          <w:rFonts w:ascii="Times New Roman" w:eastAsia="DengXian" w:hAnsi="Times New Roman" w:cs="Times New Roman"/>
          <w:sz w:val="21"/>
          <w:szCs w:val="21"/>
        </w:rPr>
        <w:t>дата</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обращения</w:t>
      </w:r>
      <w:r w:rsidRPr="00877DE5">
        <w:rPr>
          <w:rFonts w:ascii="Times New Roman" w:eastAsia="DengXian" w:hAnsi="Times New Roman" w:cs="Times New Roman"/>
          <w:sz w:val="21"/>
          <w:szCs w:val="21"/>
          <w:lang w:val="en-US"/>
        </w:rPr>
        <w:t>: 18.05.2025).</w:t>
      </w:r>
    </w:p>
    <w:p w14:paraId="646CA7C2" w14:textId="77777777" w:rsidR="00877DE5" w:rsidRPr="00877DE5" w:rsidRDefault="00877DE5" w:rsidP="00AD58CD">
      <w:pPr>
        <w:numPr>
          <w:ilvl w:val="0"/>
          <w:numId w:val="58"/>
        </w:numPr>
        <w:spacing w:after="0" w:line="240" w:lineRule="auto"/>
        <w:ind w:left="0" w:firstLine="0"/>
        <w:contextualSpacing/>
        <w:jc w:val="both"/>
        <w:rPr>
          <w:rFonts w:ascii="Times New Roman" w:eastAsia="DengXian" w:hAnsi="Times New Roman" w:cs="Times New Roman"/>
          <w:sz w:val="21"/>
          <w:szCs w:val="21"/>
          <w:lang w:val="en-US"/>
        </w:rPr>
      </w:pPr>
      <w:r w:rsidRPr="00877DE5">
        <w:rPr>
          <w:rFonts w:ascii="Times New Roman" w:eastAsia="DengXian" w:hAnsi="Times New Roman" w:cs="Times New Roman"/>
          <w:sz w:val="21"/>
          <w:szCs w:val="21"/>
          <w:lang w:val="en-US"/>
        </w:rPr>
        <w:t>Henry O'Loughlin Every Major CEO Stepping Down: 2020-2025 / Henry O'Loughlin [</w:t>
      </w:r>
      <w:r w:rsidRPr="00877DE5">
        <w:rPr>
          <w:rFonts w:ascii="Times New Roman" w:eastAsia="DengXian" w:hAnsi="Times New Roman" w:cs="Times New Roman"/>
          <w:sz w:val="21"/>
          <w:szCs w:val="21"/>
        </w:rPr>
        <w:t>Электронный</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ресурс</w:t>
      </w:r>
      <w:r w:rsidRPr="00877DE5">
        <w:rPr>
          <w:rFonts w:ascii="Times New Roman" w:eastAsia="DengXian" w:hAnsi="Times New Roman" w:cs="Times New Roman"/>
          <w:sz w:val="21"/>
          <w:szCs w:val="21"/>
          <w:lang w:val="en-US"/>
        </w:rPr>
        <w:t>] // build remote: [</w:t>
      </w:r>
      <w:r w:rsidRPr="00877DE5">
        <w:rPr>
          <w:rFonts w:ascii="Times New Roman" w:eastAsia="DengXian" w:hAnsi="Times New Roman" w:cs="Times New Roman"/>
          <w:sz w:val="21"/>
          <w:szCs w:val="21"/>
        </w:rPr>
        <w:t>сайт</w:t>
      </w:r>
      <w:r w:rsidRPr="00877DE5">
        <w:rPr>
          <w:rFonts w:ascii="Times New Roman" w:eastAsia="DengXian" w:hAnsi="Times New Roman" w:cs="Times New Roman"/>
          <w:sz w:val="21"/>
          <w:szCs w:val="21"/>
          <w:lang w:val="en-US"/>
        </w:rPr>
        <w:t>]. — URL: https://buildremote.co/companies/ceos-stepping-down/ (</w:t>
      </w:r>
      <w:r w:rsidRPr="00877DE5">
        <w:rPr>
          <w:rFonts w:ascii="Times New Roman" w:eastAsia="DengXian" w:hAnsi="Times New Roman" w:cs="Times New Roman"/>
          <w:sz w:val="21"/>
          <w:szCs w:val="21"/>
        </w:rPr>
        <w:t>дата</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обращения</w:t>
      </w:r>
      <w:r w:rsidRPr="00877DE5">
        <w:rPr>
          <w:rFonts w:ascii="Times New Roman" w:eastAsia="DengXian" w:hAnsi="Times New Roman" w:cs="Times New Roman"/>
          <w:sz w:val="21"/>
          <w:szCs w:val="21"/>
          <w:lang w:val="en-US"/>
        </w:rPr>
        <w:t>: 18.05.2025).</w:t>
      </w:r>
    </w:p>
    <w:p w14:paraId="376C9AD7" w14:textId="77777777" w:rsidR="00877DE5" w:rsidRPr="00877DE5" w:rsidRDefault="00877DE5" w:rsidP="00AD58CD">
      <w:pPr>
        <w:numPr>
          <w:ilvl w:val="0"/>
          <w:numId w:val="58"/>
        </w:numPr>
        <w:spacing w:after="0" w:line="240" w:lineRule="auto"/>
        <w:ind w:left="0" w:firstLine="0"/>
        <w:contextualSpacing/>
        <w:jc w:val="both"/>
        <w:rPr>
          <w:rFonts w:ascii="Times New Roman" w:eastAsia="DengXian" w:hAnsi="Times New Roman" w:cs="Times New Roman"/>
          <w:sz w:val="21"/>
          <w:szCs w:val="21"/>
          <w:lang w:val="en-US"/>
        </w:rPr>
      </w:pPr>
      <w:r w:rsidRPr="00877DE5">
        <w:rPr>
          <w:rFonts w:ascii="Times New Roman" w:eastAsia="DengXian" w:hAnsi="Times New Roman" w:cs="Times New Roman"/>
          <w:sz w:val="21"/>
          <w:szCs w:val="21"/>
          <w:lang w:val="en-US"/>
        </w:rPr>
        <w:t>Ze'ev Ronen Why do managers leave work and what can be done to prevent it? / Ze'ev Ronen [</w:t>
      </w:r>
      <w:r w:rsidRPr="00877DE5">
        <w:rPr>
          <w:rFonts w:ascii="Times New Roman" w:eastAsia="DengXian" w:hAnsi="Times New Roman" w:cs="Times New Roman"/>
          <w:sz w:val="21"/>
          <w:szCs w:val="21"/>
        </w:rPr>
        <w:t>Электронный</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ресурс</w:t>
      </w:r>
      <w:r w:rsidRPr="00877DE5">
        <w:rPr>
          <w:rFonts w:ascii="Times New Roman" w:eastAsia="DengXian" w:hAnsi="Times New Roman" w:cs="Times New Roman"/>
          <w:sz w:val="21"/>
          <w:szCs w:val="21"/>
          <w:lang w:val="en-US"/>
        </w:rPr>
        <w:t>] // business-excellence.co.il: [</w:t>
      </w:r>
      <w:r w:rsidRPr="00877DE5">
        <w:rPr>
          <w:rFonts w:ascii="Times New Roman" w:eastAsia="DengXian" w:hAnsi="Times New Roman" w:cs="Times New Roman"/>
          <w:sz w:val="21"/>
          <w:szCs w:val="21"/>
        </w:rPr>
        <w:t>сайт</w:t>
      </w:r>
      <w:r w:rsidRPr="00877DE5">
        <w:rPr>
          <w:rFonts w:ascii="Times New Roman" w:eastAsia="DengXian" w:hAnsi="Times New Roman" w:cs="Times New Roman"/>
          <w:sz w:val="21"/>
          <w:szCs w:val="21"/>
          <w:lang w:val="en-US"/>
        </w:rPr>
        <w:t>]. — URL: https://business-excellence.co.il/en/my-blog/1288-why-do-managers-leave-work-and-what-can-be-done-to-prevent-it?srsltid=AfmBOool8OC1vhSo_vLulR1V4ojcXZgVjkdGclK3f6bNoJ-GHtGlLGsb (</w:t>
      </w:r>
      <w:r w:rsidRPr="00877DE5">
        <w:rPr>
          <w:rFonts w:ascii="Times New Roman" w:eastAsia="DengXian" w:hAnsi="Times New Roman" w:cs="Times New Roman"/>
          <w:sz w:val="21"/>
          <w:szCs w:val="21"/>
        </w:rPr>
        <w:t>дата</w:t>
      </w:r>
      <w:r w:rsidRPr="00877DE5">
        <w:rPr>
          <w:rFonts w:ascii="Times New Roman" w:eastAsia="DengXian" w:hAnsi="Times New Roman" w:cs="Times New Roman"/>
          <w:sz w:val="21"/>
          <w:szCs w:val="21"/>
          <w:lang w:val="en-US"/>
        </w:rPr>
        <w:t xml:space="preserve"> </w:t>
      </w:r>
      <w:r w:rsidRPr="00877DE5">
        <w:rPr>
          <w:rFonts w:ascii="Times New Roman" w:eastAsia="DengXian" w:hAnsi="Times New Roman" w:cs="Times New Roman"/>
          <w:sz w:val="21"/>
          <w:szCs w:val="21"/>
        </w:rPr>
        <w:t>обращения</w:t>
      </w:r>
      <w:r w:rsidRPr="00877DE5">
        <w:rPr>
          <w:rFonts w:ascii="Times New Roman" w:eastAsia="DengXian" w:hAnsi="Times New Roman" w:cs="Times New Roman"/>
          <w:sz w:val="21"/>
          <w:szCs w:val="21"/>
          <w:lang w:val="en-US"/>
        </w:rPr>
        <w:t>: 18.05.2025).</w:t>
      </w:r>
    </w:p>
    <w:p w14:paraId="5C7CEA05" w14:textId="77777777" w:rsidR="00877DE5" w:rsidRPr="00654CF2" w:rsidRDefault="00877DE5"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43A3CA6B"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7A4FDE69"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56F465C6"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57C3A144"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3260D619" w14:textId="77777777" w:rsidR="00DC5D04" w:rsidRPr="00654CF2" w:rsidRDefault="00DC5D04" w:rsidP="00450038">
      <w:pPr>
        <w:tabs>
          <w:tab w:val="left" w:pos="1134"/>
        </w:tabs>
        <w:spacing w:after="0" w:line="240" w:lineRule="auto"/>
        <w:jc w:val="both"/>
        <w:rPr>
          <w:rFonts w:ascii="Times New Roman" w:eastAsia="Calibri" w:hAnsi="Times New Roman" w:cs="Times New Roman"/>
          <w:sz w:val="21"/>
          <w:szCs w:val="21"/>
          <w:lang w:val="en-US"/>
        </w:rPr>
      </w:pPr>
    </w:p>
    <w:p w14:paraId="49E2373D"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458B9470" w14:textId="77777777" w:rsidR="003622CE" w:rsidRPr="00654CF2" w:rsidRDefault="003622CE" w:rsidP="00067100">
      <w:pPr>
        <w:tabs>
          <w:tab w:val="left" w:pos="1134"/>
        </w:tabs>
        <w:spacing w:after="0" w:line="240" w:lineRule="auto"/>
        <w:ind w:firstLine="709"/>
        <w:jc w:val="both"/>
        <w:rPr>
          <w:rFonts w:ascii="Times New Roman" w:eastAsia="Calibri" w:hAnsi="Times New Roman" w:cs="Times New Roman"/>
          <w:sz w:val="21"/>
          <w:szCs w:val="21"/>
          <w:lang w:val="en-US"/>
        </w:rPr>
      </w:pPr>
    </w:p>
    <w:p w14:paraId="3F2A9955" w14:textId="77777777" w:rsidR="001F203A" w:rsidRPr="00EE54F2" w:rsidRDefault="001F203A" w:rsidP="00357CF0">
      <w:pPr>
        <w:pStyle w:val="1"/>
        <w:jc w:val="center"/>
        <w:rPr>
          <w:b w:val="0"/>
          <w:color w:val="000000" w:themeColor="text1"/>
          <w:sz w:val="32"/>
          <w:szCs w:val="32"/>
        </w:rPr>
      </w:pPr>
      <w:r>
        <w:rPr>
          <w:color w:val="000000" w:themeColor="text1"/>
          <w:sz w:val="32"/>
          <w:szCs w:val="32"/>
        </w:rPr>
        <w:lastRenderedPageBreak/>
        <w:t>РАЗДЕЛ 4</w:t>
      </w:r>
    </w:p>
    <w:p w14:paraId="1996E39A" w14:textId="4560FED5" w:rsidR="00E34C49" w:rsidRPr="00E34C49" w:rsidRDefault="001F203A" w:rsidP="00E34C49">
      <w:pPr>
        <w:pStyle w:val="1"/>
        <w:jc w:val="center"/>
        <w:rPr>
          <w:color w:val="000000" w:themeColor="text1"/>
          <w:sz w:val="32"/>
          <w:szCs w:val="32"/>
        </w:rPr>
      </w:pPr>
      <w:r w:rsidRPr="001F203A">
        <w:rPr>
          <w:color w:val="000000" w:themeColor="text1"/>
          <w:sz w:val="32"/>
          <w:szCs w:val="32"/>
        </w:rPr>
        <w:t>ЦИФРОВЫЕ ТРАНСФОРМАЦИИ РАЗВИТИЯ БИЗНЕСА</w:t>
      </w:r>
    </w:p>
    <w:p w14:paraId="6867728D" w14:textId="77777777" w:rsidR="00DC5D04" w:rsidRPr="00DC5D04" w:rsidRDefault="00DC5D04" w:rsidP="00DC5D04">
      <w:pPr>
        <w:spacing w:after="200" w:line="276" w:lineRule="auto"/>
        <w:rPr>
          <w:rFonts w:ascii="Times New Roman" w:eastAsia="Times New Roman" w:hAnsi="Times New Roman" w:cs="Times New Roman"/>
          <w:b/>
          <w:bCs/>
          <w:sz w:val="21"/>
          <w:szCs w:val="21"/>
        </w:rPr>
      </w:pPr>
      <w:r w:rsidRPr="00DC5D04">
        <w:rPr>
          <w:rFonts w:ascii="Times New Roman" w:eastAsia="MS Mincho" w:hAnsi="Times New Roman" w:cs="Times New Roman"/>
          <w:b/>
          <w:bCs/>
        </w:rPr>
        <w:t>УДК 004.4</w:t>
      </w:r>
    </w:p>
    <w:p w14:paraId="63A27C96"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b/>
          <w:bCs/>
          <w:i/>
          <w:iCs/>
          <w:sz w:val="21"/>
          <w:szCs w:val="21"/>
        </w:rPr>
        <w:t>Бабийчук Е.В.,</w:t>
      </w:r>
    </w:p>
    <w:p w14:paraId="6B927FE0"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b/>
          <w:bCs/>
          <w:i/>
          <w:iCs/>
          <w:sz w:val="21"/>
          <w:szCs w:val="21"/>
        </w:rPr>
        <w:t xml:space="preserve"> </w:t>
      </w:r>
      <w:r w:rsidRPr="00DC5D04">
        <w:rPr>
          <w:rFonts w:ascii="Times New Roman" w:eastAsia="Times New Roman" w:hAnsi="Times New Roman" w:cs="Times New Roman"/>
          <w:i/>
          <w:iCs/>
          <w:color w:val="000000"/>
          <w:sz w:val="21"/>
          <w:szCs w:val="21"/>
        </w:rPr>
        <w:t>студентка 2 курса</w:t>
      </w:r>
    </w:p>
    <w:p w14:paraId="6E40981A"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i/>
          <w:iCs/>
          <w:color w:val="000000"/>
          <w:sz w:val="21"/>
          <w:szCs w:val="21"/>
        </w:rPr>
        <w:t>Финансовый университет при Правительстве Российской Федерации</w:t>
      </w:r>
    </w:p>
    <w:p w14:paraId="3F1814A8" w14:textId="77777777" w:rsidR="00DC5D04" w:rsidRPr="00DC5D04" w:rsidRDefault="00DC5D04" w:rsidP="00DC5D04">
      <w:pPr>
        <w:spacing w:after="0" w:line="240" w:lineRule="auto"/>
        <w:ind w:firstLine="709"/>
        <w:jc w:val="right"/>
        <w:rPr>
          <w:rFonts w:ascii="Times New Roman" w:eastAsia="Times New Roman" w:hAnsi="Times New Roman" w:cs="Times New Roman"/>
          <w:i/>
          <w:iCs/>
          <w:sz w:val="21"/>
          <w:szCs w:val="21"/>
        </w:rPr>
      </w:pPr>
      <w:r w:rsidRPr="00DC5D04">
        <w:rPr>
          <w:rFonts w:ascii="Times New Roman" w:eastAsia="Times New Roman" w:hAnsi="Times New Roman" w:cs="Times New Roman"/>
          <w:i/>
          <w:iCs/>
          <w:color w:val="000000"/>
          <w:sz w:val="21"/>
          <w:szCs w:val="21"/>
        </w:rPr>
        <w:t>г. Краснодар, Россия</w:t>
      </w:r>
      <w:r w:rsidRPr="00DC5D04">
        <w:rPr>
          <w:rFonts w:ascii="Times New Roman" w:eastAsia="Times New Roman" w:hAnsi="Times New Roman" w:cs="Times New Roman"/>
          <w:i/>
          <w:iCs/>
          <w:sz w:val="21"/>
          <w:szCs w:val="21"/>
        </w:rPr>
        <w:t xml:space="preserve"> </w:t>
      </w:r>
    </w:p>
    <w:p w14:paraId="19DD4A93"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rPr>
      </w:pPr>
      <w:r w:rsidRPr="00DC5D04">
        <w:rPr>
          <w:rFonts w:ascii="Times New Roman" w:eastAsia="Times New Roman" w:hAnsi="Times New Roman" w:cs="Times New Roman"/>
          <w:i/>
          <w:iCs/>
          <w:color w:val="000000"/>
          <w:sz w:val="21"/>
          <w:szCs w:val="21"/>
          <w:lang w:val="en-US"/>
        </w:rPr>
        <w:t>e</w:t>
      </w:r>
      <w:r w:rsidRPr="00DC5D04">
        <w:rPr>
          <w:rFonts w:ascii="Times New Roman" w:eastAsia="Times New Roman" w:hAnsi="Times New Roman" w:cs="Times New Roman"/>
          <w:i/>
          <w:iCs/>
          <w:color w:val="000000"/>
          <w:sz w:val="21"/>
          <w:szCs w:val="21"/>
        </w:rPr>
        <w:t>-</w:t>
      </w:r>
      <w:r w:rsidRPr="00DC5D04">
        <w:rPr>
          <w:rFonts w:ascii="Times New Roman" w:eastAsia="Times New Roman" w:hAnsi="Times New Roman" w:cs="Times New Roman"/>
          <w:i/>
          <w:iCs/>
          <w:color w:val="000000"/>
          <w:sz w:val="21"/>
          <w:szCs w:val="21"/>
          <w:lang w:val="en-US"/>
        </w:rPr>
        <w:t>mail</w:t>
      </w:r>
      <w:r w:rsidRPr="00DC5D04">
        <w:rPr>
          <w:rFonts w:ascii="Times New Roman" w:eastAsia="Times New Roman" w:hAnsi="Times New Roman" w:cs="Times New Roman"/>
          <w:i/>
          <w:iCs/>
          <w:sz w:val="21"/>
          <w:szCs w:val="21"/>
        </w:rPr>
        <w:t xml:space="preserve">: </w:t>
      </w:r>
      <w:hyperlink r:id="rId363" w:history="1">
        <w:r w:rsidRPr="00DC5D04">
          <w:rPr>
            <w:rFonts w:ascii="Times New Roman" w:eastAsia="Times New Roman" w:hAnsi="Times New Roman" w:cs="Times New Roman"/>
            <w:i/>
            <w:iCs/>
            <w:color w:val="0000FF"/>
            <w:sz w:val="21"/>
            <w:szCs w:val="21"/>
            <w:u w:val="single"/>
            <w:lang w:val="en-US"/>
          </w:rPr>
          <w:t>youthlicyr</w:t>
        </w:r>
        <w:r w:rsidRPr="00DC5D04">
          <w:rPr>
            <w:rFonts w:ascii="Times New Roman" w:eastAsia="Times New Roman" w:hAnsi="Times New Roman" w:cs="Times New Roman"/>
            <w:i/>
            <w:iCs/>
            <w:color w:val="0000FF"/>
            <w:sz w:val="21"/>
            <w:szCs w:val="21"/>
            <w:u w:val="single"/>
          </w:rPr>
          <w:t>@</w:t>
        </w:r>
        <w:r w:rsidRPr="00DC5D04">
          <w:rPr>
            <w:rFonts w:ascii="Times New Roman" w:eastAsia="Times New Roman" w:hAnsi="Times New Roman" w:cs="Times New Roman"/>
            <w:i/>
            <w:iCs/>
            <w:color w:val="0000FF"/>
            <w:sz w:val="21"/>
            <w:szCs w:val="21"/>
            <w:u w:val="single"/>
            <w:lang w:val="en-US"/>
          </w:rPr>
          <w:t>gmail</w:t>
        </w:r>
        <w:r w:rsidRPr="00DC5D04">
          <w:rPr>
            <w:rFonts w:ascii="Times New Roman" w:eastAsia="Times New Roman" w:hAnsi="Times New Roman" w:cs="Times New Roman"/>
            <w:i/>
            <w:iCs/>
            <w:color w:val="0000FF"/>
            <w:sz w:val="21"/>
            <w:szCs w:val="21"/>
            <w:u w:val="single"/>
          </w:rPr>
          <w:t>.</w:t>
        </w:r>
        <w:r w:rsidRPr="00DC5D04">
          <w:rPr>
            <w:rFonts w:ascii="Times New Roman" w:eastAsia="Times New Roman" w:hAnsi="Times New Roman" w:cs="Times New Roman"/>
            <w:i/>
            <w:iCs/>
            <w:color w:val="0000FF"/>
            <w:sz w:val="21"/>
            <w:szCs w:val="21"/>
            <w:u w:val="single"/>
            <w:lang w:val="en-US"/>
          </w:rPr>
          <w:t>com</w:t>
        </w:r>
      </w:hyperlink>
    </w:p>
    <w:p w14:paraId="24372C4E" w14:textId="77777777" w:rsidR="00720E7C" w:rsidRDefault="00720E7C" w:rsidP="00DC5D04">
      <w:pPr>
        <w:spacing w:after="0" w:line="240" w:lineRule="auto"/>
        <w:ind w:firstLine="709"/>
        <w:jc w:val="right"/>
        <w:rPr>
          <w:rFonts w:ascii="Times New Roman" w:eastAsia="Times New Roman" w:hAnsi="Times New Roman" w:cs="Times New Roman"/>
          <w:b/>
          <w:bCs/>
          <w:i/>
          <w:iCs/>
          <w:color w:val="000000"/>
          <w:sz w:val="21"/>
          <w:szCs w:val="21"/>
        </w:rPr>
      </w:pPr>
    </w:p>
    <w:p w14:paraId="59829F33" w14:textId="2A94A97F"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b/>
          <w:bCs/>
          <w:i/>
          <w:iCs/>
          <w:color w:val="000000"/>
          <w:sz w:val="21"/>
          <w:szCs w:val="21"/>
        </w:rPr>
        <w:t>Научный руководитель:</w:t>
      </w:r>
    </w:p>
    <w:p w14:paraId="03225168"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b/>
          <w:bCs/>
          <w:i/>
          <w:iCs/>
          <w:color w:val="000000"/>
          <w:sz w:val="21"/>
          <w:szCs w:val="21"/>
        </w:rPr>
        <w:t>Ануфриева А.П.,</w:t>
      </w:r>
    </w:p>
    <w:p w14:paraId="5699A925"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i/>
          <w:iCs/>
          <w:color w:val="000000"/>
          <w:sz w:val="21"/>
          <w:szCs w:val="21"/>
        </w:rPr>
        <w:t>доцент кафедры "Математика и информатика", к.т.н.</w:t>
      </w:r>
    </w:p>
    <w:p w14:paraId="5FFACA48"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i/>
          <w:iCs/>
          <w:color w:val="000000"/>
          <w:sz w:val="21"/>
          <w:szCs w:val="21"/>
        </w:rPr>
        <w:t>Финансовый университет при Правительстве Российской Федерации</w:t>
      </w:r>
    </w:p>
    <w:p w14:paraId="332F14D5" w14:textId="77777777" w:rsidR="00DC5D04" w:rsidRPr="00DC5D04" w:rsidRDefault="00DC5D04" w:rsidP="00DC5D04">
      <w:pPr>
        <w:spacing w:after="0" w:line="240" w:lineRule="auto"/>
        <w:ind w:firstLine="709"/>
        <w:jc w:val="right"/>
        <w:rPr>
          <w:rFonts w:ascii="Times New Roman" w:eastAsia="Times New Roman" w:hAnsi="Times New Roman" w:cs="Times New Roman"/>
          <w:i/>
          <w:iCs/>
          <w:color w:val="000000"/>
          <w:sz w:val="21"/>
          <w:szCs w:val="21"/>
        </w:rPr>
      </w:pPr>
      <w:r w:rsidRPr="00DC5D04">
        <w:rPr>
          <w:rFonts w:ascii="Times New Roman" w:eastAsia="Times New Roman" w:hAnsi="Times New Roman" w:cs="Times New Roman"/>
          <w:i/>
          <w:iCs/>
          <w:color w:val="000000"/>
          <w:sz w:val="21"/>
          <w:szCs w:val="21"/>
        </w:rPr>
        <w:t>г. Краснодар, Россия</w:t>
      </w:r>
    </w:p>
    <w:p w14:paraId="303EFFB4" w14:textId="77777777" w:rsidR="00DC5D04" w:rsidRPr="00DC5D04" w:rsidRDefault="00DC5D04" w:rsidP="00DC5D04">
      <w:pPr>
        <w:spacing w:after="0" w:line="240" w:lineRule="auto"/>
        <w:ind w:firstLine="709"/>
        <w:jc w:val="right"/>
        <w:rPr>
          <w:rFonts w:ascii="Times New Roman" w:eastAsia="Times New Roman" w:hAnsi="Times New Roman" w:cs="Times New Roman"/>
          <w:i/>
          <w:iCs/>
          <w:sz w:val="21"/>
          <w:szCs w:val="21"/>
        </w:rPr>
      </w:pPr>
      <w:r w:rsidRPr="00DC5D04">
        <w:rPr>
          <w:rFonts w:ascii="Times New Roman" w:eastAsia="Times New Roman" w:hAnsi="Times New Roman" w:cs="Times New Roman"/>
          <w:i/>
          <w:iCs/>
          <w:color w:val="000000"/>
          <w:sz w:val="21"/>
          <w:szCs w:val="21"/>
          <w:lang w:val="en-US"/>
        </w:rPr>
        <w:t>e</w:t>
      </w:r>
      <w:r w:rsidRPr="00DC5D04">
        <w:rPr>
          <w:rFonts w:ascii="Times New Roman" w:eastAsia="Times New Roman" w:hAnsi="Times New Roman" w:cs="Times New Roman"/>
          <w:i/>
          <w:iCs/>
          <w:color w:val="000000"/>
          <w:sz w:val="21"/>
          <w:szCs w:val="21"/>
        </w:rPr>
        <w:t>-</w:t>
      </w:r>
      <w:r w:rsidRPr="00DC5D04">
        <w:rPr>
          <w:rFonts w:ascii="Times New Roman" w:eastAsia="Times New Roman" w:hAnsi="Times New Roman" w:cs="Times New Roman"/>
          <w:i/>
          <w:iCs/>
          <w:color w:val="000000"/>
          <w:sz w:val="21"/>
          <w:szCs w:val="21"/>
          <w:lang w:val="en-US"/>
        </w:rPr>
        <w:t>mail</w:t>
      </w:r>
      <w:r w:rsidRPr="00DC5D04">
        <w:rPr>
          <w:rFonts w:ascii="Times New Roman" w:eastAsia="Times New Roman" w:hAnsi="Times New Roman" w:cs="Times New Roman"/>
          <w:i/>
          <w:iCs/>
          <w:color w:val="000000"/>
          <w:sz w:val="21"/>
          <w:szCs w:val="21"/>
        </w:rPr>
        <w:t xml:space="preserve">: </w:t>
      </w:r>
      <w:hyperlink r:id="rId364" w:history="1">
        <w:r w:rsidRPr="00DC5D04">
          <w:rPr>
            <w:rFonts w:ascii="Times New Roman" w:eastAsia="Times New Roman" w:hAnsi="Times New Roman" w:cs="Times New Roman"/>
            <w:color w:val="0000FF"/>
            <w:sz w:val="21"/>
            <w:szCs w:val="21"/>
            <w:u w:val="single"/>
            <w:lang w:val="en-US"/>
          </w:rPr>
          <w:t>apanufrieva</w:t>
        </w:r>
        <w:r w:rsidRPr="00DC5D04">
          <w:rPr>
            <w:rFonts w:ascii="Times New Roman" w:eastAsia="Times New Roman" w:hAnsi="Times New Roman" w:cs="Times New Roman"/>
            <w:color w:val="0000FF"/>
            <w:sz w:val="21"/>
            <w:szCs w:val="21"/>
            <w:u w:val="single"/>
          </w:rPr>
          <w:t>@</w:t>
        </w:r>
        <w:r w:rsidRPr="00DC5D04">
          <w:rPr>
            <w:rFonts w:ascii="Times New Roman" w:eastAsia="Times New Roman" w:hAnsi="Times New Roman" w:cs="Times New Roman"/>
            <w:color w:val="0000FF"/>
            <w:sz w:val="21"/>
            <w:szCs w:val="21"/>
            <w:u w:val="single"/>
            <w:lang w:val="en-US"/>
          </w:rPr>
          <w:t>fa</w:t>
        </w:r>
        <w:r w:rsidRPr="00DC5D04">
          <w:rPr>
            <w:rFonts w:ascii="Times New Roman" w:eastAsia="Times New Roman" w:hAnsi="Times New Roman" w:cs="Times New Roman"/>
            <w:color w:val="0000FF"/>
            <w:sz w:val="21"/>
            <w:szCs w:val="21"/>
            <w:u w:val="single"/>
          </w:rPr>
          <w:t>.</w:t>
        </w:r>
        <w:r w:rsidRPr="00DC5D04">
          <w:rPr>
            <w:rFonts w:ascii="Times New Roman" w:eastAsia="Times New Roman" w:hAnsi="Times New Roman" w:cs="Times New Roman"/>
            <w:color w:val="0000FF"/>
            <w:sz w:val="21"/>
            <w:szCs w:val="21"/>
            <w:u w:val="single"/>
            <w:lang w:val="en-US"/>
          </w:rPr>
          <w:t>ru</w:t>
        </w:r>
      </w:hyperlink>
    </w:p>
    <w:p w14:paraId="7BE46B70" w14:textId="77777777" w:rsidR="00DC5D04" w:rsidRPr="00DC5D04" w:rsidRDefault="00DC5D04" w:rsidP="00DC5D04">
      <w:pPr>
        <w:spacing w:after="0" w:line="240" w:lineRule="auto"/>
        <w:ind w:firstLine="709"/>
        <w:jc w:val="center"/>
        <w:rPr>
          <w:rFonts w:ascii="Times New Roman" w:eastAsia="Times New Roman" w:hAnsi="Times New Roman" w:cs="Times New Roman"/>
          <w:i/>
          <w:iCs/>
          <w:sz w:val="21"/>
          <w:szCs w:val="21"/>
        </w:rPr>
      </w:pPr>
    </w:p>
    <w:p w14:paraId="04FA99BB" w14:textId="77777777" w:rsidR="00DC5D04" w:rsidRPr="00DC5D04" w:rsidRDefault="00DC5D04" w:rsidP="00DC5D04">
      <w:pPr>
        <w:spacing w:after="0" w:line="240" w:lineRule="auto"/>
        <w:jc w:val="center"/>
        <w:rPr>
          <w:rFonts w:ascii="Times New Roman" w:eastAsia="Times New Roman" w:hAnsi="Times New Roman" w:cs="Times New Roman"/>
          <w:b/>
          <w:bCs/>
          <w:sz w:val="21"/>
          <w:szCs w:val="21"/>
        </w:rPr>
      </w:pPr>
      <w:r w:rsidRPr="00DC5D04">
        <w:rPr>
          <w:rFonts w:ascii="Times New Roman" w:eastAsia="Times New Roman" w:hAnsi="Times New Roman" w:cs="Times New Roman"/>
          <w:b/>
          <w:bCs/>
          <w:sz w:val="21"/>
          <w:szCs w:val="21"/>
        </w:rPr>
        <w:t>Тёмные паттерны в российских цифровых сервисах: этика и прибыль</w:t>
      </w:r>
    </w:p>
    <w:p w14:paraId="1CE86018" w14:textId="77777777" w:rsidR="00DC5D04" w:rsidRPr="00DC5D04" w:rsidRDefault="00DC5D04" w:rsidP="00DC5D04">
      <w:pPr>
        <w:spacing w:after="0" w:line="240" w:lineRule="auto"/>
        <w:jc w:val="right"/>
        <w:rPr>
          <w:rFonts w:ascii="Times New Roman" w:eastAsia="Times New Roman" w:hAnsi="Times New Roman" w:cs="Times New Roman"/>
          <w:sz w:val="21"/>
          <w:szCs w:val="21"/>
        </w:rPr>
      </w:pPr>
    </w:p>
    <w:p w14:paraId="19BB454C" w14:textId="77777777" w:rsidR="00DC5D04" w:rsidRPr="00DC5D04" w:rsidRDefault="00DC5D04" w:rsidP="00DC5D04">
      <w:pPr>
        <w:spacing w:after="0" w:line="240" w:lineRule="auto"/>
        <w:ind w:firstLine="720"/>
        <w:jc w:val="both"/>
        <w:rPr>
          <w:rFonts w:ascii="Times New Roman" w:eastAsia="Times New Roman" w:hAnsi="Times New Roman" w:cs="Times New Roman"/>
          <w:sz w:val="21"/>
          <w:szCs w:val="21"/>
        </w:rPr>
      </w:pPr>
      <w:r w:rsidRPr="00DC5D04">
        <w:rPr>
          <w:rFonts w:ascii="Times New Roman" w:eastAsia="Times New Roman" w:hAnsi="Times New Roman" w:cs="Times New Roman"/>
          <w:b/>
          <w:bCs/>
          <w:sz w:val="21"/>
          <w:szCs w:val="21"/>
        </w:rPr>
        <w:t>Аннотация:</w:t>
      </w:r>
      <w:r w:rsidRPr="00DC5D04">
        <w:rPr>
          <w:rFonts w:ascii="Times New Roman" w:eastAsia="Times New Roman" w:hAnsi="Times New Roman" w:cs="Times New Roman"/>
          <w:sz w:val="21"/>
          <w:szCs w:val="21"/>
        </w:rPr>
        <w:t xml:space="preserve"> В статье исследуются тёмные паттерны в российских цифровых сервисах, их влияние на пользовательский опыт и этические аспекты применения. Анализируются распространённые методы манипуляции поведением пользователей, направленные на увеличение прибыли компаний, а также возможные последствия для доверия потребителей и репутации брендов. Рассматриваются перспективы регулирования и разработки более прозрачных интерфейсов, балансирующих между коммерческими интересами и этическими нормами.</w:t>
      </w:r>
    </w:p>
    <w:p w14:paraId="405E4083" w14:textId="77777777" w:rsidR="00DC5D04" w:rsidRPr="00DC5D04" w:rsidRDefault="00DC5D04" w:rsidP="00720E7C">
      <w:pPr>
        <w:spacing w:after="0" w:line="240" w:lineRule="auto"/>
        <w:ind w:firstLine="720"/>
        <w:jc w:val="both"/>
        <w:rPr>
          <w:rFonts w:ascii="Times New Roman" w:eastAsia="Times New Roman" w:hAnsi="Times New Roman" w:cs="Times New Roman"/>
          <w:sz w:val="21"/>
          <w:szCs w:val="21"/>
        </w:rPr>
      </w:pPr>
      <w:r w:rsidRPr="00DC5D04">
        <w:rPr>
          <w:rFonts w:ascii="Times New Roman" w:eastAsia="Times New Roman" w:hAnsi="Times New Roman" w:cs="Times New Roman"/>
          <w:b/>
          <w:bCs/>
          <w:sz w:val="21"/>
          <w:szCs w:val="21"/>
        </w:rPr>
        <w:t>Ключевые слова:</w:t>
      </w:r>
      <w:r w:rsidRPr="00DC5D04">
        <w:rPr>
          <w:rFonts w:ascii="Times New Roman" w:eastAsia="Times New Roman" w:hAnsi="Times New Roman" w:cs="Times New Roman"/>
          <w:sz w:val="21"/>
          <w:szCs w:val="21"/>
        </w:rPr>
        <w:t xml:space="preserve"> тёмные паттерны, цифровые сервисы, этика дизайна, манипулятивные технологии, пользовательский опыт, российский рынок, регулирование.</w:t>
      </w:r>
    </w:p>
    <w:p w14:paraId="7ADDBB80" w14:textId="77777777" w:rsidR="00DC5D04" w:rsidRPr="00DC5D04" w:rsidRDefault="00DC5D04" w:rsidP="00DC5D04">
      <w:pPr>
        <w:spacing w:after="0" w:line="240" w:lineRule="auto"/>
        <w:ind w:firstLine="720"/>
        <w:rPr>
          <w:rFonts w:ascii="Times New Roman" w:eastAsia="Times New Roman" w:hAnsi="Times New Roman" w:cs="Times New Roman"/>
          <w:sz w:val="21"/>
          <w:szCs w:val="21"/>
        </w:rPr>
      </w:pPr>
    </w:p>
    <w:p w14:paraId="276F1C81" w14:textId="77777777" w:rsidR="00DC5D04" w:rsidRPr="00DC5D04" w:rsidRDefault="00DC5D04" w:rsidP="00DC5D04">
      <w:pPr>
        <w:spacing w:after="0" w:line="240" w:lineRule="auto"/>
        <w:jc w:val="right"/>
        <w:rPr>
          <w:rFonts w:ascii="Times New Roman" w:eastAsia="Times New Roman" w:hAnsi="Times New Roman" w:cs="Times New Roman"/>
          <w:b/>
          <w:bCs/>
          <w:i/>
          <w:iCs/>
          <w:sz w:val="21"/>
          <w:szCs w:val="21"/>
          <w:lang w:val="en-US"/>
        </w:rPr>
      </w:pPr>
      <w:r w:rsidRPr="00DC5D04">
        <w:rPr>
          <w:rFonts w:ascii="Times New Roman" w:eastAsia="Times New Roman" w:hAnsi="Times New Roman" w:cs="Times New Roman"/>
          <w:b/>
          <w:bCs/>
          <w:i/>
          <w:iCs/>
          <w:sz w:val="21"/>
          <w:szCs w:val="21"/>
          <w:lang w:val="en-US"/>
        </w:rPr>
        <w:t>Babiychuk E.V.,</w:t>
      </w:r>
    </w:p>
    <w:p w14:paraId="6CA55634"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en-US"/>
        </w:rPr>
      </w:pPr>
      <w:r w:rsidRPr="00DC5D04">
        <w:rPr>
          <w:rFonts w:ascii="Times New Roman" w:eastAsia="Times New Roman" w:hAnsi="Times New Roman" w:cs="Times New Roman"/>
          <w:i/>
          <w:iCs/>
          <w:sz w:val="21"/>
          <w:szCs w:val="21"/>
          <w:lang w:val="en-US"/>
        </w:rPr>
        <w:t>2nd year student</w:t>
      </w:r>
    </w:p>
    <w:p w14:paraId="1DE904D3"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en-US"/>
        </w:rPr>
      </w:pPr>
      <w:r w:rsidRPr="00DC5D04">
        <w:rPr>
          <w:rFonts w:ascii="Times New Roman" w:eastAsia="Times New Roman" w:hAnsi="Times New Roman" w:cs="Times New Roman"/>
          <w:i/>
          <w:iCs/>
          <w:sz w:val="21"/>
          <w:szCs w:val="21"/>
          <w:lang w:val="en-US"/>
        </w:rPr>
        <w:t>Financial University under the Government of the Russian Federation</w:t>
      </w:r>
    </w:p>
    <w:p w14:paraId="0F6AD6EA"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it-IT"/>
        </w:rPr>
      </w:pPr>
      <w:r w:rsidRPr="00DC5D04">
        <w:rPr>
          <w:rFonts w:ascii="Times New Roman" w:eastAsia="Times New Roman" w:hAnsi="Times New Roman" w:cs="Times New Roman"/>
          <w:i/>
          <w:iCs/>
          <w:sz w:val="21"/>
          <w:szCs w:val="21"/>
          <w:lang w:val="it-IT"/>
        </w:rPr>
        <w:t>Krasnodar, Russia</w:t>
      </w:r>
    </w:p>
    <w:p w14:paraId="10C394B2"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it-IT"/>
        </w:rPr>
      </w:pPr>
      <w:r w:rsidRPr="00DC5D04">
        <w:rPr>
          <w:rFonts w:ascii="Times New Roman" w:eastAsia="Times New Roman" w:hAnsi="Times New Roman" w:cs="Times New Roman"/>
          <w:i/>
          <w:iCs/>
          <w:sz w:val="21"/>
          <w:szCs w:val="21"/>
          <w:lang w:val="it-IT"/>
        </w:rPr>
        <w:t>e-mail: youthlicyr@gmail.com</w:t>
      </w:r>
    </w:p>
    <w:p w14:paraId="286E4D35" w14:textId="77777777" w:rsidR="00720E7C" w:rsidRPr="00654CF2" w:rsidRDefault="00720E7C" w:rsidP="00DC5D04">
      <w:pPr>
        <w:spacing w:after="0" w:line="240" w:lineRule="auto"/>
        <w:jc w:val="right"/>
        <w:rPr>
          <w:rFonts w:ascii="Times New Roman" w:eastAsia="Times New Roman" w:hAnsi="Times New Roman" w:cs="Times New Roman"/>
          <w:b/>
          <w:bCs/>
          <w:i/>
          <w:iCs/>
          <w:sz w:val="21"/>
          <w:szCs w:val="21"/>
          <w:lang w:val="en-US"/>
        </w:rPr>
      </w:pPr>
    </w:p>
    <w:p w14:paraId="3A2C214B" w14:textId="042C0952" w:rsidR="00DC5D04" w:rsidRPr="00DC5D04" w:rsidRDefault="00DC5D04" w:rsidP="00DC5D04">
      <w:pPr>
        <w:spacing w:after="0" w:line="240" w:lineRule="auto"/>
        <w:jc w:val="right"/>
        <w:rPr>
          <w:rFonts w:ascii="Times New Roman" w:eastAsia="Times New Roman" w:hAnsi="Times New Roman" w:cs="Times New Roman"/>
          <w:b/>
          <w:bCs/>
          <w:i/>
          <w:iCs/>
          <w:sz w:val="21"/>
          <w:szCs w:val="21"/>
          <w:lang w:val="en-US"/>
        </w:rPr>
      </w:pPr>
      <w:r w:rsidRPr="00DC5D04">
        <w:rPr>
          <w:rFonts w:ascii="Times New Roman" w:eastAsia="Times New Roman" w:hAnsi="Times New Roman" w:cs="Times New Roman"/>
          <w:b/>
          <w:bCs/>
          <w:i/>
          <w:iCs/>
          <w:sz w:val="21"/>
          <w:szCs w:val="21"/>
          <w:lang w:val="en-US"/>
        </w:rPr>
        <w:t>Scientific Adviser:</w:t>
      </w:r>
    </w:p>
    <w:p w14:paraId="4A060FAA" w14:textId="77777777" w:rsidR="00DC5D04" w:rsidRPr="00DC5D04" w:rsidRDefault="00DC5D04" w:rsidP="00DC5D04">
      <w:pPr>
        <w:spacing w:after="0" w:line="240" w:lineRule="auto"/>
        <w:jc w:val="right"/>
        <w:rPr>
          <w:rFonts w:ascii="Times New Roman" w:eastAsia="Times New Roman" w:hAnsi="Times New Roman" w:cs="Times New Roman"/>
          <w:b/>
          <w:bCs/>
          <w:i/>
          <w:iCs/>
          <w:sz w:val="21"/>
          <w:szCs w:val="21"/>
          <w:lang w:val="en-US"/>
        </w:rPr>
      </w:pPr>
      <w:r w:rsidRPr="00DC5D04">
        <w:rPr>
          <w:rFonts w:ascii="Times New Roman" w:eastAsia="Times New Roman" w:hAnsi="Times New Roman" w:cs="Times New Roman"/>
          <w:b/>
          <w:bCs/>
          <w:i/>
          <w:iCs/>
          <w:sz w:val="21"/>
          <w:szCs w:val="21"/>
          <w:lang w:val="en-US"/>
        </w:rPr>
        <w:t>Anufrieva A.P.,</w:t>
      </w:r>
    </w:p>
    <w:p w14:paraId="6593C94B"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en-US"/>
        </w:rPr>
      </w:pPr>
      <w:r w:rsidRPr="00DC5D04">
        <w:rPr>
          <w:rFonts w:ascii="Times New Roman" w:eastAsia="Times New Roman" w:hAnsi="Times New Roman" w:cs="Times New Roman"/>
          <w:i/>
          <w:iCs/>
          <w:sz w:val="21"/>
          <w:szCs w:val="21"/>
          <w:lang w:val="en-US"/>
        </w:rPr>
        <w:t>Associate Professor of "Mathematics and Informatics" Department, PhD in Technical Sciences</w:t>
      </w:r>
    </w:p>
    <w:p w14:paraId="719E2898"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en-US"/>
        </w:rPr>
      </w:pPr>
      <w:r w:rsidRPr="00DC5D04">
        <w:rPr>
          <w:rFonts w:ascii="Times New Roman" w:eastAsia="Times New Roman" w:hAnsi="Times New Roman" w:cs="Times New Roman"/>
          <w:i/>
          <w:iCs/>
          <w:sz w:val="21"/>
          <w:szCs w:val="21"/>
          <w:lang w:val="en-US"/>
        </w:rPr>
        <w:t>Financial University under the Government of the Russian Federation</w:t>
      </w:r>
    </w:p>
    <w:p w14:paraId="5B885411"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it-IT"/>
        </w:rPr>
      </w:pPr>
      <w:r w:rsidRPr="00DC5D04">
        <w:rPr>
          <w:rFonts w:ascii="Times New Roman" w:eastAsia="Times New Roman" w:hAnsi="Times New Roman" w:cs="Times New Roman"/>
          <w:i/>
          <w:iCs/>
          <w:sz w:val="21"/>
          <w:szCs w:val="21"/>
          <w:lang w:val="it-IT"/>
        </w:rPr>
        <w:t>Krasnodar, Russia</w:t>
      </w:r>
    </w:p>
    <w:p w14:paraId="180DEBF7" w14:textId="77777777" w:rsidR="00DC5D04" w:rsidRPr="00DC5D04" w:rsidRDefault="00DC5D04" w:rsidP="00DC5D04">
      <w:pPr>
        <w:spacing w:after="0" w:line="240" w:lineRule="auto"/>
        <w:jc w:val="right"/>
        <w:rPr>
          <w:rFonts w:ascii="Times New Roman" w:eastAsia="Times New Roman" w:hAnsi="Times New Roman" w:cs="Times New Roman"/>
          <w:i/>
          <w:iCs/>
          <w:sz w:val="21"/>
          <w:szCs w:val="21"/>
          <w:lang w:val="it-IT"/>
        </w:rPr>
      </w:pPr>
      <w:r w:rsidRPr="00DC5D04">
        <w:rPr>
          <w:rFonts w:ascii="Times New Roman" w:eastAsia="Times New Roman" w:hAnsi="Times New Roman" w:cs="Times New Roman"/>
          <w:i/>
          <w:iCs/>
          <w:sz w:val="21"/>
          <w:szCs w:val="21"/>
          <w:lang w:val="it-IT"/>
        </w:rPr>
        <w:t xml:space="preserve">e-mail: </w:t>
      </w:r>
      <w:hyperlink r:id="rId365" w:history="1">
        <w:r w:rsidRPr="00DC5D04">
          <w:rPr>
            <w:rFonts w:ascii="Times New Roman" w:eastAsia="Times New Roman" w:hAnsi="Times New Roman" w:cs="Times New Roman"/>
            <w:color w:val="0000FF"/>
            <w:sz w:val="21"/>
            <w:szCs w:val="21"/>
            <w:u w:val="single"/>
            <w:lang w:val="it-IT"/>
          </w:rPr>
          <w:t>apanufrieva@fa.ru</w:t>
        </w:r>
      </w:hyperlink>
    </w:p>
    <w:p w14:paraId="692229C3" w14:textId="77777777" w:rsidR="00DC5D04" w:rsidRPr="00DC5D04" w:rsidRDefault="00DC5D04" w:rsidP="00DC5D04">
      <w:pPr>
        <w:spacing w:after="0" w:line="240" w:lineRule="auto"/>
        <w:rPr>
          <w:rFonts w:ascii="Times New Roman" w:eastAsia="Times New Roman" w:hAnsi="Times New Roman" w:cs="Times New Roman"/>
          <w:sz w:val="21"/>
          <w:szCs w:val="21"/>
          <w:lang w:val="it-IT"/>
        </w:rPr>
      </w:pPr>
      <w:r w:rsidRPr="00DC5D04">
        <w:rPr>
          <w:rFonts w:ascii="Times New Roman" w:eastAsia="Times New Roman" w:hAnsi="Times New Roman" w:cs="Times New Roman"/>
          <w:sz w:val="21"/>
          <w:szCs w:val="21"/>
          <w:lang w:val="it-IT"/>
        </w:rPr>
        <w:t xml:space="preserve"> </w:t>
      </w:r>
    </w:p>
    <w:p w14:paraId="5EA8FF2C" w14:textId="77777777" w:rsidR="00DC5D04" w:rsidRPr="00654CF2" w:rsidRDefault="00DC5D04" w:rsidP="00DC5D04">
      <w:pPr>
        <w:spacing w:after="0" w:line="240" w:lineRule="auto"/>
        <w:jc w:val="center"/>
        <w:rPr>
          <w:rFonts w:ascii="Times New Roman" w:eastAsia="Times New Roman" w:hAnsi="Times New Roman" w:cs="Times New Roman"/>
          <w:b/>
          <w:bCs/>
          <w:sz w:val="21"/>
          <w:szCs w:val="21"/>
          <w:lang w:val="en-US"/>
        </w:rPr>
      </w:pPr>
      <w:r w:rsidRPr="00DC5D04">
        <w:rPr>
          <w:rFonts w:ascii="Times New Roman" w:eastAsia="Times New Roman" w:hAnsi="Times New Roman" w:cs="Times New Roman"/>
          <w:b/>
          <w:bCs/>
          <w:sz w:val="21"/>
          <w:szCs w:val="21"/>
          <w:lang w:val="en-US"/>
        </w:rPr>
        <w:t>Dark Patterns in Russian Digital Services: Ethics and Profit</w:t>
      </w:r>
    </w:p>
    <w:p w14:paraId="55D5BFCD" w14:textId="77777777" w:rsidR="00720E7C" w:rsidRPr="00654CF2" w:rsidRDefault="00720E7C" w:rsidP="00DC5D04">
      <w:pPr>
        <w:spacing w:after="0" w:line="240" w:lineRule="auto"/>
        <w:jc w:val="center"/>
        <w:rPr>
          <w:rFonts w:ascii="Times New Roman" w:eastAsia="Times New Roman" w:hAnsi="Times New Roman" w:cs="Times New Roman"/>
          <w:b/>
          <w:bCs/>
          <w:sz w:val="21"/>
          <w:szCs w:val="21"/>
          <w:lang w:val="en-US"/>
        </w:rPr>
      </w:pPr>
    </w:p>
    <w:p w14:paraId="145212F4" w14:textId="77777777" w:rsidR="00DC5D04" w:rsidRPr="00DC5D04" w:rsidRDefault="00DC5D04" w:rsidP="00DC5D04">
      <w:pPr>
        <w:spacing w:after="0" w:line="240" w:lineRule="auto"/>
        <w:ind w:firstLine="709"/>
        <w:rPr>
          <w:rFonts w:ascii="Times New Roman" w:eastAsia="Times New Roman" w:hAnsi="Times New Roman" w:cs="Times New Roman"/>
          <w:sz w:val="21"/>
          <w:szCs w:val="21"/>
          <w:lang w:val="en-US"/>
        </w:rPr>
      </w:pPr>
      <w:r w:rsidRPr="00DC5D04">
        <w:rPr>
          <w:rFonts w:ascii="Times New Roman" w:eastAsia="Times New Roman" w:hAnsi="Times New Roman" w:cs="Times New Roman"/>
          <w:sz w:val="21"/>
          <w:szCs w:val="21"/>
          <w:lang w:val="en-US"/>
        </w:rPr>
        <w:t xml:space="preserve"> </w:t>
      </w:r>
      <w:r w:rsidRPr="00DC5D04">
        <w:rPr>
          <w:rFonts w:ascii="Times New Roman" w:eastAsia="Times New Roman" w:hAnsi="Times New Roman" w:cs="Times New Roman"/>
          <w:b/>
          <w:bCs/>
          <w:sz w:val="21"/>
          <w:szCs w:val="21"/>
          <w:lang w:val="en-US"/>
        </w:rPr>
        <w:t>Abstract:</w:t>
      </w:r>
      <w:r w:rsidRPr="00DC5D04">
        <w:rPr>
          <w:rFonts w:ascii="Times New Roman" w:eastAsia="Times New Roman" w:hAnsi="Times New Roman" w:cs="Times New Roman"/>
          <w:sz w:val="21"/>
          <w:szCs w:val="21"/>
          <w:lang w:val="en-US"/>
        </w:rPr>
        <w:t xml:space="preserve"> The article examines dark patterns in Russian digital services, their impact on user experience, and the ethical implications of their use. It analyzes common methods of user behavior manipulation aimed at increasing company profits, as well as potential consequences for consumer trust and brand reputation. The study explores prospects for regulation and the development of more transparent interfaces that balance commercial interests with ethical standards.</w:t>
      </w:r>
    </w:p>
    <w:p w14:paraId="2BADD78F" w14:textId="77777777" w:rsidR="00DC5D04" w:rsidRPr="00DC5D04" w:rsidRDefault="00DC5D04" w:rsidP="00720E7C">
      <w:pPr>
        <w:spacing w:after="0" w:line="240" w:lineRule="auto"/>
        <w:jc w:val="both"/>
        <w:rPr>
          <w:rFonts w:ascii="Times New Roman" w:eastAsia="Times New Roman" w:hAnsi="Times New Roman" w:cs="Times New Roman"/>
          <w:sz w:val="21"/>
          <w:szCs w:val="21"/>
          <w:lang w:val="en-US"/>
        </w:rPr>
      </w:pPr>
      <w:r w:rsidRPr="00DC5D04">
        <w:rPr>
          <w:rFonts w:ascii="Times New Roman" w:eastAsia="Times New Roman" w:hAnsi="Times New Roman" w:cs="Times New Roman"/>
          <w:sz w:val="21"/>
          <w:szCs w:val="21"/>
          <w:lang w:val="en-US"/>
        </w:rPr>
        <w:t xml:space="preserve"> </w:t>
      </w:r>
      <w:r w:rsidRPr="00DC5D04">
        <w:rPr>
          <w:rFonts w:ascii="Cambria" w:eastAsia="MS Mincho" w:hAnsi="Cambria" w:cs="Arial"/>
          <w:lang w:val="en-US"/>
        </w:rPr>
        <w:tab/>
      </w:r>
      <w:r w:rsidRPr="00DC5D04">
        <w:rPr>
          <w:rFonts w:ascii="Times New Roman" w:eastAsia="Times New Roman" w:hAnsi="Times New Roman" w:cs="Times New Roman"/>
          <w:b/>
          <w:bCs/>
          <w:sz w:val="21"/>
          <w:szCs w:val="21"/>
          <w:lang w:val="en-US"/>
        </w:rPr>
        <w:t>Keywords:</w:t>
      </w:r>
      <w:r w:rsidRPr="00DC5D04">
        <w:rPr>
          <w:rFonts w:ascii="Times New Roman" w:eastAsia="Times New Roman" w:hAnsi="Times New Roman" w:cs="Times New Roman"/>
          <w:sz w:val="21"/>
          <w:szCs w:val="21"/>
          <w:lang w:val="en-US"/>
        </w:rPr>
        <w:t xml:space="preserve"> dark patterns, digital services, design ethics, manipulative technologies, user experience, Russian market, regulation.</w:t>
      </w:r>
    </w:p>
    <w:p w14:paraId="705CDD0E" w14:textId="77777777" w:rsidR="00720E7C" w:rsidRPr="00654CF2" w:rsidRDefault="00720E7C" w:rsidP="00DC5D04">
      <w:pPr>
        <w:spacing w:after="0" w:line="240" w:lineRule="auto"/>
        <w:ind w:firstLine="709"/>
        <w:jc w:val="both"/>
        <w:rPr>
          <w:rFonts w:ascii="Times New Roman" w:eastAsia="Times New Roman" w:hAnsi="Times New Roman" w:cs="Times New Roman"/>
          <w:sz w:val="32"/>
          <w:szCs w:val="32"/>
          <w:lang w:val="en-US"/>
        </w:rPr>
      </w:pPr>
    </w:p>
    <w:p w14:paraId="1781A6A8" w14:textId="4591404E"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В эпоху цифровой трансформации российские компании активно внедряют технологии, повышающие конверсию, однако многие из них пересекают грань этичности. Тёмные паттерны (dark patterns) - </w:t>
      </w:r>
      <w:r w:rsidRPr="00DC5D04">
        <w:rPr>
          <w:rFonts w:ascii="Times New Roman" w:eastAsia="Times New Roman" w:hAnsi="Times New Roman" w:cs="Times New Roman"/>
          <w:sz w:val="32"/>
          <w:szCs w:val="32"/>
        </w:rPr>
        <w:lastRenderedPageBreak/>
        <w:t>манипулятивные элементы интерфейса - стали распространённым инструментом увеличения прибыли за счёт пользователей. По данным Роскачества (2023), 78% россиян сталкивались с навязчивыми подписками или скрытыми платежами в популярных сервисах [3][8].  Проблема требует анализа, так как баланс между прибылью и этикой остаётся нерешённым: отсутствие чёткого регулирования и низкая осведомлённость пользователей усугубляют ситуацию.</w:t>
      </w:r>
    </w:p>
    <w:p w14:paraId="63E32BBC"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Использование тёмных паттернов в российских цифровых сервисах приносит краткосрочную выгоду бизнесу, но ведёт к долгосрочным репутационным и юридическим рискам, что требует пересмотра подходов к дизайну на основе этических принципов и регуляторных мер.</w:t>
      </w:r>
    </w:p>
    <w:p w14:paraId="1D11A7B0"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Классификация манипулятивных практик: как компании обманывают пользователей.</w:t>
      </w:r>
    </w:p>
    <w:p w14:paraId="495ABCFD"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Современный цифровой ландшафт Рунета насыщен скрытыми уловками, призванными максимизировать прибыль компаний за счет потребителей. На основе исследований А. Громова (2021) и данных Федеральной антимонопольной службы (ФАС) можно выделить наиболее агрессивные и распространенные темные паттерны [1][2]:</w:t>
      </w:r>
    </w:p>
    <w:p w14:paraId="39111CA3"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Скрытые подписки (Яндекс.Музыка, IVI). Пользователю предлагают бесплатный пробный период, но отмена подписки требует 5-7 сложных действий, в то время как оформление занимает всего 1-2 клика. Это создает искусственные барьеры, повышая вероятность случайного продления платной услуги [5].</w:t>
      </w:r>
    </w:p>
    <w:p w14:paraId="6084742D"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Ложный дефицит (Ozon, Wildberries). Навязчивые сообщения вроде "Остался последний товар!" или "У 20 человек в корзине" манипулируют страхом упустить выгоду. На деле запасы могут превышать 50+ единиц, что подтверждается внутренними данными маркетплейсов [</w:t>
      </w:r>
      <w:proofErr w:type="gramStart"/>
      <w:r w:rsidRPr="00DC5D04">
        <w:rPr>
          <w:rFonts w:ascii="Times New Roman" w:eastAsia="Times New Roman" w:hAnsi="Times New Roman" w:cs="Times New Roman"/>
          <w:sz w:val="32"/>
          <w:szCs w:val="32"/>
        </w:rPr>
        <w:t>3][</w:t>
      </w:r>
      <w:proofErr w:type="gramEnd"/>
      <w:r w:rsidRPr="00DC5D04">
        <w:rPr>
          <w:rFonts w:ascii="Times New Roman" w:eastAsia="Times New Roman" w:hAnsi="Times New Roman" w:cs="Times New Roman"/>
          <w:sz w:val="32"/>
          <w:szCs w:val="32"/>
        </w:rPr>
        <w:t>13].</w:t>
      </w:r>
    </w:p>
    <w:p w14:paraId="5469CFD1"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Pre-ticked галочки (авиакомпании, банки, онлайн-сервисы). Страховка, платные допуслуги или рассылка спама автоматически добавляются в корзину. Пользователь, не заметив подвоха, переплачивает 10-30% от исходной стоимости [</w:t>
      </w:r>
      <w:proofErr w:type="gramStart"/>
      <w:r w:rsidRPr="00DC5D04">
        <w:rPr>
          <w:rFonts w:ascii="Times New Roman" w:eastAsia="Times New Roman" w:hAnsi="Times New Roman" w:cs="Times New Roman"/>
          <w:sz w:val="32"/>
          <w:szCs w:val="32"/>
        </w:rPr>
        <w:t>5][</w:t>
      </w:r>
      <w:proofErr w:type="gramEnd"/>
      <w:r w:rsidRPr="00DC5D04">
        <w:rPr>
          <w:rFonts w:ascii="Times New Roman" w:eastAsia="Times New Roman" w:hAnsi="Times New Roman" w:cs="Times New Roman"/>
          <w:sz w:val="32"/>
          <w:szCs w:val="32"/>
        </w:rPr>
        <w:t>19].</w:t>
      </w:r>
    </w:p>
    <w:p w14:paraId="7A566D39"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Эти методы не просто вводят в заблуждение - они систематически эксплуатируют когнитивные искажения пользователей, нарушая принципы добросовестной </w:t>
      </w:r>
      <w:proofErr w:type="gramStart"/>
      <w:r w:rsidRPr="00DC5D04">
        <w:rPr>
          <w:rFonts w:ascii="Times New Roman" w:eastAsia="Times New Roman" w:hAnsi="Times New Roman" w:cs="Times New Roman"/>
          <w:sz w:val="32"/>
          <w:szCs w:val="32"/>
        </w:rPr>
        <w:t>конкуренции .</w:t>
      </w:r>
      <w:proofErr w:type="gramEnd"/>
    </w:p>
    <w:p w14:paraId="60A91DEA"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Экономика против этики: почему компании идут на риск?</w:t>
      </w:r>
    </w:p>
    <w:p w14:paraId="52ED7DBD"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lastRenderedPageBreak/>
        <w:t>Анализ реальных кейсов демонстрирует острое противоречие между краткосрочной выгодой и долгосрочными репутационными рисками.</w:t>
      </w:r>
    </w:p>
    <w:p w14:paraId="7BFD8C6E" w14:textId="77777777" w:rsidR="00DC5D04" w:rsidRPr="00DC5D04" w:rsidRDefault="00DC5D04" w:rsidP="00AD58CD">
      <w:pPr>
        <w:numPr>
          <w:ilvl w:val="0"/>
          <w:numId w:val="223"/>
        </w:numPr>
        <w:spacing w:after="0" w:line="240" w:lineRule="auto"/>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Выгода для бизнеса:</w:t>
      </w:r>
    </w:p>
    <w:p w14:paraId="490150D2"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По данным отчета Сбербанка (2022), агрессивные всплывающие окна с акциями ("Только сейчас скидка 50%!") повысили конверсию СберМаркета на 15% [</w:t>
      </w:r>
      <w:proofErr w:type="gramStart"/>
      <w:r w:rsidRPr="00DC5D04">
        <w:rPr>
          <w:rFonts w:ascii="Times New Roman" w:eastAsia="Times New Roman" w:hAnsi="Times New Roman" w:cs="Times New Roman"/>
          <w:sz w:val="32"/>
          <w:szCs w:val="32"/>
        </w:rPr>
        <w:t>4][</w:t>
      </w:r>
      <w:proofErr w:type="gramEnd"/>
      <w:r w:rsidRPr="00DC5D04">
        <w:rPr>
          <w:rFonts w:ascii="Times New Roman" w:eastAsia="Times New Roman" w:hAnsi="Times New Roman" w:cs="Times New Roman"/>
          <w:sz w:val="32"/>
          <w:szCs w:val="32"/>
        </w:rPr>
        <w:t>15]. Аналогичные приемы используют Wildberries и AliExpress, искусственно стимулируя спрос [3].</w:t>
      </w:r>
    </w:p>
    <w:p w14:paraId="528661AD" w14:textId="77777777" w:rsidR="00DC5D04" w:rsidRPr="00DC5D04" w:rsidRDefault="00DC5D04" w:rsidP="00AD58CD">
      <w:pPr>
        <w:numPr>
          <w:ilvl w:val="0"/>
          <w:numId w:val="223"/>
        </w:numPr>
        <w:spacing w:after="0" w:line="240" w:lineRule="auto"/>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Юридические и репутационные потери:</w:t>
      </w:r>
    </w:p>
    <w:p w14:paraId="085E1E71"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В 2023 году Wildberries получил штраф ФАС в 2,4 млн рублей за навязывание платных услуг через скрытые галочки [5]. После волны негатива в соцсетях компания была вынуждена упростить процесс отказа.</w:t>
      </w:r>
    </w:p>
    <w:p w14:paraId="1DC27A71"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Исходя из написанного выше, мы можем сделать вывод, что темные паттерны приносят быструю прибыль, но при обнаружении ведут к штрафам, потере доверия и оттоку клиентов.</w:t>
      </w:r>
    </w:p>
    <w:p w14:paraId="48E00D07"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Психологический эффект: почему пользователи попадают в ловушку?</w:t>
      </w:r>
    </w:p>
    <w:p w14:paraId="5660A66D"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Исследование НИУ ВШЭ (2023) раскрывает тревожную статистику:</w:t>
      </w:r>
    </w:p>
    <w:p w14:paraId="54DD781E"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- 62% пользователей не замечают манипуляций при первом взаимодействии.</w:t>
      </w:r>
    </w:p>
    <w:p w14:paraId="4F55EC8A"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Однако 89% опрошенных, осознав обман, испытывают разочарование и недоверие к бренду [</w:t>
      </w:r>
      <w:proofErr w:type="gramStart"/>
      <w:r w:rsidRPr="00DC5D04">
        <w:rPr>
          <w:rFonts w:ascii="Times New Roman" w:eastAsia="Times New Roman" w:hAnsi="Times New Roman" w:cs="Times New Roman"/>
          <w:sz w:val="32"/>
          <w:szCs w:val="32"/>
        </w:rPr>
        <w:t>3][</w:t>
      </w:r>
      <w:proofErr w:type="gramEnd"/>
      <w:r w:rsidRPr="00DC5D04">
        <w:rPr>
          <w:rFonts w:ascii="Times New Roman" w:eastAsia="Times New Roman" w:hAnsi="Times New Roman" w:cs="Times New Roman"/>
          <w:sz w:val="32"/>
          <w:szCs w:val="32"/>
        </w:rPr>
        <w:t>13].</w:t>
      </w:r>
    </w:p>
    <w:p w14:paraId="2E605B93"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Почему это работает?</w:t>
      </w:r>
    </w:p>
    <w:p w14:paraId="41A5F064"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Эффект "по умолчанию": Люди склонны соглашаться с предустановленными настройками [1].</w:t>
      </w:r>
    </w:p>
    <w:p w14:paraId="16040BF1"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FOMO (Fear of Missing Out): Страх упустить выгоду заставляет совершать импульсные покупки [4].</w:t>
      </w:r>
    </w:p>
    <w:p w14:paraId="344AC756"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Усталость от выбора: Сложные интерфейсы намеренно перегружают пользователя, заставляя его сдаться и принять невыгодные условия [12].</w:t>
      </w:r>
    </w:p>
    <w:p w14:paraId="33CDFD38"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Темные паттерны </w:t>
      </w:r>
      <w:proofErr w:type="gramStart"/>
      <w:r w:rsidRPr="00DC5D04">
        <w:rPr>
          <w:rFonts w:ascii="Times New Roman" w:eastAsia="Times New Roman" w:hAnsi="Times New Roman" w:cs="Times New Roman"/>
          <w:sz w:val="32"/>
          <w:szCs w:val="32"/>
        </w:rPr>
        <w:t>- это</w:t>
      </w:r>
      <w:proofErr w:type="gramEnd"/>
      <w:r w:rsidRPr="00DC5D04">
        <w:rPr>
          <w:rFonts w:ascii="Times New Roman" w:eastAsia="Times New Roman" w:hAnsi="Times New Roman" w:cs="Times New Roman"/>
          <w:sz w:val="32"/>
          <w:szCs w:val="32"/>
        </w:rPr>
        <w:t xml:space="preserve"> не просто "хитрый маркетинг", а реальная угроза для цифрового доверия. Пока регуляторы ужесточают контроль (как в случае с ФАС), компании стоят перед выбором: краткосрочная прибыль или долгосрочные отношения с клиентами.</w:t>
      </w:r>
    </w:p>
    <w:p w14:paraId="0078120F"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Осознанность пользователей растет - и те, кто продолжает манипулировать, рискуют остаться не только без лояльности, но и без аудитории.</w:t>
      </w:r>
    </w:p>
    <w:p w14:paraId="19596C38"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lastRenderedPageBreak/>
        <w:t>Свежий мониторинг ФАС, Роскачества и Digital Rights Center выявил:</w:t>
      </w:r>
    </w:p>
    <w:p w14:paraId="16995E9D" w14:textId="77777777" w:rsidR="00DC5D04" w:rsidRPr="00DC5D04" w:rsidRDefault="00DC5D04" w:rsidP="00AD58CD">
      <w:pPr>
        <w:numPr>
          <w:ilvl w:val="0"/>
          <w:numId w:val="224"/>
        </w:numPr>
        <w:spacing w:after="0" w:line="240" w:lineRule="auto"/>
        <w:ind w:left="0"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Рост темных паттернов на 27% за год, особенно в нише онлайн-образования и фудтех-сервисов (например, скрытое списание средств за "продление доступа" к курсам) [</w:t>
      </w:r>
      <w:proofErr w:type="gramStart"/>
      <w:r w:rsidRPr="00DC5D04">
        <w:rPr>
          <w:rFonts w:ascii="Times New Roman" w:eastAsia="Times New Roman" w:hAnsi="Times New Roman" w:cs="Times New Roman"/>
          <w:sz w:val="32"/>
          <w:szCs w:val="32"/>
        </w:rPr>
        <w:t>3][</w:t>
      </w:r>
      <w:proofErr w:type="gramEnd"/>
      <w:r w:rsidRPr="00DC5D04">
        <w:rPr>
          <w:rFonts w:ascii="Times New Roman" w:eastAsia="Times New Roman" w:hAnsi="Times New Roman" w:cs="Times New Roman"/>
          <w:sz w:val="32"/>
          <w:szCs w:val="32"/>
        </w:rPr>
        <w:t>13].</w:t>
      </w:r>
    </w:p>
    <w:p w14:paraId="14CF69D8" w14:textId="77777777" w:rsidR="00DC5D04" w:rsidRPr="00DC5D04" w:rsidRDefault="00DC5D04" w:rsidP="00AD58CD">
      <w:pPr>
        <w:numPr>
          <w:ilvl w:val="0"/>
          <w:numId w:val="224"/>
        </w:numPr>
        <w:spacing w:after="0" w:line="240" w:lineRule="auto"/>
        <w:ind w:left="0"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Новые схемы:</w:t>
      </w:r>
    </w:p>
    <w:p w14:paraId="741C3328"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"Фантомные скидки" (Wildberries, Ozon): цена сначала завышается, затем "снижается" до исходной с пометкой "-50%" [3][8].</w:t>
      </w:r>
    </w:p>
    <w:p w14:paraId="78E38A1D"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"Подписка в подписке" (Яндекс Плюс, IVI): пользователи автоматически подключают премиум-услуги при оплате основного тарифа [</w:t>
      </w:r>
      <w:proofErr w:type="gramStart"/>
      <w:r w:rsidRPr="00DC5D04">
        <w:rPr>
          <w:rFonts w:ascii="Times New Roman" w:eastAsia="Times New Roman" w:hAnsi="Times New Roman" w:cs="Times New Roman"/>
          <w:sz w:val="32"/>
          <w:szCs w:val="32"/>
        </w:rPr>
        <w:t>2][</w:t>
      </w:r>
      <w:proofErr w:type="gramEnd"/>
      <w:r w:rsidRPr="00DC5D04">
        <w:rPr>
          <w:rFonts w:ascii="Times New Roman" w:eastAsia="Times New Roman" w:hAnsi="Times New Roman" w:cs="Times New Roman"/>
          <w:sz w:val="32"/>
          <w:szCs w:val="32"/>
        </w:rPr>
        <w:t>12].</w:t>
      </w:r>
    </w:p>
    <w:p w14:paraId="4C367771"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 AI-манипуляции: чат-боты Сбера и Тинькофф навязывают страховку через диалоги, имитирующие "заботу" ("Рекомендуем защитить платеж!") </w:t>
      </w:r>
      <w:r w:rsidRPr="00DC5D04">
        <w:rPr>
          <w:rFonts w:ascii="Times New Roman" w:eastAsia="Times New Roman" w:hAnsi="Times New Roman" w:cs="Times New Roman"/>
          <w:sz w:val="32"/>
          <w:szCs w:val="32"/>
          <w:lang w:val="en-US"/>
        </w:rPr>
        <w:t>[</w:t>
      </w:r>
      <w:proofErr w:type="gramStart"/>
      <w:r w:rsidRPr="00DC5D04">
        <w:rPr>
          <w:rFonts w:ascii="Times New Roman" w:eastAsia="Times New Roman" w:hAnsi="Times New Roman" w:cs="Times New Roman"/>
          <w:sz w:val="32"/>
          <w:szCs w:val="32"/>
          <w:lang w:val="en-US"/>
        </w:rPr>
        <w:t>4][</w:t>
      </w:r>
      <w:proofErr w:type="gramEnd"/>
      <w:r w:rsidRPr="00DC5D04">
        <w:rPr>
          <w:rFonts w:ascii="Times New Roman" w:eastAsia="Times New Roman" w:hAnsi="Times New Roman" w:cs="Times New Roman"/>
          <w:sz w:val="32"/>
          <w:szCs w:val="32"/>
          <w:lang w:val="en-US"/>
        </w:rPr>
        <w:t>15]</w:t>
      </w:r>
      <w:r w:rsidRPr="00DC5D04">
        <w:rPr>
          <w:rFonts w:ascii="Times New Roman" w:eastAsia="Times New Roman" w:hAnsi="Times New Roman" w:cs="Times New Roman"/>
          <w:sz w:val="32"/>
          <w:szCs w:val="32"/>
        </w:rPr>
        <w:t>.</w:t>
      </w:r>
    </w:p>
    <w:p w14:paraId="6090FC18"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Скандалы 2024:</w:t>
      </w:r>
    </w:p>
    <w:p w14:paraId="352420F3" w14:textId="77777777" w:rsidR="00DC5D04" w:rsidRPr="00DC5D04" w:rsidRDefault="00DC5D04" w:rsidP="00AD58CD">
      <w:pPr>
        <w:numPr>
          <w:ilvl w:val="0"/>
          <w:numId w:val="225"/>
        </w:numPr>
        <w:spacing w:after="0" w:line="240" w:lineRule="auto"/>
        <w:ind w:left="0"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"ВкусВилл" оштрафован на 4.8 млн руб. за предварительно отмеченные галочки в доставке (апрель 2024) [19].</w:t>
      </w:r>
    </w:p>
    <w:p w14:paraId="4610EA43" w14:textId="77777777" w:rsidR="00DC5D04" w:rsidRPr="00DC5D04" w:rsidRDefault="00DC5D04" w:rsidP="00AD58CD">
      <w:pPr>
        <w:numPr>
          <w:ilvl w:val="0"/>
          <w:numId w:val="225"/>
        </w:numPr>
        <w:spacing w:after="0" w:line="240" w:lineRule="auto"/>
        <w:ind w:left="0"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"СберМаркет" получил предупреждение за фальшивый обратный отсчет ("До конца акции 00:01" - таймер не заканчивается) [3].</w:t>
      </w:r>
    </w:p>
    <w:p w14:paraId="11F7D9F8"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В 2024 году мир активно усиливает борьбу с манипулятивными практиками в цифровой среде. Вот ключевые нововведения:</w:t>
      </w:r>
    </w:p>
    <w:p w14:paraId="6C71B976"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В Евросоюзе с февраля 2024 года вступил в силу Digital Services Act (DSA), который приравнивает вводящие в заблуждение шаблоны проектирования в дизайне к незаконному контенту. Это означает, что компании, использующие подобные уловки, могут столкнуться с серьезными санкциями, включая блокировку сервисов [</w:t>
      </w:r>
      <w:proofErr w:type="gramStart"/>
      <w:r w:rsidRPr="00DC5D04">
        <w:rPr>
          <w:rFonts w:ascii="Times New Roman" w:eastAsia="Times New Roman" w:hAnsi="Times New Roman" w:cs="Times New Roman"/>
          <w:sz w:val="32"/>
          <w:szCs w:val="32"/>
        </w:rPr>
        <w:t>10][</w:t>
      </w:r>
      <w:proofErr w:type="gramEnd"/>
      <w:r w:rsidRPr="00DC5D04">
        <w:rPr>
          <w:rFonts w:ascii="Times New Roman" w:eastAsia="Times New Roman" w:hAnsi="Times New Roman" w:cs="Times New Roman"/>
          <w:sz w:val="32"/>
          <w:szCs w:val="32"/>
        </w:rPr>
        <w:t>20].</w:t>
      </w:r>
    </w:p>
    <w:p w14:paraId="61E4D0D0"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В США принят закон "Dark Patterns Prevention Act", который предусматривает уголовную ответственность для топ-менеджеров компаний, системно применяющих манипулятивный дизайн. Этот закон сравнивают с Sarbanes-Oxley, ужесточившим корпоративную отчетность после скандалов начала 2000-х [14].</w:t>
      </w:r>
    </w:p>
    <w:p w14:paraId="222B999A" w14:textId="77777777" w:rsidR="00DC5D04" w:rsidRPr="00DC5D04" w:rsidRDefault="00DC5D04" w:rsidP="00DC5D04">
      <w:pPr>
        <w:spacing w:after="0" w:line="240" w:lineRule="auto"/>
        <w:ind w:firstLine="709"/>
        <w:contextualSpacing/>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В России также обсуждаются меры против темных паттернов. В частности, рассматривается поправка в КоАП (ст. 14.8), которая позволит штрафовать компании на до 10% оборота [11].</w:t>
      </w:r>
    </w:p>
    <w:p w14:paraId="7DB05AD8"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Таким образом, мировая практика показывает: регуляторы больше не готовы мириться с обманом пользователей, а компании, игнорирующие этические стандарты, рискуют не только деньгами, но и репутацией.</w:t>
      </w:r>
    </w:p>
    <w:p w14:paraId="719A0F9F"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lastRenderedPageBreak/>
        <w:t>Сравнение глобального и российского регуляторных ответов:</w:t>
      </w:r>
    </w:p>
    <w:tbl>
      <w:tblPr>
        <w:tblStyle w:val="150"/>
        <w:tblW w:w="0" w:type="auto"/>
        <w:tblInd w:w="0" w:type="dxa"/>
        <w:tblLook w:val="04A0" w:firstRow="1" w:lastRow="0" w:firstColumn="1" w:lastColumn="0" w:noHBand="0" w:noVBand="1"/>
      </w:tblPr>
      <w:tblGrid>
        <w:gridCol w:w="3233"/>
        <w:gridCol w:w="3211"/>
        <w:gridCol w:w="3198"/>
      </w:tblGrid>
      <w:tr w:rsidR="00DC5D04" w:rsidRPr="00DC5D04" w14:paraId="7C18120B" w14:textId="77777777">
        <w:tc>
          <w:tcPr>
            <w:tcW w:w="3320" w:type="dxa"/>
            <w:tcBorders>
              <w:top w:val="single" w:sz="4" w:space="0" w:color="auto"/>
              <w:left w:val="single" w:sz="4" w:space="0" w:color="auto"/>
              <w:bottom w:val="single" w:sz="4" w:space="0" w:color="auto"/>
              <w:right w:val="single" w:sz="4" w:space="0" w:color="auto"/>
            </w:tcBorders>
            <w:hideMark/>
          </w:tcPr>
          <w:p w14:paraId="3E562A0B"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Критерий</w:t>
            </w:r>
          </w:p>
        </w:tc>
        <w:tc>
          <w:tcPr>
            <w:tcW w:w="3321" w:type="dxa"/>
            <w:tcBorders>
              <w:top w:val="single" w:sz="4" w:space="0" w:color="auto"/>
              <w:left w:val="single" w:sz="4" w:space="0" w:color="auto"/>
              <w:bottom w:val="single" w:sz="4" w:space="0" w:color="auto"/>
              <w:right w:val="single" w:sz="4" w:space="0" w:color="auto"/>
            </w:tcBorders>
            <w:hideMark/>
          </w:tcPr>
          <w:p w14:paraId="0A97B567"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DSA (ЕС, 2024) [10]</w:t>
            </w:r>
          </w:p>
        </w:tc>
        <w:tc>
          <w:tcPr>
            <w:tcW w:w="3321" w:type="dxa"/>
            <w:tcBorders>
              <w:top w:val="single" w:sz="4" w:space="0" w:color="auto"/>
              <w:left w:val="single" w:sz="4" w:space="0" w:color="auto"/>
              <w:bottom w:val="single" w:sz="4" w:space="0" w:color="auto"/>
              <w:right w:val="single" w:sz="4" w:space="0" w:color="auto"/>
            </w:tcBorders>
            <w:hideMark/>
          </w:tcPr>
          <w:p w14:paraId="7916D5E1"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152-ФЗ (РФ) [9]</w:t>
            </w:r>
          </w:p>
        </w:tc>
      </w:tr>
      <w:tr w:rsidR="00DC5D04" w:rsidRPr="00DC5D04" w14:paraId="606EF699" w14:textId="77777777">
        <w:tc>
          <w:tcPr>
            <w:tcW w:w="3320" w:type="dxa"/>
            <w:tcBorders>
              <w:top w:val="single" w:sz="4" w:space="0" w:color="auto"/>
              <w:left w:val="single" w:sz="4" w:space="0" w:color="auto"/>
              <w:bottom w:val="single" w:sz="4" w:space="0" w:color="auto"/>
              <w:right w:val="single" w:sz="4" w:space="0" w:color="auto"/>
            </w:tcBorders>
            <w:hideMark/>
          </w:tcPr>
          <w:p w14:paraId="42793332"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Штрафы</w:t>
            </w:r>
          </w:p>
        </w:tc>
        <w:tc>
          <w:tcPr>
            <w:tcW w:w="3321" w:type="dxa"/>
            <w:tcBorders>
              <w:top w:val="single" w:sz="4" w:space="0" w:color="auto"/>
              <w:left w:val="single" w:sz="4" w:space="0" w:color="auto"/>
              <w:bottom w:val="single" w:sz="4" w:space="0" w:color="auto"/>
              <w:right w:val="single" w:sz="4" w:space="0" w:color="auto"/>
            </w:tcBorders>
            <w:hideMark/>
          </w:tcPr>
          <w:p w14:paraId="3EADE11A"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До 6% оборота + блокировка</w:t>
            </w:r>
          </w:p>
        </w:tc>
        <w:tc>
          <w:tcPr>
            <w:tcW w:w="3321" w:type="dxa"/>
            <w:tcBorders>
              <w:top w:val="single" w:sz="4" w:space="0" w:color="auto"/>
              <w:left w:val="single" w:sz="4" w:space="0" w:color="auto"/>
              <w:bottom w:val="single" w:sz="4" w:space="0" w:color="auto"/>
              <w:right w:val="single" w:sz="4" w:space="0" w:color="auto"/>
            </w:tcBorders>
            <w:hideMark/>
          </w:tcPr>
          <w:p w14:paraId="2FA1776A"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До 5 млн руб. (0.01% оборота)</w:t>
            </w:r>
          </w:p>
        </w:tc>
      </w:tr>
      <w:tr w:rsidR="00DC5D04" w:rsidRPr="00DC5D04" w14:paraId="2DC8A3D2" w14:textId="77777777">
        <w:tc>
          <w:tcPr>
            <w:tcW w:w="3320" w:type="dxa"/>
            <w:tcBorders>
              <w:top w:val="single" w:sz="4" w:space="0" w:color="auto"/>
              <w:left w:val="single" w:sz="4" w:space="0" w:color="auto"/>
              <w:bottom w:val="single" w:sz="4" w:space="0" w:color="auto"/>
              <w:right w:val="single" w:sz="4" w:space="0" w:color="auto"/>
            </w:tcBorders>
            <w:hideMark/>
          </w:tcPr>
          <w:p w14:paraId="1BF7244D"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Запрещенные практики</w:t>
            </w:r>
            <w:r w:rsidRPr="00DC5D04">
              <w:rPr>
                <w:rFonts w:ascii="Times New Roman" w:eastAsia="Times New Roman" w:hAnsi="Times New Roman" w:cs="Times New Roman"/>
                <w:sz w:val="32"/>
                <w:szCs w:val="32"/>
              </w:rPr>
              <w:tab/>
            </w:r>
          </w:p>
        </w:tc>
        <w:tc>
          <w:tcPr>
            <w:tcW w:w="3321" w:type="dxa"/>
            <w:tcBorders>
              <w:top w:val="single" w:sz="4" w:space="0" w:color="auto"/>
              <w:left w:val="single" w:sz="4" w:space="0" w:color="auto"/>
              <w:bottom w:val="single" w:sz="4" w:space="0" w:color="auto"/>
              <w:right w:val="single" w:sz="4" w:space="0" w:color="auto"/>
            </w:tcBorders>
            <w:hideMark/>
          </w:tcPr>
          <w:p w14:paraId="733853D8" w14:textId="77777777" w:rsidR="00DC5D04" w:rsidRPr="00DC5D04" w:rsidRDefault="00DC5D04" w:rsidP="00DC5D04">
            <w:pPr>
              <w:jc w:val="both"/>
              <w:rPr>
                <w:rFonts w:ascii="Times New Roman" w:eastAsia="Times New Roman" w:hAnsi="Times New Roman" w:cs="Times New Roman"/>
                <w:sz w:val="32"/>
                <w:szCs w:val="32"/>
                <w:lang w:val="ru-RU"/>
              </w:rPr>
            </w:pPr>
            <w:r w:rsidRPr="00DC5D04">
              <w:rPr>
                <w:rFonts w:ascii="Times New Roman" w:eastAsia="Times New Roman" w:hAnsi="Times New Roman" w:cs="Times New Roman"/>
                <w:sz w:val="32"/>
                <w:szCs w:val="32"/>
                <w:lang w:val="ru-RU"/>
              </w:rPr>
              <w:t>Тёмные паттерны как системное нарушение</w:t>
            </w:r>
          </w:p>
        </w:tc>
        <w:tc>
          <w:tcPr>
            <w:tcW w:w="3321" w:type="dxa"/>
            <w:tcBorders>
              <w:top w:val="single" w:sz="4" w:space="0" w:color="auto"/>
              <w:left w:val="single" w:sz="4" w:space="0" w:color="auto"/>
              <w:bottom w:val="single" w:sz="4" w:space="0" w:color="auto"/>
              <w:right w:val="single" w:sz="4" w:space="0" w:color="auto"/>
            </w:tcBorders>
            <w:hideMark/>
          </w:tcPr>
          <w:p w14:paraId="52F5764F" w14:textId="77777777" w:rsidR="00DC5D04" w:rsidRPr="00DC5D04" w:rsidRDefault="00DC5D04" w:rsidP="00DC5D04">
            <w:pPr>
              <w:jc w:val="both"/>
              <w:rPr>
                <w:rFonts w:ascii="Times New Roman" w:eastAsia="Times New Roman" w:hAnsi="Times New Roman" w:cs="Times New Roman"/>
                <w:sz w:val="32"/>
                <w:szCs w:val="32"/>
                <w:lang w:val="ru-RU"/>
              </w:rPr>
            </w:pPr>
            <w:r w:rsidRPr="00DC5D04">
              <w:rPr>
                <w:rFonts w:ascii="Times New Roman" w:eastAsia="Times New Roman" w:hAnsi="Times New Roman" w:cs="Times New Roman"/>
                <w:sz w:val="32"/>
                <w:szCs w:val="32"/>
                <w:lang w:val="ru-RU"/>
              </w:rPr>
              <w:t>Нет прямого запрета, только точечные дела ФАС [</w:t>
            </w:r>
            <w:proofErr w:type="gramStart"/>
            <w:r w:rsidRPr="00DC5D04">
              <w:rPr>
                <w:rFonts w:ascii="Times New Roman" w:eastAsia="Times New Roman" w:hAnsi="Times New Roman" w:cs="Times New Roman"/>
                <w:sz w:val="32"/>
                <w:szCs w:val="32"/>
                <w:lang w:val="ru-RU"/>
              </w:rPr>
              <w:t>2][</w:t>
            </w:r>
            <w:proofErr w:type="gramEnd"/>
            <w:r w:rsidRPr="00DC5D04">
              <w:rPr>
                <w:rFonts w:ascii="Times New Roman" w:eastAsia="Times New Roman" w:hAnsi="Times New Roman" w:cs="Times New Roman"/>
                <w:sz w:val="32"/>
                <w:szCs w:val="32"/>
                <w:lang w:val="ru-RU"/>
              </w:rPr>
              <w:t>12]</w:t>
            </w:r>
          </w:p>
        </w:tc>
      </w:tr>
      <w:tr w:rsidR="00DC5D04" w:rsidRPr="00DC5D04" w14:paraId="13192029" w14:textId="77777777">
        <w:tc>
          <w:tcPr>
            <w:tcW w:w="3320" w:type="dxa"/>
            <w:tcBorders>
              <w:top w:val="single" w:sz="4" w:space="0" w:color="auto"/>
              <w:left w:val="single" w:sz="4" w:space="0" w:color="auto"/>
              <w:bottom w:val="single" w:sz="4" w:space="0" w:color="auto"/>
              <w:right w:val="single" w:sz="4" w:space="0" w:color="auto"/>
            </w:tcBorders>
            <w:hideMark/>
          </w:tcPr>
          <w:p w14:paraId="05417114"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Прозрачность</w:t>
            </w:r>
          </w:p>
        </w:tc>
        <w:tc>
          <w:tcPr>
            <w:tcW w:w="3321" w:type="dxa"/>
            <w:tcBorders>
              <w:top w:val="single" w:sz="4" w:space="0" w:color="auto"/>
              <w:left w:val="single" w:sz="4" w:space="0" w:color="auto"/>
              <w:bottom w:val="single" w:sz="4" w:space="0" w:color="auto"/>
              <w:right w:val="single" w:sz="4" w:space="0" w:color="auto"/>
            </w:tcBorders>
            <w:hideMark/>
          </w:tcPr>
          <w:p w14:paraId="3A9BD22D" w14:textId="77777777" w:rsidR="00DC5D04" w:rsidRPr="00DC5D04" w:rsidRDefault="00DC5D04" w:rsidP="00DC5D04">
            <w:pPr>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Алгоритмы должны быть объяснимы</w:t>
            </w:r>
          </w:p>
        </w:tc>
        <w:tc>
          <w:tcPr>
            <w:tcW w:w="3321" w:type="dxa"/>
            <w:tcBorders>
              <w:top w:val="single" w:sz="4" w:space="0" w:color="auto"/>
              <w:left w:val="single" w:sz="4" w:space="0" w:color="auto"/>
              <w:bottom w:val="single" w:sz="4" w:space="0" w:color="auto"/>
              <w:right w:val="single" w:sz="4" w:space="0" w:color="auto"/>
            </w:tcBorders>
            <w:hideMark/>
          </w:tcPr>
          <w:p w14:paraId="06DACDE3" w14:textId="77777777" w:rsidR="00DC5D04" w:rsidRPr="00DC5D04" w:rsidRDefault="00DC5D04" w:rsidP="00DC5D04">
            <w:pPr>
              <w:jc w:val="both"/>
              <w:rPr>
                <w:rFonts w:ascii="Times New Roman" w:eastAsia="Times New Roman" w:hAnsi="Times New Roman" w:cs="Times New Roman"/>
                <w:sz w:val="32"/>
                <w:szCs w:val="32"/>
                <w:lang w:val="ru-RU"/>
              </w:rPr>
            </w:pPr>
            <w:r w:rsidRPr="00DC5D04">
              <w:rPr>
                <w:rFonts w:ascii="Times New Roman" w:eastAsia="Times New Roman" w:hAnsi="Times New Roman" w:cs="Times New Roman"/>
                <w:sz w:val="32"/>
                <w:szCs w:val="32"/>
                <w:lang w:val="ru-RU"/>
              </w:rPr>
              <w:t>Требуется только согласие на ПДн</w:t>
            </w:r>
          </w:p>
        </w:tc>
      </w:tr>
    </w:tbl>
    <w:p w14:paraId="45F37C31" w14:textId="77777777" w:rsidR="00DC5D04" w:rsidRPr="00DC5D04" w:rsidRDefault="00DC5D04" w:rsidP="00DC5D04">
      <w:pPr>
        <w:spacing w:after="200" w:line="240" w:lineRule="auto"/>
        <w:jc w:val="both"/>
        <w:rPr>
          <w:rFonts w:ascii="Times New Roman" w:eastAsia="Times New Roman" w:hAnsi="Times New Roman" w:cs="Times New Roman"/>
          <w:sz w:val="32"/>
          <w:szCs w:val="32"/>
        </w:rPr>
      </w:pPr>
    </w:p>
    <w:p w14:paraId="28F03F97"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В сфере цифровых услуг эксперты дают следующие прогнозы и рекомендации. Для бизнеса крайне рекомендуется проводить добровольный аудит UX по чеклисту ФАС, который был опубликован в марте 2024 года [12] </w:t>
      </w:r>
      <w:proofErr w:type="gramStart"/>
      <w:r w:rsidRPr="00DC5D04">
        <w:rPr>
          <w:rFonts w:ascii="Times New Roman" w:eastAsia="Times New Roman" w:hAnsi="Times New Roman" w:cs="Times New Roman"/>
          <w:sz w:val="32"/>
          <w:szCs w:val="32"/>
        </w:rPr>
        <w:t>- это</w:t>
      </w:r>
      <w:proofErr w:type="gramEnd"/>
      <w:r w:rsidRPr="00DC5D04">
        <w:rPr>
          <w:rFonts w:ascii="Times New Roman" w:eastAsia="Times New Roman" w:hAnsi="Times New Roman" w:cs="Times New Roman"/>
          <w:sz w:val="32"/>
          <w:szCs w:val="32"/>
        </w:rPr>
        <w:t xml:space="preserve"> позволяет снизить риски штрафных санкций на 40% [12]. В качестве эффективных инструментов выявления нарушений можно использовать специализированные сервисы, такие как Dark Pattern Detector от "Роскомсвободы", который автоматически сканирует сайты на наличие манипулятивных практик [18].</w:t>
      </w:r>
    </w:p>
    <w:p w14:paraId="23C44AE4"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Для законодателей предлагается внести конкретные изменения в нормативную базу: ввести в 152-ФЗ [9] четкое определение термина "манипулятивный дизайн" по аналогии с европейским DSA [10], а также ввести обязательную маркировку dark patterns специальными предупредительными знаками, например, иконкой " Манипуляция" - эту инициативу ранее предлагало Роскачество [13].</w:t>
      </w:r>
    </w:p>
    <w:p w14:paraId="3C79C7CC"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Что касается обычных пользователей, то для защиты своих прав они могут установить специальные браузерные расширения, такие как StopDark, которые блокируют скрытые подписки и другие манипулятивные элементы. Кроме того, подача жалоб в ФАС через портал "Госуслуги" в рамках пилотного проекта в Москве теперь занимает всего 5 дней, что значительно упрощает процесс защиты потребительских прав. Эти меры в совокупности позволяют создать более прозрачную и честную цифровую среду для всех участников рынка.</w:t>
      </w:r>
    </w:p>
    <w:p w14:paraId="26F2B514" w14:textId="77777777" w:rsidR="00DC5D04" w:rsidRPr="00DC5D04" w:rsidRDefault="00DC5D04" w:rsidP="00DC5D04">
      <w:pPr>
        <w:spacing w:after="0" w:line="240" w:lineRule="auto"/>
        <w:ind w:firstLine="709"/>
        <w:jc w:val="both"/>
        <w:rPr>
          <w:rFonts w:ascii="Times New Roman" w:eastAsia="Times New Roman" w:hAnsi="Times New Roman" w:cs="Times New Roman"/>
          <w:sz w:val="32"/>
          <w:szCs w:val="32"/>
        </w:rPr>
      </w:pPr>
      <w:r w:rsidRPr="00DC5D04">
        <w:rPr>
          <w:rFonts w:ascii="Times New Roman" w:eastAsia="Times New Roman" w:hAnsi="Times New Roman" w:cs="Times New Roman"/>
          <w:sz w:val="32"/>
          <w:szCs w:val="32"/>
        </w:rPr>
        <w:t xml:space="preserve">Согласно последним исследованиям DataProt (июнь 2024 года) [14], ситуация с использованием манипулятивного дизайна в Рунете достигла переломного момента. В сложившейся ситуации можно предложить конкретные решения: бизнесу необходимо переходить на </w:t>
      </w:r>
      <w:r w:rsidRPr="00DC5D04">
        <w:rPr>
          <w:rFonts w:ascii="Times New Roman" w:eastAsia="Times New Roman" w:hAnsi="Times New Roman" w:cs="Times New Roman"/>
          <w:sz w:val="32"/>
          <w:szCs w:val="32"/>
        </w:rPr>
        <w:lastRenderedPageBreak/>
        <w:t>принципы "светлого UX", как это сделал Сбербанк в своем кредитном конструкторе [15], где все условия представлены максимально прозрачно. Пользователям же рекомендуется активно защищать свои права, в том числе требуя возмещения за навязанные услуги через специального "Роскомнадзор-бота" в Telegram [17]. Особенно показательно, что в 2024 году венчурные фонды (например, Target Global [16]) впервые начали учитывать этичность дизайна как критерий при принятии инвестиционных решений, что превращает темные паттерны не просто в репутационный риск, но и в серьезное препятствие для привлечения финансирования. Борьба с ними требует совместных действий бизнеса, регуляторов и пользователей. Компаниям стоит внедрять этичный дизайн, законодателям - ужесточить нормы, а потребителям - использовать защитные инструменты. Только так можно создать прозрачную цифровую среду, выгодную для всех.</w:t>
      </w:r>
    </w:p>
    <w:p w14:paraId="14E44167" w14:textId="77777777" w:rsidR="00DC5D04" w:rsidRPr="00DC5D04" w:rsidRDefault="00DC5D04" w:rsidP="00720E7C">
      <w:pPr>
        <w:spacing w:after="0" w:line="240" w:lineRule="auto"/>
        <w:jc w:val="center"/>
        <w:rPr>
          <w:rFonts w:ascii="Times New Roman" w:eastAsia="Times New Roman" w:hAnsi="Times New Roman" w:cs="Times New Roman"/>
          <w:b/>
          <w:bCs/>
          <w:sz w:val="21"/>
          <w:szCs w:val="21"/>
        </w:rPr>
      </w:pPr>
      <w:r w:rsidRPr="00DC5D04">
        <w:rPr>
          <w:rFonts w:ascii="Cambria" w:eastAsia="MS Mincho" w:hAnsi="Cambria" w:cs="Arial"/>
          <w:sz w:val="21"/>
          <w:szCs w:val="21"/>
        </w:rPr>
        <w:br/>
      </w:r>
      <w:r w:rsidRPr="00DC5D04">
        <w:rPr>
          <w:rFonts w:ascii="Times New Roman" w:eastAsia="Times New Roman" w:hAnsi="Times New Roman" w:cs="Times New Roman"/>
          <w:b/>
          <w:bCs/>
          <w:sz w:val="21"/>
          <w:szCs w:val="21"/>
        </w:rPr>
        <w:t>Литература:</w:t>
      </w:r>
    </w:p>
    <w:p w14:paraId="4E849AEA"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Громов А.Р. (2021). "Цифровой дизайн: этика и манипуляции" (Изд-во "Питер").</w:t>
      </w:r>
    </w:p>
    <w:p w14:paraId="75B7D34C"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Методические рекомендации ФАС (2023) по недобросовестным практикам в онлайн-торговле.</w:t>
      </w:r>
    </w:p>
    <w:p w14:paraId="3A821076"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Франциско О.Ю., Молчан А.С. Моделирование систем / учебник. - Краснодар, 2023. - 178 с.</w:t>
      </w:r>
    </w:p>
    <w:p w14:paraId="6C97938A"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Исследование Роскачества (2023): "Манипулятивные практики в российских приложениях" - сравнение </w:t>
      </w:r>
      <w:r w:rsidRPr="00720E7C">
        <w:rPr>
          <w:rFonts w:ascii="Times New Roman" w:eastAsia="Times New Roman" w:hAnsi="Times New Roman" w:cs="Times New Roman"/>
          <w:sz w:val="21"/>
          <w:szCs w:val="21"/>
          <w:lang w:val="en-US"/>
        </w:rPr>
        <w:t>Wildberries</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Ozon</w:t>
      </w:r>
      <w:r w:rsidRPr="00720E7C">
        <w:rPr>
          <w:rFonts w:ascii="Times New Roman" w:eastAsia="Times New Roman" w:hAnsi="Times New Roman" w:cs="Times New Roman"/>
          <w:sz w:val="21"/>
          <w:szCs w:val="21"/>
        </w:rPr>
        <w:t>, СберМаркета.</w:t>
      </w:r>
    </w:p>
    <w:p w14:paraId="5517A7D8"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Отчёт Сбербанка (2022): "Этика цифрового дизайна: как не потерять доверие клиентов".</w:t>
      </w:r>
    </w:p>
    <w:p w14:paraId="1C9CB922"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Кейс </w:t>
      </w:r>
      <w:r w:rsidRPr="00720E7C">
        <w:rPr>
          <w:rFonts w:ascii="Times New Roman" w:eastAsia="Times New Roman" w:hAnsi="Times New Roman" w:cs="Times New Roman"/>
          <w:sz w:val="21"/>
          <w:szCs w:val="21"/>
          <w:lang w:val="en-US"/>
        </w:rPr>
        <w:t>Wildberries</w:t>
      </w:r>
      <w:r w:rsidRPr="00720E7C">
        <w:rPr>
          <w:rFonts w:ascii="Times New Roman" w:eastAsia="Times New Roman" w:hAnsi="Times New Roman" w:cs="Times New Roman"/>
          <w:sz w:val="21"/>
          <w:szCs w:val="21"/>
        </w:rPr>
        <w:t>: предустановленные галочки на платную доставку (штраф ФАС в 2023 г.).</w:t>
      </w:r>
    </w:p>
    <w:p w14:paraId="3DE06E85"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Яндекс.Такси: изменение интерфейса выбора тарифа (2022), чтобы скрыть дешёвые варианты.</w:t>
      </w:r>
    </w:p>
    <w:p w14:paraId="09E0796C"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СберБанк: редизайн формы отказа от страховки после жалоб пользователей.</w:t>
      </w:r>
    </w:p>
    <w:p w14:paraId="1741EACE"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Отчёт Роскачества (2023). Манипулятивные практики в онлайн-торговле.</w:t>
      </w:r>
    </w:p>
    <w:p w14:paraId="144BFD33"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Федеральный закон №152-ФЗ "О персональных данных".</w:t>
      </w:r>
    </w:p>
    <w:p w14:paraId="1785350A"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lang w:val="en-US"/>
        </w:rPr>
        <w:t>Digital</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Services</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Act</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DSA</w:t>
      </w:r>
      <w:r w:rsidRPr="00720E7C">
        <w:rPr>
          <w:rFonts w:ascii="Times New Roman" w:eastAsia="Times New Roman" w:hAnsi="Times New Roman" w:cs="Times New Roman"/>
          <w:sz w:val="21"/>
          <w:szCs w:val="21"/>
        </w:rPr>
        <w:t>) 2024 - официальный текст регуляций ЕС</w:t>
      </w:r>
    </w:p>
    <w:p w14:paraId="4BA2C086"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Проект поправок в КоАП РФ ст. 14.8 (подготовка Минцифры, 2024)</w:t>
      </w:r>
    </w:p>
    <w:p w14:paraId="5A14D801"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ФАС России: Методические рекомендации по </w:t>
      </w:r>
      <w:r w:rsidRPr="00720E7C">
        <w:rPr>
          <w:rFonts w:ascii="Times New Roman" w:eastAsia="Times New Roman" w:hAnsi="Times New Roman" w:cs="Times New Roman"/>
          <w:sz w:val="21"/>
          <w:szCs w:val="21"/>
          <w:lang w:val="en-US"/>
        </w:rPr>
        <w:t>UX</w:t>
      </w:r>
      <w:r w:rsidRPr="00720E7C">
        <w:rPr>
          <w:rFonts w:ascii="Times New Roman" w:eastAsia="Times New Roman" w:hAnsi="Times New Roman" w:cs="Times New Roman"/>
          <w:sz w:val="21"/>
          <w:szCs w:val="21"/>
        </w:rPr>
        <w:t>-аудиту (март 2024)</w:t>
      </w:r>
    </w:p>
    <w:p w14:paraId="7941CBD2"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Роскачество "Анализ манипулятивных практик" (</w:t>
      </w:r>
      <w:r w:rsidRPr="00720E7C">
        <w:rPr>
          <w:rFonts w:ascii="Times New Roman" w:eastAsia="Times New Roman" w:hAnsi="Times New Roman" w:cs="Times New Roman"/>
          <w:sz w:val="21"/>
          <w:szCs w:val="21"/>
          <w:lang w:val="en-US"/>
        </w:rPr>
        <w:t>Q</w:t>
      </w:r>
      <w:r w:rsidRPr="00720E7C">
        <w:rPr>
          <w:rFonts w:ascii="Times New Roman" w:eastAsia="Times New Roman" w:hAnsi="Times New Roman" w:cs="Times New Roman"/>
          <w:sz w:val="21"/>
          <w:szCs w:val="21"/>
        </w:rPr>
        <w:t>1 2024)</w:t>
      </w:r>
    </w:p>
    <w:p w14:paraId="7321899C" w14:textId="77777777" w:rsidR="00720E7C" w:rsidRP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lang w:val="en-US"/>
        </w:rPr>
      </w:pPr>
      <w:r w:rsidRPr="00720E7C">
        <w:rPr>
          <w:rFonts w:ascii="Times New Roman" w:eastAsia="Times New Roman" w:hAnsi="Times New Roman" w:cs="Times New Roman"/>
          <w:sz w:val="21"/>
          <w:szCs w:val="21"/>
          <w:lang w:val="en-US"/>
        </w:rPr>
        <w:t>DataProt "Dark Patterns in RuNet 2024" (июнь 2024)</w:t>
      </w:r>
    </w:p>
    <w:p w14:paraId="72926C26"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Годовой отчет Сбербанка о цифровых продуктах (2024)</w:t>
      </w:r>
    </w:p>
    <w:p w14:paraId="0585BE83"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Публичное заявление </w:t>
      </w:r>
      <w:r w:rsidRPr="00720E7C">
        <w:rPr>
          <w:rFonts w:ascii="Times New Roman" w:eastAsia="Times New Roman" w:hAnsi="Times New Roman" w:cs="Times New Roman"/>
          <w:sz w:val="21"/>
          <w:szCs w:val="21"/>
          <w:lang w:val="en-US"/>
        </w:rPr>
        <w:t>Target</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Global</w:t>
      </w:r>
      <w:r w:rsidRPr="00720E7C">
        <w:rPr>
          <w:rFonts w:ascii="Times New Roman" w:eastAsia="Times New Roman" w:hAnsi="Times New Roman" w:cs="Times New Roman"/>
          <w:sz w:val="21"/>
          <w:szCs w:val="21"/>
        </w:rPr>
        <w:t xml:space="preserve"> об инвестиционной политике (январь 2024)</w:t>
      </w:r>
    </w:p>
    <w:p w14:paraId="1F64ECAD"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Официальный канал "Роскомнадзор-бот" в </w:t>
      </w:r>
      <w:r w:rsidRPr="00720E7C">
        <w:rPr>
          <w:rFonts w:ascii="Times New Roman" w:eastAsia="Times New Roman" w:hAnsi="Times New Roman" w:cs="Times New Roman"/>
          <w:sz w:val="21"/>
          <w:szCs w:val="21"/>
          <w:lang w:val="en-US"/>
        </w:rPr>
        <w:t>Telegram</w:t>
      </w:r>
    </w:p>
    <w:p w14:paraId="352F0CEE"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Документация </w:t>
      </w:r>
      <w:r w:rsidRPr="00720E7C">
        <w:rPr>
          <w:rFonts w:ascii="Times New Roman" w:eastAsia="Times New Roman" w:hAnsi="Times New Roman" w:cs="Times New Roman"/>
          <w:sz w:val="21"/>
          <w:szCs w:val="21"/>
          <w:lang w:val="en-US"/>
        </w:rPr>
        <w:t>Dark</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Pattern</w:t>
      </w:r>
      <w:r w:rsidRPr="00720E7C">
        <w:rPr>
          <w:rFonts w:ascii="Times New Roman" w:eastAsia="Times New Roman" w:hAnsi="Times New Roman" w:cs="Times New Roman"/>
          <w:sz w:val="21"/>
          <w:szCs w:val="21"/>
        </w:rPr>
        <w:t xml:space="preserve"> </w:t>
      </w:r>
      <w:r w:rsidRPr="00720E7C">
        <w:rPr>
          <w:rFonts w:ascii="Times New Roman" w:eastAsia="Times New Roman" w:hAnsi="Times New Roman" w:cs="Times New Roman"/>
          <w:sz w:val="21"/>
          <w:szCs w:val="21"/>
          <w:lang w:val="en-US"/>
        </w:rPr>
        <w:t>Detector</w:t>
      </w:r>
      <w:r w:rsidRPr="00720E7C">
        <w:rPr>
          <w:rFonts w:ascii="Times New Roman" w:eastAsia="Times New Roman" w:hAnsi="Times New Roman" w:cs="Times New Roman"/>
          <w:sz w:val="21"/>
          <w:szCs w:val="21"/>
        </w:rPr>
        <w:t xml:space="preserve"> (Роскомсвобода, версия 2.3 2024)</w:t>
      </w:r>
    </w:p>
    <w:p w14:paraId="45DE19B9" w14:textId="77777777" w:rsid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Решение ФАС по делу ВкусВилл (апрель 2024)</w:t>
      </w:r>
    </w:p>
    <w:p w14:paraId="376C47B2" w14:textId="615CF2DE" w:rsidR="00E34C49" w:rsidRPr="00720E7C" w:rsidRDefault="00DC5D04" w:rsidP="00AD58CD">
      <w:pPr>
        <w:pStyle w:val="a8"/>
        <w:numPr>
          <w:ilvl w:val="0"/>
          <w:numId w:val="226"/>
        </w:numPr>
        <w:tabs>
          <w:tab w:val="num" w:pos="360"/>
        </w:tabs>
        <w:spacing w:after="0" w:line="240" w:lineRule="auto"/>
        <w:jc w:val="both"/>
        <w:rPr>
          <w:rFonts w:ascii="Times New Roman" w:eastAsia="Times New Roman" w:hAnsi="Times New Roman" w:cs="Times New Roman"/>
          <w:sz w:val="21"/>
          <w:szCs w:val="21"/>
        </w:rPr>
      </w:pPr>
      <w:r w:rsidRPr="00720E7C">
        <w:rPr>
          <w:rFonts w:ascii="Times New Roman" w:eastAsia="Times New Roman" w:hAnsi="Times New Roman" w:cs="Times New Roman"/>
          <w:sz w:val="21"/>
          <w:szCs w:val="21"/>
        </w:rPr>
        <w:t xml:space="preserve">Прецеденты применения </w:t>
      </w:r>
      <w:r w:rsidRPr="00720E7C">
        <w:rPr>
          <w:rFonts w:ascii="Times New Roman" w:eastAsia="Times New Roman" w:hAnsi="Times New Roman" w:cs="Times New Roman"/>
          <w:sz w:val="21"/>
          <w:szCs w:val="21"/>
          <w:lang w:val="en-US"/>
        </w:rPr>
        <w:t>DSA</w:t>
      </w:r>
      <w:r w:rsidRPr="00720E7C">
        <w:rPr>
          <w:rFonts w:ascii="Times New Roman" w:eastAsia="Times New Roman" w:hAnsi="Times New Roman" w:cs="Times New Roman"/>
          <w:sz w:val="21"/>
          <w:szCs w:val="21"/>
        </w:rPr>
        <w:t xml:space="preserve"> в ЕС (январь-май 2024)</w:t>
      </w:r>
    </w:p>
    <w:p w14:paraId="1C3DB3E0" w14:textId="77777777" w:rsidR="00DC5D04" w:rsidRDefault="00DC5D04" w:rsidP="00E34C49">
      <w:pPr>
        <w:spacing w:after="0" w:line="240" w:lineRule="auto"/>
        <w:rPr>
          <w:rFonts w:ascii="Times New Roman" w:eastAsia="Times New Roman" w:hAnsi="Times New Roman" w:cs="Times New Roman"/>
          <w:b/>
          <w:kern w:val="2"/>
          <w:sz w:val="21"/>
          <w:szCs w:val="24"/>
          <w:lang w:eastAsia="ru-RU"/>
        </w:rPr>
      </w:pPr>
    </w:p>
    <w:p w14:paraId="0C97DBCF" w14:textId="5A6098FB" w:rsidR="00796EFC" w:rsidRPr="00796EFC" w:rsidRDefault="00796EFC" w:rsidP="00BA566C">
      <w:pPr>
        <w:spacing w:after="0" w:line="240" w:lineRule="auto"/>
        <w:jc w:val="both"/>
        <w:rPr>
          <w:rFonts w:ascii="Times New Roman" w:eastAsia="Times New Roman" w:hAnsi="Times New Roman" w:cs="Times New Roman"/>
          <w:color w:val="000000"/>
          <w:sz w:val="21"/>
          <w:szCs w:val="21"/>
        </w:rPr>
      </w:pPr>
      <w:r w:rsidRPr="00796EFC">
        <w:rPr>
          <w:rFonts w:ascii="Times New Roman" w:eastAsia="Times New Roman" w:hAnsi="Times New Roman" w:cs="Times New Roman"/>
          <w:b/>
          <w:bCs/>
          <w:color w:val="000000"/>
          <w:sz w:val="21"/>
          <w:szCs w:val="21"/>
        </w:rPr>
        <w:t xml:space="preserve"> </w:t>
      </w:r>
    </w:p>
    <w:p w14:paraId="38D84BF2"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b/>
          <w:bCs/>
          <w:i/>
          <w:iCs/>
          <w:color w:val="000000"/>
          <w:sz w:val="21"/>
          <w:szCs w:val="21"/>
        </w:rPr>
        <w:t>Белан Н.А,</w:t>
      </w:r>
    </w:p>
    <w:p w14:paraId="5CE66225"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i/>
          <w:iCs/>
          <w:color w:val="000000"/>
          <w:sz w:val="21"/>
          <w:szCs w:val="21"/>
        </w:rPr>
        <w:t xml:space="preserve">студент 2 курса </w:t>
      </w:r>
    </w:p>
    <w:p w14:paraId="0D50207A"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rPr>
      </w:pPr>
      <w:r w:rsidRPr="00796EFC">
        <w:rPr>
          <w:rFonts w:ascii="Times New Roman" w:eastAsia="Times New Roman" w:hAnsi="Times New Roman" w:cs="Times New Roman"/>
          <w:i/>
          <w:iCs/>
          <w:color w:val="000000"/>
          <w:sz w:val="21"/>
          <w:szCs w:val="21"/>
        </w:rPr>
        <w:t>ФГОБУ ВО «Финансовый университет при Правительстве Российской Федерации»</w:t>
      </w:r>
    </w:p>
    <w:p w14:paraId="55FAA589"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i/>
          <w:iCs/>
          <w:color w:val="000000"/>
          <w:sz w:val="21"/>
          <w:szCs w:val="21"/>
        </w:rPr>
        <w:t xml:space="preserve"> Краснодарский филиал</w:t>
      </w:r>
    </w:p>
    <w:p w14:paraId="0BAD61F9"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i/>
          <w:iCs/>
          <w:color w:val="000000"/>
          <w:sz w:val="21"/>
          <w:szCs w:val="21"/>
        </w:rPr>
        <w:t>г. Краснодар, Россия</w:t>
      </w:r>
    </w:p>
    <w:p w14:paraId="159441D6"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rPr>
      </w:pPr>
      <w:r w:rsidRPr="00796EFC">
        <w:rPr>
          <w:rFonts w:ascii="Times New Roman" w:eastAsia="Times New Roman" w:hAnsi="Times New Roman" w:cs="Times New Roman"/>
          <w:i/>
          <w:iCs/>
          <w:color w:val="000000"/>
          <w:sz w:val="21"/>
          <w:szCs w:val="21"/>
        </w:rPr>
        <w:t>е-</w:t>
      </w:r>
      <w:r w:rsidRPr="00796EFC">
        <w:rPr>
          <w:rFonts w:ascii="Times New Roman" w:eastAsia="Times New Roman" w:hAnsi="Times New Roman" w:cs="Times New Roman"/>
          <w:i/>
          <w:iCs/>
          <w:color w:val="000000"/>
          <w:sz w:val="21"/>
          <w:szCs w:val="21"/>
          <w:lang w:val="en-US"/>
        </w:rPr>
        <w:t>mail</w:t>
      </w:r>
      <w:r w:rsidRPr="00796EFC">
        <w:rPr>
          <w:rFonts w:ascii="Times New Roman" w:eastAsia="Times New Roman" w:hAnsi="Times New Roman" w:cs="Times New Roman"/>
          <w:i/>
          <w:iCs/>
          <w:color w:val="000000"/>
          <w:sz w:val="21"/>
          <w:szCs w:val="21"/>
        </w:rPr>
        <w:t xml:space="preserve">: </w:t>
      </w:r>
      <w:hyperlink r:id="rId366" w:history="1">
        <w:r w:rsidRPr="00796EFC">
          <w:rPr>
            <w:rFonts w:ascii="Times New Roman" w:eastAsia="Times New Roman" w:hAnsi="Times New Roman" w:cs="Times New Roman"/>
            <w:i/>
            <w:iCs/>
            <w:color w:val="467886"/>
            <w:sz w:val="21"/>
            <w:szCs w:val="21"/>
            <w:u w:val="single"/>
            <w:lang w:val="en-US"/>
          </w:rPr>
          <w:t>belan</w:t>
        </w:r>
        <w:r w:rsidRPr="00796EFC">
          <w:rPr>
            <w:rFonts w:ascii="Times New Roman" w:eastAsia="Times New Roman" w:hAnsi="Times New Roman" w:cs="Times New Roman"/>
            <w:i/>
            <w:iCs/>
            <w:color w:val="467886"/>
            <w:sz w:val="21"/>
            <w:szCs w:val="21"/>
            <w:u w:val="single"/>
          </w:rPr>
          <w:t>0319@</w:t>
        </w:r>
        <w:r w:rsidRPr="00796EFC">
          <w:rPr>
            <w:rFonts w:ascii="Times New Roman" w:eastAsia="Times New Roman" w:hAnsi="Times New Roman" w:cs="Times New Roman"/>
            <w:i/>
            <w:iCs/>
            <w:color w:val="467886"/>
            <w:sz w:val="21"/>
            <w:szCs w:val="21"/>
            <w:u w:val="single"/>
            <w:lang w:val="en-US"/>
          </w:rPr>
          <w:t>gmail</w:t>
        </w:r>
        <w:r w:rsidRPr="00796EFC">
          <w:rPr>
            <w:rFonts w:ascii="Times New Roman" w:eastAsia="Times New Roman" w:hAnsi="Times New Roman" w:cs="Times New Roman"/>
            <w:i/>
            <w:iCs/>
            <w:color w:val="467886"/>
            <w:sz w:val="21"/>
            <w:szCs w:val="21"/>
            <w:u w:val="single"/>
          </w:rPr>
          <w:t>.</w:t>
        </w:r>
        <w:r w:rsidRPr="00796EFC">
          <w:rPr>
            <w:rFonts w:ascii="Times New Roman" w:eastAsia="Times New Roman" w:hAnsi="Times New Roman" w:cs="Times New Roman"/>
            <w:i/>
            <w:iCs/>
            <w:color w:val="467886"/>
            <w:sz w:val="21"/>
            <w:szCs w:val="21"/>
            <w:u w:val="single"/>
            <w:lang w:val="en-US"/>
          </w:rPr>
          <w:t>com</w:t>
        </w:r>
      </w:hyperlink>
    </w:p>
    <w:p w14:paraId="73AE60F1"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p>
    <w:p w14:paraId="03C9F238"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b/>
          <w:bCs/>
          <w:i/>
          <w:iCs/>
          <w:color w:val="000000"/>
          <w:sz w:val="21"/>
          <w:szCs w:val="21"/>
        </w:rPr>
        <w:t>Научный руководитель:</w:t>
      </w:r>
    </w:p>
    <w:p w14:paraId="755DFAC6"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b/>
          <w:bCs/>
          <w:i/>
          <w:iCs/>
          <w:color w:val="000000"/>
          <w:sz w:val="21"/>
          <w:szCs w:val="21"/>
        </w:rPr>
        <w:t>Ануфриева А.П.</w:t>
      </w:r>
    </w:p>
    <w:p w14:paraId="316A731E"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rPr>
      </w:pPr>
      <w:r w:rsidRPr="00796EFC">
        <w:rPr>
          <w:rFonts w:ascii="Times New Roman" w:eastAsia="Times New Roman" w:hAnsi="Times New Roman" w:cs="Times New Roman"/>
          <w:i/>
          <w:iCs/>
          <w:color w:val="000000"/>
          <w:sz w:val="21"/>
          <w:szCs w:val="21"/>
        </w:rPr>
        <w:t>доцент, к.э.н.,</w:t>
      </w:r>
    </w:p>
    <w:p w14:paraId="5BCF2308"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rPr>
      </w:pPr>
      <w:r w:rsidRPr="00796EFC">
        <w:rPr>
          <w:rFonts w:ascii="Times New Roman" w:eastAsia="Times New Roman" w:hAnsi="Times New Roman" w:cs="Times New Roman"/>
          <w:i/>
          <w:iCs/>
          <w:color w:val="000000"/>
          <w:sz w:val="21"/>
          <w:szCs w:val="21"/>
        </w:rPr>
        <w:t xml:space="preserve">ФГОБУ ВО «Финансовый университет при Правительстве Российской Федерации» </w:t>
      </w:r>
    </w:p>
    <w:p w14:paraId="347FE1A5"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i/>
          <w:iCs/>
          <w:color w:val="000000"/>
          <w:sz w:val="21"/>
          <w:szCs w:val="21"/>
        </w:rPr>
        <w:lastRenderedPageBreak/>
        <w:t>Краснодарский филиал</w:t>
      </w:r>
    </w:p>
    <w:p w14:paraId="29003476"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rPr>
      </w:pPr>
      <w:r w:rsidRPr="00796EFC">
        <w:rPr>
          <w:rFonts w:ascii="Times New Roman" w:eastAsia="Times New Roman" w:hAnsi="Times New Roman" w:cs="Times New Roman"/>
          <w:i/>
          <w:iCs/>
          <w:color w:val="000000"/>
          <w:sz w:val="21"/>
          <w:szCs w:val="21"/>
        </w:rPr>
        <w:t>г. Краснодар, Россия</w:t>
      </w:r>
    </w:p>
    <w:p w14:paraId="07E94B38"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rPr>
      </w:pPr>
      <w:r w:rsidRPr="00796EFC">
        <w:rPr>
          <w:rFonts w:ascii="Times New Roman" w:eastAsia="Times New Roman" w:hAnsi="Times New Roman" w:cs="Times New Roman"/>
          <w:i/>
          <w:iCs/>
          <w:color w:val="000000"/>
          <w:sz w:val="21"/>
          <w:szCs w:val="21"/>
        </w:rPr>
        <w:t>е-</w:t>
      </w:r>
      <w:r w:rsidRPr="00796EFC">
        <w:rPr>
          <w:rFonts w:ascii="Times New Roman" w:eastAsia="Times New Roman" w:hAnsi="Times New Roman" w:cs="Times New Roman"/>
          <w:i/>
          <w:iCs/>
          <w:color w:val="000000"/>
          <w:sz w:val="21"/>
          <w:szCs w:val="21"/>
          <w:lang w:val="en-US"/>
        </w:rPr>
        <w:t>mail</w:t>
      </w:r>
      <w:r w:rsidRPr="00796EFC">
        <w:rPr>
          <w:rFonts w:ascii="Times New Roman" w:eastAsia="Times New Roman" w:hAnsi="Times New Roman" w:cs="Times New Roman"/>
          <w:i/>
          <w:iCs/>
          <w:color w:val="000000"/>
          <w:sz w:val="21"/>
          <w:szCs w:val="21"/>
        </w:rPr>
        <w:t xml:space="preserve">: </w:t>
      </w:r>
      <w:r w:rsidRPr="00796EFC">
        <w:rPr>
          <w:rFonts w:ascii="Times New Roman" w:eastAsia="Times New Roman" w:hAnsi="Times New Roman" w:cs="Times New Roman"/>
          <w:i/>
          <w:iCs/>
          <w:color w:val="000000"/>
          <w:sz w:val="21"/>
          <w:szCs w:val="21"/>
          <w:lang w:val="en-US"/>
        </w:rPr>
        <w:t>apanufrieva</w:t>
      </w:r>
      <w:r w:rsidRPr="00796EFC">
        <w:rPr>
          <w:rFonts w:ascii="Times New Roman" w:eastAsia="Times New Roman" w:hAnsi="Times New Roman" w:cs="Times New Roman"/>
          <w:i/>
          <w:iCs/>
          <w:color w:val="000000"/>
          <w:sz w:val="21"/>
          <w:szCs w:val="21"/>
        </w:rPr>
        <w:t>@</w:t>
      </w:r>
      <w:r w:rsidRPr="00796EFC">
        <w:rPr>
          <w:rFonts w:ascii="Times New Roman" w:eastAsia="Times New Roman" w:hAnsi="Times New Roman" w:cs="Times New Roman"/>
          <w:i/>
          <w:iCs/>
          <w:color w:val="000000"/>
          <w:sz w:val="21"/>
          <w:szCs w:val="21"/>
          <w:lang w:val="en-US"/>
        </w:rPr>
        <w:t>fa</w:t>
      </w:r>
      <w:r w:rsidRPr="00796EFC">
        <w:rPr>
          <w:rFonts w:ascii="Times New Roman" w:eastAsia="Times New Roman" w:hAnsi="Times New Roman" w:cs="Times New Roman"/>
          <w:i/>
          <w:iCs/>
          <w:color w:val="000000"/>
          <w:sz w:val="21"/>
          <w:szCs w:val="21"/>
        </w:rPr>
        <w:t>.</w:t>
      </w:r>
      <w:r w:rsidRPr="00796EFC">
        <w:rPr>
          <w:rFonts w:ascii="Times New Roman" w:eastAsia="Times New Roman" w:hAnsi="Times New Roman" w:cs="Times New Roman"/>
          <w:i/>
          <w:iCs/>
          <w:color w:val="000000"/>
          <w:sz w:val="21"/>
          <w:szCs w:val="21"/>
          <w:lang w:val="en-US"/>
        </w:rPr>
        <w:t>ru</w:t>
      </w:r>
    </w:p>
    <w:p w14:paraId="1BF7473D" w14:textId="77777777" w:rsidR="00796EFC" w:rsidRPr="00796EFC" w:rsidRDefault="00796EFC" w:rsidP="00796EFC">
      <w:pPr>
        <w:spacing w:after="0" w:line="240" w:lineRule="auto"/>
        <w:ind w:firstLine="567"/>
        <w:jc w:val="center"/>
        <w:rPr>
          <w:rFonts w:ascii="Times New Roman" w:eastAsia="Times New Roman" w:hAnsi="Times New Roman" w:cs="Times New Roman"/>
          <w:b/>
          <w:bCs/>
          <w:color w:val="000000"/>
          <w:sz w:val="21"/>
          <w:szCs w:val="21"/>
        </w:rPr>
      </w:pPr>
    </w:p>
    <w:p w14:paraId="7874A2DC" w14:textId="77777777" w:rsidR="00796EFC" w:rsidRPr="00796EFC" w:rsidRDefault="00796EFC" w:rsidP="00796EFC">
      <w:pPr>
        <w:spacing w:after="0" w:line="240" w:lineRule="auto"/>
        <w:ind w:firstLine="567"/>
        <w:jc w:val="center"/>
        <w:rPr>
          <w:rFonts w:ascii="Times New Roman" w:eastAsia="Times New Roman" w:hAnsi="Times New Roman" w:cs="Times New Roman"/>
          <w:color w:val="000000"/>
          <w:sz w:val="21"/>
          <w:szCs w:val="21"/>
        </w:rPr>
      </w:pPr>
      <w:r w:rsidRPr="00796EFC">
        <w:rPr>
          <w:rFonts w:ascii="Times New Roman" w:eastAsia="Times New Roman" w:hAnsi="Times New Roman" w:cs="Times New Roman"/>
          <w:b/>
          <w:bCs/>
          <w:color w:val="000000"/>
          <w:sz w:val="21"/>
          <w:szCs w:val="21"/>
        </w:rPr>
        <w:t>Влияние нейронных сетей на сферу образования</w:t>
      </w:r>
    </w:p>
    <w:p w14:paraId="2D98B880" w14:textId="77777777" w:rsidR="00796EFC" w:rsidRPr="00796EFC" w:rsidRDefault="00796EFC" w:rsidP="00796EFC">
      <w:pPr>
        <w:spacing w:after="0" w:line="240" w:lineRule="auto"/>
        <w:ind w:firstLine="567"/>
        <w:jc w:val="center"/>
        <w:rPr>
          <w:rFonts w:ascii="Times New Roman" w:eastAsia="Times New Roman" w:hAnsi="Times New Roman" w:cs="Times New Roman"/>
          <w:color w:val="000000"/>
          <w:sz w:val="21"/>
          <w:szCs w:val="21"/>
        </w:rPr>
      </w:pPr>
    </w:p>
    <w:p w14:paraId="56EAD39A" w14:textId="77777777" w:rsidR="00796EFC" w:rsidRPr="00796EFC" w:rsidRDefault="00796EFC" w:rsidP="00796EFC">
      <w:pPr>
        <w:spacing w:after="0" w:line="240" w:lineRule="auto"/>
        <w:ind w:firstLine="709"/>
        <w:jc w:val="both"/>
        <w:rPr>
          <w:rFonts w:ascii="Times New Roman" w:eastAsia="Times New Roman" w:hAnsi="Times New Roman" w:cs="Times New Roman"/>
          <w:sz w:val="21"/>
          <w:szCs w:val="21"/>
          <w:lang w:eastAsia="ru-RU"/>
        </w:rPr>
      </w:pPr>
      <w:r w:rsidRPr="00796EFC">
        <w:rPr>
          <w:rFonts w:ascii="Times New Roman" w:eastAsia="Times New Roman" w:hAnsi="Times New Roman" w:cs="Times New Roman"/>
          <w:b/>
          <w:bCs/>
          <w:sz w:val="21"/>
          <w:szCs w:val="21"/>
          <w:lang w:eastAsia="ru-RU"/>
        </w:rPr>
        <w:t>Аннотация:</w:t>
      </w:r>
      <w:r w:rsidRPr="00796EFC">
        <w:rPr>
          <w:rFonts w:ascii="Times New Roman" w:eastAsia="Times New Roman" w:hAnsi="Times New Roman" w:cs="Times New Roman"/>
          <w:sz w:val="21"/>
          <w:szCs w:val="21"/>
          <w:lang w:eastAsia="ru-RU"/>
        </w:rPr>
        <w:t xml:space="preserve"> В статье рассматривается влияние нейронных сетей на сферу образования. Анализируются текущие тенденции использования искусственного интеллекта в учебном процессе, а также его влияние на учеников, преподавателей и образовательные учреждения. Особое внимание уделяется плюсам и рискам внедрения ИИ, вопросам академической честности, а также необходимости формирования методик ответственного использования нейросетей в обучении. Рассматриваются предложения по интеграции ИИ в образовательную систему на разных уровнях.</w:t>
      </w:r>
    </w:p>
    <w:p w14:paraId="09C49144" w14:textId="77777777" w:rsidR="00796EFC" w:rsidRPr="00796EFC" w:rsidRDefault="00796EFC" w:rsidP="00796EFC">
      <w:pPr>
        <w:spacing w:after="0" w:line="240" w:lineRule="auto"/>
        <w:ind w:firstLine="709"/>
        <w:jc w:val="both"/>
        <w:rPr>
          <w:rFonts w:ascii="Times New Roman" w:eastAsia="Times New Roman" w:hAnsi="Times New Roman" w:cs="Times New Roman"/>
          <w:sz w:val="21"/>
          <w:szCs w:val="21"/>
          <w:lang w:eastAsia="ru-RU"/>
        </w:rPr>
      </w:pPr>
      <w:r w:rsidRPr="00796EFC">
        <w:rPr>
          <w:rFonts w:ascii="Times New Roman" w:eastAsia="Times New Roman" w:hAnsi="Times New Roman" w:cs="Times New Roman"/>
          <w:b/>
          <w:bCs/>
          <w:sz w:val="21"/>
          <w:szCs w:val="21"/>
          <w:lang w:eastAsia="ru-RU"/>
        </w:rPr>
        <w:t>Ключевые слова:</w:t>
      </w:r>
      <w:r w:rsidRPr="00796EFC">
        <w:rPr>
          <w:rFonts w:ascii="Times New Roman" w:eastAsia="Times New Roman" w:hAnsi="Times New Roman" w:cs="Times New Roman"/>
          <w:sz w:val="21"/>
          <w:szCs w:val="21"/>
          <w:lang w:eastAsia="ru-RU"/>
        </w:rPr>
        <w:t xml:space="preserve"> искусственный интеллект; нейросети; образование; академическая честность; цифровизация обучения.</w:t>
      </w:r>
    </w:p>
    <w:p w14:paraId="55059AC5" w14:textId="77777777" w:rsidR="00796EFC" w:rsidRPr="00796EFC" w:rsidRDefault="00796EFC" w:rsidP="00796EFC">
      <w:pPr>
        <w:spacing w:after="0" w:line="240" w:lineRule="auto"/>
        <w:ind w:firstLine="567"/>
        <w:jc w:val="right"/>
        <w:rPr>
          <w:rFonts w:ascii="Times New Roman" w:eastAsia="Times New Roman" w:hAnsi="Times New Roman" w:cs="Times New Roman"/>
          <w:b/>
          <w:bCs/>
          <w:i/>
          <w:iCs/>
          <w:color w:val="000000"/>
          <w:sz w:val="21"/>
          <w:szCs w:val="21"/>
          <w:lang w:val="en-US"/>
        </w:rPr>
      </w:pPr>
      <w:r w:rsidRPr="00796EFC">
        <w:rPr>
          <w:rFonts w:ascii="Times New Roman" w:eastAsia="Times New Roman" w:hAnsi="Times New Roman" w:cs="Times New Roman"/>
          <w:b/>
          <w:bCs/>
          <w:i/>
          <w:iCs/>
          <w:color w:val="000000"/>
          <w:sz w:val="21"/>
          <w:szCs w:val="21"/>
          <w:lang w:val="en-US"/>
        </w:rPr>
        <w:t>Belan N.A.,</w:t>
      </w:r>
    </w:p>
    <w:p w14:paraId="530F52D4"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i/>
          <w:iCs/>
          <w:color w:val="000000"/>
          <w:sz w:val="21"/>
          <w:szCs w:val="21"/>
          <w:lang w:val="en-US"/>
        </w:rPr>
        <w:t>student, 2 courses</w:t>
      </w:r>
      <w:r w:rsidRPr="00796EFC">
        <w:rPr>
          <w:rFonts w:ascii="Times New Roman" w:eastAsia="Times New Roman" w:hAnsi="Times New Roman" w:cs="Times New Roman"/>
          <w:b/>
          <w:bCs/>
          <w:i/>
          <w:iCs/>
          <w:color w:val="000000"/>
          <w:sz w:val="21"/>
          <w:szCs w:val="21"/>
          <w:lang w:val="en-US"/>
        </w:rPr>
        <w:t xml:space="preserve"> </w:t>
      </w:r>
    </w:p>
    <w:p w14:paraId="0DE97200"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4FC71B74"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i/>
          <w:iCs/>
          <w:color w:val="000000"/>
          <w:sz w:val="21"/>
          <w:szCs w:val="21"/>
          <w:lang w:val="en-US"/>
        </w:rPr>
        <w:t>Krasnodar, Russia</w:t>
      </w:r>
    </w:p>
    <w:p w14:paraId="2475067C"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lang w:val="en-US"/>
        </w:rPr>
      </w:pPr>
      <w:r w:rsidRPr="00796EFC">
        <w:rPr>
          <w:rFonts w:ascii="Times New Roman" w:eastAsia="Times New Roman" w:hAnsi="Times New Roman" w:cs="Times New Roman"/>
          <w:i/>
          <w:iCs/>
          <w:color w:val="000000"/>
          <w:sz w:val="21"/>
          <w:szCs w:val="21"/>
        </w:rPr>
        <w:t>е</w:t>
      </w:r>
      <w:r w:rsidRPr="00796EFC">
        <w:rPr>
          <w:rFonts w:ascii="Times New Roman" w:eastAsia="Times New Roman" w:hAnsi="Times New Roman" w:cs="Times New Roman"/>
          <w:i/>
          <w:iCs/>
          <w:color w:val="000000"/>
          <w:sz w:val="21"/>
          <w:szCs w:val="21"/>
          <w:lang w:val="en-US"/>
        </w:rPr>
        <w:t xml:space="preserve">-mail: </w:t>
      </w:r>
      <w:hyperlink r:id="rId367" w:history="1">
        <w:r w:rsidRPr="00796EFC">
          <w:rPr>
            <w:rFonts w:ascii="Times New Roman" w:eastAsia="Times New Roman" w:hAnsi="Times New Roman" w:cs="Times New Roman"/>
            <w:i/>
            <w:iCs/>
            <w:color w:val="467886"/>
            <w:sz w:val="21"/>
            <w:szCs w:val="21"/>
            <w:u w:val="single"/>
            <w:lang w:val="en-US"/>
          </w:rPr>
          <w:t>belan0319@gmail.com</w:t>
        </w:r>
      </w:hyperlink>
    </w:p>
    <w:p w14:paraId="3886989E"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p>
    <w:p w14:paraId="1E99A983"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b/>
          <w:bCs/>
          <w:i/>
          <w:iCs/>
          <w:color w:val="000000"/>
          <w:sz w:val="21"/>
          <w:szCs w:val="21"/>
          <w:lang w:val="en-US"/>
        </w:rPr>
        <w:t>Scientific Adviser:</w:t>
      </w:r>
    </w:p>
    <w:p w14:paraId="0808BE57" w14:textId="77777777" w:rsidR="00796EFC" w:rsidRPr="00796EFC" w:rsidRDefault="00796EFC" w:rsidP="00796EFC">
      <w:pPr>
        <w:spacing w:after="0" w:line="240" w:lineRule="auto"/>
        <w:ind w:firstLine="567"/>
        <w:jc w:val="right"/>
        <w:rPr>
          <w:rFonts w:ascii="Times New Roman" w:eastAsia="Times New Roman" w:hAnsi="Times New Roman" w:cs="Times New Roman"/>
          <w:b/>
          <w:bCs/>
          <w:i/>
          <w:iCs/>
          <w:color w:val="000000"/>
          <w:sz w:val="21"/>
          <w:szCs w:val="21"/>
          <w:lang w:val="en-US"/>
        </w:rPr>
      </w:pPr>
      <w:r w:rsidRPr="00796EFC">
        <w:rPr>
          <w:rFonts w:ascii="Times New Roman" w:eastAsia="Times New Roman" w:hAnsi="Times New Roman" w:cs="Times New Roman"/>
          <w:b/>
          <w:bCs/>
          <w:i/>
          <w:iCs/>
          <w:color w:val="000000"/>
          <w:sz w:val="21"/>
          <w:szCs w:val="21"/>
          <w:lang w:val="en-US"/>
        </w:rPr>
        <w:t xml:space="preserve">Anufrieva A.P., </w:t>
      </w:r>
    </w:p>
    <w:p w14:paraId="4B69C4FD"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33B7017E" w14:textId="77777777" w:rsidR="00796EFC" w:rsidRPr="00796EFC" w:rsidRDefault="00796EFC" w:rsidP="00796EFC">
      <w:pPr>
        <w:spacing w:after="0" w:line="240" w:lineRule="auto"/>
        <w:ind w:firstLine="567"/>
        <w:jc w:val="right"/>
        <w:rPr>
          <w:rFonts w:ascii="Times New Roman" w:eastAsia="Times New Roman" w:hAnsi="Times New Roman" w:cs="Times New Roman"/>
          <w:color w:val="000000"/>
          <w:sz w:val="21"/>
          <w:szCs w:val="21"/>
          <w:lang w:val="en-US"/>
        </w:rPr>
      </w:pPr>
      <w:r w:rsidRPr="00796EFC">
        <w:rPr>
          <w:rFonts w:ascii="Times New Roman" w:eastAsia="Times New Roman" w:hAnsi="Times New Roman" w:cs="Times New Roman"/>
          <w:i/>
          <w:iCs/>
          <w:color w:val="000000"/>
          <w:sz w:val="21"/>
          <w:szCs w:val="21"/>
          <w:lang w:val="en-US"/>
        </w:rPr>
        <w:t>Krasnodar, Russia</w:t>
      </w:r>
    </w:p>
    <w:p w14:paraId="0EC1019D" w14:textId="77777777" w:rsidR="00796EFC" w:rsidRPr="00796EFC" w:rsidRDefault="00796EFC" w:rsidP="00796EFC">
      <w:pPr>
        <w:spacing w:after="0" w:line="240" w:lineRule="auto"/>
        <w:ind w:firstLine="567"/>
        <w:jc w:val="right"/>
        <w:rPr>
          <w:rFonts w:ascii="Times New Roman" w:eastAsia="Times New Roman" w:hAnsi="Times New Roman" w:cs="Times New Roman"/>
          <w:i/>
          <w:iCs/>
          <w:color w:val="000000"/>
          <w:sz w:val="21"/>
          <w:szCs w:val="21"/>
          <w:lang w:val="en-US"/>
        </w:rPr>
      </w:pPr>
      <w:r w:rsidRPr="00796EFC">
        <w:rPr>
          <w:rFonts w:ascii="Times New Roman" w:eastAsia="Times New Roman" w:hAnsi="Times New Roman" w:cs="Times New Roman"/>
          <w:i/>
          <w:iCs/>
          <w:color w:val="000000"/>
          <w:sz w:val="21"/>
          <w:szCs w:val="21"/>
        </w:rPr>
        <w:t>е</w:t>
      </w:r>
      <w:r w:rsidRPr="00796EFC">
        <w:rPr>
          <w:rFonts w:ascii="Times New Roman" w:eastAsia="Times New Roman" w:hAnsi="Times New Roman" w:cs="Times New Roman"/>
          <w:i/>
          <w:iCs/>
          <w:color w:val="000000"/>
          <w:sz w:val="21"/>
          <w:szCs w:val="21"/>
          <w:lang w:val="en-US"/>
        </w:rPr>
        <w:t xml:space="preserve">-mail: </w:t>
      </w:r>
    </w:p>
    <w:p w14:paraId="2A4ECCB6" w14:textId="77777777" w:rsidR="00796EFC" w:rsidRPr="00796EFC" w:rsidRDefault="00796EFC" w:rsidP="00796EFC">
      <w:pPr>
        <w:spacing w:line="278" w:lineRule="auto"/>
        <w:jc w:val="center"/>
        <w:rPr>
          <w:rFonts w:ascii="Times New Roman" w:eastAsia="Aptos" w:hAnsi="Times New Roman" w:cs="Times New Roman"/>
          <w:b/>
          <w:bCs/>
          <w:sz w:val="21"/>
          <w:szCs w:val="21"/>
          <w:lang w:val="en-US"/>
        </w:rPr>
      </w:pPr>
      <w:r w:rsidRPr="00796EFC">
        <w:rPr>
          <w:rFonts w:ascii="Times New Roman" w:eastAsia="Aptos" w:hAnsi="Times New Roman" w:cs="Times New Roman"/>
          <w:b/>
          <w:bCs/>
          <w:sz w:val="21"/>
          <w:szCs w:val="21"/>
          <w:lang w:val="en-US"/>
        </w:rPr>
        <w:t>The Impact of Neural Networks on Education</w:t>
      </w:r>
    </w:p>
    <w:p w14:paraId="2C10306B" w14:textId="77777777" w:rsidR="00796EFC" w:rsidRPr="00796EFC" w:rsidRDefault="00796EFC" w:rsidP="00796EFC">
      <w:pPr>
        <w:spacing w:after="0" w:line="240" w:lineRule="auto"/>
        <w:ind w:firstLine="709"/>
        <w:jc w:val="both"/>
        <w:rPr>
          <w:rFonts w:ascii="Times New Roman" w:eastAsia="Aptos" w:hAnsi="Times New Roman" w:cs="Times New Roman"/>
          <w:sz w:val="21"/>
          <w:szCs w:val="21"/>
          <w:lang w:val="en-US"/>
        </w:rPr>
      </w:pPr>
      <w:r w:rsidRPr="00796EFC">
        <w:rPr>
          <w:rFonts w:ascii="Aptos" w:eastAsia="Aptos" w:hAnsi="Aptos" w:cs="Times New Roman"/>
          <w:b/>
          <w:bCs/>
          <w:sz w:val="21"/>
          <w:szCs w:val="21"/>
          <w:lang w:val="en-US"/>
        </w:rPr>
        <w:t>Abstract:</w:t>
      </w:r>
      <w:r w:rsidRPr="00796EFC">
        <w:rPr>
          <w:rFonts w:ascii="Times New Roman" w:eastAsia="Aptos" w:hAnsi="Times New Roman" w:cs="Times New Roman"/>
          <w:sz w:val="21"/>
          <w:szCs w:val="21"/>
          <w:lang w:val="en-US"/>
        </w:rPr>
        <w:t xml:space="preserve"> The article explores the impact of neural networks on the field of education. It analyzes current trends in the use of artificial intelligence in the learning process, as well as its influence on students, educators, and educational institutions. Special attention is given to the advantages and risks of AI integration, issues of academic integrity, and the need to develop responsible methodologies for using neural networks in education. The article also presents proposals for integrating AI into the educational system at various levels.</w:t>
      </w:r>
    </w:p>
    <w:p w14:paraId="041E4B99" w14:textId="77777777" w:rsidR="00796EFC" w:rsidRPr="00654CF2" w:rsidRDefault="00796EFC" w:rsidP="00796EFC">
      <w:pPr>
        <w:spacing w:after="0" w:line="240" w:lineRule="auto"/>
        <w:ind w:firstLine="709"/>
        <w:jc w:val="both"/>
        <w:rPr>
          <w:rFonts w:ascii="Times New Roman" w:eastAsia="Aptos" w:hAnsi="Times New Roman" w:cs="Times New Roman"/>
          <w:sz w:val="21"/>
          <w:szCs w:val="21"/>
          <w:lang w:val="en-US"/>
        </w:rPr>
      </w:pPr>
      <w:r w:rsidRPr="00796EFC">
        <w:rPr>
          <w:rFonts w:ascii="Times New Roman" w:eastAsia="Aptos" w:hAnsi="Times New Roman" w:cs="Times New Roman"/>
          <w:b/>
          <w:bCs/>
          <w:sz w:val="21"/>
          <w:szCs w:val="21"/>
          <w:lang w:val="en-US"/>
        </w:rPr>
        <w:t>Keywords:</w:t>
      </w:r>
      <w:r w:rsidRPr="00796EFC">
        <w:rPr>
          <w:rFonts w:ascii="Times New Roman" w:eastAsia="Aptos" w:hAnsi="Times New Roman" w:cs="Times New Roman"/>
          <w:sz w:val="21"/>
          <w:szCs w:val="21"/>
          <w:lang w:val="en-US"/>
        </w:rPr>
        <w:t xml:space="preserve"> artificial intelligence; neural networks; education; academic integrity; digitalization of learning.</w:t>
      </w:r>
    </w:p>
    <w:p w14:paraId="1EA9DCAB" w14:textId="77777777" w:rsidR="00BA566C" w:rsidRPr="00654CF2" w:rsidRDefault="00BA566C" w:rsidP="00796EFC">
      <w:pPr>
        <w:spacing w:after="0" w:line="240" w:lineRule="auto"/>
        <w:ind w:firstLine="709"/>
        <w:jc w:val="both"/>
        <w:rPr>
          <w:rFonts w:ascii="Times New Roman" w:eastAsia="Aptos" w:hAnsi="Times New Roman" w:cs="Times New Roman"/>
          <w:sz w:val="21"/>
          <w:szCs w:val="21"/>
          <w:lang w:val="en-US"/>
        </w:rPr>
      </w:pPr>
    </w:p>
    <w:p w14:paraId="1946CE14"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 xml:space="preserve">За последние пять лет искусственный интеллект (ИИ), в частности нейросети, перешли рубеж корпораций и дошли до обычных пользователей. Нейросети активно внедряются во все сферы жизни: от медицины до искусства. Но по моему мнению именно в образовании влияние нейросетей ощущается особенно остро. ИИ используется на всех уровнях образования, как со стороны обучающихся, так и менторов (учителей, преподавателей, онлайн-школ). Пропорционально росту охватов нейросетей растёт и вопрос их влияния на </w:t>
      </w:r>
      <w:proofErr w:type="gramStart"/>
      <w:r w:rsidRPr="00796EFC">
        <w:rPr>
          <w:rFonts w:ascii="Times New Roman" w:eastAsia="Times New Roman" w:hAnsi="Times New Roman" w:cs="Times New Roman"/>
          <w:sz w:val="32"/>
          <w:szCs w:val="32"/>
          <w:lang w:eastAsia="ru-RU"/>
        </w:rPr>
        <w:t>образование.[</w:t>
      </w:r>
      <w:proofErr w:type="gramEnd"/>
      <w:r w:rsidRPr="00796EFC">
        <w:rPr>
          <w:rFonts w:ascii="Times New Roman" w:eastAsia="Times New Roman" w:hAnsi="Times New Roman" w:cs="Times New Roman"/>
          <w:sz w:val="32"/>
          <w:szCs w:val="32"/>
          <w:lang w:eastAsia="ru-RU"/>
        </w:rPr>
        <w:t>1]</w:t>
      </w:r>
    </w:p>
    <w:p w14:paraId="4C5C9029"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Рассмотрим, что уже происходит, какие плюсы и минусы такой технологии — и как можно построить здоровую модель сотрудничества между человеком и нейросетью в образовательной сфере.</w:t>
      </w:r>
    </w:p>
    <w:p w14:paraId="161345E5"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 xml:space="preserve">Для учителей нейросети могут автоматизировать бытовые задачи: проверка тестов, составление планов уроков, анализ успеваемости — всё это можно частично или полностью </w:t>
      </w:r>
      <w:r w:rsidRPr="00796EFC">
        <w:rPr>
          <w:rFonts w:ascii="Times New Roman" w:eastAsia="Times New Roman" w:hAnsi="Times New Roman" w:cs="Times New Roman"/>
          <w:sz w:val="32"/>
          <w:szCs w:val="32"/>
          <w:lang w:eastAsia="ru-RU"/>
        </w:rPr>
        <w:lastRenderedPageBreak/>
        <w:t>автоматизировать. Это позволяет педагогам сосредоточиться на живом взаимодействии, развитии навыков и мотивации учеников.</w:t>
      </w:r>
    </w:p>
    <w:p w14:paraId="7C6D233A"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 xml:space="preserve">Нейросети расширяют границы контента. Большое количества материала представлено на иностранных языках. Перевод статьи зарубежного института не является большой проблемой, тем не менее, осуществить перевод медиаконтента(видео) до недавнего времени было довольно трудно. Сейчас данная функция доступна в обычном браузере. </w:t>
      </w:r>
    </w:p>
    <w:p w14:paraId="01ED5B64"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Проблемы</w:t>
      </w:r>
    </w:p>
    <w:p w14:paraId="09D7AD6D"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Нейросети- новейший источник «быстрого дофамина». Они буквально стали панацеей для огромнейшего количества человек. Пользователь с практически любой задачей может обратиться к искусственному интеллекту. Так происходит метаморфоза от помощи к выполнению задания за пользователя. Последствия такого пользования наглядны – из вспомогательного инструмента нейросеть становится посредником человека. Следствие этого – потеря или ослабление критического мышления, логики, анализа. Другая проблема- нейросети часто выдают неправдивые, выдуманные или устаревшие данные — мало заинтересованный пользователь вряд ли будет проверять информацию и, возможно, возьмёт ее на вооружение в повседневную жизнь. Особенно опасно это для людей (в особенности, детей), которые ещё не умеют проверять информацию и доверяют ИИ. [2]</w:t>
      </w:r>
    </w:p>
    <w:p w14:paraId="3224D484"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Апогей этого- вид предоставляемой информации. Во всём, что делает нейросеть можно увидеть одинаковый почерк. Человек с опытом легко определит текст, сгенерированный ИИ - тексты часто похожи, составлены по одному паттерну, одинаковые использованные слова</w:t>
      </w:r>
    </w:p>
    <w:p w14:paraId="49F992FA"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Нарушение академической честности</w:t>
      </w:r>
    </w:p>
    <w:p w14:paraId="068852E8"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Где грань между "использованием ИИ как справочника" и "списыванием у нейросети"? Использование ChatGPT и аналогов для написания разнообразных работ-повсеместно. Появляется вопрос: как сохранить честность в образовании?</w:t>
      </w:r>
    </w:p>
    <w:p w14:paraId="36E1546A"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Как внедрить ИИ в образование</w:t>
      </w:r>
    </w:p>
    <w:p w14:paraId="7D7040F1"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Школа и ВУЗы должны не запрещать нейросети, а учить работать с ними правильно.</w:t>
      </w:r>
      <w:r w:rsidRPr="00796EFC">
        <w:rPr>
          <w:rFonts w:ascii="Times New Roman" w:eastAsia="Aptos" w:hAnsi="Times New Roman" w:cs="Times New Roman"/>
          <w:sz w:val="24"/>
          <w:szCs w:val="24"/>
        </w:rPr>
        <w:t xml:space="preserve"> </w:t>
      </w:r>
      <w:r w:rsidRPr="00796EFC">
        <w:rPr>
          <w:rFonts w:ascii="Times New Roman" w:eastAsia="Times New Roman" w:hAnsi="Times New Roman" w:cs="Times New Roman"/>
          <w:sz w:val="32"/>
          <w:szCs w:val="32"/>
          <w:lang w:eastAsia="ru-RU"/>
        </w:rPr>
        <w:t xml:space="preserve">Внедрение ИИ в образование требует не только технической адаптации, но и переосмысления педагогических подходов. Учителю сегодня важно не просто донести материал, а научить ученика учиться в условиях избыточности информации. </w:t>
      </w:r>
      <w:r w:rsidRPr="00796EFC">
        <w:rPr>
          <w:rFonts w:ascii="Times New Roman" w:eastAsia="Times New Roman" w:hAnsi="Times New Roman" w:cs="Times New Roman"/>
          <w:sz w:val="32"/>
          <w:szCs w:val="32"/>
          <w:lang w:eastAsia="ru-RU"/>
        </w:rPr>
        <w:lastRenderedPageBreak/>
        <w:t>Одной из ключевых задач становится развитие навыков критического мышления, умения ставить вопросы и оценивать достоверность источников, в том числе и при работе с ИИ. Преподавателям стоит делать больший упор на прямое общение с учениками, заданиями с нестандартным ответом или его отсутствием, чтобы ученики больше обращались к собственным мыслям. Нейросети не умеют мыслить, анализировать контексты в человеческом смысле. Поэтому роль учителя — быть балансом между учеником и машиной, формируя у обучающегося не только знания, но и культуру работы с современными инструментами. [3]</w:t>
      </w:r>
    </w:p>
    <w:p w14:paraId="567866F8"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Особую роль играет мотивация. Постоянное обращение к нейросетям для получения "готового" результата снижает внутреннюю потребность в усилии. Это обесценивает сам процесс обучения, превращая его в механический набор запросов и ответов. Чтобы избежать этого, важно интегрировать ИИ в образовательные задачи с умом: например, предлагать ученикам задания, где ИИ — лишь часть инструментария, а не конечный исполнитель. Это могут быть аналитические проекты, сравнение ответов ИИ с реальными источниками, дебаты на тему достоверности и уместности его использования.</w:t>
      </w:r>
    </w:p>
    <w:p w14:paraId="64131707"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 xml:space="preserve"> Нужно определить, когда он полезен, а когда мешает. Для программистов нейросети-весомый помощник, но для такого использования нужно разбираться в своей деятельности, потому там порог вхождения высок и бездумное использование не приведёт к позитивному результату, в сравнении с обычными типовыми запросами, например ответами на тест. Оптимальное решение — сочетание классического обучения с помощью ИИ. Учитель остаётся главным носителем знаний и воспитателем, а нейросеть — инструментом, который помогает, а не заменяет. На уровне ВУЗов использование нейросетей уже регулируется, но недостаточно скрупулёзно. Множество задач всё ещё выполняются с применением нейросетей и ранее упомянутые проблемы никуда не уходят [4].</w:t>
      </w:r>
    </w:p>
    <w:p w14:paraId="4B6746B4"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Для контроля и достижения компромисса на государственном уровне нужно выработать чёткие принципы использования нейросетей. Со стороны разработчиков добавить источники ответов: ИИ должен объяснять откуда берёт данные, так пользователь сможет легко перепроверить информацию</w:t>
      </w:r>
    </w:p>
    <w:p w14:paraId="54103517"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lastRenderedPageBreak/>
        <w:t>Оптимальное решение — сочетание классического обучения с помощью ИИ. Учитель остаётся главным носителем знаний, а нейросеть — инструментом, который помогает, но не заменяет.</w:t>
      </w:r>
    </w:p>
    <w:p w14:paraId="0CD19B0F"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Заключение</w:t>
      </w:r>
    </w:p>
    <w:p w14:paraId="603650E9" w14:textId="3ABB48A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 xml:space="preserve">Нейросети в образовании </w:t>
      </w:r>
      <w:proofErr w:type="gramStart"/>
      <w:r w:rsidRPr="00796EFC">
        <w:rPr>
          <w:rFonts w:ascii="Times New Roman" w:eastAsia="Times New Roman" w:hAnsi="Times New Roman" w:cs="Times New Roman"/>
          <w:sz w:val="32"/>
          <w:szCs w:val="32"/>
          <w:lang w:eastAsia="ru-RU"/>
        </w:rPr>
        <w:t>- это</w:t>
      </w:r>
      <w:proofErr w:type="gramEnd"/>
      <w:r w:rsidRPr="00796EFC">
        <w:rPr>
          <w:rFonts w:ascii="Times New Roman" w:eastAsia="Times New Roman" w:hAnsi="Times New Roman" w:cs="Times New Roman"/>
          <w:sz w:val="32"/>
          <w:szCs w:val="32"/>
          <w:lang w:eastAsia="ru-RU"/>
        </w:rPr>
        <w:t xml:space="preserve"> не угроза, а вызов. Как и любой «бум» последних двадцати лет. В нулевых-интернет, в</w:t>
      </w:r>
      <w:r w:rsidR="00BA566C" w:rsidRPr="00BA566C">
        <w:rPr>
          <w:rFonts w:ascii="Times New Roman" w:eastAsia="Times New Roman" w:hAnsi="Times New Roman" w:cs="Times New Roman"/>
          <w:sz w:val="32"/>
          <w:szCs w:val="32"/>
          <w:lang w:eastAsia="ru-RU"/>
        </w:rPr>
        <w:t xml:space="preserve"> </w:t>
      </w:r>
      <w:r w:rsidRPr="00796EFC">
        <w:rPr>
          <w:rFonts w:ascii="Times New Roman" w:eastAsia="Times New Roman" w:hAnsi="Times New Roman" w:cs="Times New Roman"/>
          <w:sz w:val="32"/>
          <w:szCs w:val="32"/>
          <w:lang w:eastAsia="ru-RU"/>
        </w:rPr>
        <w:t xml:space="preserve">десятых-индустрия развлечений (стриминги, </w:t>
      </w:r>
      <w:r w:rsidRPr="00796EFC">
        <w:rPr>
          <w:rFonts w:ascii="Times New Roman" w:eastAsia="Times New Roman" w:hAnsi="Times New Roman" w:cs="Times New Roman"/>
          <w:sz w:val="32"/>
          <w:szCs w:val="32"/>
          <w:lang w:val="en-US" w:eastAsia="ru-RU"/>
        </w:rPr>
        <w:t>TikTok</w:t>
      </w:r>
      <w:r w:rsidRPr="00796EFC">
        <w:rPr>
          <w:rFonts w:ascii="Times New Roman" w:eastAsia="Times New Roman" w:hAnsi="Times New Roman" w:cs="Times New Roman"/>
          <w:sz w:val="32"/>
          <w:szCs w:val="32"/>
          <w:lang w:eastAsia="ru-RU"/>
        </w:rPr>
        <w:t xml:space="preserve"> и др.). И как любой вызов, он требует взвешенного решения. Мы стоим на пороге новой эпохи, где знания больше не ограничены учебниками и лекциями. Но важно помнить: технологии — средство, а не цель. Настоящее образование — это не паразитирование, а закрепление знаний, использование их на практике формирование личности и мышления. [5]</w:t>
      </w:r>
    </w:p>
    <w:p w14:paraId="1ECAD8E8" w14:textId="77777777" w:rsidR="00796EFC" w:rsidRPr="00796EFC" w:rsidRDefault="00796EFC" w:rsidP="00796EFC">
      <w:pPr>
        <w:spacing w:after="0" w:line="240" w:lineRule="auto"/>
        <w:ind w:firstLine="709"/>
        <w:jc w:val="both"/>
        <w:rPr>
          <w:rFonts w:ascii="Times New Roman" w:eastAsia="Times New Roman" w:hAnsi="Times New Roman" w:cs="Times New Roman"/>
          <w:sz w:val="32"/>
          <w:szCs w:val="32"/>
          <w:lang w:eastAsia="ru-RU"/>
        </w:rPr>
      </w:pPr>
      <w:r w:rsidRPr="00796EFC">
        <w:rPr>
          <w:rFonts w:ascii="Times New Roman" w:eastAsia="Times New Roman" w:hAnsi="Times New Roman" w:cs="Times New Roman"/>
          <w:sz w:val="32"/>
          <w:szCs w:val="32"/>
          <w:lang w:eastAsia="ru-RU"/>
        </w:rPr>
        <w:t>ИИ может стать союзником в этом процессе, если научиться работать с ним осознанно, критически и справедливо.</w:t>
      </w:r>
    </w:p>
    <w:p w14:paraId="66F00316" w14:textId="77777777" w:rsidR="00796EFC" w:rsidRPr="00796EFC" w:rsidRDefault="00796EFC" w:rsidP="00796EFC">
      <w:pPr>
        <w:spacing w:line="240" w:lineRule="auto"/>
        <w:jc w:val="both"/>
        <w:rPr>
          <w:rFonts w:ascii="Times New Roman" w:eastAsia="Aptos" w:hAnsi="Times New Roman" w:cs="Times New Roman"/>
          <w:sz w:val="24"/>
          <w:szCs w:val="24"/>
        </w:rPr>
      </w:pPr>
    </w:p>
    <w:p w14:paraId="20B355C9" w14:textId="77777777" w:rsidR="00796EFC" w:rsidRPr="00796EFC" w:rsidRDefault="00796EFC" w:rsidP="00AA6838">
      <w:pPr>
        <w:spacing w:after="0" w:line="240" w:lineRule="auto"/>
        <w:jc w:val="center"/>
        <w:rPr>
          <w:rFonts w:ascii="Times New Roman" w:eastAsia="Times New Roman" w:hAnsi="Times New Roman" w:cs="Times New Roman"/>
          <w:b/>
          <w:bCs/>
          <w:sz w:val="21"/>
          <w:szCs w:val="21"/>
        </w:rPr>
      </w:pPr>
      <w:r w:rsidRPr="00796EFC">
        <w:rPr>
          <w:rFonts w:ascii="Times New Roman" w:eastAsia="Times New Roman" w:hAnsi="Times New Roman" w:cs="Times New Roman"/>
          <w:b/>
          <w:bCs/>
          <w:color w:val="000000"/>
          <w:sz w:val="21"/>
          <w:szCs w:val="21"/>
        </w:rPr>
        <w:t>Литература:</w:t>
      </w:r>
    </w:p>
    <w:p w14:paraId="1AEEBDFD" w14:textId="77777777" w:rsidR="00796EFC" w:rsidRPr="00796EFC" w:rsidRDefault="00796EFC" w:rsidP="00AD58CD">
      <w:pPr>
        <w:numPr>
          <w:ilvl w:val="0"/>
          <w:numId w:val="227"/>
        </w:numPr>
        <w:spacing w:after="0" w:line="240" w:lineRule="auto"/>
        <w:ind w:hanging="720"/>
        <w:contextualSpacing/>
        <w:jc w:val="both"/>
        <w:rPr>
          <w:rFonts w:ascii="Times New Roman" w:eastAsia="Times New Roman" w:hAnsi="Times New Roman" w:cs="Times New Roman"/>
          <w:sz w:val="21"/>
          <w:szCs w:val="21"/>
        </w:rPr>
      </w:pPr>
      <w:r w:rsidRPr="00796EFC">
        <w:rPr>
          <w:rFonts w:ascii="Times New Roman" w:eastAsia="Aptos" w:hAnsi="Times New Roman" w:cs="Times New Roman"/>
          <w:sz w:val="21"/>
          <w:szCs w:val="21"/>
        </w:rPr>
        <w:t xml:space="preserve">Как искуственный интеллект может помочь в образовании </w:t>
      </w:r>
      <w:r w:rsidRPr="00796EFC">
        <w:rPr>
          <w:rFonts w:ascii="Times New Roman" w:eastAsia="Times New Roman" w:hAnsi="Times New Roman" w:cs="Times New Roman"/>
          <w:sz w:val="21"/>
          <w:szCs w:val="21"/>
        </w:rPr>
        <w:t xml:space="preserve">// </w:t>
      </w:r>
      <w:hyperlink r:id="rId368" w:history="1">
        <w:r w:rsidRPr="00796EFC">
          <w:rPr>
            <w:rFonts w:ascii="Times New Roman" w:eastAsia="Times New Roman" w:hAnsi="Times New Roman" w:cs="Times New Roman"/>
            <w:color w:val="467886"/>
            <w:sz w:val="21"/>
            <w:szCs w:val="21"/>
            <w:u w:val="single"/>
            <w:lang w:val="en-US"/>
          </w:rPr>
          <w:t>https</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developers</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sber</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ru</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help</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gigachat</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api</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education</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with</w:t>
        </w:r>
        <w:r w:rsidRPr="00796EFC">
          <w:rPr>
            <w:rFonts w:ascii="Times New Roman" w:eastAsia="Times New Roman" w:hAnsi="Times New Roman" w:cs="Times New Roman"/>
            <w:color w:val="467886"/>
            <w:sz w:val="21"/>
            <w:szCs w:val="21"/>
            <w:u w:val="single"/>
          </w:rPr>
          <w:t>-</w:t>
        </w:r>
        <w:r w:rsidRPr="00796EFC">
          <w:rPr>
            <w:rFonts w:ascii="Times New Roman" w:eastAsia="Times New Roman" w:hAnsi="Times New Roman" w:cs="Times New Roman"/>
            <w:color w:val="467886"/>
            <w:sz w:val="21"/>
            <w:szCs w:val="21"/>
            <w:u w:val="single"/>
            <w:lang w:val="en-US"/>
          </w:rPr>
          <w:t>ai</w:t>
        </w:r>
      </w:hyperlink>
    </w:p>
    <w:p w14:paraId="53FB4EB4" w14:textId="77777777" w:rsidR="00796EFC" w:rsidRPr="00796EFC" w:rsidRDefault="00796EFC" w:rsidP="00AD58CD">
      <w:pPr>
        <w:numPr>
          <w:ilvl w:val="0"/>
          <w:numId w:val="227"/>
        </w:numPr>
        <w:spacing w:after="0" w:line="240" w:lineRule="auto"/>
        <w:ind w:hanging="720"/>
        <w:contextualSpacing/>
        <w:jc w:val="both"/>
        <w:rPr>
          <w:rFonts w:ascii="Times New Roman" w:eastAsia="Times New Roman" w:hAnsi="Times New Roman" w:cs="Times New Roman"/>
          <w:sz w:val="21"/>
          <w:szCs w:val="21"/>
        </w:rPr>
      </w:pPr>
      <w:r w:rsidRPr="00796EFC">
        <w:rPr>
          <w:rFonts w:ascii="Times New Roman" w:eastAsia="Aptos" w:hAnsi="Times New Roman" w:cs="Times New Roman"/>
          <w:spacing w:val="-2"/>
          <w:sz w:val="21"/>
          <w:szCs w:val="21"/>
        </w:rPr>
        <w:t>Как искусственный интеллект меняет сферу образования</w:t>
      </w:r>
      <w:r w:rsidRPr="00796EFC">
        <w:rPr>
          <w:rFonts w:ascii="Times New Roman" w:eastAsia="Times New Roman" w:hAnsi="Times New Roman" w:cs="Times New Roman"/>
          <w:sz w:val="21"/>
          <w:szCs w:val="21"/>
        </w:rPr>
        <w:t xml:space="preserve"> // сайт. - URL: </w:t>
      </w:r>
      <w:hyperlink r:id="rId369" w:history="1">
        <w:r w:rsidRPr="00796EFC">
          <w:rPr>
            <w:rFonts w:ascii="Times New Roman" w:eastAsia="Aptos" w:hAnsi="Times New Roman" w:cs="Times New Roman"/>
            <w:sz w:val="21"/>
            <w:szCs w:val="21"/>
          </w:rPr>
          <w:t>https://softline.ru/about/blog/kak-iskusstvennyj-intellekt-menyaet-sferu-obrazovaniya</w:t>
        </w:r>
      </w:hyperlink>
      <w:r w:rsidRPr="00796EFC">
        <w:rPr>
          <w:rFonts w:ascii="Times New Roman" w:eastAsia="Times New Roman" w:hAnsi="Times New Roman" w:cs="Times New Roman"/>
          <w:sz w:val="21"/>
          <w:szCs w:val="21"/>
        </w:rPr>
        <w:t xml:space="preserve"> </w:t>
      </w:r>
    </w:p>
    <w:p w14:paraId="6B072747" w14:textId="77777777" w:rsidR="00796EFC" w:rsidRPr="00796EFC" w:rsidRDefault="00796EFC" w:rsidP="00AD58CD">
      <w:pPr>
        <w:numPr>
          <w:ilvl w:val="0"/>
          <w:numId w:val="227"/>
        </w:numPr>
        <w:spacing w:after="0" w:line="240" w:lineRule="auto"/>
        <w:ind w:hanging="720"/>
        <w:contextualSpacing/>
        <w:jc w:val="both"/>
        <w:rPr>
          <w:rFonts w:ascii="Times New Roman" w:eastAsia="Times New Roman" w:hAnsi="Times New Roman" w:cs="Times New Roman"/>
          <w:sz w:val="21"/>
          <w:szCs w:val="21"/>
        </w:rPr>
      </w:pPr>
      <w:r w:rsidRPr="00796EFC">
        <w:rPr>
          <w:rFonts w:ascii="Times New Roman" w:eastAsia="Times New Roman" w:hAnsi="Times New Roman" w:cs="Times New Roman"/>
          <w:sz w:val="21"/>
          <w:szCs w:val="21"/>
        </w:rPr>
        <w:t>Франциско О.Ю., Молчан А.С. Моделирование систем / учебник. - Краснодар, 2023. - 178 с.</w:t>
      </w:r>
    </w:p>
    <w:p w14:paraId="0C7AD179" w14:textId="77777777" w:rsidR="00796EFC" w:rsidRPr="00796EFC" w:rsidRDefault="00796EFC" w:rsidP="00AD58CD">
      <w:pPr>
        <w:numPr>
          <w:ilvl w:val="0"/>
          <w:numId w:val="227"/>
        </w:numPr>
        <w:spacing w:after="0" w:line="240" w:lineRule="auto"/>
        <w:ind w:hanging="720"/>
        <w:contextualSpacing/>
        <w:jc w:val="both"/>
        <w:rPr>
          <w:rFonts w:ascii="Times New Roman" w:eastAsia="Times New Roman" w:hAnsi="Times New Roman" w:cs="Times New Roman"/>
          <w:sz w:val="21"/>
          <w:szCs w:val="21"/>
          <w:lang w:val="en-US"/>
        </w:rPr>
      </w:pPr>
      <w:r w:rsidRPr="00796EFC">
        <w:rPr>
          <w:rFonts w:ascii="Times New Roman" w:eastAsia="Times New Roman" w:hAnsi="Times New Roman" w:cs="Times New Roman"/>
          <w:sz w:val="21"/>
          <w:szCs w:val="21"/>
          <w:lang w:val="en-US"/>
        </w:rPr>
        <w:t xml:space="preserve">The </w:t>
      </w:r>
      <w:r w:rsidRPr="00796EFC">
        <w:rPr>
          <w:rFonts w:ascii="Times New Roman" w:eastAsia="Aptos" w:hAnsi="Times New Roman" w:cs="Times New Roman"/>
          <w:sz w:val="21"/>
          <w:szCs w:val="21"/>
          <w:lang w:val="en-US"/>
        </w:rPr>
        <w:t xml:space="preserve">role of AI in modern </w:t>
      </w:r>
      <w:proofErr w:type="gramStart"/>
      <w:r w:rsidRPr="00796EFC">
        <w:rPr>
          <w:rFonts w:ascii="Times New Roman" w:eastAsia="Aptos" w:hAnsi="Times New Roman" w:cs="Times New Roman"/>
          <w:sz w:val="21"/>
          <w:szCs w:val="21"/>
          <w:lang w:val="en-US"/>
        </w:rPr>
        <w:t>education</w:t>
      </w:r>
      <w:r w:rsidRPr="00796EFC">
        <w:rPr>
          <w:rFonts w:ascii="Times New Roman" w:eastAsia="Times New Roman" w:hAnsi="Times New Roman" w:cs="Times New Roman"/>
          <w:sz w:val="21"/>
          <w:szCs w:val="21"/>
          <w:lang w:val="en-US"/>
        </w:rPr>
        <w:t xml:space="preserve">  /</w:t>
      </w:r>
      <w:proofErr w:type="gramEnd"/>
      <w:r w:rsidRPr="00796EFC">
        <w:rPr>
          <w:rFonts w:ascii="Times New Roman" w:eastAsia="Times New Roman" w:hAnsi="Times New Roman" w:cs="Times New Roman"/>
          <w:sz w:val="21"/>
          <w:szCs w:val="21"/>
          <w:lang w:val="en-US"/>
        </w:rPr>
        <w:t xml:space="preserve">/ </w:t>
      </w:r>
      <w:r w:rsidRPr="00796EFC">
        <w:rPr>
          <w:rFonts w:ascii="Times New Roman" w:eastAsia="Times New Roman" w:hAnsi="Times New Roman" w:cs="Times New Roman"/>
          <w:sz w:val="21"/>
          <w:szCs w:val="21"/>
        </w:rPr>
        <w:t>сайт</w:t>
      </w:r>
      <w:r w:rsidRPr="00796EFC">
        <w:rPr>
          <w:rFonts w:ascii="Times New Roman" w:eastAsia="Times New Roman" w:hAnsi="Times New Roman" w:cs="Times New Roman"/>
          <w:sz w:val="21"/>
          <w:szCs w:val="21"/>
          <w:lang w:val="en-US"/>
        </w:rPr>
        <w:t xml:space="preserve"> - URL: </w:t>
      </w:r>
      <w:hyperlink r:id="rId370" w:history="1">
        <w:r w:rsidRPr="00796EFC">
          <w:rPr>
            <w:rFonts w:ascii="Times New Roman" w:eastAsia="Times New Roman" w:hAnsi="Times New Roman" w:cs="Times New Roman"/>
            <w:sz w:val="21"/>
            <w:szCs w:val="21"/>
            <w:lang w:val="en-US"/>
          </w:rPr>
          <w:t>https://onlineprograms.education.uiowa.edu/blog/role-of-ai-in-modern-education</w:t>
        </w:r>
      </w:hyperlink>
    </w:p>
    <w:p w14:paraId="5EC2BA0A" w14:textId="77777777" w:rsidR="00796EFC" w:rsidRPr="00796EFC" w:rsidRDefault="00796EFC" w:rsidP="00AD58CD">
      <w:pPr>
        <w:numPr>
          <w:ilvl w:val="0"/>
          <w:numId w:val="227"/>
        </w:numPr>
        <w:spacing w:after="0" w:line="240" w:lineRule="auto"/>
        <w:ind w:hanging="720"/>
        <w:contextualSpacing/>
        <w:jc w:val="both"/>
        <w:rPr>
          <w:rFonts w:ascii="Times New Roman" w:eastAsia="Times New Roman" w:hAnsi="Times New Roman" w:cs="Times New Roman"/>
          <w:sz w:val="21"/>
          <w:szCs w:val="21"/>
          <w:lang w:val="en-US"/>
        </w:rPr>
      </w:pPr>
      <w:r w:rsidRPr="00796EFC">
        <w:rPr>
          <w:rFonts w:ascii="Times New Roman" w:eastAsia="Times New Roman" w:hAnsi="Times New Roman" w:cs="Times New Roman"/>
          <w:sz w:val="21"/>
          <w:szCs w:val="21"/>
          <w:lang w:val="en-US"/>
        </w:rPr>
        <w:t xml:space="preserve">AI in Schools: Pros and Cons // </w:t>
      </w:r>
      <w:r w:rsidRPr="00796EFC">
        <w:rPr>
          <w:rFonts w:ascii="Times New Roman" w:eastAsia="Times New Roman" w:hAnsi="Times New Roman" w:cs="Times New Roman"/>
          <w:sz w:val="21"/>
          <w:szCs w:val="21"/>
        </w:rPr>
        <w:t>сайт</w:t>
      </w:r>
      <w:r w:rsidRPr="00796EFC">
        <w:rPr>
          <w:rFonts w:ascii="Times New Roman" w:eastAsia="Times New Roman" w:hAnsi="Times New Roman" w:cs="Times New Roman"/>
          <w:sz w:val="21"/>
          <w:szCs w:val="21"/>
          <w:lang w:val="en-US"/>
        </w:rPr>
        <w:t xml:space="preserve"> - URL: </w:t>
      </w:r>
      <w:hyperlink r:id="rId371" w:history="1">
        <w:r w:rsidRPr="00796EFC">
          <w:rPr>
            <w:rFonts w:ascii="Times New Roman" w:eastAsia="Aptos" w:hAnsi="Times New Roman" w:cs="Times New Roman"/>
            <w:color w:val="467886"/>
            <w:sz w:val="21"/>
            <w:szCs w:val="21"/>
            <w:u w:val="single"/>
            <w:lang w:val="en-US"/>
          </w:rPr>
          <w:t>https://education.illinois.edu/about/news-events/news/article/2024/10/24/ai-in-schools--pros-and-cons</w:t>
        </w:r>
      </w:hyperlink>
    </w:p>
    <w:p w14:paraId="691F2BC0" w14:textId="77777777" w:rsidR="00796EFC" w:rsidRPr="00AA6838" w:rsidRDefault="00796EFC" w:rsidP="00E34C49">
      <w:pPr>
        <w:spacing w:after="0" w:line="240" w:lineRule="auto"/>
        <w:rPr>
          <w:rFonts w:ascii="Times New Roman" w:eastAsia="Times New Roman" w:hAnsi="Times New Roman" w:cs="Times New Roman"/>
          <w:b/>
          <w:kern w:val="2"/>
          <w:sz w:val="21"/>
          <w:szCs w:val="24"/>
          <w:lang w:val="en-US" w:eastAsia="ru-RU"/>
        </w:rPr>
      </w:pPr>
    </w:p>
    <w:p w14:paraId="21BDA413" w14:textId="77777777" w:rsidR="00DC5D04" w:rsidRPr="00654CF2" w:rsidRDefault="00DC5D04" w:rsidP="00E34C49">
      <w:pPr>
        <w:spacing w:after="0" w:line="240" w:lineRule="auto"/>
        <w:rPr>
          <w:rFonts w:ascii="Times New Roman" w:eastAsia="Times New Roman" w:hAnsi="Times New Roman" w:cs="Times New Roman"/>
          <w:b/>
          <w:kern w:val="2"/>
          <w:sz w:val="21"/>
          <w:szCs w:val="24"/>
          <w:lang w:val="en-US" w:eastAsia="ru-RU"/>
        </w:rPr>
      </w:pPr>
    </w:p>
    <w:p w14:paraId="2F2BBEA2" w14:textId="77777777" w:rsidR="00C471AF" w:rsidRPr="00C471AF" w:rsidRDefault="00C471AF" w:rsidP="00D74B77">
      <w:pPr>
        <w:suppressAutoHyphens/>
        <w:spacing w:after="0" w:line="240" w:lineRule="auto"/>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b/>
          <w:i/>
          <w:kern w:val="2"/>
          <w:sz w:val="21"/>
          <w:szCs w:val="21"/>
          <w:lang w:eastAsia="ru-RU"/>
          <w14:ligatures w14:val="standardContextual"/>
        </w:rPr>
        <w:t xml:space="preserve">Березовская П.М., </w:t>
      </w:r>
    </w:p>
    <w:p w14:paraId="3C3D2318"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i/>
          <w:kern w:val="2"/>
          <w:sz w:val="21"/>
          <w:szCs w:val="21"/>
          <w:lang w:eastAsia="ru-RU"/>
          <w14:ligatures w14:val="standardContextual"/>
        </w:rPr>
        <w:t xml:space="preserve">студент 2 курса </w:t>
      </w:r>
    </w:p>
    <w:p w14:paraId="10782C2F"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bookmarkStart w:id="78" w:name="_Hlk197368926"/>
      <w:r w:rsidRPr="00C471AF">
        <w:rPr>
          <w:rFonts w:ascii="Times New Roman" w:eastAsia="Aptos" w:hAnsi="Times New Roman" w:cs="Times New Roman"/>
          <w:i/>
          <w:kern w:val="2"/>
          <w:sz w:val="21"/>
          <w:szCs w:val="21"/>
          <w:lang w:eastAsia="ru-RU"/>
          <w14:ligatures w14:val="standardContextual"/>
        </w:rPr>
        <w:t>Краснодарский филиал ФГОБУ ВО «Финансовый университет при Правительстве РФ»</w:t>
      </w:r>
    </w:p>
    <w:bookmarkEnd w:id="78"/>
    <w:p w14:paraId="6D43C018"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i/>
          <w:kern w:val="2"/>
          <w:sz w:val="21"/>
          <w:szCs w:val="21"/>
          <w:lang w:eastAsia="ru-RU"/>
          <w14:ligatures w14:val="standardContextual"/>
        </w:rPr>
        <w:t>г. Краснодар, Россия</w:t>
      </w:r>
    </w:p>
    <w:p w14:paraId="5B2D3B53" w14:textId="77777777" w:rsidR="00C471AF" w:rsidRPr="00132A69"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eastAsia="ru-RU"/>
          <w14:ligatures w14:val="standardContextual"/>
        </w:rPr>
        <w:t>е</w:t>
      </w:r>
      <w:r w:rsidRPr="00132A69">
        <w:rPr>
          <w:rFonts w:ascii="Times New Roman" w:eastAsia="Aptos" w:hAnsi="Times New Roman" w:cs="Times New Roman"/>
          <w:i/>
          <w:kern w:val="2"/>
          <w:sz w:val="21"/>
          <w:szCs w:val="21"/>
          <w:lang w:val="en-US" w:eastAsia="ru-RU"/>
          <w14:ligatures w14:val="standardContextual"/>
        </w:rPr>
        <w:t>-</w:t>
      </w:r>
      <w:r w:rsidRPr="00C471AF">
        <w:rPr>
          <w:rFonts w:ascii="Times New Roman" w:eastAsia="Aptos" w:hAnsi="Times New Roman" w:cs="Times New Roman"/>
          <w:i/>
          <w:kern w:val="2"/>
          <w:sz w:val="21"/>
          <w:szCs w:val="21"/>
          <w:lang w:val="en-US" w:eastAsia="ru-RU"/>
          <w14:ligatures w14:val="standardContextual"/>
        </w:rPr>
        <w:t>mail</w:t>
      </w:r>
      <w:r w:rsidRPr="00132A69">
        <w:rPr>
          <w:rFonts w:ascii="Times New Roman" w:eastAsia="Aptos" w:hAnsi="Times New Roman" w:cs="Times New Roman"/>
          <w:i/>
          <w:kern w:val="2"/>
          <w:sz w:val="21"/>
          <w:szCs w:val="21"/>
          <w:lang w:val="en-US" w:eastAsia="ru-RU"/>
          <w14:ligatures w14:val="standardContextual"/>
        </w:rPr>
        <w:t xml:space="preserve">: </w:t>
      </w:r>
      <w:bookmarkStart w:id="79" w:name="_Hlk197369421"/>
      <w:r w:rsidRPr="00C471AF">
        <w:rPr>
          <w:rFonts w:ascii="Aptos" w:eastAsia="Aptos" w:hAnsi="Aptos" w:cs="Aptos"/>
          <w:kern w:val="2"/>
          <w:sz w:val="24"/>
          <w:szCs w:val="24"/>
          <w:lang w:eastAsia="ru-RU"/>
          <w14:ligatures w14:val="standardContextual"/>
        </w:rPr>
        <w:fldChar w:fldCharType="begin"/>
      </w:r>
      <w:r w:rsidRPr="003367AB">
        <w:rPr>
          <w:rFonts w:ascii="Aptos" w:eastAsia="Aptos" w:hAnsi="Aptos" w:cs="Aptos"/>
          <w:kern w:val="2"/>
          <w:sz w:val="24"/>
          <w:szCs w:val="24"/>
          <w:lang w:val="en-US" w:eastAsia="ru-RU"/>
          <w14:ligatures w14:val="standardContextual"/>
        </w:rPr>
        <w:instrText>HYPERLINK</w:instrText>
      </w:r>
      <w:r w:rsidRPr="00132A69">
        <w:rPr>
          <w:rFonts w:ascii="Aptos" w:eastAsia="Aptos" w:hAnsi="Aptos" w:cs="Aptos"/>
          <w:kern w:val="2"/>
          <w:sz w:val="24"/>
          <w:szCs w:val="24"/>
          <w:lang w:val="en-US" w:eastAsia="ru-RU"/>
          <w14:ligatures w14:val="standardContextual"/>
        </w:rPr>
        <w:instrText xml:space="preserve"> "</w:instrText>
      </w:r>
      <w:r w:rsidRPr="003367AB">
        <w:rPr>
          <w:rFonts w:ascii="Aptos" w:eastAsia="Aptos" w:hAnsi="Aptos" w:cs="Aptos"/>
          <w:kern w:val="2"/>
          <w:sz w:val="24"/>
          <w:szCs w:val="24"/>
          <w:lang w:val="en-US" w:eastAsia="ru-RU"/>
          <w14:ligatures w14:val="standardContextual"/>
        </w:rPr>
        <w:instrText>mailto</w:instrText>
      </w:r>
      <w:r w:rsidRPr="00132A69">
        <w:rPr>
          <w:rFonts w:ascii="Aptos" w:eastAsia="Aptos" w:hAnsi="Aptos" w:cs="Aptos"/>
          <w:kern w:val="2"/>
          <w:sz w:val="24"/>
          <w:szCs w:val="24"/>
          <w:lang w:val="en-US" w:eastAsia="ru-RU"/>
          <w14:ligatures w14:val="standardContextual"/>
        </w:rPr>
        <w:instrText>:</w:instrText>
      </w:r>
      <w:r w:rsidRPr="003367AB">
        <w:rPr>
          <w:rFonts w:ascii="Aptos" w:eastAsia="Aptos" w:hAnsi="Aptos" w:cs="Aptos"/>
          <w:kern w:val="2"/>
          <w:sz w:val="24"/>
          <w:szCs w:val="24"/>
          <w:lang w:val="en-US" w:eastAsia="ru-RU"/>
          <w14:ligatures w14:val="standardContextual"/>
        </w:rPr>
        <w:instrText>polina</w:instrText>
      </w:r>
      <w:r w:rsidRPr="00132A69">
        <w:rPr>
          <w:rFonts w:ascii="Aptos" w:eastAsia="Aptos" w:hAnsi="Aptos" w:cs="Aptos"/>
          <w:kern w:val="2"/>
          <w:sz w:val="24"/>
          <w:szCs w:val="24"/>
          <w:lang w:val="en-US" w:eastAsia="ru-RU"/>
          <w14:ligatures w14:val="standardContextual"/>
        </w:rPr>
        <w:instrText>.</w:instrText>
      </w:r>
      <w:r w:rsidRPr="003367AB">
        <w:rPr>
          <w:rFonts w:ascii="Aptos" w:eastAsia="Aptos" w:hAnsi="Aptos" w:cs="Aptos"/>
          <w:kern w:val="2"/>
          <w:sz w:val="24"/>
          <w:szCs w:val="24"/>
          <w:lang w:val="en-US" w:eastAsia="ru-RU"/>
          <w14:ligatures w14:val="standardContextual"/>
        </w:rPr>
        <w:instrText>berezovskaya</w:instrText>
      </w:r>
      <w:r w:rsidRPr="00132A69">
        <w:rPr>
          <w:rFonts w:ascii="Aptos" w:eastAsia="Aptos" w:hAnsi="Aptos" w:cs="Aptos"/>
          <w:kern w:val="2"/>
          <w:sz w:val="24"/>
          <w:szCs w:val="24"/>
          <w:lang w:val="en-US" w:eastAsia="ru-RU"/>
          <w14:ligatures w14:val="standardContextual"/>
        </w:rPr>
        <w:instrText>2023@</w:instrText>
      </w:r>
      <w:r w:rsidRPr="003367AB">
        <w:rPr>
          <w:rFonts w:ascii="Aptos" w:eastAsia="Aptos" w:hAnsi="Aptos" w:cs="Aptos"/>
          <w:kern w:val="2"/>
          <w:sz w:val="24"/>
          <w:szCs w:val="24"/>
          <w:lang w:val="en-US" w:eastAsia="ru-RU"/>
          <w14:ligatures w14:val="standardContextual"/>
        </w:rPr>
        <w:instrText>mail</w:instrText>
      </w:r>
      <w:r w:rsidRPr="00132A69">
        <w:rPr>
          <w:rFonts w:ascii="Aptos" w:eastAsia="Aptos" w:hAnsi="Aptos" w:cs="Aptos"/>
          <w:kern w:val="2"/>
          <w:sz w:val="24"/>
          <w:szCs w:val="24"/>
          <w:lang w:val="en-US" w:eastAsia="ru-RU"/>
          <w14:ligatures w14:val="standardContextual"/>
        </w:rPr>
        <w:instrText>.</w:instrText>
      </w:r>
      <w:r w:rsidRPr="003367AB">
        <w:rPr>
          <w:rFonts w:ascii="Aptos" w:eastAsia="Aptos" w:hAnsi="Aptos" w:cs="Aptos"/>
          <w:kern w:val="2"/>
          <w:sz w:val="24"/>
          <w:szCs w:val="24"/>
          <w:lang w:val="en-US" w:eastAsia="ru-RU"/>
          <w14:ligatures w14:val="standardContextual"/>
        </w:rPr>
        <w:instrText>ru</w:instrText>
      </w:r>
      <w:r w:rsidRPr="00132A69">
        <w:rPr>
          <w:rFonts w:ascii="Aptos" w:eastAsia="Aptos" w:hAnsi="Aptos" w:cs="Aptos"/>
          <w:kern w:val="2"/>
          <w:sz w:val="24"/>
          <w:szCs w:val="24"/>
          <w:lang w:val="en-US" w:eastAsia="ru-RU"/>
          <w14:ligatures w14:val="standardContextual"/>
        </w:rPr>
        <w:instrText>"</w:instrText>
      </w:r>
      <w:r w:rsidRPr="00C471AF">
        <w:rPr>
          <w:rFonts w:ascii="Aptos" w:eastAsia="Aptos" w:hAnsi="Aptos" w:cs="Aptos"/>
          <w:kern w:val="2"/>
          <w:sz w:val="24"/>
          <w:szCs w:val="24"/>
          <w:lang w:eastAsia="ru-RU"/>
          <w14:ligatures w14:val="standardContextual"/>
        </w:rPr>
        <w:fldChar w:fldCharType="separate"/>
      </w:r>
      <w:r w:rsidRPr="00C471AF">
        <w:rPr>
          <w:rFonts w:ascii="Times New Roman" w:eastAsia="Aptos" w:hAnsi="Times New Roman" w:cs="Times New Roman"/>
          <w:i/>
          <w:color w:val="467886"/>
          <w:kern w:val="2"/>
          <w:sz w:val="21"/>
          <w:szCs w:val="21"/>
          <w:u w:val="single"/>
          <w:lang w:val="en-US" w:eastAsia="ru-RU"/>
          <w14:ligatures w14:val="standardContextual"/>
        </w:rPr>
        <w:t>polina</w:t>
      </w:r>
      <w:r w:rsidRPr="00132A69">
        <w:rPr>
          <w:rFonts w:ascii="Times New Roman" w:eastAsia="Aptos" w:hAnsi="Times New Roman" w:cs="Times New Roman"/>
          <w:i/>
          <w:color w:val="467886"/>
          <w:kern w:val="2"/>
          <w:sz w:val="21"/>
          <w:szCs w:val="21"/>
          <w:u w:val="single"/>
          <w:lang w:val="en-US" w:eastAsia="ru-RU"/>
          <w14:ligatures w14:val="standardContextual"/>
        </w:rPr>
        <w:t>.</w:t>
      </w:r>
      <w:r w:rsidRPr="00C471AF">
        <w:rPr>
          <w:rFonts w:ascii="Times New Roman" w:eastAsia="Aptos" w:hAnsi="Times New Roman" w:cs="Times New Roman"/>
          <w:i/>
          <w:color w:val="467886"/>
          <w:kern w:val="2"/>
          <w:sz w:val="21"/>
          <w:szCs w:val="21"/>
          <w:u w:val="single"/>
          <w:lang w:val="en-US" w:eastAsia="ru-RU"/>
          <w14:ligatures w14:val="standardContextual"/>
        </w:rPr>
        <w:t>berezovskaya</w:t>
      </w:r>
      <w:r w:rsidRPr="00132A69">
        <w:rPr>
          <w:rFonts w:ascii="Times New Roman" w:eastAsia="Aptos" w:hAnsi="Times New Roman" w:cs="Times New Roman"/>
          <w:i/>
          <w:color w:val="467886"/>
          <w:kern w:val="2"/>
          <w:sz w:val="21"/>
          <w:szCs w:val="21"/>
          <w:u w:val="single"/>
          <w:lang w:val="en-US" w:eastAsia="ru-RU"/>
          <w14:ligatures w14:val="standardContextual"/>
        </w:rPr>
        <w:t>2023@</w:t>
      </w:r>
      <w:r w:rsidRPr="00C471AF">
        <w:rPr>
          <w:rFonts w:ascii="Times New Roman" w:eastAsia="Aptos" w:hAnsi="Times New Roman" w:cs="Times New Roman"/>
          <w:i/>
          <w:color w:val="467886"/>
          <w:kern w:val="2"/>
          <w:sz w:val="21"/>
          <w:szCs w:val="21"/>
          <w:u w:val="single"/>
          <w:lang w:val="en-US" w:eastAsia="ru-RU"/>
          <w14:ligatures w14:val="standardContextual"/>
        </w:rPr>
        <w:t>mail</w:t>
      </w:r>
      <w:r w:rsidRPr="00132A69">
        <w:rPr>
          <w:rFonts w:ascii="Times New Roman" w:eastAsia="Aptos" w:hAnsi="Times New Roman" w:cs="Times New Roman"/>
          <w:i/>
          <w:color w:val="467886"/>
          <w:kern w:val="2"/>
          <w:sz w:val="21"/>
          <w:szCs w:val="21"/>
          <w:u w:val="single"/>
          <w:lang w:val="en-US" w:eastAsia="ru-RU"/>
          <w14:ligatures w14:val="standardContextual"/>
        </w:rPr>
        <w:t>.</w:t>
      </w:r>
      <w:r w:rsidRPr="00C471AF">
        <w:rPr>
          <w:rFonts w:ascii="Times New Roman" w:eastAsia="Aptos" w:hAnsi="Times New Roman" w:cs="Times New Roman"/>
          <w:i/>
          <w:color w:val="467886"/>
          <w:kern w:val="2"/>
          <w:sz w:val="21"/>
          <w:szCs w:val="21"/>
          <w:u w:val="single"/>
          <w:lang w:val="en-US" w:eastAsia="ru-RU"/>
          <w14:ligatures w14:val="standardContextual"/>
        </w:rPr>
        <w:t>ru</w:t>
      </w:r>
      <w:r w:rsidRPr="00C471AF">
        <w:rPr>
          <w:rFonts w:ascii="Aptos" w:eastAsia="Aptos" w:hAnsi="Aptos" w:cs="Aptos"/>
          <w:kern w:val="2"/>
          <w:sz w:val="24"/>
          <w:szCs w:val="24"/>
          <w:lang w:eastAsia="ru-RU"/>
          <w14:ligatures w14:val="standardContextual"/>
        </w:rPr>
        <w:fldChar w:fldCharType="end"/>
      </w:r>
      <w:bookmarkEnd w:id="79"/>
      <w:r w:rsidRPr="00132A69">
        <w:rPr>
          <w:rFonts w:ascii="Times New Roman" w:eastAsia="Aptos" w:hAnsi="Times New Roman" w:cs="Times New Roman"/>
          <w:i/>
          <w:kern w:val="2"/>
          <w:sz w:val="21"/>
          <w:szCs w:val="21"/>
          <w:lang w:val="en-US" w:eastAsia="ru-RU"/>
          <w14:ligatures w14:val="standardContextual"/>
        </w:rPr>
        <w:t xml:space="preserve"> </w:t>
      </w:r>
    </w:p>
    <w:p w14:paraId="7149BA7D" w14:textId="77777777" w:rsidR="00C471AF" w:rsidRPr="00132A69"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p>
    <w:p w14:paraId="3484375C"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eastAsia="ru-RU"/>
          <w14:ligatures w14:val="standardContextual"/>
        </w:rPr>
      </w:pPr>
      <w:r w:rsidRPr="00C471AF">
        <w:rPr>
          <w:rFonts w:ascii="Times New Roman" w:eastAsia="Aptos" w:hAnsi="Times New Roman" w:cs="Times New Roman"/>
          <w:b/>
          <w:i/>
          <w:kern w:val="2"/>
          <w:sz w:val="21"/>
          <w:szCs w:val="21"/>
          <w:lang w:eastAsia="ru-RU"/>
          <w14:ligatures w14:val="standardContextual"/>
        </w:rPr>
        <w:t>Научный руководитель:</w:t>
      </w:r>
    </w:p>
    <w:p w14:paraId="4F4C9844"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eastAsia="ru-RU"/>
          <w14:ligatures w14:val="standardContextual"/>
        </w:rPr>
      </w:pPr>
      <w:r w:rsidRPr="00C471AF">
        <w:rPr>
          <w:rFonts w:ascii="Times New Roman" w:eastAsia="Aptos" w:hAnsi="Times New Roman" w:cs="Times New Roman"/>
          <w:b/>
          <w:i/>
          <w:kern w:val="2"/>
          <w:sz w:val="21"/>
          <w:szCs w:val="21"/>
          <w:lang w:eastAsia="ru-RU"/>
          <w14:ligatures w14:val="standardContextual"/>
        </w:rPr>
        <w:t>Ануфриева А.П.,</w:t>
      </w:r>
    </w:p>
    <w:p w14:paraId="487A4C5C"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b/>
          <w:i/>
          <w:kern w:val="2"/>
          <w:sz w:val="21"/>
          <w:szCs w:val="21"/>
          <w:lang w:eastAsia="ru-RU"/>
          <w14:ligatures w14:val="standardContextual"/>
        </w:rPr>
        <w:t xml:space="preserve"> </w:t>
      </w:r>
      <w:proofErr w:type="gramStart"/>
      <w:r w:rsidRPr="00C471AF">
        <w:rPr>
          <w:rFonts w:ascii="Times New Roman" w:eastAsia="Aptos" w:hAnsi="Times New Roman" w:cs="Times New Roman"/>
          <w:i/>
          <w:kern w:val="2"/>
          <w:sz w:val="21"/>
          <w:szCs w:val="21"/>
          <w:lang w:eastAsia="ru-RU"/>
          <w14:ligatures w14:val="standardContextual"/>
        </w:rPr>
        <w:t>доцент,к.э.н.</w:t>
      </w:r>
      <w:proofErr w:type="gramEnd"/>
    </w:p>
    <w:p w14:paraId="16D02F3B"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i/>
          <w:kern w:val="2"/>
          <w:sz w:val="21"/>
          <w:szCs w:val="21"/>
          <w:lang w:eastAsia="ru-RU"/>
          <w14:ligatures w14:val="standardContextual"/>
        </w:rPr>
        <w:t>Финансовый университет при Правительстве Российской Федерации</w:t>
      </w:r>
    </w:p>
    <w:p w14:paraId="4BB09AB0"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eastAsia="ru-RU"/>
          <w14:ligatures w14:val="standardContextual"/>
        </w:rPr>
      </w:pPr>
      <w:r w:rsidRPr="00C471AF">
        <w:rPr>
          <w:rFonts w:ascii="Times New Roman" w:eastAsia="Aptos" w:hAnsi="Times New Roman" w:cs="Times New Roman"/>
          <w:i/>
          <w:kern w:val="2"/>
          <w:sz w:val="21"/>
          <w:szCs w:val="21"/>
          <w:lang w:eastAsia="ru-RU"/>
          <w14:ligatures w14:val="standardContextual"/>
        </w:rPr>
        <w:t>г. Краснодар, Россия</w:t>
      </w:r>
    </w:p>
    <w:p w14:paraId="512B2AE0"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x-none" w:eastAsia="ru-RU"/>
          <w14:ligatures w14:val="standardContextual"/>
        </w:rPr>
      </w:pPr>
      <w:r w:rsidRPr="00C471AF">
        <w:rPr>
          <w:rFonts w:ascii="Times New Roman" w:eastAsia="Aptos" w:hAnsi="Times New Roman" w:cs="Times New Roman"/>
          <w:i/>
          <w:kern w:val="2"/>
          <w:sz w:val="21"/>
          <w:szCs w:val="21"/>
          <w:lang w:eastAsia="ru-RU"/>
          <w14:ligatures w14:val="standardContextual"/>
        </w:rPr>
        <w:t>е-</w:t>
      </w:r>
      <w:r w:rsidRPr="00C471AF">
        <w:rPr>
          <w:rFonts w:ascii="Times New Roman" w:eastAsia="Aptos" w:hAnsi="Times New Roman" w:cs="Times New Roman"/>
          <w:i/>
          <w:kern w:val="2"/>
          <w:sz w:val="21"/>
          <w:szCs w:val="21"/>
          <w:lang w:val="en-US" w:eastAsia="ru-RU"/>
          <w14:ligatures w14:val="standardContextual"/>
        </w:rPr>
        <w:t>mail</w:t>
      </w:r>
      <w:r w:rsidRPr="00C471AF">
        <w:rPr>
          <w:rFonts w:ascii="Times New Roman" w:eastAsia="Aptos" w:hAnsi="Times New Roman" w:cs="Times New Roman"/>
          <w:i/>
          <w:kern w:val="2"/>
          <w:sz w:val="21"/>
          <w:szCs w:val="21"/>
          <w:lang w:eastAsia="ru-RU"/>
          <w14:ligatures w14:val="standardContextual"/>
        </w:rPr>
        <w:t xml:space="preserve">: </w:t>
      </w:r>
      <w:hyperlink r:id="rId372" w:history="1">
        <w:r w:rsidRPr="00C471AF">
          <w:rPr>
            <w:rFonts w:ascii="Times New Roman" w:eastAsia="Times New Roman" w:hAnsi="Times New Roman" w:cs="Times New Roman"/>
            <w:color w:val="0000FF"/>
            <w:sz w:val="21"/>
            <w:szCs w:val="21"/>
            <w:u w:val="single"/>
            <w:lang w:val="en-US"/>
          </w:rPr>
          <w:t>apanufrieva</w:t>
        </w:r>
        <w:r w:rsidRPr="00C471AF">
          <w:rPr>
            <w:rFonts w:ascii="Times New Roman" w:eastAsia="Times New Roman" w:hAnsi="Times New Roman" w:cs="Times New Roman"/>
            <w:color w:val="0000FF"/>
            <w:sz w:val="21"/>
            <w:szCs w:val="21"/>
            <w:u w:val="single"/>
          </w:rPr>
          <w:t>@</w:t>
        </w:r>
        <w:r w:rsidRPr="00C471AF">
          <w:rPr>
            <w:rFonts w:ascii="Times New Roman" w:eastAsia="Times New Roman" w:hAnsi="Times New Roman" w:cs="Times New Roman"/>
            <w:color w:val="0000FF"/>
            <w:sz w:val="21"/>
            <w:szCs w:val="21"/>
            <w:u w:val="single"/>
            <w:lang w:val="en-US"/>
          </w:rPr>
          <w:t>fa</w:t>
        </w:r>
        <w:r w:rsidRPr="00C471AF">
          <w:rPr>
            <w:rFonts w:ascii="Times New Roman" w:eastAsia="Times New Roman" w:hAnsi="Times New Roman" w:cs="Times New Roman"/>
            <w:color w:val="0000FF"/>
            <w:sz w:val="21"/>
            <w:szCs w:val="21"/>
            <w:u w:val="single"/>
          </w:rPr>
          <w:t>.</w:t>
        </w:r>
        <w:r w:rsidRPr="00C471AF">
          <w:rPr>
            <w:rFonts w:ascii="Times New Roman" w:eastAsia="Times New Roman" w:hAnsi="Times New Roman" w:cs="Times New Roman"/>
            <w:color w:val="0000FF"/>
            <w:sz w:val="21"/>
            <w:szCs w:val="21"/>
            <w:u w:val="single"/>
            <w:lang w:val="en-US"/>
          </w:rPr>
          <w:t>ru</w:t>
        </w:r>
      </w:hyperlink>
    </w:p>
    <w:p w14:paraId="0018C485" w14:textId="77777777" w:rsidR="00C471AF" w:rsidRPr="00C471AF" w:rsidRDefault="00C471AF" w:rsidP="00D74B77">
      <w:pPr>
        <w:suppressAutoHyphens/>
        <w:spacing w:after="0" w:line="240" w:lineRule="auto"/>
        <w:ind w:firstLine="708"/>
        <w:jc w:val="both"/>
        <w:rPr>
          <w:rFonts w:ascii="Times New Roman" w:eastAsia="Aptos" w:hAnsi="Times New Roman" w:cs="Times New Roman"/>
          <w:b/>
          <w:kern w:val="2"/>
          <w:sz w:val="21"/>
          <w:szCs w:val="21"/>
          <w:lang w:eastAsia="ru-RU"/>
          <w14:ligatures w14:val="standardContextual"/>
        </w:rPr>
      </w:pPr>
    </w:p>
    <w:p w14:paraId="5137E06E" w14:textId="77777777" w:rsidR="00C471AF" w:rsidRDefault="00C471AF" w:rsidP="00D74B77">
      <w:pPr>
        <w:suppressAutoHyphens/>
        <w:spacing w:after="0" w:line="240" w:lineRule="auto"/>
        <w:ind w:firstLine="708"/>
        <w:jc w:val="center"/>
        <w:rPr>
          <w:rFonts w:ascii="Times New Roman" w:eastAsia="Aptos" w:hAnsi="Times New Roman" w:cs="Times New Roman"/>
          <w:b/>
          <w:kern w:val="2"/>
          <w:sz w:val="21"/>
          <w:szCs w:val="21"/>
          <w:lang w:eastAsia="ru-RU"/>
          <w14:ligatures w14:val="standardContextual"/>
        </w:rPr>
      </w:pPr>
      <w:r w:rsidRPr="00C471AF">
        <w:rPr>
          <w:rFonts w:ascii="Times New Roman" w:eastAsia="Aptos" w:hAnsi="Times New Roman" w:cs="Times New Roman"/>
          <w:b/>
          <w:kern w:val="2"/>
          <w:sz w:val="21"/>
          <w:szCs w:val="21"/>
          <w:lang w:eastAsia="ru-RU"/>
          <w14:ligatures w14:val="standardContextual"/>
        </w:rPr>
        <w:t>Модернизация бизнес-процессов с использованием технологий искусственного интеллекта</w:t>
      </w:r>
    </w:p>
    <w:p w14:paraId="386B27A2" w14:textId="77777777" w:rsidR="00D74B77" w:rsidRPr="00C471AF" w:rsidRDefault="00D74B77" w:rsidP="00D74B77">
      <w:pPr>
        <w:suppressAutoHyphens/>
        <w:spacing w:after="0" w:line="240" w:lineRule="auto"/>
        <w:ind w:firstLine="708"/>
        <w:jc w:val="center"/>
        <w:rPr>
          <w:rFonts w:ascii="Times New Roman" w:eastAsia="Aptos" w:hAnsi="Times New Roman" w:cs="Times New Roman"/>
          <w:b/>
          <w:kern w:val="2"/>
          <w:sz w:val="21"/>
          <w:szCs w:val="21"/>
          <w:lang w:eastAsia="ru-RU"/>
          <w14:ligatures w14:val="standardContextual"/>
        </w:rPr>
      </w:pPr>
    </w:p>
    <w:p w14:paraId="67A9CC0E" w14:textId="77777777" w:rsidR="00C471AF" w:rsidRPr="00C471AF" w:rsidRDefault="00C471AF" w:rsidP="00D74B77">
      <w:pPr>
        <w:suppressAutoHyphens/>
        <w:spacing w:after="0" w:line="240" w:lineRule="auto"/>
        <w:ind w:firstLine="708"/>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b/>
          <w:kern w:val="2"/>
          <w:sz w:val="21"/>
          <w:szCs w:val="21"/>
          <w:lang w:eastAsia="ru-RU"/>
          <w14:ligatures w14:val="standardContextual"/>
        </w:rPr>
        <w:t>Аннотация:</w:t>
      </w:r>
      <w:r w:rsidRPr="00C471AF">
        <w:rPr>
          <w:rFonts w:ascii="Times New Roman" w:eastAsia="Aptos" w:hAnsi="Times New Roman" w:cs="Times New Roman"/>
          <w:i/>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eastAsia="ru-RU"/>
          <w14:ligatures w14:val="standardContextual"/>
        </w:rPr>
        <w:t>Данная научно-исследовательская работа посвящена изучению применения технологий искусственного интеллекта для модернизации бизнес-процессов российских и зарубежных предприятий. Объектом исследования являются бизнес-процессы, трансформируемые с использованием искусственного интеллекта. Цель работы — проанализировать преимущества, риски и перспективы внедрения искусственного интеллекта, сравнить успешные кейсы российских и иностранных компаний, а также разработать рекомендации для российских предприятий. Исследование основано на анализе отечественных и зарубежных источников, кейсов внедрения искусственного интеллекта и экспертных оценок.</w:t>
      </w:r>
    </w:p>
    <w:p w14:paraId="7806125E" w14:textId="77777777" w:rsidR="00C471AF" w:rsidRPr="00C471AF" w:rsidRDefault="00C471AF" w:rsidP="00D74B77">
      <w:pPr>
        <w:suppressAutoHyphens/>
        <w:spacing w:after="0" w:line="240" w:lineRule="auto"/>
        <w:ind w:firstLine="708"/>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b/>
          <w:kern w:val="2"/>
          <w:sz w:val="21"/>
          <w:szCs w:val="21"/>
          <w:lang w:eastAsia="ru-RU"/>
          <w14:ligatures w14:val="standardContextual"/>
        </w:rPr>
        <w:t>Ключевые слова:</w:t>
      </w:r>
      <w:r w:rsidRPr="00C471AF">
        <w:rPr>
          <w:rFonts w:ascii="Times New Roman" w:eastAsia="Aptos" w:hAnsi="Times New Roman" w:cs="Times New Roman"/>
          <w:kern w:val="2"/>
          <w:sz w:val="21"/>
          <w:szCs w:val="21"/>
          <w:lang w:eastAsia="ru-RU"/>
          <w14:ligatures w14:val="standardContextual"/>
        </w:rPr>
        <w:t xml:space="preserve"> искусственный интеллект, модернизация бизнес-процессов, автоматизация, персонализация, машинное обучение, цифровая трансформация, прогнозирование спроса.</w:t>
      </w:r>
    </w:p>
    <w:p w14:paraId="1BFBA5D3" w14:textId="77777777" w:rsidR="00C471AF" w:rsidRPr="00C471AF" w:rsidRDefault="00C471AF" w:rsidP="00D74B77">
      <w:pPr>
        <w:suppressAutoHyphens/>
        <w:spacing w:after="0" w:line="240" w:lineRule="auto"/>
        <w:ind w:firstLine="708"/>
        <w:jc w:val="both"/>
        <w:rPr>
          <w:rFonts w:ascii="Times New Roman" w:eastAsia="Aptos" w:hAnsi="Times New Roman" w:cs="Times New Roman"/>
          <w:kern w:val="2"/>
          <w:sz w:val="21"/>
          <w:szCs w:val="21"/>
          <w:lang w:eastAsia="ru-RU"/>
          <w14:ligatures w14:val="standardContextual"/>
        </w:rPr>
      </w:pPr>
    </w:p>
    <w:p w14:paraId="201544EE"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val="en-US" w:eastAsia="ru-RU"/>
          <w14:ligatures w14:val="standardContextual"/>
        </w:rPr>
      </w:pPr>
      <w:r w:rsidRPr="00C471AF">
        <w:rPr>
          <w:rFonts w:ascii="Times New Roman" w:eastAsia="Aptos" w:hAnsi="Times New Roman" w:cs="Times New Roman"/>
          <w:b/>
          <w:i/>
          <w:kern w:val="2"/>
          <w:sz w:val="21"/>
          <w:szCs w:val="21"/>
          <w:lang w:val="en-US" w:eastAsia="ru-RU"/>
          <w14:ligatures w14:val="standardContextual"/>
        </w:rPr>
        <w:t>Berezovskaya P.M.,</w:t>
      </w:r>
    </w:p>
    <w:p w14:paraId="6B02178E"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val="en-US" w:eastAsia="ru-RU"/>
          <w14:ligatures w14:val="standardContextual"/>
        </w:rPr>
      </w:pPr>
      <w:r w:rsidRPr="00C471AF">
        <w:rPr>
          <w:rFonts w:ascii="Times New Roman" w:eastAsia="Aptos" w:hAnsi="Times New Roman" w:cs="Times New Roman"/>
          <w:i/>
          <w:kern w:val="2"/>
          <w:sz w:val="21"/>
          <w:szCs w:val="21"/>
          <w:lang w:val="en-US" w:eastAsia="ru-RU"/>
          <w14:ligatures w14:val="standardContextual"/>
        </w:rPr>
        <w:t>student, 2 courses</w:t>
      </w:r>
      <w:r w:rsidRPr="00C471AF">
        <w:rPr>
          <w:rFonts w:ascii="Times New Roman" w:eastAsia="Aptos" w:hAnsi="Times New Roman" w:cs="Times New Roman"/>
          <w:b/>
          <w:i/>
          <w:kern w:val="2"/>
          <w:sz w:val="21"/>
          <w:szCs w:val="21"/>
          <w:lang w:val="en-US" w:eastAsia="ru-RU"/>
          <w14:ligatures w14:val="standardContextual"/>
        </w:rPr>
        <w:t xml:space="preserve"> </w:t>
      </w:r>
    </w:p>
    <w:p w14:paraId="4A4E8C29"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val="en-US" w:eastAsia="ru-RU"/>
          <w14:ligatures w14:val="standardContextual"/>
        </w:rPr>
        <w:t>Krasnodar branch of the Federal State Budgetary Educational Institution of Higher Education "Financial University under the Government of the Russian Federation"</w:t>
      </w:r>
    </w:p>
    <w:p w14:paraId="4263D830"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val="en-US" w:eastAsia="ru-RU"/>
          <w14:ligatures w14:val="standardContextual"/>
        </w:rPr>
        <w:t>Krasnodar, Russia</w:t>
      </w:r>
    </w:p>
    <w:p w14:paraId="0B69745F"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eastAsia="ru-RU"/>
          <w14:ligatures w14:val="standardContextual"/>
        </w:rPr>
        <w:t>е</w:t>
      </w:r>
      <w:r w:rsidRPr="00C471AF">
        <w:rPr>
          <w:rFonts w:ascii="Times New Roman" w:eastAsia="Aptos" w:hAnsi="Times New Roman" w:cs="Times New Roman"/>
          <w:i/>
          <w:kern w:val="2"/>
          <w:sz w:val="21"/>
          <w:szCs w:val="21"/>
          <w:lang w:val="en-US" w:eastAsia="ru-RU"/>
          <w14:ligatures w14:val="standardContextual"/>
        </w:rPr>
        <w:t xml:space="preserve">-mail: </w:t>
      </w:r>
      <w:hyperlink r:id="rId373" w:history="1">
        <w:r w:rsidRPr="00C471AF">
          <w:rPr>
            <w:rFonts w:ascii="Times New Roman" w:eastAsia="Aptos" w:hAnsi="Times New Roman" w:cs="Times New Roman"/>
            <w:i/>
            <w:color w:val="467886"/>
            <w:kern w:val="2"/>
            <w:sz w:val="21"/>
            <w:szCs w:val="21"/>
            <w:u w:val="single"/>
            <w:lang w:val="en-US" w:eastAsia="ru-RU"/>
            <w14:ligatures w14:val="standardContextual"/>
          </w:rPr>
          <w:t>polina.berezovskaya2023@mail.ru</w:t>
        </w:r>
      </w:hyperlink>
    </w:p>
    <w:p w14:paraId="67A20633"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p>
    <w:p w14:paraId="4DD4BA61"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val="en-US" w:eastAsia="ru-RU"/>
          <w14:ligatures w14:val="standardContextual"/>
        </w:rPr>
      </w:pPr>
      <w:r w:rsidRPr="00C471AF">
        <w:rPr>
          <w:rFonts w:ascii="Times New Roman" w:eastAsia="Aptos" w:hAnsi="Times New Roman" w:cs="Times New Roman"/>
          <w:b/>
          <w:i/>
          <w:kern w:val="2"/>
          <w:sz w:val="21"/>
          <w:szCs w:val="21"/>
          <w:lang w:val="en-US" w:eastAsia="ru-RU"/>
          <w14:ligatures w14:val="standardContextual"/>
        </w:rPr>
        <w:t>Scientific Adviser:</w:t>
      </w:r>
    </w:p>
    <w:p w14:paraId="74FEEBA2" w14:textId="77777777" w:rsidR="00C471AF" w:rsidRPr="00C471AF" w:rsidRDefault="00C471AF" w:rsidP="00D74B77">
      <w:pPr>
        <w:suppressAutoHyphens/>
        <w:spacing w:after="0" w:line="240" w:lineRule="auto"/>
        <w:ind w:firstLine="708"/>
        <w:jc w:val="right"/>
        <w:rPr>
          <w:rFonts w:ascii="Times New Roman" w:eastAsia="Aptos" w:hAnsi="Times New Roman" w:cs="Times New Roman"/>
          <w:b/>
          <w:i/>
          <w:kern w:val="2"/>
          <w:sz w:val="21"/>
          <w:szCs w:val="21"/>
          <w:lang w:val="en-US" w:eastAsia="ru-RU"/>
          <w14:ligatures w14:val="standardContextual"/>
        </w:rPr>
      </w:pPr>
      <w:r w:rsidRPr="00C471AF">
        <w:rPr>
          <w:rFonts w:ascii="Times New Roman" w:eastAsia="Aptos" w:hAnsi="Times New Roman" w:cs="Times New Roman"/>
          <w:b/>
          <w:i/>
          <w:kern w:val="2"/>
          <w:sz w:val="21"/>
          <w:szCs w:val="21"/>
          <w:lang w:val="en-US" w:eastAsia="ru-RU"/>
          <w14:ligatures w14:val="standardContextual"/>
        </w:rPr>
        <w:t xml:space="preserve">Anufrieva A.P., </w:t>
      </w:r>
    </w:p>
    <w:p w14:paraId="72A2A23B"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iCs/>
          <w:kern w:val="2"/>
          <w:sz w:val="21"/>
          <w:szCs w:val="21"/>
          <w:lang w:val="en-US" w:eastAsia="ru-RU"/>
          <w14:ligatures w14:val="standardContextual"/>
        </w:rPr>
      </w:pPr>
      <w:r w:rsidRPr="00C471AF">
        <w:rPr>
          <w:rFonts w:ascii="Times New Roman" w:eastAsia="Aptos" w:hAnsi="Times New Roman" w:cs="Times New Roman"/>
          <w:i/>
          <w:iCs/>
          <w:kern w:val="2"/>
          <w:sz w:val="21"/>
          <w:szCs w:val="21"/>
          <w:lang w:val="en-US" w:eastAsia="ru-RU"/>
          <w14:ligatures w14:val="standardContextual"/>
        </w:rPr>
        <w:t>Docent</w:t>
      </w:r>
    </w:p>
    <w:p w14:paraId="64369F5A"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x-none" w:eastAsia="ru-RU"/>
          <w14:ligatures w14:val="standardContextual"/>
        </w:rPr>
      </w:pPr>
      <w:r w:rsidRPr="00C471AF">
        <w:rPr>
          <w:rFonts w:ascii="Times New Roman" w:eastAsia="Aptos" w:hAnsi="Times New Roman" w:cs="Times New Roman"/>
          <w:i/>
          <w:kern w:val="2"/>
          <w:sz w:val="21"/>
          <w:szCs w:val="21"/>
          <w:lang w:val="x-none" w:eastAsia="ru-RU"/>
          <w14:ligatures w14:val="standardContextual"/>
        </w:rPr>
        <w:t>Financial University under the Government of the Russian Federation</w:t>
      </w:r>
    </w:p>
    <w:p w14:paraId="1E8C2B85"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val="en-US" w:eastAsia="ru-RU"/>
          <w14:ligatures w14:val="standardContextual"/>
        </w:rPr>
        <w:t>Krasnodar, Russia</w:t>
      </w:r>
    </w:p>
    <w:p w14:paraId="026E4F68" w14:textId="77777777" w:rsidR="00C471AF" w:rsidRPr="00C471AF" w:rsidRDefault="00C471AF" w:rsidP="00D74B77">
      <w:pPr>
        <w:suppressAutoHyphens/>
        <w:spacing w:after="0" w:line="240" w:lineRule="auto"/>
        <w:ind w:firstLine="708"/>
        <w:jc w:val="right"/>
        <w:rPr>
          <w:rFonts w:ascii="Times New Roman" w:eastAsia="Aptos" w:hAnsi="Times New Roman" w:cs="Times New Roman"/>
          <w:i/>
          <w:kern w:val="2"/>
          <w:sz w:val="21"/>
          <w:szCs w:val="21"/>
          <w:lang w:val="en-US" w:eastAsia="ru-RU"/>
          <w14:ligatures w14:val="standardContextual"/>
        </w:rPr>
      </w:pPr>
      <w:r w:rsidRPr="00C471AF">
        <w:rPr>
          <w:rFonts w:ascii="Times New Roman" w:eastAsia="Aptos" w:hAnsi="Times New Roman" w:cs="Times New Roman"/>
          <w:i/>
          <w:kern w:val="2"/>
          <w:sz w:val="21"/>
          <w:szCs w:val="21"/>
          <w:lang w:eastAsia="ru-RU"/>
          <w14:ligatures w14:val="standardContextual"/>
        </w:rPr>
        <w:t>е</w:t>
      </w:r>
      <w:r w:rsidRPr="00C471AF">
        <w:rPr>
          <w:rFonts w:ascii="Times New Roman" w:eastAsia="Aptos" w:hAnsi="Times New Roman" w:cs="Times New Roman"/>
          <w:i/>
          <w:kern w:val="2"/>
          <w:sz w:val="21"/>
          <w:szCs w:val="21"/>
          <w:lang w:val="en-US" w:eastAsia="ru-RU"/>
          <w14:ligatures w14:val="standardContextual"/>
        </w:rPr>
        <w:t>-mail:</w:t>
      </w:r>
      <w:r w:rsidRPr="00C471AF">
        <w:rPr>
          <w:rFonts w:ascii="Times New Roman" w:eastAsia="Times New Roman" w:hAnsi="Times New Roman" w:cs="Times New Roman"/>
          <w:color w:val="000000"/>
          <w:sz w:val="21"/>
          <w:szCs w:val="21"/>
          <w:lang w:val="en-US"/>
        </w:rPr>
        <w:t xml:space="preserve"> </w:t>
      </w:r>
      <w:hyperlink r:id="rId374" w:history="1">
        <w:r w:rsidRPr="00C471AF">
          <w:rPr>
            <w:rFonts w:ascii="Times New Roman" w:eastAsia="Times New Roman" w:hAnsi="Times New Roman" w:cs="Times New Roman"/>
            <w:color w:val="0000FF"/>
            <w:sz w:val="21"/>
            <w:szCs w:val="21"/>
            <w:u w:val="single"/>
            <w:lang w:val="en-US"/>
          </w:rPr>
          <w:t>apanufrieva@fa.ru</w:t>
        </w:r>
      </w:hyperlink>
      <w:r w:rsidRPr="00C471AF">
        <w:rPr>
          <w:rFonts w:ascii="Times New Roman" w:eastAsia="Aptos" w:hAnsi="Times New Roman" w:cs="Times New Roman"/>
          <w:i/>
          <w:kern w:val="2"/>
          <w:sz w:val="21"/>
          <w:szCs w:val="21"/>
          <w:lang w:val="en-US" w:eastAsia="ru-RU"/>
          <w14:ligatures w14:val="standardContextual"/>
        </w:rPr>
        <w:t xml:space="preserve"> </w:t>
      </w:r>
    </w:p>
    <w:p w14:paraId="5CE90433" w14:textId="77777777" w:rsidR="00C471AF" w:rsidRPr="00C471AF" w:rsidRDefault="00C471AF" w:rsidP="00D74B77">
      <w:pPr>
        <w:suppressAutoHyphens/>
        <w:spacing w:after="0" w:line="240" w:lineRule="auto"/>
        <w:ind w:firstLine="708"/>
        <w:jc w:val="both"/>
        <w:rPr>
          <w:rFonts w:ascii="Times New Roman" w:eastAsia="Aptos" w:hAnsi="Times New Roman" w:cs="Times New Roman"/>
          <w:i/>
          <w:kern w:val="2"/>
          <w:sz w:val="21"/>
          <w:szCs w:val="21"/>
          <w:lang w:val="en-US" w:eastAsia="ru-RU"/>
          <w14:ligatures w14:val="standardContextual"/>
        </w:rPr>
      </w:pPr>
    </w:p>
    <w:p w14:paraId="7252F3F1" w14:textId="77777777" w:rsidR="00C471AF" w:rsidRPr="00654CF2" w:rsidRDefault="00C471AF" w:rsidP="00D74B77">
      <w:pPr>
        <w:suppressAutoHyphens/>
        <w:spacing w:after="0" w:line="240" w:lineRule="auto"/>
        <w:ind w:firstLine="708"/>
        <w:jc w:val="center"/>
        <w:rPr>
          <w:rFonts w:ascii="Times New Roman" w:eastAsia="Aptos" w:hAnsi="Times New Roman" w:cs="Times New Roman"/>
          <w:b/>
          <w:kern w:val="2"/>
          <w:sz w:val="21"/>
          <w:szCs w:val="21"/>
          <w:lang w:val="en-US" w:eastAsia="ru-RU"/>
          <w14:ligatures w14:val="standardContextual"/>
        </w:rPr>
      </w:pPr>
      <w:r w:rsidRPr="00C471AF">
        <w:rPr>
          <w:rFonts w:ascii="Times New Roman" w:eastAsia="Aptos" w:hAnsi="Times New Roman" w:cs="Times New Roman"/>
          <w:b/>
          <w:kern w:val="2"/>
          <w:sz w:val="21"/>
          <w:szCs w:val="21"/>
          <w:lang w:val="en-US" w:eastAsia="ru-RU"/>
          <w14:ligatures w14:val="standardContextual"/>
        </w:rPr>
        <w:t>Modernization of business processes using artificial intelligence technologies</w:t>
      </w:r>
    </w:p>
    <w:p w14:paraId="0A6FDE7C" w14:textId="77777777" w:rsidR="003566E1" w:rsidRPr="00654CF2" w:rsidRDefault="003566E1" w:rsidP="00D74B77">
      <w:pPr>
        <w:suppressAutoHyphens/>
        <w:spacing w:after="0" w:line="240" w:lineRule="auto"/>
        <w:ind w:firstLine="708"/>
        <w:jc w:val="center"/>
        <w:rPr>
          <w:rFonts w:ascii="Times New Roman" w:eastAsia="Aptos" w:hAnsi="Times New Roman" w:cs="Times New Roman"/>
          <w:b/>
          <w:bCs/>
          <w:kern w:val="2"/>
          <w:sz w:val="21"/>
          <w:szCs w:val="21"/>
          <w:lang w:val="en-US" w:eastAsia="ru-RU"/>
          <w14:ligatures w14:val="standardContextual"/>
        </w:rPr>
      </w:pPr>
    </w:p>
    <w:p w14:paraId="7365461B" w14:textId="77777777" w:rsidR="00C471AF" w:rsidRPr="00C471AF" w:rsidRDefault="00C471AF" w:rsidP="00D74B77">
      <w:pPr>
        <w:suppressAutoHyphens/>
        <w:spacing w:after="0" w:line="240" w:lineRule="auto"/>
        <w:ind w:firstLine="708"/>
        <w:jc w:val="both"/>
        <w:rPr>
          <w:rFonts w:ascii="Times New Roman" w:eastAsia="Aptos" w:hAnsi="Times New Roman" w:cs="Times New Roman"/>
          <w:kern w:val="2"/>
          <w:sz w:val="21"/>
          <w:szCs w:val="21"/>
          <w:lang w:val="en-US" w:eastAsia="ru-RU"/>
          <w14:ligatures w14:val="standardContextual"/>
        </w:rPr>
      </w:pPr>
      <w:r w:rsidRPr="00C471AF">
        <w:rPr>
          <w:rFonts w:ascii="Times New Roman" w:eastAsia="Aptos" w:hAnsi="Times New Roman" w:cs="Times New Roman"/>
          <w:b/>
          <w:bCs/>
          <w:kern w:val="2"/>
          <w:sz w:val="21"/>
          <w:szCs w:val="21"/>
          <w:lang w:val="x-none" w:eastAsia="ru-RU"/>
          <w14:ligatures w14:val="standardContextual"/>
        </w:rPr>
        <w:t>Abstract</w:t>
      </w:r>
      <w:r w:rsidRPr="00C471AF">
        <w:rPr>
          <w:rFonts w:ascii="Times New Roman" w:eastAsia="Aptos" w:hAnsi="Times New Roman" w:cs="Times New Roman"/>
          <w:b/>
          <w:bCs/>
          <w:kern w:val="2"/>
          <w:sz w:val="21"/>
          <w:szCs w:val="21"/>
          <w:lang w:val="en-US"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This research paper is devoted to the study of the use of artificial intelligence technologies for the modernization of business processes of Russian and foreign enterprises. The object of the research is business processes transformed using artificial intelligence. The purpose of the work is to analyze the advantages, risks and prospects of implementing artificial intelligence, compare successful cases of Russian and foreign companies, and develop recommendations for Russian enterprises. The research is based on an analysis of domestic and foreign sources, cases of artificial intelligence implementation and expert assessments.</w:t>
      </w:r>
    </w:p>
    <w:p w14:paraId="0F3F66D5" w14:textId="77777777" w:rsidR="00C471AF" w:rsidRPr="00C471AF" w:rsidRDefault="00C471AF" w:rsidP="00D74B77">
      <w:pPr>
        <w:suppressAutoHyphens/>
        <w:spacing w:after="0" w:line="240" w:lineRule="auto"/>
        <w:ind w:firstLine="708"/>
        <w:jc w:val="both"/>
        <w:rPr>
          <w:rFonts w:ascii="Times New Roman" w:eastAsia="Aptos" w:hAnsi="Times New Roman" w:cs="Times New Roman"/>
          <w:bCs/>
          <w:kern w:val="2"/>
          <w:sz w:val="21"/>
          <w:szCs w:val="21"/>
          <w:lang w:val="en-US" w:eastAsia="ru-RU"/>
          <w14:ligatures w14:val="standardContextual"/>
        </w:rPr>
      </w:pPr>
      <w:r w:rsidRPr="00C471AF">
        <w:rPr>
          <w:rFonts w:ascii="Times New Roman" w:eastAsia="Aptos" w:hAnsi="Times New Roman" w:cs="Times New Roman"/>
          <w:b/>
          <w:bCs/>
          <w:kern w:val="2"/>
          <w:sz w:val="21"/>
          <w:szCs w:val="21"/>
          <w:lang w:val="x-none" w:eastAsia="ru-RU"/>
          <w14:ligatures w14:val="standardContextual"/>
        </w:rPr>
        <w:t>Keywords</w:t>
      </w:r>
      <w:r w:rsidRPr="00C471AF">
        <w:rPr>
          <w:rFonts w:ascii="Times New Roman" w:eastAsia="Aptos" w:hAnsi="Times New Roman" w:cs="Times New Roman"/>
          <w:b/>
          <w:bCs/>
          <w:kern w:val="2"/>
          <w:sz w:val="21"/>
          <w:szCs w:val="21"/>
          <w:lang w:val="en-US" w:eastAsia="ru-RU"/>
          <w14:ligatures w14:val="standardContextual"/>
        </w:rPr>
        <w:t>:</w:t>
      </w:r>
      <w:r w:rsidRPr="00C471AF">
        <w:rPr>
          <w:rFonts w:ascii="Times New Roman" w:eastAsia="Aptos" w:hAnsi="Times New Roman" w:cs="Times New Roman"/>
          <w:bCs/>
          <w:kern w:val="2"/>
          <w:sz w:val="21"/>
          <w:szCs w:val="21"/>
          <w:lang w:val="en-US" w:eastAsia="ru-RU"/>
          <w14:ligatures w14:val="standardContextual"/>
        </w:rPr>
        <w:t xml:space="preserve"> artificial intelligence, business process modernization, automation, personalization, machine learning, digital transformation, demand forecasting.</w:t>
      </w:r>
    </w:p>
    <w:p w14:paraId="62BA0EA9" w14:textId="77777777" w:rsidR="00D74B77" w:rsidRDefault="00D74B77" w:rsidP="00C471AF">
      <w:pPr>
        <w:suppressAutoHyphens/>
        <w:spacing w:after="0" w:line="240" w:lineRule="auto"/>
        <w:ind w:firstLine="709"/>
        <w:jc w:val="both"/>
        <w:rPr>
          <w:rFonts w:ascii="Times New Roman" w:eastAsia="Aptos" w:hAnsi="Times New Roman" w:cs="Times New Roman"/>
          <w:kern w:val="2"/>
          <w:sz w:val="32"/>
          <w:szCs w:val="32"/>
          <w:lang w:val="x-none" w:eastAsia="ru-RU"/>
          <w14:ligatures w14:val="standardContextual"/>
        </w:rPr>
      </w:pPr>
    </w:p>
    <w:p w14:paraId="7C958C16" w14:textId="04483F89"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val="x-none" w:eastAsia="ru-RU"/>
          <w14:ligatures w14:val="standardContextual"/>
        </w:rPr>
        <w:t>Современные бизнес-процессы требуют повышения эффективности, сокращения затрат и адаптации к быстро меняющимся рыночным условиям. Технологии искусственного интеллекта, такие как машинное обучение, обработка естественного языка и компьютерное зрение, предоставляют инструменты для автоматизации рутинных задач, оптимизации управленческих решений и улучшения клиентского опыта. Однако внедрение искусственного интеллекта сопряжено с высокими затратами, нехваткой специалистов и необходимостью перестройки процессов. Цель исследования — изучить влияние искусственного интеллекта на бизнес-процессы, сравнить подходы российских и зарубежных компаний и предложить рекомендации для российских предприятий.</w:t>
      </w:r>
    </w:p>
    <w:p w14:paraId="102C2BA5"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Искусственный интеллект объединяет технологии, позволяющие машинам выполнять задачи, требующие человеческого интеллекта. Машинное обучение применяется для прогнозирования спроса и оптимизации процессов, обработка естественного языка - в чат-ботах и анализе текстов, компьютерное зрение - для контроля качества, а роботизированная автоматизация процессов (RPA) освобождает сотрудников от рутинных операций. Бизнес-процессы, подлежащие модернизации, включают операционные (логистика, производство), управленческие (принятие решений) и клиентские (маркетинг, поддержка).</w:t>
      </w:r>
    </w:p>
    <w:p w14:paraId="099311F7"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lastRenderedPageBreak/>
        <w:t>Российские компании активно используют искусственный интеллект для повышения эффективности [2]. Например, «Яндекс» применяет искусственный интеллект для персонализации рекомендаций в сервисах «Яндекс.Маркет» и «Яндекс.Музыка», что увеличило вовлеченность пользователей на 25% (2023) [5]. Сбербанк внедрил искусственный интеллект для автоматизации кредитного скоринга и выявления мошенничества, сократив время обработки заявок на 40%. «Магнит» использует искусственный интеллект для прогнозирования спроса и оптимизации складских запасов, снизив издержки на 15% [2]. «Лукойл» применяет искусственный интеллект для предиктивного обслуживания оборудования, что сократило простои на 10% [3].</w:t>
      </w:r>
    </w:p>
    <w:p w14:paraId="6A24ECF8"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Таблица 1. Успешные кейсы внедрения искусственного интеллекта в российских компаниях</w:t>
      </w:r>
    </w:p>
    <w:tbl>
      <w:tblPr>
        <w:tblW w:w="9550" w:type="dxa"/>
        <w:tblCellMar>
          <w:top w:w="55" w:type="dxa"/>
          <w:left w:w="55" w:type="dxa"/>
          <w:bottom w:w="55" w:type="dxa"/>
          <w:right w:w="55" w:type="dxa"/>
        </w:tblCellMar>
        <w:tblLook w:val="04A0" w:firstRow="1" w:lastRow="0" w:firstColumn="1" w:lastColumn="0" w:noHBand="0" w:noVBand="1"/>
      </w:tblPr>
      <w:tblGrid>
        <w:gridCol w:w="1913"/>
        <w:gridCol w:w="3183"/>
        <w:gridCol w:w="4454"/>
      </w:tblGrid>
      <w:tr w:rsidR="00C471AF" w:rsidRPr="00C471AF" w14:paraId="40E65F24" w14:textId="77777777">
        <w:trPr>
          <w:trHeight w:val="1281"/>
        </w:trPr>
        <w:tc>
          <w:tcPr>
            <w:tcW w:w="1913" w:type="dxa"/>
            <w:tcBorders>
              <w:top w:val="single" w:sz="2" w:space="0" w:color="000000"/>
              <w:left w:val="single" w:sz="2" w:space="0" w:color="000000"/>
              <w:bottom w:val="single" w:sz="2" w:space="0" w:color="000000"/>
              <w:right w:val="nil"/>
            </w:tcBorders>
            <w:hideMark/>
          </w:tcPr>
          <w:p w14:paraId="25A3E7CC"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Компания</w:t>
            </w:r>
          </w:p>
        </w:tc>
        <w:tc>
          <w:tcPr>
            <w:tcW w:w="3183" w:type="dxa"/>
            <w:tcBorders>
              <w:top w:val="single" w:sz="2" w:space="0" w:color="000000"/>
              <w:left w:val="single" w:sz="2" w:space="0" w:color="000000"/>
              <w:bottom w:val="single" w:sz="2" w:space="0" w:color="000000"/>
              <w:right w:val="nil"/>
            </w:tcBorders>
            <w:hideMark/>
          </w:tcPr>
          <w:p w14:paraId="1C0040B2"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Область применения искусственного интеллекта</w:t>
            </w:r>
          </w:p>
        </w:tc>
        <w:tc>
          <w:tcPr>
            <w:tcW w:w="4454" w:type="dxa"/>
            <w:tcBorders>
              <w:top w:val="single" w:sz="2" w:space="0" w:color="000000"/>
              <w:left w:val="single" w:sz="2" w:space="0" w:color="000000"/>
              <w:bottom w:val="single" w:sz="2" w:space="0" w:color="000000"/>
              <w:right w:val="single" w:sz="2" w:space="0" w:color="000000"/>
            </w:tcBorders>
            <w:hideMark/>
          </w:tcPr>
          <w:p w14:paraId="50BEC05C"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Результаты</w:t>
            </w:r>
          </w:p>
        </w:tc>
      </w:tr>
      <w:tr w:rsidR="00C471AF" w:rsidRPr="00C471AF" w14:paraId="33AD081A" w14:textId="77777777">
        <w:trPr>
          <w:trHeight w:val="922"/>
        </w:trPr>
        <w:tc>
          <w:tcPr>
            <w:tcW w:w="1913" w:type="dxa"/>
            <w:tcBorders>
              <w:top w:val="nil"/>
              <w:left w:val="single" w:sz="2" w:space="0" w:color="000000"/>
              <w:bottom w:val="single" w:sz="2" w:space="0" w:color="000000"/>
              <w:right w:val="nil"/>
            </w:tcBorders>
            <w:hideMark/>
          </w:tcPr>
          <w:p w14:paraId="60DCBA1F"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Яндекс</w:t>
            </w:r>
          </w:p>
        </w:tc>
        <w:tc>
          <w:tcPr>
            <w:tcW w:w="3183" w:type="dxa"/>
            <w:tcBorders>
              <w:top w:val="nil"/>
              <w:left w:val="single" w:sz="2" w:space="0" w:color="000000"/>
              <w:bottom w:val="single" w:sz="2" w:space="0" w:color="000000"/>
              <w:right w:val="nil"/>
            </w:tcBorders>
            <w:hideMark/>
          </w:tcPr>
          <w:p w14:paraId="0EDD337F"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Персонализация рекомендаций</w:t>
            </w:r>
          </w:p>
        </w:tc>
        <w:tc>
          <w:tcPr>
            <w:tcW w:w="4454" w:type="dxa"/>
            <w:tcBorders>
              <w:top w:val="nil"/>
              <w:left w:val="single" w:sz="2" w:space="0" w:color="000000"/>
              <w:bottom w:val="single" w:sz="2" w:space="0" w:color="000000"/>
              <w:right w:val="single" w:sz="2" w:space="0" w:color="000000"/>
            </w:tcBorders>
            <w:hideMark/>
          </w:tcPr>
          <w:p w14:paraId="570D48C1"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Рост вовлеченности на 25%</w:t>
            </w:r>
          </w:p>
        </w:tc>
      </w:tr>
      <w:tr w:rsidR="00C471AF" w:rsidRPr="00C471AF" w14:paraId="06055AAF" w14:textId="77777777">
        <w:trPr>
          <w:trHeight w:val="939"/>
        </w:trPr>
        <w:tc>
          <w:tcPr>
            <w:tcW w:w="1913" w:type="dxa"/>
            <w:tcBorders>
              <w:top w:val="nil"/>
              <w:left w:val="single" w:sz="2" w:space="0" w:color="000000"/>
              <w:bottom w:val="single" w:sz="2" w:space="0" w:color="000000"/>
              <w:right w:val="nil"/>
            </w:tcBorders>
            <w:hideMark/>
          </w:tcPr>
          <w:p w14:paraId="101CAE2E"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Сбербанк</w:t>
            </w:r>
          </w:p>
        </w:tc>
        <w:tc>
          <w:tcPr>
            <w:tcW w:w="3183" w:type="dxa"/>
            <w:tcBorders>
              <w:top w:val="nil"/>
              <w:left w:val="single" w:sz="2" w:space="0" w:color="000000"/>
              <w:bottom w:val="single" w:sz="2" w:space="0" w:color="000000"/>
              <w:right w:val="nil"/>
            </w:tcBorders>
            <w:hideMark/>
          </w:tcPr>
          <w:p w14:paraId="3752E14B"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Кредитный скоринг, антифрод</w:t>
            </w:r>
          </w:p>
        </w:tc>
        <w:tc>
          <w:tcPr>
            <w:tcW w:w="4454" w:type="dxa"/>
            <w:tcBorders>
              <w:top w:val="nil"/>
              <w:left w:val="single" w:sz="2" w:space="0" w:color="000000"/>
              <w:bottom w:val="single" w:sz="2" w:space="0" w:color="000000"/>
              <w:right w:val="single" w:sz="2" w:space="0" w:color="000000"/>
            </w:tcBorders>
            <w:hideMark/>
          </w:tcPr>
          <w:p w14:paraId="0199D823"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Сокращение времени обработки на 40%</w:t>
            </w:r>
          </w:p>
        </w:tc>
      </w:tr>
      <w:tr w:rsidR="00C471AF" w:rsidRPr="00C471AF" w14:paraId="6B5FD7E8" w14:textId="77777777">
        <w:trPr>
          <w:trHeight w:val="1298"/>
        </w:trPr>
        <w:tc>
          <w:tcPr>
            <w:tcW w:w="1913" w:type="dxa"/>
            <w:tcBorders>
              <w:top w:val="nil"/>
              <w:left w:val="single" w:sz="2" w:space="0" w:color="000000"/>
              <w:bottom w:val="single" w:sz="2" w:space="0" w:color="000000"/>
              <w:right w:val="nil"/>
            </w:tcBorders>
            <w:hideMark/>
          </w:tcPr>
          <w:p w14:paraId="1674A63F"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Магнит</w:t>
            </w:r>
          </w:p>
        </w:tc>
        <w:tc>
          <w:tcPr>
            <w:tcW w:w="3183" w:type="dxa"/>
            <w:tcBorders>
              <w:top w:val="nil"/>
              <w:left w:val="single" w:sz="2" w:space="0" w:color="000000"/>
              <w:bottom w:val="single" w:sz="2" w:space="0" w:color="000000"/>
              <w:right w:val="nil"/>
            </w:tcBorders>
            <w:hideMark/>
          </w:tcPr>
          <w:p w14:paraId="141A867B"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Прогнозирование спроса, оптимизация складов</w:t>
            </w:r>
          </w:p>
        </w:tc>
        <w:tc>
          <w:tcPr>
            <w:tcW w:w="4454" w:type="dxa"/>
            <w:tcBorders>
              <w:top w:val="nil"/>
              <w:left w:val="single" w:sz="2" w:space="0" w:color="000000"/>
              <w:bottom w:val="single" w:sz="2" w:space="0" w:color="000000"/>
              <w:right w:val="single" w:sz="2" w:space="0" w:color="000000"/>
            </w:tcBorders>
            <w:hideMark/>
          </w:tcPr>
          <w:p w14:paraId="58A5CABF"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Снижение издержек на 15%</w:t>
            </w:r>
          </w:p>
        </w:tc>
      </w:tr>
      <w:tr w:rsidR="00C471AF" w:rsidRPr="00C471AF" w14:paraId="78D6E2E9" w14:textId="77777777">
        <w:trPr>
          <w:trHeight w:val="1281"/>
        </w:trPr>
        <w:tc>
          <w:tcPr>
            <w:tcW w:w="1913" w:type="dxa"/>
            <w:tcBorders>
              <w:top w:val="nil"/>
              <w:left w:val="single" w:sz="2" w:space="0" w:color="000000"/>
              <w:bottom w:val="single" w:sz="2" w:space="0" w:color="000000"/>
              <w:right w:val="nil"/>
            </w:tcBorders>
            <w:hideMark/>
          </w:tcPr>
          <w:p w14:paraId="56EADF7C"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Лукойл</w:t>
            </w:r>
          </w:p>
        </w:tc>
        <w:tc>
          <w:tcPr>
            <w:tcW w:w="3183" w:type="dxa"/>
            <w:tcBorders>
              <w:top w:val="nil"/>
              <w:left w:val="single" w:sz="2" w:space="0" w:color="000000"/>
              <w:bottom w:val="single" w:sz="2" w:space="0" w:color="000000"/>
              <w:right w:val="nil"/>
            </w:tcBorders>
            <w:hideMark/>
          </w:tcPr>
          <w:p w14:paraId="0B8C69CC"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Предиктивное обслуживание оборудования</w:t>
            </w:r>
          </w:p>
        </w:tc>
        <w:tc>
          <w:tcPr>
            <w:tcW w:w="4454" w:type="dxa"/>
            <w:tcBorders>
              <w:top w:val="nil"/>
              <w:left w:val="single" w:sz="2" w:space="0" w:color="000000"/>
              <w:bottom w:val="single" w:sz="2" w:space="0" w:color="000000"/>
              <w:right w:val="single" w:sz="2" w:space="0" w:color="000000"/>
            </w:tcBorders>
            <w:hideMark/>
          </w:tcPr>
          <w:p w14:paraId="24C3711B" w14:textId="77777777" w:rsidR="00C471AF" w:rsidRPr="00C471AF" w:rsidRDefault="00C471AF" w:rsidP="00C471AF">
            <w:pPr>
              <w:suppressLineNumbers/>
              <w:suppressAutoHyphens/>
              <w:spacing w:line="240" w:lineRule="auto"/>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Сокращение простоев на 10%</w:t>
            </w:r>
          </w:p>
        </w:tc>
      </w:tr>
    </w:tbl>
    <w:p w14:paraId="66CBF722" w14:textId="77777777" w:rsidR="00C471AF" w:rsidRPr="00C471AF" w:rsidRDefault="00C471AF" w:rsidP="00C471AF">
      <w:pPr>
        <w:suppressAutoHyphens/>
        <w:spacing w:line="240" w:lineRule="auto"/>
        <w:rPr>
          <w:rFonts w:ascii="Times New Roman" w:eastAsia="Aptos" w:hAnsi="Times New Roman" w:cs="Times New Roman"/>
          <w:kern w:val="2"/>
          <w:sz w:val="32"/>
          <w:szCs w:val="32"/>
          <w:lang w:eastAsia="ru-RU"/>
          <w14:ligatures w14:val="standardContextual"/>
        </w:rPr>
      </w:pPr>
    </w:p>
    <w:p w14:paraId="39D4C22C"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 xml:space="preserve">Зарубежные компании демонстрируют значительные результаты от внедрения искусственного интеллекта. Amazon использует искусственный интеллект для прогнозирования спроса и персонализации рекомендаций, что увеличило доходы на 20% в сегменте e-commerce (2023). Tesla применяет искусственный интеллект в системах автономного вождения, что позволило сократить </w:t>
      </w:r>
      <w:r w:rsidRPr="00C471AF">
        <w:rPr>
          <w:rFonts w:ascii="Times New Roman" w:eastAsia="Aptos" w:hAnsi="Times New Roman" w:cs="Times New Roman"/>
          <w:kern w:val="2"/>
          <w:sz w:val="32"/>
          <w:szCs w:val="32"/>
          <w:lang w:eastAsia="ru-RU"/>
          <w14:ligatures w14:val="standardContextual"/>
        </w:rPr>
        <w:lastRenderedPageBreak/>
        <w:t>количество аварий на 30% за счет улучшения алгоритмов. Microsoft внедряет искусственный интеллект в облачные сервисы Azure для автоматизации аналитики данных, что сократило время обработки запросов клиентов на 25% и повысило удовлетворенность на 15%.</w:t>
      </w:r>
    </w:p>
    <w:p w14:paraId="3229DE43"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Таблица 2. Успешные кейсы внедрения искусственного интеллекта в иностранных компаниях</w:t>
      </w:r>
    </w:p>
    <w:tbl>
      <w:tblPr>
        <w:tblStyle w:val="160"/>
        <w:tblW w:w="9546" w:type="dxa"/>
        <w:tblInd w:w="0" w:type="dxa"/>
        <w:tblLook w:val="04A0" w:firstRow="1" w:lastRow="0" w:firstColumn="1" w:lastColumn="0" w:noHBand="0" w:noVBand="1"/>
      </w:tblPr>
      <w:tblGrid>
        <w:gridCol w:w="1903"/>
        <w:gridCol w:w="3469"/>
        <w:gridCol w:w="4174"/>
      </w:tblGrid>
      <w:tr w:rsidR="00C471AF" w:rsidRPr="00C471AF" w14:paraId="6E97752B" w14:textId="77777777">
        <w:trPr>
          <w:trHeight w:val="765"/>
        </w:trPr>
        <w:tc>
          <w:tcPr>
            <w:tcW w:w="1903" w:type="dxa"/>
            <w:tcBorders>
              <w:top w:val="single" w:sz="4" w:space="0" w:color="auto"/>
              <w:left w:val="single" w:sz="4" w:space="0" w:color="auto"/>
              <w:bottom w:val="single" w:sz="4" w:space="0" w:color="auto"/>
              <w:right w:val="single" w:sz="4" w:space="0" w:color="auto"/>
            </w:tcBorders>
            <w:hideMark/>
          </w:tcPr>
          <w:p w14:paraId="0B4086BC"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Компания</w:t>
            </w:r>
          </w:p>
        </w:tc>
        <w:tc>
          <w:tcPr>
            <w:tcW w:w="3469" w:type="dxa"/>
            <w:tcBorders>
              <w:top w:val="single" w:sz="4" w:space="0" w:color="auto"/>
              <w:left w:val="single" w:sz="4" w:space="0" w:color="auto"/>
              <w:bottom w:val="single" w:sz="4" w:space="0" w:color="auto"/>
              <w:right w:val="single" w:sz="4" w:space="0" w:color="auto"/>
            </w:tcBorders>
            <w:hideMark/>
          </w:tcPr>
          <w:p w14:paraId="457D9E55"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Область применения искусственного интеллекта</w:t>
            </w:r>
          </w:p>
        </w:tc>
        <w:tc>
          <w:tcPr>
            <w:tcW w:w="4174" w:type="dxa"/>
            <w:tcBorders>
              <w:top w:val="single" w:sz="4" w:space="0" w:color="auto"/>
              <w:left w:val="single" w:sz="4" w:space="0" w:color="auto"/>
              <w:bottom w:val="single" w:sz="4" w:space="0" w:color="auto"/>
              <w:right w:val="single" w:sz="4" w:space="0" w:color="auto"/>
            </w:tcBorders>
            <w:hideMark/>
          </w:tcPr>
          <w:p w14:paraId="7F2FFA04"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Результаты</w:t>
            </w:r>
          </w:p>
        </w:tc>
      </w:tr>
      <w:tr w:rsidR="00C471AF" w:rsidRPr="00C471AF" w14:paraId="1DEDAD04" w14:textId="77777777">
        <w:trPr>
          <w:trHeight w:val="1304"/>
        </w:trPr>
        <w:tc>
          <w:tcPr>
            <w:tcW w:w="1903" w:type="dxa"/>
            <w:tcBorders>
              <w:top w:val="single" w:sz="4" w:space="0" w:color="auto"/>
              <w:left w:val="single" w:sz="4" w:space="0" w:color="auto"/>
              <w:bottom w:val="single" w:sz="4" w:space="0" w:color="auto"/>
              <w:right w:val="single" w:sz="4" w:space="0" w:color="auto"/>
            </w:tcBorders>
            <w:hideMark/>
          </w:tcPr>
          <w:p w14:paraId="4376ED6E"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Amazon</w:t>
            </w:r>
          </w:p>
        </w:tc>
        <w:tc>
          <w:tcPr>
            <w:tcW w:w="3469" w:type="dxa"/>
            <w:tcBorders>
              <w:top w:val="single" w:sz="4" w:space="0" w:color="auto"/>
              <w:left w:val="single" w:sz="4" w:space="0" w:color="auto"/>
              <w:bottom w:val="single" w:sz="4" w:space="0" w:color="auto"/>
              <w:right w:val="single" w:sz="4" w:space="0" w:color="auto"/>
            </w:tcBorders>
            <w:hideMark/>
          </w:tcPr>
          <w:p w14:paraId="447F63B6"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Прогнозирование спроса, персонализация</w:t>
            </w:r>
          </w:p>
        </w:tc>
        <w:tc>
          <w:tcPr>
            <w:tcW w:w="4174" w:type="dxa"/>
            <w:tcBorders>
              <w:top w:val="single" w:sz="4" w:space="0" w:color="auto"/>
              <w:left w:val="single" w:sz="4" w:space="0" w:color="auto"/>
              <w:bottom w:val="single" w:sz="4" w:space="0" w:color="auto"/>
              <w:right w:val="single" w:sz="4" w:space="0" w:color="auto"/>
            </w:tcBorders>
            <w:hideMark/>
          </w:tcPr>
          <w:p w14:paraId="66211348"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Рост доходов на 20%</w:t>
            </w:r>
          </w:p>
        </w:tc>
      </w:tr>
      <w:tr w:rsidR="00C471AF" w:rsidRPr="00C471AF" w14:paraId="2ACD538F" w14:textId="77777777">
        <w:trPr>
          <w:trHeight w:val="538"/>
        </w:trPr>
        <w:tc>
          <w:tcPr>
            <w:tcW w:w="1903" w:type="dxa"/>
            <w:tcBorders>
              <w:top w:val="single" w:sz="4" w:space="0" w:color="auto"/>
              <w:left w:val="single" w:sz="4" w:space="0" w:color="auto"/>
              <w:bottom w:val="single" w:sz="4" w:space="0" w:color="auto"/>
              <w:right w:val="single" w:sz="4" w:space="0" w:color="auto"/>
            </w:tcBorders>
            <w:hideMark/>
          </w:tcPr>
          <w:p w14:paraId="42132F98"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Tesla</w:t>
            </w:r>
          </w:p>
        </w:tc>
        <w:tc>
          <w:tcPr>
            <w:tcW w:w="3469" w:type="dxa"/>
            <w:tcBorders>
              <w:top w:val="single" w:sz="4" w:space="0" w:color="auto"/>
              <w:left w:val="single" w:sz="4" w:space="0" w:color="auto"/>
              <w:bottom w:val="single" w:sz="4" w:space="0" w:color="auto"/>
              <w:right w:val="single" w:sz="4" w:space="0" w:color="auto"/>
            </w:tcBorders>
            <w:hideMark/>
          </w:tcPr>
          <w:p w14:paraId="7515BC72"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Автономное вождение</w:t>
            </w:r>
          </w:p>
        </w:tc>
        <w:tc>
          <w:tcPr>
            <w:tcW w:w="4174" w:type="dxa"/>
            <w:tcBorders>
              <w:top w:val="single" w:sz="4" w:space="0" w:color="auto"/>
              <w:left w:val="single" w:sz="4" w:space="0" w:color="auto"/>
              <w:bottom w:val="single" w:sz="4" w:space="0" w:color="auto"/>
              <w:right w:val="single" w:sz="4" w:space="0" w:color="auto"/>
            </w:tcBorders>
            <w:hideMark/>
          </w:tcPr>
          <w:p w14:paraId="5DEB66A3"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Снижение аварий на 30%</w:t>
            </w:r>
          </w:p>
        </w:tc>
      </w:tr>
      <w:tr w:rsidR="00C471AF" w:rsidRPr="00C471AF" w14:paraId="235E8DC0" w14:textId="77777777">
        <w:trPr>
          <w:trHeight w:val="1286"/>
        </w:trPr>
        <w:tc>
          <w:tcPr>
            <w:tcW w:w="1903" w:type="dxa"/>
            <w:tcBorders>
              <w:top w:val="single" w:sz="4" w:space="0" w:color="auto"/>
              <w:left w:val="single" w:sz="4" w:space="0" w:color="auto"/>
              <w:bottom w:val="single" w:sz="4" w:space="0" w:color="auto"/>
              <w:right w:val="single" w:sz="4" w:space="0" w:color="auto"/>
            </w:tcBorders>
            <w:hideMark/>
          </w:tcPr>
          <w:p w14:paraId="220B4E59"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Microsoft</w:t>
            </w:r>
          </w:p>
        </w:tc>
        <w:tc>
          <w:tcPr>
            <w:tcW w:w="3469" w:type="dxa"/>
            <w:tcBorders>
              <w:top w:val="single" w:sz="4" w:space="0" w:color="auto"/>
              <w:left w:val="single" w:sz="4" w:space="0" w:color="auto"/>
              <w:bottom w:val="single" w:sz="4" w:space="0" w:color="auto"/>
              <w:right w:val="single" w:sz="4" w:space="0" w:color="auto"/>
            </w:tcBorders>
            <w:hideMark/>
          </w:tcPr>
          <w:p w14:paraId="26C9650E"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Автоматизация аналитики данных</w:t>
            </w:r>
          </w:p>
        </w:tc>
        <w:tc>
          <w:tcPr>
            <w:tcW w:w="4174" w:type="dxa"/>
            <w:tcBorders>
              <w:top w:val="single" w:sz="4" w:space="0" w:color="auto"/>
              <w:left w:val="single" w:sz="4" w:space="0" w:color="auto"/>
              <w:bottom w:val="single" w:sz="4" w:space="0" w:color="auto"/>
              <w:right w:val="single" w:sz="4" w:space="0" w:color="auto"/>
            </w:tcBorders>
            <w:hideMark/>
          </w:tcPr>
          <w:p w14:paraId="173690D2"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Сокращение времени обработки на 25%, рост удовлетворенности на 15%</w:t>
            </w:r>
          </w:p>
        </w:tc>
      </w:tr>
    </w:tbl>
    <w:p w14:paraId="7D70C0D5"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Сравнение показывает, что российские и зарубежные компании используют искусственный интеллект для схожих целей: автоматизации, оптимизации и персонализации [2]. Зарубежные компании, такие как Amazon и Microsoft, имеют доступ к большим объемам данных и инвестициям, что позволяет им масштабировать решения быстрее. Например, Microsoft разрабатывает глобальные ИИ-платформы, тогда как «Яндекс» фокусируется на локальном рынке [5]. Российские компании, такие как Сбербанк, демонстрируют высокую степень адаптации искусственный интеллект в финансовом секторе, но уступают в разработке универсальных платформ [2].</w:t>
      </w:r>
    </w:p>
    <w:p w14:paraId="69A2B385"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Таблица 3. Сравнение российских и зарубежных кейсов внедрения искусственного интеллекта</w:t>
      </w:r>
    </w:p>
    <w:tbl>
      <w:tblPr>
        <w:tblStyle w:val="160"/>
        <w:tblW w:w="9546" w:type="dxa"/>
        <w:tblInd w:w="0" w:type="dxa"/>
        <w:tblLook w:val="04A0" w:firstRow="1" w:lastRow="0" w:firstColumn="1" w:lastColumn="0" w:noHBand="0" w:noVBand="1"/>
      </w:tblPr>
      <w:tblGrid>
        <w:gridCol w:w="2722"/>
        <w:gridCol w:w="2698"/>
        <w:gridCol w:w="4126"/>
      </w:tblGrid>
      <w:tr w:rsidR="00C471AF" w:rsidRPr="00C471AF" w14:paraId="4830D3BC" w14:textId="77777777">
        <w:trPr>
          <w:trHeight w:val="735"/>
        </w:trPr>
        <w:tc>
          <w:tcPr>
            <w:tcW w:w="2722" w:type="dxa"/>
            <w:tcBorders>
              <w:top w:val="single" w:sz="4" w:space="0" w:color="auto"/>
              <w:left w:val="single" w:sz="4" w:space="0" w:color="auto"/>
              <w:bottom w:val="single" w:sz="4" w:space="0" w:color="auto"/>
              <w:right w:val="single" w:sz="4" w:space="0" w:color="auto"/>
            </w:tcBorders>
            <w:hideMark/>
          </w:tcPr>
          <w:p w14:paraId="21CDF72B"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Критерий</w:t>
            </w:r>
          </w:p>
        </w:tc>
        <w:tc>
          <w:tcPr>
            <w:tcW w:w="2698" w:type="dxa"/>
            <w:tcBorders>
              <w:top w:val="single" w:sz="4" w:space="0" w:color="auto"/>
              <w:left w:val="single" w:sz="4" w:space="0" w:color="auto"/>
              <w:bottom w:val="single" w:sz="4" w:space="0" w:color="auto"/>
              <w:right w:val="single" w:sz="4" w:space="0" w:color="auto"/>
            </w:tcBorders>
            <w:hideMark/>
          </w:tcPr>
          <w:p w14:paraId="758FFE24"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Российские компании</w:t>
            </w:r>
          </w:p>
        </w:tc>
        <w:tc>
          <w:tcPr>
            <w:tcW w:w="4126" w:type="dxa"/>
            <w:tcBorders>
              <w:top w:val="single" w:sz="4" w:space="0" w:color="auto"/>
              <w:left w:val="single" w:sz="4" w:space="0" w:color="auto"/>
              <w:bottom w:val="single" w:sz="4" w:space="0" w:color="auto"/>
              <w:right w:val="single" w:sz="4" w:space="0" w:color="auto"/>
            </w:tcBorders>
            <w:hideMark/>
          </w:tcPr>
          <w:p w14:paraId="30159CE5"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Зарубежные компании</w:t>
            </w:r>
          </w:p>
        </w:tc>
      </w:tr>
      <w:tr w:rsidR="00C471AF" w:rsidRPr="00C471AF" w14:paraId="38130FFE" w14:textId="77777777">
        <w:trPr>
          <w:trHeight w:val="885"/>
        </w:trPr>
        <w:tc>
          <w:tcPr>
            <w:tcW w:w="2722" w:type="dxa"/>
            <w:tcBorders>
              <w:top w:val="single" w:sz="4" w:space="0" w:color="auto"/>
              <w:left w:val="single" w:sz="4" w:space="0" w:color="auto"/>
              <w:bottom w:val="single" w:sz="4" w:space="0" w:color="auto"/>
              <w:right w:val="single" w:sz="4" w:space="0" w:color="auto"/>
            </w:tcBorders>
            <w:hideMark/>
          </w:tcPr>
          <w:p w14:paraId="1437A545"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Масштаб данных</w:t>
            </w:r>
          </w:p>
        </w:tc>
        <w:tc>
          <w:tcPr>
            <w:tcW w:w="2698" w:type="dxa"/>
            <w:tcBorders>
              <w:top w:val="single" w:sz="4" w:space="0" w:color="auto"/>
              <w:left w:val="single" w:sz="4" w:space="0" w:color="auto"/>
              <w:bottom w:val="single" w:sz="4" w:space="0" w:color="auto"/>
              <w:right w:val="single" w:sz="4" w:space="0" w:color="auto"/>
            </w:tcBorders>
            <w:hideMark/>
          </w:tcPr>
          <w:p w14:paraId="35CC16F8"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Локальные, ограниченные</w:t>
            </w:r>
          </w:p>
        </w:tc>
        <w:tc>
          <w:tcPr>
            <w:tcW w:w="4126" w:type="dxa"/>
            <w:tcBorders>
              <w:top w:val="single" w:sz="4" w:space="0" w:color="auto"/>
              <w:left w:val="single" w:sz="4" w:space="0" w:color="auto"/>
              <w:bottom w:val="single" w:sz="4" w:space="0" w:color="auto"/>
              <w:right w:val="single" w:sz="4" w:space="0" w:color="auto"/>
            </w:tcBorders>
            <w:hideMark/>
          </w:tcPr>
          <w:p w14:paraId="7199E5D5"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Локальные, ограниченные</w:t>
            </w:r>
          </w:p>
        </w:tc>
      </w:tr>
      <w:tr w:rsidR="00C471AF" w:rsidRPr="00C471AF" w14:paraId="174D918F" w14:textId="77777777">
        <w:trPr>
          <w:trHeight w:val="1236"/>
        </w:trPr>
        <w:tc>
          <w:tcPr>
            <w:tcW w:w="2722" w:type="dxa"/>
            <w:tcBorders>
              <w:top w:val="single" w:sz="4" w:space="0" w:color="auto"/>
              <w:left w:val="single" w:sz="4" w:space="0" w:color="auto"/>
              <w:bottom w:val="single" w:sz="4" w:space="0" w:color="auto"/>
              <w:right w:val="single" w:sz="4" w:space="0" w:color="auto"/>
            </w:tcBorders>
            <w:hideMark/>
          </w:tcPr>
          <w:p w14:paraId="4E59679A"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Инвестиции</w:t>
            </w:r>
          </w:p>
        </w:tc>
        <w:tc>
          <w:tcPr>
            <w:tcW w:w="2698" w:type="dxa"/>
            <w:tcBorders>
              <w:top w:val="single" w:sz="4" w:space="0" w:color="auto"/>
              <w:left w:val="single" w:sz="4" w:space="0" w:color="auto"/>
              <w:bottom w:val="single" w:sz="4" w:space="0" w:color="auto"/>
              <w:right w:val="single" w:sz="4" w:space="0" w:color="auto"/>
            </w:tcBorders>
            <w:hideMark/>
          </w:tcPr>
          <w:p w14:paraId="56E8611A"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Ограниченные, поддержка государства</w:t>
            </w:r>
          </w:p>
        </w:tc>
        <w:tc>
          <w:tcPr>
            <w:tcW w:w="4126" w:type="dxa"/>
            <w:tcBorders>
              <w:top w:val="single" w:sz="4" w:space="0" w:color="auto"/>
              <w:left w:val="single" w:sz="4" w:space="0" w:color="auto"/>
              <w:bottom w:val="single" w:sz="4" w:space="0" w:color="auto"/>
              <w:right w:val="single" w:sz="4" w:space="0" w:color="auto"/>
            </w:tcBorders>
            <w:hideMark/>
          </w:tcPr>
          <w:p w14:paraId="2BE1FA56"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Высокие, венчурный капитал</w:t>
            </w:r>
          </w:p>
        </w:tc>
      </w:tr>
      <w:tr w:rsidR="00C471AF" w:rsidRPr="00C471AF" w14:paraId="1B135506" w14:textId="77777777">
        <w:trPr>
          <w:trHeight w:val="885"/>
        </w:trPr>
        <w:tc>
          <w:tcPr>
            <w:tcW w:w="2722" w:type="dxa"/>
            <w:tcBorders>
              <w:top w:val="single" w:sz="4" w:space="0" w:color="auto"/>
              <w:left w:val="single" w:sz="4" w:space="0" w:color="auto"/>
              <w:bottom w:val="single" w:sz="4" w:space="0" w:color="auto"/>
              <w:right w:val="single" w:sz="4" w:space="0" w:color="auto"/>
            </w:tcBorders>
            <w:hideMark/>
          </w:tcPr>
          <w:p w14:paraId="15D5C609"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lastRenderedPageBreak/>
              <w:t>Основные области</w:t>
            </w:r>
          </w:p>
        </w:tc>
        <w:tc>
          <w:tcPr>
            <w:tcW w:w="2698" w:type="dxa"/>
            <w:tcBorders>
              <w:top w:val="single" w:sz="4" w:space="0" w:color="auto"/>
              <w:left w:val="single" w:sz="4" w:space="0" w:color="auto"/>
              <w:bottom w:val="single" w:sz="4" w:space="0" w:color="auto"/>
              <w:right w:val="single" w:sz="4" w:space="0" w:color="auto"/>
            </w:tcBorders>
            <w:hideMark/>
          </w:tcPr>
          <w:p w14:paraId="451B0BC1"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Финансы, ритейл, нефтегаз</w:t>
            </w:r>
          </w:p>
        </w:tc>
        <w:tc>
          <w:tcPr>
            <w:tcW w:w="4126" w:type="dxa"/>
            <w:tcBorders>
              <w:top w:val="single" w:sz="4" w:space="0" w:color="auto"/>
              <w:left w:val="single" w:sz="4" w:space="0" w:color="auto"/>
              <w:bottom w:val="single" w:sz="4" w:space="0" w:color="auto"/>
              <w:right w:val="single" w:sz="4" w:space="0" w:color="auto"/>
            </w:tcBorders>
            <w:hideMark/>
          </w:tcPr>
          <w:p w14:paraId="399EC5B4"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E-commerce, автопром, облачные технологии</w:t>
            </w:r>
          </w:p>
        </w:tc>
      </w:tr>
      <w:tr w:rsidR="00C471AF" w:rsidRPr="00C471AF" w14:paraId="73D217F5" w14:textId="77777777">
        <w:trPr>
          <w:trHeight w:val="885"/>
        </w:trPr>
        <w:tc>
          <w:tcPr>
            <w:tcW w:w="2722" w:type="dxa"/>
            <w:tcBorders>
              <w:top w:val="single" w:sz="4" w:space="0" w:color="auto"/>
              <w:left w:val="single" w:sz="4" w:space="0" w:color="auto"/>
              <w:bottom w:val="single" w:sz="4" w:space="0" w:color="auto"/>
              <w:right w:val="single" w:sz="4" w:space="0" w:color="auto"/>
            </w:tcBorders>
            <w:hideMark/>
          </w:tcPr>
          <w:p w14:paraId="4FB1775C"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 xml:space="preserve">Уровень платформ </w:t>
            </w:r>
          </w:p>
        </w:tc>
        <w:tc>
          <w:tcPr>
            <w:tcW w:w="2698" w:type="dxa"/>
            <w:tcBorders>
              <w:top w:val="single" w:sz="4" w:space="0" w:color="auto"/>
              <w:left w:val="single" w:sz="4" w:space="0" w:color="auto"/>
              <w:bottom w:val="single" w:sz="4" w:space="0" w:color="auto"/>
              <w:right w:val="single" w:sz="4" w:space="0" w:color="auto"/>
            </w:tcBorders>
            <w:hideMark/>
          </w:tcPr>
          <w:p w14:paraId="663CD664"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Отставание в ИИ-платформах</w:t>
            </w:r>
          </w:p>
        </w:tc>
        <w:tc>
          <w:tcPr>
            <w:tcW w:w="4126" w:type="dxa"/>
            <w:tcBorders>
              <w:top w:val="single" w:sz="4" w:space="0" w:color="auto"/>
              <w:left w:val="single" w:sz="4" w:space="0" w:color="auto"/>
              <w:bottom w:val="single" w:sz="4" w:space="0" w:color="auto"/>
              <w:right w:val="single" w:sz="4" w:space="0" w:color="auto"/>
            </w:tcBorders>
            <w:hideMark/>
          </w:tcPr>
          <w:p w14:paraId="46F9AF97"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Лидерство (Microsoft, Google)</w:t>
            </w:r>
          </w:p>
        </w:tc>
      </w:tr>
      <w:tr w:rsidR="00C471AF" w:rsidRPr="00C471AF" w14:paraId="6BEDC675" w14:textId="77777777">
        <w:trPr>
          <w:trHeight w:val="885"/>
        </w:trPr>
        <w:tc>
          <w:tcPr>
            <w:tcW w:w="2722" w:type="dxa"/>
            <w:tcBorders>
              <w:top w:val="single" w:sz="4" w:space="0" w:color="auto"/>
              <w:left w:val="single" w:sz="4" w:space="0" w:color="auto"/>
              <w:bottom w:val="single" w:sz="4" w:space="0" w:color="auto"/>
              <w:right w:val="single" w:sz="4" w:space="0" w:color="auto"/>
            </w:tcBorders>
            <w:hideMark/>
          </w:tcPr>
          <w:p w14:paraId="5DEE059E"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Экономический эффект</w:t>
            </w:r>
          </w:p>
        </w:tc>
        <w:tc>
          <w:tcPr>
            <w:tcW w:w="2698" w:type="dxa"/>
            <w:tcBorders>
              <w:top w:val="single" w:sz="4" w:space="0" w:color="auto"/>
              <w:left w:val="single" w:sz="4" w:space="0" w:color="auto"/>
              <w:bottom w:val="single" w:sz="4" w:space="0" w:color="auto"/>
              <w:right w:val="single" w:sz="4" w:space="0" w:color="auto"/>
            </w:tcBorders>
            <w:hideMark/>
          </w:tcPr>
          <w:p w14:paraId="0F5A62BB"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Снижение затрат на 10–40%</w:t>
            </w:r>
          </w:p>
        </w:tc>
        <w:tc>
          <w:tcPr>
            <w:tcW w:w="4126" w:type="dxa"/>
            <w:tcBorders>
              <w:top w:val="single" w:sz="4" w:space="0" w:color="auto"/>
              <w:left w:val="single" w:sz="4" w:space="0" w:color="auto"/>
              <w:bottom w:val="single" w:sz="4" w:space="0" w:color="auto"/>
              <w:right w:val="single" w:sz="4" w:space="0" w:color="auto"/>
            </w:tcBorders>
            <w:hideMark/>
          </w:tcPr>
          <w:p w14:paraId="198A5BBB"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Снижение затрат на 15–50%</w:t>
            </w:r>
          </w:p>
        </w:tc>
      </w:tr>
    </w:tbl>
    <w:p w14:paraId="1BE3792E" w14:textId="77777777" w:rsidR="00C471AF" w:rsidRPr="00C471AF" w:rsidRDefault="00C471AF" w:rsidP="00C471AF">
      <w:pPr>
        <w:suppressAutoHyphens/>
        <w:spacing w:line="240" w:lineRule="auto"/>
        <w:rPr>
          <w:rFonts w:ascii="Times New Roman" w:eastAsia="Aptos" w:hAnsi="Times New Roman" w:cs="Times New Roman"/>
          <w:kern w:val="2"/>
          <w:sz w:val="32"/>
          <w:szCs w:val="32"/>
          <w:lang w:eastAsia="ru-RU"/>
          <w14:ligatures w14:val="standardContextual"/>
        </w:rPr>
      </w:pPr>
    </w:p>
    <w:p w14:paraId="00ACAB2A"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Внедрение искусственного интеллекта в России и за рубежом сталкивается с рядом проблем. Высокие затраты на разработку и интеграцию ограничивают доступ для малых предприятий. Нехватка специалистов по искусственному интеллекту остро ощущается в России, несмотря на образовательные программы [2]. Этические риски, такие как нарушение конфиденциальности, требуют соблюдения законодательства (в России — Федеральный закон «О персональных данных» [4], в Евросоюз — GDPR). Сопротивление сотрудников изменениям замедляет трансформацию. Зарубежные компании также сталкиваются с регуляторными барьерами, особенно в Евросоюзе [1].</w:t>
      </w:r>
    </w:p>
    <w:p w14:paraId="7B2F0860"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Таблица 4. Основные проблемы внедрения искусственного интеллекта</w:t>
      </w:r>
    </w:p>
    <w:tbl>
      <w:tblPr>
        <w:tblStyle w:val="160"/>
        <w:tblW w:w="9553" w:type="dxa"/>
        <w:tblInd w:w="0" w:type="dxa"/>
        <w:tblLook w:val="04A0" w:firstRow="1" w:lastRow="0" w:firstColumn="1" w:lastColumn="0" w:noHBand="0" w:noVBand="1"/>
      </w:tblPr>
      <w:tblGrid>
        <w:gridCol w:w="2321"/>
        <w:gridCol w:w="3486"/>
        <w:gridCol w:w="3746"/>
      </w:tblGrid>
      <w:tr w:rsidR="00C471AF" w:rsidRPr="00C471AF" w14:paraId="3FD49239" w14:textId="77777777">
        <w:trPr>
          <w:trHeight w:val="371"/>
        </w:trPr>
        <w:tc>
          <w:tcPr>
            <w:tcW w:w="2321" w:type="dxa"/>
            <w:tcBorders>
              <w:top w:val="single" w:sz="4" w:space="0" w:color="auto"/>
              <w:left w:val="single" w:sz="4" w:space="0" w:color="auto"/>
              <w:bottom w:val="single" w:sz="4" w:space="0" w:color="auto"/>
              <w:right w:val="single" w:sz="4" w:space="0" w:color="auto"/>
            </w:tcBorders>
            <w:hideMark/>
          </w:tcPr>
          <w:p w14:paraId="56614BD4"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Проблема</w:t>
            </w:r>
          </w:p>
        </w:tc>
        <w:tc>
          <w:tcPr>
            <w:tcW w:w="3486" w:type="dxa"/>
            <w:tcBorders>
              <w:top w:val="single" w:sz="4" w:space="0" w:color="auto"/>
              <w:left w:val="single" w:sz="4" w:space="0" w:color="auto"/>
              <w:bottom w:val="single" w:sz="4" w:space="0" w:color="auto"/>
              <w:right w:val="single" w:sz="4" w:space="0" w:color="auto"/>
            </w:tcBorders>
            <w:hideMark/>
          </w:tcPr>
          <w:p w14:paraId="6DA6DA41"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Россия</w:t>
            </w:r>
          </w:p>
        </w:tc>
        <w:tc>
          <w:tcPr>
            <w:tcW w:w="3746" w:type="dxa"/>
            <w:tcBorders>
              <w:top w:val="single" w:sz="4" w:space="0" w:color="auto"/>
              <w:left w:val="single" w:sz="4" w:space="0" w:color="auto"/>
              <w:bottom w:val="single" w:sz="4" w:space="0" w:color="auto"/>
              <w:right w:val="single" w:sz="4" w:space="0" w:color="auto"/>
            </w:tcBorders>
            <w:hideMark/>
          </w:tcPr>
          <w:p w14:paraId="350FF270"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Зарубежные страны</w:t>
            </w:r>
          </w:p>
        </w:tc>
      </w:tr>
      <w:tr w:rsidR="00C471AF" w:rsidRPr="00C471AF" w14:paraId="358549F5" w14:textId="77777777">
        <w:trPr>
          <w:trHeight w:val="1267"/>
        </w:trPr>
        <w:tc>
          <w:tcPr>
            <w:tcW w:w="2321" w:type="dxa"/>
            <w:tcBorders>
              <w:top w:val="single" w:sz="4" w:space="0" w:color="auto"/>
              <w:left w:val="single" w:sz="4" w:space="0" w:color="auto"/>
              <w:bottom w:val="single" w:sz="4" w:space="0" w:color="auto"/>
              <w:right w:val="single" w:sz="4" w:space="0" w:color="auto"/>
            </w:tcBorders>
            <w:hideMark/>
          </w:tcPr>
          <w:p w14:paraId="58FA5EE3"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Затраты</w:t>
            </w:r>
          </w:p>
        </w:tc>
        <w:tc>
          <w:tcPr>
            <w:tcW w:w="3486" w:type="dxa"/>
            <w:tcBorders>
              <w:top w:val="single" w:sz="4" w:space="0" w:color="auto"/>
              <w:left w:val="single" w:sz="4" w:space="0" w:color="auto"/>
              <w:bottom w:val="single" w:sz="4" w:space="0" w:color="auto"/>
              <w:right w:val="single" w:sz="4" w:space="0" w:color="auto"/>
            </w:tcBorders>
            <w:hideMark/>
          </w:tcPr>
          <w:p w14:paraId="1816FD90"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Высокие, ограниченный доступ для МСП</w:t>
            </w:r>
          </w:p>
        </w:tc>
        <w:tc>
          <w:tcPr>
            <w:tcW w:w="3746" w:type="dxa"/>
            <w:tcBorders>
              <w:top w:val="single" w:sz="4" w:space="0" w:color="auto"/>
              <w:left w:val="single" w:sz="4" w:space="0" w:color="auto"/>
              <w:bottom w:val="single" w:sz="4" w:space="0" w:color="auto"/>
              <w:right w:val="single" w:sz="4" w:space="0" w:color="auto"/>
            </w:tcBorders>
            <w:hideMark/>
          </w:tcPr>
          <w:p w14:paraId="450A41A6"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Высокие, но больше венчурных инвестиций</w:t>
            </w:r>
          </w:p>
        </w:tc>
      </w:tr>
      <w:tr w:rsidR="00C471AF" w:rsidRPr="00C471AF" w14:paraId="58CC45F6" w14:textId="77777777">
        <w:trPr>
          <w:trHeight w:val="894"/>
        </w:trPr>
        <w:tc>
          <w:tcPr>
            <w:tcW w:w="2321" w:type="dxa"/>
            <w:tcBorders>
              <w:top w:val="single" w:sz="4" w:space="0" w:color="auto"/>
              <w:left w:val="single" w:sz="4" w:space="0" w:color="auto"/>
              <w:bottom w:val="single" w:sz="4" w:space="0" w:color="auto"/>
              <w:right w:val="single" w:sz="4" w:space="0" w:color="auto"/>
            </w:tcBorders>
            <w:hideMark/>
          </w:tcPr>
          <w:p w14:paraId="55730EE0"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Кадры</w:t>
            </w:r>
          </w:p>
        </w:tc>
        <w:tc>
          <w:tcPr>
            <w:tcW w:w="3486" w:type="dxa"/>
            <w:tcBorders>
              <w:top w:val="single" w:sz="4" w:space="0" w:color="auto"/>
              <w:left w:val="single" w:sz="4" w:space="0" w:color="auto"/>
              <w:bottom w:val="single" w:sz="4" w:space="0" w:color="auto"/>
              <w:right w:val="single" w:sz="4" w:space="0" w:color="auto"/>
            </w:tcBorders>
            <w:hideMark/>
          </w:tcPr>
          <w:p w14:paraId="3A0E7D2B"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Дефицит специалистов</w:t>
            </w:r>
          </w:p>
        </w:tc>
        <w:tc>
          <w:tcPr>
            <w:tcW w:w="3746" w:type="dxa"/>
            <w:tcBorders>
              <w:top w:val="single" w:sz="4" w:space="0" w:color="auto"/>
              <w:left w:val="single" w:sz="4" w:space="0" w:color="auto"/>
              <w:bottom w:val="single" w:sz="4" w:space="0" w:color="auto"/>
              <w:right w:val="single" w:sz="4" w:space="0" w:color="auto"/>
            </w:tcBorders>
            <w:hideMark/>
          </w:tcPr>
          <w:p w14:paraId="58E4B3A2"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Больший пул специалистов</w:t>
            </w:r>
          </w:p>
        </w:tc>
      </w:tr>
      <w:tr w:rsidR="00C471AF" w:rsidRPr="00C471AF" w14:paraId="1F6CCE47" w14:textId="77777777">
        <w:trPr>
          <w:trHeight w:val="1267"/>
        </w:trPr>
        <w:tc>
          <w:tcPr>
            <w:tcW w:w="2321" w:type="dxa"/>
            <w:tcBorders>
              <w:top w:val="single" w:sz="4" w:space="0" w:color="auto"/>
              <w:left w:val="single" w:sz="4" w:space="0" w:color="auto"/>
              <w:bottom w:val="single" w:sz="4" w:space="0" w:color="auto"/>
              <w:right w:val="single" w:sz="4" w:space="0" w:color="auto"/>
            </w:tcBorders>
            <w:hideMark/>
          </w:tcPr>
          <w:p w14:paraId="2FA4CEBA"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Регулирование</w:t>
            </w:r>
          </w:p>
        </w:tc>
        <w:tc>
          <w:tcPr>
            <w:tcW w:w="3486" w:type="dxa"/>
            <w:tcBorders>
              <w:top w:val="single" w:sz="4" w:space="0" w:color="auto"/>
              <w:left w:val="single" w:sz="4" w:space="0" w:color="auto"/>
              <w:bottom w:val="single" w:sz="4" w:space="0" w:color="auto"/>
              <w:right w:val="single" w:sz="4" w:space="0" w:color="auto"/>
            </w:tcBorders>
            <w:hideMark/>
          </w:tcPr>
          <w:p w14:paraId="609B7FAC"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Федеральный закон «О персональных данных»</w:t>
            </w:r>
          </w:p>
        </w:tc>
        <w:tc>
          <w:tcPr>
            <w:tcW w:w="3746" w:type="dxa"/>
            <w:tcBorders>
              <w:top w:val="single" w:sz="4" w:space="0" w:color="auto"/>
              <w:left w:val="single" w:sz="4" w:space="0" w:color="auto"/>
              <w:bottom w:val="single" w:sz="4" w:space="0" w:color="auto"/>
              <w:right w:val="single" w:sz="4" w:space="0" w:color="auto"/>
            </w:tcBorders>
            <w:hideMark/>
          </w:tcPr>
          <w:p w14:paraId="487DDBFA"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GDPR, AI Act (ЕС)</w:t>
            </w:r>
          </w:p>
        </w:tc>
      </w:tr>
      <w:tr w:rsidR="00C471AF" w:rsidRPr="00C471AF" w14:paraId="3610B910" w14:textId="77777777">
        <w:trPr>
          <w:trHeight w:val="1267"/>
        </w:trPr>
        <w:tc>
          <w:tcPr>
            <w:tcW w:w="2321" w:type="dxa"/>
            <w:tcBorders>
              <w:top w:val="single" w:sz="4" w:space="0" w:color="auto"/>
              <w:left w:val="single" w:sz="4" w:space="0" w:color="auto"/>
              <w:bottom w:val="single" w:sz="4" w:space="0" w:color="auto"/>
              <w:right w:val="single" w:sz="4" w:space="0" w:color="auto"/>
            </w:tcBorders>
            <w:hideMark/>
          </w:tcPr>
          <w:p w14:paraId="2C324612"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 xml:space="preserve">Сопротивление изменениям </w:t>
            </w:r>
          </w:p>
        </w:tc>
        <w:tc>
          <w:tcPr>
            <w:tcW w:w="3486" w:type="dxa"/>
            <w:tcBorders>
              <w:top w:val="single" w:sz="4" w:space="0" w:color="auto"/>
              <w:left w:val="single" w:sz="4" w:space="0" w:color="auto"/>
              <w:bottom w:val="single" w:sz="4" w:space="0" w:color="auto"/>
              <w:right w:val="single" w:sz="4" w:space="0" w:color="auto"/>
            </w:tcBorders>
            <w:hideMark/>
          </w:tcPr>
          <w:p w14:paraId="1FB6F6EF"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Высокое в традиционных отраслях</w:t>
            </w:r>
          </w:p>
        </w:tc>
        <w:tc>
          <w:tcPr>
            <w:tcW w:w="3746" w:type="dxa"/>
            <w:tcBorders>
              <w:top w:val="single" w:sz="4" w:space="0" w:color="auto"/>
              <w:left w:val="single" w:sz="4" w:space="0" w:color="auto"/>
              <w:bottom w:val="single" w:sz="4" w:space="0" w:color="auto"/>
              <w:right w:val="single" w:sz="4" w:space="0" w:color="auto"/>
            </w:tcBorders>
            <w:hideMark/>
          </w:tcPr>
          <w:p w14:paraId="492BF2DC"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Умеренное, выше в малых компаниях</w:t>
            </w:r>
          </w:p>
        </w:tc>
      </w:tr>
    </w:tbl>
    <w:p w14:paraId="3A987E2B" w14:textId="77777777" w:rsidR="00C471AF" w:rsidRPr="00C471AF" w:rsidRDefault="00C471AF" w:rsidP="00C471AF">
      <w:pPr>
        <w:suppressAutoHyphens/>
        <w:spacing w:line="240" w:lineRule="auto"/>
        <w:rPr>
          <w:rFonts w:ascii="Times New Roman" w:eastAsia="Aptos" w:hAnsi="Times New Roman" w:cs="Times New Roman"/>
          <w:kern w:val="2"/>
          <w:sz w:val="32"/>
          <w:szCs w:val="32"/>
          <w:lang w:eastAsia="ru-RU"/>
          <w14:ligatures w14:val="standardContextual"/>
        </w:rPr>
      </w:pPr>
    </w:p>
    <w:p w14:paraId="072D0BEB"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lastRenderedPageBreak/>
        <w:t>Исследование проводилось с использованием анализа отечественных и зарубежных научных публикаций, отчетов компаний, кейсов внедрения искусственного интеллекта и интервью с экспертами. Объектом исследования являются бизнес-процессы, модернизируемые с помощью искусственного интеллекта, а предметом — влияние искусственного интеллекта на эффективность и конкурентоспособность российских и зарубежных предприятий.</w:t>
      </w:r>
    </w:p>
    <w:p w14:paraId="662EF71B"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Искусственный интеллект повышает эффективность бизнес-процессов: автоматизация сокращает время выполнения задач на 30–50%, аналитика прогнозирует тренды с точностью до 85%, персонализация увеличивает лояльность клиентов на 10–15%, а оптимизация снижает расходы на 20–30%. Эти показатели схожи для российских и зарубежных компаний, но зарубежные часто достигают большего эффекта за счет масштаба [6].</w:t>
      </w:r>
    </w:p>
    <w:p w14:paraId="32CAC49D"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 xml:space="preserve">Для искусственного интеллекта очень важно качество данных, потому что недостоверная информация уменьшает точность моделей. Процесс внедрения усложняется регуляторными барьерами, как в России, так и в Евросоюзе. Автоматизация бизнес-процессов может привести в будущем к отсутствию востребованности некоторых специалистов, что приведёт к сокращению рабочих мест и потребует новых программ для переквалификации. Международные компании в свою очередь сталкиваются с этическими рисками, такими как нарушения ограничений, предвзятость алгоритмов и так далее. </w:t>
      </w:r>
    </w:p>
    <w:p w14:paraId="27E593E7"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Чтобы реализовать интеграцию искусственного интеллекта предприятиям необходимо продумать план, начиная с ограниченной версией проекта. Нехватку квалифицированного персонала поможет решить акцент на обучении сотрудников, а также привлечение различных специалистов [2]. Обеспечение более качественных данных увеличит точность моделей. Следование системе общих ценностей и сотрудничеству с технологическими партнёрами помогут ускорить преобразование [1]. Что касается Российских компаний, то наилучшим вариантом для использования будет государственная поддержка, например, Постановление №767.</w:t>
      </w:r>
    </w:p>
    <w:p w14:paraId="2D67C8BB" w14:textId="77777777" w:rsidR="00C471AF" w:rsidRPr="00C471AF" w:rsidRDefault="00C471AF" w:rsidP="00C471AF">
      <w:pPr>
        <w:suppressAutoHyphens/>
        <w:spacing w:line="240" w:lineRule="auto"/>
        <w:ind w:firstLine="708"/>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Таблица 5. Рекомендации по внедрению искусственного интеллекта</w:t>
      </w:r>
    </w:p>
    <w:tbl>
      <w:tblPr>
        <w:tblStyle w:val="160"/>
        <w:tblW w:w="9546" w:type="dxa"/>
        <w:tblInd w:w="0" w:type="dxa"/>
        <w:tblLook w:val="04A0" w:firstRow="1" w:lastRow="0" w:firstColumn="1" w:lastColumn="0" w:noHBand="0" w:noVBand="1"/>
      </w:tblPr>
      <w:tblGrid>
        <w:gridCol w:w="3334"/>
        <w:gridCol w:w="6212"/>
      </w:tblGrid>
      <w:tr w:rsidR="00C471AF" w:rsidRPr="00C471AF" w14:paraId="477E09C7" w14:textId="77777777">
        <w:trPr>
          <w:trHeight w:val="381"/>
        </w:trPr>
        <w:tc>
          <w:tcPr>
            <w:tcW w:w="3334" w:type="dxa"/>
            <w:tcBorders>
              <w:top w:val="single" w:sz="4" w:space="0" w:color="auto"/>
              <w:left w:val="single" w:sz="4" w:space="0" w:color="auto"/>
              <w:bottom w:val="single" w:sz="4" w:space="0" w:color="auto"/>
              <w:right w:val="single" w:sz="4" w:space="0" w:color="auto"/>
            </w:tcBorders>
            <w:hideMark/>
          </w:tcPr>
          <w:p w14:paraId="018C702D"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Рекомендация</w:t>
            </w:r>
          </w:p>
        </w:tc>
        <w:tc>
          <w:tcPr>
            <w:tcW w:w="6212" w:type="dxa"/>
            <w:tcBorders>
              <w:top w:val="single" w:sz="4" w:space="0" w:color="auto"/>
              <w:left w:val="single" w:sz="4" w:space="0" w:color="auto"/>
              <w:bottom w:val="single" w:sz="4" w:space="0" w:color="auto"/>
              <w:right w:val="single" w:sz="4" w:space="0" w:color="auto"/>
            </w:tcBorders>
            <w:hideMark/>
          </w:tcPr>
          <w:p w14:paraId="03B81158"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Описание</w:t>
            </w:r>
          </w:p>
        </w:tc>
      </w:tr>
      <w:tr w:rsidR="00C471AF" w:rsidRPr="00C471AF" w14:paraId="113FB958" w14:textId="77777777">
        <w:trPr>
          <w:trHeight w:val="364"/>
        </w:trPr>
        <w:tc>
          <w:tcPr>
            <w:tcW w:w="3334" w:type="dxa"/>
            <w:tcBorders>
              <w:top w:val="single" w:sz="4" w:space="0" w:color="auto"/>
              <w:left w:val="single" w:sz="4" w:space="0" w:color="auto"/>
              <w:bottom w:val="single" w:sz="4" w:space="0" w:color="auto"/>
              <w:right w:val="single" w:sz="4" w:space="0" w:color="auto"/>
            </w:tcBorders>
            <w:hideMark/>
          </w:tcPr>
          <w:p w14:paraId="4949EE18"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Стратегический план</w:t>
            </w:r>
          </w:p>
        </w:tc>
        <w:tc>
          <w:tcPr>
            <w:tcW w:w="6212" w:type="dxa"/>
            <w:tcBorders>
              <w:top w:val="single" w:sz="4" w:space="0" w:color="auto"/>
              <w:left w:val="single" w:sz="4" w:space="0" w:color="auto"/>
              <w:bottom w:val="single" w:sz="4" w:space="0" w:color="auto"/>
              <w:right w:val="single" w:sz="4" w:space="0" w:color="auto"/>
            </w:tcBorders>
            <w:hideMark/>
          </w:tcPr>
          <w:p w14:paraId="343FDE4B"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Начать с пилотных проектов</w:t>
            </w:r>
          </w:p>
        </w:tc>
      </w:tr>
      <w:tr w:rsidR="00C471AF" w:rsidRPr="00C471AF" w14:paraId="345F72E4" w14:textId="77777777">
        <w:trPr>
          <w:trHeight w:val="538"/>
        </w:trPr>
        <w:tc>
          <w:tcPr>
            <w:tcW w:w="3334" w:type="dxa"/>
            <w:tcBorders>
              <w:top w:val="single" w:sz="4" w:space="0" w:color="auto"/>
              <w:left w:val="single" w:sz="4" w:space="0" w:color="auto"/>
              <w:bottom w:val="single" w:sz="4" w:space="0" w:color="auto"/>
              <w:right w:val="single" w:sz="4" w:space="0" w:color="auto"/>
            </w:tcBorders>
            <w:hideMark/>
          </w:tcPr>
          <w:p w14:paraId="54B60D21"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Инвестиции в кадры</w:t>
            </w:r>
          </w:p>
        </w:tc>
        <w:tc>
          <w:tcPr>
            <w:tcW w:w="6212" w:type="dxa"/>
            <w:tcBorders>
              <w:top w:val="single" w:sz="4" w:space="0" w:color="auto"/>
              <w:left w:val="single" w:sz="4" w:space="0" w:color="auto"/>
              <w:bottom w:val="single" w:sz="4" w:space="0" w:color="auto"/>
              <w:right w:val="single" w:sz="4" w:space="0" w:color="auto"/>
            </w:tcBorders>
            <w:hideMark/>
          </w:tcPr>
          <w:p w14:paraId="6722929D"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Обучение и привлечение специалистов</w:t>
            </w:r>
          </w:p>
        </w:tc>
      </w:tr>
      <w:tr w:rsidR="00C471AF" w:rsidRPr="00C471AF" w14:paraId="5F0ED7AB" w14:textId="77777777">
        <w:trPr>
          <w:trHeight w:val="381"/>
        </w:trPr>
        <w:tc>
          <w:tcPr>
            <w:tcW w:w="3334" w:type="dxa"/>
            <w:tcBorders>
              <w:top w:val="single" w:sz="4" w:space="0" w:color="auto"/>
              <w:left w:val="single" w:sz="4" w:space="0" w:color="auto"/>
              <w:bottom w:val="single" w:sz="4" w:space="0" w:color="auto"/>
              <w:right w:val="single" w:sz="4" w:space="0" w:color="auto"/>
            </w:tcBorders>
            <w:hideMark/>
          </w:tcPr>
          <w:p w14:paraId="4CC77735"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lastRenderedPageBreak/>
              <w:t>Качество данных</w:t>
            </w:r>
          </w:p>
        </w:tc>
        <w:tc>
          <w:tcPr>
            <w:tcW w:w="6212" w:type="dxa"/>
            <w:tcBorders>
              <w:top w:val="single" w:sz="4" w:space="0" w:color="auto"/>
              <w:left w:val="single" w:sz="4" w:space="0" w:color="auto"/>
              <w:bottom w:val="single" w:sz="4" w:space="0" w:color="auto"/>
              <w:right w:val="single" w:sz="4" w:space="0" w:color="auto"/>
            </w:tcBorders>
            <w:hideMark/>
          </w:tcPr>
          <w:p w14:paraId="1B35190D"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Сбор достоверных данных</w:t>
            </w:r>
          </w:p>
        </w:tc>
      </w:tr>
      <w:tr w:rsidR="00C471AF" w:rsidRPr="00C471AF" w14:paraId="4806C8A6" w14:textId="77777777">
        <w:trPr>
          <w:trHeight w:val="364"/>
        </w:trPr>
        <w:tc>
          <w:tcPr>
            <w:tcW w:w="3334" w:type="dxa"/>
            <w:tcBorders>
              <w:top w:val="single" w:sz="4" w:space="0" w:color="auto"/>
              <w:left w:val="single" w:sz="4" w:space="0" w:color="auto"/>
              <w:bottom w:val="single" w:sz="4" w:space="0" w:color="auto"/>
              <w:right w:val="single" w:sz="4" w:space="0" w:color="auto"/>
            </w:tcBorders>
            <w:hideMark/>
          </w:tcPr>
          <w:p w14:paraId="5774B40E"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Этические стандарты</w:t>
            </w:r>
          </w:p>
        </w:tc>
        <w:tc>
          <w:tcPr>
            <w:tcW w:w="6212" w:type="dxa"/>
            <w:tcBorders>
              <w:top w:val="single" w:sz="4" w:space="0" w:color="auto"/>
              <w:left w:val="single" w:sz="4" w:space="0" w:color="auto"/>
              <w:bottom w:val="single" w:sz="4" w:space="0" w:color="auto"/>
              <w:right w:val="single" w:sz="4" w:space="0" w:color="auto"/>
            </w:tcBorders>
            <w:hideMark/>
          </w:tcPr>
          <w:p w14:paraId="332C5D5F"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Прозрачность и справедливость</w:t>
            </w:r>
          </w:p>
        </w:tc>
      </w:tr>
      <w:tr w:rsidR="00C471AF" w:rsidRPr="00C471AF" w14:paraId="04A8FAEC" w14:textId="77777777">
        <w:trPr>
          <w:trHeight w:val="919"/>
        </w:trPr>
        <w:tc>
          <w:tcPr>
            <w:tcW w:w="3334" w:type="dxa"/>
            <w:tcBorders>
              <w:top w:val="single" w:sz="4" w:space="0" w:color="auto"/>
              <w:left w:val="single" w:sz="4" w:space="0" w:color="auto"/>
              <w:bottom w:val="single" w:sz="4" w:space="0" w:color="auto"/>
              <w:right w:val="single" w:sz="4" w:space="0" w:color="auto"/>
            </w:tcBorders>
            <w:hideMark/>
          </w:tcPr>
          <w:p w14:paraId="474C588E"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Партнерства</w:t>
            </w:r>
          </w:p>
        </w:tc>
        <w:tc>
          <w:tcPr>
            <w:tcW w:w="6212" w:type="dxa"/>
            <w:tcBorders>
              <w:top w:val="single" w:sz="4" w:space="0" w:color="auto"/>
              <w:left w:val="single" w:sz="4" w:space="0" w:color="auto"/>
              <w:bottom w:val="single" w:sz="4" w:space="0" w:color="auto"/>
              <w:right w:val="single" w:sz="4" w:space="0" w:color="auto"/>
            </w:tcBorders>
            <w:hideMark/>
          </w:tcPr>
          <w:p w14:paraId="56EE07AA" w14:textId="77777777" w:rsidR="00C471AF" w:rsidRPr="00C471AF" w:rsidRDefault="00C471AF" w:rsidP="00C471AF">
            <w:pPr>
              <w:jc w:val="both"/>
              <w:rPr>
                <w:rFonts w:ascii="Times New Roman" w:eastAsia="Aptos" w:hAnsi="Times New Roman" w:cs="Times New Roman"/>
                <w:sz w:val="32"/>
                <w:szCs w:val="32"/>
              </w:rPr>
            </w:pPr>
            <w:r w:rsidRPr="00C471AF">
              <w:rPr>
                <w:rFonts w:ascii="Times New Roman" w:eastAsia="Aptos" w:hAnsi="Times New Roman" w:cs="Times New Roman"/>
                <w:sz w:val="32"/>
                <w:szCs w:val="32"/>
              </w:rPr>
              <w:t>Сотрудничество с технологическими фирмами</w:t>
            </w:r>
          </w:p>
        </w:tc>
      </w:tr>
    </w:tbl>
    <w:p w14:paraId="61AEF45E" w14:textId="77777777" w:rsidR="00C471AF" w:rsidRPr="00C471AF" w:rsidRDefault="00C471AF" w:rsidP="00C471AF">
      <w:pPr>
        <w:suppressAutoHyphens/>
        <w:spacing w:line="240" w:lineRule="auto"/>
        <w:rPr>
          <w:rFonts w:ascii="Times New Roman" w:eastAsia="Aptos" w:hAnsi="Times New Roman" w:cs="Times New Roman"/>
          <w:kern w:val="2"/>
          <w:sz w:val="32"/>
          <w:szCs w:val="32"/>
          <w:lang w:eastAsia="ru-RU"/>
          <w14:ligatures w14:val="standardContextual"/>
        </w:rPr>
      </w:pPr>
    </w:p>
    <w:p w14:paraId="0FE1A2AD" w14:textId="77777777" w:rsidR="00C471AF" w:rsidRPr="00C471AF" w:rsidRDefault="00C471AF" w:rsidP="00C471AF">
      <w:pPr>
        <w:suppressAutoHyphens/>
        <w:spacing w:after="0" w:line="240" w:lineRule="auto"/>
        <w:ind w:firstLine="709"/>
        <w:jc w:val="both"/>
        <w:rPr>
          <w:rFonts w:ascii="Roboto" w:eastAsia="Times New Roman" w:hAnsi="Roboto" w:cs="Aptos"/>
          <w:color w:val="040C28"/>
          <w:kern w:val="2"/>
          <w:sz w:val="24"/>
          <w:szCs w:val="24"/>
          <w:shd w:val="clear" w:color="auto" w:fill="D3E3FD"/>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 xml:space="preserve">В перспективе к 2030 году будет создан стандарт на основе искусственного интеллекта, который будет подходить для большей части процессов больших предприятий. Определённые модели искусственного интеллекта, предназначенные для создания нового материала, будут применяться для задач в различных областях, а взаимодействие с Интернетом вещей повысит открытость и видимость системы. Компании, которые открываются и действуют в Российской Федерации имеют возможность сократить разрыв в ИИ-платформах благодаря государству, которое проводит ряд поддержек, а также различных альянсов, например, как AI-Russia Alliance. Международные предприятия лидируют на более крупных и масштабных платформах, но местная адаптация по-прежнему является преимуществом России [2]. </w:t>
      </w:r>
    </w:p>
    <w:p w14:paraId="5E2A893C" w14:textId="77777777" w:rsidR="00C471AF" w:rsidRPr="00C471AF" w:rsidRDefault="00C471AF" w:rsidP="00C471AF">
      <w:pPr>
        <w:suppressAutoHyphens/>
        <w:spacing w:after="0" w:line="240" w:lineRule="auto"/>
        <w:ind w:firstLine="709"/>
        <w:jc w:val="both"/>
        <w:rPr>
          <w:rFonts w:ascii="Times New Roman" w:eastAsia="Aptos" w:hAnsi="Times New Roman" w:cs="Times New Roman"/>
          <w:kern w:val="2"/>
          <w:sz w:val="32"/>
          <w:szCs w:val="32"/>
          <w:lang w:eastAsia="ru-RU"/>
          <w14:ligatures w14:val="standardContextual"/>
        </w:rPr>
      </w:pPr>
      <w:r w:rsidRPr="00C471AF">
        <w:rPr>
          <w:rFonts w:ascii="Times New Roman" w:eastAsia="Aptos" w:hAnsi="Times New Roman" w:cs="Times New Roman"/>
          <w:kern w:val="2"/>
          <w:sz w:val="32"/>
          <w:szCs w:val="32"/>
          <w:lang w:eastAsia="ru-RU"/>
          <w14:ligatures w14:val="standardContextual"/>
        </w:rPr>
        <w:t xml:space="preserve">Модернизация бизнес-процессов с использованием технологий искусственного интеллекта даёт возможности для улучшения эффективности, а также конкурентоспособности, Российские компании показывают свои достижения в различных областях, например, финансах, ритейле, нефтегазе, но тем не менее отстают в развитии масштаба данных и платформ. Успешное внедрение искусственного интеллекта будет требовать определённого и точного подхода, различных вложений в сотрудников и технологии, учёта этических, правовых аспектов и так далее. Рекомендации, которые предложены в данной научной статье, могут стать фундаментом для цифровой трансформации российских компаний. </w:t>
      </w:r>
    </w:p>
    <w:p w14:paraId="20DF9A17" w14:textId="77777777" w:rsidR="00C471AF" w:rsidRPr="00C471AF" w:rsidRDefault="00C471AF" w:rsidP="00C471AF">
      <w:pPr>
        <w:suppressAutoHyphens/>
        <w:spacing w:line="240" w:lineRule="auto"/>
        <w:ind w:firstLine="708"/>
        <w:jc w:val="center"/>
        <w:rPr>
          <w:rFonts w:ascii="Times New Roman" w:eastAsia="Aptos" w:hAnsi="Times New Roman" w:cs="Times New Roman"/>
          <w:kern w:val="2"/>
          <w:sz w:val="32"/>
          <w:szCs w:val="32"/>
          <w:lang w:eastAsia="ru-RU"/>
          <w14:ligatures w14:val="standardContextual"/>
        </w:rPr>
      </w:pPr>
    </w:p>
    <w:p w14:paraId="3D272F49" w14:textId="193CE309" w:rsidR="00C471AF" w:rsidRPr="00C471AF" w:rsidRDefault="00FC2E76" w:rsidP="00C471AF">
      <w:pPr>
        <w:suppressAutoHyphens/>
        <w:spacing w:line="240" w:lineRule="auto"/>
        <w:ind w:firstLine="708"/>
        <w:jc w:val="center"/>
        <w:rPr>
          <w:rFonts w:ascii="Times New Roman" w:eastAsia="Aptos" w:hAnsi="Times New Roman" w:cs="Times New Roman"/>
          <w:b/>
          <w:bCs/>
          <w:kern w:val="2"/>
          <w:sz w:val="21"/>
          <w:szCs w:val="21"/>
          <w:lang w:eastAsia="ru-RU"/>
          <w14:ligatures w14:val="standardContextual"/>
        </w:rPr>
      </w:pPr>
      <w:r w:rsidRPr="00FC2E76">
        <w:rPr>
          <w:rFonts w:ascii="Times New Roman" w:eastAsia="Aptos" w:hAnsi="Times New Roman" w:cs="Times New Roman"/>
          <w:b/>
          <w:bCs/>
          <w:kern w:val="2"/>
          <w:sz w:val="21"/>
          <w:szCs w:val="21"/>
          <w:lang w:eastAsia="ru-RU"/>
          <w14:ligatures w14:val="standardContextual"/>
        </w:rPr>
        <w:t>Л</w:t>
      </w:r>
      <w:r w:rsidR="00C471AF" w:rsidRPr="00C471AF">
        <w:rPr>
          <w:rFonts w:ascii="Times New Roman" w:eastAsia="Aptos" w:hAnsi="Times New Roman" w:cs="Times New Roman"/>
          <w:b/>
          <w:bCs/>
          <w:kern w:val="2"/>
          <w:sz w:val="21"/>
          <w:szCs w:val="21"/>
          <w:lang w:eastAsia="ru-RU"/>
          <w14:ligatures w14:val="standardContextual"/>
        </w:rPr>
        <w:t>итератур</w:t>
      </w:r>
      <w:r w:rsidRPr="00FC2E76">
        <w:rPr>
          <w:rFonts w:ascii="Times New Roman" w:eastAsia="Aptos" w:hAnsi="Times New Roman" w:cs="Times New Roman"/>
          <w:b/>
          <w:bCs/>
          <w:kern w:val="2"/>
          <w:sz w:val="21"/>
          <w:szCs w:val="21"/>
          <w:lang w:eastAsia="ru-RU"/>
          <w14:ligatures w14:val="standardContextual"/>
        </w:rPr>
        <w:t>а:</w:t>
      </w:r>
    </w:p>
    <w:p w14:paraId="234DCF93"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t>Белая книга этики в сфере ИИ, Альянс в сфере ИИ (2024). [</w:t>
      </w:r>
      <w:hyperlink r:id="rId375" w:history="1">
        <w:r w:rsidRPr="00C471AF">
          <w:rPr>
            <w:rFonts w:ascii="Times New Roman" w:eastAsia="Aptos" w:hAnsi="Times New Roman" w:cs="Times New Roman"/>
            <w:color w:val="467886"/>
            <w:kern w:val="2"/>
            <w:sz w:val="21"/>
            <w:szCs w:val="21"/>
            <w:u w:val="single"/>
            <w:lang w:eastAsia="ru-RU"/>
            <w14:ligatures w14:val="standardContextual"/>
          </w:rPr>
          <w:t>https://ai.gov.ru/knowledgebase/etika-i-bezopasnost-ii/2024_belaya_kniga_etiki_v_sfere_ii_alyyans_v_sfere_ii/</w:t>
        </w:r>
      </w:hyperlink>
      <w:r w:rsidRPr="00C471AF">
        <w:rPr>
          <w:rFonts w:ascii="Times New Roman" w:eastAsia="Aptos" w:hAnsi="Times New Roman" w:cs="Times New Roman"/>
          <w:kern w:val="2"/>
          <w:sz w:val="21"/>
          <w:szCs w:val="21"/>
          <w:lang w:eastAsia="ru-RU"/>
          <w14:ligatures w14:val="standardContextual"/>
        </w:rPr>
        <w:t>]</w:t>
      </w:r>
    </w:p>
    <w:p w14:paraId="7B20FBE3"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t>Искусственный интеллект в России: кто, что и как внедряет (2023). Институт статистических исследований и экономических знаний НИУ ВШЭ. [</w:t>
      </w:r>
      <w:hyperlink r:id="rId376" w:history="1">
        <w:r w:rsidRPr="00C471AF">
          <w:rPr>
            <w:rFonts w:ascii="Times New Roman" w:eastAsia="Aptos" w:hAnsi="Times New Roman" w:cs="Times New Roman"/>
            <w:color w:val="467886"/>
            <w:kern w:val="2"/>
            <w:sz w:val="21"/>
            <w:szCs w:val="21"/>
            <w:u w:val="single"/>
            <w:lang w:eastAsia="ru-RU"/>
            <w14:ligatures w14:val="standardContextual"/>
          </w:rPr>
          <w:t>https://issek.hse.ru/</w:t>
        </w:r>
      </w:hyperlink>
      <w:r w:rsidRPr="00C471AF">
        <w:rPr>
          <w:rFonts w:ascii="Times New Roman" w:eastAsia="Aptos" w:hAnsi="Times New Roman" w:cs="Times New Roman"/>
          <w:kern w:val="2"/>
          <w:sz w:val="21"/>
          <w:szCs w:val="21"/>
          <w:lang w:eastAsia="ru-RU"/>
          <w14:ligatures w14:val="standardContextual"/>
        </w:rPr>
        <w:t>]</w:t>
      </w:r>
    </w:p>
    <w:p w14:paraId="3B6C2A3A"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t>Искусственный интеллект: достижения 2024 года, планы на 2025 год (2025). Фонд Росконгресс. [</w:t>
      </w:r>
      <w:hyperlink r:id="rId377" w:history="1">
        <w:r w:rsidRPr="00C471AF">
          <w:rPr>
            <w:rFonts w:ascii="Times New Roman" w:eastAsia="Aptos" w:hAnsi="Times New Roman" w:cs="Times New Roman"/>
            <w:color w:val="467886"/>
            <w:kern w:val="2"/>
            <w:sz w:val="21"/>
            <w:szCs w:val="21"/>
            <w:u w:val="single"/>
            <w:lang w:eastAsia="ru-RU"/>
            <w14:ligatures w14:val="standardContextual"/>
          </w:rPr>
          <w:t>https://roscongress.org/materials/iskusstvennyy-intellekt-dostizheniya-2024-goda-plany-na-2025-god/</w:t>
        </w:r>
      </w:hyperlink>
      <w:r w:rsidRPr="00C471AF">
        <w:rPr>
          <w:rFonts w:ascii="Times New Roman" w:eastAsia="Aptos" w:hAnsi="Times New Roman" w:cs="Times New Roman"/>
          <w:kern w:val="2"/>
          <w:sz w:val="21"/>
          <w:szCs w:val="21"/>
          <w:lang w:eastAsia="ru-RU"/>
          <w14:ligatures w14:val="standardContextual"/>
        </w:rPr>
        <w:t>]</w:t>
      </w:r>
    </w:p>
    <w:p w14:paraId="3F9CC92A"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Times New Roman" w:hAnsi="Times New Roman" w:cs="Times New Roman"/>
          <w:kern w:val="2"/>
          <w:sz w:val="21"/>
          <w:szCs w:val="21"/>
          <w:lang w:eastAsia="ru-RU"/>
          <w14:ligatures w14:val="standardContextual"/>
        </w:rPr>
        <w:t>Франциско О.Ю., Молчан А.С. Автоматизация уровневой оценки экономической безопасности. - Краснодар, 2022. - 175 с.</w:t>
      </w:r>
    </w:p>
    <w:p w14:paraId="7CDE1EC7"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t>Федеральный закон № 152-ФЗ «О финансовых данных» (ред. от 2024 года).</w:t>
      </w:r>
    </w:p>
    <w:p w14:paraId="704FC648" w14:textId="77777777" w:rsidR="00C471AF" w:rsidRPr="00C471AF" w:rsidRDefault="00C471AF" w:rsidP="00AD58CD">
      <w:pPr>
        <w:numPr>
          <w:ilvl w:val="0"/>
          <w:numId w:val="228"/>
        </w:numPr>
        <w:suppressAutoHyphens/>
        <w:spacing w:after="0" w:line="240" w:lineRule="auto"/>
        <w:contextualSpacing/>
        <w:jc w:val="both"/>
        <w:rPr>
          <w:rFonts w:ascii="Times New Roman" w:eastAsia="Aptos" w:hAnsi="Times New Roman" w:cs="Times New Roman"/>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lastRenderedPageBreak/>
        <w:t>Яков и Партнеры, Яндекс (2023). Искусственный интеллект в России – 2023: как выглядит и выглядит. Национальный портал в сфере искусственного интеллекта. [</w:t>
      </w:r>
      <w:hyperlink r:id="rId378" w:history="1">
        <w:r w:rsidRPr="00C471AF">
          <w:rPr>
            <w:rFonts w:ascii="Times New Roman" w:eastAsia="Aptos" w:hAnsi="Times New Roman" w:cs="Times New Roman"/>
            <w:color w:val="467886"/>
            <w:kern w:val="2"/>
            <w:sz w:val="21"/>
            <w:szCs w:val="21"/>
            <w:u w:val="single"/>
            <w:lang w:eastAsia="ru-RU"/>
            <w14:ligatures w14:val="standardContextual"/>
          </w:rPr>
          <w:t>https://ai.gov.ru/knowledgebase/infrastruktura-ii/2023_iskusstvennyy_intellekt_v_rossii_2023_trendy_i_perspektivy_ykov_i_partnery_yandeks/</w:t>
        </w:r>
      </w:hyperlink>
      <w:r w:rsidRPr="00C471AF">
        <w:rPr>
          <w:rFonts w:ascii="Times New Roman" w:eastAsia="Aptos" w:hAnsi="Times New Roman" w:cs="Times New Roman"/>
          <w:kern w:val="2"/>
          <w:sz w:val="21"/>
          <w:szCs w:val="21"/>
          <w:lang w:eastAsia="ru-RU"/>
          <w14:ligatures w14:val="standardContextual"/>
        </w:rPr>
        <w:t>]</w:t>
      </w:r>
    </w:p>
    <w:p w14:paraId="3F769A17" w14:textId="77777777" w:rsidR="00C471AF" w:rsidRPr="00C471AF" w:rsidRDefault="00C471AF" w:rsidP="00AD58CD">
      <w:pPr>
        <w:numPr>
          <w:ilvl w:val="0"/>
          <w:numId w:val="228"/>
        </w:numPr>
        <w:suppressAutoHyphens/>
        <w:spacing w:after="0" w:line="240" w:lineRule="auto"/>
        <w:contextualSpacing/>
        <w:jc w:val="both"/>
        <w:rPr>
          <w:rFonts w:ascii="Aptos" w:eastAsia="Aptos" w:hAnsi="Aptos" w:cs="Aptos"/>
          <w:kern w:val="2"/>
          <w:sz w:val="21"/>
          <w:szCs w:val="21"/>
          <w:lang w:eastAsia="ru-RU"/>
          <w14:ligatures w14:val="standardContextual"/>
        </w:rPr>
      </w:pPr>
      <w:r w:rsidRPr="00C471AF">
        <w:rPr>
          <w:rFonts w:ascii="Times New Roman" w:eastAsia="Aptos" w:hAnsi="Times New Roman" w:cs="Times New Roman"/>
          <w:kern w:val="2"/>
          <w:sz w:val="21"/>
          <w:szCs w:val="21"/>
          <w:lang w:eastAsia="ru-RU"/>
          <w14:ligatures w14:val="standardContextual"/>
        </w:rPr>
        <w:t xml:space="preserve">Зарубежный опыт финансирования инноваций в условиях глобализации рыночных отношений / Молчан А.С., Ануфриева А.П. // В сборнике: </w:t>
      </w:r>
      <w:r w:rsidRPr="00C471AF">
        <w:rPr>
          <w:rFonts w:ascii="Times New Roman" w:eastAsia="Aptos" w:hAnsi="Times New Roman" w:cs="Times New Roman"/>
          <w:kern w:val="2"/>
          <w:sz w:val="21"/>
          <w:szCs w:val="21"/>
          <w:lang w:val="en-US" w:eastAsia="ru-RU"/>
          <w14:ligatures w14:val="standardContextual"/>
        </w:rPr>
        <w:t>THE</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GLOBAL</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SYSTEMIC</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CRISIS</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NEW</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MILESTONE</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IN</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DEVELOPMENT</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OR</w:t>
      </w:r>
      <w:r w:rsidRPr="00C471AF">
        <w:rPr>
          <w:rFonts w:ascii="Times New Roman" w:eastAsia="Aptos" w:hAnsi="Times New Roman" w:cs="Times New Roman"/>
          <w:kern w:val="2"/>
          <w:sz w:val="21"/>
          <w:szCs w:val="21"/>
          <w:lang w:eastAsia="ru-RU"/>
          <w14:ligatures w14:val="standardContextual"/>
        </w:rPr>
        <w:t xml:space="preserve"> </w:t>
      </w:r>
      <w:r w:rsidRPr="00C471AF">
        <w:rPr>
          <w:rFonts w:ascii="Times New Roman" w:eastAsia="Aptos" w:hAnsi="Times New Roman" w:cs="Times New Roman"/>
          <w:kern w:val="2"/>
          <w:sz w:val="21"/>
          <w:szCs w:val="21"/>
          <w:lang w:val="en-US" w:eastAsia="ru-RU"/>
          <w14:ligatures w14:val="standardContextual"/>
        </w:rPr>
        <w:t>AN</w:t>
      </w:r>
      <w:r w:rsidRPr="00C471AF">
        <w:rPr>
          <w:rFonts w:ascii="Times New Roman" w:eastAsia="Aptos" w:hAnsi="Times New Roman" w:cs="Times New Roman"/>
          <w:kern w:val="2"/>
          <w:sz w:val="21"/>
          <w:szCs w:val="21"/>
          <w:lang w:eastAsia="ru-RU"/>
          <w14:ligatures w14:val="standardContextual"/>
        </w:rPr>
        <w:t xml:space="preserve"> </w:t>
      </w:r>
      <w:proofErr w:type="gramStart"/>
      <w:r w:rsidRPr="00C471AF">
        <w:rPr>
          <w:rFonts w:ascii="Times New Roman" w:eastAsia="Aptos" w:hAnsi="Times New Roman" w:cs="Times New Roman"/>
          <w:kern w:val="2"/>
          <w:sz w:val="21"/>
          <w:szCs w:val="21"/>
          <w:lang w:val="en-US" w:eastAsia="ru-RU"/>
          <w14:ligatures w14:val="standardContextual"/>
        </w:rPr>
        <w:t>IMPASSE</w:t>
      </w:r>
      <w:r w:rsidRPr="00C471AF">
        <w:rPr>
          <w:rFonts w:ascii="Times New Roman" w:eastAsia="Aptos" w:hAnsi="Times New Roman" w:cs="Times New Roman"/>
          <w:kern w:val="2"/>
          <w:sz w:val="21"/>
          <w:szCs w:val="21"/>
          <w:lang w:eastAsia="ru-RU"/>
          <w14:ligatures w14:val="standardContextual"/>
        </w:rPr>
        <w:t>?.</w:t>
      </w:r>
      <w:proofErr w:type="gramEnd"/>
      <w:r w:rsidRPr="00C471AF">
        <w:rPr>
          <w:rFonts w:ascii="Times New Roman" w:eastAsia="Aptos" w:hAnsi="Times New Roman" w:cs="Times New Roman"/>
          <w:kern w:val="2"/>
          <w:sz w:val="21"/>
          <w:szCs w:val="21"/>
          <w:lang w:eastAsia="ru-RU"/>
          <w14:ligatures w14:val="standardContextual"/>
        </w:rPr>
        <w:t xml:space="preserve"> ISAE "Consilium". 2015. С. 34-39</w:t>
      </w:r>
      <w:r w:rsidRPr="00C471AF">
        <w:rPr>
          <w:rFonts w:ascii="Aptos" w:eastAsia="Aptos" w:hAnsi="Aptos" w:cs="Aptos"/>
          <w:kern w:val="2"/>
          <w:sz w:val="21"/>
          <w:szCs w:val="21"/>
          <w:lang w:eastAsia="ru-RU"/>
          <w14:ligatures w14:val="standardContextual"/>
        </w:rPr>
        <w:t>.</w:t>
      </w:r>
    </w:p>
    <w:p w14:paraId="7849E953" w14:textId="77777777" w:rsidR="00C471AF" w:rsidRDefault="00C471AF" w:rsidP="00E34C49">
      <w:pPr>
        <w:spacing w:after="0" w:line="240" w:lineRule="auto"/>
        <w:rPr>
          <w:rFonts w:ascii="Times New Roman" w:eastAsia="Times New Roman" w:hAnsi="Times New Roman" w:cs="Times New Roman"/>
          <w:b/>
          <w:kern w:val="2"/>
          <w:sz w:val="21"/>
          <w:szCs w:val="24"/>
          <w:lang w:eastAsia="ru-RU"/>
        </w:rPr>
      </w:pPr>
    </w:p>
    <w:p w14:paraId="20D7CF99" w14:textId="351D12F0" w:rsidR="00877DE5" w:rsidRPr="00877DE5" w:rsidRDefault="00877DE5" w:rsidP="00E34C49">
      <w:pPr>
        <w:spacing w:after="0" w:line="240" w:lineRule="auto"/>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kern w:val="2"/>
          <w:sz w:val="21"/>
          <w:szCs w:val="24"/>
          <w:lang w:eastAsia="ru-RU"/>
        </w:rPr>
        <w:t>УДК</w:t>
      </w:r>
      <w:r w:rsidRPr="00877DE5">
        <w:rPr>
          <w:rFonts w:ascii="Times New Roman" w:eastAsia="Times New Roman" w:hAnsi="Times New Roman" w:cs="Times New Roman"/>
          <w:b/>
          <w:kern w:val="2"/>
          <w:szCs w:val="24"/>
          <w:lang w:eastAsia="ru-RU"/>
        </w:rPr>
        <w:t xml:space="preserve"> </w:t>
      </w:r>
      <w:r w:rsidRPr="00877DE5">
        <w:rPr>
          <w:rFonts w:ascii="Times New Roman" w:eastAsia="Times New Roman" w:hAnsi="Times New Roman" w:cs="Times New Roman"/>
          <w:b/>
          <w:kern w:val="2"/>
          <w:sz w:val="21"/>
          <w:szCs w:val="24"/>
          <w:lang w:eastAsia="ru-RU"/>
        </w:rPr>
        <w:t>004.9</w:t>
      </w:r>
    </w:p>
    <w:p w14:paraId="1243E67E"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4"/>
          <w:lang w:eastAsia="ru-RU"/>
        </w:rPr>
      </w:pPr>
      <w:r w:rsidRPr="00877DE5">
        <w:rPr>
          <w:rFonts w:ascii="Times New Roman" w:eastAsia="Times New Roman" w:hAnsi="Times New Roman" w:cs="Times New Roman"/>
          <w:b/>
          <w:i/>
          <w:kern w:val="2"/>
          <w:sz w:val="21"/>
          <w:szCs w:val="24"/>
          <w:lang w:eastAsia="ru-RU"/>
        </w:rPr>
        <w:t>Гуглий Н.В.,</w:t>
      </w:r>
    </w:p>
    <w:p w14:paraId="51EE354E"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4"/>
          <w:lang w:eastAsia="ru-RU"/>
        </w:rPr>
      </w:pPr>
      <w:r w:rsidRPr="00877DE5">
        <w:rPr>
          <w:rFonts w:ascii="Times New Roman" w:eastAsia="Times New Roman" w:hAnsi="Times New Roman" w:cs="Times New Roman"/>
          <w:b/>
          <w:i/>
          <w:kern w:val="2"/>
          <w:sz w:val="21"/>
          <w:szCs w:val="24"/>
          <w:lang w:eastAsia="ru-RU"/>
        </w:rPr>
        <w:t xml:space="preserve"> </w:t>
      </w:r>
      <w:r w:rsidRPr="00877DE5">
        <w:rPr>
          <w:rFonts w:ascii="Times New Roman" w:eastAsia="Times New Roman" w:hAnsi="Times New Roman" w:cs="Times New Roman"/>
          <w:i/>
          <w:kern w:val="2"/>
          <w:sz w:val="21"/>
          <w:szCs w:val="24"/>
          <w:lang w:eastAsia="ru-RU"/>
        </w:rPr>
        <w:t xml:space="preserve">студент 2 курса </w:t>
      </w:r>
      <w:r w:rsidRPr="00877DE5">
        <w:rPr>
          <w:rFonts w:ascii="Times New Roman" w:eastAsia="Times New Roman" w:hAnsi="Times New Roman" w:cs="Times New Roman"/>
          <w:kern w:val="2"/>
          <w:sz w:val="21"/>
          <w:szCs w:val="24"/>
          <w:lang w:eastAsia="ru-RU"/>
        </w:rPr>
        <w:t xml:space="preserve"> </w:t>
      </w:r>
    </w:p>
    <w:p w14:paraId="3A7FE0C1"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Финансовый университет при Правительстве Российской Федерации (Краснодарский филиал) г. Краснодар, Россия</w:t>
      </w:r>
      <w:r w:rsidRPr="00877DE5">
        <w:rPr>
          <w:rFonts w:ascii="Times New Roman" w:eastAsia="Times New Roman" w:hAnsi="Times New Roman" w:cs="Times New Roman"/>
          <w:kern w:val="2"/>
          <w:sz w:val="21"/>
          <w:szCs w:val="24"/>
          <w:lang w:eastAsia="ru-RU"/>
        </w:rPr>
        <w:t xml:space="preserve"> </w:t>
      </w:r>
    </w:p>
    <w:p w14:paraId="56DE29C6"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е-</w:t>
      </w:r>
      <w:r w:rsidRPr="00877DE5">
        <w:rPr>
          <w:rFonts w:ascii="Times New Roman" w:eastAsia="Times New Roman" w:hAnsi="Times New Roman" w:cs="Times New Roman"/>
          <w:i/>
          <w:kern w:val="2"/>
          <w:sz w:val="21"/>
          <w:szCs w:val="24"/>
          <w:lang w:val="en-US" w:eastAsia="ru-RU"/>
        </w:rPr>
        <w:t>mail</w:t>
      </w:r>
      <w:r w:rsidRPr="00877DE5">
        <w:rPr>
          <w:rFonts w:ascii="Times New Roman" w:eastAsia="Times New Roman" w:hAnsi="Times New Roman" w:cs="Times New Roman"/>
          <w:i/>
          <w:kern w:val="2"/>
          <w:sz w:val="21"/>
          <w:szCs w:val="24"/>
          <w:lang w:eastAsia="ru-RU"/>
        </w:rPr>
        <w:t>:</w:t>
      </w:r>
      <w:r w:rsidRPr="00877DE5">
        <w:rPr>
          <w:rFonts w:ascii="Times New Roman" w:eastAsia="Times New Roman" w:hAnsi="Times New Roman" w:cs="Times New Roman"/>
          <w:kern w:val="2"/>
          <w:sz w:val="24"/>
          <w:szCs w:val="24"/>
          <w:lang w:eastAsia="ru-RU"/>
        </w:rPr>
        <w:t xml:space="preserve"> </w:t>
      </w:r>
      <w:hyperlink r:id="rId379" w:history="1">
        <w:r w:rsidRPr="00877DE5">
          <w:rPr>
            <w:rFonts w:ascii="Times New Roman" w:eastAsia="Times New Roman" w:hAnsi="Times New Roman" w:cs="Times New Roman"/>
            <w:i/>
            <w:color w:val="000080"/>
            <w:kern w:val="2"/>
            <w:sz w:val="21"/>
            <w:szCs w:val="24"/>
            <w:u w:val="single"/>
            <w:lang w:val="en-US" w:eastAsia="ru-RU"/>
          </w:rPr>
          <w:t>apachizzz</w:t>
        </w:r>
        <w:r w:rsidRPr="00877DE5">
          <w:rPr>
            <w:rFonts w:ascii="Times New Roman" w:eastAsia="Times New Roman" w:hAnsi="Times New Roman" w:cs="Times New Roman"/>
            <w:i/>
            <w:color w:val="000080"/>
            <w:kern w:val="2"/>
            <w:sz w:val="21"/>
            <w:szCs w:val="24"/>
            <w:u w:val="single"/>
            <w:lang w:eastAsia="ru-RU"/>
          </w:rPr>
          <w:t>2004@</w:t>
        </w:r>
        <w:r w:rsidRPr="00877DE5">
          <w:rPr>
            <w:rFonts w:ascii="Times New Roman" w:eastAsia="Times New Roman" w:hAnsi="Times New Roman" w:cs="Times New Roman"/>
            <w:i/>
            <w:color w:val="000080"/>
            <w:kern w:val="2"/>
            <w:sz w:val="21"/>
            <w:szCs w:val="24"/>
            <w:u w:val="single"/>
            <w:lang w:val="en-US" w:eastAsia="ru-RU"/>
          </w:rPr>
          <w:t>mail</w:t>
        </w:r>
        <w:r w:rsidRPr="00877DE5">
          <w:rPr>
            <w:rFonts w:ascii="Times New Roman" w:eastAsia="Times New Roman" w:hAnsi="Times New Roman" w:cs="Times New Roman"/>
            <w:i/>
            <w:color w:val="000080"/>
            <w:kern w:val="2"/>
            <w:sz w:val="21"/>
            <w:szCs w:val="24"/>
            <w:u w:val="single"/>
            <w:lang w:eastAsia="ru-RU"/>
          </w:rPr>
          <w:t>.</w:t>
        </w:r>
        <w:r w:rsidRPr="00877DE5">
          <w:rPr>
            <w:rFonts w:ascii="Times New Roman" w:eastAsia="Times New Roman" w:hAnsi="Times New Roman" w:cs="Times New Roman"/>
            <w:i/>
            <w:color w:val="000080"/>
            <w:kern w:val="2"/>
            <w:sz w:val="21"/>
            <w:szCs w:val="24"/>
            <w:u w:val="single"/>
            <w:lang w:val="en-US" w:eastAsia="ru-RU"/>
          </w:rPr>
          <w:t>ru</w:t>
        </w:r>
      </w:hyperlink>
    </w:p>
    <w:p w14:paraId="23F56CB8"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 xml:space="preserve"> </w:t>
      </w:r>
      <w:r w:rsidRPr="00877DE5">
        <w:rPr>
          <w:rFonts w:ascii="Times New Roman" w:eastAsia="Times New Roman" w:hAnsi="Times New Roman" w:cs="Times New Roman"/>
          <w:kern w:val="2"/>
          <w:sz w:val="21"/>
          <w:szCs w:val="24"/>
          <w:lang w:eastAsia="ru-RU"/>
        </w:rPr>
        <w:t xml:space="preserve"> </w:t>
      </w:r>
    </w:p>
    <w:p w14:paraId="195895E1"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kern w:val="2"/>
          <w:sz w:val="21"/>
          <w:szCs w:val="24"/>
          <w:lang w:eastAsia="ru-RU"/>
        </w:rPr>
        <w:t xml:space="preserve"> </w:t>
      </w:r>
      <w:r w:rsidRPr="00877DE5">
        <w:rPr>
          <w:rFonts w:ascii="Times New Roman" w:eastAsia="Times New Roman" w:hAnsi="Times New Roman" w:cs="Times New Roman"/>
          <w:b/>
          <w:i/>
          <w:kern w:val="2"/>
          <w:sz w:val="21"/>
          <w:szCs w:val="24"/>
          <w:lang w:eastAsia="ru-RU"/>
        </w:rPr>
        <w:t xml:space="preserve">Научный руководитель: </w:t>
      </w:r>
    </w:p>
    <w:p w14:paraId="767A93B4"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i/>
          <w:kern w:val="2"/>
          <w:sz w:val="21"/>
          <w:szCs w:val="24"/>
          <w:lang w:eastAsia="ru-RU"/>
        </w:rPr>
        <w:t xml:space="preserve">Франциско О.Ю., </w:t>
      </w:r>
    </w:p>
    <w:p w14:paraId="57815EB8"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 xml:space="preserve">доцент «Математика и информатика»,  </w:t>
      </w:r>
    </w:p>
    <w:p w14:paraId="191B9C47"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 xml:space="preserve">Финансовый университет при Правительстве Российской Федерации  </w:t>
      </w:r>
    </w:p>
    <w:p w14:paraId="534704B1"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 xml:space="preserve">(Краснодарский филиал) </w:t>
      </w:r>
    </w:p>
    <w:p w14:paraId="668BDD47"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1"/>
          <w:szCs w:val="24"/>
          <w:lang w:eastAsia="ru-RU"/>
        </w:rPr>
      </w:pPr>
      <w:r w:rsidRPr="00877DE5">
        <w:rPr>
          <w:rFonts w:ascii="Times New Roman" w:eastAsia="Times New Roman" w:hAnsi="Times New Roman" w:cs="Times New Roman"/>
          <w:i/>
          <w:kern w:val="2"/>
          <w:sz w:val="21"/>
          <w:szCs w:val="24"/>
          <w:lang w:eastAsia="ru-RU"/>
        </w:rPr>
        <w:t>г. Краснодар, Россия</w:t>
      </w:r>
      <w:r w:rsidRPr="00877DE5">
        <w:rPr>
          <w:rFonts w:ascii="Times New Roman" w:eastAsia="Times New Roman" w:hAnsi="Times New Roman" w:cs="Times New Roman"/>
          <w:kern w:val="2"/>
          <w:sz w:val="21"/>
          <w:szCs w:val="24"/>
          <w:lang w:eastAsia="ru-RU"/>
        </w:rPr>
        <w:t xml:space="preserve"> </w:t>
      </w:r>
    </w:p>
    <w:p w14:paraId="1EB4EAF9" w14:textId="77777777" w:rsidR="00877DE5" w:rsidRPr="00877DE5" w:rsidRDefault="00877DE5" w:rsidP="00067100">
      <w:pPr>
        <w:spacing w:after="0" w:line="240" w:lineRule="auto"/>
        <w:ind w:firstLine="709"/>
        <w:jc w:val="center"/>
        <w:rPr>
          <w:rFonts w:ascii="Times New Roman" w:eastAsia="Times New Roman" w:hAnsi="Times New Roman" w:cs="Times New Roman"/>
          <w:i/>
          <w:kern w:val="2"/>
          <w:sz w:val="21"/>
          <w:szCs w:val="24"/>
          <w:lang w:eastAsia="ru-RU"/>
        </w:rPr>
      </w:pPr>
    </w:p>
    <w:p w14:paraId="1DA727CE"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1"/>
          <w:lang w:eastAsia="ru-RU"/>
        </w:rPr>
      </w:pPr>
      <w:r w:rsidRPr="00877DE5">
        <w:rPr>
          <w:rFonts w:ascii="Times New Roman" w:eastAsia="Times New Roman" w:hAnsi="Times New Roman" w:cs="Times New Roman"/>
          <w:b/>
          <w:bCs/>
          <w:sz w:val="21"/>
          <w:szCs w:val="21"/>
          <w:lang w:eastAsia="ru-RU"/>
        </w:rPr>
        <w:t>Актуальные проблемы обслуживания самокатов с помощью мобильного приложения</w:t>
      </w:r>
    </w:p>
    <w:p w14:paraId="30AEB90B"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1"/>
          <w:lang w:eastAsia="ru-RU"/>
        </w:rPr>
      </w:pPr>
    </w:p>
    <w:p w14:paraId="39FD9F1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kern w:val="2"/>
          <w:sz w:val="21"/>
          <w:szCs w:val="24"/>
          <w:lang w:eastAsia="ru-RU"/>
        </w:rPr>
        <w:t xml:space="preserve"> Аннотация: </w:t>
      </w:r>
      <w:r w:rsidRPr="00877DE5">
        <w:rPr>
          <w:rFonts w:ascii="Times New Roman" w:eastAsia="Times New Roman" w:hAnsi="Times New Roman" w:cs="Times New Roman"/>
          <w:kern w:val="2"/>
          <w:sz w:val="21"/>
          <w:szCs w:val="24"/>
          <w:lang w:eastAsia="ru-RU"/>
        </w:rPr>
        <w:t xml:space="preserve">Актуальные проблемы обслуживания самокатов помогут выявить множество проблем, с помощью приложения можно анализировать функции, которые могут быть внедрены в приложения для повышения удобства и безопасности </w:t>
      </w:r>
    </w:p>
    <w:p w14:paraId="51CDACE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kern w:val="2"/>
          <w:sz w:val="21"/>
          <w:szCs w:val="24"/>
          <w:lang w:eastAsia="ru-RU"/>
        </w:rPr>
        <w:t>Ключевые слова:</w:t>
      </w:r>
      <w:r w:rsidRPr="00877DE5">
        <w:rPr>
          <w:rFonts w:ascii="Times New Roman" w:eastAsia="Times New Roman" w:hAnsi="Times New Roman" w:cs="Times New Roman"/>
          <w:kern w:val="2"/>
          <w:sz w:val="21"/>
          <w:szCs w:val="24"/>
          <w:lang w:eastAsia="ru-RU"/>
        </w:rPr>
        <w:t xml:space="preserve"> </w:t>
      </w:r>
      <w:r w:rsidRPr="00877DE5">
        <w:rPr>
          <w:rFonts w:ascii="Times New Roman" w:eastAsia="Times New Roman" w:hAnsi="Times New Roman" w:cs="Times New Roman"/>
          <w:sz w:val="24"/>
          <w:szCs w:val="24"/>
          <w:lang w:eastAsia="ru-RU"/>
        </w:rPr>
        <w:t>Электросамокаты, кикшеринг, городская мобильность, совместное потребление.</w:t>
      </w:r>
    </w:p>
    <w:p w14:paraId="5A6F929B" w14:textId="77777777" w:rsidR="00877DE5" w:rsidRPr="00877DE5" w:rsidRDefault="00877DE5" w:rsidP="00CC0120">
      <w:pPr>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kern w:val="2"/>
          <w:sz w:val="21"/>
          <w:szCs w:val="24"/>
          <w:lang w:eastAsia="ru-RU"/>
        </w:rPr>
        <w:t xml:space="preserve"> </w:t>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Pr="00877DE5">
        <w:rPr>
          <w:rFonts w:ascii="Times New Roman" w:eastAsia="Times New Roman" w:hAnsi="Times New Roman" w:cs="Times New Roman"/>
          <w:kern w:val="2"/>
          <w:sz w:val="24"/>
          <w:szCs w:val="24"/>
          <w:lang w:eastAsia="ru-RU"/>
        </w:rPr>
        <w:tab/>
      </w:r>
      <w:r w:rsidR="00687CAD">
        <w:rPr>
          <w:rFonts w:ascii="Times New Roman" w:eastAsia="Times New Roman" w:hAnsi="Times New Roman" w:cs="Times New Roman"/>
          <w:kern w:val="2"/>
          <w:sz w:val="24"/>
          <w:szCs w:val="24"/>
          <w:lang w:eastAsia="ru-RU"/>
        </w:rPr>
        <w:t xml:space="preserve">             </w:t>
      </w:r>
      <w:r w:rsidRPr="00877DE5">
        <w:rPr>
          <w:rFonts w:ascii="Times New Roman" w:eastAsia="Times New Roman" w:hAnsi="Times New Roman" w:cs="Times New Roman"/>
          <w:b/>
          <w:i/>
          <w:kern w:val="2"/>
          <w:sz w:val="21"/>
          <w:szCs w:val="24"/>
          <w:lang w:val="en-US" w:eastAsia="ru-RU"/>
        </w:rPr>
        <w:t>Gugliy N.V.,</w:t>
      </w:r>
    </w:p>
    <w:p w14:paraId="055818FB"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1"/>
          <w:szCs w:val="24"/>
          <w:lang w:val="en-US" w:eastAsia="ru-RU"/>
        </w:rPr>
      </w:pPr>
      <w:r w:rsidRPr="00877DE5">
        <w:rPr>
          <w:rFonts w:ascii="Times New Roman" w:eastAsia="Times New Roman" w:hAnsi="Times New Roman" w:cs="Times New Roman"/>
          <w:i/>
          <w:kern w:val="2"/>
          <w:sz w:val="21"/>
          <w:szCs w:val="24"/>
          <w:lang w:val="en-US" w:eastAsia="ru-RU"/>
        </w:rPr>
        <w:t xml:space="preserve">student, 2 courses </w:t>
      </w:r>
      <w:r w:rsidRPr="00877DE5">
        <w:rPr>
          <w:rFonts w:ascii="Times New Roman" w:eastAsia="Times New Roman" w:hAnsi="Times New Roman" w:cs="Times New Roman"/>
          <w:kern w:val="2"/>
          <w:sz w:val="21"/>
          <w:szCs w:val="24"/>
          <w:lang w:val="en-US" w:eastAsia="ru-RU"/>
        </w:rPr>
        <w:t xml:space="preserve"> </w:t>
      </w:r>
    </w:p>
    <w:p w14:paraId="1FC31267" w14:textId="69FBA2CD"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Financial University under the Government of the Russian Federation Krasnodar, Russia </w:t>
      </w:r>
    </w:p>
    <w:p w14:paraId="19A5BC42" w14:textId="77777777" w:rsidR="00877DE5" w:rsidRDefault="00877DE5" w:rsidP="00067100">
      <w:pPr>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 xml:space="preserve">e-mail: </w:t>
      </w:r>
      <w:hyperlink r:id="rId380" w:history="1">
        <w:r w:rsidR="00CC0120" w:rsidRPr="006C1AC5">
          <w:rPr>
            <w:rStyle w:val="aa"/>
            <w:rFonts w:ascii="Times New Roman" w:eastAsia="Times New Roman" w:hAnsi="Times New Roman" w:cs="Times New Roman"/>
            <w:i/>
            <w:kern w:val="2"/>
            <w:sz w:val="21"/>
            <w:szCs w:val="24"/>
            <w:lang w:val="en-US" w:eastAsia="ru-RU"/>
          </w:rPr>
          <w:t>apachizzz2004@mail.ru</w:t>
        </w:r>
      </w:hyperlink>
    </w:p>
    <w:p w14:paraId="0633E45B" w14:textId="77777777" w:rsidR="00CC0120" w:rsidRPr="00877DE5" w:rsidRDefault="00CC0120" w:rsidP="00067100">
      <w:pPr>
        <w:spacing w:after="0" w:line="240" w:lineRule="auto"/>
        <w:ind w:firstLine="709"/>
        <w:jc w:val="right"/>
        <w:rPr>
          <w:rFonts w:ascii="Times New Roman" w:eastAsia="Times New Roman" w:hAnsi="Times New Roman" w:cs="Times New Roman"/>
          <w:kern w:val="2"/>
          <w:sz w:val="24"/>
          <w:szCs w:val="24"/>
          <w:lang w:val="en-US" w:eastAsia="ru-RU"/>
        </w:rPr>
      </w:pPr>
    </w:p>
    <w:p w14:paraId="0FCC2944"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 </w:t>
      </w:r>
      <w:r w:rsidRPr="00877DE5">
        <w:rPr>
          <w:rFonts w:ascii="Times New Roman" w:eastAsia="Times New Roman" w:hAnsi="Times New Roman" w:cs="Times New Roman"/>
          <w:b/>
          <w:i/>
          <w:kern w:val="2"/>
          <w:sz w:val="21"/>
          <w:szCs w:val="24"/>
          <w:lang w:val="en-US" w:eastAsia="ru-RU"/>
        </w:rPr>
        <w:t xml:space="preserve">Scientific adviser: </w:t>
      </w:r>
    </w:p>
    <w:p w14:paraId="2657BDA4"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4"/>
          <w:lang w:val="en-US" w:eastAsia="ru-RU"/>
        </w:rPr>
      </w:pPr>
      <w:r w:rsidRPr="00877DE5">
        <w:rPr>
          <w:rFonts w:ascii="Times New Roman" w:eastAsia="Times New Roman" w:hAnsi="Times New Roman" w:cs="Times New Roman"/>
          <w:b/>
          <w:i/>
          <w:kern w:val="2"/>
          <w:sz w:val="21"/>
          <w:szCs w:val="24"/>
          <w:lang w:val="en-US" w:eastAsia="ru-RU"/>
        </w:rPr>
        <w:t xml:space="preserve">Francisco O.U., </w:t>
      </w:r>
    </w:p>
    <w:p w14:paraId="0F130F4D"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docent of the department Mathematics and Informatics, </w:t>
      </w:r>
    </w:p>
    <w:p w14:paraId="693EC4D4" w14:textId="77777777" w:rsidR="00877DE5" w:rsidRPr="00877DE5" w:rsidRDefault="00877DE5" w:rsidP="00067100">
      <w:pPr>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Krasnodar branch of FGOBU VO "Financial University under the Government of the Russian Federation </w:t>
      </w:r>
    </w:p>
    <w:p w14:paraId="2811DA46"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 xml:space="preserve">Krasnodar, Russia </w:t>
      </w:r>
    </w:p>
    <w:p w14:paraId="4FEF806D" w14:textId="77777777" w:rsidR="00877DE5" w:rsidRPr="00877DE5" w:rsidRDefault="00877DE5" w:rsidP="00067100">
      <w:pPr>
        <w:spacing w:after="0" w:line="240" w:lineRule="auto"/>
        <w:ind w:firstLine="709"/>
        <w:rPr>
          <w:rFonts w:ascii="Times New Roman" w:eastAsia="Times New Roman" w:hAnsi="Times New Roman" w:cs="Times New Roman"/>
          <w:kern w:val="2"/>
          <w:sz w:val="24"/>
          <w:szCs w:val="24"/>
          <w:lang w:val="en-US" w:eastAsia="ru-RU"/>
        </w:rPr>
      </w:pPr>
    </w:p>
    <w:p w14:paraId="321EBD00" w14:textId="77777777" w:rsidR="00877DE5" w:rsidRPr="00877DE5" w:rsidRDefault="00877DE5" w:rsidP="00067100">
      <w:pPr>
        <w:spacing w:after="0" w:line="240" w:lineRule="auto"/>
        <w:ind w:firstLine="709"/>
        <w:jc w:val="center"/>
        <w:rPr>
          <w:rFonts w:ascii="Times New Roman" w:eastAsia="Times New Roman" w:hAnsi="Times New Roman" w:cs="Times New Roman"/>
          <w:b/>
          <w:kern w:val="2"/>
          <w:sz w:val="21"/>
          <w:szCs w:val="24"/>
          <w:lang w:val="en-US" w:eastAsia="ru-RU"/>
        </w:rPr>
      </w:pPr>
      <w:r w:rsidRPr="00877DE5">
        <w:rPr>
          <w:rFonts w:ascii="Times New Roman" w:eastAsia="Times New Roman" w:hAnsi="Times New Roman" w:cs="Times New Roman"/>
          <w:b/>
          <w:kern w:val="2"/>
          <w:sz w:val="21"/>
          <w:szCs w:val="24"/>
          <w:lang w:val="en-US" w:eastAsia="ru-RU"/>
        </w:rPr>
        <w:t>Actual problems of scooter maintenance using a mobile application</w:t>
      </w:r>
    </w:p>
    <w:p w14:paraId="604575F3" w14:textId="77777777" w:rsidR="00877DE5" w:rsidRPr="00877DE5" w:rsidRDefault="00877DE5" w:rsidP="00067100">
      <w:pPr>
        <w:spacing w:after="0" w:line="240" w:lineRule="auto"/>
        <w:ind w:firstLine="709"/>
        <w:rPr>
          <w:rFonts w:ascii="Times New Roman" w:eastAsia="Times New Roman" w:hAnsi="Times New Roman" w:cs="Times New Roman"/>
          <w:b/>
          <w:kern w:val="2"/>
          <w:sz w:val="21"/>
          <w:szCs w:val="24"/>
          <w:lang w:val="en-US" w:eastAsia="ru-RU"/>
        </w:rPr>
      </w:pPr>
    </w:p>
    <w:p w14:paraId="63CADA05" w14:textId="77777777" w:rsidR="00877DE5" w:rsidRPr="00877DE5" w:rsidRDefault="00877DE5" w:rsidP="00067100">
      <w:pPr>
        <w:spacing w:after="0" w:line="240" w:lineRule="auto"/>
        <w:ind w:firstLine="709"/>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b/>
          <w:kern w:val="2"/>
          <w:sz w:val="21"/>
          <w:szCs w:val="24"/>
          <w:lang w:val="en-US" w:eastAsia="ru-RU"/>
        </w:rPr>
        <w:t xml:space="preserve">Abstract: </w:t>
      </w:r>
      <w:r w:rsidRPr="00877DE5">
        <w:rPr>
          <w:rFonts w:ascii="Times New Roman" w:eastAsia="Times New Roman" w:hAnsi="Times New Roman" w:cs="Times New Roman"/>
          <w:bCs/>
          <w:kern w:val="2"/>
          <w:sz w:val="21"/>
          <w:szCs w:val="24"/>
          <w:lang w:val="en-US" w:eastAsia="ru-RU"/>
        </w:rPr>
        <w:t>Current scooter maintenance issues will help identify many problems. Using the application, you can analyze functions that can be implemented in applications to improve convenience and safety.</w:t>
      </w:r>
    </w:p>
    <w:p w14:paraId="781ADD7C" w14:textId="77777777" w:rsidR="00877DE5" w:rsidRPr="00877DE5" w:rsidRDefault="00877DE5" w:rsidP="00067100">
      <w:pPr>
        <w:spacing w:after="0" w:line="240" w:lineRule="auto"/>
        <w:ind w:firstLine="709"/>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b/>
          <w:kern w:val="2"/>
          <w:sz w:val="21"/>
          <w:szCs w:val="24"/>
          <w:lang w:val="en-US" w:eastAsia="ru-RU"/>
        </w:rPr>
        <w:t>Keywords:</w:t>
      </w:r>
      <w:r w:rsidRPr="00877DE5">
        <w:rPr>
          <w:rFonts w:ascii="Times New Roman" w:eastAsia="Times New Roman" w:hAnsi="Times New Roman" w:cs="Times New Roman"/>
          <w:kern w:val="2"/>
          <w:sz w:val="21"/>
          <w:szCs w:val="24"/>
          <w:lang w:val="en-US" w:eastAsia="ru-RU"/>
        </w:rPr>
        <w:t xml:space="preserve"> Electric scooters, kicksharing, urban mobility, shared consumption.</w:t>
      </w:r>
    </w:p>
    <w:p w14:paraId="39AFDEED" w14:textId="77777777" w:rsidR="00877DE5" w:rsidRP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en-US" w:eastAsia="ru-RU"/>
        </w:rPr>
      </w:pPr>
    </w:p>
    <w:p w14:paraId="2B07EDC2" w14:textId="41BE4E04"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Бурный рост мегаполисов предъявляет более строгое требование к городской мобильности. Сервисы проката электросамокатов стали ответом на современные вызовы. В настоящее время наблюдается большой спрос на электрорсамокаты, как на средство досуга</w:t>
      </w:r>
      <w:r w:rsidR="00306FD3">
        <w:rPr>
          <w:rFonts w:ascii="Times New Roman" w:eastAsia="Times New Roman" w:hAnsi="Times New Roman" w:cs="Times New Roman"/>
          <w:sz w:val="32"/>
          <w:szCs w:val="32"/>
          <w:lang w:eastAsia="ru-RU"/>
        </w:rPr>
        <w:t>,</w:t>
      </w:r>
      <w:r w:rsidRPr="00877DE5">
        <w:rPr>
          <w:rFonts w:ascii="Times New Roman" w:eastAsia="Times New Roman" w:hAnsi="Times New Roman" w:cs="Times New Roman"/>
          <w:sz w:val="32"/>
          <w:szCs w:val="32"/>
          <w:lang w:eastAsia="ru-RU"/>
        </w:rPr>
        <w:t xml:space="preserve"> так и на не полноценный вид городского транспорта. В статье показаны основные трудности при использовании сервисов мобильного приложения</w:t>
      </w:r>
    </w:p>
    <w:p w14:paraId="6A390623"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Какие возможности даёт мобильное приложение для </w:t>
      </w:r>
      <w:r w:rsidRPr="00877DE5">
        <w:rPr>
          <w:rFonts w:ascii="Times New Roman" w:eastAsia="Times New Roman" w:hAnsi="Times New Roman" w:cs="Times New Roman"/>
          <w:sz w:val="32"/>
          <w:szCs w:val="32"/>
          <w:lang w:eastAsia="ru-RU"/>
        </w:rPr>
        <w:lastRenderedPageBreak/>
        <w:t>электросамоката:</w:t>
      </w:r>
    </w:p>
    <w:p w14:paraId="28AD64AD"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Смотреть статистику и получать её обновление в реальном времени.</w:t>
      </w:r>
    </w:p>
    <w:p w14:paraId="1EFC1345"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Например: можно видеть текущую скорость и суточный пробег, контролировать уровень заряда аккумулятора и состояние ячеек батареи. В некоторых программках бывает компас, который показывает направление движения. Есть приложения для контроля нескольких устройств. При помощи приложения можно управлять несколькими устройствами сразу.  Можно управлять скоростью движения, светом, мягкостью подвески, тормозами и т.д. В программе можно производить фиксацию устройства на время парковки устройства и настройку возможности пользования самокатом друзьями или близкими. Мобильное ПО даёт возможность активно общаться с другими владельцами электросамокатов. Это позволяет получать актуальную информацию о самокатах. Также можно видеть рейтинг, который оставляют и поднимают вам пользователи.</w:t>
      </w:r>
    </w:p>
    <w:p w14:paraId="477C106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Плюсы самокат приложений:</w:t>
      </w:r>
      <w:r w:rsidRPr="00877DE5">
        <w:rPr>
          <w:rFonts w:ascii="Times New Roman" w:eastAsia="Times New Roman" w:hAnsi="Times New Roman" w:cs="Times New Roman"/>
          <w:sz w:val="32"/>
          <w:szCs w:val="32"/>
          <w:lang w:eastAsia="ru-RU"/>
        </w:rPr>
        <w:tab/>
      </w:r>
    </w:p>
    <w:p w14:paraId="7D8E7DE2"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Удобство</w:t>
      </w:r>
      <w:r w:rsidRPr="00877DE5">
        <w:rPr>
          <w:rFonts w:ascii="Times New Roman" w:eastAsia="Times New Roman" w:hAnsi="Times New Roman" w:cs="Times New Roman"/>
          <w:sz w:val="32"/>
          <w:szCs w:val="32"/>
          <w:lang w:eastAsia="ru-RU"/>
        </w:rPr>
        <w:tab/>
        <w:t xml:space="preserve">Самокат приложения позволяют легко и быстро арендовать самокат и начать свое путешествие. </w:t>
      </w:r>
    </w:p>
    <w:p w14:paraId="5E803CF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Экологичность</w:t>
      </w:r>
      <w:r w:rsidRPr="00877DE5">
        <w:rPr>
          <w:rFonts w:ascii="Times New Roman" w:eastAsia="Times New Roman" w:hAnsi="Times New Roman" w:cs="Times New Roman"/>
          <w:sz w:val="32"/>
          <w:szCs w:val="32"/>
          <w:lang w:eastAsia="ru-RU"/>
        </w:rPr>
        <w:tab/>
        <w:t>Использование самокат приложений способствует снижению загрязнения воздуха и сокращению выбросов углекислого газа, поскольку самокаты работают на электроэнергии.</w:t>
      </w:r>
    </w:p>
    <w:p w14:paraId="78AF9EED"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Экономичность времени и денег. Сaмокaты дaют возможность избегaть зaторов в дороге и сберегaть средствa.</w:t>
      </w:r>
    </w:p>
    <w:p w14:paraId="0470EA14"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Удовольствие.</w:t>
      </w:r>
      <w:r w:rsidRPr="00877DE5">
        <w:rPr>
          <w:rFonts w:ascii="Times New Roman" w:eastAsia="Times New Roman" w:hAnsi="Times New Roman" w:cs="Times New Roman"/>
          <w:sz w:val="32"/>
          <w:szCs w:val="32"/>
          <w:lang w:eastAsia="ru-RU"/>
        </w:rPr>
        <w:tab/>
        <w:t>Поездкa на самокaте приложении может принести удовольствие и веселье, особенно если вы путешествуете с друзьями или ищете новые местa в городе.</w:t>
      </w:r>
    </w:p>
    <w:p w14:paraId="7AD0BE07"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Минусы самокат приложений</w:t>
      </w:r>
    </w:p>
    <w:p w14:paraId="35171EA9"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Вместе с преимуществaми самокaт приложений есть и некоторые недостатки, которые следует учитывaть:</w:t>
      </w:r>
    </w:p>
    <w:p w14:paraId="530006A5"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Ограниченный доступность. В некоторых городaх самокaт приложения могут быть недоступны или иметь ограниченное количество самокaтов, что может создaть трудности в их использовaнии.</w:t>
      </w:r>
    </w:p>
    <w:p w14:paraId="430BCC32"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Огрaниченное расстояние. Возможности путешествия на самокaт приложении могут быть ограничены дaльностью и временем езды, что может затруднить передвижение нa большие расстояния.</w:t>
      </w:r>
    </w:p>
    <w:p w14:paraId="36A5755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Неудобное хранение. После поездки самокат приложение необходимо оставить в специальных местах для парковки, что может </w:t>
      </w:r>
      <w:r w:rsidRPr="00877DE5">
        <w:rPr>
          <w:rFonts w:ascii="Times New Roman" w:eastAsia="Times New Roman" w:hAnsi="Times New Roman" w:cs="Times New Roman"/>
          <w:sz w:val="32"/>
          <w:szCs w:val="32"/>
          <w:lang w:eastAsia="ru-RU"/>
        </w:rPr>
        <w:lastRenderedPageBreak/>
        <w:t>быть неудобно, если нет доступного места для этого.</w:t>
      </w:r>
    </w:p>
    <w:p w14:paraId="0493D9B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Потенциaльные проблемы безопaсности. Кaк и при любом устройстве передвижения, есть риски связaнные с использованием самокат приложений, такие кaк возможность аварий или падений, особенно в случае неправильного использовaния.</w:t>
      </w:r>
    </w:p>
    <w:p w14:paraId="3713D0B1"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целом, сaмокат приложения предлагают удобный и экологичный способ передвижения, но они также имеют свои огрaничения и потенциальные недостатки, которые следует учитывать перед их использовaнием.</w:t>
      </w:r>
    </w:p>
    <w:p w14:paraId="0E39EB4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Стандарты безопасности</w:t>
      </w:r>
      <w:proofErr w:type="gramStart"/>
      <w:r w:rsidRPr="00877DE5">
        <w:rPr>
          <w:rFonts w:ascii="Times New Roman" w:eastAsia="Times New Roman" w:hAnsi="Times New Roman" w:cs="Times New Roman"/>
          <w:sz w:val="32"/>
          <w:szCs w:val="32"/>
          <w:lang w:eastAsia="ru-RU"/>
        </w:rPr>
        <w:t>: Для</w:t>
      </w:r>
      <w:proofErr w:type="gramEnd"/>
      <w:r w:rsidRPr="00877DE5">
        <w:rPr>
          <w:rFonts w:ascii="Times New Roman" w:eastAsia="Times New Roman" w:hAnsi="Times New Roman" w:cs="Times New Roman"/>
          <w:sz w:val="32"/>
          <w:szCs w:val="32"/>
          <w:lang w:eastAsia="ru-RU"/>
        </w:rPr>
        <w:t xml:space="preserve"> обеспечения безопaсности пользователей при использовaнии самокат приложений, разрaботчики соблюдают ряд стандартов и регламентов.</w:t>
      </w:r>
    </w:p>
    <w:p w14:paraId="5F038F28"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Авторизaция</w:t>
      </w:r>
      <w:proofErr w:type="gramStart"/>
      <w:r w:rsidRPr="00877DE5">
        <w:rPr>
          <w:rFonts w:ascii="Times New Roman" w:eastAsia="Times New Roman" w:hAnsi="Times New Roman" w:cs="Times New Roman"/>
          <w:sz w:val="32"/>
          <w:szCs w:val="32"/>
          <w:lang w:eastAsia="ru-RU"/>
        </w:rPr>
        <w:t>: При</w:t>
      </w:r>
      <w:proofErr w:type="gramEnd"/>
      <w:r w:rsidRPr="00877DE5">
        <w:rPr>
          <w:rFonts w:ascii="Times New Roman" w:eastAsia="Times New Roman" w:hAnsi="Times New Roman" w:cs="Times New Roman"/>
          <w:sz w:val="32"/>
          <w:szCs w:val="32"/>
          <w:lang w:eastAsia="ru-RU"/>
        </w:rPr>
        <w:t xml:space="preserve"> регистрaции в приложении требуется предостaвление личных дaнных, тaких кaк номер телефонa и электронная почта. Пользовaтели должны зaгрузить селфи для проверки личности. Тaкая процедура позволяет гарaнтировать, что каждый aккaунт идентифицировaн и связaн с конкретным пользовaтелем.</w:t>
      </w:r>
    </w:p>
    <w:p w14:paraId="2697CA40"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Проверкa состояния самокатa</w:t>
      </w:r>
      <w:proofErr w:type="gramStart"/>
      <w:r w:rsidRPr="00877DE5">
        <w:rPr>
          <w:rFonts w:ascii="Times New Roman" w:eastAsia="Times New Roman" w:hAnsi="Times New Roman" w:cs="Times New Roman"/>
          <w:sz w:val="32"/>
          <w:szCs w:val="32"/>
          <w:lang w:eastAsia="ru-RU"/>
        </w:rPr>
        <w:t>: Перед</w:t>
      </w:r>
      <w:proofErr w:type="gramEnd"/>
      <w:r w:rsidRPr="00877DE5">
        <w:rPr>
          <w:rFonts w:ascii="Times New Roman" w:eastAsia="Times New Roman" w:hAnsi="Times New Roman" w:cs="Times New Roman"/>
          <w:sz w:val="32"/>
          <w:szCs w:val="32"/>
          <w:lang w:eastAsia="ru-RU"/>
        </w:rPr>
        <w:t xml:space="preserve"> каждой поездкой пользовaтели должны проверить техническое состояние самокaта, такое как состояние тормозов, колес, руля и aккумуляторa. Приложение тaкже предостaвляет возможность сообщить о неиспрaвностях или повреждениях самокaтa.</w:t>
      </w:r>
    </w:p>
    <w:p w14:paraId="2836AF20"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Соблюдение прaвил движения: В приложении приведены правила и рекомендации относительно безопасного использования самокaтов. Пользовaтели обязaны соблюдaть прaвилa дорожного движения, не перевозить пассaжиров, a тaкже не использовaть самокaты в зонaх с огрaничениями.</w:t>
      </w:r>
    </w:p>
    <w:p w14:paraId="54E9291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Отслеживaние местоположения и нaвигация: Приложение имеет доступ к местоположению пользовaтеля для определения его текущего положения и отобрaжения ближайших доступных самокaтов. Тaкже в приложении предусмотренa функция нaвигации, которaя помогaет пользовaтелям выбрaть оптимaльный мaршрут.</w:t>
      </w:r>
    </w:p>
    <w:p w14:paraId="0FDAB96B"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Защитa персональных дaнных: Разработчики самокaт приложений обязаны обеспечивaть конфиденциальность персонaльных дaнных пользователей. Вся информaция о пользователях должнa хрaниться в зашифровaнном виде и не передaваться третьим сторонам без соглaсия пользователя.</w:t>
      </w:r>
    </w:p>
    <w:p w14:paraId="5507F1B8"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Экстренные ситуaции. В случае возникновения экстренной </w:t>
      </w:r>
      <w:r w:rsidRPr="00877DE5">
        <w:rPr>
          <w:rFonts w:ascii="Times New Roman" w:eastAsia="Times New Roman" w:hAnsi="Times New Roman" w:cs="Times New Roman"/>
          <w:sz w:val="32"/>
          <w:szCs w:val="32"/>
          <w:lang w:eastAsia="ru-RU"/>
        </w:rPr>
        <w:lastRenderedPageBreak/>
        <w:t>ситуaции во время поездки на самокaте, пользователи могут воспользоваться функцией быстрого вызова службы поддержки, которaя поможет им получить необходимую помощь и поддержку.</w:t>
      </w:r>
    </w:p>
    <w:p w14:paraId="2CD1145C"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Самокaт приложения предостaвляют много преимуществ, которые делают их популярными среди пользовaтелей. Удобство использовaния, универсальность, экологичность, экономичность, скорость и гибкость, веселье и удовольствие – все это делает самокaт приложения привлекaтельным выбором для передвижения в городе.</w:t>
      </w:r>
    </w:p>
    <w:p w14:paraId="6C06D234"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Деловая и экономическая aктивность в городах растёт с каждым годом, что служит мощным толчком для повышения уровня жизни горожан, и всего населения Земли в целом. В городах, в которых работает большое количество инновационных компаний, транспортная система игрaет самую важную роль. С каждым годом меняются подходы к городской мобильности, ведь горожане нуждaются в более качественном трaнспортном сервисе. Зa последние несколько лет в наиболее развитых городaх стали появляться сервисы облачного прокaта электросамокaтов. Однако сегодня в Краснодaре и других регионах России нaблюдается спрос на дaнный сервис в рекреационных целях, но не для повседневных поездок. Многие пользовaтели сервисов кикшеринга считaют, что повседневные поездки на электросамокaтах невозможны. Именно поэтому рассмaтриваемую проблему можно считать актуальной.</w:t>
      </w:r>
    </w:p>
    <w:p w14:paraId="5CBB0B5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 все же основнaя цель данной стaтьи заключaется в выявлении перспектив использовaния и недорaботок приложений сервисов кикшеринга для повседневных поездок, т.е. поездок на рaботу, учёбу или иных целенaправленных перемещений по городу. В рамках стaтьи объектом исследования являются сервисы проката электросамокатов (кикшеринга), а предметом - их использование для повседневных перемещений.</w:t>
      </w:r>
    </w:p>
    <w:p w14:paraId="0EAF5C48"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Зоны покрытия сервисов отличaются в зaвисимости от оператора, однако практически все компaнии предоставляют возможность арендовать электросамокaты. Скорость электросамокaтов не превышает 25 километров в час. Для того, чтобы воспользоваться сервисом, необходимо скачать мобильное приложение какого-либо операторa и пройти регистрaцию с привязкой бaнковской карты. Непосредственное начало аренды возможно после сканирования QR-кода на руле и отстегивaния зaмка.</w:t>
      </w:r>
    </w:p>
    <w:p w14:paraId="7873EECD"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Рассмотрим проблему некачественной велоинфрaструктуры, как фактор, влияющий на рaзвитие сервисов кикшеринга. Ведутся </w:t>
      </w:r>
      <w:r w:rsidRPr="00877DE5">
        <w:rPr>
          <w:rFonts w:ascii="Times New Roman" w:eastAsia="Times New Roman" w:hAnsi="Times New Roman" w:cs="Times New Roman"/>
          <w:sz w:val="32"/>
          <w:szCs w:val="32"/>
          <w:lang w:eastAsia="ru-RU"/>
        </w:rPr>
        <w:lastRenderedPageBreak/>
        <w:t xml:space="preserve">дискуссии по поводу статуса средств индивидуальной мобильности, и </w:t>
      </w:r>
      <w:proofErr w:type="gramStart"/>
      <w:r w:rsidRPr="00877DE5">
        <w:rPr>
          <w:rFonts w:ascii="Times New Roman" w:eastAsia="Times New Roman" w:hAnsi="Times New Roman" w:cs="Times New Roman"/>
          <w:sz w:val="32"/>
          <w:szCs w:val="32"/>
          <w:lang w:eastAsia="ru-RU"/>
        </w:rPr>
        <w:t>электросамокaтов</w:t>
      </w:r>
      <w:proofErr w:type="gramEnd"/>
      <w:r w:rsidRPr="00877DE5">
        <w:rPr>
          <w:rFonts w:ascii="Times New Roman" w:eastAsia="Times New Roman" w:hAnsi="Times New Roman" w:cs="Times New Roman"/>
          <w:sz w:val="32"/>
          <w:szCs w:val="32"/>
          <w:lang w:eastAsia="ru-RU"/>
        </w:rPr>
        <w:t xml:space="preserve"> в частности. Пока что статус остаётся неопределённым, следовательно, пользователи электросамокатов не могут уверенно перемещаться ни по тротуарам, ни по проезжей части. Пользователям сервисов кикшерингa приходится на свой страх и риск перемещаться по проезжей части, или выезжать на тротуар, создавая помехи пешеходам. Оба сценария приводят к конфликтным ситуациям на городских улицах, а иногда и к травматизму.</w:t>
      </w:r>
    </w:p>
    <w:p w14:paraId="129D149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Также желающих пользоваться подобными сервисами отпугивает высокая стоимости проката электросамокатов. Как было написано выше, для старта аренды необходимо заплатить сумму, соразмерную со стоимостью одной поездки на наземном транспорте. Стоимость одной минуты аренды не позволяет использовать кикшеринг ежедневно. Дaнную проблему можно решить только при финансовом плaнировании самих компаний. Возможно, aбонементы для постоянных пользовaтелей, подразумевающие скидки, а также отмена залогa и стартового плaтежа, позволят привлечь новых клиентов.</w:t>
      </w:r>
    </w:p>
    <w:p w14:paraId="2F2C219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Таким образом, электросaмокаты имеют неплохие перспективы стать одним из самых популярных видов городского трaнспорта при перемещении на небольшие расстояния. Кaчественная велоинфраструктура и более гибкие тарифы могут открыть новые возможности для повышения городской мобильноcти.</w:t>
      </w:r>
    </w:p>
    <w:p w14:paraId="4B11D9A0"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Разберем самые очевидные ошибки и недоработки сaйта при использовaнии мобильного приложения.</w:t>
      </w:r>
    </w:p>
    <w:p w14:paraId="06D6B050"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первую очередь стоит изучить пользовательское соглашение, так все весьма стандартно, но мой глаз больше всего зацепился за пункты, которые связаны с технической поддержкой сервиса. У многих компаний условия использования составлены примерно аналогично, но я заметил явное несоответствие написанного с реальностью.</w:t>
      </w:r>
    </w:p>
    <w:p w14:paraId="753690BA"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Во-первых, меня очень смутила фраза о том, что служба поддержки принимает обращения пользователей по телефону, указанному в приложении и на официальном сайте, да еще и прям в режиме 24 часа 7 дней в неделю. А что фактически? Поддержка работает, скорее всего, не 24/7 и позвонить им невозможно, т.к. у них нет контактных телефонов. Кстати, я это не придумал, т.к. они сами про это говорят на странице поддержки и в мобильном приложении. В целом, на всех видных местах у них тоже явно указано то, что им можно писать в любое время, но какой в этом смысл? Если говорить </w:t>
      </w:r>
      <w:r w:rsidRPr="00877DE5">
        <w:rPr>
          <w:rFonts w:ascii="Times New Roman" w:eastAsia="Times New Roman" w:hAnsi="Times New Roman" w:cs="Times New Roman"/>
          <w:sz w:val="32"/>
          <w:szCs w:val="32"/>
          <w:lang w:eastAsia="ru-RU"/>
        </w:rPr>
        <w:lastRenderedPageBreak/>
        <w:t>про суровую реальность, то поддержка "отвечает" в Телеграм. В целом, других вариантов там и нет, т.к. я очень слабо представляю себе переписку по почте, если у вас случились проблемы с самокатом. В почта сама по себе предполагает несрочный ответ.</w:t>
      </w:r>
    </w:p>
    <w:p w14:paraId="495B1B18" w14:textId="3CC3C5D9"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Кстати, самое забавное еще в том, что их бот сразу тоже сообщает о том, что поддержка работает 24/7. Хотя, я прям очень сильно в этом сомневаюсь и более достоверной информацией мне кажется та, которая указана в справке на странице сайта, где открыто указано то, что оператор может ответить с 8 до 20 00. Очень интереcно то, чем занимаются оперaторы поддержки в другое время, если не могут отвечaть на зaявки пользовaтелей. В целом, если поcмотреть отзывы, то в большинстве негaтивных отзывов пишут про проблемы с завершением aренды и про то, что фaктически поддержкa не отвечает или отвечaет очень медленно.  Негaтивно отношусь к сервисaм, которые в какой-то момент просто начинают довольствоваться прибылью и забывают о том, что прибыль им приносят довольные клиенты. Есть отзывы</w:t>
      </w:r>
      <w:r w:rsidR="00306FD3">
        <w:rPr>
          <w:rFonts w:ascii="Times New Roman" w:eastAsia="Times New Roman" w:hAnsi="Times New Roman" w:cs="Times New Roman"/>
          <w:sz w:val="32"/>
          <w:szCs w:val="32"/>
          <w:lang w:eastAsia="ru-RU"/>
        </w:rPr>
        <w:t>,</w:t>
      </w:r>
      <w:r w:rsidRPr="00877DE5">
        <w:rPr>
          <w:rFonts w:ascii="Times New Roman" w:eastAsia="Times New Roman" w:hAnsi="Times New Roman" w:cs="Times New Roman"/>
          <w:sz w:val="32"/>
          <w:szCs w:val="32"/>
          <w:lang w:eastAsia="ru-RU"/>
        </w:rPr>
        <w:t xml:space="preserve"> где рассказывaют о том, что поддержкa отвечала 17 дней, но cамое ужaсное в том, что отзывы c одинaковыми проблемами и похожим негaтивом тянутся с 2020 года.</w:t>
      </w:r>
    </w:p>
    <w:p w14:paraId="472B345F" w14:textId="3D89D9DE"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Изучив дaнную проблему сервисa</w:t>
      </w:r>
      <w:r w:rsidR="00306FD3">
        <w:rPr>
          <w:rFonts w:ascii="Times New Roman" w:eastAsia="Times New Roman" w:hAnsi="Times New Roman" w:cs="Times New Roman"/>
          <w:sz w:val="32"/>
          <w:szCs w:val="32"/>
          <w:lang w:eastAsia="ru-RU"/>
        </w:rPr>
        <w:t>,</w:t>
      </w:r>
      <w:r w:rsidRPr="00877DE5">
        <w:rPr>
          <w:rFonts w:ascii="Times New Roman" w:eastAsia="Times New Roman" w:hAnsi="Times New Roman" w:cs="Times New Roman"/>
          <w:sz w:val="32"/>
          <w:szCs w:val="32"/>
          <w:lang w:eastAsia="ru-RU"/>
        </w:rPr>
        <w:t xml:space="preserve"> пришли к следующим выводам:</w:t>
      </w:r>
    </w:p>
    <w:p w14:paraId="5F84F361"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1. В первую очередь нужно попрaвить технические ошибки на официaльном сайте. Убедиться в том, что на стрaницах нет ссылок на несуществующие стрaницы, проверить актуальность информации на страницах сaйтах.</w:t>
      </w:r>
    </w:p>
    <w:p w14:paraId="0A79CC6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2. Далее нужно определиться с тем, можно ли связаться с службой поддержки по телефону или нельзя.</w:t>
      </w:r>
    </w:p>
    <w:p w14:paraId="7DA317B4"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3. Срочно нужно что-то сделать со скоростью ответов технической поддержки в чате. Ждать ответ по 5 дней сегодня непозволительно, т.к. конкуренты отвечают намного быстрее.</w:t>
      </w:r>
    </w:p>
    <w:p w14:paraId="74D14C7F"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4. Если клиент остался недовольным из-за ошибки и не планирует больше использовать сервис, то делать ему возврат ошибочно списанных средств баллами.</w:t>
      </w:r>
    </w:p>
    <w:p w14:paraId="1C70AAEF"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5. Возможно, стоит как-то активнее работать с негативными отзывами. Яндекс засыпан негативном. Все негативные отзывы прямо или косвенно указывают на то, что есть проблемы с системой.</w:t>
      </w:r>
    </w:p>
    <w:p w14:paraId="295A63F9" w14:textId="505D58BD"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6. Так же в ходе эксплуатации Сломанные самокаты затрудняют работу сотрудников обслуживающей организации, что ведет к снижению плановых показателей и эффиктивности использования </w:t>
      </w:r>
      <w:r w:rsidRPr="00877DE5">
        <w:rPr>
          <w:rFonts w:ascii="Times New Roman" w:eastAsia="Times New Roman" w:hAnsi="Times New Roman" w:cs="Times New Roman"/>
          <w:sz w:val="32"/>
          <w:szCs w:val="32"/>
          <w:lang w:eastAsia="ru-RU"/>
        </w:rPr>
        <w:lastRenderedPageBreak/>
        <w:t>приложения. Малый обьем емкости аккумулятора так же сказывается на продолжытельности использования и сервисе</w:t>
      </w:r>
      <w:r w:rsidR="00306FD3">
        <w:rPr>
          <w:rFonts w:ascii="Times New Roman" w:eastAsia="Times New Roman" w:hAnsi="Times New Roman" w:cs="Times New Roman"/>
          <w:sz w:val="32"/>
          <w:szCs w:val="32"/>
          <w:lang w:eastAsia="ru-RU"/>
        </w:rPr>
        <w:t>,</w:t>
      </w:r>
      <w:r w:rsidRPr="00877DE5">
        <w:rPr>
          <w:rFonts w:ascii="Times New Roman" w:eastAsia="Times New Roman" w:hAnsi="Times New Roman" w:cs="Times New Roman"/>
          <w:sz w:val="32"/>
          <w:szCs w:val="32"/>
          <w:lang w:eastAsia="ru-RU"/>
        </w:rPr>
        <w:t xml:space="preserve"> предоставляемом клиенту. Так же в приложение советую добавить функцию удаленного выявления поломок самоката при его использовании клиентом. Привязать базу данных о всех самокатах к специальному приложению, чтобы обслуживающий персонал имел возможность удаленного доступа к данным, тем самым повышая эффиктивность и мобильность приложения для быстрого и более качественного обслуживания клиентов. Ввести систему рангов и систему доступов к информации и </w:t>
      </w:r>
      <w:r w:rsidR="001C2B21" w:rsidRPr="00877DE5">
        <w:rPr>
          <w:rFonts w:ascii="Times New Roman" w:eastAsia="Times New Roman" w:hAnsi="Times New Roman" w:cs="Times New Roman"/>
          <w:sz w:val="32"/>
          <w:szCs w:val="32"/>
          <w:lang w:eastAsia="ru-RU"/>
        </w:rPr>
        <w:t>командам самоката</w:t>
      </w:r>
      <w:r w:rsidRPr="00877DE5">
        <w:rPr>
          <w:rFonts w:ascii="Times New Roman" w:eastAsia="Times New Roman" w:hAnsi="Times New Roman" w:cs="Times New Roman"/>
          <w:sz w:val="32"/>
          <w:szCs w:val="32"/>
          <w:lang w:eastAsia="ru-RU"/>
        </w:rPr>
        <w:t xml:space="preserve"> в самом приложении, что многократно уменшит обьем времени</w:t>
      </w:r>
      <w:r w:rsidR="00306FD3">
        <w:rPr>
          <w:rFonts w:ascii="Times New Roman" w:eastAsia="Times New Roman" w:hAnsi="Times New Roman" w:cs="Times New Roman"/>
          <w:sz w:val="32"/>
          <w:szCs w:val="32"/>
          <w:lang w:eastAsia="ru-RU"/>
        </w:rPr>
        <w:t>,</w:t>
      </w:r>
      <w:r w:rsidRPr="00877DE5">
        <w:rPr>
          <w:rFonts w:ascii="Times New Roman" w:eastAsia="Times New Roman" w:hAnsi="Times New Roman" w:cs="Times New Roman"/>
          <w:sz w:val="32"/>
          <w:szCs w:val="32"/>
          <w:lang w:eastAsia="ru-RU"/>
        </w:rPr>
        <w:t xml:space="preserve"> выделенного на обслуживание и приведение в рабочее состояния самокатов при их поломке.</w:t>
      </w:r>
    </w:p>
    <w:p w14:paraId="0BBA166F"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Недостаток заряда емкости аккумулятора на самокатах может проявляться в следующих аспекта:</w:t>
      </w:r>
    </w:p>
    <w:p w14:paraId="7CFB6508"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 Сокращение пробега. Самокат может проехать меньшее расстояние на одной зарядке. Снижение мощности. Уменьшается максимальная скорость и ускорение. Увеличение времени зарядки. Аккумулятор может требовaть больше времени для полной зарядки. Снижение cрока службы. Частые разряды до низкого уровня могут сократить общий срок службы аккумулятора. Необходимость частой подзарядки. Пользователю может потребоваться чaще заряжать самокат. Для решения этих проблем рекомендуется следить за состоянием аккумулятора, избегать его полного разрядa и использовaть кaчественные зaрядные устройствa. </w:t>
      </w:r>
    </w:p>
    <w:p w14:paraId="535FD36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Мониторить состояние самокатов. Иcпользовать датчики для отслеживания технического состояния. Интеграция с приложением. Создать приложение для обслуживания, где можно будет видеть информацию о каждом cамокате. Уведомления о поломках. Настроить систему уведомлений для обслуживающего персонала о необходимости проверки или ремонта. Отсутствие системы доступа к программному обеспечению самокатов для удаленного исправления ошибок действительно может быть проблемой. Способы улучшения:</w:t>
      </w:r>
    </w:p>
    <w:p w14:paraId="1E3DD4B0"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Мониторинг: Использовaть системы мониторинга, которые будут отслеживать состояние самокатов и сообщать о возникших ошибках.</w:t>
      </w:r>
    </w:p>
    <w:p w14:paraId="4515153E"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Обратная связь</w:t>
      </w:r>
      <w:proofErr w:type="gramStart"/>
      <w:r w:rsidRPr="00877DE5">
        <w:rPr>
          <w:rFonts w:ascii="Times New Roman" w:eastAsia="Times New Roman" w:hAnsi="Times New Roman" w:cs="Times New Roman"/>
          <w:sz w:val="32"/>
          <w:szCs w:val="32"/>
          <w:lang w:eastAsia="ru-RU"/>
        </w:rPr>
        <w:t>: Включить</w:t>
      </w:r>
      <w:proofErr w:type="gramEnd"/>
      <w:r w:rsidRPr="00877DE5">
        <w:rPr>
          <w:rFonts w:ascii="Times New Roman" w:eastAsia="Times New Roman" w:hAnsi="Times New Roman" w:cs="Times New Roman"/>
          <w:sz w:val="32"/>
          <w:szCs w:val="32"/>
          <w:lang w:eastAsia="ru-RU"/>
        </w:rPr>
        <w:t xml:space="preserve"> возможность для пользовaтелей сообщать о проблемах через приложение, что поможет быстрее реaгировать на неиспрaвности.</w:t>
      </w:r>
    </w:p>
    <w:p w14:paraId="54DCB2EE"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Подведем итоги: Мобильные приложения для аренды велосипедов и самокатов с низким уровнем защищенноcти cпособны </w:t>
      </w:r>
      <w:r w:rsidRPr="00877DE5">
        <w:rPr>
          <w:rFonts w:ascii="Times New Roman" w:eastAsia="Times New Roman" w:hAnsi="Times New Roman" w:cs="Times New Roman"/>
          <w:sz w:val="32"/>
          <w:szCs w:val="32"/>
          <w:lang w:eastAsia="ru-RU"/>
        </w:rPr>
        <w:lastRenderedPageBreak/>
        <w:t xml:space="preserve">поставить под удар большой объем чувствительных дaнных о пользовaтеле. Это могут быть Ф.И.О., номер телефона, email, геолокация, номер банковской карты и другое. Защита этих сведений входит в зону ответственности разработчиков. Иccледуемые популярные в Роccии cервисы показали выcокий уровень защищенноcти. При этом не стоит забывaть, что каждая новaя версия приложения требует aнализа качества. </w:t>
      </w:r>
    </w:p>
    <w:p w14:paraId="31C9324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Затрудняют работу сломанные самокaты, недостаток зарядa аккумулятора, нет удаленного выявления поломок и привязки базы данных о самокатах к специальному приложению в cвязи </w:t>
      </w:r>
      <w:proofErr w:type="gramStart"/>
      <w:r w:rsidRPr="00877DE5">
        <w:rPr>
          <w:rFonts w:ascii="Times New Roman" w:eastAsia="Times New Roman" w:hAnsi="Times New Roman" w:cs="Times New Roman"/>
          <w:sz w:val="32"/>
          <w:szCs w:val="32"/>
          <w:lang w:eastAsia="ru-RU"/>
        </w:rPr>
        <w:t>с  об</w:t>
      </w:r>
      <w:proofErr w:type="gramEnd"/>
      <w:r w:rsidRPr="00877DE5">
        <w:rPr>
          <w:rFonts w:ascii="Times New Roman" w:eastAsia="Times New Roman" w:hAnsi="Times New Roman" w:cs="Times New Roman"/>
          <w:sz w:val="32"/>
          <w:szCs w:val="32"/>
          <w:lang w:eastAsia="ru-RU"/>
        </w:rPr>
        <w:t>cлуживающим перcоналом. Нет cистемы доcтупа к программе самого самоката, для удаленного исправления возникающих ошибок в ходе его экcплуатации.</w:t>
      </w:r>
    </w:p>
    <w:p w14:paraId="0E9A6ACB"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Проблемы с доcтупноcтью</w:t>
      </w:r>
      <w:proofErr w:type="gramStart"/>
      <w:r w:rsidRPr="00877DE5">
        <w:rPr>
          <w:rFonts w:ascii="Times New Roman" w:eastAsia="Times New Roman" w:hAnsi="Times New Roman" w:cs="Times New Roman"/>
          <w:sz w:val="32"/>
          <w:szCs w:val="32"/>
          <w:lang w:eastAsia="ru-RU"/>
        </w:rPr>
        <w:t>: Не</w:t>
      </w:r>
      <w:proofErr w:type="gramEnd"/>
      <w:r w:rsidRPr="00877DE5">
        <w:rPr>
          <w:rFonts w:ascii="Times New Roman" w:eastAsia="Times New Roman" w:hAnsi="Times New Roman" w:cs="Times New Roman"/>
          <w:sz w:val="32"/>
          <w:szCs w:val="32"/>
          <w:lang w:eastAsia="ru-RU"/>
        </w:rPr>
        <w:t xml:space="preserve"> всегдa еcть достаточное количеcтво самокатов в нужных меcтах, что может вызывать неудобства.</w:t>
      </w:r>
    </w:p>
    <w:p w14:paraId="54FFAC89"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Технические сбои: Приложения могут сталкиваться с ошибками или зависаниями, что затрудняет процесс аренды.</w:t>
      </w:r>
    </w:p>
    <w:p w14:paraId="6F8AE5D9"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Отсутствие информации о соcтоянии самокатов: Пользователи могут не знать о техническом состоянии сaмоката (например, уровень заряда батaреи или нaличие повреждений).</w:t>
      </w:r>
    </w:p>
    <w:p w14:paraId="3EA0AD1E"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Проблемы с нaвигацией: Некоторые приложения могут не предоставлять точные маршруты или информацию о безопасных дорожках.</w:t>
      </w:r>
    </w:p>
    <w:p w14:paraId="351E3855"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Сложноcти с оплaтой: Проблемы с процессом оплаты могут вызывать недовольство у пользователей.</w:t>
      </w:r>
    </w:p>
    <w:p w14:paraId="6363E5F3"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Отсутcтвие поддержки: Недоcтаточная служба поддержки может зaтруднить решение проблем, возникающих во время использования.</w:t>
      </w:r>
    </w:p>
    <w:p w14:paraId="0A7989A6"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Безопасность дaнных: Пользовaтели могут беспокоиться о безопасности своих личных данных и информации о платежах.</w:t>
      </w:r>
    </w:p>
    <w:p w14:paraId="73A26E22" w14:textId="77777777" w:rsidR="00877DE5" w:rsidRPr="00877DE5" w:rsidRDefault="00877DE5" w:rsidP="00067100">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p>
    <w:p w14:paraId="3967FD79" w14:textId="77777777" w:rsidR="00877DE5" w:rsidRPr="00306FD3" w:rsidRDefault="00877DE5" w:rsidP="00067100">
      <w:pPr>
        <w:widowControl w:val="0"/>
        <w:autoSpaceDE w:val="0"/>
        <w:autoSpaceDN w:val="0"/>
        <w:adjustRightInd w:val="0"/>
        <w:spacing w:after="0" w:line="240" w:lineRule="auto"/>
        <w:ind w:firstLine="709"/>
        <w:jc w:val="center"/>
        <w:rPr>
          <w:rFonts w:ascii="Times New Roman" w:eastAsia="Times New Roman" w:hAnsi="Times New Roman" w:cs="Times New Roman"/>
          <w:sz w:val="21"/>
          <w:szCs w:val="21"/>
          <w:lang w:eastAsia="ru-RU"/>
        </w:rPr>
      </w:pPr>
      <w:r w:rsidRPr="00306FD3">
        <w:rPr>
          <w:rFonts w:ascii="Times New Roman" w:eastAsia="Times New Roman" w:hAnsi="Times New Roman" w:cs="Times New Roman"/>
          <w:b/>
          <w:bCs/>
          <w:sz w:val="21"/>
          <w:szCs w:val="21"/>
          <w:lang w:eastAsia="ru-RU"/>
        </w:rPr>
        <w:t>Литература:</w:t>
      </w:r>
    </w:p>
    <w:p w14:paraId="6573CCD1"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1. Волкова Н.М., Надточий Ю.Б. Новые направления исследований в неоэкономике // Экономические системы. - 2019. - Том 12. - № 1-2 (44-45). - С. 23-32.</w:t>
      </w:r>
    </w:p>
    <w:p w14:paraId="2685612B"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2. Егоров Ю.Н., Надточий Ю.Б. Ситуационные факторы потребительских предпочтений // Дискуссия. 2015. - № 1 (53). - С. 43 - 50.</w:t>
      </w:r>
    </w:p>
    <w:p w14:paraId="65ED7008"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 xml:space="preserve">3. История электросамокатов: транспорт богачей и суфражисток // vc.ru. - URL: </w:t>
      </w:r>
      <w:hyperlink r:id="rId381" w:history="1">
        <w:r w:rsidRPr="00306FD3">
          <w:rPr>
            <w:rFonts w:ascii="Times New Roman" w:eastAsia="Times New Roman" w:hAnsi="Times New Roman" w:cs="Times New Roman"/>
            <w:sz w:val="21"/>
            <w:szCs w:val="21"/>
            <w:lang w:eastAsia="ru-RU"/>
          </w:rPr>
          <w:t>https://vc.ru/transport/170132-istoriya-elektrosamokatov-dyavolskiy-transport-bogachey-i-sufrazhistok</w:t>
        </w:r>
      </w:hyperlink>
    </w:p>
    <w:p w14:paraId="60EFD2B3"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 xml:space="preserve">4. Сервис аренды самокатов Whoosh получил почти Р2 млрд от ВТБ и «Открытия» // РБК. - URL: </w:t>
      </w:r>
      <w:hyperlink r:id="rId382" w:history="1">
        <w:r w:rsidRPr="00306FD3">
          <w:rPr>
            <w:rFonts w:ascii="Times New Roman" w:eastAsia="Times New Roman" w:hAnsi="Times New Roman" w:cs="Times New Roman"/>
            <w:sz w:val="21"/>
            <w:szCs w:val="21"/>
            <w:lang w:eastAsia="ru-RU"/>
          </w:rPr>
          <w:t>https://www.rbc.ru/technology_and_media/15/02/2021/60268c429a794755820e9694</w:t>
        </w:r>
      </w:hyperlink>
    </w:p>
    <w:p w14:paraId="6B72F72A"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 xml:space="preserve">5. Сергей Собянин оценил население московской агломерации в 25 миллионов человек // РБК. - URL: </w:t>
      </w:r>
      <w:hyperlink r:id="rId383" w:history="1">
        <w:r w:rsidRPr="00306FD3">
          <w:rPr>
            <w:rFonts w:ascii="Times New Roman" w:eastAsia="Times New Roman" w:hAnsi="Times New Roman" w:cs="Times New Roman"/>
            <w:sz w:val="21"/>
            <w:szCs w:val="21"/>
            <w:lang w:eastAsia="ru-RU"/>
          </w:rPr>
          <w:t>https://realty.rbc.ru/news/577e15cf9a79471433ad9b19</w:t>
        </w:r>
      </w:hyperlink>
    </w:p>
    <w:p w14:paraId="3480F3CE" w14:textId="77777777" w:rsidR="00877DE5" w:rsidRPr="00306FD3" w:rsidRDefault="00877DE5" w:rsidP="00306FD3">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306FD3">
        <w:rPr>
          <w:rFonts w:ascii="Times New Roman" w:eastAsia="Times New Roman" w:hAnsi="Times New Roman" w:cs="Times New Roman"/>
          <w:sz w:val="21"/>
          <w:szCs w:val="21"/>
          <w:lang w:eastAsia="ru-RU"/>
        </w:rPr>
        <w:t xml:space="preserve">6. Сайт «Московский транспорт». - </w:t>
      </w:r>
      <w:r w:rsidRPr="00306FD3">
        <w:rPr>
          <w:rFonts w:ascii="Times New Roman" w:eastAsia="Times New Roman" w:hAnsi="Times New Roman" w:cs="Times New Roman"/>
          <w:sz w:val="21"/>
          <w:szCs w:val="21"/>
          <w:lang w:val="en-US" w:eastAsia="ru-RU"/>
        </w:rPr>
        <w:t>URL</w:t>
      </w:r>
      <w:r w:rsidRPr="00306FD3">
        <w:rPr>
          <w:rFonts w:ascii="Times New Roman" w:eastAsia="Times New Roman" w:hAnsi="Times New Roman" w:cs="Times New Roman"/>
          <w:sz w:val="21"/>
          <w:szCs w:val="21"/>
          <w:lang w:eastAsia="ru-RU"/>
        </w:rPr>
        <w:t xml:space="preserve">: </w:t>
      </w:r>
      <w:hyperlink r:id="rId384" w:history="1">
        <w:r w:rsidRPr="00306FD3">
          <w:rPr>
            <w:rFonts w:ascii="Times New Roman" w:eastAsia="Times New Roman" w:hAnsi="Times New Roman" w:cs="Times New Roman"/>
            <w:sz w:val="21"/>
            <w:szCs w:val="21"/>
            <w:lang w:val="en-US" w:eastAsia="ru-RU"/>
          </w:rPr>
          <w:t>https</w:t>
        </w:r>
        <w:r w:rsidRPr="00306FD3">
          <w:rPr>
            <w:rFonts w:ascii="Times New Roman" w:eastAsia="Times New Roman" w:hAnsi="Times New Roman" w:cs="Times New Roman"/>
            <w:sz w:val="21"/>
            <w:szCs w:val="21"/>
            <w:lang w:eastAsia="ru-RU"/>
          </w:rPr>
          <w:t>://</w:t>
        </w:r>
        <w:r w:rsidRPr="00306FD3">
          <w:rPr>
            <w:rFonts w:ascii="Times New Roman" w:eastAsia="Times New Roman" w:hAnsi="Times New Roman" w:cs="Times New Roman"/>
            <w:sz w:val="21"/>
            <w:szCs w:val="21"/>
            <w:lang w:val="en-US" w:eastAsia="ru-RU"/>
          </w:rPr>
          <w:t>transport</w:t>
        </w:r>
        <w:r w:rsidRPr="00306FD3">
          <w:rPr>
            <w:rFonts w:ascii="Times New Roman" w:eastAsia="Times New Roman" w:hAnsi="Times New Roman" w:cs="Times New Roman"/>
            <w:sz w:val="21"/>
            <w:szCs w:val="21"/>
            <w:lang w:eastAsia="ru-RU"/>
          </w:rPr>
          <w:t>.</w:t>
        </w:r>
        <w:r w:rsidRPr="00306FD3">
          <w:rPr>
            <w:rFonts w:ascii="Times New Roman" w:eastAsia="Times New Roman" w:hAnsi="Times New Roman" w:cs="Times New Roman"/>
            <w:sz w:val="21"/>
            <w:szCs w:val="21"/>
            <w:lang w:val="en-US" w:eastAsia="ru-RU"/>
          </w:rPr>
          <w:t>mos</w:t>
        </w:r>
        <w:r w:rsidRPr="00306FD3">
          <w:rPr>
            <w:rFonts w:ascii="Times New Roman" w:eastAsia="Times New Roman" w:hAnsi="Times New Roman" w:cs="Times New Roman"/>
            <w:sz w:val="21"/>
            <w:szCs w:val="21"/>
            <w:lang w:eastAsia="ru-RU"/>
          </w:rPr>
          <w:t>.</w:t>
        </w:r>
        <w:r w:rsidRPr="00306FD3">
          <w:rPr>
            <w:rFonts w:ascii="Times New Roman" w:eastAsia="Times New Roman" w:hAnsi="Times New Roman" w:cs="Times New Roman"/>
            <w:sz w:val="21"/>
            <w:szCs w:val="21"/>
            <w:lang w:val="en-US" w:eastAsia="ru-RU"/>
          </w:rPr>
          <w:t>ru</w:t>
        </w:r>
        <w:r w:rsidRPr="00306FD3">
          <w:rPr>
            <w:rFonts w:ascii="Times New Roman" w:eastAsia="Times New Roman" w:hAnsi="Times New Roman" w:cs="Times New Roman"/>
            <w:sz w:val="21"/>
            <w:szCs w:val="21"/>
            <w:lang w:eastAsia="ru-RU"/>
          </w:rPr>
          <w:t>/</w:t>
        </w:r>
        <w:r w:rsidRPr="00306FD3">
          <w:rPr>
            <w:rFonts w:ascii="Times New Roman" w:eastAsia="Times New Roman" w:hAnsi="Times New Roman" w:cs="Times New Roman"/>
            <w:sz w:val="21"/>
            <w:szCs w:val="21"/>
            <w:lang w:val="en-US" w:eastAsia="ru-RU"/>
          </w:rPr>
          <w:t>bicycle</w:t>
        </w:r>
        <w:r w:rsidRPr="00306FD3">
          <w:rPr>
            <w:rFonts w:ascii="Times New Roman" w:eastAsia="Times New Roman" w:hAnsi="Times New Roman" w:cs="Times New Roman"/>
            <w:sz w:val="21"/>
            <w:szCs w:val="21"/>
            <w:lang w:eastAsia="ru-RU"/>
          </w:rPr>
          <w:t>/</w:t>
        </w:r>
        <w:r w:rsidRPr="00306FD3">
          <w:rPr>
            <w:rFonts w:ascii="Times New Roman" w:eastAsia="Times New Roman" w:hAnsi="Times New Roman" w:cs="Times New Roman"/>
            <w:sz w:val="21"/>
            <w:szCs w:val="21"/>
            <w:lang w:val="en-US" w:eastAsia="ru-RU"/>
          </w:rPr>
          <w:t>kickscooter</w:t>
        </w:r>
        <w:r w:rsidRPr="00306FD3">
          <w:rPr>
            <w:rFonts w:ascii="Times New Roman" w:eastAsia="Times New Roman" w:hAnsi="Times New Roman" w:cs="Times New Roman"/>
            <w:sz w:val="21"/>
            <w:szCs w:val="21"/>
            <w:lang w:eastAsia="ru-RU"/>
          </w:rPr>
          <w:t>_</w:t>
        </w:r>
        <w:r w:rsidRPr="00306FD3">
          <w:rPr>
            <w:rFonts w:ascii="Times New Roman" w:eastAsia="Times New Roman" w:hAnsi="Times New Roman" w:cs="Times New Roman"/>
            <w:sz w:val="21"/>
            <w:szCs w:val="21"/>
            <w:lang w:val="en-US" w:eastAsia="ru-RU"/>
          </w:rPr>
          <w:t>rent</w:t>
        </w:r>
      </w:hyperlink>
    </w:p>
    <w:p w14:paraId="5215EEE4" w14:textId="77777777" w:rsidR="00877DE5" w:rsidRP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11C7E57" w14:textId="77777777" w:rsidR="00FD1DC0" w:rsidRPr="00FD1DC0" w:rsidRDefault="00FD1DC0" w:rsidP="00FD1DC0">
      <w:pPr>
        <w:suppressAutoHyphens/>
        <w:spacing w:after="0" w:line="240" w:lineRule="auto"/>
        <w:jc w:val="both"/>
        <w:rPr>
          <w:rFonts w:ascii="Times New Roman" w:eastAsia="Times New Roman" w:hAnsi="Times New Roman" w:cs="Times New Roman"/>
          <w:b/>
          <w:color w:val="000000"/>
          <w:sz w:val="21"/>
          <w:szCs w:val="21"/>
          <w:lang w:eastAsia="ar-SA"/>
        </w:rPr>
      </w:pPr>
      <w:r w:rsidRPr="00FD1DC0">
        <w:rPr>
          <w:rFonts w:ascii="Times New Roman" w:eastAsia="Times New Roman" w:hAnsi="Times New Roman" w:cs="Times New Roman"/>
          <w:b/>
          <w:color w:val="000000"/>
          <w:sz w:val="21"/>
          <w:szCs w:val="21"/>
          <w:lang w:eastAsia="ar-SA"/>
        </w:rPr>
        <w:t>УДК 338</w:t>
      </w:r>
    </w:p>
    <w:p w14:paraId="1D27AADC" w14:textId="77777777" w:rsidR="00FD1DC0" w:rsidRPr="00FD1DC0" w:rsidRDefault="00FD1DC0" w:rsidP="00FD1DC0">
      <w:pPr>
        <w:suppressAutoHyphens/>
        <w:spacing w:after="0" w:line="240" w:lineRule="auto"/>
        <w:jc w:val="right"/>
        <w:rPr>
          <w:rFonts w:ascii="Times New Roman" w:eastAsia="Times New Roman" w:hAnsi="Times New Roman" w:cs="Times New Roman"/>
          <w:i/>
          <w:color w:val="000000"/>
          <w:sz w:val="21"/>
          <w:szCs w:val="21"/>
          <w:lang w:eastAsia="ar-SA"/>
        </w:rPr>
      </w:pPr>
      <w:r w:rsidRPr="00FD1DC0">
        <w:rPr>
          <w:rFonts w:ascii="Times New Roman" w:eastAsia="Times New Roman" w:hAnsi="Times New Roman" w:cs="Times New Roman"/>
          <w:b/>
          <w:i/>
          <w:color w:val="000000"/>
          <w:sz w:val="20"/>
          <w:szCs w:val="21"/>
          <w:lang w:eastAsia="ar-SA"/>
        </w:rPr>
        <w:t>Дубровская П.В</w:t>
      </w:r>
      <w:r w:rsidRPr="00FD1DC0">
        <w:rPr>
          <w:rFonts w:ascii="Times New Roman" w:eastAsia="Times New Roman" w:hAnsi="Times New Roman" w:cs="Times New Roman"/>
          <w:b/>
          <w:i/>
          <w:color w:val="000000"/>
          <w:sz w:val="21"/>
          <w:szCs w:val="21"/>
          <w:lang w:eastAsia="ar-SA"/>
        </w:rPr>
        <w:t xml:space="preserve">., </w:t>
      </w:r>
    </w:p>
    <w:p w14:paraId="15D28D9F" w14:textId="77777777" w:rsidR="00FD1DC0" w:rsidRPr="00FD1DC0" w:rsidRDefault="00FD1DC0" w:rsidP="00FD1DC0">
      <w:pPr>
        <w:suppressAutoHyphens/>
        <w:spacing w:after="0" w:line="240" w:lineRule="auto"/>
        <w:jc w:val="right"/>
        <w:rPr>
          <w:rFonts w:ascii="Times New Roman" w:eastAsia="Times New Roman" w:hAnsi="Times New Roman" w:cs="Times New Roman"/>
          <w:i/>
          <w:color w:val="000000"/>
          <w:sz w:val="21"/>
          <w:szCs w:val="21"/>
          <w:lang w:eastAsia="ar-SA"/>
        </w:rPr>
      </w:pPr>
      <w:r w:rsidRPr="00FD1DC0">
        <w:rPr>
          <w:rFonts w:ascii="Times New Roman" w:eastAsia="Times New Roman" w:hAnsi="Times New Roman" w:cs="Times New Roman"/>
          <w:i/>
          <w:color w:val="000000"/>
          <w:sz w:val="21"/>
          <w:szCs w:val="21"/>
          <w:lang w:eastAsia="ar-SA"/>
        </w:rPr>
        <w:t xml:space="preserve">студент 3 курса </w:t>
      </w:r>
    </w:p>
    <w:p w14:paraId="498FBC1E" w14:textId="77777777" w:rsidR="00FD1DC0" w:rsidRPr="00FD1DC0" w:rsidRDefault="00FD1DC0" w:rsidP="00FD1DC0">
      <w:pPr>
        <w:suppressAutoHyphens/>
        <w:spacing w:after="0" w:line="240" w:lineRule="auto"/>
        <w:jc w:val="right"/>
        <w:rPr>
          <w:rFonts w:ascii="Times New Roman" w:eastAsia="Times New Roman" w:hAnsi="Times New Roman" w:cs="Times New Roman"/>
          <w:i/>
          <w:color w:val="000000"/>
          <w:sz w:val="21"/>
          <w:szCs w:val="21"/>
          <w:lang w:eastAsia="ar-SA"/>
        </w:rPr>
      </w:pPr>
      <w:r w:rsidRPr="00FD1DC0">
        <w:rPr>
          <w:rFonts w:ascii="Times New Roman" w:eastAsia="Times New Roman" w:hAnsi="Times New Roman" w:cs="Times New Roman"/>
          <w:i/>
          <w:color w:val="000000"/>
          <w:sz w:val="21"/>
          <w:szCs w:val="21"/>
          <w:lang w:eastAsia="ar-SA"/>
        </w:rPr>
        <w:t>Краснодарский филиал Финансового университета при Правительстве Российской Федерации, ФГОБУ ВПО</w:t>
      </w:r>
    </w:p>
    <w:p w14:paraId="2A309CF2" w14:textId="77777777" w:rsidR="00FD1DC0" w:rsidRPr="00FD1DC0" w:rsidRDefault="00FD1DC0" w:rsidP="00FD1DC0">
      <w:pPr>
        <w:suppressAutoHyphens/>
        <w:spacing w:after="0" w:line="240" w:lineRule="auto"/>
        <w:jc w:val="right"/>
        <w:rPr>
          <w:rFonts w:ascii="Times New Roman" w:eastAsia="Times New Roman" w:hAnsi="Times New Roman" w:cs="Times New Roman"/>
          <w:i/>
          <w:sz w:val="21"/>
          <w:szCs w:val="21"/>
          <w:lang w:eastAsia="ar-SA"/>
        </w:rPr>
      </w:pPr>
      <w:r w:rsidRPr="00FD1DC0">
        <w:rPr>
          <w:rFonts w:ascii="Times New Roman" w:eastAsia="Times New Roman" w:hAnsi="Times New Roman" w:cs="Times New Roman"/>
          <w:i/>
          <w:sz w:val="21"/>
          <w:szCs w:val="21"/>
          <w:lang w:eastAsia="ar-SA"/>
        </w:rPr>
        <w:t>г. Краснодар, Россия</w:t>
      </w:r>
    </w:p>
    <w:p w14:paraId="2601C5C9" w14:textId="77777777" w:rsidR="00FD1DC0" w:rsidRPr="00FD1DC0" w:rsidRDefault="00FD1DC0" w:rsidP="00FD1DC0">
      <w:pPr>
        <w:spacing w:after="0" w:line="240" w:lineRule="auto"/>
        <w:jc w:val="right"/>
        <w:rPr>
          <w:rFonts w:ascii="Times New Roman" w:eastAsia="Aptos" w:hAnsi="Times New Roman" w:cs="Times New Roman"/>
          <w:i/>
          <w:kern w:val="2"/>
          <w:sz w:val="21"/>
          <w:szCs w:val="21"/>
          <w14:ligatures w14:val="standardContextual"/>
        </w:rPr>
      </w:pPr>
      <w:r w:rsidRPr="00FD1DC0">
        <w:rPr>
          <w:rFonts w:ascii="Times New Roman" w:eastAsia="Aptos" w:hAnsi="Times New Roman" w:cs="Times New Roman"/>
          <w:i/>
          <w:kern w:val="2"/>
          <w:sz w:val="21"/>
          <w:szCs w:val="21"/>
          <w14:ligatures w14:val="standardContextual"/>
        </w:rPr>
        <w:t>е-</w:t>
      </w:r>
      <w:r w:rsidRPr="00FD1DC0">
        <w:rPr>
          <w:rFonts w:ascii="Times New Roman" w:eastAsia="Aptos" w:hAnsi="Times New Roman" w:cs="Times New Roman"/>
          <w:i/>
          <w:kern w:val="2"/>
          <w:sz w:val="21"/>
          <w:szCs w:val="21"/>
          <w:lang w:val="en-US"/>
          <w14:ligatures w14:val="standardContextual"/>
        </w:rPr>
        <w:t>mail</w:t>
      </w:r>
      <w:r w:rsidRPr="00FD1DC0">
        <w:rPr>
          <w:rFonts w:ascii="Times New Roman" w:eastAsia="Aptos" w:hAnsi="Times New Roman" w:cs="Times New Roman"/>
          <w:i/>
          <w:kern w:val="2"/>
          <w:sz w:val="21"/>
          <w:szCs w:val="21"/>
          <w14:ligatures w14:val="standardContextual"/>
        </w:rPr>
        <w:t xml:space="preserve">: </w:t>
      </w:r>
      <w:hyperlink r:id="rId385" w:history="1">
        <w:r w:rsidRPr="00FD1DC0">
          <w:rPr>
            <w:rFonts w:ascii="Times New Roman" w:eastAsia="Aptos" w:hAnsi="Times New Roman" w:cs="Times New Roman"/>
            <w:i/>
            <w:color w:val="0000FF"/>
            <w:kern w:val="2"/>
            <w:sz w:val="21"/>
            <w:szCs w:val="21"/>
            <w:u w:val="single"/>
            <w:lang w:val="en-US"/>
            <w14:ligatures w14:val="standardContextual"/>
          </w:rPr>
          <w:t>pdv</w:t>
        </w:r>
        <w:r w:rsidRPr="00FD1DC0">
          <w:rPr>
            <w:rFonts w:ascii="Times New Roman" w:eastAsia="Aptos" w:hAnsi="Times New Roman" w:cs="Times New Roman"/>
            <w:i/>
            <w:color w:val="0000FF"/>
            <w:kern w:val="2"/>
            <w:sz w:val="21"/>
            <w:szCs w:val="21"/>
            <w:u w:val="single"/>
            <w14:ligatures w14:val="standardContextual"/>
          </w:rPr>
          <w:t>.22@</w:t>
        </w:r>
        <w:r w:rsidRPr="00FD1DC0">
          <w:rPr>
            <w:rFonts w:ascii="Times New Roman" w:eastAsia="Aptos" w:hAnsi="Times New Roman" w:cs="Times New Roman"/>
            <w:i/>
            <w:color w:val="0000FF"/>
            <w:kern w:val="2"/>
            <w:sz w:val="21"/>
            <w:szCs w:val="21"/>
            <w:u w:val="single"/>
            <w:lang w:val="en-US"/>
            <w14:ligatures w14:val="standardContextual"/>
          </w:rPr>
          <w:t>mail</w:t>
        </w:r>
        <w:r w:rsidRPr="00FD1DC0">
          <w:rPr>
            <w:rFonts w:ascii="Times New Roman" w:eastAsia="Aptos" w:hAnsi="Times New Roman" w:cs="Times New Roman"/>
            <w:i/>
            <w:color w:val="0000FF"/>
            <w:kern w:val="2"/>
            <w:sz w:val="21"/>
            <w:szCs w:val="21"/>
            <w:u w:val="single"/>
            <w14:ligatures w14:val="standardContextual"/>
          </w:rPr>
          <w:t>.</w:t>
        </w:r>
        <w:r w:rsidRPr="00FD1DC0">
          <w:rPr>
            <w:rFonts w:ascii="Times New Roman" w:eastAsia="Aptos" w:hAnsi="Times New Roman" w:cs="Times New Roman"/>
            <w:i/>
            <w:color w:val="0000FF"/>
            <w:kern w:val="2"/>
            <w:sz w:val="21"/>
            <w:szCs w:val="21"/>
            <w:u w:val="single"/>
            <w:lang w:val="en-US"/>
            <w14:ligatures w14:val="standardContextual"/>
          </w:rPr>
          <w:t>ru</w:t>
        </w:r>
      </w:hyperlink>
    </w:p>
    <w:p w14:paraId="2D0D69A4" w14:textId="77777777" w:rsidR="00FD1DC0" w:rsidRPr="00FD1DC0" w:rsidRDefault="00FD1DC0" w:rsidP="00FD1DC0">
      <w:pPr>
        <w:spacing w:after="0" w:line="240" w:lineRule="auto"/>
        <w:jc w:val="right"/>
        <w:rPr>
          <w:rFonts w:ascii="Times New Roman" w:eastAsia="Aptos" w:hAnsi="Times New Roman" w:cs="Times New Roman"/>
          <w:i/>
          <w:kern w:val="2"/>
          <w:sz w:val="21"/>
          <w:szCs w:val="21"/>
          <w14:ligatures w14:val="standardContextual"/>
        </w:rPr>
      </w:pPr>
      <w:r w:rsidRPr="00FD1DC0">
        <w:rPr>
          <w:rFonts w:ascii="Times New Roman" w:eastAsia="Aptos" w:hAnsi="Times New Roman" w:cs="Times New Roman"/>
          <w:i/>
          <w:kern w:val="2"/>
          <w:sz w:val="21"/>
          <w:szCs w:val="21"/>
          <w14:ligatures w14:val="standardContextual"/>
        </w:rPr>
        <w:t xml:space="preserve"> </w:t>
      </w:r>
    </w:p>
    <w:p w14:paraId="769A8633" w14:textId="77777777" w:rsidR="00FD1DC0" w:rsidRPr="00FD1DC0" w:rsidRDefault="00FD1DC0" w:rsidP="00FD1DC0">
      <w:pPr>
        <w:spacing w:after="0" w:line="240" w:lineRule="auto"/>
        <w:jc w:val="right"/>
        <w:rPr>
          <w:rFonts w:ascii="Times New Roman" w:eastAsia="Aptos" w:hAnsi="Times New Roman" w:cs="Times New Roman"/>
          <w:b/>
          <w:i/>
          <w:kern w:val="2"/>
          <w:sz w:val="21"/>
          <w:szCs w:val="21"/>
          <w14:ligatures w14:val="standardContextual"/>
        </w:rPr>
      </w:pPr>
      <w:r w:rsidRPr="00FD1DC0">
        <w:rPr>
          <w:rFonts w:ascii="Times New Roman" w:eastAsia="Aptos" w:hAnsi="Times New Roman" w:cs="Times New Roman"/>
          <w:b/>
          <w:i/>
          <w:kern w:val="2"/>
          <w:sz w:val="21"/>
          <w:szCs w:val="21"/>
          <w14:ligatures w14:val="standardContextual"/>
        </w:rPr>
        <w:t>Научный руководитель:</w:t>
      </w:r>
    </w:p>
    <w:p w14:paraId="211B59A0" w14:textId="77777777" w:rsidR="00FD1DC0" w:rsidRPr="00FD1DC0" w:rsidRDefault="00FD1DC0" w:rsidP="00FD1DC0">
      <w:pPr>
        <w:spacing w:after="0" w:line="240" w:lineRule="auto"/>
        <w:jc w:val="right"/>
        <w:rPr>
          <w:rFonts w:ascii="Times New Roman" w:eastAsia="Aptos" w:hAnsi="Times New Roman" w:cs="Times New Roman"/>
          <w:b/>
          <w:i/>
          <w:kern w:val="2"/>
          <w:sz w:val="21"/>
          <w:szCs w:val="21"/>
          <w14:ligatures w14:val="standardContextual"/>
        </w:rPr>
      </w:pPr>
      <w:r w:rsidRPr="00FD1DC0">
        <w:rPr>
          <w:rFonts w:ascii="Times New Roman" w:eastAsia="Aptos" w:hAnsi="Times New Roman" w:cs="Times New Roman"/>
          <w:b/>
          <w:i/>
          <w:kern w:val="2"/>
          <w:sz w:val="21"/>
          <w:szCs w:val="21"/>
          <w14:ligatures w14:val="standardContextual"/>
        </w:rPr>
        <w:t>Кирий В.А.,</w:t>
      </w:r>
    </w:p>
    <w:p w14:paraId="314A15C9" w14:textId="77777777" w:rsidR="00FD1DC0" w:rsidRPr="00FD1DC0" w:rsidRDefault="00FD1DC0" w:rsidP="00FD1DC0">
      <w:pPr>
        <w:spacing w:after="0" w:line="240" w:lineRule="auto"/>
        <w:jc w:val="right"/>
        <w:rPr>
          <w:rFonts w:ascii="Times New Roman" w:eastAsia="Aptos" w:hAnsi="Times New Roman" w:cs="Times New Roman"/>
          <w:i/>
          <w:kern w:val="2"/>
          <w:sz w:val="21"/>
          <w:szCs w:val="21"/>
          <w14:ligatures w14:val="standardContextual"/>
        </w:rPr>
      </w:pPr>
      <w:r w:rsidRPr="00FD1DC0">
        <w:rPr>
          <w:rFonts w:ascii="Times New Roman" w:eastAsia="Aptos" w:hAnsi="Times New Roman" w:cs="Times New Roman"/>
          <w:b/>
          <w:i/>
          <w:kern w:val="2"/>
          <w:sz w:val="21"/>
          <w:szCs w:val="21"/>
          <w14:ligatures w14:val="standardContextual"/>
        </w:rPr>
        <w:t xml:space="preserve"> </w:t>
      </w:r>
      <w:r w:rsidRPr="00FD1DC0">
        <w:rPr>
          <w:rFonts w:ascii="Times New Roman" w:eastAsia="Aptos" w:hAnsi="Times New Roman" w:cs="Times New Roman"/>
          <w:i/>
          <w:kern w:val="2"/>
          <w:sz w:val="21"/>
          <w:szCs w:val="21"/>
          <w14:ligatures w14:val="standardContextual"/>
        </w:rPr>
        <w:t>доцент, к.ф.-м.н.</w:t>
      </w:r>
    </w:p>
    <w:p w14:paraId="02327E84" w14:textId="77777777" w:rsidR="00FD1DC0" w:rsidRPr="00FD1DC0" w:rsidRDefault="00FD1DC0" w:rsidP="007A416C">
      <w:pPr>
        <w:tabs>
          <w:tab w:val="left" w:pos="8931"/>
        </w:tabs>
        <w:suppressAutoHyphens/>
        <w:spacing w:after="0" w:line="240" w:lineRule="auto"/>
        <w:ind w:right="13"/>
        <w:jc w:val="right"/>
        <w:rPr>
          <w:rFonts w:ascii="Times New Roman" w:eastAsia="Times New Roman" w:hAnsi="Times New Roman" w:cs="Times New Roman"/>
          <w:i/>
          <w:color w:val="000000"/>
          <w:sz w:val="21"/>
          <w:szCs w:val="21"/>
          <w:lang w:eastAsia="ar-SA"/>
        </w:rPr>
      </w:pPr>
      <w:r w:rsidRPr="00FD1DC0">
        <w:rPr>
          <w:rFonts w:ascii="Times New Roman" w:eastAsia="Times New Roman" w:hAnsi="Times New Roman" w:cs="Times New Roman"/>
          <w:i/>
          <w:color w:val="000000"/>
          <w:sz w:val="21"/>
          <w:szCs w:val="21"/>
          <w:lang w:eastAsia="ar-SA"/>
        </w:rPr>
        <w:t>Краснодарский филиал Финансового университета при Правительстве Российской Федерации, ФГОБУ ВПО</w:t>
      </w:r>
    </w:p>
    <w:p w14:paraId="662C2DCC" w14:textId="77777777" w:rsidR="00FD1DC0" w:rsidRPr="00FD1DC0" w:rsidRDefault="00FD1DC0" w:rsidP="00FD1DC0">
      <w:pPr>
        <w:suppressAutoHyphens/>
        <w:spacing w:after="0" w:line="240" w:lineRule="auto"/>
        <w:jc w:val="right"/>
        <w:rPr>
          <w:rFonts w:ascii="Times New Roman" w:eastAsia="Times New Roman" w:hAnsi="Times New Roman" w:cs="Times New Roman"/>
          <w:i/>
          <w:sz w:val="21"/>
          <w:szCs w:val="21"/>
          <w:lang w:eastAsia="ar-SA"/>
        </w:rPr>
      </w:pPr>
      <w:r w:rsidRPr="00FD1DC0">
        <w:rPr>
          <w:rFonts w:ascii="Times New Roman" w:eastAsia="Times New Roman" w:hAnsi="Times New Roman" w:cs="Times New Roman"/>
          <w:i/>
          <w:sz w:val="21"/>
          <w:szCs w:val="21"/>
          <w:lang w:eastAsia="ar-SA"/>
        </w:rPr>
        <w:t>г. Краснодар, Россия</w:t>
      </w:r>
    </w:p>
    <w:p w14:paraId="47E5CC85" w14:textId="77777777" w:rsidR="00FD1DC0" w:rsidRPr="00FD1DC0" w:rsidRDefault="00FD1DC0" w:rsidP="00FD1DC0">
      <w:pPr>
        <w:suppressAutoHyphens/>
        <w:spacing w:after="0" w:line="240" w:lineRule="auto"/>
        <w:jc w:val="right"/>
        <w:textAlignment w:val="baseline"/>
        <w:rPr>
          <w:rFonts w:ascii="Times New Roman" w:eastAsia="DengXian Light" w:hAnsi="Times New Roman" w:cs="Times New Roman"/>
          <w:i/>
          <w:sz w:val="21"/>
          <w:szCs w:val="21"/>
          <w:lang w:val="x-none" w:eastAsia="ar-SA"/>
        </w:rPr>
      </w:pPr>
      <w:r w:rsidRPr="00FD1DC0">
        <w:rPr>
          <w:rFonts w:ascii="Times New Roman" w:eastAsia="Times New Roman" w:hAnsi="Times New Roman" w:cs="Times New Roman"/>
          <w:i/>
          <w:sz w:val="21"/>
          <w:szCs w:val="21"/>
          <w:lang w:eastAsia="ar-SA"/>
        </w:rPr>
        <w:t>е-</w:t>
      </w:r>
      <w:r w:rsidRPr="00FD1DC0">
        <w:rPr>
          <w:rFonts w:ascii="Times New Roman" w:eastAsia="Times New Roman" w:hAnsi="Times New Roman" w:cs="Times New Roman"/>
          <w:i/>
          <w:sz w:val="21"/>
          <w:szCs w:val="21"/>
          <w:lang w:val="en-US" w:eastAsia="ar-SA"/>
        </w:rPr>
        <w:t>mail</w:t>
      </w:r>
      <w:r w:rsidRPr="00FD1DC0">
        <w:rPr>
          <w:rFonts w:ascii="Times New Roman" w:eastAsia="Times New Roman" w:hAnsi="Times New Roman" w:cs="Times New Roman"/>
          <w:i/>
          <w:sz w:val="21"/>
          <w:szCs w:val="21"/>
          <w:lang w:eastAsia="ar-SA"/>
        </w:rPr>
        <w:t xml:space="preserve">: </w:t>
      </w:r>
      <w:hyperlink r:id="rId386" w:history="1">
        <w:r w:rsidRPr="00FD1DC0">
          <w:rPr>
            <w:rFonts w:ascii="Times New Roman" w:eastAsia="DengXian Light" w:hAnsi="Times New Roman" w:cs="Times New Roman"/>
            <w:i/>
            <w:color w:val="0000FF"/>
            <w:sz w:val="21"/>
            <w:szCs w:val="21"/>
            <w:u w:val="single"/>
            <w:lang w:val="x-none" w:eastAsia="ar-SA"/>
          </w:rPr>
          <w:t>VAKirij@fa.ru</w:t>
        </w:r>
      </w:hyperlink>
    </w:p>
    <w:p w14:paraId="55E3D9E4" w14:textId="77777777" w:rsidR="00FD1DC0" w:rsidRPr="00FD1DC0" w:rsidRDefault="00FD1DC0" w:rsidP="00FD1DC0">
      <w:pPr>
        <w:suppressAutoHyphens/>
        <w:spacing w:after="0" w:line="240" w:lineRule="auto"/>
        <w:jc w:val="right"/>
        <w:textAlignment w:val="baseline"/>
        <w:rPr>
          <w:rFonts w:ascii="Times New Roman" w:eastAsia="Times New Roman" w:hAnsi="Times New Roman" w:cs="Times New Roman"/>
          <w:b/>
          <w:sz w:val="21"/>
          <w:szCs w:val="21"/>
          <w:lang w:eastAsia="ar-SA"/>
        </w:rPr>
      </w:pPr>
    </w:p>
    <w:p w14:paraId="212AD5EC" w14:textId="77777777" w:rsidR="00FD1DC0" w:rsidRPr="00FD1DC0" w:rsidRDefault="00FD1DC0" w:rsidP="00FD1DC0">
      <w:pPr>
        <w:tabs>
          <w:tab w:val="left" w:pos="993"/>
        </w:tabs>
        <w:spacing w:before="40" w:after="40" w:line="256" w:lineRule="auto"/>
        <w:ind w:firstLine="709"/>
        <w:jc w:val="center"/>
        <w:rPr>
          <w:rFonts w:ascii="Times New Roman" w:eastAsia="Aptos" w:hAnsi="Times New Roman" w:cs="Times New Roman"/>
          <w:b/>
          <w:bCs/>
          <w:kern w:val="2"/>
          <w:sz w:val="21"/>
          <w:szCs w:val="21"/>
          <w14:ligatures w14:val="standardContextual"/>
        </w:rPr>
      </w:pPr>
      <w:r w:rsidRPr="00FD1DC0">
        <w:rPr>
          <w:rFonts w:ascii="Times New Roman" w:eastAsia="Aptos" w:hAnsi="Times New Roman" w:cs="Times New Roman"/>
          <w:b/>
          <w:bCs/>
          <w:kern w:val="2"/>
          <w:sz w:val="21"/>
          <w:szCs w:val="21"/>
          <w14:ligatures w14:val="standardContextual"/>
        </w:rPr>
        <w:t>Проблемы и перспективы внедрения нейросетевых технологий в системы онлайн-прокторинга</w:t>
      </w:r>
    </w:p>
    <w:p w14:paraId="035D8D43" w14:textId="77777777" w:rsidR="00FD1DC0" w:rsidRPr="00FD1DC0" w:rsidRDefault="00FD1DC0" w:rsidP="00FD1DC0">
      <w:pPr>
        <w:spacing w:after="0" w:line="240" w:lineRule="auto"/>
        <w:ind w:firstLine="567"/>
        <w:jc w:val="both"/>
        <w:rPr>
          <w:rFonts w:ascii="Times New Roman" w:eastAsia="Aptos" w:hAnsi="Times New Roman" w:cs="Times New Roman"/>
          <w:i/>
          <w:kern w:val="2"/>
          <w:sz w:val="21"/>
          <w:szCs w:val="21"/>
          <w:shd w:val="clear" w:color="auto" w:fill="00FFFF"/>
          <w14:ligatures w14:val="standardContextual"/>
        </w:rPr>
      </w:pPr>
    </w:p>
    <w:p w14:paraId="3701049A" w14:textId="77777777" w:rsidR="00FD1DC0" w:rsidRPr="00FD1DC0" w:rsidRDefault="00FD1DC0" w:rsidP="00FD1DC0">
      <w:pPr>
        <w:spacing w:after="0" w:line="240" w:lineRule="auto"/>
        <w:ind w:firstLine="567"/>
        <w:jc w:val="both"/>
        <w:rPr>
          <w:rFonts w:ascii="Times New Roman" w:eastAsia="Aptos" w:hAnsi="Times New Roman" w:cs="Times New Roman"/>
          <w:kern w:val="2"/>
          <w:sz w:val="21"/>
          <w:szCs w:val="21"/>
          <w14:ligatures w14:val="standardContextual"/>
        </w:rPr>
      </w:pPr>
      <w:r w:rsidRPr="00FD1DC0">
        <w:rPr>
          <w:rFonts w:ascii="Times New Roman" w:eastAsia="Aptos" w:hAnsi="Times New Roman" w:cs="Times New Roman"/>
          <w:b/>
          <w:kern w:val="2"/>
          <w:sz w:val="21"/>
          <w:szCs w:val="21"/>
          <w14:ligatures w14:val="standardContextual"/>
        </w:rPr>
        <w:t>Аннотация:</w:t>
      </w:r>
      <w:r w:rsidRPr="00FD1DC0">
        <w:rPr>
          <w:rFonts w:ascii="Times New Roman" w:eastAsia="Aptos" w:hAnsi="Times New Roman" w:cs="Times New Roman"/>
          <w:i/>
          <w:kern w:val="2"/>
          <w:sz w:val="21"/>
          <w:szCs w:val="21"/>
          <w14:ligatures w14:val="standardContextual"/>
        </w:rPr>
        <w:t xml:space="preserve"> </w:t>
      </w:r>
      <w:r w:rsidRPr="00FD1DC0">
        <w:rPr>
          <w:rFonts w:ascii="Times New Roman" w:eastAsia="Aptos" w:hAnsi="Times New Roman" w:cs="Times New Roman"/>
          <w:kern w:val="2"/>
          <w:sz w:val="21"/>
          <w:szCs w:val="21"/>
          <w14:ligatures w14:val="standardContextual"/>
        </w:rPr>
        <w:t>В статье рассматриваются основные проблемы и перспективные направления применения нейросетевых технологий в прокторинге. Проанализированы такие проблемы как: этические, технические и организационные проблемы внедрение прокторинга в процесс обучения. Рассмотрены перспективы развития нейросетевых технологий в системе онлайн-прокторинга. Освещены направления модернизации систем прокторинга в рамках цифровой трансформации образования. Представлены выводы, касающиеся эффективности и обоснованности использования нейросетевых инструментов для обеспечения достоверного контроля в дистанционном обучении.</w:t>
      </w:r>
    </w:p>
    <w:p w14:paraId="3D1A69CD" w14:textId="77777777" w:rsidR="00FD1DC0" w:rsidRPr="00FD1DC0" w:rsidRDefault="00FD1DC0" w:rsidP="00FD1DC0">
      <w:pPr>
        <w:spacing w:after="0" w:line="240" w:lineRule="auto"/>
        <w:ind w:firstLine="567"/>
        <w:jc w:val="both"/>
        <w:rPr>
          <w:rFonts w:ascii="Times New Roman" w:eastAsia="Aptos" w:hAnsi="Times New Roman" w:cs="Times New Roman"/>
          <w:kern w:val="2"/>
          <w:sz w:val="21"/>
          <w:szCs w:val="21"/>
          <w14:ligatures w14:val="standardContextual"/>
        </w:rPr>
      </w:pPr>
      <w:r w:rsidRPr="00FD1DC0">
        <w:rPr>
          <w:rFonts w:ascii="Times New Roman" w:eastAsia="Aptos" w:hAnsi="Times New Roman" w:cs="Times New Roman"/>
          <w:b/>
          <w:kern w:val="2"/>
          <w:sz w:val="21"/>
          <w:szCs w:val="21"/>
          <w14:ligatures w14:val="standardContextual"/>
        </w:rPr>
        <w:t>Ключевые слова:</w:t>
      </w:r>
      <w:r w:rsidRPr="00FD1DC0">
        <w:rPr>
          <w:rFonts w:ascii="Times New Roman" w:eastAsia="Aptos" w:hAnsi="Times New Roman" w:cs="Times New Roman"/>
          <w:kern w:val="2"/>
          <w:sz w:val="21"/>
          <w:szCs w:val="21"/>
          <w14:ligatures w14:val="standardContextual"/>
        </w:rPr>
        <w:t xml:space="preserve"> дистанционное обучение, прокторинг, нейросети, искусственный интеллект, контроль знаний.</w:t>
      </w:r>
    </w:p>
    <w:p w14:paraId="3959BFDB" w14:textId="77777777" w:rsidR="00FD1DC0" w:rsidRPr="00FD1DC0" w:rsidRDefault="00FD1DC0" w:rsidP="00FD1DC0">
      <w:pPr>
        <w:spacing w:after="0" w:line="240" w:lineRule="auto"/>
        <w:ind w:firstLine="567"/>
        <w:jc w:val="right"/>
        <w:rPr>
          <w:rFonts w:ascii="Times New Roman" w:eastAsia="Aptos" w:hAnsi="Times New Roman" w:cs="Times New Roman"/>
          <w:b/>
          <w:i/>
          <w:kern w:val="2"/>
          <w:sz w:val="21"/>
          <w:szCs w:val="21"/>
          <w14:ligatures w14:val="standardContextual"/>
        </w:rPr>
      </w:pPr>
    </w:p>
    <w:p w14:paraId="4321FAFE" w14:textId="77777777" w:rsidR="00FD1DC0" w:rsidRPr="00FD1DC0" w:rsidRDefault="00FD1DC0" w:rsidP="00FD1DC0">
      <w:pPr>
        <w:spacing w:after="0" w:line="240" w:lineRule="auto"/>
        <w:ind w:firstLine="567"/>
        <w:jc w:val="right"/>
        <w:rPr>
          <w:rFonts w:ascii="Times New Roman" w:eastAsia="Aptos" w:hAnsi="Times New Roman" w:cs="Times New Roman"/>
          <w:b/>
          <w:i/>
          <w:kern w:val="2"/>
          <w:sz w:val="21"/>
          <w:szCs w:val="21"/>
          <w:lang w:val="en-US"/>
          <w14:ligatures w14:val="standardContextual"/>
        </w:rPr>
      </w:pPr>
      <w:r w:rsidRPr="00FD1DC0">
        <w:rPr>
          <w:rFonts w:ascii="Times New Roman" w:eastAsia="Aptos" w:hAnsi="Times New Roman" w:cs="Times New Roman"/>
          <w:b/>
          <w:i/>
          <w:kern w:val="2"/>
          <w:sz w:val="21"/>
          <w:szCs w:val="21"/>
          <w:lang w:val="en-US"/>
          <w14:ligatures w14:val="standardContextual"/>
        </w:rPr>
        <w:t>Dubrovskaya P.V.,</w:t>
      </w:r>
    </w:p>
    <w:p w14:paraId="09A6B23A" w14:textId="77777777" w:rsidR="00FD1DC0" w:rsidRPr="00FD1DC0" w:rsidRDefault="00FD1DC0" w:rsidP="00FD1DC0">
      <w:pPr>
        <w:spacing w:after="0" w:line="240" w:lineRule="auto"/>
        <w:ind w:firstLine="567"/>
        <w:jc w:val="right"/>
        <w:rPr>
          <w:rFonts w:ascii="Times New Roman" w:eastAsia="Aptos" w:hAnsi="Times New Roman" w:cs="Times New Roman"/>
          <w:b/>
          <w:i/>
          <w:kern w:val="2"/>
          <w:sz w:val="21"/>
          <w:szCs w:val="21"/>
          <w:lang w:val="en-US"/>
          <w14:ligatures w14:val="standardContextual"/>
        </w:rPr>
      </w:pPr>
      <w:r w:rsidRPr="00FD1DC0">
        <w:rPr>
          <w:rFonts w:ascii="Times New Roman" w:eastAsia="Aptos" w:hAnsi="Times New Roman" w:cs="Times New Roman"/>
          <w:i/>
          <w:kern w:val="2"/>
          <w:lang w:val="en-US"/>
          <w14:ligatures w14:val="standardContextual"/>
        </w:rPr>
        <w:t xml:space="preserve"> </w:t>
      </w:r>
      <w:proofErr w:type="gramStart"/>
      <w:r w:rsidRPr="00FD1DC0">
        <w:rPr>
          <w:rFonts w:ascii="Times New Roman" w:eastAsia="Aptos" w:hAnsi="Times New Roman" w:cs="Times New Roman"/>
          <w:i/>
          <w:kern w:val="2"/>
          <w:sz w:val="21"/>
          <w:szCs w:val="21"/>
          <w:lang w:val="en-US"/>
          <w14:ligatures w14:val="standardContextual"/>
        </w:rPr>
        <w:t>3 year</w:t>
      </w:r>
      <w:proofErr w:type="gramEnd"/>
      <w:r w:rsidRPr="00FD1DC0">
        <w:rPr>
          <w:rFonts w:ascii="Times New Roman" w:eastAsia="Aptos" w:hAnsi="Times New Roman" w:cs="Times New Roman"/>
          <w:i/>
          <w:kern w:val="2"/>
          <w:sz w:val="21"/>
          <w:szCs w:val="21"/>
          <w:lang w:val="en-US"/>
          <w14:ligatures w14:val="standardContextual"/>
        </w:rPr>
        <w:t xml:space="preserve"> student</w:t>
      </w:r>
    </w:p>
    <w:p w14:paraId="5B100747" w14:textId="77777777" w:rsidR="00FD1DC0" w:rsidRPr="00FD1DC0" w:rsidRDefault="00FD1DC0" w:rsidP="00FD1DC0">
      <w:pPr>
        <w:spacing w:after="0" w:line="240" w:lineRule="auto"/>
        <w:ind w:firstLine="567"/>
        <w:jc w:val="right"/>
        <w:rPr>
          <w:rFonts w:ascii="Times New Roman" w:eastAsia="Times New Roman" w:hAnsi="Times New Roman" w:cs="Times New Roman"/>
          <w:i/>
          <w:sz w:val="21"/>
          <w:szCs w:val="21"/>
          <w:lang w:val="x-none" w:eastAsia="ar-SA"/>
        </w:rPr>
      </w:pPr>
      <w:r w:rsidRPr="00FD1DC0">
        <w:rPr>
          <w:rFonts w:ascii="Times New Roman" w:eastAsia="Times New Roman" w:hAnsi="Times New Roman" w:cs="Times New Roman"/>
          <w:i/>
          <w:sz w:val="21"/>
          <w:szCs w:val="21"/>
          <w:lang w:val="x-none" w:eastAsia="ar-SA"/>
        </w:rPr>
        <w:t>Krasnodar branch of the Financial University under the Government of the Russian Federation, Federal State Budgetary Educational Institution of Higher Professional Education</w:t>
      </w:r>
    </w:p>
    <w:p w14:paraId="10F40F14" w14:textId="77777777" w:rsidR="00FD1DC0" w:rsidRPr="00FD1DC0" w:rsidRDefault="00FD1DC0" w:rsidP="00FD1DC0">
      <w:pPr>
        <w:spacing w:after="0" w:line="240" w:lineRule="auto"/>
        <w:ind w:firstLine="567"/>
        <w:jc w:val="right"/>
        <w:rPr>
          <w:rFonts w:ascii="Times New Roman" w:eastAsia="Times New Roman" w:hAnsi="Times New Roman" w:cs="Times New Roman"/>
          <w:i/>
          <w:sz w:val="21"/>
          <w:szCs w:val="21"/>
          <w:lang w:val="x-none" w:eastAsia="ar-SA"/>
        </w:rPr>
      </w:pPr>
      <w:r w:rsidRPr="00FD1DC0">
        <w:rPr>
          <w:rFonts w:ascii="Times New Roman" w:eastAsia="Times New Roman" w:hAnsi="Times New Roman" w:cs="Times New Roman"/>
          <w:i/>
          <w:sz w:val="21"/>
          <w:szCs w:val="21"/>
          <w:lang w:val="x-none" w:eastAsia="ar-SA"/>
        </w:rPr>
        <w:t>Krasnodar, Russia</w:t>
      </w:r>
    </w:p>
    <w:p w14:paraId="7DF33566" w14:textId="77777777" w:rsidR="00FD1DC0" w:rsidRPr="00FD1DC0" w:rsidRDefault="00FD1DC0" w:rsidP="00FD1DC0">
      <w:pPr>
        <w:spacing w:after="0" w:line="240" w:lineRule="auto"/>
        <w:ind w:firstLine="567"/>
        <w:jc w:val="right"/>
        <w:rPr>
          <w:rFonts w:ascii="Aptos" w:eastAsia="Aptos" w:hAnsi="Aptos" w:cs="Times New Roman"/>
          <w:i/>
          <w:kern w:val="2"/>
          <w:lang w:val="en-US"/>
          <w14:ligatures w14:val="standardContextual"/>
        </w:rPr>
      </w:pPr>
      <w:r w:rsidRPr="00FD1DC0">
        <w:rPr>
          <w:rFonts w:ascii="Times New Roman" w:eastAsia="Aptos" w:hAnsi="Times New Roman" w:cs="Times New Roman"/>
          <w:i/>
          <w:kern w:val="2"/>
          <w:sz w:val="21"/>
          <w:szCs w:val="21"/>
          <w14:ligatures w14:val="standardContextual"/>
        </w:rPr>
        <w:t>е</w:t>
      </w:r>
      <w:r w:rsidRPr="00FD1DC0">
        <w:rPr>
          <w:rFonts w:ascii="Times New Roman" w:eastAsia="Aptos" w:hAnsi="Times New Roman" w:cs="Times New Roman"/>
          <w:i/>
          <w:kern w:val="2"/>
          <w:sz w:val="21"/>
          <w:szCs w:val="21"/>
          <w:lang w:val="en-US"/>
          <w14:ligatures w14:val="standardContextual"/>
        </w:rPr>
        <w:t xml:space="preserve">-mail: </w:t>
      </w:r>
      <w:hyperlink r:id="rId387" w:history="1">
        <w:r w:rsidRPr="00FD1DC0">
          <w:rPr>
            <w:rFonts w:ascii="Times New Roman" w:eastAsia="Aptos" w:hAnsi="Times New Roman" w:cs="Times New Roman"/>
            <w:i/>
            <w:color w:val="0000FF"/>
            <w:kern w:val="2"/>
            <w:sz w:val="21"/>
            <w:szCs w:val="21"/>
            <w:u w:val="single"/>
            <w:lang w:val="en-US"/>
            <w14:ligatures w14:val="standardContextual"/>
          </w:rPr>
          <w:t>pdv.22@mail.ru</w:t>
        </w:r>
      </w:hyperlink>
    </w:p>
    <w:p w14:paraId="765480AA" w14:textId="77777777" w:rsidR="00FD1DC0" w:rsidRPr="00FD1DC0" w:rsidRDefault="00FD1DC0" w:rsidP="00FD1DC0">
      <w:pPr>
        <w:spacing w:after="0" w:line="240" w:lineRule="auto"/>
        <w:ind w:firstLine="567"/>
        <w:jc w:val="right"/>
        <w:rPr>
          <w:rFonts w:ascii="Aptos" w:eastAsia="Aptos" w:hAnsi="Aptos" w:cs="Times New Roman"/>
          <w:i/>
          <w:kern w:val="2"/>
          <w:lang w:val="en-US"/>
          <w14:ligatures w14:val="standardContextual"/>
        </w:rPr>
      </w:pPr>
    </w:p>
    <w:p w14:paraId="22D8E847" w14:textId="77777777" w:rsidR="00FD1DC0" w:rsidRPr="00FD1DC0" w:rsidRDefault="00FD1DC0" w:rsidP="00FD1DC0">
      <w:pPr>
        <w:spacing w:after="0" w:line="240" w:lineRule="auto"/>
        <w:ind w:firstLine="567"/>
        <w:jc w:val="right"/>
        <w:rPr>
          <w:rFonts w:ascii="Times New Roman" w:eastAsia="Aptos" w:hAnsi="Times New Roman" w:cs="Times New Roman"/>
          <w:b/>
          <w:i/>
          <w:kern w:val="2"/>
          <w:sz w:val="21"/>
          <w:szCs w:val="21"/>
          <w:lang w:val="en-US"/>
          <w14:ligatures w14:val="standardContextual"/>
        </w:rPr>
      </w:pPr>
      <w:r w:rsidRPr="00FD1DC0">
        <w:rPr>
          <w:rFonts w:ascii="Times New Roman" w:eastAsia="Aptos" w:hAnsi="Times New Roman" w:cs="Times New Roman"/>
          <w:b/>
          <w:i/>
          <w:kern w:val="2"/>
          <w:sz w:val="21"/>
          <w:szCs w:val="21"/>
          <w:lang w:val="en-US"/>
          <w14:ligatures w14:val="standardContextual"/>
        </w:rPr>
        <w:t>Scientific Adviser:</w:t>
      </w:r>
    </w:p>
    <w:p w14:paraId="7653C2A2" w14:textId="77777777" w:rsidR="00FD1DC0" w:rsidRPr="00FD1DC0" w:rsidRDefault="00FD1DC0" w:rsidP="00FD1DC0">
      <w:pPr>
        <w:spacing w:after="0" w:line="240" w:lineRule="auto"/>
        <w:ind w:firstLine="567"/>
        <w:jc w:val="right"/>
        <w:rPr>
          <w:rFonts w:ascii="Times New Roman" w:eastAsia="Aptos" w:hAnsi="Times New Roman" w:cs="Times New Roman"/>
          <w:b/>
          <w:i/>
          <w:kern w:val="2"/>
          <w:sz w:val="21"/>
          <w:szCs w:val="21"/>
          <w:lang w:val="en-US"/>
          <w14:ligatures w14:val="standardContextual"/>
        </w:rPr>
      </w:pPr>
      <w:r w:rsidRPr="00FD1DC0">
        <w:rPr>
          <w:rFonts w:ascii="Times New Roman" w:eastAsia="Aptos" w:hAnsi="Times New Roman" w:cs="Times New Roman"/>
          <w:b/>
          <w:i/>
          <w:kern w:val="2"/>
          <w:sz w:val="21"/>
          <w:szCs w:val="21"/>
          <w:lang w:val="en-US"/>
          <w14:ligatures w14:val="standardContextual"/>
        </w:rPr>
        <w:t>Kiriy V.A.,</w:t>
      </w:r>
    </w:p>
    <w:p w14:paraId="065EAEB3" w14:textId="05115F37" w:rsidR="00FD1DC0" w:rsidRPr="00FD1DC0" w:rsidRDefault="00FD1DC0" w:rsidP="00FD1DC0">
      <w:pPr>
        <w:spacing w:after="0" w:line="240" w:lineRule="auto"/>
        <w:ind w:firstLine="567"/>
        <w:jc w:val="right"/>
        <w:rPr>
          <w:rFonts w:ascii="Times New Roman" w:eastAsia="Aptos" w:hAnsi="Times New Roman" w:cs="Times New Roman"/>
          <w:i/>
          <w:kern w:val="2"/>
          <w:sz w:val="20"/>
          <w:szCs w:val="20"/>
          <w:lang w:val="en-US"/>
          <w14:ligatures w14:val="standardContextual"/>
        </w:rPr>
      </w:pPr>
      <w:r w:rsidRPr="00FD1DC0">
        <w:rPr>
          <w:rFonts w:ascii="Times New Roman" w:eastAsia="Aptos" w:hAnsi="Times New Roman" w:cs="Times New Roman"/>
          <w:bCs/>
          <w:i/>
          <w:kern w:val="2"/>
          <w:sz w:val="20"/>
          <w:szCs w:val="20"/>
          <w:lang w:val="en-US"/>
          <w14:ligatures w14:val="standardContextual"/>
        </w:rPr>
        <w:t xml:space="preserve"> </w:t>
      </w:r>
      <w:r w:rsidRPr="00FD1DC0">
        <w:rPr>
          <w:rFonts w:ascii="Times New Roman" w:eastAsia="Aptos" w:hAnsi="Times New Roman" w:cs="Times New Roman"/>
          <w:i/>
          <w:kern w:val="2"/>
          <w:sz w:val="20"/>
          <w:szCs w:val="20"/>
          <w:lang w:val="en-US"/>
          <w14:ligatures w14:val="standardContextual"/>
        </w:rPr>
        <w:t xml:space="preserve">Candidate of Science (Physical and mathematical), Associate Professor of the </w:t>
      </w:r>
    </w:p>
    <w:p w14:paraId="7960C797" w14:textId="77777777" w:rsidR="00FD1DC0" w:rsidRPr="00FD1DC0" w:rsidRDefault="00FD1DC0" w:rsidP="00FD1DC0">
      <w:pPr>
        <w:spacing w:after="0" w:line="240" w:lineRule="auto"/>
        <w:ind w:firstLine="567"/>
        <w:jc w:val="right"/>
        <w:rPr>
          <w:rFonts w:ascii="Times New Roman" w:eastAsia="Aptos" w:hAnsi="Times New Roman" w:cs="Times New Roman"/>
          <w:i/>
          <w:iCs/>
          <w:color w:val="FF0000"/>
          <w:kern w:val="2"/>
          <w:sz w:val="20"/>
          <w:szCs w:val="20"/>
          <w:shd w:val="clear" w:color="auto" w:fill="FFFFFF"/>
          <w:lang w:val="en-US"/>
          <w14:ligatures w14:val="standardContextual"/>
        </w:rPr>
      </w:pPr>
      <w:r w:rsidRPr="00FD1DC0">
        <w:rPr>
          <w:rFonts w:ascii="Times New Roman" w:eastAsia="Aptos" w:hAnsi="Times New Roman" w:cs="Times New Roman"/>
          <w:i/>
          <w:kern w:val="2"/>
          <w:sz w:val="21"/>
          <w:szCs w:val="21"/>
          <w:lang w:val="en-US"/>
          <w14:ligatures w14:val="standardContextual"/>
        </w:rPr>
        <w:t>Krasnodar branch of the Financial University under the Government of the Russian Federation, Federal State Budgetary Educational Institution of Higher Professional Education</w:t>
      </w:r>
    </w:p>
    <w:p w14:paraId="10D5DF66" w14:textId="77777777" w:rsidR="00FD1DC0" w:rsidRPr="00FD1DC0" w:rsidRDefault="00FD1DC0" w:rsidP="00FD1DC0">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FD1DC0">
        <w:rPr>
          <w:rFonts w:ascii="Times New Roman" w:eastAsia="Times New Roman" w:hAnsi="Times New Roman" w:cs="Times New Roman"/>
          <w:i/>
          <w:sz w:val="21"/>
          <w:szCs w:val="21"/>
          <w:lang w:val="x-none" w:eastAsia="ar-SA"/>
        </w:rPr>
        <w:t>Krasnodar, Russia</w:t>
      </w:r>
    </w:p>
    <w:p w14:paraId="77E80320" w14:textId="77777777" w:rsidR="00FD1DC0" w:rsidRPr="00FD1DC0" w:rsidRDefault="00FD1DC0" w:rsidP="00FD1DC0">
      <w:pPr>
        <w:suppressAutoHyphens/>
        <w:spacing w:after="0" w:line="240" w:lineRule="auto"/>
        <w:ind w:firstLine="567"/>
        <w:jc w:val="right"/>
        <w:textAlignment w:val="baseline"/>
        <w:rPr>
          <w:rFonts w:ascii="Times New Roman" w:eastAsia="DengXian Light" w:hAnsi="Times New Roman" w:cs="Times New Roman"/>
          <w:i/>
          <w:sz w:val="21"/>
          <w:szCs w:val="21"/>
          <w:lang w:val="x-none" w:eastAsia="ar-SA"/>
        </w:rPr>
      </w:pPr>
      <w:r w:rsidRPr="00FD1DC0">
        <w:rPr>
          <w:rFonts w:ascii="Times New Roman" w:eastAsia="Times New Roman" w:hAnsi="Times New Roman" w:cs="Times New Roman"/>
          <w:i/>
          <w:sz w:val="21"/>
          <w:szCs w:val="21"/>
          <w:lang w:eastAsia="ar-SA"/>
        </w:rPr>
        <w:t>е</w:t>
      </w:r>
      <w:r w:rsidRPr="00FD1DC0">
        <w:rPr>
          <w:rFonts w:ascii="Times New Roman" w:eastAsia="Times New Roman" w:hAnsi="Times New Roman" w:cs="Times New Roman"/>
          <w:i/>
          <w:sz w:val="21"/>
          <w:szCs w:val="21"/>
          <w:lang w:val="en-US" w:eastAsia="ar-SA"/>
        </w:rPr>
        <w:t xml:space="preserve">-mail: </w:t>
      </w:r>
      <w:hyperlink r:id="rId388" w:history="1">
        <w:r w:rsidRPr="00FD1DC0">
          <w:rPr>
            <w:rFonts w:ascii="Times New Roman" w:eastAsia="DengXian Light" w:hAnsi="Times New Roman" w:cs="Times New Roman"/>
            <w:i/>
            <w:color w:val="0000FF"/>
            <w:sz w:val="21"/>
            <w:szCs w:val="21"/>
            <w:u w:val="single"/>
            <w:lang w:val="x-none" w:eastAsia="ar-SA"/>
          </w:rPr>
          <w:t>VAKirij@fa.ru</w:t>
        </w:r>
      </w:hyperlink>
    </w:p>
    <w:p w14:paraId="1ACCCFE0" w14:textId="77777777" w:rsidR="00FD1DC0" w:rsidRPr="00FD1DC0" w:rsidRDefault="00FD1DC0" w:rsidP="00FD1DC0">
      <w:pPr>
        <w:suppressAutoHyphens/>
        <w:spacing w:after="0" w:line="240" w:lineRule="auto"/>
        <w:ind w:firstLine="567"/>
        <w:jc w:val="right"/>
        <w:textAlignment w:val="baseline"/>
        <w:rPr>
          <w:rFonts w:ascii="Times New Roman" w:eastAsia="Times New Roman" w:hAnsi="Times New Roman" w:cs="Times New Roman"/>
          <w:i/>
          <w:sz w:val="21"/>
          <w:szCs w:val="21"/>
          <w:lang w:val="en-US" w:eastAsia="ar-SA"/>
        </w:rPr>
      </w:pPr>
    </w:p>
    <w:p w14:paraId="3E4F718F" w14:textId="77777777" w:rsidR="00FD1DC0" w:rsidRPr="00FD1DC0" w:rsidRDefault="00FD1DC0" w:rsidP="00FD1DC0">
      <w:pPr>
        <w:tabs>
          <w:tab w:val="left" w:pos="993"/>
        </w:tabs>
        <w:spacing w:before="40" w:after="40" w:line="240" w:lineRule="auto"/>
        <w:ind w:firstLine="709"/>
        <w:jc w:val="center"/>
        <w:rPr>
          <w:rFonts w:ascii="Times New Roman" w:eastAsia="Aptos" w:hAnsi="Times New Roman" w:cs="Times New Roman"/>
          <w:b/>
          <w:bCs/>
          <w:kern w:val="2"/>
          <w:sz w:val="21"/>
          <w:szCs w:val="21"/>
          <w:lang w:val="en-US"/>
          <w14:ligatures w14:val="standardContextual"/>
        </w:rPr>
      </w:pPr>
      <w:r w:rsidRPr="00FD1DC0">
        <w:rPr>
          <w:rFonts w:ascii="Times New Roman" w:eastAsia="Aptos" w:hAnsi="Times New Roman" w:cs="Times New Roman"/>
          <w:b/>
          <w:bCs/>
          <w:kern w:val="2"/>
          <w:sz w:val="21"/>
          <w:szCs w:val="21"/>
          <w:lang w:val="en-US"/>
          <w14:ligatures w14:val="standardContextual"/>
        </w:rPr>
        <w:t>Challenges and Prospects of Integrating Neural Network Technologies into Online Proctoring Systems</w:t>
      </w:r>
    </w:p>
    <w:p w14:paraId="6B139DAE" w14:textId="77777777" w:rsidR="000F410D" w:rsidRPr="00654CF2" w:rsidRDefault="000F410D" w:rsidP="00FD1DC0">
      <w:pPr>
        <w:tabs>
          <w:tab w:val="left" w:pos="993"/>
        </w:tabs>
        <w:spacing w:before="40" w:after="40" w:line="240" w:lineRule="auto"/>
        <w:ind w:firstLine="709"/>
        <w:jc w:val="both"/>
        <w:rPr>
          <w:rFonts w:ascii="Times New Roman" w:eastAsia="Aptos" w:hAnsi="Times New Roman" w:cs="Times New Roman"/>
          <w:b/>
          <w:bCs/>
          <w:kern w:val="2"/>
          <w:sz w:val="21"/>
          <w:szCs w:val="21"/>
          <w:lang w:val="en-US"/>
          <w14:ligatures w14:val="standardContextual"/>
        </w:rPr>
      </w:pPr>
    </w:p>
    <w:p w14:paraId="6C40DA38" w14:textId="0F6D3193"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21"/>
          <w:szCs w:val="21"/>
          <w:lang w:val="en-US"/>
          <w14:ligatures w14:val="standardContextual"/>
        </w:rPr>
      </w:pPr>
      <w:r w:rsidRPr="00FD1DC0">
        <w:rPr>
          <w:rFonts w:ascii="Times New Roman" w:eastAsia="Aptos" w:hAnsi="Times New Roman" w:cs="Times New Roman"/>
          <w:b/>
          <w:bCs/>
          <w:kern w:val="2"/>
          <w:sz w:val="21"/>
          <w:szCs w:val="21"/>
          <w:lang w:val="en-US"/>
          <w14:ligatures w14:val="standardContextual"/>
        </w:rPr>
        <w:t xml:space="preserve">Abstract: </w:t>
      </w:r>
      <w:r w:rsidRPr="00FD1DC0">
        <w:rPr>
          <w:rFonts w:ascii="Times New Roman" w:eastAsia="Aptos" w:hAnsi="Times New Roman" w:cs="Times New Roman"/>
          <w:kern w:val="2"/>
          <w:sz w:val="21"/>
          <w:szCs w:val="21"/>
          <w:lang w:val="en-US"/>
          <w14:ligatures w14:val="standardContextual"/>
        </w:rPr>
        <w:t>This article explores the key challenges and promising directions for the application of neural network technologies in the context of online proctoring. The analysis addresses various barriers to implementation, including ethical, technical, and organizational issues that arise when integrating proctoring systems into educational processes. The paper outlines potential avenues for the development of neural network solutions within online proctoring frameworks and highlights modernization strategies in the context of the digital transformation of education. Conclusions are drawn regarding the effectiveness and rationale for employing neural network-based tools to ensure reliable knowledge assessment in distance learning environments.</w:t>
      </w:r>
    </w:p>
    <w:p w14:paraId="0F0091D4"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21"/>
          <w:szCs w:val="21"/>
          <w:lang w:val="en-US"/>
          <w14:ligatures w14:val="standardContextual"/>
        </w:rPr>
      </w:pPr>
      <w:r w:rsidRPr="00FD1DC0">
        <w:rPr>
          <w:rFonts w:ascii="Times New Roman" w:eastAsia="Aptos" w:hAnsi="Times New Roman" w:cs="Times New Roman"/>
          <w:b/>
          <w:bCs/>
          <w:kern w:val="2"/>
          <w:sz w:val="21"/>
          <w:szCs w:val="21"/>
          <w:lang w:val="en-US"/>
          <w14:ligatures w14:val="standardContextual"/>
        </w:rPr>
        <w:t>Keywords:</w:t>
      </w:r>
      <w:r w:rsidRPr="00FD1DC0">
        <w:rPr>
          <w:rFonts w:ascii="Times New Roman" w:eastAsia="Aptos" w:hAnsi="Times New Roman" w:cs="Times New Roman"/>
          <w:kern w:val="2"/>
          <w:sz w:val="21"/>
          <w:szCs w:val="21"/>
          <w:lang w:val="en-US"/>
          <w14:ligatures w14:val="standardContextual"/>
        </w:rPr>
        <w:t xml:space="preserve"> distance learning, proctoring, neural networks, artificial intelligence, knowledge assessment.</w:t>
      </w:r>
    </w:p>
    <w:p w14:paraId="23E732AE"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lang w:val="en-US"/>
          <w14:ligatures w14:val="standardContextual"/>
        </w:rPr>
      </w:pPr>
    </w:p>
    <w:p w14:paraId="77900DAE" w14:textId="6A1A112A"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lastRenderedPageBreak/>
        <w:t>Расширение форматов дистанционного образования обусловило необходимость поиска эффективных инструментов обеспечения прозрачности и объективности контроля знаний. Одним из таких инструментов стал онлайн-прокторинг — технология контроля действий учащихся во время прохождения тестов и других экзаменов в онлайне</w:t>
      </w:r>
      <w:r w:rsidR="000F410D">
        <w:rPr>
          <w:rFonts w:ascii="Times New Roman" w:eastAsia="Aptos" w:hAnsi="Times New Roman" w:cs="Times New Roman"/>
          <w:kern w:val="2"/>
          <w:sz w:val="32"/>
          <w:szCs w:val="32"/>
          <w14:ligatures w14:val="standardContextual"/>
        </w:rPr>
        <w:t xml:space="preserve"> </w:t>
      </w:r>
      <w:r w:rsidRPr="00FD1DC0">
        <w:rPr>
          <w:rFonts w:ascii="Times New Roman" w:eastAsia="Aptos" w:hAnsi="Times New Roman" w:cs="Times New Roman"/>
          <w:kern w:val="2"/>
          <w:sz w:val="32"/>
          <w:szCs w:val="32"/>
          <w14:ligatures w14:val="standardContextual"/>
        </w:rPr>
        <w:t>[1]. В современных условиях, когда растёт масштаб дистанционного обучения, особую значимость приобретают технологии, основанные на использовании нейросетей и искусственного интеллекта. Несмотря на очевидные преимущества, внедрение подобных решений связано с рядом проблем, требующих всестороннего изучения.</w:t>
      </w:r>
    </w:p>
    <w:p w14:paraId="6C69CF8F" w14:textId="1BE2E28E"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Развитие дистанционного формата обучения на глобальном уровне обусловило необходимость активного внедрения цифровых инструментов в систему образования. Согласно отчёту ЮНЕСКО (2023), более 1,5 миллиарда учащихся во всём мире вовлечены в онлайн-обучение</w:t>
      </w:r>
      <w:r w:rsidR="000F410D">
        <w:rPr>
          <w:rFonts w:ascii="Times New Roman" w:eastAsia="Aptos" w:hAnsi="Times New Roman" w:cs="Times New Roman"/>
          <w:kern w:val="2"/>
          <w:sz w:val="32"/>
          <w:szCs w:val="32"/>
          <w14:ligatures w14:val="standardContextual"/>
        </w:rPr>
        <w:t xml:space="preserve"> </w:t>
      </w:r>
      <w:r w:rsidRPr="00FD1DC0">
        <w:rPr>
          <w:rFonts w:ascii="Times New Roman" w:eastAsia="Aptos" w:hAnsi="Times New Roman" w:cs="Times New Roman"/>
          <w:kern w:val="2"/>
          <w:sz w:val="32"/>
          <w:szCs w:val="32"/>
          <w14:ligatures w14:val="standardContextual"/>
        </w:rPr>
        <w:t xml:space="preserve">[2]. Таким образом, стремительное расширение дистанционных форматов обучения и рост потребности в объективной оценке знаний обусловили высокий интерес к внедрению технологий прокторинга, основанных на искусственном интеллекте. Несмотря на широкий спектр потенциальных преимуществ, связанных с применением интеллектуальных решений в образовательной практике, процесс их внедрения и повседневного использования сопровождается рядом объективных затруднений. Для того чтобы интеграция таких технологий происходила последовательно и эффективно, требуется детальное осмысление существующих препятствий, возникающих как на этапе технической реализации, так и в процессе последующей эксплуатации. Одной из важнейших проблемных зон в данном контексте выступают вопросы этического характера, напрямую затрагивающие права участников образовательного процесса. </w:t>
      </w:r>
    </w:p>
    <w:p w14:paraId="324C8AD3" w14:textId="77777777" w:rsidR="00FD1DC0" w:rsidRPr="00FD1DC0" w:rsidRDefault="00FD1DC0" w:rsidP="00AD58CD">
      <w:pPr>
        <w:numPr>
          <w:ilvl w:val="0"/>
          <w:numId w:val="249"/>
        </w:numPr>
        <w:tabs>
          <w:tab w:val="left" w:pos="709"/>
          <w:tab w:val="left" w:pos="993"/>
        </w:tabs>
        <w:spacing w:before="40" w:after="40" w:line="240" w:lineRule="auto"/>
        <w:ind w:left="0" w:firstLine="709"/>
        <w:contextualSpacing/>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i/>
          <w:iCs/>
          <w:kern w:val="2"/>
          <w:sz w:val="32"/>
          <w:szCs w:val="32"/>
          <w14:ligatures w14:val="standardContextual"/>
        </w:rPr>
        <w:t>Этические аспекты применения прокторинга</w:t>
      </w:r>
      <w:r w:rsidRPr="00FD1DC0">
        <w:rPr>
          <w:rFonts w:ascii="Times New Roman" w:eastAsia="Aptos" w:hAnsi="Times New Roman" w:cs="Times New Roman"/>
          <w:kern w:val="2"/>
          <w:sz w:val="32"/>
          <w:szCs w:val="32"/>
          <w14:ligatures w14:val="standardContextual"/>
        </w:rPr>
        <w:t xml:space="preserve">. Проблема заключается в том, что подобные методы, даже при декларируемой цели повышения объективности и прозрачности оценки, зачастую воспринимаются как чрезмерное вмешательство в личное пространство. Возникает опасение, что постоянное наблюдение нарушает границы индивидуальной автономии и создаёт психологическое давление, особенно в стрессовых условиях проведения экзаменов. Помимо этого, недостаточная информированность обучающихся о принципах работы систем, объёме </w:t>
      </w:r>
      <w:r w:rsidRPr="00FD1DC0">
        <w:rPr>
          <w:rFonts w:ascii="Times New Roman" w:eastAsia="Aptos" w:hAnsi="Times New Roman" w:cs="Times New Roman"/>
          <w:kern w:val="2"/>
          <w:sz w:val="32"/>
          <w:szCs w:val="32"/>
          <w14:ligatures w14:val="standardContextual"/>
        </w:rPr>
        <w:lastRenderedPageBreak/>
        <w:t>собираемых данных и способах их хранения усугубляет восприятие таких технологий как потенциально репрессивных.</w:t>
      </w:r>
    </w:p>
    <w:p w14:paraId="3D768D74" w14:textId="77777777" w:rsidR="00FD1DC0" w:rsidRPr="00FD1DC0" w:rsidRDefault="00FD1DC0" w:rsidP="00FD1DC0">
      <w:pPr>
        <w:tabs>
          <w:tab w:val="left" w:pos="709"/>
        </w:tabs>
        <w:spacing w:before="40" w:after="40" w:line="240" w:lineRule="auto"/>
        <w:ind w:firstLine="567"/>
        <w:contextualSpacing/>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Следовательно, без учёта этической составляющей и без обеспечения прозрачности процедур внедрения цифровых инструментов контроля невозможно добиться устойчивого доверия со стороны всех участников образовательного процесса. Этические нормы должны стать неотъемлемой частью нормативного и методического сопровождения интеллектуальных решений, интегрируемых в образовательную среду. Такого рода обеспокоенность высказывается как самими обучающимися, так и представителями академического сообщества, а также правозащитными организациями, акцентирующими внимание на возможных рисках нарушения конфиденциальности и недостаточной защищённости персональных данных. Факт постоянного мониторинга в процессе сдачи экзамена может вызывать у студентов стресс, снижать мотивацию к обучению и даже становиться фактором, нарушающим психологический комфорт.</w:t>
      </w:r>
    </w:p>
    <w:p w14:paraId="081D7BF4" w14:textId="77777777" w:rsidR="00FD1DC0" w:rsidRPr="00FD1DC0" w:rsidRDefault="00FD1DC0" w:rsidP="00FD1DC0">
      <w:pPr>
        <w:spacing w:before="40" w:after="40" w:line="240" w:lineRule="auto"/>
        <w:ind w:firstLine="567"/>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Кроме того, в условиях отсутствия прозрачных нормативных механизмов регулирования и недостаточной информированности обучающихся о принципах функционирования прокторинговых алгоритмов, возрастает вероятность утраты доверия к подобным системам. Вопросы справедливости, добровольности участия в цифровом мониторинге и соразмерности контроля поставленным образовательным целям требуют отдельного научного и нормативного осмысления. Таким образом, этические вызовы, сопряжённые с применением интеллектуальных технологий в сфере образования, выходят за рамки технической проблематики и требуют комплексного подхода с учётом правовых, психологических и культурных аспектов.</w:t>
      </w:r>
    </w:p>
    <w:p w14:paraId="6E28E6D3" w14:textId="77777777" w:rsidR="00FD1DC0" w:rsidRPr="00FD1DC0" w:rsidRDefault="00FD1DC0" w:rsidP="00AD58CD">
      <w:pPr>
        <w:numPr>
          <w:ilvl w:val="0"/>
          <w:numId w:val="249"/>
        </w:numPr>
        <w:tabs>
          <w:tab w:val="left" w:pos="851"/>
          <w:tab w:val="left" w:pos="1134"/>
        </w:tabs>
        <w:spacing w:before="40" w:after="40" w:line="240" w:lineRule="auto"/>
        <w:ind w:left="0" w:firstLine="709"/>
        <w:contextualSpacing/>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i/>
          <w:iCs/>
          <w:kern w:val="2"/>
          <w:sz w:val="32"/>
          <w:szCs w:val="32"/>
          <w14:ligatures w14:val="standardContextual"/>
        </w:rPr>
        <w:t>Технологические ограничения в применении нейросетевых решений для онлайн-прокторинга</w:t>
      </w:r>
      <w:r w:rsidRPr="00FD1DC0">
        <w:rPr>
          <w:rFonts w:ascii="Times New Roman" w:eastAsia="Aptos" w:hAnsi="Times New Roman" w:cs="Times New Roman"/>
          <w:kern w:val="2"/>
          <w:sz w:val="32"/>
          <w:szCs w:val="32"/>
          <w14:ligatures w14:val="standardContextual"/>
        </w:rPr>
        <w:t>. Несмотря на высокий уровень автоматизации и функциональные возможности, современные системы прокторинга, основанные на использовании нейросетевых алгоритмов, не лишены технических уязвимостей. Одной из ключевых проблем является нестабильность работы программных комплексов при изменении внешних условий, выходящих за рамки «типового» сценария функционирования. Так, при недостаточном качестве видеопотока, вызванном, например, слабой освещённостью, низким разрешением камеры или непостоянством интернет-соединения, существенно возрастает вероятность некорректного анализа визуальных и аудиосигналов.</w:t>
      </w:r>
    </w:p>
    <w:p w14:paraId="322C2CC8"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lastRenderedPageBreak/>
        <w:t>Дополнительные сложности связаны с обработкой нестандартных форм поведения обучающихся. Такие поведенческие реакции, как повышенная жестикуляция, мимическая активность или частые перемещения в кадре, могут быть ошибочно интерпретированы системой как признаки подозрительной активности, что, в свою очередь, снижает объективность контроля. Ещё одним важным вызовом становится функционирование прокторинговых платформ в условиях культурного и этнического многообразия.</w:t>
      </w:r>
    </w:p>
    <w:p w14:paraId="63BEBF82"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Нейросети, обученные преимущественно на ограниченных наборах данных, нередко демонстрируют сниженные показатели точности при анализе невербального поведения представителей разных этнокультурных групп. Это связано с тем, что выражение эмоций, взгляд, мимика и другие коммуникативные сигналы могут существенно варьироваться в зависимости от национального или регионального контекста. В результате система может интерпретировать естественные реакции как отклонения от нормы, что ведёт к росту количества ложных срабатываний и снижению доверия к результатам прокторинга. Технические ограничения систем ИИ требуют не только совершенствования алгоритмов обработки данных, но и учёта факторов адаптивности, мультикультурной вариативности, а также условий реальной образовательной среды, в которой функционируют данные решения.</w:t>
      </w:r>
    </w:p>
    <w:p w14:paraId="27C5C9AD" w14:textId="77777777" w:rsidR="00FD1DC0" w:rsidRPr="00FD1DC0" w:rsidRDefault="00FD1DC0" w:rsidP="00AD58CD">
      <w:pPr>
        <w:numPr>
          <w:ilvl w:val="0"/>
          <w:numId w:val="249"/>
        </w:numPr>
        <w:tabs>
          <w:tab w:val="left" w:pos="709"/>
          <w:tab w:val="left" w:pos="993"/>
        </w:tabs>
        <w:spacing w:before="40" w:after="40" w:line="240" w:lineRule="auto"/>
        <w:ind w:left="0" w:firstLine="709"/>
        <w:contextualSpacing/>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i/>
          <w:iCs/>
          <w:kern w:val="2"/>
          <w:sz w:val="32"/>
          <w:szCs w:val="32"/>
          <w14:ligatures w14:val="standardContextual"/>
        </w:rPr>
        <w:t xml:space="preserve">Организационно-правовые условия внедрения интеллектуальных систем в образовательный процесс. </w:t>
      </w:r>
      <w:r w:rsidRPr="00FD1DC0">
        <w:rPr>
          <w:rFonts w:ascii="Times New Roman" w:eastAsia="Aptos" w:hAnsi="Times New Roman" w:cs="Times New Roman"/>
          <w:kern w:val="2"/>
          <w:sz w:val="32"/>
          <w:szCs w:val="32"/>
          <w14:ligatures w14:val="standardContextual"/>
        </w:rPr>
        <w:t>Реализация нейросетевых и иных интеллектуальных технологий в системе образования требует не только технической подготовки, но и серьёзных организационно-правовых преобразований. В первую очередь это касается формирования условий, способствующих подготовке и переподготовке кадров, обладающих компетенциями в области цифровой педагогики, анализа больших данных и сопровождения программных решений на базе искусственного интеллекта. Недостаточная готовность преподавательского состава и специалистов технической поддержки к работе с инновационными цифровыми инструментами нередко становится препятствием на пути к их широкому внедрению.</w:t>
      </w:r>
    </w:p>
    <w:p w14:paraId="69D6B774"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 xml:space="preserve">Наряду с кадровыми вызовами, значимым ограничивающим фактором выступает фрагментарность правовой базы, регулирующей применение систем ИИ в образовательной деятельности. На текущем этапе отсутствуют универсальные регламенты, инструкции и </w:t>
      </w:r>
      <w:r w:rsidRPr="00FD1DC0">
        <w:rPr>
          <w:rFonts w:ascii="Times New Roman" w:eastAsia="Aptos" w:hAnsi="Times New Roman" w:cs="Times New Roman"/>
          <w:kern w:val="2"/>
          <w:sz w:val="32"/>
          <w:szCs w:val="32"/>
          <w14:ligatures w14:val="standardContextual"/>
        </w:rPr>
        <w:lastRenderedPageBreak/>
        <w:t>методические рекомендации, которые могли бы служить основой для разработки и внедрения унифицированных подходов к цифровому контролю знаний. В результате каждое образовательное учреждение вынуждено разрабатывать собственные локальные нормативные акты, что приводит к отсутствию сопоставимости результатов и снижению уровня доверия к технологиям прокторинга.</w:t>
      </w:r>
    </w:p>
    <w:p w14:paraId="6D48D386"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i/>
          <w:iCs/>
          <w:kern w:val="2"/>
          <w:sz w:val="32"/>
          <w:szCs w:val="32"/>
          <w14:ligatures w14:val="standardContextual"/>
        </w:rPr>
      </w:pPr>
      <w:r w:rsidRPr="00FD1DC0">
        <w:rPr>
          <w:rFonts w:ascii="Times New Roman" w:eastAsia="Aptos" w:hAnsi="Times New Roman" w:cs="Times New Roman"/>
          <w:i/>
          <w:iCs/>
          <w:kern w:val="2"/>
          <w:sz w:val="32"/>
          <w:szCs w:val="32"/>
          <w14:ligatures w14:val="standardContextual"/>
        </w:rPr>
        <w:t>Возможные направления технологического и методологического развития онлайн-прокторинга.</w:t>
      </w:r>
    </w:p>
    <w:p w14:paraId="1DE7BB96"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Один из векторов совершенствования систем интеллектуального прокторинга связан с разработкой адаптивных моделей, способных учитывать специфику различных форм контроля знаний — от устных экзаменов до письменных тестов с открытыми ответами. Включение в архитектуру систем элементов экспертных правил наряду с машинным обучением может способствовать не только повышению точности и интерпретируемости результатов, но и уменьшению количества ложноположительных ответов.</w:t>
      </w:r>
    </w:p>
    <w:p w14:paraId="5E141F5D"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Кроме того, актуальной задачей является обеспечение интеграции прокторинговых модулей с существующими цифровыми платформами дистанционного обучения. Такая интеграция позволит реализовать принцип сквозного мониторинга учебной активности, обеспечивая единое пространство анализа данных, оперативную обратную связь и комплексную оценку образовательных результатов.</w:t>
      </w:r>
    </w:p>
    <w:p w14:paraId="450423A1"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Формирование нормативной базы как ключ к институционализации ИИ в образовании</w:t>
      </w:r>
    </w:p>
    <w:p w14:paraId="4AD7A018"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 xml:space="preserve">Устойчивое внедрение интеллектуальных технологий невозможно без надёжной нормативной опоры. Законодательное определение пределов допустимого применения ИИ в учебном процессе, установление стандартов хранения, обработки и защиты персональных данных обучающихся, а также механизмов аудита цифровых решений должно стать основой доверительных отношений между участниками образовательного процесса. Только при наличии таких правовых гарантий возможно формирование устойчивой экосистемы, в которой использование ИИ будет восприниматься не как фактор риска, а как инструмент повышения качества и прозрачности образования. </w:t>
      </w:r>
    </w:p>
    <w:p w14:paraId="4D2592EF"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r w:rsidRPr="00FD1DC0">
        <w:rPr>
          <w:rFonts w:ascii="Times New Roman" w:eastAsia="Aptos" w:hAnsi="Times New Roman" w:cs="Times New Roman"/>
          <w:kern w:val="2"/>
          <w:sz w:val="32"/>
          <w:szCs w:val="32"/>
          <w14:ligatures w14:val="standardContextual"/>
        </w:rPr>
        <w:t xml:space="preserve">Таким образом, применение нейросетей в сфере онлайн-прокторинга открывает возможности для повышения достоверности контроля знаний в условиях дистанционного обучения. Вместе с тем </w:t>
      </w:r>
      <w:r w:rsidRPr="00FD1DC0">
        <w:rPr>
          <w:rFonts w:ascii="Times New Roman" w:eastAsia="Aptos" w:hAnsi="Times New Roman" w:cs="Times New Roman"/>
          <w:kern w:val="2"/>
          <w:sz w:val="32"/>
          <w:szCs w:val="32"/>
          <w14:ligatures w14:val="standardContextual"/>
        </w:rPr>
        <w:lastRenderedPageBreak/>
        <w:t>реализация этих возможностей требует комплексного подхода, включающего не только развитие алгоритмических решений, но и соблюдение этических норм, а также создание организационно-правовых условий. В перспективе такие технологии могут стать неотъемлемой частью цифровой образовательной среды, обеспечивая баланс между эффективностью контроля и уважением к правам обучающихся.</w:t>
      </w:r>
    </w:p>
    <w:p w14:paraId="3582A8FA" w14:textId="77777777" w:rsidR="00FD1DC0" w:rsidRPr="00FD1DC0" w:rsidRDefault="00FD1DC0" w:rsidP="00FD1DC0">
      <w:pPr>
        <w:tabs>
          <w:tab w:val="left" w:pos="993"/>
        </w:tabs>
        <w:spacing w:before="40" w:after="40" w:line="240" w:lineRule="auto"/>
        <w:ind w:firstLine="709"/>
        <w:jc w:val="both"/>
        <w:rPr>
          <w:rFonts w:ascii="Times New Roman" w:eastAsia="Aptos" w:hAnsi="Times New Roman" w:cs="Times New Roman"/>
          <w:kern w:val="2"/>
          <w:sz w:val="32"/>
          <w:szCs w:val="32"/>
          <w14:ligatures w14:val="standardContextual"/>
        </w:rPr>
      </w:pPr>
    </w:p>
    <w:p w14:paraId="7099439A" w14:textId="77777777" w:rsidR="00FD1DC0" w:rsidRPr="00FD1DC0" w:rsidRDefault="00FD1DC0" w:rsidP="00FD1DC0">
      <w:pPr>
        <w:shd w:val="clear" w:color="auto" w:fill="FFFFFF"/>
        <w:suppressAutoHyphens/>
        <w:spacing w:after="0" w:line="240" w:lineRule="auto"/>
        <w:ind w:left="720"/>
        <w:jc w:val="center"/>
        <w:rPr>
          <w:rFonts w:ascii="Times New Roman" w:eastAsia="Times New Roman" w:hAnsi="Times New Roman" w:cs="Times New Roman"/>
          <w:b/>
          <w:color w:val="000000"/>
          <w:sz w:val="21"/>
          <w:szCs w:val="21"/>
          <w:lang w:val="x-none" w:eastAsia="ar-SA"/>
        </w:rPr>
      </w:pPr>
      <w:r w:rsidRPr="00FD1DC0">
        <w:rPr>
          <w:rFonts w:ascii="Times New Roman" w:eastAsia="Times New Roman" w:hAnsi="Times New Roman" w:cs="Times New Roman"/>
          <w:b/>
          <w:color w:val="000000"/>
          <w:sz w:val="21"/>
          <w:szCs w:val="21"/>
          <w:lang w:eastAsia="ar-SA"/>
        </w:rPr>
        <w:t>Литература:</w:t>
      </w:r>
    </w:p>
    <w:p w14:paraId="42C36168" w14:textId="77777777" w:rsidR="00FD1DC0" w:rsidRPr="00FD1DC0" w:rsidRDefault="00FD1DC0" w:rsidP="00AD58CD">
      <w:pPr>
        <w:numPr>
          <w:ilvl w:val="0"/>
          <w:numId w:val="250"/>
        </w:num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FD1DC0">
        <w:rPr>
          <w:rFonts w:ascii="Times New Roman" w:eastAsia="Times New Roman" w:hAnsi="Times New Roman" w:cs="Times New Roman"/>
          <w:sz w:val="21"/>
          <w:szCs w:val="21"/>
          <w:lang w:val="x-none" w:eastAsia="ar-SA"/>
        </w:rPr>
        <w:t>Прокторинг - что это в электронном обучении</w:t>
      </w:r>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[Электронный ресурс: </w:t>
      </w:r>
      <w:r w:rsidRPr="00FD1DC0">
        <w:rPr>
          <w:rFonts w:ascii="Times New Roman" w:eastAsia="Times New Roman" w:hAnsi="Times New Roman" w:cs="Times New Roman"/>
          <w:sz w:val="21"/>
          <w:szCs w:val="21"/>
          <w:lang w:eastAsia="ar-SA"/>
        </w:rPr>
        <w:t xml:space="preserve"> </w:t>
      </w:r>
      <w:hyperlink r:id="rId389" w:history="1">
        <w:r w:rsidRPr="00FD1DC0">
          <w:rPr>
            <w:rFonts w:ascii="Times New Roman" w:eastAsia="Times New Roman" w:hAnsi="Times New Roman" w:cs="Times New Roman"/>
            <w:color w:val="0000FF"/>
            <w:sz w:val="21"/>
            <w:szCs w:val="21"/>
            <w:u w:val="single"/>
            <w:lang w:val="en-US" w:eastAsia="ar-SA"/>
          </w:rPr>
          <w:t>https</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mts</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link</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ru</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blog</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proktoring</w:t>
        </w:r>
        <w:r w:rsidRPr="00FD1DC0">
          <w:rPr>
            <w:rFonts w:ascii="Times New Roman" w:eastAsia="Times New Roman" w:hAnsi="Times New Roman" w:cs="Times New Roman"/>
            <w:color w:val="0000FF"/>
            <w:sz w:val="21"/>
            <w:szCs w:val="21"/>
            <w:u w:val="single"/>
            <w:lang w:eastAsia="ar-SA"/>
          </w:rPr>
          <w:t>/</w:t>
        </w:r>
      </w:hyperlink>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(дата обращения: </w:t>
      </w:r>
      <w:r w:rsidRPr="00FD1DC0">
        <w:rPr>
          <w:rFonts w:ascii="Times New Roman" w:eastAsia="Times New Roman" w:hAnsi="Times New Roman" w:cs="Times New Roman"/>
          <w:sz w:val="21"/>
          <w:szCs w:val="21"/>
          <w:lang w:eastAsia="ar-SA"/>
        </w:rPr>
        <w:t>14</w:t>
      </w:r>
      <w:r w:rsidRPr="00FD1DC0">
        <w:rPr>
          <w:rFonts w:ascii="Times New Roman" w:eastAsia="Times New Roman" w:hAnsi="Times New Roman" w:cs="Times New Roman"/>
          <w:sz w:val="21"/>
          <w:szCs w:val="21"/>
          <w:lang w:val="x-none" w:eastAsia="ar-SA"/>
        </w:rPr>
        <w:t>.0</w:t>
      </w:r>
      <w:r w:rsidRPr="00FD1DC0">
        <w:rPr>
          <w:rFonts w:ascii="Times New Roman" w:eastAsia="Times New Roman" w:hAnsi="Times New Roman" w:cs="Times New Roman"/>
          <w:sz w:val="21"/>
          <w:szCs w:val="21"/>
          <w:lang w:eastAsia="ar-SA"/>
        </w:rPr>
        <w:t>5</w:t>
      </w:r>
      <w:r w:rsidRPr="00FD1DC0">
        <w:rPr>
          <w:rFonts w:ascii="Times New Roman" w:eastAsia="Times New Roman" w:hAnsi="Times New Roman" w:cs="Times New Roman"/>
          <w:sz w:val="21"/>
          <w:szCs w:val="21"/>
          <w:lang w:val="x-none" w:eastAsia="ar-SA"/>
        </w:rPr>
        <w:t>.20</w:t>
      </w:r>
      <w:r w:rsidRPr="00FD1DC0">
        <w:rPr>
          <w:rFonts w:ascii="Times New Roman" w:eastAsia="Times New Roman" w:hAnsi="Times New Roman" w:cs="Times New Roman"/>
          <w:sz w:val="21"/>
          <w:szCs w:val="21"/>
          <w:lang w:eastAsia="ar-SA"/>
        </w:rPr>
        <w:t>25</w:t>
      </w:r>
      <w:r w:rsidRPr="00FD1DC0">
        <w:rPr>
          <w:rFonts w:ascii="Times New Roman" w:eastAsia="Times New Roman" w:hAnsi="Times New Roman" w:cs="Times New Roman"/>
          <w:sz w:val="21"/>
          <w:szCs w:val="21"/>
          <w:lang w:val="x-none" w:eastAsia="ar-SA"/>
        </w:rPr>
        <w:t>)]</w:t>
      </w:r>
    </w:p>
    <w:p w14:paraId="5C7CB35D" w14:textId="77777777" w:rsidR="00FD1DC0" w:rsidRPr="00FD1DC0" w:rsidRDefault="00FD1DC0" w:rsidP="00AD58CD">
      <w:pPr>
        <w:numPr>
          <w:ilvl w:val="0"/>
          <w:numId w:val="250"/>
        </w:num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FD1DC0">
        <w:rPr>
          <w:rFonts w:ascii="Times New Roman" w:eastAsia="Times New Roman" w:hAnsi="Times New Roman" w:cs="Times New Roman"/>
          <w:bCs/>
          <w:sz w:val="21"/>
          <w:szCs w:val="21"/>
          <w:shd w:val="clear" w:color="auto" w:fill="FFFFFF"/>
          <w:lang w:val="en-US" w:eastAsia="ar-SA"/>
        </w:rPr>
        <w:t xml:space="preserve">Global education monitoring report summary, 2023: technology in education: a tool on whose terms? </w:t>
      </w:r>
      <w:r w:rsidRPr="00FD1DC0">
        <w:rPr>
          <w:rFonts w:ascii="Times New Roman" w:eastAsia="Times New Roman" w:hAnsi="Times New Roman" w:cs="Times New Roman"/>
          <w:bCs/>
          <w:sz w:val="21"/>
          <w:szCs w:val="21"/>
          <w:shd w:val="clear" w:color="auto" w:fill="FFFFFF"/>
          <w:lang w:val="x-none" w:eastAsia="ar-SA"/>
        </w:rPr>
        <w:t>(rus)</w:t>
      </w:r>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[Электронный ресурс: </w:t>
      </w:r>
      <w:r w:rsidRPr="00FD1DC0">
        <w:rPr>
          <w:rFonts w:ascii="Times New Roman" w:eastAsia="Times New Roman" w:hAnsi="Times New Roman" w:cs="Times New Roman"/>
          <w:sz w:val="21"/>
          <w:szCs w:val="21"/>
          <w:lang w:eastAsia="ar-SA"/>
        </w:rPr>
        <w:t xml:space="preserve"> </w:t>
      </w:r>
      <w:hyperlink r:id="rId390" w:history="1">
        <w:r w:rsidRPr="00FD1DC0">
          <w:rPr>
            <w:rFonts w:ascii="Times New Roman" w:eastAsia="Times New Roman" w:hAnsi="Times New Roman" w:cs="Times New Roman"/>
            <w:color w:val="0000FF"/>
            <w:sz w:val="21"/>
            <w:szCs w:val="21"/>
            <w:u w:val="single"/>
            <w:lang w:val="en-US" w:eastAsia="ar-SA"/>
          </w:rPr>
          <w:t>https</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www</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unesco</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org</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gem</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report</w:t>
        </w:r>
      </w:hyperlink>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(дата обращения: </w:t>
      </w:r>
      <w:r w:rsidRPr="00FD1DC0">
        <w:rPr>
          <w:rFonts w:ascii="Times New Roman" w:eastAsia="Times New Roman" w:hAnsi="Times New Roman" w:cs="Times New Roman"/>
          <w:sz w:val="21"/>
          <w:szCs w:val="21"/>
          <w:lang w:eastAsia="ar-SA"/>
        </w:rPr>
        <w:t>14</w:t>
      </w:r>
      <w:r w:rsidRPr="00FD1DC0">
        <w:rPr>
          <w:rFonts w:ascii="Times New Roman" w:eastAsia="Times New Roman" w:hAnsi="Times New Roman" w:cs="Times New Roman"/>
          <w:sz w:val="21"/>
          <w:szCs w:val="21"/>
          <w:lang w:val="x-none" w:eastAsia="ar-SA"/>
        </w:rPr>
        <w:t>.0</w:t>
      </w:r>
      <w:r w:rsidRPr="00FD1DC0">
        <w:rPr>
          <w:rFonts w:ascii="Times New Roman" w:eastAsia="Times New Roman" w:hAnsi="Times New Roman" w:cs="Times New Roman"/>
          <w:sz w:val="21"/>
          <w:szCs w:val="21"/>
          <w:lang w:eastAsia="ar-SA"/>
        </w:rPr>
        <w:t>5</w:t>
      </w:r>
      <w:r w:rsidRPr="00FD1DC0">
        <w:rPr>
          <w:rFonts w:ascii="Times New Roman" w:eastAsia="Times New Roman" w:hAnsi="Times New Roman" w:cs="Times New Roman"/>
          <w:sz w:val="21"/>
          <w:szCs w:val="21"/>
          <w:lang w:val="x-none" w:eastAsia="ar-SA"/>
        </w:rPr>
        <w:t>.20</w:t>
      </w:r>
      <w:r w:rsidRPr="00FD1DC0">
        <w:rPr>
          <w:rFonts w:ascii="Times New Roman" w:eastAsia="Times New Roman" w:hAnsi="Times New Roman" w:cs="Times New Roman"/>
          <w:sz w:val="21"/>
          <w:szCs w:val="21"/>
          <w:lang w:eastAsia="ar-SA"/>
        </w:rPr>
        <w:t>25</w:t>
      </w:r>
      <w:r w:rsidRPr="00FD1DC0">
        <w:rPr>
          <w:rFonts w:ascii="Times New Roman" w:eastAsia="Times New Roman" w:hAnsi="Times New Roman" w:cs="Times New Roman"/>
          <w:sz w:val="21"/>
          <w:szCs w:val="21"/>
          <w:lang w:val="x-none" w:eastAsia="ar-SA"/>
        </w:rPr>
        <w:t>)]</w:t>
      </w:r>
    </w:p>
    <w:p w14:paraId="36F9D5CC" w14:textId="77777777" w:rsidR="00FD1DC0" w:rsidRPr="00FD1DC0" w:rsidRDefault="00FD1DC0" w:rsidP="00AD58CD">
      <w:pPr>
        <w:numPr>
          <w:ilvl w:val="0"/>
          <w:numId w:val="250"/>
        </w:num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FD1DC0">
        <w:rPr>
          <w:rFonts w:ascii="Times New Roman" w:eastAsia="Times New Roman" w:hAnsi="Times New Roman" w:cs="Times New Roman"/>
          <w:sz w:val="21"/>
          <w:szCs w:val="21"/>
          <w:lang w:val="x-none" w:eastAsia="ar-SA"/>
        </w:rPr>
        <w:t>Голодков Ю.Э., Карелин А.Г. Искусственный интеллект в образовании: возможности и риски. [Электронный ресурс:</w:t>
      </w:r>
      <w:r w:rsidRPr="00FD1DC0">
        <w:rPr>
          <w:rFonts w:ascii="Times New Roman" w:eastAsia="Times New Roman" w:hAnsi="Times New Roman" w:cs="Times New Roman"/>
          <w:sz w:val="21"/>
          <w:szCs w:val="21"/>
          <w:lang w:eastAsia="ar-SA"/>
        </w:rPr>
        <w:t xml:space="preserve"> </w:t>
      </w:r>
      <w:hyperlink r:id="rId391" w:history="1">
        <w:r w:rsidRPr="00FD1DC0">
          <w:rPr>
            <w:rFonts w:ascii="Times New Roman" w:eastAsia="Times New Roman" w:hAnsi="Times New Roman" w:cs="Times New Roman"/>
            <w:color w:val="0000FF"/>
            <w:sz w:val="21"/>
            <w:szCs w:val="21"/>
            <w:u w:val="single"/>
            <w:lang w:val="en-US" w:eastAsia="ar-SA"/>
          </w:rPr>
          <w:t>https</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cyberleninka</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ru</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article</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n</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iskusstvennyy</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intellekt</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v</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obrazovanii</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vozmozhnosti</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i</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riski</w:t>
        </w:r>
        <w:r w:rsidRPr="00FD1DC0">
          <w:rPr>
            <w:rFonts w:ascii="Times New Roman" w:eastAsia="Times New Roman" w:hAnsi="Times New Roman" w:cs="Times New Roman"/>
            <w:color w:val="0000FF"/>
            <w:sz w:val="21"/>
            <w:szCs w:val="21"/>
            <w:u w:val="single"/>
            <w:lang w:eastAsia="ar-SA"/>
          </w:rPr>
          <w:t>/</w:t>
        </w:r>
        <w:r w:rsidRPr="00FD1DC0">
          <w:rPr>
            <w:rFonts w:ascii="Times New Roman" w:eastAsia="Times New Roman" w:hAnsi="Times New Roman" w:cs="Times New Roman"/>
            <w:color w:val="0000FF"/>
            <w:sz w:val="21"/>
            <w:szCs w:val="21"/>
            <w:u w:val="single"/>
            <w:lang w:val="en-US" w:eastAsia="ar-SA"/>
          </w:rPr>
          <w:t>viewer</w:t>
        </w:r>
      </w:hyperlink>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(дата обращения: </w:t>
      </w:r>
      <w:r w:rsidRPr="00FD1DC0">
        <w:rPr>
          <w:rFonts w:ascii="Times New Roman" w:eastAsia="Times New Roman" w:hAnsi="Times New Roman" w:cs="Times New Roman"/>
          <w:sz w:val="21"/>
          <w:szCs w:val="21"/>
          <w:lang w:eastAsia="ar-SA"/>
        </w:rPr>
        <w:t>14</w:t>
      </w:r>
      <w:r w:rsidRPr="00FD1DC0">
        <w:rPr>
          <w:rFonts w:ascii="Times New Roman" w:eastAsia="Times New Roman" w:hAnsi="Times New Roman" w:cs="Times New Roman"/>
          <w:sz w:val="21"/>
          <w:szCs w:val="21"/>
          <w:lang w:val="x-none" w:eastAsia="ar-SA"/>
        </w:rPr>
        <w:t>.0</w:t>
      </w:r>
      <w:r w:rsidRPr="00FD1DC0">
        <w:rPr>
          <w:rFonts w:ascii="Times New Roman" w:eastAsia="Times New Roman" w:hAnsi="Times New Roman" w:cs="Times New Roman"/>
          <w:sz w:val="21"/>
          <w:szCs w:val="21"/>
          <w:lang w:eastAsia="ar-SA"/>
        </w:rPr>
        <w:t>5</w:t>
      </w:r>
      <w:r w:rsidRPr="00FD1DC0">
        <w:rPr>
          <w:rFonts w:ascii="Times New Roman" w:eastAsia="Times New Roman" w:hAnsi="Times New Roman" w:cs="Times New Roman"/>
          <w:sz w:val="21"/>
          <w:szCs w:val="21"/>
          <w:lang w:val="x-none" w:eastAsia="ar-SA"/>
        </w:rPr>
        <w:t>.20</w:t>
      </w:r>
      <w:r w:rsidRPr="00FD1DC0">
        <w:rPr>
          <w:rFonts w:ascii="Times New Roman" w:eastAsia="Times New Roman" w:hAnsi="Times New Roman" w:cs="Times New Roman"/>
          <w:sz w:val="21"/>
          <w:szCs w:val="21"/>
          <w:lang w:eastAsia="ar-SA"/>
        </w:rPr>
        <w:t>25</w:t>
      </w:r>
      <w:r w:rsidRPr="00FD1DC0">
        <w:rPr>
          <w:rFonts w:ascii="Times New Roman" w:eastAsia="Times New Roman" w:hAnsi="Times New Roman" w:cs="Times New Roman"/>
          <w:sz w:val="21"/>
          <w:szCs w:val="21"/>
          <w:lang w:val="x-none" w:eastAsia="ar-SA"/>
        </w:rPr>
        <w:t>)]</w:t>
      </w:r>
    </w:p>
    <w:p w14:paraId="4D6DBB78" w14:textId="158CC401" w:rsidR="00AC124A" w:rsidRDefault="00FD1DC0" w:rsidP="00AD58CD">
      <w:pPr>
        <w:numPr>
          <w:ilvl w:val="0"/>
          <w:numId w:val="250"/>
        </w:numPr>
        <w:tabs>
          <w:tab w:val="left" w:pos="0"/>
        </w:tabs>
        <w:suppressAutoHyphens/>
        <w:autoSpaceDE w:val="0"/>
        <w:spacing w:after="0" w:line="240" w:lineRule="auto"/>
        <w:jc w:val="both"/>
        <w:rPr>
          <w:rFonts w:ascii="Times New Roman" w:eastAsia="Times New Roman" w:hAnsi="Times New Roman" w:cs="Times New Roman"/>
          <w:sz w:val="21"/>
          <w:szCs w:val="21"/>
          <w:lang w:val="x-none" w:eastAsia="ar-SA"/>
        </w:rPr>
      </w:pPr>
      <w:r w:rsidRPr="00FD1DC0">
        <w:rPr>
          <w:rFonts w:ascii="Times New Roman" w:eastAsia="Times New Roman" w:hAnsi="Times New Roman" w:cs="Times New Roman"/>
          <w:sz w:val="21"/>
          <w:szCs w:val="21"/>
          <w:lang w:val="x-none" w:eastAsia="ar-SA"/>
        </w:rPr>
        <w:t xml:space="preserve">Будущее онлайн-прокторинга [Электронный ресурс: </w:t>
      </w:r>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en-US" w:eastAsia="ar-SA"/>
        </w:rPr>
        <w:t>https</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proctoredu</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ru</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blog</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tpost</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l</w:t>
      </w:r>
      <w:r w:rsidRPr="00FD1DC0">
        <w:rPr>
          <w:rFonts w:ascii="Times New Roman" w:eastAsia="Times New Roman" w:hAnsi="Times New Roman" w:cs="Times New Roman"/>
          <w:sz w:val="21"/>
          <w:szCs w:val="21"/>
          <w:lang w:eastAsia="ar-SA"/>
        </w:rPr>
        <w:t>25</w:t>
      </w:r>
      <w:r w:rsidRPr="00FD1DC0">
        <w:rPr>
          <w:rFonts w:ascii="Times New Roman" w:eastAsia="Times New Roman" w:hAnsi="Times New Roman" w:cs="Times New Roman"/>
          <w:sz w:val="21"/>
          <w:szCs w:val="21"/>
          <w:lang w:val="en-US" w:eastAsia="ar-SA"/>
        </w:rPr>
        <w:t>c</w:t>
      </w:r>
      <w:r w:rsidRPr="00FD1DC0">
        <w:rPr>
          <w:rFonts w:ascii="Times New Roman" w:eastAsia="Times New Roman" w:hAnsi="Times New Roman" w:cs="Times New Roman"/>
          <w:sz w:val="21"/>
          <w:szCs w:val="21"/>
          <w:lang w:eastAsia="ar-SA"/>
        </w:rPr>
        <w:t>3149</w:t>
      </w:r>
      <w:r w:rsidRPr="00FD1DC0">
        <w:rPr>
          <w:rFonts w:ascii="Times New Roman" w:eastAsia="Times New Roman" w:hAnsi="Times New Roman" w:cs="Times New Roman"/>
          <w:sz w:val="21"/>
          <w:szCs w:val="21"/>
          <w:lang w:val="en-US" w:eastAsia="ar-SA"/>
        </w:rPr>
        <w:t>h</w:t>
      </w:r>
      <w:r w:rsidRPr="00FD1DC0">
        <w:rPr>
          <w:rFonts w:ascii="Times New Roman" w:eastAsia="Times New Roman" w:hAnsi="Times New Roman" w:cs="Times New Roman"/>
          <w:sz w:val="21"/>
          <w:szCs w:val="21"/>
          <w:lang w:eastAsia="ar-SA"/>
        </w:rPr>
        <w:t>1-</w:t>
      </w:r>
      <w:r w:rsidRPr="00FD1DC0">
        <w:rPr>
          <w:rFonts w:ascii="Times New Roman" w:eastAsia="Times New Roman" w:hAnsi="Times New Roman" w:cs="Times New Roman"/>
          <w:sz w:val="21"/>
          <w:szCs w:val="21"/>
          <w:lang w:val="en-US" w:eastAsia="ar-SA"/>
        </w:rPr>
        <w:t>buduschee</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onlain</w:t>
      </w:r>
      <w:r w:rsidRPr="00FD1DC0">
        <w:rPr>
          <w:rFonts w:ascii="Times New Roman" w:eastAsia="Times New Roman" w:hAnsi="Times New Roman" w:cs="Times New Roman"/>
          <w:sz w:val="21"/>
          <w:szCs w:val="21"/>
          <w:lang w:eastAsia="ar-SA"/>
        </w:rPr>
        <w:t>-</w:t>
      </w:r>
      <w:r w:rsidRPr="00FD1DC0">
        <w:rPr>
          <w:rFonts w:ascii="Times New Roman" w:eastAsia="Times New Roman" w:hAnsi="Times New Roman" w:cs="Times New Roman"/>
          <w:sz w:val="21"/>
          <w:szCs w:val="21"/>
          <w:lang w:val="en-US" w:eastAsia="ar-SA"/>
        </w:rPr>
        <w:t>proktoringa</w:t>
      </w:r>
      <w:r w:rsidRPr="00FD1DC0">
        <w:rPr>
          <w:rFonts w:ascii="Times New Roman" w:eastAsia="Times New Roman" w:hAnsi="Times New Roman" w:cs="Times New Roman"/>
          <w:sz w:val="21"/>
          <w:szCs w:val="21"/>
          <w:lang w:eastAsia="ar-SA"/>
        </w:rPr>
        <w:t xml:space="preserve">  </w:t>
      </w:r>
      <w:r w:rsidRPr="00FD1DC0">
        <w:rPr>
          <w:rFonts w:ascii="Times New Roman" w:eastAsia="Times New Roman" w:hAnsi="Times New Roman" w:cs="Times New Roman"/>
          <w:sz w:val="21"/>
          <w:szCs w:val="21"/>
          <w:lang w:val="x-none" w:eastAsia="ar-SA"/>
        </w:rPr>
        <w:t xml:space="preserve">(дата обращения: </w:t>
      </w:r>
      <w:r w:rsidRPr="00FD1DC0">
        <w:rPr>
          <w:rFonts w:ascii="Times New Roman" w:eastAsia="Times New Roman" w:hAnsi="Times New Roman" w:cs="Times New Roman"/>
          <w:sz w:val="21"/>
          <w:szCs w:val="21"/>
          <w:lang w:eastAsia="ar-SA"/>
        </w:rPr>
        <w:t>14</w:t>
      </w:r>
      <w:r w:rsidRPr="00FD1DC0">
        <w:rPr>
          <w:rFonts w:ascii="Times New Roman" w:eastAsia="Times New Roman" w:hAnsi="Times New Roman" w:cs="Times New Roman"/>
          <w:sz w:val="21"/>
          <w:szCs w:val="21"/>
          <w:lang w:val="x-none" w:eastAsia="ar-SA"/>
        </w:rPr>
        <w:t>.0</w:t>
      </w:r>
      <w:r w:rsidRPr="00FD1DC0">
        <w:rPr>
          <w:rFonts w:ascii="Times New Roman" w:eastAsia="Times New Roman" w:hAnsi="Times New Roman" w:cs="Times New Roman"/>
          <w:sz w:val="21"/>
          <w:szCs w:val="21"/>
          <w:lang w:eastAsia="ar-SA"/>
        </w:rPr>
        <w:t>5</w:t>
      </w:r>
      <w:r w:rsidRPr="00FD1DC0">
        <w:rPr>
          <w:rFonts w:ascii="Times New Roman" w:eastAsia="Times New Roman" w:hAnsi="Times New Roman" w:cs="Times New Roman"/>
          <w:sz w:val="21"/>
          <w:szCs w:val="21"/>
          <w:lang w:val="x-none" w:eastAsia="ar-SA"/>
        </w:rPr>
        <w:t>.20</w:t>
      </w:r>
      <w:r w:rsidRPr="00FD1DC0">
        <w:rPr>
          <w:rFonts w:ascii="Times New Roman" w:eastAsia="Times New Roman" w:hAnsi="Times New Roman" w:cs="Times New Roman"/>
          <w:sz w:val="21"/>
          <w:szCs w:val="21"/>
          <w:lang w:eastAsia="ar-SA"/>
        </w:rPr>
        <w:t>25</w:t>
      </w:r>
      <w:r w:rsidRPr="00FD1DC0">
        <w:rPr>
          <w:rFonts w:ascii="Times New Roman" w:eastAsia="Times New Roman" w:hAnsi="Times New Roman" w:cs="Times New Roman"/>
          <w:sz w:val="21"/>
          <w:szCs w:val="21"/>
          <w:lang w:val="x-none" w:eastAsia="ar-SA"/>
        </w:rPr>
        <w:t>)]</w:t>
      </w:r>
    </w:p>
    <w:p w14:paraId="6A816BB3" w14:textId="77777777" w:rsidR="00AC124A" w:rsidRDefault="00AC124A" w:rsidP="00AC124A">
      <w:pPr>
        <w:tabs>
          <w:tab w:val="left" w:pos="0"/>
        </w:tabs>
        <w:suppressAutoHyphens/>
        <w:autoSpaceDE w:val="0"/>
        <w:spacing w:after="0" w:line="240" w:lineRule="auto"/>
        <w:ind w:left="720"/>
        <w:jc w:val="both"/>
        <w:rPr>
          <w:rFonts w:ascii="Times New Roman" w:eastAsia="Times New Roman" w:hAnsi="Times New Roman" w:cs="Times New Roman"/>
          <w:sz w:val="21"/>
          <w:szCs w:val="21"/>
          <w:lang w:val="x-none" w:eastAsia="ar-SA"/>
        </w:rPr>
      </w:pPr>
    </w:p>
    <w:p w14:paraId="71BF0FC4"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color w:val="000000"/>
          <w:sz w:val="21"/>
          <w:szCs w:val="21"/>
          <w:lang w:eastAsia="ar-SA"/>
        </w:rPr>
      </w:pPr>
      <w:r w:rsidRPr="006E7EB1">
        <w:rPr>
          <w:rFonts w:ascii="Times New Roman" w:eastAsia="Times New Roman" w:hAnsi="Times New Roman" w:cs="Times New Roman"/>
          <w:b/>
          <w:i/>
          <w:color w:val="000000"/>
          <w:sz w:val="21"/>
          <w:szCs w:val="21"/>
          <w:lang w:eastAsia="ar-SA"/>
        </w:rPr>
        <w:t xml:space="preserve">Захарченко Г.В., </w:t>
      </w:r>
    </w:p>
    <w:p w14:paraId="49CCB782"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color w:val="000000"/>
          <w:sz w:val="21"/>
          <w:szCs w:val="21"/>
          <w:lang w:eastAsia="ar-SA"/>
        </w:rPr>
      </w:pPr>
      <w:r w:rsidRPr="006E7EB1">
        <w:rPr>
          <w:rFonts w:ascii="Times New Roman" w:eastAsia="Times New Roman" w:hAnsi="Times New Roman" w:cs="Times New Roman"/>
          <w:i/>
          <w:color w:val="000000"/>
          <w:sz w:val="21"/>
          <w:szCs w:val="21"/>
          <w:lang w:eastAsia="ar-SA"/>
        </w:rPr>
        <w:t xml:space="preserve">студент 2 курса </w:t>
      </w:r>
    </w:p>
    <w:p w14:paraId="4DA8BFE1"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color w:val="000000"/>
          <w:sz w:val="21"/>
          <w:szCs w:val="21"/>
          <w:lang w:eastAsia="ar-SA"/>
        </w:rPr>
      </w:pPr>
      <w:r w:rsidRPr="006E7EB1">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5DD609C8"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sz w:val="21"/>
          <w:szCs w:val="21"/>
          <w:lang w:eastAsia="ar-SA"/>
        </w:rPr>
      </w:pPr>
      <w:r w:rsidRPr="006E7EB1">
        <w:rPr>
          <w:rFonts w:ascii="Times New Roman" w:eastAsia="Times New Roman" w:hAnsi="Times New Roman" w:cs="Times New Roman"/>
          <w:i/>
          <w:sz w:val="21"/>
          <w:szCs w:val="21"/>
          <w:lang w:eastAsia="ar-SA"/>
        </w:rPr>
        <w:t>г. Краснодар, Россия</w:t>
      </w:r>
    </w:p>
    <w:p w14:paraId="77421ED6" w14:textId="77777777" w:rsidR="00AC124A" w:rsidRPr="006E7EB1" w:rsidRDefault="00AC124A" w:rsidP="00AC124A">
      <w:pPr>
        <w:spacing w:after="0" w:line="240" w:lineRule="auto"/>
        <w:contextualSpacing/>
        <w:jc w:val="right"/>
        <w:rPr>
          <w:rFonts w:ascii="Times New Roman" w:eastAsia="Times New Roman" w:hAnsi="Times New Roman" w:cs="Times New Roman"/>
          <w:i/>
          <w:sz w:val="21"/>
          <w:szCs w:val="21"/>
        </w:rPr>
      </w:pPr>
      <w:r w:rsidRPr="006E7EB1">
        <w:rPr>
          <w:rFonts w:ascii="Times New Roman" w:eastAsia="Times New Roman" w:hAnsi="Times New Roman" w:cs="Times New Roman"/>
          <w:i/>
          <w:sz w:val="21"/>
          <w:szCs w:val="21"/>
        </w:rPr>
        <w:t>е-</w:t>
      </w:r>
      <w:r w:rsidRPr="006E7EB1">
        <w:rPr>
          <w:rFonts w:ascii="Times New Roman" w:eastAsia="Times New Roman" w:hAnsi="Times New Roman" w:cs="Times New Roman"/>
          <w:i/>
          <w:sz w:val="21"/>
          <w:szCs w:val="21"/>
          <w:lang w:val="en-US"/>
        </w:rPr>
        <w:t>mail</w:t>
      </w:r>
      <w:r w:rsidRPr="006E7EB1">
        <w:rPr>
          <w:rFonts w:ascii="Times New Roman" w:eastAsia="Times New Roman" w:hAnsi="Times New Roman" w:cs="Times New Roman"/>
          <w:i/>
          <w:sz w:val="21"/>
          <w:szCs w:val="21"/>
        </w:rPr>
        <w:t xml:space="preserve">: </w:t>
      </w:r>
      <w:r w:rsidRPr="006E7EB1">
        <w:rPr>
          <w:rFonts w:ascii="Times New Roman" w:eastAsia="DengXian Light" w:hAnsi="Times New Roman" w:cs="Times New Roman"/>
          <w:i/>
          <w:sz w:val="21"/>
          <w:szCs w:val="21"/>
        </w:rPr>
        <w:t>100</w:t>
      </w:r>
      <w:r w:rsidRPr="006E7EB1">
        <w:rPr>
          <w:rFonts w:ascii="Times New Roman" w:eastAsia="DengXian Light" w:hAnsi="Times New Roman" w:cs="Times New Roman"/>
          <w:i/>
          <w:sz w:val="21"/>
          <w:szCs w:val="21"/>
          <w:lang w:val="en-US"/>
        </w:rPr>
        <w:t>DOT</w:t>
      </w:r>
      <w:r w:rsidRPr="006E7EB1">
        <w:rPr>
          <w:rFonts w:ascii="Times New Roman" w:eastAsia="DengXian Light" w:hAnsi="Times New Roman" w:cs="Times New Roman"/>
          <w:i/>
          <w:sz w:val="21"/>
          <w:szCs w:val="21"/>
        </w:rPr>
        <w:t>13</w:t>
      </w:r>
      <w:r w:rsidRPr="006E7EB1">
        <w:rPr>
          <w:rFonts w:ascii="Times New Roman" w:eastAsia="DengXian Light" w:hAnsi="Times New Roman" w:cs="Times New Roman"/>
          <w:i/>
          <w:sz w:val="21"/>
          <w:szCs w:val="21"/>
          <w:lang w:val="en-US"/>
        </w:rPr>
        <w:t>SL</w:t>
      </w:r>
      <w:r w:rsidRPr="006E7EB1">
        <w:rPr>
          <w:rFonts w:ascii="Times New Roman" w:eastAsia="DengXian Light" w:hAnsi="Times New Roman" w:cs="Times New Roman"/>
          <w:i/>
          <w:sz w:val="21"/>
          <w:szCs w:val="21"/>
        </w:rPr>
        <w:t>230155@</w:t>
      </w:r>
      <w:r w:rsidRPr="006E7EB1">
        <w:rPr>
          <w:rFonts w:ascii="Times New Roman" w:eastAsia="DengXian Light" w:hAnsi="Times New Roman" w:cs="Times New Roman"/>
          <w:i/>
          <w:sz w:val="21"/>
          <w:szCs w:val="21"/>
          <w:lang w:val="en-US"/>
        </w:rPr>
        <w:t>edu</w:t>
      </w:r>
      <w:r w:rsidRPr="006E7EB1">
        <w:rPr>
          <w:rFonts w:ascii="Times New Roman" w:eastAsia="DengXian Light" w:hAnsi="Times New Roman" w:cs="Times New Roman"/>
          <w:i/>
          <w:sz w:val="21"/>
          <w:szCs w:val="21"/>
        </w:rPr>
        <w:t>.</w:t>
      </w:r>
      <w:r w:rsidRPr="006E7EB1">
        <w:rPr>
          <w:rFonts w:ascii="Times New Roman" w:eastAsia="DengXian Light" w:hAnsi="Times New Roman" w:cs="Times New Roman"/>
          <w:i/>
          <w:sz w:val="21"/>
          <w:szCs w:val="21"/>
          <w:lang w:val="en-US"/>
        </w:rPr>
        <w:t>fa</w:t>
      </w:r>
      <w:r w:rsidRPr="006E7EB1">
        <w:rPr>
          <w:rFonts w:ascii="Times New Roman" w:eastAsia="DengXian Light" w:hAnsi="Times New Roman" w:cs="Times New Roman"/>
          <w:i/>
          <w:sz w:val="21"/>
          <w:szCs w:val="21"/>
        </w:rPr>
        <w:t>.</w:t>
      </w:r>
      <w:r w:rsidRPr="006E7EB1">
        <w:rPr>
          <w:rFonts w:ascii="Times New Roman" w:eastAsia="DengXian Light" w:hAnsi="Times New Roman" w:cs="Times New Roman"/>
          <w:i/>
          <w:sz w:val="21"/>
          <w:szCs w:val="21"/>
          <w:lang w:val="en-US"/>
        </w:rPr>
        <w:t>ru</w:t>
      </w:r>
    </w:p>
    <w:p w14:paraId="3EA5E823" w14:textId="77777777" w:rsidR="00AC124A" w:rsidRPr="006E7EB1" w:rsidRDefault="00AC124A" w:rsidP="00AC124A">
      <w:pPr>
        <w:spacing w:after="0" w:line="240" w:lineRule="auto"/>
        <w:contextualSpacing/>
        <w:jc w:val="right"/>
        <w:rPr>
          <w:rFonts w:ascii="Times New Roman" w:eastAsia="Times New Roman" w:hAnsi="Times New Roman" w:cs="Times New Roman"/>
          <w:i/>
          <w:sz w:val="21"/>
          <w:szCs w:val="21"/>
        </w:rPr>
      </w:pPr>
    </w:p>
    <w:p w14:paraId="7DC74BDF" w14:textId="77777777" w:rsidR="00AC124A" w:rsidRPr="006E7EB1" w:rsidRDefault="00AC124A" w:rsidP="00AC124A">
      <w:pPr>
        <w:spacing w:after="0" w:line="240" w:lineRule="auto"/>
        <w:contextualSpacing/>
        <w:jc w:val="right"/>
        <w:rPr>
          <w:rFonts w:ascii="Times New Roman" w:eastAsia="Times New Roman" w:hAnsi="Times New Roman" w:cs="Times New Roman"/>
          <w:b/>
          <w:i/>
          <w:sz w:val="21"/>
          <w:szCs w:val="21"/>
        </w:rPr>
      </w:pPr>
      <w:r w:rsidRPr="006E7EB1">
        <w:rPr>
          <w:rFonts w:ascii="Times New Roman" w:eastAsia="Times New Roman" w:hAnsi="Times New Roman" w:cs="Times New Roman"/>
          <w:b/>
          <w:i/>
          <w:sz w:val="21"/>
          <w:szCs w:val="21"/>
        </w:rPr>
        <w:t>Научный руководитель:</w:t>
      </w:r>
    </w:p>
    <w:p w14:paraId="61B69CF3" w14:textId="77777777" w:rsidR="00AC124A" w:rsidRPr="006E7EB1" w:rsidRDefault="00AC124A" w:rsidP="00AC124A">
      <w:pPr>
        <w:spacing w:after="0" w:line="240" w:lineRule="auto"/>
        <w:contextualSpacing/>
        <w:jc w:val="right"/>
        <w:rPr>
          <w:rFonts w:ascii="Times New Roman" w:eastAsia="Times New Roman" w:hAnsi="Times New Roman" w:cs="Times New Roman"/>
          <w:b/>
          <w:i/>
          <w:sz w:val="21"/>
          <w:szCs w:val="21"/>
        </w:rPr>
      </w:pPr>
      <w:r w:rsidRPr="006E7EB1">
        <w:rPr>
          <w:rFonts w:ascii="Times New Roman" w:eastAsia="Times New Roman" w:hAnsi="Times New Roman" w:cs="Times New Roman"/>
          <w:b/>
          <w:i/>
          <w:sz w:val="21"/>
          <w:szCs w:val="21"/>
        </w:rPr>
        <w:t>Дюдин</w:t>
      </w:r>
      <w:r>
        <w:rPr>
          <w:rFonts w:ascii="Times New Roman" w:eastAsia="Times New Roman" w:hAnsi="Times New Roman" w:cs="Times New Roman"/>
          <w:b/>
          <w:i/>
          <w:sz w:val="21"/>
          <w:szCs w:val="21"/>
        </w:rPr>
        <w:t xml:space="preserve"> </w:t>
      </w:r>
      <w:r w:rsidRPr="006E7EB1">
        <w:rPr>
          <w:rFonts w:ascii="Times New Roman" w:eastAsia="Times New Roman" w:hAnsi="Times New Roman" w:cs="Times New Roman"/>
          <w:b/>
          <w:i/>
          <w:sz w:val="21"/>
          <w:szCs w:val="21"/>
        </w:rPr>
        <w:t>М.С.,</w:t>
      </w:r>
    </w:p>
    <w:p w14:paraId="35B008B2" w14:textId="77777777" w:rsidR="00AC124A" w:rsidRPr="006E7EB1" w:rsidRDefault="00AC124A" w:rsidP="00AC124A">
      <w:pPr>
        <w:spacing w:after="0" w:line="240" w:lineRule="auto"/>
        <w:contextualSpacing/>
        <w:jc w:val="right"/>
        <w:rPr>
          <w:rFonts w:ascii="Times New Roman" w:eastAsia="Times New Roman" w:hAnsi="Times New Roman" w:cs="Times New Roman"/>
          <w:i/>
          <w:sz w:val="21"/>
          <w:szCs w:val="21"/>
        </w:rPr>
      </w:pPr>
      <w:r w:rsidRPr="006E7EB1">
        <w:rPr>
          <w:rFonts w:ascii="Times New Roman" w:eastAsia="Times New Roman" w:hAnsi="Times New Roman" w:cs="Times New Roman"/>
          <w:b/>
          <w:i/>
          <w:sz w:val="21"/>
          <w:szCs w:val="21"/>
        </w:rPr>
        <w:t xml:space="preserve"> </w:t>
      </w:r>
      <w:r w:rsidRPr="006E7EB1">
        <w:rPr>
          <w:rFonts w:ascii="Times New Roman" w:eastAsia="Times New Roman" w:hAnsi="Times New Roman" w:cs="Times New Roman"/>
          <w:i/>
          <w:sz w:val="21"/>
          <w:szCs w:val="21"/>
        </w:rPr>
        <w:t>Старший преподаватель</w:t>
      </w:r>
    </w:p>
    <w:p w14:paraId="3D4A5627"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color w:val="000000"/>
          <w:sz w:val="21"/>
          <w:szCs w:val="21"/>
          <w:lang w:eastAsia="ar-SA"/>
        </w:rPr>
      </w:pPr>
      <w:r w:rsidRPr="006E7EB1">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67D7E690" w14:textId="77777777" w:rsidR="00AC124A" w:rsidRPr="006E7EB1" w:rsidRDefault="00AC124A" w:rsidP="00AC124A">
      <w:pPr>
        <w:suppressAutoHyphens/>
        <w:spacing w:after="0" w:line="240" w:lineRule="auto"/>
        <w:contextualSpacing/>
        <w:jc w:val="right"/>
        <w:rPr>
          <w:rFonts w:ascii="Times New Roman" w:eastAsia="Times New Roman" w:hAnsi="Times New Roman" w:cs="Times New Roman"/>
          <w:i/>
          <w:sz w:val="21"/>
          <w:szCs w:val="21"/>
          <w:lang w:eastAsia="ar-SA"/>
        </w:rPr>
      </w:pPr>
      <w:r w:rsidRPr="006E7EB1">
        <w:rPr>
          <w:rFonts w:ascii="Times New Roman" w:eastAsia="Times New Roman" w:hAnsi="Times New Roman" w:cs="Times New Roman"/>
          <w:i/>
          <w:sz w:val="21"/>
          <w:szCs w:val="21"/>
          <w:lang w:eastAsia="ar-SA"/>
        </w:rPr>
        <w:t>г. Краснодар, Россия</w:t>
      </w:r>
    </w:p>
    <w:p w14:paraId="60B51EB1" w14:textId="77777777" w:rsidR="00AC124A" w:rsidRPr="006E7EB1" w:rsidRDefault="00AC124A" w:rsidP="00AC124A">
      <w:pPr>
        <w:suppressAutoHyphens/>
        <w:spacing w:after="0" w:line="240" w:lineRule="auto"/>
        <w:contextualSpacing/>
        <w:jc w:val="right"/>
        <w:textAlignment w:val="baseline"/>
        <w:rPr>
          <w:rFonts w:ascii="Times New Roman" w:eastAsia="Times New Roman" w:hAnsi="Times New Roman" w:cs="Times New Roman"/>
          <w:i/>
          <w:sz w:val="21"/>
          <w:szCs w:val="21"/>
          <w:lang w:eastAsia="ar-SA"/>
        </w:rPr>
      </w:pPr>
      <w:r w:rsidRPr="006E7EB1">
        <w:rPr>
          <w:rFonts w:ascii="Times New Roman" w:eastAsia="Times New Roman" w:hAnsi="Times New Roman" w:cs="Times New Roman"/>
          <w:i/>
          <w:sz w:val="21"/>
          <w:szCs w:val="21"/>
          <w:lang w:eastAsia="ar-SA"/>
        </w:rPr>
        <w:t>е-</w:t>
      </w:r>
      <w:r w:rsidRPr="006E7EB1">
        <w:rPr>
          <w:rFonts w:ascii="Times New Roman" w:eastAsia="Times New Roman" w:hAnsi="Times New Roman" w:cs="Times New Roman"/>
          <w:i/>
          <w:sz w:val="21"/>
          <w:szCs w:val="21"/>
          <w:lang w:val="en-US" w:eastAsia="ar-SA"/>
        </w:rPr>
        <w:t>mail</w:t>
      </w:r>
      <w:r w:rsidRPr="006E7EB1">
        <w:rPr>
          <w:rFonts w:ascii="Times New Roman" w:eastAsia="Times New Roman" w:hAnsi="Times New Roman" w:cs="Times New Roman"/>
          <w:i/>
          <w:sz w:val="21"/>
          <w:szCs w:val="21"/>
          <w:lang w:eastAsia="ar-SA"/>
        </w:rPr>
        <w:t>: MSDyudin@fa.ru</w:t>
      </w:r>
    </w:p>
    <w:p w14:paraId="1F675A39" w14:textId="77777777" w:rsidR="00AC124A" w:rsidRPr="006E7EB1" w:rsidRDefault="00AC124A" w:rsidP="00AC124A">
      <w:pPr>
        <w:suppressAutoHyphens/>
        <w:spacing w:after="0" w:line="240" w:lineRule="auto"/>
        <w:contextualSpacing/>
        <w:jc w:val="center"/>
        <w:rPr>
          <w:rFonts w:ascii="Times New Roman" w:eastAsia="Times New Roman" w:hAnsi="Times New Roman" w:cs="Times New Roman"/>
          <w:b/>
          <w:sz w:val="21"/>
          <w:szCs w:val="21"/>
          <w:lang w:eastAsia="ar-SA"/>
        </w:rPr>
      </w:pPr>
    </w:p>
    <w:p w14:paraId="5AFD0217" w14:textId="77777777" w:rsidR="00AC124A" w:rsidRPr="006E7EB1" w:rsidRDefault="00AC124A" w:rsidP="00AC124A">
      <w:pPr>
        <w:tabs>
          <w:tab w:val="left" w:pos="851"/>
          <w:tab w:val="left" w:pos="993"/>
          <w:tab w:val="left" w:pos="4320"/>
        </w:tabs>
        <w:spacing w:after="0" w:line="240" w:lineRule="auto"/>
        <w:contextualSpacing/>
        <w:jc w:val="center"/>
        <w:rPr>
          <w:rFonts w:ascii="Times New Roman" w:eastAsia="Times New Roman" w:hAnsi="Times New Roman" w:cs="Times New Roman"/>
          <w:b/>
          <w:iCs/>
          <w:sz w:val="21"/>
          <w:szCs w:val="21"/>
        </w:rPr>
      </w:pPr>
      <w:r w:rsidRPr="006E7EB1">
        <w:rPr>
          <w:rFonts w:ascii="Times New Roman" w:eastAsia="Times New Roman" w:hAnsi="Times New Roman" w:cs="Times New Roman"/>
          <w:b/>
          <w:iCs/>
          <w:sz w:val="21"/>
          <w:szCs w:val="21"/>
        </w:rPr>
        <w:t>Цифровые трансформации развития бизнеса: прошлое и перспективы</w:t>
      </w:r>
    </w:p>
    <w:p w14:paraId="37460DD7" w14:textId="77777777" w:rsidR="00AC124A" w:rsidRPr="006E7EB1" w:rsidRDefault="00AC124A" w:rsidP="00AC124A">
      <w:pPr>
        <w:tabs>
          <w:tab w:val="left" w:pos="851"/>
          <w:tab w:val="left" w:pos="993"/>
          <w:tab w:val="left" w:pos="4320"/>
        </w:tabs>
        <w:spacing w:after="0" w:line="240" w:lineRule="auto"/>
        <w:ind w:left="709"/>
        <w:contextualSpacing/>
        <w:jc w:val="both"/>
        <w:rPr>
          <w:rFonts w:ascii="Times New Roman" w:eastAsia="Times New Roman" w:hAnsi="Times New Roman" w:cs="Times New Roman"/>
          <w:b/>
          <w:iCs/>
          <w:sz w:val="21"/>
          <w:szCs w:val="21"/>
        </w:rPr>
      </w:pPr>
    </w:p>
    <w:p w14:paraId="158DB0A6" w14:textId="77777777" w:rsidR="00AC124A" w:rsidRPr="006E7EB1" w:rsidRDefault="00AC124A" w:rsidP="00AC124A">
      <w:pPr>
        <w:spacing w:after="0" w:line="240" w:lineRule="auto"/>
        <w:ind w:firstLine="709"/>
        <w:contextualSpacing/>
        <w:jc w:val="both"/>
        <w:rPr>
          <w:rFonts w:ascii="Times New Roman" w:eastAsia="Times New Roman" w:hAnsi="Times New Roman" w:cs="Times New Roman"/>
          <w:sz w:val="21"/>
          <w:szCs w:val="21"/>
        </w:rPr>
      </w:pPr>
      <w:r w:rsidRPr="006E7EB1">
        <w:rPr>
          <w:rFonts w:ascii="Times New Roman" w:eastAsia="DengXian Light" w:hAnsi="Times New Roman" w:cs="Times New Roman"/>
          <w:b/>
          <w:bCs/>
          <w:sz w:val="21"/>
          <w:szCs w:val="21"/>
        </w:rPr>
        <w:t xml:space="preserve">Аннотация: </w:t>
      </w:r>
      <w:r w:rsidRPr="006E7EB1">
        <w:rPr>
          <w:rFonts w:ascii="Times New Roman" w:eastAsia="Times New Roman" w:hAnsi="Times New Roman" w:cs="Times New Roman"/>
          <w:sz w:val="21"/>
          <w:szCs w:val="21"/>
        </w:rPr>
        <w:t>В работе исследуется эволюция цифровой трансформации бизнеса с середины XX века до 2030 года, включая глобальные тренды (ИИ, IoT, блокчейн) и российские особенности (импортозамещение, санкции). Анализируются ключевые технологии, вызовы кибербезопасности и кадрового дефицита, а также перспективы внедрения метавселенных и квантовых вычислений. На основе кейсов и статистики предложены рекомендации по адаптации бизнеса к цифровой экономике.</w:t>
      </w:r>
    </w:p>
    <w:p w14:paraId="77BE84FA" w14:textId="77777777" w:rsidR="00AC124A" w:rsidRPr="006E7EB1" w:rsidRDefault="00AC124A" w:rsidP="00AC124A">
      <w:pPr>
        <w:spacing w:after="0" w:line="240" w:lineRule="auto"/>
        <w:ind w:firstLine="709"/>
        <w:contextualSpacing/>
        <w:jc w:val="both"/>
        <w:rPr>
          <w:rFonts w:ascii="Times New Roman" w:eastAsia="Times New Roman" w:hAnsi="Times New Roman" w:cs="Times New Roman"/>
          <w:sz w:val="21"/>
          <w:szCs w:val="21"/>
        </w:rPr>
      </w:pPr>
      <w:r w:rsidRPr="006E7EB1">
        <w:rPr>
          <w:rFonts w:ascii="Times New Roman" w:eastAsia="DengXian Light" w:hAnsi="Times New Roman" w:cs="Times New Roman"/>
          <w:b/>
          <w:bCs/>
          <w:sz w:val="21"/>
          <w:szCs w:val="21"/>
        </w:rPr>
        <w:t>Ключевые слова</w:t>
      </w:r>
      <w:r w:rsidRPr="006E7EB1">
        <w:rPr>
          <w:rFonts w:ascii="Times New Roman" w:eastAsia="Times New Roman" w:hAnsi="Times New Roman" w:cs="Times New Roman"/>
          <w:sz w:val="21"/>
          <w:szCs w:val="21"/>
        </w:rPr>
        <w:t>: цифровая трансформация, бизнес-процессы, искусственный интеллект, блокчейн, метавселенные, импортозамещение, кибербезопасность.</w:t>
      </w:r>
    </w:p>
    <w:p w14:paraId="63005F42" w14:textId="77777777" w:rsidR="00AC124A" w:rsidRPr="00DF0339" w:rsidRDefault="00AC124A" w:rsidP="00AC124A">
      <w:pPr>
        <w:spacing w:after="0" w:line="240" w:lineRule="auto"/>
        <w:contextualSpacing/>
        <w:jc w:val="right"/>
        <w:rPr>
          <w:rFonts w:ascii="Times New Roman" w:eastAsia="DengXian Light" w:hAnsi="Times New Roman" w:cs="Times New Roman"/>
          <w:i/>
          <w:iCs/>
          <w:sz w:val="21"/>
          <w:szCs w:val="21"/>
          <w:lang w:val="en-US"/>
        </w:rPr>
      </w:pPr>
      <w:r w:rsidRPr="006E7EB1">
        <w:rPr>
          <w:rFonts w:ascii="Times New Roman" w:eastAsia="DengXian Light" w:hAnsi="Times New Roman" w:cs="Times New Roman"/>
          <w:b/>
          <w:bCs/>
          <w:i/>
          <w:iCs/>
          <w:sz w:val="21"/>
          <w:szCs w:val="21"/>
          <w:lang w:val="en-US"/>
        </w:rPr>
        <w:t>Zakharchenko G.V.</w:t>
      </w:r>
      <w:r w:rsidRPr="006E7EB1">
        <w:rPr>
          <w:rFonts w:ascii="Times New Roman" w:eastAsia="Times New Roman" w:hAnsi="Times New Roman" w:cs="Times New Roman"/>
          <w:b/>
          <w:bCs/>
          <w:i/>
          <w:iCs/>
          <w:sz w:val="21"/>
          <w:szCs w:val="21"/>
          <w:lang w:val="en-US"/>
        </w:rPr>
        <w:t>,</w:t>
      </w:r>
      <w:r w:rsidRPr="006E7EB1">
        <w:rPr>
          <w:rFonts w:ascii="Times New Roman" w:eastAsia="Times New Roman" w:hAnsi="Times New Roman" w:cs="Times New Roman"/>
          <w:b/>
          <w:bCs/>
          <w:i/>
          <w:iCs/>
          <w:sz w:val="21"/>
          <w:szCs w:val="21"/>
          <w:lang w:val="en-US"/>
        </w:rPr>
        <w:br/>
      </w:r>
      <w:r w:rsidRPr="006E7EB1">
        <w:rPr>
          <w:rFonts w:ascii="Times New Roman" w:eastAsia="Times New Roman" w:hAnsi="Times New Roman" w:cs="Times New Roman"/>
          <w:i/>
          <w:iCs/>
          <w:sz w:val="21"/>
          <w:szCs w:val="21"/>
          <w:lang w:val="en-US"/>
        </w:rPr>
        <w:t>2nd year student</w:t>
      </w:r>
      <w:r w:rsidRPr="006E7EB1">
        <w:rPr>
          <w:rFonts w:ascii="Times New Roman" w:eastAsia="Times New Roman" w:hAnsi="Times New Roman" w:cs="Times New Roman"/>
          <w:i/>
          <w:iCs/>
          <w:sz w:val="21"/>
          <w:szCs w:val="21"/>
          <w:lang w:val="en-US"/>
        </w:rPr>
        <w:br/>
        <w:t>Financial University under the Government of the Russian Federation</w:t>
      </w:r>
      <w:r w:rsidRPr="006E7EB1">
        <w:rPr>
          <w:rFonts w:ascii="Times New Roman" w:eastAsia="Times New Roman" w:hAnsi="Times New Roman" w:cs="Times New Roman"/>
          <w:i/>
          <w:iCs/>
          <w:sz w:val="21"/>
          <w:szCs w:val="21"/>
          <w:lang w:val="en-US"/>
        </w:rPr>
        <w:br/>
        <w:t>Krasnodar, Russia</w:t>
      </w:r>
      <w:r w:rsidRPr="006E7EB1">
        <w:rPr>
          <w:rFonts w:ascii="Times New Roman" w:eastAsia="Times New Roman" w:hAnsi="Times New Roman" w:cs="Times New Roman"/>
          <w:i/>
          <w:iCs/>
          <w:sz w:val="21"/>
          <w:szCs w:val="21"/>
          <w:lang w:val="en-US"/>
        </w:rPr>
        <w:br/>
        <w:t>E-mail: </w:t>
      </w:r>
      <w:hyperlink r:id="rId392" w:history="1">
        <w:r w:rsidRPr="006E7EB1">
          <w:rPr>
            <w:rStyle w:val="aa"/>
            <w:rFonts w:ascii="Times New Roman" w:eastAsia="DengXian Light" w:hAnsi="Times New Roman" w:cs="Times New Roman"/>
            <w:i/>
            <w:iCs/>
            <w:sz w:val="21"/>
            <w:szCs w:val="21"/>
            <w:lang w:val="en-US"/>
          </w:rPr>
          <w:t>100DOT13SL230155@edu.fa.ru</w:t>
        </w:r>
      </w:hyperlink>
    </w:p>
    <w:p w14:paraId="20534B4F" w14:textId="77777777" w:rsidR="00AC124A" w:rsidRPr="006E7EB1" w:rsidRDefault="00AC124A" w:rsidP="00AC124A">
      <w:pPr>
        <w:spacing w:after="0" w:line="240" w:lineRule="auto"/>
        <w:contextualSpacing/>
        <w:jc w:val="right"/>
        <w:rPr>
          <w:rFonts w:ascii="Times New Roman" w:eastAsia="Times New Roman" w:hAnsi="Times New Roman" w:cs="Times New Roman"/>
          <w:i/>
          <w:iCs/>
          <w:sz w:val="21"/>
          <w:szCs w:val="21"/>
          <w:lang w:val="en-US"/>
        </w:rPr>
      </w:pPr>
    </w:p>
    <w:p w14:paraId="367CD17E" w14:textId="77777777" w:rsidR="00AC124A" w:rsidRPr="00DF0339" w:rsidRDefault="00AC124A" w:rsidP="00AC124A">
      <w:pPr>
        <w:spacing w:after="0" w:line="240" w:lineRule="auto"/>
        <w:contextualSpacing/>
        <w:jc w:val="right"/>
        <w:rPr>
          <w:rFonts w:ascii="Times New Roman" w:eastAsia="DengXian Light" w:hAnsi="Times New Roman" w:cs="Times New Roman"/>
          <w:i/>
          <w:iCs/>
          <w:sz w:val="21"/>
          <w:szCs w:val="21"/>
          <w:lang w:val="en-US"/>
        </w:rPr>
      </w:pPr>
      <w:r w:rsidRPr="006E7EB1">
        <w:rPr>
          <w:rFonts w:ascii="Times New Roman" w:eastAsia="DengXian Light" w:hAnsi="Times New Roman" w:cs="Times New Roman"/>
          <w:b/>
          <w:bCs/>
          <w:i/>
          <w:iCs/>
          <w:sz w:val="21"/>
          <w:szCs w:val="21"/>
          <w:lang w:val="en-US"/>
        </w:rPr>
        <w:t>Scientific Supervisor</w:t>
      </w:r>
      <w:r w:rsidRPr="006E7EB1">
        <w:rPr>
          <w:rFonts w:ascii="Times New Roman" w:eastAsia="Times New Roman" w:hAnsi="Times New Roman" w:cs="Times New Roman"/>
          <w:b/>
          <w:bCs/>
          <w:i/>
          <w:iCs/>
          <w:sz w:val="21"/>
          <w:szCs w:val="21"/>
          <w:lang w:val="en-US"/>
        </w:rPr>
        <w:t>:</w:t>
      </w:r>
      <w:r w:rsidRPr="006E7EB1">
        <w:rPr>
          <w:rFonts w:ascii="Times New Roman" w:eastAsia="Times New Roman" w:hAnsi="Times New Roman" w:cs="Times New Roman"/>
          <w:b/>
          <w:bCs/>
          <w:i/>
          <w:iCs/>
          <w:sz w:val="21"/>
          <w:szCs w:val="21"/>
          <w:lang w:val="en-US"/>
        </w:rPr>
        <w:br/>
      </w:r>
      <w:r w:rsidRPr="006E7EB1">
        <w:rPr>
          <w:rFonts w:ascii="Times New Roman" w:eastAsia="DengXian Light" w:hAnsi="Times New Roman" w:cs="Times New Roman"/>
          <w:b/>
          <w:bCs/>
          <w:i/>
          <w:iCs/>
          <w:sz w:val="21"/>
          <w:szCs w:val="21"/>
          <w:lang w:val="en-US"/>
        </w:rPr>
        <w:t>Dyudin M.S.</w:t>
      </w:r>
      <w:r w:rsidRPr="006E7EB1">
        <w:rPr>
          <w:rFonts w:ascii="Times New Roman" w:eastAsia="Times New Roman" w:hAnsi="Times New Roman" w:cs="Times New Roman"/>
          <w:b/>
          <w:bCs/>
          <w:i/>
          <w:iCs/>
          <w:sz w:val="21"/>
          <w:szCs w:val="21"/>
          <w:lang w:val="en-US"/>
        </w:rPr>
        <w:t>,</w:t>
      </w:r>
      <w:r w:rsidRPr="006E7EB1">
        <w:rPr>
          <w:rFonts w:ascii="Times New Roman" w:eastAsia="Times New Roman" w:hAnsi="Times New Roman" w:cs="Times New Roman"/>
          <w:i/>
          <w:iCs/>
          <w:sz w:val="21"/>
          <w:szCs w:val="21"/>
          <w:lang w:val="en-US"/>
        </w:rPr>
        <w:br/>
        <w:t>Senior Lecturer</w:t>
      </w:r>
      <w:r w:rsidRPr="006E7EB1">
        <w:rPr>
          <w:rFonts w:ascii="Times New Roman" w:eastAsia="Times New Roman" w:hAnsi="Times New Roman" w:cs="Times New Roman"/>
          <w:i/>
          <w:iCs/>
          <w:sz w:val="21"/>
          <w:szCs w:val="21"/>
          <w:lang w:val="en-US"/>
        </w:rPr>
        <w:br/>
        <w:t>Financial University under the Government of the Russian Federation</w:t>
      </w:r>
      <w:r w:rsidRPr="006E7EB1">
        <w:rPr>
          <w:rFonts w:ascii="Times New Roman" w:eastAsia="Times New Roman" w:hAnsi="Times New Roman" w:cs="Times New Roman"/>
          <w:i/>
          <w:iCs/>
          <w:sz w:val="21"/>
          <w:szCs w:val="21"/>
          <w:lang w:val="en-US"/>
        </w:rPr>
        <w:br/>
        <w:t>Krasnodar, Russia</w:t>
      </w:r>
      <w:r w:rsidRPr="006E7EB1">
        <w:rPr>
          <w:rFonts w:ascii="Times New Roman" w:eastAsia="Times New Roman" w:hAnsi="Times New Roman" w:cs="Times New Roman"/>
          <w:i/>
          <w:iCs/>
          <w:sz w:val="21"/>
          <w:szCs w:val="21"/>
          <w:lang w:val="en-US"/>
        </w:rPr>
        <w:br/>
      </w:r>
      <w:r w:rsidRPr="006E7EB1">
        <w:rPr>
          <w:rFonts w:ascii="Times New Roman" w:eastAsia="Times New Roman" w:hAnsi="Times New Roman" w:cs="Times New Roman"/>
          <w:i/>
          <w:iCs/>
          <w:sz w:val="21"/>
          <w:szCs w:val="21"/>
        </w:rPr>
        <w:t>е</w:t>
      </w:r>
      <w:r w:rsidRPr="006E7EB1">
        <w:rPr>
          <w:rFonts w:ascii="Times New Roman" w:eastAsia="Times New Roman" w:hAnsi="Times New Roman" w:cs="Times New Roman"/>
          <w:i/>
          <w:iCs/>
          <w:sz w:val="21"/>
          <w:szCs w:val="21"/>
          <w:lang w:val="en-US"/>
        </w:rPr>
        <w:t>-mail: </w:t>
      </w:r>
      <w:hyperlink r:id="rId393" w:history="1">
        <w:r w:rsidRPr="006E7EB1">
          <w:rPr>
            <w:rStyle w:val="aa"/>
            <w:rFonts w:ascii="Times New Roman" w:eastAsia="DengXian Light" w:hAnsi="Times New Roman" w:cs="Times New Roman"/>
            <w:i/>
            <w:iCs/>
            <w:sz w:val="21"/>
            <w:szCs w:val="21"/>
            <w:lang w:val="en-US"/>
          </w:rPr>
          <w:t>MSDyudin@fa.ru</w:t>
        </w:r>
      </w:hyperlink>
    </w:p>
    <w:p w14:paraId="6D7DA6A9" w14:textId="77777777" w:rsidR="00AC124A" w:rsidRPr="00AC124A" w:rsidRDefault="00AC124A" w:rsidP="00AC124A">
      <w:pPr>
        <w:spacing w:after="0" w:line="240" w:lineRule="auto"/>
        <w:contextualSpacing/>
        <w:jc w:val="right"/>
        <w:rPr>
          <w:rFonts w:ascii="Times New Roman" w:eastAsia="DengXian Light" w:hAnsi="Times New Roman" w:cs="Times New Roman"/>
          <w:i/>
          <w:iCs/>
          <w:sz w:val="21"/>
          <w:szCs w:val="21"/>
          <w:lang w:val="en-US"/>
        </w:rPr>
      </w:pPr>
    </w:p>
    <w:p w14:paraId="086FA413" w14:textId="77777777" w:rsidR="00AC124A" w:rsidRPr="00AC124A" w:rsidRDefault="00AC124A" w:rsidP="00AC124A">
      <w:pPr>
        <w:spacing w:after="0" w:line="240" w:lineRule="auto"/>
        <w:contextualSpacing/>
        <w:jc w:val="center"/>
        <w:rPr>
          <w:rFonts w:ascii="Times New Roman" w:eastAsia="DengXian Light" w:hAnsi="Times New Roman" w:cs="Times New Roman"/>
          <w:b/>
          <w:bCs/>
          <w:sz w:val="21"/>
          <w:szCs w:val="21"/>
          <w:lang w:val="en-US"/>
        </w:rPr>
      </w:pPr>
      <w:r w:rsidRPr="006E7EB1">
        <w:rPr>
          <w:rFonts w:ascii="Times New Roman" w:eastAsia="DengXian Light" w:hAnsi="Times New Roman" w:cs="Times New Roman"/>
          <w:b/>
          <w:bCs/>
          <w:sz w:val="21"/>
          <w:szCs w:val="21"/>
          <w:lang w:val="en-US"/>
        </w:rPr>
        <w:t>Digital Transformations of Business Development: Past and Prospects</w:t>
      </w:r>
    </w:p>
    <w:p w14:paraId="3DF617FD" w14:textId="77777777" w:rsidR="00AC124A" w:rsidRPr="006E7EB1" w:rsidRDefault="00AC124A" w:rsidP="00AC124A">
      <w:pPr>
        <w:spacing w:after="0" w:line="240" w:lineRule="auto"/>
        <w:contextualSpacing/>
        <w:jc w:val="center"/>
        <w:rPr>
          <w:rFonts w:ascii="Times New Roman" w:eastAsia="Times New Roman" w:hAnsi="Times New Roman" w:cs="Times New Roman"/>
          <w:b/>
          <w:bCs/>
          <w:sz w:val="21"/>
          <w:szCs w:val="21"/>
          <w:lang w:val="en-US"/>
        </w:rPr>
      </w:pPr>
    </w:p>
    <w:p w14:paraId="25030966" w14:textId="77777777" w:rsidR="00AC124A" w:rsidRPr="00AC124A" w:rsidRDefault="00AC124A" w:rsidP="00AC124A">
      <w:pPr>
        <w:spacing w:after="0" w:line="240" w:lineRule="auto"/>
        <w:ind w:firstLine="709"/>
        <w:contextualSpacing/>
        <w:jc w:val="both"/>
        <w:rPr>
          <w:rFonts w:ascii="Times New Roman" w:eastAsia="Times New Roman" w:hAnsi="Times New Roman" w:cs="Times New Roman"/>
          <w:sz w:val="21"/>
          <w:szCs w:val="21"/>
          <w:lang w:val="en-US"/>
        </w:rPr>
      </w:pPr>
      <w:r w:rsidRPr="006E7EB1">
        <w:rPr>
          <w:rFonts w:ascii="Times New Roman" w:eastAsia="DengXian Light" w:hAnsi="Times New Roman" w:cs="Times New Roman"/>
          <w:b/>
          <w:bCs/>
          <w:sz w:val="21"/>
          <w:szCs w:val="21"/>
          <w:lang w:val="en-US"/>
        </w:rPr>
        <w:t>Abstract</w:t>
      </w:r>
      <w:r w:rsidRPr="006E7EB1">
        <w:rPr>
          <w:rFonts w:ascii="Times New Roman" w:eastAsia="Times New Roman" w:hAnsi="Times New Roman" w:cs="Times New Roman"/>
          <w:b/>
          <w:bCs/>
          <w:sz w:val="21"/>
          <w:szCs w:val="21"/>
          <w:lang w:val="en-US"/>
        </w:rPr>
        <w:t>:</w:t>
      </w:r>
      <w:r w:rsidRPr="006E7EB1">
        <w:rPr>
          <w:rFonts w:ascii="Times New Roman" w:eastAsia="Times New Roman" w:hAnsi="Times New Roman" w:cs="Times New Roman"/>
          <w:sz w:val="21"/>
          <w:szCs w:val="21"/>
          <w:lang w:val="en-US"/>
        </w:rPr>
        <w:t xml:space="preserve"> The study explores the evolution of digital business transformation from the mid-20th century to 2030, covering global trends (AI, IoT, blockchain) and Russian specifics (import substitution, sanctions). It analyzes key technologies, cybersecurity challenges, workforce shortages, and prospects for metaverse and quantum computing adoption. Based on case studies and statistics, recommendations are proposed for business adaptation to the digital economy.</w:t>
      </w:r>
    </w:p>
    <w:p w14:paraId="008C4249" w14:textId="77777777" w:rsidR="00AC124A" w:rsidRPr="006E7EB1" w:rsidRDefault="00AC124A" w:rsidP="00AC124A">
      <w:pPr>
        <w:spacing w:after="0" w:line="240" w:lineRule="auto"/>
        <w:ind w:firstLine="709"/>
        <w:contextualSpacing/>
        <w:jc w:val="both"/>
        <w:rPr>
          <w:rFonts w:ascii="Times New Roman" w:eastAsia="Times New Roman" w:hAnsi="Times New Roman" w:cs="Times New Roman"/>
          <w:sz w:val="21"/>
          <w:szCs w:val="21"/>
          <w:lang w:val="en-US"/>
        </w:rPr>
      </w:pPr>
      <w:r w:rsidRPr="006E7EB1">
        <w:rPr>
          <w:rFonts w:ascii="Times New Roman" w:eastAsia="DengXian Light" w:hAnsi="Times New Roman" w:cs="Times New Roman"/>
          <w:b/>
          <w:bCs/>
          <w:sz w:val="21"/>
          <w:szCs w:val="21"/>
          <w:lang w:val="en-US"/>
        </w:rPr>
        <w:t>Keywords</w:t>
      </w:r>
      <w:r w:rsidRPr="006E7EB1">
        <w:rPr>
          <w:rFonts w:ascii="Times New Roman" w:eastAsia="Times New Roman" w:hAnsi="Times New Roman" w:cs="Times New Roman"/>
          <w:b/>
          <w:bCs/>
          <w:sz w:val="21"/>
          <w:szCs w:val="21"/>
          <w:lang w:val="en-US"/>
        </w:rPr>
        <w:t>:</w:t>
      </w:r>
      <w:r w:rsidRPr="006E7EB1">
        <w:rPr>
          <w:rFonts w:ascii="Times New Roman" w:eastAsia="Times New Roman" w:hAnsi="Times New Roman" w:cs="Times New Roman"/>
          <w:sz w:val="21"/>
          <w:szCs w:val="21"/>
          <w:lang w:val="en-US"/>
        </w:rPr>
        <w:t xml:space="preserve"> digital transformation, business processes, artificial intelligence, blockchain, metaverse, import substitution, cybersecurity.</w:t>
      </w:r>
    </w:p>
    <w:p w14:paraId="1FD78ECA" w14:textId="77777777" w:rsidR="00AC124A" w:rsidRPr="006E7EB1" w:rsidRDefault="00AC124A" w:rsidP="00AC124A">
      <w:pPr>
        <w:spacing w:after="0" w:line="240" w:lineRule="auto"/>
        <w:jc w:val="both"/>
        <w:rPr>
          <w:rFonts w:ascii="Times New Roman" w:eastAsia="Times New Roman" w:hAnsi="Times New Roman" w:cs="Times New Roman"/>
          <w:iCs/>
          <w:sz w:val="21"/>
          <w:szCs w:val="21"/>
          <w:shd w:val="clear" w:color="auto" w:fill="00FFFF"/>
          <w:lang w:val="en-US"/>
        </w:rPr>
      </w:pPr>
    </w:p>
    <w:p w14:paraId="2B8D8B91"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Введение</w:t>
      </w:r>
    </w:p>
    <w:p w14:paraId="702FF0C8"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Цифровая трансформация представляет собой радикальное переосмысление бизнес-процессов через внедрение технологий, что приводит к изменению стратегий, организационной культуры и моделей взаимодействия с клиентами. Этот процесс, начавшийся в середине XX века с автоматизации учета, сегодня охватывает все сферы экономики, от производства до услуг. По данным McKinsey, компании, активно внедряющие цифровые решения, на 20-30% опережают конкурентов по ключевым показателям эффективности [1]. В России цифровизация развивается в условиях санкционного давления, что делает актуальным изучение её национальных особенностей. Цель работы - проанализировать эволюцию цифровых трансформаций в глобальном и российском контексте, выделив ключевые технологии, вызовы и перспективы.</w:t>
      </w:r>
    </w:p>
    <w:p w14:paraId="7A352C90"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1. Исторические этапы цифровой трансформации</w:t>
      </w:r>
    </w:p>
    <w:p w14:paraId="64FB9B4D"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1.1. Глобальный контекст: от мейнфреймов к облакам</w:t>
      </w:r>
    </w:p>
    <w:p w14:paraId="2381D714"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Первые шаги цифровизации связаны с появлением мейнфреймов в 1960-х годах. Системы вроде IBM System/360 позволяли централизованно обрабатывать данные, что стало основой для ERP-решений. Например, компания Nestlé в 1990-х годах сократила операционные издержки на 30%, внедрив SAP R/3 для интеграции финансовых и логистических процессов.</w:t>
      </w:r>
    </w:p>
    <w:p w14:paraId="4724E8A4"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В 1990-2010 гг. интернет и облачные технологии переопределили бизнес-ландшафт. Платформа Amazon Web Services (AWS), запущенная в 2006 году, снизила стоимость IT-инфраструктуры для малого бизнеса. К 2010 году 75% стартапов использовали облачные сервисы, что позволило таким компаниям, как Dropbox, масштабироваться до 500 млн пользователей.</w:t>
      </w:r>
    </w:p>
    <w:p w14:paraId="6DFDB544"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1.2. Российский путь: от СССР к программе "Цифровая экономика"</w:t>
      </w:r>
    </w:p>
    <w:p w14:paraId="391FDBCD"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 xml:space="preserve">В СССР цифровизация началась с разработки первых ЭВМ, таких как "Сетунь" (1959 г.), и внедрения автоматизированных систем управления (АСУ) на промышленных предприятиях. Например, в 1970-х годах АСУ внедрялись на заводах "КАМАЗ" для оптимизации </w:t>
      </w:r>
      <w:r w:rsidRPr="006E7EB1">
        <w:rPr>
          <w:rFonts w:ascii="Times New Roman" w:eastAsia="Times New Roman" w:hAnsi="Times New Roman" w:cs="Times New Roman"/>
          <w:sz w:val="32"/>
          <w:szCs w:val="32"/>
        </w:rPr>
        <w:lastRenderedPageBreak/>
        <w:t>производства грузовиков, что позволило сократить цикл сборки на 15%. Однако массовый переход к цифровым технологиям в России стартовал лишь в 2000-х годах. К 2022 году доля цифровой экономики в ВВП страны достигла 4,3%, что ниже мировых показателей (5-7% в США и ЕС), но демонстрирует устойчивый рост [3].</w:t>
      </w:r>
    </w:p>
    <w:p w14:paraId="1640291B"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В 2017 году правительство РФ запустило программу "Цифровая экономика", направленную на развитие IT-инфраструктуры, подготовку кадров и поддержку стартапов. К 2023 году в рамках программы:</w:t>
      </w:r>
    </w:p>
    <w:p w14:paraId="3675BE49" w14:textId="77777777" w:rsidR="00AC124A" w:rsidRPr="006E7EB1" w:rsidRDefault="00AC124A" w:rsidP="00AD58CD">
      <w:pPr>
        <w:numPr>
          <w:ilvl w:val="0"/>
          <w:numId w:val="237"/>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80% населения получило доступ к широкополосному интернету;</w:t>
      </w:r>
    </w:p>
    <w:p w14:paraId="5E11C950" w14:textId="77777777" w:rsidR="00AC124A" w:rsidRPr="006E7EB1" w:rsidRDefault="00AC124A" w:rsidP="00AD58CD">
      <w:pPr>
        <w:numPr>
          <w:ilvl w:val="0"/>
          <w:numId w:val="237"/>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45 вузов внедрили программы по искусственному интеллекту и большим данным [2].</w:t>
      </w:r>
      <w:r w:rsidRPr="006E7EB1">
        <w:rPr>
          <w:rFonts w:ascii="Times New Roman" w:eastAsia="Times New Roman" w:hAnsi="Times New Roman" w:cs="Times New Roman"/>
          <w:sz w:val="32"/>
          <w:szCs w:val="32"/>
        </w:rPr>
        <w:br/>
        <w:t>Ключевым достижением программы стало создание 20 IT-кластеров в регионах, где стартапы получают налоговые льготы и доступ к грантам.</w:t>
      </w:r>
    </w:p>
    <w:p w14:paraId="6B64F73F"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2. Современные технологии и их применение</w:t>
      </w:r>
    </w:p>
    <w:p w14:paraId="1B6E2F63"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2.1. Глобальные тренды</w:t>
      </w:r>
    </w:p>
    <w:p w14:paraId="6D1CBA69"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Искусственный интеллект (ИИ) стал драйвером оптимизации бизнес-процессов. Netflix использует алгоритмы машинного обучения для персонализации рекомендаций, что обеспечивает 80% просмотров на платформе. В логистике Walmart сократил затраты на 15% благодаря прогнозам спроса на основе ИИ.</w:t>
      </w:r>
    </w:p>
    <w:p w14:paraId="022838FF"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Интернет вещей (IoT) трансформирует производство. Siemens внедрила цифровых двойников для тестирования газовых турбин, сократив время разработки на 50%. Технология IoT также применяется в "умных городах": в Сингапуре датчики регулируют уличное освещение и трафик, сокращая энергопотребление на 25%.</w:t>
      </w:r>
    </w:p>
    <w:p w14:paraId="5C1F4303"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Блокчейн обеспечивает прозрачность цепочек поставок. Платформа TradeLens от Maersk и IBM сократила время обработки документов с 10 дней до 2 часов [4]. В финансовом секторе JPMorgan Chase использует блокчейн для мгновенных платежей, что снижает комиссии на 70%.</w:t>
      </w:r>
    </w:p>
    <w:p w14:paraId="365AA2A9"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2.2. Российские кейсы</w:t>
      </w:r>
    </w:p>
    <w:p w14:paraId="4E1EEC55"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В России цифровизация ускорилась под влиянием санкций. Сбер внедрил ИИ в кредитный скоринг, сократив время обработки заявок с 2 дней до 5 минут. Алгоритмы анализируют более 100 параметров, включая социальные сети и геолокацию. Яндекс использует рекомендательные системы в маркетплейсе "Беру", увеличив конверсию на 25% за счет анализа поведения пользователей.</w:t>
      </w:r>
    </w:p>
    <w:p w14:paraId="135D68E6"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lastRenderedPageBreak/>
        <w:t>Импортозамещение ПО стало приоритетом:</w:t>
      </w:r>
    </w:p>
    <w:p w14:paraId="018E083D" w14:textId="77777777" w:rsidR="00AC124A" w:rsidRPr="006E7EB1" w:rsidRDefault="00AC124A" w:rsidP="00AD58CD">
      <w:pPr>
        <w:numPr>
          <w:ilvl w:val="0"/>
          <w:numId w:val="238"/>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"Ростелеком" заменил Microsoft 365 на отечественную платформу "Офис" в 70% госучреждений;</w:t>
      </w:r>
    </w:p>
    <w:p w14:paraId="40DEC6FB" w14:textId="77777777" w:rsidR="00AC124A" w:rsidRPr="006E7EB1" w:rsidRDefault="00AC124A" w:rsidP="00AD58CD">
      <w:pPr>
        <w:numPr>
          <w:ilvl w:val="0"/>
          <w:numId w:val="238"/>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ERP-системы "1С" и "Галактика" контролируют 60% российского рынка, предлагая модули для управления производством и логистикой.</w:t>
      </w:r>
    </w:p>
    <w:p w14:paraId="3D845537"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Цифровой рубль, пилотный проект Банка России, тестируется с 2023 года. Его внедрение позволит ускорить платежи и снизить зависимость от SWIFT. В рамках пилота 12 банков проводят транзакции между юридическими лицами, что сокращает время расчетов с 3 дней до 15 секунд.</w:t>
      </w:r>
    </w:p>
    <w:p w14:paraId="18C5EF9B"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3. Перспективы до 2030 года</w:t>
      </w:r>
    </w:p>
    <w:p w14:paraId="7C85D1DD"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3.1. Глобальные прогнозы</w:t>
      </w:r>
    </w:p>
    <w:p w14:paraId="34D11335"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Метавселенные переопределят форматы работы и взаимодействия. Рынок виртуальных пространств, таких как Meta Horizon Workrooms, достигнет $800 млрд к 2024 году [5]. К 2030 году 30% корпоративных встреч будут проводиться в виртуальных офисах, что сократит затраты на аренду помещений на 40%.</w:t>
      </w:r>
    </w:p>
    <w:p w14:paraId="53DA9EE9"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Квантовые вычисления решат задачи оптимизации: Volkswagen тестирует алгоритмы для управления трафиком в мегаполисах. В фармацевтике квантовые симуляции ускорят разработку лекарств, сократив сроки с 10 лет до 2.</w:t>
      </w:r>
    </w:p>
    <w:p w14:paraId="050F3580"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Green IT станет обязательным элементом стратегий: Google сократил энергопотребление дата-центров на 40% через ИИ-оптимизацию. К 2030 году 50% компаний внедрят системы мониторинга углеродного следа.</w:t>
      </w:r>
    </w:p>
    <w:p w14:paraId="338435B5"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3.2. Российские инициативы</w:t>
      </w:r>
    </w:p>
    <w:p w14:paraId="720D4228"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Квантовые технологии - приоритет Росатома, инвестирующего 24 млрд рублей в создание квантового компьютера. Первые прототипы будут применены в криптографии и моделировании климата.</w:t>
      </w:r>
    </w:p>
    <w:p w14:paraId="01AFFDD5"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Метавселенные развиваются через платформу "VK Место", ориентированную на виртуальные мероприятия. В 2023 году на платформе провели цифровой форум "Технопром", собравший 50 тыс. участников.</w:t>
      </w:r>
    </w:p>
    <w:p w14:paraId="57A98D40"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Импортозамещение продолжается: к 2025 году 80% госсектора перейдет на отечественное ПО. Разрабатывается аналог Autodesk для машиностроения и архитектуры.</w:t>
      </w:r>
    </w:p>
    <w:p w14:paraId="1E9CA4EC"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4. Вызовы цифровой трансформации</w:t>
      </w:r>
    </w:p>
    <w:p w14:paraId="7A6FC5F3"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4.1. Общемировые риски</w:t>
      </w:r>
    </w:p>
    <w:p w14:paraId="2D0A01C6" w14:textId="77777777" w:rsidR="00AC124A" w:rsidRPr="006E7EB1" w:rsidRDefault="00AC124A" w:rsidP="00AD58CD">
      <w:pPr>
        <w:numPr>
          <w:ilvl w:val="0"/>
          <w:numId w:val="239"/>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lastRenderedPageBreak/>
        <w:t>Кибербезопасность: Ущерб от кибератак в 2022 году составил $6 трлн. Каждые 11 секунд происходит атака на малый бизнес, а 60% компаний не имеют резервных копий данных.</w:t>
      </w:r>
    </w:p>
    <w:p w14:paraId="73F2E490" w14:textId="77777777" w:rsidR="00AC124A" w:rsidRPr="006E7EB1" w:rsidRDefault="00AC124A" w:rsidP="00AD58CD">
      <w:pPr>
        <w:numPr>
          <w:ilvl w:val="0"/>
          <w:numId w:val="239"/>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Этика ИИ: Алгоритмы Amazon демонстрировали гендерную предвзятость при найме сотрудников. В 2023 году ЕС принял "Акт об ИИ", запрещающий использование распознавания лиц в публичных местах.</w:t>
      </w:r>
    </w:p>
    <w:p w14:paraId="48376E22" w14:textId="77777777" w:rsidR="00AC124A" w:rsidRPr="006E7EB1" w:rsidRDefault="00AC124A" w:rsidP="00AD58CD">
      <w:pPr>
        <w:numPr>
          <w:ilvl w:val="0"/>
          <w:numId w:val="239"/>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Кадровый дефицит</w:t>
      </w:r>
      <w:proofErr w:type="gramStart"/>
      <w:r w:rsidRPr="006E7EB1">
        <w:rPr>
          <w:rFonts w:ascii="Times New Roman" w:eastAsia="Times New Roman" w:hAnsi="Times New Roman" w:cs="Times New Roman"/>
          <w:sz w:val="32"/>
          <w:szCs w:val="32"/>
        </w:rPr>
        <w:t>: К</w:t>
      </w:r>
      <w:proofErr w:type="gramEnd"/>
      <w:r w:rsidRPr="006E7EB1">
        <w:rPr>
          <w:rFonts w:ascii="Times New Roman" w:eastAsia="Times New Roman" w:hAnsi="Times New Roman" w:cs="Times New Roman"/>
          <w:sz w:val="32"/>
          <w:szCs w:val="32"/>
        </w:rPr>
        <w:t xml:space="preserve"> 2025 году 85 млн рабочих мест останутся незаполненными из-за нехватки цифровых навыков.</w:t>
      </w:r>
    </w:p>
    <w:p w14:paraId="1188F814"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4.2. Российские особенности</w:t>
      </w:r>
    </w:p>
    <w:p w14:paraId="4EA1D60E" w14:textId="77777777" w:rsidR="00AC124A" w:rsidRPr="006E7EB1" w:rsidRDefault="00AC124A" w:rsidP="00AD58CD">
      <w:pPr>
        <w:numPr>
          <w:ilvl w:val="0"/>
          <w:numId w:val="240"/>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Киберугрозы: На Россию пришлось 18% глобальных кибератак в 2022 году. В 2023 году хакеры атаковали инфраструктуру "Сбера", но система защиты заблокировала 99,9% угроз [2].</w:t>
      </w:r>
    </w:p>
    <w:p w14:paraId="319DB92B" w14:textId="77777777" w:rsidR="00AC124A" w:rsidRPr="006E7EB1" w:rsidRDefault="00AC124A" w:rsidP="00AD58CD">
      <w:pPr>
        <w:numPr>
          <w:ilvl w:val="0"/>
          <w:numId w:val="240"/>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Санкции: Ограничения на поставку серверов и ПО замедлили цифровизацию малого бизнеса на 20%. Для решения проблемы создан фонд поддержки IT-стартапов с бюджетом 50 млрд рублей.</w:t>
      </w:r>
    </w:p>
    <w:p w14:paraId="0AD5778C" w14:textId="77777777" w:rsidR="00AC124A" w:rsidRPr="006E7EB1" w:rsidRDefault="00AC124A" w:rsidP="00AD58CD">
      <w:pPr>
        <w:numPr>
          <w:ilvl w:val="0"/>
          <w:numId w:val="240"/>
        </w:num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Дефицит кадров: 67% компаний испытывают нехватку IT-специалистов [2]. Вузы увеличили набор на IT-специальности на 30%, а "Яндекс" запустил бесплатные курсы по программированию.</w:t>
      </w:r>
    </w:p>
    <w:p w14:paraId="3A57EFEE"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Заключение</w:t>
      </w:r>
    </w:p>
    <w:p w14:paraId="5A9C4E88"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Цифровая трансформация прошла путь от автоматизации учета до создания метавселенных, став стратегическим императивом для бизнеса. В России её развитие определяется государственными программами, импортозамещением и адаптацией к санкциям. Однако ключевые вызовы - кибербезопасность, кадровый дефицит и этические дилеммы - требуют комплексных решений. Для успеха компаниям необходимо:</w:t>
      </w:r>
    </w:p>
    <w:p w14:paraId="397DA5C7"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1. Инвестировать в гибкие IT-архитектуры.</w:t>
      </w:r>
    </w:p>
    <w:p w14:paraId="244D8C20"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2. Развивать партнерства с образовательными учреждениями.</w:t>
      </w:r>
    </w:p>
    <w:p w14:paraId="4E057061" w14:textId="77777777" w:rsidR="00AC124A" w:rsidRPr="006E7EB1" w:rsidRDefault="00AC124A" w:rsidP="00AC124A">
      <w:pPr>
        <w:spacing w:after="0" w:line="240" w:lineRule="auto"/>
        <w:jc w:val="both"/>
        <w:rPr>
          <w:rFonts w:ascii="Times New Roman" w:eastAsia="Times New Roman" w:hAnsi="Times New Roman" w:cs="Times New Roman"/>
          <w:sz w:val="32"/>
          <w:szCs w:val="32"/>
        </w:rPr>
      </w:pPr>
      <w:r w:rsidRPr="006E7EB1">
        <w:rPr>
          <w:rFonts w:ascii="Times New Roman" w:eastAsia="Times New Roman" w:hAnsi="Times New Roman" w:cs="Times New Roman"/>
          <w:sz w:val="32"/>
          <w:szCs w:val="32"/>
        </w:rPr>
        <w:t>3. Внедрять стандарты устойчивого развития и этики ИИ.</w:t>
      </w:r>
    </w:p>
    <w:p w14:paraId="41B52164" w14:textId="77777777" w:rsidR="00AC124A" w:rsidRDefault="00AC124A" w:rsidP="00AC124A">
      <w:pPr>
        <w:spacing w:after="0" w:line="240" w:lineRule="auto"/>
        <w:rPr>
          <w:rFonts w:ascii="Times New Roman" w:eastAsia="Times New Roman" w:hAnsi="Times New Roman" w:cs="Times New Roman"/>
          <w:b/>
          <w:bCs/>
          <w:sz w:val="21"/>
          <w:szCs w:val="21"/>
        </w:rPr>
      </w:pPr>
    </w:p>
    <w:p w14:paraId="5CCEBF3C" w14:textId="77777777" w:rsidR="00AC124A" w:rsidRPr="006E7EB1" w:rsidRDefault="00AC124A" w:rsidP="00AC124A">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rPr>
        <w:t>Л</w:t>
      </w:r>
      <w:r w:rsidRPr="006E7EB1">
        <w:rPr>
          <w:rFonts w:ascii="Times New Roman" w:eastAsia="Times New Roman" w:hAnsi="Times New Roman" w:cs="Times New Roman"/>
          <w:b/>
          <w:bCs/>
          <w:sz w:val="21"/>
          <w:szCs w:val="21"/>
        </w:rPr>
        <w:t>итератур</w:t>
      </w:r>
      <w:r>
        <w:rPr>
          <w:rFonts w:ascii="Times New Roman" w:eastAsia="Times New Roman" w:hAnsi="Times New Roman" w:cs="Times New Roman"/>
          <w:b/>
          <w:bCs/>
          <w:sz w:val="21"/>
          <w:szCs w:val="21"/>
        </w:rPr>
        <w:t>а:</w:t>
      </w:r>
    </w:p>
    <w:p w14:paraId="028B4CB3" w14:textId="77777777" w:rsidR="00AC124A" w:rsidRPr="006E7EB1" w:rsidRDefault="00AC124A" w:rsidP="00AD58CD">
      <w:pPr>
        <w:numPr>
          <w:ilvl w:val="0"/>
          <w:numId w:val="241"/>
        </w:numPr>
        <w:spacing w:after="0" w:line="240" w:lineRule="auto"/>
        <w:rPr>
          <w:rFonts w:ascii="Times New Roman" w:eastAsia="Times New Roman" w:hAnsi="Times New Roman" w:cs="Times New Roman"/>
          <w:sz w:val="21"/>
          <w:szCs w:val="21"/>
          <w:lang w:val="en-US"/>
        </w:rPr>
      </w:pPr>
      <w:r w:rsidRPr="006E7EB1">
        <w:rPr>
          <w:rFonts w:ascii="Times New Roman" w:eastAsia="Times New Roman" w:hAnsi="Times New Roman" w:cs="Times New Roman"/>
          <w:sz w:val="21"/>
          <w:szCs w:val="21"/>
          <w:lang w:val="en-US"/>
        </w:rPr>
        <w:t>McKinsey. (2021). </w:t>
      </w:r>
      <w:r w:rsidRPr="006E7EB1">
        <w:rPr>
          <w:rFonts w:ascii="Times New Roman" w:eastAsia="Times New Roman" w:hAnsi="Times New Roman" w:cs="Times New Roman"/>
          <w:i/>
          <w:iCs/>
          <w:sz w:val="21"/>
          <w:szCs w:val="21"/>
          <w:lang w:val="en-US"/>
        </w:rPr>
        <w:t>The Digital Transformation Imperative</w:t>
      </w:r>
      <w:r w:rsidRPr="006E7EB1">
        <w:rPr>
          <w:rFonts w:ascii="Times New Roman" w:eastAsia="Times New Roman" w:hAnsi="Times New Roman" w:cs="Times New Roman"/>
          <w:sz w:val="21"/>
          <w:szCs w:val="21"/>
          <w:lang w:val="en-US"/>
        </w:rPr>
        <w:t>.</w:t>
      </w:r>
    </w:p>
    <w:p w14:paraId="350A11B8" w14:textId="77777777" w:rsidR="00AC124A" w:rsidRPr="006E7EB1" w:rsidRDefault="00AC124A" w:rsidP="00AD58CD">
      <w:pPr>
        <w:numPr>
          <w:ilvl w:val="0"/>
          <w:numId w:val="241"/>
        </w:numPr>
        <w:spacing w:after="0" w:line="240" w:lineRule="auto"/>
        <w:rPr>
          <w:rFonts w:ascii="Times New Roman" w:eastAsia="Times New Roman" w:hAnsi="Times New Roman" w:cs="Times New Roman"/>
          <w:sz w:val="21"/>
          <w:szCs w:val="21"/>
        </w:rPr>
      </w:pPr>
      <w:r w:rsidRPr="006E7EB1">
        <w:rPr>
          <w:rFonts w:ascii="Times New Roman" w:eastAsia="Times New Roman" w:hAnsi="Times New Roman" w:cs="Times New Roman"/>
          <w:sz w:val="21"/>
          <w:szCs w:val="21"/>
        </w:rPr>
        <w:t>Минцифры РФ. (2023). </w:t>
      </w:r>
      <w:r w:rsidRPr="006E7EB1">
        <w:rPr>
          <w:rFonts w:ascii="Times New Roman" w:eastAsia="Times New Roman" w:hAnsi="Times New Roman" w:cs="Times New Roman"/>
          <w:i/>
          <w:iCs/>
          <w:sz w:val="21"/>
          <w:szCs w:val="21"/>
        </w:rPr>
        <w:t>Отчет о программе "Цифровая экономика"</w:t>
      </w:r>
      <w:r w:rsidRPr="006E7EB1">
        <w:rPr>
          <w:rFonts w:ascii="Times New Roman" w:eastAsia="Times New Roman" w:hAnsi="Times New Roman" w:cs="Times New Roman"/>
          <w:sz w:val="21"/>
          <w:szCs w:val="21"/>
        </w:rPr>
        <w:t>.</w:t>
      </w:r>
    </w:p>
    <w:p w14:paraId="5E569D81" w14:textId="77777777" w:rsidR="00AC124A" w:rsidRPr="006E7EB1" w:rsidRDefault="00AC124A" w:rsidP="00AD58CD">
      <w:pPr>
        <w:numPr>
          <w:ilvl w:val="0"/>
          <w:numId w:val="241"/>
        </w:numPr>
        <w:spacing w:after="0" w:line="240" w:lineRule="auto"/>
        <w:rPr>
          <w:rFonts w:ascii="Times New Roman" w:eastAsia="Times New Roman" w:hAnsi="Times New Roman" w:cs="Times New Roman"/>
          <w:sz w:val="21"/>
          <w:szCs w:val="21"/>
        </w:rPr>
      </w:pPr>
      <w:r w:rsidRPr="006E7EB1">
        <w:rPr>
          <w:rFonts w:ascii="Times New Roman" w:eastAsia="Times New Roman" w:hAnsi="Times New Roman" w:cs="Times New Roman"/>
          <w:sz w:val="21"/>
          <w:szCs w:val="21"/>
        </w:rPr>
        <w:t>Росстат. (2022). </w:t>
      </w:r>
      <w:r w:rsidRPr="006E7EB1">
        <w:rPr>
          <w:rFonts w:ascii="Times New Roman" w:eastAsia="Times New Roman" w:hAnsi="Times New Roman" w:cs="Times New Roman"/>
          <w:i/>
          <w:iCs/>
          <w:sz w:val="21"/>
          <w:szCs w:val="21"/>
        </w:rPr>
        <w:t>Доля цифровой экономики в ВВП РФ</w:t>
      </w:r>
      <w:r w:rsidRPr="006E7EB1">
        <w:rPr>
          <w:rFonts w:ascii="Times New Roman" w:eastAsia="Times New Roman" w:hAnsi="Times New Roman" w:cs="Times New Roman"/>
          <w:sz w:val="21"/>
          <w:szCs w:val="21"/>
        </w:rPr>
        <w:t>.</w:t>
      </w:r>
    </w:p>
    <w:p w14:paraId="3BE550A7" w14:textId="77777777" w:rsidR="00AC124A" w:rsidRPr="006E7EB1" w:rsidRDefault="00AC124A" w:rsidP="00AD58CD">
      <w:pPr>
        <w:numPr>
          <w:ilvl w:val="0"/>
          <w:numId w:val="241"/>
        </w:numPr>
        <w:spacing w:after="0" w:line="240" w:lineRule="auto"/>
        <w:rPr>
          <w:rFonts w:ascii="Times New Roman" w:eastAsia="Times New Roman" w:hAnsi="Times New Roman" w:cs="Times New Roman"/>
          <w:sz w:val="21"/>
          <w:szCs w:val="21"/>
        </w:rPr>
      </w:pPr>
      <w:r w:rsidRPr="006E7EB1">
        <w:rPr>
          <w:rFonts w:ascii="Times New Roman" w:eastAsia="Times New Roman" w:hAnsi="Times New Roman" w:cs="Times New Roman"/>
          <w:sz w:val="21"/>
          <w:szCs w:val="21"/>
        </w:rPr>
        <w:t>IBM. (2020). </w:t>
      </w:r>
      <w:r w:rsidRPr="006E7EB1">
        <w:rPr>
          <w:rFonts w:ascii="Times New Roman" w:eastAsia="Times New Roman" w:hAnsi="Times New Roman" w:cs="Times New Roman"/>
          <w:i/>
          <w:iCs/>
          <w:sz w:val="21"/>
          <w:szCs w:val="21"/>
        </w:rPr>
        <w:t>TradeLens Case Study</w:t>
      </w:r>
      <w:r w:rsidRPr="006E7EB1">
        <w:rPr>
          <w:rFonts w:ascii="Times New Roman" w:eastAsia="Times New Roman" w:hAnsi="Times New Roman" w:cs="Times New Roman"/>
          <w:sz w:val="21"/>
          <w:szCs w:val="21"/>
        </w:rPr>
        <w:t>.</w:t>
      </w:r>
    </w:p>
    <w:p w14:paraId="6753FAFF" w14:textId="77777777" w:rsidR="00AC124A" w:rsidRPr="00DF0339" w:rsidRDefault="00AC124A" w:rsidP="00AD58CD">
      <w:pPr>
        <w:numPr>
          <w:ilvl w:val="0"/>
          <w:numId w:val="241"/>
        </w:numPr>
        <w:spacing w:after="0" w:line="240" w:lineRule="auto"/>
        <w:rPr>
          <w:rFonts w:ascii="Times New Roman" w:eastAsia="Times New Roman" w:hAnsi="Times New Roman" w:cs="Times New Roman"/>
          <w:sz w:val="21"/>
          <w:szCs w:val="21"/>
        </w:rPr>
      </w:pPr>
      <w:r w:rsidRPr="006E7EB1">
        <w:rPr>
          <w:rFonts w:ascii="Times New Roman" w:eastAsia="Times New Roman" w:hAnsi="Times New Roman" w:cs="Times New Roman"/>
          <w:sz w:val="21"/>
          <w:szCs w:val="21"/>
        </w:rPr>
        <w:t>Bloomberg. (2023). </w:t>
      </w:r>
      <w:r w:rsidRPr="006E7EB1">
        <w:rPr>
          <w:rFonts w:ascii="Times New Roman" w:eastAsia="Times New Roman" w:hAnsi="Times New Roman" w:cs="Times New Roman"/>
          <w:i/>
          <w:iCs/>
          <w:sz w:val="21"/>
          <w:szCs w:val="21"/>
        </w:rPr>
        <w:t>Metaverse Market Forecast</w:t>
      </w:r>
      <w:r w:rsidRPr="006E7EB1">
        <w:rPr>
          <w:rFonts w:ascii="Times New Roman" w:eastAsia="Times New Roman" w:hAnsi="Times New Roman" w:cs="Times New Roman"/>
          <w:sz w:val="21"/>
          <w:szCs w:val="21"/>
        </w:rPr>
        <w:t>.</w:t>
      </w:r>
    </w:p>
    <w:p w14:paraId="1BD0EACC" w14:textId="77777777" w:rsidR="00AC124A" w:rsidRPr="00773D91" w:rsidRDefault="00AC124A" w:rsidP="00AC124A">
      <w:pPr>
        <w:spacing w:after="0" w:line="240" w:lineRule="auto"/>
        <w:rPr>
          <w:rFonts w:ascii="Times New Roman" w:eastAsia="Times New Roman" w:hAnsi="Times New Roman" w:cs="Times New Roman"/>
          <w:b/>
          <w:kern w:val="2"/>
          <w:sz w:val="21"/>
          <w:szCs w:val="24"/>
          <w:lang w:val="en-US" w:eastAsia="ru-RU"/>
        </w:rPr>
      </w:pPr>
    </w:p>
    <w:p w14:paraId="683F348A" w14:textId="77777777" w:rsidR="00FD1DC0" w:rsidRDefault="00FD1DC0" w:rsidP="00306FD3">
      <w:pPr>
        <w:tabs>
          <w:tab w:val="left" w:pos="1276"/>
        </w:tabs>
        <w:spacing w:after="0" w:line="240" w:lineRule="auto"/>
        <w:rPr>
          <w:rFonts w:ascii="Times New Roman" w:eastAsia="Times New Roman" w:hAnsi="Times New Roman" w:cs="Times New Roman"/>
          <w:b/>
          <w:kern w:val="2"/>
          <w:sz w:val="21"/>
          <w:szCs w:val="24"/>
          <w:lang w:eastAsia="ru-RU"/>
        </w:rPr>
      </w:pPr>
    </w:p>
    <w:p w14:paraId="2E7A7E7D" w14:textId="49449CC6" w:rsidR="00877DE5" w:rsidRPr="00877DE5" w:rsidRDefault="00877DE5" w:rsidP="00306FD3">
      <w:pPr>
        <w:tabs>
          <w:tab w:val="left" w:pos="1276"/>
        </w:tabs>
        <w:spacing w:after="0" w:line="240" w:lineRule="auto"/>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kern w:val="2"/>
          <w:sz w:val="21"/>
          <w:szCs w:val="24"/>
          <w:lang w:eastAsia="ru-RU"/>
        </w:rPr>
        <w:t>УДК</w:t>
      </w:r>
      <w:r w:rsidRPr="00877DE5">
        <w:rPr>
          <w:rFonts w:ascii="Times New Roman" w:eastAsia="Times New Roman" w:hAnsi="Times New Roman" w:cs="Times New Roman"/>
          <w:b/>
          <w:kern w:val="2"/>
          <w:szCs w:val="24"/>
          <w:lang w:eastAsia="ru-RU"/>
        </w:rPr>
        <w:t xml:space="preserve"> </w:t>
      </w:r>
      <w:r w:rsidRPr="00877DE5">
        <w:rPr>
          <w:rFonts w:ascii="Times New Roman" w:eastAsia="Times New Roman" w:hAnsi="Times New Roman" w:cs="Times New Roman"/>
          <w:b/>
          <w:kern w:val="2"/>
          <w:sz w:val="21"/>
          <w:szCs w:val="24"/>
          <w:lang w:eastAsia="ru-RU"/>
        </w:rPr>
        <w:t>004.415</w:t>
      </w:r>
    </w:p>
    <w:p w14:paraId="2C535D33"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b/>
          <w:i/>
          <w:kern w:val="2"/>
          <w:sz w:val="21"/>
          <w:szCs w:val="24"/>
          <w:lang w:eastAsia="ru-RU"/>
        </w:rPr>
      </w:pPr>
      <w:r w:rsidRPr="00877DE5">
        <w:rPr>
          <w:rFonts w:ascii="Times New Roman" w:eastAsia="Times New Roman" w:hAnsi="Times New Roman" w:cs="Times New Roman"/>
          <w:b/>
          <w:i/>
          <w:kern w:val="2"/>
          <w:sz w:val="21"/>
          <w:szCs w:val="24"/>
          <w:lang w:eastAsia="ru-RU"/>
        </w:rPr>
        <w:t>Злобина С.С.,</w:t>
      </w:r>
    </w:p>
    <w:p w14:paraId="152B3490"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b/>
          <w:i/>
          <w:kern w:val="2"/>
          <w:sz w:val="21"/>
          <w:szCs w:val="24"/>
          <w:lang w:eastAsia="ru-RU"/>
        </w:rPr>
      </w:pPr>
      <w:r w:rsidRPr="00877DE5">
        <w:rPr>
          <w:rFonts w:ascii="Times New Roman" w:eastAsia="Times New Roman" w:hAnsi="Times New Roman" w:cs="Times New Roman"/>
          <w:b/>
          <w:i/>
          <w:kern w:val="2"/>
          <w:sz w:val="21"/>
          <w:szCs w:val="24"/>
          <w:lang w:eastAsia="ru-RU"/>
        </w:rPr>
        <w:lastRenderedPageBreak/>
        <w:t xml:space="preserve"> </w:t>
      </w:r>
      <w:r w:rsidRPr="00877DE5">
        <w:rPr>
          <w:rFonts w:ascii="Times New Roman" w:eastAsia="Times New Roman" w:hAnsi="Times New Roman" w:cs="Times New Roman"/>
          <w:i/>
          <w:kern w:val="2"/>
          <w:sz w:val="21"/>
          <w:szCs w:val="24"/>
          <w:lang w:eastAsia="ru-RU"/>
        </w:rPr>
        <w:t xml:space="preserve">студентка 3 курса </w:t>
      </w:r>
      <w:r w:rsidRPr="00877DE5">
        <w:rPr>
          <w:rFonts w:ascii="Times New Roman" w:eastAsia="Times New Roman" w:hAnsi="Times New Roman" w:cs="Times New Roman"/>
          <w:kern w:val="2"/>
          <w:sz w:val="21"/>
          <w:szCs w:val="24"/>
          <w:lang w:eastAsia="ru-RU"/>
        </w:rPr>
        <w:t xml:space="preserve"> </w:t>
      </w:r>
    </w:p>
    <w:p w14:paraId="358C3348" w14:textId="11841149"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Финансовый университет при Правительстве Российской Федерации (Краснодарский филиал) г. Краснодар, Россия</w:t>
      </w:r>
      <w:r w:rsidRPr="00877DE5">
        <w:rPr>
          <w:rFonts w:ascii="Times New Roman" w:eastAsia="Times New Roman" w:hAnsi="Times New Roman" w:cs="Times New Roman"/>
          <w:kern w:val="2"/>
          <w:sz w:val="21"/>
          <w:szCs w:val="24"/>
          <w:lang w:eastAsia="ru-RU"/>
        </w:rPr>
        <w:t xml:space="preserve"> </w:t>
      </w:r>
    </w:p>
    <w:p w14:paraId="5E98291F"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е-</w:t>
      </w:r>
      <w:r w:rsidRPr="00877DE5">
        <w:rPr>
          <w:rFonts w:ascii="Times New Roman" w:eastAsia="Times New Roman" w:hAnsi="Times New Roman" w:cs="Times New Roman"/>
          <w:i/>
          <w:kern w:val="2"/>
          <w:sz w:val="21"/>
          <w:szCs w:val="24"/>
          <w:lang w:val="en-US" w:eastAsia="ru-RU"/>
        </w:rPr>
        <w:t>mail</w:t>
      </w:r>
      <w:r w:rsidRPr="00877DE5">
        <w:rPr>
          <w:rFonts w:ascii="Times New Roman" w:eastAsia="Times New Roman" w:hAnsi="Times New Roman" w:cs="Times New Roman"/>
          <w:i/>
          <w:kern w:val="2"/>
          <w:sz w:val="21"/>
          <w:szCs w:val="24"/>
          <w:lang w:eastAsia="ru-RU"/>
        </w:rPr>
        <w:t>:</w:t>
      </w:r>
      <w:r w:rsidRPr="00877DE5">
        <w:rPr>
          <w:rFonts w:ascii="Times New Roman" w:eastAsia="Times New Roman" w:hAnsi="Times New Roman" w:cs="Times New Roman"/>
          <w:kern w:val="2"/>
          <w:sz w:val="24"/>
          <w:szCs w:val="24"/>
          <w:lang w:eastAsia="ru-RU"/>
        </w:rPr>
        <w:t xml:space="preserve"> </w:t>
      </w:r>
      <w:r w:rsidRPr="00877DE5">
        <w:rPr>
          <w:rFonts w:ascii="Times New Roman" w:eastAsia="Times New Roman" w:hAnsi="Times New Roman" w:cs="Times New Roman"/>
          <w:i/>
          <w:kern w:val="2"/>
          <w:sz w:val="21"/>
          <w:szCs w:val="24"/>
          <w:lang w:val="en-US" w:eastAsia="ru-RU"/>
        </w:rPr>
        <w:t>zlobina</w:t>
      </w:r>
      <w:r w:rsidRPr="00877DE5">
        <w:rPr>
          <w:rFonts w:ascii="Times New Roman" w:eastAsia="Times New Roman" w:hAnsi="Times New Roman" w:cs="Times New Roman"/>
          <w:i/>
          <w:kern w:val="2"/>
          <w:sz w:val="21"/>
          <w:szCs w:val="24"/>
          <w:lang w:eastAsia="ru-RU"/>
        </w:rPr>
        <w:t>10091996@</w:t>
      </w:r>
      <w:r w:rsidRPr="00877DE5">
        <w:rPr>
          <w:rFonts w:ascii="Times New Roman" w:eastAsia="Times New Roman" w:hAnsi="Times New Roman" w:cs="Times New Roman"/>
          <w:i/>
          <w:kern w:val="2"/>
          <w:sz w:val="21"/>
          <w:szCs w:val="24"/>
          <w:lang w:val="en-US" w:eastAsia="ru-RU"/>
        </w:rPr>
        <w:t>gmail</w:t>
      </w:r>
      <w:r w:rsidRPr="00877DE5">
        <w:rPr>
          <w:rFonts w:ascii="Times New Roman" w:eastAsia="Times New Roman" w:hAnsi="Times New Roman" w:cs="Times New Roman"/>
          <w:i/>
          <w:kern w:val="2"/>
          <w:sz w:val="21"/>
          <w:szCs w:val="24"/>
          <w:lang w:eastAsia="ru-RU"/>
        </w:rPr>
        <w:t>.</w:t>
      </w:r>
      <w:r w:rsidRPr="00877DE5">
        <w:rPr>
          <w:rFonts w:ascii="Times New Roman" w:eastAsia="Times New Roman" w:hAnsi="Times New Roman" w:cs="Times New Roman"/>
          <w:i/>
          <w:kern w:val="2"/>
          <w:sz w:val="21"/>
          <w:szCs w:val="24"/>
          <w:lang w:val="en-US" w:eastAsia="ru-RU"/>
        </w:rPr>
        <w:t>com</w:t>
      </w:r>
    </w:p>
    <w:p w14:paraId="0E6E6D8C"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kern w:val="2"/>
          <w:sz w:val="21"/>
          <w:szCs w:val="24"/>
          <w:lang w:eastAsia="ru-RU"/>
        </w:rPr>
        <w:t xml:space="preserve"> </w:t>
      </w:r>
    </w:p>
    <w:p w14:paraId="3D6D3AD3"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i/>
          <w:kern w:val="2"/>
          <w:sz w:val="21"/>
          <w:szCs w:val="24"/>
          <w:lang w:eastAsia="ru-RU"/>
        </w:rPr>
        <w:t xml:space="preserve">Научный руководитель: </w:t>
      </w:r>
    </w:p>
    <w:p w14:paraId="22767583"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b/>
          <w:i/>
          <w:kern w:val="2"/>
          <w:sz w:val="21"/>
          <w:szCs w:val="24"/>
          <w:lang w:eastAsia="ru-RU"/>
        </w:rPr>
        <w:t>Пьянкова Н.Г.,</w:t>
      </w:r>
    </w:p>
    <w:p w14:paraId="3586F9A8"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Доцент: Кафедра "Математика и информатика"</w:t>
      </w:r>
    </w:p>
    <w:p w14:paraId="16247E6C"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Финансовый университет при Правительстве Российской Федерации</w:t>
      </w:r>
    </w:p>
    <w:p w14:paraId="1112A74A"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eastAsia="ru-RU"/>
        </w:rPr>
      </w:pPr>
      <w:r w:rsidRPr="00877DE5">
        <w:rPr>
          <w:rFonts w:ascii="Times New Roman" w:eastAsia="Times New Roman" w:hAnsi="Times New Roman" w:cs="Times New Roman"/>
          <w:i/>
          <w:kern w:val="2"/>
          <w:sz w:val="21"/>
          <w:szCs w:val="24"/>
          <w:lang w:eastAsia="ru-RU"/>
        </w:rPr>
        <w:t>(Краснодарский филиал) г. Краснодар, Россия</w:t>
      </w:r>
    </w:p>
    <w:p w14:paraId="13A88240"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i/>
          <w:kern w:val="2"/>
          <w:sz w:val="21"/>
          <w:szCs w:val="24"/>
          <w:lang w:eastAsia="ru-RU"/>
        </w:rPr>
        <w:t>е-</w:t>
      </w:r>
      <w:r w:rsidRPr="00877DE5">
        <w:rPr>
          <w:rFonts w:ascii="Times New Roman" w:eastAsia="Times New Roman" w:hAnsi="Times New Roman" w:cs="Times New Roman"/>
          <w:i/>
          <w:kern w:val="2"/>
          <w:sz w:val="21"/>
          <w:szCs w:val="24"/>
          <w:lang w:val="en-US" w:eastAsia="ru-RU"/>
        </w:rPr>
        <w:t>mail</w:t>
      </w:r>
      <w:r w:rsidRPr="00877DE5">
        <w:rPr>
          <w:rFonts w:ascii="Times New Roman" w:eastAsia="Times New Roman" w:hAnsi="Times New Roman" w:cs="Times New Roman"/>
          <w:i/>
          <w:kern w:val="2"/>
          <w:sz w:val="21"/>
          <w:szCs w:val="24"/>
          <w:lang w:eastAsia="ru-RU"/>
        </w:rPr>
        <w:t>:</w:t>
      </w:r>
      <w:r w:rsidRPr="00877DE5">
        <w:rPr>
          <w:rFonts w:ascii="Times New Roman" w:eastAsia="Times New Roman" w:hAnsi="Times New Roman" w:cs="Times New Roman"/>
          <w:kern w:val="2"/>
          <w:sz w:val="24"/>
          <w:szCs w:val="24"/>
          <w:lang w:eastAsia="ru-RU"/>
        </w:rPr>
        <w:t xml:space="preserve"> </w:t>
      </w:r>
      <w:r w:rsidRPr="00877DE5">
        <w:rPr>
          <w:rFonts w:ascii="Times New Roman" w:eastAsia="Times New Roman" w:hAnsi="Times New Roman" w:cs="Times New Roman"/>
          <w:i/>
          <w:spacing w:val="-1"/>
          <w:kern w:val="2"/>
          <w:sz w:val="21"/>
          <w:szCs w:val="21"/>
          <w:shd w:val="clear" w:color="auto" w:fill="FFFFFF"/>
          <w:lang w:val="en-US" w:eastAsia="ru-RU"/>
        </w:rPr>
        <w:t>ninapyankova</w:t>
      </w:r>
      <w:r w:rsidRPr="00877DE5">
        <w:rPr>
          <w:rFonts w:ascii="Times New Roman" w:eastAsia="Times New Roman" w:hAnsi="Times New Roman" w:cs="Times New Roman"/>
          <w:i/>
          <w:spacing w:val="-1"/>
          <w:kern w:val="2"/>
          <w:sz w:val="21"/>
          <w:szCs w:val="21"/>
          <w:shd w:val="clear" w:color="auto" w:fill="FFFFFF"/>
          <w:lang w:eastAsia="ru-RU"/>
        </w:rPr>
        <w:t>@</w:t>
      </w:r>
      <w:r w:rsidRPr="00877DE5">
        <w:rPr>
          <w:rFonts w:ascii="Times New Roman" w:eastAsia="Times New Roman" w:hAnsi="Times New Roman" w:cs="Times New Roman"/>
          <w:i/>
          <w:spacing w:val="-1"/>
          <w:kern w:val="2"/>
          <w:sz w:val="21"/>
          <w:szCs w:val="21"/>
          <w:shd w:val="clear" w:color="auto" w:fill="FFFFFF"/>
          <w:lang w:val="en-US" w:eastAsia="ru-RU"/>
        </w:rPr>
        <w:t>mail</w:t>
      </w:r>
      <w:r w:rsidRPr="00877DE5">
        <w:rPr>
          <w:rFonts w:ascii="Times New Roman" w:eastAsia="Times New Roman" w:hAnsi="Times New Roman" w:cs="Times New Roman"/>
          <w:i/>
          <w:spacing w:val="-1"/>
          <w:kern w:val="2"/>
          <w:sz w:val="21"/>
          <w:szCs w:val="21"/>
          <w:shd w:val="clear" w:color="auto" w:fill="FFFFFF"/>
          <w:lang w:eastAsia="ru-RU"/>
        </w:rPr>
        <w:t>.</w:t>
      </w:r>
      <w:r w:rsidRPr="00877DE5">
        <w:rPr>
          <w:rFonts w:ascii="Times New Roman" w:eastAsia="Times New Roman" w:hAnsi="Times New Roman" w:cs="Times New Roman"/>
          <w:i/>
          <w:spacing w:val="-1"/>
          <w:kern w:val="2"/>
          <w:sz w:val="21"/>
          <w:szCs w:val="21"/>
          <w:shd w:val="clear" w:color="auto" w:fill="FFFFFF"/>
          <w:lang w:val="en-US" w:eastAsia="ru-RU"/>
        </w:rPr>
        <w:t>ru</w:t>
      </w:r>
      <w:r w:rsidRPr="00877DE5">
        <w:rPr>
          <w:rFonts w:ascii="Times New Roman" w:eastAsia="Times New Roman" w:hAnsi="Times New Roman" w:cs="Times New Roman"/>
          <w:i/>
          <w:kern w:val="2"/>
          <w:sz w:val="21"/>
          <w:szCs w:val="24"/>
          <w:lang w:eastAsia="ru-RU"/>
        </w:rPr>
        <w:t xml:space="preserve"> </w:t>
      </w:r>
      <w:r w:rsidRPr="00877DE5">
        <w:rPr>
          <w:rFonts w:ascii="Times New Roman" w:eastAsia="Times New Roman" w:hAnsi="Times New Roman" w:cs="Times New Roman"/>
          <w:i/>
          <w:kern w:val="2"/>
          <w:sz w:val="21"/>
          <w:szCs w:val="24"/>
          <w:lang w:eastAsia="ru-RU"/>
        </w:rPr>
        <w:cr/>
      </w:r>
      <w:r w:rsidRPr="00877DE5">
        <w:rPr>
          <w:rFonts w:ascii="Times New Roman" w:eastAsia="Times New Roman" w:hAnsi="Times New Roman" w:cs="Times New Roman"/>
          <w:kern w:val="2"/>
          <w:sz w:val="21"/>
          <w:szCs w:val="24"/>
          <w:lang w:eastAsia="ru-RU"/>
        </w:rPr>
        <w:t xml:space="preserve"> </w:t>
      </w:r>
    </w:p>
    <w:p w14:paraId="429985DA" w14:textId="77777777" w:rsidR="00877DE5" w:rsidRPr="00877DE5" w:rsidRDefault="00877DE5" w:rsidP="00067100">
      <w:pPr>
        <w:tabs>
          <w:tab w:val="left" w:pos="1276"/>
        </w:tabs>
        <w:spacing w:after="0" w:line="240" w:lineRule="auto"/>
        <w:ind w:firstLine="709"/>
        <w:jc w:val="center"/>
        <w:rPr>
          <w:rFonts w:ascii="Times New Roman" w:eastAsia="Times New Roman" w:hAnsi="Times New Roman" w:cs="Times New Roman"/>
          <w:kern w:val="2"/>
          <w:sz w:val="24"/>
          <w:szCs w:val="24"/>
          <w:lang w:val="az-Cyrl-AZ" w:eastAsia="ru-RU"/>
        </w:rPr>
      </w:pPr>
      <w:r w:rsidRPr="00877DE5">
        <w:rPr>
          <w:rFonts w:ascii="Times New Roman" w:eastAsia="Times New Roman" w:hAnsi="Times New Roman" w:cs="Times New Roman"/>
          <w:b/>
          <w:kern w:val="2"/>
          <w:sz w:val="21"/>
          <w:szCs w:val="24"/>
          <w:lang w:eastAsia="ru-RU"/>
        </w:rPr>
        <w:t xml:space="preserve">Создание онлайн-формата для спортивной школы: </w:t>
      </w:r>
      <w:r w:rsidRPr="00877DE5">
        <w:rPr>
          <w:rFonts w:ascii="Times New Roman" w:eastAsia="Times New Roman" w:hAnsi="Times New Roman" w:cs="Times New Roman"/>
          <w:b/>
          <w:kern w:val="2"/>
          <w:sz w:val="21"/>
          <w:szCs w:val="24"/>
          <w:lang w:val="az-Cyrl-AZ" w:eastAsia="ru-RU"/>
        </w:rPr>
        <w:t>электронный дневник как ключевая возможность</w:t>
      </w:r>
    </w:p>
    <w:p w14:paraId="16B0C34E" w14:textId="77777777" w:rsidR="00877DE5" w:rsidRPr="00877DE5" w:rsidRDefault="00877DE5" w:rsidP="00067100">
      <w:pPr>
        <w:tabs>
          <w:tab w:val="left" w:pos="1276"/>
        </w:tabs>
        <w:spacing w:after="0" w:line="240" w:lineRule="auto"/>
        <w:ind w:firstLine="709"/>
        <w:jc w:val="center"/>
        <w:rPr>
          <w:rFonts w:ascii="Times New Roman" w:eastAsia="Times New Roman" w:hAnsi="Times New Roman" w:cs="Times New Roman"/>
          <w:kern w:val="2"/>
          <w:sz w:val="24"/>
          <w:szCs w:val="24"/>
          <w:lang w:eastAsia="ru-RU"/>
        </w:rPr>
      </w:pPr>
    </w:p>
    <w:p w14:paraId="16414947" w14:textId="77777777" w:rsidR="00877DE5" w:rsidRPr="00877DE5" w:rsidRDefault="00877DE5" w:rsidP="00264697">
      <w:pPr>
        <w:tabs>
          <w:tab w:val="left" w:pos="1276"/>
        </w:tabs>
        <w:spacing w:after="0" w:line="240" w:lineRule="auto"/>
        <w:ind w:firstLine="709"/>
        <w:jc w:val="both"/>
        <w:rPr>
          <w:rFonts w:ascii="Times New Roman" w:eastAsia="Times New Roman" w:hAnsi="Times New Roman" w:cs="Times New Roman"/>
          <w:kern w:val="2"/>
          <w:sz w:val="21"/>
          <w:szCs w:val="24"/>
          <w:lang w:val="az-Cyrl-AZ" w:eastAsia="ru-RU"/>
        </w:rPr>
      </w:pPr>
      <w:r w:rsidRPr="00877DE5">
        <w:rPr>
          <w:rFonts w:ascii="Times New Roman" w:eastAsia="Times New Roman" w:hAnsi="Times New Roman" w:cs="Times New Roman"/>
          <w:b/>
          <w:kern w:val="2"/>
          <w:sz w:val="21"/>
          <w:szCs w:val="24"/>
          <w:lang w:eastAsia="ru-RU"/>
        </w:rPr>
        <w:t>Аннотация:</w:t>
      </w:r>
      <w:r w:rsidRPr="00877DE5">
        <w:rPr>
          <w:rFonts w:ascii="Times New Roman" w:eastAsia="Times New Roman" w:hAnsi="Times New Roman" w:cs="Times New Roman"/>
          <w:b/>
          <w:kern w:val="2"/>
          <w:sz w:val="21"/>
          <w:szCs w:val="24"/>
          <w:lang w:val="az-Cyrl-AZ" w:eastAsia="ru-RU"/>
        </w:rPr>
        <w:t xml:space="preserve"> </w:t>
      </w:r>
      <w:r w:rsidRPr="00877DE5">
        <w:rPr>
          <w:rFonts w:ascii="Times New Roman" w:eastAsia="Times New Roman" w:hAnsi="Times New Roman" w:cs="Times New Roman"/>
          <w:kern w:val="2"/>
          <w:sz w:val="21"/>
          <w:szCs w:val="24"/>
          <w:lang w:eastAsia="ru-RU"/>
        </w:rPr>
        <w:t>В статье исследует инновационный подход к цифровой трансформации спортивных школ через внедрение комплексного электронного дневника. Рассматривается многофункциональная платформа, объединяющая управление нормативами, расписанием занятий, персональной статистикой спортсменов, а также проведение дистанционных тренировок.</w:t>
      </w:r>
      <w:r w:rsidRPr="00877DE5">
        <w:rPr>
          <w:rFonts w:ascii="Times New Roman" w:eastAsia="Times New Roman" w:hAnsi="Times New Roman" w:cs="Times New Roman"/>
          <w:kern w:val="2"/>
          <w:sz w:val="21"/>
          <w:szCs w:val="24"/>
          <w:lang w:val="az-Cyrl-AZ" w:eastAsia="ru-RU"/>
        </w:rPr>
        <w:t xml:space="preserve"> </w:t>
      </w:r>
    </w:p>
    <w:p w14:paraId="61A4D646" w14:textId="77777777" w:rsidR="00877DE5" w:rsidRPr="00877DE5" w:rsidRDefault="00877DE5" w:rsidP="00264697">
      <w:pPr>
        <w:tabs>
          <w:tab w:val="left" w:pos="1276"/>
        </w:tabs>
        <w:spacing w:after="0" w:line="240" w:lineRule="auto"/>
        <w:ind w:firstLine="709"/>
        <w:jc w:val="both"/>
        <w:rPr>
          <w:rFonts w:ascii="Times New Roman" w:eastAsia="Times New Roman" w:hAnsi="Times New Roman" w:cs="Times New Roman"/>
          <w:kern w:val="2"/>
          <w:sz w:val="24"/>
          <w:szCs w:val="24"/>
          <w:lang w:val="az-Cyrl-AZ" w:eastAsia="ru-RU"/>
        </w:rPr>
      </w:pPr>
      <w:r w:rsidRPr="00877DE5">
        <w:rPr>
          <w:rFonts w:ascii="Times New Roman" w:eastAsia="Times New Roman" w:hAnsi="Times New Roman" w:cs="Times New Roman"/>
          <w:b/>
          <w:kern w:val="2"/>
          <w:sz w:val="21"/>
          <w:szCs w:val="24"/>
          <w:lang w:eastAsia="ru-RU"/>
        </w:rPr>
        <w:t>Ключевые слова:</w:t>
      </w:r>
      <w:r w:rsidRPr="00877DE5">
        <w:rPr>
          <w:rFonts w:ascii="Times New Roman" w:eastAsia="Times New Roman" w:hAnsi="Times New Roman" w:cs="Times New Roman"/>
          <w:kern w:val="2"/>
          <w:sz w:val="21"/>
          <w:szCs w:val="24"/>
          <w:lang w:eastAsia="ru-RU"/>
        </w:rPr>
        <w:t xml:space="preserve"> </w:t>
      </w:r>
      <w:r w:rsidRPr="00877DE5">
        <w:rPr>
          <w:rFonts w:ascii="Times New Roman" w:eastAsia="Times New Roman" w:hAnsi="Times New Roman" w:cs="Times New Roman"/>
          <w:kern w:val="2"/>
          <w:sz w:val="21"/>
          <w:szCs w:val="21"/>
          <w:lang w:val="az-Cyrl-AZ" w:eastAsia="ru-RU"/>
        </w:rPr>
        <w:t>Онлайн-формат, спортивная школа, технологии в спорте, цифровизация спортивной подготовки, виртуальные тренировки, онлайн статистика очков, статистика нармотивов.</w:t>
      </w:r>
    </w:p>
    <w:p w14:paraId="0BBD1F16" w14:textId="77777777" w:rsidR="00877DE5" w:rsidRPr="00877DE5" w:rsidRDefault="00877DE5" w:rsidP="00067100">
      <w:pPr>
        <w:tabs>
          <w:tab w:val="left" w:pos="1276"/>
        </w:tabs>
        <w:spacing w:after="0" w:line="240" w:lineRule="auto"/>
        <w:ind w:firstLine="709"/>
        <w:rPr>
          <w:rFonts w:ascii="Times New Roman" w:eastAsia="Times New Roman" w:hAnsi="Times New Roman" w:cs="Times New Roman"/>
          <w:kern w:val="2"/>
          <w:sz w:val="24"/>
          <w:szCs w:val="24"/>
          <w:lang w:eastAsia="ru-RU"/>
        </w:rPr>
      </w:pPr>
      <w:r w:rsidRPr="00877DE5">
        <w:rPr>
          <w:rFonts w:ascii="Times New Roman" w:eastAsia="Times New Roman" w:hAnsi="Times New Roman" w:cs="Times New Roman"/>
          <w:kern w:val="2"/>
          <w:sz w:val="21"/>
          <w:szCs w:val="24"/>
          <w:lang w:eastAsia="ru-RU"/>
        </w:rPr>
        <w:t xml:space="preserve"> </w:t>
      </w:r>
    </w:p>
    <w:p w14:paraId="316DCEAD" w14:textId="77777777" w:rsidR="00264697" w:rsidRPr="00654CF2" w:rsidRDefault="00877DE5" w:rsidP="00067100">
      <w:pPr>
        <w:tabs>
          <w:tab w:val="left" w:pos="1276"/>
        </w:tabs>
        <w:spacing w:after="0" w:line="240" w:lineRule="auto"/>
        <w:ind w:firstLine="709"/>
        <w:jc w:val="right"/>
        <w:rPr>
          <w:rFonts w:ascii="Times New Roman" w:eastAsia="Times New Roman" w:hAnsi="Times New Roman" w:cs="Times New Roman"/>
          <w:b/>
          <w:i/>
          <w:kern w:val="2"/>
          <w:sz w:val="21"/>
          <w:szCs w:val="24"/>
          <w:lang w:val="en-US" w:eastAsia="ru-RU"/>
        </w:rPr>
      </w:pPr>
      <w:r w:rsidRPr="00877DE5">
        <w:rPr>
          <w:rFonts w:ascii="Times New Roman" w:eastAsia="Times New Roman" w:hAnsi="Times New Roman" w:cs="Times New Roman"/>
          <w:b/>
          <w:i/>
          <w:kern w:val="2"/>
          <w:sz w:val="21"/>
          <w:szCs w:val="24"/>
          <w:lang w:val="en-US" w:eastAsia="ru-RU"/>
        </w:rPr>
        <w:t xml:space="preserve">Zlobina S.S., </w:t>
      </w:r>
    </w:p>
    <w:p w14:paraId="715E58CB" w14:textId="3321C420"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student, 3 courses</w:t>
      </w:r>
    </w:p>
    <w:p w14:paraId="4B8160BA" w14:textId="60B24C30"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Financial University under the Government of the Russian Federation Krasnodar, Russia </w:t>
      </w:r>
    </w:p>
    <w:p w14:paraId="3D689883"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e-mail: zlobina10091996@gmail.com</w:t>
      </w:r>
    </w:p>
    <w:p w14:paraId="70AFA45E"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i/>
          <w:kern w:val="2"/>
          <w:sz w:val="21"/>
          <w:szCs w:val="24"/>
          <w:lang w:val="en-US" w:eastAsia="ru-RU"/>
        </w:rPr>
        <w:t xml:space="preserve"> </w:t>
      </w:r>
    </w:p>
    <w:p w14:paraId="1D418EA1"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b/>
          <w:i/>
          <w:kern w:val="2"/>
          <w:sz w:val="21"/>
          <w:szCs w:val="24"/>
          <w:lang w:val="en-US" w:eastAsia="ru-RU"/>
        </w:rPr>
      </w:pPr>
      <w:r w:rsidRPr="00877DE5">
        <w:rPr>
          <w:rFonts w:ascii="Times New Roman" w:eastAsia="Times New Roman" w:hAnsi="Times New Roman" w:cs="Times New Roman"/>
          <w:b/>
          <w:i/>
          <w:kern w:val="2"/>
          <w:sz w:val="21"/>
          <w:szCs w:val="24"/>
          <w:lang w:val="en-US" w:eastAsia="ru-RU"/>
        </w:rPr>
        <w:t>Scientific supervisor:</w:t>
      </w:r>
    </w:p>
    <w:p w14:paraId="7709804A"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b/>
          <w:i/>
          <w:kern w:val="2"/>
          <w:sz w:val="21"/>
          <w:szCs w:val="24"/>
          <w:lang w:val="en-US" w:eastAsia="ru-RU"/>
        </w:rPr>
      </w:pPr>
      <w:r w:rsidRPr="00877DE5">
        <w:rPr>
          <w:rFonts w:ascii="Times New Roman" w:eastAsia="Times New Roman" w:hAnsi="Times New Roman" w:cs="Times New Roman"/>
          <w:b/>
          <w:i/>
          <w:kern w:val="2"/>
          <w:sz w:val="21"/>
          <w:szCs w:val="24"/>
          <w:lang w:val="en-US" w:eastAsia="ru-RU"/>
        </w:rPr>
        <w:t xml:space="preserve">Pyankova N.G., </w:t>
      </w:r>
    </w:p>
    <w:p w14:paraId="428B93DD"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Associate Professor, Department of Mathematics and Computer Science</w:t>
      </w:r>
    </w:p>
    <w:p w14:paraId="7FB45E39"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Financial University under the Government of the Russian Federation</w:t>
      </w:r>
    </w:p>
    <w:p w14:paraId="458FA1D9"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(Krasnodar branch) Krasnodar, Russia</w:t>
      </w:r>
    </w:p>
    <w:p w14:paraId="3240E676"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i/>
          <w:kern w:val="2"/>
          <w:sz w:val="21"/>
          <w:szCs w:val="24"/>
          <w:lang w:val="en-US" w:eastAsia="ru-RU"/>
        </w:rPr>
      </w:pPr>
      <w:r w:rsidRPr="00877DE5">
        <w:rPr>
          <w:rFonts w:ascii="Times New Roman" w:eastAsia="Times New Roman" w:hAnsi="Times New Roman" w:cs="Times New Roman"/>
          <w:i/>
          <w:kern w:val="2"/>
          <w:sz w:val="21"/>
          <w:szCs w:val="24"/>
          <w:lang w:val="en-US" w:eastAsia="ru-RU"/>
        </w:rPr>
        <w:t>e-mail:</w:t>
      </w:r>
      <w:r w:rsidRPr="00877DE5">
        <w:rPr>
          <w:rFonts w:ascii="Times New Roman" w:eastAsia="Times New Roman" w:hAnsi="Times New Roman" w:cs="Times New Roman"/>
          <w:i/>
          <w:spacing w:val="-1"/>
          <w:kern w:val="2"/>
          <w:sz w:val="21"/>
          <w:szCs w:val="21"/>
          <w:shd w:val="clear" w:color="auto" w:fill="FFFFFF"/>
          <w:lang w:val="en-US" w:eastAsia="ru-RU"/>
        </w:rPr>
        <w:t xml:space="preserve"> ninapyankova@mail.ru</w:t>
      </w:r>
      <w:r w:rsidRPr="00877DE5">
        <w:rPr>
          <w:rFonts w:ascii="Times New Roman" w:eastAsia="Times New Roman" w:hAnsi="Times New Roman" w:cs="Times New Roman"/>
          <w:i/>
          <w:kern w:val="2"/>
          <w:sz w:val="21"/>
          <w:szCs w:val="24"/>
          <w:lang w:val="en-US" w:eastAsia="ru-RU"/>
        </w:rPr>
        <w:t xml:space="preserve"> </w:t>
      </w:r>
      <w:r w:rsidRPr="00877DE5">
        <w:rPr>
          <w:rFonts w:ascii="Times New Roman" w:eastAsia="Times New Roman" w:hAnsi="Times New Roman" w:cs="Times New Roman"/>
          <w:i/>
          <w:kern w:val="2"/>
          <w:sz w:val="21"/>
          <w:szCs w:val="24"/>
          <w:lang w:val="en-US" w:eastAsia="ru-RU"/>
        </w:rPr>
        <w:cr/>
        <w:t xml:space="preserve"> </w:t>
      </w:r>
    </w:p>
    <w:p w14:paraId="7ED61488" w14:textId="77777777" w:rsidR="00877DE5" w:rsidRPr="00877DE5" w:rsidRDefault="00877DE5" w:rsidP="00067100">
      <w:pPr>
        <w:tabs>
          <w:tab w:val="left" w:pos="1276"/>
        </w:tabs>
        <w:spacing w:after="0" w:line="240" w:lineRule="auto"/>
        <w:ind w:firstLine="709"/>
        <w:jc w:val="right"/>
        <w:rPr>
          <w:rFonts w:ascii="Times New Roman" w:eastAsia="Times New Roman" w:hAnsi="Times New Roman" w:cs="Times New Roman"/>
          <w:kern w:val="2"/>
          <w:sz w:val="24"/>
          <w:szCs w:val="24"/>
          <w:lang w:val="en-US" w:eastAsia="ru-RU"/>
        </w:rPr>
      </w:pPr>
    </w:p>
    <w:p w14:paraId="75DE932C" w14:textId="77777777" w:rsidR="00877DE5" w:rsidRPr="00877DE5" w:rsidRDefault="00877DE5" w:rsidP="00067100">
      <w:pPr>
        <w:tabs>
          <w:tab w:val="left" w:pos="1276"/>
        </w:tabs>
        <w:spacing w:after="0" w:line="240" w:lineRule="auto"/>
        <w:ind w:firstLine="709"/>
        <w:jc w:val="center"/>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b/>
          <w:kern w:val="2"/>
          <w:sz w:val="21"/>
          <w:szCs w:val="24"/>
          <w:lang w:val="en-US" w:eastAsia="ru-RU"/>
        </w:rPr>
        <w:t>Creating an online format for a sports school: an electronic diary as a key opportunity</w:t>
      </w:r>
    </w:p>
    <w:p w14:paraId="76C1033B" w14:textId="77777777" w:rsidR="00877DE5" w:rsidRPr="00877DE5" w:rsidRDefault="00877DE5" w:rsidP="00264697">
      <w:pPr>
        <w:tabs>
          <w:tab w:val="left" w:pos="1276"/>
        </w:tabs>
        <w:spacing w:after="0" w:line="240" w:lineRule="auto"/>
        <w:ind w:firstLine="709"/>
        <w:jc w:val="both"/>
        <w:rPr>
          <w:rFonts w:ascii="Times New Roman" w:eastAsia="Times New Roman" w:hAnsi="Times New Roman" w:cs="Times New Roman"/>
          <w:kern w:val="2"/>
          <w:sz w:val="24"/>
          <w:szCs w:val="24"/>
          <w:lang w:val="en-US" w:eastAsia="ru-RU"/>
        </w:rPr>
      </w:pPr>
      <w:r w:rsidRPr="00877DE5">
        <w:rPr>
          <w:rFonts w:ascii="Times New Roman" w:eastAsia="Times New Roman" w:hAnsi="Times New Roman" w:cs="Times New Roman"/>
          <w:b/>
          <w:kern w:val="2"/>
          <w:sz w:val="21"/>
          <w:szCs w:val="24"/>
          <w:lang w:val="en-US" w:eastAsia="ru-RU"/>
        </w:rPr>
        <w:t xml:space="preserve"> </w:t>
      </w:r>
    </w:p>
    <w:p w14:paraId="65A5DF33" w14:textId="77777777" w:rsidR="00877DE5" w:rsidRPr="00877DE5" w:rsidRDefault="00877DE5" w:rsidP="00264697">
      <w:pPr>
        <w:spacing w:after="0" w:line="240" w:lineRule="auto"/>
        <w:ind w:firstLine="709"/>
        <w:jc w:val="both"/>
        <w:rPr>
          <w:rFonts w:ascii="Times New Roman" w:eastAsia="Times New Roman" w:hAnsi="Times New Roman" w:cs="Times New Roman"/>
          <w:kern w:val="2"/>
          <w:sz w:val="21"/>
          <w:szCs w:val="21"/>
          <w:lang w:val="en-US" w:eastAsia="ru-RU"/>
        </w:rPr>
      </w:pPr>
      <w:r w:rsidRPr="00877DE5">
        <w:rPr>
          <w:rFonts w:ascii="Times New Roman" w:eastAsia="Times New Roman" w:hAnsi="Times New Roman" w:cs="Times New Roman"/>
          <w:b/>
          <w:kern w:val="2"/>
          <w:sz w:val="21"/>
          <w:szCs w:val="24"/>
          <w:lang w:val="en-US" w:eastAsia="ru-RU"/>
        </w:rPr>
        <w:t>Abstract:</w:t>
      </w:r>
      <w:r w:rsidRPr="00877DE5">
        <w:rPr>
          <w:rFonts w:ascii="Times New Roman" w:eastAsia="Times New Roman" w:hAnsi="Times New Roman" w:cs="Times New Roman"/>
          <w:kern w:val="2"/>
          <w:sz w:val="21"/>
          <w:szCs w:val="24"/>
          <w:lang w:val="en-US" w:eastAsia="ru-RU"/>
        </w:rPr>
        <w:t xml:space="preserve"> </w:t>
      </w:r>
      <w:r w:rsidRPr="00877DE5">
        <w:rPr>
          <w:rFonts w:ascii="Times New Roman" w:eastAsia="Times New Roman" w:hAnsi="Times New Roman" w:cs="Times New Roman"/>
          <w:kern w:val="2"/>
          <w:sz w:val="21"/>
          <w:szCs w:val="21"/>
          <w:lang w:val="en-US" w:eastAsia="ru-RU"/>
        </w:rPr>
        <w:t>The article explores an innovative approach to the digital transformation of sports schools through the introduction of a comprehensive electronic diary. A multifunctional platform is being considered that combines the management of standards, class schedules, personal statistics of athletes, as well as remote training.</w:t>
      </w:r>
    </w:p>
    <w:p w14:paraId="27708F9B" w14:textId="77777777" w:rsidR="00877DE5" w:rsidRPr="00877DE5" w:rsidRDefault="00877DE5" w:rsidP="00264697">
      <w:pPr>
        <w:spacing w:after="0" w:line="240" w:lineRule="auto"/>
        <w:ind w:firstLine="709"/>
        <w:jc w:val="both"/>
        <w:rPr>
          <w:rFonts w:ascii="Times New Roman" w:eastAsia="Times New Roman" w:hAnsi="Times New Roman" w:cs="Times New Roman"/>
          <w:kern w:val="2"/>
          <w:sz w:val="21"/>
          <w:szCs w:val="21"/>
          <w:lang w:val="en-US" w:eastAsia="ru-RU"/>
        </w:rPr>
      </w:pPr>
      <w:r w:rsidRPr="00877DE5">
        <w:rPr>
          <w:rFonts w:ascii="Times New Roman" w:eastAsia="Times New Roman" w:hAnsi="Times New Roman" w:cs="Times New Roman"/>
          <w:b/>
          <w:kern w:val="2"/>
          <w:sz w:val="21"/>
          <w:szCs w:val="24"/>
          <w:lang w:val="en-US" w:eastAsia="ru-RU"/>
        </w:rPr>
        <w:t>Keywords:</w:t>
      </w:r>
      <w:r w:rsidRPr="00877DE5">
        <w:rPr>
          <w:rFonts w:ascii="Times New Roman" w:eastAsia="Times New Roman" w:hAnsi="Times New Roman" w:cs="Times New Roman"/>
          <w:kern w:val="2"/>
          <w:sz w:val="21"/>
          <w:szCs w:val="24"/>
          <w:lang w:val="en-US" w:eastAsia="ru-RU"/>
        </w:rPr>
        <w:t xml:space="preserve"> </w:t>
      </w:r>
      <w:r w:rsidRPr="00877DE5">
        <w:rPr>
          <w:rFonts w:ascii="Times New Roman" w:eastAsia="Times New Roman" w:hAnsi="Times New Roman" w:cs="Times New Roman"/>
          <w:kern w:val="2"/>
          <w:sz w:val="21"/>
          <w:szCs w:val="21"/>
          <w:lang w:val="en-US" w:eastAsia="ru-RU"/>
        </w:rPr>
        <w:t>Online format, sports school, technologies in sports, digitalization of sports training, virtual training, online points statistics, drug statistics.</w:t>
      </w:r>
    </w:p>
    <w:p w14:paraId="2441EC40" w14:textId="77777777" w:rsidR="00877DE5" w:rsidRPr="00877DE5" w:rsidRDefault="00877DE5" w:rsidP="00067100">
      <w:pPr>
        <w:spacing w:after="0" w:line="240" w:lineRule="auto"/>
        <w:ind w:firstLine="709"/>
        <w:rPr>
          <w:rFonts w:ascii="Times New Roman" w:eastAsia="Times New Roman" w:hAnsi="Times New Roman" w:cs="Times New Roman"/>
          <w:kern w:val="2"/>
          <w:sz w:val="24"/>
          <w:szCs w:val="24"/>
          <w:lang w:val="en-US" w:eastAsia="ru-RU"/>
        </w:rPr>
      </w:pPr>
    </w:p>
    <w:p w14:paraId="10111CE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shd w:val="clear" w:color="auto" w:fill="FFFFFF"/>
          <w:lang w:eastAsia="ru-RU"/>
        </w:rPr>
      </w:pPr>
      <w:r w:rsidRPr="00877DE5">
        <w:rPr>
          <w:rFonts w:ascii="Times New Roman" w:eastAsia="Times New Roman" w:hAnsi="Times New Roman" w:cs="Times New Roman"/>
          <w:kern w:val="2"/>
          <w:sz w:val="32"/>
          <w:szCs w:val="32"/>
          <w:shd w:val="clear" w:color="auto" w:fill="FFFFFF"/>
          <w:lang w:eastAsia="ru-RU"/>
        </w:rPr>
        <w:t>В эпоху цифровизации спортивные школы сталкиваются с необходимостью трансформации традиционных подходов к тренировочному процессу. Согласно последним исследованиям Deloitte Sports Business Group, 82% успешных спортивных академий рассматривают цифровые технологии как стратегический приоритет развития. В России этот тренд набирает особую актуальность в свете государственной программы «Цифровая трансформация спорта», запущенной в 2022 году.</w:t>
      </w:r>
    </w:p>
    <w:p w14:paraId="7B8EB8F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Электронный дневник перестал быть просто цифровым аналогом бумажного журнала </w:t>
      </w:r>
      <w:proofErr w:type="gramStart"/>
      <w:r w:rsidRPr="00877DE5">
        <w:rPr>
          <w:rFonts w:ascii="Times New Roman" w:eastAsia="Times New Roman" w:hAnsi="Times New Roman" w:cs="Times New Roman"/>
          <w:kern w:val="2"/>
          <w:sz w:val="32"/>
          <w:szCs w:val="32"/>
          <w:lang w:eastAsia="ru-RU"/>
        </w:rPr>
        <w:t>- это</w:t>
      </w:r>
      <w:proofErr w:type="gramEnd"/>
      <w:r w:rsidRPr="00877DE5">
        <w:rPr>
          <w:rFonts w:ascii="Times New Roman" w:eastAsia="Times New Roman" w:hAnsi="Times New Roman" w:cs="Times New Roman"/>
          <w:kern w:val="2"/>
          <w:sz w:val="32"/>
          <w:szCs w:val="32"/>
          <w:lang w:eastAsia="ru-RU"/>
        </w:rPr>
        <w:t xml:space="preserve"> комплексная экосистема управления </w:t>
      </w:r>
      <w:r w:rsidRPr="00877DE5">
        <w:rPr>
          <w:rFonts w:ascii="Times New Roman" w:eastAsia="Times New Roman" w:hAnsi="Times New Roman" w:cs="Times New Roman"/>
          <w:kern w:val="2"/>
          <w:sz w:val="32"/>
          <w:szCs w:val="32"/>
          <w:lang w:eastAsia="ru-RU"/>
        </w:rPr>
        <w:lastRenderedPageBreak/>
        <w:t>спортивным развитием. Как показывает практика ведущих академий (Баварья, Ла Масия), внедрение таких систем дает:</w:t>
      </w:r>
    </w:p>
    <w:p w14:paraId="2D5A968D" w14:textId="77777777" w:rsidR="00877DE5" w:rsidRPr="00877DE5" w:rsidRDefault="00877DE5" w:rsidP="00AD58CD">
      <w:pPr>
        <w:numPr>
          <w:ilvl w:val="0"/>
          <w:numId w:val="70"/>
        </w:numPr>
        <w:spacing w:after="0" w:line="240" w:lineRule="auto"/>
        <w:ind w:left="0" w:firstLine="709"/>
        <w:contextualSpacing/>
        <w:jc w:val="both"/>
        <w:rPr>
          <w:rFonts w:ascii="Times New Roman" w:eastAsia="Times New Roman" w:hAnsi="Times New Roman" w:cs="Times New Roman"/>
          <w:sz w:val="32"/>
          <w:szCs w:val="32"/>
          <w:shd w:val="clear" w:color="auto" w:fill="FFFFFF"/>
          <w:lang w:eastAsia="ru-RU"/>
        </w:rPr>
      </w:pPr>
      <w:r w:rsidRPr="00877DE5">
        <w:rPr>
          <w:rFonts w:ascii="Times New Roman" w:eastAsia="Times New Roman" w:hAnsi="Times New Roman" w:cs="Times New Roman"/>
          <w:sz w:val="32"/>
          <w:szCs w:val="32"/>
          <w:shd w:val="clear" w:color="auto" w:fill="FFFFFF"/>
          <w:lang w:eastAsia="ru-RU"/>
        </w:rPr>
        <w:t>40% рост эффективности тренировочного процесса</w:t>
      </w:r>
    </w:p>
    <w:p w14:paraId="074E6955" w14:textId="77777777" w:rsidR="00877DE5" w:rsidRPr="00877DE5" w:rsidRDefault="00877DE5" w:rsidP="00AD58CD">
      <w:pPr>
        <w:numPr>
          <w:ilvl w:val="0"/>
          <w:numId w:val="70"/>
        </w:numPr>
        <w:spacing w:after="0" w:line="240" w:lineRule="auto"/>
        <w:ind w:left="0" w:firstLine="709"/>
        <w:contextualSpacing/>
        <w:jc w:val="both"/>
        <w:rPr>
          <w:rFonts w:ascii="Times New Roman" w:eastAsia="Times New Roman" w:hAnsi="Times New Roman" w:cs="Times New Roman"/>
          <w:sz w:val="32"/>
          <w:szCs w:val="32"/>
          <w:shd w:val="clear" w:color="auto" w:fill="FFFFFF"/>
          <w:lang w:eastAsia="ru-RU"/>
        </w:rPr>
      </w:pPr>
      <w:r w:rsidRPr="00877DE5">
        <w:rPr>
          <w:rFonts w:ascii="Times New Roman" w:eastAsia="Times New Roman" w:hAnsi="Times New Roman" w:cs="Times New Roman"/>
          <w:sz w:val="32"/>
          <w:szCs w:val="32"/>
          <w:shd w:val="clear" w:color="auto" w:fill="FFFFFF"/>
          <w:lang w:eastAsia="ru-RU"/>
        </w:rPr>
        <w:t>35% сокращение административной нагрузки</w:t>
      </w:r>
    </w:p>
    <w:p w14:paraId="662B87A4" w14:textId="77777777" w:rsidR="00877DE5" w:rsidRPr="00877DE5" w:rsidRDefault="00877DE5" w:rsidP="00AD58CD">
      <w:pPr>
        <w:numPr>
          <w:ilvl w:val="0"/>
          <w:numId w:val="70"/>
        </w:numPr>
        <w:spacing w:after="0" w:line="240" w:lineRule="auto"/>
        <w:ind w:left="0" w:firstLine="709"/>
        <w:contextualSpacing/>
        <w:jc w:val="both"/>
        <w:rPr>
          <w:rFonts w:ascii="Times New Roman" w:eastAsia="Times New Roman" w:hAnsi="Times New Roman" w:cs="Times New Roman"/>
          <w:sz w:val="32"/>
          <w:szCs w:val="32"/>
          <w:shd w:val="clear" w:color="auto" w:fill="FFFFFF"/>
          <w:lang w:eastAsia="ru-RU"/>
        </w:rPr>
      </w:pPr>
      <w:r w:rsidRPr="00877DE5">
        <w:rPr>
          <w:rFonts w:ascii="Times New Roman" w:eastAsia="Times New Roman" w:hAnsi="Times New Roman" w:cs="Times New Roman"/>
          <w:sz w:val="32"/>
          <w:szCs w:val="32"/>
          <w:shd w:val="clear" w:color="auto" w:fill="FFFFFF"/>
          <w:lang w:eastAsia="ru-RU"/>
        </w:rPr>
        <w:t>50% повышение вовлеченности родителей.</w:t>
      </w:r>
    </w:p>
    <w:p w14:paraId="2EFF8D66" w14:textId="77777777" w:rsidR="00877DE5" w:rsidRPr="001C2B21" w:rsidRDefault="00877DE5" w:rsidP="001C2B21">
      <w:pPr>
        <w:spacing w:after="0" w:line="240" w:lineRule="auto"/>
        <w:ind w:firstLine="709"/>
        <w:jc w:val="both"/>
        <w:rPr>
          <w:rFonts w:ascii="Times New Roman" w:eastAsia="Times New Roman" w:hAnsi="Times New Roman" w:cs="Times New Roman"/>
          <w:kern w:val="2"/>
          <w:sz w:val="32"/>
          <w:szCs w:val="32"/>
          <w:shd w:val="clear" w:color="auto" w:fill="FFFFFF"/>
          <w:lang w:eastAsia="ru-RU"/>
        </w:rPr>
      </w:pPr>
      <w:r w:rsidRPr="00877DE5">
        <w:rPr>
          <w:rFonts w:ascii="Times New Roman" w:eastAsia="Times New Roman" w:hAnsi="Times New Roman" w:cs="Times New Roman"/>
          <w:kern w:val="2"/>
          <w:sz w:val="32"/>
          <w:szCs w:val="32"/>
          <w:shd w:val="clear" w:color="auto" w:fill="FFFFFF"/>
          <w:lang w:eastAsia="ru-RU"/>
        </w:rPr>
        <w:t>В данной статье мы подробно рассмотрим, как онлайн-формат может преобразить спортивные школы, повысить уровень взаимодействия между тренерами, спортсменами и родителями, а также наметим пу</w:t>
      </w:r>
      <w:r w:rsidR="001C2B21">
        <w:rPr>
          <w:rFonts w:ascii="Times New Roman" w:eastAsia="Times New Roman" w:hAnsi="Times New Roman" w:cs="Times New Roman"/>
          <w:kern w:val="2"/>
          <w:sz w:val="32"/>
          <w:szCs w:val="32"/>
          <w:shd w:val="clear" w:color="auto" w:fill="FFFFFF"/>
          <w:lang w:eastAsia="ru-RU"/>
        </w:rPr>
        <w:t>ти решения возникающих проблем.</w:t>
      </w:r>
    </w:p>
    <w:p w14:paraId="1CE04E5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Цифровизация спортивной сферы</w:t>
      </w:r>
    </w:p>
    <w:p w14:paraId="6429E945" w14:textId="77777777" w:rsidR="00877DE5" w:rsidRPr="00877DE5" w:rsidRDefault="00877DE5" w:rsidP="00067100">
      <w:pPr>
        <w:spacing w:after="0" w:line="240" w:lineRule="auto"/>
        <w:ind w:firstLine="709"/>
        <w:jc w:val="both"/>
        <w:rPr>
          <w:rFonts w:ascii="Times New Roman" w:eastAsia="Times New Roman" w:hAnsi="Times New Roman" w:cs="Times New Roman"/>
          <w:color w:val="404040"/>
          <w:kern w:val="2"/>
          <w:sz w:val="32"/>
          <w:szCs w:val="32"/>
          <w:shd w:val="clear" w:color="auto" w:fill="FFFFFF"/>
          <w:lang w:eastAsia="ru-RU"/>
        </w:rPr>
      </w:pPr>
      <w:r w:rsidRPr="00877DE5">
        <w:rPr>
          <w:rFonts w:ascii="Times New Roman" w:eastAsia="Times New Roman" w:hAnsi="Times New Roman" w:cs="Times New Roman"/>
          <w:kern w:val="2"/>
          <w:sz w:val="32"/>
          <w:szCs w:val="32"/>
          <w:lang w:eastAsia="ru-RU"/>
        </w:rPr>
        <w:t xml:space="preserve">Цифровизация спорта представляет собой многогранное развитие внедрения цифровых технологий в тренировочный процесс, управление спортивными организациями и взаимодействие всех спортсменов и тренеров. Этот процесс затрагивает различные аспекты деятельности спортивной школы, начиная от административных задач и заканчивая анализом эффективности тренировок. </w:t>
      </w:r>
    </w:p>
    <w:p w14:paraId="36E6E677"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Информационные технологии становятся ключевым фактором успеха в спортивной подготовке. Они позволяют существенно повысить эффективность тренировочного процесса, улучшить качество управления спортивной организацией, обеспечить прозрачность результатов и создать условия для постоянного мониторинга прогресса каждого спортсмена. </w:t>
      </w:r>
    </w:p>
    <w:p w14:paraId="53243A5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Электронный дневник занимает центральное место в цифровой инфраструктуре современной спортивной школы, становят многофункциональной платформой для управления учебно-тренировочным процессом. Он объединяет в себе нормативную базу с актуальными требованиями по различным видам спорта, гибкое расписание тренировок с функцией оперативного внесения изменений, а также деятельную статистику достижений каждого спортсмена с возможностью отслеживать динамику результатов.</w:t>
      </w:r>
    </w:p>
    <w:p w14:paraId="2FE031D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Важной особенностью системы является ее способность интегрироваться с другими цифровыми решениями, используемыми в спортивной школе. Электронный дневник взаимодействует с системами видеоанализа для записи и разбора тренировок, медицинскими модулями для мониторинга состояния здоровья спортсменов, программами учета спортивного инвентаря и платформами для организации онлайн-трансляций соревнований. Такая комплексная интеграция превращает электронный дневник из простого цифрового аналога бумажного журнала в полноценную </w:t>
      </w:r>
      <w:r w:rsidRPr="00877DE5">
        <w:rPr>
          <w:rFonts w:ascii="Times New Roman" w:eastAsia="Times New Roman" w:hAnsi="Times New Roman" w:cs="Times New Roman"/>
          <w:kern w:val="2"/>
          <w:sz w:val="32"/>
          <w:szCs w:val="32"/>
          <w:lang w:eastAsia="ru-RU"/>
        </w:rPr>
        <w:lastRenderedPageBreak/>
        <w:t>управляющую платформу, значительно повышающую эффективность работы спортивной школы.</w:t>
      </w:r>
    </w:p>
    <w:p w14:paraId="46E5E5F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Функционал системы включает не только фиксацию текущих результатов, но и аналитические инструменты, позволяющие тренерам объективно оценивать прогресс спортсменов и своевременно корректировать тренировочные нагрузки. Это делает электронный дневник незаменимым инструментом для современного тренера, помогающим принимать обоснованные решения на основе актуальных данных.</w:t>
      </w:r>
    </w:p>
    <w:p w14:paraId="7CB335A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Онлайн-формат и его преимущества</w:t>
      </w:r>
    </w:p>
    <w:p w14:paraId="021E1F1D"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Электронный дневник кардинально меняет подход к организации тренировочного процесса, предоставляя тренерам мощный рабочий инструмент. С его помощью специалисты могут разрабатывать персонализированные программы подготовки для каждого спортсмена, систематически фиксировать динамику показателей, сопровождать тренировочный процесс визуальными материалами, проводить детальный анализ эффективности занятий и стратегически планировать участие в спортивных мероприятиях. </w:t>
      </w:r>
    </w:p>
    <w:p w14:paraId="589C4E1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Все эти функции интегрированы в единую цифровую среду, что обеспечивает комплексный подход к тренировочному процессу.</w:t>
      </w:r>
    </w:p>
    <w:p w14:paraId="7F6D7950" w14:textId="77777777" w:rsidR="00877DE5" w:rsidRPr="00877DE5" w:rsidRDefault="00877DE5" w:rsidP="001C2B21">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Для спортсменов и их родителей система открывает новые возможности взаимодействия с тренерским составом. Они получают круглосуточный доступ к актуальному расписанию, могут отслеживать индивидуальную статистику достижений в режиме реального времени, вести электронный журнал самонаблюдения. Особую ценность представляет доступ к учебно-методическим материалам и возможность получать персональные рекомендации, что создает условия для осознанной работы над совершенствованием спортивного мастерства. Интерактивные функции платформы позволяют организовывать дистанционные консультации, делая тренировочный процесс более гибким и доступным. Вот пример макета электронного д</w:t>
      </w:r>
      <w:r w:rsidR="001C2B21">
        <w:rPr>
          <w:rFonts w:ascii="Times New Roman" w:eastAsia="Times New Roman" w:hAnsi="Times New Roman" w:cs="Times New Roman"/>
          <w:kern w:val="2"/>
          <w:sz w:val="32"/>
          <w:szCs w:val="32"/>
          <w:lang w:eastAsia="ru-RU"/>
        </w:rPr>
        <w:t xml:space="preserve">невника для спортивных школ: </w:t>
      </w:r>
    </w:p>
    <w:p w14:paraId="25D3ED8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4E4CD48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481E92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6DA5A2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1C1740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258D96B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noProof/>
          <w:kern w:val="2"/>
          <w:sz w:val="32"/>
          <w:szCs w:val="32"/>
          <w:lang w:eastAsia="ru-RU"/>
        </w:rPr>
        <w:lastRenderedPageBreak/>
        <w:drawing>
          <wp:anchor distT="0" distB="0" distL="114300" distR="114300" simplePos="0" relativeHeight="251667456" behindDoc="1" locked="0" layoutInCell="1" allowOverlap="1" wp14:anchorId="6D40DB1B" wp14:editId="500F0726">
            <wp:simplePos x="0" y="0"/>
            <wp:positionH relativeFrom="margin">
              <wp:posOffset>2434590</wp:posOffset>
            </wp:positionH>
            <wp:positionV relativeFrom="paragraph">
              <wp:posOffset>91440</wp:posOffset>
            </wp:positionV>
            <wp:extent cx="1404910" cy="2520000"/>
            <wp:effectExtent l="0" t="0" r="5080" b="0"/>
            <wp:wrapTight wrapText="bothSides">
              <wp:wrapPolygon edited="0">
                <wp:start x="586" y="0"/>
                <wp:lineTo x="0" y="327"/>
                <wp:lineTo x="0" y="21067"/>
                <wp:lineTo x="586" y="21393"/>
                <wp:lineTo x="20799" y="21393"/>
                <wp:lineTo x="21385" y="21067"/>
                <wp:lineTo x="21385" y="327"/>
                <wp:lineTo x="20799" y="0"/>
                <wp:lineTo x="586"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40491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DC110C" w14:textId="2ACBEBDB"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6C86CB07"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A27CB4D"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3AEF0E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595CED5D" w14:textId="7FCCE0E6"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5D0AF701" w14:textId="6F85275D"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8B2C2A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4CE11EC2" w14:textId="2D238F5E"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365DFE0" w14:textId="7EFAD5F9"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264A87B1" w14:textId="309D057E"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144459C2"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6B24981" w14:textId="583DCA2C" w:rsidR="00877DE5" w:rsidRPr="00877DE5" w:rsidRDefault="00877DE5" w:rsidP="00067100">
      <w:pPr>
        <w:spacing w:after="0" w:line="240" w:lineRule="auto"/>
        <w:ind w:firstLine="709"/>
        <w:jc w:val="center"/>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Рисунок 1 – Макет приложения «Личный кабинет»</w:t>
      </w:r>
    </w:p>
    <w:p w14:paraId="30BAC443" w14:textId="1117E102"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808157C" w14:textId="60A2F0B4"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noProof/>
          <w:kern w:val="2"/>
          <w:sz w:val="32"/>
          <w:szCs w:val="32"/>
          <w:lang w:eastAsia="ru-RU"/>
        </w:rPr>
        <w:drawing>
          <wp:anchor distT="0" distB="0" distL="114300" distR="114300" simplePos="0" relativeHeight="251668480" behindDoc="1" locked="0" layoutInCell="1" allowOverlap="1" wp14:anchorId="04C74941" wp14:editId="003D706F">
            <wp:simplePos x="0" y="0"/>
            <wp:positionH relativeFrom="margin">
              <wp:posOffset>2436035</wp:posOffset>
            </wp:positionH>
            <wp:positionV relativeFrom="paragraph">
              <wp:posOffset>26670</wp:posOffset>
            </wp:positionV>
            <wp:extent cx="1404623" cy="2520000"/>
            <wp:effectExtent l="0" t="0" r="5080" b="0"/>
            <wp:wrapTight wrapText="bothSides">
              <wp:wrapPolygon edited="0">
                <wp:start x="586" y="0"/>
                <wp:lineTo x="0" y="327"/>
                <wp:lineTo x="0" y="21067"/>
                <wp:lineTo x="586" y="21393"/>
                <wp:lineTo x="20799" y="21393"/>
                <wp:lineTo x="21385" y="21067"/>
                <wp:lineTo x="21385" y="327"/>
                <wp:lineTo x="20799" y="0"/>
                <wp:lineTo x="586"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404623"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2CF30A" w14:textId="161477CC"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C749AEE" w14:textId="4AFE7A05"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0685D32" w14:textId="26D9408D"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6ECC44F7" w14:textId="5F7A3D0F"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2D7EB70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1409F1F"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572553B5" w14:textId="1AF5D0D8"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4E0932E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51F1995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C94498A" w14:textId="3271B9D0"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4C4756A" w14:textId="4EE73BCC" w:rsidR="00877DE5" w:rsidRPr="00877DE5" w:rsidRDefault="00877DE5" w:rsidP="00067100">
      <w:pPr>
        <w:spacing w:after="0" w:line="240" w:lineRule="auto"/>
        <w:ind w:firstLine="709"/>
        <w:jc w:val="center"/>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Рисунок 2 – Макет приложения «Расписание тренировок»</w:t>
      </w:r>
    </w:p>
    <w:p w14:paraId="2FD9588C" w14:textId="778E2CAC" w:rsidR="00877DE5" w:rsidRPr="00877DE5" w:rsidRDefault="00616E2F"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noProof/>
          <w:kern w:val="2"/>
          <w:sz w:val="32"/>
          <w:szCs w:val="32"/>
          <w:lang w:eastAsia="ru-RU"/>
        </w:rPr>
        <w:drawing>
          <wp:anchor distT="0" distB="0" distL="114300" distR="114300" simplePos="0" relativeHeight="251669504" behindDoc="1" locked="0" layoutInCell="1" allowOverlap="1" wp14:anchorId="1FCD9CDB" wp14:editId="0B060012">
            <wp:simplePos x="0" y="0"/>
            <wp:positionH relativeFrom="margin">
              <wp:posOffset>2435860</wp:posOffset>
            </wp:positionH>
            <wp:positionV relativeFrom="paragraph">
              <wp:posOffset>74295</wp:posOffset>
            </wp:positionV>
            <wp:extent cx="1404198" cy="2520000"/>
            <wp:effectExtent l="0" t="0" r="5715" b="0"/>
            <wp:wrapTight wrapText="bothSides">
              <wp:wrapPolygon edited="0">
                <wp:start x="586" y="0"/>
                <wp:lineTo x="0" y="327"/>
                <wp:lineTo x="0" y="21067"/>
                <wp:lineTo x="586" y="21393"/>
                <wp:lineTo x="20809" y="21393"/>
                <wp:lineTo x="21395" y="21067"/>
                <wp:lineTo x="21395" y="327"/>
                <wp:lineTo x="20809" y="0"/>
                <wp:lineTo x="586"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404198"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6C235" w14:textId="5ADA9B28"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29F552CE" w14:textId="1F1EC182"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437683B9" w14:textId="52955C0C"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4A836B6" w14:textId="79F82F3D"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447AA2D" w14:textId="1E41355C"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3C5853D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2394601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E37A3DC" w14:textId="03A73322"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0795DD4E" w14:textId="17127AB4"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1B57BD8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100E7C6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1DAA0B91" w14:textId="77777777" w:rsidR="00877DE5" w:rsidRPr="00877DE5" w:rsidRDefault="00877DE5" w:rsidP="00067100">
      <w:pPr>
        <w:spacing w:after="0" w:line="240" w:lineRule="auto"/>
        <w:ind w:firstLine="709"/>
        <w:jc w:val="both"/>
        <w:rPr>
          <w:rFonts w:ascii="Times New Roman" w:eastAsia="Times New Roman" w:hAnsi="Times New Roman" w:cs="Times New Roman"/>
          <w:noProof/>
          <w:kern w:val="2"/>
          <w:sz w:val="32"/>
          <w:szCs w:val="32"/>
          <w:lang w:eastAsia="ru-RU"/>
        </w:rPr>
      </w:pPr>
    </w:p>
    <w:p w14:paraId="1F8A8CC6" w14:textId="77777777" w:rsidR="00877DE5" w:rsidRPr="00877DE5" w:rsidRDefault="00877DE5" w:rsidP="00067100">
      <w:pPr>
        <w:spacing w:after="0" w:line="240" w:lineRule="auto"/>
        <w:ind w:firstLine="709"/>
        <w:jc w:val="center"/>
        <w:rPr>
          <w:rFonts w:ascii="Times New Roman" w:eastAsia="Times New Roman" w:hAnsi="Times New Roman" w:cs="Times New Roman"/>
          <w:noProof/>
          <w:kern w:val="2"/>
          <w:sz w:val="32"/>
          <w:szCs w:val="32"/>
          <w:lang w:eastAsia="ru-RU"/>
        </w:rPr>
      </w:pPr>
      <w:r w:rsidRPr="00877DE5">
        <w:rPr>
          <w:rFonts w:ascii="Times New Roman" w:eastAsia="Times New Roman" w:hAnsi="Times New Roman" w:cs="Times New Roman"/>
          <w:noProof/>
          <w:kern w:val="2"/>
          <w:sz w:val="32"/>
          <w:szCs w:val="32"/>
          <w:lang w:eastAsia="ru-RU"/>
        </w:rPr>
        <w:lastRenderedPageBreak/>
        <w:t>Рисунок 3 – Макет приложения «Статистика игрока»</w:t>
      </w:r>
    </w:p>
    <w:p w14:paraId="21474C4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Такой подход не только повышает прозрачность учебно-тренировочного процесса, но и создает условия для более тесного взаимодействия между всеми участниками - тренерами, спортсменами и их родителями. Цифровая платформа становится связующим звеном, которое объединяет все аспекты спортивной подготовки в единую эффективную систему.</w:t>
      </w:r>
    </w:p>
    <w:p w14:paraId="4745995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Одним из примеров внедрения онлайн-формата в России является Хоккейная школа «Красная машина» - один из лидеров российского хоккейного образования - в 2022 году совершила прорыв в организации тренировочного процесса благодаря внедрению инновационной системы онлайн-разборов с использованием 3D-симуляторов. Этот проект стал примером успешной цифровой трансформации традиционной системы подготовки хоккеистов.</w:t>
      </w:r>
    </w:p>
    <w:p w14:paraId="54190AE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Для реализации проекта была создана специализированная цифровая платформа с уникальными возможностями трехмерной визуализации хоккейных схем и интегрированной системой видеоанализа. Технологическая база включала разработку мобильной версии для обеспечения доступности с любых устройств. Параллельно проводилась масштабная работа по методическому обеспечению: пересмотр тренировочных программ, обучение тренерского состава и разработка стандартизированных протоколов проведения онлайн-сессий.</w:t>
      </w:r>
    </w:p>
    <w:p w14:paraId="5FC5224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Реализация проекта привела к впечатляющим результатам. По данным внутреннего мониторинга, эффективность тренировочного процесса повысилась на 40%, при этом показатели реализации тактических схем в игре улучшились на 25%. Значительно (на 35%) сократилось время, необходимое для объяснения сложных тактических элементов. Особенно важно отметить 50%-ный рост вовлеченности игроков в изучение тактики, что свидетельствует о высокой эффективности нового формата обучения.</w:t>
      </w:r>
    </w:p>
    <w:p w14:paraId="28BFF0A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Успех проекта обусловлен несколькими ключевыми факторами: поэтапным внедрением (от пилотной группы до всей школы), тесным сотрудничеством с разработчиками ПО, систематическим сбором обратной связи и грамотной интеграцией цифровых инструментов с традиционными методами подготовки.</w:t>
      </w:r>
    </w:p>
    <w:p w14:paraId="667F223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Сегодня «Красная машина» рассматривает перспективы дальнейшего развития цифрового направления, включая внедрение VR-технологий для иммерсивного обучения и создание системы </w:t>
      </w:r>
      <w:r w:rsidRPr="00877DE5">
        <w:rPr>
          <w:rFonts w:ascii="Times New Roman" w:eastAsia="Times New Roman" w:hAnsi="Times New Roman" w:cs="Times New Roman"/>
          <w:kern w:val="2"/>
          <w:sz w:val="32"/>
          <w:szCs w:val="32"/>
          <w:lang w:eastAsia="ru-RU"/>
        </w:rPr>
        <w:lastRenderedPageBreak/>
        <w:t>искусственного интеллекта для автоматического анализа игр. Опыт школы демонстрирует огромный потенциал синтеза классических методик подготовки с современными цифровыми решениями в профессиональном хоккее.</w:t>
      </w:r>
    </w:p>
    <w:p w14:paraId="3651382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Технические сложности внедрения онлайн-формата</w:t>
      </w:r>
    </w:p>
    <w:p w14:paraId="64E420A2"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Внедрение подобной системы сталкивается с рядом существенных сложностей. Прежде всего, это психологический барьер - многие тренеры, особенно с большим стажем работы, скептически относятся к нововведениям, предпочитая проверенные временем методы подготовки. Финансовая сторона вопроса также вызывает затруднения, так как создание и внедрение комплексной цифровой платформы требует серьезных материальных затрат. Отдельной проблемой становится совместимость новой системы с уже используемым в школе программным обеспечением. </w:t>
      </w:r>
    </w:p>
    <w:p w14:paraId="1EC4D95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Особую озабоченность вызывает вопрос защиты информации. Система должна гарантировать полную конфиденциальность персональных данных воспитанников, сохранять в тайне методические наработки тренеров и результаты выступлений. Не менее важна и техническая сторона - платформа нуждается в постоянном обслуживании и оперативном устранении возможных сбоев, что требует привлечения квалифицированных IT-специалистов.</w:t>
      </w:r>
    </w:p>
    <w:p w14:paraId="00D2CD6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Эти вызовы требуют комплексного подхода: проведения разъяснительной работы с тренерским составом, поиска дополнительных источников финансирования, разработки надежных механизмов защиты данных и создания службы технической поддержки. Только при таком условии цифровая трансформация тренировочного процесса сможет принести максимальную пользу.</w:t>
      </w:r>
    </w:p>
    <w:p w14:paraId="321F9AE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Также сложностями внедрения является финансовые аспекты.</w:t>
      </w:r>
    </w:p>
    <w:p w14:paraId="018559C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shd w:val="clear" w:color="auto" w:fill="FFFFFF"/>
          <w:lang w:eastAsia="ru-RU"/>
        </w:rPr>
        <w:t>При реализации проекта спортивной школе необходимо учитывать несколько категорий расходов. На стартовом этапе потребуются значительные вложения в создание специализированного программного обеспечения и закупку соответствующего оборудования. Отдельной статьей расходов станет обучение тренерского состава работе с новой системой и организация службы технической поддержки. Важно понимать, что после запуска проекта появятся постоянные затраты на обслуживание и модернизацию платформы.</w:t>
      </w:r>
    </w:p>
    <w:p w14:paraId="73D1AA1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Заключение</w:t>
      </w:r>
    </w:p>
    <w:p w14:paraId="4D778D3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Создание онлайн-платформы для спортивной школы с использованием электронного дневника открывает множество перспектив для эффективного управления процессами и увеличения вовлеченности и мотивации спортсменов. Хотя внедрение этой системы может сопровождаться определенными трудностями, плюсы от использования электронного дневника явно превышают минусы. Организация данных, возможность их анализа, индивидуализированный подход и упрощенный доступ к информации делают электронный дневник важным инструментом для успешного обучения в спорте.</w:t>
      </w:r>
    </w:p>
    <w:p w14:paraId="7E722610" w14:textId="77777777" w:rsidR="00877DE5" w:rsidRPr="00877DE5" w:rsidRDefault="00877DE5" w:rsidP="001C2B21">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 конечном итоге, рациональное применение технологий в спортивной школе не только повышает результаты спортсменов, но и создает более поддерживающую и вдохновляющую атмосферу для их роста и развития. Переход к онлайн-формату — это не просто актуальная необходимость, а шаг в будущее, где спорт обре</w:t>
      </w:r>
      <w:r w:rsidR="001C2B21">
        <w:rPr>
          <w:rFonts w:ascii="Times New Roman" w:eastAsia="Times New Roman" w:hAnsi="Times New Roman" w:cs="Times New Roman"/>
          <w:kern w:val="2"/>
          <w:sz w:val="32"/>
          <w:szCs w:val="32"/>
          <w:lang w:eastAsia="ru-RU"/>
        </w:rPr>
        <w:t>тает новые формы и возможности.</w:t>
      </w:r>
    </w:p>
    <w:p w14:paraId="7C2B29E5" w14:textId="77777777" w:rsidR="00877DE5" w:rsidRPr="00877DE5" w:rsidRDefault="00877DE5" w:rsidP="00067100">
      <w:pPr>
        <w:tabs>
          <w:tab w:val="left" w:pos="1276"/>
        </w:tabs>
        <w:autoSpaceDE w:val="0"/>
        <w:autoSpaceDN w:val="0"/>
        <w:adjustRightInd w:val="0"/>
        <w:spacing w:after="0" w:line="240" w:lineRule="auto"/>
        <w:ind w:firstLine="709"/>
        <w:jc w:val="center"/>
        <w:rPr>
          <w:rFonts w:ascii="Times New Roman" w:eastAsia="Times New Roman" w:hAnsi="Times New Roman" w:cs="Times New Roman"/>
          <w:b/>
          <w:color w:val="000000"/>
          <w:kern w:val="2"/>
          <w:sz w:val="24"/>
          <w:szCs w:val="21"/>
          <w:lang w:eastAsia="ru-RU"/>
        </w:rPr>
      </w:pPr>
    </w:p>
    <w:p w14:paraId="1EF34096" w14:textId="77777777" w:rsidR="00877DE5" w:rsidRPr="001C2B21" w:rsidRDefault="001C2B21" w:rsidP="00067100">
      <w:pPr>
        <w:tabs>
          <w:tab w:val="left" w:pos="1276"/>
        </w:tabs>
        <w:autoSpaceDE w:val="0"/>
        <w:autoSpaceDN w:val="0"/>
        <w:adjustRightInd w:val="0"/>
        <w:spacing w:after="0" w:line="240" w:lineRule="auto"/>
        <w:ind w:firstLine="709"/>
        <w:jc w:val="center"/>
        <w:rPr>
          <w:rFonts w:ascii="Times New Roman" w:eastAsia="Calibri" w:hAnsi="Times New Roman" w:cs="Times New Roman"/>
          <w:b/>
          <w:kern w:val="2"/>
          <w:sz w:val="21"/>
          <w:szCs w:val="21"/>
        </w:rPr>
      </w:pPr>
      <w:r w:rsidRPr="001C2B21">
        <w:rPr>
          <w:rFonts w:ascii="Times New Roman" w:eastAsia="Calibri" w:hAnsi="Times New Roman" w:cs="Times New Roman"/>
          <w:b/>
          <w:kern w:val="2"/>
          <w:sz w:val="21"/>
          <w:szCs w:val="21"/>
        </w:rPr>
        <w:t>Литература:</w:t>
      </w:r>
    </w:p>
    <w:p w14:paraId="750180D9" w14:textId="77777777" w:rsidR="00877DE5" w:rsidRPr="00877DE5" w:rsidRDefault="00877DE5" w:rsidP="00AD58CD">
      <w:pPr>
        <w:numPr>
          <w:ilvl w:val="0"/>
          <w:numId w:val="69"/>
        </w:numPr>
        <w:tabs>
          <w:tab w:val="left" w:pos="1276"/>
        </w:tabs>
        <w:spacing w:after="0" w:line="240" w:lineRule="auto"/>
        <w:ind w:left="284" w:hanging="284"/>
        <w:contextualSpacing/>
        <w:jc w:val="both"/>
        <w:rPr>
          <w:rFonts w:ascii="Times New Roman" w:eastAsia="Calibri" w:hAnsi="Times New Roman" w:cs="Times New Roman"/>
          <w:kern w:val="2"/>
          <w:sz w:val="21"/>
          <w:szCs w:val="21"/>
        </w:rPr>
      </w:pPr>
      <w:r w:rsidRPr="00877DE5">
        <w:rPr>
          <w:rFonts w:ascii="Times New Roman" w:eastAsia="Calibri" w:hAnsi="Times New Roman" w:cs="Times New Roman"/>
          <w:kern w:val="2"/>
          <w:sz w:val="21"/>
          <w:szCs w:val="21"/>
        </w:rPr>
        <w:t>Иванов А.А Использование информационных технологий в спортивных школах и организациях // Academy, 2017.</w:t>
      </w:r>
    </w:p>
    <w:p w14:paraId="55B8F42D" w14:textId="77777777" w:rsidR="00877DE5" w:rsidRPr="00877DE5" w:rsidRDefault="00877DE5" w:rsidP="00AD58CD">
      <w:pPr>
        <w:numPr>
          <w:ilvl w:val="0"/>
          <w:numId w:val="69"/>
        </w:numPr>
        <w:tabs>
          <w:tab w:val="left" w:pos="1276"/>
        </w:tabs>
        <w:spacing w:after="0" w:line="240" w:lineRule="auto"/>
        <w:ind w:left="284" w:hanging="284"/>
        <w:contextualSpacing/>
        <w:jc w:val="both"/>
        <w:rPr>
          <w:rFonts w:ascii="Times New Roman" w:eastAsia="Calibri" w:hAnsi="Times New Roman" w:cs="Times New Roman"/>
          <w:kern w:val="2"/>
          <w:sz w:val="21"/>
          <w:szCs w:val="21"/>
        </w:rPr>
      </w:pPr>
      <w:r w:rsidRPr="00877DE5">
        <w:rPr>
          <w:rFonts w:ascii="Times New Roman" w:eastAsia="Calibri" w:hAnsi="Times New Roman" w:cs="Times New Roman"/>
          <w:kern w:val="2"/>
          <w:sz w:val="21"/>
          <w:szCs w:val="21"/>
        </w:rPr>
        <w:t>Петров П.К. Возможности и перспективы использования современных информационных технологий в системе подготовки специалистов по физической культуре и спорту // Прикладная информатика. - 2009. - С. 14-21.</w:t>
      </w:r>
    </w:p>
    <w:p w14:paraId="337C3931" w14:textId="77777777" w:rsidR="00877DE5" w:rsidRPr="00877DE5" w:rsidRDefault="00877DE5" w:rsidP="00AD58CD">
      <w:pPr>
        <w:numPr>
          <w:ilvl w:val="0"/>
          <w:numId w:val="69"/>
        </w:numPr>
        <w:tabs>
          <w:tab w:val="left" w:pos="1276"/>
        </w:tabs>
        <w:spacing w:after="0" w:line="240" w:lineRule="auto"/>
        <w:ind w:left="284" w:hanging="284"/>
        <w:contextualSpacing/>
        <w:jc w:val="both"/>
        <w:rPr>
          <w:rFonts w:ascii="Times New Roman" w:eastAsia="Calibri" w:hAnsi="Times New Roman" w:cs="Times New Roman"/>
          <w:kern w:val="2"/>
          <w:sz w:val="21"/>
          <w:szCs w:val="21"/>
        </w:rPr>
      </w:pPr>
      <w:r w:rsidRPr="00877DE5">
        <w:rPr>
          <w:rFonts w:ascii="Times New Roman" w:eastAsia="Calibri" w:hAnsi="Times New Roman" w:cs="Times New Roman"/>
          <w:kern w:val="2"/>
          <w:sz w:val="21"/>
          <w:szCs w:val="21"/>
        </w:rPr>
        <w:t>Петров П.К. Информационные технологии в физической культуре и спорте: учеб. для студ. учреждений высш. проф. образования / П.К. Петров. – 4-е изд., стер. – М.: Издательский центр «Академия», 2014. – 288 с.</w:t>
      </w:r>
    </w:p>
    <w:p w14:paraId="3FAAD448" w14:textId="77777777" w:rsidR="00877DE5" w:rsidRPr="00877DE5" w:rsidRDefault="00877DE5" w:rsidP="00AD58CD">
      <w:pPr>
        <w:numPr>
          <w:ilvl w:val="0"/>
          <w:numId w:val="69"/>
        </w:numPr>
        <w:tabs>
          <w:tab w:val="left" w:pos="1276"/>
        </w:tabs>
        <w:spacing w:after="0" w:line="240" w:lineRule="auto"/>
        <w:ind w:left="284" w:hanging="284"/>
        <w:contextualSpacing/>
        <w:jc w:val="both"/>
        <w:rPr>
          <w:rFonts w:ascii="Times New Roman" w:eastAsia="Calibri" w:hAnsi="Times New Roman" w:cs="Times New Roman"/>
          <w:kern w:val="2"/>
          <w:sz w:val="21"/>
          <w:szCs w:val="21"/>
        </w:rPr>
      </w:pPr>
      <w:r w:rsidRPr="00877DE5">
        <w:rPr>
          <w:rFonts w:ascii="Times New Roman" w:eastAsia="Calibri" w:hAnsi="Times New Roman" w:cs="Times New Roman"/>
          <w:kern w:val="2"/>
          <w:sz w:val="21"/>
          <w:szCs w:val="21"/>
        </w:rPr>
        <w:t>Степаненкова Э.Я. Электронный документооборот в системе управления спортивной школой // Теория и практика физической культуры. – 2019. – № 7. – С. 54-58.</w:t>
      </w:r>
    </w:p>
    <w:p w14:paraId="179EB2F0" w14:textId="77777777" w:rsidR="00877DE5" w:rsidRPr="00877DE5" w:rsidRDefault="00877DE5" w:rsidP="00AD58CD">
      <w:pPr>
        <w:numPr>
          <w:ilvl w:val="0"/>
          <w:numId w:val="69"/>
        </w:numPr>
        <w:tabs>
          <w:tab w:val="left" w:pos="1276"/>
        </w:tabs>
        <w:spacing w:after="0" w:line="240" w:lineRule="auto"/>
        <w:ind w:left="284" w:hanging="284"/>
        <w:contextualSpacing/>
        <w:jc w:val="both"/>
        <w:rPr>
          <w:rFonts w:ascii="Times New Roman" w:eastAsia="Calibri" w:hAnsi="Times New Roman" w:cs="Times New Roman"/>
          <w:kern w:val="2"/>
          <w:sz w:val="21"/>
          <w:szCs w:val="21"/>
        </w:rPr>
      </w:pPr>
      <w:r w:rsidRPr="00877DE5">
        <w:rPr>
          <w:rFonts w:ascii="Times New Roman" w:eastAsia="Calibri" w:hAnsi="Times New Roman" w:cs="Times New Roman"/>
          <w:kern w:val="2"/>
          <w:sz w:val="21"/>
          <w:szCs w:val="21"/>
        </w:rPr>
        <w:t>Шамардина Л.В. Цифровые технологии в управлении спортивными организациями // Физическая культура и спорт в современном мире: актуальные проблемы и пути решения. – 2018. – С. 89-94.</w:t>
      </w:r>
    </w:p>
    <w:p w14:paraId="3E43606D" w14:textId="77777777" w:rsidR="00877DE5" w:rsidRPr="00877DE5" w:rsidRDefault="00877DE5" w:rsidP="00067100">
      <w:pPr>
        <w:tabs>
          <w:tab w:val="left" w:pos="1276"/>
        </w:tabs>
        <w:spacing w:after="0" w:line="240" w:lineRule="auto"/>
        <w:ind w:firstLine="709"/>
        <w:contextualSpacing/>
        <w:rPr>
          <w:rFonts w:ascii="Times New Roman" w:eastAsia="Calibri" w:hAnsi="Times New Roman" w:cs="Times New Roman"/>
          <w:kern w:val="2"/>
          <w:sz w:val="21"/>
          <w:szCs w:val="21"/>
        </w:rPr>
      </w:pPr>
    </w:p>
    <w:p w14:paraId="39D71B20" w14:textId="77777777" w:rsidR="00877DE5" w:rsidRPr="00877DE5" w:rsidRDefault="00877DE5" w:rsidP="00067100">
      <w:pPr>
        <w:spacing w:after="0" w:line="240" w:lineRule="auto"/>
        <w:ind w:firstLine="709"/>
        <w:jc w:val="center"/>
        <w:rPr>
          <w:rFonts w:ascii="Times New Roman" w:eastAsia="Times New Roman" w:hAnsi="Times New Roman" w:cs="Times New Roman"/>
          <w:kern w:val="2"/>
          <w:sz w:val="24"/>
          <w:szCs w:val="24"/>
          <w:lang w:eastAsia="ru-RU"/>
        </w:rPr>
      </w:pPr>
    </w:p>
    <w:p w14:paraId="49868EB4" w14:textId="07B6FC35" w:rsidR="00895CEB" w:rsidRPr="00895CEB" w:rsidRDefault="00895CEB" w:rsidP="0067297E">
      <w:pPr>
        <w:suppressAutoHyphens/>
        <w:spacing w:after="0" w:line="240" w:lineRule="auto"/>
        <w:jc w:val="both"/>
        <w:rPr>
          <w:rFonts w:ascii="Times New Roman" w:eastAsia="Times New Roman" w:hAnsi="Times New Roman" w:cs="Times New Roman"/>
          <w:b/>
          <w:color w:val="000000"/>
          <w:kern w:val="2"/>
          <w:sz w:val="21"/>
          <w:szCs w:val="21"/>
          <w:lang w:eastAsia="ar-SA"/>
          <w14:ligatures w14:val="standardContextual"/>
        </w:rPr>
      </w:pPr>
      <w:r w:rsidRPr="00895CEB">
        <w:rPr>
          <w:rFonts w:ascii="Times New Roman" w:eastAsia="Times New Roman" w:hAnsi="Times New Roman" w:cs="Times New Roman"/>
          <w:b/>
          <w:color w:val="000000"/>
          <w:kern w:val="2"/>
          <w:sz w:val="21"/>
          <w:szCs w:val="21"/>
          <w:lang w:eastAsia="ar-SA"/>
          <w14:ligatures w14:val="standardContextual"/>
        </w:rPr>
        <w:t>УДК</w:t>
      </w:r>
      <w:r w:rsidR="0067297E" w:rsidRPr="0067297E">
        <w:rPr>
          <w:rFonts w:ascii="Times New Roman" w:eastAsia="Times New Roman" w:hAnsi="Times New Roman" w:cs="Times New Roman"/>
          <w:b/>
          <w:color w:val="000000"/>
          <w:kern w:val="2"/>
          <w:sz w:val="21"/>
          <w:szCs w:val="21"/>
          <w:lang w:eastAsia="ar-SA"/>
          <w14:ligatures w14:val="standardContextual"/>
        </w:rPr>
        <w:t xml:space="preserve"> </w:t>
      </w:r>
      <w:r w:rsidRPr="00895CEB">
        <w:rPr>
          <w:rFonts w:ascii="Times New Roman" w:eastAsia="Times New Roman" w:hAnsi="Times New Roman" w:cs="Times New Roman"/>
          <w:b/>
          <w:color w:val="000000"/>
          <w:kern w:val="2"/>
          <w:sz w:val="21"/>
          <w:szCs w:val="21"/>
          <w:lang w:eastAsia="ar-SA"/>
          <w14:ligatures w14:val="standardContextual"/>
        </w:rPr>
        <w:t>339.9</w:t>
      </w:r>
    </w:p>
    <w:p w14:paraId="4A1D5E71" w14:textId="77777777" w:rsidR="00895CEB" w:rsidRPr="00895CEB" w:rsidRDefault="00895CEB" w:rsidP="00895CEB">
      <w:pPr>
        <w:suppressAutoHyphens/>
        <w:spacing w:after="0" w:line="240" w:lineRule="auto"/>
        <w:ind w:firstLine="567"/>
        <w:jc w:val="right"/>
        <w:rPr>
          <w:rFonts w:ascii="Times New Roman" w:eastAsia="Times New Roman" w:hAnsi="Times New Roman" w:cs="Times New Roman"/>
          <w:i/>
          <w:color w:val="000000"/>
          <w:kern w:val="2"/>
          <w:sz w:val="21"/>
          <w:szCs w:val="21"/>
          <w:lang w:eastAsia="ar-SA"/>
          <w14:ligatures w14:val="standardContextual"/>
        </w:rPr>
      </w:pPr>
      <w:r w:rsidRPr="00895CEB">
        <w:rPr>
          <w:rFonts w:ascii="Times New Roman" w:eastAsia="Times New Roman" w:hAnsi="Times New Roman" w:cs="Times New Roman"/>
          <w:b/>
          <w:i/>
          <w:color w:val="000000"/>
          <w:kern w:val="2"/>
          <w:sz w:val="21"/>
          <w:szCs w:val="21"/>
          <w:lang w:eastAsia="ar-SA"/>
          <w14:ligatures w14:val="standardContextual"/>
        </w:rPr>
        <w:t>Крылов А.М.,</w:t>
      </w:r>
    </w:p>
    <w:p w14:paraId="63BCE0BA" w14:textId="77777777" w:rsidR="00895CEB" w:rsidRPr="00895CEB" w:rsidRDefault="00895CEB" w:rsidP="00895CEB">
      <w:pPr>
        <w:suppressAutoHyphens/>
        <w:spacing w:after="0" w:line="240" w:lineRule="auto"/>
        <w:ind w:firstLine="567"/>
        <w:jc w:val="right"/>
        <w:rPr>
          <w:rFonts w:ascii="Times New Roman" w:eastAsia="Times New Roman" w:hAnsi="Times New Roman" w:cs="Times New Roman"/>
          <w:i/>
          <w:color w:val="000000"/>
          <w:kern w:val="2"/>
          <w:sz w:val="21"/>
          <w:szCs w:val="21"/>
          <w:lang w:eastAsia="ar-SA"/>
          <w14:ligatures w14:val="standardContextual"/>
        </w:rPr>
      </w:pPr>
      <w:r w:rsidRPr="00895CEB">
        <w:rPr>
          <w:rFonts w:ascii="Times New Roman" w:eastAsia="Times New Roman" w:hAnsi="Times New Roman" w:cs="Times New Roman"/>
          <w:i/>
          <w:color w:val="000000"/>
          <w:kern w:val="2"/>
          <w:sz w:val="21"/>
          <w:szCs w:val="21"/>
          <w:lang w:eastAsia="ar-SA"/>
          <w14:ligatures w14:val="standardContextual"/>
        </w:rPr>
        <w:t xml:space="preserve">студент 2 курса </w:t>
      </w:r>
    </w:p>
    <w:p w14:paraId="60062AF1" w14:textId="77777777" w:rsidR="00895CEB" w:rsidRPr="00895CEB" w:rsidRDefault="00895CEB" w:rsidP="0067297E">
      <w:pPr>
        <w:suppressAutoHyphens/>
        <w:spacing w:after="0" w:line="240" w:lineRule="auto"/>
        <w:ind w:right="13"/>
        <w:jc w:val="right"/>
        <w:rPr>
          <w:rFonts w:ascii="Times New Roman" w:eastAsia="Times New Roman" w:hAnsi="Times New Roman" w:cs="Times New Roman"/>
          <w:i/>
          <w:color w:val="000000"/>
          <w:kern w:val="2"/>
          <w:sz w:val="21"/>
          <w:szCs w:val="21"/>
          <w:lang w:eastAsia="ar-SA"/>
          <w14:ligatures w14:val="standardContextual"/>
        </w:rPr>
      </w:pPr>
      <w:r w:rsidRPr="00895CEB">
        <w:rPr>
          <w:rFonts w:ascii="Times New Roman" w:eastAsia="Times New Roman" w:hAnsi="Times New Roman" w:cs="Times New Roman"/>
          <w:i/>
          <w:color w:val="000000"/>
          <w:kern w:val="2"/>
          <w:sz w:val="21"/>
          <w:szCs w:val="21"/>
          <w:lang w:eastAsia="ar-SA"/>
          <w14:ligatures w14:val="standardContextual"/>
        </w:rPr>
        <w:t>ФГОБУ ВО «Финансовый университет при Правительстве Российской Федерации» Краснодарский филиал</w:t>
      </w:r>
    </w:p>
    <w:p w14:paraId="67AA448D" w14:textId="77777777" w:rsidR="00895CEB" w:rsidRPr="00895CEB" w:rsidRDefault="00895CEB" w:rsidP="00895CEB">
      <w:pPr>
        <w:suppressAutoHyphens/>
        <w:spacing w:after="0" w:line="240" w:lineRule="auto"/>
        <w:ind w:firstLine="567"/>
        <w:jc w:val="right"/>
        <w:rPr>
          <w:rFonts w:ascii="Times New Roman" w:eastAsia="Times New Roman" w:hAnsi="Times New Roman" w:cs="Times New Roman"/>
          <w:i/>
          <w:kern w:val="2"/>
          <w:sz w:val="21"/>
          <w:szCs w:val="21"/>
          <w:lang w:eastAsia="ar-SA"/>
          <w14:ligatures w14:val="standardContextual"/>
        </w:rPr>
      </w:pPr>
      <w:r w:rsidRPr="00895CEB">
        <w:rPr>
          <w:rFonts w:ascii="Times New Roman" w:eastAsia="Times New Roman" w:hAnsi="Times New Roman" w:cs="Times New Roman"/>
          <w:i/>
          <w:kern w:val="2"/>
          <w:sz w:val="21"/>
          <w:szCs w:val="21"/>
          <w:lang w:eastAsia="ar-SA"/>
          <w14:ligatures w14:val="standardContextual"/>
        </w:rPr>
        <w:t>г. Краснодар, Россия</w:t>
      </w:r>
    </w:p>
    <w:p w14:paraId="0A14CFBC" w14:textId="77777777" w:rsidR="00895CEB" w:rsidRPr="00895CEB" w:rsidRDefault="00895CEB" w:rsidP="00895CEB">
      <w:pPr>
        <w:spacing w:after="0" w:line="240" w:lineRule="auto"/>
        <w:ind w:firstLine="567"/>
        <w:jc w:val="right"/>
        <w:rPr>
          <w:rFonts w:ascii="Times New Roman" w:eastAsia="Calibri" w:hAnsi="Times New Roman" w:cs="Times New Roman"/>
          <w:color w:val="0563C1"/>
          <w:kern w:val="2"/>
          <w:sz w:val="21"/>
          <w:szCs w:val="21"/>
          <w:u w:val="single"/>
          <w14:ligatures w14:val="standardContextual"/>
        </w:rPr>
      </w:pPr>
      <w:r w:rsidRPr="00895CEB">
        <w:rPr>
          <w:rFonts w:ascii="Times New Roman" w:eastAsia="Times New Roman" w:hAnsi="Times New Roman" w:cs="Times New Roman"/>
          <w:i/>
          <w:kern w:val="2"/>
          <w:sz w:val="21"/>
          <w:szCs w:val="21"/>
          <w14:ligatures w14:val="standardContextual"/>
        </w:rPr>
        <w:t>е-</w:t>
      </w:r>
      <w:r w:rsidRPr="00895CEB">
        <w:rPr>
          <w:rFonts w:ascii="Times New Roman" w:eastAsia="Times New Roman" w:hAnsi="Times New Roman" w:cs="Times New Roman"/>
          <w:i/>
          <w:kern w:val="2"/>
          <w:sz w:val="21"/>
          <w:szCs w:val="21"/>
          <w:lang w:val="en-US"/>
          <w14:ligatures w14:val="standardContextual"/>
        </w:rPr>
        <w:t>mail</w:t>
      </w:r>
      <w:r w:rsidRPr="00895CEB">
        <w:rPr>
          <w:rFonts w:ascii="Times New Roman" w:eastAsia="Times New Roman" w:hAnsi="Times New Roman" w:cs="Times New Roman"/>
          <w:i/>
          <w:kern w:val="2"/>
          <w:sz w:val="21"/>
          <w:szCs w:val="21"/>
          <w14:ligatures w14:val="standardContextual"/>
        </w:rPr>
        <w:t xml:space="preserve">: </w:t>
      </w:r>
      <w:hyperlink r:id="rId397" w:history="1">
        <w:r w:rsidRPr="00895CEB">
          <w:rPr>
            <w:rFonts w:ascii="Times New Roman" w:eastAsia="Times New Roman" w:hAnsi="Times New Roman" w:cs="Times New Roman"/>
            <w:i/>
            <w:color w:val="0563C1"/>
            <w:kern w:val="2"/>
            <w:sz w:val="21"/>
            <w:szCs w:val="21"/>
            <w:u w:val="single"/>
            <w:lang w:val="en-US"/>
            <w14:ligatures w14:val="standardContextual"/>
          </w:rPr>
          <w:t>Andrey</w:t>
        </w:r>
        <w:r w:rsidRPr="00895CEB">
          <w:rPr>
            <w:rFonts w:ascii="Times New Roman" w:eastAsia="Times New Roman" w:hAnsi="Times New Roman" w:cs="Times New Roman"/>
            <w:i/>
            <w:color w:val="0563C1"/>
            <w:kern w:val="2"/>
            <w:sz w:val="21"/>
            <w:szCs w:val="21"/>
            <w:u w:val="single"/>
            <w14:ligatures w14:val="standardContextual"/>
          </w:rPr>
          <w:t>.</w:t>
        </w:r>
        <w:r w:rsidRPr="00895CEB">
          <w:rPr>
            <w:rFonts w:ascii="Times New Roman" w:eastAsia="Times New Roman" w:hAnsi="Times New Roman" w:cs="Times New Roman"/>
            <w:i/>
            <w:color w:val="0563C1"/>
            <w:kern w:val="2"/>
            <w:sz w:val="21"/>
            <w:szCs w:val="21"/>
            <w:u w:val="single"/>
            <w:lang w:val="en-US"/>
            <w14:ligatures w14:val="standardContextual"/>
          </w:rPr>
          <w:t>krylov</w:t>
        </w:r>
        <w:r w:rsidRPr="00895CEB">
          <w:rPr>
            <w:rFonts w:ascii="Times New Roman" w:eastAsia="Times New Roman" w:hAnsi="Times New Roman" w:cs="Times New Roman"/>
            <w:i/>
            <w:color w:val="0563C1"/>
            <w:kern w:val="2"/>
            <w:sz w:val="21"/>
            <w:szCs w:val="21"/>
            <w:u w:val="single"/>
            <w14:ligatures w14:val="standardContextual"/>
          </w:rPr>
          <w:t>.2019@</w:t>
        </w:r>
        <w:r w:rsidRPr="00895CEB">
          <w:rPr>
            <w:rFonts w:ascii="Times New Roman" w:eastAsia="Times New Roman" w:hAnsi="Times New Roman" w:cs="Times New Roman"/>
            <w:i/>
            <w:color w:val="0563C1"/>
            <w:kern w:val="2"/>
            <w:sz w:val="21"/>
            <w:szCs w:val="21"/>
            <w:u w:val="single"/>
            <w:lang w:val="en-US"/>
            <w14:ligatures w14:val="standardContextual"/>
          </w:rPr>
          <w:t>mail</w:t>
        </w:r>
        <w:r w:rsidRPr="00895CEB">
          <w:rPr>
            <w:rFonts w:ascii="Times New Roman" w:eastAsia="Times New Roman" w:hAnsi="Times New Roman" w:cs="Times New Roman"/>
            <w:i/>
            <w:color w:val="0563C1"/>
            <w:kern w:val="2"/>
            <w:sz w:val="21"/>
            <w:szCs w:val="21"/>
            <w:u w:val="single"/>
            <w14:ligatures w14:val="standardContextual"/>
          </w:rPr>
          <w:t>.</w:t>
        </w:r>
        <w:r w:rsidRPr="00895CEB">
          <w:rPr>
            <w:rFonts w:ascii="Times New Roman" w:eastAsia="Times New Roman" w:hAnsi="Times New Roman" w:cs="Times New Roman"/>
            <w:i/>
            <w:color w:val="0563C1"/>
            <w:kern w:val="2"/>
            <w:sz w:val="21"/>
            <w:szCs w:val="21"/>
            <w:u w:val="single"/>
            <w:lang w:val="en-US"/>
            <w14:ligatures w14:val="standardContextual"/>
          </w:rPr>
          <w:t>ru</w:t>
        </w:r>
      </w:hyperlink>
    </w:p>
    <w:p w14:paraId="5B721219" w14:textId="77777777" w:rsidR="00895CEB" w:rsidRPr="00895CEB" w:rsidRDefault="00895CEB" w:rsidP="00895CEB">
      <w:pPr>
        <w:spacing w:after="0" w:line="240" w:lineRule="auto"/>
        <w:ind w:firstLine="567"/>
        <w:jc w:val="right"/>
        <w:rPr>
          <w:rFonts w:ascii="Times New Roman" w:eastAsia="Calibri" w:hAnsi="Times New Roman" w:cs="Times New Roman"/>
          <w:kern w:val="2"/>
          <w:sz w:val="21"/>
          <w:szCs w:val="21"/>
          <w14:ligatures w14:val="standardContextual"/>
        </w:rPr>
      </w:pPr>
    </w:p>
    <w:p w14:paraId="422D28C4" w14:textId="77777777" w:rsidR="00895CEB" w:rsidRPr="00895CEB" w:rsidRDefault="00895CEB" w:rsidP="00895CEB">
      <w:pPr>
        <w:spacing w:after="0" w:line="240" w:lineRule="auto"/>
        <w:ind w:firstLine="567"/>
        <w:jc w:val="right"/>
        <w:rPr>
          <w:rFonts w:ascii="Times New Roman" w:eastAsia="Times New Roman" w:hAnsi="Times New Roman" w:cs="Times New Roman"/>
          <w:b/>
          <w:i/>
          <w:kern w:val="2"/>
          <w:sz w:val="21"/>
          <w:szCs w:val="21"/>
          <w14:ligatures w14:val="standardContextual"/>
        </w:rPr>
      </w:pPr>
      <w:r w:rsidRPr="00895CEB">
        <w:rPr>
          <w:rFonts w:ascii="Times New Roman" w:eastAsia="Times New Roman" w:hAnsi="Times New Roman" w:cs="Times New Roman"/>
          <w:b/>
          <w:i/>
          <w:kern w:val="2"/>
          <w:sz w:val="21"/>
          <w:szCs w:val="21"/>
          <w14:ligatures w14:val="standardContextual"/>
        </w:rPr>
        <w:t>Научный руководитель:</w:t>
      </w:r>
    </w:p>
    <w:p w14:paraId="5981BF51" w14:textId="77777777" w:rsidR="00895CEB" w:rsidRPr="00895CEB" w:rsidRDefault="00895CEB" w:rsidP="00895CEB">
      <w:pPr>
        <w:spacing w:after="0" w:line="240" w:lineRule="auto"/>
        <w:ind w:firstLine="567"/>
        <w:jc w:val="right"/>
        <w:rPr>
          <w:rFonts w:ascii="Times New Roman" w:eastAsia="Times New Roman" w:hAnsi="Times New Roman" w:cs="Times New Roman"/>
          <w:b/>
          <w:i/>
          <w:kern w:val="2"/>
          <w:sz w:val="21"/>
          <w:szCs w:val="21"/>
          <w14:ligatures w14:val="standardContextual"/>
        </w:rPr>
      </w:pPr>
      <w:r w:rsidRPr="00895CEB">
        <w:rPr>
          <w:rFonts w:ascii="Times New Roman" w:eastAsia="Times New Roman" w:hAnsi="Times New Roman" w:cs="Times New Roman"/>
          <w:b/>
          <w:i/>
          <w:kern w:val="2"/>
          <w:sz w:val="21"/>
          <w:szCs w:val="21"/>
          <w14:ligatures w14:val="standardContextual"/>
        </w:rPr>
        <w:t>Калайдин Е.Н.,</w:t>
      </w:r>
    </w:p>
    <w:p w14:paraId="619577A4" w14:textId="77777777" w:rsidR="00895CEB" w:rsidRPr="00895CEB" w:rsidRDefault="00895CEB" w:rsidP="00895CEB">
      <w:pPr>
        <w:spacing w:after="0" w:line="240" w:lineRule="auto"/>
        <w:ind w:firstLine="567"/>
        <w:jc w:val="right"/>
        <w:rPr>
          <w:rFonts w:ascii="Times New Roman" w:eastAsia="Times New Roman" w:hAnsi="Times New Roman" w:cs="Times New Roman"/>
          <w:b/>
          <w:i/>
          <w:kern w:val="2"/>
          <w:sz w:val="21"/>
          <w:szCs w:val="21"/>
          <w14:ligatures w14:val="standardContextual"/>
        </w:rPr>
      </w:pPr>
      <w:r w:rsidRPr="00895CEB">
        <w:rPr>
          <w:rFonts w:ascii="Times New Roman" w:eastAsia="Times New Roman" w:hAnsi="Times New Roman" w:cs="Times New Roman"/>
          <w:color w:val="121314"/>
          <w:sz w:val="21"/>
          <w:szCs w:val="21"/>
          <w:lang w:eastAsia="ru-RU"/>
        </w:rPr>
        <w:t>доктор физ.-мат. наук</w:t>
      </w:r>
    </w:p>
    <w:p w14:paraId="3E1BBA07" w14:textId="77777777" w:rsidR="00895CEB" w:rsidRPr="00895CEB" w:rsidRDefault="00895CEB" w:rsidP="00895CEB">
      <w:pPr>
        <w:suppressAutoHyphens/>
        <w:spacing w:after="0" w:line="240" w:lineRule="auto"/>
        <w:ind w:firstLine="567"/>
        <w:jc w:val="right"/>
        <w:rPr>
          <w:rFonts w:ascii="Times New Roman" w:eastAsia="Times New Roman" w:hAnsi="Times New Roman" w:cs="Times New Roman"/>
          <w:i/>
          <w:color w:val="000000"/>
          <w:kern w:val="2"/>
          <w:sz w:val="21"/>
          <w:szCs w:val="21"/>
          <w:lang w:eastAsia="ar-SA"/>
          <w14:ligatures w14:val="standardContextual"/>
        </w:rPr>
      </w:pPr>
      <w:r w:rsidRPr="00895CEB">
        <w:rPr>
          <w:rFonts w:ascii="Times New Roman" w:eastAsia="Times New Roman" w:hAnsi="Times New Roman" w:cs="Times New Roman"/>
          <w:i/>
          <w:color w:val="000000"/>
          <w:kern w:val="2"/>
          <w:sz w:val="21"/>
          <w:szCs w:val="21"/>
          <w:lang w:eastAsia="ar-SA"/>
          <w14:ligatures w14:val="standardContextual"/>
        </w:rPr>
        <w:t>ФГОБУ ВО «Финансовый университет при Правительстве Российской Федерации» Краснодарский филиал</w:t>
      </w:r>
    </w:p>
    <w:p w14:paraId="48BC6427" w14:textId="77777777" w:rsidR="00895CEB" w:rsidRPr="00895CEB" w:rsidRDefault="00895CEB" w:rsidP="00895CEB">
      <w:pPr>
        <w:suppressAutoHyphens/>
        <w:spacing w:after="0" w:line="240" w:lineRule="auto"/>
        <w:ind w:firstLine="567"/>
        <w:jc w:val="right"/>
        <w:rPr>
          <w:rFonts w:ascii="Times New Roman" w:eastAsia="Times New Roman" w:hAnsi="Times New Roman" w:cs="Times New Roman"/>
          <w:i/>
          <w:kern w:val="2"/>
          <w:sz w:val="21"/>
          <w:szCs w:val="21"/>
          <w:lang w:eastAsia="ar-SA"/>
          <w14:ligatures w14:val="standardContextual"/>
        </w:rPr>
      </w:pPr>
      <w:r w:rsidRPr="00895CEB">
        <w:rPr>
          <w:rFonts w:ascii="Times New Roman" w:eastAsia="Times New Roman" w:hAnsi="Times New Roman" w:cs="Times New Roman"/>
          <w:i/>
          <w:kern w:val="2"/>
          <w:sz w:val="21"/>
          <w:szCs w:val="21"/>
          <w:lang w:eastAsia="ar-SA"/>
          <w14:ligatures w14:val="standardContextual"/>
        </w:rPr>
        <w:t>г. Краснодар, Россия</w:t>
      </w:r>
    </w:p>
    <w:p w14:paraId="7E5AFC30"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eastAsia="ar-SA"/>
          <w14:ligatures w14:val="standardContextual"/>
        </w:rPr>
      </w:pPr>
      <w:r w:rsidRPr="00895CEB">
        <w:rPr>
          <w:rFonts w:ascii="Times New Roman" w:eastAsia="Times New Roman" w:hAnsi="Times New Roman" w:cs="Times New Roman"/>
          <w:i/>
          <w:kern w:val="2"/>
          <w:sz w:val="21"/>
          <w:szCs w:val="21"/>
          <w:lang w:eastAsia="ar-SA"/>
          <w14:ligatures w14:val="standardContextual"/>
        </w:rPr>
        <w:t>е-</w:t>
      </w:r>
      <w:r w:rsidRPr="00895CEB">
        <w:rPr>
          <w:rFonts w:ascii="Times New Roman" w:eastAsia="Times New Roman" w:hAnsi="Times New Roman" w:cs="Times New Roman"/>
          <w:i/>
          <w:kern w:val="2"/>
          <w:sz w:val="21"/>
          <w:szCs w:val="21"/>
          <w:lang w:val="en-US" w:eastAsia="ar-SA"/>
          <w14:ligatures w14:val="standardContextual"/>
        </w:rPr>
        <w:t>mail</w:t>
      </w:r>
      <w:r w:rsidRPr="00895CEB">
        <w:rPr>
          <w:rFonts w:ascii="Times New Roman" w:eastAsia="Calibri" w:hAnsi="Times New Roman" w:cs="Times New Roman"/>
          <w:kern w:val="2"/>
          <w:sz w:val="21"/>
          <w:szCs w:val="21"/>
          <w14:ligatures w14:val="standardContextual"/>
        </w:rPr>
        <w:t xml:space="preserve">: </w:t>
      </w:r>
      <w:hyperlink r:id="rId398" w:history="1">
        <w:r w:rsidRPr="00895CEB">
          <w:rPr>
            <w:rFonts w:ascii="Times New Roman" w:eastAsia="Calibri" w:hAnsi="Times New Roman" w:cs="Times New Roman"/>
            <w:color w:val="0563C1"/>
            <w:kern w:val="2"/>
            <w:sz w:val="21"/>
            <w:szCs w:val="21"/>
            <w:u w:val="single"/>
            <w14:ligatures w14:val="standardContextual"/>
          </w:rPr>
          <w:t>ENKalaydin@fa.ru</w:t>
        </w:r>
      </w:hyperlink>
    </w:p>
    <w:p w14:paraId="0389BD58"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eastAsia="ar-SA"/>
          <w14:ligatures w14:val="standardContextual"/>
        </w:rPr>
      </w:pPr>
    </w:p>
    <w:p w14:paraId="56318ED7" w14:textId="77777777" w:rsidR="00895CEB" w:rsidRPr="00895CEB" w:rsidRDefault="00895CEB" w:rsidP="00895CEB">
      <w:pPr>
        <w:suppressAutoHyphens/>
        <w:spacing w:after="0" w:line="240" w:lineRule="auto"/>
        <w:ind w:firstLine="567"/>
        <w:jc w:val="center"/>
        <w:textAlignment w:val="baseline"/>
        <w:rPr>
          <w:rFonts w:ascii="Times New Roman" w:eastAsia="Times New Roman" w:hAnsi="Times New Roman" w:cs="Times New Roman"/>
          <w:b/>
          <w:bCs/>
          <w:iCs/>
          <w:kern w:val="2"/>
          <w:sz w:val="21"/>
          <w:szCs w:val="21"/>
          <w:lang w:eastAsia="ar-SA"/>
          <w14:ligatures w14:val="standardContextual"/>
        </w:rPr>
      </w:pPr>
      <w:bookmarkStart w:id="80" w:name="OLE_LINK1"/>
      <w:r w:rsidRPr="00895CEB">
        <w:rPr>
          <w:rFonts w:ascii="Times New Roman" w:eastAsia="Calibri" w:hAnsi="Times New Roman" w:cs="Times New Roman"/>
          <w:b/>
          <w:bCs/>
          <w:kern w:val="2"/>
          <w:sz w:val="21"/>
          <w:szCs w:val="21"/>
          <w14:ligatures w14:val="standardContextual"/>
        </w:rPr>
        <w:t>Электронная коммерция и цифровой маркетинг: современные тенденции и эффективные стратегии</w:t>
      </w:r>
    </w:p>
    <w:bookmarkEnd w:id="80"/>
    <w:p w14:paraId="4641BEF3" w14:textId="77777777" w:rsidR="00895CEB" w:rsidRPr="00895CEB" w:rsidRDefault="00895CEB" w:rsidP="00895CEB">
      <w:pPr>
        <w:suppressAutoHyphens/>
        <w:spacing w:after="0" w:line="240" w:lineRule="auto"/>
        <w:ind w:firstLine="567"/>
        <w:jc w:val="center"/>
        <w:textAlignment w:val="baseline"/>
        <w:rPr>
          <w:rFonts w:ascii="Times New Roman" w:eastAsia="Times New Roman" w:hAnsi="Times New Roman" w:cs="Times New Roman"/>
          <w:b/>
          <w:bCs/>
          <w:iCs/>
          <w:kern w:val="2"/>
          <w:sz w:val="21"/>
          <w:szCs w:val="21"/>
          <w:lang w:eastAsia="ar-SA"/>
          <w14:ligatures w14:val="standardContextual"/>
        </w:rPr>
      </w:pPr>
    </w:p>
    <w:p w14:paraId="634738E2" w14:textId="77777777" w:rsidR="00895CEB" w:rsidRPr="00895CEB" w:rsidRDefault="00895CEB" w:rsidP="0067297E">
      <w:pPr>
        <w:suppressAutoHyphens/>
        <w:spacing w:after="0" w:line="240" w:lineRule="auto"/>
        <w:ind w:firstLine="709"/>
        <w:jc w:val="both"/>
        <w:textAlignment w:val="baseline"/>
        <w:rPr>
          <w:rFonts w:ascii="Times New Roman" w:eastAsia="Times New Roman" w:hAnsi="Times New Roman" w:cs="Times New Roman"/>
          <w:iCs/>
          <w:kern w:val="2"/>
          <w:sz w:val="21"/>
          <w:szCs w:val="21"/>
          <w:lang w:eastAsia="ar-SA"/>
          <w14:ligatures w14:val="standardContextual"/>
        </w:rPr>
      </w:pPr>
      <w:r w:rsidRPr="00895CEB">
        <w:rPr>
          <w:rFonts w:ascii="Times New Roman" w:eastAsia="Times New Roman" w:hAnsi="Times New Roman" w:cs="Times New Roman"/>
          <w:b/>
          <w:bCs/>
          <w:iCs/>
          <w:kern w:val="2"/>
          <w:sz w:val="21"/>
          <w:szCs w:val="21"/>
          <w:lang w:eastAsia="ar-SA"/>
          <w14:ligatures w14:val="standardContextual"/>
        </w:rPr>
        <w:lastRenderedPageBreak/>
        <w:t xml:space="preserve">Аннотация: </w:t>
      </w:r>
      <w:r w:rsidRPr="00895CEB">
        <w:rPr>
          <w:rFonts w:ascii="Times New Roman" w:eastAsia="Times New Roman" w:hAnsi="Times New Roman" w:cs="Times New Roman"/>
          <w:iCs/>
          <w:kern w:val="2"/>
          <w:sz w:val="21"/>
          <w:szCs w:val="21"/>
          <w:lang w:eastAsia="ar-SA"/>
          <w14:ligatures w14:val="standardContextual"/>
        </w:rPr>
        <w:t>В статье рассматриваются актуальные тенденции в сфере электронной коммерции и цифрового маркетинга, которые обусловлены стремительным развитием технологий и изменением потребительского поведения. Анализируются ключевые стратегии, повышающие эффективность онлайн-продаж, включая персонализацию, использование искусственного интеллекта, контент-маркетинг и влияние социальных сетей. Особое внимание уделяется инструментам аналитики и автоматизации, которые помогают оптимизировать маркетинговые кампании. На основе современных исследований и практических кейсов предлагаются рекомендации для бизнеса по адаптации к цифровой среде и усилению конкурентных преимуществ.</w:t>
      </w:r>
    </w:p>
    <w:p w14:paraId="39A4C194" w14:textId="77777777" w:rsidR="00895CEB" w:rsidRPr="00895CEB" w:rsidRDefault="00895CEB" w:rsidP="0067297E">
      <w:pPr>
        <w:suppressAutoHyphens/>
        <w:spacing w:after="0" w:line="240" w:lineRule="auto"/>
        <w:ind w:firstLine="709"/>
        <w:jc w:val="both"/>
        <w:textAlignment w:val="baseline"/>
        <w:rPr>
          <w:rFonts w:ascii="Times New Roman" w:eastAsia="Times New Roman" w:hAnsi="Times New Roman" w:cs="Times New Roman"/>
          <w:b/>
          <w:bCs/>
          <w:iCs/>
          <w:kern w:val="2"/>
          <w:sz w:val="21"/>
          <w:szCs w:val="21"/>
          <w:lang w:eastAsia="ar-SA"/>
          <w14:ligatures w14:val="standardContextual"/>
        </w:rPr>
      </w:pPr>
      <w:r w:rsidRPr="00895CEB">
        <w:rPr>
          <w:rFonts w:ascii="Times New Roman" w:eastAsia="Times New Roman" w:hAnsi="Times New Roman" w:cs="Times New Roman"/>
          <w:b/>
          <w:bCs/>
          <w:iCs/>
          <w:kern w:val="2"/>
          <w:sz w:val="21"/>
          <w:szCs w:val="21"/>
          <w:lang w:eastAsia="ar-SA"/>
          <w14:ligatures w14:val="standardContextual"/>
        </w:rPr>
        <w:t xml:space="preserve">Ключевые слова: </w:t>
      </w:r>
      <w:r w:rsidRPr="00895CEB">
        <w:rPr>
          <w:rFonts w:ascii="Times New Roman" w:eastAsia="Times New Roman" w:hAnsi="Times New Roman" w:cs="Times New Roman"/>
          <w:iCs/>
          <w:kern w:val="2"/>
          <w:sz w:val="21"/>
          <w:szCs w:val="21"/>
          <w:lang w:eastAsia="ar-SA"/>
          <w14:ligatures w14:val="standardContextual"/>
        </w:rPr>
        <w:t>электронная коммерция, цифровой маркетинг, персонализация, искусственный интеллект, контент-стратегии, социальные сети, аналитика данных.</w:t>
      </w:r>
    </w:p>
    <w:p w14:paraId="00A30F8E"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b/>
          <w:bCs/>
          <w:i/>
          <w:kern w:val="2"/>
          <w:sz w:val="21"/>
          <w:szCs w:val="21"/>
          <w:lang w:val="en" w:eastAsia="ar-SA"/>
          <w14:ligatures w14:val="standardContextual"/>
        </w:rPr>
      </w:pPr>
      <w:r w:rsidRPr="00895CEB">
        <w:rPr>
          <w:rFonts w:ascii="Times New Roman" w:eastAsia="Times New Roman" w:hAnsi="Times New Roman" w:cs="Times New Roman"/>
          <w:b/>
          <w:bCs/>
          <w:i/>
          <w:kern w:val="2"/>
          <w:sz w:val="21"/>
          <w:szCs w:val="21"/>
          <w:lang w:val="en" w:eastAsia="ar-SA"/>
          <w14:ligatures w14:val="standardContextual"/>
        </w:rPr>
        <w:t>Krylov A.M.,</w:t>
      </w:r>
    </w:p>
    <w:p w14:paraId="0A986453"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student, 2 courses</w:t>
      </w:r>
    </w:p>
    <w:p w14:paraId="134D7E4D"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Federal State Budgetary Educational Institution of Higher Education “Financial University under the Government of the Russian Federation” Krasnodar branch</w:t>
      </w:r>
    </w:p>
    <w:p w14:paraId="1EF30D27"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Krasnodar, Russia</w:t>
      </w:r>
    </w:p>
    <w:p w14:paraId="6D4C63B3"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US"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 xml:space="preserve">e-mail: </w:t>
      </w:r>
      <w:hyperlink r:id="rId399" w:history="1">
        <w:r w:rsidRPr="00895CEB">
          <w:rPr>
            <w:rFonts w:ascii="Times New Roman" w:eastAsia="Calibri" w:hAnsi="Times New Roman" w:cs="Times New Roman"/>
            <w:color w:val="0563C1"/>
            <w:kern w:val="2"/>
            <w:sz w:val="21"/>
            <w:szCs w:val="21"/>
            <w:u w:val="single"/>
            <w:lang w:val="en-US"/>
            <w14:ligatures w14:val="standardContextual"/>
          </w:rPr>
          <w:t>Andrey.krylov.2019@mail.ru</w:t>
        </w:r>
      </w:hyperlink>
    </w:p>
    <w:p w14:paraId="2699BA02"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p>
    <w:p w14:paraId="7281B737"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b/>
          <w:bCs/>
          <w:i/>
          <w:kern w:val="2"/>
          <w:sz w:val="21"/>
          <w:szCs w:val="21"/>
          <w:lang w:val="en-US" w:eastAsia="ar-SA"/>
          <w14:ligatures w14:val="standardContextual"/>
        </w:rPr>
      </w:pPr>
      <w:r w:rsidRPr="00895CEB">
        <w:rPr>
          <w:rFonts w:ascii="Times New Roman" w:eastAsia="Times New Roman" w:hAnsi="Times New Roman" w:cs="Times New Roman"/>
          <w:b/>
          <w:bCs/>
          <w:i/>
          <w:kern w:val="2"/>
          <w:sz w:val="21"/>
          <w:szCs w:val="21"/>
          <w:lang w:val="en" w:eastAsia="ar-SA"/>
          <w14:ligatures w14:val="standardContextual"/>
        </w:rPr>
        <w:t>Scientific Adviser</w:t>
      </w:r>
      <w:r w:rsidRPr="00895CEB">
        <w:rPr>
          <w:rFonts w:ascii="Times New Roman" w:eastAsia="Times New Roman" w:hAnsi="Times New Roman" w:cs="Times New Roman"/>
          <w:b/>
          <w:bCs/>
          <w:i/>
          <w:kern w:val="2"/>
          <w:sz w:val="21"/>
          <w:szCs w:val="21"/>
          <w:lang w:val="en-US" w:eastAsia="ar-SA"/>
          <w14:ligatures w14:val="standardContextual"/>
        </w:rPr>
        <w:t>:</w:t>
      </w:r>
    </w:p>
    <w:p w14:paraId="755EA6AC"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b/>
          <w:bCs/>
          <w:i/>
          <w:kern w:val="2"/>
          <w:sz w:val="21"/>
          <w:szCs w:val="21"/>
          <w:lang w:val="en" w:eastAsia="ar-SA"/>
          <w14:ligatures w14:val="standardContextual"/>
        </w:rPr>
      </w:pPr>
      <w:r w:rsidRPr="00895CEB">
        <w:rPr>
          <w:rFonts w:ascii="Times New Roman" w:eastAsia="Times New Roman" w:hAnsi="Times New Roman" w:cs="Times New Roman"/>
          <w:b/>
          <w:bCs/>
          <w:i/>
          <w:kern w:val="2"/>
          <w:sz w:val="21"/>
          <w:szCs w:val="21"/>
          <w:lang w:val="en" w:eastAsia="ar-SA"/>
          <w14:ligatures w14:val="standardContextual"/>
        </w:rPr>
        <w:t>Kalaidin E.N.,</w:t>
      </w:r>
    </w:p>
    <w:p w14:paraId="4B2D11B0"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US" w:eastAsia="ar-SA"/>
          <w14:ligatures w14:val="standardContextual"/>
        </w:rPr>
      </w:pPr>
      <w:r w:rsidRPr="00895CEB">
        <w:rPr>
          <w:rFonts w:ascii="Times New Roman" w:eastAsia="Times New Roman" w:hAnsi="Times New Roman" w:cs="Times New Roman"/>
          <w:color w:val="121314"/>
          <w:sz w:val="21"/>
          <w:szCs w:val="21"/>
          <w:lang w:val="en-US" w:eastAsia="ru-RU"/>
        </w:rPr>
        <w:t>Doctor of Phys.-Math. Sciences</w:t>
      </w:r>
    </w:p>
    <w:p w14:paraId="1B0C7ADC"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Federal State Budgetary Educational Institution of Higher Education “Financial University under the Government of the Russian Federation” Krasnodar branch</w:t>
      </w:r>
    </w:p>
    <w:p w14:paraId="48D20F4E"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Krasnodar, Russia</w:t>
      </w:r>
    </w:p>
    <w:p w14:paraId="3DA204D1" w14:textId="77777777" w:rsidR="00895CEB" w:rsidRPr="00895CEB" w:rsidRDefault="00895CEB" w:rsidP="00895CEB">
      <w:pPr>
        <w:suppressAutoHyphens/>
        <w:spacing w:after="0" w:line="240" w:lineRule="auto"/>
        <w:ind w:firstLine="567"/>
        <w:jc w:val="right"/>
        <w:textAlignment w:val="baseline"/>
        <w:rPr>
          <w:rFonts w:ascii="Times New Roman" w:eastAsia="Times New Roman" w:hAnsi="Times New Roman" w:cs="Times New Roman"/>
          <w:i/>
          <w:kern w:val="2"/>
          <w:sz w:val="21"/>
          <w:szCs w:val="21"/>
          <w:lang w:val="en-US" w:eastAsia="ar-SA"/>
          <w14:ligatures w14:val="standardContextual"/>
        </w:rPr>
      </w:pPr>
      <w:r w:rsidRPr="00895CEB">
        <w:rPr>
          <w:rFonts w:ascii="Times New Roman" w:eastAsia="Times New Roman" w:hAnsi="Times New Roman" w:cs="Times New Roman"/>
          <w:i/>
          <w:kern w:val="2"/>
          <w:sz w:val="21"/>
          <w:szCs w:val="21"/>
          <w:lang w:val="en" w:eastAsia="ar-SA"/>
          <w14:ligatures w14:val="standardContextual"/>
        </w:rPr>
        <w:t>e</w:t>
      </w:r>
      <w:r w:rsidRPr="00895CEB">
        <w:rPr>
          <w:rFonts w:ascii="Times New Roman" w:eastAsia="Times New Roman" w:hAnsi="Times New Roman" w:cs="Times New Roman"/>
          <w:i/>
          <w:kern w:val="2"/>
          <w:sz w:val="21"/>
          <w:szCs w:val="21"/>
          <w:lang w:val="en-US" w:eastAsia="ar-SA"/>
          <w14:ligatures w14:val="standardContextual"/>
        </w:rPr>
        <w:t>-</w:t>
      </w:r>
      <w:r w:rsidRPr="00895CEB">
        <w:rPr>
          <w:rFonts w:ascii="Times New Roman" w:eastAsia="Times New Roman" w:hAnsi="Times New Roman" w:cs="Times New Roman"/>
          <w:i/>
          <w:kern w:val="2"/>
          <w:sz w:val="21"/>
          <w:szCs w:val="21"/>
          <w:lang w:val="en" w:eastAsia="ar-SA"/>
          <w14:ligatures w14:val="standardContextual"/>
        </w:rPr>
        <w:t>mail</w:t>
      </w:r>
      <w:r w:rsidRPr="00895CEB">
        <w:rPr>
          <w:rFonts w:ascii="Times New Roman" w:eastAsia="Times New Roman" w:hAnsi="Times New Roman" w:cs="Times New Roman"/>
          <w:i/>
          <w:kern w:val="2"/>
          <w:sz w:val="21"/>
          <w:szCs w:val="21"/>
          <w:lang w:val="en-US" w:eastAsia="ar-SA"/>
          <w14:ligatures w14:val="standardContextual"/>
        </w:rPr>
        <w:t xml:space="preserve">: </w:t>
      </w:r>
      <w:hyperlink r:id="rId400" w:history="1">
        <w:r w:rsidRPr="00895CEB">
          <w:rPr>
            <w:rFonts w:ascii="Times New Roman" w:eastAsia="Calibri" w:hAnsi="Times New Roman" w:cs="Times New Roman"/>
            <w:color w:val="0563C1"/>
            <w:kern w:val="2"/>
            <w:sz w:val="21"/>
            <w:szCs w:val="21"/>
            <w:u w:val="single"/>
            <w:lang w:val="en-US"/>
            <w14:ligatures w14:val="standardContextual"/>
          </w:rPr>
          <w:t>ENKalaydin@fa.ru</w:t>
        </w:r>
      </w:hyperlink>
    </w:p>
    <w:p w14:paraId="0B9FABD5" w14:textId="77777777" w:rsidR="00895CEB" w:rsidRPr="00895CEB" w:rsidRDefault="00895CEB" w:rsidP="00895CEB">
      <w:pPr>
        <w:suppressAutoHyphens/>
        <w:spacing w:after="0" w:line="240" w:lineRule="auto"/>
        <w:ind w:firstLine="567"/>
        <w:jc w:val="center"/>
        <w:textAlignment w:val="baseline"/>
        <w:rPr>
          <w:rFonts w:ascii="Times New Roman" w:eastAsia="Times New Roman" w:hAnsi="Times New Roman" w:cs="Times New Roman"/>
          <w:i/>
          <w:kern w:val="2"/>
          <w:sz w:val="21"/>
          <w:szCs w:val="21"/>
          <w:lang w:val="en-US" w:eastAsia="ar-SA"/>
          <w14:ligatures w14:val="standardContextual"/>
        </w:rPr>
      </w:pPr>
    </w:p>
    <w:p w14:paraId="078FBF0F" w14:textId="77777777" w:rsidR="00895CEB" w:rsidRPr="00895CEB" w:rsidRDefault="00895CEB" w:rsidP="00895CEB">
      <w:pPr>
        <w:suppressAutoHyphens/>
        <w:spacing w:after="0" w:line="240" w:lineRule="auto"/>
        <w:ind w:firstLine="567"/>
        <w:jc w:val="center"/>
        <w:textAlignment w:val="baseline"/>
        <w:rPr>
          <w:rFonts w:ascii="Times New Roman" w:eastAsia="Times New Roman" w:hAnsi="Times New Roman" w:cs="Times New Roman"/>
          <w:b/>
          <w:bCs/>
          <w:iCs/>
          <w:kern w:val="2"/>
          <w:sz w:val="21"/>
          <w:szCs w:val="21"/>
          <w:lang w:val="en-US" w:eastAsia="ar-SA"/>
          <w14:ligatures w14:val="standardContextual"/>
        </w:rPr>
      </w:pPr>
      <w:r w:rsidRPr="00895CEB">
        <w:rPr>
          <w:rFonts w:ascii="Times New Roman" w:eastAsia="Calibri" w:hAnsi="Times New Roman" w:cs="Times New Roman"/>
          <w:b/>
          <w:bCs/>
          <w:kern w:val="2"/>
          <w:sz w:val="21"/>
          <w:szCs w:val="21"/>
          <w:lang w:val="en-US"/>
          <w14:ligatures w14:val="standardContextual"/>
        </w:rPr>
        <w:t>E-Commerce and Digital Marketing: Current Trends and Effective Strategies</w:t>
      </w:r>
    </w:p>
    <w:p w14:paraId="30A14A2A" w14:textId="77777777" w:rsidR="00895CEB" w:rsidRPr="00895CEB" w:rsidRDefault="00895CEB" w:rsidP="0067297E">
      <w:pPr>
        <w:suppressAutoHyphens/>
        <w:spacing w:after="0" w:line="240" w:lineRule="auto"/>
        <w:ind w:firstLine="709"/>
        <w:jc w:val="center"/>
        <w:textAlignment w:val="baseline"/>
        <w:rPr>
          <w:rFonts w:ascii="Times New Roman" w:eastAsia="Times New Roman" w:hAnsi="Times New Roman" w:cs="Times New Roman"/>
          <w:b/>
          <w:bCs/>
          <w:iCs/>
          <w:kern w:val="2"/>
          <w:sz w:val="21"/>
          <w:szCs w:val="21"/>
          <w:lang w:val="en-US" w:eastAsia="ar-SA"/>
          <w14:ligatures w14:val="standardContextual"/>
        </w:rPr>
      </w:pPr>
    </w:p>
    <w:p w14:paraId="36A6EB13" w14:textId="77777777" w:rsidR="00895CEB" w:rsidRPr="00895CEB" w:rsidRDefault="00895CEB" w:rsidP="0067297E">
      <w:pPr>
        <w:suppressAutoHyphens/>
        <w:spacing w:after="0" w:line="240" w:lineRule="auto"/>
        <w:ind w:firstLine="709"/>
        <w:jc w:val="both"/>
        <w:textAlignment w:val="baseline"/>
        <w:rPr>
          <w:rFonts w:ascii="Times New Roman" w:eastAsia="Times New Roman" w:hAnsi="Times New Roman" w:cs="Times New Roman"/>
          <w:iCs/>
          <w:kern w:val="2"/>
          <w:sz w:val="21"/>
          <w:szCs w:val="21"/>
          <w:lang w:val="en-US" w:eastAsia="ar-SA"/>
          <w14:ligatures w14:val="standardContextual"/>
        </w:rPr>
      </w:pPr>
      <w:r w:rsidRPr="00895CEB">
        <w:rPr>
          <w:rFonts w:ascii="Times New Roman" w:eastAsia="Times New Roman" w:hAnsi="Times New Roman" w:cs="Times New Roman"/>
          <w:b/>
          <w:bCs/>
          <w:iCs/>
          <w:kern w:val="2"/>
          <w:sz w:val="21"/>
          <w:szCs w:val="21"/>
          <w:lang w:val="en-US" w:eastAsia="ar-SA"/>
          <w14:ligatures w14:val="standardContextual"/>
        </w:rPr>
        <w:t xml:space="preserve">Abstract: </w:t>
      </w:r>
      <w:r w:rsidRPr="00895CEB">
        <w:rPr>
          <w:rFonts w:ascii="Times New Roman" w:eastAsia="Times New Roman" w:hAnsi="Times New Roman" w:cs="Times New Roman"/>
          <w:iCs/>
          <w:kern w:val="2"/>
          <w:sz w:val="21"/>
          <w:szCs w:val="21"/>
          <w:lang w:val="en-US" w:eastAsia="ar-SA"/>
          <w14:ligatures w14:val="standardContextual"/>
        </w:rPr>
        <w:t>The article discusses current trends in the field of e-commerce and digital marketing, due to the rapid development of technology and changes in consumer behavior. Key strategies that improve the effectiveness of online sales are analyzed, including personalization, the use of artificial intelligence, content marketing, and social media influence. Particular attention is paid to analytics and automation tools that help optimize marketing campaigns. Based on modern research and practical cases, recommendations are offered for businesses to adapt to the digital environment and strengthen competitive advantages.</w:t>
      </w:r>
    </w:p>
    <w:p w14:paraId="3CFEE165" w14:textId="77777777" w:rsidR="00895CEB" w:rsidRPr="0067297E" w:rsidRDefault="00895CEB" w:rsidP="0067297E">
      <w:pPr>
        <w:suppressAutoHyphens/>
        <w:spacing w:after="0" w:line="240" w:lineRule="auto"/>
        <w:ind w:firstLine="709"/>
        <w:jc w:val="both"/>
        <w:textAlignment w:val="baseline"/>
        <w:rPr>
          <w:rFonts w:ascii="Times New Roman" w:eastAsia="Times New Roman" w:hAnsi="Times New Roman" w:cs="Times New Roman"/>
          <w:iCs/>
          <w:kern w:val="2"/>
          <w:sz w:val="21"/>
          <w:szCs w:val="21"/>
          <w:lang w:val="en-US" w:eastAsia="ar-SA"/>
          <w14:ligatures w14:val="standardContextual"/>
        </w:rPr>
      </w:pPr>
      <w:r w:rsidRPr="00895CEB">
        <w:rPr>
          <w:rFonts w:ascii="Times New Roman" w:eastAsia="Times New Roman" w:hAnsi="Times New Roman" w:cs="Times New Roman"/>
          <w:b/>
          <w:bCs/>
          <w:iCs/>
          <w:kern w:val="2"/>
          <w:sz w:val="21"/>
          <w:szCs w:val="21"/>
          <w:lang w:val="en-US" w:eastAsia="ar-SA"/>
          <w14:ligatures w14:val="standardContextual"/>
        </w:rPr>
        <w:t xml:space="preserve">Keywords: </w:t>
      </w:r>
      <w:r w:rsidRPr="00895CEB">
        <w:rPr>
          <w:rFonts w:ascii="Times New Roman" w:eastAsia="Times New Roman" w:hAnsi="Times New Roman" w:cs="Times New Roman"/>
          <w:iCs/>
          <w:kern w:val="2"/>
          <w:sz w:val="21"/>
          <w:szCs w:val="21"/>
          <w:lang w:val="en-US" w:eastAsia="ar-SA"/>
          <w14:ligatures w14:val="standardContextual"/>
        </w:rPr>
        <w:t>e-commerce, digital marketing, personalization, artificial intelligence, content strategies, social media, data analytics.</w:t>
      </w:r>
    </w:p>
    <w:p w14:paraId="10508A8D" w14:textId="77777777" w:rsidR="0067297E" w:rsidRPr="00895CEB" w:rsidRDefault="0067297E" w:rsidP="00895CEB">
      <w:pPr>
        <w:suppressAutoHyphens/>
        <w:spacing w:after="0" w:line="240" w:lineRule="auto"/>
        <w:jc w:val="both"/>
        <w:textAlignment w:val="baseline"/>
        <w:rPr>
          <w:rFonts w:ascii="Times New Roman" w:eastAsia="Times New Roman" w:hAnsi="Times New Roman" w:cs="Times New Roman"/>
          <w:iCs/>
          <w:kern w:val="2"/>
          <w:sz w:val="21"/>
          <w:szCs w:val="21"/>
          <w:lang w:val="en-US" w:eastAsia="ar-SA"/>
          <w14:ligatures w14:val="standardContextual"/>
        </w:rPr>
      </w:pPr>
    </w:p>
    <w:p w14:paraId="1919BB42"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Современные технологии сильно изменили подходы к ведению бизнеса, сделав электронную коммерцию и цифровой маркетинг одними из самых влиятельных факторов экономического роста. В условиях высокой конкуренции и динамичного развития технологий бизнесу необходимо постоянно адаптироваться к новым реалиям, внедряя инновационные стратегии. В данной статье рассматриваются основные тенденции и инструменты, позволяющие компаниям повысить эффективность онлайн-продаж и укрепить свои позиции на рынке.</w:t>
      </w:r>
    </w:p>
    <w:p w14:paraId="0B31851B"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Одним из ключевых трендов цифровой экономики является гиперперсонализация, которая достигается за счет комплексного анализа больших данных и внедрения передовых технологий искусственного интеллекта (ИИ).</w:t>
      </w:r>
    </w:p>
    <w:p w14:paraId="05CC2425"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 xml:space="preserve">Современные алгоритмы машинного обучения позволяют прогнозировать поведение потребителей, сегментировать аудиторию и </w:t>
      </w:r>
      <w:r w:rsidRPr="00895CEB">
        <w:rPr>
          <w:rFonts w:ascii="Times New Roman" w:eastAsia="Calibri" w:hAnsi="Times New Roman" w:cs="Times New Roman"/>
          <w:kern w:val="2"/>
          <w:sz w:val="32"/>
          <w:szCs w:val="32"/>
          <w14:ligatures w14:val="standardContextual"/>
        </w:rPr>
        <w:lastRenderedPageBreak/>
        <w:t>предлагать индивидуальные рекомендации [1]. Шалкин пишет в своей работе: “Технологии ИИ, такие как нейронные сети, глубокое обучение и обработка естественного языка (NLP), автоматизируют процессы взаимодействия с клиентами, повышая конверсию и снижая затраты на маркетинг” [3].</w:t>
      </w:r>
    </w:p>
    <w:p w14:paraId="03934FED"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Например, различные маркетплейсы, такие как Wildberries и Ozon, активно используют системы рекоментаций ИИ, которые могут анализировать историю покупок, просмотры, время пребывания на странице товара. Благодаря этому средний чек увеличивается на 20-30%, так как пользователи получают персонализированные предложения, соответствующие их интересам и потребностям.</w:t>
      </w:r>
    </w:p>
    <w:p w14:paraId="456DD837"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Кроме того, сервисы стремятся максимально адаптировать контент под каждого клиента: от персональных скидок и подборок до индивидуализированных email-рассылок и push-уведомлений. Это сокращает время поиска нужного товара и ускоряет принятие решения о покупке, что в итоге повышает удовлетворенность клиентов и лояльность к бренду.</w:t>
      </w:r>
    </w:p>
    <w:p w14:paraId="220C9AC3"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 xml:space="preserve">Социальные сети становятся основным каналом продвижения, а контент-маркетинг — ключевым инструментом вовлечения аудитории. Видео, </w:t>
      </w:r>
      <w:r w:rsidRPr="00895CEB">
        <w:rPr>
          <w:rFonts w:ascii="Times New Roman" w:eastAsia="Calibri" w:hAnsi="Times New Roman" w:cs="Times New Roman"/>
          <w:kern w:val="2"/>
          <w:sz w:val="32"/>
          <w:szCs w:val="32"/>
          <w:lang w:val="en-US"/>
          <w14:ligatures w14:val="standardContextual"/>
        </w:rPr>
        <w:t>Reels</w:t>
      </w:r>
      <w:r w:rsidRPr="00895CEB">
        <w:rPr>
          <w:rFonts w:ascii="Times New Roman" w:eastAsia="Calibri" w:hAnsi="Times New Roman" w:cs="Times New Roman"/>
          <w:kern w:val="2"/>
          <w:sz w:val="32"/>
          <w:szCs w:val="32"/>
          <w14:ligatures w14:val="standardContextual"/>
        </w:rPr>
        <w:t xml:space="preserve"> и истории созывают зрителя купить товар, а многие форматы влияют на психологию так, что необязательно товар должен быть необходим, достаточно даже его визуальной привлекательности.  Интерактивные механики (например, AR-примерка) повышают вовлеченность и доверие к бренду [2]. Многие сервисы внедрили эту идею как тестовую, но уже на этом этапе продажи значительно увеличились и увеличиваются по сегодняшний день в процессе осведомления пользователе о такой функции. </w:t>
      </w:r>
    </w:p>
    <w:p w14:paraId="5899EA14"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 xml:space="preserve">Дополненная и виртуальная реальность (AR/VR) активно внедряются в ритейл, помогая снижать процент возвратов и повышать конверсию за счет виртуальных примерок. Такие решения, как IKEA Place (примерка мебели в интерьере) и Nike Fit (подбор обуви по скану стопы), позволяют покупателям заранее оценить, подходит ли им товар, что уменьшает количество неудовлетворенных покупок. Это особенно важно в онлайн-торговле, где уровень возвратов может достигать 30-40% из-за несоответствия ожиданий. Благодаря AR-примерке пользователи могут видеть, как одежда сидит на фигуре, как мебель выглядит в их комнате или </w:t>
      </w:r>
      <w:proofErr w:type="gramStart"/>
      <w:r w:rsidRPr="00895CEB">
        <w:rPr>
          <w:rFonts w:ascii="Times New Roman" w:eastAsia="Calibri" w:hAnsi="Times New Roman" w:cs="Times New Roman"/>
          <w:kern w:val="2"/>
          <w:sz w:val="32"/>
          <w:szCs w:val="32"/>
          <w14:ligatures w14:val="standardContextual"/>
        </w:rPr>
        <w:t>как</w:t>
      </w:r>
      <w:proofErr w:type="gramEnd"/>
      <w:r w:rsidRPr="00895CEB">
        <w:rPr>
          <w:rFonts w:ascii="Times New Roman" w:eastAsia="Calibri" w:hAnsi="Times New Roman" w:cs="Times New Roman"/>
          <w:kern w:val="2"/>
          <w:sz w:val="32"/>
          <w:szCs w:val="32"/>
          <w14:ligatures w14:val="standardContextual"/>
        </w:rPr>
        <w:t xml:space="preserve"> очки сочетаются с формой лица, что снижает неопределенность и повышает уверенность в покупке.</w:t>
      </w:r>
    </w:p>
    <w:p w14:paraId="23B5E6CC"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lastRenderedPageBreak/>
        <w:t>Эффект от внедрения таких технологий подтверждается данными: Snapchat сообщает, что бренды, использующие AR-примерку, увеличили свои продажи на 3,6%, а трафик на их сайты вырос на 46%. Это связано с тем, что интерактивные инструменты дольше удерживают внимание покупателей, делают процесс выбора более наглядным и уменьшают сомнения перед оформлением заказа. Кроме того, сокращение возвратов напрямую снижает издержки компаний на обратную логистику, проверку и утилизацию товаров.</w:t>
      </w:r>
    </w:p>
    <w:p w14:paraId="1463D84F" w14:textId="77777777" w:rsidR="00895CEB" w:rsidRPr="00895CEB" w:rsidRDefault="00895CEB" w:rsidP="007628A4">
      <w:pPr>
        <w:spacing w:after="0" w:line="240" w:lineRule="auto"/>
        <w:ind w:firstLine="708"/>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 xml:space="preserve">Контент </w:t>
      </w:r>
      <w:r w:rsidRPr="00895CEB">
        <w:rPr>
          <w:rFonts w:ascii="Times New Roman" w:eastAsia="Calibri" w:hAnsi="Times New Roman" w:cs="Times New Roman"/>
          <w:kern w:val="2"/>
          <w:sz w:val="32"/>
          <w:szCs w:val="32"/>
          <w:lang w:val="en-US"/>
          <w14:ligatures w14:val="standardContextual"/>
        </w:rPr>
        <w:t>UGC</w:t>
      </w:r>
      <w:r w:rsidRPr="00895CEB">
        <w:rPr>
          <w:rFonts w:ascii="Times New Roman" w:eastAsia="Calibri" w:hAnsi="Times New Roman" w:cs="Times New Roman"/>
          <w:kern w:val="2"/>
          <w:sz w:val="32"/>
          <w:szCs w:val="32"/>
          <w14:ligatures w14:val="standardContextual"/>
        </w:rPr>
        <w:t xml:space="preserve"> также сильно влияют на продажи, так как он передают образ реального опыта использования обычными людьми, а не похож на рекламные ролики компаний производителей. По данным собственных исследований, 57% потребителей совершают покупки под влиянием контента в социальных сетях, а компании, активно использующие UGC, увеличивают продажи на 30-50%.</w:t>
      </w:r>
    </w:p>
    <w:p w14:paraId="556E0B04" w14:textId="77777777" w:rsidR="00895CEB" w:rsidRPr="00895CEB" w:rsidRDefault="00895CEB" w:rsidP="007628A4">
      <w:pPr>
        <w:spacing w:after="0" w:line="240" w:lineRule="auto"/>
        <w:contextualSpacing/>
        <w:jc w:val="both"/>
        <w:rPr>
          <w:rFonts w:ascii="Times New Roman" w:eastAsia="Calibri" w:hAnsi="Times New Roman" w:cs="Times New Roman"/>
          <w:kern w:val="2"/>
          <w:sz w:val="32"/>
          <w:szCs w:val="32"/>
          <w14:ligatures w14:val="standardContextual"/>
        </w:rPr>
      </w:pPr>
    </w:p>
    <w:tbl>
      <w:tblPr>
        <w:tblStyle w:val="120"/>
        <w:tblW w:w="0" w:type="auto"/>
        <w:tblInd w:w="0" w:type="dxa"/>
        <w:tblLook w:val="04A0" w:firstRow="1" w:lastRow="0" w:firstColumn="1" w:lastColumn="0" w:noHBand="0" w:noVBand="1"/>
      </w:tblPr>
      <w:tblGrid>
        <w:gridCol w:w="1925"/>
        <w:gridCol w:w="1925"/>
        <w:gridCol w:w="1926"/>
        <w:gridCol w:w="1926"/>
        <w:gridCol w:w="1926"/>
      </w:tblGrid>
      <w:tr w:rsidR="00895CEB" w:rsidRPr="00895CEB" w14:paraId="0FDA1AF6" w14:textId="77777777">
        <w:trPr>
          <w:trHeight w:val="1521"/>
        </w:trPr>
        <w:tc>
          <w:tcPr>
            <w:tcW w:w="1925" w:type="dxa"/>
            <w:tcBorders>
              <w:top w:val="single" w:sz="4" w:space="0" w:color="auto"/>
              <w:left w:val="single" w:sz="4" w:space="0" w:color="auto"/>
              <w:bottom w:val="single" w:sz="4" w:space="0" w:color="auto"/>
              <w:right w:val="single" w:sz="4" w:space="0" w:color="auto"/>
            </w:tcBorders>
            <w:vAlign w:val="center"/>
            <w:hideMark/>
          </w:tcPr>
          <w:p w14:paraId="79A97AC1" w14:textId="77777777" w:rsidR="00895CEB" w:rsidRPr="00895CEB" w:rsidRDefault="00895CEB" w:rsidP="00895CEB">
            <w:pPr>
              <w:jc w:val="center"/>
              <w:rPr>
                <w:rFonts w:ascii="Times New Roman" w:eastAsia="Calibri" w:hAnsi="Times New Roman"/>
                <w:sz w:val="32"/>
                <w:szCs w:val="32"/>
              </w:rPr>
            </w:pPr>
            <w:r w:rsidRPr="00895CEB">
              <w:rPr>
                <w:rFonts w:ascii="Times New Roman" w:eastAsia="Calibri" w:hAnsi="Times New Roman"/>
                <w:sz w:val="32"/>
                <w:szCs w:val="32"/>
              </w:rPr>
              <w:t>Сервис</w:t>
            </w:r>
          </w:p>
        </w:tc>
        <w:tc>
          <w:tcPr>
            <w:tcW w:w="1925" w:type="dxa"/>
            <w:tcBorders>
              <w:top w:val="single" w:sz="4" w:space="0" w:color="auto"/>
              <w:left w:val="single" w:sz="4" w:space="0" w:color="auto"/>
              <w:bottom w:val="single" w:sz="4" w:space="0" w:color="auto"/>
              <w:right w:val="single" w:sz="4" w:space="0" w:color="auto"/>
            </w:tcBorders>
            <w:vAlign w:val="center"/>
            <w:hideMark/>
          </w:tcPr>
          <w:p w14:paraId="75D74A4D"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Wildberries</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F4A667B"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Ozon</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44A55EC"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AliExpress</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2CF2562" w14:textId="77777777" w:rsidR="00895CEB" w:rsidRPr="00895CEB" w:rsidRDefault="00895CEB" w:rsidP="00895CEB">
            <w:pPr>
              <w:jc w:val="center"/>
              <w:rPr>
                <w:rFonts w:ascii="Times New Roman" w:eastAsia="Calibri" w:hAnsi="Times New Roman"/>
                <w:sz w:val="32"/>
                <w:szCs w:val="32"/>
              </w:rPr>
            </w:pPr>
            <w:r w:rsidRPr="00895CEB">
              <w:rPr>
                <w:rFonts w:ascii="Times New Roman" w:eastAsia="Calibri" w:hAnsi="Times New Roman"/>
                <w:sz w:val="32"/>
                <w:szCs w:val="32"/>
              </w:rPr>
              <w:t>Яндекс Маркет</w:t>
            </w:r>
          </w:p>
        </w:tc>
      </w:tr>
      <w:tr w:rsidR="00895CEB" w:rsidRPr="00895CEB" w14:paraId="6DE15338" w14:textId="77777777">
        <w:trPr>
          <w:trHeight w:val="1569"/>
        </w:trPr>
        <w:tc>
          <w:tcPr>
            <w:tcW w:w="1925" w:type="dxa"/>
            <w:tcBorders>
              <w:top w:val="single" w:sz="4" w:space="0" w:color="auto"/>
              <w:left w:val="single" w:sz="4" w:space="0" w:color="auto"/>
              <w:bottom w:val="single" w:sz="4" w:space="0" w:color="auto"/>
              <w:right w:val="single" w:sz="4" w:space="0" w:color="auto"/>
            </w:tcBorders>
            <w:vAlign w:val="center"/>
            <w:hideMark/>
          </w:tcPr>
          <w:p w14:paraId="3D491AAC"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rPr>
              <w:t xml:space="preserve">Конверсия от </w:t>
            </w:r>
            <w:r w:rsidRPr="00895CEB">
              <w:rPr>
                <w:rFonts w:ascii="Times New Roman" w:eastAsia="Calibri" w:hAnsi="Times New Roman"/>
                <w:sz w:val="32"/>
                <w:szCs w:val="32"/>
                <w:lang w:val="en-US"/>
              </w:rPr>
              <w:t>UDC</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8910104" w14:textId="77777777" w:rsidR="00895CEB" w:rsidRPr="00895CEB" w:rsidRDefault="00895CEB" w:rsidP="00895CEB">
            <w:pPr>
              <w:jc w:val="center"/>
              <w:rPr>
                <w:rFonts w:ascii="Times New Roman" w:eastAsia="Calibri" w:hAnsi="Times New Roman"/>
                <w:sz w:val="32"/>
                <w:szCs w:val="32"/>
              </w:rPr>
            </w:pPr>
            <w:r w:rsidRPr="00895CEB">
              <w:rPr>
                <w:rFonts w:ascii="Times New Roman" w:eastAsia="Calibri" w:hAnsi="Times New Roman"/>
                <w:sz w:val="32"/>
                <w:szCs w:val="32"/>
                <w:lang w:val="en-US"/>
              </w:rPr>
              <w:t>55</w:t>
            </w:r>
            <w:r w:rsidRPr="00895CEB">
              <w:rPr>
                <w:rFonts w:ascii="Times New Roman" w:eastAsia="Calibri" w:hAnsi="Times New Roman"/>
                <w:sz w:val="32"/>
                <w:szCs w:val="32"/>
              </w:rPr>
              <w:t>%</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DE0C9B3"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44%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3A6AA4D"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10%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BE01062"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53%</w:t>
            </w:r>
          </w:p>
        </w:tc>
      </w:tr>
      <w:tr w:rsidR="00895CEB" w:rsidRPr="00895CEB" w14:paraId="256E2EC7" w14:textId="77777777">
        <w:trPr>
          <w:trHeight w:val="1462"/>
        </w:trPr>
        <w:tc>
          <w:tcPr>
            <w:tcW w:w="1925" w:type="dxa"/>
            <w:tcBorders>
              <w:top w:val="single" w:sz="4" w:space="0" w:color="auto"/>
              <w:left w:val="single" w:sz="4" w:space="0" w:color="auto"/>
              <w:bottom w:val="single" w:sz="4" w:space="0" w:color="auto"/>
              <w:right w:val="single" w:sz="4" w:space="0" w:color="auto"/>
            </w:tcBorders>
            <w:vAlign w:val="center"/>
            <w:hideMark/>
          </w:tcPr>
          <w:p w14:paraId="78428074" w14:textId="77777777" w:rsidR="00895CEB" w:rsidRPr="00895CEB" w:rsidRDefault="00895CEB" w:rsidP="00895CEB">
            <w:pPr>
              <w:jc w:val="center"/>
              <w:rPr>
                <w:rFonts w:ascii="Times New Roman" w:eastAsia="Calibri" w:hAnsi="Times New Roman"/>
                <w:sz w:val="32"/>
                <w:szCs w:val="32"/>
              </w:rPr>
            </w:pPr>
            <w:r w:rsidRPr="00895CEB">
              <w:rPr>
                <w:rFonts w:ascii="Times New Roman" w:eastAsia="Calibri" w:hAnsi="Times New Roman"/>
                <w:sz w:val="32"/>
                <w:szCs w:val="32"/>
              </w:rPr>
              <w:t>Конверсия от рекламы компании</w:t>
            </w:r>
          </w:p>
        </w:tc>
        <w:tc>
          <w:tcPr>
            <w:tcW w:w="1925" w:type="dxa"/>
            <w:tcBorders>
              <w:top w:val="single" w:sz="4" w:space="0" w:color="auto"/>
              <w:left w:val="single" w:sz="4" w:space="0" w:color="auto"/>
              <w:bottom w:val="single" w:sz="4" w:space="0" w:color="auto"/>
              <w:right w:val="single" w:sz="4" w:space="0" w:color="auto"/>
            </w:tcBorders>
            <w:vAlign w:val="center"/>
            <w:hideMark/>
          </w:tcPr>
          <w:p w14:paraId="2A46DEBF"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5%</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BDC21EB"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11%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70E4116"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8E3C7A1"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13%</w:t>
            </w:r>
          </w:p>
        </w:tc>
      </w:tr>
      <w:tr w:rsidR="00895CEB" w:rsidRPr="00895CEB" w14:paraId="292FDEC6" w14:textId="77777777">
        <w:trPr>
          <w:trHeight w:val="1462"/>
        </w:trPr>
        <w:tc>
          <w:tcPr>
            <w:tcW w:w="1925" w:type="dxa"/>
            <w:tcBorders>
              <w:top w:val="single" w:sz="4" w:space="0" w:color="auto"/>
              <w:left w:val="single" w:sz="4" w:space="0" w:color="auto"/>
              <w:bottom w:val="single" w:sz="4" w:space="0" w:color="auto"/>
              <w:right w:val="single" w:sz="4" w:space="0" w:color="auto"/>
            </w:tcBorders>
            <w:vAlign w:val="center"/>
            <w:hideMark/>
          </w:tcPr>
          <w:p w14:paraId="0F05401E" w14:textId="77777777" w:rsidR="00895CEB" w:rsidRPr="00895CEB" w:rsidRDefault="00895CEB" w:rsidP="00895CEB">
            <w:pPr>
              <w:jc w:val="center"/>
              <w:rPr>
                <w:rFonts w:ascii="Times New Roman" w:eastAsia="Calibri" w:hAnsi="Times New Roman"/>
                <w:sz w:val="32"/>
                <w:szCs w:val="32"/>
              </w:rPr>
            </w:pPr>
            <w:r w:rsidRPr="00895CEB">
              <w:rPr>
                <w:rFonts w:ascii="Times New Roman" w:eastAsia="Calibri" w:hAnsi="Times New Roman"/>
                <w:sz w:val="32"/>
                <w:szCs w:val="32"/>
              </w:rPr>
              <w:t xml:space="preserve">Конверсия с </w:t>
            </w:r>
            <w:r w:rsidRPr="00895CEB">
              <w:rPr>
                <w:rFonts w:ascii="Times New Roman" w:eastAsia="Calibri" w:hAnsi="Times New Roman"/>
                <w:sz w:val="32"/>
                <w:szCs w:val="32"/>
                <w:lang w:val="en-US"/>
              </w:rPr>
              <w:t xml:space="preserve">AR </w:t>
            </w:r>
            <w:r w:rsidRPr="00895CEB">
              <w:rPr>
                <w:rFonts w:ascii="Times New Roman" w:eastAsia="Calibri" w:hAnsi="Times New Roman"/>
                <w:sz w:val="32"/>
                <w:szCs w:val="32"/>
              </w:rPr>
              <w:t>примеркой</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7797EBC"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23%</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AFFE935"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6A27A35"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36%</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2372915" w14:textId="77777777" w:rsidR="00895CEB" w:rsidRPr="00895CEB" w:rsidRDefault="00895CEB" w:rsidP="00895CEB">
            <w:pPr>
              <w:jc w:val="center"/>
              <w:rPr>
                <w:rFonts w:ascii="Times New Roman" w:eastAsia="Calibri" w:hAnsi="Times New Roman"/>
                <w:sz w:val="32"/>
                <w:szCs w:val="32"/>
                <w:lang w:val="en-US"/>
              </w:rPr>
            </w:pPr>
            <w:r w:rsidRPr="00895CEB">
              <w:rPr>
                <w:rFonts w:ascii="Times New Roman" w:eastAsia="Calibri" w:hAnsi="Times New Roman"/>
                <w:sz w:val="32"/>
                <w:szCs w:val="32"/>
                <w:lang w:val="en-US"/>
              </w:rPr>
              <w:t>-</w:t>
            </w:r>
          </w:p>
        </w:tc>
      </w:tr>
    </w:tbl>
    <w:p w14:paraId="2C822B19" w14:textId="77777777" w:rsidR="00895CEB" w:rsidRPr="00895CEB" w:rsidRDefault="00895CEB" w:rsidP="00895CEB">
      <w:pPr>
        <w:spacing w:line="240" w:lineRule="auto"/>
        <w:jc w:val="center"/>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Таблица сравнения конверсии в сервисах, через видео</w:t>
      </w:r>
    </w:p>
    <w:p w14:paraId="02DAA28A"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В своей научной статье “</w:t>
      </w:r>
      <w:r w:rsidRPr="00895CEB">
        <w:rPr>
          <w:rFonts w:ascii="Calibri" w:eastAsia="Calibri" w:hAnsi="Calibri" w:cs="Times New Roman"/>
          <w:kern w:val="2"/>
          <w:sz w:val="24"/>
          <w:szCs w:val="24"/>
          <w14:ligatures w14:val="standardContextual"/>
        </w:rPr>
        <w:t xml:space="preserve"> </w:t>
      </w:r>
      <w:r w:rsidRPr="00895CEB">
        <w:rPr>
          <w:rFonts w:ascii="Times New Roman" w:eastAsia="Calibri" w:hAnsi="Times New Roman" w:cs="Times New Roman"/>
          <w:kern w:val="2"/>
          <w:sz w:val="32"/>
          <w:szCs w:val="32"/>
          <w14:ligatures w14:val="standardContextual"/>
        </w:rPr>
        <w:t xml:space="preserve">Развитие маркетиноговых стратегий предприятия в условиях цифровой трасформации экономики” Манситов пишет: “Использование big data и инструментов аналитики (Google Analytics, Яндекс. Метрика, Power BI) позволяет компаниям оптимизировать рекламные кампании под резкое изменение интересов потребителей, прогнозировать спрос и выявлять ключевые метрики </w:t>
      </w:r>
      <w:r w:rsidRPr="00895CEB">
        <w:rPr>
          <w:rFonts w:ascii="Times New Roman" w:eastAsia="Calibri" w:hAnsi="Times New Roman" w:cs="Times New Roman"/>
          <w:kern w:val="2"/>
          <w:sz w:val="32"/>
          <w:szCs w:val="32"/>
          <w14:ligatures w14:val="standardContextual"/>
        </w:rPr>
        <w:lastRenderedPageBreak/>
        <w:t>эффективности (KPI). Автоматизация маркетинговых процессов с помощью CRM-систем и чат-ботов сокращает издержки и ускоряет обработку запросов” [4]. Например, внедрение чат-ботов в службу поддержки снижает нагрузку на операторов на 40% и ускоряет время ответа в 3 раза, но у этого есть и обратная сторона. Сотрудников нужно постоянно обучать, а многие специалисты вовсе становятся неинтересны компаниям, так как они не подходят их требованиям. В связи с этим конкуренция на рабочие места неоднозначна, местами она растёт, а где-то её совсем нет.</w:t>
      </w:r>
    </w:p>
    <w:p w14:paraId="189A2CA0"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Внедрение AI-решений, таких как чат-боты и виртуальные ассистенты (например, Алиса от Яндекса), улучшает сервис и сокращает нагрузку на службу поддержки [3]. Большинство вопросов и ответов загружены в систему. Динамическое ценообразование на основе анализа спроса и поведения конкурентов позволяет максимизировать прибыль. Усиление присутствия в социальных сетях (TikTok, Instagram, Telegram) и коллаборации с инфлюенсерами (включая виртуальных, как Степан Христофоров) повышают узнаваемость бренда [2].</w:t>
      </w:r>
    </w:p>
    <w:p w14:paraId="6DAEBB35"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Кейс Степана Христофорова: Снимая видео о 3D анимации с ним связались представители Альфа банка. Вместе они создали анимационный ролик, который прошёлся по всему интернету, благодаря чему банк стал более узнаваемым в России.</w:t>
      </w:r>
    </w:p>
    <w:p w14:paraId="6350E33A"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В условиях стремительного развития технологий цифровая трансформация бизнеса перестала быть опцией и превратилась в необходимость, без которой почти никакой бизнес не сможет конкурировать. Чтобы оставаться конкурентоспособными, компаниям необходимо внедрять инновационные инструменты и гибко адаптировать свои маркетинговые стратегии под меняющиеся запросы потребителей.</w:t>
      </w:r>
    </w:p>
    <w:p w14:paraId="312A1564"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Среди ключевых факторов успеха в электронной коммерции сегодня выделяются:</w:t>
      </w:r>
    </w:p>
    <w:p w14:paraId="368377B1" w14:textId="77777777" w:rsidR="00895CEB" w:rsidRPr="00895CEB" w:rsidRDefault="00895CEB" w:rsidP="00AD58CD">
      <w:pPr>
        <w:numPr>
          <w:ilvl w:val="0"/>
          <w:numId w:val="211"/>
        </w:numPr>
        <w:spacing w:after="0" w:line="240" w:lineRule="auto"/>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Персонализация – использование данных о поведении клиентов для создания индивидуальных предложений и улучшения пользовательского опыта. Это делает коммуникацию более релевантной, повышает вовлеченность и лояльность аудитории.</w:t>
      </w:r>
    </w:p>
    <w:p w14:paraId="6C939D63" w14:textId="77777777" w:rsidR="00895CEB" w:rsidRPr="00895CEB" w:rsidRDefault="00895CEB" w:rsidP="00AD58CD">
      <w:pPr>
        <w:numPr>
          <w:ilvl w:val="0"/>
          <w:numId w:val="211"/>
        </w:numPr>
        <w:spacing w:after="0" w:line="240" w:lineRule="auto"/>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 xml:space="preserve">Искусственный интеллект (ИИ) – автоматизация процессов анализа данных, обработки запросов через чат-боты, прогнозирования трендов и формирования персонализированных </w:t>
      </w:r>
      <w:r w:rsidRPr="00895CEB">
        <w:rPr>
          <w:rFonts w:ascii="Times New Roman" w:eastAsia="Calibri" w:hAnsi="Times New Roman" w:cs="Times New Roman"/>
          <w:kern w:val="2"/>
          <w:sz w:val="32"/>
          <w:szCs w:val="32"/>
          <w14:ligatures w14:val="standardContextual"/>
        </w:rPr>
        <w:lastRenderedPageBreak/>
        <w:t>рекомендаций, повышая точность взаимодействия с пользователями.</w:t>
      </w:r>
    </w:p>
    <w:p w14:paraId="7609C1DE" w14:textId="77777777" w:rsidR="00895CEB" w:rsidRPr="00895CEB" w:rsidRDefault="00895CEB" w:rsidP="00AD58CD">
      <w:pPr>
        <w:numPr>
          <w:ilvl w:val="0"/>
          <w:numId w:val="211"/>
        </w:numPr>
        <w:spacing w:after="0" w:line="240" w:lineRule="auto"/>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Контент-маркетинг – фокусирование на создании полезного, качественного контента, который решает проблемы аудитории, привлекает внимание и стимулирует к действию. Грамотно выстроенная контент-стратегия поможет укрепить доверие к бренду, увеличить конверсию и удержать клиентов в долгосрочной перспективе.</w:t>
      </w:r>
    </w:p>
    <w:p w14:paraId="6F5F58DB" w14:textId="77777777" w:rsidR="00895CEB" w:rsidRPr="00895CEB" w:rsidRDefault="00895CEB" w:rsidP="00AD58CD">
      <w:pPr>
        <w:numPr>
          <w:ilvl w:val="0"/>
          <w:numId w:val="211"/>
        </w:numPr>
        <w:spacing w:after="0" w:line="240" w:lineRule="auto"/>
        <w:contextualSpacing/>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Автоматизация маркетинга – упрощение управления бизнес-процессами за счет внедрения CRM-систем, автоматических рассылок, push-уведомлений и инструментов аналитики. Это позволит оптимизировать работу с клиентами, сократить рутинные задачи и повысить эффективность маркетинговых кампаний.</w:t>
      </w:r>
    </w:p>
    <w:p w14:paraId="459D901B" w14:textId="77777777" w:rsidR="00895CEB" w:rsidRPr="00895CEB" w:rsidRDefault="00895CEB" w:rsidP="007628A4">
      <w:pPr>
        <w:spacing w:after="0" w:line="240" w:lineRule="auto"/>
        <w:ind w:firstLine="360"/>
        <w:jc w:val="both"/>
        <w:rPr>
          <w:rFonts w:ascii="Times New Roman" w:eastAsia="Calibri" w:hAnsi="Times New Roman" w:cs="Times New Roman"/>
          <w:kern w:val="2"/>
          <w:sz w:val="32"/>
          <w:szCs w:val="32"/>
          <w14:ligatures w14:val="standardContextual"/>
        </w:rPr>
      </w:pPr>
      <w:r w:rsidRPr="00895CEB">
        <w:rPr>
          <w:rFonts w:ascii="Times New Roman" w:eastAsia="Calibri" w:hAnsi="Times New Roman" w:cs="Times New Roman"/>
          <w:kern w:val="2"/>
          <w:sz w:val="32"/>
          <w:szCs w:val="32"/>
          <w14:ligatures w14:val="standardContextual"/>
        </w:rPr>
        <w:t>Компании, которые смогут грамотно интегрировать эти технологии в свою стратегию, не только улучшат клиентский опыт, но и получат значительное преимущество на динамично развивающемся рынке. В долгосрочной перспективе это позволит увеличить лояльность аудитории, повысить конверсию и укрепить рыночные позиции.</w:t>
      </w:r>
    </w:p>
    <w:p w14:paraId="3733BE47" w14:textId="0BA076DB" w:rsidR="00895CEB" w:rsidRPr="00895CEB" w:rsidRDefault="00895CEB" w:rsidP="007628A4">
      <w:pPr>
        <w:spacing w:after="0" w:line="240" w:lineRule="auto"/>
        <w:ind w:firstLine="360"/>
        <w:jc w:val="both"/>
        <w:rPr>
          <w:rFonts w:ascii="Times New Roman" w:eastAsia="Calibri" w:hAnsi="Times New Roman" w:cs="Times New Roman"/>
          <w:b/>
          <w:bCs/>
          <w:kern w:val="2"/>
          <w:sz w:val="28"/>
          <w:szCs w:val="28"/>
          <w14:ligatures w14:val="standardContextual"/>
        </w:rPr>
      </w:pPr>
      <w:r w:rsidRPr="00895CEB">
        <w:rPr>
          <w:rFonts w:ascii="Times New Roman" w:eastAsia="Calibri" w:hAnsi="Times New Roman" w:cs="Times New Roman"/>
          <w:kern w:val="2"/>
          <w:sz w:val="32"/>
          <w:szCs w:val="32"/>
          <w14:ligatures w14:val="standardContextual"/>
        </w:rPr>
        <w:t>Таким образом, современные технологии сильно изменили бизнес, сделав цифры и новшества важными для роста. Чтобы быть на плаву, компаниям нужно активно внедрять персонализацию, используя большие данные и искусственный интеллект. Это помогает увеличить конверсию и лояльность клиентов. Интерактивные технологии, вроде дополненной и виртуальной реальности, пользовательского контента и видео в маркетинге, помогают снизить количество возвратов, увеличить заинтересованность аудитории и создать доверие к бренду. Важно также развивать контентный маркетинг и социальные сети как ключевые платформы для воздействия на потребителей, обращая внимание на вирусное распространение и эмоции. Автоматизация процессов с помощью CRM, чат-ботов и гибкого ценообразования также играет роль, позволяя сокращать расходы и быстрее принимать решения. Компании, которые смогут адаптироваться к изменениям на рынке, будут иметь не только краткосрочный рост, но и стабильное преимущество. В ближайшие годы основное внимание будет уделено сочетанию технологий с подходом, ориентированным на клиента, где новшества будут работать на улучшение клиентского опыта, а не просто заменять его.</w:t>
      </w:r>
    </w:p>
    <w:p w14:paraId="57176EA7" w14:textId="724232C8" w:rsidR="00895CEB" w:rsidRPr="00895CEB" w:rsidRDefault="00895CEB" w:rsidP="00AB40DE">
      <w:pPr>
        <w:spacing w:after="0" w:line="240" w:lineRule="auto"/>
        <w:ind w:left="1134" w:right="1134"/>
        <w:jc w:val="center"/>
        <w:rPr>
          <w:rFonts w:ascii="Times New Roman" w:eastAsia="Calibri" w:hAnsi="Times New Roman" w:cs="Times New Roman"/>
          <w:b/>
          <w:bCs/>
          <w:kern w:val="2"/>
          <w:sz w:val="21"/>
          <w:szCs w:val="21"/>
          <w14:ligatures w14:val="standardContextual"/>
        </w:rPr>
      </w:pPr>
      <w:r w:rsidRPr="00895CEB">
        <w:rPr>
          <w:rFonts w:ascii="Times New Roman" w:eastAsia="Calibri" w:hAnsi="Times New Roman" w:cs="Times New Roman"/>
          <w:b/>
          <w:bCs/>
          <w:kern w:val="2"/>
          <w:sz w:val="21"/>
          <w:szCs w:val="21"/>
          <w14:ligatures w14:val="standardContextual"/>
        </w:rPr>
        <w:t>Литература</w:t>
      </w:r>
      <w:r w:rsidR="00AB40DE">
        <w:rPr>
          <w:rFonts w:ascii="Times New Roman" w:eastAsia="Calibri" w:hAnsi="Times New Roman" w:cs="Times New Roman"/>
          <w:b/>
          <w:bCs/>
          <w:kern w:val="2"/>
          <w:sz w:val="21"/>
          <w:szCs w:val="21"/>
          <w14:ligatures w14:val="standardContextual"/>
        </w:rPr>
        <w:t>:</w:t>
      </w:r>
    </w:p>
    <w:p w14:paraId="38FCD3BC" w14:textId="77777777" w:rsidR="00895CEB" w:rsidRPr="00895CEB" w:rsidRDefault="00895CEB" w:rsidP="00AD58CD">
      <w:pPr>
        <w:numPr>
          <w:ilvl w:val="0"/>
          <w:numId w:val="212"/>
        </w:numPr>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14:ligatures w14:val="standardContextual"/>
        </w:rPr>
        <w:lastRenderedPageBreak/>
        <w:t>Пепенко М.Д., Калайдин Е.Н. Обзор технологий искусственного интеллекта и потенциал их применения для управления неформализуемыми или слабоформализуемыми процессами закупочной деятельности // eLIBRARY.RU.</w:t>
      </w:r>
    </w:p>
    <w:p w14:paraId="5653AFAF" w14:textId="77777777" w:rsidR="00895CEB" w:rsidRPr="00895CEB" w:rsidRDefault="00895CEB" w:rsidP="00AB40DE">
      <w:pPr>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lang w:val="en-US"/>
          <w14:ligatures w14:val="standardContextual"/>
        </w:rPr>
        <w:t>URL</w:t>
      </w:r>
      <w:r w:rsidRPr="00895CEB">
        <w:rPr>
          <w:rFonts w:ascii="Times New Roman" w:eastAsia="Calibri" w:hAnsi="Times New Roman" w:cs="Times New Roman"/>
          <w:kern w:val="2"/>
          <w:sz w:val="21"/>
          <w:szCs w:val="21"/>
          <w14:ligatures w14:val="standardContextual"/>
        </w:rPr>
        <w:t xml:space="preserve"> - </w:t>
      </w:r>
      <w:hyperlink r:id="rId401" w:history="1">
        <w:r w:rsidRPr="00895CEB">
          <w:rPr>
            <w:rFonts w:ascii="Times New Roman" w:eastAsia="Calibri" w:hAnsi="Times New Roman" w:cs="Times New Roman"/>
            <w:color w:val="0563C1"/>
            <w:kern w:val="2"/>
            <w:sz w:val="21"/>
            <w:szCs w:val="21"/>
            <w:u w:val="single"/>
            <w:lang w:val="en-US"/>
            <w14:ligatures w14:val="standardContextual"/>
          </w:rPr>
          <w:t>https</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elibrary</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ru</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item</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asp</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id</w:t>
        </w:r>
        <w:r w:rsidRPr="00895CEB">
          <w:rPr>
            <w:rFonts w:ascii="Times New Roman" w:eastAsia="Calibri" w:hAnsi="Times New Roman" w:cs="Times New Roman"/>
            <w:color w:val="0563C1"/>
            <w:kern w:val="2"/>
            <w:sz w:val="21"/>
            <w:szCs w:val="21"/>
            <w:u w:val="single"/>
            <w14:ligatures w14:val="standardContextual"/>
          </w:rPr>
          <w:t>=46680868</w:t>
        </w:r>
      </w:hyperlink>
      <w:r w:rsidRPr="00895CEB">
        <w:rPr>
          <w:rFonts w:ascii="Times New Roman" w:eastAsia="Calibri" w:hAnsi="Times New Roman" w:cs="Times New Roman"/>
          <w:kern w:val="2"/>
          <w:sz w:val="21"/>
          <w:szCs w:val="21"/>
          <w14:ligatures w14:val="standardContextual"/>
        </w:rPr>
        <w:t xml:space="preserve"> (обращался 26 апреля 2025 года)</w:t>
      </w:r>
    </w:p>
    <w:p w14:paraId="6387A4FD" w14:textId="77777777" w:rsidR="00895CEB" w:rsidRPr="00895CEB" w:rsidRDefault="00895CEB" w:rsidP="00AD58CD">
      <w:pPr>
        <w:numPr>
          <w:ilvl w:val="0"/>
          <w:numId w:val="212"/>
        </w:num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14:ligatures w14:val="standardContextual"/>
        </w:rPr>
        <w:t>Голдыбаев Д.И., Суворова Т.В. Маркетинговые инструменты будущего: ИИ и нейросети, нейромаркетинг и AR/VR технологии. // eLIBRARY.RU.</w:t>
      </w:r>
    </w:p>
    <w:p w14:paraId="65D164A3" w14:textId="77777777" w:rsidR="00895CEB" w:rsidRPr="00895CEB" w:rsidRDefault="00895CEB" w:rsidP="00AB40DE">
      <w:p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lang w:val="en-US"/>
          <w14:ligatures w14:val="standardContextual"/>
        </w:rPr>
        <w:t>URL</w:t>
      </w:r>
      <w:r w:rsidRPr="00895CEB">
        <w:rPr>
          <w:rFonts w:ascii="Times New Roman" w:eastAsia="Calibri" w:hAnsi="Times New Roman" w:cs="Times New Roman"/>
          <w:kern w:val="2"/>
          <w:sz w:val="21"/>
          <w:szCs w:val="21"/>
          <w14:ligatures w14:val="standardContextual"/>
        </w:rPr>
        <w:t xml:space="preserve"> – </w:t>
      </w:r>
      <w:hyperlink r:id="rId402" w:history="1">
        <w:r w:rsidRPr="00895CEB">
          <w:rPr>
            <w:rFonts w:ascii="Times New Roman" w:eastAsia="Calibri" w:hAnsi="Times New Roman" w:cs="Times New Roman"/>
            <w:color w:val="0563C1"/>
            <w:kern w:val="2"/>
            <w:sz w:val="21"/>
            <w:szCs w:val="21"/>
            <w:u w:val="single"/>
            <w:lang w:val="en-US"/>
            <w14:ligatures w14:val="standardContextual"/>
          </w:rPr>
          <w:t>https</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elibrary</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ru</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item</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asp</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id</w:t>
        </w:r>
        <w:r w:rsidRPr="00895CEB">
          <w:rPr>
            <w:rFonts w:ascii="Times New Roman" w:eastAsia="Calibri" w:hAnsi="Times New Roman" w:cs="Times New Roman"/>
            <w:color w:val="0563C1"/>
            <w:kern w:val="2"/>
            <w:sz w:val="21"/>
            <w:szCs w:val="21"/>
            <w:u w:val="single"/>
            <w14:ligatures w14:val="standardContextual"/>
          </w:rPr>
          <w:t>=59993820</w:t>
        </w:r>
      </w:hyperlink>
      <w:r w:rsidRPr="00895CEB">
        <w:rPr>
          <w:rFonts w:ascii="Times New Roman" w:eastAsia="Calibri" w:hAnsi="Times New Roman" w:cs="Times New Roman"/>
          <w:kern w:val="2"/>
          <w:sz w:val="21"/>
          <w:szCs w:val="21"/>
          <w14:ligatures w14:val="standardContextual"/>
        </w:rPr>
        <w:t xml:space="preserve"> (обращался 24 апреля 2025 года)</w:t>
      </w:r>
    </w:p>
    <w:p w14:paraId="2D0E9C2E" w14:textId="77777777" w:rsidR="00895CEB" w:rsidRPr="00895CEB" w:rsidRDefault="00895CEB" w:rsidP="00AD58CD">
      <w:pPr>
        <w:numPr>
          <w:ilvl w:val="0"/>
          <w:numId w:val="212"/>
        </w:num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color w:val="000000"/>
          <w:kern w:val="2"/>
          <w:sz w:val="21"/>
          <w:szCs w:val="21"/>
          <w:shd w:val="clear" w:color="auto" w:fill="F5F5F5"/>
          <w14:ligatures w14:val="standardContextual"/>
        </w:rPr>
        <w:t>Шилкин А.В.</w:t>
      </w:r>
      <w:r w:rsidRPr="00895CEB">
        <w:rPr>
          <w:rFonts w:ascii="Times New Roman" w:eastAsia="Calibri" w:hAnsi="Times New Roman" w:cs="Times New Roman"/>
          <w:i/>
          <w:iCs/>
          <w:color w:val="000000"/>
          <w:kern w:val="2"/>
          <w:sz w:val="21"/>
          <w:szCs w:val="21"/>
          <w:shd w:val="clear" w:color="auto" w:fill="F5F5F5"/>
          <w14:ligatures w14:val="standardContextual"/>
        </w:rPr>
        <w:t xml:space="preserve"> </w:t>
      </w:r>
      <w:r w:rsidRPr="00895CEB">
        <w:rPr>
          <w:rFonts w:ascii="Times New Roman" w:eastAsia="Calibri" w:hAnsi="Times New Roman" w:cs="Times New Roman"/>
          <w:kern w:val="2"/>
          <w:sz w:val="21"/>
          <w:szCs w:val="21"/>
          <w:shd w:val="clear" w:color="auto" w:fill="F5F5F5"/>
          <w14:ligatures w14:val="standardContextual"/>
        </w:rPr>
        <w:t>Инновационные маркетинговые инструменты с применением технологий ИИ</w:t>
      </w:r>
      <w:r w:rsidRPr="00895CEB">
        <w:rPr>
          <w:rFonts w:ascii="Times New Roman" w:eastAsia="Calibri" w:hAnsi="Times New Roman" w:cs="Times New Roman"/>
          <w:kern w:val="2"/>
          <w:sz w:val="21"/>
          <w:szCs w:val="21"/>
          <w14:ligatures w14:val="standardContextual"/>
        </w:rPr>
        <w:t xml:space="preserve"> // eLIBRARY.RU. </w:t>
      </w:r>
    </w:p>
    <w:p w14:paraId="248A57D2" w14:textId="77777777" w:rsidR="00895CEB" w:rsidRPr="00895CEB" w:rsidRDefault="00895CEB" w:rsidP="00AB40DE">
      <w:p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lang w:val="en-US"/>
          <w14:ligatures w14:val="standardContextual"/>
        </w:rPr>
        <w:t>URL</w:t>
      </w:r>
      <w:r w:rsidRPr="00895CEB">
        <w:rPr>
          <w:rFonts w:ascii="Times New Roman" w:eastAsia="Calibri" w:hAnsi="Times New Roman" w:cs="Times New Roman"/>
          <w:kern w:val="2"/>
          <w:sz w:val="21"/>
          <w:szCs w:val="21"/>
          <w14:ligatures w14:val="standardContextual"/>
        </w:rPr>
        <w:t xml:space="preserve"> – </w:t>
      </w:r>
      <w:hyperlink r:id="rId403" w:history="1">
        <w:r w:rsidRPr="00895CEB">
          <w:rPr>
            <w:rFonts w:ascii="Times New Roman" w:eastAsia="Calibri" w:hAnsi="Times New Roman" w:cs="Times New Roman"/>
            <w:color w:val="0563C1"/>
            <w:kern w:val="2"/>
            <w:sz w:val="21"/>
            <w:szCs w:val="21"/>
            <w:u w:val="single"/>
            <w:lang w:val="en-US"/>
            <w14:ligatures w14:val="standardContextual"/>
          </w:rPr>
          <w:t>https</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elibrary</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ru</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item</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asp</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id</w:t>
        </w:r>
        <w:r w:rsidRPr="00895CEB">
          <w:rPr>
            <w:rFonts w:ascii="Times New Roman" w:eastAsia="Calibri" w:hAnsi="Times New Roman" w:cs="Times New Roman"/>
            <w:color w:val="0563C1"/>
            <w:kern w:val="2"/>
            <w:sz w:val="21"/>
            <w:szCs w:val="21"/>
            <w:u w:val="single"/>
            <w14:ligatures w14:val="standardContextual"/>
          </w:rPr>
          <w:t>=80337119</w:t>
        </w:r>
      </w:hyperlink>
      <w:r w:rsidRPr="00895CEB">
        <w:rPr>
          <w:rFonts w:ascii="Times New Roman" w:eastAsia="Calibri" w:hAnsi="Times New Roman" w:cs="Times New Roman"/>
          <w:kern w:val="2"/>
          <w:sz w:val="21"/>
          <w:szCs w:val="21"/>
          <w14:ligatures w14:val="standardContextual"/>
        </w:rPr>
        <w:t xml:space="preserve"> (обращался 1 мая 2025 года)</w:t>
      </w:r>
    </w:p>
    <w:p w14:paraId="6A57D539" w14:textId="77777777" w:rsidR="00895CEB" w:rsidRPr="00895CEB" w:rsidRDefault="00895CEB" w:rsidP="00AD58CD">
      <w:pPr>
        <w:numPr>
          <w:ilvl w:val="0"/>
          <w:numId w:val="212"/>
        </w:num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14:ligatures w14:val="standardContextual"/>
        </w:rPr>
        <w:t>Манситов Т.З.О. Развитие маркетиноговых стратегий предприятия в условиях цифровой трасформации экономики. // eLIBRARY.RU.</w:t>
      </w:r>
    </w:p>
    <w:p w14:paraId="469BE5EA" w14:textId="77777777" w:rsidR="00895CEB" w:rsidRPr="00895CEB" w:rsidRDefault="00895CEB" w:rsidP="00AB40DE">
      <w:pPr>
        <w:spacing w:line="240" w:lineRule="auto"/>
        <w:ind w:left="284" w:hanging="284"/>
        <w:contextualSpacing/>
        <w:jc w:val="both"/>
        <w:rPr>
          <w:rFonts w:ascii="Times New Roman" w:eastAsia="Calibri" w:hAnsi="Times New Roman" w:cs="Times New Roman"/>
          <w:kern w:val="2"/>
          <w:sz w:val="21"/>
          <w:szCs w:val="21"/>
          <w14:ligatures w14:val="standardContextual"/>
        </w:rPr>
      </w:pPr>
      <w:r w:rsidRPr="00895CEB">
        <w:rPr>
          <w:rFonts w:ascii="Times New Roman" w:eastAsia="Calibri" w:hAnsi="Times New Roman" w:cs="Times New Roman"/>
          <w:kern w:val="2"/>
          <w:sz w:val="21"/>
          <w:szCs w:val="21"/>
          <w:lang w:val="en-US"/>
          <w14:ligatures w14:val="standardContextual"/>
        </w:rPr>
        <w:t>URL</w:t>
      </w:r>
      <w:r w:rsidRPr="00895CEB">
        <w:rPr>
          <w:rFonts w:ascii="Times New Roman" w:eastAsia="Calibri" w:hAnsi="Times New Roman" w:cs="Times New Roman"/>
          <w:kern w:val="2"/>
          <w:sz w:val="21"/>
          <w:szCs w:val="21"/>
          <w14:ligatures w14:val="standardContextual"/>
        </w:rPr>
        <w:t xml:space="preserve"> - </w:t>
      </w:r>
      <w:hyperlink r:id="rId404" w:history="1">
        <w:r w:rsidRPr="00895CEB">
          <w:rPr>
            <w:rFonts w:ascii="Times New Roman" w:eastAsia="Calibri" w:hAnsi="Times New Roman" w:cs="Times New Roman"/>
            <w:color w:val="0563C1"/>
            <w:kern w:val="2"/>
            <w:sz w:val="21"/>
            <w:szCs w:val="21"/>
            <w:u w:val="single"/>
            <w:lang w:val="en-US"/>
            <w14:ligatures w14:val="standardContextual"/>
          </w:rPr>
          <w:t>https</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elibrary</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ru</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item</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asp</w:t>
        </w:r>
        <w:r w:rsidRPr="00895CEB">
          <w:rPr>
            <w:rFonts w:ascii="Times New Roman" w:eastAsia="Calibri" w:hAnsi="Times New Roman" w:cs="Times New Roman"/>
            <w:color w:val="0563C1"/>
            <w:kern w:val="2"/>
            <w:sz w:val="21"/>
            <w:szCs w:val="21"/>
            <w:u w:val="single"/>
            <w14:ligatures w14:val="standardContextual"/>
          </w:rPr>
          <w:t>?</w:t>
        </w:r>
        <w:r w:rsidRPr="00895CEB">
          <w:rPr>
            <w:rFonts w:ascii="Times New Roman" w:eastAsia="Calibri" w:hAnsi="Times New Roman" w:cs="Times New Roman"/>
            <w:color w:val="0563C1"/>
            <w:kern w:val="2"/>
            <w:sz w:val="21"/>
            <w:szCs w:val="21"/>
            <w:u w:val="single"/>
            <w:lang w:val="en-US"/>
            <w14:ligatures w14:val="standardContextual"/>
          </w:rPr>
          <w:t>id</w:t>
        </w:r>
        <w:r w:rsidRPr="00895CEB">
          <w:rPr>
            <w:rFonts w:ascii="Times New Roman" w:eastAsia="Calibri" w:hAnsi="Times New Roman" w:cs="Times New Roman"/>
            <w:color w:val="0563C1"/>
            <w:kern w:val="2"/>
            <w:sz w:val="21"/>
            <w:szCs w:val="21"/>
            <w:u w:val="single"/>
            <w14:ligatures w14:val="standardContextual"/>
          </w:rPr>
          <w:t>=53744507</w:t>
        </w:r>
      </w:hyperlink>
      <w:r w:rsidRPr="00895CEB">
        <w:rPr>
          <w:rFonts w:ascii="Times New Roman" w:eastAsia="Calibri" w:hAnsi="Times New Roman" w:cs="Times New Roman"/>
          <w:kern w:val="2"/>
          <w:sz w:val="21"/>
          <w:szCs w:val="21"/>
          <w14:ligatures w14:val="standardContextual"/>
        </w:rPr>
        <w:t xml:space="preserve"> (обращался 24 апреля 2025 года)</w:t>
      </w:r>
    </w:p>
    <w:p w14:paraId="72D52F9B" w14:textId="77777777" w:rsidR="00895CEB" w:rsidRDefault="00895CEB" w:rsidP="00AB40DE">
      <w:pPr>
        <w:spacing w:after="0" w:line="240" w:lineRule="auto"/>
        <w:rPr>
          <w:rFonts w:ascii="Times New Roman" w:eastAsia="Times New Roman" w:hAnsi="Times New Roman" w:cs="Times New Roman"/>
          <w:kern w:val="2"/>
          <w:sz w:val="24"/>
          <w:szCs w:val="24"/>
          <w:lang w:eastAsia="ru-RU"/>
        </w:rPr>
      </w:pPr>
    </w:p>
    <w:p w14:paraId="4FAFB181" w14:textId="77777777" w:rsidR="005A0990" w:rsidRPr="005A0990" w:rsidRDefault="005A0990" w:rsidP="005A0990">
      <w:pPr>
        <w:tabs>
          <w:tab w:val="left" w:pos="1276"/>
        </w:tabs>
        <w:spacing w:after="5" w:line="268" w:lineRule="auto"/>
        <w:ind w:right="182"/>
        <w:rPr>
          <w:rFonts w:ascii="Times New Roman" w:eastAsia="Times New Roman" w:hAnsi="Times New Roman" w:cs="Times New Roman"/>
          <w:sz w:val="32"/>
          <w:lang w:eastAsia="ru-RU"/>
        </w:rPr>
      </w:pPr>
      <w:r w:rsidRPr="005A0990">
        <w:rPr>
          <w:rFonts w:ascii="Times New Roman" w:eastAsia="Times New Roman" w:hAnsi="Times New Roman" w:cs="Times New Roman"/>
          <w:b/>
          <w:color w:val="000000"/>
          <w:sz w:val="21"/>
          <w:lang w:eastAsia="ru-RU"/>
        </w:rPr>
        <w:t>УДК</w:t>
      </w:r>
      <w:r w:rsidRPr="005A0990">
        <w:rPr>
          <w:rFonts w:ascii="Times New Roman" w:eastAsia="Times New Roman" w:hAnsi="Times New Roman" w:cs="Times New Roman"/>
          <w:b/>
          <w:color w:val="000000"/>
          <w:lang w:eastAsia="ru-RU"/>
        </w:rPr>
        <w:t xml:space="preserve"> </w:t>
      </w:r>
      <w:r w:rsidRPr="005A0990">
        <w:rPr>
          <w:rFonts w:ascii="Times New Roman" w:eastAsia="Times New Roman" w:hAnsi="Times New Roman" w:cs="Times New Roman"/>
          <w:b/>
          <w:color w:val="000000"/>
          <w:sz w:val="21"/>
          <w:lang w:eastAsia="ru-RU"/>
        </w:rPr>
        <w:t>330.4</w:t>
      </w:r>
    </w:p>
    <w:p w14:paraId="22398465" w14:textId="77777777" w:rsidR="005A0990" w:rsidRPr="005A0990" w:rsidRDefault="005A0990" w:rsidP="000510A3">
      <w:pPr>
        <w:tabs>
          <w:tab w:val="left" w:pos="1276"/>
        </w:tabs>
        <w:spacing w:after="0" w:line="240" w:lineRule="auto"/>
        <w:ind w:left="7851" w:hanging="10"/>
        <w:jc w:val="right"/>
        <w:rPr>
          <w:rFonts w:ascii="Times New Roman" w:eastAsia="Times New Roman" w:hAnsi="Times New Roman" w:cs="Times New Roman"/>
          <w:b/>
          <w:i/>
          <w:sz w:val="21"/>
          <w:lang w:eastAsia="ru-RU"/>
        </w:rPr>
      </w:pPr>
      <w:r w:rsidRPr="005A0990">
        <w:rPr>
          <w:rFonts w:ascii="Times New Roman" w:eastAsia="Times New Roman" w:hAnsi="Times New Roman" w:cs="Times New Roman"/>
          <w:b/>
          <w:i/>
          <w:sz w:val="21"/>
          <w:lang w:eastAsia="ru-RU"/>
        </w:rPr>
        <w:t>Ларина А.Е.,</w:t>
      </w:r>
    </w:p>
    <w:p w14:paraId="1398EB10" w14:textId="77777777" w:rsidR="005A0990" w:rsidRPr="005A0990" w:rsidRDefault="005A0990" w:rsidP="000510A3">
      <w:pPr>
        <w:tabs>
          <w:tab w:val="left" w:pos="1276"/>
        </w:tabs>
        <w:spacing w:after="0" w:line="240" w:lineRule="auto"/>
        <w:ind w:left="7655" w:hanging="10"/>
        <w:jc w:val="right"/>
        <w:rPr>
          <w:rFonts w:ascii="Times New Roman" w:eastAsia="Times New Roman" w:hAnsi="Times New Roman" w:cs="Times New Roman"/>
          <w:b/>
          <w:i/>
          <w:sz w:val="21"/>
          <w:lang w:eastAsia="ru-RU"/>
        </w:rPr>
      </w:pPr>
      <w:r w:rsidRPr="005A0990">
        <w:rPr>
          <w:rFonts w:ascii="Times New Roman" w:eastAsia="Times New Roman" w:hAnsi="Times New Roman" w:cs="Times New Roman"/>
          <w:b/>
          <w:i/>
          <w:sz w:val="21"/>
          <w:lang w:eastAsia="ru-RU"/>
        </w:rPr>
        <w:t xml:space="preserve"> </w:t>
      </w:r>
      <w:r w:rsidRPr="005A0990">
        <w:rPr>
          <w:rFonts w:ascii="Times New Roman" w:eastAsia="Times New Roman" w:hAnsi="Times New Roman" w:cs="Times New Roman"/>
          <w:i/>
          <w:sz w:val="21"/>
          <w:lang w:eastAsia="ru-RU"/>
        </w:rPr>
        <w:t xml:space="preserve">студентка 3 курса </w:t>
      </w:r>
      <w:r w:rsidRPr="005A0990">
        <w:rPr>
          <w:rFonts w:ascii="Times New Roman" w:eastAsia="Times New Roman" w:hAnsi="Times New Roman" w:cs="Times New Roman"/>
          <w:sz w:val="21"/>
          <w:lang w:eastAsia="ru-RU"/>
        </w:rPr>
        <w:t xml:space="preserve"> </w:t>
      </w:r>
    </w:p>
    <w:p w14:paraId="6C7E8C84" w14:textId="66F99611" w:rsidR="005A0990" w:rsidRPr="005A0990" w:rsidRDefault="005A0990" w:rsidP="000510A3">
      <w:pPr>
        <w:tabs>
          <w:tab w:val="left" w:pos="1276"/>
        </w:tabs>
        <w:spacing w:after="0" w:line="240" w:lineRule="auto"/>
        <w:ind w:left="3261" w:hanging="377"/>
        <w:jc w:val="right"/>
        <w:rPr>
          <w:rFonts w:ascii="Times New Roman" w:eastAsia="Times New Roman" w:hAnsi="Times New Roman" w:cs="Times New Roman"/>
          <w:sz w:val="32"/>
          <w:lang w:eastAsia="ru-RU"/>
        </w:rPr>
      </w:pPr>
      <w:r w:rsidRPr="005A0990">
        <w:rPr>
          <w:rFonts w:ascii="Times New Roman" w:eastAsia="Times New Roman" w:hAnsi="Times New Roman" w:cs="Times New Roman"/>
          <w:i/>
          <w:sz w:val="21"/>
          <w:lang w:eastAsia="ru-RU"/>
        </w:rPr>
        <w:t>Финансовый университет при Правительстве Российской Федерации (Краснодарский филиал) г. Краснодар, Россия</w:t>
      </w:r>
      <w:r w:rsidRPr="005A0990">
        <w:rPr>
          <w:rFonts w:ascii="Times New Roman" w:eastAsia="Times New Roman" w:hAnsi="Times New Roman" w:cs="Times New Roman"/>
          <w:sz w:val="21"/>
          <w:lang w:eastAsia="ru-RU"/>
        </w:rPr>
        <w:t xml:space="preserve"> </w:t>
      </w:r>
    </w:p>
    <w:p w14:paraId="4DE19DA3" w14:textId="77777777" w:rsidR="005A0990" w:rsidRPr="005A0990" w:rsidRDefault="005A0990" w:rsidP="000510A3">
      <w:pPr>
        <w:tabs>
          <w:tab w:val="left" w:pos="1276"/>
        </w:tabs>
        <w:spacing w:after="0" w:line="240" w:lineRule="auto"/>
        <w:ind w:left="3450" w:hanging="10"/>
        <w:jc w:val="right"/>
        <w:rPr>
          <w:rFonts w:ascii="Times New Roman" w:eastAsia="Times New Roman" w:hAnsi="Times New Roman" w:cs="Times New Roman"/>
          <w:sz w:val="32"/>
          <w:lang w:eastAsia="ru-RU"/>
        </w:rPr>
      </w:pPr>
      <w:r w:rsidRPr="005A0990">
        <w:rPr>
          <w:rFonts w:ascii="Times New Roman" w:eastAsia="Times New Roman" w:hAnsi="Times New Roman" w:cs="Times New Roman"/>
          <w:i/>
          <w:sz w:val="21"/>
          <w:lang w:eastAsia="ru-RU"/>
        </w:rPr>
        <w:t>е-mail:</w:t>
      </w:r>
      <w:r w:rsidRPr="005A0990">
        <w:rPr>
          <w:rFonts w:ascii="Times New Roman" w:eastAsia="Times New Roman" w:hAnsi="Times New Roman" w:cs="Times New Roman"/>
          <w:sz w:val="32"/>
          <w:lang w:eastAsia="ru-RU"/>
        </w:rPr>
        <w:t xml:space="preserve"> </w:t>
      </w:r>
      <w:r w:rsidRPr="005A0990">
        <w:rPr>
          <w:rFonts w:ascii="Times New Roman" w:eastAsia="Times New Roman" w:hAnsi="Times New Roman" w:cs="Times New Roman"/>
          <w:i/>
          <w:sz w:val="21"/>
          <w:lang w:eastAsia="ru-RU"/>
        </w:rPr>
        <w:t xml:space="preserve">larinaae@inbox.ru </w:t>
      </w:r>
      <w:r w:rsidRPr="005A0990">
        <w:rPr>
          <w:rFonts w:ascii="Times New Roman" w:eastAsia="Times New Roman" w:hAnsi="Times New Roman" w:cs="Times New Roman"/>
          <w:sz w:val="21"/>
          <w:lang w:eastAsia="ru-RU"/>
        </w:rPr>
        <w:t xml:space="preserve"> </w:t>
      </w:r>
    </w:p>
    <w:p w14:paraId="744DC7DE" w14:textId="77777777" w:rsidR="000510A3" w:rsidRDefault="000510A3" w:rsidP="000510A3">
      <w:pPr>
        <w:tabs>
          <w:tab w:val="left" w:pos="1276"/>
        </w:tabs>
        <w:spacing w:after="0" w:line="240" w:lineRule="auto"/>
        <w:ind w:left="357" w:firstLine="709"/>
        <w:jc w:val="right"/>
        <w:rPr>
          <w:rFonts w:ascii="Times New Roman" w:eastAsia="Times New Roman" w:hAnsi="Times New Roman" w:cs="Times New Roman"/>
          <w:b/>
          <w:i/>
          <w:sz w:val="21"/>
          <w:lang w:eastAsia="ru-RU"/>
        </w:rPr>
      </w:pPr>
    </w:p>
    <w:p w14:paraId="5A19FBCB" w14:textId="251D68E4" w:rsidR="005A0990" w:rsidRPr="005A0990" w:rsidRDefault="005A0990" w:rsidP="000510A3">
      <w:pPr>
        <w:tabs>
          <w:tab w:val="left" w:pos="1276"/>
        </w:tabs>
        <w:spacing w:after="0" w:line="240" w:lineRule="auto"/>
        <w:ind w:left="357" w:firstLine="709"/>
        <w:jc w:val="right"/>
        <w:rPr>
          <w:rFonts w:ascii="Times New Roman" w:eastAsia="Times New Roman" w:hAnsi="Times New Roman" w:cs="Times New Roman"/>
          <w:sz w:val="32"/>
          <w:lang w:eastAsia="ru-RU"/>
        </w:rPr>
      </w:pPr>
      <w:r w:rsidRPr="005A0990">
        <w:rPr>
          <w:rFonts w:ascii="Times New Roman" w:eastAsia="Times New Roman" w:hAnsi="Times New Roman" w:cs="Times New Roman"/>
          <w:b/>
          <w:i/>
          <w:sz w:val="21"/>
          <w:lang w:eastAsia="ru-RU"/>
        </w:rPr>
        <w:t xml:space="preserve">Научный руководитель: </w:t>
      </w:r>
    </w:p>
    <w:p w14:paraId="31DD6EBE" w14:textId="77777777" w:rsidR="005A0990" w:rsidRPr="005A0990" w:rsidRDefault="005A0990" w:rsidP="000510A3">
      <w:pPr>
        <w:tabs>
          <w:tab w:val="left" w:pos="1276"/>
        </w:tabs>
        <w:spacing w:after="0" w:line="240" w:lineRule="auto"/>
        <w:ind w:left="357" w:firstLine="709"/>
        <w:jc w:val="right"/>
        <w:rPr>
          <w:rFonts w:ascii="Times New Roman" w:eastAsia="Times New Roman" w:hAnsi="Times New Roman" w:cs="Times New Roman"/>
          <w:sz w:val="32"/>
          <w:lang w:eastAsia="ru-RU"/>
        </w:rPr>
      </w:pPr>
      <w:r w:rsidRPr="005A0990">
        <w:rPr>
          <w:rFonts w:ascii="Times New Roman" w:eastAsia="Times New Roman" w:hAnsi="Times New Roman" w:cs="Times New Roman"/>
          <w:b/>
          <w:i/>
          <w:sz w:val="21"/>
          <w:lang w:eastAsia="ru-RU"/>
        </w:rPr>
        <w:t xml:space="preserve">Кирий В.А., </w:t>
      </w:r>
    </w:p>
    <w:p w14:paraId="16EE3A41" w14:textId="77777777" w:rsidR="005A0990" w:rsidRPr="005A0990" w:rsidRDefault="005A0990" w:rsidP="000510A3">
      <w:pPr>
        <w:tabs>
          <w:tab w:val="left" w:pos="1276"/>
        </w:tabs>
        <w:spacing w:after="0" w:line="240" w:lineRule="auto"/>
        <w:ind w:left="84"/>
        <w:jc w:val="right"/>
        <w:rPr>
          <w:rFonts w:ascii="Times New Roman" w:eastAsia="Times New Roman" w:hAnsi="Times New Roman" w:cs="Times New Roman"/>
          <w:i/>
          <w:sz w:val="21"/>
          <w:lang w:eastAsia="ru-RU"/>
        </w:rPr>
      </w:pPr>
      <w:r w:rsidRPr="005A0990">
        <w:rPr>
          <w:rFonts w:ascii="Times New Roman" w:eastAsia="Times New Roman" w:hAnsi="Times New Roman" w:cs="Times New Roman"/>
          <w:i/>
          <w:sz w:val="21"/>
          <w:lang w:eastAsia="ru-RU"/>
        </w:rPr>
        <w:t>Доцент: Кафедра "Математика и информатика", канд. физ.-мат. наук</w:t>
      </w:r>
    </w:p>
    <w:p w14:paraId="4C3D912D" w14:textId="77777777" w:rsidR="005A0990" w:rsidRPr="005A0990" w:rsidRDefault="005A0990" w:rsidP="000510A3">
      <w:pPr>
        <w:tabs>
          <w:tab w:val="left" w:pos="1276"/>
        </w:tabs>
        <w:spacing w:after="0" w:line="240" w:lineRule="auto"/>
        <w:ind w:left="84"/>
        <w:jc w:val="right"/>
        <w:rPr>
          <w:rFonts w:ascii="Times New Roman" w:eastAsia="Times New Roman" w:hAnsi="Times New Roman" w:cs="Times New Roman"/>
          <w:i/>
          <w:sz w:val="21"/>
          <w:lang w:eastAsia="ru-RU"/>
        </w:rPr>
      </w:pPr>
      <w:r w:rsidRPr="005A0990">
        <w:rPr>
          <w:rFonts w:ascii="Times New Roman" w:eastAsia="Times New Roman" w:hAnsi="Times New Roman" w:cs="Times New Roman"/>
          <w:i/>
          <w:sz w:val="21"/>
          <w:lang w:eastAsia="ru-RU"/>
        </w:rPr>
        <w:t>Финансовый университет при Правительстве Российской Федерации</w:t>
      </w:r>
    </w:p>
    <w:p w14:paraId="70F742B6"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i/>
          <w:sz w:val="21"/>
          <w:lang w:eastAsia="ru-RU"/>
        </w:rPr>
      </w:pPr>
      <w:r w:rsidRPr="005A0990">
        <w:rPr>
          <w:rFonts w:ascii="Times New Roman" w:eastAsia="Times New Roman" w:hAnsi="Times New Roman" w:cs="Times New Roman"/>
          <w:i/>
          <w:sz w:val="21"/>
          <w:lang w:eastAsia="ru-RU"/>
        </w:rPr>
        <w:t>(Краснодарский филиал) г. Краснодар, Россия</w:t>
      </w:r>
    </w:p>
    <w:p w14:paraId="58C73860" w14:textId="77777777" w:rsidR="005A0990" w:rsidRPr="005A0990" w:rsidRDefault="005A0990" w:rsidP="000510A3">
      <w:pPr>
        <w:tabs>
          <w:tab w:val="left" w:pos="1276"/>
        </w:tabs>
        <w:spacing w:after="0" w:line="240" w:lineRule="auto"/>
        <w:ind w:left="84"/>
        <w:jc w:val="right"/>
        <w:rPr>
          <w:rFonts w:ascii="Times New Roman" w:eastAsia="Times New Roman" w:hAnsi="Times New Roman" w:cs="Times New Roman"/>
          <w:i/>
          <w:sz w:val="21"/>
          <w:lang w:eastAsia="ru-RU"/>
        </w:rPr>
      </w:pPr>
      <w:r w:rsidRPr="005A0990">
        <w:rPr>
          <w:rFonts w:ascii="Times New Roman" w:eastAsia="Times New Roman" w:hAnsi="Times New Roman" w:cs="Times New Roman"/>
          <w:i/>
          <w:sz w:val="21"/>
          <w:lang w:eastAsia="ru-RU"/>
        </w:rPr>
        <w:t>е-</w:t>
      </w:r>
      <w:r w:rsidRPr="005A0990">
        <w:rPr>
          <w:rFonts w:ascii="Times New Roman" w:eastAsia="Times New Roman" w:hAnsi="Times New Roman" w:cs="Times New Roman"/>
          <w:i/>
          <w:sz w:val="21"/>
          <w:lang w:val="en-US" w:eastAsia="ru-RU"/>
        </w:rPr>
        <w:t>mail</w:t>
      </w:r>
      <w:r w:rsidRPr="005A0990">
        <w:rPr>
          <w:rFonts w:ascii="Times New Roman" w:eastAsia="Times New Roman" w:hAnsi="Times New Roman" w:cs="Times New Roman"/>
          <w:i/>
          <w:sz w:val="21"/>
          <w:lang w:eastAsia="ru-RU"/>
        </w:rPr>
        <w:t xml:space="preserve">: </w:t>
      </w:r>
      <w:r w:rsidRPr="005A0990">
        <w:rPr>
          <w:rFonts w:ascii="Times New Roman" w:eastAsia="Times New Roman" w:hAnsi="Times New Roman" w:cs="Times New Roman"/>
          <w:i/>
          <w:sz w:val="21"/>
          <w:lang w:val="en-US" w:eastAsia="ru-RU"/>
        </w:rPr>
        <w:t>VAKirij</w:t>
      </w:r>
      <w:r w:rsidRPr="005A0990">
        <w:rPr>
          <w:rFonts w:ascii="Times New Roman" w:eastAsia="Times New Roman" w:hAnsi="Times New Roman" w:cs="Times New Roman"/>
          <w:i/>
          <w:sz w:val="21"/>
          <w:lang w:eastAsia="ru-RU"/>
        </w:rPr>
        <w:t>@</w:t>
      </w:r>
      <w:r w:rsidRPr="005A0990">
        <w:rPr>
          <w:rFonts w:ascii="Times New Roman" w:eastAsia="Times New Roman" w:hAnsi="Times New Roman" w:cs="Times New Roman"/>
          <w:i/>
          <w:sz w:val="21"/>
          <w:lang w:val="en-US" w:eastAsia="ru-RU"/>
        </w:rPr>
        <w:t>fa</w:t>
      </w:r>
      <w:r w:rsidRPr="005A0990">
        <w:rPr>
          <w:rFonts w:ascii="Times New Roman" w:eastAsia="Times New Roman" w:hAnsi="Times New Roman" w:cs="Times New Roman"/>
          <w:i/>
          <w:sz w:val="21"/>
          <w:lang w:eastAsia="ru-RU"/>
        </w:rPr>
        <w:t>.</w:t>
      </w:r>
      <w:r w:rsidRPr="005A0990">
        <w:rPr>
          <w:rFonts w:ascii="Times New Roman" w:eastAsia="Times New Roman" w:hAnsi="Times New Roman" w:cs="Times New Roman"/>
          <w:i/>
          <w:sz w:val="21"/>
          <w:lang w:val="en-US" w:eastAsia="ru-RU"/>
        </w:rPr>
        <w:t>ru</w:t>
      </w:r>
      <w:r w:rsidRPr="005A0990">
        <w:rPr>
          <w:rFonts w:ascii="Times New Roman" w:eastAsia="Times New Roman" w:hAnsi="Times New Roman" w:cs="Times New Roman"/>
          <w:i/>
          <w:sz w:val="21"/>
          <w:lang w:eastAsia="ru-RU"/>
        </w:rPr>
        <w:t xml:space="preserve"> </w:t>
      </w:r>
    </w:p>
    <w:p w14:paraId="1E9F99CD" w14:textId="77777777" w:rsidR="000510A3" w:rsidRDefault="000510A3" w:rsidP="000510A3">
      <w:pPr>
        <w:tabs>
          <w:tab w:val="left" w:pos="1276"/>
        </w:tabs>
        <w:spacing w:after="0" w:line="240" w:lineRule="auto"/>
        <w:ind w:left="268" w:hanging="10"/>
        <w:jc w:val="center"/>
        <w:rPr>
          <w:rFonts w:ascii="Times New Roman" w:eastAsia="Times New Roman" w:hAnsi="Times New Roman" w:cs="Times New Roman"/>
          <w:b/>
          <w:sz w:val="21"/>
          <w:lang w:eastAsia="ru-RU"/>
        </w:rPr>
      </w:pPr>
    </w:p>
    <w:p w14:paraId="12CB9EB8" w14:textId="1FF1E9B5" w:rsidR="005A0990" w:rsidRPr="005A0990" w:rsidRDefault="005A0990" w:rsidP="000510A3">
      <w:pPr>
        <w:tabs>
          <w:tab w:val="left" w:pos="1276"/>
        </w:tabs>
        <w:spacing w:after="0" w:line="240" w:lineRule="auto"/>
        <w:ind w:left="268" w:hanging="10"/>
        <w:jc w:val="center"/>
        <w:rPr>
          <w:rFonts w:ascii="Times New Roman" w:eastAsia="Times New Roman" w:hAnsi="Times New Roman" w:cs="Times New Roman"/>
          <w:sz w:val="32"/>
          <w:lang w:eastAsia="ru-RU"/>
        </w:rPr>
      </w:pPr>
      <w:r w:rsidRPr="005A0990">
        <w:rPr>
          <w:rFonts w:ascii="Times New Roman" w:eastAsia="Times New Roman" w:hAnsi="Times New Roman" w:cs="Times New Roman"/>
          <w:b/>
          <w:sz w:val="21"/>
          <w:lang w:eastAsia="ru-RU"/>
        </w:rPr>
        <w:t>Изучение механизмов ценообразования на цифровые активы в виртуальных мирах</w:t>
      </w:r>
    </w:p>
    <w:p w14:paraId="1040F920" w14:textId="77777777" w:rsidR="000510A3" w:rsidRDefault="000510A3" w:rsidP="000510A3">
      <w:pPr>
        <w:tabs>
          <w:tab w:val="left" w:pos="1276"/>
        </w:tabs>
        <w:spacing w:after="0" w:line="240" w:lineRule="auto"/>
        <w:ind w:left="125" w:firstLine="709"/>
        <w:jc w:val="both"/>
        <w:rPr>
          <w:rFonts w:ascii="Times New Roman" w:eastAsia="Times New Roman" w:hAnsi="Times New Roman" w:cs="Times New Roman"/>
          <w:b/>
          <w:sz w:val="21"/>
          <w:lang w:eastAsia="ru-RU"/>
        </w:rPr>
      </w:pPr>
    </w:p>
    <w:p w14:paraId="6DD3F2BB" w14:textId="276607AB" w:rsidR="005A0990" w:rsidRPr="005A0990" w:rsidRDefault="005A0990" w:rsidP="000510A3">
      <w:pPr>
        <w:tabs>
          <w:tab w:val="left" w:pos="1276"/>
        </w:tabs>
        <w:spacing w:after="0" w:line="240" w:lineRule="auto"/>
        <w:ind w:left="125" w:firstLine="709"/>
        <w:jc w:val="both"/>
        <w:rPr>
          <w:rFonts w:ascii="Times New Roman" w:eastAsia="Times New Roman" w:hAnsi="Times New Roman" w:cs="Times New Roman"/>
          <w:sz w:val="21"/>
          <w:lang w:eastAsia="ru-RU"/>
        </w:rPr>
      </w:pPr>
      <w:r w:rsidRPr="005A0990">
        <w:rPr>
          <w:rFonts w:ascii="Times New Roman" w:eastAsia="Times New Roman" w:hAnsi="Times New Roman" w:cs="Times New Roman"/>
          <w:b/>
          <w:sz w:val="21"/>
          <w:lang w:eastAsia="ru-RU"/>
        </w:rPr>
        <w:t xml:space="preserve">Аннотация: </w:t>
      </w:r>
      <w:r w:rsidRPr="005A0990">
        <w:rPr>
          <w:rFonts w:ascii="Times New Roman" w:eastAsia="Times New Roman" w:hAnsi="Times New Roman" w:cs="Times New Roman"/>
          <w:sz w:val="21"/>
          <w:lang w:eastAsia="ru-RU"/>
        </w:rPr>
        <w:t xml:space="preserve">В данной работе проведено исследование, посвященное изучению механизмов ценообразования на цифровые активы в виртуальных мирах. Работа рассматривает актуальные методы оценки стоимости цифровых активов, такие как внутриигровые предметы и невзаимозаменяемые токены (NFT). Исследуются ключевые факторы, влияющие на ценообразование, включая спрос и предложение, редкость и уникальность активов. Анализируются экономические модели, применяемые в виртуальных экономиках, а также эффективность различных стратегий монетизации. </w:t>
      </w:r>
    </w:p>
    <w:p w14:paraId="7713DC34" w14:textId="77777777" w:rsidR="005A0990" w:rsidRPr="005A0990" w:rsidRDefault="005A0990" w:rsidP="000510A3">
      <w:pPr>
        <w:tabs>
          <w:tab w:val="left" w:pos="1276"/>
        </w:tabs>
        <w:spacing w:after="0" w:line="240" w:lineRule="auto"/>
        <w:ind w:left="125" w:firstLine="709"/>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sz w:val="21"/>
          <w:lang w:eastAsia="ru-RU"/>
        </w:rPr>
        <w:t>Ключевые слова:</w:t>
      </w:r>
      <w:r w:rsidRPr="005A0990">
        <w:rPr>
          <w:rFonts w:ascii="Times New Roman" w:eastAsia="Times New Roman" w:hAnsi="Times New Roman" w:cs="Times New Roman"/>
          <w:sz w:val="21"/>
          <w:lang w:eastAsia="ru-RU"/>
        </w:rPr>
        <w:t xml:space="preserve"> </w:t>
      </w:r>
      <w:r w:rsidRPr="005A0990">
        <w:rPr>
          <w:rFonts w:ascii="Times New Roman" w:eastAsia="Times New Roman" w:hAnsi="Times New Roman" w:cs="Times New Roman"/>
          <w:sz w:val="21"/>
          <w:szCs w:val="21"/>
          <w:lang w:eastAsia="ru-RU"/>
        </w:rPr>
        <w:t>Многопользовательские онлайн-игры (MMOG);</w:t>
      </w:r>
      <w:r w:rsidRPr="005A0990">
        <w:rPr>
          <w:rFonts w:ascii="Times New Roman" w:eastAsia="Times New Roman" w:hAnsi="Times New Roman" w:cs="Times New Roman"/>
          <w:color w:val="000000"/>
          <w:sz w:val="21"/>
          <w:szCs w:val="21"/>
          <w:shd w:val="clear" w:color="auto" w:fill="FFFFFF"/>
          <w:lang w:eastAsia="ru-RU"/>
        </w:rPr>
        <w:t xml:space="preserve"> </w:t>
      </w:r>
      <w:r w:rsidRPr="005A0990">
        <w:rPr>
          <w:rFonts w:ascii="Times New Roman" w:eastAsia="Times New Roman" w:hAnsi="Times New Roman" w:cs="Times New Roman"/>
          <w:sz w:val="21"/>
          <w:szCs w:val="21"/>
          <w:lang w:eastAsia="ru-RU"/>
        </w:rPr>
        <w:t>цифровые активы; невзаимозаменяемые токены (NFT); ценообразование; внутриигровые предметы</w:t>
      </w:r>
    </w:p>
    <w:p w14:paraId="4FF3A2DD" w14:textId="77777777" w:rsidR="005A0990" w:rsidRPr="005A0990" w:rsidRDefault="005A0990" w:rsidP="000510A3">
      <w:pPr>
        <w:tabs>
          <w:tab w:val="left" w:pos="1276"/>
        </w:tabs>
        <w:spacing w:after="0" w:line="240" w:lineRule="auto"/>
        <w:ind w:left="850"/>
        <w:rPr>
          <w:rFonts w:ascii="Times New Roman" w:eastAsia="Times New Roman" w:hAnsi="Times New Roman" w:cs="Times New Roman"/>
          <w:sz w:val="32"/>
          <w:lang w:eastAsia="ru-RU"/>
        </w:rPr>
      </w:pPr>
      <w:r w:rsidRPr="005A0990">
        <w:rPr>
          <w:rFonts w:ascii="Times New Roman" w:eastAsia="Times New Roman" w:hAnsi="Times New Roman" w:cs="Times New Roman"/>
          <w:sz w:val="21"/>
          <w:lang w:eastAsia="ru-RU"/>
        </w:rPr>
        <w:t xml:space="preserve"> </w:t>
      </w:r>
    </w:p>
    <w:p w14:paraId="2D058BA7" w14:textId="77777777" w:rsidR="00C65AD9" w:rsidRPr="00654CF2" w:rsidRDefault="005A0990" w:rsidP="000510A3">
      <w:pPr>
        <w:tabs>
          <w:tab w:val="left" w:pos="1276"/>
        </w:tabs>
        <w:spacing w:after="0" w:line="240" w:lineRule="auto"/>
        <w:ind w:left="7655" w:firstLine="158"/>
        <w:jc w:val="right"/>
        <w:rPr>
          <w:rFonts w:ascii="Times New Roman" w:eastAsia="Times New Roman" w:hAnsi="Times New Roman" w:cs="Times New Roman"/>
          <w:b/>
          <w:i/>
          <w:sz w:val="21"/>
          <w:lang w:val="en-US" w:eastAsia="ru-RU"/>
        </w:rPr>
      </w:pPr>
      <w:r w:rsidRPr="005A0990">
        <w:rPr>
          <w:rFonts w:ascii="Times New Roman" w:eastAsia="Times New Roman" w:hAnsi="Times New Roman" w:cs="Times New Roman"/>
          <w:b/>
          <w:i/>
          <w:sz w:val="21"/>
          <w:lang w:val="en-US" w:eastAsia="ru-RU"/>
        </w:rPr>
        <w:t xml:space="preserve">Larina A.E., </w:t>
      </w:r>
    </w:p>
    <w:p w14:paraId="50BBC862" w14:textId="764415CF" w:rsidR="005A0990" w:rsidRPr="005A0990" w:rsidRDefault="005A0990" w:rsidP="000510A3">
      <w:pPr>
        <w:tabs>
          <w:tab w:val="left" w:pos="1276"/>
        </w:tabs>
        <w:spacing w:after="0" w:line="240" w:lineRule="auto"/>
        <w:ind w:left="7655" w:firstLine="158"/>
        <w:jc w:val="right"/>
        <w:rPr>
          <w:rFonts w:ascii="Times New Roman" w:eastAsia="Times New Roman" w:hAnsi="Times New Roman" w:cs="Times New Roman"/>
          <w:sz w:val="32"/>
          <w:lang w:val="en-US" w:eastAsia="ru-RU"/>
        </w:rPr>
      </w:pPr>
      <w:r w:rsidRPr="005A0990">
        <w:rPr>
          <w:rFonts w:ascii="Times New Roman" w:eastAsia="Times New Roman" w:hAnsi="Times New Roman" w:cs="Times New Roman"/>
          <w:i/>
          <w:sz w:val="21"/>
          <w:lang w:val="en-US" w:eastAsia="ru-RU"/>
        </w:rPr>
        <w:t>student, 2 courses</w:t>
      </w:r>
    </w:p>
    <w:p w14:paraId="4F03381C" w14:textId="27A1F779" w:rsidR="005A0990" w:rsidRPr="005A0990" w:rsidRDefault="005A0990" w:rsidP="000510A3">
      <w:pPr>
        <w:tabs>
          <w:tab w:val="left" w:pos="1276"/>
        </w:tabs>
        <w:spacing w:after="0" w:line="240" w:lineRule="auto"/>
        <w:ind w:left="3450" w:hanging="10"/>
        <w:jc w:val="right"/>
        <w:rPr>
          <w:rFonts w:ascii="Times New Roman" w:eastAsia="Times New Roman" w:hAnsi="Times New Roman" w:cs="Times New Roman"/>
          <w:sz w:val="32"/>
          <w:lang w:val="en-US" w:eastAsia="ru-RU"/>
        </w:rPr>
      </w:pPr>
      <w:r w:rsidRPr="005A0990">
        <w:rPr>
          <w:rFonts w:ascii="Times New Roman" w:eastAsia="Times New Roman" w:hAnsi="Times New Roman" w:cs="Times New Roman"/>
          <w:i/>
          <w:sz w:val="21"/>
          <w:lang w:val="en-US" w:eastAsia="ru-RU"/>
        </w:rPr>
        <w:t xml:space="preserve">Financial University under the Government of the Russian Federation Krasnodar, Russia </w:t>
      </w:r>
    </w:p>
    <w:p w14:paraId="498C6236" w14:textId="77777777" w:rsidR="005A0990" w:rsidRPr="005A0990" w:rsidRDefault="005A0990" w:rsidP="000510A3">
      <w:pPr>
        <w:tabs>
          <w:tab w:val="left" w:pos="1276"/>
        </w:tabs>
        <w:spacing w:after="0" w:line="240" w:lineRule="auto"/>
        <w:ind w:left="3450" w:hanging="10"/>
        <w:jc w:val="right"/>
        <w:rPr>
          <w:rFonts w:ascii="Times New Roman" w:eastAsia="Times New Roman" w:hAnsi="Times New Roman" w:cs="Times New Roman"/>
          <w:sz w:val="32"/>
          <w:lang w:val="en-US" w:eastAsia="ru-RU"/>
        </w:rPr>
      </w:pPr>
      <w:r w:rsidRPr="005A0990">
        <w:rPr>
          <w:rFonts w:ascii="Times New Roman" w:eastAsia="Times New Roman" w:hAnsi="Times New Roman" w:cs="Times New Roman"/>
          <w:i/>
          <w:sz w:val="21"/>
          <w:lang w:val="en-US" w:eastAsia="ru-RU"/>
        </w:rPr>
        <w:t>e-mail: larinaae@inbox.ru</w:t>
      </w:r>
    </w:p>
    <w:p w14:paraId="29A09BDE"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sz w:val="32"/>
          <w:lang w:val="en-US" w:eastAsia="ru-RU"/>
        </w:rPr>
      </w:pPr>
      <w:r w:rsidRPr="005A0990">
        <w:rPr>
          <w:rFonts w:ascii="Times New Roman" w:eastAsia="Times New Roman" w:hAnsi="Times New Roman" w:cs="Times New Roman"/>
          <w:i/>
          <w:sz w:val="21"/>
          <w:lang w:val="en-US" w:eastAsia="ru-RU"/>
        </w:rPr>
        <w:t xml:space="preserve"> </w:t>
      </w:r>
    </w:p>
    <w:p w14:paraId="11885CDB"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b/>
          <w:i/>
          <w:sz w:val="21"/>
          <w:lang w:val="en-US" w:eastAsia="ru-RU"/>
        </w:rPr>
      </w:pPr>
      <w:r w:rsidRPr="005A0990">
        <w:rPr>
          <w:rFonts w:ascii="Times New Roman" w:eastAsia="Times New Roman" w:hAnsi="Times New Roman" w:cs="Times New Roman"/>
          <w:b/>
          <w:i/>
          <w:sz w:val="21"/>
          <w:lang w:val="en-US" w:eastAsia="ru-RU"/>
        </w:rPr>
        <w:t>Scientific supervisor:</w:t>
      </w:r>
    </w:p>
    <w:p w14:paraId="375F02CB"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b/>
          <w:bCs/>
          <w:i/>
          <w:sz w:val="21"/>
          <w:lang w:val="en-US" w:eastAsia="ru-RU"/>
        </w:rPr>
      </w:pPr>
      <w:r w:rsidRPr="005A0990">
        <w:rPr>
          <w:rFonts w:ascii="Times New Roman" w:eastAsia="Times New Roman" w:hAnsi="Times New Roman" w:cs="Times New Roman"/>
          <w:b/>
          <w:bCs/>
          <w:i/>
          <w:sz w:val="21"/>
          <w:lang w:val="en-US" w:eastAsia="ru-RU"/>
        </w:rPr>
        <w:t xml:space="preserve">Kiri V.A., </w:t>
      </w:r>
    </w:p>
    <w:p w14:paraId="52FAF94A" w14:textId="77777777" w:rsidR="005A0990" w:rsidRPr="005A0990" w:rsidRDefault="005A0990" w:rsidP="000510A3">
      <w:pPr>
        <w:tabs>
          <w:tab w:val="left" w:pos="1276"/>
        </w:tabs>
        <w:spacing w:after="0" w:line="240" w:lineRule="auto"/>
        <w:ind w:left="3544"/>
        <w:jc w:val="right"/>
        <w:rPr>
          <w:rFonts w:ascii="Times New Roman" w:eastAsia="Times New Roman" w:hAnsi="Times New Roman" w:cs="Times New Roman"/>
          <w:i/>
          <w:sz w:val="21"/>
          <w:lang w:val="en-US" w:eastAsia="ru-RU"/>
        </w:rPr>
      </w:pPr>
      <w:r w:rsidRPr="005A0990">
        <w:rPr>
          <w:rFonts w:ascii="Times New Roman" w:eastAsia="Times New Roman" w:hAnsi="Times New Roman" w:cs="Times New Roman"/>
          <w:i/>
          <w:sz w:val="21"/>
          <w:lang w:val="en-US" w:eastAsia="ru-RU"/>
        </w:rPr>
        <w:t>Associate Professor, Department of Mathematics and Computer Science, Candidate of Physico-Mathematical Sciences</w:t>
      </w:r>
    </w:p>
    <w:p w14:paraId="013A7A08"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i/>
          <w:sz w:val="21"/>
          <w:lang w:val="en-US" w:eastAsia="ru-RU"/>
        </w:rPr>
      </w:pPr>
      <w:r w:rsidRPr="005A0990">
        <w:rPr>
          <w:rFonts w:ascii="Times New Roman" w:eastAsia="Times New Roman" w:hAnsi="Times New Roman" w:cs="Times New Roman"/>
          <w:i/>
          <w:sz w:val="21"/>
          <w:lang w:val="en-US" w:eastAsia="ru-RU"/>
        </w:rPr>
        <w:t>Financial University under the Government of the Russian Federation</w:t>
      </w:r>
    </w:p>
    <w:p w14:paraId="3B6838D5"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i/>
          <w:sz w:val="21"/>
          <w:lang w:val="en-US" w:eastAsia="ru-RU"/>
        </w:rPr>
      </w:pPr>
      <w:r w:rsidRPr="005A0990">
        <w:rPr>
          <w:rFonts w:ascii="Times New Roman" w:eastAsia="Times New Roman" w:hAnsi="Times New Roman" w:cs="Times New Roman"/>
          <w:i/>
          <w:sz w:val="21"/>
          <w:lang w:val="en-US" w:eastAsia="ru-RU"/>
        </w:rPr>
        <w:t>(Krasnodar branch) Krasnodar, Russia</w:t>
      </w:r>
    </w:p>
    <w:p w14:paraId="28591880"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i/>
          <w:sz w:val="21"/>
          <w:lang w:val="en-US" w:eastAsia="ru-RU"/>
        </w:rPr>
      </w:pPr>
      <w:r w:rsidRPr="005A0990">
        <w:rPr>
          <w:rFonts w:ascii="Times New Roman" w:eastAsia="Times New Roman" w:hAnsi="Times New Roman" w:cs="Times New Roman"/>
          <w:i/>
          <w:sz w:val="21"/>
          <w:lang w:val="en-US" w:eastAsia="ru-RU"/>
        </w:rPr>
        <w:t xml:space="preserve">e-mail: VAKirij@fa.ru </w:t>
      </w:r>
    </w:p>
    <w:p w14:paraId="7D0DB2A0" w14:textId="77777777" w:rsidR="005A0990" w:rsidRPr="005A0990" w:rsidRDefault="005A0990" w:rsidP="000510A3">
      <w:pPr>
        <w:tabs>
          <w:tab w:val="left" w:pos="1276"/>
        </w:tabs>
        <w:spacing w:after="0" w:line="240" w:lineRule="auto"/>
        <w:jc w:val="right"/>
        <w:rPr>
          <w:rFonts w:ascii="Times New Roman" w:eastAsia="Times New Roman" w:hAnsi="Times New Roman" w:cs="Times New Roman"/>
          <w:i/>
          <w:sz w:val="21"/>
          <w:lang w:val="en-US" w:eastAsia="ru-RU"/>
        </w:rPr>
      </w:pPr>
    </w:p>
    <w:p w14:paraId="2F78E3BC" w14:textId="77777777" w:rsidR="00C65AD9" w:rsidRPr="00654CF2" w:rsidRDefault="005A0990" w:rsidP="00C65AD9">
      <w:pPr>
        <w:tabs>
          <w:tab w:val="left" w:pos="1276"/>
        </w:tabs>
        <w:spacing w:after="0" w:line="240" w:lineRule="auto"/>
        <w:ind w:left="268" w:hanging="10"/>
        <w:jc w:val="center"/>
        <w:rPr>
          <w:rFonts w:ascii="Times New Roman" w:eastAsia="Times New Roman" w:hAnsi="Times New Roman" w:cs="Times New Roman"/>
          <w:b/>
          <w:sz w:val="21"/>
          <w:lang w:val="en-US" w:eastAsia="ru-RU"/>
        </w:rPr>
      </w:pPr>
      <w:r w:rsidRPr="005A0990">
        <w:rPr>
          <w:rFonts w:ascii="Times New Roman" w:eastAsia="Times New Roman" w:hAnsi="Times New Roman" w:cs="Times New Roman"/>
          <w:b/>
          <w:sz w:val="21"/>
          <w:lang w:val="en-US" w:eastAsia="ru-RU"/>
        </w:rPr>
        <w:t>Proactive security with digital twins</w:t>
      </w:r>
    </w:p>
    <w:p w14:paraId="0C341A45" w14:textId="4C6A923C" w:rsidR="005A0990" w:rsidRPr="005A0990" w:rsidRDefault="005A0990" w:rsidP="00C65AD9">
      <w:pPr>
        <w:tabs>
          <w:tab w:val="left" w:pos="1276"/>
        </w:tabs>
        <w:spacing w:after="0" w:line="240" w:lineRule="auto"/>
        <w:ind w:left="268" w:hanging="10"/>
        <w:jc w:val="center"/>
        <w:rPr>
          <w:rFonts w:ascii="Times New Roman" w:eastAsia="Times New Roman" w:hAnsi="Times New Roman" w:cs="Times New Roman"/>
          <w:sz w:val="32"/>
          <w:lang w:val="en-US" w:eastAsia="ru-RU"/>
        </w:rPr>
      </w:pPr>
      <w:r w:rsidRPr="005A0990">
        <w:rPr>
          <w:rFonts w:ascii="Times New Roman" w:eastAsia="Times New Roman" w:hAnsi="Times New Roman" w:cs="Times New Roman"/>
          <w:b/>
          <w:sz w:val="21"/>
          <w:lang w:val="en-US" w:eastAsia="ru-RU"/>
        </w:rPr>
        <w:t xml:space="preserve"> </w:t>
      </w:r>
    </w:p>
    <w:p w14:paraId="45E08010" w14:textId="77777777" w:rsidR="005A0990" w:rsidRPr="005A0990" w:rsidRDefault="005A0990" w:rsidP="000510A3">
      <w:pPr>
        <w:tabs>
          <w:tab w:val="left" w:pos="1276"/>
        </w:tabs>
        <w:spacing w:after="0" w:line="240" w:lineRule="auto"/>
        <w:ind w:left="125" w:firstLine="709"/>
        <w:jc w:val="both"/>
        <w:rPr>
          <w:rFonts w:ascii="Times New Roman" w:eastAsia="Times New Roman" w:hAnsi="Times New Roman" w:cs="Times New Roman"/>
          <w:sz w:val="21"/>
          <w:lang w:val="en-US" w:eastAsia="ru-RU"/>
        </w:rPr>
      </w:pPr>
      <w:r w:rsidRPr="005A0990">
        <w:rPr>
          <w:rFonts w:ascii="Times New Roman" w:eastAsia="Times New Roman" w:hAnsi="Times New Roman" w:cs="Times New Roman"/>
          <w:b/>
          <w:sz w:val="21"/>
          <w:lang w:val="en-US" w:eastAsia="ru-RU"/>
        </w:rPr>
        <w:t>Abstract:</w:t>
      </w:r>
      <w:r w:rsidRPr="005A0990">
        <w:rPr>
          <w:rFonts w:ascii="Times New Roman" w:eastAsia="Times New Roman" w:hAnsi="Times New Roman" w:cs="Times New Roman"/>
          <w:sz w:val="21"/>
          <w:lang w:val="en-US" w:eastAsia="ru-RU"/>
        </w:rPr>
        <w:t xml:space="preserve"> In this paper, a study has been conducted on the study of pricing mechanisms for digital assets in virtual worlds. The paper examines current methods for estimating the value of digital assets, such as cryptocurrencies, in-game items, and non-exchangeable tokens (NFTs). Key factors influencing pricing are </w:t>
      </w:r>
      <w:r w:rsidRPr="005A0990">
        <w:rPr>
          <w:rFonts w:ascii="Times New Roman" w:eastAsia="Times New Roman" w:hAnsi="Times New Roman" w:cs="Times New Roman"/>
          <w:sz w:val="21"/>
          <w:lang w:val="en-US" w:eastAsia="ru-RU"/>
        </w:rPr>
        <w:lastRenderedPageBreak/>
        <w:t>investigated, including supply and demand, the rarity and uniqueness of assets, external events, and user psychology. The economic models used in virtual economies are analyzed, as well as the effectiveness of various monetization strategies. Special attention is paid to the role of secondary markets and speculation in price formation. The results of the study highlight the importance of understanding pricing mechanisms in order to develop effective approaches to managing the digital asset market.</w:t>
      </w:r>
    </w:p>
    <w:p w14:paraId="509DCC17" w14:textId="77777777" w:rsidR="005A0990" w:rsidRPr="005A0990" w:rsidRDefault="005A0990" w:rsidP="000510A3">
      <w:pPr>
        <w:tabs>
          <w:tab w:val="left" w:pos="1276"/>
        </w:tabs>
        <w:spacing w:after="0" w:line="240" w:lineRule="auto"/>
        <w:ind w:left="125" w:firstLine="709"/>
        <w:jc w:val="both"/>
        <w:rPr>
          <w:rFonts w:ascii="Times New Roman" w:eastAsia="Times New Roman" w:hAnsi="Times New Roman" w:cs="Times New Roman"/>
          <w:sz w:val="32"/>
          <w:lang w:val="en-US" w:eastAsia="ru-RU"/>
        </w:rPr>
      </w:pPr>
      <w:r w:rsidRPr="005A0990">
        <w:rPr>
          <w:rFonts w:ascii="Times New Roman" w:eastAsia="Times New Roman" w:hAnsi="Times New Roman" w:cs="Times New Roman"/>
          <w:b/>
          <w:sz w:val="21"/>
          <w:lang w:val="en-US" w:eastAsia="ru-RU"/>
        </w:rPr>
        <w:t>Keywords:</w:t>
      </w:r>
      <w:r w:rsidRPr="005A0990">
        <w:rPr>
          <w:rFonts w:ascii="Times New Roman" w:eastAsia="Times New Roman" w:hAnsi="Times New Roman" w:cs="Times New Roman"/>
          <w:sz w:val="21"/>
          <w:lang w:val="en-US" w:eastAsia="ru-RU"/>
        </w:rPr>
        <w:t xml:space="preserve"> Online Multiplayer games (MMOG); digital assets; non-interchangeable tokens (NFT); pricing; in-game items</w:t>
      </w:r>
    </w:p>
    <w:p w14:paraId="71A3A1CA" w14:textId="77777777" w:rsidR="00C65AD9" w:rsidRPr="00654CF2" w:rsidRDefault="00C65AD9" w:rsidP="005A0990">
      <w:pPr>
        <w:spacing w:after="5" w:line="249" w:lineRule="auto"/>
        <w:ind w:left="142" w:right="110" w:firstLine="710"/>
        <w:jc w:val="both"/>
        <w:rPr>
          <w:rFonts w:ascii="Times New Roman" w:eastAsia="Times New Roman" w:hAnsi="Times New Roman" w:cs="Times New Roman"/>
          <w:bCs/>
          <w:sz w:val="32"/>
          <w:lang w:val="en-US" w:eastAsia="ru-RU"/>
        </w:rPr>
      </w:pPr>
    </w:p>
    <w:p w14:paraId="50AB65DF" w14:textId="4BC57844" w:rsidR="005A0990" w:rsidRPr="005A0990" w:rsidRDefault="005A0990" w:rsidP="005A0990">
      <w:pPr>
        <w:spacing w:after="5" w:line="249" w:lineRule="auto"/>
        <w:ind w:left="142" w:right="110" w:firstLine="710"/>
        <w:jc w:val="both"/>
        <w:rPr>
          <w:rFonts w:ascii="Times New Roman" w:eastAsia="Times New Roman" w:hAnsi="Times New Roman" w:cs="Times New Roman"/>
          <w:bCs/>
          <w:sz w:val="32"/>
          <w:lang w:eastAsia="ru-RU"/>
        </w:rPr>
      </w:pPr>
      <w:r w:rsidRPr="005A0990">
        <w:rPr>
          <w:rFonts w:ascii="Times New Roman" w:eastAsia="Times New Roman" w:hAnsi="Times New Roman" w:cs="Times New Roman"/>
          <w:bCs/>
          <w:sz w:val="32"/>
          <w:lang w:eastAsia="ru-RU"/>
        </w:rPr>
        <w:t xml:space="preserve">Исследование направлено на выявление закономерностей ценообразования, оценку влияния различных экономических моделей и поведения пользователей на формирование стоимости цифровых активов в виртуальных мирах. </w:t>
      </w:r>
    </w:p>
    <w:p w14:paraId="5A6FFBD8"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С распространением интернета розничная торговля претерпела радикальные изменения. Покупатели получили возможность сравнивать цены в один клик, а продавцы – вынуждены были адаптироваться к прозрачности рынка. Но если раньше онлайн-продажи касались лишь материальных товаров (книг, одежды, электроники), то сегодня они охватили принципиально новый сегмент – </w:t>
      </w:r>
      <w:r w:rsidRPr="005A0990">
        <w:rPr>
          <w:rFonts w:ascii="Times New Roman" w:eastAsia="Times New Roman" w:hAnsi="Times New Roman" w:cs="Times New Roman"/>
          <w:bCs/>
          <w:sz w:val="32"/>
          <w:lang w:eastAsia="ru-RU"/>
        </w:rPr>
        <w:t>виртуальные аналоги</w:t>
      </w:r>
      <w:r w:rsidRPr="005A0990">
        <w:rPr>
          <w:rFonts w:ascii="Times New Roman" w:eastAsia="Times New Roman" w:hAnsi="Times New Roman" w:cs="Times New Roman"/>
          <w:sz w:val="32"/>
          <w:lang w:eastAsia="ru-RU"/>
        </w:rPr>
        <w:t>.</w:t>
      </w:r>
    </w:p>
    <w:p w14:paraId="151D7386"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Речь идет о предметах, которые существуют только внутри цифровых вселенных – например, внутри видеоигр или метавселенных. Поначалу их продажа была уделом энтузиастов: редкие игровые предметы перепродавались на eBay и форумах. Однако со временем сформировался </w:t>
      </w:r>
      <w:r w:rsidRPr="005A0990">
        <w:rPr>
          <w:rFonts w:ascii="Times New Roman" w:eastAsia="Times New Roman" w:hAnsi="Times New Roman" w:cs="Times New Roman"/>
          <w:bCs/>
          <w:sz w:val="32"/>
          <w:lang w:eastAsia="ru-RU"/>
        </w:rPr>
        <w:t>полноценный коммерческий рынок</w:t>
      </w:r>
      <w:r w:rsidRPr="005A0990">
        <w:rPr>
          <w:rFonts w:ascii="Times New Roman" w:eastAsia="Times New Roman" w:hAnsi="Times New Roman" w:cs="Times New Roman"/>
          <w:sz w:val="32"/>
          <w:lang w:eastAsia="ru-RU"/>
        </w:rPr>
        <w:t>, где крупные компании напрямую продают пользователям виртуальные объекты, генерируя миллиардные доходы.</w:t>
      </w:r>
    </w:p>
    <w:p w14:paraId="25E59E4B"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bCs/>
          <w:sz w:val="32"/>
          <w:lang w:eastAsia="ru-RU"/>
        </w:rPr>
      </w:pPr>
      <w:r w:rsidRPr="005A0990">
        <w:rPr>
          <w:rFonts w:ascii="Times New Roman" w:eastAsia="Times New Roman" w:hAnsi="Times New Roman" w:cs="Times New Roman"/>
          <w:bCs/>
          <w:sz w:val="32"/>
          <w:lang w:eastAsia="ru-RU"/>
        </w:rPr>
        <w:t>Как цифровые миры стали новой экономической реальностью</w:t>
      </w:r>
    </w:p>
    <w:p w14:paraId="74F66914"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Ключевым драйвером роста стали </w:t>
      </w:r>
      <w:r w:rsidRPr="005A0990">
        <w:rPr>
          <w:rFonts w:ascii="Times New Roman" w:eastAsia="Times New Roman" w:hAnsi="Times New Roman" w:cs="Times New Roman"/>
          <w:bCs/>
          <w:sz w:val="32"/>
          <w:lang w:eastAsia="ru-RU"/>
        </w:rPr>
        <w:t>многопользовательские онлайн-платформы</w:t>
      </w:r>
      <w:r w:rsidRPr="005A0990">
        <w:rPr>
          <w:rFonts w:ascii="Times New Roman" w:eastAsia="Times New Roman" w:hAnsi="Times New Roman" w:cs="Times New Roman"/>
          <w:sz w:val="32"/>
          <w:lang w:eastAsia="ru-RU"/>
        </w:rPr>
        <w:t> – постоянные цифровые пространства, где люди взаимодействуют через аватары. Эти виртуальные миры, поддерживаемые сложными серверными инфраструктурами, превратились в площадки для торговли уникальными активами.</w:t>
      </w:r>
    </w:p>
    <w:p w14:paraId="2C2A0932"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Сегодня </w:t>
      </w:r>
      <w:r w:rsidRPr="005A0990">
        <w:rPr>
          <w:rFonts w:ascii="Times New Roman" w:eastAsia="Times New Roman" w:hAnsi="Times New Roman" w:cs="Times New Roman"/>
          <w:bCs/>
          <w:sz w:val="32"/>
          <w:lang w:eastAsia="ru-RU"/>
        </w:rPr>
        <w:t>метавселенные (Decentraland, The Sandbox)</w:t>
      </w:r>
      <w:r w:rsidRPr="005A0990">
        <w:rPr>
          <w:rFonts w:ascii="Times New Roman" w:eastAsia="Times New Roman" w:hAnsi="Times New Roman" w:cs="Times New Roman"/>
          <w:sz w:val="32"/>
          <w:lang w:eastAsia="ru-RU"/>
        </w:rPr>
        <w:t>, </w:t>
      </w:r>
      <w:r w:rsidRPr="005A0990">
        <w:rPr>
          <w:rFonts w:ascii="Times New Roman" w:eastAsia="Times New Roman" w:hAnsi="Times New Roman" w:cs="Times New Roman"/>
          <w:bCs/>
          <w:sz w:val="32"/>
          <w:lang w:eastAsia="ru-RU"/>
        </w:rPr>
        <w:t>игровые экосистемы (Fortnite, WoW)</w:t>
      </w:r>
      <w:r w:rsidRPr="005A0990">
        <w:rPr>
          <w:rFonts w:ascii="Times New Roman" w:eastAsia="Times New Roman" w:hAnsi="Times New Roman" w:cs="Times New Roman"/>
          <w:sz w:val="32"/>
          <w:lang w:eastAsia="ru-RU"/>
        </w:rPr>
        <w:t> и </w:t>
      </w:r>
      <w:r w:rsidRPr="005A0990">
        <w:rPr>
          <w:rFonts w:ascii="Times New Roman" w:eastAsia="Times New Roman" w:hAnsi="Times New Roman" w:cs="Times New Roman"/>
          <w:bCs/>
          <w:sz w:val="32"/>
          <w:lang w:eastAsia="ru-RU"/>
        </w:rPr>
        <w:t>платформы Web3</w:t>
      </w:r>
      <w:r w:rsidRPr="005A0990">
        <w:rPr>
          <w:rFonts w:ascii="Times New Roman" w:eastAsia="Times New Roman" w:hAnsi="Times New Roman" w:cs="Times New Roman"/>
          <w:sz w:val="32"/>
          <w:lang w:eastAsia="ru-RU"/>
        </w:rPr>
        <w:t> – это уже не просто развлечение. Они формируют </w:t>
      </w:r>
      <w:r w:rsidRPr="005A0990">
        <w:rPr>
          <w:rFonts w:ascii="Times New Roman" w:eastAsia="Times New Roman" w:hAnsi="Times New Roman" w:cs="Times New Roman"/>
          <w:bCs/>
          <w:sz w:val="32"/>
          <w:lang w:eastAsia="ru-RU"/>
        </w:rPr>
        <w:t>альтернативную экономику</w:t>
      </w:r>
      <w:r w:rsidRPr="005A0990">
        <w:rPr>
          <w:rFonts w:ascii="Times New Roman" w:eastAsia="Times New Roman" w:hAnsi="Times New Roman" w:cs="Times New Roman"/>
          <w:sz w:val="32"/>
          <w:lang w:eastAsia="ru-RU"/>
        </w:rPr>
        <w:t>, где цифровые активы (NFT, криптовалюты, виртуальная недвижимость, аватары) обладают реальной ценностью. Более того – они меняют саму природу собственности и социальных взаимодействий.</w:t>
      </w:r>
    </w:p>
    <w:p w14:paraId="63AF906A"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Цифровые активы и виртуальные товары — это два взаимосвязанных понятия, которые меняют то, как мы воспринимаем </w:t>
      </w:r>
      <w:r w:rsidRPr="005A0990">
        <w:rPr>
          <w:rFonts w:ascii="Times New Roman" w:eastAsia="Times New Roman" w:hAnsi="Times New Roman" w:cs="Times New Roman"/>
          <w:sz w:val="32"/>
          <w:lang w:eastAsia="ru-RU"/>
        </w:rPr>
        <w:lastRenderedPageBreak/>
        <w:t>ценность в цифровом мире. Виртуальные товары, такие как скины для игровых персонажей, внутриигровая валюта или даже виртуальные участки земли в метавселенных, раньше существовали только внутри закрытых платформ. Например, редкий меч в игре нельзя было продать за реальные деньги или использовать в другой игре. Но с появлением блокчейна и NFT (невзаимозаменяемых токенов) всё изменилось. Теперь виртуальные товары превратились в цифровые активы — уникальные объекты, которые можно покупать, продавать и коллекционировать, как акции или предметы искусства. NFT работают как цифровые сертификаты подлинности: если вы купили виртуальную картину или землю в Decentraland, блокчейн гарантирует, что именно вы — владелец, и это право можно проверить в любой момент.</w:t>
      </w:r>
    </w:p>
    <w:p w14:paraId="614416C3"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Технологии, которые делают это возможным, — это блокчейн (децентрализованная база данных, которую нельзя подделать), смарт-контракты (автоматические правила для сделок) и сами NFT. Например, когда вы продаёте виртуальный товар через NFT, смарт-контракт сам передаёт его новому владельцу и переводит вам деньги, без участия банков или посредников. Это открывает огромные возможности: студенты могут создавать дизайн одежды для аватаров и продавать его как NFT, а инвесторы — покупать виртуальную землю в The Sandbox, надеясь, что её цена вырастет, как у реальной недвижимости. Появились даже новые профессии: «мета-дизайнеры» разрабатывают цифровые объекты, а «виртуальные риелторы» помогают покупать и продавать землю в метавселенных.</w:t>
      </w:r>
    </w:p>
    <w:p w14:paraId="0C2A1208"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Многие виртуальные платформы оснащены встроенными платежными системами, позволяющими игрокам обмениваться цифровыми предметами напрямую. Ярким примером служит Second Life, где виртуальная валюта Linden Dollar имеет реальную стоимость </w:t>
      </w:r>
      <w:proofErr w:type="gramStart"/>
      <w:r w:rsidRPr="005A0990">
        <w:rPr>
          <w:rFonts w:ascii="Times New Roman" w:eastAsia="Times New Roman" w:hAnsi="Times New Roman" w:cs="Times New Roman"/>
          <w:sz w:val="32"/>
          <w:lang w:eastAsia="ru-RU"/>
        </w:rPr>
        <w:t>—</w:t>
      </w:r>
      <w:proofErr w:type="gramEnd"/>
      <w:r w:rsidRPr="005A0990">
        <w:rPr>
          <w:rFonts w:ascii="Times New Roman" w:eastAsia="Times New Roman" w:hAnsi="Times New Roman" w:cs="Times New Roman"/>
          <w:sz w:val="32"/>
          <w:lang w:eastAsia="ru-RU"/>
        </w:rPr>
        <w:t xml:space="preserve"> пользователи могут конвертировать ее в доллары США и другие национальные деньги, фактически получая доход от деятельности в цифровом пространстве.</w:t>
      </w:r>
    </w:p>
    <w:p w14:paraId="4502728E"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Современные игровые проекты активно используют собственные валютные системы как инструмент монетизации. Разработчики намеренно завышают номиналы внутриигровых ценников, создавая у покупателей иллюзию выгодной сделки. </w:t>
      </w:r>
    </w:p>
    <w:p w14:paraId="09F18D87"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Игрок может обменять небольшую сумму реальных денег на десятки тысяч внутриигровых «кредитов». При этом цены на </w:t>
      </w:r>
      <w:r w:rsidRPr="005A0990">
        <w:rPr>
          <w:rFonts w:ascii="Times New Roman" w:eastAsia="Times New Roman" w:hAnsi="Times New Roman" w:cs="Times New Roman"/>
          <w:sz w:val="32"/>
          <w:lang w:eastAsia="ru-RU"/>
        </w:rPr>
        <w:lastRenderedPageBreak/>
        <w:t xml:space="preserve">виртуальные предметы часто устанавливаются на завышенном уровне. Такой подход создаёт иллюзию выгодной покупки, побуждая пользователя тратить больше, чем он изначально планировал. </w:t>
      </w:r>
    </w:p>
    <w:p w14:paraId="12CF22A7"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Современные игры давно перестали быть просто развлечением — они превратились в сложные системы, которые умело играют на наших эмоциях и кошельках. Один из главных инструментов в этом — виртуальные валюты. На первый взгляд, это просто «игровые деньги», но на деле их роль куда глубже.</w:t>
      </w:r>
    </w:p>
    <w:p w14:paraId="2F711365"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Когда вы покупаете за 500 рублей 10 000 «кристаллов», кажется, что получили целое состояние. Но на самом деле эти «богатства» часто хватает только на пару мелких улучшений. Игры намеренно завышают номиналы, чтобы создать ощущение, будто вы совершаете выгодную сделку. Это как купить воздушный шар за цену золота — объём впечатляет, а реальная ценность минимальна.</w:t>
      </w:r>
    </w:p>
    <w:p w14:paraId="2001E269"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Виртуальная валюта работает как буфер между вами и реальными тратами. Покупая «драгоценные камни» или «золото», вы не видите прямой связи с деньгами на карте. Например, в Clash of Clans есть несколько валют: золото для построек, эликсир для войск, гемы для ускорения процессов. Такое разделение заставляет вас планировать расходы, как настоящий стратег. Но это иллюзия контроля — реальные решения за вас уже приняли разработчики, настроив цены и ограничения.</w:t>
      </w:r>
    </w:p>
    <w:p w14:paraId="03578C06"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Для любого бизнеса, связанного с играми, ценовые стратегии имеют значительно важное значение для их финансов и конкурентоспособности на рынке. Разработчики игр могут манипулировать ценами, с помощью этого ограничивать или увеличивать предложение, выделяться среди конкурентов и оптимизировать свою прибыль. Это дает возможность игрокам делать более обоснованные и осознанные выборы о покупке тех или иных игр, основываясь на вопросах цены, ее сбалансированной ценности и предпочтении. Кроме того, ценовая политика имеет определенное влияние на уровень доступности игрового контента, обеспечивая несомненные возможности для всех желающих насладиться публикуемыми любимыми играми без учета слоя населения.</w:t>
      </w:r>
    </w:p>
    <w:p w14:paraId="50A3664B"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Рост глобальных интернет-сообществ и сообществ, вращающихся вокруг виртуальных миров, открывает новые </w:t>
      </w:r>
      <w:r w:rsidRPr="005A0990">
        <w:rPr>
          <w:rFonts w:ascii="Times New Roman" w:eastAsia="Times New Roman" w:hAnsi="Times New Roman" w:cs="Times New Roman"/>
          <w:sz w:val="32"/>
          <w:lang w:eastAsia="ru-RU"/>
        </w:rPr>
        <w:lastRenderedPageBreak/>
        <w:t xml:space="preserve">горизонты в области экономики цифровых услуг. По оценкам, как минимум 60 миллионов людей во всем мире обитают в виртуальных мирах. </w:t>
      </w:r>
    </w:p>
    <w:p w14:paraId="27983A37"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Cs/>
          <w:sz w:val="32"/>
          <w:lang w:eastAsia="ru-RU"/>
        </w:rPr>
        <w:t>Модели монетизации</w:t>
      </w:r>
      <w:r w:rsidRPr="005A0990">
        <w:rPr>
          <w:rFonts w:ascii="Times New Roman" w:eastAsia="Times New Roman" w:hAnsi="Times New Roman" w:cs="Times New Roman"/>
          <w:sz w:val="32"/>
          <w:lang w:eastAsia="ru-RU"/>
        </w:rPr>
        <w:t> варьируются в зависимости от стратегии. Гибридные системы, сочетающие подписку (World of Warcraft), микротранзакции (Genshin Impact) и торговлю на блокчейн-маркетплейсах (Decentraland), создают многоуровневую экономику. По данным Newzoo (2023), 62% разработчиков используют как минимум две монетизационные стратегии.</w:t>
      </w:r>
    </w:p>
    <w:p w14:paraId="15FE2A32"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Интересный тренд — рост </w:t>
      </w:r>
      <w:r w:rsidRPr="005A0990">
        <w:rPr>
          <w:rFonts w:ascii="Times New Roman" w:eastAsia="Times New Roman" w:hAnsi="Times New Roman" w:cs="Times New Roman"/>
          <w:bCs/>
          <w:sz w:val="32"/>
          <w:lang w:eastAsia="ru-RU"/>
        </w:rPr>
        <w:t>цифровых активов</w:t>
      </w:r>
      <w:r w:rsidRPr="005A0990">
        <w:rPr>
          <w:rFonts w:ascii="Times New Roman" w:eastAsia="Times New Roman" w:hAnsi="Times New Roman" w:cs="Times New Roman"/>
          <w:sz w:val="32"/>
          <w:lang w:eastAsia="ru-RU"/>
        </w:rPr>
        <w:t xml:space="preserve"> как объекта инвестирования. Например, редкий скин AWP Dragon Lore в </w:t>
      </w:r>
      <w:proofErr w:type="gramStart"/>
      <w:r w:rsidRPr="005A0990">
        <w:rPr>
          <w:rFonts w:ascii="Times New Roman" w:eastAsia="Times New Roman" w:hAnsi="Times New Roman" w:cs="Times New Roman"/>
          <w:sz w:val="32"/>
          <w:lang w:eastAsia="ru-RU"/>
        </w:rPr>
        <w:t>CS:GO</w:t>
      </w:r>
      <w:proofErr w:type="gramEnd"/>
      <w:r w:rsidRPr="005A0990">
        <w:rPr>
          <w:rFonts w:ascii="Times New Roman" w:eastAsia="Times New Roman" w:hAnsi="Times New Roman" w:cs="Times New Roman"/>
          <w:sz w:val="32"/>
          <w:lang w:eastAsia="ru-RU"/>
        </w:rPr>
        <w:t> был продан за $61,052 в 2023 году, демонстрируя сближение виртуальной и реальной экономик.</w:t>
      </w:r>
    </w:p>
    <w:p w14:paraId="52A58E50"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Исследования показывают, что ключевым моментом формирования стоимости становится </w:t>
      </w:r>
      <w:r w:rsidRPr="005A0990">
        <w:rPr>
          <w:rFonts w:ascii="Times New Roman" w:eastAsia="Times New Roman" w:hAnsi="Times New Roman" w:cs="Times New Roman"/>
          <w:iCs/>
          <w:sz w:val="32"/>
          <w:lang w:eastAsia="ru-RU"/>
        </w:rPr>
        <w:t>искусственный дефицит</w:t>
      </w:r>
      <w:r w:rsidRPr="005A0990">
        <w:rPr>
          <w:rFonts w:ascii="Times New Roman" w:eastAsia="Times New Roman" w:hAnsi="Times New Roman" w:cs="Times New Roman"/>
          <w:sz w:val="32"/>
          <w:lang w:eastAsia="ru-RU"/>
        </w:rPr>
        <w:t>: редкие предметы (например, эксклюзивные скины или легендарное оружие) могут стоить в десятки раз дороже функциональных аналогов, даже если их игровая польза идентична. Ценность формируется через ограничение доступности. Как отмечает Journal of Consumer Research, ограничение доступности повышает субъективную ценность на 200-300% даже без функциональных преимуществ.</w:t>
      </w:r>
    </w:p>
    <w:p w14:paraId="34517E36"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Зато их обладатель чувствует себя особенным — и ради этого многие готовы платить. Существует разделение по с</w:t>
      </w:r>
      <w:r w:rsidRPr="005A0990">
        <w:rPr>
          <w:rFonts w:ascii="Times New Roman" w:eastAsia="Times New Roman" w:hAnsi="Times New Roman" w:cs="Times New Roman"/>
          <w:b/>
          <w:bCs/>
          <w:sz w:val="32"/>
          <w:lang w:eastAsia="ru-RU"/>
        </w:rPr>
        <w:t>егментам аудитории.</w:t>
      </w:r>
    </w:p>
    <w:p w14:paraId="3563ADB7"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«Киты»</w:t>
      </w:r>
      <w:r w:rsidRPr="005A0990">
        <w:rPr>
          <w:rFonts w:ascii="Times New Roman" w:eastAsia="Times New Roman" w:hAnsi="Times New Roman" w:cs="Times New Roman"/>
          <w:sz w:val="32"/>
          <w:lang w:eastAsia="ru-RU"/>
        </w:rPr>
        <w:t> (5% игроков, генерирующих до 80% дохода)</w:t>
      </w:r>
      <w:proofErr w:type="gramStart"/>
      <w:r w:rsidRPr="005A0990">
        <w:rPr>
          <w:rFonts w:ascii="Times New Roman" w:eastAsia="Times New Roman" w:hAnsi="Times New Roman" w:cs="Times New Roman"/>
          <w:sz w:val="32"/>
          <w:lang w:eastAsia="ru-RU"/>
        </w:rPr>
        <w:t>: Для</w:t>
      </w:r>
      <w:proofErr w:type="gramEnd"/>
      <w:r w:rsidRPr="005A0990">
        <w:rPr>
          <w:rFonts w:ascii="Times New Roman" w:eastAsia="Times New Roman" w:hAnsi="Times New Roman" w:cs="Times New Roman"/>
          <w:sz w:val="32"/>
          <w:lang w:eastAsia="ru-RU"/>
        </w:rPr>
        <w:t xml:space="preserve"> них создают эксклюзив — золотые костюмы, редких персонажей. Их мало, но они приносят основную долю дохода.</w:t>
      </w:r>
    </w:p>
    <w:p w14:paraId="4C0C25FD"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Обычные игроки</w:t>
      </w:r>
      <w:r w:rsidRPr="005A0990">
        <w:rPr>
          <w:rFonts w:ascii="Times New Roman" w:eastAsia="Times New Roman" w:hAnsi="Times New Roman" w:cs="Times New Roman"/>
          <w:sz w:val="32"/>
          <w:lang w:eastAsia="ru-RU"/>
        </w:rPr>
        <w:t>: Им предлагают дешёвые улучшения, чтобы не отпугнуть. Например, за 200 рублей можно ускорить строительство базы.</w:t>
      </w:r>
    </w:p>
    <w:p w14:paraId="091A32F4"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Новички</w:t>
      </w:r>
      <w:proofErr w:type="gramStart"/>
      <w:r w:rsidRPr="005A0990">
        <w:rPr>
          <w:rFonts w:ascii="Times New Roman" w:eastAsia="Times New Roman" w:hAnsi="Times New Roman" w:cs="Times New Roman"/>
          <w:sz w:val="32"/>
          <w:lang w:eastAsia="ru-RU"/>
        </w:rPr>
        <w:t>: Часто</w:t>
      </w:r>
      <w:proofErr w:type="gramEnd"/>
      <w:r w:rsidRPr="005A0990">
        <w:rPr>
          <w:rFonts w:ascii="Times New Roman" w:eastAsia="Times New Roman" w:hAnsi="Times New Roman" w:cs="Times New Roman"/>
          <w:sz w:val="32"/>
          <w:lang w:eastAsia="ru-RU"/>
        </w:rPr>
        <w:t xml:space="preserve"> получают скидки на старте, чтобы «подсадить» на покупки.</w:t>
      </w:r>
    </w:p>
    <w:p w14:paraId="4D217E86"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Успешная стратегия требует не только анализа данных, но и понимания мотивации игроков:</w:t>
      </w:r>
    </w:p>
    <w:p w14:paraId="18FFCA40" w14:textId="77777777" w:rsidR="005A0990" w:rsidRPr="005A0990" w:rsidRDefault="005A0990" w:rsidP="00AD58CD">
      <w:pPr>
        <w:numPr>
          <w:ilvl w:val="0"/>
          <w:numId w:val="213"/>
        </w:numPr>
        <w:spacing w:after="5" w:line="249" w:lineRule="auto"/>
        <w:ind w:left="1440" w:right="1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F2P</w:t>
      </w:r>
      <w:r w:rsidRPr="005A0990">
        <w:rPr>
          <w:rFonts w:ascii="Times New Roman" w:eastAsia="Times New Roman" w:hAnsi="Times New Roman" w:cs="Times New Roman"/>
          <w:sz w:val="32"/>
          <w:lang w:eastAsia="ru-RU"/>
        </w:rPr>
        <w:t> (бесплатно, но с микроплатежами)</w:t>
      </w:r>
      <w:proofErr w:type="gramStart"/>
      <w:r w:rsidRPr="005A0990">
        <w:rPr>
          <w:rFonts w:ascii="Times New Roman" w:eastAsia="Times New Roman" w:hAnsi="Times New Roman" w:cs="Times New Roman"/>
          <w:sz w:val="32"/>
          <w:lang w:eastAsia="ru-RU"/>
        </w:rPr>
        <w:t>: Как</w:t>
      </w:r>
      <w:proofErr w:type="gramEnd"/>
      <w:r w:rsidRPr="005A0990">
        <w:rPr>
          <w:rFonts w:ascii="Times New Roman" w:eastAsia="Times New Roman" w:hAnsi="Times New Roman" w:cs="Times New Roman"/>
          <w:sz w:val="32"/>
          <w:lang w:eastAsia="ru-RU"/>
        </w:rPr>
        <w:t xml:space="preserve"> Fortnite — играть можно без вложений, но крутые вещи стоят денег.</w:t>
      </w:r>
    </w:p>
    <w:p w14:paraId="27FEBE7C" w14:textId="77777777" w:rsidR="005A0990" w:rsidRPr="005A0990" w:rsidRDefault="005A0990" w:rsidP="00AD58CD">
      <w:pPr>
        <w:numPr>
          <w:ilvl w:val="0"/>
          <w:numId w:val="213"/>
        </w:numPr>
        <w:spacing w:after="5" w:line="249" w:lineRule="auto"/>
        <w:ind w:left="1440" w:right="1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lastRenderedPageBreak/>
        <w:t>P2P</w:t>
      </w:r>
      <w:r w:rsidRPr="005A0990">
        <w:rPr>
          <w:rFonts w:ascii="Times New Roman" w:eastAsia="Times New Roman" w:hAnsi="Times New Roman" w:cs="Times New Roman"/>
          <w:sz w:val="32"/>
          <w:lang w:eastAsia="ru-RU"/>
        </w:rPr>
        <w:t> (платишь за вход)</w:t>
      </w:r>
      <w:proofErr w:type="gramStart"/>
      <w:r w:rsidRPr="005A0990">
        <w:rPr>
          <w:rFonts w:ascii="Times New Roman" w:eastAsia="Times New Roman" w:hAnsi="Times New Roman" w:cs="Times New Roman"/>
          <w:sz w:val="32"/>
          <w:lang w:eastAsia="ru-RU"/>
        </w:rPr>
        <w:t>: Как</w:t>
      </w:r>
      <w:proofErr w:type="gramEnd"/>
      <w:r w:rsidRPr="005A0990">
        <w:rPr>
          <w:rFonts w:ascii="Times New Roman" w:eastAsia="Times New Roman" w:hAnsi="Times New Roman" w:cs="Times New Roman"/>
          <w:sz w:val="32"/>
          <w:lang w:eastAsia="ru-RU"/>
        </w:rPr>
        <w:t xml:space="preserve"> World of Warcraft — купил игру, а потом докупаешь дополнения.</w:t>
      </w:r>
    </w:p>
    <w:p w14:paraId="72DE6E97" w14:textId="77777777" w:rsidR="005A0990" w:rsidRPr="005A0990" w:rsidRDefault="005A0990" w:rsidP="00AD58CD">
      <w:pPr>
        <w:numPr>
          <w:ilvl w:val="0"/>
          <w:numId w:val="213"/>
        </w:numPr>
        <w:spacing w:after="5" w:line="249" w:lineRule="auto"/>
        <w:ind w:left="1440" w:right="1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Подписка</w:t>
      </w:r>
      <w:proofErr w:type="gramStart"/>
      <w:r w:rsidRPr="005A0990">
        <w:rPr>
          <w:rFonts w:ascii="Times New Roman" w:eastAsia="Times New Roman" w:hAnsi="Times New Roman" w:cs="Times New Roman"/>
          <w:sz w:val="32"/>
          <w:lang w:eastAsia="ru-RU"/>
        </w:rPr>
        <w:t>: Как</w:t>
      </w:r>
      <w:proofErr w:type="gramEnd"/>
      <w:r w:rsidRPr="005A0990">
        <w:rPr>
          <w:rFonts w:ascii="Times New Roman" w:eastAsia="Times New Roman" w:hAnsi="Times New Roman" w:cs="Times New Roman"/>
          <w:sz w:val="32"/>
          <w:lang w:eastAsia="ru-RU"/>
        </w:rPr>
        <w:t xml:space="preserve"> Xbox Game Pass — платишь ежемесячно и получаешь доступ к библиотеке.</w:t>
      </w:r>
    </w:p>
    <w:p w14:paraId="5A458500"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В итоге, ценообразование в играх — это не просто математика, а сложный симбиоз экономики, психологии и дизайна, где каждая механика должна работать на баланс. Цены на цифровые активы в MMOG (массовых многопользовательских онлайн-играх) зависят от множества факторов: внутриигровой экономики, поведения игроков, технологий и рыночных тенденций. </w:t>
      </w:r>
    </w:p>
    <w:p w14:paraId="380C2B70"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 xml:space="preserve">Разберём основные механизмы, влияющие на стоимость внутриигровых цифровых товаров и игровой валюты. </w:t>
      </w:r>
    </w:p>
    <w:p w14:paraId="45EB4ABE"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Взаимозависимость механизмов:</w:t>
      </w:r>
      <w:r w:rsidRPr="005A0990">
        <w:rPr>
          <w:rFonts w:ascii="Times New Roman" w:eastAsia="Times New Roman" w:hAnsi="Times New Roman" w:cs="Times New Roman"/>
          <w:sz w:val="32"/>
          <w:lang w:eastAsia="ru-RU"/>
        </w:rPr>
        <w:t xml:space="preserve"> Редкие предметы (например, уникальный меч в MMORPG) могут резко дорожать из-за ограниченного дропа, но их цена рухнет, если разработчики выпустят аналоги в массовом обновлении. Даже полезная игровая валюта теряет ценность при падении популярности игры или нестабильности серверов.</w:t>
      </w:r>
    </w:p>
    <w:p w14:paraId="6E9F39CE"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Динамика рынка:</w:t>
      </w:r>
      <w:r w:rsidRPr="005A0990">
        <w:rPr>
          <w:rFonts w:ascii="Times New Roman" w:eastAsia="Times New Roman" w:hAnsi="Times New Roman" w:cs="Times New Roman"/>
          <w:sz w:val="32"/>
          <w:lang w:eastAsia="ru-RU"/>
        </w:rPr>
        <w:t xml:space="preserve"> Краткосрочные тренды (сезонные скины в Fortnite, балансные обновления) и долгосрочные изменения (закрытие серверов, как в </w:t>
      </w:r>
      <w:r w:rsidRPr="005A0990">
        <w:rPr>
          <w:rFonts w:ascii="Times New Roman" w:eastAsia="Times New Roman" w:hAnsi="Times New Roman" w:cs="Times New Roman"/>
          <w:i/>
          <w:iCs/>
          <w:sz w:val="32"/>
          <w:lang w:eastAsia="ru-RU"/>
        </w:rPr>
        <w:t>LawBreakers</w:t>
      </w:r>
      <w:r w:rsidRPr="005A0990">
        <w:rPr>
          <w:rFonts w:ascii="Times New Roman" w:eastAsia="Times New Roman" w:hAnsi="Times New Roman" w:cs="Times New Roman"/>
          <w:sz w:val="32"/>
          <w:lang w:eastAsia="ru-RU"/>
        </w:rPr>
        <w:t>, или релиз </w:t>
      </w:r>
      <w:r w:rsidRPr="005A0990">
        <w:rPr>
          <w:rFonts w:ascii="Times New Roman" w:eastAsia="Times New Roman" w:hAnsi="Times New Roman" w:cs="Times New Roman"/>
          <w:i/>
          <w:iCs/>
          <w:sz w:val="32"/>
          <w:lang w:eastAsia="ru-RU"/>
        </w:rPr>
        <w:t>WoW: Classic</w:t>
      </w:r>
      <w:r w:rsidRPr="005A0990">
        <w:rPr>
          <w:rFonts w:ascii="Times New Roman" w:eastAsia="Times New Roman" w:hAnsi="Times New Roman" w:cs="Times New Roman"/>
          <w:sz w:val="32"/>
          <w:lang w:eastAsia="ru-RU"/>
        </w:rPr>
        <w:t xml:space="preserve">) напрямую влияют на стоимость. Спекуляции на площадках вроде Steam Market (редкие ножи </w:t>
      </w:r>
      <w:proofErr w:type="gramStart"/>
      <w:r w:rsidRPr="005A0990">
        <w:rPr>
          <w:rFonts w:ascii="Times New Roman" w:eastAsia="Times New Roman" w:hAnsi="Times New Roman" w:cs="Times New Roman"/>
          <w:sz w:val="32"/>
          <w:lang w:eastAsia="ru-RU"/>
        </w:rPr>
        <w:t>CS:GO</w:t>
      </w:r>
      <w:proofErr w:type="gramEnd"/>
      <w:r w:rsidRPr="005A0990">
        <w:rPr>
          <w:rFonts w:ascii="Times New Roman" w:eastAsia="Times New Roman" w:hAnsi="Times New Roman" w:cs="Times New Roman"/>
          <w:sz w:val="32"/>
          <w:lang w:eastAsia="ru-RU"/>
        </w:rPr>
        <w:t>) создают ажиотаж, но цены падают при смене игровой меты.</w:t>
      </w:r>
    </w:p>
    <w:p w14:paraId="6D798B6B"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Риски:</w:t>
      </w:r>
      <w:r w:rsidRPr="005A0990">
        <w:rPr>
          <w:rFonts w:ascii="Times New Roman" w:eastAsia="Times New Roman" w:hAnsi="Times New Roman" w:cs="Times New Roman"/>
          <w:sz w:val="32"/>
          <w:lang w:eastAsia="ru-RU"/>
        </w:rPr>
        <w:t xml:space="preserve"> Технологические (баги, дублирование предметов), репутационные (скандалы с Pay-to-Win, как в </w:t>
      </w:r>
      <w:r w:rsidRPr="005A0990">
        <w:rPr>
          <w:rFonts w:ascii="Times New Roman" w:eastAsia="Times New Roman" w:hAnsi="Times New Roman" w:cs="Times New Roman"/>
          <w:i/>
          <w:iCs/>
          <w:sz w:val="32"/>
          <w:lang w:eastAsia="ru-RU"/>
        </w:rPr>
        <w:t>Star Wars Battlefront II</w:t>
      </w:r>
      <w:r w:rsidRPr="005A0990">
        <w:rPr>
          <w:rFonts w:ascii="Times New Roman" w:eastAsia="Times New Roman" w:hAnsi="Times New Roman" w:cs="Times New Roman"/>
          <w:sz w:val="32"/>
          <w:lang w:eastAsia="ru-RU"/>
        </w:rPr>
        <w:t>) и юридические (запреты лутбоксов в ЕС).</w:t>
      </w:r>
    </w:p>
    <w:p w14:paraId="6AE6842D"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Стратегии:</w:t>
      </w:r>
      <w:r w:rsidRPr="005A0990">
        <w:rPr>
          <w:rFonts w:ascii="Times New Roman" w:eastAsia="Times New Roman" w:hAnsi="Times New Roman" w:cs="Times New Roman"/>
          <w:sz w:val="32"/>
          <w:lang w:eastAsia="ru-RU"/>
        </w:rPr>
        <w:t xml:space="preserve"> Диверсификация активов (валюта, крафт-ресурсы), анализ экономики игры (например, сжигание валюты в </w:t>
      </w:r>
      <w:r w:rsidRPr="005A0990">
        <w:rPr>
          <w:rFonts w:ascii="Times New Roman" w:eastAsia="Times New Roman" w:hAnsi="Times New Roman" w:cs="Times New Roman"/>
          <w:i/>
          <w:iCs/>
          <w:sz w:val="32"/>
          <w:lang w:eastAsia="ru-RU"/>
        </w:rPr>
        <w:t>Path of Exile</w:t>
      </w:r>
      <w:r w:rsidRPr="005A0990">
        <w:rPr>
          <w:rFonts w:ascii="Times New Roman" w:eastAsia="Times New Roman" w:hAnsi="Times New Roman" w:cs="Times New Roman"/>
          <w:sz w:val="32"/>
          <w:lang w:eastAsia="ru-RU"/>
        </w:rPr>
        <w:t>), мониторинг обновлений через патч-ноты и торговые площадки (Steam Market, </w:t>
      </w:r>
      <w:r w:rsidRPr="005A0990">
        <w:rPr>
          <w:rFonts w:ascii="Times New Roman" w:eastAsia="Times New Roman" w:hAnsi="Times New Roman" w:cs="Times New Roman"/>
          <w:i/>
          <w:iCs/>
          <w:sz w:val="32"/>
          <w:lang w:eastAsia="ru-RU"/>
        </w:rPr>
        <w:t>PlayerAuctions</w:t>
      </w:r>
      <w:r w:rsidRPr="005A0990">
        <w:rPr>
          <w:rFonts w:ascii="Times New Roman" w:eastAsia="Times New Roman" w:hAnsi="Times New Roman" w:cs="Times New Roman"/>
          <w:sz w:val="32"/>
          <w:lang w:eastAsia="ru-RU"/>
        </w:rPr>
        <w:t>).</w:t>
      </w:r>
    </w:p>
    <w:p w14:paraId="28699960"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b/>
          <w:bCs/>
          <w:sz w:val="32"/>
          <w:lang w:eastAsia="ru-RU"/>
        </w:rPr>
        <w:t>Будущее:</w:t>
      </w:r>
      <w:r w:rsidRPr="005A0990">
        <w:rPr>
          <w:rFonts w:ascii="Times New Roman" w:eastAsia="Times New Roman" w:hAnsi="Times New Roman" w:cs="Times New Roman"/>
          <w:sz w:val="32"/>
          <w:lang w:eastAsia="ru-RU"/>
        </w:rPr>
        <w:t xml:space="preserve"> Кросс-игровая совместимость (</w:t>
      </w:r>
      <w:r w:rsidRPr="005A0990">
        <w:rPr>
          <w:rFonts w:ascii="Times New Roman" w:eastAsia="Times New Roman" w:hAnsi="Times New Roman" w:cs="Times New Roman"/>
          <w:i/>
          <w:iCs/>
          <w:sz w:val="32"/>
          <w:lang w:eastAsia="ru-RU"/>
        </w:rPr>
        <w:t>Ubisoft Quartz</w:t>
      </w:r>
      <w:r w:rsidRPr="005A0990">
        <w:rPr>
          <w:rFonts w:ascii="Times New Roman" w:eastAsia="Times New Roman" w:hAnsi="Times New Roman" w:cs="Times New Roman"/>
          <w:sz w:val="32"/>
          <w:lang w:eastAsia="ru-RU"/>
        </w:rPr>
        <w:t>), децентрализованные рынки (риск конфликтов, как в </w:t>
      </w:r>
      <w:r w:rsidRPr="005A0990">
        <w:rPr>
          <w:rFonts w:ascii="Times New Roman" w:eastAsia="Times New Roman" w:hAnsi="Times New Roman" w:cs="Times New Roman"/>
          <w:i/>
          <w:iCs/>
          <w:sz w:val="32"/>
          <w:lang w:eastAsia="ru-RU"/>
        </w:rPr>
        <w:t>EVE Online</w:t>
      </w:r>
      <w:r w:rsidRPr="005A0990">
        <w:rPr>
          <w:rFonts w:ascii="Times New Roman" w:eastAsia="Times New Roman" w:hAnsi="Times New Roman" w:cs="Times New Roman"/>
          <w:sz w:val="32"/>
          <w:lang w:eastAsia="ru-RU"/>
        </w:rPr>
        <w:t>), регуляция лутбоксов и рост статусности предметов через киберспорт (эксклюзивные скины </w:t>
      </w:r>
      <w:r w:rsidRPr="005A0990">
        <w:rPr>
          <w:rFonts w:ascii="Times New Roman" w:eastAsia="Times New Roman" w:hAnsi="Times New Roman" w:cs="Times New Roman"/>
          <w:i/>
          <w:iCs/>
          <w:sz w:val="32"/>
          <w:lang w:eastAsia="ru-RU"/>
        </w:rPr>
        <w:t>League of Legends</w:t>
      </w:r>
      <w:r w:rsidRPr="005A0990">
        <w:rPr>
          <w:rFonts w:ascii="Times New Roman" w:eastAsia="Times New Roman" w:hAnsi="Times New Roman" w:cs="Times New Roman"/>
          <w:sz w:val="32"/>
          <w:lang w:eastAsia="ru-RU"/>
        </w:rPr>
        <w:t>).</w:t>
      </w:r>
    </w:p>
    <w:p w14:paraId="762DC86C" w14:textId="77777777" w:rsidR="005A0990" w:rsidRPr="005A0990" w:rsidRDefault="005A0990" w:rsidP="005A0990">
      <w:pPr>
        <w:spacing w:after="0" w:line="249" w:lineRule="auto"/>
        <w:ind w:left="142" w:right="110" w:firstLine="710"/>
        <w:jc w:val="center"/>
        <w:rPr>
          <w:rFonts w:ascii="Times New Roman" w:eastAsia="Times New Roman" w:hAnsi="Times New Roman" w:cs="Times New Roman"/>
          <w:b/>
          <w:sz w:val="32"/>
          <w:lang w:eastAsia="ru-RU"/>
        </w:rPr>
      </w:pPr>
      <w:r w:rsidRPr="005A0990">
        <w:rPr>
          <w:rFonts w:ascii="Times New Roman" w:eastAsia="Times New Roman" w:hAnsi="Times New Roman" w:cs="Times New Roman"/>
          <w:b/>
          <w:sz w:val="32"/>
          <w:lang w:eastAsia="ru-RU"/>
        </w:rPr>
        <w:t>Вывод</w:t>
      </w:r>
    </w:p>
    <w:p w14:paraId="556EBB30" w14:textId="77777777" w:rsidR="005A0990" w:rsidRPr="005A0990" w:rsidRDefault="005A0990" w:rsidP="005A0990">
      <w:pPr>
        <w:spacing w:after="0" w:line="249" w:lineRule="auto"/>
        <w:ind w:left="142" w:right="110" w:firstLine="710"/>
        <w:jc w:val="both"/>
        <w:rPr>
          <w:rFonts w:ascii="Times New Roman" w:eastAsia="Times New Roman" w:hAnsi="Times New Roman" w:cs="Times New Roman"/>
          <w:b/>
          <w:bCs/>
          <w:sz w:val="32"/>
          <w:lang w:eastAsia="ru-RU"/>
        </w:rPr>
      </w:pPr>
      <w:r w:rsidRPr="005A0990">
        <w:rPr>
          <w:rFonts w:ascii="Times New Roman" w:eastAsia="Times New Roman" w:hAnsi="Times New Roman" w:cs="Times New Roman"/>
          <w:sz w:val="32"/>
          <w:lang w:eastAsia="ru-RU"/>
        </w:rPr>
        <w:t xml:space="preserve">Стоимость внутриигровых предметов — хрупкий актив, привязанный к экосистеме конкретной игры. Их ценность зависит не </w:t>
      </w:r>
      <w:r w:rsidRPr="005A0990">
        <w:rPr>
          <w:rFonts w:ascii="Times New Roman" w:eastAsia="Times New Roman" w:hAnsi="Times New Roman" w:cs="Times New Roman"/>
          <w:sz w:val="32"/>
          <w:lang w:eastAsia="ru-RU"/>
        </w:rPr>
        <w:lastRenderedPageBreak/>
        <w:t>только от редкости или полезности, но и от долголетия проекта (как </w:t>
      </w:r>
      <w:r w:rsidRPr="005A0990">
        <w:rPr>
          <w:rFonts w:ascii="Times New Roman" w:eastAsia="Times New Roman" w:hAnsi="Times New Roman" w:cs="Times New Roman"/>
          <w:i/>
          <w:iCs/>
          <w:sz w:val="32"/>
          <w:lang w:eastAsia="ru-RU"/>
        </w:rPr>
        <w:t>Team Fortress 2</w:t>
      </w:r>
      <w:r w:rsidRPr="005A0990">
        <w:rPr>
          <w:rFonts w:ascii="Times New Roman" w:eastAsia="Times New Roman" w:hAnsi="Times New Roman" w:cs="Times New Roman"/>
          <w:sz w:val="32"/>
          <w:lang w:eastAsia="ru-RU"/>
        </w:rPr>
        <w:t>), решений разработчиков (баны в </w:t>
      </w:r>
      <w:r w:rsidRPr="005A0990">
        <w:rPr>
          <w:rFonts w:ascii="Times New Roman" w:eastAsia="Times New Roman" w:hAnsi="Times New Roman" w:cs="Times New Roman"/>
          <w:i/>
          <w:iCs/>
          <w:sz w:val="32"/>
          <w:lang w:eastAsia="ru-RU"/>
        </w:rPr>
        <w:t>World of Tanks</w:t>
      </w:r>
      <w:r w:rsidRPr="005A0990">
        <w:rPr>
          <w:rFonts w:ascii="Times New Roman" w:eastAsia="Times New Roman" w:hAnsi="Times New Roman" w:cs="Times New Roman"/>
          <w:sz w:val="32"/>
          <w:lang w:eastAsia="ru-RU"/>
        </w:rPr>
        <w:t> или поддержка рынка в </w:t>
      </w:r>
      <w:r w:rsidRPr="005A0990">
        <w:rPr>
          <w:rFonts w:ascii="Times New Roman" w:eastAsia="Times New Roman" w:hAnsi="Times New Roman" w:cs="Times New Roman"/>
          <w:i/>
          <w:iCs/>
          <w:sz w:val="32"/>
          <w:lang w:eastAsia="ru-RU"/>
        </w:rPr>
        <w:t>Warframe</w:t>
      </w:r>
      <w:r w:rsidRPr="005A0990">
        <w:rPr>
          <w:rFonts w:ascii="Times New Roman" w:eastAsia="Times New Roman" w:hAnsi="Times New Roman" w:cs="Times New Roman"/>
          <w:sz w:val="32"/>
          <w:lang w:eastAsia="ru-RU"/>
        </w:rPr>
        <w:t xml:space="preserve">) и культурного статуса (скины </w:t>
      </w:r>
      <w:proofErr w:type="gramStart"/>
      <w:r w:rsidRPr="005A0990">
        <w:rPr>
          <w:rFonts w:ascii="Times New Roman" w:eastAsia="Times New Roman" w:hAnsi="Times New Roman" w:cs="Times New Roman"/>
          <w:sz w:val="32"/>
          <w:lang w:eastAsia="ru-RU"/>
        </w:rPr>
        <w:t>CS:GO</w:t>
      </w:r>
      <w:proofErr w:type="gramEnd"/>
      <w:r w:rsidRPr="005A0990">
        <w:rPr>
          <w:rFonts w:ascii="Times New Roman" w:eastAsia="Times New Roman" w:hAnsi="Times New Roman" w:cs="Times New Roman"/>
          <w:sz w:val="32"/>
          <w:lang w:eastAsia="ru-RU"/>
        </w:rPr>
        <w:t> как символ идентичности). Инвестиции требуют глубокого понимания механики, анализа рисков (патчи, закрытие серверов) и готовности к мгновенным изменениям.</w:t>
      </w:r>
    </w:p>
    <w:p w14:paraId="14100645"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r w:rsidRPr="005A0990">
        <w:rPr>
          <w:rFonts w:ascii="Times New Roman" w:eastAsia="Times New Roman" w:hAnsi="Times New Roman" w:cs="Times New Roman"/>
          <w:sz w:val="32"/>
          <w:lang w:eastAsia="ru-RU"/>
        </w:rPr>
        <w:t>Успех здесь строится на </w:t>
      </w:r>
      <w:r w:rsidRPr="005A0990">
        <w:rPr>
          <w:rFonts w:ascii="Times New Roman" w:eastAsia="Times New Roman" w:hAnsi="Times New Roman" w:cs="Times New Roman"/>
          <w:b/>
          <w:bCs/>
          <w:sz w:val="32"/>
          <w:lang w:eastAsia="ru-RU"/>
        </w:rPr>
        <w:t>комплексном подходе</w:t>
      </w:r>
      <w:r w:rsidRPr="005A0990">
        <w:rPr>
          <w:rFonts w:ascii="Times New Roman" w:eastAsia="Times New Roman" w:hAnsi="Times New Roman" w:cs="Times New Roman"/>
          <w:sz w:val="32"/>
          <w:lang w:eastAsia="ru-RU"/>
        </w:rPr>
        <w:t>: оценке не только актива, но и перспектив платформы, юридических нюансов и технологических трендов. Ключ к выживанию в волатильном рынке — баланс между страстью к игре, трезвым расчетом и адаптивностью. Примеры вроде </w:t>
      </w:r>
      <w:r w:rsidRPr="005A0990">
        <w:rPr>
          <w:rFonts w:ascii="Times New Roman" w:eastAsia="Times New Roman" w:hAnsi="Times New Roman" w:cs="Times New Roman"/>
          <w:i/>
          <w:iCs/>
          <w:sz w:val="32"/>
          <w:lang w:eastAsia="ru-RU"/>
        </w:rPr>
        <w:t>Runescape</w:t>
      </w:r>
      <w:r w:rsidRPr="005A0990">
        <w:rPr>
          <w:rFonts w:ascii="Times New Roman" w:eastAsia="Times New Roman" w:hAnsi="Times New Roman" w:cs="Times New Roman"/>
          <w:sz w:val="32"/>
          <w:lang w:eastAsia="ru-RU"/>
        </w:rPr>
        <w:t> (где предметы теряют ценность за один патч) напоминают: даже цифровые «сокровища» могут обесцениться, если игнорировать взаимосвязь всех факторов — от сообщества до регуляций.</w:t>
      </w:r>
    </w:p>
    <w:p w14:paraId="45CD32C6" w14:textId="77777777" w:rsidR="005A0990" w:rsidRPr="005A0990" w:rsidRDefault="005A0990" w:rsidP="005A0990">
      <w:pPr>
        <w:spacing w:after="5" w:line="249" w:lineRule="auto"/>
        <w:ind w:left="142" w:right="110" w:firstLine="710"/>
        <w:jc w:val="both"/>
        <w:rPr>
          <w:rFonts w:ascii="Times New Roman" w:eastAsia="Times New Roman" w:hAnsi="Times New Roman" w:cs="Times New Roman"/>
          <w:sz w:val="32"/>
          <w:lang w:eastAsia="ru-RU"/>
        </w:rPr>
      </w:pPr>
    </w:p>
    <w:p w14:paraId="6C21A820" w14:textId="37EEA957" w:rsidR="005A0990" w:rsidRPr="005A0990" w:rsidRDefault="008E3B1B" w:rsidP="005A0990">
      <w:pPr>
        <w:tabs>
          <w:tab w:val="left" w:pos="1276"/>
        </w:tabs>
        <w:autoSpaceDE w:val="0"/>
        <w:autoSpaceDN w:val="0"/>
        <w:adjustRightInd w:val="0"/>
        <w:spacing w:after="0" w:line="240" w:lineRule="auto"/>
        <w:ind w:right="182"/>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Л</w:t>
      </w:r>
      <w:r w:rsidR="005A0990" w:rsidRPr="005A0990">
        <w:rPr>
          <w:rFonts w:ascii="Times New Roman" w:eastAsia="Times New Roman" w:hAnsi="Times New Roman" w:cs="Times New Roman"/>
          <w:b/>
          <w:sz w:val="21"/>
          <w:szCs w:val="21"/>
          <w:lang w:eastAsia="ru-RU"/>
        </w:rPr>
        <w:t>итератур</w:t>
      </w:r>
      <w:r>
        <w:rPr>
          <w:rFonts w:ascii="Times New Roman" w:eastAsia="Times New Roman" w:hAnsi="Times New Roman" w:cs="Times New Roman"/>
          <w:b/>
          <w:sz w:val="21"/>
          <w:szCs w:val="21"/>
          <w:lang w:eastAsia="ru-RU"/>
        </w:rPr>
        <w:t>а:</w:t>
      </w:r>
    </w:p>
    <w:p w14:paraId="623BB76D" w14:textId="77777777" w:rsidR="005A0990" w:rsidRPr="005A0990" w:rsidRDefault="005A0990" w:rsidP="00AD58CD">
      <w:pPr>
        <w:numPr>
          <w:ilvl w:val="0"/>
          <w:numId w:val="214"/>
        </w:numPr>
        <w:tabs>
          <w:tab w:val="left" w:pos="1276"/>
        </w:tabs>
        <w:spacing w:after="0" w:line="240" w:lineRule="auto"/>
        <w:ind w:left="426" w:right="182"/>
        <w:contextualSpacing/>
        <w:jc w:val="both"/>
        <w:rPr>
          <w:rFonts w:ascii="Times New Roman" w:eastAsia="Calibri" w:hAnsi="Times New Roman" w:cs="Times New Roman"/>
          <w:sz w:val="21"/>
          <w:szCs w:val="21"/>
        </w:rPr>
      </w:pPr>
      <w:r w:rsidRPr="005A0990">
        <w:rPr>
          <w:rFonts w:ascii="Times New Roman" w:eastAsia="Calibri" w:hAnsi="Times New Roman" w:cs="Times New Roman"/>
          <w:sz w:val="21"/>
          <w:szCs w:val="21"/>
        </w:rPr>
        <w:t xml:space="preserve">Стратегия ценообразования// Редакционная группа </w:t>
      </w:r>
      <w:r w:rsidRPr="005A0990">
        <w:rPr>
          <w:rFonts w:ascii="Times New Roman" w:eastAsia="Calibri" w:hAnsi="Times New Roman" w:cs="Times New Roman"/>
          <w:sz w:val="21"/>
          <w:szCs w:val="21"/>
          <w:lang w:val="en-US"/>
        </w:rPr>
        <w:t>Lark</w:t>
      </w:r>
      <w:r w:rsidRPr="005A0990">
        <w:rPr>
          <w:rFonts w:ascii="Times New Roman" w:eastAsia="Calibri" w:hAnsi="Times New Roman" w:cs="Times New Roman"/>
          <w:sz w:val="21"/>
          <w:szCs w:val="21"/>
        </w:rPr>
        <w:t xml:space="preserve"> [Электронный ресурс] URL: </w:t>
      </w:r>
      <w:r w:rsidRPr="005A0990">
        <w:rPr>
          <w:rFonts w:ascii="Times New Roman" w:eastAsia="Calibri" w:hAnsi="Times New Roman" w:cs="Times New Roman"/>
          <w:sz w:val="21"/>
          <w:szCs w:val="21"/>
          <w:u w:val="single"/>
        </w:rPr>
        <w:t>https://www.larksuite.com/en_us/topics/gaming-glossary/pricing-strategy</w:t>
      </w:r>
    </w:p>
    <w:p w14:paraId="27F8CEB4" w14:textId="77777777" w:rsidR="005A0990" w:rsidRPr="005A0990" w:rsidRDefault="005A0990" w:rsidP="00AD58CD">
      <w:pPr>
        <w:numPr>
          <w:ilvl w:val="0"/>
          <w:numId w:val="214"/>
        </w:numPr>
        <w:tabs>
          <w:tab w:val="left" w:pos="1276"/>
        </w:tabs>
        <w:spacing w:after="0" w:line="240" w:lineRule="auto"/>
        <w:ind w:left="426" w:right="182"/>
        <w:contextualSpacing/>
        <w:jc w:val="both"/>
        <w:rPr>
          <w:rFonts w:ascii="Times New Roman" w:eastAsia="Calibri" w:hAnsi="Times New Roman" w:cs="Times New Roman"/>
          <w:sz w:val="21"/>
          <w:szCs w:val="21"/>
        </w:rPr>
      </w:pPr>
      <w:r w:rsidRPr="005A0990">
        <w:rPr>
          <w:rFonts w:ascii="Times New Roman" w:eastAsia="Calibri" w:hAnsi="Times New Roman" w:cs="Times New Roman"/>
          <w:sz w:val="21"/>
          <w:szCs w:val="21"/>
        </w:rPr>
        <w:t>Осиневич Л. М., Локтионов В. В., Глазунов А. С. Особенности ценообразования на рынке видеоигр/</w:t>
      </w:r>
      <w:proofErr w:type="gramStart"/>
      <w:r w:rsidRPr="005A0990">
        <w:rPr>
          <w:rFonts w:ascii="Times New Roman" w:eastAsia="Calibri" w:hAnsi="Times New Roman" w:cs="Times New Roman"/>
          <w:sz w:val="21"/>
          <w:szCs w:val="21"/>
        </w:rPr>
        <w:t>/  Россия</w:t>
      </w:r>
      <w:proofErr w:type="gramEnd"/>
      <w:r w:rsidRPr="005A0990">
        <w:rPr>
          <w:rFonts w:ascii="Times New Roman" w:eastAsia="Calibri" w:hAnsi="Times New Roman" w:cs="Times New Roman"/>
          <w:sz w:val="21"/>
          <w:szCs w:val="21"/>
        </w:rPr>
        <w:t>: тенденции и перспективы развития 2018</w:t>
      </w:r>
    </w:p>
    <w:p w14:paraId="0F1E9DC5" w14:textId="77777777" w:rsidR="005A0990" w:rsidRPr="005A0990" w:rsidRDefault="005A0990" w:rsidP="00AD58CD">
      <w:pPr>
        <w:numPr>
          <w:ilvl w:val="0"/>
          <w:numId w:val="214"/>
        </w:numPr>
        <w:tabs>
          <w:tab w:val="left" w:pos="1276"/>
        </w:tabs>
        <w:spacing w:after="0" w:line="240" w:lineRule="auto"/>
        <w:ind w:left="426" w:right="182"/>
        <w:contextualSpacing/>
        <w:jc w:val="both"/>
        <w:rPr>
          <w:rFonts w:ascii="Times New Roman" w:eastAsia="Calibri" w:hAnsi="Times New Roman" w:cs="Times New Roman"/>
          <w:sz w:val="21"/>
          <w:szCs w:val="21"/>
        </w:rPr>
      </w:pPr>
      <w:r w:rsidRPr="005A0990">
        <w:rPr>
          <w:rFonts w:ascii="Times New Roman" w:eastAsia="Calibri" w:hAnsi="Times New Roman" w:cs="Times New Roman"/>
          <w:sz w:val="21"/>
          <w:szCs w:val="21"/>
        </w:rPr>
        <w:t xml:space="preserve">На пути к идеальной цене// Григорий Чопоров [Электронный ресурс] URL: </w:t>
      </w:r>
      <w:r w:rsidRPr="005A0990">
        <w:rPr>
          <w:rFonts w:ascii="Times New Roman" w:eastAsia="Calibri" w:hAnsi="Times New Roman" w:cs="Times New Roman"/>
          <w:sz w:val="21"/>
          <w:szCs w:val="21"/>
          <w:u w:val="single"/>
        </w:rPr>
        <w:t>https://gdcuffs.com/perfect-price/</w:t>
      </w:r>
    </w:p>
    <w:p w14:paraId="249741E5" w14:textId="77777777" w:rsidR="005A0990" w:rsidRPr="005A0990" w:rsidRDefault="005A0990" w:rsidP="00AD58CD">
      <w:pPr>
        <w:numPr>
          <w:ilvl w:val="0"/>
          <w:numId w:val="214"/>
        </w:numPr>
        <w:tabs>
          <w:tab w:val="left" w:pos="1276"/>
        </w:tabs>
        <w:spacing w:after="0" w:line="240" w:lineRule="auto"/>
        <w:ind w:left="426" w:right="182"/>
        <w:contextualSpacing/>
        <w:jc w:val="both"/>
        <w:rPr>
          <w:rFonts w:ascii="Times New Roman" w:eastAsia="Calibri" w:hAnsi="Times New Roman" w:cs="Times New Roman"/>
          <w:sz w:val="21"/>
          <w:szCs w:val="21"/>
        </w:rPr>
      </w:pPr>
      <w:r w:rsidRPr="005A0990">
        <w:rPr>
          <w:rFonts w:ascii="Times New Roman" w:eastAsia="Calibri" w:hAnsi="Times New Roman" w:cs="Times New Roman"/>
          <w:sz w:val="21"/>
          <w:szCs w:val="21"/>
        </w:rPr>
        <w:t xml:space="preserve">MMOG (Массовые многопользовательские онлайн-игры) Глобальный стратегический бизнес-отчет [Электронный ресурс] URL: </w:t>
      </w:r>
    </w:p>
    <w:p w14:paraId="59C7B1ED" w14:textId="77777777" w:rsidR="005A0990" w:rsidRPr="005A0990" w:rsidRDefault="00132A69" w:rsidP="005A0990">
      <w:pPr>
        <w:tabs>
          <w:tab w:val="left" w:pos="1276"/>
        </w:tabs>
        <w:spacing w:after="0" w:line="240" w:lineRule="auto"/>
        <w:ind w:left="720" w:right="182"/>
        <w:contextualSpacing/>
        <w:jc w:val="both"/>
        <w:rPr>
          <w:rFonts w:ascii="Times New Roman" w:eastAsia="Calibri" w:hAnsi="Times New Roman" w:cs="Times New Roman"/>
          <w:sz w:val="21"/>
          <w:szCs w:val="21"/>
        </w:rPr>
      </w:pPr>
      <w:hyperlink r:id="rId405" w:history="1">
        <w:r w:rsidR="005A0990" w:rsidRPr="005A0990">
          <w:rPr>
            <w:rFonts w:ascii="Times New Roman" w:eastAsia="Calibri" w:hAnsi="Times New Roman" w:cs="Times New Roman"/>
            <w:sz w:val="21"/>
            <w:szCs w:val="21"/>
            <w:u w:val="single"/>
          </w:rPr>
          <w:t>https://www.researchandmarkets.com/reports/1244811/mmog_massively_multiplayer_online_games</w:t>
        </w:r>
      </w:hyperlink>
    </w:p>
    <w:p w14:paraId="55413E7B" w14:textId="77777777" w:rsidR="005A0990" w:rsidRPr="00895CEB" w:rsidRDefault="005A0990" w:rsidP="00AB40DE">
      <w:pPr>
        <w:spacing w:after="0" w:line="240" w:lineRule="auto"/>
        <w:rPr>
          <w:rFonts w:ascii="Times New Roman" w:eastAsia="Times New Roman" w:hAnsi="Times New Roman" w:cs="Times New Roman"/>
          <w:kern w:val="2"/>
          <w:sz w:val="24"/>
          <w:szCs w:val="24"/>
          <w:lang w:eastAsia="ru-RU"/>
        </w:rPr>
      </w:pPr>
    </w:p>
    <w:p w14:paraId="0564992F" w14:textId="77777777" w:rsidR="00877DE5" w:rsidRPr="00877DE5" w:rsidRDefault="00877DE5" w:rsidP="00A61B2D">
      <w:pPr>
        <w:spacing w:after="0" w:line="240" w:lineRule="auto"/>
        <w:contextualSpacing/>
        <w:jc w:val="both"/>
        <w:rPr>
          <w:rFonts w:ascii="Times New Roman" w:eastAsia="Times New Roman" w:hAnsi="Times New Roman" w:cs="Times New Roman"/>
          <w:kern w:val="2"/>
          <w:sz w:val="21"/>
          <w:szCs w:val="21"/>
          <w:lang w:eastAsia="ru-RU"/>
        </w:rPr>
      </w:pPr>
    </w:p>
    <w:p w14:paraId="7F555A24" w14:textId="77777777" w:rsidR="00877DE5" w:rsidRPr="00877DE5" w:rsidRDefault="00877DE5" w:rsidP="00A61B2D">
      <w:pPr>
        <w:suppressAutoHyphens/>
        <w:spacing w:after="0" w:line="240" w:lineRule="auto"/>
        <w:rPr>
          <w:rFonts w:ascii="Times New Roman" w:eastAsia="Times New Roman" w:hAnsi="Times New Roman" w:cs="Times New Roman"/>
          <w:b/>
          <w:iCs/>
          <w:color w:val="000000"/>
          <w:sz w:val="21"/>
          <w:szCs w:val="21"/>
          <w:lang w:eastAsia="ar-SA"/>
        </w:rPr>
      </w:pPr>
      <w:r w:rsidRPr="00877DE5">
        <w:rPr>
          <w:rFonts w:ascii="Times New Roman" w:eastAsia="Times New Roman" w:hAnsi="Times New Roman" w:cs="Times New Roman"/>
          <w:b/>
          <w:iCs/>
          <w:color w:val="000000"/>
          <w:sz w:val="21"/>
          <w:szCs w:val="21"/>
          <w:lang w:eastAsia="ar-SA"/>
        </w:rPr>
        <w:t>УДК ЗЗ8</w:t>
      </w:r>
    </w:p>
    <w:p w14:paraId="08700E84"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1"/>
          <w:szCs w:val="21"/>
          <w:lang w:eastAsia="ar-SA"/>
        </w:rPr>
        <w:t xml:space="preserve">Попова В.Д., </w:t>
      </w:r>
    </w:p>
    <w:p w14:paraId="4DE9A61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 3 курса </w:t>
      </w:r>
    </w:p>
    <w:p w14:paraId="179656F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7D921C10"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694B7AB6" w14:textId="77777777" w:rsidR="00877DE5" w:rsidRPr="00EE54F2" w:rsidRDefault="00877DE5" w:rsidP="00067100">
      <w:pPr>
        <w:spacing w:after="0" w:line="240" w:lineRule="auto"/>
        <w:ind w:firstLine="709"/>
        <w:jc w:val="right"/>
        <w:rPr>
          <w:rFonts w:ascii="Times New Roman" w:eastAsia="Times New Roman" w:hAnsi="Times New Roman" w:cs="Times New Roman"/>
          <w:i/>
          <w:color w:val="000080"/>
          <w:kern w:val="2"/>
          <w:sz w:val="21"/>
          <w:szCs w:val="24"/>
          <w:u w:val="single"/>
          <w:lang w:eastAsia="ru-RU"/>
        </w:rPr>
      </w:pPr>
      <w:r w:rsidRPr="00877DE5">
        <w:rPr>
          <w:rFonts w:ascii="Times New Roman" w:eastAsia="Times New Roman" w:hAnsi="Times New Roman" w:cs="Times New Roman"/>
          <w:i/>
          <w:kern w:val="2"/>
          <w:sz w:val="21"/>
          <w:szCs w:val="20"/>
          <w:lang w:eastAsia="ru-RU"/>
        </w:rPr>
        <w:t>е-</w:t>
      </w:r>
      <w:r w:rsidRPr="00877DE5">
        <w:rPr>
          <w:rFonts w:ascii="Times New Roman" w:eastAsia="Times New Roman" w:hAnsi="Times New Roman" w:cs="Times New Roman"/>
          <w:i/>
          <w:kern w:val="2"/>
          <w:sz w:val="21"/>
          <w:szCs w:val="20"/>
          <w:lang w:val="en-US" w:eastAsia="ru-RU"/>
        </w:rPr>
        <w:t>mail</w:t>
      </w:r>
      <w:r w:rsidRPr="00877DE5">
        <w:rPr>
          <w:rFonts w:ascii="Times New Roman" w:eastAsia="Times New Roman" w:hAnsi="Times New Roman" w:cs="Times New Roman"/>
          <w:i/>
          <w:kern w:val="2"/>
          <w:sz w:val="21"/>
          <w:szCs w:val="20"/>
          <w:lang w:eastAsia="ru-RU"/>
        </w:rPr>
        <w:t xml:space="preserve">: </w:t>
      </w:r>
      <w:hyperlink r:id="rId406" w:history="1">
        <w:r w:rsidRPr="00877DE5">
          <w:rPr>
            <w:rFonts w:ascii="Times New Roman" w:eastAsia="Times New Roman" w:hAnsi="Times New Roman" w:cs="Times New Roman"/>
            <w:i/>
            <w:color w:val="000080"/>
            <w:kern w:val="2"/>
            <w:sz w:val="21"/>
            <w:szCs w:val="24"/>
            <w:u w:val="single"/>
            <w:lang w:eastAsia="ru-RU"/>
          </w:rPr>
          <w:t>100</w:t>
        </w:r>
        <w:r w:rsidRPr="00877DE5">
          <w:rPr>
            <w:rFonts w:ascii="Times New Roman" w:eastAsia="Times New Roman" w:hAnsi="Times New Roman" w:cs="Times New Roman"/>
            <w:i/>
            <w:color w:val="000080"/>
            <w:kern w:val="2"/>
            <w:sz w:val="21"/>
            <w:szCs w:val="24"/>
            <w:u w:val="single"/>
            <w:lang w:val="en-US" w:eastAsia="ru-RU"/>
          </w:rPr>
          <w:t>dot</w:t>
        </w:r>
        <w:r w:rsidRPr="00877DE5">
          <w:rPr>
            <w:rFonts w:ascii="Times New Roman" w:eastAsia="Times New Roman" w:hAnsi="Times New Roman" w:cs="Times New Roman"/>
            <w:i/>
            <w:color w:val="000080"/>
            <w:kern w:val="2"/>
            <w:sz w:val="21"/>
            <w:szCs w:val="24"/>
            <w:u w:val="single"/>
            <w:lang w:eastAsia="ru-RU"/>
          </w:rPr>
          <w:t>13</w:t>
        </w:r>
        <w:r w:rsidRPr="00877DE5">
          <w:rPr>
            <w:rFonts w:ascii="Times New Roman" w:eastAsia="Times New Roman" w:hAnsi="Times New Roman" w:cs="Times New Roman"/>
            <w:i/>
            <w:color w:val="000080"/>
            <w:kern w:val="2"/>
            <w:sz w:val="21"/>
            <w:szCs w:val="24"/>
            <w:u w:val="single"/>
            <w:lang w:val="en-US" w:eastAsia="ru-RU"/>
          </w:rPr>
          <w:t>sl</w:t>
        </w:r>
        <w:r w:rsidRPr="00877DE5">
          <w:rPr>
            <w:rFonts w:ascii="Times New Roman" w:eastAsia="Times New Roman" w:hAnsi="Times New Roman" w:cs="Times New Roman"/>
            <w:i/>
            <w:color w:val="000080"/>
            <w:kern w:val="2"/>
            <w:sz w:val="21"/>
            <w:szCs w:val="24"/>
            <w:u w:val="single"/>
            <w:lang w:eastAsia="ru-RU"/>
          </w:rPr>
          <w:t>220174@</w:t>
        </w:r>
        <w:r w:rsidRPr="00877DE5">
          <w:rPr>
            <w:rFonts w:ascii="Times New Roman" w:eastAsia="Times New Roman" w:hAnsi="Times New Roman" w:cs="Times New Roman"/>
            <w:i/>
            <w:color w:val="000080"/>
            <w:kern w:val="2"/>
            <w:sz w:val="21"/>
            <w:szCs w:val="24"/>
            <w:u w:val="single"/>
            <w:lang w:val="en-US" w:eastAsia="ru-RU"/>
          </w:rPr>
          <w:t>edu</w:t>
        </w:r>
        <w:r w:rsidRPr="00877DE5">
          <w:rPr>
            <w:rFonts w:ascii="Times New Roman" w:eastAsia="Times New Roman" w:hAnsi="Times New Roman" w:cs="Times New Roman"/>
            <w:i/>
            <w:color w:val="000080"/>
            <w:kern w:val="2"/>
            <w:sz w:val="21"/>
            <w:szCs w:val="24"/>
            <w:u w:val="single"/>
            <w:lang w:eastAsia="ru-RU"/>
          </w:rPr>
          <w:t>.</w:t>
        </w:r>
        <w:r w:rsidRPr="00877DE5">
          <w:rPr>
            <w:rFonts w:ascii="Times New Roman" w:eastAsia="Times New Roman" w:hAnsi="Times New Roman" w:cs="Times New Roman"/>
            <w:i/>
            <w:color w:val="000080"/>
            <w:kern w:val="2"/>
            <w:sz w:val="21"/>
            <w:szCs w:val="24"/>
            <w:u w:val="single"/>
            <w:lang w:val="en-US" w:eastAsia="ru-RU"/>
          </w:rPr>
          <w:t>fa</w:t>
        </w:r>
        <w:r w:rsidRPr="00877DE5">
          <w:rPr>
            <w:rFonts w:ascii="Times New Roman" w:eastAsia="Times New Roman" w:hAnsi="Times New Roman" w:cs="Times New Roman"/>
            <w:i/>
            <w:color w:val="000080"/>
            <w:kern w:val="2"/>
            <w:sz w:val="21"/>
            <w:szCs w:val="24"/>
            <w:u w:val="single"/>
            <w:lang w:eastAsia="ru-RU"/>
          </w:rPr>
          <w:t>.</w:t>
        </w:r>
        <w:r w:rsidRPr="00877DE5">
          <w:rPr>
            <w:rFonts w:ascii="Times New Roman" w:eastAsia="Times New Roman" w:hAnsi="Times New Roman" w:cs="Times New Roman"/>
            <w:i/>
            <w:color w:val="000080"/>
            <w:kern w:val="2"/>
            <w:sz w:val="21"/>
            <w:szCs w:val="24"/>
            <w:u w:val="single"/>
            <w:lang w:val="en-US" w:eastAsia="ru-RU"/>
          </w:rPr>
          <w:t>ru</w:t>
        </w:r>
      </w:hyperlink>
    </w:p>
    <w:p w14:paraId="0FAF7D59"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4"/>
          <w:lang w:eastAsia="ru-RU"/>
        </w:rPr>
      </w:pPr>
    </w:p>
    <w:p w14:paraId="5A688204"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0"/>
          <w:lang w:eastAsia="ru-RU"/>
        </w:rPr>
      </w:pPr>
      <w:r w:rsidRPr="00877DE5">
        <w:rPr>
          <w:rFonts w:ascii="Times New Roman" w:eastAsia="Times New Roman" w:hAnsi="Times New Roman" w:cs="Times New Roman"/>
          <w:b/>
          <w:i/>
          <w:kern w:val="2"/>
          <w:sz w:val="21"/>
          <w:szCs w:val="20"/>
          <w:lang w:eastAsia="ru-RU"/>
        </w:rPr>
        <w:t>Научный руководитель:</w:t>
      </w:r>
    </w:p>
    <w:p w14:paraId="7650C69D"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0"/>
          <w:lang w:eastAsia="ru-RU"/>
        </w:rPr>
      </w:pPr>
      <w:r w:rsidRPr="00877DE5">
        <w:rPr>
          <w:rFonts w:ascii="Times New Roman" w:eastAsia="Times New Roman" w:hAnsi="Times New Roman" w:cs="Times New Roman"/>
          <w:b/>
          <w:i/>
          <w:kern w:val="2"/>
          <w:sz w:val="21"/>
          <w:szCs w:val="20"/>
          <w:lang w:eastAsia="ru-RU"/>
        </w:rPr>
        <w:t>Рощектаева У</w:t>
      </w:r>
      <w:r w:rsidR="000E783B">
        <w:rPr>
          <w:rFonts w:ascii="Times New Roman" w:eastAsia="Times New Roman" w:hAnsi="Times New Roman" w:cs="Times New Roman"/>
          <w:b/>
          <w:i/>
          <w:kern w:val="2"/>
          <w:sz w:val="21"/>
          <w:szCs w:val="20"/>
          <w:lang w:eastAsia="ru-RU"/>
        </w:rPr>
        <w:t>.</w:t>
      </w:r>
      <w:r w:rsidRPr="00877DE5">
        <w:rPr>
          <w:rFonts w:ascii="Times New Roman" w:eastAsia="Times New Roman" w:hAnsi="Times New Roman" w:cs="Times New Roman"/>
          <w:b/>
          <w:i/>
          <w:kern w:val="2"/>
          <w:sz w:val="21"/>
          <w:szCs w:val="20"/>
          <w:lang w:eastAsia="ru-RU"/>
        </w:rPr>
        <w:t>Ю.,</w:t>
      </w:r>
    </w:p>
    <w:p w14:paraId="13E07C35"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0"/>
          <w:lang w:eastAsia="ru-RU"/>
        </w:rPr>
      </w:pPr>
      <w:r w:rsidRPr="00877DE5">
        <w:rPr>
          <w:rFonts w:ascii="Times New Roman" w:eastAsia="Times New Roman" w:hAnsi="Times New Roman" w:cs="Times New Roman"/>
          <w:i/>
          <w:kern w:val="2"/>
          <w:sz w:val="21"/>
          <w:szCs w:val="20"/>
          <w:lang w:eastAsia="ru-RU"/>
        </w:rPr>
        <w:t>к.э.н, доцент</w:t>
      </w:r>
    </w:p>
    <w:p w14:paraId="2609CACE"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eastAsia="ar-SA"/>
        </w:rPr>
      </w:pPr>
      <w:r w:rsidRPr="00877DE5">
        <w:rPr>
          <w:rFonts w:ascii="Times New Roman" w:eastAsia="Times New Roman" w:hAnsi="Times New Roman" w:cs="Times New Roman"/>
          <w:i/>
          <w:spacing w:val="-6"/>
          <w:sz w:val="21"/>
          <w:szCs w:val="20"/>
          <w:lang w:val="x-none" w:eastAsia="ar-SA"/>
        </w:rPr>
        <w:t>ФГОБУ ВО</w:t>
      </w:r>
      <w:r w:rsidRPr="00877DE5">
        <w:rPr>
          <w:rFonts w:ascii="Times New Roman" w:eastAsia="Times New Roman" w:hAnsi="Times New Roman" w:cs="Times New Roman"/>
          <w:i/>
          <w:spacing w:val="-6"/>
          <w:sz w:val="21"/>
          <w:szCs w:val="20"/>
          <w:lang w:eastAsia="ar-SA"/>
        </w:rPr>
        <w:t xml:space="preserve"> </w:t>
      </w:r>
      <w:r w:rsidRPr="00877DE5">
        <w:rPr>
          <w:rFonts w:ascii="Times New Roman" w:eastAsia="Times New Roman" w:hAnsi="Times New Roman" w:cs="Times New Roman"/>
          <w:i/>
          <w:spacing w:val="-6"/>
          <w:sz w:val="21"/>
          <w:szCs w:val="20"/>
          <w:lang w:val="x-none" w:eastAsia="ar-SA"/>
        </w:rPr>
        <w:t>«Финансовый университет при Правительстве РФ»</w:t>
      </w:r>
      <w:r w:rsidRPr="00877DE5">
        <w:rPr>
          <w:rFonts w:ascii="Times New Roman" w:eastAsia="Times New Roman" w:hAnsi="Times New Roman" w:cs="Times New Roman"/>
          <w:i/>
          <w:spacing w:val="-6"/>
          <w:sz w:val="21"/>
          <w:szCs w:val="20"/>
          <w:lang w:eastAsia="ar-SA"/>
        </w:rPr>
        <w:t xml:space="preserve"> </w:t>
      </w:r>
    </w:p>
    <w:p w14:paraId="60B61A99"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0"/>
          <w:lang w:eastAsia="ar-SA"/>
        </w:rPr>
      </w:pPr>
      <w:r w:rsidRPr="00877DE5">
        <w:rPr>
          <w:rFonts w:ascii="Times New Roman" w:eastAsia="Times New Roman" w:hAnsi="Times New Roman" w:cs="Times New Roman"/>
          <w:i/>
          <w:sz w:val="21"/>
          <w:szCs w:val="20"/>
          <w:lang w:eastAsia="ar-SA"/>
        </w:rPr>
        <w:t>г. Краснодар, Россия</w:t>
      </w:r>
    </w:p>
    <w:p w14:paraId="452750A6"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mail</w:t>
      </w:r>
      <w:r w:rsidRPr="00877DE5">
        <w:rPr>
          <w:rFonts w:ascii="Times New Roman" w:eastAsia="Times New Roman" w:hAnsi="Times New Roman" w:cs="Times New Roman"/>
          <w:i/>
          <w:sz w:val="21"/>
          <w:szCs w:val="20"/>
          <w:lang w:eastAsia="ar-SA"/>
        </w:rPr>
        <w:t xml:space="preserve">: </w:t>
      </w:r>
      <w:hyperlink r:id="rId407" w:history="1">
        <w:r w:rsidRPr="00877DE5">
          <w:rPr>
            <w:rFonts w:ascii="Times New Roman" w:eastAsia="Times New Roman" w:hAnsi="Times New Roman" w:cs="Times New Roman"/>
            <w:i/>
            <w:color w:val="0000FF"/>
            <w:sz w:val="21"/>
            <w:szCs w:val="20"/>
            <w:u w:val="single"/>
            <w:lang w:val="x-none" w:eastAsia="ar-SA"/>
          </w:rPr>
          <w:t>uyuroschektaeva@fa.ru</w:t>
        </w:r>
      </w:hyperlink>
    </w:p>
    <w:p w14:paraId="104DCDD2" w14:textId="77777777" w:rsidR="00877DE5" w:rsidRPr="00877DE5" w:rsidRDefault="00877DE5" w:rsidP="00067100">
      <w:pPr>
        <w:spacing w:after="0" w:line="240" w:lineRule="auto"/>
        <w:ind w:firstLine="709"/>
        <w:jc w:val="both"/>
        <w:rPr>
          <w:rFonts w:ascii="Times New Roman" w:eastAsia="Times New Roman" w:hAnsi="Times New Roman" w:cs="Times New Roman"/>
          <w:b/>
          <w:bCs/>
          <w:kern w:val="2"/>
          <w:sz w:val="24"/>
          <w:szCs w:val="24"/>
          <w:lang w:val="x-none" w:eastAsia="ru-RU"/>
        </w:rPr>
      </w:pPr>
    </w:p>
    <w:p w14:paraId="13DD98C8"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4"/>
          <w:lang w:eastAsia="ru-RU"/>
        </w:rPr>
      </w:pPr>
      <w:r w:rsidRPr="00877DE5">
        <w:rPr>
          <w:rFonts w:ascii="Times New Roman" w:eastAsia="Times New Roman" w:hAnsi="Times New Roman" w:cs="Times New Roman"/>
          <w:b/>
          <w:bCs/>
          <w:kern w:val="2"/>
          <w:sz w:val="21"/>
          <w:szCs w:val="24"/>
          <w:lang w:eastAsia="ru-RU"/>
        </w:rPr>
        <w:t>Оптимизация бизнес‑процессов на базе Business Intelligence‑решений</w:t>
      </w:r>
    </w:p>
    <w:p w14:paraId="373AD991"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4"/>
          <w:lang w:eastAsia="ru-RU"/>
        </w:rPr>
      </w:pPr>
    </w:p>
    <w:p w14:paraId="67B97042"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 xml:space="preserve">Аннотация: </w:t>
      </w:r>
      <w:r w:rsidRPr="00877DE5">
        <w:rPr>
          <w:rFonts w:ascii="Times New Roman" w:eastAsia="Times New Roman" w:hAnsi="Times New Roman" w:cs="Times New Roman"/>
          <w:sz w:val="21"/>
          <w:szCs w:val="24"/>
          <w:lang w:eastAsia="ru-RU"/>
        </w:rPr>
        <w:t>В статье анализируется роль BI (Business Intelligence) в оптимизации процессов бухгалтерии и финансового управления. Рассматриваются концепция BI-систем, их функции в учете и преимущества интеграции с ERP. Приводятся примеры внедрения BI на предприятиях, результаты и выявленные выгоды (ускорение отчетности, снижение ошибок, прозрачность данных). Даны практические рекомендации по поэтапному внедрению BI</w:t>
      </w:r>
      <w:r w:rsidRPr="00877DE5">
        <w:rPr>
          <w:rFonts w:ascii="Times New Roman" w:eastAsia="Times New Roman" w:hAnsi="Times New Roman" w:cs="Times New Roman"/>
          <w:sz w:val="21"/>
          <w:szCs w:val="24"/>
          <w:lang w:eastAsia="ru-RU"/>
        </w:rPr>
        <w:noBreakHyphen/>
        <w:t>решений в финансовых службах компаний.</w:t>
      </w:r>
    </w:p>
    <w:p w14:paraId="501472FC"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eastAsia="ru-RU"/>
        </w:rPr>
      </w:pPr>
      <w:r w:rsidRPr="00877DE5">
        <w:rPr>
          <w:rFonts w:ascii="Times New Roman" w:eastAsia="Times New Roman" w:hAnsi="Times New Roman" w:cs="Times New Roman"/>
          <w:b/>
          <w:bCs/>
          <w:sz w:val="21"/>
          <w:szCs w:val="24"/>
          <w:lang w:eastAsia="ru-RU"/>
        </w:rPr>
        <w:t>Ключевые слова:</w:t>
      </w:r>
      <w:r w:rsidRPr="00877DE5">
        <w:rPr>
          <w:rFonts w:ascii="Times New Roman" w:eastAsia="Times New Roman" w:hAnsi="Times New Roman" w:cs="Times New Roman"/>
          <w:sz w:val="21"/>
          <w:szCs w:val="24"/>
          <w:lang w:eastAsia="ru-RU"/>
        </w:rPr>
        <w:t xml:space="preserve"> бизнес</w:t>
      </w:r>
      <w:r w:rsidRPr="00877DE5">
        <w:rPr>
          <w:rFonts w:ascii="Times New Roman" w:eastAsia="Times New Roman" w:hAnsi="Times New Roman" w:cs="Times New Roman"/>
          <w:sz w:val="21"/>
          <w:szCs w:val="24"/>
          <w:lang w:eastAsia="ru-RU"/>
        </w:rPr>
        <w:noBreakHyphen/>
        <w:t>интеллект, BI-системы, бухгалтерский учет, финансовый анализ, автоматизация, ERP-интеграция, дашборд.</w:t>
      </w:r>
    </w:p>
    <w:p w14:paraId="3B8C13AD" w14:textId="77777777" w:rsidR="00877DE5" w:rsidRPr="00877DE5" w:rsidRDefault="00877DE5" w:rsidP="00067100">
      <w:pPr>
        <w:spacing w:after="0" w:line="240" w:lineRule="auto"/>
        <w:ind w:firstLine="709"/>
        <w:jc w:val="both"/>
        <w:rPr>
          <w:rFonts w:ascii="Times New Roman" w:eastAsia="Times New Roman" w:hAnsi="Times New Roman" w:cs="Times New Roman"/>
          <w:sz w:val="24"/>
          <w:szCs w:val="24"/>
          <w:lang w:eastAsia="ru-RU"/>
        </w:rPr>
      </w:pPr>
    </w:p>
    <w:p w14:paraId="07DB9D6E" w14:textId="77777777" w:rsidR="00877DE5" w:rsidRPr="00877DE5" w:rsidRDefault="00877DE5" w:rsidP="00067100">
      <w:pPr>
        <w:spacing w:after="0" w:line="240" w:lineRule="auto"/>
        <w:ind w:firstLine="709"/>
        <w:jc w:val="right"/>
        <w:rPr>
          <w:rFonts w:ascii="Times New Roman" w:eastAsia="Times New Roman" w:hAnsi="Times New Roman" w:cs="Times New Roman"/>
          <w:b/>
          <w:bCs/>
          <w:i/>
          <w:iCs/>
          <w:kern w:val="2"/>
          <w:sz w:val="21"/>
          <w:szCs w:val="32"/>
          <w:lang w:val="en-US" w:eastAsia="ru-RU"/>
        </w:rPr>
      </w:pPr>
      <w:r w:rsidRPr="00877DE5">
        <w:rPr>
          <w:rFonts w:ascii="Times New Roman" w:eastAsia="Times New Roman" w:hAnsi="Times New Roman" w:cs="Times New Roman"/>
          <w:b/>
          <w:bCs/>
          <w:i/>
          <w:iCs/>
          <w:kern w:val="2"/>
          <w:sz w:val="21"/>
          <w:szCs w:val="32"/>
          <w:lang w:val="en-US" w:eastAsia="ru-RU"/>
        </w:rPr>
        <w:lastRenderedPageBreak/>
        <w:t>Popova V.D.,</w:t>
      </w:r>
    </w:p>
    <w:p w14:paraId="0F3346AD"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Student, 3rd year</w:t>
      </w:r>
    </w:p>
    <w:p w14:paraId="3D2B19C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3989240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5D385C50"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80"/>
          <w:kern w:val="2"/>
          <w:sz w:val="21"/>
          <w:szCs w:val="24"/>
          <w:u w:val="single"/>
          <w:lang w:val="en-US" w:eastAsia="ru-RU"/>
        </w:rPr>
      </w:pPr>
      <w:r w:rsidRPr="00877DE5">
        <w:rPr>
          <w:rFonts w:ascii="Times New Roman" w:eastAsia="Times New Roman" w:hAnsi="Times New Roman" w:cs="Times New Roman"/>
          <w:i/>
          <w:kern w:val="2"/>
          <w:sz w:val="21"/>
          <w:szCs w:val="20"/>
          <w:lang w:eastAsia="ru-RU"/>
        </w:rPr>
        <w:t>е</w:t>
      </w:r>
      <w:r w:rsidRPr="00877DE5">
        <w:rPr>
          <w:rFonts w:ascii="Times New Roman" w:eastAsia="Times New Roman" w:hAnsi="Times New Roman" w:cs="Times New Roman"/>
          <w:i/>
          <w:kern w:val="2"/>
          <w:sz w:val="21"/>
          <w:szCs w:val="20"/>
          <w:lang w:val="en-US" w:eastAsia="ru-RU"/>
        </w:rPr>
        <w:t xml:space="preserve">-mail: </w:t>
      </w:r>
      <w:hyperlink r:id="rId408" w:history="1">
        <w:r w:rsidRPr="00877DE5">
          <w:rPr>
            <w:rFonts w:ascii="Times New Roman" w:eastAsia="Times New Roman" w:hAnsi="Times New Roman" w:cs="Times New Roman"/>
            <w:i/>
            <w:color w:val="000080"/>
            <w:kern w:val="2"/>
            <w:sz w:val="21"/>
            <w:szCs w:val="24"/>
            <w:u w:val="single"/>
            <w:lang w:val="en-US" w:eastAsia="ru-RU"/>
          </w:rPr>
          <w:t>100dot13sl220174@edu.fa.ru</w:t>
        </w:r>
      </w:hyperlink>
    </w:p>
    <w:p w14:paraId="563A4A3E"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0"/>
          <w:lang w:val="en-US" w:eastAsia="ru-RU"/>
        </w:rPr>
      </w:pPr>
    </w:p>
    <w:p w14:paraId="153F1CEB"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kern w:val="2"/>
          <w:sz w:val="21"/>
          <w:szCs w:val="21"/>
          <w:lang w:val="en-US" w:eastAsia="ru-RU"/>
        </w:rPr>
        <w:t>Scientific Adviser:</w:t>
      </w:r>
    </w:p>
    <w:p w14:paraId="31452888" w14:textId="350B28A4" w:rsidR="00877DE5" w:rsidRPr="00654CF2" w:rsidRDefault="00877DE5" w:rsidP="00067100">
      <w:pPr>
        <w:spacing w:after="0" w:line="240" w:lineRule="auto"/>
        <w:ind w:firstLine="709"/>
        <w:jc w:val="right"/>
        <w:rPr>
          <w:rFonts w:ascii="Times New Roman" w:eastAsia="Times New Roman" w:hAnsi="Times New Roman" w:cs="Times New Roman"/>
          <w:b/>
          <w:i/>
          <w:kern w:val="2"/>
          <w:sz w:val="21"/>
          <w:szCs w:val="20"/>
          <w:lang w:val="en-US" w:eastAsia="ru-RU"/>
        </w:rPr>
      </w:pPr>
      <w:r w:rsidRPr="00877DE5">
        <w:rPr>
          <w:rFonts w:ascii="Times New Roman" w:eastAsia="Times New Roman" w:hAnsi="Times New Roman" w:cs="Times New Roman"/>
          <w:b/>
          <w:i/>
          <w:kern w:val="2"/>
          <w:sz w:val="21"/>
          <w:szCs w:val="20"/>
          <w:lang w:val="en-US" w:eastAsia="ru-RU"/>
        </w:rPr>
        <w:t>Roschektaeva U.YU.</w:t>
      </w:r>
      <w:r w:rsidR="00A27C5B" w:rsidRPr="00654CF2">
        <w:rPr>
          <w:rFonts w:ascii="Times New Roman" w:eastAsia="Times New Roman" w:hAnsi="Times New Roman" w:cs="Times New Roman"/>
          <w:b/>
          <w:i/>
          <w:kern w:val="2"/>
          <w:sz w:val="21"/>
          <w:szCs w:val="20"/>
          <w:lang w:val="en-US" w:eastAsia="ru-RU"/>
        </w:rPr>
        <w:t>,</w:t>
      </w:r>
    </w:p>
    <w:p w14:paraId="4530B5FC" w14:textId="77777777" w:rsidR="00877DE5" w:rsidRPr="00877DE5" w:rsidRDefault="00877DE5" w:rsidP="00067100">
      <w:pPr>
        <w:spacing w:after="0" w:line="240" w:lineRule="auto"/>
        <w:ind w:firstLine="709"/>
        <w:jc w:val="right"/>
        <w:rPr>
          <w:rFonts w:ascii="Times New Roman" w:eastAsia="Times New Roman" w:hAnsi="Times New Roman" w:cs="Times New Roman"/>
          <w:i/>
          <w:iCs/>
          <w:kern w:val="2"/>
          <w:sz w:val="21"/>
          <w:szCs w:val="21"/>
          <w:shd w:val="clear" w:color="auto" w:fill="FFFFFF"/>
          <w:lang w:val="en-US" w:eastAsia="ru-RU"/>
        </w:rPr>
      </w:pPr>
      <w:r w:rsidRPr="00877DE5">
        <w:rPr>
          <w:rFonts w:ascii="Times New Roman" w:eastAsia="Times New Roman" w:hAnsi="Times New Roman" w:cs="Times New Roman"/>
          <w:i/>
          <w:iCs/>
          <w:kern w:val="2"/>
          <w:sz w:val="21"/>
          <w:szCs w:val="21"/>
          <w:shd w:val="clear" w:color="auto" w:fill="FFFFFF"/>
          <w:lang w:val="en-US" w:eastAsia="ru-RU"/>
        </w:rPr>
        <w:t>Doctor of Science (Economics),</w:t>
      </w:r>
      <w:r w:rsidRPr="00877DE5">
        <w:rPr>
          <w:rFonts w:ascii="Times New Roman" w:eastAsia="Times New Roman" w:hAnsi="Times New Roman" w:cs="Times New Roman"/>
          <w:i/>
          <w:kern w:val="2"/>
          <w:sz w:val="21"/>
          <w:szCs w:val="24"/>
          <w:lang w:val="en-US" w:eastAsia="ru-RU"/>
        </w:rPr>
        <w:t xml:space="preserve"> </w:t>
      </w:r>
      <w:r w:rsidRPr="00877DE5">
        <w:rPr>
          <w:rFonts w:ascii="Times New Roman" w:eastAsia="Times New Roman" w:hAnsi="Times New Roman" w:cs="Times New Roman"/>
          <w:i/>
          <w:iCs/>
          <w:kern w:val="2"/>
          <w:sz w:val="21"/>
          <w:szCs w:val="21"/>
          <w:shd w:val="clear" w:color="auto" w:fill="FFFFFF"/>
          <w:lang w:val="en-US" w:eastAsia="ru-RU"/>
        </w:rPr>
        <w:t>Docent</w:t>
      </w:r>
    </w:p>
    <w:p w14:paraId="78C25072"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pacing w:val="-6"/>
          <w:sz w:val="21"/>
          <w:szCs w:val="20"/>
          <w:lang w:val="en-US" w:eastAsia="ar-SA"/>
        </w:rPr>
      </w:pPr>
      <w:r w:rsidRPr="00877DE5">
        <w:rPr>
          <w:rFonts w:ascii="Times New Roman" w:eastAsia="Times New Roman" w:hAnsi="Times New Roman" w:cs="Times New Roman"/>
          <w:i/>
          <w:spacing w:val="-6"/>
          <w:sz w:val="21"/>
          <w:szCs w:val="20"/>
          <w:lang w:val="x-none" w:eastAsia="ar-SA"/>
        </w:rPr>
        <w:t>Financial University under the Government of the Russian Federation</w:t>
      </w:r>
      <w:r w:rsidRPr="00877DE5">
        <w:rPr>
          <w:rFonts w:ascii="Times New Roman" w:eastAsia="Times New Roman" w:hAnsi="Times New Roman" w:cs="Times New Roman"/>
          <w:i/>
          <w:spacing w:val="-6"/>
          <w:sz w:val="21"/>
          <w:szCs w:val="20"/>
          <w:lang w:val="en-US" w:eastAsia="ar-SA"/>
        </w:rPr>
        <w:t xml:space="preserve"> </w:t>
      </w:r>
    </w:p>
    <w:p w14:paraId="519525B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0"/>
          <w:lang w:val="en-US" w:eastAsia="ar-SA"/>
        </w:rPr>
      </w:pPr>
      <w:r w:rsidRPr="00877DE5">
        <w:rPr>
          <w:rFonts w:ascii="Times New Roman" w:eastAsia="Times New Roman" w:hAnsi="Times New Roman" w:cs="Times New Roman"/>
          <w:i/>
          <w:color w:val="000000"/>
          <w:sz w:val="21"/>
          <w:szCs w:val="20"/>
          <w:lang w:val="en-US" w:eastAsia="ar-SA"/>
        </w:rPr>
        <w:t>Krasnodar, Russia</w:t>
      </w:r>
    </w:p>
    <w:p w14:paraId="61D3CFF0"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0"/>
          <w:lang w:val="x-none" w:eastAsia="ar-SA"/>
        </w:rPr>
      </w:pPr>
      <w:r w:rsidRPr="00877DE5">
        <w:rPr>
          <w:rFonts w:ascii="Times New Roman" w:eastAsia="Times New Roman" w:hAnsi="Times New Roman" w:cs="Times New Roman"/>
          <w:i/>
          <w:sz w:val="21"/>
          <w:szCs w:val="20"/>
          <w:lang w:eastAsia="ar-SA"/>
        </w:rPr>
        <w:t>е</w:t>
      </w:r>
      <w:r w:rsidRPr="00877DE5">
        <w:rPr>
          <w:rFonts w:ascii="Times New Roman" w:eastAsia="Times New Roman" w:hAnsi="Times New Roman" w:cs="Times New Roman"/>
          <w:i/>
          <w:sz w:val="21"/>
          <w:szCs w:val="20"/>
          <w:lang w:val="en-US" w:eastAsia="ar-SA"/>
        </w:rPr>
        <w:t xml:space="preserve">-mail: </w:t>
      </w:r>
      <w:hyperlink r:id="rId409" w:history="1">
        <w:r w:rsidRPr="00877DE5">
          <w:rPr>
            <w:rFonts w:ascii="Times New Roman" w:eastAsia="Times New Roman" w:hAnsi="Times New Roman" w:cs="Times New Roman"/>
            <w:i/>
            <w:color w:val="0000FF"/>
            <w:sz w:val="21"/>
            <w:szCs w:val="20"/>
            <w:u w:val="single"/>
            <w:lang w:val="x-none" w:eastAsia="ar-SA"/>
          </w:rPr>
          <w:t>uyuroschektaeva@fa.ru</w:t>
        </w:r>
      </w:hyperlink>
    </w:p>
    <w:p w14:paraId="15DD25D2"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4"/>
          <w:szCs w:val="24"/>
          <w:lang w:val="en-US" w:eastAsia="ru-RU"/>
        </w:rPr>
      </w:pPr>
    </w:p>
    <w:p w14:paraId="6000B7E3"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r w:rsidRPr="00877DE5">
        <w:rPr>
          <w:rFonts w:ascii="Times New Roman" w:eastAsia="Times New Roman" w:hAnsi="Times New Roman" w:cs="Times New Roman"/>
          <w:b/>
          <w:bCs/>
          <w:sz w:val="21"/>
          <w:szCs w:val="24"/>
          <w:lang w:val="en-US" w:eastAsia="ru-RU"/>
        </w:rPr>
        <w:t>Optimization of business processes based on Business Intelligence solutions</w:t>
      </w:r>
    </w:p>
    <w:p w14:paraId="169B6E10" w14:textId="77777777" w:rsidR="00877DE5" w:rsidRPr="00877DE5" w:rsidRDefault="00877DE5" w:rsidP="00067100">
      <w:pPr>
        <w:spacing w:after="0" w:line="240" w:lineRule="auto"/>
        <w:ind w:firstLine="709"/>
        <w:jc w:val="center"/>
        <w:rPr>
          <w:rFonts w:ascii="Times New Roman" w:eastAsia="Times New Roman" w:hAnsi="Times New Roman" w:cs="Times New Roman"/>
          <w:b/>
          <w:bCs/>
          <w:sz w:val="21"/>
          <w:szCs w:val="24"/>
          <w:lang w:val="en-US" w:eastAsia="ru-RU"/>
        </w:rPr>
      </w:pPr>
    </w:p>
    <w:p w14:paraId="63DA132F"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Abstract:</w:t>
      </w:r>
      <w:r w:rsidRPr="00877DE5">
        <w:rPr>
          <w:rFonts w:ascii="Times New Roman" w:eastAsia="Times New Roman" w:hAnsi="Times New Roman" w:cs="Times New Roman"/>
          <w:sz w:val="21"/>
          <w:szCs w:val="24"/>
          <w:lang w:val="en-US" w:eastAsia="ru-RU"/>
        </w:rPr>
        <w:t xml:space="preserve"> This paper examines the role of Business Intelligence (BI) in optimizing accounting and financial processes. The concept of BI, its functions in accounting, and the benefits of ERP–BI integration are discussed. Case examples of BI implementation in organizations are presented, along with results and observed advantages (faster reporting, error reduction, data transparency). Practical recommendations for step-by-step BI implementation in finance departments are provided.</w:t>
      </w:r>
    </w:p>
    <w:p w14:paraId="401ED4D4"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r w:rsidRPr="00877DE5">
        <w:rPr>
          <w:rFonts w:ascii="Times New Roman" w:eastAsia="Times New Roman" w:hAnsi="Times New Roman" w:cs="Times New Roman"/>
          <w:b/>
          <w:bCs/>
          <w:sz w:val="21"/>
          <w:szCs w:val="24"/>
          <w:lang w:val="en-US" w:eastAsia="ru-RU"/>
        </w:rPr>
        <w:t>Keywords:</w:t>
      </w:r>
      <w:r w:rsidRPr="00877DE5">
        <w:rPr>
          <w:rFonts w:ascii="Times New Roman" w:eastAsia="Times New Roman" w:hAnsi="Times New Roman" w:cs="Times New Roman"/>
          <w:sz w:val="21"/>
          <w:szCs w:val="24"/>
          <w:lang w:val="en-US" w:eastAsia="ru-RU"/>
        </w:rPr>
        <w:t xml:space="preserve"> Business Intelligence, BI systems, accounting, financial analytics, automation, ERP integration, dashboards.</w:t>
      </w:r>
    </w:p>
    <w:p w14:paraId="79D7B249" w14:textId="77777777" w:rsidR="00877DE5" w:rsidRPr="00877DE5" w:rsidRDefault="00877DE5" w:rsidP="00067100">
      <w:pPr>
        <w:spacing w:after="0" w:line="240" w:lineRule="auto"/>
        <w:ind w:firstLine="709"/>
        <w:jc w:val="both"/>
        <w:rPr>
          <w:rFonts w:ascii="Times New Roman" w:eastAsia="Times New Roman" w:hAnsi="Times New Roman" w:cs="Times New Roman"/>
          <w:sz w:val="21"/>
          <w:szCs w:val="24"/>
          <w:lang w:val="en-US" w:eastAsia="ru-RU"/>
        </w:rPr>
      </w:pPr>
    </w:p>
    <w:p w14:paraId="62DFA296"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Современный бизнес-ландшафт характеризуется экспоненциальным ростом данных. По данным Statista, в 2024 году объём цифровой информации в мире достиг 149 зеттабайт, а к 2028 г. прогнозируется свыше 394 зеттабайт. В таких условиях традиционные методы учёта с большими объёмами данных уже не справляются: требуется эффективная обработка и анализ информации в режиме реального времени. Растущая конкуренция и усложнение финансовых процессов (ежедневное бюджетирование, сложная отчётность по МСФО, контроль рисков) делают актуальной автоматизацию и аналитическую поддержку. Интеграция систем управления предприятием (ERP) с BI дает предприятиям «не только автоматизировать процессы, но и улучшать качество анализа финансовых данных». Глобальный рынок BI-решений стремительно растёт: по данным Fortune Business Insights, его объём в 2023 г. оценивался в $29,42 млрд, при среднегодовом росте около 9% [1,2].</w:t>
      </w:r>
      <w:r w:rsidRPr="00877DE5">
        <w:rPr>
          <w:rFonts w:ascii="Times New Roman" w:eastAsia="Times New Roman" w:hAnsi="Times New Roman" w:cs="Times New Roman"/>
          <w:kern w:val="2"/>
          <w:sz w:val="24"/>
          <w:szCs w:val="24"/>
          <w:lang w:eastAsia="ru-RU"/>
        </w:rPr>
        <w:t xml:space="preserve"> </w:t>
      </w:r>
      <w:bookmarkStart w:id="81" w:name="_Hlk198399880"/>
    </w:p>
    <w:bookmarkEnd w:id="81"/>
    <w:p w14:paraId="386D4F4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Business Intelligence (BI) — это совокупность методов, технологий и инструментов для сбора, хранения, обработки и визуализации бизнес-данных. В BI входят такие компоненты, как хранилище данных (Data Warehouse), аналитические инструменты, системы управления эффективностью (BPM) и интерактивные дашборды. Хранилище данных аккумулирует информацию из ERP, CRM, банковских систем и других источников, обеспечивая единое информационное пространство. Аналитические модули позволяют выявлять тренды и закономерности, прогнозировать показатели и </w:t>
      </w:r>
      <w:r w:rsidRPr="00877DE5">
        <w:rPr>
          <w:rFonts w:ascii="Times New Roman" w:eastAsia="Times New Roman" w:hAnsi="Times New Roman" w:cs="Times New Roman"/>
          <w:sz w:val="32"/>
          <w:szCs w:val="32"/>
          <w:lang w:eastAsia="ru-RU"/>
        </w:rPr>
        <w:lastRenderedPageBreak/>
        <w:t xml:space="preserve">строить сценарии развития. Визуализация данных в BI-системах превращает массивы цифр в понятные графики и отчёты, делая аналитику доступной для менеджмента [3]. </w:t>
      </w:r>
    </w:p>
    <w:p w14:paraId="54880BA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 сфере бухгалтерского учёта и финансов BI выполняет несколько ключевых функций: </w:t>
      </w:r>
    </w:p>
    <w:p w14:paraId="0233AE82" w14:textId="77777777" w:rsidR="00877DE5" w:rsidRPr="00877DE5" w:rsidRDefault="00877DE5" w:rsidP="00AD58CD">
      <w:pPr>
        <w:numPr>
          <w:ilvl w:val="0"/>
          <w:numId w:val="78"/>
        </w:numPr>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BI объединяет и очищает данные из различных систем (ERP, 1С, банковские системы и др.), устраняя дублирование и повышая качество информации. Благодаря этому бухгалтеры получают целостную картину финансовых показателей (доходов, расходов, дебиторской/кредиторской задолженности) и могут быстро строить сводную отчётность;</w:t>
      </w:r>
    </w:p>
    <w:p w14:paraId="13BA647B" w14:textId="77777777" w:rsidR="00877DE5" w:rsidRPr="00877DE5" w:rsidRDefault="00877DE5" w:rsidP="00AD58CD">
      <w:pPr>
        <w:numPr>
          <w:ilvl w:val="0"/>
          <w:numId w:val="78"/>
        </w:numPr>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BI-системы автоматизируют рутинные операции и отчёты. Например, интеграция BI с банковскими интерфейсами позволяет автоматически загружать выписки и проводить сверки, экономя время и снижая риск ошибок ручного ввода;</w:t>
      </w:r>
    </w:p>
    <w:p w14:paraId="70AD7F73" w14:textId="77777777" w:rsidR="00877DE5" w:rsidRPr="00877DE5" w:rsidRDefault="00877DE5" w:rsidP="00AD58CD">
      <w:pPr>
        <w:numPr>
          <w:ilvl w:val="0"/>
          <w:numId w:val="78"/>
        </w:numPr>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 xml:space="preserve">BI активно применяется для финансового анализа и контроля затрат. Системы BI анализируют эффективность подразделений, оценивают рентабельность проектов и выявляют источники неэффективных расходов, что помогает оптимизировать бюджеты и повышать прибыль; </w:t>
      </w:r>
    </w:p>
    <w:p w14:paraId="4AFF5B88" w14:textId="77777777" w:rsidR="00877DE5" w:rsidRPr="00877DE5" w:rsidRDefault="00877DE5" w:rsidP="00AD58CD">
      <w:pPr>
        <w:numPr>
          <w:ilvl w:val="0"/>
          <w:numId w:val="78"/>
        </w:numPr>
        <w:spacing w:after="0" w:line="240" w:lineRule="auto"/>
        <w:ind w:left="0" w:firstLine="709"/>
        <w:contextualSpacing/>
        <w:jc w:val="both"/>
        <w:rPr>
          <w:rFonts w:ascii="Times New Roman" w:eastAsia="Times New Roman" w:hAnsi="Times New Roman" w:cs="Times New Roman"/>
          <w:color w:val="000000"/>
          <w:sz w:val="32"/>
          <w:szCs w:val="32"/>
          <w:lang w:eastAsia="ru-RU"/>
        </w:rPr>
      </w:pPr>
      <w:r w:rsidRPr="00877DE5">
        <w:rPr>
          <w:rFonts w:ascii="Times New Roman" w:eastAsia="Times New Roman" w:hAnsi="Times New Roman" w:cs="Times New Roman"/>
          <w:color w:val="000000"/>
          <w:sz w:val="32"/>
          <w:szCs w:val="32"/>
          <w:lang w:eastAsia="ru-RU"/>
        </w:rPr>
        <w:t>BI поддерживает финансовое прогнозирование и планирование: инструменты прогнозной аналитики помогают моделировать сценарии (изменения курсов валют, налоговой нагрузки, инвестиционных стратегий и т.д.), что минимизирует риски и повышает устойчивость бизнеса.</w:t>
      </w:r>
    </w:p>
    <w:p w14:paraId="41675AE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BI в финансах сочетает описательную аналитику (отчёты и мониторинг KPI) с предсказательной и предписывающей аналитикой (прогнозы, оптимизация сценариев). Позволяет не только анализировать прошлые события, но и строить стратегию на будущее, оперативно реагируя на изменения рынка и оперативные задачи. Особенно важна BI-аналитика для крупных корпораций и холдингов, где сбор и обработка данных многоуровневые: с её помощью бухгалтерские и финансовые подразделения получают средства для оперативного контроля, консолидации отчётности и внедрения принципов управления по отклонениям (хранения сигналов тревоги о превышении бюджета и т.д.).</w:t>
      </w:r>
    </w:p>
    <w:p w14:paraId="351647D9"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Внедрение BI-решений уже принесло заметные преимущества реальным организациям. Исследования показывают, что интеграция ERP и BI «способствует значительному улучшению финансовых </w:t>
      </w:r>
      <w:r w:rsidRPr="00877DE5">
        <w:rPr>
          <w:rFonts w:ascii="Times New Roman" w:eastAsia="Times New Roman" w:hAnsi="Times New Roman" w:cs="Times New Roman"/>
          <w:sz w:val="32"/>
          <w:szCs w:val="32"/>
          <w:lang w:eastAsia="ru-RU"/>
        </w:rPr>
        <w:lastRenderedPageBreak/>
        <w:t xml:space="preserve">процессов, снижению ошибок и повышению оперативности в принятии решений». </w:t>
      </w:r>
    </w:p>
    <w:p w14:paraId="32CF2F1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Сбербанк совместно с ИТ</w:t>
      </w:r>
      <w:r w:rsidRPr="00877DE5">
        <w:rPr>
          <w:rFonts w:ascii="Times New Roman" w:eastAsia="Times New Roman" w:hAnsi="Times New Roman" w:cs="Times New Roman"/>
          <w:sz w:val="32"/>
          <w:szCs w:val="32"/>
          <w:lang w:eastAsia="ru-RU"/>
        </w:rPr>
        <w:noBreakHyphen/>
        <w:t xml:space="preserve">партнёром GlowByte разработал собственную BI-платформу «Навигатор», используемую для внутренней аналитики. Платформа «Навигатор» позволяет обрабатывать сотни миллионов транзакций в день и строить интерактивные финансовые дашборды в режиме реального времени. По словам руководства Сбербанка, такая система «значительно увеличивает скорость принятия управленческих решений при неизменно высоком качестве результата». Сбербанк использует «Навигатор» уже несколько лет и отмечает заметное ускорение подготовки отчётности и контроля бюджетов [4]. </w:t>
      </w:r>
    </w:p>
    <w:p w14:paraId="514D73D8"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В финансовом секторе изучался переход от ручной отчётности к BI-платформе SAP BusinessObjects. В рамках этого кейса внедрение BI сократило время на формирование отчётов и повысило эффективность. Авторы отмечают, что BI</w:t>
      </w:r>
      <w:r w:rsidRPr="00877DE5">
        <w:rPr>
          <w:rFonts w:ascii="Times New Roman" w:eastAsia="Times New Roman" w:hAnsi="Times New Roman" w:cs="Times New Roman"/>
          <w:sz w:val="32"/>
          <w:szCs w:val="32"/>
          <w:lang w:eastAsia="ru-RU"/>
        </w:rPr>
        <w:noBreakHyphen/>
        <w:t>решения дают «большую экономию времени и увеличение эффективности» по сравнению с ручными и SQL</w:t>
      </w:r>
      <w:r w:rsidRPr="00877DE5">
        <w:rPr>
          <w:rFonts w:ascii="Times New Roman" w:eastAsia="Times New Roman" w:hAnsi="Times New Roman" w:cs="Times New Roman"/>
          <w:sz w:val="32"/>
          <w:szCs w:val="32"/>
          <w:lang w:eastAsia="ru-RU"/>
        </w:rPr>
        <w:noBreakHyphen/>
        <w:t>инструментами. В частности, при ручном процессе доля ошибок данных составляла около 10%, тогда как после внедрения BI</w:t>
      </w:r>
      <w:r w:rsidRPr="00877DE5">
        <w:rPr>
          <w:rFonts w:ascii="Times New Roman" w:eastAsia="Times New Roman" w:hAnsi="Times New Roman" w:cs="Times New Roman"/>
          <w:sz w:val="32"/>
          <w:szCs w:val="32"/>
          <w:lang w:eastAsia="ru-RU"/>
        </w:rPr>
        <w:noBreakHyphen/>
        <w:t xml:space="preserve">системы она снизилась до 0,5%. Это стало возможным благодаря автоматизации подготовки отчётов, визуальному интерфейсу и централизации данных [5]. </w:t>
      </w:r>
    </w:p>
    <w:p w14:paraId="2362090D"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Кроме того, BI интегрируют не только банки, но и крупные промышленные и розничные компании. Например, нефтегазовые и производственные холдинги используют BI для консолидации финансовых потоков по филиалам и автоматической отчётности по международным стандартам. Ритейлеры применяют BI для контроля товарных остатков и финансовых показателей в режиме реального времени, что облегчает казначейские операции и планирование бюджета. Во всех таких случаях внедрение BI позволяет сократить «рутинную» нагрузку на бухгалтерию, ускорить расчёт отчётных показателей и повысить прозрачность финансового контроля.</w:t>
      </w:r>
    </w:p>
    <w:p w14:paraId="0301FA90"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Успех BI-проекта во многом определяется правильной организацией этапов внедрения. В практических рекомендациях выделяют несколько ключевых шагов. Вначале необходимо провести аудит бизнес-процессов и данных, формализовать цели и требования заинтересованных лиц. Специалисты должны совместно с конечными пользователями определить, какие задачи решит аналитика, и выбрать ключевые показатели эффективности (KPI). Одновременно </w:t>
      </w:r>
      <w:r w:rsidRPr="00877DE5">
        <w:rPr>
          <w:rFonts w:ascii="Times New Roman" w:eastAsia="Times New Roman" w:hAnsi="Times New Roman" w:cs="Times New Roman"/>
          <w:sz w:val="32"/>
          <w:szCs w:val="32"/>
          <w:lang w:eastAsia="ru-RU"/>
        </w:rPr>
        <w:lastRenderedPageBreak/>
        <w:t>проводится аудит источников данных: идентифицируются системы ERP, 1С, банковские и иные базы, оценивается качество и доступность данных, настраиваются каналы их автоматизированного извлечения [6].</w:t>
      </w:r>
    </w:p>
    <w:p w14:paraId="7DF61AAF"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На следующем этапе следует выбрать технологическую платформу. На рынке представлены отечественные (например, Yandex DataLens) и зарубежные решения (Power BI, Qlik, Tableau и др.). Так, платформа Yandex DataLens бесплатна и не ограничивает число пользователей, а Microsoft Power BI доступен по подписке (около 15 тысяч руб. за пользователя в год). Выбор инструмента зависит от требований интеграции с 1С/ERP, доступного бюджета и необходимой функциональности. Как правило, для финансовых служб наиболее важны гибкие коннекторы к учётным системам, возможности ETL и широкие средства визуализации (например, отчёты с drill-down и финансовыми формулами) [7].</w:t>
      </w:r>
    </w:p>
    <w:p w14:paraId="656AAA81"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После выбора платформы осуществляют моделирование данных и настройку отчётов: формируется единая аналитическая модель, загружаются и очищаются данные, настраиваются ключевые дашборды и отчёты. Отчётный интерфейс должен давать возможность «проваливаться» в детализацию (drill-down) до исходных транзакций, а не ограничиваться только сводными показателями. Важно предусмотреть отчёты по основным финансовым процессам: анализ выручки и затрат, контроли бюджета и ликвидности, анализ дебиторско-кредиторской задолженности и пр.</w:t>
      </w:r>
    </w:p>
    <w:p w14:paraId="481BFC3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Далее проводится тестовая эксплуатация: результаты BI-системы сравнивают с эталонными (например, с отчётами бухгалтеров), чтобы убедиться в корректности расчётов. Только после успешной проверки систему можно внедрять. Наконец, критически важно обучить пользователей и обеспечить поддержку: от руководителей финансов до обычных бухгалтеров. Требуется провести тренинги по работе с дашбордами, настроить внутренние инструкции и базу знаний. Руководство должно стимулировать использование новых инструментов (например, введением регулярного контроля финансовых отчётов через BI), чтобы аналитика вошла в корпоративную культуру.</w:t>
      </w:r>
    </w:p>
    <w:p w14:paraId="74A8A725"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Практики рекомендуют начинать внедрение пилотным проектом с узкого круга отчётов в одном направлении (например, финансовый анализ) и относительно небольшим бюджетом (ориентировочно 300–400 тыс. руб.). Позволяет быстро запустить первые дашборды, оценить </w:t>
      </w:r>
      <w:r w:rsidRPr="00877DE5">
        <w:rPr>
          <w:rFonts w:ascii="Times New Roman" w:eastAsia="Times New Roman" w:hAnsi="Times New Roman" w:cs="Times New Roman"/>
          <w:sz w:val="32"/>
          <w:szCs w:val="32"/>
          <w:lang w:eastAsia="ru-RU"/>
        </w:rPr>
        <w:lastRenderedPageBreak/>
        <w:t>выгоды и поэтапно расширять проект. Например, можно начать с отчётов по исполнению бюджета и бухучёту зарплаты, а далее расширить на начисление налогов и финансовое планирование. Такой поэтапный подход снижает риски и распределяет затраты. При этом необходимо заручиться поддержкой IT (для интеграции и хранилища данных) и финансового блока, а также регулярно корректировать проект с учётом обратной связи бухгалтерии.</w:t>
      </w:r>
    </w:p>
    <w:p w14:paraId="0521215E"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 xml:space="preserve">Современные BI-инструменты открывают новые возможности для оптимизации бухгалтерского и финансового учёта. Они превращают разрозненные данные в наглядную аналитику, автоматизируют рутинные задачи отчётности и дают возможность управлять финансами в реальном времени. Приведённые примеры (интеграция ERP+BI, проекты Сбербанка и банковский кейс SAP BO) демонстрируют существенное сокращение ошибок, ускорение подготовки отчётов и повышение прозрачности финансовых процессов. </w:t>
      </w:r>
    </w:p>
    <w:p w14:paraId="6309CE6A" w14:textId="77777777" w:rsidR="00877DE5" w:rsidRPr="00877DE5" w:rsidRDefault="00877DE5" w:rsidP="00067100">
      <w:pPr>
        <w:spacing w:after="0" w:line="240" w:lineRule="auto"/>
        <w:ind w:firstLine="709"/>
        <w:jc w:val="both"/>
        <w:rPr>
          <w:rFonts w:ascii="Times New Roman" w:eastAsia="Times New Roman" w:hAnsi="Times New Roman" w:cs="Times New Roman"/>
          <w:sz w:val="32"/>
          <w:szCs w:val="32"/>
          <w:lang w:eastAsia="ru-RU"/>
        </w:rPr>
      </w:pPr>
      <w:r w:rsidRPr="00877DE5">
        <w:rPr>
          <w:rFonts w:ascii="Times New Roman" w:eastAsia="Times New Roman" w:hAnsi="Times New Roman" w:cs="Times New Roman"/>
          <w:sz w:val="32"/>
          <w:szCs w:val="32"/>
          <w:lang w:eastAsia="ru-RU"/>
        </w:rPr>
        <w:t>Как подчёркивают исследователи, интеграция BI-систем в бухгалтерию «приводит к улучшению финансовых показателей компании», а применение аналитики становится критическим для эффективности в условиях больших данных. Внедрение BI в финансовые и бухгалтерские службы способствует повышению управляемости бизнеса, снижению издержек и укреплению конкурентных позиций компании.</w:t>
      </w:r>
    </w:p>
    <w:p w14:paraId="0A40AC5A"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0"/>
          <w:lang w:eastAsia="ru-RU"/>
        </w:rPr>
      </w:pPr>
    </w:p>
    <w:p w14:paraId="6E20A520"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0"/>
          <w:lang w:eastAsia="ru-RU"/>
        </w:rPr>
      </w:pPr>
      <w:r w:rsidRPr="00877DE5">
        <w:rPr>
          <w:rFonts w:ascii="Times New Roman" w:eastAsia="Times New Roman" w:hAnsi="Times New Roman" w:cs="Times New Roman"/>
          <w:b/>
          <w:bCs/>
          <w:kern w:val="2"/>
          <w:sz w:val="21"/>
          <w:szCs w:val="20"/>
          <w:lang w:eastAsia="ru-RU"/>
        </w:rPr>
        <w:t>Литература</w:t>
      </w:r>
    </w:p>
    <w:p w14:paraId="756BB1CF"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Business Intelligence: как BI помогает компаниям работать эффективнее [Электронный ресурс: </w:t>
      </w:r>
      <w:hyperlink r:id="rId410" w:history="1">
        <w:r w:rsidRPr="00877DE5">
          <w:rPr>
            <w:rFonts w:ascii="Times New Roman" w:eastAsia="Times New Roman" w:hAnsi="Times New Roman" w:cs="Times New Roman"/>
            <w:sz w:val="21"/>
            <w:szCs w:val="21"/>
            <w:lang w:val="x-none" w:eastAsia="ar-SA"/>
          </w:rPr>
          <w:t>https://www.rbcgrp.com/business-intelligence-kak-bi-pomogaet-kompanijam-rabotat-jeffektivnee/</w:t>
        </w:r>
      </w:hyperlink>
      <w:r w:rsidRPr="00877DE5">
        <w:rPr>
          <w:rFonts w:ascii="Times New Roman" w:eastAsia="Times New Roman" w:hAnsi="Times New Roman" w:cs="Times New Roman"/>
          <w:sz w:val="21"/>
          <w:szCs w:val="21"/>
          <w:lang w:val="x-none" w:eastAsia="ar-SA"/>
        </w:rPr>
        <w:t xml:space="preserve"> (дата обращения 17.05.2025)];</w:t>
      </w:r>
    </w:p>
    <w:p w14:paraId="3F9155B3"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Интеграция систем ERP и бизнес-аналитики: возможности для оптимизации бухгалтерского учета [Электронный ресурс: </w:t>
      </w:r>
      <w:hyperlink r:id="rId411" w:history="1">
        <w:r w:rsidRPr="00877DE5">
          <w:rPr>
            <w:rFonts w:ascii="Times New Roman" w:eastAsia="Times New Roman" w:hAnsi="Times New Roman" w:cs="Times New Roman"/>
            <w:sz w:val="21"/>
            <w:szCs w:val="21"/>
            <w:lang w:val="x-none" w:eastAsia="ar-SA"/>
          </w:rPr>
          <w:t>https://apni.ru/article/6322-integracziya-sistem-erp-i-biznes-analitiki-vozmozhnosti-dlya-optimizaczii-buhgalterskogo-ucheta</w:t>
        </w:r>
      </w:hyperlink>
      <w:r w:rsidRPr="00877DE5">
        <w:rPr>
          <w:rFonts w:ascii="Times New Roman" w:eastAsia="Times New Roman" w:hAnsi="Times New Roman" w:cs="Times New Roman"/>
          <w:sz w:val="21"/>
          <w:szCs w:val="21"/>
          <w:lang w:val="x-none" w:eastAsia="ar-SA"/>
        </w:rPr>
        <w:t xml:space="preserve"> (дата обращения 17.05.2025)];</w:t>
      </w:r>
    </w:p>
    <w:p w14:paraId="45918579"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Как бизнес-аналитика меняет бухгалтерский учет – экспертное мнение Жибек Абдылдаевой о будущем BI [Электронный ресурс:  </w:t>
      </w:r>
      <w:hyperlink r:id="rId412" w:history="1">
        <w:r w:rsidRPr="00877DE5">
          <w:rPr>
            <w:rFonts w:ascii="Times New Roman" w:eastAsia="Times New Roman" w:hAnsi="Times New Roman" w:cs="Times New Roman"/>
            <w:sz w:val="21"/>
            <w:szCs w:val="21"/>
            <w:lang w:val="x-none" w:eastAsia="ar-SA"/>
          </w:rPr>
          <w:t>https://economist.kg/mnenie/2025/01/23/kak-biznies-analitika-mieniaiet-bukhghaltierskii-uchiet-ekspiertnoie-mnieniie-zhibiek-abdyldaievoi-o-budushchiem-bukhghaltierii/</w:t>
        </w:r>
      </w:hyperlink>
      <w:r w:rsidRPr="00877DE5">
        <w:rPr>
          <w:rFonts w:ascii="Times New Roman" w:eastAsia="Times New Roman" w:hAnsi="Times New Roman" w:cs="Times New Roman"/>
          <w:sz w:val="21"/>
          <w:szCs w:val="21"/>
          <w:lang w:val="x-none" w:eastAsia="ar-SA"/>
        </w:rPr>
        <w:t xml:space="preserve"> (дата обращения 17.05.2025)];</w:t>
      </w:r>
    </w:p>
    <w:p w14:paraId="7ABA5DCD"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Сбер и GlowByte предложат бизнесу передовое решение в области визуализации данных «Навигатор» [Электронный ресурс: </w:t>
      </w:r>
      <w:hyperlink r:id="rId413" w:history="1">
        <w:r w:rsidRPr="00877DE5">
          <w:rPr>
            <w:rFonts w:ascii="Times New Roman" w:eastAsia="Times New Roman" w:hAnsi="Times New Roman" w:cs="Times New Roman"/>
            <w:sz w:val="21"/>
            <w:szCs w:val="21"/>
            <w:lang w:val="x-none" w:eastAsia="ar-SA"/>
          </w:rPr>
          <w:t>https://glowbyteconsulting.com/peredovoye_resheniye_dlya_vizualizatsii_dannykh_navigator_ot_sber</w:t>
        </w:r>
      </w:hyperlink>
      <w:r w:rsidRPr="00877DE5">
        <w:rPr>
          <w:rFonts w:ascii="Times New Roman" w:eastAsia="Times New Roman" w:hAnsi="Times New Roman" w:cs="Times New Roman"/>
          <w:sz w:val="21"/>
          <w:szCs w:val="21"/>
          <w:lang w:val="x-none" w:eastAsia="ar-SA"/>
        </w:rPr>
        <w:t xml:space="preserve"> (дата обращения 17.05.2025)];</w:t>
      </w:r>
    </w:p>
    <w:p w14:paraId="5AAD826C"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Analyzing the Corporate Business Intelligence Impact: A Case Study in the Financial Sector [Электронный ресурс: </w:t>
      </w:r>
      <w:hyperlink r:id="rId414" w:history="1">
        <w:r w:rsidRPr="00877DE5">
          <w:rPr>
            <w:rFonts w:ascii="Times New Roman" w:eastAsia="Times New Roman" w:hAnsi="Times New Roman" w:cs="Times New Roman"/>
            <w:sz w:val="21"/>
            <w:szCs w:val="21"/>
            <w:lang w:val="x-none" w:eastAsia="ar-SA"/>
          </w:rPr>
          <w:t>https://www.mdpi.com/2076-3417/15/3/1012</w:t>
        </w:r>
      </w:hyperlink>
      <w:r w:rsidRPr="00877DE5">
        <w:rPr>
          <w:rFonts w:ascii="Times New Roman" w:eastAsia="Times New Roman" w:hAnsi="Times New Roman" w:cs="Times New Roman"/>
          <w:sz w:val="21"/>
          <w:szCs w:val="21"/>
          <w:lang w:val="x-none" w:eastAsia="ar-SA"/>
        </w:rPr>
        <w:t xml:space="preserve"> (дата обращения 17.05.2025)];</w:t>
      </w:r>
    </w:p>
    <w:p w14:paraId="4D715A4D"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BI для бизнеса: правила построения системы аналитических отчетов </w:t>
      </w:r>
      <w:hyperlink r:id="rId415" w:history="1">
        <w:r w:rsidRPr="00877DE5">
          <w:rPr>
            <w:rFonts w:ascii="Times New Roman" w:eastAsia="Times New Roman" w:hAnsi="Times New Roman" w:cs="Times New Roman"/>
            <w:sz w:val="21"/>
            <w:szCs w:val="21"/>
            <w:lang w:val="x-none" w:eastAsia="ar-SA"/>
          </w:rPr>
          <w:t>https://analytics.netrika.ru/publikatsii/stati/bi-dlya-biznesa-pravila-postroeniya-sistemy-analiticheskikh-otchetov/</w:t>
        </w:r>
      </w:hyperlink>
      <w:r w:rsidRPr="00877DE5">
        <w:rPr>
          <w:rFonts w:ascii="Times New Roman" w:eastAsia="Times New Roman" w:hAnsi="Times New Roman" w:cs="Times New Roman"/>
          <w:sz w:val="21"/>
          <w:szCs w:val="21"/>
          <w:lang w:val="x-none" w:eastAsia="ar-SA"/>
        </w:rPr>
        <w:t xml:space="preserve"> (дата обращения 17.05.2025)];</w:t>
      </w:r>
    </w:p>
    <w:p w14:paraId="10A2197D" w14:textId="77777777" w:rsidR="00877DE5" w:rsidRPr="00877DE5" w:rsidRDefault="00877DE5" w:rsidP="00AD58CD">
      <w:pPr>
        <w:numPr>
          <w:ilvl w:val="0"/>
          <w:numId w:val="77"/>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Сколько стоит внедрить BI в 2024 году? Факторы, определяющие стоимость проекта [Электронный ресурс: </w:t>
      </w:r>
      <w:hyperlink r:id="rId416" w:history="1">
        <w:r w:rsidRPr="00877DE5">
          <w:rPr>
            <w:rFonts w:ascii="Times New Roman" w:eastAsia="Times New Roman" w:hAnsi="Times New Roman" w:cs="Times New Roman"/>
            <w:sz w:val="21"/>
            <w:szCs w:val="21"/>
            <w:lang w:val="x-none" w:eastAsia="ar-SA"/>
          </w:rPr>
          <w:t>https://fto.com.ru/blog/skolko-stoit-vnedrit-bi-v-2024-godu/</w:t>
        </w:r>
      </w:hyperlink>
      <w:r w:rsidRPr="00877DE5">
        <w:rPr>
          <w:rFonts w:ascii="Times New Roman" w:eastAsia="Times New Roman" w:hAnsi="Times New Roman" w:cs="Times New Roman"/>
          <w:sz w:val="21"/>
          <w:szCs w:val="21"/>
          <w:lang w:val="x-none" w:eastAsia="ar-SA"/>
        </w:rPr>
        <w:t xml:space="preserve"> (дата обращения 17.05.2025)].</w:t>
      </w:r>
    </w:p>
    <w:p w14:paraId="35B877E6" w14:textId="77777777" w:rsidR="00877DE5" w:rsidRPr="00877DE5" w:rsidRDefault="00877DE5" w:rsidP="00067100">
      <w:pPr>
        <w:spacing w:after="0" w:line="240" w:lineRule="auto"/>
        <w:ind w:firstLine="709"/>
        <w:rPr>
          <w:rFonts w:ascii="Times New Roman" w:eastAsia="Times New Roman" w:hAnsi="Times New Roman" w:cs="Times New Roman"/>
          <w:kern w:val="2"/>
          <w:sz w:val="24"/>
          <w:szCs w:val="24"/>
          <w:lang w:eastAsia="ru-RU"/>
        </w:rPr>
      </w:pPr>
    </w:p>
    <w:p w14:paraId="00DC81D5" w14:textId="77777777" w:rsidR="00877DE5" w:rsidRPr="00877DE5" w:rsidRDefault="00877DE5" w:rsidP="00E96CFE">
      <w:pPr>
        <w:spacing w:after="0" w:line="240" w:lineRule="auto"/>
        <w:rPr>
          <w:rFonts w:ascii="Times New Roman" w:eastAsia="Times New Roman" w:hAnsi="Times New Roman" w:cs="Times New Roman"/>
          <w:b/>
          <w:color w:val="000000"/>
          <w:kern w:val="2"/>
          <w:sz w:val="21"/>
          <w:szCs w:val="21"/>
          <w:lang w:eastAsia="ru-RU"/>
        </w:rPr>
      </w:pPr>
      <w:r w:rsidRPr="00877DE5">
        <w:rPr>
          <w:rFonts w:ascii="Times New Roman" w:eastAsia="Times New Roman" w:hAnsi="Times New Roman" w:cs="Times New Roman"/>
          <w:b/>
          <w:color w:val="000000"/>
          <w:kern w:val="2"/>
          <w:sz w:val="21"/>
          <w:szCs w:val="21"/>
          <w:lang w:eastAsia="ru-RU"/>
        </w:rPr>
        <w:t>УДК 339.13</w:t>
      </w:r>
    </w:p>
    <w:p w14:paraId="266D829A" w14:textId="77777777" w:rsidR="00877DE5" w:rsidRPr="00877DE5" w:rsidRDefault="00877DE5" w:rsidP="00067100">
      <w:pPr>
        <w:spacing w:after="0" w:line="240" w:lineRule="auto"/>
        <w:ind w:firstLine="709"/>
        <w:jc w:val="right"/>
        <w:rPr>
          <w:rFonts w:ascii="Times New Roman" w:eastAsia="Times New Roman" w:hAnsi="Times New Roman" w:cs="Times New Roman"/>
          <w:b/>
          <w:i/>
          <w:color w:val="000000"/>
          <w:kern w:val="2"/>
          <w:sz w:val="21"/>
          <w:szCs w:val="21"/>
          <w:lang w:eastAsia="ru-RU"/>
        </w:rPr>
      </w:pPr>
      <w:r w:rsidRPr="00877DE5">
        <w:rPr>
          <w:rFonts w:ascii="Times New Roman" w:eastAsia="Times New Roman" w:hAnsi="Times New Roman" w:cs="Times New Roman"/>
          <w:b/>
          <w:i/>
          <w:color w:val="000000"/>
          <w:kern w:val="2"/>
          <w:sz w:val="21"/>
          <w:szCs w:val="21"/>
          <w:lang w:eastAsia="ru-RU"/>
        </w:rPr>
        <w:lastRenderedPageBreak/>
        <w:t>Ситникова В.К.,</w:t>
      </w:r>
    </w:p>
    <w:p w14:paraId="52380697" w14:textId="77777777" w:rsidR="00877DE5" w:rsidRPr="00877DE5" w:rsidRDefault="00877DE5" w:rsidP="00067100">
      <w:pPr>
        <w:spacing w:after="0" w:line="240" w:lineRule="auto"/>
        <w:ind w:firstLine="709"/>
        <w:jc w:val="right"/>
        <w:rPr>
          <w:rFonts w:ascii="Times New Roman" w:eastAsia="Times New Roman" w:hAnsi="Times New Roman" w:cs="Times New Roman"/>
          <w:i/>
          <w:color w:val="000000"/>
          <w:kern w:val="2"/>
          <w:sz w:val="21"/>
          <w:szCs w:val="21"/>
          <w:lang w:eastAsia="ru-RU"/>
        </w:rPr>
      </w:pPr>
      <w:r w:rsidRPr="00877DE5">
        <w:rPr>
          <w:rFonts w:ascii="Times New Roman" w:eastAsia="Times New Roman" w:hAnsi="Times New Roman" w:cs="Times New Roman"/>
          <w:i/>
          <w:color w:val="000000"/>
          <w:kern w:val="2"/>
          <w:sz w:val="21"/>
          <w:szCs w:val="21"/>
          <w:lang w:eastAsia="ru-RU"/>
        </w:rPr>
        <w:t>Студент 2 курса</w:t>
      </w:r>
    </w:p>
    <w:p w14:paraId="4A61C07C" w14:textId="77777777" w:rsidR="00877DE5" w:rsidRPr="00877DE5" w:rsidRDefault="00877DE5" w:rsidP="00067100">
      <w:pPr>
        <w:numPr>
          <w:ilvl w:val="1"/>
          <w:numId w:val="0"/>
        </w:numPr>
        <w:spacing w:after="0" w:line="240" w:lineRule="auto"/>
        <w:ind w:firstLine="709"/>
        <w:jc w:val="right"/>
        <w:rPr>
          <w:rFonts w:ascii="Times New Roman" w:eastAsia="Times New Roman" w:hAnsi="Times New Roman" w:cs="Times New Roman"/>
          <w:i/>
          <w:iCs/>
          <w:sz w:val="21"/>
          <w:szCs w:val="21"/>
          <w:lang w:eastAsia="ru-RU"/>
        </w:rPr>
      </w:pPr>
      <w:r w:rsidRPr="00877DE5">
        <w:rPr>
          <w:rFonts w:ascii="Times New Roman" w:eastAsia="Times New Roman" w:hAnsi="Times New Roman" w:cs="Times New Roman"/>
          <w:i/>
          <w:iCs/>
          <w:sz w:val="21"/>
          <w:szCs w:val="21"/>
          <w:lang w:eastAsia="ru-RU"/>
        </w:rPr>
        <w:t xml:space="preserve">Краснодарский филиал Финансового университета при </w:t>
      </w:r>
    </w:p>
    <w:p w14:paraId="23222D51" w14:textId="77777777" w:rsidR="00877DE5" w:rsidRPr="00877DE5" w:rsidRDefault="00877DE5" w:rsidP="00067100">
      <w:pPr>
        <w:spacing w:after="0" w:line="240" w:lineRule="auto"/>
        <w:ind w:firstLine="709"/>
        <w:jc w:val="right"/>
        <w:rPr>
          <w:rFonts w:ascii="Times New Roman" w:eastAsia="Times New Roman" w:hAnsi="Times New Roman" w:cs="Times New Roman"/>
          <w:i/>
          <w:iCs/>
          <w:kern w:val="2"/>
          <w:sz w:val="21"/>
          <w:szCs w:val="21"/>
          <w:lang w:eastAsia="ru-RU"/>
        </w:rPr>
      </w:pPr>
      <w:r w:rsidRPr="00877DE5">
        <w:rPr>
          <w:rFonts w:ascii="Times New Roman" w:eastAsia="Times New Roman" w:hAnsi="Times New Roman" w:cs="Times New Roman"/>
          <w:i/>
          <w:iCs/>
          <w:kern w:val="2"/>
          <w:sz w:val="21"/>
          <w:szCs w:val="21"/>
          <w:lang w:eastAsia="ru-RU"/>
        </w:rPr>
        <w:t>Правительстве Российской Федерации</w:t>
      </w:r>
    </w:p>
    <w:p w14:paraId="71312EDA" w14:textId="77777777" w:rsidR="00877DE5" w:rsidRPr="00877DE5" w:rsidRDefault="00877DE5" w:rsidP="00067100">
      <w:pPr>
        <w:spacing w:after="0" w:line="240" w:lineRule="auto"/>
        <w:ind w:firstLine="709"/>
        <w:jc w:val="right"/>
        <w:rPr>
          <w:rFonts w:ascii="Times New Roman" w:eastAsia="Times New Roman" w:hAnsi="Times New Roman" w:cs="Times New Roman"/>
          <w:i/>
          <w:iCs/>
          <w:color w:val="000000"/>
          <w:kern w:val="2"/>
          <w:sz w:val="21"/>
          <w:szCs w:val="21"/>
          <w:lang w:eastAsia="ru-RU"/>
        </w:rPr>
      </w:pPr>
      <w:r w:rsidRPr="00877DE5">
        <w:rPr>
          <w:rFonts w:ascii="Times New Roman" w:eastAsia="Times New Roman" w:hAnsi="Times New Roman" w:cs="Times New Roman"/>
          <w:i/>
          <w:iCs/>
          <w:color w:val="000000"/>
          <w:kern w:val="2"/>
          <w:sz w:val="21"/>
          <w:szCs w:val="21"/>
          <w:lang w:eastAsia="ru-RU"/>
        </w:rPr>
        <w:t>г. Краснодар, Россия</w:t>
      </w:r>
    </w:p>
    <w:p w14:paraId="06DF4467"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е-</w:t>
      </w:r>
      <w:r w:rsidRPr="00877DE5">
        <w:rPr>
          <w:rFonts w:ascii="Times New Roman" w:eastAsia="Times New Roman" w:hAnsi="Times New Roman" w:cs="Times New Roman"/>
          <w:i/>
          <w:kern w:val="2"/>
          <w:sz w:val="21"/>
          <w:szCs w:val="21"/>
          <w:lang w:val="en-US" w:eastAsia="ru-RU"/>
        </w:rPr>
        <w:t>mail</w:t>
      </w:r>
      <w:r w:rsidRPr="00877DE5">
        <w:rPr>
          <w:rFonts w:ascii="Times New Roman" w:eastAsia="Times New Roman" w:hAnsi="Times New Roman" w:cs="Times New Roman"/>
          <w:i/>
          <w:kern w:val="2"/>
          <w:sz w:val="21"/>
          <w:szCs w:val="21"/>
          <w:lang w:eastAsia="ru-RU"/>
        </w:rPr>
        <w:t>:</w:t>
      </w:r>
      <w:r w:rsidRPr="00877DE5">
        <w:rPr>
          <w:rFonts w:ascii="Times New Roman" w:eastAsia="Times New Roman" w:hAnsi="Times New Roman" w:cs="Times New Roman"/>
          <w:kern w:val="2"/>
          <w:sz w:val="21"/>
          <w:szCs w:val="21"/>
          <w:lang w:eastAsia="ru-RU"/>
        </w:rPr>
        <w:t xml:space="preserve"> </w:t>
      </w:r>
      <w:hyperlink r:id="rId417" w:history="1">
        <w:r w:rsidRPr="00877DE5">
          <w:rPr>
            <w:rFonts w:ascii="Times New Roman" w:eastAsia="Times New Roman" w:hAnsi="Times New Roman" w:cs="Times New Roman"/>
            <w:i/>
            <w:iCs/>
            <w:color w:val="000080"/>
            <w:kern w:val="2"/>
            <w:sz w:val="21"/>
            <w:szCs w:val="21"/>
            <w:u w:val="single"/>
            <w:lang w:val="en-US" w:eastAsia="ru-RU"/>
          </w:rPr>
          <w:t>v</w:t>
        </w:r>
        <w:r w:rsidRPr="00EE54F2">
          <w:rPr>
            <w:rFonts w:ascii="Times New Roman" w:eastAsia="Times New Roman" w:hAnsi="Times New Roman" w:cs="Times New Roman"/>
            <w:i/>
            <w:iCs/>
            <w:color w:val="000080"/>
            <w:kern w:val="2"/>
            <w:sz w:val="21"/>
            <w:szCs w:val="21"/>
            <w:u w:val="single"/>
            <w:lang w:eastAsia="ru-RU"/>
          </w:rPr>
          <w:t>1-</w:t>
        </w:r>
        <w:r w:rsidRPr="00877DE5">
          <w:rPr>
            <w:rFonts w:ascii="Times New Roman" w:eastAsia="Times New Roman" w:hAnsi="Times New Roman" w:cs="Times New Roman"/>
            <w:i/>
            <w:iCs/>
            <w:color w:val="000080"/>
            <w:kern w:val="2"/>
            <w:sz w:val="21"/>
            <w:szCs w:val="21"/>
            <w:u w:val="single"/>
            <w:lang w:val="en-US" w:eastAsia="ru-RU"/>
          </w:rPr>
          <w:t>ka</w:t>
        </w:r>
        <w:r w:rsidRPr="00EE54F2">
          <w:rPr>
            <w:rFonts w:ascii="Times New Roman" w:eastAsia="Times New Roman" w:hAnsi="Times New Roman" w:cs="Times New Roman"/>
            <w:i/>
            <w:iCs/>
            <w:color w:val="000080"/>
            <w:kern w:val="2"/>
            <w:sz w:val="21"/>
            <w:szCs w:val="21"/>
            <w:u w:val="single"/>
            <w:lang w:eastAsia="ru-RU"/>
          </w:rPr>
          <w:t>@</w:t>
        </w:r>
        <w:r w:rsidRPr="00877DE5">
          <w:rPr>
            <w:rFonts w:ascii="Times New Roman" w:eastAsia="Times New Roman" w:hAnsi="Times New Roman" w:cs="Times New Roman"/>
            <w:i/>
            <w:iCs/>
            <w:color w:val="000080"/>
            <w:kern w:val="2"/>
            <w:sz w:val="21"/>
            <w:szCs w:val="21"/>
            <w:u w:val="single"/>
            <w:lang w:val="en-US" w:eastAsia="ru-RU"/>
          </w:rPr>
          <w:t>mail</w:t>
        </w:r>
        <w:r w:rsidRPr="00EE54F2">
          <w:rPr>
            <w:rFonts w:ascii="Times New Roman" w:eastAsia="Times New Roman" w:hAnsi="Times New Roman" w:cs="Times New Roman"/>
            <w:i/>
            <w:iCs/>
            <w:color w:val="000080"/>
            <w:kern w:val="2"/>
            <w:sz w:val="21"/>
            <w:szCs w:val="21"/>
            <w:u w:val="single"/>
            <w:lang w:eastAsia="ru-RU"/>
          </w:rPr>
          <w:t>.</w:t>
        </w:r>
        <w:r w:rsidRPr="00877DE5">
          <w:rPr>
            <w:rFonts w:ascii="Times New Roman" w:eastAsia="Times New Roman" w:hAnsi="Times New Roman" w:cs="Times New Roman"/>
            <w:i/>
            <w:iCs/>
            <w:color w:val="000080"/>
            <w:kern w:val="2"/>
            <w:sz w:val="21"/>
            <w:szCs w:val="21"/>
            <w:u w:val="single"/>
            <w:lang w:val="en-US" w:eastAsia="ru-RU"/>
          </w:rPr>
          <w:t>ru</w:t>
        </w:r>
      </w:hyperlink>
    </w:p>
    <w:p w14:paraId="3E4FE9C7"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eastAsia="ru-RU"/>
        </w:rPr>
      </w:pPr>
    </w:p>
    <w:p w14:paraId="1AC84047"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Научный руководитель:</w:t>
      </w:r>
    </w:p>
    <w:p w14:paraId="0F569420"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Нарыжная Н.Ю.,</w:t>
      </w:r>
    </w:p>
    <w:p w14:paraId="077D492C"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к.т.н., доцент</w:t>
      </w:r>
    </w:p>
    <w:p w14:paraId="6C6CE3A4" w14:textId="77777777" w:rsidR="00877DE5" w:rsidRPr="00877DE5" w:rsidRDefault="00877DE5" w:rsidP="00067100">
      <w:pPr>
        <w:numPr>
          <w:ilvl w:val="1"/>
          <w:numId w:val="0"/>
        </w:numPr>
        <w:spacing w:after="0" w:line="240" w:lineRule="auto"/>
        <w:ind w:firstLine="709"/>
        <w:jc w:val="right"/>
        <w:rPr>
          <w:rFonts w:ascii="Times New Roman" w:eastAsia="Times New Roman" w:hAnsi="Times New Roman" w:cs="Times New Roman"/>
          <w:i/>
          <w:iCs/>
          <w:sz w:val="21"/>
          <w:szCs w:val="21"/>
          <w:lang w:eastAsia="ru-RU"/>
        </w:rPr>
      </w:pPr>
      <w:r w:rsidRPr="00877DE5">
        <w:rPr>
          <w:rFonts w:ascii="Times New Roman" w:eastAsia="Times New Roman" w:hAnsi="Times New Roman" w:cs="Times New Roman"/>
          <w:i/>
          <w:iCs/>
          <w:sz w:val="21"/>
          <w:szCs w:val="21"/>
          <w:lang w:eastAsia="ru-RU"/>
        </w:rPr>
        <w:t xml:space="preserve">Краснодарский филиал Финансового университета при </w:t>
      </w:r>
    </w:p>
    <w:p w14:paraId="2865EF6F"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iCs/>
          <w:kern w:val="2"/>
          <w:sz w:val="21"/>
          <w:szCs w:val="21"/>
          <w:lang w:eastAsia="ru-RU"/>
        </w:rPr>
        <w:t>Правительстве Российской Федерации</w:t>
      </w:r>
    </w:p>
    <w:p w14:paraId="699F3BAE" w14:textId="77777777" w:rsidR="00877DE5" w:rsidRPr="00877DE5" w:rsidRDefault="00877DE5" w:rsidP="00067100">
      <w:pPr>
        <w:spacing w:after="0" w:line="240" w:lineRule="auto"/>
        <w:ind w:firstLine="709"/>
        <w:jc w:val="right"/>
        <w:rPr>
          <w:rFonts w:ascii="Times New Roman" w:eastAsia="Times New Roman" w:hAnsi="Times New Roman" w:cs="Times New Roman"/>
          <w:i/>
          <w:iCs/>
          <w:color w:val="000000"/>
          <w:kern w:val="2"/>
          <w:sz w:val="21"/>
          <w:szCs w:val="21"/>
          <w:lang w:eastAsia="ru-RU"/>
        </w:rPr>
      </w:pPr>
      <w:r w:rsidRPr="00877DE5">
        <w:rPr>
          <w:rFonts w:ascii="Times New Roman" w:eastAsia="Times New Roman" w:hAnsi="Times New Roman" w:cs="Times New Roman"/>
          <w:i/>
          <w:iCs/>
          <w:color w:val="000000"/>
          <w:kern w:val="2"/>
          <w:sz w:val="21"/>
          <w:szCs w:val="21"/>
          <w:lang w:eastAsia="ru-RU"/>
        </w:rPr>
        <w:t>г. Краснодар, Россия</w:t>
      </w:r>
    </w:p>
    <w:p w14:paraId="1CC1718F"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е-</w:t>
      </w:r>
      <w:r w:rsidRPr="00877DE5">
        <w:rPr>
          <w:rFonts w:ascii="Times New Roman" w:eastAsia="Times New Roman" w:hAnsi="Times New Roman" w:cs="Times New Roman"/>
          <w:i/>
          <w:kern w:val="2"/>
          <w:sz w:val="21"/>
          <w:szCs w:val="21"/>
          <w:lang w:val="en-US" w:eastAsia="ru-RU"/>
        </w:rPr>
        <w:t>mail</w:t>
      </w:r>
      <w:r w:rsidRPr="00877DE5">
        <w:rPr>
          <w:rFonts w:ascii="Times New Roman" w:eastAsia="Times New Roman" w:hAnsi="Times New Roman" w:cs="Times New Roman"/>
          <w:i/>
          <w:kern w:val="2"/>
          <w:sz w:val="21"/>
          <w:szCs w:val="21"/>
          <w:lang w:eastAsia="ru-RU"/>
        </w:rPr>
        <w:t>:</w:t>
      </w:r>
      <w:r w:rsidRPr="00877DE5">
        <w:rPr>
          <w:rFonts w:ascii="Times New Roman" w:eastAsia="Times New Roman" w:hAnsi="Times New Roman" w:cs="Times New Roman"/>
          <w:kern w:val="2"/>
          <w:sz w:val="21"/>
          <w:szCs w:val="21"/>
          <w:lang w:eastAsia="ru-RU"/>
        </w:rPr>
        <w:t xml:space="preserve"> </w:t>
      </w:r>
      <w:hyperlink r:id="rId418" w:history="1">
        <w:r w:rsidRPr="00877DE5">
          <w:rPr>
            <w:rFonts w:ascii="Times New Roman" w:eastAsia="Times New Roman" w:hAnsi="Times New Roman" w:cs="Times New Roman"/>
            <w:i/>
            <w:iCs/>
            <w:color w:val="000080"/>
            <w:kern w:val="2"/>
            <w:sz w:val="21"/>
            <w:szCs w:val="21"/>
            <w:u w:val="single"/>
            <w:lang w:val="en-US" w:eastAsia="ru-RU"/>
          </w:rPr>
          <w:t>NYUNaryzhnaya</w:t>
        </w:r>
        <w:r w:rsidRPr="00877DE5">
          <w:rPr>
            <w:rFonts w:ascii="Times New Roman" w:eastAsia="Times New Roman" w:hAnsi="Times New Roman" w:cs="Times New Roman"/>
            <w:i/>
            <w:iCs/>
            <w:color w:val="000080"/>
            <w:kern w:val="2"/>
            <w:sz w:val="21"/>
            <w:szCs w:val="21"/>
            <w:u w:val="single"/>
            <w:lang w:eastAsia="ru-RU"/>
          </w:rPr>
          <w:t>@</w:t>
        </w:r>
        <w:r w:rsidRPr="00877DE5">
          <w:rPr>
            <w:rFonts w:ascii="Times New Roman" w:eastAsia="Times New Roman" w:hAnsi="Times New Roman" w:cs="Times New Roman"/>
            <w:i/>
            <w:iCs/>
            <w:color w:val="000080"/>
            <w:kern w:val="2"/>
            <w:sz w:val="21"/>
            <w:szCs w:val="21"/>
            <w:u w:val="single"/>
            <w:lang w:val="en-US" w:eastAsia="ru-RU"/>
          </w:rPr>
          <w:t>fa</w:t>
        </w:r>
        <w:r w:rsidRPr="00877DE5">
          <w:rPr>
            <w:rFonts w:ascii="Times New Roman" w:eastAsia="Times New Roman" w:hAnsi="Times New Roman" w:cs="Times New Roman"/>
            <w:i/>
            <w:iCs/>
            <w:color w:val="000080"/>
            <w:kern w:val="2"/>
            <w:sz w:val="21"/>
            <w:szCs w:val="21"/>
            <w:u w:val="single"/>
            <w:lang w:eastAsia="ru-RU"/>
          </w:rPr>
          <w:t>.</w:t>
        </w:r>
        <w:r w:rsidRPr="00877DE5">
          <w:rPr>
            <w:rFonts w:ascii="Times New Roman" w:eastAsia="Times New Roman" w:hAnsi="Times New Roman" w:cs="Times New Roman"/>
            <w:i/>
            <w:iCs/>
            <w:color w:val="000080"/>
            <w:kern w:val="2"/>
            <w:sz w:val="21"/>
            <w:szCs w:val="21"/>
            <w:u w:val="single"/>
            <w:lang w:val="en-US" w:eastAsia="ru-RU"/>
          </w:rPr>
          <w:t>ru</w:t>
        </w:r>
      </w:hyperlink>
    </w:p>
    <w:p w14:paraId="442E2B47"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p>
    <w:p w14:paraId="3A3F22B4" w14:textId="77777777" w:rsidR="00877DE5" w:rsidRPr="00877DE5" w:rsidRDefault="00877DE5" w:rsidP="00067100">
      <w:pPr>
        <w:spacing w:after="0" w:line="240" w:lineRule="auto"/>
        <w:ind w:firstLine="709"/>
        <w:jc w:val="center"/>
        <w:rPr>
          <w:rFonts w:ascii="Times New Roman" w:eastAsia="Times New Roman" w:hAnsi="Times New Roman" w:cs="Times New Roman"/>
          <w:b/>
          <w:color w:val="000000"/>
          <w:kern w:val="2"/>
          <w:sz w:val="21"/>
          <w:szCs w:val="21"/>
          <w:lang w:eastAsia="ru-RU"/>
        </w:rPr>
      </w:pPr>
      <w:r w:rsidRPr="00877DE5">
        <w:rPr>
          <w:rFonts w:ascii="Times New Roman" w:eastAsia="Times New Roman" w:hAnsi="Times New Roman" w:cs="Times New Roman"/>
          <w:b/>
          <w:color w:val="000000"/>
          <w:kern w:val="2"/>
          <w:sz w:val="21"/>
          <w:szCs w:val="21"/>
          <w:lang w:eastAsia="ru-RU"/>
        </w:rPr>
        <w:t>Электронная коммерция и изменения в потребительском поведении</w:t>
      </w:r>
    </w:p>
    <w:p w14:paraId="23231A0D" w14:textId="77777777" w:rsidR="00877DE5" w:rsidRPr="00877DE5" w:rsidRDefault="00877DE5" w:rsidP="00067100">
      <w:pPr>
        <w:spacing w:after="0" w:line="240" w:lineRule="auto"/>
        <w:ind w:firstLine="709"/>
        <w:jc w:val="center"/>
        <w:rPr>
          <w:rFonts w:ascii="Times New Roman" w:eastAsia="Times New Roman" w:hAnsi="Times New Roman" w:cs="Times New Roman"/>
          <w:b/>
          <w:color w:val="000000"/>
          <w:kern w:val="2"/>
          <w:sz w:val="21"/>
          <w:szCs w:val="21"/>
          <w:lang w:eastAsia="ru-RU"/>
        </w:rPr>
      </w:pPr>
    </w:p>
    <w:p w14:paraId="14AB2337"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kern w:val="2"/>
          <w:sz w:val="21"/>
          <w:szCs w:val="21"/>
          <w:lang w:eastAsia="ru-RU"/>
        </w:rPr>
      </w:pPr>
      <w:r w:rsidRPr="00877DE5">
        <w:rPr>
          <w:rFonts w:ascii="Times New Roman" w:eastAsia="Times New Roman" w:hAnsi="Times New Roman" w:cs="Times New Roman"/>
          <w:b/>
          <w:bCs/>
          <w:color w:val="000000"/>
          <w:kern w:val="2"/>
          <w:sz w:val="21"/>
          <w:szCs w:val="21"/>
          <w:lang w:eastAsia="ru-RU"/>
        </w:rPr>
        <w:t xml:space="preserve">Аннотация: </w:t>
      </w:r>
      <w:r w:rsidRPr="00877DE5">
        <w:rPr>
          <w:rFonts w:ascii="Times New Roman" w:eastAsia="Times New Roman" w:hAnsi="Times New Roman" w:cs="Times New Roman"/>
          <w:color w:val="000000"/>
          <w:kern w:val="2"/>
          <w:sz w:val="21"/>
          <w:szCs w:val="21"/>
          <w:lang w:eastAsia="ru-RU"/>
        </w:rPr>
        <w:t>В статье рассматриваются изменения в потребительском поведении, вызванные развитием электронной коммерции. Анализируются ключевые факторы, влияющие на предпочтения покупателей, такие как удобство онлайн-покупок, доступность информации и персонализация предложений. Обсуждаются последствия этих изменений для традиционных розничных бизнесов и необходимость адаптации к новым условиям. В заключение подчеркивается важность понимания потребительских трендов для успешной стратегии в сфере электронной торговли.</w:t>
      </w:r>
    </w:p>
    <w:p w14:paraId="0472BB31"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kern w:val="2"/>
          <w:sz w:val="21"/>
          <w:szCs w:val="21"/>
          <w:lang w:eastAsia="ru-RU"/>
        </w:rPr>
      </w:pPr>
      <w:r w:rsidRPr="00877DE5">
        <w:rPr>
          <w:rFonts w:ascii="Times New Roman" w:eastAsia="Times New Roman" w:hAnsi="Times New Roman" w:cs="Times New Roman"/>
          <w:b/>
          <w:bCs/>
          <w:color w:val="000000"/>
          <w:kern w:val="2"/>
          <w:sz w:val="21"/>
          <w:szCs w:val="21"/>
          <w:lang w:eastAsia="ru-RU"/>
        </w:rPr>
        <w:t>Ключевые слова:</w:t>
      </w:r>
      <w:r w:rsidRPr="00877DE5">
        <w:rPr>
          <w:rFonts w:ascii="Times New Roman" w:eastAsia="Times New Roman" w:hAnsi="Times New Roman" w:cs="Times New Roman"/>
          <w:color w:val="000000"/>
          <w:kern w:val="2"/>
          <w:sz w:val="21"/>
          <w:szCs w:val="21"/>
          <w:lang w:eastAsia="ru-RU"/>
        </w:rPr>
        <w:t xml:space="preserve"> Электронная коммерция, поведение потребителей, онлайн-шопинг, персонализация, адаптация розничной торговли, опыт клиента.</w:t>
      </w:r>
    </w:p>
    <w:p w14:paraId="408401D8"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kern w:val="2"/>
          <w:sz w:val="21"/>
          <w:szCs w:val="21"/>
          <w:lang w:eastAsia="ru-RU"/>
        </w:rPr>
      </w:pPr>
    </w:p>
    <w:p w14:paraId="23479A68"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kern w:val="2"/>
          <w:sz w:val="21"/>
          <w:szCs w:val="21"/>
          <w:lang w:val="en-US" w:eastAsia="ru-RU"/>
        </w:rPr>
        <w:t>Sitnikova V.K.,</w:t>
      </w:r>
    </w:p>
    <w:p w14:paraId="0CFB4095"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i/>
          <w:kern w:val="2"/>
          <w:sz w:val="21"/>
          <w:szCs w:val="21"/>
          <w:lang w:val="en-US" w:eastAsia="ru-RU"/>
        </w:rPr>
        <w:t>student,</w:t>
      </w:r>
      <w:r w:rsidRPr="00877DE5">
        <w:rPr>
          <w:rFonts w:ascii="Times New Roman" w:eastAsia="Times New Roman" w:hAnsi="Times New Roman" w:cs="Times New Roman"/>
          <w:i/>
          <w:kern w:val="2"/>
          <w:sz w:val="24"/>
          <w:szCs w:val="24"/>
          <w:lang w:val="en-US" w:eastAsia="ru-RU"/>
        </w:rPr>
        <w:t xml:space="preserve"> </w:t>
      </w:r>
      <w:r w:rsidRPr="00877DE5">
        <w:rPr>
          <w:rFonts w:ascii="Times New Roman" w:eastAsia="Times New Roman" w:hAnsi="Times New Roman" w:cs="Times New Roman"/>
          <w:i/>
          <w:kern w:val="2"/>
          <w:sz w:val="21"/>
          <w:szCs w:val="21"/>
          <w:lang w:val="en-US" w:eastAsia="ru-RU"/>
        </w:rPr>
        <w:t>2 courses</w:t>
      </w:r>
      <w:r w:rsidRPr="00877DE5">
        <w:rPr>
          <w:rFonts w:ascii="Times New Roman" w:eastAsia="Times New Roman" w:hAnsi="Times New Roman" w:cs="Times New Roman"/>
          <w:b/>
          <w:i/>
          <w:kern w:val="2"/>
          <w:sz w:val="21"/>
          <w:szCs w:val="21"/>
          <w:lang w:val="en-US" w:eastAsia="ru-RU"/>
        </w:rPr>
        <w:t xml:space="preserve"> </w:t>
      </w:r>
    </w:p>
    <w:p w14:paraId="1DE93B78"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t xml:space="preserve">Krasnodar Branch of the Financial University at </w:t>
      </w:r>
    </w:p>
    <w:p w14:paraId="179B2BEF"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t>The Government of the Russian Federation</w:t>
      </w:r>
    </w:p>
    <w:p w14:paraId="36F13249"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val="en-US" w:eastAsia="ar-SA"/>
        </w:rPr>
      </w:pPr>
      <w:r w:rsidRPr="00877DE5">
        <w:rPr>
          <w:rFonts w:ascii="Times New Roman" w:eastAsia="Times New Roman" w:hAnsi="Times New Roman" w:cs="Times New Roman"/>
          <w:i/>
          <w:sz w:val="21"/>
          <w:szCs w:val="21"/>
          <w:lang w:val="en-US" w:eastAsia="ar-SA"/>
        </w:rPr>
        <w:t>Krasnodar, Russia</w:t>
      </w:r>
    </w:p>
    <w:p w14:paraId="5E22F8C7"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eastAsia="ru-RU"/>
        </w:rPr>
        <w:t>е</w:t>
      </w:r>
      <w:r w:rsidRPr="00877DE5">
        <w:rPr>
          <w:rFonts w:ascii="Times New Roman" w:eastAsia="Times New Roman" w:hAnsi="Times New Roman" w:cs="Times New Roman"/>
          <w:i/>
          <w:kern w:val="2"/>
          <w:sz w:val="21"/>
          <w:szCs w:val="21"/>
          <w:lang w:val="en-US" w:eastAsia="ru-RU"/>
        </w:rPr>
        <w:t>-mail:</w:t>
      </w:r>
      <w:r w:rsidRPr="00877DE5">
        <w:rPr>
          <w:rFonts w:ascii="Times New Roman" w:eastAsia="Times New Roman" w:hAnsi="Times New Roman" w:cs="Times New Roman"/>
          <w:kern w:val="2"/>
          <w:sz w:val="24"/>
          <w:szCs w:val="24"/>
          <w:lang w:val="en-US" w:eastAsia="ru-RU"/>
        </w:rPr>
        <w:t xml:space="preserve"> </w:t>
      </w:r>
      <w:hyperlink r:id="rId419" w:history="1">
        <w:r w:rsidRPr="00877DE5">
          <w:rPr>
            <w:rFonts w:ascii="Times New Roman" w:eastAsia="Times New Roman" w:hAnsi="Times New Roman" w:cs="Times New Roman"/>
            <w:color w:val="000080"/>
            <w:kern w:val="2"/>
            <w:sz w:val="24"/>
            <w:szCs w:val="24"/>
            <w:u w:val="single"/>
            <w:lang w:val="en-US" w:eastAsia="ru-RU"/>
          </w:rPr>
          <w:t>v1-ka@mail.ru</w:t>
        </w:r>
      </w:hyperlink>
    </w:p>
    <w:p w14:paraId="7EAED776"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p>
    <w:p w14:paraId="148CBCA9"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kern w:val="2"/>
          <w:sz w:val="21"/>
          <w:szCs w:val="21"/>
          <w:lang w:val="en-US" w:eastAsia="ru-RU"/>
        </w:rPr>
        <w:t>Scientific Adviser:</w:t>
      </w:r>
    </w:p>
    <w:p w14:paraId="762E5D5B" w14:textId="77777777" w:rsidR="00877DE5" w:rsidRPr="00877DE5" w:rsidRDefault="00877DE5" w:rsidP="00067100">
      <w:pPr>
        <w:spacing w:after="0" w:line="240" w:lineRule="auto"/>
        <w:ind w:firstLine="709"/>
        <w:jc w:val="right"/>
        <w:rPr>
          <w:rFonts w:ascii="Times New Roman" w:eastAsia="Times New Roman" w:hAnsi="Times New Roman" w:cs="Times New Roman"/>
          <w:b/>
          <w:i/>
          <w:iCs/>
          <w:kern w:val="2"/>
          <w:sz w:val="21"/>
          <w:szCs w:val="21"/>
          <w:lang w:val="en-US" w:eastAsia="ru-RU"/>
        </w:rPr>
      </w:pPr>
      <w:r w:rsidRPr="00877DE5">
        <w:rPr>
          <w:rFonts w:ascii="Times New Roman" w:eastAsia="Times New Roman" w:hAnsi="Times New Roman" w:cs="Times New Roman"/>
          <w:b/>
          <w:bCs/>
          <w:i/>
          <w:kern w:val="2"/>
          <w:sz w:val="21"/>
          <w:szCs w:val="21"/>
          <w:lang w:val="en-US" w:eastAsia="ru-RU"/>
        </w:rPr>
        <w:t>Naryzhnaya</w:t>
      </w:r>
      <w:r w:rsidRPr="00877DE5">
        <w:rPr>
          <w:rFonts w:ascii="Times New Roman" w:eastAsia="Times New Roman" w:hAnsi="Times New Roman" w:cs="Times New Roman"/>
          <w:b/>
          <w:bCs/>
          <w:i/>
          <w:iCs/>
          <w:color w:val="000000"/>
          <w:kern w:val="2"/>
          <w:sz w:val="21"/>
          <w:szCs w:val="21"/>
          <w:lang w:val="en-US" w:eastAsia="ru-RU"/>
        </w:rPr>
        <w:t xml:space="preserve"> N.U</w:t>
      </w:r>
      <w:r w:rsidRPr="00877DE5">
        <w:rPr>
          <w:rFonts w:ascii="Times New Roman" w:eastAsia="Times New Roman" w:hAnsi="Times New Roman" w:cs="Times New Roman"/>
          <w:b/>
          <w:i/>
          <w:iCs/>
          <w:kern w:val="2"/>
          <w:sz w:val="21"/>
          <w:szCs w:val="21"/>
          <w:lang w:val="en-US" w:eastAsia="ru-RU"/>
        </w:rPr>
        <w:t>.,</w:t>
      </w:r>
    </w:p>
    <w:p w14:paraId="6BC07493" w14:textId="77777777" w:rsidR="00877DE5" w:rsidRPr="00877DE5" w:rsidRDefault="00877DE5" w:rsidP="00067100">
      <w:pPr>
        <w:spacing w:after="0" w:line="240" w:lineRule="auto"/>
        <w:ind w:firstLine="709"/>
        <w:jc w:val="right"/>
        <w:rPr>
          <w:rFonts w:ascii="Times New Roman" w:eastAsia="Times New Roman" w:hAnsi="Times New Roman" w:cs="Times New Roman"/>
          <w:i/>
          <w:iCs/>
          <w:kern w:val="2"/>
          <w:sz w:val="21"/>
          <w:szCs w:val="21"/>
          <w:shd w:val="clear" w:color="auto" w:fill="FFFFFF"/>
          <w:lang w:val="en-US" w:eastAsia="ru-RU"/>
        </w:rPr>
      </w:pPr>
      <w:r w:rsidRPr="00877DE5">
        <w:rPr>
          <w:rFonts w:ascii="Times New Roman" w:eastAsia="Times New Roman" w:hAnsi="Times New Roman" w:cs="Times New Roman"/>
          <w:i/>
          <w:iCs/>
          <w:kern w:val="2"/>
          <w:sz w:val="21"/>
          <w:szCs w:val="21"/>
          <w:shd w:val="clear" w:color="auto" w:fill="FFFFFF"/>
          <w:lang w:val="en-US" w:eastAsia="ru-RU"/>
        </w:rPr>
        <w:t>Doctor of Science (Mathematics and Computer Science),</w:t>
      </w:r>
      <w:r w:rsidRPr="00877DE5">
        <w:rPr>
          <w:rFonts w:ascii="Times New Roman" w:eastAsia="Times New Roman" w:hAnsi="Times New Roman" w:cs="Times New Roman"/>
          <w:i/>
          <w:kern w:val="2"/>
          <w:sz w:val="24"/>
          <w:szCs w:val="24"/>
          <w:lang w:val="en-US" w:eastAsia="ru-RU"/>
        </w:rPr>
        <w:t xml:space="preserve"> </w:t>
      </w:r>
      <w:r w:rsidRPr="00877DE5">
        <w:rPr>
          <w:rFonts w:ascii="Times New Roman" w:eastAsia="Times New Roman" w:hAnsi="Times New Roman" w:cs="Times New Roman"/>
          <w:i/>
          <w:iCs/>
          <w:kern w:val="2"/>
          <w:sz w:val="21"/>
          <w:szCs w:val="21"/>
          <w:shd w:val="clear" w:color="auto" w:fill="FFFFFF"/>
          <w:lang w:val="en-US" w:eastAsia="ru-RU"/>
        </w:rPr>
        <w:t>Docent</w:t>
      </w:r>
      <w:r w:rsidRPr="00877DE5">
        <w:rPr>
          <w:rFonts w:ascii="Times New Roman" w:eastAsia="Times New Roman" w:hAnsi="Times New Roman" w:cs="Times New Roman"/>
          <w:b/>
          <w:i/>
          <w:kern w:val="2"/>
          <w:sz w:val="21"/>
          <w:szCs w:val="21"/>
          <w:lang w:val="en-US" w:eastAsia="ru-RU"/>
        </w:rPr>
        <w:t xml:space="preserve"> </w:t>
      </w:r>
    </w:p>
    <w:p w14:paraId="514529CE" w14:textId="77777777" w:rsidR="00877DE5" w:rsidRPr="00877DE5" w:rsidRDefault="00877DE5" w:rsidP="00067100">
      <w:pPr>
        <w:spacing w:after="0" w:line="240" w:lineRule="auto"/>
        <w:ind w:firstLine="709"/>
        <w:jc w:val="right"/>
        <w:rPr>
          <w:rFonts w:ascii="Times New Roman" w:eastAsia="Times New Roman" w:hAnsi="Times New Roman" w:cs="Times New Roman"/>
          <w:i/>
          <w:iCs/>
          <w:kern w:val="2"/>
          <w:sz w:val="21"/>
          <w:szCs w:val="21"/>
          <w:shd w:val="clear" w:color="auto" w:fill="FFFFFF"/>
          <w:lang w:val="en-US" w:eastAsia="ru-RU"/>
        </w:rPr>
      </w:pPr>
      <w:r w:rsidRPr="00877DE5">
        <w:rPr>
          <w:rFonts w:ascii="Times New Roman" w:eastAsia="Times New Roman" w:hAnsi="Times New Roman" w:cs="Times New Roman"/>
          <w:i/>
          <w:iCs/>
          <w:kern w:val="2"/>
          <w:sz w:val="21"/>
          <w:szCs w:val="21"/>
          <w:shd w:val="clear" w:color="auto" w:fill="FFFFFF"/>
          <w:lang w:val="en-US" w:eastAsia="ru-RU"/>
        </w:rPr>
        <w:t xml:space="preserve">Krasnodar Branch of the Financial University at </w:t>
      </w:r>
    </w:p>
    <w:p w14:paraId="6561AE28" w14:textId="77777777" w:rsidR="00877DE5" w:rsidRPr="00877DE5" w:rsidRDefault="00877DE5" w:rsidP="00067100">
      <w:pPr>
        <w:spacing w:after="0" w:line="240" w:lineRule="auto"/>
        <w:ind w:firstLine="709"/>
        <w:jc w:val="right"/>
        <w:rPr>
          <w:rFonts w:ascii="Times New Roman" w:eastAsia="Times New Roman" w:hAnsi="Times New Roman" w:cs="Times New Roman"/>
          <w:i/>
          <w:iCs/>
          <w:kern w:val="2"/>
          <w:sz w:val="21"/>
          <w:szCs w:val="21"/>
          <w:shd w:val="clear" w:color="auto" w:fill="FFFFFF"/>
          <w:lang w:val="en-US" w:eastAsia="ru-RU"/>
        </w:rPr>
      </w:pPr>
      <w:r w:rsidRPr="00877DE5">
        <w:rPr>
          <w:rFonts w:ascii="Times New Roman" w:eastAsia="Times New Roman" w:hAnsi="Times New Roman" w:cs="Times New Roman"/>
          <w:i/>
          <w:iCs/>
          <w:kern w:val="2"/>
          <w:sz w:val="21"/>
          <w:szCs w:val="21"/>
          <w:shd w:val="clear" w:color="auto" w:fill="FFFFFF"/>
          <w:lang w:val="en-US" w:eastAsia="ru-RU"/>
        </w:rPr>
        <w:t>The Government of the Russian Federation</w:t>
      </w:r>
    </w:p>
    <w:p w14:paraId="6F632B1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val="en-US" w:eastAsia="ar-SA"/>
        </w:rPr>
      </w:pPr>
      <w:r w:rsidRPr="00877DE5">
        <w:rPr>
          <w:rFonts w:ascii="Times New Roman" w:eastAsia="Times New Roman" w:hAnsi="Times New Roman" w:cs="Times New Roman"/>
          <w:i/>
          <w:sz w:val="21"/>
          <w:szCs w:val="21"/>
          <w:lang w:val="en-US" w:eastAsia="ar-SA"/>
        </w:rPr>
        <w:t>Krasnodar, Russia</w:t>
      </w:r>
    </w:p>
    <w:p w14:paraId="4A7812A7"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iCs/>
          <w:sz w:val="21"/>
          <w:szCs w:val="21"/>
          <w:lang w:val="en-US"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 xml:space="preserve">-mail: </w:t>
      </w:r>
      <w:hyperlink r:id="rId420" w:history="1">
        <w:r w:rsidRPr="00877DE5">
          <w:rPr>
            <w:rFonts w:ascii="Times New Roman" w:eastAsia="Times New Roman" w:hAnsi="Times New Roman" w:cs="Times New Roman"/>
            <w:i/>
            <w:color w:val="000080"/>
            <w:sz w:val="21"/>
            <w:szCs w:val="21"/>
            <w:u w:val="single"/>
            <w:lang w:val="en-US" w:eastAsia="ar-SA"/>
          </w:rPr>
          <w:t>NYUNaryzhnaya@fa.ru</w:t>
        </w:r>
      </w:hyperlink>
    </w:p>
    <w:p w14:paraId="7B7064A9"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1"/>
          <w:lang w:val="en-US" w:eastAsia="ar-SA"/>
        </w:rPr>
      </w:pPr>
    </w:p>
    <w:p w14:paraId="21D298FD" w14:textId="77777777" w:rsidR="00877DE5" w:rsidRPr="00654CF2" w:rsidRDefault="00877DE5" w:rsidP="00067100">
      <w:pPr>
        <w:spacing w:after="0" w:line="240" w:lineRule="auto"/>
        <w:ind w:firstLine="709"/>
        <w:jc w:val="center"/>
        <w:rPr>
          <w:rFonts w:ascii="Times New Roman" w:eastAsia="Times New Roman" w:hAnsi="Times New Roman" w:cs="Times New Roman"/>
          <w:b/>
          <w:kern w:val="2"/>
          <w:sz w:val="21"/>
          <w:szCs w:val="21"/>
          <w:lang w:val="en-US" w:eastAsia="ar-SA"/>
        </w:rPr>
      </w:pPr>
      <w:r w:rsidRPr="00877DE5">
        <w:rPr>
          <w:rFonts w:ascii="Times New Roman" w:eastAsia="Times New Roman" w:hAnsi="Times New Roman" w:cs="Times New Roman"/>
          <w:b/>
          <w:kern w:val="2"/>
          <w:sz w:val="21"/>
          <w:szCs w:val="21"/>
          <w:lang w:val="en-US" w:eastAsia="ar-SA"/>
        </w:rPr>
        <w:t>E-commerce and changes in consumer behavior</w:t>
      </w:r>
    </w:p>
    <w:p w14:paraId="65AC6112" w14:textId="77777777" w:rsidR="008D3F15" w:rsidRPr="00654CF2" w:rsidRDefault="008D3F15" w:rsidP="00067100">
      <w:pPr>
        <w:spacing w:after="0" w:line="240" w:lineRule="auto"/>
        <w:ind w:firstLine="709"/>
        <w:jc w:val="center"/>
        <w:rPr>
          <w:rFonts w:ascii="Times New Roman" w:eastAsia="Times New Roman" w:hAnsi="Times New Roman" w:cs="Times New Roman"/>
          <w:b/>
          <w:kern w:val="2"/>
          <w:sz w:val="21"/>
          <w:szCs w:val="21"/>
          <w:lang w:val="en-US" w:eastAsia="ar-SA"/>
        </w:rPr>
      </w:pPr>
    </w:p>
    <w:p w14:paraId="2743E379" w14:textId="77777777" w:rsidR="00877DE5" w:rsidRPr="00877DE5" w:rsidRDefault="00877DE5" w:rsidP="00067100">
      <w:pPr>
        <w:spacing w:after="0" w:line="240" w:lineRule="auto"/>
        <w:ind w:firstLine="709"/>
        <w:jc w:val="both"/>
        <w:rPr>
          <w:rFonts w:ascii="Times New Roman" w:eastAsia="Times New Roman" w:hAnsi="Times New Roman" w:cs="Times New Roman"/>
          <w:color w:val="000000"/>
          <w:kern w:val="2"/>
          <w:sz w:val="21"/>
          <w:szCs w:val="21"/>
          <w:lang w:val="en-US" w:eastAsia="ru-RU"/>
        </w:rPr>
      </w:pPr>
      <w:r w:rsidRPr="00877DE5">
        <w:rPr>
          <w:rFonts w:ascii="Times New Roman" w:eastAsia="Times New Roman" w:hAnsi="Times New Roman" w:cs="Times New Roman"/>
          <w:b/>
          <w:bCs/>
          <w:color w:val="000000"/>
          <w:kern w:val="2"/>
          <w:sz w:val="21"/>
          <w:szCs w:val="21"/>
          <w:lang w:val="en-US" w:eastAsia="ru-RU"/>
        </w:rPr>
        <w:t xml:space="preserve">Abstract: </w:t>
      </w:r>
      <w:r w:rsidRPr="00877DE5">
        <w:rPr>
          <w:rFonts w:ascii="Times New Roman" w:eastAsia="Times New Roman" w:hAnsi="Times New Roman" w:cs="Times New Roman"/>
          <w:color w:val="000000"/>
          <w:kern w:val="2"/>
          <w:sz w:val="21"/>
          <w:szCs w:val="21"/>
          <w:lang w:val="en-US" w:eastAsia="ru-RU"/>
        </w:rPr>
        <w:t>The article examines the changes in consumer behavior driven by the rise of e-commerce. It analyzes key factors influencing buyer preferences, such as the convenience of online shopping, accessibility of information, and the personalization of offers. The discussion includes the implications of these changes for traditional retail businesses and the necessity for adaptation to new conditions. In conclusion, the importance of understanding consumer trends for a successful strategy in the e-commerce sector is emphasized.</w:t>
      </w:r>
    </w:p>
    <w:p w14:paraId="727A7052"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28"/>
          <w:szCs w:val="28"/>
          <w:lang w:val="en-US" w:eastAsia="ru-RU"/>
        </w:rPr>
      </w:pPr>
      <w:r w:rsidRPr="00877DE5">
        <w:rPr>
          <w:rFonts w:ascii="Times New Roman" w:eastAsia="Times New Roman" w:hAnsi="Times New Roman" w:cs="Times New Roman"/>
          <w:b/>
          <w:bCs/>
          <w:color w:val="000000"/>
          <w:kern w:val="2"/>
          <w:sz w:val="21"/>
          <w:szCs w:val="21"/>
          <w:lang w:val="en-US" w:eastAsia="ru-RU"/>
        </w:rPr>
        <w:t>Keywords</w:t>
      </w:r>
      <w:r w:rsidRPr="00877DE5">
        <w:rPr>
          <w:rFonts w:ascii="Times New Roman" w:eastAsia="Times New Roman" w:hAnsi="Times New Roman" w:cs="Times New Roman"/>
          <w:color w:val="000000"/>
          <w:kern w:val="2"/>
          <w:sz w:val="21"/>
          <w:szCs w:val="21"/>
          <w:lang w:val="en-US" w:eastAsia="ru-RU"/>
        </w:rPr>
        <w:t>: E-commerce, consumer behavior, online shopping, personalization, retail adaptation, customer experience.</w:t>
      </w:r>
    </w:p>
    <w:p w14:paraId="5E33F20C" w14:textId="77777777" w:rsidR="00877DE5" w:rsidRPr="00877DE5" w:rsidRDefault="00877DE5" w:rsidP="00067100">
      <w:pPr>
        <w:spacing w:after="0" w:line="240" w:lineRule="auto"/>
        <w:ind w:firstLine="709"/>
        <w:jc w:val="both"/>
        <w:rPr>
          <w:rFonts w:ascii="Times New Roman" w:eastAsia="Times New Roman" w:hAnsi="Times New Roman" w:cs="Times New Roman"/>
          <w:b/>
          <w:bCs/>
          <w:kern w:val="2"/>
          <w:sz w:val="28"/>
          <w:szCs w:val="28"/>
          <w:lang w:val="en-US" w:eastAsia="ru-RU"/>
        </w:rPr>
      </w:pPr>
    </w:p>
    <w:p w14:paraId="09D9A4B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Электронная коммерция (e-commerce) – это процесс покупки и продажи товаров и услуг через интернет, который радикально изменил взаимодействие между продавцами и покупателями. В последние годы наблюдается стремительный рост онлайн-продаж, обусловленный развитием технологий, увеличением числа пользователей интернета и </w:t>
      </w:r>
      <w:r w:rsidRPr="00877DE5">
        <w:rPr>
          <w:rFonts w:ascii="Times New Roman" w:eastAsia="Times New Roman" w:hAnsi="Times New Roman" w:cs="Times New Roman"/>
          <w:kern w:val="2"/>
          <w:sz w:val="32"/>
          <w:szCs w:val="32"/>
          <w:lang w:eastAsia="ru-RU"/>
        </w:rPr>
        <w:lastRenderedPageBreak/>
        <w:t>изменением потребительских предпочтений. К 2025 году объем мирового рынка электронной коммерции достигнет триллионов долларов, подчеркивая его важность для экономики.</w:t>
      </w:r>
    </w:p>
    <w:p w14:paraId="7D9162C3"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Этот рост изменил традиционную торговлю и поведение потребителей: современные покупатели ожидают удобного доступа к товарам, персонализированного обслуживания и быстрой доставки. Эти изменения требуют от компаний адаптации стратегий и подходов к маркетингу.</w:t>
      </w:r>
    </w:p>
    <w:p w14:paraId="4D86C1F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Цель данного исследования заключается в выявлении направлений трансформации потребительского поведения в области электронной коммерции для повышения эффективности реагирования на новые запросы клиентов.</w:t>
      </w:r>
    </w:p>
    <w:p w14:paraId="45CBBC3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Для осуществления цели были поставлены следующие задачи: </w:t>
      </w:r>
    </w:p>
    <w:p w14:paraId="3400F05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изучить трансформации в потребительском поведении в электронной коммерции;</w:t>
      </w:r>
    </w:p>
    <w:p w14:paraId="230FEE7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проанализировать факторы, влияющие на эти изменения;</w:t>
      </w:r>
    </w:p>
    <w:p w14:paraId="353C87C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 выявить варианты реакции компаний на новые запросы клиентов. </w:t>
      </w:r>
    </w:p>
    <w:p w14:paraId="6E30AAE3"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Электронная коммерция начала развиваться в 1990-х годах с появлением первых онлайн-магазинов и платформ для торговли. Пионерами в этой области стали такие компании, как Amazon и eBay, которые предложили пользователям возможность покупать и продавать товары через интернет. С тех пор рынок электронной коммерции значительно расширился, охватив не только розничную торговлю, но и услуги, такие как бронирование билетов, онлайн-банкинг и доставка еды [1].</w:t>
      </w:r>
    </w:p>
    <w:p w14:paraId="5C18B402"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 каждым годом электронная коммерция становилась все более доступной благодаря улучшению интернет-инфраструктуры и росту числа пользователей сети. Появление мобильных устройств и приложений также сыграло ключевую роль в этом процессе, позволяя потребителям совершать покупки в любое время и в любом месте. В результате, к 2025 году электронная коммерция стала неотъемлемой частью глобальной экономики, с миллиардами пользователей и триллионами долларов оборота.</w:t>
      </w:r>
    </w:p>
    <w:p w14:paraId="3ABEA02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Согласно статистике, в 2023 году рынок электронной коммерции в России показал значительный рост, увеличившись на 28% и достигнув более 6 трлн рублей. Основным фактором этого роста стала активность покупателей в регионах, что свидетельствует о расширении аудитории интернет-торговли [5].</w:t>
      </w:r>
    </w:p>
    <w:p w14:paraId="3E12891A"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lastRenderedPageBreak/>
        <w:t>Технологический прогресс оказал огромное влияние на развитие электронной коммерции. Внедрение новых технологий, таких как искусственный интеллект, большие данные и облачные вычисления, изменило подходы к продажам и маркетингу. Например, использование алгоритмов машинного обучения позволяет компаниям анализировать поведение пользователей и предлагать персонализированные рекомендации, что значительно повышает вероятность покупки.</w:t>
      </w:r>
    </w:p>
    <w:p w14:paraId="6822863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Кроме того, технологии обеспечили безопасность онлайн-транзакций через внедрение шифрования и многофакторной аутентификации, что укрепило доверие потребителей к онлайн-магазинам. Платежные системы, такие как PayPal и Apple Pay, сделали процесс оплаты более удобным и быстрым, что также способствовало росту онлайн-продаж.</w:t>
      </w:r>
    </w:p>
    <w:p w14:paraId="0F8472D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 развитием технологий и увеличением популярности интернет-торговли удобство и доступность покупок стали ключевыми факторами, влияющими на поведение потребителей. Современные покупатели ценят возможность совершать покупки в любое время и из любого места, что значительно упрощает процесс выбора и приобретения товаров. Платформы электронной коммерции предлагают широкий ассортимент товаров, а также различные способы оплаты и доставки, что делает процесс покупки более гибким и комфортным. Эта тенденция также способствует росту мобильной коммерции, где приложения и мобильные версии сайтов позволяют пользователям совершать покупки на ходу, что еще больше увеличивает доступность товаров [1].</w:t>
      </w:r>
    </w:p>
    <w:p w14:paraId="6736105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 увеличением конкуренции в сфере розничной торговли потребители стали предъявлять более высокие требования к скорости и качеству обслуживания. Быстрая обработка заказов и оперативная доставка стали стандартом, а не исключением [2]. Исследования показывают, что потребители готовы выбирать между различными продавцами на основании их способности предоставлять качественное и быстрое обслуживание [4]. Кроме того, важным аспектом является наличие эффективной системы поддержки клиентов, которая может оперативно решать возникающие проблемы и отвечать на вопросы. Ожидания потребителей в отношении качества обслуживания также включают персонализированный подход, когда компании стремятся учитывать индивидуальные предпочтения и потребности клиентов.</w:t>
      </w:r>
    </w:p>
    <w:p w14:paraId="201DFE4D"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Социальные сети играют все более значимую роль в процессе принятия решений потребителями. Потребители активно ищут отзывы </w:t>
      </w:r>
      <w:r w:rsidRPr="00877DE5">
        <w:rPr>
          <w:rFonts w:ascii="Times New Roman" w:eastAsia="Times New Roman" w:hAnsi="Times New Roman" w:cs="Times New Roman"/>
          <w:kern w:val="2"/>
          <w:sz w:val="32"/>
          <w:szCs w:val="32"/>
          <w:lang w:eastAsia="ru-RU"/>
        </w:rPr>
        <w:lastRenderedPageBreak/>
        <w:t>и рекомендации от других пользователей, что влияет на их выбор. Исследования показывают, что положительные отзывы и рекомендации из социальных сетей могут значительно повысить доверие к бренду и увеличить вероятность покупки [4]. Более того, компании используют социальные сети для взаимодействия с клиентами, создания сообщества и повышения лояльности, что также влияет на поведение потребителей.</w:t>
      </w:r>
    </w:p>
    <w:p w14:paraId="39B18CE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Контент-маркетинг и социальные сети играют ключевую роль в современных стратегиях продвижения. Качественный контент, который информирует, развлекает или решает проблемы потребителей, помогает привлекать внимание и формировать доверие к бренду. Социальные сети, в свою очередь, служат платформой для распространения этого контента и взаимодействия с аудиторией. Бренды могут использовать различные форматы, такие как видео, блоги, инфографика и посты в социальных сетях, чтобы донести свои сообщения до целевой аудитории. Эффективное использование контент-маркетинга и социальных сетей позволяет компаниям не только укреплять свои позиции на рынке, но и формировать активное сообщество вокруг бренда.</w:t>
      </w:r>
    </w:p>
    <w:p w14:paraId="6B76D427"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Персонализированный маркетинг стал одним из самых эффективных подходов в современном бизнесе. Он основывается на сборе и анализе данных о потребителях, что позволяет компаниям создавать индивидуализированные предложения, соответствующие интересам и потребностям каждого клиента. Использование технологий, таких как машинное обучение и аналитика больших данных, позволяет брендам предлагать релевантные продукты и услуги, а также адаптировать сообщения и рекламные кампании под конкретные сегменты аудитории. Это не только повышает уровень вовлеченности потребителей, но и способствует увеличению конверсий и лояльности к бренду.</w:t>
      </w:r>
    </w:p>
    <w:p w14:paraId="48B5C764"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Оптимизация для поисковых систем (SEO) и маркетинг в поисковых системах (SEM) являются важными инструментами для повышения видимости онлайн-магазинов. SEO включает в себя оптимизацию контента и структуры сайта для улучшения его позиций в органических результатах поиска (В контексте SEO (поисковой оптимизации) термин "органические результаты поиска" относится к результатам, которые появляются в поисковых системах на основе их алгоритмов ранжирования, а не за счет платной рекламы) [3]. Это помогает привлечь целевой трафик и увеличить количество </w:t>
      </w:r>
      <w:r w:rsidRPr="00877DE5">
        <w:rPr>
          <w:rFonts w:ascii="Times New Roman" w:eastAsia="Times New Roman" w:hAnsi="Times New Roman" w:cs="Times New Roman"/>
          <w:kern w:val="2"/>
          <w:sz w:val="32"/>
          <w:szCs w:val="32"/>
          <w:lang w:eastAsia="ru-RU"/>
        </w:rPr>
        <w:lastRenderedPageBreak/>
        <w:t>потенциальных клиентов. SEM, в свою очередь, подразумевает использование платной рекламы для продвижения сайта в поисковых системах, что позволяет быстро увеличить видимость и привлечь пользователей. Сочетание этих двух подходов обеспечивает комплексный подход к привлечению клиентов и повышению конкурентоспособности онлайн-магазинов.</w:t>
      </w:r>
    </w:p>
    <w:p w14:paraId="00AF1E79"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color w:val="000000"/>
          <w:kern w:val="2"/>
          <w:sz w:val="32"/>
          <w:szCs w:val="32"/>
          <w:lang w:eastAsia="ru-RU"/>
        </w:rPr>
        <w:t>А</w:t>
      </w:r>
      <w:r w:rsidRPr="00877DE5">
        <w:rPr>
          <w:rFonts w:ascii="Times New Roman" w:eastAsia="Times New Roman" w:hAnsi="Times New Roman" w:cs="Times New Roman"/>
          <w:kern w:val="2"/>
          <w:sz w:val="32"/>
          <w:szCs w:val="32"/>
          <w:lang w:eastAsia="ru-RU"/>
        </w:rPr>
        <w:t>втоматизация процессов в сфере продаж становится неотъемлемой частью современных бизнес-стратегий. Внедрение систем управления взаимоотношениями с клиентами (CRM) позволяет компаниям эффективно управлять взаимодействием с клиентами, оптимизируя рутинные задачи и улучшая качество обслуживания. CRM-системы собирают и хранят данные о клиентах, что даёт возможность анализировать их поведение, предпочтения и потребности. Это, в свою очередь, способствует более точному таргетированию маркетинговых кампаний и повышению уровня удовлетворенности клиентов. Автоматизация также позволяет снизить затраты на трудозатраты, освобождая сотрудников для выполнения более стратегически важных задач.</w:t>
      </w:r>
    </w:p>
    <w:p w14:paraId="5930C4F3"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Технологические инновации, такие как чат-боты и виртуальная реальность (VR), значительно изменяют подходы к продажам. Чат-боты, использующие алгоритмы искусственного интеллекта, обеспечивают круглосуточную поддержку клиентов, отвечая на их запросы и предоставляя информацию о продуктах. Это не только повышает уровень удовлетворенности клиентов, но и снижает нагрузку на службы поддержки. Виртуальная реальность, в свою очередь, позволяет создавать иммерсивные опыты для покупателей, такие как виртуальные примерочные или интерактивные демонстрации продуктов [4]. Эти технологии способствуют более глубокому взаимодействию с брендом, увеличивая вовлеченность и лояльность клиентов.</w:t>
      </w:r>
    </w:p>
    <w:p w14:paraId="3F007293"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 xml:space="preserve">Эволюция моделей ценообразования также играет ключевую роль в изменениях в продажах. Динамическое ценообразование, которое позволяет изменять цены в зависимости от спроса, времени года и активности конкурентов, становится все более распространённым. Эта практика помогает максимизировать прибыль, адаптируя цены к текущим рыночным условиям. Кроме того, подписочные модели, предлагающие товары и услуги на постоянной основе, обеспечивают стабильный доход и способствуют удержанию клиентов. Персонализированные предложения, основанные на анализе данных о </w:t>
      </w:r>
      <w:r w:rsidRPr="00877DE5">
        <w:rPr>
          <w:rFonts w:ascii="Times New Roman" w:eastAsia="Times New Roman" w:hAnsi="Times New Roman" w:cs="Times New Roman"/>
          <w:kern w:val="2"/>
          <w:sz w:val="32"/>
          <w:szCs w:val="32"/>
          <w:lang w:eastAsia="ru-RU"/>
        </w:rPr>
        <w:lastRenderedPageBreak/>
        <w:t>клиентах, позволяют создавать уникальные ценовые стратегии, что увеличивает вероятность покупки и способствует формированию долгосрочных отношений с клиентами.</w:t>
      </w:r>
    </w:p>
    <w:p w14:paraId="0F383D9C"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Рассмотрим успешные примеры международных и российских компаний, которые эффективно реагируют на изменения в потребительском поведении, внедряя инновационные подходы и технологии.</w:t>
      </w:r>
    </w:p>
    <w:p w14:paraId="7BA032BB" w14:textId="77777777" w:rsidR="00877DE5" w:rsidRPr="00877DE5" w:rsidRDefault="00877DE5" w:rsidP="005D2A8F">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Нижеприведенное исследование посвящено изучению инноваций, внедряемых ведущими компаниями в области электронной коммерции, таких как Zara, Starbucks, Wildberries, Яндекс.Еда, Ozon и СберМаркет. Каждая из этих компаний применяет уникальные технологии и подходы для удовлетворения потребностей клиентов и оптимизации своих операций. Результаты показывают, что использование аналитики, мобильных приложений и персонализированных рекомендаций способствует не только повышению удовлетворенности клиентов, но и увеличению объема продаж. Это подчеркивает важность адаптации к меняющимся условиям рынка и запросам потребителей для достижения устойчивого успеха в электронной коммерции.</w:t>
      </w:r>
    </w:p>
    <w:p w14:paraId="4BC71E74" w14:textId="77777777" w:rsidR="00877DE5" w:rsidRPr="00877DE5" w:rsidRDefault="00877DE5" w:rsidP="005D2A8F">
      <w:pPr>
        <w:spacing w:after="0" w:line="240" w:lineRule="auto"/>
        <w:ind w:firstLine="708"/>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Таблица – Инновационные подходы в электронной коммерции</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922"/>
        <w:gridCol w:w="3524"/>
      </w:tblGrid>
      <w:tr w:rsidR="00877DE5" w:rsidRPr="00877DE5" w14:paraId="67367564" w14:textId="77777777" w:rsidTr="00067100">
        <w:trPr>
          <w:trHeight w:val="469"/>
        </w:trPr>
        <w:tc>
          <w:tcPr>
            <w:tcW w:w="1838" w:type="dxa"/>
            <w:shd w:val="clear" w:color="auto" w:fill="auto"/>
            <w:vAlign w:val="center"/>
          </w:tcPr>
          <w:p w14:paraId="30E81EFC"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Компания</w:t>
            </w:r>
          </w:p>
        </w:tc>
        <w:tc>
          <w:tcPr>
            <w:tcW w:w="3969" w:type="dxa"/>
            <w:shd w:val="clear" w:color="auto" w:fill="auto"/>
            <w:vAlign w:val="center"/>
          </w:tcPr>
          <w:p w14:paraId="53F97107" w14:textId="77777777" w:rsidR="00877DE5" w:rsidRPr="00877DE5" w:rsidRDefault="00877DE5" w:rsidP="005D2A8F">
            <w:pPr>
              <w:spacing w:after="0" w:line="240" w:lineRule="auto"/>
              <w:jc w:val="center"/>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Направления внедрения инноваций</w:t>
            </w:r>
          </w:p>
        </w:tc>
        <w:tc>
          <w:tcPr>
            <w:tcW w:w="3549" w:type="dxa"/>
            <w:shd w:val="clear" w:color="auto" w:fill="auto"/>
            <w:vAlign w:val="center"/>
          </w:tcPr>
          <w:p w14:paraId="2371FE53" w14:textId="77777777" w:rsidR="00877DE5" w:rsidRPr="00877DE5" w:rsidRDefault="00877DE5" w:rsidP="005D2A8F">
            <w:pPr>
              <w:spacing w:after="0" w:line="240" w:lineRule="auto"/>
              <w:jc w:val="center"/>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Результаты</w:t>
            </w:r>
          </w:p>
        </w:tc>
      </w:tr>
      <w:tr w:rsidR="00877DE5" w:rsidRPr="00877DE5" w14:paraId="75846712" w14:textId="77777777" w:rsidTr="00067100">
        <w:tc>
          <w:tcPr>
            <w:tcW w:w="1838" w:type="dxa"/>
            <w:shd w:val="clear" w:color="auto" w:fill="auto"/>
            <w:vAlign w:val="center"/>
          </w:tcPr>
          <w:p w14:paraId="2F4262DB"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Zara</w:t>
            </w:r>
          </w:p>
        </w:tc>
        <w:tc>
          <w:tcPr>
            <w:tcW w:w="3969" w:type="dxa"/>
            <w:shd w:val="clear" w:color="auto" w:fill="auto"/>
            <w:vAlign w:val="center"/>
          </w:tcPr>
          <w:p w14:paraId="20D74A1F"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Быстрая адаптация коллекций на основе данных о покупках</w:t>
            </w:r>
          </w:p>
        </w:tc>
        <w:tc>
          <w:tcPr>
            <w:tcW w:w="3549" w:type="dxa"/>
            <w:shd w:val="clear" w:color="auto" w:fill="auto"/>
            <w:vAlign w:val="center"/>
          </w:tcPr>
          <w:p w14:paraId="7E434393"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Увеличение актуальности товаров</w:t>
            </w:r>
          </w:p>
        </w:tc>
      </w:tr>
      <w:tr w:rsidR="00877DE5" w:rsidRPr="00877DE5" w14:paraId="579E42B3" w14:textId="77777777" w:rsidTr="00067100">
        <w:tc>
          <w:tcPr>
            <w:tcW w:w="1838" w:type="dxa"/>
            <w:shd w:val="clear" w:color="auto" w:fill="auto"/>
            <w:vAlign w:val="center"/>
          </w:tcPr>
          <w:p w14:paraId="7373035D"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Starbucks</w:t>
            </w:r>
          </w:p>
        </w:tc>
        <w:tc>
          <w:tcPr>
            <w:tcW w:w="3969" w:type="dxa"/>
            <w:shd w:val="clear" w:color="auto" w:fill="auto"/>
            <w:vAlign w:val="center"/>
          </w:tcPr>
          <w:p w14:paraId="1E55014C"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Мобильное приложение для предварительного заказа и оплаты</w:t>
            </w:r>
          </w:p>
        </w:tc>
        <w:tc>
          <w:tcPr>
            <w:tcW w:w="3549" w:type="dxa"/>
            <w:shd w:val="clear" w:color="auto" w:fill="auto"/>
            <w:vAlign w:val="center"/>
          </w:tcPr>
          <w:p w14:paraId="3E1F737C"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Повышение удовлетворенности клиентов</w:t>
            </w:r>
          </w:p>
        </w:tc>
      </w:tr>
      <w:tr w:rsidR="00877DE5" w:rsidRPr="00877DE5" w14:paraId="337C7E1F" w14:textId="77777777" w:rsidTr="00067100">
        <w:tc>
          <w:tcPr>
            <w:tcW w:w="1838" w:type="dxa"/>
            <w:shd w:val="clear" w:color="auto" w:fill="auto"/>
            <w:vAlign w:val="center"/>
          </w:tcPr>
          <w:p w14:paraId="6D71A105"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Wildberries</w:t>
            </w:r>
          </w:p>
        </w:tc>
        <w:tc>
          <w:tcPr>
            <w:tcW w:w="3969" w:type="dxa"/>
            <w:shd w:val="clear" w:color="auto" w:fill="auto"/>
            <w:vAlign w:val="center"/>
          </w:tcPr>
          <w:p w14:paraId="3B3B2E69"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Аналитика для оптимизации ассортимента и персонализации предложений</w:t>
            </w:r>
          </w:p>
        </w:tc>
        <w:tc>
          <w:tcPr>
            <w:tcW w:w="3549" w:type="dxa"/>
            <w:shd w:val="clear" w:color="auto" w:fill="auto"/>
            <w:vAlign w:val="center"/>
          </w:tcPr>
          <w:p w14:paraId="687033B4"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Увеличение объема продаж</w:t>
            </w:r>
          </w:p>
        </w:tc>
      </w:tr>
      <w:tr w:rsidR="00877DE5" w:rsidRPr="00877DE5" w14:paraId="04FAAF9E" w14:textId="77777777" w:rsidTr="00067100">
        <w:tc>
          <w:tcPr>
            <w:tcW w:w="1838" w:type="dxa"/>
            <w:shd w:val="clear" w:color="auto" w:fill="auto"/>
            <w:vAlign w:val="center"/>
          </w:tcPr>
          <w:p w14:paraId="49FF3D28"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Яндекс.Еда</w:t>
            </w:r>
          </w:p>
        </w:tc>
        <w:tc>
          <w:tcPr>
            <w:tcW w:w="3969" w:type="dxa"/>
            <w:shd w:val="clear" w:color="auto" w:fill="auto"/>
            <w:vAlign w:val="center"/>
          </w:tcPr>
          <w:p w14:paraId="5FDA15D3"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Удобные функции для быстрого заказа и отслеживания доставки</w:t>
            </w:r>
          </w:p>
        </w:tc>
        <w:tc>
          <w:tcPr>
            <w:tcW w:w="3549" w:type="dxa"/>
            <w:shd w:val="clear" w:color="auto" w:fill="auto"/>
            <w:vAlign w:val="center"/>
          </w:tcPr>
          <w:p w14:paraId="4C8427E1"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Удержание и привлечение клиентов</w:t>
            </w:r>
          </w:p>
        </w:tc>
      </w:tr>
      <w:tr w:rsidR="00877DE5" w:rsidRPr="00877DE5" w14:paraId="54B644C4" w14:textId="77777777" w:rsidTr="00067100">
        <w:tc>
          <w:tcPr>
            <w:tcW w:w="1838" w:type="dxa"/>
            <w:shd w:val="clear" w:color="auto" w:fill="auto"/>
            <w:vAlign w:val="center"/>
          </w:tcPr>
          <w:p w14:paraId="203001D0"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Ozon</w:t>
            </w:r>
          </w:p>
        </w:tc>
        <w:tc>
          <w:tcPr>
            <w:tcW w:w="3969" w:type="dxa"/>
            <w:shd w:val="clear" w:color="auto" w:fill="auto"/>
            <w:vAlign w:val="center"/>
          </w:tcPr>
          <w:p w14:paraId="6CC251FD"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Рекомендации на основе предыдущих покупок</w:t>
            </w:r>
          </w:p>
        </w:tc>
        <w:tc>
          <w:tcPr>
            <w:tcW w:w="3549" w:type="dxa"/>
            <w:shd w:val="clear" w:color="auto" w:fill="auto"/>
            <w:vAlign w:val="center"/>
          </w:tcPr>
          <w:p w14:paraId="75D05769"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Ускорение процесса покупки</w:t>
            </w:r>
          </w:p>
        </w:tc>
      </w:tr>
      <w:tr w:rsidR="00877DE5" w:rsidRPr="00877DE5" w14:paraId="2D77D9CB" w14:textId="77777777" w:rsidTr="00067100">
        <w:tc>
          <w:tcPr>
            <w:tcW w:w="1838" w:type="dxa"/>
            <w:shd w:val="clear" w:color="auto" w:fill="auto"/>
            <w:vAlign w:val="center"/>
          </w:tcPr>
          <w:p w14:paraId="6F78E326"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lastRenderedPageBreak/>
              <w:t>СберМаркет</w:t>
            </w:r>
          </w:p>
        </w:tc>
        <w:tc>
          <w:tcPr>
            <w:tcW w:w="3969" w:type="dxa"/>
            <w:shd w:val="clear" w:color="auto" w:fill="auto"/>
            <w:vAlign w:val="center"/>
          </w:tcPr>
          <w:p w14:paraId="0BAF21BE"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Удобный интерфейс и доставка на дом</w:t>
            </w:r>
          </w:p>
        </w:tc>
        <w:tc>
          <w:tcPr>
            <w:tcW w:w="3549" w:type="dxa"/>
            <w:shd w:val="clear" w:color="auto" w:fill="auto"/>
            <w:vAlign w:val="center"/>
          </w:tcPr>
          <w:p w14:paraId="58AE3017" w14:textId="77777777" w:rsidR="00877DE5" w:rsidRPr="00877DE5" w:rsidRDefault="00877DE5" w:rsidP="005D2A8F">
            <w:pPr>
              <w:spacing w:after="0" w:line="240" w:lineRule="auto"/>
              <w:rPr>
                <w:rFonts w:ascii="Times New Roman" w:eastAsia="Calibri" w:hAnsi="Times New Roman" w:cs="Times New Roman"/>
                <w:kern w:val="2"/>
                <w:sz w:val="32"/>
                <w:szCs w:val="32"/>
                <w:lang w:eastAsia="ru-RU"/>
              </w:rPr>
            </w:pPr>
            <w:r w:rsidRPr="00877DE5">
              <w:rPr>
                <w:rFonts w:ascii="Times New Roman" w:eastAsia="Calibri" w:hAnsi="Times New Roman" w:cs="Times New Roman"/>
                <w:kern w:val="2"/>
                <w:sz w:val="32"/>
                <w:szCs w:val="32"/>
                <w:lang w:eastAsia="ru-RU"/>
              </w:rPr>
              <w:t>Повышение уровня удовлетворенности</w:t>
            </w:r>
          </w:p>
        </w:tc>
      </w:tr>
    </w:tbl>
    <w:p w14:paraId="69EB08C0"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p>
    <w:p w14:paraId="78BB9CF1"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В ходе анализа инновационных подходов компаний в сфере электронной коммерции было выявлено, что успешные бренды активно используют технологии для улучшения клиентского опыта и повышения эффективности бизнес-процессов.</w:t>
      </w:r>
    </w:p>
    <w:p w14:paraId="5080B8AB"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С ростом осведомленности о проблемах экологии и социальной ответственности потребители все чаще выбирают бренды, следящие за принципами устойчивого потребления. Это требует от компаний пересмотра стратегий и внедрения экологически чистых практик. Например, использование переработанных материалов позволяет привлечь сознательных потребителей.</w:t>
      </w:r>
    </w:p>
    <w:p w14:paraId="75396058"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Российская фирма «Эконика» делает упор на использование экологичных ресурсов и запустила проект по переработке изношенной обуви, что положительно сказывается на состоянии природы. Параллельно «Сбербанк» расширяет свои экологические начинания, уменьшая выбросы углекислого газа и оказывая помощь проектам по восстановлению лесных массивов.</w:t>
      </w:r>
    </w:p>
    <w:p w14:paraId="35320336"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Поддержка местных сообществ становится важным аспектом устойчивого потребления. Например, компания «Чистая линия» сотрудничает с местными фермерами, что поддерживает экономику региона и создает уникальные продукты.</w:t>
      </w:r>
    </w:p>
    <w:p w14:paraId="5AB1F02E"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32"/>
          <w:szCs w:val="32"/>
          <w:lang w:eastAsia="ru-RU"/>
        </w:rPr>
      </w:pPr>
      <w:r w:rsidRPr="00877DE5">
        <w:rPr>
          <w:rFonts w:ascii="Times New Roman" w:eastAsia="Times New Roman" w:hAnsi="Times New Roman" w:cs="Times New Roman"/>
          <w:kern w:val="2"/>
          <w:sz w:val="32"/>
          <w:szCs w:val="32"/>
          <w:lang w:eastAsia="ru-RU"/>
        </w:rPr>
        <w:t>Экологические аспекты становятся неотъемлемой частью стратегии компаний, стремящихся к устойчивому развитию. Игнорирование этих факторов может привести к утрате доверия потребителей и снижению конкурентоспособности на рынке. Устойчивое потребление становится не просто трендом, а необходимостью для будущего бизнеса и планеты.</w:t>
      </w:r>
    </w:p>
    <w:p w14:paraId="7757EC13" w14:textId="77777777" w:rsidR="00877DE5" w:rsidRDefault="00877DE5" w:rsidP="005D2A8F">
      <w:pPr>
        <w:spacing w:after="0" w:line="240" w:lineRule="auto"/>
        <w:ind w:firstLine="709"/>
        <w:jc w:val="both"/>
        <w:rPr>
          <w:rFonts w:ascii="Times New Roman" w:eastAsia="Times New Roman" w:hAnsi="Times New Roman" w:cs="Times New Roman"/>
          <w:b/>
          <w:bCs/>
          <w:kern w:val="2"/>
          <w:sz w:val="32"/>
          <w:szCs w:val="32"/>
          <w:lang w:eastAsia="ru-RU"/>
        </w:rPr>
      </w:pPr>
      <w:r w:rsidRPr="00877DE5">
        <w:rPr>
          <w:rFonts w:ascii="Times New Roman" w:eastAsia="Times New Roman" w:hAnsi="Times New Roman" w:cs="Times New Roman"/>
          <w:kern w:val="2"/>
          <w:sz w:val="32"/>
          <w:szCs w:val="32"/>
          <w:lang w:eastAsia="ru-RU"/>
        </w:rPr>
        <w:t xml:space="preserve">В заключение отметим, что электронная коммерция кардинально изменила потребительское поведение, сделав покупки более удобными и доступными. Потребители теперь имеют возможность совершать покупки в любое время, получая доступ к обширной информации о товарах и услугах. В будущем ожидается дальнейший рост мобильной торговли, внедрение новых технологий и акцент на устойчивое потребление. Компании, способные адаптироваться к этим изменениям и предлагать персонализированные решения, будут иметь значительные преимущества на рынке. Эти трансформации открывают </w:t>
      </w:r>
      <w:r w:rsidRPr="00877DE5">
        <w:rPr>
          <w:rFonts w:ascii="Times New Roman" w:eastAsia="Times New Roman" w:hAnsi="Times New Roman" w:cs="Times New Roman"/>
          <w:kern w:val="2"/>
          <w:sz w:val="32"/>
          <w:szCs w:val="32"/>
          <w:lang w:eastAsia="ru-RU"/>
        </w:rPr>
        <w:lastRenderedPageBreak/>
        <w:t>новые горизонты для бизнеса и потребителей, формируя будущее торговли.</w:t>
      </w:r>
      <w:r w:rsidRPr="00877DE5">
        <w:rPr>
          <w:rFonts w:ascii="Times New Roman" w:eastAsia="Times New Roman" w:hAnsi="Times New Roman" w:cs="Times New Roman"/>
          <w:b/>
          <w:bCs/>
          <w:kern w:val="2"/>
          <w:sz w:val="32"/>
          <w:szCs w:val="32"/>
          <w:lang w:eastAsia="ru-RU"/>
        </w:rPr>
        <w:t xml:space="preserve"> </w:t>
      </w:r>
    </w:p>
    <w:p w14:paraId="03088D2B" w14:textId="77777777" w:rsidR="005D2A8F" w:rsidRPr="005D2A8F" w:rsidRDefault="005D2A8F" w:rsidP="005D2A8F">
      <w:pPr>
        <w:spacing w:after="0" w:line="240" w:lineRule="auto"/>
        <w:ind w:firstLine="709"/>
        <w:jc w:val="both"/>
        <w:rPr>
          <w:rFonts w:ascii="Times New Roman" w:eastAsia="Times New Roman" w:hAnsi="Times New Roman" w:cs="Times New Roman"/>
          <w:b/>
          <w:bCs/>
          <w:kern w:val="2"/>
          <w:sz w:val="32"/>
          <w:szCs w:val="32"/>
          <w:lang w:eastAsia="ru-RU"/>
        </w:rPr>
      </w:pPr>
    </w:p>
    <w:p w14:paraId="7A1C4C43" w14:textId="77777777" w:rsidR="00877DE5" w:rsidRPr="00877DE5" w:rsidRDefault="00877DE5" w:rsidP="00067100">
      <w:pPr>
        <w:spacing w:after="0" w:line="240" w:lineRule="auto"/>
        <w:ind w:firstLine="709"/>
        <w:jc w:val="center"/>
        <w:rPr>
          <w:rFonts w:ascii="Times New Roman" w:eastAsia="Times New Roman" w:hAnsi="Times New Roman" w:cs="Times New Roman"/>
          <w:b/>
          <w:bCs/>
          <w:kern w:val="2"/>
          <w:sz w:val="21"/>
          <w:szCs w:val="21"/>
          <w:lang w:eastAsia="ru-RU"/>
        </w:rPr>
      </w:pPr>
      <w:r w:rsidRPr="00877DE5">
        <w:rPr>
          <w:rFonts w:ascii="Times New Roman" w:eastAsia="Times New Roman" w:hAnsi="Times New Roman" w:cs="Times New Roman"/>
          <w:b/>
          <w:bCs/>
          <w:kern w:val="2"/>
          <w:sz w:val="21"/>
          <w:szCs w:val="21"/>
          <w:lang w:eastAsia="ru-RU"/>
        </w:rPr>
        <w:t>Литература:</w:t>
      </w:r>
    </w:p>
    <w:p w14:paraId="2AA6958A" w14:textId="77777777" w:rsidR="00877DE5" w:rsidRPr="00877DE5" w:rsidRDefault="00877DE5" w:rsidP="00AD58CD">
      <w:pPr>
        <w:numPr>
          <w:ilvl w:val="0"/>
          <w:numId w:val="79"/>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Бутман, А. Электронная коммерция: теория и практика. – М.: Издательство "Наука"/ А. Бутман – 2021.</w:t>
      </w:r>
    </w:p>
    <w:p w14:paraId="53C3889A" w14:textId="77777777" w:rsidR="00877DE5" w:rsidRPr="00877DE5" w:rsidRDefault="00877DE5" w:rsidP="00AD58CD">
      <w:pPr>
        <w:numPr>
          <w:ilvl w:val="0"/>
          <w:numId w:val="79"/>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Кузнецова, Е. Влияние электронной коммерции на потребительское поведение. – Вестник Российской экономической школы, 2022. </w:t>
      </w:r>
      <w:bookmarkStart w:id="82" w:name="_Hlk197088343"/>
      <w:r w:rsidRPr="00877DE5">
        <w:rPr>
          <w:rFonts w:ascii="Times New Roman" w:eastAsia="Times New Roman" w:hAnsi="Times New Roman" w:cs="Times New Roman"/>
          <w:sz w:val="21"/>
          <w:szCs w:val="21"/>
          <w:lang w:val="x-none" w:eastAsia="ar-SA"/>
        </w:rPr>
        <w:t xml:space="preserve">– </w:t>
      </w:r>
      <w:bookmarkEnd w:id="82"/>
      <w:r w:rsidRPr="00877DE5">
        <w:rPr>
          <w:rFonts w:ascii="Times New Roman" w:eastAsia="Times New Roman" w:hAnsi="Times New Roman" w:cs="Times New Roman"/>
          <w:sz w:val="21"/>
          <w:szCs w:val="21"/>
          <w:lang w:val="x-none" w:eastAsia="ar-SA"/>
        </w:rPr>
        <w:t>Т. 4, № 3. – С. 45-58.</w:t>
      </w:r>
    </w:p>
    <w:p w14:paraId="0F5C6200" w14:textId="77777777" w:rsidR="00877DE5" w:rsidRPr="00877DE5" w:rsidRDefault="00877DE5" w:rsidP="00AD58CD">
      <w:pPr>
        <w:numPr>
          <w:ilvl w:val="0"/>
          <w:numId w:val="79"/>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bookmarkStart w:id="83" w:name="_Hlk197088307"/>
      <w:r w:rsidRPr="00877DE5">
        <w:rPr>
          <w:rFonts w:ascii="Times New Roman" w:eastAsia="Times New Roman" w:hAnsi="Times New Roman" w:cs="Times New Roman"/>
          <w:sz w:val="21"/>
          <w:szCs w:val="21"/>
          <w:lang w:val="x-none" w:eastAsia="ar-SA"/>
        </w:rPr>
        <w:t xml:space="preserve">Лебедев, А., Сидорова, Т. </w:t>
      </w:r>
      <w:bookmarkEnd w:id="83"/>
      <w:r w:rsidRPr="00877DE5">
        <w:rPr>
          <w:rFonts w:ascii="Times New Roman" w:eastAsia="Times New Roman" w:hAnsi="Times New Roman" w:cs="Times New Roman"/>
          <w:sz w:val="21"/>
          <w:szCs w:val="21"/>
          <w:lang w:val="x-none" w:eastAsia="ar-SA"/>
        </w:rPr>
        <w:t>Основы электронной коммерции. – М.: Издательство "Юрайт"/ Лебедев, А., Сидорова, Т. – 2020.</w:t>
      </w:r>
    </w:p>
    <w:p w14:paraId="66285C9C" w14:textId="77777777" w:rsidR="00877DE5" w:rsidRPr="00877DE5" w:rsidRDefault="00877DE5" w:rsidP="00AD58CD">
      <w:pPr>
        <w:numPr>
          <w:ilvl w:val="0"/>
          <w:numId w:val="79"/>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МКС. Будущее электронной коммерции: тренды и прогнозы. – 2023. – [Электронный ресурс: https://www.mks.ru/ (дата обращения: 19.04.2025)]</w:t>
      </w:r>
    </w:p>
    <w:p w14:paraId="3575B8DF" w14:textId="77777777" w:rsidR="00877DE5" w:rsidRPr="00877DE5" w:rsidRDefault="00877DE5" w:rsidP="00AD58CD">
      <w:pPr>
        <w:numPr>
          <w:ilvl w:val="0"/>
          <w:numId w:val="79"/>
        </w:numPr>
        <w:tabs>
          <w:tab w:val="left" w:pos="0"/>
        </w:tabs>
        <w:suppressAutoHyphens/>
        <w:autoSpaceDE w:val="0"/>
        <w:spacing w:after="0" w:line="240" w:lineRule="auto"/>
        <w:ind w:left="0" w:firstLine="0"/>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РБК. Электронная коммерция в России: статистика и факты. – 2023. – [Электронный ресурс: https://www.rbc.ru/ (дата обращения: 25.04.2025)]</w:t>
      </w:r>
    </w:p>
    <w:p w14:paraId="00420195" w14:textId="77777777" w:rsidR="00877DE5" w:rsidRDefault="00877DE5" w:rsidP="00067100">
      <w:pPr>
        <w:spacing w:after="0" w:line="240" w:lineRule="auto"/>
        <w:ind w:firstLine="709"/>
        <w:contextualSpacing/>
        <w:jc w:val="both"/>
        <w:rPr>
          <w:rFonts w:ascii="Times New Roman" w:eastAsia="Times New Roman" w:hAnsi="Times New Roman" w:cs="Times New Roman"/>
          <w:color w:val="000000"/>
          <w:sz w:val="28"/>
          <w:szCs w:val="28"/>
          <w:lang w:eastAsia="ru-RU"/>
        </w:rPr>
      </w:pPr>
    </w:p>
    <w:p w14:paraId="7F4357F0" w14:textId="77777777" w:rsidR="005D2A8F" w:rsidRPr="005D2A8F" w:rsidRDefault="005D2A8F" w:rsidP="005D2A8F">
      <w:pPr>
        <w:suppressAutoHyphens/>
        <w:spacing w:after="0" w:line="240" w:lineRule="auto"/>
        <w:rPr>
          <w:rFonts w:ascii="Times New Roman" w:eastAsia="Times New Roman" w:hAnsi="Times New Roman" w:cs="Times New Roman"/>
          <w:b/>
          <w:bCs/>
          <w:color w:val="000000"/>
          <w:sz w:val="21"/>
          <w:szCs w:val="21"/>
        </w:rPr>
      </w:pPr>
      <w:r w:rsidRPr="005D2A8F">
        <w:rPr>
          <w:rFonts w:ascii="Times New Roman" w:eastAsia="Times New Roman" w:hAnsi="Times New Roman" w:cs="Times New Roman"/>
          <w:b/>
          <w:bCs/>
          <w:color w:val="000000"/>
          <w:sz w:val="21"/>
          <w:szCs w:val="21"/>
        </w:rPr>
        <w:t>УДК 336.7</w:t>
      </w:r>
    </w:p>
    <w:p w14:paraId="559195D6"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Times New Roman" w:eastAsia="Times New Roman" w:hAnsi="Times New Roman" w:cs="Times New Roman"/>
          <w:b/>
          <w:bCs/>
          <w:i/>
          <w:iCs/>
          <w:color w:val="000000"/>
          <w:sz w:val="21"/>
          <w:szCs w:val="21"/>
        </w:rPr>
        <w:t>Слепцов А. А</w:t>
      </w:r>
      <w:r w:rsidRPr="005D2A8F">
        <w:rPr>
          <w:rFonts w:ascii="Liberation Serif" w:eastAsia="NSimSun" w:hAnsi="Liberation Serif" w:cs="Arial"/>
          <w:b/>
          <w:bCs/>
          <w:i/>
          <w:iCs/>
          <w:kern w:val="2"/>
          <w:sz w:val="21"/>
          <w:szCs w:val="21"/>
          <w:lang w:eastAsia="zh-CN" w:bidi="hi-IN"/>
        </w:rPr>
        <w:t>.</w:t>
      </w:r>
      <w:r w:rsidRPr="005D2A8F">
        <w:rPr>
          <w:rFonts w:ascii="Liberation Serif" w:eastAsia="NSimSun" w:hAnsi="Liberation Serif" w:cs="Arial"/>
          <w:i/>
          <w:iCs/>
          <w:kern w:val="2"/>
          <w:sz w:val="21"/>
          <w:szCs w:val="21"/>
          <w:lang w:eastAsia="zh-CN" w:bidi="hi-IN"/>
        </w:rPr>
        <w:t>,</w:t>
      </w:r>
    </w:p>
    <w:p w14:paraId="4D2E2083"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студент 2 курса</w:t>
      </w:r>
    </w:p>
    <w:p w14:paraId="7DA21F66"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Финансовый университет при Правительстве Российской Федерации</w:t>
      </w:r>
    </w:p>
    <w:p w14:paraId="4F9B75C7"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г. Краснодар, Россия</w:t>
      </w:r>
    </w:p>
    <w:p w14:paraId="1A023886"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е-</w:t>
      </w:r>
      <w:r w:rsidRPr="005D2A8F">
        <w:rPr>
          <w:rFonts w:ascii="Liberation Serif" w:eastAsia="NSimSun" w:hAnsi="Liberation Serif" w:cs="Arial"/>
          <w:i/>
          <w:iCs/>
          <w:kern w:val="2"/>
          <w:sz w:val="21"/>
          <w:szCs w:val="21"/>
          <w:lang w:val="en-US" w:eastAsia="zh-CN" w:bidi="hi-IN"/>
        </w:rPr>
        <w:t>mail</w:t>
      </w:r>
      <w:r w:rsidRPr="005D2A8F">
        <w:rPr>
          <w:rFonts w:ascii="Liberation Serif" w:eastAsia="NSimSun" w:hAnsi="Liberation Serif" w:cs="Arial"/>
          <w:i/>
          <w:iCs/>
          <w:kern w:val="2"/>
          <w:sz w:val="21"/>
          <w:szCs w:val="21"/>
          <w:lang w:eastAsia="zh-CN" w:bidi="hi-IN"/>
        </w:rPr>
        <w:t xml:space="preserve">: </w:t>
      </w:r>
      <w:hyperlink r:id="rId421">
        <w:r w:rsidRPr="005D2A8F">
          <w:rPr>
            <w:rFonts w:ascii="Times New Roman" w:eastAsia="Times New Roman" w:hAnsi="Times New Roman" w:cs="Times New Roman"/>
            <w:color w:val="467886"/>
            <w:sz w:val="21"/>
            <w:szCs w:val="21"/>
            <w:u w:val="single"/>
            <w:lang w:val="en-US"/>
          </w:rPr>
          <w:t>andru</w:t>
        </w:r>
        <w:r w:rsidRPr="005D2A8F">
          <w:rPr>
            <w:rFonts w:ascii="Times New Roman" w:eastAsia="Times New Roman" w:hAnsi="Times New Roman" w:cs="Times New Roman"/>
            <w:color w:val="467886"/>
            <w:sz w:val="21"/>
            <w:szCs w:val="21"/>
            <w:u w:val="single"/>
          </w:rPr>
          <w:t>.</w:t>
        </w:r>
        <w:r w:rsidRPr="005D2A8F">
          <w:rPr>
            <w:rFonts w:ascii="Times New Roman" w:eastAsia="Times New Roman" w:hAnsi="Times New Roman" w:cs="Times New Roman"/>
            <w:color w:val="467886"/>
            <w:sz w:val="21"/>
            <w:szCs w:val="21"/>
            <w:u w:val="single"/>
            <w:lang w:val="en-US"/>
          </w:rPr>
          <w:t>snowman</w:t>
        </w:r>
        <w:r w:rsidRPr="005D2A8F">
          <w:rPr>
            <w:rFonts w:ascii="Times New Roman" w:eastAsia="Times New Roman" w:hAnsi="Times New Roman" w:cs="Times New Roman"/>
            <w:color w:val="467886"/>
            <w:sz w:val="21"/>
            <w:szCs w:val="21"/>
            <w:u w:val="single"/>
          </w:rPr>
          <w:t>@</w:t>
        </w:r>
        <w:r w:rsidRPr="005D2A8F">
          <w:rPr>
            <w:rFonts w:ascii="Times New Roman" w:eastAsia="Times New Roman" w:hAnsi="Times New Roman" w:cs="Times New Roman"/>
            <w:color w:val="467886"/>
            <w:sz w:val="21"/>
            <w:szCs w:val="21"/>
            <w:u w:val="single"/>
            <w:lang w:val="en-US"/>
          </w:rPr>
          <w:t>mail</w:t>
        </w:r>
        <w:r w:rsidRPr="005D2A8F">
          <w:rPr>
            <w:rFonts w:ascii="Times New Roman" w:eastAsia="Times New Roman" w:hAnsi="Times New Roman" w:cs="Times New Roman"/>
            <w:color w:val="467886"/>
            <w:sz w:val="21"/>
            <w:szCs w:val="21"/>
            <w:u w:val="single"/>
          </w:rPr>
          <w:t>.</w:t>
        </w:r>
        <w:r w:rsidRPr="005D2A8F">
          <w:rPr>
            <w:rFonts w:ascii="Times New Roman" w:eastAsia="Times New Roman" w:hAnsi="Times New Roman" w:cs="Times New Roman"/>
            <w:color w:val="467886"/>
            <w:sz w:val="21"/>
            <w:szCs w:val="21"/>
            <w:u w:val="single"/>
            <w:lang w:val="en-US"/>
          </w:rPr>
          <w:t>ru</w:t>
        </w:r>
      </w:hyperlink>
      <w:r w:rsidRPr="005D2A8F">
        <w:rPr>
          <w:rFonts w:ascii="Times New Roman" w:eastAsia="Times New Roman" w:hAnsi="Times New Roman" w:cs="Times New Roman"/>
          <w:color w:val="000000"/>
          <w:sz w:val="21"/>
          <w:szCs w:val="21"/>
        </w:rPr>
        <w:t xml:space="preserve"> </w:t>
      </w:r>
    </w:p>
    <w:p w14:paraId="623F2F5D" w14:textId="77777777" w:rsidR="005D2A8F" w:rsidRPr="005D2A8F" w:rsidRDefault="005D2A8F" w:rsidP="005D2A8F">
      <w:pPr>
        <w:suppressAutoHyphens/>
        <w:spacing w:after="0" w:line="240" w:lineRule="auto"/>
        <w:jc w:val="right"/>
        <w:rPr>
          <w:rFonts w:ascii="Liberation Serif" w:eastAsia="NSimSun" w:hAnsi="Liberation Serif" w:cs="Arial" w:hint="eastAsia"/>
          <w:i/>
          <w:iCs/>
          <w:kern w:val="2"/>
          <w:sz w:val="21"/>
          <w:szCs w:val="21"/>
          <w:lang w:eastAsia="zh-CN" w:bidi="hi-IN"/>
        </w:rPr>
      </w:pPr>
    </w:p>
    <w:p w14:paraId="2D08F5F4" w14:textId="77777777" w:rsidR="005D2A8F" w:rsidRPr="005D2A8F" w:rsidRDefault="005D2A8F" w:rsidP="005D2A8F">
      <w:pPr>
        <w:suppressAutoHyphens/>
        <w:spacing w:after="0" w:line="240" w:lineRule="auto"/>
        <w:jc w:val="right"/>
        <w:rPr>
          <w:rFonts w:ascii="Liberation Serif" w:eastAsia="NSimSun" w:hAnsi="Liberation Serif" w:cs="Arial" w:hint="eastAsia"/>
          <w:b/>
          <w:bCs/>
          <w:kern w:val="2"/>
          <w:sz w:val="24"/>
          <w:szCs w:val="24"/>
          <w:lang w:eastAsia="zh-CN" w:bidi="hi-IN"/>
        </w:rPr>
      </w:pPr>
      <w:r w:rsidRPr="005D2A8F">
        <w:rPr>
          <w:rFonts w:ascii="Liberation Serif" w:eastAsia="NSimSun" w:hAnsi="Liberation Serif" w:cs="Arial"/>
          <w:b/>
          <w:bCs/>
          <w:i/>
          <w:iCs/>
          <w:kern w:val="2"/>
          <w:sz w:val="21"/>
          <w:szCs w:val="21"/>
          <w:lang w:eastAsia="zh-CN" w:bidi="hi-IN"/>
        </w:rPr>
        <w:t>Научный руководитель:</w:t>
      </w:r>
    </w:p>
    <w:p w14:paraId="4BD04C16"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b/>
          <w:bCs/>
          <w:i/>
          <w:iCs/>
          <w:kern w:val="2"/>
          <w:sz w:val="21"/>
          <w:szCs w:val="21"/>
          <w:lang w:eastAsia="zh-CN" w:bidi="hi-IN"/>
        </w:rPr>
        <w:t>Нарыжная Н.Ю.</w:t>
      </w:r>
      <w:r w:rsidRPr="005D2A8F">
        <w:rPr>
          <w:rFonts w:ascii="Liberation Serif" w:eastAsia="NSimSun" w:hAnsi="Liberation Serif" w:cs="Arial"/>
          <w:i/>
          <w:iCs/>
          <w:kern w:val="2"/>
          <w:sz w:val="21"/>
          <w:szCs w:val="21"/>
          <w:lang w:eastAsia="zh-CN" w:bidi="hi-IN"/>
        </w:rPr>
        <w:t>,</w:t>
      </w:r>
    </w:p>
    <w:p w14:paraId="1103B58C"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доцент, к.т.н.</w:t>
      </w:r>
    </w:p>
    <w:p w14:paraId="56586F42"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Финансовый университет при Правительстве Российской Федерации</w:t>
      </w:r>
    </w:p>
    <w:p w14:paraId="19B1280C"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г. Краснодар, Россия</w:t>
      </w:r>
    </w:p>
    <w:p w14:paraId="3C5A0B82" w14:textId="77777777" w:rsidR="005D2A8F" w:rsidRPr="005D2A8F" w:rsidRDefault="005D2A8F" w:rsidP="005D2A8F">
      <w:pPr>
        <w:suppressAutoHyphens/>
        <w:spacing w:after="0" w:line="240" w:lineRule="auto"/>
        <w:jc w:val="right"/>
        <w:rPr>
          <w:rFonts w:ascii="Liberation Serif" w:eastAsia="NSimSun" w:hAnsi="Liberation Serif" w:cs="Arial" w:hint="eastAsia"/>
          <w:kern w:val="2"/>
          <w:sz w:val="24"/>
          <w:szCs w:val="24"/>
          <w:lang w:eastAsia="zh-CN" w:bidi="hi-IN"/>
        </w:rPr>
      </w:pPr>
      <w:r w:rsidRPr="005D2A8F">
        <w:rPr>
          <w:rFonts w:ascii="Liberation Serif" w:eastAsia="NSimSun" w:hAnsi="Liberation Serif" w:cs="Arial"/>
          <w:i/>
          <w:iCs/>
          <w:kern w:val="2"/>
          <w:sz w:val="21"/>
          <w:szCs w:val="21"/>
          <w:lang w:eastAsia="zh-CN" w:bidi="hi-IN"/>
        </w:rPr>
        <w:t>е-</w:t>
      </w:r>
      <w:r w:rsidRPr="005D2A8F">
        <w:rPr>
          <w:rFonts w:ascii="Liberation Serif" w:eastAsia="NSimSun" w:hAnsi="Liberation Serif" w:cs="Arial"/>
          <w:i/>
          <w:iCs/>
          <w:kern w:val="2"/>
          <w:sz w:val="21"/>
          <w:szCs w:val="21"/>
          <w:lang w:val="en-US" w:eastAsia="zh-CN" w:bidi="hi-IN"/>
        </w:rPr>
        <w:t>mail</w:t>
      </w:r>
      <w:r w:rsidRPr="005D2A8F">
        <w:rPr>
          <w:rFonts w:ascii="Liberation Serif" w:eastAsia="NSimSun" w:hAnsi="Liberation Serif" w:cs="Arial"/>
          <w:i/>
          <w:iCs/>
          <w:kern w:val="2"/>
          <w:sz w:val="21"/>
          <w:szCs w:val="21"/>
          <w:lang w:eastAsia="zh-CN" w:bidi="hi-IN"/>
        </w:rPr>
        <w:t xml:space="preserve">: </w:t>
      </w:r>
      <w:hyperlink r:id="rId422">
        <w:r w:rsidRPr="005D2A8F">
          <w:rPr>
            <w:rFonts w:ascii="Liberation Serif" w:eastAsia="NSimSun" w:hAnsi="Liberation Serif" w:cs="Arial"/>
            <w:i/>
            <w:iCs/>
            <w:color w:val="467886"/>
            <w:kern w:val="2"/>
            <w:sz w:val="21"/>
            <w:szCs w:val="21"/>
            <w:u w:val="single"/>
            <w:lang w:val="en-US" w:eastAsia="zh-CN" w:bidi="hi-IN"/>
          </w:rPr>
          <w:t>NYUNaryzhnaya</w:t>
        </w:r>
        <w:r w:rsidRPr="005D2A8F">
          <w:rPr>
            <w:rFonts w:ascii="Liberation Serif" w:eastAsia="NSimSun" w:hAnsi="Liberation Serif" w:cs="Arial"/>
            <w:i/>
            <w:iCs/>
            <w:color w:val="467886"/>
            <w:kern w:val="2"/>
            <w:sz w:val="21"/>
            <w:szCs w:val="21"/>
            <w:u w:val="single"/>
            <w:lang w:eastAsia="zh-CN" w:bidi="hi-IN"/>
          </w:rPr>
          <w:t>@</w:t>
        </w:r>
        <w:r w:rsidRPr="005D2A8F">
          <w:rPr>
            <w:rFonts w:ascii="Liberation Serif" w:eastAsia="NSimSun" w:hAnsi="Liberation Serif" w:cs="Arial"/>
            <w:i/>
            <w:iCs/>
            <w:color w:val="467886"/>
            <w:kern w:val="2"/>
            <w:sz w:val="21"/>
            <w:szCs w:val="21"/>
            <w:u w:val="single"/>
            <w:lang w:val="en-US" w:eastAsia="zh-CN" w:bidi="hi-IN"/>
          </w:rPr>
          <w:t>fa</w:t>
        </w:r>
        <w:r w:rsidRPr="005D2A8F">
          <w:rPr>
            <w:rFonts w:ascii="Liberation Serif" w:eastAsia="NSimSun" w:hAnsi="Liberation Serif" w:cs="Arial"/>
            <w:i/>
            <w:iCs/>
            <w:color w:val="467886"/>
            <w:kern w:val="2"/>
            <w:sz w:val="21"/>
            <w:szCs w:val="21"/>
            <w:u w:val="single"/>
            <w:lang w:eastAsia="zh-CN" w:bidi="hi-IN"/>
          </w:rPr>
          <w:t>.</w:t>
        </w:r>
        <w:r w:rsidRPr="005D2A8F">
          <w:rPr>
            <w:rFonts w:ascii="Liberation Serif" w:eastAsia="NSimSun" w:hAnsi="Liberation Serif" w:cs="Arial"/>
            <w:i/>
            <w:iCs/>
            <w:color w:val="467886"/>
            <w:kern w:val="2"/>
            <w:sz w:val="21"/>
            <w:szCs w:val="21"/>
            <w:u w:val="single"/>
            <w:lang w:val="en-US" w:eastAsia="zh-CN" w:bidi="hi-IN"/>
          </w:rPr>
          <w:t>ru</w:t>
        </w:r>
      </w:hyperlink>
      <w:r w:rsidRPr="005D2A8F">
        <w:rPr>
          <w:rFonts w:ascii="Liberation Serif" w:eastAsia="NSimSun" w:hAnsi="Liberation Serif" w:cs="Arial"/>
          <w:i/>
          <w:iCs/>
          <w:kern w:val="2"/>
          <w:sz w:val="21"/>
          <w:szCs w:val="21"/>
          <w:lang w:eastAsia="zh-CN" w:bidi="hi-IN"/>
        </w:rPr>
        <w:t xml:space="preserve"> </w:t>
      </w:r>
    </w:p>
    <w:p w14:paraId="65784813" w14:textId="77777777" w:rsidR="005D2A8F" w:rsidRPr="005D2A8F" w:rsidRDefault="005D2A8F" w:rsidP="005D2A8F">
      <w:pPr>
        <w:suppressAutoHyphens/>
        <w:spacing w:after="0" w:line="240" w:lineRule="auto"/>
        <w:rPr>
          <w:rFonts w:ascii="Times New Roman" w:eastAsia="Times New Roman" w:hAnsi="Times New Roman" w:cs="Times New Roman"/>
          <w:b/>
          <w:bCs/>
          <w:color w:val="000000"/>
          <w:sz w:val="21"/>
          <w:szCs w:val="21"/>
        </w:rPr>
      </w:pPr>
    </w:p>
    <w:p w14:paraId="5271F68A" w14:textId="77777777" w:rsidR="005D2A8F" w:rsidRPr="005D2A8F" w:rsidRDefault="005D2A8F" w:rsidP="005D2A8F">
      <w:pPr>
        <w:suppressAutoHyphens/>
        <w:spacing w:after="0" w:line="240" w:lineRule="auto"/>
        <w:jc w:val="center"/>
        <w:rPr>
          <w:rFonts w:ascii="Times New Roman" w:eastAsia="Times New Roman" w:hAnsi="Times New Roman" w:cs="Times New Roman"/>
          <w:b/>
          <w:bCs/>
          <w:color w:val="000000"/>
          <w:sz w:val="21"/>
          <w:szCs w:val="21"/>
        </w:rPr>
      </w:pPr>
      <w:r w:rsidRPr="005D2A8F">
        <w:rPr>
          <w:rFonts w:ascii="Times New Roman" w:eastAsia="Times New Roman" w:hAnsi="Times New Roman" w:cs="Times New Roman"/>
          <w:b/>
          <w:bCs/>
          <w:color w:val="000000"/>
          <w:sz w:val="21"/>
          <w:szCs w:val="21"/>
        </w:rPr>
        <w:t>Особенности блокчейн-технологий, их роль и возможности в управлении данными</w:t>
      </w:r>
    </w:p>
    <w:p w14:paraId="790BECB6" w14:textId="77777777" w:rsidR="005D2A8F" w:rsidRPr="005D2A8F" w:rsidRDefault="005D2A8F" w:rsidP="005D2A8F">
      <w:pPr>
        <w:suppressAutoHyphens/>
        <w:spacing w:after="0" w:line="240" w:lineRule="auto"/>
        <w:jc w:val="center"/>
        <w:rPr>
          <w:rFonts w:ascii="Times New Roman" w:eastAsia="Times New Roman" w:hAnsi="Times New Roman" w:cs="Times New Roman"/>
          <w:color w:val="000000"/>
          <w:sz w:val="21"/>
          <w:szCs w:val="21"/>
        </w:rPr>
      </w:pPr>
    </w:p>
    <w:p w14:paraId="5985077D" w14:textId="77777777" w:rsidR="005D2A8F" w:rsidRPr="005D2A8F" w:rsidRDefault="005D2A8F" w:rsidP="005D2A8F">
      <w:pPr>
        <w:suppressAutoHyphens/>
        <w:spacing w:after="0" w:line="240" w:lineRule="auto"/>
        <w:ind w:firstLine="567"/>
        <w:jc w:val="both"/>
        <w:rPr>
          <w:rFonts w:ascii="Times New Roman" w:eastAsia="Times New Roman" w:hAnsi="Times New Roman" w:cs="Times New Roman"/>
          <w:color w:val="000000"/>
          <w:sz w:val="21"/>
          <w:szCs w:val="21"/>
        </w:rPr>
      </w:pPr>
      <w:r w:rsidRPr="005D2A8F">
        <w:rPr>
          <w:rFonts w:ascii="Times New Roman" w:eastAsia="Times New Roman" w:hAnsi="Times New Roman" w:cs="Times New Roman"/>
          <w:b/>
          <w:bCs/>
          <w:color w:val="000000"/>
          <w:sz w:val="21"/>
          <w:szCs w:val="21"/>
        </w:rPr>
        <w:t xml:space="preserve">Аннотация: </w:t>
      </w:r>
      <w:r w:rsidRPr="005D2A8F">
        <w:rPr>
          <w:rFonts w:ascii="Times New Roman" w:eastAsia="Times New Roman" w:hAnsi="Times New Roman" w:cs="Times New Roman"/>
          <w:color w:val="000000"/>
          <w:sz w:val="21"/>
          <w:szCs w:val="21"/>
        </w:rPr>
        <w:t>В данной статье рассматривается ключевое значение блокчейн-технологий</w:t>
      </w:r>
      <w:r w:rsidRPr="005D2A8F">
        <w:rPr>
          <w:rFonts w:ascii="Times New Roman" w:eastAsia="Times New Roman" w:hAnsi="Times New Roman" w:cs="Times New Roman"/>
          <w:b/>
          <w:bCs/>
          <w:color w:val="000000"/>
          <w:sz w:val="21"/>
          <w:szCs w:val="21"/>
        </w:rPr>
        <w:t xml:space="preserve"> </w:t>
      </w:r>
      <w:r w:rsidRPr="005D2A8F">
        <w:rPr>
          <w:rFonts w:ascii="Times New Roman" w:eastAsia="Times New Roman" w:hAnsi="Times New Roman" w:cs="Times New Roman"/>
          <w:color w:val="000000"/>
          <w:sz w:val="21"/>
          <w:szCs w:val="21"/>
        </w:rPr>
        <w:t>в бизнес-аналитике. Производится анализ информационных систем по управлению данными, как на это влияют блокчейн-технологии и как они развиваются. Целью исследования является осмысление роли блокчейн-технологий</w:t>
      </w:r>
      <w:r w:rsidRPr="005D2A8F">
        <w:rPr>
          <w:rFonts w:ascii="Times New Roman" w:eastAsia="Times New Roman" w:hAnsi="Times New Roman" w:cs="Times New Roman"/>
          <w:b/>
          <w:bCs/>
          <w:color w:val="000000"/>
          <w:sz w:val="21"/>
          <w:szCs w:val="21"/>
        </w:rPr>
        <w:t xml:space="preserve"> </w:t>
      </w:r>
      <w:r w:rsidRPr="005D2A8F">
        <w:rPr>
          <w:rFonts w:ascii="Times New Roman" w:eastAsia="Times New Roman" w:hAnsi="Times New Roman" w:cs="Times New Roman"/>
          <w:color w:val="000000"/>
          <w:sz w:val="21"/>
          <w:szCs w:val="21"/>
        </w:rPr>
        <w:t>в современных информационных системах по управлению данными. В выводе рассматриваются целесообразность и перспективность</w:t>
      </w:r>
      <w:r w:rsidRPr="005D2A8F">
        <w:rPr>
          <w:rFonts w:ascii="Times New Roman" w:eastAsia="Times New Roman" w:hAnsi="Times New Roman" w:cs="Times New Roman"/>
          <w:b/>
          <w:bCs/>
          <w:color w:val="000000"/>
          <w:sz w:val="21"/>
          <w:szCs w:val="21"/>
        </w:rPr>
        <w:t xml:space="preserve"> </w:t>
      </w:r>
      <w:r w:rsidRPr="005D2A8F">
        <w:rPr>
          <w:rFonts w:ascii="Times New Roman" w:eastAsia="Times New Roman" w:hAnsi="Times New Roman" w:cs="Times New Roman"/>
          <w:color w:val="000000"/>
          <w:sz w:val="21"/>
          <w:szCs w:val="21"/>
        </w:rPr>
        <w:t>блокчейн-технологий для бизнес-аналитики.</w:t>
      </w:r>
    </w:p>
    <w:p w14:paraId="602273B6" w14:textId="77777777" w:rsidR="005D2A8F" w:rsidRPr="005D2A8F" w:rsidRDefault="005D2A8F" w:rsidP="005D2A8F">
      <w:pPr>
        <w:suppressAutoHyphens/>
        <w:spacing w:after="0" w:line="240" w:lineRule="auto"/>
        <w:ind w:firstLine="567"/>
        <w:jc w:val="both"/>
        <w:rPr>
          <w:rFonts w:ascii="Times New Roman" w:eastAsia="Times New Roman" w:hAnsi="Times New Roman" w:cs="Times New Roman"/>
          <w:color w:val="000000"/>
          <w:sz w:val="21"/>
          <w:szCs w:val="21"/>
        </w:rPr>
      </w:pPr>
      <w:r w:rsidRPr="005D2A8F">
        <w:rPr>
          <w:rFonts w:ascii="Times New Roman" w:eastAsia="Times New Roman" w:hAnsi="Times New Roman" w:cs="Times New Roman"/>
          <w:b/>
          <w:bCs/>
          <w:color w:val="000000"/>
          <w:sz w:val="21"/>
          <w:szCs w:val="21"/>
        </w:rPr>
        <w:t>Ключевые слова:</w:t>
      </w:r>
      <w:r w:rsidRPr="005D2A8F">
        <w:rPr>
          <w:rFonts w:ascii="Times New Roman" w:eastAsia="Times New Roman" w:hAnsi="Times New Roman" w:cs="Times New Roman"/>
          <w:color w:val="000000"/>
          <w:sz w:val="21"/>
          <w:szCs w:val="21"/>
        </w:rPr>
        <w:t xml:space="preserve"> блокчейн, блокчейн-технология, блокчейн в России, децентрализация, смарт-контракт, хэш-функция.</w:t>
      </w:r>
    </w:p>
    <w:p w14:paraId="24BDF532" w14:textId="77777777" w:rsidR="005D2A8F" w:rsidRPr="005D2A8F" w:rsidRDefault="005D2A8F" w:rsidP="005D2A8F">
      <w:pPr>
        <w:suppressAutoHyphens/>
        <w:spacing w:after="0" w:line="240" w:lineRule="auto"/>
        <w:ind w:firstLine="567"/>
        <w:jc w:val="right"/>
        <w:rPr>
          <w:rFonts w:ascii="Times New Roman" w:eastAsia="Times New Roman" w:hAnsi="Times New Roman" w:cs="Times New Roman"/>
          <w:color w:val="000000"/>
          <w:sz w:val="21"/>
          <w:szCs w:val="21"/>
          <w:lang w:val="en-US"/>
        </w:rPr>
      </w:pPr>
      <w:r w:rsidRPr="005D2A8F">
        <w:rPr>
          <w:rFonts w:ascii="Times New Roman" w:eastAsia="Times New Roman" w:hAnsi="Times New Roman" w:cs="Times New Roman"/>
          <w:b/>
          <w:bCs/>
          <w:i/>
          <w:iCs/>
          <w:color w:val="000000"/>
          <w:sz w:val="21"/>
          <w:szCs w:val="21"/>
          <w:lang w:val="en-US"/>
        </w:rPr>
        <w:t>Sleptsov A.A.,</w:t>
      </w:r>
    </w:p>
    <w:p w14:paraId="26743E1B" w14:textId="77777777" w:rsidR="005D2A8F" w:rsidRPr="005D2A8F" w:rsidRDefault="005D2A8F" w:rsidP="005D2A8F">
      <w:pPr>
        <w:tabs>
          <w:tab w:val="left" w:pos="316"/>
        </w:tabs>
        <w:suppressAutoHyphens/>
        <w:spacing w:after="0" w:line="240" w:lineRule="auto"/>
        <w:ind w:firstLine="709"/>
        <w:jc w:val="right"/>
        <w:rPr>
          <w:rFonts w:ascii="Times New Roman" w:eastAsia="NSimSun" w:hAnsi="Times New Roman" w:cs="Times New Roman"/>
          <w:bCs/>
          <w:i/>
          <w:kern w:val="2"/>
          <w:sz w:val="24"/>
          <w:szCs w:val="24"/>
          <w:lang w:val="en-US" w:eastAsia="zh-CN" w:bidi="hi-IN"/>
        </w:rPr>
      </w:pPr>
      <w:r w:rsidRPr="005D2A8F">
        <w:rPr>
          <w:rFonts w:ascii="Times New Roman" w:eastAsia="NSimSun" w:hAnsi="Times New Roman" w:cs="Times New Roman"/>
          <w:bCs/>
          <w:i/>
          <w:iCs/>
          <w:kern w:val="2"/>
          <w:sz w:val="21"/>
          <w:szCs w:val="21"/>
          <w:lang w:val="en-US" w:eastAsia="zh-CN" w:bidi="hi-IN"/>
        </w:rPr>
        <w:t>2nd year student,</w:t>
      </w:r>
    </w:p>
    <w:p w14:paraId="547F5B76" w14:textId="77777777" w:rsidR="005D2A8F" w:rsidRPr="005D2A8F" w:rsidRDefault="005D2A8F" w:rsidP="005D2A8F">
      <w:pPr>
        <w:tabs>
          <w:tab w:val="left" w:pos="316"/>
        </w:tabs>
        <w:suppressAutoHyphens/>
        <w:spacing w:after="0" w:line="240" w:lineRule="auto"/>
        <w:ind w:firstLine="709"/>
        <w:jc w:val="right"/>
        <w:rPr>
          <w:rFonts w:ascii="Times New Roman" w:eastAsia="NSimSun" w:hAnsi="Times New Roman" w:cs="Times New Roman"/>
          <w:bCs/>
          <w:i/>
          <w:kern w:val="2"/>
          <w:sz w:val="24"/>
          <w:szCs w:val="24"/>
          <w:lang w:val="en-US" w:eastAsia="zh-CN" w:bidi="hi-IN"/>
        </w:rPr>
      </w:pPr>
      <w:r w:rsidRPr="005D2A8F">
        <w:rPr>
          <w:rFonts w:ascii="Times New Roman" w:eastAsia="NSimSun" w:hAnsi="Times New Roman" w:cs="Times New Roman"/>
          <w:bCs/>
          <w:i/>
          <w:iCs/>
          <w:kern w:val="2"/>
          <w:sz w:val="21"/>
          <w:szCs w:val="21"/>
          <w:lang w:val="en-US" w:eastAsia="zh-CN" w:bidi="hi-IN"/>
        </w:rPr>
        <w:t>Financial University under the Government of the Russian Federation</w:t>
      </w:r>
    </w:p>
    <w:p w14:paraId="34E4ACE9" w14:textId="77777777" w:rsidR="005D2A8F" w:rsidRPr="005D2A8F" w:rsidRDefault="005D2A8F" w:rsidP="005D2A8F">
      <w:pPr>
        <w:tabs>
          <w:tab w:val="left" w:pos="316"/>
        </w:tabs>
        <w:suppressAutoHyphens/>
        <w:spacing w:after="0" w:line="240" w:lineRule="auto"/>
        <w:ind w:firstLine="709"/>
        <w:jc w:val="right"/>
        <w:rPr>
          <w:rFonts w:ascii="Times New Roman" w:eastAsia="NSimSun" w:hAnsi="Times New Roman" w:cs="Times New Roman"/>
          <w:bCs/>
          <w:i/>
          <w:kern w:val="2"/>
          <w:sz w:val="24"/>
          <w:szCs w:val="24"/>
          <w:lang w:val="en-US" w:eastAsia="zh-CN" w:bidi="hi-IN"/>
        </w:rPr>
      </w:pPr>
      <w:r w:rsidRPr="005D2A8F">
        <w:rPr>
          <w:rFonts w:ascii="Times New Roman" w:eastAsia="NSimSun" w:hAnsi="Times New Roman" w:cs="Times New Roman"/>
          <w:bCs/>
          <w:i/>
          <w:iCs/>
          <w:kern w:val="2"/>
          <w:sz w:val="21"/>
          <w:szCs w:val="21"/>
          <w:lang w:val="en-US" w:eastAsia="zh-CN" w:bidi="hi-IN"/>
        </w:rPr>
        <w:t>Krasnodar, Russia</w:t>
      </w:r>
    </w:p>
    <w:p w14:paraId="43CA47D4" w14:textId="77777777" w:rsidR="005D2A8F" w:rsidRPr="005D2A8F" w:rsidRDefault="005D2A8F" w:rsidP="005D2A8F">
      <w:pPr>
        <w:tabs>
          <w:tab w:val="left" w:pos="316"/>
        </w:tabs>
        <w:suppressAutoHyphens/>
        <w:spacing w:after="0" w:line="240" w:lineRule="auto"/>
        <w:ind w:firstLine="709"/>
        <w:jc w:val="right"/>
        <w:rPr>
          <w:rFonts w:ascii="Times New Roman" w:eastAsia="NSimSun" w:hAnsi="Times New Roman" w:cs="Times New Roman"/>
          <w:bCs/>
          <w:i/>
          <w:kern w:val="2"/>
          <w:sz w:val="24"/>
          <w:szCs w:val="24"/>
          <w:lang w:val="en-US" w:eastAsia="zh-CN" w:bidi="hi-IN"/>
        </w:rPr>
      </w:pPr>
      <w:r w:rsidRPr="005D2A8F">
        <w:rPr>
          <w:rFonts w:ascii="Times New Roman" w:eastAsia="NSimSun" w:hAnsi="Times New Roman" w:cs="Times New Roman"/>
          <w:bCs/>
          <w:i/>
          <w:iCs/>
          <w:kern w:val="2"/>
          <w:sz w:val="21"/>
          <w:szCs w:val="21"/>
          <w:lang w:val="en-US" w:eastAsia="zh-CN" w:bidi="hi-IN"/>
        </w:rPr>
        <w:t xml:space="preserve">e-mail: </w:t>
      </w:r>
      <w:hyperlink r:id="rId423">
        <w:r w:rsidRPr="005D2A8F">
          <w:rPr>
            <w:rFonts w:ascii="Times New Roman" w:eastAsia="Times New Roman" w:hAnsi="Times New Roman" w:cs="Times New Roman"/>
            <w:i/>
            <w:color w:val="467886"/>
            <w:kern w:val="2"/>
            <w:sz w:val="21"/>
            <w:szCs w:val="21"/>
            <w:u w:val="single"/>
            <w:lang w:val="en-US" w:eastAsia="zh-CN" w:bidi="hi-IN"/>
          </w:rPr>
          <w:t>andru.snowman@mail.ru</w:t>
        </w:r>
      </w:hyperlink>
    </w:p>
    <w:p w14:paraId="42325A0C" w14:textId="77777777" w:rsidR="005D2A8F" w:rsidRPr="005D2A8F" w:rsidRDefault="005D2A8F" w:rsidP="005D2A8F">
      <w:pPr>
        <w:tabs>
          <w:tab w:val="left" w:pos="316"/>
        </w:tabs>
        <w:suppressAutoHyphens/>
        <w:spacing w:after="0" w:line="240" w:lineRule="auto"/>
        <w:ind w:firstLine="709"/>
        <w:jc w:val="right"/>
        <w:rPr>
          <w:rFonts w:ascii="Times New Roman" w:eastAsia="NSimSun" w:hAnsi="Times New Roman" w:cs="Times New Roman"/>
          <w:i/>
          <w:iCs/>
          <w:kern w:val="2"/>
          <w:sz w:val="21"/>
          <w:szCs w:val="21"/>
          <w:lang w:val="en-US" w:eastAsia="zh-CN" w:bidi="hi-IN"/>
        </w:rPr>
      </w:pPr>
    </w:p>
    <w:p w14:paraId="20B54385" w14:textId="77777777" w:rsidR="005D2A8F" w:rsidRPr="005D2A8F" w:rsidRDefault="005D2A8F" w:rsidP="005D2A8F">
      <w:pPr>
        <w:tabs>
          <w:tab w:val="left" w:pos="316"/>
        </w:tabs>
        <w:suppressAutoHyphens/>
        <w:spacing w:after="0" w:line="240" w:lineRule="auto"/>
        <w:jc w:val="right"/>
        <w:rPr>
          <w:rFonts w:ascii="Times New Roman" w:eastAsia="NSimSun" w:hAnsi="Times New Roman" w:cs="Times New Roman"/>
          <w:kern w:val="2"/>
          <w:sz w:val="21"/>
          <w:szCs w:val="21"/>
          <w:lang w:val="en-US" w:eastAsia="zh-CN" w:bidi="hi-IN"/>
        </w:rPr>
      </w:pPr>
      <w:r w:rsidRPr="005D2A8F">
        <w:rPr>
          <w:rFonts w:ascii="Times New Roman" w:eastAsia="NSimSun" w:hAnsi="Times New Roman" w:cs="Times New Roman"/>
          <w:b/>
          <w:bCs/>
          <w:i/>
          <w:iCs/>
          <w:kern w:val="2"/>
          <w:sz w:val="21"/>
          <w:szCs w:val="21"/>
          <w:lang w:val="en-US" w:eastAsia="zh-CN" w:bidi="hi-IN"/>
        </w:rPr>
        <w:t>Scientific advisor:</w:t>
      </w:r>
    </w:p>
    <w:p w14:paraId="64EC11E4" w14:textId="77777777" w:rsidR="005D2A8F" w:rsidRPr="005D2A8F" w:rsidRDefault="005D2A8F" w:rsidP="005D2A8F">
      <w:pPr>
        <w:tabs>
          <w:tab w:val="left" w:pos="316"/>
        </w:tabs>
        <w:suppressAutoHyphens/>
        <w:spacing w:after="0" w:line="240" w:lineRule="auto"/>
        <w:jc w:val="right"/>
        <w:rPr>
          <w:rFonts w:ascii="Times New Roman" w:eastAsia="NSimSun" w:hAnsi="Times New Roman" w:cs="Times New Roman"/>
          <w:b/>
          <w:bCs/>
          <w:i/>
          <w:iCs/>
          <w:kern w:val="2"/>
          <w:sz w:val="21"/>
          <w:szCs w:val="21"/>
          <w:lang w:val="en-US" w:eastAsia="zh-CN" w:bidi="hi-IN"/>
        </w:rPr>
      </w:pPr>
      <w:r w:rsidRPr="005D2A8F">
        <w:rPr>
          <w:rFonts w:ascii="Times New Roman" w:eastAsia="NSimSun" w:hAnsi="Times New Roman" w:cs="Times New Roman"/>
          <w:b/>
          <w:bCs/>
          <w:i/>
          <w:iCs/>
          <w:kern w:val="2"/>
          <w:sz w:val="21"/>
          <w:szCs w:val="21"/>
          <w:lang w:val="en-US" w:eastAsia="zh-CN" w:bidi="hi-IN"/>
        </w:rPr>
        <w:t>Naryzhnaya N.Y.,</w:t>
      </w:r>
    </w:p>
    <w:p w14:paraId="4F774A18" w14:textId="77777777" w:rsidR="005D2A8F" w:rsidRPr="005D2A8F" w:rsidRDefault="005D2A8F" w:rsidP="005D2A8F">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5D2A8F">
        <w:rPr>
          <w:rFonts w:ascii="Times New Roman" w:eastAsia="NSimSun" w:hAnsi="Times New Roman" w:cs="Times New Roman"/>
          <w:i/>
          <w:iCs/>
          <w:kern w:val="2"/>
          <w:sz w:val="21"/>
          <w:szCs w:val="21"/>
          <w:lang w:val="en-US" w:eastAsia="zh-CN" w:bidi="hi-IN"/>
        </w:rPr>
        <w:t>Associate Professor, Ph.D. in Technical Sciences</w:t>
      </w:r>
    </w:p>
    <w:p w14:paraId="2E6254A2" w14:textId="77777777" w:rsidR="005D2A8F" w:rsidRPr="005D2A8F" w:rsidRDefault="005D2A8F" w:rsidP="005D2A8F">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5D2A8F">
        <w:rPr>
          <w:rFonts w:ascii="Times New Roman" w:eastAsia="NSimSun" w:hAnsi="Times New Roman" w:cs="Times New Roman"/>
          <w:i/>
          <w:iCs/>
          <w:kern w:val="2"/>
          <w:sz w:val="21"/>
          <w:szCs w:val="21"/>
          <w:lang w:val="en-US" w:eastAsia="zh-CN" w:bidi="hi-IN"/>
        </w:rPr>
        <w:t>Financial University under the Government of the Russian Federation</w:t>
      </w:r>
    </w:p>
    <w:p w14:paraId="0D55A37F" w14:textId="77777777" w:rsidR="005D2A8F" w:rsidRPr="005D2A8F" w:rsidRDefault="005D2A8F" w:rsidP="005D2A8F">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5D2A8F">
        <w:rPr>
          <w:rFonts w:ascii="Times New Roman" w:eastAsia="NSimSun" w:hAnsi="Times New Roman" w:cs="Times New Roman"/>
          <w:i/>
          <w:iCs/>
          <w:kern w:val="2"/>
          <w:sz w:val="21"/>
          <w:szCs w:val="21"/>
          <w:lang w:val="en-US" w:eastAsia="zh-CN" w:bidi="hi-IN"/>
        </w:rPr>
        <w:t>Krasnodar, Russia</w:t>
      </w:r>
    </w:p>
    <w:p w14:paraId="296DEE0B" w14:textId="77777777" w:rsidR="005D2A8F" w:rsidRPr="005D2A8F" w:rsidRDefault="005D2A8F" w:rsidP="005D2A8F">
      <w:pPr>
        <w:suppressAutoHyphens/>
        <w:spacing w:after="0" w:line="240" w:lineRule="auto"/>
        <w:ind w:firstLine="567"/>
        <w:jc w:val="right"/>
        <w:rPr>
          <w:rFonts w:ascii="Times New Roman" w:eastAsia="Aptos" w:hAnsi="Times New Roman" w:cs="Times New Roman"/>
          <w:b/>
          <w:bCs/>
          <w:i/>
          <w:iCs/>
          <w:sz w:val="21"/>
          <w:szCs w:val="21"/>
          <w:lang w:val="en-US"/>
        </w:rPr>
      </w:pPr>
      <w:r w:rsidRPr="005D2A8F">
        <w:rPr>
          <w:rFonts w:ascii="Times New Roman" w:eastAsia="Aptos" w:hAnsi="Times New Roman" w:cs="Times New Roman"/>
          <w:i/>
          <w:iCs/>
          <w:sz w:val="21"/>
          <w:szCs w:val="21"/>
          <w:lang w:val="en-US"/>
        </w:rPr>
        <w:t xml:space="preserve">e-mail: </w:t>
      </w:r>
      <w:hyperlink r:id="rId424">
        <w:r w:rsidRPr="005D2A8F">
          <w:rPr>
            <w:rFonts w:ascii="Times New Roman" w:eastAsia="Aptos" w:hAnsi="Times New Roman" w:cs="Times New Roman"/>
            <w:i/>
            <w:iCs/>
            <w:color w:val="467886"/>
            <w:sz w:val="21"/>
            <w:szCs w:val="21"/>
            <w:u w:val="single"/>
            <w:lang w:val="en-US"/>
          </w:rPr>
          <w:t>NYUNaryzhnaya@fa.ru</w:t>
        </w:r>
      </w:hyperlink>
    </w:p>
    <w:p w14:paraId="7951EA98" w14:textId="77777777" w:rsidR="005D2A8F" w:rsidRPr="005D2A8F" w:rsidRDefault="005D2A8F" w:rsidP="005D2A8F">
      <w:pPr>
        <w:suppressAutoHyphens/>
        <w:spacing w:after="0" w:line="240" w:lineRule="auto"/>
        <w:ind w:firstLine="567"/>
        <w:jc w:val="right"/>
        <w:rPr>
          <w:rFonts w:ascii="Times New Roman" w:eastAsia="Times New Roman" w:hAnsi="Times New Roman" w:cs="Times New Roman"/>
          <w:color w:val="000000"/>
          <w:sz w:val="21"/>
          <w:szCs w:val="21"/>
          <w:lang w:val="en-US"/>
        </w:rPr>
      </w:pPr>
    </w:p>
    <w:p w14:paraId="56A1B7D0" w14:textId="77777777" w:rsidR="005D2A8F" w:rsidRPr="005D2A8F" w:rsidRDefault="005D2A8F" w:rsidP="005D2A8F">
      <w:pPr>
        <w:suppressAutoHyphens/>
        <w:spacing w:after="0" w:line="240" w:lineRule="auto"/>
        <w:ind w:firstLine="567"/>
        <w:jc w:val="center"/>
        <w:rPr>
          <w:rFonts w:ascii="Times New Roman" w:eastAsia="Times New Roman" w:hAnsi="Times New Roman" w:cs="Times New Roman"/>
          <w:color w:val="000000"/>
          <w:sz w:val="21"/>
          <w:szCs w:val="21"/>
          <w:lang w:val="en-US"/>
        </w:rPr>
      </w:pPr>
      <w:r w:rsidRPr="005D2A8F">
        <w:rPr>
          <w:rFonts w:ascii="Times New Roman" w:eastAsia="Times New Roman" w:hAnsi="Times New Roman" w:cs="Times New Roman"/>
          <w:b/>
          <w:bCs/>
          <w:color w:val="000000"/>
          <w:sz w:val="21"/>
          <w:szCs w:val="21"/>
          <w:lang w:val="en-US"/>
        </w:rPr>
        <w:t xml:space="preserve">Features of blockchain technologies, their role and opportunities in data management </w:t>
      </w:r>
    </w:p>
    <w:p w14:paraId="1515844D" w14:textId="77777777" w:rsidR="005D2A8F" w:rsidRPr="005D2A8F" w:rsidRDefault="005D2A8F" w:rsidP="005D2A8F">
      <w:pPr>
        <w:suppressAutoHyphens/>
        <w:spacing w:after="0" w:line="240" w:lineRule="auto"/>
        <w:ind w:firstLine="567"/>
        <w:jc w:val="center"/>
        <w:rPr>
          <w:rFonts w:ascii="Aptos" w:eastAsia="Aptos" w:hAnsi="Aptos" w:cs="Aptos"/>
          <w:sz w:val="24"/>
          <w:szCs w:val="24"/>
          <w:lang w:val="en-US"/>
        </w:rPr>
      </w:pPr>
      <w:r w:rsidRPr="005D2A8F">
        <w:rPr>
          <w:rFonts w:ascii="Times New Roman" w:eastAsia="Times New Roman" w:hAnsi="Times New Roman" w:cs="Times New Roman"/>
          <w:b/>
          <w:bCs/>
          <w:color w:val="000000"/>
          <w:sz w:val="21"/>
          <w:szCs w:val="21"/>
          <w:lang w:val="en-US"/>
        </w:rPr>
        <w:t xml:space="preserve">  </w:t>
      </w:r>
    </w:p>
    <w:p w14:paraId="75813A5D" w14:textId="77777777" w:rsidR="005D2A8F" w:rsidRPr="005D2A8F" w:rsidRDefault="005D2A8F" w:rsidP="005D2A8F">
      <w:pPr>
        <w:suppressAutoHyphens/>
        <w:spacing w:after="0" w:line="240" w:lineRule="auto"/>
        <w:ind w:firstLine="567"/>
        <w:jc w:val="both"/>
        <w:rPr>
          <w:rFonts w:ascii="Times New Roman" w:eastAsia="Times New Roman" w:hAnsi="Times New Roman" w:cs="Times New Roman"/>
          <w:color w:val="000000"/>
          <w:sz w:val="21"/>
          <w:szCs w:val="21"/>
          <w:lang w:val="en-US"/>
        </w:rPr>
      </w:pPr>
      <w:r w:rsidRPr="005D2A8F">
        <w:rPr>
          <w:rFonts w:ascii="Times New Roman" w:eastAsia="Times New Roman" w:hAnsi="Times New Roman" w:cs="Times New Roman"/>
          <w:b/>
          <w:bCs/>
          <w:color w:val="000000"/>
          <w:sz w:val="21"/>
          <w:szCs w:val="21"/>
          <w:lang w:val="en-US"/>
        </w:rPr>
        <w:t xml:space="preserve">Abstract: </w:t>
      </w:r>
      <w:r w:rsidRPr="005D2A8F">
        <w:rPr>
          <w:rFonts w:ascii="Times New Roman" w:eastAsia="Times New Roman" w:hAnsi="Times New Roman" w:cs="Times New Roman"/>
          <w:color w:val="000000"/>
          <w:sz w:val="21"/>
          <w:szCs w:val="21"/>
          <w:lang w:val="en-US"/>
        </w:rPr>
        <w:t>This academic paper examines the main importance of blockchain technology in business intelligence. Data management information systems are analyzed, how blockchain technology affects this and how it is evolving. The objective of the article is to conceptualize the role of blockchain technologies in modern data management information systems. The conclusion discusses the feasibility and promise of blockchain technologies for business intelligence.</w:t>
      </w:r>
    </w:p>
    <w:p w14:paraId="604E803B" w14:textId="77777777" w:rsidR="005D2A8F" w:rsidRPr="005D2A8F" w:rsidRDefault="005D2A8F" w:rsidP="005D2A8F">
      <w:pPr>
        <w:suppressAutoHyphens/>
        <w:spacing w:after="0" w:line="240" w:lineRule="auto"/>
        <w:ind w:firstLine="567"/>
        <w:jc w:val="both"/>
        <w:rPr>
          <w:rFonts w:ascii="Times New Roman" w:eastAsia="Times New Roman" w:hAnsi="Times New Roman" w:cs="Times New Roman"/>
          <w:color w:val="000000"/>
          <w:sz w:val="21"/>
          <w:szCs w:val="21"/>
          <w:lang w:val="en-US"/>
        </w:rPr>
      </w:pPr>
      <w:r w:rsidRPr="005D2A8F">
        <w:rPr>
          <w:rFonts w:ascii="Times New Roman" w:eastAsia="Times New Roman" w:hAnsi="Times New Roman" w:cs="Times New Roman"/>
          <w:b/>
          <w:bCs/>
          <w:color w:val="000000"/>
          <w:sz w:val="21"/>
          <w:szCs w:val="21"/>
          <w:lang w:val="en-US"/>
        </w:rPr>
        <w:lastRenderedPageBreak/>
        <w:t xml:space="preserve">Keywords: </w:t>
      </w:r>
      <w:r w:rsidRPr="005D2A8F">
        <w:rPr>
          <w:rFonts w:ascii="Times New Roman" w:eastAsia="Times New Roman" w:hAnsi="Times New Roman" w:cs="Times New Roman"/>
          <w:color w:val="000000"/>
          <w:sz w:val="21"/>
          <w:szCs w:val="21"/>
          <w:lang w:val="en-US"/>
        </w:rPr>
        <w:t xml:space="preserve">blockchain, blockchain technology, blockchain in Russia, decentralization, smart contract, hash function. </w:t>
      </w:r>
    </w:p>
    <w:p w14:paraId="3E9A32EC" w14:textId="77777777" w:rsidR="005D2A8F" w:rsidRPr="005D2A8F" w:rsidRDefault="005D2A8F" w:rsidP="005D2A8F">
      <w:pPr>
        <w:suppressAutoHyphens/>
        <w:spacing w:after="0" w:line="240" w:lineRule="auto"/>
        <w:ind w:firstLine="567"/>
        <w:jc w:val="both"/>
        <w:rPr>
          <w:rFonts w:ascii="Times New Roman" w:eastAsia="Times New Roman" w:hAnsi="Times New Roman" w:cs="Times New Roman"/>
          <w:color w:val="000000"/>
          <w:sz w:val="21"/>
          <w:szCs w:val="21"/>
          <w:lang w:val="en-US"/>
        </w:rPr>
      </w:pPr>
    </w:p>
    <w:p w14:paraId="3CA05942"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Для начала стоит разобраться, что такое блокчейн-технология и в каких сферах она сейчас применяется в России на момент 2025 года. </w:t>
      </w:r>
    </w:p>
    <w:p w14:paraId="6E8D046D" w14:textId="77777777" w:rsidR="005D2A8F" w:rsidRPr="005D2A8F" w:rsidRDefault="00132A69" w:rsidP="005D2A8F">
      <w:pPr>
        <w:suppressAutoHyphens/>
        <w:spacing w:after="0" w:line="240" w:lineRule="auto"/>
        <w:ind w:right="-1" w:firstLine="567"/>
        <w:contextualSpacing/>
        <w:jc w:val="both"/>
        <w:rPr>
          <w:rFonts w:ascii="Times New Roman" w:eastAsia="Times New Roman" w:hAnsi="Times New Roman" w:cs="Times New Roman"/>
          <w:sz w:val="32"/>
          <w:szCs w:val="32"/>
        </w:rPr>
      </w:pPr>
      <w:hyperlink r:id="rId425">
        <w:r w:rsidR="005D2A8F" w:rsidRPr="005D2A8F">
          <w:rPr>
            <w:rFonts w:ascii="Times New Roman" w:eastAsia="Times New Roman" w:hAnsi="Times New Roman" w:cs="Times New Roman"/>
            <w:sz w:val="32"/>
            <w:szCs w:val="32"/>
          </w:rPr>
          <w:t>Блокчейн (англ. «blockchain», «block» – блок, «chein» – цепь) – это распределенная база данных, состоящая из «цепочки блоков», устройства хранения блоков не подключены к общему серверу, база данных позволяет контролировать достоверность транзакций без надзора каких-либо финансовых регуляторов. Проверкой транзакций занимаются так называемые майнеры – участники системы, которые подтверждают подлинность совершенных действий, а затем формируют из записей транзакций блоки. Реестр хранится одновременно у всех участников системы и автоматически обновляется при малейшем изменении. Каждый имеет доступ к информации о любой транзакции, когда-либо осуществленной. Пользователи выступают в качестве коллективного нотариуса, который подтверждает истинность информации в базе данных</w:t>
        </w:r>
      </w:hyperlink>
      <w:r w:rsidR="005D2A8F" w:rsidRPr="005D2A8F">
        <w:rPr>
          <w:rFonts w:ascii="Aptos" w:eastAsia="Aptos" w:hAnsi="Aptos" w:cs="Aptos"/>
          <w:sz w:val="24"/>
          <w:szCs w:val="24"/>
        </w:rPr>
        <w:t xml:space="preserve"> </w:t>
      </w:r>
      <w:r w:rsidR="005D2A8F" w:rsidRPr="005D2A8F">
        <w:rPr>
          <w:rFonts w:ascii="Times New Roman" w:eastAsia="Aptos" w:hAnsi="Times New Roman" w:cs="Times New Roman"/>
          <w:sz w:val="32"/>
          <w:szCs w:val="32"/>
        </w:rPr>
        <w:t>[1].</w:t>
      </w:r>
      <w:r w:rsidR="005D2A8F" w:rsidRPr="005D2A8F">
        <w:rPr>
          <w:rFonts w:ascii="Times New Roman" w:eastAsia="Times New Roman" w:hAnsi="Times New Roman" w:cs="Times New Roman"/>
          <w:sz w:val="32"/>
          <w:szCs w:val="32"/>
        </w:rPr>
        <w:t xml:space="preserve"> </w:t>
      </w:r>
    </w:p>
    <w:p w14:paraId="32EFC66E"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Таким образом, каждый блок содержит данные, а также информацию о предыдущем блоке, связанным с ним через криптографическую хэш-функцию. Такая структура обеспечивает безопасность и целостность всей цепочки.</w:t>
      </w:r>
    </w:p>
    <w:p w14:paraId="339C351D"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Хэш-функция – это математическо-технический механизм, преобразующий входные данные любой длины в выход фиксированной длины. Для каждого отдельного набора данных создаётся уникальный «хеш» – битовая последовательность постоянного размера. При повторной обработке одинаковых данных результат будет тем же. Но если внести хотя бы минимальное изменение, выходной хеш кардинально изменится, что делает подделку практически невозможной [2].</w:t>
      </w:r>
    </w:p>
    <w:p w14:paraId="0AAE7A7F"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Одним из ключевых преимуществ блокчейна является децентрализация – информация распределяется между множеством узлов сети, и каждый участник имеет доступ к этим данным. Такой подход уменьшает зависимость от централизованных систем хранения, например – серверов.</w:t>
      </w:r>
    </w:p>
    <w:p w14:paraId="629E0F42"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Распределённость обуславливается тем, что каждый узел в блокчейн-сети содержит полную копию всей информации. Это делает систему более устойчивой к сбоям. Также децентрализованная структура снижает риски, связанные с одной точкой отказа. Дополнительным плюсом является прозрачность: так как все узлы </w:t>
      </w:r>
      <w:r w:rsidRPr="005D2A8F">
        <w:rPr>
          <w:rFonts w:ascii="Times New Roman" w:eastAsia="Times New Roman" w:hAnsi="Times New Roman" w:cs="Times New Roman"/>
          <w:sz w:val="32"/>
          <w:szCs w:val="32"/>
        </w:rPr>
        <w:lastRenderedPageBreak/>
        <w:t>имеют доступ к одинаковой информации, исключается необходимость в посредниках. Каждый узел подтверждает транзакции, тем самым исключая возможность подделки данных.</w:t>
      </w:r>
    </w:p>
    <w:p w14:paraId="64BC4ED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Таким образом, децентрализация делает процесс управления данными более надёжным, прозрачным и безопасным, что особенно актуально для различных сфер деятельности.</w:t>
      </w:r>
    </w:p>
    <w:p w14:paraId="272A3FBD"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Следующее преимущество – это безопасность. Блокчейн-технология применяет надёжные криптографические методы защиты, что делает данные практически недоступными для взлома или изменения. Каждый блок связан с предыдущим с помощью «хэш-кода», что исключает возможность вмешательства в уже записанную информацию. Система использует шифрование, которое защищает данные от постороннего доступа. Хранение информации в распределённой форме минимизирует риски, связанные с отказом одного узла – для полной компрометации данных пришлось бы взломать большинство участников сети одновременно, что крайне сложно. Также важным элементом безопасности являются цифровые подписи. Они позволяют подтвердить, что данные подлинные и получены от конкретного источника, что значительно уменьшает вероятность мошенничества.</w:t>
      </w:r>
    </w:p>
    <w:p w14:paraId="1ADC0C21"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Благодаря использованию криптографических методов защиты технология блокчейна получила широкое распространение в сферах, где критически важна информационная безопасность – таких как банковская система, медицина, логистические цепочки и государственные учреждения.</w:t>
      </w:r>
    </w:p>
    <w:p w14:paraId="06CA18FF"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Одной из ключевых особенностей технологии блокчейн является открытость данных: каждый участник сети получает доступ к информации о транзакциях, что обеспечивает возможность независимой верификации. Все действия в системе фиксируются в блоках, содержащих полные сведения о совершённых операциях, что позволяет осуществлять контроль и отслеживание изменений без привлечения внешних посредников.</w:t>
      </w:r>
    </w:p>
    <w:p w14:paraId="122D9B4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Каждый блок содержит детальную информацию о произошедших операциях, и любой участник может проверить эти данные на подлинность. Это не только повышает доверие, но и позволяет участникам контролировать свои данные на каждом этапе.</w:t>
      </w:r>
    </w:p>
    <w:p w14:paraId="7AAB6FF9"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В системе сохраняется история всех изменений, что делает возможным полный аудит – то есть отследить, кто и когда внёс изменения в данные. Это особенно важно в тех сферах, где критична </w:t>
      </w:r>
      <w:r w:rsidRPr="005D2A8F">
        <w:rPr>
          <w:rFonts w:ascii="Times New Roman" w:eastAsia="Times New Roman" w:hAnsi="Times New Roman" w:cs="Times New Roman"/>
          <w:sz w:val="32"/>
          <w:szCs w:val="32"/>
        </w:rPr>
        <w:lastRenderedPageBreak/>
        <w:t>точность и подотчётность информации, например, при голосованиях или учёте государственной документации.</w:t>
      </w:r>
    </w:p>
    <w:p w14:paraId="1DF39A98"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Благодаря своей распределённой архитектуре блокчейн отличается высокой степенью надёжности. Даже если один или несколько узлов выйдут из строя, остальные продолжают функционировать, а данные остаются доступными. Каждый узел сети содержит полную версию всей истории транзакций, что позволяет системе работать стабильно. При этом любые изменения в блоках сразу становятся заметны, так как структура хэшей легко фиксирует вмешательства. Надёжность делает блокчейн ещё более особенно ценным в сферах, где критично сохранение данных и непрерывность работы.</w:t>
      </w:r>
    </w:p>
    <w:p w14:paraId="257E8BDE"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Технология блокчейна позволяет не только сохранить доступность и прозрачность данных, но и обеспечить высокий уровень конфиденциальности. Это достигается за счёт шифрования информации и ограничения доступа на уровне идентификаторов участников. Каждому участнику сети присваивается уникальный идентификатор, который определяет его права доступа. В результате, только уполномоченные пользователи могут получить доступ к определённым данным. Кроме того, благодаря хэшированию, любые изменения в блоке тут же становятся заметны, что исключает возможность незаметного вмешательства.</w:t>
      </w:r>
    </w:p>
    <w:p w14:paraId="02C8848A"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Таким образом, блокчейн позволяет не только защитить данные от несанкционированного доступа, но и управлять ими более эффективно. Внедрение таких технологий может значительно снизить расходы на обработку информации и сделать многие услуги доступнее, что в свою очередь способствует улучшению качества обслуживания [2].</w:t>
      </w:r>
    </w:p>
    <w:p w14:paraId="61916125"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Несмотря на очевидные преимущества блокчейн-технологии, у неё, как и у любой другой системы, есть свои ограничения и минусы. Ниже приведены основные из них.</w:t>
      </w:r>
    </w:p>
    <w:p w14:paraId="2148BF6F" w14:textId="77777777" w:rsidR="005D2A8F" w:rsidRPr="005D2A8F" w:rsidRDefault="005D2A8F" w:rsidP="005D2A8F">
      <w:pPr>
        <w:suppressAutoHyphens/>
        <w:spacing w:after="0" w:line="240" w:lineRule="auto"/>
        <w:ind w:right="-1" w:firstLine="567"/>
        <w:contextualSpacing/>
        <w:jc w:val="both"/>
        <w:rPr>
          <w:rFonts w:ascii="Aptos" w:eastAsia="Aptos" w:hAnsi="Aptos" w:cs="Aptos"/>
          <w:sz w:val="24"/>
          <w:szCs w:val="24"/>
        </w:rPr>
      </w:pPr>
      <w:r w:rsidRPr="005D2A8F">
        <w:rPr>
          <w:rFonts w:ascii="Times New Roman" w:eastAsia="Times New Roman" w:hAnsi="Times New Roman" w:cs="Times New Roman"/>
          <w:sz w:val="32"/>
          <w:szCs w:val="32"/>
        </w:rPr>
        <w:t>1) Проблемы с масштабируемостью.</w:t>
      </w:r>
    </w:p>
    <w:p w14:paraId="7EE4BA85"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Одним из главных ограничений блокчейна является сложность масштабирования. Так как каждый участник сети должен хранить и обрабатывать весь объём данных, это создаёт нагрузку на систему по мере её роста. Чем больше транзакций и участников – тем выше требования к ресурсам.</w:t>
      </w:r>
    </w:p>
    <w:p w14:paraId="27D47F2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В таких сферах, как финансы, где поток данных может быть очень высоким, это особенно заметно. Блокчейн-платформы, такие как </w:t>
      </w:r>
      <w:r w:rsidRPr="005D2A8F">
        <w:rPr>
          <w:rFonts w:ascii="Times New Roman" w:eastAsia="Times New Roman" w:hAnsi="Times New Roman" w:cs="Times New Roman"/>
          <w:sz w:val="32"/>
          <w:szCs w:val="32"/>
        </w:rPr>
        <w:lastRenderedPageBreak/>
        <w:t>биткоин, характеризуются ограниченной пропускной способностью: в среднем обрабатывается лишь несколько операций в секунду, что затрудняет их использование при высоком трафике данных. Для решения этой проблемы разрабатываются технологические усовершенствования, включая оптимизацию протоколов и внедрение многоуровневых архитектур.</w:t>
      </w:r>
    </w:p>
    <w:p w14:paraId="1E1F8265" w14:textId="77777777" w:rsidR="005D2A8F" w:rsidRPr="005D2A8F" w:rsidRDefault="005D2A8F" w:rsidP="005D2A8F">
      <w:pPr>
        <w:suppressAutoHyphens/>
        <w:spacing w:after="0" w:line="240" w:lineRule="auto"/>
        <w:ind w:right="-1" w:firstLine="567"/>
        <w:contextualSpacing/>
        <w:jc w:val="both"/>
        <w:rPr>
          <w:rFonts w:ascii="Aptos" w:eastAsia="Aptos" w:hAnsi="Aptos" w:cs="Aptos"/>
          <w:sz w:val="24"/>
          <w:szCs w:val="24"/>
        </w:rPr>
      </w:pPr>
      <w:r w:rsidRPr="005D2A8F">
        <w:rPr>
          <w:rFonts w:ascii="Times New Roman" w:eastAsia="Times New Roman" w:hAnsi="Times New Roman" w:cs="Times New Roman"/>
          <w:sz w:val="32"/>
          <w:szCs w:val="32"/>
        </w:rPr>
        <w:t>2) Низкая скорость транзакций.</w:t>
      </w:r>
    </w:p>
    <w:p w14:paraId="39DA1424"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Обработка операций в блокчейне может занимать продолжительное время. Перед тем как транзакция будет окончательно записана, её должны подтвердить множество узлов сети. В условиях высокой нагрузки ожидание может затянуться на минуты или даже часы, а современные организации стремятся сократить длительность бизнес-процессов.</w:t>
      </w:r>
    </w:p>
    <w:p w14:paraId="7E436C6F" w14:textId="77777777" w:rsidR="005D2A8F" w:rsidRPr="005D2A8F" w:rsidRDefault="005D2A8F" w:rsidP="005D2A8F">
      <w:pPr>
        <w:suppressAutoHyphens/>
        <w:spacing w:after="0" w:line="240" w:lineRule="auto"/>
        <w:ind w:right="-1" w:firstLine="567"/>
        <w:contextualSpacing/>
        <w:jc w:val="both"/>
        <w:rPr>
          <w:rFonts w:ascii="Aptos" w:eastAsia="Aptos" w:hAnsi="Aptos" w:cs="Aptos"/>
          <w:sz w:val="24"/>
          <w:szCs w:val="24"/>
        </w:rPr>
      </w:pPr>
      <w:r w:rsidRPr="005D2A8F">
        <w:rPr>
          <w:rFonts w:ascii="Times New Roman" w:eastAsia="Times New Roman" w:hAnsi="Times New Roman" w:cs="Times New Roman"/>
          <w:sz w:val="32"/>
          <w:szCs w:val="32"/>
        </w:rPr>
        <w:t>3) Сложности в использовании.</w:t>
      </w:r>
    </w:p>
    <w:p w14:paraId="7BA3E9D6"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Блокчейн-технология остаётся довольно сложной для понимания и требует специальных знаний. Чтобы работать с ней, нужно разбираться в криптографии, механизмах распределённых сетей и принципах верификации данных. Это отсылает нас к ещё одной главной проблеме современного рынка российских технологий и не только – отсутствие квалифицированных специалистов. Для обучения и подготовки молодых рабочих с полным пакетом знаний требуется большое количество времени и ресурсов. Для специалистов, которые уже работают, требуется переобучение или повышение своей квалификации в связи со слишком большой скоростью изменений на рынке технологий.</w:t>
      </w:r>
    </w:p>
    <w:p w14:paraId="5A4EBF56"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Тем не менее, многое делается для упрощения: разрабатываются более удобные интерфейсы, инструменты автоматизации и платформы, которые снижают технический порог входа.</w:t>
      </w:r>
    </w:p>
    <w:p w14:paraId="1A0F252E" w14:textId="77777777" w:rsidR="005D2A8F" w:rsidRPr="005D2A8F" w:rsidRDefault="005D2A8F" w:rsidP="005D2A8F">
      <w:pPr>
        <w:suppressAutoHyphens/>
        <w:spacing w:after="0" w:line="240" w:lineRule="auto"/>
        <w:ind w:right="-1" w:firstLine="567"/>
        <w:contextualSpacing/>
        <w:jc w:val="both"/>
        <w:rPr>
          <w:rFonts w:ascii="Aptos" w:eastAsia="Aptos" w:hAnsi="Aptos" w:cs="Aptos"/>
          <w:sz w:val="24"/>
          <w:szCs w:val="24"/>
        </w:rPr>
      </w:pPr>
      <w:r w:rsidRPr="005D2A8F">
        <w:rPr>
          <w:rFonts w:ascii="Times New Roman" w:eastAsia="Times New Roman" w:hAnsi="Times New Roman" w:cs="Times New Roman"/>
          <w:sz w:val="32"/>
          <w:szCs w:val="32"/>
        </w:rPr>
        <w:t>4) Ограниченная конфиденциальность.</w:t>
      </w:r>
    </w:p>
    <w:p w14:paraId="52120E81"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В открытых блокчейн-сетях, таких как биткоин, информация обо всех операциях доступна каждому участнику. Это обеспечивает прозрачность, но в то же время создаёт риск утечки информации, что может быть недопустимо для бизнеса или организаций, где требуется приватность. В ответ на это создаются закрытые блокчейн-сети, где доступ к информации ограничен только определённым участникам. </w:t>
      </w:r>
    </w:p>
    <w:p w14:paraId="19C35EEE" w14:textId="77777777" w:rsidR="005D2A8F" w:rsidRPr="005D2A8F" w:rsidRDefault="005D2A8F" w:rsidP="005D2A8F">
      <w:pPr>
        <w:suppressAutoHyphens/>
        <w:spacing w:after="0" w:line="240" w:lineRule="auto"/>
        <w:ind w:right="-1" w:firstLine="567"/>
        <w:contextualSpacing/>
        <w:jc w:val="both"/>
        <w:rPr>
          <w:rFonts w:ascii="Aptos" w:eastAsia="Aptos" w:hAnsi="Aptos" w:cs="Aptos"/>
          <w:sz w:val="24"/>
          <w:szCs w:val="24"/>
        </w:rPr>
      </w:pPr>
      <w:r w:rsidRPr="005D2A8F">
        <w:rPr>
          <w:rFonts w:ascii="Times New Roman" w:eastAsia="Times New Roman" w:hAnsi="Times New Roman" w:cs="Times New Roman"/>
          <w:sz w:val="32"/>
          <w:szCs w:val="32"/>
        </w:rPr>
        <w:t>5) Невозможность редактирования данных.</w:t>
      </w:r>
    </w:p>
    <w:p w14:paraId="771D91C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Одной из ключевых особенностей блокчейна является неизменность записей. После того как данные зафиксированы, они становятся частью цепочки и не могут быть откорректированы.</w:t>
      </w:r>
    </w:p>
    <w:p w14:paraId="446F27EF"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lastRenderedPageBreak/>
        <w:t>В большинстве случаев это плюс, но бывают ситуации, где такая жёсткость оборачивается недостатком. Например, при ошибочном вводе данных или изменении законодательства может возникнуть необходимость в коррекции, а сделать это в классическом блокчейне крайне затруднительно или невозможно [2].</w:t>
      </w:r>
    </w:p>
    <w:p w14:paraId="775BDA28" w14:textId="77777777" w:rsidR="005D2A8F" w:rsidRPr="005D2A8F" w:rsidRDefault="00132A69" w:rsidP="005D2A8F">
      <w:pPr>
        <w:suppressAutoHyphens/>
        <w:spacing w:after="0" w:line="240" w:lineRule="auto"/>
        <w:ind w:right="-1" w:firstLine="567"/>
        <w:contextualSpacing/>
        <w:jc w:val="both"/>
        <w:rPr>
          <w:rFonts w:ascii="Times New Roman" w:eastAsia="Times New Roman" w:hAnsi="Times New Roman" w:cs="Times New Roman"/>
          <w:b/>
          <w:bCs/>
          <w:sz w:val="32"/>
          <w:szCs w:val="32"/>
        </w:rPr>
      </w:pPr>
      <w:hyperlink r:id="rId426">
        <w:r w:rsidR="005D2A8F" w:rsidRPr="005D2A8F">
          <w:rPr>
            <w:rFonts w:ascii="Times New Roman" w:eastAsia="Times New Roman" w:hAnsi="Times New Roman" w:cs="Times New Roman"/>
            <w:sz w:val="32"/>
            <w:szCs w:val="32"/>
          </w:rPr>
          <w:t xml:space="preserve">Технология блокчейн сейчас активно внедряется в финансовой сфере Англии, Японии, США, Китая и других стран. В России главными лоббистами выступают ПАО Сбербанк и платежная система QIWI. Больше всего блокчейн-стартапов в настоящий момент существует в США и Великобритании – 341 и 136 компаний соответственно. После США и Великобритании в этой сфере следуют Эстония и Швейцария. Третье место в рейтинге занимает Канада, где базируется 42 блокчейн-стартапа, что составляет 4,5% от их общего количества в мире. На четвертой строчке находится Китай – там работает 38 блокчейн стартапов, то есть 4%. Далее следует Германия, </w:t>
        </w:r>
        <w:r w:rsidR="005D2A8F" w:rsidRPr="005D2A8F">
          <w:rPr>
            <w:rFonts w:ascii="Times New Roman" w:eastAsia="Times New Roman" w:hAnsi="Times New Roman" w:cs="Times New Roman"/>
            <w:color w:val="000000"/>
            <w:sz w:val="32"/>
            <w:szCs w:val="32"/>
          </w:rPr>
          <w:t>где базируется 26 стартапов, то есть 2,8%</w:t>
        </w:r>
      </w:hyperlink>
      <w:r w:rsidR="005D2A8F" w:rsidRPr="005D2A8F">
        <w:rPr>
          <w:rFonts w:ascii="Times New Roman" w:eastAsia="Times New Roman" w:hAnsi="Times New Roman" w:cs="Times New Roman"/>
          <w:color w:val="000000"/>
          <w:sz w:val="32"/>
          <w:szCs w:val="32"/>
        </w:rPr>
        <w:t xml:space="preserve"> </w:t>
      </w:r>
      <w:r w:rsidR="005D2A8F" w:rsidRPr="005D2A8F">
        <w:rPr>
          <w:rFonts w:ascii="Times New Roman" w:eastAsia="Aptos" w:hAnsi="Times New Roman" w:cs="Times New Roman"/>
          <w:sz w:val="32"/>
          <w:szCs w:val="32"/>
        </w:rPr>
        <w:t>[1].</w:t>
      </w:r>
      <w:r w:rsidR="005D2A8F" w:rsidRPr="005D2A8F">
        <w:rPr>
          <w:rFonts w:ascii="Times New Roman" w:eastAsia="Times New Roman" w:hAnsi="Times New Roman" w:cs="Times New Roman"/>
          <w:sz w:val="32"/>
          <w:szCs w:val="32"/>
        </w:rPr>
        <w:t xml:space="preserve"> Что касается России, то на ее территории находится менее 0,5% блокчейн-стартапов, что не позволяет стране войти даже в топ-20 лидеров в этой сфере. </w:t>
      </w:r>
    </w:p>
    <w:p w14:paraId="19CD24A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В России активное продвижение технологии блокчейна осуществляется крупнейшими финансовыми структурами. Одними из главных инициаторов внедрения выступают Сбербанк и Центральный банк РФ. Постепенно к использованию блокчейна подключаются и другие крупные игроки, такие как Газпром, Альфа-Банк и X5 Retail Group. Интерес к интеграции блокчейн-решений выразили свыше 40 ведущих российских компаний. Среди первых внедренцев оказались такие организации, как М.Видео, СберФакторинг и Альфа-Банк, которые начали использовать платформу Ethereum для проведения факторинговых операций в цифровой среде [3].</w:t>
      </w:r>
    </w:p>
    <w:p w14:paraId="6E04A2F0"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Сбербанк в последние годы активно внедряет эту технологию в свои внутренние процессы. Одним из примеров стала реализация проекта по использованию блокчейна для управления счетами по доверенности. Это позволило повысить прозрачность и контроль: теперь клиент может через онлайн-кабинет отслеживать, кому и с какими правами он выдал доверенность на управление своими средствами.</w:t>
      </w:r>
    </w:p>
    <w:p w14:paraId="42EBC3D4"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ЦБ РФ в последние годы активно занимался разработкой нового «Ц</w:t>
      </w:r>
      <w:r w:rsidRPr="005D2A8F">
        <w:rPr>
          <w:rFonts w:ascii="Times New Roman" w:eastAsia="Times New Roman" w:hAnsi="Times New Roman" w:cs="Times New Roman"/>
          <w:color w:val="000000"/>
          <w:sz w:val="32"/>
          <w:szCs w:val="32"/>
        </w:rPr>
        <w:t xml:space="preserve">ифрового рубля», который и основан на блокчейн технологии. </w:t>
      </w:r>
    </w:p>
    <w:p w14:paraId="69C4728E"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color w:val="000000"/>
          <w:sz w:val="32"/>
          <w:szCs w:val="32"/>
        </w:rPr>
        <w:t xml:space="preserve">Цифровые валюты центральных банков (Central Bank Digital Currency) – регулируемые цифровые валюты, эмитентом которой </w:t>
      </w:r>
      <w:r w:rsidRPr="005D2A8F">
        <w:rPr>
          <w:rFonts w:ascii="Times New Roman" w:eastAsia="Times New Roman" w:hAnsi="Times New Roman" w:cs="Times New Roman"/>
          <w:color w:val="000000"/>
          <w:sz w:val="32"/>
          <w:szCs w:val="32"/>
        </w:rPr>
        <w:lastRenderedPageBreak/>
        <w:t xml:space="preserve">является центральный банк страны. Они созданы как альтернативная форма валюты государства и по своей стоимости приравниваются к ней, однако отличаются тем, что не существуют в физической </w:t>
      </w:r>
      <w:proofErr w:type="gramStart"/>
      <w:r w:rsidRPr="005D2A8F">
        <w:rPr>
          <w:rFonts w:ascii="Times New Roman" w:eastAsia="Times New Roman" w:hAnsi="Times New Roman" w:cs="Times New Roman"/>
          <w:color w:val="000000"/>
          <w:sz w:val="32"/>
          <w:szCs w:val="32"/>
        </w:rPr>
        <w:t>форме  [</w:t>
      </w:r>
      <w:proofErr w:type="gramEnd"/>
      <w:r w:rsidRPr="005D2A8F">
        <w:rPr>
          <w:rFonts w:ascii="Times New Roman" w:eastAsia="Times New Roman" w:hAnsi="Times New Roman" w:cs="Times New Roman"/>
          <w:color w:val="000000"/>
          <w:sz w:val="32"/>
          <w:szCs w:val="32"/>
        </w:rPr>
        <w:t>5].</w:t>
      </w:r>
    </w:p>
    <w:p w14:paraId="306BA9EC"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Центральный банк России не рассматривает цифровой рубль как замену наличным или безналичным рублям, а видит его исключительно как дополнительную форму денег.</w:t>
      </w:r>
    </w:p>
    <w:p w14:paraId="2D6291A3"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Цифровые рубли будут храниться в цифровых кошельках граждан и компаний, которые будут открываться на платформе Банка России. Все операции с цифровыми рублями будут осуществляться через эту платформу с использованием технологии блокчейн. Введение цифрового рубля принесет несколько преимуществ. В их числе – развитие новой платежной инфраструктуры, отсутствие комиссии для граждан при оплате и переводах, возможность использования цифрового кошелька через мобильное приложение любого банка и, в будущем, возможность расчетов в цифровых рублях даже при ограниченном доступе к интернету [5].</w:t>
      </w:r>
    </w:p>
    <w:p w14:paraId="3979D7F5" w14:textId="77777777" w:rsidR="005D2A8F" w:rsidRPr="005D2A8F" w:rsidRDefault="00132A69" w:rsidP="005D2A8F">
      <w:pPr>
        <w:suppressAutoHyphens/>
        <w:spacing w:after="0" w:line="240" w:lineRule="auto"/>
        <w:ind w:right="-1" w:firstLine="567"/>
        <w:contextualSpacing/>
        <w:jc w:val="both"/>
        <w:rPr>
          <w:rFonts w:ascii="Times New Roman" w:eastAsia="Times New Roman" w:hAnsi="Times New Roman" w:cs="Times New Roman"/>
          <w:sz w:val="32"/>
          <w:szCs w:val="32"/>
        </w:rPr>
      </w:pPr>
      <w:hyperlink r:id="rId427">
        <w:r w:rsidR="005D2A8F" w:rsidRPr="005D2A8F">
          <w:rPr>
            <w:rFonts w:ascii="Times New Roman" w:eastAsia="Times New Roman" w:hAnsi="Times New Roman" w:cs="Times New Roman"/>
            <w:sz w:val="32"/>
            <w:szCs w:val="32"/>
          </w:rPr>
          <w:t>Среди других ярких примеров использования блокчейна российским бизнесом – выпуск Норникелем собственных цифровых токенов для расчёта с партнёрами. Цифровые токены – более гибкий инструмент по сравнению с традиционными ценными бумагами. Обеспеченные металлом токены выпущены с помощью блокчейн-платформы Atomyze и реализуются на Немецкой и Лондонской биржах.</w:t>
        </w:r>
      </w:hyperlink>
    </w:p>
    <w:p w14:paraId="125E9F42" w14:textId="77777777" w:rsidR="005D2A8F" w:rsidRPr="005D2A8F" w:rsidRDefault="00132A69" w:rsidP="005D2A8F">
      <w:pPr>
        <w:suppressAutoHyphens/>
        <w:spacing w:after="0" w:line="240" w:lineRule="auto"/>
        <w:ind w:right="-1" w:firstLine="567"/>
        <w:contextualSpacing/>
        <w:jc w:val="both"/>
        <w:rPr>
          <w:rFonts w:ascii="Times New Roman" w:eastAsia="Times New Roman" w:hAnsi="Times New Roman" w:cs="Times New Roman"/>
          <w:sz w:val="32"/>
          <w:szCs w:val="32"/>
        </w:rPr>
      </w:pPr>
      <w:hyperlink r:id="rId428">
        <w:r w:rsidR="005D2A8F" w:rsidRPr="005D2A8F">
          <w:rPr>
            <w:rFonts w:ascii="Times New Roman" w:eastAsia="Times New Roman" w:hAnsi="Times New Roman" w:cs="Times New Roman"/>
            <w:sz w:val="32"/>
            <w:szCs w:val="32"/>
          </w:rPr>
          <w:t>Горно-металлургическая компания активно использует такое преимущество блокчейна, как мониторинг цепочки поставок. Покупатели могут убедиться, что поставленный товар отвечает технологическим и экологическим нормам. Первая партия углеродно-нейтрального никеля будет реализовываться как раз с помощью токенов</w:t>
        </w:r>
      </w:hyperlink>
      <w:r w:rsidR="005D2A8F" w:rsidRPr="005D2A8F">
        <w:rPr>
          <w:rFonts w:ascii="Times New Roman" w:eastAsia="Times New Roman" w:hAnsi="Times New Roman" w:cs="Times New Roman"/>
          <w:sz w:val="32"/>
          <w:szCs w:val="32"/>
        </w:rPr>
        <w:t xml:space="preserve"> [4].</w:t>
      </w:r>
    </w:p>
    <w:p w14:paraId="531064DE"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В сфере авиационных перевозок компания S7 совместно с Альфа-Банком реализовала блокчейн-платформу на основе протокола Hyperledger Fabric. Одним из результатов стала интеграция с системой продажи билетов Nemo.Travel, что позволило существенно ускорить цикл обработки транзакций. Благодаря автоматизации большинства операций, включая оформление, выставление счетов и документооборот, участие персонала было сведено к минимуму. В перспективе проект планируется расширить за счёт подключения дополнительных участников отрасли [3].</w:t>
      </w:r>
    </w:p>
    <w:p w14:paraId="36FA73D6"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lastRenderedPageBreak/>
        <w:t>В период с 25 июня по 1 июля 2020 года в России система голосования по внесению поправок в Конституцию была реализована с применением технологии блокчейн. Такой подход обеспечил высокую степень прозрачности и неизменности результатов, а также устойчивость к внешнему вмешательству. Благодаря децентрализованной структуре отсутствует единый сервер, через который можно было бы изменить данные – любые изменения требуют согласия большинства участников сети. Это делает попытки взлома или подмены информации крайне затруднительными в течение ограниченного времени.</w:t>
      </w:r>
    </w:p>
    <w:p w14:paraId="413AB4C1"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В последние годы наблюдается тенденция к постепенному включению блокчейн-решений в экономические и административные процессы России. Перспективы технологии активно рассматриваются в рамках правительственных инициатив, а также обсуждаются на уровне Центрального банка и Государственной Думы. Как подчеркнула председатель Банка России Эльвира Набиуллина, текущая позиция регулятора заключается не в ограничении развития крипто технологий, а в их аналитическом осмыслении и оценке потенциального применения. В данном контексте важно отметить, что Банк России не рассматривает криптовалюты как замену традиционным финансовым инструментам, а видит в них лишь технологическую инновацию, которая в будущем может найти свое применение в разных сферах. Однако большая часть населения пока недостаточно осведомлена о возможностях блокчейна и его значении для будущей экономики.</w:t>
      </w:r>
    </w:p>
    <w:p w14:paraId="04352C0E"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Уже сейчас видно, что без понимания принципов работы распределённых реестров будет сложно ориентироваться в современном финансовом мире. Эмиссия криптовалют, основанных на блокчейне, становится частью новой экономической реальности.</w:t>
      </w:r>
    </w:p>
    <w:p w14:paraId="06E7C3B2"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Центральный банк России рассматривает возможности пилотного внедрения блокчейн-решений в таких направлениях, как цифровые гарантии, система KYC, электронные аккредитивы и другие сферы, где важны прозрачность и безопасность [1].</w:t>
      </w:r>
    </w:p>
    <w:p w14:paraId="044B3665"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 xml:space="preserve">Таким образом на сегодня блокчейн-технология действительно несёт в себе большие перспективы, даже для отечественного бизнеса, где всё происходит куда более медленно. Самой главной проблемой в этом деле выступают средства, на которые должны будут реализоваться подобные проекты. Финансовые затраты на реализацию коммерческого проекта с использованием технологии блокчейн </w:t>
      </w:r>
      <w:r w:rsidRPr="005D2A8F">
        <w:rPr>
          <w:rFonts w:ascii="Times New Roman" w:eastAsia="Times New Roman" w:hAnsi="Times New Roman" w:cs="Times New Roman"/>
          <w:sz w:val="32"/>
          <w:szCs w:val="32"/>
        </w:rPr>
        <w:lastRenderedPageBreak/>
        <w:t>определяются индивидуально в каждом конкретном случае. На стоимость влияют такие параметры, как страна разработки, состав команды, сфера применения, масштаб и цели проекта, а также ряд других факторов.</w:t>
      </w:r>
    </w:p>
    <w:p w14:paraId="5472730B" w14:textId="77777777" w:rsidR="005D2A8F" w:rsidRPr="005D2A8F" w:rsidRDefault="005D2A8F" w:rsidP="005D2A8F">
      <w:pPr>
        <w:suppressAutoHyphens/>
        <w:spacing w:after="0" w:line="240" w:lineRule="auto"/>
        <w:ind w:right="-1" w:firstLine="567"/>
        <w:contextualSpacing/>
        <w:jc w:val="both"/>
        <w:rPr>
          <w:rFonts w:ascii="Times New Roman" w:eastAsia="Times New Roman" w:hAnsi="Times New Roman" w:cs="Times New Roman"/>
          <w:sz w:val="32"/>
          <w:szCs w:val="32"/>
        </w:rPr>
      </w:pPr>
      <w:r w:rsidRPr="005D2A8F">
        <w:rPr>
          <w:rFonts w:ascii="Times New Roman" w:eastAsia="Times New Roman" w:hAnsi="Times New Roman" w:cs="Times New Roman"/>
          <w:sz w:val="32"/>
          <w:szCs w:val="32"/>
        </w:rPr>
        <w:t>Например, создание простого смарт-контракта – программного решения, обеспечивающего автоматическое выполнение условий сделки в блокчейн-среде – может обойтись в сумму от 200 до 1000 долл. В то же время запуск крупного децентрализованного приложения, сопоставимого по функциональности с платформами уровня приложения «Uber», потребует инвестиций не менее 220 тыс. долл. Разработка децентрализованных приложений «DApps», использующих блокчейн, начинается от 1000 долл., тогда как развёртывание собственного токена на основе стандарта ERC20 потребует затрат от 10 000 долларов и выше [3].</w:t>
      </w:r>
    </w:p>
    <w:p w14:paraId="45B4493C" w14:textId="77777777" w:rsidR="005D2A8F" w:rsidRPr="005D2A8F" w:rsidRDefault="00132A69" w:rsidP="005D2A8F">
      <w:pPr>
        <w:suppressAutoHyphens/>
        <w:spacing w:after="0" w:line="240" w:lineRule="auto"/>
        <w:ind w:right="-1" w:firstLine="567"/>
        <w:contextualSpacing/>
        <w:jc w:val="both"/>
        <w:rPr>
          <w:rFonts w:ascii="Times New Roman" w:eastAsia="Aptos" w:hAnsi="Times New Roman" w:cs="Times New Roman"/>
          <w:sz w:val="32"/>
          <w:szCs w:val="32"/>
        </w:rPr>
      </w:pPr>
      <w:hyperlink r:id="rId429">
        <w:r w:rsidR="005D2A8F" w:rsidRPr="005D2A8F">
          <w:rPr>
            <w:rFonts w:ascii="Times New Roman" w:eastAsia="Aptos" w:hAnsi="Times New Roman" w:cs="Times New Roman"/>
            <w:sz w:val="32"/>
            <w:szCs w:val="32"/>
          </w:rPr>
          <w:t>Наиболее бюджетные цены у команд из Индии, Китая и Восточной Европы – их можно нанять за 10000 долл. Средняя цена услуг у европейских разработчиков – 30000 долл. Самые дорогие специалисты – из США, стоимость их услуг начинается от 50000</w:t>
        </w:r>
      </w:hyperlink>
      <w:r w:rsidR="005D2A8F" w:rsidRPr="005D2A8F">
        <w:rPr>
          <w:rFonts w:ascii="Times New Roman" w:eastAsia="Aptos" w:hAnsi="Times New Roman" w:cs="Times New Roman"/>
          <w:sz w:val="32"/>
          <w:szCs w:val="32"/>
        </w:rPr>
        <w:t xml:space="preserve"> долл. [3].</w:t>
      </w:r>
    </w:p>
    <w:p w14:paraId="306A4D47" w14:textId="77777777" w:rsidR="005D2A8F" w:rsidRPr="005D2A8F" w:rsidRDefault="005D2A8F" w:rsidP="005D2A8F">
      <w:pPr>
        <w:suppressAutoHyphens/>
        <w:spacing w:after="0" w:line="240" w:lineRule="auto"/>
        <w:ind w:right="-1" w:firstLine="567"/>
        <w:contextualSpacing/>
        <w:jc w:val="both"/>
        <w:rPr>
          <w:rFonts w:ascii="Times New Roman" w:eastAsia="Aptos" w:hAnsi="Times New Roman" w:cs="Times New Roman"/>
          <w:sz w:val="32"/>
          <w:szCs w:val="32"/>
        </w:rPr>
      </w:pPr>
      <w:r w:rsidRPr="005D2A8F">
        <w:rPr>
          <w:rFonts w:ascii="Times New Roman" w:eastAsia="Aptos" w:hAnsi="Times New Roman" w:cs="Times New Roman"/>
          <w:sz w:val="32"/>
          <w:szCs w:val="32"/>
        </w:rPr>
        <w:t>Таким образом, блокчейн-технология представляет собой перспективный инструмент для повышения прозрачности, безопасности и эффективности цифровых процессов в различных сферах. В России её внедрение пока ограничено масштабом и инвестиционными возможностями, однако уже наблюдается устойчивый интерес со стороны крупнейших компаний и государственных структур. При наличии соответствующей инфраструктуры и кадрового потенциала блокчейн способен занять значимое место в цифровой экономике страны.</w:t>
      </w:r>
    </w:p>
    <w:p w14:paraId="79236565" w14:textId="77777777" w:rsidR="005D2A8F" w:rsidRPr="005D2A8F" w:rsidRDefault="005D2A8F" w:rsidP="005D2A8F">
      <w:pPr>
        <w:suppressAutoHyphens/>
        <w:spacing w:after="0" w:line="240" w:lineRule="auto"/>
        <w:ind w:right="-1"/>
        <w:contextualSpacing/>
        <w:jc w:val="both"/>
        <w:rPr>
          <w:rFonts w:ascii="Times New Roman" w:eastAsia="Times New Roman" w:hAnsi="Times New Roman" w:cs="Times New Roman"/>
          <w:sz w:val="32"/>
          <w:szCs w:val="32"/>
        </w:rPr>
      </w:pPr>
    </w:p>
    <w:p w14:paraId="5DF5D444" w14:textId="77777777" w:rsidR="005D2A8F" w:rsidRPr="005D2A8F" w:rsidRDefault="005D2A8F" w:rsidP="005D2A8F">
      <w:pPr>
        <w:suppressAutoHyphens/>
        <w:spacing w:after="0" w:line="240" w:lineRule="auto"/>
        <w:ind w:firstLine="709"/>
        <w:jc w:val="center"/>
        <w:rPr>
          <w:rFonts w:ascii="Aptos" w:eastAsia="Aptos" w:hAnsi="Aptos" w:cs="Aptos"/>
          <w:sz w:val="24"/>
          <w:szCs w:val="24"/>
        </w:rPr>
      </w:pPr>
      <w:r w:rsidRPr="005D2A8F">
        <w:rPr>
          <w:rFonts w:ascii="Times New Roman" w:eastAsia="Aptos" w:hAnsi="Times New Roman" w:cs="Aptos"/>
          <w:b/>
          <w:sz w:val="21"/>
          <w:szCs w:val="21"/>
        </w:rPr>
        <w:t>Литература:</w:t>
      </w:r>
    </w:p>
    <w:p w14:paraId="3ADD2938" w14:textId="77777777" w:rsidR="005D2A8F" w:rsidRPr="005D2A8F" w:rsidRDefault="005D2A8F" w:rsidP="00AD58CD">
      <w:pPr>
        <w:pStyle w:val="a8"/>
        <w:numPr>
          <w:ilvl w:val="0"/>
          <w:numId w:val="88"/>
        </w:numPr>
        <w:tabs>
          <w:tab w:val="left" w:pos="1125"/>
        </w:tabs>
        <w:suppressAutoHyphens/>
        <w:spacing w:after="0" w:line="240" w:lineRule="auto"/>
        <w:ind w:left="142" w:hanging="284"/>
        <w:jc w:val="both"/>
        <w:rPr>
          <w:rFonts w:ascii="Times New Roman" w:eastAsia="Times New Roman" w:hAnsi="Times New Roman" w:cs="Times New Roman"/>
          <w:sz w:val="21"/>
          <w:szCs w:val="21"/>
          <w:lang w:eastAsia="ar-SA"/>
        </w:rPr>
      </w:pPr>
      <w:r w:rsidRPr="005D2A8F">
        <w:rPr>
          <w:rFonts w:ascii="Times New Roman" w:eastAsia="Times New Roman" w:hAnsi="Times New Roman" w:cs="Times New Roman"/>
          <w:sz w:val="21"/>
          <w:szCs w:val="21"/>
          <w:lang w:eastAsia="ar-SA"/>
        </w:rPr>
        <w:t xml:space="preserve">«Понятие блокчейн и возможности его использования» Федотова В.В.1, Емельянов Б.Г.2, Типнер Л.М.3 </w:t>
      </w:r>
    </w:p>
    <w:p w14:paraId="51830E21" w14:textId="77777777" w:rsidR="005D2A8F" w:rsidRPr="005D2A8F" w:rsidRDefault="005D2A8F" w:rsidP="00AD58CD">
      <w:pPr>
        <w:pStyle w:val="a8"/>
        <w:numPr>
          <w:ilvl w:val="0"/>
          <w:numId w:val="88"/>
        </w:numPr>
        <w:tabs>
          <w:tab w:val="left" w:pos="1125"/>
        </w:tabs>
        <w:suppressAutoHyphens/>
        <w:spacing w:after="0" w:line="240" w:lineRule="auto"/>
        <w:ind w:left="142" w:hanging="284"/>
        <w:jc w:val="both"/>
        <w:rPr>
          <w:rFonts w:ascii="Times New Roman" w:eastAsia="Times New Roman" w:hAnsi="Times New Roman" w:cs="Times New Roman"/>
          <w:sz w:val="21"/>
          <w:szCs w:val="21"/>
          <w:lang w:eastAsia="ar-SA"/>
        </w:rPr>
      </w:pPr>
      <w:r w:rsidRPr="005D2A8F">
        <w:rPr>
          <w:rFonts w:ascii="Times New Roman" w:eastAsia="Times New Roman" w:hAnsi="Times New Roman" w:cs="Times New Roman"/>
          <w:sz w:val="21"/>
          <w:szCs w:val="21"/>
          <w:lang w:eastAsia="ar-SA"/>
        </w:rPr>
        <w:t>«Анализ возможностей технологии блокчейн в управлении данными» Канатьев К.Н.1, Большаков В.Н.2, Анисимов А.Р.3, Скоморохина Е.Р.4, Чикенев С.Д.5</w:t>
      </w:r>
    </w:p>
    <w:p w14:paraId="2BC1D817" w14:textId="77777777" w:rsidR="005D2A8F" w:rsidRPr="005D2A8F" w:rsidRDefault="005D2A8F" w:rsidP="00AD58CD">
      <w:pPr>
        <w:pStyle w:val="a8"/>
        <w:numPr>
          <w:ilvl w:val="0"/>
          <w:numId w:val="88"/>
        </w:numPr>
        <w:tabs>
          <w:tab w:val="left" w:pos="1125"/>
        </w:tabs>
        <w:suppressAutoHyphens/>
        <w:spacing w:after="0" w:line="240" w:lineRule="auto"/>
        <w:ind w:left="142" w:hanging="284"/>
        <w:jc w:val="both"/>
        <w:rPr>
          <w:rFonts w:ascii="Times New Roman" w:eastAsia="Times New Roman" w:hAnsi="Times New Roman" w:cs="Times New Roman"/>
          <w:sz w:val="21"/>
          <w:szCs w:val="21"/>
          <w:lang w:eastAsia="ar-SA"/>
        </w:rPr>
      </w:pPr>
      <w:r w:rsidRPr="005D2A8F">
        <w:rPr>
          <w:rFonts w:ascii="Times New Roman" w:eastAsia="Times New Roman" w:hAnsi="Times New Roman" w:cs="Times New Roman"/>
          <w:bCs/>
          <w:sz w:val="21"/>
          <w:szCs w:val="21"/>
          <w:lang w:eastAsia="ar-SA"/>
        </w:rPr>
        <w:t>«Как блокчейн меняет бизнес и какие ошибки при внедрении и риски стоит учесть» Мария Верховцева</w:t>
      </w:r>
    </w:p>
    <w:p w14:paraId="468BA480" w14:textId="77777777" w:rsidR="005D2A8F" w:rsidRPr="005D2A8F" w:rsidRDefault="005D2A8F" w:rsidP="00AD58CD">
      <w:pPr>
        <w:pStyle w:val="a8"/>
        <w:numPr>
          <w:ilvl w:val="0"/>
          <w:numId w:val="88"/>
        </w:numPr>
        <w:tabs>
          <w:tab w:val="left" w:pos="1125"/>
        </w:tabs>
        <w:suppressAutoHyphens/>
        <w:spacing w:after="0" w:line="240" w:lineRule="auto"/>
        <w:ind w:left="142" w:hanging="284"/>
        <w:jc w:val="both"/>
        <w:rPr>
          <w:rFonts w:ascii="Times New Roman" w:eastAsia="Times New Roman" w:hAnsi="Times New Roman" w:cs="Times New Roman"/>
          <w:sz w:val="21"/>
          <w:szCs w:val="21"/>
          <w:lang w:eastAsia="ar-SA"/>
        </w:rPr>
      </w:pPr>
      <w:r w:rsidRPr="005D2A8F">
        <w:rPr>
          <w:rFonts w:ascii="Times New Roman" w:eastAsia="Times New Roman" w:hAnsi="Times New Roman" w:cs="Times New Roman"/>
          <w:sz w:val="21"/>
          <w:szCs w:val="21"/>
          <w:lang w:eastAsia="ar-SA"/>
        </w:rPr>
        <w:t>«Применение технологии блокчейна на современных Российских промышленных предприятиях» Гостева О.В.1, Пацук О.В.2</w:t>
      </w:r>
    </w:p>
    <w:p w14:paraId="76329A8A" w14:textId="77777777" w:rsidR="005D2A8F" w:rsidRPr="005D2A8F" w:rsidRDefault="005D2A8F" w:rsidP="00AD58CD">
      <w:pPr>
        <w:pStyle w:val="a8"/>
        <w:numPr>
          <w:ilvl w:val="0"/>
          <w:numId w:val="88"/>
        </w:numPr>
        <w:tabs>
          <w:tab w:val="left" w:pos="1125"/>
        </w:tabs>
        <w:suppressAutoHyphens/>
        <w:spacing w:after="0" w:line="240" w:lineRule="auto"/>
        <w:ind w:left="142" w:hanging="284"/>
        <w:jc w:val="both"/>
        <w:rPr>
          <w:rFonts w:ascii="Times New Roman" w:eastAsia="Times New Roman" w:hAnsi="Times New Roman" w:cs="Times New Roman"/>
          <w:sz w:val="21"/>
          <w:szCs w:val="21"/>
          <w:lang w:eastAsia="ar-SA"/>
        </w:rPr>
      </w:pPr>
      <w:r w:rsidRPr="005D2A8F">
        <w:rPr>
          <w:rFonts w:ascii="Times New Roman" w:eastAsia="Times New Roman" w:hAnsi="Times New Roman" w:cs="Times New Roman"/>
          <w:sz w:val="21"/>
          <w:szCs w:val="21"/>
          <w:lang w:eastAsia="ar-SA"/>
        </w:rPr>
        <w:t>«Использование технологии блокчейн для развития цифрового рубля» Барабанов В.Ю.1, Шишкинская В.А.2</w:t>
      </w:r>
    </w:p>
    <w:p w14:paraId="0E5F8A62" w14:textId="77777777" w:rsidR="005D2A8F" w:rsidRDefault="005D2A8F" w:rsidP="005D2A8F">
      <w:pPr>
        <w:spacing w:after="0" w:line="240" w:lineRule="auto"/>
        <w:contextualSpacing/>
        <w:jc w:val="both"/>
        <w:rPr>
          <w:rFonts w:ascii="Times New Roman" w:eastAsia="Times New Roman" w:hAnsi="Times New Roman" w:cs="Times New Roman"/>
          <w:color w:val="000000"/>
          <w:sz w:val="28"/>
          <w:szCs w:val="28"/>
          <w:lang w:eastAsia="ru-RU"/>
        </w:rPr>
      </w:pPr>
    </w:p>
    <w:p w14:paraId="355918C3" w14:textId="631332AD" w:rsidR="008A6AE9" w:rsidRPr="008A6AE9" w:rsidRDefault="008A6AE9" w:rsidP="008A6AE9">
      <w:pPr>
        <w:spacing w:after="0" w:line="240" w:lineRule="auto"/>
        <w:jc w:val="both"/>
        <w:rPr>
          <w:rFonts w:ascii="Times New Roman" w:hAnsi="Times New Roman" w:cs="Times New Roman"/>
          <w:b/>
          <w:color w:val="000000"/>
          <w:sz w:val="21"/>
          <w:szCs w:val="21"/>
          <w:lang w:eastAsia="zh-CN"/>
        </w:rPr>
      </w:pPr>
    </w:p>
    <w:p w14:paraId="3617C2AA" w14:textId="77777777" w:rsidR="008A6AE9" w:rsidRPr="008A6AE9" w:rsidRDefault="008A6AE9" w:rsidP="00485A13">
      <w:pPr>
        <w:spacing w:after="0" w:line="240" w:lineRule="auto"/>
        <w:jc w:val="right"/>
        <w:rPr>
          <w:rFonts w:ascii="Times New Roman" w:hAnsi="Times New Roman" w:cs="Times New Roman"/>
          <w:i/>
          <w:color w:val="000000"/>
          <w:sz w:val="21"/>
          <w:szCs w:val="21"/>
          <w:lang w:eastAsia="zh-CN"/>
        </w:rPr>
      </w:pPr>
      <w:r w:rsidRPr="008A6AE9">
        <w:rPr>
          <w:rFonts w:ascii="Times New Roman" w:hAnsi="Times New Roman" w:cs="Times New Roman"/>
          <w:b/>
          <w:i/>
          <w:color w:val="000000"/>
          <w:sz w:val="21"/>
          <w:szCs w:val="21"/>
          <w:lang w:eastAsia="zh-CN"/>
        </w:rPr>
        <w:t xml:space="preserve">Уфимцева Е.А., </w:t>
      </w:r>
    </w:p>
    <w:p w14:paraId="4893B4B8" w14:textId="77777777" w:rsidR="008A6AE9" w:rsidRPr="008A6AE9" w:rsidRDefault="008A6AE9" w:rsidP="00485A13">
      <w:pPr>
        <w:spacing w:after="0" w:line="240" w:lineRule="auto"/>
        <w:jc w:val="right"/>
        <w:rPr>
          <w:rFonts w:ascii="Times New Roman" w:hAnsi="Times New Roman" w:cs="Times New Roman"/>
          <w:i/>
          <w:color w:val="000000"/>
          <w:sz w:val="21"/>
          <w:szCs w:val="21"/>
          <w:lang w:eastAsia="zh-CN"/>
        </w:rPr>
      </w:pPr>
      <w:r w:rsidRPr="008A6AE9">
        <w:rPr>
          <w:rFonts w:ascii="Times New Roman" w:hAnsi="Times New Roman" w:cs="Times New Roman"/>
          <w:i/>
          <w:color w:val="000000"/>
          <w:sz w:val="21"/>
          <w:szCs w:val="21"/>
          <w:lang w:eastAsia="zh-CN"/>
        </w:rPr>
        <w:t xml:space="preserve">студент 2 курса </w:t>
      </w:r>
    </w:p>
    <w:p w14:paraId="6588E330" w14:textId="77777777" w:rsidR="008A6AE9" w:rsidRPr="008A6AE9" w:rsidRDefault="008A6AE9" w:rsidP="00485A13">
      <w:pPr>
        <w:spacing w:after="0" w:line="240" w:lineRule="auto"/>
        <w:jc w:val="right"/>
        <w:rPr>
          <w:rFonts w:ascii="Times New Roman" w:hAnsi="Times New Roman" w:cs="Times New Roman"/>
          <w:i/>
          <w:color w:val="000000"/>
          <w:sz w:val="21"/>
          <w:szCs w:val="21"/>
          <w:lang w:eastAsia="zh-CN"/>
        </w:rPr>
      </w:pPr>
      <w:r w:rsidRPr="008A6AE9">
        <w:rPr>
          <w:rFonts w:ascii="Times New Roman" w:hAnsi="Times New Roman" w:cs="Times New Roman"/>
          <w:i/>
          <w:color w:val="000000"/>
          <w:sz w:val="21"/>
          <w:szCs w:val="21"/>
          <w:lang w:eastAsia="zh-CN"/>
        </w:rPr>
        <w:t xml:space="preserve">Краснодарский филиал ФГБОУ ВО Финансового университета при Правительстве РФ </w:t>
      </w:r>
    </w:p>
    <w:p w14:paraId="4F809B4D" w14:textId="77777777" w:rsidR="008A6AE9" w:rsidRPr="008A6AE9" w:rsidRDefault="008A6AE9" w:rsidP="00485A13">
      <w:pPr>
        <w:spacing w:after="0" w:line="240" w:lineRule="auto"/>
        <w:jc w:val="right"/>
        <w:rPr>
          <w:rFonts w:ascii="Times New Roman" w:hAnsi="Times New Roman" w:cs="Times New Roman"/>
          <w:i/>
          <w:color w:val="000000"/>
          <w:sz w:val="21"/>
          <w:szCs w:val="21"/>
          <w:lang w:eastAsia="zh-CN"/>
        </w:rPr>
      </w:pPr>
      <w:r w:rsidRPr="008A6AE9">
        <w:rPr>
          <w:rFonts w:ascii="Times New Roman" w:hAnsi="Times New Roman" w:cs="Times New Roman"/>
          <w:i/>
          <w:color w:val="000000"/>
          <w:sz w:val="21"/>
          <w:szCs w:val="21"/>
          <w:lang w:eastAsia="zh-CN"/>
        </w:rPr>
        <w:t xml:space="preserve">г. Краснодар, Россия </w:t>
      </w:r>
    </w:p>
    <w:p w14:paraId="13D2C446"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r w:rsidRPr="008A6AE9">
        <w:rPr>
          <w:rFonts w:ascii="Times New Roman" w:hAnsi="Times New Roman" w:cs="Times New Roman"/>
          <w:i/>
          <w:sz w:val="21"/>
          <w:szCs w:val="21"/>
          <w:lang w:eastAsia="zh-CN"/>
        </w:rPr>
        <w:t>е-</w:t>
      </w:r>
      <w:r w:rsidRPr="008A6AE9">
        <w:rPr>
          <w:rFonts w:ascii="Times New Roman" w:hAnsi="Times New Roman" w:cs="Times New Roman"/>
          <w:i/>
          <w:sz w:val="21"/>
          <w:szCs w:val="21"/>
          <w:lang w:val="en-US" w:eastAsia="zh-CN"/>
        </w:rPr>
        <w:t>mail</w:t>
      </w:r>
      <w:r w:rsidRPr="008A6AE9">
        <w:rPr>
          <w:rFonts w:ascii="Times New Roman" w:hAnsi="Times New Roman" w:cs="Times New Roman"/>
          <w:i/>
          <w:sz w:val="21"/>
          <w:szCs w:val="21"/>
          <w:lang w:eastAsia="zh-CN"/>
        </w:rPr>
        <w:t xml:space="preserve">: </w:t>
      </w:r>
      <w:r w:rsidRPr="008A6AE9">
        <w:rPr>
          <w:rFonts w:ascii="Times New Roman" w:hAnsi="Times New Roman" w:cs="Times New Roman"/>
          <w:i/>
          <w:color w:val="0000FF"/>
          <w:sz w:val="21"/>
          <w:szCs w:val="21"/>
          <w:u w:val="single"/>
          <w:lang w:val="en-US" w:eastAsia="zh-CN"/>
        </w:rPr>
        <w:t>ufimtsevak</w:t>
      </w:r>
      <w:r w:rsidRPr="008A6AE9">
        <w:rPr>
          <w:rFonts w:ascii="Times New Roman" w:hAnsi="Times New Roman" w:cs="Times New Roman"/>
          <w:i/>
          <w:color w:val="0000FF"/>
          <w:sz w:val="21"/>
          <w:szCs w:val="21"/>
          <w:u w:val="single"/>
          <w:lang w:eastAsia="zh-CN"/>
        </w:rPr>
        <w:t>1@</w:t>
      </w:r>
      <w:r w:rsidRPr="008A6AE9">
        <w:rPr>
          <w:rFonts w:ascii="Times New Roman" w:hAnsi="Times New Roman" w:cs="Times New Roman"/>
          <w:i/>
          <w:color w:val="0000FF"/>
          <w:sz w:val="21"/>
          <w:szCs w:val="21"/>
          <w:u w:val="single"/>
          <w:lang w:val="en-US" w:eastAsia="zh-CN"/>
        </w:rPr>
        <w:t>gmail</w:t>
      </w:r>
      <w:r w:rsidRPr="008A6AE9">
        <w:rPr>
          <w:rFonts w:ascii="Times New Roman" w:hAnsi="Times New Roman" w:cs="Times New Roman"/>
          <w:i/>
          <w:color w:val="0000FF"/>
          <w:sz w:val="21"/>
          <w:szCs w:val="21"/>
          <w:u w:val="single"/>
          <w:lang w:eastAsia="zh-CN"/>
        </w:rPr>
        <w:t>.</w:t>
      </w:r>
      <w:r w:rsidRPr="008A6AE9">
        <w:rPr>
          <w:rFonts w:ascii="Times New Roman" w:hAnsi="Times New Roman" w:cs="Times New Roman"/>
          <w:i/>
          <w:color w:val="0000FF"/>
          <w:sz w:val="21"/>
          <w:szCs w:val="21"/>
          <w:u w:val="single"/>
          <w:lang w:val="en-US" w:eastAsia="zh-CN"/>
        </w:rPr>
        <w:t>com</w:t>
      </w:r>
      <w:r w:rsidRPr="008A6AE9">
        <w:rPr>
          <w:rFonts w:ascii="Times New Roman" w:hAnsi="Times New Roman" w:cs="Times New Roman"/>
          <w:i/>
          <w:sz w:val="21"/>
          <w:szCs w:val="21"/>
          <w:lang w:eastAsia="zh-CN"/>
        </w:rPr>
        <w:t xml:space="preserve"> </w:t>
      </w:r>
    </w:p>
    <w:p w14:paraId="17C0691B"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p>
    <w:p w14:paraId="4B8CE2B6" w14:textId="77777777" w:rsidR="008A6AE9" w:rsidRPr="008A6AE9" w:rsidRDefault="008A6AE9" w:rsidP="00485A13">
      <w:pPr>
        <w:spacing w:after="0" w:line="240" w:lineRule="auto"/>
        <w:jc w:val="right"/>
        <w:rPr>
          <w:rFonts w:ascii="Times New Roman" w:hAnsi="Times New Roman" w:cs="Times New Roman"/>
          <w:b/>
          <w:i/>
          <w:sz w:val="21"/>
          <w:szCs w:val="21"/>
          <w:lang w:eastAsia="zh-CN"/>
        </w:rPr>
      </w:pPr>
      <w:r w:rsidRPr="008A6AE9">
        <w:rPr>
          <w:rFonts w:ascii="Times New Roman" w:hAnsi="Times New Roman" w:cs="Times New Roman"/>
          <w:b/>
          <w:i/>
          <w:sz w:val="21"/>
          <w:szCs w:val="21"/>
          <w:lang w:eastAsia="zh-CN"/>
        </w:rPr>
        <w:lastRenderedPageBreak/>
        <w:t>Научный руководитель:</w:t>
      </w:r>
    </w:p>
    <w:p w14:paraId="76E238E7" w14:textId="77777777" w:rsidR="008A6AE9" w:rsidRPr="008A6AE9" w:rsidRDefault="008A6AE9" w:rsidP="00485A13">
      <w:pPr>
        <w:spacing w:after="0" w:line="240" w:lineRule="auto"/>
        <w:jc w:val="right"/>
        <w:rPr>
          <w:rFonts w:ascii="Times New Roman" w:hAnsi="Times New Roman" w:cs="Times New Roman"/>
          <w:b/>
          <w:i/>
          <w:sz w:val="21"/>
          <w:szCs w:val="21"/>
          <w:lang w:eastAsia="zh-CN"/>
        </w:rPr>
      </w:pPr>
      <w:r w:rsidRPr="008A6AE9">
        <w:rPr>
          <w:rFonts w:ascii="Times New Roman" w:hAnsi="Times New Roman" w:cs="Times New Roman"/>
          <w:b/>
          <w:i/>
          <w:sz w:val="21"/>
          <w:szCs w:val="21"/>
          <w:lang w:eastAsia="zh-CN"/>
        </w:rPr>
        <w:t>Самойленкова В.А.,</w:t>
      </w:r>
    </w:p>
    <w:p w14:paraId="5FADFF7C"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r w:rsidRPr="008A6AE9">
        <w:rPr>
          <w:rFonts w:ascii="Times New Roman" w:hAnsi="Times New Roman" w:cs="Times New Roman"/>
          <w:b/>
          <w:i/>
          <w:sz w:val="21"/>
          <w:szCs w:val="21"/>
          <w:lang w:eastAsia="zh-CN"/>
        </w:rPr>
        <w:t xml:space="preserve"> </w:t>
      </w:r>
      <w:r w:rsidRPr="008A6AE9">
        <w:rPr>
          <w:rFonts w:ascii="Times New Roman" w:hAnsi="Times New Roman" w:cs="Times New Roman"/>
          <w:i/>
          <w:sz w:val="21"/>
          <w:szCs w:val="21"/>
          <w:lang w:eastAsia="zh-CN"/>
        </w:rPr>
        <w:t xml:space="preserve">Кандидат педагогических наук, </w:t>
      </w:r>
    </w:p>
    <w:p w14:paraId="312F24C5"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r w:rsidRPr="008A6AE9">
        <w:rPr>
          <w:rFonts w:ascii="Times New Roman" w:hAnsi="Times New Roman" w:cs="Times New Roman"/>
          <w:i/>
          <w:sz w:val="21"/>
          <w:szCs w:val="21"/>
          <w:lang w:eastAsia="zh-CN"/>
        </w:rPr>
        <w:t xml:space="preserve">Старший преподаватель кафедры «Математика и информатика» </w:t>
      </w:r>
    </w:p>
    <w:p w14:paraId="78A2628B"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r w:rsidRPr="008A6AE9">
        <w:rPr>
          <w:rFonts w:ascii="Times New Roman" w:hAnsi="Times New Roman" w:cs="Times New Roman"/>
          <w:i/>
          <w:sz w:val="21"/>
          <w:szCs w:val="21"/>
          <w:lang w:eastAsia="zh-CN"/>
        </w:rPr>
        <w:t xml:space="preserve">Краснодарский филиал ФГБОУ ВО Финансового университета при Правительстве РФ </w:t>
      </w:r>
    </w:p>
    <w:p w14:paraId="08AB6B8E" w14:textId="77777777" w:rsidR="008A6AE9" w:rsidRPr="008A6AE9" w:rsidRDefault="008A6AE9" w:rsidP="00485A13">
      <w:pPr>
        <w:spacing w:after="0" w:line="240" w:lineRule="auto"/>
        <w:jc w:val="right"/>
        <w:rPr>
          <w:rFonts w:ascii="Times New Roman" w:hAnsi="Times New Roman" w:cs="Times New Roman"/>
          <w:i/>
          <w:sz w:val="21"/>
          <w:szCs w:val="21"/>
          <w:lang w:eastAsia="zh-CN"/>
        </w:rPr>
      </w:pPr>
      <w:r w:rsidRPr="008A6AE9">
        <w:rPr>
          <w:rFonts w:ascii="Times New Roman" w:hAnsi="Times New Roman" w:cs="Times New Roman"/>
          <w:i/>
          <w:sz w:val="21"/>
          <w:szCs w:val="21"/>
          <w:lang w:eastAsia="zh-CN"/>
        </w:rPr>
        <w:t xml:space="preserve">г. Краснодар, Россия </w:t>
      </w:r>
    </w:p>
    <w:p w14:paraId="3349E035" w14:textId="77777777" w:rsidR="008A6AE9" w:rsidRPr="008A6AE9" w:rsidRDefault="008A6AE9" w:rsidP="00485A13">
      <w:pPr>
        <w:spacing w:after="0" w:line="240" w:lineRule="auto"/>
        <w:jc w:val="right"/>
        <w:textAlignment w:val="baseline"/>
        <w:rPr>
          <w:rFonts w:ascii="Times New Roman" w:hAnsi="Times New Roman" w:cs="Times New Roman"/>
          <w:i/>
          <w:sz w:val="21"/>
          <w:szCs w:val="21"/>
          <w:lang w:eastAsia="zh-CN"/>
        </w:rPr>
      </w:pPr>
      <w:r w:rsidRPr="008A6AE9">
        <w:rPr>
          <w:rFonts w:ascii="Times New Roman" w:hAnsi="Times New Roman" w:cs="Times New Roman"/>
          <w:i/>
          <w:sz w:val="21"/>
          <w:szCs w:val="21"/>
          <w:lang w:eastAsia="zh-CN"/>
        </w:rPr>
        <w:t>е-</w:t>
      </w:r>
      <w:r w:rsidRPr="008A6AE9">
        <w:rPr>
          <w:rFonts w:ascii="Times New Roman" w:hAnsi="Times New Roman" w:cs="Times New Roman"/>
          <w:i/>
          <w:sz w:val="21"/>
          <w:szCs w:val="21"/>
          <w:lang w:val="en-US" w:eastAsia="zh-CN"/>
        </w:rPr>
        <w:t>mail</w:t>
      </w:r>
      <w:r w:rsidRPr="008A6AE9">
        <w:rPr>
          <w:rFonts w:ascii="Times New Roman" w:hAnsi="Times New Roman" w:cs="Times New Roman"/>
          <w:i/>
          <w:sz w:val="21"/>
          <w:szCs w:val="21"/>
          <w:lang w:eastAsia="zh-CN"/>
        </w:rPr>
        <w:t xml:space="preserve">: </w:t>
      </w:r>
      <w:r w:rsidRPr="008A6AE9">
        <w:rPr>
          <w:rFonts w:ascii="Times New Roman" w:hAnsi="Times New Roman" w:cs="Times New Roman"/>
          <w:i/>
          <w:color w:val="0000FF"/>
          <w:sz w:val="21"/>
          <w:szCs w:val="21"/>
          <w:u w:val="single"/>
          <w:lang w:val="en-US" w:eastAsia="zh-CN"/>
        </w:rPr>
        <w:t>vasamojlenkova</w:t>
      </w:r>
      <w:r w:rsidRPr="008A6AE9">
        <w:rPr>
          <w:rFonts w:ascii="Times New Roman" w:hAnsi="Times New Roman" w:cs="Times New Roman"/>
          <w:i/>
          <w:color w:val="0000FF"/>
          <w:sz w:val="21"/>
          <w:szCs w:val="21"/>
          <w:u w:val="single"/>
          <w:lang w:eastAsia="zh-CN"/>
        </w:rPr>
        <w:t>@</w:t>
      </w:r>
      <w:r w:rsidRPr="008A6AE9">
        <w:rPr>
          <w:rFonts w:ascii="Times New Roman" w:hAnsi="Times New Roman" w:cs="Times New Roman"/>
          <w:i/>
          <w:color w:val="0000FF"/>
          <w:sz w:val="21"/>
          <w:szCs w:val="21"/>
          <w:u w:val="single"/>
          <w:lang w:val="en-US" w:eastAsia="zh-CN"/>
        </w:rPr>
        <w:t>fa</w:t>
      </w:r>
      <w:r w:rsidRPr="008A6AE9">
        <w:rPr>
          <w:rFonts w:ascii="Times New Roman" w:hAnsi="Times New Roman" w:cs="Times New Roman"/>
          <w:i/>
          <w:color w:val="0000FF"/>
          <w:sz w:val="21"/>
          <w:szCs w:val="21"/>
          <w:u w:val="single"/>
          <w:lang w:eastAsia="zh-CN"/>
        </w:rPr>
        <w:t>.</w:t>
      </w:r>
      <w:r w:rsidRPr="008A6AE9">
        <w:rPr>
          <w:rFonts w:ascii="Times New Roman" w:hAnsi="Times New Roman" w:cs="Times New Roman"/>
          <w:i/>
          <w:color w:val="0000FF"/>
          <w:sz w:val="21"/>
          <w:szCs w:val="21"/>
          <w:u w:val="single"/>
          <w:lang w:val="en-US" w:eastAsia="zh-CN"/>
        </w:rPr>
        <w:t>ru</w:t>
      </w:r>
    </w:p>
    <w:p w14:paraId="342B1EE1" w14:textId="77777777" w:rsidR="008A6AE9" w:rsidRPr="008A6AE9" w:rsidRDefault="008A6AE9" w:rsidP="00485A13">
      <w:pPr>
        <w:spacing w:after="0" w:line="240" w:lineRule="auto"/>
        <w:jc w:val="center"/>
        <w:rPr>
          <w:rFonts w:ascii="Times New Roman" w:hAnsi="Times New Roman" w:cs="Times New Roman"/>
          <w:b/>
          <w:sz w:val="21"/>
          <w:szCs w:val="21"/>
          <w:lang w:eastAsia="zh-CN"/>
        </w:rPr>
      </w:pPr>
    </w:p>
    <w:p w14:paraId="754C7E78" w14:textId="77777777" w:rsidR="008A6AE9" w:rsidRPr="008A6AE9" w:rsidRDefault="008A6AE9" w:rsidP="00485A13">
      <w:pPr>
        <w:spacing w:after="0" w:line="240" w:lineRule="auto"/>
        <w:ind w:firstLine="567"/>
        <w:jc w:val="center"/>
        <w:rPr>
          <w:rFonts w:ascii="Times New Roman" w:hAnsi="Times New Roman" w:cs="Times New Roman"/>
          <w:b/>
          <w:sz w:val="21"/>
          <w:szCs w:val="21"/>
        </w:rPr>
      </w:pPr>
      <w:r w:rsidRPr="008A6AE9">
        <w:rPr>
          <w:rFonts w:ascii="Times New Roman" w:hAnsi="Times New Roman" w:cs="Times New Roman"/>
          <w:b/>
          <w:sz w:val="21"/>
          <w:szCs w:val="21"/>
        </w:rPr>
        <w:t>Анализ эффективности ERP-систем для малого и среднего бизнеса</w:t>
      </w:r>
    </w:p>
    <w:p w14:paraId="129CAE8B" w14:textId="77777777" w:rsidR="008A6AE9" w:rsidRPr="008A6AE9" w:rsidRDefault="008A6AE9" w:rsidP="00485A13">
      <w:pPr>
        <w:spacing w:after="0" w:line="240" w:lineRule="auto"/>
        <w:ind w:firstLine="567"/>
        <w:jc w:val="both"/>
        <w:rPr>
          <w:rFonts w:ascii="Times New Roman" w:hAnsi="Times New Roman" w:cs="Times New Roman"/>
          <w:i/>
          <w:sz w:val="21"/>
          <w:szCs w:val="21"/>
          <w:shd w:val="clear" w:color="auto" w:fill="00FFFF"/>
          <w:lang w:eastAsia="zh-CN"/>
        </w:rPr>
      </w:pPr>
    </w:p>
    <w:p w14:paraId="1FE0C22C" w14:textId="77777777" w:rsidR="008A6AE9" w:rsidRPr="008A6AE9" w:rsidRDefault="008A6AE9" w:rsidP="00485A13">
      <w:pPr>
        <w:spacing w:after="0" w:line="240" w:lineRule="auto"/>
        <w:ind w:firstLine="567"/>
        <w:jc w:val="both"/>
        <w:rPr>
          <w:rFonts w:ascii="Times New Roman" w:hAnsi="Times New Roman" w:cs="Times New Roman"/>
          <w:sz w:val="21"/>
          <w:szCs w:val="21"/>
        </w:rPr>
      </w:pPr>
      <w:r w:rsidRPr="008A6AE9">
        <w:rPr>
          <w:rFonts w:ascii="Times New Roman" w:hAnsi="Times New Roman" w:cs="Times New Roman"/>
          <w:b/>
          <w:sz w:val="21"/>
          <w:szCs w:val="21"/>
          <w:lang w:eastAsia="zh-CN"/>
        </w:rPr>
        <w:t xml:space="preserve">Аннотация: </w:t>
      </w:r>
      <w:r w:rsidRPr="008A6AE9">
        <w:rPr>
          <w:rFonts w:ascii="Times New Roman" w:hAnsi="Times New Roman" w:cs="Times New Roman"/>
          <w:sz w:val="21"/>
          <w:szCs w:val="21"/>
        </w:rPr>
        <w:t>Целью статьи является оценка экономической и операционной эффективности ERP-систем в контексте малого и среднего бизнеса, а также предложение рекомендаций по их успешной интеграции.</w:t>
      </w:r>
    </w:p>
    <w:p w14:paraId="0C85C3E4" w14:textId="77777777" w:rsidR="008A6AE9" w:rsidRPr="008A6AE9" w:rsidRDefault="008A6AE9" w:rsidP="00485A13">
      <w:pPr>
        <w:spacing w:after="0" w:line="240" w:lineRule="auto"/>
        <w:ind w:firstLine="567"/>
        <w:jc w:val="both"/>
        <w:rPr>
          <w:rFonts w:ascii="Times New Roman" w:hAnsi="Times New Roman" w:cs="Times New Roman"/>
          <w:sz w:val="21"/>
          <w:szCs w:val="21"/>
          <w:lang w:eastAsia="zh-CN"/>
        </w:rPr>
      </w:pPr>
      <w:r w:rsidRPr="008A6AE9">
        <w:rPr>
          <w:rFonts w:ascii="Times New Roman" w:hAnsi="Times New Roman" w:cs="Times New Roman"/>
          <w:b/>
          <w:sz w:val="21"/>
          <w:szCs w:val="21"/>
          <w:lang w:eastAsia="zh-CN"/>
        </w:rPr>
        <w:t>Ключевые слова:</w:t>
      </w:r>
      <w:r w:rsidRPr="008A6AE9">
        <w:rPr>
          <w:rFonts w:ascii="Times New Roman" w:hAnsi="Times New Roman" w:cs="Times New Roman"/>
          <w:sz w:val="21"/>
          <w:szCs w:val="21"/>
          <w:lang w:eastAsia="zh-CN"/>
        </w:rPr>
        <w:t xml:space="preserve"> </w:t>
      </w:r>
      <w:r w:rsidRPr="008A6AE9">
        <w:rPr>
          <w:rFonts w:ascii="Times New Roman" w:hAnsi="Times New Roman" w:cs="Times New Roman"/>
          <w:sz w:val="21"/>
          <w:szCs w:val="21"/>
          <w:lang w:val="en-US" w:eastAsia="zh-CN"/>
        </w:rPr>
        <w:t>ERP</w:t>
      </w:r>
      <w:r w:rsidRPr="008A6AE9">
        <w:rPr>
          <w:rFonts w:ascii="Times New Roman" w:hAnsi="Times New Roman" w:cs="Times New Roman"/>
          <w:sz w:val="21"/>
          <w:szCs w:val="21"/>
          <w:lang w:eastAsia="zh-CN"/>
        </w:rPr>
        <w:t xml:space="preserve">-система, классификация </w:t>
      </w:r>
      <w:r w:rsidRPr="008A6AE9">
        <w:rPr>
          <w:rFonts w:ascii="Times New Roman" w:hAnsi="Times New Roman" w:cs="Times New Roman"/>
          <w:sz w:val="21"/>
          <w:szCs w:val="21"/>
          <w:lang w:val="en-US" w:eastAsia="zh-CN"/>
        </w:rPr>
        <w:t>ERP</w:t>
      </w:r>
      <w:r w:rsidRPr="008A6AE9">
        <w:rPr>
          <w:rFonts w:ascii="Times New Roman" w:hAnsi="Times New Roman" w:cs="Times New Roman"/>
          <w:sz w:val="21"/>
          <w:szCs w:val="21"/>
          <w:lang w:eastAsia="zh-CN"/>
        </w:rPr>
        <w:t>-систем, МСП, интеграция, автоматизация, эффективность.</w:t>
      </w:r>
    </w:p>
    <w:p w14:paraId="02B8B442" w14:textId="77777777" w:rsidR="008A6AE9" w:rsidRPr="008A6AE9" w:rsidRDefault="008A6AE9" w:rsidP="00485A13">
      <w:pPr>
        <w:spacing w:after="0" w:line="240" w:lineRule="auto"/>
        <w:ind w:firstLine="567"/>
        <w:jc w:val="right"/>
        <w:rPr>
          <w:rFonts w:ascii="Times New Roman" w:hAnsi="Times New Roman" w:cs="Times New Roman"/>
          <w:b/>
          <w:i/>
          <w:sz w:val="21"/>
          <w:szCs w:val="21"/>
          <w:lang w:val="en-US" w:eastAsia="zh-CN"/>
        </w:rPr>
      </w:pPr>
      <w:r w:rsidRPr="008A6AE9">
        <w:rPr>
          <w:rFonts w:ascii="Times New Roman" w:hAnsi="Times New Roman" w:cs="Times New Roman"/>
          <w:b/>
          <w:i/>
          <w:sz w:val="21"/>
          <w:szCs w:val="21"/>
          <w:lang w:val="en-US" w:eastAsia="zh-CN"/>
        </w:rPr>
        <w:t>Ufimtseva E.A.,</w:t>
      </w:r>
    </w:p>
    <w:p w14:paraId="02E804D3" w14:textId="77777777" w:rsidR="008A6AE9" w:rsidRPr="008A6AE9" w:rsidRDefault="008A6AE9" w:rsidP="00485A13">
      <w:pPr>
        <w:spacing w:after="0" w:line="240" w:lineRule="auto"/>
        <w:ind w:firstLine="567"/>
        <w:jc w:val="right"/>
        <w:rPr>
          <w:rFonts w:ascii="Times New Roman" w:hAnsi="Times New Roman" w:cs="Times New Roman"/>
          <w:b/>
          <w:i/>
          <w:sz w:val="21"/>
          <w:szCs w:val="21"/>
          <w:lang w:val="en-US" w:eastAsia="zh-CN"/>
        </w:rPr>
      </w:pPr>
      <w:r w:rsidRPr="008A6AE9">
        <w:rPr>
          <w:rFonts w:ascii="Times New Roman" w:hAnsi="Times New Roman" w:cs="Times New Roman"/>
          <w:i/>
          <w:sz w:val="21"/>
          <w:szCs w:val="21"/>
          <w:lang w:val="en-US" w:eastAsia="zh-CN"/>
        </w:rPr>
        <w:t>2nd year student</w:t>
      </w:r>
      <w:r w:rsidRPr="008A6AE9">
        <w:rPr>
          <w:rFonts w:ascii="Times New Roman" w:hAnsi="Times New Roman" w:cs="Times New Roman"/>
          <w:b/>
          <w:i/>
          <w:sz w:val="21"/>
          <w:szCs w:val="21"/>
          <w:lang w:val="en-US" w:eastAsia="zh-CN"/>
        </w:rPr>
        <w:t xml:space="preserve"> </w:t>
      </w:r>
    </w:p>
    <w:p w14:paraId="1A0DB2A7" w14:textId="77777777" w:rsidR="008A6AE9" w:rsidRPr="008A6AE9" w:rsidRDefault="008A6AE9" w:rsidP="00485A13">
      <w:pPr>
        <w:spacing w:after="0" w:line="240" w:lineRule="auto"/>
        <w:ind w:firstLine="567"/>
        <w:jc w:val="right"/>
        <w:rPr>
          <w:rFonts w:ascii="Times New Roman" w:hAnsi="Times New Roman" w:cs="Times New Roman"/>
          <w:i/>
          <w:sz w:val="21"/>
          <w:szCs w:val="21"/>
          <w:lang w:val="en-US" w:eastAsia="zh-CN"/>
        </w:rPr>
      </w:pPr>
      <w:r w:rsidRPr="008A6AE9">
        <w:rPr>
          <w:rFonts w:ascii="Times New Roman" w:hAnsi="Times New Roman" w:cs="Times New Roman"/>
          <w:i/>
          <w:sz w:val="21"/>
          <w:szCs w:val="21"/>
          <w:lang w:val="en-US" w:eastAsia="zh-CN"/>
        </w:rPr>
        <w:t xml:space="preserve">Financial University under the Government of the Russian Federation (Krasnodar branch) </w:t>
      </w:r>
    </w:p>
    <w:p w14:paraId="1A8B6A49" w14:textId="77777777" w:rsidR="008A6AE9" w:rsidRPr="008A6AE9" w:rsidRDefault="008A6AE9" w:rsidP="00485A13">
      <w:pPr>
        <w:spacing w:after="0" w:line="240" w:lineRule="auto"/>
        <w:ind w:firstLine="567"/>
        <w:jc w:val="right"/>
        <w:rPr>
          <w:rFonts w:ascii="Times New Roman" w:hAnsi="Times New Roman" w:cs="Times New Roman"/>
          <w:i/>
          <w:sz w:val="21"/>
          <w:szCs w:val="21"/>
          <w:lang w:val="en-US" w:eastAsia="zh-CN"/>
        </w:rPr>
      </w:pPr>
      <w:r w:rsidRPr="008A6AE9">
        <w:rPr>
          <w:rFonts w:ascii="Times New Roman" w:hAnsi="Times New Roman" w:cs="Times New Roman"/>
          <w:i/>
          <w:sz w:val="21"/>
          <w:szCs w:val="21"/>
          <w:lang w:val="en-US" w:eastAsia="zh-CN"/>
        </w:rPr>
        <w:t>Krasnodar, Russia</w:t>
      </w:r>
    </w:p>
    <w:p w14:paraId="71793885" w14:textId="77777777" w:rsidR="008A6AE9" w:rsidRPr="008A6AE9" w:rsidRDefault="008A6AE9" w:rsidP="00485A13">
      <w:pPr>
        <w:spacing w:after="0" w:line="240" w:lineRule="auto"/>
        <w:ind w:firstLine="567"/>
        <w:jc w:val="right"/>
        <w:rPr>
          <w:rFonts w:ascii="Times New Roman" w:hAnsi="Times New Roman" w:cs="Times New Roman"/>
          <w:i/>
          <w:sz w:val="21"/>
          <w:szCs w:val="21"/>
          <w:lang w:val="en-US" w:eastAsia="zh-CN"/>
        </w:rPr>
      </w:pPr>
      <w:r w:rsidRPr="008A6AE9">
        <w:rPr>
          <w:rFonts w:ascii="Times New Roman" w:hAnsi="Times New Roman" w:cs="Times New Roman"/>
          <w:i/>
          <w:sz w:val="21"/>
          <w:szCs w:val="21"/>
          <w:lang w:val="en-US" w:eastAsia="zh-CN"/>
        </w:rPr>
        <w:t xml:space="preserve">е-mail: </w:t>
      </w:r>
      <w:r w:rsidRPr="008A6AE9">
        <w:rPr>
          <w:rFonts w:ascii="Times New Roman" w:hAnsi="Times New Roman" w:cs="Times New Roman"/>
          <w:i/>
          <w:color w:val="0000FF"/>
          <w:sz w:val="21"/>
          <w:szCs w:val="21"/>
          <w:u w:val="single"/>
          <w:lang w:val="en-US" w:eastAsia="zh-CN"/>
        </w:rPr>
        <w:t>ufimtsevak1@gmail.com</w:t>
      </w:r>
      <w:r w:rsidRPr="008A6AE9">
        <w:rPr>
          <w:rFonts w:ascii="Times New Roman" w:hAnsi="Times New Roman" w:cs="Times New Roman"/>
          <w:i/>
          <w:sz w:val="21"/>
          <w:szCs w:val="21"/>
          <w:lang w:val="en-US" w:eastAsia="zh-CN"/>
        </w:rPr>
        <w:t xml:space="preserve"> </w:t>
      </w:r>
    </w:p>
    <w:p w14:paraId="527A3155" w14:textId="77777777" w:rsidR="008A6AE9" w:rsidRPr="008A6AE9" w:rsidRDefault="008A6AE9" w:rsidP="00485A13">
      <w:pPr>
        <w:spacing w:after="0" w:line="240" w:lineRule="auto"/>
        <w:ind w:firstLine="567"/>
        <w:jc w:val="right"/>
        <w:rPr>
          <w:rFonts w:ascii="Times New Roman" w:hAnsi="Times New Roman" w:cs="Times New Roman"/>
          <w:i/>
          <w:sz w:val="21"/>
          <w:szCs w:val="21"/>
          <w:lang w:val="en-US" w:eastAsia="zh-CN"/>
        </w:rPr>
      </w:pPr>
    </w:p>
    <w:p w14:paraId="34C36A9D" w14:textId="77777777" w:rsidR="008A6AE9" w:rsidRPr="008A6AE9" w:rsidRDefault="008A6AE9" w:rsidP="00485A13">
      <w:pPr>
        <w:spacing w:after="0" w:line="240" w:lineRule="auto"/>
        <w:ind w:firstLine="567"/>
        <w:jc w:val="right"/>
        <w:rPr>
          <w:rFonts w:ascii="Times New Roman" w:hAnsi="Times New Roman" w:cs="Times New Roman"/>
          <w:b/>
          <w:i/>
          <w:sz w:val="21"/>
          <w:szCs w:val="21"/>
          <w:lang w:val="en-US" w:eastAsia="zh-CN"/>
        </w:rPr>
      </w:pPr>
      <w:r w:rsidRPr="008A6AE9">
        <w:rPr>
          <w:rFonts w:ascii="Times New Roman" w:hAnsi="Times New Roman" w:cs="Times New Roman"/>
          <w:b/>
          <w:i/>
          <w:sz w:val="21"/>
          <w:szCs w:val="21"/>
          <w:lang w:val="en-US" w:eastAsia="zh-CN"/>
        </w:rPr>
        <w:t>Scientific Adviser:</w:t>
      </w:r>
    </w:p>
    <w:p w14:paraId="47DDCF9E" w14:textId="77777777" w:rsidR="008A6AE9" w:rsidRPr="008A6AE9" w:rsidRDefault="008A6AE9" w:rsidP="00485A13">
      <w:pPr>
        <w:spacing w:after="0" w:line="240" w:lineRule="auto"/>
        <w:ind w:firstLine="567"/>
        <w:jc w:val="right"/>
        <w:rPr>
          <w:rFonts w:ascii="Times New Roman" w:hAnsi="Times New Roman" w:cs="Times New Roman"/>
          <w:b/>
          <w:i/>
          <w:sz w:val="21"/>
          <w:szCs w:val="21"/>
          <w:lang w:val="en-US" w:eastAsia="zh-CN"/>
        </w:rPr>
      </w:pPr>
      <w:r w:rsidRPr="008A6AE9">
        <w:rPr>
          <w:rFonts w:ascii="Times New Roman" w:hAnsi="Times New Roman" w:cs="Times New Roman"/>
          <w:b/>
          <w:i/>
          <w:sz w:val="21"/>
          <w:szCs w:val="21"/>
          <w:lang w:val="en-US" w:eastAsia="zh-CN"/>
        </w:rPr>
        <w:t xml:space="preserve">Samoilenkova V.A., </w:t>
      </w:r>
    </w:p>
    <w:p w14:paraId="2372BE49" w14:textId="77777777" w:rsidR="008A6AE9" w:rsidRPr="008A6AE9" w:rsidRDefault="008A6AE9" w:rsidP="00485A13">
      <w:pPr>
        <w:spacing w:after="0" w:line="240" w:lineRule="auto"/>
        <w:ind w:firstLine="567"/>
        <w:jc w:val="right"/>
        <w:textAlignment w:val="baseline"/>
        <w:rPr>
          <w:rFonts w:ascii="Times New Roman" w:hAnsi="Times New Roman" w:cs="Times New Roman"/>
          <w:i/>
          <w:iCs/>
          <w:sz w:val="21"/>
          <w:szCs w:val="21"/>
          <w:shd w:val="clear" w:color="auto" w:fill="FFFFFF"/>
          <w:lang w:val="en-US" w:eastAsia="zh-CN"/>
        </w:rPr>
      </w:pPr>
      <w:r w:rsidRPr="008A6AE9">
        <w:rPr>
          <w:rFonts w:ascii="Times New Roman" w:hAnsi="Times New Roman" w:cs="Times New Roman"/>
          <w:i/>
          <w:iCs/>
          <w:sz w:val="21"/>
          <w:szCs w:val="21"/>
          <w:shd w:val="clear" w:color="auto" w:fill="FFFFFF"/>
          <w:lang w:val="en-US" w:eastAsia="zh-CN"/>
        </w:rPr>
        <w:t xml:space="preserve">Candidate of Pedagogical Sciences, </w:t>
      </w:r>
    </w:p>
    <w:p w14:paraId="03FAC0DA" w14:textId="77777777" w:rsidR="008A6AE9" w:rsidRPr="008A6AE9" w:rsidRDefault="008A6AE9" w:rsidP="00485A13">
      <w:pPr>
        <w:spacing w:after="0" w:line="240" w:lineRule="auto"/>
        <w:ind w:firstLine="567"/>
        <w:jc w:val="right"/>
        <w:textAlignment w:val="baseline"/>
        <w:rPr>
          <w:rFonts w:ascii="Times New Roman" w:hAnsi="Times New Roman" w:cs="Times New Roman"/>
          <w:i/>
          <w:iCs/>
          <w:sz w:val="21"/>
          <w:szCs w:val="21"/>
          <w:shd w:val="clear" w:color="auto" w:fill="FFFFFF"/>
          <w:lang w:val="en-US" w:eastAsia="zh-CN"/>
        </w:rPr>
      </w:pPr>
      <w:r w:rsidRPr="008A6AE9">
        <w:rPr>
          <w:rFonts w:ascii="Times New Roman" w:hAnsi="Times New Roman" w:cs="Times New Roman"/>
          <w:i/>
          <w:iCs/>
          <w:sz w:val="21"/>
          <w:szCs w:val="21"/>
          <w:shd w:val="clear" w:color="auto" w:fill="FFFFFF"/>
          <w:lang w:val="en-US" w:eastAsia="zh-CN"/>
        </w:rPr>
        <w:t xml:space="preserve">Senior Lecturer at the Department of Mathematics and Computer Science </w:t>
      </w:r>
    </w:p>
    <w:p w14:paraId="45C525DD" w14:textId="77777777" w:rsidR="008A6AE9" w:rsidRPr="008A6AE9" w:rsidRDefault="008A6AE9" w:rsidP="00485A13">
      <w:pPr>
        <w:spacing w:after="0" w:line="240" w:lineRule="auto"/>
        <w:ind w:firstLine="567"/>
        <w:jc w:val="right"/>
        <w:textAlignment w:val="baseline"/>
        <w:rPr>
          <w:rFonts w:ascii="Times New Roman" w:hAnsi="Times New Roman" w:cs="Times New Roman"/>
          <w:i/>
          <w:iCs/>
          <w:sz w:val="21"/>
          <w:szCs w:val="21"/>
          <w:shd w:val="clear" w:color="auto" w:fill="FFFFFF"/>
          <w:lang w:val="en-US" w:eastAsia="zh-CN"/>
        </w:rPr>
      </w:pPr>
      <w:r w:rsidRPr="008A6AE9">
        <w:rPr>
          <w:rFonts w:ascii="Times New Roman" w:hAnsi="Times New Roman" w:cs="Times New Roman"/>
          <w:i/>
          <w:iCs/>
          <w:sz w:val="21"/>
          <w:szCs w:val="21"/>
          <w:shd w:val="clear" w:color="auto" w:fill="FFFFFF"/>
          <w:lang w:val="en-US" w:eastAsia="zh-CN"/>
        </w:rPr>
        <w:t xml:space="preserve">Financial University under the Government of the Russian Federation (Krasnodar branch) </w:t>
      </w:r>
    </w:p>
    <w:p w14:paraId="374A71BE" w14:textId="77777777" w:rsidR="008A6AE9" w:rsidRPr="008A6AE9" w:rsidRDefault="008A6AE9" w:rsidP="00485A13">
      <w:pPr>
        <w:spacing w:after="0" w:line="240" w:lineRule="auto"/>
        <w:ind w:firstLine="567"/>
        <w:jc w:val="right"/>
        <w:textAlignment w:val="baseline"/>
        <w:rPr>
          <w:rFonts w:ascii="Times New Roman" w:hAnsi="Times New Roman" w:cs="Times New Roman"/>
          <w:i/>
          <w:iCs/>
          <w:sz w:val="21"/>
          <w:szCs w:val="21"/>
          <w:shd w:val="clear" w:color="auto" w:fill="FFFFFF"/>
          <w:lang w:val="en-US" w:eastAsia="zh-CN"/>
        </w:rPr>
      </w:pPr>
      <w:r w:rsidRPr="008A6AE9">
        <w:rPr>
          <w:rFonts w:ascii="Times New Roman" w:hAnsi="Times New Roman" w:cs="Times New Roman"/>
          <w:i/>
          <w:iCs/>
          <w:sz w:val="21"/>
          <w:szCs w:val="21"/>
          <w:shd w:val="clear" w:color="auto" w:fill="FFFFFF"/>
          <w:lang w:val="en-US" w:eastAsia="zh-CN"/>
        </w:rPr>
        <w:t xml:space="preserve">Krasnodar, Russia </w:t>
      </w:r>
    </w:p>
    <w:p w14:paraId="3DFA536D" w14:textId="77777777" w:rsidR="008A6AE9" w:rsidRPr="008A6AE9" w:rsidRDefault="008A6AE9" w:rsidP="00485A13">
      <w:pPr>
        <w:spacing w:after="0" w:line="240" w:lineRule="auto"/>
        <w:ind w:firstLine="567"/>
        <w:jc w:val="right"/>
        <w:textAlignment w:val="baseline"/>
        <w:rPr>
          <w:rFonts w:ascii="Times New Roman" w:hAnsi="Times New Roman" w:cs="Times New Roman"/>
          <w:i/>
          <w:sz w:val="21"/>
          <w:szCs w:val="21"/>
          <w:lang w:val="en-US" w:eastAsia="zh-CN"/>
        </w:rPr>
      </w:pPr>
      <w:r w:rsidRPr="008A6AE9">
        <w:rPr>
          <w:rFonts w:ascii="Times New Roman" w:hAnsi="Times New Roman" w:cs="Times New Roman"/>
          <w:i/>
          <w:sz w:val="21"/>
          <w:szCs w:val="21"/>
          <w:lang w:val="en-US" w:eastAsia="zh-CN"/>
        </w:rPr>
        <w:t xml:space="preserve">е-mail: </w:t>
      </w:r>
      <w:r w:rsidRPr="008A6AE9">
        <w:rPr>
          <w:rFonts w:ascii="Times New Roman" w:hAnsi="Times New Roman" w:cs="Times New Roman"/>
          <w:i/>
          <w:color w:val="0000FF"/>
          <w:sz w:val="21"/>
          <w:szCs w:val="21"/>
          <w:u w:val="single"/>
          <w:lang w:val="en-US" w:eastAsia="zh-CN"/>
        </w:rPr>
        <w:t>vasamojlenkova@fa.ru</w:t>
      </w:r>
    </w:p>
    <w:p w14:paraId="475F486D" w14:textId="77777777" w:rsidR="008A6AE9" w:rsidRPr="008A6AE9" w:rsidRDefault="008A6AE9" w:rsidP="00485A13">
      <w:pPr>
        <w:spacing w:after="0" w:line="240" w:lineRule="auto"/>
        <w:ind w:firstLine="567"/>
        <w:jc w:val="right"/>
        <w:rPr>
          <w:rFonts w:ascii="Times New Roman" w:hAnsi="Times New Roman" w:cs="Times New Roman"/>
          <w:i/>
          <w:sz w:val="21"/>
          <w:szCs w:val="21"/>
          <w:lang w:val="en-US" w:eastAsia="zh-CN"/>
        </w:rPr>
      </w:pPr>
    </w:p>
    <w:p w14:paraId="2D6A508B" w14:textId="77777777" w:rsidR="008A6AE9" w:rsidRPr="008A6AE9" w:rsidRDefault="008A6AE9" w:rsidP="00485A13">
      <w:pPr>
        <w:spacing w:after="0" w:line="240" w:lineRule="auto"/>
        <w:ind w:firstLine="567"/>
        <w:jc w:val="center"/>
        <w:rPr>
          <w:rFonts w:ascii="Times New Roman" w:hAnsi="Times New Roman" w:cs="Times New Roman"/>
          <w:b/>
          <w:sz w:val="21"/>
          <w:szCs w:val="21"/>
          <w:lang w:val="en-US"/>
        </w:rPr>
      </w:pPr>
      <w:r w:rsidRPr="008A6AE9">
        <w:rPr>
          <w:rFonts w:ascii="Times New Roman" w:hAnsi="Times New Roman" w:cs="Times New Roman"/>
          <w:b/>
          <w:sz w:val="21"/>
          <w:szCs w:val="21"/>
          <w:lang w:val="en-US"/>
        </w:rPr>
        <w:t>Analysis of the effectiveness of ERP systems for small and medium businesses</w:t>
      </w:r>
    </w:p>
    <w:p w14:paraId="62A0C141" w14:textId="77777777" w:rsidR="008A6AE9" w:rsidRPr="008A6AE9" w:rsidRDefault="008A6AE9" w:rsidP="00485A13">
      <w:pPr>
        <w:spacing w:after="0" w:line="240" w:lineRule="auto"/>
        <w:ind w:firstLine="567"/>
        <w:jc w:val="center"/>
        <w:rPr>
          <w:rFonts w:ascii="Times New Roman" w:hAnsi="Times New Roman" w:cs="Times New Roman"/>
          <w:b/>
          <w:sz w:val="21"/>
          <w:szCs w:val="21"/>
          <w:lang w:val="en-US"/>
        </w:rPr>
      </w:pPr>
    </w:p>
    <w:p w14:paraId="4C22D5DF" w14:textId="77777777" w:rsidR="008A6AE9" w:rsidRPr="008A6AE9" w:rsidRDefault="008A6AE9" w:rsidP="00485A13">
      <w:pPr>
        <w:spacing w:after="0" w:line="240" w:lineRule="auto"/>
        <w:ind w:firstLine="567"/>
        <w:jc w:val="both"/>
        <w:rPr>
          <w:rFonts w:ascii="Times New Roman" w:hAnsi="Times New Roman" w:cs="Times New Roman"/>
          <w:sz w:val="21"/>
          <w:szCs w:val="21"/>
          <w:lang w:val="en-US" w:eastAsia="zh-CN"/>
        </w:rPr>
      </w:pPr>
      <w:r w:rsidRPr="008A6AE9">
        <w:rPr>
          <w:rFonts w:ascii="Times New Roman" w:hAnsi="Times New Roman" w:cs="Times New Roman"/>
          <w:b/>
          <w:bCs/>
          <w:sz w:val="21"/>
          <w:szCs w:val="21"/>
          <w:shd w:val="clear" w:color="auto" w:fill="FFFFFF"/>
          <w:lang w:val="en-US" w:eastAsia="zh-CN"/>
        </w:rPr>
        <w:t xml:space="preserve">Abstract: </w:t>
      </w:r>
      <w:r w:rsidRPr="008A6AE9">
        <w:rPr>
          <w:rFonts w:ascii="Times New Roman" w:hAnsi="Times New Roman" w:cs="Times New Roman"/>
          <w:sz w:val="21"/>
          <w:szCs w:val="21"/>
          <w:lang w:val="en-US" w:eastAsia="zh-CN"/>
        </w:rPr>
        <w:t>The purpose of the article is to assess the economic and operational efficiency of ERP systems in the context of small and medium businesses, as well as to offer recommendations for their successful integration.</w:t>
      </w:r>
    </w:p>
    <w:p w14:paraId="6F739E21" w14:textId="77777777" w:rsidR="008A6AE9" w:rsidRPr="008A6AE9" w:rsidRDefault="008A6AE9" w:rsidP="00485A13">
      <w:pPr>
        <w:spacing w:after="0" w:line="240" w:lineRule="auto"/>
        <w:ind w:firstLine="567"/>
        <w:jc w:val="both"/>
        <w:rPr>
          <w:rFonts w:ascii="Times New Roman" w:hAnsi="Times New Roman" w:cs="Times New Roman"/>
          <w:bCs/>
          <w:color w:val="000000"/>
          <w:sz w:val="21"/>
          <w:szCs w:val="21"/>
          <w:shd w:val="clear" w:color="auto" w:fill="FFFFFF"/>
          <w:lang w:val="en-US" w:eastAsia="zh-CN"/>
        </w:rPr>
      </w:pPr>
      <w:r w:rsidRPr="008A6AE9">
        <w:rPr>
          <w:rFonts w:ascii="Times New Roman" w:hAnsi="Times New Roman" w:cs="Times New Roman"/>
          <w:b/>
          <w:bCs/>
          <w:color w:val="000000"/>
          <w:sz w:val="21"/>
          <w:szCs w:val="21"/>
          <w:shd w:val="clear" w:color="auto" w:fill="FFFFFF"/>
          <w:lang w:val="en-US" w:eastAsia="zh-CN"/>
        </w:rPr>
        <w:t>Keywords:</w:t>
      </w:r>
      <w:r w:rsidRPr="008A6AE9">
        <w:rPr>
          <w:rFonts w:ascii="Times New Roman" w:hAnsi="Times New Roman" w:cs="Times New Roman"/>
          <w:bCs/>
          <w:color w:val="000000"/>
          <w:sz w:val="21"/>
          <w:szCs w:val="21"/>
          <w:shd w:val="clear" w:color="auto" w:fill="FFFFFF"/>
          <w:lang w:val="en-US" w:eastAsia="zh-CN"/>
        </w:rPr>
        <w:t xml:space="preserve"> ERP system, ERP system classification, SMEs, integration, automation, efficiency.</w:t>
      </w:r>
    </w:p>
    <w:p w14:paraId="41865B30" w14:textId="77777777" w:rsidR="008A6AE9" w:rsidRPr="008A6AE9" w:rsidRDefault="008A6AE9" w:rsidP="00485A13">
      <w:pPr>
        <w:spacing w:after="0" w:line="240" w:lineRule="auto"/>
        <w:ind w:firstLine="567"/>
        <w:jc w:val="both"/>
        <w:rPr>
          <w:rFonts w:ascii="Times New Roman" w:hAnsi="Times New Roman" w:cs="Times New Roman"/>
          <w:bCs/>
          <w:color w:val="000000"/>
          <w:sz w:val="21"/>
          <w:szCs w:val="21"/>
          <w:shd w:val="clear" w:color="auto" w:fill="FFFFFF"/>
          <w:lang w:val="en-US" w:eastAsia="zh-CN"/>
        </w:rPr>
      </w:pPr>
    </w:p>
    <w:p w14:paraId="5A651C60"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 эпоху активной цифровой трансформации бизнеса, ERP-системы (системы планирования корпоративных ресурсов) стали важнейшим элементом для компаний самого разного размера – от крупных организаций до малых и средних предприятий. Стремление к эффективному управлению активами, совершенствованию рабочих процессов и укреплению позиций на рынке обуславливает востребованность ERP-решений для предприятий любого уровня. Внедрение такой системы способно значительно ускорить развитие компании, благодаря четко организованным процессам и всестороннему решению задач операционного характера. Прежде чем перейти к деталям, давайте выясним, какие типы ERP-систем присутствуют на рынке, в чем заключаются их отличия и какие ключевые функции они предоставляют.</w:t>
      </w:r>
    </w:p>
    <w:p w14:paraId="73FE63D7"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Существует несколько классификаций ERP-систем:</w:t>
      </w:r>
    </w:p>
    <w:tbl>
      <w:tblPr>
        <w:tblStyle w:val="130"/>
        <w:tblW w:w="0" w:type="auto"/>
        <w:tblInd w:w="0" w:type="dxa"/>
        <w:tblLook w:val="04A0" w:firstRow="1" w:lastRow="0" w:firstColumn="1" w:lastColumn="0" w:noHBand="0" w:noVBand="1"/>
      </w:tblPr>
      <w:tblGrid>
        <w:gridCol w:w="2379"/>
        <w:gridCol w:w="7263"/>
      </w:tblGrid>
      <w:tr w:rsidR="008A6AE9" w:rsidRPr="008A6AE9" w14:paraId="686BC1DD" w14:textId="77777777">
        <w:tc>
          <w:tcPr>
            <w:tcW w:w="2386" w:type="dxa"/>
            <w:tcBorders>
              <w:top w:val="single" w:sz="4" w:space="0" w:color="auto"/>
              <w:left w:val="single" w:sz="4" w:space="0" w:color="auto"/>
              <w:bottom w:val="single" w:sz="4" w:space="0" w:color="auto"/>
              <w:right w:val="single" w:sz="4" w:space="0" w:color="auto"/>
            </w:tcBorders>
            <w:hideMark/>
          </w:tcPr>
          <w:p w14:paraId="01492E90" w14:textId="77777777" w:rsidR="008A6AE9" w:rsidRPr="008A6AE9" w:rsidRDefault="008A6AE9" w:rsidP="00485A13">
            <w:pPr>
              <w:rPr>
                <w:rFonts w:eastAsia="Helvetica"/>
                <w:color w:val="2F2F2F"/>
                <w:sz w:val="32"/>
                <w:szCs w:val="32"/>
                <w:lang w:val="en-US"/>
              </w:rPr>
            </w:pPr>
            <w:r w:rsidRPr="008A6AE9">
              <w:rPr>
                <w:rFonts w:eastAsia="Helvetica"/>
                <w:color w:val="2F2F2F"/>
                <w:sz w:val="32"/>
                <w:szCs w:val="32"/>
                <w:lang w:val="en-US"/>
              </w:rPr>
              <w:t xml:space="preserve">По направлению </w:t>
            </w:r>
            <w:r w:rsidRPr="008A6AE9">
              <w:rPr>
                <w:rFonts w:eastAsia="Helvetica"/>
                <w:color w:val="2F2F2F"/>
                <w:sz w:val="32"/>
                <w:szCs w:val="32"/>
                <w:lang w:val="en-US"/>
              </w:rPr>
              <w:lastRenderedPageBreak/>
              <w:t>бизнеса</w:t>
            </w:r>
          </w:p>
        </w:tc>
        <w:tc>
          <w:tcPr>
            <w:tcW w:w="7360" w:type="dxa"/>
            <w:tcBorders>
              <w:top w:val="single" w:sz="4" w:space="0" w:color="auto"/>
              <w:left w:val="single" w:sz="4" w:space="0" w:color="auto"/>
              <w:bottom w:val="single" w:sz="4" w:space="0" w:color="auto"/>
              <w:right w:val="single" w:sz="4" w:space="0" w:color="auto"/>
            </w:tcBorders>
            <w:hideMark/>
          </w:tcPr>
          <w:p w14:paraId="6F8BFCBD" w14:textId="77777777" w:rsidR="008A6AE9" w:rsidRPr="008A6AE9" w:rsidRDefault="008A6AE9" w:rsidP="00485A13">
            <w:pPr>
              <w:rPr>
                <w:rFonts w:eastAsia="Helvetica"/>
                <w:color w:val="2F2F2F"/>
                <w:sz w:val="32"/>
                <w:szCs w:val="32"/>
              </w:rPr>
            </w:pPr>
            <w:r w:rsidRPr="008A6AE9">
              <w:rPr>
                <w:rFonts w:eastAsia="Helvetica"/>
                <w:color w:val="2F2F2F"/>
                <w:sz w:val="32"/>
                <w:szCs w:val="32"/>
                <w:lang w:val="en-US"/>
              </w:rPr>
              <w:lastRenderedPageBreak/>
              <w:t>ERP</w:t>
            </w:r>
            <w:r w:rsidRPr="008A6AE9">
              <w:rPr>
                <w:rFonts w:eastAsia="Helvetica"/>
                <w:color w:val="2F2F2F"/>
                <w:sz w:val="32"/>
                <w:szCs w:val="32"/>
              </w:rPr>
              <w:t xml:space="preserve">-решения классифицируются по отраслям, в которых они применяются: металлургия, </w:t>
            </w:r>
            <w:r w:rsidRPr="008A6AE9">
              <w:rPr>
                <w:rFonts w:eastAsia="Helvetica"/>
                <w:color w:val="2F2F2F"/>
                <w:sz w:val="32"/>
                <w:szCs w:val="32"/>
              </w:rPr>
              <w:lastRenderedPageBreak/>
              <w:t>машиностроение, производство станков, торговля, фармацевтика. Несмотря на общую архитектуру, каждая программа адаптируется под уникальные особенности конкретного бизнеса.</w:t>
            </w:r>
          </w:p>
        </w:tc>
      </w:tr>
      <w:tr w:rsidR="008A6AE9" w:rsidRPr="008A6AE9" w14:paraId="0C8AB29D" w14:textId="77777777">
        <w:tc>
          <w:tcPr>
            <w:tcW w:w="2386" w:type="dxa"/>
            <w:tcBorders>
              <w:top w:val="single" w:sz="4" w:space="0" w:color="auto"/>
              <w:left w:val="single" w:sz="4" w:space="0" w:color="auto"/>
              <w:bottom w:val="single" w:sz="4" w:space="0" w:color="auto"/>
              <w:right w:val="single" w:sz="4" w:space="0" w:color="auto"/>
            </w:tcBorders>
            <w:hideMark/>
          </w:tcPr>
          <w:p w14:paraId="08F9338C" w14:textId="77777777" w:rsidR="008A6AE9" w:rsidRPr="008A6AE9" w:rsidRDefault="008A6AE9" w:rsidP="00485A13">
            <w:pPr>
              <w:rPr>
                <w:rFonts w:eastAsia="Helvetica"/>
                <w:color w:val="2F2F2F"/>
                <w:sz w:val="32"/>
                <w:szCs w:val="32"/>
                <w:lang w:val="en-US"/>
              </w:rPr>
            </w:pPr>
            <w:r w:rsidRPr="008A6AE9">
              <w:rPr>
                <w:rFonts w:eastAsia="Helvetica"/>
                <w:color w:val="2F2F2F"/>
                <w:sz w:val="32"/>
                <w:szCs w:val="32"/>
                <w:lang w:val="en-US"/>
              </w:rPr>
              <w:lastRenderedPageBreak/>
              <w:t>По методу установки</w:t>
            </w:r>
          </w:p>
        </w:tc>
        <w:tc>
          <w:tcPr>
            <w:tcW w:w="7360" w:type="dxa"/>
            <w:tcBorders>
              <w:top w:val="single" w:sz="4" w:space="0" w:color="auto"/>
              <w:left w:val="single" w:sz="4" w:space="0" w:color="auto"/>
              <w:bottom w:val="single" w:sz="4" w:space="0" w:color="auto"/>
              <w:right w:val="single" w:sz="4" w:space="0" w:color="auto"/>
            </w:tcBorders>
            <w:hideMark/>
          </w:tcPr>
          <w:p w14:paraId="5B3B49CA" w14:textId="77777777" w:rsidR="008A6AE9" w:rsidRPr="008A6AE9" w:rsidRDefault="008A6AE9" w:rsidP="00485A13">
            <w:pPr>
              <w:rPr>
                <w:rFonts w:eastAsia="Helvetica"/>
                <w:color w:val="2F2F2F"/>
                <w:sz w:val="32"/>
                <w:szCs w:val="32"/>
              </w:rPr>
            </w:pPr>
            <w:r w:rsidRPr="008A6AE9">
              <w:rPr>
                <w:rFonts w:eastAsia="Helvetica"/>
                <w:color w:val="2F2F2F"/>
                <w:sz w:val="32"/>
                <w:szCs w:val="32"/>
              </w:rPr>
              <w:t xml:space="preserve">Различают облачные и локальные (приватные) </w:t>
            </w:r>
            <w:r w:rsidRPr="008A6AE9">
              <w:rPr>
                <w:rFonts w:eastAsia="Helvetica"/>
                <w:color w:val="2F2F2F"/>
                <w:sz w:val="32"/>
                <w:szCs w:val="32"/>
                <w:lang w:val="en-US"/>
              </w:rPr>
              <w:t>ERP</w:t>
            </w:r>
            <w:r w:rsidRPr="008A6AE9">
              <w:rPr>
                <w:rFonts w:eastAsia="Helvetica"/>
                <w:color w:val="2F2F2F"/>
                <w:sz w:val="32"/>
                <w:szCs w:val="32"/>
              </w:rPr>
              <w:t xml:space="preserve">-системы. Локальные устанавливаются на собственное серверное оборудование компании, в то время как облачные полностью функционируют через интернет. Использование облачной </w:t>
            </w:r>
            <w:r w:rsidRPr="008A6AE9">
              <w:rPr>
                <w:rFonts w:eastAsia="Helvetica"/>
                <w:color w:val="2F2F2F"/>
                <w:sz w:val="32"/>
                <w:szCs w:val="32"/>
                <w:lang w:val="en-US"/>
              </w:rPr>
              <w:t>ERP</w:t>
            </w:r>
            <w:r w:rsidRPr="008A6AE9">
              <w:rPr>
                <w:rFonts w:eastAsia="Helvetica"/>
                <w:color w:val="2F2F2F"/>
                <w:sz w:val="32"/>
                <w:szCs w:val="32"/>
              </w:rPr>
              <w:t xml:space="preserve"> позволяет избежать затрат на поддержание серверной инфраструктуры. Однако, приватные системы обычно обеспечивают более высокий уровень безопасности данных.</w:t>
            </w:r>
          </w:p>
        </w:tc>
      </w:tr>
      <w:tr w:rsidR="008A6AE9" w:rsidRPr="008A6AE9" w14:paraId="65661FA5" w14:textId="77777777">
        <w:tc>
          <w:tcPr>
            <w:tcW w:w="2386" w:type="dxa"/>
            <w:tcBorders>
              <w:top w:val="single" w:sz="4" w:space="0" w:color="auto"/>
              <w:left w:val="single" w:sz="4" w:space="0" w:color="auto"/>
              <w:bottom w:val="single" w:sz="4" w:space="0" w:color="auto"/>
              <w:right w:val="single" w:sz="4" w:space="0" w:color="auto"/>
            </w:tcBorders>
            <w:hideMark/>
          </w:tcPr>
          <w:p w14:paraId="3FF2D78C" w14:textId="77777777" w:rsidR="008A6AE9" w:rsidRPr="008A6AE9" w:rsidRDefault="008A6AE9" w:rsidP="00485A13">
            <w:pPr>
              <w:rPr>
                <w:rFonts w:eastAsia="Helvetica"/>
                <w:color w:val="2F2F2F"/>
                <w:sz w:val="32"/>
                <w:szCs w:val="32"/>
                <w:lang w:val="en-US"/>
              </w:rPr>
            </w:pPr>
            <w:r w:rsidRPr="008A6AE9">
              <w:rPr>
                <w:rFonts w:eastAsia="Helvetica"/>
                <w:color w:val="2F2F2F"/>
                <w:sz w:val="32"/>
                <w:szCs w:val="32"/>
                <w:lang w:val="en-US"/>
              </w:rPr>
              <w:t>По типу лицензии</w:t>
            </w:r>
          </w:p>
        </w:tc>
        <w:tc>
          <w:tcPr>
            <w:tcW w:w="7360" w:type="dxa"/>
            <w:tcBorders>
              <w:top w:val="single" w:sz="4" w:space="0" w:color="auto"/>
              <w:left w:val="single" w:sz="4" w:space="0" w:color="auto"/>
              <w:bottom w:val="single" w:sz="4" w:space="0" w:color="auto"/>
              <w:right w:val="single" w:sz="4" w:space="0" w:color="auto"/>
            </w:tcBorders>
            <w:hideMark/>
          </w:tcPr>
          <w:p w14:paraId="6243FDA2" w14:textId="77777777" w:rsidR="008A6AE9" w:rsidRPr="008A6AE9" w:rsidRDefault="008A6AE9" w:rsidP="00485A13">
            <w:pPr>
              <w:rPr>
                <w:rFonts w:eastAsia="Helvetica"/>
                <w:color w:val="2F2F2F"/>
                <w:sz w:val="32"/>
                <w:szCs w:val="32"/>
                <w:lang w:val="en-US"/>
              </w:rPr>
            </w:pPr>
            <w:r w:rsidRPr="008A6AE9">
              <w:rPr>
                <w:rFonts w:eastAsia="Helvetica"/>
                <w:color w:val="2F2F2F"/>
                <w:sz w:val="32"/>
                <w:szCs w:val="32"/>
              </w:rPr>
              <w:t xml:space="preserve">Также выделяют проприетарные системы и решения с открытым исходным кодом. Проприетарные – это готовые продукты, приобретаемые для использования в бизнесе. Решения с открытым кодом часто доступны бесплатно, но требуют дополнительной настройки и адаптации к конкретным задачам. </w:t>
            </w:r>
            <w:r w:rsidRPr="008A6AE9">
              <w:rPr>
                <w:rFonts w:eastAsia="Helvetica"/>
                <w:color w:val="2F2F2F"/>
                <w:sz w:val="32"/>
                <w:szCs w:val="32"/>
                <w:lang w:val="en-US"/>
              </w:rPr>
              <w:t>Примером системы с открытым исходным кодом является Odoo.</w:t>
            </w:r>
          </w:p>
        </w:tc>
      </w:tr>
    </w:tbl>
    <w:p w14:paraId="19D8D715"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p>
    <w:p w14:paraId="2EC007D0"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Функциональные возможности ERP-систем детерминированы целевыми установками их разработки и внедрения. Несмотря на существующие различия в реализациях у различных вендоров, ключевые функциональные модули данных систем отражают основные направления хозяйственной деятельности большинства предприятий:</w:t>
      </w:r>
    </w:p>
    <w:p w14:paraId="17F87F78"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1. Управление складскими запасами и товарными остатками</w:t>
      </w:r>
    </w:p>
    <w:p w14:paraId="333EEE52"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2. Учёт и контроль производственных процессов</w:t>
      </w:r>
    </w:p>
    <w:p w14:paraId="10497D75"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3. Калькуляция себестоимости выпускаемой продукции (при наличии производственного цикла)</w:t>
      </w:r>
    </w:p>
    <w:p w14:paraId="6E5EB7C9"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4. Управление персоналом и кадровый учёт</w:t>
      </w:r>
    </w:p>
    <w:p w14:paraId="42BD8265"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5. Бухгалтерский учёт и налоговое администрирование</w:t>
      </w:r>
    </w:p>
    <w:p w14:paraId="7B403793"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6. Формирование управленческой отчётности</w:t>
      </w:r>
    </w:p>
    <w:p w14:paraId="69A10F44"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7. Автоматизация процессов продаж и контроля взаимоотношений с клиентами</w:t>
      </w:r>
    </w:p>
    <w:p w14:paraId="62D3901F"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8. Управление логистическими процессами</w:t>
      </w:r>
    </w:p>
    <w:p w14:paraId="694CEF18" w14:textId="77777777" w:rsidR="008A6AE9" w:rsidRPr="008A6AE9" w:rsidRDefault="008A6AE9" w:rsidP="00485A13">
      <w:pPr>
        <w:spacing w:after="0" w:line="240" w:lineRule="auto"/>
        <w:ind w:firstLine="567"/>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lastRenderedPageBreak/>
        <w:t>9. Администрирование контрагентов и управление дебиторской задолженностью</w:t>
      </w:r>
    </w:p>
    <w:p w14:paraId="477D52E5" w14:textId="77777777" w:rsidR="008A6AE9" w:rsidRPr="008A6AE9" w:rsidRDefault="008A6AE9" w:rsidP="00485A13">
      <w:pPr>
        <w:spacing w:after="0" w:line="240" w:lineRule="auto"/>
        <w:ind w:firstLine="567"/>
        <w:rPr>
          <w:rFonts w:ascii="Times New Roman" w:hAnsi="Times New Roman" w:cs="Times New Roman"/>
          <w:sz w:val="32"/>
          <w:szCs w:val="32"/>
          <w:lang w:eastAsia="zh-CN"/>
        </w:rPr>
      </w:pPr>
      <w:r w:rsidRPr="008A6AE9">
        <w:rPr>
          <w:rFonts w:ascii="Times New Roman" w:eastAsia="Times New Roman" w:hAnsi="Times New Roman" w:cs="Times New Roman"/>
          <w:sz w:val="32"/>
          <w:szCs w:val="32"/>
        </w:rPr>
        <w:t>10. Бизнес-аналитика и поддержка принятия управленческих решений</w:t>
      </w:r>
    </w:p>
    <w:p w14:paraId="2DE1F99A"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 xml:space="preserve">Внедрение ERP-систем позволяет решить ключевые задачи бизнеса: рассчитывать себестоимость продукции, отслеживать объемы продаж, организовывать складской учет и на их основе создавать необходимую отчетность. С помощью ERP можно автоматизировать производственные процессы, оптимизировать рабочие схемы, а также осуществлять управление персоналом и бухгалтерией. Главная цель ERP-системы — консолидировать всю информацию о деятельности предприятия на всех этапах и во всех отделах. </w:t>
      </w:r>
    </w:p>
    <w:p w14:paraId="51315DB0"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До автоматизации этот процесс требовал от руководителей ручного сбора отчетов, обычно в папках или электронных таблицах. Последующий анализ и объединение данных неизбежно приводили к ошибкам и необходимости повторных расчетов. На крупных предприятиях эти задачи выполняли специализированные подразделения. Сегодня же, информационные системы ERP выполняют сбор данных, а сотрудники занимаются их анализом.</w:t>
      </w:r>
    </w:p>
    <w:p w14:paraId="6DE4137C"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p>
    <w:p w14:paraId="61CC6120" w14:textId="77777777" w:rsidR="008A6AE9" w:rsidRPr="008A6AE9" w:rsidRDefault="008A6AE9" w:rsidP="00485A13">
      <w:pPr>
        <w:spacing w:after="0" w:line="240" w:lineRule="auto"/>
        <w:ind w:firstLineChars="100" w:firstLine="320"/>
        <w:jc w:val="both"/>
        <w:rPr>
          <w:rFonts w:ascii="Times New Roman" w:eastAsia="Helvetica" w:hAnsi="Times New Roman" w:cs="Times New Roman"/>
          <w:color w:val="2F2F2F"/>
          <w:sz w:val="32"/>
          <w:szCs w:val="32"/>
          <w:lang w:val="en-US" w:eastAsia="zh-CN"/>
        </w:rPr>
      </w:pPr>
      <w:r w:rsidRPr="008A6AE9">
        <w:rPr>
          <w:rFonts w:ascii="Times New Roman" w:hAnsi="Times New Roman" w:cs="Times New Roman"/>
          <w:noProof/>
          <w:sz w:val="32"/>
          <w:szCs w:val="32"/>
          <w:lang w:eastAsia="ru-RU"/>
        </w:rPr>
        <w:drawing>
          <wp:inline distT="0" distB="0" distL="0" distR="0" wp14:anchorId="5FF74ED8" wp14:editId="3BF690E2">
            <wp:extent cx="5265420" cy="2606040"/>
            <wp:effectExtent l="0" t="0" r="0" b="3810"/>
            <wp:docPr id="958172045"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descr="IMG_256"/>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5265420" cy="2606040"/>
                    </a:xfrm>
                    <a:prstGeom prst="rect">
                      <a:avLst/>
                    </a:prstGeom>
                    <a:noFill/>
                    <a:ln>
                      <a:noFill/>
                    </a:ln>
                  </pic:spPr>
                </pic:pic>
              </a:graphicData>
            </a:graphic>
          </wp:inline>
        </w:drawing>
      </w:r>
    </w:p>
    <w:p w14:paraId="78B6E3CF" w14:textId="77777777" w:rsidR="008A6AE9" w:rsidRPr="008A6AE9" w:rsidRDefault="008A6AE9" w:rsidP="00485A13">
      <w:pPr>
        <w:spacing w:after="0" w:line="240" w:lineRule="auto"/>
        <w:ind w:firstLineChars="100" w:firstLine="320"/>
        <w:jc w:val="both"/>
        <w:rPr>
          <w:rFonts w:ascii="Times New Roman" w:eastAsia="SuisseIntl" w:hAnsi="Times New Roman" w:cs="Times New Roman"/>
          <w:color w:val="33373C"/>
          <w:sz w:val="32"/>
          <w:szCs w:val="32"/>
          <w:lang w:eastAsia="zh-CN" w:bidi="ar"/>
        </w:rPr>
      </w:pPr>
      <w:r w:rsidRPr="008A6AE9">
        <w:rPr>
          <w:rFonts w:ascii="Times New Roman" w:eastAsia="SuisseIntl" w:hAnsi="Times New Roman" w:cs="Times New Roman"/>
          <w:color w:val="33373C"/>
          <w:sz w:val="32"/>
          <w:szCs w:val="32"/>
          <w:lang w:eastAsia="zh-CN" w:bidi="ar"/>
        </w:rPr>
        <w:t>Рис.1. Пример интерфейса «1</w:t>
      </w:r>
      <w:proofErr w:type="gramStart"/>
      <w:r w:rsidRPr="008A6AE9">
        <w:rPr>
          <w:rFonts w:ascii="Times New Roman" w:eastAsia="SuisseIntl" w:hAnsi="Times New Roman" w:cs="Times New Roman"/>
          <w:color w:val="33373C"/>
          <w:sz w:val="32"/>
          <w:szCs w:val="32"/>
          <w:lang w:eastAsia="zh-CN" w:bidi="ar"/>
        </w:rPr>
        <w:t>С:</w:t>
      </w:r>
      <w:r w:rsidRPr="008A6AE9">
        <w:rPr>
          <w:rFonts w:ascii="Times New Roman" w:eastAsia="SuisseIntl" w:hAnsi="Times New Roman" w:cs="Times New Roman"/>
          <w:color w:val="33373C"/>
          <w:sz w:val="32"/>
          <w:szCs w:val="32"/>
          <w:lang w:val="en-US" w:eastAsia="zh-CN" w:bidi="ar"/>
        </w:rPr>
        <w:t>ERP</w:t>
      </w:r>
      <w:proofErr w:type="gramEnd"/>
      <w:r w:rsidRPr="008A6AE9">
        <w:rPr>
          <w:rFonts w:ascii="Times New Roman" w:eastAsia="SuisseIntl" w:hAnsi="Times New Roman" w:cs="Times New Roman"/>
          <w:color w:val="33373C"/>
          <w:sz w:val="32"/>
          <w:szCs w:val="32"/>
          <w:lang w:eastAsia="zh-CN" w:bidi="ar"/>
        </w:rPr>
        <w:t>»</w:t>
      </w:r>
    </w:p>
    <w:p w14:paraId="1B4E7E94" w14:textId="77777777" w:rsidR="008A6AE9" w:rsidRPr="008A6AE9" w:rsidRDefault="008A6AE9" w:rsidP="00485A13">
      <w:pPr>
        <w:spacing w:after="0" w:line="240" w:lineRule="auto"/>
        <w:ind w:firstLineChars="100" w:firstLine="320"/>
        <w:jc w:val="both"/>
        <w:rPr>
          <w:rFonts w:ascii="Times New Roman" w:eastAsia="SuisseIntl" w:hAnsi="Times New Roman" w:cs="Times New Roman"/>
          <w:color w:val="33373C"/>
          <w:sz w:val="32"/>
          <w:szCs w:val="32"/>
          <w:lang w:eastAsia="zh-CN" w:bidi="ar"/>
        </w:rPr>
      </w:pPr>
    </w:p>
    <w:p w14:paraId="2D5AA957"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 xml:space="preserve">Перед тем, как оценивать целесообразность внедрения ERP-системы для компаний малого и среднего размера, важно понять, какие предприятия подпадают под эти определения. Классификация субъектов малого и среднего предпринимательства регламентирована Федеральным законом № 209-ФЗ, регулирующим развитие этого сектора экономики в России. В соответствии с пунктом 1.1 статьи 4 </w:t>
      </w:r>
      <w:r w:rsidRPr="008A6AE9">
        <w:rPr>
          <w:rFonts w:ascii="Times New Roman" w:eastAsia="Times New Roman" w:hAnsi="Times New Roman" w:cs="Times New Roman"/>
          <w:sz w:val="32"/>
          <w:szCs w:val="32"/>
        </w:rPr>
        <w:lastRenderedPageBreak/>
        <w:t>закона, к малому бизнесу относят организации с количеством сотрудников не более 100 человек, а к среднему – с числом работников от 101 до 250. Помимо этого, Постановления Правительства устанавливают финансовые лимиты: годовой доход малого предприятия не должен превышать 800 миллионов рублей, а среднего – 2 миллиарда. Очевидно, что управление компанией с такими объемами выручки становится чрезвычайно затруднительным без использования специализированного программного обеспечения.</w:t>
      </w:r>
    </w:p>
    <w:p w14:paraId="0A1F4394"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 xml:space="preserve">Рассмотрим эффективность и проблемы внедрения </w:t>
      </w:r>
      <w:r w:rsidRPr="008A6AE9">
        <w:rPr>
          <w:rFonts w:ascii="Times New Roman" w:eastAsia="Times New Roman" w:hAnsi="Times New Roman" w:cs="Times New Roman"/>
          <w:sz w:val="32"/>
          <w:szCs w:val="32"/>
          <w:lang w:val="en-US"/>
        </w:rPr>
        <w:t>ERP</w:t>
      </w:r>
      <w:r w:rsidRPr="008A6AE9">
        <w:rPr>
          <w:rFonts w:ascii="Times New Roman" w:eastAsia="Times New Roman" w:hAnsi="Times New Roman" w:cs="Times New Roman"/>
          <w:sz w:val="32"/>
          <w:szCs w:val="32"/>
        </w:rPr>
        <w:t xml:space="preserve"> в предприятия малого и среднего звеньев.</w:t>
      </w:r>
    </w:p>
    <w:p w14:paraId="6C70377D"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Во-первых, ERP-системы устраняют рутинные операции и сокращают время на выполнение задач:</w:t>
      </w:r>
    </w:p>
    <w:p w14:paraId="280DB57E"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Автоматизация работы с документами – электронные документы, счета-фактуры, приходные ордера.</w:t>
      </w:r>
    </w:p>
    <w:p w14:paraId="30F858A6" w14:textId="294CF240"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Оптимизация запасов – исключение избыточных остатков и дефицита благодаря точному прогнозированию потребностей.</w:t>
      </w:r>
    </w:p>
    <w:p w14:paraId="426DA2C9"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Планирование производства – согласование закупок, производственного цикла и продаж (за счет использования MRP-функционала).</w:t>
      </w:r>
    </w:p>
    <w:p w14:paraId="030AC1A1"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Управление заказами – от регистрации запроса до отгрузки продукции в рамках единой платформы.</w:t>
      </w:r>
    </w:p>
    <w:p w14:paraId="4EB2F157"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lang w:eastAsia="zh-CN"/>
        </w:rPr>
      </w:pPr>
      <w:r w:rsidRPr="008A6AE9">
        <w:rPr>
          <w:rFonts w:ascii="Times New Roman" w:eastAsia="Times New Roman" w:hAnsi="Times New Roman" w:cs="Times New Roman"/>
          <w:sz w:val="32"/>
          <w:szCs w:val="32"/>
          <w:lang w:eastAsia="zh-CN"/>
        </w:rPr>
        <w:t xml:space="preserve">Во-вторых, </w:t>
      </w:r>
      <w:r w:rsidRPr="008A6AE9">
        <w:rPr>
          <w:rFonts w:ascii="Times New Roman" w:eastAsia="Times New Roman" w:hAnsi="Times New Roman" w:cs="Times New Roman"/>
          <w:sz w:val="32"/>
          <w:szCs w:val="32"/>
          <w:lang w:val="en-US" w:eastAsia="zh-CN"/>
        </w:rPr>
        <w:t>ERP</w:t>
      </w:r>
      <w:r w:rsidRPr="008A6AE9">
        <w:rPr>
          <w:rFonts w:ascii="Times New Roman" w:eastAsia="Times New Roman" w:hAnsi="Times New Roman" w:cs="Times New Roman"/>
          <w:sz w:val="32"/>
          <w:szCs w:val="32"/>
          <w:lang w:eastAsia="zh-CN"/>
        </w:rPr>
        <w:t xml:space="preserve">-системы гарантируют улучшение прозрачности и повышение уровня контроля: </w:t>
      </w:r>
    </w:p>
    <w:p w14:paraId="41E164C2"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lang w:eastAsia="zh-CN"/>
        </w:rPr>
      </w:pPr>
      <w:r w:rsidRPr="008A6AE9">
        <w:rPr>
          <w:rFonts w:ascii="Times New Roman" w:eastAsia="Times New Roman" w:hAnsi="Times New Roman" w:cs="Times New Roman"/>
          <w:sz w:val="32"/>
          <w:szCs w:val="32"/>
          <w:lang w:eastAsia="zh-CN"/>
        </w:rPr>
        <w:t xml:space="preserve">Общая база данных – все подразделения используют актуальные сведения. </w:t>
      </w:r>
    </w:p>
    <w:p w14:paraId="7EE34243"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lang w:eastAsia="zh-CN"/>
        </w:rPr>
      </w:pPr>
      <w:r w:rsidRPr="008A6AE9">
        <w:rPr>
          <w:rFonts w:ascii="Times New Roman" w:eastAsia="Times New Roman" w:hAnsi="Times New Roman" w:cs="Times New Roman"/>
          <w:sz w:val="32"/>
          <w:szCs w:val="32"/>
          <w:lang w:eastAsia="zh-CN"/>
        </w:rPr>
        <w:t xml:space="preserve">Отслеживание ключевых показателей эффективности в режиме реального времени – показатели прибыли, себестоимости и рентабельности. </w:t>
      </w:r>
    </w:p>
    <w:p w14:paraId="6F71F1BC" w14:textId="77777777" w:rsidR="008A6AE9" w:rsidRPr="008A6AE9" w:rsidRDefault="008A6AE9" w:rsidP="00AD58CD">
      <w:pPr>
        <w:numPr>
          <w:ilvl w:val="0"/>
          <w:numId w:val="215"/>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lang w:eastAsia="zh-CN"/>
        </w:rPr>
        <w:t>Автоматизированное формирование отчетов – вместо ручного сбора данных – интерактивные панели и аналитические инструменты.</w:t>
      </w:r>
    </w:p>
    <w:p w14:paraId="01539AA2"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 xml:space="preserve">К другим преимуществам </w:t>
      </w:r>
      <w:r w:rsidRPr="008A6AE9">
        <w:rPr>
          <w:rFonts w:ascii="Times New Roman" w:eastAsia="Times New Roman" w:hAnsi="Times New Roman" w:cs="Times New Roman"/>
          <w:sz w:val="32"/>
          <w:szCs w:val="32"/>
          <w:lang w:val="en-US"/>
        </w:rPr>
        <w:t>ERP</w:t>
      </w:r>
      <w:r w:rsidRPr="008A6AE9">
        <w:rPr>
          <w:rFonts w:ascii="Times New Roman" w:eastAsia="Times New Roman" w:hAnsi="Times New Roman" w:cs="Times New Roman"/>
          <w:sz w:val="32"/>
          <w:szCs w:val="32"/>
        </w:rPr>
        <w:t xml:space="preserve">-систем относятся снижение ошибок и дублирования данных, ускорение взаимодействия между отделами, а также гибкость и масштабируемость. </w:t>
      </w:r>
    </w:p>
    <w:p w14:paraId="7F5FEA87"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Несмотря на это, внедрение ERP связано с рядом сложностей, особенно для малого и среднего бизнеса. К ним относятся:</w:t>
      </w:r>
    </w:p>
    <w:p w14:paraId="1DB5274B" w14:textId="77777777" w:rsidR="008A6AE9" w:rsidRPr="008A6AE9" w:rsidRDefault="008A6AE9" w:rsidP="00AD58CD">
      <w:pPr>
        <w:numPr>
          <w:ilvl w:val="0"/>
          <w:numId w:val="216"/>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Высокие затраты и скрытые расходы</w:t>
      </w:r>
    </w:p>
    <w:p w14:paraId="49B13CFD"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Первоначальные инвестиции (лицензии, серверы, внедренческий консалтинг).</w:t>
      </w:r>
    </w:p>
    <w:p w14:paraId="2F7DA076"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lastRenderedPageBreak/>
        <w:t>Дополнительные расходы (обучение, кастомизация, техподдержка).</w:t>
      </w:r>
    </w:p>
    <w:p w14:paraId="01818D96" w14:textId="77777777" w:rsidR="008A6AE9" w:rsidRPr="008A6AE9" w:rsidRDefault="008A6AE9" w:rsidP="00AD58CD">
      <w:pPr>
        <w:numPr>
          <w:ilvl w:val="0"/>
          <w:numId w:val="216"/>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Сопротивление сотрудников</w:t>
      </w:r>
    </w:p>
    <w:p w14:paraId="6221683D"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Нежелание менять привычные процессы – например, переход с Excel на ERP.</w:t>
      </w:r>
    </w:p>
    <w:p w14:paraId="36A8E792"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Страх автоматизации – сотрудники боятся сокращения.</w:t>
      </w:r>
    </w:p>
    <w:p w14:paraId="08C89134" w14:textId="77777777" w:rsidR="008A6AE9" w:rsidRPr="008A6AE9" w:rsidRDefault="008A6AE9" w:rsidP="00AD58CD">
      <w:pPr>
        <w:numPr>
          <w:ilvl w:val="0"/>
          <w:numId w:val="216"/>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Длительные сроки внедрения</w:t>
      </w:r>
    </w:p>
    <w:p w14:paraId="11771E1B"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От 3 месяцев до 1+ года – за это время бизнес-процессы могут измениться.</w:t>
      </w:r>
    </w:p>
    <w:p w14:paraId="21CABDB7"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b/>
          <w:bCs/>
          <w:sz w:val="32"/>
          <w:szCs w:val="32"/>
        </w:rPr>
      </w:pPr>
      <w:r w:rsidRPr="008A6AE9">
        <w:rPr>
          <w:rFonts w:ascii="Times New Roman" w:eastAsia="Times New Roman" w:hAnsi="Times New Roman" w:cs="Times New Roman"/>
          <w:sz w:val="32"/>
          <w:szCs w:val="32"/>
        </w:rPr>
        <w:t>Риск «устаревания» системы до завершения проекта.</w:t>
      </w:r>
    </w:p>
    <w:p w14:paraId="79DCC907"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Внедрение ERP-системы – это многоэтапный процесс, сочетающий организационные и технологические аспекты, и требующий детального планирования. На основе изучения успешного опыта и распространенных ошибок можно выделить следующие рекомендации для предприятий малого и среднего бизнеса:</w:t>
      </w:r>
    </w:p>
    <w:p w14:paraId="2619108C"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Предпроектный анализ и постановка целей</w:t>
      </w:r>
    </w:p>
    <w:p w14:paraId="2A9CA034"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Проведение аудита существующих бизнес-процессов</w:t>
      </w:r>
    </w:p>
    <w:p w14:paraId="55BAC075"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Четкое формулирование KPI внедрения (снижение затрат на 20%, сокращение времени обработки заказов на 30% и т.д.)</w:t>
      </w:r>
    </w:p>
    <w:p w14:paraId="787632F9"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Составление технического задания с приоритезацией функций</w:t>
      </w:r>
    </w:p>
    <w:p w14:paraId="698E7EEE"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Пример: Компания-импортер перед выбором ERP провела хронометраж операций и выявила, что 40% времени сотрудников тратится на ручной ввод данных.</w:t>
      </w:r>
    </w:p>
    <w:p w14:paraId="1AA84FB3"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Выбор оптимальной ERP-системы</w:t>
      </w:r>
    </w:p>
    <w:p w14:paraId="46063455"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Критерии выбора:</w:t>
      </w:r>
    </w:p>
    <w:p w14:paraId="77128475"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Соответствие отраслевым требованиям</w:t>
      </w:r>
    </w:p>
    <w:p w14:paraId="1C7065B5"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Масштабируемость и гибкость архитектуры</w:t>
      </w:r>
    </w:p>
    <w:p w14:paraId="1EFA8522"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Стоимость владения (TCO)</w:t>
      </w:r>
    </w:p>
    <w:p w14:paraId="0BD21B8F"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Наличие мобильного интерфейса</w:t>
      </w:r>
    </w:p>
    <w:p w14:paraId="1677E4E4"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Простота интеграции с существующими системами</w:t>
      </w:r>
    </w:p>
    <w:p w14:paraId="1094AB30"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Рекомендация: Для МСП с оборотом до $10 млн в год предпочтительны облачные решения (Odoo, Zoho ERP, SAP Business One).</w:t>
      </w:r>
    </w:p>
    <w:p w14:paraId="3278184B"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Поэтапная реализация проекта</w:t>
      </w:r>
    </w:p>
    <w:p w14:paraId="4448D681"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Рекомендуемая последовательность:</w:t>
      </w:r>
    </w:p>
    <w:p w14:paraId="3959E3DD" w14:textId="77777777" w:rsidR="008A6AE9" w:rsidRPr="008A6AE9" w:rsidRDefault="008A6AE9" w:rsidP="00AD58CD">
      <w:pPr>
        <w:numPr>
          <w:ilvl w:val="0"/>
          <w:numId w:val="219"/>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Пилотное внедрение ключевого модуля (например, управление закупками)</w:t>
      </w:r>
    </w:p>
    <w:p w14:paraId="48875653" w14:textId="77777777" w:rsidR="008A6AE9" w:rsidRPr="008A6AE9" w:rsidRDefault="008A6AE9" w:rsidP="00AD58CD">
      <w:pPr>
        <w:numPr>
          <w:ilvl w:val="0"/>
          <w:numId w:val="219"/>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Автоматизация учета</w:t>
      </w:r>
    </w:p>
    <w:p w14:paraId="0B077B1B" w14:textId="77777777" w:rsidR="008A6AE9" w:rsidRPr="008A6AE9" w:rsidRDefault="008A6AE9" w:rsidP="00AD58CD">
      <w:pPr>
        <w:numPr>
          <w:ilvl w:val="0"/>
          <w:numId w:val="219"/>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 xml:space="preserve"> Внедрение CRM-функционала</w:t>
      </w:r>
    </w:p>
    <w:p w14:paraId="390A8331" w14:textId="77777777" w:rsidR="008A6AE9" w:rsidRPr="008A6AE9" w:rsidRDefault="008A6AE9" w:rsidP="00AD58CD">
      <w:pPr>
        <w:numPr>
          <w:ilvl w:val="0"/>
          <w:numId w:val="219"/>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lastRenderedPageBreak/>
        <w:t>Подключение аналитики</w:t>
      </w:r>
    </w:p>
    <w:p w14:paraId="6357B41C"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Кейс: Производитель мебели внедрял ERP 9 месяцев: 1 этап - склад и закупки (3 мес.), 2 этап - производство (4 мес.), 3 этап - продажи (2 мес.).</w:t>
      </w:r>
    </w:p>
    <w:p w14:paraId="36A570B0"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Управление изменениями</w:t>
      </w:r>
    </w:p>
    <w:p w14:paraId="03E0D39A"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Проведение тренингов для сотрудников (не менее 20-30 часов на пользователя)</w:t>
      </w:r>
    </w:p>
    <w:p w14:paraId="63226F3E"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Назначение внутренних "чемпионов изменений" в каждом отделе</w:t>
      </w:r>
    </w:p>
    <w:p w14:paraId="3B12957C"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Разработка новых регламентов работы</w:t>
      </w:r>
    </w:p>
    <w:p w14:paraId="52FD8878"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Мотивационная программа для сотрудников</w:t>
      </w:r>
    </w:p>
    <w:p w14:paraId="636935F0"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Статистика: Компании, инвестировавшие в обучение &gt;30 часов на сотрудника, достигали 80% освоения системы против 40% при стандартном обучении.</w:t>
      </w:r>
    </w:p>
    <w:p w14:paraId="564729ED"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Техническая реализация</w:t>
      </w:r>
    </w:p>
    <w:p w14:paraId="03205EF7"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Разработка плана миграции данных</w:t>
      </w:r>
    </w:p>
    <w:p w14:paraId="0BE7D27F"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Создание тестового контура</w:t>
      </w:r>
    </w:p>
    <w:p w14:paraId="5782FE6C"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Постепенный перевод отделов на новую систему</w:t>
      </w:r>
    </w:p>
    <w:p w14:paraId="57674D1D"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Настройка резервного копирования</w:t>
      </w:r>
    </w:p>
    <w:p w14:paraId="310644ED"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Важно</w:t>
      </w:r>
      <w:proofErr w:type="gramStart"/>
      <w:r w:rsidRPr="008A6AE9">
        <w:rPr>
          <w:rFonts w:ascii="Times New Roman" w:eastAsia="Times New Roman" w:hAnsi="Times New Roman" w:cs="Times New Roman"/>
          <w:sz w:val="32"/>
          <w:szCs w:val="32"/>
        </w:rPr>
        <w:t>: Для</w:t>
      </w:r>
      <w:proofErr w:type="gramEnd"/>
      <w:r w:rsidRPr="008A6AE9">
        <w:rPr>
          <w:rFonts w:ascii="Times New Roman" w:eastAsia="Times New Roman" w:hAnsi="Times New Roman" w:cs="Times New Roman"/>
          <w:sz w:val="32"/>
          <w:szCs w:val="32"/>
        </w:rPr>
        <w:t xml:space="preserve"> миграции данных из legacy-систем рекомендуется использовать ETL-инструменты (Informatica, Talend).</w:t>
      </w:r>
    </w:p>
    <w:p w14:paraId="588F0772" w14:textId="77777777" w:rsidR="008A6AE9" w:rsidRPr="008A6AE9" w:rsidRDefault="008A6AE9" w:rsidP="00AD58CD">
      <w:pPr>
        <w:numPr>
          <w:ilvl w:val="0"/>
          <w:numId w:val="218"/>
        </w:numPr>
        <w:spacing w:after="0" w:line="240" w:lineRule="auto"/>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Пост-внедренческая поддержка</w:t>
      </w:r>
    </w:p>
    <w:p w14:paraId="021D87F8"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Мониторинг использования системы (анализ логов)</w:t>
      </w:r>
    </w:p>
    <w:p w14:paraId="41F5E99E"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Регулярный сбор обратной связи</w:t>
      </w:r>
    </w:p>
    <w:p w14:paraId="121038E8"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План обновлений и доработок</w:t>
      </w:r>
    </w:p>
    <w:p w14:paraId="1363D2FB" w14:textId="77777777" w:rsidR="008A6AE9" w:rsidRPr="008A6AE9" w:rsidRDefault="008A6AE9" w:rsidP="00AD58CD">
      <w:pPr>
        <w:numPr>
          <w:ilvl w:val="0"/>
          <w:numId w:val="217"/>
        </w:numPr>
        <w:shd w:val="clear" w:color="auto" w:fill="FFFFFF"/>
        <w:spacing w:after="0" w:line="240" w:lineRule="auto"/>
        <w:jc w:val="both"/>
        <w:outlineLvl w:val="3"/>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Техническая поддержка 24/7 для критических процессов</w:t>
      </w:r>
    </w:p>
    <w:p w14:paraId="77A1B196"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rPr>
        <w:t>Метрика успеха</w:t>
      </w:r>
      <w:proofErr w:type="gramStart"/>
      <w:r w:rsidRPr="008A6AE9">
        <w:rPr>
          <w:rFonts w:ascii="Times New Roman" w:eastAsia="Times New Roman" w:hAnsi="Times New Roman" w:cs="Times New Roman"/>
          <w:sz w:val="32"/>
          <w:szCs w:val="32"/>
        </w:rPr>
        <w:t>: Через</w:t>
      </w:r>
      <w:proofErr w:type="gramEnd"/>
      <w:r w:rsidRPr="008A6AE9">
        <w:rPr>
          <w:rFonts w:ascii="Times New Roman" w:eastAsia="Times New Roman" w:hAnsi="Times New Roman" w:cs="Times New Roman"/>
          <w:sz w:val="32"/>
          <w:szCs w:val="32"/>
        </w:rPr>
        <w:t xml:space="preserve"> 6 месяцев после внедрения &gt;85% запланированных процессов должны выполняться в системе.</w:t>
      </w:r>
    </w:p>
    <w:p w14:paraId="1126AF7F"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lang w:eastAsia="zh-CN"/>
        </w:rPr>
      </w:pPr>
      <w:r w:rsidRPr="008A6AE9">
        <w:rPr>
          <w:rFonts w:ascii="Times New Roman" w:eastAsia="Times New Roman" w:hAnsi="Times New Roman" w:cs="Times New Roman"/>
          <w:sz w:val="32"/>
          <w:szCs w:val="32"/>
          <w:lang w:eastAsia="zh-CN"/>
        </w:rPr>
        <w:t xml:space="preserve">Внедрение </w:t>
      </w:r>
      <w:r w:rsidRPr="008A6AE9">
        <w:rPr>
          <w:rFonts w:ascii="Times New Roman" w:eastAsia="Times New Roman" w:hAnsi="Times New Roman" w:cs="Times New Roman"/>
          <w:sz w:val="32"/>
          <w:szCs w:val="32"/>
          <w:lang w:val="en-US" w:eastAsia="zh-CN"/>
        </w:rPr>
        <w:t>ERP</w:t>
      </w:r>
      <w:r w:rsidRPr="008A6AE9">
        <w:rPr>
          <w:rFonts w:ascii="Times New Roman" w:eastAsia="Times New Roman" w:hAnsi="Times New Roman" w:cs="Times New Roman"/>
          <w:sz w:val="32"/>
          <w:szCs w:val="32"/>
          <w:lang w:eastAsia="zh-CN"/>
        </w:rPr>
        <w:t xml:space="preserve">-систем в МСП – важный элемент цифровой трансформации и повышения эффективности деятельности. Как показал анализ, такие системы автоматизируют ключевые процессы, снижают вероятность ошибок, улучшают управление ресурсами и обеспечивают прозрачность данных. К основным преимуществам относятся сокращение времени, затрачиваемого на рутинные операции, централизация информации и поддержка принятия обоснованных управленческих решений. </w:t>
      </w:r>
    </w:p>
    <w:p w14:paraId="1427531C"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lang w:eastAsia="zh-CN"/>
        </w:rPr>
      </w:pPr>
      <w:r w:rsidRPr="008A6AE9">
        <w:rPr>
          <w:rFonts w:ascii="Times New Roman" w:eastAsia="Times New Roman" w:hAnsi="Times New Roman" w:cs="Times New Roman"/>
          <w:sz w:val="32"/>
          <w:szCs w:val="32"/>
          <w:lang w:eastAsia="zh-CN"/>
        </w:rPr>
        <w:t xml:space="preserve">Тем не менее, успешная интеграция </w:t>
      </w:r>
      <w:r w:rsidRPr="008A6AE9">
        <w:rPr>
          <w:rFonts w:ascii="Times New Roman" w:eastAsia="Times New Roman" w:hAnsi="Times New Roman" w:cs="Times New Roman"/>
          <w:sz w:val="32"/>
          <w:szCs w:val="32"/>
          <w:lang w:val="en-US" w:eastAsia="zh-CN"/>
        </w:rPr>
        <w:t>ERP</w:t>
      </w:r>
      <w:r w:rsidRPr="008A6AE9">
        <w:rPr>
          <w:rFonts w:ascii="Times New Roman" w:eastAsia="Times New Roman" w:hAnsi="Times New Roman" w:cs="Times New Roman"/>
          <w:sz w:val="32"/>
          <w:szCs w:val="32"/>
          <w:lang w:eastAsia="zh-CN"/>
        </w:rPr>
        <w:t xml:space="preserve"> сопряжена с определенными трудностями. К ним относятся значительные первоначальные инвестиции, возможное сопротивление со стороны сотрудников и продолжительный период внедрения. Чтобы снизить </w:t>
      </w:r>
      <w:r w:rsidRPr="008A6AE9">
        <w:rPr>
          <w:rFonts w:ascii="Times New Roman" w:eastAsia="Times New Roman" w:hAnsi="Times New Roman" w:cs="Times New Roman"/>
          <w:sz w:val="32"/>
          <w:szCs w:val="32"/>
          <w:lang w:eastAsia="zh-CN"/>
        </w:rPr>
        <w:lastRenderedPageBreak/>
        <w:t xml:space="preserve">потенциальные риски, рекомендуется проводить предварительный анализ, выбирать решения, соответствующие размеру и специфике отрасли компании, а также осуществлять проект поэтапно. Важно уделить особое внимание обучению персонала и последующей поддержке системы. </w:t>
      </w:r>
    </w:p>
    <w:p w14:paraId="43AC26F3" w14:textId="77777777" w:rsidR="008A6AE9" w:rsidRPr="008A6AE9" w:rsidRDefault="008A6AE9" w:rsidP="00485A13">
      <w:pPr>
        <w:spacing w:after="0" w:line="240" w:lineRule="auto"/>
        <w:ind w:firstLine="567"/>
        <w:jc w:val="both"/>
        <w:rPr>
          <w:rFonts w:ascii="Times New Roman" w:eastAsia="Times New Roman" w:hAnsi="Times New Roman" w:cs="Times New Roman"/>
          <w:sz w:val="32"/>
          <w:szCs w:val="32"/>
        </w:rPr>
      </w:pPr>
      <w:r w:rsidRPr="008A6AE9">
        <w:rPr>
          <w:rFonts w:ascii="Times New Roman" w:eastAsia="Times New Roman" w:hAnsi="Times New Roman" w:cs="Times New Roman"/>
          <w:sz w:val="32"/>
          <w:szCs w:val="32"/>
          <w:lang w:eastAsia="zh-CN"/>
        </w:rPr>
        <w:t xml:space="preserve">В целом, </w:t>
      </w:r>
      <w:r w:rsidRPr="008A6AE9">
        <w:rPr>
          <w:rFonts w:ascii="Times New Roman" w:eastAsia="Times New Roman" w:hAnsi="Times New Roman" w:cs="Times New Roman"/>
          <w:sz w:val="32"/>
          <w:szCs w:val="32"/>
          <w:lang w:val="en-US" w:eastAsia="zh-CN"/>
        </w:rPr>
        <w:t>ERP</w:t>
      </w:r>
      <w:r w:rsidRPr="008A6AE9">
        <w:rPr>
          <w:rFonts w:ascii="Times New Roman" w:eastAsia="Times New Roman" w:hAnsi="Times New Roman" w:cs="Times New Roman"/>
          <w:sz w:val="32"/>
          <w:szCs w:val="32"/>
          <w:lang w:eastAsia="zh-CN"/>
        </w:rPr>
        <w:t>-системы – это эффективный инструмент для развития и оптимизации предприятий малого и среднего бизнеса. При правильном подходе к внедрению они могут стать двигателем роста, обеспечивая долгосрочную конкурентоспособность компании в условиях современной цифровой среды.</w:t>
      </w:r>
    </w:p>
    <w:p w14:paraId="7891F766" w14:textId="77777777" w:rsidR="00B3731D" w:rsidRDefault="00B3731D" w:rsidP="00485A13">
      <w:pPr>
        <w:shd w:val="clear" w:color="auto" w:fill="FFFFFF"/>
        <w:spacing w:after="0" w:line="240" w:lineRule="auto"/>
        <w:ind w:firstLine="567"/>
        <w:jc w:val="center"/>
        <w:rPr>
          <w:rFonts w:ascii="Times New Roman" w:hAnsi="Times New Roman" w:cs="Times New Roman"/>
          <w:b/>
          <w:color w:val="000000"/>
          <w:sz w:val="21"/>
          <w:szCs w:val="21"/>
          <w:lang w:eastAsia="zh-CN"/>
        </w:rPr>
      </w:pPr>
    </w:p>
    <w:p w14:paraId="3E5F0095" w14:textId="68329BDA" w:rsidR="008A6AE9" w:rsidRPr="008A6AE9" w:rsidRDefault="008A6AE9" w:rsidP="008A6AE9">
      <w:pPr>
        <w:shd w:val="clear" w:color="auto" w:fill="FFFFFF"/>
        <w:spacing w:after="0" w:line="240" w:lineRule="auto"/>
        <w:ind w:firstLine="567"/>
        <w:jc w:val="center"/>
        <w:rPr>
          <w:rFonts w:ascii="Times New Roman" w:hAnsi="Times New Roman" w:cs="Times New Roman"/>
          <w:b/>
          <w:color w:val="000000"/>
          <w:sz w:val="21"/>
          <w:szCs w:val="21"/>
          <w:lang w:eastAsia="zh-CN"/>
        </w:rPr>
      </w:pPr>
      <w:r w:rsidRPr="008A6AE9">
        <w:rPr>
          <w:rFonts w:ascii="Times New Roman" w:hAnsi="Times New Roman" w:cs="Times New Roman"/>
          <w:b/>
          <w:color w:val="000000"/>
          <w:sz w:val="21"/>
          <w:szCs w:val="21"/>
          <w:lang w:eastAsia="zh-CN"/>
        </w:rPr>
        <w:t>Литература:</w:t>
      </w:r>
    </w:p>
    <w:p w14:paraId="5DA638D5" w14:textId="77777777" w:rsidR="008A6AE9" w:rsidRPr="00B3731D" w:rsidRDefault="008A6AE9" w:rsidP="00AD58CD">
      <w:pPr>
        <w:pStyle w:val="a8"/>
        <w:numPr>
          <w:ilvl w:val="0"/>
          <w:numId w:val="220"/>
        </w:numPr>
        <w:tabs>
          <w:tab w:val="clear" w:pos="720"/>
          <w:tab w:val="left" w:pos="0"/>
          <w:tab w:val="num" w:pos="426"/>
        </w:tabs>
        <w:suppressAutoHyphens/>
        <w:autoSpaceDE w:val="0"/>
        <w:spacing w:after="0" w:line="240" w:lineRule="auto"/>
        <w:ind w:left="426" w:hanging="426"/>
        <w:jc w:val="both"/>
        <w:rPr>
          <w:rFonts w:ascii="Times New Roman" w:eastAsia="Times New Roman" w:hAnsi="Times New Roman" w:cs="Times New Roman"/>
          <w:sz w:val="21"/>
          <w:szCs w:val="21"/>
        </w:rPr>
      </w:pPr>
      <w:r w:rsidRPr="00B3731D">
        <w:rPr>
          <w:rFonts w:ascii="Times New Roman" w:eastAsia="Times New Roman" w:hAnsi="Times New Roman" w:cs="Times New Roman"/>
          <w:sz w:val="21"/>
          <w:szCs w:val="21"/>
          <w:lang w:eastAsia="ar-SA"/>
        </w:rPr>
        <w:t>Оразова Э., Мередова М., Чарыева А. ВНЕДРЕНИЕ ERP-СИСТЕМ: ТЕОРЕТИЧЕСКИЕ ОСНОВЫ И ПРАКТИЧЕСКИЕ АСПЕКТЫ // Символ науки. 2024. №5-1-1. URL: https://cyberleninka.ru/article/n/vnedrenie-erp-sistem-teoreticheskie-osnovy-i-prakticheskie-aspekty (дата обращения: 01.05.2025).</w:t>
      </w:r>
    </w:p>
    <w:p w14:paraId="4CDF2203" w14:textId="77777777" w:rsidR="008A6AE9" w:rsidRPr="00B3731D" w:rsidRDefault="008A6AE9" w:rsidP="00AD58CD">
      <w:pPr>
        <w:pStyle w:val="a8"/>
        <w:numPr>
          <w:ilvl w:val="0"/>
          <w:numId w:val="220"/>
        </w:numPr>
        <w:tabs>
          <w:tab w:val="clear" w:pos="720"/>
          <w:tab w:val="left" w:pos="0"/>
          <w:tab w:val="num" w:pos="426"/>
        </w:tabs>
        <w:suppressAutoHyphens/>
        <w:autoSpaceDE w:val="0"/>
        <w:spacing w:after="0" w:line="240" w:lineRule="auto"/>
        <w:ind w:left="426" w:hanging="426"/>
        <w:jc w:val="both"/>
        <w:rPr>
          <w:rFonts w:ascii="Times New Roman" w:eastAsia="Times New Roman" w:hAnsi="Times New Roman" w:cs="Times New Roman"/>
          <w:sz w:val="21"/>
          <w:szCs w:val="21"/>
        </w:rPr>
      </w:pPr>
      <w:r w:rsidRPr="00B3731D">
        <w:rPr>
          <w:rFonts w:ascii="Times New Roman" w:eastAsia="Times New Roman" w:hAnsi="Times New Roman" w:cs="Times New Roman"/>
          <w:sz w:val="21"/>
          <w:szCs w:val="21"/>
        </w:rPr>
        <w:t xml:space="preserve">Беляев С., Куприянов С., Овчинникова П., </w:t>
      </w:r>
      <w:r w:rsidRPr="00B3731D">
        <w:rPr>
          <w:rFonts w:ascii="Times New Roman" w:eastAsia="Times New Roman" w:hAnsi="Times New Roman" w:cs="Times New Roman"/>
          <w:sz w:val="21"/>
          <w:szCs w:val="21"/>
          <w:lang w:eastAsia="ar-SA"/>
        </w:rPr>
        <w:t xml:space="preserve">ERP-системы: как они спасают компании от бюрократии // URL: </w:t>
      </w:r>
      <w:hyperlink r:id="rId431" w:anchor="tipy-sistem" w:history="1">
        <w:r w:rsidRPr="00B3731D">
          <w:rPr>
            <w:rFonts w:ascii="Times New Roman" w:eastAsia="Times New Roman" w:hAnsi="Times New Roman" w:cs="Times New Roman"/>
            <w:color w:val="0000FF"/>
            <w:sz w:val="21"/>
            <w:szCs w:val="21"/>
            <w:u w:val="single"/>
            <w:lang w:eastAsia="ar-SA"/>
          </w:rPr>
          <w:t>https://practicum.yandex.ru/blog/chto-takoe-erp-sistemy/#tipy-sistem</w:t>
        </w:r>
      </w:hyperlink>
      <w:r w:rsidRPr="00B3731D">
        <w:rPr>
          <w:rFonts w:ascii="Times New Roman" w:eastAsia="Times New Roman" w:hAnsi="Times New Roman" w:cs="Times New Roman"/>
          <w:sz w:val="21"/>
          <w:szCs w:val="21"/>
          <w:lang w:eastAsia="ar-SA"/>
        </w:rPr>
        <w:t xml:space="preserve"> (дата обращения: 01.05.2025).</w:t>
      </w:r>
    </w:p>
    <w:p w14:paraId="2728B6BE" w14:textId="77777777" w:rsidR="008A6AE9" w:rsidRPr="00B3731D" w:rsidRDefault="008A6AE9" w:rsidP="00AD58CD">
      <w:pPr>
        <w:pStyle w:val="a8"/>
        <w:numPr>
          <w:ilvl w:val="0"/>
          <w:numId w:val="220"/>
        </w:numPr>
        <w:tabs>
          <w:tab w:val="clear" w:pos="720"/>
          <w:tab w:val="left" w:pos="0"/>
          <w:tab w:val="num" w:pos="426"/>
        </w:tabs>
        <w:suppressAutoHyphens/>
        <w:autoSpaceDE w:val="0"/>
        <w:spacing w:after="0" w:line="240" w:lineRule="auto"/>
        <w:ind w:left="426" w:hanging="426"/>
        <w:jc w:val="both"/>
        <w:rPr>
          <w:rFonts w:ascii="Times New Roman" w:eastAsia="Times New Roman" w:hAnsi="Times New Roman" w:cs="Times New Roman"/>
          <w:sz w:val="21"/>
          <w:szCs w:val="21"/>
        </w:rPr>
      </w:pPr>
      <w:r w:rsidRPr="00B3731D">
        <w:rPr>
          <w:rFonts w:ascii="Times New Roman" w:eastAsia="Times New Roman" w:hAnsi="Times New Roman" w:cs="Times New Roman"/>
          <w:sz w:val="21"/>
          <w:szCs w:val="21"/>
        </w:rPr>
        <w:t xml:space="preserve">Голубева О. Л. АНАЛИЗ ФУНКЦИОНАЛЬНЫХ ВОЗМОЖНОСТЕЙ СОВРЕМЕННЫХ ERP-СИСТЕМ // Управление в современных системах. 2022. №3 (35). URL: https://cyberleninka.ru/article/n/analiz-funktsionalnyh-vozmozhnostey-sovremennyh-erp-sistem </w:t>
      </w:r>
      <w:r w:rsidRPr="00B3731D">
        <w:rPr>
          <w:rFonts w:ascii="Times New Roman" w:eastAsia="Times New Roman" w:hAnsi="Times New Roman" w:cs="Times New Roman"/>
          <w:sz w:val="21"/>
          <w:szCs w:val="21"/>
          <w:lang w:eastAsia="ar-SA"/>
        </w:rPr>
        <w:t>(дата обращения: 01.05.2025).</w:t>
      </w:r>
    </w:p>
    <w:p w14:paraId="6450C433" w14:textId="77777777" w:rsidR="008A6AE9" w:rsidRDefault="008A6AE9" w:rsidP="005D2A8F">
      <w:pPr>
        <w:spacing w:after="0" w:line="240" w:lineRule="auto"/>
        <w:contextualSpacing/>
        <w:jc w:val="both"/>
        <w:rPr>
          <w:rFonts w:ascii="Times New Roman" w:eastAsia="Times New Roman" w:hAnsi="Times New Roman" w:cs="Times New Roman"/>
          <w:color w:val="000000"/>
          <w:sz w:val="28"/>
          <w:szCs w:val="28"/>
          <w:lang w:eastAsia="ru-RU"/>
        </w:rPr>
      </w:pPr>
    </w:p>
    <w:p w14:paraId="024C9AF6" w14:textId="77777777" w:rsidR="009D0BA9" w:rsidRPr="009D0BA9" w:rsidRDefault="009D0BA9" w:rsidP="006A3FAE">
      <w:pPr>
        <w:spacing w:after="0" w:line="240" w:lineRule="auto"/>
        <w:contextualSpacing/>
        <w:jc w:val="both"/>
        <w:rPr>
          <w:rFonts w:ascii="Times New Roman" w:eastAsia="Times New Roman" w:hAnsi="Times New Roman" w:cs="Times New Roman"/>
          <w:b/>
          <w:color w:val="000000"/>
          <w:sz w:val="20"/>
          <w:szCs w:val="21"/>
          <w:lang w:eastAsia="ar-SA"/>
        </w:rPr>
      </w:pPr>
      <w:r w:rsidRPr="009D0BA9">
        <w:rPr>
          <w:rFonts w:ascii="Times New Roman" w:eastAsia="Times New Roman" w:hAnsi="Times New Roman" w:cs="Times New Roman"/>
          <w:b/>
          <w:color w:val="000000"/>
          <w:sz w:val="20"/>
          <w:szCs w:val="21"/>
          <w:lang w:eastAsia="ar-SA"/>
        </w:rPr>
        <w:t>УДК</w:t>
      </w:r>
      <w:r>
        <w:rPr>
          <w:rFonts w:ascii="Times New Roman" w:eastAsia="Times New Roman" w:hAnsi="Times New Roman" w:cs="Times New Roman"/>
          <w:b/>
          <w:color w:val="000000"/>
          <w:sz w:val="20"/>
          <w:szCs w:val="21"/>
          <w:lang w:eastAsia="ar-SA"/>
        </w:rPr>
        <w:t xml:space="preserve"> 338.22</w:t>
      </w:r>
    </w:p>
    <w:p w14:paraId="4FE17C2C"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b/>
          <w:i/>
          <w:color w:val="000000"/>
          <w:sz w:val="20"/>
          <w:szCs w:val="21"/>
          <w:lang w:eastAsia="ar-SA"/>
        </w:rPr>
        <w:t>Карартинян Э.Р., Федоренко Р.В.</w:t>
      </w:r>
      <w:r w:rsidRPr="00877DE5">
        <w:rPr>
          <w:rFonts w:ascii="Times New Roman" w:eastAsia="Times New Roman" w:hAnsi="Times New Roman" w:cs="Times New Roman"/>
          <w:b/>
          <w:i/>
          <w:color w:val="000000"/>
          <w:sz w:val="21"/>
          <w:szCs w:val="21"/>
          <w:lang w:eastAsia="ar-SA"/>
        </w:rPr>
        <w:t xml:space="preserve">, </w:t>
      </w:r>
    </w:p>
    <w:p w14:paraId="186595A8"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color w:val="000000"/>
          <w:sz w:val="21"/>
          <w:szCs w:val="21"/>
          <w:lang w:eastAsia="ar-SA"/>
        </w:rPr>
      </w:pPr>
      <w:r w:rsidRPr="00877DE5">
        <w:rPr>
          <w:rFonts w:ascii="Times New Roman" w:eastAsia="Times New Roman" w:hAnsi="Times New Roman" w:cs="Times New Roman"/>
          <w:i/>
          <w:color w:val="000000"/>
          <w:sz w:val="21"/>
          <w:szCs w:val="21"/>
          <w:lang w:eastAsia="ar-SA"/>
        </w:rPr>
        <w:t xml:space="preserve">студенты 3 курса </w:t>
      </w:r>
    </w:p>
    <w:p w14:paraId="0C2B0734" w14:textId="5B829016"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 xml:space="preserve">Финансовый </w:t>
      </w:r>
      <w:r w:rsidR="006A3FAE">
        <w:rPr>
          <w:rFonts w:ascii="Times New Roman" w:eastAsia="Times New Roman" w:hAnsi="Times New Roman" w:cs="Times New Roman"/>
          <w:i/>
          <w:sz w:val="21"/>
          <w:szCs w:val="21"/>
          <w:lang w:eastAsia="ar-SA"/>
        </w:rPr>
        <w:t>У</w:t>
      </w:r>
      <w:r w:rsidRPr="00877DE5">
        <w:rPr>
          <w:rFonts w:ascii="Times New Roman" w:eastAsia="Times New Roman" w:hAnsi="Times New Roman" w:cs="Times New Roman"/>
          <w:i/>
          <w:sz w:val="21"/>
          <w:szCs w:val="21"/>
          <w:lang w:eastAsia="ar-SA"/>
        </w:rPr>
        <w:t xml:space="preserve">ниверситет </w:t>
      </w:r>
      <w:r w:rsidR="006A3FAE">
        <w:rPr>
          <w:rFonts w:ascii="Times New Roman" w:eastAsia="Times New Roman" w:hAnsi="Times New Roman" w:cs="Times New Roman"/>
          <w:i/>
          <w:sz w:val="21"/>
          <w:szCs w:val="21"/>
          <w:lang w:eastAsia="ar-SA"/>
        </w:rPr>
        <w:t>п</w:t>
      </w:r>
      <w:r w:rsidRPr="00877DE5">
        <w:rPr>
          <w:rFonts w:ascii="Times New Roman" w:eastAsia="Times New Roman" w:hAnsi="Times New Roman" w:cs="Times New Roman"/>
          <w:i/>
          <w:sz w:val="21"/>
          <w:szCs w:val="21"/>
          <w:lang w:eastAsia="ar-SA"/>
        </w:rPr>
        <w:t>ри Правительстве РФ</w:t>
      </w:r>
    </w:p>
    <w:p w14:paraId="69C02011"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г. Краснодар, Россия</w:t>
      </w:r>
    </w:p>
    <w:p w14:paraId="0A9B25A3" w14:textId="77777777" w:rsidR="00877DE5" w:rsidRPr="00654CF2"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i/>
          <w:kern w:val="2"/>
          <w:sz w:val="21"/>
          <w:szCs w:val="21"/>
          <w:lang w:eastAsia="ru-RU"/>
        </w:rPr>
        <w:t>е</w:t>
      </w:r>
      <w:r w:rsidRPr="00654CF2">
        <w:rPr>
          <w:rFonts w:ascii="Times New Roman" w:eastAsia="Times New Roman" w:hAnsi="Times New Roman" w:cs="Times New Roman"/>
          <w:i/>
          <w:kern w:val="2"/>
          <w:sz w:val="21"/>
          <w:szCs w:val="21"/>
          <w:lang w:eastAsia="ru-RU"/>
        </w:rPr>
        <w:t>-</w:t>
      </w:r>
      <w:r w:rsidRPr="00877DE5">
        <w:rPr>
          <w:rFonts w:ascii="Times New Roman" w:eastAsia="Times New Roman" w:hAnsi="Times New Roman" w:cs="Times New Roman"/>
          <w:i/>
          <w:kern w:val="2"/>
          <w:sz w:val="21"/>
          <w:szCs w:val="21"/>
          <w:lang w:val="en-US" w:eastAsia="ru-RU"/>
        </w:rPr>
        <w:t>mail</w:t>
      </w:r>
      <w:r w:rsidRPr="00654CF2">
        <w:rPr>
          <w:rFonts w:ascii="Times New Roman" w:eastAsia="Times New Roman" w:hAnsi="Times New Roman" w:cs="Times New Roman"/>
          <w:i/>
          <w:kern w:val="2"/>
          <w:sz w:val="21"/>
          <w:szCs w:val="21"/>
          <w:lang w:eastAsia="ru-RU"/>
        </w:rPr>
        <w:t xml:space="preserve">: </w:t>
      </w:r>
      <w:hyperlink r:id="rId432" w:history="1">
        <w:r w:rsidRPr="00877DE5">
          <w:rPr>
            <w:rFonts w:ascii="Times New Roman" w:eastAsia="Times New Roman" w:hAnsi="Times New Roman" w:cs="Times New Roman"/>
            <w:i/>
            <w:color w:val="000080"/>
            <w:kern w:val="2"/>
            <w:sz w:val="21"/>
            <w:szCs w:val="21"/>
            <w:u w:val="single"/>
            <w:lang w:val="en-US" w:eastAsia="ru-RU"/>
          </w:rPr>
          <w:t>radhz</w:t>
        </w:r>
        <w:r w:rsidRPr="00654CF2">
          <w:rPr>
            <w:rFonts w:ascii="Times New Roman" w:eastAsia="Times New Roman" w:hAnsi="Times New Roman" w:cs="Times New Roman"/>
            <w:i/>
            <w:color w:val="000080"/>
            <w:kern w:val="2"/>
            <w:sz w:val="21"/>
            <w:szCs w:val="21"/>
            <w:u w:val="single"/>
            <w:lang w:eastAsia="ru-RU"/>
          </w:rPr>
          <w:t>.</w:t>
        </w:r>
        <w:r w:rsidRPr="00877DE5">
          <w:rPr>
            <w:rFonts w:ascii="Times New Roman" w:eastAsia="Times New Roman" w:hAnsi="Times New Roman" w:cs="Times New Roman"/>
            <w:i/>
            <w:color w:val="000080"/>
            <w:kern w:val="2"/>
            <w:sz w:val="21"/>
            <w:szCs w:val="21"/>
            <w:u w:val="single"/>
            <w:lang w:val="en-US" w:eastAsia="ru-RU"/>
          </w:rPr>
          <w:t>ru</w:t>
        </w:r>
        <w:r w:rsidRPr="00654CF2">
          <w:rPr>
            <w:rFonts w:ascii="Times New Roman" w:eastAsia="Times New Roman" w:hAnsi="Times New Roman" w:cs="Times New Roman"/>
            <w:i/>
            <w:color w:val="000080"/>
            <w:kern w:val="2"/>
            <w:sz w:val="21"/>
            <w:szCs w:val="21"/>
            <w:u w:val="single"/>
            <w:lang w:eastAsia="ru-RU"/>
          </w:rPr>
          <w:t>@</w:t>
        </w:r>
        <w:r w:rsidRPr="00877DE5">
          <w:rPr>
            <w:rFonts w:ascii="Times New Roman" w:eastAsia="Times New Roman" w:hAnsi="Times New Roman" w:cs="Times New Roman"/>
            <w:i/>
            <w:color w:val="000080"/>
            <w:kern w:val="2"/>
            <w:sz w:val="21"/>
            <w:szCs w:val="21"/>
            <w:u w:val="single"/>
            <w:lang w:val="en-US" w:eastAsia="ru-RU"/>
          </w:rPr>
          <w:t>gmail</w:t>
        </w:r>
        <w:r w:rsidRPr="00654CF2">
          <w:rPr>
            <w:rFonts w:ascii="Times New Roman" w:eastAsia="Times New Roman" w:hAnsi="Times New Roman" w:cs="Times New Roman"/>
            <w:i/>
            <w:color w:val="000080"/>
            <w:kern w:val="2"/>
            <w:sz w:val="21"/>
            <w:szCs w:val="21"/>
            <w:u w:val="single"/>
            <w:lang w:eastAsia="ru-RU"/>
          </w:rPr>
          <w:t>.</w:t>
        </w:r>
        <w:r w:rsidRPr="00877DE5">
          <w:rPr>
            <w:rFonts w:ascii="Times New Roman" w:eastAsia="Times New Roman" w:hAnsi="Times New Roman" w:cs="Times New Roman"/>
            <w:i/>
            <w:color w:val="000080"/>
            <w:kern w:val="2"/>
            <w:sz w:val="21"/>
            <w:szCs w:val="21"/>
            <w:u w:val="single"/>
            <w:lang w:val="en-US" w:eastAsia="ru-RU"/>
          </w:rPr>
          <w:t>com</w:t>
        </w:r>
      </w:hyperlink>
    </w:p>
    <w:p w14:paraId="7CFFA28C"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eastAsia="ru-RU"/>
        </w:rPr>
        <w:t>е</w:t>
      </w:r>
      <w:r w:rsidRPr="00877DE5">
        <w:rPr>
          <w:rFonts w:ascii="Times New Roman" w:eastAsia="Times New Roman" w:hAnsi="Times New Roman" w:cs="Times New Roman"/>
          <w:i/>
          <w:kern w:val="2"/>
          <w:sz w:val="21"/>
          <w:szCs w:val="21"/>
          <w:lang w:val="en-US" w:eastAsia="ru-RU"/>
        </w:rPr>
        <w:t xml:space="preserve">-mail: edgarkarartinayn.ru@gmail.com </w:t>
      </w:r>
    </w:p>
    <w:p w14:paraId="760BC7DF"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p>
    <w:p w14:paraId="3CFFAF52"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Научный руководитель:</w:t>
      </w:r>
    </w:p>
    <w:p w14:paraId="37F5B9A0"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eastAsia="ru-RU"/>
        </w:rPr>
      </w:pPr>
      <w:r w:rsidRPr="00877DE5">
        <w:rPr>
          <w:rFonts w:ascii="Times New Roman" w:eastAsia="Times New Roman" w:hAnsi="Times New Roman" w:cs="Times New Roman"/>
          <w:b/>
          <w:i/>
          <w:kern w:val="2"/>
          <w:sz w:val="21"/>
          <w:szCs w:val="21"/>
          <w:lang w:eastAsia="ru-RU"/>
        </w:rPr>
        <w:t>Продолятченко П.А.,</w:t>
      </w:r>
    </w:p>
    <w:p w14:paraId="68DF0AFC"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eastAsia="ru-RU"/>
        </w:rPr>
      </w:pPr>
      <w:r w:rsidRPr="00877DE5">
        <w:rPr>
          <w:rFonts w:ascii="Times New Roman" w:eastAsia="Times New Roman" w:hAnsi="Times New Roman" w:cs="Times New Roman"/>
          <w:b/>
          <w:i/>
          <w:kern w:val="2"/>
          <w:sz w:val="21"/>
          <w:szCs w:val="21"/>
          <w:lang w:eastAsia="ru-RU"/>
        </w:rPr>
        <w:t xml:space="preserve"> </w:t>
      </w:r>
      <w:r w:rsidRPr="00877DE5">
        <w:rPr>
          <w:rFonts w:ascii="Times New Roman" w:eastAsia="Times New Roman" w:hAnsi="Times New Roman" w:cs="Times New Roman"/>
          <w:i/>
          <w:kern w:val="2"/>
          <w:sz w:val="21"/>
          <w:szCs w:val="21"/>
          <w:lang w:eastAsia="ru-RU"/>
        </w:rPr>
        <w:t>доцент, к.э.н.</w:t>
      </w:r>
    </w:p>
    <w:p w14:paraId="4FB559E9" w14:textId="04721183"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 xml:space="preserve">Финансовый Университет </w:t>
      </w:r>
      <w:r w:rsidR="006A3FAE">
        <w:rPr>
          <w:rFonts w:ascii="Times New Roman" w:eastAsia="Times New Roman" w:hAnsi="Times New Roman" w:cs="Times New Roman"/>
          <w:i/>
          <w:sz w:val="21"/>
          <w:szCs w:val="21"/>
          <w:lang w:eastAsia="ar-SA"/>
        </w:rPr>
        <w:t>п</w:t>
      </w:r>
      <w:r w:rsidRPr="00877DE5">
        <w:rPr>
          <w:rFonts w:ascii="Times New Roman" w:eastAsia="Times New Roman" w:hAnsi="Times New Roman" w:cs="Times New Roman"/>
          <w:i/>
          <w:sz w:val="21"/>
          <w:szCs w:val="21"/>
          <w:lang w:eastAsia="ar-SA"/>
        </w:rPr>
        <w:t>ри Правительстве РФ</w:t>
      </w:r>
    </w:p>
    <w:p w14:paraId="7B471CDA" w14:textId="77777777" w:rsidR="00877DE5" w:rsidRPr="00877DE5" w:rsidRDefault="00877DE5" w:rsidP="00067100">
      <w:pPr>
        <w:suppressAutoHyphens/>
        <w:spacing w:after="0" w:line="240" w:lineRule="auto"/>
        <w:ind w:firstLine="709"/>
        <w:jc w:val="right"/>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г. Краснодар, Россия</w:t>
      </w:r>
    </w:p>
    <w:p w14:paraId="722AD5E5"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1"/>
          <w:lang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mail</w:t>
      </w:r>
      <w:r w:rsidRPr="00877DE5">
        <w:rPr>
          <w:rFonts w:ascii="Times New Roman" w:eastAsia="Times New Roman" w:hAnsi="Times New Roman" w:cs="Times New Roman"/>
          <w:i/>
          <w:sz w:val="21"/>
          <w:szCs w:val="21"/>
          <w:lang w:eastAsia="ar-SA"/>
        </w:rPr>
        <w:t xml:space="preserve">: </w:t>
      </w:r>
      <w:r w:rsidRPr="00877DE5">
        <w:rPr>
          <w:rFonts w:ascii="Times New Roman" w:eastAsia="Times New Roman" w:hAnsi="Times New Roman" w:cs="Times New Roman"/>
          <w:i/>
          <w:sz w:val="21"/>
          <w:szCs w:val="21"/>
          <w:lang w:val="en-US" w:eastAsia="ar-SA"/>
        </w:rPr>
        <w:t>PAProdolyatchenko</w:t>
      </w:r>
      <w:r w:rsidRPr="00877DE5">
        <w:rPr>
          <w:rFonts w:ascii="Times New Roman" w:eastAsia="Times New Roman" w:hAnsi="Times New Roman" w:cs="Times New Roman"/>
          <w:i/>
          <w:sz w:val="21"/>
          <w:szCs w:val="21"/>
          <w:lang w:eastAsia="ar-SA"/>
        </w:rPr>
        <w:t>@</w:t>
      </w:r>
      <w:r w:rsidRPr="00877DE5">
        <w:rPr>
          <w:rFonts w:ascii="Times New Roman" w:eastAsia="Times New Roman" w:hAnsi="Times New Roman" w:cs="Times New Roman"/>
          <w:i/>
          <w:sz w:val="21"/>
          <w:szCs w:val="21"/>
          <w:lang w:val="en-US" w:eastAsia="ar-SA"/>
        </w:rPr>
        <w:t>fa</w:t>
      </w:r>
      <w:r w:rsidRPr="00877DE5">
        <w:rPr>
          <w:rFonts w:ascii="Times New Roman" w:eastAsia="Times New Roman" w:hAnsi="Times New Roman" w:cs="Times New Roman"/>
          <w:i/>
          <w:sz w:val="21"/>
          <w:szCs w:val="21"/>
          <w:lang w:eastAsia="ar-SA"/>
        </w:rPr>
        <w:t>.</w:t>
      </w:r>
      <w:r w:rsidRPr="00877DE5">
        <w:rPr>
          <w:rFonts w:ascii="Times New Roman" w:eastAsia="Times New Roman" w:hAnsi="Times New Roman" w:cs="Times New Roman"/>
          <w:i/>
          <w:sz w:val="21"/>
          <w:szCs w:val="21"/>
          <w:lang w:val="en-US" w:eastAsia="ar-SA"/>
        </w:rPr>
        <w:t>ru</w:t>
      </w:r>
    </w:p>
    <w:p w14:paraId="705CB863"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sz w:val="21"/>
          <w:szCs w:val="21"/>
          <w:lang w:eastAsia="ar-SA"/>
        </w:rPr>
      </w:pPr>
    </w:p>
    <w:p w14:paraId="301A9418"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sz w:val="21"/>
          <w:szCs w:val="21"/>
          <w:lang w:eastAsia="ar-SA"/>
        </w:rPr>
      </w:pPr>
      <w:r w:rsidRPr="00877DE5">
        <w:rPr>
          <w:rFonts w:ascii="Times New Roman" w:eastAsia="Times New Roman" w:hAnsi="Times New Roman" w:cs="Times New Roman"/>
          <w:color w:val="000000"/>
          <w:sz w:val="24"/>
          <w:szCs w:val="24"/>
          <w:lang w:val="x-none" w:eastAsia="ar-SA"/>
        </w:rPr>
        <w:t xml:space="preserve"> </w:t>
      </w:r>
      <w:r w:rsidRPr="00877DE5">
        <w:rPr>
          <w:rFonts w:ascii="Times New Roman" w:eastAsia="Times New Roman" w:hAnsi="Times New Roman" w:cs="Times New Roman"/>
          <w:b/>
          <w:color w:val="000000"/>
          <w:sz w:val="21"/>
          <w:szCs w:val="21"/>
          <w:lang w:val="x-none" w:eastAsia="ar-SA"/>
        </w:rPr>
        <w:t>Угрозы и возможности для малого и среднего бизнеса в эпоху цифровизации в Российской Федерации</w:t>
      </w:r>
    </w:p>
    <w:p w14:paraId="06B02661" w14:textId="77777777" w:rsidR="00877DE5" w:rsidRPr="00877DE5" w:rsidRDefault="00877DE5" w:rsidP="00067100">
      <w:pPr>
        <w:spacing w:after="0" w:line="240" w:lineRule="auto"/>
        <w:ind w:firstLine="709"/>
        <w:jc w:val="both"/>
        <w:rPr>
          <w:rFonts w:ascii="Times New Roman" w:eastAsia="Times New Roman" w:hAnsi="Times New Roman" w:cs="Times New Roman"/>
          <w:i/>
          <w:kern w:val="2"/>
          <w:sz w:val="21"/>
          <w:szCs w:val="21"/>
          <w:lang w:eastAsia="ru-RU"/>
        </w:rPr>
      </w:pPr>
    </w:p>
    <w:p w14:paraId="2EBCF98F" w14:textId="77777777" w:rsidR="00877DE5" w:rsidRPr="00877DE5" w:rsidRDefault="00877DE5" w:rsidP="00067100">
      <w:pPr>
        <w:spacing w:after="0" w:line="240" w:lineRule="auto"/>
        <w:ind w:firstLine="709"/>
        <w:jc w:val="both"/>
        <w:rPr>
          <w:rFonts w:ascii="Times New Roman" w:eastAsia="Times New Roman" w:hAnsi="Times New Roman" w:cs="Times New Roman"/>
          <w:b/>
          <w:kern w:val="2"/>
          <w:sz w:val="21"/>
          <w:szCs w:val="21"/>
          <w:lang w:eastAsia="ru-RU"/>
        </w:rPr>
      </w:pPr>
      <w:r w:rsidRPr="00877DE5">
        <w:rPr>
          <w:rFonts w:ascii="Times New Roman" w:eastAsia="Times New Roman" w:hAnsi="Times New Roman" w:cs="Times New Roman"/>
          <w:b/>
          <w:kern w:val="2"/>
          <w:sz w:val="21"/>
          <w:szCs w:val="21"/>
          <w:lang w:eastAsia="ru-RU"/>
        </w:rPr>
        <w:t>Аннотация:</w:t>
      </w:r>
      <w:r w:rsidRPr="00877DE5">
        <w:rPr>
          <w:rFonts w:ascii="Times New Roman" w:eastAsia="Times New Roman" w:hAnsi="Times New Roman" w:cs="Times New Roman"/>
          <w:i/>
          <w:kern w:val="2"/>
          <w:sz w:val="21"/>
          <w:szCs w:val="21"/>
          <w:lang w:eastAsia="ru-RU"/>
        </w:rPr>
        <w:t xml:space="preserve"> </w:t>
      </w:r>
      <w:r w:rsidRPr="00877DE5">
        <w:rPr>
          <w:rFonts w:ascii="Times New Roman" w:eastAsia="Times New Roman" w:hAnsi="Times New Roman" w:cs="Times New Roman"/>
          <w:color w:val="000000"/>
          <w:kern w:val="2"/>
          <w:sz w:val="21"/>
          <w:szCs w:val="21"/>
          <w:lang w:eastAsia="ru-RU"/>
        </w:rPr>
        <w:t>В статье представлен углублённый анализ динамики цифровой трансформации малого и среднего бизнеса (МСП) в России за период 2019–2024 гг. В числе ключевых вызовов обозначены киберриски, правовая неопределённость и региональные различия в инфраструктурной обеспеченности. На основе метода смешанных исследований и анализа шести кейс стади (включая успешные и неудачные примеры, как в сегменте B2C, так и B2B) в работе сформулирована авторская модель принятия управленческих решений в процессе цифровизации. Дополнительно разработана пошаговая дорожная карта стратегических действий на краткосрочный (1–2 года) и среднесрочный (3–5 лет) горизонты, адаптированная к условиям российских регионов и различной степени цифровой зрелости компаний.</w:t>
      </w:r>
    </w:p>
    <w:p w14:paraId="22BE9DC5" w14:textId="77777777" w:rsidR="00877DE5" w:rsidRPr="00877DE5" w:rsidRDefault="00877DE5" w:rsidP="00067100">
      <w:pPr>
        <w:spacing w:after="0" w:line="240" w:lineRule="auto"/>
        <w:ind w:firstLine="709"/>
        <w:jc w:val="both"/>
        <w:rPr>
          <w:rFonts w:ascii="Times New Roman" w:eastAsia="Times New Roman" w:hAnsi="Times New Roman" w:cs="Times New Roman"/>
          <w:kern w:val="2"/>
          <w:sz w:val="21"/>
          <w:szCs w:val="21"/>
          <w:lang w:eastAsia="ru-RU"/>
        </w:rPr>
      </w:pPr>
      <w:r w:rsidRPr="00877DE5">
        <w:rPr>
          <w:rFonts w:ascii="Times New Roman" w:eastAsia="Times New Roman" w:hAnsi="Times New Roman" w:cs="Times New Roman"/>
          <w:b/>
          <w:kern w:val="2"/>
          <w:sz w:val="21"/>
          <w:szCs w:val="21"/>
          <w:lang w:eastAsia="ru-RU"/>
        </w:rPr>
        <w:t>Ключевые слова:</w:t>
      </w:r>
      <w:r w:rsidRPr="00877DE5">
        <w:rPr>
          <w:rFonts w:ascii="Times New Roman" w:eastAsia="Times New Roman" w:hAnsi="Times New Roman" w:cs="Times New Roman"/>
          <w:kern w:val="2"/>
          <w:sz w:val="21"/>
          <w:szCs w:val="21"/>
          <w:lang w:eastAsia="ru-RU"/>
        </w:rPr>
        <w:t xml:space="preserve"> ц</w:t>
      </w:r>
      <w:r w:rsidRPr="00877DE5">
        <w:rPr>
          <w:rFonts w:ascii="Times New Roman" w:eastAsia="Times New Roman" w:hAnsi="Times New Roman" w:cs="Times New Roman"/>
          <w:color w:val="000000"/>
          <w:kern w:val="2"/>
          <w:sz w:val="21"/>
          <w:szCs w:val="21"/>
          <w:lang w:eastAsia="ru-RU"/>
        </w:rPr>
        <w:t>ифровизация, малый и средний бизнес, управление рисками, ROI, авторская модель, дорожная карта.</w:t>
      </w:r>
    </w:p>
    <w:p w14:paraId="05B75899"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color w:val="000000"/>
          <w:kern w:val="2"/>
          <w:sz w:val="21"/>
          <w:szCs w:val="21"/>
          <w:lang w:val="en-US" w:eastAsia="ru-RU"/>
        </w:rPr>
        <w:t>Karartinyan E.R</w:t>
      </w:r>
      <w:r w:rsidRPr="00877DE5">
        <w:rPr>
          <w:rFonts w:ascii="Times New Roman" w:eastAsia="Times New Roman" w:hAnsi="Times New Roman" w:cs="Times New Roman"/>
          <w:b/>
          <w:i/>
          <w:kern w:val="2"/>
          <w:sz w:val="21"/>
          <w:szCs w:val="21"/>
          <w:lang w:val="en-US" w:eastAsia="ru-RU"/>
        </w:rPr>
        <w:t>., Fedorenko R.V,</w:t>
      </w:r>
    </w:p>
    <w:p w14:paraId="65CEAABD"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i/>
          <w:kern w:val="2"/>
          <w:sz w:val="24"/>
          <w:szCs w:val="24"/>
          <w:lang w:val="en-US" w:eastAsia="ru-RU"/>
        </w:rPr>
        <w:t xml:space="preserve"> </w:t>
      </w:r>
      <w:r w:rsidRPr="00877DE5">
        <w:rPr>
          <w:rFonts w:ascii="Times New Roman" w:eastAsia="Times New Roman" w:hAnsi="Times New Roman" w:cs="Times New Roman"/>
          <w:i/>
          <w:kern w:val="2"/>
          <w:sz w:val="21"/>
          <w:szCs w:val="21"/>
          <w:lang w:val="en-US" w:eastAsia="ru-RU"/>
        </w:rPr>
        <w:t xml:space="preserve"> </w:t>
      </w:r>
      <w:proofErr w:type="gramStart"/>
      <w:r w:rsidRPr="00877DE5">
        <w:rPr>
          <w:rFonts w:ascii="Times New Roman" w:eastAsia="Times New Roman" w:hAnsi="Times New Roman" w:cs="Times New Roman"/>
          <w:i/>
          <w:kern w:val="2"/>
          <w:sz w:val="21"/>
          <w:szCs w:val="21"/>
          <w:lang w:val="en-US" w:eastAsia="ru-RU"/>
        </w:rPr>
        <w:t>3 year</w:t>
      </w:r>
      <w:proofErr w:type="gramEnd"/>
      <w:r w:rsidRPr="00877DE5">
        <w:rPr>
          <w:rFonts w:ascii="Times New Roman" w:eastAsia="Times New Roman" w:hAnsi="Times New Roman" w:cs="Times New Roman"/>
          <w:i/>
          <w:kern w:val="2"/>
          <w:sz w:val="21"/>
          <w:szCs w:val="21"/>
          <w:lang w:val="en-US" w:eastAsia="ru-RU"/>
        </w:rPr>
        <w:t xml:space="preserve"> student</w:t>
      </w:r>
    </w:p>
    <w:p w14:paraId="4479079A" w14:textId="0C4B69D5"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t xml:space="preserve">Financial University Under the Government of the Russian Federation, </w:t>
      </w:r>
    </w:p>
    <w:p w14:paraId="72256AD8"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t xml:space="preserve">Krasnodar, Russia </w:t>
      </w:r>
    </w:p>
    <w:p w14:paraId="2080E0C0"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lastRenderedPageBreak/>
        <w:t xml:space="preserve">e-mail: </w:t>
      </w:r>
      <w:hyperlink r:id="rId433" w:history="1">
        <w:r w:rsidRPr="00877DE5">
          <w:rPr>
            <w:rFonts w:ascii="Times New Roman" w:eastAsia="Times New Roman" w:hAnsi="Times New Roman" w:cs="Times New Roman"/>
            <w:i/>
            <w:kern w:val="2"/>
            <w:sz w:val="21"/>
            <w:szCs w:val="21"/>
            <w:u w:val="single"/>
            <w:lang w:val="en-US" w:eastAsia="ru-RU"/>
          </w:rPr>
          <w:t>radhz.ru@gmail.com</w:t>
        </w:r>
      </w:hyperlink>
      <w:r w:rsidRPr="00877DE5">
        <w:rPr>
          <w:rFonts w:ascii="Times New Roman" w:eastAsia="Times New Roman" w:hAnsi="Times New Roman" w:cs="Times New Roman"/>
          <w:i/>
          <w:kern w:val="2"/>
          <w:sz w:val="21"/>
          <w:szCs w:val="21"/>
          <w:lang w:val="en-US" w:eastAsia="ru-RU"/>
        </w:rPr>
        <w:t xml:space="preserve"> </w:t>
      </w:r>
    </w:p>
    <w:p w14:paraId="0B3AD808"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r w:rsidRPr="00877DE5">
        <w:rPr>
          <w:rFonts w:ascii="Times New Roman" w:eastAsia="Times New Roman" w:hAnsi="Times New Roman" w:cs="Times New Roman"/>
          <w:i/>
          <w:kern w:val="2"/>
          <w:sz w:val="21"/>
          <w:szCs w:val="21"/>
          <w:lang w:val="en-US" w:eastAsia="ru-RU"/>
        </w:rPr>
        <w:t xml:space="preserve">e-mail: </w:t>
      </w:r>
      <w:hyperlink r:id="rId434" w:history="1">
        <w:r w:rsidRPr="00877DE5">
          <w:rPr>
            <w:rFonts w:ascii="Times New Roman" w:eastAsia="Times New Roman" w:hAnsi="Times New Roman" w:cs="Times New Roman"/>
            <w:i/>
            <w:kern w:val="2"/>
            <w:sz w:val="21"/>
            <w:szCs w:val="21"/>
            <w:u w:val="single"/>
            <w:lang w:val="en-US" w:eastAsia="ru-RU"/>
          </w:rPr>
          <w:t>edgarkarartinayn.ru@gmail.com</w:t>
        </w:r>
      </w:hyperlink>
    </w:p>
    <w:p w14:paraId="6B7E59CF" w14:textId="77777777" w:rsidR="00877DE5" w:rsidRPr="00877DE5" w:rsidRDefault="00877DE5" w:rsidP="00067100">
      <w:pPr>
        <w:spacing w:after="0" w:line="240" w:lineRule="auto"/>
        <w:ind w:firstLine="709"/>
        <w:jc w:val="right"/>
        <w:rPr>
          <w:rFonts w:ascii="Times New Roman" w:eastAsia="Times New Roman" w:hAnsi="Times New Roman" w:cs="Times New Roman"/>
          <w:i/>
          <w:kern w:val="2"/>
          <w:sz w:val="21"/>
          <w:szCs w:val="21"/>
          <w:lang w:val="en-US" w:eastAsia="ru-RU"/>
        </w:rPr>
      </w:pPr>
    </w:p>
    <w:p w14:paraId="69484F29"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kern w:val="2"/>
          <w:sz w:val="21"/>
          <w:szCs w:val="21"/>
          <w:lang w:val="en-US" w:eastAsia="ru-RU"/>
        </w:rPr>
        <w:t>Scientific Adviser:</w:t>
      </w:r>
    </w:p>
    <w:p w14:paraId="1611C691" w14:textId="77777777" w:rsidR="00877DE5" w:rsidRPr="00877DE5" w:rsidRDefault="00877DE5" w:rsidP="00067100">
      <w:pPr>
        <w:spacing w:after="0" w:line="240" w:lineRule="auto"/>
        <w:ind w:firstLine="709"/>
        <w:jc w:val="right"/>
        <w:rPr>
          <w:rFonts w:ascii="Times New Roman" w:eastAsia="Times New Roman" w:hAnsi="Times New Roman" w:cs="Times New Roman"/>
          <w:b/>
          <w:i/>
          <w:kern w:val="2"/>
          <w:sz w:val="21"/>
          <w:szCs w:val="21"/>
          <w:lang w:val="en-US" w:eastAsia="ru-RU"/>
        </w:rPr>
      </w:pPr>
      <w:r w:rsidRPr="00877DE5">
        <w:rPr>
          <w:rFonts w:ascii="Times New Roman" w:eastAsia="Times New Roman" w:hAnsi="Times New Roman" w:cs="Times New Roman"/>
          <w:b/>
          <w:i/>
          <w:kern w:val="2"/>
          <w:sz w:val="21"/>
          <w:szCs w:val="21"/>
          <w:lang w:val="en-US" w:eastAsia="ru-RU"/>
        </w:rPr>
        <w:t xml:space="preserve">Prodolyatchenko P.A., </w:t>
      </w:r>
    </w:p>
    <w:p w14:paraId="42FB6704" w14:textId="4427C85A" w:rsidR="00877DE5" w:rsidRPr="00877DE5" w:rsidRDefault="00877DE5" w:rsidP="00067100">
      <w:pPr>
        <w:spacing w:after="0" w:line="240" w:lineRule="auto"/>
        <w:ind w:firstLine="709"/>
        <w:jc w:val="right"/>
        <w:rPr>
          <w:rFonts w:ascii="Times New Roman" w:eastAsia="Times New Roman" w:hAnsi="Times New Roman" w:cs="Times New Roman"/>
          <w:i/>
          <w:iCs/>
          <w:kern w:val="2"/>
          <w:sz w:val="20"/>
          <w:szCs w:val="20"/>
          <w:lang w:val="en-US" w:eastAsia="ru-RU"/>
        </w:rPr>
      </w:pPr>
      <w:r w:rsidRPr="00877DE5">
        <w:rPr>
          <w:rFonts w:ascii="Times New Roman" w:eastAsia="Times New Roman" w:hAnsi="Times New Roman" w:cs="Times New Roman"/>
          <w:bCs/>
          <w:i/>
          <w:kern w:val="2"/>
          <w:sz w:val="20"/>
          <w:szCs w:val="20"/>
          <w:lang w:val="en-US" w:eastAsia="ru-RU"/>
        </w:rPr>
        <w:t xml:space="preserve"> </w:t>
      </w:r>
      <w:r w:rsidRPr="00877DE5">
        <w:rPr>
          <w:rFonts w:ascii="Times New Roman" w:eastAsia="Times New Roman" w:hAnsi="Times New Roman" w:cs="Times New Roman"/>
          <w:i/>
          <w:kern w:val="2"/>
          <w:sz w:val="20"/>
          <w:szCs w:val="20"/>
          <w:lang w:val="en-US" w:eastAsia="ru-RU"/>
        </w:rPr>
        <w:t xml:space="preserve">Candidate of Science (Economics), Associate Professor of the </w:t>
      </w:r>
    </w:p>
    <w:p w14:paraId="41ABE316" w14:textId="453DF279" w:rsidR="00877DE5" w:rsidRPr="00877DE5" w:rsidRDefault="00877DE5" w:rsidP="00067100">
      <w:pPr>
        <w:spacing w:after="0" w:line="240" w:lineRule="auto"/>
        <w:ind w:firstLine="709"/>
        <w:jc w:val="right"/>
        <w:rPr>
          <w:rFonts w:ascii="Times New Roman" w:eastAsia="Times New Roman" w:hAnsi="Times New Roman" w:cs="Times New Roman"/>
          <w:i/>
          <w:color w:val="000000"/>
          <w:kern w:val="2"/>
          <w:sz w:val="21"/>
          <w:szCs w:val="21"/>
          <w:lang w:val="en-US" w:eastAsia="ru-RU"/>
        </w:rPr>
      </w:pPr>
      <w:r w:rsidRPr="00877DE5">
        <w:rPr>
          <w:rFonts w:ascii="Times New Roman" w:eastAsia="Times New Roman" w:hAnsi="Times New Roman" w:cs="Times New Roman"/>
          <w:i/>
          <w:color w:val="000000"/>
          <w:kern w:val="2"/>
          <w:sz w:val="21"/>
          <w:szCs w:val="21"/>
          <w:lang w:val="en-US" w:eastAsia="ru-RU"/>
        </w:rPr>
        <w:t xml:space="preserve">Financial University Under the Government of the Russian Federation, </w:t>
      </w:r>
    </w:p>
    <w:p w14:paraId="7A33ACA3"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1"/>
          <w:lang w:val="en-US" w:eastAsia="ar-SA"/>
        </w:rPr>
      </w:pPr>
      <w:r w:rsidRPr="00877DE5">
        <w:rPr>
          <w:rFonts w:ascii="Times New Roman" w:eastAsia="Times New Roman" w:hAnsi="Times New Roman" w:cs="Times New Roman"/>
          <w:i/>
          <w:color w:val="000000"/>
          <w:sz w:val="21"/>
          <w:szCs w:val="21"/>
          <w:lang w:val="en-US" w:eastAsia="ar-SA"/>
        </w:rPr>
        <w:t xml:space="preserve">Krasnodar, Russia </w:t>
      </w:r>
    </w:p>
    <w:p w14:paraId="2B72EDC4"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color w:val="000000"/>
          <w:sz w:val="21"/>
          <w:szCs w:val="21"/>
          <w:lang w:val="x-none" w:eastAsia="ar-SA"/>
        </w:rPr>
      </w:pPr>
      <w:r w:rsidRPr="00877DE5">
        <w:rPr>
          <w:rFonts w:ascii="Times New Roman" w:eastAsia="Times New Roman" w:hAnsi="Times New Roman" w:cs="Times New Roman"/>
          <w:i/>
          <w:sz w:val="21"/>
          <w:szCs w:val="21"/>
          <w:lang w:eastAsia="ar-SA"/>
        </w:rPr>
        <w:t>е</w:t>
      </w:r>
      <w:r w:rsidRPr="00877DE5">
        <w:rPr>
          <w:rFonts w:ascii="Times New Roman" w:eastAsia="Times New Roman" w:hAnsi="Times New Roman" w:cs="Times New Roman"/>
          <w:i/>
          <w:sz w:val="21"/>
          <w:szCs w:val="21"/>
          <w:lang w:val="en-US" w:eastAsia="ar-SA"/>
        </w:rPr>
        <w:t xml:space="preserve">-mail: </w:t>
      </w:r>
      <w:hyperlink r:id="rId435" w:history="1">
        <w:r w:rsidRPr="00877DE5">
          <w:rPr>
            <w:rFonts w:ascii="Times New Roman" w:eastAsia="Times New Roman" w:hAnsi="Times New Roman" w:cs="Times New Roman"/>
            <w:i/>
            <w:color w:val="000080"/>
            <w:sz w:val="21"/>
            <w:szCs w:val="21"/>
            <w:u w:val="single"/>
            <w:lang w:val="x-none" w:eastAsia="ar-SA"/>
          </w:rPr>
          <w:t>PAProdolyatchenko@fa.ru</w:t>
        </w:r>
      </w:hyperlink>
    </w:p>
    <w:p w14:paraId="7318381D" w14:textId="77777777" w:rsidR="00877DE5" w:rsidRPr="00877DE5" w:rsidRDefault="00877DE5" w:rsidP="00067100">
      <w:pPr>
        <w:suppressAutoHyphens/>
        <w:spacing w:after="0" w:line="240" w:lineRule="auto"/>
        <w:ind w:firstLine="709"/>
        <w:jc w:val="right"/>
        <w:textAlignment w:val="baseline"/>
        <w:rPr>
          <w:rFonts w:ascii="Times New Roman" w:eastAsia="Times New Roman" w:hAnsi="Times New Roman" w:cs="Times New Roman"/>
          <w:i/>
          <w:sz w:val="21"/>
          <w:szCs w:val="21"/>
          <w:lang w:val="x-none" w:eastAsia="ar-SA"/>
        </w:rPr>
      </w:pPr>
    </w:p>
    <w:p w14:paraId="032DAE6B"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color w:val="000000"/>
          <w:sz w:val="21"/>
          <w:szCs w:val="21"/>
          <w:lang w:val="x-none" w:eastAsia="ar-SA"/>
        </w:rPr>
      </w:pPr>
      <w:r w:rsidRPr="00877DE5">
        <w:rPr>
          <w:rFonts w:ascii="Times New Roman" w:eastAsia="Times New Roman" w:hAnsi="Times New Roman" w:cs="Times New Roman"/>
          <w:b/>
          <w:color w:val="000000"/>
          <w:sz w:val="21"/>
          <w:szCs w:val="21"/>
          <w:lang w:val="x-none" w:eastAsia="ar-SA"/>
        </w:rPr>
        <w:t>Threats and opportunities for small and medium-sized businesses in the era of digitalization in the Russian Federation</w:t>
      </w:r>
    </w:p>
    <w:p w14:paraId="0A88F858" w14:textId="77777777" w:rsidR="00877DE5" w:rsidRPr="00877DE5" w:rsidRDefault="00877DE5" w:rsidP="00067100">
      <w:pPr>
        <w:suppressAutoHyphens/>
        <w:spacing w:after="0" w:line="240" w:lineRule="auto"/>
        <w:ind w:firstLine="709"/>
        <w:jc w:val="center"/>
        <w:rPr>
          <w:rFonts w:ascii="Times New Roman" w:eastAsia="Times New Roman" w:hAnsi="Times New Roman" w:cs="Times New Roman"/>
          <w:b/>
          <w:bCs/>
          <w:sz w:val="21"/>
          <w:szCs w:val="21"/>
          <w:lang w:val="en-US" w:eastAsia="ar-SA"/>
        </w:rPr>
      </w:pPr>
    </w:p>
    <w:p w14:paraId="43AC07A9"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sz w:val="21"/>
          <w:szCs w:val="21"/>
          <w:lang w:val="en-US" w:eastAsia="ar-SA"/>
        </w:rPr>
      </w:pPr>
      <w:r w:rsidRPr="00877DE5">
        <w:rPr>
          <w:rFonts w:ascii="Times New Roman" w:eastAsia="Times New Roman" w:hAnsi="Times New Roman" w:cs="Times New Roman"/>
          <w:b/>
          <w:bCs/>
          <w:sz w:val="21"/>
          <w:szCs w:val="21"/>
          <w:lang w:val="x-none" w:eastAsia="ar-SA"/>
        </w:rPr>
        <w:t>Abstract</w:t>
      </w:r>
      <w:r w:rsidRPr="00877DE5">
        <w:rPr>
          <w:rFonts w:ascii="Times New Roman" w:eastAsia="Times New Roman" w:hAnsi="Times New Roman" w:cs="Times New Roman"/>
          <w:b/>
          <w:bCs/>
          <w:sz w:val="21"/>
          <w:szCs w:val="21"/>
          <w:lang w:val="en-US" w:eastAsia="ar-SA"/>
        </w:rPr>
        <w:t xml:space="preserve">: </w:t>
      </w:r>
      <w:r w:rsidRPr="00877DE5">
        <w:rPr>
          <w:rFonts w:ascii="Times New Roman" w:eastAsia="Times New Roman" w:hAnsi="Times New Roman" w:cs="Times New Roman"/>
          <w:color w:val="000000"/>
          <w:sz w:val="21"/>
          <w:szCs w:val="21"/>
          <w:lang w:val="en-US" w:eastAsia="ar-SA"/>
        </w:rPr>
        <w:t>The article provides an in-depth analysis of the digital transformation dynamics of small and medium-sized enterprises (SMEs) in Russia during the period 2019–2024.</w:t>
      </w:r>
      <w:r w:rsidRPr="00877DE5">
        <w:rPr>
          <w:rFonts w:ascii="Times New Roman" w:eastAsia="Times New Roman" w:hAnsi="Times New Roman" w:cs="Times New Roman"/>
          <w:color w:val="000000"/>
          <w:sz w:val="21"/>
          <w:szCs w:val="21"/>
          <w:lang w:val="x-none" w:eastAsia="ar-SA"/>
        </w:rPr>
        <w:t xml:space="preserve"> Cyber risks, legal uncertainty, and regional differences in infrastructure provision are identified as key challenges. Based on the method of mixed research and analysis of six case studies (including successful and unsuccessful examples, both in the B2C and B2B segments), the author's model of managerial decision-making in the process of digitalization is formulated in the work. Additionally, a step-by-step roadmap has been developed</w:t>
      </w:r>
    </w:p>
    <w:p w14:paraId="39AEB800" w14:textId="77777777" w:rsidR="00877DE5" w:rsidRDefault="00877DE5" w:rsidP="00067100">
      <w:pPr>
        <w:suppressAutoHyphens/>
        <w:spacing w:after="0" w:line="240" w:lineRule="auto"/>
        <w:ind w:firstLine="709"/>
        <w:jc w:val="both"/>
        <w:rPr>
          <w:rFonts w:ascii="Times New Roman" w:eastAsia="Times New Roman" w:hAnsi="Times New Roman" w:cs="Times New Roman"/>
          <w:color w:val="000000"/>
          <w:sz w:val="21"/>
          <w:szCs w:val="21"/>
          <w:lang w:val="x-none" w:eastAsia="ar-SA"/>
        </w:rPr>
      </w:pPr>
      <w:r w:rsidRPr="00877DE5">
        <w:rPr>
          <w:rFonts w:ascii="Times New Roman" w:eastAsia="Times New Roman" w:hAnsi="Times New Roman" w:cs="Times New Roman"/>
          <w:b/>
          <w:bCs/>
          <w:color w:val="000000"/>
          <w:sz w:val="21"/>
          <w:szCs w:val="21"/>
          <w:lang w:val="x-none" w:eastAsia="ar-SA"/>
        </w:rPr>
        <w:t>Keywords</w:t>
      </w:r>
      <w:r w:rsidRPr="00877DE5">
        <w:rPr>
          <w:rFonts w:ascii="Times New Roman" w:eastAsia="Times New Roman" w:hAnsi="Times New Roman" w:cs="Times New Roman"/>
          <w:b/>
          <w:bCs/>
          <w:color w:val="000000"/>
          <w:sz w:val="21"/>
          <w:szCs w:val="21"/>
          <w:lang w:val="en-US" w:eastAsia="ar-SA"/>
        </w:rPr>
        <w:t>:</w:t>
      </w:r>
      <w:r w:rsidRPr="00877DE5">
        <w:rPr>
          <w:rFonts w:ascii="Times New Roman" w:eastAsia="Times New Roman" w:hAnsi="Times New Roman" w:cs="Times New Roman"/>
          <w:bCs/>
          <w:color w:val="000000"/>
          <w:sz w:val="21"/>
          <w:szCs w:val="21"/>
          <w:lang w:val="en-US" w:eastAsia="ar-SA"/>
        </w:rPr>
        <w:t xml:space="preserve"> </w:t>
      </w:r>
      <w:r w:rsidRPr="00877DE5">
        <w:rPr>
          <w:rFonts w:ascii="Times New Roman" w:eastAsia="Times New Roman" w:hAnsi="Times New Roman" w:cs="Times New Roman"/>
          <w:color w:val="000000"/>
          <w:sz w:val="21"/>
          <w:szCs w:val="21"/>
          <w:lang w:val="x-none" w:eastAsia="ar-SA"/>
        </w:rPr>
        <w:t>digitalization, small and medium-sized businesses, risk management, ROI, author's model, roadmap.</w:t>
      </w:r>
    </w:p>
    <w:p w14:paraId="7ED5ABD7" w14:textId="77777777" w:rsidR="00C63E1D" w:rsidRPr="00877DE5" w:rsidRDefault="00C63E1D" w:rsidP="00067100">
      <w:pPr>
        <w:suppressAutoHyphens/>
        <w:spacing w:after="0" w:line="240" w:lineRule="auto"/>
        <w:ind w:firstLine="709"/>
        <w:jc w:val="both"/>
        <w:rPr>
          <w:rFonts w:ascii="Times New Roman" w:eastAsia="Times New Roman" w:hAnsi="Times New Roman" w:cs="Times New Roman"/>
          <w:color w:val="000000"/>
          <w:sz w:val="21"/>
          <w:szCs w:val="21"/>
          <w:lang w:val="en-US" w:eastAsia="ar-SA"/>
        </w:rPr>
      </w:pPr>
    </w:p>
    <w:p w14:paraId="662E611F"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Актуальность темы: Цифровизация становится ключевым драйвером модернизации МСП в России, требуя адаптивных стратегий для повышения конкурентоспособности в условиях региональных инфраструктурных различий и возрастающих киберрисков. </w:t>
      </w:r>
    </w:p>
    <w:p w14:paraId="1C50D295"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В последние годы цифровизация стала одним из ключевых драйверов экономических преобразований. Малые и средние предприятия (МСП) в России сталкиваются с необходимостью быстрого внедрения информационных технологий для поддержания конкурентоспособности и адаптации к изменяющейся бизнес-среде. Данная работа посвящена изучению угроз и возможностей, возникающих в процессе цифровой трансформации МСП, с анализом динамики инвестиций в цифровые технологии за период с 2019 по 2024 год. Исследование опирается на данные Росстата, Минэкономразвития и результаты ряда кейс-стади, что позволяет оценить как положительные аспекты цифровизации, так и сопутствующие ей риски, включая киберугрозы, нормативную неопределённость и региональные инфраструктурные различия. В работе сформулирована авторская модель принятия управленческих решений, а также предложена пошаговая дорожная карта, адаптированная к реалиям различных регионов России.</w:t>
      </w:r>
    </w:p>
    <w:p w14:paraId="63AB5C51"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Согласно данным Росстата и Минэкономразвития РФ, доля МСП, инвестирующих в цифровые технологии, увеличилась с 3,2% в 2019 году до 6% в 2024 году, а в отдельных регионах — до 9,1%. Одновременно сохраняется значительное отставание в регионах Сибири и Северного Кавказа, где показатель едва достигает 2,5%. </w:t>
      </w:r>
      <w:r w:rsidRPr="00877DE5">
        <w:rPr>
          <w:rFonts w:ascii="Times New Roman" w:eastAsia="Times New Roman" w:hAnsi="Times New Roman" w:cs="Times New Roman"/>
          <w:bCs/>
          <w:color w:val="000000"/>
          <w:sz w:val="32"/>
          <w:szCs w:val="32"/>
          <w:lang w:eastAsia="ar-SA"/>
        </w:rPr>
        <w:lastRenderedPageBreak/>
        <w:t>Такие различия подтверждают необходимость исследования цифровизации в региональном контексте [12]. (см. рис. 1)</w:t>
      </w:r>
    </w:p>
    <w:p w14:paraId="4001867D"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p>
    <w:p w14:paraId="159134F1"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noProof/>
          <w:color w:val="000000"/>
          <w:sz w:val="32"/>
          <w:szCs w:val="32"/>
          <w:lang w:eastAsia="ru-RU"/>
        </w:rPr>
        <w:drawing>
          <wp:anchor distT="0" distB="0" distL="114300" distR="114300" simplePos="0" relativeHeight="251666432" behindDoc="0" locked="0" layoutInCell="1" allowOverlap="1" wp14:anchorId="2FF572C5" wp14:editId="7640C31C">
            <wp:simplePos x="0" y="0"/>
            <wp:positionH relativeFrom="character">
              <wp:posOffset>0</wp:posOffset>
            </wp:positionH>
            <wp:positionV relativeFrom="line">
              <wp:posOffset>0</wp:posOffset>
            </wp:positionV>
            <wp:extent cx="5785485" cy="2365375"/>
            <wp:effectExtent l="0" t="0" r="5715"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785485" cy="2365375"/>
                    </a:xfrm>
                    <a:prstGeom prst="rect">
                      <a:avLst/>
                    </a:prstGeom>
                    <a:noFill/>
                  </pic:spPr>
                </pic:pic>
              </a:graphicData>
            </a:graphic>
            <wp14:sizeRelH relativeFrom="page">
              <wp14:pctWidth>0</wp14:pctWidth>
            </wp14:sizeRelH>
            <wp14:sizeRelV relativeFrom="page">
              <wp14:pctHeight>0</wp14:pctHeight>
            </wp14:sizeRelV>
          </wp:anchor>
        </w:drawing>
      </w:r>
      <w:r w:rsidRPr="00877DE5">
        <w:rPr>
          <w:rFonts w:ascii="Times New Roman" w:eastAsia="Times New Roman" w:hAnsi="Times New Roman" w:cs="Times New Roman"/>
          <w:bCs/>
          <w:noProof/>
          <w:color w:val="000000"/>
          <w:sz w:val="32"/>
          <w:szCs w:val="32"/>
          <w:lang w:eastAsia="ru-RU"/>
        </w:rPr>
        <mc:AlternateContent>
          <mc:Choice Requires="wps">
            <w:drawing>
              <wp:inline distT="0" distB="0" distL="0" distR="0" wp14:anchorId="2D89F751" wp14:editId="20E1B8DE">
                <wp:extent cx="5783580" cy="2362200"/>
                <wp:effectExtent l="0" t="0" r="0" b="0"/>
                <wp:docPr id="31" name="Прямоугольник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8358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7F3A801" id="Прямоугольник 31" o:spid="_x0000_s1026" style="width:455.4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" filled="f" stroked="f">
                <o:lock v:ext="edit" aspectratio="t"/>
                <w10:anchorlock/>
              </v:rect>
            </w:pict>
          </mc:Fallback>
        </mc:AlternateContent>
      </w:r>
    </w:p>
    <w:p w14:paraId="7EA8B89F"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 </w:t>
      </w:r>
    </w:p>
    <w:p w14:paraId="29BF9902"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Рис. 1 Динамика инвестиций МСП в цифровые технологии (2019–2024 гг.)</w:t>
      </w:r>
    </w:p>
    <w:p w14:paraId="365DB546"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Выбор периода 2019–2024 гг. обусловлен рядом факторов: </w:t>
      </w:r>
    </w:p>
    <w:p w14:paraId="44000636"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запуском национальной программы «Цифровая экономика», глобальными изменениями бизнес-среды в условиях пандемии, а также активизацией государственной поддержки цифровых инициатив в рамках антикризисных программ. Географический охват включает федеральные округа с разной степенью цифровой зрелости — от централизованных мегаполисов до аграрных регионов, что позволяет дать комплексную картину угроз и возможностей для МСП.</w:t>
      </w:r>
    </w:p>
    <w:p w14:paraId="4FFB1FE8"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Цифровизация малого и среднего предпринимательства (МСП) в России ускорилась после 2019 г.: если в 2019 г. лишь 3,2 % МСП направляли средства на ИТ решения, то к концу 2024 г. этот показатель достиг 6% от выручки. География внедрения остаётся неравномерной: в Москве и Санкт Петербурге доля составила 9,1% и 8% соответственно, а в некоторых регионах — менее 2,5%. В 2024 г. около 45% малых предприятий столкнулись с киберинцидентами, что подчёркивает необходимость балансирования между инновациями и безопасностью. </w:t>
      </w:r>
    </w:p>
    <w:p w14:paraId="7003DC66"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Цель исследования — комплексно оценить угрозы и возможности цифровизации МСП в РФ, разработать авторскую модель принятия решений и практическую дорожную карту.</w:t>
      </w:r>
    </w:p>
    <w:p w14:paraId="5F2B1C14"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В отечественной научной среде, опираясь на исследования д.э.н. С. П. Иванова, заведующего лабораторией цифровой экономики НИУ ВШЭ, можно выделить предложенную им в 2022 году пятиэтапную </w:t>
      </w:r>
      <w:r w:rsidRPr="00877DE5">
        <w:rPr>
          <w:rFonts w:ascii="Times New Roman" w:eastAsia="Times New Roman" w:hAnsi="Times New Roman" w:cs="Times New Roman"/>
          <w:bCs/>
          <w:color w:val="000000"/>
          <w:sz w:val="32"/>
          <w:szCs w:val="32"/>
          <w:lang w:eastAsia="ar-SA"/>
        </w:rPr>
        <w:lastRenderedPageBreak/>
        <w:t>модель зрелости цифровизации. Кроме того, к.э.н. А. В. Смирнова, доцент СПбГУ, разработала в 2023 году прикладную стратегию цифрового маркетинга, ориентированную на специфику МСП в условиях ограниченных бюджетов и высокой конкуренции. PwC провела опрос 500 МСП, показав, что 62 % компаний считают приоритетом автоматизацию продаж и CRM. Исследование Росбанка выявило наиболее востребованные цифровые сервисы: онлайн кассы 76 %, учетные платформы 54 % и BI аналитику 28 %. Аналитический обзор FinExpertiza указал на рост числа субъектов МСП, внедривших онлайн-бухгалтерию, на 18 % за два года, при этом уровень удовлетворённости составил 83 %.</w:t>
      </w:r>
    </w:p>
    <w:p w14:paraId="13E1222E"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Опираясь на исследования к.э.н. М. А. Хончева — старшего научного сотрудника Института управления в экономике РАН, — можно отметить его вывод о существенных региональных диспропорциях в цифровой инфраструктуре и нехватке квалифицированных ИТ-кадров в субъектах РФ. Учёный подчёркивает необходимость адаптации международных моделей цифровой трансформации под российские реалии, включая институциональные барьеры. Также заслуживает внимания отчёт Института проблем рынка РАН (2024), в котором подчёркивается необходимость развития цифровой компетенции у руководства МСП как ключевого условия успешной цифровизации.</w:t>
      </w:r>
    </w:p>
    <w:p w14:paraId="3EE8FC4D"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На международном уровне американская исследовательская и консалтинговая компания Gartner выделяет четыре модели трансформации, а ISO 31000 и COSO ERM предлагают структурированный подход к управлению рисками и требуют переосмысления с учётом специфики ограниченных ресурсов, инфраструктурной неравномерности и кадровых вызовов в регионах РФ. Представленная ниже модель направлена на структурирование этапов цифрового развития предприятий с акцентом на управляемость и поэтапное внедрение.</w:t>
      </w:r>
    </w:p>
    <w:p w14:paraId="0B23FBA7"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Основываясь на ранее рассмотренных теоретических моделях цифровой зрелости и трансформации, представленных в литературе, в данном разделе обосновывается авторский подход, адаптированный под реалии МСП в Российской Федерации. Наша модель включает четыре уровня:</w:t>
      </w:r>
    </w:p>
    <w:p w14:paraId="7E79FBCC"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Инициирование: базовая инфраструктура (сайт, облачная почта, онлайн кассы);</w:t>
      </w:r>
    </w:p>
    <w:p w14:paraId="28BDC1EA"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lastRenderedPageBreak/>
        <w:t xml:space="preserve">• Автоматизация: внедрение ERP/CRM, электронный документооборот; </w:t>
      </w:r>
    </w:p>
    <w:p w14:paraId="12C4EAC7"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Интеграция: сквозная аналитика, BI, унификация процессов;</w:t>
      </w:r>
    </w:p>
    <w:p w14:paraId="276F93AF"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 Инновации: ИИ, IoT, блокчейн, платформенные решения. </w:t>
      </w:r>
    </w:p>
    <w:p w14:paraId="7E816DAC"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С учётом регионального потенциала модель предполагает поэтапное прохождение стадий с пилотным тестированием.</w:t>
      </w:r>
    </w:p>
    <w:p w14:paraId="46595C2A"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w:t>
      </w:r>
      <w:r w:rsidRPr="00877DE5">
        <w:rPr>
          <w:rFonts w:ascii="Calibri" w:eastAsia="Times New Roman" w:hAnsi="Calibri" w:cs="Times New Roman"/>
          <w:noProof/>
          <w:sz w:val="24"/>
          <w:szCs w:val="24"/>
          <w:lang w:eastAsia="ru-RU"/>
        </w:rPr>
        <w:drawing>
          <wp:inline distT="0" distB="0" distL="0" distR="0" wp14:anchorId="0E7DD958" wp14:editId="0D07BD65">
            <wp:extent cx="5105400" cy="12268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7">
                      <a:extLst>
                        <a:ext uri="{28A0092B-C50C-407E-A947-70E740481C1C}">
                          <a14:useLocalDpi xmlns:a14="http://schemas.microsoft.com/office/drawing/2010/main" val="0"/>
                        </a:ext>
                      </a:extLst>
                    </a:blip>
                    <a:srcRect l="25497" t="42256" r="27814" b="37833"/>
                    <a:stretch>
                      <a:fillRect/>
                    </a:stretch>
                  </pic:blipFill>
                  <pic:spPr bwMode="auto">
                    <a:xfrm>
                      <a:off x="0" y="0"/>
                      <a:ext cx="5105400" cy="1226820"/>
                    </a:xfrm>
                    <a:prstGeom prst="rect">
                      <a:avLst/>
                    </a:prstGeom>
                    <a:noFill/>
                    <a:ln>
                      <a:noFill/>
                    </a:ln>
                  </pic:spPr>
                </pic:pic>
              </a:graphicData>
            </a:graphic>
          </wp:inline>
        </w:drawing>
      </w:r>
    </w:p>
    <w:p w14:paraId="6D319AAF"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В рамках данного исследования предлагается адаптированная модель управления рисками цифровизации, расширяющая стандарт ISO 31000. В дополнение к базовым этапам — идентификация рисков, их количественная и качественная оценка, формирование и реализация ответных мер, а также мониторинг эффективности — в модель включены дополнительные, критически важные для МСП элементы:</w:t>
      </w:r>
    </w:p>
    <w:p w14:paraId="23082D34"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1.</w:t>
      </w:r>
      <w:r w:rsidRPr="00877DE5">
        <w:rPr>
          <w:rFonts w:ascii="Times New Roman" w:eastAsia="Times New Roman" w:hAnsi="Times New Roman" w:cs="Times New Roman"/>
          <w:bCs/>
          <w:color w:val="000000"/>
          <w:sz w:val="32"/>
          <w:szCs w:val="32"/>
          <w:lang w:eastAsia="ar-SA"/>
        </w:rPr>
        <w:tab/>
        <w:t>Региональная оценка инфраструктуры — анализ доступности цифровых ресурсов (интернета, дата-центров, каналов связи) на уровне субъекта РФ;</w:t>
      </w:r>
    </w:p>
    <w:p w14:paraId="0BBAE0A9"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2.</w:t>
      </w:r>
      <w:r w:rsidRPr="00877DE5">
        <w:rPr>
          <w:rFonts w:ascii="Times New Roman" w:eastAsia="Times New Roman" w:hAnsi="Times New Roman" w:cs="Times New Roman"/>
          <w:bCs/>
          <w:color w:val="000000"/>
          <w:sz w:val="32"/>
          <w:szCs w:val="32"/>
          <w:lang w:eastAsia="ar-SA"/>
        </w:rPr>
        <w:tab/>
        <w:t>Кадровый аудит — оценка компетенций персонала в области ИТ, выявление потребностей в дообучении и найме;</w:t>
      </w:r>
    </w:p>
    <w:p w14:paraId="1B4972C9"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3.</w:t>
      </w:r>
      <w:r w:rsidRPr="00877DE5">
        <w:rPr>
          <w:rFonts w:ascii="Times New Roman" w:eastAsia="Times New Roman" w:hAnsi="Times New Roman" w:cs="Times New Roman"/>
          <w:bCs/>
          <w:color w:val="000000"/>
          <w:sz w:val="32"/>
          <w:szCs w:val="32"/>
          <w:lang w:eastAsia="ar-SA"/>
        </w:rPr>
        <w:tab/>
        <w:t>Тестирование на пилотных проектах — проверка цифровых решений в ограниченном масштабе до их масштабного внедрения;</w:t>
      </w:r>
    </w:p>
    <w:p w14:paraId="6BC5561E"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4.</w:t>
      </w:r>
      <w:r w:rsidRPr="00877DE5">
        <w:rPr>
          <w:rFonts w:ascii="Times New Roman" w:eastAsia="Times New Roman" w:hAnsi="Times New Roman" w:cs="Times New Roman"/>
          <w:bCs/>
          <w:color w:val="000000"/>
          <w:sz w:val="32"/>
          <w:szCs w:val="32"/>
          <w:lang w:eastAsia="ar-SA"/>
        </w:rPr>
        <w:tab/>
        <w:t>Разработка стратегии масштабирования — планирование поэтапного расширения цифровых решений с учётом затрат, рисков и операционной совместимости.</w:t>
      </w:r>
    </w:p>
    <w:p w14:paraId="0C85B995"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5.</w:t>
      </w:r>
      <w:r w:rsidRPr="00877DE5">
        <w:rPr>
          <w:rFonts w:ascii="Times New Roman" w:eastAsia="Times New Roman" w:hAnsi="Times New Roman" w:cs="Times New Roman"/>
          <w:bCs/>
          <w:color w:val="000000"/>
          <w:sz w:val="32"/>
          <w:szCs w:val="32"/>
          <w:lang w:eastAsia="ar-SA"/>
        </w:rPr>
        <w:tab/>
        <w:t>Методология</w:t>
      </w:r>
    </w:p>
    <w:p w14:paraId="012D4633"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Для обоснования выводов использован смешанный подход, включающий такие методы как кейс-стади, количественный и контентный анализы. Такой подход обеспечил многоаспектное представление о текущем состоянии и перспективных рисках цифровой трансформации в малом и среднем бизнесе.</w:t>
      </w:r>
    </w:p>
    <w:p w14:paraId="40EAC76D"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Однако исследование имеет ряд ограничений: недоступность закрытых корпоративных данных, ориентированность на открытые источники информации, а также необходимость корректировки временных границ анализа в связи с сезонными колебаниями деловой активности. </w:t>
      </w:r>
    </w:p>
    <w:p w14:paraId="09F18395" w14:textId="77777777" w:rsidR="00877DE5" w:rsidRPr="00877DE5" w:rsidRDefault="00877DE5" w:rsidP="00C63E1D">
      <w:pPr>
        <w:suppressAutoHyphens/>
        <w:spacing w:after="0" w:line="240" w:lineRule="auto"/>
        <w:ind w:firstLine="709"/>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lastRenderedPageBreak/>
        <w:t>Таблица 1. Основные показатели угроз цифровизации для МСП (2023–2024 гг.)</w:t>
      </w:r>
    </w:p>
    <w:p w14:paraId="1151A80C" w14:textId="77777777" w:rsidR="00877DE5" w:rsidRPr="00877DE5" w:rsidRDefault="00877DE5" w:rsidP="00C63E1D">
      <w:pPr>
        <w:suppressAutoHyphens/>
        <w:spacing w:after="0" w:line="240" w:lineRule="auto"/>
        <w:ind w:firstLine="709"/>
        <w:jc w:val="both"/>
        <w:rPr>
          <w:rFonts w:ascii="Times New Roman" w:eastAsia="Times New Roman" w:hAnsi="Times New Roman" w:cs="Times New Roman"/>
          <w:bCs/>
          <w:color w:val="000000"/>
          <w:sz w:val="32"/>
          <w:szCs w:val="32"/>
          <w:lang w:eastAsia="ar-S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2"/>
        <w:gridCol w:w="1895"/>
        <w:gridCol w:w="1971"/>
        <w:gridCol w:w="2564"/>
      </w:tblGrid>
      <w:tr w:rsidR="00877DE5" w:rsidRPr="00877DE5" w14:paraId="21148CB7" w14:textId="77777777" w:rsidTr="00C63E1D">
        <w:trPr>
          <w:trHeight w:val="570"/>
          <w:tblCellSpacing w:w="15" w:type="dxa"/>
        </w:trPr>
        <w:tc>
          <w:tcPr>
            <w:tcW w:w="0" w:type="auto"/>
            <w:vAlign w:val="center"/>
            <w:hideMark/>
          </w:tcPr>
          <w:p w14:paraId="04A8A1B0"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Угроза</w:t>
            </w:r>
          </w:p>
        </w:tc>
        <w:tc>
          <w:tcPr>
            <w:tcW w:w="1865" w:type="dxa"/>
            <w:vAlign w:val="center"/>
            <w:hideMark/>
          </w:tcPr>
          <w:p w14:paraId="544FA1CC" w14:textId="77777777" w:rsidR="00877DE5" w:rsidRPr="00877DE5" w:rsidRDefault="00877DE5" w:rsidP="00C63E1D">
            <w:pPr>
              <w:spacing w:after="0" w:line="240" w:lineRule="auto"/>
              <w:rPr>
                <w:rFonts w:ascii="Times New Roman" w:eastAsia="Times New Roman" w:hAnsi="Times New Roman" w:cs="Times New Roman"/>
              </w:rPr>
            </w:pPr>
            <w:r w:rsidRPr="00877DE5">
              <w:rPr>
                <w:rFonts w:ascii="Times New Roman" w:eastAsia="Times New Roman" w:hAnsi="Times New Roman" w:cs="Times New Roman"/>
              </w:rPr>
              <w:t>2023 (% компаний)</w:t>
            </w:r>
          </w:p>
        </w:tc>
        <w:tc>
          <w:tcPr>
            <w:tcW w:w="1941" w:type="dxa"/>
            <w:vAlign w:val="center"/>
            <w:hideMark/>
          </w:tcPr>
          <w:p w14:paraId="0DFEE62E" w14:textId="77777777" w:rsidR="00877DE5" w:rsidRPr="00877DE5" w:rsidRDefault="00877DE5" w:rsidP="00C63E1D">
            <w:pPr>
              <w:spacing w:after="0" w:line="240" w:lineRule="auto"/>
              <w:rPr>
                <w:rFonts w:ascii="Times New Roman" w:eastAsia="Times New Roman" w:hAnsi="Times New Roman" w:cs="Times New Roman"/>
              </w:rPr>
            </w:pPr>
            <w:r w:rsidRPr="00877DE5">
              <w:rPr>
                <w:rFonts w:ascii="Times New Roman" w:eastAsia="Times New Roman" w:hAnsi="Times New Roman" w:cs="Times New Roman"/>
              </w:rPr>
              <w:t>2024 (% компаний)</w:t>
            </w:r>
          </w:p>
        </w:tc>
        <w:tc>
          <w:tcPr>
            <w:tcW w:w="2519" w:type="dxa"/>
            <w:vAlign w:val="center"/>
            <w:hideMark/>
          </w:tcPr>
          <w:p w14:paraId="06D128BD"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Примечание</w:t>
            </w:r>
          </w:p>
        </w:tc>
      </w:tr>
      <w:tr w:rsidR="00877DE5" w:rsidRPr="00877DE5" w14:paraId="34F84830" w14:textId="77777777" w:rsidTr="00C63E1D">
        <w:trPr>
          <w:tblCellSpacing w:w="15" w:type="dxa"/>
        </w:trPr>
        <w:tc>
          <w:tcPr>
            <w:tcW w:w="0" w:type="auto"/>
            <w:vAlign w:val="center"/>
            <w:hideMark/>
          </w:tcPr>
          <w:p w14:paraId="2C6708D8"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Киберриски</w:t>
            </w:r>
          </w:p>
        </w:tc>
        <w:tc>
          <w:tcPr>
            <w:tcW w:w="1865" w:type="dxa"/>
            <w:vAlign w:val="center"/>
            <w:hideMark/>
          </w:tcPr>
          <w:p w14:paraId="07CB216F"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42</w:t>
            </w:r>
          </w:p>
        </w:tc>
        <w:tc>
          <w:tcPr>
            <w:tcW w:w="1941" w:type="dxa"/>
            <w:vAlign w:val="center"/>
            <w:hideMark/>
          </w:tcPr>
          <w:p w14:paraId="16CE666F"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45</w:t>
            </w:r>
          </w:p>
        </w:tc>
        <w:tc>
          <w:tcPr>
            <w:tcW w:w="2519" w:type="dxa"/>
            <w:vAlign w:val="center"/>
            <w:hideMark/>
          </w:tcPr>
          <w:p w14:paraId="073C7244"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Попытки взлома, утечки данных</w:t>
            </w:r>
          </w:p>
        </w:tc>
      </w:tr>
      <w:tr w:rsidR="00877DE5" w:rsidRPr="00877DE5" w14:paraId="71F54C13" w14:textId="77777777" w:rsidTr="00C63E1D">
        <w:trPr>
          <w:trHeight w:val="525"/>
          <w:tblCellSpacing w:w="15" w:type="dxa"/>
        </w:trPr>
        <w:tc>
          <w:tcPr>
            <w:tcW w:w="0" w:type="auto"/>
            <w:vAlign w:val="center"/>
            <w:hideMark/>
          </w:tcPr>
          <w:p w14:paraId="33F616BB"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Использование устаревших решений</w:t>
            </w:r>
          </w:p>
        </w:tc>
        <w:tc>
          <w:tcPr>
            <w:tcW w:w="1865" w:type="dxa"/>
            <w:vAlign w:val="center"/>
            <w:hideMark/>
          </w:tcPr>
          <w:p w14:paraId="02D2CDBE"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33</w:t>
            </w:r>
          </w:p>
        </w:tc>
        <w:tc>
          <w:tcPr>
            <w:tcW w:w="1941" w:type="dxa"/>
            <w:vAlign w:val="center"/>
            <w:hideMark/>
          </w:tcPr>
          <w:p w14:paraId="6C2BA246"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30</w:t>
            </w:r>
          </w:p>
        </w:tc>
        <w:tc>
          <w:tcPr>
            <w:tcW w:w="2519" w:type="dxa"/>
            <w:vAlign w:val="center"/>
            <w:hideMark/>
          </w:tcPr>
          <w:p w14:paraId="60FD56BC"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Переход на платные решения</w:t>
            </w:r>
          </w:p>
        </w:tc>
      </w:tr>
      <w:tr w:rsidR="00877DE5" w:rsidRPr="00877DE5" w14:paraId="2897717E" w14:textId="77777777" w:rsidTr="00C63E1D">
        <w:trPr>
          <w:trHeight w:val="637"/>
          <w:tblCellSpacing w:w="15" w:type="dxa"/>
        </w:trPr>
        <w:tc>
          <w:tcPr>
            <w:tcW w:w="0" w:type="auto"/>
            <w:vAlign w:val="center"/>
            <w:hideMark/>
          </w:tcPr>
          <w:p w14:paraId="6A7476AD"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Нормативная неопределённость</w:t>
            </w:r>
          </w:p>
        </w:tc>
        <w:tc>
          <w:tcPr>
            <w:tcW w:w="1865" w:type="dxa"/>
            <w:vAlign w:val="center"/>
            <w:hideMark/>
          </w:tcPr>
          <w:p w14:paraId="10F9BBC5"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20</w:t>
            </w:r>
          </w:p>
        </w:tc>
        <w:tc>
          <w:tcPr>
            <w:tcW w:w="1941" w:type="dxa"/>
            <w:vAlign w:val="center"/>
            <w:hideMark/>
          </w:tcPr>
          <w:p w14:paraId="57A51DC7"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22</w:t>
            </w:r>
          </w:p>
        </w:tc>
        <w:tc>
          <w:tcPr>
            <w:tcW w:w="2519" w:type="dxa"/>
            <w:vAlign w:val="center"/>
            <w:hideMark/>
          </w:tcPr>
          <w:p w14:paraId="74743162"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Частые изменения в законодательстве</w:t>
            </w:r>
          </w:p>
        </w:tc>
      </w:tr>
      <w:tr w:rsidR="00877DE5" w:rsidRPr="00877DE5" w14:paraId="1EF450D8" w14:textId="77777777" w:rsidTr="00C63E1D">
        <w:trPr>
          <w:trHeight w:val="607"/>
          <w:tblCellSpacing w:w="15" w:type="dxa"/>
        </w:trPr>
        <w:tc>
          <w:tcPr>
            <w:tcW w:w="0" w:type="auto"/>
            <w:vAlign w:val="center"/>
            <w:hideMark/>
          </w:tcPr>
          <w:p w14:paraId="54E9B009"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Региональные барьеры</w:t>
            </w:r>
          </w:p>
        </w:tc>
        <w:tc>
          <w:tcPr>
            <w:tcW w:w="1865" w:type="dxa"/>
            <w:vAlign w:val="center"/>
            <w:hideMark/>
          </w:tcPr>
          <w:p w14:paraId="24132B21"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48</w:t>
            </w:r>
          </w:p>
        </w:tc>
        <w:tc>
          <w:tcPr>
            <w:tcW w:w="1941" w:type="dxa"/>
            <w:vAlign w:val="center"/>
            <w:hideMark/>
          </w:tcPr>
          <w:p w14:paraId="0E6A4D02"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50</w:t>
            </w:r>
          </w:p>
        </w:tc>
        <w:tc>
          <w:tcPr>
            <w:tcW w:w="2519" w:type="dxa"/>
            <w:vAlign w:val="center"/>
            <w:hideMark/>
          </w:tcPr>
          <w:p w14:paraId="1F190C29" w14:textId="77777777" w:rsidR="00877DE5" w:rsidRPr="00877DE5" w:rsidRDefault="00877DE5" w:rsidP="00C63E1D">
            <w:pPr>
              <w:spacing w:after="0" w:line="240" w:lineRule="auto"/>
              <w:ind w:firstLine="709"/>
              <w:rPr>
                <w:rFonts w:ascii="Times New Roman" w:eastAsia="Times New Roman" w:hAnsi="Times New Roman" w:cs="Times New Roman"/>
              </w:rPr>
            </w:pPr>
            <w:r w:rsidRPr="00877DE5">
              <w:rPr>
                <w:rFonts w:ascii="Times New Roman" w:eastAsia="Times New Roman" w:hAnsi="Times New Roman" w:cs="Times New Roman"/>
              </w:rPr>
              <w:t>Неравномерный доступ к интернету и сервисам</w:t>
            </w:r>
          </w:p>
        </w:tc>
      </w:tr>
    </w:tbl>
    <w:p w14:paraId="1DCE410B"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p>
    <w:p w14:paraId="0CA1FCEB"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В 2023 году 42 % МСП столкнулись с попытками взлома, а 33 % использовали устаревшие средства защиты, что повышает риск финансовых потерь и утечек данных (см. Таблицу 2). Средний срок службы серверного и офисного оборудования составляет 5–7 лет, поэтому компании, не обновляющие технику, рискуют столкнуться с несовместимостью новых технологий и снижением производительности. Частые изменения законов в сфере персональных данных и обязательная сертификация ИТ-решений создают дополнительные правовые и административные сложности, а также усугубляют ситуацию в регионах, где отсутствуют четкие методики поддержки МСП. Кроме того, уровень цифровизации в крупных мегаполисах на 50 % выше, чем в регионах, что ограничивает возможности внедрения облачных сервисов и доступа к высокоскоростному интернету, а проблемы с финансированием (60 % МСП) и нехватка квалифицированных специалистов (47 %) замедляют развитие цифровых проектов.</w:t>
      </w:r>
    </w:p>
    <w:p w14:paraId="3D708682"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Анализируя возможности стоит сказать, что внедрение ERP/CRM-систем позволяет оптимизировать бизнес-процессы: административные издержки снижаются на 18–20 %, а время обработки заказов сокращается на 25 % (см. рис. 2). Использование маркетплейсов и собственных интернет-магазинов расширяет клиентскую базу, что отражается в увеличении доли МСП экспортеров до 16 % к 2024 году. Применение аналитики данных и персонализированных рекламных кампаний способствует росту конверсии на 20–25 % (см. рис. 2) и повышению лояльности клиентов. Дополнительную поддержку оказывает государственная программа </w:t>
      </w:r>
      <w:r w:rsidRPr="00877DE5">
        <w:rPr>
          <w:rFonts w:ascii="Times New Roman" w:eastAsia="Times New Roman" w:hAnsi="Times New Roman" w:cs="Times New Roman"/>
          <w:bCs/>
          <w:color w:val="000000"/>
          <w:sz w:val="32"/>
          <w:szCs w:val="32"/>
          <w:lang w:eastAsia="ar-SA"/>
        </w:rPr>
        <w:lastRenderedPageBreak/>
        <w:t>«Цифровая экономика»: льготное финансирование в виде грантов до 5 млн ₽ и кредитов под 3–5 % годовых позволяет 28 % получателей грантов добиться роста выручки более чем на 20 %.</w:t>
      </w:r>
    </w:p>
    <w:p w14:paraId="20E4F97A" w14:textId="77777777" w:rsidR="00877DE5" w:rsidRPr="00877DE5" w:rsidRDefault="00877DE5" w:rsidP="00FD0B97">
      <w:pPr>
        <w:spacing w:line="278" w:lineRule="auto"/>
        <w:rPr>
          <w:rFonts w:ascii="Calibri" w:eastAsia="Times New Roman" w:hAnsi="Calibri" w:cs="Times New Roman"/>
        </w:rPr>
      </w:pPr>
      <w:r w:rsidRPr="00877DE5">
        <w:rPr>
          <w:rFonts w:ascii="Times New Roman" w:eastAsia="Times New Roman" w:hAnsi="Times New Roman" w:cs="Times New Roman"/>
          <w:bCs/>
          <w:color w:val="000000"/>
          <w:kern w:val="2"/>
          <w:sz w:val="32"/>
          <w:szCs w:val="32"/>
          <w:lang w:eastAsia="ru-RU"/>
        </w:rPr>
        <w:t xml:space="preserve">   </w:t>
      </w:r>
      <w:r w:rsidRPr="00877DE5">
        <w:rPr>
          <w:rFonts w:ascii="Calibri" w:eastAsia="Times New Roman" w:hAnsi="Calibri" w:cs="Times New Roman"/>
          <w:noProof/>
          <w:lang w:eastAsia="ru-RU"/>
        </w:rPr>
        <w:drawing>
          <wp:inline distT="0" distB="0" distL="0" distR="0" wp14:anchorId="7CF9768C" wp14:editId="0945D52B">
            <wp:extent cx="1866900" cy="2491740"/>
            <wp:effectExtent l="0" t="0" r="0" b="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8"/>
              </a:graphicData>
            </a:graphic>
          </wp:inline>
        </w:drawing>
      </w:r>
      <w:r w:rsidRPr="00877DE5">
        <w:rPr>
          <w:rFonts w:ascii="Calibri" w:eastAsia="Times New Roman" w:hAnsi="Calibri" w:cs="Times New Roman"/>
          <w:noProof/>
          <w:lang w:eastAsia="ru-RU"/>
        </w:rPr>
        <w:drawing>
          <wp:inline distT="0" distB="0" distL="0" distR="0" wp14:anchorId="570F9348" wp14:editId="0B9227FF">
            <wp:extent cx="1996440" cy="2506980"/>
            <wp:effectExtent l="0" t="0" r="0" b="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9"/>
              </a:graphicData>
            </a:graphic>
          </wp:inline>
        </w:drawing>
      </w:r>
      <w:r w:rsidRPr="00877DE5">
        <w:rPr>
          <w:rFonts w:ascii="Calibri" w:eastAsia="Times New Roman" w:hAnsi="Calibri" w:cs="Times New Roman"/>
          <w:noProof/>
          <w:lang w:eastAsia="ru-RU"/>
        </w:rPr>
        <w:drawing>
          <wp:inline distT="0" distB="0" distL="0" distR="0" wp14:anchorId="01151843" wp14:editId="215085C7">
            <wp:extent cx="1699260" cy="2491740"/>
            <wp:effectExtent l="0" t="0" r="0" b="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0"/>
              </a:graphicData>
            </a:graphic>
          </wp:inline>
        </w:drawing>
      </w:r>
    </w:p>
    <w:p w14:paraId="0B438568"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Рис. 2 Влияние цифровых решений на ключевые показатели МСП</w:t>
      </w:r>
    </w:p>
    <w:p w14:paraId="38619038"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Производственная компания ООО «ПромСервис» (ИНН 6312345678) — это зарегистрированное юридическое лицо, относящееся к категории средних предприятий, осуществляющее деятельность в сфере металлообработки в Приволжском федеральном округе. До внедрения MES-системы компания сталкивалась с высокими простоем оборудования (до 22 %) и неэффективностью в планировании смен. В результате цифровой трансформации были достигнуты следующие показатели: сокращение времени простоев на 18 %; увеличение загрузки станков на 12 % благодаря прогнозу плановых ремонтов; снижение времени настройки заказа со 150 до 108 минут; внедрение дашбордов в реальном времени для диспетчеров, что повысило скорость принятия решений на 25 %.</w:t>
      </w:r>
    </w:p>
    <w:p w14:paraId="11E678FB"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Розничная сеть ООО «ДомТекстиль» (ИНН 7704567890), управляющая 15 магазинами текстильных изделий в Центральном федеральном округе, осуществила переход в омниканальный формат. В рамках цифровой трансформации была проведена интеграция CRM-системы с платформой электронной коммерции в течение 4 месяцев. Это позволило добиться следующих результатов: рост онлайн-заказов на 42 % за первый год; повышение среднего чека онлайн-покупки до 4,2 тыс. ₽ (по сравнению с 3,6 тыс. ₽ в офлайн-магазинах); снижение уровня возвратов с 7 % до 4 % благодаря внедрению предпродажного консультирования через чат-бот; расширение клиентской базы на 18 % за счёт использования таргетированной рекламы и контент-маркетинга.</w:t>
      </w:r>
    </w:p>
    <w:p w14:paraId="51BBF758"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lastRenderedPageBreak/>
        <w:t>Агропредприятие ООО «АгроЛидер» (ИНН 2310112233), фермерское хозяйство площадью 1200 га, зарегистрированное в Краснодарском крае, внедрило систему дрон-съёмки и модуль ИИ-анализа. В результате цифровизации были достигнуты следующие показатели: рост урожайности на 12 % благодаря своевременной локализации вредителей и болезней; экономия удобрений на 9 % за счёт дифференцированного внесения; сокращение трудозатрат на 15 % благодаря оптимизации графика полевых работ; внедрение системы раннего предупреждения о засухе, сокращающей риски потери урожая на 30 %.</w:t>
      </w:r>
    </w:p>
    <w:p w14:paraId="330CD3B8" w14:textId="77777777" w:rsidR="00877DE5" w:rsidRPr="00877DE5" w:rsidRDefault="00877DE5" w:rsidP="00FD0B97">
      <w:pPr>
        <w:suppressAutoHyphens/>
        <w:spacing w:after="0" w:line="240" w:lineRule="auto"/>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 xml:space="preserve">  Стартап в сфере телемедицины ООО «МедАйТи» (ИНН 7728123456) — инновационная компания, специализирующаяся на разработке цифровых решений в здравоохранении. Организация представила мобильное приложение и веб-платформу для удалённых консультаций и ИИ-диагностики на базе алгоритмов распознавания симптомов. За первые 3 месяца с момента запуска приложение было скачано более 10 000 раз. Точность рекомендаций, выдаваемых системой, составила 87 %, что подтверждено пилотными исследованиями совместно с городской клинической больницей № 5. Конверсия пользователей с бесплатного тарифа на платную подписку (299 ₽/мес.) составила 20 %. Стартап получил два гранта Минздрава РФ и прошёл акселерационную программу Фонда «Сколково», что ускорило вывод продукта на рынок. В перспективе планируется интеграция с носимыми устройствами (wearable), что обеспечит непрерывный сбор биометрических данных в режиме реального времени. 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3"/>
        <w:gridCol w:w="732"/>
        <w:gridCol w:w="4857"/>
        <w:gridCol w:w="3420"/>
      </w:tblGrid>
      <w:tr w:rsidR="00877DE5" w:rsidRPr="00877DE5" w14:paraId="1BE90EE5" w14:textId="77777777" w:rsidTr="00067100">
        <w:trPr>
          <w:tblCellSpacing w:w="15" w:type="dxa"/>
        </w:trPr>
        <w:tc>
          <w:tcPr>
            <w:tcW w:w="0" w:type="auto"/>
            <w:vAlign w:val="center"/>
            <w:hideMark/>
          </w:tcPr>
          <w:p w14:paraId="0E231123"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Этап</w:t>
            </w:r>
          </w:p>
        </w:tc>
        <w:tc>
          <w:tcPr>
            <w:tcW w:w="0" w:type="auto"/>
            <w:vAlign w:val="center"/>
            <w:hideMark/>
          </w:tcPr>
          <w:p w14:paraId="725536A4"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Срок</w:t>
            </w:r>
          </w:p>
        </w:tc>
        <w:tc>
          <w:tcPr>
            <w:tcW w:w="0" w:type="auto"/>
            <w:vAlign w:val="center"/>
            <w:hideMark/>
          </w:tcPr>
          <w:p w14:paraId="4A1E23FE"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Основные действия</w:t>
            </w:r>
          </w:p>
        </w:tc>
        <w:tc>
          <w:tcPr>
            <w:tcW w:w="0" w:type="auto"/>
            <w:vAlign w:val="center"/>
            <w:hideMark/>
          </w:tcPr>
          <w:p w14:paraId="0157AF34"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Ключевые метрики</w:t>
            </w:r>
          </w:p>
        </w:tc>
      </w:tr>
      <w:tr w:rsidR="00877DE5" w:rsidRPr="00877DE5" w14:paraId="0BA6505F" w14:textId="77777777" w:rsidTr="00067100">
        <w:trPr>
          <w:tblCellSpacing w:w="15" w:type="dxa"/>
        </w:trPr>
        <w:tc>
          <w:tcPr>
            <w:tcW w:w="0" w:type="auto"/>
            <w:vAlign w:val="center"/>
            <w:hideMark/>
          </w:tcPr>
          <w:p w14:paraId="56ED3917"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b/>
                <w:bCs/>
              </w:rPr>
              <w:t>1-й этап</w:t>
            </w:r>
          </w:p>
        </w:tc>
        <w:tc>
          <w:tcPr>
            <w:tcW w:w="0" w:type="auto"/>
            <w:vAlign w:val="center"/>
            <w:hideMark/>
          </w:tcPr>
          <w:p w14:paraId="65B3FAC9"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2025</w:t>
            </w:r>
          </w:p>
        </w:tc>
        <w:tc>
          <w:tcPr>
            <w:tcW w:w="0" w:type="auto"/>
            <w:vAlign w:val="center"/>
            <w:hideMark/>
          </w:tcPr>
          <w:p w14:paraId="44A8E7DB"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Аудит текущих ИТ-систем- Оценка цифровой зрелости- Определение бизнес-приоритетов</w:t>
            </w:r>
          </w:p>
        </w:tc>
        <w:tc>
          <w:tcPr>
            <w:tcW w:w="0" w:type="auto"/>
            <w:vAlign w:val="center"/>
            <w:hideMark/>
          </w:tcPr>
          <w:p w14:paraId="1ED3998C"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Завершённость IT-аудита</w:t>
            </w:r>
          </w:p>
          <w:p w14:paraId="36B6534C"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Степень цифровой зрелости</w:t>
            </w:r>
          </w:p>
        </w:tc>
      </w:tr>
      <w:tr w:rsidR="00877DE5" w:rsidRPr="00877DE5" w14:paraId="06475C8C" w14:textId="77777777" w:rsidTr="00067100">
        <w:trPr>
          <w:tblCellSpacing w:w="15" w:type="dxa"/>
        </w:trPr>
        <w:tc>
          <w:tcPr>
            <w:tcW w:w="0" w:type="auto"/>
            <w:vAlign w:val="center"/>
            <w:hideMark/>
          </w:tcPr>
          <w:p w14:paraId="0666041D"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b/>
                <w:bCs/>
              </w:rPr>
              <w:t>2-й этап</w:t>
            </w:r>
          </w:p>
        </w:tc>
        <w:tc>
          <w:tcPr>
            <w:tcW w:w="0" w:type="auto"/>
            <w:vAlign w:val="center"/>
            <w:hideMark/>
          </w:tcPr>
          <w:p w14:paraId="12B87779"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2025–2026</w:t>
            </w:r>
          </w:p>
        </w:tc>
        <w:tc>
          <w:tcPr>
            <w:tcW w:w="0" w:type="auto"/>
            <w:vAlign w:val="center"/>
            <w:hideMark/>
          </w:tcPr>
          <w:p w14:paraId="49CC1381"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Базовая автоматизация (кассы, документооборот)- Внедрение CRM/ERP- Обучение персонала- Запуск пилотных цифровых решений</w:t>
            </w:r>
          </w:p>
        </w:tc>
        <w:tc>
          <w:tcPr>
            <w:tcW w:w="0" w:type="auto"/>
            <w:vAlign w:val="center"/>
            <w:hideMark/>
          </w:tcPr>
          <w:p w14:paraId="35151EB2"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автоматизированных операцийROI пилотовКоличество обученных сотрудников</w:t>
            </w:r>
          </w:p>
        </w:tc>
      </w:tr>
      <w:tr w:rsidR="00877DE5" w:rsidRPr="00877DE5" w14:paraId="64C27982" w14:textId="77777777" w:rsidTr="00067100">
        <w:trPr>
          <w:tblCellSpacing w:w="15" w:type="dxa"/>
        </w:trPr>
        <w:tc>
          <w:tcPr>
            <w:tcW w:w="0" w:type="auto"/>
            <w:vAlign w:val="center"/>
            <w:hideMark/>
          </w:tcPr>
          <w:p w14:paraId="7AB61E14"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b/>
                <w:bCs/>
              </w:rPr>
              <w:t>3-й этап</w:t>
            </w:r>
          </w:p>
        </w:tc>
        <w:tc>
          <w:tcPr>
            <w:tcW w:w="0" w:type="auto"/>
            <w:vAlign w:val="center"/>
            <w:hideMark/>
          </w:tcPr>
          <w:p w14:paraId="37ACE073"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2026–2027</w:t>
            </w:r>
          </w:p>
        </w:tc>
        <w:tc>
          <w:tcPr>
            <w:tcW w:w="0" w:type="auto"/>
            <w:vAlign w:val="center"/>
            <w:hideMark/>
          </w:tcPr>
          <w:p w14:paraId="7E2B66ED"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Масштабирование успешных пилотов- Подключение сквозной BI-аналитики- Внедрение цифрового маркетинга и клиентских платформ</w:t>
            </w:r>
          </w:p>
        </w:tc>
        <w:tc>
          <w:tcPr>
            <w:tcW w:w="0" w:type="auto"/>
            <w:vAlign w:val="center"/>
            <w:hideMark/>
          </w:tcPr>
          <w:p w14:paraId="6218996B"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Количество масштабированных решенийРост LTVСнижение CAC</w:t>
            </w:r>
          </w:p>
        </w:tc>
      </w:tr>
      <w:tr w:rsidR="00877DE5" w:rsidRPr="00877DE5" w14:paraId="5298B640" w14:textId="77777777" w:rsidTr="00067100">
        <w:trPr>
          <w:tblCellSpacing w:w="15" w:type="dxa"/>
        </w:trPr>
        <w:tc>
          <w:tcPr>
            <w:tcW w:w="0" w:type="auto"/>
            <w:vAlign w:val="center"/>
            <w:hideMark/>
          </w:tcPr>
          <w:p w14:paraId="13BC4FB0"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b/>
                <w:bCs/>
              </w:rPr>
              <w:lastRenderedPageBreak/>
              <w:t>4-й этап</w:t>
            </w:r>
          </w:p>
        </w:tc>
        <w:tc>
          <w:tcPr>
            <w:tcW w:w="0" w:type="auto"/>
            <w:vAlign w:val="center"/>
            <w:hideMark/>
          </w:tcPr>
          <w:p w14:paraId="3A49D626"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2027–2028</w:t>
            </w:r>
          </w:p>
        </w:tc>
        <w:tc>
          <w:tcPr>
            <w:tcW w:w="0" w:type="auto"/>
            <w:vAlign w:val="center"/>
            <w:hideMark/>
          </w:tcPr>
          <w:p w14:paraId="3DA94706"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Интеграция ИИ-модулей и автоматизация прогнозирования- Разработка новых цифровых продуктов/услуг- Кибербезопасность и резервное копирование</w:t>
            </w:r>
          </w:p>
        </w:tc>
        <w:tc>
          <w:tcPr>
            <w:tcW w:w="0" w:type="auto"/>
            <w:vAlign w:val="center"/>
            <w:hideMark/>
          </w:tcPr>
          <w:p w14:paraId="22167524"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Выручка от цифровых продуктовПроцент защищённых систем</w:t>
            </w:r>
          </w:p>
        </w:tc>
      </w:tr>
      <w:tr w:rsidR="00877DE5" w:rsidRPr="00877DE5" w14:paraId="22E87EA2" w14:textId="77777777" w:rsidTr="00067100">
        <w:trPr>
          <w:tblCellSpacing w:w="15" w:type="dxa"/>
        </w:trPr>
        <w:tc>
          <w:tcPr>
            <w:tcW w:w="0" w:type="auto"/>
            <w:vAlign w:val="center"/>
            <w:hideMark/>
          </w:tcPr>
          <w:p w14:paraId="47949CBA"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b/>
                <w:bCs/>
              </w:rPr>
              <w:t>5-й этап</w:t>
            </w:r>
          </w:p>
        </w:tc>
        <w:tc>
          <w:tcPr>
            <w:tcW w:w="0" w:type="auto"/>
            <w:vAlign w:val="center"/>
            <w:hideMark/>
          </w:tcPr>
          <w:p w14:paraId="2B4D5F7E"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2028–2029</w:t>
            </w:r>
          </w:p>
        </w:tc>
        <w:tc>
          <w:tcPr>
            <w:tcW w:w="0" w:type="auto"/>
            <w:vAlign w:val="center"/>
            <w:hideMark/>
          </w:tcPr>
          <w:p w14:paraId="52552908"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 Выход на новые рынки через онлайн-каналы- Поддержка экспортных операций- Аналитика в реальном времени</w:t>
            </w:r>
          </w:p>
        </w:tc>
        <w:tc>
          <w:tcPr>
            <w:tcW w:w="0" w:type="auto"/>
            <w:vAlign w:val="center"/>
            <w:hideMark/>
          </w:tcPr>
          <w:p w14:paraId="281403F4" w14:textId="77777777" w:rsidR="00877DE5" w:rsidRPr="00877DE5" w:rsidRDefault="00877DE5" w:rsidP="00FD0B97">
            <w:pPr>
              <w:spacing w:after="200" w:line="276" w:lineRule="auto"/>
              <w:rPr>
                <w:rFonts w:ascii="Times New Roman" w:eastAsia="Times New Roman" w:hAnsi="Times New Roman" w:cs="Times New Roman"/>
              </w:rPr>
            </w:pPr>
            <w:r w:rsidRPr="00877DE5">
              <w:rPr>
                <w:rFonts w:ascii="Times New Roman" w:eastAsia="Times New Roman" w:hAnsi="Times New Roman" w:cs="Times New Roman"/>
              </w:rPr>
              <w:t>Рост экспортной выручкиОхват новых географических рынков</w:t>
            </w:r>
          </w:p>
        </w:tc>
      </w:tr>
    </w:tbl>
    <w:p w14:paraId="4C4EE245"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Дорожная карта.</w:t>
      </w:r>
    </w:p>
    <w:p w14:paraId="094B4D9B"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В заключении хочу отметить, что цифровизация малого и среднего бизнеса в России за период 2019–2024гг. показала устойчивый рост инвестиций и явное повышение эффективности процессов, несмотря на сохраняющиеся киберриски, нормативную неопределённость и региональные неравенства. Внедрение ERP/CRM, BI-аналитики и инновационных решений, таких как ИИ и IoT, обеспечивает реальную экономию затрат (до 20–30 % ROI в первый год) и рост клиентской вовлечённости (15–20 %).</w:t>
      </w:r>
    </w:p>
    <w:p w14:paraId="28ECF34D"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r w:rsidRPr="00877DE5">
        <w:rPr>
          <w:rFonts w:ascii="Times New Roman" w:eastAsia="Times New Roman" w:hAnsi="Times New Roman" w:cs="Times New Roman"/>
          <w:bCs/>
          <w:color w:val="000000"/>
          <w:sz w:val="32"/>
          <w:szCs w:val="32"/>
          <w:lang w:eastAsia="ar-SA"/>
        </w:rPr>
        <w:t>Предложенная нами авторская модель зрелости и расширенная схема управления рисками создают структурированный путь от базового автоматизирования до интегрированных инноваций. Пошаговая дорожная карта с подробными метриками позволит МСП планировать трансформацию в рамках доступных ресурсов и особенностей региона.</w:t>
      </w:r>
    </w:p>
    <w:p w14:paraId="253E8919" w14:textId="77777777" w:rsidR="00877DE5" w:rsidRPr="00877DE5" w:rsidRDefault="00877DE5" w:rsidP="00067100">
      <w:pPr>
        <w:suppressAutoHyphens/>
        <w:spacing w:after="0" w:line="240" w:lineRule="auto"/>
        <w:ind w:firstLine="709"/>
        <w:jc w:val="both"/>
        <w:rPr>
          <w:rFonts w:ascii="Times New Roman" w:eastAsia="Times New Roman" w:hAnsi="Times New Roman" w:cs="Times New Roman"/>
          <w:bCs/>
          <w:color w:val="000000"/>
          <w:sz w:val="32"/>
          <w:szCs w:val="32"/>
          <w:lang w:eastAsia="ar-SA"/>
        </w:rPr>
      </w:pPr>
    </w:p>
    <w:p w14:paraId="6B1E396E" w14:textId="77777777" w:rsidR="00877DE5" w:rsidRPr="00877DE5" w:rsidRDefault="00877DE5" w:rsidP="00067100">
      <w:pPr>
        <w:tabs>
          <w:tab w:val="left" w:pos="0"/>
        </w:tabs>
        <w:suppressAutoHyphens/>
        <w:autoSpaceDE w:val="0"/>
        <w:spacing w:after="0" w:line="240" w:lineRule="auto"/>
        <w:ind w:firstLine="709"/>
        <w:jc w:val="center"/>
        <w:rPr>
          <w:rFonts w:ascii="Times New Roman" w:eastAsia="Times New Roman" w:hAnsi="Times New Roman" w:cs="Times New Roman"/>
          <w:b/>
          <w:sz w:val="21"/>
          <w:szCs w:val="21"/>
          <w:lang w:val="x-none" w:eastAsia="ar-SA"/>
        </w:rPr>
      </w:pPr>
      <w:r w:rsidRPr="00877DE5">
        <w:rPr>
          <w:rFonts w:ascii="Times New Roman" w:eastAsia="Times New Roman" w:hAnsi="Times New Roman" w:cs="Times New Roman"/>
          <w:b/>
          <w:sz w:val="21"/>
          <w:szCs w:val="21"/>
          <w:lang w:val="x-none" w:eastAsia="ar-SA"/>
        </w:rPr>
        <w:t>Литература:</w:t>
      </w:r>
    </w:p>
    <w:p w14:paraId="018E1764"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1. Иванов С. П. Модели зрелости цифровизации малого бизнеса. — М.: Изд-во НИУ ВШЭ, 2022 г. </w:t>
      </w:r>
    </w:p>
    <w:p w14:paraId="4324167E"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2. Смирнова А. В. Цифровой маркетинг в МСП: стратегии и инструменты. — СПб.: Питер, 2023 г. </w:t>
      </w:r>
    </w:p>
    <w:p w14:paraId="5A7FBE55"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3. PwC. Digital IQ Survey: малый и средний бизнес. — 2022 г. URL: https://www.pwc.com/ru/ru/publications/digital-iq-msp.html. </w:t>
      </w:r>
    </w:p>
    <w:p w14:paraId="71B5B105"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4. Росбанк. Цифровые сервисы для МСП в России. — 2023 г. URL: https://www.rosbank.ru/msp/digital. </w:t>
      </w:r>
    </w:p>
    <w:p w14:paraId="62550D77"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5. FinExpertiza. Аналитический обзор цифровизации МСП в РФ. — 2023 г. URL: https://finexpertiza.ru/digital_msp. </w:t>
      </w:r>
    </w:p>
    <w:p w14:paraId="73F289C9"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6. Институт проблем рынка РАН. Цифровая компетенция руководства МСП: итоги исследования. — 2024 г. </w:t>
      </w:r>
    </w:p>
    <w:p w14:paraId="3A9CD204"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7. Хончев М. А. Цифровизация малого бизнеса в России: проблемы и перспективы. Economic Systems. 2023 г ;16(2):37–51. </w:t>
      </w:r>
    </w:p>
    <w:p w14:paraId="2D31AFCE"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8. Gartner. Hype Cycle for Digital Business, 2021 г. — URL: https://www.gartner.com/en/research. </w:t>
      </w:r>
    </w:p>
    <w:p w14:paraId="66324F32"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9. ISO 31000: 2018 г. Risk management — Guidelines. — Geneva: ISO, 2018 г. </w:t>
      </w:r>
    </w:p>
    <w:p w14:paraId="33151771"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10. TAdviser. Рейтинг ERP-систем для МСП в России. — 2023 г. URL: https://www.tadviser.ru. </w:t>
      </w:r>
    </w:p>
    <w:p w14:paraId="4B312191"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11. Минэкономразвития РФ. Отчёт о развитии цифровой экономики. — 2024 г. URL: https://economy.gov.ru. </w:t>
      </w:r>
    </w:p>
    <w:p w14:paraId="36E19783"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12. Rosstat. Статистика инвестиций МСП в ИТ. — 2023 г. URL: https://rosstat.gov.ru. </w:t>
      </w:r>
    </w:p>
    <w:p w14:paraId="077E3C48"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 xml:space="preserve">13. Минздрав РФ. Программа поддержки телемедицины в регионах. — 2023 г. </w:t>
      </w:r>
    </w:p>
    <w:p w14:paraId="10DB58C5" w14:textId="77777777" w:rsidR="00877DE5" w:rsidRPr="00877DE5" w:rsidRDefault="00877DE5" w:rsidP="00B15CA7">
      <w:pPr>
        <w:tabs>
          <w:tab w:val="left" w:pos="284"/>
        </w:tabs>
        <w:suppressAutoHyphens/>
        <w:autoSpaceDE w:val="0"/>
        <w:spacing w:after="0" w:line="240" w:lineRule="auto"/>
        <w:ind w:left="284" w:hanging="284"/>
        <w:jc w:val="both"/>
        <w:rPr>
          <w:rFonts w:ascii="Times New Roman" w:eastAsia="Times New Roman" w:hAnsi="Times New Roman" w:cs="Times New Roman"/>
          <w:sz w:val="21"/>
          <w:szCs w:val="21"/>
          <w:lang w:val="x-none" w:eastAsia="ar-SA"/>
        </w:rPr>
      </w:pPr>
      <w:r w:rsidRPr="00877DE5">
        <w:rPr>
          <w:rFonts w:ascii="Times New Roman" w:eastAsia="Times New Roman" w:hAnsi="Times New Roman" w:cs="Times New Roman"/>
          <w:sz w:val="21"/>
          <w:szCs w:val="21"/>
          <w:lang w:val="x-none" w:eastAsia="ar-SA"/>
        </w:rPr>
        <w:t>14. Skolkovo. Отчёт акселератора технологических стартапов. — 2024 г.</w:t>
      </w:r>
    </w:p>
    <w:p w14:paraId="49E94366" w14:textId="77777777" w:rsidR="00877DE5" w:rsidRPr="00877DE5" w:rsidRDefault="00877DE5" w:rsidP="00067100">
      <w:pPr>
        <w:spacing w:after="0" w:line="240" w:lineRule="auto"/>
        <w:ind w:firstLine="709"/>
        <w:rPr>
          <w:rFonts w:ascii="Times New Roman" w:eastAsia="Times New Roman" w:hAnsi="Times New Roman" w:cs="Times New Roman"/>
          <w:bCs/>
          <w:color w:val="000000"/>
          <w:sz w:val="21"/>
          <w:szCs w:val="21"/>
          <w:lang w:eastAsia="ar-SA"/>
        </w:rPr>
      </w:pPr>
    </w:p>
    <w:p w14:paraId="05332CE5" w14:textId="77777777" w:rsid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BBBE63E" w14:textId="77777777" w:rsidR="00EE7B3A" w:rsidRPr="00EE7B3A" w:rsidRDefault="00EE7B3A" w:rsidP="00EE7B3A">
      <w:pPr>
        <w:spacing w:after="0" w:line="240" w:lineRule="auto"/>
        <w:rPr>
          <w:rFonts w:ascii="Times New Roman" w:eastAsia="Calibri" w:hAnsi="Times New Roman" w:cs="Times New Roman"/>
          <w:b/>
          <w:bCs/>
          <w:highlight w:val="yellow"/>
        </w:rPr>
      </w:pPr>
      <w:r w:rsidRPr="00EE7B3A">
        <w:rPr>
          <w:rFonts w:ascii="Times New Roman" w:eastAsia="Calibri" w:hAnsi="Times New Roman" w:cs="Times New Roman"/>
          <w:b/>
          <w:bCs/>
        </w:rPr>
        <w:t>УДК 330.43</w:t>
      </w:r>
    </w:p>
    <w:p w14:paraId="027CB776"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rPr>
      </w:pPr>
      <w:r w:rsidRPr="00EE7B3A">
        <w:rPr>
          <w:rFonts w:ascii="Times New Roman" w:eastAsia="Calibri" w:hAnsi="Times New Roman" w:cs="Times New Roman"/>
          <w:b/>
          <w:i/>
          <w:sz w:val="21"/>
          <w:szCs w:val="21"/>
        </w:rPr>
        <w:t>Шепелева К.А.,</w:t>
      </w:r>
      <w:r w:rsidRPr="00EE7B3A">
        <w:rPr>
          <w:rFonts w:ascii="Times New Roman" w:eastAsia="Calibri" w:hAnsi="Times New Roman" w:cs="Times New Roman"/>
          <w:i/>
          <w:sz w:val="21"/>
          <w:szCs w:val="21"/>
        </w:rPr>
        <w:br/>
        <w:t>студент 2 курса,</w:t>
      </w:r>
    </w:p>
    <w:p w14:paraId="0596E2AB"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rPr>
      </w:pPr>
      <w:r w:rsidRPr="00EE7B3A">
        <w:rPr>
          <w:rFonts w:ascii="Times New Roman" w:eastAsia="Calibri" w:hAnsi="Times New Roman" w:cs="Times New Roman"/>
          <w:i/>
          <w:sz w:val="21"/>
          <w:szCs w:val="21"/>
        </w:rPr>
        <w:lastRenderedPageBreak/>
        <w:t>Краснодарский филиал Финуниверситета,</w:t>
      </w:r>
    </w:p>
    <w:p w14:paraId="08826177"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rPr>
      </w:pPr>
      <w:r w:rsidRPr="00EE7B3A">
        <w:rPr>
          <w:rFonts w:ascii="Times New Roman" w:eastAsia="Calibri" w:hAnsi="Times New Roman" w:cs="Times New Roman"/>
          <w:i/>
          <w:sz w:val="21"/>
          <w:szCs w:val="21"/>
        </w:rPr>
        <w:t>г. Краснодар, Россия</w:t>
      </w:r>
      <w:r w:rsidRPr="00EE7B3A">
        <w:rPr>
          <w:rFonts w:ascii="Times New Roman" w:eastAsia="Calibri" w:hAnsi="Times New Roman" w:cs="Times New Roman"/>
          <w:i/>
          <w:sz w:val="21"/>
          <w:szCs w:val="21"/>
        </w:rPr>
        <w:br/>
      </w:r>
      <w:r w:rsidRPr="00EE7B3A">
        <w:rPr>
          <w:rFonts w:ascii="Times New Roman" w:eastAsia="Calibri" w:hAnsi="Times New Roman" w:cs="Times New Roman"/>
          <w:i/>
          <w:sz w:val="21"/>
          <w:szCs w:val="21"/>
          <w:lang w:val="en-US"/>
        </w:rPr>
        <w:t>e</w:t>
      </w:r>
      <w:r w:rsidRPr="00EE7B3A">
        <w:rPr>
          <w:rFonts w:ascii="Times New Roman" w:eastAsia="Calibri" w:hAnsi="Times New Roman" w:cs="Times New Roman"/>
          <w:i/>
          <w:sz w:val="21"/>
          <w:szCs w:val="21"/>
        </w:rPr>
        <w:t>-</w:t>
      </w:r>
      <w:r w:rsidRPr="00EE7B3A">
        <w:rPr>
          <w:rFonts w:ascii="Times New Roman" w:eastAsia="Calibri" w:hAnsi="Times New Roman" w:cs="Times New Roman"/>
          <w:i/>
          <w:sz w:val="21"/>
          <w:szCs w:val="21"/>
          <w:lang w:val="en-US"/>
        </w:rPr>
        <w:t>mail</w:t>
      </w:r>
      <w:r w:rsidRPr="00EE7B3A">
        <w:rPr>
          <w:rFonts w:ascii="Times New Roman" w:eastAsia="Calibri" w:hAnsi="Times New Roman" w:cs="Times New Roman"/>
          <w:i/>
          <w:sz w:val="21"/>
          <w:szCs w:val="21"/>
        </w:rPr>
        <w:t>: 100</w:t>
      </w:r>
      <w:r w:rsidRPr="00EE7B3A">
        <w:rPr>
          <w:rFonts w:ascii="Times New Roman" w:eastAsia="Calibri" w:hAnsi="Times New Roman" w:cs="Times New Roman"/>
          <w:i/>
          <w:sz w:val="21"/>
          <w:szCs w:val="21"/>
          <w:lang w:val="en-US"/>
        </w:rPr>
        <w:t>DOT</w:t>
      </w:r>
      <w:r w:rsidRPr="00EE7B3A">
        <w:rPr>
          <w:rFonts w:ascii="Times New Roman" w:eastAsia="Calibri" w:hAnsi="Times New Roman" w:cs="Times New Roman"/>
          <w:i/>
          <w:sz w:val="21"/>
          <w:szCs w:val="21"/>
        </w:rPr>
        <w:t>13</w:t>
      </w:r>
      <w:r w:rsidRPr="00EE7B3A">
        <w:rPr>
          <w:rFonts w:ascii="Times New Roman" w:eastAsia="Calibri" w:hAnsi="Times New Roman" w:cs="Times New Roman"/>
          <w:i/>
          <w:sz w:val="21"/>
          <w:szCs w:val="21"/>
          <w:lang w:val="en-US"/>
        </w:rPr>
        <w:t>SL</w:t>
      </w:r>
      <w:r w:rsidRPr="00EE7B3A">
        <w:rPr>
          <w:rFonts w:ascii="Times New Roman" w:eastAsia="Calibri" w:hAnsi="Times New Roman" w:cs="Times New Roman"/>
          <w:i/>
          <w:sz w:val="21"/>
          <w:szCs w:val="21"/>
        </w:rPr>
        <w:t>230019@</w:t>
      </w:r>
      <w:r w:rsidRPr="00EE7B3A">
        <w:rPr>
          <w:rFonts w:ascii="Times New Roman" w:eastAsia="Calibri" w:hAnsi="Times New Roman" w:cs="Times New Roman"/>
          <w:i/>
          <w:sz w:val="21"/>
          <w:szCs w:val="21"/>
          <w:lang w:val="en-US"/>
        </w:rPr>
        <w:t>edu</w:t>
      </w:r>
      <w:r w:rsidRPr="00EE7B3A">
        <w:rPr>
          <w:rFonts w:ascii="Times New Roman" w:eastAsia="Calibri" w:hAnsi="Times New Roman" w:cs="Times New Roman"/>
          <w:i/>
          <w:sz w:val="21"/>
          <w:szCs w:val="21"/>
        </w:rPr>
        <w:t>.</w:t>
      </w:r>
      <w:r w:rsidRPr="00EE7B3A">
        <w:rPr>
          <w:rFonts w:ascii="Times New Roman" w:eastAsia="Calibri" w:hAnsi="Times New Roman" w:cs="Times New Roman"/>
          <w:i/>
          <w:sz w:val="21"/>
          <w:szCs w:val="21"/>
          <w:lang w:val="en-US"/>
        </w:rPr>
        <w:t>fa</w:t>
      </w:r>
      <w:r w:rsidRPr="00EE7B3A">
        <w:rPr>
          <w:rFonts w:ascii="Times New Roman" w:eastAsia="Calibri" w:hAnsi="Times New Roman" w:cs="Times New Roman"/>
          <w:i/>
          <w:sz w:val="21"/>
          <w:szCs w:val="21"/>
        </w:rPr>
        <w:t>.</w:t>
      </w:r>
      <w:r w:rsidRPr="00EE7B3A">
        <w:rPr>
          <w:rFonts w:ascii="Times New Roman" w:eastAsia="Calibri" w:hAnsi="Times New Roman" w:cs="Times New Roman"/>
          <w:i/>
          <w:sz w:val="21"/>
          <w:szCs w:val="21"/>
          <w:lang w:val="en-US"/>
        </w:rPr>
        <w:t>ru</w:t>
      </w:r>
    </w:p>
    <w:p w14:paraId="3C778472" w14:textId="77777777" w:rsidR="00BC4B86" w:rsidRDefault="00BC4B86" w:rsidP="003F20A7">
      <w:pPr>
        <w:spacing w:after="0" w:line="240" w:lineRule="auto"/>
        <w:contextualSpacing/>
        <w:jc w:val="right"/>
        <w:rPr>
          <w:rFonts w:ascii="Times New Roman" w:eastAsia="Calibri" w:hAnsi="Times New Roman" w:cs="Times New Roman"/>
          <w:b/>
          <w:i/>
          <w:sz w:val="21"/>
          <w:szCs w:val="21"/>
        </w:rPr>
      </w:pPr>
    </w:p>
    <w:p w14:paraId="0CE1C434" w14:textId="09BD411C" w:rsidR="00EE7B3A" w:rsidRPr="00EE7B3A" w:rsidRDefault="00EE7B3A" w:rsidP="003F20A7">
      <w:pPr>
        <w:spacing w:after="0" w:line="240" w:lineRule="auto"/>
        <w:contextualSpacing/>
        <w:jc w:val="right"/>
        <w:rPr>
          <w:rFonts w:ascii="Times New Roman" w:eastAsia="Calibri" w:hAnsi="Times New Roman" w:cs="Times New Roman"/>
          <w:i/>
          <w:sz w:val="21"/>
          <w:szCs w:val="21"/>
        </w:rPr>
      </w:pPr>
      <w:r w:rsidRPr="00EE7B3A">
        <w:rPr>
          <w:rFonts w:ascii="Times New Roman" w:eastAsia="Calibri" w:hAnsi="Times New Roman" w:cs="Times New Roman"/>
          <w:b/>
          <w:i/>
          <w:sz w:val="21"/>
          <w:szCs w:val="21"/>
        </w:rPr>
        <w:t>Научный руководитель:</w:t>
      </w:r>
      <w:r w:rsidRPr="00EE7B3A">
        <w:rPr>
          <w:rFonts w:ascii="Times New Roman" w:eastAsia="Calibri" w:hAnsi="Times New Roman" w:cs="Times New Roman"/>
          <w:b/>
          <w:i/>
          <w:sz w:val="21"/>
          <w:szCs w:val="21"/>
        </w:rPr>
        <w:br/>
        <w:t>Васкевич Т.В.,</w:t>
      </w:r>
      <w:r w:rsidRPr="00EE7B3A">
        <w:rPr>
          <w:rFonts w:ascii="Times New Roman" w:eastAsia="Calibri" w:hAnsi="Times New Roman" w:cs="Times New Roman"/>
          <w:i/>
          <w:sz w:val="21"/>
          <w:szCs w:val="21"/>
        </w:rPr>
        <w:br/>
      </w:r>
      <w:proofErr w:type="gramStart"/>
      <w:r w:rsidRPr="00EE7B3A">
        <w:rPr>
          <w:rFonts w:ascii="Times New Roman" w:eastAsia="Calibri" w:hAnsi="Times New Roman" w:cs="Times New Roman"/>
          <w:i/>
          <w:sz w:val="21"/>
          <w:szCs w:val="21"/>
        </w:rPr>
        <w:t>канд.пед</w:t>
      </w:r>
      <w:proofErr w:type="gramEnd"/>
      <w:r w:rsidRPr="00EE7B3A">
        <w:rPr>
          <w:rFonts w:ascii="Times New Roman" w:eastAsia="Calibri" w:hAnsi="Times New Roman" w:cs="Times New Roman"/>
          <w:i/>
          <w:sz w:val="21"/>
          <w:szCs w:val="21"/>
        </w:rPr>
        <w:t>.наук, доцент кафедры «Математика и информатика»,</w:t>
      </w:r>
      <w:r w:rsidRPr="00EE7B3A">
        <w:rPr>
          <w:rFonts w:ascii="Times New Roman" w:eastAsia="Calibri" w:hAnsi="Times New Roman" w:cs="Times New Roman"/>
          <w:i/>
          <w:sz w:val="21"/>
          <w:szCs w:val="21"/>
        </w:rPr>
        <w:br/>
        <w:t>Краснодарский филиал Финуниверситета,</w:t>
      </w:r>
    </w:p>
    <w:p w14:paraId="4C30A907"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rPr>
      </w:pPr>
      <w:r w:rsidRPr="00EE7B3A">
        <w:rPr>
          <w:rFonts w:ascii="Times New Roman" w:eastAsia="Calibri" w:hAnsi="Times New Roman" w:cs="Times New Roman"/>
          <w:i/>
          <w:sz w:val="21"/>
          <w:szCs w:val="21"/>
        </w:rPr>
        <w:t>г. Краснодар, Россия</w:t>
      </w:r>
      <w:r w:rsidRPr="00EE7B3A">
        <w:rPr>
          <w:rFonts w:ascii="Times New Roman" w:eastAsia="Calibri" w:hAnsi="Times New Roman" w:cs="Times New Roman"/>
          <w:i/>
          <w:sz w:val="21"/>
          <w:szCs w:val="21"/>
        </w:rPr>
        <w:br/>
      </w:r>
      <w:r w:rsidRPr="00EE7B3A">
        <w:rPr>
          <w:rFonts w:ascii="Times New Roman" w:eastAsia="Calibri" w:hAnsi="Times New Roman" w:cs="Times New Roman"/>
          <w:i/>
          <w:sz w:val="21"/>
          <w:szCs w:val="21"/>
          <w:lang w:val="en-US"/>
        </w:rPr>
        <w:t>e</w:t>
      </w:r>
      <w:r w:rsidRPr="00EE7B3A">
        <w:rPr>
          <w:rFonts w:ascii="Times New Roman" w:eastAsia="Calibri" w:hAnsi="Times New Roman" w:cs="Times New Roman"/>
          <w:i/>
          <w:sz w:val="21"/>
          <w:szCs w:val="21"/>
        </w:rPr>
        <w:t>-</w:t>
      </w:r>
      <w:r w:rsidRPr="00EE7B3A">
        <w:rPr>
          <w:rFonts w:ascii="Times New Roman" w:eastAsia="Calibri" w:hAnsi="Times New Roman" w:cs="Times New Roman"/>
          <w:i/>
          <w:sz w:val="21"/>
          <w:szCs w:val="21"/>
          <w:lang w:val="en-US"/>
        </w:rPr>
        <w:t>mail</w:t>
      </w:r>
      <w:r w:rsidRPr="00EE7B3A">
        <w:rPr>
          <w:rFonts w:ascii="Times New Roman" w:eastAsia="Calibri" w:hAnsi="Times New Roman" w:cs="Times New Roman"/>
          <w:i/>
          <w:sz w:val="21"/>
          <w:szCs w:val="21"/>
        </w:rPr>
        <w:t>:</w:t>
      </w:r>
      <w:r w:rsidRPr="00EE7B3A">
        <w:rPr>
          <w:rFonts w:ascii="Calibri" w:eastAsia="Calibri" w:hAnsi="Calibri" w:cs="Times New Roman"/>
        </w:rPr>
        <w:t xml:space="preserve"> </w:t>
      </w:r>
      <w:r w:rsidRPr="00EE7B3A">
        <w:rPr>
          <w:rFonts w:ascii="Times New Roman" w:eastAsia="Calibri" w:hAnsi="Times New Roman" w:cs="Times New Roman"/>
          <w:i/>
          <w:sz w:val="21"/>
          <w:szCs w:val="21"/>
        </w:rPr>
        <w:t>tvvaskevich@fa.ru</w:t>
      </w:r>
    </w:p>
    <w:p w14:paraId="01D155F1"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rPr>
      </w:pPr>
    </w:p>
    <w:p w14:paraId="56DAB207" w14:textId="77777777" w:rsidR="00EE7B3A" w:rsidRDefault="00EE7B3A" w:rsidP="003F20A7">
      <w:pPr>
        <w:spacing w:after="0" w:line="240" w:lineRule="auto"/>
        <w:contextualSpacing/>
        <w:jc w:val="center"/>
        <w:rPr>
          <w:rFonts w:ascii="Times New Roman" w:eastAsia="Calibri" w:hAnsi="Times New Roman" w:cs="Times New Roman"/>
          <w:b/>
          <w:sz w:val="21"/>
          <w:szCs w:val="21"/>
        </w:rPr>
      </w:pPr>
      <w:r w:rsidRPr="00EE7B3A">
        <w:rPr>
          <w:rFonts w:ascii="Times New Roman" w:eastAsia="Calibri" w:hAnsi="Times New Roman" w:cs="Times New Roman"/>
          <w:b/>
          <w:sz w:val="21"/>
          <w:szCs w:val="21"/>
        </w:rPr>
        <w:t>От данных к хиту: прогнозирование популярности музыкальных</w:t>
      </w:r>
      <w:r w:rsidRPr="00EE7B3A">
        <w:rPr>
          <w:rFonts w:ascii="Times New Roman" w:eastAsia="Calibri" w:hAnsi="Times New Roman" w:cs="Times New Roman"/>
          <w:b/>
          <w:sz w:val="21"/>
          <w:szCs w:val="21"/>
        </w:rPr>
        <w:br/>
        <w:t xml:space="preserve">треков с помощью </w:t>
      </w:r>
      <w:r w:rsidRPr="00EE7B3A">
        <w:rPr>
          <w:rFonts w:ascii="Times New Roman" w:eastAsia="Calibri" w:hAnsi="Times New Roman" w:cs="Times New Roman"/>
          <w:b/>
          <w:sz w:val="21"/>
          <w:szCs w:val="21"/>
          <w:lang w:val="en-US"/>
        </w:rPr>
        <w:t>ML</w:t>
      </w:r>
      <w:r w:rsidRPr="00EE7B3A">
        <w:rPr>
          <w:rFonts w:ascii="Times New Roman" w:eastAsia="Calibri" w:hAnsi="Times New Roman" w:cs="Times New Roman"/>
          <w:b/>
          <w:sz w:val="21"/>
          <w:szCs w:val="21"/>
        </w:rPr>
        <w:t xml:space="preserve"> и анализа аудио-признаков</w:t>
      </w:r>
    </w:p>
    <w:p w14:paraId="19929C97" w14:textId="77777777" w:rsidR="00BC4B86" w:rsidRPr="00EE7B3A" w:rsidRDefault="00BC4B86" w:rsidP="003F20A7">
      <w:pPr>
        <w:spacing w:after="0" w:line="240" w:lineRule="auto"/>
        <w:contextualSpacing/>
        <w:jc w:val="center"/>
        <w:rPr>
          <w:rFonts w:ascii="Times New Roman" w:eastAsia="Calibri" w:hAnsi="Times New Roman" w:cs="Times New Roman"/>
          <w:b/>
          <w:sz w:val="21"/>
          <w:szCs w:val="21"/>
        </w:rPr>
      </w:pPr>
    </w:p>
    <w:p w14:paraId="1EEC8838" w14:textId="77777777" w:rsidR="00EE7B3A" w:rsidRPr="00EE7B3A" w:rsidRDefault="00EE7B3A" w:rsidP="003F20A7">
      <w:pPr>
        <w:spacing w:after="0" w:line="240" w:lineRule="auto"/>
        <w:ind w:firstLine="708"/>
        <w:contextualSpacing/>
        <w:jc w:val="both"/>
        <w:rPr>
          <w:rFonts w:ascii="Times New Roman" w:eastAsia="Calibri" w:hAnsi="Times New Roman" w:cs="Times New Roman"/>
          <w:sz w:val="21"/>
          <w:szCs w:val="21"/>
        </w:rPr>
      </w:pPr>
      <w:r w:rsidRPr="00EE7B3A">
        <w:rPr>
          <w:rFonts w:ascii="Times New Roman" w:eastAsia="Calibri" w:hAnsi="Times New Roman" w:cs="Times New Roman"/>
          <w:b/>
          <w:sz w:val="21"/>
          <w:szCs w:val="21"/>
        </w:rPr>
        <w:t xml:space="preserve">Аннотация: </w:t>
      </w:r>
      <w:r w:rsidRPr="00EE7B3A">
        <w:rPr>
          <w:rFonts w:ascii="Times New Roman" w:eastAsia="Calibri" w:hAnsi="Times New Roman" w:cs="Times New Roman"/>
          <w:sz w:val="21"/>
          <w:szCs w:val="21"/>
        </w:rPr>
        <w:t>Статья посвящена выявлению показателей, влияющих на популярность музыки. Исследование проводилось посредством анализа набора данных с помощью методов машинного обучения на примере платформы потоковой музыки Spotify.</w:t>
      </w:r>
    </w:p>
    <w:p w14:paraId="7332965F" w14:textId="77777777" w:rsidR="00EE7B3A" w:rsidRPr="00EE7B3A" w:rsidRDefault="00EE7B3A" w:rsidP="003F20A7">
      <w:pPr>
        <w:spacing w:after="0" w:line="240" w:lineRule="auto"/>
        <w:ind w:firstLine="708"/>
        <w:contextualSpacing/>
        <w:jc w:val="both"/>
        <w:rPr>
          <w:rFonts w:ascii="Times New Roman" w:eastAsia="Calibri" w:hAnsi="Times New Roman" w:cs="Times New Roman"/>
          <w:sz w:val="21"/>
          <w:szCs w:val="21"/>
        </w:rPr>
      </w:pPr>
      <w:r w:rsidRPr="00EE7B3A">
        <w:rPr>
          <w:rFonts w:ascii="Times New Roman" w:eastAsia="Calibri" w:hAnsi="Times New Roman" w:cs="Times New Roman"/>
          <w:b/>
          <w:sz w:val="21"/>
          <w:szCs w:val="21"/>
        </w:rPr>
        <w:t xml:space="preserve">Ключевые слова: </w:t>
      </w:r>
      <w:r w:rsidRPr="00EE7B3A">
        <w:rPr>
          <w:rFonts w:ascii="Times New Roman" w:eastAsia="Calibri" w:hAnsi="Times New Roman" w:cs="Times New Roman"/>
          <w:sz w:val="21"/>
          <w:szCs w:val="21"/>
        </w:rPr>
        <w:t>обработка данных, моделирование, нейронная сеть, машинное обучение, искусственный интеллект.</w:t>
      </w:r>
    </w:p>
    <w:p w14:paraId="76BFA608" w14:textId="77777777" w:rsidR="00EE7B3A" w:rsidRPr="00EE7B3A" w:rsidRDefault="00EE7B3A" w:rsidP="003F20A7">
      <w:pPr>
        <w:spacing w:after="0" w:line="240" w:lineRule="auto"/>
        <w:ind w:firstLine="708"/>
        <w:contextualSpacing/>
        <w:rPr>
          <w:rFonts w:ascii="Times New Roman" w:eastAsia="Calibri" w:hAnsi="Times New Roman" w:cs="Times New Roman"/>
          <w:sz w:val="21"/>
          <w:szCs w:val="21"/>
        </w:rPr>
      </w:pPr>
    </w:p>
    <w:p w14:paraId="315173EC"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lang w:val="en-US"/>
        </w:rPr>
      </w:pPr>
      <w:r w:rsidRPr="00EE7B3A">
        <w:rPr>
          <w:rFonts w:ascii="Times New Roman" w:eastAsia="Calibri" w:hAnsi="Times New Roman" w:cs="Times New Roman"/>
          <w:b/>
          <w:i/>
          <w:sz w:val="21"/>
          <w:szCs w:val="21"/>
          <w:lang w:val="en-US"/>
        </w:rPr>
        <w:t xml:space="preserve">Shepeleva K.A., </w:t>
      </w:r>
      <w:r w:rsidRPr="00EE7B3A">
        <w:rPr>
          <w:rFonts w:ascii="Times New Roman" w:eastAsia="Calibri" w:hAnsi="Times New Roman" w:cs="Times New Roman"/>
          <w:i/>
          <w:sz w:val="21"/>
          <w:szCs w:val="21"/>
          <w:lang w:val="en-US"/>
        </w:rPr>
        <w:br/>
        <w:t>student, 2 courses</w:t>
      </w:r>
      <w:r w:rsidRPr="00EE7B3A">
        <w:rPr>
          <w:rFonts w:ascii="Times New Roman" w:eastAsia="Calibri" w:hAnsi="Times New Roman" w:cs="Times New Roman"/>
          <w:i/>
          <w:sz w:val="21"/>
          <w:szCs w:val="21"/>
          <w:lang w:val="en-US"/>
        </w:rPr>
        <w:br/>
        <w:t>Krasnodar branch of the Financial University,</w:t>
      </w:r>
      <w:r w:rsidRPr="00EE7B3A">
        <w:rPr>
          <w:rFonts w:ascii="Times New Roman" w:eastAsia="Calibri" w:hAnsi="Times New Roman" w:cs="Times New Roman"/>
          <w:i/>
          <w:sz w:val="21"/>
          <w:szCs w:val="21"/>
          <w:lang w:val="en-US"/>
        </w:rPr>
        <w:br/>
        <w:t>Krasnodar, Russia</w:t>
      </w:r>
      <w:r w:rsidRPr="00EE7B3A">
        <w:rPr>
          <w:rFonts w:ascii="Times New Roman" w:eastAsia="Calibri" w:hAnsi="Times New Roman" w:cs="Times New Roman"/>
          <w:i/>
          <w:sz w:val="21"/>
          <w:szCs w:val="21"/>
          <w:lang w:val="en-US"/>
        </w:rPr>
        <w:br/>
        <w:t xml:space="preserve">e-mail: </w:t>
      </w:r>
      <w:r w:rsidRPr="00EE7B3A">
        <w:rPr>
          <w:rFonts w:ascii="Calibri" w:eastAsia="Calibri" w:hAnsi="Calibri" w:cs="Times New Roman"/>
          <w:i/>
          <w:sz w:val="21"/>
          <w:szCs w:val="21"/>
          <w:lang w:val="en-US"/>
        </w:rPr>
        <w:t>100DOT13SL230019@edu.fa.ru</w:t>
      </w:r>
    </w:p>
    <w:p w14:paraId="6A4AF313" w14:textId="77777777" w:rsidR="00BC4B86" w:rsidRPr="00654CF2" w:rsidRDefault="00BC4B86" w:rsidP="003F20A7">
      <w:pPr>
        <w:spacing w:after="0" w:line="240" w:lineRule="auto"/>
        <w:contextualSpacing/>
        <w:jc w:val="right"/>
        <w:rPr>
          <w:rFonts w:ascii="Times New Roman" w:eastAsia="Calibri" w:hAnsi="Times New Roman" w:cs="Times New Roman"/>
          <w:b/>
          <w:i/>
          <w:sz w:val="21"/>
          <w:szCs w:val="21"/>
          <w:lang w:val="en-US"/>
        </w:rPr>
      </w:pPr>
    </w:p>
    <w:p w14:paraId="1CD8F7AF" w14:textId="288DFDB6" w:rsidR="00EE7B3A" w:rsidRPr="00EE7B3A" w:rsidRDefault="00EE7B3A" w:rsidP="003F20A7">
      <w:pPr>
        <w:spacing w:after="0" w:line="240" w:lineRule="auto"/>
        <w:contextualSpacing/>
        <w:jc w:val="right"/>
        <w:rPr>
          <w:rFonts w:ascii="Times New Roman" w:eastAsia="Calibri" w:hAnsi="Times New Roman" w:cs="Times New Roman"/>
          <w:i/>
          <w:sz w:val="21"/>
          <w:szCs w:val="21"/>
          <w:lang w:val="en-US"/>
        </w:rPr>
      </w:pPr>
      <w:r w:rsidRPr="00EE7B3A">
        <w:rPr>
          <w:rFonts w:ascii="Times New Roman" w:eastAsia="Calibri" w:hAnsi="Times New Roman" w:cs="Times New Roman"/>
          <w:b/>
          <w:i/>
          <w:sz w:val="21"/>
          <w:szCs w:val="21"/>
          <w:lang w:val="en-US"/>
        </w:rPr>
        <w:t xml:space="preserve">Scientific Adviser: </w:t>
      </w:r>
      <w:r w:rsidRPr="00EE7B3A">
        <w:rPr>
          <w:rFonts w:ascii="Times New Roman" w:eastAsia="Calibri" w:hAnsi="Times New Roman" w:cs="Times New Roman"/>
          <w:b/>
          <w:i/>
          <w:sz w:val="21"/>
          <w:szCs w:val="21"/>
          <w:lang w:val="en-US"/>
        </w:rPr>
        <w:br/>
        <w:t xml:space="preserve">Vaskevich T.V., </w:t>
      </w:r>
      <w:r w:rsidRPr="00EE7B3A">
        <w:rPr>
          <w:rFonts w:ascii="Times New Roman" w:eastAsia="Calibri" w:hAnsi="Times New Roman" w:cs="Times New Roman"/>
          <w:b/>
          <w:i/>
          <w:sz w:val="21"/>
          <w:szCs w:val="21"/>
          <w:lang w:val="en-US"/>
        </w:rPr>
        <w:br/>
      </w:r>
      <w:r w:rsidRPr="00EE7B3A">
        <w:rPr>
          <w:rFonts w:ascii="Times New Roman" w:eastAsia="Calibri" w:hAnsi="Times New Roman" w:cs="Times New Roman"/>
          <w:i/>
          <w:sz w:val="21"/>
          <w:szCs w:val="21"/>
          <w:lang w:val="en-US"/>
        </w:rPr>
        <w:t xml:space="preserve">Candidate of Pedagogical Sciences, Associate Professor </w:t>
      </w:r>
    </w:p>
    <w:p w14:paraId="4AA2AAF9"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lang w:val="en-US"/>
        </w:rPr>
      </w:pPr>
      <w:r w:rsidRPr="00EE7B3A">
        <w:rPr>
          <w:rFonts w:ascii="Times New Roman" w:eastAsia="Calibri" w:hAnsi="Times New Roman" w:cs="Times New Roman"/>
          <w:i/>
          <w:sz w:val="21"/>
          <w:szCs w:val="21"/>
          <w:lang w:val="en-US"/>
        </w:rPr>
        <w:t>of the Department of Mathematics and Computer Science,</w:t>
      </w:r>
      <w:r w:rsidRPr="00EE7B3A">
        <w:rPr>
          <w:rFonts w:ascii="Times New Roman" w:eastAsia="Calibri" w:hAnsi="Times New Roman" w:cs="Times New Roman"/>
          <w:i/>
          <w:sz w:val="21"/>
          <w:szCs w:val="21"/>
          <w:lang w:val="en-US"/>
        </w:rPr>
        <w:br/>
        <w:t>Krasnodar branch of the Financial University,</w:t>
      </w:r>
      <w:r w:rsidRPr="00EE7B3A">
        <w:rPr>
          <w:rFonts w:ascii="Times New Roman" w:eastAsia="Calibri" w:hAnsi="Times New Roman" w:cs="Times New Roman"/>
          <w:i/>
          <w:sz w:val="21"/>
          <w:szCs w:val="21"/>
          <w:lang w:val="en-US"/>
        </w:rPr>
        <w:br/>
        <w:t>Krasnodar, Russia</w:t>
      </w:r>
      <w:r w:rsidRPr="00EE7B3A">
        <w:rPr>
          <w:rFonts w:ascii="Times New Roman" w:eastAsia="Calibri" w:hAnsi="Times New Roman" w:cs="Times New Roman"/>
          <w:i/>
          <w:sz w:val="21"/>
          <w:szCs w:val="21"/>
          <w:lang w:val="en-US"/>
        </w:rPr>
        <w:br/>
        <w:t>e-mail: tvvaskevich@fa.ru</w:t>
      </w:r>
    </w:p>
    <w:p w14:paraId="5D85E759" w14:textId="77777777" w:rsidR="00EE7B3A" w:rsidRPr="00EE7B3A" w:rsidRDefault="00EE7B3A" w:rsidP="003F20A7">
      <w:pPr>
        <w:spacing w:after="0" w:line="240" w:lineRule="auto"/>
        <w:contextualSpacing/>
        <w:jc w:val="right"/>
        <w:rPr>
          <w:rFonts w:ascii="Times New Roman" w:eastAsia="Calibri" w:hAnsi="Times New Roman" w:cs="Times New Roman"/>
          <w:i/>
          <w:sz w:val="21"/>
          <w:szCs w:val="21"/>
          <w:lang w:val="en-US"/>
        </w:rPr>
      </w:pPr>
    </w:p>
    <w:p w14:paraId="750939D0" w14:textId="77777777" w:rsidR="00EE7B3A" w:rsidRPr="00654CF2" w:rsidRDefault="00EE7B3A" w:rsidP="003F20A7">
      <w:pPr>
        <w:spacing w:after="0" w:line="240" w:lineRule="auto"/>
        <w:contextualSpacing/>
        <w:jc w:val="center"/>
        <w:rPr>
          <w:rFonts w:ascii="Times New Roman" w:eastAsia="Calibri" w:hAnsi="Times New Roman" w:cs="Times New Roman"/>
          <w:b/>
          <w:sz w:val="21"/>
          <w:szCs w:val="21"/>
          <w:lang w:val="en-US"/>
        </w:rPr>
      </w:pPr>
      <w:r w:rsidRPr="00EE7B3A">
        <w:rPr>
          <w:rFonts w:ascii="Times New Roman" w:eastAsia="Calibri" w:hAnsi="Times New Roman" w:cs="Times New Roman"/>
          <w:b/>
          <w:sz w:val="21"/>
          <w:szCs w:val="21"/>
          <w:lang w:val="en-US"/>
        </w:rPr>
        <w:t xml:space="preserve">From data to hit: predicting the popularity of music </w:t>
      </w:r>
      <w:r w:rsidRPr="00EE7B3A">
        <w:rPr>
          <w:rFonts w:ascii="Times New Roman" w:eastAsia="Calibri" w:hAnsi="Times New Roman" w:cs="Times New Roman"/>
          <w:b/>
          <w:sz w:val="21"/>
          <w:szCs w:val="21"/>
          <w:lang w:val="en-US"/>
        </w:rPr>
        <w:br/>
        <w:t>tracks using ML and audio feature analysis</w:t>
      </w:r>
    </w:p>
    <w:p w14:paraId="5FD5AE29" w14:textId="77777777" w:rsidR="00BC4B86" w:rsidRPr="00654CF2" w:rsidRDefault="00BC4B86" w:rsidP="003F20A7">
      <w:pPr>
        <w:spacing w:after="0" w:line="240" w:lineRule="auto"/>
        <w:contextualSpacing/>
        <w:jc w:val="center"/>
        <w:rPr>
          <w:rFonts w:ascii="Calibri" w:eastAsia="Calibri" w:hAnsi="Calibri" w:cs="Times New Roman"/>
          <w:b/>
          <w:lang w:val="en-US"/>
        </w:rPr>
      </w:pPr>
    </w:p>
    <w:p w14:paraId="49FE0010" w14:textId="77777777" w:rsidR="003F20A7" w:rsidRPr="00654CF2" w:rsidRDefault="00EE7B3A" w:rsidP="003F20A7">
      <w:pPr>
        <w:spacing w:after="0" w:line="240" w:lineRule="auto"/>
        <w:ind w:firstLine="708"/>
        <w:contextualSpacing/>
        <w:jc w:val="both"/>
        <w:rPr>
          <w:rFonts w:ascii="Times New Roman" w:eastAsia="Calibri" w:hAnsi="Times New Roman" w:cs="Times New Roman"/>
          <w:sz w:val="21"/>
          <w:szCs w:val="21"/>
          <w:lang w:val="en-US"/>
        </w:rPr>
      </w:pPr>
      <w:r w:rsidRPr="00EE7B3A">
        <w:rPr>
          <w:rFonts w:ascii="Times New Roman" w:eastAsia="Calibri" w:hAnsi="Times New Roman" w:cs="Times New Roman"/>
          <w:b/>
          <w:sz w:val="21"/>
          <w:szCs w:val="21"/>
          <w:lang w:val="en-US"/>
        </w:rPr>
        <w:t>Abstract:</w:t>
      </w:r>
      <w:r w:rsidRPr="00EE7B3A">
        <w:rPr>
          <w:rFonts w:ascii="Times New Roman" w:eastAsia="Calibri" w:hAnsi="Times New Roman" w:cs="Times New Roman"/>
          <w:sz w:val="21"/>
          <w:szCs w:val="21"/>
          <w:lang w:val="en-US"/>
        </w:rPr>
        <w:t xml:space="preserve"> The article is devoted to the identification of indicators that affect the popularity of music. The study was conducted by analyzing a dataset using machine learning methods using the example of the Spotify music streaming platform.</w:t>
      </w:r>
    </w:p>
    <w:p w14:paraId="7773914C" w14:textId="3395616E" w:rsidR="00EE7B3A" w:rsidRPr="00EE7B3A" w:rsidRDefault="00EE7B3A" w:rsidP="003F20A7">
      <w:pPr>
        <w:spacing w:after="0" w:line="240" w:lineRule="auto"/>
        <w:ind w:firstLine="708"/>
        <w:contextualSpacing/>
        <w:jc w:val="both"/>
        <w:rPr>
          <w:rFonts w:ascii="Times New Roman" w:eastAsia="Calibri" w:hAnsi="Times New Roman" w:cs="Times New Roman"/>
          <w:sz w:val="21"/>
          <w:szCs w:val="21"/>
          <w:lang w:val="en-US"/>
        </w:rPr>
      </w:pPr>
      <w:r w:rsidRPr="00EE7B3A">
        <w:rPr>
          <w:rFonts w:ascii="Times New Roman" w:eastAsia="Calibri" w:hAnsi="Times New Roman" w:cs="Times New Roman"/>
          <w:b/>
          <w:sz w:val="21"/>
          <w:szCs w:val="21"/>
          <w:lang w:val="en-US"/>
        </w:rPr>
        <w:t>Keywords:</w:t>
      </w:r>
      <w:r w:rsidRPr="00EE7B3A">
        <w:rPr>
          <w:rFonts w:ascii="Times New Roman" w:eastAsia="Calibri" w:hAnsi="Times New Roman" w:cs="Times New Roman"/>
          <w:sz w:val="21"/>
          <w:szCs w:val="21"/>
          <w:lang w:val="en-US"/>
        </w:rPr>
        <w:t xml:space="preserve"> data processing, modeling, neural network, machine learning, artificial intelligent.</w:t>
      </w:r>
    </w:p>
    <w:p w14:paraId="19DB89F9" w14:textId="77777777" w:rsidR="00BC4B86" w:rsidRPr="00654CF2" w:rsidRDefault="00BC4B86" w:rsidP="00EE7B3A">
      <w:pPr>
        <w:spacing w:after="0" w:line="240" w:lineRule="auto"/>
        <w:jc w:val="center"/>
        <w:rPr>
          <w:rFonts w:ascii="Times New Roman" w:eastAsia="Calibri" w:hAnsi="Times New Roman" w:cs="Times New Roman"/>
          <w:sz w:val="32"/>
          <w:szCs w:val="28"/>
          <w:lang w:val="en-US"/>
        </w:rPr>
      </w:pPr>
    </w:p>
    <w:p w14:paraId="279A0BB8" w14:textId="2387552E" w:rsidR="00EE7B3A" w:rsidRPr="00EE7B3A" w:rsidRDefault="00EE7B3A" w:rsidP="00EE7B3A">
      <w:pPr>
        <w:spacing w:after="0" w:line="240" w:lineRule="auto"/>
        <w:jc w:val="center"/>
        <w:rPr>
          <w:rFonts w:ascii="Times New Roman" w:eastAsia="Calibri" w:hAnsi="Times New Roman" w:cs="Times New Roman"/>
          <w:sz w:val="32"/>
          <w:szCs w:val="28"/>
        </w:rPr>
      </w:pPr>
      <w:r w:rsidRPr="00EE7B3A">
        <w:rPr>
          <w:rFonts w:ascii="Times New Roman" w:eastAsia="Calibri" w:hAnsi="Times New Roman" w:cs="Times New Roman"/>
          <w:sz w:val="32"/>
          <w:szCs w:val="28"/>
        </w:rPr>
        <w:t>Вступление</w:t>
      </w:r>
    </w:p>
    <w:p w14:paraId="5BC0561A"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 xml:space="preserve">В последние годы музыка всё больше становится неотъемлемой частью жизни каждого из нас. Наверняка вы не раз замечали, как по улице проходят люди в наушниках </w:t>
      </w:r>
      <w:proofErr w:type="gramStart"/>
      <w:r w:rsidRPr="00EE7B3A">
        <w:rPr>
          <w:rFonts w:ascii="Times New Roman" w:eastAsia="Calibri" w:hAnsi="Times New Roman" w:cs="Times New Roman"/>
          <w:sz w:val="32"/>
          <w:szCs w:val="28"/>
        </w:rPr>
        <w:t>–</w:t>
      </w:r>
      <w:proofErr w:type="gramEnd"/>
      <w:r w:rsidRPr="00EE7B3A">
        <w:rPr>
          <w:rFonts w:ascii="Times New Roman" w:eastAsia="Calibri" w:hAnsi="Times New Roman" w:cs="Times New Roman"/>
          <w:sz w:val="32"/>
          <w:szCs w:val="28"/>
        </w:rPr>
        <w:t xml:space="preserve"> будь то подростки, студенты, взрослые. Всех их объединяет одно – музыка.</w:t>
      </w:r>
    </w:p>
    <w:p w14:paraId="7CB40F7D"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Вы наверняка слышали о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возможно, даже не до конца понимая, что это такое.</w:t>
      </w:r>
    </w:p>
    <w:p w14:paraId="22C32BC4"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 уникальное приложение, известное своей практичностью, удобством и приятным интерфейсом, а главное – обширной официальной музыкальной библиотекой: от классики до </w:t>
      </w:r>
      <w:r w:rsidRPr="00EE7B3A">
        <w:rPr>
          <w:rFonts w:ascii="Times New Roman" w:eastAsia="Calibri" w:hAnsi="Times New Roman" w:cs="Times New Roman"/>
          <w:sz w:val="32"/>
          <w:szCs w:val="28"/>
        </w:rPr>
        <w:lastRenderedPageBreak/>
        <w:t xml:space="preserve">современных битов и электронных композиций. Именно так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изменил облик музыкальной индустрии.</w:t>
      </w:r>
    </w:p>
    <w:p w14:paraId="3472D3B3"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Пользователи слушают своих любимых исполнителей по всему миру, а некоторые даже слушают собственные треки, </w:t>
      </w:r>
      <w:proofErr w:type="gramStart"/>
      <w:r w:rsidRPr="00EE7B3A">
        <w:rPr>
          <w:rFonts w:ascii="Times New Roman" w:eastAsia="Calibri" w:hAnsi="Times New Roman" w:cs="Times New Roman"/>
          <w:sz w:val="32"/>
          <w:szCs w:val="28"/>
        </w:rPr>
        <w:t>и</w:t>
      </w:r>
      <w:proofErr w:type="gramEnd"/>
      <w:r w:rsidRPr="00EE7B3A">
        <w:rPr>
          <w:rFonts w:ascii="Times New Roman" w:eastAsia="Calibri" w:hAnsi="Times New Roman" w:cs="Times New Roman"/>
          <w:sz w:val="32"/>
          <w:szCs w:val="28"/>
        </w:rPr>
        <w:t xml:space="preserve"> если ваша песня пользуется успехом на этой платформе, значит, ваша песня имеет успех во всём мире.</w:t>
      </w:r>
    </w:p>
    <w:p w14:paraId="3430372B"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У начинающих артистов часто возникают сложности с тем, чтобы пробиться через шум и поделиться со слушателями своей музыкой, поделиться чем-то уникальным и, возможно, новым хитом, что станет новой рекомендацией радиоволн потоковой музыки.</w:t>
      </w:r>
    </w:p>
    <w:p w14:paraId="38C14EDA"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Благодаря возможностям и инструментам машинного обучения, возможно, мы сможем «расшифровать» часть алгоритма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и проанализировать, что же действительно делают песню хитом.</w:t>
      </w:r>
    </w:p>
    <w:p w14:paraId="6AFAE00D" w14:textId="77777777" w:rsidR="00EE7B3A" w:rsidRPr="00EE7B3A" w:rsidRDefault="00EE7B3A" w:rsidP="00EE7B3A">
      <w:pPr>
        <w:spacing w:after="0" w:line="240" w:lineRule="auto"/>
        <w:jc w:val="center"/>
        <w:rPr>
          <w:rFonts w:ascii="Times New Roman" w:eastAsia="Calibri" w:hAnsi="Times New Roman" w:cs="Times New Roman"/>
          <w:sz w:val="32"/>
          <w:szCs w:val="28"/>
        </w:rPr>
      </w:pPr>
      <w:r w:rsidRPr="00EE7B3A">
        <w:rPr>
          <w:rFonts w:ascii="Times New Roman" w:eastAsia="Calibri" w:hAnsi="Times New Roman" w:cs="Times New Roman"/>
          <w:sz w:val="32"/>
          <w:szCs w:val="28"/>
        </w:rPr>
        <w:t>Обработка данных: начало работы</w:t>
      </w:r>
    </w:p>
    <w:p w14:paraId="35725147" w14:textId="77777777" w:rsidR="00EE7B3A" w:rsidRPr="00EE7B3A" w:rsidRDefault="00EE7B3A" w:rsidP="00EE7B3A">
      <w:pPr>
        <w:spacing w:after="0" w:line="240" w:lineRule="auto"/>
        <w:ind w:firstLine="360"/>
        <w:jc w:val="both"/>
        <w:rPr>
          <w:rFonts w:ascii="Times New Roman" w:eastAsia="Calibri" w:hAnsi="Times New Roman" w:cs="Times New Roman"/>
          <w:sz w:val="32"/>
          <w:szCs w:val="28"/>
        </w:rPr>
      </w:pP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накапливает огромное количество релевантных данных и делится ими в рамках программы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для разработчиков». Это отличный инструмент для понимания того, что происходит с нашими любимыми песнями, когда они попадают в мир аналитики и статистики.</w:t>
      </w:r>
    </w:p>
    <w:p w14:paraId="7DA4E2B0" w14:textId="77777777" w:rsidR="00EE7B3A" w:rsidRPr="00EE7B3A" w:rsidRDefault="00EE7B3A" w:rsidP="00EE7B3A">
      <w:pPr>
        <w:spacing w:after="0" w:line="240" w:lineRule="auto"/>
        <w:ind w:firstLine="360"/>
        <w:jc w:val="both"/>
        <w:rPr>
          <w:rFonts w:ascii="Times New Roman" w:eastAsia="Calibri" w:hAnsi="Times New Roman" w:cs="Times New Roman"/>
          <w:sz w:val="32"/>
          <w:szCs w:val="28"/>
        </w:rPr>
      </w:pP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классифицирует песни по собственным разработанным показателям, что позволяет составлять плейлисты, давать индивидуальные рекомендации для каждого пользователя и открывать новые возможности.</w:t>
      </w:r>
    </w:p>
    <w:p w14:paraId="3999683C" w14:textId="77777777" w:rsidR="00EE7B3A" w:rsidRPr="00EE7B3A" w:rsidRDefault="00EE7B3A" w:rsidP="00EE7B3A">
      <w:pPr>
        <w:spacing w:after="0" w:line="240" w:lineRule="auto"/>
        <w:ind w:firstLine="360"/>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Такое количество данных порождает вопросы, на которые я отвечу в ходе своего исследования:</w:t>
      </w:r>
    </w:p>
    <w:p w14:paraId="4D4087A9" w14:textId="77777777" w:rsidR="00EE7B3A" w:rsidRPr="00EE7B3A" w:rsidRDefault="00EE7B3A" w:rsidP="00AD58CD">
      <w:pPr>
        <w:numPr>
          <w:ilvl w:val="0"/>
          <w:numId w:val="221"/>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Как я смогу использовать такие показатели для прогнозирования популярности песни?</w:t>
      </w:r>
    </w:p>
    <w:p w14:paraId="3FA12B45" w14:textId="77777777" w:rsidR="00EE7B3A" w:rsidRPr="00EE7B3A" w:rsidRDefault="00EE7B3A" w:rsidP="00AD58CD">
      <w:pPr>
        <w:numPr>
          <w:ilvl w:val="0"/>
          <w:numId w:val="221"/>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Если смогу, то какие показатели окажутся наиболее важными для определения, станет ли песня хитом?</w:t>
      </w:r>
    </w:p>
    <w:p w14:paraId="2505DDD8" w14:textId="77777777" w:rsidR="00EE7B3A" w:rsidRPr="00EE7B3A" w:rsidRDefault="00EE7B3A" w:rsidP="00EE7B3A">
      <w:pPr>
        <w:spacing w:after="0" w:line="240" w:lineRule="auto"/>
        <w:ind w:left="720"/>
        <w:contextualSpacing/>
        <w:jc w:val="both"/>
        <w:rPr>
          <w:rFonts w:ascii="Times New Roman" w:eastAsia="Calibri" w:hAnsi="Times New Roman" w:cs="Times New Roman"/>
          <w:sz w:val="32"/>
          <w:szCs w:val="28"/>
        </w:rPr>
      </w:pPr>
    </w:p>
    <w:p w14:paraId="6D1C70E5" w14:textId="77777777" w:rsidR="00EE7B3A" w:rsidRPr="00EE7B3A" w:rsidRDefault="00EE7B3A" w:rsidP="00EE7B3A">
      <w:pPr>
        <w:spacing w:after="0" w:line="240" w:lineRule="auto"/>
        <w:ind w:firstLine="360"/>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За основу своего исследования возьмём уже подготовленный к анализу набор данных популярности песен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более чем в 170 тысяч строк.</w:t>
      </w:r>
    </w:p>
    <w:p w14:paraId="772401B1"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1. Обработку начнём с импорта библиотек и набора данных:</w:t>
      </w:r>
    </w:p>
    <w:p w14:paraId="3B61D0EC"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32"/>
          <w:szCs w:val="28"/>
        </w:rPr>
        <w:tab/>
      </w:r>
      <w:r w:rsidRPr="00EE7B3A">
        <w:rPr>
          <w:rFonts w:ascii="Calibri" w:eastAsia="Calibri" w:hAnsi="Calibri" w:cs="Calibri"/>
          <w:i/>
          <w:iCs/>
          <w:sz w:val="28"/>
          <w:szCs w:val="28"/>
          <w:lang w:val="en-US"/>
        </w:rPr>
        <w:t>import numpy as np</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import pandas as pd</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import seaborn as sns</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 xml:space="preserve">import </w:t>
      </w:r>
      <w:proofErr w:type="gramStart"/>
      <w:r w:rsidRPr="00EE7B3A">
        <w:rPr>
          <w:rFonts w:ascii="Calibri" w:eastAsia="Calibri" w:hAnsi="Calibri" w:cs="Calibri"/>
          <w:i/>
          <w:iCs/>
          <w:sz w:val="28"/>
          <w:szCs w:val="28"/>
          <w:lang w:val="en-US"/>
        </w:rPr>
        <w:t>matplotlib.pyplot</w:t>
      </w:r>
      <w:proofErr w:type="gramEnd"/>
      <w:r w:rsidRPr="00EE7B3A">
        <w:rPr>
          <w:rFonts w:ascii="Calibri" w:eastAsia="Calibri" w:hAnsi="Calibri" w:cs="Calibri"/>
          <w:i/>
          <w:iCs/>
          <w:sz w:val="28"/>
          <w:szCs w:val="28"/>
          <w:lang w:val="en-US"/>
        </w:rPr>
        <w:t xml:space="preserve"> as plt</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%matplotlib inline</w:t>
      </w:r>
    </w:p>
    <w:p w14:paraId="3298BDAF"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lastRenderedPageBreak/>
        <w:tab/>
        <w:t xml:space="preserve">from </w:t>
      </w:r>
      <w:proofErr w:type="gramStart"/>
      <w:r w:rsidRPr="00EE7B3A">
        <w:rPr>
          <w:rFonts w:ascii="Calibri" w:eastAsia="Calibri" w:hAnsi="Calibri" w:cs="Calibri"/>
          <w:i/>
          <w:iCs/>
          <w:sz w:val="28"/>
          <w:szCs w:val="28"/>
          <w:lang w:val="en-US"/>
        </w:rPr>
        <w:t>sklearn.linear</w:t>
      </w:r>
      <w:proofErr w:type="gramEnd"/>
      <w:r w:rsidRPr="00EE7B3A">
        <w:rPr>
          <w:rFonts w:ascii="Calibri" w:eastAsia="Calibri" w:hAnsi="Calibri" w:cs="Calibri"/>
          <w:i/>
          <w:iCs/>
          <w:sz w:val="28"/>
          <w:szCs w:val="28"/>
          <w:lang w:val="en-US"/>
        </w:rPr>
        <w:t>_model import SGDClassifier</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from sklearn.metrics import confusion_matrix, auc</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from sklearn.metrics import classification_report, roc_curve</w:t>
      </w:r>
    </w:p>
    <w:p w14:paraId="28B1B526"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df = </w:t>
      </w:r>
      <w:proofErr w:type="gramStart"/>
      <w:r w:rsidRPr="00EE7B3A">
        <w:rPr>
          <w:rFonts w:ascii="Calibri" w:eastAsia="Calibri" w:hAnsi="Calibri" w:cs="Calibri"/>
          <w:i/>
          <w:iCs/>
          <w:sz w:val="28"/>
          <w:szCs w:val="28"/>
          <w:lang w:val="en-US"/>
        </w:rPr>
        <w:t>pd.read</w:t>
      </w:r>
      <w:proofErr w:type="gramEnd"/>
      <w:r w:rsidRPr="00EE7B3A">
        <w:rPr>
          <w:rFonts w:ascii="Calibri" w:eastAsia="Calibri" w:hAnsi="Calibri" w:cs="Calibri"/>
          <w:i/>
          <w:iCs/>
          <w:sz w:val="28"/>
          <w:szCs w:val="28"/>
          <w:lang w:val="en-US"/>
        </w:rPr>
        <w:t>_csv(‘clean_spotify_data.csv’).set_index(‘name’)</w:t>
      </w:r>
    </w:p>
    <w:p w14:paraId="447F2CB9"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2. Проведём разделение на обучающую и тестовую выборку:</w:t>
      </w:r>
    </w:p>
    <w:p w14:paraId="5DE39EB4"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sz w:val="28"/>
          <w:szCs w:val="28"/>
        </w:rPr>
        <w:tab/>
      </w:r>
      <w:r w:rsidRPr="00EE7B3A">
        <w:rPr>
          <w:rFonts w:ascii="Calibri" w:eastAsia="Calibri" w:hAnsi="Calibri" w:cs="Calibri"/>
          <w:i/>
          <w:iCs/>
          <w:sz w:val="28"/>
          <w:szCs w:val="28"/>
          <w:lang w:val="en-US"/>
        </w:rPr>
        <w:t xml:space="preserve">from </w:t>
      </w:r>
      <w:proofErr w:type="gramStart"/>
      <w:r w:rsidRPr="00EE7B3A">
        <w:rPr>
          <w:rFonts w:ascii="Calibri" w:eastAsia="Calibri" w:hAnsi="Calibri" w:cs="Calibri"/>
          <w:i/>
          <w:iCs/>
          <w:sz w:val="28"/>
          <w:szCs w:val="28"/>
          <w:lang w:val="en-US"/>
        </w:rPr>
        <w:t>sklearn.model</w:t>
      </w:r>
      <w:proofErr w:type="gramEnd"/>
      <w:r w:rsidRPr="00EE7B3A">
        <w:rPr>
          <w:rFonts w:ascii="Calibri" w:eastAsia="Calibri" w:hAnsi="Calibri" w:cs="Calibri"/>
          <w:i/>
          <w:iCs/>
          <w:sz w:val="28"/>
          <w:szCs w:val="28"/>
          <w:lang w:val="en-US"/>
        </w:rPr>
        <w:t>_selection import train_test_split</w:t>
      </w:r>
    </w:p>
    <w:p w14:paraId="004C5602"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X = </w:t>
      </w:r>
      <w:proofErr w:type="gramStart"/>
      <w:r w:rsidRPr="00EE7B3A">
        <w:rPr>
          <w:rFonts w:ascii="Calibri" w:eastAsia="Calibri" w:hAnsi="Calibri" w:cs="Calibri"/>
          <w:i/>
          <w:iCs/>
          <w:sz w:val="28"/>
          <w:szCs w:val="28"/>
          <w:lang w:val="en-US"/>
        </w:rPr>
        <w:t>df.drop</w:t>
      </w:r>
      <w:proofErr w:type="gramEnd"/>
      <w:r w:rsidRPr="00EE7B3A">
        <w:rPr>
          <w:rFonts w:ascii="Calibri" w:eastAsia="Calibri" w:hAnsi="Calibri" w:cs="Calibri"/>
          <w:i/>
          <w:iCs/>
          <w:sz w:val="28"/>
          <w:szCs w:val="28"/>
          <w:lang w:val="en-US"/>
        </w:rPr>
        <w:t>(‘popularity’, axis = 1)</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y = df[‘popularity’]</w:t>
      </w:r>
    </w:p>
    <w:p w14:paraId="0B8C2C73"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X_train, X_test, y_train, y_test = train_test_</w:t>
      </w:r>
      <w:proofErr w:type="gramStart"/>
      <w:r w:rsidRPr="00EE7B3A">
        <w:rPr>
          <w:rFonts w:ascii="Calibri" w:eastAsia="Calibri" w:hAnsi="Calibri" w:cs="Calibri"/>
          <w:i/>
          <w:iCs/>
          <w:sz w:val="28"/>
          <w:szCs w:val="28"/>
          <w:lang w:val="en-US"/>
        </w:rPr>
        <w:t>split(</w:t>
      </w:r>
      <w:proofErr w:type="gramEnd"/>
      <w:r w:rsidRPr="00EE7B3A">
        <w:rPr>
          <w:rFonts w:ascii="Calibri" w:eastAsia="Calibri" w:hAnsi="Calibri" w:cs="Calibri"/>
          <w:i/>
          <w:iCs/>
          <w:sz w:val="28"/>
          <w:szCs w:val="28"/>
          <w:lang w:val="en-US"/>
        </w:rPr>
        <w:t>X, y, test_size = 0.2, random_state = 30)</w:t>
      </w:r>
    </w:p>
    <w:p w14:paraId="1B91E137"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r>
      <w:proofErr w:type="gramStart"/>
      <w:r w:rsidRPr="00EE7B3A">
        <w:rPr>
          <w:rFonts w:ascii="Calibri" w:eastAsia="Calibri" w:hAnsi="Calibri" w:cs="Calibri"/>
          <w:i/>
          <w:iCs/>
          <w:sz w:val="28"/>
          <w:szCs w:val="28"/>
          <w:lang w:val="en-US"/>
        </w:rPr>
        <w:t>print(</w:t>
      </w:r>
      <w:proofErr w:type="gramEnd"/>
      <w:r w:rsidRPr="00EE7B3A">
        <w:rPr>
          <w:rFonts w:ascii="Calibri" w:eastAsia="Calibri" w:hAnsi="Calibri" w:cs="Calibri"/>
          <w:i/>
          <w:iCs/>
          <w:sz w:val="28"/>
          <w:szCs w:val="28"/>
          <w:lang w:val="en-US"/>
        </w:rPr>
        <w:t>‘X_train:’, X_train.shape)</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print(‘X_test:’, X_test.shape)</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print(‘y_train:’, y_train.shape)</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print(‘y_test:’, y_test.shape)</w:t>
      </w:r>
    </w:p>
    <w:p w14:paraId="4679CDFE"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 xml:space="preserve">    &gt;&gt;</w:t>
      </w:r>
    </w:p>
    <w:p w14:paraId="49E05DC1"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X_train</w:t>
      </w:r>
      <w:proofErr w:type="gramStart"/>
      <w:r w:rsidRPr="00EE7B3A">
        <w:rPr>
          <w:rFonts w:ascii="Calibri" w:eastAsia="Calibri" w:hAnsi="Calibri" w:cs="Calibri"/>
          <w:i/>
          <w:iCs/>
          <w:sz w:val="28"/>
          <w:szCs w:val="28"/>
          <w:lang w:val="en-US"/>
        </w:rPr>
        <w:t>:  (</w:t>
      </w:r>
      <w:proofErr w:type="gramEnd"/>
      <w:r w:rsidRPr="00EE7B3A">
        <w:rPr>
          <w:rFonts w:ascii="Calibri" w:eastAsia="Calibri" w:hAnsi="Calibri" w:cs="Calibri"/>
          <w:i/>
          <w:iCs/>
          <w:sz w:val="28"/>
          <w:szCs w:val="28"/>
          <w:lang w:val="en-US"/>
        </w:rPr>
        <w:t>139511, 15)</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X_test:  (34878, 15)</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y_train:  (139511, )</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x_test: (139511, )</w:t>
      </w:r>
    </w:p>
    <w:p w14:paraId="3F799A6B"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3. Следующий шаг – разделить столбцы на num_cols для числовых значений и cat_cols для категориальных значений:</w:t>
      </w:r>
    </w:p>
    <w:p w14:paraId="3725C487"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i/>
          <w:iCs/>
          <w:sz w:val="28"/>
          <w:szCs w:val="28"/>
          <w:lang w:val="en-US"/>
        </w:rPr>
        <w:t>num_cols = X_</w:t>
      </w:r>
      <w:proofErr w:type="gramStart"/>
      <w:r w:rsidRPr="00EE7B3A">
        <w:rPr>
          <w:rFonts w:ascii="Calibri" w:eastAsia="Calibri" w:hAnsi="Calibri" w:cs="Calibri"/>
          <w:i/>
          <w:iCs/>
          <w:sz w:val="28"/>
          <w:szCs w:val="28"/>
          <w:lang w:val="en-US"/>
        </w:rPr>
        <w:t>train.select</w:t>
      </w:r>
      <w:proofErr w:type="gramEnd"/>
      <w:r w:rsidRPr="00EE7B3A">
        <w:rPr>
          <w:rFonts w:ascii="Calibri" w:eastAsia="Calibri" w:hAnsi="Calibri" w:cs="Calibri"/>
          <w:i/>
          <w:iCs/>
          <w:sz w:val="28"/>
          <w:szCs w:val="28"/>
          <w:lang w:val="en-US"/>
        </w:rPr>
        <w:t>_dtypes(‘number’).columns</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cat_cols = X_train.select_dtypes(‘object’).columns</w:t>
      </w:r>
    </w:p>
    <w:p w14:paraId="3EF137B9" w14:textId="77777777" w:rsidR="00EE7B3A" w:rsidRPr="00EE7B3A" w:rsidRDefault="00EE7B3A" w:rsidP="00EE7B3A">
      <w:pPr>
        <w:spacing w:after="0" w:line="240" w:lineRule="auto"/>
        <w:jc w:val="both"/>
        <w:rPr>
          <w:rFonts w:ascii="Times New Roman" w:eastAsia="Calibri" w:hAnsi="Times New Roman" w:cs="Times New Roman"/>
          <w:sz w:val="32"/>
          <w:szCs w:val="28"/>
          <w:lang w:val="en-US"/>
        </w:rPr>
      </w:pPr>
      <w:r w:rsidRPr="00EE7B3A">
        <w:rPr>
          <w:rFonts w:ascii="Times New Roman" w:eastAsia="Calibri" w:hAnsi="Times New Roman" w:cs="Times New Roman"/>
          <w:sz w:val="32"/>
          <w:szCs w:val="28"/>
        </w:rPr>
        <w:t xml:space="preserve">4. Далее создадим конвейеры для преобразования числовых и категориальных столбцов, а затем объединим их в единый с помощью </w:t>
      </w:r>
      <w:r w:rsidRPr="00EE7B3A">
        <w:rPr>
          <w:rFonts w:ascii="Times New Roman" w:eastAsia="Calibri" w:hAnsi="Times New Roman" w:cs="Times New Roman"/>
          <w:sz w:val="32"/>
          <w:szCs w:val="28"/>
          <w:lang w:val="en-US"/>
        </w:rPr>
        <w:t>Column Transformer:</w:t>
      </w:r>
    </w:p>
    <w:p w14:paraId="46F39564"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Times New Roman" w:eastAsia="Calibri" w:hAnsi="Times New Roman" w:cs="Times New Roman"/>
          <w:sz w:val="32"/>
          <w:szCs w:val="28"/>
          <w:lang w:val="en-US"/>
        </w:rPr>
        <w:tab/>
      </w:r>
      <w:r w:rsidRPr="00EE7B3A">
        <w:rPr>
          <w:rFonts w:ascii="Calibri" w:eastAsia="Calibri" w:hAnsi="Calibri" w:cs="Calibri"/>
          <w:i/>
          <w:iCs/>
          <w:sz w:val="28"/>
          <w:szCs w:val="28"/>
          <w:lang w:val="en-US"/>
        </w:rPr>
        <w:t xml:space="preserve">from </w:t>
      </w:r>
      <w:proofErr w:type="gramStart"/>
      <w:r w:rsidRPr="00EE7B3A">
        <w:rPr>
          <w:rFonts w:ascii="Calibri" w:eastAsia="Calibri" w:hAnsi="Calibri" w:cs="Calibri"/>
          <w:i/>
          <w:iCs/>
          <w:sz w:val="28"/>
          <w:szCs w:val="28"/>
          <w:lang w:val="en-US"/>
        </w:rPr>
        <w:t>sklearn.pipeline</w:t>
      </w:r>
      <w:proofErr w:type="gramEnd"/>
      <w:r w:rsidRPr="00EE7B3A">
        <w:rPr>
          <w:rFonts w:ascii="Calibri" w:eastAsia="Calibri" w:hAnsi="Calibri" w:cs="Calibri"/>
          <w:i/>
          <w:iCs/>
          <w:sz w:val="28"/>
          <w:szCs w:val="28"/>
          <w:lang w:val="en-US"/>
        </w:rPr>
        <w:t xml:space="preserve"> import Pipeline</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from sklearn.preprocessing import StandardScaler, OneHotEncoder</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from sklearn.preprocessing import MinMaxScaler</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from sklearn.compose import ColumnTransformer</w:t>
      </w:r>
    </w:p>
    <w:p w14:paraId="09B6E75C"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num_transformer = </w:t>
      </w:r>
      <w:proofErr w:type="gramStart"/>
      <w:r w:rsidRPr="00EE7B3A">
        <w:rPr>
          <w:rFonts w:ascii="Calibri" w:eastAsia="Calibri" w:hAnsi="Calibri" w:cs="Calibri"/>
          <w:i/>
          <w:iCs/>
          <w:sz w:val="28"/>
          <w:szCs w:val="28"/>
          <w:lang w:val="en-US"/>
        </w:rPr>
        <w:t>Pipeline(</w:t>
      </w:r>
      <w:proofErr w:type="gramEnd"/>
      <w:r w:rsidRPr="00EE7B3A">
        <w:rPr>
          <w:rFonts w:ascii="Calibri" w:eastAsia="Calibri" w:hAnsi="Calibri" w:cs="Calibri"/>
          <w:i/>
          <w:iCs/>
          <w:sz w:val="28"/>
          <w:szCs w:val="28"/>
          <w:lang w:val="en-US"/>
        </w:rPr>
        <w:t>steps = [(‘scaler’, MinMaxScaler())])</w:t>
      </w:r>
    </w:p>
    <w:p w14:paraId="48D67995"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cat_transformer = </w:t>
      </w:r>
      <w:proofErr w:type="gramStart"/>
      <w:r w:rsidRPr="00EE7B3A">
        <w:rPr>
          <w:rFonts w:ascii="Calibri" w:eastAsia="Calibri" w:hAnsi="Calibri" w:cs="Calibri"/>
          <w:i/>
          <w:iCs/>
          <w:sz w:val="28"/>
          <w:szCs w:val="28"/>
          <w:lang w:val="en-US"/>
        </w:rPr>
        <w:t>Pipeline(</w:t>
      </w:r>
      <w:proofErr w:type="gramEnd"/>
      <w:r w:rsidRPr="00EE7B3A">
        <w:rPr>
          <w:rFonts w:ascii="Calibri" w:eastAsia="Calibri" w:hAnsi="Calibri" w:cs="Calibri"/>
          <w:i/>
          <w:iCs/>
          <w:sz w:val="28"/>
          <w:szCs w:val="28"/>
          <w:lang w:val="en-US"/>
        </w:rPr>
        <w:t>steps = [(‘encoder’, OneHotEncoder(</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r>
      <w:r w:rsidRPr="00EE7B3A">
        <w:rPr>
          <w:rFonts w:ascii="Calibri" w:eastAsia="Calibri" w:hAnsi="Calibri" w:cs="Calibri"/>
          <w:i/>
          <w:iCs/>
          <w:sz w:val="28"/>
          <w:szCs w:val="28"/>
          <w:lang w:val="en-US"/>
        </w:rPr>
        <w:tab/>
      </w:r>
      <w:r w:rsidRPr="00EE7B3A">
        <w:rPr>
          <w:rFonts w:ascii="Calibri" w:eastAsia="Calibri" w:hAnsi="Calibri" w:cs="Calibri"/>
          <w:i/>
          <w:iCs/>
          <w:sz w:val="28"/>
          <w:szCs w:val="28"/>
          <w:lang w:val="en-US"/>
        </w:rPr>
        <w:tab/>
      </w:r>
      <w:r w:rsidRPr="00EE7B3A">
        <w:rPr>
          <w:rFonts w:ascii="Calibri" w:eastAsia="Calibri" w:hAnsi="Calibri" w:cs="Calibri"/>
          <w:i/>
          <w:iCs/>
          <w:sz w:val="28"/>
          <w:szCs w:val="28"/>
          <w:lang w:val="en-US"/>
        </w:rPr>
        <w:tab/>
      </w:r>
      <w:r w:rsidRPr="00EE7B3A">
        <w:rPr>
          <w:rFonts w:ascii="Calibri" w:eastAsia="Calibri" w:hAnsi="Calibri" w:cs="Calibri"/>
          <w:i/>
          <w:iCs/>
          <w:sz w:val="28"/>
          <w:szCs w:val="28"/>
          <w:lang w:val="en-US"/>
        </w:rPr>
        <w:tab/>
        <w:t>handle_unknown = ‘ignore’, sparse = False))])</w:t>
      </w:r>
    </w:p>
    <w:p w14:paraId="670315B4"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preprocessing = </w:t>
      </w:r>
      <w:proofErr w:type="gramStart"/>
      <w:r w:rsidRPr="00EE7B3A">
        <w:rPr>
          <w:rFonts w:ascii="Calibri" w:eastAsia="Calibri" w:hAnsi="Calibri" w:cs="Calibri"/>
          <w:i/>
          <w:iCs/>
          <w:sz w:val="28"/>
          <w:szCs w:val="28"/>
          <w:lang w:val="en-US"/>
        </w:rPr>
        <w:t>ColumnTransformer(</w:t>
      </w:r>
      <w:proofErr w:type="gramEnd"/>
      <w:r w:rsidRPr="00EE7B3A">
        <w:rPr>
          <w:rFonts w:ascii="Calibri" w:eastAsia="Calibri" w:hAnsi="Calibri" w:cs="Calibri"/>
          <w:i/>
          <w:iCs/>
          <w:sz w:val="28"/>
          <w:szCs w:val="28"/>
          <w:lang w:val="en-US"/>
        </w:rPr>
        <w:t>transformers = [(‘num’, num_transformer, num_cols), (‘cat’, cat_transformer, cat_cols)])</w:t>
      </w:r>
    </w:p>
    <w:p w14:paraId="7C648CA7"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X_train_processed = preprocessing.fit_transform(X_train)</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 xml:space="preserve">X_test_processed = </w:t>
      </w:r>
      <w:proofErr w:type="gramStart"/>
      <w:r w:rsidRPr="00EE7B3A">
        <w:rPr>
          <w:rFonts w:ascii="Calibri" w:eastAsia="Calibri" w:hAnsi="Calibri" w:cs="Calibri"/>
          <w:i/>
          <w:iCs/>
          <w:sz w:val="28"/>
          <w:szCs w:val="28"/>
          <w:lang w:val="en-US"/>
        </w:rPr>
        <w:t>preprocessing.transform</w:t>
      </w:r>
      <w:proofErr w:type="gramEnd"/>
      <w:r w:rsidRPr="00EE7B3A">
        <w:rPr>
          <w:rFonts w:ascii="Calibri" w:eastAsia="Calibri" w:hAnsi="Calibri" w:cs="Calibri"/>
          <w:i/>
          <w:iCs/>
          <w:sz w:val="28"/>
          <w:szCs w:val="28"/>
          <w:lang w:val="en-US"/>
        </w:rPr>
        <w:t>(X_test)</w:t>
      </w:r>
    </w:p>
    <w:p w14:paraId="3874E2F2"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5. В итоге получаем финальную версию чистового набора данных:</w:t>
      </w:r>
    </w:p>
    <w:p w14:paraId="7733368D"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i/>
          <w:iCs/>
          <w:sz w:val="28"/>
          <w:szCs w:val="28"/>
          <w:lang w:val="en-US"/>
        </w:rPr>
        <w:t xml:space="preserve">slice_pipe = </w:t>
      </w:r>
      <w:proofErr w:type="gramStart"/>
      <w:r w:rsidRPr="00EE7B3A">
        <w:rPr>
          <w:rFonts w:ascii="Calibri" w:eastAsia="Calibri" w:hAnsi="Calibri" w:cs="Calibri"/>
          <w:i/>
          <w:iCs/>
          <w:sz w:val="28"/>
          <w:szCs w:val="28"/>
          <w:lang w:val="en-US"/>
        </w:rPr>
        <w:t>preprocessing.named</w:t>
      </w:r>
      <w:proofErr w:type="gramEnd"/>
      <w:r w:rsidRPr="00EE7B3A">
        <w:rPr>
          <w:rFonts w:ascii="Calibri" w:eastAsia="Calibri" w:hAnsi="Calibri" w:cs="Calibri"/>
          <w:i/>
          <w:iCs/>
          <w:sz w:val="28"/>
          <w:szCs w:val="28"/>
          <w:lang w:val="en-US"/>
        </w:rPr>
        <w:t>_transformers_[‘cat’]</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cat_features = slice_pipe.named_steps[‘encoder’].get_feature_names(cat_cols)</w:t>
      </w:r>
    </w:p>
    <w:p w14:paraId="02C0BADC"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lastRenderedPageBreak/>
        <w:tab/>
        <w:t xml:space="preserve">X_train_df = </w:t>
      </w:r>
      <w:proofErr w:type="gramStart"/>
      <w:r w:rsidRPr="00EE7B3A">
        <w:rPr>
          <w:rFonts w:ascii="Calibri" w:eastAsia="Calibri" w:hAnsi="Calibri" w:cs="Calibri"/>
          <w:i/>
          <w:iCs/>
          <w:sz w:val="28"/>
          <w:szCs w:val="28"/>
          <w:lang w:val="en-US"/>
        </w:rPr>
        <w:t>pd.DataFrame</w:t>
      </w:r>
      <w:proofErr w:type="gramEnd"/>
      <w:r w:rsidRPr="00EE7B3A">
        <w:rPr>
          <w:rFonts w:ascii="Calibri" w:eastAsia="Calibri" w:hAnsi="Calibri" w:cs="Calibri"/>
          <w:i/>
          <w:iCs/>
          <w:sz w:val="28"/>
          <w:szCs w:val="28"/>
          <w:lang w:val="en-US"/>
        </w:rPr>
        <w:t>(X_train_processed, columns = [*num_cols, *cat_features])</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X_test_df = pd.DataFrame(X_test_processed, columns = [*num_cols, *cat_features])</w:t>
      </w:r>
    </w:p>
    <w:p w14:paraId="36CD324F" w14:textId="77777777" w:rsidR="00EE7B3A" w:rsidRPr="00EE7B3A" w:rsidRDefault="00EE7B3A" w:rsidP="00EE7B3A">
      <w:pPr>
        <w:spacing w:after="0" w:line="240" w:lineRule="auto"/>
        <w:jc w:val="both"/>
        <w:rPr>
          <w:rFonts w:ascii="Times New Roman" w:eastAsia="Calibri" w:hAnsi="Times New Roman" w:cs="Times New Roman"/>
          <w:sz w:val="32"/>
          <w:szCs w:val="28"/>
          <w:lang w:val="en-US"/>
        </w:rPr>
      </w:pPr>
    </w:p>
    <w:p w14:paraId="790FD6DE" w14:textId="77777777" w:rsidR="00EE7B3A" w:rsidRPr="00EE7B3A" w:rsidRDefault="00EE7B3A" w:rsidP="00EE7B3A">
      <w:pPr>
        <w:spacing w:after="0" w:line="240" w:lineRule="auto"/>
        <w:jc w:val="center"/>
        <w:rPr>
          <w:rFonts w:ascii="Times New Roman" w:eastAsia="Calibri" w:hAnsi="Times New Roman" w:cs="Times New Roman"/>
          <w:sz w:val="32"/>
          <w:szCs w:val="28"/>
        </w:rPr>
      </w:pPr>
      <w:r w:rsidRPr="00EE7B3A">
        <w:rPr>
          <w:rFonts w:ascii="Times New Roman" w:eastAsia="Calibri" w:hAnsi="Times New Roman" w:cs="Times New Roman"/>
          <w:sz w:val="32"/>
          <w:szCs w:val="28"/>
        </w:rPr>
        <w:t>Моделирование</w:t>
      </w:r>
    </w:p>
    <w:p w14:paraId="6FB2EF24"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Этап моделирования оказался итеративным процессом, в ходе которого применялись различные алгоритмы для достижения наилучших результатов при оценке важности признаков.</w:t>
      </w:r>
    </w:p>
    <w:p w14:paraId="3E8D38E1"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Дисбаланс классов</w:t>
      </w:r>
    </w:p>
    <w:p w14:paraId="4ACBF2DE"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Несбалансированные данные является распространённой проблемой при анализе, так как могут привести к искажённому прогнозированию и снижению точности моделей. </w:t>
      </w:r>
    </w:p>
    <w:p w14:paraId="0D311468"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В данном исследовании в целевом столбце «популярность» количество непопулярных песен в десятки раз превышает популярные. И чтобы решить это, используем метод </w:t>
      </w:r>
      <w:r w:rsidRPr="00EE7B3A">
        <w:rPr>
          <w:rFonts w:ascii="Times New Roman" w:eastAsia="Calibri" w:hAnsi="Times New Roman" w:cs="Times New Roman"/>
          <w:sz w:val="32"/>
          <w:szCs w:val="28"/>
          <w:lang w:val="en-US"/>
        </w:rPr>
        <w:t>RandomOverSampling</w:t>
      </w:r>
      <w:r w:rsidRPr="00EE7B3A">
        <w:rPr>
          <w:rFonts w:ascii="Times New Roman" w:eastAsia="Calibri" w:hAnsi="Times New Roman" w:cs="Times New Roman"/>
          <w:sz w:val="32"/>
          <w:szCs w:val="28"/>
        </w:rPr>
        <w:t xml:space="preserve"> из библиотеки </w:t>
      </w:r>
      <w:r w:rsidRPr="00EE7B3A">
        <w:rPr>
          <w:rFonts w:ascii="Times New Roman" w:eastAsia="Calibri" w:hAnsi="Times New Roman" w:cs="Times New Roman"/>
          <w:sz w:val="32"/>
          <w:szCs w:val="28"/>
          <w:lang w:val="en-US"/>
        </w:rPr>
        <w:t>scikit</w:t>
      </w:r>
      <w:r w:rsidRPr="00EE7B3A">
        <w:rPr>
          <w:rFonts w:ascii="Times New Roman" w:eastAsia="Calibri" w:hAnsi="Times New Roman" w:cs="Times New Roman"/>
          <w:sz w:val="32"/>
          <w:szCs w:val="28"/>
        </w:rPr>
        <w:t>-</w:t>
      </w:r>
      <w:r w:rsidRPr="00EE7B3A">
        <w:rPr>
          <w:rFonts w:ascii="Times New Roman" w:eastAsia="Calibri" w:hAnsi="Times New Roman" w:cs="Times New Roman"/>
          <w:sz w:val="32"/>
          <w:szCs w:val="28"/>
          <w:lang w:val="en-US"/>
        </w:rPr>
        <w:t>learn</w:t>
      </w:r>
      <w:r w:rsidRPr="00EE7B3A">
        <w:rPr>
          <w:rFonts w:ascii="Times New Roman" w:eastAsia="Calibri" w:hAnsi="Times New Roman" w:cs="Times New Roman"/>
          <w:sz w:val="32"/>
          <w:szCs w:val="28"/>
        </w:rPr>
        <w:t>.</w:t>
      </w:r>
    </w:p>
    <w:p w14:paraId="2EE88085"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i/>
          <w:iCs/>
          <w:sz w:val="28"/>
          <w:szCs w:val="28"/>
          <w:lang w:val="en-US"/>
        </w:rPr>
        <w:t xml:space="preserve">from </w:t>
      </w:r>
      <w:proofErr w:type="gramStart"/>
      <w:r w:rsidRPr="00EE7B3A">
        <w:rPr>
          <w:rFonts w:ascii="Calibri" w:eastAsia="Calibri" w:hAnsi="Calibri" w:cs="Calibri"/>
          <w:i/>
          <w:iCs/>
          <w:sz w:val="28"/>
          <w:szCs w:val="28"/>
          <w:lang w:val="en-US"/>
        </w:rPr>
        <w:t>imblearn.over</w:t>
      </w:r>
      <w:proofErr w:type="gramEnd"/>
      <w:r w:rsidRPr="00EE7B3A">
        <w:rPr>
          <w:rFonts w:ascii="Calibri" w:eastAsia="Calibri" w:hAnsi="Calibri" w:cs="Calibri"/>
          <w:i/>
          <w:iCs/>
          <w:sz w:val="28"/>
          <w:szCs w:val="28"/>
          <w:lang w:val="en-US"/>
        </w:rPr>
        <w:t>_sampling import SMOTE, RandomOverSampler</w:t>
      </w:r>
    </w:p>
    <w:p w14:paraId="289744A3"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 xml:space="preserve">smote = </w:t>
      </w:r>
      <w:proofErr w:type="gramStart"/>
      <w:r w:rsidRPr="00EE7B3A">
        <w:rPr>
          <w:rFonts w:ascii="Calibri" w:eastAsia="Calibri" w:hAnsi="Calibri" w:cs="Calibri"/>
          <w:i/>
          <w:iCs/>
          <w:sz w:val="28"/>
          <w:szCs w:val="28"/>
          <w:lang w:val="en-US"/>
        </w:rPr>
        <w:t>RandomOverSampler(</w:t>
      </w:r>
      <w:proofErr w:type="gramEnd"/>
      <w:r w:rsidRPr="00EE7B3A">
        <w:rPr>
          <w:rFonts w:ascii="Calibri" w:eastAsia="Calibri" w:hAnsi="Calibri" w:cs="Calibri"/>
          <w:i/>
          <w:iCs/>
          <w:sz w:val="28"/>
          <w:szCs w:val="28"/>
          <w:lang w:val="en-US"/>
        </w:rPr>
        <w:t>random_state = 30)</w:t>
      </w:r>
    </w:p>
    <w:p w14:paraId="4E30DE48"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X_train_resampled, y_train_resampled = smote.fit_</w:t>
      </w:r>
      <w:proofErr w:type="gramStart"/>
      <w:r w:rsidRPr="00EE7B3A">
        <w:rPr>
          <w:rFonts w:ascii="Calibri" w:eastAsia="Calibri" w:hAnsi="Calibri" w:cs="Calibri"/>
          <w:i/>
          <w:iCs/>
          <w:sz w:val="28"/>
          <w:szCs w:val="28"/>
          <w:lang w:val="en-US"/>
        </w:rPr>
        <w:t>resample(</w:t>
      </w:r>
      <w:proofErr w:type="gramEnd"/>
      <w:r w:rsidRPr="00EE7B3A">
        <w:rPr>
          <w:rFonts w:ascii="Calibri" w:eastAsia="Calibri" w:hAnsi="Calibri" w:cs="Calibri"/>
          <w:i/>
          <w:iCs/>
          <w:sz w:val="28"/>
          <w:szCs w:val="28"/>
          <w:lang w:val="en-US"/>
        </w:rPr>
        <w:t>X_train_df, y_train)</w:t>
      </w:r>
    </w:p>
    <w:p w14:paraId="43CC4B6B"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r>
      <w:proofErr w:type="gramStart"/>
      <w:r w:rsidRPr="00EE7B3A">
        <w:rPr>
          <w:rFonts w:ascii="Calibri" w:eastAsia="Calibri" w:hAnsi="Calibri" w:cs="Calibri"/>
          <w:i/>
          <w:iCs/>
          <w:sz w:val="28"/>
          <w:szCs w:val="28"/>
          <w:lang w:val="en-US"/>
        </w:rPr>
        <w:t>print(</w:t>
      </w:r>
      <w:proofErr w:type="gramEnd"/>
      <w:r w:rsidRPr="00EE7B3A">
        <w:rPr>
          <w:rFonts w:ascii="Calibri" w:eastAsia="Calibri" w:hAnsi="Calibri" w:cs="Calibri"/>
          <w:i/>
          <w:iCs/>
          <w:sz w:val="28"/>
          <w:szCs w:val="28"/>
          <w:lang w:val="en-US"/>
        </w:rPr>
        <w:t>‘X_train:’, X_train_resampled.shape)</w:t>
      </w:r>
      <w:r w:rsidRPr="00EE7B3A">
        <w:rPr>
          <w:rFonts w:ascii="Calibri" w:eastAsia="Calibri" w:hAnsi="Calibri" w:cs="Calibri"/>
          <w:i/>
          <w:iCs/>
          <w:sz w:val="28"/>
          <w:szCs w:val="28"/>
          <w:lang w:val="en-US"/>
        </w:rPr>
        <w:br/>
      </w:r>
      <w:r w:rsidRPr="00EE7B3A">
        <w:rPr>
          <w:rFonts w:ascii="Calibri" w:eastAsia="Calibri" w:hAnsi="Calibri" w:cs="Calibri"/>
          <w:i/>
          <w:iCs/>
          <w:sz w:val="28"/>
          <w:szCs w:val="28"/>
          <w:lang w:val="en-US"/>
        </w:rPr>
        <w:tab/>
        <w:t>y_train_resampled.value_counts()</w:t>
      </w:r>
    </w:p>
    <w:p w14:paraId="0F762ADB"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 xml:space="preserve">    &gt;&gt; </w:t>
      </w:r>
    </w:p>
    <w:p w14:paraId="4356C503"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lang w:val="en-US"/>
        </w:rPr>
        <w:tab/>
        <w:t>X_train</w:t>
      </w:r>
      <w:proofErr w:type="gramStart"/>
      <w:r w:rsidRPr="00EE7B3A">
        <w:rPr>
          <w:rFonts w:ascii="Calibri" w:eastAsia="Calibri" w:hAnsi="Calibri" w:cs="Calibri"/>
          <w:i/>
          <w:iCs/>
          <w:sz w:val="28"/>
          <w:szCs w:val="28"/>
          <w:lang w:val="en-US"/>
        </w:rPr>
        <w:t>:  (</w:t>
      </w:r>
      <w:proofErr w:type="gramEnd"/>
      <w:r w:rsidRPr="00EE7B3A">
        <w:rPr>
          <w:rFonts w:ascii="Calibri" w:eastAsia="Calibri" w:hAnsi="Calibri" w:cs="Calibri"/>
          <w:i/>
          <w:iCs/>
          <w:sz w:val="28"/>
          <w:szCs w:val="28"/>
          <w:lang w:val="en-US"/>
        </w:rPr>
        <w:t>266188, 25)</w:t>
      </w:r>
    </w:p>
    <w:p w14:paraId="72D0D96E" w14:textId="77777777" w:rsidR="00EE7B3A" w:rsidRPr="00EE7B3A" w:rsidRDefault="00EE7B3A" w:rsidP="00EE7B3A">
      <w:pPr>
        <w:spacing w:after="0" w:line="240" w:lineRule="auto"/>
        <w:rPr>
          <w:rFonts w:ascii="Calibri" w:eastAsia="Calibri" w:hAnsi="Calibri" w:cs="Calibri"/>
          <w:i/>
          <w:iCs/>
          <w:sz w:val="28"/>
          <w:szCs w:val="28"/>
          <w:lang w:val="en-US"/>
        </w:rPr>
      </w:pPr>
    </w:p>
    <w:p w14:paraId="51324CE4" w14:textId="77777777" w:rsidR="00EE7B3A" w:rsidRPr="00EE7B3A" w:rsidRDefault="00EE7B3A" w:rsidP="00EE7B3A">
      <w:pPr>
        <w:spacing w:after="0" w:line="240" w:lineRule="auto"/>
        <w:rPr>
          <w:rFonts w:ascii="Calibri" w:eastAsia="Calibri" w:hAnsi="Calibri" w:cs="Calibri"/>
          <w:i/>
          <w:iCs/>
          <w:sz w:val="28"/>
          <w:szCs w:val="28"/>
          <w:lang w:val="en-US"/>
        </w:rPr>
      </w:pPr>
    </w:p>
    <w:tbl>
      <w:tblPr>
        <w:tblStyle w:val="140"/>
        <w:tblW w:w="0" w:type="auto"/>
        <w:tblInd w:w="622" w:type="dxa"/>
        <w:tblLook w:val="04A0" w:firstRow="1" w:lastRow="0" w:firstColumn="1" w:lastColumn="0" w:noHBand="0" w:noVBand="1"/>
      </w:tblPr>
      <w:tblGrid>
        <w:gridCol w:w="1219"/>
        <w:gridCol w:w="1209"/>
      </w:tblGrid>
      <w:tr w:rsidR="00EE7B3A" w:rsidRPr="00EE7B3A" w14:paraId="39BE99A5" w14:textId="77777777">
        <w:trPr>
          <w:trHeight w:val="454"/>
        </w:trPr>
        <w:tc>
          <w:tcPr>
            <w:tcW w:w="1219" w:type="dxa"/>
            <w:tcBorders>
              <w:top w:val="nil"/>
              <w:left w:val="nil"/>
              <w:bottom w:val="single" w:sz="4" w:space="0" w:color="auto"/>
              <w:right w:val="nil"/>
            </w:tcBorders>
            <w:vAlign w:val="center"/>
            <w:hideMark/>
          </w:tcPr>
          <w:p w14:paraId="11BCB174" w14:textId="77777777" w:rsidR="00EE7B3A" w:rsidRPr="00EE7B3A" w:rsidRDefault="00EE7B3A" w:rsidP="00EE7B3A">
            <w:pPr>
              <w:jc w:val="center"/>
              <w:rPr>
                <w:rFonts w:eastAsia="Calibri" w:cs="Calibri"/>
                <w:sz w:val="28"/>
                <w:szCs w:val="28"/>
                <w:lang w:val="en-US"/>
              </w:rPr>
            </w:pPr>
            <w:r w:rsidRPr="00EE7B3A">
              <w:rPr>
                <w:rFonts w:eastAsia="Calibri" w:cs="Calibri"/>
                <w:sz w:val="24"/>
                <w:szCs w:val="28"/>
                <w:lang w:val="en-US"/>
              </w:rPr>
              <w:t>popularity</w:t>
            </w:r>
          </w:p>
        </w:tc>
        <w:tc>
          <w:tcPr>
            <w:tcW w:w="1209" w:type="dxa"/>
            <w:tcBorders>
              <w:top w:val="nil"/>
              <w:left w:val="nil"/>
              <w:bottom w:val="single" w:sz="4" w:space="0" w:color="auto"/>
              <w:right w:val="nil"/>
            </w:tcBorders>
            <w:vAlign w:val="center"/>
            <w:hideMark/>
          </w:tcPr>
          <w:p w14:paraId="0EF074D4" w14:textId="77777777" w:rsidR="00EE7B3A" w:rsidRPr="00EE7B3A" w:rsidRDefault="00EE7B3A" w:rsidP="00EE7B3A">
            <w:pPr>
              <w:jc w:val="center"/>
              <w:rPr>
                <w:rFonts w:eastAsia="Calibri" w:cs="Calibri"/>
                <w:sz w:val="24"/>
                <w:szCs w:val="28"/>
                <w:lang w:val="en-US"/>
              </w:rPr>
            </w:pPr>
            <w:r w:rsidRPr="00EE7B3A">
              <w:rPr>
                <w:rFonts w:eastAsia="Calibri" w:cs="Calibri"/>
                <w:sz w:val="24"/>
                <w:szCs w:val="28"/>
                <w:lang w:val="en-US"/>
              </w:rPr>
              <w:t>count</w:t>
            </w:r>
          </w:p>
        </w:tc>
      </w:tr>
      <w:tr w:rsidR="00EE7B3A" w:rsidRPr="00EE7B3A" w14:paraId="47AED25B" w14:textId="77777777" w:rsidTr="00EE7B3A">
        <w:trPr>
          <w:trHeight w:val="454"/>
        </w:trPr>
        <w:tc>
          <w:tcPr>
            <w:tcW w:w="1219" w:type="dxa"/>
            <w:tcBorders>
              <w:top w:val="single" w:sz="4" w:space="0" w:color="auto"/>
              <w:left w:val="single" w:sz="4" w:space="0" w:color="auto"/>
              <w:bottom w:val="single" w:sz="4" w:space="0" w:color="auto"/>
              <w:right w:val="nil"/>
            </w:tcBorders>
            <w:shd w:val="clear" w:color="auto" w:fill="D9D9D9"/>
            <w:vAlign w:val="center"/>
            <w:hideMark/>
          </w:tcPr>
          <w:p w14:paraId="6019245C" w14:textId="77777777" w:rsidR="00EE7B3A" w:rsidRPr="00EE7B3A" w:rsidRDefault="00EE7B3A" w:rsidP="00EE7B3A">
            <w:pPr>
              <w:jc w:val="center"/>
              <w:rPr>
                <w:rFonts w:eastAsia="Calibri" w:cs="Calibri"/>
                <w:sz w:val="28"/>
                <w:szCs w:val="28"/>
                <w:lang w:val="en-US"/>
              </w:rPr>
            </w:pPr>
            <w:r w:rsidRPr="00EE7B3A">
              <w:rPr>
                <w:rFonts w:eastAsia="Calibri" w:cs="Calibri"/>
                <w:sz w:val="28"/>
                <w:szCs w:val="28"/>
                <w:lang w:val="en-US"/>
              </w:rPr>
              <w:t>0</w:t>
            </w:r>
          </w:p>
        </w:tc>
        <w:tc>
          <w:tcPr>
            <w:tcW w:w="1209" w:type="dxa"/>
            <w:tcBorders>
              <w:top w:val="single" w:sz="4" w:space="0" w:color="auto"/>
              <w:left w:val="nil"/>
              <w:bottom w:val="single" w:sz="4" w:space="0" w:color="auto"/>
              <w:right w:val="single" w:sz="4" w:space="0" w:color="auto"/>
            </w:tcBorders>
            <w:shd w:val="clear" w:color="auto" w:fill="D9D9D9"/>
            <w:vAlign w:val="center"/>
            <w:hideMark/>
          </w:tcPr>
          <w:p w14:paraId="3F94B9F5" w14:textId="77777777" w:rsidR="00EE7B3A" w:rsidRPr="00EE7B3A" w:rsidRDefault="00EE7B3A" w:rsidP="00EE7B3A">
            <w:pPr>
              <w:jc w:val="center"/>
              <w:rPr>
                <w:rFonts w:eastAsia="Calibri" w:cs="Calibri"/>
                <w:sz w:val="28"/>
                <w:szCs w:val="28"/>
                <w:lang w:val="en-US"/>
              </w:rPr>
            </w:pPr>
            <w:r w:rsidRPr="00EE7B3A">
              <w:rPr>
                <w:rFonts w:eastAsia="Calibri" w:cs="Calibri"/>
                <w:sz w:val="28"/>
                <w:szCs w:val="28"/>
                <w:lang w:val="en-US"/>
              </w:rPr>
              <w:t>133094</w:t>
            </w:r>
          </w:p>
        </w:tc>
      </w:tr>
      <w:tr w:rsidR="00EE7B3A" w:rsidRPr="00EE7B3A" w14:paraId="1EF82AAF" w14:textId="77777777">
        <w:trPr>
          <w:trHeight w:val="435"/>
        </w:trPr>
        <w:tc>
          <w:tcPr>
            <w:tcW w:w="1219" w:type="dxa"/>
            <w:tcBorders>
              <w:top w:val="single" w:sz="4" w:space="0" w:color="auto"/>
              <w:left w:val="single" w:sz="4" w:space="0" w:color="auto"/>
              <w:bottom w:val="single" w:sz="4" w:space="0" w:color="auto"/>
              <w:right w:val="nil"/>
            </w:tcBorders>
            <w:vAlign w:val="center"/>
            <w:hideMark/>
          </w:tcPr>
          <w:p w14:paraId="18C8CB8C" w14:textId="77777777" w:rsidR="00EE7B3A" w:rsidRPr="00EE7B3A" w:rsidRDefault="00EE7B3A" w:rsidP="00EE7B3A">
            <w:pPr>
              <w:jc w:val="center"/>
              <w:rPr>
                <w:rFonts w:eastAsia="Calibri" w:cs="Calibri"/>
                <w:sz w:val="28"/>
                <w:szCs w:val="28"/>
                <w:lang w:val="en-US"/>
              </w:rPr>
            </w:pPr>
            <w:r w:rsidRPr="00EE7B3A">
              <w:rPr>
                <w:rFonts w:eastAsia="Calibri" w:cs="Calibri"/>
                <w:sz w:val="28"/>
                <w:szCs w:val="28"/>
                <w:lang w:val="en-US"/>
              </w:rPr>
              <w:t>1</w:t>
            </w:r>
          </w:p>
        </w:tc>
        <w:tc>
          <w:tcPr>
            <w:tcW w:w="1209" w:type="dxa"/>
            <w:tcBorders>
              <w:top w:val="single" w:sz="4" w:space="0" w:color="auto"/>
              <w:left w:val="nil"/>
              <w:bottom w:val="single" w:sz="4" w:space="0" w:color="auto"/>
              <w:right w:val="single" w:sz="4" w:space="0" w:color="auto"/>
            </w:tcBorders>
            <w:vAlign w:val="center"/>
            <w:hideMark/>
          </w:tcPr>
          <w:p w14:paraId="6A356F35" w14:textId="77777777" w:rsidR="00EE7B3A" w:rsidRPr="00EE7B3A" w:rsidRDefault="00EE7B3A" w:rsidP="00EE7B3A">
            <w:pPr>
              <w:jc w:val="center"/>
              <w:rPr>
                <w:rFonts w:eastAsia="Calibri" w:cs="Calibri"/>
                <w:sz w:val="28"/>
                <w:szCs w:val="28"/>
                <w:lang w:val="en-US"/>
              </w:rPr>
            </w:pPr>
            <w:r w:rsidRPr="00EE7B3A">
              <w:rPr>
                <w:rFonts w:eastAsia="Calibri" w:cs="Calibri"/>
                <w:sz w:val="28"/>
                <w:szCs w:val="28"/>
                <w:lang w:val="en-US"/>
              </w:rPr>
              <w:t>133094</w:t>
            </w:r>
          </w:p>
        </w:tc>
      </w:tr>
    </w:tbl>
    <w:p w14:paraId="318A3AAA" w14:textId="77777777" w:rsidR="00EE7B3A" w:rsidRPr="00EE7B3A" w:rsidRDefault="00EE7B3A" w:rsidP="00EE7B3A">
      <w:pPr>
        <w:spacing w:after="0" w:line="240" w:lineRule="auto"/>
        <w:rPr>
          <w:rFonts w:ascii="Calibri" w:eastAsia="Calibri" w:hAnsi="Calibri" w:cs="Calibri"/>
          <w:sz w:val="28"/>
          <w:szCs w:val="28"/>
        </w:rPr>
      </w:pPr>
    </w:p>
    <w:p w14:paraId="1EF9635A"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В результате создаются искусственные значения, которые помогли сбалансировать выборку, и теперь для класса и 0, и 1 количество значений одинаково.</w:t>
      </w:r>
    </w:p>
    <w:p w14:paraId="60653422"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lang w:val="en-US"/>
        </w:rPr>
      </w:pPr>
      <w:r w:rsidRPr="00EE7B3A">
        <w:rPr>
          <w:rFonts w:ascii="Times New Roman" w:eastAsia="Calibri" w:hAnsi="Times New Roman" w:cs="Times New Roman"/>
          <w:sz w:val="32"/>
          <w:szCs w:val="28"/>
        </w:rPr>
        <w:t>Логистическая</w:t>
      </w:r>
      <w:r w:rsidRPr="00EE7B3A">
        <w:rPr>
          <w:rFonts w:ascii="Times New Roman" w:eastAsia="Calibri" w:hAnsi="Times New Roman" w:cs="Times New Roman"/>
          <w:sz w:val="32"/>
          <w:szCs w:val="28"/>
          <w:lang w:val="en-US"/>
        </w:rPr>
        <w:t xml:space="preserve"> </w:t>
      </w:r>
      <w:r w:rsidRPr="00EE7B3A">
        <w:rPr>
          <w:rFonts w:ascii="Times New Roman" w:eastAsia="Calibri" w:hAnsi="Times New Roman" w:cs="Times New Roman"/>
          <w:sz w:val="32"/>
          <w:szCs w:val="28"/>
        </w:rPr>
        <w:t>регрессия</w:t>
      </w:r>
    </w:p>
    <w:p w14:paraId="258DDE49"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 xml:space="preserve">from </w:t>
      </w:r>
      <w:proofErr w:type="gramStart"/>
      <w:r w:rsidRPr="00EE7B3A">
        <w:rPr>
          <w:rFonts w:ascii="Calibri" w:eastAsia="Calibri" w:hAnsi="Calibri" w:cs="Calibri"/>
          <w:sz w:val="28"/>
          <w:szCs w:val="28"/>
          <w:lang w:val="en-US"/>
        </w:rPr>
        <w:t>sklearn.linear</w:t>
      </w:r>
      <w:proofErr w:type="gramEnd"/>
      <w:r w:rsidRPr="00EE7B3A">
        <w:rPr>
          <w:rFonts w:ascii="Calibri" w:eastAsia="Calibri" w:hAnsi="Calibri" w:cs="Calibri"/>
          <w:sz w:val="28"/>
          <w:szCs w:val="28"/>
          <w:lang w:val="en-US"/>
        </w:rPr>
        <w:t>_model import LogisticRegressionCV</w:t>
      </w:r>
    </w:p>
    <w:p w14:paraId="4E955981"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 xml:space="preserve">log_cv = </w:t>
      </w:r>
      <w:proofErr w:type="gramStart"/>
      <w:r w:rsidRPr="00EE7B3A">
        <w:rPr>
          <w:rFonts w:ascii="Calibri" w:eastAsia="Calibri" w:hAnsi="Calibri" w:cs="Calibri"/>
          <w:sz w:val="28"/>
          <w:szCs w:val="28"/>
          <w:lang w:val="en-US"/>
        </w:rPr>
        <w:t>LogisticRegressionCV(</w:t>
      </w:r>
      <w:proofErr w:type="gramEnd"/>
      <w:r w:rsidRPr="00EE7B3A">
        <w:rPr>
          <w:rFonts w:ascii="Calibri" w:eastAsia="Calibri" w:hAnsi="Calibri" w:cs="Calibri"/>
          <w:sz w:val="28"/>
          <w:szCs w:val="28"/>
          <w:lang w:val="en-US"/>
        </w:rPr>
        <w:t>random_state = 30)</w:t>
      </w:r>
    </w:p>
    <w:p w14:paraId="5297928A" w14:textId="77777777" w:rsidR="00EE7B3A" w:rsidRPr="00EE7B3A" w:rsidRDefault="00EE7B3A" w:rsidP="00EE7B3A">
      <w:pPr>
        <w:spacing w:after="0" w:line="240" w:lineRule="auto"/>
        <w:ind w:firstLine="708"/>
        <w:rPr>
          <w:rFonts w:ascii="Calibri" w:eastAsia="Calibri" w:hAnsi="Calibri" w:cs="Calibri"/>
          <w:sz w:val="28"/>
          <w:szCs w:val="28"/>
          <w:lang w:val="en-US"/>
        </w:rPr>
      </w:pPr>
      <w:proofErr w:type="gramStart"/>
      <w:r w:rsidRPr="00EE7B3A">
        <w:rPr>
          <w:rFonts w:ascii="Calibri" w:eastAsia="Calibri" w:hAnsi="Calibri" w:cs="Calibri"/>
          <w:sz w:val="28"/>
          <w:szCs w:val="28"/>
          <w:lang w:val="en-US"/>
        </w:rPr>
        <w:t>log_cv.fit(</w:t>
      </w:r>
      <w:proofErr w:type="gramEnd"/>
      <w:r w:rsidRPr="00EE7B3A">
        <w:rPr>
          <w:rFonts w:ascii="Calibri" w:eastAsia="Calibri" w:hAnsi="Calibri" w:cs="Calibri"/>
          <w:sz w:val="28"/>
          <w:szCs w:val="28"/>
          <w:lang w:val="en-US"/>
        </w:rPr>
        <w:t>X_train_resampled, y_train_resampled)</w:t>
      </w:r>
    </w:p>
    <w:p w14:paraId="1BDD8875"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evaluate_</w:t>
      </w:r>
      <w:proofErr w:type="gramStart"/>
      <w:r w:rsidRPr="00EE7B3A">
        <w:rPr>
          <w:rFonts w:ascii="Calibri" w:eastAsia="Calibri" w:hAnsi="Calibri" w:cs="Calibri"/>
          <w:sz w:val="28"/>
          <w:szCs w:val="28"/>
          <w:lang w:val="en-US"/>
        </w:rPr>
        <w:t>model(</w:t>
      </w:r>
      <w:proofErr w:type="gramEnd"/>
      <w:r w:rsidRPr="00EE7B3A">
        <w:rPr>
          <w:rFonts w:ascii="Calibri" w:eastAsia="Calibri" w:hAnsi="Calibri" w:cs="Calibri"/>
          <w:sz w:val="28"/>
          <w:szCs w:val="28"/>
          <w:lang w:val="en-US"/>
        </w:rPr>
        <w:t>log_cv, X_test_df, y_test)</w:t>
      </w:r>
    </w:p>
    <w:p w14:paraId="1CC8BF8E"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5C697643"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lastRenderedPageBreak/>
        <w:tab/>
      </w:r>
      <w:r w:rsidRPr="00EE7B3A">
        <w:rPr>
          <w:rFonts w:ascii="Calibri" w:eastAsia="Calibri" w:hAnsi="Calibri" w:cs="Times New Roman"/>
          <w:noProof/>
          <w:lang w:eastAsia="ru-RU"/>
        </w:rPr>
        <w:drawing>
          <wp:inline distT="0" distB="0" distL="0" distR="0" wp14:anchorId="3D497D58" wp14:editId="475A7B0D">
            <wp:extent cx="5227320" cy="1897380"/>
            <wp:effectExtent l="0" t="0" r="0" b="7620"/>
            <wp:docPr id="822694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227320" cy="1897380"/>
                    </a:xfrm>
                    <a:prstGeom prst="rect">
                      <a:avLst/>
                    </a:prstGeom>
                    <a:noFill/>
                    <a:ln>
                      <a:noFill/>
                    </a:ln>
                  </pic:spPr>
                </pic:pic>
              </a:graphicData>
            </a:graphic>
          </wp:inline>
        </w:drawing>
      </w:r>
    </w:p>
    <w:p w14:paraId="54EAD3B6"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Алгоритм логистической регрессии показал отличные результаты, достигнув точности и средней полноты в 82%.</w:t>
      </w:r>
    </w:p>
    <w:p w14:paraId="4FC8D21F" w14:textId="77777777" w:rsidR="00EE7B3A" w:rsidRPr="00EE7B3A" w:rsidRDefault="00EE7B3A" w:rsidP="00EE7B3A">
      <w:pPr>
        <w:spacing w:after="0" w:line="240" w:lineRule="auto"/>
        <w:jc w:val="both"/>
        <w:rPr>
          <w:rFonts w:ascii="Times New Roman" w:eastAsia="Calibri" w:hAnsi="Times New Roman" w:cs="Times New Roman"/>
          <w:sz w:val="32"/>
          <w:szCs w:val="28"/>
        </w:rPr>
      </w:pPr>
    </w:p>
    <w:p w14:paraId="6631C367"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Стохастический градиентный спуск (</w:t>
      </w:r>
      <w:r w:rsidRPr="00EE7B3A">
        <w:rPr>
          <w:rFonts w:ascii="Times New Roman" w:eastAsia="Calibri" w:hAnsi="Times New Roman" w:cs="Times New Roman"/>
          <w:sz w:val="32"/>
          <w:szCs w:val="28"/>
          <w:lang w:val="en-US"/>
        </w:rPr>
        <w:t>SGD)</w:t>
      </w:r>
    </w:p>
    <w:p w14:paraId="1E2245F3"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 xml:space="preserve">sgd = </w:t>
      </w:r>
      <w:proofErr w:type="gramStart"/>
      <w:r w:rsidRPr="00EE7B3A">
        <w:rPr>
          <w:rFonts w:ascii="Calibri" w:eastAsia="Calibri" w:hAnsi="Calibri" w:cs="Calibri"/>
          <w:sz w:val="28"/>
          <w:szCs w:val="28"/>
          <w:lang w:val="en-US"/>
        </w:rPr>
        <w:t>SGDClassifier(</w:t>
      </w:r>
      <w:proofErr w:type="gramEnd"/>
      <w:r w:rsidRPr="00EE7B3A">
        <w:rPr>
          <w:rFonts w:ascii="Calibri" w:eastAsia="Calibri" w:hAnsi="Calibri" w:cs="Calibri"/>
          <w:sz w:val="28"/>
          <w:szCs w:val="28"/>
          <w:lang w:val="en-US"/>
        </w:rPr>
        <w:t>random_state = 30)</w:t>
      </w:r>
    </w:p>
    <w:p w14:paraId="23E23499" w14:textId="77777777" w:rsidR="00EE7B3A" w:rsidRPr="00EE7B3A" w:rsidRDefault="00EE7B3A" w:rsidP="00EE7B3A">
      <w:pPr>
        <w:spacing w:after="0" w:line="240" w:lineRule="auto"/>
        <w:ind w:firstLine="708"/>
        <w:rPr>
          <w:rFonts w:ascii="Calibri" w:eastAsia="Calibri" w:hAnsi="Calibri" w:cs="Calibri"/>
          <w:sz w:val="28"/>
          <w:szCs w:val="28"/>
          <w:lang w:val="en-US"/>
        </w:rPr>
      </w:pPr>
      <w:proofErr w:type="gramStart"/>
      <w:r w:rsidRPr="00EE7B3A">
        <w:rPr>
          <w:rFonts w:ascii="Calibri" w:eastAsia="Calibri" w:hAnsi="Calibri" w:cs="Calibri"/>
          <w:sz w:val="28"/>
          <w:szCs w:val="28"/>
          <w:lang w:val="en-US"/>
        </w:rPr>
        <w:t>sgd.fit(</w:t>
      </w:r>
      <w:proofErr w:type="gramEnd"/>
      <w:r w:rsidRPr="00EE7B3A">
        <w:rPr>
          <w:rFonts w:ascii="Calibri" w:eastAsia="Calibri" w:hAnsi="Calibri" w:cs="Calibri"/>
          <w:sz w:val="28"/>
          <w:szCs w:val="28"/>
          <w:lang w:val="en-US"/>
        </w:rPr>
        <w:t>X_train_resampled, y_train_resampled)</w:t>
      </w:r>
    </w:p>
    <w:p w14:paraId="3808A9B3"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evaluate_</w:t>
      </w:r>
      <w:proofErr w:type="gramStart"/>
      <w:r w:rsidRPr="00EE7B3A">
        <w:rPr>
          <w:rFonts w:ascii="Calibri" w:eastAsia="Calibri" w:hAnsi="Calibri" w:cs="Calibri"/>
          <w:sz w:val="28"/>
          <w:szCs w:val="28"/>
          <w:lang w:val="en-US"/>
        </w:rPr>
        <w:t>model(</w:t>
      </w:r>
      <w:proofErr w:type="gramEnd"/>
      <w:r w:rsidRPr="00EE7B3A">
        <w:rPr>
          <w:rFonts w:ascii="Calibri" w:eastAsia="Calibri" w:hAnsi="Calibri" w:cs="Calibri"/>
          <w:sz w:val="28"/>
          <w:szCs w:val="28"/>
          <w:lang w:val="en-US"/>
        </w:rPr>
        <w:t>sgd, X_test_df, y_test)</w:t>
      </w:r>
    </w:p>
    <w:p w14:paraId="3F6302E2"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54725D2F"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r>
      <w:r w:rsidRPr="00EE7B3A">
        <w:rPr>
          <w:rFonts w:ascii="Calibri" w:eastAsia="Calibri" w:hAnsi="Calibri" w:cs="Times New Roman"/>
          <w:noProof/>
          <w:lang w:eastAsia="ru-RU"/>
        </w:rPr>
        <w:drawing>
          <wp:inline distT="0" distB="0" distL="0" distR="0" wp14:anchorId="752F72A4" wp14:editId="384E0460">
            <wp:extent cx="5212080" cy="1943100"/>
            <wp:effectExtent l="0" t="0" r="7620" b="0"/>
            <wp:docPr id="14907470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212080" cy="1943100"/>
                    </a:xfrm>
                    <a:prstGeom prst="rect">
                      <a:avLst/>
                    </a:prstGeom>
                    <a:noFill/>
                    <a:ln>
                      <a:noFill/>
                    </a:ln>
                  </pic:spPr>
                </pic:pic>
              </a:graphicData>
            </a:graphic>
          </wp:inline>
        </w:drawing>
      </w:r>
    </w:p>
    <w:p w14:paraId="426DC00C"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Модель на основе </w:t>
      </w:r>
      <w:r w:rsidRPr="00EE7B3A">
        <w:rPr>
          <w:rFonts w:ascii="Times New Roman" w:eastAsia="Calibri" w:hAnsi="Times New Roman" w:cs="Times New Roman"/>
          <w:sz w:val="32"/>
          <w:szCs w:val="28"/>
          <w:lang w:val="en-US"/>
        </w:rPr>
        <w:t>SGD</w:t>
      </w:r>
      <w:r w:rsidRPr="00EE7B3A">
        <w:rPr>
          <w:rFonts w:ascii="Times New Roman" w:eastAsia="Calibri" w:hAnsi="Times New Roman" w:cs="Times New Roman"/>
          <w:sz w:val="32"/>
          <w:szCs w:val="28"/>
        </w:rPr>
        <w:t xml:space="preserve"> продемонстрировала показатель точности на 2% лучше и показатель взвешенной полноты, равный 84%.</w:t>
      </w:r>
    </w:p>
    <w:p w14:paraId="076D5C63"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lang w:val="en-US"/>
        </w:rPr>
      </w:pPr>
      <w:r w:rsidRPr="00EE7B3A">
        <w:rPr>
          <w:rFonts w:ascii="Times New Roman" w:eastAsia="Calibri" w:hAnsi="Times New Roman" w:cs="Times New Roman"/>
          <w:sz w:val="32"/>
          <w:szCs w:val="28"/>
          <w:lang w:val="en-US"/>
        </w:rPr>
        <w:t>XGBoost</w:t>
      </w:r>
    </w:p>
    <w:p w14:paraId="097DF525"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from xgboost import XGBClassifier</w:t>
      </w:r>
    </w:p>
    <w:p w14:paraId="4032423E"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 xml:space="preserve">xgb = </w:t>
      </w:r>
      <w:proofErr w:type="gramStart"/>
      <w:r w:rsidRPr="00EE7B3A">
        <w:rPr>
          <w:rFonts w:ascii="Calibri" w:eastAsia="Calibri" w:hAnsi="Calibri" w:cs="Calibri"/>
          <w:sz w:val="28"/>
          <w:szCs w:val="28"/>
          <w:lang w:val="en-US"/>
        </w:rPr>
        <w:t>XGBClassifier(</w:t>
      </w:r>
      <w:proofErr w:type="gramEnd"/>
      <w:r w:rsidRPr="00EE7B3A">
        <w:rPr>
          <w:rFonts w:ascii="Calibri" w:eastAsia="Calibri" w:hAnsi="Calibri" w:cs="Calibri"/>
          <w:sz w:val="28"/>
          <w:szCs w:val="28"/>
          <w:lang w:val="en-US"/>
        </w:rPr>
        <w:t>)</w:t>
      </w:r>
    </w:p>
    <w:p w14:paraId="63240808" w14:textId="77777777" w:rsidR="00EE7B3A" w:rsidRPr="00EE7B3A" w:rsidRDefault="00EE7B3A" w:rsidP="00EE7B3A">
      <w:pPr>
        <w:spacing w:after="0" w:line="240" w:lineRule="auto"/>
        <w:ind w:firstLine="708"/>
        <w:rPr>
          <w:rFonts w:ascii="Calibri" w:eastAsia="Calibri" w:hAnsi="Calibri" w:cs="Calibri"/>
          <w:sz w:val="28"/>
          <w:szCs w:val="28"/>
          <w:lang w:val="en-US"/>
        </w:rPr>
      </w:pPr>
      <w:proofErr w:type="gramStart"/>
      <w:r w:rsidRPr="00EE7B3A">
        <w:rPr>
          <w:rFonts w:ascii="Calibri" w:eastAsia="Calibri" w:hAnsi="Calibri" w:cs="Calibri"/>
          <w:sz w:val="28"/>
          <w:szCs w:val="28"/>
          <w:lang w:val="en-US"/>
        </w:rPr>
        <w:t>xgb.fit(</w:t>
      </w:r>
      <w:proofErr w:type="gramEnd"/>
      <w:r w:rsidRPr="00EE7B3A">
        <w:rPr>
          <w:rFonts w:ascii="Calibri" w:eastAsia="Calibri" w:hAnsi="Calibri" w:cs="Calibri"/>
          <w:sz w:val="28"/>
          <w:szCs w:val="28"/>
          <w:lang w:val="en-US"/>
        </w:rPr>
        <w:t>X_train_resampled, y_train_resampled)</w:t>
      </w:r>
    </w:p>
    <w:p w14:paraId="78550DFE" w14:textId="77777777" w:rsidR="00EE7B3A" w:rsidRPr="00EE7B3A" w:rsidRDefault="00EE7B3A" w:rsidP="00EE7B3A">
      <w:pPr>
        <w:spacing w:after="0" w:line="240" w:lineRule="auto"/>
        <w:ind w:firstLine="708"/>
        <w:rPr>
          <w:rFonts w:ascii="Calibri" w:eastAsia="Calibri" w:hAnsi="Calibri" w:cs="Calibri"/>
          <w:sz w:val="28"/>
          <w:szCs w:val="28"/>
          <w:lang w:val="en-US"/>
        </w:rPr>
      </w:pPr>
      <w:r w:rsidRPr="00EE7B3A">
        <w:rPr>
          <w:rFonts w:ascii="Calibri" w:eastAsia="Calibri" w:hAnsi="Calibri" w:cs="Calibri"/>
          <w:sz w:val="28"/>
          <w:szCs w:val="28"/>
          <w:lang w:val="en-US"/>
        </w:rPr>
        <w:t>evaluate_</w:t>
      </w:r>
      <w:proofErr w:type="gramStart"/>
      <w:r w:rsidRPr="00EE7B3A">
        <w:rPr>
          <w:rFonts w:ascii="Calibri" w:eastAsia="Calibri" w:hAnsi="Calibri" w:cs="Calibri"/>
          <w:sz w:val="28"/>
          <w:szCs w:val="28"/>
          <w:lang w:val="en-US"/>
        </w:rPr>
        <w:t>model(</w:t>
      </w:r>
      <w:proofErr w:type="gramEnd"/>
      <w:r w:rsidRPr="00EE7B3A">
        <w:rPr>
          <w:rFonts w:ascii="Calibri" w:eastAsia="Calibri" w:hAnsi="Calibri" w:cs="Calibri"/>
          <w:sz w:val="28"/>
          <w:szCs w:val="28"/>
          <w:lang w:val="en-US"/>
        </w:rPr>
        <w:t>xgb, X_test_df, y_test)</w:t>
      </w:r>
    </w:p>
    <w:p w14:paraId="7206C979"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096C1F12"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lastRenderedPageBreak/>
        <w:tab/>
      </w:r>
      <w:r w:rsidRPr="00EE7B3A">
        <w:rPr>
          <w:rFonts w:ascii="Calibri" w:eastAsia="Calibri" w:hAnsi="Calibri" w:cs="Times New Roman"/>
          <w:noProof/>
          <w:lang w:eastAsia="ru-RU"/>
        </w:rPr>
        <w:drawing>
          <wp:inline distT="0" distB="0" distL="0" distR="0" wp14:anchorId="240AA806" wp14:editId="47DCBD27">
            <wp:extent cx="5227320" cy="1897380"/>
            <wp:effectExtent l="0" t="0" r="0" b="7620"/>
            <wp:docPr id="316657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227320" cy="1897380"/>
                    </a:xfrm>
                    <a:prstGeom prst="rect">
                      <a:avLst/>
                    </a:prstGeom>
                    <a:noFill/>
                    <a:ln>
                      <a:noFill/>
                    </a:ln>
                  </pic:spPr>
                </pic:pic>
              </a:graphicData>
            </a:graphic>
          </wp:inline>
        </w:drawing>
      </w:r>
    </w:p>
    <w:p w14:paraId="13F0AF9D"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p>
    <w:p w14:paraId="138DC4BF"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В качестве завершающей модели используется классификатор </w:t>
      </w:r>
      <w:r w:rsidRPr="00EE7B3A">
        <w:rPr>
          <w:rFonts w:ascii="Times New Roman" w:eastAsia="Calibri" w:hAnsi="Times New Roman" w:cs="Times New Roman"/>
          <w:sz w:val="32"/>
          <w:szCs w:val="28"/>
          <w:lang w:val="en-US"/>
        </w:rPr>
        <w:t>XGBoost</w:t>
      </w:r>
      <w:r w:rsidRPr="00EE7B3A">
        <w:rPr>
          <w:rFonts w:ascii="Times New Roman" w:eastAsia="Calibri" w:hAnsi="Times New Roman" w:cs="Times New Roman"/>
          <w:sz w:val="32"/>
          <w:szCs w:val="28"/>
        </w:rPr>
        <w:t>. И даже без значительной настройки гиперпараметров, он также показал впечатляющие результаты: 82% точности и 82% взвешенной полноты.</w:t>
      </w:r>
    </w:p>
    <w:p w14:paraId="40C19B65" w14:textId="77777777" w:rsidR="00EE7B3A" w:rsidRPr="00EE7B3A" w:rsidRDefault="00EE7B3A" w:rsidP="00EE7B3A">
      <w:pPr>
        <w:spacing w:after="0" w:line="240" w:lineRule="auto"/>
        <w:jc w:val="center"/>
        <w:rPr>
          <w:rFonts w:ascii="Times New Roman" w:eastAsia="Calibri" w:hAnsi="Times New Roman" w:cs="Times New Roman"/>
          <w:sz w:val="32"/>
          <w:szCs w:val="28"/>
        </w:rPr>
      </w:pPr>
      <w:r w:rsidRPr="00EE7B3A">
        <w:rPr>
          <w:rFonts w:ascii="Times New Roman" w:eastAsia="Calibri" w:hAnsi="Times New Roman" w:cs="Times New Roman"/>
          <w:sz w:val="32"/>
          <w:szCs w:val="28"/>
        </w:rPr>
        <w:t>Интерпретация</w:t>
      </w:r>
    </w:p>
    <w:p w14:paraId="5E733A85"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Для интерпретирования данных, учитывая высокий уровень точности и простоту извлечения информации о важности показателей, применим модель </w:t>
      </w:r>
      <w:r w:rsidRPr="00EE7B3A">
        <w:rPr>
          <w:rFonts w:ascii="Times New Roman" w:eastAsia="Calibri" w:hAnsi="Times New Roman" w:cs="Times New Roman"/>
          <w:sz w:val="32"/>
          <w:szCs w:val="28"/>
          <w:lang w:val="en-US"/>
        </w:rPr>
        <w:t>XGBoost</w:t>
      </w:r>
      <w:r w:rsidRPr="00EE7B3A">
        <w:rPr>
          <w:rFonts w:ascii="Times New Roman" w:eastAsia="Calibri" w:hAnsi="Times New Roman" w:cs="Times New Roman"/>
          <w:sz w:val="32"/>
          <w:szCs w:val="28"/>
        </w:rPr>
        <w:t xml:space="preserve">. </w:t>
      </w:r>
    </w:p>
    <w:p w14:paraId="0598EF70"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В первую очередь посмотрим, какие показатели оказались наиболее важными при прогнозировании популярности песни.</w:t>
      </w:r>
    </w:p>
    <w:p w14:paraId="57265D79"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Важность показателей</w:t>
      </w:r>
    </w:p>
    <w:p w14:paraId="75DCD73A"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1. Извлечём значения важности показателей из модели:</w:t>
      </w:r>
    </w:p>
    <w:p w14:paraId="3439B7F8"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sz w:val="28"/>
          <w:szCs w:val="28"/>
          <w:lang w:val="en-US"/>
        </w:rPr>
        <w:t>features_dict = {‘</w:t>
      </w:r>
      <w:r w:rsidRPr="00EE7B3A">
        <w:rPr>
          <w:rFonts w:ascii="Calibri" w:eastAsia="Calibri" w:hAnsi="Calibri" w:cs="Calibri"/>
          <w:sz w:val="28"/>
          <w:szCs w:val="28"/>
        </w:rPr>
        <w:t>Показатели</w:t>
      </w:r>
      <w:r w:rsidRPr="00EE7B3A">
        <w:rPr>
          <w:rFonts w:ascii="Calibri" w:eastAsia="Calibri" w:hAnsi="Calibri" w:cs="Calibri"/>
          <w:sz w:val="28"/>
          <w:szCs w:val="28"/>
          <w:lang w:val="en-US"/>
        </w:rPr>
        <w:t>’: X_train_</w:t>
      </w:r>
      <w:proofErr w:type="gramStart"/>
      <w:r w:rsidRPr="00EE7B3A">
        <w:rPr>
          <w:rFonts w:ascii="Calibri" w:eastAsia="Calibri" w:hAnsi="Calibri" w:cs="Calibri"/>
          <w:sz w:val="28"/>
          <w:szCs w:val="28"/>
          <w:lang w:val="en-US"/>
        </w:rPr>
        <w:t>df.columns</w:t>
      </w:r>
      <w:proofErr w:type="gramEnd"/>
      <w:r w:rsidRPr="00EE7B3A">
        <w:rPr>
          <w:rFonts w:ascii="Calibri" w:eastAsia="Calibri" w:hAnsi="Calibri" w:cs="Calibri"/>
          <w:sz w:val="28"/>
          <w:szCs w:val="28"/>
          <w:lang w:val="en-US"/>
        </w:rPr>
        <w:t>,</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t xml:space="preserve">       ‘</w:t>
      </w:r>
      <w:r w:rsidRPr="00EE7B3A">
        <w:rPr>
          <w:rFonts w:ascii="Calibri" w:eastAsia="Calibri" w:hAnsi="Calibri" w:cs="Calibri"/>
          <w:sz w:val="28"/>
          <w:szCs w:val="28"/>
        </w:rPr>
        <w:t>Важность</w:t>
      </w:r>
      <w:r w:rsidRPr="00EE7B3A">
        <w:rPr>
          <w:rFonts w:ascii="Calibri" w:eastAsia="Calibri" w:hAnsi="Calibri" w:cs="Calibri"/>
          <w:sz w:val="28"/>
          <w:szCs w:val="28"/>
          <w:lang w:val="en-US"/>
        </w:rPr>
        <w:t>’: xgb.feature_importances_}</w:t>
      </w:r>
    </w:p>
    <w:p w14:paraId="25536E27" w14:textId="77777777" w:rsidR="00EE7B3A" w:rsidRPr="00EE7B3A" w:rsidRDefault="00EE7B3A" w:rsidP="00EE7B3A">
      <w:pPr>
        <w:spacing w:after="0" w:line="240" w:lineRule="auto"/>
        <w:ind w:left="708"/>
        <w:rPr>
          <w:rFonts w:ascii="Calibri" w:eastAsia="Calibri" w:hAnsi="Calibri" w:cs="Calibri"/>
          <w:sz w:val="28"/>
          <w:szCs w:val="28"/>
          <w:lang w:val="en-US"/>
        </w:rPr>
      </w:pPr>
      <w:r w:rsidRPr="00EE7B3A">
        <w:rPr>
          <w:rFonts w:ascii="Calibri" w:eastAsia="Calibri" w:hAnsi="Calibri" w:cs="Calibri"/>
          <w:sz w:val="28"/>
          <w:szCs w:val="28"/>
          <w:lang w:val="en-US"/>
        </w:rPr>
        <w:t xml:space="preserve">feature_importance = </w:t>
      </w:r>
      <w:proofErr w:type="gramStart"/>
      <w:r w:rsidRPr="00EE7B3A">
        <w:rPr>
          <w:rFonts w:ascii="Calibri" w:eastAsia="Calibri" w:hAnsi="Calibri" w:cs="Calibri"/>
          <w:sz w:val="28"/>
          <w:szCs w:val="28"/>
          <w:lang w:val="en-US"/>
        </w:rPr>
        <w:t>pd.DataFrame</w:t>
      </w:r>
      <w:proofErr w:type="gramEnd"/>
      <w:r w:rsidRPr="00EE7B3A">
        <w:rPr>
          <w:rFonts w:ascii="Calibri" w:eastAsia="Calibri" w:hAnsi="Calibri" w:cs="Calibri"/>
          <w:sz w:val="28"/>
          <w:szCs w:val="28"/>
          <w:lang w:val="en-US"/>
        </w:rPr>
        <w:t xml:space="preserve">(features_dict, columns = </w:t>
      </w:r>
      <w:r w:rsidRPr="00EE7B3A">
        <w:rPr>
          <w:rFonts w:ascii="Calibri" w:eastAsia="Calibri" w:hAnsi="Calibri" w:cs="Calibri"/>
          <w:sz w:val="28"/>
          <w:szCs w:val="28"/>
          <w:lang w:val="en-US"/>
        </w:rPr>
        <w:br/>
        <w:t xml:space="preserve"> </w:t>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r>
      <w:r w:rsidRPr="00EE7B3A">
        <w:rPr>
          <w:rFonts w:ascii="Calibri" w:eastAsia="Calibri" w:hAnsi="Calibri" w:cs="Calibri"/>
          <w:sz w:val="28"/>
          <w:szCs w:val="28"/>
          <w:lang w:val="en-US"/>
        </w:rPr>
        <w:tab/>
        <w:t>[‘</w:t>
      </w:r>
      <w:r w:rsidRPr="00EE7B3A">
        <w:rPr>
          <w:rFonts w:ascii="Calibri" w:eastAsia="Calibri" w:hAnsi="Calibri" w:cs="Calibri"/>
          <w:sz w:val="28"/>
          <w:szCs w:val="28"/>
        </w:rPr>
        <w:t>Показатели</w:t>
      </w:r>
      <w:r w:rsidRPr="00EE7B3A">
        <w:rPr>
          <w:rFonts w:ascii="Calibri" w:eastAsia="Calibri" w:hAnsi="Calibri" w:cs="Calibri"/>
          <w:sz w:val="28"/>
          <w:szCs w:val="28"/>
          <w:lang w:val="en-US"/>
        </w:rPr>
        <w:t>’, ‘</w:t>
      </w:r>
      <w:r w:rsidRPr="00EE7B3A">
        <w:rPr>
          <w:rFonts w:ascii="Calibri" w:eastAsia="Calibri" w:hAnsi="Calibri" w:cs="Calibri"/>
          <w:sz w:val="28"/>
          <w:szCs w:val="28"/>
        </w:rPr>
        <w:t>Важность</w:t>
      </w:r>
      <w:r w:rsidRPr="00EE7B3A">
        <w:rPr>
          <w:rFonts w:ascii="Calibri" w:eastAsia="Calibri" w:hAnsi="Calibri" w:cs="Calibri"/>
          <w:sz w:val="28"/>
          <w:szCs w:val="28"/>
          <w:lang w:val="en-US"/>
        </w:rPr>
        <w:t>’])</w:t>
      </w:r>
    </w:p>
    <w:p w14:paraId="0CB58578" w14:textId="77777777" w:rsidR="00EE7B3A" w:rsidRPr="00EE7B3A" w:rsidRDefault="00EE7B3A" w:rsidP="00EE7B3A">
      <w:pPr>
        <w:spacing w:after="0" w:line="240" w:lineRule="auto"/>
        <w:ind w:left="708"/>
        <w:rPr>
          <w:rFonts w:ascii="Calibri" w:eastAsia="Calibri" w:hAnsi="Calibri" w:cs="Calibri"/>
          <w:sz w:val="28"/>
          <w:szCs w:val="28"/>
          <w:lang w:val="en-US"/>
        </w:rPr>
      </w:pPr>
      <w:r w:rsidRPr="00EE7B3A">
        <w:rPr>
          <w:rFonts w:ascii="Calibri" w:eastAsia="Calibri" w:hAnsi="Calibri" w:cs="Calibri"/>
          <w:sz w:val="28"/>
          <w:szCs w:val="28"/>
          <w:lang w:val="en-US"/>
        </w:rPr>
        <w:t>print(feature_</w:t>
      </w:r>
      <w:proofErr w:type="gramStart"/>
      <w:r w:rsidRPr="00EE7B3A">
        <w:rPr>
          <w:rFonts w:ascii="Calibri" w:eastAsia="Calibri" w:hAnsi="Calibri" w:cs="Calibri"/>
          <w:sz w:val="28"/>
          <w:szCs w:val="28"/>
          <w:lang w:val="en-US"/>
        </w:rPr>
        <w:t>importance.shape</w:t>
      </w:r>
      <w:proofErr w:type="gramEnd"/>
      <w:r w:rsidRPr="00EE7B3A">
        <w:rPr>
          <w:rFonts w:ascii="Calibri" w:eastAsia="Calibri" w:hAnsi="Calibri" w:cs="Calibri"/>
          <w:sz w:val="28"/>
          <w:szCs w:val="28"/>
          <w:lang w:val="en-US"/>
        </w:rPr>
        <w:t>)</w:t>
      </w:r>
      <w:r w:rsidRPr="00EE7B3A">
        <w:rPr>
          <w:rFonts w:ascii="Calibri" w:eastAsia="Calibri" w:hAnsi="Calibri" w:cs="Calibri"/>
          <w:sz w:val="28"/>
          <w:szCs w:val="28"/>
          <w:lang w:val="en-US"/>
        </w:rPr>
        <w:br/>
        <w:t>feature_importance.head(10)</w:t>
      </w:r>
    </w:p>
    <w:p w14:paraId="2ACE0205"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3C3040D9" w14:textId="77777777" w:rsidR="00EE7B3A" w:rsidRPr="00EE7B3A" w:rsidRDefault="00EE7B3A" w:rsidP="00EE7B3A">
      <w:pPr>
        <w:spacing w:after="0" w:line="240" w:lineRule="auto"/>
        <w:rPr>
          <w:rFonts w:ascii="Calibri" w:eastAsia="Calibri" w:hAnsi="Calibri" w:cs="Calibri"/>
          <w:sz w:val="28"/>
          <w:szCs w:val="28"/>
          <w:lang w:val="en-US"/>
        </w:rPr>
      </w:pPr>
    </w:p>
    <w:p w14:paraId="2234A62B" w14:textId="77777777" w:rsidR="00EE7B3A" w:rsidRPr="00EE7B3A" w:rsidRDefault="00EE7B3A" w:rsidP="00EE7B3A">
      <w:pPr>
        <w:spacing w:after="0" w:line="240" w:lineRule="auto"/>
        <w:rPr>
          <w:rFonts w:ascii="Calibri" w:eastAsia="Calibri" w:hAnsi="Calibri" w:cs="Calibri"/>
          <w:sz w:val="28"/>
          <w:szCs w:val="28"/>
          <w:lang w:val="en-US"/>
        </w:rPr>
      </w:pPr>
    </w:p>
    <w:p w14:paraId="58D77139" w14:textId="77777777" w:rsidR="00EE7B3A" w:rsidRPr="00EE7B3A" w:rsidRDefault="00EE7B3A" w:rsidP="00EE7B3A">
      <w:pPr>
        <w:spacing w:after="0" w:line="240" w:lineRule="auto"/>
        <w:rPr>
          <w:rFonts w:ascii="Calibri" w:eastAsia="Calibri" w:hAnsi="Calibri" w:cs="Calibri"/>
          <w:sz w:val="28"/>
          <w:szCs w:val="28"/>
          <w:lang w:val="en-US"/>
        </w:rPr>
      </w:pPr>
    </w:p>
    <w:p w14:paraId="5C1F7AFC"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(25, 2)</w:t>
      </w:r>
    </w:p>
    <w:tbl>
      <w:tblPr>
        <w:tblStyle w:val="140"/>
        <w:tblW w:w="0" w:type="auto"/>
        <w:tblInd w:w="650" w:type="dxa"/>
        <w:tblLook w:val="04A0" w:firstRow="1" w:lastRow="0" w:firstColumn="1" w:lastColumn="0" w:noHBand="0" w:noVBand="1"/>
      </w:tblPr>
      <w:tblGrid>
        <w:gridCol w:w="704"/>
        <w:gridCol w:w="1903"/>
        <w:gridCol w:w="1189"/>
      </w:tblGrid>
      <w:tr w:rsidR="00EE7B3A" w:rsidRPr="00EE7B3A" w14:paraId="5759567D" w14:textId="77777777">
        <w:tc>
          <w:tcPr>
            <w:tcW w:w="704" w:type="dxa"/>
            <w:tcBorders>
              <w:top w:val="nil"/>
              <w:left w:val="nil"/>
              <w:bottom w:val="single" w:sz="4" w:space="0" w:color="auto"/>
              <w:right w:val="nil"/>
            </w:tcBorders>
          </w:tcPr>
          <w:p w14:paraId="3EBE093D" w14:textId="77777777" w:rsidR="00EE7B3A" w:rsidRPr="00EE7B3A" w:rsidRDefault="00EE7B3A" w:rsidP="00EE7B3A">
            <w:pPr>
              <w:rPr>
                <w:rFonts w:eastAsia="Calibri" w:cs="Calibri"/>
                <w:sz w:val="28"/>
                <w:szCs w:val="28"/>
                <w:lang w:val="en-US"/>
              </w:rPr>
            </w:pPr>
          </w:p>
        </w:tc>
        <w:tc>
          <w:tcPr>
            <w:tcW w:w="1903" w:type="dxa"/>
            <w:tcBorders>
              <w:top w:val="nil"/>
              <w:left w:val="nil"/>
              <w:bottom w:val="single" w:sz="4" w:space="0" w:color="auto"/>
              <w:right w:val="nil"/>
            </w:tcBorders>
            <w:hideMark/>
          </w:tcPr>
          <w:p w14:paraId="1B752E06" w14:textId="77777777" w:rsidR="00EE7B3A" w:rsidRPr="00EE7B3A" w:rsidRDefault="00EE7B3A" w:rsidP="00EE7B3A">
            <w:pPr>
              <w:jc w:val="right"/>
              <w:rPr>
                <w:rFonts w:eastAsia="Calibri" w:cs="Calibri"/>
                <w:sz w:val="24"/>
                <w:szCs w:val="28"/>
              </w:rPr>
            </w:pPr>
            <w:r w:rsidRPr="00EE7B3A">
              <w:rPr>
                <w:rFonts w:eastAsia="Calibri" w:cs="Calibri"/>
                <w:sz w:val="24"/>
                <w:szCs w:val="28"/>
              </w:rPr>
              <w:t>Показатели</w:t>
            </w:r>
          </w:p>
        </w:tc>
        <w:tc>
          <w:tcPr>
            <w:tcW w:w="1189" w:type="dxa"/>
            <w:tcBorders>
              <w:top w:val="nil"/>
              <w:left w:val="nil"/>
              <w:bottom w:val="single" w:sz="4" w:space="0" w:color="auto"/>
              <w:right w:val="nil"/>
            </w:tcBorders>
            <w:hideMark/>
          </w:tcPr>
          <w:p w14:paraId="79734CE1" w14:textId="77777777" w:rsidR="00EE7B3A" w:rsidRPr="00EE7B3A" w:rsidRDefault="00EE7B3A" w:rsidP="00EE7B3A">
            <w:pPr>
              <w:jc w:val="right"/>
              <w:rPr>
                <w:rFonts w:eastAsia="Calibri" w:cs="Calibri"/>
                <w:sz w:val="24"/>
                <w:szCs w:val="28"/>
              </w:rPr>
            </w:pPr>
            <w:r w:rsidRPr="00EE7B3A">
              <w:rPr>
                <w:rFonts w:eastAsia="Calibri" w:cs="Calibri"/>
                <w:sz w:val="24"/>
                <w:szCs w:val="28"/>
              </w:rPr>
              <w:t>Важность</w:t>
            </w:r>
          </w:p>
        </w:tc>
      </w:tr>
      <w:tr w:rsidR="00EE7B3A" w:rsidRPr="00EE7B3A" w14:paraId="5450B833" w14:textId="77777777" w:rsidTr="00EE7B3A">
        <w:tc>
          <w:tcPr>
            <w:tcW w:w="704" w:type="dxa"/>
            <w:tcBorders>
              <w:top w:val="single" w:sz="4" w:space="0" w:color="auto"/>
              <w:left w:val="single" w:sz="4" w:space="0" w:color="auto"/>
              <w:bottom w:val="single" w:sz="4" w:space="0" w:color="auto"/>
              <w:right w:val="nil"/>
            </w:tcBorders>
            <w:shd w:val="clear" w:color="auto" w:fill="D9D9D9"/>
            <w:hideMark/>
          </w:tcPr>
          <w:p w14:paraId="1957D1E7" w14:textId="77777777" w:rsidR="00EE7B3A" w:rsidRPr="00EE7B3A" w:rsidRDefault="00EE7B3A" w:rsidP="00EE7B3A">
            <w:pPr>
              <w:rPr>
                <w:rFonts w:eastAsia="Calibri" w:cs="Calibri"/>
                <w:sz w:val="28"/>
                <w:szCs w:val="28"/>
              </w:rPr>
            </w:pPr>
            <w:r w:rsidRPr="00EE7B3A">
              <w:rPr>
                <w:rFonts w:eastAsia="Calibri" w:cs="Calibri"/>
                <w:sz w:val="28"/>
                <w:szCs w:val="28"/>
              </w:rPr>
              <w:t>0</w:t>
            </w:r>
          </w:p>
        </w:tc>
        <w:tc>
          <w:tcPr>
            <w:tcW w:w="1903" w:type="dxa"/>
            <w:tcBorders>
              <w:top w:val="single" w:sz="4" w:space="0" w:color="auto"/>
              <w:left w:val="nil"/>
              <w:bottom w:val="single" w:sz="4" w:space="0" w:color="auto"/>
              <w:right w:val="nil"/>
            </w:tcBorders>
            <w:shd w:val="clear" w:color="auto" w:fill="D9D9D9"/>
            <w:hideMark/>
          </w:tcPr>
          <w:p w14:paraId="591C5240"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acousticness</w:t>
            </w:r>
          </w:p>
        </w:tc>
        <w:tc>
          <w:tcPr>
            <w:tcW w:w="1189" w:type="dxa"/>
            <w:tcBorders>
              <w:top w:val="single" w:sz="4" w:space="0" w:color="auto"/>
              <w:left w:val="nil"/>
              <w:bottom w:val="single" w:sz="4" w:space="0" w:color="auto"/>
              <w:right w:val="single" w:sz="4" w:space="0" w:color="auto"/>
            </w:tcBorders>
            <w:shd w:val="clear" w:color="auto" w:fill="D9D9D9"/>
            <w:hideMark/>
          </w:tcPr>
          <w:p w14:paraId="2E8C3818"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0.025678</w:t>
            </w:r>
          </w:p>
        </w:tc>
      </w:tr>
      <w:tr w:rsidR="00EE7B3A" w:rsidRPr="00EE7B3A" w14:paraId="213B190B" w14:textId="77777777">
        <w:tc>
          <w:tcPr>
            <w:tcW w:w="704" w:type="dxa"/>
            <w:tcBorders>
              <w:top w:val="single" w:sz="4" w:space="0" w:color="auto"/>
              <w:left w:val="single" w:sz="4" w:space="0" w:color="auto"/>
              <w:bottom w:val="single" w:sz="4" w:space="0" w:color="auto"/>
              <w:right w:val="nil"/>
            </w:tcBorders>
            <w:hideMark/>
          </w:tcPr>
          <w:p w14:paraId="37B7614F" w14:textId="77777777" w:rsidR="00EE7B3A" w:rsidRPr="00EE7B3A" w:rsidRDefault="00EE7B3A" w:rsidP="00EE7B3A">
            <w:pPr>
              <w:rPr>
                <w:rFonts w:eastAsia="Calibri" w:cs="Calibri"/>
                <w:sz w:val="28"/>
                <w:szCs w:val="28"/>
              </w:rPr>
            </w:pPr>
            <w:r w:rsidRPr="00EE7B3A">
              <w:rPr>
                <w:rFonts w:eastAsia="Calibri" w:cs="Calibri"/>
                <w:sz w:val="28"/>
                <w:szCs w:val="28"/>
              </w:rPr>
              <w:t>1</w:t>
            </w:r>
          </w:p>
        </w:tc>
        <w:tc>
          <w:tcPr>
            <w:tcW w:w="1903" w:type="dxa"/>
            <w:tcBorders>
              <w:top w:val="single" w:sz="4" w:space="0" w:color="auto"/>
              <w:left w:val="nil"/>
              <w:bottom w:val="single" w:sz="4" w:space="0" w:color="auto"/>
              <w:right w:val="nil"/>
            </w:tcBorders>
            <w:hideMark/>
          </w:tcPr>
          <w:p w14:paraId="111CD2F1"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danceability</w:t>
            </w:r>
          </w:p>
        </w:tc>
        <w:tc>
          <w:tcPr>
            <w:tcW w:w="1189" w:type="dxa"/>
            <w:tcBorders>
              <w:top w:val="single" w:sz="4" w:space="0" w:color="auto"/>
              <w:left w:val="nil"/>
              <w:bottom w:val="single" w:sz="4" w:space="0" w:color="auto"/>
              <w:right w:val="single" w:sz="4" w:space="0" w:color="auto"/>
            </w:tcBorders>
            <w:hideMark/>
          </w:tcPr>
          <w:p w14:paraId="19D526B8"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0.012483</w:t>
            </w:r>
          </w:p>
        </w:tc>
      </w:tr>
      <w:tr w:rsidR="00EE7B3A" w:rsidRPr="00EE7B3A" w14:paraId="0B91E3F8" w14:textId="77777777" w:rsidTr="00EE7B3A">
        <w:tc>
          <w:tcPr>
            <w:tcW w:w="704" w:type="dxa"/>
            <w:tcBorders>
              <w:top w:val="single" w:sz="4" w:space="0" w:color="auto"/>
              <w:left w:val="single" w:sz="4" w:space="0" w:color="auto"/>
              <w:bottom w:val="single" w:sz="4" w:space="0" w:color="auto"/>
              <w:right w:val="nil"/>
            </w:tcBorders>
            <w:shd w:val="clear" w:color="auto" w:fill="D9D9D9"/>
            <w:hideMark/>
          </w:tcPr>
          <w:p w14:paraId="733C7750" w14:textId="77777777" w:rsidR="00EE7B3A" w:rsidRPr="00EE7B3A" w:rsidRDefault="00EE7B3A" w:rsidP="00EE7B3A">
            <w:pPr>
              <w:rPr>
                <w:rFonts w:eastAsia="Calibri" w:cs="Calibri"/>
                <w:sz w:val="28"/>
                <w:szCs w:val="28"/>
              </w:rPr>
            </w:pPr>
            <w:r w:rsidRPr="00EE7B3A">
              <w:rPr>
                <w:rFonts w:eastAsia="Calibri" w:cs="Calibri"/>
                <w:sz w:val="28"/>
                <w:szCs w:val="28"/>
              </w:rPr>
              <w:t>2</w:t>
            </w:r>
          </w:p>
        </w:tc>
        <w:tc>
          <w:tcPr>
            <w:tcW w:w="1903" w:type="dxa"/>
            <w:tcBorders>
              <w:top w:val="single" w:sz="4" w:space="0" w:color="auto"/>
              <w:left w:val="nil"/>
              <w:bottom w:val="single" w:sz="4" w:space="0" w:color="auto"/>
              <w:right w:val="nil"/>
            </w:tcBorders>
            <w:shd w:val="clear" w:color="auto" w:fill="D9D9D9"/>
            <w:hideMark/>
          </w:tcPr>
          <w:p w14:paraId="71BA1A5E"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duration_ms</w:t>
            </w:r>
          </w:p>
        </w:tc>
        <w:tc>
          <w:tcPr>
            <w:tcW w:w="1189" w:type="dxa"/>
            <w:tcBorders>
              <w:top w:val="single" w:sz="4" w:space="0" w:color="auto"/>
              <w:left w:val="nil"/>
              <w:bottom w:val="single" w:sz="4" w:space="0" w:color="auto"/>
              <w:right w:val="single" w:sz="4" w:space="0" w:color="auto"/>
            </w:tcBorders>
            <w:shd w:val="clear" w:color="auto" w:fill="D9D9D9"/>
            <w:hideMark/>
          </w:tcPr>
          <w:p w14:paraId="0B926DFB"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0.017787</w:t>
            </w:r>
          </w:p>
        </w:tc>
      </w:tr>
      <w:tr w:rsidR="00EE7B3A" w:rsidRPr="00EE7B3A" w14:paraId="315A0080" w14:textId="77777777">
        <w:tc>
          <w:tcPr>
            <w:tcW w:w="704" w:type="dxa"/>
            <w:tcBorders>
              <w:top w:val="single" w:sz="4" w:space="0" w:color="auto"/>
              <w:left w:val="single" w:sz="4" w:space="0" w:color="auto"/>
              <w:bottom w:val="single" w:sz="4" w:space="0" w:color="auto"/>
              <w:right w:val="nil"/>
            </w:tcBorders>
            <w:hideMark/>
          </w:tcPr>
          <w:p w14:paraId="76E353E4" w14:textId="77777777" w:rsidR="00EE7B3A" w:rsidRPr="00EE7B3A" w:rsidRDefault="00EE7B3A" w:rsidP="00EE7B3A">
            <w:pPr>
              <w:rPr>
                <w:rFonts w:eastAsia="Calibri" w:cs="Calibri"/>
                <w:sz w:val="28"/>
                <w:szCs w:val="28"/>
              </w:rPr>
            </w:pPr>
            <w:r w:rsidRPr="00EE7B3A">
              <w:rPr>
                <w:rFonts w:eastAsia="Calibri" w:cs="Calibri"/>
                <w:sz w:val="28"/>
                <w:szCs w:val="28"/>
              </w:rPr>
              <w:t>3</w:t>
            </w:r>
          </w:p>
        </w:tc>
        <w:tc>
          <w:tcPr>
            <w:tcW w:w="1903" w:type="dxa"/>
            <w:tcBorders>
              <w:top w:val="single" w:sz="4" w:space="0" w:color="auto"/>
              <w:left w:val="nil"/>
              <w:bottom w:val="single" w:sz="4" w:space="0" w:color="auto"/>
              <w:right w:val="nil"/>
            </w:tcBorders>
            <w:hideMark/>
          </w:tcPr>
          <w:p w14:paraId="0A1657E1"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energy</w:t>
            </w:r>
          </w:p>
        </w:tc>
        <w:tc>
          <w:tcPr>
            <w:tcW w:w="1189" w:type="dxa"/>
            <w:tcBorders>
              <w:top w:val="single" w:sz="4" w:space="0" w:color="auto"/>
              <w:left w:val="nil"/>
              <w:bottom w:val="single" w:sz="4" w:space="0" w:color="auto"/>
              <w:right w:val="single" w:sz="4" w:space="0" w:color="auto"/>
            </w:tcBorders>
            <w:hideMark/>
          </w:tcPr>
          <w:p w14:paraId="16360492"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0.015388</w:t>
            </w:r>
          </w:p>
        </w:tc>
      </w:tr>
      <w:tr w:rsidR="00EE7B3A" w:rsidRPr="00EE7B3A" w14:paraId="118859FC" w14:textId="77777777" w:rsidTr="00EE7B3A">
        <w:tc>
          <w:tcPr>
            <w:tcW w:w="704" w:type="dxa"/>
            <w:tcBorders>
              <w:top w:val="single" w:sz="4" w:space="0" w:color="auto"/>
              <w:left w:val="single" w:sz="4" w:space="0" w:color="auto"/>
              <w:bottom w:val="single" w:sz="4" w:space="0" w:color="auto"/>
              <w:right w:val="nil"/>
            </w:tcBorders>
            <w:shd w:val="clear" w:color="auto" w:fill="D9D9D9"/>
            <w:hideMark/>
          </w:tcPr>
          <w:p w14:paraId="64D1EF76" w14:textId="77777777" w:rsidR="00EE7B3A" w:rsidRPr="00EE7B3A" w:rsidRDefault="00EE7B3A" w:rsidP="00EE7B3A">
            <w:pPr>
              <w:rPr>
                <w:rFonts w:eastAsia="Calibri" w:cs="Calibri"/>
                <w:sz w:val="28"/>
                <w:szCs w:val="28"/>
              </w:rPr>
            </w:pPr>
            <w:r w:rsidRPr="00EE7B3A">
              <w:rPr>
                <w:rFonts w:eastAsia="Calibri" w:cs="Calibri"/>
                <w:sz w:val="28"/>
                <w:szCs w:val="28"/>
              </w:rPr>
              <w:t>4</w:t>
            </w:r>
          </w:p>
        </w:tc>
        <w:tc>
          <w:tcPr>
            <w:tcW w:w="1903" w:type="dxa"/>
            <w:tcBorders>
              <w:top w:val="single" w:sz="4" w:space="0" w:color="auto"/>
              <w:left w:val="nil"/>
              <w:bottom w:val="single" w:sz="4" w:space="0" w:color="auto"/>
              <w:right w:val="nil"/>
            </w:tcBorders>
            <w:shd w:val="clear" w:color="auto" w:fill="D9D9D9"/>
            <w:hideMark/>
          </w:tcPr>
          <w:p w14:paraId="64DC6E36"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explicit</w:t>
            </w:r>
          </w:p>
        </w:tc>
        <w:tc>
          <w:tcPr>
            <w:tcW w:w="1189" w:type="dxa"/>
            <w:tcBorders>
              <w:top w:val="single" w:sz="4" w:space="0" w:color="auto"/>
              <w:left w:val="nil"/>
              <w:bottom w:val="single" w:sz="4" w:space="0" w:color="auto"/>
              <w:right w:val="single" w:sz="4" w:space="0" w:color="auto"/>
            </w:tcBorders>
            <w:shd w:val="clear" w:color="auto" w:fill="D9D9D9"/>
            <w:hideMark/>
          </w:tcPr>
          <w:p w14:paraId="777D007B"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0.044263</w:t>
            </w:r>
          </w:p>
        </w:tc>
      </w:tr>
      <w:tr w:rsidR="00EE7B3A" w:rsidRPr="00EE7B3A" w14:paraId="31E97313" w14:textId="77777777">
        <w:tc>
          <w:tcPr>
            <w:tcW w:w="704" w:type="dxa"/>
            <w:tcBorders>
              <w:top w:val="single" w:sz="4" w:space="0" w:color="auto"/>
              <w:left w:val="single" w:sz="4" w:space="0" w:color="auto"/>
              <w:bottom w:val="single" w:sz="4" w:space="0" w:color="auto"/>
              <w:right w:val="nil"/>
            </w:tcBorders>
            <w:hideMark/>
          </w:tcPr>
          <w:p w14:paraId="36F0D038" w14:textId="77777777" w:rsidR="00EE7B3A" w:rsidRPr="00EE7B3A" w:rsidRDefault="00EE7B3A" w:rsidP="00EE7B3A">
            <w:pPr>
              <w:rPr>
                <w:rFonts w:eastAsia="Calibri" w:cs="Calibri"/>
                <w:sz w:val="28"/>
                <w:szCs w:val="28"/>
              </w:rPr>
            </w:pPr>
            <w:r w:rsidRPr="00EE7B3A">
              <w:rPr>
                <w:rFonts w:eastAsia="Calibri" w:cs="Calibri"/>
                <w:sz w:val="28"/>
                <w:szCs w:val="28"/>
              </w:rPr>
              <w:t>5</w:t>
            </w:r>
          </w:p>
        </w:tc>
        <w:tc>
          <w:tcPr>
            <w:tcW w:w="1903" w:type="dxa"/>
            <w:tcBorders>
              <w:top w:val="single" w:sz="4" w:space="0" w:color="auto"/>
              <w:left w:val="nil"/>
              <w:bottom w:val="single" w:sz="4" w:space="0" w:color="auto"/>
              <w:right w:val="nil"/>
            </w:tcBorders>
            <w:hideMark/>
          </w:tcPr>
          <w:p w14:paraId="4F70CC9C"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instrumentalness</w:t>
            </w:r>
          </w:p>
        </w:tc>
        <w:tc>
          <w:tcPr>
            <w:tcW w:w="1189" w:type="dxa"/>
            <w:tcBorders>
              <w:top w:val="single" w:sz="4" w:space="0" w:color="auto"/>
              <w:left w:val="nil"/>
              <w:bottom w:val="single" w:sz="4" w:space="0" w:color="auto"/>
              <w:right w:val="single" w:sz="4" w:space="0" w:color="auto"/>
            </w:tcBorders>
            <w:hideMark/>
          </w:tcPr>
          <w:p w14:paraId="35665576"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0.040124</w:t>
            </w:r>
          </w:p>
        </w:tc>
      </w:tr>
      <w:tr w:rsidR="00EE7B3A" w:rsidRPr="00EE7B3A" w14:paraId="0F149798" w14:textId="77777777" w:rsidTr="00EE7B3A">
        <w:tc>
          <w:tcPr>
            <w:tcW w:w="704" w:type="dxa"/>
            <w:tcBorders>
              <w:top w:val="single" w:sz="4" w:space="0" w:color="auto"/>
              <w:left w:val="single" w:sz="4" w:space="0" w:color="auto"/>
              <w:bottom w:val="single" w:sz="4" w:space="0" w:color="auto"/>
              <w:right w:val="nil"/>
            </w:tcBorders>
            <w:shd w:val="clear" w:color="auto" w:fill="D9D9D9"/>
            <w:hideMark/>
          </w:tcPr>
          <w:p w14:paraId="63F06642" w14:textId="77777777" w:rsidR="00EE7B3A" w:rsidRPr="00EE7B3A" w:rsidRDefault="00EE7B3A" w:rsidP="00EE7B3A">
            <w:pPr>
              <w:rPr>
                <w:rFonts w:eastAsia="Calibri" w:cs="Calibri"/>
                <w:sz w:val="28"/>
                <w:szCs w:val="28"/>
              </w:rPr>
            </w:pPr>
            <w:r w:rsidRPr="00EE7B3A">
              <w:rPr>
                <w:rFonts w:eastAsia="Calibri" w:cs="Calibri"/>
                <w:sz w:val="28"/>
                <w:szCs w:val="28"/>
              </w:rPr>
              <w:t>6</w:t>
            </w:r>
          </w:p>
        </w:tc>
        <w:tc>
          <w:tcPr>
            <w:tcW w:w="1903" w:type="dxa"/>
            <w:tcBorders>
              <w:top w:val="single" w:sz="4" w:space="0" w:color="auto"/>
              <w:left w:val="nil"/>
              <w:bottom w:val="single" w:sz="4" w:space="0" w:color="auto"/>
              <w:right w:val="nil"/>
            </w:tcBorders>
            <w:shd w:val="clear" w:color="auto" w:fill="D9D9D9"/>
            <w:hideMark/>
          </w:tcPr>
          <w:p w14:paraId="188FE153"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key</w:t>
            </w:r>
          </w:p>
        </w:tc>
        <w:tc>
          <w:tcPr>
            <w:tcW w:w="1189" w:type="dxa"/>
            <w:tcBorders>
              <w:top w:val="single" w:sz="4" w:space="0" w:color="auto"/>
              <w:left w:val="nil"/>
              <w:bottom w:val="single" w:sz="4" w:space="0" w:color="auto"/>
              <w:right w:val="single" w:sz="4" w:space="0" w:color="auto"/>
            </w:tcBorders>
            <w:shd w:val="clear" w:color="auto" w:fill="D9D9D9"/>
            <w:hideMark/>
          </w:tcPr>
          <w:p w14:paraId="62C3DD7B"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0.009148</w:t>
            </w:r>
          </w:p>
        </w:tc>
      </w:tr>
      <w:tr w:rsidR="00EE7B3A" w:rsidRPr="00EE7B3A" w14:paraId="53502C0F" w14:textId="77777777">
        <w:tc>
          <w:tcPr>
            <w:tcW w:w="704" w:type="dxa"/>
            <w:tcBorders>
              <w:top w:val="single" w:sz="4" w:space="0" w:color="auto"/>
              <w:left w:val="single" w:sz="4" w:space="0" w:color="auto"/>
              <w:bottom w:val="single" w:sz="4" w:space="0" w:color="auto"/>
              <w:right w:val="nil"/>
            </w:tcBorders>
            <w:hideMark/>
          </w:tcPr>
          <w:p w14:paraId="240868E1" w14:textId="77777777" w:rsidR="00EE7B3A" w:rsidRPr="00EE7B3A" w:rsidRDefault="00EE7B3A" w:rsidP="00EE7B3A">
            <w:pPr>
              <w:rPr>
                <w:rFonts w:eastAsia="Calibri" w:cs="Calibri"/>
                <w:sz w:val="28"/>
                <w:szCs w:val="28"/>
              </w:rPr>
            </w:pPr>
            <w:r w:rsidRPr="00EE7B3A">
              <w:rPr>
                <w:rFonts w:eastAsia="Calibri" w:cs="Calibri"/>
                <w:sz w:val="28"/>
                <w:szCs w:val="28"/>
              </w:rPr>
              <w:lastRenderedPageBreak/>
              <w:t>7</w:t>
            </w:r>
          </w:p>
        </w:tc>
        <w:tc>
          <w:tcPr>
            <w:tcW w:w="1903" w:type="dxa"/>
            <w:tcBorders>
              <w:top w:val="single" w:sz="4" w:space="0" w:color="auto"/>
              <w:left w:val="nil"/>
              <w:bottom w:val="single" w:sz="4" w:space="0" w:color="auto"/>
              <w:right w:val="nil"/>
            </w:tcBorders>
            <w:hideMark/>
          </w:tcPr>
          <w:p w14:paraId="71AC3E3A"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liveness</w:t>
            </w:r>
          </w:p>
        </w:tc>
        <w:tc>
          <w:tcPr>
            <w:tcW w:w="1189" w:type="dxa"/>
            <w:tcBorders>
              <w:top w:val="single" w:sz="4" w:space="0" w:color="auto"/>
              <w:left w:val="nil"/>
              <w:bottom w:val="single" w:sz="4" w:space="0" w:color="auto"/>
              <w:right w:val="single" w:sz="4" w:space="0" w:color="auto"/>
            </w:tcBorders>
            <w:hideMark/>
          </w:tcPr>
          <w:p w14:paraId="77DC23A3"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0.012618</w:t>
            </w:r>
          </w:p>
        </w:tc>
      </w:tr>
      <w:tr w:rsidR="00EE7B3A" w:rsidRPr="00EE7B3A" w14:paraId="55AB36E5" w14:textId="77777777" w:rsidTr="00EE7B3A">
        <w:tc>
          <w:tcPr>
            <w:tcW w:w="704" w:type="dxa"/>
            <w:tcBorders>
              <w:top w:val="single" w:sz="4" w:space="0" w:color="auto"/>
              <w:left w:val="single" w:sz="4" w:space="0" w:color="auto"/>
              <w:bottom w:val="single" w:sz="4" w:space="0" w:color="auto"/>
              <w:right w:val="nil"/>
            </w:tcBorders>
            <w:shd w:val="clear" w:color="auto" w:fill="D9D9D9"/>
            <w:hideMark/>
          </w:tcPr>
          <w:p w14:paraId="45B7216D" w14:textId="77777777" w:rsidR="00EE7B3A" w:rsidRPr="00EE7B3A" w:rsidRDefault="00EE7B3A" w:rsidP="00EE7B3A">
            <w:pPr>
              <w:rPr>
                <w:rFonts w:eastAsia="Calibri" w:cs="Calibri"/>
                <w:sz w:val="28"/>
                <w:szCs w:val="28"/>
              </w:rPr>
            </w:pPr>
            <w:r w:rsidRPr="00EE7B3A">
              <w:rPr>
                <w:rFonts w:eastAsia="Calibri" w:cs="Calibri"/>
                <w:sz w:val="28"/>
                <w:szCs w:val="28"/>
              </w:rPr>
              <w:t>8</w:t>
            </w:r>
          </w:p>
        </w:tc>
        <w:tc>
          <w:tcPr>
            <w:tcW w:w="1903" w:type="dxa"/>
            <w:tcBorders>
              <w:top w:val="single" w:sz="4" w:space="0" w:color="auto"/>
              <w:left w:val="nil"/>
              <w:bottom w:val="single" w:sz="4" w:space="0" w:color="auto"/>
              <w:right w:val="nil"/>
            </w:tcBorders>
            <w:shd w:val="clear" w:color="auto" w:fill="D9D9D9"/>
            <w:hideMark/>
          </w:tcPr>
          <w:p w14:paraId="1D8A349B"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loudness</w:t>
            </w:r>
          </w:p>
        </w:tc>
        <w:tc>
          <w:tcPr>
            <w:tcW w:w="1189" w:type="dxa"/>
            <w:tcBorders>
              <w:top w:val="single" w:sz="4" w:space="0" w:color="auto"/>
              <w:left w:val="nil"/>
              <w:bottom w:val="single" w:sz="4" w:space="0" w:color="auto"/>
              <w:right w:val="single" w:sz="4" w:space="0" w:color="auto"/>
            </w:tcBorders>
            <w:shd w:val="clear" w:color="auto" w:fill="D9D9D9"/>
            <w:hideMark/>
          </w:tcPr>
          <w:p w14:paraId="5A10E843"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0.064639</w:t>
            </w:r>
          </w:p>
        </w:tc>
      </w:tr>
      <w:tr w:rsidR="00EE7B3A" w:rsidRPr="00EE7B3A" w14:paraId="10723019" w14:textId="77777777">
        <w:tc>
          <w:tcPr>
            <w:tcW w:w="704" w:type="dxa"/>
            <w:tcBorders>
              <w:top w:val="single" w:sz="4" w:space="0" w:color="auto"/>
              <w:left w:val="single" w:sz="4" w:space="0" w:color="auto"/>
              <w:bottom w:val="single" w:sz="4" w:space="0" w:color="auto"/>
              <w:right w:val="nil"/>
            </w:tcBorders>
            <w:hideMark/>
          </w:tcPr>
          <w:p w14:paraId="2465BFE4" w14:textId="77777777" w:rsidR="00EE7B3A" w:rsidRPr="00EE7B3A" w:rsidRDefault="00EE7B3A" w:rsidP="00EE7B3A">
            <w:pPr>
              <w:rPr>
                <w:rFonts w:eastAsia="Calibri" w:cs="Calibri"/>
                <w:sz w:val="28"/>
                <w:szCs w:val="28"/>
              </w:rPr>
            </w:pPr>
            <w:r w:rsidRPr="00EE7B3A">
              <w:rPr>
                <w:rFonts w:eastAsia="Calibri" w:cs="Calibri"/>
                <w:sz w:val="28"/>
                <w:szCs w:val="28"/>
              </w:rPr>
              <w:t>9</w:t>
            </w:r>
          </w:p>
        </w:tc>
        <w:tc>
          <w:tcPr>
            <w:tcW w:w="1903" w:type="dxa"/>
            <w:tcBorders>
              <w:top w:val="single" w:sz="4" w:space="0" w:color="auto"/>
              <w:left w:val="nil"/>
              <w:bottom w:val="single" w:sz="4" w:space="0" w:color="auto"/>
              <w:right w:val="nil"/>
            </w:tcBorders>
            <w:hideMark/>
          </w:tcPr>
          <w:p w14:paraId="6E7F595A"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mode</w:t>
            </w:r>
          </w:p>
        </w:tc>
        <w:tc>
          <w:tcPr>
            <w:tcW w:w="1189" w:type="dxa"/>
            <w:tcBorders>
              <w:top w:val="single" w:sz="4" w:space="0" w:color="auto"/>
              <w:left w:val="nil"/>
              <w:bottom w:val="single" w:sz="4" w:space="0" w:color="auto"/>
              <w:right w:val="single" w:sz="4" w:space="0" w:color="auto"/>
            </w:tcBorders>
            <w:hideMark/>
          </w:tcPr>
          <w:p w14:paraId="2693D57F"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0.010209</w:t>
            </w:r>
          </w:p>
        </w:tc>
      </w:tr>
    </w:tbl>
    <w:p w14:paraId="07ABE316" w14:textId="77777777" w:rsidR="00EE7B3A" w:rsidRPr="00EE7B3A" w:rsidRDefault="00EE7B3A" w:rsidP="00EE7B3A">
      <w:pPr>
        <w:spacing w:after="0" w:line="240" w:lineRule="auto"/>
        <w:rPr>
          <w:rFonts w:ascii="Calibri" w:eastAsia="Calibri" w:hAnsi="Calibri" w:cs="Calibri"/>
          <w:sz w:val="28"/>
          <w:szCs w:val="28"/>
          <w:lang w:val="en-US"/>
        </w:rPr>
      </w:pPr>
    </w:p>
    <w:p w14:paraId="683378B7"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2. Удалим показатели с нулевой важностью и отсортируем данные по значениям:</w:t>
      </w:r>
    </w:p>
    <w:p w14:paraId="19AAE763"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sz w:val="28"/>
          <w:szCs w:val="28"/>
          <w:lang w:val="en-US"/>
        </w:rPr>
        <w:t>for i in feature_importance[‘</w:t>
      </w:r>
      <w:r w:rsidRPr="00EE7B3A">
        <w:rPr>
          <w:rFonts w:ascii="Calibri" w:eastAsia="Calibri" w:hAnsi="Calibri" w:cs="Calibri"/>
          <w:sz w:val="28"/>
          <w:szCs w:val="28"/>
        </w:rPr>
        <w:t>Важность</w:t>
      </w:r>
      <w:r w:rsidRPr="00EE7B3A">
        <w:rPr>
          <w:rFonts w:ascii="Calibri" w:eastAsia="Calibri" w:hAnsi="Calibri" w:cs="Calibri"/>
          <w:sz w:val="28"/>
          <w:szCs w:val="28"/>
          <w:lang w:val="en-US"/>
        </w:rPr>
        <w:t>’]:</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t xml:space="preserve">      if i == 0:</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t xml:space="preserve">          feature_importance[‘</w:t>
      </w:r>
      <w:r w:rsidRPr="00EE7B3A">
        <w:rPr>
          <w:rFonts w:ascii="Calibri" w:eastAsia="Calibri" w:hAnsi="Calibri" w:cs="Calibri"/>
          <w:sz w:val="28"/>
          <w:szCs w:val="28"/>
        </w:rPr>
        <w:t>Важность</w:t>
      </w:r>
      <w:r w:rsidRPr="00EE7B3A">
        <w:rPr>
          <w:rFonts w:ascii="Calibri" w:eastAsia="Calibri" w:hAnsi="Calibri" w:cs="Calibri"/>
          <w:sz w:val="28"/>
          <w:szCs w:val="28"/>
          <w:lang w:val="en-US"/>
        </w:rPr>
        <w:t>’</w:t>
      </w:r>
      <w:proofErr w:type="gramStart"/>
      <w:r w:rsidRPr="00EE7B3A">
        <w:rPr>
          <w:rFonts w:ascii="Calibri" w:eastAsia="Calibri" w:hAnsi="Calibri" w:cs="Calibri"/>
          <w:sz w:val="28"/>
          <w:szCs w:val="28"/>
          <w:lang w:val="en-US"/>
        </w:rPr>
        <w:t>].replace</w:t>
      </w:r>
      <w:proofErr w:type="gramEnd"/>
      <w:r w:rsidRPr="00EE7B3A">
        <w:rPr>
          <w:rFonts w:ascii="Calibri" w:eastAsia="Calibri" w:hAnsi="Calibri" w:cs="Calibri"/>
          <w:sz w:val="28"/>
          <w:szCs w:val="28"/>
          <w:lang w:val="en-US"/>
        </w:rPr>
        <w:t>(i, np.nan, inplace = True)</w:t>
      </w:r>
    </w:p>
    <w:p w14:paraId="4C7B91D0"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feature_</w:t>
      </w:r>
      <w:proofErr w:type="gramStart"/>
      <w:r w:rsidRPr="00EE7B3A">
        <w:rPr>
          <w:rFonts w:ascii="Calibri" w:eastAsia="Calibri" w:hAnsi="Calibri" w:cs="Calibri"/>
          <w:sz w:val="28"/>
          <w:szCs w:val="28"/>
          <w:lang w:val="en-US"/>
        </w:rPr>
        <w:t>importance.dropna</w:t>
      </w:r>
      <w:proofErr w:type="gramEnd"/>
      <w:r w:rsidRPr="00EE7B3A">
        <w:rPr>
          <w:rFonts w:ascii="Calibri" w:eastAsia="Calibri" w:hAnsi="Calibri" w:cs="Calibri"/>
          <w:sz w:val="28"/>
          <w:szCs w:val="28"/>
          <w:lang w:val="en-US"/>
        </w:rPr>
        <w:t>(inplace = True)</w:t>
      </w:r>
    </w:p>
    <w:p w14:paraId="3B95B207"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feature_</w:t>
      </w:r>
      <w:proofErr w:type="gramStart"/>
      <w:r w:rsidRPr="00EE7B3A">
        <w:rPr>
          <w:rFonts w:ascii="Calibri" w:eastAsia="Calibri" w:hAnsi="Calibri" w:cs="Calibri"/>
          <w:sz w:val="28"/>
          <w:szCs w:val="28"/>
          <w:lang w:val="en-US"/>
        </w:rPr>
        <w:t>importance.sort</w:t>
      </w:r>
      <w:proofErr w:type="gramEnd"/>
      <w:r w:rsidRPr="00EE7B3A">
        <w:rPr>
          <w:rFonts w:ascii="Calibri" w:eastAsia="Calibri" w:hAnsi="Calibri" w:cs="Calibri"/>
          <w:sz w:val="28"/>
          <w:szCs w:val="28"/>
          <w:lang w:val="en-US"/>
        </w:rPr>
        <w:t>_values(by = [‘</w:t>
      </w:r>
      <w:r w:rsidRPr="00EE7B3A">
        <w:rPr>
          <w:rFonts w:ascii="Calibri" w:eastAsia="Calibri" w:hAnsi="Calibri" w:cs="Calibri"/>
          <w:sz w:val="28"/>
          <w:szCs w:val="28"/>
        </w:rPr>
        <w:t>Важность</w:t>
      </w:r>
      <w:r w:rsidRPr="00EE7B3A">
        <w:rPr>
          <w:rFonts w:ascii="Calibri" w:eastAsia="Calibri" w:hAnsi="Calibri" w:cs="Calibri"/>
          <w:sz w:val="28"/>
          <w:szCs w:val="28"/>
          <w:lang w:val="en-US"/>
        </w:rPr>
        <w:t>’], ascending = False, inplace = True)</w:t>
      </w:r>
    </w:p>
    <w:p w14:paraId="78DB8BBC"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print(feature_</w:t>
      </w:r>
      <w:proofErr w:type="gramStart"/>
      <w:r w:rsidRPr="00EE7B3A">
        <w:rPr>
          <w:rFonts w:ascii="Calibri" w:eastAsia="Calibri" w:hAnsi="Calibri" w:cs="Calibri"/>
          <w:sz w:val="28"/>
          <w:szCs w:val="28"/>
          <w:lang w:val="en-US"/>
        </w:rPr>
        <w:t>importance.shape</w:t>
      </w:r>
      <w:proofErr w:type="gramEnd"/>
      <w:r w:rsidRPr="00EE7B3A">
        <w:rPr>
          <w:rFonts w:ascii="Calibri" w:eastAsia="Calibri" w:hAnsi="Calibri" w:cs="Calibri"/>
          <w:sz w:val="28"/>
          <w:szCs w:val="28"/>
          <w:lang w:val="en-US"/>
        </w:rPr>
        <w:t>)</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t>feature importance</w:t>
      </w:r>
    </w:p>
    <w:p w14:paraId="198C994B"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41E19E99"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(25, 2)</w:t>
      </w:r>
    </w:p>
    <w:tbl>
      <w:tblPr>
        <w:tblStyle w:val="140"/>
        <w:tblW w:w="0" w:type="auto"/>
        <w:tblInd w:w="704" w:type="dxa"/>
        <w:tblLook w:val="04A0" w:firstRow="1" w:lastRow="0" w:firstColumn="1" w:lastColumn="0" w:noHBand="0" w:noVBand="1"/>
      </w:tblPr>
      <w:tblGrid>
        <w:gridCol w:w="500"/>
        <w:gridCol w:w="2047"/>
        <w:gridCol w:w="1189"/>
      </w:tblGrid>
      <w:tr w:rsidR="00EE7B3A" w:rsidRPr="00EE7B3A" w14:paraId="2A77383E" w14:textId="77777777">
        <w:tc>
          <w:tcPr>
            <w:tcW w:w="500" w:type="dxa"/>
            <w:tcBorders>
              <w:top w:val="nil"/>
              <w:left w:val="nil"/>
              <w:bottom w:val="single" w:sz="4" w:space="0" w:color="auto"/>
              <w:right w:val="nil"/>
            </w:tcBorders>
          </w:tcPr>
          <w:p w14:paraId="078E30F2" w14:textId="77777777" w:rsidR="00EE7B3A" w:rsidRPr="00EE7B3A" w:rsidRDefault="00EE7B3A" w:rsidP="00EE7B3A">
            <w:pPr>
              <w:rPr>
                <w:rFonts w:eastAsia="Calibri" w:cs="Calibri"/>
                <w:sz w:val="28"/>
                <w:szCs w:val="28"/>
              </w:rPr>
            </w:pPr>
          </w:p>
        </w:tc>
        <w:tc>
          <w:tcPr>
            <w:tcW w:w="2047" w:type="dxa"/>
            <w:tcBorders>
              <w:top w:val="nil"/>
              <w:left w:val="nil"/>
              <w:bottom w:val="single" w:sz="4" w:space="0" w:color="auto"/>
              <w:right w:val="nil"/>
            </w:tcBorders>
            <w:vAlign w:val="center"/>
            <w:hideMark/>
          </w:tcPr>
          <w:p w14:paraId="74F873D3" w14:textId="77777777" w:rsidR="00EE7B3A" w:rsidRPr="00EE7B3A" w:rsidRDefault="00EE7B3A" w:rsidP="00EE7B3A">
            <w:pPr>
              <w:jc w:val="right"/>
              <w:rPr>
                <w:rFonts w:eastAsia="Calibri" w:cs="Calibri"/>
                <w:sz w:val="24"/>
                <w:szCs w:val="28"/>
              </w:rPr>
            </w:pPr>
            <w:r w:rsidRPr="00EE7B3A">
              <w:rPr>
                <w:rFonts w:eastAsia="Calibri" w:cs="Calibri"/>
                <w:sz w:val="24"/>
                <w:szCs w:val="28"/>
              </w:rPr>
              <w:t>Показатели</w:t>
            </w:r>
          </w:p>
        </w:tc>
        <w:tc>
          <w:tcPr>
            <w:tcW w:w="1189" w:type="dxa"/>
            <w:tcBorders>
              <w:top w:val="nil"/>
              <w:left w:val="nil"/>
              <w:bottom w:val="single" w:sz="4" w:space="0" w:color="auto"/>
              <w:right w:val="nil"/>
            </w:tcBorders>
            <w:vAlign w:val="center"/>
            <w:hideMark/>
          </w:tcPr>
          <w:p w14:paraId="7A806387" w14:textId="77777777" w:rsidR="00EE7B3A" w:rsidRPr="00EE7B3A" w:rsidRDefault="00EE7B3A" w:rsidP="00EE7B3A">
            <w:pPr>
              <w:jc w:val="right"/>
              <w:rPr>
                <w:rFonts w:eastAsia="Calibri" w:cs="Calibri"/>
                <w:sz w:val="24"/>
                <w:szCs w:val="28"/>
              </w:rPr>
            </w:pPr>
            <w:r w:rsidRPr="00EE7B3A">
              <w:rPr>
                <w:rFonts w:eastAsia="Calibri" w:cs="Calibri"/>
                <w:sz w:val="24"/>
                <w:szCs w:val="28"/>
              </w:rPr>
              <w:t>Важность</w:t>
            </w:r>
          </w:p>
        </w:tc>
      </w:tr>
      <w:tr w:rsidR="00EE7B3A" w:rsidRPr="00EE7B3A" w14:paraId="25CB4ADB"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3AB5624A" w14:textId="77777777" w:rsidR="00EE7B3A" w:rsidRPr="00EE7B3A" w:rsidRDefault="00EE7B3A" w:rsidP="00EE7B3A">
            <w:pPr>
              <w:rPr>
                <w:rFonts w:eastAsia="Calibri" w:cs="Calibri"/>
                <w:sz w:val="28"/>
                <w:szCs w:val="28"/>
              </w:rPr>
            </w:pPr>
            <w:r w:rsidRPr="00EE7B3A">
              <w:rPr>
                <w:rFonts w:eastAsia="Calibri" w:cs="Calibri"/>
                <w:sz w:val="28"/>
                <w:szCs w:val="28"/>
              </w:rPr>
              <w:t>23</w:t>
            </w:r>
          </w:p>
        </w:tc>
        <w:tc>
          <w:tcPr>
            <w:tcW w:w="2047" w:type="dxa"/>
            <w:tcBorders>
              <w:top w:val="single" w:sz="4" w:space="0" w:color="auto"/>
              <w:left w:val="nil"/>
              <w:bottom w:val="single" w:sz="4" w:space="0" w:color="auto"/>
              <w:right w:val="nil"/>
            </w:tcBorders>
            <w:shd w:val="clear" w:color="auto" w:fill="D9D9D9"/>
            <w:hideMark/>
          </w:tcPr>
          <w:p w14:paraId="5B887A76"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year_2010s</w:t>
            </w:r>
          </w:p>
        </w:tc>
        <w:tc>
          <w:tcPr>
            <w:tcW w:w="1189" w:type="dxa"/>
            <w:tcBorders>
              <w:top w:val="single" w:sz="4" w:space="0" w:color="auto"/>
              <w:left w:val="nil"/>
              <w:bottom w:val="single" w:sz="4" w:space="0" w:color="auto"/>
              <w:right w:val="single" w:sz="4" w:space="0" w:color="auto"/>
            </w:tcBorders>
            <w:shd w:val="clear" w:color="auto" w:fill="D9D9D9"/>
            <w:hideMark/>
          </w:tcPr>
          <w:p w14:paraId="1DCEE8F2"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0.223739</w:t>
            </w:r>
          </w:p>
        </w:tc>
      </w:tr>
      <w:tr w:rsidR="00EE7B3A" w:rsidRPr="00EE7B3A" w14:paraId="366519CC" w14:textId="77777777">
        <w:tc>
          <w:tcPr>
            <w:tcW w:w="500" w:type="dxa"/>
            <w:tcBorders>
              <w:top w:val="single" w:sz="4" w:space="0" w:color="auto"/>
              <w:left w:val="single" w:sz="4" w:space="0" w:color="auto"/>
              <w:bottom w:val="single" w:sz="4" w:space="0" w:color="auto"/>
              <w:right w:val="nil"/>
            </w:tcBorders>
            <w:hideMark/>
          </w:tcPr>
          <w:p w14:paraId="03037D38" w14:textId="77777777" w:rsidR="00EE7B3A" w:rsidRPr="00EE7B3A" w:rsidRDefault="00EE7B3A" w:rsidP="00EE7B3A">
            <w:pPr>
              <w:rPr>
                <w:rFonts w:eastAsia="Calibri" w:cs="Calibri"/>
                <w:sz w:val="28"/>
                <w:szCs w:val="28"/>
              </w:rPr>
            </w:pPr>
            <w:r w:rsidRPr="00EE7B3A">
              <w:rPr>
                <w:rFonts w:eastAsia="Calibri" w:cs="Calibri"/>
                <w:sz w:val="28"/>
                <w:szCs w:val="28"/>
              </w:rPr>
              <w:t>24</w:t>
            </w:r>
          </w:p>
        </w:tc>
        <w:tc>
          <w:tcPr>
            <w:tcW w:w="2047" w:type="dxa"/>
            <w:tcBorders>
              <w:top w:val="single" w:sz="4" w:space="0" w:color="auto"/>
              <w:left w:val="nil"/>
              <w:bottom w:val="single" w:sz="4" w:space="0" w:color="auto"/>
              <w:right w:val="nil"/>
            </w:tcBorders>
            <w:hideMark/>
          </w:tcPr>
          <w:p w14:paraId="37E76FA9"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year_2020s</w:t>
            </w:r>
          </w:p>
        </w:tc>
        <w:tc>
          <w:tcPr>
            <w:tcW w:w="1189" w:type="dxa"/>
            <w:tcBorders>
              <w:top w:val="single" w:sz="4" w:space="0" w:color="auto"/>
              <w:left w:val="nil"/>
              <w:bottom w:val="single" w:sz="4" w:space="0" w:color="auto"/>
              <w:right w:val="single" w:sz="4" w:space="0" w:color="auto"/>
            </w:tcBorders>
            <w:hideMark/>
          </w:tcPr>
          <w:p w14:paraId="44B38794"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0.124416</w:t>
            </w:r>
          </w:p>
        </w:tc>
      </w:tr>
      <w:tr w:rsidR="00EE7B3A" w:rsidRPr="00EE7B3A" w14:paraId="58859FAA"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5F9B8990" w14:textId="77777777" w:rsidR="00EE7B3A" w:rsidRPr="00EE7B3A" w:rsidRDefault="00EE7B3A" w:rsidP="00EE7B3A">
            <w:pPr>
              <w:rPr>
                <w:rFonts w:eastAsia="Calibri" w:cs="Calibri"/>
                <w:sz w:val="28"/>
                <w:szCs w:val="28"/>
              </w:rPr>
            </w:pPr>
            <w:r w:rsidRPr="00EE7B3A">
              <w:rPr>
                <w:rFonts w:eastAsia="Calibri" w:cs="Calibri"/>
                <w:sz w:val="28"/>
                <w:szCs w:val="28"/>
              </w:rPr>
              <w:t>22</w:t>
            </w:r>
          </w:p>
        </w:tc>
        <w:tc>
          <w:tcPr>
            <w:tcW w:w="2047" w:type="dxa"/>
            <w:tcBorders>
              <w:top w:val="single" w:sz="4" w:space="0" w:color="auto"/>
              <w:left w:val="nil"/>
              <w:bottom w:val="single" w:sz="4" w:space="0" w:color="auto"/>
              <w:right w:val="nil"/>
            </w:tcBorders>
            <w:shd w:val="clear" w:color="auto" w:fill="D9D9D9"/>
            <w:hideMark/>
          </w:tcPr>
          <w:p w14:paraId="6CF94D13"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year_2000s</w:t>
            </w:r>
          </w:p>
        </w:tc>
        <w:tc>
          <w:tcPr>
            <w:tcW w:w="1189" w:type="dxa"/>
            <w:tcBorders>
              <w:top w:val="single" w:sz="4" w:space="0" w:color="auto"/>
              <w:left w:val="nil"/>
              <w:bottom w:val="single" w:sz="4" w:space="0" w:color="auto"/>
              <w:right w:val="single" w:sz="4" w:space="0" w:color="auto"/>
            </w:tcBorders>
            <w:shd w:val="clear" w:color="auto" w:fill="D9D9D9"/>
            <w:hideMark/>
          </w:tcPr>
          <w:p w14:paraId="330EC418"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0.096567</w:t>
            </w:r>
          </w:p>
        </w:tc>
      </w:tr>
      <w:tr w:rsidR="00EE7B3A" w:rsidRPr="00EE7B3A" w14:paraId="4B076C7F" w14:textId="77777777">
        <w:tc>
          <w:tcPr>
            <w:tcW w:w="500" w:type="dxa"/>
            <w:tcBorders>
              <w:top w:val="single" w:sz="4" w:space="0" w:color="auto"/>
              <w:left w:val="single" w:sz="4" w:space="0" w:color="auto"/>
              <w:bottom w:val="single" w:sz="4" w:space="0" w:color="auto"/>
              <w:right w:val="nil"/>
            </w:tcBorders>
            <w:hideMark/>
          </w:tcPr>
          <w:p w14:paraId="194B1986" w14:textId="77777777" w:rsidR="00EE7B3A" w:rsidRPr="00EE7B3A" w:rsidRDefault="00EE7B3A" w:rsidP="00EE7B3A">
            <w:pPr>
              <w:rPr>
                <w:rFonts w:eastAsia="Calibri" w:cs="Calibri"/>
                <w:sz w:val="28"/>
                <w:szCs w:val="28"/>
              </w:rPr>
            </w:pPr>
            <w:r w:rsidRPr="00EE7B3A">
              <w:rPr>
                <w:rFonts w:eastAsia="Calibri" w:cs="Calibri"/>
                <w:sz w:val="28"/>
                <w:szCs w:val="28"/>
              </w:rPr>
              <w:t>8</w:t>
            </w:r>
          </w:p>
        </w:tc>
        <w:tc>
          <w:tcPr>
            <w:tcW w:w="2047" w:type="dxa"/>
            <w:tcBorders>
              <w:top w:val="single" w:sz="4" w:space="0" w:color="auto"/>
              <w:left w:val="nil"/>
              <w:bottom w:val="single" w:sz="4" w:space="0" w:color="auto"/>
              <w:right w:val="nil"/>
            </w:tcBorders>
            <w:hideMark/>
          </w:tcPr>
          <w:p w14:paraId="711ED835"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loudness</w:t>
            </w:r>
          </w:p>
        </w:tc>
        <w:tc>
          <w:tcPr>
            <w:tcW w:w="1189" w:type="dxa"/>
            <w:tcBorders>
              <w:top w:val="single" w:sz="4" w:space="0" w:color="auto"/>
              <w:left w:val="nil"/>
              <w:bottom w:val="single" w:sz="4" w:space="0" w:color="auto"/>
              <w:right w:val="single" w:sz="4" w:space="0" w:color="auto"/>
            </w:tcBorders>
            <w:hideMark/>
          </w:tcPr>
          <w:p w14:paraId="475961BD"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0.064639</w:t>
            </w:r>
          </w:p>
        </w:tc>
      </w:tr>
      <w:tr w:rsidR="00EE7B3A" w:rsidRPr="00EE7B3A" w14:paraId="55F876D4"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76DA1FFF" w14:textId="77777777" w:rsidR="00EE7B3A" w:rsidRPr="00EE7B3A" w:rsidRDefault="00EE7B3A" w:rsidP="00EE7B3A">
            <w:pPr>
              <w:rPr>
                <w:rFonts w:eastAsia="Calibri" w:cs="Calibri"/>
                <w:sz w:val="28"/>
                <w:szCs w:val="28"/>
              </w:rPr>
            </w:pPr>
            <w:r w:rsidRPr="00EE7B3A">
              <w:rPr>
                <w:rFonts w:eastAsia="Calibri" w:cs="Calibri"/>
                <w:sz w:val="28"/>
                <w:szCs w:val="28"/>
              </w:rPr>
              <w:t>17</w:t>
            </w:r>
          </w:p>
        </w:tc>
        <w:tc>
          <w:tcPr>
            <w:tcW w:w="2047" w:type="dxa"/>
            <w:tcBorders>
              <w:top w:val="single" w:sz="4" w:space="0" w:color="auto"/>
              <w:left w:val="nil"/>
              <w:bottom w:val="single" w:sz="4" w:space="0" w:color="auto"/>
              <w:right w:val="nil"/>
            </w:tcBorders>
            <w:shd w:val="clear" w:color="auto" w:fill="D9D9D9"/>
            <w:hideMark/>
          </w:tcPr>
          <w:p w14:paraId="290A6E01"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year_1950s</w:t>
            </w:r>
          </w:p>
        </w:tc>
        <w:tc>
          <w:tcPr>
            <w:tcW w:w="1189" w:type="dxa"/>
            <w:tcBorders>
              <w:top w:val="single" w:sz="4" w:space="0" w:color="auto"/>
              <w:left w:val="nil"/>
              <w:bottom w:val="single" w:sz="4" w:space="0" w:color="auto"/>
              <w:right w:val="single" w:sz="4" w:space="0" w:color="auto"/>
            </w:tcBorders>
            <w:shd w:val="clear" w:color="auto" w:fill="D9D9D9"/>
            <w:hideMark/>
          </w:tcPr>
          <w:p w14:paraId="102AD34A"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0.053397</w:t>
            </w:r>
          </w:p>
        </w:tc>
      </w:tr>
      <w:tr w:rsidR="00EE7B3A" w:rsidRPr="00EE7B3A" w14:paraId="232248BF" w14:textId="77777777">
        <w:tc>
          <w:tcPr>
            <w:tcW w:w="500" w:type="dxa"/>
            <w:tcBorders>
              <w:top w:val="single" w:sz="4" w:space="0" w:color="auto"/>
              <w:left w:val="single" w:sz="4" w:space="0" w:color="auto"/>
              <w:bottom w:val="single" w:sz="4" w:space="0" w:color="auto"/>
              <w:right w:val="nil"/>
            </w:tcBorders>
            <w:hideMark/>
          </w:tcPr>
          <w:p w14:paraId="37F37EA7" w14:textId="77777777" w:rsidR="00EE7B3A" w:rsidRPr="00EE7B3A" w:rsidRDefault="00EE7B3A" w:rsidP="00EE7B3A">
            <w:pPr>
              <w:rPr>
                <w:rFonts w:eastAsia="Calibri" w:cs="Calibri"/>
                <w:sz w:val="28"/>
                <w:szCs w:val="28"/>
              </w:rPr>
            </w:pPr>
            <w:r w:rsidRPr="00EE7B3A">
              <w:rPr>
                <w:rFonts w:eastAsia="Calibri" w:cs="Calibri"/>
                <w:sz w:val="28"/>
                <w:szCs w:val="28"/>
              </w:rPr>
              <w:t>16</w:t>
            </w:r>
          </w:p>
        </w:tc>
        <w:tc>
          <w:tcPr>
            <w:tcW w:w="2047" w:type="dxa"/>
            <w:tcBorders>
              <w:top w:val="single" w:sz="4" w:space="0" w:color="auto"/>
              <w:left w:val="nil"/>
              <w:bottom w:val="single" w:sz="4" w:space="0" w:color="auto"/>
              <w:right w:val="nil"/>
            </w:tcBorders>
            <w:hideMark/>
          </w:tcPr>
          <w:p w14:paraId="134EAC21"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year_1940s</w:t>
            </w:r>
          </w:p>
        </w:tc>
        <w:tc>
          <w:tcPr>
            <w:tcW w:w="1189" w:type="dxa"/>
            <w:tcBorders>
              <w:top w:val="single" w:sz="4" w:space="0" w:color="auto"/>
              <w:left w:val="nil"/>
              <w:bottom w:val="single" w:sz="4" w:space="0" w:color="auto"/>
              <w:right w:val="single" w:sz="4" w:space="0" w:color="auto"/>
            </w:tcBorders>
            <w:hideMark/>
          </w:tcPr>
          <w:p w14:paraId="4C2E3133"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0.052546</w:t>
            </w:r>
          </w:p>
        </w:tc>
      </w:tr>
      <w:tr w:rsidR="00EE7B3A" w:rsidRPr="00EE7B3A" w14:paraId="1E6EF645"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754D8B58" w14:textId="77777777" w:rsidR="00EE7B3A" w:rsidRPr="00EE7B3A" w:rsidRDefault="00EE7B3A" w:rsidP="00EE7B3A">
            <w:pPr>
              <w:rPr>
                <w:rFonts w:eastAsia="Calibri" w:cs="Calibri"/>
                <w:sz w:val="28"/>
                <w:szCs w:val="28"/>
              </w:rPr>
            </w:pPr>
            <w:r w:rsidRPr="00EE7B3A">
              <w:rPr>
                <w:rFonts w:eastAsia="Calibri" w:cs="Calibri"/>
                <w:sz w:val="28"/>
                <w:szCs w:val="28"/>
              </w:rPr>
              <w:t>15</w:t>
            </w:r>
          </w:p>
        </w:tc>
        <w:tc>
          <w:tcPr>
            <w:tcW w:w="2047" w:type="dxa"/>
            <w:tcBorders>
              <w:top w:val="single" w:sz="4" w:space="0" w:color="auto"/>
              <w:left w:val="nil"/>
              <w:bottom w:val="single" w:sz="4" w:space="0" w:color="auto"/>
              <w:right w:val="nil"/>
            </w:tcBorders>
            <w:shd w:val="clear" w:color="auto" w:fill="D9D9D9"/>
            <w:hideMark/>
          </w:tcPr>
          <w:p w14:paraId="3AE7A582"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year_1930s</w:t>
            </w:r>
          </w:p>
        </w:tc>
        <w:tc>
          <w:tcPr>
            <w:tcW w:w="1189" w:type="dxa"/>
            <w:tcBorders>
              <w:top w:val="single" w:sz="4" w:space="0" w:color="auto"/>
              <w:left w:val="nil"/>
              <w:bottom w:val="single" w:sz="4" w:space="0" w:color="auto"/>
              <w:right w:val="single" w:sz="4" w:space="0" w:color="auto"/>
            </w:tcBorders>
            <w:shd w:val="clear" w:color="auto" w:fill="D9D9D9"/>
            <w:hideMark/>
          </w:tcPr>
          <w:p w14:paraId="63C52D7D"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0.047478</w:t>
            </w:r>
          </w:p>
        </w:tc>
      </w:tr>
      <w:tr w:rsidR="00EE7B3A" w:rsidRPr="00EE7B3A" w14:paraId="47FA956E" w14:textId="77777777">
        <w:tc>
          <w:tcPr>
            <w:tcW w:w="500" w:type="dxa"/>
            <w:tcBorders>
              <w:top w:val="single" w:sz="4" w:space="0" w:color="auto"/>
              <w:left w:val="single" w:sz="4" w:space="0" w:color="auto"/>
              <w:bottom w:val="single" w:sz="4" w:space="0" w:color="auto"/>
              <w:right w:val="nil"/>
            </w:tcBorders>
            <w:hideMark/>
          </w:tcPr>
          <w:p w14:paraId="21EA7116" w14:textId="77777777" w:rsidR="00EE7B3A" w:rsidRPr="00EE7B3A" w:rsidRDefault="00EE7B3A" w:rsidP="00EE7B3A">
            <w:pPr>
              <w:rPr>
                <w:rFonts w:eastAsia="Calibri" w:cs="Calibri"/>
                <w:sz w:val="28"/>
                <w:szCs w:val="28"/>
              </w:rPr>
            </w:pPr>
            <w:r w:rsidRPr="00EE7B3A">
              <w:rPr>
                <w:rFonts w:eastAsia="Calibri" w:cs="Calibri"/>
                <w:sz w:val="28"/>
                <w:szCs w:val="28"/>
              </w:rPr>
              <w:t>4</w:t>
            </w:r>
          </w:p>
        </w:tc>
        <w:tc>
          <w:tcPr>
            <w:tcW w:w="2047" w:type="dxa"/>
            <w:tcBorders>
              <w:top w:val="single" w:sz="4" w:space="0" w:color="auto"/>
              <w:left w:val="nil"/>
              <w:bottom w:val="single" w:sz="4" w:space="0" w:color="auto"/>
              <w:right w:val="nil"/>
            </w:tcBorders>
            <w:hideMark/>
          </w:tcPr>
          <w:p w14:paraId="3A011F6D"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explicit</w:t>
            </w:r>
          </w:p>
        </w:tc>
        <w:tc>
          <w:tcPr>
            <w:tcW w:w="1189" w:type="dxa"/>
            <w:tcBorders>
              <w:top w:val="single" w:sz="4" w:space="0" w:color="auto"/>
              <w:left w:val="nil"/>
              <w:bottom w:val="single" w:sz="4" w:space="0" w:color="auto"/>
              <w:right w:val="single" w:sz="4" w:space="0" w:color="auto"/>
            </w:tcBorders>
            <w:hideMark/>
          </w:tcPr>
          <w:p w14:paraId="581F688C"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0.044263</w:t>
            </w:r>
          </w:p>
        </w:tc>
      </w:tr>
      <w:tr w:rsidR="00EE7B3A" w:rsidRPr="00EE7B3A" w14:paraId="6DE8A71D"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73437D3E" w14:textId="77777777" w:rsidR="00EE7B3A" w:rsidRPr="00EE7B3A" w:rsidRDefault="00EE7B3A" w:rsidP="00EE7B3A">
            <w:pPr>
              <w:rPr>
                <w:rFonts w:eastAsia="Calibri" w:cs="Calibri"/>
                <w:sz w:val="28"/>
                <w:szCs w:val="28"/>
              </w:rPr>
            </w:pPr>
            <w:r w:rsidRPr="00EE7B3A">
              <w:rPr>
                <w:rFonts w:eastAsia="Calibri" w:cs="Calibri"/>
                <w:sz w:val="28"/>
                <w:szCs w:val="28"/>
              </w:rPr>
              <w:t>5</w:t>
            </w:r>
          </w:p>
        </w:tc>
        <w:tc>
          <w:tcPr>
            <w:tcW w:w="2047" w:type="dxa"/>
            <w:tcBorders>
              <w:top w:val="single" w:sz="4" w:space="0" w:color="auto"/>
              <w:left w:val="nil"/>
              <w:bottom w:val="single" w:sz="4" w:space="0" w:color="auto"/>
              <w:right w:val="nil"/>
            </w:tcBorders>
            <w:shd w:val="clear" w:color="auto" w:fill="D9D9D9"/>
            <w:hideMark/>
          </w:tcPr>
          <w:p w14:paraId="7F289D05"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instrumentalness</w:t>
            </w:r>
          </w:p>
        </w:tc>
        <w:tc>
          <w:tcPr>
            <w:tcW w:w="1189" w:type="dxa"/>
            <w:tcBorders>
              <w:top w:val="single" w:sz="4" w:space="0" w:color="auto"/>
              <w:left w:val="nil"/>
              <w:bottom w:val="single" w:sz="4" w:space="0" w:color="auto"/>
              <w:right w:val="single" w:sz="4" w:space="0" w:color="auto"/>
            </w:tcBorders>
            <w:shd w:val="clear" w:color="auto" w:fill="D9D9D9"/>
            <w:hideMark/>
          </w:tcPr>
          <w:p w14:paraId="541CBF6D"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0.040124</w:t>
            </w:r>
          </w:p>
        </w:tc>
      </w:tr>
      <w:tr w:rsidR="00EE7B3A" w:rsidRPr="00EE7B3A" w14:paraId="7613F1C2" w14:textId="77777777">
        <w:tc>
          <w:tcPr>
            <w:tcW w:w="500" w:type="dxa"/>
            <w:tcBorders>
              <w:top w:val="single" w:sz="4" w:space="0" w:color="auto"/>
              <w:left w:val="single" w:sz="4" w:space="0" w:color="auto"/>
              <w:bottom w:val="single" w:sz="4" w:space="0" w:color="auto"/>
              <w:right w:val="nil"/>
            </w:tcBorders>
            <w:hideMark/>
          </w:tcPr>
          <w:p w14:paraId="116000AB" w14:textId="77777777" w:rsidR="00EE7B3A" w:rsidRPr="00EE7B3A" w:rsidRDefault="00EE7B3A" w:rsidP="00EE7B3A">
            <w:pPr>
              <w:rPr>
                <w:rFonts w:eastAsia="Calibri" w:cs="Calibri"/>
                <w:sz w:val="28"/>
                <w:szCs w:val="28"/>
              </w:rPr>
            </w:pPr>
            <w:r w:rsidRPr="00EE7B3A">
              <w:rPr>
                <w:rFonts w:eastAsia="Calibri" w:cs="Calibri"/>
                <w:sz w:val="28"/>
                <w:szCs w:val="28"/>
              </w:rPr>
              <w:t>0</w:t>
            </w:r>
          </w:p>
        </w:tc>
        <w:tc>
          <w:tcPr>
            <w:tcW w:w="2047" w:type="dxa"/>
            <w:tcBorders>
              <w:top w:val="single" w:sz="4" w:space="0" w:color="auto"/>
              <w:left w:val="nil"/>
              <w:bottom w:val="single" w:sz="4" w:space="0" w:color="auto"/>
              <w:right w:val="nil"/>
            </w:tcBorders>
            <w:hideMark/>
          </w:tcPr>
          <w:p w14:paraId="2B0660C9"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acousticness</w:t>
            </w:r>
          </w:p>
        </w:tc>
        <w:tc>
          <w:tcPr>
            <w:tcW w:w="1189" w:type="dxa"/>
            <w:tcBorders>
              <w:top w:val="single" w:sz="4" w:space="0" w:color="auto"/>
              <w:left w:val="nil"/>
              <w:bottom w:val="single" w:sz="4" w:space="0" w:color="auto"/>
              <w:right w:val="single" w:sz="4" w:space="0" w:color="auto"/>
            </w:tcBorders>
            <w:hideMark/>
          </w:tcPr>
          <w:p w14:paraId="2EBBCF7E"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0.025678</w:t>
            </w:r>
          </w:p>
        </w:tc>
      </w:tr>
      <w:tr w:rsidR="00EE7B3A" w:rsidRPr="00EE7B3A" w14:paraId="7C217D50"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762E8946" w14:textId="77777777" w:rsidR="00EE7B3A" w:rsidRPr="00EE7B3A" w:rsidRDefault="00EE7B3A" w:rsidP="00EE7B3A">
            <w:pPr>
              <w:rPr>
                <w:rFonts w:eastAsia="Calibri" w:cs="Calibri"/>
                <w:sz w:val="28"/>
                <w:szCs w:val="28"/>
              </w:rPr>
            </w:pPr>
            <w:r w:rsidRPr="00EE7B3A">
              <w:rPr>
                <w:rFonts w:eastAsia="Calibri" w:cs="Calibri"/>
                <w:sz w:val="28"/>
                <w:szCs w:val="28"/>
              </w:rPr>
              <w:t>13</w:t>
            </w:r>
          </w:p>
        </w:tc>
        <w:tc>
          <w:tcPr>
            <w:tcW w:w="2047" w:type="dxa"/>
            <w:tcBorders>
              <w:top w:val="single" w:sz="4" w:space="0" w:color="auto"/>
              <w:left w:val="nil"/>
              <w:bottom w:val="single" w:sz="4" w:space="0" w:color="auto"/>
              <w:right w:val="nil"/>
            </w:tcBorders>
            <w:shd w:val="clear" w:color="auto" w:fill="D9D9D9"/>
            <w:hideMark/>
          </w:tcPr>
          <w:p w14:paraId="72552E8C"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month</w:t>
            </w:r>
          </w:p>
        </w:tc>
        <w:tc>
          <w:tcPr>
            <w:tcW w:w="1189" w:type="dxa"/>
            <w:tcBorders>
              <w:top w:val="single" w:sz="4" w:space="0" w:color="auto"/>
              <w:left w:val="nil"/>
              <w:bottom w:val="single" w:sz="4" w:space="0" w:color="auto"/>
              <w:right w:val="single" w:sz="4" w:space="0" w:color="auto"/>
            </w:tcBorders>
            <w:shd w:val="clear" w:color="auto" w:fill="D9D9D9"/>
            <w:hideMark/>
          </w:tcPr>
          <w:p w14:paraId="48E7B542"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0.025410</w:t>
            </w:r>
          </w:p>
        </w:tc>
      </w:tr>
      <w:tr w:rsidR="00EE7B3A" w:rsidRPr="00EE7B3A" w14:paraId="244EEEBB" w14:textId="77777777">
        <w:tc>
          <w:tcPr>
            <w:tcW w:w="500" w:type="dxa"/>
            <w:tcBorders>
              <w:top w:val="single" w:sz="4" w:space="0" w:color="auto"/>
              <w:left w:val="single" w:sz="4" w:space="0" w:color="auto"/>
              <w:bottom w:val="single" w:sz="4" w:space="0" w:color="auto"/>
              <w:right w:val="nil"/>
            </w:tcBorders>
            <w:hideMark/>
          </w:tcPr>
          <w:p w14:paraId="2BD16C30" w14:textId="77777777" w:rsidR="00EE7B3A" w:rsidRPr="00EE7B3A" w:rsidRDefault="00EE7B3A" w:rsidP="00EE7B3A">
            <w:pPr>
              <w:rPr>
                <w:rFonts w:eastAsia="Calibri" w:cs="Calibri"/>
                <w:sz w:val="28"/>
                <w:szCs w:val="28"/>
              </w:rPr>
            </w:pPr>
            <w:r w:rsidRPr="00EE7B3A">
              <w:rPr>
                <w:rFonts w:eastAsia="Calibri" w:cs="Calibri"/>
                <w:sz w:val="28"/>
                <w:szCs w:val="28"/>
              </w:rPr>
              <w:t>14</w:t>
            </w:r>
          </w:p>
        </w:tc>
        <w:tc>
          <w:tcPr>
            <w:tcW w:w="2047" w:type="dxa"/>
            <w:tcBorders>
              <w:top w:val="single" w:sz="4" w:space="0" w:color="auto"/>
              <w:left w:val="nil"/>
              <w:bottom w:val="single" w:sz="4" w:space="0" w:color="auto"/>
              <w:right w:val="nil"/>
            </w:tcBorders>
            <w:hideMark/>
          </w:tcPr>
          <w:p w14:paraId="1C302650"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year_1920s</w:t>
            </w:r>
          </w:p>
        </w:tc>
        <w:tc>
          <w:tcPr>
            <w:tcW w:w="1189" w:type="dxa"/>
            <w:tcBorders>
              <w:top w:val="single" w:sz="4" w:space="0" w:color="auto"/>
              <w:left w:val="nil"/>
              <w:bottom w:val="single" w:sz="4" w:space="0" w:color="auto"/>
              <w:right w:val="single" w:sz="4" w:space="0" w:color="auto"/>
            </w:tcBorders>
            <w:hideMark/>
          </w:tcPr>
          <w:p w14:paraId="7E3A795D"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0.024041</w:t>
            </w:r>
          </w:p>
        </w:tc>
      </w:tr>
      <w:tr w:rsidR="00EE7B3A" w:rsidRPr="00EE7B3A" w14:paraId="39F8D16D"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03293ED9" w14:textId="77777777" w:rsidR="00EE7B3A" w:rsidRPr="00EE7B3A" w:rsidRDefault="00EE7B3A" w:rsidP="00EE7B3A">
            <w:pPr>
              <w:rPr>
                <w:rFonts w:eastAsia="Calibri" w:cs="Calibri"/>
                <w:sz w:val="28"/>
                <w:szCs w:val="28"/>
              </w:rPr>
            </w:pPr>
            <w:r w:rsidRPr="00EE7B3A">
              <w:rPr>
                <w:rFonts w:eastAsia="Calibri" w:cs="Calibri"/>
                <w:sz w:val="28"/>
                <w:szCs w:val="28"/>
              </w:rPr>
              <w:t>21</w:t>
            </w:r>
          </w:p>
        </w:tc>
        <w:tc>
          <w:tcPr>
            <w:tcW w:w="2047" w:type="dxa"/>
            <w:tcBorders>
              <w:top w:val="single" w:sz="4" w:space="0" w:color="auto"/>
              <w:left w:val="nil"/>
              <w:bottom w:val="single" w:sz="4" w:space="0" w:color="auto"/>
              <w:right w:val="nil"/>
            </w:tcBorders>
            <w:shd w:val="clear" w:color="auto" w:fill="D9D9D9"/>
            <w:hideMark/>
          </w:tcPr>
          <w:p w14:paraId="605CC62C"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year_1990s</w:t>
            </w:r>
          </w:p>
        </w:tc>
        <w:tc>
          <w:tcPr>
            <w:tcW w:w="1189" w:type="dxa"/>
            <w:tcBorders>
              <w:top w:val="single" w:sz="4" w:space="0" w:color="auto"/>
              <w:left w:val="nil"/>
              <w:bottom w:val="single" w:sz="4" w:space="0" w:color="auto"/>
              <w:right w:val="single" w:sz="4" w:space="0" w:color="auto"/>
            </w:tcBorders>
            <w:shd w:val="clear" w:color="auto" w:fill="D9D9D9"/>
            <w:hideMark/>
          </w:tcPr>
          <w:p w14:paraId="622B80CB"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0.022381</w:t>
            </w:r>
          </w:p>
        </w:tc>
      </w:tr>
      <w:tr w:rsidR="00EE7B3A" w:rsidRPr="00EE7B3A" w14:paraId="30F1E49C" w14:textId="77777777">
        <w:tc>
          <w:tcPr>
            <w:tcW w:w="500" w:type="dxa"/>
            <w:tcBorders>
              <w:top w:val="single" w:sz="4" w:space="0" w:color="auto"/>
              <w:left w:val="single" w:sz="4" w:space="0" w:color="auto"/>
              <w:bottom w:val="single" w:sz="4" w:space="0" w:color="auto"/>
              <w:right w:val="nil"/>
            </w:tcBorders>
            <w:hideMark/>
          </w:tcPr>
          <w:p w14:paraId="198708BC" w14:textId="77777777" w:rsidR="00EE7B3A" w:rsidRPr="00EE7B3A" w:rsidRDefault="00EE7B3A" w:rsidP="00EE7B3A">
            <w:pPr>
              <w:rPr>
                <w:rFonts w:eastAsia="Calibri" w:cs="Calibri"/>
                <w:sz w:val="28"/>
                <w:szCs w:val="28"/>
              </w:rPr>
            </w:pPr>
            <w:r w:rsidRPr="00EE7B3A">
              <w:rPr>
                <w:rFonts w:eastAsia="Calibri" w:cs="Calibri"/>
                <w:sz w:val="28"/>
                <w:szCs w:val="28"/>
              </w:rPr>
              <w:t>19</w:t>
            </w:r>
          </w:p>
        </w:tc>
        <w:tc>
          <w:tcPr>
            <w:tcW w:w="2047" w:type="dxa"/>
            <w:tcBorders>
              <w:top w:val="single" w:sz="4" w:space="0" w:color="auto"/>
              <w:left w:val="nil"/>
              <w:bottom w:val="single" w:sz="4" w:space="0" w:color="auto"/>
              <w:right w:val="nil"/>
            </w:tcBorders>
            <w:hideMark/>
          </w:tcPr>
          <w:p w14:paraId="6C66C85F"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year_1970s</w:t>
            </w:r>
          </w:p>
        </w:tc>
        <w:tc>
          <w:tcPr>
            <w:tcW w:w="1189" w:type="dxa"/>
            <w:tcBorders>
              <w:top w:val="single" w:sz="4" w:space="0" w:color="auto"/>
              <w:left w:val="nil"/>
              <w:bottom w:val="single" w:sz="4" w:space="0" w:color="auto"/>
              <w:right w:val="single" w:sz="4" w:space="0" w:color="auto"/>
            </w:tcBorders>
            <w:hideMark/>
          </w:tcPr>
          <w:p w14:paraId="3E21C791"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0.018509</w:t>
            </w:r>
          </w:p>
        </w:tc>
      </w:tr>
      <w:tr w:rsidR="00EE7B3A" w:rsidRPr="00EE7B3A" w14:paraId="3BF31A8E"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4ADC13D5" w14:textId="77777777" w:rsidR="00EE7B3A" w:rsidRPr="00EE7B3A" w:rsidRDefault="00EE7B3A" w:rsidP="00EE7B3A">
            <w:pPr>
              <w:rPr>
                <w:rFonts w:eastAsia="Calibri" w:cs="Calibri"/>
                <w:sz w:val="28"/>
                <w:szCs w:val="28"/>
              </w:rPr>
            </w:pPr>
            <w:r w:rsidRPr="00EE7B3A">
              <w:rPr>
                <w:rFonts w:eastAsia="Calibri" w:cs="Calibri"/>
                <w:sz w:val="28"/>
                <w:szCs w:val="28"/>
              </w:rPr>
              <w:t>2</w:t>
            </w:r>
          </w:p>
        </w:tc>
        <w:tc>
          <w:tcPr>
            <w:tcW w:w="2047" w:type="dxa"/>
            <w:tcBorders>
              <w:top w:val="single" w:sz="4" w:space="0" w:color="auto"/>
              <w:left w:val="nil"/>
              <w:bottom w:val="single" w:sz="4" w:space="0" w:color="auto"/>
              <w:right w:val="nil"/>
            </w:tcBorders>
            <w:shd w:val="clear" w:color="auto" w:fill="D9D9D9"/>
            <w:hideMark/>
          </w:tcPr>
          <w:p w14:paraId="77F1A014"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duration_ms</w:t>
            </w:r>
          </w:p>
        </w:tc>
        <w:tc>
          <w:tcPr>
            <w:tcW w:w="1189" w:type="dxa"/>
            <w:tcBorders>
              <w:top w:val="single" w:sz="4" w:space="0" w:color="auto"/>
              <w:left w:val="nil"/>
              <w:bottom w:val="single" w:sz="4" w:space="0" w:color="auto"/>
              <w:right w:val="single" w:sz="4" w:space="0" w:color="auto"/>
            </w:tcBorders>
            <w:shd w:val="clear" w:color="auto" w:fill="D9D9D9"/>
            <w:hideMark/>
          </w:tcPr>
          <w:p w14:paraId="0B9706F8"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0.017787</w:t>
            </w:r>
          </w:p>
        </w:tc>
      </w:tr>
      <w:tr w:rsidR="00EE7B3A" w:rsidRPr="00EE7B3A" w14:paraId="7453A0A3" w14:textId="77777777">
        <w:tc>
          <w:tcPr>
            <w:tcW w:w="500" w:type="dxa"/>
            <w:tcBorders>
              <w:top w:val="single" w:sz="4" w:space="0" w:color="auto"/>
              <w:left w:val="single" w:sz="4" w:space="0" w:color="auto"/>
              <w:bottom w:val="single" w:sz="4" w:space="0" w:color="auto"/>
              <w:right w:val="nil"/>
            </w:tcBorders>
            <w:hideMark/>
          </w:tcPr>
          <w:p w14:paraId="784E97D8" w14:textId="77777777" w:rsidR="00EE7B3A" w:rsidRPr="00EE7B3A" w:rsidRDefault="00EE7B3A" w:rsidP="00EE7B3A">
            <w:pPr>
              <w:rPr>
                <w:rFonts w:eastAsia="Calibri" w:cs="Calibri"/>
                <w:sz w:val="28"/>
                <w:szCs w:val="28"/>
              </w:rPr>
            </w:pPr>
            <w:r w:rsidRPr="00EE7B3A">
              <w:rPr>
                <w:rFonts w:eastAsia="Calibri" w:cs="Calibri"/>
                <w:sz w:val="28"/>
                <w:szCs w:val="28"/>
              </w:rPr>
              <w:t>18</w:t>
            </w:r>
          </w:p>
        </w:tc>
        <w:tc>
          <w:tcPr>
            <w:tcW w:w="2047" w:type="dxa"/>
            <w:tcBorders>
              <w:top w:val="single" w:sz="4" w:space="0" w:color="auto"/>
              <w:left w:val="nil"/>
              <w:bottom w:val="single" w:sz="4" w:space="0" w:color="auto"/>
              <w:right w:val="nil"/>
            </w:tcBorders>
            <w:hideMark/>
          </w:tcPr>
          <w:p w14:paraId="7A2426A3"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year_1960s</w:t>
            </w:r>
          </w:p>
        </w:tc>
        <w:tc>
          <w:tcPr>
            <w:tcW w:w="1189" w:type="dxa"/>
            <w:tcBorders>
              <w:top w:val="single" w:sz="4" w:space="0" w:color="auto"/>
              <w:left w:val="nil"/>
              <w:bottom w:val="single" w:sz="4" w:space="0" w:color="auto"/>
              <w:right w:val="single" w:sz="4" w:space="0" w:color="auto"/>
            </w:tcBorders>
            <w:hideMark/>
          </w:tcPr>
          <w:p w14:paraId="57EB2E14"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0.015844</w:t>
            </w:r>
          </w:p>
        </w:tc>
      </w:tr>
      <w:tr w:rsidR="00EE7B3A" w:rsidRPr="00EE7B3A" w14:paraId="3F04DD3C"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47467238" w14:textId="77777777" w:rsidR="00EE7B3A" w:rsidRPr="00EE7B3A" w:rsidRDefault="00EE7B3A" w:rsidP="00EE7B3A">
            <w:pPr>
              <w:rPr>
                <w:rFonts w:eastAsia="Calibri" w:cs="Calibri"/>
                <w:sz w:val="28"/>
                <w:szCs w:val="28"/>
              </w:rPr>
            </w:pPr>
            <w:r w:rsidRPr="00EE7B3A">
              <w:rPr>
                <w:rFonts w:eastAsia="Calibri" w:cs="Calibri"/>
                <w:sz w:val="28"/>
                <w:szCs w:val="28"/>
              </w:rPr>
              <w:t>3</w:t>
            </w:r>
          </w:p>
        </w:tc>
        <w:tc>
          <w:tcPr>
            <w:tcW w:w="2047" w:type="dxa"/>
            <w:tcBorders>
              <w:top w:val="single" w:sz="4" w:space="0" w:color="auto"/>
              <w:left w:val="nil"/>
              <w:bottom w:val="single" w:sz="4" w:space="0" w:color="auto"/>
              <w:right w:val="nil"/>
            </w:tcBorders>
            <w:shd w:val="clear" w:color="auto" w:fill="D9D9D9"/>
            <w:hideMark/>
          </w:tcPr>
          <w:p w14:paraId="7498A27C"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energy</w:t>
            </w:r>
          </w:p>
        </w:tc>
        <w:tc>
          <w:tcPr>
            <w:tcW w:w="1189" w:type="dxa"/>
            <w:tcBorders>
              <w:top w:val="single" w:sz="4" w:space="0" w:color="auto"/>
              <w:left w:val="nil"/>
              <w:bottom w:val="single" w:sz="4" w:space="0" w:color="auto"/>
              <w:right w:val="single" w:sz="4" w:space="0" w:color="auto"/>
            </w:tcBorders>
            <w:shd w:val="clear" w:color="auto" w:fill="D9D9D9"/>
            <w:hideMark/>
          </w:tcPr>
          <w:p w14:paraId="1E9E6E94"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0.015388</w:t>
            </w:r>
          </w:p>
        </w:tc>
      </w:tr>
      <w:tr w:rsidR="00EE7B3A" w:rsidRPr="00EE7B3A" w14:paraId="6EE547D5" w14:textId="77777777">
        <w:tc>
          <w:tcPr>
            <w:tcW w:w="500" w:type="dxa"/>
            <w:tcBorders>
              <w:top w:val="single" w:sz="4" w:space="0" w:color="auto"/>
              <w:left w:val="single" w:sz="4" w:space="0" w:color="auto"/>
              <w:bottom w:val="single" w:sz="4" w:space="0" w:color="auto"/>
              <w:right w:val="nil"/>
            </w:tcBorders>
            <w:hideMark/>
          </w:tcPr>
          <w:p w14:paraId="38A82CDA" w14:textId="77777777" w:rsidR="00EE7B3A" w:rsidRPr="00EE7B3A" w:rsidRDefault="00EE7B3A" w:rsidP="00EE7B3A">
            <w:pPr>
              <w:rPr>
                <w:rFonts w:eastAsia="Calibri" w:cs="Calibri"/>
                <w:sz w:val="28"/>
                <w:szCs w:val="28"/>
              </w:rPr>
            </w:pPr>
            <w:r w:rsidRPr="00EE7B3A">
              <w:rPr>
                <w:rFonts w:eastAsia="Calibri" w:cs="Calibri"/>
                <w:sz w:val="28"/>
                <w:szCs w:val="28"/>
              </w:rPr>
              <w:t>7</w:t>
            </w:r>
          </w:p>
        </w:tc>
        <w:tc>
          <w:tcPr>
            <w:tcW w:w="2047" w:type="dxa"/>
            <w:tcBorders>
              <w:top w:val="single" w:sz="4" w:space="0" w:color="auto"/>
              <w:left w:val="nil"/>
              <w:bottom w:val="single" w:sz="4" w:space="0" w:color="auto"/>
              <w:right w:val="nil"/>
            </w:tcBorders>
            <w:hideMark/>
          </w:tcPr>
          <w:p w14:paraId="26CD69CF"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liveness</w:t>
            </w:r>
          </w:p>
        </w:tc>
        <w:tc>
          <w:tcPr>
            <w:tcW w:w="1189" w:type="dxa"/>
            <w:tcBorders>
              <w:top w:val="single" w:sz="4" w:space="0" w:color="auto"/>
              <w:left w:val="nil"/>
              <w:bottom w:val="single" w:sz="4" w:space="0" w:color="auto"/>
              <w:right w:val="single" w:sz="4" w:space="0" w:color="auto"/>
            </w:tcBorders>
            <w:hideMark/>
          </w:tcPr>
          <w:p w14:paraId="3160F009"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0.012618</w:t>
            </w:r>
          </w:p>
        </w:tc>
      </w:tr>
      <w:tr w:rsidR="00EE7B3A" w:rsidRPr="00EE7B3A" w14:paraId="75D7F5F7"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6D01A9EA" w14:textId="77777777" w:rsidR="00EE7B3A" w:rsidRPr="00EE7B3A" w:rsidRDefault="00EE7B3A" w:rsidP="00EE7B3A">
            <w:pPr>
              <w:rPr>
                <w:rFonts w:eastAsia="Calibri" w:cs="Calibri"/>
                <w:sz w:val="28"/>
                <w:szCs w:val="28"/>
              </w:rPr>
            </w:pPr>
            <w:r w:rsidRPr="00EE7B3A">
              <w:rPr>
                <w:rFonts w:eastAsia="Calibri" w:cs="Calibri"/>
                <w:sz w:val="28"/>
                <w:szCs w:val="28"/>
              </w:rPr>
              <w:t>1</w:t>
            </w:r>
          </w:p>
        </w:tc>
        <w:tc>
          <w:tcPr>
            <w:tcW w:w="2047" w:type="dxa"/>
            <w:tcBorders>
              <w:top w:val="single" w:sz="4" w:space="0" w:color="auto"/>
              <w:left w:val="nil"/>
              <w:bottom w:val="single" w:sz="4" w:space="0" w:color="auto"/>
              <w:right w:val="nil"/>
            </w:tcBorders>
            <w:shd w:val="clear" w:color="auto" w:fill="D9D9D9"/>
            <w:hideMark/>
          </w:tcPr>
          <w:p w14:paraId="73E079CE"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danceability</w:t>
            </w:r>
          </w:p>
        </w:tc>
        <w:tc>
          <w:tcPr>
            <w:tcW w:w="1189" w:type="dxa"/>
            <w:tcBorders>
              <w:top w:val="single" w:sz="4" w:space="0" w:color="auto"/>
              <w:left w:val="nil"/>
              <w:bottom w:val="single" w:sz="4" w:space="0" w:color="auto"/>
              <w:right w:val="single" w:sz="4" w:space="0" w:color="auto"/>
            </w:tcBorders>
            <w:shd w:val="clear" w:color="auto" w:fill="D9D9D9"/>
            <w:hideMark/>
          </w:tcPr>
          <w:p w14:paraId="05ADC129"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0.012483</w:t>
            </w:r>
          </w:p>
        </w:tc>
      </w:tr>
      <w:tr w:rsidR="00EE7B3A" w:rsidRPr="00EE7B3A" w14:paraId="0E5348DD" w14:textId="77777777">
        <w:tc>
          <w:tcPr>
            <w:tcW w:w="500" w:type="dxa"/>
            <w:tcBorders>
              <w:top w:val="single" w:sz="4" w:space="0" w:color="auto"/>
              <w:left w:val="single" w:sz="4" w:space="0" w:color="auto"/>
              <w:bottom w:val="single" w:sz="4" w:space="0" w:color="auto"/>
              <w:right w:val="nil"/>
            </w:tcBorders>
            <w:hideMark/>
          </w:tcPr>
          <w:p w14:paraId="79040E25" w14:textId="77777777" w:rsidR="00EE7B3A" w:rsidRPr="00EE7B3A" w:rsidRDefault="00EE7B3A" w:rsidP="00EE7B3A">
            <w:pPr>
              <w:rPr>
                <w:rFonts w:eastAsia="Calibri" w:cs="Calibri"/>
                <w:sz w:val="28"/>
                <w:szCs w:val="28"/>
              </w:rPr>
            </w:pPr>
            <w:r w:rsidRPr="00EE7B3A">
              <w:rPr>
                <w:rFonts w:eastAsia="Calibri" w:cs="Calibri"/>
                <w:sz w:val="28"/>
                <w:szCs w:val="28"/>
              </w:rPr>
              <w:t>10</w:t>
            </w:r>
          </w:p>
        </w:tc>
        <w:tc>
          <w:tcPr>
            <w:tcW w:w="2047" w:type="dxa"/>
            <w:tcBorders>
              <w:top w:val="single" w:sz="4" w:space="0" w:color="auto"/>
              <w:left w:val="nil"/>
              <w:bottom w:val="single" w:sz="4" w:space="0" w:color="auto"/>
              <w:right w:val="nil"/>
            </w:tcBorders>
            <w:hideMark/>
          </w:tcPr>
          <w:p w14:paraId="2B9FA6BE"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speechiness</w:t>
            </w:r>
          </w:p>
        </w:tc>
        <w:tc>
          <w:tcPr>
            <w:tcW w:w="1189" w:type="dxa"/>
            <w:tcBorders>
              <w:top w:val="single" w:sz="4" w:space="0" w:color="auto"/>
              <w:left w:val="nil"/>
              <w:bottom w:val="single" w:sz="4" w:space="0" w:color="auto"/>
              <w:right w:val="single" w:sz="4" w:space="0" w:color="auto"/>
            </w:tcBorders>
            <w:hideMark/>
          </w:tcPr>
          <w:p w14:paraId="26CC7FE5"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0.011897</w:t>
            </w:r>
          </w:p>
        </w:tc>
      </w:tr>
      <w:tr w:rsidR="00EE7B3A" w:rsidRPr="00EE7B3A" w14:paraId="12622EC6"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2C1F0381" w14:textId="77777777" w:rsidR="00EE7B3A" w:rsidRPr="00EE7B3A" w:rsidRDefault="00EE7B3A" w:rsidP="00EE7B3A">
            <w:pPr>
              <w:rPr>
                <w:rFonts w:eastAsia="Calibri" w:cs="Calibri"/>
                <w:sz w:val="28"/>
                <w:szCs w:val="28"/>
              </w:rPr>
            </w:pPr>
            <w:r w:rsidRPr="00EE7B3A">
              <w:rPr>
                <w:rFonts w:eastAsia="Calibri" w:cs="Calibri"/>
                <w:sz w:val="28"/>
                <w:szCs w:val="28"/>
              </w:rPr>
              <w:t>12</w:t>
            </w:r>
          </w:p>
        </w:tc>
        <w:tc>
          <w:tcPr>
            <w:tcW w:w="2047" w:type="dxa"/>
            <w:tcBorders>
              <w:top w:val="single" w:sz="4" w:space="0" w:color="auto"/>
              <w:left w:val="nil"/>
              <w:bottom w:val="single" w:sz="4" w:space="0" w:color="auto"/>
              <w:right w:val="nil"/>
            </w:tcBorders>
            <w:shd w:val="clear" w:color="auto" w:fill="D9D9D9"/>
            <w:hideMark/>
          </w:tcPr>
          <w:p w14:paraId="3CD62EB3"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valence</w:t>
            </w:r>
          </w:p>
        </w:tc>
        <w:tc>
          <w:tcPr>
            <w:tcW w:w="1189" w:type="dxa"/>
            <w:tcBorders>
              <w:top w:val="single" w:sz="4" w:space="0" w:color="auto"/>
              <w:left w:val="nil"/>
              <w:bottom w:val="single" w:sz="4" w:space="0" w:color="auto"/>
              <w:right w:val="single" w:sz="4" w:space="0" w:color="auto"/>
            </w:tcBorders>
            <w:shd w:val="clear" w:color="auto" w:fill="D9D9D9"/>
            <w:hideMark/>
          </w:tcPr>
          <w:p w14:paraId="7FCA63C3"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0.011182</w:t>
            </w:r>
          </w:p>
        </w:tc>
      </w:tr>
      <w:tr w:rsidR="00EE7B3A" w:rsidRPr="00EE7B3A" w14:paraId="489C47E3" w14:textId="77777777">
        <w:tc>
          <w:tcPr>
            <w:tcW w:w="500" w:type="dxa"/>
            <w:tcBorders>
              <w:top w:val="single" w:sz="4" w:space="0" w:color="auto"/>
              <w:left w:val="single" w:sz="4" w:space="0" w:color="auto"/>
              <w:bottom w:val="single" w:sz="4" w:space="0" w:color="auto"/>
              <w:right w:val="nil"/>
            </w:tcBorders>
            <w:hideMark/>
          </w:tcPr>
          <w:p w14:paraId="5BA90A04" w14:textId="77777777" w:rsidR="00EE7B3A" w:rsidRPr="00EE7B3A" w:rsidRDefault="00EE7B3A" w:rsidP="00EE7B3A">
            <w:pPr>
              <w:rPr>
                <w:rFonts w:eastAsia="Calibri" w:cs="Calibri"/>
                <w:sz w:val="28"/>
                <w:szCs w:val="28"/>
              </w:rPr>
            </w:pPr>
            <w:r w:rsidRPr="00EE7B3A">
              <w:rPr>
                <w:rFonts w:eastAsia="Calibri" w:cs="Calibri"/>
                <w:sz w:val="28"/>
                <w:szCs w:val="28"/>
              </w:rPr>
              <w:t>11</w:t>
            </w:r>
          </w:p>
        </w:tc>
        <w:tc>
          <w:tcPr>
            <w:tcW w:w="2047" w:type="dxa"/>
            <w:tcBorders>
              <w:top w:val="single" w:sz="4" w:space="0" w:color="auto"/>
              <w:left w:val="nil"/>
              <w:bottom w:val="single" w:sz="4" w:space="0" w:color="auto"/>
              <w:right w:val="nil"/>
            </w:tcBorders>
            <w:hideMark/>
          </w:tcPr>
          <w:p w14:paraId="7EF21C1B"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tempo</w:t>
            </w:r>
          </w:p>
        </w:tc>
        <w:tc>
          <w:tcPr>
            <w:tcW w:w="1189" w:type="dxa"/>
            <w:tcBorders>
              <w:top w:val="single" w:sz="4" w:space="0" w:color="auto"/>
              <w:left w:val="nil"/>
              <w:bottom w:val="single" w:sz="4" w:space="0" w:color="auto"/>
              <w:right w:val="single" w:sz="4" w:space="0" w:color="auto"/>
            </w:tcBorders>
            <w:hideMark/>
          </w:tcPr>
          <w:p w14:paraId="292D4427"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0.010793</w:t>
            </w:r>
          </w:p>
        </w:tc>
      </w:tr>
      <w:tr w:rsidR="00EE7B3A" w:rsidRPr="00EE7B3A" w14:paraId="5DBC31FE"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2E7EA064" w14:textId="77777777" w:rsidR="00EE7B3A" w:rsidRPr="00EE7B3A" w:rsidRDefault="00EE7B3A" w:rsidP="00EE7B3A">
            <w:pPr>
              <w:rPr>
                <w:rFonts w:eastAsia="Calibri" w:cs="Calibri"/>
                <w:sz w:val="28"/>
                <w:szCs w:val="28"/>
              </w:rPr>
            </w:pPr>
            <w:r w:rsidRPr="00EE7B3A">
              <w:rPr>
                <w:rFonts w:eastAsia="Calibri" w:cs="Calibri"/>
                <w:sz w:val="28"/>
                <w:szCs w:val="28"/>
              </w:rPr>
              <w:t>9</w:t>
            </w:r>
          </w:p>
        </w:tc>
        <w:tc>
          <w:tcPr>
            <w:tcW w:w="2047" w:type="dxa"/>
            <w:tcBorders>
              <w:top w:val="single" w:sz="4" w:space="0" w:color="auto"/>
              <w:left w:val="nil"/>
              <w:bottom w:val="single" w:sz="4" w:space="0" w:color="auto"/>
              <w:right w:val="nil"/>
            </w:tcBorders>
            <w:shd w:val="clear" w:color="auto" w:fill="D9D9D9"/>
            <w:hideMark/>
          </w:tcPr>
          <w:p w14:paraId="4ADBD666"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mode</w:t>
            </w:r>
          </w:p>
        </w:tc>
        <w:tc>
          <w:tcPr>
            <w:tcW w:w="1189" w:type="dxa"/>
            <w:tcBorders>
              <w:top w:val="single" w:sz="4" w:space="0" w:color="auto"/>
              <w:left w:val="nil"/>
              <w:bottom w:val="single" w:sz="4" w:space="0" w:color="auto"/>
              <w:right w:val="single" w:sz="4" w:space="0" w:color="auto"/>
            </w:tcBorders>
            <w:shd w:val="clear" w:color="auto" w:fill="D9D9D9"/>
            <w:hideMark/>
          </w:tcPr>
          <w:p w14:paraId="6EBCD820"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0.010209</w:t>
            </w:r>
          </w:p>
        </w:tc>
      </w:tr>
      <w:tr w:rsidR="00EE7B3A" w:rsidRPr="00EE7B3A" w14:paraId="04961129" w14:textId="77777777">
        <w:tc>
          <w:tcPr>
            <w:tcW w:w="500" w:type="dxa"/>
            <w:tcBorders>
              <w:top w:val="single" w:sz="4" w:space="0" w:color="auto"/>
              <w:left w:val="single" w:sz="4" w:space="0" w:color="auto"/>
              <w:bottom w:val="single" w:sz="4" w:space="0" w:color="auto"/>
              <w:right w:val="nil"/>
            </w:tcBorders>
            <w:hideMark/>
          </w:tcPr>
          <w:p w14:paraId="17D6CC8B" w14:textId="77777777" w:rsidR="00EE7B3A" w:rsidRPr="00EE7B3A" w:rsidRDefault="00EE7B3A" w:rsidP="00EE7B3A">
            <w:pPr>
              <w:rPr>
                <w:rFonts w:eastAsia="Calibri" w:cs="Calibri"/>
                <w:sz w:val="28"/>
                <w:szCs w:val="28"/>
              </w:rPr>
            </w:pPr>
            <w:r w:rsidRPr="00EE7B3A">
              <w:rPr>
                <w:rFonts w:eastAsia="Calibri" w:cs="Calibri"/>
                <w:sz w:val="28"/>
                <w:szCs w:val="28"/>
              </w:rPr>
              <w:t>20</w:t>
            </w:r>
          </w:p>
        </w:tc>
        <w:tc>
          <w:tcPr>
            <w:tcW w:w="2047" w:type="dxa"/>
            <w:tcBorders>
              <w:top w:val="single" w:sz="4" w:space="0" w:color="auto"/>
              <w:left w:val="nil"/>
              <w:bottom w:val="single" w:sz="4" w:space="0" w:color="auto"/>
              <w:right w:val="nil"/>
            </w:tcBorders>
            <w:hideMark/>
          </w:tcPr>
          <w:p w14:paraId="2671C039"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year_1980s</w:t>
            </w:r>
          </w:p>
        </w:tc>
        <w:tc>
          <w:tcPr>
            <w:tcW w:w="1189" w:type="dxa"/>
            <w:tcBorders>
              <w:top w:val="single" w:sz="4" w:space="0" w:color="auto"/>
              <w:left w:val="nil"/>
              <w:bottom w:val="single" w:sz="4" w:space="0" w:color="auto"/>
              <w:right w:val="single" w:sz="4" w:space="0" w:color="auto"/>
            </w:tcBorders>
            <w:hideMark/>
          </w:tcPr>
          <w:p w14:paraId="74E8085F"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0.009462</w:t>
            </w:r>
          </w:p>
        </w:tc>
      </w:tr>
      <w:tr w:rsidR="00EE7B3A" w:rsidRPr="00EE7B3A" w14:paraId="26AAF633" w14:textId="77777777" w:rsidTr="00EE7B3A">
        <w:tc>
          <w:tcPr>
            <w:tcW w:w="500" w:type="dxa"/>
            <w:tcBorders>
              <w:top w:val="single" w:sz="4" w:space="0" w:color="auto"/>
              <w:left w:val="single" w:sz="4" w:space="0" w:color="auto"/>
              <w:bottom w:val="single" w:sz="4" w:space="0" w:color="auto"/>
              <w:right w:val="nil"/>
            </w:tcBorders>
            <w:shd w:val="clear" w:color="auto" w:fill="D9D9D9"/>
            <w:hideMark/>
          </w:tcPr>
          <w:p w14:paraId="0C1D140F" w14:textId="77777777" w:rsidR="00EE7B3A" w:rsidRPr="00EE7B3A" w:rsidRDefault="00EE7B3A" w:rsidP="00EE7B3A">
            <w:pPr>
              <w:rPr>
                <w:rFonts w:eastAsia="Calibri" w:cs="Calibri"/>
                <w:sz w:val="28"/>
                <w:szCs w:val="28"/>
              </w:rPr>
            </w:pPr>
            <w:r w:rsidRPr="00EE7B3A">
              <w:rPr>
                <w:rFonts w:eastAsia="Calibri" w:cs="Calibri"/>
                <w:sz w:val="28"/>
                <w:szCs w:val="28"/>
              </w:rPr>
              <w:lastRenderedPageBreak/>
              <w:t>6</w:t>
            </w:r>
          </w:p>
        </w:tc>
        <w:tc>
          <w:tcPr>
            <w:tcW w:w="2047" w:type="dxa"/>
            <w:tcBorders>
              <w:top w:val="single" w:sz="4" w:space="0" w:color="auto"/>
              <w:left w:val="nil"/>
              <w:bottom w:val="single" w:sz="4" w:space="0" w:color="auto"/>
              <w:right w:val="nil"/>
            </w:tcBorders>
            <w:shd w:val="clear" w:color="auto" w:fill="D9D9D9"/>
            <w:hideMark/>
          </w:tcPr>
          <w:p w14:paraId="529745D6" w14:textId="77777777" w:rsidR="00EE7B3A" w:rsidRPr="00EE7B3A" w:rsidRDefault="00EE7B3A" w:rsidP="00EE7B3A">
            <w:pPr>
              <w:jc w:val="right"/>
              <w:rPr>
                <w:rFonts w:eastAsia="Calibri" w:cs="Calibri"/>
                <w:sz w:val="24"/>
                <w:szCs w:val="28"/>
                <w:lang w:val="en-US"/>
              </w:rPr>
            </w:pPr>
            <w:r w:rsidRPr="00EE7B3A">
              <w:rPr>
                <w:rFonts w:eastAsia="Calibri" w:cs="Calibri"/>
                <w:sz w:val="24"/>
                <w:szCs w:val="28"/>
                <w:lang w:val="en-US"/>
              </w:rPr>
              <w:t>key</w:t>
            </w:r>
          </w:p>
        </w:tc>
        <w:tc>
          <w:tcPr>
            <w:tcW w:w="1189" w:type="dxa"/>
            <w:tcBorders>
              <w:top w:val="single" w:sz="4" w:space="0" w:color="auto"/>
              <w:left w:val="nil"/>
              <w:bottom w:val="single" w:sz="4" w:space="0" w:color="auto"/>
              <w:right w:val="single" w:sz="4" w:space="0" w:color="auto"/>
            </w:tcBorders>
            <w:shd w:val="clear" w:color="auto" w:fill="D9D9D9"/>
            <w:hideMark/>
          </w:tcPr>
          <w:p w14:paraId="105EFA09" w14:textId="77777777" w:rsidR="00EE7B3A" w:rsidRPr="00EE7B3A" w:rsidRDefault="00EE7B3A" w:rsidP="00EE7B3A">
            <w:pPr>
              <w:rPr>
                <w:rFonts w:eastAsia="Calibri" w:cs="Calibri"/>
                <w:sz w:val="24"/>
                <w:szCs w:val="28"/>
                <w:lang w:val="en-US"/>
              </w:rPr>
            </w:pPr>
            <w:r w:rsidRPr="00EE7B3A">
              <w:rPr>
                <w:rFonts w:eastAsia="Calibri" w:cs="Calibri"/>
                <w:sz w:val="24"/>
                <w:szCs w:val="28"/>
                <w:lang w:val="en-US"/>
              </w:rPr>
              <w:t>0.009148</w:t>
            </w:r>
          </w:p>
        </w:tc>
      </w:tr>
    </w:tbl>
    <w:p w14:paraId="07B3CE95" w14:textId="77777777" w:rsidR="00EE7B3A" w:rsidRPr="00EE7B3A" w:rsidRDefault="00EE7B3A" w:rsidP="00EE7B3A">
      <w:pPr>
        <w:spacing w:after="0" w:line="240" w:lineRule="auto"/>
        <w:rPr>
          <w:rFonts w:ascii="Calibri" w:eastAsia="Calibri" w:hAnsi="Calibri" w:cs="Calibri"/>
          <w:sz w:val="28"/>
          <w:szCs w:val="28"/>
        </w:rPr>
      </w:pPr>
    </w:p>
    <w:p w14:paraId="1808EB9E"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3. Чтобы лучше визуализировать данные, выведем гистограмму с 10 наиболее важными показателями:</w:t>
      </w:r>
    </w:p>
    <w:p w14:paraId="2943DCCC" w14:textId="77777777" w:rsidR="00EE7B3A" w:rsidRPr="00EE7B3A" w:rsidRDefault="00EE7B3A" w:rsidP="00EE7B3A">
      <w:pPr>
        <w:spacing w:after="0" w:line="240" w:lineRule="auto"/>
        <w:rPr>
          <w:rFonts w:ascii="Calibri" w:eastAsia="Calibri" w:hAnsi="Calibri" w:cs="Calibri"/>
          <w:i/>
          <w:iCs/>
          <w:sz w:val="28"/>
          <w:szCs w:val="28"/>
        </w:rPr>
      </w:pPr>
      <w:r w:rsidRPr="00EE7B3A">
        <w:rPr>
          <w:rFonts w:ascii="Times New Roman" w:eastAsia="Calibri" w:hAnsi="Times New Roman" w:cs="Times New Roman"/>
          <w:sz w:val="32"/>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 xml:space="preserve"> = </w:t>
      </w:r>
      <w:r w:rsidRPr="00EE7B3A">
        <w:rPr>
          <w:rFonts w:ascii="Calibri" w:eastAsia="Calibri" w:hAnsi="Calibri" w:cs="Calibri"/>
          <w:i/>
          <w:iCs/>
          <w:sz w:val="28"/>
          <w:szCs w:val="28"/>
          <w:lang w:val="en-US"/>
        </w:rPr>
        <w:t>plt</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figure</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figsize</w:t>
      </w:r>
      <w:r w:rsidRPr="00EE7B3A">
        <w:rPr>
          <w:rFonts w:ascii="Calibri" w:eastAsia="Calibri" w:hAnsi="Calibri" w:cs="Calibri"/>
          <w:i/>
          <w:iCs/>
          <w:sz w:val="28"/>
          <w:szCs w:val="28"/>
        </w:rPr>
        <w:t xml:space="preserve"> = (14, 8))</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 xml:space="preserve"> = </w:t>
      </w:r>
      <w:r w:rsidRPr="00EE7B3A">
        <w:rPr>
          <w:rFonts w:ascii="Calibri" w:eastAsia="Calibri" w:hAnsi="Calibri" w:cs="Calibri"/>
          <w:i/>
          <w:iCs/>
          <w:sz w:val="28"/>
          <w:szCs w:val="28"/>
          <w:lang w:val="en-US"/>
        </w:rPr>
        <w:t>sns</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barplot</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data</w:t>
      </w:r>
      <w:r w:rsidRPr="00EE7B3A">
        <w:rPr>
          <w:rFonts w:ascii="Calibri" w:eastAsia="Calibri" w:hAnsi="Calibri" w:cs="Calibri"/>
          <w:i/>
          <w:iCs/>
          <w:sz w:val="28"/>
          <w:szCs w:val="28"/>
        </w:rPr>
        <w:t xml:space="preserve"> = </w:t>
      </w:r>
      <w:r w:rsidRPr="00EE7B3A">
        <w:rPr>
          <w:rFonts w:ascii="Calibri" w:eastAsia="Calibri" w:hAnsi="Calibri" w:cs="Calibri"/>
          <w:i/>
          <w:iCs/>
          <w:sz w:val="28"/>
          <w:szCs w:val="28"/>
          <w:lang w:val="en-US"/>
        </w:rPr>
        <w:t>feature</w:t>
      </w:r>
      <w:r w:rsidRPr="00EE7B3A">
        <w:rPr>
          <w:rFonts w:ascii="Calibri" w:eastAsia="Calibri" w:hAnsi="Calibri" w:cs="Calibri"/>
          <w:i/>
          <w:iCs/>
          <w:sz w:val="28"/>
          <w:szCs w:val="28"/>
        </w:rPr>
        <w:t>_</w:t>
      </w:r>
      <w:r w:rsidRPr="00EE7B3A">
        <w:rPr>
          <w:rFonts w:ascii="Calibri" w:eastAsia="Calibri" w:hAnsi="Calibri" w:cs="Calibri"/>
          <w:i/>
          <w:iCs/>
          <w:sz w:val="28"/>
          <w:szCs w:val="28"/>
          <w:lang w:val="en-US"/>
        </w:rPr>
        <w:t>importance</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head</w:t>
      </w:r>
      <w:r w:rsidRPr="00EE7B3A">
        <w:rPr>
          <w:rFonts w:ascii="Calibri" w:eastAsia="Calibri" w:hAnsi="Calibri" w:cs="Calibri"/>
          <w:i/>
          <w:iCs/>
          <w:sz w:val="28"/>
          <w:szCs w:val="28"/>
        </w:rPr>
        <w:t>(10),</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rPr>
        <w:tab/>
      </w:r>
      <w:r w:rsidRPr="00EE7B3A">
        <w:rPr>
          <w:rFonts w:ascii="Calibri" w:eastAsia="Calibri" w:hAnsi="Calibri" w:cs="Calibri"/>
          <w:i/>
          <w:iCs/>
          <w:sz w:val="28"/>
          <w:szCs w:val="28"/>
        </w:rPr>
        <w:tab/>
        <w:t xml:space="preserve">        </w:t>
      </w:r>
      <w:r w:rsidRPr="00EE7B3A">
        <w:rPr>
          <w:rFonts w:ascii="Calibri" w:eastAsia="Calibri" w:hAnsi="Calibri" w:cs="Calibri"/>
          <w:i/>
          <w:iCs/>
          <w:sz w:val="28"/>
          <w:szCs w:val="28"/>
          <w:lang w:val="en-US"/>
        </w:rPr>
        <w:t>x</w:t>
      </w:r>
      <w:r w:rsidRPr="00EE7B3A">
        <w:rPr>
          <w:rFonts w:ascii="Calibri" w:eastAsia="Calibri" w:hAnsi="Calibri" w:cs="Calibri"/>
          <w:i/>
          <w:iCs/>
          <w:sz w:val="28"/>
          <w:szCs w:val="28"/>
        </w:rPr>
        <w:t xml:space="preserve"> = ‘Показатели’, </w:t>
      </w:r>
      <w:r w:rsidRPr="00EE7B3A">
        <w:rPr>
          <w:rFonts w:ascii="Calibri" w:eastAsia="Calibri" w:hAnsi="Calibri" w:cs="Calibri"/>
          <w:i/>
          <w:iCs/>
          <w:sz w:val="28"/>
          <w:szCs w:val="28"/>
          <w:lang w:val="en-US"/>
        </w:rPr>
        <w:t>y</w:t>
      </w:r>
      <w:r w:rsidRPr="00EE7B3A">
        <w:rPr>
          <w:rFonts w:ascii="Calibri" w:eastAsia="Calibri" w:hAnsi="Calibri" w:cs="Calibri"/>
          <w:i/>
          <w:iCs/>
          <w:sz w:val="28"/>
          <w:szCs w:val="28"/>
        </w:rPr>
        <w:t xml:space="preserve"> = ‘Важность’)</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set</w:t>
      </w:r>
      <w:r w:rsidRPr="00EE7B3A">
        <w:rPr>
          <w:rFonts w:ascii="Calibri" w:eastAsia="Calibri" w:hAnsi="Calibri" w:cs="Calibri"/>
          <w:i/>
          <w:iCs/>
          <w:sz w:val="28"/>
          <w:szCs w:val="28"/>
        </w:rPr>
        <w:t>_</w:t>
      </w:r>
      <w:r w:rsidRPr="00EE7B3A">
        <w:rPr>
          <w:rFonts w:ascii="Calibri" w:eastAsia="Calibri" w:hAnsi="Calibri" w:cs="Calibri"/>
          <w:i/>
          <w:iCs/>
          <w:sz w:val="28"/>
          <w:szCs w:val="28"/>
          <w:lang w:val="en-US"/>
        </w:rPr>
        <w:t>title</w:t>
      </w:r>
      <w:r w:rsidRPr="00EE7B3A">
        <w:rPr>
          <w:rFonts w:ascii="Calibri" w:eastAsia="Calibri" w:hAnsi="Calibri" w:cs="Calibri"/>
          <w:i/>
          <w:iCs/>
          <w:sz w:val="28"/>
          <w:szCs w:val="28"/>
        </w:rPr>
        <w:t xml:space="preserve">(‘Топ-10’, </w:t>
      </w:r>
      <w:r w:rsidRPr="00EE7B3A">
        <w:rPr>
          <w:rFonts w:ascii="Calibri" w:eastAsia="Calibri" w:hAnsi="Calibri" w:cs="Calibri"/>
          <w:i/>
          <w:iCs/>
          <w:sz w:val="28"/>
          <w:szCs w:val="28"/>
          <w:lang w:val="en-US"/>
        </w:rPr>
        <w:t>fontsize</w:t>
      </w:r>
      <w:r w:rsidRPr="00EE7B3A">
        <w:rPr>
          <w:rFonts w:ascii="Calibri" w:eastAsia="Calibri" w:hAnsi="Calibri" w:cs="Calibri"/>
          <w:i/>
          <w:iCs/>
          <w:sz w:val="28"/>
          <w:szCs w:val="28"/>
        </w:rPr>
        <w:t xml:space="preserve"> = 20)</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set</w:t>
      </w:r>
      <w:r w:rsidRPr="00EE7B3A">
        <w:rPr>
          <w:rFonts w:ascii="Calibri" w:eastAsia="Calibri" w:hAnsi="Calibri" w:cs="Calibri"/>
          <w:i/>
          <w:iCs/>
          <w:sz w:val="28"/>
          <w:szCs w:val="28"/>
        </w:rPr>
        <w:t>_</w:t>
      </w:r>
      <w:r w:rsidRPr="00EE7B3A">
        <w:rPr>
          <w:rFonts w:ascii="Calibri" w:eastAsia="Calibri" w:hAnsi="Calibri" w:cs="Calibri"/>
          <w:i/>
          <w:iCs/>
          <w:sz w:val="28"/>
          <w:szCs w:val="28"/>
          <w:lang w:val="en-US"/>
        </w:rPr>
        <w:t>xlabel</w:t>
      </w:r>
      <w:r w:rsidRPr="00EE7B3A">
        <w:rPr>
          <w:rFonts w:ascii="Calibri" w:eastAsia="Calibri" w:hAnsi="Calibri" w:cs="Calibri"/>
          <w:i/>
          <w:iCs/>
          <w:sz w:val="28"/>
          <w:szCs w:val="28"/>
        </w:rPr>
        <w:t xml:space="preserve">(‘Показатели’, </w:t>
      </w:r>
      <w:r w:rsidRPr="00EE7B3A">
        <w:rPr>
          <w:rFonts w:ascii="Calibri" w:eastAsia="Calibri" w:hAnsi="Calibri" w:cs="Calibri"/>
          <w:i/>
          <w:iCs/>
          <w:sz w:val="28"/>
          <w:szCs w:val="28"/>
          <w:lang w:val="en-US"/>
        </w:rPr>
        <w:t>fontsize</w:t>
      </w:r>
      <w:r w:rsidRPr="00EE7B3A">
        <w:rPr>
          <w:rFonts w:ascii="Calibri" w:eastAsia="Calibri" w:hAnsi="Calibri" w:cs="Calibri"/>
          <w:i/>
          <w:iCs/>
          <w:sz w:val="28"/>
          <w:szCs w:val="28"/>
        </w:rPr>
        <w:t xml:space="preserve"> = 16)</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set</w:t>
      </w:r>
      <w:r w:rsidRPr="00EE7B3A">
        <w:rPr>
          <w:rFonts w:ascii="Calibri" w:eastAsia="Calibri" w:hAnsi="Calibri" w:cs="Calibri"/>
          <w:i/>
          <w:iCs/>
          <w:sz w:val="28"/>
          <w:szCs w:val="28"/>
        </w:rPr>
        <w:t>_</w:t>
      </w:r>
      <w:r w:rsidRPr="00EE7B3A">
        <w:rPr>
          <w:rFonts w:ascii="Calibri" w:eastAsia="Calibri" w:hAnsi="Calibri" w:cs="Calibri"/>
          <w:i/>
          <w:iCs/>
          <w:sz w:val="28"/>
          <w:szCs w:val="28"/>
          <w:lang w:val="en-US"/>
        </w:rPr>
        <w:t>ylabel</w:t>
      </w:r>
      <w:r w:rsidRPr="00EE7B3A">
        <w:rPr>
          <w:rFonts w:ascii="Calibri" w:eastAsia="Calibri" w:hAnsi="Calibri" w:cs="Calibri"/>
          <w:i/>
          <w:iCs/>
          <w:sz w:val="28"/>
          <w:szCs w:val="28"/>
        </w:rPr>
        <w:t xml:space="preserve">(‘Важность’, </w:t>
      </w:r>
      <w:r w:rsidRPr="00EE7B3A">
        <w:rPr>
          <w:rFonts w:ascii="Calibri" w:eastAsia="Calibri" w:hAnsi="Calibri" w:cs="Calibri"/>
          <w:i/>
          <w:iCs/>
          <w:sz w:val="28"/>
          <w:szCs w:val="28"/>
          <w:lang w:val="en-US"/>
        </w:rPr>
        <w:t>fontsize</w:t>
      </w:r>
      <w:r w:rsidRPr="00EE7B3A">
        <w:rPr>
          <w:rFonts w:ascii="Calibri" w:eastAsia="Calibri" w:hAnsi="Calibri" w:cs="Calibri"/>
          <w:i/>
          <w:iCs/>
          <w:sz w:val="28"/>
          <w:szCs w:val="28"/>
        </w:rPr>
        <w:t xml:space="preserve"> = 16)</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ax</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tick</w:t>
      </w:r>
      <w:r w:rsidRPr="00EE7B3A">
        <w:rPr>
          <w:rFonts w:ascii="Calibri" w:eastAsia="Calibri" w:hAnsi="Calibri" w:cs="Calibri"/>
          <w:i/>
          <w:iCs/>
          <w:sz w:val="28"/>
          <w:szCs w:val="28"/>
        </w:rPr>
        <w:t>_</w:t>
      </w:r>
      <w:r w:rsidRPr="00EE7B3A">
        <w:rPr>
          <w:rFonts w:ascii="Calibri" w:eastAsia="Calibri" w:hAnsi="Calibri" w:cs="Calibri"/>
          <w:i/>
          <w:iCs/>
          <w:sz w:val="28"/>
          <w:szCs w:val="28"/>
          <w:lang w:val="en-US"/>
        </w:rPr>
        <w:t>params</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labelsize</w:t>
      </w:r>
      <w:r w:rsidRPr="00EE7B3A">
        <w:rPr>
          <w:rFonts w:ascii="Calibri" w:eastAsia="Calibri" w:hAnsi="Calibri" w:cs="Calibri"/>
          <w:i/>
          <w:iCs/>
          <w:sz w:val="28"/>
          <w:szCs w:val="28"/>
        </w:rPr>
        <w:t xml:space="preserve"> = 14)</w:t>
      </w:r>
      <w:r w:rsidRPr="00EE7B3A">
        <w:rPr>
          <w:rFonts w:ascii="Calibri" w:eastAsia="Calibri" w:hAnsi="Calibri" w:cs="Calibri"/>
          <w:i/>
          <w:iCs/>
          <w:sz w:val="28"/>
          <w:szCs w:val="28"/>
        </w:rPr>
        <w:br/>
      </w:r>
      <w:r w:rsidRPr="00EE7B3A">
        <w:rPr>
          <w:rFonts w:ascii="Calibri" w:eastAsia="Calibri" w:hAnsi="Calibri" w:cs="Calibri"/>
          <w:i/>
          <w:iCs/>
          <w:sz w:val="28"/>
          <w:szCs w:val="28"/>
        </w:rPr>
        <w:tab/>
      </w:r>
      <w:r w:rsidRPr="00EE7B3A">
        <w:rPr>
          <w:rFonts w:ascii="Calibri" w:eastAsia="Calibri" w:hAnsi="Calibri" w:cs="Calibri"/>
          <w:i/>
          <w:iCs/>
          <w:sz w:val="28"/>
          <w:szCs w:val="28"/>
          <w:lang w:val="en-US"/>
        </w:rPr>
        <w:t>plt</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xticks</w:t>
      </w:r>
      <w:r w:rsidRPr="00EE7B3A">
        <w:rPr>
          <w:rFonts w:ascii="Calibri" w:eastAsia="Calibri" w:hAnsi="Calibri" w:cs="Calibri"/>
          <w:i/>
          <w:iCs/>
          <w:sz w:val="28"/>
          <w:szCs w:val="28"/>
        </w:rPr>
        <w:t>(</w:t>
      </w:r>
      <w:r w:rsidRPr="00EE7B3A">
        <w:rPr>
          <w:rFonts w:ascii="Calibri" w:eastAsia="Calibri" w:hAnsi="Calibri" w:cs="Calibri"/>
          <w:i/>
          <w:iCs/>
          <w:sz w:val="28"/>
          <w:szCs w:val="28"/>
          <w:lang w:val="en-US"/>
        </w:rPr>
        <w:t>rotation</w:t>
      </w:r>
      <w:r w:rsidRPr="00EE7B3A">
        <w:rPr>
          <w:rFonts w:ascii="Calibri" w:eastAsia="Calibri" w:hAnsi="Calibri" w:cs="Calibri"/>
          <w:i/>
          <w:iCs/>
          <w:sz w:val="28"/>
          <w:szCs w:val="28"/>
        </w:rPr>
        <w:t xml:space="preserve"> = 45)</w:t>
      </w:r>
    </w:p>
    <w:p w14:paraId="2B7A5421" w14:textId="77777777" w:rsidR="00EE7B3A" w:rsidRPr="00EE7B3A" w:rsidRDefault="00EE7B3A" w:rsidP="00EE7B3A">
      <w:pPr>
        <w:spacing w:after="0" w:line="240" w:lineRule="auto"/>
        <w:rPr>
          <w:rFonts w:ascii="Calibri" w:eastAsia="Calibri" w:hAnsi="Calibri" w:cs="Calibri"/>
          <w:i/>
          <w:iCs/>
          <w:sz w:val="28"/>
          <w:szCs w:val="28"/>
          <w:lang w:val="en-US"/>
        </w:rPr>
      </w:pPr>
      <w:r w:rsidRPr="00EE7B3A">
        <w:rPr>
          <w:rFonts w:ascii="Calibri" w:eastAsia="Calibri" w:hAnsi="Calibri" w:cs="Calibri"/>
          <w:i/>
          <w:iCs/>
          <w:sz w:val="28"/>
          <w:szCs w:val="28"/>
        </w:rPr>
        <w:t xml:space="preserve">    </w:t>
      </w:r>
      <w:r w:rsidRPr="00EE7B3A">
        <w:rPr>
          <w:rFonts w:ascii="Calibri" w:eastAsia="Calibri" w:hAnsi="Calibri" w:cs="Calibri"/>
          <w:i/>
          <w:iCs/>
          <w:sz w:val="28"/>
          <w:szCs w:val="28"/>
          <w:lang w:val="en-US"/>
        </w:rPr>
        <w:t>&gt;&gt;</w:t>
      </w:r>
    </w:p>
    <w:p w14:paraId="0EFA3D8C"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Times New Roman"/>
          <w:noProof/>
          <w:lang w:eastAsia="ru-RU"/>
        </w:rPr>
        <w:drawing>
          <wp:inline distT="0" distB="0" distL="0" distR="0" wp14:anchorId="7A516C3D" wp14:editId="20B24FA8">
            <wp:extent cx="5958840" cy="3695700"/>
            <wp:effectExtent l="0" t="0" r="3810" b="0"/>
            <wp:docPr id="4837122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958840" cy="3695700"/>
                    </a:xfrm>
                    <a:prstGeom prst="rect">
                      <a:avLst/>
                    </a:prstGeom>
                    <a:noFill/>
                    <a:ln>
                      <a:noFill/>
                    </a:ln>
                  </pic:spPr>
                </pic:pic>
              </a:graphicData>
            </a:graphic>
          </wp:inline>
        </w:drawing>
      </w:r>
    </w:p>
    <w:p w14:paraId="3117E93F"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Вышло довольно хорошее представление о том, что наиболее важно. Но попробуем изучить глубже модель с помощью </w:t>
      </w:r>
      <w:r w:rsidRPr="00EE7B3A">
        <w:rPr>
          <w:rFonts w:ascii="Times New Roman" w:eastAsia="Calibri" w:hAnsi="Times New Roman" w:cs="Times New Roman"/>
          <w:sz w:val="32"/>
          <w:szCs w:val="28"/>
          <w:lang w:val="en-US"/>
        </w:rPr>
        <w:t>SHAP</w:t>
      </w:r>
      <w:r w:rsidRPr="00EE7B3A">
        <w:rPr>
          <w:rFonts w:ascii="Times New Roman" w:eastAsia="Calibri" w:hAnsi="Times New Roman" w:cs="Times New Roman"/>
          <w:sz w:val="32"/>
          <w:szCs w:val="28"/>
        </w:rPr>
        <w:t>.</w:t>
      </w:r>
    </w:p>
    <w:p w14:paraId="7D5BD100" w14:textId="77777777" w:rsidR="00EE7B3A" w:rsidRPr="00EE7B3A" w:rsidRDefault="00EE7B3A" w:rsidP="00AD58CD">
      <w:pPr>
        <w:numPr>
          <w:ilvl w:val="0"/>
          <w:numId w:val="222"/>
        </w:numPr>
        <w:spacing w:after="0" w:line="240" w:lineRule="auto"/>
        <w:contextualSpacing/>
        <w:jc w:val="both"/>
        <w:rPr>
          <w:rFonts w:ascii="Times New Roman" w:eastAsia="Calibri" w:hAnsi="Times New Roman" w:cs="Times New Roman"/>
          <w:sz w:val="32"/>
          <w:szCs w:val="28"/>
        </w:rPr>
      </w:pPr>
      <w:r w:rsidRPr="00EE7B3A">
        <w:rPr>
          <w:rFonts w:ascii="Times New Roman" w:eastAsia="Calibri" w:hAnsi="Times New Roman" w:cs="Times New Roman"/>
          <w:sz w:val="32"/>
          <w:szCs w:val="28"/>
          <w:lang w:val="en-US"/>
        </w:rPr>
        <w:t>SHAP</w:t>
      </w:r>
    </w:p>
    <w:p w14:paraId="466DF944"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 xml:space="preserve">Благодаря </w:t>
      </w:r>
      <w:r w:rsidRPr="00EE7B3A">
        <w:rPr>
          <w:rFonts w:ascii="Times New Roman" w:eastAsia="Calibri" w:hAnsi="Times New Roman" w:cs="Times New Roman"/>
          <w:sz w:val="32"/>
          <w:szCs w:val="28"/>
          <w:lang w:val="en-US"/>
        </w:rPr>
        <w:t>SHAP</w:t>
      </w:r>
      <w:r w:rsidRPr="00EE7B3A">
        <w:rPr>
          <w:rFonts w:ascii="Times New Roman" w:eastAsia="Calibri" w:hAnsi="Times New Roman" w:cs="Times New Roman"/>
          <w:sz w:val="32"/>
          <w:szCs w:val="28"/>
        </w:rPr>
        <w:t xml:space="preserve"> мы можем изучить более детально, как модель использует показатели для предсказания популярности. И для этого сначала выясним, какие же показатели </w:t>
      </w:r>
      <w:r w:rsidRPr="00EE7B3A">
        <w:rPr>
          <w:rFonts w:ascii="Times New Roman" w:eastAsia="Calibri" w:hAnsi="Times New Roman" w:cs="Times New Roman"/>
          <w:sz w:val="32"/>
          <w:szCs w:val="28"/>
          <w:lang w:val="en-US"/>
        </w:rPr>
        <w:t>SHAP</w:t>
      </w:r>
      <w:r w:rsidRPr="00EE7B3A">
        <w:rPr>
          <w:rFonts w:ascii="Times New Roman" w:eastAsia="Calibri" w:hAnsi="Times New Roman" w:cs="Times New Roman"/>
          <w:sz w:val="32"/>
          <w:szCs w:val="28"/>
        </w:rPr>
        <w:t xml:space="preserve"> считает наиболее значимыми:</w:t>
      </w:r>
    </w:p>
    <w:p w14:paraId="040080BF"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Times New Roman" w:eastAsia="Calibri" w:hAnsi="Times New Roman" w:cs="Times New Roman"/>
          <w:sz w:val="32"/>
          <w:szCs w:val="28"/>
        </w:rPr>
        <w:tab/>
      </w:r>
      <w:r w:rsidRPr="00EE7B3A">
        <w:rPr>
          <w:rFonts w:ascii="Calibri" w:eastAsia="Calibri" w:hAnsi="Calibri" w:cs="Calibri"/>
          <w:sz w:val="28"/>
          <w:szCs w:val="28"/>
          <w:lang w:val="en-US"/>
        </w:rPr>
        <w:t>import shap</w:t>
      </w:r>
    </w:p>
    <w:p w14:paraId="2257C71A"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ab/>
        <w:t>X_shap = shap.</w:t>
      </w:r>
      <w:proofErr w:type="gramStart"/>
      <w:r w:rsidRPr="00EE7B3A">
        <w:rPr>
          <w:rFonts w:ascii="Calibri" w:eastAsia="Calibri" w:hAnsi="Calibri" w:cs="Calibri"/>
          <w:sz w:val="28"/>
          <w:szCs w:val="28"/>
          <w:lang w:val="en-US"/>
        </w:rPr>
        <w:t>sample(</w:t>
      </w:r>
      <w:proofErr w:type="gramEnd"/>
      <w:r w:rsidRPr="00EE7B3A">
        <w:rPr>
          <w:rFonts w:ascii="Calibri" w:eastAsia="Calibri" w:hAnsi="Calibri" w:cs="Calibri"/>
          <w:sz w:val="28"/>
          <w:szCs w:val="28"/>
          <w:lang w:val="en-US"/>
        </w:rPr>
        <w:t>X_train_df, 100)</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t>explainer = shap.TreeExplainer(xgb, X_train_df)</w:t>
      </w:r>
      <w:r w:rsidRPr="00EE7B3A">
        <w:rPr>
          <w:rFonts w:ascii="Calibri" w:eastAsia="Calibri" w:hAnsi="Calibri" w:cs="Calibri"/>
          <w:sz w:val="28"/>
          <w:szCs w:val="28"/>
          <w:lang w:val="en-US"/>
        </w:rPr>
        <w:br/>
      </w:r>
      <w:r w:rsidRPr="00EE7B3A">
        <w:rPr>
          <w:rFonts w:ascii="Calibri" w:eastAsia="Calibri" w:hAnsi="Calibri" w:cs="Calibri"/>
          <w:sz w:val="28"/>
          <w:szCs w:val="28"/>
          <w:lang w:val="en-US"/>
        </w:rPr>
        <w:tab/>
        <w:t>shap_values = explainer.shap_values(X_shap)</w:t>
      </w:r>
    </w:p>
    <w:p w14:paraId="1C7DEE43"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lastRenderedPageBreak/>
        <w:tab/>
        <w:t xml:space="preserve">fig = </w:t>
      </w:r>
      <w:proofErr w:type="gramStart"/>
      <w:r w:rsidRPr="00EE7B3A">
        <w:rPr>
          <w:rFonts w:ascii="Calibri" w:eastAsia="Calibri" w:hAnsi="Calibri" w:cs="Calibri"/>
          <w:sz w:val="28"/>
          <w:szCs w:val="28"/>
          <w:lang w:val="en-US"/>
        </w:rPr>
        <w:t>shap.summary</w:t>
      </w:r>
      <w:proofErr w:type="gramEnd"/>
      <w:r w:rsidRPr="00EE7B3A">
        <w:rPr>
          <w:rFonts w:ascii="Calibri" w:eastAsia="Calibri" w:hAnsi="Calibri" w:cs="Calibri"/>
          <w:sz w:val="28"/>
          <w:szCs w:val="28"/>
          <w:lang w:val="en-US"/>
        </w:rPr>
        <w:t>_plot(shap_values, X_shap, plot_type = ‘bar’)</w:t>
      </w:r>
    </w:p>
    <w:p w14:paraId="262A5490"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40FAD215"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Times New Roman"/>
          <w:noProof/>
          <w:lang w:eastAsia="ru-RU"/>
        </w:rPr>
        <w:drawing>
          <wp:inline distT="0" distB="0" distL="0" distR="0" wp14:anchorId="73A69E4B" wp14:editId="5A13A146">
            <wp:extent cx="4411980" cy="5265420"/>
            <wp:effectExtent l="0" t="0" r="762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411980" cy="5265420"/>
                    </a:xfrm>
                    <a:prstGeom prst="rect">
                      <a:avLst/>
                    </a:prstGeom>
                    <a:noFill/>
                    <a:ln>
                      <a:noFill/>
                    </a:ln>
                  </pic:spPr>
                </pic:pic>
              </a:graphicData>
            </a:graphic>
          </wp:inline>
        </w:drawing>
      </w:r>
    </w:p>
    <w:p w14:paraId="715A4B30"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Модифицировав код построения графика, мы можем визуализировать не только значение каждого показателя, но и то, как именно он влияет на прогнозирование – положительно или отрицательно:</w:t>
      </w:r>
    </w:p>
    <w:p w14:paraId="30036F4B"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Times New Roman" w:eastAsia="Calibri" w:hAnsi="Times New Roman" w:cs="Times New Roman"/>
          <w:sz w:val="32"/>
          <w:szCs w:val="28"/>
        </w:rPr>
        <w:tab/>
      </w:r>
      <w:proofErr w:type="gramStart"/>
      <w:r w:rsidRPr="00EE7B3A">
        <w:rPr>
          <w:rFonts w:ascii="Calibri" w:eastAsia="Calibri" w:hAnsi="Calibri" w:cs="Calibri"/>
          <w:sz w:val="28"/>
          <w:szCs w:val="28"/>
          <w:lang w:val="en-US"/>
        </w:rPr>
        <w:t>shap.summary</w:t>
      </w:r>
      <w:proofErr w:type="gramEnd"/>
      <w:r w:rsidRPr="00EE7B3A">
        <w:rPr>
          <w:rFonts w:ascii="Calibri" w:eastAsia="Calibri" w:hAnsi="Calibri" w:cs="Calibri"/>
          <w:sz w:val="28"/>
          <w:szCs w:val="28"/>
          <w:lang w:val="en-US"/>
        </w:rPr>
        <w:t>_plot(shap_values, X_shap)</w:t>
      </w:r>
    </w:p>
    <w:p w14:paraId="0ED157A8"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Calibri"/>
          <w:sz w:val="28"/>
          <w:szCs w:val="28"/>
          <w:lang w:val="en-US"/>
        </w:rPr>
        <w:t xml:space="preserve">    &gt;&gt;</w:t>
      </w:r>
    </w:p>
    <w:p w14:paraId="101C7F7B" w14:textId="77777777" w:rsidR="00EE7B3A" w:rsidRPr="00EE7B3A" w:rsidRDefault="00EE7B3A" w:rsidP="00EE7B3A">
      <w:pPr>
        <w:spacing w:after="0" w:line="240" w:lineRule="auto"/>
        <w:rPr>
          <w:rFonts w:ascii="Calibri" w:eastAsia="Calibri" w:hAnsi="Calibri" w:cs="Calibri"/>
          <w:sz w:val="28"/>
          <w:szCs w:val="28"/>
          <w:lang w:val="en-US"/>
        </w:rPr>
      </w:pPr>
      <w:r w:rsidRPr="00EE7B3A">
        <w:rPr>
          <w:rFonts w:ascii="Calibri" w:eastAsia="Calibri" w:hAnsi="Calibri" w:cs="Times New Roman"/>
          <w:noProof/>
          <w:lang w:eastAsia="ru-RU"/>
        </w:rPr>
        <w:lastRenderedPageBreak/>
        <w:drawing>
          <wp:inline distT="0" distB="0" distL="0" distR="0" wp14:anchorId="3E1EE85A" wp14:editId="42C48A14">
            <wp:extent cx="3825240" cy="4678680"/>
            <wp:effectExtent l="0" t="0" r="3810" b="762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3825240" cy="4678680"/>
                    </a:xfrm>
                    <a:prstGeom prst="rect">
                      <a:avLst/>
                    </a:prstGeom>
                    <a:noFill/>
                    <a:ln>
                      <a:noFill/>
                    </a:ln>
                  </pic:spPr>
                </pic:pic>
              </a:graphicData>
            </a:graphic>
          </wp:inline>
        </w:drawing>
      </w:r>
    </w:p>
    <w:p w14:paraId="3053550C" w14:textId="77777777" w:rsidR="00EE7B3A" w:rsidRPr="00EE7B3A" w:rsidRDefault="00EE7B3A" w:rsidP="00EE7B3A">
      <w:pPr>
        <w:spacing w:after="0" w:line="240" w:lineRule="auto"/>
        <w:ind w:firstLine="708"/>
        <w:jc w:val="both"/>
        <w:rPr>
          <w:rFonts w:ascii="Calibri" w:eastAsia="Calibri" w:hAnsi="Calibri" w:cs="Calibri"/>
          <w:sz w:val="28"/>
          <w:szCs w:val="28"/>
          <w:lang w:val="en-US"/>
        </w:rPr>
      </w:pPr>
    </w:p>
    <w:p w14:paraId="07F26C27" w14:textId="77777777" w:rsidR="00EE7B3A" w:rsidRPr="00EE7B3A" w:rsidRDefault="00EE7B3A" w:rsidP="00EE7B3A">
      <w:pPr>
        <w:spacing w:after="0" w:line="240" w:lineRule="auto"/>
        <w:jc w:val="center"/>
        <w:rPr>
          <w:rFonts w:ascii="Times New Roman" w:eastAsia="Calibri" w:hAnsi="Times New Roman" w:cs="Times New Roman"/>
          <w:b/>
          <w:bCs/>
          <w:sz w:val="32"/>
          <w:szCs w:val="28"/>
        </w:rPr>
      </w:pPr>
      <w:r w:rsidRPr="00EE7B3A">
        <w:rPr>
          <w:rFonts w:ascii="Times New Roman" w:eastAsia="Calibri" w:hAnsi="Times New Roman" w:cs="Times New Roman"/>
          <w:b/>
          <w:bCs/>
          <w:sz w:val="32"/>
          <w:szCs w:val="28"/>
        </w:rPr>
        <w:t>Заключение</w:t>
      </w:r>
    </w:p>
    <w:p w14:paraId="7A2BCFE2"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 xml:space="preserve">Как и упоминалось в начале исследования, </w:t>
      </w:r>
      <w:r w:rsidRPr="00EE7B3A">
        <w:rPr>
          <w:rFonts w:ascii="Times New Roman" w:eastAsia="Calibri" w:hAnsi="Times New Roman" w:cs="Times New Roman"/>
          <w:sz w:val="32"/>
          <w:szCs w:val="28"/>
          <w:lang w:val="en-US"/>
        </w:rPr>
        <w:t>Spotify</w:t>
      </w:r>
      <w:r w:rsidRPr="00EE7B3A">
        <w:rPr>
          <w:rFonts w:ascii="Times New Roman" w:eastAsia="Calibri" w:hAnsi="Times New Roman" w:cs="Times New Roman"/>
          <w:sz w:val="32"/>
          <w:szCs w:val="28"/>
        </w:rPr>
        <w:t xml:space="preserve"> действительно повлиял на жизнь сотен миллионов слушателей и исполнителей. Эта платформа является доминирующей в плане прослушивания музыки и бесспорным лидером в индустрии.</w:t>
      </w:r>
    </w:p>
    <w:p w14:paraId="7DD30862" w14:textId="77777777" w:rsidR="00EE7B3A" w:rsidRPr="00EE7B3A" w:rsidRDefault="00EE7B3A" w:rsidP="00EE7B3A">
      <w:pPr>
        <w:spacing w:after="0" w:line="240" w:lineRule="auto"/>
        <w:ind w:firstLine="708"/>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Результаты исследования показывают, что есть несколько метрик и показателей, которые делают песню хитом:</w:t>
      </w:r>
    </w:p>
    <w:p w14:paraId="23F59E66"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1. Прежде всего, важно отметить показатель громкости. Как ни странно, но чем громче песня, тем выше шанс на её популярность.</w:t>
      </w:r>
    </w:p>
    <w:p w14:paraId="20CA8034"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2. Некоторые показатели оказывают негативный эффект на популярность. Например, акустика или элементы разговорной речи, хоть это и придаёт треку оригинальность. Музыка без вокала также в большинстве случаев не интересует пользователей.</w:t>
      </w:r>
    </w:p>
    <w:p w14:paraId="13A519DE"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3. Продолжительность песни не имеет однозначного влияния на её успешность.</w:t>
      </w:r>
    </w:p>
    <w:p w14:paraId="3FDE1E5C" w14:textId="77777777" w:rsidR="00EE7B3A" w:rsidRPr="00EE7B3A" w:rsidRDefault="00EE7B3A" w:rsidP="00EE7B3A">
      <w:pPr>
        <w:spacing w:after="0" w:line="240" w:lineRule="auto"/>
        <w:jc w:val="both"/>
        <w:rPr>
          <w:rFonts w:ascii="Times New Roman" w:eastAsia="Calibri" w:hAnsi="Times New Roman" w:cs="Times New Roman"/>
          <w:sz w:val="32"/>
          <w:szCs w:val="28"/>
        </w:rPr>
      </w:pPr>
      <w:r w:rsidRPr="00EE7B3A">
        <w:rPr>
          <w:rFonts w:ascii="Times New Roman" w:eastAsia="Calibri" w:hAnsi="Times New Roman" w:cs="Times New Roman"/>
          <w:sz w:val="32"/>
          <w:szCs w:val="28"/>
        </w:rPr>
        <w:tab/>
        <w:t xml:space="preserve">В заключение, несмотря на разницу в популярности различных треков, каждый слушатель выбирает то, что ему по душе. Эта </w:t>
      </w:r>
      <w:r w:rsidRPr="00EE7B3A">
        <w:rPr>
          <w:rFonts w:ascii="Times New Roman" w:eastAsia="Calibri" w:hAnsi="Times New Roman" w:cs="Times New Roman"/>
          <w:sz w:val="32"/>
          <w:szCs w:val="28"/>
        </w:rPr>
        <w:lastRenderedPageBreak/>
        <w:t>индивидуальность играет ключевую роль в формировании правильной статистики.</w:t>
      </w:r>
    </w:p>
    <w:p w14:paraId="473F788D" w14:textId="77777777" w:rsidR="00EE7B3A" w:rsidRPr="00EE7B3A" w:rsidRDefault="00EE7B3A" w:rsidP="00EE7B3A">
      <w:pPr>
        <w:spacing w:after="200" w:line="240" w:lineRule="auto"/>
        <w:jc w:val="both"/>
        <w:rPr>
          <w:rFonts w:ascii="Times New Roman" w:eastAsia="Calibri" w:hAnsi="Times New Roman" w:cs="Times New Roman"/>
          <w:sz w:val="32"/>
          <w:szCs w:val="28"/>
        </w:rPr>
      </w:pPr>
    </w:p>
    <w:p w14:paraId="69009DD9" w14:textId="418C163E" w:rsidR="00EE7B3A" w:rsidRPr="00EE7B3A" w:rsidRDefault="00EE7B3A" w:rsidP="00C70095">
      <w:pPr>
        <w:spacing w:after="0" w:line="240" w:lineRule="auto"/>
        <w:jc w:val="center"/>
        <w:rPr>
          <w:rFonts w:ascii="Times New Roman" w:eastAsia="Calibri" w:hAnsi="Times New Roman" w:cs="Times New Roman"/>
          <w:b/>
          <w:bCs/>
          <w:sz w:val="21"/>
          <w:szCs w:val="21"/>
        </w:rPr>
      </w:pPr>
      <w:r w:rsidRPr="00EE7B3A">
        <w:rPr>
          <w:rFonts w:ascii="Times New Roman" w:eastAsia="Calibri" w:hAnsi="Times New Roman" w:cs="Times New Roman"/>
          <w:b/>
          <w:bCs/>
          <w:sz w:val="21"/>
          <w:szCs w:val="21"/>
        </w:rPr>
        <w:t>Литература</w:t>
      </w:r>
      <w:r w:rsidR="00C70095" w:rsidRPr="00C70095">
        <w:rPr>
          <w:rFonts w:ascii="Times New Roman" w:eastAsia="Calibri" w:hAnsi="Times New Roman" w:cs="Times New Roman"/>
          <w:b/>
          <w:bCs/>
          <w:sz w:val="21"/>
          <w:szCs w:val="21"/>
        </w:rPr>
        <w:t>:</w:t>
      </w:r>
    </w:p>
    <w:p w14:paraId="57B48BDC" w14:textId="77777777" w:rsidR="00EE7B3A" w:rsidRPr="00EE7B3A" w:rsidRDefault="00EE7B3A" w:rsidP="00C70095">
      <w:pPr>
        <w:spacing w:after="0" w:line="240" w:lineRule="auto"/>
        <w:jc w:val="both"/>
        <w:rPr>
          <w:rFonts w:ascii="Times New Roman" w:eastAsia="Calibri" w:hAnsi="Times New Roman" w:cs="Times New Roman"/>
          <w:sz w:val="21"/>
          <w:szCs w:val="21"/>
        </w:rPr>
      </w:pPr>
      <w:r w:rsidRPr="00EE7B3A">
        <w:rPr>
          <w:rFonts w:ascii="Times New Roman" w:eastAsia="Calibri" w:hAnsi="Times New Roman" w:cs="Times New Roman"/>
          <w:sz w:val="21"/>
          <w:szCs w:val="21"/>
        </w:rPr>
        <w:t xml:space="preserve">1. Коротеев, М. В., Основы машинного обучения на Python: учебник / М. В. Коротеев. — </w:t>
      </w:r>
      <w:proofErr w:type="gramStart"/>
      <w:r w:rsidRPr="00EE7B3A">
        <w:rPr>
          <w:rFonts w:ascii="Times New Roman" w:eastAsia="Calibri" w:hAnsi="Times New Roman" w:cs="Times New Roman"/>
          <w:sz w:val="21"/>
          <w:szCs w:val="21"/>
        </w:rPr>
        <w:t>Москва :</w:t>
      </w:r>
      <w:proofErr w:type="gramEnd"/>
      <w:r w:rsidRPr="00EE7B3A">
        <w:rPr>
          <w:rFonts w:ascii="Times New Roman" w:eastAsia="Calibri" w:hAnsi="Times New Roman" w:cs="Times New Roman"/>
          <w:sz w:val="21"/>
          <w:szCs w:val="21"/>
        </w:rPr>
        <w:t xml:space="preserve"> КноРус, 2025.</w:t>
      </w:r>
    </w:p>
    <w:p w14:paraId="446664B1" w14:textId="77777777" w:rsidR="00EE7B3A" w:rsidRPr="00EE7B3A" w:rsidRDefault="00EE7B3A" w:rsidP="00C70095">
      <w:pPr>
        <w:spacing w:after="0" w:line="240" w:lineRule="auto"/>
        <w:jc w:val="both"/>
        <w:rPr>
          <w:rFonts w:ascii="Times New Roman" w:eastAsia="Calibri" w:hAnsi="Times New Roman" w:cs="Times New Roman"/>
          <w:sz w:val="21"/>
          <w:szCs w:val="21"/>
        </w:rPr>
      </w:pPr>
      <w:r w:rsidRPr="00EE7B3A">
        <w:rPr>
          <w:rFonts w:ascii="Times New Roman" w:eastAsia="Calibri" w:hAnsi="Times New Roman" w:cs="Times New Roman"/>
          <w:sz w:val="21"/>
          <w:szCs w:val="21"/>
        </w:rPr>
        <w:t xml:space="preserve">2. Митяков, Е. С. Искусственный интеллект и машинное </w:t>
      </w:r>
      <w:proofErr w:type="gramStart"/>
      <w:r w:rsidRPr="00EE7B3A">
        <w:rPr>
          <w:rFonts w:ascii="Times New Roman" w:eastAsia="Calibri" w:hAnsi="Times New Roman" w:cs="Times New Roman"/>
          <w:sz w:val="21"/>
          <w:szCs w:val="21"/>
        </w:rPr>
        <w:t>обучение :</w:t>
      </w:r>
      <w:proofErr w:type="gramEnd"/>
      <w:r w:rsidRPr="00EE7B3A">
        <w:rPr>
          <w:rFonts w:ascii="Times New Roman" w:eastAsia="Calibri" w:hAnsi="Times New Roman" w:cs="Times New Roman"/>
          <w:sz w:val="21"/>
          <w:szCs w:val="21"/>
        </w:rPr>
        <w:t xml:space="preserve"> учебное пособие для вузов / Е. С. Митяков, А. Г. Шмелева, А. И. Ладынин. — Санкт-</w:t>
      </w:r>
      <w:proofErr w:type="gramStart"/>
      <w:r w:rsidRPr="00EE7B3A">
        <w:rPr>
          <w:rFonts w:ascii="Times New Roman" w:eastAsia="Calibri" w:hAnsi="Times New Roman" w:cs="Times New Roman"/>
          <w:sz w:val="21"/>
          <w:szCs w:val="21"/>
        </w:rPr>
        <w:t>Петербург :</w:t>
      </w:r>
      <w:proofErr w:type="gramEnd"/>
      <w:r w:rsidRPr="00EE7B3A">
        <w:rPr>
          <w:rFonts w:ascii="Times New Roman" w:eastAsia="Calibri" w:hAnsi="Times New Roman" w:cs="Times New Roman"/>
          <w:sz w:val="21"/>
          <w:szCs w:val="21"/>
        </w:rPr>
        <w:t xml:space="preserve"> Лань, 2025.</w:t>
      </w:r>
    </w:p>
    <w:p w14:paraId="2731B81D" w14:textId="77777777" w:rsidR="00EE7B3A" w:rsidRPr="00EE7B3A" w:rsidRDefault="00EE7B3A" w:rsidP="00C70095">
      <w:pPr>
        <w:spacing w:after="0" w:line="240" w:lineRule="auto"/>
        <w:jc w:val="both"/>
        <w:rPr>
          <w:rFonts w:ascii="Times New Roman" w:eastAsia="Calibri" w:hAnsi="Times New Roman" w:cs="Times New Roman"/>
          <w:sz w:val="21"/>
          <w:szCs w:val="21"/>
        </w:rPr>
      </w:pPr>
      <w:r w:rsidRPr="00EE7B3A">
        <w:rPr>
          <w:rFonts w:ascii="Times New Roman" w:eastAsia="Times New Roman" w:hAnsi="Times New Roman" w:cs="Times New Roman"/>
          <w:sz w:val="21"/>
          <w:szCs w:val="21"/>
        </w:rPr>
        <w:t>3. Франциско О.Ю., Молчан А.С. Моделирование систем / учебник. - Краснодар, 2023. - 178 с.</w:t>
      </w:r>
    </w:p>
    <w:p w14:paraId="3970F3E5" w14:textId="77777777" w:rsidR="00EE7B3A" w:rsidRPr="00EE7B3A" w:rsidRDefault="00EE7B3A" w:rsidP="00C70095">
      <w:pPr>
        <w:spacing w:after="0" w:line="240" w:lineRule="auto"/>
        <w:jc w:val="both"/>
        <w:rPr>
          <w:rFonts w:ascii="Times New Roman" w:eastAsia="Calibri" w:hAnsi="Times New Roman" w:cs="Times New Roman"/>
          <w:sz w:val="21"/>
          <w:szCs w:val="21"/>
        </w:rPr>
      </w:pPr>
      <w:r w:rsidRPr="00EE7B3A">
        <w:rPr>
          <w:rFonts w:ascii="Times New Roman" w:eastAsia="Calibri" w:hAnsi="Times New Roman" w:cs="Times New Roman"/>
          <w:sz w:val="21"/>
          <w:szCs w:val="21"/>
        </w:rPr>
        <w:t>4. Официальный сайт Хабр (</w:t>
      </w:r>
      <w:r w:rsidRPr="00EE7B3A">
        <w:rPr>
          <w:rFonts w:ascii="Times New Roman" w:eastAsia="Calibri" w:hAnsi="Times New Roman" w:cs="Times New Roman"/>
          <w:sz w:val="21"/>
          <w:szCs w:val="21"/>
          <w:lang w:val="en-US"/>
        </w:rPr>
        <w:t>habr</w:t>
      </w:r>
      <w:r w:rsidRPr="00EE7B3A">
        <w:rPr>
          <w:rFonts w:ascii="Times New Roman" w:eastAsia="Calibri" w:hAnsi="Times New Roman" w:cs="Times New Roman"/>
          <w:sz w:val="21"/>
          <w:szCs w:val="21"/>
        </w:rPr>
        <w:t>.</w:t>
      </w:r>
      <w:r w:rsidRPr="00EE7B3A">
        <w:rPr>
          <w:rFonts w:ascii="Times New Roman" w:eastAsia="Calibri" w:hAnsi="Times New Roman" w:cs="Times New Roman"/>
          <w:sz w:val="21"/>
          <w:szCs w:val="21"/>
          <w:lang w:val="en-US"/>
        </w:rPr>
        <w:t>com</w:t>
      </w:r>
      <w:r w:rsidRPr="00EE7B3A">
        <w:rPr>
          <w:rFonts w:ascii="Times New Roman" w:eastAsia="Calibri" w:hAnsi="Times New Roman" w:cs="Times New Roman"/>
          <w:sz w:val="21"/>
          <w:szCs w:val="21"/>
        </w:rPr>
        <w:t xml:space="preserve">), статья «Пишем систему рекомендаций музыки на основе </w:t>
      </w:r>
      <w:r w:rsidRPr="00EE7B3A">
        <w:rPr>
          <w:rFonts w:ascii="Times New Roman" w:eastAsia="Calibri" w:hAnsi="Times New Roman" w:cs="Times New Roman"/>
          <w:sz w:val="21"/>
          <w:szCs w:val="21"/>
          <w:lang w:val="en-US"/>
        </w:rPr>
        <w:t>ML</w:t>
      </w:r>
      <w:r w:rsidRPr="00EE7B3A">
        <w:rPr>
          <w:rFonts w:ascii="Times New Roman" w:eastAsia="Calibri" w:hAnsi="Times New Roman" w:cs="Times New Roman"/>
          <w:sz w:val="21"/>
          <w:szCs w:val="21"/>
        </w:rPr>
        <w:t xml:space="preserve">» [Электронный ресурс: </w:t>
      </w:r>
      <w:hyperlink r:id="rId447" w:history="1">
        <w:r w:rsidRPr="00EE7B3A">
          <w:rPr>
            <w:rFonts w:ascii="Times New Roman" w:eastAsia="Calibri" w:hAnsi="Times New Roman" w:cs="Times New Roman"/>
            <w:color w:val="0000FF"/>
            <w:sz w:val="21"/>
            <w:szCs w:val="21"/>
            <w:u w:val="single"/>
          </w:rPr>
          <w:t>https://habr.com/ru/companies/skillfactory/articles/585182/</w:t>
        </w:r>
      </w:hyperlink>
      <w:r w:rsidRPr="00EE7B3A">
        <w:rPr>
          <w:rFonts w:ascii="Times New Roman" w:eastAsia="Calibri" w:hAnsi="Times New Roman" w:cs="Times New Roman"/>
          <w:sz w:val="21"/>
          <w:szCs w:val="21"/>
        </w:rPr>
        <w:t xml:space="preserve"> (дата обращения: 05.04.2025)]</w:t>
      </w:r>
    </w:p>
    <w:p w14:paraId="3398C09A" w14:textId="77777777" w:rsidR="00A52464" w:rsidRPr="00877DE5" w:rsidRDefault="00A52464"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74E0DEF" w14:textId="77777777" w:rsidR="00877DE5" w:rsidRP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8793AE7" w14:textId="77777777" w:rsidR="00877DE5" w:rsidRP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DD588C8" w14:textId="77777777" w:rsidR="00877DE5" w:rsidRPr="00877DE5" w:rsidRDefault="00877DE5" w:rsidP="0006710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3ED4AD5" w14:textId="77777777" w:rsidR="00877DE5" w:rsidRPr="00877DE5" w:rsidRDefault="00877DE5" w:rsidP="00FD0B97">
      <w:pPr>
        <w:spacing w:after="0" w:line="240" w:lineRule="auto"/>
        <w:rPr>
          <w:rFonts w:ascii="Times New Roman" w:eastAsia="TimesNewRomanPSMT" w:hAnsi="Times New Roman" w:cs="Times New Roman"/>
          <w:color w:val="111929"/>
          <w:kern w:val="2"/>
          <w:sz w:val="32"/>
          <w:szCs w:val="32"/>
          <w:lang w:eastAsia="ru-RU"/>
        </w:rPr>
        <w:sectPr w:rsidR="00877DE5" w:rsidRPr="00877DE5" w:rsidSect="00877DE5">
          <w:footerReference w:type="default" r:id="rId448"/>
          <w:pgSz w:w="11920" w:h="16840"/>
          <w:pgMar w:top="1134" w:right="1134" w:bottom="1134" w:left="1134" w:header="0" w:footer="0" w:gutter="0"/>
          <w:cols w:space="720"/>
          <w:formProt w:val="0"/>
          <w:docGrid w:linePitch="600" w:charSpace="32768"/>
        </w:sectPr>
      </w:pPr>
    </w:p>
    <w:p w14:paraId="115C8F9E" w14:textId="079A9904" w:rsidR="00877DE5" w:rsidRPr="0064628F" w:rsidRDefault="0064628F" w:rsidP="0064628F">
      <w:pPr>
        <w:jc w:val="center"/>
        <w:rPr>
          <w:rFonts w:ascii="Times New Roman" w:hAnsi="Times New Roman" w:cs="Times New Roman"/>
          <w:b/>
          <w:sz w:val="32"/>
          <w:szCs w:val="32"/>
        </w:rPr>
      </w:pPr>
      <w:r w:rsidRPr="0064628F">
        <w:rPr>
          <w:rFonts w:ascii="Times New Roman" w:hAnsi="Times New Roman" w:cs="Times New Roman"/>
          <w:b/>
          <w:sz w:val="32"/>
          <w:szCs w:val="32"/>
        </w:rPr>
        <w:lastRenderedPageBreak/>
        <w:t>РАЗДЕЛ 5</w:t>
      </w:r>
    </w:p>
    <w:p w14:paraId="2CD4BFEA" w14:textId="5DD46736" w:rsidR="0064628F" w:rsidRPr="0064628F" w:rsidRDefault="0064628F" w:rsidP="009A3EA0">
      <w:pPr>
        <w:keepNext/>
        <w:keepLines/>
        <w:tabs>
          <w:tab w:val="right" w:leader="dot" w:pos="9356"/>
        </w:tabs>
        <w:spacing w:after="0" w:line="240" w:lineRule="auto"/>
        <w:jc w:val="center"/>
        <w:rPr>
          <w:rFonts w:ascii="Times New Roman" w:hAnsi="Times New Roman" w:cs="Times New Roman"/>
          <w:b/>
          <w:bCs/>
          <w:sz w:val="32"/>
          <w:szCs w:val="32"/>
        </w:rPr>
      </w:pPr>
      <w:r w:rsidRPr="0064628F">
        <w:rPr>
          <w:rFonts w:ascii="Times New Roman" w:hAnsi="Times New Roman" w:cs="Times New Roman"/>
          <w:b/>
          <w:bCs/>
          <w:sz w:val="32"/>
          <w:szCs w:val="32"/>
        </w:rPr>
        <w:t>ИНФОРМАЦИОННАЯ БЕЗОПАСНОСТЬ И</w:t>
      </w:r>
      <w:r w:rsidR="009A3EA0">
        <w:rPr>
          <w:rFonts w:ascii="Times New Roman" w:hAnsi="Times New Roman" w:cs="Times New Roman"/>
          <w:b/>
          <w:bCs/>
          <w:sz w:val="32"/>
          <w:szCs w:val="32"/>
        </w:rPr>
        <w:t xml:space="preserve"> </w:t>
      </w:r>
      <w:r w:rsidRPr="0064628F">
        <w:rPr>
          <w:rFonts w:ascii="Times New Roman" w:hAnsi="Times New Roman" w:cs="Times New Roman"/>
          <w:b/>
          <w:bCs/>
          <w:sz w:val="32"/>
          <w:szCs w:val="32"/>
        </w:rPr>
        <w:t>ИНФОРМАЦИОННОЕ ВЗАИМОДЕЙСТВИЕ</w:t>
      </w:r>
    </w:p>
    <w:p w14:paraId="6B35B37D" w14:textId="77777777" w:rsidR="003B64F4" w:rsidRDefault="003B64F4" w:rsidP="00FD0B97">
      <w:pPr>
        <w:rPr>
          <w:b/>
        </w:rPr>
      </w:pPr>
    </w:p>
    <w:p w14:paraId="10297986" w14:textId="77777777" w:rsidR="002F5BEC" w:rsidRPr="001F55CA" w:rsidRDefault="002F5BEC" w:rsidP="002F5BEC">
      <w:pPr>
        <w:spacing w:line="240" w:lineRule="auto"/>
        <w:ind w:right="1134"/>
      </w:pPr>
      <w:r w:rsidRPr="001F55CA">
        <w:rPr>
          <w:rFonts w:ascii="Times New Roman" w:eastAsia="Times New Roman" w:hAnsi="Times New Roman" w:cs="Times New Roman"/>
          <w:b/>
          <w:bCs/>
        </w:rPr>
        <w:t>УДК 330.47</w:t>
      </w:r>
    </w:p>
    <w:p w14:paraId="2227CD6B" w14:textId="77777777" w:rsidR="002F5BEC" w:rsidRDefault="002F5BEC" w:rsidP="002F5BEC">
      <w:pPr>
        <w:spacing w:after="0" w:line="240" w:lineRule="auto"/>
        <w:jc w:val="right"/>
        <w:rPr>
          <w:sz w:val="20"/>
          <w:szCs w:val="20"/>
        </w:rPr>
      </w:pPr>
      <w:r>
        <w:rPr>
          <w:rFonts w:ascii="Times New Roman" w:eastAsia="Times New Roman" w:hAnsi="Times New Roman" w:cs="Times New Roman"/>
          <w:b/>
          <w:bCs/>
          <w:i/>
          <w:iCs/>
          <w:sz w:val="20"/>
          <w:szCs w:val="20"/>
        </w:rPr>
        <w:t xml:space="preserve">Бармина Н.М.,  </w:t>
      </w:r>
    </w:p>
    <w:p w14:paraId="6C003D23" w14:textId="77777777" w:rsidR="002F5BEC" w:rsidRDefault="002F5BEC" w:rsidP="002F5BEC">
      <w:pPr>
        <w:spacing w:after="0" w:line="240" w:lineRule="auto"/>
        <w:ind w:left="-850"/>
        <w:jc w:val="right"/>
        <w:rPr>
          <w:sz w:val="20"/>
          <w:szCs w:val="20"/>
        </w:rPr>
      </w:pPr>
      <w:r>
        <w:rPr>
          <w:rFonts w:ascii="Times New Roman" w:eastAsia="Times New Roman" w:hAnsi="Times New Roman" w:cs="Times New Roman"/>
          <w:i/>
          <w:iCs/>
          <w:sz w:val="20"/>
          <w:szCs w:val="20"/>
        </w:rPr>
        <w:t xml:space="preserve">студент 2 курса </w:t>
      </w:r>
    </w:p>
    <w:p w14:paraId="60365B8D" w14:textId="77777777" w:rsidR="002F5BEC" w:rsidRDefault="002F5BEC" w:rsidP="002F5BEC">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0632989" w14:textId="77777777" w:rsidR="002F5BEC" w:rsidRDefault="002F5BEC" w:rsidP="002F5BEC">
      <w:pPr>
        <w:spacing w:after="0" w:line="240" w:lineRule="auto"/>
        <w:jc w:val="right"/>
        <w:rPr>
          <w:sz w:val="20"/>
          <w:szCs w:val="20"/>
        </w:rPr>
      </w:pPr>
      <w:r>
        <w:rPr>
          <w:rFonts w:ascii="Times New Roman" w:eastAsia="Times New Roman" w:hAnsi="Times New Roman" w:cs="Times New Roman"/>
          <w:i/>
          <w:iCs/>
          <w:sz w:val="20"/>
          <w:szCs w:val="20"/>
        </w:rPr>
        <w:t xml:space="preserve">г. Краснодар, Россия </w:t>
      </w:r>
    </w:p>
    <w:p w14:paraId="173D232C" w14:textId="77777777" w:rsidR="002F5BEC" w:rsidRDefault="002F5BEC" w:rsidP="002F5BEC">
      <w:pPr>
        <w:spacing w:after="120" w:line="240" w:lineRule="auto"/>
        <w:jc w:val="right"/>
        <w:rPr>
          <w:sz w:val="20"/>
          <w:szCs w:val="20"/>
        </w:rPr>
      </w:pPr>
      <w:r>
        <w:rPr>
          <w:rFonts w:ascii="Times New Roman" w:eastAsia="Times New Roman" w:hAnsi="Times New Roman" w:cs="Times New Roman"/>
          <w:i/>
          <w:iCs/>
          <w:sz w:val="20"/>
          <w:szCs w:val="20"/>
        </w:rPr>
        <w:t xml:space="preserve">e-mail: </w:t>
      </w:r>
      <w:hyperlink r:id="rId449">
        <w:r>
          <w:rPr>
            <w:rStyle w:val="aa"/>
            <w:rFonts w:ascii="Times New Roman" w:eastAsia="Times New Roman" w:hAnsi="Times New Roman" w:cs="Times New Roman"/>
            <w:i/>
            <w:iCs/>
            <w:sz w:val="20"/>
            <w:szCs w:val="20"/>
          </w:rPr>
          <w:t xml:space="preserve">nataliabarmina3577@gmail.com </w:t>
        </w:r>
      </w:hyperlink>
    </w:p>
    <w:p w14:paraId="1F7AFD84" w14:textId="77777777" w:rsidR="002F5BEC" w:rsidRDefault="002F5BEC" w:rsidP="002F5BEC">
      <w:pPr>
        <w:spacing w:after="0" w:line="240" w:lineRule="auto"/>
        <w:jc w:val="right"/>
        <w:rPr>
          <w:sz w:val="20"/>
          <w:szCs w:val="20"/>
        </w:rPr>
      </w:pPr>
      <w:r>
        <w:rPr>
          <w:rFonts w:ascii="Times New Roman" w:eastAsia="Times New Roman" w:hAnsi="Times New Roman" w:cs="Times New Roman"/>
          <w:b/>
          <w:bCs/>
          <w:i/>
          <w:iCs/>
          <w:sz w:val="20"/>
          <w:szCs w:val="20"/>
        </w:rPr>
        <w:t>Научный руководитель:</w:t>
      </w:r>
      <w:r>
        <w:rPr>
          <w:rFonts w:ascii="Times New Roman" w:eastAsia="Times New Roman" w:hAnsi="Times New Roman" w:cs="Times New Roman"/>
          <w:i/>
          <w:iCs/>
          <w:sz w:val="20"/>
          <w:szCs w:val="20"/>
        </w:rPr>
        <w:t xml:space="preserve"> </w:t>
      </w:r>
    </w:p>
    <w:p w14:paraId="4C5C8313" w14:textId="77777777" w:rsidR="002F5BEC" w:rsidRDefault="002F5BEC" w:rsidP="002F5BEC">
      <w:pPr>
        <w:spacing w:after="0" w:line="240" w:lineRule="auto"/>
        <w:jc w:val="right"/>
        <w:rPr>
          <w:sz w:val="20"/>
          <w:szCs w:val="20"/>
        </w:rPr>
      </w:pPr>
      <w:r>
        <w:rPr>
          <w:rFonts w:ascii="Times New Roman" w:eastAsia="Times New Roman" w:hAnsi="Times New Roman" w:cs="Times New Roman"/>
          <w:b/>
          <w:bCs/>
          <w:i/>
          <w:iCs/>
          <w:sz w:val="20"/>
          <w:szCs w:val="20"/>
        </w:rPr>
        <w:t>Франциско О.Ю.,</w:t>
      </w:r>
      <w:r>
        <w:rPr>
          <w:rFonts w:ascii="Times New Roman" w:eastAsia="Times New Roman" w:hAnsi="Times New Roman" w:cs="Times New Roman"/>
          <w:i/>
          <w:iCs/>
          <w:sz w:val="20"/>
          <w:szCs w:val="20"/>
        </w:rPr>
        <w:t xml:space="preserve"> </w:t>
      </w:r>
    </w:p>
    <w:p w14:paraId="141D4CBE" w14:textId="77777777" w:rsidR="002F5BEC" w:rsidRDefault="002F5BEC" w:rsidP="002F5BEC">
      <w:pPr>
        <w:spacing w:after="0" w:line="240" w:lineRule="auto"/>
        <w:jc w:val="right"/>
        <w:rPr>
          <w:sz w:val="20"/>
          <w:szCs w:val="20"/>
        </w:rPr>
      </w:pPr>
      <w:r>
        <w:rPr>
          <w:rFonts w:ascii="Times New Roman" w:eastAsia="Times New Roman" w:hAnsi="Times New Roman" w:cs="Times New Roman"/>
          <w:i/>
          <w:iCs/>
          <w:sz w:val="20"/>
          <w:szCs w:val="20"/>
        </w:rPr>
        <w:t xml:space="preserve">доцент, кандидат экономических наук </w:t>
      </w:r>
    </w:p>
    <w:p w14:paraId="4315CA86" w14:textId="77777777" w:rsidR="002F5BEC" w:rsidRDefault="002F5BEC" w:rsidP="002F5BEC">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60744AE" w14:textId="77777777" w:rsidR="002F5BEC" w:rsidRDefault="002F5BEC" w:rsidP="002F5BEC">
      <w:pPr>
        <w:spacing w:after="0" w:line="240" w:lineRule="auto"/>
        <w:jc w:val="right"/>
        <w:rPr>
          <w:sz w:val="20"/>
          <w:szCs w:val="20"/>
        </w:rPr>
      </w:pPr>
      <w:r>
        <w:rPr>
          <w:rFonts w:ascii="Times New Roman" w:eastAsia="Times New Roman" w:hAnsi="Times New Roman" w:cs="Times New Roman"/>
          <w:i/>
          <w:iCs/>
          <w:sz w:val="20"/>
          <w:szCs w:val="20"/>
        </w:rPr>
        <w:t xml:space="preserve">г. Краснодар, Россия </w:t>
      </w:r>
    </w:p>
    <w:p w14:paraId="4FE2A46C" w14:textId="77777777" w:rsidR="002F5BEC" w:rsidRDefault="002F5BEC" w:rsidP="002F5BEC">
      <w:pPr>
        <w:spacing w:after="0" w:line="240" w:lineRule="auto"/>
        <w:jc w:val="right"/>
      </w:pPr>
      <w:r>
        <w:rPr>
          <w:rFonts w:ascii="Times New Roman" w:eastAsia="Times New Roman" w:hAnsi="Times New Roman" w:cs="Times New Roman"/>
          <w:i/>
          <w:iCs/>
          <w:sz w:val="20"/>
          <w:szCs w:val="20"/>
        </w:rPr>
        <w:t xml:space="preserve"> e-mail: </w:t>
      </w:r>
      <w:hyperlink r:id="rId450" w:tgtFrame="_blank">
        <w:r>
          <w:rPr>
            <w:rStyle w:val="aa"/>
            <w:rFonts w:ascii="Times New Roman" w:eastAsia="Times New Roman" w:hAnsi="Times New Roman" w:cs="Times New Roman"/>
            <w:i/>
            <w:iCs/>
            <w:sz w:val="20"/>
            <w:szCs w:val="20"/>
          </w:rPr>
          <w:t>OYFrantsisko@fa.ru</w:t>
        </w:r>
      </w:hyperlink>
    </w:p>
    <w:p w14:paraId="44CA9B93" w14:textId="77777777" w:rsidR="002F5BEC" w:rsidRDefault="002F5BEC" w:rsidP="002F5BEC">
      <w:pPr>
        <w:spacing w:before="120" w:after="120"/>
        <w:ind w:firstLine="340"/>
        <w:jc w:val="center"/>
        <w:rPr>
          <w:sz w:val="20"/>
          <w:szCs w:val="20"/>
        </w:rPr>
      </w:pPr>
      <w:r>
        <w:rPr>
          <w:rFonts w:ascii="Times New Roman" w:eastAsia="Times New Roman" w:hAnsi="Times New Roman" w:cs="Times New Roman"/>
          <w:b/>
          <w:bCs/>
          <w:color w:val="000000"/>
          <w:sz w:val="21"/>
          <w:szCs w:val="21"/>
        </w:rPr>
        <w:t>Анализ эффективности</w:t>
      </w:r>
      <w:r w:rsidRPr="007C3A63">
        <w:rPr>
          <w:rFonts w:ascii="Times New Roman" w:eastAsia="Times New Roman" w:hAnsi="Times New Roman" w:cs="Times New Roman"/>
          <w:b/>
          <w:bCs/>
          <w:color w:val="000000"/>
          <w:sz w:val="21"/>
          <w:szCs w:val="21"/>
        </w:rPr>
        <w:t xml:space="preserve"> алгоритмов машинного об</w:t>
      </w:r>
      <w:r>
        <w:rPr>
          <w:rFonts w:ascii="Times New Roman" w:eastAsia="Times New Roman" w:hAnsi="Times New Roman" w:cs="Times New Roman"/>
          <w:b/>
          <w:bCs/>
          <w:color w:val="000000"/>
          <w:sz w:val="21"/>
          <w:szCs w:val="21"/>
        </w:rPr>
        <w:t>учения для прогнозирования цен на недвижимость</w:t>
      </w:r>
    </w:p>
    <w:p w14:paraId="2BBF362A" w14:textId="77777777" w:rsidR="002F5BEC" w:rsidRDefault="002F5BEC" w:rsidP="002F5BEC">
      <w:pPr>
        <w:spacing w:after="0" w:line="240" w:lineRule="auto"/>
        <w:ind w:firstLine="567"/>
        <w:jc w:val="both"/>
      </w:pPr>
      <w:r>
        <w:rPr>
          <w:rFonts w:ascii="Times New Roman" w:eastAsia="Times New Roman" w:hAnsi="Times New Roman" w:cs="Times New Roman"/>
          <w:b/>
          <w:bCs/>
          <w:sz w:val="21"/>
          <w:szCs w:val="21"/>
        </w:rPr>
        <w:t xml:space="preserve">Аннотация: </w:t>
      </w:r>
      <w:r>
        <w:rPr>
          <w:rFonts w:ascii="Times New Roman" w:eastAsia="Times New Roman" w:hAnsi="Times New Roman" w:cs="Times New Roman"/>
          <w:color w:val="000000"/>
          <w:sz w:val="21"/>
          <w:szCs w:val="21"/>
        </w:rPr>
        <w:t>Прогнозирование стоимости недвижимости представляет собой важную проблему в экономической и финансовой сферах. Применение методов машинного обучения способствует увеличению точности предсказаний и улучшению качества принимаемых решений. Данная статья посвящена исследованию различных алгоритмов и моделей машинного обучения, используемых для оценки цен на жилье, а также изучению сильных сторон и недостатков каждой методики.</w:t>
      </w:r>
    </w:p>
    <w:p w14:paraId="618DA1FA" w14:textId="77777777" w:rsidR="002F5BEC" w:rsidRPr="00654CF2" w:rsidRDefault="002F5BEC" w:rsidP="002F5BEC">
      <w:pPr>
        <w:spacing w:after="0" w:line="240" w:lineRule="auto"/>
        <w:ind w:firstLine="567"/>
        <w:jc w:val="both"/>
        <w:rPr>
          <w:rFonts w:ascii="Times New Roman" w:eastAsia="Times New Roman" w:hAnsi="Times New Roman" w:cs="Times New Roman"/>
          <w:sz w:val="21"/>
          <w:szCs w:val="21"/>
          <w:lang w:val="en-US"/>
        </w:rPr>
      </w:pPr>
      <w:r>
        <w:rPr>
          <w:rFonts w:ascii="Times New Roman" w:eastAsia="Times New Roman" w:hAnsi="Times New Roman" w:cs="Times New Roman"/>
          <w:b/>
          <w:bCs/>
          <w:sz w:val="21"/>
          <w:szCs w:val="21"/>
        </w:rPr>
        <w:t>Ключевые</w:t>
      </w:r>
      <w:r w:rsidRPr="008C2F6E">
        <w:rPr>
          <w:rFonts w:ascii="Times New Roman" w:eastAsia="Times New Roman" w:hAnsi="Times New Roman" w:cs="Times New Roman"/>
          <w:b/>
          <w:bCs/>
          <w:sz w:val="21"/>
          <w:szCs w:val="21"/>
          <w:lang w:val="en-US"/>
        </w:rPr>
        <w:t xml:space="preserve"> </w:t>
      </w:r>
      <w:r>
        <w:rPr>
          <w:rFonts w:ascii="Times New Roman" w:eastAsia="Times New Roman" w:hAnsi="Times New Roman" w:cs="Times New Roman"/>
          <w:b/>
          <w:bCs/>
          <w:sz w:val="21"/>
          <w:szCs w:val="21"/>
        </w:rPr>
        <w:t>слова</w:t>
      </w:r>
      <w:r w:rsidRPr="008C2F6E">
        <w:rPr>
          <w:rFonts w:ascii="Times New Roman" w:eastAsia="Times New Roman" w:hAnsi="Times New Roman" w:cs="Times New Roman"/>
          <w:b/>
          <w:bCs/>
          <w:sz w:val="21"/>
          <w:szCs w:val="21"/>
          <w:lang w:val="en-US"/>
        </w:rPr>
        <w:t>:</w:t>
      </w:r>
      <w:r w:rsidRPr="008C2F6E">
        <w:rPr>
          <w:rFonts w:ascii="Times New Roman" w:eastAsia="Times New Roman" w:hAnsi="Times New Roman" w:cs="Times New Roman"/>
          <w:sz w:val="21"/>
          <w:szCs w:val="21"/>
          <w:lang w:val="en-US"/>
        </w:rPr>
        <w:t xml:space="preserve"> </w:t>
      </w:r>
      <w:r>
        <w:rPr>
          <w:rFonts w:ascii="Times New Roman" w:eastAsia="Times New Roman" w:hAnsi="Times New Roman" w:cs="Times New Roman"/>
          <w:sz w:val="21"/>
          <w:szCs w:val="21"/>
        </w:rPr>
        <w:t>Машинное</w:t>
      </w:r>
      <w:r w:rsidRPr="008C2F6E">
        <w:rPr>
          <w:rFonts w:ascii="Times New Roman" w:eastAsia="Times New Roman" w:hAnsi="Times New Roman" w:cs="Times New Roman"/>
          <w:sz w:val="21"/>
          <w:szCs w:val="21"/>
          <w:lang w:val="en-US"/>
        </w:rPr>
        <w:t xml:space="preserve"> </w:t>
      </w:r>
      <w:r>
        <w:rPr>
          <w:rFonts w:ascii="Times New Roman" w:eastAsia="Times New Roman" w:hAnsi="Times New Roman" w:cs="Times New Roman"/>
          <w:sz w:val="21"/>
          <w:szCs w:val="21"/>
        </w:rPr>
        <w:t>обучение</w:t>
      </w:r>
      <w:r w:rsidRPr="008C2F6E">
        <w:rPr>
          <w:rFonts w:ascii="Times New Roman" w:eastAsia="Times New Roman" w:hAnsi="Times New Roman" w:cs="Times New Roman"/>
          <w:sz w:val="21"/>
          <w:szCs w:val="21"/>
          <w:lang w:val="en-US"/>
        </w:rPr>
        <w:t xml:space="preserve">, </w:t>
      </w:r>
      <w:r>
        <w:rPr>
          <w:rFonts w:ascii="Times New Roman" w:eastAsia="Times New Roman" w:hAnsi="Times New Roman" w:cs="Times New Roman"/>
          <w:color w:val="000000"/>
          <w:sz w:val="21"/>
          <w:szCs w:val="21"/>
        </w:rPr>
        <w:t>Прогнозирование</w:t>
      </w:r>
      <w:r w:rsidRPr="008C2F6E">
        <w:rPr>
          <w:rFonts w:ascii="Times New Roman" w:eastAsia="Times New Roman" w:hAnsi="Times New Roman" w:cs="Times New Roman"/>
          <w:color w:val="000000"/>
          <w:sz w:val="21"/>
          <w:szCs w:val="21"/>
          <w:lang w:val="en-US"/>
        </w:rPr>
        <w:t xml:space="preserve"> </w:t>
      </w:r>
      <w:r>
        <w:rPr>
          <w:rFonts w:ascii="Times New Roman" w:eastAsia="Times New Roman" w:hAnsi="Times New Roman" w:cs="Times New Roman"/>
          <w:color w:val="000000"/>
          <w:sz w:val="21"/>
          <w:szCs w:val="21"/>
        </w:rPr>
        <w:t>цен</w:t>
      </w:r>
      <w:r w:rsidRPr="0079564B">
        <w:rPr>
          <w:rFonts w:ascii="Times New Roman" w:eastAsia="Times New Roman" w:hAnsi="Times New Roman" w:cs="Times New Roman"/>
          <w:sz w:val="21"/>
          <w:szCs w:val="21"/>
          <w:lang w:val="en-US"/>
        </w:rPr>
        <w:t>, Decision Tree, Linear Regression, Random Forest, Gradient Boosting.</w:t>
      </w:r>
    </w:p>
    <w:p w14:paraId="058C1901" w14:textId="77777777" w:rsidR="006A33CD" w:rsidRPr="00654CF2" w:rsidRDefault="006A33CD" w:rsidP="002F5BEC">
      <w:pPr>
        <w:spacing w:after="0" w:line="240" w:lineRule="auto"/>
        <w:ind w:firstLine="567"/>
        <w:jc w:val="both"/>
        <w:rPr>
          <w:rFonts w:ascii="Times New Roman" w:eastAsia="Times New Roman" w:hAnsi="Times New Roman" w:cs="Times New Roman"/>
          <w:sz w:val="21"/>
          <w:szCs w:val="21"/>
          <w:lang w:val="en-US"/>
        </w:rPr>
      </w:pPr>
    </w:p>
    <w:p w14:paraId="118BE0EB"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b/>
          <w:bCs/>
          <w:i/>
          <w:iCs/>
          <w:sz w:val="21"/>
          <w:szCs w:val="21"/>
          <w:lang w:val="en-US"/>
        </w:rPr>
        <w:t xml:space="preserve">Barmina N.M., </w:t>
      </w:r>
    </w:p>
    <w:p w14:paraId="3E405CD4" w14:textId="78D8BFE7" w:rsidR="002F5BEC" w:rsidRPr="007C3A63" w:rsidRDefault="002F5BEC" w:rsidP="002F5BEC">
      <w:pPr>
        <w:spacing w:after="0" w:line="240" w:lineRule="auto"/>
        <w:jc w:val="right"/>
        <w:rPr>
          <w:lang w:val="en-US"/>
        </w:rPr>
      </w:pPr>
      <w:r>
        <w:rPr>
          <w:rFonts w:ascii="Times New Roman" w:eastAsia="Times New Roman" w:hAnsi="Times New Roman" w:cs="Times New Roman"/>
          <w:i/>
          <w:iCs/>
          <w:sz w:val="21"/>
          <w:szCs w:val="21"/>
          <w:lang w:val="en-US"/>
        </w:rPr>
        <w:t xml:space="preserve">student, 2 </w:t>
      </w:r>
      <w:r>
        <w:rPr>
          <w:rFonts w:ascii="Times New Roman" w:eastAsia="Times New Roman" w:hAnsi="Times New Roman" w:cs="Times New Roman"/>
          <w:sz w:val="21"/>
          <w:szCs w:val="21"/>
          <w:lang w:val="en-US"/>
        </w:rPr>
        <w:t>courses</w:t>
      </w:r>
    </w:p>
    <w:p w14:paraId="46361977"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i/>
          <w:iCs/>
          <w:sz w:val="21"/>
          <w:szCs w:val="21"/>
          <w:lang w:val="en-US"/>
        </w:rPr>
        <w:t>Federal State Budgetary Educational Institution of Higher Education "Financial University under the Government of the Russian Federation" Krasnodar Branch, Krasnodar, Russia</w:t>
      </w:r>
    </w:p>
    <w:p w14:paraId="247BCC04" w14:textId="77777777" w:rsidR="002F5BEC" w:rsidRPr="00AD249A" w:rsidRDefault="002F5BEC" w:rsidP="002F5BEC">
      <w:pPr>
        <w:spacing w:after="0" w:line="240" w:lineRule="auto"/>
        <w:jc w:val="right"/>
        <w:rPr>
          <w:lang w:val="en-US"/>
        </w:rPr>
      </w:pPr>
      <w:r w:rsidRPr="00AD249A">
        <w:rPr>
          <w:rFonts w:ascii="Times New Roman" w:eastAsia="Times New Roman" w:hAnsi="Times New Roman" w:cs="Times New Roman"/>
          <w:i/>
          <w:iCs/>
          <w:sz w:val="21"/>
          <w:szCs w:val="21"/>
          <w:lang w:val="en-US"/>
        </w:rPr>
        <w:t xml:space="preserve">Krasnodar, Russia </w:t>
      </w:r>
    </w:p>
    <w:p w14:paraId="3C4E6A81" w14:textId="77777777" w:rsidR="002F5BEC" w:rsidRPr="00AD249A" w:rsidRDefault="002F5BEC" w:rsidP="002F5BEC">
      <w:pPr>
        <w:spacing w:after="0" w:line="360" w:lineRule="auto"/>
        <w:jc w:val="right"/>
        <w:rPr>
          <w:lang w:val="en-US"/>
        </w:rPr>
      </w:pPr>
      <w:r w:rsidRPr="00AD249A">
        <w:rPr>
          <w:rFonts w:ascii="Times New Roman" w:eastAsia="Times New Roman" w:hAnsi="Times New Roman" w:cs="Times New Roman"/>
          <w:i/>
          <w:iCs/>
          <w:sz w:val="21"/>
          <w:szCs w:val="21"/>
          <w:lang w:val="en-US"/>
        </w:rPr>
        <w:t xml:space="preserve">e-mail: </w:t>
      </w:r>
      <w:hyperlink r:id="rId451">
        <w:r w:rsidRPr="00AD249A">
          <w:rPr>
            <w:rStyle w:val="aa"/>
            <w:rFonts w:ascii="Times New Roman" w:eastAsia="Times New Roman" w:hAnsi="Times New Roman" w:cs="Times New Roman"/>
            <w:i/>
            <w:iCs/>
            <w:sz w:val="21"/>
            <w:szCs w:val="21"/>
            <w:lang w:val="en-US"/>
          </w:rPr>
          <w:t xml:space="preserve">nataliabarmina3577@gmail.com </w:t>
        </w:r>
      </w:hyperlink>
    </w:p>
    <w:p w14:paraId="2758A16B"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b/>
          <w:bCs/>
          <w:i/>
          <w:iCs/>
          <w:sz w:val="21"/>
          <w:szCs w:val="21"/>
          <w:lang w:val="en-US"/>
        </w:rPr>
        <w:t xml:space="preserve">Scientific adviser: </w:t>
      </w:r>
    </w:p>
    <w:p w14:paraId="0E355573"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b/>
          <w:bCs/>
          <w:i/>
          <w:iCs/>
          <w:sz w:val="21"/>
          <w:szCs w:val="21"/>
          <w:lang w:val="en-US"/>
        </w:rPr>
        <w:t>Francisco O.Y,</w:t>
      </w:r>
    </w:p>
    <w:p w14:paraId="2F1BCC82"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i/>
          <w:iCs/>
          <w:sz w:val="21"/>
          <w:szCs w:val="21"/>
          <w:lang w:val="en-US"/>
        </w:rPr>
        <w:t>Associate Professor, Candidate of Economic Sciences</w:t>
      </w:r>
    </w:p>
    <w:p w14:paraId="588165C0"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i/>
          <w:iCs/>
          <w:sz w:val="21"/>
          <w:szCs w:val="21"/>
          <w:lang w:val="en-US"/>
        </w:rPr>
        <w:t>Federal State Budgetary Educational Institution of Higher Education "Financial University under the Government of the Russian Federation" Krasnodar Branch, Krasnodar, Russia</w:t>
      </w:r>
    </w:p>
    <w:p w14:paraId="77295E5F" w14:textId="77777777" w:rsidR="002F5BEC" w:rsidRPr="007C3A63" w:rsidRDefault="002F5BEC" w:rsidP="002F5BEC">
      <w:pPr>
        <w:spacing w:after="0" w:line="240" w:lineRule="auto"/>
        <w:jc w:val="right"/>
        <w:rPr>
          <w:lang w:val="en-US"/>
        </w:rPr>
      </w:pPr>
      <w:r>
        <w:rPr>
          <w:rFonts w:ascii="Times New Roman" w:eastAsia="Times New Roman" w:hAnsi="Times New Roman" w:cs="Times New Roman"/>
          <w:i/>
          <w:iCs/>
          <w:sz w:val="21"/>
          <w:szCs w:val="21"/>
          <w:lang w:val="en-US"/>
        </w:rPr>
        <w:t xml:space="preserve">e-mail: </w:t>
      </w:r>
      <w:hyperlink r:id="rId452" w:tgtFrame="_blank">
        <w:r>
          <w:rPr>
            <w:rStyle w:val="aa"/>
            <w:rFonts w:ascii="Times New Roman" w:eastAsia="Times New Roman" w:hAnsi="Times New Roman" w:cs="Times New Roman"/>
            <w:i/>
            <w:iCs/>
            <w:sz w:val="21"/>
            <w:szCs w:val="21"/>
            <w:lang w:val="en-US"/>
          </w:rPr>
          <w:t>OYFrantsisko@fa.ru</w:t>
        </w:r>
      </w:hyperlink>
    </w:p>
    <w:p w14:paraId="09166ABC" w14:textId="77777777" w:rsidR="002F5BEC" w:rsidRPr="007C3A63" w:rsidRDefault="002F5BEC" w:rsidP="002F5BEC">
      <w:pPr>
        <w:spacing w:before="120" w:after="120" w:line="240" w:lineRule="auto"/>
        <w:jc w:val="center"/>
        <w:rPr>
          <w:lang w:val="en-US"/>
        </w:rPr>
      </w:pPr>
      <w:r>
        <w:rPr>
          <w:rFonts w:ascii="Times New Roman" w:eastAsia="Times New Roman" w:hAnsi="Times New Roman" w:cs="Times New Roman"/>
          <w:b/>
          <w:bCs/>
          <w:color w:val="000000"/>
          <w:sz w:val="21"/>
          <w:szCs w:val="21"/>
          <w:lang w:val="en-US"/>
        </w:rPr>
        <w:t>Analyzing the effectiveness of machine learning algorithms for predicting real estate prices</w:t>
      </w:r>
    </w:p>
    <w:p w14:paraId="3C096A77" w14:textId="77777777" w:rsidR="002F5BEC" w:rsidRPr="007C3A63" w:rsidRDefault="002F5BEC" w:rsidP="002F5BEC">
      <w:pPr>
        <w:spacing w:after="0" w:line="240" w:lineRule="auto"/>
        <w:ind w:firstLine="567"/>
        <w:jc w:val="both"/>
        <w:rPr>
          <w:lang w:val="en-US"/>
        </w:rPr>
      </w:pPr>
      <w:r>
        <w:rPr>
          <w:rFonts w:ascii="Times New Roman" w:eastAsia="Times New Roman" w:hAnsi="Times New Roman" w:cs="Times New Roman"/>
          <w:b/>
          <w:bCs/>
          <w:sz w:val="21"/>
          <w:szCs w:val="21"/>
          <w:lang w:val="en-US"/>
        </w:rPr>
        <w:t>Abstract:</w:t>
      </w:r>
      <w:r>
        <w:rPr>
          <w:rFonts w:ascii="Times New Roman" w:eastAsia="Times New Roman" w:hAnsi="Times New Roman" w:cs="Times New Roman"/>
          <w:sz w:val="21"/>
          <w:szCs w:val="21"/>
          <w:lang w:val="en-US"/>
        </w:rPr>
        <w:t xml:space="preserve"> </w:t>
      </w:r>
      <w:r>
        <w:rPr>
          <w:rFonts w:ascii="Times New Roman" w:eastAsia="Times New Roman" w:hAnsi="Times New Roman" w:cs="Times New Roman"/>
          <w:color w:val="000000"/>
          <w:sz w:val="21"/>
          <w:szCs w:val="21"/>
          <w:lang w:val="en-US"/>
        </w:rPr>
        <w:t>Forecasting the value of real estate is an important problem in the economic and financial spheres. The use of machine learning methods helps to increase the accuracy of predictions and improve the quality of decisions made. This article is devoted to the study of various machine learning algorithms and models used to estimate housing prices, as well as the study of the strengths and disadvantages of each technique.</w:t>
      </w:r>
    </w:p>
    <w:p w14:paraId="50462B99" w14:textId="77777777" w:rsidR="002F5BEC" w:rsidRPr="007C3A63" w:rsidRDefault="002F5BEC" w:rsidP="002F5BEC">
      <w:pPr>
        <w:spacing w:after="0" w:line="240" w:lineRule="auto"/>
        <w:ind w:firstLine="567"/>
        <w:jc w:val="both"/>
        <w:rPr>
          <w:lang w:val="en-US"/>
        </w:rPr>
      </w:pPr>
      <w:r>
        <w:rPr>
          <w:rFonts w:ascii="Times New Roman" w:eastAsia="Times New Roman" w:hAnsi="Times New Roman" w:cs="Times New Roman"/>
          <w:b/>
          <w:bCs/>
          <w:sz w:val="21"/>
          <w:szCs w:val="21"/>
          <w:lang w:val="en-US"/>
        </w:rPr>
        <w:t>Keywords</w:t>
      </w:r>
      <w:r>
        <w:rPr>
          <w:rFonts w:ascii="Times New Roman" w:eastAsia="Times New Roman" w:hAnsi="Times New Roman" w:cs="Times New Roman"/>
          <w:sz w:val="21"/>
          <w:szCs w:val="21"/>
          <w:lang w:val="en-US"/>
        </w:rPr>
        <w:t xml:space="preserve">: </w:t>
      </w:r>
      <w:r>
        <w:rPr>
          <w:rFonts w:ascii="Times New Roman" w:eastAsia="Times New Roman" w:hAnsi="Times New Roman" w:cs="Times New Roman"/>
          <w:color w:val="000000"/>
          <w:sz w:val="21"/>
          <w:szCs w:val="21"/>
          <w:lang w:val="en-US"/>
        </w:rPr>
        <w:t>Machine learning, Price Forecasting, Decision Tree, Linear Regression, Random Forest, Gradient Boosting</w:t>
      </w:r>
      <w:r>
        <w:rPr>
          <w:rFonts w:ascii="Times New Roman" w:eastAsia="Times New Roman" w:hAnsi="Times New Roman" w:cs="Times New Roman"/>
          <w:sz w:val="21"/>
          <w:szCs w:val="21"/>
          <w:lang w:val="en-US"/>
        </w:rPr>
        <w:t>es.</w:t>
      </w:r>
    </w:p>
    <w:p w14:paraId="2F037AA7" w14:textId="77777777" w:rsidR="002F5BEC" w:rsidRPr="00AD249A" w:rsidRDefault="002F5BEC" w:rsidP="002F5BEC">
      <w:pPr>
        <w:spacing w:after="0" w:line="240" w:lineRule="auto"/>
        <w:ind w:firstLine="709"/>
        <w:jc w:val="both"/>
        <w:rPr>
          <w:rFonts w:ascii="Times New Roman" w:eastAsia="Times New Roman" w:hAnsi="Times New Roman" w:cs="Times New Roman"/>
          <w:sz w:val="32"/>
          <w:szCs w:val="32"/>
          <w:lang w:val="en-US"/>
        </w:rPr>
      </w:pPr>
    </w:p>
    <w:p w14:paraId="33852BFD" w14:textId="77777777" w:rsidR="002F5BEC" w:rsidRDefault="002F5BEC" w:rsidP="002F5BEC">
      <w:pPr>
        <w:spacing w:after="0" w:line="240" w:lineRule="auto"/>
        <w:ind w:firstLine="709"/>
        <w:jc w:val="both"/>
      </w:pPr>
      <w:r>
        <w:rPr>
          <w:rFonts w:ascii="Times New Roman" w:eastAsia="Times New Roman" w:hAnsi="Times New Roman" w:cs="Times New Roman"/>
          <w:sz w:val="32"/>
          <w:szCs w:val="32"/>
        </w:rPr>
        <w:t xml:space="preserve">Рынок недвижимости играет ключевую роль в экономике многих стран, включая Россию. Прогнозирование цен на жилье помогает инвесторам, застройщикам и покупателям принимать обоснованные решения. Такие традиционные подходы, как регрессия и </w:t>
      </w:r>
      <w:r>
        <w:rPr>
          <w:rFonts w:ascii="Times New Roman" w:eastAsia="Times New Roman" w:hAnsi="Times New Roman" w:cs="Times New Roman"/>
          <w:sz w:val="32"/>
          <w:szCs w:val="32"/>
        </w:rPr>
        <w:lastRenderedPageBreak/>
        <w:t>эконометрические модели, имеют ограниченную точность и требуют значительных вычислительных ресурсов. Современные технологии машинного обучения предлагают альтернативные решения, позволяющие значительно улучшить качество прогнозов.</w:t>
      </w:r>
    </w:p>
    <w:p w14:paraId="16F56227" w14:textId="77777777" w:rsidR="002F5BEC" w:rsidRDefault="002F5BEC" w:rsidP="002F5BEC">
      <w:pPr>
        <w:spacing w:after="0" w:line="240" w:lineRule="auto"/>
        <w:ind w:firstLine="709"/>
        <w:jc w:val="both"/>
      </w:pPr>
      <w:r>
        <w:rPr>
          <w:rFonts w:ascii="Times New Roman" w:eastAsia="Times New Roman" w:hAnsi="Times New Roman" w:cs="Times New Roman"/>
          <w:sz w:val="32"/>
          <w:szCs w:val="32"/>
        </w:rPr>
        <w:t>Один из наиболее простых методов – линейная регрессия. Она основана на предположении о линейной зависимости между ценой жилья и факторами, такими как площадь, местоположение, количество комнат и т.д. Несмотря на простоту реализации, этот метод имеет ряд ограничений, связанных с невозможностью учета нелинейных зависимостей и взаимодействий между переменными.</w:t>
      </w:r>
    </w:p>
    <w:p w14:paraId="5EC33274" w14:textId="77777777" w:rsidR="002F5BEC" w:rsidRDefault="002F5BEC" w:rsidP="002F5BEC">
      <w:pPr>
        <w:spacing w:after="0" w:line="240" w:lineRule="auto"/>
        <w:ind w:firstLine="709"/>
        <w:jc w:val="both"/>
      </w:pPr>
      <w:r>
        <w:rPr>
          <w:rFonts w:ascii="Times New Roman" w:eastAsia="Times New Roman" w:hAnsi="Times New Roman" w:cs="Times New Roman"/>
          <w:sz w:val="32"/>
          <w:szCs w:val="32"/>
        </w:rPr>
        <w:t>Деревья решений позволяют учитывать нелинейные зависимости и взаимодействия между переменными. Они строят иерархию правил, основанных на значениях признаков, и используют их для предсказания цены. Случайный лес представляет собой ансамбль деревьев решений, что повышает стабильность и точность прогнозов. Однако эти методы могут быть чувствительны к шуму в данных и требовать большого объема памяти.</w:t>
      </w:r>
    </w:p>
    <w:p w14:paraId="01738681" w14:textId="77777777" w:rsidR="002F5BEC" w:rsidRDefault="002F5BEC" w:rsidP="002F5BEC">
      <w:pPr>
        <w:spacing w:after="0" w:line="240" w:lineRule="auto"/>
        <w:ind w:firstLine="709"/>
        <w:jc w:val="both"/>
      </w:pPr>
      <w:r>
        <w:rPr>
          <w:rFonts w:ascii="Times New Roman" w:eastAsia="Times New Roman" w:hAnsi="Times New Roman" w:cs="Times New Roman"/>
          <w:sz w:val="32"/>
          <w:szCs w:val="32"/>
        </w:rPr>
        <w:t>Нейронные сети представляют собой мощные инструменты для моделирования сложных нелинейных зависимостей. Глубокие нейронные сети способны извлекать скрытые закономерности из больших объемов данных и улучшать точность прогнозов. Тем не менее, обучение глубоких сетей требует значительных вычислительных ресурсов и большого количества данных.</w:t>
      </w:r>
    </w:p>
    <w:p w14:paraId="47FBA7BA" w14:textId="77777777" w:rsidR="002F5BEC" w:rsidRDefault="002F5BEC" w:rsidP="002F5BEC">
      <w:pPr>
        <w:spacing w:after="0" w:line="240" w:lineRule="auto"/>
        <w:ind w:firstLine="709"/>
        <w:jc w:val="both"/>
      </w:pPr>
      <w:r>
        <w:rPr>
          <w:rFonts w:ascii="Times New Roman" w:eastAsia="Times New Roman" w:hAnsi="Times New Roman" w:cs="Times New Roman"/>
          <w:sz w:val="32"/>
          <w:szCs w:val="32"/>
        </w:rPr>
        <w:t>Методы градиентного бустинга, такие как XGBoost и LightGBM, являются одними из наиболее эффективных подходов для прогнозирования цен на недвижимость. Эти алгоритмы последовательно строят слабые модели, минимизируя ошибку предыдущих моделей. Они обладают высокой точностью и устойчивостью к переобучению, однако требуют тщательной настройки гиперпараметров.</w:t>
      </w:r>
    </w:p>
    <w:p w14:paraId="1C5E7280" w14:textId="1445EA38" w:rsidR="002F5BEC" w:rsidRDefault="002F5BEC" w:rsidP="002F5BEC">
      <w:pPr>
        <w:spacing w:after="0" w:line="240" w:lineRule="auto"/>
        <w:ind w:firstLine="709"/>
        <w:jc w:val="both"/>
      </w:pPr>
      <w:r>
        <w:rPr>
          <w:rFonts w:ascii="Times New Roman" w:eastAsia="Times New Roman" w:hAnsi="Times New Roman" w:cs="Times New Roman"/>
          <w:sz w:val="32"/>
          <w:szCs w:val="32"/>
        </w:rPr>
        <w:t xml:space="preserve">Для успешного применения методов машинного обучения важно правильно подготовить данные. Это включает сбор и очистку данных, нормализацию признаков, обработку пропущенных значений и выделение значимых факторов. Качество данных существенно влияет на точность прогнозов, поэтому этап подготовки данных является критически важным. Цены на недвижимость сильно зависят от местоположения. Объекты, расположенные близко друг к другу, часто имеют схожие цены. Это требует применения специальных методов, учитывающих пространственную автокорреляцию, например, </w:t>
      </w:r>
      <w:r>
        <w:rPr>
          <w:rFonts w:ascii="Times New Roman" w:eastAsia="Times New Roman" w:hAnsi="Times New Roman" w:cs="Times New Roman"/>
          <w:sz w:val="32"/>
          <w:szCs w:val="32"/>
        </w:rPr>
        <w:lastRenderedPageBreak/>
        <w:t xml:space="preserve">географически взвешенную регрессию (GWR) или включение географических координат в качестве признаков. Также необходимо учитывать </w:t>
      </w:r>
      <w:r w:rsidRPr="002F5BEC">
        <w:rPr>
          <w:rFonts w:ascii="Times New Roman" w:eastAsia="Times New Roman" w:hAnsi="Times New Roman" w:cs="Times New Roman"/>
          <w:sz w:val="32"/>
          <w:szCs w:val="32"/>
        </w:rPr>
        <w:t>г</w:t>
      </w:r>
      <w:r w:rsidRPr="002F5BEC">
        <w:rPr>
          <w:rStyle w:val="afb"/>
          <w:rFonts w:ascii="Times New Roman" w:eastAsia="Times New Roman" w:hAnsi="Times New Roman" w:cs="Times New Roman"/>
          <w:b w:val="0"/>
          <w:bCs w:val="0"/>
          <w:sz w:val="32"/>
          <w:szCs w:val="32"/>
        </w:rPr>
        <w:t>етероскедастичность:</w:t>
      </w:r>
      <w:r>
        <w:rPr>
          <w:rFonts w:ascii="Times New Roman" w:eastAsia="Times New Roman" w:hAnsi="Times New Roman" w:cs="Times New Roman"/>
          <w:sz w:val="32"/>
          <w:szCs w:val="32"/>
        </w:rPr>
        <w:t xml:space="preserve"> разброс цен на недвижимость может меняться в зависимости от ценового диапазона. Например, вариативность цен на элитную недвижимость выше, чем на более доступные объекты. Это нарушает предпосылку гомоскедастичности, требуемую многими регрессионными моделями. Для решения этой проблемы можно использовать преобразование целевой переменной (например, логарифмирование) или применять робастные к гетероскедастичности методы оценки. Для учета нелинейностей можно использовать нелинейные модели, такие как регрессия на основе деревьев решений.  В данных о недвижимости часто встречаются выбросы, которые могут исказить результаты моделирования и большое количество признаков, некоторые из которых могут быть сильно коррелированы друг с другом. Это может привести к нестабильности оценок коэффициентов регрессии. Для решения этой проблемы можно использовать методы отбора признаков или регуляризацию (например, L1 или L2 регуляризацию). Инфраструктура района играет критическую роль в ценообразовании на недвижимость. Чтобы учесть этот фактор в модели машинного обучения, нужно собрать данные, которые количественно или качественно описывают инфраструктуру каждого района. Примеры таких данных: </w:t>
      </w:r>
    </w:p>
    <w:p w14:paraId="6E5B54F7" w14:textId="77777777" w:rsidR="002F5BEC" w:rsidRPr="007C3A63" w:rsidRDefault="002F5BEC" w:rsidP="00AD58CD">
      <w:pPr>
        <w:pStyle w:val="a8"/>
        <w:numPr>
          <w:ilvl w:val="0"/>
          <w:numId w:val="90"/>
        </w:numPr>
        <w:suppressAutoHyphens/>
        <w:spacing w:after="0" w:line="240" w:lineRule="auto"/>
        <w:ind w:left="0" w:firstLine="709"/>
        <w:jc w:val="both"/>
      </w:pPr>
      <w:r w:rsidRPr="007C3A63">
        <w:rPr>
          <w:rFonts w:ascii="Times New Roman" w:eastAsia="Times New Roman" w:hAnsi="Times New Roman" w:cs="Times New Roman"/>
          <w:sz w:val="32"/>
          <w:szCs w:val="32"/>
        </w:rPr>
        <w:t>Близость к метро, автобусным остановкам, железнодорожным станциям (время в пути, количество маршрутов).</w:t>
      </w:r>
    </w:p>
    <w:p w14:paraId="40D777F9" w14:textId="77777777" w:rsidR="002F5BEC" w:rsidRPr="007C3A63" w:rsidRDefault="002F5BEC" w:rsidP="00AD58CD">
      <w:pPr>
        <w:pStyle w:val="a8"/>
        <w:numPr>
          <w:ilvl w:val="0"/>
          <w:numId w:val="90"/>
        </w:numPr>
        <w:suppressAutoHyphens/>
        <w:spacing w:after="0" w:line="240" w:lineRule="auto"/>
        <w:ind w:left="0" w:firstLine="709"/>
        <w:jc w:val="both"/>
      </w:pPr>
      <w:r w:rsidRPr="007C3A63">
        <w:rPr>
          <w:rFonts w:ascii="Times New Roman" w:eastAsia="Times New Roman" w:hAnsi="Times New Roman" w:cs="Times New Roman"/>
          <w:sz w:val="32"/>
          <w:szCs w:val="32"/>
        </w:rPr>
        <w:t>Наличие и качество школ, детских садов, университетов (рейтинги, количес</w:t>
      </w:r>
      <w:r>
        <w:rPr>
          <w:rFonts w:ascii="Times New Roman" w:eastAsia="Times New Roman" w:hAnsi="Times New Roman" w:cs="Times New Roman"/>
          <w:sz w:val="32"/>
          <w:szCs w:val="32"/>
        </w:rPr>
        <w:t>тво учащихся на преподавателя).</w:t>
      </w:r>
    </w:p>
    <w:p w14:paraId="25226932" w14:textId="77777777" w:rsidR="002F5BEC" w:rsidRPr="007C3A63" w:rsidRDefault="002F5BEC" w:rsidP="00AD58CD">
      <w:pPr>
        <w:pStyle w:val="a8"/>
        <w:numPr>
          <w:ilvl w:val="0"/>
          <w:numId w:val="90"/>
        </w:numPr>
        <w:suppressAutoHyphens/>
        <w:spacing w:after="0" w:line="240" w:lineRule="auto"/>
        <w:ind w:left="0" w:firstLine="709"/>
        <w:jc w:val="both"/>
      </w:pPr>
      <w:r w:rsidRPr="007C3A63">
        <w:rPr>
          <w:rFonts w:ascii="Times New Roman" w:eastAsia="Times New Roman" w:hAnsi="Times New Roman" w:cs="Times New Roman"/>
          <w:sz w:val="32"/>
          <w:szCs w:val="32"/>
        </w:rPr>
        <w:t>Близость к больницам (количество врачей на душу населения, наличие специализированных учреждений), паркам, кинотеатрам, теат</w:t>
      </w:r>
      <w:r>
        <w:rPr>
          <w:rFonts w:ascii="Times New Roman" w:eastAsia="Times New Roman" w:hAnsi="Times New Roman" w:cs="Times New Roman"/>
          <w:sz w:val="32"/>
          <w:szCs w:val="32"/>
        </w:rPr>
        <w:t>рам, музеям.</w:t>
      </w:r>
    </w:p>
    <w:p w14:paraId="342A5F8F" w14:textId="77777777" w:rsidR="002F5BEC" w:rsidRPr="007C3A63" w:rsidRDefault="002F5BEC" w:rsidP="00AD58CD">
      <w:pPr>
        <w:pStyle w:val="a8"/>
        <w:numPr>
          <w:ilvl w:val="0"/>
          <w:numId w:val="90"/>
        </w:numPr>
        <w:suppressAutoHyphens/>
        <w:spacing w:after="0" w:line="240" w:lineRule="auto"/>
        <w:ind w:left="0" w:firstLine="709"/>
        <w:jc w:val="both"/>
      </w:pPr>
      <w:r w:rsidRPr="007C3A63">
        <w:rPr>
          <w:rFonts w:ascii="Times New Roman" w:eastAsia="Times New Roman" w:hAnsi="Times New Roman" w:cs="Times New Roman"/>
          <w:sz w:val="32"/>
          <w:szCs w:val="32"/>
        </w:rPr>
        <w:t>Наличие магазинов, ресторанов, кафе, банков, салонов красоты (коли</w:t>
      </w:r>
      <w:r>
        <w:rPr>
          <w:rFonts w:ascii="Times New Roman" w:eastAsia="Times New Roman" w:hAnsi="Times New Roman" w:cs="Times New Roman"/>
          <w:sz w:val="32"/>
          <w:szCs w:val="32"/>
        </w:rPr>
        <w:t>чество на квадратный километр).</w:t>
      </w:r>
    </w:p>
    <w:p w14:paraId="58A0B3DC" w14:textId="77777777" w:rsidR="002F5BEC" w:rsidRDefault="002F5BEC" w:rsidP="00AD58CD">
      <w:pPr>
        <w:pStyle w:val="a8"/>
        <w:numPr>
          <w:ilvl w:val="0"/>
          <w:numId w:val="90"/>
        </w:numPr>
        <w:suppressAutoHyphens/>
        <w:spacing w:after="0" w:line="240" w:lineRule="auto"/>
        <w:ind w:left="0" w:firstLine="709"/>
        <w:jc w:val="both"/>
      </w:pPr>
      <w:r w:rsidRPr="007C3A63">
        <w:rPr>
          <w:rFonts w:ascii="Times New Roman" w:eastAsia="Times New Roman" w:hAnsi="Times New Roman" w:cs="Times New Roman"/>
          <w:sz w:val="32"/>
          <w:szCs w:val="32"/>
        </w:rPr>
        <w:t>Уровень преступности в районе, загрязнения воздуха, наличие зеленых зон.</w:t>
      </w:r>
    </w:p>
    <w:p w14:paraId="2820E0A1" w14:textId="77777777" w:rsidR="002F5BEC" w:rsidRPr="00041D17" w:rsidRDefault="002F5BEC" w:rsidP="002F5BEC">
      <w:pPr>
        <w:spacing w:after="0" w:line="24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Собранные данные необходимо преобразовать в формат, пригодный для использования в моделях машинного обучения. Можно объединить несколько показателей в один индекс, отражающий общий уровень развития инфраструктуры - например, взвешенная сумма нормализованных значений показателей, - использовать o</w:t>
      </w:r>
      <w:r w:rsidRPr="00041D17">
        <w:rPr>
          <w:rFonts w:ascii="Times New Roman" w:eastAsia="Times New Roman" w:hAnsi="Times New Roman" w:cs="Times New Roman"/>
          <w:sz w:val="32"/>
          <w:szCs w:val="32"/>
        </w:rPr>
        <w:t xml:space="preserve">ne-hot </w:t>
      </w:r>
      <w:r w:rsidRPr="00041D17">
        <w:rPr>
          <w:rFonts w:ascii="Times New Roman" w:eastAsia="Times New Roman" w:hAnsi="Times New Roman" w:cs="Times New Roman"/>
          <w:sz w:val="32"/>
          <w:szCs w:val="32"/>
        </w:rPr>
        <w:lastRenderedPageBreak/>
        <w:t>encoding для категориальных признаков</w:t>
      </w:r>
      <w:r>
        <w:rPr>
          <w:rFonts w:ascii="Times New Roman" w:eastAsia="Times New Roman" w:hAnsi="Times New Roman" w:cs="Times New Roman"/>
          <w:sz w:val="32"/>
          <w:szCs w:val="32"/>
        </w:rPr>
        <w:t xml:space="preserve"> и разбить непрерывные переменные на интервалы (расстояние до метро: &lt;500м, 500-1000м, &gt;1000м).</w:t>
      </w:r>
    </w:p>
    <w:p w14:paraId="105654F0" w14:textId="77777777" w:rsidR="002F5BEC" w:rsidRDefault="002F5BEC" w:rsidP="002F5BEC">
      <w:pPr>
        <w:spacing w:after="0" w:line="240" w:lineRule="auto"/>
        <w:ind w:firstLine="709"/>
        <w:jc w:val="both"/>
        <w:rPr>
          <w:rFonts w:ascii="Times New Roman" w:eastAsia="Times New Roman" w:hAnsi="Times New Roman" w:cs="Times New Roman"/>
          <w:sz w:val="32"/>
          <w:szCs w:val="32"/>
        </w:rPr>
      </w:pPr>
      <w:r w:rsidRPr="00041D17">
        <w:rPr>
          <w:rFonts w:ascii="Times New Roman" w:eastAsia="Times New Roman" w:hAnsi="Times New Roman" w:cs="Times New Roman"/>
          <w:sz w:val="32"/>
          <w:szCs w:val="32"/>
        </w:rPr>
        <w:t>Выбор алгоритмов машинного обучения на основе исследования:</w:t>
      </w:r>
    </w:p>
    <w:p w14:paraId="5B05237F" w14:textId="77777777" w:rsidR="002F5BEC" w:rsidRPr="00D0286E" w:rsidRDefault="002F5BEC" w:rsidP="002F5BEC">
      <w:pPr>
        <w:spacing w:after="0" w:line="240" w:lineRule="auto"/>
        <w:ind w:firstLine="709"/>
        <w:jc w:val="both"/>
        <w:rPr>
          <w:rFonts w:ascii="Times New Roman" w:eastAsia="Times New Roman" w:hAnsi="Times New Roman" w:cs="Times New Roman"/>
          <w:sz w:val="32"/>
          <w:szCs w:val="32"/>
        </w:rPr>
      </w:pPr>
      <w:r w:rsidRPr="00041D17">
        <w:rPr>
          <w:rFonts w:ascii="Times New Roman" w:eastAsia="Times New Roman" w:hAnsi="Times New Roman" w:cs="Times New Roman"/>
          <w:sz w:val="32"/>
          <w:szCs w:val="32"/>
        </w:rPr>
        <w:t xml:space="preserve">Линейная регрессия с регуляризацией (L1, L2, Elastic Net) - простой и интерпретируемый метод, но может быть неэффективен при наличии нелинейностей и гетероскедастичности. </w:t>
      </w:r>
      <w:r>
        <w:rPr>
          <w:rFonts w:ascii="Times New Roman" w:eastAsia="Times New Roman" w:hAnsi="Times New Roman" w:cs="Times New Roman"/>
          <w:sz w:val="32"/>
          <w:szCs w:val="32"/>
        </w:rPr>
        <w:t xml:space="preserve">Позволит оценить вклад каждого фактора инфраструктуры в цену. Регуляризация поможет избежать переобучения и выбрать наиболее важные признаки. </w:t>
      </w:r>
      <w:r w:rsidRPr="00041D17">
        <w:rPr>
          <w:rFonts w:ascii="Times New Roman" w:eastAsia="Times New Roman" w:hAnsi="Times New Roman" w:cs="Times New Roman"/>
          <w:sz w:val="32"/>
          <w:szCs w:val="32"/>
        </w:rPr>
        <w:t xml:space="preserve">Ансамблевые методы (Random Forest, Gradient Boosting - XGBoost, LightGBM, CatBoost) объединяют множество деревьев решений для повышения точности и стабильности прогноза. </w:t>
      </w:r>
      <w:r>
        <w:rPr>
          <w:rFonts w:ascii="Times New Roman" w:eastAsia="Times New Roman" w:hAnsi="Times New Roman" w:cs="Times New Roman"/>
          <w:sz w:val="32"/>
          <w:szCs w:val="32"/>
        </w:rPr>
        <w:t xml:space="preserve">Они могут эффективно уловить нелинейные связи между инфраструктурой и ценой. CatBoost особенно хорошо справляется с категориальными признаками. </w:t>
      </w:r>
      <w:r w:rsidRPr="00041D17">
        <w:rPr>
          <w:rFonts w:ascii="Times New Roman" w:eastAsia="Times New Roman" w:hAnsi="Times New Roman" w:cs="Times New Roman"/>
          <w:sz w:val="32"/>
          <w:szCs w:val="32"/>
        </w:rPr>
        <w:t>Нейронные сети м</w:t>
      </w:r>
      <w:r>
        <w:rPr>
          <w:rFonts w:ascii="Times New Roman" w:eastAsia="Times New Roman" w:hAnsi="Times New Roman" w:cs="Times New Roman"/>
          <w:sz w:val="32"/>
          <w:szCs w:val="32"/>
        </w:rPr>
        <w:t xml:space="preserve">огут моделировать сложные нелинейные зависимости, но требуют больших объемов данных и сложной настройки. </w:t>
      </w:r>
    </w:p>
    <w:p w14:paraId="6F2FB4B2" w14:textId="77777777" w:rsidR="002F5BEC" w:rsidRPr="00041D17" w:rsidRDefault="002F5BEC" w:rsidP="002F5BEC">
      <w:pPr>
        <w:spacing w:after="0" w:line="24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После обучения модели важно оценить, насколько сильно каждый фактор инфраструктуры влияет на цену. Это можно сделать с помощью различных методов, например, анализа важности признаков в Random Forest или SHAP values.</w:t>
      </w:r>
    </w:p>
    <w:p w14:paraId="143410A5" w14:textId="77777777" w:rsidR="002F5BEC" w:rsidRPr="00041D17" w:rsidRDefault="002F5BEC" w:rsidP="002F5BEC">
      <w:pPr>
        <w:spacing w:after="0" w:line="24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Можно визуализировать результаты моделирования, чтобы лучше понять, как инфраструктура влияет на цены в разных районах, построить графики зависимости цены от различных показателей инфраструктуры.</w:t>
      </w:r>
    </w:p>
    <w:p w14:paraId="2C6F46B6" w14:textId="520C659D" w:rsidR="002F5BEC" w:rsidRDefault="002F5BEC" w:rsidP="002F5BEC">
      <w:pPr>
        <w:spacing w:after="0" w:line="240" w:lineRule="auto"/>
        <w:ind w:firstLine="709"/>
        <w:jc w:val="both"/>
        <w:rPr>
          <w:rFonts w:ascii="Times New Roman" w:eastAsia="Times New Roman" w:hAnsi="Times New Roman" w:cs="Times New Roman"/>
          <w:sz w:val="32"/>
          <w:szCs w:val="32"/>
        </w:rPr>
      </w:pPr>
      <w:r w:rsidRPr="00041D17">
        <w:rPr>
          <w:rFonts w:ascii="Times New Roman" w:eastAsia="Times New Roman" w:hAnsi="Times New Roman" w:cs="Times New Roman"/>
          <w:sz w:val="32"/>
          <w:szCs w:val="32"/>
        </w:rPr>
        <w:t>Таким образом, проанализировав эффективность различных алгоритмов машинного обучения, можно сделать вывод, что ансамблевые методы, в частности градиентный бустинг, являются наиболее перспективными для решения этой задачи. Дальнейшие исследования могут быть направлены на оптимизацию параметров алгоритмов и использование дополнительных данных для повышения точности прогнозирования.</w:t>
      </w:r>
    </w:p>
    <w:p w14:paraId="43F87382" w14:textId="77777777" w:rsidR="002F5BEC" w:rsidRPr="00041D17" w:rsidRDefault="002F5BEC" w:rsidP="002F5BEC">
      <w:pPr>
        <w:spacing w:after="0" w:line="240" w:lineRule="auto"/>
        <w:ind w:firstLine="709"/>
        <w:jc w:val="both"/>
        <w:rPr>
          <w:rFonts w:ascii="Times New Roman" w:eastAsia="Times New Roman" w:hAnsi="Times New Roman" w:cs="Times New Roman"/>
          <w:sz w:val="32"/>
          <w:szCs w:val="32"/>
        </w:rPr>
      </w:pPr>
    </w:p>
    <w:p w14:paraId="2D740F54" w14:textId="77777777" w:rsidR="002F5BEC" w:rsidRDefault="002F5BEC" w:rsidP="000D45DF">
      <w:pPr>
        <w:spacing w:after="0" w:line="240" w:lineRule="auto"/>
        <w:jc w:val="center"/>
      </w:pPr>
      <w:r>
        <w:rPr>
          <w:rFonts w:ascii="Times New Roman" w:eastAsia="Times New Roman" w:hAnsi="Times New Roman" w:cs="Times New Roman"/>
          <w:b/>
          <w:bCs/>
          <w:sz w:val="21"/>
          <w:szCs w:val="21"/>
        </w:rPr>
        <w:t>Литература:</w:t>
      </w:r>
    </w:p>
    <w:p w14:paraId="587CDFD5" w14:textId="77777777" w:rsidR="002F5BEC" w:rsidRPr="007C3A63" w:rsidRDefault="002F5BEC" w:rsidP="000D45DF">
      <w:pPr>
        <w:pStyle w:val="a8"/>
        <w:spacing w:after="0" w:line="240" w:lineRule="auto"/>
        <w:ind w:left="0"/>
        <w:jc w:val="both"/>
        <w:rPr>
          <w:lang w:val="en-US"/>
        </w:rPr>
      </w:pPr>
      <w:r>
        <w:rPr>
          <w:rFonts w:ascii="Times New Roman" w:hAnsi="Times New Roman" w:cs="Times New Roman"/>
        </w:rPr>
        <w:t xml:space="preserve">1 Власенко T.B., Белокобыленко C.B. Рынок недвижимости и его структура // Экономика и экология территориальных образований. </w:t>
      </w:r>
      <w:r w:rsidRPr="007C3A63">
        <w:rPr>
          <w:rFonts w:ascii="Times New Roman" w:hAnsi="Times New Roman" w:cs="Times New Roman"/>
          <w:lang w:val="en-US"/>
        </w:rPr>
        <w:t xml:space="preserve">2015 - №1 - </w:t>
      </w:r>
      <w:r>
        <w:rPr>
          <w:rFonts w:ascii="Times New Roman" w:hAnsi="Times New Roman" w:cs="Times New Roman"/>
        </w:rPr>
        <w:t>С</w:t>
      </w:r>
      <w:r w:rsidRPr="007C3A63">
        <w:rPr>
          <w:rFonts w:ascii="Times New Roman" w:hAnsi="Times New Roman" w:cs="Times New Roman"/>
          <w:lang w:val="en-US"/>
        </w:rPr>
        <w:t>. 50-53.</w:t>
      </w:r>
    </w:p>
    <w:p w14:paraId="49A3D1CF" w14:textId="77777777" w:rsidR="002F5BEC" w:rsidRPr="007C3A63" w:rsidRDefault="002F5BEC" w:rsidP="000D45DF">
      <w:pPr>
        <w:pStyle w:val="a8"/>
        <w:spacing w:line="240" w:lineRule="auto"/>
        <w:ind w:left="0"/>
        <w:jc w:val="both"/>
        <w:rPr>
          <w:lang w:val="en-US"/>
        </w:rPr>
      </w:pPr>
      <w:r w:rsidRPr="00AD249A">
        <w:rPr>
          <w:rFonts w:ascii="Times New Roman" w:hAnsi="Times New Roman" w:cs="Times New Roman"/>
          <w:lang w:val="en-US"/>
        </w:rPr>
        <w:t>2</w:t>
      </w:r>
      <w:r w:rsidRPr="007C3A63">
        <w:rPr>
          <w:rFonts w:ascii="Times New Roman" w:hAnsi="Times New Roman" w:cs="Times New Roman"/>
          <w:lang w:val="en-US"/>
        </w:rPr>
        <w:t xml:space="preserve"> Kusan H. et al. The use of fuzzy logic in predicting house selling price. Expert Systems with Applications. 2010, 37(3): 1808–1813. </w:t>
      </w:r>
    </w:p>
    <w:p w14:paraId="2CB4CD77" w14:textId="77777777" w:rsidR="002F5BEC" w:rsidRDefault="002F5BEC" w:rsidP="000D45DF">
      <w:pPr>
        <w:pStyle w:val="a8"/>
        <w:spacing w:line="240" w:lineRule="auto"/>
        <w:ind w:left="0"/>
        <w:jc w:val="both"/>
        <w:rPr>
          <w:rFonts w:ascii="Times New Roman" w:hAnsi="Times New Roman" w:cs="Times New Roman"/>
          <w:lang w:val="en-US"/>
        </w:rPr>
      </w:pPr>
      <w:r w:rsidRPr="006D0AAD">
        <w:rPr>
          <w:rFonts w:ascii="Times New Roman" w:hAnsi="Times New Roman" w:cs="Times New Roman"/>
          <w:lang w:val="en-US"/>
        </w:rPr>
        <w:t>3</w:t>
      </w:r>
      <w:r w:rsidRPr="007C3A63">
        <w:rPr>
          <w:rFonts w:ascii="Times New Roman" w:hAnsi="Times New Roman" w:cs="Times New Roman"/>
          <w:lang w:val="en-US"/>
        </w:rPr>
        <w:t xml:space="preserve"> </w:t>
      </w:r>
      <w:r>
        <w:rPr>
          <w:rFonts w:ascii="Times New Roman" w:hAnsi="Times New Roman" w:cs="Times New Roman"/>
          <w:lang w:val="en-US"/>
        </w:rPr>
        <w:t>Abdallah S. An intelligent system for identifying influential words in real-estate classifieds // Journal of Intelligent Systems. - 2018. - № 27(2). - C. 183-194.</w:t>
      </w:r>
    </w:p>
    <w:p w14:paraId="2F3B0AD9" w14:textId="77777777" w:rsidR="002F5BEC" w:rsidRPr="00AD249A" w:rsidRDefault="002F5BEC" w:rsidP="000D45DF">
      <w:pPr>
        <w:pStyle w:val="a8"/>
        <w:spacing w:line="240" w:lineRule="auto"/>
        <w:ind w:left="0"/>
        <w:jc w:val="both"/>
        <w:rPr>
          <w:rFonts w:ascii="Times New Roman" w:hAnsi="Times New Roman" w:cs="Times New Roman"/>
        </w:rPr>
      </w:pPr>
      <w:r>
        <w:rPr>
          <w:rFonts w:ascii="Times New Roman" w:hAnsi="Times New Roman" w:cs="Times New Roman"/>
        </w:rPr>
        <w:lastRenderedPageBreak/>
        <w:t xml:space="preserve">4 </w:t>
      </w:r>
      <w:r w:rsidRPr="00AD249A">
        <w:rPr>
          <w:rFonts w:ascii="Times New Roman" w:hAnsi="Times New Roman" w:cs="Times New Roman"/>
        </w:rPr>
        <w:t xml:space="preserve">Осенний В.В., Франциско О.Ю. </w:t>
      </w:r>
      <w:hyperlink r:id="rId453" w:history="1">
        <w:r w:rsidRPr="00AD249A">
          <w:rPr>
            <w:rFonts w:ascii="Times New Roman" w:hAnsi="Times New Roman" w:cs="Times New Roman"/>
          </w:rPr>
          <w:t>Перспективы применения методов и средств имитационного моделирования в аграрной сфере</w:t>
        </w:r>
      </w:hyperlink>
      <w:r w:rsidRPr="00AD249A">
        <w:rPr>
          <w:rFonts w:ascii="Times New Roman" w:hAnsi="Times New Roman" w:cs="Times New Roman"/>
        </w:rPr>
        <w:t xml:space="preserve"> // </w:t>
      </w:r>
      <w:hyperlink r:id="rId454" w:history="1">
        <w:r w:rsidRPr="00AD249A">
          <w:rPr>
            <w:rFonts w:ascii="Times New Roman" w:hAnsi="Times New Roman" w:cs="Times New Roman"/>
          </w:rPr>
          <w:t>Труды Кубанского государственного аграрного университета</w:t>
        </w:r>
      </w:hyperlink>
      <w:r w:rsidRPr="00AD249A">
        <w:rPr>
          <w:rFonts w:ascii="Times New Roman" w:hAnsi="Times New Roman" w:cs="Times New Roman"/>
        </w:rPr>
        <w:t>. 2019.</w:t>
      </w:r>
      <w:r w:rsidRPr="00AD249A">
        <w:rPr>
          <w:rFonts w:ascii="Times New Roman" w:hAnsi="Times New Roman" w:cs="Times New Roman"/>
          <w:lang w:val="en-US"/>
        </w:rPr>
        <w:t> </w:t>
      </w:r>
      <w:hyperlink r:id="rId455" w:history="1">
        <w:r w:rsidRPr="00AD249A">
          <w:rPr>
            <w:rFonts w:ascii="Times New Roman" w:hAnsi="Times New Roman" w:cs="Times New Roman"/>
          </w:rPr>
          <w:t>№</w:t>
        </w:r>
        <w:r w:rsidRPr="00AD249A">
          <w:rPr>
            <w:rFonts w:ascii="Times New Roman" w:hAnsi="Times New Roman" w:cs="Times New Roman"/>
            <w:lang w:val="en-US"/>
          </w:rPr>
          <w:t> </w:t>
        </w:r>
        <w:r w:rsidRPr="00AD249A">
          <w:rPr>
            <w:rFonts w:ascii="Times New Roman" w:hAnsi="Times New Roman" w:cs="Times New Roman"/>
          </w:rPr>
          <w:t>79</w:t>
        </w:r>
      </w:hyperlink>
      <w:r w:rsidRPr="00AD249A">
        <w:rPr>
          <w:rFonts w:ascii="Times New Roman" w:hAnsi="Times New Roman" w:cs="Times New Roman"/>
        </w:rPr>
        <w:t>. С. 55-60.</w:t>
      </w:r>
    </w:p>
    <w:p w14:paraId="191943D7" w14:textId="39B6F000" w:rsidR="00BD1126" w:rsidRDefault="002F5BEC" w:rsidP="000D45DF">
      <w:pPr>
        <w:pStyle w:val="a8"/>
        <w:spacing w:line="240" w:lineRule="auto"/>
        <w:ind w:left="0"/>
        <w:jc w:val="both"/>
        <w:rPr>
          <w:rFonts w:ascii="Times New Roman" w:hAnsi="Times New Roman" w:cs="Times New Roman"/>
        </w:rPr>
      </w:pPr>
      <w:r>
        <w:rPr>
          <w:rFonts w:ascii="Times New Roman" w:hAnsi="Times New Roman" w:cs="Times New Roman"/>
        </w:rPr>
        <w:t xml:space="preserve">5 </w:t>
      </w:r>
      <w:r w:rsidRPr="00AD249A">
        <w:rPr>
          <w:rFonts w:ascii="Times New Roman" w:hAnsi="Times New Roman" w:cs="Times New Roman"/>
        </w:rPr>
        <w:t xml:space="preserve">Франциско О.Ю., Молчан А.С. </w:t>
      </w:r>
      <w:hyperlink r:id="rId456" w:history="1">
        <w:r w:rsidRPr="00AD249A">
          <w:rPr>
            <w:rFonts w:ascii="Times New Roman" w:hAnsi="Times New Roman" w:cs="Times New Roman"/>
          </w:rPr>
          <w:t>Автоматизация оценки уровня экономической безопасности предприятия по составляющим детерминант</w:t>
        </w:r>
      </w:hyperlink>
      <w:r w:rsidRPr="00AD249A">
        <w:rPr>
          <w:rFonts w:ascii="Times New Roman" w:hAnsi="Times New Roman" w:cs="Times New Roman"/>
        </w:rPr>
        <w:t xml:space="preserve"> // </w:t>
      </w:r>
      <w:hyperlink r:id="rId457" w:history="1">
        <w:r w:rsidRPr="00AD249A">
          <w:rPr>
            <w:rFonts w:ascii="Times New Roman" w:hAnsi="Times New Roman" w:cs="Times New Roman"/>
          </w:rPr>
          <w:t>Экономика устойчивого развития</w:t>
        </w:r>
      </w:hyperlink>
      <w:r w:rsidRPr="00AD249A">
        <w:rPr>
          <w:rFonts w:ascii="Times New Roman" w:hAnsi="Times New Roman" w:cs="Times New Roman"/>
        </w:rPr>
        <w:t>. 2023.</w:t>
      </w:r>
      <w:r w:rsidRPr="00AD249A">
        <w:rPr>
          <w:rFonts w:ascii="Times New Roman" w:hAnsi="Times New Roman" w:cs="Times New Roman"/>
          <w:lang w:val="en-US"/>
        </w:rPr>
        <w:t> </w:t>
      </w:r>
      <w:hyperlink r:id="rId458" w:history="1">
        <w:r w:rsidRPr="00AD249A">
          <w:rPr>
            <w:rFonts w:ascii="Times New Roman" w:hAnsi="Times New Roman" w:cs="Times New Roman"/>
          </w:rPr>
          <w:t>№</w:t>
        </w:r>
        <w:r w:rsidRPr="00AD249A">
          <w:rPr>
            <w:rFonts w:ascii="Times New Roman" w:hAnsi="Times New Roman" w:cs="Times New Roman"/>
            <w:lang w:val="en-US"/>
          </w:rPr>
          <w:t> </w:t>
        </w:r>
        <w:r w:rsidRPr="00AD249A">
          <w:rPr>
            <w:rFonts w:ascii="Times New Roman" w:hAnsi="Times New Roman" w:cs="Times New Roman"/>
          </w:rPr>
          <w:t>4</w:t>
        </w:r>
        <w:r w:rsidRPr="00AD249A">
          <w:rPr>
            <w:rFonts w:ascii="Times New Roman" w:hAnsi="Times New Roman" w:cs="Times New Roman"/>
            <w:lang w:val="en-US"/>
          </w:rPr>
          <w:t> </w:t>
        </w:r>
        <w:r w:rsidRPr="00AD249A">
          <w:rPr>
            <w:rFonts w:ascii="Times New Roman" w:hAnsi="Times New Roman" w:cs="Times New Roman"/>
          </w:rPr>
          <w:t>(56)</w:t>
        </w:r>
      </w:hyperlink>
      <w:r w:rsidRPr="00AD249A">
        <w:rPr>
          <w:rFonts w:ascii="Times New Roman" w:hAnsi="Times New Roman" w:cs="Times New Roman"/>
        </w:rPr>
        <w:t>. С. 205-208.</w:t>
      </w:r>
    </w:p>
    <w:p w14:paraId="483EFF00" w14:textId="77777777" w:rsidR="000D45DF" w:rsidRDefault="000D45DF" w:rsidP="000D45DF">
      <w:pPr>
        <w:pStyle w:val="a8"/>
        <w:spacing w:line="240" w:lineRule="auto"/>
        <w:ind w:left="0"/>
        <w:jc w:val="both"/>
        <w:rPr>
          <w:rFonts w:ascii="Times New Roman" w:hAnsi="Times New Roman" w:cs="Times New Roman"/>
        </w:rPr>
      </w:pPr>
    </w:p>
    <w:p w14:paraId="13430224" w14:textId="77777777" w:rsidR="00DD379A" w:rsidRDefault="00DD379A" w:rsidP="000D45DF">
      <w:pPr>
        <w:pStyle w:val="a8"/>
        <w:spacing w:line="240" w:lineRule="auto"/>
        <w:ind w:left="0"/>
        <w:jc w:val="both"/>
        <w:rPr>
          <w:rFonts w:ascii="Times New Roman" w:hAnsi="Times New Roman" w:cs="Times New Roman"/>
        </w:rPr>
      </w:pPr>
    </w:p>
    <w:p w14:paraId="42B4A243" w14:textId="77777777" w:rsidR="00D26794" w:rsidRPr="00D659B5" w:rsidRDefault="00D26794" w:rsidP="00D26794">
      <w:pPr>
        <w:spacing w:after="0" w:line="240" w:lineRule="auto"/>
        <w:rPr>
          <w:rFonts w:ascii="Times New Roman" w:eastAsia="Calibri" w:hAnsi="Times New Roman" w:cs="Times New Roman"/>
          <w:b/>
          <w:bCs/>
          <w:sz w:val="21"/>
          <w:szCs w:val="21"/>
        </w:rPr>
      </w:pPr>
      <w:r w:rsidRPr="00D659B5">
        <w:rPr>
          <w:rFonts w:ascii="Times New Roman" w:eastAsia="Calibri" w:hAnsi="Times New Roman" w:cs="Times New Roman"/>
          <w:b/>
          <w:bCs/>
          <w:sz w:val="21"/>
          <w:szCs w:val="21"/>
        </w:rPr>
        <w:t>УДК 339</w:t>
      </w:r>
    </w:p>
    <w:p w14:paraId="26C1C0BA" w14:textId="77777777" w:rsidR="00D26794" w:rsidRPr="00D26794" w:rsidRDefault="00D26794" w:rsidP="00D26794">
      <w:pPr>
        <w:spacing w:after="0" w:line="240" w:lineRule="auto"/>
        <w:jc w:val="right"/>
        <w:rPr>
          <w:rFonts w:ascii="Times New Roman" w:eastAsia="Calibri" w:hAnsi="Times New Roman" w:cs="Times New Roman"/>
          <w:b/>
          <w:bCs/>
          <w:i/>
          <w:iCs/>
          <w:sz w:val="21"/>
          <w:szCs w:val="21"/>
        </w:rPr>
      </w:pPr>
      <w:r w:rsidRPr="00D26794">
        <w:rPr>
          <w:rFonts w:ascii="Times New Roman" w:eastAsia="Calibri" w:hAnsi="Times New Roman" w:cs="Times New Roman"/>
          <w:b/>
          <w:bCs/>
          <w:i/>
          <w:iCs/>
          <w:sz w:val="21"/>
          <w:szCs w:val="21"/>
        </w:rPr>
        <w:t xml:space="preserve">Белкин А. Е., </w:t>
      </w:r>
    </w:p>
    <w:p w14:paraId="720B77FC" w14:textId="77777777" w:rsidR="00D26794" w:rsidRPr="00D26794" w:rsidRDefault="00D26794" w:rsidP="00D26794">
      <w:pPr>
        <w:spacing w:after="0" w:line="240" w:lineRule="auto"/>
        <w:jc w:val="right"/>
        <w:rPr>
          <w:rFonts w:ascii="Times New Roman" w:eastAsia="Calibri" w:hAnsi="Times New Roman" w:cs="Times New Roman"/>
          <w:i/>
          <w:iCs/>
          <w:sz w:val="21"/>
          <w:szCs w:val="21"/>
        </w:rPr>
      </w:pPr>
      <w:r w:rsidRPr="00D26794">
        <w:rPr>
          <w:rFonts w:ascii="Times New Roman" w:eastAsia="Calibri" w:hAnsi="Times New Roman" w:cs="Times New Roman"/>
          <w:i/>
          <w:iCs/>
          <w:sz w:val="21"/>
          <w:szCs w:val="21"/>
        </w:rPr>
        <w:t>студент 3 курса,</w:t>
      </w:r>
    </w:p>
    <w:p w14:paraId="3CC4E120" w14:textId="77777777" w:rsidR="00D26794" w:rsidRDefault="00D26794" w:rsidP="00D26794">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C968978" w14:textId="6B4222CE" w:rsidR="00D26794" w:rsidRPr="00D26794" w:rsidRDefault="0058021C" w:rsidP="00D26794">
      <w:pPr>
        <w:spacing w:after="0" w:line="240" w:lineRule="auto"/>
        <w:jc w:val="right"/>
        <w:rPr>
          <w:rFonts w:ascii="Times New Roman" w:eastAsia="Calibri" w:hAnsi="Times New Roman" w:cs="Times New Roman"/>
          <w:i/>
          <w:iCs/>
          <w:sz w:val="21"/>
          <w:szCs w:val="21"/>
        </w:rPr>
      </w:pPr>
      <w:r>
        <w:rPr>
          <w:rFonts w:ascii="Times New Roman" w:eastAsia="Times New Roman" w:hAnsi="Times New Roman" w:cs="Times New Roman"/>
          <w:i/>
          <w:iCs/>
          <w:sz w:val="20"/>
          <w:szCs w:val="20"/>
        </w:rPr>
        <w:t xml:space="preserve">г. </w:t>
      </w:r>
      <w:r w:rsidR="00D26794" w:rsidRPr="00D26794">
        <w:rPr>
          <w:rFonts w:ascii="Times New Roman" w:eastAsia="Calibri" w:hAnsi="Times New Roman" w:cs="Times New Roman"/>
          <w:i/>
          <w:iCs/>
          <w:sz w:val="21"/>
          <w:szCs w:val="21"/>
        </w:rPr>
        <w:t xml:space="preserve">Краснодар, Россия </w:t>
      </w:r>
    </w:p>
    <w:p w14:paraId="46248EAB" w14:textId="77777777" w:rsidR="00D26794" w:rsidRPr="00D26794" w:rsidRDefault="00D26794" w:rsidP="00D26794">
      <w:pPr>
        <w:spacing w:after="0" w:line="240" w:lineRule="auto"/>
        <w:jc w:val="right"/>
        <w:rPr>
          <w:rFonts w:ascii="Times New Roman" w:eastAsia="Calibri" w:hAnsi="Times New Roman" w:cs="Times New Roman"/>
          <w:i/>
          <w:iCs/>
          <w:sz w:val="21"/>
          <w:szCs w:val="21"/>
          <w:highlight w:val="yellow"/>
        </w:rPr>
      </w:pPr>
    </w:p>
    <w:p w14:paraId="03821A4E" w14:textId="77777777" w:rsidR="00D26794" w:rsidRPr="00D26794" w:rsidRDefault="00D26794" w:rsidP="00D26794">
      <w:pPr>
        <w:spacing w:after="0" w:line="240" w:lineRule="auto"/>
        <w:jc w:val="right"/>
        <w:rPr>
          <w:rFonts w:ascii="Times New Roman" w:eastAsia="Calibri" w:hAnsi="Times New Roman" w:cs="Times New Roman"/>
          <w:b/>
          <w:i/>
          <w:iCs/>
          <w:sz w:val="21"/>
          <w:szCs w:val="21"/>
        </w:rPr>
      </w:pPr>
      <w:r w:rsidRPr="00D26794">
        <w:rPr>
          <w:rFonts w:ascii="Times New Roman" w:eastAsia="Calibri" w:hAnsi="Times New Roman" w:cs="Times New Roman"/>
          <w:b/>
          <w:i/>
          <w:iCs/>
          <w:sz w:val="21"/>
          <w:szCs w:val="21"/>
        </w:rPr>
        <w:t>Научный руководитель:</w:t>
      </w:r>
    </w:p>
    <w:p w14:paraId="3137D031" w14:textId="77777777" w:rsidR="00D26794" w:rsidRPr="00D26794" w:rsidRDefault="00D26794" w:rsidP="00D26794">
      <w:pPr>
        <w:spacing w:after="0" w:line="240" w:lineRule="auto"/>
        <w:jc w:val="right"/>
        <w:rPr>
          <w:rFonts w:ascii="Times New Roman" w:eastAsia="Calibri" w:hAnsi="Times New Roman" w:cs="Times New Roman"/>
          <w:b/>
          <w:i/>
          <w:iCs/>
          <w:sz w:val="21"/>
          <w:szCs w:val="21"/>
        </w:rPr>
      </w:pPr>
      <w:r w:rsidRPr="00D26794">
        <w:rPr>
          <w:rFonts w:ascii="Times New Roman" w:eastAsia="Calibri" w:hAnsi="Times New Roman" w:cs="Times New Roman"/>
          <w:b/>
          <w:i/>
          <w:iCs/>
          <w:sz w:val="21"/>
          <w:szCs w:val="21"/>
        </w:rPr>
        <w:t>Пьянкова Н.Г.,</w:t>
      </w:r>
    </w:p>
    <w:p w14:paraId="453AC7EF" w14:textId="77777777" w:rsidR="00D26794" w:rsidRPr="00D26794" w:rsidRDefault="00D26794" w:rsidP="00D26794">
      <w:pPr>
        <w:spacing w:after="0" w:line="240" w:lineRule="auto"/>
        <w:jc w:val="right"/>
        <w:rPr>
          <w:rFonts w:ascii="Times New Roman" w:eastAsia="Calibri" w:hAnsi="Times New Roman" w:cs="Times New Roman"/>
          <w:i/>
          <w:iCs/>
          <w:sz w:val="21"/>
          <w:szCs w:val="21"/>
        </w:rPr>
      </w:pPr>
      <w:r w:rsidRPr="00D26794">
        <w:rPr>
          <w:rFonts w:ascii="Times New Roman" w:eastAsia="Calibri" w:hAnsi="Times New Roman" w:cs="Times New Roman"/>
          <w:b/>
          <w:i/>
          <w:iCs/>
          <w:sz w:val="21"/>
          <w:szCs w:val="21"/>
        </w:rPr>
        <w:t xml:space="preserve"> </w:t>
      </w:r>
      <w:r w:rsidRPr="00D26794">
        <w:rPr>
          <w:rFonts w:ascii="Times New Roman" w:eastAsia="Calibri" w:hAnsi="Times New Roman" w:cs="Times New Roman"/>
          <w:i/>
          <w:iCs/>
          <w:sz w:val="21"/>
          <w:szCs w:val="21"/>
        </w:rPr>
        <w:t xml:space="preserve">доцент, </w:t>
      </w:r>
      <w:proofErr w:type="gramStart"/>
      <w:r w:rsidRPr="00D26794">
        <w:rPr>
          <w:rFonts w:ascii="Times New Roman" w:eastAsia="Calibri" w:hAnsi="Times New Roman" w:cs="Times New Roman"/>
          <w:i/>
          <w:iCs/>
          <w:sz w:val="21"/>
          <w:szCs w:val="21"/>
        </w:rPr>
        <w:t>к.пед</w:t>
      </w:r>
      <w:proofErr w:type="gramEnd"/>
      <w:r w:rsidRPr="00D26794">
        <w:rPr>
          <w:rFonts w:ascii="Times New Roman" w:eastAsia="Calibri" w:hAnsi="Times New Roman" w:cs="Times New Roman"/>
          <w:i/>
          <w:iCs/>
          <w:sz w:val="21"/>
          <w:szCs w:val="21"/>
        </w:rPr>
        <w:t>.н</w:t>
      </w:r>
    </w:p>
    <w:p w14:paraId="56CD32D3" w14:textId="77777777" w:rsidR="0058021C" w:rsidRDefault="0058021C" w:rsidP="0058021C">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E636974" w14:textId="4F243135" w:rsidR="00D26794" w:rsidRPr="00D26794" w:rsidRDefault="00D26794" w:rsidP="0058021C">
      <w:pPr>
        <w:spacing w:after="0" w:line="240" w:lineRule="auto"/>
        <w:jc w:val="right"/>
        <w:rPr>
          <w:rFonts w:ascii="Times New Roman" w:eastAsia="Calibri" w:hAnsi="Times New Roman" w:cs="Times New Roman"/>
          <w:i/>
          <w:iCs/>
          <w:sz w:val="21"/>
          <w:szCs w:val="21"/>
        </w:rPr>
      </w:pPr>
      <w:r w:rsidRPr="00D26794">
        <w:rPr>
          <w:rFonts w:ascii="Times New Roman" w:eastAsia="Calibri" w:hAnsi="Times New Roman" w:cs="Times New Roman"/>
          <w:i/>
          <w:iCs/>
          <w:sz w:val="21"/>
          <w:szCs w:val="21"/>
        </w:rPr>
        <w:t>г. Краснодар, Россия</w:t>
      </w:r>
    </w:p>
    <w:p w14:paraId="76D174E8" w14:textId="77777777" w:rsidR="00D26794" w:rsidRPr="00D26794" w:rsidRDefault="00D26794" w:rsidP="00D26794">
      <w:pPr>
        <w:spacing w:after="0" w:line="240" w:lineRule="auto"/>
        <w:jc w:val="right"/>
        <w:rPr>
          <w:rFonts w:ascii="Times New Roman" w:eastAsia="Calibri" w:hAnsi="Times New Roman" w:cs="Times New Roman"/>
          <w:i/>
          <w:iCs/>
          <w:sz w:val="21"/>
          <w:szCs w:val="21"/>
        </w:rPr>
      </w:pPr>
      <w:r w:rsidRPr="00D26794">
        <w:rPr>
          <w:rFonts w:ascii="Times New Roman" w:eastAsia="Calibri" w:hAnsi="Times New Roman" w:cs="Times New Roman"/>
          <w:i/>
          <w:iCs/>
          <w:sz w:val="21"/>
          <w:szCs w:val="21"/>
        </w:rPr>
        <w:t>е-</w:t>
      </w:r>
      <w:r w:rsidRPr="00D26794">
        <w:rPr>
          <w:rFonts w:ascii="Times New Roman" w:eastAsia="Calibri" w:hAnsi="Times New Roman" w:cs="Times New Roman"/>
          <w:i/>
          <w:iCs/>
          <w:sz w:val="21"/>
          <w:szCs w:val="21"/>
          <w:lang w:val="en-US"/>
        </w:rPr>
        <w:t>mail</w:t>
      </w:r>
      <w:r w:rsidRPr="00D26794">
        <w:rPr>
          <w:rFonts w:ascii="Times New Roman" w:eastAsia="Calibri" w:hAnsi="Times New Roman" w:cs="Times New Roman"/>
          <w:i/>
          <w:iCs/>
          <w:sz w:val="21"/>
          <w:szCs w:val="21"/>
        </w:rPr>
        <w:t xml:space="preserve">: </w:t>
      </w:r>
      <w:hyperlink r:id="rId459" w:history="1">
        <w:r w:rsidRPr="00D26794">
          <w:rPr>
            <w:rFonts w:ascii="Times New Roman" w:eastAsia="Calibri" w:hAnsi="Times New Roman" w:cs="Times New Roman"/>
            <w:i/>
            <w:iCs/>
            <w:color w:val="0563C1"/>
            <w:sz w:val="21"/>
            <w:szCs w:val="21"/>
            <w:u w:val="single"/>
            <w:lang w:val="en-US"/>
          </w:rPr>
          <w:t>NGPyankova</w:t>
        </w:r>
        <w:r w:rsidRPr="00D26794">
          <w:rPr>
            <w:rFonts w:ascii="Times New Roman" w:eastAsia="Calibri" w:hAnsi="Times New Roman" w:cs="Times New Roman"/>
            <w:i/>
            <w:iCs/>
            <w:color w:val="0563C1"/>
            <w:sz w:val="21"/>
            <w:szCs w:val="21"/>
            <w:u w:val="single"/>
          </w:rPr>
          <w:t>@</w:t>
        </w:r>
        <w:r w:rsidRPr="00D26794">
          <w:rPr>
            <w:rFonts w:ascii="Times New Roman" w:eastAsia="Calibri" w:hAnsi="Times New Roman" w:cs="Times New Roman"/>
            <w:i/>
            <w:iCs/>
            <w:color w:val="0563C1"/>
            <w:sz w:val="21"/>
            <w:szCs w:val="21"/>
            <w:u w:val="single"/>
            <w:lang w:val="en-US"/>
          </w:rPr>
          <w:t>fa</w:t>
        </w:r>
        <w:r w:rsidRPr="00D26794">
          <w:rPr>
            <w:rFonts w:ascii="Times New Roman" w:eastAsia="Calibri" w:hAnsi="Times New Roman" w:cs="Times New Roman"/>
            <w:i/>
            <w:iCs/>
            <w:color w:val="0563C1"/>
            <w:sz w:val="21"/>
            <w:szCs w:val="21"/>
            <w:u w:val="single"/>
          </w:rPr>
          <w:t>.</w:t>
        </w:r>
        <w:r w:rsidRPr="00D26794">
          <w:rPr>
            <w:rFonts w:ascii="Times New Roman" w:eastAsia="Calibri" w:hAnsi="Times New Roman" w:cs="Times New Roman"/>
            <w:i/>
            <w:iCs/>
            <w:color w:val="0563C1"/>
            <w:sz w:val="21"/>
            <w:szCs w:val="21"/>
            <w:u w:val="single"/>
            <w:lang w:val="en-US"/>
          </w:rPr>
          <w:t>ru</w:t>
        </w:r>
      </w:hyperlink>
    </w:p>
    <w:p w14:paraId="5C7EEC87" w14:textId="77777777" w:rsidR="00D26794" w:rsidRPr="00D26794" w:rsidRDefault="00D26794" w:rsidP="00D26794">
      <w:pPr>
        <w:spacing w:after="0" w:line="240" w:lineRule="auto"/>
        <w:rPr>
          <w:rFonts w:ascii="Times New Roman" w:eastAsia="Calibri" w:hAnsi="Times New Roman" w:cs="Times New Roman"/>
          <w:i/>
          <w:iCs/>
          <w:sz w:val="21"/>
          <w:szCs w:val="21"/>
        </w:rPr>
      </w:pPr>
    </w:p>
    <w:p w14:paraId="0C44E7D0" w14:textId="77777777" w:rsidR="00D26794" w:rsidRDefault="00D26794" w:rsidP="00D26794">
      <w:pPr>
        <w:spacing w:after="0" w:line="240" w:lineRule="auto"/>
        <w:jc w:val="center"/>
        <w:rPr>
          <w:rFonts w:ascii="Times New Roman" w:eastAsia="Calibri" w:hAnsi="Times New Roman" w:cs="Times New Roman"/>
          <w:b/>
          <w:bCs/>
          <w:sz w:val="21"/>
          <w:szCs w:val="21"/>
        </w:rPr>
      </w:pPr>
      <w:r w:rsidRPr="00D26794">
        <w:rPr>
          <w:rFonts w:ascii="Times New Roman" w:eastAsia="Calibri" w:hAnsi="Times New Roman" w:cs="Times New Roman"/>
          <w:b/>
          <w:bCs/>
          <w:sz w:val="21"/>
          <w:szCs w:val="21"/>
        </w:rPr>
        <w:t>Анализ потребительского поведения на основе данных о покупках</w:t>
      </w:r>
    </w:p>
    <w:p w14:paraId="5D2D90DC" w14:textId="77777777" w:rsidR="00B915CF" w:rsidRPr="00D26794" w:rsidRDefault="00B915CF" w:rsidP="00D26794">
      <w:pPr>
        <w:spacing w:after="0" w:line="240" w:lineRule="auto"/>
        <w:jc w:val="center"/>
        <w:rPr>
          <w:rFonts w:ascii="Times New Roman" w:eastAsia="Calibri" w:hAnsi="Times New Roman" w:cs="Times New Roman"/>
          <w:b/>
          <w:bCs/>
          <w:sz w:val="21"/>
          <w:szCs w:val="21"/>
        </w:rPr>
      </w:pPr>
    </w:p>
    <w:p w14:paraId="4A7DD833" w14:textId="77777777" w:rsidR="00D26794" w:rsidRPr="00D26794" w:rsidRDefault="00D26794" w:rsidP="00D26794">
      <w:pPr>
        <w:spacing w:after="0" w:line="240" w:lineRule="auto"/>
        <w:ind w:firstLine="709"/>
        <w:jc w:val="both"/>
        <w:rPr>
          <w:rFonts w:ascii="Times New Roman" w:eastAsia="Calibri" w:hAnsi="Times New Roman" w:cs="Times New Roman"/>
          <w:sz w:val="21"/>
          <w:szCs w:val="21"/>
        </w:rPr>
      </w:pPr>
      <w:r w:rsidRPr="00D26794">
        <w:rPr>
          <w:rFonts w:ascii="Times New Roman" w:eastAsia="Calibri" w:hAnsi="Times New Roman" w:cs="Times New Roman"/>
          <w:b/>
          <w:bCs/>
          <w:sz w:val="21"/>
          <w:szCs w:val="21"/>
        </w:rPr>
        <w:t>Аннотация</w:t>
      </w:r>
      <w:r w:rsidRPr="00D26794">
        <w:rPr>
          <w:rFonts w:ascii="Times New Roman" w:eastAsia="Calibri" w:hAnsi="Times New Roman" w:cs="Times New Roman"/>
          <w:sz w:val="21"/>
          <w:szCs w:val="21"/>
        </w:rPr>
        <w:t>. Данная статья посвящена исследованию потребительского поведения с использованием анализа данных о покупках. На основе реальных транзакционных данных проводится выявление основных закономерностей и предпочтений покупателей, что позволяет более точно сегментировать аудиторию и разрабатывать эффективные маркетинговые стратегии. В работе рассматриваются методы обработки больших данных, применяемые для выявления паттернов покупок, а также обсуждаются возможности использования машинного обучения для прогнозирования поведения потребителей. Полученные результаты могут внести значительный вклад в развитие персонализированного маркетинга и повышения лояльности клиентов.</w:t>
      </w:r>
    </w:p>
    <w:p w14:paraId="58DBFADC" w14:textId="77777777" w:rsidR="00D26794" w:rsidRDefault="00D26794" w:rsidP="00D26794">
      <w:pPr>
        <w:spacing w:after="0" w:line="240" w:lineRule="auto"/>
        <w:ind w:firstLine="709"/>
        <w:jc w:val="both"/>
        <w:rPr>
          <w:rFonts w:ascii="Times New Roman" w:eastAsia="Calibri" w:hAnsi="Times New Roman" w:cs="Times New Roman"/>
          <w:sz w:val="21"/>
          <w:szCs w:val="21"/>
        </w:rPr>
      </w:pPr>
      <w:r w:rsidRPr="00D26794">
        <w:rPr>
          <w:rFonts w:ascii="Times New Roman" w:eastAsia="Calibri" w:hAnsi="Times New Roman" w:cs="Times New Roman"/>
          <w:b/>
          <w:bCs/>
          <w:sz w:val="21"/>
          <w:szCs w:val="21"/>
        </w:rPr>
        <w:t>Ключевые слова</w:t>
      </w:r>
      <w:r w:rsidRPr="00D26794">
        <w:rPr>
          <w:rFonts w:ascii="Times New Roman" w:eastAsia="Calibri" w:hAnsi="Times New Roman" w:cs="Times New Roman"/>
          <w:sz w:val="21"/>
          <w:szCs w:val="21"/>
        </w:rPr>
        <w:t>: потребительское поведение, анализ данных, данные о покупках, маркетинговая аналитика, прогнозирование</w:t>
      </w:r>
    </w:p>
    <w:p w14:paraId="3813A300" w14:textId="77777777" w:rsidR="00D26794" w:rsidRPr="00D26794" w:rsidRDefault="00D26794" w:rsidP="00D26794">
      <w:pPr>
        <w:spacing w:after="0" w:line="240" w:lineRule="auto"/>
        <w:ind w:firstLine="709"/>
        <w:jc w:val="both"/>
        <w:rPr>
          <w:rFonts w:ascii="Times New Roman" w:eastAsia="Calibri" w:hAnsi="Times New Roman" w:cs="Times New Roman"/>
          <w:sz w:val="21"/>
          <w:szCs w:val="21"/>
        </w:rPr>
      </w:pPr>
    </w:p>
    <w:p w14:paraId="0A33BE10" w14:textId="77777777" w:rsidR="00D26794" w:rsidRPr="00D26794" w:rsidRDefault="00D26794" w:rsidP="00D26794">
      <w:pPr>
        <w:spacing w:after="0" w:line="240" w:lineRule="auto"/>
        <w:jc w:val="right"/>
        <w:rPr>
          <w:rFonts w:ascii="Times New Roman" w:eastAsia="Calibri" w:hAnsi="Times New Roman" w:cs="Times New Roman"/>
          <w:b/>
          <w:bCs/>
          <w:i/>
          <w:iCs/>
          <w:sz w:val="21"/>
          <w:szCs w:val="21"/>
          <w:lang w:val="en-US"/>
        </w:rPr>
      </w:pPr>
      <w:r w:rsidRPr="00D26794">
        <w:rPr>
          <w:rFonts w:ascii="Times New Roman" w:eastAsia="Calibri" w:hAnsi="Times New Roman" w:cs="Times New Roman"/>
          <w:b/>
          <w:bCs/>
          <w:i/>
          <w:iCs/>
          <w:sz w:val="21"/>
          <w:szCs w:val="21"/>
          <w:lang w:val="en-US"/>
        </w:rPr>
        <w:t xml:space="preserve">Belkin A. E., </w:t>
      </w:r>
    </w:p>
    <w:p w14:paraId="7E0F341D" w14:textId="77777777" w:rsidR="00D26794" w:rsidRPr="00D26794" w:rsidRDefault="00D26794" w:rsidP="00D26794">
      <w:pPr>
        <w:spacing w:after="0" w:line="240" w:lineRule="auto"/>
        <w:jc w:val="right"/>
        <w:rPr>
          <w:rFonts w:ascii="Times New Roman" w:eastAsia="Calibri" w:hAnsi="Times New Roman" w:cs="Times New Roman"/>
          <w:b/>
          <w:i/>
          <w:iCs/>
          <w:sz w:val="21"/>
          <w:szCs w:val="21"/>
          <w:lang w:val="en-US"/>
        </w:rPr>
      </w:pPr>
      <w:r w:rsidRPr="00D26794">
        <w:rPr>
          <w:rFonts w:ascii="Times New Roman" w:eastAsia="Calibri" w:hAnsi="Times New Roman" w:cs="Times New Roman"/>
          <w:i/>
          <w:iCs/>
          <w:sz w:val="21"/>
          <w:szCs w:val="21"/>
          <w:lang w:val="en-US"/>
        </w:rPr>
        <w:t>student,</w:t>
      </w:r>
      <w:r w:rsidRPr="00D26794">
        <w:rPr>
          <w:rFonts w:ascii="Times New Roman" w:eastAsia="Calibri" w:hAnsi="Times New Roman" w:cs="Times New Roman"/>
          <w:i/>
          <w:iCs/>
          <w:lang w:val="en-US"/>
        </w:rPr>
        <w:t xml:space="preserve"> </w:t>
      </w:r>
      <w:r w:rsidRPr="00D26794">
        <w:rPr>
          <w:rFonts w:ascii="Times New Roman" w:eastAsia="Calibri" w:hAnsi="Times New Roman" w:cs="Times New Roman"/>
          <w:i/>
          <w:iCs/>
          <w:sz w:val="21"/>
          <w:szCs w:val="21"/>
          <w:lang w:val="en-US"/>
        </w:rPr>
        <w:t>3 courses</w:t>
      </w:r>
      <w:r w:rsidRPr="00D26794">
        <w:rPr>
          <w:rFonts w:ascii="Times New Roman" w:eastAsia="Calibri" w:hAnsi="Times New Roman" w:cs="Times New Roman"/>
          <w:b/>
          <w:i/>
          <w:iCs/>
          <w:sz w:val="21"/>
          <w:szCs w:val="21"/>
          <w:lang w:val="en-US"/>
        </w:rPr>
        <w:t xml:space="preserve"> </w:t>
      </w:r>
    </w:p>
    <w:p w14:paraId="284F479B" w14:textId="77777777" w:rsidR="00D26794" w:rsidRPr="00D26794" w:rsidRDefault="00D26794" w:rsidP="00D26794">
      <w:pPr>
        <w:spacing w:after="0" w:line="240" w:lineRule="auto"/>
        <w:jc w:val="right"/>
        <w:rPr>
          <w:rFonts w:ascii="Times New Roman" w:eastAsia="Calibri" w:hAnsi="Times New Roman" w:cs="Times New Roman"/>
          <w:i/>
          <w:iCs/>
          <w:sz w:val="21"/>
          <w:szCs w:val="21"/>
          <w:lang w:val="en-US"/>
        </w:rPr>
      </w:pPr>
      <w:r w:rsidRPr="00D26794">
        <w:rPr>
          <w:rFonts w:ascii="Times New Roman" w:eastAsia="Calibri" w:hAnsi="Times New Roman" w:cs="Times New Roman"/>
          <w:i/>
          <w:iCs/>
          <w:sz w:val="21"/>
          <w:szCs w:val="21"/>
          <w:lang w:val="en-US"/>
        </w:rPr>
        <w:t xml:space="preserve">Financial University under the Government of the Russian Federation, branch, </w:t>
      </w:r>
    </w:p>
    <w:p w14:paraId="047ABD95" w14:textId="77777777" w:rsidR="00D26794" w:rsidRPr="00D26794" w:rsidRDefault="00D26794" w:rsidP="00D26794">
      <w:pPr>
        <w:spacing w:after="0" w:line="240" w:lineRule="auto"/>
        <w:jc w:val="right"/>
        <w:rPr>
          <w:rFonts w:ascii="Times New Roman" w:eastAsia="Calibri" w:hAnsi="Times New Roman" w:cs="Times New Roman"/>
          <w:i/>
          <w:iCs/>
          <w:sz w:val="21"/>
          <w:szCs w:val="21"/>
          <w:lang w:val="en-US"/>
        </w:rPr>
      </w:pPr>
      <w:r w:rsidRPr="00D26794">
        <w:rPr>
          <w:rFonts w:ascii="Times New Roman" w:eastAsia="Calibri" w:hAnsi="Times New Roman" w:cs="Times New Roman"/>
          <w:i/>
          <w:iCs/>
          <w:sz w:val="21"/>
          <w:szCs w:val="21"/>
          <w:lang w:val="en-US"/>
        </w:rPr>
        <w:t>Krasnodar, Russia</w:t>
      </w:r>
    </w:p>
    <w:p w14:paraId="73C7C069" w14:textId="77777777" w:rsidR="00D26794" w:rsidRPr="00D26794" w:rsidRDefault="00D26794" w:rsidP="00D26794">
      <w:pPr>
        <w:spacing w:after="0" w:line="240" w:lineRule="auto"/>
        <w:jc w:val="right"/>
        <w:rPr>
          <w:rFonts w:ascii="Times New Roman" w:eastAsia="Calibri" w:hAnsi="Times New Roman" w:cs="Times New Roman"/>
          <w:iCs/>
          <w:sz w:val="21"/>
          <w:szCs w:val="21"/>
          <w:lang w:val="en-US"/>
        </w:rPr>
      </w:pPr>
    </w:p>
    <w:p w14:paraId="512D80B1" w14:textId="77777777" w:rsidR="00D26794" w:rsidRPr="00D26794" w:rsidRDefault="00D26794" w:rsidP="00D26794">
      <w:pPr>
        <w:spacing w:after="0" w:line="240" w:lineRule="auto"/>
        <w:jc w:val="right"/>
        <w:rPr>
          <w:rFonts w:ascii="Times New Roman" w:eastAsia="Calibri" w:hAnsi="Times New Roman" w:cs="Times New Roman"/>
          <w:b/>
          <w:iCs/>
          <w:sz w:val="21"/>
          <w:szCs w:val="21"/>
          <w:lang w:val="en-US"/>
        </w:rPr>
      </w:pPr>
      <w:r w:rsidRPr="00D26794">
        <w:rPr>
          <w:rFonts w:ascii="Times New Roman" w:eastAsia="Calibri" w:hAnsi="Times New Roman" w:cs="Times New Roman"/>
          <w:b/>
          <w:iCs/>
          <w:sz w:val="21"/>
          <w:szCs w:val="21"/>
          <w:lang w:val="en-US"/>
        </w:rPr>
        <w:t>Scientific Adviser:</w:t>
      </w:r>
    </w:p>
    <w:p w14:paraId="59AEEC94" w14:textId="77777777" w:rsidR="00D26794" w:rsidRPr="00D26794" w:rsidRDefault="00D26794" w:rsidP="00D26794">
      <w:pPr>
        <w:spacing w:after="0" w:line="240" w:lineRule="auto"/>
        <w:jc w:val="right"/>
        <w:rPr>
          <w:rFonts w:ascii="Times New Roman" w:eastAsia="Calibri" w:hAnsi="Times New Roman" w:cs="Times New Roman"/>
          <w:b/>
          <w:i/>
          <w:sz w:val="21"/>
          <w:szCs w:val="21"/>
          <w:lang w:val="en-US"/>
        </w:rPr>
      </w:pPr>
      <w:r w:rsidRPr="00D26794">
        <w:rPr>
          <w:rFonts w:ascii="Times New Roman" w:eastAsia="Calibri" w:hAnsi="Times New Roman" w:cs="Times New Roman"/>
          <w:b/>
          <w:i/>
          <w:sz w:val="21"/>
          <w:szCs w:val="21"/>
          <w:lang w:val="en-US"/>
        </w:rPr>
        <w:t>Pyankova N.G.,</w:t>
      </w:r>
    </w:p>
    <w:p w14:paraId="26B6C149" w14:textId="77777777" w:rsidR="00D26794" w:rsidRPr="00D26794" w:rsidRDefault="00D26794" w:rsidP="00D26794">
      <w:pPr>
        <w:spacing w:after="0" w:line="240" w:lineRule="auto"/>
        <w:jc w:val="right"/>
        <w:textAlignment w:val="baseline"/>
        <w:rPr>
          <w:rFonts w:ascii="Calibri" w:eastAsia="Times New Roman" w:hAnsi="Calibri" w:cs="Times New Roman"/>
          <w:i/>
          <w:sz w:val="21"/>
          <w:szCs w:val="21"/>
          <w:lang w:val="en" w:eastAsia="ar-SA"/>
        </w:rPr>
      </w:pPr>
      <w:r w:rsidRPr="00D26794">
        <w:rPr>
          <w:rFonts w:ascii="Times New Roman" w:eastAsia="Times New Roman" w:hAnsi="Times New Roman" w:cs="Times New Roman"/>
          <w:i/>
          <w:sz w:val="21"/>
          <w:szCs w:val="21"/>
          <w:lang w:val="en" w:eastAsia="ar-SA"/>
        </w:rPr>
        <w:t>Candidate of Pedagogical Sciences, Docent</w:t>
      </w:r>
      <w:r w:rsidRPr="00D26794">
        <w:rPr>
          <w:rFonts w:ascii="Calibri" w:eastAsia="Times New Roman" w:hAnsi="Calibri" w:cs="Times New Roman"/>
          <w:i/>
          <w:sz w:val="21"/>
          <w:szCs w:val="21"/>
          <w:lang w:val="en" w:eastAsia="ar-SA"/>
        </w:rPr>
        <w:t xml:space="preserve"> </w:t>
      </w:r>
    </w:p>
    <w:p w14:paraId="4C21C6FD" w14:textId="77777777" w:rsidR="00D26794" w:rsidRPr="00D26794" w:rsidRDefault="00D26794" w:rsidP="00D26794">
      <w:pPr>
        <w:spacing w:after="0" w:line="240" w:lineRule="auto"/>
        <w:jc w:val="right"/>
        <w:rPr>
          <w:rFonts w:ascii="Times New Roman" w:eastAsia="Calibri" w:hAnsi="Times New Roman" w:cs="Times New Roman"/>
          <w:i/>
          <w:sz w:val="21"/>
          <w:szCs w:val="21"/>
          <w:lang w:val="en-US"/>
        </w:rPr>
      </w:pPr>
      <w:r w:rsidRPr="00D26794">
        <w:rPr>
          <w:rFonts w:ascii="Times New Roman" w:eastAsia="Calibri" w:hAnsi="Times New Roman" w:cs="Times New Roman"/>
          <w:i/>
          <w:sz w:val="21"/>
          <w:szCs w:val="21"/>
          <w:lang w:val="en-US"/>
        </w:rPr>
        <w:t>Financial University under the Government of the Russian Federation</w:t>
      </w:r>
    </w:p>
    <w:p w14:paraId="46DBBDF6" w14:textId="77777777" w:rsidR="00D26794" w:rsidRPr="00D26794" w:rsidRDefault="00D26794" w:rsidP="00D26794">
      <w:pPr>
        <w:spacing w:after="0" w:line="240" w:lineRule="auto"/>
        <w:jc w:val="right"/>
        <w:rPr>
          <w:rFonts w:ascii="Times New Roman" w:eastAsia="Calibri" w:hAnsi="Times New Roman" w:cs="Times New Roman"/>
          <w:i/>
          <w:sz w:val="21"/>
          <w:szCs w:val="21"/>
          <w:lang w:val="en-US"/>
        </w:rPr>
      </w:pPr>
      <w:r w:rsidRPr="00D26794">
        <w:rPr>
          <w:rFonts w:ascii="Times New Roman" w:eastAsia="Calibri" w:hAnsi="Times New Roman" w:cs="Times New Roman"/>
          <w:i/>
          <w:sz w:val="21"/>
          <w:szCs w:val="21"/>
          <w:lang w:val="en-US"/>
        </w:rPr>
        <w:t>Krasnodar, Russia</w:t>
      </w:r>
    </w:p>
    <w:p w14:paraId="77136F57" w14:textId="77777777" w:rsidR="00D26794" w:rsidRPr="00D26794" w:rsidRDefault="00D26794" w:rsidP="00D26794">
      <w:pPr>
        <w:spacing w:after="0" w:line="240" w:lineRule="auto"/>
        <w:jc w:val="right"/>
        <w:textAlignment w:val="baseline"/>
        <w:rPr>
          <w:rFonts w:ascii="Times New Roman" w:eastAsia="Calibri" w:hAnsi="Times New Roman" w:cs="Times New Roman"/>
          <w:i/>
          <w:sz w:val="21"/>
          <w:szCs w:val="21"/>
          <w:lang w:val="en-US"/>
        </w:rPr>
      </w:pPr>
      <w:r w:rsidRPr="00D26794">
        <w:rPr>
          <w:rFonts w:ascii="Times New Roman" w:eastAsia="Calibri" w:hAnsi="Times New Roman" w:cs="Times New Roman"/>
          <w:i/>
          <w:sz w:val="21"/>
          <w:szCs w:val="21"/>
        </w:rPr>
        <w:t>е</w:t>
      </w:r>
      <w:r w:rsidRPr="00D26794">
        <w:rPr>
          <w:rFonts w:ascii="Times New Roman" w:eastAsia="Calibri" w:hAnsi="Times New Roman" w:cs="Times New Roman"/>
          <w:i/>
          <w:sz w:val="21"/>
          <w:szCs w:val="21"/>
          <w:lang w:val="en-US"/>
        </w:rPr>
        <w:t xml:space="preserve">-mail: </w:t>
      </w:r>
      <w:hyperlink r:id="rId460" w:history="1">
        <w:r w:rsidRPr="00D26794">
          <w:rPr>
            <w:rFonts w:ascii="Times New Roman" w:eastAsia="Calibri" w:hAnsi="Times New Roman" w:cs="Times New Roman"/>
            <w:i/>
            <w:color w:val="0563C1"/>
            <w:sz w:val="21"/>
            <w:szCs w:val="21"/>
            <w:u w:val="single"/>
            <w:lang w:val="en-US"/>
          </w:rPr>
          <w:t>NGPyankova@fa.ru</w:t>
        </w:r>
      </w:hyperlink>
    </w:p>
    <w:p w14:paraId="3FA348CD" w14:textId="77777777" w:rsidR="00D26794" w:rsidRPr="00D26794" w:rsidRDefault="00D26794" w:rsidP="00D26794">
      <w:pPr>
        <w:spacing w:after="0" w:line="240" w:lineRule="auto"/>
        <w:rPr>
          <w:rFonts w:ascii="Times New Roman" w:eastAsia="Calibri" w:hAnsi="Times New Roman" w:cs="Times New Roman"/>
          <w:sz w:val="21"/>
          <w:szCs w:val="21"/>
          <w:lang w:val="en-US"/>
        </w:rPr>
      </w:pPr>
    </w:p>
    <w:p w14:paraId="762CC566" w14:textId="77777777" w:rsidR="00D26794" w:rsidRPr="00D26794" w:rsidRDefault="00D26794" w:rsidP="00D26794">
      <w:pPr>
        <w:spacing w:after="0" w:line="240" w:lineRule="auto"/>
        <w:jc w:val="center"/>
        <w:rPr>
          <w:rFonts w:ascii="Times New Roman" w:eastAsia="Calibri" w:hAnsi="Times New Roman" w:cs="Times New Roman"/>
          <w:b/>
          <w:bCs/>
          <w:sz w:val="21"/>
          <w:szCs w:val="21"/>
          <w:lang w:val="en-US"/>
        </w:rPr>
      </w:pPr>
      <w:r w:rsidRPr="00D26794">
        <w:rPr>
          <w:rFonts w:ascii="Times New Roman" w:eastAsia="Calibri" w:hAnsi="Times New Roman" w:cs="Times New Roman"/>
          <w:b/>
          <w:bCs/>
          <w:sz w:val="21"/>
          <w:szCs w:val="21"/>
          <w:lang w:val="en-US"/>
        </w:rPr>
        <w:t>Analysis of Consumer Behavior Based on Purchase Data</w:t>
      </w:r>
    </w:p>
    <w:p w14:paraId="2E9DCD98" w14:textId="77777777" w:rsidR="00D26794" w:rsidRPr="00D26794" w:rsidRDefault="00D26794" w:rsidP="00D26794">
      <w:pPr>
        <w:spacing w:after="0" w:line="240" w:lineRule="auto"/>
        <w:ind w:firstLine="709"/>
        <w:jc w:val="both"/>
        <w:rPr>
          <w:rFonts w:ascii="Times New Roman" w:eastAsia="Calibri" w:hAnsi="Times New Roman" w:cs="Times New Roman"/>
          <w:sz w:val="21"/>
          <w:szCs w:val="21"/>
          <w:lang w:val="en-US"/>
        </w:rPr>
      </w:pPr>
      <w:r w:rsidRPr="00D26794">
        <w:rPr>
          <w:rFonts w:ascii="Times New Roman" w:eastAsia="Calibri" w:hAnsi="Times New Roman" w:cs="Times New Roman"/>
          <w:b/>
          <w:bCs/>
          <w:sz w:val="21"/>
          <w:szCs w:val="21"/>
          <w:lang w:val="en-US"/>
        </w:rPr>
        <w:t>Abstract</w:t>
      </w:r>
      <w:r w:rsidRPr="00D26794">
        <w:rPr>
          <w:rFonts w:ascii="Times New Roman" w:eastAsia="Calibri" w:hAnsi="Times New Roman" w:cs="Times New Roman"/>
          <w:sz w:val="21"/>
          <w:szCs w:val="21"/>
          <w:lang w:val="en-US"/>
        </w:rPr>
        <w:t>. This article is devoted to the study of consumer behavior using the analysis of purchase data. Based on real transaction data, the main patterns and preferences of buyers are identified, which allows for more accurate segmentation of the audience and the development of effective marketing strategies. The paper examines big data processing methods used to identify purchasing patterns and discusses the possibilities of using machine learning to predict consumer behavior. The results obtained can make a significant contribution to the development of personalized marketing and increasing customer loyalty.</w:t>
      </w:r>
    </w:p>
    <w:p w14:paraId="76E51DA7" w14:textId="77777777" w:rsidR="00D26794" w:rsidRPr="00D26794" w:rsidRDefault="00D26794" w:rsidP="00D26794">
      <w:pPr>
        <w:spacing w:after="0" w:line="240" w:lineRule="auto"/>
        <w:ind w:firstLine="709"/>
        <w:jc w:val="both"/>
        <w:rPr>
          <w:rFonts w:ascii="Times New Roman" w:eastAsia="Calibri" w:hAnsi="Times New Roman" w:cs="Times New Roman"/>
          <w:sz w:val="21"/>
          <w:szCs w:val="21"/>
          <w:lang w:val="en-US"/>
        </w:rPr>
      </w:pPr>
      <w:r w:rsidRPr="00D26794">
        <w:rPr>
          <w:rFonts w:ascii="Times New Roman" w:eastAsia="Calibri" w:hAnsi="Times New Roman" w:cs="Times New Roman"/>
          <w:b/>
          <w:bCs/>
          <w:sz w:val="21"/>
          <w:szCs w:val="21"/>
          <w:lang w:val="en-US"/>
        </w:rPr>
        <w:t>Keywords</w:t>
      </w:r>
      <w:r w:rsidRPr="00D26794">
        <w:rPr>
          <w:rFonts w:ascii="Times New Roman" w:eastAsia="Calibri" w:hAnsi="Times New Roman" w:cs="Times New Roman"/>
          <w:sz w:val="21"/>
          <w:szCs w:val="21"/>
          <w:lang w:val="en-US"/>
        </w:rPr>
        <w:t>: consumer behavior, data analysis, purchase data, marketing analytics, forecasting</w:t>
      </w:r>
    </w:p>
    <w:p w14:paraId="4EAF7CEA" w14:textId="77777777" w:rsidR="00D26794" w:rsidRPr="00D26794" w:rsidRDefault="00D26794" w:rsidP="00D26794">
      <w:pPr>
        <w:spacing w:after="0" w:line="240" w:lineRule="auto"/>
        <w:rPr>
          <w:rFonts w:ascii="Times New Roman" w:eastAsia="Calibri" w:hAnsi="Times New Roman" w:cs="Times New Roman"/>
          <w:sz w:val="21"/>
          <w:szCs w:val="21"/>
          <w:lang w:val="en-US"/>
        </w:rPr>
      </w:pPr>
    </w:p>
    <w:p w14:paraId="3D57F08E"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Современный рынок характеризуется высокой конкуренцией и быстро изменяющимися потребительскими предпочтениями. В таких </w:t>
      </w:r>
      <w:r w:rsidRPr="00D26794">
        <w:rPr>
          <w:rFonts w:ascii="Times New Roman" w:eastAsia="Calibri" w:hAnsi="Times New Roman" w:cs="Times New Roman"/>
          <w:sz w:val="32"/>
          <w:szCs w:val="32"/>
        </w:rPr>
        <w:lastRenderedPageBreak/>
        <w:t xml:space="preserve">условиях компаниям необходимо не просто предлагать продукт, но и понимать, каким образом потребители принимают решения о покупке. Анализ данных о покупках становится одним из ключевых инструментов для выявления этих закономерностей. Транзакционные данные предоставляют уникальную возможность исследовать предпочтения, частоту и поведение покупателей [1], что позволяет создавать более точные модели прогнозирования и разрабатывать персонализированные маркетинговые кампании. В данной статье рассматриваются методы сбора, обработки и анализа данных о покупках, а также примеры их успешного применения в бизнес-практике. </w:t>
      </w:r>
    </w:p>
    <w:p w14:paraId="71B43F5D"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Всего выделяют 3 метода сбора, обработки и анализа данных: (теоретические основы анализа потребительского поведения; источники данных и методы их обработки; методы анализа и подхода) </w:t>
      </w:r>
    </w:p>
    <w:p w14:paraId="2AEFD370"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Рассмотрим первый из методов, под названием «Теоретические основы анализа потребительского поведения». Данный метод заключается в том, что потребительское поведение охватывает весь процесс принятия решений клиентом – от сознания потребности до совершения покупки и оценки удовлетворенности [2]. Для изучения этого процесса применяют различные методы: опросы, наблюдения, экспериментальные исследования и, все чаще, анализ цифровых данных о покупках. </w:t>
      </w:r>
    </w:p>
    <w:p w14:paraId="4D8F44E1"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С точки зрения маркетинга и аналитики, данные о покупках позволяют не только понять, что именно покупает клиент, но и выявить скрытые связи между товарами, сезонные колебания спроса, реакцию на акции и нововведения. Это служит базой для формирования стратегий ценообразования, промоций и товарного ассортимента. </w:t>
      </w:r>
    </w:p>
    <w:p w14:paraId="0C5259BD"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Второй, но не менее значимый метод имеет название «Источники данных и методы их обработки». Суть данного метода заключается в следующем: основным источником для анализа служат базы данных транзакций – сведения о покупках, сохранившиеся в системе торговой точки или интернет-магазина. Помимо данных о купленных товарах, важным метаданными являются дата и время покупки, демографическая информация о покупателе, способ оплаты и другие параметры.</w:t>
      </w:r>
    </w:p>
    <w:p w14:paraId="4E494DA6"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Для подготовки данных к анализу применяют следующие этапы:</w:t>
      </w:r>
    </w:p>
    <w:p w14:paraId="6D34B6AA"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 очистка данных: удаление дубликатов, заполнение пропусков, корректировка ошибок [5]. </w:t>
      </w:r>
    </w:p>
    <w:p w14:paraId="1A507E0A"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lastRenderedPageBreak/>
        <w:t>- предобработка: нормализация, категоризация товаров, сопоставление с атрибутами.</w:t>
      </w:r>
    </w:p>
    <w:p w14:paraId="1CFFF6DD"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выделение признаков: вычисление частоты покупок, суммы расходов, средних чеков.</w:t>
      </w:r>
    </w:p>
    <w:p w14:paraId="22AE3CBA"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Важное значение имеет автоматизация обработки, так как объемы данных часто достигают миллионов строк – классическая аналитика вручную невозможна [1]. </w:t>
      </w:r>
    </w:p>
    <w:p w14:paraId="115C6724"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И заключительный третий метод, который используется для сбора, анализа и обработки данных называется «Методы анализа и модельные подходы». Он объединяет несколько методов воедино, разберем каждый из данных методов отдельно.</w:t>
      </w:r>
    </w:p>
    <w:p w14:paraId="20ED9311"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 Анализ частоты и корреляций. Простейшим и эффективным методом является вычисление частоты покупки товаров и выявление корреляций между ними. Это позволяет обнаружить «комплекты» товаров, которые покупаются совместно и объясняет предпочтения аудитории. </w:t>
      </w:r>
    </w:p>
    <w:p w14:paraId="552FB57D"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Сегментация потребителей. Сегментация – ключ к таргетированному маркетингу. Для ее реализации используют кластерный анализ (k-means, иерархическая кластеризация) [3], а также алгоритмы на основе моделей машинного обучения. Сегменты формируются на основе поведения клиентов – частоты покупок, категорий товаров, объема расходов.</w:t>
      </w:r>
    </w:p>
    <w:p w14:paraId="22524CBC"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Прогнозирование покупок. Использование методов машинного обучения (регрессионные модели, деревья решений, нейронные сети) позволяет предсказать будущие покупки клиента [4], вероятность оттока и реакцию на маркетинговые предложения. Это открывает перспективы для пропаганды и удержания клиентской базы.</w:t>
      </w:r>
    </w:p>
    <w:p w14:paraId="4A569759"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В современной розничной торговле используются расширенные методики анализа покупательского поведения. Например, в крупных сетях магазинов используют различные модели предсказания, чтобы делать рекомендации товарам для каждого клиента. Это помогает поднять конверсию – количество клиентов, преодолевших клик, и увеличить средний чек.</w:t>
      </w:r>
    </w:p>
    <w:p w14:paraId="76F8FD02"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Анализ частоты покупок и сезонных колебаний позволяет компаниям оптимизировать запасы на складах и организовать промо-акции в нужное время. Кроме того, персонализированные предложения, бонусы и акции способствуют, в частности, росту коэффициента удержания. А все вместе – более продуктивному и персонифицированному взаимодействию с клиентом.  </w:t>
      </w:r>
    </w:p>
    <w:p w14:paraId="490F2119"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lastRenderedPageBreak/>
        <w:t>И все же надо понимать, что такой подход требует много внимания. С одной стороны, проблемой является обеспечение высокого уровня данных для прогнозирования – информация о платежах и выборе продуктов должно быть точной. С другой стороны, безопасность данных также является проблемой, поскольку определенные стандарты требуются по законам о конфиденциальность.  Так же необходимо периодическое обновление моделей анализа, поскольку поведение покупателей меняется постоянно, под воздействием различных факторов, а внешние условия тоже остаются не постоянными. Впереди у компаний перспективное направление – интеграция анализа покупательского поведения с источниками информации о клиентах, включая социальные медиа и создание на основе этого еще более передовых, точных рекомендаций. Также активно расширяются границы применения искусственного интеллекта для полной персонализации опыта каждого клиента.</w:t>
      </w:r>
    </w:p>
    <w:p w14:paraId="6475A129"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Важно понимать, что анализ покупательского поведения позволяет не только увеличить продажи, но также повысить лояльность у клиентов. Это можно сделать с помощью разнообразных методов, например, персонально подобранных предложений, расширения ассортимента товара или спектра услуг, предсказаний будущего спроса, увеличения количества лояльных операторов и более качественного взаимодействия. Фирма, анализируя историю покупок каждого клиента, может понять, что интересно каждому. Далее предлагаются индивидуальные акции или специальные цены, наиболее соответствующие предпочтениям. Так же следует упомянуть, что такой подход вызывает доверие к бренду и помогает формировать долгосрочные отношения с клиентами. </w:t>
      </w:r>
    </w:p>
    <w:p w14:paraId="0FB47D03"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Есть и еще один важный аспект – это оптимизация ассортимента и уровня сервиса. Разработав понимание о том, какие товары будут востребованы в определенный промежуток времени или у одной конкретной группы покупателей, магазины могут точнее формировать адекватный ассортимент продукции. Помимо этого, имеется возможность совершенствования качества обслуживание: сделать процесс приобретения необходимого товара более быстрым или сделать выбор товара для клиента более удобным. В последствии положительный опыт взаимодействия с брендом приведет к удержанию клиентов.</w:t>
      </w:r>
    </w:p>
    <w:p w14:paraId="1A2C8AC6"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 xml:space="preserve">Еще один мощный инструмент для прогнозирования предпочтений потенциальных клиентов состоит в анализе поведения и </w:t>
      </w:r>
      <w:r w:rsidRPr="00D26794">
        <w:rPr>
          <w:rFonts w:ascii="Times New Roman" w:eastAsia="Calibri" w:hAnsi="Times New Roman" w:cs="Times New Roman"/>
          <w:sz w:val="32"/>
          <w:szCs w:val="32"/>
        </w:rPr>
        <w:lastRenderedPageBreak/>
        <w:t>реакции клиентов на акции и часто повторяющиеся события. В зависимости от их поведения компания может предложить клиенту специальные условия при покупке товара или услуги по индивидуальным ценам, а также настроить работу call-центра в соответствии с политикой продаж компании. С помощью такого анализа можно предсказать, что клиент купит и более того, понимать, что он хочет, даже прежде, чем клиент поймет это сам.</w:t>
      </w:r>
    </w:p>
    <w:p w14:paraId="39D487A0" w14:textId="77777777" w:rsidR="00D26794" w:rsidRPr="00D26794" w:rsidRDefault="00D26794" w:rsidP="00D26794">
      <w:pPr>
        <w:spacing w:after="0" w:line="240" w:lineRule="auto"/>
        <w:ind w:firstLine="709"/>
        <w:jc w:val="both"/>
        <w:rPr>
          <w:rFonts w:ascii="Times New Roman" w:eastAsia="Calibri" w:hAnsi="Times New Roman" w:cs="Times New Roman"/>
          <w:sz w:val="32"/>
          <w:szCs w:val="32"/>
        </w:rPr>
      </w:pPr>
      <w:r w:rsidRPr="00D26794">
        <w:rPr>
          <w:rFonts w:ascii="Times New Roman" w:eastAsia="Calibri" w:hAnsi="Times New Roman" w:cs="Times New Roman"/>
          <w:sz w:val="32"/>
          <w:szCs w:val="32"/>
        </w:rPr>
        <w:t>Акция или предложение, сделанное вовремя, именно наиболее верное объяснение лояльности клиента. Таким образом, можно сделать вывод о том, что анализ данных о покупках является весьма серьезным инструментов прогнозирования поведения клиентов, познания и практической встречи их потребностей, помогает не просто продавать товар на определенный момент времени, но и строить долгосрочные отношения с потенциальными покупателями, повышая лояльность на долгосрочное сотрудничество.</w:t>
      </w:r>
    </w:p>
    <w:p w14:paraId="2963D9B9" w14:textId="77777777" w:rsidR="00D26794" w:rsidRPr="00D26794" w:rsidRDefault="00D26794" w:rsidP="00D26794">
      <w:pPr>
        <w:spacing w:after="0" w:line="240" w:lineRule="auto"/>
        <w:rPr>
          <w:rFonts w:ascii="Times New Roman" w:eastAsia="Calibri" w:hAnsi="Times New Roman" w:cs="Times New Roman"/>
        </w:rPr>
      </w:pPr>
    </w:p>
    <w:p w14:paraId="76A44474" w14:textId="77777777" w:rsidR="00D26794" w:rsidRPr="00D26794" w:rsidRDefault="00D26794" w:rsidP="00D26794">
      <w:pPr>
        <w:spacing w:after="0" w:line="240" w:lineRule="auto"/>
        <w:jc w:val="center"/>
        <w:rPr>
          <w:rFonts w:ascii="Times New Roman" w:eastAsia="Calibri" w:hAnsi="Times New Roman" w:cs="Times New Roman"/>
          <w:b/>
          <w:bCs/>
          <w:sz w:val="21"/>
          <w:szCs w:val="21"/>
        </w:rPr>
      </w:pPr>
      <w:r w:rsidRPr="00D26794">
        <w:rPr>
          <w:rFonts w:ascii="Times New Roman" w:eastAsia="Calibri" w:hAnsi="Times New Roman" w:cs="Times New Roman"/>
          <w:b/>
          <w:bCs/>
          <w:sz w:val="21"/>
          <w:szCs w:val="21"/>
        </w:rPr>
        <w:t>Литература:</w:t>
      </w:r>
    </w:p>
    <w:p w14:paraId="16E30377" w14:textId="192FC5AC" w:rsidR="00D26794" w:rsidRPr="00D26794" w:rsidRDefault="00D26794" w:rsidP="00AD58CD">
      <w:pPr>
        <w:numPr>
          <w:ilvl w:val="0"/>
          <w:numId w:val="100"/>
        </w:numPr>
        <w:tabs>
          <w:tab w:val="left" w:pos="426"/>
          <w:tab w:val="left" w:pos="993"/>
        </w:tabs>
        <w:spacing w:after="0" w:line="240" w:lineRule="auto"/>
        <w:ind w:left="0" w:firstLine="0"/>
        <w:contextualSpacing/>
        <w:jc w:val="both"/>
        <w:rPr>
          <w:rFonts w:ascii="Times New Roman" w:eastAsia="Calibri" w:hAnsi="Times New Roman" w:cs="Times New Roman"/>
          <w:sz w:val="21"/>
          <w:szCs w:val="21"/>
        </w:rPr>
      </w:pPr>
      <w:r w:rsidRPr="00D26794">
        <w:rPr>
          <w:rFonts w:ascii="Times New Roman" w:eastAsia="Calibri" w:hAnsi="Times New Roman" w:cs="Times New Roman"/>
          <w:sz w:val="21"/>
          <w:szCs w:val="21"/>
        </w:rPr>
        <w:t>Пьянкова, Н. Г. О математическом моделировании торговых проектов / Н. Г. Пьянкова, Н. В. Третьякова // Экономика и управление: ключевые проблемы и перспективы развития: Материалы X международной научно-практической конференции, Тихорецк, 25 октября 2019 года. – Тихорецк: ФГБУ "Российское энергетическое агентство" Минэнерго России Краснодарский ЦНТИ- филиал ФГБУ "РЭА" Минэнерго России, 2019. – С. 275-279.</w:t>
      </w:r>
    </w:p>
    <w:p w14:paraId="1E08A04F" w14:textId="77777777" w:rsidR="00D26794" w:rsidRPr="00D26794" w:rsidRDefault="00D26794" w:rsidP="00AD58CD">
      <w:pPr>
        <w:numPr>
          <w:ilvl w:val="0"/>
          <w:numId w:val="100"/>
        </w:numPr>
        <w:tabs>
          <w:tab w:val="left" w:pos="426"/>
          <w:tab w:val="left" w:pos="993"/>
        </w:tabs>
        <w:spacing w:after="0" w:line="240" w:lineRule="auto"/>
        <w:ind w:left="0" w:firstLine="0"/>
        <w:contextualSpacing/>
        <w:jc w:val="both"/>
        <w:rPr>
          <w:rFonts w:ascii="Times New Roman" w:eastAsia="Calibri" w:hAnsi="Times New Roman" w:cs="Times New Roman"/>
          <w:sz w:val="21"/>
          <w:szCs w:val="21"/>
        </w:rPr>
      </w:pPr>
      <w:r w:rsidRPr="00D26794">
        <w:rPr>
          <w:rFonts w:ascii="Times New Roman" w:eastAsia="Calibri" w:hAnsi="Times New Roman" w:cs="Times New Roman"/>
          <w:sz w:val="21"/>
          <w:szCs w:val="21"/>
        </w:rPr>
        <w:t xml:space="preserve">Шмидт Д. Большие данные в маркетинге: как анализировать и использовать для роста продаж. – Москва: Альпина Паблишер, 2020. – 256 с. </w:t>
      </w:r>
    </w:p>
    <w:p w14:paraId="4BFAB364" w14:textId="77777777" w:rsidR="00D26794" w:rsidRPr="00D26794" w:rsidRDefault="00D26794" w:rsidP="00AD58CD">
      <w:pPr>
        <w:numPr>
          <w:ilvl w:val="0"/>
          <w:numId w:val="100"/>
        </w:numPr>
        <w:tabs>
          <w:tab w:val="left" w:pos="426"/>
          <w:tab w:val="left" w:pos="993"/>
        </w:tabs>
        <w:spacing w:after="0" w:line="240" w:lineRule="auto"/>
        <w:ind w:left="0" w:firstLine="0"/>
        <w:contextualSpacing/>
        <w:jc w:val="both"/>
        <w:rPr>
          <w:rFonts w:ascii="Times New Roman" w:eastAsia="Calibri" w:hAnsi="Times New Roman" w:cs="Times New Roman"/>
          <w:sz w:val="21"/>
          <w:szCs w:val="21"/>
        </w:rPr>
      </w:pPr>
      <w:r w:rsidRPr="00D26794">
        <w:rPr>
          <w:rFonts w:ascii="Times New Roman" w:eastAsia="Calibri" w:hAnsi="Times New Roman" w:cs="Times New Roman"/>
          <w:sz w:val="21"/>
          <w:szCs w:val="21"/>
        </w:rPr>
        <w:t>Бурекин А.В., Иванов.И.Н. Машинное обучение и прогнозирование потребительского поведения. – Москва: Наука, 2021. -288 с.</w:t>
      </w:r>
    </w:p>
    <w:p w14:paraId="6BC0E21C" w14:textId="77777777" w:rsidR="00D26794" w:rsidRPr="00D26794" w:rsidRDefault="00D26794" w:rsidP="00AD58CD">
      <w:pPr>
        <w:numPr>
          <w:ilvl w:val="0"/>
          <w:numId w:val="100"/>
        </w:numPr>
        <w:tabs>
          <w:tab w:val="left" w:pos="426"/>
          <w:tab w:val="left" w:pos="993"/>
        </w:tabs>
        <w:spacing w:after="0" w:line="240" w:lineRule="auto"/>
        <w:ind w:left="0" w:firstLine="0"/>
        <w:contextualSpacing/>
        <w:jc w:val="both"/>
        <w:rPr>
          <w:rFonts w:ascii="Times New Roman" w:eastAsia="Calibri" w:hAnsi="Times New Roman" w:cs="Times New Roman"/>
          <w:sz w:val="21"/>
          <w:szCs w:val="21"/>
        </w:rPr>
      </w:pPr>
      <w:r w:rsidRPr="00D26794">
        <w:rPr>
          <w:rFonts w:ascii="Times New Roman" w:eastAsia="Calibri" w:hAnsi="Times New Roman" w:cs="Times New Roman"/>
          <w:sz w:val="21"/>
          <w:szCs w:val="21"/>
        </w:rPr>
        <w:t>Гандельман В.Ю. Анализ данных в маркетинге: теория и практика. – Санкт-Петербург: Питер,2019. – 320 с.</w:t>
      </w:r>
    </w:p>
    <w:p w14:paraId="35C30A1D" w14:textId="4D9C5F20" w:rsidR="00DD379A" w:rsidRDefault="00D26794" w:rsidP="00AD58CD">
      <w:pPr>
        <w:numPr>
          <w:ilvl w:val="0"/>
          <w:numId w:val="100"/>
        </w:numPr>
        <w:tabs>
          <w:tab w:val="left" w:pos="426"/>
          <w:tab w:val="left" w:pos="993"/>
        </w:tabs>
        <w:spacing w:after="0" w:line="240" w:lineRule="auto"/>
        <w:ind w:left="0" w:firstLine="0"/>
        <w:contextualSpacing/>
        <w:jc w:val="both"/>
        <w:rPr>
          <w:rFonts w:ascii="Times New Roman" w:eastAsia="Calibri" w:hAnsi="Times New Roman" w:cs="Times New Roman"/>
          <w:sz w:val="21"/>
          <w:szCs w:val="21"/>
        </w:rPr>
      </w:pPr>
      <w:r w:rsidRPr="00D26794">
        <w:rPr>
          <w:rFonts w:ascii="Times New Roman" w:eastAsia="Calibri" w:hAnsi="Times New Roman" w:cs="Times New Roman"/>
          <w:sz w:val="21"/>
          <w:szCs w:val="21"/>
        </w:rPr>
        <w:t>Бурекин А.В., Иванов.И.Н. Машинное обучение и прогнозирование потребительского поведения. – Москва: Наука, 2021. -288 с.</w:t>
      </w:r>
    </w:p>
    <w:p w14:paraId="53539EDD" w14:textId="77777777" w:rsidR="00D26794" w:rsidRDefault="00D26794" w:rsidP="00D26794">
      <w:pPr>
        <w:tabs>
          <w:tab w:val="left" w:pos="851"/>
          <w:tab w:val="left" w:pos="993"/>
        </w:tabs>
        <w:spacing w:after="0" w:line="240" w:lineRule="auto"/>
        <w:ind w:left="709"/>
        <w:contextualSpacing/>
        <w:jc w:val="both"/>
        <w:rPr>
          <w:rFonts w:ascii="Times New Roman" w:eastAsia="Calibri" w:hAnsi="Times New Roman" w:cs="Times New Roman"/>
          <w:sz w:val="21"/>
          <w:szCs w:val="21"/>
        </w:rPr>
      </w:pPr>
    </w:p>
    <w:p w14:paraId="5BB8EE12" w14:textId="77777777" w:rsidR="00D26794" w:rsidRPr="00D26794" w:rsidRDefault="00D26794" w:rsidP="00D26794">
      <w:pPr>
        <w:tabs>
          <w:tab w:val="left" w:pos="851"/>
          <w:tab w:val="left" w:pos="993"/>
        </w:tabs>
        <w:spacing w:after="0" w:line="240" w:lineRule="auto"/>
        <w:ind w:left="709"/>
        <w:contextualSpacing/>
        <w:jc w:val="both"/>
        <w:rPr>
          <w:rFonts w:ascii="Times New Roman" w:eastAsia="Calibri" w:hAnsi="Times New Roman" w:cs="Times New Roman"/>
          <w:sz w:val="21"/>
          <w:szCs w:val="21"/>
        </w:rPr>
      </w:pPr>
    </w:p>
    <w:p w14:paraId="523D06E2" w14:textId="74032B36" w:rsidR="00BD1126" w:rsidRPr="00BD1126" w:rsidRDefault="00BD1126" w:rsidP="00BD1126">
      <w:pPr>
        <w:spacing w:line="240" w:lineRule="auto"/>
        <w:contextualSpacing/>
        <w:jc w:val="right"/>
        <w:rPr>
          <w:rFonts w:ascii="Times New Roman" w:eastAsia="Calibri" w:hAnsi="Times New Roman" w:cs="Times New Roman"/>
          <w:b/>
          <w:i/>
          <w:iCs/>
          <w:sz w:val="21"/>
          <w:szCs w:val="21"/>
        </w:rPr>
      </w:pPr>
      <w:r w:rsidRPr="00BD1126">
        <w:rPr>
          <w:rFonts w:ascii="Times New Roman" w:eastAsia="Calibri" w:hAnsi="Times New Roman" w:cs="Times New Roman"/>
          <w:b/>
          <w:i/>
          <w:iCs/>
          <w:sz w:val="21"/>
          <w:szCs w:val="21"/>
        </w:rPr>
        <w:t>Береговая О.С.</w:t>
      </w:r>
      <w:r w:rsidR="00500829">
        <w:rPr>
          <w:rFonts w:ascii="Times New Roman" w:eastAsia="Calibri" w:hAnsi="Times New Roman" w:cs="Times New Roman"/>
          <w:b/>
          <w:i/>
          <w:iCs/>
          <w:sz w:val="21"/>
          <w:szCs w:val="21"/>
        </w:rPr>
        <w:t>,</w:t>
      </w:r>
    </w:p>
    <w:p w14:paraId="0A3DED23" w14:textId="77777777"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rPr>
        <w:t>студентка 2-го курса</w:t>
      </w:r>
    </w:p>
    <w:p w14:paraId="52A4501D" w14:textId="77777777" w:rsidR="009D6EA4" w:rsidRDefault="009D6EA4" w:rsidP="00BD1126">
      <w:pPr>
        <w:spacing w:line="240" w:lineRule="auto"/>
        <w:contextualSpacing/>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167B99A" w14:textId="529FAC5D"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rPr>
        <w:t>г. Краснодар, Россия</w:t>
      </w:r>
    </w:p>
    <w:p w14:paraId="734814C5" w14:textId="77777777"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lang w:val="en-US"/>
        </w:rPr>
        <w:t>e</w:t>
      </w:r>
      <w:r w:rsidRPr="00BD1126">
        <w:rPr>
          <w:rFonts w:ascii="Times New Roman" w:eastAsia="Calibri" w:hAnsi="Times New Roman" w:cs="Times New Roman"/>
          <w:i/>
          <w:sz w:val="21"/>
          <w:szCs w:val="21"/>
        </w:rPr>
        <w:t>-</w:t>
      </w:r>
      <w:r w:rsidRPr="00BD1126">
        <w:rPr>
          <w:rFonts w:ascii="Times New Roman" w:eastAsia="Calibri" w:hAnsi="Times New Roman" w:cs="Times New Roman"/>
          <w:i/>
          <w:sz w:val="21"/>
          <w:szCs w:val="21"/>
          <w:lang w:val="en-US"/>
        </w:rPr>
        <w:t>mail</w:t>
      </w:r>
      <w:r w:rsidRPr="00BD1126">
        <w:rPr>
          <w:rFonts w:ascii="Times New Roman" w:eastAsia="Calibri" w:hAnsi="Times New Roman" w:cs="Times New Roman"/>
          <w:i/>
          <w:sz w:val="21"/>
          <w:szCs w:val="21"/>
        </w:rPr>
        <w:t xml:space="preserve">: </w:t>
      </w:r>
      <w:hyperlink r:id="rId461" w:history="1">
        <w:r w:rsidRPr="00BD1126">
          <w:rPr>
            <w:rFonts w:ascii="Times New Roman" w:eastAsia="Calibri" w:hAnsi="Times New Roman" w:cs="Times New Roman"/>
            <w:i/>
            <w:color w:val="0563C1"/>
            <w:sz w:val="21"/>
            <w:szCs w:val="21"/>
            <w:u w:val="single"/>
            <w:lang w:val="en-US"/>
          </w:rPr>
          <w:t>beregovaaola</w:t>
        </w:r>
        <w:r w:rsidRPr="00BD1126">
          <w:rPr>
            <w:rFonts w:ascii="Times New Roman" w:eastAsia="Calibri" w:hAnsi="Times New Roman" w:cs="Times New Roman"/>
            <w:i/>
            <w:color w:val="0563C1"/>
            <w:sz w:val="21"/>
            <w:szCs w:val="21"/>
            <w:u w:val="single"/>
          </w:rPr>
          <w:t>@</w:t>
        </w:r>
        <w:r w:rsidRPr="00BD1126">
          <w:rPr>
            <w:rFonts w:ascii="Times New Roman" w:eastAsia="Calibri" w:hAnsi="Times New Roman" w:cs="Times New Roman"/>
            <w:i/>
            <w:color w:val="0563C1"/>
            <w:sz w:val="21"/>
            <w:szCs w:val="21"/>
            <w:u w:val="single"/>
            <w:lang w:val="en-US"/>
          </w:rPr>
          <w:t>mail</w:t>
        </w:r>
        <w:r w:rsidRPr="00BD1126">
          <w:rPr>
            <w:rFonts w:ascii="Times New Roman" w:eastAsia="Calibri" w:hAnsi="Times New Roman" w:cs="Times New Roman"/>
            <w:i/>
            <w:color w:val="0563C1"/>
            <w:sz w:val="21"/>
            <w:szCs w:val="21"/>
            <w:u w:val="single"/>
          </w:rPr>
          <w:t>.</w:t>
        </w:r>
        <w:r w:rsidRPr="00BD1126">
          <w:rPr>
            <w:rFonts w:ascii="Times New Roman" w:eastAsia="Calibri" w:hAnsi="Times New Roman" w:cs="Times New Roman"/>
            <w:i/>
            <w:color w:val="0563C1"/>
            <w:sz w:val="21"/>
            <w:szCs w:val="21"/>
            <w:u w:val="single"/>
            <w:lang w:val="en-US"/>
          </w:rPr>
          <w:t>ru</w:t>
        </w:r>
      </w:hyperlink>
    </w:p>
    <w:p w14:paraId="2F51C2E0" w14:textId="77777777" w:rsidR="00BD1126" w:rsidRPr="00BD1126" w:rsidRDefault="00BD1126" w:rsidP="00BD1126">
      <w:pPr>
        <w:spacing w:line="240" w:lineRule="auto"/>
        <w:contextualSpacing/>
        <w:jc w:val="right"/>
        <w:rPr>
          <w:rFonts w:ascii="Times New Roman" w:eastAsia="Calibri" w:hAnsi="Times New Roman" w:cs="Times New Roman"/>
          <w:i/>
          <w:sz w:val="21"/>
          <w:szCs w:val="21"/>
        </w:rPr>
      </w:pPr>
    </w:p>
    <w:p w14:paraId="6EADE835" w14:textId="77777777" w:rsidR="00BD1126" w:rsidRPr="00BD1126" w:rsidRDefault="00BD1126" w:rsidP="00BD1126">
      <w:pPr>
        <w:spacing w:line="240" w:lineRule="auto"/>
        <w:contextualSpacing/>
        <w:jc w:val="right"/>
        <w:rPr>
          <w:rFonts w:ascii="Times New Roman" w:eastAsia="Calibri" w:hAnsi="Times New Roman" w:cs="Times New Roman"/>
          <w:b/>
          <w:i/>
          <w:iCs/>
          <w:sz w:val="21"/>
          <w:szCs w:val="21"/>
        </w:rPr>
      </w:pPr>
      <w:r w:rsidRPr="00BD1126">
        <w:rPr>
          <w:rFonts w:ascii="Times New Roman" w:eastAsia="Calibri" w:hAnsi="Times New Roman" w:cs="Times New Roman"/>
          <w:b/>
          <w:i/>
          <w:iCs/>
          <w:sz w:val="21"/>
          <w:szCs w:val="21"/>
        </w:rPr>
        <w:t>Научный руководитель:</w:t>
      </w:r>
    </w:p>
    <w:p w14:paraId="20B23B7B" w14:textId="389DBA1E" w:rsidR="00BD1126" w:rsidRPr="00BD1126" w:rsidRDefault="00BD1126" w:rsidP="00BD1126">
      <w:pPr>
        <w:spacing w:line="240" w:lineRule="auto"/>
        <w:contextualSpacing/>
        <w:jc w:val="right"/>
        <w:rPr>
          <w:rFonts w:ascii="Times New Roman" w:eastAsia="Calibri" w:hAnsi="Times New Roman" w:cs="Times New Roman"/>
          <w:b/>
          <w:i/>
          <w:iCs/>
          <w:sz w:val="21"/>
          <w:szCs w:val="21"/>
        </w:rPr>
      </w:pPr>
      <w:r w:rsidRPr="00BD1126">
        <w:rPr>
          <w:rFonts w:ascii="Times New Roman" w:eastAsia="Calibri" w:hAnsi="Times New Roman" w:cs="Times New Roman"/>
          <w:b/>
          <w:i/>
          <w:iCs/>
          <w:sz w:val="21"/>
          <w:szCs w:val="21"/>
        </w:rPr>
        <w:t>Молчан А.С.</w:t>
      </w:r>
      <w:r w:rsidR="00500829">
        <w:rPr>
          <w:rFonts w:ascii="Times New Roman" w:eastAsia="Calibri" w:hAnsi="Times New Roman" w:cs="Times New Roman"/>
          <w:b/>
          <w:i/>
          <w:iCs/>
          <w:sz w:val="21"/>
          <w:szCs w:val="21"/>
        </w:rPr>
        <w:t>,</w:t>
      </w:r>
    </w:p>
    <w:p w14:paraId="70A0ABD5" w14:textId="77777777"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rPr>
        <w:t>​</w:t>
      </w:r>
      <w:r w:rsidRPr="00BD1126">
        <w:rPr>
          <w:rFonts w:ascii="Calibri" w:eastAsia="Calibri" w:hAnsi="Calibri" w:cs="Times New Roman"/>
        </w:rPr>
        <w:t xml:space="preserve"> </w:t>
      </w:r>
      <w:r w:rsidRPr="00BD1126">
        <w:rPr>
          <w:rFonts w:ascii="Times New Roman" w:eastAsia="Calibri" w:hAnsi="Times New Roman" w:cs="Times New Roman"/>
          <w:i/>
          <w:sz w:val="21"/>
          <w:szCs w:val="21"/>
        </w:rPr>
        <w:t>профессор, заведующий кафедрой «Математика и информатика»</w:t>
      </w:r>
    </w:p>
    <w:p w14:paraId="79A88FC0" w14:textId="77777777" w:rsidR="009D6EA4" w:rsidRDefault="009D6EA4" w:rsidP="00BD1126">
      <w:pPr>
        <w:spacing w:line="240" w:lineRule="auto"/>
        <w:contextualSpacing/>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3940C4B" w14:textId="1D0F93DF"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rPr>
        <w:t>г. Краснодар, Россия</w:t>
      </w:r>
    </w:p>
    <w:p w14:paraId="21A86154" w14:textId="77777777" w:rsidR="00BD1126" w:rsidRPr="00BD1126" w:rsidRDefault="00BD1126" w:rsidP="00BD1126">
      <w:pPr>
        <w:spacing w:line="240" w:lineRule="auto"/>
        <w:contextualSpacing/>
        <w:jc w:val="right"/>
        <w:rPr>
          <w:rFonts w:ascii="Times New Roman" w:eastAsia="Calibri" w:hAnsi="Times New Roman" w:cs="Times New Roman"/>
          <w:i/>
          <w:sz w:val="21"/>
          <w:szCs w:val="21"/>
        </w:rPr>
      </w:pPr>
      <w:r w:rsidRPr="00BD1126">
        <w:rPr>
          <w:rFonts w:ascii="Times New Roman" w:eastAsia="Calibri" w:hAnsi="Times New Roman" w:cs="Times New Roman"/>
          <w:i/>
          <w:sz w:val="21"/>
          <w:szCs w:val="21"/>
          <w:lang w:val="en-US"/>
        </w:rPr>
        <w:t>e</w:t>
      </w:r>
      <w:r w:rsidRPr="00BD1126">
        <w:rPr>
          <w:rFonts w:ascii="Times New Roman" w:eastAsia="Calibri" w:hAnsi="Times New Roman" w:cs="Times New Roman"/>
          <w:i/>
          <w:sz w:val="21"/>
          <w:szCs w:val="21"/>
        </w:rPr>
        <w:t>-</w:t>
      </w:r>
      <w:r w:rsidRPr="00BD1126">
        <w:rPr>
          <w:rFonts w:ascii="Times New Roman" w:eastAsia="Calibri" w:hAnsi="Times New Roman" w:cs="Times New Roman"/>
          <w:i/>
          <w:sz w:val="21"/>
          <w:szCs w:val="21"/>
          <w:lang w:val="en-US"/>
        </w:rPr>
        <w:t>mail</w:t>
      </w:r>
      <w:r w:rsidRPr="00BD1126">
        <w:rPr>
          <w:rFonts w:ascii="Times New Roman" w:eastAsia="Calibri" w:hAnsi="Times New Roman" w:cs="Times New Roman"/>
          <w:i/>
          <w:sz w:val="21"/>
          <w:szCs w:val="21"/>
        </w:rPr>
        <w:t xml:space="preserve">: </w:t>
      </w:r>
      <w:hyperlink r:id="rId462" w:history="1">
        <w:r w:rsidRPr="00BD1126">
          <w:rPr>
            <w:rFonts w:ascii="Times New Roman" w:eastAsia="Calibri" w:hAnsi="Times New Roman" w:cs="Times New Roman"/>
            <w:i/>
            <w:color w:val="0563C1"/>
            <w:sz w:val="21"/>
            <w:szCs w:val="21"/>
            <w:u w:val="single"/>
            <w:lang w:val="en-US"/>
          </w:rPr>
          <w:t>alsmolchan</w:t>
        </w:r>
        <w:r w:rsidRPr="00BD1126">
          <w:rPr>
            <w:rFonts w:ascii="Times New Roman" w:eastAsia="Calibri" w:hAnsi="Times New Roman" w:cs="Times New Roman"/>
            <w:i/>
            <w:color w:val="0563C1"/>
            <w:sz w:val="21"/>
            <w:szCs w:val="21"/>
            <w:u w:val="single"/>
          </w:rPr>
          <w:t>@</w:t>
        </w:r>
        <w:r w:rsidRPr="00BD1126">
          <w:rPr>
            <w:rFonts w:ascii="Times New Roman" w:eastAsia="Calibri" w:hAnsi="Times New Roman" w:cs="Times New Roman"/>
            <w:i/>
            <w:color w:val="0563C1"/>
            <w:sz w:val="21"/>
            <w:szCs w:val="21"/>
            <w:u w:val="single"/>
            <w:lang w:val="en-US"/>
          </w:rPr>
          <w:t>fa</w:t>
        </w:r>
        <w:r w:rsidRPr="00BD1126">
          <w:rPr>
            <w:rFonts w:ascii="Times New Roman" w:eastAsia="Calibri" w:hAnsi="Times New Roman" w:cs="Times New Roman"/>
            <w:i/>
            <w:color w:val="0563C1"/>
            <w:sz w:val="21"/>
            <w:szCs w:val="21"/>
            <w:u w:val="single"/>
          </w:rPr>
          <w:t>.</w:t>
        </w:r>
        <w:r w:rsidRPr="00BD1126">
          <w:rPr>
            <w:rFonts w:ascii="Times New Roman" w:eastAsia="Calibri" w:hAnsi="Times New Roman" w:cs="Times New Roman"/>
            <w:i/>
            <w:color w:val="0563C1"/>
            <w:sz w:val="21"/>
            <w:szCs w:val="21"/>
            <w:u w:val="single"/>
            <w:lang w:val="en-US"/>
          </w:rPr>
          <w:t>ru</w:t>
        </w:r>
      </w:hyperlink>
    </w:p>
    <w:p w14:paraId="128A7B4B" w14:textId="77777777" w:rsidR="00735751" w:rsidRDefault="00735751" w:rsidP="00BD1126">
      <w:pPr>
        <w:jc w:val="center"/>
        <w:rPr>
          <w:rFonts w:ascii="Times New Roman" w:eastAsia="Calibri" w:hAnsi="Times New Roman" w:cs="Times New Roman"/>
          <w:b/>
          <w:sz w:val="21"/>
          <w:szCs w:val="21"/>
        </w:rPr>
      </w:pPr>
    </w:p>
    <w:p w14:paraId="54481F0F" w14:textId="5E3AD857" w:rsidR="00BD1126" w:rsidRPr="00BD1126" w:rsidRDefault="00BD1126" w:rsidP="00BD1126">
      <w:pPr>
        <w:jc w:val="center"/>
        <w:rPr>
          <w:rFonts w:ascii="Times New Roman" w:eastAsia="Calibri" w:hAnsi="Times New Roman" w:cs="Times New Roman"/>
          <w:b/>
          <w:sz w:val="21"/>
          <w:szCs w:val="21"/>
        </w:rPr>
      </w:pPr>
      <w:r w:rsidRPr="00BD1126">
        <w:rPr>
          <w:rFonts w:ascii="Times New Roman" w:eastAsia="Calibri" w:hAnsi="Times New Roman" w:cs="Times New Roman"/>
          <w:b/>
          <w:sz w:val="21"/>
          <w:szCs w:val="21"/>
        </w:rPr>
        <w:t>Моделирование эпидемий: SIR-модель и её реализация</w:t>
      </w:r>
    </w:p>
    <w:p w14:paraId="6DDC6AF9" w14:textId="77777777" w:rsidR="00BD1126" w:rsidRPr="00BD1126" w:rsidRDefault="00BD1126" w:rsidP="00BD1126">
      <w:pPr>
        <w:spacing w:after="320" w:line="240" w:lineRule="auto"/>
        <w:ind w:firstLine="709"/>
        <w:contextualSpacing/>
        <w:jc w:val="both"/>
        <w:rPr>
          <w:rFonts w:ascii="Times New Roman" w:eastAsia="Calibri" w:hAnsi="Times New Roman" w:cs="Times New Roman"/>
          <w:sz w:val="21"/>
          <w:szCs w:val="21"/>
        </w:rPr>
      </w:pPr>
      <w:r w:rsidRPr="00BD1126">
        <w:rPr>
          <w:rFonts w:ascii="Times New Roman" w:eastAsia="Calibri" w:hAnsi="Times New Roman" w:cs="Times New Roman"/>
          <w:b/>
          <w:sz w:val="21"/>
          <w:szCs w:val="21"/>
        </w:rPr>
        <w:t xml:space="preserve">Аннотация. </w:t>
      </w:r>
      <w:r w:rsidRPr="00BD1126">
        <w:rPr>
          <w:rFonts w:ascii="Times New Roman" w:eastAsia="Calibri" w:hAnsi="Times New Roman" w:cs="Times New Roman"/>
          <w:sz w:val="21"/>
          <w:szCs w:val="21"/>
        </w:rPr>
        <w:t xml:space="preserve">В статье исследуется появление </w:t>
      </w:r>
      <w:r w:rsidRPr="00BD1126">
        <w:rPr>
          <w:rFonts w:ascii="Times New Roman" w:eastAsia="Calibri" w:hAnsi="Times New Roman" w:cs="Times New Roman"/>
          <w:sz w:val="21"/>
          <w:szCs w:val="21"/>
          <w:lang w:val="en-US"/>
        </w:rPr>
        <w:t>SIR</w:t>
      </w:r>
      <w:r w:rsidRPr="00BD1126">
        <w:rPr>
          <w:rFonts w:ascii="Times New Roman" w:eastAsia="Calibri" w:hAnsi="Times New Roman" w:cs="Times New Roman"/>
          <w:sz w:val="21"/>
          <w:szCs w:val="21"/>
        </w:rPr>
        <w:t xml:space="preserve">-моделей, их актуальность и применение в настоящее время. Изложены основные понятия, связанные с </w:t>
      </w:r>
      <w:r w:rsidRPr="00BD1126">
        <w:rPr>
          <w:rFonts w:ascii="Times New Roman" w:eastAsia="Calibri" w:hAnsi="Times New Roman" w:cs="Times New Roman"/>
          <w:sz w:val="21"/>
          <w:szCs w:val="21"/>
          <w:lang w:val="en-US"/>
        </w:rPr>
        <w:t>SIR</w:t>
      </w:r>
      <w:r w:rsidRPr="00BD1126">
        <w:rPr>
          <w:rFonts w:ascii="Times New Roman" w:eastAsia="Calibri" w:hAnsi="Times New Roman" w:cs="Times New Roman"/>
          <w:sz w:val="21"/>
          <w:szCs w:val="21"/>
        </w:rPr>
        <w:t>-моделями и использование их в различных сферах жизни. Описаны математические и программные виды данных моделей с наглядными примерами.</w:t>
      </w:r>
    </w:p>
    <w:p w14:paraId="3C00BB35" w14:textId="77777777" w:rsidR="00BD1126" w:rsidRPr="00BD1126" w:rsidRDefault="00BD1126" w:rsidP="00BD1126">
      <w:pPr>
        <w:spacing w:after="320" w:line="240" w:lineRule="auto"/>
        <w:ind w:firstLine="709"/>
        <w:contextualSpacing/>
        <w:jc w:val="both"/>
        <w:rPr>
          <w:rFonts w:ascii="Times New Roman" w:eastAsia="Calibri" w:hAnsi="Times New Roman" w:cs="Times New Roman"/>
          <w:sz w:val="21"/>
          <w:szCs w:val="21"/>
        </w:rPr>
      </w:pPr>
      <w:r w:rsidRPr="00BD1126">
        <w:rPr>
          <w:rFonts w:ascii="Times New Roman" w:eastAsia="Calibri" w:hAnsi="Times New Roman" w:cs="Times New Roman"/>
          <w:b/>
          <w:sz w:val="21"/>
          <w:szCs w:val="21"/>
        </w:rPr>
        <w:t xml:space="preserve">Ключевые слова: </w:t>
      </w:r>
      <w:r w:rsidRPr="00BD1126">
        <w:rPr>
          <w:rFonts w:ascii="Times New Roman" w:eastAsia="Calibri" w:hAnsi="Times New Roman" w:cs="Times New Roman"/>
          <w:sz w:val="21"/>
          <w:szCs w:val="21"/>
          <w:lang w:val="en-US"/>
        </w:rPr>
        <w:t>SIR</w:t>
      </w:r>
      <w:r w:rsidRPr="00BD1126">
        <w:rPr>
          <w:rFonts w:ascii="Times New Roman" w:eastAsia="Calibri" w:hAnsi="Times New Roman" w:cs="Times New Roman"/>
          <w:sz w:val="21"/>
          <w:szCs w:val="21"/>
        </w:rPr>
        <w:t>-модель, математическая модель, эпидемии, построение эпидемий.</w:t>
      </w:r>
    </w:p>
    <w:p w14:paraId="031AB7B3" w14:textId="77777777" w:rsidR="00BD1126" w:rsidRPr="00BD1126" w:rsidRDefault="00BD1126" w:rsidP="00BD1126">
      <w:pPr>
        <w:spacing w:after="320" w:line="240" w:lineRule="auto"/>
        <w:ind w:firstLine="709"/>
        <w:contextualSpacing/>
        <w:jc w:val="both"/>
        <w:rPr>
          <w:rFonts w:ascii="Times New Roman" w:eastAsia="Calibri" w:hAnsi="Times New Roman" w:cs="Times New Roman"/>
          <w:sz w:val="21"/>
          <w:szCs w:val="21"/>
        </w:rPr>
      </w:pPr>
    </w:p>
    <w:p w14:paraId="33060088" w14:textId="77777777" w:rsidR="00BD1126" w:rsidRPr="00BD1126" w:rsidRDefault="00BD1126" w:rsidP="00BD1126">
      <w:pPr>
        <w:spacing w:line="240" w:lineRule="auto"/>
        <w:contextualSpacing/>
        <w:jc w:val="right"/>
        <w:rPr>
          <w:rFonts w:ascii="Times New Roman" w:eastAsia="Calibri" w:hAnsi="Times New Roman" w:cs="Times New Roman"/>
          <w:b/>
          <w:bCs/>
          <w:i/>
          <w:iCs/>
          <w:sz w:val="21"/>
          <w:szCs w:val="21"/>
          <w:lang w:val="en-US"/>
        </w:rPr>
      </w:pPr>
      <w:r w:rsidRPr="00BD1126">
        <w:rPr>
          <w:rFonts w:ascii="Times New Roman" w:eastAsia="Calibri" w:hAnsi="Times New Roman" w:cs="Times New Roman"/>
          <w:b/>
          <w:bCs/>
          <w:i/>
          <w:iCs/>
          <w:sz w:val="21"/>
          <w:szCs w:val="21"/>
          <w:lang w:val="en-US"/>
        </w:rPr>
        <w:t>Beregovaya O.S.,</w:t>
      </w:r>
    </w:p>
    <w:p w14:paraId="084F2539"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en-US"/>
        </w:rPr>
      </w:pPr>
      <w:r w:rsidRPr="00BD1126">
        <w:rPr>
          <w:rFonts w:ascii="Times New Roman" w:eastAsia="Calibri" w:hAnsi="Times New Roman" w:cs="Times New Roman"/>
          <w:i/>
          <w:iCs/>
          <w:sz w:val="21"/>
          <w:szCs w:val="21"/>
          <w:lang w:val="en-US"/>
        </w:rPr>
        <w:t>2nd year student</w:t>
      </w:r>
    </w:p>
    <w:p w14:paraId="5F53AE95"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en-US"/>
        </w:rPr>
      </w:pPr>
      <w:r w:rsidRPr="00BD1126">
        <w:rPr>
          <w:rFonts w:ascii="Times New Roman" w:eastAsia="Calibri" w:hAnsi="Times New Roman" w:cs="Times New Roman"/>
          <w:i/>
          <w:iCs/>
          <w:sz w:val="21"/>
          <w:szCs w:val="21"/>
          <w:lang w:val="en-US"/>
        </w:rPr>
        <w:t>Financial University under the Government of the Russian Federation (Krasnodar branch)</w:t>
      </w:r>
    </w:p>
    <w:p w14:paraId="285D70C8"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it-IT"/>
        </w:rPr>
      </w:pPr>
      <w:r w:rsidRPr="00BD1126">
        <w:rPr>
          <w:rFonts w:ascii="Times New Roman" w:eastAsia="Calibri" w:hAnsi="Times New Roman" w:cs="Times New Roman"/>
          <w:i/>
          <w:iCs/>
          <w:sz w:val="21"/>
          <w:szCs w:val="21"/>
          <w:lang w:val="it-IT"/>
        </w:rPr>
        <w:t>Krasnodar, Russia</w:t>
      </w:r>
    </w:p>
    <w:p w14:paraId="23BC7CA7"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it-IT"/>
        </w:rPr>
      </w:pPr>
      <w:r w:rsidRPr="00BD1126">
        <w:rPr>
          <w:rFonts w:ascii="Times New Roman" w:eastAsia="Calibri" w:hAnsi="Times New Roman" w:cs="Times New Roman"/>
          <w:i/>
          <w:iCs/>
          <w:sz w:val="21"/>
          <w:szCs w:val="21"/>
          <w:lang w:val="it-IT"/>
        </w:rPr>
        <w:t xml:space="preserve">e-mail: </w:t>
      </w:r>
      <w:hyperlink r:id="rId463" w:history="1">
        <w:r w:rsidRPr="00BD1126">
          <w:rPr>
            <w:rFonts w:ascii="Times New Roman" w:eastAsia="Calibri" w:hAnsi="Times New Roman" w:cs="Times New Roman"/>
            <w:i/>
            <w:iCs/>
            <w:color w:val="0563C1"/>
            <w:sz w:val="21"/>
            <w:szCs w:val="21"/>
            <w:u w:val="single"/>
            <w:lang w:val="it-IT"/>
          </w:rPr>
          <w:t>beregovaaola@mail.ru</w:t>
        </w:r>
      </w:hyperlink>
    </w:p>
    <w:p w14:paraId="1106DDE6"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it-IT"/>
        </w:rPr>
      </w:pPr>
    </w:p>
    <w:p w14:paraId="4F7B821E" w14:textId="77777777" w:rsidR="00BD1126" w:rsidRPr="00BD1126" w:rsidRDefault="00BD1126" w:rsidP="00BD1126">
      <w:pPr>
        <w:spacing w:line="240" w:lineRule="auto"/>
        <w:contextualSpacing/>
        <w:jc w:val="right"/>
        <w:rPr>
          <w:rFonts w:ascii="Times New Roman" w:eastAsia="Calibri" w:hAnsi="Times New Roman" w:cs="Times New Roman"/>
          <w:b/>
          <w:bCs/>
          <w:sz w:val="21"/>
          <w:szCs w:val="21"/>
          <w:lang w:val="en-US"/>
        </w:rPr>
      </w:pPr>
      <w:r w:rsidRPr="00BD1126">
        <w:rPr>
          <w:rFonts w:ascii="Times New Roman" w:eastAsia="Calibri" w:hAnsi="Times New Roman" w:cs="Times New Roman"/>
          <w:b/>
          <w:bCs/>
          <w:sz w:val="21"/>
          <w:szCs w:val="21"/>
          <w:lang w:val="en-US"/>
        </w:rPr>
        <w:t>Scientific Adviser:</w:t>
      </w:r>
    </w:p>
    <w:p w14:paraId="503B9044" w14:textId="77777777" w:rsidR="00BD1126" w:rsidRPr="00BD1126" w:rsidRDefault="00BD1126" w:rsidP="00BD1126">
      <w:pPr>
        <w:spacing w:line="240" w:lineRule="auto"/>
        <w:contextualSpacing/>
        <w:jc w:val="right"/>
        <w:rPr>
          <w:rFonts w:ascii="Times New Roman" w:eastAsia="Calibri" w:hAnsi="Times New Roman" w:cs="Times New Roman"/>
          <w:b/>
          <w:bCs/>
          <w:sz w:val="21"/>
          <w:szCs w:val="21"/>
          <w:lang w:val="en-US"/>
        </w:rPr>
      </w:pPr>
      <w:r w:rsidRPr="00BD1126">
        <w:rPr>
          <w:rFonts w:ascii="Times New Roman" w:eastAsia="Calibri" w:hAnsi="Times New Roman" w:cs="Times New Roman"/>
          <w:b/>
          <w:bCs/>
          <w:sz w:val="21"/>
          <w:szCs w:val="21"/>
          <w:lang w:val="en-US"/>
        </w:rPr>
        <w:t>Molchan A.S.,</w:t>
      </w:r>
    </w:p>
    <w:p w14:paraId="181A529A"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en-US"/>
        </w:rPr>
      </w:pPr>
      <w:r w:rsidRPr="00BD1126">
        <w:rPr>
          <w:rFonts w:ascii="Times New Roman" w:eastAsia="Calibri" w:hAnsi="Times New Roman" w:cs="Times New Roman"/>
          <w:i/>
          <w:iCs/>
          <w:sz w:val="21"/>
          <w:szCs w:val="21"/>
          <w:lang w:val="en-US"/>
        </w:rPr>
        <w:t>Laboratory assistant, Assistant of the Department of Mathematics and Computer Science</w:t>
      </w:r>
    </w:p>
    <w:p w14:paraId="44DFA5E0" w14:textId="77777777" w:rsidR="00BD1126" w:rsidRPr="00BD1126" w:rsidRDefault="00BD1126" w:rsidP="00BD1126">
      <w:pPr>
        <w:spacing w:line="240" w:lineRule="auto"/>
        <w:contextualSpacing/>
        <w:jc w:val="right"/>
        <w:rPr>
          <w:rFonts w:ascii="Times New Roman" w:eastAsia="Calibri" w:hAnsi="Times New Roman" w:cs="Times New Roman"/>
          <w:i/>
          <w:iCs/>
          <w:sz w:val="21"/>
          <w:szCs w:val="21"/>
          <w:lang w:val="en-US"/>
        </w:rPr>
      </w:pPr>
      <w:r w:rsidRPr="00BD1126">
        <w:rPr>
          <w:rFonts w:ascii="Times New Roman" w:eastAsia="Calibri" w:hAnsi="Times New Roman" w:cs="Times New Roman"/>
          <w:i/>
          <w:iCs/>
          <w:sz w:val="21"/>
          <w:szCs w:val="21"/>
          <w:lang w:val="en-US"/>
        </w:rPr>
        <w:t>Financial University under the Government of the Russian Federation (Krasnodar branch)</w:t>
      </w:r>
    </w:p>
    <w:p w14:paraId="52EB6A99" w14:textId="77777777" w:rsidR="00BD1126" w:rsidRPr="00BD1126" w:rsidRDefault="00BD1126" w:rsidP="00BD1126">
      <w:pPr>
        <w:spacing w:line="240" w:lineRule="auto"/>
        <w:contextualSpacing/>
        <w:jc w:val="right"/>
        <w:rPr>
          <w:rFonts w:ascii="Times New Roman" w:eastAsia="Calibri" w:hAnsi="Times New Roman" w:cs="Times New Roman"/>
          <w:sz w:val="21"/>
          <w:szCs w:val="21"/>
          <w:lang w:val="it-IT"/>
        </w:rPr>
      </w:pPr>
      <w:r w:rsidRPr="00BD1126">
        <w:rPr>
          <w:rFonts w:ascii="Times New Roman" w:eastAsia="Calibri" w:hAnsi="Times New Roman" w:cs="Times New Roman"/>
          <w:i/>
          <w:iCs/>
          <w:sz w:val="21"/>
          <w:szCs w:val="21"/>
          <w:lang w:val="it-IT"/>
        </w:rPr>
        <w:t>Krasnodar, Russia</w:t>
      </w:r>
    </w:p>
    <w:p w14:paraId="2C6562D3" w14:textId="77777777" w:rsidR="00BD1126" w:rsidRPr="00BD1126" w:rsidRDefault="00BD1126" w:rsidP="00BD1126">
      <w:pPr>
        <w:jc w:val="right"/>
        <w:rPr>
          <w:rFonts w:ascii="Times New Roman" w:eastAsia="Calibri" w:hAnsi="Times New Roman" w:cs="Times New Roman"/>
          <w:i/>
          <w:sz w:val="21"/>
          <w:szCs w:val="21"/>
          <w:lang w:val="it-IT"/>
        </w:rPr>
      </w:pPr>
      <w:r w:rsidRPr="00BD1126">
        <w:rPr>
          <w:rFonts w:ascii="Times New Roman" w:eastAsia="Calibri" w:hAnsi="Times New Roman" w:cs="Times New Roman"/>
          <w:i/>
          <w:sz w:val="21"/>
          <w:szCs w:val="21"/>
          <w:lang w:val="it-IT"/>
        </w:rPr>
        <w:t xml:space="preserve">e-mail: </w:t>
      </w:r>
      <w:hyperlink r:id="rId464" w:history="1">
        <w:r w:rsidRPr="00BD1126">
          <w:rPr>
            <w:rFonts w:ascii="Times New Roman" w:eastAsia="Calibri" w:hAnsi="Times New Roman" w:cs="Times New Roman"/>
            <w:i/>
            <w:color w:val="0563C1"/>
            <w:sz w:val="21"/>
            <w:szCs w:val="21"/>
            <w:u w:val="single"/>
            <w:lang w:val="it-IT"/>
          </w:rPr>
          <w:t>alsmolchan@fa.ru</w:t>
        </w:r>
      </w:hyperlink>
    </w:p>
    <w:p w14:paraId="6362279B" w14:textId="77777777" w:rsidR="00BD1126" w:rsidRPr="00BD1126" w:rsidRDefault="00BD1126" w:rsidP="00BD1126">
      <w:pPr>
        <w:jc w:val="center"/>
        <w:rPr>
          <w:rFonts w:ascii="Times New Roman" w:eastAsia="Calibri" w:hAnsi="Times New Roman" w:cs="Times New Roman"/>
          <w:b/>
          <w:sz w:val="21"/>
          <w:szCs w:val="21"/>
          <w:lang w:val="en-US"/>
        </w:rPr>
      </w:pPr>
      <w:r w:rsidRPr="00BD1126">
        <w:rPr>
          <w:rFonts w:ascii="Times New Roman" w:eastAsia="Calibri" w:hAnsi="Times New Roman" w:cs="Times New Roman"/>
          <w:b/>
          <w:sz w:val="21"/>
          <w:szCs w:val="21"/>
          <w:lang w:val="en-US"/>
        </w:rPr>
        <w:t>Modeling epidemics: the SIR model and its implementation</w:t>
      </w:r>
    </w:p>
    <w:p w14:paraId="47963F72" w14:textId="77777777" w:rsidR="00BD1126" w:rsidRPr="00BD1126" w:rsidRDefault="00BD1126" w:rsidP="00BD1126">
      <w:pPr>
        <w:spacing w:line="240" w:lineRule="auto"/>
        <w:ind w:firstLine="709"/>
        <w:contextualSpacing/>
        <w:jc w:val="both"/>
        <w:rPr>
          <w:rFonts w:ascii="Times New Roman" w:eastAsia="Calibri" w:hAnsi="Times New Roman" w:cs="Times New Roman"/>
          <w:sz w:val="21"/>
          <w:szCs w:val="21"/>
          <w:lang w:val="en-US"/>
        </w:rPr>
      </w:pPr>
      <w:r w:rsidRPr="00BD1126">
        <w:rPr>
          <w:rFonts w:ascii="Times New Roman" w:eastAsia="Calibri" w:hAnsi="Times New Roman" w:cs="Times New Roman"/>
          <w:b/>
          <w:sz w:val="21"/>
          <w:szCs w:val="21"/>
          <w:lang w:val="en-US"/>
        </w:rPr>
        <w:t>Annotation.</w:t>
      </w:r>
      <w:r w:rsidRPr="00BD1126">
        <w:rPr>
          <w:rFonts w:ascii="Times New Roman" w:eastAsia="Calibri" w:hAnsi="Times New Roman" w:cs="Times New Roman"/>
          <w:sz w:val="21"/>
          <w:szCs w:val="21"/>
          <w:lang w:val="en-US"/>
        </w:rPr>
        <w:t xml:space="preserve"> The article studies the emergence of SIR-models, their relevance and application at present. The basic concepts related to SIR-models and their use in various spheres of life are presented. Mathematical and program types of these models with illustrative examples are described.</w:t>
      </w:r>
    </w:p>
    <w:p w14:paraId="6A0CE5F5" w14:textId="77777777" w:rsidR="00BD1126" w:rsidRPr="00BD1126" w:rsidRDefault="00BD1126" w:rsidP="00BD1126">
      <w:pPr>
        <w:spacing w:line="240" w:lineRule="auto"/>
        <w:ind w:firstLine="709"/>
        <w:contextualSpacing/>
        <w:jc w:val="both"/>
        <w:rPr>
          <w:rFonts w:ascii="Times New Roman" w:eastAsia="Calibri" w:hAnsi="Times New Roman" w:cs="Times New Roman"/>
          <w:sz w:val="21"/>
          <w:szCs w:val="21"/>
          <w:lang w:val="en-US"/>
        </w:rPr>
      </w:pPr>
      <w:r w:rsidRPr="00BD1126">
        <w:rPr>
          <w:rFonts w:ascii="Times New Roman" w:eastAsia="Calibri" w:hAnsi="Times New Roman" w:cs="Times New Roman"/>
          <w:b/>
          <w:sz w:val="21"/>
          <w:szCs w:val="21"/>
          <w:lang w:val="en-US"/>
        </w:rPr>
        <w:t>Keywords:</w:t>
      </w:r>
      <w:r w:rsidRPr="00BD1126">
        <w:rPr>
          <w:rFonts w:ascii="Times New Roman" w:eastAsia="Calibri" w:hAnsi="Times New Roman" w:cs="Times New Roman"/>
          <w:sz w:val="21"/>
          <w:szCs w:val="21"/>
          <w:lang w:val="en-US"/>
        </w:rPr>
        <w:t xml:space="preserve"> SIR model, mathematical model, epidemics, epidemic construction.</w:t>
      </w:r>
    </w:p>
    <w:p w14:paraId="0BDED747" w14:textId="77777777" w:rsidR="00BD1126" w:rsidRPr="00BD1126" w:rsidRDefault="00BD1126" w:rsidP="00BD1126">
      <w:pPr>
        <w:spacing w:line="240" w:lineRule="auto"/>
        <w:contextualSpacing/>
        <w:jc w:val="both"/>
        <w:rPr>
          <w:rFonts w:ascii="Times New Roman" w:eastAsia="Calibri" w:hAnsi="Times New Roman" w:cs="Times New Roman"/>
          <w:sz w:val="21"/>
          <w:szCs w:val="21"/>
          <w:lang w:val="en-US"/>
        </w:rPr>
      </w:pPr>
    </w:p>
    <w:p w14:paraId="7EF56826"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С момента, когда в 1927 году Кермак и Маккендрик предложили свою известную эпидемиологическую модель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математическое моделирование распространения болезней</w:t>
      </w:r>
      <w:r w:rsidRPr="00BD1126">
        <w:rPr>
          <w:rFonts w:ascii="Calibri" w:eastAsia="Calibri" w:hAnsi="Calibri" w:cs="Times New Roman"/>
        </w:rPr>
        <w:t xml:space="preserve"> </w:t>
      </w:r>
      <w:r w:rsidRPr="00BD1126">
        <w:rPr>
          <w:rFonts w:ascii="Times New Roman" w:eastAsia="Calibri" w:hAnsi="Times New Roman" w:cs="Times New Roman"/>
          <w:sz w:val="32"/>
          <w:szCs w:val="32"/>
        </w:rPr>
        <w:t xml:space="preserve">переросло в межотраслевую науку, интегрирующую достижения биологии, информационных технологий и математического анализа. В нынешние дни актуальность данной модели значительно выросла, за счёт таких эпидемий как </w:t>
      </w:r>
      <w:r w:rsidRPr="00BD1126">
        <w:rPr>
          <w:rFonts w:ascii="Times New Roman" w:eastAsia="Calibri" w:hAnsi="Times New Roman" w:cs="Times New Roman"/>
          <w:sz w:val="32"/>
          <w:szCs w:val="32"/>
          <w:lang w:val="en-US"/>
        </w:rPr>
        <w:t>COVID</w:t>
      </w:r>
      <w:r w:rsidRPr="00BD1126">
        <w:rPr>
          <w:rFonts w:ascii="Times New Roman" w:eastAsia="Calibri" w:hAnsi="Times New Roman" w:cs="Times New Roman"/>
          <w:sz w:val="32"/>
          <w:szCs w:val="32"/>
        </w:rPr>
        <w:t xml:space="preserve">-19, вспышек холеры в Танзании или обезьяньей оспы в регионах Африки. </w:t>
      </w:r>
    </w:p>
    <w:p w14:paraId="27A98433"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Ознакомимся подробнее с построением и использованием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xml:space="preserve">-модели. </w:t>
      </w:r>
    </w:p>
    <w:p w14:paraId="2D415EE3"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-модель – это одна из базовых моделей, основанная на системе дифференциальных уравнений, которые описывают переход между тремя состояниями:</w:t>
      </w:r>
    </w:p>
    <w:p w14:paraId="3FE1F372" w14:textId="77777777" w:rsidR="00BD1126" w:rsidRPr="00BD1126" w:rsidRDefault="00BD1126" w:rsidP="00AD58CD">
      <w:pPr>
        <w:numPr>
          <w:ilvl w:val="0"/>
          <w:numId w:val="91"/>
        </w:numPr>
        <w:spacing w:line="240" w:lineRule="auto"/>
        <w:contextualSpacing/>
        <w:jc w:val="both"/>
        <w:rPr>
          <w:rFonts w:ascii="Times New Roman" w:eastAsia="Calibri" w:hAnsi="Times New Roman" w:cs="Times New Roman"/>
          <w:sz w:val="32"/>
          <w:szCs w:val="32"/>
        </w:rPr>
      </w:pPr>
      <w:r w:rsidRPr="00BD1126">
        <w:rPr>
          <w:rFonts w:ascii="Times New Roman" w:eastAsia="Calibri" w:hAnsi="Times New Roman" w:cs="Times New Roman"/>
          <w:sz w:val="32"/>
          <w:szCs w:val="32"/>
          <w:lang w:val="en-US"/>
        </w:rPr>
        <w:t>Susceptible</w:t>
      </w:r>
      <w:r w:rsidRPr="00BD1126">
        <w:rPr>
          <w:rFonts w:ascii="Times New Roman" w:eastAsia="Calibri" w:hAnsi="Times New Roman" w:cs="Times New Roman"/>
          <w:sz w:val="32"/>
          <w:szCs w:val="32"/>
        </w:rPr>
        <w:t xml:space="preserve"> (</w:t>
      </w:r>
      <w:r w:rsidRPr="00BD1126">
        <w:rPr>
          <w:rFonts w:ascii="Times New Roman" w:eastAsia="Calibri" w:hAnsi="Times New Roman" w:cs="Times New Roman"/>
          <w:sz w:val="32"/>
          <w:szCs w:val="32"/>
          <w:lang w:val="en-US"/>
        </w:rPr>
        <w:t>S</w:t>
      </w:r>
      <w:r w:rsidRPr="00BD1126">
        <w:rPr>
          <w:rFonts w:ascii="Times New Roman" w:eastAsia="Calibri" w:hAnsi="Times New Roman" w:cs="Times New Roman"/>
          <w:sz w:val="32"/>
          <w:szCs w:val="32"/>
        </w:rPr>
        <w:t>) – восприимчивые индивиды, они здоровы но потенциально могут заразиться.</w:t>
      </w:r>
    </w:p>
    <w:p w14:paraId="5A45331B" w14:textId="77777777" w:rsidR="00BD1126" w:rsidRPr="00BD1126" w:rsidRDefault="00BD1126" w:rsidP="00AD58CD">
      <w:pPr>
        <w:numPr>
          <w:ilvl w:val="0"/>
          <w:numId w:val="91"/>
        </w:numPr>
        <w:spacing w:line="240" w:lineRule="auto"/>
        <w:contextualSpacing/>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Infected (</w:t>
      </w:r>
      <w:r w:rsidRPr="00BD1126">
        <w:rPr>
          <w:rFonts w:ascii="Times New Roman" w:eastAsia="Calibri" w:hAnsi="Times New Roman" w:cs="Times New Roman"/>
          <w:sz w:val="32"/>
          <w:szCs w:val="32"/>
          <w:lang w:val="en-US"/>
        </w:rPr>
        <w:t>I</w:t>
      </w:r>
      <w:r w:rsidRPr="00BD1126">
        <w:rPr>
          <w:rFonts w:ascii="Times New Roman" w:eastAsia="Calibri" w:hAnsi="Times New Roman" w:cs="Times New Roman"/>
          <w:sz w:val="32"/>
          <w:szCs w:val="32"/>
        </w:rPr>
        <w:t>) – инфицированные индивиды, они заражены и могут передавать инфекцию.</w:t>
      </w:r>
    </w:p>
    <w:p w14:paraId="2BC672B8" w14:textId="77777777" w:rsidR="00BD1126" w:rsidRPr="00BD1126" w:rsidRDefault="00BD1126" w:rsidP="00AD58CD">
      <w:pPr>
        <w:numPr>
          <w:ilvl w:val="0"/>
          <w:numId w:val="91"/>
        </w:numPr>
        <w:spacing w:line="240" w:lineRule="auto"/>
        <w:contextualSpacing/>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Recovered (</w:t>
      </w:r>
      <w:r w:rsidRPr="00BD1126">
        <w:rPr>
          <w:rFonts w:ascii="Times New Roman" w:eastAsia="Calibri" w:hAnsi="Times New Roman" w:cs="Times New Roman"/>
          <w:sz w:val="32"/>
          <w:szCs w:val="32"/>
          <w:lang w:val="en-US"/>
        </w:rPr>
        <w:t>R</w:t>
      </w:r>
      <w:r w:rsidRPr="00BD1126">
        <w:rPr>
          <w:rFonts w:ascii="Times New Roman" w:eastAsia="Calibri" w:hAnsi="Times New Roman" w:cs="Times New Roman"/>
          <w:sz w:val="32"/>
          <w:szCs w:val="32"/>
        </w:rPr>
        <w:t xml:space="preserve">) – выздоровевшие индивиды, они приобрели иммунитет и уже не могут заразиться (иногда может использоваться как обозначение для умерших индивидов). </w:t>
      </w:r>
    </w:p>
    <w:p w14:paraId="772BC380"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При построении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xml:space="preserve">-моделей в математике чаще всего прибегают к формулам, разработанным ещё в 1927 году, Огилви Кермарком и Греем Маккендриком. В данных формулах за </w:t>
      </w:r>
      <w:r w:rsidRPr="00BD1126">
        <w:rPr>
          <w:rFonts w:ascii="Times New Roman" w:eastAsia="Calibri" w:hAnsi="Times New Roman" w:cs="Times New Roman"/>
          <w:sz w:val="32"/>
          <w:szCs w:val="32"/>
          <w:lang w:val="en-US"/>
        </w:rPr>
        <w:t>N</w:t>
      </w:r>
      <w:r w:rsidRPr="00BD1126">
        <w:rPr>
          <w:rFonts w:ascii="Times New Roman" w:eastAsia="Calibri" w:hAnsi="Times New Roman" w:cs="Times New Roman"/>
          <w:sz w:val="32"/>
          <w:szCs w:val="32"/>
        </w:rPr>
        <w:t xml:space="preserve"> принимают общую численность населения, β – коэффициент передачи инфекции, γ – </w:t>
      </w:r>
      <w:r w:rsidRPr="00BD1126">
        <w:rPr>
          <w:rFonts w:ascii="Times New Roman" w:eastAsia="Calibri" w:hAnsi="Times New Roman" w:cs="Times New Roman"/>
          <w:sz w:val="32"/>
          <w:szCs w:val="32"/>
        </w:rPr>
        <w:lastRenderedPageBreak/>
        <w:t xml:space="preserve">коэффициент выздоровления, а </w:t>
      </w:r>
      <w:r w:rsidRPr="00BD1126">
        <w:rPr>
          <w:rFonts w:ascii="Times New Roman" w:eastAsia="Calibri" w:hAnsi="Times New Roman" w:cs="Times New Roman"/>
          <w:sz w:val="32"/>
          <w:szCs w:val="32"/>
          <w:lang w:val="en-US"/>
        </w:rPr>
        <w:t>dS</w:t>
      </w:r>
      <w:r w:rsidRPr="00BD1126">
        <w:rPr>
          <w:rFonts w:ascii="Times New Roman" w:eastAsia="Calibri" w:hAnsi="Times New Roman" w:cs="Times New Roman"/>
          <w:sz w:val="32"/>
          <w:szCs w:val="32"/>
        </w:rPr>
        <w:t>/</w:t>
      </w:r>
      <w:r w:rsidRPr="00BD1126">
        <w:rPr>
          <w:rFonts w:ascii="Times New Roman" w:eastAsia="Calibri" w:hAnsi="Times New Roman" w:cs="Times New Roman"/>
          <w:sz w:val="32"/>
          <w:szCs w:val="32"/>
          <w:lang w:val="en-US"/>
        </w:rPr>
        <w:t>dt</w:t>
      </w:r>
      <w:r w:rsidRPr="00BD1126">
        <w:rPr>
          <w:rFonts w:ascii="Times New Roman" w:eastAsia="Calibri" w:hAnsi="Times New Roman" w:cs="Times New Roman"/>
          <w:sz w:val="32"/>
          <w:szCs w:val="32"/>
        </w:rPr>
        <w:t xml:space="preserve">, </w:t>
      </w:r>
      <w:r w:rsidRPr="00BD1126">
        <w:rPr>
          <w:rFonts w:ascii="Times New Roman" w:eastAsia="Calibri" w:hAnsi="Times New Roman" w:cs="Times New Roman"/>
          <w:sz w:val="32"/>
          <w:szCs w:val="32"/>
          <w:lang w:val="en-US"/>
        </w:rPr>
        <w:t>dI</w:t>
      </w:r>
      <w:r w:rsidRPr="00BD1126">
        <w:rPr>
          <w:rFonts w:ascii="Times New Roman" w:eastAsia="Calibri" w:hAnsi="Times New Roman" w:cs="Times New Roman"/>
          <w:sz w:val="32"/>
          <w:szCs w:val="32"/>
        </w:rPr>
        <w:t>/</w:t>
      </w:r>
      <w:r w:rsidRPr="00BD1126">
        <w:rPr>
          <w:rFonts w:ascii="Times New Roman" w:eastAsia="Calibri" w:hAnsi="Times New Roman" w:cs="Times New Roman"/>
          <w:sz w:val="32"/>
          <w:szCs w:val="32"/>
          <w:lang w:val="en-US"/>
        </w:rPr>
        <w:t>dt</w:t>
      </w:r>
      <w:r w:rsidRPr="00BD1126">
        <w:rPr>
          <w:rFonts w:ascii="Times New Roman" w:eastAsia="Calibri" w:hAnsi="Times New Roman" w:cs="Times New Roman"/>
          <w:sz w:val="32"/>
          <w:szCs w:val="32"/>
        </w:rPr>
        <w:t xml:space="preserve"> и </w:t>
      </w:r>
      <w:r w:rsidRPr="00BD1126">
        <w:rPr>
          <w:rFonts w:ascii="Times New Roman" w:eastAsia="Calibri" w:hAnsi="Times New Roman" w:cs="Times New Roman"/>
          <w:sz w:val="32"/>
          <w:szCs w:val="32"/>
          <w:lang w:val="en-US"/>
        </w:rPr>
        <w:t>dR</w:t>
      </w:r>
      <w:r w:rsidRPr="00BD1126">
        <w:rPr>
          <w:rFonts w:ascii="Times New Roman" w:eastAsia="Calibri" w:hAnsi="Times New Roman" w:cs="Times New Roman"/>
          <w:sz w:val="32"/>
          <w:szCs w:val="32"/>
        </w:rPr>
        <w:t>/</w:t>
      </w:r>
      <w:r w:rsidRPr="00BD1126">
        <w:rPr>
          <w:rFonts w:ascii="Times New Roman" w:eastAsia="Calibri" w:hAnsi="Times New Roman" w:cs="Times New Roman"/>
          <w:sz w:val="32"/>
          <w:szCs w:val="32"/>
          <w:lang w:val="en-US"/>
        </w:rPr>
        <w:t>dt</w:t>
      </w:r>
      <w:r w:rsidRPr="00BD1126">
        <w:rPr>
          <w:rFonts w:ascii="Times New Roman" w:eastAsia="Calibri" w:hAnsi="Times New Roman" w:cs="Times New Roman"/>
          <w:sz w:val="32"/>
          <w:szCs w:val="32"/>
        </w:rPr>
        <w:t xml:space="preserve"> – это производные, которые показывают, как со временем меняется количество восприимчивых, инфицированных и выздоровевших людей [2]. </w:t>
      </w:r>
    </w:p>
    <w:p w14:paraId="64F7EA5A"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noProof/>
          <w:sz w:val="32"/>
          <w:szCs w:val="32"/>
          <w:lang w:eastAsia="ru-RU"/>
        </w:rPr>
        <w:drawing>
          <wp:inline distT="0" distB="0" distL="0" distR="0" wp14:anchorId="21EEE587" wp14:editId="64E82E47">
            <wp:extent cx="4373218" cy="2363674"/>
            <wp:effectExtent l="0" t="0" r="8890" b="0"/>
            <wp:docPr id="732404319" name="Рисунок 73240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5">
                      <a:extLst>
                        <a:ext uri="{28A0092B-C50C-407E-A947-70E740481C1C}">
                          <a14:useLocalDpi xmlns:a14="http://schemas.microsoft.com/office/drawing/2010/main" val="0"/>
                        </a:ext>
                      </a:extLst>
                    </a:blip>
                    <a:srcRect t="3501"/>
                    <a:stretch/>
                  </pic:blipFill>
                  <pic:spPr bwMode="auto">
                    <a:xfrm>
                      <a:off x="0" y="0"/>
                      <a:ext cx="4431570" cy="2395213"/>
                    </a:xfrm>
                    <a:prstGeom prst="rect">
                      <a:avLst/>
                    </a:prstGeom>
                    <a:noFill/>
                    <a:ln>
                      <a:noFill/>
                    </a:ln>
                    <a:extLst>
                      <a:ext uri="{53640926-AAD7-44D8-BBD7-CCE9431645EC}">
                        <a14:shadowObscured xmlns:a14="http://schemas.microsoft.com/office/drawing/2010/main"/>
                      </a:ext>
                    </a:extLst>
                  </pic:spPr>
                </pic:pic>
              </a:graphicData>
            </a:graphic>
          </wp:inline>
        </w:drawing>
      </w:r>
    </w:p>
    <w:p w14:paraId="15E66B6B" w14:textId="77777777" w:rsidR="00BD1126" w:rsidRPr="00BD1126" w:rsidRDefault="00BD1126" w:rsidP="00BD1126">
      <w:pPr>
        <w:spacing w:line="240" w:lineRule="auto"/>
        <w:ind w:firstLine="709"/>
        <w:jc w:val="center"/>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Рисунок 1 – Математические формулы для расчёта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-модели</w:t>
      </w:r>
    </w:p>
    <w:p w14:paraId="43B3B0DA"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Помимо математического представления данных формул для расчётов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xml:space="preserve">-моделей, существует так же их представление с точки зрения информатики – в виде кодов. </w:t>
      </w:r>
    </w:p>
    <w:p w14:paraId="5F9471E3" w14:textId="77777777" w:rsidR="00BD1126" w:rsidRPr="00BD1126" w:rsidRDefault="00BD1126" w:rsidP="00BD1126">
      <w:pPr>
        <w:spacing w:line="240" w:lineRule="auto"/>
        <w:jc w:val="center"/>
        <w:rPr>
          <w:rFonts w:ascii="Times New Roman" w:eastAsia="Calibri" w:hAnsi="Times New Roman" w:cs="Times New Roman"/>
          <w:sz w:val="32"/>
          <w:szCs w:val="32"/>
        </w:rPr>
      </w:pPr>
      <w:r w:rsidRPr="00BD1126">
        <w:rPr>
          <w:rFonts w:ascii="Times New Roman" w:eastAsia="Calibri" w:hAnsi="Times New Roman" w:cs="Times New Roman"/>
          <w:noProof/>
          <w:sz w:val="32"/>
          <w:szCs w:val="32"/>
          <w:lang w:eastAsia="ru-RU"/>
        </w:rPr>
        <w:drawing>
          <wp:inline distT="0" distB="0" distL="0" distR="0" wp14:anchorId="3A444983" wp14:editId="68C4F9C2">
            <wp:extent cx="5347970" cy="4359349"/>
            <wp:effectExtent l="0" t="0" r="5080" b="3175"/>
            <wp:docPr id="156562936" name="Рисунок 15656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6"/>
                    <a:srcRect l="193" t="4847" r="2285"/>
                    <a:stretch/>
                  </pic:blipFill>
                  <pic:spPr bwMode="auto">
                    <a:xfrm>
                      <a:off x="0" y="0"/>
                      <a:ext cx="5358636" cy="4368043"/>
                    </a:xfrm>
                    <a:prstGeom prst="rect">
                      <a:avLst/>
                    </a:prstGeom>
                    <a:ln>
                      <a:noFill/>
                    </a:ln>
                    <a:extLst>
                      <a:ext uri="{53640926-AAD7-44D8-BBD7-CCE9431645EC}">
                        <a14:shadowObscured xmlns:a14="http://schemas.microsoft.com/office/drawing/2010/main"/>
                      </a:ext>
                    </a:extLst>
                  </pic:spPr>
                </pic:pic>
              </a:graphicData>
            </a:graphic>
          </wp:inline>
        </w:drawing>
      </w:r>
    </w:p>
    <w:p w14:paraId="5CE1F15F" w14:textId="77777777" w:rsidR="00BD1126" w:rsidRPr="00BD1126" w:rsidRDefault="00BD1126" w:rsidP="00BD1126">
      <w:pPr>
        <w:spacing w:line="240" w:lineRule="auto"/>
        <w:jc w:val="center"/>
        <w:rPr>
          <w:rFonts w:ascii="Times New Roman" w:eastAsia="Calibri" w:hAnsi="Times New Roman" w:cs="Times New Roman"/>
          <w:sz w:val="32"/>
          <w:szCs w:val="32"/>
        </w:rPr>
      </w:pPr>
      <w:r w:rsidRPr="00BD1126">
        <w:rPr>
          <w:rFonts w:ascii="Times New Roman" w:eastAsia="Calibri" w:hAnsi="Times New Roman" w:cs="Times New Roman"/>
          <w:sz w:val="32"/>
          <w:szCs w:val="32"/>
        </w:rPr>
        <w:lastRenderedPageBreak/>
        <w:t xml:space="preserve">Рисунок 2 – Пример использования кода для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-модели с построением графика</w:t>
      </w:r>
    </w:p>
    <w:p w14:paraId="62F5B688"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Следующий код на языке Python интегрирует эти уравнения для заболевания, характеризующегося параметрами β=0,2 1/γ=10 дней в популяции из N=1000 (например, заболевание гриппом в учебном заведении). Модель начинается с одного зараженного человека в нулевой день: I(</w:t>
      </w:r>
      <w:proofErr w:type="gramStart"/>
      <w:r w:rsidRPr="00BD1126">
        <w:rPr>
          <w:rFonts w:ascii="Times New Roman" w:eastAsia="Calibri" w:hAnsi="Times New Roman" w:cs="Times New Roman"/>
          <w:sz w:val="32"/>
          <w:szCs w:val="32"/>
        </w:rPr>
        <w:t>0)=</w:t>
      </w:r>
      <w:proofErr w:type="gramEnd"/>
      <w:r w:rsidRPr="00BD1126">
        <w:rPr>
          <w:rFonts w:ascii="Times New Roman" w:eastAsia="Calibri" w:hAnsi="Times New Roman" w:cs="Times New Roman"/>
          <w:sz w:val="32"/>
          <w:szCs w:val="32"/>
        </w:rPr>
        <w:t xml:space="preserve">1I(0)=1. В результате мы можем наблюдать график, с тремя кривыми S(t), I(t) и R(t) (восприимчивые, заражённые и выздоровевшие люди соответственно) [3]. </w:t>
      </w:r>
    </w:p>
    <w:p w14:paraId="07686443"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xml:space="preserve">-модели находят применение не только при анализе локальных случаев заболеваний, но и в более масштабных эпидемиях. Кроме того, благодаря данным моделям, можно рассчитывать другие не менее важные показатели, такие как: </w:t>
      </w:r>
    </w:p>
    <w:p w14:paraId="4ADB248C"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распространение компьютерных вирусов.</w:t>
      </w:r>
    </w:p>
    <w:p w14:paraId="5415F044"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Механизмы заражения компьютерных вирусов следуют тем же принципам, что и биологические патогены: уязвимые устройства (S) заражаются (I), а после обновлений или установки защиты переходят в категорию "выздоровевших" (R) [4].</w:t>
      </w:r>
    </w:p>
    <w:p w14:paraId="68AF3FA3"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 борьба с сельскохозяйственными вредителями. </w:t>
      </w:r>
    </w:p>
    <w:p w14:paraId="26292F60"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SIR-подход позволяет прогнозировать динамику поражения посевов, оценивая эффективность различных методов контроля, включая химические обработки и биологические средства защиты. В данном случае S - здоровые растения, уязвимые к вредителям, I - уже поражённые вредителями культуры, R - растения, уничтоженные или обработанные пестицидами/биометодами.</w:t>
      </w:r>
    </w:p>
    <w:p w14:paraId="150B4394"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финансовые кризисы.</w:t>
      </w:r>
    </w:p>
    <w:p w14:paraId="6C2C461A"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Во время рыночных кризисов паника ведёт себя как инфекция: инвесторы (S) поддаются массовой иррациональности (I), после чего либо адаптируются (R), либо усугубляют кризис.</w:t>
      </w:r>
    </w:p>
    <w:p w14:paraId="798A3C44"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вирусная информация (слухи, дезинформация).</w:t>
      </w:r>
    </w:p>
    <w:p w14:paraId="47370167"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В данном случае SIR описывает, как новость охватывает "восприимчивую" аудиторию (S), становится популярной (I), а затем забывается (R) или продолжает циркулировать.</w:t>
      </w:r>
    </w:p>
    <w:p w14:paraId="243D9A45"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распространение инноваций (технологии, мода).</w:t>
      </w:r>
    </w:p>
    <w:p w14:paraId="6A541857"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lastRenderedPageBreak/>
        <w:t>Схожие механизмы действуют и в популяризации новшеств, например S – потенциальные пользователи электромобилей, которые сейчас пользуются бензиновыми автомобилями, I – ранние адепты (покупатели Tesla, инфлюенсеры), R – водители, полностью перешедшие на электромобили (R+), или консервативные потребители, отвергшие технологию (R-).</w:t>
      </w:r>
    </w:p>
    <w:p w14:paraId="3736A230"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Но несмотря на столь широкое распространения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-моделей в различных сферах жизни, у них существуют свои минусы. Данный подход предполагает однородность популяции: игнорирует возрастную и социальные структуры, географические различия, не учитывает иммунитет и повторные заражения, а также бессимптомных носителей. Для преодоления всех этих ограничений уже придуманы другие модели и процессы, такие как SEIR – добавляет инкубационный период; SIRS – учитывает возможность повторного заражения и временный иммунитет; также модели с пространственным распределением и другие.</w:t>
      </w:r>
      <w:r w:rsidRPr="00BD1126">
        <w:rPr>
          <w:rFonts w:ascii="Calibri" w:eastAsia="Calibri" w:hAnsi="Calibri" w:cs="Times New Roman"/>
        </w:rPr>
        <w:t xml:space="preserve"> </w:t>
      </w:r>
      <w:r w:rsidRPr="00BD1126">
        <w:rPr>
          <w:rFonts w:ascii="Times New Roman" w:eastAsia="Calibri" w:hAnsi="Times New Roman" w:cs="Times New Roman"/>
          <w:sz w:val="32"/>
          <w:szCs w:val="32"/>
        </w:rPr>
        <w:t>Каждый представленный выше подход, базируются на фундаментальных положениях классической SIR-модели [1].</w:t>
      </w:r>
    </w:p>
    <w:p w14:paraId="45F8EA72" w14:textId="77777777" w:rsidR="00BD1126" w:rsidRPr="00BD1126" w:rsidRDefault="00BD1126" w:rsidP="00BD1126">
      <w:pPr>
        <w:spacing w:line="240" w:lineRule="auto"/>
        <w:ind w:firstLine="709"/>
        <w:jc w:val="both"/>
        <w:rPr>
          <w:rFonts w:ascii="Times New Roman" w:eastAsia="Calibri" w:hAnsi="Times New Roman" w:cs="Times New Roman"/>
          <w:sz w:val="32"/>
          <w:szCs w:val="32"/>
        </w:rPr>
      </w:pPr>
      <w:r w:rsidRPr="00BD1126">
        <w:rPr>
          <w:rFonts w:ascii="Times New Roman" w:eastAsia="Calibri" w:hAnsi="Times New Roman" w:cs="Times New Roman"/>
          <w:sz w:val="32"/>
          <w:szCs w:val="32"/>
        </w:rPr>
        <w:t xml:space="preserve">В заключении можно сказать, что в современном мире </w:t>
      </w:r>
      <w:r w:rsidRPr="00BD1126">
        <w:rPr>
          <w:rFonts w:ascii="Times New Roman" w:eastAsia="Calibri" w:hAnsi="Times New Roman" w:cs="Times New Roman"/>
          <w:sz w:val="32"/>
          <w:szCs w:val="32"/>
          <w:lang w:val="en-US"/>
        </w:rPr>
        <w:t>SIR</w:t>
      </w:r>
      <w:r w:rsidRPr="00BD1126">
        <w:rPr>
          <w:rFonts w:ascii="Times New Roman" w:eastAsia="Calibri" w:hAnsi="Times New Roman" w:cs="Times New Roman"/>
          <w:sz w:val="32"/>
          <w:szCs w:val="32"/>
        </w:rPr>
        <w:t xml:space="preserve">-модели имеют широкое распространение во всех сферах жизни, а построить такую модель можно как с помощью математических формул, так и компьютерного кода в различных программных средах, таких как Python (пример такого кода можно увидеть на рисунке 2), а также на языке </w:t>
      </w:r>
      <w:r w:rsidRPr="00BD1126">
        <w:rPr>
          <w:rFonts w:ascii="Times New Roman" w:eastAsia="Calibri" w:hAnsi="Times New Roman" w:cs="Times New Roman"/>
          <w:sz w:val="32"/>
          <w:szCs w:val="32"/>
          <w:lang w:val="en-US"/>
        </w:rPr>
        <w:t>R</w:t>
      </w:r>
      <w:r w:rsidRPr="00BD1126">
        <w:rPr>
          <w:rFonts w:ascii="Times New Roman" w:eastAsia="Calibri" w:hAnsi="Times New Roman" w:cs="Times New Roman"/>
          <w:sz w:val="32"/>
          <w:szCs w:val="32"/>
        </w:rPr>
        <w:t xml:space="preserve">, или в программе </w:t>
      </w:r>
      <w:r w:rsidRPr="00BD1126">
        <w:rPr>
          <w:rFonts w:ascii="Times New Roman" w:eastAsia="Calibri" w:hAnsi="Times New Roman" w:cs="Times New Roman"/>
          <w:sz w:val="32"/>
          <w:szCs w:val="32"/>
          <w:lang w:val="en-US"/>
        </w:rPr>
        <w:t>Excel</w:t>
      </w:r>
      <w:r w:rsidRPr="00BD1126">
        <w:rPr>
          <w:rFonts w:ascii="Times New Roman" w:eastAsia="Calibri" w:hAnsi="Times New Roman" w:cs="Times New Roman"/>
          <w:sz w:val="32"/>
          <w:szCs w:val="32"/>
        </w:rPr>
        <w:t xml:space="preserve">. За счёт такого разнообразия инструментов SIR-модели остаются доступными для исследователей из разных областей — от эпидемиологии до социологии и экономики. Их использование позволяет не только видеть реальную картину происходящих событий, но и строить аргументированные прогнозы на их дальнейшее развитие. </w:t>
      </w:r>
    </w:p>
    <w:p w14:paraId="7946FD8A" w14:textId="77777777" w:rsidR="00BD1126" w:rsidRPr="00BD1126" w:rsidRDefault="00BD1126" w:rsidP="004244B2">
      <w:pPr>
        <w:spacing w:after="0" w:line="240" w:lineRule="auto"/>
        <w:ind w:firstLine="709"/>
        <w:jc w:val="center"/>
        <w:rPr>
          <w:rFonts w:ascii="Times New Roman" w:eastAsia="Calibri" w:hAnsi="Times New Roman" w:cs="Times New Roman"/>
          <w:b/>
          <w:bCs/>
          <w:sz w:val="21"/>
          <w:szCs w:val="21"/>
        </w:rPr>
      </w:pPr>
      <w:r w:rsidRPr="00BD1126">
        <w:rPr>
          <w:rFonts w:ascii="Times New Roman" w:eastAsia="Calibri" w:hAnsi="Times New Roman" w:cs="Times New Roman"/>
          <w:b/>
          <w:bCs/>
          <w:sz w:val="21"/>
          <w:szCs w:val="21"/>
        </w:rPr>
        <w:t>Литература:</w:t>
      </w:r>
    </w:p>
    <w:p w14:paraId="33798714" w14:textId="77777777" w:rsidR="00BD1126" w:rsidRPr="00BD1126" w:rsidRDefault="00BD1126" w:rsidP="004244B2">
      <w:pPr>
        <w:spacing w:after="0" w:line="240" w:lineRule="auto"/>
        <w:contextualSpacing/>
        <w:jc w:val="both"/>
        <w:rPr>
          <w:rFonts w:ascii="Times New Roman" w:eastAsia="Calibri" w:hAnsi="Times New Roman" w:cs="Times New Roman"/>
          <w:sz w:val="21"/>
          <w:szCs w:val="21"/>
        </w:rPr>
      </w:pPr>
      <w:r w:rsidRPr="00BD1126">
        <w:rPr>
          <w:rFonts w:ascii="Times New Roman" w:eastAsia="Calibri" w:hAnsi="Times New Roman" w:cs="Times New Roman"/>
          <w:sz w:val="21"/>
          <w:szCs w:val="21"/>
        </w:rPr>
        <w:t>1. Ризниченко Г.Ю. – Математическое моделирование биологических процессов. Модели в биофизике и экологии, 2025 – 188с.</w:t>
      </w:r>
    </w:p>
    <w:p w14:paraId="583FCC20" w14:textId="77777777" w:rsidR="00BD1126" w:rsidRPr="00BD1126" w:rsidRDefault="00BD1126" w:rsidP="00BD1126">
      <w:pPr>
        <w:spacing w:line="240" w:lineRule="auto"/>
        <w:contextualSpacing/>
        <w:jc w:val="both"/>
        <w:rPr>
          <w:rFonts w:ascii="Times New Roman" w:eastAsia="Calibri" w:hAnsi="Times New Roman" w:cs="Times New Roman"/>
          <w:sz w:val="21"/>
          <w:szCs w:val="21"/>
        </w:rPr>
      </w:pPr>
      <w:r w:rsidRPr="00BD1126">
        <w:rPr>
          <w:rFonts w:ascii="Times New Roman" w:eastAsia="Calibri" w:hAnsi="Times New Roman" w:cs="Times New Roman"/>
          <w:sz w:val="21"/>
          <w:szCs w:val="21"/>
        </w:rPr>
        <w:t>2. Акимов В.А., М.В. Бедило, Е.О. Иванова - Математические модели эпидемий и пандемий как источников чрезвычайных ситуаций биологосоциального характера, 2022.</w:t>
      </w:r>
    </w:p>
    <w:p w14:paraId="2286DADE" w14:textId="77777777" w:rsidR="00BD1126" w:rsidRPr="00BD1126" w:rsidRDefault="00BD1126" w:rsidP="00BD1126">
      <w:pPr>
        <w:spacing w:line="240" w:lineRule="auto"/>
        <w:contextualSpacing/>
        <w:jc w:val="both"/>
        <w:rPr>
          <w:rFonts w:ascii="Times New Roman" w:eastAsia="Calibri" w:hAnsi="Times New Roman" w:cs="Times New Roman"/>
          <w:sz w:val="21"/>
          <w:szCs w:val="21"/>
        </w:rPr>
      </w:pPr>
      <w:bookmarkStart w:id="84" w:name="_Hlk198719819"/>
      <w:bookmarkStart w:id="85" w:name="_Hlk198719863"/>
      <w:r w:rsidRPr="00BD1126">
        <w:rPr>
          <w:rFonts w:ascii="Times New Roman" w:eastAsia="Calibri" w:hAnsi="Times New Roman" w:cs="Times New Roman"/>
          <w:sz w:val="21"/>
          <w:szCs w:val="21"/>
        </w:rPr>
        <w:t>3. Франциско О.Ю., Молчан А.С. Моделирование систем / учебник. - Краснодар, 2023. - 178 с.</w:t>
      </w:r>
      <w:bookmarkEnd w:id="84"/>
      <w:bookmarkEnd w:id="85"/>
    </w:p>
    <w:p w14:paraId="2A873810" w14:textId="77777777" w:rsidR="00BD1126" w:rsidRPr="00BD1126" w:rsidRDefault="00BD1126" w:rsidP="00BD1126">
      <w:pPr>
        <w:spacing w:line="240" w:lineRule="auto"/>
        <w:contextualSpacing/>
        <w:jc w:val="both"/>
        <w:rPr>
          <w:rFonts w:ascii="Times New Roman" w:eastAsia="Calibri" w:hAnsi="Times New Roman" w:cs="Times New Roman"/>
          <w:sz w:val="21"/>
          <w:szCs w:val="21"/>
        </w:rPr>
      </w:pPr>
      <w:bookmarkStart w:id="86" w:name="_Hlk198721294"/>
      <w:bookmarkStart w:id="87" w:name="_Hlk198721144"/>
      <w:r w:rsidRPr="00BD1126">
        <w:rPr>
          <w:rFonts w:ascii="Times New Roman" w:eastAsia="Calibri" w:hAnsi="Times New Roman" w:cs="Times New Roman"/>
          <w:sz w:val="21"/>
          <w:szCs w:val="21"/>
        </w:rPr>
        <w:t>4. Франциско О. Ю. Имитационное моделирование: учеб. пособие/О. Ю. Франциско. -Краснодар: КубГАУ, 2017. -184 с.</w:t>
      </w:r>
      <w:bookmarkEnd w:id="86"/>
      <w:r w:rsidRPr="00BD1126">
        <w:rPr>
          <w:rFonts w:ascii="Times New Roman" w:eastAsia="Calibri" w:hAnsi="Times New Roman" w:cs="Times New Roman"/>
          <w:sz w:val="21"/>
          <w:szCs w:val="21"/>
        </w:rPr>
        <w:t> </w:t>
      </w:r>
      <w:bookmarkEnd w:id="87"/>
    </w:p>
    <w:p w14:paraId="207E873F" w14:textId="77777777" w:rsidR="00BD1126" w:rsidRPr="00BD1126" w:rsidRDefault="00BD1126" w:rsidP="00BD1126">
      <w:pPr>
        <w:spacing w:line="240" w:lineRule="auto"/>
        <w:contextualSpacing/>
        <w:jc w:val="both"/>
        <w:rPr>
          <w:rFonts w:ascii="Times New Roman" w:eastAsia="Calibri" w:hAnsi="Times New Roman" w:cs="Times New Roman"/>
          <w:sz w:val="21"/>
          <w:szCs w:val="21"/>
        </w:rPr>
      </w:pPr>
      <w:r w:rsidRPr="00BD1126">
        <w:rPr>
          <w:rFonts w:ascii="Times New Roman" w:eastAsia="Calibri" w:hAnsi="Times New Roman" w:cs="Times New Roman"/>
          <w:sz w:val="21"/>
          <w:szCs w:val="21"/>
        </w:rPr>
        <w:t xml:space="preserve">5. </w:t>
      </w:r>
      <w:bookmarkStart w:id="88" w:name="_Hlk196751517"/>
      <w:r w:rsidRPr="00BD1126">
        <w:rPr>
          <w:rFonts w:ascii="Times New Roman" w:eastAsia="Calibri" w:hAnsi="Times New Roman" w:cs="Times New Roman"/>
          <w:sz w:val="21"/>
          <w:szCs w:val="21"/>
        </w:rPr>
        <w:t>Сайт «</w:t>
      </w:r>
      <w:r w:rsidRPr="00BD1126">
        <w:rPr>
          <w:rFonts w:ascii="Times New Roman" w:eastAsia="Calibri" w:hAnsi="Times New Roman" w:cs="Times New Roman"/>
          <w:sz w:val="21"/>
          <w:szCs w:val="21"/>
          <w:lang w:val="en-US"/>
        </w:rPr>
        <w:t>Epidemic</w:t>
      </w:r>
      <w:r w:rsidRPr="00BD1126">
        <w:rPr>
          <w:rFonts w:ascii="Times New Roman" w:eastAsia="Calibri" w:hAnsi="Times New Roman" w:cs="Times New Roman"/>
          <w:sz w:val="21"/>
          <w:szCs w:val="21"/>
        </w:rPr>
        <w:t xml:space="preserve"> </w:t>
      </w:r>
      <w:r w:rsidRPr="00BD1126">
        <w:rPr>
          <w:rFonts w:ascii="Times New Roman" w:eastAsia="Calibri" w:hAnsi="Times New Roman" w:cs="Times New Roman"/>
          <w:sz w:val="21"/>
          <w:szCs w:val="21"/>
          <w:lang w:val="en-US"/>
        </w:rPr>
        <w:t>model</w:t>
      </w:r>
      <w:r w:rsidRPr="00BD1126">
        <w:rPr>
          <w:rFonts w:ascii="Times New Roman" w:eastAsia="Calibri" w:hAnsi="Times New Roman" w:cs="Times New Roman"/>
          <w:sz w:val="21"/>
          <w:szCs w:val="21"/>
        </w:rPr>
        <w:t xml:space="preserve"> </w:t>
      </w:r>
      <w:r w:rsidRPr="00BD1126">
        <w:rPr>
          <w:rFonts w:ascii="Times New Roman" w:eastAsia="Calibri" w:hAnsi="Times New Roman" w:cs="Times New Roman"/>
          <w:sz w:val="21"/>
          <w:szCs w:val="21"/>
          <w:lang w:val="en-US"/>
        </w:rPr>
        <w:t>SIR</w:t>
      </w:r>
      <w:r w:rsidRPr="00BD1126">
        <w:rPr>
          <w:rFonts w:ascii="Times New Roman" w:eastAsia="Calibri" w:hAnsi="Times New Roman" w:cs="Times New Roman"/>
          <w:sz w:val="21"/>
          <w:szCs w:val="21"/>
        </w:rPr>
        <w:t>» [Электронный ресурс]. Режим доступа</w:t>
      </w:r>
      <w:bookmarkEnd w:id="88"/>
      <w:r w:rsidRPr="00BD1126">
        <w:rPr>
          <w:rFonts w:ascii="Times New Roman" w:eastAsia="Calibri" w:hAnsi="Times New Roman" w:cs="Times New Roman"/>
          <w:sz w:val="21"/>
          <w:szCs w:val="21"/>
        </w:rPr>
        <w:t xml:space="preserve">: </w:t>
      </w:r>
      <w:hyperlink r:id="rId467" w:history="1">
        <w:r w:rsidRPr="00BD1126">
          <w:rPr>
            <w:rFonts w:ascii="Times New Roman" w:eastAsia="Calibri" w:hAnsi="Times New Roman" w:cs="Times New Roman"/>
            <w:color w:val="0563C1"/>
            <w:sz w:val="21"/>
            <w:szCs w:val="21"/>
            <w:u w:val="single"/>
            <w:lang w:val="en-US"/>
          </w:rPr>
          <w:t>https</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scientificpython</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readthedocs</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io</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en</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latest</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notebooks</w:t>
        </w:r>
        <w:r w:rsidRPr="00BD1126">
          <w:rPr>
            <w:rFonts w:ascii="Times New Roman" w:eastAsia="Calibri" w:hAnsi="Times New Roman" w:cs="Times New Roman"/>
            <w:color w:val="0563C1"/>
            <w:sz w:val="21"/>
            <w:szCs w:val="21"/>
            <w:u w:val="single"/>
          </w:rPr>
          <w:t>_</w:t>
        </w:r>
        <w:r w:rsidRPr="00BD1126">
          <w:rPr>
            <w:rFonts w:ascii="Times New Roman" w:eastAsia="Calibri" w:hAnsi="Times New Roman" w:cs="Times New Roman"/>
            <w:color w:val="0563C1"/>
            <w:sz w:val="21"/>
            <w:szCs w:val="21"/>
            <w:u w:val="single"/>
            <w:lang w:val="en-US"/>
          </w:rPr>
          <w:t>rst</w:t>
        </w:r>
        <w:r w:rsidRPr="00BD1126">
          <w:rPr>
            <w:rFonts w:ascii="Times New Roman" w:eastAsia="Calibri" w:hAnsi="Times New Roman" w:cs="Times New Roman"/>
            <w:color w:val="0563C1"/>
            <w:sz w:val="21"/>
            <w:szCs w:val="21"/>
            <w:u w:val="single"/>
          </w:rPr>
          <w:t>/3_</w:t>
        </w:r>
        <w:r w:rsidRPr="00BD1126">
          <w:rPr>
            <w:rFonts w:ascii="Times New Roman" w:eastAsia="Calibri" w:hAnsi="Times New Roman" w:cs="Times New Roman"/>
            <w:color w:val="0563C1"/>
            <w:sz w:val="21"/>
            <w:szCs w:val="21"/>
            <w:u w:val="single"/>
            <w:lang w:val="en-US"/>
          </w:rPr>
          <w:t>Ordinary</w:t>
        </w:r>
        <w:r w:rsidRPr="00BD1126">
          <w:rPr>
            <w:rFonts w:ascii="Times New Roman" w:eastAsia="Calibri" w:hAnsi="Times New Roman" w:cs="Times New Roman"/>
            <w:color w:val="0563C1"/>
            <w:sz w:val="21"/>
            <w:szCs w:val="21"/>
            <w:u w:val="single"/>
          </w:rPr>
          <w:t>_</w:t>
        </w:r>
        <w:r w:rsidRPr="00BD1126">
          <w:rPr>
            <w:rFonts w:ascii="Times New Roman" w:eastAsia="Calibri" w:hAnsi="Times New Roman" w:cs="Times New Roman"/>
            <w:color w:val="0563C1"/>
            <w:sz w:val="21"/>
            <w:szCs w:val="21"/>
            <w:u w:val="single"/>
            <w:lang w:val="en-US"/>
          </w:rPr>
          <w:t>Differential</w:t>
        </w:r>
        <w:r w:rsidRPr="00BD1126">
          <w:rPr>
            <w:rFonts w:ascii="Times New Roman" w:eastAsia="Calibri" w:hAnsi="Times New Roman" w:cs="Times New Roman"/>
            <w:color w:val="0563C1"/>
            <w:sz w:val="21"/>
            <w:szCs w:val="21"/>
            <w:u w:val="single"/>
          </w:rPr>
          <w:t>_</w:t>
        </w:r>
        <w:r w:rsidRPr="00BD1126">
          <w:rPr>
            <w:rFonts w:ascii="Times New Roman" w:eastAsia="Calibri" w:hAnsi="Times New Roman" w:cs="Times New Roman"/>
            <w:color w:val="0563C1"/>
            <w:sz w:val="21"/>
            <w:szCs w:val="21"/>
            <w:u w:val="single"/>
            <w:lang w:val="en-US"/>
          </w:rPr>
          <w:t>Equations</w:t>
        </w:r>
        <w:r w:rsidRPr="00BD1126">
          <w:rPr>
            <w:rFonts w:ascii="Times New Roman" w:eastAsia="Calibri" w:hAnsi="Times New Roman" w:cs="Times New Roman"/>
            <w:color w:val="0563C1"/>
            <w:sz w:val="21"/>
            <w:szCs w:val="21"/>
            <w:u w:val="single"/>
          </w:rPr>
          <w:t>/02_</w:t>
        </w:r>
        <w:r w:rsidRPr="00BD1126">
          <w:rPr>
            <w:rFonts w:ascii="Times New Roman" w:eastAsia="Calibri" w:hAnsi="Times New Roman" w:cs="Times New Roman"/>
            <w:color w:val="0563C1"/>
            <w:sz w:val="21"/>
            <w:szCs w:val="21"/>
            <w:u w:val="single"/>
            <w:lang w:val="en-US"/>
          </w:rPr>
          <w:t>Examples</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Epidemic</w:t>
        </w:r>
        <w:r w:rsidRPr="00BD1126">
          <w:rPr>
            <w:rFonts w:ascii="Times New Roman" w:eastAsia="Calibri" w:hAnsi="Times New Roman" w:cs="Times New Roman"/>
            <w:color w:val="0563C1"/>
            <w:sz w:val="21"/>
            <w:szCs w:val="21"/>
            <w:u w:val="single"/>
          </w:rPr>
          <w:t>_</w:t>
        </w:r>
        <w:r w:rsidRPr="00BD1126">
          <w:rPr>
            <w:rFonts w:ascii="Times New Roman" w:eastAsia="Calibri" w:hAnsi="Times New Roman" w:cs="Times New Roman"/>
            <w:color w:val="0563C1"/>
            <w:sz w:val="21"/>
            <w:szCs w:val="21"/>
            <w:u w:val="single"/>
            <w:lang w:val="en-US"/>
          </w:rPr>
          <w:t>model</w:t>
        </w:r>
        <w:r w:rsidRPr="00BD1126">
          <w:rPr>
            <w:rFonts w:ascii="Times New Roman" w:eastAsia="Calibri" w:hAnsi="Times New Roman" w:cs="Times New Roman"/>
            <w:color w:val="0563C1"/>
            <w:sz w:val="21"/>
            <w:szCs w:val="21"/>
            <w:u w:val="single"/>
          </w:rPr>
          <w:t>_</w:t>
        </w:r>
        <w:r w:rsidRPr="00BD1126">
          <w:rPr>
            <w:rFonts w:ascii="Times New Roman" w:eastAsia="Calibri" w:hAnsi="Times New Roman" w:cs="Times New Roman"/>
            <w:color w:val="0563C1"/>
            <w:sz w:val="21"/>
            <w:szCs w:val="21"/>
            <w:u w:val="single"/>
            <w:lang w:val="en-US"/>
          </w:rPr>
          <w:t>SIR</w:t>
        </w:r>
        <w:r w:rsidRPr="00BD1126">
          <w:rPr>
            <w:rFonts w:ascii="Times New Roman" w:eastAsia="Calibri" w:hAnsi="Times New Roman" w:cs="Times New Roman"/>
            <w:color w:val="0563C1"/>
            <w:sz w:val="21"/>
            <w:szCs w:val="21"/>
            <w:u w:val="single"/>
          </w:rPr>
          <w:t>.</w:t>
        </w:r>
        <w:r w:rsidRPr="00BD1126">
          <w:rPr>
            <w:rFonts w:ascii="Times New Roman" w:eastAsia="Calibri" w:hAnsi="Times New Roman" w:cs="Times New Roman"/>
            <w:color w:val="0563C1"/>
            <w:sz w:val="21"/>
            <w:szCs w:val="21"/>
            <w:u w:val="single"/>
            <w:lang w:val="en-US"/>
          </w:rPr>
          <w:t>html</w:t>
        </w:r>
      </w:hyperlink>
      <w:r w:rsidRPr="00BD1126">
        <w:rPr>
          <w:rFonts w:ascii="Times New Roman" w:eastAsia="Calibri" w:hAnsi="Times New Roman" w:cs="Times New Roman"/>
          <w:sz w:val="21"/>
          <w:szCs w:val="21"/>
        </w:rPr>
        <w:t>.</w:t>
      </w:r>
    </w:p>
    <w:p w14:paraId="60F2DA9B" w14:textId="40746D7C" w:rsidR="00EA4D10" w:rsidRDefault="00BD1126" w:rsidP="006A4D6F">
      <w:pPr>
        <w:spacing w:line="240" w:lineRule="auto"/>
        <w:contextualSpacing/>
        <w:jc w:val="both"/>
        <w:rPr>
          <w:rFonts w:ascii="Times New Roman" w:eastAsia="Calibri" w:hAnsi="Times New Roman" w:cs="Times New Roman"/>
          <w:sz w:val="21"/>
          <w:szCs w:val="21"/>
        </w:rPr>
      </w:pPr>
      <w:r w:rsidRPr="00BD1126">
        <w:rPr>
          <w:rFonts w:ascii="Times New Roman" w:eastAsia="Calibri" w:hAnsi="Times New Roman" w:cs="Times New Roman"/>
          <w:sz w:val="21"/>
          <w:szCs w:val="21"/>
          <w:lang w:val="en-US"/>
        </w:rPr>
        <w:t>6.</w:t>
      </w:r>
      <w:r w:rsidRPr="00BD1126">
        <w:rPr>
          <w:rFonts w:ascii="Times New Roman" w:eastAsia="Calibri" w:hAnsi="Times New Roman" w:cs="Times New Roman"/>
          <w:lang w:val="en-US"/>
        </w:rPr>
        <w:t xml:space="preserve"> Albert-Laszlo Barabasi, </w:t>
      </w:r>
      <w:r w:rsidRPr="00BD1126">
        <w:rPr>
          <w:rFonts w:ascii="Times New Roman" w:eastAsia="Calibri" w:hAnsi="Times New Roman" w:cs="Times New Roman"/>
        </w:rPr>
        <w:t>учебное</w:t>
      </w:r>
      <w:r w:rsidRPr="00BD1126">
        <w:rPr>
          <w:rFonts w:ascii="Times New Roman" w:eastAsia="Calibri" w:hAnsi="Times New Roman" w:cs="Times New Roman"/>
          <w:lang w:val="en-US"/>
        </w:rPr>
        <w:t xml:space="preserve"> </w:t>
      </w:r>
      <w:r w:rsidRPr="00BD1126">
        <w:rPr>
          <w:rFonts w:ascii="Times New Roman" w:eastAsia="Calibri" w:hAnsi="Times New Roman" w:cs="Times New Roman"/>
        </w:rPr>
        <w:t>пособие</w:t>
      </w:r>
      <w:r w:rsidRPr="00BD1126">
        <w:rPr>
          <w:rFonts w:ascii="Times New Roman" w:eastAsia="Calibri" w:hAnsi="Times New Roman" w:cs="Times New Roman"/>
          <w:lang w:val="en-US"/>
        </w:rPr>
        <w:t xml:space="preserve"> </w:t>
      </w:r>
      <w:r w:rsidRPr="00BD1126">
        <w:rPr>
          <w:rFonts w:ascii="Times New Roman" w:eastAsia="Calibri" w:hAnsi="Times New Roman" w:cs="Times New Roman"/>
          <w:sz w:val="21"/>
          <w:szCs w:val="21"/>
          <w:lang w:val="en-US"/>
        </w:rPr>
        <w:t xml:space="preserve">Network Science.  </w:t>
      </w:r>
      <w:r w:rsidRPr="00BD1126">
        <w:rPr>
          <w:rFonts w:ascii="Times New Roman" w:eastAsia="Calibri" w:hAnsi="Times New Roman" w:cs="Times New Roman"/>
          <w:sz w:val="21"/>
          <w:szCs w:val="21"/>
        </w:rPr>
        <w:t xml:space="preserve">Официальный электронный доступ:  </w:t>
      </w:r>
      <w:hyperlink r:id="rId468" w:history="1">
        <w:r w:rsidRPr="00BD1126">
          <w:rPr>
            <w:rFonts w:ascii="Times New Roman" w:eastAsia="Calibri" w:hAnsi="Times New Roman" w:cs="Times New Roman"/>
            <w:color w:val="0563C1"/>
            <w:sz w:val="21"/>
            <w:szCs w:val="21"/>
            <w:u w:val="single"/>
          </w:rPr>
          <w:t>https://networksciencebook.com/</w:t>
        </w:r>
      </w:hyperlink>
    </w:p>
    <w:p w14:paraId="3364A8F0" w14:textId="77777777" w:rsidR="00EA4D10" w:rsidRPr="00EA4D10"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b/>
          <w:i/>
          <w:color w:val="000000"/>
          <w:sz w:val="20"/>
          <w:szCs w:val="21"/>
        </w:rPr>
        <w:lastRenderedPageBreak/>
        <w:t>Брацыхин А.Ф</w:t>
      </w:r>
      <w:r w:rsidRPr="00EA4D10">
        <w:rPr>
          <w:rFonts w:ascii="Times New Roman" w:eastAsia="Times New Roman" w:hAnsi="Times New Roman" w:cs="Times New Roman"/>
          <w:b/>
          <w:i/>
          <w:color w:val="000000"/>
          <w:sz w:val="21"/>
          <w:szCs w:val="21"/>
        </w:rPr>
        <w:t xml:space="preserve">., </w:t>
      </w:r>
    </w:p>
    <w:p w14:paraId="37B1BD9B" w14:textId="77777777" w:rsidR="00EA4D10" w:rsidRPr="00EA4D10"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i/>
          <w:color w:val="000000"/>
          <w:sz w:val="21"/>
          <w:szCs w:val="21"/>
        </w:rPr>
        <w:t xml:space="preserve">студент 2 курса </w:t>
      </w:r>
    </w:p>
    <w:p w14:paraId="38C3A28D" w14:textId="77777777" w:rsidR="00EA4D10" w:rsidRPr="00EA4D10"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i/>
          <w:color w:val="000000"/>
          <w:sz w:val="21"/>
          <w:szCs w:val="21"/>
        </w:rPr>
        <w:t>Финансовый университет при Правительстве Российской Федерации</w:t>
      </w:r>
    </w:p>
    <w:p w14:paraId="36B46006" w14:textId="77777777" w:rsidR="006D240C"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i/>
          <w:color w:val="000000"/>
          <w:sz w:val="21"/>
          <w:szCs w:val="21"/>
        </w:rPr>
        <w:t>(</w:t>
      </w:r>
      <w:bookmarkStart w:id="89" w:name="_Hlk198214628"/>
      <w:r w:rsidRPr="00EA4D10">
        <w:rPr>
          <w:rFonts w:ascii="Times New Roman" w:eastAsia="Times New Roman" w:hAnsi="Times New Roman" w:cs="Times New Roman"/>
          <w:i/>
          <w:color w:val="000000"/>
          <w:sz w:val="21"/>
          <w:szCs w:val="21"/>
        </w:rPr>
        <w:t>Краснодарский филиал)</w:t>
      </w:r>
      <w:bookmarkEnd w:id="89"/>
      <w:r w:rsidRPr="00EA4D10">
        <w:rPr>
          <w:rFonts w:ascii="Times New Roman" w:eastAsia="Times New Roman" w:hAnsi="Times New Roman" w:cs="Times New Roman"/>
          <w:i/>
          <w:color w:val="000000"/>
          <w:sz w:val="21"/>
          <w:szCs w:val="21"/>
        </w:rPr>
        <w:t>,</w:t>
      </w:r>
    </w:p>
    <w:p w14:paraId="443FBA63" w14:textId="0A27DF76" w:rsidR="00EA4D10" w:rsidRPr="00EA4D10"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i/>
          <w:color w:val="000000"/>
          <w:sz w:val="21"/>
          <w:szCs w:val="21"/>
        </w:rPr>
        <w:t xml:space="preserve"> </w:t>
      </w:r>
      <w:r w:rsidRPr="00EA4D10">
        <w:rPr>
          <w:rFonts w:ascii="Times New Roman" w:eastAsia="Times New Roman" w:hAnsi="Times New Roman" w:cs="Times New Roman"/>
          <w:i/>
          <w:sz w:val="21"/>
          <w:szCs w:val="21"/>
        </w:rPr>
        <w:t>г. Краснодар, Россия</w:t>
      </w:r>
    </w:p>
    <w:p w14:paraId="5BDE4686" w14:textId="77777777" w:rsidR="00EA4D10" w:rsidRPr="00EA4D10" w:rsidRDefault="00EA4D10" w:rsidP="000B6FDC">
      <w:pPr>
        <w:spacing w:after="0" w:line="240" w:lineRule="auto"/>
        <w:contextualSpacing/>
        <w:jc w:val="right"/>
        <w:rPr>
          <w:rFonts w:ascii="Times New Roman" w:eastAsia="Times New Roman" w:hAnsi="Times New Roman" w:cs="Times New Roman"/>
          <w:i/>
          <w:sz w:val="21"/>
          <w:szCs w:val="21"/>
        </w:rPr>
      </w:pPr>
      <w:r w:rsidRPr="00EA4D10">
        <w:rPr>
          <w:rFonts w:ascii="Times New Roman" w:eastAsia="Times New Roman" w:hAnsi="Times New Roman" w:cs="Times New Roman"/>
          <w:i/>
          <w:sz w:val="21"/>
          <w:szCs w:val="21"/>
        </w:rPr>
        <w:t>е-</w:t>
      </w:r>
      <w:r w:rsidRPr="00EA4D10">
        <w:rPr>
          <w:rFonts w:ascii="Times New Roman" w:eastAsia="Times New Roman" w:hAnsi="Times New Roman" w:cs="Times New Roman"/>
          <w:i/>
          <w:sz w:val="21"/>
          <w:szCs w:val="21"/>
          <w:lang w:val="en-US"/>
        </w:rPr>
        <w:t>mail</w:t>
      </w:r>
      <w:r w:rsidRPr="00EA4D10">
        <w:rPr>
          <w:rFonts w:ascii="Times New Roman" w:eastAsia="Times New Roman" w:hAnsi="Times New Roman" w:cs="Times New Roman"/>
          <w:i/>
          <w:sz w:val="21"/>
          <w:szCs w:val="21"/>
        </w:rPr>
        <w:t>:</w:t>
      </w:r>
      <w:hyperlink r:id="rId469" w:history="1">
        <w:r w:rsidRPr="00EA4D10">
          <w:rPr>
            <w:rFonts w:ascii="Times New Roman" w:eastAsia="Times New Roman" w:hAnsi="Times New Roman" w:cs="Times New Roman"/>
            <w:i/>
            <w:color w:val="0000FF"/>
            <w:sz w:val="21"/>
            <w:szCs w:val="21"/>
            <w:u w:val="single"/>
          </w:rPr>
          <w:t>100</w:t>
        </w:r>
        <w:r w:rsidRPr="00EA4D10">
          <w:rPr>
            <w:rFonts w:ascii="Times New Roman" w:eastAsia="Times New Roman" w:hAnsi="Times New Roman" w:cs="Times New Roman"/>
            <w:i/>
            <w:color w:val="0000FF"/>
            <w:sz w:val="21"/>
            <w:szCs w:val="21"/>
            <w:u w:val="single"/>
            <w:lang w:val="en-US"/>
          </w:rPr>
          <w:t>DOT</w:t>
        </w:r>
        <w:r w:rsidRPr="00EA4D10">
          <w:rPr>
            <w:rFonts w:ascii="Times New Roman" w:eastAsia="Times New Roman" w:hAnsi="Times New Roman" w:cs="Times New Roman"/>
            <w:i/>
            <w:color w:val="0000FF"/>
            <w:sz w:val="21"/>
            <w:szCs w:val="21"/>
            <w:u w:val="single"/>
          </w:rPr>
          <w:t>13</w:t>
        </w:r>
        <w:r w:rsidRPr="00EA4D10">
          <w:rPr>
            <w:rFonts w:ascii="Times New Roman" w:eastAsia="Times New Roman" w:hAnsi="Times New Roman" w:cs="Times New Roman"/>
            <w:i/>
            <w:color w:val="0000FF"/>
            <w:sz w:val="21"/>
            <w:szCs w:val="21"/>
            <w:u w:val="single"/>
            <w:lang w:val="en-US"/>
          </w:rPr>
          <w:t>SL</w:t>
        </w:r>
        <w:r w:rsidRPr="00EA4D10">
          <w:rPr>
            <w:rFonts w:ascii="Times New Roman" w:eastAsia="Times New Roman" w:hAnsi="Times New Roman" w:cs="Times New Roman"/>
            <w:i/>
            <w:color w:val="0000FF"/>
            <w:sz w:val="21"/>
            <w:szCs w:val="21"/>
            <w:u w:val="single"/>
          </w:rPr>
          <w:t>230101@</w:t>
        </w:r>
        <w:r w:rsidRPr="00EA4D10">
          <w:rPr>
            <w:rFonts w:ascii="Times New Roman" w:eastAsia="Times New Roman" w:hAnsi="Times New Roman" w:cs="Times New Roman"/>
            <w:i/>
            <w:color w:val="0000FF"/>
            <w:sz w:val="21"/>
            <w:szCs w:val="21"/>
            <w:u w:val="single"/>
            <w:lang w:val="en-US"/>
          </w:rPr>
          <w:t>edu</w:t>
        </w:r>
        <w:r w:rsidRPr="00EA4D10">
          <w:rPr>
            <w:rFonts w:ascii="Times New Roman" w:eastAsia="Times New Roman" w:hAnsi="Times New Roman" w:cs="Times New Roman"/>
            <w:i/>
            <w:color w:val="0000FF"/>
            <w:sz w:val="21"/>
            <w:szCs w:val="21"/>
            <w:u w:val="single"/>
          </w:rPr>
          <w:t>.</w:t>
        </w:r>
        <w:r w:rsidRPr="00EA4D10">
          <w:rPr>
            <w:rFonts w:ascii="Times New Roman" w:eastAsia="Times New Roman" w:hAnsi="Times New Roman" w:cs="Times New Roman"/>
            <w:i/>
            <w:color w:val="0000FF"/>
            <w:sz w:val="21"/>
            <w:szCs w:val="21"/>
            <w:u w:val="single"/>
            <w:lang w:val="en-US"/>
          </w:rPr>
          <w:t>fa</w:t>
        </w:r>
        <w:r w:rsidRPr="00EA4D10">
          <w:rPr>
            <w:rFonts w:ascii="Times New Roman" w:eastAsia="Times New Roman" w:hAnsi="Times New Roman" w:cs="Times New Roman"/>
            <w:i/>
            <w:color w:val="0000FF"/>
            <w:sz w:val="21"/>
            <w:szCs w:val="21"/>
            <w:u w:val="single"/>
          </w:rPr>
          <w:t>.</w:t>
        </w:r>
        <w:r w:rsidRPr="00EA4D10">
          <w:rPr>
            <w:rFonts w:ascii="Times New Roman" w:eastAsia="Times New Roman" w:hAnsi="Times New Roman" w:cs="Times New Roman"/>
            <w:i/>
            <w:color w:val="0000FF"/>
            <w:sz w:val="21"/>
            <w:szCs w:val="21"/>
            <w:u w:val="single"/>
            <w:lang w:val="en-US"/>
          </w:rPr>
          <w:t>ru</w:t>
        </w:r>
      </w:hyperlink>
    </w:p>
    <w:p w14:paraId="7944655B" w14:textId="77777777" w:rsidR="00EA4D10" w:rsidRPr="00EA4D10" w:rsidRDefault="00EA4D10" w:rsidP="000B6FDC">
      <w:pPr>
        <w:spacing w:after="0" w:line="240" w:lineRule="auto"/>
        <w:contextualSpacing/>
        <w:jc w:val="right"/>
        <w:rPr>
          <w:rFonts w:ascii="Times New Roman" w:eastAsia="Times New Roman" w:hAnsi="Times New Roman" w:cs="Times New Roman"/>
          <w:i/>
          <w:sz w:val="21"/>
          <w:szCs w:val="21"/>
        </w:rPr>
      </w:pPr>
    </w:p>
    <w:p w14:paraId="4FF15CBA" w14:textId="77777777" w:rsidR="00EA4D10" w:rsidRPr="00EA4D10" w:rsidRDefault="00EA4D10" w:rsidP="000B6FDC">
      <w:pPr>
        <w:spacing w:after="0" w:line="240" w:lineRule="auto"/>
        <w:contextualSpacing/>
        <w:jc w:val="right"/>
        <w:rPr>
          <w:rFonts w:ascii="Times New Roman" w:eastAsia="Times New Roman" w:hAnsi="Times New Roman" w:cs="Times New Roman"/>
          <w:b/>
          <w:i/>
          <w:sz w:val="21"/>
          <w:szCs w:val="21"/>
        </w:rPr>
      </w:pPr>
      <w:r w:rsidRPr="00EA4D10">
        <w:rPr>
          <w:rFonts w:ascii="Times New Roman" w:eastAsia="Times New Roman" w:hAnsi="Times New Roman" w:cs="Times New Roman"/>
          <w:b/>
          <w:i/>
          <w:sz w:val="21"/>
          <w:szCs w:val="21"/>
        </w:rPr>
        <w:t>Научный руководитель:</w:t>
      </w:r>
    </w:p>
    <w:p w14:paraId="797F3165" w14:textId="77777777" w:rsidR="00EA4D10" w:rsidRPr="00EA4D10" w:rsidRDefault="00EA4D10" w:rsidP="000B6FDC">
      <w:pPr>
        <w:spacing w:after="0" w:line="240" w:lineRule="auto"/>
        <w:contextualSpacing/>
        <w:jc w:val="right"/>
        <w:rPr>
          <w:rFonts w:ascii="Times New Roman" w:eastAsia="Times New Roman" w:hAnsi="Times New Roman" w:cs="Times New Roman"/>
          <w:b/>
          <w:i/>
          <w:sz w:val="21"/>
          <w:szCs w:val="21"/>
        </w:rPr>
      </w:pPr>
      <w:r w:rsidRPr="00EA4D10">
        <w:rPr>
          <w:rFonts w:ascii="Times New Roman" w:eastAsia="Times New Roman" w:hAnsi="Times New Roman" w:cs="Times New Roman"/>
          <w:b/>
          <w:i/>
          <w:sz w:val="21"/>
          <w:szCs w:val="21"/>
        </w:rPr>
        <w:t>Арефьева С.А.,</w:t>
      </w:r>
    </w:p>
    <w:p w14:paraId="1F96EA20" w14:textId="476D73CA" w:rsidR="00EA4D10" w:rsidRPr="00EA4D10" w:rsidRDefault="00EA4D10" w:rsidP="000B6FDC">
      <w:pPr>
        <w:spacing w:after="0" w:line="240" w:lineRule="auto"/>
        <w:contextualSpacing/>
        <w:jc w:val="right"/>
        <w:rPr>
          <w:rFonts w:ascii="Times New Roman" w:eastAsia="Times New Roman" w:hAnsi="Times New Roman" w:cs="Times New Roman"/>
          <w:i/>
          <w:sz w:val="21"/>
          <w:szCs w:val="21"/>
        </w:rPr>
      </w:pPr>
      <w:r w:rsidRPr="00EA4D10">
        <w:rPr>
          <w:rFonts w:ascii="Times New Roman" w:eastAsia="Times New Roman" w:hAnsi="Times New Roman" w:cs="Times New Roman"/>
          <w:i/>
          <w:color w:val="000000"/>
          <w:sz w:val="21"/>
          <w:lang w:eastAsia="ru-RU"/>
        </w:rPr>
        <w:t>Доцент кафедры</w:t>
      </w:r>
      <w:r w:rsidR="000B6FDC">
        <w:rPr>
          <w:rFonts w:ascii="Times New Roman" w:eastAsia="Times New Roman" w:hAnsi="Times New Roman" w:cs="Times New Roman"/>
          <w:i/>
          <w:color w:val="000000"/>
          <w:sz w:val="21"/>
          <w:lang w:eastAsia="ru-RU"/>
        </w:rPr>
        <w:t xml:space="preserve"> </w:t>
      </w:r>
      <w:r w:rsidRPr="00EA4D10">
        <w:rPr>
          <w:rFonts w:ascii="Times New Roman" w:eastAsia="Times New Roman" w:hAnsi="Times New Roman" w:cs="Times New Roman"/>
          <w:i/>
          <w:color w:val="000000"/>
          <w:sz w:val="21"/>
          <w:lang w:eastAsia="ru-RU"/>
        </w:rPr>
        <w:t>«Математика и информатика»</w:t>
      </w:r>
    </w:p>
    <w:p w14:paraId="7BA09FF8" w14:textId="77777777" w:rsidR="00EA4D10" w:rsidRPr="00EA4D10" w:rsidRDefault="00EA4D10" w:rsidP="000B6FDC">
      <w:pPr>
        <w:spacing w:after="0" w:line="240" w:lineRule="auto"/>
        <w:contextualSpacing/>
        <w:jc w:val="right"/>
        <w:rPr>
          <w:rFonts w:ascii="Times New Roman" w:eastAsia="Times New Roman" w:hAnsi="Times New Roman" w:cs="Times New Roman"/>
          <w:sz w:val="24"/>
          <w:szCs w:val="24"/>
        </w:rPr>
      </w:pPr>
      <w:r w:rsidRPr="00EA4D10">
        <w:rPr>
          <w:rFonts w:ascii="Times New Roman" w:eastAsia="Times New Roman" w:hAnsi="Times New Roman" w:cs="Times New Roman"/>
          <w:i/>
          <w:color w:val="000000"/>
          <w:sz w:val="21"/>
          <w:szCs w:val="21"/>
        </w:rPr>
        <w:t>Финансовый университет при Правительстве Российской Федерации</w:t>
      </w:r>
    </w:p>
    <w:p w14:paraId="376AB8BB" w14:textId="77777777" w:rsidR="006D240C"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sz w:val="24"/>
          <w:szCs w:val="24"/>
        </w:rPr>
        <w:t>(</w:t>
      </w:r>
      <w:r w:rsidRPr="00EA4D10">
        <w:rPr>
          <w:rFonts w:ascii="Times New Roman" w:eastAsia="Times New Roman" w:hAnsi="Times New Roman" w:cs="Times New Roman"/>
          <w:i/>
          <w:color w:val="000000"/>
          <w:sz w:val="21"/>
          <w:szCs w:val="21"/>
        </w:rPr>
        <w:t>Краснодарский филиал),</w:t>
      </w:r>
    </w:p>
    <w:p w14:paraId="5C25DED5" w14:textId="40D49BD3" w:rsidR="00EA4D10" w:rsidRPr="00EA4D10" w:rsidRDefault="00EA4D10" w:rsidP="000B6FDC">
      <w:pPr>
        <w:spacing w:after="0" w:line="240" w:lineRule="auto"/>
        <w:contextualSpacing/>
        <w:jc w:val="right"/>
        <w:rPr>
          <w:rFonts w:ascii="Times New Roman" w:eastAsia="Times New Roman" w:hAnsi="Times New Roman" w:cs="Times New Roman"/>
          <w:i/>
          <w:color w:val="000000"/>
          <w:sz w:val="21"/>
          <w:szCs w:val="21"/>
        </w:rPr>
      </w:pPr>
      <w:r w:rsidRPr="00EA4D10">
        <w:rPr>
          <w:rFonts w:ascii="Times New Roman" w:eastAsia="Times New Roman" w:hAnsi="Times New Roman" w:cs="Times New Roman"/>
          <w:i/>
          <w:color w:val="000000"/>
          <w:sz w:val="21"/>
          <w:szCs w:val="21"/>
        </w:rPr>
        <w:t xml:space="preserve"> </w:t>
      </w:r>
      <w:r w:rsidRPr="00EA4D10">
        <w:rPr>
          <w:rFonts w:ascii="Times New Roman" w:eastAsia="Times New Roman" w:hAnsi="Times New Roman" w:cs="Times New Roman"/>
          <w:i/>
          <w:sz w:val="21"/>
          <w:szCs w:val="21"/>
        </w:rPr>
        <w:t>г. Краснодар, Россия</w:t>
      </w:r>
    </w:p>
    <w:p w14:paraId="33E28764" w14:textId="77777777" w:rsidR="00EA4D10" w:rsidRPr="00EA4D10" w:rsidRDefault="00EA4D10" w:rsidP="000B6FDC">
      <w:pPr>
        <w:spacing w:after="0" w:line="240" w:lineRule="auto"/>
        <w:contextualSpacing/>
        <w:jc w:val="right"/>
        <w:textAlignment w:val="baseline"/>
        <w:rPr>
          <w:rFonts w:ascii="Times New Roman" w:eastAsia="Times New Roman" w:hAnsi="Times New Roman" w:cs="Times New Roman"/>
          <w:i/>
          <w:sz w:val="21"/>
          <w:szCs w:val="21"/>
        </w:rPr>
      </w:pPr>
      <w:r w:rsidRPr="00EA4D10">
        <w:rPr>
          <w:rFonts w:ascii="Times New Roman" w:eastAsia="Times New Roman" w:hAnsi="Times New Roman" w:cs="Times New Roman"/>
          <w:i/>
          <w:sz w:val="21"/>
          <w:szCs w:val="21"/>
        </w:rPr>
        <w:t>е-</w:t>
      </w:r>
      <w:r w:rsidRPr="00EA4D10">
        <w:rPr>
          <w:rFonts w:ascii="Times New Roman" w:eastAsia="Times New Roman" w:hAnsi="Times New Roman" w:cs="Times New Roman"/>
          <w:i/>
          <w:sz w:val="21"/>
          <w:szCs w:val="21"/>
          <w:lang w:val="en-US"/>
        </w:rPr>
        <w:t>mail</w:t>
      </w:r>
      <w:r w:rsidRPr="00EA4D10">
        <w:rPr>
          <w:rFonts w:ascii="Times New Roman" w:eastAsia="Times New Roman" w:hAnsi="Times New Roman" w:cs="Times New Roman"/>
          <w:i/>
          <w:sz w:val="21"/>
          <w:szCs w:val="21"/>
        </w:rPr>
        <w:t>:</w:t>
      </w:r>
      <w:hyperlink r:id="rId470" w:history="1">
        <w:r w:rsidRPr="00EA4D10">
          <w:rPr>
            <w:rFonts w:ascii="Times New Roman" w:eastAsia="Times New Roman" w:hAnsi="Times New Roman" w:cs="Times New Roman"/>
            <w:i/>
            <w:iCs/>
            <w:color w:val="0000FF"/>
            <w:sz w:val="24"/>
            <w:szCs w:val="24"/>
            <w:u w:val="single"/>
            <w:lang w:val="en-US"/>
          </w:rPr>
          <w:t>svetikobz</w:t>
        </w:r>
        <w:r w:rsidRPr="00EA4D10">
          <w:rPr>
            <w:rFonts w:ascii="Times New Roman" w:eastAsia="Times New Roman" w:hAnsi="Times New Roman" w:cs="Times New Roman"/>
            <w:i/>
            <w:iCs/>
            <w:color w:val="0000FF"/>
            <w:sz w:val="24"/>
            <w:szCs w:val="24"/>
            <w:u w:val="single"/>
          </w:rPr>
          <w:t>@</w:t>
        </w:r>
        <w:r w:rsidRPr="00EA4D10">
          <w:rPr>
            <w:rFonts w:ascii="Times New Roman" w:eastAsia="Times New Roman" w:hAnsi="Times New Roman" w:cs="Times New Roman"/>
            <w:i/>
            <w:iCs/>
            <w:color w:val="0000FF"/>
            <w:sz w:val="24"/>
            <w:szCs w:val="24"/>
            <w:u w:val="single"/>
            <w:lang w:val="en-US"/>
          </w:rPr>
          <w:t>mail</w:t>
        </w:r>
        <w:r w:rsidRPr="00EA4D10">
          <w:rPr>
            <w:rFonts w:ascii="Times New Roman" w:eastAsia="Times New Roman" w:hAnsi="Times New Roman" w:cs="Times New Roman"/>
            <w:i/>
            <w:iCs/>
            <w:color w:val="0000FF"/>
            <w:sz w:val="24"/>
            <w:szCs w:val="24"/>
            <w:u w:val="single"/>
          </w:rPr>
          <w:t>.</w:t>
        </w:r>
        <w:r w:rsidRPr="00EA4D10">
          <w:rPr>
            <w:rFonts w:ascii="Times New Roman" w:eastAsia="Times New Roman" w:hAnsi="Times New Roman" w:cs="Times New Roman"/>
            <w:i/>
            <w:iCs/>
            <w:color w:val="0000FF"/>
            <w:sz w:val="24"/>
            <w:szCs w:val="24"/>
            <w:u w:val="single"/>
            <w:lang w:val="en-US"/>
          </w:rPr>
          <w:t>ru</w:t>
        </w:r>
      </w:hyperlink>
    </w:p>
    <w:p w14:paraId="1470E464" w14:textId="77777777" w:rsidR="00EA4D10" w:rsidRPr="00EA4D10" w:rsidRDefault="00EA4D10" w:rsidP="000B6FDC">
      <w:pPr>
        <w:spacing w:after="0" w:line="240" w:lineRule="auto"/>
        <w:contextualSpacing/>
        <w:jc w:val="center"/>
        <w:rPr>
          <w:rFonts w:ascii="Times New Roman" w:eastAsia="Times New Roman" w:hAnsi="Times New Roman" w:cs="Times New Roman"/>
          <w:b/>
          <w:sz w:val="21"/>
          <w:szCs w:val="21"/>
        </w:rPr>
      </w:pPr>
    </w:p>
    <w:p w14:paraId="49F69ABB" w14:textId="044B297E" w:rsidR="00EA4D10" w:rsidRPr="00EA4D10" w:rsidRDefault="00EA4D10" w:rsidP="000B6FDC">
      <w:pPr>
        <w:spacing w:after="0" w:line="240" w:lineRule="auto"/>
        <w:contextualSpacing/>
        <w:jc w:val="center"/>
        <w:rPr>
          <w:rFonts w:ascii="Times New Roman" w:eastAsia="Times New Roman" w:hAnsi="Times New Roman" w:cs="Times New Roman"/>
          <w:b/>
          <w:sz w:val="21"/>
          <w:szCs w:val="21"/>
        </w:rPr>
      </w:pPr>
      <w:r w:rsidRPr="00EA4D10">
        <w:rPr>
          <w:rFonts w:ascii="Times New Roman" w:eastAsia="Times New Roman" w:hAnsi="Times New Roman" w:cs="Times New Roman"/>
          <w:b/>
          <w:sz w:val="21"/>
          <w:szCs w:val="21"/>
        </w:rPr>
        <w:t>Безопасность и надежность искусственных нейронных сетей: современные подходы</w:t>
      </w:r>
    </w:p>
    <w:p w14:paraId="149ADFF0" w14:textId="77777777" w:rsidR="00EA4D10" w:rsidRPr="00EA4D10" w:rsidRDefault="00EA4D10" w:rsidP="000B6FDC">
      <w:pPr>
        <w:spacing w:after="0" w:line="240" w:lineRule="auto"/>
        <w:contextualSpacing/>
        <w:jc w:val="center"/>
        <w:rPr>
          <w:rFonts w:ascii="Times New Roman" w:eastAsia="Times New Roman" w:hAnsi="Times New Roman" w:cs="Times New Roman"/>
          <w:i/>
          <w:sz w:val="21"/>
          <w:szCs w:val="21"/>
          <w:shd w:val="clear" w:color="auto" w:fill="00FFFF"/>
        </w:rPr>
      </w:pPr>
    </w:p>
    <w:p w14:paraId="148DB229" w14:textId="77777777" w:rsidR="00EA4D10" w:rsidRPr="00EA4D10" w:rsidRDefault="00EA4D10" w:rsidP="000B6FDC">
      <w:pPr>
        <w:spacing w:after="0" w:line="240" w:lineRule="auto"/>
        <w:ind w:firstLine="709"/>
        <w:contextualSpacing/>
        <w:jc w:val="both"/>
        <w:rPr>
          <w:rFonts w:ascii="Times New Roman" w:eastAsia="Times New Roman" w:hAnsi="Times New Roman" w:cs="Times New Roman"/>
          <w:b/>
          <w:bCs/>
          <w:sz w:val="21"/>
          <w:szCs w:val="21"/>
        </w:rPr>
      </w:pPr>
      <w:r w:rsidRPr="00EA4D10">
        <w:rPr>
          <w:rFonts w:ascii="Times New Roman" w:eastAsia="Times New Roman" w:hAnsi="Times New Roman" w:cs="Times New Roman"/>
          <w:b/>
          <w:bCs/>
          <w:sz w:val="21"/>
          <w:szCs w:val="21"/>
        </w:rPr>
        <w:t xml:space="preserve">Аннотация: </w:t>
      </w:r>
      <w:r w:rsidRPr="00EA4D10">
        <w:rPr>
          <w:rFonts w:ascii="Times New Roman" w:eastAsia="Times New Roman" w:hAnsi="Times New Roman" w:cs="Times New Roman"/>
          <w:sz w:val="21"/>
          <w:szCs w:val="21"/>
        </w:rPr>
        <w:t>Искусственные нейронные сети (ИНС) применяются во многих областях, включая компьютерное зрение, обработку естественного языка, медицинскую диагностику и автономные системы. В этой статье рассматриваются основные угрозы для ИНС, включая атаки с использованием противоречивых примеров, переобучение, утечки данных и недостаточную интерпретируемость модели. Эти анализы включают необходимость поддержания современных защит нейронных сетей, таких как регуляризация, ансамблевые методы, использование генеративных состязательных сетей (ГСC) для обнаружения аномалий и методы формальной верификации. Особое внимание уделяется самым перспективным направлениям исследований, таким как обучение с подкреплением для смягчения атак и проектирование самотестирующихся архитектур нейронных сетей.</w:t>
      </w:r>
    </w:p>
    <w:p w14:paraId="1AF89CAC" w14:textId="77777777" w:rsidR="00EA4D10" w:rsidRDefault="00EA4D10" w:rsidP="000B6FDC">
      <w:pPr>
        <w:spacing w:after="0" w:line="240" w:lineRule="auto"/>
        <w:ind w:firstLine="709"/>
        <w:contextualSpacing/>
        <w:jc w:val="both"/>
        <w:rPr>
          <w:rFonts w:ascii="Times New Roman" w:eastAsia="Times New Roman" w:hAnsi="Times New Roman" w:cs="Times New Roman"/>
          <w:sz w:val="21"/>
          <w:szCs w:val="21"/>
        </w:rPr>
      </w:pPr>
      <w:r w:rsidRPr="00EA4D10">
        <w:rPr>
          <w:rFonts w:ascii="Times New Roman" w:eastAsia="Times New Roman" w:hAnsi="Times New Roman" w:cs="Times New Roman"/>
          <w:b/>
          <w:bCs/>
          <w:sz w:val="21"/>
          <w:szCs w:val="21"/>
        </w:rPr>
        <w:t>Ключевые слова</w:t>
      </w:r>
      <w:r w:rsidRPr="00EA4D10">
        <w:rPr>
          <w:rFonts w:ascii="Times New Roman" w:eastAsia="Times New Roman" w:hAnsi="Times New Roman" w:cs="Times New Roman"/>
          <w:sz w:val="21"/>
          <w:szCs w:val="21"/>
        </w:rPr>
        <w:t>: искусственные нейронные сети, безопасность нейронных сетей, безграничные атаки ИИ, надежность, интерпретируемость, формальная верификация.</w:t>
      </w:r>
    </w:p>
    <w:p w14:paraId="67D662A2" w14:textId="77777777" w:rsidR="00F01E02" w:rsidRPr="00EA4D10" w:rsidRDefault="00F01E02" w:rsidP="000B6FDC">
      <w:pPr>
        <w:spacing w:after="0" w:line="240" w:lineRule="auto"/>
        <w:ind w:firstLine="709"/>
        <w:contextualSpacing/>
        <w:jc w:val="both"/>
        <w:rPr>
          <w:rFonts w:ascii="Times New Roman" w:eastAsia="Times New Roman" w:hAnsi="Times New Roman" w:cs="Times New Roman"/>
          <w:sz w:val="21"/>
          <w:szCs w:val="21"/>
        </w:rPr>
      </w:pPr>
    </w:p>
    <w:p w14:paraId="4E9F3ACA" w14:textId="77777777" w:rsidR="00EA4D10" w:rsidRPr="00EA4D10" w:rsidRDefault="00EA4D10" w:rsidP="000B6FDC">
      <w:pPr>
        <w:spacing w:after="0" w:line="240" w:lineRule="auto"/>
        <w:contextualSpacing/>
        <w:jc w:val="right"/>
        <w:rPr>
          <w:rFonts w:ascii="Times New Roman" w:eastAsia="Times New Roman" w:hAnsi="Times New Roman" w:cs="Times New Roman"/>
          <w:b/>
          <w:bCs/>
          <w:i/>
          <w:iCs/>
          <w:sz w:val="21"/>
          <w:szCs w:val="21"/>
          <w:lang w:val="en-US"/>
        </w:rPr>
      </w:pPr>
      <w:r w:rsidRPr="00EA4D10">
        <w:rPr>
          <w:rFonts w:ascii="Times New Roman" w:eastAsia="Times New Roman" w:hAnsi="Times New Roman" w:cs="Times New Roman"/>
          <w:b/>
          <w:bCs/>
          <w:i/>
          <w:iCs/>
          <w:sz w:val="21"/>
          <w:szCs w:val="21"/>
          <w:lang w:val="en-US"/>
        </w:rPr>
        <w:t>BratsykhinA.F.,</w:t>
      </w:r>
    </w:p>
    <w:p w14:paraId="4D9F3C16" w14:textId="77777777"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Student, 2 courses</w:t>
      </w:r>
    </w:p>
    <w:p w14:paraId="70D0F6A0" w14:textId="77777777"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FinancialUniversityundertheGovernmentoftheRussianFederation</w:t>
      </w:r>
    </w:p>
    <w:p w14:paraId="1B9241C7" w14:textId="77777777"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Krasnodar, Russia</w:t>
      </w:r>
    </w:p>
    <w:p w14:paraId="54F22743" w14:textId="77777777"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 xml:space="preserve">e-mail: </w:t>
      </w:r>
      <w:hyperlink r:id="rId471" w:history="1">
        <w:r w:rsidRPr="00EA4D10">
          <w:rPr>
            <w:rFonts w:ascii="Times New Roman" w:eastAsia="Times New Roman" w:hAnsi="Times New Roman" w:cs="Times New Roman"/>
            <w:i/>
            <w:color w:val="0000FF"/>
            <w:sz w:val="21"/>
            <w:szCs w:val="21"/>
            <w:u w:val="single"/>
            <w:lang w:val="en-US"/>
          </w:rPr>
          <w:t>100DOT13SL230101@edu.fa.ru</w:t>
        </w:r>
      </w:hyperlink>
    </w:p>
    <w:p w14:paraId="68D9297A" w14:textId="77777777" w:rsidR="00EA4D10" w:rsidRPr="00EA4D10" w:rsidRDefault="00EA4D10" w:rsidP="000B6FDC">
      <w:pPr>
        <w:spacing w:after="0" w:line="240" w:lineRule="auto"/>
        <w:contextualSpacing/>
        <w:jc w:val="right"/>
        <w:rPr>
          <w:rFonts w:ascii="Times New Roman" w:eastAsia="Times New Roman" w:hAnsi="Times New Roman" w:cs="Times New Roman"/>
          <w:b/>
          <w:bCs/>
          <w:i/>
          <w:iCs/>
          <w:sz w:val="21"/>
          <w:szCs w:val="21"/>
          <w:lang w:val="en-US"/>
        </w:rPr>
      </w:pPr>
    </w:p>
    <w:p w14:paraId="6E191BFD" w14:textId="77777777" w:rsidR="00EA4D10" w:rsidRPr="00EA4D10" w:rsidRDefault="00EA4D10" w:rsidP="000B6FDC">
      <w:pPr>
        <w:spacing w:after="0" w:line="240" w:lineRule="auto"/>
        <w:contextualSpacing/>
        <w:jc w:val="right"/>
        <w:rPr>
          <w:rFonts w:ascii="Times New Roman" w:eastAsia="Times New Roman" w:hAnsi="Times New Roman" w:cs="Times New Roman"/>
          <w:b/>
          <w:bCs/>
          <w:i/>
          <w:iCs/>
          <w:sz w:val="21"/>
          <w:szCs w:val="21"/>
          <w:lang w:val="en-US"/>
        </w:rPr>
      </w:pPr>
      <w:r w:rsidRPr="00EA4D10">
        <w:rPr>
          <w:rFonts w:ascii="Times New Roman" w:eastAsia="Times New Roman" w:hAnsi="Times New Roman" w:cs="Times New Roman"/>
          <w:b/>
          <w:bCs/>
          <w:i/>
          <w:iCs/>
          <w:sz w:val="21"/>
          <w:szCs w:val="21"/>
          <w:lang w:val="en-US"/>
        </w:rPr>
        <w:t>Scientificsupervisor:</w:t>
      </w:r>
    </w:p>
    <w:p w14:paraId="54539D9D" w14:textId="77777777" w:rsidR="00EA4D10" w:rsidRPr="00EA4D10" w:rsidRDefault="00EA4D10" w:rsidP="000B6FDC">
      <w:pPr>
        <w:spacing w:after="0" w:line="240" w:lineRule="auto"/>
        <w:contextualSpacing/>
        <w:jc w:val="right"/>
        <w:rPr>
          <w:rFonts w:ascii="Times New Roman" w:eastAsia="Times New Roman" w:hAnsi="Times New Roman" w:cs="Times New Roman"/>
          <w:b/>
          <w:bCs/>
          <w:i/>
          <w:iCs/>
          <w:sz w:val="21"/>
          <w:szCs w:val="21"/>
          <w:lang w:val="en-US"/>
        </w:rPr>
      </w:pPr>
      <w:r w:rsidRPr="00EA4D10">
        <w:rPr>
          <w:rFonts w:ascii="Times New Roman" w:eastAsia="Times New Roman" w:hAnsi="Times New Roman" w:cs="Times New Roman"/>
          <w:b/>
          <w:bCs/>
          <w:i/>
          <w:iCs/>
          <w:sz w:val="21"/>
          <w:szCs w:val="21"/>
          <w:lang w:val="en-US"/>
        </w:rPr>
        <w:t>Arefieva S.A.,</w:t>
      </w:r>
    </w:p>
    <w:p w14:paraId="26D26EAC" w14:textId="77777777"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color w:val="000000"/>
          <w:sz w:val="21"/>
          <w:lang w:val="en-US" w:eastAsia="ru-RU"/>
        </w:rPr>
        <w:t>Associate Professor of the Department of Mathematics and Computer Science</w:t>
      </w:r>
    </w:p>
    <w:p w14:paraId="0ACD89B0" w14:textId="77777777" w:rsidR="006D240C" w:rsidRPr="00654CF2"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Krasnodarbranchof FGOBU VO "FinancialUniversityundertheGovernmentoftheRussianFederation</w:t>
      </w:r>
    </w:p>
    <w:p w14:paraId="71EC7FC4" w14:textId="424FCF39" w:rsidR="00EA4D10" w:rsidRPr="00EA4D10" w:rsidRDefault="00EA4D10" w:rsidP="000B6FDC">
      <w:pPr>
        <w:spacing w:after="0" w:line="240" w:lineRule="auto"/>
        <w:contextualSpacing/>
        <w:jc w:val="right"/>
        <w:rPr>
          <w:rFonts w:ascii="Times New Roman" w:eastAsia="Times New Roman" w:hAnsi="Times New Roman" w:cs="Times New Roman"/>
          <w:i/>
          <w:iCs/>
          <w:sz w:val="21"/>
          <w:szCs w:val="21"/>
          <w:lang w:val="en-US"/>
        </w:rPr>
      </w:pPr>
      <w:r w:rsidRPr="00EA4D10">
        <w:rPr>
          <w:rFonts w:ascii="Times New Roman" w:eastAsia="Times New Roman" w:hAnsi="Times New Roman" w:cs="Times New Roman"/>
          <w:i/>
          <w:iCs/>
          <w:sz w:val="21"/>
          <w:szCs w:val="21"/>
          <w:lang w:val="en-US"/>
        </w:rPr>
        <w:t>Krasnodar, Russia</w:t>
      </w:r>
    </w:p>
    <w:p w14:paraId="18EE86C1" w14:textId="77777777" w:rsidR="00EA4D10" w:rsidRPr="00EA4D10" w:rsidRDefault="00EA4D10" w:rsidP="000B6FDC">
      <w:pPr>
        <w:spacing w:after="0" w:line="240" w:lineRule="auto"/>
        <w:contextualSpacing/>
        <w:jc w:val="right"/>
        <w:rPr>
          <w:rFonts w:ascii="Calibri" w:eastAsia="Times New Roman" w:hAnsi="Calibri" w:cs="Times New Roman"/>
          <w:color w:val="0000FF"/>
          <w:u w:val="single"/>
          <w:lang w:val="en-US"/>
        </w:rPr>
      </w:pPr>
      <w:r w:rsidRPr="00EA4D10">
        <w:rPr>
          <w:rFonts w:ascii="Times New Roman" w:eastAsia="Times New Roman" w:hAnsi="Times New Roman" w:cs="Times New Roman"/>
          <w:i/>
          <w:iCs/>
          <w:sz w:val="21"/>
          <w:szCs w:val="21"/>
          <w:lang w:val="en-US"/>
        </w:rPr>
        <w:t>e-mail:</w:t>
      </w:r>
      <w:hyperlink r:id="rId472" w:history="1">
        <w:r w:rsidRPr="00EA4D10">
          <w:rPr>
            <w:rFonts w:ascii="Calibri" w:eastAsia="Times New Roman" w:hAnsi="Calibri" w:cs="Times New Roman"/>
            <w:i/>
            <w:iCs/>
            <w:color w:val="0000FF"/>
            <w:u w:val="single"/>
            <w:lang w:val="en-US"/>
          </w:rPr>
          <w:t>svetikobz@mail.ru</w:t>
        </w:r>
      </w:hyperlink>
    </w:p>
    <w:p w14:paraId="11B45A08" w14:textId="77777777" w:rsidR="00EA4D10" w:rsidRPr="00EA4D10" w:rsidRDefault="00EA4D10" w:rsidP="000B6FDC">
      <w:pPr>
        <w:spacing w:after="0" w:line="240" w:lineRule="auto"/>
        <w:contextualSpacing/>
        <w:jc w:val="right"/>
        <w:rPr>
          <w:rFonts w:ascii="Times New Roman" w:eastAsia="Times New Roman" w:hAnsi="Times New Roman" w:cs="Times New Roman"/>
          <w:sz w:val="21"/>
          <w:szCs w:val="21"/>
          <w:lang w:val="en-US"/>
        </w:rPr>
      </w:pPr>
    </w:p>
    <w:p w14:paraId="4EEE960F" w14:textId="03325AE5" w:rsidR="00EA4D10" w:rsidRPr="00EA4D10" w:rsidRDefault="00EA4D10" w:rsidP="000B6FDC">
      <w:pPr>
        <w:spacing w:after="0" w:line="240" w:lineRule="auto"/>
        <w:contextualSpacing/>
        <w:jc w:val="center"/>
        <w:rPr>
          <w:rFonts w:ascii="Times New Roman" w:eastAsia="Times New Roman" w:hAnsi="Times New Roman" w:cs="Times New Roman"/>
          <w:b/>
          <w:bCs/>
          <w:sz w:val="21"/>
          <w:szCs w:val="21"/>
          <w:lang w:val="en-US"/>
        </w:rPr>
      </w:pPr>
      <w:r w:rsidRPr="00EA4D10">
        <w:rPr>
          <w:rFonts w:ascii="Times New Roman" w:eastAsia="Times New Roman" w:hAnsi="Times New Roman" w:cs="Times New Roman"/>
          <w:b/>
          <w:bCs/>
          <w:sz w:val="21"/>
          <w:szCs w:val="21"/>
          <w:lang w:val="en-US"/>
        </w:rPr>
        <w:t>Safety</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and</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reliability</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of</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artificial</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neural</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networks: modern</w:t>
      </w:r>
      <w:r w:rsidR="006D240C" w:rsidRPr="006D240C">
        <w:rPr>
          <w:rFonts w:ascii="Times New Roman" w:eastAsia="Times New Roman" w:hAnsi="Times New Roman" w:cs="Times New Roman"/>
          <w:b/>
          <w:bCs/>
          <w:sz w:val="21"/>
          <w:szCs w:val="21"/>
          <w:lang w:val="en-US"/>
        </w:rPr>
        <w:t xml:space="preserve"> </w:t>
      </w:r>
      <w:r w:rsidRPr="00EA4D10">
        <w:rPr>
          <w:rFonts w:ascii="Times New Roman" w:eastAsia="Times New Roman" w:hAnsi="Times New Roman" w:cs="Times New Roman"/>
          <w:b/>
          <w:bCs/>
          <w:sz w:val="21"/>
          <w:szCs w:val="21"/>
          <w:lang w:val="en-US"/>
        </w:rPr>
        <w:t>approaches</w:t>
      </w:r>
    </w:p>
    <w:p w14:paraId="31FF9D49" w14:textId="77777777" w:rsidR="00EA4D10" w:rsidRPr="00EA4D10" w:rsidRDefault="00EA4D10" w:rsidP="000B6FDC">
      <w:pPr>
        <w:spacing w:after="0" w:line="240" w:lineRule="auto"/>
        <w:contextualSpacing/>
        <w:jc w:val="both"/>
        <w:rPr>
          <w:rFonts w:ascii="Times New Roman" w:eastAsia="Times New Roman" w:hAnsi="Times New Roman" w:cs="Times New Roman"/>
          <w:sz w:val="21"/>
          <w:szCs w:val="21"/>
          <w:lang w:val="en-US"/>
        </w:rPr>
      </w:pPr>
    </w:p>
    <w:p w14:paraId="3641B936" w14:textId="59B732D4" w:rsidR="00EA4D10" w:rsidRPr="00EA4D10" w:rsidRDefault="00EA4D10" w:rsidP="000B6FDC">
      <w:pPr>
        <w:spacing w:after="0" w:line="240" w:lineRule="auto"/>
        <w:ind w:firstLine="709"/>
        <w:contextualSpacing/>
        <w:jc w:val="both"/>
        <w:rPr>
          <w:rFonts w:ascii="Times New Roman" w:eastAsia="Times New Roman" w:hAnsi="Times New Roman" w:cs="Times New Roman"/>
          <w:sz w:val="21"/>
          <w:szCs w:val="21"/>
          <w:lang w:val="en-US"/>
        </w:rPr>
      </w:pPr>
      <w:r w:rsidRPr="00EA4D10">
        <w:rPr>
          <w:rFonts w:ascii="Times New Roman" w:eastAsia="Times New Roman" w:hAnsi="Times New Roman" w:cs="Times New Roman"/>
          <w:b/>
          <w:bCs/>
          <w:sz w:val="21"/>
          <w:szCs w:val="21"/>
          <w:lang w:val="en-US"/>
        </w:rPr>
        <w:t>Abstract</w:t>
      </w:r>
      <w:r w:rsidRPr="00EA4D10">
        <w:rPr>
          <w:rFonts w:ascii="Times New Roman" w:eastAsia="Times New Roman" w:hAnsi="Times New Roman" w:cs="Times New Roman"/>
          <w:sz w:val="21"/>
          <w:szCs w:val="21"/>
          <w:lang w:val="en-US"/>
        </w:rPr>
        <w:t>: Artificial</w:t>
      </w:r>
      <w:r w:rsidR="00F01E02" w:rsidRPr="00F01E02">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neural</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networks (ANN) are</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used</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in</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many</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fields, including</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computer</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vision, natural</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language</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processing, medical</w:t>
      </w:r>
      <w:r w:rsidR="007164AF" w:rsidRPr="007164AF">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diagnostics, and</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autonomous</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systems. This</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article</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examines</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main</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threats</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to</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ANN, including</w:t>
      </w:r>
      <w:r w:rsidR="009E6FB4" w:rsidRPr="009E6FB4">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attacks</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using</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contradictory</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examples, overfitting, data</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leaks, and</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insufficient</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interpretability</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of</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B30DEE" w:rsidRPr="00B30DEE">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model. These</w:t>
      </w:r>
      <w:r w:rsidR="00D73245"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analyses</w:t>
      </w:r>
      <w:r w:rsidR="00D73245"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include</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need</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to</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maintain</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modern</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neural</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defenses</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such</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as</w:t>
      </w:r>
      <w:r w:rsidR="00CA1F98" w:rsidRPr="00CA1F98">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regularization, ensemble</w:t>
      </w:r>
      <w:r w:rsidR="00277A15" w:rsidRPr="00277A15">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methods, the</w:t>
      </w:r>
      <w:r w:rsidR="00277A15" w:rsidRPr="00277A15">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use</w:t>
      </w:r>
      <w:r w:rsidR="00277A15" w:rsidRPr="00277A15">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of</w:t>
      </w:r>
      <w:r w:rsidR="00277A15" w:rsidRPr="00277A15">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generative</w:t>
      </w:r>
      <w:r w:rsidR="00B3560B" w:rsidRPr="00B3560B">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adversarial</w:t>
      </w:r>
      <w:r w:rsidR="00B3560B" w:rsidRPr="00B3560B">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networks (GSS) to</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detect</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anomalies, and</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formal</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verification</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methods. Special</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attention</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is</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paid</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to</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most</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promising</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are</w:t>
      </w:r>
      <w:r w:rsidR="002D7333" w:rsidRPr="002D7333">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as</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of</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research, such</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as</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reinforcement</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learning</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to</w:t>
      </w:r>
      <w:r w:rsidR="001C3B3D" w:rsidRPr="001C3B3D">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mitigate</w:t>
      </w:r>
      <w:r w:rsidR="000A66D2" w:rsidRPr="000A66D2">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attacks</w:t>
      </w:r>
      <w:r w:rsidR="000A66D2" w:rsidRPr="000A66D2">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and</w:t>
      </w:r>
      <w:r w:rsidR="000A66D2" w:rsidRPr="000A66D2">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the</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design</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of</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self-testing</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neural</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architectures.</w:t>
      </w:r>
    </w:p>
    <w:p w14:paraId="126B0F3B" w14:textId="6198E9D7" w:rsidR="00EA4D10" w:rsidRPr="00EA4D10" w:rsidRDefault="00EA4D10" w:rsidP="000B6FDC">
      <w:pPr>
        <w:spacing w:after="0" w:line="240" w:lineRule="auto"/>
        <w:ind w:firstLine="709"/>
        <w:contextualSpacing/>
        <w:jc w:val="both"/>
        <w:rPr>
          <w:rFonts w:ascii="Times New Roman" w:eastAsia="Times New Roman" w:hAnsi="Times New Roman" w:cs="Times New Roman"/>
          <w:sz w:val="21"/>
          <w:szCs w:val="21"/>
          <w:lang w:val="en-US"/>
        </w:rPr>
      </w:pPr>
      <w:r w:rsidRPr="00EA4D10">
        <w:rPr>
          <w:rFonts w:ascii="Times New Roman" w:eastAsia="Times New Roman" w:hAnsi="Times New Roman" w:cs="Times New Roman"/>
          <w:b/>
          <w:bCs/>
          <w:sz w:val="21"/>
          <w:szCs w:val="21"/>
          <w:lang w:val="en-US"/>
        </w:rPr>
        <w:t>Keywords</w:t>
      </w:r>
      <w:r w:rsidRPr="00EA4D10">
        <w:rPr>
          <w:rFonts w:ascii="Times New Roman" w:eastAsia="Times New Roman" w:hAnsi="Times New Roman" w:cs="Times New Roman"/>
          <w:sz w:val="21"/>
          <w:szCs w:val="21"/>
          <w:lang w:val="en-US"/>
        </w:rPr>
        <w:t>: artificial</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neural</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networks, neural</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network</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security, limitless AI attacks, reliability, interpretability, formal</w:t>
      </w:r>
      <w:r w:rsidR="006D240C" w:rsidRPr="006D240C">
        <w:rPr>
          <w:rFonts w:ascii="Times New Roman" w:eastAsia="Times New Roman" w:hAnsi="Times New Roman" w:cs="Times New Roman"/>
          <w:sz w:val="21"/>
          <w:szCs w:val="21"/>
          <w:lang w:val="en-US"/>
        </w:rPr>
        <w:t xml:space="preserve"> </w:t>
      </w:r>
      <w:r w:rsidRPr="00EA4D10">
        <w:rPr>
          <w:rFonts w:ascii="Times New Roman" w:eastAsia="Times New Roman" w:hAnsi="Times New Roman" w:cs="Times New Roman"/>
          <w:sz w:val="21"/>
          <w:szCs w:val="21"/>
          <w:lang w:val="en-US"/>
        </w:rPr>
        <w:t>verification.</w:t>
      </w:r>
    </w:p>
    <w:p w14:paraId="33C34AC8" w14:textId="77777777" w:rsidR="000B6FDC" w:rsidRPr="006D240C" w:rsidRDefault="000B6FDC" w:rsidP="00EA4D10">
      <w:pPr>
        <w:spacing w:after="0" w:line="240" w:lineRule="auto"/>
        <w:ind w:firstLine="709"/>
        <w:jc w:val="both"/>
        <w:rPr>
          <w:rFonts w:ascii="Times New Roman" w:eastAsia="Times New Roman" w:hAnsi="Times New Roman" w:cs="Times New Roman"/>
          <w:sz w:val="32"/>
          <w:szCs w:val="32"/>
          <w:lang w:val="en-US"/>
        </w:rPr>
      </w:pPr>
    </w:p>
    <w:p w14:paraId="30341045" w14:textId="24C85074"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Введение</w:t>
      </w:r>
    </w:p>
    <w:p w14:paraId="5860E5A1"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xml:space="preserve">Искусственные нейронные сети стали основным инструментом для классификации, регрессии и задач генерации данных благодаря </w:t>
      </w:r>
      <w:r w:rsidRPr="00EA4D10">
        <w:rPr>
          <w:rFonts w:ascii="Times New Roman" w:eastAsia="Times New Roman" w:hAnsi="Times New Roman" w:cs="Times New Roman"/>
          <w:sz w:val="32"/>
          <w:szCs w:val="32"/>
        </w:rPr>
        <w:lastRenderedPageBreak/>
        <w:t>глубокому обучению. Их растущая сложность и природа «черного ящика» создают уязвимости, которые могут быть использованы. Например, незначительные воздействия на входные данные (атаки катализатора) могут привести к ошибочным предсказаниям, что критично в системах автономного управления или кибербезопасности.</w:t>
      </w:r>
    </w:p>
    <w:p w14:paraId="18564508"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Надежность нейронных сетей зависит от нескольких факторов:</w:t>
      </w:r>
    </w:p>
    <w:p w14:paraId="40A2FAD4" w14:textId="77777777" w:rsidR="00EA4D10" w:rsidRPr="00EA4D10" w:rsidRDefault="00EA4D10" w:rsidP="00AD58CD">
      <w:pPr>
        <w:numPr>
          <w:ilvl w:val="0"/>
          <w:numId w:val="229"/>
        </w:num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Устойчивость для вредоносных действий.</w:t>
      </w:r>
    </w:p>
    <w:p w14:paraId="477D7653" w14:textId="77777777" w:rsidR="00EA4D10" w:rsidRPr="00EA4D10" w:rsidRDefault="00EA4D10" w:rsidP="00AD58CD">
      <w:pPr>
        <w:numPr>
          <w:ilvl w:val="0"/>
          <w:numId w:val="229"/>
        </w:num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Обобщение данных без переобучения.</w:t>
      </w:r>
    </w:p>
    <w:p w14:paraId="333129CA" w14:textId="77777777" w:rsidR="00EA4D10" w:rsidRPr="00EA4D10" w:rsidRDefault="00EA4D10" w:rsidP="00AD58CD">
      <w:pPr>
        <w:numPr>
          <w:ilvl w:val="0"/>
          <w:numId w:val="229"/>
        </w:num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Интерпретируемость решений для мониторинга правильного функционирования.</w:t>
      </w:r>
    </w:p>
    <w:p w14:paraId="001D09D8"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Статья фокусируется на новые методы, касающиеся безопасности и устойчивости нейронных сетей.</w:t>
      </w:r>
    </w:p>
    <w:p w14:paraId="750F66AD"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Основные угрозы безопасности ИНС:</w:t>
      </w:r>
    </w:p>
    <w:p w14:paraId="6AE2F86D"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Состязательные атаки;</w:t>
      </w:r>
    </w:p>
    <w:p w14:paraId="2061664F"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Переобучение и утечка данных;</w:t>
      </w:r>
    </w:p>
    <w:p w14:paraId="539EB027"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Недостаточная интерпретируемость.</w:t>
      </w:r>
    </w:p>
    <w:p w14:paraId="09D89EA4"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Состязательные атаки — это особый вид взаимодействия с нейронными искусственными сетями, при котором входные данные искажаются так, что результат работы модели будет неверным. Данная техника фальсификации деформаций используется для проверки наивных искаженных атак. Они используются для повышения защиты в таких отраслях, как компьютерная визуализация, видео-распознавание и аудио-</w:t>
      </w:r>
      <w:proofErr w:type="gramStart"/>
      <w:r w:rsidRPr="00EA4D10">
        <w:rPr>
          <w:rFonts w:ascii="Times New Roman" w:eastAsia="Times New Roman" w:hAnsi="Times New Roman" w:cs="Times New Roman"/>
          <w:sz w:val="32"/>
          <w:szCs w:val="32"/>
        </w:rPr>
        <w:t>восприятие.[</w:t>
      </w:r>
      <w:proofErr w:type="gramEnd"/>
      <w:r w:rsidRPr="00EA4D10">
        <w:rPr>
          <w:rFonts w:ascii="Times New Roman" w:eastAsia="Times New Roman" w:hAnsi="Times New Roman" w:cs="Times New Roman"/>
          <w:sz w:val="32"/>
          <w:szCs w:val="32"/>
        </w:rPr>
        <w:t>2]</w:t>
      </w:r>
    </w:p>
    <w:p w14:paraId="564A9E38"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Существует несколько типов состязательных атак:</w:t>
      </w:r>
    </w:p>
    <w:p w14:paraId="07A49D5E"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Атака на изображения: злоумышленник накладывает на изображение незначительное количество «шума», которое достаточное для того, чтобы модель неверно определила класс изображения.</w:t>
      </w:r>
    </w:p>
    <w:p w14:paraId="5135DC84"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Атака на текст: злоумышленник изменяет некоторые слова так, чтобы модель не была способна предсказать правильный класс.</w:t>
      </w:r>
    </w:p>
    <w:p w14:paraId="1A5984BA"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Атака на аудио: злоумышленник может добавлять шум или другие изменять звуковые частоты, модель будет предсказывать неверный результат.</w:t>
      </w:r>
    </w:p>
    <w:p w14:paraId="7745A610"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Атака на последовательности: в этом случае злоумышленник не ограничивается введением целевого класса, а требует, чтобы модель выдала некий секретный ответ.</w:t>
      </w:r>
    </w:p>
    <w:p w14:paraId="4600B37E"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В качестве мер защиты от состязательных атак можно выделить следующие:</w:t>
      </w:r>
    </w:p>
    <w:p w14:paraId="23F2B008"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lastRenderedPageBreak/>
        <w:t>Состязательное обучение. Один из способов оптимизации защиты моделей — это работа с атакованными данными и добавление таких данных к обучающей выборке. Если же данные добавляются с одним фиксированным смещением, то такая защита будет работать только от схожих смещений.</w:t>
      </w:r>
    </w:p>
    <w:p w14:paraId="3057F2C8"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Использование автоэнкодеров. Данная техника предполагает отход от чистого состояния атакованных данных к нормальному, то есть восстановление в начальное состояние атакованных данных. Впрочем, этот метод требует больших вычислительных ресурсов для автоэнкодера, что делает его уязвимым для атак.</w:t>
      </w:r>
    </w:p>
    <w:p w14:paraId="3909AE42" w14:textId="77777777" w:rsidR="00EA4D10" w:rsidRPr="00EA4D10" w:rsidRDefault="00EA4D10" w:rsidP="00AD58CD">
      <w:pPr>
        <w:numPr>
          <w:ilvl w:val="0"/>
          <w:numId w:val="230"/>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Квантизация данных. Это метод сжатия вычислительных ресурсов, где непрерывные значения сигналов преобразуют в наборы дискретных значений. Чем больше смешивания, тем сильней защита, что и вызывает несоразмерные уровни защиты. [2]</w:t>
      </w:r>
    </w:p>
    <w:p w14:paraId="436EFE61"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Переобучение — защитные меры, когда модель обучена таким образом, что она идеально объясняет все примеры из обучающей выборки, однако плохо справляется с примерами, далёкими от обучающим.</w:t>
      </w:r>
    </w:p>
    <w:p w14:paraId="1421B85E"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xml:space="preserve">Причина в том, </w:t>
      </w:r>
      <w:proofErr w:type="gramStart"/>
      <w:r w:rsidRPr="00EA4D10">
        <w:rPr>
          <w:rFonts w:ascii="Times New Roman" w:eastAsia="Times New Roman" w:hAnsi="Times New Roman" w:cs="Times New Roman"/>
          <w:sz w:val="32"/>
          <w:szCs w:val="32"/>
        </w:rPr>
        <w:t>что</w:t>
      </w:r>
      <w:proofErr w:type="gramEnd"/>
      <w:r w:rsidRPr="00EA4D10">
        <w:rPr>
          <w:rFonts w:ascii="Times New Roman" w:eastAsia="Times New Roman" w:hAnsi="Times New Roman" w:cs="Times New Roman"/>
          <w:sz w:val="32"/>
          <w:szCs w:val="32"/>
        </w:rPr>
        <w:t xml:space="preserve"> строя модель «при обучении», алгоритм в процессе обучения на входной выборке выявляет некоторые из ненаблюдаемых, множество правил, которые отсутствуют в общей совокупности.</w:t>
      </w:r>
    </w:p>
    <w:p w14:paraId="6CAA9B8D"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Наиболее популярные методы, используемые для повышения обобщаемой способности и предотвращения эффекта переобучения:</w:t>
      </w:r>
    </w:p>
    <w:p w14:paraId="681E7345" w14:textId="77777777" w:rsidR="00EA4D10" w:rsidRPr="00EA4D10" w:rsidRDefault="00EA4D10" w:rsidP="00AD58CD">
      <w:pPr>
        <w:numPr>
          <w:ilvl w:val="0"/>
          <w:numId w:val="231"/>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Регуляризация.</w:t>
      </w:r>
    </w:p>
    <w:p w14:paraId="7339126D" w14:textId="77777777" w:rsidR="00EA4D10" w:rsidRPr="00EA4D10" w:rsidRDefault="00EA4D10" w:rsidP="00AD58CD">
      <w:pPr>
        <w:numPr>
          <w:ilvl w:val="0"/>
          <w:numId w:val="231"/>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Ранняя остановка.</w:t>
      </w:r>
    </w:p>
    <w:p w14:paraId="6F84E32B" w14:textId="77777777" w:rsidR="00EA4D10" w:rsidRPr="00EA4D10" w:rsidRDefault="00EA4D10" w:rsidP="00AD58CD">
      <w:pPr>
        <w:numPr>
          <w:ilvl w:val="0"/>
          <w:numId w:val="231"/>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Перекрёстная проверка.</w:t>
      </w:r>
    </w:p>
    <w:p w14:paraId="580BE753"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Перекрестная проверка, или кросс-валидация – это оценка качества аналитической модели и ее поведения на отложенных данных. При оценке модели имеющиеся в наличии данные разбиваются на k частей. Затем на k−1 частях данных производится обучение модели, и одна оставшаяся часть используется для тестирования. Эта процедура повторяется k раз, в итоге каждая из k частей данных используется для тестирования. В результате такая оценка многоразового тестирования дает оценку эффективности выбранной модели с использованием почти всех данных.</w:t>
      </w:r>
    </w:p>
    <w:p w14:paraId="5BB63AFC"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lastRenderedPageBreak/>
        <w:t>Регуляризация – это способ «наказания» модели за пустой процесс адаптации, так как расширяется слагаемая, усложняющая подгонку модели к данным.</w:t>
      </w:r>
    </w:p>
    <w:p w14:paraId="7901BB99"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Упередженная остановка – это форма регулиризации модели с использованием итеративного метода совершенного неограниченного контроля, для избежания переобучения.</w:t>
      </w:r>
    </w:p>
    <w:p w14:paraId="5286C58E"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Выделяют несколько типов утечки данных:</w:t>
      </w:r>
    </w:p>
    <w:p w14:paraId="1755C4DC"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Признак утечки. Этот основной тип связан с тем удаленном взломе, который совершается в рамках с известной области, где доступен для извлечения уровень, который на данном этапе доступен для моделирования.</w:t>
      </w:r>
    </w:p>
    <w:p w14:paraId="506DF174"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Целевые утечки. Связаны с неумышленным недоразумением применения информации о переменной, которая служит целью, и не будет иметь значения после фазы завершения обучения.</w:t>
      </w:r>
    </w:p>
    <w:p w14:paraId="24D4DE90"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Брутфорс утечка. С блоков обучающего и тестового множества. Кажется, эта утечка порождается набором действий, которые сопровождают предварительную обработку, а именно: очистка, нормализация, уменьшение объема, трансформация, атака, замещение ненадежных значений, голубое или чистое небо, выделение границ.</w:t>
      </w:r>
    </w:p>
    <w:p w14:paraId="156AF19D"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Предложены стандартные методы для борьбы с утечкой данных:</w:t>
      </w:r>
    </w:p>
    <w:p w14:paraId="42C3C976"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Исключение конфиденциальных данных из выбоки для обучения</w:t>
      </w:r>
    </w:p>
    <w:p w14:paraId="6C147AE6"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Закрытый забор для обучения</w:t>
      </w:r>
    </w:p>
    <w:p w14:paraId="68BBAAE2"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Паранойя в области шифрования контроля безрезервного копирования</w:t>
      </w:r>
    </w:p>
    <w:p w14:paraId="02979E82"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Острая слежка активдоров</w:t>
      </w:r>
    </w:p>
    <w:p w14:paraId="0DA8A51D"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Регламентированный аудит по показателям манипуляции с людьми</w:t>
      </w:r>
    </w:p>
    <w:p w14:paraId="19D312BF"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proofErr w:type="gramStart"/>
      <w:r w:rsidRPr="00EA4D10">
        <w:rPr>
          <w:rFonts w:ascii="Times New Roman" w:eastAsia="Times New Roman" w:hAnsi="Times New Roman" w:cs="Times New Roman"/>
          <w:sz w:val="32"/>
          <w:szCs w:val="32"/>
        </w:rPr>
        <w:t>И конечно</w:t>
      </w:r>
      <w:proofErr w:type="gramEnd"/>
      <w:r w:rsidRPr="00EA4D10">
        <w:rPr>
          <w:rFonts w:ascii="Times New Roman" w:eastAsia="Times New Roman" w:hAnsi="Times New Roman" w:cs="Times New Roman"/>
          <w:sz w:val="32"/>
          <w:szCs w:val="32"/>
        </w:rPr>
        <w:t xml:space="preserve"> нарекание с недостаточной объяснимостью российских нейронных сетей ими делает расслоение.</w:t>
      </w:r>
    </w:p>
    <w:p w14:paraId="5182DF42"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Из-за этого возникают затруднения в объяснении принятого решения и поведения рассматриваемой сети.</w:t>
      </w:r>
    </w:p>
    <w:p w14:paraId="24BBD7D2"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Теперь ИНС превращается забаву на уровне «черный ящик», и было бы сложно понять, как именно они дошли до особенно критичных заключений, заключения в области обоснованного нерешения допустимых решений.</w:t>
      </w:r>
    </w:p>
    <w:p w14:paraId="55535BE5" w14:textId="77777777" w:rsidR="00EA4D10" w:rsidRPr="00EA4D10" w:rsidRDefault="00EA4D10" w:rsidP="00EA4D10">
      <w:pPr>
        <w:spacing w:after="0" w:line="240" w:lineRule="auto"/>
        <w:ind w:firstLine="709"/>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lastRenderedPageBreak/>
        <w:t>Чтобы справиться с проблемами интерпретируемости, связанных с искусственными нейронными сетями, рассматриваются такие проблемы, как:</w:t>
      </w:r>
    </w:p>
    <w:p w14:paraId="79F93A67"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Методы, основанные на выделении важности признаков, определяют, в токи признаки будут решающими для принятия решений, которые влияют на выход сети. В качестве примера можно привести градиентные методы, которые показывают, как изменение входных признаков влияет на выход сети.</w:t>
      </w:r>
    </w:p>
    <w:p w14:paraId="694275EE"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Методы, построенные по активациям и весам нейронов, помогают понять, какие части сети отвечают за определенные аспекты задачит.</w:t>
      </w:r>
    </w:p>
    <w:p w14:paraId="35B316AF"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Выделение логических правил из нейронной сети, обосновывающие ее собственные решения. Это достигается, например, анализом активации нейронов через определенные логические условия.</w:t>
      </w:r>
    </w:p>
    <w:p w14:paraId="327A0EA4"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Один из подходов заключается в том, что нейронную сеть интерпретируют как логическую формулу, описывающую ее поведение. Это достигается, вводя данные сети о входах, выходах и ее весах в виде логических переменных и их связывания с логическими операциями.</w:t>
      </w:r>
    </w:p>
    <w:p w14:paraId="0F9085F8" w14:textId="77777777" w:rsidR="00EA4D10" w:rsidRPr="00EA4D10" w:rsidRDefault="00EA4D10" w:rsidP="00AD58CD">
      <w:pPr>
        <w:numPr>
          <w:ilvl w:val="0"/>
          <w:numId w:val="232"/>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xml:space="preserve">Исследование и анализ решений, принимаемых нейронной сетью, и поиск логически обоснованных причин этих решений. Например, исследовать, какие входные признаки или их комбинации, или какое многоуровневое модельное пространство в соответствующей </w:t>
      </w:r>
      <w:proofErr w:type="gramStart"/>
      <w:r w:rsidRPr="00EA4D10">
        <w:rPr>
          <w:rFonts w:ascii="Times New Roman" w:eastAsia="Times New Roman" w:hAnsi="Times New Roman" w:cs="Times New Roman"/>
          <w:sz w:val="32"/>
          <w:szCs w:val="32"/>
        </w:rPr>
        <w:t>структуре.[</w:t>
      </w:r>
      <w:proofErr w:type="gramEnd"/>
      <w:r w:rsidRPr="00EA4D10">
        <w:rPr>
          <w:rFonts w:ascii="Times New Roman" w:eastAsia="Times New Roman" w:hAnsi="Times New Roman" w:cs="Times New Roman"/>
          <w:sz w:val="32"/>
          <w:szCs w:val="32"/>
        </w:rPr>
        <w:t>3]</w:t>
      </w:r>
    </w:p>
    <w:p w14:paraId="36702D26"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Перспективные направления исследований:</w:t>
      </w:r>
    </w:p>
    <w:p w14:paraId="0880CB2C" w14:textId="77777777" w:rsidR="00EA4D10" w:rsidRPr="00EA4D10" w:rsidRDefault="00EA4D10" w:rsidP="00AD58CD">
      <w:pPr>
        <w:numPr>
          <w:ilvl w:val="0"/>
          <w:numId w:val="233"/>
        </w:numPr>
        <w:spacing w:after="0" w:line="240" w:lineRule="auto"/>
        <w:ind w:left="0" w:firstLine="709"/>
        <w:contextualSpacing/>
        <w:jc w:val="both"/>
        <w:rPr>
          <w:rFonts w:ascii="Times New Roman" w:eastAsia="Times New Roman" w:hAnsi="Times New Roman" w:cs="Times New Roman"/>
          <w:sz w:val="32"/>
          <w:szCs w:val="32"/>
          <w:lang w:val="en-US"/>
        </w:rPr>
      </w:pPr>
      <w:r w:rsidRPr="00EA4D10">
        <w:rPr>
          <w:rFonts w:ascii="Times New Roman" w:eastAsia="Times New Roman" w:hAnsi="Times New Roman" w:cs="Times New Roman"/>
          <w:sz w:val="32"/>
          <w:szCs w:val="32"/>
        </w:rPr>
        <w:t>Self-SupervisedRobustLearning</w:t>
      </w:r>
    </w:p>
    <w:p w14:paraId="4FFF0B95" w14:textId="77777777" w:rsidR="00EA4D10" w:rsidRPr="00EA4D10" w:rsidRDefault="00EA4D10" w:rsidP="00AD58CD">
      <w:pPr>
        <w:numPr>
          <w:ilvl w:val="0"/>
          <w:numId w:val="233"/>
        </w:numPr>
        <w:spacing w:after="0" w:line="240" w:lineRule="auto"/>
        <w:ind w:left="0" w:firstLine="709"/>
        <w:contextualSpacing/>
        <w:jc w:val="both"/>
        <w:rPr>
          <w:rFonts w:ascii="Times New Roman" w:eastAsia="Times New Roman" w:hAnsi="Times New Roman" w:cs="Times New Roman"/>
          <w:sz w:val="32"/>
          <w:szCs w:val="32"/>
          <w:lang w:val="en-US"/>
        </w:rPr>
      </w:pPr>
      <w:r w:rsidRPr="00EA4D10">
        <w:rPr>
          <w:rFonts w:ascii="Times New Roman" w:eastAsia="Times New Roman" w:hAnsi="Times New Roman" w:cs="Times New Roman"/>
          <w:sz w:val="32"/>
          <w:szCs w:val="32"/>
          <w:lang w:val="en-US"/>
        </w:rPr>
        <w:t xml:space="preserve">Neural Architecture Search (NAS) </w:t>
      </w:r>
      <w:r w:rsidRPr="00EA4D10">
        <w:rPr>
          <w:rFonts w:ascii="Times New Roman" w:eastAsia="Times New Roman" w:hAnsi="Times New Roman" w:cs="Times New Roman"/>
          <w:sz w:val="32"/>
          <w:szCs w:val="32"/>
        </w:rPr>
        <w:t>дляустойчивыхсетей</w:t>
      </w:r>
      <w:r w:rsidRPr="00EA4D10">
        <w:rPr>
          <w:rFonts w:ascii="Times New Roman" w:eastAsia="Times New Roman" w:hAnsi="Times New Roman" w:cs="Times New Roman"/>
          <w:sz w:val="32"/>
          <w:szCs w:val="32"/>
          <w:lang w:val="en-US"/>
        </w:rPr>
        <w:t>:</w:t>
      </w:r>
    </w:p>
    <w:p w14:paraId="066C409A" w14:textId="77777777" w:rsidR="00EA4D10" w:rsidRPr="00EA4D10" w:rsidRDefault="00EA4D10" w:rsidP="00AD58CD">
      <w:pPr>
        <w:numPr>
          <w:ilvl w:val="0"/>
          <w:numId w:val="233"/>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FederatedLearning с защитой приватности</w:t>
      </w:r>
    </w:p>
    <w:p w14:paraId="01F715E3"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Self-supervisedrobustlearning— это одна из специализаций в области кадастра, которая основывается на самом механизме обучения на информации, получаемой на выходе системы.</w:t>
      </w:r>
    </w:p>
    <w:p w14:paraId="7F0F52F1"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Такой стиль делает возможным процесс обучения модели даже в случае немаркированных данных путем извлечения структуры из таких данных и распознаванием имеющихся взаимосвязей без необходимости массовых данных, которые были ранее помечены.</w:t>
      </w:r>
    </w:p>
    <w:p w14:paraId="09EDF193"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Некоторые особенности самообучения на основе данных.</w:t>
      </w:r>
    </w:p>
    <w:p w14:paraId="08594EED" w14:textId="77777777" w:rsidR="00EA4D10" w:rsidRPr="00EA4D10" w:rsidRDefault="00EA4D10" w:rsidP="00AD58CD">
      <w:pPr>
        <w:numPr>
          <w:ilvl w:val="0"/>
          <w:numId w:val="234"/>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lastRenderedPageBreak/>
        <w:t>Предварительная подача выходных данных. Они представляются в виде: связанных между собой примерах, где один пример служит эффективным алгоритмом, а другой используется для предоставления команд. Это может включать шепот обрезку, вращение и любые другие модели.</w:t>
      </w:r>
    </w:p>
    <w:p w14:paraId="65358840" w14:textId="77777777" w:rsidR="00EA4D10" w:rsidRPr="00EA4D10" w:rsidRDefault="00EA4D10" w:rsidP="00AD58CD">
      <w:pPr>
        <w:numPr>
          <w:ilvl w:val="0"/>
          <w:numId w:val="234"/>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Обучение на два куста: решение вспомогательной задачи по классификации с использованием псевдометок, которые максимально помогают валидации параметров модели для классов. После этого выполняется основная задача с использованием supervised или unsupervised.</w:t>
      </w:r>
    </w:p>
    <w:p w14:paraId="51B8FB41"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Метод NAS используется для проектирования ИНС, пронзительно используемой модели в области машинного обучения. Основная цель NAS заключается в создании сетей по меньшей мере не уступающих, а лучше если превосходящих сети, спроектированные человеком.</w:t>
      </w:r>
    </w:p>
    <w:p w14:paraId="408BDE0E"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FederatedLearning— это агрегирование и обработка данных с множества устройств или серверов без раскрытия их содержимого.</w:t>
      </w:r>
    </w:p>
    <w:p w14:paraId="50D29913"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xml:space="preserve">Суть метода: модель не обучается в одном месте, где бы не собирались данные. Модель отправляется на устройства пользователей, а перечисленные выше модели обучаются на локальных данных. Загруженные модели или их параметры, а не локальные данные, агрегируются на центральном сервере для модификации «улучшенной» </w:t>
      </w:r>
      <w:proofErr w:type="gramStart"/>
      <w:r w:rsidRPr="00EA4D10">
        <w:rPr>
          <w:rFonts w:ascii="Times New Roman" w:eastAsia="Times New Roman" w:hAnsi="Times New Roman" w:cs="Times New Roman"/>
          <w:sz w:val="32"/>
          <w:szCs w:val="32"/>
        </w:rPr>
        <w:t>модели.[</w:t>
      </w:r>
      <w:proofErr w:type="gramEnd"/>
      <w:r w:rsidRPr="00EA4D10">
        <w:rPr>
          <w:rFonts w:ascii="Times New Roman" w:eastAsia="Times New Roman" w:hAnsi="Times New Roman" w:cs="Times New Roman"/>
          <w:sz w:val="32"/>
          <w:szCs w:val="32"/>
        </w:rPr>
        <w:t>1]</w:t>
      </w:r>
    </w:p>
    <w:p w14:paraId="3A474D83"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Различные технологии шифрования и защиты данных используются для обеспечения конфиденциальности и безопасности в рамках федеративного обучения:</w:t>
      </w:r>
    </w:p>
    <w:p w14:paraId="5C756BBC" w14:textId="77777777" w:rsidR="00EA4D10" w:rsidRPr="00EA4D10" w:rsidRDefault="00EA4D10" w:rsidP="00AD58CD">
      <w:pPr>
        <w:numPr>
          <w:ilvl w:val="0"/>
          <w:numId w:val="235"/>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Формальная или дифференциальная приватность. Увеличение шумового фона базы данных замаскирующим информацию, при этом данные позволительно обрабатывать.</w:t>
      </w:r>
    </w:p>
    <w:p w14:paraId="1FB300A3" w14:textId="77777777" w:rsidR="00EA4D10" w:rsidRPr="00EA4D10" w:rsidRDefault="00EA4D10" w:rsidP="00AD58CD">
      <w:pPr>
        <w:numPr>
          <w:ilvl w:val="0"/>
          <w:numId w:val="235"/>
        </w:numPr>
        <w:spacing w:after="0" w:line="240" w:lineRule="auto"/>
        <w:ind w:left="0"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Гомоморфное шифрование. Проверка, изменить, или дополнить данные без их расшифровки.</w:t>
      </w:r>
    </w:p>
    <w:p w14:paraId="312C31ED"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Заключение.</w:t>
      </w:r>
    </w:p>
    <w:p w14:paraId="07841A3B"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 xml:space="preserve">Касаемо актуальных вызовов информационной безопасности искусственных нейронных сетей, то усовершенствование форм защиты и проведение доступных исследований в области искусственных нейронных сетей, одна из ключевых задач, встающих в процессе разработки ИНС, это обеспечение адекватной модели доверия пользователя к системе. Проанализировав искусственные нейронные системы и глубинные алгоритмы, установлено, что такие </w:t>
      </w:r>
      <w:r w:rsidRPr="00EA4D10">
        <w:rPr>
          <w:rFonts w:ascii="Times New Roman" w:eastAsia="Times New Roman" w:hAnsi="Times New Roman" w:cs="Times New Roman"/>
          <w:sz w:val="32"/>
          <w:szCs w:val="32"/>
        </w:rPr>
        <w:lastRenderedPageBreak/>
        <w:t>проблемы как конкурирующие атаки, переобучение, смешанная интерпретация и утечка информации, невозможно решить по отдельности.</w:t>
      </w:r>
    </w:p>
    <w:p w14:paraId="71EF07B2"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Искусственный интеллект, как ничто другое, требует периодической настройки и оптимизации, а также пересмотра для каждого нового успешного применения. Безусловно, использование ИНС в некоторых уже отработанных сферах позволит повысить доверие общественности и снизить риски использования систем ИИ. Существенным барьером для внедрения реалистичных систем ИИ рядом экспертов рассматриваются децентрализованное обучение и автономный поиск пропорционально устойчивых сетевых архитектур, аналога свободного межсетевого пространства применяется в сжимающих отношениях между нейронными сетями и базами их данных.</w:t>
      </w:r>
    </w:p>
    <w:p w14:paraId="7A0735B1" w14:textId="77777777" w:rsidR="00EA4D10" w:rsidRPr="00EA4D10" w:rsidRDefault="00EA4D10" w:rsidP="00EA4D10">
      <w:pPr>
        <w:spacing w:after="0" w:line="240" w:lineRule="auto"/>
        <w:ind w:firstLine="709"/>
        <w:contextualSpacing/>
        <w:jc w:val="both"/>
        <w:rPr>
          <w:rFonts w:ascii="Times New Roman" w:eastAsia="Times New Roman" w:hAnsi="Times New Roman" w:cs="Times New Roman"/>
          <w:sz w:val="32"/>
          <w:szCs w:val="32"/>
        </w:rPr>
      </w:pPr>
      <w:r w:rsidRPr="00EA4D10">
        <w:rPr>
          <w:rFonts w:ascii="Times New Roman" w:eastAsia="Times New Roman" w:hAnsi="Times New Roman" w:cs="Times New Roman"/>
          <w:sz w:val="32"/>
          <w:szCs w:val="32"/>
        </w:rPr>
        <w:t>В результате, сущность социального ИИ и адекватной алгоритмической интерпретации будет известна в дальнейшем, когда разница между безопасной и надежной нейросетевой системой ИИ будет пересматриваться на современные требования.</w:t>
      </w:r>
    </w:p>
    <w:p w14:paraId="01A3B53A" w14:textId="77777777" w:rsidR="00EA4D10" w:rsidRPr="00EA4D10" w:rsidRDefault="00EA4D10" w:rsidP="00EA4D10">
      <w:pPr>
        <w:spacing w:after="0" w:line="240" w:lineRule="auto"/>
        <w:contextualSpacing/>
        <w:jc w:val="center"/>
        <w:rPr>
          <w:rFonts w:ascii="Times New Roman" w:eastAsia="Times New Roman" w:hAnsi="Times New Roman" w:cs="Times New Roman"/>
          <w:b/>
          <w:bCs/>
          <w:sz w:val="21"/>
          <w:szCs w:val="21"/>
        </w:rPr>
      </w:pPr>
    </w:p>
    <w:p w14:paraId="006C112B" w14:textId="6C8D5774" w:rsidR="00EA4D10" w:rsidRPr="00EA4D10" w:rsidRDefault="00195C5C" w:rsidP="00195C5C">
      <w:pPr>
        <w:spacing w:after="0" w:line="240" w:lineRule="auto"/>
        <w:contextualSpacing/>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Л</w:t>
      </w:r>
      <w:r w:rsidR="00EA4D10" w:rsidRPr="00EA4D10">
        <w:rPr>
          <w:rFonts w:ascii="Times New Roman" w:eastAsia="Times New Roman" w:hAnsi="Times New Roman" w:cs="Times New Roman"/>
          <w:b/>
          <w:bCs/>
          <w:sz w:val="21"/>
          <w:szCs w:val="21"/>
        </w:rPr>
        <w:t>итература</w:t>
      </w:r>
      <w:r>
        <w:rPr>
          <w:rFonts w:ascii="Times New Roman" w:eastAsia="Times New Roman" w:hAnsi="Times New Roman" w:cs="Times New Roman"/>
          <w:b/>
          <w:bCs/>
          <w:sz w:val="21"/>
          <w:szCs w:val="21"/>
        </w:rPr>
        <w:t>:</w:t>
      </w:r>
    </w:p>
    <w:p w14:paraId="4CDB60B5" w14:textId="77777777" w:rsidR="00EA4D10" w:rsidRPr="00EA4D10" w:rsidRDefault="00EA4D10" w:rsidP="00AD58CD">
      <w:pPr>
        <w:numPr>
          <w:ilvl w:val="0"/>
          <w:numId w:val="236"/>
        </w:numPr>
        <w:spacing w:after="0" w:line="240" w:lineRule="auto"/>
        <w:contextualSpacing/>
        <w:rPr>
          <w:rFonts w:ascii="Times New Roman" w:eastAsia="Times New Roman" w:hAnsi="Times New Roman" w:cs="Times New Roman"/>
          <w:sz w:val="21"/>
          <w:szCs w:val="21"/>
        </w:rPr>
      </w:pPr>
      <w:r w:rsidRPr="00EA4D10">
        <w:rPr>
          <w:rFonts w:ascii="Times New Roman" w:eastAsia="Times New Roman" w:hAnsi="Times New Roman" w:cs="Times New Roman"/>
          <w:sz w:val="21"/>
          <w:szCs w:val="21"/>
          <w:lang w:val="en-US"/>
        </w:rPr>
        <w:t>TechInsider</w:t>
      </w:r>
      <w:r w:rsidRPr="00EA4D10">
        <w:rPr>
          <w:rFonts w:ascii="Times New Roman" w:eastAsia="Times New Roman" w:hAnsi="Times New Roman" w:cs="Times New Roman"/>
          <w:sz w:val="21"/>
          <w:szCs w:val="21"/>
        </w:rPr>
        <w:t>, Крупный новостной сайт в сфере ИТ</w:t>
      </w:r>
    </w:p>
    <w:p w14:paraId="1719ED0A" w14:textId="77777777" w:rsidR="00EA4D10" w:rsidRPr="00EA4D10" w:rsidRDefault="00EA4D10" w:rsidP="00AD58CD">
      <w:pPr>
        <w:numPr>
          <w:ilvl w:val="0"/>
          <w:numId w:val="236"/>
        </w:numPr>
        <w:spacing w:after="0" w:line="240" w:lineRule="auto"/>
        <w:contextualSpacing/>
        <w:rPr>
          <w:rFonts w:ascii="Times New Roman" w:eastAsia="Times New Roman" w:hAnsi="Times New Roman" w:cs="Times New Roman"/>
          <w:sz w:val="21"/>
          <w:szCs w:val="21"/>
        </w:rPr>
      </w:pPr>
      <w:r w:rsidRPr="00EA4D10">
        <w:rPr>
          <w:rFonts w:ascii="Times New Roman" w:eastAsia="Times New Roman" w:hAnsi="Times New Roman" w:cs="Times New Roman"/>
          <w:sz w:val="21"/>
          <w:szCs w:val="21"/>
        </w:rPr>
        <w:t>Блог компании AIRI, Состязательные атаки на промышленный ИИ и способы защиты от них</w:t>
      </w:r>
    </w:p>
    <w:p w14:paraId="58A7455D" w14:textId="77777777" w:rsidR="00EA4D10" w:rsidRPr="00EA4D10" w:rsidRDefault="00EA4D10" w:rsidP="00AD58CD">
      <w:pPr>
        <w:numPr>
          <w:ilvl w:val="0"/>
          <w:numId w:val="236"/>
        </w:numPr>
        <w:spacing w:after="0" w:line="240" w:lineRule="auto"/>
        <w:contextualSpacing/>
        <w:rPr>
          <w:rFonts w:ascii="Times New Roman" w:eastAsia="Times New Roman" w:hAnsi="Times New Roman" w:cs="Times New Roman"/>
          <w:sz w:val="21"/>
          <w:szCs w:val="21"/>
        </w:rPr>
      </w:pPr>
      <w:r w:rsidRPr="00EA4D10">
        <w:rPr>
          <w:rFonts w:ascii="Times New Roman" w:eastAsia="Times New Roman" w:hAnsi="Times New Roman" w:cs="Times New Roman"/>
          <w:sz w:val="21"/>
          <w:szCs w:val="21"/>
        </w:rPr>
        <w:t>Л.А. Лютикова, Использование логических методов для анализа решенийнейронной сети</w:t>
      </w:r>
    </w:p>
    <w:p w14:paraId="7A7B9619" w14:textId="77777777" w:rsidR="000023BD" w:rsidRDefault="000023BD" w:rsidP="006A4D6F">
      <w:pPr>
        <w:spacing w:line="240" w:lineRule="auto"/>
        <w:jc w:val="both"/>
        <w:rPr>
          <w:rFonts w:ascii="Times New Roman" w:eastAsia="Calibri" w:hAnsi="Times New Roman" w:cs="Times New Roman"/>
          <w:sz w:val="21"/>
          <w:szCs w:val="21"/>
        </w:rPr>
      </w:pPr>
    </w:p>
    <w:p w14:paraId="662BCF76" w14:textId="27942264" w:rsidR="006A4D6F" w:rsidRPr="006A4D6F" w:rsidRDefault="006A4D6F" w:rsidP="006A4D6F">
      <w:pPr>
        <w:spacing w:line="240" w:lineRule="auto"/>
        <w:contextualSpacing/>
        <w:jc w:val="right"/>
        <w:rPr>
          <w:rFonts w:ascii="Times New Roman" w:eastAsia="Calibri" w:hAnsi="Times New Roman" w:cs="Times New Roman"/>
          <w:b/>
          <w:i/>
          <w:color w:val="000000"/>
          <w:sz w:val="21"/>
          <w:szCs w:val="21"/>
        </w:rPr>
      </w:pPr>
      <w:r w:rsidRPr="006A4D6F">
        <w:rPr>
          <w:rFonts w:ascii="Times New Roman" w:eastAsia="Calibri" w:hAnsi="Times New Roman" w:cs="Times New Roman"/>
          <w:b/>
          <w:i/>
          <w:color w:val="000000"/>
          <w:sz w:val="21"/>
          <w:szCs w:val="21"/>
        </w:rPr>
        <w:t>Вилисов П.Ю</w:t>
      </w:r>
      <w:r w:rsidR="00EA4D10">
        <w:rPr>
          <w:rFonts w:ascii="Times New Roman" w:eastAsia="Calibri" w:hAnsi="Times New Roman" w:cs="Times New Roman"/>
          <w:b/>
          <w:i/>
          <w:color w:val="000000"/>
          <w:sz w:val="21"/>
          <w:szCs w:val="21"/>
        </w:rPr>
        <w:t>.,</w:t>
      </w:r>
    </w:p>
    <w:p w14:paraId="39C2BDE2" w14:textId="77777777"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rPr>
        <w:t>студент 2-го курса</w:t>
      </w:r>
    </w:p>
    <w:p w14:paraId="0D3E811C" w14:textId="77777777" w:rsidR="009D6EA4" w:rsidRDefault="009D6EA4" w:rsidP="006A4D6F">
      <w:pPr>
        <w:spacing w:line="240" w:lineRule="auto"/>
        <w:contextualSpacing/>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090B5A08" w14:textId="546A4DFB"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rPr>
        <w:t>г. Краснодар, Россия</w:t>
      </w:r>
    </w:p>
    <w:p w14:paraId="1389AD5D" w14:textId="77777777"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lang w:val="en-US"/>
        </w:rPr>
        <w:t>e</w:t>
      </w:r>
      <w:r w:rsidRPr="006A4D6F">
        <w:rPr>
          <w:rFonts w:ascii="Times New Roman" w:eastAsia="Calibri" w:hAnsi="Times New Roman" w:cs="Times New Roman"/>
          <w:i/>
          <w:color w:val="000000"/>
          <w:sz w:val="21"/>
          <w:szCs w:val="21"/>
        </w:rPr>
        <w:t>-</w:t>
      </w:r>
      <w:r w:rsidRPr="006A4D6F">
        <w:rPr>
          <w:rFonts w:ascii="Times New Roman" w:eastAsia="Calibri" w:hAnsi="Times New Roman" w:cs="Times New Roman"/>
          <w:i/>
          <w:color w:val="000000"/>
          <w:sz w:val="21"/>
          <w:szCs w:val="21"/>
          <w:lang w:val="en-US"/>
        </w:rPr>
        <w:t>mail</w:t>
      </w:r>
      <w:r w:rsidRPr="006A4D6F">
        <w:rPr>
          <w:rFonts w:ascii="Times New Roman" w:eastAsia="Calibri" w:hAnsi="Times New Roman" w:cs="Times New Roman"/>
          <w:i/>
          <w:color w:val="000000"/>
          <w:sz w:val="21"/>
          <w:szCs w:val="21"/>
        </w:rPr>
        <w:t>:</w:t>
      </w:r>
      <w:r w:rsidRPr="006A4D6F">
        <w:rPr>
          <w:rFonts w:ascii="Calibri" w:eastAsia="Calibri" w:hAnsi="Calibri" w:cs="Times New Roman"/>
        </w:rPr>
        <w:t xml:space="preserve"> </w:t>
      </w:r>
      <w:hyperlink r:id="rId473" w:history="1">
        <w:r w:rsidRPr="006A4D6F">
          <w:rPr>
            <w:rFonts w:ascii="Times New Roman" w:eastAsia="Calibri" w:hAnsi="Times New Roman" w:cs="Times New Roman"/>
            <w:i/>
            <w:color w:val="0000FF"/>
            <w:sz w:val="21"/>
            <w:szCs w:val="21"/>
            <w:u w:val="single"/>
            <w:lang w:val="en-US"/>
          </w:rPr>
          <w:t>vilisov</w:t>
        </w:r>
        <w:r w:rsidRPr="006A4D6F">
          <w:rPr>
            <w:rFonts w:ascii="Times New Roman" w:eastAsia="Calibri" w:hAnsi="Times New Roman" w:cs="Times New Roman"/>
            <w:i/>
            <w:color w:val="0000FF"/>
            <w:sz w:val="21"/>
            <w:szCs w:val="21"/>
            <w:u w:val="single"/>
          </w:rPr>
          <w:t>05@</w:t>
        </w:r>
        <w:r w:rsidRPr="006A4D6F">
          <w:rPr>
            <w:rFonts w:ascii="Times New Roman" w:eastAsia="Calibri" w:hAnsi="Times New Roman" w:cs="Times New Roman"/>
            <w:i/>
            <w:color w:val="0000FF"/>
            <w:sz w:val="21"/>
            <w:szCs w:val="21"/>
            <w:u w:val="single"/>
            <w:lang w:val="en-US"/>
          </w:rPr>
          <w:t>inbox</w:t>
        </w:r>
        <w:r w:rsidRPr="006A4D6F">
          <w:rPr>
            <w:rFonts w:ascii="Times New Roman" w:eastAsia="Calibri" w:hAnsi="Times New Roman" w:cs="Times New Roman"/>
            <w:i/>
            <w:color w:val="0000FF"/>
            <w:sz w:val="21"/>
            <w:szCs w:val="21"/>
            <w:u w:val="single"/>
          </w:rPr>
          <w:t>.</w:t>
        </w:r>
        <w:r w:rsidRPr="006A4D6F">
          <w:rPr>
            <w:rFonts w:ascii="Times New Roman" w:eastAsia="Calibri" w:hAnsi="Times New Roman" w:cs="Times New Roman"/>
            <w:i/>
            <w:color w:val="0000FF"/>
            <w:sz w:val="21"/>
            <w:szCs w:val="21"/>
            <w:u w:val="single"/>
            <w:lang w:val="en-US"/>
          </w:rPr>
          <w:t>ru</w:t>
        </w:r>
      </w:hyperlink>
    </w:p>
    <w:p w14:paraId="23CC9510" w14:textId="77777777"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p>
    <w:p w14:paraId="7A7F5D34" w14:textId="77777777" w:rsidR="006A4D6F" w:rsidRPr="006A4D6F" w:rsidRDefault="006A4D6F" w:rsidP="006A4D6F">
      <w:pPr>
        <w:spacing w:line="240" w:lineRule="auto"/>
        <w:contextualSpacing/>
        <w:jc w:val="right"/>
        <w:rPr>
          <w:rFonts w:ascii="Times New Roman" w:eastAsia="Calibri" w:hAnsi="Times New Roman" w:cs="Times New Roman"/>
          <w:b/>
          <w:i/>
          <w:color w:val="000000"/>
          <w:sz w:val="21"/>
          <w:szCs w:val="21"/>
        </w:rPr>
      </w:pPr>
      <w:r w:rsidRPr="006A4D6F">
        <w:rPr>
          <w:rFonts w:ascii="Times New Roman" w:eastAsia="Calibri" w:hAnsi="Times New Roman" w:cs="Times New Roman"/>
          <w:b/>
          <w:i/>
          <w:color w:val="000000"/>
          <w:sz w:val="21"/>
          <w:szCs w:val="21"/>
        </w:rPr>
        <w:t>Научный руководитель:</w:t>
      </w:r>
    </w:p>
    <w:p w14:paraId="03277E4B" w14:textId="77777777" w:rsidR="006A4D6F" w:rsidRPr="006A4D6F" w:rsidRDefault="006A4D6F" w:rsidP="006A4D6F">
      <w:pPr>
        <w:spacing w:line="240" w:lineRule="auto"/>
        <w:contextualSpacing/>
        <w:jc w:val="right"/>
        <w:rPr>
          <w:rFonts w:ascii="Times New Roman" w:eastAsia="Calibri" w:hAnsi="Times New Roman" w:cs="Times New Roman"/>
          <w:b/>
          <w:i/>
          <w:color w:val="000000"/>
          <w:sz w:val="21"/>
          <w:szCs w:val="21"/>
        </w:rPr>
      </w:pPr>
      <w:r w:rsidRPr="006A4D6F">
        <w:rPr>
          <w:rFonts w:ascii="Times New Roman" w:eastAsia="Calibri" w:hAnsi="Times New Roman" w:cs="Times New Roman"/>
          <w:b/>
          <w:i/>
          <w:color w:val="000000"/>
          <w:sz w:val="21"/>
          <w:szCs w:val="21"/>
        </w:rPr>
        <w:t>Ищенко О.В.</w:t>
      </w:r>
    </w:p>
    <w:p w14:paraId="1D24B407" w14:textId="77777777"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rPr>
        <w:t>​​</w:t>
      </w:r>
      <w:r w:rsidRPr="006A4D6F">
        <w:rPr>
          <w:rFonts w:ascii="Calibri" w:eastAsia="Calibri" w:hAnsi="Calibri" w:cs="Times New Roman"/>
          <w:i/>
          <w:color w:val="000000"/>
        </w:rPr>
        <w:t xml:space="preserve"> </w:t>
      </w:r>
      <w:r w:rsidRPr="006A4D6F">
        <w:rPr>
          <w:rFonts w:ascii="Times New Roman" w:eastAsia="Calibri" w:hAnsi="Times New Roman" w:cs="Times New Roman"/>
          <w:i/>
          <w:color w:val="000000"/>
          <w:sz w:val="21"/>
          <w:szCs w:val="21"/>
        </w:rPr>
        <w:t>Доцент,</w:t>
      </w:r>
      <w:r w:rsidRPr="006A4D6F">
        <w:rPr>
          <w:rFonts w:ascii="Calibri" w:eastAsia="Calibri" w:hAnsi="Calibri" w:cs="Times New Roman"/>
          <w:color w:val="000000"/>
        </w:rPr>
        <w:t xml:space="preserve"> </w:t>
      </w:r>
      <w:r w:rsidRPr="006A4D6F">
        <w:rPr>
          <w:rFonts w:ascii="Times New Roman" w:eastAsia="Calibri" w:hAnsi="Times New Roman" w:cs="Times New Roman"/>
          <w:i/>
          <w:color w:val="000000"/>
          <w:sz w:val="21"/>
          <w:szCs w:val="21"/>
        </w:rPr>
        <w:t>к.э.н.</w:t>
      </w:r>
    </w:p>
    <w:p w14:paraId="1F95A94E" w14:textId="77777777" w:rsidR="009D6EA4" w:rsidRDefault="009D6EA4" w:rsidP="006A4D6F">
      <w:pPr>
        <w:spacing w:line="240" w:lineRule="auto"/>
        <w:contextualSpacing/>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1AECC11" w14:textId="0A5FFDBB"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rPr>
        <w:t>г. Краснодар, Россия</w:t>
      </w:r>
    </w:p>
    <w:p w14:paraId="69D78635" w14:textId="77777777" w:rsidR="006A4D6F" w:rsidRPr="006A4D6F" w:rsidRDefault="006A4D6F" w:rsidP="006A4D6F">
      <w:pPr>
        <w:spacing w:line="240" w:lineRule="auto"/>
        <w:contextualSpacing/>
        <w:jc w:val="right"/>
        <w:rPr>
          <w:rFonts w:ascii="Times New Roman" w:eastAsia="Calibri" w:hAnsi="Times New Roman" w:cs="Times New Roman"/>
          <w:i/>
          <w:color w:val="000000"/>
          <w:sz w:val="21"/>
          <w:szCs w:val="21"/>
        </w:rPr>
      </w:pPr>
      <w:r w:rsidRPr="006A4D6F">
        <w:rPr>
          <w:rFonts w:ascii="Times New Roman" w:eastAsia="Calibri" w:hAnsi="Times New Roman" w:cs="Times New Roman"/>
          <w:i/>
          <w:color w:val="000000"/>
          <w:sz w:val="21"/>
          <w:szCs w:val="21"/>
          <w:lang w:val="en-US"/>
        </w:rPr>
        <w:t>e</w:t>
      </w:r>
      <w:r w:rsidRPr="006A4D6F">
        <w:rPr>
          <w:rFonts w:ascii="Times New Roman" w:eastAsia="Calibri" w:hAnsi="Times New Roman" w:cs="Times New Roman"/>
          <w:i/>
          <w:color w:val="000000"/>
          <w:sz w:val="21"/>
          <w:szCs w:val="21"/>
        </w:rPr>
        <w:t>-</w:t>
      </w:r>
      <w:r w:rsidRPr="006A4D6F">
        <w:rPr>
          <w:rFonts w:ascii="Times New Roman" w:eastAsia="Calibri" w:hAnsi="Times New Roman" w:cs="Times New Roman"/>
          <w:i/>
          <w:color w:val="000000"/>
          <w:sz w:val="21"/>
          <w:szCs w:val="21"/>
          <w:lang w:val="en-US"/>
        </w:rPr>
        <w:t>mail</w:t>
      </w:r>
      <w:r w:rsidRPr="006A4D6F">
        <w:rPr>
          <w:rFonts w:ascii="Times New Roman" w:eastAsia="Calibri" w:hAnsi="Times New Roman" w:cs="Times New Roman"/>
          <w:i/>
          <w:color w:val="000000"/>
          <w:sz w:val="21"/>
          <w:szCs w:val="21"/>
        </w:rPr>
        <w:t xml:space="preserve">: </w:t>
      </w:r>
      <w:hyperlink r:id="rId474" w:history="1">
        <w:r w:rsidRPr="006A4D6F">
          <w:rPr>
            <w:rFonts w:ascii="Times New Roman" w:eastAsia="Calibri" w:hAnsi="Times New Roman" w:cs="Times New Roman"/>
            <w:i/>
            <w:color w:val="0000FF"/>
            <w:sz w:val="21"/>
            <w:szCs w:val="21"/>
            <w:u w:val="single"/>
          </w:rPr>
          <w:t>OVishchenko@fa.ru</w:t>
        </w:r>
      </w:hyperlink>
    </w:p>
    <w:p w14:paraId="0C449DE3" w14:textId="77777777" w:rsidR="006A4D6F" w:rsidRPr="006A4D6F" w:rsidRDefault="006A4D6F" w:rsidP="006A4D6F">
      <w:pPr>
        <w:spacing w:after="320" w:line="240" w:lineRule="auto"/>
        <w:ind w:firstLine="709"/>
        <w:contextualSpacing/>
        <w:jc w:val="center"/>
        <w:rPr>
          <w:rFonts w:ascii="Times New Roman" w:eastAsia="Calibri" w:hAnsi="Times New Roman" w:cs="Times New Roman"/>
          <w:b/>
          <w:color w:val="000000"/>
          <w:sz w:val="21"/>
          <w:szCs w:val="21"/>
        </w:rPr>
      </w:pPr>
    </w:p>
    <w:p w14:paraId="3F69BFE4" w14:textId="77777777" w:rsidR="006A4D6F" w:rsidRPr="006A4D6F" w:rsidRDefault="006A4D6F" w:rsidP="006A4D6F">
      <w:pPr>
        <w:spacing w:after="320" w:line="240" w:lineRule="auto"/>
        <w:ind w:firstLine="709"/>
        <w:contextualSpacing/>
        <w:jc w:val="center"/>
        <w:rPr>
          <w:rFonts w:ascii="Times New Roman" w:eastAsia="Calibri" w:hAnsi="Times New Roman" w:cs="Times New Roman"/>
          <w:b/>
          <w:color w:val="000000"/>
          <w:sz w:val="21"/>
          <w:szCs w:val="21"/>
        </w:rPr>
      </w:pPr>
      <w:r w:rsidRPr="006A4D6F">
        <w:rPr>
          <w:rFonts w:ascii="Times New Roman" w:eastAsia="Calibri" w:hAnsi="Times New Roman" w:cs="Times New Roman"/>
          <w:b/>
          <w:color w:val="000000"/>
          <w:sz w:val="21"/>
          <w:szCs w:val="21"/>
        </w:rPr>
        <w:t>Генерация контента при помощи искусственного интеллекта: угроза для копирайтеров или новые возможности?</w:t>
      </w:r>
    </w:p>
    <w:p w14:paraId="56F37108" w14:textId="77777777" w:rsidR="006A4D6F" w:rsidRPr="006A4D6F" w:rsidRDefault="006A4D6F" w:rsidP="006A4D6F">
      <w:pPr>
        <w:spacing w:after="320" w:line="240" w:lineRule="auto"/>
        <w:ind w:firstLine="709"/>
        <w:contextualSpacing/>
        <w:jc w:val="center"/>
        <w:rPr>
          <w:rFonts w:ascii="Times New Roman" w:eastAsia="Calibri" w:hAnsi="Times New Roman" w:cs="Times New Roman"/>
          <w:b/>
          <w:color w:val="000000"/>
          <w:sz w:val="21"/>
          <w:szCs w:val="21"/>
        </w:rPr>
      </w:pPr>
    </w:p>
    <w:p w14:paraId="54442CA0" w14:textId="77777777" w:rsidR="006A4D6F" w:rsidRPr="006A4D6F" w:rsidRDefault="006A4D6F" w:rsidP="006A4D6F">
      <w:pPr>
        <w:spacing w:after="320" w:line="240" w:lineRule="auto"/>
        <w:ind w:firstLine="709"/>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b/>
          <w:color w:val="000000"/>
          <w:sz w:val="21"/>
          <w:szCs w:val="21"/>
        </w:rPr>
        <w:t>Аннотация</w:t>
      </w:r>
      <w:r w:rsidRPr="006A4D6F">
        <w:rPr>
          <w:rFonts w:ascii="Times New Roman" w:eastAsia="Calibri" w:hAnsi="Times New Roman" w:cs="Times New Roman"/>
          <w:color w:val="000000"/>
          <w:sz w:val="21"/>
          <w:szCs w:val="21"/>
        </w:rPr>
        <w:t>. В статье исследуется влияние искусственного интеллекта на профессию копирайтера, анализируя возможности и ограничения ИИ-генерации контента. Изложены ключевые преимущества и недостатки ИИ, копирайтера. Описан оптимальный вариант достижений общей цели – «симбиоз» копирайтера с ИИ.</w:t>
      </w:r>
    </w:p>
    <w:p w14:paraId="5670E578" w14:textId="77777777" w:rsidR="006A4D6F" w:rsidRPr="006A4D6F" w:rsidRDefault="006A4D6F" w:rsidP="006A4D6F">
      <w:pPr>
        <w:spacing w:after="320" w:line="240" w:lineRule="auto"/>
        <w:ind w:firstLine="709"/>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b/>
          <w:color w:val="000000"/>
          <w:sz w:val="21"/>
          <w:szCs w:val="21"/>
        </w:rPr>
        <w:t xml:space="preserve">Ключевые слова: </w:t>
      </w:r>
      <w:r w:rsidRPr="006A4D6F">
        <w:rPr>
          <w:rFonts w:ascii="Times New Roman" w:eastAsia="Calibri" w:hAnsi="Times New Roman" w:cs="Times New Roman"/>
          <w:color w:val="000000"/>
          <w:sz w:val="21"/>
          <w:szCs w:val="21"/>
        </w:rPr>
        <w:t>Искусственный интеллект, копирайтер, контент, генерация контента</w:t>
      </w:r>
    </w:p>
    <w:p w14:paraId="44200349" w14:textId="77777777" w:rsidR="006A4D6F" w:rsidRPr="006A4D6F" w:rsidRDefault="006A4D6F" w:rsidP="006A4D6F">
      <w:pPr>
        <w:spacing w:after="320" w:line="240" w:lineRule="auto"/>
        <w:ind w:firstLine="709"/>
        <w:contextualSpacing/>
        <w:jc w:val="both"/>
        <w:rPr>
          <w:rFonts w:ascii="Times New Roman" w:eastAsia="Calibri" w:hAnsi="Times New Roman" w:cs="Times New Roman"/>
          <w:color w:val="000000"/>
          <w:sz w:val="21"/>
          <w:szCs w:val="21"/>
        </w:rPr>
      </w:pPr>
    </w:p>
    <w:p w14:paraId="1B2AE76E" w14:textId="082270C2" w:rsidR="006A4D6F" w:rsidRPr="00654CF2" w:rsidRDefault="006A4D6F" w:rsidP="006A4D6F">
      <w:pPr>
        <w:spacing w:after="320" w:line="240" w:lineRule="auto"/>
        <w:ind w:firstLine="709"/>
        <w:contextualSpacing/>
        <w:jc w:val="right"/>
        <w:rPr>
          <w:rFonts w:ascii="Times New Roman" w:eastAsia="Calibri" w:hAnsi="Times New Roman" w:cs="Times New Roman"/>
          <w:b/>
          <w:i/>
          <w:color w:val="000000"/>
          <w:sz w:val="21"/>
          <w:szCs w:val="21"/>
          <w:lang w:val="en-US"/>
        </w:rPr>
      </w:pPr>
      <w:r w:rsidRPr="006A4D6F">
        <w:rPr>
          <w:rFonts w:ascii="Times New Roman" w:eastAsia="Calibri" w:hAnsi="Times New Roman" w:cs="Times New Roman"/>
          <w:b/>
          <w:i/>
          <w:color w:val="000000"/>
          <w:sz w:val="21"/>
          <w:szCs w:val="21"/>
          <w:lang w:val="en-US"/>
        </w:rPr>
        <w:t>Vilisov P.Yu</w:t>
      </w:r>
      <w:r w:rsidR="009F4748" w:rsidRPr="00654CF2">
        <w:rPr>
          <w:rFonts w:ascii="Times New Roman" w:eastAsia="Calibri" w:hAnsi="Times New Roman" w:cs="Times New Roman"/>
          <w:b/>
          <w:i/>
          <w:color w:val="000000"/>
          <w:sz w:val="21"/>
          <w:szCs w:val="21"/>
          <w:lang w:val="en-US"/>
        </w:rPr>
        <w:t>.,</w:t>
      </w:r>
    </w:p>
    <w:p w14:paraId="57FD2D9E"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2nd year student</w:t>
      </w:r>
    </w:p>
    <w:p w14:paraId="26CBEB41"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 xml:space="preserve">Financial University under the Government of the Russian Federation (Krasnodar branch) </w:t>
      </w:r>
    </w:p>
    <w:p w14:paraId="780CE2D1"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lastRenderedPageBreak/>
        <w:t>Krasnodar, Russia</w:t>
      </w:r>
    </w:p>
    <w:p w14:paraId="216673B3"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 xml:space="preserve">e-mail: </w:t>
      </w:r>
      <w:hyperlink r:id="rId475" w:history="1">
        <w:r w:rsidRPr="006A4D6F">
          <w:rPr>
            <w:rFonts w:ascii="Times New Roman" w:eastAsia="Calibri" w:hAnsi="Times New Roman" w:cs="Times New Roman"/>
            <w:i/>
            <w:color w:val="0000FF"/>
            <w:sz w:val="21"/>
            <w:szCs w:val="21"/>
            <w:u w:val="single"/>
            <w:lang w:val="en-US"/>
          </w:rPr>
          <w:t>vilisov05@inbox.ru</w:t>
        </w:r>
      </w:hyperlink>
    </w:p>
    <w:p w14:paraId="72715298"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b/>
          <w:i/>
          <w:color w:val="000000"/>
          <w:sz w:val="21"/>
          <w:szCs w:val="21"/>
          <w:lang w:val="en-US"/>
        </w:rPr>
      </w:pPr>
    </w:p>
    <w:p w14:paraId="007A96BF"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b/>
          <w:i/>
          <w:color w:val="000000"/>
          <w:sz w:val="21"/>
          <w:szCs w:val="21"/>
          <w:lang w:val="en-US"/>
        </w:rPr>
      </w:pPr>
      <w:r w:rsidRPr="006A4D6F">
        <w:rPr>
          <w:rFonts w:ascii="Times New Roman" w:eastAsia="Calibri" w:hAnsi="Times New Roman" w:cs="Times New Roman"/>
          <w:b/>
          <w:i/>
          <w:color w:val="000000"/>
          <w:sz w:val="21"/>
          <w:szCs w:val="21"/>
          <w:lang w:val="en-US"/>
        </w:rPr>
        <w:t>Scientific Adviser:</w:t>
      </w:r>
    </w:p>
    <w:p w14:paraId="79F5C4DF" w14:textId="2C4C8850" w:rsidR="006A4D6F" w:rsidRPr="00654CF2" w:rsidRDefault="006A4D6F" w:rsidP="006A4D6F">
      <w:pPr>
        <w:spacing w:after="320" w:line="240" w:lineRule="auto"/>
        <w:ind w:firstLine="709"/>
        <w:contextualSpacing/>
        <w:jc w:val="right"/>
        <w:rPr>
          <w:rFonts w:ascii="Times New Roman" w:eastAsia="Calibri" w:hAnsi="Times New Roman" w:cs="Times New Roman"/>
          <w:b/>
          <w:i/>
          <w:color w:val="000000"/>
          <w:sz w:val="21"/>
          <w:szCs w:val="21"/>
          <w:lang w:val="en-US"/>
        </w:rPr>
      </w:pPr>
      <w:r w:rsidRPr="006A4D6F">
        <w:rPr>
          <w:rFonts w:ascii="Times New Roman" w:eastAsia="Calibri" w:hAnsi="Times New Roman" w:cs="Times New Roman"/>
          <w:b/>
          <w:i/>
          <w:color w:val="000000"/>
          <w:sz w:val="21"/>
          <w:szCs w:val="21"/>
          <w:lang w:val="en-US"/>
        </w:rPr>
        <w:t>O.V. Ishchenko.</w:t>
      </w:r>
      <w:r w:rsidR="009F4748" w:rsidRPr="00654CF2">
        <w:rPr>
          <w:rFonts w:ascii="Times New Roman" w:eastAsia="Calibri" w:hAnsi="Times New Roman" w:cs="Times New Roman"/>
          <w:b/>
          <w:i/>
          <w:color w:val="000000"/>
          <w:sz w:val="21"/>
          <w:szCs w:val="21"/>
          <w:lang w:val="en-US"/>
        </w:rPr>
        <w:t>,</w:t>
      </w:r>
    </w:p>
    <w:p w14:paraId="648E94A6"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Associate Professor, Candidate of Economics</w:t>
      </w:r>
    </w:p>
    <w:p w14:paraId="4CE9906D"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Financial University under the Government of the Russian Federation (Krasnodar branch)</w:t>
      </w:r>
    </w:p>
    <w:p w14:paraId="3756838F"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Krasnodar, Russia</w:t>
      </w:r>
    </w:p>
    <w:p w14:paraId="0D01D640" w14:textId="77777777" w:rsidR="006A4D6F" w:rsidRPr="006A4D6F" w:rsidRDefault="006A4D6F" w:rsidP="006A4D6F">
      <w:pPr>
        <w:spacing w:after="320" w:line="240" w:lineRule="auto"/>
        <w:ind w:firstLine="709"/>
        <w:contextualSpacing/>
        <w:jc w:val="right"/>
        <w:rPr>
          <w:rFonts w:ascii="Times New Roman" w:eastAsia="Calibri" w:hAnsi="Times New Roman" w:cs="Times New Roman"/>
          <w:i/>
          <w:color w:val="000000"/>
          <w:sz w:val="21"/>
          <w:szCs w:val="21"/>
          <w:lang w:val="en-US"/>
        </w:rPr>
      </w:pPr>
      <w:r w:rsidRPr="006A4D6F">
        <w:rPr>
          <w:rFonts w:ascii="Times New Roman" w:eastAsia="Calibri" w:hAnsi="Times New Roman" w:cs="Times New Roman"/>
          <w:i/>
          <w:color w:val="000000"/>
          <w:sz w:val="21"/>
          <w:szCs w:val="21"/>
          <w:lang w:val="en-US"/>
        </w:rPr>
        <w:t xml:space="preserve">e-mail: </w:t>
      </w:r>
      <w:hyperlink r:id="rId476" w:history="1">
        <w:r w:rsidRPr="006A4D6F">
          <w:rPr>
            <w:rFonts w:ascii="Times New Roman" w:eastAsia="Calibri" w:hAnsi="Times New Roman" w:cs="Times New Roman"/>
            <w:i/>
            <w:color w:val="0000FF"/>
            <w:sz w:val="21"/>
            <w:szCs w:val="21"/>
            <w:u w:val="single"/>
            <w:lang w:val="en-US"/>
          </w:rPr>
          <w:t>OVishchenko@fa.ru</w:t>
        </w:r>
      </w:hyperlink>
    </w:p>
    <w:p w14:paraId="1A850BCD" w14:textId="77777777" w:rsidR="006A4D6F" w:rsidRPr="006A4D6F" w:rsidRDefault="006A4D6F" w:rsidP="006A4D6F">
      <w:pPr>
        <w:spacing w:line="240" w:lineRule="auto"/>
        <w:contextualSpacing/>
        <w:jc w:val="both"/>
        <w:rPr>
          <w:rFonts w:ascii="Times New Roman" w:eastAsia="Calibri" w:hAnsi="Times New Roman" w:cs="Times New Roman"/>
          <w:color w:val="000000"/>
          <w:sz w:val="21"/>
          <w:szCs w:val="21"/>
          <w:lang w:val="en-US"/>
        </w:rPr>
      </w:pPr>
    </w:p>
    <w:p w14:paraId="7D2273F0" w14:textId="77777777" w:rsidR="006A4D6F" w:rsidRPr="006A4D6F" w:rsidRDefault="006A4D6F" w:rsidP="006A4D6F">
      <w:pPr>
        <w:spacing w:line="240" w:lineRule="auto"/>
        <w:ind w:firstLine="709"/>
        <w:contextualSpacing/>
        <w:jc w:val="center"/>
        <w:rPr>
          <w:rFonts w:ascii="Times New Roman" w:eastAsia="Calibri" w:hAnsi="Times New Roman" w:cs="Times New Roman"/>
          <w:b/>
          <w:color w:val="000000"/>
          <w:sz w:val="21"/>
          <w:szCs w:val="21"/>
          <w:lang w:val="en-US"/>
        </w:rPr>
      </w:pPr>
      <w:r w:rsidRPr="006A4D6F">
        <w:rPr>
          <w:rFonts w:ascii="Times New Roman" w:eastAsia="Calibri" w:hAnsi="Times New Roman" w:cs="Times New Roman"/>
          <w:b/>
          <w:color w:val="000000"/>
          <w:sz w:val="21"/>
          <w:szCs w:val="21"/>
          <w:lang w:val="en-US"/>
        </w:rPr>
        <w:t>Content generation with artificial intelligence: a threat to copywriters or a new opportunity?</w:t>
      </w:r>
    </w:p>
    <w:p w14:paraId="2DC6AE6E" w14:textId="77777777" w:rsidR="006A4D6F" w:rsidRPr="006A4D6F" w:rsidRDefault="006A4D6F" w:rsidP="006A4D6F">
      <w:pPr>
        <w:spacing w:line="240" w:lineRule="auto"/>
        <w:ind w:firstLine="709"/>
        <w:contextualSpacing/>
        <w:jc w:val="center"/>
        <w:rPr>
          <w:rFonts w:ascii="Times New Roman" w:eastAsia="Calibri" w:hAnsi="Times New Roman" w:cs="Times New Roman"/>
          <w:b/>
          <w:color w:val="000000"/>
          <w:sz w:val="21"/>
          <w:szCs w:val="21"/>
          <w:lang w:val="en-US"/>
        </w:rPr>
      </w:pPr>
    </w:p>
    <w:p w14:paraId="3A1E8FB2"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21"/>
          <w:szCs w:val="21"/>
          <w:lang w:val="en-US"/>
        </w:rPr>
      </w:pPr>
      <w:r w:rsidRPr="006A4D6F">
        <w:rPr>
          <w:rFonts w:ascii="Times New Roman" w:eastAsia="Calibri" w:hAnsi="Times New Roman" w:cs="Times New Roman"/>
          <w:b/>
          <w:color w:val="000000"/>
          <w:sz w:val="21"/>
          <w:szCs w:val="21"/>
          <w:lang w:val="en-US"/>
        </w:rPr>
        <w:t>Annotation.</w:t>
      </w:r>
      <w:r w:rsidRPr="006A4D6F">
        <w:rPr>
          <w:rFonts w:ascii="Times New Roman" w:eastAsia="Calibri" w:hAnsi="Times New Roman" w:cs="Times New Roman"/>
          <w:color w:val="000000"/>
          <w:sz w:val="21"/>
          <w:szCs w:val="21"/>
          <w:lang w:val="en-US"/>
        </w:rPr>
        <w:t xml:space="preserve"> The article explores the impact of artificial intelligence on the copywriting profession by analyzing the opportunities and limitations of AI content generation. The key advantages and disadvantages of AI, copywriter </w:t>
      </w:r>
      <w:proofErr w:type="gramStart"/>
      <w:r w:rsidRPr="006A4D6F">
        <w:rPr>
          <w:rFonts w:ascii="Times New Roman" w:eastAsia="Calibri" w:hAnsi="Times New Roman" w:cs="Times New Roman"/>
          <w:color w:val="000000"/>
          <w:sz w:val="21"/>
          <w:szCs w:val="21"/>
          <w:lang w:val="en-US"/>
        </w:rPr>
        <w:t>are</w:t>
      </w:r>
      <w:proofErr w:type="gramEnd"/>
      <w:r w:rsidRPr="006A4D6F">
        <w:rPr>
          <w:rFonts w:ascii="Times New Roman" w:eastAsia="Calibri" w:hAnsi="Times New Roman" w:cs="Times New Roman"/>
          <w:color w:val="000000"/>
          <w:sz w:val="21"/>
          <w:szCs w:val="21"/>
          <w:lang w:val="en-US"/>
        </w:rPr>
        <w:t xml:space="preserve"> outlined. The optimal option for achieving the common goal of “symbiosis” between copywriter and AI is described.</w:t>
      </w:r>
    </w:p>
    <w:p w14:paraId="417B826B"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21"/>
          <w:szCs w:val="21"/>
          <w:lang w:val="en-US"/>
        </w:rPr>
      </w:pPr>
      <w:r w:rsidRPr="006A4D6F">
        <w:rPr>
          <w:rFonts w:ascii="Times New Roman" w:eastAsia="Calibri" w:hAnsi="Times New Roman" w:cs="Times New Roman"/>
          <w:b/>
          <w:color w:val="000000"/>
          <w:sz w:val="21"/>
          <w:szCs w:val="21"/>
          <w:lang w:val="en-US"/>
        </w:rPr>
        <w:t xml:space="preserve">Keywords: </w:t>
      </w:r>
      <w:r w:rsidRPr="006A4D6F">
        <w:rPr>
          <w:rFonts w:ascii="Times New Roman" w:eastAsia="Calibri" w:hAnsi="Times New Roman" w:cs="Times New Roman"/>
          <w:color w:val="000000"/>
          <w:sz w:val="21"/>
          <w:szCs w:val="21"/>
          <w:lang w:val="en-US"/>
        </w:rPr>
        <w:t>Artificial Intelligence, copywriter, content, content generation</w:t>
      </w:r>
    </w:p>
    <w:p w14:paraId="3A472C25" w14:textId="77777777" w:rsidR="006A4D6F" w:rsidRPr="006A4D6F" w:rsidRDefault="006A4D6F" w:rsidP="006A4D6F">
      <w:pPr>
        <w:rPr>
          <w:rFonts w:ascii="Calibri" w:eastAsia="Calibri" w:hAnsi="Calibri" w:cs="Times New Roman"/>
          <w:color w:val="000000"/>
          <w:lang w:val="en-US"/>
        </w:rPr>
      </w:pPr>
    </w:p>
    <w:p w14:paraId="57756926"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Искусственный интеллект (ИИ) кардинально преобразовал множество сфер деятельности. Продвинутые системы генерации контента, такие как ChatGPT и DeepSeek, достигли уровня, когда они могут обрабатывать и создавать тексты, которые производились бы человеком гораздо дольше - от статей и художественных произведений до стихотворений и программного кода. Это технологическое достижение ставит перед обществом серьезные вопросы о потенциальных изменениях на рынке труда, особенно в сфере профессионального создания контента. Поэтому крайне важно рассмотреть влияние генерации контента с помощью ИИ на работу копирайтеров и изучить, действительно ли профессия копирайтера так важна в наши дни. [3]. </w:t>
      </w:r>
    </w:p>
    <w:p w14:paraId="4E4FAB40"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Копирайтер - специалист, создающий текст для решения маркетинговых задач. Его цель – с помощью слов влиять на целевую аудиторию: убеждать, информировать, побуждать к действию (покупке, регистрации и т.д). Копирайтеры могут создавать различные виды контента, такие как рекламные объявления, описание товаров, статьи, сценарии и многое другое. Это не просто «писатель», а человек, обладающий хорошей грамотностью, навыками письма, пониманием маркетинга и психологии.</w:t>
      </w:r>
    </w:p>
    <w:p w14:paraId="616984EC"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Копирайтинг как профессия начала развиваться в конце XIX века с ростом рекламы и массовой печати. В начале XX века рекламные тексты становились важной частью маркетинга, а такие личности, как Давид Огилви, заложили основы рекламного искусства. С развитием интернета в конце XX века профессия адаптировалась к новым условиям: появились веб-сайты, SEO, контент-маркетинг [2].</w:t>
      </w:r>
    </w:p>
    <w:p w14:paraId="281D474C" w14:textId="17D32F04"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lastRenderedPageBreak/>
        <w:t>Углубляясь в определение искусственного</w:t>
      </w:r>
      <w:r>
        <w:rPr>
          <w:rFonts w:ascii="Times New Roman" w:eastAsia="Calibri" w:hAnsi="Times New Roman" w:cs="Times New Roman"/>
          <w:color w:val="000000"/>
          <w:sz w:val="32"/>
          <w:szCs w:val="32"/>
        </w:rPr>
        <w:t xml:space="preserve"> </w:t>
      </w:r>
      <w:r w:rsidRPr="006A4D6F">
        <w:rPr>
          <w:rFonts w:ascii="Times New Roman" w:eastAsia="Calibri" w:hAnsi="Times New Roman" w:cs="Times New Roman"/>
          <w:color w:val="000000"/>
          <w:sz w:val="32"/>
          <w:szCs w:val="32"/>
        </w:rPr>
        <w:t>интеллекта</w:t>
      </w:r>
      <w:r>
        <w:rPr>
          <w:rFonts w:ascii="Times New Roman" w:eastAsia="Calibri" w:hAnsi="Times New Roman" w:cs="Times New Roman"/>
          <w:color w:val="000000"/>
          <w:sz w:val="32"/>
          <w:szCs w:val="32"/>
        </w:rPr>
        <w:t>,</w:t>
      </w:r>
      <w:r w:rsidRPr="006A4D6F">
        <w:rPr>
          <w:rFonts w:ascii="Times New Roman" w:eastAsia="Calibri" w:hAnsi="Times New Roman" w:cs="Times New Roman"/>
          <w:color w:val="000000"/>
          <w:sz w:val="32"/>
          <w:szCs w:val="32"/>
        </w:rPr>
        <w:t xml:space="preserve"> можно сказать, что он представляет собой сложную компьютерную систему, созданную для воспроизведения когнитивных функций человеческого сознания. В основе его работы лежит способность обрабатывать колоссальные объемы информации из разнообразных источников, применяя передовые алгоритмы машинного обучения и нейронных сетей для глубокого анализа данных. Результаты такой обработки становятся основой для автономного принятия решений машинами или роботами. Это означает, что системы ИИ могут использоваться для обработки языка, распознавания изображений, понимания естественного языка, решения задач и многого другого.</w:t>
      </w:r>
    </w:p>
    <w:p w14:paraId="0645083A"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История ИИ началась с идей о создании умных машин в античности. В XIX веке Чарльз Бэббидж разработал аналитическую машину, предшественницу компьютера, в свою очередь Ада Лавлейс написала первый алгоритм. В XX веке Алан Тьюринг создал теоретическую модель вычислительной машины и предложил тест для оценки её интеллекта. В 1956 году на конференции в Дартмуте появился термин "искусственный интеллект". Именно на данной встрече группа исследователей решила, что изучение искусственного интеллекта требует статуса отдельной научной дисциплины. Уже в 1960-х создаются первые программы для решения задач и шахмат, а в 1980-х развиваются нейронные сети. В 1990-х из-за ограниченных технологий интерес к ИИ немного угас. С 2000-х годов ИИ снова переживает возрождение благодаря улучшению алгоритмов и мощностей [1].</w:t>
      </w:r>
    </w:p>
    <w:p w14:paraId="215955D7"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Несмотря на прогресс в технологиях автоматического создания различного контента и текстов, живые авторы остаются незаменимыми – и на это существует ряд причин [5]:</w:t>
      </w:r>
    </w:p>
    <w:p w14:paraId="7B3ED87E" w14:textId="77777777" w:rsidR="006A4D6F" w:rsidRPr="006A4D6F" w:rsidRDefault="006A4D6F" w:rsidP="006A4D6F">
      <w:pPr>
        <w:spacing w:line="240" w:lineRule="auto"/>
        <w:ind w:firstLine="709"/>
        <w:contextualSpacing/>
        <w:jc w:val="both"/>
        <w:rPr>
          <w:rFonts w:ascii="Times New Roman" w:eastAsia="Calibri" w:hAnsi="Times New Roman" w:cs="Times New Roman"/>
          <w:bCs/>
          <w:color w:val="000000"/>
          <w:sz w:val="32"/>
          <w:szCs w:val="32"/>
        </w:rPr>
      </w:pPr>
      <w:r w:rsidRPr="006A4D6F">
        <w:rPr>
          <w:rFonts w:ascii="Times New Roman" w:eastAsia="Calibri" w:hAnsi="Times New Roman" w:cs="Times New Roman"/>
          <w:bCs/>
          <w:color w:val="000000"/>
          <w:sz w:val="32"/>
          <w:szCs w:val="32"/>
        </w:rPr>
        <w:t>1) Трудности, связанные с креативностью.</w:t>
      </w:r>
    </w:p>
    <w:p w14:paraId="35044D3D" w14:textId="77777777" w:rsidR="006A4D6F" w:rsidRPr="006A4D6F" w:rsidRDefault="006A4D6F" w:rsidP="006A4D6F">
      <w:pPr>
        <w:spacing w:line="240" w:lineRule="auto"/>
        <w:contextualSpacing/>
        <w:jc w:val="both"/>
        <w:rPr>
          <w:rFonts w:ascii="Times New Roman" w:eastAsia="Calibri" w:hAnsi="Times New Roman" w:cs="Times New Roman"/>
          <w:bCs/>
          <w:color w:val="000000"/>
          <w:sz w:val="32"/>
          <w:szCs w:val="32"/>
        </w:rPr>
      </w:pPr>
      <w:r w:rsidRPr="006A4D6F">
        <w:rPr>
          <w:rFonts w:ascii="Times New Roman" w:eastAsia="Calibri" w:hAnsi="Times New Roman" w:cs="Times New Roman"/>
          <w:bCs/>
          <w:color w:val="000000"/>
          <w:sz w:val="32"/>
          <w:szCs w:val="32"/>
        </w:rPr>
        <w:t>Это одно из самых значимых ограничений искусственного интеллекта. Алгоритмы ИИ мастерски сочетают уже известные идеи, но им недоступна подлинная новизна. Они не могут создавать идеи "с нуля", интуитивно чувствовать свежие творческие импульсы или выразить глубокую эмоциональную окраску. Например, ИИ с лёгкостью сгенерирует стихотворение по заданному шаблону, подберёт рифмы со словами, но он не способен написать стих, рожденный из личной драмы или душевного подъема человека.</w:t>
      </w:r>
    </w:p>
    <w:p w14:paraId="0113F38F"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bCs/>
          <w:color w:val="000000"/>
          <w:sz w:val="32"/>
          <w:szCs w:val="32"/>
        </w:rPr>
        <w:t>2) Поверхностное понимание контекста.</w:t>
      </w:r>
      <w:r w:rsidRPr="006A4D6F">
        <w:rPr>
          <w:rFonts w:ascii="Times New Roman" w:eastAsia="Calibri" w:hAnsi="Times New Roman" w:cs="Times New Roman"/>
          <w:color w:val="000000"/>
          <w:sz w:val="32"/>
          <w:szCs w:val="32"/>
        </w:rPr>
        <w:t xml:space="preserve"> </w:t>
      </w:r>
    </w:p>
    <w:p w14:paraId="7573529E"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lastRenderedPageBreak/>
        <w:t>ИИ плохо справляется с распознаванием нюансов – он "видит" слова, но не всегда улавливает их подтекст. Так, например в 2020 году рекламный алгоритм Twitter не смог отличить сатирический пост ("Северная Корея - самая демократичная страна") и начал показывать рекламу Samsung с этим "позитивным" контентом.</w:t>
      </w:r>
    </w:p>
    <w:p w14:paraId="643574E7" w14:textId="77777777" w:rsidR="006A4D6F" w:rsidRPr="006A4D6F" w:rsidRDefault="006A4D6F" w:rsidP="006A4D6F">
      <w:pPr>
        <w:spacing w:line="240" w:lineRule="auto"/>
        <w:ind w:firstLine="709"/>
        <w:contextualSpacing/>
        <w:jc w:val="both"/>
        <w:rPr>
          <w:rFonts w:ascii="Times New Roman" w:eastAsia="Calibri" w:hAnsi="Times New Roman" w:cs="Times New Roman"/>
          <w:bCs/>
          <w:color w:val="000000"/>
          <w:sz w:val="32"/>
          <w:szCs w:val="32"/>
        </w:rPr>
      </w:pPr>
      <w:r w:rsidRPr="006A4D6F">
        <w:rPr>
          <w:rFonts w:ascii="Times New Roman" w:eastAsia="Calibri" w:hAnsi="Times New Roman" w:cs="Times New Roman"/>
          <w:bCs/>
          <w:color w:val="000000"/>
          <w:sz w:val="32"/>
          <w:szCs w:val="32"/>
        </w:rPr>
        <w:t>3) Усреднённое восприятие аудитории.</w:t>
      </w:r>
    </w:p>
    <w:p w14:paraId="71D2B0E2"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Большинство ИИ-моделей ориентируются на "среднего пользователя", игнорируя уникальные характеристики конкретной целевой группы. Например, если написать статью о здоровье для пожилых людей, искусственный интеллект может использовать жаргон, более подходящий для молодёжи, что снизит доверие к материалу статьи у людей более старшего поколения.</w:t>
      </w:r>
    </w:p>
    <w:p w14:paraId="3AD8CEAE"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bCs/>
          <w:color w:val="000000"/>
          <w:sz w:val="32"/>
          <w:szCs w:val="32"/>
        </w:rPr>
        <w:t>4) Отсутствие личной вовлеченности.</w:t>
      </w:r>
      <w:r w:rsidRPr="006A4D6F">
        <w:rPr>
          <w:rFonts w:ascii="Times New Roman" w:eastAsia="Calibri" w:hAnsi="Times New Roman" w:cs="Times New Roman"/>
          <w:color w:val="000000"/>
          <w:sz w:val="32"/>
          <w:szCs w:val="32"/>
        </w:rPr>
        <w:t xml:space="preserve"> </w:t>
      </w:r>
    </w:p>
    <w:p w14:paraId="2A7DB75D"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Искусственный интеллект не может почувствовать «вдохновения», он не сможет переживать и обрабатывать эмоции как человек. Если журналист, пишущий репортаж с места событий, вовлечён в происходящее, то ИИ бездушно перерабатывает факты из новостей, иногда не понимая, насколько серьёзный посыл они несут.</w:t>
      </w:r>
    </w:p>
    <w:p w14:paraId="33F02F92" w14:textId="77777777" w:rsidR="006A4D6F" w:rsidRPr="006A4D6F" w:rsidRDefault="006A4D6F" w:rsidP="006A4D6F">
      <w:pPr>
        <w:spacing w:line="240" w:lineRule="auto"/>
        <w:ind w:firstLine="709"/>
        <w:contextualSpacing/>
        <w:jc w:val="both"/>
        <w:rPr>
          <w:rFonts w:ascii="Times New Roman" w:eastAsia="Calibri" w:hAnsi="Times New Roman" w:cs="Times New Roman"/>
          <w:bCs/>
          <w:color w:val="000000"/>
          <w:sz w:val="32"/>
          <w:szCs w:val="32"/>
        </w:rPr>
      </w:pPr>
      <w:r w:rsidRPr="006A4D6F">
        <w:rPr>
          <w:rFonts w:ascii="Times New Roman" w:eastAsia="Calibri" w:hAnsi="Times New Roman" w:cs="Times New Roman"/>
          <w:bCs/>
          <w:color w:val="000000"/>
          <w:sz w:val="32"/>
          <w:szCs w:val="32"/>
        </w:rPr>
        <w:t>5) Юридические и моральные дилеммы.</w:t>
      </w:r>
    </w:p>
    <w:p w14:paraId="205DC424"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Автоматизированные системы генерации текста нередко влекут за собой проблемы с правами на контент и его достоверностью. На практике регулярно встречаются ситуации, когда нейросети используют чужие, защищённые авторским правом, формулировки или распространяет устаревшие, недостоверные данные.</w:t>
      </w:r>
    </w:p>
    <w:p w14:paraId="483A5339"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У искусственного интеллекта достаточно своих недостатков и ограничений, но это не значит, что у него нет преимуществ, таких как: [4]:</w:t>
      </w:r>
    </w:p>
    <w:p w14:paraId="009789C1"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1) Высокая скорость обработки данных.</w:t>
      </w:r>
    </w:p>
    <w:p w14:paraId="508C4EA2"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Искусственный интеллект способен за считаные секунды подготавливать связные и грамотно оформленные тексты по самым разным тематикам. Один из наглядных примеров – это опыт сетевого онлайн-магазина во время распродажи Black Friday в 2023 году, где для создания 5,000 уникальных карточек товаров всего за 3 часа - задача, которая у команды копирайтеров заняла бы не менее двух недель, а может быть и больше. </w:t>
      </w:r>
    </w:p>
    <w:p w14:paraId="31B18C6C" w14:textId="77777777" w:rsidR="006A4D6F" w:rsidRPr="006A4D6F" w:rsidRDefault="006A4D6F" w:rsidP="006A4D6F">
      <w:pPr>
        <w:spacing w:line="240" w:lineRule="auto"/>
        <w:ind w:left="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2) Возможность масштабирования.</w:t>
      </w:r>
    </w:p>
    <w:p w14:paraId="0364DBF0"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Автоматизированные информационные системы обладают устойчивой производительностью при обработке значительных массивов данных. Это позволяет сохранять единообразие стилевых и </w:t>
      </w:r>
      <w:r w:rsidRPr="006A4D6F">
        <w:rPr>
          <w:rFonts w:ascii="Times New Roman" w:eastAsia="Calibri" w:hAnsi="Times New Roman" w:cs="Times New Roman"/>
          <w:color w:val="000000"/>
          <w:sz w:val="32"/>
          <w:szCs w:val="32"/>
        </w:rPr>
        <w:lastRenderedPageBreak/>
        <w:t>композиционных решений при создании тысяч текстов в рамках одного проекта, даже при нагрузке 10 000 запросов в минуту.</w:t>
      </w:r>
    </w:p>
    <w:p w14:paraId="4F562B5A" w14:textId="77777777" w:rsidR="006A4D6F" w:rsidRPr="006A4D6F" w:rsidRDefault="006A4D6F" w:rsidP="006A4D6F">
      <w:pPr>
        <w:spacing w:line="240" w:lineRule="auto"/>
        <w:ind w:left="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3) Непрерывная работоспособность.</w:t>
      </w:r>
    </w:p>
    <w:p w14:paraId="37C9F922"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Нейросети способны работать 24/7 без перерыва на отдых. Они не имеют чувства усталости и способны работать круглосуточно, достаточно иметь подключенное электричество и доступ в интернет.</w:t>
      </w:r>
    </w:p>
    <w:p w14:paraId="5A67543C" w14:textId="77777777" w:rsidR="006A4D6F" w:rsidRPr="006A4D6F" w:rsidRDefault="006A4D6F" w:rsidP="006A4D6F">
      <w:pPr>
        <w:spacing w:line="240" w:lineRule="auto"/>
        <w:ind w:left="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4) Применение аналитических механизмов.</w:t>
      </w:r>
    </w:p>
    <w:p w14:paraId="49175531"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Многие современные ИИ-платформы интегрированы с инструментами анализа пользовательских предпочтений. Это позволяет им адаптироваться к актуальным тенденциям и учитывать поведение аудитории при создании контента. </w:t>
      </w:r>
    </w:p>
    <w:p w14:paraId="1F2C1903"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Чтобы изучить характеристики работы искусственного интеллекта и копирайтеров, следует рассмотреть данную сравнительную диаграмму:</w:t>
      </w:r>
    </w:p>
    <w:p w14:paraId="79C84441" w14:textId="77777777" w:rsidR="006A4D6F" w:rsidRPr="006A4D6F" w:rsidRDefault="006A4D6F" w:rsidP="006A4D6F">
      <w:pPr>
        <w:spacing w:line="240" w:lineRule="auto"/>
        <w:contextualSpacing/>
        <w:jc w:val="both"/>
        <w:rPr>
          <w:rFonts w:ascii="Times New Roman" w:eastAsia="Calibri" w:hAnsi="Times New Roman" w:cs="Times New Roman"/>
          <w:color w:val="000000"/>
          <w:sz w:val="32"/>
          <w:szCs w:val="32"/>
        </w:rPr>
      </w:pPr>
    </w:p>
    <w:p w14:paraId="12EF6C59" w14:textId="77777777" w:rsidR="006A4D6F" w:rsidRPr="006A4D6F" w:rsidRDefault="006A4D6F" w:rsidP="006A4D6F">
      <w:pPr>
        <w:tabs>
          <w:tab w:val="left" w:pos="0"/>
        </w:tabs>
        <w:contextualSpacing/>
        <w:jc w:val="center"/>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    </w:t>
      </w:r>
      <w:r w:rsidRPr="006A4D6F">
        <w:rPr>
          <w:rFonts w:ascii="Times New Roman" w:eastAsia="Calibri" w:hAnsi="Times New Roman" w:cs="Times New Roman"/>
          <w:noProof/>
          <w:color w:val="000000"/>
          <w:sz w:val="32"/>
          <w:szCs w:val="32"/>
          <w:lang w:eastAsia="ru-RU"/>
        </w:rPr>
        <w:drawing>
          <wp:inline distT="0" distB="0" distL="0" distR="0" wp14:anchorId="253540A7" wp14:editId="06FE1246">
            <wp:extent cx="4876800" cy="2876550"/>
            <wp:effectExtent l="19050" t="0" r="19050" b="0"/>
            <wp:docPr id="31512945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7"/>
              </a:graphicData>
            </a:graphic>
          </wp:inline>
        </w:drawing>
      </w:r>
    </w:p>
    <w:p w14:paraId="061C5A31" w14:textId="77777777" w:rsidR="006A4D6F" w:rsidRPr="006A4D6F" w:rsidRDefault="006A4D6F" w:rsidP="006A4D6F">
      <w:pPr>
        <w:spacing w:line="240" w:lineRule="auto"/>
        <w:ind w:firstLine="709"/>
        <w:contextualSpacing/>
        <w:jc w:val="center"/>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Рисунок 1 - Сравнительная диаграмма: эффективность работы ИИ и копирайтера</w:t>
      </w:r>
    </w:p>
    <w:p w14:paraId="08BCC4B3"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Исходя из данных диаграммы, можно сделать вывод:</w:t>
      </w:r>
    </w:p>
    <w:p w14:paraId="4CD2B1A9"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Искусственный интеллект — это скорость, масштабируемость и эффективность в шаблонных задачах.</w:t>
      </w:r>
    </w:p>
    <w:p w14:paraId="49F687CC"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Копирайтер — креатив, эмоции и глубина, которые машине не под силу.</w:t>
      </w:r>
    </w:p>
    <w:p w14:paraId="11C46A10" w14:textId="3B36F04D"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r w:rsidRPr="006A4D6F">
        <w:rPr>
          <w:rFonts w:ascii="Times New Roman" w:eastAsia="Calibri" w:hAnsi="Times New Roman" w:cs="Times New Roman"/>
          <w:color w:val="000000"/>
          <w:sz w:val="32"/>
          <w:szCs w:val="32"/>
        </w:rPr>
        <w:t xml:space="preserve">Современная реальность цифрового контент-производства требует отказа от устаревшего в данной сфере конфликта "человек против алгоритма". Гораздо перспективнее выстраивать систему сотрудничества, где сильные стороны человека и машины взаимно </w:t>
      </w:r>
      <w:r w:rsidRPr="006A4D6F">
        <w:rPr>
          <w:rFonts w:ascii="Times New Roman" w:eastAsia="Calibri" w:hAnsi="Times New Roman" w:cs="Times New Roman"/>
          <w:color w:val="000000"/>
          <w:sz w:val="32"/>
          <w:szCs w:val="32"/>
        </w:rPr>
        <w:lastRenderedPageBreak/>
        <w:t>дополняют друг друга.  Человек будет дорабатывать процесс создания текста, добавляя «душу». В свою очередь, ИИ будет ускорять процесс, достойно справляться с объемными, рутинными, техническими задачами. В некоторых редакциях, таких как Forbes, нейросети готовят первичные варианты новостей, освобождая время журналистам для глубоких аналитических материалов. Подобное решение максимально повысит эффективность написания и</w:t>
      </w:r>
      <w:r>
        <w:rPr>
          <w:rFonts w:ascii="Times New Roman" w:eastAsia="Calibri" w:hAnsi="Times New Roman" w:cs="Times New Roman"/>
          <w:color w:val="000000"/>
          <w:sz w:val="32"/>
          <w:szCs w:val="32"/>
        </w:rPr>
        <w:t xml:space="preserve"> </w:t>
      </w:r>
      <w:r w:rsidRPr="006A4D6F">
        <w:rPr>
          <w:rFonts w:ascii="Times New Roman" w:eastAsia="Calibri" w:hAnsi="Times New Roman" w:cs="Times New Roman"/>
          <w:color w:val="000000"/>
          <w:sz w:val="32"/>
          <w:szCs w:val="32"/>
        </w:rPr>
        <w:t>качество текстов. В будущем успех в копирайтинге будет зависеть от способности специалистов эффективно интегрировать ИИ-инструменты в свою работу, сохраняя при этом уникальные человеческие качества: креативность, эмпатию и способность к нестандартным решениям [5].</w:t>
      </w:r>
    </w:p>
    <w:p w14:paraId="3725B032" w14:textId="77777777" w:rsidR="006A4D6F" w:rsidRPr="006A4D6F" w:rsidRDefault="006A4D6F" w:rsidP="006A4D6F">
      <w:pPr>
        <w:spacing w:line="240" w:lineRule="auto"/>
        <w:ind w:firstLine="709"/>
        <w:contextualSpacing/>
        <w:jc w:val="both"/>
        <w:rPr>
          <w:rFonts w:ascii="Times New Roman" w:eastAsia="Calibri" w:hAnsi="Times New Roman" w:cs="Times New Roman"/>
          <w:color w:val="000000"/>
          <w:sz w:val="32"/>
          <w:szCs w:val="32"/>
        </w:rPr>
      </w:pPr>
    </w:p>
    <w:p w14:paraId="3BE53379" w14:textId="77777777" w:rsidR="006A4D6F" w:rsidRPr="006A4D6F" w:rsidRDefault="006A4D6F" w:rsidP="006A4D6F">
      <w:pPr>
        <w:spacing w:line="240" w:lineRule="auto"/>
        <w:contextualSpacing/>
        <w:jc w:val="center"/>
        <w:rPr>
          <w:rFonts w:ascii="Times New Roman" w:eastAsia="Calibri" w:hAnsi="Times New Roman" w:cs="Times New Roman"/>
          <w:b/>
          <w:bCs/>
          <w:color w:val="000000"/>
          <w:sz w:val="21"/>
          <w:szCs w:val="21"/>
        </w:rPr>
      </w:pPr>
      <w:r w:rsidRPr="006A4D6F">
        <w:rPr>
          <w:rFonts w:ascii="Times New Roman" w:eastAsia="Calibri" w:hAnsi="Times New Roman" w:cs="Times New Roman"/>
          <w:b/>
          <w:bCs/>
          <w:color w:val="000000"/>
          <w:sz w:val="21"/>
          <w:szCs w:val="21"/>
        </w:rPr>
        <w:t>Литература:</w:t>
      </w:r>
    </w:p>
    <w:p w14:paraId="62F48378"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color w:val="000000"/>
          <w:sz w:val="21"/>
          <w:szCs w:val="21"/>
        </w:rPr>
        <w:t>1. Учебное пособие: Системы искусственного интеллекта, 2-е изд., переработанное и дополненное. М.В.Воронов, В.И.Пименов, И.А.Небаев. 2025</w:t>
      </w:r>
    </w:p>
    <w:p w14:paraId="59647C9E"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rPr>
      </w:pPr>
      <w:bookmarkStart w:id="90" w:name="_Hlk198719945"/>
      <w:r w:rsidRPr="006A4D6F">
        <w:rPr>
          <w:rFonts w:ascii="Times New Roman" w:eastAsia="Calibri" w:hAnsi="Times New Roman" w:cs="Times New Roman"/>
          <w:color w:val="000000"/>
          <w:sz w:val="21"/>
          <w:szCs w:val="21"/>
        </w:rPr>
        <w:t>2. Франциско О.Ю., Молчан А.С. Автоматизация уровневой оценки экономической безопасности. - Краснодар, 2022. - 175 с.</w:t>
      </w:r>
      <w:bookmarkEnd w:id="90"/>
    </w:p>
    <w:p w14:paraId="7F0D940F"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lang w:val="en-US"/>
        </w:rPr>
      </w:pPr>
      <w:r w:rsidRPr="006A4D6F">
        <w:rPr>
          <w:rFonts w:ascii="Times New Roman" w:eastAsia="Calibri" w:hAnsi="Times New Roman" w:cs="Times New Roman"/>
          <w:color w:val="000000"/>
          <w:sz w:val="21"/>
          <w:szCs w:val="21"/>
          <w:lang w:val="en-US"/>
        </w:rPr>
        <w:t>3. Co-Intelligence. Living and Working With AI, by Ethan Mollick. 2024.</w:t>
      </w:r>
    </w:p>
    <w:p w14:paraId="46F5FB69"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color w:val="000000"/>
          <w:sz w:val="21"/>
          <w:szCs w:val="21"/>
          <w:lang w:val="en-US"/>
        </w:rPr>
        <w:t xml:space="preserve">4. Учебное пособие: Artificial Intelligence: A Modern Approach, 4th US ed. by Stuart Russell and Peter Norvig. </w:t>
      </w:r>
      <w:r w:rsidRPr="006A4D6F">
        <w:rPr>
          <w:rFonts w:ascii="Times New Roman" w:eastAsia="Calibri" w:hAnsi="Times New Roman" w:cs="Times New Roman"/>
          <w:color w:val="000000"/>
          <w:sz w:val="21"/>
          <w:szCs w:val="21"/>
        </w:rPr>
        <w:t>2022.</w:t>
      </w:r>
    </w:p>
    <w:p w14:paraId="65BABDA3"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color w:val="000000"/>
          <w:sz w:val="21"/>
          <w:szCs w:val="21"/>
        </w:rPr>
        <w:t>5. Учебное пособие: Копирайтинг. Д.А.Трищенко, Е.Д.Трищенко. 2025</w:t>
      </w:r>
    </w:p>
    <w:p w14:paraId="480A15E4" w14:textId="77777777" w:rsidR="006A4D6F" w:rsidRPr="006A4D6F" w:rsidRDefault="006A4D6F" w:rsidP="009D6EA4">
      <w:pPr>
        <w:spacing w:line="240" w:lineRule="auto"/>
        <w:ind w:right="-1"/>
        <w:contextualSpacing/>
        <w:jc w:val="both"/>
        <w:rPr>
          <w:rFonts w:ascii="Times New Roman" w:eastAsia="Calibri" w:hAnsi="Times New Roman" w:cs="Times New Roman"/>
          <w:color w:val="000000"/>
          <w:sz w:val="21"/>
          <w:szCs w:val="21"/>
        </w:rPr>
      </w:pPr>
      <w:r w:rsidRPr="006A4D6F">
        <w:rPr>
          <w:rFonts w:ascii="Times New Roman" w:eastAsia="Calibri" w:hAnsi="Times New Roman" w:cs="Times New Roman"/>
          <w:color w:val="000000"/>
          <w:sz w:val="21"/>
          <w:szCs w:val="21"/>
        </w:rPr>
        <w:t>6. Душа машины: Радикальный поворот к человекоподобию систем искусственного интеллекта. Пол Доэрти, Джеймс Уилсон. 2022.</w:t>
      </w:r>
    </w:p>
    <w:p w14:paraId="45F6B973" w14:textId="77777777" w:rsidR="006A4D6F" w:rsidRDefault="006A4D6F" w:rsidP="006A4D6F">
      <w:pPr>
        <w:spacing w:line="240" w:lineRule="auto"/>
        <w:contextualSpacing/>
        <w:jc w:val="both"/>
        <w:rPr>
          <w:rFonts w:ascii="Times New Roman" w:eastAsia="Calibri" w:hAnsi="Times New Roman" w:cs="Times New Roman"/>
          <w:color w:val="000000"/>
          <w:sz w:val="21"/>
          <w:szCs w:val="21"/>
        </w:rPr>
      </w:pPr>
    </w:p>
    <w:p w14:paraId="13DCF6CE" w14:textId="77777777" w:rsidR="006F2A74" w:rsidRPr="006F2A74" w:rsidRDefault="006F2A74" w:rsidP="006F2A74">
      <w:pPr>
        <w:suppressAutoHyphens/>
        <w:spacing w:after="0" w:line="240" w:lineRule="auto"/>
        <w:jc w:val="right"/>
        <w:rPr>
          <w:rFonts w:ascii="Times New Roman" w:eastAsia="Times New Roman" w:hAnsi="Times New Roman" w:cs="Times New Roman"/>
          <w:i/>
          <w:color w:val="000000"/>
          <w:sz w:val="21"/>
          <w:szCs w:val="21"/>
          <w:lang w:eastAsia="ar-SA"/>
        </w:rPr>
      </w:pPr>
      <w:r w:rsidRPr="006F2A74">
        <w:rPr>
          <w:rFonts w:ascii="Times New Roman" w:eastAsia="Times New Roman" w:hAnsi="Times New Roman" w:cs="Times New Roman"/>
          <w:b/>
          <w:i/>
          <w:color w:val="000000"/>
          <w:sz w:val="20"/>
          <w:szCs w:val="21"/>
          <w:lang w:eastAsia="ar-SA"/>
        </w:rPr>
        <w:t>Дужак В.К</w:t>
      </w:r>
      <w:r w:rsidRPr="006F2A74">
        <w:rPr>
          <w:rFonts w:ascii="Times New Roman" w:eastAsia="Times New Roman" w:hAnsi="Times New Roman" w:cs="Times New Roman"/>
          <w:b/>
          <w:i/>
          <w:color w:val="000000"/>
          <w:sz w:val="21"/>
          <w:szCs w:val="21"/>
          <w:lang w:eastAsia="ar-SA"/>
        </w:rPr>
        <w:t xml:space="preserve">., </w:t>
      </w:r>
    </w:p>
    <w:p w14:paraId="1EF4F08A" w14:textId="77777777" w:rsidR="006F2A74" w:rsidRPr="006F2A74" w:rsidRDefault="006F2A74" w:rsidP="007B1C30">
      <w:pPr>
        <w:suppressAutoHyphens/>
        <w:spacing w:after="0" w:line="240" w:lineRule="auto"/>
        <w:jc w:val="right"/>
        <w:rPr>
          <w:rFonts w:ascii="Times New Roman" w:eastAsia="Times New Roman" w:hAnsi="Times New Roman" w:cs="Times New Roman"/>
          <w:i/>
          <w:color w:val="000000"/>
          <w:sz w:val="21"/>
          <w:szCs w:val="21"/>
          <w:lang w:eastAsia="ar-SA"/>
        </w:rPr>
      </w:pPr>
      <w:r w:rsidRPr="006F2A74">
        <w:rPr>
          <w:rFonts w:ascii="Times New Roman" w:eastAsia="Times New Roman" w:hAnsi="Times New Roman" w:cs="Times New Roman"/>
          <w:i/>
          <w:color w:val="000000"/>
          <w:sz w:val="21"/>
          <w:szCs w:val="21"/>
          <w:lang w:eastAsia="ar-SA"/>
        </w:rPr>
        <w:t xml:space="preserve">студент 2 курса </w:t>
      </w:r>
    </w:p>
    <w:p w14:paraId="35BC9E59" w14:textId="77777777" w:rsidR="006F2A74" w:rsidRPr="006F2A74" w:rsidRDefault="006F2A74" w:rsidP="007B1C30">
      <w:pPr>
        <w:suppressAutoHyphens/>
        <w:spacing w:after="0" w:line="240" w:lineRule="auto"/>
        <w:jc w:val="right"/>
        <w:rPr>
          <w:rFonts w:ascii="Times New Roman" w:eastAsia="Times New Roman" w:hAnsi="Times New Roman" w:cs="Times New Roman"/>
          <w:i/>
          <w:color w:val="000000"/>
          <w:sz w:val="21"/>
          <w:szCs w:val="21"/>
          <w:lang w:eastAsia="ar-SA"/>
        </w:rPr>
      </w:pPr>
      <w:r w:rsidRPr="006F2A74">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2013895C" w14:textId="77777777" w:rsidR="006F2A74" w:rsidRPr="006F2A74" w:rsidRDefault="006F2A74" w:rsidP="007B1C30">
      <w:pPr>
        <w:suppressAutoHyphens/>
        <w:spacing w:after="0" w:line="240" w:lineRule="auto"/>
        <w:jc w:val="right"/>
        <w:rPr>
          <w:rFonts w:ascii="Times New Roman" w:eastAsia="Times New Roman" w:hAnsi="Times New Roman" w:cs="Times New Roman"/>
          <w:i/>
          <w:sz w:val="21"/>
          <w:szCs w:val="21"/>
          <w:lang w:eastAsia="ar-SA"/>
        </w:rPr>
      </w:pPr>
      <w:r w:rsidRPr="006F2A74">
        <w:rPr>
          <w:rFonts w:ascii="Times New Roman" w:eastAsia="Times New Roman" w:hAnsi="Times New Roman" w:cs="Times New Roman"/>
          <w:i/>
          <w:sz w:val="21"/>
          <w:szCs w:val="21"/>
          <w:lang w:eastAsia="ar-SA"/>
        </w:rPr>
        <w:t>г. Краснодар, Россия</w:t>
      </w:r>
    </w:p>
    <w:p w14:paraId="28895DC6" w14:textId="77777777" w:rsidR="006F2A74" w:rsidRPr="006F2A74" w:rsidRDefault="006F2A74" w:rsidP="007B1C30">
      <w:pPr>
        <w:spacing w:after="0" w:line="240" w:lineRule="auto"/>
        <w:jc w:val="right"/>
        <w:rPr>
          <w:rFonts w:ascii="Times New Roman" w:eastAsia="Times New Roman" w:hAnsi="Times New Roman" w:cs="Times New Roman"/>
          <w:i/>
          <w:sz w:val="21"/>
          <w:szCs w:val="21"/>
        </w:rPr>
      </w:pPr>
      <w:r w:rsidRPr="006F2A74">
        <w:rPr>
          <w:rFonts w:ascii="Times New Roman" w:eastAsia="Times New Roman" w:hAnsi="Times New Roman" w:cs="Times New Roman"/>
          <w:i/>
          <w:sz w:val="21"/>
          <w:szCs w:val="21"/>
        </w:rPr>
        <w:t>е-</w:t>
      </w:r>
      <w:r w:rsidRPr="006F2A74">
        <w:rPr>
          <w:rFonts w:ascii="Times New Roman" w:eastAsia="Times New Roman" w:hAnsi="Times New Roman" w:cs="Times New Roman"/>
          <w:i/>
          <w:sz w:val="21"/>
          <w:szCs w:val="21"/>
          <w:lang w:val="en-US"/>
        </w:rPr>
        <w:t>mail</w:t>
      </w:r>
      <w:r w:rsidRPr="006F2A74">
        <w:rPr>
          <w:rFonts w:ascii="Times New Roman" w:eastAsia="Times New Roman" w:hAnsi="Times New Roman" w:cs="Times New Roman"/>
          <w:i/>
          <w:sz w:val="21"/>
          <w:szCs w:val="21"/>
        </w:rPr>
        <w:t xml:space="preserve">: </w:t>
      </w:r>
      <w:r w:rsidRPr="006F2A74">
        <w:rPr>
          <w:rFonts w:ascii="Times New Roman" w:eastAsia="DengXian Light" w:hAnsi="Times New Roman" w:cs="Times New Roman"/>
          <w:i/>
          <w:sz w:val="21"/>
          <w:szCs w:val="21"/>
        </w:rPr>
        <w:t>100</w:t>
      </w:r>
      <w:r w:rsidRPr="006F2A74">
        <w:rPr>
          <w:rFonts w:ascii="Times New Roman" w:eastAsia="DengXian Light" w:hAnsi="Times New Roman" w:cs="Times New Roman"/>
          <w:i/>
          <w:sz w:val="21"/>
          <w:szCs w:val="21"/>
          <w:lang w:val="en-US"/>
        </w:rPr>
        <w:t>DOT</w:t>
      </w:r>
      <w:r w:rsidRPr="006F2A74">
        <w:rPr>
          <w:rFonts w:ascii="Times New Roman" w:eastAsia="DengXian Light" w:hAnsi="Times New Roman" w:cs="Times New Roman"/>
          <w:i/>
          <w:sz w:val="21"/>
          <w:szCs w:val="21"/>
        </w:rPr>
        <w:t>13</w:t>
      </w:r>
      <w:r w:rsidRPr="006F2A74">
        <w:rPr>
          <w:rFonts w:ascii="Times New Roman" w:eastAsia="DengXian Light" w:hAnsi="Times New Roman" w:cs="Times New Roman"/>
          <w:i/>
          <w:sz w:val="21"/>
          <w:szCs w:val="21"/>
          <w:lang w:val="en-US"/>
        </w:rPr>
        <w:t>SL</w:t>
      </w:r>
      <w:r w:rsidRPr="006F2A74">
        <w:rPr>
          <w:rFonts w:ascii="Times New Roman" w:eastAsia="DengXian Light" w:hAnsi="Times New Roman" w:cs="Times New Roman"/>
          <w:i/>
          <w:sz w:val="21"/>
          <w:szCs w:val="21"/>
        </w:rPr>
        <w:t>230273@</w:t>
      </w:r>
      <w:r w:rsidRPr="006F2A74">
        <w:rPr>
          <w:rFonts w:ascii="Times New Roman" w:eastAsia="DengXian Light" w:hAnsi="Times New Roman" w:cs="Times New Roman"/>
          <w:i/>
          <w:sz w:val="21"/>
          <w:szCs w:val="21"/>
          <w:lang w:val="en-US"/>
        </w:rPr>
        <w:t>edu</w:t>
      </w:r>
      <w:r w:rsidRPr="006F2A74">
        <w:rPr>
          <w:rFonts w:ascii="Times New Roman" w:eastAsia="DengXian Light" w:hAnsi="Times New Roman" w:cs="Times New Roman"/>
          <w:i/>
          <w:sz w:val="21"/>
          <w:szCs w:val="21"/>
        </w:rPr>
        <w:t>.</w:t>
      </w:r>
      <w:r w:rsidRPr="006F2A74">
        <w:rPr>
          <w:rFonts w:ascii="Times New Roman" w:eastAsia="DengXian Light" w:hAnsi="Times New Roman" w:cs="Times New Roman"/>
          <w:i/>
          <w:sz w:val="21"/>
          <w:szCs w:val="21"/>
          <w:lang w:val="en-US"/>
        </w:rPr>
        <w:t>fa</w:t>
      </w:r>
      <w:r w:rsidRPr="006F2A74">
        <w:rPr>
          <w:rFonts w:ascii="Times New Roman" w:eastAsia="DengXian Light" w:hAnsi="Times New Roman" w:cs="Times New Roman"/>
          <w:i/>
          <w:sz w:val="21"/>
          <w:szCs w:val="21"/>
        </w:rPr>
        <w:t>.</w:t>
      </w:r>
      <w:r w:rsidRPr="006F2A74">
        <w:rPr>
          <w:rFonts w:ascii="Times New Roman" w:eastAsia="DengXian Light" w:hAnsi="Times New Roman" w:cs="Times New Roman"/>
          <w:i/>
          <w:sz w:val="21"/>
          <w:szCs w:val="21"/>
          <w:lang w:val="en-US"/>
        </w:rPr>
        <w:t>ru</w:t>
      </w:r>
    </w:p>
    <w:p w14:paraId="38DF361E" w14:textId="77777777" w:rsidR="006F2A74" w:rsidRPr="006F2A74" w:rsidRDefault="006F2A74" w:rsidP="007B1C30">
      <w:pPr>
        <w:spacing w:after="0" w:line="240" w:lineRule="auto"/>
        <w:jc w:val="right"/>
        <w:rPr>
          <w:rFonts w:ascii="Times New Roman" w:eastAsia="Times New Roman" w:hAnsi="Times New Roman" w:cs="Times New Roman"/>
          <w:i/>
          <w:sz w:val="21"/>
          <w:szCs w:val="21"/>
        </w:rPr>
      </w:pPr>
    </w:p>
    <w:p w14:paraId="662BF7C9" w14:textId="77777777" w:rsidR="006F2A74" w:rsidRPr="006F2A74" w:rsidRDefault="006F2A74" w:rsidP="007B1C30">
      <w:pPr>
        <w:spacing w:after="0" w:line="240" w:lineRule="auto"/>
        <w:jc w:val="right"/>
        <w:rPr>
          <w:rFonts w:ascii="Times New Roman" w:eastAsia="Times New Roman" w:hAnsi="Times New Roman" w:cs="Times New Roman"/>
          <w:b/>
          <w:i/>
          <w:sz w:val="21"/>
          <w:szCs w:val="21"/>
        </w:rPr>
      </w:pPr>
      <w:r w:rsidRPr="006F2A74">
        <w:rPr>
          <w:rFonts w:ascii="Times New Roman" w:eastAsia="Times New Roman" w:hAnsi="Times New Roman" w:cs="Times New Roman"/>
          <w:b/>
          <w:i/>
          <w:sz w:val="21"/>
          <w:szCs w:val="21"/>
        </w:rPr>
        <w:t>Научный руководитель:</w:t>
      </w:r>
    </w:p>
    <w:p w14:paraId="3FCDC086" w14:textId="3C44B88B" w:rsidR="006F2A74" w:rsidRPr="006F2A74" w:rsidRDefault="006F2A74" w:rsidP="007B1C30">
      <w:pPr>
        <w:spacing w:after="0" w:line="240" w:lineRule="auto"/>
        <w:jc w:val="right"/>
        <w:rPr>
          <w:rFonts w:ascii="Times New Roman" w:eastAsia="Times New Roman" w:hAnsi="Times New Roman" w:cs="Times New Roman"/>
          <w:b/>
          <w:i/>
          <w:sz w:val="21"/>
          <w:szCs w:val="21"/>
        </w:rPr>
      </w:pPr>
      <w:r w:rsidRPr="006F2A74">
        <w:rPr>
          <w:rFonts w:ascii="Times New Roman" w:eastAsia="Times New Roman" w:hAnsi="Times New Roman" w:cs="Times New Roman"/>
          <w:b/>
          <w:i/>
          <w:sz w:val="21"/>
          <w:szCs w:val="21"/>
        </w:rPr>
        <w:t>Дюдин</w:t>
      </w:r>
      <w:r w:rsidR="003D1CCB">
        <w:rPr>
          <w:rFonts w:ascii="Times New Roman" w:eastAsia="Times New Roman" w:hAnsi="Times New Roman" w:cs="Times New Roman"/>
          <w:b/>
          <w:i/>
          <w:sz w:val="21"/>
          <w:szCs w:val="21"/>
        </w:rPr>
        <w:t xml:space="preserve"> </w:t>
      </w:r>
      <w:r w:rsidRPr="006F2A74">
        <w:rPr>
          <w:rFonts w:ascii="Times New Roman" w:eastAsia="Times New Roman" w:hAnsi="Times New Roman" w:cs="Times New Roman"/>
          <w:b/>
          <w:i/>
          <w:sz w:val="21"/>
          <w:szCs w:val="21"/>
        </w:rPr>
        <w:t>М.С.,</w:t>
      </w:r>
    </w:p>
    <w:p w14:paraId="535F9ABD" w14:textId="77777777" w:rsidR="006F2A74" w:rsidRPr="006F2A74" w:rsidRDefault="006F2A74" w:rsidP="007B1C30">
      <w:pPr>
        <w:spacing w:after="0" w:line="240" w:lineRule="auto"/>
        <w:jc w:val="right"/>
        <w:rPr>
          <w:rFonts w:ascii="Times New Roman" w:eastAsia="Times New Roman" w:hAnsi="Times New Roman" w:cs="Times New Roman"/>
          <w:i/>
          <w:sz w:val="21"/>
          <w:szCs w:val="21"/>
        </w:rPr>
      </w:pPr>
      <w:r w:rsidRPr="006F2A74">
        <w:rPr>
          <w:rFonts w:ascii="Times New Roman" w:eastAsia="Times New Roman" w:hAnsi="Times New Roman" w:cs="Times New Roman"/>
          <w:b/>
          <w:i/>
          <w:sz w:val="21"/>
          <w:szCs w:val="21"/>
        </w:rPr>
        <w:t xml:space="preserve"> </w:t>
      </w:r>
      <w:r w:rsidRPr="006F2A74">
        <w:rPr>
          <w:rFonts w:ascii="Times New Roman" w:eastAsia="Times New Roman" w:hAnsi="Times New Roman" w:cs="Times New Roman"/>
          <w:i/>
          <w:sz w:val="21"/>
          <w:szCs w:val="21"/>
        </w:rPr>
        <w:t>Старший преподаватель</w:t>
      </w:r>
    </w:p>
    <w:p w14:paraId="15C01822" w14:textId="77777777" w:rsidR="006F2A74" w:rsidRPr="006F2A74" w:rsidRDefault="006F2A74" w:rsidP="007B1C30">
      <w:pPr>
        <w:suppressAutoHyphens/>
        <w:spacing w:after="0" w:line="240" w:lineRule="auto"/>
        <w:jc w:val="right"/>
        <w:rPr>
          <w:rFonts w:ascii="Times New Roman" w:eastAsia="Times New Roman" w:hAnsi="Times New Roman" w:cs="Times New Roman"/>
          <w:i/>
          <w:color w:val="000000"/>
          <w:sz w:val="21"/>
          <w:szCs w:val="21"/>
          <w:lang w:eastAsia="ar-SA"/>
        </w:rPr>
      </w:pPr>
      <w:r w:rsidRPr="006F2A74">
        <w:rPr>
          <w:rFonts w:ascii="Times New Roman" w:eastAsia="Times New Roman" w:hAnsi="Times New Roman" w:cs="Times New Roman"/>
          <w:i/>
          <w:color w:val="000000"/>
          <w:sz w:val="21"/>
          <w:szCs w:val="21"/>
          <w:lang w:eastAsia="ar-SA"/>
        </w:rPr>
        <w:t>Финансовый университет при Правительстве Российской Федерации</w:t>
      </w:r>
    </w:p>
    <w:p w14:paraId="056A912B" w14:textId="77777777" w:rsidR="006F2A74" w:rsidRPr="006F2A74" w:rsidRDefault="006F2A74" w:rsidP="007B1C30">
      <w:pPr>
        <w:suppressAutoHyphens/>
        <w:spacing w:after="0" w:line="240" w:lineRule="auto"/>
        <w:jc w:val="right"/>
        <w:rPr>
          <w:rFonts w:ascii="Times New Roman" w:eastAsia="Times New Roman" w:hAnsi="Times New Roman" w:cs="Times New Roman"/>
          <w:i/>
          <w:sz w:val="21"/>
          <w:szCs w:val="21"/>
          <w:lang w:eastAsia="ar-SA"/>
        </w:rPr>
      </w:pPr>
      <w:r w:rsidRPr="006F2A74">
        <w:rPr>
          <w:rFonts w:ascii="Times New Roman" w:eastAsia="Times New Roman" w:hAnsi="Times New Roman" w:cs="Times New Roman"/>
          <w:i/>
          <w:sz w:val="21"/>
          <w:szCs w:val="21"/>
          <w:lang w:eastAsia="ar-SA"/>
        </w:rPr>
        <w:t>г. Краснодар, Россия</w:t>
      </w:r>
    </w:p>
    <w:p w14:paraId="644FD6AA" w14:textId="77777777" w:rsidR="006F2A74" w:rsidRPr="006F2A74" w:rsidRDefault="006F2A74" w:rsidP="007B1C30">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6F2A74">
        <w:rPr>
          <w:rFonts w:ascii="Times New Roman" w:eastAsia="Times New Roman" w:hAnsi="Times New Roman" w:cs="Times New Roman"/>
          <w:i/>
          <w:sz w:val="21"/>
          <w:szCs w:val="21"/>
          <w:lang w:eastAsia="ar-SA"/>
        </w:rPr>
        <w:t>е-</w:t>
      </w:r>
      <w:r w:rsidRPr="006F2A74">
        <w:rPr>
          <w:rFonts w:ascii="Times New Roman" w:eastAsia="Times New Roman" w:hAnsi="Times New Roman" w:cs="Times New Roman"/>
          <w:i/>
          <w:sz w:val="21"/>
          <w:szCs w:val="21"/>
          <w:lang w:val="en-US" w:eastAsia="ar-SA"/>
        </w:rPr>
        <w:t>mail</w:t>
      </w:r>
      <w:r w:rsidRPr="006F2A74">
        <w:rPr>
          <w:rFonts w:ascii="Times New Roman" w:eastAsia="Times New Roman" w:hAnsi="Times New Roman" w:cs="Times New Roman"/>
          <w:i/>
          <w:sz w:val="21"/>
          <w:szCs w:val="21"/>
          <w:lang w:eastAsia="ar-SA"/>
        </w:rPr>
        <w:t>: MSDyudin@fa.ru</w:t>
      </w:r>
    </w:p>
    <w:p w14:paraId="65EB32DD" w14:textId="77777777" w:rsidR="006F2A74" w:rsidRPr="006F2A74" w:rsidRDefault="006F2A74" w:rsidP="007B1C30">
      <w:pPr>
        <w:suppressAutoHyphens/>
        <w:spacing w:after="0" w:line="240" w:lineRule="auto"/>
        <w:jc w:val="center"/>
        <w:rPr>
          <w:rFonts w:ascii="Times New Roman" w:eastAsia="Times New Roman" w:hAnsi="Times New Roman" w:cs="Times New Roman"/>
          <w:b/>
          <w:sz w:val="21"/>
          <w:szCs w:val="21"/>
          <w:lang w:eastAsia="ar-SA"/>
        </w:rPr>
      </w:pPr>
    </w:p>
    <w:p w14:paraId="0B0B32D6" w14:textId="77777777" w:rsidR="006F2A74" w:rsidRPr="006F2A74" w:rsidRDefault="006F2A74" w:rsidP="007B1C30">
      <w:pPr>
        <w:tabs>
          <w:tab w:val="left" w:pos="851"/>
          <w:tab w:val="left" w:pos="993"/>
          <w:tab w:val="left" w:pos="4320"/>
        </w:tabs>
        <w:spacing w:after="0" w:line="240" w:lineRule="auto"/>
        <w:ind w:left="709"/>
        <w:jc w:val="center"/>
        <w:rPr>
          <w:rFonts w:ascii="Times New Roman" w:eastAsia="Times New Roman" w:hAnsi="Times New Roman" w:cs="Times New Roman"/>
          <w:b/>
          <w:bCs/>
          <w:iCs/>
          <w:sz w:val="21"/>
          <w:szCs w:val="21"/>
        </w:rPr>
      </w:pPr>
      <w:r w:rsidRPr="006F2A74">
        <w:rPr>
          <w:rFonts w:ascii="Times New Roman" w:eastAsia="Times New Roman" w:hAnsi="Times New Roman" w:cs="Times New Roman"/>
          <w:b/>
          <w:bCs/>
          <w:iCs/>
          <w:sz w:val="21"/>
          <w:szCs w:val="21"/>
        </w:rPr>
        <w:t>Использование искусственного интеллекта для прогнозирования уязвимостей в информационных сетях</w:t>
      </w:r>
    </w:p>
    <w:p w14:paraId="47A9FA75" w14:textId="77777777" w:rsidR="006F2A74" w:rsidRPr="006F2A74" w:rsidRDefault="006F2A74" w:rsidP="007B1C30">
      <w:pPr>
        <w:tabs>
          <w:tab w:val="left" w:pos="851"/>
          <w:tab w:val="left" w:pos="993"/>
          <w:tab w:val="left" w:pos="4320"/>
        </w:tabs>
        <w:spacing w:after="0" w:line="240" w:lineRule="auto"/>
        <w:ind w:left="709"/>
        <w:jc w:val="both"/>
        <w:rPr>
          <w:rFonts w:ascii="Times New Roman" w:eastAsia="Times New Roman" w:hAnsi="Times New Roman" w:cs="Times New Roman"/>
          <w:b/>
          <w:iCs/>
          <w:sz w:val="21"/>
          <w:szCs w:val="21"/>
        </w:rPr>
      </w:pPr>
    </w:p>
    <w:p w14:paraId="5EFA359D" w14:textId="77777777" w:rsidR="006F2A74" w:rsidRPr="006F2A74" w:rsidRDefault="006F2A74" w:rsidP="00340687">
      <w:pPr>
        <w:spacing w:after="0" w:line="240" w:lineRule="auto"/>
        <w:ind w:firstLine="709"/>
        <w:jc w:val="both"/>
        <w:rPr>
          <w:rFonts w:ascii="Times New Roman" w:eastAsia="Times New Roman" w:hAnsi="Times New Roman" w:cs="Times New Roman"/>
        </w:rPr>
      </w:pPr>
      <w:r w:rsidRPr="006F2A74">
        <w:rPr>
          <w:rFonts w:ascii="Times New Roman" w:eastAsia="DengXian Light" w:hAnsi="Times New Roman" w:cs="Times New Roman"/>
          <w:b/>
          <w:bCs/>
        </w:rPr>
        <w:t xml:space="preserve">Аннотация: </w:t>
      </w:r>
      <w:r w:rsidRPr="006F2A74">
        <w:rPr>
          <w:rFonts w:ascii="Times New Roman" w:eastAsia="Times New Roman" w:hAnsi="Times New Roman" w:cs="Times New Roman"/>
        </w:rPr>
        <w:t xml:space="preserve">В работе рассматривается применение методов искусственного интеллекта для прогнозирования уязвимостей в информационных сетях. Представлены современные подходы к анализу киберугроз с использованием машинного обучения и нейронных сетей. Особое внимание уделено практическим аспектам внедрения ИИ-решений в системы информационной безопасности. По результатам исследования предложены рекомендации по повышению эффективности прогнозирования уязвимостей. </w:t>
      </w:r>
    </w:p>
    <w:p w14:paraId="3FE7C371" w14:textId="77777777" w:rsidR="006F2A74" w:rsidRPr="006F2A74" w:rsidRDefault="006F2A74" w:rsidP="00340687">
      <w:pPr>
        <w:spacing w:after="0" w:line="240" w:lineRule="auto"/>
        <w:ind w:firstLine="709"/>
        <w:jc w:val="both"/>
        <w:rPr>
          <w:rFonts w:ascii="Times New Roman" w:eastAsia="Times New Roman" w:hAnsi="Times New Roman" w:cs="Times New Roman"/>
        </w:rPr>
      </w:pPr>
      <w:r w:rsidRPr="006F2A74">
        <w:rPr>
          <w:rFonts w:ascii="Times New Roman" w:eastAsia="DengXian Light" w:hAnsi="Times New Roman" w:cs="Times New Roman"/>
          <w:b/>
          <w:bCs/>
        </w:rPr>
        <w:t>Ключевые слова</w:t>
      </w:r>
      <w:r w:rsidRPr="006F2A74">
        <w:rPr>
          <w:rFonts w:ascii="Times New Roman" w:eastAsia="Times New Roman" w:hAnsi="Times New Roman" w:cs="Times New Roman"/>
        </w:rPr>
        <w:t>: искусственный интеллект, информационная безопасность, прогнозирование уязвимостей, машинное обучение, нейронные сети, киберугрозы, анализ данных.</w:t>
      </w:r>
    </w:p>
    <w:p w14:paraId="3941A61C" w14:textId="40C6E01C" w:rsidR="006F2A74" w:rsidRPr="006F2A74" w:rsidRDefault="006F2A74" w:rsidP="007B1C30">
      <w:pPr>
        <w:spacing w:after="0" w:line="240" w:lineRule="auto"/>
        <w:jc w:val="right"/>
        <w:rPr>
          <w:rFonts w:ascii="Times New Roman" w:eastAsia="Times New Roman" w:hAnsi="Times New Roman" w:cs="Times New Roman"/>
          <w:i/>
          <w:iCs/>
          <w:sz w:val="21"/>
          <w:szCs w:val="21"/>
          <w:lang w:val="en-US"/>
        </w:rPr>
      </w:pPr>
      <w:r w:rsidRPr="006F2A74">
        <w:rPr>
          <w:rFonts w:ascii="Times New Roman" w:eastAsia="DengXian Light" w:hAnsi="Times New Roman" w:cs="Times New Roman"/>
          <w:b/>
          <w:bCs/>
          <w:i/>
          <w:iCs/>
          <w:sz w:val="21"/>
          <w:szCs w:val="21"/>
          <w:lang w:val="en-US"/>
        </w:rPr>
        <w:t>Duzhak V</w:t>
      </w:r>
      <w:r w:rsidR="00340687" w:rsidRPr="00340687">
        <w:rPr>
          <w:rFonts w:ascii="Times New Roman" w:eastAsia="DengXian Light" w:hAnsi="Times New Roman" w:cs="Times New Roman"/>
          <w:b/>
          <w:bCs/>
          <w:i/>
          <w:iCs/>
          <w:sz w:val="21"/>
          <w:szCs w:val="21"/>
          <w:lang w:val="en-US"/>
        </w:rPr>
        <w:t>.</w:t>
      </w:r>
      <w:r w:rsidRPr="006F2A74">
        <w:rPr>
          <w:rFonts w:ascii="Times New Roman" w:eastAsia="DengXian Light" w:hAnsi="Times New Roman" w:cs="Times New Roman"/>
          <w:b/>
          <w:bCs/>
          <w:i/>
          <w:iCs/>
          <w:sz w:val="21"/>
          <w:szCs w:val="21"/>
          <w:lang w:val="en-US"/>
        </w:rPr>
        <w:t>K.</w:t>
      </w:r>
      <w:r w:rsidRPr="006F2A74">
        <w:rPr>
          <w:rFonts w:ascii="Times New Roman" w:eastAsia="Times New Roman" w:hAnsi="Times New Roman" w:cs="Times New Roman"/>
          <w:b/>
          <w:bCs/>
          <w:i/>
          <w:iCs/>
          <w:sz w:val="21"/>
          <w:szCs w:val="21"/>
          <w:lang w:val="en-US"/>
        </w:rPr>
        <w:t>,</w:t>
      </w:r>
      <w:r w:rsidRPr="006F2A74">
        <w:rPr>
          <w:rFonts w:ascii="Times New Roman" w:eastAsia="Times New Roman" w:hAnsi="Times New Roman" w:cs="Times New Roman"/>
          <w:b/>
          <w:bCs/>
          <w:i/>
          <w:iCs/>
          <w:sz w:val="21"/>
          <w:szCs w:val="21"/>
          <w:lang w:val="en-US"/>
        </w:rPr>
        <w:br/>
      </w:r>
      <w:r w:rsidRPr="006F2A74">
        <w:rPr>
          <w:rFonts w:ascii="Times New Roman" w:eastAsia="Times New Roman" w:hAnsi="Times New Roman" w:cs="Times New Roman"/>
          <w:i/>
          <w:iCs/>
          <w:sz w:val="21"/>
          <w:szCs w:val="21"/>
          <w:lang w:val="en-US"/>
        </w:rPr>
        <w:t>2nd year student</w:t>
      </w:r>
      <w:r w:rsidRPr="006F2A74">
        <w:rPr>
          <w:rFonts w:ascii="Times New Roman" w:eastAsia="Times New Roman" w:hAnsi="Times New Roman" w:cs="Times New Roman"/>
          <w:i/>
          <w:iCs/>
          <w:sz w:val="21"/>
          <w:szCs w:val="21"/>
          <w:lang w:val="en-US"/>
        </w:rPr>
        <w:br/>
        <w:t>Financial University under the Government of the Russian Federation</w:t>
      </w:r>
      <w:r w:rsidRPr="006F2A74">
        <w:rPr>
          <w:rFonts w:ascii="Times New Roman" w:eastAsia="Times New Roman" w:hAnsi="Times New Roman" w:cs="Times New Roman"/>
          <w:i/>
          <w:iCs/>
          <w:sz w:val="21"/>
          <w:szCs w:val="21"/>
          <w:lang w:val="en-US"/>
        </w:rPr>
        <w:br/>
        <w:t>Krasnodar, Russia</w:t>
      </w:r>
      <w:r w:rsidRPr="006F2A74">
        <w:rPr>
          <w:rFonts w:ascii="Times New Roman" w:eastAsia="Times New Roman" w:hAnsi="Times New Roman" w:cs="Times New Roman"/>
          <w:i/>
          <w:iCs/>
          <w:sz w:val="21"/>
          <w:szCs w:val="21"/>
          <w:lang w:val="en-US"/>
        </w:rPr>
        <w:br/>
        <w:t>E-mail: </w:t>
      </w:r>
      <w:r w:rsidRPr="006F2A74">
        <w:rPr>
          <w:rFonts w:ascii="Times New Roman" w:eastAsia="DengXian Light" w:hAnsi="Times New Roman" w:cs="Times New Roman"/>
          <w:i/>
          <w:iCs/>
          <w:sz w:val="21"/>
          <w:szCs w:val="21"/>
          <w:lang w:val="en-US"/>
        </w:rPr>
        <w:t>100DOT13SL230273@edu.fa.ru</w:t>
      </w:r>
    </w:p>
    <w:p w14:paraId="268E54C5" w14:textId="21AE4E77" w:rsidR="006F2A74" w:rsidRPr="00340687" w:rsidRDefault="006F2A74" w:rsidP="007B1C30">
      <w:pPr>
        <w:spacing w:after="0" w:line="240" w:lineRule="auto"/>
        <w:jc w:val="right"/>
        <w:rPr>
          <w:rFonts w:ascii="Times New Roman" w:eastAsia="DengXian Light" w:hAnsi="Times New Roman" w:cs="Times New Roman"/>
          <w:i/>
          <w:iCs/>
          <w:sz w:val="21"/>
          <w:szCs w:val="21"/>
          <w:lang w:val="en-US"/>
        </w:rPr>
      </w:pPr>
      <w:r w:rsidRPr="006F2A74">
        <w:rPr>
          <w:rFonts w:ascii="Times New Roman" w:eastAsia="DengXian Light" w:hAnsi="Times New Roman" w:cs="Times New Roman"/>
          <w:b/>
          <w:bCs/>
          <w:i/>
          <w:iCs/>
          <w:sz w:val="21"/>
          <w:szCs w:val="21"/>
          <w:lang w:val="en-US"/>
        </w:rPr>
        <w:lastRenderedPageBreak/>
        <w:t>Scientific Supervisor</w:t>
      </w:r>
      <w:r w:rsidRPr="006F2A74">
        <w:rPr>
          <w:rFonts w:ascii="Times New Roman" w:eastAsia="Times New Roman" w:hAnsi="Times New Roman" w:cs="Times New Roman"/>
          <w:b/>
          <w:bCs/>
          <w:i/>
          <w:iCs/>
          <w:sz w:val="21"/>
          <w:szCs w:val="21"/>
          <w:lang w:val="en-US"/>
        </w:rPr>
        <w:t>:</w:t>
      </w:r>
      <w:r w:rsidRPr="006F2A74">
        <w:rPr>
          <w:rFonts w:ascii="Times New Roman" w:eastAsia="Times New Roman" w:hAnsi="Times New Roman" w:cs="Times New Roman"/>
          <w:b/>
          <w:bCs/>
          <w:i/>
          <w:iCs/>
          <w:sz w:val="21"/>
          <w:szCs w:val="21"/>
          <w:lang w:val="en-US"/>
        </w:rPr>
        <w:br/>
      </w:r>
      <w:r w:rsidRPr="006F2A74">
        <w:rPr>
          <w:rFonts w:ascii="Times New Roman" w:eastAsia="DengXian Light" w:hAnsi="Times New Roman" w:cs="Times New Roman"/>
          <w:b/>
          <w:bCs/>
          <w:i/>
          <w:iCs/>
          <w:sz w:val="21"/>
          <w:szCs w:val="21"/>
          <w:lang w:val="en-US"/>
        </w:rPr>
        <w:t>Dyudin M.S.</w:t>
      </w:r>
      <w:r w:rsidRPr="006F2A74">
        <w:rPr>
          <w:rFonts w:ascii="Times New Roman" w:eastAsia="Times New Roman" w:hAnsi="Times New Roman" w:cs="Times New Roman"/>
          <w:b/>
          <w:bCs/>
          <w:i/>
          <w:iCs/>
          <w:sz w:val="21"/>
          <w:szCs w:val="21"/>
          <w:lang w:val="en-US"/>
        </w:rPr>
        <w:t>,</w:t>
      </w:r>
      <w:r w:rsidRPr="006F2A74">
        <w:rPr>
          <w:rFonts w:ascii="Times New Roman" w:eastAsia="Times New Roman" w:hAnsi="Times New Roman" w:cs="Times New Roman"/>
          <w:i/>
          <w:iCs/>
          <w:sz w:val="21"/>
          <w:szCs w:val="21"/>
          <w:lang w:val="en-US"/>
        </w:rPr>
        <w:br/>
        <w:t>Senior Lecturer</w:t>
      </w:r>
      <w:r w:rsidRPr="006F2A74">
        <w:rPr>
          <w:rFonts w:ascii="Times New Roman" w:eastAsia="Times New Roman" w:hAnsi="Times New Roman" w:cs="Times New Roman"/>
          <w:i/>
          <w:iCs/>
          <w:sz w:val="21"/>
          <w:szCs w:val="21"/>
          <w:lang w:val="en-US"/>
        </w:rPr>
        <w:br/>
        <w:t>Financial University under the Government of the Russian Federation</w:t>
      </w:r>
      <w:r w:rsidRPr="006F2A74">
        <w:rPr>
          <w:rFonts w:ascii="Times New Roman" w:eastAsia="Times New Roman" w:hAnsi="Times New Roman" w:cs="Times New Roman"/>
          <w:i/>
          <w:iCs/>
          <w:sz w:val="21"/>
          <w:szCs w:val="21"/>
          <w:lang w:val="en-US"/>
        </w:rPr>
        <w:br/>
        <w:t>Krasnodar, Russia</w:t>
      </w:r>
      <w:r w:rsidRPr="006F2A74">
        <w:rPr>
          <w:rFonts w:ascii="Times New Roman" w:eastAsia="Times New Roman" w:hAnsi="Times New Roman" w:cs="Times New Roman"/>
          <w:i/>
          <w:iCs/>
          <w:sz w:val="21"/>
          <w:szCs w:val="21"/>
          <w:lang w:val="en-US"/>
        </w:rPr>
        <w:br/>
      </w:r>
      <w:r w:rsidRPr="006F2A74">
        <w:rPr>
          <w:rFonts w:ascii="Times New Roman" w:eastAsia="Times New Roman" w:hAnsi="Times New Roman" w:cs="Times New Roman"/>
          <w:i/>
          <w:iCs/>
          <w:sz w:val="21"/>
          <w:szCs w:val="21"/>
        </w:rPr>
        <w:t>е</w:t>
      </w:r>
      <w:r w:rsidRPr="006F2A74">
        <w:rPr>
          <w:rFonts w:ascii="Times New Roman" w:eastAsia="Times New Roman" w:hAnsi="Times New Roman" w:cs="Times New Roman"/>
          <w:i/>
          <w:iCs/>
          <w:sz w:val="21"/>
          <w:szCs w:val="21"/>
          <w:lang w:val="en-US"/>
        </w:rPr>
        <w:t>-mail: </w:t>
      </w:r>
      <w:hyperlink r:id="rId478" w:history="1">
        <w:r w:rsidR="00340687" w:rsidRPr="006F2A74">
          <w:rPr>
            <w:rStyle w:val="aa"/>
            <w:rFonts w:ascii="Times New Roman" w:eastAsia="DengXian Light" w:hAnsi="Times New Roman" w:cs="Times New Roman"/>
            <w:i/>
            <w:iCs/>
            <w:sz w:val="21"/>
            <w:szCs w:val="21"/>
            <w:lang w:val="en-US"/>
          </w:rPr>
          <w:t>MSDyudin@fa.ru</w:t>
        </w:r>
      </w:hyperlink>
    </w:p>
    <w:p w14:paraId="6D9A47F8" w14:textId="77777777" w:rsidR="00340687" w:rsidRPr="006F2A74" w:rsidRDefault="00340687" w:rsidP="007B1C30">
      <w:pPr>
        <w:spacing w:after="0" w:line="240" w:lineRule="auto"/>
        <w:jc w:val="right"/>
        <w:rPr>
          <w:rFonts w:ascii="Times New Roman" w:eastAsia="Times New Roman" w:hAnsi="Times New Roman" w:cs="Times New Roman"/>
          <w:i/>
          <w:iCs/>
          <w:sz w:val="21"/>
          <w:szCs w:val="21"/>
          <w:lang w:val="en-US"/>
        </w:rPr>
      </w:pPr>
    </w:p>
    <w:p w14:paraId="3D56BFD1" w14:textId="77777777" w:rsidR="006F2A74" w:rsidRPr="00654CF2" w:rsidRDefault="006F2A74" w:rsidP="007B1C30">
      <w:pPr>
        <w:spacing w:after="0" w:line="240" w:lineRule="auto"/>
        <w:jc w:val="center"/>
        <w:rPr>
          <w:rFonts w:ascii="Times New Roman" w:eastAsia="DengXian Light" w:hAnsi="Times New Roman" w:cs="Times New Roman"/>
          <w:b/>
          <w:bCs/>
          <w:sz w:val="21"/>
          <w:szCs w:val="21"/>
          <w:lang w:val="en-US"/>
        </w:rPr>
      </w:pPr>
      <w:r w:rsidRPr="006F2A74">
        <w:rPr>
          <w:rFonts w:ascii="Times New Roman" w:eastAsia="DengXian Light" w:hAnsi="Times New Roman" w:cs="Times New Roman"/>
          <w:b/>
          <w:bCs/>
          <w:sz w:val="21"/>
          <w:szCs w:val="21"/>
          <w:lang w:val="en-US"/>
        </w:rPr>
        <w:t>Using Artificial Intelligence for Vulnerability Prediction in Information Networks</w:t>
      </w:r>
    </w:p>
    <w:p w14:paraId="792D698E" w14:textId="77777777" w:rsidR="00340687" w:rsidRPr="00654CF2" w:rsidRDefault="00340687" w:rsidP="007B1C30">
      <w:pPr>
        <w:spacing w:after="0" w:line="240" w:lineRule="auto"/>
        <w:jc w:val="center"/>
        <w:rPr>
          <w:rFonts w:ascii="Times New Roman" w:eastAsia="DengXian Light" w:hAnsi="Times New Roman" w:cs="Times New Roman"/>
          <w:b/>
          <w:bCs/>
          <w:sz w:val="21"/>
          <w:szCs w:val="21"/>
          <w:lang w:val="en-US"/>
        </w:rPr>
      </w:pPr>
    </w:p>
    <w:p w14:paraId="44097BE2" w14:textId="77777777" w:rsidR="006F2A74" w:rsidRPr="006F2A74" w:rsidRDefault="006F2A74" w:rsidP="00340687">
      <w:pPr>
        <w:spacing w:after="0" w:line="240" w:lineRule="auto"/>
        <w:ind w:firstLine="709"/>
        <w:jc w:val="both"/>
        <w:rPr>
          <w:rFonts w:ascii="Times New Roman" w:eastAsia="Times New Roman" w:hAnsi="Times New Roman" w:cs="Times New Roman"/>
          <w:sz w:val="21"/>
          <w:szCs w:val="21"/>
          <w:lang w:val="en-US"/>
        </w:rPr>
      </w:pPr>
      <w:r w:rsidRPr="006F2A74">
        <w:rPr>
          <w:rFonts w:ascii="Times New Roman" w:eastAsia="DengXian Light" w:hAnsi="Times New Roman" w:cs="Times New Roman"/>
          <w:b/>
          <w:bCs/>
          <w:sz w:val="21"/>
          <w:szCs w:val="21"/>
          <w:lang w:val="en-US"/>
        </w:rPr>
        <w:t>Abstract</w:t>
      </w:r>
      <w:r w:rsidRPr="006F2A74">
        <w:rPr>
          <w:rFonts w:ascii="Times New Roman" w:eastAsia="Times New Roman" w:hAnsi="Times New Roman" w:cs="Times New Roman"/>
          <w:b/>
          <w:bCs/>
          <w:sz w:val="21"/>
          <w:szCs w:val="21"/>
          <w:lang w:val="en-US"/>
        </w:rPr>
        <w:t>:</w:t>
      </w:r>
      <w:r w:rsidRPr="006F2A74">
        <w:rPr>
          <w:rFonts w:ascii="Times New Roman" w:eastAsia="Times New Roman" w:hAnsi="Times New Roman" w:cs="Times New Roman"/>
          <w:sz w:val="21"/>
          <w:szCs w:val="21"/>
          <w:lang w:val="en-US"/>
        </w:rPr>
        <w:t xml:space="preserve"> The study examines the application of artificial intelligence methods for vulnerability prediction in information networks. Modern approaches to cyber threat analysis using machine learning and neural networks are presented. Special attention is paid to practical aspects of implementing AI solutions in information security systems. Based on the research findings, recommendations are provided to improve the efficiency of vulnerability prediction. </w:t>
      </w:r>
    </w:p>
    <w:p w14:paraId="1AA81C52" w14:textId="775A7ECA" w:rsidR="006F2A74" w:rsidRPr="00654CF2" w:rsidRDefault="006F2A74" w:rsidP="00340687">
      <w:pPr>
        <w:spacing w:after="0" w:line="240" w:lineRule="auto"/>
        <w:ind w:firstLine="709"/>
        <w:jc w:val="both"/>
        <w:rPr>
          <w:rFonts w:ascii="Times New Roman" w:eastAsia="Times New Roman" w:hAnsi="Times New Roman" w:cs="Times New Roman"/>
          <w:sz w:val="21"/>
          <w:szCs w:val="21"/>
          <w:lang w:val="en-US"/>
        </w:rPr>
      </w:pPr>
      <w:r w:rsidRPr="006F2A74">
        <w:rPr>
          <w:rFonts w:ascii="Times New Roman" w:eastAsia="DengXian Light" w:hAnsi="Times New Roman" w:cs="Times New Roman"/>
          <w:b/>
          <w:bCs/>
          <w:sz w:val="21"/>
          <w:szCs w:val="21"/>
          <w:lang w:val="en-US"/>
        </w:rPr>
        <w:t>Keywords</w:t>
      </w:r>
      <w:r w:rsidRPr="006F2A74">
        <w:rPr>
          <w:rFonts w:ascii="Times New Roman" w:eastAsia="Times New Roman" w:hAnsi="Times New Roman" w:cs="Times New Roman"/>
          <w:b/>
          <w:bCs/>
          <w:sz w:val="21"/>
          <w:szCs w:val="21"/>
          <w:lang w:val="en-US"/>
        </w:rPr>
        <w:t>:</w:t>
      </w:r>
      <w:r w:rsidRPr="006F2A74">
        <w:rPr>
          <w:rFonts w:ascii="Times New Roman" w:eastAsia="Times New Roman" w:hAnsi="Times New Roman" w:cs="Times New Roman"/>
          <w:sz w:val="21"/>
          <w:szCs w:val="21"/>
          <w:lang w:val="en-US"/>
        </w:rPr>
        <w:t xml:space="preserve"> artificial intelligence, information security, vulnerability prediction, machine learning, neural networks, cyber threats, data analysis</w:t>
      </w:r>
      <w:r w:rsidR="007B1C30" w:rsidRPr="007B1C30">
        <w:rPr>
          <w:rFonts w:ascii="Times New Roman" w:eastAsia="Times New Roman" w:hAnsi="Times New Roman" w:cs="Times New Roman"/>
          <w:sz w:val="21"/>
          <w:szCs w:val="21"/>
          <w:lang w:val="en-US"/>
        </w:rPr>
        <w:t>.</w:t>
      </w:r>
    </w:p>
    <w:p w14:paraId="0BD19BB0" w14:textId="77777777" w:rsidR="00340687" w:rsidRPr="006F2A74" w:rsidRDefault="00340687" w:rsidP="007B1C30">
      <w:pPr>
        <w:spacing w:after="0" w:line="240" w:lineRule="auto"/>
        <w:jc w:val="both"/>
        <w:rPr>
          <w:rFonts w:ascii="Times New Roman" w:eastAsia="Times New Roman" w:hAnsi="Times New Roman" w:cs="Times New Roman"/>
          <w:sz w:val="21"/>
          <w:szCs w:val="21"/>
          <w:lang w:val="en-US"/>
        </w:rPr>
      </w:pPr>
    </w:p>
    <w:p w14:paraId="3E533255"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Введение</w:t>
      </w:r>
    </w:p>
    <w:p w14:paraId="18BEB7BB"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Современный цифровой ландшафт характеризуется беспрецедентным ростом сложных киберугроз. В условиях, когда информационные технологии проникли во все сферы человеческой деятельности, традиционные методы защиты, основанные на сигнатурном анализе и правилах, часто оказываются неэффективными против новых, неизвестных ранее атак. Как показывают исследования [1], искусственный интеллект предлагает революционный подход к прогнозированию уязвимостей, позволяя не только реагировать на известные угрозы, но и выявлять потенциальные риски до их эксплуатации.</w:t>
      </w:r>
    </w:p>
    <w:p w14:paraId="679B3408"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p>
    <w:p w14:paraId="48281276"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1. Методы прогнозирования уязвимостей</w:t>
      </w:r>
    </w:p>
    <w:p w14:paraId="445926DD"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1.1 Машинное обучение в кибербезопасности</w:t>
      </w:r>
    </w:p>
    <w:p w14:paraId="2B34B8A4"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Современные методы машинного обучения демонстрируют исключительную эффективность в задачах классификации уязвимостей. В последние годы особое развитие получили следующие направления:</w:t>
      </w:r>
    </w:p>
    <w:p w14:paraId="209C2294" w14:textId="77777777" w:rsidR="006F2A74" w:rsidRPr="006F2A74" w:rsidRDefault="006F2A74" w:rsidP="00AD58CD">
      <w:pPr>
        <w:numPr>
          <w:ilvl w:val="0"/>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Контролируемое обучение:</w:t>
      </w:r>
    </w:p>
    <w:p w14:paraId="20E747AF"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Алгоритмы Random Forest и Gradient Boosting (XGBoost, LightGBM) для работы с несбалансированными данными</w:t>
      </w:r>
    </w:p>
    <w:p w14:paraId="63B5B5BA"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Методы опорных векторов (SVM) для задач бинарной классификации</w:t>
      </w:r>
    </w:p>
    <w:p w14:paraId="4D098067"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Ансамблевые подходы (Stacking, Voting), сочетающие преимущества нескольких моделей</w:t>
      </w:r>
    </w:p>
    <w:p w14:paraId="008FD579" w14:textId="77777777" w:rsidR="006F2A74" w:rsidRPr="006F2A74" w:rsidRDefault="006F2A74" w:rsidP="00AD58CD">
      <w:pPr>
        <w:numPr>
          <w:ilvl w:val="0"/>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Неконтролируемое обучение:</w:t>
      </w:r>
    </w:p>
    <w:p w14:paraId="28FD4592"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lastRenderedPageBreak/>
        <w:t>Кластеризация (K-means, DBSCAN) для выявления аномалий в сетевом трафике</w:t>
      </w:r>
    </w:p>
    <w:p w14:paraId="1762B7E0"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Методы уменьшения размерности (PCA, t-SNE) для визуализации угроз</w:t>
      </w:r>
    </w:p>
    <w:p w14:paraId="4134D671" w14:textId="77777777" w:rsidR="006F2A74" w:rsidRPr="006F2A74" w:rsidRDefault="006F2A74" w:rsidP="00AD58CD">
      <w:pPr>
        <w:numPr>
          <w:ilvl w:val="1"/>
          <w:numId w:val="242"/>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Автоэнкодеры для обнаружения отклонений от нормального поведения</w:t>
      </w:r>
    </w:p>
    <w:p w14:paraId="231388E1"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Как показано в исследовании [2], эти методы позволяют достигать точности до 92% при прогнозировании уязвимостей в веб-приложениях, что значительно превосходит традиционные подходы.</w:t>
      </w:r>
    </w:p>
    <w:p w14:paraId="3F76D709"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1.2 Глубокое обучение для анализа угроз</w:t>
      </w:r>
    </w:p>
    <w:p w14:paraId="4D24500E"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Глубокие нейронные сети открывают новые возможности для обработки сложных, многомерных данных в кибербезопасности:</w:t>
      </w:r>
    </w:p>
    <w:p w14:paraId="0520167C" w14:textId="77777777" w:rsidR="006F2A74" w:rsidRPr="006F2A74" w:rsidRDefault="006F2A74" w:rsidP="00AD58CD">
      <w:pPr>
        <w:numPr>
          <w:ilvl w:val="0"/>
          <w:numId w:val="243"/>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Рекуррентные сети (LSTM, GRU) особенно эффективны для анализа временных последовательностей в сетевых логах и журналах событий</w:t>
      </w:r>
    </w:p>
    <w:p w14:paraId="3B0B4E04" w14:textId="77777777" w:rsidR="006F2A74" w:rsidRPr="006F2A74" w:rsidRDefault="006F2A74" w:rsidP="00AD58CD">
      <w:pPr>
        <w:numPr>
          <w:ilvl w:val="0"/>
          <w:numId w:val="243"/>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Сверточные сети (CNN) успешно применяются для обработки структурированных данных сетевых пакетов</w:t>
      </w:r>
    </w:p>
    <w:p w14:paraId="3BBCC76B" w14:textId="77777777" w:rsidR="006F2A74" w:rsidRPr="006F2A74" w:rsidRDefault="006F2A74" w:rsidP="00AD58CD">
      <w:pPr>
        <w:numPr>
          <w:ilvl w:val="0"/>
          <w:numId w:val="243"/>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Трансформеры демонстрируют выдающиеся результаты в анализе кода и конфигураций на предмет уязвимостей</w:t>
      </w:r>
    </w:p>
    <w:p w14:paraId="543B3726" w14:textId="77777777" w:rsidR="006F2A74" w:rsidRPr="006F2A74" w:rsidRDefault="006F2A74" w:rsidP="00AD58CD">
      <w:pPr>
        <w:numPr>
          <w:ilvl w:val="0"/>
          <w:numId w:val="243"/>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Генеративно-состязательные сети (GAN) используются для моделирования атакующих сценариев и создания синтетических данных</w:t>
      </w:r>
    </w:p>
    <w:p w14:paraId="7EBFA07E"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Согласно данным [3], комбинированные архитектуры, такие как LSTM с механизмами внимания, демонстрируют точность до 89% при обнаружении аномалий в реальном времени, обеспечивая надежную защиту от сложных целевых атак.</w:t>
      </w:r>
    </w:p>
    <w:p w14:paraId="187CED00"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2. Практическая реализация</w:t>
      </w:r>
    </w:p>
    <w:p w14:paraId="0B9CC9C8"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2.1 Примеры успешного внедрения</w:t>
      </w:r>
    </w:p>
    <w:p w14:paraId="18F5BAA7"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Современный рынок кибербезопасности предлагает множество решений, основанных на ИИ-технологиях:</w:t>
      </w:r>
    </w:p>
    <w:p w14:paraId="2606469A" w14:textId="77777777" w:rsidR="006F2A74" w:rsidRPr="006F2A74" w:rsidRDefault="006F2A74" w:rsidP="00AD58CD">
      <w:pPr>
        <w:numPr>
          <w:ilvl w:val="0"/>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IBM QRadar Advisor:</w:t>
      </w:r>
    </w:p>
    <w:p w14:paraId="59CF42AF"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Использует обработку естественного языка (NLP)</w:t>
      </w:r>
    </w:p>
    <w:p w14:paraId="7F3E0B03"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Применяет машинное обучение для анализа уязвимостей</w:t>
      </w:r>
    </w:p>
    <w:p w14:paraId="0A397152"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Автоматически определяет критичность угроз</w:t>
      </w:r>
    </w:p>
    <w:p w14:paraId="58BD1ABF" w14:textId="77777777" w:rsidR="006F2A74" w:rsidRPr="006F2A74" w:rsidRDefault="006F2A74" w:rsidP="00AD58CD">
      <w:pPr>
        <w:numPr>
          <w:ilvl w:val="0"/>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Darktrace:</w:t>
      </w:r>
    </w:p>
    <w:p w14:paraId="69B807EC"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Основан на методах неконтролируемого обучения</w:t>
      </w:r>
    </w:p>
    <w:p w14:paraId="5414D036"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lastRenderedPageBreak/>
        <w:t>Создает "цифровой иммунитет" сети</w:t>
      </w:r>
    </w:p>
    <w:p w14:paraId="3D847B8A"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Выявляет отклонения от нормального поведения</w:t>
      </w:r>
    </w:p>
    <w:p w14:paraId="1E842165" w14:textId="77777777" w:rsidR="006F2A74" w:rsidRPr="006F2A74" w:rsidRDefault="006F2A74" w:rsidP="00AD58CD">
      <w:pPr>
        <w:numPr>
          <w:ilvl w:val="0"/>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Palo Alto Cortex XDR:</w:t>
      </w:r>
    </w:p>
    <w:p w14:paraId="4E01E560"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Комбинирует несколько методов машинного обучения</w:t>
      </w:r>
    </w:p>
    <w:p w14:paraId="39C96ADE"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Коррелирует события из различных источников</w:t>
      </w:r>
    </w:p>
    <w:p w14:paraId="7F159C10" w14:textId="77777777" w:rsidR="006F2A74" w:rsidRPr="006F2A74" w:rsidRDefault="006F2A74" w:rsidP="00AD58CD">
      <w:pPr>
        <w:numPr>
          <w:ilvl w:val="1"/>
          <w:numId w:val="244"/>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Обнаруживает сложные многоэтапные атаки</w:t>
      </w:r>
    </w:p>
    <w:p w14:paraId="7B1114B5"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Как отмечается в [4], такие системы демонстрируют сокращение времени обнаружения угроз на 60-80% по сравнению с традиционными подходами, что существенно повышает уровень безопасности организаций.</w:t>
      </w:r>
    </w:p>
    <w:p w14:paraId="5954708B"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2.2 Ключевые проблемы и ограничения</w:t>
      </w:r>
    </w:p>
    <w:p w14:paraId="176E6A07"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Несмотря на впечатляющие успехи, внедрение ИИ-решений сталкивается с рядом существенных вызовов:</w:t>
      </w:r>
    </w:p>
    <w:p w14:paraId="01E646BE" w14:textId="77777777" w:rsidR="006F2A74" w:rsidRPr="006F2A74" w:rsidRDefault="006F2A74" w:rsidP="00AD58CD">
      <w:pPr>
        <w:numPr>
          <w:ilvl w:val="0"/>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Проблемы с данными:</w:t>
      </w:r>
    </w:p>
    <w:p w14:paraId="7A34A356"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Острая нехватка качественных обучающих наборов</w:t>
      </w:r>
    </w:p>
    <w:p w14:paraId="506B22EA"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Дисбаланс классов в данных о киберугрозах</w:t>
      </w:r>
    </w:p>
    <w:p w14:paraId="3927418D"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Субъективность маркировки данных специалистами</w:t>
      </w:r>
    </w:p>
    <w:p w14:paraId="320A9032" w14:textId="77777777" w:rsidR="006F2A74" w:rsidRPr="006F2A74" w:rsidRDefault="006F2A74" w:rsidP="00AD58CD">
      <w:pPr>
        <w:numPr>
          <w:ilvl w:val="0"/>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Технические ограничения:</w:t>
      </w:r>
    </w:p>
    <w:p w14:paraId="5A4A9D10"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Высокие вычислительные затраты на обучение моделей</w:t>
      </w:r>
    </w:p>
    <w:p w14:paraId="7B7852EA"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Проблемы интерпретируемости решений ("черный ящик")</w:t>
      </w:r>
    </w:p>
    <w:p w14:paraId="5211CE9F"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Риск ложных срабатываний, снижающий доверие к системе</w:t>
      </w:r>
    </w:p>
    <w:p w14:paraId="10308E18" w14:textId="77777777" w:rsidR="006F2A74" w:rsidRPr="006F2A74" w:rsidRDefault="006F2A74" w:rsidP="00AD58CD">
      <w:pPr>
        <w:numPr>
          <w:ilvl w:val="0"/>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Организационные барьеры:</w:t>
      </w:r>
    </w:p>
    <w:p w14:paraId="31C7EA83"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Высокая стоимость внедрения и сопровождения</w:t>
      </w:r>
    </w:p>
    <w:p w14:paraId="5D7C7B7B"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Необходимость специальных знаний у персонала</w:t>
      </w:r>
    </w:p>
    <w:p w14:paraId="0B99FA00" w14:textId="77777777" w:rsidR="006F2A74" w:rsidRPr="006F2A74" w:rsidRDefault="006F2A74" w:rsidP="00AD58CD">
      <w:pPr>
        <w:numPr>
          <w:ilvl w:val="1"/>
          <w:numId w:val="245"/>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Сложности интеграции с существующей ИТ-инфраструктурой</w:t>
      </w:r>
    </w:p>
    <w:p w14:paraId="2D187D16"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2.3 Рекомендации и перспективы</w:t>
      </w:r>
    </w:p>
    <w:p w14:paraId="1F83797B"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Для успешного внедрения ИИ-решений в практику кибербезопасности рекомендуется:</w:t>
      </w:r>
    </w:p>
    <w:p w14:paraId="11D817E9" w14:textId="77777777" w:rsidR="006F2A74" w:rsidRPr="006F2A74" w:rsidRDefault="006F2A74" w:rsidP="00AD58CD">
      <w:pPr>
        <w:numPr>
          <w:ilvl w:val="0"/>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Развитие гибридных систем, сочетающих:</w:t>
      </w:r>
    </w:p>
    <w:p w14:paraId="2A1A1046"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Сильные стороны машинного обучения</w:t>
      </w:r>
    </w:p>
    <w:p w14:paraId="44EF23F9"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Экспертные знания специалистов</w:t>
      </w:r>
    </w:p>
    <w:p w14:paraId="2543D96E"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Формальные методы верификации</w:t>
      </w:r>
    </w:p>
    <w:p w14:paraId="36F91FDC" w14:textId="77777777" w:rsidR="006F2A74" w:rsidRPr="006F2A74" w:rsidRDefault="006F2A74" w:rsidP="00AD58CD">
      <w:pPr>
        <w:numPr>
          <w:ilvl w:val="0"/>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lastRenderedPageBreak/>
        <w:t>Создание стандартизированных датасетов:</w:t>
      </w:r>
    </w:p>
    <w:p w14:paraId="0E481F08"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Репрезентативные выборки реальных данных</w:t>
      </w:r>
    </w:p>
    <w:p w14:paraId="7FDB1CCA"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Разнообразные сценарии атак</w:t>
      </w:r>
    </w:p>
    <w:p w14:paraId="13EC7C01"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Методы анонимизации конфиденциальной информации</w:t>
      </w:r>
    </w:p>
    <w:p w14:paraId="725DE756" w14:textId="77777777" w:rsidR="006F2A74" w:rsidRPr="006F2A74" w:rsidRDefault="006F2A74" w:rsidP="00AD58CD">
      <w:pPr>
        <w:numPr>
          <w:ilvl w:val="0"/>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Улучшение интерпретируемости:</w:t>
      </w:r>
    </w:p>
    <w:p w14:paraId="1780B832"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Применение методов explainable AI (XAI)</w:t>
      </w:r>
    </w:p>
    <w:p w14:paraId="402703A5"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Разработка визуализационных инструментов</w:t>
      </w:r>
    </w:p>
    <w:p w14:paraId="33C3B499" w14:textId="77777777" w:rsidR="006F2A74" w:rsidRPr="006F2A74" w:rsidRDefault="006F2A74" w:rsidP="00AD58CD">
      <w:pPr>
        <w:numPr>
          <w:ilvl w:val="1"/>
          <w:numId w:val="246"/>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Создание прозрачных механизмов отчетности</w:t>
      </w:r>
    </w:p>
    <w:p w14:paraId="75F41B62"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Особой перспективой обладают:</w:t>
      </w:r>
    </w:p>
    <w:p w14:paraId="30CB7B95" w14:textId="77777777" w:rsidR="006F2A74" w:rsidRPr="006F2A74" w:rsidRDefault="006F2A74" w:rsidP="00AD58CD">
      <w:pPr>
        <w:numPr>
          <w:ilvl w:val="0"/>
          <w:numId w:val="247"/>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Федеративное обучение для защиты приватности данных</w:t>
      </w:r>
    </w:p>
    <w:p w14:paraId="0950DC13" w14:textId="77777777" w:rsidR="006F2A74" w:rsidRPr="006F2A74" w:rsidRDefault="006F2A74" w:rsidP="00AD58CD">
      <w:pPr>
        <w:numPr>
          <w:ilvl w:val="0"/>
          <w:numId w:val="247"/>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Генеративно-состязательные сети для создания синтетических данных</w:t>
      </w:r>
    </w:p>
    <w:p w14:paraId="7E176950" w14:textId="77777777" w:rsidR="006F2A74" w:rsidRPr="006F2A74" w:rsidRDefault="006F2A74" w:rsidP="00AD58CD">
      <w:pPr>
        <w:numPr>
          <w:ilvl w:val="0"/>
          <w:numId w:val="247"/>
        </w:num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Непрерывное обучение моделей в реальном времени [5]</w:t>
      </w:r>
    </w:p>
    <w:p w14:paraId="63302CE7"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p>
    <w:p w14:paraId="4A378A16"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Заключение</w:t>
      </w:r>
    </w:p>
    <w:p w14:paraId="4FB9449C" w14:textId="77777777"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Искусственный интеллект открывает новые возможности в прогнозировании уязвимостей, значительно превосходя традиционные методы. Однако для полной реализации потенциала этих технологий необходимо решить ряд фундаментальных проблем, связанных с качеством данных, интерпретируемостью моделей и их интеграцией в существующие процессы кибербезопасности.</w:t>
      </w:r>
    </w:p>
    <w:p w14:paraId="736D6AD0" w14:textId="4773E03F" w:rsidR="006F2A74" w:rsidRPr="006F2A74" w:rsidRDefault="006F2A74" w:rsidP="007B1C30">
      <w:pPr>
        <w:spacing w:after="0" w:line="240" w:lineRule="auto"/>
        <w:ind w:firstLine="709"/>
        <w:jc w:val="both"/>
        <w:rPr>
          <w:rFonts w:ascii="Times New Roman" w:eastAsia="Times New Roman" w:hAnsi="Times New Roman" w:cs="Times New Roman"/>
          <w:sz w:val="32"/>
          <w:szCs w:val="32"/>
        </w:rPr>
      </w:pPr>
      <w:r w:rsidRPr="006F2A74">
        <w:rPr>
          <w:rFonts w:ascii="Times New Roman" w:eastAsia="Times New Roman" w:hAnsi="Times New Roman" w:cs="Times New Roman"/>
          <w:sz w:val="32"/>
          <w:szCs w:val="32"/>
        </w:rPr>
        <w:t>Дальнейшие исследования должны быть направлены на создание более адаптивных и устойчивых алгоритмов, способных эффективно работать в условиях постоянно меняющегося ландшафта угроз. Особое внимание следует уделить разработке методов защиты самих ИИ-систем от возможных атак и манипуляций.</w:t>
      </w:r>
    </w:p>
    <w:p w14:paraId="47A7920B" w14:textId="7356ACE7" w:rsidR="006F2A74" w:rsidRPr="006F2A74" w:rsidRDefault="007B1C30" w:rsidP="007B1C30">
      <w:pPr>
        <w:spacing w:after="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Ли</w:t>
      </w:r>
      <w:r w:rsidR="006F2A74" w:rsidRPr="006F2A74">
        <w:rPr>
          <w:rFonts w:ascii="Times New Roman" w:eastAsia="Times New Roman" w:hAnsi="Times New Roman" w:cs="Times New Roman"/>
          <w:b/>
          <w:bCs/>
          <w:sz w:val="21"/>
          <w:szCs w:val="21"/>
        </w:rPr>
        <w:t>тератур</w:t>
      </w:r>
      <w:r>
        <w:rPr>
          <w:rFonts w:ascii="Times New Roman" w:eastAsia="Times New Roman" w:hAnsi="Times New Roman" w:cs="Times New Roman"/>
          <w:b/>
          <w:bCs/>
          <w:sz w:val="21"/>
          <w:szCs w:val="21"/>
        </w:rPr>
        <w:t>а:</w:t>
      </w:r>
    </w:p>
    <w:p w14:paraId="029A79CE" w14:textId="77777777" w:rsidR="006F2A74" w:rsidRPr="006F2A74" w:rsidRDefault="006F2A74" w:rsidP="00AD58CD">
      <w:pPr>
        <w:numPr>
          <w:ilvl w:val="0"/>
          <w:numId w:val="248"/>
        </w:numPr>
        <w:spacing w:after="0" w:line="240" w:lineRule="auto"/>
        <w:contextualSpacing/>
        <w:rPr>
          <w:rFonts w:ascii="Times New Roman" w:eastAsia="Times New Roman" w:hAnsi="Times New Roman" w:cs="Times New Roman"/>
          <w:sz w:val="21"/>
          <w:szCs w:val="21"/>
        </w:rPr>
      </w:pPr>
      <w:r w:rsidRPr="006F2A74">
        <w:rPr>
          <w:rFonts w:ascii="Times New Roman" w:eastAsia="Times New Roman" w:hAnsi="Times New Roman" w:cs="Times New Roman"/>
          <w:sz w:val="21"/>
          <w:szCs w:val="21"/>
          <w:lang w:val="en-US"/>
        </w:rPr>
        <w:t xml:space="preserve">Chen, Z., et al. (2022). "Machine Learning for Vulnerability Prediction: A Comparative Study". </w:t>
      </w:r>
      <w:r w:rsidRPr="006F2A74">
        <w:rPr>
          <w:rFonts w:ascii="Times New Roman" w:eastAsia="Times New Roman" w:hAnsi="Times New Roman" w:cs="Times New Roman"/>
          <w:sz w:val="21"/>
          <w:szCs w:val="21"/>
        </w:rPr>
        <w:t>IEEE Access, 10, 11245-11256.</w:t>
      </w:r>
    </w:p>
    <w:p w14:paraId="4EBB3F4C" w14:textId="77777777" w:rsidR="006F2A74" w:rsidRPr="006F2A74" w:rsidRDefault="006F2A74" w:rsidP="00AD58CD">
      <w:pPr>
        <w:numPr>
          <w:ilvl w:val="0"/>
          <w:numId w:val="248"/>
        </w:numPr>
        <w:spacing w:after="0" w:line="240" w:lineRule="auto"/>
        <w:contextualSpacing/>
        <w:rPr>
          <w:rFonts w:ascii="Times New Roman" w:eastAsia="Times New Roman" w:hAnsi="Times New Roman" w:cs="Times New Roman"/>
          <w:sz w:val="21"/>
          <w:szCs w:val="21"/>
        </w:rPr>
      </w:pPr>
      <w:r w:rsidRPr="006F2A74">
        <w:rPr>
          <w:rFonts w:ascii="Times New Roman" w:eastAsia="Times New Roman" w:hAnsi="Times New Roman" w:cs="Times New Roman"/>
          <w:sz w:val="21"/>
          <w:szCs w:val="21"/>
          <w:lang w:val="en-US"/>
        </w:rPr>
        <w:t xml:space="preserve">Zhang, L., et al. (2021). "Deep Learning Approaches for Network Anomaly Detection". </w:t>
      </w:r>
      <w:r w:rsidRPr="006F2A74">
        <w:rPr>
          <w:rFonts w:ascii="Times New Roman" w:eastAsia="Times New Roman" w:hAnsi="Times New Roman" w:cs="Times New Roman"/>
          <w:sz w:val="21"/>
          <w:szCs w:val="21"/>
        </w:rPr>
        <w:t>Computers &amp; Security, 104, 102211.</w:t>
      </w:r>
    </w:p>
    <w:p w14:paraId="020FC695" w14:textId="77777777" w:rsidR="006F2A74" w:rsidRPr="006F2A74" w:rsidRDefault="006F2A74" w:rsidP="00AD58CD">
      <w:pPr>
        <w:numPr>
          <w:ilvl w:val="0"/>
          <w:numId w:val="248"/>
        </w:numPr>
        <w:spacing w:after="0" w:line="240" w:lineRule="auto"/>
        <w:contextualSpacing/>
        <w:rPr>
          <w:rFonts w:ascii="Times New Roman" w:eastAsia="Times New Roman" w:hAnsi="Times New Roman" w:cs="Times New Roman"/>
          <w:sz w:val="21"/>
          <w:szCs w:val="21"/>
          <w:lang w:val="en-US"/>
        </w:rPr>
      </w:pPr>
      <w:r w:rsidRPr="006F2A74">
        <w:rPr>
          <w:rFonts w:ascii="Times New Roman" w:eastAsia="Times New Roman" w:hAnsi="Times New Roman" w:cs="Times New Roman"/>
          <w:sz w:val="21"/>
          <w:szCs w:val="21"/>
          <w:lang w:val="en-US"/>
        </w:rPr>
        <w:t>IBM Security (2023). "AI in Cybersecurity: Practical Implementation Guide".</w:t>
      </w:r>
    </w:p>
    <w:p w14:paraId="05F6C346" w14:textId="33D641B5" w:rsidR="006F2A74" w:rsidRPr="006F2A74" w:rsidRDefault="006F2A74" w:rsidP="00AD58CD">
      <w:pPr>
        <w:numPr>
          <w:ilvl w:val="0"/>
          <w:numId w:val="248"/>
        </w:numPr>
        <w:spacing w:after="0" w:line="240" w:lineRule="auto"/>
        <w:contextualSpacing/>
        <w:rPr>
          <w:rFonts w:ascii="Times New Roman" w:eastAsia="Times New Roman" w:hAnsi="Times New Roman" w:cs="Times New Roman"/>
          <w:sz w:val="21"/>
          <w:szCs w:val="21"/>
          <w:lang w:val="en-US"/>
        </w:rPr>
      </w:pPr>
      <w:r w:rsidRPr="006F2A74">
        <w:rPr>
          <w:rFonts w:ascii="Times New Roman" w:eastAsia="Times New Roman" w:hAnsi="Times New Roman" w:cs="Times New Roman"/>
          <w:sz w:val="21"/>
          <w:szCs w:val="21"/>
          <w:lang w:val="en-US"/>
        </w:rPr>
        <w:t>Darktrace (2022). "Autonomous Threat Detection: White Paper".</w:t>
      </w:r>
    </w:p>
    <w:p w14:paraId="3E3E37C5" w14:textId="77777777" w:rsidR="006F2A74" w:rsidRPr="006F2A74" w:rsidRDefault="006F2A74" w:rsidP="00AD58CD">
      <w:pPr>
        <w:numPr>
          <w:ilvl w:val="0"/>
          <w:numId w:val="248"/>
        </w:numPr>
        <w:spacing w:after="0" w:line="240" w:lineRule="auto"/>
        <w:contextualSpacing/>
        <w:rPr>
          <w:rFonts w:ascii="Times New Roman" w:eastAsia="Times New Roman" w:hAnsi="Times New Roman" w:cs="Times New Roman"/>
          <w:sz w:val="21"/>
          <w:szCs w:val="21"/>
          <w:lang w:val="en-US"/>
        </w:rPr>
      </w:pPr>
      <w:r w:rsidRPr="006F2A74">
        <w:rPr>
          <w:rFonts w:ascii="Times New Roman" w:eastAsia="Times New Roman" w:hAnsi="Times New Roman" w:cs="Times New Roman"/>
          <w:sz w:val="21"/>
          <w:szCs w:val="21"/>
          <w:lang w:val="en-US"/>
        </w:rPr>
        <w:t>NIST (2021). "Artificial Intelligence for Cybersecurity: Standards and Best Practices".</w:t>
      </w:r>
    </w:p>
    <w:p w14:paraId="5D15C0B7" w14:textId="77777777" w:rsidR="00C36A8C" w:rsidRPr="00654CF2" w:rsidRDefault="00C36A8C" w:rsidP="006A4D6F">
      <w:pPr>
        <w:spacing w:line="240" w:lineRule="auto"/>
        <w:contextualSpacing/>
        <w:jc w:val="both"/>
        <w:rPr>
          <w:rFonts w:ascii="Times New Roman" w:eastAsia="Calibri" w:hAnsi="Times New Roman" w:cs="Times New Roman"/>
          <w:color w:val="000000"/>
          <w:sz w:val="21"/>
          <w:szCs w:val="21"/>
          <w:lang w:val="en-US"/>
        </w:rPr>
      </w:pPr>
    </w:p>
    <w:p w14:paraId="63A94140" w14:textId="77777777" w:rsidR="006F2A74" w:rsidRPr="007B1C30" w:rsidRDefault="006F2A74" w:rsidP="006A4D6F">
      <w:pPr>
        <w:spacing w:line="240" w:lineRule="auto"/>
        <w:contextualSpacing/>
        <w:jc w:val="both"/>
        <w:rPr>
          <w:rFonts w:ascii="Times New Roman" w:eastAsia="Calibri" w:hAnsi="Times New Roman" w:cs="Times New Roman"/>
          <w:color w:val="000000"/>
          <w:sz w:val="21"/>
          <w:szCs w:val="21"/>
          <w:lang w:val="en-US"/>
        </w:rPr>
      </w:pPr>
    </w:p>
    <w:p w14:paraId="2690189D" w14:textId="77777777" w:rsidR="00A647AC" w:rsidRPr="00A647AC" w:rsidRDefault="00A647AC" w:rsidP="009D6EA4">
      <w:pPr>
        <w:tabs>
          <w:tab w:val="left" w:pos="1276"/>
        </w:tabs>
        <w:spacing w:after="5" w:line="240" w:lineRule="auto"/>
        <w:ind w:right="140"/>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b/>
          <w:color w:val="000000"/>
          <w:sz w:val="21"/>
          <w:lang w:eastAsia="ru-RU"/>
        </w:rPr>
        <w:t>УДК</w:t>
      </w:r>
      <w:r w:rsidRPr="00A647AC">
        <w:rPr>
          <w:rFonts w:ascii="Times New Roman" w:eastAsia="Times New Roman" w:hAnsi="Times New Roman" w:cs="Times New Roman"/>
          <w:b/>
          <w:color w:val="000000"/>
          <w:lang w:eastAsia="ru-RU"/>
        </w:rPr>
        <w:t xml:space="preserve"> </w:t>
      </w:r>
      <w:r w:rsidRPr="00A647AC">
        <w:rPr>
          <w:rFonts w:ascii="Times New Roman" w:eastAsia="Times New Roman" w:hAnsi="Times New Roman" w:cs="Times New Roman"/>
          <w:b/>
          <w:color w:val="000000"/>
          <w:sz w:val="21"/>
          <w:lang w:eastAsia="ru-RU"/>
        </w:rPr>
        <w:t>004.415</w:t>
      </w:r>
    </w:p>
    <w:p w14:paraId="4A850762" w14:textId="77777777" w:rsidR="00076DE3" w:rsidRPr="00817A92" w:rsidRDefault="00A647AC" w:rsidP="00113DE7">
      <w:pPr>
        <w:tabs>
          <w:tab w:val="left" w:pos="1276"/>
        </w:tabs>
        <w:spacing w:before="5" w:after="15" w:line="240" w:lineRule="auto"/>
        <w:ind w:left="357" w:right="140"/>
        <w:jc w:val="right"/>
        <w:rPr>
          <w:rFonts w:ascii="Times New Roman" w:eastAsia="Times New Roman" w:hAnsi="Times New Roman" w:cs="Times New Roman"/>
          <w:b/>
          <w:i/>
          <w:color w:val="000000"/>
          <w:sz w:val="21"/>
          <w:lang w:eastAsia="ru-RU"/>
        </w:rPr>
      </w:pPr>
      <w:r w:rsidRPr="00A647AC">
        <w:rPr>
          <w:rFonts w:ascii="Times New Roman" w:eastAsia="Times New Roman" w:hAnsi="Times New Roman" w:cs="Times New Roman"/>
          <w:b/>
          <w:i/>
          <w:color w:val="000000"/>
          <w:sz w:val="21"/>
          <w:lang w:eastAsia="ru-RU"/>
        </w:rPr>
        <w:t>Злобина С.С.,</w:t>
      </w:r>
    </w:p>
    <w:p w14:paraId="6B2D4FB6" w14:textId="3522F969" w:rsidR="00A647AC" w:rsidRPr="00A647AC" w:rsidRDefault="00A647AC" w:rsidP="00113DE7">
      <w:pPr>
        <w:tabs>
          <w:tab w:val="left" w:pos="1276"/>
        </w:tabs>
        <w:spacing w:before="5" w:after="15" w:line="240" w:lineRule="auto"/>
        <w:ind w:left="357" w:right="140"/>
        <w:jc w:val="right"/>
        <w:rPr>
          <w:rFonts w:ascii="Times New Roman" w:eastAsia="Times New Roman" w:hAnsi="Times New Roman" w:cs="Times New Roman"/>
          <w:bCs/>
          <w:i/>
          <w:color w:val="000000"/>
          <w:sz w:val="21"/>
          <w:lang w:eastAsia="ru-RU"/>
        </w:rPr>
      </w:pPr>
      <w:r w:rsidRPr="00A647AC">
        <w:rPr>
          <w:rFonts w:ascii="Times New Roman" w:eastAsia="Times New Roman" w:hAnsi="Times New Roman" w:cs="Times New Roman"/>
          <w:bCs/>
          <w:i/>
          <w:color w:val="000000"/>
          <w:sz w:val="21"/>
          <w:lang w:eastAsia="ru-RU"/>
        </w:rPr>
        <w:t xml:space="preserve">студентка 3 курса  </w:t>
      </w:r>
    </w:p>
    <w:p w14:paraId="29E35B84" w14:textId="123AAE06" w:rsidR="009D6EA4" w:rsidRDefault="009D6EA4" w:rsidP="00113DE7">
      <w:pPr>
        <w:tabs>
          <w:tab w:val="left" w:pos="1276"/>
        </w:tabs>
        <w:spacing w:after="25" w:line="240" w:lineRule="auto"/>
        <w:ind w:right="140"/>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ФГОБУ ВО «Финансовый университет при Правительстве Российской Федерации» Краснодарский филиал</w:t>
      </w:r>
    </w:p>
    <w:p w14:paraId="4457EC49" w14:textId="551536C7" w:rsidR="00A647AC" w:rsidRPr="00A647AC" w:rsidRDefault="00A647AC" w:rsidP="00113DE7">
      <w:pPr>
        <w:tabs>
          <w:tab w:val="left" w:pos="1276"/>
        </w:tabs>
        <w:spacing w:before="5" w:after="15" w:line="240" w:lineRule="auto"/>
        <w:ind w:left="357" w:right="140"/>
        <w:jc w:val="right"/>
        <w:rPr>
          <w:rFonts w:ascii="Times New Roman" w:eastAsia="Times New Roman" w:hAnsi="Times New Roman" w:cs="Times New Roman"/>
          <w:bCs/>
          <w:i/>
          <w:color w:val="000000"/>
          <w:sz w:val="21"/>
          <w:lang w:eastAsia="ru-RU"/>
        </w:rPr>
      </w:pPr>
      <w:r w:rsidRPr="00A647AC">
        <w:rPr>
          <w:rFonts w:ascii="Times New Roman" w:eastAsia="Times New Roman" w:hAnsi="Times New Roman" w:cs="Times New Roman"/>
          <w:bCs/>
          <w:i/>
          <w:color w:val="000000"/>
          <w:sz w:val="21"/>
          <w:lang w:eastAsia="ru-RU"/>
        </w:rPr>
        <w:t xml:space="preserve">г. Краснодар, Россия </w:t>
      </w:r>
    </w:p>
    <w:p w14:paraId="7C107293" w14:textId="77777777" w:rsidR="00A647AC" w:rsidRPr="00A647AC" w:rsidRDefault="00A647AC" w:rsidP="00113DE7">
      <w:pPr>
        <w:tabs>
          <w:tab w:val="left" w:pos="1276"/>
        </w:tabs>
        <w:spacing w:before="5" w:after="15" w:line="240" w:lineRule="auto"/>
        <w:ind w:left="357" w:right="140"/>
        <w:jc w:val="right"/>
        <w:rPr>
          <w:rFonts w:ascii="Times New Roman" w:eastAsia="Times New Roman" w:hAnsi="Times New Roman" w:cs="Times New Roman"/>
          <w:bCs/>
          <w:i/>
          <w:color w:val="000000"/>
          <w:sz w:val="21"/>
          <w:lang w:eastAsia="ru-RU"/>
        </w:rPr>
      </w:pPr>
      <w:r w:rsidRPr="00A647AC">
        <w:rPr>
          <w:rFonts w:ascii="Times New Roman" w:eastAsia="Times New Roman" w:hAnsi="Times New Roman" w:cs="Times New Roman"/>
          <w:bCs/>
          <w:i/>
          <w:color w:val="000000"/>
          <w:sz w:val="21"/>
          <w:lang w:eastAsia="ru-RU"/>
        </w:rPr>
        <w:lastRenderedPageBreak/>
        <w:t>е-mail: zlobina10091996@gmail.com</w:t>
      </w:r>
    </w:p>
    <w:p w14:paraId="6B23CE75" w14:textId="77777777" w:rsidR="005216A9" w:rsidRDefault="005216A9" w:rsidP="00113DE7">
      <w:pPr>
        <w:tabs>
          <w:tab w:val="left" w:pos="1276"/>
        </w:tabs>
        <w:spacing w:before="5" w:after="15" w:line="240" w:lineRule="auto"/>
        <w:ind w:left="357" w:right="140"/>
        <w:jc w:val="right"/>
        <w:rPr>
          <w:rFonts w:ascii="Times New Roman" w:eastAsia="Times New Roman" w:hAnsi="Times New Roman" w:cs="Times New Roman"/>
          <w:b/>
          <w:i/>
          <w:color w:val="000000"/>
          <w:sz w:val="21"/>
          <w:lang w:eastAsia="ru-RU"/>
        </w:rPr>
      </w:pPr>
    </w:p>
    <w:p w14:paraId="4406C420" w14:textId="28AF60DD" w:rsidR="00A647AC" w:rsidRPr="00A647AC" w:rsidRDefault="00A647AC" w:rsidP="00113DE7">
      <w:pPr>
        <w:tabs>
          <w:tab w:val="left" w:pos="1276"/>
        </w:tabs>
        <w:spacing w:before="5" w:after="15" w:line="240" w:lineRule="auto"/>
        <w:ind w:left="357" w:right="140"/>
        <w:jc w:val="right"/>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b/>
          <w:i/>
          <w:color w:val="000000"/>
          <w:sz w:val="21"/>
          <w:lang w:eastAsia="ru-RU"/>
        </w:rPr>
        <w:t xml:space="preserve">Научный руководитель: </w:t>
      </w:r>
    </w:p>
    <w:p w14:paraId="529EC59B" w14:textId="77777777" w:rsidR="00A647AC" w:rsidRPr="00A647AC" w:rsidRDefault="00A647AC" w:rsidP="00113DE7">
      <w:pPr>
        <w:tabs>
          <w:tab w:val="left" w:pos="1276"/>
        </w:tabs>
        <w:spacing w:before="5" w:after="15" w:line="240" w:lineRule="auto"/>
        <w:ind w:left="357" w:right="140"/>
        <w:jc w:val="right"/>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b/>
          <w:i/>
          <w:color w:val="000000"/>
          <w:sz w:val="21"/>
          <w:lang w:eastAsia="ru-RU"/>
        </w:rPr>
        <w:t>Пьянкова Н.Г.,</w:t>
      </w:r>
    </w:p>
    <w:p w14:paraId="300FBE2D" w14:textId="77777777" w:rsidR="00A647AC" w:rsidRPr="00A647AC" w:rsidRDefault="00A647AC" w:rsidP="00113DE7">
      <w:pPr>
        <w:tabs>
          <w:tab w:val="left" w:pos="1276"/>
        </w:tabs>
        <w:spacing w:after="25" w:line="240" w:lineRule="auto"/>
        <w:ind w:left="84" w:right="140"/>
        <w:jc w:val="right"/>
        <w:rPr>
          <w:rFonts w:ascii="Times New Roman" w:eastAsia="Times New Roman" w:hAnsi="Times New Roman" w:cs="Times New Roman"/>
          <w:i/>
          <w:sz w:val="21"/>
          <w:lang w:eastAsia="ru-RU"/>
        </w:rPr>
      </w:pPr>
      <w:r w:rsidRPr="00A647AC">
        <w:rPr>
          <w:rFonts w:ascii="Times New Roman" w:eastAsia="Times New Roman" w:hAnsi="Times New Roman" w:cs="Times New Roman"/>
          <w:i/>
          <w:sz w:val="21"/>
          <w:lang w:eastAsia="ru-RU"/>
        </w:rPr>
        <w:t>Доцент: Кафедра "Математика и информатика"</w:t>
      </w:r>
    </w:p>
    <w:p w14:paraId="3F6971CC" w14:textId="77777777" w:rsidR="009D6EA4" w:rsidRDefault="009D6EA4" w:rsidP="00113DE7">
      <w:pPr>
        <w:tabs>
          <w:tab w:val="left" w:pos="1276"/>
        </w:tabs>
        <w:spacing w:after="25" w:line="240" w:lineRule="auto"/>
        <w:ind w:right="140"/>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ФГОБУ ВО «Финансовый университет при Правительстве Российской Федерации» Краснодарский филиал</w:t>
      </w:r>
    </w:p>
    <w:p w14:paraId="74426D30" w14:textId="096694DC" w:rsidR="00A647AC" w:rsidRPr="00A647AC" w:rsidRDefault="00A647AC" w:rsidP="00113DE7">
      <w:pPr>
        <w:tabs>
          <w:tab w:val="left" w:pos="1276"/>
        </w:tabs>
        <w:spacing w:after="25" w:line="240" w:lineRule="auto"/>
        <w:ind w:right="140"/>
        <w:jc w:val="right"/>
        <w:rPr>
          <w:rFonts w:ascii="Times New Roman" w:eastAsia="Times New Roman" w:hAnsi="Times New Roman" w:cs="Times New Roman"/>
          <w:i/>
          <w:color w:val="000000"/>
          <w:sz w:val="21"/>
          <w:lang w:eastAsia="ru-RU"/>
        </w:rPr>
      </w:pPr>
      <w:r w:rsidRPr="00A647AC">
        <w:rPr>
          <w:rFonts w:ascii="Times New Roman" w:eastAsia="Times New Roman" w:hAnsi="Times New Roman" w:cs="Times New Roman"/>
          <w:i/>
          <w:color w:val="000000"/>
          <w:sz w:val="21"/>
          <w:lang w:eastAsia="ru-RU"/>
        </w:rPr>
        <w:t xml:space="preserve"> г. Краснодар, Россия</w:t>
      </w:r>
    </w:p>
    <w:p w14:paraId="177AC313" w14:textId="77777777" w:rsidR="005216A9" w:rsidRDefault="00A647AC" w:rsidP="00113DE7">
      <w:pPr>
        <w:tabs>
          <w:tab w:val="left" w:pos="1276"/>
        </w:tabs>
        <w:spacing w:after="25" w:line="240" w:lineRule="auto"/>
        <w:ind w:left="84" w:right="140"/>
        <w:jc w:val="right"/>
        <w:rPr>
          <w:rFonts w:ascii="Times New Roman" w:eastAsia="Times New Roman" w:hAnsi="Times New Roman" w:cs="Times New Roman"/>
          <w:i/>
          <w:color w:val="000000"/>
          <w:sz w:val="21"/>
          <w:lang w:eastAsia="ru-RU"/>
        </w:rPr>
      </w:pPr>
      <w:r w:rsidRPr="00A647AC">
        <w:rPr>
          <w:rFonts w:ascii="Times New Roman" w:eastAsia="Times New Roman" w:hAnsi="Times New Roman" w:cs="Times New Roman"/>
          <w:i/>
          <w:color w:val="000000"/>
          <w:sz w:val="21"/>
          <w:lang w:eastAsia="ru-RU"/>
        </w:rPr>
        <w:t>е-</w:t>
      </w:r>
      <w:r w:rsidRPr="00A647AC">
        <w:rPr>
          <w:rFonts w:ascii="Times New Roman" w:eastAsia="Times New Roman" w:hAnsi="Times New Roman" w:cs="Times New Roman"/>
          <w:i/>
          <w:color w:val="000000"/>
          <w:sz w:val="21"/>
          <w:lang w:val="en-US" w:eastAsia="ru-RU"/>
        </w:rPr>
        <w:t>mail</w:t>
      </w:r>
      <w:r w:rsidRPr="00A647AC">
        <w:rPr>
          <w:rFonts w:ascii="Times New Roman" w:eastAsia="Times New Roman" w:hAnsi="Times New Roman" w:cs="Times New Roman"/>
          <w:i/>
          <w:color w:val="000000"/>
          <w:sz w:val="21"/>
          <w:lang w:eastAsia="ru-RU"/>
        </w:rPr>
        <w:t>:</w:t>
      </w:r>
      <w:r w:rsidRPr="00A647AC">
        <w:rPr>
          <w:rFonts w:ascii="Times New Roman" w:eastAsia="Times New Roman" w:hAnsi="Times New Roman" w:cs="Times New Roman"/>
          <w:color w:val="000000"/>
          <w:sz w:val="32"/>
          <w:lang w:eastAsia="ru-RU"/>
        </w:rPr>
        <w:t xml:space="preserve"> </w:t>
      </w:r>
      <w:r w:rsidRPr="00A647AC">
        <w:rPr>
          <w:rFonts w:ascii="Times New Roman" w:eastAsia="Times New Roman" w:hAnsi="Times New Roman" w:cs="Times New Roman"/>
          <w:i/>
          <w:color w:val="000000"/>
          <w:spacing w:val="-1"/>
          <w:sz w:val="21"/>
          <w:szCs w:val="21"/>
          <w:shd w:val="clear" w:color="auto" w:fill="FFFFFF"/>
          <w:lang w:val="en-US" w:eastAsia="ru-RU"/>
        </w:rPr>
        <w:t>ninapyankova</w:t>
      </w:r>
      <w:r w:rsidRPr="00A647AC">
        <w:rPr>
          <w:rFonts w:ascii="Times New Roman" w:eastAsia="Times New Roman" w:hAnsi="Times New Roman" w:cs="Times New Roman"/>
          <w:i/>
          <w:color w:val="000000"/>
          <w:spacing w:val="-1"/>
          <w:sz w:val="21"/>
          <w:szCs w:val="21"/>
          <w:shd w:val="clear" w:color="auto" w:fill="FFFFFF"/>
          <w:lang w:eastAsia="ru-RU"/>
        </w:rPr>
        <w:t>@</w:t>
      </w:r>
      <w:r w:rsidRPr="00A647AC">
        <w:rPr>
          <w:rFonts w:ascii="Times New Roman" w:eastAsia="Times New Roman" w:hAnsi="Times New Roman" w:cs="Times New Roman"/>
          <w:i/>
          <w:color w:val="000000"/>
          <w:spacing w:val="-1"/>
          <w:sz w:val="21"/>
          <w:szCs w:val="21"/>
          <w:shd w:val="clear" w:color="auto" w:fill="FFFFFF"/>
          <w:lang w:val="en-US" w:eastAsia="ru-RU"/>
        </w:rPr>
        <w:t>mail</w:t>
      </w:r>
      <w:r w:rsidRPr="00A647AC">
        <w:rPr>
          <w:rFonts w:ascii="Times New Roman" w:eastAsia="Times New Roman" w:hAnsi="Times New Roman" w:cs="Times New Roman"/>
          <w:i/>
          <w:color w:val="000000"/>
          <w:spacing w:val="-1"/>
          <w:sz w:val="21"/>
          <w:szCs w:val="21"/>
          <w:shd w:val="clear" w:color="auto" w:fill="FFFFFF"/>
          <w:lang w:eastAsia="ru-RU"/>
        </w:rPr>
        <w:t>.</w:t>
      </w:r>
      <w:r w:rsidRPr="00A647AC">
        <w:rPr>
          <w:rFonts w:ascii="Times New Roman" w:eastAsia="Times New Roman" w:hAnsi="Times New Roman" w:cs="Times New Roman"/>
          <w:i/>
          <w:color w:val="000000"/>
          <w:spacing w:val="-1"/>
          <w:sz w:val="21"/>
          <w:szCs w:val="21"/>
          <w:shd w:val="clear" w:color="auto" w:fill="FFFFFF"/>
          <w:lang w:val="en-US" w:eastAsia="ru-RU"/>
        </w:rPr>
        <w:t>ru</w:t>
      </w:r>
      <w:r w:rsidRPr="00A647AC">
        <w:rPr>
          <w:rFonts w:ascii="Times New Roman" w:eastAsia="Times New Roman" w:hAnsi="Times New Roman" w:cs="Times New Roman"/>
          <w:i/>
          <w:color w:val="000000"/>
          <w:sz w:val="21"/>
          <w:lang w:eastAsia="ru-RU"/>
        </w:rPr>
        <w:t xml:space="preserve"> </w:t>
      </w:r>
      <w:r w:rsidRPr="00A647AC">
        <w:rPr>
          <w:rFonts w:ascii="Times New Roman" w:eastAsia="Times New Roman" w:hAnsi="Times New Roman" w:cs="Times New Roman"/>
          <w:i/>
          <w:color w:val="000000"/>
          <w:sz w:val="21"/>
          <w:lang w:eastAsia="ru-RU"/>
        </w:rPr>
        <w:cr/>
      </w:r>
    </w:p>
    <w:p w14:paraId="16256A1E" w14:textId="644DCB3D" w:rsidR="00A647AC" w:rsidRPr="00A647AC" w:rsidRDefault="00A647AC" w:rsidP="00817A92">
      <w:pPr>
        <w:tabs>
          <w:tab w:val="left" w:pos="1276"/>
        </w:tabs>
        <w:spacing w:after="25"/>
        <w:ind w:left="84" w:right="182"/>
        <w:jc w:val="center"/>
        <w:rPr>
          <w:rFonts w:ascii="Times New Roman" w:eastAsia="Times New Roman" w:hAnsi="Times New Roman" w:cs="Times New Roman"/>
          <w:color w:val="000000"/>
          <w:sz w:val="32"/>
          <w:lang w:val="az-Cyrl-AZ" w:eastAsia="ru-RU"/>
        </w:rPr>
      </w:pPr>
      <w:r w:rsidRPr="00A647AC">
        <w:rPr>
          <w:rFonts w:ascii="Times New Roman" w:eastAsia="Times New Roman" w:hAnsi="Times New Roman" w:cs="Times New Roman"/>
          <w:b/>
          <w:color w:val="000000"/>
          <w:sz w:val="21"/>
          <w:lang w:eastAsia="ru-RU"/>
        </w:rPr>
        <w:t xml:space="preserve">Создание онлайн-формата для спортивной школы: </w:t>
      </w:r>
      <w:r w:rsidRPr="00A647AC">
        <w:rPr>
          <w:rFonts w:ascii="Times New Roman" w:eastAsia="Times New Roman" w:hAnsi="Times New Roman" w:cs="Times New Roman"/>
          <w:b/>
          <w:color w:val="000000"/>
          <w:sz w:val="21"/>
          <w:lang w:val="az-Cyrl-AZ" w:eastAsia="ru-RU"/>
        </w:rPr>
        <w:t>электронный дневник как ключевая возможность</w:t>
      </w:r>
    </w:p>
    <w:p w14:paraId="2840252A" w14:textId="77777777" w:rsidR="00817A92" w:rsidRDefault="00817A92" w:rsidP="00A647AC">
      <w:pPr>
        <w:tabs>
          <w:tab w:val="left" w:pos="1276"/>
        </w:tabs>
        <w:spacing w:after="5" w:line="250" w:lineRule="auto"/>
        <w:ind w:left="125" w:right="182" w:firstLine="709"/>
        <w:jc w:val="both"/>
        <w:rPr>
          <w:rFonts w:ascii="Times New Roman" w:eastAsia="Times New Roman" w:hAnsi="Times New Roman" w:cs="Times New Roman"/>
          <w:b/>
          <w:color w:val="000000"/>
          <w:sz w:val="21"/>
          <w:lang w:eastAsia="ru-RU"/>
        </w:rPr>
      </w:pPr>
    </w:p>
    <w:p w14:paraId="19E69054" w14:textId="2BF31A2E" w:rsidR="00A647AC" w:rsidRPr="00A647AC" w:rsidRDefault="00A647AC" w:rsidP="00A647AC">
      <w:pPr>
        <w:tabs>
          <w:tab w:val="left" w:pos="1276"/>
        </w:tabs>
        <w:spacing w:after="5" w:line="250" w:lineRule="auto"/>
        <w:ind w:left="125" w:right="182" w:firstLine="709"/>
        <w:jc w:val="both"/>
        <w:rPr>
          <w:rFonts w:ascii="Times New Roman" w:eastAsia="Times New Roman" w:hAnsi="Times New Roman" w:cs="Times New Roman"/>
          <w:color w:val="000000"/>
          <w:sz w:val="21"/>
          <w:lang w:val="az-Cyrl-AZ" w:eastAsia="ru-RU"/>
        </w:rPr>
      </w:pPr>
      <w:r w:rsidRPr="00A647AC">
        <w:rPr>
          <w:rFonts w:ascii="Times New Roman" w:eastAsia="Times New Roman" w:hAnsi="Times New Roman" w:cs="Times New Roman"/>
          <w:b/>
          <w:color w:val="000000"/>
          <w:sz w:val="21"/>
          <w:lang w:eastAsia="ru-RU"/>
        </w:rPr>
        <w:t>Аннотация:</w:t>
      </w:r>
      <w:r w:rsidRPr="00A647AC">
        <w:rPr>
          <w:rFonts w:ascii="Times New Roman" w:eastAsia="Times New Roman" w:hAnsi="Times New Roman" w:cs="Times New Roman"/>
          <w:b/>
          <w:color w:val="000000"/>
          <w:sz w:val="21"/>
          <w:lang w:val="az-Cyrl-AZ" w:eastAsia="ru-RU"/>
        </w:rPr>
        <w:t xml:space="preserve"> </w:t>
      </w:r>
      <w:r w:rsidRPr="00A647AC">
        <w:rPr>
          <w:rFonts w:ascii="Times New Roman" w:eastAsia="Times New Roman" w:hAnsi="Times New Roman" w:cs="Times New Roman"/>
          <w:color w:val="000000"/>
          <w:sz w:val="21"/>
          <w:lang w:eastAsia="ru-RU"/>
        </w:rPr>
        <w:t>В статье исследует инновационный подход к цифровой трансформации спортивных школ через внедрение комплексного электронного дневника. Рассматривается многофункциональная платформа, объединяющая управление нормативами, расписанием занятий, персональной статистикой спортсменов, а также проведение дистанционных тренировок.</w:t>
      </w:r>
      <w:r w:rsidRPr="00A647AC">
        <w:rPr>
          <w:rFonts w:ascii="Times New Roman" w:eastAsia="Times New Roman" w:hAnsi="Times New Roman" w:cs="Times New Roman"/>
          <w:color w:val="000000"/>
          <w:sz w:val="21"/>
          <w:lang w:val="az-Cyrl-AZ" w:eastAsia="ru-RU"/>
        </w:rPr>
        <w:t xml:space="preserve"> </w:t>
      </w:r>
    </w:p>
    <w:p w14:paraId="3D3BB03F" w14:textId="77777777" w:rsidR="00A647AC" w:rsidRPr="00A647AC" w:rsidRDefault="00A647AC" w:rsidP="00A647AC">
      <w:pPr>
        <w:tabs>
          <w:tab w:val="left" w:pos="1276"/>
        </w:tabs>
        <w:spacing w:after="5" w:line="250" w:lineRule="auto"/>
        <w:ind w:left="125" w:right="182" w:firstLine="709"/>
        <w:jc w:val="both"/>
        <w:rPr>
          <w:rFonts w:ascii="Times New Roman" w:eastAsia="Times New Roman" w:hAnsi="Times New Roman" w:cs="Times New Roman"/>
          <w:color w:val="000000"/>
          <w:sz w:val="32"/>
          <w:lang w:val="az-Cyrl-AZ" w:eastAsia="ru-RU"/>
        </w:rPr>
      </w:pPr>
      <w:r w:rsidRPr="00A647AC">
        <w:rPr>
          <w:rFonts w:ascii="Times New Roman" w:eastAsia="Times New Roman" w:hAnsi="Times New Roman" w:cs="Times New Roman"/>
          <w:b/>
          <w:color w:val="000000"/>
          <w:sz w:val="21"/>
          <w:lang w:eastAsia="ru-RU"/>
        </w:rPr>
        <w:t>Ключевые слова:</w:t>
      </w:r>
      <w:r w:rsidRPr="00A647AC">
        <w:rPr>
          <w:rFonts w:ascii="Times New Roman" w:eastAsia="Times New Roman" w:hAnsi="Times New Roman" w:cs="Times New Roman"/>
          <w:color w:val="000000"/>
          <w:sz w:val="21"/>
          <w:lang w:eastAsia="ru-RU"/>
        </w:rPr>
        <w:t xml:space="preserve"> </w:t>
      </w:r>
      <w:r w:rsidRPr="00A647AC">
        <w:rPr>
          <w:rFonts w:ascii="Times New Roman" w:eastAsia="Times New Roman" w:hAnsi="Times New Roman" w:cs="Times New Roman"/>
          <w:color w:val="000000"/>
          <w:sz w:val="21"/>
          <w:szCs w:val="21"/>
          <w:lang w:val="az-Cyrl-AZ" w:eastAsia="ru-RU"/>
        </w:rPr>
        <w:t>Онлайн-формат, спортивная школа, технологии в спорте, цифровизация спортивной подготовки, виртуальные тренировки, онлайн статистика очков, статистика нармотивов.</w:t>
      </w:r>
    </w:p>
    <w:p w14:paraId="35E53089" w14:textId="77777777" w:rsidR="00A647AC" w:rsidRPr="00A647AC" w:rsidRDefault="00A647AC" w:rsidP="00817A92">
      <w:pPr>
        <w:tabs>
          <w:tab w:val="left" w:pos="1276"/>
        </w:tabs>
        <w:spacing w:after="0" w:line="240" w:lineRule="auto"/>
        <w:ind w:left="850" w:right="182"/>
        <w:contextualSpacing/>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color w:val="000000"/>
          <w:sz w:val="21"/>
          <w:lang w:eastAsia="ru-RU"/>
        </w:rPr>
        <w:t xml:space="preserve"> </w:t>
      </w:r>
    </w:p>
    <w:p w14:paraId="3483D4D5" w14:textId="77777777" w:rsidR="00A647AC" w:rsidRPr="00A647AC" w:rsidRDefault="00A647AC" w:rsidP="00817A92">
      <w:pPr>
        <w:tabs>
          <w:tab w:val="left" w:pos="1276"/>
        </w:tabs>
        <w:spacing w:after="5" w:line="240" w:lineRule="auto"/>
        <w:ind w:left="7655" w:right="182" w:firstLine="158"/>
        <w:contextualSpacing/>
        <w:jc w:val="right"/>
        <w:rPr>
          <w:rFonts w:ascii="Times New Roman" w:eastAsia="Times New Roman" w:hAnsi="Times New Roman" w:cs="Times New Roman"/>
          <w:color w:val="000000"/>
          <w:sz w:val="32"/>
          <w:lang w:val="en-US" w:eastAsia="ru-RU"/>
        </w:rPr>
      </w:pPr>
      <w:r w:rsidRPr="00A647AC">
        <w:rPr>
          <w:rFonts w:ascii="Times New Roman" w:eastAsia="Times New Roman" w:hAnsi="Times New Roman" w:cs="Times New Roman"/>
          <w:b/>
          <w:i/>
          <w:color w:val="000000"/>
          <w:sz w:val="21"/>
          <w:lang w:val="en-US" w:eastAsia="ru-RU"/>
        </w:rPr>
        <w:t xml:space="preserve">Zlobina S.S., </w:t>
      </w:r>
      <w:r w:rsidRPr="00A647AC">
        <w:rPr>
          <w:rFonts w:ascii="Times New Roman" w:eastAsia="Times New Roman" w:hAnsi="Times New Roman" w:cs="Times New Roman"/>
          <w:i/>
          <w:color w:val="000000"/>
          <w:sz w:val="21"/>
          <w:lang w:val="en-US" w:eastAsia="ru-RU"/>
        </w:rPr>
        <w:t>student, 3 courses</w:t>
      </w:r>
    </w:p>
    <w:p w14:paraId="4088B9C8" w14:textId="7437109D" w:rsidR="00A647AC" w:rsidRPr="00A647AC" w:rsidRDefault="00A647AC" w:rsidP="00817A92">
      <w:pPr>
        <w:tabs>
          <w:tab w:val="left" w:pos="1276"/>
        </w:tabs>
        <w:spacing w:after="5" w:line="240" w:lineRule="auto"/>
        <w:ind w:left="3450" w:right="182" w:hanging="10"/>
        <w:contextualSpacing/>
        <w:jc w:val="right"/>
        <w:rPr>
          <w:rFonts w:ascii="Times New Roman" w:eastAsia="Times New Roman" w:hAnsi="Times New Roman" w:cs="Times New Roman"/>
          <w:color w:val="000000"/>
          <w:sz w:val="32"/>
          <w:lang w:val="en-US" w:eastAsia="ru-RU"/>
        </w:rPr>
      </w:pPr>
      <w:r w:rsidRPr="00A647AC">
        <w:rPr>
          <w:rFonts w:ascii="Times New Roman" w:eastAsia="Times New Roman" w:hAnsi="Times New Roman" w:cs="Times New Roman"/>
          <w:i/>
          <w:color w:val="000000"/>
          <w:sz w:val="21"/>
          <w:lang w:val="en-US" w:eastAsia="ru-RU"/>
        </w:rPr>
        <w:t xml:space="preserve">Financial University under the Government of the Russian Federation Krasnodar, Russia </w:t>
      </w:r>
    </w:p>
    <w:p w14:paraId="584C15A8" w14:textId="77777777" w:rsidR="00A647AC" w:rsidRPr="00A647AC" w:rsidRDefault="00A647AC" w:rsidP="00817A92">
      <w:pPr>
        <w:tabs>
          <w:tab w:val="left" w:pos="1276"/>
        </w:tabs>
        <w:spacing w:after="5" w:line="240" w:lineRule="auto"/>
        <w:ind w:left="3450" w:right="182" w:hanging="10"/>
        <w:contextualSpacing/>
        <w:jc w:val="right"/>
        <w:rPr>
          <w:rFonts w:ascii="Times New Roman" w:eastAsia="Times New Roman" w:hAnsi="Times New Roman" w:cs="Times New Roman"/>
          <w:color w:val="000000"/>
          <w:sz w:val="32"/>
          <w:lang w:val="en-US" w:eastAsia="ru-RU"/>
        </w:rPr>
      </w:pPr>
      <w:r w:rsidRPr="00A647AC">
        <w:rPr>
          <w:rFonts w:ascii="Times New Roman" w:eastAsia="Times New Roman" w:hAnsi="Times New Roman" w:cs="Times New Roman"/>
          <w:i/>
          <w:color w:val="000000"/>
          <w:sz w:val="21"/>
          <w:lang w:val="en-US" w:eastAsia="ru-RU"/>
        </w:rPr>
        <w:t>e-mail: zlobina10091996@gmail.com</w:t>
      </w:r>
    </w:p>
    <w:p w14:paraId="06C820EC" w14:textId="77777777" w:rsidR="005216A9" w:rsidRPr="0079564B" w:rsidRDefault="005216A9" w:rsidP="00817A92">
      <w:pPr>
        <w:tabs>
          <w:tab w:val="left" w:pos="1276"/>
        </w:tabs>
        <w:spacing w:after="0" w:line="240" w:lineRule="auto"/>
        <w:ind w:right="182"/>
        <w:contextualSpacing/>
        <w:jc w:val="right"/>
        <w:rPr>
          <w:rFonts w:ascii="Times New Roman" w:eastAsia="Times New Roman" w:hAnsi="Times New Roman" w:cs="Times New Roman"/>
          <w:b/>
          <w:i/>
          <w:color w:val="000000"/>
          <w:sz w:val="21"/>
          <w:lang w:val="en-US" w:eastAsia="ru-RU"/>
        </w:rPr>
      </w:pPr>
    </w:p>
    <w:p w14:paraId="47CC5FED" w14:textId="57E85315" w:rsidR="00A647AC" w:rsidRPr="00A647AC" w:rsidRDefault="00A647AC" w:rsidP="00817A92">
      <w:pPr>
        <w:tabs>
          <w:tab w:val="left" w:pos="1276"/>
        </w:tabs>
        <w:spacing w:after="0" w:line="240" w:lineRule="auto"/>
        <w:ind w:right="182"/>
        <w:contextualSpacing/>
        <w:jc w:val="right"/>
        <w:rPr>
          <w:rFonts w:ascii="Times New Roman" w:eastAsia="Times New Roman" w:hAnsi="Times New Roman" w:cs="Times New Roman"/>
          <w:b/>
          <w:i/>
          <w:color w:val="000000"/>
          <w:sz w:val="21"/>
          <w:lang w:val="en-US" w:eastAsia="ru-RU"/>
        </w:rPr>
      </w:pPr>
      <w:r w:rsidRPr="00A647AC">
        <w:rPr>
          <w:rFonts w:ascii="Times New Roman" w:eastAsia="Times New Roman" w:hAnsi="Times New Roman" w:cs="Times New Roman"/>
          <w:b/>
          <w:i/>
          <w:color w:val="000000"/>
          <w:sz w:val="21"/>
          <w:lang w:val="en-US" w:eastAsia="ru-RU"/>
        </w:rPr>
        <w:t>Scientific supervisor:</w:t>
      </w:r>
    </w:p>
    <w:p w14:paraId="0688CF8F" w14:textId="77777777" w:rsidR="00A647AC" w:rsidRPr="00A647AC" w:rsidRDefault="00A647AC" w:rsidP="00817A92">
      <w:pPr>
        <w:tabs>
          <w:tab w:val="left" w:pos="1276"/>
        </w:tabs>
        <w:spacing w:after="0" w:line="240" w:lineRule="auto"/>
        <w:ind w:right="182"/>
        <w:contextualSpacing/>
        <w:jc w:val="right"/>
        <w:rPr>
          <w:rFonts w:ascii="Times New Roman" w:eastAsia="Times New Roman" w:hAnsi="Times New Roman" w:cs="Times New Roman"/>
          <w:b/>
          <w:i/>
          <w:color w:val="000000"/>
          <w:sz w:val="21"/>
          <w:lang w:val="en-US" w:eastAsia="ru-RU"/>
        </w:rPr>
      </w:pPr>
      <w:r w:rsidRPr="00A647AC">
        <w:rPr>
          <w:rFonts w:ascii="Times New Roman" w:eastAsia="Times New Roman" w:hAnsi="Times New Roman" w:cs="Times New Roman"/>
          <w:b/>
          <w:i/>
          <w:color w:val="000000"/>
          <w:sz w:val="21"/>
          <w:lang w:val="en-US" w:eastAsia="ru-RU"/>
        </w:rPr>
        <w:t xml:space="preserve">Pyankova N.G., </w:t>
      </w:r>
    </w:p>
    <w:p w14:paraId="498F46DD" w14:textId="77777777" w:rsidR="00A647AC" w:rsidRPr="00A647AC" w:rsidRDefault="00A647AC" w:rsidP="00817A92">
      <w:pPr>
        <w:tabs>
          <w:tab w:val="left" w:pos="1276"/>
        </w:tabs>
        <w:spacing w:after="0" w:line="240" w:lineRule="auto"/>
        <w:ind w:right="182"/>
        <w:contextualSpacing/>
        <w:jc w:val="right"/>
        <w:rPr>
          <w:rFonts w:ascii="Times New Roman" w:eastAsia="Times New Roman" w:hAnsi="Times New Roman" w:cs="Times New Roman"/>
          <w:i/>
          <w:color w:val="000000"/>
          <w:sz w:val="21"/>
          <w:lang w:val="en-US" w:eastAsia="ru-RU"/>
        </w:rPr>
      </w:pPr>
      <w:r w:rsidRPr="00A647AC">
        <w:rPr>
          <w:rFonts w:ascii="Times New Roman" w:eastAsia="Times New Roman" w:hAnsi="Times New Roman" w:cs="Times New Roman"/>
          <w:i/>
          <w:color w:val="000000"/>
          <w:sz w:val="21"/>
          <w:lang w:val="en-US" w:eastAsia="ru-RU"/>
        </w:rPr>
        <w:t>Associate Professor, Department of Mathematics and Computer Science</w:t>
      </w:r>
    </w:p>
    <w:p w14:paraId="321177BA" w14:textId="1CC149B6" w:rsidR="005F341A" w:rsidRPr="005F341A" w:rsidRDefault="00A647AC" w:rsidP="005F341A">
      <w:pPr>
        <w:tabs>
          <w:tab w:val="left" w:pos="1276"/>
        </w:tabs>
        <w:spacing w:after="0" w:line="240" w:lineRule="auto"/>
        <w:ind w:right="182"/>
        <w:contextualSpacing/>
        <w:jc w:val="right"/>
        <w:rPr>
          <w:rFonts w:ascii="Times New Roman" w:eastAsia="Times New Roman" w:hAnsi="Times New Roman" w:cs="Times New Roman"/>
          <w:i/>
          <w:color w:val="000000"/>
          <w:sz w:val="21"/>
          <w:lang w:val="en-US" w:eastAsia="ru-RU"/>
        </w:rPr>
      </w:pPr>
      <w:r w:rsidRPr="00A647AC">
        <w:rPr>
          <w:rFonts w:ascii="Times New Roman" w:eastAsia="Times New Roman" w:hAnsi="Times New Roman" w:cs="Times New Roman"/>
          <w:i/>
          <w:color w:val="000000"/>
          <w:sz w:val="21"/>
          <w:lang w:val="en-US" w:eastAsia="ru-RU"/>
        </w:rPr>
        <w:t>Financial University under the Government of the Russian Federation</w:t>
      </w:r>
      <w:r w:rsidR="005F341A" w:rsidRPr="005F341A">
        <w:rPr>
          <w:rFonts w:ascii="Times New Roman" w:eastAsia="Times New Roman" w:hAnsi="Times New Roman" w:cs="Times New Roman"/>
          <w:i/>
          <w:color w:val="000000"/>
          <w:sz w:val="21"/>
          <w:lang w:val="en-US" w:eastAsia="ru-RU"/>
        </w:rPr>
        <w:t xml:space="preserve"> </w:t>
      </w:r>
      <w:r w:rsidRPr="00A647AC">
        <w:rPr>
          <w:rFonts w:ascii="Times New Roman" w:eastAsia="Times New Roman" w:hAnsi="Times New Roman" w:cs="Times New Roman"/>
          <w:i/>
          <w:color w:val="000000"/>
          <w:sz w:val="21"/>
          <w:lang w:val="en-US" w:eastAsia="ru-RU"/>
        </w:rPr>
        <w:t xml:space="preserve">(Krasnodar branch) </w:t>
      </w:r>
    </w:p>
    <w:p w14:paraId="0F3C7140" w14:textId="185FE644" w:rsidR="00A647AC" w:rsidRPr="00A647AC" w:rsidRDefault="00A647AC" w:rsidP="00817A92">
      <w:pPr>
        <w:tabs>
          <w:tab w:val="left" w:pos="1276"/>
        </w:tabs>
        <w:spacing w:after="0" w:line="240" w:lineRule="auto"/>
        <w:ind w:right="182"/>
        <w:contextualSpacing/>
        <w:jc w:val="right"/>
        <w:rPr>
          <w:rFonts w:ascii="Times New Roman" w:eastAsia="Times New Roman" w:hAnsi="Times New Roman" w:cs="Times New Roman"/>
          <w:i/>
          <w:color w:val="000000"/>
          <w:sz w:val="21"/>
          <w:lang w:val="en-US" w:eastAsia="ru-RU"/>
        </w:rPr>
      </w:pPr>
      <w:r w:rsidRPr="00A647AC">
        <w:rPr>
          <w:rFonts w:ascii="Times New Roman" w:eastAsia="Times New Roman" w:hAnsi="Times New Roman" w:cs="Times New Roman"/>
          <w:i/>
          <w:color w:val="000000"/>
          <w:sz w:val="21"/>
          <w:lang w:val="en-US" w:eastAsia="ru-RU"/>
        </w:rPr>
        <w:t>Krasnodar, Russia</w:t>
      </w:r>
    </w:p>
    <w:p w14:paraId="1CD15508" w14:textId="77777777" w:rsidR="00A647AC" w:rsidRPr="00A647AC" w:rsidRDefault="00A647AC" w:rsidP="00817A92">
      <w:pPr>
        <w:tabs>
          <w:tab w:val="left" w:pos="1276"/>
        </w:tabs>
        <w:spacing w:after="0" w:line="240" w:lineRule="auto"/>
        <w:ind w:right="182"/>
        <w:contextualSpacing/>
        <w:jc w:val="right"/>
        <w:rPr>
          <w:rFonts w:ascii="Times New Roman" w:eastAsia="Times New Roman" w:hAnsi="Times New Roman" w:cs="Times New Roman"/>
          <w:i/>
          <w:color w:val="000000"/>
          <w:sz w:val="21"/>
          <w:lang w:val="en-US" w:eastAsia="ru-RU"/>
        </w:rPr>
      </w:pPr>
      <w:r w:rsidRPr="00A647AC">
        <w:rPr>
          <w:rFonts w:ascii="Times New Roman" w:eastAsia="Times New Roman" w:hAnsi="Times New Roman" w:cs="Times New Roman"/>
          <w:i/>
          <w:color w:val="000000"/>
          <w:sz w:val="21"/>
          <w:lang w:val="en-US" w:eastAsia="ru-RU"/>
        </w:rPr>
        <w:t>e-mail:</w:t>
      </w:r>
      <w:r w:rsidRPr="00A647AC">
        <w:rPr>
          <w:rFonts w:ascii="Times New Roman" w:eastAsia="Times New Roman" w:hAnsi="Times New Roman" w:cs="Times New Roman"/>
          <w:i/>
          <w:color w:val="000000"/>
          <w:spacing w:val="-1"/>
          <w:sz w:val="21"/>
          <w:szCs w:val="21"/>
          <w:shd w:val="clear" w:color="auto" w:fill="FFFFFF"/>
          <w:lang w:val="en-US" w:eastAsia="ru-RU"/>
        </w:rPr>
        <w:t xml:space="preserve"> ninapyankova@mail.ru</w:t>
      </w:r>
      <w:r w:rsidRPr="00A647AC">
        <w:rPr>
          <w:rFonts w:ascii="Times New Roman" w:eastAsia="Times New Roman" w:hAnsi="Times New Roman" w:cs="Times New Roman"/>
          <w:i/>
          <w:color w:val="000000"/>
          <w:sz w:val="21"/>
          <w:lang w:val="en-US" w:eastAsia="ru-RU"/>
        </w:rPr>
        <w:t xml:space="preserve"> </w:t>
      </w:r>
      <w:r w:rsidRPr="00A647AC">
        <w:rPr>
          <w:rFonts w:ascii="Times New Roman" w:eastAsia="Times New Roman" w:hAnsi="Times New Roman" w:cs="Times New Roman"/>
          <w:i/>
          <w:color w:val="000000"/>
          <w:sz w:val="21"/>
          <w:lang w:val="en-US" w:eastAsia="ru-RU"/>
        </w:rPr>
        <w:cr/>
        <w:t xml:space="preserve"> </w:t>
      </w:r>
    </w:p>
    <w:p w14:paraId="025FFAF0" w14:textId="7F747F21" w:rsidR="00A647AC" w:rsidRPr="0079564B" w:rsidRDefault="00A647AC" w:rsidP="005F341A">
      <w:pPr>
        <w:tabs>
          <w:tab w:val="left" w:pos="1276"/>
        </w:tabs>
        <w:spacing w:after="5" w:line="268" w:lineRule="auto"/>
        <w:ind w:left="268" w:right="182" w:hanging="10"/>
        <w:jc w:val="center"/>
        <w:rPr>
          <w:rFonts w:ascii="Times New Roman" w:eastAsia="Times New Roman" w:hAnsi="Times New Roman" w:cs="Times New Roman"/>
          <w:color w:val="000000"/>
          <w:sz w:val="32"/>
          <w:lang w:val="en-US" w:eastAsia="ru-RU"/>
        </w:rPr>
      </w:pPr>
      <w:r w:rsidRPr="00A647AC">
        <w:rPr>
          <w:rFonts w:ascii="Times New Roman" w:eastAsia="Times New Roman" w:hAnsi="Times New Roman" w:cs="Times New Roman"/>
          <w:b/>
          <w:color w:val="000000"/>
          <w:sz w:val="21"/>
          <w:lang w:val="en-US" w:eastAsia="ru-RU"/>
        </w:rPr>
        <w:t>Creating an online format for a sports school: an electronic diary as a key opportunity</w:t>
      </w:r>
    </w:p>
    <w:p w14:paraId="6D7E049D" w14:textId="77777777" w:rsidR="005F341A" w:rsidRPr="0079564B" w:rsidRDefault="005F341A" w:rsidP="005F341A">
      <w:pPr>
        <w:tabs>
          <w:tab w:val="left" w:pos="1276"/>
        </w:tabs>
        <w:spacing w:after="5" w:line="268" w:lineRule="auto"/>
        <w:ind w:left="268" w:right="182" w:hanging="10"/>
        <w:jc w:val="center"/>
        <w:rPr>
          <w:rFonts w:ascii="Times New Roman" w:eastAsia="Times New Roman" w:hAnsi="Times New Roman" w:cs="Times New Roman"/>
          <w:color w:val="000000"/>
          <w:sz w:val="24"/>
          <w:szCs w:val="18"/>
          <w:lang w:val="en-US" w:eastAsia="ru-RU"/>
        </w:rPr>
      </w:pPr>
    </w:p>
    <w:p w14:paraId="372A7A4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000000"/>
          <w:sz w:val="21"/>
          <w:szCs w:val="21"/>
          <w:lang w:val="en-US" w:eastAsia="ru-RU"/>
        </w:rPr>
      </w:pPr>
      <w:r w:rsidRPr="00A647AC">
        <w:rPr>
          <w:rFonts w:ascii="Times New Roman" w:eastAsia="Times New Roman" w:hAnsi="Times New Roman" w:cs="Times New Roman"/>
          <w:b/>
          <w:color w:val="000000"/>
          <w:sz w:val="21"/>
          <w:lang w:val="en-US" w:eastAsia="ru-RU"/>
        </w:rPr>
        <w:t>Abstract:</w:t>
      </w:r>
      <w:r w:rsidRPr="00A647AC">
        <w:rPr>
          <w:rFonts w:ascii="Times New Roman" w:eastAsia="Times New Roman" w:hAnsi="Times New Roman" w:cs="Times New Roman"/>
          <w:color w:val="000000"/>
          <w:sz w:val="21"/>
          <w:lang w:val="en-US" w:eastAsia="ru-RU"/>
        </w:rPr>
        <w:t xml:space="preserve"> </w:t>
      </w:r>
      <w:r w:rsidRPr="00A647AC">
        <w:rPr>
          <w:rFonts w:ascii="Times New Roman" w:eastAsia="Times New Roman" w:hAnsi="Times New Roman" w:cs="Times New Roman"/>
          <w:color w:val="000000"/>
          <w:sz w:val="21"/>
          <w:szCs w:val="21"/>
          <w:lang w:val="en-US" w:eastAsia="ru-RU"/>
        </w:rPr>
        <w:t>The article explores an innovative approach to the digital transformation of sports schools through the introduction of a comprehensive electronic diary. A multifunctional platform is being considered that combines the management of standards, class schedules, personal statistics of athletes, as well as remote training.</w:t>
      </w:r>
    </w:p>
    <w:p w14:paraId="73A15B91"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000000"/>
          <w:sz w:val="21"/>
          <w:szCs w:val="21"/>
          <w:lang w:val="en-US" w:eastAsia="ru-RU"/>
        </w:rPr>
      </w:pPr>
      <w:r w:rsidRPr="00A647AC">
        <w:rPr>
          <w:rFonts w:ascii="Times New Roman" w:eastAsia="Times New Roman" w:hAnsi="Times New Roman" w:cs="Times New Roman"/>
          <w:b/>
          <w:color w:val="000000"/>
          <w:sz w:val="21"/>
          <w:lang w:val="en-US" w:eastAsia="ru-RU"/>
        </w:rPr>
        <w:t>Keywords:</w:t>
      </w:r>
      <w:r w:rsidRPr="00A647AC">
        <w:rPr>
          <w:rFonts w:ascii="Times New Roman" w:eastAsia="Times New Roman" w:hAnsi="Times New Roman" w:cs="Times New Roman"/>
          <w:color w:val="000000"/>
          <w:sz w:val="21"/>
          <w:lang w:val="en-US" w:eastAsia="ru-RU"/>
        </w:rPr>
        <w:t xml:space="preserve"> </w:t>
      </w:r>
      <w:r w:rsidRPr="00A647AC">
        <w:rPr>
          <w:rFonts w:ascii="Times New Roman" w:eastAsia="Times New Roman" w:hAnsi="Times New Roman" w:cs="Times New Roman"/>
          <w:color w:val="000000"/>
          <w:sz w:val="21"/>
          <w:szCs w:val="21"/>
          <w:lang w:val="en-US" w:eastAsia="ru-RU"/>
        </w:rPr>
        <w:t>Online format, sports school, technologies in sports, digitalization of sports training, virtual training, online points statistics, drug statistics.</w:t>
      </w:r>
    </w:p>
    <w:p w14:paraId="06C28C1E" w14:textId="77777777" w:rsidR="00A647AC" w:rsidRPr="0079564B" w:rsidRDefault="00A647AC" w:rsidP="005216A9">
      <w:pPr>
        <w:spacing w:after="5" w:line="250" w:lineRule="auto"/>
        <w:ind w:right="110"/>
        <w:jc w:val="both"/>
        <w:rPr>
          <w:rFonts w:ascii="Times New Roman" w:eastAsia="Times New Roman" w:hAnsi="Times New Roman" w:cs="Times New Roman"/>
          <w:color w:val="000000"/>
          <w:sz w:val="32"/>
          <w:lang w:val="en-US" w:eastAsia="ru-RU"/>
        </w:rPr>
      </w:pPr>
    </w:p>
    <w:p w14:paraId="708607C7"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hd w:val="clear" w:color="auto" w:fill="FFFFFF"/>
          <w:lang w:eastAsia="ru-RU"/>
        </w:rPr>
      </w:pPr>
      <w:r w:rsidRPr="00A647AC">
        <w:rPr>
          <w:rFonts w:ascii="Times New Roman" w:eastAsia="Times New Roman" w:hAnsi="Times New Roman" w:cs="Times New Roman"/>
          <w:sz w:val="32"/>
          <w:shd w:val="clear" w:color="auto" w:fill="FFFFFF"/>
          <w:lang w:eastAsia="ru-RU"/>
        </w:rPr>
        <w:t>В эпоху цифровизации спортивные школы сталкиваются с необходимостью трансформации традиционных подходов к тренировочному процессу. Согласно последним исследованиям Deloitte Sports Business Group, 82% успешных спортивных академий рассматривают цифровые технологии как стратегический приоритет развития. В России этот тренд набирает особую актуальность в свете государственной программы «Цифровая трансформация спорта», запущенной в 2022 году.</w:t>
      </w:r>
    </w:p>
    <w:p w14:paraId="60E555ED"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lastRenderedPageBreak/>
        <w:t xml:space="preserve">Электронный дневник перестал быть просто цифровым аналогом бумажного журнала </w:t>
      </w:r>
      <w:proofErr w:type="gramStart"/>
      <w:r w:rsidRPr="00A647AC">
        <w:rPr>
          <w:rFonts w:ascii="Times New Roman" w:eastAsia="Times New Roman" w:hAnsi="Times New Roman" w:cs="Times New Roman"/>
          <w:sz w:val="32"/>
          <w:szCs w:val="32"/>
          <w:lang w:eastAsia="ru-RU"/>
        </w:rPr>
        <w:t>- это</w:t>
      </w:r>
      <w:proofErr w:type="gramEnd"/>
      <w:r w:rsidRPr="00A647AC">
        <w:rPr>
          <w:rFonts w:ascii="Times New Roman" w:eastAsia="Times New Roman" w:hAnsi="Times New Roman" w:cs="Times New Roman"/>
          <w:sz w:val="32"/>
          <w:szCs w:val="32"/>
          <w:lang w:eastAsia="ru-RU"/>
        </w:rPr>
        <w:t xml:space="preserve"> комплексная экосистема управления спортивным развитием. Как показывает практика ведущих академий (Баварья, Ла Масия), внедрение таких систем дает:</w:t>
      </w:r>
    </w:p>
    <w:p w14:paraId="591E5005" w14:textId="77777777" w:rsidR="00A647AC" w:rsidRPr="00A647AC" w:rsidRDefault="00A647AC" w:rsidP="00AD58CD">
      <w:pPr>
        <w:numPr>
          <w:ilvl w:val="0"/>
          <w:numId w:val="70"/>
        </w:numPr>
        <w:spacing w:after="5" w:line="250" w:lineRule="auto"/>
        <w:ind w:right="110"/>
        <w:contextualSpacing/>
        <w:jc w:val="both"/>
        <w:rPr>
          <w:rFonts w:ascii="Times New Roman" w:eastAsia="Times New Roman" w:hAnsi="Times New Roman" w:cs="Times New Roman"/>
          <w:sz w:val="32"/>
          <w:shd w:val="clear" w:color="auto" w:fill="FFFFFF"/>
          <w:lang w:eastAsia="ru-RU"/>
        </w:rPr>
      </w:pPr>
      <w:r w:rsidRPr="00A647AC">
        <w:rPr>
          <w:rFonts w:ascii="Times New Roman" w:eastAsia="Times New Roman" w:hAnsi="Times New Roman" w:cs="Times New Roman"/>
          <w:sz w:val="32"/>
          <w:shd w:val="clear" w:color="auto" w:fill="FFFFFF"/>
          <w:lang w:eastAsia="ru-RU"/>
        </w:rPr>
        <w:t>40% рост эффективности тренировочного процесса</w:t>
      </w:r>
    </w:p>
    <w:p w14:paraId="7AF0B15F" w14:textId="77777777" w:rsidR="00A647AC" w:rsidRPr="00A647AC" w:rsidRDefault="00A647AC" w:rsidP="00AD58CD">
      <w:pPr>
        <w:numPr>
          <w:ilvl w:val="0"/>
          <w:numId w:val="70"/>
        </w:numPr>
        <w:spacing w:after="5" w:line="250" w:lineRule="auto"/>
        <w:ind w:right="110"/>
        <w:contextualSpacing/>
        <w:jc w:val="both"/>
        <w:rPr>
          <w:rFonts w:ascii="Times New Roman" w:eastAsia="Times New Roman" w:hAnsi="Times New Roman" w:cs="Times New Roman"/>
          <w:sz w:val="32"/>
          <w:shd w:val="clear" w:color="auto" w:fill="FFFFFF"/>
          <w:lang w:eastAsia="ru-RU"/>
        </w:rPr>
      </w:pPr>
      <w:r w:rsidRPr="00A647AC">
        <w:rPr>
          <w:rFonts w:ascii="Times New Roman" w:eastAsia="Times New Roman" w:hAnsi="Times New Roman" w:cs="Times New Roman"/>
          <w:sz w:val="32"/>
          <w:shd w:val="clear" w:color="auto" w:fill="FFFFFF"/>
          <w:lang w:eastAsia="ru-RU"/>
        </w:rPr>
        <w:t>35% сокращение административной нагрузки</w:t>
      </w:r>
    </w:p>
    <w:p w14:paraId="7ED17661" w14:textId="77777777" w:rsidR="00A647AC" w:rsidRPr="00A647AC" w:rsidRDefault="00A647AC" w:rsidP="00AD58CD">
      <w:pPr>
        <w:numPr>
          <w:ilvl w:val="0"/>
          <w:numId w:val="70"/>
        </w:numPr>
        <w:spacing w:after="5" w:line="250" w:lineRule="auto"/>
        <w:ind w:right="110"/>
        <w:contextualSpacing/>
        <w:jc w:val="both"/>
        <w:rPr>
          <w:rFonts w:ascii="Times New Roman" w:eastAsia="Times New Roman" w:hAnsi="Times New Roman" w:cs="Times New Roman"/>
          <w:sz w:val="32"/>
          <w:shd w:val="clear" w:color="auto" w:fill="FFFFFF"/>
          <w:lang w:eastAsia="ru-RU"/>
        </w:rPr>
      </w:pPr>
      <w:r w:rsidRPr="00A647AC">
        <w:rPr>
          <w:rFonts w:ascii="Times New Roman" w:eastAsia="Times New Roman" w:hAnsi="Times New Roman" w:cs="Times New Roman"/>
          <w:sz w:val="32"/>
          <w:shd w:val="clear" w:color="auto" w:fill="FFFFFF"/>
          <w:lang w:eastAsia="ru-RU"/>
        </w:rPr>
        <w:t>50% повышение вовлеченности родителей.</w:t>
      </w:r>
    </w:p>
    <w:p w14:paraId="4A9AF0B6" w14:textId="1AAC723B" w:rsidR="00A647AC" w:rsidRPr="00A647AC" w:rsidRDefault="00A647AC" w:rsidP="005216A9">
      <w:pPr>
        <w:spacing w:after="5" w:line="250" w:lineRule="auto"/>
        <w:ind w:left="142" w:right="110" w:firstLine="710"/>
        <w:jc w:val="both"/>
        <w:rPr>
          <w:rFonts w:ascii="Times New Roman" w:eastAsia="Times New Roman" w:hAnsi="Times New Roman" w:cs="Times New Roman"/>
          <w:sz w:val="32"/>
          <w:shd w:val="clear" w:color="auto" w:fill="FFFFFF"/>
          <w:lang w:eastAsia="ru-RU"/>
        </w:rPr>
      </w:pPr>
      <w:r w:rsidRPr="00A647AC">
        <w:rPr>
          <w:rFonts w:ascii="Times New Roman" w:eastAsia="Times New Roman" w:hAnsi="Times New Roman" w:cs="Times New Roman"/>
          <w:sz w:val="32"/>
          <w:shd w:val="clear" w:color="auto" w:fill="FFFFFF"/>
          <w:lang w:eastAsia="ru-RU"/>
        </w:rPr>
        <w:t>В данной статье мы подробно рассмотрим, как онлайн-формат может преобразить спортивные школы, повысить уровень взаимодействия между тренерами, спортсменами и родителями, а также наметим пути решения возникающих проблем.</w:t>
      </w:r>
    </w:p>
    <w:p w14:paraId="75A80AFD" w14:textId="11226ECA" w:rsidR="00A647AC" w:rsidRPr="00A647AC" w:rsidRDefault="00A647AC" w:rsidP="005216A9">
      <w:pPr>
        <w:spacing w:after="5" w:line="250" w:lineRule="auto"/>
        <w:ind w:left="142" w:right="110" w:firstLine="710"/>
        <w:jc w:val="center"/>
        <w:rPr>
          <w:rFonts w:ascii="Times New Roman" w:eastAsia="Times New Roman" w:hAnsi="Times New Roman" w:cs="Times New Roman"/>
          <w:b/>
          <w:color w:val="000000"/>
          <w:sz w:val="32"/>
          <w:lang w:eastAsia="ru-RU"/>
        </w:rPr>
      </w:pPr>
      <w:r w:rsidRPr="00A647AC">
        <w:rPr>
          <w:rFonts w:ascii="Times New Roman" w:eastAsia="Times New Roman" w:hAnsi="Times New Roman" w:cs="Times New Roman"/>
          <w:b/>
          <w:color w:val="000000"/>
          <w:sz w:val="32"/>
          <w:lang w:eastAsia="ru-RU"/>
        </w:rPr>
        <w:t>Цифровизация спортивной сферы</w:t>
      </w:r>
    </w:p>
    <w:p w14:paraId="4ABA9122"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404040"/>
          <w:sz w:val="32"/>
          <w:shd w:val="clear" w:color="auto" w:fill="FFFFFF"/>
          <w:lang w:eastAsia="ru-RU"/>
        </w:rPr>
      </w:pPr>
      <w:r w:rsidRPr="00A647AC">
        <w:rPr>
          <w:rFonts w:ascii="Times New Roman" w:eastAsia="Times New Roman" w:hAnsi="Times New Roman" w:cs="Times New Roman"/>
          <w:color w:val="000000"/>
          <w:sz w:val="32"/>
          <w:lang w:eastAsia="ru-RU"/>
        </w:rPr>
        <w:t xml:space="preserve">Цифровизация спорта представляет собой многогранное развитие внедрения цифровых технологий в тренировочный процесс, управление спортивными организациями и взаимодействие всех спортсменов и тренеров. Этот процесс затрагивает различные аспекты деятельности спортивной школы, начиная от административных задач и заканчивая анализом эффективности тренировок. </w:t>
      </w:r>
    </w:p>
    <w:p w14:paraId="32D46F0F" w14:textId="59B27A7A" w:rsidR="00A647AC" w:rsidRPr="00A647AC" w:rsidRDefault="00A647AC" w:rsidP="005216A9">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color w:val="000000"/>
          <w:sz w:val="32"/>
          <w:lang w:eastAsia="ru-RU"/>
        </w:rPr>
        <w:t xml:space="preserve">Информационные технологии становятся ключевым фактором успеха в спортивной подготовке. Они позволяют существенно повысить эффективность тренировочного процесса, улучшить качество управления спортивной организацией, обеспечить прозрачность результатов и создать условия для постоянного мониторинга прогресса каждого спортсмена. </w:t>
      </w:r>
    </w:p>
    <w:p w14:paraId="1AB571B0"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color w:val="000000"/>
          <w:sz w:val="32"/>
          <w:lang w:eastAsia="ru-RU"/>
        </w:rPr>
        <w:t>Электронный дневник занимает центральное место в цифровой инфраструктуре современной спортивной школы, становят многофункциональной платформой для управления учебно-тренировочным процессом. Он объединяет в себе нормативную базу с актуальными требованиями по различным видам спорта, гибкое расписание тренировок с функцией оперативного внесения изменений, а также деятельную статистику достижений каждого спортсмена с возможностью отслеживать динамику результатов.</w:t>
      </w:r>
    </w:p>
    <w:p w14:paraId="3DD71B3E"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lang w:eastAsia="ru-RU"/>
        </w:rPr>
      </w:pPr>
      <w:r w:rsidRPr="00A647AC">
        <w:rPr>
          <w:rFonts w:ascii="Times New Roman" w:eastAsia="Times New Roman" w:hAnsi="Times New Roman" w:cs="Times New Roman"/>
          <w:sz w:val="32"/>
          <w:lang w:eastAsia="ru-RU"/>
        </w:rPr>
        <w:t xml:space="preserve">Важной особенностью системы является ее способность интегрироваться с другими цифровыми решениями, используемыми в спортивной школе. Электронный дневник взаимодействует с </w:t>
      </w:r>
      <w:r w:rsidRPr="00A647AC">
        <w:rPr>
          <w:rFonts w:ascii="Times New Roman" w:eastAsia="Times New Roman" w:hAnsi="Times New Roman" w:cs="Times New Roman"/>
          <w:sz w:val="32"/>
          <w:lang w:eastAsia="ru-RU"/>
        </w:rPr>
        <w:lastRenderedPageBreak/>
        <w:t>системами видеоанализа для записи и разбора тренировок, медицинскими модулями для мониторинга состояния здоровья спортсменов, программами учета спортивного инвентаря и платформами для организации онлайн-трансляций соревнований. Такая комплексная интеграция превращает электронный дневник из простого цифрового аналога бумажного журнала в полноценную управляющую платформу, значительно повышающую эффективность работы спортивной школы.</w:t>
      </w:r>
    </w:p>
    <w:p w14:paraId="3EC6B7A5" w14:textId="097EDA2C" w:rsidR="00A647AC" w:rsidRPr="00A647AC" w:rsidRDefault="00A647AC" w:rsidP="005216A9">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sz w:val="32"/>
          <w:lang w:eastAsia="ru-RU"/>
        </w:rPr>
        <w:t>Функционал системы включает не только фиксацию текущих результатов, но и аналитические инструменты, позволяющие тренерам объективно оценивать прогресс спортсменов и своевременно корректировать тренировочные нагрузки. Это делает электронный дневник незаменимым инструментом для современного тренера, помогающим принимать обоснованные решения на основе актуальных данных.</w:t>
      </w:r>
    </w:p>
    <w:p w14:paraId="13E66D2A" w14:textId="22DEE519" w:rsidR="00A647AC" w:rsidRPr="00A647AC" w:rsidRDefault="00A647AC" w:rsidP="005216A9">
      <w:pPr>
        <w:spacing w:after="5" w:line="250" w:lineRule="auto"/>
        <w:ind w:left="142" w:right="110" w:firstLine="710"/>
        <w:jc w:val="center"/>
        <w:rPr>
          <w:rFonts w:ascii="Times New Roman" w:eastAsia="Times New Roman" w:hAnsi="Times New Roman" w:cs="Times New Roman"/>
          <w:b/>
          <w:color w:val="000000"/>
          <w:sz w:val="32"/>
          <w:lang w:eastAsia="ru-RU"/>
        </w:rPr>
      </w:pPr>
      <w:r w:rsidRPr="00A647AC">
        <w:rPr>
          <w:rFonts w:ascii="Times New Roman" w:eastAsia="Times New Roman" w:hAnsi="Times New Roman" w:cs="Times New Roman"/>
          <w:b/>
          <w:color w:val="000000"/>
          <w:sz w:val="32"/>
          <w:lang w:eastAsia="ru-RU"/>
        </w:rPr>
        <w:t>Онлайн-формат и его преимущества</w:t>
      </w:r>
    </w:p>
    <w:p w14:paraId="09F6ADC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 xml:space="preserve">Электронный дневник кардинально меняет подход к организации тренировочного процесса, предоставляя тренерам мощный рабочий инструмент. С его помощью специалисты могут разрабатывать персонализированные программы подготовки для каждого спортсмена, систематически фиксировать динамику показателей, сопровождать тренировочный процесс визуальными материалами, проводить детальный анализ эффективности занятий и стратегически планировать участие в спортивных мероприятиях. </w:t>
      </w:r>
    </w:p>
    <w:p w14:paraId="5774F2F2" w14:textId="77777777" w:rsidR="00A647AC" w:rsidRPr="00A647AC" w:rsidRDefault="00A647AC" w:rsidP="00A647AC">
      <w:pPr>
        <w:spacing w:after="5" w:line="250" w:lineRule="auto"/>
        <w:ind w:left="142" w:right="1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Все эти функции интегрированы в единую цифровую среду, что обеспечивает комплексный подход к тренировочному процессу.</w:t>
      </w:r>
    </w:p>
    <w:p w14:paraId="3C991757"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 xml:space="preserve">Для спортсменов и их родителей система открывает новые возможности взаимодействия с тренерским составом. Они получают круглосуточный доступ к актуальному расписанию, могут отслеживать индивидуальную статистику достижений в режиме реального времени, вести электронный журнал самонаблюдения. Особую ценность представляет доступ к учебно-методическим материалам и возможность получать персональные рекомендации, что создает условия для осознанной работы над совершенствованием спортивного мастерства. Интерактивные функции платформы позволяют организовывать дистанционные консультации, делая </w:t>
      </w:r>
      <w:r w:rsidRPr="00A647AC">
        <w:rPr>
          <w:rFonts w:ascii="Times New Roman" w:eastAsia="Times New Roman" w:hAnsi="Times New Roman" w:cs="Times New Roman"/>
          <w:sz w:val="32"/>
          <w:szCs w:val="32"/>
          <w:lang w:eastAsia="ru-RU"/>
        </w:rPr>
        <w:lastRenderedPageBreak/>
        <w:t xml:space="preserve">тренировочный процесс более гибким и доступным. Вот пример макета электронного дневника для спортивных школ: </w:t>
      </w:r>
    </w:p>
    <w:p w14:paraId="58212DE2"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noProof/>
          <w:sz w:val="32"/>
          <w:szCs w:val="32"/>
          <w:lang w:eastAsia="ru-RU"/>
        </w:rPr>
        <w:drawing>
          <wp:anchor distT="0" distB="0" distL="114300" distR="114300" simplePos="0" relativeHeight="251674624" behindDoc="1" locked="0" layoutInCell="1" allowOverlap="1" wp14:anchorId="5716ADF0" wp14:editId="429DDA9D">
            <wp:simplePos x="0" y="0"/>
            <wp:positionH relativeFrom="margin">
              <wp:align>center</wp:align>
            </wp:positionH>
            <wp:positionV relativeFrom="paragraph">
              <wp:posOffset>133177</wp:posOffset>
            </wp:positionV>
            <wp:extent cx="1605591" cy="2880000"/>
            <wp:effectExtent l="0" t="0" r="0" b="0"/>
            <wp:wrapTight wrapText="bothSides">
              <wp:wrapPolygon edited="0">
                <wp:start x="769" y="0"/>
                <wp:lineTo x="0" y="429"/>
                <wp:lineTo x="0" y="21005"/>
                <wp:lineTo x="769" y="21433"/>
                <wp:lineTo x="20506" y="21433"/>
                <wp:lineTo x="21275" y="21005"/>
                <wp:lineTo x="21275" y="429"/>
                <wp:lineTo x="20506" y="0"/>
                <wp:lineTo x="769" y="0"/>
              </wp:wrapPolygon>
            </wp:wrapTight>
            <wp:docPr id="1213614384" name="Рисунок 12136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 8.png"/>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1605591" cy="2880000"/>
                    </a:xfrm>
                    <a:prstGeom prst="rect">
                      <a:avLst/>
                    </a:prstGeom>
                  </pic:spPr>
                </pic:pic>
              </a:graphicData>
            </a:graphic>
            <wp14:sizeRelH relativeFrom="margin">
              <wp14:pctWidth>0</wp14:pctWidth>
            </wp14:sizeRelH>
            <wp14:sizeRelV relativeFrom="margin">
              <wp14:pctHeight>0</wp14:pctHeight>
            </wp14:sizeRelV>
          </wp:anchor>
        </w:drawing>
      </w:r>
    </w:p>
    <w:p w14:paraId="0BEA29AC"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314D548C"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7EB14703"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71FE3B38"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4132BA5F"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52249F0F"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61F6E667"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57F1E318"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75A1FC36"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6255A46B"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0A918001"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0AE865C2"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10946A38"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5C372A86" w14:textId="77777777" w:rsidR="00A647AC" w:rsidRPr="00A647AC" w:rsidRDefault="00A647AC" w:rsidP="005F341A">
      <w:pPr>
        <w:spacing w:after="5" w:line="250" w:lineRule="auto"/>
        <w:ind w:right="110"/>
        <w:rPr>
          <w:rFonts w:ascii="Times New Roman" w:eastAsia="Times New Roman" w:hAnsi="Times New Roman" w:cs="Times New Roman"/>
          <w:sz w:val="32"/>
          <w:szCs w:val="32"/>
          <w:lang w:eastAsia="ru-RU"/>
        </w:rPr>
      </w:pPr>
    </w:p>
    <w:p w14:paraId="4B67383C" w14:textId="77777777" w:rsidR="00A647AC" w:rsidRPr="00A647AC" w:rsidRDefault="00A647AC" w:rsidP="00A647AC">
      <w:pPr>
        <w:spacing w:after="5" w:line="250" w:lineRule="auto"/>
        <w:ind w:right="110"/>
        <w:jc w:val="center"/>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Рисунок 1 – Макет приложения «Личный кабинет»</w:t>
      </w:r>
    </w:p>
    <w:p w14:paraId="51E542AB"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633B7109"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noProof/>
          <w:sz w:val="32"/>
          <w:szCs w:val="32"/>
          <w:lang w:eastAsia="ru-RU"/>
        </w:rPr>
        <w:drawing>
          <wp:anchor distT="0" distB="0" distL="114300" distR="114300" simplePos="0" relativeHeight="251675648" behindDoc="1" locked="0" layoutInCell="1" allowOverlap="1" wp14:anchorId="6F58FD8E" wp14:editId="16D9F522">
            <wp:simplePos x="0" y="0"/>
            <wp:positionH relativeFrom="margin">
              <wp:align>center</wp:align>
            </wp:positionH>
            <wp:positionV relativeFrom="paragraph">
              <wp:posOffset>0</wp:posOffset>
            </wp:positionV>
            <wp:extent cx="1605121" cy="2880000"/>
            <wp:effectExtent l="0" t="0" r="0" b="0"/>
            <wp:wrapTight wrapText="bothSides">
              <wp:wrapPolygon edited="0">
                <wp:start x="513" y="0"/>
                <wp:lineTo x="0" y="429"/>
                <wp:lineTo x="0" y="21005"/>
                <wp:lineTo x="513" y="21433"/>
                <wp:lineTo x="20771" y="21433"/>
                <wp:lineTo x="21284" y="21005"/>
                <wp:lineTo x="21284" y="429"/>
                <wp:lineTo x="20771" y="0"/>
                <wp:lineTo x="513" y="0"/>
              </wp:wrapPolygon>
            </wp:wrapTight>
            <wp:docPr id="1756403570" name="Рисунок 175640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e 9.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1605121" cy="2880000"/>
                    </a:xfrm>
                    <a:prstGeom prst="rect">
                      <a:avLst/>
                    </a:prstGeom>
                  </pic:spPr>
                </pic:pic>
              </a:graphicData>
            </a:graphic>
            <wp14:sizeRelH relativeFrom="margin">
              <wp14:pctWidth>0</wp14:pctWidth>
            </wp14:sizeRelH>
            <wp14:sizeRelV relativeFrom="margin">
              <wp14:pctHeight>0</wp14:pctHeight>
            </wp14:sizeRelV>
          </wp:anchor>
        </w:drawing>
      </w:r>
    </w:p>
    <w:p w14:paraId="7A6C5B1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29EF154A"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541077A5"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16CAE4E3"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00BB9A2E"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381695A7"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5577F153"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7571D14B"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2A7729C7"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p>
    <w:p w14:paraId="0AF3FA35" w14:textId="77777777" w:rsidR="00A647AC" w:rsidRPr="00A647AC" w:rsidRDefault="00A647AC" w:rsidP="005F341A">
      <w:pPr>
        <w:spacing w:after="5" w:line="250" w:lineRule="auto"/>
        <w:ind w:right="110"/>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 xml:space="preserve">      </w:t>
      </w:r>
    </w:p>
    <w:p w14:paraId="4CD28737" w14:textId="77777777" w:rsidR="00A647AC" w:rsidRPr="00A647AC" w:rsidRDefault="00A647AC" w:rsidP="00A647AC">
      <w:pPr>
        <w:spacing w:after="5" w:line="250" w:lineRule="auto"/>
        <w:ind w:right="110"/>
        <w:jc w:val="center"/>
        <w:rPr>
          <w:rFonts w:ascii="Times New Roman" w:eastAsia="Times New Roman" w:hAnsi="Times New Roman" w:cs="Times New Roman"/>
          <w:sz w:val="32"/>
          <w:szCs w:val="32"/>
          <w:lang w:eastAsia="ru-RU"/>
        </w:rPr>
      </w:pPr>
    </w:p>
    <w:p w14:paraId="439A1927" w14:textId="77777777" w:rsidR="00A647AC" w:rsidRPr="00A647AC" w:rsidRDefault="00A647AC" w:rsidP="00A647AC">
      <w:pPr>
        <w:spacing w:after="5" w:line="250" w:lineRule="auto"/>
        <w:ind w:right="110"/>
        <w:jc w:val="center"/>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Рисунок 2 – Макет приложения «Расписание тренировок»</w:t>
      </w:r>
    </w:p>
    <w:p w14:paraId="09C3D4A6" w14:textId="77777777" w:rsidR="00A647AC" w:rsidRPr="00A647AC" w:rsidRDefault="00A647AC" w:rsidP="00A647AC">
      <w:pPr>
        <w:spacing w:after="5" w:line="250" w:lineRule="auto"/>
        <w:ind w:left="142" w:right="110" w:firstLine="710"/>
        <w:jc w:val="center"/>
        <w:rPr>
          <w:rFonts w:ascii="Times New Roman" w:eastAsia="Times New Roman" w:hAnsi="Times New Roman" w:cs="Times New Roman"/>
          <w:sz w:val="32"/>
          <w:szCs w:val="32"/>
          <w:lang w:eastAsia="ru-RU"/>
        </w:rPr>
      </w:pPr>
    </w:p>
    <w:p w14:paraId="1583419A" w14:textId="77777777" w:rsidR="00A647AC" w:rsidRPr="00A647AC" w:rsidRDefault="00A647AC" w:rsidP="00A647AC">
      <w:pPr>
        <w:spacing w:after="5" w:line="250" w:lineRule="auto"/>
        <w:ind w:left="142" w:right="110" w:firstLine="710"/>
        <w:jc w:val="center"/>
        <w:rPr>
          <w:rFonts w:ascii="Times New Roman" w:eastAsia="Times New Roman" w:hAnsi="Times New Roman" w:cs="Times New Roman"/>
          <w:sz w:val="32"/>
          <w:szCs w:val="32"/>
          <w:lang w:eastAsia="ru-RU"/>
        </w:rPr>
      </w:pPr>
      <w:r w:rsidRPr="00A647AC">
        <w:rPr>
          <w:rFonts w:ascii="Times New Roman" w:eastAsia="Times New Roman" w:hAnsi="Times New Roman" w:cs="Times New Roman"/>
          <w:noProof/>
          <w:sz w:val="32"/>
          <w:szCs w:val="32"/>
          <w:lang w:eastAsia="ru-RU"/>
        </w:rPr>
        <w:lastRenderedPageBreak/>
        <w:drawing>
          <wp:anchor distT="0" distB="0" distL="114300" distR="114300" simplePos="0" relativeHeight="251676672" behindDoc="1" locked="0" layoutInCell="1" allowOverlap="1" wp14:anchorId="6B35FC27" wp14:editId="44E4C157">
            <wp:simplePos x="0" y="0"/>
            <wp:positionH relativeFrom="margin">
              <wp:align>center</wp:align>
            </wp:positionH>
            <wp:positionV relativeFrom="paragraph">
              <wp:posOffset>8255</wp:posOffset>
            </wp:positionV>
            <wp:extent cx="1605293" cy="2880000"/>
            <wp:effectExtent l="0" t="0" r="0" b="0"/>
            <wp:wrapTight wrapText="bothSides">
              <wp:wrapPolygon edited="0">
                <wp:start x="513" y="0"/>
                <wp:lineTo x="0" y="429"/>
                <wp:lineTo x="0" y="21005"/>
                <wp:lineTo x="513" y="21433"/>
                <wp:lineTo x="20763" y="21433"/>
                <wp:lineTo x="21275" y="21005"/>
                <wp:lineTo x="21275" y="429"/>
                <wp:lineTo x="20763" y="0"/>
                <wp:lineTo x="513" y="0"/>
              </wp:wrapPolygon>
            </wp:wrapTight>
            <wp:docPr id="680173192" name="Рисунок 68017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ame 10.pn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1605293" cy="2880000"/>
                    </a:xfrm>
                    <a:prstGeom prst="rect">
                      <a:avLst/>
                    </a:prstGeom>
                  </pic:spPr>
                </pic:pic>
              </a:graphicData>
            </a:graphic>
            <wp14:sizeRelH relativeFrom="margin">
              <wp14:pctWidth>0</wp14:pctWidth>
            </wp14:sizeRelH>
            <wp14:sizeRelV relativeFrom="margin">
              <wp14:pctHeight>0</wp14:pctHeight>
            </wp14:sizeRelV>
          </wp:anchor>
        </w:drawing>
      </w:r>
    </w:p>
    <w:p w14:paraId="67787487" w14:textId="77777777" w:rsidR="00A647AC" w:rsidRPr="00A647AC" w:rsidRDefault="00A647AC" w:rsidP="00A647AC">
      <w:pPr>
        <w:spacing w:after="5" w:line="250" w:lineRule="auto"/>
        <w:ind w:left="142" w:right="110" w:firstLine="710"/>
        <w:jc w:val="center"/>
        <w:rPr>
          <w:rFonts w:ascii="Times New Roman" w:eastAsia="Times New Roman" w:hAnsi="Times New Roman" w:cs="Times New Roman"/>
          <w:sz w:val="32"/>
          <w:szCs w:val="32"/>
          <w:lang w:eastAsia="ru-RU"/>
        </w:rPr>
      </w:pPr>
    </w:p>
    <w:p w14:paraId="131B591B" w14:textId="77777777" w:rsidR="00A647AC" w:rsidRPr="00A647AC" w:rsidRDefault="00A647AC" w:rsidP="00A647AC">
      <w:pPr>
        <w:spacing w:after="5" w:line="250" w:lineRule="auto"/>
        <w:ind w:left="142" w:right="110" w:firstLine="710"/>
        <w:jc w:val="center"/>
        <w:rPr>
          <w:rFonts w:ascii="Times New Roman" w:eastAsia="Times New Roman" w:hAnsi="Times New Roman" w:cs="Times New Roman"/>
          <w:sz w:val="32"/>
          <w:szCs w:val="32"/>
          <w:lang w:eastAsia="ru-RU"/>
        </w:rPr>
      </w:pPr>
    </w:p>
    <w:p w14:paraId="1B36102A"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0416ED4F"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7E9A9F33"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0CDA6DE1"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32B5F81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09FAD89B"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775474C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7E1087D3"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5B3796F9"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noProof/>
          <w:sz w:val="32"/>
          <w:szCs w:val="32"/>
          <w:lang w:eastAsia="ru-RU"/>
        </w:rPr>
      </w:pPr>
    </w:p>
    <w:p w14:paraId="3A6B0FD9" w14:textId="77777777" w:rsidR="00A647AC" w:rsidRPr="00A647AC" w:rsidRDefault="00A647AC" w:rsidP="00A647AC">
      <w:pPr>
        <w:spacing w:after="5" w:line="250" w:lineRule="auto"/>
        <w:ind w:left="142" w:right="110" w:firstLine="710"/>
        <w:jc w:val="center"/>
        <w:rPr>
          <w:rFonts w:ascii="Times New Roman" w:eastAsia="Times New Roman" w:hAnsi="Times New Roman" w:cs="Times New Roman"/>
          <w:noProof/>
          <w:sz w:val="32"/>
          <w:szCs w:val="32"/>
          <w:lang w:eastAsia="ru-RU"/>
        </w:rPr>
      </w:pPr>
      <w:r w:rsidRPr="00A647AC">
        <w:rPr>
          <w:rFonts w:ascii="Times New Roman" w:eastAsia="Times New Roman" w:hAnsi="Times New Roman" w:cs="Times New Roman"/>
          <w:noProof/>
          <w:sz w:val="32"/>
          <w:szCs w:val="32"/>
          <w:lang w:eastAsia="ru-RU"/>
        </w:rPr>
        <w:t>Рисунок 3 – Макет приложения «Статистика игрока»</w:t>
      </w:r>
    </w:p>
    <w:p w14:paraId="384BD9D7" w14:textId="77777777" w:rsidR="00A647AC" w:rsidRPr="00A647AC" w:rsidRDefault="00A647AC" w:rsidP="00A647AC">
      <w:pPr>
        <w:spacing w:after="5" w:line="250" w:lineRule="auto"/>
        <w:ind w:right="110"/>
        <w:jc w:val="both"/>
        <w:rPr>
          <w:rFonts w:ascii="Times New Roman" w:eastAsia="Times New Roman" w:hAnsi="Times New Roman" w:cs="Times New Roman"/>
          <w:sz w:val="32"/>
          <w:szCs w:val="32"/>
          <w:lang w:eastAsia="ru-RU"/>
        </w:rPr>
      </w:pPr>
    </w:p>
    <w:p w14:paraId="42773F01" w14:textId="1CA0E45D" w:rsidR="00A647AC" w:rsidRPr="00A647AC" w:rsidRDefault="00A647AC" w:rsidP="005216A9">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Такой подход не только повышает прозрачность учебно-тренировочного процесса, но и создает условия для более тесного взаимодействия между всеми участниками - тренерами, спортсменами и их родителями. Цифровая платформа становится связующим звеном, которое объединяет все аспекты спортивной подготовки в единую эффективную систему.</w:t>
      </w:r>
    </w:p>
    <w:p w14:paraId="73B8DA0F"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Одним из примеров внедрения онлайн-формата в России является Хоккейная школа «Красная машина» - один из лидеров российского хоккейного образования - в 2022 году совершила прорыв в организации тренировочного процесса благодаря внедрению инновационной системы онлайн-разборов с использованием 3D-симуляторов. Этот проект стал примером успешной цифровой трансформации традиционной системы подготовки хоккеистов.</w:t>
      </w:r>
    </w:p>
    <w:p w14:paraId="15926358"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Для реализации проекта была создана специализированная цифровая платформа с уникальными возможностями трехмерной визуализации хоккейных схем и интегрированной системой видеоанализа. Технологическая база включала разработку мобильной версии для обеспечения доступности с любых устройств. Параллельно проводилась масштабная работа по методическому обеспечению: пересмотр тренировочных программ, обучение тренерского состава и разработка стандартизированных протоколов проведения онлайн-сессий.</w:t>
      </w:r>
    </w:p>
    <w:p w14:paraId="2BF9DE0B"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lastRenderedPageBreak/>
        <w:t>Реализация проекта привела к впечатляющим результатам. По данным внутреннего мониторинга, эффективность тренировочного процесса повысилась на 40%, при этом показатели реализации тактических схем в игре улучшились на 25%. Значительно (на 35%) сократилось время, необходимое для объяснения сложных тактических элементов. Особенно важно отметить 50%-ный рост вовлеченности игроков в изучение тактики, что свидетельствует о высокой эффективности нового формата обучения.</w:t>
      </w:r>
    </w:p>
    <w:p w14:paraId="2BC812E1"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Успех проекта обусловлен несколькими ключевыми факторами: поэтапным внедрением (от пилотной группы до всей школы), тесным сотрудничеством с разработчиками ПО, систематическим сбором обратной связи и грамотной интеграцией цифровых инструментов с традиционными методами подготовки.</w:t>
      </w:r>
    </w:p>
    <w:p w14:paraId="66FC998F" w14:textId="1DFFE95F" w:rsidR="00A647AC" w:rsidRPr="00A647AC" w:rsidRDefault="00A647AC" w:rsidP="005216A9">
      <w:pPr>
        <w:spacing w:after="5" w:line="250" w:lineRule="auto"/>
        <w:ind w:left="142" w:right="110" w:firstLine="710"/>
        <w:jc w:val="both"/>
        <w:rPr>
          <w:rFonts w:ascii="Times New Roman" w:eastAsia="Times New Roman" w:hAnsi="Times New Roman" w:cs="Times New Roman"/>
          <w:sz w:val="32"/>
          <w:szCs w:val="32"/>
          <w:lang w:eastAsia="ru-RU"/>
        </w:rPr>
      </w:pPr>
      <w:r w:rsidRPr="00A647AC">
        <w:rPr>
          <w:rFonts w:ascii="Times New Roman" w:eastAsia="Times New Roman" w:hAnsi="Times New Roman" w:cs="Times New Roman"/>
          <w:sz w:val="32"/>
          <w:szCs w:val="32"/>
          <w:lang w:eastAsia="ru-RU"/>
        </w:rPr>
        <w:t>Сегодня «Красная машина» рассматривает перспективы дальнейшего развития цифрового направления, включая внедрение VR-технологий для иммерсивного обучения и создание системы искусственного интеллекта для автоматического анализа игр. Опыт школы демонстрирует огромный потенциал синтеза классических методик подготовки с современными цифровыми решениями в профессиональном хоккее.</w:t>
      </w:r>
    </w:p>
    <w:p w14:paraId="0EBF740E" w14:textId="4C05212A" w:rsidR="00A647AC" w:rsidRPr="00A647AC" w:rsidRDefault="00A647AC" w:rsidP="005216A9">
      <w:pPr>
        <w:spacing w:after="5" w:line="250" w:lineRule="auto"/>
        <w:ind w:right="110"/>
        <w:jc w:val="center"/>
        <w:rPr>
          <w:rFonts w:ascii="Times New Roman" w:eastAsia="Times New Roman" w:hAnsi="Times New Roman" w:cs="Times New Roman"/>
          <w:b/>
          <w:color w:val="000000"/>
          <w:sz w:val="32"/>
          <w:lang w:eastAsia="ru-RU"/>
        </w:rPr>
      </w:pPr>
      <w:r w:rsidRPr="00A647AC">
        <w:rPr>
          <w:rFonts w:ascii="Times New Roman" w:eastAsia="Times New Roman" w:hAnsi="Times New Roman" w:cs="Times New Roman"/>
          <w:b/>
          <w:color w:val="000000"/>
          <w:sz w:val="32"/>
          <w:lang w:eastAsia="ru-RU"/>
        </w:rPr>
        <w:t>Технические сложности внедрения онлайн-формата</w:t>
      </w:r>
    </w:p>
    <w:p w14:paraId="61D404CA"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lang w:eastAsia="ru-RU"/>
        </w:rPr>
      </w:pPr>
      <w:r w:rsidRPr="00A647AC">
        <w:rPr>
          <w:rFonts w:ascii="Times New Roman" w:eastAsia="Times New Roman" w:hAnsi="Times New Roman" w:cs="Times New Roman"/>
          <w:sz w:val="32"/>
          <w:lang w:eastAsia="ru-RU"/>
        </w:rPr>
        <w:t xml:space="preserve">Внедрение подобной системы сталкивается с рядом существенных сложностей. Прежде всего, это психологический барьер - многие тренеры, особенно с большим стажем работы, скептически относятся к нововведениям, предпочитая проверенные временем методы подготовки. Финансовая сторона вопроса также вызывает затруднения, так как создание и внедрение комплексной цифровой платформы требует серьезных материальных затрат. Отдельной проблемой становится совместимость новой системы с уже используемым в школе программным обеспечением. </w:t>
      </w:r>
    </w:p>
    <w:p w14:paraId="1DC8B312"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sz w:val="32"/>
          <w:lang w:eastAsia="ru-RU"/>
        </w:rPr>
      </w:pPr>
      <w:r w:rsidRPr="00A647AC">
        <w:rPr>
          <w:rFonts w:ascii="Times New Roman" w:eastAsia="Times New Roman" w:hAnsi="Times New Roman" w:cs="Times New Roman"/>
          <w:sz w:val="32"/>
          <w:lang w:eastAsia="ru-RU"/>
        </w:rPr>
        <w:t xml:space="preserve">Особую озабоченность вызывает вопрос защиты информации. Система должна гарантировать полную конфиденциальность персональных данных воспитанников, сохранять в тайне методические наработки тренеров и результаты выступлений. Не менее важна и техническая сторона - платформа нуждается в постоянном обслуживании и оперативном устранении возможных </w:t>
      </w:r>
      <w:r w:rsidRPr="00A647AC">
        <w:rPr>
          <w:rFonts w:ascii="Times New Roman" w:eastAsia="Times New Roman" w:hAnsi="Times New Roman" w:cs="Times New Roman"/>
          <w:sz w:val="32"/>
          <w:lang w:eastAsia="ru-RU"/>
        </w:rPr>
        <w:lastRenderedPageBreak/>
        <w:t>сбоев, что требует привлечения квалифицированных IT-специалистов.</w:t>
      </w:r>
    </w:p>
    <w:p w14:paraId="546E0529" w14:textId="20268B00" w:rsidR="00A647AC" w:rsidRPr="00A647AC" w:rsidRDefault="00A647AC" w:rsidP="005216A9">
      <w:pPr>
        <w:spacing w:after="5" w:line="250" w:lineRule="auto"/>
        <w:ind w:left="142" w:right="110" w:firstLine="710"/>
        <w:jc w:val="both"/>
        <w:rPr>
          <w:rFonts w:ascii="Times New Roman" w:eastAsia="Times New Roman" w:hAnsi="Times New Roman" w:cs="Times New Roman"/>
          <w:sz w:val="32"/>
          <w:lang w:eastAsia="ru-RU"/>
        </w:rPr>
      </w:pPr>
      <w:r w:rsidRPr="00A647AC">
        <w:rPr>
          <w:rFonts w:ascii="Times New Roman" w:eastAsia="Times New Roman" w:hAnsi="Times New Roman" w:cs="Times New Roman"/>
          <w:sz w:val="32"/>
          <w:lang w:eastAsia="ru-RU"/>
        </w:rPr>
        <w:t>Эти вызовы требуют комплексного подхода: проведения разъяснительной работы с тренерским составом, поиска дополнительных источников финансирования, разработки надежных механизмов защиты данных и создания службы технической поддержки. Только при таком условии цифровая трансформация тренировочного процесса сможет принести максимальную пользу.</w:t>
      </w:r>
    </w:p>
    <w:p w14:paraId="1BC8C9E4"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sz w:val="32"/>
          <w:lang w:eastAsia="ru-RU"/>
        </w:rPr>
        <w:t>Также сложностями внедрения является финансовые аспекты.</w:t>
      </w:r>
    </w:p>
    <w:p w14:paraId="77AD3002" w14:textId="2E9D9006" w:rsidR="00A647AC" w:rsidRPr="00A647AC" w:rsidRDefault="00A647AC" w:rsidP="005216A9">
      <w:pPr>
        <w:spacing w:after="5" w:line="250" w:lineRule="auto"/>
        <w:ind w:left="142" w:right="1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sz w:val="32"/>
          <w:shd w:val="clear" w:color="auto" w:fill="FFFFFF"/>
          <w:lang w:eastAsia="ru-RU"/>
        </w:rPr>
        <w:t>При реализации проекта спортивной школе необходимо учитывать несколько категорий расходов. На стартовом этапе потребуются значительные вложения в создание специализированного программного обеспечения и закупку соответствующего оборудования. Отдельной статьей расходов станет обучение тренерского состава работе с новой системой и организация службы технической поддержки. Важно понимать, что после запуска проекта появятся постоянные затраты на обслуживание и модернизацию платформы.</w:t>
      </w:r>
    </w:p>
    <w:p w14:paraId="0B58F7F1" w14:textId="08F91395" w:rsidR="00A647AC" w:rsidRPr="00A647AC" w:rsidRDefault="00A647AC" w:rsidP="005216A9">
      <w:pPr>
        <w:spacing w:after="5" w:line="250" w:lineRule="auto"/>
        <w:ind w:left="142" w:right="110"/>
        <w:jc w:val="center"/>
        <w:rPr>
          <w:rFonts w:ascii="Times New Roman" w:eastAsia="Times New Roman" w:hAnsi="Times New Roman" w:cs="Times New Roman"/>
          <w:b/>
          <w:color w:val="000000"/>
          <w:sz w:val="32"/>
          <w:lang w:eastAsia="ru-RU"/>
        </w:rPr>
      </w:pPr>
      <w:r w:rsidRPr="00A647AC">
        <w:rPr>
          <w:rFonts w:ascii="Times New Roman" w:eastAsia="Times New Roman" w:hAnsi="Times New Roman" w:cs="Times New Roman"/>
          <w:b/>
          <w:color w:val="000000"/>
          <w:sz w:val="32"/>
          <w:lang w:eastAsia="ru-RU"/>
        </w:rPr>
        <w:t>Заключение</w:t>
      </w:r>
    </w:p>
    <w:p w14:paraId="6F2C9F6E" w14:textId="77777777" w:rsidR="00A647AC" w:rsidRPr="00A647AC" w:rsidRDefault="00A647AC" w:rsidP="00A647AC">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color w:val="000000"/>
          <w:sz w:val="32"/>
          <w:lang w:eastAsia="ru-RU"/>
        </w:rPr>
        <w:t>Создание онлайн-платформы для спортивной школы с использованием электронного дневника открывает множество перспектив для эффективного управления процессами и увеличения вовлеченности и мотивации спортсменов. Хотя внедрение этой системы может сопровождаться определенными трудностями, плюсы от использования электронного дневника явно превышают минусы. Организация данных, возможность их анализа, индивидуализированный подход и упрощенный доступ к информации делают электронный дневник важным инструментом для успешного обучения в спорте.</w:t>
      </w:r>
    </w:p>
    <w:p w14:paraId="57602258" w14:textId="07CA2BDF" w:rsidR="0023619E" w:rsidRPr="0023619E" w:rsidRDefault="00A647AC" w:rsidP="0023619E">
      <w:pPr>
        <w:spacing w:after="5" w:line="250" w:lineRule="auto"/>
        <w:ind w:left="142" w:right="110" w:firstLine="710"/>
        <w:jc w:val="both"/>
        <w:rPr>
          <w:rFonts w:ascii="Times New Roman" w:eastAsia="Times New Roman" w:hAnsi="Times New Roman" w:cs="Times New Roman"/>
          <w:color w:val="000000"/>
          <w:sz w:val="32"/>
          <w:lang w:eastAsia="ru-RU"/>
        </w:rPr>
      </w:pPr>
      <w:r w:rsidRPr="00A647AC">
        <w:rPr>
          <w:rFonts w:ascii="Times New Roman" w:eastAsia="Times New Roman" w:hAnsi="Times New Roman" w:cs="Times New Roman"/>
          <w:color w:val="000000"/>
          <w:sz w:val="32"/>
          <w:lang w:eastAsia="ru-RU"/>
        </w:rPr>
        <w:t>В конечном итоге, рациональное применение технологий в спортивной школе не только повышает результаты спортсменов, но и создает более поддерживающую и вдохновляющую атмосферу для их роста и развития. Переход к онлайн-формату — это не просто актуальная необходимость, а шаг в будущее, где спорт обретает новые формы и возможности.</w:t>
      </w:r>
    </w:p>
    <w:p w14:paraId="47117E9E" w14:textId="77777777" w:rsidR="0023619E" w:rsidRPr="00A647AC" w:rsidRDefault="0023619E" w:rsidP="0023619E">
      <w:pPr>
        <w:spacing w:after="5" w:line="250" w:lineRule="auto"/>
        <w:ind w:left="142" w:right="110" w:firstLine="710"/>
        <w:jc w:val="both"/>
        <w:rPr>
          <w:rFonts w:ascii="Times New Roman" w:eastAsia="Times New Roman" w:hAnsi="Times New Roman" w:cs="Times New Roman"/>
          <w:color w:val="000000"/>
          <w:sz w:val="24"/>
          <w:szCs w:val="18"/>
          <w:lang w:eastAsia="ru-RU"/>
        </w:rPr>
      </w:pPr>
    </w:p>
    <w:p w14:paraId="36F2BC75" w14:textId="16A0A734" w:rsidR="00A647AC" w:rsidRPr="00A647AC" w:rsidRDefault="009E06CF" w:rsidP="009E06CF">
      <w:pPr>
        <w:tabs>
          <w:tab w:val="left" w:pos="1276"/>
        </w:tabs>
        <w:autoSpaceDE w:val="0"/>
        <w:autoSpaceDN w:val="0"/>
        <w:adjustRightInd w:val="0"/>
        <w:spacing w:after="0" w:line="240" w:lineRule="auto"/>
        <w:ind w:right="182"/>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t>Л</w:t>
      </w:r>
      <w:r w:rsidR="00A647AC" w:rsidRPr="00A647AC">
        <w:rPr>
          <w:rFonts w:ascii="Times New Roman" w:eastAsia="Times New Roman" w:hAnsi="Times New Roman" w:cs="Times New Roman"/>
          <w:b/>
          <w:color w:val="000000"/>
          <w:sz w:val="21"/>
          <w:szCs w:val="21"/>
          <w:lang w:eastAsia="ru-RU"/>
        </w:rPr>
        <w:t>итератур</w:t>
      </w:r>
      <w:r w:rsidR="00D27347">
        <w:rPr>
          <w:rFonts w:ascii="Times New Roman" w:eastAsia="Times New Roman" w:hAnsi="Times New Roman" w:cs="Times New Roman"/>
          <w:b/>
          <w:color w:val="000000"/>
          <w:sz w:val="21"/>
          <w:szCs w:val="21"/>
          <w:lang w:eastAsia="ru-RU"/>
        </w:rPr>
        <w:t>а:</w:t>
      </w:r>
    </w:p>
    <w:p w14:paraId="139008F9" w14:textId="77777777" w:rsidR="00A647AC" w:rsidRPr="005216A9" w:rsidRDefault="00A647AC" w:rsidP="00AD58CD">
      <w:pPr>
        <w:pStyle w:val="a8"/>
        <w:numPr>
          <w:ilvl w:val="0"/>
          <w:numId w:val="92"/>
        </w:numPr>
        <w:tabs>
          <w:tab w:val="left" w:pos="1276"/>
        </w:tabs>
        <w:spacing w:after="0" w:line="240" w:lineRule="auto"/>
        <w:ind w:left="284" w:right="182" w:hanging="284"/>
        <w:jc w:val="both"/>
        <w:rPr>
          <w:rFonts w:ascii="Times New Roman" w:eastAsia="Calibri" w:hAnsi="Times New Roman" w:cs="Times New Roman"/>
          <w:sz w:val="21"/>
          <w:szCs w:val="21"/>
        </w:rPr>
      </w:pPr>
      <w:r w:rsidRPr="005216A9">
        <w:rPr>
          <w:rFonts w:ascii="Times New Roman" w:eastAsia="Calibri" w:hAnsi="Times New Roman" w:cs="Times New Roman"/>
          <w:sz w:val="21"/>
          <w:szCs w:val="21"/>
        </w:rPr>
        <w:lastRenderedPageBreak/>
        <w:t>Иванов А.А Использование информационных технологий в спортивных школах и организациях // Academy, 2017.</w:t>
      </w:r>
    </w:p>
    <w:p w14:paraId="17B4FA9F" w14:textId="77777777" w:rsidR="00A647AC" w:rsidRPr="005216A9" w:rsidRDefault="00A647AC" w:rsidP="00AD58CD">
      <w:pPr>
        <w:pStyle w:val="a8"/>
        <w:numPr>
          <w:ilvl w:val="0"/>
          <w:numId w:val="92"/>
        </w:numPr>
        <w:tabs>
          <w:tab w:val="left" w:pos="1276"/>
        </w:tabs>
        <w:spacing w:after="0" w:line="240" w:lineRule="auto"/>
        <w:ind w:left="284" w:right="182" w:hanging="284"/>
        <w:jc w:val="both"/>
        <w:rPr>
          <w:rFonts w:ascii="Times New Roman" w:eastAsia="Calibri" w:hAnsi="Times New Roman" w:cs="Times New Roman"/>
          <w:sz w:val="21"/>
          <w:szCs w:val="21"/>
        </w:rPr>
      </w:pPr>
      <w:r w:rsidRPr="005216A9">
        <w:rPr>
          <w:rFonts w:ascii="Times New Roman" w:eastAsia="Calibri" w:hAnsi="Times New Roman" w:cs="Times New Roman"/>
          <w:sz w:val="21"/>
          <w:szCs w:val="21"/>
        </w:rPr>
        <w:t>Петров П.К. Возможности и перспективы использования современных информационных технологий в системе подготовки специалистов по физической культуре и спорту // Прикладная информатика. - 2009. - С. 14-21.</w:t>
      </w:r>
    </w:p>
    <w:p w14:paraId="14FF6827" w14:textId="77777777" w:rsidR="00A647AC" w:rsidRPr="005216A9" w:rsidRDefault="00A647AC" w:rsidP="00AD58CD">
      <w:pPr>
        <w:pStyle w:val="a8"/>
        <w:numPr>
          <w:ilvl w:val="0"/>
          <w:numId w:val="92"/>
        </w:numPr>
        <w:tabs>
          <w:tab w:val="left" w:pos="1276"/>
        </w:tabs>
        <w:spacing w:after="0" w:line="240" w:lineRule="auto"/>
        <w:ind w:left="284" w:right="182" w:hanging="284"/>
        <w:jc w:val="both"/>
        <w:rPr>
          <w:rFonts w:ascii="Times New Roman" w:eastAsia="Calibri" w:hAnsi="Times New Roman" w:cs="Times New Roman"/>
          <w:sz w:val="21"/>
          <w:szCs w:val="21"/>
        </w:rPr>
      </w:pPr>
      <w:r w:rsidRPr="005216A9">
        <w:rPr>
          <w:rFonts w:ascii="Times New Roman" w:eastAsia="Calibri" w:hAnsi="Times New Roman" w:cs="Times New Roman"/>
          <w:sz w:val="21"/>
          <w:szCs w:val="21"/>
        </w:rPr>
        <w:t>Петров П.К. Информационные технологии в физической культуре и спорте: учеб. для студ. учреждений высш. проф. образования / П.К. Петров. – 4-е изд., стер. – М.: Издательский центр «Академия», 2014. – 288 с.</w:t>
      </w:r>
    </w:p>
    <w:p w14:paraId="254B5119" w14:textId="77777777" w:rsidR="00A647AC" w:rsidRPr="005216A9" w:rsidRDefault="00A647AC" w:rsidP="00AD58CD">
      <w:pPr>
        <w:pStyle w:val="a8"/>
        <w:numPr>
          <w:ilvl w:val="0"/>
          <w:numId w:val="92"/>
        </w:numPr>
        <w:tabs>
          <w:tab w:val="left" w:pos="1276"/>
        </w:tabs>
        <w:spacing w:after="0" w:line="240" w:lineRule="auto"/>
        <w:ind w:left="284" w:right="182" w:hanging="284"/>
        <w:jc w:val="both"/>
        <w:rPr>
          <w:rFonts w:ascii="Times New Roman" w:eastAsia="Calibri" w:hAnsi="Times New Roman" w:cs="Times New Roman"/>
          <w:sz w:val="21"/>
          <w:szCs w:val="21"/>
        </w:rPr>
      </w:pPr>
      <w:r w:rsidRPr="005216A9">
        <w:rPr>
          <w:rFonts w:ascii="Times New Roman" w:eastAsia="Calibri" w:hAnsi="Times New Roman" w:cs="Times New Roman"/>
          <w:sz w:val="21"/>
          <w:szCs w:val="21"/>
        </w:rPr>
        <w:t>Степаненкова Э.Я. Электронный документооборот в системе управления спортивной школой // Теория и практика физической культуры. – 2019. – № 7. – С. 54-58.</w:t>
      </w:r>
    </w:p>
    <w:p w14:paraId="5572F702" w14:textId="77777777" w:rsidR="00A647AC" w:rsidRPr="005216A9" w:rsidRDefault="00A647AC" w:rsidP="00AD58CD">
      <w:pPr>
        <w:pStyle w:val="a8"/>
        <w:numPr>
          <w:ilvl w:val="0"/>
          <w:numId w:val="92"/>
        </w:numPr>
        <w:tabs>
          <w:tab w:val="left" w:pos="1276"/>
        </w:tabs>
        <w:spacing w:after="0" w:line="240" w:lineRule="auto"/>
        <w:ind w:left="284" w:right="182" w:hanging="284"/>
        <w:jc w:val="both"/>
        <w:rPr>
          <w:rFonts w:ascii="Times New Roman" w:eastAsia="Calibri" w:hAnsi="Times New Roman" w:cs="Times New Roman"/>
          <w:sz w:val="21"/>
          <w:szCs w:val="21"/>
        </w:rPr>
      </w:pPr>
      <w:r w:rsidRPr="005216A9">
        <w:rPr>
          <w:rFonts w:ascii="Times New Roman" w:eastAsia="Calibri" w:hAnsi="Times New Roman" w:cs="Times New Roman"/>
          <w:sz w:val="21"/>
          <w:szCs w:val="21"/>
        </w:rPr>
        <w:t>Шамардина Л.В. Цифровые технологии в управлении спортивными организациями // Физическая культура и спорт в современном мире: актуальные проблемы и пути решения. – 2018. – С. 89-94.</w:t>
      </w:r>
    </w:p>
    <w:p w14:paraId="367AFA25" w14:textId="77777777" w:rsidR="00A647AC" w:rsidRDefault="00A647AC" w:rsidP="00A647AC">
      <w:pPr>
        <w:tabs>
          <w:tab w:val="left" w:pos="1276"/>
        </w:tabs>
        <w:spacing w:after="0" w:line="240" w:lineRule="auto"/>
        <w:ind w:left="720" w:right="182"/>
        <w:contextualSpacing/>
        <w:jc w:val="both"/>
        <w:rPr>
          <w:rFonts w:ascii="Times New Roman" w:eastAsia="Calibri" w:hAnsi="Times New Roman" w:cs="Times New Roman"/>
          <w:sz w:val="21"/>
          <w:szCs w:val="21"/>
        </w:rPr>
      </w:pPr>
    </w:p>
    <w:p w14:paraId="073C70B6" w14:textId="77777777" w:rsidR="003038D0" w:rsidRDefault="003038D0" w:rsidP="00A647AC">
      <w:pPr>
        <w:tabs>
          <w:tab w:val="left" w:pos="1276"/>
        </w:tabs>
        <w:spacing w:after="0" w:line="240" w:lineRule="auto"/>
        <w:ind w:left="720" w:right="182"/>
        <w:contextualSpacing/>
        <w:jc w:val="both"/>
        <w:rPr>
          <w:rFonts w:ascii="Times New Roman" w:eastAsia="Calibri" w:hAnsi="Times New Roman" w:cs="Times New Roman"/>
          <w:sz w:val="21"/>
          <w:szCs w:val="21"/>
        </w:rPr>
      </w:pPr>
    </w:p>
    <w:p w14:paraId="5731E181" w14:textId="77777777" w:rsidR="00F832EE" w:rsidRPr="00F832EE" w:rsidRDefault="00F832EE" w:rsidP="00C976C6">
      <w:pPr>
        <w:spacing w:after="0" w:line="240" w:lineRule="auto"/>
        <w:ind w:firstLineChars="200" w:firstLine="422"/>
        <w:jc w:val="right"/>
        <w:rPr>
          <w:rFonts w:ascii="Times New Roman" w:eastAsia="Calibri" w:hAnsi="Times New Roman" w:cs="Times New Roman"/>
          <w:b/>
          <w:bCs/>
          <w:i/>
          <w:iCs/>
          <w:sz w:val="21"/>
          <w:szCs w:val="21"/>
        </w:rPr>
      </w:pPr>
      <w:r w:rsidRPr="00F832EE">
        <w:rPr>
          <w:rFonts w:ascii="Times New Roman" w:eastAsia="Calibri" w:hAnsi="Times New Roman" w:cs="Times New Roman"/>
          <w:b/>
          <w:bCs/>
          <w:i/>
          <w:iCs/>
          <w:sz w:val="21"/>
          <w:szCs w:val="21"/>
        </w:rPr>
        <w:t xml:space="preserve">Злыднева М.С., </w:t>
      </w:r>
    </w:p>
    <w:p w14:paraId="2FA4F25F" w14:textId="77777777" w:rsidR="00F832EE" w:rsidRPr="00F832EE"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студент 3 курса,</w:t>
      </w:r>
    </w:p>
    <w:p w14:paraId="1C116EDD" w14:textId="77777777" w:rsidR="00690D23" w:rsidRDefault="00690D23" w:rsidP="00AF6D47">
      <w:pPr>
        <w:spacing w:after="0" w:line="240" w:lineRule="auto"/>
        <w:ind w:firstLineChars="71" w:firstLine="142"/>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76E5829" w14:textId="739E5435" w:rsidR="00F832EE" w:rsidRPr="00F832EE"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г. Краснодар, Россия</w:t>
      </w:r>
    </w:p>
    <w:p w14:paraId="39880B53" w14:textId="77777777" w:rsidR="00A86042"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е-</w:t>
      </w:r>
      <w:r w:rsidRPr="00F832EE">
        <w:rPr>
          <w:rFonts w:ascii="Times New Roman" w:eastAsia="Calibri" w:hAnsi="Times New Roman" w:cs="Times New Roman"/>
          <w:i/>
          <w:iCs/>
          <w:sz w:val="21"/>
          <w:szCs w:val="21"/>
          <w:lang w:val="en-US"/>
        </w:rPr>
        <w:t>mail</w:t>
      </w:r>
      <w:r w:rsidRPr="00F832EE">
        <w:rPr>
          <w:rFonts w:ascii="Times New Roman" w:eastAsia="Calibri" w:hAnsi="Times New Roman" w:cs="Times New Roman"/>
          <w:i/>
          <w:iCs/>
          <w:sz w:val="21"/>
          <w:szCs w:val="21"/>
        </w:rPr>
        <w:t xml:space="preserve">: </w:t>
      </w:r>
      <w:hyperlink r:id="rId482" w:history="1">
        <w:r w:rsidRPr="00F832EE">
          <w:rPr>
            <w:rFonts w:ascii="Times New Roman" w:eastAsia="Calibri" w:hAnsi="Times New Roman" w:cs="Times New Roman"/>
            <w:i/>
            <w:iCs/>
            <w:color w:val="0563C1"/>
            <w:sz w:val="21"/>
            <w:szCs w:val="21"/>
            <w:u w:val="single"/>
            <w:lang w:val="en-US"/>
          </w:rPr>
          <w:t>mash</w:t>
        </w:r>
        <w:r w:rsidRPr="00F832EE">
          <w:rPr>
            <w:rFonts w:ascii="Times New Roman" w:eastAsia="Calibri" w:hAnsi="Times New Roman" w:cs="Times New Roman"/>
            <w:i/>
            <w:iCs/>
            <w:color w:val="0563C1"/>
            <w:sz w:val="21"/>
            <w:szCs w:val="21"/>
            <w:u w:val="single"/>
          </w:rPr>
          <w:t>_</w:t>
        </w:r>
        <w:r w:rsidRPr="00F832EE">
          <w:rPr>
            <w:rFonts w:ascii="Times New Roman" w:eastAsia="Calibri" w:hAnsi="Times New Roman" w:cs="Times New Roman"/>
            <w:i/>
            <w:iCs/>
            <w:color w:val="0563C1"/>
            <w:sz w:val="21"/>
            <w:szCs w:val="21"/>
            <w:u w:val="single"/>
            <w:lang w:val="en-US"/>
          </w:rPr>
          <w:t>a</w:t>
        </w:r>
        <w:r w:rsidRPr="00F832EE">
          <w:rPr>
            <w:rFonts w:ascii="Times New Roman" w:eastAsia="Calibri" w:hAnsi="Times New Roman" w:cs="Times New Roman"/>
            <w:i/>
            <w:iCs/>
            <w:color w:val="0563C1"/>
            <w:sz w:val="21"/>
            <w:szCs w:val="21"/>
            <w:u w:val="single"/>
          </w:rPr>
          <w:t>_</w:t>
        </w:r>
        <w:r w:rsidRPr="00F832EE">
          <w:rPr>
            <w:rFonts w:ascii="Times New Roman" w:eastAsia="Calibri" w:hAnsi="Times New Roman" w:cs="Times New Roman"/>
            <w:i/>
            <w:iCs/>
            <w:color w:val="0563C1"/>
            <w:sz w:val="21"/>
            <w:szCs w:val="21"/>
            <w:u w:val="single"/>
            <w:lang w:val="en-US"/>
          </w:rPr>
          <w:t>zz</w:t>
        </w:r>
        <w:r w:rsidRPr="00F832EE">
          <w:rPr>
            <w:rFonts w:ascii="Times New Roman" w:eastAsia="Calibri" w:hAnsi="Times New Roman" w:cs="Times New Roman"/>
            <w:i/>
            <w:iCs/>
            <w:color w:val="0563C1"/>
            <w:sz w:val="21"/>
            <w:szCs w:val="21"/>
            <w:u w:val="single"/>
          </w:rPr>
          <w:t>@</w:t>
        </w:r>
        <w:r w:rsidRPr="00F832EE">
          <w:rPr>
            <w:rFonts w:ascii="Times New Roman" w:eastAsia="Calibri" w:hAnsi="Times New Roman" w:cs="Times New Roman"/>
            <w:i/>
            <w:iCs/>
            <w:color w:val="0563C1"/>
            <w:sz w:val="21"/>
            <w:szCs w:val="21"/>
            <w:u w:val="single"/>
            <w:lang w:val="en-US"/>
          </w:rPr>
          <w:t>mail</w:t>
        </w:r>
        <w:r w:rsidRPr="00F832EE">
          <w:rPr>
            <w:rFonts w:ascii="Times New Roman" w:eastAsia="Calibri" w:hAnsi="Times New Roman" w:cs="Times New Roman"/>
            <w:i/>
            <w:iCs/>
            <w:color w:val="0563C1"/>
            <w:sz w:val="21"/>
            <w:szCs w:val="21"/>
            <w:u w:val="single"/>
          </w:rPr>
          <w:t>.</w:t>
        </w:r>
        <w:r w:rsidRPr="00F832EE">
          <w:rPr>
            <w:rFonts w:ascii="Times New Roman" w:eastAsia="Calibri" w:hAnsi="Times New Roman" w:cs="Times New Roman"/>
            <w:i/>
            <w:iCs/>
            <w:color w:val="0563C1"/>
            <w:sz w:val="21"/>
            <w:szCs w:val="21"/>
            <w:u w:val="single"/>
            <w:lang w:val="en-US"/>
          </w:rPr>
          <w:t>ru</w:t>
        </w:r>
      </w:hyperlink>
      <w:r w:rsidRPr="00F832EE">
        <w:rPr>
          <w:rFonts w:ascii="Times New Roman" w:eastAsia="Calibri" w:hAnsi="Times New Roman" w:cs="Times New Roman"/>
          <w:i/>
          <w:iCs/>
          <w:sz w:val="21"/>
          <w:szCs w:val="21"/>
        </w:rPr>
        <w:t xml:space="preserve"> </w:t>
      </w:r>
    </w:p>
    <w:p w14:paraId="5F39087D" w14:textId="4B37DF8D" w:rsidR="00F832EE" w:rsidRPr="00F832EE"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 xml:space="preserve"> </w:t>
      </w:r>
    </w:p>
    <w:p w14:paraId="04CC0E16" w14:textId="77777777" w:rsidR="00A86042" w:rsidRDefault="00F832EE" w:rsidP="00C976C6">
      <w:pPr>
        <w:spacing w:after="0" w:line="240" w:lineRule="auto"/>
        <w:ind w:firstLineChars="200" w:firstLine="422"/>
        <w:jc w:val="right"/>
        <w:rPr>
          <w:rFonts w:ascii="Times New Roman" w:eastAsia="Calibri" w:hAnsi="Times New Roman" w:cs="Times New Roman"/>
          <w:b/>
          <w:bCs/>
          <w:i/>
          <w:iCs/>
          <w:sz w:val="21"/>
          <w:szCs w:val="21"/>
        </w:rPr>
      </w:pPr>
      <w:r w:rsidRPr="00F832EE">
        <w:rPr>
          <w:rFonts w:ascii="Times New Roman" w:eastAsia="Calibri" w:hAnsi="Times New Roman" w:cs="Times New Roman"/>
          <w:b/>
          <w:bCs/>
          <w:i/>
          <w:iCs/>
          <w:sz w:val="21"/>
          <w:szCs w:val="21"/>
        </w:rPr>
        <w:t xml:space="preserve">Научный руководитель: </w:t>
      </w:r>
    </w:p>
    <w:p w14:paraId="2A079D52" w14:textId="33274698" w:rsidR="00F832EE" w:rsidRPr="00F832EE" w:rsidRDefault="00F832EE" w:rsidP="00C976C6">
      <w:pPr>
        <w:spacing w:after="0" w:line="240" w:lineRule="auto"/>
        <w:ind w:firstLineChars="200" w:firstLine="422"/>
        <w:jc w:val="right"/>
        <w:rPr>
          <w:rFonts w:ascii="Times New Roman" w:eastAsia="Calibri" w:hAnsi="Times New Roman" w:cs="Times New Roman"/>
          <w:i/>
          <w:iCs/>
          <w:sz w:val="21"/>
          <w:szCs w:val="21"/>
        </w:rPr>
      </w:pPr>
      <w:r w:rsidRPr="00F832EE">
        <w:rPr>
          <w:rFonts w:ascii="Times New Roman" w:eastAsia="Calibri" w:hAnsi="Times New Roman" w:cs="Times New Roman"/>
          <w:b/>
          <w:bCs/>
          <w:i/>
          <w:iCs/>
          <w:sz w:val="21"/>
          <w:szCs w:val="21"/>
        </w:rPr>
        <w:t xml:space="preserve">Васкевич Т.В., </w:t>
      </w:r>
    </w:p>
    <w:p w14:paraId="012B1A93" w14:textId="77777777" w:rsidR="00F832EE" w:rsidRPr="00F832EE"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 xml:space="preserve">Кандидат педагогических наук, </w:t>
      </w:r>
    </w:p>
    <w:p w14:paraId="6DA72D53" w14:textId="77777777" w:rsidR="00F832EE" w:rsidRPr="00F832EE" w:rsidRDefault="00F832EE" w:rsidP="00C976C6">
      <w:pPr>
        <w:spacing w:after="0" w:line="240" w:lineRule="auto"/>
        <w:ind w:firstLineChars="200" w:firstLine="420"/>
        <w:jc w:val="right"/>
        <w:rPr>
          <w:rFonts w:ascii="SimSun" w:hAnsi="SimSun" w:cs="SimSun"/>
          <w:sz w:val="21"/>
          <w:szCs w:val="21"/>
        </w:rPr>
      </w:pPr>
      <w:r w:rsidRPr="00F832EE">
        <w:rPr>
          <w:rFonts w:ascii="Times New Roman" w:eastAsia="Calibri" w:hAnsi="Times New Roman" w:cs="Times New Roman"/>
          <w:i/>
          <w:iCs/>
          <w:sz w:val="21"/>
          <w:szCs w:val="21"/>
        </w:rPr>
        <w:t xml:space="preserve">Доцент кафедры «Математика и информатика» </w:t>
      </w:r>
    </w:p>
    <w:p w14:paraId="754D9F14" w14:textId="77777777" w:rsidR="00AF6D47" w:rsidRDefault="00AF6D47" w:rsidP="00AF6D47">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478714C" w14:textId="04D187A6" w:rsidR="00F832EE" w:rsidRPr="00F832EE" w:rsidRDefault="00F832EE" w:rsidP="00C976C6">
      <w:pPr>
        <w:spacing w:after="0" w:line="240" w:lineRule="auto"/>
        <w:ind w:firstLineChars="200" w:firstLine="420"/>
        <w:jc w:val="right"/>
        <w:rPr>
          <w:rFonts w:ascii="Times New Roman" w:eastAsia="Calibri" w:hAnsi="Times New Roman" w:cs="Times New Roman"/>
          <w:i/>
          <w:iCs/>
          <w:sz w:val="21"/>
          <w:szCs w:val="21"/>
        </w:rPr>
      </w:pPr>
      <w:r w:rsidRPr="00F832EE">
        <w:rPr>
          <w:rFonts w:ascii="Times New Roman" w:eastAsia="Calibri" w:hAnsi="Times New Roman" w:cs="Times New Roman"/>
          <w:i/>
          <w:iCs/>
          <w:sz w:val="21"/>
          <w:szCs w:val="21"/>
        </w:rPr>
        <w:t>г. Краснодар, Россия</w:t>
      </w:r>
    </w:p>
    <w:p w14:paraId="0B9F38C5" w14:textId="77777777" w:rsidR="00F832EE" w:rsidRDefault="00F832EE" w:rsidP="00C976C6">
      <w:pPr>
        <w:spacing w:after="0" w:line="240" w:lineRule="auto"/>
        <w:ind w:firstLineChars="200" w:firstLine="420"/>
        <w:jc w:val="right"/>
        <w:rPr>
          <w:rFonts w:ascii="Calibri" w:eastAsia="Calibri" w:hAnsi="Calibri" w:cs="Times New Roman"/>
          <w:sz w:val="21"/>
          <w:szCs w:val="21"/>
        </w:rPr>
      </w:pPr>
      <w:r w:rsidRPr="00F832EE">
        <w:rPr>
          <w:rFonts w:ascii="Times New Roman" w:eastAsia="Calibri" w:hAnsi="Times New Roman" w:cs="Times New Roman"/>
          <w:i/>
          <w:iCs/>
          <w:sz w:val="21"/>
          <w:szCs w:val="21"/>
        </w:rPr>
        <w:t>е-</w:t>
      </w:r>
      <w:r w:rsidRPr="00F832EE">
        <w:rPr>
          <w:rFonts w:ascii="Times New Roman" w:eastAsia="Calibri" w:hAnsi="Times New Roman" w:cs="Times New Roman"/>
          <w:i/>
          <w:iCs/>
          <w:sz w:val="21"/>
          <w:szCs w:val="21"/>
          <w:lang w:val="en-US"/>
        </w:rPr>
        <w:t>mail</w:t>
      </w:r>
      <w:r w:rsidRPr="00F832EE">
        <w:rPr>
          <w:rFonts w:ascii="Times New Roman" w:eastAsia="Calibri" w:hAnsi="Times New Roman" w:cs="Times New Roman"/>
          <w:i/>
          <w:iCs/>
          <w:sz w:val="21"/>
          <w:szCs w:val="21"/>
        </w:rPr>
        <w:t>:</w:t>
      </w:r>
      <w:r w:rsidRPr="00F832EE">
        <w:rPr>
          <w:rFonts w:ascii="Calibri" w:eastAsia="Calibri" w:hAnsi="Calibri" w:cs="Times New Roman"/>
          <w:sz w:val="21"/>
          <w:szCs w:val="21"/>
        </w:rPr>
        <w:t xml:space="preserve"> </w:t>
      </w:r>
      <w:hyperlink r:id="rId483" w:history="1">
        <w:r w:rsidRPr="00F832EE">
          <w:rPr>
            <w:rFonts w:ascii="Times New Roman" w:eastAsia="Calibri" w:hAnsi="Times New Roman" w:cs="Times New Roman"/>
            <w:i/>
            <w:iCs/>
            <w:color w:val="0563C1"/>
            <w:sz w:val="21"/>
            <w:szCs w:val="21"/>
            <w:u w:val="single"/>
            <w:lang w:val="en-US"/>
          </w:rPr>
          <w:t>tvvaskevich</w:t>
        </w:r>
        <w:r w:rsidRPr="00F832EE">
          <w:rPr>
            <w:rFonts w:ascii="Times New Roman" w:eastAsia="Calibri" w:hAnsi="Times New Roman" w:cs="Times New Roman"/>
            <w:i/>
            <w:iCs/>
            <w:color w:val="0563C1"/>
            <w:sz w:val="21"/>
            <w:szCs w:val="21"/>
            <w:u w:val="single"/>
          </w:rPr>
          <w:t>@</w:t>
        </w:r>
        <w:r w:rsidRPr="00F832EE">
          <w:rPr>
            <w:rFonts w:ascii="Times New Roman" w:eastAsia="Calibri" w:hAnsi="Times New Roman" w:cs="Times New Roman"/>
            <w:i/>
            <w:iCs/>
            <w:color w:val="0563C1"/>
            <w:sz w:val="21"/>
            <w:szCs w:val="21"/>
            <w:u w:val="single"/>
            <w:lang w:val="en-US"/>
          </w:rPr>
          <w:t>fa</w:t>
        </w:r>
        <w:r w:rsidRPr="00F832EE">
          <w:rPr>
            <w:rFonts w:ascii="Times New Roman" w:eastAsia="Calibri" w:hAnsi="Times New Roman" w:cs="Times New Roman"/>
            <w:i/>
            <w:iCs/>
            <w:color w:val="0563C1"/>
            <w:sz w:val="21"/>
            <w:szCs w:val="21"/>
            <w:u w:val="single"/>
          </w:rPr>
          <w:t>.</w:t>
        </w:r>
        <w:r w:rsidRPr="00F832EE">
          <w:rPr>
            <w:rFonts w:ascii="Times New Roman" w:eastAsia="Calibri" w:hAnsi="Times New Roman" w:cs="Times New Roman"/>
            <w:i/>
            <w:iCs/>
            <w:color w:val="0563C1"/>
            <w:sz w:val="21"/>
            <w:szCs w:val="21"/>
            <w:u w:val="single"/>
            <w:lang w:val="en-US"/>
          </w:rPr>
          <w:t>ru</w:t>
        </w:r>
      </w:hyperlink>
    </w:p>
    <w:p w14:paraId="0CEBC02B" w14:textId="77777777" w:rsidR="00A86042" w:rsidRPr="00F832EE" w:rsidRDefault="00A86042" w:rsidP="00C976C6">
      <w:pPr>
        <w:spacing w:after="0" w:line="240" w:lineRule="auto"/>
        <w:ind w:firstLineChars="200" w:firstLine="420"/>
        <w:jc w:val="right"/>
        <w:rPr>
          <w:rFonts w:ascii="Times New Roman" w:eastAsia="Calibri" w:hAnsi="Times New Roman" w:cs="Times New Roman"/>
          <w:i/>
          <w:iCs/>
          <w:color w:val="0563C1"/>
          <w:sz w:val="21"/>
          <w:szCs w:val="21"/>
          <w:u w:val="single"/>
        </w:rPr>
      </w:pPr>
    </w:p>
    <w:p w14:paraId="76518DF8" w14:textId="77777777" w:rsidR="00F832EE" w:rsidRPr="00F832EE" w:rsidRDefault="00F832EE" w:rsidP="00F832EE">
      <w:pPr>
        <w:spacing w:line="240" w:lineRule="auto"/>
        <w:jc w:val="center"/>
        <w:rPr>
          <w:rFonts w:ascii="Times New Roman" w:eastAsia="Times New Roman" w:hAnsi="Times New Roman" w:cs="Times New Roman"/>
          <w:b/>
          <w:sz w:val="21"/>
          <w:szCs w:val="21"/>
          <w:lang w:eastAsia="ru-RU"/>
        </w:rPr>
      </w:pPr>
      <w:r w:rsidRPr="00F832EE">
        <w:rPr>
          <w:rFonts w:ascii="Times New Roman" w:eastAsia="Times New Roman" w:hAnsi="Times New Roman" w:cs="Times New Roman"/>
          <w:b/>
          <w:sz w:val="21"/>
          <w:szCs w:val="21"/>
          <w:lang w:eastAsia="ru-RU"/>
        </w:rPr>
        <w:t>Внедрение систем бизнес-аналитики для управления банком: применение BI-систем для анализа финансовых показателей</w:t>
      </w:r>
    </w:p>
    <w:p w14:paraId="31C049F9" w14:textId="77777777" w:rsidR="00F832EE" w:rsidRPr="00F832EE" w:rsidRDefault="00F832EE" w:rsidP="00A86042">
      <w:pPr>
        <w:spacing w:after="0" w:line="240" w:lineRule="auto"/>
        <w:ind w:firstLine="709"/>
        <w:jc w:val="both"/>
        <w:rPr>
          <w:rFonts w:ascii="Times New Roman" w:eastAsia="Calibri" w:hAnsi="Times New Roman" w:cs="Times New Roman"/>
          <w:sz w:val="21"/>
          <w:szCs w:val="21"/>
        </w:rPr>
      </w:pPr>
      <w:r w:rsidRPr="00F832EE">
        <w:rPr>
          <w:rFonts w:ascii="Times New Roman" w:eastAsia="Calibri" w:hAnsi="Times New Roman" w:cs="Times New Roman"/>
          <w:b/>
          <w:bCs/>
          <w:sz w:val="21"/>
          <w:szCs w:val="21"/>
        </w:rPr>
        <w:t>Аннотация</w:t>
      </w:r>
      <w:r w:rsidRPr="00F832EE">
        <w:rPr>
          <w:rFonts w:ascii="Times New Roman" w:eastAsia="Calibri" w:hAnsi="Times New Roman" w:cs="Times New Roman"/>
          <w:sz w:val="21"/>
          <w:szCs w:val="21"/>
        </w:rPr>
        <w:t xml:space="preserve">: статья посвящена теме внедрения </w:t>
      </w:r>
      <w:r w:rsidRPr="00F832EE">
        <w:rPr>
          <w:rFonts w:ascii="Times New Roman" w:eastAsia="Calibri" w:hAnsi="Times New Roman" w:cs="Times New Roman"/>
          <w:sz w:val="21"/>
          <w:szCs w:val="21"/>
          <w:lang w:val="en-US"/>
        </w:rPr>
        <w:t>BI</w:t>
      </w:r>
      <w:r w:rsidRPr="00F832EE">
        <w:rPr>
          <w:rFonts w:ascii="Times New Roman" w:eastAsia="Calibri" w:hAnsi="Times New Roman" w:cs="Times New Roman"/>
          <w:sz w:val="21"/>
          <w:szCs w:val="21"/>
        </w:rPr>
        <w:t>-систем для управления банком, а именно для анализа финансовых показателей. На примере бухгалтерского баланса и отчета о финансовых результатах КБ «Кубань Кредит» ООО в статье представляется расчет и визуализация основных индикаторов финансовой деятельности банка. Все расчеты и визуализация показателей проводятся в российской облачной BI-системе Yandex DataLens.</w:t>
      </w:r>
    </w:p>
    <w:p w14:paraId="38E29812" w14:textId="77777777" w:rsidR="00F832EE" w:rsidRPr="00F832EE" w:rsidRDefault="00F832EE" w:rsidP="00A86042">
      <w:pPr>
        <w:spacing w:after="0" w:line="240" w:lineRule="auto"/>
        <w:ind w:firstLine="709"/>
        <w:jc w:val="both"/>
        <w:rPr>
          <w:rFonts w:ascii="Times New Roman" w:eastAsia="Calibri" w:hAnsi="Times New Roman" w:cs="Times New Roman"/>
          <w:bCs/>
          <w:sz w:val="21"/>
          <w:szCs w:val="21"/>
        </w:rPr>
      </w:pPr>
      <w:r w:rsidRPr="00F832EE">
        <w:rPr>
          <w:rFonts w:ascii="Times New Roman" w:eastAsia="Calibri" w:hAnsi="Times New Roman" w:cs="Times New Roman"/>
          <w:b/>
          <w:sz w:val="21"/>
          <w:szCs w:val="21"/>
        </w:rPr>
        <w:t xml:space="preserve">Ключевые слова: </w:t>
      </w:r>
      <w:r w:rsidRPr="00F832EE">
        <w:rPr>
          <w:rFonts w:ascii="Times New Roman" w:eastAsia="Calibri" w:hAnsi="Times New Roman" w:cs="Times New Roman"/>
          <w:bCs/>
          <w:sz w:val="21"/>
          <w:szCs w:val="21"/>
          <w:lang w:val="en-US"/>
        </w:rPr>
        <w:t>BI</w:t>
      </w:r>
      <w:r w:rsidRPr="00F832EE">
        <w:rPr>
          <w:rFonts w:ascii="Times New Roman" w:eastAsia="Calibri" w:hAnsi="Times New Roman" w:cs="Times New Roman"/>
          <w:bCs/>
          <w:sz w:val="21"/>
          <w:szCs w:val="21"/>
        </w:rPr>
        <w:t>-система, системы бизнес-аналитики, банк, аналитика, финансовые показатели.</w:t>
      </w:r>
    </w:p>
    <w:p w14:paraId="67F0B05F" w14:textId="77777777" w:rsidR="00F832EE" w:rsidRPr="00F832EE" w:rsidRDefault="00F832EE" w:rsidP="00A86042">
      <w:pPr>
        <w:spacing w:after="0" w:line="240" w:lineRule="auto"/>
        <w:ind w:firstLineChars="200" w:firstLine="422"/>
        <w:jc w:val="right"/>
        <w:rPr>
          <w:rFonts w:ascii="Times New Roman" w:eastAsia="Calibri" w:hAnsi="Times New Roman" w:cs="Times New Roman"/>
          <w:b/>
          <w:bCs/>
          <w:i/>
          <w:iCs/>
          <w:sz w:val="21"/>
          <w:szCs w:val="21"/>
          <w:lang w:val="en-US"/>
        </w:rPr>
      </w:pPr>
      <w:r w:rsidRPr="00F832EE">
        <w:rPr>
          <w:rFonts w:ascii="Times New Roman" w:eastAsia="Calibri" w:hAnsi="Times New Roman" w:cs="Times New Roman"/>
          <w:b/>
          <w:bCs/>
          <w:i/>
          <w:iCs/>
          <w:sz w:val="21"/>
          <w:szCs w:val="21"/>
          <w:lang w:val="en-US"/>
        </w:rPr>
        <w:t xml:space="preserve">Zlydneva M.S., </w:t>
      </w:r>
    </w:p>
    <w:p w14:paraId="17AB1171" w14:textId="77777777"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3rd year student,</w:t>
      </w:r>
    </w:p>
    <w:p w14:paraId="6EA8335A" w14:textId="03D35512"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Financial University under the Government of the Russian Federation,</w:t>
      </w:r>
      <w:r w:rsidR="00A86042" w:rsidRPr="00A86042">
        <w:rPr>
          <w:rFonts w:ascii="Times New Roman" w:eastAsia="Calibri" w:hAnsi="Times New Roman" w:cs="Times New Roman"/>
          <w:i/>
          <w:iCs/>
          <w:sz w:val="21"/>
          <w:szCs w:val="21"/>
          <w:lang w:val="en-US"/>
        </w:rPr>
        <w:t xml:space="preserve"> </w:t>
      </w:r>
      <w:r w:rsidRPr="00F832EE">
        <w:rPr>
          <w:rFonts w:ascii="Times New Roman" w:eastAsia="Calibri" w:hAnsi="Times New Roman" w:cs="Times New Roman"/>
          <w:i/>
          <w:iCs/>
          <w:sz w:val="21"/>
          <w:szCs w:val="21"/>
          <w:lang w:val="en-US"/>
        </w:rPr>
        <w:t>Krasnodar branch</w:t>
      </w:r>
    </w:p>
    <w:p w14:paraId="45C7095E" w14:textId="77777777"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Krasnodar, Russia</w:t>
      </w:r>
    </w:p>
    <w:p w14:paraId="7FBF36C8" w14:textId="0BBF6159" w:rsidR="00F832EE" w:rsidRPr="00A86042" w:rsidRDefault="00F832EE" w:rsidP="00A86042">
      <w:pPr>
        <w:spacing w:after="0" w:line="240" w:lineRule="auto"/>
        <w:ind w:firstLineChars="200" w:firstLine="420"/>
        <w:jc w:val="right"/>
        <w:rPr>
          <w:rFonts w:ascii="Times New Roman" w:eastAsia="Calibri" w:hAnsi="Times New Roman" w:cs="Times New Roman"/>
          <w:color w:val="0563C1"/>
          <w:sz w:val="21"/>
          <w:szCs w:val="21"/>
          <w:u w:val="single"/>
          <w:lang w:val="en-US"/>
        </w:rPr>
      </w:pPr>
      <w:r w:rsidRPr="00F832EE">
        <w:rPr>
          <w:rFonts w:ascii="Times New Roman" w:eastAsia="Calibri" w:hAnsi="Times New Roman" w:cs="Times New Roman"/>
          <w:i/>
          <w:iCs/>
          <w:sz w:val="21"/>
          <w:szCs w:val="21"/>
          <w:lang w:val="en-US"/>
        </w:rPr>
        <w:t>e-mail</w:t>
      </w:r>
      <w:r w:rsidRPr="00F832EE">
        <w:rPr>
          <w:rFonts w:ascii="Times New Roman" w:eastAsia="Calibri" w:hAnsi="Times New Roman" w:cs="Times New Roman"/>
          <w:sz w:val="21"/>
          <w:szCs w:val="21"/>
          <w:lang w:val="en-US"/>
        </w:rPr>
        <w:t xml:space="preserve">: </w:t>
      </w:r>
      <w:hyperlink r:id="rId484" w:history="1">
        <w:r w:rsidR="00A86042" w:rsidRPr="00F832EE">
          <w:rPr>
            <w:rStyle w:val="aa"/>
            <w:rFonts w:ascii="Times New Roman" w:eastAsia="Calibri" w:hAnsi="Times New Roman" w:cs="Times New Roman"/>
            <w:sz w:val="21"/>
            <w:szCs w:val="21"/>
            <w:lang w:val="en-US"/>
          </w:rPr>
          <w:t>mash_a_zz@mail.ru</w:t>
        </w:r>
      </w:hyperlink>
    </w:p>
    <w:p w14:paraId="7CA39932" w14:textId="77777777" w:rsidR="00A86042" w:rsidRPr="0079564B" w:rsidRDefault="00A86042" w:rsidP="00A86042">
      <w:pPr>
        <w:spacing w:after="0" w:line="240" w:lineRule="auto"/>
        <w:ind w:firstLineChars="200" w:firstLine="420"/>
        <w:jc w:val="right"/>
        <w:rPr>
          <w:rFonts w:ascii="Times New Roman" w:eastAsia="Calibri" w:hAnsi="Times New Roman" w:cs="Times New Roman"/>
          <w:color w:val="0563C1"/>
          <w:sz w:val="21"/>
          <w:szCs w:val="21"/>
          <w:u w:val="single"/>
          <w:lang w:val="en-US"/>
        </w:rPr>
      </w:pPr>
    </w:p>
    <w:p w14:paraId="54549BD1" w14:textId="77777777" w:rsidR="00A86042" w:rsidRPr="00A86042" w:rsidRDefault="00F832EE" w:rsidP="00A86042">
      <w:pPr>
        <w:spacing w:after="0" w:line="240" w:lineRule="auto"/>
        <w:ind w:firstLineChars="200" w:firstLine="422"/>
        <w:jc w:val="right"/>
        <w:rPr>
          <w:rFonts w:ascii="Times New Roman" w:eastAsia="Calibri" w:hAnsi="Times New Roman" w:cs="Times New Roman"/>
          <w:b/>
          <w:bCs/>
          <w:i/>
          <w:iCs/>
          <w:sz w:val="21"/>
          <w:szCs w:val="21"/>
          <w:lang w:val="en-US"/>
        </w:rPr>
      </w:pPr>
      <w:r w:rsidRPr="00F832EE">
        <w:rPr>
          <w:rFonts w:ascii="Times New Roman" w:eastAsia="Calibri" w:hAnsi="Times New Roman" w:cs="Times New Roman"/>
          <w:b/>
          <w:bCs/>
          <w:i/>
          <w:iCs/>
          <w:sz w:val="21"/>
          <w:szCs w:val="21"/>
          <w:lang w:val="en-US"/>
        </w:rPr>
        <w:t xml:space="preserve">Scientific supervisor: </w:t>
      </w:r>
    </w:p>
    <w:p w14:paraId="65A59C7A" w14:textId="1A83FB83" w:rsidR="00F832EE" w:rsidRPr="00F832EE" w:rsidRDefault="00F832EE" w:rsidP="00A86042">
      <w:pPr>
        <w:spacing w:after="0" w:line="240" w:lineRule="auto"/>
        <w:ind w:firstLineChars="200" w:firstLine="422"/>
        <w:jc w:val="right"/>
        <w:rPr>
          <w:rFonts w:ascii="Times New Roman" w:eastAsia="Calibri" w:hAnsi="Times New Roman" w:cs="Times New Roman"/>
          <w:b/>
          <w:bCs/>
          <w:i/>
          <w:iCs/>
          <w:sz w:val="21"/>
          <w:szCs w:val="21"/>
          <w:lang w:val="en-US"/>
        </w:rPr>
      </w:pPr>
      <w:r w:rsidRPr="00F832EE">
        <w:rPr>
          <w:rFonts w:ascii="Times New Roman" w:eastAsia="Calibri" w:hAnsi="Times New Roman" w:cs="Times New Roman"/>
          <w:b/>
          <w:bCs/>
          <w:i/>
          <w:iCs/>
          <w:sz w:val="21"/>
          <w:szCs w:val="21"/>
          <w:lang w:val="en-US"/>
        </w:rPr>
        <w:t>Vaskevich T.V.,</w:t>
      </w:r>
    </w:p>
    <w:p w14:paraId="1D70DE0C" w14:textId="77777777"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Candidate of Pedagogical Sciences,</w:t>
      </w:r>
    </w:p>
    <w:p w14:paraId="0E033127" w14:textId="77777777"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Associate Professor of the Department of Mathematics and Informatics</w:t>
      </w:r>
    </w:p>
    <w:p w14:paraId="1D6EB564" w14:textId="46F4E3F3"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Financial University under the Government of the Russian Federation,</w:t>
      </w:r>
      <w:r w:rsidR="00A86042" w:rsidRPr="00A86042">
        <w:rPr>
          <w:rFonts w:ascii="Times New Roman" w:eastAsia="Calibri" w:hAnsi="Times New Roman" w:cs="Times New Roman"/>
          <w:i/>
          <w:iCs/>
          <w:sz w:val="21"/>
          <w:szCs w:val="21"/>
          <w:lang w:val="en-US"/>
        </w:rPr>
        <w:t xml:space="preserve"> </w:t>
      </w:r>
      <w:r w:rsidRPr="00F832EE">
        <w:rPr>
          <w:rFonts w:ascii="Times New Roman" w:eastAsia="Calibri" w:hAnsi="Times New Roman" w:cs="Times New Roman"/>
          <w:i/>
          <w:iCs/>
          <w:sz w:val="21"/>
          <w:szCs w:val="21"/>
          <w:lang w:val="en-US"/>
        </w:rPr>
        <w:t>Krasnodar branch</w:t>
      </w:r>
    </w:p>
    <w:p w14:paraId="3B317766" w14:textId="77777777" w:rsidR="00F832EE" w:rsidRPr="00F832EE" w:rsidRDefault="00F832EE" w:rsidP="00A86042">
      <w:pPr>
        <w:spacing w:after="0" w:line="240" w:lineRule="auto"/>
        <w:ind w:firstLineChars="200" w:firstLine="420"/>
        <w:jc w:val="right"/>
        <w:rPr>
          <w:rFonts w:ascii="Times New Roman" w:eastAsia="Calibri" w:hAnsi="Times New Roman" w:cs="Times New Roman"/>
          <w:i/>
          <w:iCs/>
          <w:sz w:val="21"/>
          <w:szCs w:val="21"/>
          <w:lang w:val="en-US"/>
        </w:rPr>
      </w:pPr>
      <w:r w:rsidRPr="00F832EE">
        <w:rPr>
          <w:rFonts w:ascii="Times New Roman" w:eastAsia="Calibri" w:hAnsi="Times New Roman" w:cs="Times New Roman"/>
          <w:i/>
          <w:iCs/>
          <w:sz w:val="21"/>
          <w:szCs w:val="21"/>
          <w:lang w:val="en-US"/>
        </w:rPr>
        <w:t>Krasnodar, Russia</w:t>
      </w:r>
    </w:p>
    <w:p w14:paraId="73BE5520" w14:textId="77777777" w:rsidR="00F832EE" w:rsidRPr="00F832EE" w:rsidRDefault="00F832EE" w:rsidP="00A86042">
      <w:pPr>
        <w:spacing w:after="0" w:line="240" w:lineRule="auto"/>
        <w:ind w:firstLineChars="200" w:firstLine="420"/>
        <w:jc w:val="right"/>
        <w:rPr>
          <w:rFonts w:ascii="Times New Roman" w:eastAsia="Calibri" w:hAnsi="Times New Roman" w:cs="Times New Roman"/>
          <w:color w:val="0563C1"/>
          <w:sz w:val="21"/>
          <w:szCs w:val="21"/>
          <w:u w:val="single"/>
          <w:lang w:val="en-US"/>
        </w:rPr>
      </w:pPr>
      <w:r w:rsidRPr="00F832EE">
        <w:rPr>
          <w:rFonts w:ascii="Times New Roman" w:eastAsia="Calibri" w:hAnsi="Times New Roman" w:cs="Times New Roman"/>
          <w:i/>
          <w:iCs/>
          <w:sz w:val="21"/>
          <w:szCs w:val="21"/>
          <w:lang w:val="en-US"/>
        </w:rPr>
        <w:t>e-mail</w:t>
      </w:r>
      <w:r w:rsidRPr="00F832EE">
        <w:rPr>
          <w:rFonts w:ascii="Times New Roman" w:eastAsia="Calibri" w:hAnsi="Times New Roman" w:cs="Times New Roman"/>
          <w:sz w:val="21"/>
          <w:szCs w:val="21"/>
          <w:lang w:val="en-US"/>
        </w:rPr>
        <w:t xml:space="preserve">: </w:t>
      </w:r>
      <w:hyperlink r:id="rId485" w:history="1">
        <w:r w:rsidRPr="00F832EE">
          <w:rPr>
            <w:rFonts w:ascii="Times New Roman" w:eastAsia="Calibri" w:hAnsi="Times New Roman" w:cs="Times New Roman"/>
            <w:color w:val="0563C1"/>
            <w:sz w:val="21"/>
            <w:szCs w:val="21"/>
            <w:u w:val="single"/>
            <w:lang w:val="en-US"/>
          </w:rPr>
          <w:t>tvvaskevich@fa.ru</w:t>
        </w:r>
      </w:hyperlink>
    </w:p>
    <w:p w14:paraId="67D49AFE" w14:textId="77777777" w:rsidR="00F832EE" w:rsidRPr="00F832EE" w:rsidRDefault="00F832EE" w:rsidP="00F832EE">
      <w:pPr>
        <w:spacing w:after="40" w:line="240" w:lineRule="auto"/>
        <w:ind w:firstLineChars="200" w:firstLine="420"/>
        <w:jc w:val="right"/>
        <w:rPr>
          <w:rFonts w:ascii="Times New Roman" w:eastAsia="Calibri" w:hAnsi="Times New Roman" w:cs="Times New Roman"/>
          <w:color w:val="0563C1"/>
          <w:sz w:val="21"/>
          <w:szCs w:val="21"/>
          <w:u w:val="single"/>
          <w:lang w:val="en-US"/>
        </w:rPr>
      </w:pPr>
    </w:p>
    <w:p w14:paraId="624AF18A" w14:textId="77777777" w:rsidR="00F832EE" w:rsidRPr="00F832EE" w:rsidRDefault="00F832EE" w:rsidP="00F832EE">
      <w:pPr>
        <w:spacing w:line="240" w:lineRule="auto"/>
        <w:jc w:val="center"/>
        <w:rPr>
          <w:rFonts w:ascii="Times New Roman" w:eastAsia="Calibri" w:hAnsi="Times New Roman" w:cs="Times New Roman"/>
          <w:b/>
          <w:sz w:val="21"/>
          <w:szCs w:val="21"/>
          <w:lang w:val="en-US"/>
        </w:rPr>
      </w:pPr>
      <w:r w:rsidRPr="00F832EE">
        <w:rPr>
          <w:rFonts w:ascii="Times New Roman" w:eastAsia="Calibri" w:hAnsi="Times New Roman" w:cs="Times New Roman"/>
          <w:b/>
          <w:sz w:val="21"/>
          <w:szCs w:val="21"/>
          <w:lang w:val="en-US"/>
        </w:rPr>
        <w:t>Implementation of business intelligence systems for bank management: Application of BI systems for financial performance analysis</w:t>
      </w:r>
    </w:p>
    <w:p w14:paraId="70213138" w14:textId="77777777" w:rsidR="00F832EE" w:rsidRPr="00F832EE" w:rsidRDefault="00F832EE" w:rsidP="00070AB0">
      <w:pPr>
        <w:spacing w:after="0" w:line="240" w:lineRule="auto"/>
        <w:ind w:firstLine="709"/>
        <w:jc w:val="both"/>
        <w:rPr>
          <w:rFonts w:ascii="Times New Roman" w:eastAsia="Calibri" w:hAnsi="Times New Roman" w:cs="Times New Roman"/>
          <w:bCs/>
          <w:sz w:val="21"/>
          <w:szCs w:val="21"/>
          <w:lang w:val="en-US"/>
        </w:rPr>
      </w:pPr>
      <w:r w:rsidRPr="00F832EE">
        <w:rPr>
          <w:rFonts w:ascii="Times New Roman" w:eastAsia="Calibri" w:hAnsi="Times New Roman" w:cs="Times New Roman"/>
          <w:b/>
          <w:sz w:val="21"/>
          <w:szCs w:val="21"/>
          <w:lang w:val="en-US"/>
        </w:rPr>
        <w:t xml:space="preserve">Abstract: </w:t>
      </w:r>
      <w:r w:rsidRPr="00F832EE">
        <w:rPr>
          <w:rFonts w:ascii="Times New Roman" w:eastAsia="Calibri" w:hAnsi="Times New Roman" w:cs="Times New Roman"/>
          <w:bCs/>
          <w:sz w:val="21"/>
          <w:szCs w:val="21"/>
          <w:lang w:val="en-US"/>
        </w:rPr>
        <w:t>the article is devoted to the topic of implementing BI systems for bank management, namely for financial performance analysis. Using the example of the balance sheet and the financial performance report of KB Kuban Credit LLC, the article presents the calculation and visualization of the main indicators of the bank's financial activities.</w:t>
      </w:r>
      <w:r w:rsidRPr="00F832EE">
        <w:rPr>
          <w:rFonts w:ascii="Calibri" w:eastAsia="Calibri" w:hAnsi="Calibri" w:cs="Times New Roman"/>
          <w:bCs/>
          <w:sz w:val="21"/>
          <w:szCs w:val="21"/>
          <w:lang w:val="en-US"/>
        </w:rPr>
        <w:t xml:space="preserve"> </w:t>
      </w:r>
      <w:r w:rsidRPr="00F832EE">
        <w:rPr>
          <w:rFonts w:ascii="Times New Roman" w:eastAsia="Calibri" w:hAnsi="Times New Roman" w:cs="Times New Roman"/>
          <w:bCs/>
          <w:sz w:val="21"/>
          <w:szCs w:val="21"/>
          <w:lang w:val="en-US"/>
        </w:rPr>
        <w:t>All calculations and visualization of indicators are carried out in the Russian cloud BI system Yandex DataLens.</w:t>
      </w:r>
    </w:p>
    <w:p w14:paraId="446A1560" w14:textId="77777777" w:rsidR="00F832EE" w:rsidRPr="00F832EE" w:rsidRDefault="00F832EE" w:rsidP="00070AB0">
      <w:pPr>
        <w:spacing w:after="0" w:line="240" w:lineRule="auto"/>
        <w:ind w:firstLine="709"/>
        <w:jc w:val="both"/>
        <w:rPr>
          <w:rFonts w:ascii="Times New Roman" w:eastAsia="Calibri" w:hAnsi="Times New Roman" w:cs="Times New Roman"/>
          <w:bCs/>
          <w:sz w:val="21"/>
          <w:szCs w:val="21"/>
          <w:lang w:val="en-US"/>
        </w:rPr>
      </w:pPr>
      <w:r w:rsidRPr="00F832EE">
        <w:rPr>
          <w:rFonts w:ascii="Times New Roman" w:eastAsia="Calibri" w:hAnsi="Times New Roman" w:cs="Times New Roman"/>
          <w:b/>
          <w:sz w:val="21"/>
          <w:szCs w:val="21"/>
          <w:lang w:val="en-US"/>
        </w:rPr>
        <w:lastRenderedPageBreak/>
        <w:t xml:space="preserve">Keywords: </w:t>
      </w:r>
      <w:r w:rsidRPr="00F832EE">
        <w:rPr>
          <w:rFonts w:ascii="Times New Roman" w:eastAsia="Calibri" w:hAnsi="Times New Roman" w:cs="Times New Roman"/>
          <w:bCs/>
          <w:sz w:val="21"/>
          <w:szCs w:val="21"/>
          <w:lang w:val="en-US"/>
        </w:rPr>
        <w:t>BI system, business analytics systems, bank, analytics, financial indicators.</w:t>
      </w:r>
    </w:p>
    <w:p w14:paraId="14AE2704" w14:textId="77777777" w:rsidR="00070AB0" w:rsidRPr="0079564B" w:rsidRDefault="00070AB0" w:rsidP="00F832EE">
      <w:pPr>
        <w:spacing w:line="240" w:lineRule="auto"/>
        <w:ind w:firstLine="709"/>
        <w:jc w:val="both"/>
        <w:rPr>
          <w:rFonts w:ascii="Times New Roman" w:eastAsia="Calibri" w:hAnsi="Times New Roman" w:cs="Times New Roman"/>
          <w:sz w:val="28"/>
          <w:szCs w:val="28"/>
          <w:lang w:val="en-US"/>
        </w:rPr>
      </w:pPr>
    </w:p>
    <w:p w14:paraId="34C2CA3C" w14:textId="3756B6C3"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Во всем мире аналитики отмечают рост спроса на BI-системы для принятия решений, и Россия не является исключением [1]. Статья посвящена теме внедрения систем бизнес-аналитики в сфере кредитных организаций, а именно применению </w:t>
      </w: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 xml:space="preserve">-систем для анализа финансовых показателей. В условиях большой конкуренции, банкам необходимо оперативно принимать важные решения опираясь на актуальные и истинные данные. </w:t>
      </w: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-система – это мощный инструмент для сбора, обработки, анализа и визуализации данных, который помогает компаниям эффективно принимать бизнес-решения в области повышения рентабельности, управления рисками и оптимизации операционных процессов.</w:t>
      </w:r>
    </w:p>
    <w:p w14:paraId="2FD528C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Системы бизнес-аналитики позволяют анализировать данные из разных источников: базы данных, файлы разных форматов, облачные хранилища, </w:t>
      </w:r>
      <w:r w:rsidRPr="00F832EE">
        <w:rPr>
          <w:rFonts w:ascii="Times New Roman" w:eastAsia="Calibri" w:hAnsi="Times New Roman" w:cs="Times New Roman"/>
          <w:sz w:val="32"/>
          <w:szCs w:val="32"/>
          <w:lang w:val="en-US"/>
        </w:rPr>
        <w:t>CRM</w:t>
      </w:r>
      <w:r w:rsidRPr="00F832EE">
        <w:rPr>
          <w:rFonts w:ascii="Times New Roman" w:eastAsia="Calibri" w:hAnsi="Times New Roman" w:cs="Times New Roman"/>
          <w:sz w:val="32"/>
          <w:szCs w:val="32"/>
        </w:rPr>
        <w:t xml:space="preserve">-системы и другие. Ключевые источники данных в банковской сфере – это бухгалтерские системы, </w:t>
      </w:r>
      <w:r w:rsidRPr="00F832EE">
        <w:rPr>
          <w:rFonts w:ascii="Times New Roman" w:eastAsia="Calibri" w:hAnsi="Times New Roman" w:cs="Times New Roman"/>
          <w:sz w:val="32"/>
          <w:szCs w:val="32"/>
          <w:lang w:val="en-US"/>
        </w:rPr>
        <w:t>CRM</w:t>
      </w:r>
      <w:r w:rsidRPr="00F832EE">
        <w:rPr>
          <w:rFonts w:ascii="Times New Roman" w:eastAsia="Calibri" w:hAnsi="Times New Roman" w:cs="Times New Roman"/>
          <w:sz w:val="32"/>
          <w:szCs w:val="32"/>
        </w:rPr>
        <w:t>-системы и внешние источники с данными о конкурентах и рынке. Найти основные данные о финансовом состоянии банка можно в бухгалтерском балансе и в отчете о финансовых результатах.</w:t>
      </w:r>
    </w:p>
    <w:p w14:paraId="1F8A30FD"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Рассмотрим пример расчета основных индикаторов деятельности </w:t>
      </w:r>
      <w:bookmarkStart w:id="91" w:name="_Hlk196733486"/>
      <w:r w:rsidRPr="00F832EE">
        <w:rPr>
          <w:rFonts w:ascii="Times New Roman" w:eastAsia="Calibri" w:hAnsi="Times New Roman" w:cs="Times New Roman"/>
          <w:sz w:val="32"/>
          <w:szCs w:val="32"/>
        </w:rPr>
        <w:t xml:space="preserve">КБ «Кубань Кредит» ООО </w:t>
      </w:r>
      <w:bookmarkEnd w:id="91"/>
      <w:r w:rsidRPr="00F832EE">
        <w:rPr>
          <w:rFonts w:ascii="Times New Roman" w:eastAsia="Calibri" w:hAnsi="Times New Roman" w:cs="Times New Roman"/>
          <w:sz w:val="32"/>
          <w:szCs w:val="32"/>
        </w:rPr>
        <w:t xml:space="preserve">на основе бухгалтерского баланса и отчета и финансовых результатах, а также пример визуализации данных о финансовой деятельности </w:t>
      </w:r>
      <w:bookmarkStart w:id="92" w:name="_Hlk196733782"/>
      <w:r w:rsidRPr="00F832EE">
        <w:rPr>
          <w:rFonts w:ascii="Times New Roman" w:eastAsia="Calibri" w:hAnsi="Times New Roman" w:cs="Times New Roman"/>
          <w:sz w:val="32"/>
          <w:szCs w:val="32"/>
        </w:rPr>
        <w:t xml:space="preserve">в облачной </w:t>
      </w: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-системе Yandex DataLens</w:t>
      </w:r>
      <w:bookmarkEnd w:id="92"/>
      <w:r w:rsidRPr="00F832EE">
        <w:rPr>
          <w:rFonts w:ascii="Times New Roman" w:eastAsia="Calibri" w:hAnsi="Times New Roman" w:cs="Times New Roman"/>
          <w:sz w:val="32"/>
          <w:szCs w:val="32"/>
        </w:rPr>
        <w:t>.</w:t>
      </w:r>
    </w:p>
    <w:p w14:paraId="1386137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-система Yandex DataLens была выбрана по ряду причин:</w:t>
      </w:r>
    </w:p>
    <w:p w14:paraId="19A5362A" w14:textId="77777777" w:rsidR="00F832EE" w:rsidRPr="00F832EE" w:rsidRDefault="00F832EE" w:rsidP="00AD58CD">
      <w:pPr>
        <w:numPr>
          <w:ilvl w:val="0"/>
          <w:numId w:val="93"/>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Платформа является бесплатной (для небольших данных и несложных задач), и так как она облачная, можно проводить анализ в браузере, не скачивая посторонних программ.</w:t>
      </w:r>
    </w:p>
    <w:p w14:paraId="721BA7BF" w14:textId="77777777" w:rsidR="00F832EE" w:rsidRPr="00F832EE" w:rsidRDefault="00F832EE" w:rsidP="00AD58CD">
      <w:pPr>
        <w:numPr>
          <w:ilvl w:val="0"/>
          <w:numId w:val="93"/>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Yandex DataLens имеет интуитивно понятный интерфейс, что позволяет пользователям без глубокого обучения легко работать с данными.</w:t>
      </w:r>
    </w:p>
    <w:p w14:paraId="29FF36F6" w14:textId="77777777" w:rsidR="00F832EE" w:rsidRPr="00F832EE" w:rsidRDefault="00F832EE" w:rsidP="00AD58CD">
      <w:pPr>
        <w:numPr>
          <w:ilvl w:val="0"/>
          <w:numId w:val="93"/>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 xml:space="preserve">-система интегрируется с различными источниками данных, которые включают в себя продукты Yandex, кроме того платформа поддерживает язык программирования </w:t>
      </w:r>
      <w:r w:rsidRPr="00F832EE">
        <w:rPr>
          <w:rFonts w:ascii="Times New Roman" w:eastAsia="Calibri" w:hAnsi="Times New Roman" w:cs="Times New Roman"/>
          <w:sz w:val="32"/>
          <w:szCs w:val="32"/>
          <w:lang w:val="en-US"/>
        </w:rPr>
        <w:t>SQL</w:t>
      </w:r>
      <w:r w:rsidRPr="00F832EE">
        <w:rPr>
          <w:rFonts w:ascii="Times New Roman" w:eastAsia="Calibri" w:hAnsi="Times New Roman" w:cs="Times New Roman"/>
          <w:sz w:val="32"/>
          <w:szCs w:val="32"/>
        </w:rPr>
        <w:t>, что позволяет аналитикам легко работать с данными.</w:t>
      </w:r>
    </w:p>
    <w:p w14:paraId="3EEC367C"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Для анализа использованы данные с 2021 по 2024 год, которые кредитная организация публикует на своем сайте. Для того, чтобы создать подключение к Yandex DataLens, данные необходимо перенести в таблицу MS Excel. Были сформированы 2 листа с </w:t>
      </w:r>
      <w:r w:rsidRPr="00F832EE">
        <w:rPr>
          <w:rFonts w:ascii="Times New Roman" w:eastAsia="Calibri" w:hAnsi="Times New Roman" w:cs="Times New Roman"/>
          <w:sz w:val="32"/>
          <w:szCs w:val="32"/>
        </w:rPr>
        <w:lastRenderedPageBreak/>
        <w:t xml:space="preserve">бухгалтерским балансом и с отчетом о финансовых показателях. Далее было создано подключение и датасет. </w:t>
      </w:r>
    </w:p>
    <w:p w14:paraId="06F318F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1. Расчет показателей.</w:t>
      </w:r>
    </w:p>
    <w:p w14:paraId="3710FD5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1.1 Первая группа показателей – коэффициенты ликвидности. Ликвидность — это показатель того, насколько быстро бизнес может превратить свои активы в деньги. Чем выше ликвидность, тем ниже финансовые риски для конкретного бизнеса.</w:t>
      </w:r>
    </w:p>
    <w:p w14:paraId="21D2DA81" w14:textId="77777777" w:rsidR="00F832EE" w:rsidRPr="00F832EE" w:rsidRDefault="00F832EE" w:rsidP="00AD58CD">
      <w:pPr>
        <w:numPr>
          <w:ilvl w:val="0"/>
          <w:numId w:val="94"/>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текущей ликвидности.</w:t>
      </w:r>
    </w:p>
    <w:p w14:paraId="311544A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Показывает, сможет ли компания покрыть обязательства в длительной перспективе за счет текущих активов.</w:t>
      </w:r>
    </w:p>
    <w:p w14:paraId="17F89B6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376FAB18"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5CCF190B" wp14:editId="10009D88">
            <wp:extent cx="5624830" cy="906929"/>
            <wp:effectExtent l="0" t="0" r="0" b="7620"/>
            <wp:docPr id="416657583" name="Рисунок 416657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5680627" cy="915925"/>
                    </a:xfrm>
                    <a:prstGeom prst="rect">
                      <a:avLst/>
                    </a:prstGeom>
                  </pic:spPr>
                </pic:pic>
              </a:graphicData>
            </a:graphic>
          </wp:inline>
        </w:drawing>
      </w:r>
    </w:p>
    <w:p w14:paraId="52039348"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 – Формула коэффициента текущей ликвидности.</w:t>
      </w:r>
    </w:p>
    <w:p w14:paraId="6E3609A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Все коэффициенты считаются через добавление поля, в котором указываем формулу. А далее переносим рассчитанный показатель в поле оси </w:t>
      </w:r>
      <w:r w:rsidRPr="00F832EE">
        <w:rPr>
          <w:rFonts w:ascii="Times New Roman" w:eastAsia="Calibri" w:hAnsi="Times New Roman" w:cs="Times New Roman"/>
          <w:sz w:val="32"/>
          <w:szCs w:val="32"/>
          <w:lang w:val="en-US"/>
        </w:rPr>
        <w:t>Y</w:t>
      </w:r>
      <w:r w:rsidRPr="00F832EE">
        <w:rPr>
          <w:rFonts w:ascii="Times New Roman" w:eastAsia="Calibri" w:hAnsi="Times New Roman" w:cs="Times New Roman"/>
          <w:sz w:val="32"/>
          <w:szCs w:val="32"/>
        </w:rPr>
        <w:t>. Визуализировать данный коэффициент в разрезе нескольких лет можно столбчатой или линейной диаграммой.</w:t>
      </w:r>
    </w:p>
    <w:p w14:paraId="2A1CECA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На рисунке 2 Скриншот чарта текущей ликвидности в виде столбчатой диаграммы. Система позволяет добавлять подписи данных, а также изменять цвета и масштабы диаграммы.</w:t>
      </w:r>
    </w:p>
    <w:p w14:paraId="32AF000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7EA206ED"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02A8186B" wp14:editId="05BD6238">
            <wp:extent cx="5726563" cy="3390900"/>
            <wp:effectExtent l="0" t="0" r="7620" b="0"/>
            <wp:docPr id="275839662" name="Рисунок 27583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5733405" cy="3394951"/>
                    </a:xfrm>
                    <a:prstGeom prst="rect">
                      <a:avLst/>
                    </a:prstGeom>
                  </pic:spPr>
                </pic:pic>
              </a:graphicData>
            </a:graphic>
          </wp:inline>
        </w:drawing>
      </w:r>
    </w:p>
    <w:p w14:paraId="28F0BD3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lastRenderedPageBreak/>
        <w:t>Рисунок 2 – Чарт коэффициента текущей ликвидности в Yandex DataLens.</w:t>
      </w:r>
    </w:p>
    <w:p w14:paraId="3698B2D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Норма коэффициента текущей ликвидности составляет от 1 до 2,5. По диаграмме можно сделать вывод, что организация имеет возможность с запасом погасить всю краткосрочную задолженность за счёт оборотных активов. </w:t>
      </w:r>
    </w:p>
    <w:p w14:paraId="1B11A83E" w14:textId="77777777" w:rsidR="00F832EE" w:rsidRPr="00F832EE" w:rsidRDefault="00F832EE" w:rsidP="00AD58CD">
      <w:pPr>
        <w:numPr>
          <w:ilvl w:val="0"/>
          <w:numId w:val="94"/>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срочной ликвидности.</w:t>
      </w:r>
    </w:p>
    <w:p w14:paraId="0F70069A"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Показывает способность кредитной организации покрывать краткосрочные обязательства за счет наиболее ликвидных активов.</w:t>
      </w:r>
    </w:p>
    <w:p w14:paraId="57B9FEA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156A920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4D6DAB4D" wp14:editId="03519936">
            <wp:extent cx="5784850" cy="814489"/>
            <wp:effectExtent l="0" t="0" r="6350" b="5080"/>
            <wp:docPr id="1630958475" name="Рисунок 163095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5803717" cy="817145"/>
                    </a:xfrm>
                    <a:prstGeom prst="rect">
                      <a:avLst/>
                    </a:prstGeom>
                  </pic:spPr>
                </pic:pic>
              </a:graphicData>
            </a:graphic>
          </wp:inline>
        </w:drawing>
      </w:r>
    </w:p>
    <w:p w14:paraId="346FDB3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3 – Формула коэффициента срочной ликвидности.</w:t>
      </w:r>
    </w:p>
    <w:p w14:paraId="4239EFA6"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43AB9A42"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6C6F548D" wp14:editId="060B9E50">
            <wp:extent cx="5583804" cy="4244340"/>
            <wp:effectExtent l="0" t="0" r="0" b="3810"/>
            <wp:docPr id="294415446" name="Рисунок 29441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5595263" cy="4253050"/>
                    </a:xfrm>
                    <a:prstGeom prst="rect">
                      <a:avLst/>
                    </a:prstGeom>
                  </pic:spPr>
                </pic:pic>
              </a:graphicData>
            </a:graphic>
          </wp:inline>
        </w:drawing>
      </w:r>
    </w:p>
    <w:p w14:paraId="29499F7C"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4 – Чарт коэффициента срочной ликвидности в Yandex DataLens.</w:t>
      </w:r>
    </w:p>
    <w:p w14:paraId="087812CB"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На графике видно, что коэффициент на 2024 год ниже 1, что указывает на низкую срочную ликвидность. Причиной этому служит высокая доля краткосрочных обязательств, а именно средства </w:t>
      </w:r>
      <w:r w:rsidRPr="00F832EE">
        <w:rPr>
          <w:rFonts w:ascii="Times New Roman" w:eastAsia="Calibri" w:hAnsi="Times New Roman" w:cs="Times New Roman"/>
          <w:sz w:val="32"/>
          <w:szCs w:val="32"/>
        </w:rPr>
        <w:lastRenderedPageBreak/>
        <w:t>клиентов. Кроме того, ликвидных активов небольшой процент, так как денежные средства и их эквиваленты составляют небольшую часть активов.</w:t>
      </w:r>
    </w:p>
    <w:p w14:paraId="0175B8D0"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Таким образом, можно сделать вывод о том, что банку необходимо увеличить денежные средства и краткосрочные инвестиции, а также снизить долю краткосрочных обязательств. </w:t>
      </w:r>
    </w:p>
    <w:p w14:paraId="1C3FA67B" w14:textId="77777777" w:rsidR="00F832EE" w:rsidRPr="00F832EE" w:rsidRDefault="00F832EE" w:rsidP="00AD58CD">
      <w:pPr>
        <w:numPr>
          <w:ilvl w:val="0"/>
          <w:numId w:val="94"/>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абсолютной ликвидности.</w:t>
      </w:r>
    </w:p>
    <w:p w14:paraId="50E288E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показывает достаточность наиболее ликвидных активов для быстрого расчета по текущим обязательствам.</w:t>
      </w:r>
    </w:p>
    <w:p w14:paraId="1DAA476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28819E1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06C51BA3" wp14:editId="52C1F502">
            <wp:extent cx="4172204" cy="698970"/>
            <wp:effectExtent l="0" t="0" r="0" b="6350"/>
            <wp:docPr id="840508980" name="Рисунок 84050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4224331" cy="707703"/>
                    </a:xfrm>
                    <a:prstGeom prst="rect">
                      <a:avLst/>
                    </a:prstGeom>
                  </pic:spPr>
                </pic:pic>
              </a:graphicData>
            </a:graphic>
          </wp:inline>
        </w:drawing>
      </w:r>
    </w:p>
    <w:p w14:paraId="0F9AE59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5 – Формула коэффициента абсолютной ликвидности</w:t>
      </w:r>
    </w:p>
    <w:p w14:paraId="4466E11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39D7212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75E141CA" wp14:editId="5DA5CA15">
            <wp:extent cx="5587832" cy="4099560"/>
            <wp:effectExtent l="0" t="0" r="0" b="0"/>
            <wp:docPr id="38224861" name="Рисунок 3822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5598606" cy="4107464"/>
                    </a:xfrm>
                    <a:prstGeom prst="rect">
                      <a:avLst/>
                    </a:prstGeom>
                  </pic:spPr>
                </pic:pic>
              </a:graphicData>
            </a:graphic>
          </wp:inline>
        </w:drawing>
      </w:r>
    </w:p>
    <w:p w14:paraId="0D1EB1A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6 – Чарт коэффициента абсолютной ликвидности в Yandex DataLens.</w:t>
      </w:r>
    </w:p>
    <w:p w14:paraId="6D9306A6"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абсолютной ликвидности также меньше нормы, что указывает на недостаток высоколиквидных активов.</w:t>
      </w:r>
    </w:p>
    <w:p w14:paraId="3C72EF1D" w14:textId="77777777" w:rsidR="00F832EE" w:rsidRPr="00F832EE" w:rsidRDefault="00F832EE" w:rsidP="00AD58CD">
      <w:pPr>
        <w:numPr>
          <w:ilvl w:val="0"/>
          <w:numId w:val="94"/>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Общий коэффициент ликвидности.</w:t>
      </w:r>
    </w:p>
    <w:p w14:paraId="204BF91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lastRenderedPageBreak/>
        <w:t>Отражает способность банка покрыть все обязательства за счёт всех активов.</w:t>
      </w:r>
    </w:p>
    <w:p w14:paraId="1D9F9AC2"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0F00CF2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3C467074" wp14:editId="7554F066">
            <wp:extent cx="4382178" cy="661101"/>
            <wp:effectExtent l="0" t="0" r="0" b="5715"/>
            <wp:docPr id="826458473" name="Рисунок 82645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4425136" cy="667582"/>
                    </a:xfrm>
                    <a:prstGeom prst="rect">
                      <a:avLst/>
                    </a:prstGeom>
                  </pic:spPr>
                </pic:pic>
              </a:graphicData>
            </a:graphic>
          </wp:inline>
        </w:drawing>
      </w:r>
      <w:r w:rsidRPr="00F832EE">
        <w:rPr>
          <w:rFonts w:ascii="Times New Roman" w:eastAsia="Calibri" w:hAnsi="Times New Roman" w:cs="Times New Roman"/>
          <w:sz w:val="32"/>
          <w:szCs w:val="32"/>
        </w:rPr>
        <w:t xml:space="preserve"> </w:t>
      </w:r>
    </w:p>
    <w:p w14:paraId="2D18F53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7 – Формула общего коэффициента ликвидности.</w:t>
      </w:r>
    </w:p>
    <w:p w14:paraId="3184598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3D6C9239" w14:textId="77777777" w:rsidR="00F832EE" w:rsidRPr="00F832EE" w:rsidRDefault="00F832EE" w:rsidP="00070AB0">
      <w:pPr>
        <w:spacing w:after="0" w:line="240" w:lineRule="auto"/>
        <w:ind w:firstLine="709"/>
        <w:jc w:val="both"/>
        <w:rPr>
          <w:rFonts w:ascii="Calibri" w:eastAsia="Calibri" w:hAnsi="Calibri" w:cs="Times New Roman"/>
          <w:noProof/>
          <w:sz w:val="32"/>
          <w:szCs w:val="32"/>
        </w:rPr>
      </w:pPr>
      <w:r w:rsidRPr="00F832EE">
        <w:rPr>
          <w:rFonts w:ascii="Times New Roman" w:eastAsia="Calibri" w:hAnsi="Times New Roman" w:cs="Times New Roman"/>
          <w:noProof/>
          <w:sz w:val="32"/>
          <w:szCs w:val="32"/>
          <w:lang w:eastAsia="ru-RU"/>
        </w:rPr>
        <w:drawing>
          <wp:inline distT="0" distB="0" distL="0" distR="0" wp14:anchorId="56976639" wp14:editId="09398B93">
            <wp:extent cx="5611529" cy="4000500"/>
            <wp:effectExtent l="0" t="0" r="8255" b="0"/>
            <wp:docPr id="1349254476" name="Рисунок 134925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5616540" cy="4004072"/>
                    </a:xfrm>
                    <a:prstGeom prst="rect">
                      <a:avLst/>
                    </a:prstGeom>
                  </pic:spPr>
                </pic:pic>
              </a:graphicData>
            </a:graphic>
          </wp:inline>
        </w:drawing>
      </w:r>
    </w:p>
    <w:p w14:paraId="0932754B"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8 – Чарт общего коэффициента ликвидности в Yandex DataLens.</w:t>
      </w:r>
    </w:p>
    <w:p w14:paraId="6FCA76E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Общий коэффициент ликвидности соответствует норме, и говорит о том, что банк способен покрыть все обязательства за счет всех активов.</w:t>
      </w:r>
    </w:p>
    <w:p w14:paraId="453FEEF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Все чарты необходимо объединить в дашборд. Расположение графиков и диаграмм можно устанавливать по своему усмотрению. На дашборде установлен селектор, который позволяет просматривать каждый коэффициент в определенные года. </w:t>
      </w:r>
    </w:p>
    <w:p w14:paraId="40BEF6A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79097A12"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lastRenderedPageBreak/>
        <w:drawing>
          <wp:inline distT="0" distB="0" distL="0" distR="0" wp14:anchorId="7FAC4B55" wp14:editId="0FD30048">
            <wp:extent cx="5638476" cy="2735580"/>
            <wp:effectExtent l="0" t="0" r="635" b="7620"/>
            <wp:docPr id="662250076" name="Рисунок 66225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5660547" cy="2746288"/>
                    </a:xfrm>
                    <a:prstGeom prst="rect">
                      <a:avLst/>
                    </a:prstGeom>
                  </pic:spPr>
                </pic:pic>
              </a:graphicData>
            </a:graphic>
          </wp:inline>
        </w:drawing>
      </w:r>
    </w:p>
    <w:p w14:paraId="7B9D0C1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9 – Дашборд ликвидности в Yandex DataLens.</w:t>
      </w:r>
    </w:p>
    <w:p w14:paraId="52E57218"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1.2 Коэффициенты рентабельности.</w:t>
      </w:r>
    </w:p>
    <w:p w14:paraId="4756F549" w14:textId="77777777" w:rsidR="00F832EE" w:rsidRPr="00F832EE" w:rsidRDefault="00F832EE" w:rsidP="00AD58CD">
      <w:pPr>
        <w:numPr>
          <w:ilvl w:val="0"/>
          <w:numId w:val="95"/>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Рентабельность активов (ROA).</w:t>
      </w:r>
    </w:p>
    <w:p w14:paraId="6E0CC0F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Отражает, сколько прибыли проносит 1 рубль активов.</w:t>
      </w:r>
    </w:p>
    <w:p w14:paraId="7A52CC1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556BA561"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2CBE7C23" wp14:editId="22AD041D">
            <wp:extent cx="4356934" cy="776986"/>
            <wp:effectExtent l="0" t="0" r="5715" b="4445"/>
            <wp:docPr id="1155465099" name="Рисунок 115546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4385277" cy="782040"/>
                    </a:xfrm>
                    <a:prstGeom prst="rect">
                      <a:avLst/>
                    </a:prstGeom>
                  </pic:spPr>
                </pic:pic>
              </a:graphicData>
            </a:graphic>
          </wp:inline>
        </w:drawing>
      </w:r>
    </w:p>
    <w:p w14:paraId="1DB46829"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10 – Формула рентабельности активов.</w:t>
      </w:r>
    </w:p>
    <w:p w14:paraId="2D0CB248" w14:textId="77777777" w:rsidR="00F832EE" w:rsidRPr="00F832EE" w:rsidRDefault="00F832EE" w:rsidP="00AD58CD">
      <w:pPr>
        <w:numPr>
          <w:ilvl w:val="0"/>
          <w:numId w:val="95"/>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Рентабельность собственного капитала (RO</w:t>
      </w:r>
      <w:r w:rsidRPr="00F832EE">
        <w:rPr>
          <w:rFonts w:ascii="Times New Roman" w:eastAsia="Calibri" w:hAnsi="Times New Roman" w:cs="Times New Roman"/>
          <w:sz w:val="32"/>
          <w:szCs w:val="32"/>
          <w:lang w:val="en-US"/>
        </w:rPr>
        <w:t>E</w:t>
      </w:r>
      <w:r w:rsidRPr="00F832EE">
        <w:rPr>
          <w:rFonts w:ascii="Times New Roman" w:eastAsia="Calibri" w:hAnsi="Times New Roman" w:cs="Times New Roman"/>
          <w:sz w:val="32"/>
          <w:szCs w:val="32"/>
        </w:rPr>
        <w:t>).</w:t>
      </w:r>
    </w:p>
    <w:p w14:paraId="5B202F46"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Отражает, сколько прибыли приносит 1 рубль собственного капитала.</w:t>
      </w:r>
    </w:p>
    <w:p w14:paraId="7CC2765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4B4275EB"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62838541" wp14:editId="6A9BFBB5">
            <wp:extent cx="4906771" cy="701040"/>
            <wp:effectExtent l="0" t="0" r="8255" b="3810"/>
            <wp:docPr id="90329975" name="Рисунок 9032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4910600" cy="701587"/>
                    </a:xfrm>
                    <a:prstGeom prst="rect">
                      <a:avLst/>
                    </a:prstGeom>
                  </pic:spPr>
                </pic:pic>
              </a:graphicData>
            </a:graphic>
          </wp:inline>
        </w:drawing>
      </w:r>
    </w:p>
    <w:p w14:paraId="4FB2868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11 – Формула рентабельности пассивов.</w:t>
      </w:r>
    </w:p>
    <w:p w14:paraId="0EDF8778" w14:textId="77777777" w:rsidR="00F832EE" w:rsidRPr="00F832EE" w:rsidRDefault="00F832EE" w:rsidP="00AD58CD">
      <w:pPr>
        <w:numPr>
          <w:ilvl w:val="0"/>
          <w:numId w:val="95"/>
        </w:numPr>
        <w:spacing w:after="0" w:line="240" w:lineRule="auto"/>
        <w:ind w:left="0" w:firstLine="709"/>
        <w:contextualSpacing/>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Рентабельность операционной деятельности.</w:t>
      </w:r>
    </w:p>
    <w:p w14:paraId="305CB05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Показывает, сколько прибыли приносит 1 рубль доходов от операционной деятельности. </w:t>
      </w:r>
    </w:p>
    <w:p w14:paraId="6EE5670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71AE2938"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7D143A93" wp14:editId="0C1801DB">
            <wp:extent cx="2679699" cy="663421"/>
            <wp:effectExtent l="0" t="0" r="6985" b="3810"/>
            <wp:docPr id="1227473298" name="Рисунок 122747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2692553" cy="666603"/>
                    </a:xfrm>
                    <a:prstGeom prst="rect">
                      <a:avLst/>
                    </a:prstGeom>
                  </pic:spPr>
                </pic:pic>
              </a:graphicData>
            </a:graphic>
          </wp:inline>
        </w:drawing>
      </w:r>
    </w:p>
    <w:p w14:paraId="417033AB"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12 – Формула рентабельности операционной деятельности.</w:t>
      </w:r>
    </w:p>
    <w:p w14:paraId="087AF75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lastRenderedPageBreak/>
        <w:t>Так как показатели рентабельности были рассчитаны за весь период, они изображены индикаторами. Во второй половине дашборда диаграммой с областями изображена динамика чистых доходов Кубань Кредит. С помощью селектора можно смотреть динамику в конкретных годах.</w:t>
      </w:r>
    </w:p>
    <w:p w14:paraId="7070BF9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3072FA05" w14:textId="77777777" w:rsidR="00F832EE" w:rsidRPr="00F832EE" w:rsidRDefault="00F832EE" w:rsidP="00070AB0">
      <w:pPr>
        <w:spacing w:after="0" w:line="240" w:lineRule="auto"/>
        <w:ind w:firstLine="709"/>
        <w:jc w:val="center"/>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100BEA21" wp14:editId="0D997258">
            <wp:extent cx="4623158" cy="2160000"/>
            <wp:effectExtent l="0" t="0" r="6350" b="0"/>
            <wp:docPr id="112542123" name="Рисунок 11254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4623158" cy="2160000"/>
                    </a:xfrm>
                    <a:prstGeom prst="rect">
                      <a:avLst/>
                    </a:prstGeom>
                  </pic:spPr>
                </pic:pic>
              </a:graphicData>
            </a:graphic>
          </wp:inline>
        </w:drawing>
      </w:r>
    </w:p>
    <w:p w14:paraId="45EE568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13 – Дашборд рентабельности в Yandex DataLens.</w:t>
      </w:r>
    </w:p>
    <w:p w14:paraId="637A422C"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У банка низкая рентабельность активов, что указывает на необходимость оптимизации использования активов, но при этом высокая рентабельность собственного капитала, что говорит об эффективности использования собственного капитала. Высокая рентабельность операционной деятельности свидетельствует о том, что кредитная организация использует успешную стратегию в сфере операционных доходов. Динамика чистых доходов указывает на умеренный рост.</w:t>
      </w:r>
    </w:p>
    <w:p w14:paraId="6449769C"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1.3 Коэффициент автономии (финансовой независимости).</w:t>
      </w:r>
    </w:p>
    <w:p w14:paraId="71583CB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Отражает сумму собственного капитала в общей сумме капитала кредитной организации. </w:t>
      </w:r>
    </w:p>
    <w:p w14:paraId="611D8CCC"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45AF4BFF"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0C755723" wp14:editId="0C9C83AE">
            <wp:extent cx="4904404" cy="754133"/>
            <wp:effectExtent l="0" t="0" r="0" b="8255"/>
            <wp:docPr id="1248351289" name="Рисунок 124835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4932955" cy="758523"/>
                    </a:xfrm>
                    <a:prstGeom prst="rect">
                      <a:avLst/>
                    </a:prstGeom>
                  </pic:spPr>
                </pic:pic>
              </a:graphicData>
            </a:graphic>
          </wp:inline>
        </w:drawing>
      </w:r>
    </w:p>
    <w:p w14:paraId="71033FF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14 – Формула коэффициента автономии (финансовой независимости).</w:t>
      </w:r>
    </w:p>
    <w:p w14:paraId="24B9C7C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06316660" w14:textId="77777777" w:rsidR="00F832EE" w:rsidRPr="00F832EE" w:rsidRDefault="00F832EE" w:rsidP="00070AB0">
      <w:pPr>
        <w:spacing w:after="0" w:line="240" w:lineRule="auto"/>
        <w:ind w:firstLine="709"/>
        <w:jc w:val="center"/>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lastRenderedPageBreak/>
        <w:drawing>
          <wp:inline distT="0" distB="0" distL="0" distR="0" wp14:anchorId="6B7452E5" wp14:editId="21442500">
            <wp:extent cx="3730171" cy="2160000"/>
            <wp:effectExtent l="0" t="0" r="3810" b="0"/>
            <wp:docPr id="1918506686" name="Рисунок 1918506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3730171" cy="2160000"/>
                    </a:xfrm>
                    <a:prstGeom prst="rect">
                      <a:avLst/>
                    </a:prstGeom>
                  </pic:spPr>
                </pic:pic>
              </a:graphicData>
            </a:graphic>
          </wp:inline>
        </w:drawing>
      </w:r>
    </w:p>
    <w:p w14:paraId="30311EE2"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15 – Чарт коэффициента автономии в Yandex DataLens.</w:t>
      </w:r>
    </w:p>
    <w:p w14:paraId="677A8BC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Коэффициент финансовой независимости стабилен на протяжении 4 лет. Это говорит о том, что структура капитала Кубань Кредит значительно не менялась. Уровень коэффициента низкий для банковской сферы, в норме коэффициент составляет 0,2 и выше. Это указывает на то, что банк значительно зависит от заемных средств, вероятно это может быть связанно со стратегией роста.</w:t>
      </w:r>
    </w:p>
    <w:p w14:paraId="6352578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2. Анализ динамики и структуры активов и пассивов.</w:t>
      </w:r>
    </w:p>
    <w:p w14:paraId="68F4628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2.1 Активы: динамика и структура.</w:t>
      </w:r>
    </w:p>
    <w:p w14:paraId="0275C83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На дашборде изображены линейные диаграммы динамики активов и пассивов, а также динамики каждого показателя активов в разрезе последних 4 лет. Структура активов проиллюстрирована круговой диаграммой с выведенными показателями. Так наглядно видно часть каждого показателя в сумме всех активов.</w:t>
      </w:r>
    </w:p>
    <w:p w14:paraId="7B8FA027"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Можно заметить, что чистая ссудная задолженность, оцениваемая по амортизационной стоимости, является основной частью активов банка, что указывает на ориентацию банка на кредитную сферу. Это говорит о том, что основная часть доходов банка – выдача кредитов, однако это увеличивает риск, так как банк уязвим к дефолтам заемщиков. </w:t>
      </w:r>
    </w:p>
    <w:p w14:paraId="4FFFE9C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27B7B67B"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lastRenderedPageBreak/>
        <w:drawing>
          <wp:inline distT="0" distB="0" distL="0" distR="0" wp14:anchorId="6C117BF4" wp14:editId="75CD3294">
            <wp:extent cx="5457767" cy="2705100"/>
            <wp:effectExtent l="0" t="0" r="0" b="0"/>
            <wp:docPr id="1629639130" name="Рисунок 1629639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5461328" cy="2706865"/>
                    </a:xfrm>
                    <a:prstGeom prst="rect">
                      <a:avLst/>
                    </a:prstGeom>
                  </pic:spPr>
                </pic:pic>
              </a:graphicData>
            </a:graphic>
          </wp:inline>
        </w:drawing>
      </w:r>
    </w:p>
    <w:p w14:paraId="4DE061F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16 – Дашборд структуры активов в Yandex DataLens.</w:t>
      </w:r>
    </w:p>
    <w:p w14:paraId="341A9C3E"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Во второй половине дашборда расположена таблица структуры активов с рассчитанной долей каждого показателя в общем количестве активов и изменение каждого показателя за 4 года деятельности банка. Где также наглядно видно, что чистая ссудная задолженность является основным активом банка.</w:t>
      </w:r>
    </w:p>
    <w:p w14:paraId="7BE8BEC0"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2AEACFDA"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5C1A4A2E" wp14:editId="779CAEA2">
            <wp:extent cx="5541584" cy="2712720"/>
            <wp:effectExtent l="0" t="0" r="2540" b="0"/>
            <wp:docPr id="1531045435" name="Рисунок 153104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5545815" cy="2714791"/>
                    </a:xfrm>
                    <a:prstGeom prst="rect">
                      <a:avLst/>
                    </a:prstGeom>
                  </pic:spPr>
                </pic:pic>
              </a:graphicData>
            </a:graphic>
          </wp:inline>
        </w:drawing>
      </w:r>
    </w:p>
    <w:p w14:paraId="0D349AAA"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17 – Таблица структуры активов в Yandex DataLens.</w:t>
      </w:r>
    </w:p>
    <w:p w14:paraId="361E35A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2.2 Пассивы: динамика и структура.</w:t>
      </w:r>
    </w:p>
    <w:p w14:paraId="3FFC8BCD"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Для пассивов организации проводим аналогичный анализ, как и для активов. На круговой и линейной диаграммах видно, что большую часть пассивов занимают средства клиентов, оцениваемые по амортизированной стоимости. Это говорит о том, что основной источник финансирования банка – средства от клиентов. Высокие процент средств клиентов указывает на эффективную работу с </w:t>
      </w:r>
      <w:r w:rsidRPr="00F832EE">
        <w:rPr>
          <w:rFonts w:ascii="Times New Roman" w:eastAsia="Calibri" w:hAnsi="Times New Roman" w:cs="Times New Roman"/>
          <w:sz w:val="32"/>
          <w:szCs w:val="32"/>
        </w:rPr>
        <w:lastRenderedPageBreak/>
        <w:t>клиентской базой, но данный факт увеличивает риск деятельности кредитной организации из-за зависимости от средств клиентов.</w:t>
      </w:r>
    </w:p>
    <w:p w14:paraId="568C0C4A"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55C06466"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50E47A95" wp14:editId="683F782C">
            <wp:extent cx="5446437" cy="2674620"/>
            <wp:effectExtent l="0" t="0" r="1905" b="0"/>
            <wp:docPr id="1541631901" name="Рисунок 154163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448266" cy="2675518"/>
                    </a:xfrm>
                    <a:prstGeom prst="rect">
                      <a:avLst/>
                    </a:prstGeom>
                  </pic:spPr>
                </pic:pic>
              </a:graphicData>
            </a:graphic>
          </wp:inline>
        </w:drawing>
      </w:r>
    </w:p>
    <w:p w14:paraId="50D87E03"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18 – Дашборд структуры пассивов в Yandex DataLens.</w:t>
      </w:r>
    </w:p>
    <w:p w14:paraId="1C67149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p>
    <w:p w14:paraId="398D434A"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noProof/>
          <w:sz w:val="32"/>
          <w:szCs w:val="32"/>
          <w:lang w:eastAsia="ru-RU"/>
        </w:rPr>
        <w:drawing>
          <wp:inline distT="0" distB="0" distL="0" distR="0" wp14:anchorId="65F22C37" wp14:editId="169719F7">
            <wp:extent cx="5515520" cy="2270760"/>
            <wp:effectExtent l="0" t="0" r="9525" b="0"/>
            <wp:docPr id="328727251" name="Рисунок 32872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5519279" cy="2272308"/>
                    </a:xfrm>
                    <a:prstGeom prst="rect">
                      <a:avLst/>
                    </a:prstGeom>
                  </pic:spPr>
                </pic:pic>
              </a:graphicData>
            </a:graphic>
          </wp:inline>
        </w:drawing>
      </w:r>
    </w:p>
    <w:p w14:paraId="7B5B395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Рисунок 19 – Таблица структуры пассивов в Yandex DataLens.</w:t>
      </w:r>
    </w:p>
    <w:p w14:paraId="75B36EB5"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Внедрение систем бизнес-аналитики в кредитную организацию упрощает и делает более эффективным анализ финансовых показателей банка. В условиях изменяющейся внешней финансовой среды банкам необходимо иметь инструменты аналитики для успешной работы. С помощью </w:t>
      </w: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-систем Кредитные организации могут принимать точные оперативные решения на основе достоверной информации.</w:t>
      </w:r>
    </w:p>
    <w:p w14:paraId="7FAB0744" w14:textId="77777777" w:rsidR="00F832EE" w:rsidRPr="00F832EE" w:rsidRDefault="00F832EE" w:rsidP="00070AB0">
      <w:pPr>
        <w:spacing w:after="0" w:line="240" w:lineRule="auto"/>
        <w:ind w:firstLine="709"/>
        <w:jc w:val="both"/>
        <w:rPr>
          <w:rFonts w:ascii="Times New Roman" w:eastAsia="Calibri" w:hAnsi="Times New Roman" w:cs="Times New Roman"/>
          <w:sz w:val="32"/>
          <w:szCs w:val="32"/>
        </w:rPr>
      </w:pPr>
      <w:r w:rsidRPr="00F832EE">
        <w:rPr>
          <w:rFonts w:ascii="Times New Roman" w:eastAsia="Calibri" w:hAnsi="Times New Roman" w:cs="Times New Roman"/>
          <w:sz w:val="32"/>
          <w:szCs w:val="32"/>
        </w:rPr>
        <w:t xml:space="preserve">Таким образом, пример внедрения Yandex DataLens в управление КБ Кубань Кредит ООО демонстрирует преимущества для расчета важных финансовых показателей функционирования банка. Применение </w:t>
      </w:r>
      <w:r w:rsidRPr="00F832EE">
        <w:rPr>
          <w:rFonts w:ascii="Times New Roman" w:eastAsia="Calibri" w:hAnsi="Times New Roman" w:cs="Times New Roman"/>
          <w:sz w:val="32"/>
          <w:szCs w:val="32"/>
          <w:lang w:val="en-US"/>
        </w:rPr>
        <w:t>BI</w:t>
      </w:r>
      <w:r w:rsidRPr="00F832EE">
        <w:rPr>
          <w:rFonts w:ascii="Times New Roman" w:eastAsia="Calibri" w:hAnsi="Times New Roman" w:cs="Times New Roman"/>
          <w:sz w:val="32"/>
          <w:szCs w:val="32"/>
        </w:rPr>
        <w:t xml:space="preserve">-системы для расчета основных индикаторов финансовой деятельности: коэффициенты ликвидности, </w:t>
      </w:r>
      <w:r w:rsidRPr="00F832EE">
        <w:rPr>
          <w:rFonts w:ascii="Times New Roman" w:eastAsia="Calibri" w:hAnsi="Times New Roman" w:cs="Times New Roman"/>
          <w:sz w:val="32"/>
          <w:szCs w:val="32"/>
        </w:rPr>
        <w:lastRenderedPageBreak/>
        <w:t>рентабельность и финансовой устойчивости, а также для анализа структуры активов и пассивов, позволяет кредитной организации принимать решения на основе точных и актуальных данных.</w:t>
      </w:r>
    </w:p>
    <w:p w14:paraId="5F42C319" w14:textId="77777777" w:rsidR="00F832EE" w:rsidRPr="00F832EE" w:rsidRDefault="00F832EE" w:rsidP="00070AB0">
      <w:pPr>
        <w:shd w:val="clear" w:color="auto" w:fill="FFFFFF"/>
        <w:spacing w:before="100" w:beforeAutospacing="1" w:after="0" w:line="240" w:lineRule="auto"/>
        <w:ind w:firstLine="567"/>
        <w:jc w:val="center"/>
        <w:rPr>
          <w:rFonts w:ascii="Times New Roman" w:eastAsia="Calibri" w:hAnsi="Times New Roman" w:cs="Times New Roman"/>
          <w:b/>
          <w:bCs/>
          <w:sz w:val="21"/>
          <w:szCs w:val="21"/>
          <w:lang w:val="x-none" w:eastAsia="ar-SA"/>
        </w:rPr>
      </w:pPr>
      <w:r w:rsidRPr="00F832EE">
        <w:rPr>
          <w:rFonts w:ascii="Times New Roman" w:eastAsia="Calibri" w:hAnsi="Times New Roman" w:cs="Times New Roman"/>
          <w:b/>
          <w:bCs/>
          <w:sz w:val="21"/>
          <w:szCs w:val="21"/>
          <w:lang w:val="x-none" w:eastAsia="ar-SA"/>
        </w:rPr>
        <w:t>Литература:</w:t>
      </w:r>
    </w:p>
    <w:p w14:paraId="1F43789D" w14:textId="77777777" w:rsidR="00F832EE" w:rsidRPr="00F832EE" w:rsidRDefault="00F832EE" w:rsidP="00F832EE">
      <w:pPr>
        <w:tabs>
          <w:tab w:val="left" w:pos="0"/>
        </w:tabs>
        <w:suppressAutoHyphens/>
        <w:autoSpaceDE w:val="0"/>
        <w:spacing w:after="0" w:line="240" w:lineRule="auto"/>
        <w:jc w:val="both"/>
        <w:rPr>
          <w:rFonts w:ascii="Times New Roman" w:eastAsia="Calibri" w:hAnsi="Times New Roman" w:cs="Times New Roman"/>
          <w:sz w:val="21"/>
          <w:szCs w:val="21"/>
          <w:lang w:eastAsia="ar-SA"/>
        </w:rPr>
      </w:pPr>
      <w:r w:rsidRPr="00F832EE">
        <w:rPr>
          <w:rFonts w:ascii="Times New Roman" w:eastAsia="Calibri" w:hAnsi="Times New Roman" w:cs="Times New Roman"/>
          <w:sz w:val="21"/>
          <w:szCs w:val="21"/>
          <w:lang w:eastAsia="ar-SA"/>
        </w:rPr>
        <w:t xml:space="preserve">1. «Business intelligence 2024: выбираем российскую платформу» [Электронный ресурс: it-world.ru] URL: </w:t>
      </w:r>
      <w:hyperlink r:id="rId505" w:history="1">
        <w:r w:rsidRPr="00F832EE">
          <w:rPr>
            <w:rFonts w:ascii="Times New Roman" w:eastAsia="Calibri" w:hAnsi="Times New Roman" w:cs="Times New Roman"/>
            <w:color w:val="0070C0"/>
            <w:sz w:val="21"/>
            <w:szCs w:val="21"/>
            <w:u w:val="single"/>
            <w:lang w:eastAsia="ar-SA"/>
          </w:rPr>
          <w:t>https://www.it-world.ru/tech/dd0wuj9kdjsccc48gw0s0cwkckgsccg.html</w:t>
        </w:r>
      </w:hyperlink>
      <w:r w:rsidRPr="00F832EE">
        <w:rPr>
          <w:rFonts w:ascii="Times New Roman" w:eastAsia="Calibri" w:hAnsi="Times New Roman" w:cs="Times New Roman"/>
          <w:color w:val="0070C0"/>
          <w:sz w:val="21"/>
          <w:szCs w:val="21"/>
          <w:u w:val="single"/>
          <w:lang w:eastAsia="ar-SA"/>
        </w:rPr>
        <w:t>.</w:t>
      </w:r>
    </w:p>
    <w:p w14:paraId="7A76F367" w14:textId="77777777" w:rsidR="00F832EE" w:rsidRPr="00F832EE" w:rsidRDefault="00F832EE" w:rsidP="00F832EE">
      <w:pPr>
        <w:tabs>
          <w:tab w:val="left" w:pos="0"/>
        </w:tabs>
        <w:suppressAutoHyphens/>
        <w:autoSpaceDE w:val="0"/>
        <w:spacing w:after="0" w:line="240" w:lineRule="auto"/>
        <w:jc w:val="both"/>
        <w:rPr>
          <w:rFonts w:ascii="Times New Roman" w:eastAsia="Calibri" w:hAnsi="Times New Roman" w:cs="Times New Roman"/>
          <w:sz w:val="21"/>
          <w:szCs w:val="21"/>
          <w:lang w:eastAsia="ar-SA"/>
        </w:rPr>
      </w:pPr>
      <w:r w:rsidRPr="00F832EE">
        <w:rPr>
          <w:rFonts w:ascii="Times New Roman" w:eastAsia="Calibri" w:hAnsi="Times New Roman" w:cs="Times New Roman"/>
          <w:sz w:val="21"/>
          <w:szCs w:val="21"/>
          <w:lang w:eastAsia="ar-SA"/>
        </w:rPr>
        <w:t xml:space="preserve">2. Березовская, Е. А. Работа с сервисом бизнес-аналитики Yandex </w:t>
      </w:r>
      <w:proofErr w:type="gramStart"/>
      <w:r w:rsidRPr="00F832EE">
        <w:rPr>
          <w:rFonts w:ascii="Times New Roman" w:eastAsia="Calibri" w:hAnsi="Times New Roman" w:cs="Times New Roman"/>
          <w:sz w:val="21"/>
          <w:szCs w:val="21"/>
          <w:lang w:eastAsia="ar-SA"/>
        </w:rPr>
        <w:t>DataLens :</w:t>
      </w:r>
      <w:proofErr w:type="gramEnd"/>
      <w:r w:rsidRPr="00F832EE">
        <w:rPr>
          <w:rFonts w:ascii="Times New Roman" w:eastAsia="Calibri" w:hAnsi="Times New Roman" w:cs="Times New Roman"/>
          <w:sz w:val="21"/>
          <w:szCs w:val="21"/>
          <w:lang w:eastAsia="ar-SA"/>
        </w:rPr>
        <w:t xml:space="preserve"> учебное пособие / Е. А. Березовская, С. В. Крюков. — Ростов-на-</w:t>
      </w:r>
      <w:proofErr w:type="gramStart"/>
      <w:r w:rsidRPr="00F832EE">
        <w:rPr>
          <w:rFonts w:ascii="Times New Roman" w:eastAsia="Calibri" w:hAnsi="Times New Roman" w:cs="Times New Roman"/>
          <w:sz w:val="21"/>
          <w:szCs w:val="21"/>
          <w:lang w:eastAsia="ar-SA"/>
        </w:rPr>
        <w:t>Дону :</w:t>
      </w:r>
      <w:proofErr w:type="gramEnd"/>
      <w:r w:rsidRPr="00F832EE">
        <w:rPr>
          <w:rFonts w:ascii="Times New Roman" w:eastAsia="Calibri" w:hAnsi="Times New Roman" w:cs="Times New Roman"/>
          <w:sz w:val="21"/>
          <w:szCs w:val="21"/>
          <w:lang w:eastAsia="ar-SA"/>
        </w:rPr>
        <w:t xml:space="preserve"> ЮФУ, 2022. — 92 с. — ISBN 978-5-9275-4119-5. — </w:t>
      </w:r>
      <w:proofErr w:type="gramStart"/>
      <w:r w:rsidRPr="00F832EE">
        <w:rPr>
          <w:rFonts w:ascii="Times New Roman" w:eastAsia="Calibri" w:hAnsi="Times New Roman" w:cs="Times New Roman"/>
          <w:sz w:val="21"/>
          <w:szCs w:val="21"/>
          <w:lang w:eastAsia="ar-SA"/>
        </w:rPr>
        <w:t>Текст :</w:t>
      </w:r>
      <w:proofErr w:type="gramEnd"/>
      <w:r w:rsidRPr="00F832EE">
        <w:rPr>
          <w:rFonts w:ascii="Times New Roman" w:eastAsia="Calibri" w:hAnsi="Times New Roman" w:cs="Times New Roman"/>
          <w:sz w:val="21"/>
          <w:szCs w:val="21"/>
          <w:lang w:eastAsia="ar-SA"/>
        </w:rPr>
        <w:t xml:space="preserve"> электронный // Лань : электронно-библиотечная система. — URL: </w:t>
      </w:r>
      <w:r w:rsidRPr="00F832EE">
        <w:rPr>
          <w:rFonts w:ascii="Times New Roman" w:eastAsia="Calibri" w:hAnsi="Times New Roman" w:cs="Times New Roman"/>
          <w:color w:val="0070C0"/>
          <w:sz w:val="21"/>
          <w:szCs w:val="21"/>
          <w:u w:val="single"/>
          <w:lang w:eastAsia="ar-SA"/>
        </w:rPr>
        <w:t>https://e.lanbook.com/book/297083</w:t>
      </w:r>
      <w:r w:rsidRPr="00F832EE">
        <w:rPr>
          <w:rFonts w:ascii="Times New Roman" w:eastAsia="Calibri" w:hAnsi="Times New Roman" w:cs="Times New Roman"/>
          <w:color w:val="0070C0"/>
          <w:sz w:val="21"/>
          <w:szCs w:val="21"/>
          <w:lang w:eastAsia="ar-SA"/>
        </w:rPr>
        <w:t xml:space="preserve"> </w:t>
      </w:r>
      <w:r w:rsidRPr="00F832EE">
        <w:rPr>
          <w:rFonts w:ascii="Times New Roman" w:eastAsia="Calibri" w:hAnsi="Times New Roman" w:cs="Times New Roman"/>
          <w:sz w:val="21"/>
          <w:szCs w:val="21"/>
          <w:lang w:eastAsia="ar-SA"/>
        </w:rPr>
        <w:t>— Режим доступа: для авториз. пользователей.</w:t>
      </w:r>
    </w:p>
    <w:p w14:paraId="4064A47D" w14:textId="77777777" w:rsidR="00F832EE" w:rsidRPr="00F832EE" w:rsidRDefault="00F832EE" w:rsidP="00F832EE">
      <w:pPr>
        <w:tabs>
          <w:tab w:val="left" w:pos="0"/>
        </w:tabs>
        <w:suppressAutoHyphens/>
        <w:autoSpaceDE w:val="0"/>
        <w:spacing w:after="0" w:line="240" w:lineRule="auto"/>
        <w:jc w:val="both"/>
        <w:rPr>
          <w:rFonts w:ascii="Times New Roman" w:eastAsia="Calibri" w:hAnsi="Times New Roman" w:cs="Times New Roman"/>
          <w:sz w:val="21"/>
          <w:szCs w:val="21"/>
          <w:lang w:eastAsia="ar-SA"/>
        </w:rPr>
      </w:pPr>
      <w:r w:rsidRPr="00F832EE">
        <w:rPr>
          <w:rFonts w:ascii="Times New Roman" w:eastAsia="Calibri" w:hAnsi="Times New Roman" w:cs="Times New Roman"/>
          <w:sz w:val="21"/>
          <w:szCs w:val="21"/>
          <w:lang w:eastAsia="ar-SA"/>
        </w:rPr>
        <w:t>3. Франциско О.Ю., Молчан А.С. Автоматизация уровневой оценки экономической безопасности. - Краснодар, 2022. - 175 с.</w:t>
      </w:r>
    </w:p>
    <w:p w14:paraId="26DB1EEE" w14:textId="688E516C" w:rsidR="00A647AC" w:rsidRDefault="00F832EE"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r w:rsidRPr="00F832EE">
        <w:rPr>
          <w:rFonts w:ascii="Times New Roman" w:eastAsia="Calibri" w:hAnsi="Times New Roman" w:cs="Times New Roman"/>
          <w:sz w:val="21"/>
          <w:szCs w:val="21"/>
          <w:lang w:eastAsia="ar-SA"/>
        </w:rPr>
        <w:t xml:space="preserve">4. Березовская, Е. А. Экономическая </w:t>
      </w:r>
      <w:proofErr w:type="gramStart"/>
      <w:r w:rsidRPr="00F832EE">
        <w:rPr>
          <w:rFonts w:ascii="Times New Roman" w:eastAsia="Calibri" w:hAnsi="Times New Roman" w:cs="Times New Roman"/>
          <w:sz w:val="21"/>
          <w:szCs w:val="21"/>
          <w:lang w:eastAsia="ar-SA"/>
        </w:rPr>
        <w:t>аналитика :</w:t>
      </w:r>
      <w:proofErr w:type="gramEnd"/>
      <w:r w:rsidRPr="00F832EE">
        <w:rPr>
          <w:rFonts w:ascii="Times New Roman" w:eastAsia="Calibri" w:hAnsi="Times New Roman" w:cs="Times New Roman"/>
          <w:sz w:val="21"/>
          <w:szCs w:val="21"/>
          <w:lang w:eastAsia="ar-SA"/>
        </w:rPr>
        <w:t xml:space="preserve"> учебное пособие / Е. А. Березовская, С. В. Крюков. — Ростов-на-</w:t>
      </w:r>
      <w:proofErr w:type="gramStart"/>
      <w:r w:rsidRPr="00F832EE">
        <w:rPr>
          <w:rFonts w:ascii="Times New Roman" w:eastAsia="Calibri" w:hAnsi="Times New Roman" w:cs="Times New Roman"/>
          <w:sz w:val="21"/>
          <w:szCs w:val="21"/>
          <w:lang w:eastAsia="ar-SA"/>
        </w:rPr>
        <w:t>Дону :</w:t>
      </w:r>
      <w:proofErr w:type="gramEnd"/>
      <w:r w:rsidRPr="00F832EE">
        <w:rPr>
          <w:rFonts w:ascii="Times New Roman" w:eastAsia="Calibri" w:hAnsi="Times New Roman" w:cs="Times New Roman"/>
          <w:sz w:val="21"/>
          <w:szCs w:val="21"/>
          <w:lang w:eastAsia="ar-SA"/>
        </w:rPr>
        <w:t xml:space="preserve"> ЮФУ, 2021. — 104 с. — ISBN 978-5-9275-3905-5. — </w:t>
      </w:r>
      <w:proofErr w:type="gramStart"/>
      <w:r w:rsidRPr="00F832EE">
        <w:rPr>
          <w:rFonts w:ascii="Times New Roman" w:eastAsia="Calibri" w:hAnsi="Times New Roman" w:cs="Times New Roman"/>
          <w:sz w:val="21"/>
          <w:szCs w:val="21"/>
          <w:lang w:eastAsia="ar-SA"/>
        </w:rPr>
        <w:t>Текст :</w:t>
      </w:r>
      <w:proofErr w:type="gramEnd"/>
      <w:r w:rsidRPr="00F832EE">
        <w:rPr>
          <w:rFonts w:ascii="Times New Roman" w:eastAsia="Calibri" w:hAnsi="Times New Roman" w:cs="Times New Roman"/>
          <w:sz w:val="21"/>
          <w:szCs w:val="21"/>
          <w:lang w:eastAsia="ar-SA"/>
        </w:rPr>
        <w:t xml:space="preserve"> электронный // Лань : электронно-библиотечная система. — URL: </w:t>
      </w:r>
      <w:hyperlink r:id="rId506" w:history="1">
        <w:r w:rsidRPr="00F832EE">
          <w:rPr>
            <w:rFonts w:ascii="Times New Roman" w:eastAsia="Calibri" w:hAnsi="Times New Roman" w:cs="Times New Roman"/>
            <w:color w:val="0563C1"/>
            <w:sz w:val="21"/>
            <w:szCs w:val="21"/>
            <w:u w:val="single"/>
            <w:lang w:eastAsia="ar-SA"/>
          </w:rPr>
          <w:t>https://e.lanbook.com/book/247034</w:t>
        </w:r>
      </w:hyperlink>
      <w:r w:rsidRPr="00F832EE">
        <w:rPr>
          <w:rFonts w:ascii="Times New Roman" w:eastAsia="Calibri" w:hAnsi="Times New Roman" w:cs="Times New Roman"/>
          <w:sz w:val="21"/>
          <w:szCs w:val="21"/>
          <w:lang w:eastAsia="ar-SA"/>
        </w:rPr>
        <w:t xml:space="preserve"> — Режим доступа: для авториз. пользователей.</w:t>
      </w:r>
    </w:p>
    <w:p w14:paraId="610E73F0" w14:textId="77777777" w:rsidR="00070AB0" w:rsidRDefault="00070AB0"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p>
    <w:p w14:paraId="0AA62528" w14:textId="77777777" w:rsidR="001C5E45" w:rsidRDefault="001C5E45"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p>
    <w:p w14:paraId="6248DB86" w14:textId="77777777" w:rsidR="007A3539" w:rsidRPr="007A3539" w:rsidRDefault="007A3539" w:rsidP="007A3539">
      <w:pPr>
        <w:suppressAutoHyphens/>
        <w:spacing w:after="0" w:line="240" w:lineRule="auto"/>
        <w:jc w:val="both"/>
        <w:rPr>
          <w:rFonts w:ascii="Times New Roman" w:eastAsia="Times New Roman" w:hAnsi="Times New Roman" w:cs="Times New Roman"/>
          <w:b/>
          <w:color w:val="000000"/>
          <w:sz w:val="21"/>
          <w:szCs w:val="21"/>
          <w:lang w:eastAsia="ar-SA"/>
        </w:rPr>
      </w:pPr>
      <w:r w:rsidRPr="007A3539">
        <w:rPr>
          <w:rFonts w:ascii="Times New Roman" w:eastAsia="Times New Roman" w:hAnsi="Times New Roman" w:cs="Times New Roman"/>
          <w:b/>
          <w:color w:val="000000"/>
          <w:sz w:val="21"/>
          <w:szCs w:val="21"/>
          <w:lang w:eastAsia="ar-SA"/>
        </w:rPr>
        <w:t>УДК 303.732.4</w:t>
      </w:r>
    </w:p>
    <w:p w14:paraId="201A88D6" w14:textId="77777777" w:rsidR="007A3539" w:rsidRPr="007A3539" w:rsidRDefault="007A3539" w:rsidP="007A3539">
      <w:pPr>
        <w:spacing w:after="0" w:line="240" w:lineRule="auto"/>
        <w:ind w:firstLine="709"/>
        <w:jc w:val="right"/>
        <w:rPr>
          <w:rFonts w:ascii="Times New Roman" w:eastAsia="Aptos" w:hAnsi="Times New Roman" w:cs="Times New Roman"/>
          <w:b/>
          <w:bCs/>
          <w:i/>
          <w:iCs/>
          <w:sz w:val="21"/>
          <w:szCs w:val="21"/>
        </w:rPr>
      </w:pPr>
    </w:p>
    <w:p w14:paraId="35003576" w14:textId="6ADD62B0" w:rsidR="007A3539" w:rsidRPr="007A3539" w:rsidRDefault="007A3539" w:rsidP="007A3539">
      <w:pPr>
        <w:spacing w:after="0" w:line="240" w:lineRule="auto"/>
        <w:ind w:firstLine="709"/>
        <w:jc w:val="right"/>
        <w:rPr>
          <w:rFonts w:ascii="Times New Roman" w:eastAsia="Aptos" w:hAnsi="Times New Roman" w:cs="Times New Roman"/>
          <w:b/>
          <w:bCs/>
          <w:i/>
          <w:iCs/>
          <w:sz w:val="21"/>
          <w:szCs w:val="21"/>
        </w:rPr>
      </w:pPr>
      <w:r w:rsidRPr="007A3539">
        <w:rPr>
          <w:rFonts w:ascii="Times New Roman" w:eastAsia="Aptos" w:hAnsi="Times New Roman" w:cs="Times New Roman"/>
          <w:b/>
          <w:bCs/>
          <w:i/>
          <w:iCs/>
          <w:sz w:val="21"/>
          <w:szCs w:val="21"/>
        </w:rPr>
        <w:t>Ибрагимов А.</w:t>
      </w:r>
      <w:r w:rsidR="009A0A5C">
        <w:rPr>
          <w:rFonts w:ascii="Times New Roman" w:eastAsia="Aptos" w:hAnsi="Times New Roman" w:cs="Times New Roman"/>
          <w:b/>
          <w:bCs/>
          <w:i/>
          <w:iCs/>
          <w:sz w:val="21"/>
          <w:szCs w:val="21"/>
        </w:rPr>
        <w:t xml:space="preserve"> </w:t>
      </w:r>
      <w:r w:rsidRPr="007A3539">
        <w:rPr>
          <w:rFonts w:ascii="Times New Roman" w:eastAsia="Aptos" w:hAnsi="Times New Roman" w:cs="Times New Roman"/>
          <w:b/>
          <w:bCs/>
          <w:i/>
          <w:iCs/>
          <w:sz w:val="21"/>
          <w:szCs w:val="21"/>
        </w:rPr>
        <w:t>М</w:t>
      </w:r>
      <w:r w:rsidR="009A0A5C">
        <w:rPr>
          <w:rFonts w:ascii="Times New Roman" w:eastAsia="Aptos" w:hAnsi="Times New Roman" w:cs="Times New Roman"/>
          <w:b/>
          <w:bCs/>
          <w:i/>
          <w:iCs/>
          <w:sz w:val="21"/>
          <w:szCs w:val="21"/>
        </w:rPr>
        <w:t>.,</w:t>
      </w:r>
    </w:p>
    <w:p w14:paraId="640FC0CA"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rPr>
      </w:pPr>
      <w:r w:rsidRPr="007A3539">
        <w:rPr>
          <w:rFonts w:ascii="Times New Roman" w:eastAsia="Aptos" w:hAnsi="Times New Roman" w:cs="Times New Roman"/>
          <w:i/>
          <w:iCs/>
          <w:sz w:val="21"/>
          <w:szCs w:val="21"/>
        </w:rPr>
        <w:t>Студент 3 курса</w:t>
      </w:r>
    </w:p>
    <w:p w14:paraId="133A50E6" w14:textId="77777777" w:rsidR="00BE6673" w:rsidRDefault="00BE6673" w:rsidP="00BE6673">
      <w:pPr>
        <w:spacing w:after="0" w:line="240" w:lineRule="auto"/>
        <w:ind w:firstLineChars="71" w:firstLine="142"/>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27453FF"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rPr>
      </w:pPr>
      <w:r w:rsidRPr="007A3539">
        <w:rPr>
          <w:rFonts w:ascii="Times New Roman" w:eastAsia="Aptos" w:hAnsi="Times New Roman" w:cs="Times New Roman"/>
          <w:i/>
          <w:iCs/>
          <w:sz w:val="21"/>
          <w:szCs w:val="21"/>
        </w:rPr>
        <w:t>г.Краснодар, Россия</w:t>
      </w:r>
    </w:p>
    <w:p w14:paraId="53C74C01"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rPr>
      </w:pPr>
      <w:r w:rsidRPr="007A3539">
        <w:rPr>
          <w:rFonts w:ascii="Times New Roman" w:eastAsia="Aptos" w:hAnsi="Times New Roman" w:cs="Times New Roman"/>
          <w:i/>
          <w:iCs/>
          <w:sz w:val="21"/>
          <w:szCs w:val="21"/>
        </w:rPr>
        <w:t>е-</w:t>
      </w:r>
      <w:r w:rsidRPr="007A3539">
        <w:rPr>
          <w:rFonts w:ascii="Times New Roman" w:eastAsia="Aptos" w:hAnsi="Times New Roman" w:cs="Times New Roman"/>
          <w:i/>
          <w:iCs/>
          <w:sz w:val="21"/>
          <w:szCs w:val="21"/>
          <w:lang w:val="en-US"/>
        </w:rPr>
        <w:t>mail</w:t>
      </w:r>
      <w:r w:rsidRPr="007A3539">
        <w:rPr>
          <w:rFonts w:ascii="Times New Roman" w:eastAsia="Aptos" w:hAnsi="Times New Roman" w:cs="Times New Roman"/>
          <w:i/>
          <w:iCs/>
          <w:sz w:val="21"/>
          <w:szCs w:val="21"/>
        </w:rPr>
        <w:t xml:space="preserve">: </w:t>
      </w:r>
      <w:hyperlink r:id="rId507" w:history="1">
        <w:r w:rsidRPr="007A3539">
          <w:rPr>
            <w:rFonts w:ascii="Times New Roman" w:eastAsia="Aptos" w:hAnsi="Times New Roman" w:cs="Times New Roman"/>
            <w:i/>
            <w:iCs/>
            <w:color w:val="0000FF"/>
            <w:sz w:val="21"/>
            <w:szCs w:val="21"/>
            <w:u w:val="single"/>
            <w:lang w:val="en-US"/>
          </w:rPr>
          <w:t>aliibra</w:t>
        </w:r>
        <w:r w:rsidRPr="007A3539">
          <w:rPr>
            <w:rFonts w:ascii="Times New Roman" w:eastAsia="Aptos" w:hAnsi="Times New Roman" w:cs="Times New Roman"/>
            <w:i/>
            <w:iCs/>
            <w:color w:val="0000FF"/>
            <w:sz w:val="21"/>
            <w:szCs w:val="21"/>
            <w:u w:val="single"/>
          </w:rPr>
          <w:t>0086@</w:t>
        </w:r>
        <w:r w:rsidRPr="007A3539">
          <w:rPr>
            <w:rFonts w:ascii="Times New Roman" w:eastAsia="Aptos" w:hAnsi="Times New Roman" w:cs="Times New Roman"/>
            <w:i/>
            <w:iCs/>
            <w:color w:val="0000FF"/>
            <w:sz w:val="21"/>
            <w:szCs w:val="21"/>
            <w:u w:val="single"/>
            <w:lang w:val="en-US"/>
          </w:rPr>
          <w:t>gmail</w:t>
        </w:r>
        <w:r w:rsidRPr="007A3539">
          <w:rPr>
            <w:rFonts w:ascii="Times New Roman" w:eastAsia="Aptos" w:hAnsi="Times New Roman" w:cs="Times New Roman"/>
            <w:i/>
            <w:iCs/>
            <w:color w:val="0000FF"/>
            <w:sz w:val="21"/>
            <w:szCs w:val="21"/>
            <w:u w:val="single"/>
          </w:rPr>
          <w:t>.</w:t>
        </w:r>
        <w:r w:rsidRPr="007A3539">
          <w:rPr>
            <w:rFonts w:ascii="Times New Roman" w:eastAsia="Aptos" w:hAnsi="Times New Roman" w:cs="Times New Roman"/>
            <w:i/>
            <w:iCs/>
            <w:color w:val="0000FF"/>
            <w:sz w:val="21"/>
            <w:szCs w:val="21"/>
            <w:u w:val="single"/>
            <w:lang w:val="en-US"/>
          </w:rPr>
          <w:t>com</w:t>
        </w:r>
      </w:hyperlink>
    </w:p>
    <w:p w14:paraId="1FBBB18F" w14:textId="77777777" w:rsidR="007A3539" w:rsidRPr="007A3539" w:rsidRDefault="007A3539" w:rsidP="007A3539">
      <w:pPr>
        <w:spacing w:after="0" w:line="240" w:lineRule="auto"/>
        <w:ind w:firstLine="709"/>
        <w:jc w:val="right"/>
        <w:rPr>
          <w:rFonts w:ascii="Times New Roman" w:eastAsia="Aptos" w:hAnsi="Times New Roman" w:cs="Times New Roman"/>
          <w:sz w:val="21"/>
          <w:szCs w:val="21"/>
        </w:rPr>
      </w:pPr>
    </w:p>
    <w:p w14:paraId="7E9783B3" w14:textId="77777777" w:rsidR="007A3539" w:rsidRPr="007A3539" w:rsidRDefault="007A3539" w:rsidP="007A3539">
      <w:pPr>
        <w:spacing w:after="0" w:line="240" w:lineRule="auto"/>
        <w:jc w:val="right"/>
        <w:rPr>
          <w:rFonts w:ascii="Times New Roman" w:eastAsia="Aptos" w:hAnsi="Times New Roman" w:cs="Times New Roman"/>
          <w:b/>
          <w:i/>
          <w:sz w:val="21"/>
          <w:szCs w:val="21"/>
        </w:rPr>
      </w:pPr>
      <w:r w:rsidRPr="007A3539">
        <w:rPr>
          <w:rFonts w:ascii="Times New Roman" w:eastAsia="Aptos" w:hAnsi="Times New Roman" w:cs="Times New Roman"/>
          <w:b/>
          <w:i/>
          <w:sz w:val="21"/>
          <w:szCs w:val="21"/>
        </w:rPr>
        <w:t>Научный руководитель:</w:t>
      </w:r>
    </w:p>
    <w:p w14:paraId="15A4788B" w14:textId="77777777" w:rsidR="007A3539" w:rsidRPr="007A3539" w:rsidRDefault="007A3539" w:rsidP="007A3539">
      <w:pPr>
        <w:spacing w:after="0" w:line="240" w:lineRule="auto"/>
        <w:jc w:val="right"/>
        <w:rPr>
          <w:rFonts w:ascii="Times New Roman" w:eastAsia="Times New Roman" w:hAnsi="Times New Roman" w:cs="Times New Roman"/>
          <w:b/>
          <w:i/>
          <w:color w:val="000000"/>
          <w:sz w:val="21"/>
          <w:szCs w:val="21"/>
        </w:rPr>
      </w:pPr>
      <w:r w:rsidRPr="007A3539">
        <w:rPr>
          <w:rFonts w:ascii="Times New Roman" w:eastAsia="Times New Roman" w:hAnsi="Times New Roman" w:cs="Times New Roman"/>
          <w:b/>
          <w:i/>
          <w:color w:val="000000"/>
          <w:sz w:val="21"/>
          <w:szCs w:val="21"/>
        </w:rPr>
        <w:t>Пьянкова Н.Г.,</w:t>
      </w:r>
    </w:p>
    <w:p w14:paraId="61B1328D" w14:textId="77777777" w:rsidR="007A3539" w:rsidRPr="007A3539" w:rsidRDefault="007A3539" w:rsidP="007A3539">
      <w:pPr>
        <w:spacing w:after="0" w:line="240" w:lineRule="auto"/>
        <w:jc w:val="right"/>
        <w:rPr>
          <w:rFonts w:ascii="Times New Roman" w:eastAsia="Times New Roman" w:hAnsi="Times New Roman" w:cs="Times New Roman"/>
          <w:bCs/>
          <w:i/>
          <w:color w:val="000000"/>
          <w:sz w:val="21"/>
          <w:szCs w:val="21"/>
        </w:rPr>
      </w:pPr>
      <w:r w:rsidRPr="007A3539">
        <w:rPr>
          <w:rFonts w:ascii="Times New Roman" w:eastAsia="Times New Roman" w:hAnsi="Times New Roman" w:cs="Times New Roman"/>
          <w:bCs/>
          <w:i/>
          <w:color w:val="000000"/>
          <w:sz w:val="21"/>
          <w:szCs w:val="21"/>
        </w:rPr>
        <w:t xml:space="preserve"> доцент, </w:t>
      </w:r>
      <w:proofErr w:type="gramStart"/>
      <w:r w:rsidRPr="007A3539">
        <w:rPr>
          <w:rFonts w:ascii="Times New Roman" w:eastAsia="Times New Roman" w:hAnsi="Times New Roman" w:cs="Times New Roman"/>
          <w:bCs/>
          <w:i/>
          <w:color w:val="000000"/>
          <w:sz w:val="21"/>
          <w:szCs w:val="21"/>
        </w:rPr>
        <w:t>к.пед</w:t>
      </w:r>
      <w:proofErr w:type="gramEnd"/>
      <w:r w:rsidRPr="007A3539">
        <w:rPr>
          <w:rFonts w:ascii="Times New Roman" w:eastAsia="Times New Roman" w:hAnsi="Times New Roman" w:cs="Times New Roman"/>
          <w:bCs/>
          <w:i/>
          <w:color w:val="000000"/>
          <w:sz w:val="21"/>
          <w:szCs w:val="21"/>
        </w:rPr>
        <w:t>.н</w:t>
      </w:r>
    </w:p>
    <w:p w14:paraId="748D7D8E" w14:textId="77777777" w:rsidR="00BE6673" w:rsidRDefault="00BE6673" w:rsidP="00BE6673">
      <w:pPr>
        <w:spacing w:after="0" w:line="240" w:lineRule="auto"/>
        <w:ind w:firstLineChars="71" w:firstLine="142"/>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A7F1143" w14:textId="77777777" w:rsidR="007A3539" w:rsidRPr="007A3539" w:rsidRDefault="007A3539" w:rsidP="007A3539">
      <w:pPr>
        <w:spacing w:after="0" w:line="240" w:lineRule="auto"/>
        <w:jc w:val="right"/>
        <w:rPr>
          <w:rFonts w:ascii="Times New Roman" w:eastAsia="Times New Roman" w:hAnsi="Times New Roman" w:cs="Times New Roman"/>
          <w:bCs/>
          <w:i/>
          <w:color w:val="000000"/>
          <w:sz w:val="21"/>
          <w:szCs w:val="21"/>
        </w:rPr>
      </w:pPr>
      <w:r w:rsidRPr="007A3539">
        <w:rPr>
          <w:rFonts w:ascii="Times New Roman" w:eastAsia="Times New Roman" w:hAnsi="Times New Roman" w:cs="Times New Roman"/>
          <w:bCs/>
          <w:i/>
          <w:color w:val="000000"/>
          <w:sz w:val="21"/>
          <w:szCs w:val="21"/>
        </w:rPr>
        <w:t>г. Краснодар, Россия</w:t>
      </w:r>
    </w:p>
    <w:p w14:paraId="57C615C0" w14:textId="77777777" w:rsidR="007A3539" w:rsidRPr="007A3539" w:rsidRDefault="007A3539" w:rsidP="007A3539">
      <w:pPr>
        <w:spacing w:after="0" w:line="240" w:lineRule="auto"/>
        <w:jc w:val="right"/>
        <w:rPr>
          <w:rFonts w:ascii="Aptos" w:eastAsia="Aptos" w:hAnsi="Aptos" w:cs="Times New Roman"/>
          <w:bCs/>
          <w:sz w:val="21"/>
          <w:szCs w:val="21"/>
        </w:rPr>
      </w:pPr>
      <w:r w:rsidRPr="007A3539">
        <w:rPr>
          <w:rFonts w:ascii="Times New Roman" w:eastAsia="Times New Roman" w:hAnsi="Times New Roman" w:cs="Times New Roman"/>
          <w:bCs/>
          <w:i/>
          <w:color w:val="000000"/>
          <w:sz w:val="21"/>
          <w:szCs w:val="21"/>
        </w:rPr>
        <w:t>е-mail: NGPyankova@fa.ru</w:t>
      </w:r>
    </w:p>
    <w:p w14:paraId="653D3B7E" w14:textId="77777777" w:rsidR="007A3539" w:rsidRPr="007A3539" w:rsidRDefault="007A3539" w:rsidP="007A3539">
      <w:pPr>
        <w:spacing w:after="0" w:line="240" w:lineRule="auto"/>
        <w:jc w:val="right"/>
        <w:rPr>
          <w:rFonts w:ascii="Times New Roman" w:eastAsia="Aptos" w:hAnsi="Times New Roman" w:cs="Times New Roman"/>
          <w:sz w:val="28"/>
        </w:rPr>
      </w:pPr>
    </w:p>
    <w:p w14:paraId="79203B51" w14:textId="77777777" w:rsidR="007A3539" w:rsidRPr="007A3539" w:rsidRDefault="007A3539" w:rsidP="007A3539">
      <w:pPr>
        <w:spacing w:after="0" w:line="240" w:lineRule="auto"/>
        <w:jc w:val="center"/>
        <w:rPr>
          <w:rFonts w:ascii="Times New Roman" w:eastAsia="Aptos" w:hAnsi="Times New Roman" w:cs="Times New Roman"/>
          <w:b/>
          <w:bCs/>
          <w:sz w:val="21"/>
          <w:szCs w:val="21"/>
        </w:rPr>
      </w:pPr>
      <w:r w:rsidRPr="007A3539">
        <w:rPr>
          <w:rFonts w:ascii="Times New Roman" w:eastAsia="Aptos" w:hAnsi="Times New Roman" w:cs="Times New Roman"/>
          <w:b/>
          <w:bCs/>
          <w:sz w:val="21"/>
          <w:szCs w:val="21"/>
        </w:rPr>
        <w:t>Оптимизация бизнес-процессов на основе системного анализа</w:t>
      </w:r>
    </w:p>
    <w:p w14:paraId="64909DDE" w14:textId="77777777" w:rsidR="007A3539" w:rsidRPr="007A3539" w:rsidRDefault="007A3539" w:rsidP="007A3539">
      <w:pPr>
        <w:spacing w:after="0" w:line="240" w:lineRule="auto"/>
        <w:ind w:firstLine="709"/>
        <w:jc w:val="both"/>
        <w:rPr>
          <w:rFonts w:ascii="Times New Roman" w:eastAsia="Aptos" w:hAnsi="Times New Roman" w:cs="Times New Roman"/>
          <w:sz w:val="28"/>
        </w:rPr>
      </w:pPr>
    </w:p>
    <w:p w14:paraId="1B0528D7"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rPr>
      </w:pPr>
      <w:r w:rsidRPr="007A3539">
        <w:rPr>
          <w:rFonts w:ascii="Times New Roman" w:eastAsia="Aptos" w:hAnsi="Times New Roman" w:cs="Times New Roman"/>
          <w:b/>
          <w:bCs/>
          <w:sz w:val="21"/>
          <w:szCs w:val="21"/>
        </w:rPr>
        <w:t>Аннотация:</w:t>
      </w:r>
      <w:r w:rsidRPr="007A3539">
        <w:rPr>
          <w:rFonts w:ascii="Times New Roman" w:eastAsia="Aptos" w:hAnsi="Times New Roman" w:cs="Times New Roman"/>
          <w:sz w:val="21"/>
          <w:szCs w:val="21"/>
        </w:rPr>
        <w:t xml:space="preserve"> В статье рассматривается проблема оптимизации бизнес-процессов в современных организациях. Предложен системный подход к анализу и совершенствованию ключевых процессов предприятия. Исследование включает методы моделирования и оценки эффективности. Результаты могут быть применены для повышения конкурентоспособности компаний.</w:t>
      </w:r>
    </w:p>
    <w:p w14:paraId="2FFC75C1"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rPr>
      </w:pPr>
      <w:r w:rsidRPr="007A3539">
        <w:rPr>
          <w:rFonts w:ascii="Times New Roman" w:eastAsia="Aptos" w:hAnsi="Times New Roman" w:cs="Times New Roman"/>
          <w:b/>
          <w:bCs/>
          <w:sz w:val="21"/>
          <w:szCs w:val="21"/>
        </w:rPr>
        <w:t>Ключевые слова:</w:t>
      </w:r>
      <w:r w:rsidRPr="007A3539">
        <w:rPr>
          <w:rFonts w:ascii="Times New Roman" w:eastAsia="Aptos" w:hAnsi="Times New Roman" w:cs="Times New Roman"/>
          <w:sz w:val="21"/>
          <w:szCs w:val="21"/>
        </w:rPr>
        <w:t xml:space="preserve"> бизнес-процессы, оптимизация, системный анализ, моделирование, эффективность.</w:t>
      </w:r>
    </w:p>
    <w:p w14:paraId="033E490E"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rPr>
      </w:pPr>
    </w:p>
    <w:p w14:paraId="07854CB2" w14:textId="77777777" w:rsidR="007A3539" w:rsidRPr="007A3539" w:rsidRDefault="007A3539" w:rsidP="007A3539">
      <w:pPr>
        <w:spacing w:after="0" w:line="240" w:lineRule="auto"/>
        <w:ind w:firstLine="709"/>
        <w:jc w:val="right"/>
        <w:rPr>
          <w:rFonts w:ascii="Times New Roman" w:eastAsia="Aptos" w:hAnsi="Times New Roman" w:cs="Times New Roman"/>
          <w:b/>
          <w:bCs/>
          <w:i/>
          <w:iCs/>
          <w:sz w:val="21"/>
          <w:szCs w:val="21"/>
          <w:lang w:val="en-US"/>
        </w:rPr>
      </w:pPr>
      <w:r w:rsidRPr="007A3539">
        <w:rPr>
          <w:rFonts w:ascii="Times New Roman" w:eastAsia="Aptos" w:hAnsi="Times New Roman" w:cs="Times New Roman"/>
          <w:b/>
          <w:bCs/>
          <w:i/>
          <w:iCs/>
          <w:sz w:val="21"/>
          <w:szCs w:val="21"/>
          <w:lang w:val="en-US"/>
        </w:rPr>
        <w:t>A.M. Ibragimov</w:t>
      </w:r>
    </w:p>
    <w:p w14:paraId="1FDBFB65" w14:textId="77777777" w:rsidR="007A3539" w:rsidRPr="007A3539" w:rsidRDefault="007A3539" w:rsidP="007A3539">
      <w:pPr>
        <w:spacing w:after="0" w:line="240" w:lineRule="auto"/>
        <w:ind w:firstLine="709"/>
        <w:jc w:val="right"/>
        <w:rPr>
          <w:rFonts w:ascii="Times New Roman" w:eastAsia="Times New Roman" w:hAnsi="Times New Roman" w:cs="Times New Roman"/>
          <w:i/>
          <w:iCs/>
          <w:color w:val="000000"/>
          <w:sz w:val="21"/>
          <w:szCs w:val="21"/>
          <w:lang w:val="en-US"/>
        </w:rPr>
      </w:pPr>
      <w:r w:rsidRPr="007A3539">
        <w:rPr>
          <w:rFonts w:ascii="Times New Roman" w:eastAsia="Times New Roman" w:hAnsi="Times New Roman" w:cs="Times New Roman"/>
          <w:i/>
          <w:iCs/>
          <w:color w:val="000000"/>
          <w:sz w:val="21"/>
          <w:szCs w:val="21"/>
          <w:lang w:val="en-US"/>
        </w:rPr>
        <w:t>3nd year student</w:t>
      </w:r>
    </w:p>
    <w:p w14:paraId="55481B09"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lang w:val="en-US"/>
        </w:rPr>
      </w:pPr>
      <w:r w:rsidRPr="007A3539">
        <w:rPr>
          <w:rFonts w:ascii="Times New Roman" w:eastAsia="Aptos" w:hAnsi="Times New Roman" w:cs="Times New Roman"/>
          <w:i/>
          <w:iCs/>
          <w:sz w:val="21"/>
          <w:szCs w:val="21"/>
          <w:lang w:val="en-US"/>
        </w:rPr>
        <w:t>Financial University under the Government of the Russian Federation (Krasnodar Branch)</w:t>
      </w:r>
    </w:p>
    <w:p w14:paraId="4A42128E"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lang w:val="en-US"/>
        </w:rPr>
      </w:pPr>
      <w:r w:rsidRPr="007A3539">
        <w:rPr>
          <w:rFonts w:ascii="Times New Roman" w:eastAsia="Aptos" w:hAnsi="Times New Roman" w:cs="Times New Roman"/>
          <w:i/>
          <w:iCs/>
          <w:sz w:val="21"/>
          <w:szCs w:val="21"/>
          <w:lang w:val="en-US"/>
        </w:rPr>
        <w:t>Krasnodar, Russia</w:t>
      </w:r>
    </w:p>
    <w:p w14:paraId="63CEB17E"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lang w:val="en-US"/>
        </w:rPr>
      </w:pPr>
      <w:r w:rsidRPr="007A3539">
        <w:rPr>
          <w:rFonts w:ascii="Times New Roman" w:eastAsia="Aptos" w:hAnsi="Times New Roman" w:cs="Times New Roman"/>
          <w:i/>
          <w:iCs/>
          <w:sz w:val="21"/>
          <w:szCs w:val="21"/>
          <w:lang w:val="en-US"/>
        </w:rPr>
        <w:t xml:space="preserve">Email: </w:t>
      </w:r>
      <w:hyperlink r:id="rId508" w:history="1">
        <w:r w:rsidRPr="007A3539">
          <w:rPr>
            <w:rFonts w:ascii="Times New Roman" w:eastAsia="Aptos" w:hAnsi="Times New Roman" w:cs="Times New Roman"/>
            <w:i/>
            <w:iCs/>
            <w:color w:val="0000FF"/>
            <w:sz w:val="21"/>
            <w:szCs w:val="21"/>
            <w:u w:val="single"/>
            <w:lang w:val="en-US"/>
          </w:rPr>
          <w:t>aliibra0086@gmail.com</w:t>
        </w:r>
      </w:hyperlink>
    </w:p>
    <w:p w14:paraId="0B7C1BCC"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lang w:val="en-US"/>
        </w:rPr>
      </w:pPr>
    </w:p>
    <w:p w14:paraId="33431F9A" w14:textId="77777777" w:rsidR="007A3539" w:rsidRPr="007A3539" w:rsidRDefault="007A3539" w:rsidP="007A3539">
      <w:pPr>
        <w:spacing w:after="0" w:line="240" w:lineRule="auto"/>
        <w:jc w:val="right"/>
        <w:rPr>
          <w:rFonts w:ascii="Times New Roman" w:eastAsia="Aptos" w:hAnsi="Times New Roman" w:cs="Times New Roman"/>
          <w:b/>
          <w:i/>
          <w:sz w:val="21"/>
          <w:szCs w:val="21"/>
          <w:lang w:val="en-US"/>
        </w:rPr>
      </w:pPr>
      <w:r w:rsidRPr="007A3539">
        <w:rPr>
          <w:rFonts w:ascii="Times New Roman" w:eastAsia="Aptos" w:hAnsi="Times New Roman" w:cs="Times New Roman"/>
          <w:b/>
          <w:i/>
          <w:sz w:val="21"/>
          <w:szCs w:val="21"/>
          <w:lang w:val="en-US"/>
        </w:rPr>
        <w:t>Scientific Adviser:</w:t>
      </w:r>
    </w:p>
    <w:p w14:paraId="31201D28" w14:textId="77777777" w:rsidR="007A3539" w:rsidRPr="007A3539" w:rsidRDefault="007A3539" w:rsidP="007A3539">
      <w:pPr>
        <w:spacing w:after="0" w:line="240" w:lineRule="auto"/>
        <w:jc w:val="right"/>
        <w:rPr>
          <w:rFonts w:ascii="Times New Roman" w:eastAsia="Aptos" w:hAnsi="Times New Roman" w:cs="Times New Roman"/>
          <w:b/>
          <w:i/>
          <w:sz w:val="21"/>
          <w:szCs w:val="21"/>
          <w:lang w:val="en-US"/>
        </w:rPr>
      </w:pPr>
      <w:r w:rsidRPr="007A3539">
        <w:rPr>
          <w:rFonts w:ascii="Times New Roman" w:eastAsia="Aptos" w:hAnsi="Times New Roman" w:cs="Times New Roman"/>
          <w:b/>
          <w:i/>
          <w:sz w:val="21"/>
          <w:szCs w:val="21"/>
          <w:lang w:val="en-US"/>
        </w:rPr>
        <w:t>Pyankova N.G.,</w:t>
      </w:r>
    </w:p>
    <w:p w14:paraId="380B4293" w14:textId="77777777" w:rsidR="007A3539" w:rsidRPr="007A3539" w:rsidRDefault="007A3539" w:rsidP="007A3539">
      <w:pPr>
        <w:spacing w:after="0" w:line="240" w:lineRule="auto"/>
        <w:jc w:val="right"/>
        <w:textAlignment w:val="baseline"/>
        <w:rPr>
          <w:rFonts w:ascii="Times New Roman" w:eastAsia="Times New Roman" w:hAnsi="Times New Roman" w:cs="Times New Roman"/>
          <w:i/>
          <w:sz w:val="21"/>
          <w:szCs w:val="21"/>
          <w:lang w:val="en" w:eastAsia="ar-SA"/>
        </w:rPr>
      </w:pPr>
      <w:r w:rsidRPr="007A3539">
        <w:rPr>
          <w:rFonts w:ascii="Times New Roman" w:eastAsia="Times New Roman" w:hAnsi="Times New Roman" w:cs="Times New Roman"/>
          <w:i/>
          <w:sz w:val="21"/>
          <w:szCs w:val="21"/>
          <w:lang w:val="en" w:eastAsia="ar-SA"/>
        </w:rPr>
        <w:t xml:space="preserve">Candidate of Pedagogical Sciences, Docent </w:t>
      </w:r>
    </w:p>
    <w:p w14:paraId="2305E057" w14:textId="77777777" w:rsidR="007A3539" w:rsidRPr="007A3539" w:rsidRDefault="007A3539" w:rsidP="007A3539">
      <w:pPr>
        <w:spacing w:after="0" w:line="240" w:lineRule="auto"/>
        <w:jc w:val="right"/>
        <w:rPr>
          <w:rFonts w:ascii="Times New Roman" w:eastAsia="Aptos" w:hAnsi="Times New Roman" w:cs="Times New Roman"/>
          <w:i/>
          <w:sz w:val="21"/>
          <w:szCs w:val="21"/>
          <w:lang w:val="en-US"/>
        </w:rPr>
      </w:pPr>
      <w:r w:rsidRPr="007A3539">
        <w:rPr>
          <w:rFonts w:ascii="Times New Roman" w:eastAsia="Aptos" w:hAnsi="Times New Roman" w:cs="Times New Roman"/>
          <w:i/>
          <w:sz w:val="21"/>
          <w:szCs w:val="21"/>
          <w:lang w:val="en-US"/>
        </w:rPr>
        <w:t>Financial University under the Government of the Russian Federation</w:t>
      </w:r>
    </w:p>
    <w:p w14:paraId="337C2267" w14:textId="77777777" w:rsidR="007A3539" w:rsidRPr="007A3539" w:rsidRDefault="007A3539" w:rsidP="007A3539">
      <w:pPr>
        <w:spacing w:after="0" w:line="240" w:lineRule="auto"/>
        <w:jc w:val="right"/>
        <w:rPr>
          <w:rFonts w:ascii="Times New Roman" w:eastAsia="Aptos" w:hAnsi="Times New Roman" w:cs="Times New Roman"/>
          <w:i/>
          <w:sz w:val="21"/>
          <w:szCs w:val="21"/>
          <w:lang w:val="en-US"/>
        </w:rPr>
      </w:pPr>
      <w:r w:rsidRPr="007A3539">
        <w:rPr>
          <w:rFonts w:ascii="Times New Roman" w:eastAsia="Aptos" w:hAnsi="Times New Roman" w:cs="Times New Roman"/>
          <w:i/>
          <w:sz w:val="21"/>
          <w:szCs w:val="21"/>
          <w:lang w:val="en-US"/>
        </w:rPr>
        <w:t>Krasnodar, Russia</w:t>
      </w:r>
    </w:p>
    <w:p w14:paraId="3C40971F" w14:textId="77777777" w:rsidR="007A3539" w:rsidRPr="007A3539" w:rsidRDefault="007A3539" w:rsidP="007A3539">
      <w:pPr>
        <w:spacing w:after="0" w:line="240" w:lineRule="auto"/>
        <w:jc w:val="right"/>
        <w:rPr>
          <w:rFonts w:ascii="Times New Roman" w:eastAsia="Aptos" w:hAnsi="Times New Roman" w:cs="Times New Roman"/>
          <w:sz w:val="24"/>
          <w:szCs w:val="24"/>
          <w:lang w:val="en-US"/>
        </w:rPr>
      </w:pPr>
      <w:r w:rsidRPr="007A3539">
        <w:rPr>
          <w:rFonts w:ascii="Times New Roman" w:eastAsia="Aptos" w:hAnsi="Times New Roman" w:cs="Times New Roman"/>
          <w:i/>
          <w:sz w:val="21"/>
          <w:szCs w:val="21"/>
        </w:rPr>
        <w:t>е</w:t>
      </w:r>
      <w:r w:rsidRPr="007A3539">
        <w:rPr>
          <w:rFonts w:ascii="Times New Roman" w:eastAsia="Aptos" w:hAnsi="Times New Roman" w:cs="Times New Roman"/>
          <w:i/>
          <w:sz w:val="21"/>
          <w:szCs w:val="21"/>
          <w:lang w:val="en-US"/>
        </w:rPr>
        <w:t xml:space="preserve">-mail: </w:t>
      </w:r>
      <w:hyperlink r:id="rId509" w:history="1">
        <w:r w:rsidRPr="007A3539">
          <w:rPr>
            <w:rFonts w:ascii="Times New Roman" w:eastAsia="Aptos" w:hAnsi="Times New Roman" w:cs="Times New Roman"/>
            <w:i/>
            <w:color w:val="0000FF"/>
            <w:sz w:val="21"/>
            <w:szCs w:val="21"/>
            <w:u w:val="single"/>
            <w:lang w:val="en-US"/>
          </w:rPr>
          <w:t>NGPyankova@fa.ru</w:t>
        </w:r>
      </w:hyperlink>
    </w:p>
    <w:p w14:paraId="14F2419A" w14:textId="77777777" w:rsidR="007A3539" w:rsidRPr="007A3539" w:rsidRDefault="007A3539" w:rsidP="007A3539">
      <w:pPr>
        <w:spacing w:after="0" w:line="240" w:lineRule="auto"/>
        <w:ind w:firstLine="709"/>
        <w:jc w:val="right"/>
        <w:rPr>
          <w:rFonts w:ascii="Times New Roman" w:eastAsia="Aptos" w:hAnsi="Times New Roman" w:cs="Times New Roman"/>
          <w:i/>
          <w:iCs/>
          <w:sz w:val="21"/>
          <w:szCs w:val="21"/>
          <w:lang w:val="en-US"/>
        </w:rPr>
      </w:pPr>
    </w:p>
    <w:p w14:paraId="14173B0B" w14:textId="77777777" w:rsidR="007A3539" w:rsidRPr="007A3539" w:rsidRDefault="007A3539" w:rsidP="007A3539">
      <w:pPr>
        <w:spacing w:after="0" w:line="240" w:lineRule="auto"/>
        <w:jc w:val="center"/>
        <w:rPr>
          <w:rFonts w:ascii="Times New Roman" w:eastAsia="Aptos" w:hAnsi="Times New Roman" w:cs="Times New Roman"/>
          <w:b/>
          <w:bCs/>
          <w:sz w:val="21"/>
          <w:szCs w:val="21"/>
          <w:lang w:val="en-US"/>
        </w:rPr>
      </w:pPr>
      <w:r w:rsidRPr="007A3539">
        <w:rPr>
          <w:rFonts w:ascii="Times New Roman" w:eastAsia="Aptos" w:hAnsi="Times New Roman" w:cs="Times New Roman"/>
          <w:b/>
          <w:bCs/>
          <w:sz w:val="21"/>
          <w:szCs w:val="21"/>
          <w:lang w:val="en-US"/>
        </w:rPr>
        <w:t>Optimization of business processes based on system analysis</w:t>
      </w:r>
    </w:p>
    <w:p w14:paraId="5A40DBCD" w14:textId="77777777" w:rsidR="007A3539" w:rsidRPr="007A3539" w:rsidRDefault="007A3539" w:rsidP="007A3539">
      <w:pPr>
        <w:spacing w:after="0" w:line="240" w:lineRule="auto"/>
        <w:ind w:firstLine="709"/>
        <w:jc w:val="both"/>
        <w:rPr>
          <w:rFonts w:ascii="Times New Roman" w:eastAsia="Aptos" w:hAnsi="Times New Roman" w:cs="Times New Roman"/>
          <w:b/>
          <w:bCs/>
          <w:sz w:val="21"/>
          <w:szCs w:val="21"/>
          <w:lang w:val="en-US"/>
        </w:rPr>
      </w:pPr>
    </w:p>
    <w:p w14:paraId="053D3A44"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lang w:val="en-US"/>
        </w:rPr>
      </w:pPr>
      <w:r w:rsidRPr="007A3539">
        <w:rPr>
          <w:rFonts w:ascii="Times New Roman" w:eastAsia="Aptos" w:hAnsi="Times New Roman" w:cs="Times New Roman"/>
          <w:b/>
          <w:bCs/>
          <w:sz w:val="21"/>
          <w:szCs w:val="21"/>
          <w:lang w:val="en-US"/>
        </w:rPr>
        <w:t>Abstract:</w:t>
      </w:r>
      <w:r w:rsidRPr="007A3539">
        <w:rPr>
          <w:rFonts w:ascii="Times New Roman" w:eastAsia="Aptos" w:hAnsi="Times New Roman" w:cs="Times New Roman"/>
          <w:sz w:val="21"/>
          <w:szCs w:val="21"/>
          <w:lang w:val="en-US"/>
        </w:rPr>
        <w:t xml:space="preserve"> The article examines the problem of optimizing business processes in modern organizations. A systematic approach to analyzing and improving key enterprise processes is proposed. The study includes modeling methods and efficiency evaluation. The results can be applied to enhance the competitiveness of companies.</w:t>
      </w:r>
    </w:p>
    <w:p w14:paraId="18F100AC"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lang w:val="en-US"/>
        </w:rPr>
      </w:pPr>
      <w:r w:rsidRPr="007A3539">
        <w:rPr>
          <w:rFonts w:ascii="Times New Roman" w:eastAsia="Aptos" w:hAnsi="Times New Roman" w:cs="Times New Roman"/>
          <w:b/>
          <w:bCs/>
          <w:sz w:val="21"/>
          <w:szCs w:val="21"/>
          <w:lang w:val="en-US"/>
        </w:rPr>
        <w:t>Keywords:</w:t>
      </w:r>
      <w:r w:rsidRPr="007A3539">
        <w:rPr>
          <w:rFonts w:ascii="Times New Roman" w:eastAsia="Aptos" w:hAnsi="Times New Roman" w:cs="Times New Roman"/>
          <w:sz w:val="21"/>
          <w:szCs w:val="21"/>
          <w:lang w:val="en-US"/>
        </w:rPr>
        <w:t xml:space="preserve"> business processes, optimization, system analysis, modeling, efficiency.</w:t>
      </w:r>
    </w:p>
    <w:p w14:paraId="70B38246" w14:textId="77777777" w:rsidR="007A3539" w:rsidRPr="007A3539" w:rsidRDefault="007A3539" w:rsidP="007A3539">
      <w:pPr>
        <w:spacing w:after="0" w:line="240" w:lineRule="auto"/>
        <w:ind w:firstLine="709"/>
        <w:jc w:val="both"/>
        <w:rPr>
          <w:rFonts w:ascii="Times New Roman" w:eastAsia="Aptos" w:hAnsi="Times New Roman" w:cs="Times New Roman"/>
          <w:sz w:val="21"/>
          <w:szCs w:val="21"/>
          <w:lang w:val="en-US"/>
        </w:rPr>
      </w:pPr>
    </w:p>
    <w:p w14:paraId="3199B5AF"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Сейчас, когда рыночная экономика постоянно меняется, компаниям важно оптимизировать свои бизнес-процессы, чтобы оставаться на плаву. Но на практике это не так просто – возникает много сложностей, из-за которых улучшения даются с трудом. В этом случае на помощь может прийти системный анализ, который позволяет разобраться в проблемах, увидеть их причины и найти работающие решения. Главное – смотреть на компанию как на единый механизм, где всё взаимосвязано: процессы, ресурсы, а также внешние факторы.</w:t>
      </w:r>
    </w:p>
    <w:p w14:paraId="70DBD6F5"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Рассмотрим для каких целей может быть использован системный подход [1]:</w:t>
      </w:r>
    </w:p>
    <w:p w14:paraId="3CD273C8" w14:textId="77777777" w:rsidR="007A3539" w:rsidRPr="007A3539" w:rsidRDefault="007A3539" w:rsidP="00AD58CD">
      <w:pPr>
        <w:numPr>
          <w:ilvl w:val="0"/>
          <w:numId w:val="102"/>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помогает понять, где и почему процессы «буксуют».</w:t>
      </w:r>
    </w:p>
    <w:p w14:paraId="70B0A661" w14:textId="77777777" w:rsidR="007A3539" w:rsidRPr="007A3539" w:rsidRDefault="007A3539" w:rsidP="00AD58CD">
      <w:pPr>
        <w:numPr>
          <w:ilvl w:val="0"/>
          <w:numId w:val="102"/>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показывает скрытые проблемы, которые мешают развитию.</w:t>
      </w:r>
    </w:p>
    <w:p w14:paraId="43EBD891" w14:textId="77777777" w:rsidR="007A3539" w:rsidRPr="007A3539" w:rsidRDefault="007A3539" w:rsidP="00AD58CD">
      <w:pPr>
        <w:numPr>
          <w:ilvl w:val="0"/>
          <w:numId w:val="102"/>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даёт не просто интуитивные догадки, а обоснованные решения.</w:t>
      </w:r>
    </w:p>
    <w:p w14:paraId="49DFF9EF"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В этой статье разберём основные трудности оптимизации: организационные, технологические и даже человеческие, и посмотрим, как системный анализ может с ними справиться.</w:t>
      </w:r>
    </w:p>
    <w:p w14:paraId="308415B3"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Оптимизация бизнес-процессов направлена на повышение эффективности, снижение затрат и улучшение качества услуг. Однако организации сталкиваются с рядом препятствий, которые усложняют этот процесс. Рассмотрим основные проблемы, их причины и последствия.</w:t>
      </w:r>
    </w:p>
    <w:p w14:paraId="56413FA1"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1. Неэффективные процедуры и узкие места.</w:t>
      </w:r>
    </w:p>
    <w:p w14:paraId="2032E7E5"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Многие бизнес-процессы содержат избыточные или устаревшие этапы, которые снижают производительность. Например:</w:t>
      </w:r>
    </w:p>
    <w:p w14:paraId="5BF6FEF3"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длительные согласования: многоуровневые процедуры утверждения увеличивают время выполнения задач;</w:t>
      </w:r>
    </w:p>
    <w:p w14:paraId="2D9FAA69"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повторяющиеся операции</w:t>
      </w:r>
      <w:r w:rsidRPr="007A3539">
        <w:rPr>
          <w:rFonts w:ascii="Times New Roman" w:eastAsia="Aptos" w:hAnsi="Times New Roman" w:cs="Times New Roman"/>
          <w:b/>
          <w:bCs/>
          <w:sz w:val="32"/>
          <w:szCs w:val="32"/>
        </w:rPr>
        <w:t>:</w:t>
      </w:r>
      <w:r w:rsidRPr="007A3539">
        <w:rPr>
          <w:rFonts w:ascii="Times New Roman" w:eastAsia="Aptos" w:hAnsi="Times New Roman" w:cs="Times New Roman"/>
          <w:sz w:val="32"/>
          <w:szCs w:val="32"/>
        </w:rPr>
        <w:t xml:space="preserve"> ручная обработка данных, которая могла бы быть автоматизирована, приводит к потере времени и ресурсов;</w:t>
      </w:r>
    </w:p>
    <w:p w14:paraId="61595AD4"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недостаточная стандартизация: отсутствие единых процедур приводит к вариативности и ошибкам [2].</w:t>
      </w:r>
    </w:p>
    <w:p w14:paraId="3BFE6B4E"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xml:space="preserve">Решением может быть использование диаграмм потоков данных (DFD) и нотаций BPMN, которые позволяют построить модель «как </w:t>
      </w:r>
      <w:r w:rsidRPr="007A3539">
        <w:rPr>
          <w:rFonts w:ascii="Times New Roman" w:eastAsia="Aptos" w:hAnsi="Times New Roman" w:cs="Times New Roman"/>
          <w:sz w:val="32"/>
          <w:szCs w:val="32"/>
        </w:rPr>
        <w:lastRenderedPageBreak/>
        <w:t>есть» (As-Is), выявить избыточные шаги и разработать оптимизированную модель «как должно быть» (To-Be).</w:t>
      </w:r>
    </w:p>
    <w:p w14:paraId="2A676594"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xml:space="preserve">2. Сопротивление изменениям. </w:t>
      </w:r>
    </w:p>
    <w:p w14:paraId="5BB0BB3A"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Сотрудники и руководители часто сопротивляются внедрению новых процессов из-за:</w:t>
      </w:r>
    </w:p>
    <w:p w14:paraId="260B7F75"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страха потери рабочих мест: автоматизация воспринимается как угроза;</w:t>
      </w:r>
    </w:p>
    <w:p w14:paraId="222567C0"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недостатка знаний: отсутствие навыков работы с новыми технологиями замедляет адаптацию;</w:t>
      </w:r>
    </w:p>
    <w:p w14:paraId="1009E5BA"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организационной инерции: привычка к устоявшимся методам работы мешает инновациям.</w:t>
      </w:r>
    </w:p>
    <w:p w14:paraId="66BED427"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Для этих целей могут использоваться инструменты системного анализа. Метод «5 почему» помогает выявить корневые причины сопротивления. Например: почему сотрудники избегают новых процедур? Потому что они не прошли обучение. Почему не было обучения? Из-за недостаточного финансирования. Такой подход позволяет разработать адресные меры, такие как тренинги или коммуникационные кампании [3].</w:t>
      </w:r>
    </w:p>
    <w:p w14:paraId="41DDD63A"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3. Технологические ограничения</w:t>
      </w:r>
    </w:p>
    <w:p w14:paraId="767044C9"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Внедрение современных технологий, таких как ERP-системы или RPA (Robotic Process Automation), часто сталкивается с проблемами:</w:t>
      </w:r>
    </w:p>
    <w:p w14:paraId="4C0BCB6E"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устаревшая инфраструктура: старые ИТ-системы несовместимы с новыми решениями;</w:t>
      </w:r>
    </w:p>
    <w:p w14:paraId="7B8810E6"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высокие затраты: внедрение автоматизации требует значительных инвестиций;</w:t>
      </w:r>
    </w:p>
    <w:p w14:paraId="2DFD54DF" w14:textId="77777777" w:rsidR="007A3539" w:rsidRPr="007A3539" w:rsidRDefault="007A3539" w:rsidP="00AD58CD">
      <w:pPr>
        <w:numPr>
          <w:ilvl w:val="0"/>
          <w:numId w:val="103"/>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недостаток интеграции: разрозненные системы затрудняют обмен данными между отделами [4].</w:t>
      </w:r>
    </w:p>
    <w:p w14:paraId="6AADB8AA"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Рассмотрим пример. В розничной торговле отсутствие интеграции между складскими и финансовыми системами приводит к задержкам в обработке заказов.</w:t>
      </w:r>
    </w:p>
    <w:p w14:paraId="259240CE"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Решение на основе системного анализа. Функционально-стоимостной анализ (ФСА) позволяет оценить затраты на каждую функцию процесса и определить, какие технологии принесут наибольшую выгоду. Имитационное моделирование (например, с помощью AnyLogic) помогает спрогнозировать эффект от внедрения новых систем.</w:t>
      </w:r>
    </w:p>
    <w:p w14:paraId="76CCD9A7"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xml:space="preserve">4. Недостаточная ориентация на клиента. </w:t>
      </w:r>
    </w:p>
    <w:p w14:paraId="2BC6CC10"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Многие организации фокусируются на внутренних процессах, игнорируя потребности клиентов. Это проявляется в:</w:t>
      </w:r>
    </w:p>
    <w:p w14:paraId="048F46FA" w14:textId="77777777" w:rsidR="007A3539" w:rsidRPr="007A3539" w:rsidRDefault="007A3539" w:rsidP="00AD58CD">
      <w:pPr>
        <w:numPr>
          <w:ilvl w:val="0"/>
          <w:numId w:val="104"/>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lastRenderedPageBreak/>
        <w:t>долгом времени отклика: задержки в обработке запросов клиентов снижают их удовлетворенность;</w:t>
      </w:r>
    </w:p>
    <w:p w14:paraId="07A28B0A" w14:textId="77777777" w:rsidR="007A3539" w:rsidRPr="007A3539" w:rsidRDefault="007A3539" w:rsidP="00AD58CD">
      <w:pPr>
        <w:numPr>
          <w:ilvl w:val="0"/>
          <w:numId w:val="104"/>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низком качестве данных: ошибки в клиентских данных приводят к неправильным решениям.</w:t>
      </w:r>
    </w:p>
    <w:p w14:paraId="01BCA42D"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Решение на основе системного анализа. Картирование потока создания ценности (VSM) помогает выявить этапы, которые не добавляют ценности для клиента, и устранить их. Например, сокращение времени обработки заявок в банке с трех дней до четырех часов увеличило удовлетворенность клиентов на 20%.</w:t>
      </w:r>
    </w:p>
    <w:p w14:paraId="3CF305E6"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xml:space="preserve">5. Отсутствие мониторинга и контроля. </w:t>
      </w:r>
    </w:p>
    <w:p w14:paraId="52362132"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После внедрения изменений организации часто не отслеживают их эффективность, что приводит к:</w:t>
      </w:r>
    </w:p>
    <w:p w14:paraId="01A46771" w14:textId="77777777" w:rsidR="007A3539" w:rsidRPr="007A3539" w:rsidRDefault="007A3539" w:rsidP="00AD58CD">
      <w:pPr>
        <w:numPr>
          <w:ilvl w:val="0"/>
          <w:numId w:val="105"/>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возвращению старых проблем: без контроля процессы могут деградировать;</w:t>
      </w:r>
    </w:p>
    <w:p w14:paraId="1B20F939" w14:textId="77777777" w:rsidR="007A3539" w:rsidRPr="007A3539" w:rsidRDefault="007A3539" w:rsidP="00AD58CD">
      <w:pPr>
        <w:numPr>
          <w:ilvl w:val="0"/>
          <w:numId w:val="105"/>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невозможности масштабирования</w:t>
      </w:r>
      <w:r w:rsidRPr="007A3539">
        <w:rPr>
          <w:rFonts w:ascii="Times New Roman" w:eastAsia="Aptos" w:hAnsi="Times New Roman" w:cs="Times New Roman"/>
          <w:b/>
          <w:bCs/>
          <w:sz w:val="32"/>
          <w:szCs w:val="32"/>
        </w:rPr>
        <w:t>:</w:t>
      </w:r>
      <w:r w:rsidRPr="007A3539">
        <w:rPr>
          <w:rFonts w:ascii="Times New Roman" w:eastAsia="Aptos" w:hAnsi="Times New Roman" w:cs="Times New Roman"/>
          <w:sz w:val="32"/>
          <w:szCs w:val="32"/>
        </w:rPr>
        <w:t xml:space="preserve"> успешные изменения в одном отделе не переносятся на другие.</w:t>
      </w:r>
    </w:p>
    <w:p w14:paraId="5B05C8C3"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Решение на основе системного анализа. Применение цикла PDCA (Plan-Do-Check-Act) и BI-систем (например, Power BI) позволяет отслеживать ключевые показатели эффективности (KPI), такие как время выполнения, затраты и количество ошибок, в реальном времени.</w:t>
      </w:r>
    </w:p>
    <w:p w14:paraId="07F3CA01"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Проблемы оптимизации бизнес-процессов.</w:t>
      </w:r>
    </w:p>
    <w:p w14:paraId="2E994C66"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Оптимизация бизнес-процессов – позволяет сделать работу компании быстрее, дешевле и качественнее. Но на практике всё упирается во множество проблем, из-за которых улучшения либо даются с трудом, либо вообще не работают. Давайте разберём основные сложности и посмотрим, как их можно решить.</w:t>
      </w:r>
    </w:p>
    <w:p w14:paraId="4A14BC32"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Оптимизация – это не разовое мероприятие, а постоянная работа. Главное – не просто внедрить изменения, но и убедиться, что они приживаются и дают результат.</w:t>
      </w:r>
    </w:p>
    <w:p w14:paraId="1884AD86"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Давайте рассмотрим, какие инструменты реально помогают устранить проблемы, о которых мы говорили ранее.</w:t>
      </w:r>
    </w:p>
    <w:p w14:paraId="35019B9D" w14:textId="77777777" w:rsidR="007A3539" w:rsidRPr="007A3539" w:rsidRDefault="007A3539" w:rsidP="00AD58CD">
      <w:pPr>
        <w:numPr>
          <w:ilvl w:val="0"/>
          <w:numId w:val="101"/>
        </w:numPr>
        <w:tabs>
          <w:tab w:val="left" w:pos="851"/>
        </w:tabs>
        <w:spacing w:after="0" w:line="240" w:lineRule="auto"/>
        <w:ind w:left="0" w:firstLine="709"/>
        <w:jc w:val="both"/>
        <w:rPr>
          <w:rFonts w:ascii="Times New Roman" w:eastAsia="Aptos" w:hAnsi="Times New Roman" w:cs="Times New Roman"/>
          <w:b/>
          <w:bCs/>
          <w:sz w:val="32"/>
          <w:szCs w:val="32"/>
        </w:rPr>
      </w:pPr>
      <w:r w:rsidRPr="007A3539">
        <w:rPr>
          <w:rFonts w:ascii="Times New Roman" w:eastAsia="Aptos" w:hAnsi="Times New Roman" w:cs="Times New Roman"/>
          <w:sz w:val="32"/>
          <w:szCs w:val="32"/>
        </w:rPr>
        <w:t>Качественные методы системного анализа.</w:t>
      </w:r>
    </w:p>
    <w:p w14:paraId="19BB96C7"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Диаграмма Исикавы используется для выявления причин неэффективности процессов. Например, задержки в поставках могут быть вызваны плохой координацией, недостатком данных или человеческими ошибками.</w:t>
      </w:r>
    </w:p>
    <w:p w14:paraId="4C94015F"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SWOT-анализ помогает оценить внутренние и внешние факторы, влияющие на оптимизацию.</w:t>
      </w:r>
    </w:p>
    <w:p w14:paraId="65057260" w14:textId="77777777" w:rsidR="007A3539" w:rsidRPr="007A3539" w:rsidRDefault="007A3539" w:rsidP="00AD58CD">
      <w:pPr>
        <w:numPr>
          <w:ilvl w:val="0"/>
          <w:numId w:val="101"/>
        </w:numPr>
        <w:tabs>
          <w:tab w:val="left" w:pos="851"/>
        </w:tabs>
        <w:spacing w:after="0" w:line="240" w:lineRule="auto"/>
        <w:ind w:left="0" w:firstLine="709"/>
        <w:jc w:val="both"/>
        <w:rPr>
          <w:rFonts w:ascii="Times New Roman" w:eastAsia="Aptos" w:hAnsi="Times New Roman" w:cs="Times New Roman"/>
          <w:b/>
          <w:bCs/>
          <w:sz w:val="32"/>
          <w:szCs w:val="32"/>
        </w:rPr>
      </w:pPr>
      <w:r w:rsidRPr="007A3539">
        <w:rPr>
          <w:rFonts w:ascii="Times New Roman" w:eastAsia="Aptos" w:hAnsi="Times New Roman" w:cs="Times New Roman"/>
          <w:sz w:val="32"/>
          <w:szCs w:val="32"/>
        </w:rPr>
        <w:t>Количественные методы.</w:t>
      </w:r>
    </w:p>
    <w:p w14:paraId="1D01B70D" w14:textId="77777777" w:rsidR="007A3539" w:rsidRPr="007A3539" w:rsidRDefault="007A3539" w:rsidP="00AD58CD">
      <w:pPr>
        <w:numPr>
          <w:ilvl w:val="1"/>
          <w:numId w:val="106"/>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lastRenderedPageBreak/>
        <w:t>ABC-анали</w:t>
      </w:r>
      <w:r w:rsidRPr="007A3539">
        <w:rPr>
          <w:rFonts w:ascii="Times New Roman" w:eastAsia="Aptos" w:hAnsi="Times New Roman" w:cs="Times New Roman"/>
          <w:b/>
          <w:bCs/>
          <w:sz w:val="32"/>
          <w:szCs w:val="32"/>
        </w:rPr>
        <w:t xml:space="preserve">з </w:t>
      </w:r>
      <w:r w:rsidRPr="007A3539">
        <w:rPr>
          <w:rFonts w:ascii="Times New Roman" w:eastAsia="Aptos" w:hAnsi="Times New Roman" w:cs="Times New Roman"/>
          <w:bCs/>
          <w:sz w:val="32"/>
          <w:szCs w:val="32"/>
        </w:rPr>
        <w:t>о</w:t>
      </w:r>
      <w:r w:rsidRPr="007A3539">
        <w:rPr>
          <w:rFonts w:ascii="Times New Roman" w:eastAsia="Aptos" w:hAnsi="Times New Roman" w:cs="Times New Roman"/>
          <w:sz w:val="32"/>
          <w:szCs w:val="32"/>
        </w:rPr>
        <w:t>пределяет приоритетные процессы, которые дают наибольший эффект. Например, 20% процессов (группа А) могут обеспечивать 80% результатов.</w:t>
      </w:r>
    </w:p>
    <w:p w14:paraId="65D82FF5" w14:textId="77777777" w:rsidR="007A3539" w:rsidRPr="007A3539" w:rsidRDefault="007A3539" w:rsidP="00AD58CD">
      <w:pPr>
        <w:numPr>
          <w:ilvl w:val="1"/>
          <w:numId w:val="106"/>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Статистический анализ.  Контрольные карты Шухарта позволяют отслеживать стабильность процессов.</w:t>
      </w:r>
    </w:p>
    <w:p w14:paraId="31B4B9B9" w14:textId="77777777" w:rsidR="007A3539" w:rsidRPr="007A3539" w:rsidRDefault="007A3539" w:rsidP="00AD58CD">
      <w:pPr>
        <w:numPr>
          <w:ilvl w:val="0"/>
          <w:numId w:val="101"/>
        </w:numPr>
        <w:tabs>
          <w:tab w:val="left" w:pos="851"/>
        </w:tabs>
        <w:spacing w:after="0" w:line="240" w:lineRule="auto"/>
        <w:ind w:left="0" w:firstLine="709"/>
        <w:jc w:val="both"/>
        <w:rPr>
          <w:rFonts w:ascii="Times New Roman" w:eastAsia="Aptos" w:hAnsi="Times New Roman" w:cs="Times New Roman"/>
          <w:b/>
          <w:bCs/>
          <w:sz w:val="32"/>
          <w:szCs w:val="32"/>
        </w:rPr>
      </w:pPr>
      <w:r w:rsidRPr="007A3539">
        <w:rPr>
          <w:rFonts w:ascii="Times New Roman" w:eastAsia="Aptos" w:hAnsi="Times New Roman" w:cs="Times New Roman"/>
          <w:sz w:val="32"/>
          <w:szCs w:val="32"/>
        </w:rPr>
        <w:t>Инструменты моделирования:</w:t>
      </w:r>
    </w:p>
    <w:p w14:paraId="7D45C160" w14:textId="77777777" w:rsidR="007A3539" w:rsidRPr="007A3539" w:rsidRDefault="007A3539" w:rsidP="00AD58CD">
      <w:pPr>
        <w:numPr>
          <w:ilvl w:val="1"/>
          <w:numId w:val="107"/>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BPMN 2.0 наглядно отображает процессы, позволяя выявить узкие места.</w:t>
      </w:r>
    </w:p>
    <w:p w14:paraId="7818718A" w14:textId="77777777" w:rsidR="007A3539" w:rsidRPr="007A3539" w:rsidRDefault="007A3539" w:rsidP="00AD58CD">
      <w:pPr>
        <w:numPr>
          <w:ilvl w:val="1"/>
          <w:numId w:val="107"/>
        </w:numPr>
        <w:tabs>
          <w:tab w:val="left" w:pos="851"/>
        </w:tabs>
        <w:spacing w:after="0" w:line="240" w:lineRule="auto"/>
        <w:ind w:left="0"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IDEF структурирует сложные процессы, особенно в производственных системах.</w:t>
      </w:r>
    </w:p>
    <w:p w14:paraId="5CC8AA1A" w14:textId="77777777" w:rsidR="007A3539" w:rsidRPr="007A3539" w:rsidRDefault="007A3539" w:rsidP="00AD58CD">
      <w:pPr>
        <w:numPr>
          <w:ilvl w:val="0"/>
          <w:numId w:val="101"/>
        </w:numPr>
        <w:tabs>
          <w:tab w:val="left" w:pos="851"/>
        </w:tabs>
        <w:spacing w:after="0" w:line="240" w:lineRule="auto"/>
        <w:ind w:left="0" w:firstLine="709"/>
        <w:jc w:val="both"/>
        <w:rPr>
          <w:rFonts w:ascii="Times New Roman" w:eastAsia="Aptos" w:hAnsi="Times New Roman" w:cs="Times New Roman"/>
          <w:b/>
          <w:bCs/>
          <w:sz w:val="32"/>
          <w:szCs w:val="32"/>
        </w:rPr>
      </w:pPr>
      <w:r w:rsidRPr="007A3539">
        <w:rPr>
          <w:rFonts w:ascii="Times New Roman" w:eastAsia="Aptos" w:hAnsi="Times New Roman" w:cs="Times New Roman"/>
          <w:sz w:val="32"/>
          <w:szCs w:val="32"/>
        </w:rPr>
        <w:t>Методы улучшения:</w:t>
      </w:r>
    </w:p>
    <w:p w14:paraId="193281BD" w14:textId="77777777" w:rsidR="007A3539" w:rsidRPr="007A3539" w:rsidRDefault="007A3539" w:rsidP="00AD58CD">
      <w:pPr>
        <w:numPr>
          <w:ilvl w:val="0"/>
          <w:numId w:val="108"/>
        </w:numPr>
        <w:tabs>
          <w:tab w:val="left" w:pos="851"/>
        </w:tabs>
        <w:spacing w:after="0" w:line="240" w:lineRule="auto"/>
        <w:ind w:left="0" w:firstLine="709"/>
        <w:jc w:val="both"/>
        <w:rPr>
          <w:rFonts w:ascii="Times New Roman" w:eastAsia="Aptos" w:hAnsi="Times New Roman" w:cs="Times New Roman"/>
          <w:bCs/>
          <w:sz w:val="32"/>
          <w:szCs w:val="32"/>
        </w:rPr>
      </w:pPr>
      <w:r w:rsidRPr="007A3539">
        <w:rPr>
          <w:rFonts w:ascii="Times New Roman" w:eastAsia="Aptos" w:hAnsi="Times New Roman" w:cs="Times New Roman"/>
          <w:bCs/>
          <w:sz w:val="32"/>
          <w:szCs w:val="32"/>
          <w:lang w:val="en-US"/>
        </w:rPr>
        <w:t>Lean</w:t>
      </w:r>
      <w:r w:rsidRPr="007A3539">
        <w:rPr>
          <w:rFonts w:ascii="Times New Roman" w:eastAsia="Aptos" w:hAnsi="Times New Roman" w:cs="Times New Roman"/>
          <w:bCs/>
          <w:sz w:val="32"/>
          <w:szCs w:val="32"/>
        </w:rPr>
        <w:t>-подход устраняет потери (Muda, Mura, Muri) с помощью картирования VSM.</w:t>
      </w:r>
    </w:p>
    <w:p w14:paraId="41A7DE6A" w14:textId="77777777" w:rsidR="007A3539" w:rsidRPr="007A3539" w:rsidRDefault="007A3539" w:rsidP="00AD58CD">
      <w:pPr>
        <w:numPr>
          <w:ilvl w:val="0"/>
          <w:numId w:val="108"/>
        </w:numPr>
        <w:tabs>
          <w:tab w:val="left" w:pos="851"/>
        </w:tabs>
        <w:spacing w:after="0" w:line="240" w:lineRule="auto"/>
        <w:ind w:left="0" w:firstLine="709"/>
        <w:jc w:val="both"/>
        <w:rPr>
          <w:rFonts w:ascii="Times New Roman" w:eastAsia="Aptos" w:hAnsi="Times New Roman" w:cs="Times New Roman"/>
          <w:bCs/>
          <w:sz w:val="32"/>
          <w:szCs w:val="32"/>
        </w:rPr>
      </w:pPr>
      <w:r w:rsidRPr="007A3539">
        <w:rPr>
          <w:rFonts w:ascii="Times New Roman" w:eastAsia="Aptos" w:hAnsi="Times New Roman" w:cs="Times New Roman"/>
          <w:bCs/>
          <w:sz w:val="32"/>
          <w:szCs w:val="32"/>
          <w:lang w:val="en-US"/>
        </w:rPr>
        <w:t>Six</w:t>
      </w:r>
      <w:r w:rsidRPr="007A3539">
        <w:rPr>
          <w:rFonts w:ascii="Times New Roman" w:eastAsia="Aptos" w:hAnsi="Times New Roman" w:cs="Times New Roman"/>
          <w:bCs/>
          <w:sz w:val="32"/>
          <w:szCs w:val="32"/>
        </w:rPr>
        <w:t xml:space="preserve"> </w:t>
      </w:r>
      <w:r w:rsidRPr="007A3539">
        <w:rPr>
          <w:rFonts w:ascii="Times New Roman" w:eastAsia="Aptos" w:hAnsi="Times New Roman" w:cs="Times New Roman"/>
          <w:bCs/>
          <w:sz w:val="32"/>
          <w:szCs w:val="32"/>
          <w:lang w:val="en-US"/>
        </w:rPr>
        <w:t>Sigma</w:t>
      </w:r>
      <w:r w:rsidRPr="007A3539">
        <w:rPr>
          <w:rFonts w:ascii="Times New Roman" w:eastAsia="Aptos" w:hAnsi="Times New Roman" w:cs="Times New Roman"/>
          <w:bCs/>
          <w:sz w:val="32"/>
          <w:szCs w:val="32"/>
        </w:rPr>
        <w:t xml:space="preserve"> (</w:t>
      </w:r>
      <w:r w:rsidRPr="007A3539">
        <w:rPr>
          <w:rFonts w:ascii="Times New Roman" w:eastAsia="Aptos" w:hAnsi="Times New Roman" w:cs="Times New Roman"/>
          <w:bCs/>
          <w:sz w:val="32"/>
          <w:szCs w:val="32"/>
          <w:lang w:val="en-US"/>
        </w:rPr>
        <w:t>DMAIC</w:t>
      </w:r>
      <w:r w:rsidRPr="007A3539">
        <w:rPr>
          <w:rFonts w:ascii="Times New Roman" w:eastAsia="Aptos" w:hAnsi="Times New Roman" w:cs="Times New Roman"/>
          <w:bCs/>
          <w:sz w:val="32"/>
          <w:szCs w:val="32"/>
        </w:rPr>
        <w:t>) систематизирует этапы улучшения процессов.</w:t>
      </w:r>
    </w:p>
    <w:p w14:paraId="600C6F88" w14:textId="77777777" w:rsidR="007A3539" w:rsidRPr="007A3539" w:rsidRDefault="007A3539" w:rsidP="00AD58CD">
      <w:pPr>
        <w:numPr>
          <w:ilvl w:val="0"/>
          <w:numId w:val="108"/>
        </w:numPr>
        <w:tabs>
          <w:tab w:val="left" w:pos="851"/>
        </w:tabs>
        <w:spacing w:after="0" w:line="240" w:lineRule="auto"/>
        <w:ind w:left="0" w:firstLine="709"/>
        <w:jc w:val="both"/>
        <w:rPr>
          <w:rFonts w:ascii="Times New Roman" w:eastAsia="Aptos" w:hAnsi="Times New Roman" w:cs="Times New Roman"/>
          <w:bCs/>
          <w:sz w:val="32"/>
          <w:szCs w:val="32"/>
        </w:rPr>
      </w:pPr>
      <w:r w:rsidRPr="007A3539">
        <w:rPr>
          <w:rFonts w:ascii="Times New Roman" w:eastAsia="Aptos" w:hAnsi="Times New Roman" w:cs="Times New Roman"/>
          <w:bCs/>
          <w:sz w:val="32"/>
          <w:szCs w:val="32"/>
          <w:lang w:val="en-US"/>
        </w:rPr>
        <w:t>RPA</w:t>
      </w:r>
      <w:r w:rsidRPr="007A3539">
        <w:rPr>
          <w:rFonts w:ascii="Times New Roman" w:eastAsia="Aptos" w:hAnsi="Times New Roman" w:cs="Times New Roman"/>
          <w:bCs/>
          <w:sz w:val="32"/>
          <w:szCs w:val="32"/>
        </w:rPr>
        <w:t xml:space="preserve"> автоматизирует рутинные задачи, такие как проверка данных клиентов.</w:t>
      </w:r>
    </w:p>
    <w:p w14:paraId="581FAB3E" w14:textId="77777777" w:rsidR="007A3539" w:rsidRPr="007A3539" w:rsidRDefault="007A3539" w:rsidP="00AD58CD">
      <w:pPr>
        <w:numPr>
          <w:ilvl w:val="0"/>
          <w:numId w:val="108"/>
        </w:numPr>
        <w:tabs>
          <w:tab w:val="left" w:pos="851"/>
        </w:tabs>
        <w:spacing w:after="0" w:line="240" w:lineRule="auto"/>
        <w:ind w:left="0" w:firstLine="709"/>
        <w:jc w:val="both"/>
        <w:rPr>
          <w:rFonts w:ascii="Times New Roman" w:eastAsia="Aptos" w:hAnsi="Times New Roman" w:cs="Times New Roman"/>
          <w:bCs/>
          <w:sz w:val="32"/>
          <w:szCs w:val="32"/>
        </w:rPr>
      </w:pPr>
      <w:r w:rsidRPr="007A3539">
        <w:rPr>
          <w:rFonts w:ascii="Times New Roman" w:eastAsia="Aptos" w:hAnsi="Times New Roman" w:cs="Times New Roman"/>
          <w:bCs/>
          <w:sz w:val="32"/>
          <w:szCs w:val="32"/>
          <w:lang w:val="en-US"/>
        </w:rPr>
        <w:t>ERP</w:t>
      </w:r>
      <w:r w:rsidRPr="007A3539">
        <w:rPr>
          <w:rFonts w:ascii="Times New Roman" w:eastAsia="Aptos" w:hAnsi="Times New Roman" w:cs="Times New Roman"/>
          <w:bCs/>
          <w:sz w:val="32"/>
          <w:szCs w:val="32"/>
        </w:rPr>
        <w:t>-системы объединяют процессы для повышения координации.</w:t>
      </w:r>
    </w:p>
    <w:p w14:paraId="51F94682" w14:textId="77777777" w:rsidR="007A3539" w:rsidRPr="007A3539" w:rsidRDefault="007A3539" w:rsidP="007A3539">
      <w:pPr>
        <w:tabs>
          <w:tab w:val="left" w:pos="851"/>
        </w:tabs>
        <w:spacing w:after="0" w:line="240" w:lineRule="auto"/>
        <w:ind w:firstLine="709"/>
        <w:jc w:val="both"/>
        <w:rPr>
          <w:rFonts w:ascii="Times New Roman" w:eastAsia="Aptos" w:hAnsi="Times New Roman" w:cs="Times New Roman"/>
          <w:sz w:val="32"/>
          <w:szCs w:val="32"/>
        </w:rPr>
      </w:pPr>
      <w:r w:rsidRPr="007A3539">
        <w:rPr>
          <w:rFonts w:ascii="Times New Roman" w:eastAsia="Aptos" w:hAnsi="Times New Roman" w:cs="Times New Roman"/>
          <w:sz w:val="32"/>
          <w:szCs w:val="32"/>
        </w:rPr>
        <w:t xml:space="preserve">Итак, можно сделать вывод, что проблем в оптимизации много: от человеческого фактора до устаревших технологий. Но есть и решения – от простых схем (вроде диаграммы Исикавы) до сложных систем </w:t>
      </w:r>
      <w:r w:rsidRPr="007A3539">
        <w:rPr>
          <w:rFonts w:ascii="Times New Roman" w:eastAsia="Aptos" w:hAnsi="Times New Roman" w:cs="Times New Roman"/>
          <w:sz w:val="32"/>
          <w:szCs w:val="32"/>
          <w:lang w:val="en-US"/>
        </w:rPr>
        <w:t>E</w:t>
      </w:r>
      <w:r w:rsidRPr="007A3539">
        <w:rPr>
          <w:rFonts w:ascii="Times New Roman" w:eastAsia="Aptos" w:hAnsi="Times New Roman" w:cs="Times New Roman"/>
          <w:sz w:val="32"/>
          <w:szCs w:val="32"/>
        </w:rPr>
        <w:t xml:space="preserve">RP- систем. Главное – не просто внедрить инструменты, а адаптировать их под конкретную компанию. Тогда процессы станут работать быстрее, при этом сотрудникам будет проще выполнять свои обязанности, а клиенты станут более лояльно относиться к компании. </w:t>
      </w:r>
    </w:p>
    <w:p w14:paraId="6312D306" w14:textId="77777777" w:rsidR="007A3539" w:rsidRPr="007A3539" w:rsidRDefault="007A3539" w:rsidP="007A3539">
      <w:pPr>
        <w:spacing w:after="0" w:line="240" w:lineRule="auto"/>
        <w:jc w:val="both"/>
        <w:rPr>
          <w:rFonts w:ascii="Times New Roman" w:eastAsia="Aptos" w:hAnsi="Times New Roman" w:cs="Times New Roman"/>
          <w:sz w:val="32"/>
          <w:szCs w:val="32"/>
        </w:rPr>
      </w:pPr>
    </w:p>
    <w:p w14:paraId="6436794D" w14:textId="77777777" w:rsidR="007A3539" w:rsidRPr="007A3539" w:rsidRDefault="007A3539" w:rsidP="007A3539">
      <w:pPr>
        <w:spacing w:after="0" w:line="240" w:lineRule="auto"/>
        <w:ind w:left="340" w:hanging="340"/>
        <w:jc w:val="center"/>
        <w:rPr>
          <w:rFonts w:ascii="Times New Roman" w:eastAsia="Aptos" w:hAnsi="Times New Roman" w:cs="Times New Roman"/>
          <w:b/>
          <w:bCs/>
          <w:sz w:val="21"/>
          <w:szCs w:val="21"/>
        </w:rPr>
      </w:pPr>
      <w:r w:rsidRPr="007A3539">
        <w:rPr>
          <w:rFonts w:ascii="Times New Roman" w:eastAsia="Aptos" w:hAnsi="Times New Roman" w:cs="Times New Roman"/>
          <w:b/>
          <w:bCs/>
          <w:sz w:val="21"/>
          <w:szCs w:val="21"/>
        </w:rPr>
        <w:t>Литература:</w:t>
      </w:r>
    </w:p>
    <w:p w14:paraId="18D85CEF" w14:textId="77777777" w:rsidR="007A3539" w:rsidRPr="007A3539" w:rsidRDefault="007A3539" w:rsidP="00AD58CD">
      <w:pPr>
        <w:numPr>
          <w:ilvl w:val="0"/>
          <w:numId w:val="109"/>
        </w:numPr>
        <w:spacing w:after="0" w:line="240" w:lineRule="auto"/>
        <w:ind w:left="340" w:hanging="340"/>
        <w:contextualSpacing/>
        <w:jc w:val="both"/>
        <w:rPr>
          <w:rFonts w:ascii="Times New Roman" w:eastAsia="Aptos" w:hAnsi="Times New Roman" w:cs="Times New Roman"/>
          <w:sz w:val="21"/>
          <w:szCs w:val="21"/>
        </w:rPr>
      </w:pPr>
      <w:r w:rsidRPr="007A3539">
        <w:rPr>
          <w:rFonts w:ascii="Times New Roman" w:eastAsia="Aptos" w:hAnsi="Times New Roman" w:cs="Times New Roman"/>
          <w:sz w:val="21"/>
          <w:szCs w:val="21"/>
        </w:rPr>
        <w:t>Репин В.В. Бизнес-процессы: моделирование, внедрение, управление. – М.: Манн, Иванов и Фербер, 2021. – 320 с.</w:t>
      </w:r>
    </w:p>
    <w:p w14:paraId="3F720E1F" w14:textId="77777777" w:rsidR="007A3539" w:rsidRPr="007A3539" w:rsidRDefault="007A3539" w:rsidP="00AD58CD">
      <w:pPr>
        <w:numPr>
          <w:ilvl w:val="0"/>
          <w:numId w:val="109"/>
        </w:numPr>
        <w:spacing w:after="0" w:line="240" w:lineRule="auto"/>
        <w:ind w:left="340" w:hanging="340"/>
        <w:contextualSpacing/>
        <w:jc w:val="both"/>
        <w:rPr>
          <w:rFonts w:ascii="Times New Roman" w:eastAsia="Aptos" w:hAnsi="Times New Roman" w:cs="Times New Roman"/>
          <w:sz w:val="21"/>
          <w:szCs w:val="21"/>
        </w:rPr>
      </w:pPr>
      <w:r w:rsidRPr="007A3539">
        <w:rPr>
          <w:rFonts w:ascii="Times New Roman" w:eastAsia="Aptos" w:hAnsi="Times New Roman" w:cs="Times New Roman"/>
          <w:sz w:val="21"/>
          <w:szCs w:val="21"/>
        </w:rPr>
        <w:t>Дубейковский В.И. Системный анализ в управлении. – М.: Инфра-М, 2020. – 256 с.</w:t>
      </w:r>
    </w:p>
    <w:p w14:paraId="1594982D" w14:textId="77777777" w:rsidR="007A3539" w:rsidRPr="007A3539" w:rsidRDefault="007A3539" w:rsidP="00AD58CD">
      <w:pPr>
        <w:numPr>
          <w:ilvl w:val="0"/>
          <w:numId w:val="109"/>
        </w:numPr>
        <w:spacing w:after="0" w:line="240" w:lineRule="auto"/>
        <w:ind w:left="340" w:hanging="340"/>
        <w:contextualSpacing/>
        <w:jc w:val="both"/>
        <w:rPr>
          <w:rFonts w:ascii="Times New Roman" w:eastAsia="Aptos" w:hAnsi="Times New Roman" w:cs="Times New Roman"/>
          <w:sz w:val="21"/>
          <w:szCs w:val="21"/>
        </w:rPr>
      </w:pPr>
      <w:r w:rsidRPr="007A3539">
        <w:rPr>
          <w:rFonts w:ascii="Times New Roman" w:eastAsia="Aptos" w:hAnsi="Times New Roman" w:cs="Times New Roman"/>
          <w:sz w:val="21"/>
          <w:szCs w:val="21"/>
        </w:rPr>
        <w:t>Шеер А.-В. Моделирование бизнес-процессов. – М.: Весть-МетаТехнология, 2019. – 184 с.</w:t>
      </w:r>
    </w:p>
    <w:p w14:paraId="5680E6FC" w14:textId="18D9B4FB" w:rsidR="001C5E45" w:rsidRPr="009A0A5C" w:rsidRDefault="007A3539" w:rsidP="00AD58CD">
      <w:pPr>
        <w:numPr>
          <w:ilvl w:val="0"/>
          <w:numId w:val="109"/>
        </w:numPr>
        <w:spacing w:after="0" w:line="240" w:lineRule="auto"/>
        <w:ind w:left="340" w:hanging="340"/>
        <w:contextualSpacing/>
        <w:jc w:val="both"/>
        <w:rPr>
          <w:rFonts w:ascii="Times New Roman" w:eastAsia="Aptos" w:hAnsi="Times New Roman" w:cs="Times New Roman"/>
          <w:sz w:val="21"/>
          <w:szCs w:val="21"/>
        </w:rPr>
      </w:pPr>
      <w:r w:rsidRPr="007A3539">
        <w:rPr>
          <w:rFonts w:ascii="Times New Roman" w:eastAsia="Aptos" w:hAnsi="Times New Roman" w:cs="Times New Roman"/>
          <w:sz w:val="21"/>
          <w:szCs w:val="21"/>
        </w:rPr>
        <w:t xml:space="preserve">Исследование операций: системный анализ и </w:t>
      </w:r>
      <w:proofErr w:type="gramStart"/>
      <w:r w:rsidRPr="007A3539">
        <w:rPr>
          <w:rFonts w:ascii="Times New Roman" w:eastAsia="Aptos" w:hAnsi="Times New Roman" w:cs="Times New Roman"/>
          <w:sz w:val="21"/>
          <w:szCs w:val="21"/>
        </w:rPr>
        <w:t>моделирование :</w:t>
      </w:r>
      <w:proofErr w:type="gramEnd"/>
      <w:r w:rsidRPr="007A3539">
        <w:rPr>
          <w:rFonts w:ascii="Times New Roman" w:eastAsia="Aptos" w:hAnsi="Times New Roman" w:cs="Times New Roman"/>
          <w:sz w:val="21"/>
          <w:szCs w:val="21"/>
        </w:rPr>
        <w:t xml:space="preserve"> Учебное пособие / С. М. Силинская, Н. Ю. Нарыжная, Н. Г. Пьянкова, Э. В. Кузьмина. – </w:t>
      </w:r>
      <w:proofErr w:type="gramStart"/>
      <w:r w:rsidRPr="007A3539">
        <w:rPr>
          <w:rFonts w:ascii="Times New Roman" w:eastAsia="Aptos" w:hAnsi="Times New Roman" w:cs="Times New Roman"/>
          <w:sz w:val="21"/>
          <w:szCs w:val="21"/>
        </w:rPr>
        <w:t>Краснодар :</w:t>
      </w:r>
      <w:proofErr w:type="gramEnd"/>
      <w:r w:rsidRPr="007A3539">
        <w:rPr>
          <w:rFonts w:ascii="Times New Roman" w:eastAsia="Aptos" w:hAnsi="Times New Roman" w:cs="Times New Roman"/>
          <w:sz w:val="21"/>
          <w:szCs w:val="21"/>
        </w:rPr>
        <w:t xml:space="preserve"> ФГБУ "Российское энергетическое агентство" Минэнерго России Краснодарский ЦНТИ- филиал ФГБУ "РЭА" Минэнерго России, 2020. – 128 с.</w:t>
      </w:r>
    </w:p>
    <w:p w14:paraId="30D0D909" w14:textId="1311D454" w:rsidR="008D61D9" w:rsidRPr="008D61D9" w:rsidRDefault="008D61D9" w:rsidP="009A0A5C">
      <w:pPr>
        <w:suppressAutoHyphens/>
        <w:rPr>
          <w:rFonts w:ascii="Calibri" w:eastAsia="Calibri" w:hAnsi="Calibri" w:cs="Calibri"/>
        </w:rPr>
      </w:pPr>
      <w:bookmarkStart w:id="93" w:name="_Hlk198160504"/>
    </w:p>
    <w:p w14:paraId="572300C4" w14:textId="77777777" w:rsidR="008D61D9" w:rsidRPr="008D61D9" w:rsidRDefault="008D61D9" w:rsidP="00CF7FC7">
      <w:pPr>
        <w:suppressAutoHyphens/>
        <w:spacing w:after="0" w:line="240" w:lineRule="auto"/>
        <w:jc w:val="right"/>
        <w:rPr>
          <w:rFonts w:ascii="Calibri" w:eastAsia="Calibri" w:hAnsi="Calibri" w:cs="Calibri"/>
          <w:i/>
          <w:iCs/>
        </w:rPr>
      </w:pPr>
      <w:r w:rsidRPr="008D61D9">
        <w:rPr>
          <w:rFonts w:ascii="Times New Roman" w:eastAsia="Times New Roman" w:hAnsi="Times New Roman" w:cs="Times New Roman"/>
          <w:b/>
          <w:bCs/>
          <w:i/>
          <w:iCs/>
          <w:sz w:val="21"/>
          <w:szCs w:val="21"/>
        </w:rPr>
        <w:t xml:space="preserve">Изотова О.Н.,  </w:t>
      </w:r>
    </w:p>
    <w:p w14:paraId="74E13884" w14:textId="77777777" w:rsidR="008D61D9" w:rsidRPr="008D61D9" w:rsidRDefault="008D61D9" w:rsidP="00CF7FC7">
      <w:pPr>
        <w:suppressAutoHyphens/>
        <w:spacing w:after="0" w:line="240" w:lineRule="auto"/>
        <w:jc w:val="right"/>
        <w:rPr>
          <w:rFonts w:ascii="Calibri" w:eastAsia="Calibri" w:hAnsi="Calibri" w:cs="Calibri"/>
          <w:i/>
          <w:iCs/>
        </w:rPr>
      </w:pPr>
      <w:r w:rsidRPr="008D61D9">
        <w:rPr>
          <w:rFonts w:ascii="Times New Roman" w:eastAsia="Times New Roman" w:hAnsi="Times New Roman" w:cs="Times New Roman"/>
          <w:i/>
          <w:iCs/>
          <w:sz w:val="21"/>
          <w:szCs w:val="21"/>
        </w:rPr>
        <w:t xml:space="preserve">студент 2 курса </w:t>
      </w:r>
    </w:p>
    <w:p w14:paraId="3607D9E1" w14:textId="77777777" w:rsidR="00AF6D47" w:rsidRDefault="00AF6D47" w:rsidP="00CF7FC7">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ФГОБУ ВО «Финансовый университет при Правительстве Российской Федерации» Краснодарский филиал</w:t>
      </w:r>
    </w:p>
    <w:p w14:paraId="240F905A" w14:textId="2088AAA9" w:rsidR="008D61D9" w:rsidRPr="008D61D9" w:rsidRDefault="008D61D9" w:rsidP="00CF7FC7">
      <w:pPr>
        <w:suppressAutoHyphens/>
        <w:spacing w:after="0" w:line="240" w:lineRule="auto"/>
        <w:jc w:val="right"/>
        <w:rPr>
          <w:rFonts w:ascii="Calibri" w:eastAsia="Calibri" w:hAnsi="Calibri" w:cs="Calibri"/>
          <w:i/>
          <w:iCs/>
        </w:rPr>
      </w:pPr>
      <w:r w:rsidRPr="008D61D9">
        <w:rPr>
          <w:rFonts w:ascii="Times New Roman" w:eastAsia="Times New Roman" w:hAnsi="Times New Roman" w:cs="Times New Roman"/>
          <w:i/>
          <w:iCs/>
          <w:sz w:val="21"/>
          <w:szCs w:val="21"/>
        </w:rPr>
        <w:t xml:space="preserve"> г. Краснодар, Россия </w:t>
      </w:r>
    </w:p>
    <w:p w14:paraId="04219F58" w14:textId="77777777"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i/>
          <w:iCs/>
          <w:sz w:val="21"/>
          <w:szCs w:val="21"/>
        </w:rPr>
        <w:t xml:space="preserve">e-mail: </w:t>
      </w:r>
      <w:hyperlink r:id="rId510">
        <w:r w:rsidRPr="008D61D9">
          <w:rPr>
            <w:rFonts w:ascii="Times New Roman" w:eastAsia="Times New Roman" w:hAnsi="Times New Roman" w:cs="Times New Roman"/>
            <w:i/>
            <w:iCs/>
            <w:color w:val="0000FF"/>
            <w:sz w:val="21"/>
            <w:szCs w:val="21"/>
            <w:u w:val="single"/>
          </w:rPr>
          <w:t>i</w:t>
        </w:r>
        <w:hyperlink>
          <w:r w:rsidRPr="008D61D9">
            <w:rPr>
              <w:rFonts w:ascii="Times New Roman" w:eastAsia="Times New Roman" w:hAnsi="Times New Roman" w:cs="Times New Roman"/>
              <w:i/>
              <w:iCs/>
              <w:color w:val="0000FF"/>
              <w:sz w:val="21"/>
              <w:szCs w:val="21"/>
              <w:u w:val="single"/>
            </w:rPr>
            <w:t>zotova312@mail.ru</w:t>
          </w:r>
        </w:hyperlink>
      </w:hyperlink>
    </w:p>
    <w:p w14:paraId="18EAB3DC" w14:textId="77777777" w:rsidR="008D61D9" w:rsidRPr="008D61D9" w:rsidRDefault="008D61D9" w:rsidP="00CF7FC7">
      <w:pPr>
        <w:suppressAutoHyphens/>
        <w:spacing w:after="0" w:line="240" w:lineRule="auto"/>
        <w:jc w:val="right"/>
        <w:rPr>
          <w:rFonts w:ascii="Times New Roman" w:eastAsia="Times New Roman" w:hAnsi="Times New Roman" w:cs="Times New Roman"/>
          <w:sz w:val="21"/>
          <w:szCs w:val="21"/>
        </w:rPr>
      </w:pPr>
    </w:p>
    <w:p w14:paraId="7F02BDEF" w14:textId="77777777"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b/>
          <w:bCs/>
          <w:i/>
          <w:iCs/>
          <w:sz w:val="21"/>
          <w:szCs w:val="21"/>
        </w:rPr>
        <w:t xml:space="preserve">Научный руководитель: </w:t>
      </w:r>
    </w:p>
    <w:p w14:paraId="273D70D0" w14:textId="686F1EB4"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b/>
          <w:bCs/>
          <w:i/>
          <w:iCs/>
          <w:sz w:val="21"/>
          <w:szCs w:val="21"/>
        </w:rPr>
        <w:lastRenderedPageBreak/>
        <w:t>Калайдин Е.Н.</w:t>
      </w:r>
      <w:r w:rsidR="00813E38">
        <w:rPr>
          <w:rFonts w:ascii="Times New Roman" w:eastAsia="Times New Roman" w:hAnsi="Times New Roman" w:cs="Times New Roman"/>
          <w:b/>
          <w:bCs/>
          <w:i/>
          <w:iCs/>
          <w:sz w:val="21"/>
          <w:szCs w:val="21"/>
        </w:rPr>
        <w:t>,</w:t>
      </w:r>
    </w:p>
    <w:p w14:paraId="7B1DA01E" w14:textId="77777777"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i/>
          <w:iCs/>
          <w:sz w:val="21"/>
          <w:szCs w:val="21"/>
        </w:rPr>
        <w:t xml:space="preserve"> доктор, ф.м.н</w:t>
      </w:r>
    </w:p>
    <w:p w14:paraId="2367CAC1" w14:textId="77777777" w:rsidR="00AF6D47" w:rsidRDefault="008D61D9" w:rsidP="00CF7FC7">
      <w:pPr>
        <w:suppressAutoHyphens/>
        <w:spacing w:after="0" w:line="240" w:lineRule="auto"/>
        <w:jc w:val="right"/>
        <w:rPr>
          <w:rFonts w:ascii="Times New Roman" w:eastAsia="Times New Roman" w:hAnsi="Times New Roman" w:cs="Times New Roman"/>
          <w:i/>
          <w:iCs/>
          <w:sz w:val="20"/>
          <w:szCs w:val="20"/>
        </w:rPr>
      </w:pPr>
      <w:r w:rsidRPr="008D61D9">
        <w:rPr>
          <w:rFonts w:ascii="Times New Roman" w:eastAsia="Times New Roman" w:hAnsi="Times New Roman" w:cs="Times New Roman"/>
          <w:i/>
          <w:iCs/>
          <w:sz w:val="21"/>
          <w:szCs w:val="21"/>
        </w:rPr>
        <w:t xml:space="preserve"> </w:t>
      </w:r>
      <w:r w:rsidR="00AF6D47">
        <w:rPr>
          <w:rFonts w:ascii="Times New Roman" w:eastAsia="Times New Roman" w:hAnsi="Times New Roman" w:cs="Times New Roman"/>
          <w:i/>
          <w:iCs/>
          <w:sz w:val="20"/>
          <w:szCs w:val="20"/>
        </w:rPr>
        <w:t>ФГОБУ ВО «Финансовый университет при Правительстве Российской Федерации» Краснодарский филиал</w:t>
      </w:r>
    </w:p>
    <w:p w14:paraId="73D08CF2" w14:textId="7C7EB161"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i/>
          <w:iCs/>
          <w:sz w:val="21"/>
          <w:szCs w:val="21"/>
        </w:rPr>
        <w:t xml:space="preserve"> г. Краснодар, Россия</w:t>
      </w:r>
    </w:p>
    <w:p w14:paraId="22BC04C5" w14:textId="77777777" w:rsidR="008D61D9" w:rsidRPr="008D61D9" w:rsidRDefault="008D61D9" w:rsidP="00CF7FC7">
      <w:pPr>
        <w:suppressAutoHyphens/>
        <w:spacing w:after="0" w:line="240" w:lineRule="auto"/>
        <w:jc w:val="right"/>
        <w:rPr>
          <w:rFonts w:ascii="Calibri" w:eastAsia="Calibri" w:hAnsi="Calibri" w:cs="Calibri"/>
        </w:rPr>
      </w:pPr>
      <w:r w:rsidRPr="008D61D9">
        <w:rPr>
          <w:rFonts w:ascii="Times New Roman" w:eastAsia="Times New Roman" w:hAnsi="Times New Roman" w:cs="Times New Roman"/>
          <w:i/>
          <w:iCs/>
          <w:sz w:val="21"/>
          <w:szCs w:val="21"/>
        </w:rPr>
        <w:t xml:space="preserve"> е-mail: </w:t>
      </w:r>
      <w:hyperlink>
        <w:r w:rsidRPr="008D61D9">
          <w:rPr>
            <w:rFonts w:ascii="Times New Roman" w:eastAsia="Times New Roman" w:hAnsi="Times New Roman" w:cs="Times New Roman"/>
            <w:i/>
            <w:iCs/>
            <w:color w:val="0000FF"/>
            <w:sz w:val="21"/>
            <w:szCs w:val="21"/>
            <w:u w:val="single"/>
          </w:rPr>
          <w:t>enkalaydin@fa.ru</w:t>
        </w:r>
      </w:hyperlink>
    </w:p>
    <w:p w14:paraId="220FBFED" w14:textId="77777777" w:rsidR="008D61D9" w:rsidRPr="008D61D9" w:rsidRDefault="008D61D9" w:rsidP="008D61D9">
      <w:pPr>
        <w:suppressAutoHyphens/>
        <w:spacing w:after="0"/>
        <w:jc w:val="right"/>
        <w:rPr>
          <w:rFonts w:ascii="Times New Roman" w:eastAsia="Times New Roman" w:hAnsi="Times New Roman" w:cs="Times New Roman"/>
          <w:i/>
          <w:iCs/>
        </w:rPr>
      </w:pPr>
    </w:p>
    <w:p w14:paraId="5142B014" w14:textId="28A84228" w:rsidR="008D61D9" w:rsidRPr="008D61D9" w:rsidRDefault="00A748E5" w:rsidP="008D61D9">
      <w:pPr>
        <w:shd w:val="clear" w:color="auto" w:fill="FCFCFC"/>
        <w:suppressAutoHyphens/>
        <w:spacing w:after="0" w:line="240" w:lineRule="auto"/>
        <w:jc w:val="center"/>
        <w:rPr>
          <w:rFonts w:ascii="Times New Roman" w:eastAsia="Times New Roman" w:hAnsi="Times New Roman" w:cs="Times New Roman"/>
          <w:b/>
          <w:bCs/>
          <w:sz w:val="21"/>
          <w:szCs w:val="21"/>
          <w:lang w:eastAsia="ru-RU"/>
        </w:rPr>
      </w:pPr>
      <w:r>
        <w:rPr>
          <w:rFonts w:ascii="Times New Roman" w:eastAsia="Arial Unicode MS" w:hAnsi="Times New Roman" w:cs="Times New Roman"/>
          <w:b/>
          <w:bCs/>
          <w:sz w:val="21"/>
          <w:szCs w:val="21"/>
          <w:lang w:eastAsia="ru-RU"/>
        </w:rPr>
        <w:t>А</w:t>
      </w:r>
      <w:r w:rsidRPr="008D61D9">
        <w:rPr>
          <w:rFonts w:ascii="Times New Roman" w:eastAsia="Arial Unicode MS" w:hAnsi="Times New Roman" w:cs="Times New Roman"/>
          <w:b/>
          <w:bCs/>
          <w:sz w:val="21"/>
          <w:szCs w:val="21"/>
          <w:lang w:eastAsia="ru-RU"/>
        </w:rPr>
        <w:t>лгоритм преодоления прокрастинации в современной образовательной системе</w:t>
      </w:r>
    </w:p>
    <w:p w14:paraId="0669C5F6" w14:textId="77777777" w:rsidR="008D61D9" w:rsidRPr="008D61D9" w:rsidRDefault="008D61D9" w:rsidP="008D61D9">
      <w:pPr>
        <w:shd w:val="clear" w:color="auto" w:fill="FCFCFC"/>
        <w:suppressAutoHyphens/>
        <w:spacing w:after="0" w:line="240" w:lineRule="auto"/>
        <w:ind w:firstLine="709"/>
        <w:jc w:val="both"/>
        <w:rPr>
          <w:rFonts w:ascii="Times New Roman" w:eastAsia="Arial Unicode MS" w:hAnsi="Times New Roman" w:cs="Times New Roman"/>
          <w:sz w:val="21"/>
          <w:szCs w:val="21"/>
          <w:lang w:eastAsia="ru-RU"/>
        </w:rPr>
      </w:pPr>
    </w:p>
    <w:p w14:paraId="22DC27EA"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sz w:val="21"/>
          <w:szCs w:val="21"/>
          <w:lang w:eastAsia="ru-RU"/>
        </w:rPr>
      </w:pPr>
      <w:r w:rsidRPr="008D61D9">
        <w:rPr>
          <w:rFonts w:ascii="Times New Roman" w:eastAsia="Arial Unicode MS" w:hAnsi="Times New Roman" w:cs="Times New Roman"/>
          <w:b/>
          <w:bCs/>
          <w:sz w:val="21"/>
          <w:szCs w:val="21"/>
          <w:lang w:eastAsia="ru-RU"/>
        </w:rPr>
        <w:t>Аннотация:</w:t>
      </w:r>
      <w:r w:rsidRPr="008D61D9">
        <w:rPr>
          <w:rFonts w:ascii="Times New Roman" w:eastAsia="Arial Unicode MS" w:hAnsi="Times New Roman" w:cs="Times New Roman"/>
          <w:sz w:val="21"/>
          <w:szCs w:val="21"/>
          <w:lang w:eastAsia="ru-RU"/>
        </w:rPr>
        <w:t xml:space="preserve"> Прокрастинация представляет собой серьезную проблему современного образовательного процесса, характеризующуюся склонностью к постоянному откладыванию учебных задач на потом. Это явление затрагивает все возрастные категории обучающихся, но особенно распространено среди студентов.</w:t>
      </w:r>
    </w:p>
    <w:p w14:paraId="72F402AA"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sz w:val="21"/>
          <w:szCs w:val="21"/>
          <w:lang w:eastAsia="ru-RU"/>
        </w:rPr>
      </w:pPr>
      <w:r w:rsidRPr="008D61D9">
        <w:rPr>
          <w:rFonts w:ascii="Times New Roman" w:eastAsia="Arial Unicode MS" w:hAnsi="Times New Roman" w:cs="Times New Roman"/>
          <w:b/>
          <w:bCs/>
          <w:sz w:val="21"/>
          <w:szCs w:val="21"/>
          <w:lang w:eastAsia="ru-RU"/>
        </w:rPr>
        <w:t>Ключевые слова:</w:t>
      </w:r>
      <w:r w:rsidRPr="008D61D9">
        <w:rPr>
          <w:rFonts w:ascii="Times New Roman" w:eastAsia="Arial Unicode MS" w:hAnsi="Times New Roman" w:cs="Times New Roman"/>
          <w:sz w:val="21"/>
          <w:szCs w:val="21"/>
          <w:lang w:eastAsia="ru-RU"/>
        </w:rPr>
        <w:t xml:space="preserve"> прокрастинация, образовательный процесс, самоорганизация, тайм-менеджмент, мотивация, учебные стратегии.</w:t>
      </w:r>
    </w:p>
    <w:p w14:paraId="1617189D"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b/>
          <w:bCs/>
          <w:i/>
          <w:iCs/>
          <w:sz w:val="21"/>
          <w:szCs w:val="21"/>
          <w:lang w:val="en-US" w:eastAsia="ru-RU"/>
        </w:rPr>
      </w:pPr>
      <w:r w:rsidRPr="008D61D9">
        <w:rPr>
          <w:rFonts w:ascii="Times New Roman" w:eastAsia="Arial Unicode MS" w:hAnsi="Times New Roman" w:cs="Times New Roman"/>
          <w:b/>
          <w:bCs/>
          <w:i/>
          <w:iCs/>
          <w:sz w:val="21"/>
          <w:szCs w:val="21"/>
          <w:lang w:val="en-US" w:eastAsia="ru-RU"/>
        </w:rPr>
        <w:t>Izotova O.N.,</w:t>
      </w:r>
    </w:p>
    <w:p w14:paraId="0F180565"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 xml:space="preserve">student, 2 courses </w:t>
      </w:r>
    </w:p>
    <w:p w14:paraId="2793BCAC"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Financial University under the Government of the Russian Federation (Krasnodar branch)</w:t>
      </w:r>
    </w:p>
    <w:p w14:paraId="69B9E92D"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 xml:space="preserve">Krasnodar, Russia </w:t>
      </w:r>
    </w:p>
    <w:p w14:paraId="1C334342"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sz w:val="24"/>
          <w:szCs w:val="24"/>
          <w:lang w:val="en-US" w:eastAsia="ru-RU"/>
        </w:rPr>
      </w:pPr>
      <w:r w:rsidRPr="008D61D9">
        <w:rPr>
          <w:rFonts w:ascii="Times New Roman" w:eastAsia="Arial Unicode MS" w:hAnsi="Times New Roman" w:cs="Times New Roman"/>
          <w:i/>
          <w:iCs/>
          <w:sz w:val="21"/>
          <w:szCs w:val="21"/>
          <w:lang w:val="en-US" w:eastAsia="ru-RU"/>
        </w:rPr>
        <w:t xml:space="preserve">e-mail: </w:t>
      </w:r>
      <w:hyperlink>
        <w:r w:rsidRPr="008D61D9">
          <w:rPr>
            <w:rFonts w:ascii="Times New Roman" w:eastAsia="Arial Unicode MS" w:hAnsi="Times New Roman" w:cs="Times New Roman"/>
            <w:i/>
            <w:iCs/>
            <w:color w:val="0000FF"/>
            <w:sz w:val="21"/>
            <w:szCs w:val="21"/>
            <w:u w:val="single"/>
            <w:lang w:val="en-US" w:eastAsia="ru-RU"/>
          </w:rPr>
          <w:t>izotova312@mail.ru</w:t>
        </w:r>
      </w:hyperlink>
    </w:p>
    <w:p w14:paraId="75A801A2" w14:textId="77777777" w:rsidR="008D61D9" w:rsidRPr="008D61D9" w:rsidRDefault="008D61D9" w:rsidP="00CF7FC7">
      <w:pPr>
        <w:shd w:val="clear" w:color="auto" w:fill="FCFCFC"/>
        <w:suppressAutoHyphens/>
        <w:spacing w:after="0" w:line="240" w:lineRule="auto"/>
        <w:ind w:firstLine="709"/>
        <w:jc w:val="right"/>
        <w:rPr>
          <w:rFonts w:ascii="Times New Roman" w:eastAsia="Arial Unicode MS" w:hAnsi="Times New Roman" w:cs="Times New Roman"/>
          <w:sz w:val="24"/>
          <w:szCs w:val="24"/>
          <w:lang w:val="en-US" w:eastAsia="ru-RU"/>
        </w:rPr>
      </w:pPr>
    </w:p>
    <w:p w14:paraId="495388B4"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b/>
          <w:bCs/>
          <w:i/>
          <w:iCs/>
          <w:sz w:val="21"/>
          <w:szCs w:val="21"/>
          <w:lang w:val="en-US" w:eastAsia="ru-RU"/>
        </w:rPr>
      </w:pPr>
      <w:r w:rsidRPr="008D61D9">
        <w:rPr>
          <w:rFonts w:ascii="Times New Roman" w:eastAsia="Arial Unicode MS" w:hAnsi="Times New Roman" w:cs="Times New Roman"/>
          <w:b/>
          <w:bCs/>
          <w:i/>
          <w:iCs/>
          <w:sz w:val="21"/>
          <w:szCs w:val="21"/>
          <w:lang w:val="en-US" w:eastAsia="ru-RU"/>
        </w:rPr>
        <w:t xml:space="preserve">Scientific Adviser: </w:t>
      </w:r>
    </w:p>
    <w:p w14:paraId="24B04E1D"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b/>
          <w:bCs/>
          <w:i/>
          <w:iCs/>
          <w:sz w:val="21"/>
          <w:szCs w:val="21"/>
          <w:lang w:val="en-US" w:eastAsia="ru-RU"/>
        </w:rPr>
      </w:pPr>
      <w:r w:rsidRPr="008D61D9">
        <w:rPr>
          <w:rFonts w:ascii="Times New Roman" w:eastAsia="Arial Unicode MS" w:hAnsi="Times New Roman" w:cs="Times New Roman"/>
          <w:b/>
          <w:bCs/>
          <w:i/>
          <w:iCs/>
          <w:sz w:val="21"/>
          <w:szCs w:val="21"/>
          <w:lang w:val="en-US" w:eastAsia="ru-RU"/>
        </w:rPr>
        <w:t>Kalaydin E.N.,</w:t>
      </w:r>
    </w:p>
    <w:p w14:paraId="1AB17785"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Doctor of Physico-Mathematical Sciences</w:t>
      </w:r>
    </w:p>
    <w:p w14:paraId="2542D9A6"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Financial University under the Government of the Russian Federation (Krasnodar branch)</w:t>
      </w:r>
    </w:p>
    <w:p w14:paraId="10A46EDA"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 xml:space="preserve">Krasnodar, Russia </w:t>
      </w:r>
    </w:p>
    <w:p w14:paraId="0F3D67DB" w14:textId="77777777" w:rsidR="008D61D9" w:rsidRPr="008D61D9" w:rsidRDefault="008D61D9" w:rsidP="00CF7FC7">
      <w:pPr>
        <w:shd w:val="clear" w:color="auto" w:fill="FCFCFC"/>
        <w:suppressAutoHyphens/>
        <w:spacing w:after="0" w:line="240" w:lineRule="auto"/>
        <w:ind w:firstLine="709"/>
        <w:jc w:val="right"/>
        <w:rPr>
          <w:rFonts w:ascii="Times New Roman" w:eastAsia="Times New Roman" w:hAnsi="Times New Roman" w:cs="Times New Roman"/>
          <w:i/>
          <w:iCs/>
          <w:sz w:val="21"/>
          <w:szCs w:val="21"/>
          <w:lang w:val="en-US" w:eastAsia="ru-RU"/>
        </w:rPr>
      </w:pPr>
      <w:r w:rsidRPr="008D61D9">
        <w:rPr>
          <w:rFonts w:ascii="Times New Roman" w:eastAsia="Arial Unicode MS" w:hAnsi="Times New Roman" w:cs="Times New Roman"/>
          <w:i/>
          <w:iCs/>
          <w:sz w:val="21"/>
          <w:szCs w:val="21"/>
          <w:lang w:val="en-US" w:eastAsia="ru-RU"/>
        </w:rPr>
        <w:t xml:space="preserve"> e-mail: </w:t>
      </w:r>
      <w:hyperlink r:id="rId511">
        <w:r w:rsidRPr="008D61D9">
          <w:rPr>
            <w:rFonts w:ascii="Times New Roman" w:eastAsia="Arial Unicode MS" w:hAnsi="Times New Roman" w:cs="Times New Roman"/>
            <w:i/>
            <w:iCs/>
            <w:color w:val="0000FF"/>
            <w:sz w:val="21"/>
            <w:szCs w:val="21"/>
            <w:u w:val="single"/>
            <w:lang w:val="en-US" w:eastAsia="ru-RU"/>
          </w:rPr>
          <w:t>enkalaydin@fa.ru</w:t>
        </w:r>
      </w:hyperlink>
    </w:p>
    <w:p w14:paraId="41C5FB0D" w14:textId="77777777" w:rsidR="008D61D9" w:rsidRPr="008D61D9" w:rsidRDefault="008D61D9" w:rsidP="008D61D9">
      <w:pPr>
        <w:shd w:val="clear" w:color="auto" w:fill="FCFCFC"/>
        <w:suppressAutoHyphens/>
        <w:spacing w:after="0" w:line="240" w:lineRule="auto"/>
        <w:ind w:firstLine="709"/>
        <w:jc w:val="both"/>
        <w:rPr>
          <w:rFonts w:ascii="Times New Roman" w:eastAsia="Arial Unicode MS" w:hAnsi="Times New Roman" w:cs="Times New Roman"/>
          <w:sz w:val="21"/>
          <w:szCs w:val="21"/>
          <w:lang w:val="en-US" w:eastAsia="ru-RU"/>
        </w:rPr>
      </w:pPr>
    </w:p>
    <w:p w14:paraId="633CE7EE" w14:textId="28A10271" w:rsidR="008D61D9" w:rsidRPr="008D61D9" w:rsidRDefault="00A748E5" w:rsidP="008D61D9">
      <w:pPr>
        <w:shd w:val="clear" w:color="auto" w:fill="FCFCFC"/>
        <w:suppressAutoHyphens/>
        <w:spacing w:after="0" w:line="240" w:lineRule="auto"/>
        <w:jc w:val="center"/>
        <w:rPr>
          <w:rFonts w:ascii="Times New Roman" w:eastAsia="Times New Roman" w:hAnsi="Times New Roman" w:cs="Times New Roman"/>
          <w:sz w:val="21"/>
          <w:szCs w:val="21"/>
          <w:lang w:val="en-US" w:eastAsia="ru-RU"/>
        </w:rPr>
      </w:pPr>
      <w:r>
        <w:rPr>
          <w:rFonts w:ascii="Times New Roman" w:eastAsia="Times New Roman" w:hAnsi="Times New Roman" w:cs="Times New Roman"/>
          <w:b/>
          <w:bCs/>
          <w:color w:val="000000"/>
          <w:sz w:val="21"/>
          <w:szCs w:val="21"/>
          <w:lang w:val="en-US" w:eastAsia="ru-RU"/>
        </w:rPr>
        <w:t>A</w:t>
      </w:r>
      <w:r w:rsidRPr="008D61D9">
        <w:rPr>
          <w:rFonts w:ascii="Times New Roman" w:eastAsia="Times New Roman" w:hAnsi="Times New Roman" w:cs="Times New Roman"/>
          <w:b/>
          <w:bCs/>
          <w:color w:val="000000"/>
          <w:sz w:val="21"/>
          <w:szCs w:val="21"/>
          <w:lang w:val="en-US" w:eastAsia="ru-RU"/>
        </w:rPr>
        <w:t>n algorithm for overcoming procrastination in the modern educational system</w:t>
      </w:r>
    </w:p>
    <w:p w14:paraId="329A76DE"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color w:val="000000"/>
          <w:sz w:val="21"/>
          <w:szCs w:val="21"/>
          <w:lang w:val="en-US" w:eastAsia="ru-RU"/>
        </w:rPr>
      </w:pPr>
    </w:p>
    <w:p w14:paraId="6ACF0195"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sz w:val="21"/>
          <w:szCs w:val="21"/>
          <w:lang w:val="en-US" w:eastAsia="ru-RU"/>
        </w:rPr>
      </w:pPr>
      <w:r w:rsidRPr="008D61D9">
        <w:rPr>
          <w:rFonts w:ascii="Times New Roman" w:eastAsia="Times New Roman" w:hAnsi="Times New Roman" w:cs="Times New Roman"/>
          <w:b/>
          <w:bCs/>
          <w:color w:val="000000"/>
          <w:sz w:val="21"/>
          <w:szCs w:val="21"/>
          <w:lang w:val="en-US" w:eastAsia="ru-RU"/>
        </w:rPr>
        <w:t>Abstract:</w:t>
      </w:r>
      <w:r w:rsidRPr="008D61D9">
        <w:rPr>
          <w:rFonts w:ascii="Times New Roman" w:eastAsia="Times New Roman" w:hAnsi="Times New Roman" w:cs="Times New Roman"/>
          <w:color w:val="000000"/>
          <w:sz w:val="21"/>
          <w:szCs w:val="21"/>
          <w:lang w:val="en-US" w:eastAsia="ru-RU"/>
        </w:rPr>
        <w:t xml:space="preserve"> Procrastination is a serious problem of the modern educational process, characterized by the tendency to constantly postpone educational tasks until later. This phenomenon affects all age categories of learners, but it is especially widespread among students.</w:t>
      </w:r>
    </w:p>
    <w:p w14:paraId="227C904A"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sz w:val="21"/>
          <w:szCs w:val="21"/>
          <w:lang w:val="en-US" w:eastAsia="ru-RU"/>
        </w:rPr>
      </w:pPr>
      <w:r w:rsidRPr="008D61D9">
        <w:rPr>
          <w:rFonts w:ascii="Times New Roman" w:eastAsia="Times New Roman" w:hAnsi="Times New Roman" w:cs="Times New Roman"/>
          <w:b/>
          <w:bCs/>
          <w:color w:val="000000"/>
          <w:sz w:val="21"/>
          <w:szCs w:val="21"/>
          <w:lang w:val="en-US" w:eastAsia="ru-RU"/>
        </w:rPr>
        <w:t>Keywords:</w:t>
      </w:r>
      <w:r w:rsidRPr="008D61D9">
        <w:rPr>
          <w:rFonts w:ascii="Times New Roman" w:eastAsia="Times New Roman" w:hAnsi="Times New Roman" w:cs="Times New Roman"/>
          <w:color w:val="000000"/>
          <w:sz w:val="21"/>
          <w:szCs w:val="21"/>
          <w:lang w:val="en-US" w:eastAsia="ru-RU"/>
        </w:rPr>
        <w:t xml:space="preserve"> procrastination, educational process, self-organization, time management, motivation, learning strategies.</w:t>
      </w:r>
    </w:p>
    <w:p w14:paraId="1FB834BC"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color w:val="000000"/>
          <w:sz w:val="24"/>
          <w:szCs w:val="24"/>
          <w:lang w:val="en-US" w:eastAsia="ru-RU"/>
        </w:rPr>
      </w:pPr>
    </w:p>
    <w:p w14:paraId="78CBDF91"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Понятие «прокрастинация» в российской психологии остается относительно новым, хотя сам феномен знаком практически каждому. Прокрастинация (от лат. pro – вместо и crastinus – завтрашний) – это склонность откладывать важные дела «на потом»; поведенческая модель, при которой человек осознанно переносит выполнение ключевой для него деятельности, оставаясь при этом занятым второстепенными, малозначимыми или даже бесполезными делами [1].</w:t>
      </w:r>
    </w:p>
    <w:p w14:paraId="404CC49F"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В отечественной психологии до сих пор отсутствует единое понимание структуры прокрастинации, как и её четкого определения. Например, Я.И. Варваричева рассматривает прокрастинацию как «осознанное откладывание запланированных действий…», подчеркивая важность осознанности в этом процессе [2]. Е.П. Ильин ассоциирует данный феномен с ленью [3], а Н.В. Боровская определяет его как «привычку откладывать значимые дела» [4].</w:t>
      </w:r>
    </w:p>
    <w:p w14:paraId="5C1FE6D8"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lastRenderedPageBreak/>
        <w:t>Хроническая прокрастинация может быть связана с глубинными психологическими или физиологическими причинами. Некоторые люди достигают максимальной продуктивности только в условиях жестких временных ограничений, когда основная работа выполняется в последние моменты перед дедлайном [2]. Например, студент, откладывающий написание курсовой работы до последней ночи, несмотря на наличие достаточного времени для подготовки.</w:t>
      </w:r>
    </w:p>
    <w:p w14:paraId="4EE7D990"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Ключевыми признаками прокрастинации являются бессмысленная занятость вместо полезной деятельности и постоянное откладывание действительно важных задач. В умеренных проявлениях это не критично, поскольку человеку естественно нужны паузы для отдыха и смена деятельности, что даже повышает общую эффективность. Однако опасность прокрастинации заключается в её негативных последствиях: срыве сроков, неудачах в реализации проектов, профессиональной неудовлетворенности и возможных личностных проблемах [1].</w:t>
      </w:r>
    </w:p>
    <w:p w14:paraId="2F925523"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Среди основных факторов, провоцирующих прокрастинацию, можно выделить:</w:t>
      </w:r>
    </w:p>
    <w:p w14:paraId="1BD8E1CE"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Стремление к сиюминутным удовольствиям в ущерб долгосрочным целям</w:t>
      </w:r>
    </w:p>
    <w:p w14:paraId="6A5B5740"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Сопротивление выполнению срочных задач</w:t>
      </w:r>
    </w:p>
    <w:p w14:paraId="4D2F3406"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Недостаточная или неясная мотивация</w:t>
      </w:r>
    </w:p>
    <w:p w14:paraId="26EBBB19"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Боязнь неудачи</w:t>
      </w:r>
    </w:p>
    <w:p w14:paraId="3C757DA8" w14:textId="77777777" w:rsidR="008D61D9" w:rsidRPr="008D61D9" w:rsidRDefault="008D61D9" w:rsidP="008D61D9">
      <w:pPr>
        <w:shd w:val="clear" w:color="auto" w:fill="FCFCFC"/>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Неэффективное управление временем</w:t>
      </w:r>
    </w:p>
    <w:p w14:paraId="02626C21"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Для снижения уровня прокрастинации рекомендуется применять следующий пошаговый подход:</w:t>
      </w:r>
    </w:p>
    <w:p w14:paraId="14DAD627"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1. Временная мотивация:</w:t>
      </w:r>
    </w:p>
    <w:p w14:paraId="2A56576F"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Связывайте выполнение задачи с последующим вознаграждением (например, отдыхом или приятным занятием);</w:t>
      </w:r>
    </w:p>
    <w:p w14:paraId="4D650FD2"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Четко ограничивайте время работы и перерывов (например, 45 минут работы – 15 минут отдыха)</w:t>
      </w:r>
    </w:p>
    <w:p w14:paraId="391CC49B"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Вводите систему небольших поощрений за завершенные этапы работы;</w:t>
      </w:r>
    </w:p>
    <w:p w14:paraId="1FAF3591"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2. Планирование и организация:</w:t>
      </w:r>
    </w:p>
    <w:p w14:paraId="1FA6CB8D"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Фиксируйте выполненные задачи в ежедневнике или приложении;</w:t>
      </w:r>
    </w:p>
    <w:p w14:paraId="5CDBABD3"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Дробите сложные задания на простые и понятные шаги;</w:t>
      </w:r>
    </w:p>
    <w:p w14:paraId="725BA20E"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Учитывайте индивидуальные биоритмы при распределении нагрузки;</w:t>
      </w:r>
    </w:p>
    <w:p w14:paraId="4064DC36"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3. Контроль и отчетность:</w:t>
      </w:r>
    </w:p>
    <w:p w14:paraId="7860D775"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lastRenderedPageBreak/>
        <w:t>- Найдите человека, которому будете отчитываться о прогрессе (друг, коллега, куратор);</w:t>
      </w:r>
    </w:p>
    <w:p w14:paraId="3636AD86"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Регулярно анализируйте, что уже сделано;</w:t>
      </w:r>
    </w:p>
    <w:p w14:paraId="6AABB7A2"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Визуализируйте результаты (например, отмечайте завершенные дела в чек-листе);</w:t>
      </w:r>
    </w:p>
    <w:p w14:paraId="58B0A667"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4. Минимизация отвлекающих факторов:</w:t>
      </w:r>
    </w:p>
    <w:p w14:paraId="0BECB47C"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Организуйте рабочее пространство так, чтобы ничто не мешало сосредоточиться</w:t>
      </w:r>
    </w:p>
    <w:p w14:paraId="12D49E37"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Отключайте уведомления в соцсетях и мессенджерах во время работы</w:t>
      </w:r>
    </w:p>
    <w:p w14:paraId="01C65B0F"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Договоритесь с близкими о "тихих часах" для важных задач</w:t>
      </w:r>
    </w:p>
    <w:p w14:paraId="319FEEF8" w14:textId="77777777" w:rsidR="008D61D9" w:rsidRPr="008D61D9" w:rsidRDefault="008D61D9" w:rsidP="008D61D9">
      <w:pPr>
        <w:shd w:val="clear" w:color="auto" w:fill="FCFCFC"/>
        <w:suppressAutoHyphens/>
        <w:spacing w:after="0" w:line="240" w:lineRule="auto"/>
        <w:ind w:right="357"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5. Система ответственности</w:t>
      </w:r>
    </w:p>
    <w:p w14:paraId="5F9F737D"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Вводите "штрафы" за срывы сроков (например, дополнительная задача)</w:t>
      </w:r>
    </w:p>
    <w:p w14:paraId="031E79A0"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Делитесь своими целями с другими для повышения обязательности</w:t>
      </w:r>
    </w:p>
    <w:p w14:paraId="432CA23A" w14:textId="77777777" w:rsidR="008D61D9" w:rsidRPr="008D61D9" w:rsidRDefault="008D61D9" w:rsidP="008D61D9">
      <w:pPr>
        <w:shd w:val="clear" w:color="auto" w:fill="FCFCFC"/>
        <w:suppressAutoHyphens/>
        <w:spacing w:after="0" w:line="240" w:lineRule="auto"/>
        <w:ind w:right="357"/>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 Используйте трекеры привычек (Forest, Todoist и др.)</w:t>
      </w:r>
    </w:p>
    <w:p w14:paraId="22586045" w14:textId="77777777" w:rsidR="008D61D9" w:rsidRPr="008D61D9" w:rsidRDefault="008D61D9" w:rsidP="008D61D9">
      <w:pPr>
        <w:shd w:val="clear" w:color="auto" w:fill="FCFCFC"/>
        <w:suppressAutoHyphens/>
        <w:spacing w:after="0" w:line="240" w:lineRule="auto"/>
        <w:ind w:firstLine="709"/>
        <w:jc w:val="both"/>
        <w:rPr>
          <w:rFonts w:ascii="Times New Roman" w:eastAsia="Times New Roman" w:hAnsi="Times New Roman" w:cs="Times New Roman"/>
          <w:sz w:val="32"/>
          <w:szCs w:val="32"/>
          <w:lang w:eastAsia="ru-RU"/>
        </w:rPr>
      </w:pPr>
      <w:r w:rsidRPr="008D61D9">
        <w:rPr>
          <w:rFonts w:ascii="Times New Roman" w:eastAsia="Arial Unicode MS" w:hAnsi="Times New Roman" w:cs="Times New Roman"/>
          <w:sz w:val="32"/>
          <w:szCs w:val="32"/>
          <w:lang w:eastAsia="ru-RU"/>
        </w:rPr>
        <w:t xml:space="preserve">  </w:t>
      </w:r>
      <w:r w:rsidRPr="008D61D9">
        <w:rPr>
          <w:rFonts w:ascii="Times New Roman" w:eastAsia="Arial Unicode MS" w:hAnsi="Times New Roman" w:cs="Times New Roman"/>
          <w:color w:val="000000"/>
          <w:sz w:val="32"/>
          <w:szCs w:val="32"/>
          <w:lang w:eastAsia="ru-RU"/>
        </w:rPr>
        <w:t>Практические рекомендации</w:t>
      </w:r>
    </w:p>
    <w:p w14:paraId="3371EF57" w14:textId="5FDA12F9" w:rsidR="008D61D9" w:rsidRPr="008D61D9" w:rsidRDefault="008D61D9" w:rsidP="008D61D9">
      <w:pPr>
        <w:suppressAutoHyphens/>
        <w:spacing w:after="0" w:line="240" w:lineRule="auto"/>
        <w:ind w:firstLine="709"/>
        <w:jc w:val="both"/>
        <w:rPr>
          <w:rFonts w:ascii="Times New Roman" w:eastAsia="Arial Unicode MS" w:hAnsi="Times New Roman" w:cs="Times New Roman"/>
          <w:sz w:val="32"/>
          <w:szCs w:val="32"/>
          <w:lang w:eastAsia="ru-RU"/>
        </w:rPr>
      </w:pPr>
      <w:r w:rsidRPr="008D61D9">
        <w:rPr>
          <w:rFonts w:ascii="Times New Roman" w:eastAsia="Arial Unicode MS" w:hAnsi="Times New Roman" w:cs="Times New Roman"/>
          <w:sz w:val="32"/>
          <w:szCs w:val="32"/>
          <w:lang w:eastAsia="ru-RU"/>
        </w:rPr>
        <w:t>Эффективно бороться с прокрастинацией можно лишь используя специальные техники и стратегии, встроенные в повседневную практику. Преодолеть прокрастинацию помогает даже 10-15 минут сосредоточенной работы. Помидорная техника на 25 минут с 5-минутным перерывом хорошо поддерживает концентрацию, позволяет избежать переутомления, благодаря чему и укрепила свою репутацию. Каждый случай требует индивидуального разбора причин прокрастинации, например, страхи, перфекционизм, отсутствие четкого плана и даже банальная усталость. Полезно заполнять дневник уложенных задач, где фиксируются все шаги, а также создать даже на первый взгляд мнимое ощущение прогресса, что значительно повысит мотивацию. Оценка и планирование дедлайнов имеет значительное влияние на работу – это весьма важная установка, которой стоит уделить отдельное внимание. Например, вместо расплывчатой цели "подготовиться к экзамену" лучше ставить конкретные задачи: "проработать 3 темы сегодня до 18:00" [1].</w:t>
      </w:r>
    </w:p>
    <w:p w14:paraId="34F79FE4" w14:textId="77777777" w:rsidR="008D61D9" w:rsidRPr="008D61D9" w:rsidRDefault="008D61D9" w:rsidP="008D61D9">
      <w:pPr>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xml:space="preserve">Студенты, как прокрастинирующая группа населения с отменной способностью к учебной активности, порой просто не приступают к важным либо более сложным задачам. Прокрастинация подрывает учебные процессы студентов, вызывая хроническую нехватку времени, плохое усвоение материала и повышенный стресс в период </w:t>
      </w:r>
      <w:r w:rsidRPr="008D61D9">
        <w:rPr>
          <w:rFonts w:ascii="Times New Roman" w:eastAsia="Calibri" w:hAnsi="Times New Roman" w:cs="Times New Roman"/>
          <w:sz w:val="32"/>
          <w:szCs w:val="32"/>
        </w:rPr>
        <w:lastRenderedPageBreak/>
        <w:t>экзаменов. Для противодействия этому явлению требуется комплексный подход. Особое значение имеют тренинги по тайм-менеджменту, помогающие студентам освоить навыки планирования. Не менее важна работа с психологическими факторами – повышение самооценки, преодоление страха неудачи через когнитивно-поведенческие техники. Среди проверенных стратегий особой эффективностью отличается метод "съесть лягушку", предполагающий выполнение самой неприятной задачи первой. Хорошие результаты дает система парной подотчетности, когда два студента взаимно контролируют выполнение учебных планов. В условиях дистанционного обучения актуально использование цифровых инструментов – специализированных planners (например, Trello или Notion), образовательных платформ с системой напоминаний. Особенно важно внедрять систему регулярного контроля знаний через короткие тесты и проверочные работы, что исключает возможность откладывания подготовки "на потом". Как показывает практика, последовательное применение этих методов не только улучшает академические показатели, но и формирует ценные навыки самоорганизации, востребованные в профессиональной деятельности [4].</w:t>
      </w:r>
    </w:p>
    <w:p w14:paraId="1ABDCC04" w14:textId="77777777" w:rsidR="008D61D9" w:rsidRPr="008D61D9" w:rsidRDefault="008D61D9" w:rsidP="008D61D9">
      <w:pPr>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Таким образом, системная работа по преодолению прокрастинации, сочетающая организационные методы и психологические подходы, показывает устойчивые положительные результаты в образовательной практике. Важно понимать, что эффективность этой работы зависит от последовательности применения и индивидуального подхода к каждому обучающемуся.</w:t>
      </w:r>
    </w:p>
    <w:p w14:paraId="7E48754A" w14:textId="77777777" w:rsidR="008D61D9" w:rsidRPr="008D61D9" w:rsidRDefault="008D61D9" w:rsidP="008D61D9">
      <w:pPr>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Стратегия выполнения данных выше рекомендаций определяет степень достижения нескольких результатов одновременно. Это выражается в значительном повышении академических показателей за счет более равномерного распределения учебной нагрузки. Также, развитие ключевых значимых навыков - умения контролировать свое обучение, так и быть саморегулируемым, составление планов на будущее и контроль.</w:t>
      </w:r>
    </w:p>
    <w:p w14:paraId="751AE5C6" w14:textId="341420E3" w:rsidR="008D61D9" w:rsidRPr="008D61D9" w:rsidRDefault="008D61D9" w:rsidP="00F73CC0">
      <w:pPr>
        <w:suppressAutoHyphens/>
        <w:spacing w:after="0" w:line="240" w:lineRule="auto"/>
        <w:ind w:firstLine="709"/>
        <w:jc w:val="both"/>
        <w:rPr>
          <w:rFonts w:ascii="Times New Roman" w:eastAsia="Calibri" w:hAnsi="Times New Roman" w:cs="Times New Roman"/>
          <w:sz w:val="32"/>
          <w:szCs w:val="32"/>
        </w:rPr>
      </w:pPr>
      <w:r w:rsidRPr="008D61D9">
        <w:rPr>
          <w:rFonts w:ascii="Times New Roman" w:eastAsia="Calibri" w:hAnsi="Times New Roman" w:cs="Times New Roman"/>
          <w:sz w:val="32"/>
          <w:szCs w:val="32"/>
        </w:rPr>
        <w:t xml:space="preserve">Примечательную ценность представляет тот факт, то формируемые в процессе антипрокрастинационной работы навыки выходят далеко за рамки учебного процесса. Они становятся важным личностным ресурсом, который студенты могут применять в дальнейшей профессиональной деятельности. Как показывают исследования, выпускники, освоившие эффективные стратегии </w:t>
      </w:r>
      <w:r w:rsidRPr="008D61D9">
        <w:rPr>
          <w:rFonts w:ascii="Times New Roman" w:eastAsia="Calibri" w:hAnsi="Times New Roman" w:cs="Times New Roman"/>
          <w:sz w:val="32"/>
          <w:szCs w:val="32"/>
        </w:rPr>
        <w:lastRenderedPageBreak/>
        <w:t>самоорганизации, демонстрируют более высокую адаптивность на рабочем месте и лучше справляются с проектными задачами.</w:t>
      </w:r>
    </w:p>
    <w:p w14:paraId="0FDC43DF" w14:textId="77777777" w:rsidR="00F73CC0" w:rsidRDefault="00F73CC0" w:rsidP="008334F8">
      <w:pPr>
        <w:shd w:val="clear" w:color="auto" w:fill="FFFFFF"/>
        <w:spacing w:after="0" w:line="240" w:lineRule="auto"/>
        <w:ind w:firstLine="567"/>
        <w:jc w:val="center"/>
        <w:rPr>
          <w:rFonts w:ascii="Times New Roman" w:eastAsia="Calibri" w:hAnsi="Times New Roman" w:cs="Times New Roman"/>
          <w:sz w:val="21"/>
          <w:szCs w:val="21"/>
          <w:lang w:val="x-none" w:eastAsia="ar-SA"/>
        </w:rPr>
      </w:pPr>
    </w:p>
    <w:p w14:paraId="23EDC994" w14:textId="41FEF47F" w:rsidR="008D61D9" w:rsidRPr="008D61D9" w:rsidRDefault="00D27347" w:rsidP="008334F8">
      <w:pPr>
        <w:shd w:val="clear" w:color="auto" w:fill="FFFFFF"/>
        <w:spacing w:after="0" w:line="240" w:lineRule="auto"/>
        <w:ind w:firstLine="567"/>
        <w:jc w:val="center"/>
        <w:rPr>
          <w:rFonts w:ascii="Times New Roman" w:eastAsia="Calibri" w:hAnsi="Times New Roman" w:cs="Times New Roman"/>
          <w:b/>
          <w:bCs/>
          <w:sz w:val="21"/>
          <w:szCs w:val="21"/>
          <w:lang w:val="x-none" w:eastAsia="ar-SA"/>
        </w:rPr>
      </w:pPr>
      <w:r>
        <w:rPr>
          <w:rFonts w:ascii="Times New Roman" w:eastAsia="Calibri" w:hAnsi="Times New Roman" w:cs="Times New Roman"/>
          <w:b/>
          <w:bCs/>
          <w:sz w:val="21"/>
          <w:szCs w:val="21"/>
          <w:lang w:val="x-none" w:eastAsia="ar-SA"/>
        </w:rPr>
        <w:t>Л</w:t>
      </w:r>
      <w:r w:rsidR="00F73CC0" w:rsidRPr="008D61D9">
        <w:rPr>
          <w:rFonts w:ascii="Times New Roman" w:eastAsia="Calibri" w:hAnsi="Times New Roman" w:cs="Times New Roman"/>
          <w:b/>
          <w:bCs/>
          <w:sz w:val="21"/>
          <w:szCs w:val="21"/>
          <w:lang w:val="x-none" w:eastAsia="ar-SA"/>
        </w:rPr>
        <w:t>итератур</w:t>
      </w:r>
      <w:r>
        <w:rPr>
          <w:rFonts w:ascii="Times New Roman" w:eastAsia="Calibri" w:hAnsi="Times New Roman" w:cs="Times New Roman"/>
          <w:b/>
          <w:bCs/>
          <w:sz w:val="21"/>
          <w:szCs w:val="21"/>
          <w:lang w:val="x-none" w:eastAsia="ar-SA"/>
        </w:rPr>
        <w:t>а:</w:t>
      </w:r>
    </w:p>
    <w:p w14:paraId="5543375C" w14:textId="77777777" w:rsidR="00097C81" w:rsidRDefault="008D61D9" w:rsidP="00AD58CD">
      <w:pPr>
        <w:pStyle w:val="a8"/>
        <w:numPr>
          <w:ilvl w:val="1"/>
          <w:numId w:val="71"/>
        </w:numPr>
        <w:shd w:val="clear" w:color="auto" w:fill="FFFFFF"/>
        <w:tabs>
          <w:tab w:val="clear" w:pos="1080"/>
          <w:tab w:val="num" w:pos="567"/>
        </w:tabs>
        <w:spacing w:after="0" w:line="240" w:lineRule="auto"/>
        <w:ind w:left="0" w:firstLine="0"/>
        <w:jc w:val="both"/>
        <w:rPr>
          <w:rFonts w:ascii="Times New Roman" w:eastAsia="Calibri" w:hAnsi="Times New Roman" w:cs="Times New Roman"/>
          <w:sz w:val="21"/>
          <w:szCs w:val="21"/>
          <w:lang w:val="x-none" w:eastAsia="ar-SA"/>
        </w:rPr>
      </w:pPr>
      <w:r w:rsidRPr="00097C81">
        <w:rPr>
          <w:rFonts w:ascii="Times New Roman" w:eastAsia="Calibri" w:hAnsi="Times New Roman" w:cs="Times New Roman"/>
          <w:sz w:val="21"/>
          <w:szCs w:val="21"/>
          <w:lang w:val="x-none" w:eastAsia="ar-SA"/>
        </w:rPr>
        <w:t>Алмазов, Б. Н. Психологические основы педагогической реабилитации : учебник для бакалавриата и магистратуры / Б. Н. Алмазов. — 2-е изд., перераб. и доп. — М. : Издательство Юрайт, 2023. — 223 с. </w:t>
      </w:r>
    </w:p>
    <w:p w14:paraId="579E1899" w14:textId="77777777" w:rsidR="00097C81" w:rsidRDefault="008D61D9" w:rsidP="00AD58CD">
      <w:pPr>
        <w:pStyle w:val="a8"/>
        <w:numPr>
          <w:ilvl w:val="1"/>
          <w:numId w:val="71"/>
        </w:numPr>
        <w:shd w:val="clear" w:color="auto" w:fill="FFFFFF"/>
        <w:tabs>
          <w:tab w:val="clear" w:pos="1080"/>
          <w:tab w:val="num" w:pos="567"/>
        </w:tabs>
        <w:spacing w:after="0" w:line="240" w:lineRule="auto"/>
        <w:ind w:left="0" w:firstLine="0"/>
        <w:jc w:val="both"/>
        <w:rPr>
          <w:rFonts w:ascii="Times New Roman" w:eastAsia="Calibri" w:hAnsi="Times New Roman" w:cs="Times New Roman"/>
          <w:sz w:val="21"/>
          <w:szCs w:val="21"/>
          <w:lang w:val="x-none" w:eastAsia="ar-SA"/>
        </w:rPr>
      </w:pPr>
      <w:r w:rsidRPr="00097C81">
        <w:rPr>
          <w:rFonts w:ascii="Times New Roman" w:eastAsia="Calibri" w:hAnsi="Times New Roman" w:cs="Times New Roman"/>
          <w:sz w:val="21"/>
          <w:szCs w:val="21"/>
          <w:lang w:val="x-none" w:eastAsia="ar-SA"/>
        </w:rPr>
        <w:t>Афанасьев, В. В. Основы учебно-исследовательской деятельности : учеб. пособие для СПО / В. В. Афанасьев, О. В. Грибкова, Л. И. Уколова. — М. : Издательство Юрайт, 2022. — 154 с. </w:t>
      </w:r>
    </w:p>
    <w:p w14:paraId="64187E30" w14:textId="77777777" w:rsidR="00097C81" w:rsidRDefault="008D61D9" w:rsidP="00AD58CD">
      <w:pPr>
        <w:pStyle w:val="a8"/>
        <w:numPr>
          <w:ilvl w:val="1"/>
          <w:numId w:val="71"/>
        </w:numPr>
        <w:shd w:val="clear" w:color="auto" w:fill="FFFFFF"/>
        <w:tabs>
          <w:tab w:val="clear" w:pos="1080"/>
          <w:tab w:val="num" w:pos="567"/>
        </w:tabs>
        <w:spacing w:after="0" w:line="240" w:lineRule="auto"/>
        <w:ind w:left="0" w:firstLine="0"/>
        <w:jc w:val="both"/>
        <w:rPr>
          <w:rFonts w:ascii="Times New Roman" w:eastAsia="Calibri" w:hAnsi="Times New Roman" w:cs="Times New Roman"/>
          <w:sz w:val="21"/>
          <w:szCs w:val="21"/>
          <w:lang w:val="x-none" w:eastAsia="ar-SA"/>
        </w:rPr>
      </w:pPr>
      <w:r w:rsidRPr="00097C81">
        <w:rPr>
          <w:rFonts w:ascii="Times New Roman" w:eastAsia="Calibri" w:hAnsi="Times New Roman" w:cs="Times New Roman"/>
          <w:sz w:val="21"/>
          <w:szCs w:val="21"/>
          <w:lang w:val="x-none" w:eastAsia="ar-SA"/>
        </w:rPr>
        <w:t>Вараксин, В. Н. Психолого-педагогический практикум : учеб. пособие для СПО / В. Н. Вараксин, Е. В. Казанцева. — 2-е изд. — М. : Издательство Юрайт, 2022. — 239 с. </w:t>
      </w:r>
    </w:p>
    <w:p w14:paraId="5C69438E" w14:textId="77777777" w:rsidR="00097C81" w:rsidRDefault="008D61D9" w:rsidP="00AD58CD">
      <w:pPr>
        <w:pStyle w:val="a8"/>
        <w:numPr>
          <w:ilvl w:val="1"/>
          <w:numId w:val="71"/>
        </w:numPr>
        <w:shd w:val="clear" w:color="auto" w:fill="FFFFFF"/>
        <w:tabs>
          <w:tab w:val="clear" w:pos="1080"/>
          <w:tab w:val="num" w:pos="567"/>
        </w:tabs>
        <w:spacing w:after="0" w:line="240" w:lineRule="auto"/>
        <w:ind w:left="0" w:firstLine="0"/>
        <w:jc w:val="both"/>
        <w:rPr>
          <w:rFonts w:ascii="Times New Roman" w:eastAsia="Calibri" w:hAnsi="Times New Roman" w:cs="Times New Roman"/>
          <w:sz w:val="21"/>
          <w:szCs w:val="21"/>
          <w:lang w:val="x-none" w:eastAsia="ar-SA"/>
        </w:rPr>
      </w:pPr>
      <w:r w:rsidRPr="00097C81">
        <w:rPr>
          <w:rFonts w:ascii="Times New Roman" w:eastAsia="Calibri" w:hAnsi="Times New Roman" w:cs="Times New Roman"/>
          <w:sz w:val="21"/>
          <w:szCs w:val="21"/>
          <w:lang w:val="x-none" w:eastAsia="ar-SA"/>
        </w:rPr>
        <w:t>Воробьева, С. В. Современные средства оценивания результатов обучения в общеобразовательной школе : учебник для бакалавриата и магистратуры / С. В. Воробьева. — 2-е изд., перераб. и доп. — М. : Издательство Юрайт, 2022. — 740 с.</w:t>
      </w:r>
    </w:p>
    <w:p w14:paraId="579EF16B" w14:textId="3C09BB75" w:rsidR="008D61D9" w:rsidRPr="00097C81" w:rsidRDefault="008D61D9" w:rsidP="00AD58CD">
      <w:pPr>
        <w:pStyle w:val="a8"/>
        <w:numPr>
          <w:ilvl w:val="1"/>
          <w:numId w:val="71"/>
        </w:numPr>
        <w:shd w:val="clear" w:color="auto" w:fill="FFFFFF"/>
        <w:tabs>
          <w:tab w:val="clear" w:pos="1080"/>
          <w:tab w:val="num" w:pos="567"/>
        </w:tabs>
        <w:spacing w:after="0" w:line="240" w:lineRule="auto"/>
        <w:ind w:left="0" w:firstLine="0"/>
        <w:jc w:val="both"/>
        <w:rPr>
          <w:rFonts w:ascii="Times New Roman" w:eastAsia="Calibri" w:hAnsi="Times New Roman" w:cs="Times New Roman"/>
          <w:sz w:val="21"/>
          <w:szCs w:val="21"/>
          <w:lang w:val="x-none" w:eastAsia="ar-SA"/>
        </w:rPr>
      </w:pPr>
      <w:r w:rsidRPr="00097C81">
        <w:rPr>
          <w:rFonts w:ascii="Times New Roman" w:eastAsia="Calibri" w:hAnsi="Times New Roman" w:cs="Times New Roman"/>
          <w:sz w:val="21"/>
          <w:szCs w:val="21"/>
          <w:lang w:val="x-none" w:eastAsia="ar-SA"/>
        </w:rPr>
        <w:t>Газгиреева, Л. Х. История педагогики и образования: государственная педагогика России : монография / Л. Х. Газгиреева. — 2-е изд. — М. : Издательство Юрайт, 2022. — 149 с. </w:t>
      </w:r>
    </w:p>
    <w:bookmarkEnd w:id="93"/>
    <w:p w14:paraId="4F1BAE85" w14:textId="77777777" w:rsidR="00070AB0" w:rsidRDefault="00070AB0" w:rsidP="00070AB0">
      <w:pPr>
        <w:tabs>
          <w:tab w:val="left" w:pos="0"/>
        </w:tabs>
        <w:suppressAutoHyphens/>
        <w:autoSpaceDE w:val="0"/>
        <w:spacing w:after="0" w:line="240" w:lineRule="auto"/>
        <w:jc w:val="both"/>
        <w:rPr>
          <w:rFonts w:ascii="Times New Roman" w:eastAsia="Calibri" w:hAnsi="Times New Roman" w:cs="Times New Roman"/>
          <w:sz w:val="21"/>
          <w:szCs w:val="21"/>
          <w:lang w:val="x-none" w:eastAsia="ar-SA"/>
        </w:rPr>
      </w:pPr>
    </w:p>
    <w:p w14:paraId="354BDC39" w14:textId="77777777" w:rsidR="009D6EA4" w:rsidRDefault="009D6EA4" w:rsidP="00070AB0">
      <w:pPr>
        <w:tabs>
          <w:tab w:val="left" w:pos="0"/>
        </w:tabs>
        <w:suppressAutoHyphens/>
        <w:autoSpaceDE w:val="0"/>
        <w:spacing w:after="0" w:line="240" w:lineRule="auto"/>
        <w:jc w:val="both"/>
        <w:rPr>
          <w:rFonts w:ascii="Times New Roman" w:eastAsia="Calibri" w:hAnsi="Times New Roman" w:cs="Times New Roman"/>
          <w:sz w:val="21"/>
          <w:szCs w:val="21"/>
          <w:lang w:val="x-none" w:eastAsia="ar-SA"/>
        </w:rPr>
      </w:pPr>
    </w:p>
    <w:p w14:paraId="74CB5466" w14:textId="65AE8A3F" w:rsidR="009D6EA4" w:rsidRPr="009D6EA4" w:rsidRDefault="009D6EA4" w:rsidP="009D6EA4">
      <w:pPr>
        <w:suppressAutoHyphens/>
        <w:spacing w:after="0" w:line="240" w:lineRule="auto"/>
        <w:jc w:val="right"/>
        <w:rPr>
          <w:rFonts w:ascii="Times New Roman" w:eastAsia="Times New Roman" w:hAnsi="Times New Roman" w:cs="Times New Roman"/>
          <w:i/>
          <w:color w:val="000000"/>
          <w:sz w:val="21"/>
          <w:szCs w:val="21"/>
          <w:lang w:eastAsia="ar-SA"/>
        </w:rPr>
      </w:pPr>
      <w:r w:rsidRPr="009D6EA4">
        <w:rPr>
          <w:rFonts w:ascii="Times New Roman" w:eastAsia="Times New Roman" w:hAnsi="Times New Roman" w:cs="Times New Roman"/>
          <w:b/>
          <w:i/>
          <w:color w:val="000000"/>
          <w:sz w:val="20"/>
          <w:szCs w:val="21"/>
          <w:lang w:eastAsia="ar-SA"/>
        </w:rPr>
        <w:t>Квятковский С</w:t>
      </w:r>
      <w:r w:rsidR="00D96D62">
        <w:rPr>
          <w:rFonts w:ascii="Times New Roman" w:eastAsia="Times New Roman" w:hAnsi="Times New Roman" w:cs="Times New Roman"/>
          <w:b/>
          <w:i/>
          <w:color w:val="000000"/>
          <w:sz w:val="20"/>
          <w:szCs w:val="21"/>
          <w:lang w:eastAsia="ar-SA"/>
        </w:rPr>
        <w:t>.</w:t>
      </w:r>
      <w:r w:rsidRPr="009D6EA4">
        <w:rPr>
          <w:rFonts w:ascii="Times New Roman" w:eastAsia="Times New Roman" w:hAnsi="Times New Roman" w:cs="Times New Roman"/>
          <w:b/>
          <w:i/>
          <w:color w:val="000000"/>
          <w:sz w:val="20"/>
          <w:szCs w:val="21"/>
          <w:lang w:eastAsia="ar-SA"/>
        </w:rPr>
        <w:t>К</w:t>
      </w:r>
      <w:r w:rsidRPr="009D6EA4">
        <w:rPr>
          <w:rFonts w:ascii="Times New Roman" w:eastAsia="Times New Roman" w:hAnsi="Times New Roman" w:cs="Times New Roman"/>
          <w:b/>
          <w:i/>
          <w:color w:val="000000"/>
          <w:sz w:val="21"/>
          <w:szCs w:val="21"/>
          <w:lang w:eastAsia="ar-SA"/>
        </w:rPr>
        <w:t xml:space="preserve">., </w:t>
      </w:r>
    </w:p>
    <w:p w14:paraId="3771BDE6" w14:textId="77777777" w:rsidR="009D6EA4" w:rsidRPr="009D6EA4" w:rsidRDefault="009D6EA4" w:rsidP="009D6EA4">
      <w:pPr>
        <w:suppressAutoHyphens/>
        <w:spacing w:after="0" w:line="240" w:lineRule="auto"/>
        <w:jc w:val="right"/>
        <w:rPr>
          <w:rFonts w:ascii="Times New Roman" w:eastAsia="Times New Roman" w:hAnsi="Times New Roman" w:cs="Times New Roman"/>
          <w:i/>
          <w:color w:val="000000"/>
          <w:sz w:val="21"/>
          <w:szCs w:val="21"/>
          <w:lang w:eastAsia="ar-SA"/>
        </w:rPr>
      </w:pPr>
      <w:r w:rsidRPr="009D6EA4">
        <w:rPr>
          <w:rFonts w:ascii="Times New Roman" w:eastAsia="Times New Roman" w:hAnsi="Times New Roman" w:cs="Times New Roman"/>
          <w:i/>
          <w:color w:val="000000"/>
          <w:sz w:val="21"/>
          <w:szCs w:val="21"/>
          <w:lang w:eastAsia="ar-SA"/>
        </w:rPr>
        <w:t xml:space="preserve">студент 2 курса </w:t>
      </w:r>
    </w:p>
    <w:p w14:paraId="4A820AFA" w14:textId="77777777" w:rsidR="006A558E" w:rsidRDefault="006A558E" w:rsidP="009D6EA4">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029963DB" w14:textId="1AFF2D85" w:rsidR="009D6EA4" w:rsidRPr="009D6EA4" w:rsidRDefault="009D6EA4" w:rsidP="009D6EA4">
      <w:pPr>
        <w:suppressAutoHyphens/>
        <w:spacing w:after="0" w:line="240" w:lineRule="auto"/>
        <w:jc w:val="right"/>
        <w:rPr>
          <w:rFonts w:ascii="Times New Roman" w:eastAsia="Times New Roman" w:hAnsi="Times New Roman" w:cs="Times New Roman"/>
          <w:i/>
          <w:sz w:val="21"/>
          <w:szCs w:val="21"/>
          <w:lang w:eastAsia="ar-SA"/>
        </w:rPr>
      </w:pPr>
      <w:r w:rsidRPr="009D6EA4">
        <w:rPr>
          <w:rFonts w:ascii="Times New Roman" w:eastAsia="Times New Roman" w:hAnsi="Times New Roman" w:cs="Times New Roman"/>
          <w:i/>
          <w:sz w:val="21"/>
          <w:szCs w:val="21"/>
          <w:lang w:eastAsia="ar-SA"/>
        </w:rPr>
        <w:t>г. Краснодар, Россия</w:t>
      </w:r>
    </w:p>
    <w:p w14:paraId="5198681A" w14:textId="77777777" w:rsidR="009D6EA4" w:rsidRPr="009D6EA4" w:rsidRDefault="009D6EA4" w:rsidP="009D6EA4">
      <w:pPr>
        <w:suppressAutoHyphens/>
        <w:spacing w:after="0" w:line="240" w:lineRule="auto"/>
        <w:jc w:val="right"/>
        <w:rPr>
          <w:rFonts w:ascii="Times New Roman" w:eastAsia="Times New Roman" w:hAnsi="Times New Roman" w:cs="Times New Roman"/>
          <w:i/>
          <w:sz w:val="21"/>
          <w:szCs w:val="21"/>
        </w:rPr>
      </w:pPr>
      <w:r w:rsidRPr="009D6EA4">
        <w:rPr>
          <w:rFonts w:ascii="Times New Roman" w:eastAsia="Times New Roman" w:hAnsi="Times New Roman" w:cs="Times New Roman"/>
          <w:i/>
          <w:sz w:val="21"/>
          <w:szCs w:val="21"/>
        </w:rPr>
        <w:t>е-</w:t>
      </w:r>
      <w:r w:rsidRPr="009D6EA4">
        <w:rPr>
          <w:rFonts w:ascii="Times New Roman" w:eastAsia="Times New Roman" w:hAnsi="Times New Roman" w:cs="Times New Roman"/>
          <w:i/>
          <w:sz w:val="21"/>
          <w:szCs w:val="21"/>
          <w:lang w:val="en-US"/>
        </w:rPr>
        <w:t>mail</w:t>
      </w:r>
      <w:r w:rsidRPr="009D6EA4">
        <w:rPr>
          <w:rFonts w:ascii="Times New Roman" w:eastAsia="Times New Roman" w:hAnsi="Times New Roman" w:cs="Times New Roman"/>
          <w:i/>
          <w:sz w:val="21"/>
          <w:szCs w:val="21"/>
        </w:rPr>
        <w:t xml:space="preserve">: </w:t>
      </w:r>
      <w:r w:rsidRPr="009D6EA4">
        <w:rPr>
          <w:rFonts w:ascii="Times New Roman" w:eastAsia="Aptos Display" w:hAnsi="Times New Roman" w:cs="Times New Roman"/>
          <w:i/>
          <w:sz w:val="21"/>
          <w:szCs w:val="21"/>
        </w:rPr>
        <w:t>100</w:t>
      </w:r>
      <w:r w:rsidRPr="009D6EA4">
        <w:rPr>
          <w:rFonts w:ascii="Times New Roman" w:eastAsia="Aptos Display" w:hAnsi="Times New Roman" w:cs="Times New Roman"/>
          <w:i/>
          <w:sz w:val="21"/>
          <w:szCs w:val="21"/>
          <w:lang w:val="en-US"/>
        </w:rPr>
        <w:t>DOT</w:t>
      </w:r>
      <w:r w:rsidRPr="009D6EA4">
        <w:rPr>
          <w:rFonts w:ascii="Times New Roman" w:eastAsia="Aptos Display" w:hAnsi="Times New Roman" w:cs="Times New Roman"/>
          <w:i/>
          <w:sz w:val="21"/>
          <w:szCs w:val="21"/>
        </w:rPr>
        <w:t>13</w:t>
      </w:r>
      <w:r w:rsidRPr="009D6EA4">
        <w:rPr>
          <w:rFonts w:ascii="Times New Roman" w:eastAsia="Aptos Display" w:hAnsi="Times New Roman" w:cs="Times New Roman"/>
          <w:i/>
          <w:sz w:val="21"/>
          <w:szCs w:val="21"/>
          <w:lang w:val="en-US"/>
        </w:rPr>
        <w:t>SL</w:t>
      </w:r>
      <w:r w:rsidRPr="009D6EA4">
        <w:rPr>
          <w:rFonts w:ascii="Times New Roman" w:eastAsia="Aptos Display" w:hAnsi="Times New Roman" w:cs="Times New Roman"/>
          <w:i/>
          <w:sz w:val="21"/>
          <w:szCs w:val="21"/>
        </w:rPr>
        <w:t>230269@</w:t>
      </w:r>
      <w:r w:rsidRPr="009D6EA4">
        <w:rPr>
          <w:rFonts w:ascii="Times New Roman" w:eastAsia="Aptos Display" w:hAnsi="Times New Roman" w:cs="Times New Roman"/>
          <w:i/>
          <w:sz w:val="21"/>
          <w:szCs w:val="21"/>
          <w:lang w:val="en-US"/>
        </w:rPr>
        <w:t>edu</w:t>
      </w:r>
      <w:r w:rsidRPr="009D6EA4">
        <w:rPr>
          <w:rFonts w:ascii="Times New Roman" w:eastAsia="Aptos Display" w:hAnsi="Times New Roman" w:cs="Times New Roman"/>
          <w:i/>
          <w:sz w:val="21"/>
          <w:szCs w:val="21"/>
        </w:rPr>
        <w:t>.</w:t>
      </w:r>
      <w:r w:rsidRPr="009D6EA4">
        <w:rPr>
          <w:rFonts w:ascii="Times New Roman" w:eastAsia="Aptos Display" w:hAnsi="Times New Roman" w:cs="Times New Roman"/>
          <w:i/>
          <w:sz w:val="21"/>
          <w:szCs w:val="21"/>
          <w:lang w:val="en-US"/>
        </w:rPr>
        <w:t>fa</w:t>
      </w:r>
      <w:r w:rsidRPr="009D6EA4">
        <w:rPr>
          <w:rFonts w:ascii="Times New Roman" w:eastAsia="Aptos Display" w:hAnsi="Times New Roman" w:cs="Times New Roman"/>
          <w:i/>
          <w:sz w:val="21"/>
          <w:szCs w:val="21"/>
        </w:rPr>
        <w:t>.</w:t>
      </w:r>
      <w:r w:rsidRPr="009D6EA4">
        <w:rPr>
          <w:rFonts w:ascii="Times New Roman" w:eastAsia="Aptos Display" w:hAnsi="Times New Roman" w:cs="Times New Roman"/>
          <w:i/>
          <w:sz w:val="21"/>
          <w:szCs w:val="21"/>
          <w:lang w:val="en-US"/>
        </w:rPr>
        <w:t>ru</w:t>
      </w:r>
    </w:p>
    <w:p w14:paraId="5EDE9958" w14:textId="77777777" w:rsidR="009D6EA4" w:rsidRPr="009D6EA4" w:rsidRDefault="009D6EA4" w:rsidP="009D6EA4">
      <w:pPr>
        <w:suppressAutoHyphens/>
        <w:spacing w:after="0" w:line="240" w:lineRule="auto"/>
        <w:jc w:val="right"/>
        <w:rPr>
          <w:rFonts w:ascii="Times New Roman" w:eastAsia="Times New Roman" w:hAnsi="Times New Roman" w:cs="Times New Roman"/>
          <w:i/>
          <w:sz w:val="21"/>
          <w:szCs w:val="21"/>
        </w:rPr>
      </w:pPr>
    </w:p>
    <w:p w14:paraId="1CADA508" w14:textId="77777777" w:rsidR="009D6EA4" w:rsidRPr="009D6EA4" w:rsidRDefault="009D6EA4" w:rsidP="009D6EA4">
      <w:pPr>
        <w:suppressAutoHyphens/>
        <w:spacing w:after="0" w:line="240" w:lineRule="auto"/>
        <w:jc w:val="right"/>
        <w:rPr>
          <w:rFonts w:ascii="Times New Roman" w:eastAsia="Times New Roman" w:hAnsi="Times New Roman" w:cs="Times New Roman"/>
          <w:b/>
          <w:i/>
          <w:sz w:val="21"/>
          <w:szCs w:val="21"/>
        </w:rPr>
      </w:pPr>
      <w:r w:rsidRPr="009D6EA4">
        <w:rPr>
          <w:rFonts w:ascii="Times New Roman" w:eastAsia="Times New Roman" w:hAnsi="Times New Roman" w:cs="Times New Roman"/>
          <w:b/>
          <w:i/>
          <w:sz w:val="21"/>
          <w:szCs w:val="21"/>
        </w:rPr>
        <w:t>Научный руководитель:</w:t>
      </w:r>
    </w:p>
    <w:p w14:paraId="4CA0D223" w14:textId="7E8F975B" w:rsidR="009D6EA4" w:rsidRPr="009D6EA4" w:rsidRDefault="009D6EA4" w:rsidP="009D6EA4">
      <w:pPr>
        <w:suppressAutoHyphens/>
        <w:spacing w:after="0" w:line="240" w:lineRule="auto"/>
        <w:jc w:val="right"/>
        <w:rPr>
          <w:rFonts w:ascii="Times New Roman" w:eastAsia="Times New Roman" w:hAnsi="Times New Roman" w:cs="Times New Roman"/>
          <w:b/>
          <w:i/>
          <w:sz w:val="21"/>
          <w:szCs w:val="21"/>
        </w:rPr>
      </w:pPr>
      <w:r w:rsidRPr="009D6EA4">
        <w:rPr>
          <w:rFonts w:ascii="Times New Roman" w:eastAsia="Times New Roman" w:hAnsi="Times New Roman" w:cs="Times New Roman"/>
          <w:b/>
          <w:i/>
          <w:sz w:val="21"/>
          <w:szCs w:val="21"/>
        </w:rPr>
        <w:t>Дюдин</w:t>
      </w:r>
      <w:r w:rsidR="00D96D62">
        <w:rPr>
          <w:rFonts w:ascii="Times New Roman" w:eastAsia="Times New Roman" w:hAnsi="Times New Roman" w:cs="Times New Roman"/>
          <w:b/>
          <w:i/>
          <w:sz w:val="21"/>
          <w:szCs w:val="21"/>
        </w:rPr>
        <w:t xml:space="preserve"> </w:t>
      </w:r>
      <w:r w:rsidRPr="009D6EA4">
        <w:rPr>
          <w:rFonts w:ascii="Times New Roman" w:eastAsia="Times New Roman" w:hAnsi="Times New Roman" w:cs="Times New Roman"/>
          <w:b/>
          <w:i/>
          <w:sz w:val="21"/>
          <w:szCs w:val="21"/>
        </w:rPr>
        <w:t>М.С.,</w:t>
      </w:r>
    </w:p>
    <w:p w14:paraId="50AA6553" w14:textId="77777777" w:rsidR="009D6EA4" w:rsidRPr="009D6EA4" w:rsidRDefault="009D6EA4" w:rsidP="009D6EA4">
      <w:pPr>
        <w:suppressAutoHyphens/>
        <w:spacing w:after="0" w:line="240" w:lineRule="auto"/>
        <w:jc w:val="right"/>
        <w:rPr>
          <w:rFonts w:ascii="Times New Roman" w:eastAsia="Times New Roman" w:hAnsi="Times New Roman" w:cs="Times New Roman"/>
          <w:i/>
          <w:sz w:val="21"/>
          <w:szCs w:val="21"/>
        </w:rPr>
      </w:pPr>
      <w:r w:rsidRPr="009D6EA4">
        <w:rPr>
          <w:rFonts w:ascii="Times New Roman" w:eastAsia="Times New Roman" w:hAnsi="Times New Roman" w:cs="Times New Roman"/>
          <w:b/>
          <w:i/>
          <w:sz w:val="21"/>
          <w:szCs w:val="21"/>
        </w:rPr>
        <w:t xml:space="preserve"> </w:t>
      </w:r>
      <w:r w:rsidRPr="009D6EA4">
        <w:rPr>
          <w:rFonts w:ascii="Times New Roman" w:eastAsia="Times New Roman" w:hAnsi="Times New Roman" w:cs="Times New Roman"/>
          <w:i/>
          <w:sz w:val="21"/>
          <w:szCs w:val="21"/>
        </w:rPr>
        <w:t>Старший преподаватель</w:t>
      </w:r>
    </w:p>
    <w:p w14:paraId="5169F47D" w14:textId="77777777" w:rsidR="006A558E" w:rsidRDefault="006A558E" w:rsidP="009D6EA4">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47E1252" w14:textId="1EF25314" w:rsidR="009D6EA4" w:rsidRPr="009D6EA4" w:rsidRDefault="009D6EA4" w:rsidP="009D6EA4">
      <w:pPr>
        <w:suppressAutoHyphens/>
        <w:spacing w:after="0" w:line="240" w:lineRule="auto"/>
        <w:jc w:val="right"/>
        <w:rPr>
          <w:rFonts w:ascii="Times New Roman" w:eastAsia="Times New Roman" w:hAnsi="Times New Roman" w:cs="Times New Roman"/>
          <w:i/>
          <w:sz w:val="21"/>
          <w:szCs w:val="21"/>
          <w:lang w:eastAsia="ar-SA"/>
        </w:rPr>
      </w:pPr>
      <w:r w:rsidRPr="009D6EA4">
        <w:rPr>
          <w:rFonts w:ascii="Times New Roman" w:eastAsia="Times New Roman" w:hAnsi="Times New Roman" w:cs="Times New Roman"/>
          <w:i/>
          <w:sz w:val="21"/>
          <w:szCs w:val="21"/>
          <w:lang w:eastAsia="ar-SA"/>
        </w:rPr>
        <w:t>г. Краснодар, Россия</w:t>
      </w:r>
    </w:p>
    <w:p w14:paraId="6391AFE0" w14:textId="77777777" w:rsidR="009D6EA4" w:rsidRPr="009D6EA4" w:rsidRDefault="009D6EA4" w:rsidP="009D6EA4">
      <w:pPr>
        <w:suppressAutoHyphens/>
        <w:spacing w:after="0" w:line="240" w:lineRule="auto"/>
        <w:jc w:val="right"/>
        <w:textAlignment w:val="baseline"/>
        <w:rPr>
          <w:rFonts w:ascii="Times New Roman" w:eastAsia="Times New Roman" w:hAnsi="Times New Roman" w:cs="Times New Roman"/>
          <w:i/>
          <w:sz w:val="21"/>
          <w:szCs w:val="21"/>
          <w:lang w:val="x-none" w:eastAsia="ar-SA"/>
        </w:rPr>
      </w:pPr>
      <w:r w:rsidRPr="009D6EA4">
        <w:rPr>
          <w:rFonts w:ascii="Times New Roman" w:eastAsia="Times New Roman" w:hAnsi="Times New Roman" w:cs="Times New Roman"/>
          <w:i/>
          <w:sz w:val="21"/>
          <w:szCs w:val="21"/>
          <w:lang w:eastAsia="ar-SA"/>
        </w:rPr>
        <w:t>е-</w:t>
      </w:r>
      <w:r w:rsidRPr="009D6EA4">
        <w:rPr>
          <w:rFonts w:ascii="Times New Roman" w:eastAsia="Times New Roman" w:hAnsi="Times New Roman" w:cs="Times New Roman"/>
          <w:i/>
          <w:sz w:val="21"/>
          <w:szCs w:val="21"/>
          <w:lang w:val="en-US" w:eastAsia="ar-SA"/>
        </w:rPr>
        <w:t>mail</w:t>
      </w:r>
      <w:r w:rsidRPr="009D6EA4">
        <w:rPr>
          <w:rFonts w:ascii="Times New Roman" w:eastAsia="Times New Roman" w:hAnsi="Times New Roman" w:cs="Times New Roman"/>
          <w:i/>
          <w:sz w:val="21"/>
          <w:szCs w:val="21"/>
          <w:lang w:eastAsia="ar-SA"/>
        </w:rPr>
        <w:t xml:space="preserve">: </w:t>
      </w:r>
      <w:r w:rsidRPr="009D6EA4">
        <w:rPr>
          <w:rFonts w:ascii="Times New Roman" w:eastAsia="Aptos Display" w:hAnsi="Times New Roman" w:cs="Times New Roman"/>
          <w:i/>
          <w:color w:val="000080"/>
          <w:sz w:val="21"/>
          <w:szCs w:val="21"/>
          <w:u w:val="single"/>
          <w:lang w:val="en-US" w:eastAsia="ar-SA"/>
        </w:rPr>
        <w:t>MSDyudin</w:t>
      </w:r>
      <w:r w:rsidRPr="009D6EA4">
        <w:rPr>
          <w:rFonts w:ascii="Times New Roman" w:eastAsia="Aptos Display" w:hAnsi="Times New Roman" w:cs="Times New Roman"/>
          <w:i/>
          <w:color w:val="000080"/>
          <w:sz w:val="21"/>
          <w:szCs w:val="21"/>
          <w:u w:val="single"/>
          <w:lang w:eastAsia="ar-SA"/>
        </w:rPr>
        <w:t>@</w:t>
      </w:r>
      <w:r w:rsidRPr="009D6EA4">
        <w:rPr>
          <w:rFonts w:ascii="Times New Roman" w:eastAsia="Aptos Display" w:hAnsi="Times New Roman" w:cs="Times New Roman"/>
          <w:i/>
          <w:color w:val="000080"/>
          <w:sz w:val="21"/>
          <w:szCs w:val="21"/>
          <w:u w:val="single"/>
          <w:lang w:val="en-US" w:eastAsia="ar-SA"/>
        </w:rPr>
        <w:t>fa</w:t>
      </w:r>
      <w:r w:rsidRPr="009D6EA4">
        <w:rPr>
          <w:rFonts w:ascii="Times New Roman" w:eastAsia="Aptos Display" w:hAnsi="Times New Roman" w:cs="Times New Roman"/>
          <w:i/>
          <w:color w:val="000080"/>
          <w:sz w:val="21"/>
          <w:szCs w:val="21"/>
          <w:u w:val="single"/>
          <w:lang w:eastAsia="ar-SA"/>
        </w:rPr>
        <w:t>.</w:t>
      </w:r>
      <w:r w:rsidRPr="009D6EA4">
        <w:rPr>
          <w:rFonts w:ascii="Times New Roman" w:eastAsia="Aptos Display" w:hAnsi="Times New Roman" w:cs="Times New Roman"/>
          <w:i/>
          <w:color w:val="000080"/>
          <w:sz w:val="21"/>
          <w:szCs w:val="21"/>
          <w:u w:val="single"/>
          <w:lang w:val="en-US" w:eastAsia="ar-SA"/>
        </w:rPr>
        <w:t>ru</w:t>
      </w:r>
    </w:p>
    <w:p w14:paraId="67150747" w14:textId="77777777" w:rsidR="009D6EA4" w:rsidRPr="009D6EA4" w:rsidRDefault="009D6EA4" w:rsidP="009D6EA4">
      <w:pPr>
        <w:suppressAutoHyphens/>
        <w:spacing w:after="0" w:line="240" w:lineRule="auto"/>
        <w:jc w:val="center"/>
        <w:rPr>
          <w:rFonts w:ascii="Times New Roman" w:eastAsia="Times New Roman" w:hAnsi="Times New Roman" w:cs="Times New Roman"/>
          <w:b/>
          <w:sz w:val="21"/>
          <w:szCs w:val="21"/>
          <w:lang w:eastAsia="ar-SA"/>
        </w:rPr>
      </w:pPr>
    </w:p>
    <w:p w14:paraId="2CC52601" w14:textId="77777777" w:rsidR="009D6EA4" w:rsidRDefault="009D6EA4" w:rsidP="009D6EA4">
      <w:pPr>
        <w:tabs>
          <w:tab w:val="left" w:pos="851"/>
          <w:tab w:val="left" w:pos="993"/>
          <w:tab w:val="left" w:pos="4320"/>
        </w:tabs>
        <w:suppressAutoHyphens/>
        <w:spacing w:after="0" w:line="240" w:lineRule="auto"/>
        <w:ind w:left="709"/>
        <w:jc w:val="center"/>
        <w:rPr>
          <w:rFonts w:ascii="Times New Roman" w:eastAsia="Times New Roman" w:hAnsi="Times New Roman" w:cs="Times New Roman"/>
          <w:b/>
          <w:iCs/>
          <w:sz w:val="21"/>
          <w:szCs w:val="21"/>
        </w:rPr>
      </w:pPr>
      <w:r w:rsidRPr="009D6EA4">
        <w:rPr>
          <w:rFonts w:ascii="Times New Roman" w:eastAsia="Times New Roman" w:hAnsi="Times New Roman" w:cs="Times New Roman"/>
          <w:b/>
          <w:iCs/>
          <w:sz w:val="21"/>
          <w:szCs w:val="21"/>
        </w:rPr>
        <w:t>Внедрения ИИ в бизнес-процессы</w:t>
      </w:r>
    </w:p>
    <w:p w14:paraId="77FCE509" w14:textId="77777777" w:rsidR="00F7110B" w:rsidRPr="009D6EA4" w:rsidRDefault="00F7110B" w:rsidP="009D6EA4">
      <w:pPr>
        <w:tabs>
          <w:tab w:val="left" w:pos="851"/>
          <w:tab w:val="left" w:pos="993"/>
          <w:tab w:val="left" w:pos="4320"/>
        </w:tabs>
        <w:suppressAutoHyphens/>
        <w:spacing w:after="0" w:line="240" w:lineRule="auto"/>
        <w:ind w:left="709"/>
        <w:jc w:val="center"/>
        <w:rPr>
          <w:rFonts w:ascii="Calibri" w:eastAsia="Times New Roman" w:hAnsi="Calibri" w:cs="Times New Roman"/>
          <w:sz w:val="21"/>
          <w:szCs w:val="21"/>
        </w:rPr>
      </w:pPr>
    </w:p>
    <w:p w14:paraId="69FE5D15" w14:textId="77777777" w:rsidR="00ED45E1" w:rsidRDefault="009D6EA4" w:rsidP="00ED45E1">
      <w:pPr>
        <w:tabs>
          <w:tab w:val="left" w:pos="851"/>
          <w:tab w:val="left" w:pos="993"/>
          <w:tab w:val="left" w:pos="4320"/>
        </w:tabs>
        <w:suppressAutoHyphens/>
        <w:spacing w:after="0" w:line="240" w:lineRule="auto"/>
        <w:ind w:firstLine="709"/>
        <w:jc w:val="both"/>
        <w:rPr>
          <w:rFonts w:ascii="Calibri" w:eastAsia="Times New Roman" w:hAnsi="Calibri" w:cs="Times New Roman"/>
        </w:rPr>
      </w:pPr>
      <w:r w:rsidRPr="009D6EA4">
        <w:rPr>
          <w:rFonts w:ascii="Times New Roman" w:eastAsia="Times New Roman" w:hAnsi="Times New Roman" w:cs="Times New Roman"/>
          <w:b/>
          <w:bCs/>
          <w:iCs/>
          <w:color w:val="404040"/>
          <w:sz w:val="21"/>
          <w:szCs w:val="21"/>
        </w:rPr>
        <w:t>Аннотация</w:t>
      </w:r>
      <w:r w:rsidR="0050586E">
        <w:rPr>
          <w:rFonts w:ascii="Times New Roman" w:eastAsia="Times New Roman" w:hAnsi="Times New Roman" w:cs="Times New Roman"/>
          <w:b/>
          <w:bCs/>
          <w:iCs/>
          <w:color w:val="404040"/>
          <w:sz w:val="21"/>
          <w:szCs w:val="21"/>
        </w:rPr>
        <w:t>:</w:t>
      </w:r>
      <w:r w:rsidR="0050586E">
        <w:rPr>
          <w:rFonts w:ascii="Times New Roman" w:eastAsia="Times New Roman" w:hAnsi="Times New Roman" w:cs="Times New Roman"/>
          <w:b/>
          <w:iCs/>
          <w:sz w:val="21"/>
          <w:szCs w:val="21"/>
        </w:rPr>
        <w:t xml:space="preserve"> </w:t>
      </w:r>
      <w:r w:rsidRPr="009D6EA4">
        <w:rPr>
          <w:rFonts w:ascii="Times New Roman" w:eastAsia="Times New Roman" w:hAnsi="Times New Roman" w:cs="Times New Roman"/>
          <w:iCs/>
          <w:color w:val="404040"/>
          <w:sz w:val="21"/>
          <w:szCs w:val="21"/>
        </w:rPr>
        <w:t>В статье исследуется роль искусственного интеллекта (ИИ) в оптимизации бизнес-процессов организаций в условиях цифровой трансформации. Рассматриваются ключевые технологии, такие как машинное обучение, Robotic Process Automation (RPA) и предиктивная аналитика, а также их применение в различных секторах: логистике, ритейле, банковском деле и производстве. На примере российских компаний («СберЛогистика», X5 Retail Group, Тинькофф Банк, Wildberries, «Газпром нефть») показано, как внедрение ИИ сокращает издержки, повышает операционную эффективность и улучшает клиентский опыт.</w:t>
      </w:r>
      <w:r w:rsidRPr="009D6EA4">
        <w:rPr>
          <w:rFonts w:ascii="Times New Roman" w:eastAsia="Times New Roman" w:hAnsi="Times New Roman" w:cs="Times New Roman"/>
          <w:b/>
          <w:iCs/>
          <w:sz w:val="21"/>
          <w:szCs w:val="21"/>
        </w:rPr>
        <w:t xml:space="preserve"> </w:t>
      </w:r>
    </w:p>
    <w:p w14:paraId="6725C63F" w14:textId="6C6496E9" w:rsidR="009D6EA4" w:rsidRPr="009D6EA4" w:rsidRDefault="009D6EA4" w:rsidP="00ED45E1">
      <w:pPr>
        <w:tabs>
          <w:tab w:val="left" w:pos="851"/>
          <w:tab w:val="left" w:pos="993"/>
          <w:tab w:val="left" w:pos="4320"/>
        </w:tabs>
        <w:suppressAutoHyphens/>
        <w:spacing w:after="0" w:line="240" w:lineRule="auto"/>
        <w:ind w:firstLine="709"/>
        <w:jc w:val="both"/>
        <w:rPr>
          <w:rFonts w:ascii="Calibri" w:eastAsia="Times New Roman" w:hAnsi="Calibri" w:cs="Times New Roman"/>
        </w:rPr>
      </w:pPr>
      <w:r w:rsidRPr="009D6EA4">
        <w:rPr>
          <w:rFonts w:ascii="Times New Roman" w:eastAsia="Times New Roman" w:hAnsi="Times New Roman" w:cs="Times New Roman"/>
          <w:b/>
          <w:bCs/>
          <w:iCs/>
          <w:color w:val="404040"/>
          <w:sz w:val="21"/>
          <w:szCs w:val="21"/>
        </w:rPr>
        <w:t>Ключевые слова: </w:t>
      </w:r>
      <w:r w:rsidRPr="009D6EA4">
        <w:rPr>
          <w:rFonts w:ascii="Times New Roman" w:eastAsia="Times New Roman" w:hAnsi="Times New Roman" w:cs="Times New Roman"/>
          <w:iCs/>
          <w:color w:val="404040"/>
          <w:sz w:val="21"/>
          <w:szCs w:val="21"/>
        </w:rPr>
        <w:t>искусственный интеллект, оптимизация бизнес-процессов, машинное обучение, Robotic Process Automation, предиктивная аналитика, цифровая трансформация, этика ИИ.</w:t>
      </w:r>
      <w:r w:rsidRPr="009D6EA4">
        <w:rPr>
          <w:rFonts w:ascii="Times New Roman" w:eastAsia="Times New Roman" w:hAnsi="Times New Roman" w:cs="Times New Roman"/>
          <w:b/>
          <w:iCs/>
          <w:sz w:val="21"/>
          <w:szCs w:val="21"/>
        </w:rPr>
        <w:t xml:space="preserve"> </w:t>
      </w:r>
    </w:p>
    <w:p w14:paraId="2F33519A" w14:textId="77777777" w:rsidR="009D6EA4" w:rsidRPr="009D6EA4" w:rsidRDefault="009D6EA4" w:rsidP="009D6EA4">
      <w:pPr>
        <w:suppressAutoHyphens/>
        <w:spacing w:after="0" w:line="240" w:lineRule="auto"/>
        <w:ind w:firstLine="567"/>
        <w:jc w:val="both"/>
        <w:rPr>
          <w:rFonts w:ascii="Times New Roman" w:eastAsia="Times New Roman" w:hAnsi="Times New Roman" w:cs="Times New Roman"/>
          <w:iCs/>
          <w:sz w:val="21"/>
          <w:szCs w:val="21"/>
          <w:shd w:val="clear" w:color="auto" w:fill="00FFFF"/>
        </w:rPr>
      </w:pPr>
    </w:p>
    <w:p w14:paraId="5ECE5E4E" w14:textId="432D4B81" w:rsidR="009D6EA4" w:rsidRPr="009D6EA4" w:rsidRDefault="009D6EA4" w:rsidP="009D6EA4">
      <w:pPr>
        <w:suppressAutoHyphens/>
        <w:spacing w:after="0" w:line="240" w:lineRule="auto"/>
        <w:ind w:firstLine="567"/>
        <w:jc w:val="right"/>
        <w:rPr>
          <w:rFonts w:ascii="Times New Roman" w:eastAsia="Times New Roman" w:hAnsi="Times New Roman" w:cs="Times New Roman"/>
          <w:b/>
          <w:bCs/>
          <w:sz w:val="21"/>
          <w:szCs w:val="21"/>
          <w:lang w:val="en-US"/>
        </w:rPr>
      </w:pPr>
      <w:r w:rsidRPr="009D6EA4">
        <w:rPr>
          <w:rFonts w:ascii="Times New Roman" w:eastAsia="Times New Roman" w:hAnsi="Times New Roman" w:cs="Times New Roman"/>
          <w:b/>
          <w:bCs/>
          <w:i/>
          <w:iCs/>
          <w:color w:val="404040"/>
          <w:sz w:val="21"/>
          <w:szCs w:val="21"/>
          <w:lang w:val="en-US"/>
        </w:rPr>
        <w:t>Kvyatkovskiy S.K</w:t>
      </w:r>
      <w:r w:rsidRPr="009D6EA4">
        <w:rPr>
          <w:rFonts w:ascii="Times New Roman" w:eastAsia="Times New Roman" w:hAnsi="Times New Roman" w:cs="Times New Roman"/>
          <w:b/>
          <w:bCs/>
          <w:i/>
          <w:sz w:val="21"/>
          <w:szCs w:val="21"/>
          <w:lang w:val="en-US"/>
        </w:rPr>
        <w:t>.,</w:t>
      </w:r>
    </w:p>
    <w:p w14:paraId="2E04BC9D"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sz w:val="21"/>
          <w:szCs w:val="21"/>
          <w:lang w:val="en-US"/>
        </w:rPr>
      </w:pPr>
      <w:r w:rsidRPr="009D6EA4">
        <w:rPr>
          <w:rFonts w:ascii="Times New Roman" w:eastAsia="Times New Roman" w:hAnsi="Times New Roman" w:cs="Times New Roman"/>
          <w:i/>
          <w:sz w:val="21"/>
          <w:szCs w:val="21"/>
          <w:lang w:val="en-US"/>
        </w:rPr>
        <w:t xml:space="preserve">student, 2 courses </w:t>
      </w:r>
    </w:p>
    <w:p w14:paraId="06C4AA8E"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i/>
          <w:iCs/>
          <w:sz w:val="21"/>
          <w:szCs w:val="21"/>
          <w:lang w:val="en-US"/>
        </w:rPr>
      </w:pPr>
      <w:r w:rsidRPr="009D6EA4">
        <w:rPr>
          <w:rFonts w:ascii="Times New Roman" w:eastAsia="Times New Roman" w:hAnsi="Times New Roman" w:cs="Times New Roman"/>
          <w:i/>
          <w:iCs/>
          <w:color w:val="404040"/>
          <w:sz w:val="21"/>
          <w:szCs w:val="21"/>
          <w:lang w:val="en-US"/>
        </w:rPr>
        <w:t>Financial University under the Government of the Russian Federation</w:t>
      </w:r>
      <w:r w:rsidRPr="009D6EA4">
        <w:rPr>
          <w:rFonts w:ascii="Times New Roman" w:eastAsia="Times New Roman" w:hAnsi="Times New Roman" w:cs="Times New Roman"/>
          <w:i/>
          <w:iCs/>
          <w:sz w:val="21"/>
          <w:szCs w:val="21"/>
          <w:lang w:val="en-US"/>
        </w:rPr>
        <w:br/>
      </w:r>
      <w:r w:rsidRPr="009D6EA4">
        <w:rPr>
          <w:rFonts w:ascii="Times New Roman" w:eastAsia="Times New Roman" w:hAnsi="Times New Roman" w:cs="Times New Roman"/>
          <w:i/>
          <w:iCs/>
          <w:color w:val="404040"/>
          <w:sz w:val="21"/>
          <w:szCs w:val="21"/>
          <w:lang w:val="en-US"/>
        </w:rPr>
        <w:t>Krasnodar, Russia</w:t>
      </w:r>
      <w:r w:rsidRPr="009D6EA4">
        <w:rPr>
          <w:rFonts w:ascii="Times New Roman" w:eastAsia="Times New Roman" w:hAnsi="Times New Roman" w:cs="Times New Roman"/>
          <w:i/>
          <w:iCs/>
          <w:sz w:val="21"/>
          <w:szCs w:val="21"/>
          <w:lang w:val="en-US"/>
        </w:rPr>
        <w:t xml:space="preserve"> </w:t>
      </w:r>
    </w:p>
    <w:p w14:paraId="41CFC30E"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sz w:val="21"/>
          <w:szCs w:val="21"/>
          <w:lang w:val="en-US"/>
        </w:rPr>
      </w:pPr>
      <w:r w:rsidRPr="009D6EA4">
        <w:rPr>
          <w:rFonts w:ascii="Times New Roman" w:eastAsia="Times New Roman" w:hAnsi="Times New Roman" w:cs="Times New Roman"/>
          <w:i/>
          <w:sz w:val="21"/>
          <w:szCs w:val="21"/>
          <w:lang w:eastAsia="ru-RU"/>
        </w:rPr>
        <w:t>е</w:t>
      </w:r>
      <w:r w:rsidRPr="009D6EA4">
        <w:rPr>
          <w:rFonts w:ascii="Times New Roman" w:eastAsia="Times New Roman" w:hAnsi="Times New Roman" w:cs="Times New Roman"/>
          <w:i/>
          <w:sz w:val="21"/>
          <w:szCs w:val="21"/>
          <w:lang w:val="en-US"/>
        </w:rPr>
        <w:t xml:space="preserve">-mail: </w:t>
      </w:r>
      <w:r w:rsidRPr="009D6EA4">
        <w:rPr>
          <w:rFonts w:ascii="Times New Roman" w:eastAsia="Aptos Display" w:hAnsi="Times New Roman" w:cs="Times New Roman"/>
          <w:i/>
          <w:color w:val="000080"/>
          <w:sz w:val="21"/>
          <w:szCs w:val="21"/>
          <w:u w:val="single"/>
          <w:lang w:val="en-US"/>
        </w:rPr>
        <w:t>100DOT13SL230269@edu.fa.ru</w:t>
      </w:r>
    </w:p>
    <w:p w14:paraId="5A7AD623"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i/>
          <w:sz w:val="21"/>
          <w:szCs w:val="21"/>
          <w:lang w:val="en-US"/>
        </w:rPr>
      </w:pPr>
    </w:p>
    <w:p w14:paraId="3575E5B1"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b/>
          <w:bCs/>
          <w:i/>
          <w:sz w:val="21"/>
          <w:szCs w:val="21"/>
          <w:lang w:val="en-US"/>
        </w:rPr>
      </w:pPr>
      <w:r w:rsidRPr="009D6EA4">
        <w:rPr>
          <w:rFonts w:ascii="Times New Roman" w:eastAsia="Times New Roman" w:hAnsi="Times New Roman" w:cs="Times New Roman"/>
          <w:b/>
          <w:bCs/>
          <w:i/>
          <w:sz w:val="21"/>
          <w:szCs w:val="21"/>
          <w:lang w:val="en-US"/>
        </w:rPr>
        <w:t>Scientific Adviser:</w:t>
      </w:r>
    </w:p>
    <w:p w14:paraId="06F97D23"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b/>
          <w:bCs/>
          <w:sz w:val="21"/>
          <w:szCs w:val="21"/>
          <w:lang w:val="en-US"/>
        </w:rPr>
      </w:pPr>
      <w:r w:rsidRPr="009D6EA4">
        <w:rPr>
          <w:rFonts w:ascii="Times New Roman" w:eastAsia="Times New Roman" w:hAnsi="Times New Roman" w:cs="Times New Roman"/>
          <w:b/>
          <w:bCs/>
          <w:i/>
          <w:sz w:val="21"/>
          <w:szCs w:val="21"/>
          <w:lang w:val="en-US"/>
        </w:rPr>
        <w:t xml:space="preserve">Dyudin M.S., </w:t>
      </w:r>
    </w:p>
    <w:p w14:paraId="2C426648"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sz w:val="21"/>
          <w:szCs w:val="21"/>
          <w:lang w:val="en-US"/>
        </w:rPr>
      </w:pPr>
      <w:r w:rsidRPr="009D6EA4">
        <w:rPr>
          <w:rFonts w:ascii="Times New Roman" w:eastAsia="Times New Roman" w:hAnsi="Times New Roman" w:cs="Times New Roman"/>
          <w:i/>
          <w:iCs/>
          <w:sz w:val="21"/>
          <w:szCs w:val="21"/>
          <w:shd w:val="clear" w:color="auto" w:fill="FFFFFF"/>
          <w:lang w:val="en-US"/>
        </w:rPr>
        <w:t>Senior lecturer</w:t>
      </w:r>
    </w:p>
    <w:p w14:paraId="0A5AA556" w14:textId="77777777" w:rsidR="009D6EA4" w:rsidRPr="009D6EA4" w:rsidRDefault="009D6EA4" w:rsidP="009D6EA4">
      <w:pPr>
        <w:suppressAutoHyphens/>
        <w:spacing w:after="0" w:line="240" w:lineRule="auto"/>
        <w:ind w:firstLine="567"/>
        <w:jc w:val="right"/>
        <w:rPr>
          <w:rFonts w:ascii="Times New Roman" w:eastAsia="Times New Roman" w:hAnsi="Times New Roman" w:cs="Times New Roman"/>
          <w:i/>
          <w:sz w:val="21"/>
          <w:szCs w:val="21"/>
          <w:lang w:val="en-US"/>
        </w:rPr>
      </w:pPr>
      <w:r w:rsidRPr="009D6EA4">
        <w:rPr>
          <w:rFonts w:ascii="Times New Roman" w:eastAsia="Times New Roman" w:hAnsi="Times New Roman" w:cs="Times New Roman"/>
          <w:i/>
          <w:iCs/>
          <w:color w:val="404040"/>
          <w:sz w:val="21"/>
          <w:szCs w:val="21"/>
          <w:lang w:val="en-US"/>
        </w:rPr>
        <w:t>Financial University under the Government of the Russian Federation</w:t>
      </w:r>
      <w:r w:rsidRPr="009D6EA4">
        <w:rPr>
          <w:rFonts w:ascii="Times New Roman" w:eastAsia="Times New Roman" w:hAnsi="Times New Roman" w:cs="Times New Roman"/>
          <w:i/>
          <w:sz w:val="21"/>
          <w:szCs w:val="21"/>
          <w:lang w:val="en-US"/>
        </w:rPr>
        <w:br/>
      </w:r>
      <w:r w:rsidRPr="009D6EA4">
        <w:rPr>
          <w:rFonts w:ascii="Times New Roman" w:eastAsia="Times New Roman" w:hAnsi="Times New Roman" w:cs="Times New Roman"/>
          <w:i/>
          <w:iCs/>
          <w:color w:val="404040"/>
          <w:sz w:val="21"/>
          <w:szCs w:val="21"/>
          <w:lang w:val="en-US"/>
        </w:rPr>
        <w:t>Krasnodar, Russia</w:t>
      </w:r>
      <w:r w:rsidRPr="009D6EA4">
        <w:rPr>
          <w:rFonts w:ascii="Times New Roman" w:eastAsia="Times New Roman" w:hAnsi="Times New Roman" w:cs="Times New Roman"/>
          <w:i/>
          <w:sz w:val="21"/>
          <w:szCs w:val="21"/>
          <w:lang w:val="en-US"/>
        </w:rPr>
        <w:t xml:space="preserve"> </w:t>
      </w:r>
    </w:p>
    <w:p w14:paraId="52858B2A" w14:textId="77777777" w:rsidR="009D6EA4" w:rsidRPr="00656AA8" w:rsidRDefault="009D6EA4" w:rsidP="009D6EA4">
      <w:pPr>
        <w:suppressAutoHyphens/>
        <w:spacing w:after="0" w:line="240" w:lineRule="auto"/>
        <w:ind w:firstLine="567"/>
        <w:jc w:val="right"/>
        <w:textAlignment w:val="baseline"/>
        <w:rPr>
          <w:lang w:val="en-US"/>
        </w:rPr>
      </w:pPr>
      <w:r w:rsidRPr="009D6EA4">
        <w:rPr>
          <w:rFonts w:ascii="Times New Roman" w:eastAsia="Times New Roman" w:hAnsi="Times New Roman" w:cs="Times New Roman"/>
          <w:i/>
          <w:sz w:val="21"/>
          <w:szCs w:val="21"/>
          <w:lang w:eastAsia="ru-RU"/>
        </w:rPr>
        <w:t>е</w:t>
      </w:r>
      <w:r w:rsidRPr="009D6EA4">
        <w:rPr>
          <w:rFonts w:ascii="Times New Roman" w:eastAsia="Times New Roman" w:hAnsi="Times New Roman" w:cs="Times New Roman"/>
          <w:i/>
          <w:sz w:val="21"/>
          <w:szCs w:val="21"/>
          <w:lang w:val="en-US"/>
        </w:rPr>
        <w:t xml:space="preserve">-mail: </w:t>
      </w:r>
      <w:hyperlink>
        <w:r w:rsidRPr="009D6EA4">
          <w:rPr>
            <w:rFonts w:ascii="Times New Roman" w:eastAsia="Aptos Display" w:hAnsi="Times New Roman" w:cs="Times New Roman"/>
            <w:i/>
            <w:color w:val="000080"/>
            <w:sz w:val="21"/>
            <w:szCs w:val="21"/>
            <w:u w:val="single"/>
            <w:lang w:val="en-US"/>
          </w:rPr>
          <w:t>MSDyudin@fa.ru</w:t>
        </w:r>
      </w:hyperlink>
    </w:p>
    <w:p w14:paraId="15DFA017" w14:textId="77777777" w:rsidR="008C5697" w:rsidRPr="009D6EA4" w:rsidRDefault="008C5697" w:rsidP="009D6EA4">
      <w:pPr>
        <w:suppressAutoHyphens/>
        <w:spacing w:after="0" w:line="240" w:lineRule="auto"/>
        <w:ind w:firstLine="567"/>
        <w:jc w:val="right"/>
        <w:textAlignment w:val="baseline"/>
        <w:rPr>
          <w:rFonts w:ascii="Times New Roman" w:eastAsia="Times New Roman" w:hAnsi="Times New Roman" w:cs="Times New Roman"/>
          <w:sz w:val="21"/>
          <w:szCs w:val="21"/>
          <w:lang w:val="en-US"/>
        </w:rPr>
      </w:pPr>
    </w:p>
    <w:p w14:paraId="6838A991" w14:textId="17A973CA" w:rsidR="009D6EA4" w:rsidRPr="009D6EA4" w:rsidRDefault="009D6EA4" w:rsidP="0050586E">
      <w:pPr>
        <w:suppressAutoHyphens/>
        <w:spacing w:after="0" w:line="240" w:lineRule="auto"/>
        <w:ind w:firstLine="709"/>
        <w:jc w:val="both"/>
        <w:textAlignment w:val="baseline"/>
        <w:rPr>
          <w:rFonts w:ascii="Times New Roman" w:eastAsia="Times New Roman" w:hAnsi="Times New Roman" w:cs="Times New Roman"/>
          <w:lang w:val="en-US"/>
        </w:rPr>
      </w:pPr>
      <w:r w:rsidRPr="009D6EA4">
        <w:rPr>
          <w:rFonts w:ascii="Times New Roman" w:eastAsia="Aptos Display" w:hAnsi="Times New Roman" w:cs="Times New Roman"/>
          <w:b/>
          <w:bCs/>
          <w:color w:val="404040"/>
          <w:sz w:val="21"/>
          <w:szCs w:val="21"/>
          <w:lang w:val="en-US"/>
        </w:rPr>
        <w:t>Abstract</w:t>
      </w:r>
      <w:r w:rsidR="00ED45E1" w:rsidRPr="00ED45E1">
        <w:rPr>
          <w:rFonts w:ascii="Times New Roman" w:eastAsia="Aptos Display" w:hAnsi="Times New Roman" w:cs="Times New Roman"/>
          <w:color w:val="404040"/>
          <w:sz w:val="24"/>
          <w:szCs w:val="21"/>
          <w:u w:val="single"/>
          <w:lang w:val="en-US"/>
        </w:rPr>
        <w:t xml:space="preserve">: </w:t>
      </w:r>
      <w:r w:rsidRPr="009D6EA4">
        <w:rPr>
          <w:rFonts w:ascii="Times New Roman" w:eastAsia="Aptos Display" w:hAnsi="Times New Roman" w:cs="Times New Roman"/>
          <w:color w:val="404040"/>
          <w:sz w:val="21"/>
          <w:szCs w:val="21"/>
          <w:lang w:val="en-US"/>
        </w:rPr>
        <w:t xml:space="preserve">The article explores the role of artificial intelligence (AI) in optimizing business processes of organizations in the context of digital transformation. Key technologies such as machine learning, Robotic Process Automation (RPA), and predictive analytics are examined, along with their applications across various sectors: </w:t>
      </w:r>
      <w:r w:rsidRPr="009D6EA4">
        <w:rPr>
          <w:rFonts w:ascii="Times New Roman" w:eastAsia="Aptos Display" w:hAnsi="Times New Roman" w:cs="Times New Roman"/>
          <w:color w:val="404040"/>
          <w:sz w:val="21"/>
          <w:szCs w:val="21"/>
          <w:lang w:val="en-US"/>
        </w:rPr>
        <w:lastRenderedPageBreak/>
        <w:t>logistics, retail, banking, and manufacturing. Using case studies of Russian companies (SberLogistika, X5 Retail Group, Tinkoff Bank, Wildberries, Gazprom Neft), the article demonstrates how AI implementation reduces costs, enhances operational efficiency, and improves customer experience.</w:t>
      </w:r>
    </w:p>
    <w:p w14:paraId="60CDFB50" w14:textId="77777777" w:rsidR="009D6EA4" w:rsidRPr="009D6EA4" w:rsidRDefault="009D6EA4" w:rsidP="0050586E">
      <w:pPr>
        <w:suppressAutoHyphens/>
        <w:spacing w:after="0" w:line="240" w:lineRule="auto"/>
        <w:ind w:firstLine="709"/>
        <w:jc w:val="both"/>
        <w:rPr>
          <w:rFonts w:ascii="Times New Roman" w:eastAsia="Times New Roman" w:hAnsi="Times New Roman" w:cs="Times New Roman"/>
          <w:lang w:val="en-US"/>
        </w:rPr>
      </w:pPr>
      <w:r w:rsidRPr="009D6EA4">
        <w:rPr>
          <w:rFonts w:ascii="Times New Roman" w:eastAsia="Times New Roman" w:hAnsi="Times New Roman" w:cs="Times New Roman"/>
          <w:b/>
          <w:bCs/>
          <w:color w:val="404040"/>
          <w:sz w:val="21"/>
          <w:szCs w:val="21"/>
          <w:lang w:val="en-US"/>
        </w:rPr>
        <w:t xml:space="preserve">Keywords: </w:t>
      </w:r>
      <w:r w:rsidRPr="009D6EA4">
        <w:rPr>
          <w:rFonts w:ascii="Times New Roman" w:eastAsia="Times New Roman" w:hAnsi="Times New Roman" w:cs="Times New Roman"/>
          <w:color w:val="404040"/>
          <w:sz w:val="21"/>
          <w:szCs w:val="21"/>
          <w:lang w:val="en-US"/>
        </w:rPr>
        <w:t>artificial intelligence, business process optimization, machine learning, Robotic Process Automation, predictive analytics, digital transformation, AI ethics.</w:t>
      </w:r>
    </w:p>
    <w:p w14:paraId="592F0B85" w14:textId="77777777" w:rsidR="009D6EA4" w:rsidRPr="009D6EA4" w:rsidRDefault="009D6EA4" w:rsidP="009D6EA4">
      <w:pPr>
        <w:suppressAutoHyphens/>
        <w:spacing w:after="0" w:line="240" w:lineRule="auto"/>
        <w:ind w:firstLine="567"/>
        <w:textAlignment w:val="baseline"/>
        <w:rPr>
          <w:rFonts w:ascii="Times New Roman" w:eastAsia="Aptos Display" w:hAnsi="Times New Roman" w:cs="Times New Roman"/>
          <w:i/>
          <w:color w:val="000080"/>
          <w:sz w:val="21"/>
          <w:szCs w:val="21"/>
          <w:u w:val="single"/>
          <w:lang w:val="en-US"/>
        </w:rPr>
      </w:pPr>
    </w:p>
    <w:p w14:paraId="7CD9D6E3" w14:textId="77777777" w:rsidR="009D6EA4" w:rsidRPr="008C5697"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8C5697">
        <w:rPr>
          <w:rFonts w:ascii="Times New Roman" w:eastAsia="Times New Roman" w:hAnsi="Times New Roman" w:cs="Times New Roman"/>
          <w:sz w:val="32"/>
          <w:szCs w:val="32"/>
        </w:rPr>
        <w:t>Введение</w:t>
      </w:r>
    </w:p>
    <w:p w14:paraId="4C15C00B"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Современные организации функционируют в условиях высокой конкуренции, цифровизации и растущих требований клиентов, что делает оптимизацию бизнес-процессов неотъемлемой частью стратегии развития. Искусственный интеллект (ИИ) выступает</w:t>
      </w:r>
      <w:r w:rsidRPr="009D6EA4">
        <w:rPr>
          <w:rFonts w:ascii="Times New Roman" w:eastAsia="Times New Roman" w:hAnsi="Times New Roman" w:cs="Times New Roman"/>
          <w:b/>
          <w:bCs/>
          <w:sz w:val="32"/>
          <w:szCs w:val="32"/>
        </w:rPr>
        <w:t xml:space="preserve"> </w:t>
      </w:r>
      <w:r w:rsidRPr="009D6EA4">
        <w:rPr>
          <w:rFonts w:ascii="Times New Roman" w:eastAsia="Times New Roman" w:hAnsi="Times New Roman" w:cs="Times New Roman"/>
          <w:sz w:val="32"/>
          <w:szCs w:val="32"/>
        </w:rPr>
        <w:t>ключевым инструментом такой оптимизации, предлагая решения для автоматизации, анализа данных и прогнозирования. Внедрение ИИ позволяет не только сокращать издержки, но и повышать точность управленческих решений, улучшать клиентский опыт и создавать инновационные продукты. Однако интеграция технологий требует учета качества данных, готовности персонала к изменениям и адаптации организационной структуры. Успешное применение ИИ зависит от комплексного подхода, включающего техническую подготовку, этические стандарты и правовое регулирование, что особенно актуально в условиях быстро меняющейся цифровой экономики.</w:t>
      </w:r>
    </w:p>
    <w:p w14:paraId="79755051"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 xml:space="preserve">Основой для внедрения ИИ в бизнес-процессы является работа с данными. Алгоритмы машинного обучения (ML), такие как регрессионный анализ, деревья решений и глубокие нейронные сети, анализируют большие массивы структурированной и неструктурированной информации, выявляя скрытые паттерны. Например, в логистике предиктивная аналитика позволяет прогнозировать спрос и оптимизировать маршруты доставки, используя исторические данные о сезонных колебаниях, геолокации и внешних факторах, таких как погодные условия. Компания "СберЛогистика" внедрила ИИ-решение для прогнозирования грузопотоков, которое анализирует данные с GPS-трекеров, информацию о заказах и трафике в реальном времени. Это позволило сократить простои транспорта на 20% и повысить рентабельность логистических операций за счет минимизации холостых пробегов [1]. В ритейле X5 Retail Group использует ML-алгоритмы для управления ассортиментом, учитывая не только сезонность и локальные предпочтения, но и макроэкономические тренды, такие как инфляция и изменение потребительских привычек. Внедрение таких систем привело к увеличению продаж на 7% за счет точного прогнозирования </w:t>
      </w:r>
      <w:r w:rsidRPr="009D6EA4">
        <w:rPr>
          <w:rFonts w:ascii="Times New Roman" w:eastAsia="Times New Roman" w:hAnsi="Times New Roman" w:cs="Times New Roman"/>
          <w:sz w:val="32"/>
          <w:szCs w:val="32"/>
        </w:rPr>
        <w:lastRenderedPageBreak/>
        <w:t>спроса на региональном уровне [2]. Эти примеры демонстрируют, как ИИ трансформирует традиционные процессы, делая их гибкими и адаптивными, а также подчеркивают важность интеграции разнородных данных для достижения значимых результатов.</w:t>
      </w:r>
    </w:p>
    <w:p w14:paraId="249729F7"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Автоматизация рутинных задач - еще одно направление оптимизации, где ИИ демонстрирует высокую эффективность. Интеллектуальные RPA-системы (Robotic Process Automation) сочетают шаблонную автоматизацию с возможностями ИИ, такими как обработка естественного языка (NLP) и компьютерное зрение, что позволяет обрабатывать неструктурированные данные и адаптироваться к изменениям в режиме реального времени. В банковском секторе Тинькофф Банк автоматизировал проверку кредитных заявок: алгоритмы анализируют сканы паспортов, выписки из банков и даже оценивают кредитоспособность клиентов на основе их цифрового следа, включая историю транзакций и активность в мобильном приложении. Это сократило время обработки заявок с 48 до 2 часов, уменьшив операционные издержки на 35% [3]. В сфере обслуживания клиентов чат-боты, подобные используемым в Wildberries, обрабатывают до 80% запросов, включая оформление возвратов, отслеживание заказов и консультации по продуктам. Система на основе NLP обучается на диалогах с клиентами, постоянно улучшая точность ответов и сокращая количество эскалаций к живым операторам [4]. Однако автоматизация требует пересмотра бизнес-процессов: исключения, которые раньше решались людьми, должны быть формализованы или делегированы ИИ. Например, в случае ошибки алгоритма при верификации документов необходим механизм ручного аудита, что требует создания гибридных рабочих потоков, сочетающих автоматизацию и человеческий контроль.</w:t>
      </w:r>
    </w:p>
    <w:p w14:paraId="5631A9FE"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 xml:space="preserve">Персонализация клиентского опыта - область, где ИИ демонстрирует высокую эффективность, трансформируя взаимодействие с потребителями. Рекомендательные системы, основанные на коллаборативной фильтрации и методах глубокого обучения, анализируют поведение пользователей, включая историю покупок, время пребывания на странице и клики, чтобы предлагать релевантные товары или услуги. Wildberries использует ИИ для формирования индивидуальных подборок, учитывая не только предпочтения конкретного пользователя, но и тренды в его регионе. Это повысило конверсию на 30% и средний чек на 15%, так как клиенты чаще добавляют в корзину сопутствующие товары из </w:t>
      </w:r>
      <w:r w:rsidRPr="009D6EA4">
        <w:rPr>
          <w:rFonts w:ascii="Times New Roman" w:eastAsia="Times New Roman" w:hAnsi="Times New Roman" w:cs="Times New Roman"/>
          <w:sz w:val="32"/>
          <w:szCs w:val="32"/>
        </w:rPr>
        <w:lastRenderedPageBreak/>
        <w:t>рекомендаций [4]. Однако такие системы сталкиваются с проблемой "фильтрующих пузырей", когда пользователи оказываются в информационном вакууме, ограниченном их прошлыми действиями. Для минимизации рисков компании внедряют гибридные модели, сочетающие персонализацию с разнообразием контента. Например, алгоритмы могут случайно добавлять в рекомендации товары из новых категорий или предлагать продукты с высокими оценками, но низкой популярностью, что стимулирует исследовательское поведение клиентов и снижает риск потери аудитории из-за однообразия.</w:t>
      </w:r>
    </w:p>
    <w:p w14:paraId="4A535721"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В производственном секторе ИИ используется для предиктивного обслуживания оборудования, что позволяет перейти от реактивного к проактивному управлению активами. Датчики IoT, установленные на технике, собирают данные о вибрации, температуре, давлении и других параметрах, которые передаются в облачные платформы для анализа. Алгоритмы машинного обучения, такие как метод опорных векторов (SVM) и градиентный бустинг, прогнозируют вероятность поломок, определяя аномалии в режиме реального времени. На заводах "Газпром нефти" внедрение ИИ-платформы сократило незапланированные простои на 15% и затраты на ремонт на 25% за счет своевременного выявления износа узлов оборудования [5]. В энергетике "Россети" применяют ИИ для прогнозирования нагрузок на сети, что особенно важно в условиях роста распределенной генерации и увеличения числа электромобилей. Модели анализируют исторические данные о потреблении, погодные условия и даже активность в социальных сетях, чтобы предсказать пиковые нагрузки и оптимизировать распределение энергии. Эти решения не только повышают эффективность, но и снижают экологические риски за счет минимизации перепроизводства энергии и сокращения углеродного следа.</w:t>
      </w:r>
    </w:p>
    <w:p w14:paraId="7A426F5E"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 xml:space="preserve">Этические и организационные вызовы внедрения ИИ остаются значительными и требуют комплексного подхода. Проблема "черного ящика" - неинтерпретируемости решений нейросетей - затрудняет их применение в регулируемых отраслях, таких как медицина или финансы, где требуется прозрачность принятия решений. Например, ЦБ РФ требует объяснимости алгоритмов скоринга, что вынуждает банки использовать методы интерпретируемого ИИ, такие как SHAP (SHapley Additive exPlanations) и LIME (Local Interpretable Model-agnostic Explanations), которые визуализируют вклад каждого параметра в итоговое решение [3]. Социальные риски включают </w:t>
      </w:r>
      <w:r w:rsidRPr="009D6EA4">
        <w:rPr>
          <w:rFonts w:ascii="Times New Roman" w:eastAsia="Times New Roman" w:hAnsi="Times New Roman" w:cs="Times New Roman"/>
          <w:sz w:val="32"/>
          <w:szCs w:val="32"/>
        </w:rPr>
        <w:lastRenderedPageBreak/>
        <w:t>сокращение рабочих мест, особенно в секторах с высокой долей рутинных операций, таких как бухгалтерия или кол-центры. По данным НИУ ВШЭ, к 2030 году до 30% задач в российской экономике могут быть автоматизированы, что требует масштабных программ переобучения сотрудников [2]. В России инициатива "Цифровые профессии" от Минцифры РФ направлена на подготовку кадров для работы с новыми технологиями, однако ее масштабы пока недостаточны для покрытия растущего спроса. Например, в 2023 году программа обучила лишь 50 тысяч человек, тогда как рынок нуждается в сотнях тысяч специалистов по данным и ML.</w:t>
      </w:r>
    </w:p>
    <w:p w14:paraId="61B755F1"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Правовая база для регулирования ИИ в России находится в стадии развития, что создает как возможности, так и риски. Стратегия развития искусственного интеллекта до 2030 года задает направления для исследований и внедрения, включая создание национальных стандартов данных и поддержку стартапов в области ИИ. Однако вопросы ответственности за решения ИИ остаются открытыми. Например, в случае ошибки алгоритма при медицинской диагностике неясно, кто несет ответственность - разработчик, врач или организация. Судебные прецеденты в этой области пока отсутствуют, что затрудняет формирование единой правовой практики. Для решения этих проблем необходимо междисциплинарное сотрудничество юристов, технических специалистов и представителей бизнеса, а также гармонизация российского законодательства с международными нормами, такими как этические руководства OECD по ИИ.</w:t>
      </w:r>
    </w:p>
    <w:p w14:paraId="5168F4DD" w14:textId="7C8A3F0C"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 xml:space="preserve">Опыт российских компаний показывает, что оптимизация на основе ИИ </w:t>
      </w:r>
      <w:proofErr w:type="gramStart"/>
      <w:r w:rsidRPr="009D6EA4">
        <w:rPr>
          <w:rFonts w:ascii="Times New Roman" w:eastAsia="Times New Roman" w:hAnsi="Times New Roman" w:cs="Times New Roman"/>
          <w:sz w:val="32"/>
          <w:szCs w:val="32"/>
        </w:rPr>
        <w:t>-</w:t>
      </w:r>
      <w:r w:rsidR="008C5697">
        <w:rPr>
          <w:rFonts w:ascii="Times New Roman" w:eastAsia="Times New Roman" w:hAnsi="Times New Roman" w:cs="Times New Roman"/>
          <w:sz w:val="32"/>
          <w:szCs w:val="32"/>
        </w:rPr>
        <w:t xml:space="preserve"> </w:t>
      </w:r>
      <w:r w:rsidRPr="009D6EA4">
        <w:rPr>
          <w:rFonts w:ascii="Times New Roman" w:eastAsia="Times New Roman" w:hAnsi="Times New Roman" w:cs="Times New Roman"/>
          <w:sz w:val="32"/>
          <w:szCs w:val="32"/>
        </w:rPr>
        <w:t>это</w:t>
      </w:r>
      <w:proofErr w:type="gramEnd"/>
      <w:r w:rsidRPr="009D6EA4">
        <w:rPr>
          <w:rFonts w:ascii="Times New Roman" w:eastAsia="Times New Roman" w:hAnsi="Times New Roman" w:cs="Times New Roman"/>
          <w:sz w:val="32"/>
          <w:szCs w:val="32"/>
        </w:rPr>
        <w:t xml:space="preserve"> непрерывный процесс, требующий постоянной адаптации. Модели машинного обучения требуют регулярного обновления, так как изменения в рыночных условиях, поведении клиентов или законодательстве могут снизить их точность. Например, Сбербанк инвестирует в корпоративные образовательные программы, чтобы персонал мог эффективно работать с ИИ-инструментами. В рамках внутренних курсов сотрудники изучают основы анализа данных, работу с платформами AutoML и методы интерпретации результатов, что позволяет интегрировать ИИ в повседневные процессы [1]. "Яндекс" ежедневно дообучает свои рекомендательные алгоритмы, адаптируя их к изменениям пользовательского поведения, сезонным трендам и новым продуктам. Например, во время пандемии COVID-19 система быстро перестроилась на анализ спроса на </w:t>
      </w:r>
      <w:r w:rsidRPr="009D6EA4">
        <w:rPr>
          <w:rFonts w:ascii="Times New Roman" w:eastAsia="Times New Roman" w:hAnsi="Times New Roman" w:cs="Times New Roman"/>
          <w:sz w:val="32"/>
          <w:szCs w:val="32"/>
        </w:rPr>
        <w:lastRenderedPageBreak/>
        <w:t>медицинские товары и удаленные услуги, что позволило сохранить конкурентоспособность платформы [4]. Такая гибкость позволяет организациям оставаться конкурентоспособными в долгосрочной перспективе, однако требует значительных инвестиций в инфраструктуру и кадры.</w:t>
      </w:r>
    </w:p>
    <w:p w14:paraId="428694DB" w14:textId="77777777" w:rsidR="009D6EA4" w:rsidRPr="009D6EA4" w:rsidRDefault="009D6EA4" w:rsidP="00ED45E1">
      <w:pPr>
        <w:suppressAutoHyphens/>
        <w:spacing w:after="0" w:line="240" w:lineRule="auto"/>
        <w:ind w:firstLine="709"/>
        <w:jc w:val="both"/>
        <w:rPr>
          <w:rFonts w:ascii="Times New Roman" w:eastAsia="Times New Roman" w:hAnsi="Times New Roman" w:cs="Times New Roman"/>
          <w:sz w:val="32"/>
          <w:szCs w:val="32"/>
        </w:rPr>
      </w:pPr>
      <w:r w:rsidRPr="009D6EA4">
        <w:rPr>
          <w:rFonts w:ascii="Times New Roman" w:eastAsia="Times New Roman" w:hAnsi="Times New Roman" w:cs="Times New Roman"/>
          <w:sz w:val="32"/>
          <w:szCs w:val="32"/>
        </w:rPr>
        <w:t>В заключение, оптимизация бизнес-процессов с использованием ИИ становится необходимым условием выживания в цифровой экономике. Технологии позволяют компаниям не только повышать операционную эффективность, но и создавать новые ценности для клиентов, будь то персонализированный сервис, мгновенная обработка запросов или прогнозирование рыночных трендов. Однако успех зависит от комплексного подхода, включающего инвестиции в инфраструктуру, развитие кадрового потенциала и формирование этико-правовых рамок. Российский опыт демонстрирует как возможности, так и вызовы: от впечатляющих кейсов внедрения в логистике и ритейле до пробелов в регулировании и подготовке специалистов. Дальнейшее развитие ИИ в бизнесе потребует синергии между государством, научным сообществом и частным сектором, чтобы обеспечить устойчивый рост и минимизировать социальные риски.</w:t>
      </w:r>
    </w:p>
    <w:p w14:paraId="3231461D" w14:textId="68B836ED" w:rsidR="00ED45E1" w:rsidRDefault="00ED45E1" w:rsidP="00ED45E1">
      <w:pPr>
        <w:shd w:val="clear" w:color="auto" w:fill="FFFFFF"/>
        <w:tabs>
          <w:tab w:val="num" w:pos="180"/>
        </w:tabs>
        <w:spacing w:before="100" w:beforeAutospacing="1" w:after="0" w:line="240" w:lineRule="auto"/>
        <w:ind w:firstLine="567"/>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Литература:</w:t>
      </w:r>
    </w:p>
    <w:p w14:paraId="45FAA29B" w14:textId="633638E3" w:rsidR="009D6EA4" w:rsidRPr="00ED45E1" w:rsidRDefault="009D6EA4" w:rsidP="00AD58CD">
      <w:pPr>
        <w:pStyle w:val="a8"/>
        <w:numPr>
          <w:ilvl w:val="0"/>
          <w:numId w:val="96"/>
        </w:numPr>
        <w:shd w:val="clear" w:color="auto" w:fill="FFFFFF"/>
        <w:tabs>
          <w:tab w:val="clear" w:pos="720"/>
          <w:tab w:val="num" w:pos="426"/>
        </w:tabs>
        <w:spacing w:after="0" w:line="240" w:lineRule="auto"/>
        <w:ind w:left="142" w:firstLine="0"/>
        <w:jc w:val="both"/>
        <w:rPr>
          <w:rFonts w:ascii="Times New Roman" w:eastAsia="Calibri" w:hAnsi="Times New Roman" w:cs="Times New Roman"/>
          <w:sz w:val="21"/>
          <w:szCs w:val="21"/>
          <w:lang w:val="x-none" w:eastAsia="ar-SA"/>
        </w:rPr>
      </w:pPr>
      <w:r w:rsidRPr="00ED45E1">
        <w:rPr>
          <w:rFonts w:ascii="Times New Roman" w:eastAsia="Calibri" w:hAnsi="Times New Roman" w:cs="Times New Roman"/>
          <w:sz w:val="21"/>
          <w:szCs w:val="21"/>
          <w:lang w:val="x-none" w:eastAsia="ar-SA"/>
        </w:rPr>
        <w:t xml:space="preserve">Годовой отчет ПАО «Сбербанк» 2022. </w:t>
      </w:r>
    </w:p>
    <w:p w14:paraId="3B3CE48F" w14:textId="77777777" w:rsidR="009D6EA4" w:rsidRPr="00ED45E1" w:rsidRDefault="009D6EA4" w:rsidP="00AD58CD">
      <w:pPr>
        <w:pStyle w:val="a8"/>
        <w:numPr>
          <w:ilvl w:val="0"/>
          <w:numId w:val="96"/>
        </w:numPr>
        <w:shd w:val="clear" w:color="auto" w:fill="FFFFFF"/>
        <w:tabs>
          <w:tab w:val="clear" w:pos="720"/>
          <w:tab w:val="num" w:pos="426"/>
        </w:tabs>
        <w:spacing w:after="0" w:line="240" w:lineRule="auto"/>
        <w:ind w:left="142" w:firstLine="0"/>
        <w:jc w:val="both"/>
        <w:rPr>
          <w:rFonts w:ascii="Times New Roman" w:eastAsia="Calibri" w:hAnsi="Times New Roman" w:cs="Times New Roman"/>
          <w:sz w:val="21"/>
          <w:szCs w:val="21"/>
          <w:lang w:val="x-none" w:eastAsia="ar-SA"/>
        </w:rPr>
      </w:pPr>
      <w:r w:rsidRPr="00ED45E1">
        <w:rPr>
          <w:rFonts w:ascii="Times New Roman" w:eastAsia="Calibri" w:hAnsi="Times New Roman" w:cs="Times New Roman"/>
          <w:sz w:val="21"/>
          <w:szCs w:val="21"/>
          <w:lang w:val="x-none" w:eastAsia="ar-SA"/>
        </w:rPr>
        <w:t>Иванов С.И. Цифровая трансформация ритейла. М.: Изд-во «Экономика», 2021.</w:t>
      </w:r>
    </w:p>
    <w:p w14:paraId="2A190A08" w14:textId="77777777" w:rsidR="009D6EA4" w:rsidRPr="00ED45E1" w:rsidRDefault="009D6EA4" w:rsidP="00AD58CD">
      <w:pPr>
        <w:pStyle w:val="a8"/>
        <w:numPr>
          <w:ilvl w:val="0"/>
          <w:numId w:val="96"/>
        </w:numPr>
        <w:shd w:val="clear" w:color="auto" w:fill="FFFFFF"/>
        <w:tabs>
          <w:tab w:val="clear" w:pos="720"/>
          <w:tab w:val="num" w:pos="426"/>
        </w:tabs>
        <w:spacing w:after="0" w:line="240" w:lineRule="auto"/>
        <w:ind w:left="142" w:firstLine="0"/>
        <w:jc w:val="both"/>
        <w:rPr>
          <w:rFonts w:ascii="Times New Roman" w:eastAsia="Calibri" w:hAnsi="Times New Roman" w:cs="Times New Roman"/>
          <w:sz w:val="21"/>
          <w:szCs w:val="21"/>
          <w:lang w:val="x-none" w:eastAsia="ar-SA"/>
        </w:rPr>
      </w:pPr>
      <w:r w:rsidRPr="00ED45E1">
        <w:rPr>
          <w:rFonts w:ascii="Times New Roman" w:eastAsia="Calibri" w:hAnsi="Times New Roman" w:cs="Times New Roman"/>
          <w:sz w:val="21"/>
          <w:szCs w:val="21"/>
          <w:lang w:val="x-none" w:eastAsia="ar-SA"/>
        </w:rPr>
        <w:t xml:space="preserve">Кейс Тинькофф Банка: автоматизация кредитования. </w:t>
      </w:r>
    </w:p>
    <w:p w14:paraId="1DA2A4B5" w14:textId="77777777" w:rsidR="009D6EA4" w:rsidRPr="00ED45E1" w:rsidRDefault="009D6EA4" w:rsidP="00AD58CD">
      <w:pPr>
        <w:pStyle w:val="a8"/>
        <w:numPr>
          <w:ilvl w:val="0"/>
          <w:numId w:val="96"/>
        </w:numPr>
        <w:shd w:val="clear" w:color="auto" w:fill="FFFFFF"/>
        <w:tabs>
          <w:tab w:val="clear" w:pos="720"/>
          <w:tab w:val="num" w:pos="426"/>
        </w:tabs>
        <w:spacing w:after="0" w:line="240" w:lineRule="auto"/>
        <w:ind w:left="142" w:firstLine="0"/>
        <w:jc w:val="both"/>
        <w:rPr>
          <w:rFonts w:ascii="Times New Roman" w:eastAsia="Calibri" w:hAnsi="Times New Roman" w:cs="Times New Roman"/>
          <w:sz w:val="21"/>
          <w:szCs w:val="21"/>
          <w:lang w:val="x-none" w:eastAsia="ar-SA"/>
        </w:rPr>
      </w:pPr>
      <w:r w:rsidRPr="00ED45E1">
        <w:rPr>
          <w:rFonts w:ascii="Times New Roman" w:eastAsia="Calibri" w:hAnsi="Times New Roman" w:cs="Times New Roman"/>
          <w:sz w:val="21"/>
          <w:szCs w:val="21"/>
          <w:lang w:val="x-none" w:eastAsia="ar-SA"/>
        </w:rPr>
        <w:t xml:space="preserve">Отчет Wildberries за 2023 год. </w:t>
      </w:r>
    </w:p>
    <w:p w14:paraId="5DA5DE7E" w14:textId="1F629198" w:rsidR="00A627B1" w:rsidRDefault="009D6EA4" w:rsidP="00AD58CD">
      <w:pPr>
        <w:pStyle w:val="a8"/>
        <w:numPr>
          <w:ilvl w:val="0"/>
          <w:numId w:val="96"/>
        </w:numPr>
        <w:shd w:val="clear" w:color="auto" w:fill="FFFFFF"/>
        <w:tabs>
          <w:tab w:val="clear" w:pos="720"/>
          <w:tab w:val="num" w:pos="426"/>
        </w:tabs>
        <w:spacing w:after="0" w:line="240" w:lineRule="auto"/>
        <w:ind w:left="142" w:firstLine="0"/>
        <w:jc w:val="both"/>
        <w:rPr>
          <w:rFonts w:ascii="Times New Roman" w:eastAsia="Calibri" w:hAnsi="Times New Roman" w:cs="Times New Roman"/>
          <w:sz w:val="21"/>
          <w:szCs w:val="21"/>
          <w:lang w:val="x-none" w:eastAsia="ar-SA"/>
        </w:rPr>
      </w:pPr>
      <w:r w:rsidRPr="00ED45E1">
        <w:rPr>
          <w:rFonts w:ascii="Times New Roman" w:eastAsia="Calibri" w:hAnsi="Times New Roman" w:cs="Times New Roman"/>
          <w:sz w:val="21"/>
          <w:szCs w:val="21"/>
          <w:lang w:val="x-none" w:eastAsia="ar-SA"/>
        </w:rPr>
        <w:t xml:space="preserve">Газпром нефть. Внедрение ИИ в производство. </w:t>
      </w:r>
    </w:p>
    <w:p w14:paraId="5521779E" w14:textId="77777777" w:rsidR="00A627B1" w:rsidRDefault="00A627B1" w:rsidP="00A627B1">
      <w:pPr>
        <w:pStyle w:val="a8"/>
        <w:shd w:val="clear" w:color="auto" w:fill="FFFFFF"/>
        <w:spacing w:after="0" w:line="240" w:lineRule="auto"/>
        <w:ind w:left="142"/>
        <w:jc w:val="both"/>
        <w:rPr>
          <w:rFonts w:ascii="Times New Roman" w:eastAsia="Calibri" w:hAnsi="Times New Roman" w:cs="Times New Roman"/>
          <w:sz w:val="21"/>
          <w:szCs w:val="21"/>
          <w:lang w:val="x-none" w:eastAsia="ar-SA"/>
        </w:rPr>
      </w:pPr>
    </w:p>
    <w:p w14:paraId="3A15FDDB" w14:textId="77777777" w:rsidR="00A627B1" w:rsidRDefault="00A627B1" w:rsidP="00A627B1">
      <w:pPr>
        <w:pStyle w:val="a8"/>
        <w:shd w:val="clear" w:color="auto" w:fill="FFFFFF"/>
        <w:spacing w:after="0" w:line="240" w:lineRule="auto"/>
        <w:ind w:left="142"/>
        <w:jc w:val="both"/>
        <w:rPr>
          <w:rFonts w:ascii="Times New Roman" w:eastAsia="Calibri" w:hAnsi="Times New Roman" w:cs="Times New Roman"/>
          <w:sz w:val="21"/>
          <w:szCs w:val="21"/>
          <w:lang w:val="x-none" w:eastAsia="ar-SA"/>
        </w:rPr>
      </w:pPr>
    </w:p>
    <w:p w14:paraId="57C8C2E6" w14:textId="77777777" w:rsidR="00314D91" w:rsidRPr="00314D91" w:rsidRDefault="00314D91" w:rsidP="00314D91">
      <w:pPr>
        <w:spacing w:line="240" w:lineRule="auto"/>
        <w:rPr>
          <w:rFonts w:ascii="Times New Roman" w:eastAsia="Calibri" w:hAnsi="Times New Roman" w:cs="Times New Roman"/>
          <w:b/>
          <w:bCs/>
          <w:kern w:val="2"/>
          <w:sz w:val="21"/>
          <w:szCs w:val="21"/>
          <w14:ligatures w14:val="standardContextual"/>
        </w:rPr>
      </w:pPr>
      <w:r w:rsidRPr="00314D91">
        <w:rPr>
          <w:rFonts w:ascii="Times New Roman" w:eastAsia="Calibri" w:hAnsi="Times New Roman" w:cs="Times New Roman"/>
          <w:b/>
          <w:bCs/>
          <w:kern w:val="2"/>
          <w:sz w:val="21"/>
          <w:szCs w:val="21"/>
          <w14:ligatures w14:val="standardContextual"/>
        </w:rPr>
        <w:t>УДК 004.652.4</w:t>
      </w:r>
    </w:p>
    <w:p w14:paraId="4BE9DA3B" w14:textId="77777777" w:rsidR="00314D91" w:rsidRPr="00314D91" w:rsidRDefault="00314D91" w:rsidP="00F81303">
      <w:pPr>
        <w:spacing w:after="0" w:line="240" w:lineRule="auto"/>
        <w:jc w:val="right"/>
        <w:rPr>
          <w:rFonts w:ascii="Times New Roman" w:eastAsia="Times New Roman" w:hAnsi="Times New Roman" w:cs="Times New Roman"/>
          <w:b/>
          <w:bCs/>
          <w:sz w:val="21"/>
          <w:szCs w:val="21"/>
          <w:lang w:eastAsia="ru-RU"/>
        </w:rPr>
      </w:pPr>
      <w:r w:rsidRPr="00314D91">
        <w:rPr>
          <w:rFonts w:ascii="Times New Roman" w:eastAsia="Times New Roman" w:hAnsi="Times New Roman" w:cs="Times New Roman"/>
          <w:b/>
          <w:bCs/>
          <w:i/>
          <w:sz w:val="21"/>
          <w:szCs w:val="21"/>
          <w:lang w:eastAsia="ru-RU"/>
        </w:rPr>
        <w:t>Потапов В.А.,</w:t>
      </w:r>
    </w:p>
    <w:p w14:paraId="74E29204" w14:textId="77777777" w:rsidR="00335559" w:rsidRDefault="00314D91" w:rsidP="00F81303">
      <w:pPr>
        <w:spacing w:after="0" w:line="240" w:lineRule="auto"/>
        <w:jc w:val="right"/>
        <w:rPr>
          <w:rFonts w:ascii="Times New Roman" w:eastAsia="Times New Roman" w:hAnsi="Times New Roman" w:cs="Times New Roman"/>
          <w:i/>
          <w:sz w:val="21"/>
          <w:szCs w:val="21"/>
          <w:lang w:eastAsia="ru-RU"/>
        </w:rPr>
      </w:pPr>
      <w:r w:rsidRPr="00314D91">
        <w:rPr>
          <w:rFonts w:ascii="Times New Roman" w:eastAsia="Times New Roman" w:hAnsi="Times New Roman" w:cs="Times New Roman"/>
          <w:i/>
          <w:sz w:val="21"/>
          <w:szCs w:val="21"/>
          <w:lang w:eastAsia="ru-RU"/>
        </w:rPr>
        <w:t xml:space="preserve">студент 2 курса </w:t>
      </w:r>
    </w:p>
    <w:p w14:paraId="62DB6112" w14:textId="77777777" w:rsidR="0072287F" w:rsidRDefault="0072287F" w:rsidP="0072287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5EA24B8" w14:textId="77777777" w:rsidR="00314D91" w:rsidRPr="00314D91" w:rsidRDefault="00314D91" w:rsidP="00F81303">
      <w:pPr>
        <w:spacing w:after="0" w:line="240" w:lineRule="auto"/>
        <w:jc w:val="right"/>
        <w:rPr>
          <w:rFonts w:ascii="Times New Roman" w:eastAsia="Times New Roman" w:hAnsi="Times New Roman" w:cs="Times New Roman"/>
          <w:i/>
          <w:sz w:val="21"/>
          <w:szCs w:val="21"/>
          <w:lang w:eastAsia="ru-RU"/>
        </w:rPr>
      </w:pPr>
      <w:r w:rsidRPr="00314D91">
        <w:rPr>
          <w:rFonts w:ascii="Times New Roman" w:eastAsia="Times New Roman" w:hAnsi="Times New Roman" w:cs="Times New Roman"/>
          <w:i/>
          <w:sz w:val="21"/>
          <w:szCs w:val="21"/>
          <w:lang w:eastAsia="ru-RU"/>
        </w:rPr>
        <w:t>г. Краснодар, Россия</w:t>
      </w:r>
    </w:p>
    <w:p w14:paraId="628F9237" w14:textId="77777777" w:rsidR="00314D91" w:rsidRDefault="00314D91" w:rsidP="00F81303">
      <w:pPr>
        <w:spacing w:after="0" w:line="240" w:lineRule="auto"/>
        <w:jc w:val="right"/>
        <w:rPr>
          <w:rFonts w:ascii="Calibri" w:eastAsia="Calibri" w:hAnsi="Calibri" w:cs="Times New Roman"/>
          <w:kern w:val="2"/>
          <w14:ligatures w14:val="standardContextual"/>
        </w:rPr>
      </w:pPr>
      <w:r w:rsidRPr="00314D91">
        <w:rPr>
          <w:rFonts w:ascii="Times New Roman" w:eastAsia="Times New Roman" w:hAnsi="Times New Roman" w:cs="Times New Roman"/>
          <w:i/>
          <w:sz w:val="21"/>
          <w:szCs w:val="21"/>
          <w:lang w:eastAsia="ru-RU"/>
        </w:rPr>
        <w:t>е</w:t>
      </w:r>
      <w:r w:rsidRPr="00656AA8">
        <w:rPr>
          <w:rFonts w:ascii="Times New Roman" w:eastAsia="Times New Roman" w:hAnsi="Times New Roman" w:cs="Times New Roman"/>
          <w:i/>
          <w:sz w:val="21"/>
          <w:szCs w:val="21"/>
          <w:lang w:eastAsia="ru-RU"/>
        </w:rPr>
        <w:t>-</w:t>
      </w:r>
      <w:r w:rsidRPr="00314D91">
        <w:rPr>
          <w:rFonts w:ascii="Times New Roman" w:eastAsia="Times New Roman" w:hAnsi="Times New Roman" w:cs="Times New Roman"/>
          <w:i/>
          <w:sz w:val="21"/>
          <w:szCs w:val="21"/>
          <w:lang w:val="en-US" w:eastAsia="ru-RU"/>
        </w:rPr>
        <w:t>mail</w:t>
      </w:r>
      <w:r w:rsidRPr="00656AA8">
        <w:rPr>
          <w:rFonts w:ascii="Times New Roman" w:eastAsia="Times New Roman" w:hAnsi="Times New Roman" w:cs="Times New Roman"/>
          <w:i/>
          <w:sz w:val="21"/>
          <w:szCs w:val="21"/>
          <w:lang w:eastAsia="ru-RU"/>
        </w:rPr>
        <w:t>:</w:t>
      </w:r>
      <w:hyperlink r:id="rId512" w:history="1">
        <w:r w:rsidRPr="00656AA8">
          <w:rPr>
            <w:rFonts w:ascii="Times New Roman" w:eastAsia="Times New Roman" w:hAnsi="Times New Roman" w:cs="Times New Roman"/>
            <w:i/>
            <w:color w:val="0563C1"/>
            <w:sz w:val="21"/>
            <w:szCs w:val="21"/>
            <w:u w:val="single"/>
            <w:lang w:eastAsia="ru-RU"/>
          </w:rPr>
          <w:t xml:space="preserve"> </w:t>
        </w:r>
        <w:r w:rsidRPr="00314D91">
          <w:rPr>
            <w:rFonts w:ascii="Times New Roman" w:eastAsia="Times New Roman" w:hAnsi="Times New Roman" w:cs="Times New Roman"/>
            <w:i/>
            <w:color w:val="0563C1"/>
            <w:sz w:val="21"/>
            <w:szCs w:val="21"/>
            <w:u w:val="single"/>
            <w:lang w:val="en-US" w:eastAsia="ru-RU"/>
          </w:rPr>
          <w:t>vlad</w:t>
        </w:r>
        <w:r w:rsidRPr="00656AA8">
          <w:rPr>
            <w:rFonts w:ascii="Times New Roman" w:eastAsia="Times New Roman" w:hAnsi="Times New Roman" w:cs="Times New Roman"/>
            <w:i/>
            <w:color w:val="0563C1"/>
            <w:sz w:val="21"/>
            <w:szCs w:val="21"/>
            <w:u w:val="single"/>
            <w:lang w:eastAsia="ru-RU"/>
          </w:rPr>
          <w:t>.</w:t>
        </w:r>
        <w:r w:rsidRPr="00314D91">
          <w:rPr>
            <w:rFonts w:ascii="Times New Roman" w:eastAsia="Times New Roman" w:hAnsi="Times New Roman" w:cs="Times New Roman"/>
            <w:i/>
            <w:color w:val="0563C1"/>
            <w:sz w:val="21"/>
            <w:szCs w:val="21"/>
            <w:u w:val="single"/>
            <w:lang w:val="en-US" w:eastAsia="ru-RU"/>
          </w:rPr>
          <w:t>potapov</w:t>
        </w:r>
        <w:r w:rsidRPr="00656AA8">
          <w:rPr>
            <w:rFonts w:ascii="Times New Roman" w:eastAsia="Times New Roman" w:hAnsi="Times New Roman" w:cs="Times New Roman"/>
            <w:i/>
            <w:color w:val="0563C1"/>
            <w:sz w:val="21"/>
            <w:szCs w:val="21"/>
            <w:u w:val="single"/>
            <w:lang w:eastAsia="ru-RU"/>
          </w:rPr>
          <w:t>.2018@</w:t>
        </w:r>
        <w:r w:rsidRPr="00314D91">
          <w:rPr>
            <w:rFonts w:ascii="Times New Roman" w:eastAsia="Times New Roman" w:hAnsi="Times New Roman" w:cs="Times New Roman"/>
            <w:i/>
            <w:color w:val="0563C1"/>
            <w:sz w:val="21"/>
            <w:szCs w:val="21"/>
            <w:u w:val="single"/>
            <w:lang w:val="en-US" w:eastAsia="ru-RU"/>
          </w:rPr>
          <w:t>yandex</w:t>
        </w:r>
        <w:r w:rsidRPr="00656AA8">
          <w:rPr>
            <w:rFonts w:ascii="Times New Roman" w:eastAsia="Times New Roman" w:hAnsi="Times New Roman" w:cs="Times New Roman"/>
            <w:i/>
            <w:color w:val="0563C1"/>
            <w:sz w:val="21"/>
            <w:szCs w:val="21"/>
            <w:u w:val="single"/>
            <w:lang w:eastAsia="ru-RU"/>
          </w:rPr>
          <w:t>.</w:t>
        </w:r>
        <w:r w:rsidRPr="00314D91">
          <w:rPr>
            <w:rFonts w:ascii="Times New Roman" w:eastAsia="Times New Roman" w:hAnsi="Times New Roman" w:cs="Times New Roman"/>
            <w:i/>
            <w:color w:val="0563C1"/>
            <w:sz w:val="21"/>
            <w:szCs w:val="21"/>
            <w:u w:val="single"/>
            <w:lang w:val="en-US" w:eastAsia="ru-RU"/>
          </w:rPr>
          <w:t>ru</w:t>
        </w:r>
      </w:hyperlink>
    </w:p>
    <w:p w14:paraId="59C2AD55" w14:textId="77777777" w:rsidR="00E8530C" w:rsidRPr="00656AA8" w:rsidRDefault="00E8530C" w:rsidP="00F81303">
      <w:pPr>
        <w:spacing w:after="0" w:line="240" w:lineRule="auto"/>
        <w:jc w:val="right"/>
        <w:rPr>
          <w:rFonts w:ascii="Times New Roman" w:eastAsia="Times New Roman" w:hAnsi="Times New Roman" w:cs="Times New Roman"/>
          <w:sz w:val="21"/>
          <w:szCs w:val="21"/>
          <w:lang w:eastAsia="ru-RU"/>
        </w:rPr>
      </w:pPr>
    </w:p>
    <w:p w14:paraId="38E92CFC" w14:textId="77777777" w:rsidR="00314D91" w:rsidRPr="00314D91" w:rsidRDefault="00314D91" w:rsidP="00F81303">
      <w:pPr>
        <w:spacing w:after="0" w:line="240" w:lineRule="auto"/>
        <w:jc w:val="right"/>
        <w:rPr>
          <w:rFonts w:ascii="Times New Roman" w:eastAsia="Times New Roman" w:hAnsi="Times New Roman" w:cs="Times New Roman"/>
          <w:b/>
          <w:bCs/>
          <w:sz w:val="21"/>
          <w:szCs w:val="21"/>
          <w:lang w:eastAsia="ru-RU"/>
        </w:rPr>
      </w:pPr>
      <w:r w:rsidRPr="00314D91">
        <w:rPr>
          <w:rFonts w:ascii="Times New Roman" w:eastAsia="Times New Roman" w:hAnsi="Times New Roman" w:cs="Times New Roman"/>
          <w:b/>
          <w:bCs/>
          <w:i/>
          <w:sz w:val="21"/>
          <w:szCs w:val="21"/>
          <w:lang w:eastAsia="ru-RU"/>
        </w:rPr>
        <w:t>Научный руководитель:</w:t>
      </w:r>
    </w:p>
    <w:p w14:paraId="646F93B0" w14:textId="17BE78EE" w:rsidR="00314D91" w:rsidRPr="00314D91" w:rsidRDefault="00314D91" w:rsidP="00F81303">
      <w:pPr>
        <w:spacing w:after="0" w:line="240" w:lineRule="auto"/>
        <w:jc w:val="right"/>
        <w:rPr>
          <w:rFonts w:ascii="Times New Roman" w:eastAsia="Times New Roman" w:hAnsi="Times New Roman" w:cs="Times New Roman"/>
          <w:b/>
          <w:bCs/>
          <w:sz w:val="21"/>
          <w:szCs w:val="21"/>
          <w:lang w:eastAsia="ru-RU"/>
        </w:rPr>
      </w:pPr>
      <w:r w:rsidRPr="00314D91">
        <w:rPr>
          <w:rFonts w:ascii="Times New Roman" w:eastAsia="Times New Roman" w:hAnsi="Times New Roman" w:cs="Times New Roman"/>
          <w:b/>
          <w:bCs/>
          <w:i/>
          <w:sz w:val="21"/>
          <w:szCs w:val="21"/>
          <w:lang w:eastAsia="ru-RU"/>
        </w:rPr>
        <w:t>Лузин А.И.,</w:t>
      </w:r>
    </w:p>
    <w:p w14:paraId="6981A38F" w14:textId="77777777" w:rsidR="00335559" w:rsidRDefault="00314D91" w:rsidP="00F81303">
      <w:pPr>
        <w:spacing w:after="0" w:line="240" w:lineRule="auto"/>
        <w:jc w:val="right"/>
        <w:rPr>
          <w:rFonts w:ascii="Times New Roman" w:eastAsia="Times New Roman" w:hAnsi="Times New Roman" w:cs="Times New Roman"/>
          <w:i/>
          <w:sz w:val="21"/>
          <w:szCs w:val="21"/>
          <w:lang w:eastAsia="ru-RU"/>
        </w:rPr>
      </w:pPr>
      <w:r w:rsidRPr="00314D91">
        <w:rPr>
          <w:rFonts w:ascii="Times New Roman" w:eastAsia="Times New Roman" w:hAnsi="Times New Roman" w:cs="Times New Roman"/>
          <w:i/>
          <w:sz w:val="21"/>
          <w:szCs w:val="21"/>
          <w:lang w:eastAsia="ru-RU"/>
        </w:rPr>
        <w:t xml:space="preserve">старший преподаватель, </w:t>
      </w:r>
    </w:p>
    <w:p w14:paraId="3B3FD078" w14:textId="77777777" w:rsidR="0072287F" w:rsidRDefault="0072287F" w:rsidP="0072287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CEA012D" w14:textId="77777777" w:rsidR="0072287F" w:rsidRDefault="00314D91" w:rsidP="00F81303">
      <w:pPr>
        <w:spacing w:after="0" w:line="240" w:lineRule="auto"/>
        <w:jc w:val="right"/>
        <w:rPr>
          <w:rFonts w:ascii="Times New Roman" w:eastAsia="Times New Roman" w:hAnsi="Times New Roman" w:cs="Times New Roman"/>
          <w:i/>
          <w:sz w:val="21"/>
          <w:szCs w:val="21"/>
          <w:lang w:eastAsia="ru-RU"/>
        </w:rPr>
      </w:pPr>
      <w:r w:rsidRPr="00314D91">
        <w:rPr>
          <w:rFonts w:ascii="Times New Roman" w:eastAsia="Times New Roman" w:hAnsi="Times New Roman" w:cs="Times New Roman"/>
          <w:i/>
          <w:sz w:val="21"/>
          <w:szCs w:val="21"/>
          <w:lang w:eastAsia="ru-RU"/>
        </w:rPr>
        <w:t xml:space="preserve">г. Краснодар, Россия </w:t>
      </w:r>
    </w:p>
    <w:p w14:paraId="38A7A2EA" w14:textId="580402BD" w:rsidR="00314D91" w:rsidRDefault="00314D91" w:rsidP="00F81303">
      <w:pPr>
        <w:spacing w:after="0" w:line="240" w:lineRule="auto"/>
        <w:jc w:val="right"/>
        <w:rPr>
          <w:rFonts w:ascii="Calibri" w:eastAsia="Calibri" w:hAnsi="Calibri" w:cs="Times New Roman"/>
          <w:kern w:val="2"/>
          <w14:ligatures w14:val="standardContextual"/>
        </w:rPr>
      </w:pPr>
      <w:r w:rsidRPr="00314D91">
        <w:rPr>
          <w:rFonts w:ascii="Times New Roman" w:eastAsia="Times New Roman" w:hAnsi="Times New Roman" w:cs="Times New Roman"/>
          <w:i/>
          <w:sz w:val="21"/>
          <w:szCs w:val="21"/>
          <w:lang w:eastAsia="ru-RU"/>
        </w:rPr>
        <w:t xml:space="preserve">е-mail: </w:t>
      </w:r>
      <w:hyperlink r:id="rId513" w:tooltip="mailto:Evgeniyae@mail.ru" w:history="1">
        <w:r w:rsidRPr="00314D91">
          <w:rPr>
            <w:rFonts w:ascii="Times New Roman" w:eastAsia="Times New Roman" w:hAnsi="Times New Roman" w:cs="Times New Roman"/>
            <w:i/>
            <w:color w:val="0563C1"/>
            <w:sz w:val="21"/>
            <w:szCs w:val="21"/>
            <w:u w:val="single"/>
            <w:lang w:eastAsia="ru-RU"/>
          </w:rPr>
          <w:t>statrgup@yandex.ru</w:t>
        </w:r>
      </w:hyperlink>
    </w:p>
    <w:p w14:paraId="064AB785" w14:textId="77777777" w:rsidR="00E8530C" w:rsidRPr="00314D91" w:rsidRDefault="00E8530C" w:rsidP="00F81303">
      <w:pPr>
        <w:spacing w:after="0" w:line="240" w:lineRule="auto"/>
        <w:jc w:val="right"/>
        <w:rPr>
          <w:rFonts w:ascii="Times New Roman" w:eastAsia="Times New Roman" w:hAnsi="Times New Roman" w:cs="Times New Roman"/>
          <w:sz w:val="21"/>
          <w:szCs w:val="21"/>
          <w:lang w:eastAsia="ru-RU"/>
        </w:rPr>
      </w:pPr>
    </w:p>
    <w:p w14:paraId="1221C320" w14:textId="77777777" w:rsidR="00314D91" w:rsidRPr="00314D91" w:rsidRDefault="00314D91" w:rsidP="00911496">
      <w:pPr>
        <w:spacing w:after="0" w:line="240" w:lineRule="auto"/>
        <w:jc w:val="center"/>
        <w:rPr>
          <w:rFonts w:ascii="Times New Roman" w:eastAsia="Times New Roman" w:hAnsi="Times New Roman" w:cs="Times New Roman"/>
          <w:b/>
          <w:bCs/>
          <w:sz w:val="21"/>
          <w:szCs w:val="21"/>
          <w:lang w:eastAsia="ru-RU"/>
        </w:rPr>
      </w:pPr>
      <w:r w:rsidRPr="00314D91">
        <w:rPr>
          <w:rFonts w:ascii="Times New Roman" w:eastAsia="Times New Roman" w:hAnsi="Times New Roman" w:cs="Times New Roman"/>
          <w:b/>
          <w:bCs/>
          <w:sz w:val="21"/>
          <w:szCs w:val="21"/>
          <w:lang w:eastAsia="ru-RU"/>
        </w:rPr>
        <w:t>Базы данных реального времени как драйвер цифровых преобразований в бизнесе</w:t>
      </w:r>
    </w:p>
    <w:p w14:paraId="34476D7B" w14:textId="77777777" w:rsidR="00314D91" w:rsidRPr="00314D91" w:rsidRDefault="00314D91" w:rsidP="00F81303">
      <w:pPr>
        <w:spacing w:after="0" w:line="240" w:lineRule="auto"/>
        <w:ind w:firstLine="709"/>
        <w:jc w:val="both"/>
        <w:rPr>
          <w:rFonts w:ascii="Times New Roman" w:eastAsia="Times New Roman" w:hAnsi="Times New Roman" w:cs="Times New Roman"/>
          <w:b/>
          <w:bCs/>
          <w:sz w:val="21"/>
          <w:szCs w:val="21"/>
          <w:lang w:eastAsia="ru-RU"/>
        </w:rPr>
      </w:pPr>
    </w:p>
    <w:p w14:paraId="333FCCC5" w14:textId="77777777" w:rsidR="00314D91" w:rsidRPr="00314D91" w:rsidRDefault="00314D91" w:rsidP="00F81303">
      <w:pPr>
        <w:spacing w:after="0" w:line="240" w:lineRule="auto"/>
        <w:ind w:firstLine="709"/>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b/>
          <w:bCs/>
          <w:sz w:val="21"/>
          <w:szCs w:val="21"/>
          <w:lang w:eastAsia="ru-RU"/>
        </w:rPr>
        <w:t>Аннотация:</w:t>
      </w:r>
      <w:r w:rsidRPr="00314D91">
        <w:rPr>
          <w:rFonts w:ascii="Times New Roman" w:eastAsia="Times New Roman" w:hAnsi="Times New Roman" w:cs="Times New Roman"/>
          <w:sz w:val="21"/>
          <w:szCs w:val="21"/>
          <w:lang w:eastAsia="ru-RU"/>
        </w:rPr>
        <w:t xml:space="preserve"> Базы данных реального времени обеспечивают мгновенную обработку информации, что критично для медицины, финансов, логистики и промышленности. Они повышают эффективность </w:t>
      </w:r>
      <w:r w:rsidRPr="00314D91">
        <w:rPr>
          <w:rFonts w:ascii="Times New Roman" w:eastAsia="Times New Roman" w:hAnsi="Times New Roman" w:cs="Times New Roman"/>
          <w:sz w:val="21"/>
          <w:szCs w:val="21"/>
          <w:lang w:eastAsia="ru-RU"/>
        </w:rPr>
        <w:lastRenderedPageBreak/>
        <w:t>процессов и ускоряют принятие решений. Статья рассматривает принципы работы, классификацию и технологии таких баз. Особое внимание уделяется их роли в цифровой трансформации бизнеса.</w:t>
      </w:r>
    </w:p>
    <w:p w14:paraId="319F672D" w14:textId="77777777" w:rsidR="00314D91" w:rsidRPr="00314D91" w:rsidRDefault="00314D91" w:rsidP="00F81303">
      <w:pPr>
        <w:spacing w:after="0" w:line="240" w:lineRule="auto"/>
        <w:ind w:firstLine="709"/>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b/>
          <w:bCs/>
          <w:sz w:val="21"/>
          <w:szCs w:val="21"/>
          <w:lang w:eastAsia="ru-RU"/>
        </w:rPr>
        <w:t>Ключевые слова:</w:t>
      </w:r>
      <w:r w:rsidRPr="00314D91">
        <w:rPr>
          <w:rFonts w:ascii="Times New Roman" w:eastAsia="Times New Roman" w:hAnsi="Times New Roman" w:cs="Times New Roman"/>
          <w:sz w:val="21"/>
          <w:szCs w:val="21"/>
          <w:lang w:eastAsia="ru-RU"/>
        </w:rPr>
        <w:t xml:space="preserve"> базы данных, реальное время, цифровая трансформация, нереляционные базы, потоковая обработка, масштабируемость, NoSQL.</w:t>
      </w:r>
    </w:p>
    <w:p w14:paraId="4B45F95F" w14:textId="77777777" w:rsidR="00314D91" w:rsidRPr="00314D91" w:rsidRDefault="00314D91" w:rsidP="00F81303">
      <w:pPr>
        <w:spacing w:after="0" w:line="240" w:lineRule="auto"/>
        <w:ind w:firstLine="709"/>
        <w:jc w:val="both"/>
        <w:rPr>
          <w:rFonts w:ascii="Times New Roman" w:eastAsia="Times New Roman" w:hAnsi="Times New Roman" w:cs="Times New Roman"/>
          <w:sz w:val="21"/>
          <w:szCs w:val="21"/>
          <w:lang w:eastAsia="ru-RU"/>
        </w:rPr>
      </w:pPr>
    </w:p>
    <w:p w14:paraId="567C8B0D" w14:textId="77777777" w:rsidR="00314D91" w:rsidRPr="00314D91" w:rsidRDefault="00314D91" w:rsidP="00F81303">
      <w:pPr>
        <w:spacing w:after="0" w:line="240" w:lineRule="auto"/>
        <w:jc w:val="right"/>
        <w:rPr>
          <w:rFonts w:ascii="Times New Roman" w:eastAsia="Times New Roman" w:hAnsi="Times New Roman" w:cs="Times New Roman"/>
          <w:b/>
          <w:bCs/>
          <w:i/>
          <w:iCs/>
          <w:sz w:val="21"/>
          <w:szCs w:val="21"/>
          <w:lang w:val="en-US" w:eastAsia="ru-RU"/>
        </w:rPr>
      </w:pPr>
      <w:r w:rsidRPr="00314D91">
        <w:rPr>
          <w:rFonts w:ascii="Times New Roman" w:eastAsia="Times New Roman" w:hAnsi="Times New Roman" w:cs="Times New Roman"/>
          <w:b/>
          <w:bCs/>
          <w:i/>
          <w:iCs/>
          <w:sz w:val="21"/>
          <w:szCs w:val="21"/>
          <w:lang w:val="en-US" w:eastAsia="ru-RU"/>
        </w:rPr>
        <w:t>Potapov V.A.,</w:t>
      </w:r>
    </w:p>
    <w:p w14:paraId="1C5A4F5B" w14:textId="77777777" w:rsidR="003159E7" w:rsidRPr="003159E7" w:rsidRDefault="00314D91" w:rsidP="003159E7">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2nd year student, </w:t>
      </w:r>
    </w:p>
    <w:p w14:paraId="02EF4DE3" w14:textId="43C5F524" w:rsidR="00314D91" w:rsidRPr="00314D91" w:rsidRDefault="00314D91" w:rsidP="003159E7">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Financial University under the Government of the Russian Federation </w:t>
      </w:r>
    </w:p>
    <w:p w14:paraId="318BC0FA" w14:textId="2A3C8A36" w:rsidR="00314D91" w:rsidRPr="00314D91"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                                                   Russian Federation (Krasnodar branch)</w:t>
      </w:r>
    </w:p>
    <w:p w14:paraId="5977038C" w14:textId="77777777" w:rsidR="00314D91" w:rsidRPr="00314D91"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Krasnodar, Russia</w:t>
      </w:r>
    </w:p>
    <w:p w14:paraId="45D002B4" w14:textId="266ED774" w:rsidR="00314D91" w:rsidRPr="008F2356"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       e-mail: </w:t>
      </w:r>
      <w:hyperlink r:id="rId514" w:history="1">
        <w:r w:rsidR="008F2356" w:rsidRPr="00314D91">
          <w:rPr>
            <w:rStyle w:val="aa"/>
            <w:rFonts w:ascii="Times New Roman" w:eastAsia="Times New Roman" w:hAnsi="Times New Roman" w:cs="Times New Roman"/>
            <w:i/>
            <w:iCs/>
            <w:sz w:val="21"/>
            <w:szCs w:val="21"/>
            <w:lang w:val="en-US" w:eastAsia="ru-RU"/>
          </w:rPr>
          <w:t>vlad.potapov.2018@yandex.ru</w:t>
        </w:r>
      </w:hyperlink>
    </w:p>
    <w:p w14:paraId="398E0ED3" w14:textId="77777777" w:rsidR="008F2356" w:rsidRPr="00314D91" w:rsidRDefault="008F2356" w:rsidP="00F81303">
      <w:pPr>
        <w:spacing w:after="0" w:line="240" w:lineRule="auto"/>
        <w:jc w:val="right"/>
        <w:rPr>
          <w:rFonts w:ascii="Times New Roman" w:eastAsia="Times New Roman" w:hAnsi="Times New Roman" w:cs="Times New Roman"/>
          <w:i/>
          <w:iCs/>
          <w:sz w:val="21"/>
          <w:szCs w:val="21"/>
          <w:lang w:val="en-US" w:eastAsia="ru-RU"/>
        </w:rPr>
      </w:pPr>
    </w:p>
    <w:p w14:paraId="58047BFF" w14:textId="77777777" w:rsidR="00314D91" w:rsidRPr="00314D91" w:rsidRDefault="00314D91" w:rsidP="00F81303">
      <w:pPr>
        <w:spacing w:after="0" w:line="240" w:lineRule="auto"/>
        <w:jc w:val="right"/>
        <w:rPr>
          <w:rFonts w:ascii="Times New Roman" w:eastAsia="Times New Roman" w:hAnsi="Times New Roman" w:cs="Times New Roman"/>
          <w:b/>
          <w:bCs/>
          <w:i/>
          <w:iCs/>
          <w:sz w:val="21"/>
          <w:szCs w:val="21"/>
          <w:lang w:val="en-US" w:eastAsia="ru-RU"/>
        </w:rPr>
      </w:pPr>
      <w:r w:rsidRPr="00314D91">
        <w:rPr>
          <w:rFonts w:ascii="Times New Roman" w:eastAsia="Times New Roman" w:hAnsi="Times New Roman" w:cs="Times New Roman"/>
          <w:b/>
          <w:bCs/>
          <w:i/>
          <w:iCs/>
          <w:sz w:val="21"/>
          <w:szCs w:val="21"/>
          <w:lang w:val="en-US" w:eastAsia="ru-RU"/>
        </w:rPr>
        <w:t>Scientific supervisor:</w:t>
      </w:r>
    </w:p>
    <w:p w14:paraId="3F15BFDA" w14:textId="77777777" w:rsidR="00314D91" w:rsidRPr="00314D91" w:rsidRDefault="00314D91" w:rsidP="00F81303">
      <w:pPr>
        <w:spacing w:after="0" w:line="240" w:lineRule="auto"/>
        <w:jc w:val="right"/>
        <w:rPr>
          <w:rFonts w:ascii="Times New Roman" w:eastAsia="Times New Roman" w:hAnsi="Times New Roman" w:cs="Times New Roman"/>
          <w:b/>
          <w:bCs/>
          <w:i/>
          <w:iCs/>
          <w:sz w:val="21"/>
          <w:szCs w:val="21"/>
          <w:lang w:val="en-US" w:eastAsia="ru-RU"/>
        </w:rPr>
      </w:pPr>
      <w:r w:rsidRPr="00314D91">
        <w:rPr>
          <w:rFonts w:ascii="Times New Roman" w:eastAsia="Times New Roman" w:hAnsi="Times New Roman" w:cs="Times New Roman"/>
          <w:b/>
          <w:bCs/>
          <w:i/>
          <w:iCs/>
          <w:sz w:val="21"/>
          <w:szCs w:val="21"/>
          <w:lang w:val="en-US" w:eastAsia="ru-RU"/>
        </w:rPr>
        <w:t>Luzin, A.I.,</w:t>
      </w:r>
    </w:p>
    <w:p w14:paraId="3C7CD69F" w14:textId="77777777" w:rsidR="008F2356" w:rsidRPr="00656AA8"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Senior Lecturer, </w:t>
      </w:r>
    </w:p>
    <w:p w14:paraId="406DDC59" w14:textId="56DECD75" w:rsidR="00314D91" w:rsidRPr="00314D91"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Financial University under the Government of the Russian Federation (Krasnodar branch)</w:t>
      </w:r>
    </w:p>
    <w:p w14:paraId="3D20ADDB" w14:textId="77777777" w:rsidR="008F2356" w:rsidRPr="00656AA8" w:rsidRDefault="00314D91" w:rsidP="00F81303">
      <w:pPr>
        <w:spacing w:after="0" w:line="240" w:lineRule="auto"/>
        <w:jc w:val="right"/>
        <w:rPr>
          <w:rFonts w:ascii="Times New Roman" w:eastAsia="Times New Roman" w:hAnsi="Times New Roman" w:cs="Times New Roman"/>
          <w:i/>
          <w:iCs/>
          <w:sz w:val="21"/>
          <w:szCs w:val="21"/>
          <w:lang w:val="en-US" w:eastAsia="ru-RU"/>
        </w:rPr>
      </w:pPr>
      <w:r w:rsidRPr="00314D91">
        <w:rPr>
          <w:rFonts w:ascii="Times New Roman" w:eastAsia="Times New Roman" w:hAnsi="Times New Roman" w:cs="Times New Roman"/>
          <w:i/>
          <w:iCs/>
          <w:sz w:val="21"/>
          <w:szCs w:val="21"/>
          <w:lang w:val="en-US" w:eastAsia="ru-RU"/>
        </w:rPr>
        <w:t xml:space="preserve">Krasnodar, Russia </w:t>
      </w:r>
    </w:p>
    <w:p w14:paraId="51AB071E" w14:textId="1C4278CA" w:rsidR="00314D91" w:rsidRPr="00656AA8" w:rsidRDefault="00314D91" w:rsidP="00F81303">
      <w:pPr>
        <w:spacing w:after="0" w:line="240" w:lineRule="auto"/>
        <w:jc w:val="right"/>
        <w:rPr>
          <w:rFonts w:ascii="Calibri" w:eastAsia="Calibri" w:hAnsi="Calibri" w:cs="Times New Roman"/>
          <w:i/>
          <w:iCs/>
          <w:kern w:val="2"/>
          <w:lang w:val="en-US"/>
          <w14:ligatures w14:val="standardContextual"/>
        </w:rPr>
      </w:pPr>
      <w:r w:rsidRPr="00314D91">
        <w:rPr>
          <w:rFonts w:ascii="Times New Roman" w:eastAsia="Times New Roman" w:hAnsi="Times New Roman" w:cs="Times New Roman"/>
          <w:i/>
          <w:iCs/>
          <w:sz w:val="21"/>
          <w:szCs w:val="21"/>
          <w:lang w:val="en-US" w:eastAsia="ru-RU"/>
        </w:rPr>
        <w:t xml:space="preserve">e-mail: </w:t>
      </w:r>
      <w:hyperlink r:id="rId515" w:history="1">
        <w:r w:rsidRPr="00314D91">
          <w:rPr>
            <w:rFonts w:ascii="Times New Roman" w:eastAsia="Times New Roman" w:hAnsi="Times New Roman" w:cs="Times New Roman"/>
            <w:i/>
            <w:iCs/>
            <w:color w:val="0563C1"/>
            <w:sz w:val="21"/>
            <w:szCs w:val="21"/>
            <w:u w:val="single"/>
            <w:lang w:val="en-US" w:eastAsia="ru-RU"/>
          </w:rPr>
          <w:t>statrgup@yandex.ru</w:t>
        </w:r>
      </w:hyperlink>
    </w:p>
    <w:p w14:paraId="3435D190" w14:textId="77777777" w:rsidR="008F2356" w:rsidRPr="00314D91" w:rsidRDefault="008F2356" w:rsidP="00F81303">
      <w:pPr>
        <w:spacing w:after="0" w:line="240" w:lineRule="auto"/>
        <w:jc w:val="right"/>
        <w:rPr>
          <w:rFonts w:ascii="Times New Roman" w:eastAsia="Times New Roman" w:hAnsi="Times New Roman" w:cs="Times New Roman"/>
          <w:b/>
          <w:bCs/>
          <w:sz w:val="21"/>
          <w:szCs w:val="21"/>
          <w:lang w:val="en-US" w:eastAsia="ru-RU"/>
        </w:rPr>
      </w:pPr>
    </w:p>
    <w:p w14:paraId="293CDA00" w14:textId="77777777" w:rsidR="00314D91" w:rsidRPr="00656AA8" w:rsidRDefault="00314D91" w:rsidP="00F81303">
      <w:pPr>
        <w:spacing w:after="0" w:line="240" w:lineRule="auto"/>
        <w:jc w:val="center"/>
        <w:rPr>
          <w:rFonts w:ascii="Times New Roman" w:eastAsia="Times New Roman" w:hAnsi="Times New Roman" w:cs="Times New Roman"/>
          <w:b/>
          <w:bCs/>
          <w:sz w:val="21"/>
          <w:szCs w:val="21"/>
          <w:lang w:val="en-US" w:eastAsia="ru-RU"/>
        </w:rPr>
      </w:pPr>
      <w:r w:rsidRPr="00314D91">
        <w:rPr>
          <w:rFonts w:ascii="Times New Roman" w:eastAsia="Times New Roman" w:hAnsi="Times New Roman" w:cs="Times New Roman"/>
          <w:b/>
          <w:bCs/>
          <w:sz w:val="21"/>
          <w:szCs w:val="21"/>
          <w:lang w:val="en-US" w:eastAsia="ru-RU"/>
        </w:rPr>
        <w:t>Real-time databases as a driver of digital transformation in business</w:t>
      </w:r>
    </w:p>
    <w:p w14:paraId="54B9C733" w14:textId="77777777" w:rsidR="003159E7" w:rsidRPr="00656AA8" w:rsidRDefault="003159E7" w:rsidP="00F81303">
      <w:pPr>
        <w:spacing w:after="0" w:line="240" w:lineRule="auto"/>
        <w:jc w:val="center"/>
        <w:rPr>
          <w:rFonts w:ascii="Times New Roman" w:eastAsia="Times New Roman" w:hAnsi="Times New Roman" w:cs="Times New Roman"/>
          <w:b/>
          <w:bCs/>
          <w:sz w:val="21"/>
          <w:szCs w:val="21"/>
          <w:lang w:val="en-US" w:eastAsia="ru-RU"/>
        </w:rPr>
      </w:pPr>
    </w:p>
    <w:p w14:paraId="1E83EC26" w14:textId="77777777" w:rsidR="00314D91" w:rsidRPr="00314D91" w:rsidRDefault="00314D91" w:rsidP="003159E7">
      <w:pPr>
        <w:spacing w:after="0" w:line="240" w:lineRule="auto"/>
        <w:ind w:firstLine="709"/>
        <w:jc w:val="both"/>
        <w:rPr>
          <w:rFonts w:ascii="Times New Roman" w:eastAsia="Times New Roman" w:hAnsi="Times New Roman" w:cs="Times New Roman"/>
          <w:b/>
          <w:bCs/>
          <w:sz w:val="21"/>
          <w:szCs w:val="21"/>
          <w:lang w:val="en-US" w:eastAsia="ru-RU"/>
        </w:rPr>
      </w:pPr>
      <w:r w:rsidRPr="00314D91">
        <w:rPr>
          <w:rFonts w:ascii="Times New Roman" w:eastAsia="Times New Roman" w:hAnsi="Times New Roman" w:cs="Times New Roman"/>
          <w:b/>
          <w:bCs/>
          <w:sz w:val="21"/>
          <w:szCs w:val="21"/>
          <w:lang w:val="en-US" w:eastAsia="ru-RU"/>
        </w:rPr>
        <w:t xml:space="preserve">Abstract: </w:t>
      </w:r>
      <w:r w:rsidRPr="00314D91">
        <w:rPr>
          <w:rFonts w:ascii="Times New Roman" w:eastAsia="Times New Roman" w:hAnsi="Times New Roman" w:cs="Times New Roman"/>
          <w:sz w:val="21"/>
          <w:szCs w:val="21"/>
          <w:lang w:val="en-US" w:eastAsia="ru-RU"/>
        </w:rPr>
        <w:t>Real-time databases provide instant information processing, which is critical for medicine, finance, logistics, and industry. They increase the efficiency of processes and speed up decision-making. The article examines the principles of operation, classification and technology of such databases. Special attention is paid to their role in the digital transformation of business.</w:t>
      </w:r>
    </w:p>
    <w:p w14:paraId="1A4F9BEF" w14:textId="70DC22BB" w:rsidR="00314D91" w:rsidRPr="00656AA8" w:rsidRDefault="00314D91" w:rsidP="003159E7">
      <w:pPr>
        <w:spacing w:after="0" w:line="240" w:lineRule="auto"/>
        <w:ind w:firstLine="709"/>
        <w:jc w:val="both"/>
        <w:rPr>
          <w:rFonts w:ascii="Times New Roman" w:eastAsia="Times New Roman" w:hAnsi="Times New Roman" w:cs="Times New Roman"/>
          <w:sz w:val="21"/>
          <w:szCs w:val="21"/>
          <w:lang w:val="en-US" w:eastAsia="ru-RU"/>
        </w:rPr>
      </w:pPr>
      <w:r w:rsidRPr="00314D91">
        <w:rPr>
          <w:rFonts w:ascii="Times New Roman" w:eastAsia="Times New Roman" w:hAnsi="Times New Roman" w:cs="Times New Roman"/>
          <w:b/>
          <w:bCs/>
          <w:sz w:val="21"/>
          <w:szCs w:val="21"/>
          <w:lang w:val="en-US" w:eastAsia="ru-RU"/>
        </w:rPr>
        <w:t>Keywords:</w:t>
      </w:r>
      <w:r w:rsidRPr="00314D91">
        <w:rPr>
          <w:rFonts w:ascii="Times New Roman" w:eastAsia="Times New Roman" w:hAnsi="Times New Roman" w:cs="Times New Roman"/>
          <w:sz w:val="21"/>
          <w:szCs w:val="21"/>
          <w:lang w:val="en-US" w:eastAsia="ru-RU"/>
        </w:rPr>
        <w:t xml:space="preserve"> Databases, real-time, digital transformation, non-relational databases, streaming, scalability, NoSQL</w:t>
      </w:r>
    </w:p>
    <w:p w14:paraId="0D192FB5" w14:textId="77777777" w:rsidR="003159E7" w:rsidRPr="00656AA8" w:rsidRDefault="003159E7" w:rsidP="003159E7">
      <w:pPr>
        <w:spacing w:after="0" w:line="240" w:lineRule="auto"/>
        <w:rPr>
          <w:rFonts w:ascii="Times New Roman" w:eastAsia="Times New Roman" w:hAnsi="Times New Roman" w:cs="Times New Roman"/>
          <w:sz w:val="21"/>
          <w:szCs w:val="21"/>
          <w:lang w:val="en-US" w:eastAsia="ru-RU"/>
        </w:rPr>
      </w:pPr>
    </w:p>
    <w:p w14:paraId="7B1DE907" w14:textId="77777777" w:rsidR="00314D91" w:rsidRPr="00314D91" w:rsidRDefault="00314D91" w:rsidP="00314D91">
      <w:pPr>
        <w:spacing w:after="0" w:line="240" w:lineRule="auto"/>
        <w:ind w:firstLine="708"/>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Введение</w:t>
      </w:r>
    </w:p>
    <w:p w14:paraId="45819D24"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Современному человеку трудно представить жизнь без информации, она окружает нас повсюду: как дома, так и на улице. В условиях стремительной цифровизации бизнеса умение обрабатывать данные в реальном времени становится неотъемлемым фактором конкурентоспособности компаний. Цифровые преобразования требуют мгновенного реагирования на изменения, что невозможно без современных технологий баз данных. Информация передается по моментальным каналам связи, и её поток не прекращается ни на секунду. Однако сам по себе поток данных не имеет ценности, если он не может быть оперативно обработан, проанализирован и сохранен. Именно для этого существуют базы данных, которые позволяют структурировать, хранить и извлекать информацию в нужный момент.</w:t>
      </w:r>
    </w:p>
    <w:p w14:paraId="187641A0"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В последние годы наблюдается рост популярности баз данных реального времени, что обусловлено увеличением объёмов информации и необходимостью её оперативной обработки. Такой подход востребован в областях, таких как:</w:t>
      </w:r>
    </w:p>
    <w:p w14:paraId="0BC05EE9" w14:textId="77777777" w:rsidR="00314D91" w:rsidRPr="00314D91" w:rsidRDefault="00314D91" w:rsidP="00AD58CD">
      <w:pPr>
        <w:numPr>
          <w:ilvl w:val="0"/>
          <w:numId w:val="122"/>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Медицина — для оперативного принятия решений</w:t>
      </w:r>
    </w:p>
    <w:p w14:paraId="6E05C491" w14:textId="77777777" w:rsidR="00314D91" w:rsidRPr="00314D91" w:rsidRDefault="00314D91" w:rsidP="00AD58CD">
      <w:pPr>
        <w:numPr>
          <w:ilvl w:val="0"/>
          <w:numId w:val="122"/>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Финансовый сектор — для моментального анализа транзакций и предотвращения мошенничества</w:t>
      </w:r>
    </w:p>
    <w:p w14:paraId="6E52EA28" w14:textId="77777777" w:rsidR="00314D91" w:rsidRPr="00314D91" w:rsidRDefault="00314D91" w:rsidP="00AD58CD">
      <w:pPr>
        <w:numPr>
          <w:ilvl w:val="0"/>
          <w:numId w:val="122"/>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lastRenderedPageBreak/>
        <w:t xml:space="preserve">Логистика — построение актуальных маршрутов, возможность гибко изменять пути поставок </w:t>
      </w:r>
    </w:p>
    <w:p w14:paraId="2AD92980" w14:textId="5CA69C0A" w:rsidR="00314D91" w:rsidRPr="00314D91" w:rsidRDefault="00314D91" w:rsidP="00AD58CD">
      <w:pPr>
        <w:numPr>
          <w:ilvl w:val="0"/>
          <w:numId w:val="122"/>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Крупные предприятия и заводы — мониторинг оборудования и предотвращения сбоев в производственных процессах</w:t>
      </w:r>
    </w:p>
    <w:p w14:paraId="6819D12A" w14:textId="77777777" w:rsidR="00314D91" w:rsidRPr="00314D91" w:rsidRDefault="00314D91" w:rsidP="00314D91">
      <w:pPr>
        <w:spacing w:after="0" w:line="240" w:lineRule="auto"/>
        <w:ind w:firstLine="708"/>
        <w:contextualSpacing/>
        <w:jc w:val="both"/>
        <w:outlineLvl w:val="2"/>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Определение базы данных</w:t>
      </w:r>
    </w:p>
    <w:p w14:paraId="417A24E7" w14:textId="77777777" w:rsidR="00314D91" w:rsidRPr="00314D91" w:rsidRDefault="00314D91" w:rsidP="00314D91">
      <w:pPr>
        <w:spacing w:after="0" w:line="240" w:lineRule="auto"/>
        <w:ind w:firstLine="709"/>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Стоит отметить для общего понимания в дальнейшем, что такое база данных?</w:t>
      </w:r>
    </w:p>
    <w:p w14:paraId="05E69A4C"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База данных — это структурированная коллекция, организованная для удобного доступа и обновления информации. Она состоит из таблиц, где данные представлены в строках и столбцах [1].</w:t>
      </w:r>
    </w:p>
    <w:p w14:paraId="7ABA0A0E"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Базы данных в свою очередь делятся на несколько типов:</w:t>
      </w:r>
    </w:p>
    <w:p w14:paraId="4E20C0FB" w14:textId="77777777" w:rsidR="00314D91" w:rsidRPr="00314D91" w:rsidRDefault="00314D91" w:rsidP="00AD58CD">
      <w:pPr>
        <w:numPr>
          <w:ilvl w:val="0"/>
          <w:numId w:val="123"/>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Реляционные — вся информация расположена в таблицах, связь между ячейками, в которых хранится по типу ключ-значение (Например: MySQL, PostgreSQL, Microsoft SQL Server) [1].</w:t>
      </w:r>
    </w:p>
    <w:p w14:paraId="59984DCD" w14:textId="77777777" w:rsidR="00314D91" w:rsidRPr="00314D91" w:rsidRDefault="00314D91" w:rsidP="00AD58CD">
      <w:pPr>
        <w:numPr>
          <w:ilvl w:val="0"/>
          <w:numId w:val="123"/>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 xml:space="preserve">Нереляционные – предназначены для обработки больших объёмов данных, поэтому информация хранится в хаотичном порядке без жесткой фиксации (Например: MongoDB, Cassandra) [5]. </w:t>
      </w:r>
    </w:p>
    <w:p w14:paraId="2E0EED59" w14:textId="6C3936DB" w:rsidR="00314D91" w:rsidRPr="00314D91" w:rsidRDefault="00314D91" w:rsidP="00AD58CD">
      <w:pPr>
        <w:numPr>
          <w:ilvl w:val="0"/>
          <w:numId w:val="123"/>
        </w:numPr>
        <w:tabs>
          <w:tab w:val="left" w:pos="1134"/>
        </w:tabs>
        <w:spacing w:after="0" w:line="240" w:lineRule="auto"/>
        <w:ind w:left="0" w:firstLine="709"/>
        <w:contextualSpacing/>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Объектно-ориентированные — информация представлена в виде объектов, содержащих данные и методы для их обработки (Например: db4o, ObjectDB) [5].</w:t>
      </w:r>
    </w:p>
    <w:p w14:paraId="0DB43C5D"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Какой тип базы данных, наиболее подходящий для работы с онлайн потоком</w:t>
      </w:r>
    </w:p>
    <w:p w14:paraId="567C64C5"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Возникает вопрос, а какой из этих типов данных подходит для работы в реальном времени?</w:t>
      </w:r>
    </w:p>
    <w:p w14:paraId="7D32C11D"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Для систем, требующих минимальных задержек обработки, наиболее подходят — нереляционные базы данных. Это обусловлено тремя ключевыми факторами:</w:t>
      </w:r>
    </w:p>
    <w:p w14:paraId="1F2776CA" w14:textId="77777777" w:rsidR="00314D91" w:rsidRPr="00314D91" w:rsidRDefault="00314D91" w:rsidP="00AD58CD">
      <w:pPr>
        <w:numPr>
          <w:ilvl w:val="0"/>
          <w:numId w:val="125"/>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Гибкостью модели данных — отсутствие строгой схемы позволяет быстро адаптировать структуру под изменяющиеся требования;</w:t>
      </w:r>
    </w:p>
    <w:p w14:paraId="4804E399" w14:textId="77777777" w:rsidR="00314D91" w:rsidRPr="00314D91" w:rsidRDefault="00314D91" w:rsidP="00AD58CD">
      <w:pPr>
        <w:numPr>
          <w:ilvl w:val="0"/>
          <w:numId w:val="125"/>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Горизонтальной масштабируемостью – возможность распределения нагрузки на несколько серверов критична для высоконагруженных систем;</w:t>
      </w:r>
    </w:p>
    <w:p w14:paraId="7E9C319B" w14:textId="77777777" w:rsidR="00314D91" w:rsidRPr="00314D91" w:rsidRDefault="00314D91" w:rsidP="00AD58CD">
      <w:pPr>
        <w:numPr>
          <w:ilvl w:val="0"/>
          <w:numId w:val="125"/>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Оптимизацией под потоковую обработку — архитектура таких СУБД (например, MongoDB или Cassandra [5]) минимизирует задержки при операциях чтения/записи.</w:t>
      </w:r>
    </w:p>
    <w:p w14:paraId="4927FD05" w14:textId="77777777" w:rsidR="00314D91" w:rsidRPr="00314D91" w:rsidRDefault="00314D91" w:rsidP="00314D91">
      <w:pPr>
        <w:tabs>
          <w:tab w:val="num" w:pos="1134"/>
        </w:tabs>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 xml:space="preserve">Теперь, когда понятие базы данных стало более ясным, а подходящие типы разобраны, можно перейти к рассмотрению их </w:t>
      </w:r>
      <w:r w:rsidRPr="00314D91">
        <w:rPr>
          <w:rFonts w:ascii="Times New Roman" w:eastAsia="Times New Roman" w:hAnsi="Times New Roman" w:cs="Times New Roman"/>
          <w:sz w:val="32"/>
          <w:szCs w:val="32"/>
          <w:lang w:eastAsia="ru-RU"/>
        </w:rPr>
        <w:lastRenderedPageBreak/>
        <w:t xml:space="preserve">требований и технологий, применяемых для обработки данных в реальном времени. </w:t>
      </w:r>
    </w:p>
    <w:p w14:paraId="2F0C20E9" w14:textId="77777777" w:rsidR="00314D91" w:rsidRPr="00314D91" w:rsidRDefault="00314D91" w:rsidP="00314D91">
      <w:pPr>
        <w:spacing w:after="0" w:line="240" w:lineRule="auto"/>
        <w:ind w:firstLine="709"/>
        <w:jc w:val="both"/>
        <w:outlineLvl w:val="1"/>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Основные требования к базам данных реального времени:</w:t>
      </w:r>
    </w:p>
    <w:p w14:paraId="7F5746A9" w14:textId="77777777" w:rsidR="00314D91" w:rsidRPr="00314D91" w:rsidRDefault="00314D91" w:rsidP="00AD58CD">
      <w:pPr>
        <w:numPr>
          <w:ilvl w:val="0"/>
          <w:numId w:val="124"/>
        </w:numPr>
        <w:tabs>
          <w:tab w:val="left" w:pos="1134"/>
        </w:tabs>
        <w:spacing w:after="0" w:line="240" w:lineRule="auto"/>
        <w:ind w:left="0" w:firstLine="709"/>
        <w:contextualSpacing/>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 xml:space="preserve">Согласованность данных и транзакций — база данных должна не только обеспечивать логическую целостность данных, но и соответствовать временным ограничениям транзакций [2]. </w:t>
      </w:r>
    </w:p>
    <w:p w14:paraId="523EAE31" w14:textId="77777777" w:rsidR="00314D91" w:rsidRPr="00314D91" w:rsidRDefault="00314D91" w:rsidP="00AD58CD">
      <w:pPr>
        <w:numPr>
          <w:ilvl w:val="0"/>
          <w:numId w:val="124"/>
        </w:numPr>
        <w:tabs>
          <w:tab w:val="left" w:pos="1134"/>
        </w:tabs>
        <w:spacing w:after="0" w:line="240" w:lineRule="auto"/>
        <w:ind w:left="0" w:firstLine="709"/>
        <w:contextualSpacing/>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Очередность и обработка транзакций — важна корректная последовательность выполнения операций, что является ключевой задачей при проектировании систем реального времени [2].</w:t>
      </w:r>
    </w:p>
    <w:p w14:paraId="49AD5DC0" w14:textId="77777777" w:rsidR="00314D91" w:rsidRPr="00314D91" w:rsidRDefault="00314D91" w:rsidP="00AD58CD">
      <w:pPr>
        <w:numPr>
          <w:ilvl w:val="0"/>
          <w:numId w:val="124"/>
        </w:numPr>
        <w:tabs>
          <w:tab w:val="left" w:pos="1134"/>
        </w:tabs>
        <w:spacing w:after="0" w:line="240" w:lineRule="auto"/>
        <w:ind w:left="0" w:firstLine="709"/>
        <w:contextualSpacing/>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Управление вводом/выводом и буферами — необходимо учитывать приоритетность транзакций при распределении ресурсов памяти и обработке операций ввода/вывода [2].</w:t>
      </w:r>
    </w:p>
    <w:p w14:paraId="1AF26153" w14:textId="77777777" w:rsidR="00314D91" w:rsidRPr="00314D91" w:rsidRDefault="00314D91" w:rsidP="00AD58CD">
      <w:pPr>
        <w:numPr>
          <w:ilvl w:val="0"/>
          <w:numId w:val="124"/>
        </w:numPr>
        <w:tabs>
          <w:tab w:val="left" w:pos="1134"/>
        </w:tabs>
        <w:spacing w:after="0" w:line="240" w:lineRule="auto"/>
        <w:ind w:left="0" w:firstLine="709"/>
        <w:contextualSpacing/>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Параллельная обработка — для повышения скорости и эффективности требуется поддержка многопоточной и параллельной обработки запросов [2].</w:t>
      </w:r>
    </w:p>
    <w:p w14:paraId="5F8C6712" w14:textId="77777777" w:rsidR="00314D91" w:rsidRPr="00314D91" w:rsidRDefault="00314D91" w:rsidP="00AD58CD">
      <w:pPr>
        <w:numPr>
          <w:ilvl w:val="0"/>
          <w:numId w:val="124"/>
        </w:numPr>
        <w:tabs>
          <w:tab w:val="left" w:pos="1134"/>
        </w:tabs>
        <w:spacing w:after="0" w:line="240" w:lineRule="auto"/>
        <w:ind w:left="0" w:firstLine="709"/>
        <w:contextualSpacing/>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Распределенная архитектура — базы данных реального времени часто работают в распределенной среде, что требует оптимального управления данными в разных узлах системы [2].</w:t>
      </w:r>
    </w:p>
    <w:p w14:paraId="4729DAE2" w14:textId="77777777" w:rsidR="00314D91" w:rsidRPr="00314D91" w:rsidRDefault="00314D91" w:rsidP="00314D91">
      <w:pPr>
        <w:spacing w:after="0" w:line="240" w:lineRule="auto"/>
        <w:ind w:firstLine="709"/>
        <w:jc w:val="both"/>
        <w:outlineLvl w:val="1"/>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Популярные технологии баз данных реального времени</w:t>
      </w:r>
    </w:p>
    <w:p w14:paraId="2BBED82F" w14:textId="77777777" w:rsidR="00314D91" w:rsidRPr="00314D91" w:rsidRDefault="00314D91" w:rsidP="00314D91">
      <w:pPr>
        <w:spacing w:after="0" w:line="240" w:lineRule="auto"/>
        <w:ind w:firstLine="709"/>
        <w:jc w:val="both"/>
        <w:outlineLvl w:val="1"/>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Учитывая технические требования баз данных для работы в режиме реального времени, стоит подробнее рассмотреть конкретные технологии, получившие наибольшее распространение в современных высоконагруженных системах. Среди них можно выделить четыре ключевых решения, каждое из которых предлагает уникальные особенности для обработки потоковых данных. Рассмотрим их</w:t>
      </w:r>
      <w:r w:rsidRPr="00314D91">
        <w:rPr>
          <w:rFonts w:ascii="Times New Roman" w:eastAsia="Times New Roman" w:hAnsi="Times New Roman" w:cs="Times New Roman"/>
          <w:sz w:val="32"/>
          <w:szCs w:val="32"/>
          <w:lang w:val="en-US" w:eastAsia="ru-RU"/>
        </w:rPr>
        <w:t>:</w:t>
      </w:r>
    </w:p>
    <w:p w14:paraId="537852DF" w14:textId="77777777" w:rsidR="00314D91" w:rsidRPr="00314D91" w:rsidRDefault="00314D91" w:rsidP="00AD58CD">
      <w:pPr>
        <w:numPr>
          <w:ilvl w:val="0"/>
          <w:numId w:val="121"/>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Apache Kafka — распределенная платформа потоковой передачи событий с открытым исходным кодом, обеспечивающая обработку данных в реальном времени [3].</w:t>
      </w:r>
    </w:p>
    <w:p w14:paraId="4A102002" w14:textId="77777777" w:rsidR="00314D91" w:rsidRPr="00314D91" w:rsidRDefault="00314D91" w:rsidP="00AD58CD">
      <w:pPr>
        <w:numPr>
          <w:ilvl w:val="0"/>
          <w:numId w:val="121"/>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Redis — высокопроизводительная база данных с высокой степенью оптимизации кэширования [4].</w:t>
      </w:r>
    </w:p>
    <w:p w14:paraId="67A8D540" w14:textId="77777777" w:rsidR="00314D91" w:rsidRPr="00314D91" w:rsidRDefault="00314D91" w:rsidP="00AD58CD">
      <w:pPr>
        <w:numPr>
          <w:ilvl w:val="0"/>
          <w:numId w:val="121"/>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Google Firebase — это облачная платформа NoSQL, которая использует формат JSON для хранения данных [4].</w:t>
      </w:r>
    </w:p>
    <w:p w14:paraId="5309E100" w14:textId="77777777" w:rsidR="00314D91" w:rsidRPr="00314D91" w:rsidRDefault="00314D91" w:rsidP="00AD58CD">
      <w:pPr>
        <w:numPr>
          <w:ilvl w:val="0"/>
          <w:numId w:val="121"/>
        </w:numPr>
        <w:tabs>
          <w:tab w:val="num" w:pos="1134"/>
        </w:tabs>
        <w:spacing w:after="0" w:line="240" w:lineRule="auto"/>
        <w:ind w:left="0"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MongoDB — данные хранятся в виде коллекций, а не в табличном формате, как в реляционных базах данных. [4].</w:t>
      </w:r>
    </w:p>
    <w:p w14:paraId="3D09944B" w14:textId="77777777" w:rsidR="00314D91" w:rsidRPr="00314D91" w:rsidRDefault="00314D91" w:rsidP="00314D91">
      <w:pPr>
        <w:spacing w:before="100" w:beforeAutospacing="1" w:after="100" w:afterAutospacing="1" w:line="240" w:lineRule="auto"/>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Сравнение баз данных реального времени</w:t>
      </w:r>
    </w:p>
    <w:tbl>
      <w:tblPr>
        <w:tblStyle w:val="50"/>
        <w:tblW w:w="10874" w:type="dxa"/>
        <w:tblInd w:w="-714" w:type="dxa"/>
        <w:tblLayout w:type="fixed"/>
        <w:tblLook w:val="04A0" w:firstRow="1" w:lastRow="0" w:firstColumn="1" w:lastColumn="0" w:noHBand="0" w:noVBand="1"/>
      </w:tblPr>
      <w:tblGrid>
        <w:gridCol w:w="2269"/>
        <w:gridCol w:w="2551"/>
        <w:gridCol w:w="2126"/>
        <w:gridCol w:w="3928"/>
      </w:tblGrid>
      <w:tr w:rsidR="00314D91" w:rsidRPr="00314D91" w14:paraId="69955B0B" w14:textId="77777777" w:rsidTr="00EB1CB9">
        <w:tc>
          <w:tcPr>
            <w:tcW w:w="2269" w:type="dxa"/>
            <w:hideMark/>
          </w:tcPr>
          <w:p w14:paraId="338ACC2D" w14:textId="77777777" w:rsidR="00314D91" w:rsidRPr="00314D91" w:rsidRDefault="00314D91" w:rsidP="00314D91">
            <w:pPr>
              <w:spacing w:before="100" w:beforeAutospacing="1" w:after="100" w:afterAutospacing="1"/>
              <w:ind w:right="-1329"/>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Характеристика</w:t>
            </w:r>
          </w:p>
        </w:tc>
        <w:tc>
          <w:tcPr>
            <w:tcW w:w="2551" w:type="dxa"/>
            <w:hideMark/>
          </w:tcPr>
          <w:p w14:paraId="6EC7A666"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Преимущества (+)</w:t>
            </w:r>
          </w:p>
        </w:tc>
        <w:tc>
          <w:tcPr>
            <w:tcW w:w="2126" w:type="dxa"/>
            <w:hideMark/>
          </w:tcPr>
          <w:p w14:paraId="7C477EE7"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Недостатки (-)</w:t>
            </w:r>
          </w:p>
        </w:tc>
        <w:tc>
          <w:tcPr>
            <w:tcW w:w="3928" w:type="dxa"/>
            <w:hideMark/>
          </w:tcPr>
          <w:p w14:paraId="5DDC5AD4"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Пояснение и примеры</w:t>
            </w:r>
          </w:p>
        </w:tc>
      </w:tr>
      <w:tr w:rsidR="00314D91" w:rsidRPr="00314D91" w14:paraId="4A262F07" w14:textId="77777777" w:rsidTr="00EB1CB9">
        <w:tc>
          <w:tcPr>
            <w:tcW w:w="2269" w:type="dxa"/>
            <w:hideMark/>
          </w:tcPr>
          <w:p w14:paraId="21D2A1A5"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lastRenderedPageBreak/>
              <w:t>Скорость работы</w:t>
            </w:r>
          </w:p>
        </w:tc>
        <w:tc>
          <w:tcPr>
            <w:tcW w:w="2551" w:type="dxa"/>
            <w:hideMark/>
          </w:tcPr>
          <w:p w14:paraId="288FF8F4"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Очень быстрая обработка (&lt;5 мс)</w:t>
            </w:r>
          </w:p>
        </w:tc>
        <w:tc>
          <w:tcPr>
            <w:tcW w:w="2126" w:type="dxa"/>
            <w:hideMark/>
          </w:tcPr>
          <w:p w14:paraId="364E8374"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Требует SSD-дисков и много RAM</w:t>
            </w:r>
          </w:p>
        </w:tc>
        <w:tc>
          <w:tcPr>
            <w:tcW w:w="3928" w:type="dxa"/>
            <w:hideMark/>
          </w:tcPr>
          <w:p w14:paraId="7D15D8AC"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СУБД Redis обеспечивает отклик в 1мс, но требует мощную серверную память</w:t>
            </w:r>
          </w:p>
        </w:tc>
      </w:tr>
      <w:tr w:rsidR="00314D91" w:rsidRPr="00314D91" w14:paraId="56352D1B" w14:textId="77777777" w:rsidTr="00EB1CB9">
        <w:tc>
          <w:tcPr>
            <w:tcW w:w="2269" w:type="dxa"/>
            <w:hideMark/>
          </w:tcPr>
          <w:p w14:paraId="35E6F2CA"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Масштабируемость</w:t>
            </w:r>
          </w:p>
        </w:tc>
        <w:tc>
          <w:tcPr>
            <w:tcW w:w="2551" w:type="dxa"/>
            <w:hideMark/>
          </w:tcPr>
          <w:p w14:paraId="77FD01A7"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Легко добавить новые серверы</w:t>
            </w:r>
          </w:p>
        </w:tc>
        <w:tc>
          <w:tcPr>
            <w:tcW w:w="2126" w:type="dxa"/>
            <w:hideMark/>
          </w:tcPr>
          <w:p w14:paraId="40354E71"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Сложная настройка кластера</w:t>
            </w:r>
          </w:p>
        </w:tc>
        <w:tc>
          <w:tcPr>
            <w:tcW w:w="3928" w:type="dxa"/>
            <w:hideMark/>
          </w:tcPr>
          <w:p w14:paraId="580F18BF"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СУБД MongoDB легко масштабируется, но администратору нужно знать технологию шардинга</w:t>
            </w:r>
            <w:r w:rsidRPr="00314D91">
              <w:rPr>
                <w:rFonts w:ascii="Times New Roman" w:eastAsia="Times New Roman" w:hAnsi="Times New Roman" w:cs="Times New Roman"/>
                <w:sz w:val="28"/>
                <w:szCs w:val="28"/>
                <w:vertAlign w:val="superscript"/>
                <w:lang w:eastAsia="ru-RU"/>
              </w:rPr>
              <w:t>1</w:t>
            </w:r>
          </w:p>
        </w:tc>
      </w:tr>
      <w:tr w:rsidR="00314D91" w:rsidRPr="00314D91" w14:paraId="5E379FB7" w14:textId="77777777" w:rsidTr="00EB1CB9">
        <w:tc>
          <w:tcPr>
            <w:tcW w:w="2269" w:type="dxa"/>
            <w:hideMark/>
          </w:tcPr>
          <w:p w14:paraId="511036DB"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Гибкость данных</w:t>
            </w:r>
          </w:p>
        </w:tc>
        <w:tc>
          <w:tcPr>
            <w:tcW w:w="2551" w:type="dxa"/>
            <w:hideMark/>
          </w:tcPr>
          <w:p w14:paraId="7615456C"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Можно менять структуру "на лету"</w:t>
            </w:r>
          </w:p>
        </w:tc>
        <w:tc>
          <w:tcPr>
            <w:tcW w:w="2126" w:type="dxa"/>
            <w:hideMark/>
          </w:tcPr>
          <w:p w14:paraId="29154695"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Нет строгой проверки данных</w:t>
            </w:r>
          </w:p>
        </w:tc>
        <w:tc>
          <w:tcPr>
            <w:tcW w:w="3928" w:type="dxa"/>
            <w:hideMark/>
          </w:tcPr>
          <w:p w14:paraId="30418FD5"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В СУБД MongoDB можно добавить поле без изменения схемы</w:t>
            </w:r>
          </w:p>
        </w:tc>
      </w:tr>
      <w:tr w:rsidR="00314D91" w:rsidRPr="00314D91" w14:paraId="75AB2A70" w14:textId="77777777" w:rsidTr="00EB1CB9">
        <w:tc>
          <w:tcPr>
            <w:tcW w:w="2269" w:type="dxa"/>
            <w:hideMark/>
          </w:tcPr>
          <w:p w14:paraId="16F7184F"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Надежность</w:t>
            </w:r>
          </w:p>
        </w:tc>
        <w:tc>
          <w:tcPr>
            <w:tcW w:w="2551" w:type="dxa"/>
            <w:hideMark/>
          </w:tcPr>
          <w:p w14:paraId="206C4699"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Данные реплицируются на несколько узлов</w:t>
            </w:r>
          </w:p>
        </w:tc>
        <w:tc>
          <w:tcPr>
            <w:tcW w:w="2126" w:type="dxa"/>
            <w:hideMark/>
          </w:tcPr>
          <w:p w14:paraId="74DD2263"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Возможны краткие потери данных при авариях</w:t>
            </w:r>
          </w:p>
        </w:tc>
        <w:tc>
          <w:tcPr>
            <w:tcW w:w="3928" w:type="dxa"/>
            <w:hideMark/>
          </w:tcPr>
          <w:p w14:paraId="627D22C1"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Платформа Kafka сохраняет данные, но в момент сбоя возможна потеря нескольких последних сообщений [3]</w:t>
            </w:r>
          </w:p>
        </w:tc>
      </w:tr>
      <w:tr w:rsidR="00314D91" w:rsidRPr="00314D91" w14:paraId="42A2B0F2" w14:textId="77777777" w:rsidTr="00EB1CB9">
        <w:tc>
          <w:tcPr>
            <w:tcW w:w="2269" w:type="dxa"/>
            <w:hideMark/>
          </w:tcPr>
          <w:p w14:paraId="42881335"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Стоимость</w:t>
            </w:r>
          </w:p>
        </w:tc>
        <w:tc>
          <w:tcPr>
            <w:tcW w:w="2551" w:type="dxa"/>
            <w:hideMark/>
          </w:tcPr>
          <w:p w14:paraId="7955B04B"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Открытый код (бесплатно)</w:t>
            </w:r>
          </w:p>
        </w:tc>
        <w:tc>
          <w:tcPr>
            <w:tcW w:w="2126" w:type="dxa"/>
            <w:hideMark/>
          </w:tcPr>
          <w:p w14:paraId="6759177E"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Дорогое обслуживание</w:t>
            </w:r>
          </w:p>
        </w:tc>
        <w:tc>
          <w:tcPr>
            <w:tcW w:w="3928" w:type="dxa"/>
            <w:hideMark/>
          </w:tcPr>
          <w:p w14:paraId="5FE72C7D"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СУБД Redis бесплатная, но кластеры для обработки требуют дорогих серверов</w:t>
            </w:r>
          </w:p>
        </w:tc>
      </w:tr>
      <w:tr w:rsidR="00314D91" w:rsidRPr="00314D91" w14:paraId="0B0011B0" w14:textId="77777777" w:rsidTr="00EB1CB9">
        <w:tc>
          <w:tcPr>
            <w:tcW w:w="2269" w:type="dxa"/>
            <w:hideMark/>
          </w:tcPr>
          <w:p w14:paraId="766AFF37"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Безопасность</w:t>
            </w:r>
          </w:p>
        </w:tc>
        <w:tc>
          <w:tcPr>
            <w:tcW w:w="2551" w:type="dxa"/>
            <w:hideMark/>
          </w:tcPr>
          <w:p w14:paraId="01CDCFE1"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Современные методы шифрования</w:t>
            </w:r>
          </w:p>
        </w:tc>
        <w:tc>
          <w:tcPr>
            <w:tcW w:w="2126" w:type="dxa"/>
            <w:hideMark/>
          </w:tcPr>
          <w:p w14:paraId="4FAC979F"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Сложная настройка доступа</w:t>
            </w:r>
          </w:p>
        </w:tc>
        <w:tc>
          <w:tcPr>
            <w:tcW w:w="3928" w:type="dxa"/>
            <w:hideMark/>
          </w:tcPr>
          <w:p w14:paraId="2B418109"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Платформа Firebase имеет защиту, но требует глубокой настройки прав</w:t>
            </w:r>
          </w:p>
        </w:tc>
      </w:tr>
      <w:tr w:rsidR="00314D91" w:rsidRPr="00314D91" w14:paraId="17AAEBF7" w14:textId="77777777" w:rsidTr="00EB1CB9">
        <w:tc>
          <w:tcPr>
            <w:tcW w:w="2269" w:type="dxa"/>
            <w:hideMark/>
          </w:tcPr>
          <w:p w14:paraId="1CB33121"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Простота использования</w:t>
            </w:r>
          </w:p>
        </w:tc>
        <w:tc>
          <w:tcPr>
            <w:tcW w:w="2551" w:type="dxa"/>
            <w:hideMark/>
          </w:tcPr>
          <w:p w14:paraId="21708E90"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Удобные API</w:t>
            </w:r>
          </w:p>
        </w:tc>
        <w:tc>
          <w:tcPr>
            <w:tcW w:w="2126" w:type="dxa"/>
            <w:hideMark/>
          </w:tcPr>
          <w:p w14:paraId="761A0067"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Специфический язык запросов</w:t>
            </w:r>
          </w:p>
        </w:tc>
        <w:tc>
          <w:tcPr>
            <w:tcW w:w="3928" w:type="dxa"/>
            <w:hideMark/>
          </w:tcPr>
          <w:p w14:paraId="5E8E644E" w14:textId="77777777" w:rsidR="00314D91" w:rsidRPr="00314D91" w:rsidRDefault="00314D91" w:rsidP="00314D91">
            <w:pPr>
              <w:spacing w:before="100" w:beforeAutospacing="1" w:after="100" w:afterAutospacing="1"/>
              <w:jc w:val="both"/>
              <w:rPr>
                <w:rFonts w:ascii="Times New Roman" w:eastAsia="Times New Roman" w:hAnsi="Times New Roman" w:cs="Times New Roman"/>
                <w:sz w:val="28"/>
                <w:szCs w:val="28"/>
                <w:lang w:eastAsia="ru-RU"/>
              </w:rPr>
            </w:pPr>
            <w:r w:rsidRPr="00314D91">
              <w:rPr>
                <w:rFonts w:ascii="Times New Roman" w:eastAsia="Times New Roman" w:hAnsi="Times New Roman" w:cs="Times New Roman"/>
                <w:sz w:val="28"/>
                <w:szCs w:val="28"/>
                <w:lang w:eastAsia="ru-RU"/>
              </w:rPr>
              <w:t>Платформа Cassandra имеет свой язык запросов CQL</w:t>
            </w:r>
            <w:r w:rsidRPr="00314D91">
              <w:rPr>
                <w:rFonts w:ascii="Times New Roman" w:eastAsia="Times New Roman" w:hAnsi="Times New Roman" w:cs="Times New Roman"/>
                <w:sz w:val="28"/>
                <w:szCs w:val="28"/>
                <w:vertAlign w:val="superscript"/>
                <w:lang w:eastAsia="ru-RU"/>
              </w:rPr>
              <w:t>2</w:t>
            </w:r>
            <w:r w:rsidRPr="00314D91">
              <w:rPr>
                <w:rFonts w:ascii="Times New Roman" w:eastAsia="Times New Roman" w:hAnsi="Times New Roman" w:cs="Times New Roman"/>
                <w:sz w:val="28"/>
                <w:szCs w:val="28"/>
                <w:lang w:eastAsia="ru-RU"/>
              </w:rPr>
              <w:t>, который отличается от SQL</w:t>
            </w:r>
          </w:p>
        </w:tc>
      </w:tr>
    </w:tbl>
    <w:p w14:paraId="132B1E3A"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vertAlign w:val="superscript"/>
          <w:lang w:eastAsia="ru-RU"/>
        </w:rPr>
      </w:pPr>
    </w:p>
    <w:p w14:paraId="78335316"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vertAlign w:val="superscript"/>
          <w:lang w:eastAsia="ru-RU"/>
        </w:rPr>
        <w:t>1</w:t>
      </w:r>
      <w:r w:rsidRPr="00314D91">
        <w:rPr>
          <w:rFonts w:ascii="Times New Roman" w:eastAsia="Times New Roman" w:hAnsi="Times New Roman" w:cs="Times New Roman"/>
          <w:sz w:val="32"/>
          <w:szCs w:val="32"/>
          <w:lang w:eastAsia="ru-RU"/>
        </w:rPr>
        <w:t>Шардинг — метод горизонтального распределения данных между серверами</w:t>
      </w:r>
    </w:p>
    <w:p w14:paraId="64075FC9"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vertAlign w:val="superscript"/>
          <w:lang w:eastAsia="ru-RU"/>
        </w:rPr>
        <w:t>2</w:t>
      </w:r>
      <w:r w:rsidRPr="00314D91">
        <w:rPr>
          <w:rFonts w:ascii="Times New Roman" w:eastAsia="Times New Roman" w:hAnsi="Times New Roman" w:cs="Times New Roman"/>
          <w:sz w:val="32"/>
          <w:szCs w:val="32"/>
          <w:lang w:eastAsia="ru-RU"/>
        </w:rPr>
        <w:t xml:space="preserve">CQL (Cassandra Query Language) — язык запросов, синтаксически близкий к SQL, но с ограниченной поддержкой JOIN </w:t>
      </w:r>
    </w:p>
    <w:p w14:paraId="3CE03B3E" w14:textId="77777777" w:rsidR="00F758E1" w:rsidRDefault="00F758E1" w:rsidP="00314D91">
      <w:pPr>
        <w:spacing w:after="0" w:line="240" w:lineRule="auto"/>
        <w:ind w:firstLine="709"/>
        <w:jc w:val="both"/>
        <w:rPr>
          <w:rFonts w:ascii="Times New Roman" w:eastAsia="Times New Roman" w:hAnsi="Times New Roman" w:cs="Times New Roman"/>
          <w:sz w:val="32"/>
          <w:szCs w:val="32"/>
          <w:lang w:eastAsia="ru-RU"/>
        </w:rPr>
      </w:pPr>
    </w:p>
    <w:p w14:paraId="3ACAC773" w14:textId="26A902E1"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Практическая значимость</w:t>
      </w:r>
    </w:p>
    <w:p w14:paraId="10526710"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Базы данных реального времени играют ключевую роль в системах, где задержки в обработке данных недопустимы. Они обеспечивают оперативное принятие решений и повышают точность анализа информации.</w:t>
      </w:r>
    </w:p>
    <w:p w14:paraId="444893F3"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Такие технологии широко применяются в онлайн-банкинге, биржевой торговле и навигационных сервисах, где скорость обработки данных напрямую влияет на качество работы системы. Без баз данных реального времени пользователи сталкивались бы с задержками, а критически важные процессы могли бы давать сбои.</w:t>
      </w:r>
    </w:p>
    <w:p w14:paraId="2F60A187"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 xml:space="preserve">Кроме того, их активно используют в автоматизированных производствах, интеллектуальных транспортных системах и службах </w:t>
      </w:r>
      <w:r w:rsidRPr="00314D91">
        <w:rPr>
          <w:rFonts w:ascii="Times New Roman" w:eastAsia="Times New Roman" w:hAnsi="Times New Roman" w:cs="Times New Roman"/>
          <w:sz w:val="32"/>
          <w:szCs w:val="32"/>
          <w:lang w:eastAsia="ru-RU"/>
        </w:rPr>
        <w:lastRenderedPageBreak/>
        <w:t>мониторинга. Эти решения позволяют оперативно реагировать на изменения, повышать уровень безопасности, снижать затраты и улучшать качество предоставляемых услуг.</w:t>
      </w:r>
    </w:p>
    <w:p w14:paraId="29218020" w14:textId="77777777" w:rsidR="00314D91" w:rsidRPr="00314D91" w:rsidRDefault="00314D91" w:rsidP="00314D91">
      <w:pPr>
        <w:spacing w:after="0" w:line="240" w:lineRule="auto"/>
        <w:ind w:firstLine="709"/>
        <w:jc w:val="both"/>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Использование баз данных реального времени становится неотъемлемым элементом цифровой трансформации бизнеса, позволяя компаниям повышать свою гибкость, адаптивность и конкурентоспособность на рынке.</w:t>
      </w:r>
    </w:p>
    <w:p w14:paraId="1451E93C" w14:textId="77777777" w:rsidR="00314D91" w:rsidRPr="00314D91" w:rsidRDefault="00314D91" w:rsidP="00314D91">
      <w:pPr>
        <w:spacing w:after="0" w:line="240" w:lineRule="auto"/>
        <w:ind w:firstLine="709"/>
        <w:jc w:val="both"/>
        <w:outlineLvl w:val="1"/>
        <w:rPr>
          <w:rFonts w:ascii="Times New Roman" w:eastAsia="Times New Roman" w:hAnsi="Times New Roman" w:cs="Times New Roman"/>
          <w:sz w:val="32"/>
          <w:szCs w:val="32"/>
          <w:lang w:eastAsia="ru-RU"/>
        </w:rPr>
      </w:pPr>
      <w:r w:rsidRPr="00314D91">
        <w:rPr>
          <w:rFonts w:ascii="Times New Roman" w:eastAsia="Times New Roman" w:hAnsi="Times New Roman" w:cs="Times New Roman"/>
          <w:sz w:val="32"/>
          <w:szCs w:val="32"/>
          <w:lang w:eastAsia="ru-RU"/>
        </w:rPr>
        <w:t>Заключение</w:t>
      </w:r>
    </w:p>
    <w:p w14:paraId="256D64F6" w14:textId="77777777" w:rsidR="00314D91" w:rsidRPr="00314D91" w:rsidRDefault="00314D91" w:rsidP="00F758E1">
      <w:pPr>
        <w:spacing w:after="0" w:line="240" w:lineRule="auto"/>
        <w:ind w:firstLine="709"/>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В ходе исследования были рассмотрены базы данных реального времени, их классификация, ключевые требования и современные технологии, обеспечивающие эффективную обработку потоковых данных. Основное внимание уделено нереляционным системам управления базами данных, обладающим высокой гибкостью, масштабируемостью и способностью быстро адаптироваться к изменяющимся требованиям бизнеса.</w:t>
      </w:r>
    </w:p>
    <w:p w14:paraId="70C6F3C0" w14:textId="77777777" w:rsidR="00314D91" w:rsidRPr="00314D91" w:rsidRDefault="00314D91" w:rsidP="00F758E1">
      <w:pPr>
        <w:spacing w:after="0" w:line="240" w:lineRule="auto"/>
        <w:ind w:firstLine="709"/>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Проведённый анализ показал, что каждая система управления базами данных имеет свои преимущества и ограничения, а выбор конкретного решения зависит от целей и задач цифровой среды. Так, Redis отличается высокой скоростью обработки информации, но требует значительных аппаратных ресурсов, тогда как MongoDB обеспечивает удобное хранение и высокую гибкость структуры данных.</w:t>
      </w:r>
    </w:p>
    <w:p w14:paraId="1B820A68" w14:textId="77777777" w:rsidR="00314D91" w:rsidRPr="00314D91" w:rsidRDefault="00314D91" w:rsidP="00F758E1">
      <w:pPr>
        <w:spacing w:after="0" w:line="240" w:lineRule="auto"/>
        <w:ind w:firstLine="709"/>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С каждым годом базы данных реального времени становятся всё более востребованными в таких отраслях, как финансы, медицина, логистика и промышленность. Они не только обеспечивают мгновенный доступ к информации, но и становятся одним из ключевых драйверов цифровой трансформации бизнеса. Использование технологий реального времени позволяет компаниям ускорять внутренние процессы, повышать уровень адаптивности к изменениям рынка, минимизировать затраты и создавать новые конкурентные преимущества.</w:t>
      </w:r>
    </w:p>
    <w:p w14:paraId="66D602C8" w14:textId="77777777" w:rsidR="00314D91" w:rsidRPr="00314D91" w:rsidRDefault="00314D91" w:rsidP="00F758E1">
      <w:pPr>
        <w:spacing w:after="0" w:line="240" w:lineRule="auto"/>
        <w:ind w:firstLine="709"/>
        <w:jc w:val="both"/>
        <w:rPr>
          <w:rFonts w:ascii="Times New Roman" w:eastAsia="Calibri" w:hAnsi="Times New Roman" w:cs="Times New Roman"/>
          <w:kern w:val="2"/>
          <w:sz w:val="32"/>
          <w:szCs w:val="32"/>
          <w:lang w:eastAsia="ru-RU"/>
          <w14:ligatures w14:val="standardContextual"/>
        </w:rPr>
      </w:pPr>
      <w:r w:rsidRPr="00314D91">
        <w:rPr>
          <w:rFonts w:ascii="Times New Roman" w:eastAsia="Calibri" w:hAnsi="Times New Roman" w:cs="Times New Roman"/>
          <w:kern w:val="2"/>
          <w:sz w:val="32"/>
          <w:szCs w:val="32"/>
          <w:lang w:eastAsia="ru-RU"/>
          <w14:ligatures w14:val="standardContextual"/>
        </w:rPr>
        <w:t>Перспективы развития данной области связаны с дальнейшим совершенствованием существующих решений, интеграцией искусственного интеллекта для анализа потоковых данных и более глубоким внедрением баз данных реального времени в бизнес-процессы цифровой экономики.</w:t>
      </w:r>
    </w:p>
    <w:p w14:paraId="3B35AC0A" w14:textId="77777777" w:rsidR="00314D91" w:rsidRPr="00314D91" w:rsidRDefault="00314D91" w:rsidP="00314D91">
      <w:pPr>
        <w:spacing w:line="240" w:lineRule="auto"/>
        <w:ind w:firstLine="708"/>
        <w:jc w:val="both"/>
        <w:rPr>
          <w:rFonts w:ascii="Times New Roman" w:eastAsia="Calibri" w:hAnsi="Times New Roman" w:cs="Times New Roman"/>
          <w:kern w:val="2"/>
          <w:sz w:val="32"/>
          <w:szCs w:val="32"/>
          <w:lang w:eastAsia="ru-RU"/>
          <w14:ligatures w14:val="standardContextual"/>
        </w:rPr>
      </w:pPr>
    </w:p>
    <w:p w14:paraId="1515DF5E" w14:textId="77777777" w:rsidR="00314D91" w:rsidRPr="00314D91" w:rsidRDefault="00314D91" w:rsidP="00FB6BFB">
      <w:pPr>
        <w:spacing w:after="0" w:line="240" w:lineRule="auto"/>
        <w:ind w:firstLine="708"/>
        <w:jc w:val="center"/>
        <w:outlineLvl w:val="1"/>
        <w:rPr>
          <w:rFonts w:ascii="Times New Roman" w:eastAsia="Times New Roman" w:hAnsi="Times New Roman" w:cs="Times New Roman"/>
          <w:b/>
          <w:bCs/>
          <w:sz w:val="21"/>
          <w:szCs w:val="21"/>
          <w:lang w:eastAsia="ru-RU"/>
        </w:rPr>
      </w:pPr>
      <w:r w:rsidRPr="00314D91">
        <w:rPr>
          <w:rFonts w:ascii="Times New Roman" w:eastAsia="Times New Roman" w:hAnsi="Times New Roman" w:cs="Times New Roman"/>
          <w:b/>
          <w:bCs/>
          <w:sz w:val="21"/>
          <w:szCs w:val="21"/>
          <w:lang w:eastAsia="ru-RU"/>
        </w:rPr>
        <w:t>Литература:</w:t>
      </w:r>
    </w:p>
    <w:p w14:paraId="0326C390" w14:textId="77777777" w:rsidR="00314D91" w:rsidRPr="00314D91" w:rsidRDefault="00314D91" w:rsidP="00AD58CD">
      <w:pPr>
        <w:numPr>
          <w:ilvl w:val="0"/>
          <w:numId w:val="126"/>
        </w:numPr>
        <w:tabs>
          <w:tab w:val="num" w:pos="1134"/>
        </w:tabs>
        <w:spacing w:after="0" w:line="240" w:lineRule="auto"/>
        <w:ind w:left="0" w:firstLine="0"/>
        <w:contextualSpacing/>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sz w:val="21"/>
          <w:szCs w:val="21"/>
          <w:lang w:eastAsia="ru-RU"/>
        </w:rPr>
        <w:lastRenderedPageBreak/>
        <w:t>Мищенко Я.В. Базы данных: современные тенденции в области баз данных и их значимость для различных сфер деятельности // Вестник науки. 2024. № 7. С. 76.</w:t>
      </w:r>
    </w:p>
    <w:p w14:paraId="01291773" w14:textId="77777777" w:rsidR="00314D91" w:rsidRPr="00314D91" w:rsidRDefault="00314D91" w:rsidP="00AD58CD">
      <w:pPr>
        <w:numPr>
          <w:ilvl w:val="0"/>
          <w:numId w:val="126"/>
        </w:numPr>
        <w:tabs>
          <w:tab w:val="num" w:pos="1134"/>
        </w:tabs>
        <w:spacing w:after="0" w:line="240" w:lineRule="auto"/>
        <w:ind w:left="0" w:firstLine="0"/>
        <w:contextualSpacing/>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sz w:val="21"/>
          <w:szCs w:val="21"/>
          <w:lang w:eastAsia="ru-RU"/>
        </w:rPr>
        <w:t>Заикин И.С., Корхов В.Г. Основы разработки баз данных реального времени // Молодой ученый. 2015. № 23. С. 143-146.</w:t>
      </w:r>
    </w:p>
    <w:p w14:paraId="207549BC" w14:textId="77777777" w:rsidR="00314D91" w:rsidRPr="00314D91" w:rsidRDefault="00314D91" w:rsidP="00AD58CD">
      <w:pPr>
        <w:numPr>
          <w:ilvl w:val="0"/>
          <w:numId w:val="126"/>
        </w:numPr>
        <w:tabs>
          <w:tab w:val="num" w:pos="1134"/>
        </w:tabs>
        <w:spacing w:after="0" w:line="240" w:lineRule="auto"/>
        <w:ind w:left="0" w:firstLine="0"/>
        <w:contextualSpacing/>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sz w:val="21"/>
          <w:szCs w:val="21"/>
          <w:lang w:eastAsia="ru-RU"/>
        </w:rPr>
        <w:t>Apache Kafka: официальная документация [Электронный ресурс: www.kafka.apache.org (дата обращения: 28.04.2025)].</w:t>
      </w:r>
    </w:p>
    <w:p w14:paraId="4E9A6930" w14:textId="77777777" w:rsidR="00314D91" w:rsidRPr="00314D91" w:rsidRDefault="00314D91" w:rsidP="00AD58CD">
      <w:pPr>
        <w:numPr>
          <w:ilvl w:val="0"/>
          <w:numId w:val="126"/>
        </w:numPr>
        <w:tabs>
          <w:tab w:val="num" w:pos="1134"/>
        </w:tabs>
        <w:spacing w:after="0" w:line="240" w:lineRule="auto"/>
        <w:ind w:left="0" w:firstLine="0"/>
        <w:contextualSpacing/>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sz w:val="21"/>
          <w:szCs w:val="21"/>
          <w:lang w:eastAsia="ru-RU"/>
        </w:rPr>
        <w:t>Redis: официальная документация [Электронный ресурс: www.redis.io/documentation (дата обращения: 28.04.2025)].</w:t>
      </w:r>
    </w:p>
    <w:p w14:paraId="14C23078" w14:textId="77777777" w:rsidR="00314D91" w:rsidRPr="00314D91" w:rsidRDefault="00314D91" w:rsidP="00AD58CD">
      <w:pPr>
        <w:numPr>
          <w:ilvl w:val="0"/>
          <w:numId w:val="126"/>
        </w:numPr>
        <w:tabs>
          <w:tab w:val="num" w:pos="1134"/>
        </w:tabs>
        <w:spacing w:after="0" w:line="240" w:lineRule="auto"/>
        <w:ind w:left="0" w:firstLine="0"/>
        <w:contextualSpacing/>
        <w:jc w:val="both"/>
        <w:rPr>
          <w:rFonts w:ascii="Times New Roman" w:eastAsia="Times New Roman" w:hAnsi="Times New Roman" w:cs="Times New Roman"/>
          <w:sz w:val="21"/>
          <w:szCs w:val="21"/>
          <w:lang w:eastAsia="ru-RU"/>
        </w:rPr>
      </w:pPr>
      <w:r w:rsidRPr="00314D91">
        <w:rPr>
          <w:rFonts w:ascii="Times New Roman" w:eastAsia="Times New Roman" w:hAnsi="Times New Roman" w:cs="Times New Roman"/>
          <w:sz w:val="21"/>
          <w:szCs w:val="21"/>
          <w:lang w:eastAsia="ru-RU"/>
        </w:rPr>
        <w:t>10 Best Real-Time Databases for 2025 [Электронный ресурс: www.geeksforgeeks.org/real-time-databases (дата обращения: 28.04.2025)].</w:t>
      </w:r>
    </w:p>
    <w:p w14:paraId="621EE3CC" w14:textId="77777777" w:rsidR="00693D70" w:rsidRPr="00314D91" w:rsidRDefault="00693D70" w:rsidP="00A627B1">
      <w:pPr>
        <w:spacing w:after="0" w:line="240" w:lineRule="auto"/>
        <w:rPr>
          <w:rFonts w:ascii="Times New Roman" w:eastAsia="Calibri" w:hAnsi="Times New Roman" w:cs="Times New Roman"/>
          <w:b/>
          <w:color w:val="000000"/>
          <w:sz w:val="21"/>
          <w:szCs w:val="21"/>
          <w14:textOutline w14:w="9525" w14:cap="flat" w14:cmpd="sng" w14:algn="ctr">
            <w14:noFill/>
            <w14:prstDash w14:val="solid"/>
            <w14:round/>
          </w14:textOutline>
        </w:rPr>
      </w:pPr>
    </w:p>
    <w:p w14:paraId="23E950D6" w14:textId="77777777" w:rsidR="00693D70" w:rsidRPr="00A627B1" w:rsidRDefault="00693D70" w:rsidP="00A627B1">
      <w:pPr>
        <w:spacing w:after="0" w:line="240" w:lineRule="auto"/>
        <w:rPr>
          <w:rFonts w:ascii="Times New Roman" w:eastAsia="Calibri" w:hAnsi="Times New Roman" w:cs="Times New Roman"/>
          <w:b/>
          <w:color w:val="000000"/>
          <w:sz w:val="21"/>
          <w:szCs w:val="21"/>
          <w:lang w:val="en-US"/>
          <w14:textOutline w14:w="9525" w14:cap="flat" w14:cmpd="sng" w14:algn="ctr">
            <w14:noFill/>
            <w14:prstDash w14:val="solid"/>
            <w14:round/>
          </w14:textOutline>
        </w:rPr>
      </w:pPr>
    </w:p>
    <w:p w14:paraId="3802D682" w14:textId="77777777" w:rsidR="00A627B1" w:rsidRPr="00A627B1" w:rsidRDefault="00A627B1" w:rsidP="001C03FA">
      <w:pPr>
        <w:spacing w:after="0" w:line="240" w:lineRule="auto"/>
        <w:jc w:val="right"/>
        <w:rPr>
          <w:rFonts w:ascii="Times New Roman" w:eastAsia="Calibri" w:hAnsi="Times New Roman" w:cs="Times New Roman"/>
          <w:b/>
          <w:i/>
          <w:color w:val="000000"/>
          <w:sz w:val="21"/>
          <w:szCs w:val="21"/>
          <w14:textOutline w14:w="9525" w14:cap="flat" w14:cmpd="sng" w14:algn="ctr">
            <w14:noFill/>
            <w14:prstDash w14:val="solid"/>
            <w14:round/>
          </w14:textOutline>
        </w:rPr>
      </w:pPr>
      <w:r w:rsidRPr="00A627B1">
        <w:rPr>
          <w:rFonts w:ascii="Times New Roman" w:eastAsia="Calibri" w:hAnsi="Times New Roman" w:cs="Times New Roman"/>
          <w:b/>
          <w:i/>
          <w:color w:val="000000"/>
          <w:sz w:val="21"/>
          <w:szCs w:val="21"/>
          <w14:textOutline w14:w="9525" w14:cap="flat" w14:cmpd="sng" w14:algn="ctr">
            <w14:noFill/>
            <w14:prstDash w14:val="solid"/>
            <w14:round/>
          </w14:textOutline>
        </w:rPr>
        <w:t>Ситникова В.К.,</w:t>
      </w:r>
    </w:p>
    <w:p w14:paraId="5FEC1D2E" w14:textId="77777777" w:rsidR="00A627B1" w:rsidRPr="00A627B1" w:rsidRDefault="00A627B1" w:rsidP="001C03FA">
      <w:pPr>
        <w:spacing w:after="0" w:line="240" w:lineRule="auto"/>
        <w:jc w:val="right"/>
        <w:rPr>
          <w:rFonts w:ascii="Times New Roman" w:eastAsia="Calibri" w:hAnsi="Times New Roman" w:cs="Times New Roman"/>
          <w:i/>
          <w:color w:val="000000"/>
          <w:sz w:val="21"/>
          <w:szCs w:val="21"/>
          <w14:textOutline w14:w="9525" w14:cap="flat" w14:cmpd="sng" w14:algn="ctr">
            <w14:noFill/>
            <w14:prstDash w14:val="solid"/>
            <w14:round/>
          </w14:textOutline>
        </w:rPr>
      </w:pPr>
      <w:r w:rsidRPr="00A627B1">
        <w:rPr>
          <w:rFonts w:ascii="Times New Roman" w:eastAsia="Calibri" w:hAnsi="Times New Roman" w:cs="Times New Roman"/>
          <w:i/>
          <w:color w:val="000000"/>
          <w:sz w:val="21"/>
          <w:szCs w:val="21"/>
          <w14:textOutline w14:w="9525" w14:cap="flat" w14:cmpd="sng" w14:algn="ctr">
            <w14:noFill/>
            <w14:prstDash w14:val="solid"/>
            <w14:round/>
          </w14:textOutline>
        </w:rPr>
        <w:t>Студент 2 курса</w:t>
      </w:r>
    </w:p>
    <w:p w14:paraId="6411CD23" w14:textId="77777777" w:rsidR="00A34E8F" w:rsidRDefault="00A34E8F" w:rsidP="00A34E8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4F02E4E" w14:textId="77777777" w:rsidR="00A627B1" w:rsidRPr="00A627B1" w:rsidRDefault="00A627B1" w:rsidP="001C03FA">
      <w:pPr>
        <w:spacing w:after="0" w:line="240" w:lineRule="auto"/>
        <w:ind w:firstLine="567"/>
        <w:jc w:val="right"/>
        <w:rPr>
          <w:rFonts w:ascii="Times New Roman" w:eastAsia="Calibri" w:hAnsi="Times New Roman" w:cs="Times New Roman"/>
          <w:i/>
          <w:iCs/>
          <w:color w:val="000000"/>
          <w:sz w:val="21"/>
          <w:szCs w:val="21"/>
          <w14:textOutline w14:w="0" w14:cap="flat" w14:cmpd="sng" w14:algn="ctr">
            <w14:noFill/>
            <w14:prstDash w14:val="solid"/>
            <w14:round/>
          </w14:textOutline>
        </w:rPr>
      </w:pPr>
      <w:r w:rsidRPr="00A627B1">
        <w:rPr>
          <w:rFonts w:ascii="Times New Roman" w:eastAsia="Calibri" w:hAnsi="Times New Roman" w:cs="Times New Roman"/>
          <w:i/>
          <w:iCs/>
          <w:color w:val="000000"/>
          <w:sz w:val="21"/>
          <w:szCs w:val="21"/>
          <w14:textOutline w14:w="0" w14:cap="flat" w14:cmpd="sng" w14:algn="ctr">
            <w14:noFill/>
            <w14:prstDash w14:val="solid"/>
            <w14:round/>
          </w14:textOutline>
        </w:rPr>
        <w:t>г. Краснодар, Россия</w:t>
      </w:r>
    </w:p>
    <w:p w14:paraId="6D2D57C6" w14:textId="77777777" w:rsidR="00A627B1" w:rsidRPr="00656AA8" w:rsidRDefault="00A627B1" w:rsidP="001C03FA">
      <w:pPr>
        <w:spacing w:after="0" w:line="240" w:lineRule="auto"/>
        <w:ind w:firstLine="567"/>
        <w:jc w:val="right"/>
        <w:rPr>
          <w:rFonts w:ascii="Times New Roman" w:eastAsia="Calibri" w:hAnsi="Times New Roman" w:cs="Times New Roman"/>
          <w:i/>
          <w:sz w:val="21"/>
          <w:szCs w:val="21"/>
        </w:rPr>
      </w:pPr>
      <w:r w:rsidRPr="00A627B1">
        <w:rPr>
          <w:rFonts w:ascii="Times New Roman" w:eastAsia="Calibri" w:hAnsi="Times New Roman" w:cs="Times New Roman"/>
          <w:i/>
          <w:sz w:val="21"/>
          <w:szCs w:val="21"/>
        </w:rPr>
        <w:t>е</w:t>
      </w:r>
      <w:r w:rsidRPr="00656AA8">
        <w:rPr>
          <w:rFonts w:ascii="Times New Roman" w:eastAsia="Calibri" w:hAnsi="Times New Roman" w:cs="Times New Roman"/>
          <w:i/>
          <w:sz w:val="21"/>
          <w:szCs w:val="21"/>
        </w:rPr>
        <w:t>-</w:t>
      </w:r>
      <w:r w:rsidRPr="00A627B1">
        <w:rPr>
          <w:rFonts w:ascii="Times New Roman" w:eastAsia="Calibri" w:hAnsi="Times New Roman" w:cs="Times New Roman"/>
          <w:i/>
          <w:sz w:val="21"/>
          <w:szCs w:val="21"/>
          <w:lang w:val="en-US"/>
        </w:rPr>
        <w:t>mail</w:t>
      </w:r>
      <w:r w:rsidRPr="00656AA8">
        <w:rPr>
          <w:rFonts w:ascii="Times New Roman" w:eastAsia="Calibri" w:hAnsi="Times New Roman" w:cs="Times New Roman"/>
          <w:i/>
          <w:sz w:val="21"/>
          <w:szCs w:val="21"/>
        </w:rPr>
        <w:t>:</w:t>
      </w:r>
      <w:r w:rsidRPr="00656AA8">
        <w:rPr>
          <w:rFonts w:ascii="Times New Roman" w:eastAsia="Calibri" w:hAnsi="Times New Roman" w:cs="Times New Roman"/>
          <w:sz w:val="21"/>
          <w:szCs w:val="21"/>
        </w:rPr>
        <w:t xml:space="preserve"> </w:t>
      </w:r>
      <w:hyperlink r:id="rId516" w:history="1">
        <w:r w:rsidRPr="00A627B1">
          <w:rPr>
            <w:rFonts w:ascii="Times New Roman" w:eastAsia="Calibri" w:hAnsi="Times New Roman" w:cs="Times New Roman"/>
            <w:i/>
            <w:iCs/>
            <w:color w:val="0563C1"/>
            <w:sz w:val="21"/>
            <w:szCs w:val="21"/>
            <w:u w:val="single"/>
            <w:lang w:val="en-US"/>
          </w:rPr>
          <w:t>v</w:t>
        </w:r>
        <w:r w:rsidRPr="00656AA8">
          <w:rPr>
            <w:rFonts w:ascii="Times New Roman" w:eastAsia="Calibri" w:hAnsi="Times New Roman" w:cs="Times New Roman"/>
            <w:i/>
            <w:iCs/>
            <w:color w:val="0563C1"/>
            <w:sz w:val="21"/>
            <w:szCs w:val="21"/>
            <w:u w:val="single"/>
          </w:rPr>
          <w:t>1-</w:t>
        </w:r>
        <w:r w:rsidRPr="00A627B1">
          <w:rPr>
            <w:rFonts w:ascii="Times New Roman" w:eastAsia="Calibri" w:hAnsi="Times New Roman" w:cs="Times New Roman"/>
            <w:i/>
            <w:iCs/>
            <w:color w:val="0563C1"/>
            <w:sz w:val="21"/>
            <w:szCs w:val="21"/>
            <w:u w:val="single"/>
            <w:lang w:val="en-US"/>
          </w:rPr>
          <w:t>ka</w:t>
        </w:r>
        <w:r w:rsidRPr="00656AA8">
          <w:rPr>
            <w:rFonts w:ascii="Times New Roman" w:eastAsia="Calibri" w:hAnsi="Times New Roman" w:cs="Times New Roman"/>
            <w:i/>
            <w:iCs/>
            <w:color w:val="0563C1"/>
            <w:sz w:val="21"/>
            <w:szCs w:val="21"/>
            <w:u w:val="single"/>
          </w:rPr>
          <w:t>@</w:t>
        </w:r>
        <w:r w:rsidRPr="00A627B1">
          <w:rPr>
            <w:rFonts w:ascii="Times New Roman" w:eastAsia="Calibri" w:hAnsi="Times New Roman" w:cs="Times New Roman"/>
            <w:i/>
            <w:iCs/>
            <w:color w:val="0563C1"/>
            <w:sz w:val="21"/>
            <w:szCs w:val="21"/>
            <w:u w:val="single"/>
            <w:lang w:val="en-US"/>
          </w:rPr>
          <w:t>mail</w:t>
        </w:r>
        <w:r w:rsidRPr="00656AA8">
          <w:rPr>
            <w:rFonts w:ascii="Times New Roman" w:eastAsia="Calibri" w:hAnsi="Times New Roman" w:cs="Times New Roman"/>
            <w:i/>
            <w:iCs/>
            <w:color w:val="0563C1"/>
            <w:sz w:val="21"/>
            <w:szCs w:val="21"/>
            <w:u w:val="single"/>
          </w:rPr>
          <w:t>.</w:t>
        </w:r>
        <w:r w:rsidRPr="00A627B1">
          <w:rPr>
            <w:rFonts w:ascii="Times New Roman" w:eastAsia="Calibri" w:hAnsi="Times New Roman" w:cs="Times New Roman"/>
            <w:i/>
            <w:iCs/>
            <w:color w:val="0563C1"/>
            <w:sz w:val="21"/>
            <w:szCs w:val="21"/>
            <w:u w:val="single"/>
            <w:lang w:val="en-US"/>
          </w:rPr>
          <w:t>ru</w:t>
        </w:r>
      </w:hyperlink>
    </w:p>
    <w:p w14:paraId="7F8D4747" w14:textId="77777777" w:rsidR="00A627B1" w:rsidRPr="00656AA8" w:rsidRDefault="00A627B1" w:rsidP="001C03FA">
      <w:pPr>
        <w:spacing w:after="0" w:line="240" w:lineRule="auto"/>
        <w:jc w:val="right"/>
        <w:rPr>
          <w:rFonts w:ascii="Times New Roman" w:eastAsia="Calibri" w:hAnsi="Times New Roman" w:cs="Times New Roman"/>
          <w:b/>
          <w:i/>
          <w:sz w:val="21"/>
          <w:szCs w:val="21"/>
        </w:rPr>
      </w:pPr>
    </w:p>
    <w:p w14:paraId="69F474D6" w14:textId="77777777" w:rsidR="00A627B1" w:rsidRPr="00A627B1" w:rsidRDefault="00A627B1" w:rsidP="001C03FA">
      <w:pPr>
        <w:spacing w:after="0" w:line="240" w:lineRule="auto"/>
        <w:jc w:val="right"/>
        <w:rPr>
          <w:rFonts w:ascii="Times New Roman" w:eastAsia="Calibri" w:hAnsi="Times New Roman" w:cs="Times New Roman"/>
          <w:b/>
          <w:i/>
          <w:sz w:val="21"/>
          <w:szCs w:val="21"/>
        </w:rPr>
      </w:pPr>
      <w:r w:rsidRPr="00A627B1">
        <w:rPr>
          <w:rFonts w:ascii="Times New Roman" w:eastAsia="Calibri" w:hAnsi="Times New Roman" w:cs="Times New Roman"/>
          <w:b/>
          <w:i/>
          <w:sz w:val="21"/>
          <w:szCs w:val="21"/>
        </w:rPr>
        <w:t>Научный руководитель:</w:t>
      </w:r>
    </w:p>
    <w:p w14:paraId="6233344B" w14:textId="77777777" w:rsidR="00A627B1" w:rsidRPr="00A627B1" w:rsidRDefault="00A627B1" w:rsidP="001C03FA">
      <w:pPr>
        <w:spacing w:after="0" w:line="240" w:lineRule="auto"/>
        <w:jc w:val="right"/>
        <w:rPr>
          <w:rFonts w:ascii="Times New Roman" w:eastAsia="Calibri" w:hAnsi="Times New Roman" w:cs="Times New Roman"/>
          <w:b/>
          <w:i/>
          <w:sz w:val="21"/>
          <w:szCs w:val="21"/>
        </w:rPr>
      </w:pPr>
      <w:r w:rsidRPr="00A627B1">
        <w:rPr>
          <w:rFonts w:ascii="Times New Roman" w:eastAsia="Calibri" w:hAnsi="Times New Roman" w:cs="Times New Roman"/>
          <w:b/>
          <w:i/>
          <w:sz w:val="21"/>
          <w:szCs w:val="21"/>
        </w:rPr>
        <w:t>Нарыжная Н.Ю.,</w:t>
      </w:r>
    </w:p>
    <w:p w14:paraId="616A196E" w14:textId="77777777" w:rsidR="00A627B1" w:rsidRPr="00A627B1" w:rsidRDefault="00A627B1" w:rsidP="001C03FA">
      <w:pPr>
        <w:spacing w:after="0" w:line="240" w:lineRule="auto"/>
        <w:jc w:val="right"/>
        <w:rPr>
          <w:rFonts w:ascii="Times New Roman" w:eastAsia="Calibri" w:hAnsi="Times New Roman" w:cs="Times New Roman"/>
          <w:i/>
          <w:sz w:val="21"/>
          <w:szCs w:val="21"/>
        </w:rPr>
      </w:pPr>
      <w:r w:rsidRPr="00A627B1">
        <w:rPr>
          <w:rFonts w:ascii="Times New Roman" w:eastAsia="Calibri" w:hAnsi="Times New Roman" w:cs="Times New Roman"/>
          <w:i/>
          <w:sz w:val="21"/>
          <w:szCs w:val="21"/>
        </w:rPr>
        <w:t>к.т.н., доцент</w:t>
      </w:r>
    </w:p>
    <w:p w14:paraId="5202A588" w14:textId="77777777" w:rsidR="00A34E8F" w:rsidRDefault="00A34E8F" w:rsidP="00A34E8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C453527" w14:textId="77777777" w:rsidR="00A627B1" w:rsidRPr="00A627B1" w:rsidRDefault="00A627B1" w:rsidP="001C03FA">
      <w:pPr>
        <w:spacing w:after="0" w:line="240" w:lineRule="auto"/>
        <w:ind w:firstLine="567"/>
        <w:jc w:val="right"/>
        <w:rPr>
          <w:rFonts w:ascii="Times New Roman" w:eastAsia="Calibri" w:hAnsi="Times New Roman" w:cs="Times New Roman"/>
          <w:i/>
          <w:iCs/>
          <w:color w:val="000000"/>
          <w:sz w:val="21"/>
          <w:szCs w:val="21"/>
          <w14:textOutline w14:w="0" w14:cap="flat" w14:cmpd="sng" w14:algn="ctr">
            <w14:noFill/>
            <w14:prstDash w14:val="solid"/>
            <w14:round/>
          </w14:textOutline>
        </w:rPr>
      </w:pPr>
      <w:r w:rsidRPr="00A627B1">
        <w:rPr>
          <w:rFonts w:ascii="Times New Roman" w:eastAsia="Calibri" w:hAnsi="Times New Roman" w:cs="Times New Roman"/>
          <w:i/>
          <w:iCs/>
          <w:color w:val="000000"/>
          <w:sz w:val="21"/>
          <w:szCs w:val="21"/>
          <w14:textOutline w14:w="0" w14:cap="flat" w14:cmpd="sng" w14:algn="ctr">
            <w14:noFill/>
            <w14:prstDash w14:val="solid"/>
            <w14:round/>
          </w14:textOutline>
        </w:rPr>
        <w:t>г. Краснодар, Россия</w:t>
      </w:r>
    </w:p>
    <w:p w14:paraId="4614DE1A"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rPr>
      </w:pPr>
      <w:r w:rsidRPr="00A627B1">
        <w:rPr>
          <w:rFonts w:ascii="Times New Roman" w:eastAsia="Calibri" w:hAnsi="Times New Roman" w:cs="Times New Roman"/>
          <w:i/>
          <w:sz w:val="21"/>
          <w:szCs w:val="21"/>
        </w:rPr>
        <w:t>е-</w:t>
      </w:r>
      <w:r w:rsidRPr="00A627B1">
        <w:rPr>
          <w:rFonts w:ascii="Times New Roman" w:eastAsia="Calibri" w:hAnsi="Times New Roman" w:cs="Times New Roman"/>
          <w:i/>
          <w:sz w:val="21"/>
          <w:szCs w:val="21"/>
          <w:lang w:val="en-US"/>
        </w:rPr>
        <w:t>mail</w:t>
      </w:r>
      <w:r w:rsidRPr="00A627B1">
        <w:rPr>
          <w:rFonts w:ascii="Times New Roman" w:eastAsia="Calibri" w:hAnsi="Times New Roman" w:cs="Times New Roman"/>
          <w:i/>
          <w:sz w:val="21"/>
          <w:szCs w:val="21"/>
        </w:rPr>
        <w:t>:</w:t>
      </w:r>
      <w:r w:rsidRPr="00A627B1">
        <w:rPr>
          <w:rFonts w:ascii="Times New Roman" w:eastAsia="Calibri" w:hAnsi="Times New Roman" w:cs="Times New Roman"/>
          <w:sz w:val="21"/>
          <w:szCs w:val="21"/>
        </w:rPr>
        <w:t xml:space="preserve"> </w:t>
      </w:r>
      <w:hyperlink r:id="rId517" w:history="1">
        <w:r w:rsidRPr="00A627B1">
          <w:rPr>
            <w:rFonts w:ascii="Times New Roman" w:eastAsia="Calibri" w:hAnsi="Times New Roman" w:cs="Times New Roman"/>
            <w:i/>
            <w:iCs/>
            <w:color w:val="0563C1"/>
            <w:sz w:val="21"/>
            <w:szCs w:val="21"/>
            <w:u w:val="single"/>
            <w:lang w:val="en-US"/>
          </w:rPr>
          <w:t>NYUNaryzhnaya</w:t>
        </w:r>
        <w:r w:rsidRPr="00A627B1">
          <w:rPr>
            <w:rFonts w:ascii="Times New Roman" w:eastAsia="Calibri" w:hAnsi="Times New Roman" w:cs="Times New Roman"/>
            <w:i/>
            <w:iCs/>
            <w:color w:val="0563C1"/>
            <w:sz w:val="21"/>
            <w:szCs w:val="21"/>
            <w:u w:val="single"/>
          </w:rPr>
          <w:t>@</w:t>
        </w:r>
        <w:r w:rsidRPr="00A627B1">
          <w:rPr>
            <w:rFonts w:ascii="Times New Roman" w:eastAsia="Calibri" w:hAnsi="Times New Roman" w:cs="Times New Roman"/>
            <w:i/>
            <w:iCs/>
            <w:color w:val="0563C1"/>
            <w:sz w:val="21"/>
            <w:szCs w:val="21"/>
            <w:u w:val="single"/>
            <w:lang w:val="en-US"/>
          </w:rPr>
          <w:t>fa</w:t>
        </w:r>
        <w:r w:rsidRPr="00A627B1">
          <w:rPr>
            <w:rFonts w:ascii="Times New Roman" w:eastAsia="Calibri" w:hAnsi="Times New Roman" w:cs="Times New Roman"/>
            <w:i/>
            <w:iCs/>
            <w:color w:val="0563C1"/>
            <w:sz w:val="21"/>
            <w:szCs w:val="21"/>
            <w:u w:val="single"/>
          </w:rPr>
          <w:t>.</w:t>
        </w:r>
        <w:r w:rsidRPr="00A627B1">
          <w:rPr>
            <w:rFonts w:ascii="Times New Roman" w:eastAsia="Calibri" w:hAnsi="Times New Roman" w:cs="Times New Roman"/>
            <w:i/>
            <w:iCs/>
            <w:color w:val="0563C1"/>
            <w:sz w:val="21"/>
            <w:szCs w:val="21"/>
            <w:u w:val="single"/>
            <w:lang w:val="en-US"/>
          </w:rPr>
          <w:t>ru</w:t>
        </w:r>
      </w:hyperlink>
    </w:p>
    <w:p w14:paraId="2999697B"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rPr>
      </w:pPr>
    </w:p>
    <w:p w14:paraId="7D706BF2" w14:textId="77777777" w:rsidR="00A627B1" w:rsidRPr="00A627B1" w:rsidRDefault="00A627B1" w:rsidP="001C03FA">
      <w:pPr>
        <w:spacing w:after="0" w:line="240" w:lineRule="auto"/>
        <w:jc w:val="center"/>
        <w:rPr>
          <w:rFonts w:ascii="Times New Roman" w:eastAsia="Calibri" w:hAnsi="Times New Roman" w:cs="Times New Roman"/>
          <w:b/>
          <w:color w:val="000000"/>
          <w:sz w:val="21"/>
          <w:szCs w:val="21"/>
          <w14:textOutline w14:w="9525" w14:cap="flat" w14:cmpd="sng" w14:algn="ctr">
            <w14:noFill/>
            <w14:prstDash w14:val="solid"/>
            <w14:round/>
          </w14:textOutline>
        </w:rPr>
      </w:pPr>
      <w:r w:rsidRPr="00A627B1">
        <w:rPr>
          <w:rFonts w:ascii="Times New Roman" w:eastAsia="Calibri" w:hAnsi="Times New Roman" w:cs="Times New Roman"/>
          <w:b/>
          <w:color w:val="000000"/>
          <w:sz w:val="21"/>
          <w:szCs w:val="21"/>
          <w14:textOutline w14:w="9525" w14:cap="flat" w14:cmpd="sng" w14:algn="ctr">
            <w14:noFill/>
            <w14:prstDash w14:val="solid"/>
            <w14:round/>
          </w14:textOutline>
        </w:rPr>
        <w:t>Электронная коммерция и изменения в потребительском поведении</w:t>
      </w:r>
    </w:p>
    <w:p w14:paraId="5CEA2211" w14:textId="77777777" w:rsidR="00A627B1" w:rsidRPr="00A627B1" w:rsidRDefault="00A627B1" w:rsidP="001C03FA">
      <w:pPr>
        <w:spacing w:after="0" w:line="240" w:lineRule="auto"/>
        <w:ind w:firstLine="567"/>
        <w:jc w:val="center"/>
        <w:rPr>
          <w:rFonts w:ascii="Times New Roman" w:eastAsia="Calibri" w:hAnsi="Times New Roman" w:cs="Times New Roman"/>
          <w:b/>
          <w:color w:val="000000"/>
          <w:sz w:val="21"/>
          <w:szCs w:val="21"/>
          <w14:textOutline w14:w="9525" w14:cap="flat" w14:cmpd="sng" w14:algn="ctr">
            <w14:noFill/>
            <w14:prstDash w14:val="solid"/>
            <w14:round/>
          </w14:textOutline>
        </w:rPr>
      </w:pPr>
    </w:p>
    <w:p w14:paraId="1D29C975" w14:textId="77777777" w:rsidR="00A627B1" w:rsidRPr="00A627B1" w:rsidRDefault="00A627B1" w:rsidP="001C03FA">
      <w:pPr>
        <w:spacing w:after="0" w:line="240" w:lineRule="auto"/>
        <w:ind w:firstLine="567"/>
        <w:jc w:val="both"/>
        <w:rPr>
          <w:rFonts w:ascii="Times New Roman" w:eastAsia="Calibri" w:hAnsi="Times New Roman" w:cs="Times New Roman"/>
          <w:color w:val="000000"/>
          <w:sz w:val="21"/>
          <w:szCs w:val="21"/>
          <w14:textOutline w14:w="9525" w14:cap="flat" w14:cmpd="sng" w14:algn="ctr">
            <w14:noFill/>
            <w14:prstDash w14:val="solid"/>
            <w14:round/>
          </w14:textOutline>
        </w:rPr>
      </w:pPr>
      <w:r w:rsidRPr="00A627B1">
        <w:rPr>
          <w:rFonts w:ascii="Times New Roman" w:eastAsia="Calibri" w:hAnsi="Times New Roman" w:cs="Times New Roman"/>
          <w:b/>
          <w:bCs/>
          <w:color w:val="000000"/>
          <w:sz w:val="21"/>
          <w:szCs w:val="21"/>
          <w14:textOutline w14:w="9525" w14:cap="flat" w14:cmpd="sng" w14:algn="ctr">
            <w14:noFill/>
            <w14:prstDash w14:val="solid"/>
            <w14:round/>
          </w14:textOutline>
        </w:rPr>
        <w:t xml:space="preserve">Аннотация: </w:t>
      </w:r>
      <w:r w:rsidRPr="00A627B1">
        <w:rPr>
          <w:rFonts w:ascii="Times New Roman" w:eastAsia="Calibri" w:hAnsi="Times New Roman" w:cs="Times New Roman"/>
          <w:color w:val="000000"/>
          <w:sz w:val="21"/>
          <w:szCs w:val="21"/>
          <w14:textOutline w14:w="9525" w14:cap="flat" w14:cmpd="sng" w14:algn="ctr">
            <w14:noFill/>
            <w14:prstDash w14:val="solid"/>
            <w14:round/>
          </w14:textOutline>
        </w:rPr>
        <w:t>В статье рассматриваются изменения в потребительском поведении, вызванные развитием электронной коммерции. Анализируются ключевые факторы, влияющие на предпочтения покупателей, такие как удобство онлайн-покупок, доступность информации и персонализация предложений. Обсуждаются последствия этих изменений для традиционных розничных бизнесов и необходимость адаптации к новым условиям. В заключение подчеркивается важность понимания потребительских трендов для успешной стратегии в сфере электронной торговли.</w:t>
      </w:r>
    </w:p>
    <w:p w14:paraId="67225AD4" w14:textId="77777777" w:rsidR="00A627B1" w:rsidRDefault="00A627B1" w:rsidP="001C03FA">
      <w:pPr>
        <w:spacing w:after="0" w:line="240" w:lineRule="auto"/>
        <w:ind w:firstLine="567"/>
        <w:jc w:val="both"/>
        <w:rPr>
          <w:rFonts w:ascii="Times New Roman" w:eastAsia="Calibri" w:hAnsi="Times New Roman" w:cs="Times New Roman"/>
          <w:color w:val="000000"/>
          <w:sz w:val="21"/>
          <w:szCs w:val="21"/>
          <w14:textOutline w14:w="9525" w14:cap="flat" w14:cmpd="sng" w14:algn="ctr">
            <w14:noFill/>
            <w14:prstDash w14:val="solid"/>
            <w14:round/>
          </w14:textOutline>
        </w:rPr>
      </w:pPr>
      <w:r w:rsidRPr="00A627B1">
        <w:rPr>
          <w:rFonts w:ascii="Times New Roman" w:eastAsia="Calibri" w:hAnsi="Times New Roman" w:cs="Times New Roman"/>
          <w:b/>
          <w:bCs/>
          <w:color w:val="000000"/>
          <w:sz w:val="21"/>
          <w:szCs w:val="21"/>
          <w14:textOutline w14:w="9525" w14:cap="flat" w14:cmpd="sng" w14:algn="ctr">
            <w14:noFill/>
            <w14:prstDash w14:val="solid"/>
            <w14:round/>
          </w14:textOutline>
        </w:rPr>
        <w:t>Ключевые слова:</w:t>
      </w:r>
      <w:r w:rsidRPr="00A627B1">
        <w:rPr>
          <w:rFonts w:ascii="Times New Roman" w:eastAsia="Calibri" w:hAnsi="Times New Roman" w:cs="Times New Roman"/>
          <w:color w:val="000000"/>
          <w:sz w:val="21"/>
          <w:szCs w:val="21"/>
          <w14:textOutline w14:w="9525" w14:cap="flat" w14:cmpd="sng" w14:algn="ctr">
            <w14:noFill/>
            <w14:prstDash w14:val="solid"/>
            <w14:round/>
          </w14:textOutline>
        </w:rPr>
        <w:t xml:space="preserve"> Электронная коммерция, поведение потребителей, онлайн-шопинг, персонализация, адаптация розничной торговли, опыт клиента.</w:t>
      </w:r>
    </w:p>
    <w:p w14:paraId="6A18FABA" w14:textId="77777777" w:rsidR="00A34E8F" w:rsidRPr="00A627B1" w:rsidRDefault="00A34E8F" w:rsidP="001C03FA">
      <w:pPr>
        <w:spacing w:after="0" w:line="240" w:lineRule="auto"/>
        <w:ind w:firstLine="567"/>
        <w:jc w:val="both"/>
        <w:rPr>
          <w:rFonts w:ascii="Times New Roman" w:eastAsia="Calibri" w:hAnsi="Times New Roman" w:cs="Times New Roman"/>
          <w:color w:val="000000"/>
          <w:sz w:val="21"/>
          <w:szCs w:val="21"/>
          <w14:textOutline w14:w="9525" w14:cap="flat" w14:cmpd="sng" w14:algn="ctr">
            <w14:noFill/>
            <w14:prstDash w14:val="solid"/>
            <w14:round/>
          </w14:textOutline>
        </w:rPr>
      </w:pPr>
    </w:p>
    <w:p w14:paraId="2C03623D" w14:textId="77777777" w:rsidR="00A627B1" w:rsidRPr="00A627B1" w:rsidRDefault="00A627B1" w:rsidP="001C03FA">
      <w:pPr>
        <w:spacing w:after="0" w:line="240" w:lineRule="auto"/>
        <w:ind w:firstLine="567"/>
        <w:jc w:val="right"/>
        <w:rPr>
          <w:rFonts w:ascii="Times New Roman" w:eastAsia="Calibri" w:hAnsi="Times New Roman" w:cs="Times New Roman"/>
          <w:b/>
          <w:i/>
          <w:sz w:val="21"/>
          <w:szCs w:val="21"/>
          <w:lang w:val="en-US"/>
        </w:rPr>
      </w:pPr>
      <w:r w:rsidRPr="00A627B1">
        <w:rPr>
          <w:rFonts w:ascii="Times New Roman" w:eastAsia="Calibri" w:hAnsi="Times New Roman" w:cs="Times New Roman"/>
          <w:b/>
          <w:i/>
          <w:sz w:val="21"/>
          <w:szCs w:val="21"/>
          <w:lang w:val="en-US"/>
        </w:rPr>
        <w:t>Sitnikova V.K.,</w:t>
      </w:r>
    </w:p>
    <w:p w14:paraId="18DC953B" w14:textId="77777777" w:rsidR="00A627B1" w:rsidRPr="00A627B1" w:rsidRDefault="00A627B1" w:rsidP="001C03FA">
      <w:pPr>
        <w:spacing w:after="0" w:line="240" w:lineRule="auto"/>
        <w:ind w:firstLine="567"/>
        <w:jc w:val="right"/>
        <w:rPr>
          <w:rFonts w:ascii="Times New Roman" w:eastAsia="Calibri" w:hAnsi="Times New Roman" w:cs="Times New Roman"/>
          <w:b/>
          <w:i/>
          <w:sz w:val="21"/>
          <w:szCs w:val="21"/>
          <w:lang w:val="en-US"/>
        </w:rPr>
      </w:pPr>
      <w:r w:rsidRPr="00A627B1">
        <w:rPr>
          <w:rFonts w:ascii="Times New Roman" w:eastAsia="Calibri" w:hAnsi="Times New Roman" w:cs="Times New Roman"/>
          <w:i/>
          <w:sz w:val="21"/>
          <w:szCs w:val="21"/>
          <w:lang w:val="en-US"/>
        </w:rPr>
        <w:t>student,</w:t>
      </w:r>
      <w:r w:rsidRPr="00A627B1">
        <w:rPr>
          <w:rFonts w:ascii="Times New Roman" w:eastAsia="Calibri" w:hAnsi="Times New Roman" w:cs="Times New Roman"/>
          <w:i/>
          <w:lang w:val="en-US"/>
        </w:rPr>
        <w:t xml:space="preserve"> </w:t>
      </w:r>
      <w:r w:rsidRPr="00A627B1">
        <w:rPr>
          <w:rFonts w:ascii="Times New Roman" w:eastAsia="Calibri" w:hAnsi="Times New Roman" w:cs="Times New Roman"/>
          <w:i/>
          <w:sz w:val="21"/>
          <w:szCs w:val="21"/>
          <w:lang w:val="en-US"/>
        </w:rPr>
        <w:t>2 courses</w:t>
      </w:r>
      <w:r w:rsidRPr="00A627B1">
        <w:rPr>
          <w:rFonts w:ascii="Times New Roman" w:eastAsia="Calibri" w:hAnsi="Times New Roman" w:cs="Times New Roman"/>
          <w:b/>
          <w:i/>
          <w:sz w:val="21"/>
          <w:szCs w:val="21"/>
          <w:lang w:val="en-US"/>
        </w:rPr>
        <w:t xml:space="preserve"> </w:t>
      </w:r>
    </w:p>
    <w:p w14:paraId="6155AE75"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lang w:val="en-US"/>
        </w:rPr>
      </w:pPr>
      <w:r w:rsidRPr="00A627B1">
        <w:rPr>
          <w:rFonts w:ascii="Times New Roman" w:eastAsia="Calibri" w:hAnsi="Times New Roman" w:cs="Times New Roman"/>
          <w:i/>
          <w:sz w:val="21"/>
          <w:szCs w:val="21"/>
          <w:lang w:val="en-US"/>
        </w:rPr>
        <w:t xml:space="preserve">Krasnodar Branch of the Financial University at </w:t>
      </w:r>
    </w:p>
    <w:p w14:paraId="2F1296EC"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lang w:val="en-US"/>
        </w:rPr>
      </w:pPr>
      <w:r w:rsidRPr="00A627B1">
        <w:rPr>
          <w:rFonts w:ascii="Times New Roman" w:eastAsia="Calibri" w:hAnsi="Times New Roman" w:cs="Times New Roman"/>
          <w:i/>
          <w:sz w:val="21"/>
          <w:szCs w:val="21"/>
          <w:lang w:val="en-US"/>
        </w:rPr>
        <w:t>The Government of the Russian Federation</w:t>
      </w:r>
    </w:p>
    <w:p w14:paraId="77349C18" w14:textId="77777777" w:rsidR="00A627B1" w:rsidRPr="00A627B1" w:rsidRDefault="00A627B1" w:rsidP="001C03FA">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A627B1">
        <w:rPr>
          <w:rFonts w:ascii="Times New Roman" w:eastAsia="Times New Roman" w:hAnsi="Times New Roman" w:cs="Times New Roman"/>
          <w:i/>
          <w:sz w:val="21"/>
          <w:szCs w:val="21"/>
          <w:lang w:val="en-US" w:eastAsia="ar-SA"/>
        </w:rPr>
        <w:t>Krasnodar, Russia</w:t>
      </w:r>
    </w:p>
    <w:p w14:paraId="3855460C"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lang w:val="en-US"/>
        </w:rPr>
      </w:pPr>
      <w:r w:rsidRPr="00A627B1">
        <w:rPr>
          <w:rFonts w:ascii="Times New Roman" w:eastAsia="Calibri" w:hAnsi="Times New Roman" w:cs="Times New Roman"/>
          <w:i/>
          <w:sz w:val="21"/>
          <w:szCs w:val="21"/>
        </w:rPr>
        <w:t>е</w:t>
      </w:r>
      <w:r w:rsidRPr="00A627B1">
        <w:rPr>
          <w:rFonts w:ascii="Times New Roman" w:eastAsia="Calibri" w:hAnsi="Times New Roman" w:cs="Times New Roman"/>
          <w:i/>
          <w:sz w:val="21"/>
          <w:szCs w:val="21"/>
          <w:lang w:val="en-US"/>
        </w:rPr>
        <w:t>-mail:</w:t>
      </w:r>
      <w:r w:rsidRPr="00A627B1">
        <w:rPr>
          <w:rFonts w:ascii="Times New Roman" w:eastAsia="Calibri" w:hAnsi="Times New Roman" w:cs="Times New Roman"/>
          <w:i/>
          <w:lang w:val="en-US"/>
        </w:rPr>
        <w:t xml:space="preserve"> </w:t>
      </w:r>
      <w:hyperlink r:id="rId518" w:history="1">
        <w:r w:rsidRPr="00A627B1">
          <w:rPr>
            <w:rFonts w:ascii="Times New Roman" w:eastAsia="Calibri" w:hAnsi="Times New Roman" w:cs="Times New Roman"/>
            <w:i/>
            <w:color w:val="0563C1"/>
            <w:u w:val="single"/>
            <w:lang w:val="en-US"/>
          </w:rPr>
          <w:t>v1-ka@mail.ru</w:t>
        </w:r>
      </w:hyperlink>
    </w:p>
    <w:p w14:paraId="3A6D019E" w14:textId="77777777" w:rsidR="00A627B1" w:rsidRPr="00A627B1" w:rsidRDefault="00A627B1" w:rsidP="001C03FA">
      <w:pPr>
        <w:spacing w:after="0" w:line="240" w:lineRule="auto"/>
        <w:ind w:firstLine="567"/>
        <w:jc w:val="right"/>
        <w:rPr>
          <w:rFonts w:ascii="Times New Roman" w:eastAsia="Calibri" w:hAnsi="Times New Roman" w:cs="Times New Roman"/>
          <w:b/>
          <w:i/>
          <w:sz w:val="21"/>
          <w:szCs w:val="21"/>
          <w:lang w:val="en-US"/>
        </w:rPr>
      </w:pPr>
    </w:p>
    <w:p w14:paraId="02E3DA47" w14:textId="77777777" w:rsidR="00A627B1" w:rsidRPr="00A627B1" w:rsidRDefault="00A627B1" w:rsidP="001C03FA">
      <w:pPr>
        <w:spacing w:after="0" w:line="240" w:lineRule="auto"/>
        <w:ind w:firstLine="567"/>
        <w:jc w:val="right"/>
        <w:rPr>
          <w:rFonts w:ascii="Times New Roman" w:eastAsia="Calibri" w:hAnsi="Times New Roman" w:cs="Times New Roman"/>
          <w:b/>
          <w:i/>
          <w:sz w:val="21"/>
          <w:szCs w:val="21"/>
          <w:lang w:val="en-US"/>
        </w:rPr>
      </w:pPr>
      <w:r w:rsidRPr="00A627B1">
        <w:rPr>
          <w:rFonts w:ascii="Times New Roman" w:eastAsia="Calibri" w:hAnsi="Times New Roman" w:cs="Times New Roman"/>
          <w:b/>
          <w:i/>
          <w:sz w:val="21"/>
          <w:szCs w:val="21"/>
          <w:lang w:val="en-US"/>
        </w:rPr>
        <w:t>Scientific Adviser:</w:t>
      </w:r>
    </w:p>
    <w:p w14:paraId="7A397B07" w14:textId="77777777" w:rsidR="00A627B1" w:rsidRPr="00A627B1" w:rsidRDefault="00A627B1" w:rsidP="001C03FA">
      <w:pPr>
        <w:spacing w:after="0" w:line="240" w:lineRule="auto"/>
        <w:ind w:firstLine="567"/>
        <w:jc w:val="right"/>
        <w:rPr>
          <w:rFonts w:ascii="Times New Roman" w:eastAsia="Calibri" w:hAnsi="Times New Roman" w:cs="Times New Roman"/>
          <w:b/>
          <w:i/>
          <w:sz w:val="21"/>
          <w:szCs w:val="21"/>
          <w:lang w:val="en-US"/>
        </w:rPr>
      </w:pPr>
      <w:r w:rsidRPr="00A627B1">
        <w:rPr>
          <w:rFonts w:ascii="Times New Roman" w:eastAsia="Calibri" w:hAnsi="Times New Roman" w:cs="Times New Roman"/>
          <w:b/>
          <w:bCs/>
          <w:i/>
          <w:sz w:val="21"/>
          <w:szCs w:val="21"/>
          <w:lang w:val="en-US"/>
        </w:rPr>
        <w:t>Naryzhnaya</w:t>
      </w:r>
      <w:r w:rsidRPr="00A627B1">
        <w:rPr>
          <w:rFonts w:ascii="Times New Roman" w:eastAsia="Calibri" w:hAnsi="Times New Roman" w:cs="Times New Roman"/>
          <w:b/>
          <w:bCs/>
          <w:i/>
          <w:color w:val="000000"/>
          <w:sz w:val="21"/>
          <w:szCs w:val="21"/>
          <w:lang w:val="en-US"/>
        </w:rPr>
        <w:t xml:space="preserve"> N.U</w:t>
      </w:r>
      <w:r w:rsidRPr="00A627B1">
        <w:rPr>
          <w:rFonts w:ascii="Times New Roman" w:eastAsia="Calibri" w:hAnsi="Times New Roman" w:cs="Times New Roman"/>
          <w:b/>
          <w:i/>
          <w:sz w:val="21"/>
          <w:szCs w:val="21"/>
          <w:lang w:val="en-US"/>
        </w:rPr>
        <w:t>.,</w:t>
      </w:r>
    </w:p>
    <w:p w14:paraId="0A31C651"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shd w:val="clear" w:color="auto" w:fill="FFFFFF"/>
          <w:lang w:val="en-US"/>
        </w:rPr>
      </w:pPr>
      <w:r w:rsidRPr="00A627B1">
        <w:rPr>
          <w:rFonts w:ascii="Times New Roman" w:eastAsia="Calibri" w:hAnsi="Times New Roman" w:cs="Times New Roman"/>
          <w:i/>
          <w:sz w:val="21"/>
          <w:szCs w:val="21"/>
          <w:shd w:val="clear" w:color="auto" w:fill="FFFFFF"/>
          <w:lang w:val="en-US"/>
        </w:rPr>
        <w:t>Doctor of Science (Mathematics and Computer Science),</w:t>
      </w:r>
      <w:r w:rsidRPr="00A627B1">
        <w:rPr>
          <w:rFonts w:ascii="Times New Roman" w:eastAsia="Calibri" w:hAnsi="Times New Roman" w:cs="Times New Roman"/>
          <w:i/>
          <w:lang w:val="en-US"/>
        </w:rPr>
        <w:t xml:space="preserve"> </w:t>
      </w:r>
      <w:r w:rsidRPr="00A627B1">
        <w:rPr>
          <w:rFonts w:ascii="Times New Roman" w:eastAsia="Calibri" w:hAnsi="Times New Roman" w:cs="Times New Roman"/>
          <w:i/>
          <w:sz w:val="21"/>
          <w:szCs w:val="21"/>
          <w:shd w:val="clear" w:color="auto" w:fill="FFFFFF"/>
          <w:lang w:val="en-US"/>
        </w:rPr>
        <w:t>Docent</w:t>
      </w:r>
      <w:r w:rsidRPr="00A627B1">
        <w:rPr>
          <w:rFonts w:ascii="Times New Roman" w:eastAsia="Calibri" w:hAnsi="Times New Roman" w:cs="Times New Roman"/>
          <w:b/>
          <w:i/>
          <w:sz w:val="21"/>
          <w:szCs w:val="21"/>
          <w:lang w:val="en-US"/>
        </w:rPr>
        <w:t xml:space="preserve"> </w:t>
      </w:r>
    </w:p>
    <w:p w14:paraId="3291C4E7"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shd w:val="clear" w:color="auto" w:fill="FFFFFF"/>
          <w:lang w:val="en-US"/>
        </w:rPr>
      </w:pPr>
      <w:r w:rsidRPr="00A627B1">
        <w:rPr>
          <w:rFonts w:ascii="Times New Roman" w:eastAsia="Calibri" w:hAnsi="Times New Roman" w:cs="Times New Roman"/>
          <w:i/>
          <w:sz w:val="21"/>
          <w:szCs w:val="21"/>
          <w:shd w:val="clear" w:color="auto" w:fill="FFFFFF"/>
          <w:lang w:val="en-US"/>
        </w:rPr>
        <w:t xml:space="preserve">Krasnodar Branch of the Financial University at </w:t>
      </w:r>
    </w:p>
    <w:p w14:paraId="1D3BA398" w14:textId="77777777" w:rsidR="00A627B1" w:rsidRPr="00A627B1" w:rsidRDefault="00A627B1" w:rsidP="001C03FA">
      <w:pPr>
        <w:spacing w:after="0" w:line="240" w:lineRule="auto"/>
        <w:ind w:firstLine="567"/>
        <w:jc w:val="right"/>
        <w:rPr>
          <w:rFonts w:ascii="Times New Roman" w:eastAsia="Calibri" w:hAnsi="Times New Roman" w:cs="Times New Roman"/>
          <w:i/>
          <w:sz w:val="21"/>
          <w:szCs w:val="21"/>
          <w:shd w:val="clear" w:color="auto" w:fill="FFFFFF"/>
          <w:lang w:val="en-US"/>
        </w:rPr>
      </w:pPr>
      <w:r w:rsidRPr="00A627B1">
        <w:rPr>
          <w:rFonts w:ascii="Times New Roman" w:eastAsia="Calibri" w:hAnsi="Times New Roman" w:cs="Times New Roman"/>
          <w:i/>
          <w:sz w:val="21"/>
          <w:szCs w:val="21"/>
          <w:shd w:val="clear" w:color="auto" w:fill="FFFFFF"/>
          <w:lang w:val="en-US"/>
        </w:rPr>
        <w:t>The Government of the Russian Federation</w:t>
      </w:r>
    </w:p>
    <w:p w14:paraId="13FFB13F" w14:textId="77777777" w:rsidR="00A627B1" w:rsidRPr="00A627B1" w:rsidRDefault="00A627B1" w:rsidP="001C03FA">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A627B1">
        <w:rPr>
          <w:rFonts w:ascii="Times New Roman" w:eastAsia="Times New Roman" w:hAnsi="Times New Roman" w:cs="Times New Roman"/>
          <w:i/>
          <w:sz w:val="21"/>
          <w:szCs w:val="21"/>
          <w:lang w:val="en-US" w:eastAsia="ar-SA"/>
        </w:rPr>
        <w:t>Krasnodar, Russia</w:t>
      </w:r>
    </w:p>
    <w:p w14:paraId="533F8C1C" w14:textId="77777777" w:rsidR="00A627B1" w:rsidRPr="00A627B1" w:rsidRDefault="00A627B1" w:rsidP="001C03FA">
      <w:pPr>
        <w:suppressAutoHyphens/>
        <w:spacing w:after="0" w:line="240" w:lineRule="auto"/>
        <w:ind w:firstLine="567"/>
        <w:jc w:val="right"/>
        <w:textAlignment w:val="baseline"/>
        <w:rPr>
          <w:rFonts w:ascii="Times New Roman" w:eastAsia="Times New Roman" w:hAnsi="Times New Roman" w:cs="Times New Roman"/>
          <w:i/>
          <w:sz w:val="21"/>
          <w:szCs w:val="21"/>
          <w:lang w:val="en-US" w:eastAsia="ar-SA"/>
        </w:rPr>
      </w:pPr>
      <w:r w:rsidRPr="00A627B1">
        <w:rPr>
          <w:rFonts w:ascii="Times New Roman" w:eastAsia="Times New Roman" w:hAnsi="Times New Roman" w:cs="Times New Roman"/>
          <w:i/>
          <w:sz w:val="21"/>
          <w:szCs w:val="21"/>
          <w:lang w:eastAsia="ar-SA"/>
        </w:rPr>
        <w:t>е</w:t>
      </w:r>
      <w:r w:rsidRPr="00A627B1">
        <w:rPr>
          <w:rFonts w:ascii="Times New Roman" w:eastAsia="Times New Roman" w:hAnsi="Times New Roman" w:cs="Times New Roman"/>
          <w:i/>
          <w:sz w:val="21"/>
          <w:szCs w:val="21"/>
          <w:lang w:val="en-US" w:eastAsia="ar-SA"/>
        </w:rPr>
        <w:t xml:space="preserve">-mail: </w:t>
      </w:r>
      <w:hyperlink r:id="rId519" w:history="1">
        <w:r w:rsidRPr="00A627B1">
          <w:rPr>
            <w:rFonts w:ascii="Times New Roman" w:eastAsia="Times New Roman" w:hAnsi="Times New Roman" w:cs="Times New Roman"/>
            <w:i/>
            <w:color w:val="0563C1"/>
            <w:sz w:val="21"/>
            <w:szCs w:val="21"/>
            <w:u w:val="single"/>
            <w:lang w:val="en-US" w:eastAsia="ar-SA"/>
          </w:rPr>
          <w:t>NYUNaryzhnaya@fa.ru</w:t>
        </w:r>
      </w:hyperlink>
    </w:p>
    <w:p w14:paraId="47EF004A" w14:textId="77777777" w:rsidR="00A627B1" w:rsidRPr="00A627B1" w:rsidRDefault="00A627B1" w:rsidP="001C03FA">
      <w:pPr>
        <w:suppressAutoHyphens/>
        <w:spacing w:after="0" w:line="240" w:lineRule="auto"/>
        <w:ind w:firstLine="567"/>
        <w:jc w:val="right"/>
        <w:textAlignment w:val="baseline"/>
        <w:rPr>
          <w:rFonts w:ascii="Times New Roman" w:eastAsia="Times New Roman" w:hAnsi="Times New Roman" w:cs="Times New Roman"/>
          <w:i/>
          <w:sz w:val="21"/>
          <w:szCs w:val="21"/>
          <w:lang w:val="en-US" w:eastAsia="ar-SA"/>
        </w:rPr>
      </w:pPr>
    </w:p>
    <w:p w14:paraId="36EAE2DC" w14:textId="77777777" w:rsidR="00A627B1" w:rsidRPr="00656AA8" w:rsidRDefault="00A627B1" w:rsidP="001C03FA">
      <w:pPr>
        <w:spacing w:after="0" w:line="240" w:lineRule="auto"/>
        <w:ind w:firstLine="567"/>
        <w:jc w:val="center"/>
        <w:rPr>
          <w:rFonts w:ascii="Times New Roman" w:eastAsia="Times New Roman" w:hAnsi="Times New Roman" w:cs="Times New Roman"/>
          <w:b/>
          <w:sz w:val="21"/>
          <w:szCs w:val="21"/>
          <w:lang w:val="en-US" w:eastAsia="ar-SA"/>
        </w:rPr>
      </w:pPr>
      <w:r w:rsidRPr="00A627B1">
        <w:rPr>
          <w:rFonts w:ascii="Times New Roman" w:eastAsia="Times New Roman" w:hAnsi="Times New Roman" w:cs="Times New Roman"/>
          <w:b/>
          <w:sz w:val="21"/>
          <w:szCs w:val="21"/>
          <w:lang w:val="en-US" w:eastAsia="ar-SA"/>
        </w:rPr>
        <w:t>E-commerce and changes in consumer behavior</w:t>
      </w:r>
    </w:p>
    <w:p w14:paraId="79E21C12" w14:textId="77777777" w:rsidR="00A34E8F" w:rsidRPr="00656AA8" w:rsidRDefault="00A34E8F" w:rsidP="001C03FA">
      <w:pPr>
        <w:spacing w:after="0" w:line="240" w:lineRule="auto"/>
        <w:ind w:firstLine="567"/>
        <w:jc w:val="center"/>
        <w:rPr>
          <w:rFonts w:ascii="Times New Roman" w:eastAsia="Times New Roman" w:hAnsi="Times New Roman" w:cs="Times New Roman"/>
          <w:b/>
          <w:sz w:val="21"/>
          <w:szCs w:val="21"/>
          <w:lang w:val="en-US" w:eastAsia="ar-SA"/>
        </w:rPr>
      </w:pPr>
    </w:p>
    <w:p w14:paraId="6C0DF2CD" w14:textId="77777777" w:rsidR="00A627B1" w:rsidRPr="00A627B1" w:rsidRDefault="00A627B1" w:rsidP="001C03FA">
      <w:pPr>
        <w:spacing w:after="0" w:line="240" w:lineRule="auto"/>
        <w:ind w:firstLine="567"/>
        <w:jc w:val="both"/>
        <w:rPr>
          <w:rFonts w:ascii="Times New Roman" w:eastAsia="Calibri" w:hAnsi="Times New Roman" w:cs="Times New Roman"/>
          <w:color w:val="000000"/>
          <w:sz w:val="21"/>
          <w:szCs w:val="21"/>
          <w:lang w:val="en-US"/>
          <w14:textOutline w14:w="9525" w14:cap="flat" w14:cmpd="sng" w14:algn="ctr">
            <w14:noFill/>
            <w14:prstDash w14:val="solid"/>
            <w14:round/>
          </w14:textOutline>
        </w:rPr>
      </w:pPr>
      <w:r w:rsidRPr="00A627B1">
        <w:rPr>
          <w:rFonts w:ascii="Times New Roman" w:eastAsia="Calibri" w:hAnsi="Times New Roman" w:cs="Times New Roman"/>
          <w:b/>
          <w:bCs/>
          <w:color w:val="000000"/>
          <w:sz w:val="21"/>
          <w:szCs w:val="21"/>
          <w:lang w:val="en-US"/>
          <w14:textOutline w14:w="9525" w14:cap="flat" w14:cmpd="sng" w14:algn="ctr">
            <w14:noFill/>
            <w14:prstDash w14:val="solid"/>
            <w14:round/>
          </w14:textOutline>
        </w:rPr>
        <w:t xml:space="preserve">Abstract: </w:t>
      </w:r>
      <w:r w:rsidRPr="00A627B1">
        <w:rPr>
          <w:rFonts w:ascii="Times New Roman" w:eastAsia="Calibri" w:hAnsi="Times New Roman" w:cs="Times New Roman"/>
          <w:color w:val="000000"/>
          <w:sz w:val="21"/>
          <w:szCs w:val="21"/>
          <w:lang w:val="en-US"/>
          <w14:textOutline w14:w="9525" w14:cap="flat" w14:cmpd="sng" w14:algn="ctr">
            <w14:noFill/>
            <w14:prstDash w14:val="solid"/>
            <w14:round/>
          </w14:textOutline>
        </w:rPr>
        <w:t>The article examines the changes in consumer behavior driven by the rise of e-commerce. It analyzes key factors influencing buyer preferences, such as the convenience of online shopping, accessibility of information, and the personalization of offers. The discussion includes the implications of these changes for traditional retail businesses and the necessity for adaptation to new conditions. In conclusion, the importance of understanding consumer trends for a successful strategy in the e-commerce sector is emphasized.</w:t>
      </w:r>
    </w:p>
    <w:p w14:paraId="272981B4" w14:textId="17A0C4DC" w:rsidR="00A627B1" w:rsidRPr="00656AA8" w:rsidRDefault="00A627B1" w:rsidP="001C03FA">
      <w:pPr>
        <w:spacing w:after="0" w:line="240" w:lineRule="auto"/>
        <w:ind w:firstLine="567"/>
        <w:jc w:val="both"/>
        <w:rPr>
          <w:rFonts w:ascii="Times New Roman" w:eastAsia="Calibri" w:hAnsi="Times New Roman" w:cs="Times New Roman"/>
          <w:sz w:val="28"/>
          <w:szCs w:val="28"/>
          <w:lang w:val="en-US"/>
        </w:rPr>
      </w:pPr>
      <w:r w:rsidRPr="00A627B1">
        <w:rPr>
          <w:rFonts w:ascii="Times New Roman" w:eastAsia="Calibri" w:hAnsi="Times New Roman" w:cs="Times New Roman"/>
          <w:b/>
          <w:bCs/>
          <w:color w:val="000000"/>
          <w:sz w:val="21"/>
          <w:szCs w:val="21"/>
          <w:lang w:val="en-US"/>
          <w14:textOutline w14:w="9525" w14:cap="flat" w14:cmpd="sng" w14:algn="ctr">
            <w14:noFill/>
            <w14:prstDash w14:val="solid"/>
            <w14:round/>
          </w14:textOutline>
        </w:rPr>
        <w:lastRenderedPageBreak/>
        <w:t>Keywords</w:t>
      </w:r>
      <w:r w:rsidRPr="00A627B1">
        <w:rPr>
          <w:rFonts w:ascii="Times New Roman" w:eastAsia="Calibri" w:hAnsi="Times New Roman" w:cs="Times New Roman"/>
          <w:color w:val="000000"/>
          <w:sz w:val="21"/>
          <w:szCs w:val="21"/>
          <w:lang w:val="en-US"/>
          <w14:textOutline w14:w="9525" w14:cap="flat" w14:cmpd="sng" w14:algn="ctr">
            <w14:noFill/>
            <w14:prstDash w14:val="solid"/>
            <w14:round/>
          </w14:textOutline>
        </w:rPr>
        <w:t>: E-commerce, consumer behavior, online shopping, personalization, retail adaptation, customer experience.</w:t>
      </w:r>
    </w:p>
    <w:p w14:paraId="3D78CCEA" w14:textId="77777777" w:rsidR="001C03FA" w:rsidRPr="00656AA8" w:rsidRDefault="001C03FA" w:rsidP="001C03FA">
      <w:pPr>
        <w:spacing w:after="0" w:line="240" w:lineRule="auto"/>
        <w:ind w:firstLine="567"/>
        <w:jc w:val="both"/>
        <w:rPr>
          <w:rFonts w:ascii="Times New Roman" w:eastAsia="Calibri" w:hAnsi="Times New Roman" w:cs="Times New Roman"/>
          <w:sz w:val="28"/>
          <w:szCs w:val="28"/>
          <w:lang w:val="en-US"/>
        </w:rPr>
      </w:pPr>
    </w:p>
    <w:p w14:paraId="7E61A18A"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Электронная коммерция (e-commerce) – это процесс покупки и продажи товаров и услуг через интернет, который радикально изменил взаимодействие между продавцами и покупателями. В последние годы наблюдается стремительный рост онлайн-продаж, обусловленный развитием технологий, увеличением числа пользователей интернета и изменением потребительских предпочтений. К 2025 году объем мирового рынка электронной коммерции достигнет триллионов долларов, подчеркивая его важность для экономики.</w:t>
      </w:r>
    </w:p>
    <w:p w14:paraId="027F3275"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Этот рост изменил традиционную торговлю и поведение потребителей: современные покупатели ожидают удобного доступа к товарам, персонализированного обслуживания и быстрой доставки. Эти изменения требуют от компаний адаптации стратегий и подходов к маркетингу.</w:t>
      </w:r>
    </w:p>
    <w:p w14:paraId="64BF67C7"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Цель данного исследования заключается в выявлении направлений трансформации потребительского поведения в области электронной коммерции для повышения эффективности реагирования на новые запросы клиентов.</w:t>
      </w:r>
    </w:p>
    <w:p w14:paraId="1DFD1CC2"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xml:space="preserve">Для осуществления цели были поставлены следующие задачи: </w:t>
      </w:r>
    </w:p>
    <w:p w14:paraId="1244F254"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изучить трансформации в потребительском поведении в электронной коммерции;</w:t>
      </w:r>
    </w:p>
    <w:p w14:paraId="7A114EAA"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проанализировать факторы, влияющие на эти изменения;</w:t>
      </w:r>
    </w:p>
    <w:p w14:paraId="0503BAE9"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xml:space="preserve">– выявить варианты реакции компаний на новые запросы клиентов. </w:t>
      </w:r>
    </w:p>
    <w:p w14:paraId="7B262687"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Электронная коммерция начала развиваться в 1990-х годах с появлением первых онлайн-магазинов и платформ для торговли. Пионерами в этой области стали такие компании, как Amazon и eBay, которые предложили пользователям возможность покупать и продавать товары через интернет. С тех пор рынок электронной коммерции значительно расширился, охватив не только розничную торговлю, но и услуги, такие как бронирование билетов, онлайн-банкинг и доставка еды [1].</w:t>
      </w:r>
    </w:p>
    <w:p w14:paraId="01A0F77E"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xml:space="preserve">С каждым годом электронная коммерция становилась все более доступной благодаря улучшению интернет-инфраструктуры и росту числа пользователей сети. Появление мобильных устройств и приложений также сыграло ключевую роль в этом процессе, позволяя потребителям совершать покупки в любое время и в любом месте. В результате, к 2025 году электронная коммерция стала неотъемлемой </w:t>
      </w:r>
      <w:r w:rsidRPr="00A627B1">
        <w:rPr>
          <w:rFonts w:ascii="Times New Roman" w:eastAsia="Calibri" w:hAnsi="Times New Roman" w:cs="Times New Roman"/>
          <w:sz w:val="32"/>
          <w:szCs w:val="32"/>
        </w:rPr>
        <w:lastRenderedPageBreak/>
        <w:t>частью глобальной экономики, с миллиардами пользователей и триллионами долларов оборота.</w:t>
      </w:r>
    </w:p>
    <w:p w14:paraId="1743465D"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Согласно статистике, в 2023 году рынок электронной коммерции в России показал значительный рост, увеличившись на 28% и достигнув более 6 трлн рублей. Основным фактором этого роста стала активность покупателей в регионах, что свидетельствует о расширении аудитории интернет-торговли [5].</w:t>
      </w:r>
    </w:p>
    <w:p w14:paraId="0AEF09FF"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Технологический прогресс оказал огромное влияние на развитие электронной коммерции. Внедрение новых технологий, таких как искусственный интеллект, большие данные и облачные вычисления, изменило подходы к продажам и маркетингу. Например, использование алгоритмов машинного обучения позволяет компаниям анализировать поведение пользователей и предлагать персонализированные рекомендации, что значительно повышает вероятность покупки.</w:t>
      </w:r>
    </w:p>
    <w:p w14:paraId="0F5F4110"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Кроме того, технологии обеспечили безопасность онлайн-транзакций через внедрение шифрования и многофакторной аутентификации, что укрепило доверие потребителей к онлайн-магазинам. Платежные системы, такие как PayPal и Apple Pay, сделали процесс оплаты более удобным и быстрым, что также способствовало росту онлайн-продаж.</w:t>
      </w:r>
    </w:p>
    <w:p w14:paraId="544FAE3C"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С развитием технологий и увеличением популярности интернет-торговли удобство и доступность покупок стали ключевыми факторами, влияющими на поведение потребителей. Современные покупатели ценят возможность совершать покупки в любое время и из любого места, что значительно упрощает процесс выбора и приобретения товаров. Платформы электронной коммерции предлагают широкий ассортимент товаров, а также различные способы оплаты и доставки, что делает процесс покупки более гибким и комфортным. Эта тенденция также способствует росту мобильной коммерции, где приложения и мобильные версии сайтов позволяют пользователям совершать покупки на ходу, что еще больше увеличивает доступность товаров [1].</w:t>
      </w:r>
    </w:p>
    <w:p w14:paraId="0FDC0476"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 xml:space="preserve">С увеличением конкуренции в сфере розничной торговли потребители стали предъявлять более высокие требования к скорости и качеству обслуживания. Быстрая обработка заказов и оперативная доставка стали стандартом, а не исключением [2]. Исследования показывают, что потребители готовы выбирать между различными продавцами на основании их способности предоставлять качественное </w:t>
      </w:r>
      <w:r w:rsidRPr="00A627B1">
        <w:rPr>
          <w:rFonts w:ascii="Times New Roman" w:eastAsia="Calibri" w:hAnsi="Times New Roman" w:cs="Times New Roman"/>
          <w:sz w:val="32"/>
          <w:szCs w:val="32"/>
        </w:rPr>
        <w:lastRenderedPageBreak/>
        <w:t>и быстрое обслуживание [4]. Кроме того, важным аспектом является наличие эффективной системы поддержки клиентов, которая может оперативно решать возникающие проблемы и отвечать на вопросы. Ожидания потребителей в отношении качества обслуживания также включают персонализированный подход, когда компании стремятся учитывать индивидуальные предпочтения и потребности клиентов.</w:t>
      </w:r>
    </w:p>
    <w:p w14:paraId="06A3D7C5"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Социальные сети играют все более значимую роль в процессе принятия решений потребителями. Потребители активно ищут отзывы и рекомендации от других пользователей, что влияет на их выбор. Исследования показывают, что положительные отзывы и рекомендации из социальных сетей могут значительно повысить доверие к бренду и увеличить вероятность покупки [4]. Более того, компании используют социальные сети для взаимодействия с клиентами, создания сообщества и повышения лояльности, что также влияет на поведение потребителей.</w:t>
      </w:r>
    </w:p>
    <w:p w14:paraId="56995D2F"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Контент-маркетинг и социальные сети играют ключевую роль в современных стратегиях продвижения. Качественный контент, который информирует, развлекает или решает проблемы потребителей, помогает привлекать внимание и формировать доверие к бренду. Социальные сети, в свою очередь, служат платформой для распространения этого контента и взаимодействия с аудиторией. Бренды могут использовать различные форматы, такие как видео, блоги, инфографика и посты в социальных сетях, чтобы донести свои сообщения до целевой аудитории. Эффективное использование контент-маркетинга и социальных сетей позволяет компаниям не только укреплять свои позиции на рынке, но и формировать активное сообщество вокруг бренда.</w:t>
      </w:r>
    </w:p>
    <w:p w14:paraId="5498ABE4"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Персонализированный маркетинг стал одним из самых эффективных подходов в современном бизнесе. Он основывается на сборе и анализе данных о потребителях, что позволяет компаниям создавать индивидуализированные предложения, соответствующие интересам и потребностям каждого клиента. Использование технологий, таких как машинное обучение и аналитика больших данных, позволяет брендам предлагать релевантные продукты и услуги, а также адаптировать сообщения и рекламные кампании под конкретные сегменты аудитории. Это не только повышает уровень вовлеченности потребителей, но и способствует увеличению конверсий и лояльности к бренду.</w:t>
      </w:r>
    </w:p>
    <w:p w14:paraId="00071F2D"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lastRenderedPageBreak/>
        <w:t>Оптимизация для поисковых систем (SEO) и маркетинг в поисковых системах (SEM) являются важными инструментами для повышения видимости онлайн-магазинов. SEO включает в себя оптимизацию контента и структуры сайта для улучшения его позиций в органических результатах поиска (В контексте SEO (поисковой оптимизации) термин "органические результаты поиска" относится к результатам, которые появляются в поисковых системах на основе их алгоритмов ранжирования, а не за счет платной рекламы) [3]. Это помогает привлечь целевой трафик и увеличить количество потенциальных клиентов. SEM, в свою очередь, подразумевает использование платной рекламы для продвижения сайта в поисковых системах, что позволяет быстро увеличить видимость и привлечь пользователей. Сочетание этих двух подходов обеспечивает комплексный подход к привлечению клиентов и повышению конкурентоспособности онлайн-магазинов.</w:t>
      </w:r>
    </w:p>
    <w:p w14:paraId="2C43B08E"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color w:val="000000"/>
          <w:sz w:val="32"/>
          <w:szCs w:val="32"/>
        </w:rPr>
        <w:t>А</w:t>
      </w:r>
      <w:r w:rsidRPr="00A627B1">
        <w:rPr>
          <w:rFonts w:ascii="Times New Roman" w:eastAsia="Calibri" w:hAnsi="Times New Roman" w:cs="Times New Roman"/>
          <w:sz w:val="32"/>
          <w:szCs w:val="32"/>
        </w:rPr>
        <w:t>втоматизация процессов в сфере продаж становится неотъемлемой частью современных бизнес-стратегий. Внедрение систем управления взаимоотношениями с клиентами (CRM) позволяет компаниям эффективно управлять взаимодействием с клиентами, оптимизируя рутинные задачи и улучшая качество обслуживания. CRM-системы собирают и хранят данные о клиентах, что даёт возможность анализировать их поведение, предпочтения и потребности. Это, в свою очередь, способствует более точному таргетированию маркетинговых кампаний и повышению уровня удовлетворенности клиентов. Автоматизация также позволяет снизить затраты на трудозатраты, освобождая сотрудников для выполнения более стратегически важных задач.</w:t>
      </w:r>
    </w:p>
    <w:p w14:paraId="3BD8FBB3"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Технологические инновации, такие как чат-боты и виртуальная реальность (VR), значительно изменяют подходы к продажам. Чат-боты, использующие алгоритмы искусственного интеллекта, обеспечивают круглосуточную поддержку клиентов, отвечая на их запросы и предоставляя информацию о продуктах. Это не только повышает уровень удовлетворенности клиентов, но и снижает нагрузку на службы поддержки. Виртуальная реальность, в свою очередь, позволяет создавать иммерсивные опыты для покупателей, такие как виртуальные примерочные или интерактивные демонстрации продуктов [4]. Эти технологии способствуют более глубокому взаимодействию с брендом, увеличивая вовлеченность и лояльность клиентов.</w:t>
      </w:r>
    </w:p>
    <w:p w14:paraId="0E3CC76A"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lastRenderedPageBreak/>
        <w:t>Эволюция моделей ценообразования также играет ключевую роль в изменениях в продажах. Динамическое ценообразование, которое позволяет изменять цены в зависимости от спроса, времени года и активности конкурентов, становится все более распространённым. Эта практика помогает максимизировать прибыль, адаптируя цены к текущим рыночным условиям. Кроме того, подписочные модели, предлагающие товары и услуги на постоянной основе, обеспечивают стабильный доход и способствуют удержанию клиентов. Персонализированные предложения, основанные на анализе данных о клиентах, позволяют создавать уникальные ценовые стратегии, что увеличивает вероятность покупки и способствует формированию долгосрочных отношений с клиентами.</w:t>
      </w:r>
    </w:p>
    <w:p w14:paraId="4CBAE8A0"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Рассмотрим успешные примеры международных и российских компаний, которые эффективно реагируют на изменения в потребительском поведении, внедряя инновационные подходы и технологии.</w:t>
      </w:r>
    </w:p>
    <w:p w14:paraId="397B2807"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Нижеприведенное исследование посвящено изучению инноваций, внедряемых ведущими компаниями в области электронной коммерции, таких как Zara, Starbucks, Wildberries, Яндекс.Еда, Ozon и СберМаркет. Каждая из этих компаний применяет уникальные технологии и подходы для удовлетворения потребностей клиентов и оптимизации своих операций. Результаты показывают, что использование аналитики, мобильных приложений и персонализированных рекомендаций способствует не только повышению удовлетворенности клиентов, но и увеличению объема продаж. Это подчеркивает важность адаптации к меняющимся условиям рынка и запросам потребителей для достижения устойчивого успеха в электронной коммерции.</w:t>
      </w:r>
    </w:p>
    <w:p w14:paraId="44BB6F95"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p>
    <w:p w14:paraId="65B47534" w14:textId="77777777" w:rsidR="00A627B1" w:rsidRPr="00A627B1" w:rsidRDefault="00A627B1" w:rsidP="00A627B1">
      <w:pPr>
        <w:spacing w:after="0" w:line="240" w:lineRule="auto"/>
        <w:ind w:firstLine="709"/>
        <w:jc w:val="both"/>
        <w:rPr>
          <w:rFonts w:ascii="Times New Roman" w:eastAsia="Calibri" w:hAnsi="Times New Roman" w:cs="Times New Roman"/>
          <w:sz w:val="28"/>
          <w:szCs w:val="28"/>
        </w:rPr>
      </w:pPr>
      <w:r w:rsidRPr="00A627B1">
        <w:rPr>
          <w:rFonts w:ascii="Times New Roman" w:eastAsia="Calibri" w:hAnsi="Times New Roman" w:cs="Times New Roman"/>
          <w:sz w:val="28"/>
          <w:szCs w:val="28"/>
        </w:rPr>
        <w:t>Таблица – Инновационные подходы в электронной коммерции</w:t>
      </w:r>
    </w:p>
    <w:tbl>
      <w:tblPr>
        <w:tblStyle w:val="a9"/>
        <w:tblW w:w="9356" w:type="dxa"/>
        <w:tblInd w:w="137" w:type="dxa"/>
        <w:tblLook w:val="04A0" w:firstRow="1" w:lastRow="0" w:firstColumn="1" w:lastColumn="0" w:noHBand="0" w:noVBand="1"/>
      </w:tblPr>
      <w:tblGrid>
        <w:gridCol w:w="1838"/>
        <w:gridCol w:w="3969"/>
        <w:gridCol w:w="3549"/>
      </w:tblGrid>
      <w:tr w:rsidR="00A627B1" w:rsidRPr="00A627B1" w14:paraId="12F14C3D" w14:textId="77777777" w:rsidTr="00EB1CB9">
        <w:trPr>
          <w:trHeight w:val="469"/>
        </w:trPr>
        <w:tc>
          <w:tcPr>
            <w:tcW w:w="1838" w:type="dxa"/>
            <w:vAlign w:val="center"/>
          </w:tcPr>
          <w:p w14:paraId="57013012" w14:textId="77777777" w:rsidR="00A627B1" w:rsidRPr="00A627B1" w:rsidRDefault="00A627B1" w:rsidP="00A627B1">
            <w:pPr>
              <w:jc w:val="center"/>
              <w:rPr>
                <w:rFonts w:ascii="Times New Roman" w:eastAsia="Calibri" w:hAnsi="Times New Roman" w:cs="Times New Roman"/>
                <w:sz w:val="28"/>
                <w:szCs w:val="28"/>
              </w:rPr>
            </w:pPr>
            <w:r w:rsidRPr="00A627B1">
              <w:rPr>
                <w:rFonts w:ascii="Times New Roman" w:eastAsia="Calibri" w:hAnsi="Times New Roman" w:cs="Times New Roman"/>
                <w:sz w:val="28"/>
                <w:szCs w:val="28"/>
              </w:rPr>
              <w:t>Компания</w:t>
            </w:r>
          </w:p>
        </w:tc>
        <w:tc>
          <w:tcPr>
            <w:tcW w:w="3969" w:type="dxa"/>
            <w:vAlign w:val="center"/>
          </w:tcPr>
          <w:p w14:paraId="639DF6C2" w14:textId="77777777" w:rsidR="00A627B1" w:rsidRPr="00A627B1" w:rsidRDefault="00A627B1" w:rsidP="00A627B1">
            <w:pPr>
              <w:jc w:val="center"/>
              <w:rPr>
                <w:rFonts w:ascii="Times New Roman" w:eastAsia="Calibri" w:hAnsi="Times New Roman" w:cs="Times New Roman"/>
                <w:sz w:val="28"/>
                <w:szCs w:val="28"/>
              </w:rPr>
            </w:pPr>
            <w:r w:rsidRPr="00A627B1">
              <w:rPr>
                <w:rFonts w:ascii="Times New Roman" w:eastAsia="Calibri" w:hAnsi="Times New Roman" w:cs="Times New Roman"/>
                <w:sz w:val="28"/>
                <w:szCs w:val="28"/>
              </w:rPr>
              <w:t>Направления внедрения инноваций</w:t>
            </w:r>
          </w:p>
        </w:tc>
        <w:tc>
          <w:tcPr>
            <w:tcW w:w="3549" w:type="dxa"/>
            <w:vAlign w:val="center"/>
          </w:tcPr>
          <w:p w14:paraId="3E10509C" w14:textId="77777777" w:rsidR="00A627B1" w:rsidRPr="00A627B1" w:rsidRDefault="00A627B1" w:rsidP="00A627B1">
            <w:pPr>
              <w:jc w:val="center"/>
              <w:rPr>
                <w:rFonts w:ascii="Times New Roman" w:eastAsia="Calibri" w:hAnsi="Times New Roman" w:cs="Times New Roman"/>
                <w:sz w:val="28"/>
                <w:szCs w:val="28"/>
              </w:rPr>
            </w:pPr>
            <w:r w:rsidRPr="00A627B1">
              <w:rPr>
                <w:rFonts w:ascii="Times New Roman" w:eastAsia="Calibri" w:hAnsi="Times New Roman" w:cs="Times New Roman"/>
                <w:sz w:val="28"/>
                <w:szCs w:val="28"/>
              </w:rPr>
              <w:t>Результаты</w:t>
            </w:r>
          </w:p>
        </w:tc>
      </w:tr>
      <w:tr w:rsidR="00A627B1" w:rsidRPr="00A627B1" w14:paraId="1EA03223" w14:textId="77777777" w:rsidTr="00EB1CB9">
        <w:tc>
          <w:tcPr>
            <w:tcW w:w="1838" w:type="dxa"/>
            <w:vAlign w:val="center"/>
          </w:tcPr>
          <w:p w14:paraId="4E067249"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Zara</w:t>
            </w:r>
          </w:p>
        </w:tc>
        <w:tc>
          <w:tcPr>
            <w:tcW w:w="3969" w:type="dxa"/>
            <w:vAlign w:val="center"/>
          </w:tcPr>
          <w:p w14:paraId="685B4836"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Быстрая адаптация коллекций на основе данных о покупках</w:t>
            </w:r>
          </w:p>
        </w:tc>
        <w:tc>
          <w:tcPr>
            <w:tcW w:w="3549" w:type="dxa"/>
            <w:vAlign w:val="center"/>
          </w:tcPr>
          <w:p w14:paraId="10EE3CD3"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Увеличение актуальности товаров</w:t>
            </w:r>
          </w:p>
        </w:tc>
      </w:tr>
      <w:tr w:rsidR="00A627B1" w:rsidRPr="00A627B1" w14:paraId="638CE52A" w14:textId="77777777" w:rsidTr="00EB1CB9">
        <w:tc>
          <w:tcPr>
            <w:tcW w:w="1838" w:type="dxa"/>
            <w:vAlign w:val="center"/>
          </w:tcPr>
          <w:p w14:paraId="02B02722"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Starbucks</w:t>
            </w:r>
          </w:p>
        </w:tc>
        <w:tc>
          <w:tcPr>
            <w:tcW w:w="3969" w:type="dxa"/>
            <w:vAlign w:val="center"/>
          </w:tcPr>
          <w:p w14:paraId="3ADA0297"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Мобильное приложение для предварительного заказа и оплаты</w:t>
            </w:r>
          </w:p>
        </w:tc>
        <w:tc>
          <w:tcPr>
            <w:tcW w:w="3549" w:type="dxa"/>
            <w:vAlign w:val="center"/>
          </w:tcPr>
          <w:p w14:paraId="58A24062"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Повышение удовлетворенности клиентов</w:t>
            </w:r>
          </w:p>
        </w:tc>
      </w:tr>
      <w:tr w:rsidR="00A627B1" w:rsidRPr="00A627B1" w14:paraId="1E68817C" w14:textId="77777777" w:rsidTr="00EB1CB9">
        <w:tc>
          <w:tcPr>
            <w:tcW w:w="1838" w:type="dxa"/>
            <w:vAlign w:val="center"/>
          </w:tcPr>
          <w:p w14:paraId="2F4055E0"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Wildberries</w:t>
            </w:r>
          </w:p>
        </w:tc>
        <w:tc>
          <w:tcPr>
            <w:tcW w:w="3969" w:type="dxa"/>
            <w:vAlign w:val="center"/>
          </w:tcPr>
          <w:p w14:paraId="522B2F24"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Аналитика для оптимизации ассортимента и персонализации предложений</w:t>
            </w:r>
          </w:p>
        </w:tc>
        <w:tc>
          <w:tcPr>
            <w:tcW w:w="3549" w:type="dxa"/>
            <w:vAlign w:val="center"/>
          </w:tcPr>
          <w:p w14:paraId="5DBC5DD4"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Увеличение объема продаж</w:t>
            </w:r>
          </w:p>
        </w:tc>
      </w:tr>
      <w:tr w:rsidR="00A627B1" w:rsidRPr="00A627B1" w14:paraId="4119EDB0" w14:textId="77777777" w:rsidTr="00EB1CB9">
        <w:tc>
          <w:tcPr>
            <w:tcW w:w="1838" w:type="dxa"/>
            <w:vAlign w:val="center"/>
          </w:tcPr>
          <w:p w14:paraId="2A3C2201"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lastRenderedPageBreak/>
              <w:t>Яндекс.Еда</w:t>
            </w:r>
          </w:p>
        </w:tc>
        <w:tc>
          <w:tcPr>
            <w:tcW w:w="3969" w:type="dxa"/>
            <w:vAlign w:val="center"/>
          </w:tcPr>
          <w:p w14:paraId="5FF13D6E"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Удобные функции для быстрого заказа и отслеживания доставки</w:t>
            </w:r>
          </w:p>
        </w:tc>
        <w:tc>
          <w:tcPr>
            <w:tcW w:w="3549" w:type="dxa"/>
            <w:vAlign w:val="center"/>
          </w:tcPr>
          <w:p w14:paraId="44CE8039"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Удержание и привлечение клиентов</w:t>
            </w:r>
          </w:p>
        </w:tc>
      </w:tr>
      <w:tr w:rsidR="00A627B1" w:rsidRPr="00A627B1" w14:paraId="5192DC03" w14:textId="77777777" w:rsidTr="00EB1CB9">
        <w:tc>
          <w:tcPr>
            <w:tcW w:w="1838" w:type="dxa"/>
            <w:vAlign w:val="center"/>
          </w:tcPr>
          <w:p w14:paraId="1AC050C2"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Ozon</w:t>
            </w:r>
          </w:p>
        </w:tc>
        <w:tc>
          <w:tcPr>
            <w:tcW w:w="3969" w:type="dxa"/>
            <w:vAlign w:val="center"/>
          </w:tcPr>
          <w:p w14:paraId="5EE6D174"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Рекомендации на основе предыдущих покупок</w:t>
            </w:r>
          </w:p>
        </w:tc>
        <w:tc>
          <w:tcPr>
            <w:tcW w:w="3549" w:type="dxa"/>
            <w:vAlign w:val="center"/>
          </w:tcPr>
          <w:p w14:paraId="57FE4B12"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Ускорение процесса покупки</w:t>
            </w:r>
          </w:p>
        </w:tc>
      </w:tr>
      <w:tr w:rsidR="00A627B1" w:rsidRPr="00A627B1" w14:paraId="3D1B23CF" w14:textId="77777777" w:rsidTr="00EB1CB9">
        <w:tc>
          <w:tcPr>
            <w:tcW w:w="1838" w:type="dxa"/>
            <w:vAlign w:val="center"/>
          </w:tcPr>
          <w:p w14:paraId="0A0F3D34"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СберМаркет</w:t>
            </w:r>
          </w:p>
        </w:tc>
        <w:tc>
          <w:tcPr>
            <w:tcW w:w="3969" w:type="dxa"/>
            <w:vAlign w:val="center"/>
          </w:tcPr>
          <w:p w14:paraId="05ABACC4"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Удобный интерфейс и доставка на дом</w:t>
            </w:r>
          </w:p>
        </w:tc>
        <w:tc>
          <w:tcPr>
            <w:tcW w:w="3549" w:type="dxa"/>
            <w:vAlign w:val="center"/>
          </w:tcPr>
          <w:p w14:paraId="260F8983" w14:textId="77777777" w:rsidR="00A627B1" w:rsidRPr="00A627B1" w:rsidRDefault="00A627B1" w:rsidP="00A627B1">
            <w:pPr>
              <w:rPr>
                <w:rFonts w:ascii="Times New Roman" w:eastAsia="Calibri" w:hAnsi="Times New Roman" w:cs="Times New Roman"/>
                <w:sz w:val="28"/>
                <w:szCs w:val="28"/>
              </w:rPr>
            </w:pPr>
            <w:r w:rsidRPr="00A627B1">
              <w:rPr>
                <w:rFonts w:ascii="Times New Roman" w:eastAsia="Calibri" w:hAnsi="Times New Roman" w:cs="Times New Roman"/>
                <w:sz w:val="28"/>
                <w:szCs w:val="28"/>
              </w:rPr>
              <w:t>Повышение уровня удовлетворенности</w:t>
            </w:r>
          </w:p>
        </w:tc>
      </w:tr>
    </w:tbl>
    <w:p w14:paraId="55397F09"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p>
    <w:p w14:paraId="19CB5703"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В ходе анализа инновационных подходов компаний в сфере электронной коммерции было выявлено, что успешные бренды активно используют технологии для улучшения клиентского опыта и повышения эффективности бизнес-процессов.</w:t>
      </w:r>
    </w:p>
    <w:p w14:paraId="28D5C04B"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С ростом осведомленности о проблемах экологии и социальной ответственности потребители все чаще выбирают бренды, следящие за принципами устойчивого потребления. Это требует от компаний пересмотра стратегий и внедрения экологически чистых практик. Например, использование переработанных материалов позволяет привлечь сознательных потребителей.</w:t>
      </w:r>
    </w:p>
    <w:p w14:paraId="2B3ECB8C"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Российская фирма «Эконика» делает упор на использование экологичных ресурсов и запустила проект по переработке изношенной обуви, что положительно сказывается на состоянии природы. Параллельно «Сбербанк» расширяет свои экологические начинания, уменьшая выбросы углекислого газа и оказывая помощь проектам по восстановлению лесных массивов.</w:t>
      </w:r>
    </w:p>
    <w:p w14:paraId="23138C95"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Поддержка местных сообществ становится важным аспектом устойчивого потребления. Например, компания «Чистая линия» сотрудничает с местными фермерами, что поддерживает экономику региона и создает уникальные продукты.</w:t>
      </w:r>
    </w:p>
    <w:p w14:paraId="4004F7FC" w14:textId="77777777" w:rsidR="00A627B1" w:rsidRPr="00A627B1" w:rsidRDefault="00A627B1" w:rsidP="00A627B1">
      <w:pPr>
        <w:spacing w:after="0" w:line="240" w:lineRule="auto"/>
        <w:ind w:firstLine="709"/>
        <w:jc w:val="both"/>
        <w:rPr>
          <w:rFonts w:ascii="Times New Roman" w:eastAsia="Calibri" w:hAnsi="Times New Roman" w:cs="Times New Roman"/>
          <w:sz w:val="32"/>
          <w:szCs w:val="32"/>
        </w:rPr>
      </w:pPr>
      <w:r w:rsidRPr="00A627B1">
        <w:rPr>
          <w:rFonts w:ascii="Times New Roman" w:eastAsia="Calibri" w:hAnsi="Times New Roman" w:cs="Times New Roman"/>
          <w:sz w:val="32"/>
          <w:szCs w:val="32"/>
        </w:rPr>
        <w:t>Экологические аспекты становятся неотъемлемой частью стратегии компаний, стремящихся к устойчивому развитию. Игнорирование этих факторов может привести к утрате доверия потребителей и снижению конкурентоспособности на рынке. Устойчивое потребление становится не просто трендом, а необходимостью для будущего бизнеса и планеты.</w:t>
      </w:r>
    </w:p>
    <w:p w14:paraId="19AA5FCE" w14:textId="77777777" w:rsidR="00A627B1" w:rsidRPr="00A627B1" w:rsidRDefault="00A627B1" w:rsidP="00A627B1">
      <w:pPr>
        <w:spacing w:after="0" w:line="240" w:lineRule="auto"/>
        <w:ind w:firstLine="709"/>
        <w:jc w:val="both"/>
        <w:rPr>
          <w:rFonts w:ascii="Times New Roman" w:eastAsia="Calibri" w:hAnsi="Times New Roman" w:cs="Times New Roman"/>
          <w:b/>
          <w:bCs/>
          <w:sz w:val="32"/>
          <w:szCs w:val="32"/>
        </w:rPr>
      </w:pPr>
      <w:r w:rsidRPr="00A627B1">
        <w:rPr>
          <w:rFonts w:ascii="Times New Roman" w:eastAsia="Calibri" w:hAnsi="Times New Roman" w:cs="Times New Roman"/>
          <w:sz w:val="32"/>
          <w:szCs w:val="32"/>
        </w:rPr>
        <w:t xml:space="preserve">В заключение отметим, что электронная коммерция кардинально изменила потребительское поведение, сделав покупки более удобными и доступными. Потребители теперь имеют возможность совершать покупки в любое время, получая доступ к обширной информации о товарах и услугах. В будущем ожидается дальнейший рост мобильной торговли, внедрение новых технологий и акцент на </w:t>
      </w:r>
      <w:r w:rsidRPr="00A627B1">
        <w:rPr>
          <w:rFonts w:ascii="Times New Roman" w:eastAsia="Calibri" w:hAnsi="Times New Roman" w:cs="Times New Roman"/>
          <w:sz w:val="32"/>
          <w:szCs w:val="32"/>
        </w:rPr>
        <w:lastRenderedPageBreak/>
        <w:t>устойчивое потребление. Компании, способные адаптироваться к этим изменениям и предлагать персонализированные решения, будут иметь значительные преимущества на рынке. Эти трансформации открывают новые горизонты для бизнеса и потребителей, формируя будущее торговли.</w:t>
      </w:r>
      <w:r w:rsidRPr="00A627B1">
        <w:rPr>
          <w:rFonts w:ascii="Times New Roman" w:eastAsia="Calibri" w:hAnsi="Times New Roman" w:cs="Times New Roman"/>
          <w:b/>
          <w:bCs/>
          <w:sz w:val="32"/>
          <w:szCs w:val="32"/>
        </w:rPr>
        <w:t xml:space="preserve"> </w:t>
      </w:r>
    </w:p>
    <w:p w14:paraId="382A32D6" w14:textId="77777777" w:rsidR="00A627B1" w:rsidRPr="00A627B1" w:rsidRDefault="00A627B1" w:rsidP="00A627B1">
      <w:pPr>
        <w:spacing w:after="0" w:line="240" w:lineRule="auto"/>
        <w:ind w:firstLine="709"/>
        <w:jc w:val="both"/>
        <w:rPr>
          <w:rFonts w:ascii="Times New Roman" w:eastAsia="Calibri" w:hAnsi="Times New Roman" w:cs="Times New Roman"/>
          <w:b/>
          <w:bCs/>
          <w:sz w:val="28"/>
          <w:szCs w:val="28"/>
        </w:rPr>
      </w:pPr>
    </w:p>
    <w:p w14:paraId="45ECFCC8" w14:textId="77777777" w:rsidR="00A627B1" w:rsidRPr="00A627B1" w:rsidRDefault="00A627B1" w:rsidP="00A627B1">
      <w:pPr>
        <w:spacing w:after="0" w:line="240" w:lineRule="auto"/>
        <w:jc w:val="center"/>
        <w:rPr>
          <w:rFonts w:ascii="Times New Roman" w:eastAsia="Calibri" w:hAnsi="Times New Roman" w:cs="Times New Roman"/>
          <w:b/>
          <w:bCs/>
          <w:sz w:val="21"/>
          <w:szCs w:val="21"/>
        </w:rPr>
      </w:pPr>
      <w:r w:rsidRPr="00A627B1">
        <w:rPr>
          <w:rFonts w:ascii="Times New Roman" w:eastAsia="Calibri" w:hAnsi="Times New Roman" w:cs="Times New Roman"/>
          <w:b/>
          <w:bCs/>
          <w:sz w:val="21"/>
          <w:szCs w:val="21"/>
        </w:rPr>
        <w:t>Литература:</w:t>
      </w:r>
    </w:p>
    <w:p w14:paraId="44D25E69" w14:textId="77777777" w:rsidR="00A627B1" w:rsidRDefault="00A627B1" w:rsidP="00AD58CD">
      <w:pPr>
        <w:pStyle w:val="a8"/>
        <w:numPr>
          <w:ilvl w:val="2"/>
          <w:numId w:val="101"/>
        </w:numPr>
        <w:spacing w:after="0" w:line="240" w:lineRule="auto"/>
        <w:ind w:left="426"/>
        <w:jc w:val="both"/>
        <w:rPr>
          <w:rFonts w:ascii="Times New Roman" w:eastAsia="Calibri" w:hAnsi="Times New Roman" w:cs="Times New Roman"/>
          <w:sz w:val="21"/>
          <w:szCs w:val="21"/>
        </w:rPr>
      </w:pPr>
      <w:r w:rsidRPr="00A627B1">
        <w:rPr>
          <w:rFonts w:ascii="Times New Roman" w:eastAsia="Calibri" w:hAnsi="Times New Roman" w:cs="Times New Roman"/>
          <w:sz w:val="21"/>
          <w:szCs w:val="21"/>
        </w:rPr>
        <w:t>Бутман, А. Электронная коммерция: теория и практика. – М.: Издательство "Наука"/ А. Бутман – 2021.</w:t>
      </w:r>
    </w:p>
    <w:p w14:paraId="4C6DD554" w14:textId="77777777" w:rsidR="00A627B1" w:rsidRDefault="00A627B1" w:rsidP="00AD58CD">
      <w:pPr>
        <w:pStyle w:val="a8"/>
        <w:numPr>
          <w:ilvl w:val="2"/>
          <w:numId w:val="101"/>
        </w:numPr>
        <w:spacing w:after="0" w:line="240" w:lineRule="auto"/>
        <w:ind w:left="426"/>
        <w:jc w:val="both"/>
        <w:rPr>
          <w:rFonts w:ascii="Times New Roman" w:eastAsia="Calibri" w:hAnsi="Times New Roman" w:cs="Times New Roman"/>
          <w:sz w:val="21"/>
          <w:szCs w:val="21"/>
        </w:rPr>
      </w:pPr>
      <w:r w:rsidRPr="00A627B1">
        <w:rPr>
          <w:rFonts w:ascii="Times New Roman" w:eastAsia="Calibri" w:hAnsi="Times New Roman" w:cs="Times New Roman"/>
          <w:sz w:val="21"/>
          <w:szCs w:val="21"/>
        </w:rPr>
        <w:t>Кузнецова, Е. Влияние электронной коммерции на потребительское поведение. – Вестник Российской экономической школы, 2022. – Т. 4, № 3. – С. 45-58.</w:t>
      </w:r>
    </w:p>
    <w:p w14:paraId="74FE2B54" w14:textId="77777777" w:rsidR="00A627B1" w:rsidRDefault="00A627B1" w:rsidP="00AD58CD">
      <w:pPr>
        <w:pStyle w:val="a8"/>
        <w:numPr>
          <w:ilvl w:val="2"/>
          <w:numId w:val="101"/>
        </w:numPr>
        <w:spacing w:after="0" w:line="240" w:lineRule="auto"/>
        <w:ind w:left="426"/>
        <w:jc w:val="both"/>
        <w:rPr>
          <w:rFonts w:ascii="Times New Roman" w:eastAsia="Calibri" w:hAnsi="Times New Roman" w:cs="Times New Roman"/>
          <w:sz w:val="21"/>
          <w:szCs w:val="21"/>
        </w:rPr>
      </w:pPr>
      <w:r w:rsidRPr="00A627B1">
        <w:rPr>
          <w:rFonts w:ascii="Times New Roman" w:eastAsia="Calibri" w:hAnsi="Times New Roman" w:cs="Times New Roman"/>
          <w:sz w:val="21"/>
          <w:szCs w:val="21"/>
        </w:rPr>
        <w:t>Лебедев, А., Сидорова, Т. Основы электронной коммерции. – М.: Издательство "Юрайт"/ Лебедев, А., Сидорова, Т. – 2020.</w:t>
      </w:r>
    </w:p>
    <w:p w14:paraId="01FB41FE" w14:textId="77777777" w:rsidR="00A627B1" w:rsidRDefault="00A627B1" w:rsidP="00AD58CD">
      <w:pPr>
        <w:pStyle w:val="a8"/>
        <w:numPr>
          <w:ilvl w:val="2"/>
          <w:numId w:val="101"/>
        </w:numPr>
        <w:spacing w:after="0" w:line="240" w:lineRule="auto"/>
        <w:ind w:left="426"/>
        <w:jc w:val="both"/>
        <w:rPr>
          <w:rFonts w:ascii="Times New Roman" w:eastAsia="Calibri" w:hAnsi="Times New Roman" w:cs="Times New Roman"/>
          <w:sz w:val="21"/>
          <w:szCs w:val="21"/>
        </w:rPr>
      </w:pPr>
      <w:r w:rsidRPr="00A627B1">
        <w:rPr>
          <w:rFonts w:ascii="Times New Roman" w:eastAsia="Calibri" w:hAnsi="Times New Roman" w:cs="Times New Roman"/>
          <w:sz w:val="21"/>
          <w:szCs w:val="21"/>
        </w:rPr>
        <w:t>МКС. Будущее электронной коммерции: тренды и прогнозы. – 2023. – [Электронный ресурс: https://www.mks.ru/ (дата обращения: 19.04.2025)]</w:t>
      </w:r>
    </w:p>
    <w:p w14:paraId="6C8816A0" w14:textId="1115877B" w:rsidR="00A627B1" w:rsidRPr="00A627B1" w:rsidRDefault="00A627B1" w:rsidP="00AD58CD">
      <w:pPr>
        <w:pStyle w:val="a8"/>
        <w:numPr>
          <w:ilvl w:val="2"/>
          <w:numId w:val="101"/>
        </w:numPr>
        <w:spacing w:after="0" w:line="240" w:lineRule="auto"/>
        <w:ind w:left="426"/>
        <w:jc w:val="both"/>
        <w:rPr>
          <w:rFonts w:ascii="Times New Roman" w:eastAsia="Calibri" w:hAnsi="Times New Roman" w:cs="Times New Roman"/>
          <w:sz w:val="21"/>
          <w:szCs w:val="21"/>
        </w:rPr>
      </w:pPr>
      <w:r w:rsidRPr="00A627B1">
        <w:rPr>
          <w:rFonts w:ascii="Times New Roman" w:eastAsia="Calibri" w:hAnsi="Times New Roman" w:cs="Times New Roman"/>
          <w:sz w:val="21"/>
          <w:szCs w:val="21"/>
        </w:rPr>
        <w:t>РБК. Электронная коммерция в России: статистика и факты. – 2023. – [Электронный ресурс: https://www.rbc.ru/ (дата обращения: 25.04.2025)]</w:t>
      </w:r>
    </w:p>
    <w:p w14:paraId="5C781AD8" w14:textId="77777777" w:rsidR="00A627B1" w:rsidRDefault="00A627B1" w:rsidP="00A627B1">
      <w:pPr>
        <w:pStyle w:val="a8"/>
        <w:shd w:val="clear" w:color="auto" w:fill="FFFFFF"/>
        <w:spacing w:after="0" w:line="240" w:lineRule="auto"/>
        <w:ind w:left="142"/>
        <w:jc w:val="both"/>
        <w:rPr>
          <w:rFonts w:ascii="Times New Roman" w:eastAsia="Calibri" w:hAnsi="Times New Roman" w:cs="Times New Roman"/>
          <w:sz w:val="21"/>
          <w:szCs w:val="21"/>
          <w:lang w:val="x-none" w:eastAsia="ar-SA"/>
        </w:rPr>
      </w:pPr>
    </w:p>
    <w:p w14:paraId="60BB37AC" w14:textId="77777777" w:rsidR="00A627B1" w:rsidRPr="00A627B1" w:rsidRDefault="00A627B1" w:rsidP="00A627B1">
      <w:pPr>
        <w:pStyle w:val="a8"/>
        <w:shd w:val="clear" w:color="auto" w:fill="FFFFFF"/>
        <w:spacing w:after="0" w:line="240" w:lineRule="auto"/>
        <w:ind w:left="142"/>
        <w:jc w:val="both"/>
        <w:rPr>
          <w:rFonts w:ascii="Times New Roman" w:eastAsia="Calibri" w:hAnsi="Times New Roman" w:cs="Times New Roman"/>
          <w:sz w:val="21"/>
          <w:szCs w:val="21"/>
          <w:lang w:val="x-none" w:eastAsia="ar-SA"/>
        </w:rPr>
      </w:pPr>
    </w:p>
    <w:p w14:paraId="38553A29" w14:textId="77777777" w:rsidR="0079564B" w:rsidRPr="0079564B" w:rsidRDefault="0079564B" w:rsidP="0079564B">
      <w:pPr>
        <w:suppressAutoHyphens/>
        <w:spacing w:after="0" w:line="240" w:lineRule="auto"/>
        <w:rPr>
          <w:rFonts w:ascii="Times New Roman" w:eastAsia="Times New Roman" w:hAnsi="Times New Roman" w:cs="Times New Roman"/>
          <w:b/>
          <w:bCs/>
          <w:color w:val="000000"/>
          <w:sz w:val="21"/>
          <w:szCs w:val="21"/>
        </w:rPr>
      </w:pPr>
      <w:r w:rsidRPr="0079564B">
        <w:rPr>
          <w:rFonts w:ascii="Times New Roman" w:eastAsia="Times New Roman" w:hAnsi="Times New Roman" w:cs="Times New Roman"/>
          <w:b/>
          <w:bCs/>
          <w:color w:val="000000"/>
          <w:sz w:val="21"/>
          <w:szCs w:val="21"/>
        </w:rPr>
        <w:t>УДК 336.7</w:t>
      </w:r>
    </w:p>
    <w:p w14:paraId="38A504AC" w14:textId="73FA8D64"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Times New Roman" w:eastAsia="Times New Roman" w:hAnsi="Times New Roman" w:cs="Times New Roman"/>
          <w:b/>
          <w:bCs/>
          <w:i/>
          <w:iCs/>
          <w:color w:val="000000"/>
          <w:sz w:val="21"/>
          <w:szCs w:val="21"/>
        </w:rPr>
        <w:t>Слепцов А.А</w:t>
      </w:r>
      <w:r w:rsidRPr="0079564B">
        <w:rPr>
          <w:rFonts w:ascii="Liberation Serif" w:eastAsia="NSimSun" w:hAnsi="Liberation Serif" w:cs="Arial"/>
          <w:b/>
          <w:bCs/>
          <w:i/>
          <w:iCs/>
          <w:kern w:val="2"/>
          <w:sz w:val="21"/>
          <w:szCs w:val="21"/>
          <w:lang w:eastAsia="zh-CN" w:bidi="hi-IN"/>
        </w:rPr>
        <w:t>.</w:t>
      </w:r>
      <w:r w:rsidRPr="0079564B">
        <w:rPr>
          <w:rFonts w:ascii="Liberation Serif" w:eastAsia="NSimSun" w:hAnsi="Liberation Serif" w:cs="Arial"/>
          <w:i/>
          <w:iCs/>
          <w:kern w:val="2"/>
          <w:sz w:val="21"/>
          <w:szCs w:val="21"/>
          <w:lang w:eastAsia="zh-CN" w:bidi="hi-IN"/>
        </w:rPr>
        <w:t>,</w:t>
      </w:r>
    </w:p>
    <w:p w14:paraId="2DB102CB"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студент 2 курса</w:t>
      </w:r>
    </w:p>
    <w:p w14:paraId="46A40D27" w14:textId="77777777" w:rsidR="00D96D62" w:rsidRDefault="00D96D62" w:rsidP="00D96D62">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E6EFEA0"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г. Краснодар, Россия</w:t>
      </w:r>
    </w:p>
    <w:p w14:paraId="332B29DA"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е-</w:t>
      </w:r>
      <w:r w:rsidRPr="0079564B">
        <w:rPr>
          <w:rFonts w:ascii="Liberation Serif" w:eastAsia="NSimSun" w:hAnsi="Liberation Serif" w:cs="Arial"/>
          <w:i/>
          <w:iCs/>
          <w:kern w:val="2"/>
          <w:sz w:val="21"/>
          <w:szCs w:val="21"/>
          <w:lang w:val="en-US" w:eastAsia="zh-CN" w:bidi="hi-IN"/>
        </w:rPr>
        <w:t>mail</w:t>
      </w:r>
      <w:r w:rsidRPr="0079564B">
        <w:rPr>
          <w:rFonts w:ascii="Liberation Serif" w:eastAsia="NSimSun" w:hAnsi="Liberation Serif" w:cs="Arial"/>
          <w:i/>
          <w:iCs/>
          <w:kern w:val="2"/>
          <w:sz w:val="21"/>
          <w:szCs w:val="21"/>
          <w:lang w:eastAsia="zh-CN" w:bidi="hi-IN"/>
        </w:rPr>
        <w:t xml:space="preserve">: </w:t>
      </w:r>
      <w:hyperlink r:id="rId520">
        <w:r w:rsidRPr="0079564B">
          <w:rPr>
            <w:rFonts w:ascii="Times New Roman" w:eastAsia="Times New Roman" w:hAnsi="Times New Roman" w:cs="Times New Roman"/>
            <w:color w:val="467886"/>
            <w:sz w:val="21"/>
            <w:szCs w:val="21"/>
            <w:u w:val="single"/>
            <w:lang w:val="en-US"/>
          </w:rPr>
          <w:t>andru</w:t>
        </w:r>
        <w:r w:rsidRPr="0079564B">
          <w:rPr>
            <w:rFonts w:ascii="Times New Roman" w:eastAsia="Times New Roman" w:hAnsi="Times New Roman" w:cs="Times New Roman"/>
            <w:color w:val="467886"/>
            <w:sz w:val="21"/>
            <w:szCs w:val="21"/>
            <w:u w:val="single"/>
          </w:rPr>
          <w:t>.</w:t>
        </w:r>
        <w:r w:rsidRPr="0079564B">
          <w:rPr>
            <w:rFonts w:ascii="Times New Roman" w:eastAsia="Times New Roman" w:hAnsi="Times New Roman" w:cs="Times New Roman"/>
            <w:color w:val="467886"/>
            <w:sz w:val="21"/>
            <w:szCs w:val="21"/>
            <w:u w:val="single"/>
            <w:lang w:val="en-US"/>
          </w:rPr>
          <w:t>snowman</w:t>
        </w:r>
        <w:r w:rsidRPr="0079564B">
          <w:rPr>
            <w:rFonts w:ascii="Times New Roman" w:eastAsia="Times New Roman" w:hAnsi="Times New Roman" w:cs="Times New Roman"/>
            <w:color w:val="467886"/>
            <w:sz w:val="21"/>
            <w:szCs w:val="21"/>
            <w:u w:val="single"/>
          </w:rPr>
          <w:t>@</w:t>
        </w:r>
        <w:r w:rsidRPr="0079564B">
          <w:rPr>
            <w:rFonts w:ascii="Times New Roman" w:eastAsia="Times New Roman" w:hAnsi="Times New Roman" w:cs="Times New Roman"/>
            <w:color w:val="467886"/>
            <w:sz w:val="21"/>
            <w:szCs w:val="21"/>
            <w:u w:val="single"/>
            <w:lang w:val="en-US"/>
          </w:rPr>
          <w:t>mail</w:t>
        </w:r>
        <w:r w:rsidRPr="0079564B">
          <w:rPr>
            <w:rFonts w:ascii="Times New Roman" w:eastAsia="Times New Roman" w:hAnsi="Times New Roman" w:cs="Times New Roman"/>
            <w:color w:val="467886"/>
            <w:sz w:val="21"/>
            <w:szCs w:val="21"/>
            <w:u w:val="single"/>
          </w:rPr>
          <w:t>.</w:t>
        </w:r>
        <w:r w:rsidRPr="0079564B">
          <w:rPr>
            <w:rFonts w:ascii="Times New Roman" w:eastAsia="Times New Roman" w:hAnsi="Times New Roman" w:cs="Times New Roman"/>
            <w:color w:val="467886"/>
            <w:sz w:val="21"/>
            <w:szCs w:val="21"/>
            <w:u w:val="single"/>
            <w:lang w:val="en-US"/>
          </w:rPr>
          <w:t>ru</w:t>
        </w:r>
      </w:hyperlink>
      <w:r w:rsidRPr="0079564B">
        <w:rPr>
          <w:rFonts w:ascii="Times New Roman" w:eastAsia="Times New Roman" w:hAnsi="Times New Roman" w:cs="Times New Roman"/>
          <w:color w:val="000000"/>
          <w:sz w:val="21"/>
          <w:szCs w:val="21"/>
        </w:rPr>
        <w:t xml:space="preserve"> </w:t>
      </w:r>
    </w:p>
    <w:p w14:paraId="19F14F10" w14:textId="77777777" w:rsidR="0079564B" w:rsidRPr="0079564B" w:rsidRDefault="0079564B" w:rsidP="0079564B">
      <w:pPr>
        <w:suppressAutoHyphens/>
        <w:spacing w:after="0" w:line="240" w:lineRule="auto"/>
        <w:jc w:val="right"/>
        <w:rPr>
          <w:rFonts w:ascii="Liberation Serif" w:eastAsia="NSimSun" w:hAnsi="Liberation Serif" w:cs="Arial" w:hint="eastAsia"/>
          <w:i/>
          <w:iCs/>
          <w:kern w:val="2"/>
          <w:sz w:val="21"/>
          <w:szCs w:val="21"/>
          <w:lang w:eastAsia="zh-CN" w:bidi="hi-IN"/>
        </w:rPr>
      </w:pPr>
    </w:p>
    <w:p w14:paraId="5972DB7F" w14:textId="77777777" w:rsidR="0079564B" w:rsidRPr="0079564B" w:rsidRDefault="0079564B" w:rsidP="0079564B">
      <w:pPr>
        <w:suppressAutoHyphens/>
        <w:spacing w:after="0" w:line="240" w:lineRule="auto"/>
        <w:jc w:val="right"/>
        <w:rPr>
          <w:rFonts w:ascii="Liberation Serif" w:eastAsia="NSimSun" w:hAnsi="Liberation Serif" w:cs="Arial" w:hint="eastAsia"/>
          <w:b/>
          <w:bCs/>
          <w:kern w:val="2"/>
          <w:sz w:val="24"/>
          <w:szCs w:val="24"/>
          <w:lang w:eastAsia="zh-CN" w:bidi="hi-IN"/>
        </w:rPr>
      </w:pPr>
      <w:r w:rsidRPr="0079564B">
        <w:rPr>
          <w:rFonts w:ascii="Liberation Serif" w:eastAsia="NSimSun" w:hAnsi="Liberation Serif" w:cs="Arial"/>
          <w:b/>
          <w:bCs/>
          <w:i/>
          <w:iCs/>
          <w:kern w:val="2"/>
          <w:sz w:val="21"/>
          <w:szCs w:val="21"/>
          <w:lang w:eastAsia="zh-CN" w:bidi="hi-IN"/>
        </w:rPr>
        <w:t>Научный руководитель:</w:t>
      </w:r>
    </w:p>
    <w:p w14:paraId="265B8A4E"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b/>
          <w:bCs/>
          <w:i/>
          <w:iCs/>
          <w:kern w:val="2"/>
          <w:sz w:val="21"/>
          <w:szCs w:val="21"/>
          <w:lang w:eastAsia="zh-CN" w:bidi="hi-IN"/>
        </w:rPr>
        <w:t>Нарыжная Н.Ю.</w:t>
      </w:r>
      <w:r w:rsidRPr="0079564B">
        <w:rPr>
          <w:rFonts w:ascii="Liberation Serif" w:eastAsia="NSimSun" w:hAnsi="Liberation Serif" w:cs="Arial"/>
          <w:i/>
          <w:iCs/>
          <w:kern w:val="2"/>
          <w:sz w:val="21"/>
          <w:szCs w:val="21"/>
          <w:lang w:eastAsia="zh-CN" w:bidi="hi-IN"/>
        </w:rPr>
        <w:t>,</w:t>
      </w:r>
    </w:p>
    <w:p w14:paraId="20D58CC8"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доцент, к.т.н.</w:t>
      </w:r>
    </w:p>
    <w:p w14:paraId="6538EF3D" w14:textId="77777777" w:rsidR="000A7E77" w:rsidRDefault="000A7E77" w:rsidP="000A7E77">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709A505"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г. Краснодар, Россия</w:t>
      </w:r>
    </w:p>
    <w:p w14:paraId="080C7B86" w14:textId="77777777" w:rsidR="0079564B" w:rsidRPr="0079564B" w:rsidRDefault="0079564B" w:rsidP="0079564B">
      <w:pPr>
        <w:suppressAutoHyphens/>
        <w:spacing w:after="0" w:line="240" w:lineRule="auto"/>
        <w:jc w:val="right"/>
        <w:rPr>
          <w:rFonts w:ascii="Liberation Serif" w:eastAsia="NSimSun" w:hAnsi="Liberation Serif" w:cs="Arial" w:hint="eastAsia"/>
          <w:kern w:val="2"/>
          <w:sz w:val="24"/>
          <w:szCs w:val="24"/>
          <w:lang w:eastAsia="zh-CN" w:bidi="hi-IN"/>
        </w:rPr>
      </w:pPr>
      <w:r w:rsidRPr="0079564B">
        <w:rPr>
          <w:rFonts w:ascii="Liberation Serif" w:eastAsia="NSimSun" w:hAnsi="Liberation Serif" w:cs="Arial"/>
          <w:i/>
          <w:iCs/>
          <w:kern w:val="2"/>
          <w:sz w:val="21"/>
          <w:szCs w:val="21"/>
          <w:lang w:eastAsia="zh-CN" w:bidi="hi-IN"/>
        </w:rPr>
        <w:t>е-</w:t>
      </w:r>
      <w:r w:rsidRPr="0079564B">
        <w:rPr>
          <w:rFonts w:ascii="Liberation Serif" w:eastAsia="NSimSun" w:hAnsi="Liberation Serif" w:cs="Arial"/>
          <w:i/>
          <w:iCs/>
          <w:kern w:val="2"/>
          <w:sz w:val="21"/>
          <w:szCs w:val="21"/>
          <w:lang w:val="en-US" w:eastAsia="zh-CN" w:bidi="hi-IN"/>
        </w:rPr>
        <w:t>mail</w:t>
      </w:r>
      <w:r w:rsidRPr="0079564B">
        <w:rPr>
          <w:rFonts w:ascii="Liberation Serif" w:eastAsia="NSimSun" w:hAnsi="Liberation Serif" w:cs="Arial"/>
          <w:i/>
          <w:iCs/>
          <w:kern w:val="2"/>
          <w:sz w:val="21"/>
          <w:szCs w:val="21"/>
          <w:lang w:eastAsia="zh-CN" w:bidi="hi-IN"/>
        </w:rPr>
        <w:t xml:space="preserve">: </w:t>
      </w:r>
      <w:hyperlink r:id="rId521">
        <w:r w:rsidRPr="0079564B">
          <w:rPr>
            <w:rFonts w:ascii="Liberation Serif" w:eastAsia="NSimSun" w:hAnsi="Liberation Serif" w:cs="Arial"/>
            <w:i/>
            <w:iCs/>
            <w:color w:val="467886"/>
            <w:kern w:val="2"/>
            <w:sz w:val="21"/>
            <w:szCs w:val="21"/>
            <w:u w:val="single"/>
            <w:lang w:val="en-US" w:eastAsia="zh-CN" w:bidi="hi-IN"/>
          </w:rPr>
          <w:t>NYUNaryzhnaya</w:t>
        </w:r>
        <w:r w:rsidRPr="0079564B">
          <w:rPr>
            <w:rFonts w:ascii="Liberation Serif" w:eastAsia="NSimSun" w:hAnsi="Liberation Serif" w:cs="Arial"/>
            <w:i/>
            <w:iCs/>
            <w:color w:val="467886"/>
            <w:kern w:val="2"/>
            <w:sz w:val="21"/>
            <w:szCs w:val="21"/>
            <w:u w:val="single"/>
            <w:lang w:eastAsia="zh-CN" w:bidi="hi-IN"/>
          </w:rPr>
          <w:t>@</w:t>
        </w:r>
        <w:r w:rsidRPr="0079564B">
          <w:rPr>
            <w:rFonts w:ascii="Liberation Serif" w:eastAsia="NSimSun" w:hAnsi="Liberation Serif" w:cs="Arial"/>
            <w:i/>
            <w:iCs/>
            <w:color w:val="467886"/>
            <w:kern w:val="2"/>
            <w:sz w:val="21"/>
            <w:szCs w:val="21"/>
            <w:u w:val="single"/>
            <w:lang w:val="en-US" w:eastAsia="zh-CN" w:bidi="hi-IN"/>
          </w:rPr>
          <w:t>fa</w:t>
        </w:r>
        <w:r w:rsidRPr="0079564B">
          <w:rPr>
            <w:rFonts w:ascii="Liberation Serif" w:eastAsia="NSimSun" w:hAnsi="Liberation Serif" w:cs="Arial"/>
            <w:i/>
            <w:iCs/>
            <w:color w:val="467886"/>
            <w:kern w:val="2"/>
            <w:sz w:val="21"/>
            <w:szCs w:val="21"/>
            <w:u w:val="single"/>
            <w:lang w:eastAsia="zh-CN" w:bidi="hi-IN"/>
          </w:rPr>
          <w:t>.</w:t>
        </w:r>
        <w:r w:rsidRPr="0079564B">
          <w:rPr>
            <w:rFonts w:ascii="Liberation Serif" w:eastAsia="NSimSun" w:hAnsi="Liberation Serif" w:cs="Arial"/>
            <w:i/>
            <w:iCs/>
            <w:color w:val="467886"/>
            <w:kern w:val="2"/>
            <w:sz w:val="21"/>
            <w:szCs w:val="21"/>
            <w:u w:val="single"/>
            <w:lang w:val="en-US" w:eastAsia="zh-CN" w:bidi="hi-IN"/>
          </w:rPr>
          <w:t>ru</w:t>
        </w:r>
      </w:hyperlink>
      <w:r w:rsidRPr="0079564B">
        <w:rPr>
          <w:rFonts w:ascii="Liberation Serif" w:eastAsia="NSimSun" w:hAnsi="Liberation Serif" w:cs="Arial"/>
          <w:i/>
          <w:iCs/>
          <w:kern w:val="2"/>
          <w:sz w:val="21"/>
          <w:szCs w:val="21"/>
          <w:lang w:eastAsia="zh-CN" w:bidi="hi-IN"/>
        </w:rPr>
        <w:t xml:space="preserve"> </w:t>
      </w:r>
    </w:p>
    <w:p w14:paraId="61EB7AD3" w14:textId="77777777" w:rsidR="0079564B" w:rsidRPr="0079564B" w:rsidRDefault="0079564B" w:rsidP="0079564B">
      <w:pPr>
        <w:suppressAutoHyphens/>
        <w:spacing w:after="0" w:line="240" w:lineRule="auto"/>
        <w:rPr>
          <w:rFonts w:ascii="Times New Roman" w:eastAsia="Times New Roman" w:hAnsi="Times New Roman" w:cs="Times New Roman"/>
          <w:b/>
          <w:bCs/>
          <w:color w:val="000000"/>
          <w:sz w:val="21"/>
          <w:szCs w:val="21"/>
        </w:rPr>
      </w:pPr>
    </w:p>
    <w:p w14:paraId="21D3E4DE" w14:textId="77777777" w:rsidR="0079564B" w:rsidRPr="0079564B" w:rsidRDefault="0079564B" w:rsidP="0079564B">
      <w:pPr>
        <w:suppressAutoHyphens/>
        <w:spacing w:after="0" w:line="240" w:lineRule="auto"/>
        <w:ind w:right="-1"/>
        <w:contextualSpacing/>
        <w:jc w:val="center"/>
        <w:rPr>
          <w:rFonts w:ascii="Times New Roman" w:eastAsia="Aptos" w:hAnsi="Times New Roman" w:cs="Times New Roman"/>
          <w:b/>
          <w:bCs/>
          <w:sz w:val="21"/>
          <w:szCs w:val="21"/>
        </w:rPr>
      </w:pPr>
      <w:r w:rsidRPr="0079564B">
        <w:rPr>
          <w:rFonts w:ascii="Times New Roman" w:eastAsia="Aptos" w:hAnsi="Times New Roman" w:cs="Times New Roman"/>
          <w:b/>
          <w:bCs/>
          <w:sz w:val="21"/>
          <w:szCs w:val="21"/>
        </w:rPr>
        <w:t>Блокчейн-аналитика – новые возможности бизнес-аналитики или модный тренд?</w:t>
      </w:r>
    </w:p>
    <w:p w14:paraId="58FFE7EC" w14:textId="77777777" w:rsidR="0079564B" w:rsidRPr="0079564B" w:rsidRDefault="0079564B" w:rsidP="0079564B">
      <w:pPr>
        <w:suppressAutoHyphens/>
        <w:spacing w:after="0" w:line="240" w:lineRule="auto"/>
        <w:rPr>
          <w:rFonts w:ascii="Times New Roman" w:eastAsia="Times New Roman" w:hAnsi="Times New Roman" w:cs="Times New Roman"/>
          <w:color w:val="000000"/>
          <w:sz w:val="21"/>
          <w:szCs w:val="21"/>
        </w:rPr>
      </w:pPr>
    </w:p>
    <w:p w14:paraId="6C712951" w14:textId="77777777" w:rsidR="0079564B" w:rsidRPr="0079564B" w:rsidRDefault="0079564B" w:rsidP="0079564B">
      <w:pPr>
        <w:suppressAutoHyphens/>
        <w:spacing w:after="0" w:line="240" w:lineRule="auto"/>
        <w:ind w:firstLine="567"/>
        <w:jc w:val="both"/>
        <w:rPr>
          <w:rFonts w:ascii="Times New Roman" w:eastAsia="Times New Roman" w:hAnsi="Times New Roman" w:cs="Times New Roman"/>
          <w:color w:val="000000"/>
          <w:sz w:val="21"/>
          <w:szCs w:val="21"/>
        </w:rPr>
      </w:pPr>
      <w:r w:rsidRPr="0079564B">
        <w:rPr>
          <w:rFonts w:ascii="Times New Roman" w:eastAsia="Times New Roman" w:hAnsi="Times New Roman" w:cs="Times New Roman"/>
          <w:b/>
          <w:bCs/>
          <w:color w:val="000000"/>
          <w:sz w:val="21"/>
          <w:szCs w:val="21"/>
        </w:rPr>
        <w:t xml:space="preserve">Аннотация: </w:t>
      </w:r>
      <w:r w:rsidRPr="0079564B">
        <w:rPr>
          <w:rFonts w:ascii="Times New Roman" w:eastAsia="Times New Roman" w:hAnsi="Times New Roman" w:cs="Times New Roman"/>
          <w:color w:val="000000"/>
          <w:sz w:val="21"/>
          <w:szCs w:val="21"/>
        </w:rPr>
        <w:t>В данной статье рассматривается ключевое значение блокчейн-технологий</w:t>
      </w:r>
      <w:r w:rsidRPr="0079564B">
        <w:rPr>
          <w:rFonts w:ascii="Times New Roman" w:eastAsia="Times New Roman" w:hAnsi="Times New Roman" w:cs="Times New Roman"/>
          <w:b/>
          <w:bCs/>
          <w:color w:val="000000"/>
          <w:sz w:val="21"/>
          <w:szCs w:val="21"/>
        </w:rPr>
        <w:t xml:space="preserve"> </w:t>
      </w:r>
      <w:r w:rsidRPr="0079564B">
        <w:rPr>
          <w:rFonts w:ascii="Times New Roman" w:eastAsia="Times New Roman" w:hAnsi="Times New Roman" w:cs="Times New Roman"/>
          <w:color w:val="000000"/>
          <w:sz w:val="21"/>
          <w:szCs w:val="21"/>
        </w:rPr>
        <w:t>в блокчейн-аналитике. Производится анализ информационных систем по управлению данными, их взаимодействию с блокчейн-технологиями. Целью исследования является осмысление роли блокчейн-технологий</w:t>
      </w:r>
      <w:r w:rsidRPr="0079564B">
        <w:rPr>
          <w:rFonts w:ascii="Times New Roman" w:eastAsia="Times New Roman" w:hAnsi="Times New Roman" w:cs="Times New Roman"/>
          <w:b/>
          <w:bCs/>
          <w:color w:val="000000"/>
          <w:sz w:val="21"/>
          <w:szCs w:val="21"/>
        </w:rPr>
        <w:t xml:space="preserve"> </w:t>
      </w:r>
      <w:r w:rsidRPr="0079564B">
        <w:rPr>
          <w:rFonts w:ascii="Times New Roman" w:eastAsia="Times New Roman" w:hAnsi="Times New Roman" w:cs="Times New Roman"/>
          <w:color w:val="000000"/>
          <w:sz w:val="21"/>
          <w:szCs w:val="21"/>
        </w:rPr>
        <w:t>в современных информационных системах по управлению данными. В выводе рассматриваются целесообразность и перспективность</w:t>
      </w:r>
      <w:r w:rsidRPr="0079564B">
        <w:rPr>
          <w:rFonts w:ascii="Times New Roman" w:eastAsia="Times New Roman" w:hAnsi="Times New Roman" w:cs="Times New Roman"/>
          <w:b/>
          <w:bCs/>
          <w:color w:val="000000"/>
          <w:sz w:val="21"/>
          <w:szCs w:val="21"/>
        </w:rPr>
        <w:t xml:space="preserve"> </w:t>
      </w:r>
      <w:r w:rsidRPr="0079564B">
        <w:rPr>
          <w:rFonts w:ascii="Times New Roman" w:eastAsia="Times New Roman" w:hAnsi="Times New Roman" w:cs="Times New Roman"/>
          <w:color w:val="000000"/>
          <w:sz w:val="21"/>
          <w:szCs w:val="21"/>
        </w:rPr>
        <w:t>блокчейн-технологий для бизнес-аналитики.</w:t>
      </w:r>
    </w:p>
    <w:p w14:paraId="709D7373" w14:textId="77777777" w:rsidR="0079564B" w:rsidRDefault="0079564B" w:rsidP="0079564B">
      <w:pPr>
        <w:suppressAutoHyphens/>
        <w:spacing w:after="0" w:line="240" w:lineRule="auto"/>
        <w:ind w:firstLine="567"/>
        <w:jc w:val="both"/>
        <w:rPr>
          <w:rFonts w:ascii="Times New Roman" w:eastAsia="Times New Roman" w:hAnsi="Times New Roman" w:cs="Times New Roman"/>
          <w:color w:val="000000"/>
          <w:sz w:val="21"/>
          <w:szCs w:val="21"/>
        </w:rPr>
      </w:pPr>
      <w:r w:rsidRPr="0079564B">
        <w:rPr>
          <w:rFonts w:ascii="Times New Roman" w:eastAsia="Times New Roman" w:hAnsi="Times New Roman" w:cs="Times New Roman"/>
          <w:b/>
          <w:bCs/>
          <w:color w:val="000000"/>
          <w:sz w:val="21"/>
          <w:szCs w:val="21"/>
        </w:rPr>
        <w:t xml:space="preserve">Ключевые слова: </w:t>
      </w:r>
      <w:r w:rsidRPr="0079564B">
        <w:rPr>
          <w:rFonts w:ascii="Times New Roman" w:eastAsia="Times New Roman" w:hAnsi="Times New Roman" w:cs="Times New Roman"/>
          <w:color w:val="000000"/>
          <w:sz w:val="21"/>
          <w:szCs w:val="21"/>
        </w:rPr>
        <w:t>аналитика блокчейна, блокчейн-аналитика, кластеризация данных.</w:t>
      </w:r>
    </w:p>
    <w:p w14:paraId="020E2633" w14:textId="77777777" w:rsidR="000A7E77" w:rsidRPr="0079564B" w:rsidRDefault="000A7E77" w:rsidP="0079564B">
      <w:pPr>
        <w:suppressAutoHyphens/>
        <w:spacing w:after="0" w:line="240" w:lineRule="auto"/>
        <w:ind w:firstLine="567"/>
        <w:jc w:val="both"/>
        <w:rPr>
          <w:rFonts w:ascii="Times New Roman" w:eastAsia="Times New Roman" w:hAnsi="Times New Roman" w:cs="Times New Roman"/>
          <w:color w:val="000000"/>
          <w:sz w:val="21"/>
          <w:szCs w:val="21"/>
        </w:rPr>
      </w:pPr>
    </w:p>
    <w:p w14:paraId="6362F2B8" w14:textId="77777777" w:rsidR="0079564B" w:rsidRPr="0079564B" w:rsidRDefault="0079564B" w:rsidP="0079564B">
      <w:pPr>
        <w:suppressAutoHyphens/>
        <w:spacing w:after="0" w:line="240" w:lineRule="auto"/>
        <w:ind w:firstLine="567"/>
        <w:jc w:val="right"/>
        <w:rPr>
          <w:rFonts w:ascii="Times New Roman" w:eastAsia="Times New Roman" w:hAnsi="Times New Roman" w:cs="Times New Roman"/>
          <w:color w:val="000000"/>
          <w:sz w:val="21"/>
          <w:szCs w:val="21"/>
          <w:lang w:val="en-US"/>
        </w:rPr>
      </w:pPr>
      <w:r w:rsidRPr="0079564B">
        <w:rPr>
          <w:rFonts w:ascii="Times New Roman" w:eastAsia="Times New Roman" w:hAnsi="Times New Roman" w:cs="Times New Roman"/>
          <w:b/>
          <w:bCs/>
          <w:i/>
          <w:iCs/>
          <w:color w:val="000000"/>
          <w:sz w:val="21"/>
          <w:szCs w:val="21"/>
          <w:lang w:val="en-US"/>
        </w:rPr>
        <w:t>Sleptsov A.A.,</w:t>
      </w:r>
    </w:p>
    <w:p w14:paraId="66066511" w14:textId="77777777" w:rsidR="0079564B" w:rsidRPr="0079564B" w:rsidRDefault="0079564B" w:rsidP="0079564B">
      <w:pPr>
        <w:tabs>
          <w:tab w:val="left" w:pos="316"/>
        </w:tabs>
        <w:suppressAutoHyphens/>
        <w:spacing w:after="0" w:line="240" w:lineRule="auto"/>
        <w:ind w:firstLine="709"/>
        <w:jc w:val="right"/>
        <w:rPr>
          <w:rFonts w:ascii="Times New Roman" w:eastAsia="NSimSun" w:hAnsi="Times New Roman" w:cs="Times New Roman"/>
          <w:b/>
          <w:bCs/>
          <w:kern w:val="2"/>
          <w:sz w:val="24"/>
          <w:szCs w:val="24"/>
          <w:lang w:val="en-US" w:eastAsia="zh-CN" w:bidi="hi-IN"/>
        </w:rPr>
      </w:pPr>
      <w:r w:rsidRPr="0079564B">
        <w:rPr>
          <w:rFonts w:ascii="Times New Roman" w:eastAsia="NSimSun" w:hAnsi="Times New Roman" w:cs="Times New Roman"/>
          <w:i/>
          <w:iCs/>
          <w:kern w:val="2"/>
          <w:sz w:val="21"/>
          <w:szCs w:val="21"/>
          <w:lang w:val="en-US" w:eastAsia="zh-CN" w:bidi="hi-IN"/>
        </w:rPr>
        <w:t>2nd year student,</w:t>
      </w:r>
    </w:p>
    <w:p w14:paraId="1E60306B" w14:textId="77777777" w:rsidR="0079564B" w:rsidRPr="0079564B" w:rsidRDefault="0079564B" w:rsidP="0079564B">
      <w:pPr>
        <w:tabs>
          <w:tab w:val="left" w:pos="316"/>
        </w:tabs>
        <w:suppressAutoHyphens/>
        <w:spacing w:after="0" w:line="240" w:lineRule="auto"/>
        <w:ind w:firstLine="709"/>
        <w:jc w:val="right"/>
        <w:rPr>
          <w:rFonts w:ascii="Times New Roman" w:eastAsia="NSimSun" w:hAnsi="Times New Roman" w:cs="Times New Roman"/>
          <w:b/>
          <w:bCs/>
          <w:kern w:val="2"/>
          <w:sz w:val="24"/>
          <w:szCs w:val="24"/>
          <w:lang w:val="en-US" w:eastAsia="zh-CN" w:bidi="hi-IN"/>
        </w:rPr>
      </w:pPr>
      <w:r w:rsidRPr="0079564B">
        <w:rPr>
          <w:rFonts w:ascii="Times New Roman" w:eastAsia="NSimSun" w:hAnsi="Times New Roman" w:cs="Times New Roman"/>
          <w:i/>
          <w:iCs/>
          <w:kern w:val="2"/>
          <w:sz w:val="21"/>
          <w:szCs w:val="21"/>
          <w:lang w:val="en-US" w:eastAsia="zh-CN" w:bidi="hi-IN"/>
        </w:rPr>
        <w:t>Financial University under the Government of the Russian Federation</w:t>
      </w:r>
    </w:p>
    <w:p w14:paraId="6B2E3A48" w14:textId="77777777" w:rsidR="0079564B" w:rsidRPr="0079564B" w:rsidRDefault="0079564B" w:rsidP="0079564B">
      <w:pPr>
        <w:tabs>
          <w:tab w:val="left" w:pos="316"/>
        </w:tabs>
        <w:suppressAutoHyphens/>
        <w:spacing w:after="0" w:line="240" w:lineRule="auto"/>
        <w:ind w:firstLine="709"/>
        <w:jc w:val="right"/>
        <w:rPr>
          <w:rFonts w:ascii="Times New Roman" w:eastAsia="NSimSun" w:hAnsi="Times New Roman" w:cs="Times New Roman"/>
          <w:b/>
          <w:bCs/>
          <w:kern w:val="2"/>
          <w:sz w:val="24"/>
          <w:szCs w:val="24"/>
          <w:lang w:val="en-US" w:eastAsia="zh-CN" w:bidi="hi-IN"/>
        </w:rPr>
      </w:pPr>
      <w:r w:rsidRPr="0079564B">
        <w:rPr>
          <w:rFonts w:ascii="Times New Roman" w:eastAsia="NSimSun" w:hAnsi="Times New Roman" w:cs="Times New Roman"/>
          <w:i/>
          <w:iCs/>
          <w:kern w:val="2"/>
          <w:sz w:val="21"/>
          <w:szCs w:val="21"/>
          <w:lang w:val="en-US" w:eastAsia="zh-CN" w:bidi="hi-IN"/>
        </w:rPr>
        <w:t>Krasnodar, Russia</w:t>
      </w:r>
    </w:p>
    <w:p w14:paraId="677ECBF2" w14:textId="77777777" w:rsidR="0079564B" w:rsidRPr="0079564B" w:rsidRDefault="0079564B" w:rsidP="0079564B">
      <w:pPr>
        <w:tabs>
          <w:tab w:val="left" w:pos="316"/>
        </w:tabs>
        <w:suppressAutoHyphens/>
        <w:spacing w:after="0" w:line="240" w:lineRule="auto"/>
        <w:ind w:firstLine="709"/>
        <w:jc w:val="right"/>
        <w:rPr>
          <w:rFonts w:ascii="Times New Roman" w:eastAsia="NSimSun" w:hAnsi="Times New Roman" w:cs="Times New Roman"/>
          <w:b/>
          <w:bCs/>
          <w:kern w:val="2"/>
          <w:sz w:val="24"/>
          <w:szCs w:val="24"/>
          <w:lang w:val="en-US" w:eastAsia="zh-CN" w:bidi="hi-IN"/>
        </w:rPr>
      </w:pPr>
      <w:r w:rsidRPr="0079564B">
        <w:rPr>
          <w:rFonts w:ascii="Times New Roman" w:eastAsia="NSimSun" w:hAnsi="Times New Roman" w:cs="Times New Roman"/>
          <w:i/>
          <w:iCs/>
          <w:kern w:val="2"/>
          <w:sz w:val="21"/>
          <w:szCs w:val="21"/>
          <w:lang w:val="en-US" w:eastAsia="zh-CN" w:bidi="hi-IN"/>
        </w:rPr>
        <w:t xml:space="preserve">e-mail: </w:t>
      </w:r>
      <w:hyperlink r:id="rId522">
        <w:r w:rsidRPr="0079564B">
          <w:rPr>
            <w:rFonts w:ascii="Times New Roman" w:eastAsia="Times New Roman" w:hAnsi="Times New Roman" w:cs="Times New Roman"/>
            <w:color w:val="467886"/>
            <w:kern w:val="2"/>
            <w:sz w:val="21"/>
            <w:szCs w:val="21"/>
            <w:u w:val="single"/>
            <w:lang w:val="en-US" w:eastAsia="zh-CN" w:bidi="hi-IN"/>
          </w:rPr>
          <w:t>andru.snowman@mail.ru</w:t>
        </w:r>
      </w:hyperlink>
    </w:p>
    <w:p w14:paraId="0663036B" w14:textId="77777777" w:rsidR="0079564B" w:rsidRPr="0079564B" w:rsidRDefault="0079564B" w:rsidP="0079564B">
      <w:pPr>
        <w:tabs>
          <w:tab w:val="left" w:pos="316"/>
        </w:tabs>
        <w:suppressAutoHyphens/>
        <w:spacing w:after="0" w:line="240" w:lineRule="auto"/>
        <w:ind w:firstLine="709"/>
        <w:jc w:val="right"/>
        <w:rPr>
          <w:rFonts w:ascii="Times New Roman" w:eastAsia="NSimSun" w:hAnsi="Times New Roman" w:cs="Times New Roman"/>
          <w:i/>
          <w:iCs/>
          <w:kern w:val="2"/>
          <w:sz w:val="21"/>
          <w:szCs w:val="21"/>
          <w:lang w:val="en-US" w:eastAsia="zh-CN" w:bidi="hi-IN"/>
        </w:rPr>
      </w:pPr>
    </w:p>
    <w:p w14:paraId="1F86E70E" w14:textId="77777777" w:rsidR="0079564B" w:rsidRPr="0079564B" w:rsidRDefault="0079564B" w:rsidP="0079564B">
      <w:pPr>
        <w:tabs>
          <w:tab w:val="left" w:pos="316"/>
        </w:tabs>
        <w:suppressAutoHyphens/>
        <w:spacing w:after="0" w:line="240" w:lineRule="auto"/>
        <w:jc w:val="right"/>
        <w:rPr>
          <w:rFonts w:ascii="Times New Roman" w:eastAsia="NSimSun" w:hAnsi="Times New Roman" w:cs="Times New Roman"/>
          <w:kern w:val="2"/>
          <w:sz w:val="21"/>
          <w:szCs w:val="21"/>
          <w:lang w:val="en-US" w:eastAsia="zh-CN" w:bidi="hi-IN"/>
        </w:rPr>
      </w:pPr>
      <w:r w:rsidRPr="0079564B">
        <w:rPr>
          <w:rFonts w:ascii="Times New Roman" w:eastAsia="NSimSun" w:hAnsi="Times New Roman" w:cs="Times New Roman"/>
          <w:b/>
          <w:bCs/>
          <w:i/>
          <w:iCs/>
          <w:kern w:val="2"/>
          <w:sz w:val="21"/>
          <w:szCs w:val="21"/>
          <w:lang w:val="en-US" w:eastAsia="zh-CN" w:bidi="hi-IN"/>
        </w:rPr>
        <w:t>Scientific advisor:</w:t>
      </w:r>
    </w:p>
    <w:p w14:paraId="155ACCFE" w14:textId="77777777" w:rsidR="0079564B" w:rsidRPr="0079564B" w:rsidRDefault="0079564B" w:rsidP="0079564B">
      <w:pPr>
        <w:tabs>
          <w:tab w:val="left" w:pos="316"/>
        </w:tabs>
        <w:suppressAutoHyphens/>
        <w:spacing w:after="0" w:line="240" w:lineRule="auto"/>
        <w:jc w:val="right"/>
        <w:rPr>
          <w:rFonts w:ascii="Times New Roman" w:eastAsia="NSimSun" w:hAnsi="Times New Roman" w:cs="Times New Roman"/>
          <w:b/>
          <w:bCs/>
          <w:i/>
          <w:iCs/>
          <w:kern w:val="2"/>
          <w:sz w:val="21"/>
          <w:szCs w:val="21"/>
          <w:lang w:val="en-US" w:eastAsia="zh-CN" w:bidi="hi-IN"/>
        </w:rPr>
      </w:pPr>
      <w:r w:rsidRPr="0079564B">
        <w:rPr>
          <w:rFonts w:ascii="Times New Roman" w:eastAsia="NSimSun" w:hAnsi="Times New Roman" w:cs="Times New Roman"/>
          <w:b/>
          <w:bCs/>
          <w:i/>
          <w:iCs/>
          <w:kern w:val="2"/>
          <w:sz w:val="21"/>
          <w:szCs w:val="21"/>
          <w:lang w:val="en-US" w:eastAsia="zh-CN" w:bidi="hi-IN"/>
        </w:rPr>
        <w:t>Naryzhnaya N.Y.,</w:t>
      </w:r>
    </w:p>
    <w:p w14:paraId="5776FBFF" w14:textId="77777777" w:rsidR="0079564B" w:rsidRPr="0079564B" w:rsidRDefault="0079564B" w:rsidP="0079564B">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79564B">
        <w:rPr>
          <w:rFonts w:ascii="Times New Roman" w:eastAsia="NSimSun" w:hAnsi="Times New Roman" w:cs="Times New Roman"/>
          <w:i/>
          <w:iCs/>
          <w:kern w:val="2"/>
          <w:sz w:val="21"/>
          <w:szCs w:val="21"/>
          <w:lang w:val="en-US" w:eastAsia="zh-CN" w:bidi="hi-IN"/>
        </w:rPr>
        <w:t>Associate Professor, Ph.D. in Technical Sciences</w:t>
      </w:r>
    </w:p>
    <w:p w14:paraId="0AAE49AB" w14:textId="77777777" w:rsidR="0079564B" w:rsidRPr="0079564B" w:rsidRDefault="0079564B" w:rsidP="0079564B">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79564B">
        <w:rPr>
          <w:rFonts w:ascii="Times New Roman" w:eastAsia="NSimSun" w:hAnsi="Times New Roman" w:cs="Times New Roman"/>
          <w:i/>
          <w:iCs/>
          <w:kern w:val="2"/>
          <w:sz w:val="21"/>
          <w:szCs w:val="21"/>
          <w:lang w:val="en-US" w:eastAsia="zh-CN" w:bidi="hi-IN"/>
        </w:rPr>
        <w:t>Financial University under the Government of the Russian Federation</w:t>
      </w:r>
    </w:p>
    <w:p w14:paraId="5B4CEB67" w14:textId="77777777" w:rsidR="0079564B" w:rsidRPr="0079564B" w:rsidRDefault="0079564B" w:rsidP="0079564B">
      <w:pPr>
        <w:tabs>
          <w:tab w:val="left" w:pos="316"/>
        </w:tabs>
        <w:suppressAutoHyphens/>
        <w:spacing w:after="0" w:line="240" w:lineRule="auto"/>
        <w:jc w:val="right"/>
        <w:rPr>
          <w:rFonts w:ascii="Times New Roman" w:eastAsia="NSimSun" w:hAnsi="Times New Roman" w:cs="Times New Roman"/>
          <w:i/>
          <w:iCs/>
          <w:kern w:val="2"/>
          <w:sz w:val="21"/>
          <w:szCs w:val="21"/>
          <w:lang w:val="en-US" w:eastAsia="zh-CN" w:bidi="hi-IN"/>
        </w:rPr>
      </w:pPr>
      <w:r w:rsidRPr="0079564B">
        <w:rPr>
          <w:rFonts w:ascii="Times New Roman" w:eastAsia="NSimSun" w:hAnsi="Times New Roman" w:cs="Times New Roman"/>
          <w:i/>
          <w:iCs/>
          <w:kern w:val="2"/>
          <w:sz w:val="21"/>
          <w:szCs w:val="21"/>
          <w:lang w:val="en-US" w:eastAsia="zh-CN" w:bidi="hi-IN"/>
        </w:rPr>
        <w:t>Krasnodar, Russia</w:t>
      </w:r>
    </w:p>
    <w:p w14:paraId="30EFB6CB" w14:textId="77777777" w:rsidR="0079564B" w:rsidRPr="0079564B" w:rsidRDefault="0079564B" w:rsidP="0079564B">
      <w:pPr>
        <w:suppressAutoHyphens/>
        <w:spacing w:after="0" w:line="240" w:lineRule="auto"/>
        <w:ind w:firstLine="567"/>
        <w:jc w:val="right"/>
        <w:rPr>
          <w:rFonts w:ascii="Times New Roman" w:eastAsia="Aptos" w:hAnsi="Times New Roman" w:cs="Times New Roman"/>
          <w:b/>
          <w:bCs/>
          <w:i/>
          <w:iCs/>
          <w:sz w:val="21"/>
          <w:szCs w:val="21"/>
          <w:lang w:val="en-US"/>
        </w:rPr>
      </w:pPr>
      <w:r w:rsidRPr="0079564B">
        <w:rPr>
          <w:rFonts w:ascii="Times New Roman" w:eastAsia="Aptos" w:hAnsi="Times New Roman" w:cs="Times New Roman"/>
          <w:i/>
          <w:iCs/>
          <w:sz w:val="21"/>
          <w:szCs w:val="21"/>
          <w:lang w:val="en-US"/>
        </w:rPr>
        <w:t xml:space="preserve">e-mail: </w:t>
      </w:r>
      <w:hyperlink r:id="rId523">
        <w:r w:rsidRPr="0079564B">
          <w:rPr>
            <w:rFonts w:ascii="Times New Roman" w:eastAsia="Aptos" w:hAnsi="Times New Roman" w:cs="Times New Roman"/>
            <w:i/>
            <w:iCs/>
            <w:color w:val="467886"/>
            <w:sz w:val="21"/>
            <w:szCs w:val="21"/>
            <w:u w:val="single"/>
            <w:lang w:val="en-US"/>
          </w:rPr>
          <w:t>NYUNaryzhnaya@fa.ru</w:t>
        </w:r>
      </w:hyperlink>
      <w:r w:rsidRPr="0079564B">
        <w:rPr>
          <w:rFonts w:ascii="Aptos" w:eastAsia="Aptos" w:hAnsi="Aptos" w:cs="Aptos"/>
          <w:sz w:val="24"/>
          <w:szCs w:val="24"/>
          <w:lang w:val="en-US"/>
        </w:rPr>
        <w:br/>
      </w:r>
    </w:p>
    <w:p w14:paraId="7744648E" w14:textId="77777777" w:rsidR="0079564B" w:rsidRPr="0079564B" w:rsidRDefault="0079564B" w:rsidP="0079564B">
      <w:pPr>
        <w:suppressAutoHyphens/>
        <w:spacing w:after="0" w:line="240" w:lineRule="auto"/>
        <w:ind w:firstLine="567"/>
        <w:jc w:val="center"/>
        <w:rPr>
          <w:rFonts w:ascii="Times New Roman" w:eastAsia="Times New Roman" w:hAnsi="Times New Roman" w:cs="Times New Roman"/>
          <w:b/>
          <w:bCs/>
          <w:color w:val="000000"/>
          <w:sz w:val="21"/>
          <w:szCs w:val="21"/>
          <w:lang w:val="en-US"/>
        </w:rPr>
      </w:pPr>
      <w:r w:rsidRPr="0079564B">
        <w:rPr>
          <w:rFonts w:ascii="Times New Roman" w:eastAsia="Times New Roman" w:hAnsi="Times New Roman" w:cs="Times New Roman"/>
          <w:b/>
          <w:bCs/>
          <w:color w:val="000000"/>
          <w:sz w:val="21"/>
          <w:szCs w:val="21"/>
          <w:lang w:val="en-US"/>
        </w:rPr>
        <w:t xml:space="preserve">Blockchain analytics - new business intelligence capabilities or a fashion trend?  </w:t>
      </w:r>
    </w:p>
    <w:p w14:paraId="15D2A17C" w14:textId="77777777" w:rsidR="0079564B" w:rsidRPr="0079564B" w:rsidRDefault="0079564B" w:rsidP="0079564B">
      <w:pPr>
        <w:suppressAutoHyphens/>
        <w:spacing w:after="0" w:line="240" w:lineRule="auto"/>
        <w:ind w:firstLine="567"/>
        <w:jc w:val="center"/>
        <w:rPr>
          <w:rFonts w:ascii="Aptos" w:eastAsia="Aptos" w:hAnsi="Aptos" w:cs="Aptos"/>
          <w:sz w:val="24"/>
          <w:szCs w:val="24"/>
          <w:lang w:val="en-US"/>
        </w:rPr>
      </w:pPr>
    </w:p>
    <w:p w14:paraId="5FD55009" w14:textId="05AADB56" w:rsidR="0079564B" w:rsidRPr="00656AA8" w:rsidRDefault="0079564B" w:rsidP="000A7E77">
      <w:pPr>
        <w:suppressAutoHyphens/>
        <w:spacing w:after="0" w:line="240" w:lineRule="auto"/>
        <w:ind w:firstLine="567"/>
        <w:jc w:val="both"/>
        <w:rPr>
          <w:rFonts w:ascii="Times New Roman" w:eastAsia="Times New Roman" w:hAnsi="Times New Roman" w:cs="Times New Roman"/>
          <w:color w:val="000000"/>
          <w:sz w:val="21"/>
          <w:szCs w:val="21"/>
          <w:lang w:val="en-US"/>
        </w:rPr>
      </w:pPr>
      <w:r w:rsidRPr="0079564B">
        <w:rPr>
          <w:rFonts w:ascii="Times New Roman" w:eastAsia="Times New Roman" w:hAnsi="Times New Roman" w:cs="Times New Roman"/>
          <w:b/>
          <w:bCs/>
          <w:color w:val="000000"/>
          <w:sz w:val="21"/>
          <w:szCs w:val="21"/>
          <w:lang w:val="en-US"/>
        </w:rPr>
        <w:lastRenderedPageBreak/>
        <w:t xml:space="preserve">Abstract: </w:t>
      </w:r>
      <w:r w:rsidRPr="0079564B">
        <w:rPr>
          <w:rFonts w:ascii="Times New Roman" w:eastAsia="Times New Roman" w:hAnsi="Times New Roman" w:cs="Times New Roman"/>
          <w:color w:val="000000"/>
          <w:sz w:val="21"/>
          <w:szCs w:val="21"/>
          <w:lang w:val="en-US"/>
        </w:rPr>
        <w:t>This paper discusses the key importance of blockchain technologies in blockchain analytics. It analyzes data management information systems and their interaction with blockchain technologies. The purpose of the study is to conceptualize the role of blockchain technologies in modern data management information systems. The conclusion discusses the feasibility and prospects of blockchain technologies for business intelligence.</w:t>
      </w:r>
      <w:r w:rsidRPr="0079564B">
        <w:rPr>
          <w:rFonts w:ascii="Times New Roman" w:eastAsia="Times New Roman" w:hAnsi="Times New Roman" w:cs="Times New Roman"/>
          <w:b/>
          <w:bCs/>
          <w:color w:val="000000"/>
          <w:sz w:val="21"/>
          <w:szCs w:val="21"/>
          <w:lang w:val="en-US"/>
        </w:rPr>
        <w:t xml:space="preserve"> </w:t>
      </w:r>
    </w:p>
    <w:p w14:paraId="774004DB" w14:textId="53E3A40D" w:rsidR="0079564B" w:rsidRPr="0079564B" w:rsidRDefault="0079564B" w:rsidP="000A7E77">
      <w:pPr>
        <w:suppressAutoHyphens/>
        <w:spacing w:after="0" w:line="240" w:lineRule="auto"/>
        <w:ind w:firstLine="567"/>
        <w:jc w:val="both"/>
        <w:rPr>
          <w:rFonts w:ascii="Times New Roman" w:eastAsia="Times New Roman" w:hAnsi="Times New Roman" w:cs="Times New Roman"/>
          <w:b/>
          <w:bCs/>
          <w:color w:val="000000"/>
          <w:sz w:val="21"/>
          <w:szCs w:val="21"/>
          <w:lang w:val="en-US"/>
        </w:rPr>
      </w:pPr>
      <w:r w:rsidRPr="0079564B">
        <w:rPr>
          <w:rFonts w:ascii="Times New Roman" w:eastAsia="Times New Roman" w:hAnsi="Times New Roman" w:cs="Times New Roman"/>
          <w:b/>
          <w:bCs/>
          <w:color w:val="000000"/>
          <w:sz w:val="21"/>
          <w:szCs w:val="21"/>
          <w:lang w:val="en-US"/>
        </w:rPr>
        <w:t>Keywords: blockchain analytics, blockchain analytics, data clustering</w:t>
      </w:r>
      <w:r w:rsidRPr="0079564B">
        <w:rPr>
          <w:rFonts w:ascii="Times New Roman" w:eastAsia="Times New Roman" w:hAnsi="Times New Roman" w:cs="Times New Roman"/>
          <w:color w:val="000000"/>
          <w:sz w:val="21"/>
          <w:szCs w:val="21"/>
          <w:lang w:val="en-US"/>
        </w:rPr>
        <w:t>.</w:t>
      </w:r>
    </w:p>
    <w:p w14:paraId="6E073B45" w14:textId="77777777" w:rsidR="0079564B" w:rsidRPr="0079564B" w:rsidRDefault="0079564B" w:rsidP="0079564B">
      <w:pPr>
        <w:suppressAutoHyphens/>
        <w:spacing w:after="0" w:line="240" w:lineRule="auto"/>
        <w:ind w:right="-1"/>
        <w:jc w:val="both"/>
        <w:rPr>
          <w:rFonts w:ascii="Times New Roman" w:eastAsia="Times New Roman" w:hAnsi="Times New Roman" w:cs="Times New Roman"/>
          <w:lang w:val="en-US"/>
        </w:rPr>
      </w:pPr>
    </w:p>
    <w:p w14:paraId="2679ADB2"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Еще одним перспективным направлением является использование блокчейн-технологий в аналитике данных. Для такой технологии есть отдельный термин – «аналитика блокчейна» или «блокчейн-аналитика».</w:t>
      </w:r>
      <w:r w:rsidRPr="0079564B">
        <w:rPr>
          <w:rFonts w:ascii="Times New Roman" w:eastAsia="Times New Roman" w:hAnsi="Times New Roman" w:cs="Times New Roman"/>
          <w:b/>
          <w:bCs/>
          <w:sz w:val="32"/>
          <w:szCs w:val="32"/>
        </w:rPr>
        <w:t xml:space="preserve"> </w:t>
      </w:r>
      <w:hyperlink r:id="rId524">
        <w:r w:rsidRPr="0079564B">
          <w:rPr>
            <w:rFonts w:ascii="Times New Roman" w:eastAsia="Times New Roman" w:hAnsi="Times New Roman" w:cs="Times New Roman"/>
            <w:sz w:val="32"/>
            <w:szCs w:val="32"/>
          </w:rPr>
          <w:t>Аналитика блокчейна – это процесс анализа, идентификации и «кластеризации» данных в блокчейне. Аналитика блокчейна также моделирует и визуально представляет данные для определения ключевой информации о пользователях и транзакциях</w:t>
        </w:r>
      </w:hyperlink>
      <w:r w:rsidRPr="0079564B">
        <w:rPr>
          <w:rFonts w:ascii="Times New Roman" w:eastAsia="Aptos" w:hAnsi="Times New Roman" w:cs="Times New Roman"/>
          <w:sz w:val="32"/>
          <w:szCs w:val="32"/>
        </w:rPr>
        <w:t xml:space="preserve"> [1].</w:t>
      </w:r>
      <w:r w:rsidRPr="0079564B">
        <w:rPr>
          <w:rFonts w:ascii="Times New Roman" w:eastAsia="Times New Roman" w:hAnsi="Times New Roman" w:cs="Times New Roman"/>
          <w:sz w:val="32"/>
          <w:szCs w:val="32"/>
        </w:rPr>
        <w:t xml:space="preserve"> Обратимся к рассмотрению условий, времени и областей применения блокчейн-аналитики.</w:t>
      </w:r>
    </w:p>
    <w:p w14:paraId="2509413C"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 xml:space="preserve">На практике термин «блокчейн-аналитика» преимущественно ассоциируется с исследованием блокчейнов, лежащих в основе криптовалют. Однако используемые в этой области методики применимы и к другим типам распределённых реестров, включая закрытые или корпоративные системы. Такая ассоциация обусловлена тем, что на текущем этапе развития технологии блокчейн наиболее широко используется именно в контексте цифровых валют. </w:t>
      </w:r>
    </w:p>
    <w:p w14:paraId="6F185DC8"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Блокчейн-аналитика используется в различных задачах и сценариях, что позволяет выделить несколько ключевых направлений её применения:</w:t>
      </w:r>
    </w:p>
    <w:p w14:paraId="14D2AA56" w14:textId="77777777" w:rsidR="0079564B" w:rsidRPr="0079564B" w:rsidRDefault="0079564B" w:rsidP="00AD58CD">
      <w:pPr>
        <w:numPr>
          <w:ilvl w:val="2"/>
          <w:numId w:val="97"/>
        </w:numPr>
        <w:tabs>
          <w:tab w:val="left" w:pos="1140"/>
        </w:tabs>
        <w:suppressAutoHyphens/>
        <w:spacing w:after="0" w:line="240" w:lineRule="auto"/>
        <w:ind w:left="0"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Браузеры блокчейна (эксплореры) предоставляют доступ к данным из реестра через удобный визуальный интерфейс. Эти сервисы являются универсальными, то есть могут применяться в самых разных целях, однако чаще всего обладают базовой функциональностью и ограничены по дополнительной информации. Главным их преимуществом остаётся открытость и бесплатность. Среди эксплореров существуют: специализированные под конкретные блокчейны (например, «</w:t>
      </w:r>
      <w:hyperlink r:id="rId525" w:tgtFrame="_new">
        <w:r w:rsidRPr="0079564B">
          <w:rPr>
            <w:rFonts w:ascii="Times New Roman" w:eastAsia="Times New Roman" w:hAnsi="Times New Roman" w:cs="Times New Roman"/>
            <w:sz w:val="32"/>
            <w:szCs w:val="32"/>
          </w:rPr>
          <w:t>Etherscan</w:t>
        </w:r>
      </w:hyperlink>
      <w:r w:rsidRPr="0079564B">
        <w:rPr>
          <w:rFonts w:ascii="Times New Roman" w:eastAsia="Times New Roman" w:hAnsi="Times New Roman" w:cs="Times New Roman"/>
          <w:sz w:val="32"/>
          <w:szCs w:val="32"/>
        </w:rPr>
        <w:t>», «</w:t>
      </w:r>
      <w:hyperlink r:id="rId526" w:tgtFrame="_new">
        <w:r w:rsidRPr="0079564B">
          <w:rPr>
            <w:rFonts w:ascii="Times New Roman" w:eastAsia="Times New Roman" w:hAnsi="Times New Roman" w:cs="Times New Roman"/>
            <w:sz w:val="32"/>
            <w:szCs w:val="32"/>
          </w:rPr>
          <w:t>Solana Explorer</w:t>
        </w:r>
      </w:hyperlink>
      <w:r w:rsidRPr="0079564B">
        <w:rPr>
          <w:rFonts w:ascii="Times New Roman" w:eastAsia="Times New Roman" w:hAnsi="Times New Roman" w:cs="Times New Roman"/>
          <w:sz w:val="32"/>
          <w:szCs w:val="32"/>
        </w:rPr>
        <w:t>»); мультиблокчейн-платформы, охватывающие сразу несколько сетей (например, «</w:t>
      </w:r>
      <w:hyperlink r:id="rId527" w:tgtFrame="_new">
        <w:r w:rsidRPr="0079564B">
          <w:rPr>
            <w:rFonts w:ascii="Times New Roman" w:eastAsia="Times New Roman" w:hAnsi="Times New Roman" w:cs="Times New Roman"/>
            <w:sz w:val="32"/>
            <w:szCs w:val="32"/>
          </w:rPr>
          <w:t>Blockchair</w:t>
        </w:r>
      </w:hyperlink>
      <w:r w:rsidRPr="0079564B">
        <w:rPr>
          <w:rFonts w:ascii="Times New Roman" w:eastAsia="Times New Roman" w:hAnsi="Times New Roman" w:cs="Times New Roman"/>
          <w:sz w:val="32"/>
          <w:szCs w:val="32"/>
        </w:rPr>
        <w:t>», «</w:t>
      </w:r>
      <w:hyperlink r:id="rId528" w:tgtFrame="_new">
        <w:r w:rsidRPr="0079564B">
          <w:rPr>
            <w:rFonts w:ascii="Times New Roman" w:eastAsia="Times New Roman" w:hAnsi="Times New Roman" w:cs="Times New Roman"/>
            <w:sz w:val="32"/>
            <w:szCs w:val="32"/>
          </w:rPr>
          <w:t>Blockchain.com Explorer</w:t>
        </w:r>
      </w:hyperlink>
      <w:r w:rsidRPr="0079564B">
        <w:rPr>
          <w:rFonts w:ascii="Times New Roman" w:eastAsia="Times New Roman" w:hAnsi="Times New Roman" w:cs="Times New Roman"/>
          <w:sz w:val="32"/>
          <w:szCs w:val="32"/>
        </w:rPr>
        <w:t>»).</w:t>
      </w:r>
    </w:p>
    <w:p w14:paraId="70DD4F46" w14:textId="77777777" w:rsidR="0079564B" w:rsidRPr="0079564B" w:rsidRDefault="0079564B" w:rsidP="00AD58CD">
      <w:pPr>
        <w:numPr>
          <w:ilvl w:val="0"/>
          <w:numId w:val="97"/>
        </w:numPr>
        <w:tabs>
          <w:tab w:val="clear" w:pos="720"/>
          <w:tab w:val="left" w:pos="1155"/>
        </w:tabs>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Рыночная аналитика включает в себя обработку и анализ экономических данных – таких как курсы криптовалют, объёмы торгов, рыночная капитализация и прочие показатели. Некоторые сервисы предоставляют эти данные бесплатно (например, «</w:t>
      </w:r>
      <w:hyperlink r:id="rId529" w:tgtFrame="_new">
        <w:r w:rsidRPr="0079564B">
          <w:rPr>
            <w:rFonts w:ascii="Times New Roman" w:eastAsia="Times New Roman" w:hAnsi="Times New Roman" w:cs="Times New Roman"/>
            <w:sz w:val="32"/>
            <w:szCs w:val="32"/>
          </w:rPr>
          <w:t>CoinMarketCap</w:t>
        </w:r>
      </w:hyperlink>
      <w:r w:rsidRPr="0079564B">
        <w:rPr>
          <w:rFonts w:ascii="Times New Roman" w:eastAsia="Times New Roman" w:hAnsi="Times New Roman" w:cs="Times New Roman"/>
          <w:sz w:val="32"/>
          <w:szCs w:val="32"/>
        </w:rPr>
        <w:t>», «</w:t>
      </w:r>
      <w:hyperlink r:id="rId530" w:tgtFrame="_new">
        <w:r w:rsidRPr="0079564B">
          <w:rPr>
            <w:rFonts w:ascii="Times New Roman" w:eastAsia="Times New Roman" w:hAnsi="Times New Roman" w:cs="Times New Roman"/>
            <w:sz w:val="32"/>
            <w:szCs w:val="32"/>
          </w:rPr>
          <w:t>CoinGecko</w:t>
        </w:r>
      </w:hyperlink>
      <w:r w:rsidRPr="0079564B">
        <w:rPr>
          <w:rFonts w:ascii="Times New Roman" w:eastAsia="Times New Roman" w:hAnsi="Times New Roman" w:cs="Times New Roman"/>
          <w:sz w:val="32"/>
          <w:szCs w:val="32"/>
        </w:rPr>
        <w:t xml:space="preserve">»), но также существуют профессиональные аналитические платформы, нацеленные на </w:t>
      </w:r>
      <w:r w:rsidRPr="0079564B">
        <w:rPr>
          <w:rFonts w:ascii="Times New Roman" w:eastAsia="Times New Roman" w:hAnsi="Times New Roman" w:cs="Times New Roman"/>
          <w:sz w:val="32"/>
          <w:szCs w:val="32"/>
        </w:rPr>
        <w:lastRenderedPageBreak/>
        <w:t>выявление манипуляций и рисков, в том числе в интересах регулирующих органов (например, «</w:t>
      </w:r>
      <w:hyperlink r:id="rId531" w:tgtFrame="_new">
        <w:r w:rsidRPr="0079564B">
          <w:rPr>
            <w:rFonts w:ascii="Times New Roman" w:eastAsia="Times New Roman" w:hAnsi="Times New Roman" w:cs="Times New Roman"/>
            <w:sz w:val="32"/>
            <w:szCs w:val="32"/>
          </w:rPr>
          <w:t>Solidus Labs</w:t>
        </w:r>
      </w:hyperlink>
      <w:r w:rsidRPr="0079564B">
        <w:rPr>
          <w:rFonts w:ascii="Times New Roman" w:eastAsia="Times New Roman" w:hAnsi="Times New Roman" w:cs="Times New Roman"/>
          <w:sz w:val="32"/>
          <w:szCs w:val="32"/>
        </w:rPr>
        <w:t>», «</w:t>
      </w:r>
      <w:hyperlink r:id="rId532" w:tgtFrame="_new">
        <w:r w:rsidRPr="0079564B">
          <w:rPr>
            <w:rFonts w:ascii="Times New Roman" w:eastAsia="Times New Roman" w:hAnsi="Times New Roman" w:cs="Times New Roman"/>
            <w:sz w:val="32"/>
            <w:szCs w:val="32"/>
          </w:rPr>
          <w:t>Nansen</w:t>
        </w:r>
      </w:hyperlink>
      <w:r w:rsidRPr="0079564B">
        <w:rPr>
          <w:rFonts w:ascii="Times New Roman" w:eastAsia="Times New Roman" w:hAnsi="Times New Roman" w:cs="Times New Roman"/>
          <w:sz w:val="32"/>
          <w:szCs w:val="32"/>
        </w:rPr>
        <w:t>»).</w:t>
      </w:r>
    </w:p>
    <w:p w14:paraId="75372CCF" w14:textId="77777777" w:rsidR="0079564B" w:rsidRPr="0079564B" w:rsidRDefault="0079564B" w:rsidP="00AD58CD">
      <w:pPr>
        <w:numPr>
          <w:ilvl w:val="0"/>
          <w:numId w:val="97"/>
        </w:numPr>
        <w:tabs>
          <w:tab w:val="clear" w:pos="720"/>
          <w:tab w:val="left" w:pos="1155"/>
        </w:tabs>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Аудит смарт-контрактов включает техническую проверку программных кодов децентрализованных приложений (DApps) и токенов на уязвимости, логику исполнения и соответствие заявленным функциям. Эта услуга особенно востребована перед запуском новых токенов. Примеры авторитетных компаний в этой сфере: «</w:t>
      </w:r>
      <w:hyperlink r:id="rId533" w:tgtFrame="_new">
        <w:r w:rsidRPr="0079564B">
          <w:rPr>
            <w:rFonts w:ascii="Times New Roman" w:eastAsia="Times New Roman" w:hAnsi="Times New Roman" w:cs="Times New Roman"/>
            <w:sz w:val="32"/>
            <w:szCs w:val="32"/>
          </w:rPr>
          <w:t>CertiK</w:t>
        </w:r>
      </w:hyperlink>
      <w:r w:rsidRPr="0079564B">
        <w:rPr>
          <w:rFonts w:ascii="Times New Roman" w:eastAsia="Times New Roman" w:hAnsi="Times New Roman" w:cs="Times New Roman"/>
          <w:sz w:val="32"/>
          <w:szCs w:val="32"/>
        </w:rPr>
        <w:t>», «</w:t>
      </w:r>
      <w:hyperlink r:id="rId534" w:tgtFrame="_new">
        <w:r w:rsidRPr="0079564B">
          <w:rPr>
            <w:rFonts w:ascii="Times New Roman" w:eastAsia="Times New Roman" w:hAnsi="Times New Roman" w:cs="Times New Roman"/>
            <w:sz w:val="32"/>
            <w:szCs w:val="32"/>
          </w:rPr>
          <w:t>SlowMist</w:t>
        </w:r>
      </w:hyperlink>
      <w:r w:rsidRPr="0079564B">
        <w:rPr>
          <w:rFonts w:ascii="Times New Roman" w:eastAsia="Times New Roman" w:hAnsi="Times New Roman" w:cs="Times New Roman"/>
          <w:sz w:val="32"/>
          <w:szCs w:val="32"/>
        </w:rPr>
        <w:t>».</w:t>
      </w:r>
    </w:p>
    <w:p w14:paraId="60BEEF1E" w14:textId="77777777" w:rsidR="0079564B" w:rsidRPr="0079564B" w:rsidRDefault="0079564B" w:rsidP="00AD58CD">
      <w:pPr>
        <w:numPr>
          <w:ilvl w:val="0"/>
          <w:numId w:val="97"/>
        </w:numPr>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AML-аналитика направлена на выявление и пресечение операций, связанных с легализацией незаконных доходов через криптовалюты. Чаще всего под блокчейн-аналитикой подразумевают именно этот вид деятельности, поскольку он тесно связан с вопросами регулирования и безопасности финансовой системы [2]. Её механизмы применяются с целью противодействия противоправной деятельности, включая отмывание денежных средств и финансовое мошенничество. Анализ осуществляется специализированными коммерческими структурами, которые обрабатывают и систематизируют открытые данные из блокчейн-реестров.</w:t>
      </w:r>
    </w:p>
    <w:p w14:paraId="17E83DB9"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Основная задача подобных организаций – идентификация транзакций, потенциально связанных с нелегальной активностью. Путём изучения блоков и отслеживания признаков, таких как участие в операциях кошельков, ранее задействованных в противоправных схемах (например, оборот запрещённых веществ или финансирование терроризма), формируется профиль рисков. В случае выявления подозрительной активности соответствующая информация может быть передана в компетентные государственные органы. Эти данные могут использоваться в рамках процедуры подачи отчёта о подозрительной операции (SAR), что, в свою очередь, позволяет установить связь между конкретным цифровым идентификатором и реальным лицом.</w:t>
      </w:r>
    </w:p>
    <w:p w14:paraId="4394A44B"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 xml:space="preserve">Процесс выявления и классификации подозрительных транзакций является непрерывным. Блокчейн-аналитика играет значимую роль в обеспечении прозрачности криптовалютной среды, способствуя выявлению каналов движения нелегальных финансовых потоков [1]. </w:t>
      </w:r>
    </w:p>
    <w:p w14:paraId="386FB307" w14:textId="77777777" w:rsidR="0079564B" w:rsidRPr="0079564B" w:rsidRDefault="0079564B" w:rsidP="0079564B">
      <w:pPr>
        <w:suppressAutoHyphens/>
        <w:spacing w:after="0" w:line="240" w:lineRule="auto"/>
        <w:ind w:right="-1" w:firstLine="567"/>
        <w:contextualSpacing/>
        <w:jc w:val="both"/>
        <w:rPr>
          <w:rFonts w:ascii="Aptos" w:eastAsia="Aptos" w:hAnsi="Aptos" w:cs="Aptos"/>
          <w:sz w:val="24"/>
          <w:szCs w:val="24"/>
        </w:rPr>
      </w:pPr>
      <w:r w:rsidRPr="0079564B">
        <w:rPr>
          <w:rFonts w:ascii="Times New Roman" w:eastAsia="Times New Roman" w:hAnsi="Times New Roman" w:cs="Times New Roman"/>
          <w:sz w:val="32"/>
          <w:szCs w:val="32"/>
        </w:rPr>
        <w:t xml:space="preserve">Рассмотрим технические средства, характерные для аналитики блокчейна.  Каждый узел блокчейна является его полной копией, включая интерфейсы для доступа и подробную документацию. Однако для того, чтобы найти нужную информацию в блокчейне, необходимо знать номер блока, хэш транзакции или хотя бы адрес. Кроме этих </w:t>
      </w:r>
      <w:r w:rsidRPr="0079564B">
        <w:rPr>
          <w:rFonts w:ascii="Times New Roman" w:eastAsia="Times New Roman" w:hAnsi="Times New Roman" w:cs="Times New Roman"/>
          <w:sz w:val="32"/>
          <w:szCs w:val="32"/>
        </w:rPr>
        <w:lastRenderedPageBreak/>
        <w:t xml:space="preserve">данных, на узле нет других индексов, что делает поиск довольно специфичным. Для программистов доступны интерфейсы API, а для обычных пользователей – такие сервисы, как блокчейн-исследователи, например, Etherscan, однако этот сервис в целом мало отличается от API. Он позволяет пользователю просматривать те же данные, но через веб-страницу [3]. В случае с криптовалютами ситуация более прозрачна, поскольку для их аналитики применяются проверенные методы и инструменты, связанные с биржевой торговлей. Получить точную информацию о криптовалютах можно на множестве сайтов, предлагающих данные о котировках и объемах торговли. </w:t>
      </w:r>
    </w:p>
    <w:p w14:paraId="3033EEF5"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Для того чтобы аналитика блокчейна была максимально точной и актуальной, необходимо учитывать два ключевых технических аспекта:</w:t>
      </w:r>
    </w:p>
    <w:p w14:paraId="5362F78F" w14:textId="77777777" w:rsidR="0079564B" w:rsidRPr="0079564B" w:rsidRDefault="0079564B" w:rsidP="00AD58CD">
      <w:pPr>
        <w:numPr>
          <w:ilvl w:val="0"/>
          <w:numId w:val="98"/>
        </w:numPr>
        <w:tabs>
          <w:tab w:val="clear" w:pos="720"/>
          <w:tab w:val="left" w:pos="1170"/>
        </w:tabs>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Скорость получения данных. Информация из блокчейна должна поступать в базу данных как можно быстрее, сразу после появления нового блока. Мы хотим иметь доступ к текущим данным, а не к архивным записям.</w:t>
      </w:r>
    </w:p>
    <w:p w14:paraId="16BFF887" w14:textId="77777777" w:rsidR="0079564B" w:rsidRPr="0079564B" w:rsidRDefault="0079564B" w:rsidP="00AD58CD">
      <w:pPr>
        <w:numPr>
          <w:ilvl w:val="0"/>
          <w:numId w:val="98"/>
        </w:numPr>
        <w:tabs>
          <w:tab w:val="clear" w:pos="720"/>
          <w:tab w:val="left" w:pos="1125"/>
        </w:tabs>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Скорость отчётов. Отчёты должны генерироваться быстро – в идеале за секунды, чтобы пользователи могли оперативно получать ответы на свои запросы.</w:t>
      </w:r>
    </w:p>
    <w:p w14:paraId="5DAE02C5"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Отличным выбором для хранения таких данных является база данных Clickhouse – проект с открытым исходным кодом от компании Яндекс. Этот инструмент позволяет эффективно обрабатывать и хранить данные, полученные из полного узла сети Ethereum. Процесс ETL (Extract – Transform – Load) извлекает данные из блока, преобразует их и записывает в несколько таблиц базы данных Clickhouse. Этот процесс запускается каждый раз, когда новый блок появляется на узле сети, и работает непрерывно.</w:t>
      </w:r>
    </w:p>
    <w:p w14:paraId="77AD3474"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Данные из этой базы могут быть использованы различными инструментами:</w:t>
      </w:r>
    </w:p>
    <w:p w14:paraId="4AC22DC4" w14:textId="77777777" w:rsidR="0079564B" w:rsidRPr="0079564B" w:rsidRDefault="0079564B" w:rsidP="00AD58CD">
      <w:pPr>
        <w:numPr>
          <w:ilvl w:val="0"/>
          <w:numId w:val="99"/>
        </w:numPr>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SuperSet – средство для аналитики, которое позволяет строить диаграммы и быстро комбинировать запросы для получения аналитических выводов;</w:t>
      </w:r>
    </w:p>
    <w:p w14:paraId="16629A23" w14:textId="77777777" w:rsidR="0079564B" w:rsidRPr="0079564B" w:rsidRDefault="0079564B" w:rsidP="00AD58CD">
      <w:pPr>
        <w:numPr>
          <w:ilvl w:val="0"/>
          <w:numId w:val="99"/>
        </w:numPr>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Python Jupyter – инструмент для более глубокой аналитики, включая машинное обучение и применение статистических алгоритмов;</w:t>
      </w:r>
    </w:p>
    <w:p w14:paraId="5FBFF3B3" w14:textId="77777777" w:rsidR="0079564B" w:rsidRPr="0079564B" w:rsidRDefault="0079564B" w:rsidP="00AD58CD">
      <w:pPr>
        <w:numPr>
          <w:ilvl w:val="0"/>
          <w:numId w:val="99"/>
        </w:numPr>
        <w:suppressAutoHyphens/>
        <w:spacing w:after="0" w:line="240" w:lineRule="auto"/>
        <w:ind w:left="0"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Bloxy – веб-сайт и API, предоставляющие публичный доступ к данным для пользователей, желающих провести анализ блокчейна [3].</w:t>
      </w:r>
      <w:r w:rsidRPr="0079564B">
        <w:rPr>
          <w:rFonts w:ascii="Times New Roman" w:eastAsia="Times New Roman" w:hAnsi="Times New Roman" w:cs="Times New Roman"/>
          <w:sz w:val="32"/>
          <w:szCs w:val="32"/>
        </w:rPr>
        <w:br/>
        <w:t xml:space="preserve">Таким образом, сегодня блокчейн активно внедряется </w:t>
      </w:r>
      <w:proofErr w:type="gramStart"/>
      <w:r w:rsidRPr="0079564B">
        <w:rPr>
          <w:rFonts w:ascii="Times New Roman" w:eastAsia="Times New Roman" w:hAnsi="Times New Roman" w:cs="Times New Roman"/>
          <w:sz w:val="32"/>
          <w:szCs w:val="32"/>
        </w:rPr>
        <w:t xml:space="preserve">во всё большем </w:t>
      </w:r>
      <w:r w:rsidRPr="0079564B">
        <w:rPr>
          <w:rFonts w:ascii="Times New Roman" w:eastAsia="Times New Roman" w:hAnsi="Times New Roman" w:cs="Times New Roman"/>
          <w:sz w:val="32"/>
          <w:szCs w:val="32"/>
        </w:rPr>
        <w:lastRenderedPageBreak/>
        <w:t>числе</w:t>
      </w:r>
      <w:proofErr w:type="gramEnd"/>
      <w:r w:rsidRPr="0079564B">
        <w:rPr>
          <w:rFonts w:ascii="Times New Roman" w:eastAsia="Times New Roman" w:hAnsi="Times New Roman" w:cs="Times New Roman"/>
          <w:sz w:val="32"/>
          <w:szCs w:val="32"/>
        </w:rPr>
        <w:t xml:space="preserve"> отраслей, и интерес к нему продолжает расти. Помимо экономики, он находит применение и в смежных сферах, в том числе в защите авторских прав. Благодаря распределённому реестру стало возможным противостоять нелегальному распространению цифрового контента. Международные организации уже работают над созданием блокчейн-платформ, способных обеспечивать защиту интеллектуальной собственности, в том числе в музыкальной индустрии. Здесь используются стандарты идентификации произведений, такие как ISRC и ISWC, которые помогают авторам и исполнителям управлять правами и отслеживать использование контента. Примером может служить проект Smilo, который использует блокчейн для анализа спроса на музыкальные произведения: чем выше интерес к треку, тем выше его стоимость как цифрового продукта [4].</w:t>
      </w:r>
    </w:p>
    <w:p w14:paraId="61F502B3"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Кроме того, блокчейн может быть полезен и в социальной сфере, например, в здравоохранении. Электронные медицинские карты, основанные на технологии распределённого реестра, позволят хранить персональные данные пациентов с высокой степенью защиты от изменений и несанкционированного доступа. Любые изменения в медицинской записи фиксируются, что обеспечивает полную прозрачность. Это упростит анализ информации, повысит качество исследований и даст врачам и учёным более полное понимание эпидемиологических процессов в конкретных регионах.</w:t>
      </w:r>
    </w:p>
    <w:p w14:paraId="0F7583B8"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 xml:space="preserve">Также блокчейн способен изменить подход к подтверждению квалификации и профессионального образования. Проверка дипломов, сертификатов и других документов с использованием этой технологии может сократить затраты и ускорить процесс верификации для организаций и работодателей. Некоторые представители власти до сих пор скептически относятся к криптовалютам, сравнивая их с финансовыми пирамидами вроде МММ. По их мнению, сама по себе блокчейн-технология заслуживает внимания и может применяться в различных сферах, однако использование её в качестве основы для валюты вызывает опасения. Особенно это связано с нестабильностью курсов криптовалют, что наводит на аналогии с мошенническими схемами. Внедрение криптовалют в официальную финансовую систему России, как считают критики, может нанести ущерб экономике, поэтому государство воздерживается от легализации подобных инициатив. Тем не менее, некоторые возможности для частичного применения технологии всё же существуют. Так, блокчейн может использоваться в рамках программ лояльности – например, в </w:t>
      </w:r>
      <w:r w:rsidRPr="0079564B">
        <w:rPr>
          <w:rFonts w:ascii="Times New Roman" w:eastAsia="Times New Roman" w:hAnsi="Times New Roman" w:cs="Times New Roman"/>
          <w:sz w:val="32"/>
          <w:szCs w:val="32"/>
        </w:rPr>
        <w:lastRenderedPageBreak/>
        <w:t>торговых сетях или розничных магазинах, где цифровые баллы, начисляемые за покупки, можно применять в качестве скидок. В этом случае система мотивирует клиентов возвращаться, одновременно выполняя функцию аналога цифровых денег.</w:t>
      </w:r>
    </w:p>
    <w:p w14:paraId="2A4AD288"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 xml:space="preserve">Что касается страхования, здесь подход к технологии более оптимистичен. Уже сегодня эксперты уверены, что блокчейн в ближайшем будущем станет стандартным инструментом в страховой отрасли. Во многих странах ведущие компании исследуют потенциал этой технологии. </w:t>
      </w:r>
      <w:hyperlink r:id="rId535">
        <w:r w:rsidRPr="0079564B">
          <w:rPr>
            <w:rFonts w:ascii="Times New Roman" w:eastAsia="Times New Roman" w:hAnsi="Times New Roman" w:cs="Times New Roman"/>
            <w:sz w:val="32"/>
            <w:szCs w:val="32"/>
          </w:rPr>
          <w:t>Так, такие европейские страховые гиганты, как Allianz, Aegon, Munich Re и Zurich, объединились в альянс Blockchain Insurance Industry Initiative, чтобы совместно разрабатывать новые страховые продукты, основанные на блокчейн</w:t>
        </w:r>
      </w:hyperlink>
      <w:r w:rsidRPr="0079564B">
        <w:rPr>
          <w:rFonts w:ascii="Times New Roman" w:eastAsia="Times New Roman" w:hAnsi="Times New Roman" w:cs="Times New Roman"/>
          <w:sz w:val="32"/>
          <w:szCs w:val="32"/>
        </w:rPr>
        <w:t>[4]. Это свидетельствует о реальных шагах по цифровой трансформации сектора.</w:t>
      </w:r>
    </w:p>
    <w:p w14:paraId="137B7716"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Банковская отрасль также проявляет высокий интерес к внедрению блокчейн-решений. Аналитики и исследовательские центры активно тестируют различные модели применения технологии в финансовых операциях. На сегодняшний день именно финансовая сфера демонстрирует наибольший прогресс в освоении блокчейна. Банки получают возможность модернизировать инфраструктуру, упростить процессы документооборота, ускорить расчёты и значительно сократить издержки. Всё это делает технологию привлекательной для дальнейшего масштабного внедрения.</w:t>
      </w:r>
    </w:p>
    <w:p w14:paraId="02944C01" w14:textId="5356884F"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r w:rsidRPr="0079564B">
        <w:rPr>
          <w:rFonts w:ascii="Times New Roman" w:eastAsia="Times New Roman" w:hAnsi="Times New Roman" w:cs="Times New Roman"/>
          <w:sz w:val="32"/>
          <w:szCs w:val="32"/>
        </w:rPr>
        <w:t>В заключение отметим, блокчейн на сегодняшний момент стал мировым трендом в области хранения данных и их анализа. Аналитика блокчейна может использоваться практически во всех сферах. Этот инструмент предоставляет широкие возможности бизнесу и государству в целом. Учитывая быстрое развитие сферы, можно ожидать дальнейшего расширения её практического применения в ближайшем будущем.</w:t>
      </w:r>
    </w:p>
    <w:p w14:paraId="0E348102" w14:textId="77777777" w:rsidR="0079564B" w:rsidRPr="0079564B" w:rsidRDefault="0079564B" w:rsidP="0079564B">
      <w:pPr>
        <w:suppressAutoHyphens/>
        <w:spacing w:after="0" w:line="240" w:lineRule="auto"/>
        <w:ind w:right="-1" w:firstLine="567"/>
        <w:contextualSpacing/>
        <w:jc w:val="both"/>
        <w:rPr>
          <w:rFonts w:ascii="Times New Roman" w:eastAsia="Times New Roman" w:hAnsi="Times New Roman" w:cs="Times New Roman"/>
          <w:sz w:val="32"/>
          <w:szCs w:val="32"/>
        </w:rPr>
      </w:pPr>
    </w:p>
    <w:p w14:paraId="0F45D783" w14:textId="77777777" w:rsidR="0079564B" w:rsidRPr="0079564B" w:rsidRDefault="0079564B" w:rsidP="000A7E77">
      <w:pPr>
        <w:suppressAutoHyphens/>
        <w:spacing w:after="0" w:line="240" w:lineRule="auto"/>
        <w:jc w:val="center"/>
        <w:rPr>
          <w:rFonts w:ascii="Aptos" w:eastAsia="Aptos" w:hAnsi="Aptos" w:cs="Aptos"/>
          <w:sz w:val="24"/>
          <w:szCs w:val="24"/>
        </w:rPr>
      </w:pPr>
      <w:r w:rsidRPr="0079564B">
        <w:rPr>
          <w:rFonts w:ascii="Times New Roman" w:eastAsia="Aptos" w:hAnsi="Times New Roman" w:cs="Aptos"/>
          <w:b/>
          <w:sz w:val="21"/>
          <w:szCs w:val="21"/>
        </w:rPr>
        <w:t>Литература:</w:t>
      </w:r>
    </w:p>
    <w:p w14:paraId="47A900C7" w14:textId="77777777" w:rsidR="000A7E77" w:rsidRDefault="0079564B" w:rsidP="00AD58CD">
      <w:pPr>
        <w:pStyle w:val="a8"/>
        <w:numPr>
          <w:ilvl w:val="1"/>
          <w:numId w:val="98"/>
        </w:numPr>
        <w:tabs>
          <w:tab w:val="clear" w:pos="1440"/>
          <w:tab w:val="num" w:pos="1134"/>
          <w:tab w:val="num" w:pos="1624"/>
        </w:tabs>
        <w:suppressAutoHyphens/>
        <w:spacing w:after="0" w:line="240" w:lineRule="auto"/>
        <w:ind w:left="284" w:right="-1" w:hanging="284"/>
        <w:jc w:val="both"/>
        <w:rPr>
          <w:rFonts w:ascii="Times New Roman" w:eastAsia="Times New Roman" w:hAnsi="Times New Roman" w:cs="Times New Roman"/>
          <w:sz w:val="21"/>
          <w:szCs w:val="21"/>
          <w:lang w:eastAsia="ar-SA"/>
        </w:rPr>
      </w:pPr>
      <w:r w:rsidRPr="000A7E77">
        <w:rPr>
          <w:rFonts w:ascii="Times New Roman" w:eastAsia="Times New Roman" w:hAnsi="Times New Roman" w:cs="Times New Roman"/>
          <w:sz w:val="21"/>
          <w:szCs w:val="21"/>
          <w:lang w:eastAsia="ar-SA"/>
        </w:rPr>
        <w:t>«Как применяется блокчейн в аналитике?» Борис Державец</w:t>
      </w:r>
    </w:p>
    <w:p w14:paraId="52261AAD" w14:textId="77777777" w:rsidR="000A7E77" w:rsidRDefault="0079564B" w:rsidP="00AD58CD">
      <w:pPr>
        <w:pStyle w:val="a8"/>
        <w:numPr>
          <w:ilvl w:val="1"/>
          <w:numId w:val="98"/>
        </w:numPr>
        <w:tabs>
          <w:tab w:val="clear" w:pos="1440"/>
          <w:tab w:val="num" w:pos="1134"/>
          <w:tab w:val="num" w:pos="1624"/>
        </w:tabs>
        <w:suppressAutoHyphens/>
        <w:spacing w:after="0" w:line="240" w:lineRule="auto"/>
        <w:ind w:left="284" w:right="-1" w:hanging="284"/>
        <w:jc w:val="both"/>
        <w:rPr>
          <w:rFonts w:ascii="Times New Roman" w:eastAsia="Times New Roman" w:hAnsi="Times New Roman" w:cs="Times New Roman"/>
          <w:sz w:val="21"/>
          <w:szCs w:val="21"/>
          <w:lang w:eastAsia="ar-SA"/>
        </w:rPr>
      </w:pPr>
      <w:r w:rsidRPr="000A7E77">
        <w:rPr>
          <w:rFonts w:ascii="Times New Roman" w:eastAsia="Times New Roman" w:hAnsi="Times New Roman" w:cs="Times New Roman"/>
          <w:sz w:val="21"/>
          <w:szCs w:val="21"/>
          <w:lang w:eastAsia="ar-SA"/>
        </w:rPr>
        <w:t>«Блокчейн-аналитика: определение, история и перспективы развития» Станислав Рождественский</w:t>
      </w:r>
    </w:p>
    <w:p w14:paraId="6C389FC7" w14:textId="77777777" w:rsidR="000A7E77" w:rsidRDefault="0079564B" w:rsidP="00AD58CD">
      <w:pPr>
        <w:pStyle w:val="a8"/>
        <w:numPr>
          <w:ilvl w:val="1"/>
          <w:numId w:val="98"/>
        </w:numPr>
        <w:tabs>
          <w:tab w:val="clear" w:pos="1440"/>
          <w:tab w:val="num" w:pos="1134"/>
          <w:tab w:val="num" w:pos="1624"/>
        </w:tabs>
        <w:suppressAutoHyphens/>
        <w:spacing w:after="0" w:line="240" w:lineRule="auto"/>
        <w:ind w:left="284" w:right="-1" w:hanging="284"/>
        <w:jc w:val="both"/>
        <w:rPr>
          <w:rFonts w:ascii="Times New Roman" w:eastAsia="Times New Roman" w:hAnsi="Times New Roman" w:cs="Times New Roman"/>
          <w:sz w:val="21"/>
          <w:szCs w:val="21"/>
          <w:lang w:eastAsia="ar-SA"/>
        </w:rPr>
      </w:pPr>
      <w:r w:rsidRPr="000A7E77">
        <w:rPr>
          <w:rFonts w:ascii="Times New Roman" w:eastAsia="Times New Roman" w:hAnsi="Times New Roman" w:cs="Times New Roman"/>
          <w:b/>
          <w:bCs/>
          <w:sz w:val="21"/>
          <w:szCs w:val="21"/>
          <w:lang w:eastAsia="ar-SA"/>
        </w:rPr>
        <w:t>«</w:t>
      </w:r>
      <w:r w:rsidRPr="000A7E77">
        <w:rPr>
          <w:rFonts w:ascii="Times New Roman" w:eastAsia="Times New Roman" w:hAnsi="Times New Roman" w:cs="Times New Roman"/>
          <w:sz w:val="21"/>
          <w:szCs w:val="21"/>
          <w:lang w:eastAsia="ar-SA"/>
        </w:rPr>
        <w:t>Анализ блокчейн, или почему сломался миксер?» Алексей Студнев</w:t>
      </w:r>
    </w:p>
    <w:p w14:paraId="51A2105B" w14:textId="39B811A5" w:rsidR="0079564B" w:rsidRPr="000A7E77" w:rsidRDefault="0079564B" w:rsidP="00AD58CD">
      <w:pPr>
        <w:pStyle w:val="a8"/>
        <w:numPr>
          <w:ilvl w:val="1"/>
          <w:numId w:val="98"/>
        </w:numPr>
        <w:tabs>
          <w:tab w:val="clear" w:pos="1440"/>
          <w:tab w:val="num" w:pos="1134"/>
          <w:tab w:val="num" w:pos="1624"/>
        </w:tabs>
        <w:suppressAutoHyphens/>
        <w:spacing w:after="0" w:line="240" w:lineRule="auto"/>
        <w:ind w:left="284" w:right="-1" w:hanging="284"/>
        <w:jc w:val="both"/>
        <w:rPr>
          <w:rFonts w:ascii="Times New Roman" w:eastAsia="Times New Roman" w:hAnsi="Times New Roman" w:cs="Times New Roman"/>
          <w:sz w:val="21"/>
          <w:szCs w:val="21"/>
          <w:lang w:eastAsia="ar-SA"/>
        </w:rPr>
      </w:pPr>
      <w:r w:rsidRPr="000A7E77">
        <w:rPr>
          <w:rFonts w:ascii="Times New Roman" w:eastAsia="Times New Roman" w:hAnsi="Times New Roman" w:cs="Times New Roman"/>
          <w:b/>
          <w:bCs/>
          <w:sz w:val="21"/>
          <w:szCs w:val="21"/>
          <w:lang w:eastAsia="ar-SA"/>
        </w:rPr>
        <w:t>«</w:t>
      </w:r>
      <w:r w:rsidRPr="000A7E77">
        <w:rPr>
          <w:rFonts w:ascii="Times New Roman" w:eastAsia="Times New Roman" w:hAnsi="Times New Roman" w:cs="Times New Roman"/>
          <w:sz w:val="21"/>
          <w:szCs w:val="21"/>
          <w:lang w:eastAsia="ar-SA"/>
        </w:rPr>
        <w:t>Блокчейн-технологии: вызовы и перспективы» Шарафетдинов А.Д.1, Терехова Т.Б.2</w:t>
      </w:r>
    </w:p>
    <w:p w14:paraId="18AD2B38" w14:textId="77777777" w:rsidR="009D6EA4" w:rsidRPr="009D6EA4" w:rsidRDefault="009D6EA4"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p>
    <w:p w14:paraId="7D8113EE" w14:textId="77777777" w:rsidR="00D27347" w:rsidRDefault="00D27347" w:rsidP="00070AB0">
      <w:pPr>
        <w:tabs>
          <w:tab w:val="left" w:pos="0"/>
        </w:tabs>
        <w:suppressAutoHyphens/>
        <w:autoSpaceDE w:val="0"/>
        <w:spacing w:after="0" w:line="240" w:lineRule="auto"/>
        <w:jc w:val="both"/>
        <w:rPr>
          <w:rFonts w:ascii="Times New Roman" w:eastAsia="Calibri" w:hAnsi="Times New Roman" w:cs="Times New Roman"/>
          <w:sz w:val="21"/>
          <w:szCs w:val="21"/>
          <w:lang w:val="x-none" w:eastAsia="ar-SA"/>
        </w:rPr>
      </w:pPr>
    </w:p>
    <w:p w14:paraId="3F764902" w14:textId="77777777" w:rsidR="005B65B8" w:rsidRPr="005B65B8" w:rsidRDefault="005B65B8" w:rsidP="005B65B8">
      <w:pPr>
        <w:suppressAutoHyphens/>
        <w:spacing w:after="0" w:line="240" w:lineRule="auto"/>
        <w:rPr>
          <w:rFonts w:ascii="Times New Roman" w:eastAsia="NSimSun" w:hAnsi="Times New Roman" w:cs="Times New Roman"/>
          <w:b/>
          <w:color w:val="000000"/>
          <w:kern w:val="2"/>
          <w:sz w:val="21"/>
          <w:szCs w:val="21"/>
          <w:lang w:eastAsia="zh-CN" w:bidi="hi-IN"/>
        </w:rPr>
      </w:pPr>
      <w:r w:rsidRPr="005B65B8">
        <w:rPr>
          <w:rFonts w:ascii="Times New Roman" w:eastAsia="NSimSun" w:hAnsi="Times New Roman" w:cs="Times New Roman"/>
          <w:b/>
          <w:color w:val="000000"/>
          <w:kern w:val="2"/>
          <w:sz w:val="21"/>
          <w:szCs w:val="21"/>
          <w:lang w:eastAsia="zh-CN" w:bidi="hi-IN"/>
        </w:rPr>
        <w:t>УДК 004.03</w:t>
      </w:r>
    </w:p>
    <w:p w14:paraId="37DBA400" w14:textId="7D02D8A4" w:rsidR="005B65B8" w:rsidRPr="005B65B8" w:rsidRDefault="005B65B8" w:rsidP="005B65B8">
      <w:pPr>
        <w:suppressAutoHyphens/>
        <w:spacing w:after="0" w:line="240" w:lineRule="auto"/>
        <w:jc w:val="right"/>
        <w:rPr>
          <w:rFonts w:ascii="Times New Roman" w:eastAsia="NSimSun" w:hAnsi="Times New Roman" w:cs="Times New Roman"/>
          <w:i/>
          <w:iCs/>
          <w:color w:val="000000"/>
          <w:kern w:val="2"/>
          <w:sz w:val="21"/>
          <w:szCs w:val="21"/>
          <w:lang w:eastAsia="zh-CN" w:bidi="hi-IN"/>
        </w:rPr>
      </w:pPr>
      <w:r w:rsidRPr="005B65B8">
        <w:rPr>
          <w:rFonts w:ascii="Times New Roman" w:eastAsia="NSimSun" w:hAnsi="Times New Roman" w:cs="Times New Roman"/>
          <w:b/>
          <w:i/>
          <w:iCs/>
          <w:color w:val="000000"/>
          <w:kern w:val="2"/>
          <w:sz w:val="21"/>
          <w:szCs w:val="21"/>
          <w:lang w:eastAsia="zh-CN" w:bidi="hi-IN"/>
        </w:rPr>
        <w:t>Степанюк Д.А.</w:t>
      </w:r>
      <w:r w:rsidR="00322755">
        <w:rPr>
          <w:rFonts w:ascii="Times New Roman" w:eastAsia="NSimSun" w:hAnsi="Times New Roman" w:cs="Times New Roman"/>
          <w:b/>
          <w:i/>
          <w:iCs/>
          <w:color w:val="000000"/>
          <w:kern w:val="2"/>
          <w:sz w:val="21"/>
          <w:szCs w:val="21"/>
          <w:lang w:eastAsia="zh-CN" w:bidi="hi-IN"/>
        </w:rPr>
        <w:t>,</w:t>
      </w:r>
    </w:p>
    <w:p w14:paraId="002F586A" w14:textId="77777777" w:rsidR="005B65B8" w:rsidRPr="005B65B8" w:rsidRDefault="005B65B8" w:rsidP="005B65B8">
      <w:pPr>
        <w:suppressAutoHyphens/>
        <w:spacing w:after="0" w:line="240" w:lineRule="auto"/>
        <w:jc w:val="right"/>
        <w:rPr>
          <w:rFonts w:ascii="Times New Roman" w:eastAsia="NSimSun" w:hAnsi="Times New Roman" w:cs="Times New Roman"/>
          <w:i/>
          <w:iCs/>
          <w:color w:val="000000"/>
          <w:kern w:val="2"/>
          <w:sz w:val="21"/>
          <w:szCs w:val="21"/>
          <w:lang w:eastAsia="zh-CN" w:bidi="hi-IN"/>
        </w:rPr>
      </w:pPr>
      <w:r w:rsidRPr="005B65B8">
        <w:rPr>
          <w:rFonts w:ascii="Times New Roman" w:eastAsia="NSimSun" w:hAnsi="Times New Roman" w:cs="Times New Roman"/>
          <w:i/>
          <w:iCs/>
          <w:color w:val="000000"/>
          <w:kern w:val="2"/>
          <w:sz w:val="21"/>
          <w:szCs w:val="21"/>
          <w:lang w:eastAsia="zh-CN" w:bidi="hi-IN"/>
        </w:rPr>
        <w:t xml:space="preserve">студент 2 курса </w:t>
      </w:r>
    </w:p>
    <w:p w14:paraId="7A881D2D" w14:textId="77777777" w:rsidR="00E845B3" w:rsidRDefault="00E845B3" w:rsidP="00E845B3">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2E838F4" w14:textId="77777777" w:rsidR="005B65B8" w:rsidRPr="005B65B8" w:rsidRDefault="005B65B8" w:rsidP="005B65B8">
      <w:pPr>
        <w:suppressAutoHyphens/>
        <w:spacing w:after="0" w:line="240" w:lineRule="auto"/>
        <w:jc w:val="right"/>
        <w:rPr>
          <w:rFonts w:ascii="Times New Roman" w:eastAsia="NSimSun" w:hAnsi="Times New Roman" w:cs="Times New Roman"/>
          <w:i/>
          <w:kern w:val="2"/>
          <w:sz w:val="21"/>
          <w:szCs w:val="21"/>
          <w:lang w:eastAsia="zh-CN" w:bidi="hi-IN"/>
        </w:rPr>
      </w:pPr>
      <w:r w:rsidRPr="005B65B8">
        <w:rPr>
          <w:rFonts w:ascii="Times New Roman" w:eastAsia="NSimSun" w:hAnsi="Times New Roman" w:cs="Times New Roman"/>
          <w:i/>
          <w:kern w:val="2"/>
          <w:sz w:val="21"/>
          <w:szCs w:val="21"/>
          <w:lang w:eastAsia="zh-CN" w:bidi="hi-IN"/>
        </w:rPr>
        <w:t xml:space="preserve">г. Краснодар, Россия </w:t>
      </w:r>
    </w:p>
    <w:p w14:paraId="51DDCD32" w14:textId="77777777" w:rsidR="005B65B8" w:rsidRPr="005B65B8" w:rsidRDefault="005B65B8" w:rsidP="005B65B8">
      <w:pPr>
        <w:suppressAutoHyphens/>
        <w:spacing w:after="0" w:line="240" w:lineRule="auto"/>
        <w:jc w:val="right"/>
        <w:rPr>
          <w:rFonts w:ascii="Times New Roman" w:eastAsia="NSimSun" w:hAnsi="Times New Roman" w:cs="Times New Roman"/>
          <w:i/>
          <w:iCs/>
          <w:kern w:val="2"/>
          <w:sz w:val="21"/>
          <w:szCs w:val="21"/>
          <w:lang w:eastAsia="zh-CN" w:bidi="hi-IN"/>
        </w:rPr>
      </w:pPr>
      <w:r w:rsidRPr="005B65B8">
        <w:rPr>
          <w:rFonts w:ascii="Times New Roman" w:eastAsia="NSimSun" w:hAnsi="Times New Roman" w:cs="Times New Roman"/>
          <w:i/>
          <w:iCs/>
          <w:kern w:val="2"/>
          <w:sz w:val="21"/>
          <w:szCs w:val="21"/>
          <w:lang w:eastAsia="ja-JP" w:bidi="hi-IN"/>
        </w:rPr>
        <w:t>е-</w:t>
      </w:r>
      <w:r w:rsidRPr="005B65B8">
        <w:rPr>
          <w:rFonts w:ascii="Times New Roman" w:eastAsia="NSimSun" w:hAnsi="Times New Roman" w:cs="Times New Roman"/>
          <w:i/>
          <w:iCs/>
          <w:kern w:val="2"/>
          <w:sz w:val="21"/>
          <w:szCs w:val="21"/>
          <w:lang w:val="en-US" w:eastAsia="zh-CN" w:bidi="hi-IN"/>
        </w:rPr>
        <w:t>mail</w:t>
      </w:r>
      <w:r w:rsidRPr="005B65B8">
        <w:rPr>
          <w:rFonts w:ascii="Times New Roman" w:eastAsia="NSimSun" w:hAnsi="Times New Roman" w:cs="Times New Roman"/>
          <w:i/>
          <w:iCs/>
          <w:kern w:val="2"/>
          <w:sz w:val="21"/>
          <w:szCs w:val="21"/>
          <w:lang w:eastAsia="ja-JP" w:bidi="hi-IN"/>
        </w:rPr>
        <w:t>:</w:t>
      </w:r>
      <w:r w:rsidRPr="005B65B8">
        <w:rPr>
          <w:rFonts w:ascii="Times New Roman" w:eastAsia="NSimSun" w:hAnsi="Times New Roman" w:cs="Times New Roman"/>
          <w:i/>
          <w:iCs/>
          <w:kern w:val="2"/>
          <w:sz w:val="21"/>
          <w:szCs w:val="21"/>
          <w:lang w:eastAsia="zh-CN" w:bidi="hi-IN"/>
        </w:rPr>
        <w:t xml:space="preserve"> </w:t>
      </w:r>
      <w:hyperlink r:id="rId536">
        <w:r w:rsidRPr="005B65B8">
          <w:rPr>
            <w:rFonts w:ascii="Times New Roman" w:eastAsia="NSimSun" w:hAnsi="Times New Roman" w:cs="Times New Roman"/>
            <w:i/>
            <w:iCs/>
            <w:color w:val="0000FF"/>
            <w:kern w:val="2"/>
            <w:sz w:val="21"/>
            <w:szCs w:val="21"/>
            <w:u w:val="single"/>
            <w:lang w:eastAsia="zh-CN" w:bidi="hi-IN"/>
          </w:rPr>
          <w:t>14-14-2014@mail.ru</w:t>
        </w:r>
      </w:hyperlink>
      <w:r w:rsidRPr="005B65B8">
        <w:rPr>
          <w:rFonts w:ascii="Times New Roman" w:eastAsia="NSimSun" w:hAnsi="Times New Roman" w:cs="Times New Roman"/>
          <w:i/>
          <w:iCs/>
          <w:kern w:val="2"/>
          <w:sz w:val="21"/>
          <w:szCs w:val="21"/>
          <w:lang w:eastAsia="zh-CN" w:bidi="hi-IN"/>
        </w:rPr>
        <w:t xml:space="preserve"> </w:t>
      </w:r>
    </w:p>
    <w:p w14:paraId="4515C803" w14:textId="77777777" w:rsidR="005B65B8" w:rsidRPr="005B65B8" w:rsidRDefault="005B65B8" w:rsidP="005B65B8">
      <w:pPr>
        <w:suppressAutoHyphens/>
        <w:spacing w:after="0" w:line="240" w:lineRule="auto"/>
        <w:jc w:val="right"/>
        <w:rPr>
          <w:rFonts w:ascii="Times New Roman" w:eastAsia="NSimSun" w:hAnsi="Times New Roman" w:cs="Times New Roman"/>
          <w:i/>
          <w:iCs/>
          <w:kern w:val="2"/>
          <w:sz w:val="21"/>
          <w:szCs w:val="21"/>
          <w:lang w:eastAsia="zh-CN" w:bidi="hi-IN"/>
        </w:rPr>
      </w:pPr>
    </w:p>
    <w:p w14:paraId="6FA6F48D" w14:textId="77777777" w:rsidR="005B65B8" w:rsidRPr="005B65B8" w:rsidRDefault="005B65B8" w:rsidP="005B65B8">
      <w:pPr>
        <w:suppressAutoHyphens/>
        <w:spacing w:after="0" w:line="240" w:lineRule="auto"/>
        <w:jc w:val="right"/>
        <w:rPr>
          <w:rFonts w:ascii="Times New Roman" w:eastAsia="Calibri" w:hAnsi="Times New Roman" w:cs="Times New Roman"/>
          <w:b/>
          <w:i/>
          <w:kern w:val="2"/>
          <w:sz w:val="21"/>
          <w:szCs w:val="21"/>
        </w:rPr>
      </w:pPr>
      <w:r w:rsidRPr="005B65B8">
        <w:rPr>
          <w:rFonts w:ascii="Times New Roman" w:eastAsia="NSimSun" w:hAnsi="Times New Roman" w:cs="Times New Roman"/>
          <w:b/>
          <w:i/>
          <w:kern w:val="2"/>
          <w:sz w:val="21"/>
          <w:szCs w:val="21"/>
          <w:lang w:eastAsia="zh-CN" w:bidi="hi-IN"/>
        </w:rPr>
        <w:lastRenderedPageBreak/>
        <w:t>Научный руководитель:</w:t>
      </w:r>
    </w:p>
    <w:p w14:paraId="7300C0C7" w14:textId="77777777" w:rsidR="005B65B8" w:rsidRPr="005B65B8" w:rsidRDefault="005B65B8" w:rsidP="005B65B8">
      <w:pPr>
        <w:suppressAutoHyphens/>
        <w:spacing w:after="0" w:line="240" w:lineRule="auto"/>
        <w:jc w:val="right"/>
        <w:rPr>
          <w:rFonts w:ascii="Times New Roman" w:eastAsia="NSimSun" w:hAnsi="Times New Roman" w:cs="Times New Roman"/>
          <w:b/>
          <w:i/>
          <w:kern w:val="2"/>
          <w:sz w:val="21"/>
          <w:szCs w:val="21"/>
          <w:lang w:eastAsia="zh-CN" w:bidi="hi-IN"/>
        </w:rPr>
      </w:pPr>
      <w:r w:rsidRPr="005B65B8">
        <w:rPr>
          <w:rFonts w:ascii="Times New Roman" w:eastAsia="NSimSun" w:hAnsi="Times New Roman" w:cs="Times New Roman"/>
          <w:b/>
          <w:i/>
          <w:kern w:val="2"/>
          <w:sz w:val="21"/>
          <w:szCs w:val="21"/>
          <w:lang w:eastAsia="zh-CN" w:bidi="hi-IN"/>
        </w:rPr>
        <w:t>Пьянкова Н.Г.,</w:t>
      </w:r>
    </w:p>
    <w:p w14:paraId="7EF0805C" w14:textId="77777777" w:rsidR="005B65B8" w:rsidRPr="005B65B8" w:rsidRDefault="005B65B8" w:rsidP="005B65B8">
      <w:pPr>
        <w:suppressAutoHyphens/>
        <w:spacing w:after="0" w:line="240" w:lineRule="auto"/>
        <w:jc w:val="right"/>
        <w:rPr>
          <w:rFonts w:ascii="Times New Roman" w:eastAsia="NSimSun" w:hAnsi="Times New Roman" w:cs="Times New Roman"/>
          <w:i/>
          <w:kern w:val="2"/>
          <w:sz w:val="21"/>
          <w:szCs w:val="21"/>
          <w:lang w:eastAsia="zh-CN" w:bidi="hi-IN"/>
        </w:rPr>
      </w:pPr>
      <w:r w:rsidRPr="005B65B8">
        <w:rPr>
          <w:rFonts w:ascii="Times New Roman" w:eastAsia="NSimSun" w:hAnsi="Times New Roman" w:cs="Times New Roman"/>
          <w:b/>
          <w:i/>
          <w:kern w:val="2"/>
          <w:sz w:val="21"/>
          <w:szCs w:val="21"/>
          <w:lang w:eastAsia="zh-CN" w:bidi="hi-IN"/>
        </w:rPr>
        <w:t xml:space="preserve"> </w:t>
      </w:r>
      <w:r w:rsidRPr="005B65B8">
        <w:rPr>
          <w:rFonts w:ascii="Times New Roman" w:eastAsia="NSimSun" w:hAnsi="Times New Roman" w:cs="Times New Roman"/>
          <w:i/>
          <w:kern w:val="2"/>
          <w:sz w:val="21"/>
          <w:szCs w:val="21"/>
          <w:lang w:eastAsia="zh-CN" w:bidi="hi-IN"/>
        </w:rPr>
        <w:t xml:space="preserve">доцент, </w:t>
      </w:r>
      <w:proofErr w:type="gramStart"/>
      <w:r w:rsidRPr="005B65B8">
        <w:rPr>
          <w:rFonts w:ascii="Times New Roman" w:eastAsia="NSimSun" w:hAnsi="Times New Roman" w:cs="Times New Roman"/>
          <w:i/>
          <w:kern w:val="2"/>
          <w:sz w:val="21"/>
          <w:szCs w:val="21"/>
          <w:lang w:eastAsia="zh-CN" w:bidi="hi-IN"/>
        </w:rPr>
        <w:t>к.пед</w:t>
      </w:r>
      <w:proofErr w:type="gramEnd"/>
      <w:r w:rsidRPr="005B65B8">
        <w:rPr>
          <w:rFonts w:ascii="Times New Roman" w:eastAsia="NSimSun" w:hAnsi="Times New Roman" w:cs="Times New Roman"/>
          <w:i/>
          <w:kern w:val="2"/>
          <w:sz w:val="21"/>
          <w:szCs w:val="21"/>
          <w:lang w:eastAsia="zh-CN" w:bidi="hi-IN"/>
        </w:rPr>
        <w:t>.н</w:t>
      </w:r>
    </w:p>
    <w:p w14:paraId="4AB8DEB4" w14:textId="77777777" w:rsidR="00E845B3" w:rsidRDefault="00E845B3" w:rsidP="00E845B3">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6131BFF" w14:textId="77777777" w:rsidR="005B65B8" w:rsidRPr="005B65B8" w:rsidRDefault="005B65B8" w:rsidP="005B65B8">
      <w:pPr>
        <w:suppressAutoHyphens/>
        <w:spacing w:after="0" w:line="240" w:lineRule="auto"/>
        <w:jc w:val="right"/>
        <w:rPr>
          <w:rFonts w:ascii="Times New Roman" w:eastAsia="NSimSun" w:hAnsi="Times New Roman" w:cs="Times New Roman"/>
          <w:i/>
          <w:kern w:val="2"/>
          <w:sz w:val="21"/>
          <w:szCs w:val="21"/>
          <w:lang w:eastAsia="zh-CN" w:bidi="hi-IN"/>
        </w:rPr>
      </w:pPr>
      <w:r w:rsidRPr="005B65B8">
        <w:rPr>
          <w:rFonts w:ascii="Times New Roman" w:eastAsia="NSimSun" w:hAnsi="Times New Roman" w:cs="Times New Roman"/>
          <w:i/>
          <w:kern w:val="2"/>
          <w:sz w:val="21"/>
          <w:szCs w:val="21"/>
          <w:lang w:eastAsia="zh-CN" w:bidi="hi-IN"/>
        </w:rPr>
        <w:t>г. Краснодар, Россия</w:t>
      </w:r>
    </w:p>
    <w:p w14:paraId="4625C8D9" w14:textId="77777777" w:rsidR="005B65B8" w:rsidRPr="005B65B8" w:rsidRDefault="005B65B8" w:rsidP="005B65B8">
      <w:pPr>
        <w:suppressAutoHyphens/>
        <w:spacing w:after="0" w:line="240" w:lineRule="auto"/>
        <w:jc w:val="right"/>
        <w:textAlignment w:val="baseline"/>
        <w:rPr>
          <w:rFonts w:ascii="Liberation Serif" w:eastAsia="NSimSun" w:hAnsi="Liberation Serif" w:cs="Arial" w:hint="eastAsia"/>
          <w:sz w:val="24"/>
          <w:szCs w:val="24"/>
          <w:lang w:val="x-none" w:eastAsia="zh-CN" w:bidi="hi-IN"/>
        </w:rPr>
      </w:pPr>
      <w:r w:rsidRPr="005B65B8">
        <w:rPr>
          <w:rFonts w:ascii="Times New Roman" w:eastAsia="NSimSun" w:hAnsi="Times New Roman" w:cs="Times New Roman"/>
          <w:i/>
          <w:sz w:val="21"/>
          <w:szCs w:val="21"/>
          <w:lang w:val="x-none" w:eastAsia="zh-CN" w:bidi="hi-IN"/>
        </w:rPr>
        <w:t>е-</w:t>
      </w:r>
      <w:r w:rsidRPr="005B65B8">
        <w:rPr>
          <w:rFonts w:ascii="Times New Roman" w:eastAsia="NSimSun" w:hAnsi="Times New Roman" w:cs="Times New Roman"/>
          <w:i/>
          <w:sz w:val="21"/>
          <w:szCs w:val="21"/>
          <w:lang w:val="en-US" w:eastAsia="zh-CN" w:bidi="hi-IN"/>
        </w:rPr>
        <w:t>mail</w:t>
      </w:r>
      <w:r w:rsidRPr="005B65B8">
        <w:rPr>
          <w:rFonts w:ascii="Times New Roman" w:eastAsia="NSimSun" w:hAnsi="Times New Roman" w:cs="Times New Roman"/>
          <w:i/>
          <w:sz w:val="21"/>
          <w:szCs w:val="21"/>
          <w:lang w:val="x-none" w:eastAsia="zh-CN" w:bidi="hi-IN"/>
        </w:rPr>
        <w:t xml:space="preserve">: </w:t>
      </w:r>
      <w:hyperlink r:id="rId537" w:history="1">
        <w:r w:rsidRPr="005B65B8">
          <w:rPr>
            <w:rFonts w:ascii="Times New Roman" w:eastAsia="NSimSun" w:hAnsi="Times New Roman" w:cs="Times New Roman"/>
            <w:i/>
            <w:color w:val="0000FF"/>
            <w:sz w:val="21"/>
            <w:szCs w:val="21"/>
            <w:u w:val="single"/>
            <w:lang w:val="en-US" w:eastAsia="zh-CN" w:bidi="hi-IN"/>
          </w:rPr>
          <w:t>NGPyankova</w:t>
        </w:r>
        <w:r w:rsidRPr="005B65B8">
          <w:rPr>
            <w:rFonts w:ascii="Times New Roman" w:eastAsia="NSimSun" w:hAnsi="Times New Roman" w:cs="Times New Roman"/>
            <w:i/>
            <w:color w:val="0000FF"/>
            <w:sz w:val="21"/>
            <w:szCs w:val="21"/>
            <w:u w:val="single"/>
            <w:lang w:val="x-none" w:eastAsia="zh-CN" w:bidi="hi-IN"/>
          </w:rPr>
          <w:t>@</w:t>
        </w:r>
        <w:r w:rsidRPr="005B65B8">
          <w:rPr>
            <w:rFonts w:ascii="Times New Roman" w:eastAsia="NSimSun" w:hAnsi="Times New Roman" w:cs="Times New Roman"/>
            <w:i/>
            <w:color w:val="0000FF"/>
            <w:sz w:val="21"/>
            <w:szCs w:val="21"/>
            <w:u w:val="single"/>
            <w:lang w:val="en-US" w:eastAsia="zh-CN" w:bidi="hi-IN"/>
          </w:rPr>
          <w:t>fa</w:t>
        </w:r>
        <w:r w:rsidRPr="005B65B8">
          <w:rPr>
            <w:rFonts w:ascii="Times New Roman" w:eastAsia="NSimSun" w:hAnsi="Times New Roman" w:cs="Times New Roman"/>
            <w:i/>
            <w:color w:val="0000FF"/>
            <w:sz w:val="21"/>
            <w:szCs w:val="21"/>
            <w:u w:val="single"/>
            <w:lang w:val="x-none" w:eastAsia="zh-CN" w:bidi="hi-IN"/>
          </w:rPr>
          <w:t>.</w:t>
        </w:r>
        <w:r w:rsidRPr="005B65B8">
          <w:rPr>
            <w:rFonts w:ascii="Times New Roman" w:eastAsia="NSimSun" w:hAnsi="Times New Roman" w:cs="Times New Roman"/>
            <w:i/>
            <w:color w:val="0000FF"/>
            <w:sz w:val="21"/>
            <w:szCs w:val="21"/>
            <w:u w:val="single"/>
            <w:lang w:val="en-US" w:eastAsia="zh-CN" w:bidi="hi-IN"/>
          </w:rPr>
          <w:t>ru</w:t>
        </w:r>
      </w:hyperlink>
    </w:p>
    <w:p w14:paraId="3297040D" w14:textId="77777777" w:rsidR="005B65B8" w:rsidRPr="005B65B8" w:rsidRDefault="005B65B8" w:rsidP="005B65B8">
      <w:pPr>
        <w:suppressAutoHyphens/>
        <w:spacing w:after="0" w:line="240" w:lineRule="auto"/>
        <w:jc w:val="right"/>
        <w:textAlignment w:val="baseline"/>
        <w:rPr>
          <w:rFonts w:ascii="Liberation Serif" w:eastAsia="NSimSun" w:hAnsi="Liberation Serif" w:cs="Arial" w:hint="eastAsia"/>
          <w:kern w:val="2"/>
          <w:sz w:val="24"/>
          <w:szCs w:val="24"/>
          <w:lang w:val="x-none" w:eastAsia="zh-CN" w:bidi="hi-IN"/>
        </w:rPr>
      </w:pPr>
    </w:p>
    <w:p w14:paraId="66832AAE" w14:textId="77777777" w:rsidR="005B65B8" w:rsidRPr="005B65B8" w:rsidRDefault="005B65B8" w:rsidP="005B65B8">
      <w:pPr>
        <w:tabs>
          <w:tab w:val="left" w:pos="2895"/>
        </w:tabs>
        <w:suppressAutoHyphens/>
        <w:spacing w:after="0" w:line="240" w:lineRule="auto"/>
        <w:jc w:val="center"/>
        <w:textAlignment w:val="baseline"/>
        <w:rPr>
          <w:rFonts w:ascii="Times New Roman" w:eastAsia="NSimSun" w:hAnsi="Times New Roman" w:cs="Times New Roman"/>
          <w:i/>
          <w:kern w:val="2"/>
          <w:sz w:val="21"/>
          <w:szCs w:val="21"/>
          <w:lang w:eastAsia="zh-CN" w:bidi="hi-IN"/>
        </w:rPr>
      </w:pPr>
      <w:r w:rsidRPr="005B65B8">
        <w:rPr>
          <w:rFonts w:ascii="Times New Roman" w:eastAsia="NSimSun" w:hAnsi="Times New Roman" w:cs="Times New Roman"/>
          <w:b/>
          <w:bCs/>
          <w:color w:val="000000"/>
          <w:kern w:val="2"/>
          <w:sz w:val="21"/>
          <w:szCs w:val="21"/>
          <w:lang w:eastAsia="zh-CN" w:bidi="hi-IN"/>
        </w:rPr>
        <w:t>Влияние искусственного интеллекта на образовательные процессы в высших учебных заведениях</w:t>
      </w:r>
    </w:p>
    <w:p w14:paraId="51094BBF" w14:textId="77777777" w:rsidR="005B65B8" w:rsidRPr="005B65B8" w:rsidRDefault="005B65B8" w:rsidP="005B65B8">
      <w:pPr>
        <w:tabs>
          <w:tab w:val="left" w:pos="2895"/>
        </w:tabs>
        <w:suppressAutoHyphens/>
        <w:spacing w:after="0" w:line="240" w:lineRule="auto"/>
        <w:jc w:val="both"/>
        <w:textAlignment w:val="baseline"/>
        <w:rPr>
          <w:rFonts w:ascii="Times New Roman" w:eastAsia="NSimSun" w:hAnsi="Times New Roman" w:cs="Times New Roman"/>
          <w:b/>
          <w:bCs/>
          <w:color w:val="000000"/>
          <w:kern w:val="2"/>
          <w:sz w:val="21"/>
          <w:szCs w:val="21"/>
          <w:lang w:eastAsia="zh-CN" w:bidi="hi-IN"/>
        </w:rPr>
      </w:pPr>
    </w:p>
    <w:p w14:paraId="6CABC5DC" w14:textId="77777777" w:rsidR="005B65B8" w:rsidRPr="005B65B8" w:rsidRDefault="005B65B8" w:rsidP="005B65B8">
      <w:pPr>
        <w:tabs>
          <w:tab w:val="left" w:pos="2895"/>
        </w:tabs>
        <w:suppressAutoHyphens/>
        <w:spacing w:after="0" w:line="240" w:lineRule="auto"/>
        <w:ind w:firstLine="567"/>
        <w:jc w:val="both"/>
        <w:textAlignment w:val="baseline"/>
        <w:rPr>
          <w:rFonts w:ascii="Times New Roman" w:eastAsia="NSimSun" w:hAnsi="Times New Roman" w:cs="Times New Roman"/>
          <w:b/>
          <w:bCs/>
          <w:kern w:val="2"/>
          <w:sz w:val="21"/>
          <w:szCs w:val="21"/>
          <w:lang w:val="x-none" w:eastAsia="zh-CN" w:bidi="hi-IN"/>
        </w:rPr>
      </w:pPr>
      <w:r w:rsidRPr="005B65B8">
        <w:rPr>
          <w:rFonts w:ascii="Times New Roman" w:eastAsia="NSimSun" w:hAnsi="Times New Roman" w:cs="Times New Roman"/>
          <w:b/>
          <w:bCs/>
          <w:color w:val="000000"/>
          <w:kern w:val="2"/>
          <w:sz w:val="21"/>
          <w:szCs w:val="21"/>
          <w:lang w:eastAsia="zh-CN" w:bidi="hi-IN"/>
        </w:rPr>
        <w:t xml:space="preserve">Аннотация. </w:t>
      </w:r>
      <w:r w:rsidRPr="005B65B8">
        <w:rPr>
          <w:rFonts w:ascii="Times New Roman" w:eastAsia="NSimSun" w:hAnsi="Times New Roman" w:cs="Times New Roman"/>
          <w:kern w:val="2"/>
          <w:sz w:val="21"/>
          <w:szCs w:val="21"/>
          <w:lang w:val="x-none" w:eastAsia="zh-CN" w:bidi="hi-IN"/>
        </w:rPr>
        <w:t>В статье рассматривается влияние технологий искусственного интеллекта (ИИ) на процессы обучения в высших учебных заведениях. Анализируются ключевые направления внедрения ИИ в образование: персонализированное обучение, интеллектуальные обучающие системы, автоматизация оценки знаний, а также адаптивные платформы. Подчёркивается значимость использования ИИ для повышения качества образования, доступности знаний и эффективности образовательного взаимодействия. Рассматриваются как преимущества, так и потенциальные риски, связанные с внедрением ИИ в образовательную среду.</w:t>
      </w:r>
    </w:p>
    <w:p w14:paraId="14D28335" w14:textId="77777777" w:rsidR="005B65B8" w:rsidRPr="005B65B8" w:rsidRDefault="005B65B8" w:rsidP="005B65B8">
      <w:pPr>
        <w:suppressAutoHyphens/>
        <w:spacing w:after="0" w:line="240" w:lineRule="auto"/>
        <w:ind w:firstLine="567"/>
        <w:rPr>
          <w:rFonts w:ascii="Times New Roman" w:eastAsia="NSimSun" w:hAnsi="Times New Roman" w:cs="Times New Roman"/>
          <w:i/>
          <w:kern w:val="2"/>
          <w:sz w:val="48"/>
          <w:szCs w:val="48"/>
          <w:lang w:eastAsia="zh-CN" w:bidi="hi-IN"/>
        </w:rPr>
      </w:pPr>
      <w:r w:rsidRPr="005B65B8">
        <w:rPr>
          <w:rFonts w:ascii="Times New Roman" w:eastAsia="NSimSun" w:hAnsi="Times New Roman" w:cs="Times New Roman"/>
          <w:b/>
          <w:bCs/>
          <w:kern w:val="2"/>
          <w:sz w:val="21"/>
          <w:szCs w:val="21"/>
          <w:lang w:eastAsia="zh-CN" w:bidi="hi-IN"/>
        </w:rPr>
        <w:t>Ключевые слова</w:t>
      </w:r>
      <w:r w:rsidRPr="005B65B8">
        <w:rPr>
          <w:rFonts w:ascii="Times New Roman" w:eastAsia="NSimSun" w:hAnsi="Times New Roman" w:cs="Times New Roman"/>
          <w:kern w:val="2"/>
          <w:sz w:val="21"/>
          <w:szCs w:val="21"/>
          <w:lang w:eastAsia="zh-CN" w:bidi="hi-IN"/>
        </w:rPr>
        <w:t>: искусственный интеллект, высшее образование, образовательные технологии, персонализация обучения, интеллектуальные системы.</w:t>
      </w:r>
    </w:p>
    <w:p w14:paraId="6B004C83" w14:textId="77777777" w:rsidR="005B65B8" w:rsidRPr="005B65B8" w:rsidRDefault="005B65B8" w:rsidP="005B65B8">
      <w:pPr>
        <w:tabs>
          <w:tab w:val="left" w:pos="2895"/>
        </w:tabs>
        <w:suppressAutoHyphens/>
        <w:spacing w:after="0" w:line="240" w:lineRule="auto"/>
        <w:jc w:val="right"/>
        <w:textAlignment w:val="baseline"/>
        <w:rPr>
          <w:rFonts w:ascii="Times New Roman" w:eastAsia="NSimSun" w:hAnsi="Times New Roman" w:cs="Times New Roman"/>
          <w:b/>
          <w:i/>
          <w:kern w:val="2"/>
          <w:sz w:val="21"/>
          <w:szCs w:val="21"/>
          <w:lang w:eastAsia="zh-CN" w:bidi="hi-IN"/>
        </w:rPr>
      </w:pPr>
    </w:p>
    <w:p w14:paraId="058429A4" w14:textId="77777777" w:rsidR="005B65B8" w:rsidRPr="005B65B8" w:rsidRDefault="005B65B8" w:rsidP="005B65B8">
      <w:pPr>
        <w:tabs>
          <w:tab w:val="left" w:pos="2895"/>
        </w:tabs>
        <w:suppressAutoHyphens/>
        <w:spacing w:after="0" w:line="240" w:lineRule="auto"/>
        <w:jc w:val="right"/>
        <w:textAlignment w:val="baseline"/>
        <w:rPr>
          <w:rFonts w:ascii="Times New Roman" w:eastAsia="NSimSun" w:hAnsi="Times New Roman" w:cs="Times New Roman"/>
          <w:i/>
          <w:kern w:val="2"/>
          <w:sz w:val="21"/>
          <w:szCs w:val="21"/>
          <w:lang w:val="en-US" w:eastAsia="zh-CN" w:bidi="hi-IN"/>
        </w:rPr>
      </w:pPr>
      <w:r w:rsidRPr="005B65B8">
        <w:rPr>
          <w:rFonts w:ascii="Times New Roman" w:eastAsia="NSimSun" w:hAnsi="Times New Roman" w:cs="Times New Roman"/>
          <w:b/>
          <w:i/>
          <w:kern w:val="2"/>
          <w:sz w:val="21"/>
          <w:szCs w:val="21"/>
          <w:lang w:val="en-US" w:eastAsia="zh-CN" w:bidi="hi-IN"/>
        </w:rPr>
        <w:t>Stepanuyk D.A.,</w:t>
      </w:r>
    </w:p>
    <w:p w14:paraId="3A3E295B" w14:textId="77777777" w:rsidR="005B65B8" w:rsidRPr="005B65B8" w:rsidRDefault="005B65B8" w:rsidP="005B65B8">
      <w:pPr>
        <w:suppressAutoHyphens/>
        <w:spacing w:after="0" w:line="240" w:lineRule="auto"/>
        <w:ind w:firstLine="567"/>
        <w:jc w:val="right"/>
        <w:rPr>
          <w:rFonts w:ascii="Times New Roman" w:eastAsia="Calibri" w:hAnsi="Times New Roman" w:cs="Times New Roman"/>
          <w:b/>
          <w:i/>
          <w:kern w:val="2"/>
          <w:sz w:val="21"/>
          <w:szCs w:val="21"/>
          <w:lang w:val="en-US"/>
        </w:rPr>
      </w:pPr>
      <w:r w:rsidRPr="005B65B8">
        <w:rPr>
          <w:rFonts w:ascii="Times New Roman" w:eastAsia="NSimSun" w:hAnsi="Times New Roman" w:cs="Times New Roman"/>
          <w:i/>
          <w:kern w:val="2"/>
          <w:sz w:val="21"/>
          <w:szCs w:val="21"/>
          <w:lang w:val="en-US" w:eastAsia="zh-CN" w:bidi="hi-IN"/>
        </w:rPr>
        <w:t>student,</w:t>
      </w:r>
      <w:r w:rsidRPr="005B65B8">
        <w:rPr>
          <w:rFonts w:ascii="Times New Roman" w:eastAsia="NSimSun" w:hAnsi="Times New Roman" w:cs="Times New Roman"/>
          <w:i/>
          <w:kern w:val="2"/>
          <w:sz w:val="24"/>
          <w:szCs w:val="24"/>
          <w:lang w:val="en-US" w:eastAsia="zh-CN" w:bidi="hi-IN"/>
        </w:rPr>
        <w:t xml:space="preserve"> </w:t>
      </w:r>
      <w:r w:rsidRPr="005B65B8">
        <w:rPr>
          <w:rFonts w:ascii="Times New Roman" w:eastAsia="NSimSun" w:hAnsi="Times New Roman" w:cs="Times New Roman"/>
          <w:i/>
          <w:kern w:val="2"/>
          <w:sz w:val="21"/>
          <w:szCs w:val="21"/>
          <w:lang w:val="en-US" w:eastAsia="zh-CN" w:bidi="hi-IN"/>
        </w:rPr>
        <w:t>2 courses</w:t>
      </w:r>
      <w:r w:rsidRPr="005B65B8">
        <w:rPr>
          <w:rFonts w:ascii="Times New Roman" w:eastAsia="NSimSun" w:hAnsi="Times New Roman" w:cs="Times New Roman"/>
          <w:b/>
          <w:i/>
          <w:kern w:val="2"/>
          <w:sz w:val="21"/>
          <w:szCs w:val="21"/>
          <w:lang w:val="en-US" w:eastAsia="zh-CN" w:bidi="hi-IN"/>
        </w:rPr>
        <w:t xml:space="preserve"> </w:t>
      </w:r>
    </w:p>
    <w:p w14:paraId="7DC56B69"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i/>
          <w:kern w:val="2"/>
          <w:sz w:val="21"/>
          <w:szCs w:val="21"/>
          <w:lang w:val="en-US" w:eastAsia="zh-CN" w:bidi="hi-IN"/>
        </w:rPr>
      </w:pPr>
      <w:r w:rsidRPr="005B65B8">
        <w:rPr>
          <w:rFonts w:ascii="Times New Roman" w:eastAsia="NSimSun" w:hAnsi="Times New Roman" w:cs="Times New Roman"/>
          <w:i/>
          <w:kern w:val="2"/>
          <w:sz w:val="21"/>
          <w:szCs w:val="21"/>
          <w:lang w:val="en-US" w:eastAsia="zh-CN" w:bidi="hi-IN"/>
        </w:rPr>
        <w:t xml:space="preserve">Financial University under the Government of the Russian Federation </w:t>
      </w:r>
    </w:p>
    <w:p w14:paraId="19B695CE"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i/>
          <w:kern w:val="2"/>
          <w:sz w:val="21"/>
          <w:szCs w:val="21"/>
          <w:lang w:val="en-US" w:eastAsia="ja-JP" w:bidi="hi-IN"/>
        </w:rPr>
      </w:pPr>
      <w:r w:rsidRPr="005B65B8">
        <w:rPr>
          <w:rFonts w:ascii="Times New Roman" w:eastAsia="NSimSun" w:hAnsi="Times New Roman" w:cs="Times New Roman"/>
          <w:i/>
          <w:sz w:val="21"/>
          <w:szCs w:val="21"/>
          <w:lang w:val="en-US" w:eastAsia="ar-SA" w:bidi="hi-IN"/>
        </w:rPr>
        <w:t>Krasnodar, Russia</w:t>
      </w:r>
    </w:p>
    <w:p w14:paraId="0C9DC0A7"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i/>
          <w:kern w:val="2"/>
          <w:sz w:val="21"/>
          <w:szCs w:val="21"/>
          <w:lang w:val="en-US" w:eastAsia="zh-CN" w:bidi="hi-IN"/>
        </w:rPr>
      </w:pPr>
      <w:r w:rsidRPr="005B65B8">
        <w:rPr>
          <w:rFonts w:ascii="Times New Roman" w:eastAsia="NSimSun" w:hAnsi="Times New Roman" w:cs="Times New Roman"/>
          <w:i/>
          <w:kern w:val="2"/>
          <w:sz w:val="21"/>
          <w:szCs w:val="21"/>
          <w:lang w:eastAsia="ja-JP" w:bidi="hi-IN"/>
        </w:rPr>
        <w:t>е</w:t>
      </w:r>
      <w:r w:rsidRPr="005B65B8">
        <w:rPr>
          <w:rFonts w:ascii="Times New Roman" w:eastAsia="NSimSun" w:hAnsi="Times New Roman" w:cs="Times New Roman"/>
          <w:i/>
          <w:kern w:val="2"/>
          <w:sz w:val="21"/>
          <w:szCs w:val="21"/>
          <w:lang w:val="en-US" w:eastAsia="zh-CN" w:bidi="hi-IN"/>
        </w:rPr>
        <w:t xml:space="preserve">-mail: </w:t>
      </w:r>
      <w:r w:rsidRPr="005B65B8">
        <w:rPr>
          <w:rFonts w:ascii="Times New Roman" w:eastAsia="NSimSun" w:hAnsi="Times New Roman" w:cs="Times New Roman"/>
          <w:i/>
          <w:color w:val="0000FF"/>
          <w:kern w:val="2"/>
          <w:sz w:val="21"/>
          <w:szCs w:val="21"/>
          <w:u w:val="single"/>
          <w:lang w:val="en-US" w:eastAsia="zh-CN" w:bidi="hi-IN"/>
        </w:rPr>
        <w:t>14-14-2014@mail.ru</w:t>
      </w:r>
    </w:p>
    <w:p w14:paraId="1AF47EB8"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i/>
          <w:kern w:val="2"/>
          <w:sz w:val="21"/>
          <w:szCs w:val="21"/>
          <w:lang w:val="en-US" w:eastAsia="zh-CN" w:bidi="hi-IN"/>
        </w:rPr>
      </w:pPr>
    </w:p>
    <w:p w14:paraId="30AE073A" w14:textId="77777777" w:rsidR="005B65B8" w:rsidRPr="005B65B8" w:rsidRDefault="005B65B8" w:rsidP="005B65B8">
      <w:pPr>
        <w:suppressAutoHyphens/>
        <w:spacing w:after="0" w:line="240" w:lineRule="auto"/>
        <w:ind w:firstLine="567"/>
        <w:jc w:val="right"/>
        <w:rPr>
          <w:rFonts w:ascii="Times New Roman" w:eastAsia="Calibri" w:hAnsi="Times New Roman" w:cs="Times New Roman"/>
          <w:b/>
          <w:i/>
          <w:kern w:val="2"/>
          <w:sz w:val="21"/>
          <w:szCs w:val="21"/>
          <w:lang w:val="en-US"/>
        </w:rPr>
      </w:pPr>
      <w:r w:rsidRPr="005B65B8">
        <w:rPr>
          <w:rFonts w:ascii="Times New Roman" w:eastAsia="NSimSun" w:hAnsi="Times New Roman" w:cs="Times New Roman"/>
          <w:b/>
          <w:i/>
          <w:kern w:val="2"/>
          <w:sz w:val="21"/>
          <w:szCs w:val="21"/>
          <w:lang w:val="en-US" w:eastAsia="zh-CN" w:bidi="hi-IN"/>
        </w:rPr>
        <w:t>Scientific Adviser:</w:t>
      </w:r>
    </w:p>
    <w:p w14:paraId="1F580042"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b/>
          <w:i/>
          <w:kern w:val="2"/>
          <w:sz w:val="21"/>
          <w:szCs w:val="21"/>
          <w:lang w:val="en-US" w:eastAsia="zh-CN" w:bidi="hi-IN"/>
        </w:rPr>
      </w:pPr>
      <w:r w:rsidRPr="005B65B8">
        <w:rPr>
          <w:rFonts w:ascii="Times New Roman" w:eastAsia="NSimSun" w:hAnsi="Times New Roman" w:cs="Times New Roman"/>
          <w:b/>
          <w:i/>
          <w:kern w:val="2"/>
          <w:sz w:val="21"/>
          <w:szCs w:val="21"/>
          <w:lang w:val="en-US" w:eastAsia="zh-CN" w:bidi="hi-IN"/>
        </w:rPr>
        <w:t>Pyankova N.G.,</w:t>
      </w:r>
    </w:p>
    <w:p w14:paraId="0E0EA2B2" w14:textId="77777777" w:rsidR="005B65B8" w:rsidRPr="005B65B8" w:rsidRDefault="005B65B8" w:rsidP="005B65B8">
      <w:pPr>
        <w:suppressAutoHyphens/>
        <w:spacing w:after="0" w:line="240" w:lineRule="auto"/>
        <w:ind w:firstLine="567"/>
        <w:jc w:val="right"/>
        <w:textAlignment w:val="baseline"/>
        <w:rPr>
          <w:rFonts w:ascii="Calibri" w:eastAsia="Times New Roman" w:hAnsi="Calibri" w:cs="Times New Roman"/>
          <w:i/>
          <w:kern w:val="2"/>
          <w:sz w:val="21"/>
          <w:szCs w:val="21"/>
          <w:lang w:val="en" w:eastAsia="ar-SA" w:bidi="hi-IN"/>
        </w:rPr>
      </w:pPr>
      <w:r w:rsidRPr="005B65B8">
        <w:rPr>
          <w:rFonts w:ascii="Times New Roman" w:eastAsia="Times New Roman" w:hAnsi="Times New Roman" w:cs="Times New Roman"/>
          <w:i/>
          <w:kern w:val="2"/>
          <w:sz w:val="21"/>
          <w:szCs w:val="21"/>
          <w:lang w:val="en" w:eastAsia="ar-SA" w:bidi="hi-IN"/>
        </w:rPr>
        <w:t>Candidate of Pedagogical Sciences, Docent</w:t>
      </w:r>
      <w:r w:rsidRPr="005B65B8">
        <w:rPr>
          <w:rFonts w:ascii="Liberation Serif" w:eastAsia="Times New Roman" w:hAnsi="Liberation Serif" w:cs="Times New Roman"/>
          <w:i/>
          <w:kern w:val="2"/>
          <w:sz w:val="21"/>
          <w:szCs w:val="21"/>
          <w:lang w:val="en" w:eastAsia="ar-SA" w:bidi="hi-IN"/>
        </w:rPr>
        <w:t xml:space="preserve"> </w:t>
      </w:r>
    </w:p>
    <w:p w14:paraId="62843B69" w14:textId="77777777" w:rsidR="005B65B8" w:rsidRPr="005B65B8" w:rsidRDefault="005B65B8" w:rsidP="005B65B8">
      <w:pPr>
        <w:suppressAutoHyphens/>
        <w:spacing w:after="0" w:line="240" w:lineRule="auto"/>
        <w:ind w:firstLine="567"/>
        <w:jc w:val="right"/>
        <w:rPr>
          <w:rFonts w:ascii="Times New Roman" w:eastAsia="Calibri" w:hAnsi="Times New Roman" w:cs="Times New Roman"/>
          <w:i/>
          <w:kern w:val="2"/>
          <w:sz w:val="21"/>
          <w:szCs w:val="21"/>
          <w:lang w:val="en-US" w:bidi="hi-IN"/>
        </w:rPr>
      </w:pPr>
      <w:r w:rsidRPr="005B65B8">
        <w:rPr>
          <w:rFonts w:ascii="Times New Roman" w:eastAsia="NSimSun" w:hAnsi="Times New Roman" w:cs="Times New Roman"/>
          <w:i/>
          <w:kern w:val="2"/>
          <w:sz w:val="21"/>
          <w:szCs w:val="21"/>
          <w:lang w:val="en-US" w:eastAsia="zh-CN" w:bidi="hi-IN"/>
        </w:rPr>
        <w:t>Financial University under the Government of the Russian Federation</w:t>
      </w:r>
    </w:p>
    <w:p w14:paraId="05E8268E" w14:textId="77777777" w:rsidR="005B65B8" w:rsidRPr="005B65B8" w:rsidRDefault="005B65B8" w:rsidP="005B65B8">
      <w:pPr>
        <w:suppressAutoHyphens/>
        <w:spacing w:after="0" w:line="240" w:lineRule="auto"/>
        <w:ind w:firstLine="567"/>
        <w:jc w:val="right"/>
        <w:rPr>
          <w:rFonts w:ascii="Times New Roman" w:eastAsia="NSimSun" w:hAnsi="Times New Roman" w:cs="Times New Roman"/>
          <w:i/>
          <w:kern w:val="2"/>
          <w:sz w:val="21"/>
          <w:szCs w:val="21"/>
          <w:lang w:val="en-US" w:eastAsia="zh-CN" w:bidi="hi-IN"/>
        </w:rPr>
      </w:pPr>
      <w:r w:rsidRPr="005B65B8">
        <w:rPr>
          <w:rFonts w:ascii="Times New Roman" w:eastAsia="NSimSun" w:hAnsi="Times New Roman" w:cs="Times New Roman"/>
          <w:i/>
          <w:kern w:val="2"/>
          <w:sz w:val="21"/>
          <w:szCs w:val="21"/>
          <w:lang w:val="en-US" w:eastAsia="zh-CN" w:bidi="hi-IN"/>
        </w:rPr>
        <w:t>Krasnodar, Russia</w:t>
      </w:r>
    </w:p>
    <w:p w14:paraId="361BCF48" w14:textId="77777777" w:rsidR="005B65B8" w:rsidRPr="005B65B8" w:rsidRDefault="005B65B8" w:rsidP="005B65B8">
      <w:pPr>
        <w:suppressAutoHyphens/>
        <w:spacing w:after="0" w:line="240" w:lineRule="auto"/>
        <w:ind w:firstLine="567"/>
        <w:jc w:val="right"/>
        <w:textAlignment w:val="baseline"/>
        <w:rPr>
          <w:rFonts w:ascii="Times New Roman" w:eastAsia="NSimSun" w:hAnsi="Times New Roman" w:cs="Times New Roman"/>
          <w:i/>
          <w:kern w:val="2"/>
          <w:sz w:val="21"/>
          <w:szCs w:val="21"/>
          <w:lang w:val="en-US" w:eastAsia="zh-CN" w:bidi="hi-IN"/>
        </w:rPr>
      </w:pPr>
      <w:r w:rsidRPr="005B65B8">
        <w:rPr>
          <w:rFonts w:ascii="Times New Roman" w:eastAsia="NSimSun" w:hAnsi="Times New Roman" w:cs="Times New Roman"/>
          <w:i/>
          <w:kern w:val="2"/>
          <w:sz w:val="21"/>
          <w:szCs w:val="21"/>
          <w:lang w:eastAsia="zh-CN" w:bidi="hi-IN"/>
        </w:rPr>
        <w:t>е</w:t>
      </w:r>
      <w:r w:rsidRPr="005B65B8">
        <w:rPr>
          <w:rFonts w:ascii="Times New Roman" w:eastAsia="NSimSun" w:hAnsi="Times New Roman" w:cs="Times New Roman"/>
          <w:i/>
          <w:kern w:val="2"/>
          <w:sz w:val="21"/>
          <w:szCs w:val="21"/>
          <w:lang w:val="en-US" w:eastAsia="zh-CN" w:bidi="hi-IN"/>
        </w:rPr>
        <w:t xml:space="preserve">-mail: </w:t>
      </w:r>
      <w:hyperlink r:id="rId538" w:history="1">
        <w:r w:rsidRPr="005B65B8">
          <w:rPr>
            <w:rFonts w:ascii="Times New Roman" w:eastAsia="NSimSun" w:hAnsi="Times New Roman" w:cs="Times New Roman"/>
            <w:i/>
            <w:color w:val="0000FF"/>
            <w:kern w:val="2"/>
            <w:sz w:val="21"/>
            <w:szCs w:val="21"/>
            <w:u w:val="single"/>
            <w:lang w:val="en-US" w:eastAsia="zh-CN" w:bidi="hi-IN"/>
          </w:rPr>
          <w:t>NGPyankova@fa.ru</w:t>
        </w:r>
      </w:hyperlink>
    </w:p>
    <w:p w14:paraId="63EBD1C0" w14:textId="77777777" w:rsidR="005B65B8" w:rsidRPr="005B65B8" w:rsidRDefault="005B65B8" w:rsidP="005B65B8">
      <w:pPr>
        <w:tabs>
          <w:tab w:val="left" w:pos="2895"/>
        </w:tabs>
        <w:suppressAutoHyphens/>
        <w:spacing w:after="0" w:line="240" w:lineRule="auto"/>
        <w:jc w:val="right"/>
        <w:textAlignment w:val="baseline"/>
        <w:rPr>
          <w:rFonts w:ascii="Times New Roman" w:eastAsia="NSimSun" w:hAnsi="Times New Roman" w:cs="Times New Roman"/>
          <w:i/>
          <w:color w:val="0000FF"/>
          <w:kern w:val="2"/>
          <w:sz w:val="21"/>
          <w:szCs w:val="21"/>
          <w:u w:val="single"/>
          <w:lang w:val="en-US" w:eastAsia="zh-CN" w:bidi="hi-IN"/>
        </w:rPr>
      </w:pPr>
    </w:p>
    <w:p w14:paraId="23BAA9BF" w14:textId="77777777" w:rsidR="005B65B8" w:rsidRPr="005B65B8" w:rsidRDefault="005B65B8" w:rsidP="005B65B8">
      <w:pPr>
        <w:tabs>
          <w:tab w:val="left" w:pos="2895"/>
        </w:tabs>
        <w:suppressAutoHyphens/>
        <w:spacing w:after="0" w:line="240" w:lineRule="auto"/>
        <w:jc w:val="center"/>
        <w:textAlignment w:val="baseline"/>
        <w:rPr>
          <w:rFonts w:ascii="Times New Roman" w:eastAsia="NSimSun" w:hAnsi="Times New Roman" w:cs="Times New Roman"/>
          <w:b/>
          <w:bCs/>
          <w:kern w:val="2"/>
          <w:sz w:val="21"/>
          <w:szCs w:val="21"/>
          <w:lang w:val="en-US" w:eastAsia="zh-CN" w:bidi="hi-IN"/>
        </w:rPr>
      </w:pPr>
      <w:r w:rsidRPr="005B65B8">
        <w:rPr>
          <w:rFonts w:ascii="Times New Roman" w:eastAsia="NSimSun" w:hAnsi="Times New Roman" w:cs="Times New Roman"/>
          <w:b/>
          <w:bCs/>
          <w:kern w:val="2"/>
          <w:sz w:val="21"/>
          <w:szCs w:val="21"/>
          <w:lang w:val="en-US" w:eastAsia="zh-CN" w:bidi="hi-IN"/>
        </w:rPr>
        <w:t>The impact of Artificial intelligence of Educational Processes in Higher Education institutions</w:t>
      </w:r>
    </w:p>
    <w:p w14:paraId="4B0EB863" w14:textId="77777777" w:rsidR="005B65B8" w:rsidRPr="005B65B8" w:rsidRDefault="005B65B8" w:rsidP="005B65B8">
      <w:pPr>
        <w:tabs>
          <w:tab w:val="left" w:pos="2895"/>
        </w:tabs>
        <w:suppressAutoHyphens/>
        <w:spacing w:after="0" w:line="240" w:lineRule="auto"/>
        <w:textAlignment w:val="baseline"/>
        <w:rPr>
          <w:rFonts w:ascii="Times New Roman" w:eastAsia="NSimSun" w:hAnsi="Times New Roman" w:cs="Times New Roman"/>
          <w:b/>
          <w:bCs/>
          <w:kern w:val="2"/>
          <w:sz w:val="21"/>
          <w:szCs w:val="21"/>
          <w:lang w:val="en-US" w:eastAsia="zh-CN" w:bidi="hi-IN"/>
        </w:rPr>
      </w:pPr>
    </w:p>
    <w:p w14:paraId="0EC48A0E" w14:textId="77777777" w:rsidR="005B65B8" w:rsidRPr="005B65B8" w:rsidRDefault="005B65B8" w:rsidP="005B65B8">
      <w:pPr>
        <w:tabs>
          <w:tab w:val="left" w:pos="2895"/>
        </w:tabs>
        <w:suppressAutoHyphens/>
        <w:spacing w:after="0" w:line="240" w:lineRule="auto"/>
        <w:ind w:firstLine="709"/>
        <w:jc w:val="both"/>
        <w:textAlignment w:val="baseline"/>
        <w:rPr>
          <w:rFonts w:ascii="Times New Roman" w:eastAsia="NSimSun" w:hAnsi="Times New Roman" w:cs="Times New Roman"/>
          <w:b/>
          <w:bCs/>
          <w:kern w:val="2"/>
          <w:sz w:val="21"/>
          <w:szCs w:val="21"/>
          <w:lang w:val="en-US" w:eastAsia="zh-CN" w:bidi="hi-IN"/>
        </w:rPr>
      </w:pPr>
      <w:r w:rsidRPr="005B65B8">
        <w:rPr>
          <w:rFonts w:ascii="Times New Roman" w:eastAsia="NSimSun" w:hAnsi="Times New Roman" w:cs="Times New Roman"/>
          <w:b/>
          <w:bCs/>
          <w:kern w:val="2"/>
          <w:sz w:val="21"/>
          <w:szCs w:val="21"/>
          <w:lang w:val="en-US" w:eastAsia="zh-CN" w:bidi="hi-IN"/>
        </w:rPr>
        <w:t xml:space="preserve">Abstract. </w:t>
      </w:r>
      <w:r w:rsidRPr="005B65B8">
        <w:rPr>
          <w:rFonts w:ascii="Times New Roman" w:eastAsia="NSimSun" w:hAnsi="Times New Roman" w:cs="Times New Roman"/>
          <w:kern w:val="2"/>
          <w:sz w:val="21"/>
          <w:szCs w:val="21"/>
          <w:lang w:val="en-US" w:eastAsia="zh-CN" w:bidi="hi-IN"/>
        </w:rPr>
        <w:t>The article examines the impact of artificial intelligence (AI) technologies on learning processes in higher education institutions. Key areas of AI implementation in education are analyzed: personalized learning, intelligent learning systems, automation of knowledge assessment, and adaptive platforms. The importance of using AI is emphasized to improve the quality of education, the availability of knowledge and the effectiveness of educational interaction. Both the benefits and potential risks associated with the introduction of AI into the educational environment are considered.</w:t>
      </w:r>
    </w:p>
    <w:p w14:paraId="24F0F7A1" w14:textId="77777777" w:rsidR="005B65B8" w:rsidRPr="005B65B8" w:rsidRDefault="005B65B8" w:rsidP="005B65B8">
      <w:pPr>
        <w:tabs>
          <w:tab w:val="left" w:pos="2895"/>
        </w:tabs>
        <w:suppressAutoHyphens/>
        <w:spacing w:after="0" w:line="240" w:lineRule="auto"/>
        <w:ind w:firstLine="709"/>
        <w:jc w:val="both"/>
        <w:textAlignment w:val="baseline"/>
        <w:rPr>
          <w:rFonts w:ascii="Times New Roman" w:eastAsia="NSimSun" w:hAnsi="Times New Roman" w:cs="Times New Roman"/>
          <w:kern w:val="2"/>
          <w:sz w:val="21"/>
          <w:szCs w:val="21"/>
          <w:lang w:val="en-US" w:eastAsia="zh-CN" w:bidi="hi-IN"/>
        </w:rPr>
      </w:pPr>
      <w:r w:rsidRPr="005B65B8">
        <w:rPr>
          <w:rFonts w:ascii="Times New Roman" w:eastAsia="NSimSun" w:hAnsi="Times New Roman" w:cs="Times New Roman"/>
          <w:b/>
          <w:bCs/>
          <w:kern w:val="2"/>
          <w:sz w:val="21"/>
          <w:szCs w:val="21"/>
          <w:lang w:val="en-US" w:eastAsia="zh-CN" w:bidi="hi-IN"/>
        </w:rPr>
        <w:t>Keywords:</w:t>
      </w:r>
      <w:r w:rsidRPr="005B65B8">
        <w:rPr>
          <w:rFonts w:ascii="Times New Roman" w:eastAsia="NSimSun" w:hAnsi="Times New Roman" w:cs="Times New Roman"/>
          <w:kern w:val="2"/>
          <w:sz w:val="21"/>
          <w:szCs w:val="21"/>
          <w:lang w:val="en-US" w:eastAsia="zh-CN" w:bidi="hi-IN"/>
        </w:rPr>
        <w:t xml:space="preserve"> artificial intelligence, higher education, educational technologies, personalization of learning, intelligent systems.</w:t>
      </w:r>
    </w:p>
    <w:p w14:paraId="4B58AC56" w14:textId="77777777" w:rsidR="005B65B8" w:rsidRPr="005B65B8" w:rsidRDefault="005B65B8" w:rsidP="005B65B8">
      <w:pPr>
        <w:tabs>
          <w:tab w:val="left" w:pos="2895"/>
        </w:tabs>
        <w:suppressAutoHyphens/>
        <w:spacing w:after="0" w:line="240" w:lineRule="auto"/>
        <w:jc w:val="both"/>
        <w:textAlignment w:val="baseline"/>
        <w:rPr>
          <w:rFonts w:ascii="Times New Roman" w:eastAsia="NSimSun" w:hAnsi="Times New Roman" w:cs="Times New Roman"/>
          <w:color w:val="000000"/>
          <w:kern w:val="2"/>
          <w:sz w:val="32"/>
          <w:szCs w:val="32"/>
          <w:lang w:val="en-US" w:eastAsia="zh-CN" w:bidi="hi-IN"/>
        </w:rPr>
      </w:pPr>
    </w:p>
    <w:p w14:paraId="23D838B5" w14:textId="77777777" w:rsidR="005B65B8" w:rsidRPr="005B65B8" w:rsidRDefault="005B65B8" w:rsidP="005B65B8">
      <w:pPr>
        <w:tabs>
          <w:tab w:val="left" w:pos="2895"/>
        </w:tabs>
        <w:suppressAutoHyphens/>
        <w:spacing w:after="0" w:line="240" w:lineRule="auto"/>
        <w:ind w:firstLine="709"/>
        <w:jc w:val="both"/>
        <w:textAlignment w:val="baseline"/>
        <w:rPr>
          <w:rFonts w:ascii="Liberation Serif" w:eastAsia="NSimSun" w:hAnsi="Liberation Serif" w:cs="Arial" w:hint="eastAsia"/>
          <w:kern w:val="2"/>
          <w:sz w:val="24"/>
          <w:szCs w:val="24"/>
          <w:lang w:val="x-none" w:eastAsia="zh-CN" w:bidi="hi-IN"/>
        </w:rPr>
      </w:pPr>
      <w:r w:rsidRPr="005B65B8">
        <w:rPr>
          <w:rFonts w:ascii="Times New Roman" w:eastAsia="NSimSun" w:hAnsi="Times New Roman" w:cs="Times New Roman"/>
          <w:color w:val="000000"/>
          <w:kern w:val="2"/>
          <w:sz w:val="32"/>
          <w:szCs w:val="32"/>
          <w:lang w:eastAsia="zh-CN" w:bidi="hi-IN"/>
        </w:rPr>
        <w:t xml:space="preserve">На современном этапе в образовании наблюдается внедрение новых цифровых технологий. В настоящее время популярность набирает искусственный интеллект (ИИ). ИИ в образовании помогает подстроить обучение под каждого студента индивидуально, также может помочь в поиске нужной информации, объяснить в подробностях конкретные темы. Преподавателям он может помочь в создании учебных материалов, упростить и ускорить проверку заданий. Цель данного исследования – разобраться, каким образом внедрение ИИ влияет на образовательные процессы в высших учебных заведениях. Помогая студентам, искусственный интеллект опирается </w:t>
      </w:r>
      <w:r w:rsidRPr="005B65B8">
        <w:rPr>
          <w:rFonts w:ascii="Times New Roman" w:eastAsia="NSimSun" w:hAnsi="Times New Roman" w:cs="Times New Roman"/>
          <w:color w:val="000000"/>
          <w:kern w:val="2"/>
          <w:sz w:val="32"/>
          <w:szCs w:val="32"/>
          <w:lang w:eastAsia="zh-CN" w:bidi="hi-IN"/>
        </w:rPr>
        <w:lastRenderedPageBreak/>
        <w:t xml:space="preserve">на информацию из областей информатики, педагогики, математики, и т. д., всё зависит от заданного вопроса. Искусственный интеллект способен правильно обрабатывать информацию, заданную студентом, и выдавать правильные, грамотно поставленные решения [1]. Одним из главных направлений по внедрению ИИ является создание персонализированного обучения, идея которого заключается в отдалении от стандартного метода обучения, при этом делается упор на индивидуальный подход. Такая система поможет указывать на сильные и слабые стороны учащихся, а также минимизировать ошибки. Это будет способствовать повышению успеваемости, развитию грамотных специалистов. С теоретической точки зрения в основе этого подхода предполагается, что знания ученика приобретаются за счет взаимодействия с другими людьми. ИИ сможет реализовать этот принцип через задания, правильно изложенный материал, где есть способность регулировать объём текста, исключая лишнее, чтобы удержать интерес обучающегося [2]. ИИ постоянно развивается, заимствуя абсолютно всё, что было придумано человеком, и находится в открытом доступе. </w:t>
      </w:r>
      <w:r w:rsidRPr="005B65B8">
        <w:rPr>
          <w:rFonts w:ascii="Times New Roman" w:eastAsia="NSimSun" w:hAnsi="Times New Roman" w:cs="Times New Roman"/>
          <w:kern w:val="2"/>
          <w:sz w:val="32"/>
          <w:szCs w:val="32"/>
          <w:lang w:val="x-none" w:eastAsia="zh-CN" w:bidi="hi-IN"/>
        </w:rPr>
        <w:t xml:space="preserve">Таким образом, можно понять, что ИИ </w:t>
      </w:r>
      <w:r w:rsidRPr="005B65B8">
        <w:rPr>
          <w:rFonts w:ascii="Times New Roman" w:eastAsia="NSimSun" w:hAnsi="Times New Roman" w:cs="Times New Roman"/>
          <w:kern w:val="2"/>
          <w:sz w:val="32"/>
          <w:szCs w:val="32"/>
          <w:lang w:eastAsia="zh-CN" w:bidi="hi-IN"/>
        </w:rPr>
        <w:t xml:space="preserve">способен </w:t>
      </w:r>
      <w:r w:rsidRPr="005B65B8">
        <w:rPr>
          <w:rFonts w:ascii="Times New Roman" w:eastAsia="NSimSun" w:hAnsi="Times New Roman" w:cs="Times New Roman"/>
          <w:kern w:val="2"/>
          <w:sz w:val="32"/>
          <w:szCs w:val="32"/>
          <w:lang w:val="x-none" w:eastAsia="zh-CN" w:bidi="hi-IN"/>
        </w:rPr>
        <w:t>быть актуал</w:t>
      </w:r>
      <w:r w:rsidRPr="005B65B8">
        <w:rPr>
          <w:rFonts w:ascii="Times New Roman" w:eastAsia="NSimSun" w:hAnsi="Times New Roman" w:cs="Times New Roman"/>
          <w:kern w:val="2"/>
          <w:sz w:val="32"/>
          <w:szCs w:val="32"/>
          <w:lang w:eastAsia="zh-CN" w:bidi="hi-IN"/>
        </w:rPr>
        <w:t>ьным</w:t>
      </w:r>
      <w:r w:rsidRPr="005B65B8">
        <w:rPr>
          <w:rFonts w:ascii="Times New Roman" w:eastAsia="NSimSun" w:hAnsi="Times New Roman" w:cs="Times New Roman"/>
          <w:kern w:val="2"/>
          <w:sz w:val="32"/>
          <w:szCs w:val="32"/>
          <w:lang w:val="x-none" w:eastAsia="zh-CN" w:bidi="hi-IN"/>
        </w:rPr>
        <w:t xml:space="preserve"> всегда.</w:t>
      </w:r>
    </w:p>
    <w:p w14:paraId="39044CF3" w14:textId="57311AB0" w:rsidR="005B65B8" w:rsidRPr="005B65B8" w:rsidRDefault="005B65B8" w:rsidP="005B65B8">
      <w:pPr>
        <w:tabs>
          <w:tab w:val="left" w:pos="2895"/>
        </w:tabs>
        <w:suppressAutoHyphens/>
        <w:spacing w:after="0" w:line="240" w:lineRule="auto"/>
        <w:ind w:firstLine="709"/>
        <w:jc w:val="both"/>
        <w:textAlignment w:val="baseline"/>
        <w:rPr>
          <w:rFonts w:ascii="Liberation Serif" w:eastAsia="NSimSun" w:hAnsi="Liberation Serif" w:cs="Arial" w:hint="eastAsia"/>
          <w:kern w:val="2"/>
          <w:sz w:val="24"/>
          <w:szCs w:val="24"/>
          <w:lang w:val="x-none" w:eastAsia="zh-CN" w:bidi="hi-IN"/>
        </w:rPr>
      </w:pPr>
      <w:r w:rsidRPr="005B65B8">
        <w:rPr>
          <w:rFonts w:ascii="Times New Roman" w:eastAsia="NSimSun" w:hAnsi="Times New Roman" w:cs="Times New Roman"/>
          <w:color w:val="000000"/>
          <w:kern w:val="2"/>
          <w:sz w:val="32"/>
          <w:szCs w:val="32"/>
          <w:lang w:val="x-none" w:eastAsia="zh-CN" w:bidi="hi-IN"/>
        </w:rPr>
        <w:t>Благодаря</w:t>
      </w:r>
      <w:r w:rsidRPr="005B65B8">
        <w:rPr>
          <w:rFonts w:ascii="Times New Roman" w:eastAsia="NSimSun" w:hAnsi="Times New Roman" w:cs="Times New Roman"/>
          <w:color w:val="000000"/>
          <w:kern w:val="2"/>
          <w:sz w:val="32"/>
          <w:szCs w:val="32"/>
          <w:lang w:eastAsia="zh-CN" w:bidi="hi-IN"/>
        </w:rPr>
        <w:t xml:space="preserve"> алгоритмам </w:t>
      </w:r>
      <w:r w:rsidRPr="005B65B8">
        <w:rPr>
          <w:rFonts w:ascii="Times New Roman" w:eastAsia="NSimSun" w:hAnsi="Times New Roman" w:cs="Times New Roman"/>
          <w:color w:val="000000"/>
          <w:kern w:val="2"/>
          <w:sz w:val="32"/>
          <w:szCs w:val="32"/>
          <w:lang w:val="x-none" w:eastAsia="zh-CN" w:bidi="hi-IN"/>
        </w:rPr>
        <w:t>искусственного интеллекта, можно</w:t>
      </w:r>
      <w:r w:rsidRPr="005B65B8">
        <w:rPr>
          <w:rFonts w:ascii="Times New Roman" w:eastAsia="NSimSun" w:hAnsi="Times New Roman" w:cs="Times New Roman"/>
          <w:color w:val="000000"/>
          <w:kern w:val="2"/>
          <w:sz w:val="32"/>
          <w:szCs w:val="32"/>
          <w:lang w:eastAsia="zh-CN" w:bidi="hi-IN"/>
        </w:rPr>
        <w:t xml:space="preserve"> подстраивать </w:t>
      </w:r>
      <w:r w:rsidRPr="005B65B8">
        <w:rPr>
          <w:rFonts w:ascii="Times New Roman" w:eastAsia="NSimSun" w:hAnsi="Times New Roman" w:cs="Times New Roman"/>
          <w:color w:val="000000"/>
          <w:kern w:val="2"/>
          <w:sz w:val="32"/>
          <w:szCs w:val="32"/>
          <w:lang w:val="x-none" w:eastAsia="zh-CN" w:bidi="hi-IN"/>
        </w:rPr>
        <w:t xml:space="preserve">задания </w:t>
      </w:r>
      <w:r w:rsidRPr="005B65B8">
        <w:rPr>
          <w:rFonts w:ascii="Times New Roman" w:eastAsia="NSimSun" w:hAnsi="Times New Roman" w:cs="Times New Roman"/>
          <w:color w:val="000000"/>
          <w:kern w:val="2"/>
          <w:sz w:val="32"/>
          <w:szCs w:val="32"/>
          <w:lang w:eastAsia="zh-CN" w:bidi="hi-IN"/>
        </w:rPr>
        <w:t>под каждого ученика и получать рекомендации</w:t>
      </w:r>
      <w:r w:rsidRPr="005B65B8">
        <w:rPr>
          <w:rFonts w:ascii="Times New Roman" w:eastAsia="NSimSun" w:hAnsi="Times New Roman" w:cs="Times New Roman"/>
          <w:color w:val="000000"/>
          <w:kern w:val="2"/>
          <w:sz w:val="32"/>
          <w:szCs w:val="32"/>
          <w:lang w:val="x-none" w:eastAsia="zh-CN" w:bidi="hi-IN"/>
        </w:rPr>
        <w:t>.</w:t>
      </w:r>
      <w:r w:rsidRPr="005B65B8">
        <w:rPr>
          <w:rFonts w:ascii="Times New Roman" w:eastAsia="NSimSun" w:hAnsi="Times New Roman" w:cs="Times New Roman"/>
          <w:color w:val="000000"/>
          <w:kern w:val="2"/>
          <w:sz w:val="32"/>
          <w:szCs w:val="32"/>
          <w:lang w:eastAsia="zh-CN" w:bidi="hi-IN"/>
        </w:rPr>
        <w:t xml:space="preserve"> К примеру, существуют платформы</w:t>
      </w:r>
      <w:r w:rsidRPr="005B65B8">
        <w:rPr>
          <w:rFonts w:ascii="Times New Roman" w:eastAsia="NSimSun" w:hAnsi="Times New Roman" w:cs="Times New Roman"/>
          <w:color w:val="000000"/>
          <w:kern w:val="2"/>
          <w:sz w:val="32"/>
          <w:szCs w:val="32"/>
          <w:lang w:val="x-none" w:eastAsia="zh-CN" w:bidi="hi-IN"/>
        </w:rPr>
        <w:t xml:space="preserve"> Coursera и EdX, </w:t>
      </w:r>
      <w:r w:rsidRPr="005B65B8">
        <w:rPr>
          <w:rFonts w:ascii="Times New Roman" w:eastAsia="NSimSun" w:hAnsi="Times New Roman" w:cs="Times New Roman"/>
          <w:color w:val="000000"/>
          <w:kern w:val="2"/>
          <w:sz w:val="32"/>
          <w:szCs w:val="32"/>
          <w:lang w:eastAsia="zh-CN" w:bidi="hi-IN"/>
        </w:rPr>
        <w:t xml:space="preserve">они </w:t>
      </w:r>
      <w:r w:rsidRPr="005B65B8">
        <w:rPr>
          <w:rFonts w:ascii="Times New Roman" w:eastAsia="NSimSun" w:hAnsi="Times New Roman" w:cs="Times New Roman"/>
          <w:color w:val="000000"/>
          <w:kern w:val="2"/>
          <w:sz w:val="32"/>
          <w:szCs w:val="32"/>
          <w:lang w:val="x-none" w:eastAsia="zh-CN" w:bidi="hi-IN"/>
        </w:rPr>
        <w:t>используют алгоритмы для анализа</w:t>
      </w:r>
      <w:r w:rsidRPr="005B65B8">
        <w:rPr>
          <w:rFonts w:ascii="Times New Roman" w:eastAsia="NSimSun" w:hAnsi="Times New Roman" w:cs="Times New Roman"/>
          <w:color w:val="000000"/>
          <w:kern w:val="2"/>
          <w:sz w:val="32"/>
          <w:szCs w:val="32"/>
          <w:lang w:eastAsia="zh-CN" w:bidi="hi-IN"/>
        </w:rPr>
        <w:t xml:space="preserve"> знаний</w:t>
      </w:r>
      <w:r w:rsidRPr="005B65B8">
        <w:rPr>
          <w:rFonts w:ascii="Times New Roman" w:eastAsia="NSimSun" w:hAnsi="Times New Roman" w:cs="Times New Roman"/>
          <w:color w:val="000000"/>
          <w:kern w:val="2"/>
          <w:sz w:val="32"/>
          <w:szCs w:val="32"/>
          <w:lang w:val="x-none" w:eastAsia="zh-CN" w:bidi="hi-IN"/>
        </w:rPr>
        <w:t xml:space="preserve"> студентов</w:t>
      </w:r>
      <w:r w:rsidRPr="005B65B8">
        <w:rPr>
          <w:rFonts w:ascii="Times New Roman" w:eastAsia="NSimSun" w:hAnsi="Times New Roman" w:cs="Times New Roman"/>
          <w:color w:val="000000"/>
          <w:kern w:val="2"/>
          <w:sz w:val="32"/>
          <w:szCs w:val="32"/>
          <w:lang w:eastAsia="zh-CN" w:bidi="hi-IN"/>
        </w:rPr>
        <w:t>,</w:t>
      </w:r>
      <w:r w:rsidRPr="005B65B8">
        <w:rPr>
          <w:rFonts w:ascii="Times New Roman" w:eastAsia="NSimSun" w:hAnsi="Times New Roman" w:cs="Times New Roman"/>
          <w:color w:val="000000"/>
          <w:kern w:val="2"/>
          <w:sz w:val="32"/>
          <w:szCs w:val="32"/>
          <w:lang w:val="x-none" w:eastAsia="zh-CN" w:bidi="hi-IN"/>
        </w:rPr>
        <w:t xml:space="preserve"> определяют, </w:t>
      </w:r>
      <w:r w:rsidRPr="005B65B8">
        <w:rPr>
          <w:rFonts w:ascii="Times New Roman" w:eastAsia="NSimSun" w:hAnsi="Times New Roman" w:cs="Times New Roman"/>
          <w:color w:val="000000"/>
          <w:kern w:val="2"/>
          <w:sz w:val="32"/>
          <w:szCs w:val="32"/>
          <w:lang w:eastAsia="zh-CN" w:bidi="hi-IN"/>
        </w:rPr>
        <w:t>с какими заданиями возникают проблемы</w:t>
      </w:r>
      <w:r w:rsidRPr="005B65B8">
        <w:rPr>
          <w:rFonts w:ascii="Times New Roman" w:eastAsia="NSimSun" w:hAnsi="Times New Roman" w:cs="Times New Roman"/>
          <w:color w:val="000000"/>
          <w:kern w:val="2"/>
          <w:sz w:val="32"/>
          <w:szCs w:val="32"/>
          <w:lang w:val="x-none" w:eastAsia="zh-CN" w:bidi="hi-IN"/>
        </w:rPr>
        <w:t>, с какой скоростью усваиваетс</w:t>
      </w:r>
      <w:r w:rsidRPr="005B65B8">
        <w:rPr>
          <w:rFonts w:ascii="Times New Roman" w:eastAsia="NSimSun" w:hAnsi="Times New Roman" w:cs="Times New Roman"/>
          <w:color w:val="000000"/>
          <w:kern w:val="2"/>
          <w:sz w:val="32"/>
          <w:szCs w:val="32"/>
          <w:lang w:eastAsia="zh-CN" w:bidi="hi-IN"/>
        </w:rPr>
        <w:t xml:space="preserve">я </w:t>
      </w:r>
      <w:r w:rsidRPr="005B65B8">
        <w:rPr>
          <w:rFonts w:ascii="Times New Roman" w:eastAsia="NSimSun" w:hAnsi="Times New Roman" w:cs="Times New Roman"/>
          <w:color w:val="000000"/>
          <w:kern w:val="2"/>
          <w:sz w:val="32"/>
          <w:szCs w:val="32"/>
          <w:lang w:val="x-none" w:eastAsia="zh-CN" w:bidi="hi-IN"/>
        </w:rPr>
        <w:t>информация</w:t>
      </w:r>
      <w:r w:rsidRPr="005B65B8">
        <w:rPr>
          <w:rFonts w:ascii="Times New Roman" w:eastAsia="NSimSun" w:hAnsi="Times New Roman" w:cs="Times New Roman"/>
          <w:color w:val="000000"/>
          <w:kern w:val="2"/>
          <w:sz w:val="32"/>
          <w:szCs w:val="32"/>
          <w:lang w:eastAsia="zh-CN" w:bidi="hi-IN"/>
        </w:rPr>
        <w:t>. Всё это помогает в</w:t>
      </w:r>
      <w:r w:rsidRPr="005B65B8">
        <w:rPr>
          <w:rFonts w:ascii="Times New Roman" w:eastAsia="NSimSun" w:hAnsi="Times New Roman" w:cs="Times New Roman"/>
          <w:color w:val="000000"/>
          <w:kern w:val="2"/>
          <w:sz w:val="32"/>
          <w:szCs w:val="32"/>
          <w:lang w:val="x-none" w:eastAsia="zh-CN" w:bidi="hi-IN"/>
        </w:rPr>
        <w:t xml:space="preserve"> формировани</w:t>
      </w:r>
      <w:r w:rsidRPr="005B65B8">
        <w:rPr>
          <w:rFonts w:ascii="Times New Roman" w:eastAsia="NSimSun" w:hAnsi="Times New Roman" w:cs="Times New Roman"/>
          <w:color w:val="000000"/>
          <w:kern w:val="2"/>
          <w:sz w:val="32"/>
          <w:szCs w:val="32"/>
          <w:lang w:eastAsia="zh-CN" w:bidi="hi-IN"/>
        </w:rPr>
        <w:t>и</w:t>
      </w:r>
      <w:r w:rsidRPr="005B65B8">
        <w:rPr>
          <w:rFonts w:ascii="Times New Roman" w:eastAsia="NSimSun" w:hAnsi="Times New Roman" w:cs="Times New Roman"/>
          <w:color w:val="000000"/>
          <w:kern w:val="2"/>
          <w:sz w:val="32"/>
          <w:szCs w:val="32"/>
          <w:lang w:val="x-none" w:eastAsia="zh-CN" w:bidi="hi-IN"/>
        </w:rPr>
        <w:t xml:space="preserve"> персонализированного метода обучения. </w:t>
      </w:r>
    </w:p>
    <w:p w14:paraId="7508CDE8"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 xml:space="preserve">ИИ может оценивать качество текстов, обнаруживать плагиат, и помогать студентам совершенствовать свои создания текстов. Например, программы вроде Grammarly дают рекомендации по стилю и грамматике. В изучении языков ИИ может корректировать лексику и грамматику, помогая повысить письменные навыки. </w:t>
      </w:r>
    </w:p>
    <w:p w14:paraId="6DD02FFE"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 xml:space="preserve">Кроме того, ИИ обеспечивает мгновенную обратную связь, избавляя учащихся от необходимости ждать проверки заданий. Преподаватели же могут сосредоточиться на содержательной части работы, а не на ручной проверке [3]. </w:t>
      </w:r>
    </w:p>
    <w:p w14:paraId="66CE2712"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 xml:space="preserve">Для повышения эффективности обучения с учетом персонализации важно использовать возможности искусственного интеллекта как студентам, так и преподавателям [4]. </w:t>
      </w:r>
    </w:p>
    <w:p w14:paraId="0DBDCADD"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lastRenderedPageBreak/>
        <w:t>Интеллектуальные системы обучения – это программы, которые понимают, как именно учится студент, и стараются ему помочь. Главное отличие от стандартных онлайн-курсов в том, что такие системы не просто предоставляют задания и решения, а отслеживают ошибки, скорость выполнения задач и трудности. На основе этих данных они могут предлагать дополнительные объяснения, подсказки или похожие примеры. Можно сказать, что такие системы «общаются» с обучающимся и помогают разобраться в сложных темах, если у него возникли трудности.</w:t>
      </w:r>
    </w:p>
    <w:p w14:paraId="451C3449"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Например, если человек решает задачу по алгебре и делает одну и ту же ошибку, система это заметит и не даст идти дальше, пока он не поймёт, в чём дело. Такие программы особенно полезны в точных науках — математике, физике, информатике. Там важно понимать алгоритм решения, если ученик что-то не усвоил, дальше будет только сложнее.</w:t>
      </w:r>
    </w:p>
    <w:p w14:paraId="660EB09B"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Некоторые университеты уже используют подобные системы. В США, например, давно работает Cognitive Tutor – она помогает школьникам и студентам лучше понимать математику. Исследования показывают, что такие подходы реально помогают: ученики, которые пользовались интеллектуальной системой, запоминали материал лучше, а главное – учились понимать алгоритм действий, а не просто заучивать формулы.</w:t>
      </w:r>
    </w:p>
    <w:p w14:paraId="5C9A0D36"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Кроме того, такие системы полезны для преподавателей. Они могут видеть, какие темы вызывают наибольшие трудности, и менять курс, чтобы сделать его понятнее. Это помогает сделать обучение более эффективным для всех.</w:t>
      </w:r>
    </w:p>
    <w:p w14:paraId="1CF9C7D5"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 xml:space="preserve">С помощью ИИ можно значительно упростить проверку домашних заданий, особенно если студентов много. Например, преподавателю не нужно вручную проверять сотни тестов – это может сделать система. Она быстро определит, какие ответы правильные, а какие нет, и сразу выставит оценки. </w:t>
      </w:r>
    </w:p>
    <w:p w14:paraId="3573E97B"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Аналитика учебного процесса и виртуальные помощники</w:t>
      </w:r>
      <w:r w:rsidRPr="005B65B8">
        <w:rPr>
          <w:rFonts w:ascii="Times New Roman" w:eastAsia="NSimSun" w:hAnsi="Times New Roman" w:cs="Times New Roman"/>
          <w:color w:val="000000"/>
          <w:kern w:val="2"/>
          <w:sz w:val="32"/>
          <w:szCs w:val="32"/>
          <w:lang w:eastAsia="zh-CN" w:bidi="hi-IN"/>
        </w:rPr>
        <w:br/>
        <w:t xml:space="preserve">Современные ИИ-инструменты позволяют отслеживать образовательную активность студентов в режиме реального времени: учитываются частота входов в систему, выполненные задания, потраченное время и даже эмоциональные реакции (при наличии видеонаблюдения). На основе этих данных формируются модели, выявляющие риски неуспеваемости или потери мотивации [5]. Такие </w:t>
      </w:r>
      <w:r w:rsidRPr="005B65B8">
        <w:rPr>
          <w:rFonts w:ascii="Times New Roman" w:eastAsia="NSimSun" w:hAnsi="Times New Roman" w:cs="Times New Roman"/>
          <w:color w:val="000000"/>
          <w:kern w:val="2"/>
          <w:sz w:val="32"/>
          <w:szCs w:val="32"/>
          <w:lang w:eastAsia="zh-CN" w:bidi="hi-IN"/>
        </w:rPr>
        <w:lastRenderedPageBreak/>
        <w:t>системы позволяют вузам вовремя вмешиваться и предоставлять необходимую поддержку.</w:t>
      </w:r>
    </w:p>
    <w:p w14:paraId="3AD0E8E1"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Виртуальные помощники на базе ИИ уже используются в университетских системах. Они отвечают на часто задаваемые вопросы, помогают с расписанием, напоминают о крайних сроках сдачи заданий и могут участвовать в оценке заданий. Это снижает нагрузку на преподавателей и повышает доступность информации для студентов.</w:t>
      </w:r>
    </w:p>
    <w:p w14:paraId="7B82C75E"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В рамках исследования был проведён опрос студентов Финансового университета при Правительстве РФ. Выяснилось, что 80% учащихся активно используют ИИ в учебе. Они отмечают, что технологии помогают:</w:t>
      </w:r>
    </w:p>
    <w:p w14:paraId="632753DD"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автоматически проверять знания;</w:t>
      </w:r>
    </w:p>
    <w:p w14:paraId="76C922B8"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получать рекомендации по материалам;</w:t>
      </w:r>
    </w:p>
    <w:p w14:paraId="1D45DA17"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решать сложные задачи;</w:t>
      </w:r>
    </w:p>
    <w:p w14:paraId="1BCC77E7"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быстрее находить нужную информацию.</w:t>
      </w:r>
    </w:p>
    <w:p w14:paraId="0E20A0B4"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Оставшиеся 20% студентов редко или вовсе не используют ИИ по следующим причинам:</w:t>
      </w:r>
    </w:p>
    <w:p w14:paraId="14C1CD52"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опасения по поводу конфиденциальности данных;</w:t>
      </w:r>
    </w:p>
    <w:p w14:paraId="69EE718B"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недоверие к точности ИИ;</w:t>
      </w:r>
    </w:p>
    <w:p w14:paraId="7B86C885"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сложности в освоении новых технологий.</w:t>
      </w:r>
    </w:p>
    <w:p w14:paraId="7CC78D26"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Можно выделить следующие преимущества внедрения искусственного интеллекта:</w:t>
      </w:r>
    </w:p>
    <w:p w14:paraId="0E7EEE4F"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индивидуализация образовательного процесса;</w:t>
      </w:r>
    </w:p>
    <w:p w14:paraId="3688F7C9"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повышение эффективности преподавания;</w:t>
      </w:r>
    </w:p>
    <w:p w14:paraId="3F969E81"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экономия времени преподавателя;</w:t>
      </w:r>
    </w:p>
    <w:p w14:paraId="104B9574"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 xml:space="preserve">автоматизация проверки знаний. </w:t>
      </w:r>
    </w:p>
    <w:p w14:paraId="3EB14DC5"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При внедрении искусственного интеллекта возможные следующие риски:</w:t>
      </w:r>
    </w:p>
    <w:p w14:paraId="3301551C"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снижение роли преподавателя;</w:t>
      </w:r>
    </w:p>
    <w:p w14:paraId="552AE524"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зависимость от цифровых технологий;</w:t>
      </w:r>
    </w:p>
    <w:p w14:paraId="69A58B57"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снижение самостоятельности студентов;</w:t>
      </w:r>
    </w:p>
    <w:p w14:paraId="0EDF6CB7"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этические проблемы и непрозрачность алгоритмов;</w:t>
      </w:r>
    </w:p>
    <w:p w14:paraId="2C5A4F5F" w14:textId="77777777" w:rsidR="005B65B8" w:rsidRPr="005B65B8" w:rsidRDefault="005B65B8" w:rsidP="00AD58CD">
      <w:pPr>
        <w:numPr>
          <w:ilvl w:val="0"/>
          <w:numId w:val="110"/>
        </w:numPr>
        <w:tabs>
          <w:tab w:val="left" w:pos="0"/>
          <w:tab w:val="left" w:pos="993"/>
        </w:tabs>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угроза утечки персональных данных.</w:t>
      </w:r>
    </w:p>
    <w:p w14:paraId="1FA3AD68"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t>Внедрение ИИ в вузы открывает широкие возможности для повышения качества обучения, персонализации подходов и автоматизации процессов. Интеллектуальные помощники становятся важными инструментами в помощь преподавателям и студентам.</w:t>
      </w:r>
    </w:p>
    <w:p w14:paraId="6540239B"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r w:rsidRPr="005B65B8">
        <w:rPr>
          <w:rFonts w:ascii="Times New Roman" w:eastAsia="NSimSun" w:hAnsi="Times New Roman" w:cs="Times New Roman"/>
          <w:color w:val="000000"/>
          <w:kern w:val="2"/>
          <w:sz w:val="32"/>
          <w:szCs w:val="32"/>
          <w:lang w:eastAsia="zh-CN" w:bidi="hi-IN"/>
        </w:rPr>
        <w:lastRenderedPageBreak/>
        <w:t>Но в то же время важно учитывать и риски, связанные с почти полной автоматизацией, снижением продуктивности преподавателя и вопросами безопасности данных. Искусственный интеллект должен служить в помощь, чтобы улучшать качество образования, а не заменять человеческое участие. Для успешной интеграции ИИ необходимо выстроить сбалансированный подход, сочетающий что-то новое в совокупности с традициями и нормами педагогов.</w:t>
      </w:r>
    </w:p>
    <w:p w14:paraId="68A2CD52" w14:textId="77777777" w:rsidR="005B65B8" w:rsidRPr="005B65B8" w:rsidRDefault="005B65B8" w:rsidP="005B65B8">
      <w:pPr>
        <w:suppressAutoHyphens/>
        <w:spacing w:after="0" w:line="240" w:lineRule="auto"/>
        <w:ind w:firstLine="709"/>
        <w:jc w:val="both"/>
        <w:rPr>
          <w:rFonts w:ascii="Times New Roman" w:eastAsia="NSimSun" w:hAnsi="Times New Roman" w:cs="Times New Roman"/>
          <w:color w:val="000000"/>
          <w:kern w:val="2"/>
          <w:sz w:val="32"/>
          <w:szCs w:val="32"/>
          <w:lang w:eastAsia="zh-CN" w:bidi="hi-IN"/>
        </w:rPr>
      </w:pPr>
    </w:p>
    <w:p w14:paraId="48AB9EBA" w14:textId="77777777" w:rsidR="005B65B8" w:rsidRPr="005B65B8" w:rsidRDefault="005B65B8" w:rsidP="005B65B8">
      <w:pPr>
        <w:suppressAutoHyphens/>
        <w:spacing w:after="0" w:line="240" w:lineRule="auto"/>
        <w:jc w:val="center"/>
        <w:rPr>
          <w:rFonts w:ascii="Times New Roman" w:eastAsia="NSimSun" w:hAnsi="Times New Roman" w:cs="Times New Roman"/>
          <w:b/>
          <w:bCs/>
          <w:color w:val="000000"/>
          <w:kern w:val="2"/>
          <w:sz w:val="21"/>
          <w:szCs w:val="21"/>
          <w:lang w:eastAsia="zh-CN" w:bidi="hi-IN"/>
        </w:rPr>
      </w:pPr>
      <w:r w:rsidRPr="005B65B8">
        <w:rPr>
          <w:rFonts w:ascii="Times New Roman" w:eastAsia="NSimSun" w:hAnsi="Times New Roman" w:cs="Times New Roman"/>
          <w:b/>
          <w:bCs/>
          <w:color w:val="000000"/>
          <w:kern w:val="2"/>
          <w:sz w:val="21"/>
          <w:szCs w:val="21"/>
          <w:lang w:eastAsia="zh-CN" w:bidi="hi-IN"/>
        </w:rPr>
        <w:t>Литература:</w:t>
      </w:r>
    </w:p>
    <w:p w14:paraId="7AF51A89" w14:textId="77777777" w:rsidR="005B65B8" w:rsidRPr="005B65B8" w:rsidRDefault="005B65B8" w:rsidP="00AD58CD">
      <w:pPr>
        <w:numPr>
          <w:ilvl w:val="0"/>
          <w:numId w:val="111"/>
        </w:numPr>
        <w:suppressAutoHyphens/>
        <w:spacing w:after="0" w:line="240" w:lineRule="auto"/>
        <w:ind w:left="426"/>
        <w:jc w:val="both"/>
        <w:rPr>
          <w:rFonts w:ascii="Liberation Serif" w:eastAsia="NSimSun" w:hAnsi="Liberation Serif" w:cs="Arial" w:hint="eastAsia"/>
          <w:kern w:val="2"/>
          <w:sz w:val="21"/>
          <w:szCs w:val="21"/>
          <w:lang w:eastAsia="zh-CN" w:bidi="hi-IN"/>
        </w:rPr>
      </w:pPr>
      <w:r w:rsidRPr="005B65B8">
        <w:rPr>
          <w:rFonts w:ascii="Liberation Serif" w:eastAsia="NSimSun" w:hAnsi="Liberation Serif" w:cs="Arial"/>
          <w:kern w:val="2"/>
          <w:sz w:val="21"/>
          <w:szCs w:val="21"/>
          <w:lang w:eastAsia="zh-CN" w:bidi="hi-IN"/>
        </w:rPr>
        <w:t>Мартынова, М. М. Информационные технологии в образовательном процессе общеобразовательного учреждения / М. М. Мартынова, А. Ю. Табакова, Н. Г. Пьянкова // Цифровая трансформация сельского хозяйства и аграрного образования : Сборник материалов I Международной научно-практической конференции, Краснодар, 29 февраля 2024 года. – Краснодар: Новация, 2024. – С. 278-283.</w:t>
      </w:r>
    </w:p>
    <w:p w14:paraId="2807F939" w14:textId="77777777" w:rsidR="005B65B8" w:rsidRPr="005B65B8" w:rsidRDefault="005B65B8" w:rsidP="00AD58CD">
      <w:pPr>
        <w:numPr>
          <w:ilvl w:val="0"/>
          <w:numId w:val="111"/>
        </w:numPr>
        <w:suppressAutoHyphens/>
        <w:spacing w:after="0" w:line="240" w:lineRule="auto"/>
        <w:ind w:left="426"/>
        <w:jc w:val="both"/>
        <w:rPr>
          <w:rFonts w:ascii="Liberation Serif" w:eastAsia="NSimSun" w:hAnsi="Liberation Serif" w:cs="Arial" w:hint="eastAsia"/>
          <w:kern w:val="2"/>
          <w:sz w:val="21"/>
          <w:szCs w:val="21"/>
          <w:lang w:eastAsia="zh-CN" w:bidi="hi-IN"/>
        </w:rPr>
      </w:pPr>
      <w:r w:rsidRPr="005B65B8">
        <w:rPr>
          <w:rFonts w:ascii="Liberation Serif" w:eastAsia="NSimSun" w:hAnsi="Liberation Serif" w:cs="Arial"/>
          <w:kern w:val="2"/>
          <w:sz w:val="21"/>
          <w:szCs w:val="21"/>
          <w:lang w:eastAsia="zh-CN" w:bidi="hi-IN"/>
        </w:rPr>
        <w:t>Пьянкова, Н. Г. Теоретические основы использования современных педагогических технологий / Н. Г. Пьянкова, Н. В. Третьякова // Современные проблемы социально-гуманитарных и юридических наук: теория, методология, практика : Материалы VIII международной научно-практической конференции, Тихорецк, 16 апреля 2021 года. – Краснодар: ФГБУ "Российское энергетическое агентство" Минэнерго России Краснодарский ЦНТИ- филиал ФГБУ "РЭА" Минэнерго России, 2021. – С. 232-237.</w:t>
      </w:r>
    </w:p>
    <w:p w14:paraId="54F0D87F" w14:textId="77777777" w:rsidR="005B65B8" w:rsidRPr="005B65B8" w:rsidRDefault="005B65B8" w:rsidP="00AD58CD">
      <w:pPr>
        <w:numPr>
          <w:ilvl w:val="0"/>
          <w:numId w:val="111"/>
        </w:numPr>
        <w:suppressAutoHyphens/>
        <w:spacing w:after="0" w:line="240" w:lineRule="auto"/>
        <w:ind w:left="426"/>
        <w:jc w:val="both"/>
        <w:rPr>
          <w:rFonts w:ascii="Liberation Serif" w:eastAsia="NSimSun" w:hAnsi="Liberation Serif" w:cs="Arial" w:hint="eastAsia"/>
          <w:kern w:val="2"/>
          <w:sz w:val="21"/>
          <w:szCs w:val="21"/>
          <w:lang w:eastAsia="zh-CN" w:bidi="hi-IN"/>
        </w:rPr>
      </w:pPr>
      <w:r w:rsidRPr="005B65B8">
        <w:rPr>
          <w:rFonts w:ascii="Liberation Serif" w:eastAsia="NSimSun" w:hAnsi="Liberation Serif" w:cs="Arial"/>
          <w:kern w:val="2"/>
          <w:sz w:val="21"/>
          <w:szCs w:val="21"/>
          <w:lang w:eastAsia="zh-CN" w:bidi="hi-IN"/>
        </w:rPr>
        <w:t>Третьякова, Н. В. О развитии технологий и искусственного интеллекта / Н. В. Третьякова, А. С. Илющенко // Развитие высшего образования: теория и практика : Материалы III Всероссийской научно-практической конференции, Омск, 28 февраля 2025 года. – Омск: Военная академия материально-технического обеспечения им. генерала армии А.В. Хрулева, 2025. – С. 93-98.</w:t>
      </w:r>
    </w:p>
    <w:p w14:paraId="36AE6358" w14:textId="77777777" w:rsidR="005B65B8" w:rsidRPr="005B65B8" w:rsidRDefault="005B65B8" w:rsidP="00AD58CD">
      <w:pPr>
        <w:numPr>
          <w:ilvl w:val="0"/>
          <w:numId w:val="111"/>
        </w:numPr>
        <w:suppressAutoHyphens/>
        <w:spacing w:after="0" w:line="240" w:lineRule="auto"/>
        <w:ind w:left="426"/>
        <w:jc w:val="both"/>
        <w:rPr>
          <w:rFonts w:ascii="Liberation Serif" w:eastAsia="NSimSun" w:hAnsi="Liberation Serif" w:cs="Arial" w:hint="eastAsia"/>
          <w:kern w:val="2"/>
          <w:sz w:val="21"/>
          <w:szCs w:val="21"/>
          <w:lang w:eastAsia="zh-CN" w:bidi="hi-IN"/>
        </w:rPr>
      </w:pPr>
      <w:r w:rsidRPr="005B65B8">
        <w:rPr>
          <w:rFonts w:ascii="Liberation Serif" w:eastAsia="NSimSun" w:hAnsi="Liberation Serif" w:cs="Arial"/>
          <w:kern w:val="2"/>
          <w:sz w:val="21"/>
          <w:szCs w:val="21"/>
          <w:lang w:eastAsia="zh-CN" w:bidi="hi-IN"/>
        </w:rPr>
        <w:t xml:space="preserve">Денисов, А. А. Влияние искусственного интеллекта на автоматизацию бизнес-процессов / А. А. Денисов, Э. В. Кузьмина // Цифровизация экономики: направления, методы, </w:t>
      </w:r>
      <w:proofErr w:type="gramStart"/>
      <w:r w:rsidRPr="005B65B8">
        <w:rPr>
          <w:rFonts w:ascii="Liberation Serif" w:eastAsia="NSimSun" w:hAnsi="Liberation Serif" w:cs="Arial"/>
          <w:kern w:val="2"/>
          <w:sz w:val="21"/>
          <w:szCs w:val="21"/>
          <w:lang w:eastAsia="zh-CN" w:bidi="hi-IN"/>
        </w:rPr>
        <w:t>инструменты :</w:t>
      </w:r>
      <w:proofErr w:type="gramEnd"/>
      <w:r w:rsidRPr="005B65B8">
        <w:rPr>
          <w:rFonts w:ascii="Liberation Serif" w:eastAsia="NSimSun" w:hAnsi="Liberation Serif" w:cs="Arial"/>
          <w:kern w:val="2"/>
          <w:sz w:val="21"/>
          <w:szCs w:val="21"/>
          <w:lang w:eastAsia="zh-CN" w:bidi="hi-IN"/>
        </w:rPr>
        <w:t xml:space="preserve"> СБОРНИК МАТЕРИАЛОВ VI ВСЕРОССИЙСКОЙ НАУЧНО-ПРАКТИЧЕСКОЙ КОНФЕРЕНЦИИ, Краснодар, 15–19 января 2024 года. – Краснодар: Кубанский государственный аграрный университет имени И. Т. Трубилина, 2024. – С. 106-109.</w:t>
      </w:r>
    </w:p>
    <w:p w14:paraId="5B25ED53" w14:textId="77777777" w:rsidR="005B65B8" w:rsidRPr="005B65B8" w:rsidRDefault="005B65B8" w:rsidP="00AD58CD">
      <w:pPr>
        <w:numPr>
          <w:ilvl w:val="0"/>
          <w:numId w:val="111"/>
        </w:numPr>
        <w:suppressAutoHyphens/>
        <w:spacing w:after="0" w:line="240" w:lineRule="auto"/>
        <w:ind w:left="426"/>
        <w:jc w:val="both"/>
        <w:rPr>
          <w:rFonts w:ascii="Liberation Serif" w:eastAsia="NSimSun" w:hAnsi="Liberation Serif" w:cs="Arial" w:hint="eastAsia"/>
          <w:kern w:val="2"/>
          <w:sz w:val="21"/>
          <w:szCs w:val="21"/>
          <w:lang w:eastAsia="zh-CN" w:bidi="hi-IN"/>
        </w:rPr>
      </w:pPr>
      <w:r w:rsidRPr="005B65B8">
        <w:rPr>
          <w:rFonts w:ascii="Liberation Serif" w:eastAsia="NSimSun" w:hAnsi="Liberation Serif" w:cs="Arial"/>
          <w:kern w:val="2"/>
          <w:sz w:val="21"/>
          <w:szCs w:val="21"/>
          <w:lang w:eastAsia="zh-CN" w:bidi="hi-IN"/>
        </w:rPr>
        <w:t xml:space="preserve">Боцоева, А. В. Проблемные аспекты и перспективные подходы к оцениванию знаний обучающихся в высшей школе с использованием цифровых инструментов и сервисов / А. В. Боцоева, И. В. Подпорин // Проблемы современного педагогического образования. – 2022. – № 75-2. – С. 41-44. </w:t>
      </w:r>
    </w:p>
    <w:p w14:paraId="02A4C75D" w14:textId="77777777" w:rsidR="00630257" w:rsidRDefault="00630257"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p>
    <w:p w14:paraId="240EB27C" w14:textId="77777777" w:rsidR="00A97560" w:rsidRDefault="00A97560" w:rsidP="00070AB0">
      <w:pPr>
        <w:tabs>
          <w:tab w:val="left" w:pos="0"/>
        </w:tabs>
        <w:suppressAutoHyphens/>
        <w:autoSpaceDE w:val="0"/>
        <w:spacing w:after="0" w:line="240" w:lineRule="auto"/>
        <w:jc w:val="both"/>
        <w:rPr>
          <w:rFonts w:ascii="Times New Roman" w:eastAsia="Calibri" w:hAnsi="Times New Roman" w:cs="Times New Roman"/>
          <w:sz w:val="21"/>
          <w:szCs w:val="21"/>
          <w:lang w:eastAsia="ar-SA"/>
        </w:rPr>
      </w:pPr>
    </w:p>
    <w:p w14:paraId="70E82805" w14:textId="77777777" w:rsidR="00A97560" w:rsidRPr="00A97560" w:rsidRDefault="00A97560" w:rsidP="00A97560">
      <w:pPr>
        <w:widowControl w:val="0"/>
        <w:suppressAutoHyphens/>
        <w:overflowPunct w:val="0"/>
        <w:spacing w:after="0" w:line="240" w:lineRule="auto"/>
        <w:rPr>
          <w:rFonts w:ascii="Times New Roman" w:eastAsia="Source Han Sans CN Regular" w:hAnsi="Times New Roman" w:cs="Times New Roman"/>
          <w:kern w:val="2"/>
          <w:sz w:val="21"/>
          <w:szCs w:val="21"/>
          <w:lang w:eastAsia="ru-RU" w:bidi="ru-RU"/>
        </w:rPr>
      </w:pPr>
      <w:r w:rsidRPr="00A97560">
        <w:rPr>
          <w:rFonts w:ascii="Times New Roman" w:eastAsia="Source Han Sans CN Regular" w:hAnsi="Times New Roman" w:cs="Times New Roman"/>
          <w:b/>
          <w:kern w:val="2"/>
          <w:sz w:val="21"/>
          <w:szCs w:val="21"/>
          <w:lang w:eastAsia="ru-RU" w:bidi="ru-RU"/>
        </w:rPr>
        <w:t>УДК 004.8</w:t>
      </w:r>
    </w:p>
    <w:p w14:paraId="0722E632" w14:textId="77777777" w:rsidR="00E845B3" w:rsidRDefault="00A97560" w:rsidP="003A2A09">
      <w:pPr>
        <w:widowControl w:val="0"/>
        <w:suppressAutoHyphens/>
        <w:overflowPunct w:val="0"/>
        <w:spacing w:after="0" w:line="240" w:lineRule="auto"/>
        <w:jc w:val="right"/>
        <w:rPr>
          <w:rFonts w:ascii="Times New Roman" w:eastAsia="Source Han Sans CN Regular" w:hAnsi="Times New Roman" w:cs="Times New Roman"/>
          <w:i/>
          <w:iCs/>
          <w:kern w:val="2"/>
          <w:sz w:val="21"/>
          <w:szCs w:val="21"/>
          <w:lang w:eastAsia="ru-RU" w:bidi="ru-RU"/>
        </w:rPr>
      </w:pPr>
      <w:r w:rsidRPr="00A97560">
        <w:rPr>
          <w:rFonts w:ascii="Times New Roman" w:eastAsia="Source Han Sans CN Regular" w:hAnsi="Times New Roman" w:cs="Times New Roman"/>
          <w:b/>
          <w:bCs/>
          <w:i/>
          <w:iCs/>
          <w:kern w:val="2"/>
          <w:sz w:val="21"/>
          <w:szCs w:val="21"/>
          <w:lang w:eastAsia="ru-RU" w:bidi="ru-RU"/>
        </w:rPr>
        <w:t>Тесленко Д.Д.,</w:t>
      </w:r>
      <w:r w:rsidRPr="00A97560">
        <w:rPr>
          <w:rFonts w:ascii="Times New Roman" w:eastAsia="Source Han Sans CN Regular" w:hAnsi="Times New Roman" w:cs="Times New Roman"/>
          <w:i/>
          <w:iCs/>
          <w:kern w:val="2"/>
          <w:sz w:val="21"/>
          <w:szCs w:val="21"/>
          <w:lang w:eastAsia="ru-RU" w:bidi="ru-RU"/>
        </w:rPr>
        <w:br/>
      </w:r>
      <w:r w:rsidRPr="00A97560">
        <w:rPr>
          <w:rFonts w:ascii="Times New Roman" w:eastAsia="Times New Roman" w:hAnsi="Times New Roman" w:cs="Times New Roman"/>
          <w:i/>
          <w:iCs/>
          <w:color w:val="000000"/>
          <w:kern w:val="2"/>
          <w:sz w:val="21"/>
          <w:szCs w:val="21"/>
          <w:lang w:eastAsia="ar-SA" w:bidi="ru-RU"/>
        </w:rPr>
        <w:t xml:space="preserve">студент 2 курса </w:t>
      </w:r>
    </w:p>
    <w:p w14:paraId="726A0129" w14:textId="77777777" w:rsidR="006F57FF" w:rsidRDefault="006F57FF" w:rsidP="006F57F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A230873" w14:textId="77777777" w:rsidR="00A97560" w:rsidRPr="00A97560" w:rsidRDefault="00A97560" w:rsidP="00A97560">
      <w:pPr>
        <w:widowControl w:val="0"/>
        <w:suppressAutoHyphens/>
        <w:overflowPunct w:val="0"/>
        <w:spacing w:after="0" w:line="240" w:lineRule="auto"/>
        <w:jc w:val="right"/>
        <w:rPr>
          <w:rFonts w:ascii="Times New Roman" w:eastAsia="Source Han Sans CN Regular" w:hAnsi="Times New Roman" w:cs="Times New Roman"/>
          <w:i/>
          <w:iCs/>
          <w:kern w:val="2"/>
          <w:sz w:val="21"/>
          <w:szCs w:val="21"/>
          <w:lang w:eastAsia="ru-RU" w:bidi="ru-RU"/>
        </w:rPr>
      </w:pPr>
      <w:r w:rsidRPr="00A97560">
        <w:rPr>
          <w:rFonts w:ascii="Times New Roman" w:eastAsia="Times New Roman" w:hAnsi="Times New Roman" w:cs="Times New Roman"/>
          <w:i/>
          <w:iCs/>
          <w:kern w:val="2"/>
          <w:sz w:val="21"/>
          <w:szCs w:val="21"/>
          <w:lang w:eastAsia="ar-SA" w:bidi="ru-RU"/>
        </w:rPr>
        <w:t>г. Краснодар, Россия</w:t>
      </w:r>
      <w:r w:rsidRPr="00A97560">
        <w:rPr>
          <w:rFonts w:ascii="Times New Roman" w:eastAsia="Source Han Sans CN Regular" w:hAnsi="Times New Roman" w:cs="Times New Roman"/>
          <w:i/>
          <w:iCs/>
          <w:kern w:val="2"/>
          <w:sz w:val="21"/>
          <w:szCs w:val="21"/>
          <w:lang w:eastAsia="ru-RU" w:bidi="ru-RU"/>
        </w:rPr>
        <w:br/>
        <w:t xml:space="preserve">e-mail: </w:t>
      </w:r>
      <w:hyperlink r:id="rId539">
        <w:r w:rsidRPr="00A97560">
          <w:rPr>
            <w:rFonts w:ascii="Times New Roman" w:eastAsia="Source Han Sans CN Regular" w:hAnsi="Times New Roman" w:cs="Times New Roman"/>
            <w:i/>
            <w:iCs/>
            <w:color w:val="000080"/>
            <w:kern w:val="2"/>
            <w:sz w:val="21"/>
            <w:szCs w:val="21"/>
            <w:u w:val="single"/>
            <w:lang w:eastAsia="ru-RU" w:bidi="ru-RU"/>
          </w:rPr>
          <w:t>danek.teslenko1718@gmail.com</w:t>
        </w:r>
      </w:hyperlink>
    </w:p>
    <w:p w14:paraId="2D081273" w14:textId="77777777" w:rsidR="00A97560" w:rsidRPr="00A97560" w:rsidRDefault="00A97560" w:rsidP="00A97560">
      <w:pPr>
        <w:widowControl w:val="0"/>
        <w:suppressAutoHyphens/>
        <w:overflowPunct w:val="0"/>
        <w:spacing w:after="0" w:line="240" w:lineRule="auto"/>
        <w:ind w:firstLine="567"/>
        <w:jc w:val="right"/>
        <w:rPr>
          <w:rFonts w:ascii="Times New Roman" w:eastAsia="Times New Roman" w:hAnsi="Times New Roman" w:cs="Times New Roman"/>
          <w:b/>
          <w:i/>
          <w:kern w:val="2"/>
          <w:sz w:val="21"/>
          <w:szCs w:val="21"/>
          <w:lang w:eastAsia="ru-RU" w:bidi="ru-RU"/>
        </w:rPr>
      </w:pPr>
    </w:p>
    <w:p w14:paraId="29B88432" w14:textId="77777777" w:rsidR="00A97560" w:rsidRPr="00A97560" w:rsidRDefault="00A97560" w:rsidP="00A97560">
      <w:pPr>
        <w:widowControl w:val="0"/>
        <w:suppressAutoHyphens/>
        <w:overflowPunct w:val="0"/>
        <w:spacing w:after="0" w:line="240" w:lineRule="auto"/>
        <w:ind w:firstLine="567"/>
        <w:jc w:val="right"/>
        <w:rPr>
          <w:rFonts w:ascii="Times New Roman" w:eastAsia="Times New Roman" w:hAnsi="Times New Roman" w:cs="Times New Roman"/>
          <w:b/>
          <w:i/>
          <w:kern w:val="2"/>
          <w:sz w:val="21"/>
          <w:szCs w:val="21"/>
          <w:lang w:eastAsia="ru-RU" w:bidi="ru-RU"/>
        </w:rPr>
      </w:pPr>
      <w:r w:rsidRPr="00A97560">
        <w:rPr>
          <w:rFonts w:ascii="Times New Roman" w:eastAsia="Times New Roman" w:hAnsi="Times New Roman" w:cs="Times New Roman"/>
          <w:b/>
          <w:i/>
          <w:kern w:val="2"/>
          <w:sz w:val="21"/>
          <w:szCs w:val="21"/>
          <w:lang w:eastAsia="ru-RU" w:bidi="ru-RU"/>
        </w:rPr>
        <w:t>Научный руководитель:</w:t>
      </w:r>
    </w:p>
    <w:p w14:paraId="26B43168" w14:textId="77777777" w:rsidR="00A97560" w:rsidRPr="00A97560" w:rsidRDefault="00A97560" w:rsidP="00A97560">
      <w:pPr>
        <w:widowControl w:val="0"/>
        <w:suppressAutoHyphens/>
        <w:overflowPunct w:val="0"/>
        <w:spacing w:after="0" w:line="240" w:lineRule="auto"/>
        <w:ind w:firstLine="567"/>
        <w:jc w:val="right"/>
        <w:rPr>
          <w:rFonts w:ascii="Times New Roman" w:eastAsia="Times New Roman" w:hAnsi="Times New Roman" w:cs="Times New Roman"/>
          <w:b/>
          <w:i/>
          <w:kern w:val="2"/>
          <w:sz w:val="21"/>
          <w:szCs w:val="21"/>
          <w:lang w:eastAsia="ru-RU" w:bidi="ru-RU"/>
        </w:rPr>
      </w:pPr>
      <w:r w:rsidRPr="00A97560">
        <w:rPr>
          <w:rFonts w:ascii="Times New Roman" w:eastAsia="Times New Roman" w:hAnsi="Times New Roman" w:cs="Times New Roman"/>
          <w:b/>
          <w:i/>
          <w:kern w:val="2"/>
          <w:sz w:val="21"/>
          <w:szCs w:val="21"/>
          <w:lang w:eastAsia="ru-RU" w:bidi="ru-RU"/>
        </w:rPr>
        <w:t>Пьянкова Н.Г.,</w:t>
      </w:r>
    </w:p>
    <w:p w14:paraId="69D821F2" w14:textId="77777777" w:rsidR="00A97560" w:rsidRPr="00A97560" w:rsidRDefault="00A97560" w:rsidP="00A97560">
      <w:pPr>
        <w:widowControl w:val="0"/>
        <w:suppressAutoHyphens/>
        <w:overflowPunct w:val="0"/>
        <w:spacing w:after="0" w:line="240" w:lineRule="auto"/>
        <w:ind w:firstLine="567"/>
        <w:jc w:val="right"/>
        <w:rPr>
          <w:rFonts w:ascii="Times New Roman" w:eastAsia="Times New Roman" w:hAnsi="Times New Roman" w:cs="Times New Roman"/>
          <w:i/>
          <w:color w:val="000000"/>
          <w:kern w:val="2"/>
          <w:sz w:val="21"/>
          <w:szCs w:val="21"/>
          <w:lang w:eastAsia="ar-SA" w:bidi="ru-RU"/>
        </w:rPr>
      </w:pPr>
      <w:r w:rsidRPr="00A97560">
        <w:rPr>
          <w:rFonts w:ascii="Times New Roman" w:eastAsia="Times New Roman" w:hAnsi="Times New Roman" w:cs="Times New Roman"/>
          <w:i/>
          <w:color w:val="000000"/>
          <w:kern w:val="2"/>
          <w:sz w:val="21"/>
          <w:szCs w:val="21"/>
          <w:lang w:eastAsia="ar-SA" w:bidi="ru-RU"/>
        </w:rPr>
        <w:t xml:space="preserve">доцент, </w:t>
      </w:r>
      <w:proofErr w:type="gramStart"/>
      <w:r w:rsidRPr="00A97560">
        <w:rPr>
          <w:rFonts w:ascii="Times New Roman" w:eastAsia="Times New Roman" w:hAnsi="Times New Roman" w:cs="Times New Roman"/>
          <w:i/>
          <w:color w:val="000000"/>
          <w:kern w:val="2"/>
          <w:sz w:val="21"/>
          <w:szCs w:val="21"/>
          <w:lang w:eastAsia="ar-SA" w:bidi="ru-RU"/>
        </w:rPr>
        <w:t>канд.пед</w:t>
      </w:r>
      <w:proofErr w:type="gramEnd"/>
      <w:r w:rsidRPr="00A97560">
        <w:rPr>
          <w:rFonts w:ascii="Times New Roman" w:eastAsia="Times New Roman" w:hAnsi="Times New Roman" w:cs="Times New Roman"/>
          <w:i/>
          <w:color w:val="000000"/>
          <w:kern w:val="2"/>
          <w:sz w:val="21"/>
          <w:szCs w:val="21"/>
          <w:lang w:eastAsia="ar-SA" w:bidi="ru-RU"/>
        </w:rPr>
        <w:t>.наук</w:t>
      </w:r>
    </w:p>
    <w:p w14:paraId="4C958A8F" w14:textId="77777777" w:rsidR="006F57FF" w:rsidRDefault="006F57FF" w:rsidP="006F57F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11347A4" w14:textId="77777777" w:rsidR="00A97560" w:rsidRPr="00A97560" w:rsidRDefault="00A97560" w:rsidP="00A97560">
      <w:pPr>
        <w:widowControl w:val="0"/>
        <w:suppressAutoHyphens/>
        <w:overflowPunct w:val="0"/>
        <w:spacing w:after="0" w:line="240" w:lineRule="auto"/>
        <w:ind w:firstLine="567"/>
        <w:jc w:val="right"/>
        <w:rPr>
          <w:rFonts w:ascii="Times New Roman" w:eastAsia="Times New Roman" w:hAnsi="Times New Roman" w:cs="Times New Roman"/>
          <w:i/>
          <w:kern w:val="2"/>
          <w:sz w:val="21"/>
          <w:szCs w:val="21"/>
          <w:lang w:eastAsia="ar-SA" w:bidi="ru-RU"/>
        </w:rPr>
      </w:pPr>
      <w:r w:rsidRPr="00A97560">
        <w:rPr>
          <w:rFonts w:ascii="Times New Roman" w:eastAsia="Times New Roman" w:hAnsi="Times New Roman" w:cs="Times New Roman"/>
          <w:i/>
          <w:kern w:val="2"/>
          <w:sz w:val="21"/>
          <w:szCs w:val="21"/>
          <w:lang w:eastAsia="ar-SA" w:bidi="ru-RU"/>
        </w:rPr>
        <w:t>г. Краснодар, Россия</w:t>
      </w:r>
    </w:p>
    <w:p w14:paraId="2BB01A86"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color w:val="000080"/>
          <w:kern w:val="2"/>
          <w:sz w:val="21"/>
          <w:szCs w:val="21"/>
          <w:u w:val="single"/>
          <w:lang w:eastAsia="ar-SA" w:bidi="ru-RU"/>
        </w:rPr>
      </w:pPr>
      <w:r w:rsidRPr="00A97560">
        <w:rPr>
          <w:rFonts w:ascii="Times New Roman" w:eastAsia="Times New Roman" w:hAnsi="Times New Roman" w:cs="Times New Roman"/>
          <w:i/>
          <w:kern w:val="2"/>
          <w:sz w:val="21"/>
          <w:szCs w:val="21"/>
          <w:lang w:eastAsia="ar-SA" w:bidi="ru-RU"/>
        </w:rPr>
        <w:t>е-</w:t>
      </w:r>
      <w:r w:rsidRPr="00A97560">
        <w:rPr>
          <w:rFonts w:ascii="Times New Roman" w:eastAsia="Times New Roman" w:hAnsi="Times New Roman" w:cs="Times New Roman"/>
          <w:i/>
          <w:kern w:val="2"/>
          <w:sz w:val="21"/>
          <w:szCs w:val="21"/>
          <w:lang w:val="en-US" w:eastAsia="ar-SA" w:bidi="ru-RU"/>
        </w:rPr>
        <w:t>mail</w:t>
      </w:r>
      <w:r w:rsidRPr="00A97560">
        <w:rPr>
          <w:rFonts w:ascii="Times New Roman" w:eastAsia="Source Han Sans CN Regular" w:hAnsi="Times New Roman" w:cs="Times New Roman"/>
          <w:kern w:val="2"/>
          <w:sz w:val="21"/>
          <w:szCs w:val="21"/>
          <w:lang w:eastAsia="ru-RU" w:bidi="ru-RU"/>
        </w:rPr>
        <w:t xml:space="preserve">: </w:t>
      </w:r>
      <w:hyperlink r:id="rId540">
        <w:r w:rsidRPr="00A97560">
          <w:rPr>
            <w:rFonts w:ascii="Times New Roman" w:eastAsia="Times New Roman" w:hAnsi="Times New Roman" w:cs="Times New Roman"/>
            <w:i/>
            <w:color w:val="000080"/>
            <w:kern w:val="2"/>
            <w:sz w:val="21"/>
            <w:szCs w:val="21"/>
            <w:u w:val="single"/>
            <w:lang w:val="en-US" w:eastAsia="ar-SA" w:bidi="ru-RU"/>
          </w:rPr>
          <w:t>NGPyankova</w:t>
        </w:r>
        <w:r w:rsidRPr="00A97560">
          <w:rPr>
            <w:rFonts w:ascii="Times New Roman" w:eastAsia="Times New Roman" w:hAnsi="Times New Roman" w:cs="Times New Roman"/>
            <w:i/>
            <w:color w:val="000080"/>
            <w:kern w:val="2"/>
            <w:sz w:val="21"/>
            <w:szCs w:val="21"/>
            <w:u w:val="single"/>
            <w:lang w:eastAsia="ar-SA" w:bidi="ru-RU"/>
          </w:rPr>
          <w:t>@</w:t>
        </w:r>
        <w:r w:rsidRPr="00A97560">
          <w:rPr>
            <w:rFonts w:ascii="Times New Roman" w:eastAsia="Times New Roman" w:hAnsi="Times New Roman" w:cs="Times New Roman"/>
            <w:i/>
            <w:color w:val="000080"/>
            <w:kern w:val="2"/>
            <w:sz w:val="21"/>
            <w:szCs w:val="21"/>
            <w:u w:val="single"/>
            <w:lang w:val="en-US" w:eastAsia="ar-SA" w:bidi="ru-RU"/>
          </w:rPr>
          <w:t>fa</w:t>
        </w:r>
        <w:r w:rsidRPr="00A97560">
          <w:rPr>
            <w:rFonts w:ascii="Times New Roman" w:eastAsia="Times New Roman" w:hAnsi="Times New Roman" w:cs="Times New Roman"/>
            <w:i/>
            <w:color w:val="000080"/>
            <w:kern w:val="2"/>
            <w:sz w:val="21"/>
            <w:szCs w:val="21"/>
            <w:u w:val="single"/>
            <w:lang w:eastAsia="ar-SA" w:bidi="ru-RU"/>
          </w:rPr>
          <w:t>.</w:t>
        </w:r>
        <w:r w:rsidRPr="00A97560">
          <w:rPr>
            <w:rFonts w:ascii="Times New Roman" w:eastAsia="Times New Roman" w:hAnsi="Times New Roman" w:cs="Times New Roman"/>
            <w:i/>
            <w:color w:val="000080"/>
            <w:kern w:val="2"/>
            <w:sz w:val="21"/>
            <w:szCs w:val="21"/>
            <w:u w:val="single"/>
            <w:lang w:val="en-US" w:eastAsia="ar-SA" w:bidi="ru-RU"/>
          </w:rPr>
          <w:t>ru</w:t>
        </w:r>
      </w:hyperlink>
    </w:p>
    <w:p w14:paraId="1DF64625"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kern w:val="2"/>
          <w:sz w:val="21"/>
          <w:szCs w:val="21"/>
          <w:lang w:eastAsia="ar-SA" w:bidi="ru-RU"/>
        </w:rPr>
      </w:pPr>
    </w:p>
    <w:p w14:paraId="0BEDCD84" w14:textId="77777777" w:rsidR="00A97560" w:rsidRPr="00A97560" w:rsidRDefault="00A97560" w:rsidP="00A97560">
      <w:pPr>
        <w:widowControl w:val="0"/>
        <w:suppressAutoHyphens/>
        <w:overflowPunct w:val="0"/>
        <w:spacing w:after="0" w:line="240" w:lineRule="auto"/>
        <w:jc w:val="center"/>
        <w:rPr>
          <w:rFonts w:ascii="Times New Roman" w:eastAsia="Source Han Sans CN Regular" w:hAnsi="Times New Roman" w:cs="Times New Roman"/>
          <w:b/>
          <w:kern w:val="2"/>
          <w:sz w:val="21"/>
          <w:szCs w:val="21"/>
          <w:lang w:eastAsia="ru-RU" w:bidi="ru-RU"/>
        </w:rPr>
      </w:pPr>
      <w:r w:rsidRPr="00A97560">
        <w:rPr>
          <w:rFonts w:ascii="Times New Roman" w:eastAsia="Source Han Sans CN Regular" w:hAnsi="Times New Roman" w:cs="Times New Roman"/>
          <w:b/>
          <w:kern w:val="2"/>
          <w:sz w:val="21"/>
          <w:szCs w:val="21"/>
          <w:lang w:eastAsia="ru-RU" w:bidi="ru-RU"/>
        </w:rPr>
        <w:t>Влияние искусственного интеллекта на безопасность информации: вызовы и решения</w:t>
      </w:r>
    </w:p>
    <w:p w14:paraId="3CF1ECC9" w14:textId="77777777" w:rsidR="00A97560" w:rsidRPr="00A97560" w:rsidRDefault="00A97560" w:rsidP="00A97560">
      <w:pPr>
        <w:widowControl w:val="0"/>
        <w:suppressAutoHyphens/>
        <w:overflowPunct w:val="0"/>
        <w:spacing w:after="0" w:line="240" w:lineRule="auto"/>
        <w:jc w:val="center"/>
        <w:rPr>
          <w:rFonts w:ascii="Times New Roman" w:eastAsia="Source Han Sans CN Regular" w:hAnsi="Times New Roman" w:cs="Times New Roman"/>
          <w:kern w:val="2"/>
          <w:sz w:val="21"/>
          <w:szCs w:val="21"/>
          <w:lang w:eastAsia="ru-RU" w:bidi="ru-RU"/>
        </w:rPr>
      </w:pPr>
    </w:p>
    <w:p w14:paraId="2815BED3" w14:textId="77777777"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21"/>
          <w:szCs w:val="21"/>
          <w:lang w:eastAsia="ru-RU" w:bidi="ru-RU"/>
        </w:rPr>
      </w:pPr>
      <w:r w:rsidRPr="00A97560">
        <w:rPr>
          <w:rFonts w:ascii="Times New Roman" w:eastAsia="Source Han Sans CN Regular" w:hAnsi="Times New Roman" w:cs="Times New Roman"/>
          <w:b/>
          <w:bCs/>
          <w:kern w:val="2"/>
          <w:sz w:val="21"/>
          <w:szCs w:val="21"/>
          <w:lang w:eastAsia="ru-RU" w:bidi="ru-RU"/>
        </w:rPr>
        <w:t>Аннотация:</w:t>
      </w:r>
      <w:r w:rsidRPr="00A97560">
        <w:rPr>
          <w:rFonts w:ascii="Times New Roman" w:eastAsia="Source Han Sans CN Regular" w:hAnsi="Times New Roman" w:cs="Times New Roman"/>
          <w:kern w:val="2"/>
          <w:sz w:val="21"/>
          <w:szCs w:val="21"/>
          <w:lang w:eastAsia="ru-RU" w:bidi="ru-RU"/>
        </w:rPr>
        <w:t xml:space="preserve"> В данной работе рассмотрены основные аспекты влияния искусственного интеллекта (ИИ) на безопасность информации. Анализируются современные угрозы, возникающие вследствие использования ИИ, такие как фишинг с применением генеративных моделей, атаки с помощью глубоких фейков, автоматизация взломов. Также представлены решения, базирующиеся на ИИ, направленные на обеспечение кибербезопасности. Работа подчеркивает необходимость комплексного подхода и этического регулирования в сфере ИИ.</w:t>
      </w:r>
    </w:p>
    <w:p w14:paraId="65467C64" w14:textId="77777777"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21"/>
          <w:szCs w:val="21"/>
          <w:lang w:eastAsia="ru-RU" w:bidi="ru-RU"/>
        </w:rPr>
      </w:pPr>
      <w:r w:rsidRPr="00A97560">
        <w:rPr>
          <w:rFonts w:ascii="Times New Roman" w:eastAsia="Source Han Sans CN Regular" w:hAnsi="Times New Roman" w:cs="Times New Roman"/>
          <w:b/>
          <w:bCs/>
          <w:kern w:val="2"/>
          <w:sz w:val="21"/>
          <w:szCs w:val="21"/>
          <w:lang w:eastAsia="ru-RU" w:bidi="ru-RU"/>
        </w:rPr>
        <w:t>Ключевые слова:</w:t>
      </w:r>
      <w:r w:rsidRPr="00A97560">
        <w:rPr>
          <w:rFonts w:ascii="Times New Roman" w:eastAsia="Source Han Sans CN Regular" w:hAnsi="Times New Roman" w:cs="Times New Roman"/>
          <w:kern w:val="2"/>
          <w:sz w:val="21"/>
          <w:szCs w:val="21"/>
          <w:lang w:eastAsia="ru-RU" w:bidi="ru-RU"/>
        </w:rPr>
        <w:t xml:space="preserve"> искусственный интеллект, безопасность информации, киберугрозы, машинное </w:t>
      </w:r>
      <w:r w:rsidRPr="00A97560">
        <w:rPr>
          <w:rFonts w:ascii="Times New Roman" w:eastAsia="Source Han Sans CN Regular" w:hAnsi="Times New Roman" w:cs="Times New Roman"/>
          <w:kern w:val="2"/>
          <w:sz w:val="21"/>
          <w:szCs w:val="21"/>
          <w:lang w:eastAsia="ru-RU" w:bidi="ru-RU"/>
        </w:rPr>
        <w:lastRenderedPageBreak/>
        <w:t>обучение, фишинг, глубокие фейки, киберзащита, этика ИИ.</w:t>
      </w:r>
    </w:p>
    <w:p w14:paraId="5C1EFD11" w14:textId="77777777" w:rsidR="00A97560" w:rsidRPr="00A97560" w:rsidRDefault="00A97560" w:rsidP="00A97560">
      <w:pPr>
        <w:widowControl w:val="0"/>
        <w:suppressAutoHyphens/>
        <w:overflowPunct w:val="0"/>
        <w:spacing w:after="0" w:line="240" w:lineRule="auto"/>
        <w:jc w:val="both"/>
        <w:rPr>
          <w:rFonts w:ascii="Times New Roman" w:eastAsia="Source Han Sans CN Regular" w:hAnsi="Times New Roman" w:cs="Times New Roman"/>
          <w:kern w:val="2"/>
          <w:sz w:val="21"/>
          <w:szCs w:val="21"/>
          <w:lang w:eastAsia="ru-RU" w:bidi="ru-RU"/>
        </w:rPr>
      </w:pPr>
    </w:p>
    <w:p w14:paraId="2BDF4EDE" w14:textId="77777777" w:rsidR="00A97560" w:rsidRPr="00A97560" w:rsidRDefault="00A97560" w:rsidP="00A97560">
      <w:pPr>
        <w:widowControl w:val="0"/>
        <w:suppressAutoHyphens/>
        <w:overflowPunct w:val="0"/>
        <w:spacing w:after="0" w:line="240" w:lineRule="auto"/>
        <w:jc w:val="right"/>
        <w:rPr>
          <w:rFonts w:ascii="Times New Roman" w:eastAsia="Source Han Sans CN Regular" w:hAnsi="Times New Roman" w:cs="Times New Roman"/>
          <w:b/>
          <w:bCs/>
          <w:i/>
          <w:iCs/>
          <w:kern w:val="2"/>
          <w:sz w:val="21"/>
          <w:szCs w:val="21"/>
          <w:lang w:val="en-US" w:eastAsia="ru-RU" w:bidi="ru-RU"/>
        </w:rPr>
      </w:pPr>
      <w:r w:rsidRPr="00A97560">
        <w:rPr>
          <w:rFonts w:ascii="Times New Roman" w:eastAsia="Source Han Sans CN Regular" w:hAnsi="Times New Roman" w:cs="Times New Roman"/>
          <w:b/>
          <w:bCs/>
          <w:i/>
          <w:iCs/>
          <w:kern w:val="2"/>
          <w:sz w:val="21"/>
          <w:szCs w:val="21"/>
          <w:lang w:val="en-US" w:eastAsia="ru-RU" w:bidi="ru-RU"/>
        </w:rPr>
        <w:t>Teslenko D.D.,</w:t>
      </w:r>
    </w:p>
    <w:p w14:paraId="30E15E63"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Source Han Sans CN Regular" w:hAnsi="Times New Roman" w:cs="Times New Roman"/>
          <w:i/>
          <w:iCs/>
          <w:kern w:val="2"/>
          <w:sz w:val="21"/>
          <w:szCs w:val="21"/>
          <w:lang w:val="en-US" w:eastAsia="ru-RU" w:bidi="ru-RU"/>
        </w:rPr>
      </w:pPr>
      <w:r w:rsidRPr="00A97560">
        <w:rPr>
          <w:rFonts w:ascii="Times New Roman" w:eastAsia="Times New Roman" w:hAnsi="Times New Roman" w:cs="Times New Roman"/>
          <w:i/>
          <w:iCs/>
          <w:kern w:val="2"/>
          <w:sz w:val="21"/>
          <w:szCs w:val="21"/>
          <w:lang w:val="en-US" w:eastAsia="ar-SA" w:bidi="ru-RU"/>
        </w:rPr>
        <w:t>student, 2 courses</w:t>
      </w:r>
    </w:p>
    <w:p w14:paraId="50EEB73B"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Source Han Sans CN Regular" w:hAnsi="Times New Roman" w:cs="Times New Roman"/>
          <w:i/>
          <w:iCs/>
          <w:kern w:val="2"/>
          <w:sz w:val="21"/>
          <w:szCs w:val="21"/>
          <w:lang w:val="en-US" w:eastAsia="ru-RU" w:bidi="ru-RU"/>
        </w:rPr>
      </w:pPr>
      <w:r w:rsidRPr="00A97560">
        <w:rPr>
          <w:rFonts w:ascii="Times New Roman" w:eastAsia="Times New Roman" w:hAnsi="Times New Roman" w:cs="Times New Roman"/>
          <w:i/>
          <w:iCs/>
          <w:kern w:val="2"/>
          <w:sz w:val="21"/>
          <w:szCs w:val="21"/>
          <w:lang w:val="en-US" w:eastAsia="ar-SA" w:bidi="ru-RU"/>
        </w:rPr>
        <w:t>Federal State Budgetary Educational Institution of Higher Education “Financial University under the Government of the Russian Federation” Krasnodar branch</w:t>
      </w:r>
    </w:p>
    <w:p w14:paraId="70F84645"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Source Han Sans CN Regular" w:hAnsi="Times New Roman" w:cs="Times New Roman"/>
          <w:i/>
          <w:iCs/>
          <w:kern w:val="2"/>
          <w:sz w:val="21"/>
          <w:szCs w:val="21"/>
          <w:lang w:val="en-US" w:eastAsia="ru-RU" w:bidi="ru-RU"/>
        </w:rPr>
      </w:pPr>
      <w:r w:rsidRPr="00A97560">
        <w:rPr>
          <w:rFonts w:ascii="Times New Roman" w:eastAsia="Times New Roman" w:hAnsi="Times New Roman" w:cs="Times New Roman"/>
          <w:i/>
          <w:iCs/>
          <w:kern w:val="2"/>
          <w:sz w:val="21"/>
          <w:szCs w:val="21"/>
          <w:lang w:val="en-US" w:eastAsia="ar-SA" w:bidi="ru-RU"/>
        </w:rPr>
        <w:t>Krasnodar, Russia</w:t>
      </w:r>
    </w:p>
    <w:p w14:paraId="7FACBE39" w14:textId="77777777" w:rsidR="00A97560" w:rsidRPr="00A97560" w:rsidRDefault="00A97560" w:rsidP="00A97560">
      <w:pPr>
        <w:widowControl w:val="0"/>
        <w:suppressAutoHyphens/>
        <w:overflowPunct w:val="0"/>
        <w:spacing w:after="0" w:line="240" w:lineRule="auto"/>
        <w:jc w:val="right"/>
        <w:rPr>
          <w:rFonts w:ascii="Times New Roman" w:eastAsia="Source Han Sans CN Regular" w:hAnsi="Times New Roman" w:cs="Times New Roman"/>
          <w:i/>
          <w:iCs/>
          <w:kern w:val="2"/>
          <w:sz w:val="21"/>
          <w:szCs w:val="21"/>
          <w:lang w:val="en-US" w:eastAsia="ru-RU" w:bidi="ru-RU"/>
        </w:rPr>
      </w:pPr>
      <w:r w:rsidRPr="00A97560">
        <w:rPr>
          <w:rFonts w:ascii="Times New Roman" w:eastAsia="Source Han Sans CN Regular" w:hAnsi="Times New Roman" w:cs="Times New Roman"/>
          <w:i/>
          <w:iCs/>
          <w:kern w:val="2"/>
          <w:sz w:val="21"/>
          <w:szCs w:val="21"/>
          <w:lang w:val="en-US" w:eastAsia="ru-RU" w:bidi="ru-RU"/>
        </w:rPr>
        <w:t xml:space="preserve">e-mail: </w:t>
      </w:r>
      <w:hyperlink r:id="rId541">
        <w:r w:rsidRPr="00A97560">
          <w:rPr>
            <w:rFonts w:ascii="Times New Roman" w:eastAsia="Source Han Sans CN Regular" w:hAnsi="Times New Roman" w:cs="Times New Roman"/>
            <w:i/>
            <w:iCs/>
            <w:color w:val="000080"/>
            <w:kern w:val="2"/>
            <w:sz w:val="21"/>
            <w:szCs w:val="21"/>
            <w:u w:val="single"/>
            <w:lang w:val="en-US" w:eastAsia="ru-RU" w:bidi="ru-RU"/>
          </w:rPr>
          <w:t>danek.teslenko1718@gmail.com</w:t>
        </w:r>
      </w:hyperlink>
    </w:p>
    <w:p w14:paraId="210A85F9"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b/>
          <w:bCs/>
          <w:i/>
          <w:kern w:val="2"/>
          <w:sz w:val="21"/>
          <w:szCs w:val="21"/>
          <w:lang w:val="en-US" w:eastAsia="ar-SA" w:bidi="ru-RU"/>
        </w:rPr>
      </w:pPr>
    </w:p>
    <w:p w14:paraId="2BC25F46"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b/>
          <w:bCs/>
          <w:i/>
          <w:kern w:val="2"/>
          <w:sz w:val="21"/>
          <w:szCs w:val="21"/>
          <w:lang w:val="en-US" w:eastAsia="ar-SA" w:bidi="ru-RU"/>
        </w:rPr>
      </w:pPr>
      <w:r w:rsidRPr="00A97560">
        <w:rPr>
          <w:rFonts w:ascii="Times New Roman" w:eastAsia="Times New Roman" w:hAnsi="Times New Roman" w:cs="Times New Roman"/>
          <w:b/>
          <w:bCs/>
          <w:i/>
          <w:kern w:val="2"/>
          <w:sz w:val="21"/>
          <w:szCs w:val="21"/>
          <w:lang w:val="en-US" w:eastAsia="ar-SA" w:bidi="ru-RU"/>
        </w:rPr>
        <w:t>Scientific Adviser:</w:t>
      </w:r>
    </w:p>
    <w:p w14:paraId="5ACDD4A6"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b/>
          <w:bCs/>
          <w:i/>
          <w:kern w:val="2"/>
          <w:sz w:val="21"/>
          <w:szCs w:val="21"/>
          <w:lang w:val="en-US" w:eastAsia="ar-SA" w:bidi="ru-RU"/>
        </w:rPr>
      </w:pPr>
      <w:r w:rsidRPr="00A97560">
        <w:rPr>
          <w:rFonts w:ascii="Times New Roman" w:eastAsia="Times New Roman" w:hAnsi="Times New Roman" w:cs="Times New Roman"/>
          <w:b/>
          <w:bCs/>
          <w:i/>
          <w:kern w:val="2"/>
          <w:sz w:val="21"/>
          <w:szCs w:val="21"/>
          <w:lang w:val="en-US" w:eastAsia="ar-SA" w:bidi="ru-RU"/>
        </w:rPr>
        <w:t>Pyankova N.G.,</w:t>
      </w:r>
    </w:p>
    <w:p w14:paraId="2563C471"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kern w:val="2"/>
          <w:sz w:val="21"/>
          <w:szCs w:val="21"/>
          <w:lang w:val="en-US" w:eastAsia="ar-SA" w:bidi="ru-RU"/>
        </w:rPr>
      </w:pPr>
      <w:r w:rsidRPr="00A97560">
        <w:rPr>
          <w:rFonts w:ascii="Times New Roman" w:eastAsia="Times New Roman" w:hAnsi="Times New Roman" w:cs="Times New Roman"/>
          <w:i/>
          <w:kern w:val="2"/>
          <w:sz w:val="21"/>
          <w:szCs w:val="21"/>
          <w:lang w:val="en-US" w:eastAsia="ar-SA" w:bidi="ru-RU"/>
        </w:rPr>
        <w:t>Doctor of Science (Pedagogical), Docent</w:t>
      </w:r>
    </w:p>
    <w:p w14:paraId="7F73D83F"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kern w:val="2"/>
          <w:sz w:val="21"/>
          <w:szCs w:val="21"/>
          <w:lang w:val="en-US" w:eastAsia="ar-SA" w:bidi="ru-RU"/>
        </w:rPr>
      </w:pPr>
      <w:r w:rsidRPr="00A97560">
        <w:rPr>
          <w:rFonts w:ascii="Times New Roman" w:eastAsia="Times New Roman" w:hAnsi="Times New Roman" w:cs="Times New Roman"/>
          <w:i/>
          <w:kern w:val="2"/>
          <w:sz w:val="21"/>
          <w:szCs w:val="21"/>
          <w:lang w:val="en-US" w:eastAsia="ar-SA" w:bidi="ru-RU"/>
        </w:rPr>
        <w:t>Federal State Budgetary Educational Institution of Higher Education “Financial University under the Government of the Russian Federation” Krasnodar branch</w:t>
      </w:r>
    </w:p>
    <w:p w14:paraId="1A3BE7BE"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kern w:val="2"/>
          <w:sz w:val="21"/>
          <w:szCs w:val="21"/>
          <w:lang w:val="en-US" w:eastAsia="ar-SA" w:bidi="ru-RU"/>
        </w:rPr>
      </w:pPr>
      <w:r w:rsidRPr="00A97560">
        <w:rPr>
          <w:rFonts w:ascii="Times New Roman" w:eastAsia="Times New Roman" w:hAnsi="Times New Roman" w:cs="Times New Roman"/>
          <w:i/>
          <w:kern w:val="2"/>
          <w:sz w:val="21"/>
          <w:szCs w:val="21"/>
          <w:lang w:val="en-US" w:eastAsia="ar-SA" w:bidi="ru-RU"/>
        </w:rPr>
        <w:t>Krasnodar, Russia</w:t>
      </w:r>
    </w:p>
    <w:p w14:paraId="07362B6F" w14:textId="77777777" w:rsidR="00A97560" w:rsidRPr="00A97560" w:rsidRDefault="00A97560" w:rsidP="00A97560">
      <w:pPr>
        <w:widowControl w:val="0"/>
        <w:suppressAutoHyphens/>
        <w:overflowPunct w:val="0"/>
        <w:spacing w:after="0" w:line="240" w:lineRule="auto"/>
        <w:ind w:firstLine="567"/>
        <w:jc w:val="right"/>
        <w:textAlignment w:val="baseline"/>
        <w:rPr>
          <w:rFonts w:ascii="Times New Roman" w:eastAsia="Times New Roman" w:hAnsi="Times New Roman" w:cs="Times New Roman"/>
          <w:i/>
          <w:kern w:val="2"/>
          <w:sz w:val="21"/>
          <w:szCs w:val="21"/>
          <w:lang w:val="en-US" w:eastAsia="ar-SA" w:bidi="ru-RU"/>
        </w:rPr>
      </w:pPr>
      <w:r w:rsidRPr="00A97560">
        <w:rPr>
          <w:rFonts w:ascii="Times New Roman" w:eastAsia="Times New Roman" w:hAnsi="Times New Roman" w:cs="Times New Roman"/>
          <w:i/>
          <w:kern w:val="2"/>
          <w:sz w:val="21"/>
          <w:szCs w:val="21"/>
          <w:lang w:val="en-US" w:eastAsia="ar-SA" w:bidi="ru-RU"/>
        </w:rPr>
        <w:t xml:space="preserve">e-mail: </w:t>
      </w:r>
      <w:hyperlink r:id="rId542">
        <w:r w:rsidRPr="00A97560">
          <w:rPr>
            <w:rFonts w:ascii="Times New Roman" w:eastAsia="Times New Roman" w:hAnsi="Times New Roman" w:cs="Times New Roman"/>
            <w:i/>
            <w:color w:val="000080"/>
            <w:kern w:val="2"/>
            <w:sz w:val="21"/>
            <w:szCs w:val="21"/>
            <w:u w:val="single"/>
            <w:lang w:val="en-US" w:eastAsia="ar-SA" w:bidi="ru-RU"/>
          </w:rPr>
          <w:t>NGPyankova@fa.ru</w:t>
        </w:r>
      </w:hyperlink>
    </w:p>
    <w:p w14:paraId="442CF8C5" w14:textId="77777777" w:rsidR="00A97560" w:rsidRPr="00A97560" w:rsidRDefault="00A97560" w:rsidP="00A97560">
      <w:pPr>
        <w:suppressAutoHyphens/>
        <w:overflowPunct w:val="0"/>
        <w:spacing w:after="0" w:line="240" w:lineRule="auto"/>
        <w:jc w:val="both"/>
        <w:rPr>
          <w:rFonts w:ascii="Times New Roman" w:eastAsia="Source Han Sans CN Regular" w:hAnsi="Times New Roman" w:cs="Times New Roman"/>
          <w:bCs/>
          <w:kern w:val="2"/>
          <w:sz w:val="28"/>
          <w:szCs w:val="24"/>
          <w:lang w:val="en-US" w:eastAsia="ru-RU" w:bidi="ru-RU"/>
        </w:rPr>
      </w:pPr>
    </w:p>
    <w:p w14:paraId="0C50874B" w14:textId="77777777" w:rsidR="00A97560" w:rsidRPr="00A97560" w:rsidRDefault="00A97560" w:rsidP="00A97560">
      <w:pPr>
        <w:suppressAutoHyphens/>
        <w:overflowPunct w:val="0"/>
        <w:spacing w:after="0" w:line="240" w:lineRule="auto"/>
        <w:jc w:val="center"/>
        <w:rPr>
          <w:rFonts w:ascii="Times New Roman" w:eastAsia="Source Han Sans CN Regular" w:hAnsi="Times New Roman" w:cs="Times New Roman"/>
          <w:color w:val="000000"/>
          <w:kern w:val="2"/>
          <w:sz w:val="21"/>
          <w:szCs w:val="21"/>
          <w:lang w:val="en-US" w:eastAsia="ru-RU" w:bidi="ru-RU"/>
        </w:rPr>
      </w:pPr>
      <w:r w:rsidRPr="00A97560">
        <w:rPr>
          <w:rFonts w:ascii="Times New Roman" w:eastAsia="Source Han Sans CN Regular" w:hAnsi="Times New Roman" w:cs="Times New Roman"/>
          <w:b/>
          <w:bCs/>
          <w:color w:val="000000"/>
          <w:kern w:val="2"/>
          <w:sz w:val="21"/>
          <w:szCs w:val="21"/>
          <w:lang w:val="en-US" w:eastAsia="ru-RU" w:bidi="ru-RU"/>
        </w:rPr>
        <w:t>The impact of artificial intelligence on information security: challenges and solutions</w:t>
      </w:r>
    </w:p>
    <w:p w14:paraId="0863070A" w14:textId="77777777" w:rsidR="00A97560" w:rsidRPr="00A97560" w:rsidRDefault="00A97560" w:rsidP="00A97560">
      <w:pPr>
        <w:suppressAutoHyphens/>
        <w:overflowPunct w:val="0"/>
        <w:spacing w:after="0" w:line="240" w:lineRule="auto"/>
        <w:ind w:firstLine="709"/>
        <w:jc w:val="both"/>
        <w:rPr>
          <w:rFonts w:ascii="Times New Roman" w:eastAsia="Source Han Sans CN Regular" w:hAnsi="Times New Roman" w:cs="Times New Roman"/>
          <w:color w:val="000000"/>
          <w:kern w:val="2"/>
          <w:sz w:val="21"/>
          <w:szCs w:val="21"/>
          <w:lang w:val="en-US" w:eastAsia="ru-RU" w:bidi="ru-RU"/>
        </w:rPr>
      </w:pPr>
      <w:r w:rsidRPr="00A97560">
        <w:rPr>
          <w:rFonts w:ascii="Times New Roman" w:eastAsia="Source Han Sans CN Regular" w:hAnsi="Times New Roman" w:cs="Times New Roman"/>
          <w:b/>
          <w:bCs/>
          <w:color w:val="000000"/>
          <w:kern w:val="2"/>
          <w:sz w:val="21"/>
          <w:szCs w:val="21"/>
          <w:lang w:val="en-US" w:eastAsia="ru-RU" w:bidi="ru-RU"/>
        </w:rPr>
        <w:t>Abstract:</w:t>
      </w:r>
      <w:r w:rsidRPr="00A97560">
        <w:rPr>
          <w:rFonts w:ascii="Times New Roman" w:eastAsia="Source Han Sans CN Regular" w:hAnsi="Times New Roman" w:cs="Times New Roman"/>
          <w:color w:val="000000"/>
          <w:kern w:val="2"/>
          <w:sz w:val="21"/>
          <w:szCs w:val="21"/>
          <w:lang w:val="en-US" w:eastAsia="ru-RU" w:bidi="ru-RU"/>
        </w:rPr>
        <w:t xml:space="preserve"> This paper examines the main aspects of the impact of artificial intelligence (AI) on information security. The article analyzes modern threats arising from the use of AI, such as phishing using generative models, attacks using deep fakes, and hacking automation. AI-based solutions aimed at ensuring cybersecurity are also presented. The work highlights the need for an integrated approach and ethical regulation in the field of AI.</w:t>
      </w:r>
    </w:p>
    <w:p w14:paraId="5A11C659" w14:textId="77777777" w:rsidR="00A97560" w:rsidRPr="00A97560" w:rsidRDefault="00A97560" w:rsidP="00A97560">
      <w:pPr>
        <w:suppressAutoHyphens/>
        <w:overflowPunct w:val="0"/>
        <w:spacing w:after="0" w:line="240" w:lineRule="auto"/>
        <w:ind w:firstLine="709"/>
        <w:jc w:val="both"/>
        <w:rPr>
          <w:rFonts w:ascii="Times New Roman" w:eastAsia="Source Han Sans CN Regular" w:hAnsi="Times New Roman" w:cs="Times New Roman"/>
          <w:color w:val="000000"/>
          <w:kern w:val="2"/>
          <w:sz w:val="32"/>
          <w:szCs w:val="32"/>
          <w:lang w:val="en-US" w:eastAsia="ru-RU" w:bidi="ru-RU"/>
        </w:rPr>
      </w:pPr>
      <w:r w:rsidRPr="00A97560">
        <w:rPr>
          <w:rFonts w:ascii="Times New Roman" w:eastAsia="Source Han Sans CN Regular" w:hAnsi="Times New Roman" w:cs="Times New Roman"/>
          <w:b/>
          <w:bCs/>
          <w:color w:val="000000"/>
          <w:kern w:val="2"/>
          <w:sz w:val="21"/>
          <w:szCs w:val="21"/>
          <w:lang w:val="en-US" w:eastAsia="ru-RU" w:bidi="ru-RU"/>
        </w:rPr>
        <w:t>Keywords:</w:t>
      </w:r>
      <w:r w:rsidRPr="00A97560">
        <w:rPr>
          <w:rFonts w:ascii="Times New Roman" w:eastAsia="Source Han Sans CN Regular" w:hAnsi="Times New Roman" w:cs="Times New Roman"/>
          <w:color w:val="000000"/>
          <w:kern w:val="2"/>
          <w:sz w:val="21"/>
          <w:szCs w:val="21"/>
          <w:lang w:val="en-US" w:eastAsia="ru-RU" w:bidi="ru-RU"/>
        </w:rPr>
        <w:t xml:space="preserve"> artificial intelligence, information security, cyber threats, machine learning, phishing, deep fakes, cyber defense, AI ethics.</w:t>
      </w:r>
      <w:r w:rsidRPr="00A97560">
        <w:rPr>
          <w:rFonts w:ascii="Times New Roman" w:eastAsia="Source Han Sans CN Regular" w:hAnsi="Times New Roman" w:cs="Times New Roman"/>
          <w:color w:val="000000"/>
          <w:kern w:val="2"/>
          <w:sz w:val="32"/>
          <w:szCs w:val="32"/>
          <w:lang w:val="en-US" w:eastAsia="ru-RU" w:bidi="ru-RU"/>
        </w:rPr>
        <w:t xml:space="preserve"> </w:t>
      </w:r>
    </w:p>
    <w:p w14:paraId="76F33B9D" w14:textId="77777777"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val="en-US" w:eastAsia="ru-RU" w:bidi="ru-RU"/>
        </w:rPr>
      </w:pPr>
    </w:p>
    <w:p w14:paraId="6C42FCD4" w14:textId="4E6B244A"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28"/>
          <w:szCs w:val="24"/>
          <w:lang w:eastAsia="ru-RU" w:bidi="ru-RU"/>
        </w:rPr>
      </w:pPr>
      <w:r w:rsidRPr="00A97560">
        <w:rPr>
          <w:rFonts w:ascii="Times New Roman" w:eastAsia="Source Han Sans CN Regular" w:hAnsi="Times New Roman" w:cs="Times New Roman"/>
          <w:kern w:val="2"/>
          <w:sz w:val="32"/>
          <w:szCs w:val="32"/>
          <w:lang w:eastAsia="ru-RU" w:bidi="ru-RU"/>
        </w:rPr>
        <w:t>С развитием технологий искусственного интеллекта в последние годы существенно изменились подходы к обеспечению информационной безопасности. Искусственный интеллект используют в атакующих и защитных целях. Он позволяет эффективнее выявлять угрозы, но при этом сам становится источником рисков. Цель работы – рассмотреть</w:t>
      </w:r>
      <w:r w:rsidR="00545086">
        <w:rPr>
          <w:rFonts w:ascii="Times New Roman" w:eastAsia="Source Han Sans CN Regular" w:hAnsi="Times New Roman" w:cs="Times New Roman"/>
          <w:kern w:val="2"/>
          <w:sz w:val="32"/>
          <w:szCs w:val="32"/>
          <w:lang w:eastAsia="ru-RU" w:bidi="ru-RU"/>
        </w:rPr>
        <w:t xml:space="preserve"> </w:t>
      </w:r>
      <w:r w:rsidRPr="00A97560">
        <w:rPr>
          <w:rFonts w:ascii="Times New Roman" w:eastAsia="Source Han Sans CN Regular" w:hAnsi="Times New Roman" w:cs="Times New Roman"/>
          <w:kern w:val="2"/>
          <w:sz w:val="32"/>
          <w:szCs w:val="32"/>
          <w:lang w:eastAsia="ru-RU" w:bidi="ru-RU"/>
        </w:rPr>
        <w:t>вызовы</w:t>
      </w:r>
      <w:r w:rsidR="00545086">
        <w:rPr>
          <w:rFonts w:ascii="Times New Roman" w:eastAsia="Source Han Sans CN Regular" w:hAnsi="Times New Roman" w:cs="Times New Roman"/>
          <w:kern w:val="2"/>
          <w:sz w:val="32"/>
          <w:szCs w:val="32"/>
          <w:lang w:eastAsia="ru-RU" w:bidi="ru-RU"/>
        </w:rPr>
        <w:t>,</w:t>
      </w:r>
      <w:r w:rsidRPr="00A97560">
        <w:rPr>
          <w:rFonts w:ascii="Times New Roman" w:eastAsia="Source Han Sans CN Regular" w:hAnsi="Times New Roman" w:cs="Times New Roman"/>
          <w:kern w:val="2"/>
          <w:sz w:val="32"/>
          <w:szCs w:val="32"/>
          <w:lang w:eastAsia="ru-RU" w:bidi="ru-RU"/>
        </w:rPr>
        <w:t xml:space="preserve"> связанные с искусственным интеллектом, а также предложить решения по обеспечению информационной безопасности.</w:t>
      </w:r>
    </w:p>
    <w:p w14:paraId="60EA4886" w14:textId="6D76417A"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Современный этап цифровой трансформации характеризуется стремительным развитием технологий искусственного интеллекта, что создает принципиально новую парадигму в области информационной безопасности. Активное развитие искусственного интеллекта открывает не только новые перспективы для защиты данных, но и порождает серьёзные угрозы кибербезопасности. Искусственный интеллект способен создавать совершенно новые виды атак, а также многократно усиливать опасность уже известных методов за счет автоматизации и адаптивности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__RefNumPara__807_3505218041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5</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w:t>
      </w:r>
    </w:p>
    <w:p w14:paraId="16ED3218" w14:textId="57361F0B"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Ярким примером таких угроз являются Deepfakes – это цифровые материалы, генерируемые с помощью алгоритмов глубокого обучения, в частности генеративных состязательных сетей (GAN)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__RefNumPara__805_3505218041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2</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xml:space="preserve">]. Современные реализации этих технологий достигли такого уровня совершенства, что позволяют создавать высокореалистичные аудио- и </w:t>
      </w:r>
      <w:r w:rsidRPr="00A97560">
        <w:rPr>
          <w:rFonts w:ascii="Times New Roman" w:eastAsia="Source Han Sans CN Regular" w:hAnsi="Times New Roman" w:cs="Times New Roman"/>
          <w:kern w:val="2"/>
          <w:sz w:val="32"/>
          <w:szCs w:val="32"/>
          <w:lang w:eastAsia="ru-RU" w:bidi="ru-RU"/>
        </w:rPr>
        <w:lastRenderedPageBreak/>
        <w:t>видеозаписи с правдоподобным изображением и голосом конкретного человека, который фактически не участвовал в данном событии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__RefNumPara__807_3505218041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5</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Особую опасность представляют «гибридные» deepfake, комбинирующие реальные записи с искусственно сгенерированными элементами, что значительно затрудняет их обнаружение традиционными методами верификации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__RefNumPara__809_3505218041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1</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w:t>
      </w:r>
    </w:p>
    <w:p w14:paraId="24A78E66" w14:textId="291BF5D8"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Ещё одной существенной угрозой становится автоматизация кибератак с использованием искусственного интеллекта. Современные алгоритмы машинного обучения, такие как reinforcement learning, позволяют злоумышленникам не только эффективнее выявлять уязвимости в программном обеспечении, но и автоматически адаптировать методы эксплуатации этих уязвимостей к конкретным системам защиты. Особую опасность представляют интеллектуальные системы для организации масштабных DDoS-атак, которые могут анализировать поведение защитных механизмов в реальном времени и динамически менять векторы атаки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__RefNumPara__813_3505218041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3</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w:t>
      </w:r>
    </w:p>
    <w:p w14:paraId="4B0EA410" w14:textId="6BD2767E"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Кроме того, искусственный интеллект кардинально усиливает методы социальной инженерии (метод манипуляции людьми с целью получения их конфиденциальной информации, доступа к ресурсам или других представляющих ценность объектов). Генеративные языковые модели нового поколения способны создавать персонализированные фишинговые сообщения, учитывая стиль общения конкретного человека или корпоративную культуру организации. Технологии синтеза речи на основе ИИ позволяют с высокой точностью имитировать голосовые особенности, включая интонации и характерные речевые паттерны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__RefNumPara__807_3505218041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5</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Это не только значительно увеличивает риск того, что пользователь доверится злоумышленникам, но и создаёт серьёзные проблемы для систем автоматического обнаружения подобных атак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__RefNumPara__809_3505218041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1</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w:t>
      </w:r>
    </w:p>
    <w:p w14:paraId="0BB8DED2" w14:textId="3F81E581"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Решения и возможности ИИ в сфере кибербезопасности демонстрируют значительный потенциал для противодействия этим угрозам. Искусственный интеллект играет ключевую роль в защите современных информационных систем. Передовые решения на основе машинного обучения, включая глубокие нейронные сети, позволяют выявлять сложные аномалии в сетевом трафике и поведении пользователей, обнаруживая признаки кибератак на ранних стадиях с точностью, превышающей традиционные сигнатурные методы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__RefNumPara__811_3505218041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4</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xml:space="preserve">]. Автоматизация реагирования с помощью ИИ позволяет сократить время устранения угроз с часов до секунд, минимизируя </w:t>
      </w:r>
      <w:r w:rsidRPr="00A97560">
        <w:rPr>
          <w:rFonts w:ascii="Times New Roman" w:eastAsia="Source Han Sans CN Regular" w:hAnsi="Times New Roman" w:cs="Times New Roman"/>
          <w:kern w:val="2"/>
          <w:sz w:val="32"/>
          <w:szCs w:val="32"/>
          <w:lang w:eastAsia="ru-RU" w:bidi="ru-RU"/>
        </w:rPr>
        <w:lastRenderedPageBreak/>
        <w:t>потенциальный ущерб для организаций.</w:t>
      </w:r>
    </w:p>
    <w:p w14:paraId="4E48CC12" w14:textId="5C6C5A88"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Ещё одним перспективным направлением является разработка комплексных систем проверки подлинности цифрового контента для выявления deepfake. Современные ИИ-алгоритмы анализируют множество параметров, включая микроартефакты в изображениях, несоответствия в метаданных и статистические аномалии в синтезированных аудиозаписях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__RefNumPara__809_3505218041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1</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Эти технологии уже сегодня помогают эффективно бороться с дезинформацией в социальных сетях и средствах массовой информации.</w:t>
      </w:r>
    </w:p>
    <w:p w14:paraId="59C9A7B4" w14:textId="1EDBE89B"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Этические и нормативные аспекты применения искусственного интеллекта в кибербезопасности требуют комплексного междисциплинарного подхода. Применение ИИ в кибербезопасности ставит ряд сложных этических и правовых вопросов, которые необходимо решать на международном уровне. Ключевой проблемой является определение юридической ответственности за действия автономных систем, особенно в случаях ошибочных решений или нанесения значительного ущерба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__RefNumPara__811_3505218041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4</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Современное законодательство большинства стран не учитывает специфику ИИ-систем, что создает правовой вакуум в вопросах регулирования их использования. Необходима разработка комплексной правовой базы, которая четко регламентировала бы ответственность за злоупотребление, системные сбои или неправильное использование ИИ-систем в сфере кибербезопасности. Особую сложность представляет вопрос распределения ответственности между разработчиками алгоритмов, операторами систем и конечными пользователями.</w:t>
      </w:r>
    </w:p>
    <w:p w14:paraId="28338413" w14:textId="7D2885B8"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Другой важнейший аспект – проблема минимизации предвзятости в алгоритмах машинного обучения, которая может привести к дискриминационным решениям с серьезными социальными последствиями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__RefNumPara__811_3505218041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4</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Предвзятость возникает у ИИ-системы на всех этапах: от сбора данных до результатов. Для решения этой проблемы требуется применение специальных методик, включая использование разнообразных обучающих данных, алгоритмические методы коррекции смещений, а также регулярное тестирование моделей на предмет дискриминационных эффектов. Особое внимание следует уделять системам кибербезопасности.</w:t>
      </w:r>
    </w:p>
    <w:p w14:paraId="5B5EA504" w14:textId="65919548"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 xml:space="preserve">Кроме того, стоит вопрос обеспечения прозрачности работы ИИ-систем в кибербезопасности. Необходимо развивать механизмы технической и организационной прозрачности, включая подробную документацию алгоритмов, методы принятия решений и механизмы </w:t>
      </w:r>
      <w:r w:rsidRPr="00A97560">
        <w:rPr>
          <w:rFonts w:ascii="Times New Roman" w:eastAsia="Source Han Sans CN Regular" w:hAnsi="Times New Roman" w:cs="Times New Roman"/>
          <w:kern w:val="2"/>
          <w:sz w:val="32"/>
          <w:szCs w:val="32"/>
          <w:lang w:eastAsia="ru-RU" w:bidi="ru-RU"/>
        </w:rPr>
        <w:lastRenderedPageBreak/>
        <w:t>аудита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__RefNumPara__811_3505218041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4</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Особую сложность представляет сохранение баланса между прозрачностью и защитой коммерческой тайны разработчиков, а также необходимостью сохранения в секрете методов противодействия киберугрозам.</w:t>
      </w:r>
    </w:p>
    <w:p w14:paraId="58ED7BAB" w14:textId="5C864292"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Перспективы развития ИИ в кибербезопасности связаны с несколькими ключевыми направлениями. В ближайшие годы ожидается качественный скачок в развитии самообучающихся систем кибербезопасности, которые смогут адаптироваться к новым угрозам в реальном времени без необходимости вмешательства человека. Такие системы будут сочетать методы глубокого обучения с технологиями непрерывного онлайн-обучения, что позволит оперативно реагировать на изменяющиеся тактики злоумышленников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__RefNumPara__813_3505218041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3</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w:t>
      </w:r>
    </w:p>
    <w:p w14:paraId="29AE3A92" w14:textId="240FA4EF"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Особый интерес представляет технология Federated Learning, позволяющая обучать модели на распределённых данных без необходимости их централизации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__RefNumPara__813_3505218041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3</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Этот подход важен для кибербезопасности, так как сохраняет конфиденциальность данных различных организаций при тренировке моделей обнаружения угроз. Важным направлением является развитие методов коллективного обучения.</w:t>
      </w:r>
    </w:p>
    <w:p w14:paraId="1C09B8A6" w14:textId="69C59B75"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Существуют и ограничения, которые необходимо учитывать при разработке и внедрении искусственного интеллекта в кибербезопасности. Искусственный интеллект остается уязвимым к враждебным атакам, когда злоумышленники могут управлять данными для обмана моделей машинного обучения [</w:t>
      </w:r>
      <w:r w:rsidRPr="00A97560">
        <w:rPr>
          <w:rFonts w:ascii="Times New Roman" w:eastAsia="Source Han Sans CN Regular" w:hAnsi="Times New Roman" w:cs="Times New Roman"/>
          <w:kern w:val="2"/>
          <w:sz w:val="32"/>
          <w:szCs w:val="32"/>
          <w:lang w:eastAsia="ru-RU" w:bidi="ru-RU"/>
        </w:rPr>
        <w:fldChar w:fldCharType="begin"/>
      </w:r>
      <w:r w:rsidRPr="00A97560">
        <w:rPr>
          <w:rFonts w:ascii="Times New Roman" w:eastAsia="Source Han Sans CN Regular" w:hAnsi="Times New Roman" w:cs="Times New Roman"/>
          <w:kern w:val="2"/>
          <w:sz w:val="32"/>
          <w:szCs w:val="32"/>
          <w:lang w:eastAsia="ru-RU" w:bidi="ru-RU"/>
        </w:rPr>
        <w:instrText xml:space="preserve"> REF __RefNumPara__809_3505218041 \n \h  \* MERGEFORMAT </w:instrText>
      </w:r>
      <w:r w:rsidRPr="00A97560">
        <w:rPr>
          <w:rFonts w:ascii="Times New Roman" w:eastAsia="Source Han Sans CN Regular" w:hAnsi="Times New Roman" w:cs="Times New Roman"/>
          <w:kern w:val="2"/>
          <w:sz w:val="32"/>
          <w:szCs w:val="32"/>
          <w:lang w:eastAsia="ru-RU" w:bidi="ru-RU"/>
        </w:rPr>
      </w:r>
      <w:r w:rsidRPr="00A97560">
        <w:rPr>
          <w:rFonts w:ascii="Times New Roman" w:eastAsia="Source Han Sans CN Regular" w:hAnsi="Times New Roman" w:cs="Times New Roman"/>
          <w:kern w:val="2"/>
          <w:sz w:val="32"/>
          <w:szCs w:val="32"/>
          <w:lang w:eastAsia="ru-RU" w:bidi="ru-RU"/>
        </w:rPr>
        <w:fldChar w:fldCharType="separate"/>
      </w:r>
      <w:r w:rsidR="00350EE8">
        <w:rPr>
          <w:rFonts w:ascii="Times New Roman" w:eastAsia="Source Han Sans CN Regular" w:hAnsi="Times New Roman" w:cs="Times New Roman"/>
          <w:kern w:val="2"/>
          <w:sz w:val="32"/>
          <w:szCs w:val="32"/>
          <w:lang w:eastAsia="ru-RU" w:bidi="ru-RU"/>
        </w:rPr>
        <w:t>1</w:t>
      </w:r>
      <w:r w:rsidRPr="00A97560">
        <w:rPr>
          <w:rFonts w:ascii="Times New Roman" w:eastAsia="Source Han Sans CN Regular" w:hAnsi="Times New Roman" w:cs="Times New Roman"/>
          <w:kern w:val="2"/>
          <w:sz w:val="32"/>
          <w:szCs w:val="32"/>
          <w:lang w:eastAsia="ru-RU" w:bidi="ru-RU"/>
        </w:rPr>
        <w:fldChar w:fldCharType="end"/>
      </w:r>
      <w:r w:rsidRPr="00A97560">
        <w:rPr>
          <w:rFonts w:ascii="Times New Roman" w:eastAsia="Source Han Sans CN Regular" w:hAnsi="Times New Roman" w:cs="Times New Roman"/>
          <w:kern w:val="2"/>
          <w:sz w:val="32"/>
          <w:szCs w:val="32"/>
          <w:lang w:eastAsia="ru-RU" w:bidi="ru-RU"/>
        </w:rPr>
        <w:t>]. Кроме того, современные ИИ-системы требуют вычислительных ресурсов для обучения и эксплуатации, что создает проблемы для их внедрения. Серьезной проблемой остается зависимость качества решений от полноты и репрезентативности обучающих данных – несовершенство данных может приводить к систематическим ошибкам в работе алгоритмов.</w:t>
      </w:r>
    </w:p>
    <w:p w14:paraId="3BFD8854" w14:textId="77777777" w:rsidR="00A97560" w:rsidRPr="00A97560" w:rsidRDefault="00A97560" w:rsidP="00A97560">
      <w:pPr>
        <w:widowControl w:val="0"/>
        <w:suppressAutoHyphens/>
        <w:overflowPunct w:val="0"/>
        <w:spacing w:after="0" w:line="240" w:lineRule="auto"/>
        <w:ind w:firstLine="709"/>
        <w:jc w:val="both"/>
        <w:rPr>
          <w:rFonts w:ascii="Times New Roman" w:eastAsia="Source Han Sans CN Regular" w:hAnsi="Times New Roman" w:cs="Times New Roman"/>
          <w:kern w:val="2"/>
          <w:sz w:val="32"/>
          <w:szCs w:val="32"/>
          <w:lang w:eastAsia="ru-RU" w:bidi="ru-RU"/>
        </w:rPr>
      </w:pPr>
      <w:r w:rsidRPr="00A97560">
        <w:rPr>
          <w:rFonts w:ascii="Times New Roman" w:eastAsia="Source Han Sans CN Regular" w:hAnsi="Times New Roman" w:cs="Times New Roman"/>
          <w:kern w:val="2"/>
          <w:sz w:val="32"/>
          <w:szCs w:val="32"/>
          <w:lang w:eastAsia="ru-RU" w:bidi="ru-RU"/>
        </w:rPr>
        <w:t>Для преодоления этих ограничений и повышения надежности предлагается использовать гибридные модели защиты, интегрирующие искусственный интеллект и экспертные правила. Такой подход позволяет сочетать преимущества адаптивности машинного обучения с надежностью и прозрачностью экспертных систем. Гибридные системы особенно эффективны в критически важных областях, где цена ошибки особенно высока, например, в системах защиты финансовой инфраструктуры или критически важных объектов.</w:t>
      </w:r>
    </w:p>
    <w:p w14:paraId="79646D3F" w14:textId="77777777" w:rsidR="00A97560" w:rsidRPr="00A97560" w:rsidRDefault="00A97560" w:rsidP="00A97560">
      <w:pPr>
        <w:widowControl w:val="0"/>
        <w:suppressAutoHyphens/>
        <w:overflowPunct w:val="0"/>
        <w:spacing w:after="0" w:line="240" w:lineRule="auto"/>
        <w:jc w:val="center"/>
        <w:rPr>
          <w:rFonts w:ascii="Times New Roman" w:eastAsia="Source Han Sans CN Regular" w:hAnsi="Times New Roman" w:cs="Times New Roman"/>
          <w:b/>
          <w:bCs/>
          <w:kern w:val="2"/>
          <w:sz w:val="21"/>
          <w:szCs w:val="21"/>
          <w:lang w:eastAsia="ru-RU" w:bidi="ru-RU"/>
        </w:rPr>
      </w:pPr>
      <w:r w:rsidRPr="00A97560">
        <w:rPr>
          <w:rFonts w:ascii="Times New Roman" w:eastAsia="Source Han Sans CN Regular" w:hAnsi="Times New Roman" w:cs="Times New Roman"/>
          <w:b/>
          <w:bCs/>
          <w:kern w:val="2"/>
          <w:sz w:val="21"/>
          <w:szCs w:val="21"/>
          <w:lang w:eastAsia="ru-RU" w:bidi="ru-RU"/>
        </w:rPr>
        <w:lastRenderedPageBreak/>
        <w:t>Литература:</w:t>
      </w:r>
    </w:p>
    <w:p w14:paraId="1CBFF3C3" w14:textId="77777777" w:rsidR="00A97560" w:rsidRPr="00A97560" w:rsidRDefault="00A97560" w:rsidP="00AD58CD">
      <w:pPr>
        <w:widowControl w:val="0"/>
        <w:numPr>
          <w:ilvl w:val="0"/>
          <w:numId w:val="112"/>
        </w:numPr>
        <w:tabs>
          <w:tab w:val="clear" w:pos="720"/>
          <w:tab w:val="num" w:pos="360"/>
        </w:tabs>
        <w:suppressAutoHyphens/>
        <w:overflowPunct w:val="0"/>
        <w:spacing w:after="0" w:line="240" w:lineRule="auto"/>
        <w:ind w:left="284" w:hanging="284"/>
        <w:jc w:val="both"/>
        <w:rPr>
          <w:rFonts w:ascii="Times New Roman" w:eastAsia="Source Han Sans CN Regular" w:hAnsi="Times New Roman" w:cs="Times New Roman"/>
          <w:kern w:val="2"/>
          <w:sz w:val="21"/>
          <w:szCs w:val="21"/>
          <w:lang w:val="en-US" w:eastAsia="ru-RU" w:bidi="ru-RU"/>
        </w:rPr>
      </w:pPr>
      <w:bookmarkStart w:id="94" w:name="__RefNumPara__809_3505218041"/>
      <w:bookmarkEnd w:id="94"/>
      <w:r w:rsidRPr="00A97560">
        <w:rPr>
          <w:rFonts w:ascii="Times New Roman" w:eastAsia="Source Han Sans CN Regular" w:hAnsi="Times New Roman" w:cs="Times New Roman"/>
          <w:kern w:val="2"/>
          <w:sz w:val="21"/>
          <w:szCs w:val="21"/>
          <w:lang w:val="en-US" w:eastAsia="ru-RU" w:bidi="ru-RU"/>
        </w:rPr>
        <w:t xml:space="preserve">Choras M. et al. Advanced Machine Learning Techniques for Fake News Detection // Information Processing &amp; Management. – 2020. – Vol. 57(2). </w:t>
      </w:r>
    </w:p>
    <w:p w14:paraId="0AF74CA5" w14:textId="77777777" w:rsidR="00A97560" w:rsidRPr="00A97560" w:rsidRDefault="00A97560" w:rsidP="00AD58CD">
      <w:pPr>
        <w:widowControl w:val="0"/>
        <w:numPr>
          <w:ilvl w:val="0"/>
          <w:numId w:val="112"/>
        </w:numPr>
        <w:tabs>
          <w:tab w:val="clear" w:pos="720"/>
          <w:tab w:val="num" w:pos="360"/>
        </w:tabs>
        <w:suppressAutoHyphens/>
        <w:overflowPunct w:val="0"/>
        <w:spacing w:after="0" w:line="240" w:lineRule="auto"/>
        <w:ind w:left="284" w:hanging="284"/>
        <w:jc w:val="both"/>
        <w:rPr>
          <w:rFonts w:ascii="Times New Roman" w:eastAsia="Source Han Sans CN Regular" w:hAnsi="Times New Roman" w:cs="Times New Roman"/>
          <w:kern w:val="2"/>
          <w:sz w:val="21"/>
          <w:szCs w:val="21"/>
          <w:lang w:val="en-US" w:eastAsia="ru-RU" w:bidi="ru-RU"/>
        </w:rPr>
      </w:pPr>
      <w:bookmarkStart w:id="95" w:name="__RefNumPara__805_3505218041"/>
      <w:bookmarkEnd w:id="95"/>
      <w:r w:rsidRPr="00A97560">
        <w:rPr>
          <w:rFonts w:ascii="Times New Roman" w:eastAsia="Source Han Sans CN Regular" w:hAnsi="Times New Roman" w:cs="Times New Roman"/>
          <w:kern w:val="2"/>
          <w:sz w:val="21"/>
          <w:szCs w:val="21"/>
          <w:lang w:val="en-US" w:eastAsia="ru-RU" w:bidi="ru-RU"/>
        </w:rPr>
        <w:t xml:space="preserve">Goodfellow I., Bengio Y., Courville A. Deep Learning. – MIT Press, 2016. – 800 p. </w:t>
      </w:r>
    </w:p>
    <w:p w14:paraId="4C441063" w14:textId="77777777" w:rsidR="00A97560" w:rsidRPr="00A97560" w:rsidRDefault="00A97560" w:rsidP="00AD58CD">
      <w:pPr>
        <w:widowControl w:val="0"/>
        <w:numPr>
          <w:ilvl w:val="0"/>
          <w:numId w:val="112"/>
        </w:numPr>
        <w:tabs>
          <w:tab w:val="clear" w:pos="720"/>
          <w:tab w:val="num" w:pos="360"/>
        </w:tabs>
        <w:suppressAutoHyphens/>
        <w:overflowPunct w:val="0"/>
        <w:spacing w:after="0" w:line="240" w:lineRule="auto"/>
        <w:ind w:left="284" w:hanging="284"/>
        <w:jc w:val="both"/>
        <w:rPr>
          <w:rFonts w:ascii="Times New Roman" w:eastAsia="Source Han Sans CN Regular" w:hAnsi="Times New Roman" w:cs="Times New Roman"/>
          <w:kern w:val="2"/>
          <w:sz w:val="21"/>
          <w:szCs w:val="21"/>
          <w:lang w:val="en-US" w:eastAsia="ru-RU" w:bidi="ru-RU"/>
        </w:rPr>
      </w:pPr>
      <w:bookmarkStart w:id="96" w:name="__RefNumPara__813_3505218041"/>
      <w:bookmarkEnd w:id="96"/>
      <w:r w:rsidRPr="00A97560">
        <w:rPr>
          <w:rFonts w:ascii="Times New Roman" w:eastAsia="Source Han Sans CN Regular" w:hAnsi="Times New Roman" w:cs="Times New Roman"/>
          <w:kern w:val="2"/>
          <w:sz w:val="21"/>
          <w:szCs w:val="21"/>
          <w:lang w:val="en-US" w:eastAsia="ru-RU" w:bidi="ru-RU"/>
        </w:rPr>
        <w:t xml:space="preserve">McMahan H.B. et al. Advances and Open Problems in Federated Learning // Foundations and Trends® in Machine Learning. – 2021. – Vol. 14(1). – P. 1-210. </w:t>
      </w:r>
    </w:p>
    <w:p w14:paraId="6A357383" w14:textId="77777777" w:rsidR="00A97560" w:rsidRPr="00A97560" w:rsidRDefault="00A97560" w:rsidP="00AD58CD">
      <w:pPr>
        <w:widowControl w:val="0"/>
        <w:numPr>
          <w:ilvl w:val="0"/>
          <w:numId w:val="112"/>
        </w:numPr>
        <w:tabs>
          <w:tab w:val="clear" w:pos="720"/>
          <w:tab w:val="num" w:pos="360"/>
        </w:tabs>
        <w:suppressAutoHyphens/>
        <w:overflowPunct w:val="0"/>
        <w:spacing w:after="0" w:line="240" w:lineRule="auto"/>
        <w:ind w:left="284" w:hanging="284"/>
        <w:jc w:val="both"/>
        <w:rPr>
          <w:rFonts w:ascii="Times New Roman" w:eastAsia="Source Han Sans CN Regular" w:hAnsi="Times New Roman" w:cs="Times New Roman"/>
          <w:kern w:val="2"/>
          <w:sz w:val="28"/>
          <w:szCs w:val="24"/>
          <w:lang w:val="en-US" w:eastAsia="ru-RU" w:bidi="ru-RU"/>
        </w:rPr>
      </w:pPr>
      <w:bookmarkStart w:id="97" w:name="__RefNumPara__811_3505218041"/>
      <w:bookmarkEnd w:id="97"/>
      <w:r w:rsidRPr="00A97560">
        <w:rPr>
          <w:rFonts w:ascii="Times New Roman" w:eastAsia="Source Han Sans CN Regular" w:hAnsi="Times New Roman" w:cs="Times New Roman"/>
          <w:kern w:val="2"/>
          <w:sz w:val="21"/>
          <w:szCs w:val="21"/>
          <w:lang w:val="en-US" w:eastAsia="ru-RU" w:bidi="ru-RU"/>
        </w:rPr>
        <w:t xml:space="preserve">Microsoft Responsible AI Principles. – URL: </w:t>
      </w:r>
      <w:hyperlink r:id="rId543" w:tgtFrame="_blank">
        <w:r w:rsidRPr="00A97560">
          <w:rPr>
            <w:rFonts w:ascii="Times New Roman" w:eastAsia="Source Han Sans CN Regular" w:hAnsi="Times New Roman" w:cs="Times New Roman"/>
            <w:color w:val="000080"/>
            <w:kern w:val="2"/>
            <w:sz w:val="21"/>
            <w:szCs w:val="21"/>
            <w:u w:val="single"/>
            <w:lang w:val="en-US" w:eastAsia="ru-RU" w:bidi="ru-RU"/>
          </w:rPr>
          <w:t>https://www.microsoft.com/ai/responsible-ai</w:t>
        </w:r>
      </w:hyperlink>
      <w:r w:rsidRPr="00A97560">
        <w:rPr>
          <w:rFonts w:ascii="Times New Roman" w:eastAsia="Source Han Sans CN Regular" w:hAnsi="Times New Roman" w:cs="Times New Roman"/>
          <w:kern w:val="2"/>
          <w:sz w:val="21"/>
          <w:szCs w:val="21"/>
          <w:lang w:val="en-US" w:eastAsia="ru-RU" w:bidi="ru-RU"/>
        </w:rPr>
        <w:t xml:space="preserve"> </w:t>
      </w:r>
    </w:p>
    <w:p w14:paraId="3F3E60DC" w14:textId="10D06256" w:rsidR="00A647AC" w:rsidRPr="00892CE7" w:rsidRDefault="00A97560" w:rsidP="00AD58CD">
      <w:pPr>
        <w:widowControl w:val="0"/>
        <w:numPr>
          <w:ilvl w:val="0"/>
          <w:numId w:val="112"/>
        </w:numPr>
        <w:tabs>
          <w:tab w:val="clear" w:pos="720"/>
          <w:tab w:val="num" w:pos="360"/>
        </w:tabs>
        <w:suppressAutoHyphens/>
        <w:overflowPunct w:val="0"/>
        <w:spacing w:after="0" w:line="240" w:lineRule="auto"/>
        <w:ind w:left="284" w:hanging="284"/>
        <w:jc w:val="both"/>
        <w:rPr>
          <w:rFonts w:ascii="Times New Roman" w:eastAsia="Source Han Sans CN Regular" w:hAnsi="Times New Roman" w:cs="Times New Roman"/>
          <w:kern w:val="2"/>
          <w:sz w:val="21"/>
          <w:szCs w:val="21"/>
          <w:lang w:val="en-US" w:eastAsia="ru-RU" w:bidi="ru-RU"/>
        </w:rPr>
      </w:pPr>
      <w:bookmarkStart w:id="98" w:name="__RefNumPara__807_3505218041"/>
      <w:bookmarkEnd w:id="98"/>
      <w:r w:rsidRPr="00A97560">
        <w:rPr>
          <w:rFonts w:ascii="Times New Roman" w:eastAsia="Source Han Sans CN Regular" w:hAnsi="Times New Roman" w:cs="Times New Roman"/>
          <w:kern w:val="2"/>
          <w:sz w:val="21"/>
          <w:szCs w:val="21"/>
          <w:lang w:val="en-US" w:eastAsia="ru-RU" w:bidi="ru-RU"/>
        </w:rPr>
        <w:t>Mirsky Y. et al. The Creation and Detection of Deepfakes: A Survey // ACM Computing Surveys. - 2022. - Vol. 54(1). - P. 1-41.</w:t>
      </w:r>
    </w:p>
    <w:p w14:paraId="682DA5D8" w14:textId="77777777" w:rsidR="00892CE7" w:rsidRPr="00656AA8" w:rsidRDefault="00892CE7" w:rsidP="00892CE7">
      <w:pPr>
        <w:widowControl w:val="0"/>
        <w:suppressAutoHyphens/>
        <w:overflowPunct w:val="0"/>
        <w:spacing w:after="0" w:line="240" w:lineRule="auto"/>
        <w:ind w:left="284"/>
        <w:jc w:val="both"/>
        <w:rPr>
          <w:rFonts w:ascii="Times New Roman" w:eastAsia="Source Han Sans CN Regular" w:hAnsi="Times New Roman" w:cs="Times New Roman"/>
          <w:kern w:val="2"/>
          <w:sz w:val="21"/>
          <w:szCs w:val="21"/>
          <w:lang w:val="en-US" w:eastAsia="ru-RU" w:bidi="ru-RU"/>
        </w:rPr>
      </w:pPr>
    </w:p>
    <w:p w14:paraId="4CB0F406" w14:textId="77777777" w:rsidR="00892CE7" w:rsidRPr="00656AA8" w:rsidRDefault="00892CE7" w:rsidP="00892CE7">
      <w:pPr>
        <w:widowControl w:val="0"/>
        <w:suppressAutoHyphens/>
        <w:overflowPunct w:val="0"/>
        <w:spacing w:after="0" w:line="240" w:lineRule="auto"/>
        <w:ind w:left="284"/>
        <w:jc w:val="both"/>
        <w:rPr>
          <w:rFonts w:ascii="Times New Roman" w:eastAsia="Source Han Sans CN Regular" w:hAnsi="Times New Roman" w:cs="Times New Roman"/>
          <w:b/>
          <w:bCs/>
          <w:kern w:val="2"/>
          <w:sz w:val="21"/>
          <w:szCs w:val="21"/>
          <w:lang w:val="en-US" w:eastAsia="ru-RU" w:bidi="ru-RU"/>
        </w:rPr>
      </w:pPr>
    </w:p>
    <w:p w14:paraId="1495F83A" w14:textId="6FD31798" w:rsidR="00892CE7" w:rsidRPr="00892CE7" w:rsidRDefault="00892CE7" w:rsidP="00892CE7">
      <w:pPr>
        <w:suppressAutoHyphens/>
        <w:spacing w:after="0" w:line="240" w:lineRule="auto"/>
        <w:ind w:firstLine="709"/>
        <w:jc w:val="right"/>
        <w:rPr>
          <w:rFonts w:ascii="Times New Roman" w:eastAsia="Times New Roman" w:hAnsi="Times New Roman" w:cs="Times New Roman"/>
          <w:b/>
          <w:bCs/>
          <w:i/>
          <w:iCs/>
          <w:color w:val="000000"/>
          <w:sz w:val="21"/>
          <w:szCs w:val="21"/>
        </w:rPr>
      </w:pPr>
      <w:r w:rsidRPr="00892CE7">
        <w:rPr>
          <w:rFonts w:ascii="Times New Roman" w:eastAsia="Times New Roman" w:hAnsi="Times New Roman" w:cs="Times New Roman"/>
          <w:b/>
          <w:bCs/>
          <w:i/>
          <w:iCs/>
          <w:sz w:val="21"/>
          <w:szCs w:val="21"/>
        </w:rPr>
        <w:t>Торосян А.А.</w:t>
      </w:r>
      <w:r w:rsidR="00271A58" w:rsidRPr="00271A58">
        <w:rPr>
          <w:rFonts w:ascii="Times New Roman" w:eastAsia="Times New Roman" w:hAnsi="Times New Roman" w:cs="Times New Roman"/>
          <w:b/>
          <w:bCs/>
          <w:i/>
          <w:iCs/>
          <w:sz w:val="21"/>
          <w:szCs w:val="21"/>
        </w:rPr>
        <w:t>,</w:t>
      </w:r>
      <w:r w:rsidRPr="00892CE7">
        <w:rPr>
          <w:rFonts w:ascii="Times New Roman" w:eastAsia="Times New Roman" w:hAnsi="Times New Roman" w:cs="Times New Roman"/>
          <w:b/>
          <w:bCs/>
          <w:i/>
          <w:iCs/>
          <w:sz w:val="21"/>
          <w:szCs w:val="21"/>
        </w:rPr>
        <w:t xml:space="preserve"> </w:t>
      </w:r>
    </w:p>
    <w:p w14:paraId="586093EC"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rPr>
      </w:pPr>
      <w:r w:rsidRPr="00892CE7">
        <w:rPr>
          <w:rFonts w:ascii="Times New Roman" w:eastAsia="Times New Roman" w:hAnsi="Times New Roman" w:cs="Times New Roman"/>
          <w:i/>
          <w:iCs/>
          <w:sz w:val="21"/>
          <w:szCs w:val="21"/>
        </w:rPr>
        <w:t xml:space="preserve">студент 2 курса </w:t>
      </w:r>
    </w:p>
    <w:p w14:paraId="64C7D50A" w14:textId="77777777" w:rsidR="00271A58" w:rsidRDefault="00271A58" w:rsidP="00271A58">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DC2C999"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rPr>
      </w:pPr>
      <w:r w:rsidRPr="00892CE7">
        <w:rPr>
          <w:rFonts w:ascii="Times New Roman" w:eastAsia="Times New Roman" w:hAnsi="Times New Roman" w:cs="Times New Roman"/>
          <w:i/>
          <w:iCs/>
          <w:sz w:val="21"/>
          <w:szCs w:val="21"/>
        </w:rPr>
        <w:t xml:space="preserve">г. Краснодар, Россия </w:t>
      </w:r>
    </w:p>
    <w:p w14:paraId="24BCCC20" w14:textId="77777777" w:rsidR="00892CE7" w:rsidRPr="00271A58" w:rsidRDefault="00892CE7" w:rsidP="00892CE7">
      <w:pPr>
        <w:suppressAutoHyphens/>
        <w:spacing w:after="0" w:line="240" w:lineRule="auto"/>
        <w:ind w:firstLine="709"/>
        <w:jc w:val="right"/>
        <w:rPr>
          <w:rFonts w:ascii="Aptos" w:eastAsia="Aptos" w:hAnsi="Aptos" w:cs="Tahoma"/>
          <w:i/>
          <w:iCs/>
          <w:sz w:val="24"/>
          <w:szCs w:val="24"/>
        </w:rPr>
      </w:pPr>
      <w:r w:rsidRPr="00892CE7">
        <w:rPr>
          <w:rFonts w:ascii="Times New Roman" w:eastAsia="Times New Roman" w:hAnsi="Times New Roman" w:cs="Times New Roman"/>
          <w:i/>
          <w:iCs/>
          <w:sz w:val="21"/>
          <w:szCs w:val="21"/>
        </w:rPr>
        <w:t xml:space="preserve">е-mail: </w:t>
      </w:r>
      <w:hyperlink r:id="rId544">
        <w:r w:rsidRPr="00892CE7">
          <w:rPr>
            <w:rFonts w:ascii="Times New Roman" w:eastAsia="Times New Roman" w:hAnsi="Times New Roman" w:cs="Times New Roman"/>
            <w:i/>
            <w:iCs/>
            <w:color w:val="467886"/>
            <w:sz w:val="21"/>
            <w:szCs w:val="21"/>
            <w:u w:val="single"/>
          </w:rPr>
          <w:t>torosanalfred77@gmail.com</w:t>
        </w:r>
      </w:hyperlink>
    </w:p>
    <w:p w14:paraId="67562B96" w14:textId="77777777" w:rsidR="00271A58" w:rsidRPr="00892CE7" w:rsidRDefault="00271A58" w:rsidP="00892CE7">
      <w:pPr>
        <w:suppressAutoHyphens/>
        <w:spacing w:after="0" w:line="240" w:lineRule="auto"/>
        <w:ind w:firstLine="709"/>
        <w:jc w:val="right"/>
        <w:rPr>
          <w:rFonts w:ascii="Times New Roman" w:eastAsia="Times New Roman" w:hAnsi="Times New Roman" w:cs="Times New Roman"/>
          <w:sz w:val="21"/>
          <w:szCs w:val="21"/>
        </w:rPr>
      </w:pPr>
    </w:p>
    <w:p w14:paraId="79EF9D6C" w14:textId="77777777" w:rsidR="00892CE7" w:rsidRPr="00892CE7" w:rsidRDefault="00892CE7" w:rsidP="00892CE7">
      <w:pPr>
        <w:suppressAutoHyphens/>
        <w:spacing w:after="0" w:line="240" w:lineRule="auto"/>
        <w:ind w:firstLine="567"/>
        <w:jc w:val="right"/>
        <w:rPr>
          <w:rFonts w:ascii="Times New Roman" w:eastAsia="Times New Roman" w:hAnsi="Times New Roman" w:cs="Times New Roman"/>
          <w:b/>
          <w:i/>
          <w:sz w:val="21"/>
          <w:szCs w:val="21"/>
        </w:rPr>
      </w:pPr>
      <w:r w:rsidRPr="00892CE7">
        <w:rPr>
          <w:rFonts w:ascii="Times New Roman" w:eastAsia="Times New Roman" w:hAnsi="Times New Roman" w:cs="Times New Roman"/>
          <w:b/>
          <w:i/>
          <w:sz w:val="21"/>
          <w:szCs w:val="21"/>
        </w:rPr>
        <w:t>Научный руководитель:</w:t>
      </w:r>
    </w:p>
    <w:p w14:paraId="7877221B" w14:textId="77777777" w:rsidR="00892CE7" w:rsidRPr="00892CE7" w:rsidRDefault="00892CE7" w:rsidP="00892CE7">
      <w:pPr>
        <w:suppressAutoHyphens/>
        <w:spacing w:after="0" w:line="240" w:lineRule="auto"/>
        <w:ind w:firstLine="567"/>
        <w:jc w:val="right"/>
        <w:rPr>
          <w:rFonts w:ascii="Times New Roman" w:eastAsia="Times New Roman" w:hAnsi="Times New Roman" w:cs="Times New Roman"/>
          <w:b/>
          <w:i/>
          <w:sz w:val="21"/>
          <w:szCs w:val="21"/>
        </w:rPr>
      </w:pPr>
      <w:r w:rsidRPr="00892CE7">
        <w:rPr>
          <w:rFonts w:ascii="Times New Roman" w:eastAsia="Times New Roman" w:hAnsi="Times New Roman" w:cs="Times New Roman"/>
          <w:b/>
          <w:i/>
          <w:sz w:val="21"/>
          <w:szCs w:val="21"/>
        </w:rPr>
        <w:t>Пьянкова Н.Г.,</w:t>
      </w:r>
    </w:p>
    <w:p w14:paraId="0D6458FA" w14:textId="77777777" w:rsidR="00892CE7" w:rsidRPr="00892CE7" w:rsidRDefault="00892CE7" w:rsidP="00892CE7">
      <w:pPr>
        <w:suppressAutoHyphens/>
        <w:spacing w:after="0" w:line="240" w:lineRule="auto"/>
        <w:ind w:firstLine="567"/>
        <w:jc w:val="right"/>
        <w:rPr>
          <w:rFonts w:ascii="Times New Roman" w:eastAsia="Times New Roman" w:hAnsi="Times New Roman" w:cs="Times New Roman"/>
          <w:i/>
          <w:color w:val="000000"/>
          <w:sz w:val="21"/>
          <w:szCs w:val="21"/>
          <w:lang w:eastAsia="ar-SA"/>
        </w:rPr>
      </w:pPr>
      <w:r w:rsidRPr="00892CE7">
        <w:rPr>
          <w:rFonts w:ascii="Times New Roman" w:eastAsia="Times New Roman" w:hAnsi="Times New Roman" w:cs="Times New Roman"/>
          <w:i/>
          <w:color w:val="000000"/>
          <w:sz w:val="21"/>
          <w:szCs w:val="21"/>
          <w:lang w:eastAsia="ar-SA"/>
        </w:rPr>
        <w:t xml:space="preserve">доцент, </w:t>
      </w:r>
      <w:proofErr w:type="gramStart"/>
      <w:r w:rsidRPr="00892CE7">
        <w:rPr>
          <w:rFonts w:ascii="Times New Roman" w:eastAsia="Times New Roman" w:hAnsi="Times New Roman" w:cs="Times New Roman"/>
          <w:i/>
          <w:color w:val="000000"/>
          <w:sz w:val="21"/>
          <w:szCs w:val="21"/>
          <w:lang w:eastAsia="ar-SA"/>
        </w:rPr>
        <w:t>канд.пед</w:t>
      </w:r>
      <w:proofErr w:type="gramEnd"/>
      <w:r w:rsidRPr="00892CE7">
        <w:rPr>
          <w:rFonts w:ascii="Times New Roman" w:eastAsia="Times New Roman" w:hAnsi="Times New Roman" w:cs="Times New Roman"/>
          <w:i/>
          <w:color w:val="000000"/>
          <w:sz w:val="21"/>
          <w:szCs w:val="21"/>
          <w:lang w:eastAsia="ar-SA"/>
        </w:rPr>
        <w:t>.наук</w:t>
      </w:r>
    </w:p>
    <w:p w14:paraId="0268DA46" w14:textId="77777777" w:rsidR="00271A58" w:rsidRDefault="00271A58" w:rsidP="00271A58">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05CC320" w14:textId="77777777" w:rsidR="00892CE7" w:rsidRPr="00892CE7" w:rsidRDefault="00892CE7" w:rsidP="00892CE7">
      <w:pPr>
        <w:suppressAutoHyphens/>
        <w:spacing w:after="0" w:line="240" w:lineRule="auto"/>
        <w:ind w:firstLine="567"/>
        <w:jc w:val="right"/>
        <w:rPr>
          <w:rFonts w:ascii="Times New Roman" w:eastAsia="Times New Roman" w:hAnsi="Times New Roman" w:cs="Times New Roman"/>
          <w:i/>
          <w:sz w:val="21"/>
          <w:szCs w:val="21"/>
          <w:lang w:eastAsia="ar-SA"/>
        </w:rPr>
      </w:pPr>
      <w:r w:rsidRPr="00892CE7">
        <w:rPr>
          <w:rFonts w:ascii="Times New Roman" w:eastAsia="Times New Roman" w:hAnsi="Times New Roman" w:cs="Times New Roman"/>
          <w:i/>
          <w:sz w:val="21"/>
          <w:szCs w:val="21"/>
          <w:lang w:eastAsia="ar-SA"/>
        </w:rPr>
        <w:t>г. Краснодар, Россия</w:t>
      </w:r>
    </w:p>
    <w:p w14:paraId="71B67844"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i/>
          <w:sz w:val="21"/>
          <w:szCs w:val="21"/>
          <w:lang w:eastAsia="ar-SA"/>
        </w:rPr>
      </w:pPr>
      <w:r w:rsidRPr="00892CE7">
        <w:rPr>
          <w:rFonts w:ascii="Times New Roman" w:eastAsia="Times New Roman" w:hAnsi="Times New Roman" w:cs="Times New Roman"/>
          <w:i/>
          <w:sz w:val="21"/>
          <w:szCs w:val="21"/>
          <w:lang w:eastAsia="ar-SA"/>
        </w:rPr>
        <w:t>е-</w:t>
      </w:r>
      <w:r w:rsidRPr="00892CE7">
        <w:rPr>
          <w:rFonts w:ascii="Times New Roman" w:eastAsia="Times New Roman" w:hAnsi="Times New Roman" w:cs="Times New Roman"/>
          <w:i/>
          <w:sz w:val="21"/>
          <w:szCs w:val="21"/>
          <w:lang w:val="en-US" w:eastAsia="ar-SA"/>
        </w:rPr>
        <w:t>mail</w:t>
      </w:r>
      <w:r w:rsidRPr="00892CE7">
        <w:rPr>
          <w:rFonts w:ascii="Times New Roman" w:eastAsia="Aptos" w:hAnsi="Times New Roman" w:cs="Times New Roman"/>
          <w:sz w:val="21"/>
          <w:szCs w:val="21"/>
        </w:rPr>
        <w:t xml:space="preserve">: </w:t>
      </w:r>
      <w:hyperlink r:id="rId545" w:history="1">
        <w:r w:rsidRPr="00892CE7">
          <w:rPr>
            <w:rFonts w:ascii="Times New Roman" w:eastAsia="Times New Roman" w:hAnsi="Times New Roman" w:cs="Times New Roman"/>
            <w:i/>
            <w:color w:val="467886"/>
            <w:sz w:val="21"/>
            <w:szCs w:val="21"/>
            <w:u w:val="single"/>
            <w:lang w:val="en-US" w:eastAsia="ar-SA"/>
          </w:rPr>
          <w:t>NGPyankova</w:t>
        </w:r>
        <w:r w:rsidRPr="00892CE7">
          <w:rPr>
            <w:rFonts w:ascii="Times New Roman" w:eastAsia="Times New Roman" w:hAnsi="Times New Roman" w:cs="Times New Roman"/>
            <w:i/>
            <w:color w:val="467886"/>
            <w:sz w:val="21"/>
            <w:szCs w:val="21"/>
            <w:u w:val="single"/>
            <w:lang w:eastAsia="ar-SA"/>
          </w:rPr>
          <w:t>@</w:t>
        </w:r>
        <w:r w:rsidRPr="00892CE7">
          <w:rPr>
            <w:rFonts w:ascii="Times New Roman" w:eastAsia="Times New Roman" w:hAnsi="Times New Roman" w:cs="Times New Roman"/>
            <w:i/>
            <w:color w:val="467886"/>
            <w:sz w:val="21"/>
            <w:szCs w:val="21"/>
            <w:u w:val="single"/>
            <w:lang w:val="en-US" w:eastAsia="ar-SA"/>
          </w:rPr>
          <w:t>fa</w:t>
        </w:r>
        <w:r w:rsidRPr="00892CE7">
          <w:rPr>
            <w:rFonts w:ascii="Times New Roman" w:eastAsia="Times New Roman" w:hAnsi="Times New Roman" w:cs="Times New Roman"/>
            <w:i/>
            <w:color w:val="467886"/>
            <w:sz w:val="21"/>
            <w:szCs w:val="21"/>
            <w:u w:val="single"/>
            <w:lang w:eastAsia="ar-SA"/>
          </w:rPr>
          <w:t>.</w:t>
        </w:r>
        <w:r w:rsidRPr="00892CE7">
          <w:rPr>
            <w:rFonts w:ascii="Times New Roman" w:eastAsia="Times New Roman" w:hAnsi="Times New Roman" w:cs="Times New Roman"/>
            <w:i/>
            <w:color w:val="467886"/>
            <w:sz w:val="21"/>
            <w:szCs w:val="21"/>
            <w:u w:val="single"/>
            <w:lang w:val="en-US" w:eastAsia="ar-SA"/>
          </w:rPr>
          <w:t>ru</w:t>
        </w:r>
      </w:hyperlink>
    </w:p>
    <w:p w14:paraId="0030BA26" w14:textId="77777777" w:rsidR="00892CE7" w:rsidRPr="00892CE7" w:rsidRDefault="00892CE7" w:rsidP="00892CE7">
      <w:pPr>
        <w:suppressAutoHyphens/>
        <w:spacing w:after="0" w:line="240" w:lineRule="auto"/>
        <w:ind w:firstLine="709"/>
        <w:rPr>
          <w:rFonts w:ascii="Aptos" w:eastAsia="Aptos" w:hAnsi="Aptos" w:cs="Tahoma"/>
          <w:sz w:val="21"/>
          <w:szCs w:val="21"/>
        </w:rPr>
      </w:pPr>
    </w:p>
    <w:p w14:paraId="6861F794" w14:textId="77777777" w:rsidR="00892CE7" w:rsidRDefault="00892CE7" w:rsidP="00892CE7">
      <w:pPr>
        <w:suppressAutoHyphens/>
        <w:spacing w:after="0" w:line="240" w:lineRule="auto"/>
        <w:jc w:val="center"/>
        <w:rPr>
          <w:rFonts w:ascii="Times New Roman" w:eastAsia="Times New Roman" w:hAnsi="Times New Roman" w:cs="Times New Roman"/>
          <w:b/>
          <w:bCs/>
          <w:color w:val="000000"/>
          <w:sz w:val="21"/>
          <w:szCs w:val="21"/>
        </w:rPr>
      </w:pPr>
      <w:r w:rsidRPr="00892CE7">
        <w:rPr>
          <w:rFonts w:ascii="Times New Roman" w:eastAsia="Times New Roman" w:hAnsi="Times New Roman" w:cs="Times New Roman"/>
          <w:b/>
          <w:bCs/>
          <w:color w:val="000000"/>
          <w:sz w:val="21"/>
          <w:szCs w:val="21"/>
        </w:rPr>
        <w:t>Влияние информационных технологий на повышение качества обслуживания клиентов в банковской сфере</w:t>
      </w:r>
    </w:p>
    <w:p w14:paraId="523DA10B" w14:textId="77777777" w:rsidR="00271A58" w:rsidRPr="00892CE7" w:rsidRDefault="00271A58" w:rsidP="00892CE7">
      <w:pPr>
        <w:suppressAutoHyphens/>
        <w:spacing w:after="0" w:line="240" w:lineRule="auto"/>
        <w:jc w:val="center"/>
        <w:rPr>
          <w:rFonts w:ascii="Times New Roman" w:eastAsia="Times New Roman" w:hAnsi="Times New Roman" w:cs="Times New Roman"/>
          <w:b/>
          <w:bCs/>
          <w:color w:val="000000"/>
          <w:sz w:val="21"/>
          <w:szCs w:val="21"/>
        </w:rPr>
      </w:pPr>
    </w:p>
    <w:p w14:paraId="1163D651" w14:textId="47187496" w:rsidR="00892CE7" w:rsidRPr="00892CE7" w:rsidRDefault="00892CE7" w:rsidP="00892CE7">
      <w:pPr>
        <w:keepNext/>
        <w:keepLines/>
        <w:suppressAutoHyphens/>
        <w:spacing w:after="0" w:line="240" w:lineRule="auto"/>
        <w:ind w:firstLine="709"/>
        <w:jc w:val="both"/>
        <w:outlineLvl w:val="1"/>
        <w:rPr>
          <w:rFonts w:ascii="Times New Roman" w:eastAsia="Times New Roman" w:hAnsi="Times New Roman" w:cs="Times New Roman"/>
          <w:color w:val="000000"/>
          <w:sz w:val="21"/>
          <w:szCs w:val="21"/>
        </w:rPr>
      </w:pPr>
      <w:r w:rsidRPr="00892CE7">
        <w:rPr>
          <w:rFonts w:ascii="Times New Roman" w:eastAsia="Times New Roman" w:hAnsi="Times New Roman" w:cs="Times New Roman"/>
          <w:b/>
          <w:bCs/>
          <w:color w:val="000000"/>
          <w:sz w:val="21"/>
          <w:szCs w:val="21"/>
        </w:rPr>
        <w:t>Аннотация</w:t>
      </w:r>
      <w:r w:rsidR="00271A58">
        <w:rPr>
          <w:rFonts w:ascii="Times New Roman" w:eastAsia="Times New Roman" w:hAnsi="Times New Roman" w:cs="Times New Roman"/>
          <w:b/>
          <w:bCs/>
          <w:color w:val="000000"/>
          <w:sz w:val="21"/>
          <w:szCs w:val="21"/>
        </w:rPr>
        <w:t>:</w:t>
      </w:r>
      <w:r w:rsidRPr="00892CE7">
        <w:rPr>
          <w:rFonts w:ascii="Times New Roman" w:eastAsia="Times New Roman" w:hAnsi="Times New Roman" w:cs="Times New Roman"/>
          <w:b/>
          <w:bCs/>
          <w:color w:val="000000"/>
          <w:sz w:val="21"/>
          <w:szCs w:val="21"/>
        </w:rPr>
        <w:t xml:space="preserve"> </w:t>
      </w:r>
      <w:r w:rsidRPr="00892CE7">
        <w:rPr>
          <w:rFonts w:ascii="Times New Roman" w:eastAsia="Times New Roman" w:hAnsi="Times New Roman" w:cs="Times New Roman"/>
          <w:color w:val="000000"/>
          <w:sz w:val="21"/>
          <w:szCs w:val="21"/>
        </w:rPr>
        <w:t>В статье рассматривается влияние современных информационных технологий на повышение качества обслуживания клиентов в банковской сфере. Анализируются ключевые направления цифровизации банковских услуг, такие как интернет- и мобильный банкинг, искусственный интеллект, CRM-системы и биометрическая идентификация. Подчёркивается роль IT-инфраструктуры в повышении удовлетворённости клиентов, снижении издержек и ускорении банковских операций. На основе анализа эмпирических данных и научной литературы делается вывод о стратегической значимости внедрения информационных технологий для конкурентоспособности банков.</w:t>
      </w:r>
    </w:p>
    <w:p w14:paraId="3E21925B" w14:textId="77777777" w:rsidR="00892CE7" w:rsidRDefault="00892CE7" w:rsidP="00892CE7">
      <w:pPr>
        <w:suppressAutoHyphens/>
        <w:spacing w:after="0" w:line="240" w:lineRule="auto"/>
        <w:ind w:firstLine="709"/>
        <w:jc w:val="both"/>
        <w:rPr>
          <w:rFonts w:ascii="Times New Roman" w:eastAsia="Times New Roman" w:hAnsi="Times New Roman" w:cs="Times New Roman"/>
          <w:color w:val="000000"/>
          <w:sz w:val="21"/>
          <w:szCs w:val="21"/>
        </w:rPr>
      </w:pPr>
      <w:r w:rsidRPr="00892CE7">
        <w:rPr>
          <w:rFonts w:ascii="Times New Roman" w:eastAsia="Times New Roman" w:hAnsi="Times New Roman" w:cs="Times New Roman"/>
          <w:b/>
          <w:bCs/>
          <w:color w:val="000000"/>
          <w:sz w:val="21"/>
          <w:szCs w:val="21"/>
        </w:rPr>
        <w:t>Ключевые слова</w:t>
      </w:r>
      <w:r w:rsidRPr="00892CE7">
        <w:rPr>
          <w:rFonts w:ascii="Times New Roman" w:eastAsia="Times New Roman" w:hAnsi="Times New Roman" w:cs="Times New Roman"/>
          <w:color w:val="000000"/>
          <w:sz w:val="21"/>
          <w:szCs w:val="21"/>
        </w:rPr>
        <w:t>: информационные технологии, банковская сфера, качество обслуживания, цифровизация, клиентский сервис, ИТ-инфраструктура.</w:t>
      </w:r>
    </w:p>
    <w:p w14:paraId="01465C81" w14:textId="77777777" w:rsidR="00D26A45" w:rsidRPr="00892CE7" w:rsidRDefault="00D26A45" w:rsidP="00892CE7">
      <w:pPr>
        <w:suppressAutoHyphens/>
        <w:spacing w:after="0" w:line="240" w:lineRule="auto"/>
        <w:ind w:firstLine="709"/>
        <w:jc w:val="both"/>
        <w:rPr>
          <w:rFonts w:ascii="Times New Roman" w:eastAsia="Times New Roman" w:hAnsi="Times New Roman" w:cs="Times New Roman"/>
          <w:color w:val="000000"/>
          <w:sz w:val="21"/>
          <w:szCs w:val="21"/>
        </w:rPr>
      </w:pPr>
    </w:p>
    <w:p w14:paraId="28F877FD" w14:textId="776561D1" w:rsidR="00892CE7" w:rsidRPr="00656AA8" w:rsidRDefault="00892CE7" w:rsidP="00892CE7">
      <w:pPr>
        <w:suppressAutoHyphens/>
        <w:spacing w:after="0" w:line="240" w:lineRule="auto"/>
        <w:ind w:firstLine="709"/>
        <w:jc w:val="right"/>
        <w:rPr>
          <w:rFonts w:ascii="Times New Roman" w:eastAsia="Times New Roman" w:hAnsi="Times New Roman" w:cs="Times New Roman"/>
          <w:b/>
          <w:bCs/>
          <w:i/>
          <w:iCs/>
          <w:color w:val="000000"/>
          <w:sz w:val="21"/>
          <w:szCs w:val="21"/>
          <w:lang w:val="en-US"/>
        </w:rPr>
      </w:pPr>
      <w:r w:rsidRPr="00892CE7">
        <w:rPr>
          <w:rFonts w:ascii="Times New Roman" w:eastAsia="Times New Roman" w:hAnsi="Times New Roman" w:cs="Times New Roman"/>
          <w:b/>
          <w:bCs/>
          <w:i/>
          <w:iCs/>
          <w:sz w:val="21"/>
          <w:szCs w:val="21"/>
          <w:lang w:val="en-US"/>
        </w:rPr>
        <w:t>Torosyan A.A.</w:t>
      </w:r>
      <w:r w:rsidR="00D26A45" w:rsidRPr="00656AA8">
        <w:rPr>
          <w:rFonts w:ascii="Times New Roman" w:eastAsia="Times New Roman" w:hAnsi="Times New Roman" w:cs="Times New Roman"/>
          <w:b/>
          <w:bCs/>
          <w:i/>
          <w:iCs/>
          <w:sz w:val="21"/>
          <w:szCs w:val="21"/>
          <w:lang w:val="en-US"/>
        </w:rPr>
        <w:t>,</w:t>
      </w:r>
    </w:p>
    <w:p w14:paraId="5F1FF0F6"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lang w:val="en-US"/>
        </w:rPr>
      </w:pPr>
      <w:r w:rsidRPr="00892CE7">
        <w:rPr>
          <w:rFonts w:ascii="Times New Roman" w:eastAsia="Times New Roman" w:hAnsi="Times New Roman" w:cs="Times New Roman"/>
          <w:i/>
          <w:iCs/>
          <w:sz w:val="21"/>
          <w:szCs w:val="21"/>
          <w:lang w:val="en-US"/>
        </w:rPr>
        <w:t>2nd year student</w:t>
      </w:r>
    </w:p>
    <w:p w14:paraId="676BF537"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lang w:val="en-US"/>
        </w:rPr>
      </w:pPr>
      <w:r w:rsidRPr="00892CE7">
        <w:rPr>
          <w:rFonts w:ascii="Times New Roman" w:eastAsia="Times New Roman" w:hAnsi="Times New Roman" w:cs="Times New Roman"/>
          <w:i/>
          <w:iCs/>
          <w:sz w:val="21"/>
          <w:szCs w:val="21"/>
          <w:lang w:val="en-US"/>
        </w:rPr>
        <w:t>Federal State Budgetary Educational Institution of Higher Education "Financial University under the   Government of the Russian Federation" Krasnodar</w:t>
      </w:r>
    </w:p>
    <w:p w14:paraId="33AB35BE"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lang w:val="en-US"/>
        </w:rPr>
      </w:pPr>
      <w:r w:rsidRPr="00892CE7">
        <w:rPr>
          <w:rFonts w:ascii="Times New Roman" w:eastAsia="Times New Roman" w:hAnsi="Times New Roman" w:cs="Times New Roman"/>
          <w:i/>
          <w:iCs/>
          <w:sz w:val="21"/>
          <w:szCs w:val="21"/>
          <w:lang w:val="en-US"/>
        </w:rPr>
        <w:t>branch</w:t>
      </w:r>
    </w:p>
    <w:p w14:paraId="4A39900A" w14:textId="77777777" w:rsidR="00892CE7" w:rsidRPr="00892CE7" w:rsidRDefault="00892CE7" w:rsidP="00892CE7">
      <w:pPr>
        <w:suppressAutoHyphens/>
        <w:spacing w:after="0" w:line="240" w:lineRule="auto"/>
        <w:ind w:firstLine="709"/>
        <w:jc w:val="right"/>
        <w:rPr>
          <w:rFonts w:ascii="Times New Roman" w:eastAsia="Times New Roman" w:hAnsi="Times New Roman" w:cs="Times New Roman"/>
          <w:i/>
          <w:iCs/>
          <w:color w:val="000000"/>
          <w:sz w:val="21"/>
          <w:szCs w:val="21"/>
          <w:lang w:val="en-US"/>
        </w:rPr>
      </w:pPr>
      <w:r w:rsidRPr="00892CE7">
        <w:rPr>
          <w:rFonts w:ascii="Times New Roman" w:eastAsia="Times New Roman" w:hAnsi="Times New Roman" w:cs="Times New Roman"/>
          <w:i/>
          <w:iCs/>
          <w:sz w:val="21"/>
          <w:szCs w:val="21"/>
          <w:lang w:val="en-US"/>
        </w:rPr>
        <w:t>Krasnodar, Russia</w:t>
      </w:r>
    </w:p>
    <w:p w14:paraId="1D57BD8E" w14:textId="77777777" w:rsidR="00892CE7" w:rsidRPr="00656AA8" w:rsidRDefault="00892CE7" w:rsidP="00892CE7">
      <w:pPr>
        <w:suppressAutoHyphens/>
        <w:spacing w:after="0" w:line="240" w:lineRule="auto"/>
        <w:ind w:firstLine="709"/>
        <w:jc w:val="right"/>
        <w:rPr>
          <w:rFonts w:ascii="Aptos" w:eastAsia="Aptos" w:hAnsi="Aptos" w:cs="Tahoma"/>
          <w:i/>
          <w:iCs/>
          <w:sz w:val="24"/>
          <w:szCs w:val="24"/>
          <w:lang w:val="en-US"/>
        </w:rPr>
      </w:pPr>
      <w:r w:rsidRPr="00892CE7">
        <w:rPr>
          <w:rFonts w:ascii="Times New Roman" w:eastAsia="Times New Roman" w:hAnsi="Times New Roman" w:cs="Times New Roman"/>
          <w:i/>
          <w:iCs/>
          <w:sz w:val="21"/>
          <w:szCs w:val="21"/>
          <w:lang w:val="en-US"/>
        </w:rPr>
        <w:t xml:space="preserve">e-mail: </w:t>
      </w:r>
      <w:hyperlink r:id="rId546">
        <w:r w:rsidRPr="00892CE7">
          <w:rPr>
            <w:rFonts w:ascii="Times New Roman" w:eastAsia="Times New Roman" w:hAnsi="Times New Roman" w:cs="Times New Roman"/>
            <w:i/>
            <w:iCs/>
            <w:color w:val="467886"/>
            <w:sz w:val="21"/>
            <w:szCs w:val="21"/>
            <w:u w:val="single"/>
            <w:lang w:val="en-US"/>
          </w:rPr>
          <w:t>torosanalfred77@gmail.com</w:t>
        </w:r>
      </w:hyperlink>
    </w:p>
    <w:p w14:paraId="7AAD7CA4" w14:textId="77777777" w:rsidR="00D26A45" w:rsidRPr="00892CE7" w:rsidRDefault="00D26A45" w:rsidP="00892CE7">
      <w:pPr>
        <w:suppressAutoHyphens/>
        <w:spacing w:after="0" w:line="240" w:lineRule="auto"/>
        <w:ind w:firstLine="709"/>
        <w:jc w:val="right"/>
        <w:rPr>
          <w:rFonts w:ascii="Times New Roman" w:eastAsia="Times New Roman" w:hAnsi="Times New Roman" w:cs="Times New Roman"/>
          <w:sz w:val="21"/>
          <w:szCs w:val="21"/>
          <w:lang w:val="en-US"/>
        </w:rPr>
      </w:pPr>
    </w:p>
    <w:p w14:paraId="4A0FB5F8"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b/>
          <w:bCs/>
          <w:i/>
          <w:sz w:val="21"/>
          <w:szCs w:val="21"/>
          <w:lang w:val="en-US" w:eastAsia="ar-SA"/>
        </w:rPr>
      </w:pPr>
      <w:r w:rsidRPr="00892CE7">
        <w:rPr>
          <w:rFonts w:ascii="Times New Roman" w:eastAsia="Times New Roman" w:hAnsi="Times New Roman" w:cs="Times New Roman"/>
          <w:b/>
          <w:bCs/>
          <w:i/>
          <w:sz w:val="21"/>
          <w:szCs w:val="21"/>
          <w:lang w:val="en" w:eastAsia="ar-SA"/>
        </w:rPr>
        <w:t>Scientific Adviser</w:t>
      </w:r>
      <w:r w:rsidRPr="00892CE7">
        <w:rPr>
          <w:rFonts w:ascii="Times New Roman" w:eastAsia="Times New Roman" w:hAnsi="Times New Roman" w:cs="Times New Roman"/>
          <w:b/>
          <w:bCs/>
          <w:i/>
          <w:sz w:val="21"/>
          <w:szCs w:val="21"/>
          <w:lang w:val="en-US" w:eastAsia="ar-SA"/>
        </w:rPr>
        <w:t>:</w:t>
      </w:r>
    </w:p>
    <w:p w14:paraId="57C4CC93"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b/>
          <w:bCs/>
          <w:i/>
          <w:sz w:val="21"/>
          <w:szCs w:val="21"/>
          <w:lang w:val="en" w:eastAsia="ar-SA"/>
        </w:rPr>
      </w:pPr>
      <w:r w:rsidRPr="00892CE7">
        <w:rPr>
          <w:rFonts w:ascii="Times New Roman" w:eastAsia="Times New Roman" w:hAnsi="Times New Roman" w:cs="Times New Roman"/>
          <w:b/>
          <w:bCs/>
          <w:i/>
          <w:sz w:val="21"/>
          <w:szCs w:val="21"/>
          <w:lang w:val="en" w:eastAsia="ar-SA"/>
        </w:rPr>
        <w:t>Pyankova N.G.,</w:t>
      </w:r>
    </w:p>
    <w:p w14:paraId="33E9094E"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i/>
          <w:sz w:val="21"/>
          <w:szCs w:val="21"/>
          <w:lang w:val="en" w:eastAsia="ar-SA"/>
        </w:rPr>
      </w:pPr>
      <w:r w:rsidRPr="00892CE7">
        <w:rPr>
          <w:rFonts w:ascii="Times New Roman" w:eastAsia="Times New Roman" w:hAnsi="Times New Roman" w:cs="Times New Roman"/>
          <w:i/>
          <w:sz w:val="21"/>
          <w:szCs w:val="21"/>
          <w:lang w:val="en" w:eastAsia="ar-SA"/>
        </w:rPr>
        <w:t xml:space="preserve">Candidate of Pedagogical Sciences, Docent </w:t>
      </w:r>
    </w:p>
    <w:p w14:paraId="0E16D061"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i/>
          <w:sz w:val="21"/>
          <w:szCs w:val="21"/>
          <w:lang w:val="en" w:eastAsia="ar-SA"/>
        </w:rPr>
      </w:pPr>
      <w:r w:rsidRPr="00892CE7">
        <w:rPr>
          <w:rFonts w:ascii="Times New Roman" w:eastAsia="Times New Roman" w:hAnsi="Times New Roman" w:cs="Times New Roman"/>
          <w:i/>
          <w:sz w:val="21"/>
          <w:szCs w:val="21"/>
          <w:lang w:val="en" w:eastAsia="ar-SA"/>
        </w:rPr>
        <w:t>Federal State Budgetary Educational Institution of Higher Education “Financial University under the Government of the Russian Federation” Krasnodar branch</w:t>
      </w:r>
    </w:p>
    <w:p w14:paraId="1C44C0F4"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i/>
          <w:sz w:val="21"/>
          <w:szCs w:val="21"/>
          <w:lang w:val="en" w:eastAsia="ar-SA"/>
        </w:rPr>
      </w:pPr>
      <w:r w:rsidRPr="00892CE7">
        <w:rPr>
          <w:rFonts w:ascii="Times New Roman" w:eastAsia="Times New Roman" w:hAnsi="Times New Roman" w:cs="Times New Roman"/>
          <w:i/>
          <w:sz w:val="21"/>
          <w:szCs w:val="21"/>
          <w:lang w:val="en" w:eastAsia="ar-SA"/>
        </w:rPr>
        <w:t>Krasnodar, Russia</w:t>
      </w:r>
    </w:p>
    <w:p w14:paraId="14AB0E76" w14:textId="77777777" w:rsidR="00892CE7" w:rsidRPr="00892CE7" w:rsidRDefault="00892CE7" w:rsidP="00892CE7">
      <w:pPr>
        <w:suppressAutoHyphens/>
        <w:spacing w:after="0" w:line="240" w:lineRule="auto"/>
        <w:ind w:firstLine="567"/>
        <w:jc w:val="right"/>
        <w:textAlignment w:val="baseline"/>
        <w:rPr>
          <w:rFonts w:ascii="Times New Roman" w:eastAsia="Times New Roman" w:hAnsi="Times New Roman" w:cs="Times New Roman"/>
          <w:i/>
          <w:sz w:val="21"/>
          <w:szCs w:val="21"/>
          <w:lang w:val="en" w:eastAsia="ar-SA"/>
        </w:rPr>
      </w:pPr>
      <w:r w:rsidRPr="00892CE7">
        <w:rPr>
          <w:rFonts w:ascii="Times New Roman" w:eastAsia="Times New Roman" w:hAnsi="Times New Roman" w:cs="Times New Roman"/>
          <w:i/>
          <w:sz w:val="21"/>
          <w:szCs w:val="21"/>
          <w:lang w:val="en" w:eastAsia="ar-SA"/>
        </w:rPr>
        <w:t xml:space="preserve">e-mail: </w:t>
      </w:r>
      <w:hyperlink r:id="rId547" w:history="1">
        <w:r w:rsidRPr="00892CE7">
          <w:rPr>
            <w:rFonts w:ascii="Times New Roman" w:eastAsia="Times New Roman" w:hAnsi="Times New Roman" w:cs="Times New Roman"/>
            <w:i/>
            <w:color w:val="467886"/>
            <w:sz w:val="21"/>
            <w:szCs w:val="21"/>
            <w:u w:val="single"/>
            <w:lang w:val="en" w:eastAsia="ar-SA"/>
          </w:rPr>
          <w:t>NGPyankova@fa.ru</w:t>
        </w:r>
      </w:hyperlink>
    </w:p>
    <w:p w14:paraId="015672BA" w14:textId="77777777" w:rsidR="00892CE7" w:rsidRPr="00892CE7" w:rsidRDefault="00892CE7" w:rsidP="00892CE7">
      <w:pPr>
        <w:suppressAutoHyphens/>
        <w:spacing w:after="0" w:line="240" w:lineRule="auto"/>
        <w:ind w:firstLine="709"/>
        <w:rPr>
          <w:rFonts w:ascii="Times New Roman" w:eastAsia="Times New Roman" w:hAnsi="Times New Roman" w:cs="Times New Roman"/>
          <w:sz w:val="21"/>
          <w:szCs w:val="21"/>
          <w:lang w:val="en"/>
        </w:rPr>
      </w:pPr>
    </w:p>
    <w:p w14:paraId="6C7C0356" w14:textId="77777777" w:rsidR="00892CE7" w:rsidRPr="00656AA8" w:rsidRDefault="00892CE7" w:rsidP="00892CE7">
      <w:pPr>
        <w:suppressAutoHyphens/>
        <w:spacing w:after="0" w:line="240" w:lineRule="auto"/>
        <w:ind w:firstLine="709"/>
        <w:jc w:val="center"/>
        <w:rPr>
          <w:rFonts w:ascii="Times New Roman" w:eastAsia="Times New Roman" w:hAnsi="Times New Roman" w:cs="Times New Roman"/>
          <w:b/>
          <w:bCs/>
          <w:color w:val="000000"/>
          <w:sz w:val="21"/>
          <w:szCs w:val="21"/>
          <w:lang w:val="en-US"/>
        </w:rPr>
      </w:pPr>
      <w:r w:rsidRPr="00892CE7">
        <w:rPr>
          <w:rFonts w:ascii="Times New Roman" w:eastAsia="Times New Roman" w:hAnsi="Times New Roman" w:cs="Times New Roman"/>
          <w:b/>
          <w:bCs/>
          <w:color w:val="000000"/>
          <w:sz w:val="21"/>
          <w:szCs w:val="21"/>
          <w:lang w:val="en-US"/>
        </w:rPr>
        <w:t>The impact of information technology on improving the quality of customer service in the banking sector</w:t>
      </w:r>
    </w:p>
    <w:p w14:paraId="7D6704EB" w14:textId="77777777" w:rsidR="00A80B72" w:rsidRPr="00656AA8" w:rsidRDefault="00A80B72" w:rsidP="00892CE7">
      <w:pPr>
        <w:suppressAutoHyphens/>
        <w:spacing w:after="0" w:line="240" w:lineRule="auto"/>
        <w:ind w:firstLine="709"/>
        <w:jc w:val="center"/>
        <w:rPr>
          <w:rFonts w:ascii="Times New Roman" w:eastAsia="Times New Roman" w:hAnsi="Times New Roman" w:cs="Times New Roman"/>
          <w:b/>
          <w:bCs/>
          <w:color w:val="000000"/>
          <w:sz w:val="21"/>
          <w:szCs w:val="21"/>
          <w:lang w:val="en-US"/>
        </w:rPr>
      </w:pPr>
    </w:p>
    <w:p w14:paraId="6C98FC2B" w14:textId="6C93A672" w:rsidR="00892CE7" w:rsidRPr="00892CE7" w:rsidRDefault="00892CE7" w:rsidP="00892CE7">
      <w:pPr>
        <w:suppressAutoHyphens/>
        <w:spacing w:after="0" w:line="240" w:lineRule="auto"/>
        <w:ind w:firstLine="709"/>
        <w:jc w:val="both"/>
        <w:rPr>
          <w:rFonts w:ascii="Times New Roman" w:eastAsia="Times New Roman" w:hAnsi="Times New Roman" w:cs="Times New Roman"/>
          <w:color w:val="000000"/>
          <w:sz w:val="21"/>
          <w:szCs w:val="21"/>
          <w:lang w:val="en-US"/>
        </w:rPr>
      </w:pPr>
      <w:r w:rsidRPr="00892CE7">
        <w:rPr>
          <w:rFonts w:ascii="Times New Roman" w:eastAsia="Times New Roman" w:hAnsi="Times New Roman" w:cs="Times New Roman"/>
          <w:b/>
          <w:bCs/>
          <w:color w:val="000000"/>
          <w:sz w:val="21"/>
          <w:szCs w:val="21"/>
          <w:lang w:val="en-US"/>
        </w:rPr>
        <w:t>Abstract</w:t>
      </w:r>
      <w:r w:rsidR="00D26A45" w:rsidRPr="00D26A45">
        <w:rPr>
          <w:rFonts w:ascii="Times New Roman" w:eastAsia="Times New Roman" w:hAnsi="Times New Roman" w:cs="Times New Roman"/>
          <w:b/>
          <w:bCs/>
          <w:color w:val="000000"/>
          <w:sz w:val="21"/>
          <w:szCs w:val="21"/>
          <w:lang w:val="en-US"/>
        </w:rPr>
        <w:t>:</w:t>
      </w:r>
      <w:r w:rsidRPr="00892CE7">
        <w:rPr>
          <w:rFonts w:ascii="Times New Roman" w:eastAsia="Times New Roman" w:hAnsi="Times New Roman" w:cs="Times New Roman"/>
          <w:b/>
          <w:bCs/>
          <w:color w:val="000000"/>
          <w:sz w:val="21"/>
          <w:szCs w:val="21"/>
          <w:lang w:val="en-US"/>
        </w:rPr>
        <w:t xml:space="preserve">  </w:t>
      </w:r>
      <w:r w:rsidRPr="00892CE7">
        <w:rPr>
          <w:rFonts w:ascii="Times New Roman" w:eastAsia="Times New Roman" w:hAnsi="Times New Roman" w:cs="Times New Roman"/>
          <w:color w:val="000000"/>
          <w:sz w:val="21"/>
          <w:szCs w:val="21"/>
          <w:lang w:val="en-US"/>
        </w:rPr>
        <w:t xml:space="preserve">The article examines the impact of modern information technologies on improving the quality of customer service in the banking sector. Key areas of digitalization of banking services such as Internet and mobile banking, artificial intelligence, CRM systems and biometric identification are analyzed. The role of IT infrastructure </w:t>
      </w:r>
      <w:r w:rsidRPr="00892CE7">
        <w:rPr>
          <w:rFonts w:ascii="Times New Roman" w:eastAsia="Times New Roman" w:hAnsi="Times New Roman" w:cs="Times New Roman"/>
          <w:color w:val="000000"/>
          <w:sz w:val="21"/>
          <w:szCs w:val="21"/>
          <w:lang w:val="en-US"/>
        </w:rPr>
        <w:lastRenderedPageBreak/>
        <w:t>in increasing customer satisfaction, reducing costs and speeding up banking operations is emphasized. Based on the analysis of empirical</w:t>
      </w:r>
    </w:p>
    <w:p w14:paraId="440EE1A7" w14:textId="77777777" w:rsidR="00892CE7" w:rsidRPr="00892CE7" w:rsidRDefault="00892CE7" w:rsidP="00892CE7">
      <w:pPr>
        <w:suppressAutoHyphens/>
        <w:spacing w:after="0" w:line="240" w:lineRule="auto"/>
        <w:ind w:firstLine="709"/>
        <w:jc w:val="both"/>
        <w:rPr>
          <w:rFonts w:ascii="Times New Roman" w:eastAsia="Times New Roman" w:hAnsi="Times New Roman" w:cs="Times New Roman"/>
          <w:color w:val="000000"/>
          <w:sz w:val="21"/>
          <w:szCs w:val="21"/>
          <w:lang w:val="en-US"/>
        </w:rPr>
      </w:pPr>
      <w:r w:rsidRPr="00892CE7">
        <w:rPr>
          <w:rFonts w:ascii="Times New Roman" w:eastAsia="Times New Roman" w:hAnsi="Times New Roman" w:cs="Times New Roman"/>
          <w:b/>
          <w:bCs/>
          <w:color w:val="000000"/>
          <w:sz w:val="21"/>
          <w:szCs w:val="21"/>
          <w:lang w:val="en-US"/>
        </w:rPr>
        <w:t>Keywords:</w:t>
      </w:r>
      <w:r w:rsidRPr="00892CE7">
        <w:rPr>
          <w:rFonts w:ascii="Times New Roman" w:eastAsia="Times New Roman" w:hAnsi="Times New Roman" w:cs="Times New Roman"/>
          <w:color w:val="000000"/>
          <w:sz w:val="21"/>
          <w:szCs w:val="21"/>
          <w:lang w:val="en-US"/>
        </w:rPr>
        <w:t xml:space="preserve">  information technology, banking sector, quality of service, digitalization, customer service, IT infrastructure.</w:t>
      </w:r>
    </w:p>
    <w:p w14:paraId="09F38A07" w14:textId="77777777" w:rsidR="00892CE7" w:rsidRPr="00892CE7" w:rsidRDefault="00892CE7" w:rsidP="00892CE7">
      <w:pPr>
        <w:suppressAutoHyphens/>
        <w:spacing w:after="0" w:line="240" w:lineRule="auto"/>
        <w:ind w:firstLine="709"/>
        <w:rPr>
          <w:rFonts w:ascii="Times New Roman" w:eastAsia="Times New Roman" w:hAnsi="Times New Roman" w:cs="Times New Roman"/>
          <w:sz w:val="32"/>
          <w:szCs w:val="32"/>
          <w:lang w:val="en-US"/>
        </w:rPr>
      </w:pPr>
    </w:p>
    <w:p w14:paraId="5F02F786"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Цифровизация и глобализация формируют направление развития банковского сектора. В ответ на растущие ожидания клиентов по качеству и скорости обслуживания банки внедряют современные информационные технологии. Цель статьи — изучить влияние ИТ на улучшение клиентского сервиса в банковской сфере.</w:t>
      </w:r>
    </w:p>
    <w:p w14:paraId="0FDEA660"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Банковская система развивается в условиях стремительного технологического прогресса, что требует теоретического осмысления роли информационных технологий как фактора трансформации финансовых услуг. Информационные технологии выступают не только средством автоматизации, но и стратегическим ресурсом, формирующим конкурентные преимущества. По теории цифровой трансформации Тапскотта, ИТ переосмысливают предоставление ценности клиенту. Согласно модели SERVQUAL, технологии улучшают качество обслуживания по пяти параметрам:</w:t>
      </w:r>
    </w:p>
    <w:p w14:paraId="6BA16A6B" w14:textId="77777777" w:rsidR="00892CE7" w:rsidRPr="00892CE7" w:rsidRDefault="00892CE7" w:rsidP="00AD58CD">
      <w:pPr>
        <w:numPr>
          <w:ilvl w:val="0"/>
          <w:numId w:val="117"/>
        </w:numPr>
        <w:tabs>
          <w:tab w:val="left" w:pos="993"/>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надёжность – через резервные системы и контроль транзакций;</w:t>
      </w:r>
    </w:p>
    <w:p w14:paraId="2A7C77E5" w14:textId="77777777" w:rsidR="00892CE7" w:rsidRPr="00892CE7" w:rsidRDefault="00892CE7" w:rsidP="00AD58CD">
      <w:pPr>
        <w:numPr>
          <w:ilvl w:val="0"/>
          <w:numId w:val="117"/>
        </w:numPr>
        <w:tabs>
          <w:tab w:val="left" w:pos="993"/>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отзывчивость – благодаря чат-ботам и автоматике;</w:t>
      </w:r>
    </w:p>
    <w:p w14:paraId="04104AC3" w14:textId="77777777" w:rsidR="00892CE7" w:rsidRPr="00892CE7" w:rsidRDefault="00892CE7" w:rsidP="00AD58CD">
      <w:pPr>
        <w:numPr>
          <w:ilvl w:val="0"/>
          <w:numId w:val="117"/>
        </w:numPr>
        <w:tabs>
          <w:tab w:val="left" w:pos="993"/>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уверенность – за счёт кибербезопасности и биометрии;</w:t>
      </w:r>
    </w:p>
    <w:p w14:paraId="0010C1A8" w14:textId="77777777" w:rsidR="00892CE7" w:rsidRPr="00892CE7" w:rsidRDefault="00892CE7" w:rsidP="00AD58CD">
      <w:pPr>
        <w:numPr>
          <w:ilvl w:val="0"/>
          <w:numId w:val="117"/>
        </w:numPr>
        <w:tabs>
          <w:tab w:val="left" w:pos="993"/>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эмпатия – через персонализированные услуги и CRM;</w:t>
      </w:r>
    </w:p>
    <w:p w14:paraId="1DE200F5" w14:textId="77777777" w:rsidR="00892CE7" w:rsidRPr="00892CE7" w:rsidRDefault="00892CE7" w:rsidP="00AD58CD">
      <w:pPr>
        <w:numPr>
          <w:ilvl w:val="0"/>
          <w:numId w:val="117"/>
        </w:numPr>
        <w:tabs>
          <w:tab w:val="left" w:pos="993"/>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материальная составляющая – за счёт цифровых каналов вместо физического присутствия.</w:t>
      </w:r>
    </w:p>
    <w:p w14:paraId="024B6FF4"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Информационные технологии становятся не просто каналом оказания банковских услуг, а важным элементом сервиса, соединяя ожидания клиентов с получаемой ценностью. Банки, стратегически интегрирующие технологии, опережают тех, кто использует информационные технологии лишь для поддержки, что формирует цифровое неравенство в отрасли. Влияние информационных технологий на банковскую сферу носит комплексный характер, охватывая как операционные, так и стратегические уровни, и требует междисциплинарного подхода. В условиях высокой конкуренции и быстро меняющихся запросов клиентов банки всё активнее внедряют информационные технологии в свою деятельность.</w:t>
      </w:r>
    </w:p>
    <w:p w14:paraId="2312A68E"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 xml:space="preserve">Развитие дистанционного обслуживания стало ключевым этапом в эволюции банковской сферы. Интернет-банкинг перерос в мобильные приложения, предлагающие как базовые, так и расширенные финансовые услуги. Мобильные банки превращаются в </w:t>
      </w:r>
      <w:r w:rsidRPr="00892CE7">
        <w:rPr>
          <w:rFonts w:ascii="Times New Roman" w:eastAsia="Times New Roman" w:hAnsi="Times New Roman" w:cs="Times New Roman"/>
          <w:sz w:val="32"/>
          <w:szCs w:val="32"/>
        </w:rPr>
        <w:lastRenderedPageBreak/>
        <w:t>цифровые экосистемы, как, например, «Сбербанк Онлайн». Более 80% розничных операций в России совершается онлайн, при этом мобильный банкинг растёт быстрее. В цифровую эпоху ключевым элементом клиентоориентированной стратегии становится внедрение CRM-систем. Они объединяют данные из разных каналов и, с помощью анализа (data mining, машинное обучение, прогнозная аналитика), позволяют:</w:t>
      </w:r>
    </w:p>
    <w:p w14:paraId="1D8C50EF" w14:textId="77777777" w:rsidR="00892CE7" w:rsidRPr="00892CE7" w:rsidRDefault="00892CE7" w:rsidP="00AD58CD">
      <w:pPr>
        <w:numPr>
          <w:ilvl w:val="0"/>
          <w:numId w:val="113"/>
        </w:numPr>
        <w:tabs>
          <w:tab w:val="left" w:pos="851"/>
          <w:tab w:val="left" w:pos="1027"/>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 xml:space="preserve">сегментировать клиентскую базу по поведенческим признакам; </w:t>
      </w:r>
    </w:p>
    <w:p w14:paraId="2B09A5E9" w14:textId="77777777" w:rsidR="00892CE7" w:rsidRPr="00892CE7" w:rsidRDefault="00892CE7" w:rsidP="00AD58CD">
      <w:pPr>
        <w:numPr>
          <w:ilvl w:val="0"/>
          <w:numId w:val="113"/>
        </w:numPr>
        <w:tabs>
          <w:tab w:val="left" w:pos="851"/>
          <w:tab w:val="left" w:pos="1027"/>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 xml:space="preserve"> прогнозировать отток клиентов и заблаговременно внедрять удерживающие механизмы; </w:t>
      </w:r>
    </w:p>
    <w:p w14:paraId="2C2EA141" w14:textId="77777777" w:rsidR="00892CE7" w:rsidRPr="00892CE7" w:rsidRDefault="00892CE7" w:rsidP="00AD58CD">
      <w:pPr>
        <w:numPr>
          <w:ilvl w:val="0"/>
          <w:numId w:val="113"/>
        </w:numPr>
        <w:tabs>
          <w:tab w:val="left" w:pos="851"/>
          <w:tab w:val="left" w:pos="1027"/>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 xml:space="preserve">автоматизировать </w:t>
      </w:r>
      <w:r w:rsidRPr="00892CE7">
        <w:rPr>
          <w:rFonts w:ascii="Aptos" w:eastAsia="Aptos" w:hAnsi="Aptos" w:cs="Tahoma"/>
          <w:sz w:val="24"/>
          <w:szCs w:val="24"/>
        </w:rPr>
        <w:tab/>
      </w:r>
      <w:r w:rsidRPr="00892CE7">
        <w:rPr>
          <w:rFonts w:ascii="Times New Roman" w:eastAsia="Times New Roman" w:hAnsi="Times New Roman" w:cs="Times New Roman"/>
          <w:sz w:val="32"/>
          <w:szCs w:val="32"/>
        </w:rPr>
        <w:t xml:space="preserve">предложения по кросс-продаже продуктов; </w:t>
      </w:r>
    </w:p>
    <w:p w14:paraId="13ED0AA4" w14:textId="77777777" w:rsidR="00892CE7" w:rsidRPr="00892CE7" w:rsidRDefault="00892CE7" w:rsidP="00AD58CD">
      <w:pPr>
        <w:numPr>
          <w:ilvl w:val="0"/>
          <w:numId w:val="113"/>
        </w:numPr>
        <w:tabs>
          <w:tab w:val="left" w:pos="851"/>
          <w:tab w:val="left" w:pos="1027"/>
        </w:tabs>
        <w:suppressAutoHyphens/>
        <w:spacing w:after="0" w:line="240" w:lineRule="auto"/>
        <w:ind w:left="0" w:firstLine="709"/>
        <w:contextualSpacing/>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 xml:space="preserve"> настраивать персонализированные маркетинговые кампании.</w:t>
      </w:r>
    </w:p>
    <w:p w14:paraId="07BDE8C2"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CRM превращают накопленные данные в активный инструмент создания ценности для клиента.</w:t>
      </w:r>
    </w:p>
    <w:p w14:paraId="1B971047"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sz w:val="32"/>
          <w:szCs w:val="32"/>
        </w:rPr>
      </w:pPr>
      <w:r w:rsidRPr="00892CE7">
        <w:rPr>
          <w:rFonts w:ascii="Times New Roman" w:eastAsia="Times New Roman" w:hAnsi="Times New Roman" w:cs="Times New Roman"/>
          <w:sz w:val="32"/>
          <w:szCs w:val="32"/>
        </w:rPr>
        <w:t>Несмотря на преимущества цифрового обслуживания, возникают риски в сфере информационной безопасности, что требует постоянного усовершенствования защиты данных. Одним из решений стало развитие биометрических технологий, основанных на уникальных характеристиках человека (отпечатки, лицо, голос и др.). В банках биометрия используется как в приложениях, так и в отделениях, обеспечивая быструю идентификацию, снижение мошенничества и рост доверия клиентов.</w:t>
      </w:r>
    </w:p>
    <w:p w14:paraId="0D58374F"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t xml:space="preserve">Для получения валидных эмпирических данных были использованы результаты независимых исследований удовлетворённости клиентов, проведённых консалтинговыми компаниями Deloitte (2022), Frank RG (2023), а также открытые данные крупных банковских групп (Сбербанк, ВТБ, Тинькофф). </w:t>
      </w:r>
    </w:p>
    <w:p w14:paraId="0C4E7811" w14:textId="77777777" w:rsidR="00892CE7" w:rsidRPr="00892CE7" w:rsidRDefault="00892CE7" w:rsidP="00D26A45">
      <w:pPr>
        <w:suppressAutoHyphens/>
        <w:spacing w:after="0" w:line="240" w:lineRule="auto"/>
        <w:ind w:firstLine="709"/>
        <w:jc w:val="both"/>
        <w:rPr>
          <w:rFonts w:ascii="Aptos" w:eastAsia="Aptos" w:hAnsi="Aptos" w:cs="Tahoma"/>
          <w:sz w:val="24"/>
          <w:szCs w:val="24"/>
          <w:shd w:val="clear" w:color="auto" w:fill="FFFFFF"/>
        </w:rPr>
      </w:pPr>
      <w:r w:rsidRPr="00892CE7">
        <w:rPr>
          <w:rFonts w:ascii="Times New Roman" w:eastAsia="Times New Roman" w:hAnsi="Times New Roman" w:cs="Times New Roman"/>
          <w:color w:val="000000"/>
          <w:sz w:val="32"/>
          <w:szCs w:val="32"/>
          <w:shd w:val="clear" w:color="auto" w:fill="FFFFFF"/>
        </w:rPr>
        <w:t xml:space="preserve">Для получения валидных эмпирических данных было проведено комплексное исследование удовлетворённости клиентов цифровыми банковскими услугами. В рамках данного исследования были проанализированы результаты независимых отраслевых исследований, а также открытые источники крупнейших банковских групп. </w:t>
      </w:r>
    </w:p>
    <w:p w14:paraId="3960D7A7" w14:textId="77777777" w:rsidR="00892CE7" w:rsidRPr="00892CE7" w:rsidRDefault="00892CE7" w:rsidP="00D26A45">
      <w:pPr>
        <w:suppressAutoHyphens/>
        <w:spacing w:after="0" w:line="240" w:lineRule="auto"/>
        <w:ind w:firstLine="709"/>
        <w:jc w:val="both"/>
        <w:rPr>
          <w:rFonts w:ascii="Aptos" w:eastAsia="Aptos" w:hAnsi="Aptos" w:cs="Tahoma"/>
          <w:sz w:val="24"/>
          <w:szCs w:val="24"/>
          <w:shd w:val="clear" w:color="auto" w:fill="FFFFFF"/>
        </w:rPr>
      </w:pPr>
      <w:r w:rsidRPr="00892CE7">
        <w:rPr>
          <w:rFonts w:ascii="Times New Roman" w:eastAsia="Times New Roman" w:hAnsi="Times New Roman" w:cs="Times New Roman"/>
          <w:color w:val="000000"/>
          <w:sz w:val="32"/>
          <w:szCs w:val="32"/>
          <w:shd w:val="clear" w:color="auto" w:fill="FFFFFF"/>
        </w:rPr>
        <w:t>В частности, использовались данные из отчета «Global Digital Banking Consumer Survey 2022» (</w:t>
      </w:r>
      <w:hyperlink r:id="rId548">
        <w:r w:rsidRPr="00892CE7">
          <w:rPr>
            <w:rFonts w:ascii="Times New Roman" w:eastAsia="Times New Roman" w:hAnsi="Times New Roman" w:cs="Times New Roman"/>
            <w:color w:val="467886"/>
            <w:sz w:val="32"/>
            <w:szCs w:val="32"/>
            <w:u w:val="single"/>
            <w:shd w:val="clear" w:color="auto" w:fill="FFFFFF"/>
          </w:rPr>
          <w:t>https://www2.deloitte.com/</w:t>
        </w:r>
      </w:hyperlink>
      <w:r w:rsidRPr="00892CE7">
        <w:rPr>
          <w:rFonts w:ascii="Times New Roman" w:eastAsia="Times New Roman" w:hAnsi="Times New Roman" w:cs="Times New Roman"/>
          <w:color w:val="000000"/>
          <w:sz w:val="32"/>
          <w:szCs w:val="32"/>
          <w:shd w:val="clear" w:color="auto" w:fill="FFFFFF"/>
        </w:rPr>
        <w:t xml:space="preserve">), подготовленного международной консалтинговой компанией Deloitte. Данное исследование охватывает выборку из 15 000 респондентов, представляющих 15 стран мира, что обеспечивает широкую </w:t>
      </w:r>
      <w:r w:rsidRPr="00892CE7">
        <w:rPr>
          <w:rFonts w:ascii="Times New Roman" w:eastAsia="Times New Roman" w:hAnsi="Times New Roman" w:cs="Times New Roman"/>
          <w:color w:val="000000"/>
          <w:sz w:val="32"/>
          <w:szCs w:val="32"/>
          <w:shd w:val="clear" w:color="auto" w:fill="FFFFFF"/>
        </w:rPr>
        <w:lastRenderedPageBreak/>
        <w:t xml:space="preserve">репрезентативность и глобальную перспективу полученных результатов. </w:t>
      </w:r>
    </w:p>
    <w:p w14:paraId="533DF357" w14:textId="77777777" w:rsidR="00892CE7" w:rsidRPr="00892CE7" w:rsidRDefault="00892CE7" w:rsidP="00D26A45">
      <w:pPr>
        <w:suppressAutoHyphens/>
        <w:spacing w:after="0" w:line="240" w:lineRule="auto"/>
        <w:ind w:firstLine="709"/>
        <w:jc w:val="both"/>
        <w:rPr>
          <w:rFonts w:ascii="Aptos" w:eastAsia="Aptos" w:hAnsi="Aptos" w:cs="Tahoma"/>
          <w:sz w:val="24"/>
          <w:szCs w:val="24"/>
          <w:shd w:val="clear" w:color="auto" w:fill="FFFFFF"/>
        </w:rPr>
      </w:pPr>
      <w:r w:rsidRPr="00892CE7">
        <w:rPr>
          <w:rFonts w:ascii="Times New Roman" w:eastAsia="Times New Roman" w:hAnsi="Times New Roman" w:cs="Times New Roman"/>
          <w:color w:val="000000"/>
          <w:sz w:val="32"/>
          <w:szCs w:val="32"/>
          <w:shd w:val="clear" w:color="auto" w:fill="FFFFFF"/>
        </w:rPr>
        <w:t>Дополнительно были изучены данные «Digital Banking Satisfaction Index 2023» (</w:t>
      </w:r>
      <w:hyperlink r:id="rId549">
        <w:r w:rsidRPr="00892CE7">
          <w:rPr>
            <w:rFonts w:ascii="Times New Roman" w:eastAsia="Times New Roman" w:hAnsi="Times New Roman" w:cs="Times New Roman"/>
            <w:color w:val="467886"/>
            <w:sz w:val="32"/>
            <w:szCs w:val="32"/>
            <w:u w:val="single"/>
            <w:shd w:val="clear" w:color="auto" w:fill="FFFFFF"/>
          </w:rPr>
          <w:t>https://www.frankrg.com/</w:t>
        </w:r>
      </w:hyperlink>
      <w:r w:rsidRPr="00892CE7">
        <w:rPr>
          <w:rFonts w:ascii="Times New Roman" w:eastAsia="Times New Roman" w:hAnsi="Times New Roman" w:cs="Times New Roman"/>
          <w:color w:val="000000"/>
          <w:sz w:val="32"/>
          <w:szCs w:val="32"/>
          <w:shd w:val="clear" w:color="auto" w:fill="FFFFFF"/>
        </w:rPr>
        <w:t xml:space="preserve">), опубликованные аналитическим агентством Frank RG. Исследование Frank RG содержит анализ удовлетворённости клиентов по 50 крупнейшим банковским организациям Европы и США, что позволяет сопоставить тенденции и выявить региональные различия. </w:t>
      </w:r>
    </w:p>
    <w:p w14:paraId="0AAD2A00" w14:textId="77777777" w:rsidR="00892CE7" w:rsidRPr="00892CE7" w:rsidRDefault="00892CE7" w:rsidP="00D26A45">
      <w:pPr>
        <w:suppressAutoHyphens/>
        <w:spacing w:after="0" w:line="240" w:lineRule="auto"/>
        <w:ind w:firstLine="709"/>
        <w:jc w:val="both"/>
        <w:rPr>
          <w:rFonts w:ascii="Aptos" w:eastAsia="Aptos" w:hAnsi="Aptos" w:cs="Tahoma"/>
          <w:sz w:val="24"/>
          <w:szCs w:val="24"/>
          <w:shd w:val="clear" w:color="auto" w:fill="FFFFFF"/>
        </w:rPr>
      </w:pPr>
      <w:r w:rsidRPr="00892CE7">
        <w:rPr>
          <w:rFonts w:ascii="Times New Roman" w:eastAsia="Times New Roman" w:hAnsi="Times New Roman" w:cs="Times New Roman"/>
          <w:color w:val="000000"/>
          <w:sz w:val="32"/>
          <w:szCs w:val="32"/>
          <w:shd w:val="clear" w:color="auto" w:fill="FFFFFF"/>
        </w:rPr>
        <w:t>Также в исследование были включены открытые данные ведущих российских банковских групп, такие как годовой отчёт Сбербанка за 2023 год (</w:t>
      </w:r>
      <w:hyperlink r:id="rId550">
        <w:r w:rsidRPr="00892CE7">
          <w:rPr>
            <w:rFonts w:ascii="Times New Roman" w:eastAsia="Times New Roman" w:hAnsi="Times New Roman" w:cs="Times New Roman"/>
            <w:color w:val="467886"/>
            <w:sz w:val="32"/>
            <w:szCs w:val="32"/>
            <w:u w:val="single"/>
            <w:shd w:val="clear" w:color="auto" w:fill="FFFFFF"/>
          </w:rPr>
          <w:t>https://www.sberbank.com/</w:t>
        </w:r>
      </w:hyperlink>
      <w:r w:rsidRPr="00892CE7">
        <w:rPr>
          <w:rFonts w:ascii="Times New Roman" w:eastAsia="Times New Roman" w:hAnsi="Times New Roman" w:cs="Times New Roman"/>
          <w:color w:val="000000"/>
          <w:sz w:val="32"/>
          <w:szCs w:val="32"/>
          <w:shd w:val="clear" w:color="auto" w:fill="FFFFFF"/>
        </w:rPr>
        <w:t>) и показатели индекса потребительской лояльности (Net Promoter Score, NPS) Тинькофф Банка(</w:t>
      </w:r>
      <w:hyperlink r:id="rId551">
        <w:r w:rsidRPr="00892CE7">
          <w:rPr>
            <w:rFonts w:ascii="Times New Roman" w:eastAsia="Times New Roman" w:hAnsi="Times New Roman" w:cs="Times New Roman"/>
            <w:color w:val="467886"/>
            <w:sz w:val="32"/>
            <w:szCs w:val="32"/>
            <w:u w:val="single"/>
            <w:shd w:val="clear" w:color="auto" w:fill="FFFFFF"/>
          </w:rPr>
          <w:t>https://www.tinkoff.ru/</w:t>
        </w:r>
      </w:hyperlink>
      <w:r w:rsidRPr="00892CE7">
        <w:rPr>
          <w:rFonts w:ascii="Times New Roman" w:eastAsia="Times New Roman" w:hAnsi="Times New Roman" w:cs="Times New Roman"/>
          <w:color w:val="000000"/>
          <w:sz w:val="32"/>
          <w:szCs w:val="32"/>
          <w:shd w:val="clear" w:color="auto" w:fill="FFFFFF"/>
        </w:rPr>
        <w:t xml:space="preserve">) за аналогичный период. </w:t>
      </w:r>
    </w:p>
    <w:p w14:paraId="3030E9DD"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shd w:val="clear" w:color="auto" w:fill="FFFFFF"/>
        </w:rPr>
        <w:t xml:space="preserve">Исследование о влиянии уровня цифровизации банка на удовлетворённость клиентов услугами банка провела аналитическая компания «Банки.ру». Для усиления эмпирической базы и получения более глубокого понимания потребительских предпочтений данная компания реализовала анкетирование на собственном информационно-аналитическом портале, охватившее 350 респондентов в возрастной группе от 18 до 60 лет, которые регулярно пользуются услугами не менее чем двух банков. Совокупность данных указанных источников позволила обеспечить всесторонность и валидность выводов проведенного исследования. </w:t>
      </w:r>
    </w:p>
    <w:p w14:paraId="5F888F09" w14:textId="77777777" w:rsidR="00892CE7" w:rsidRPr="00892CE7" w:rsidRDefault="00892CE7" w:rsidP="00D26A45">
      <w:pPr>
        <w:suppressAutoHyphens/>
        <w:spacing w:after="0" w:line="240" w:lineRule="auto"/>
        <w:ind w:firstLine="709"/>
        <w:jc w:val="both"/>
        <w:rPr>
          <w:rFonts w:ascii="Aptos" w:eastAsia="Aptos" w:hAnsi="Aptos" w:cs="Tahoma"/>
          <w:sz w:val="24"/>
          <w:szCs w:val="24"/>
          <w:shd w:val="clear" w:color="auto" w:fill="FFFFFF"/>
        </w:rPr>
      </w:pPr>
      <w:r w:rsidRPr="00892CE7">
        <w:rPr>
          <w:rFonts w:ascii="Times New Roman" w:eastAsia="Times New Roman" w:hAnsi="Times New Roman" w:cs="Times New Roman"/>
          <w:color w:val="000000"/>
          <w:sz w:val="32"/>
          <w:szCs w:val="32"/>
          <w:shd w:val="clear" w:color="auto" w:fill="FFFFFF"/>
        </w:rPr>
        <w:t>Основным критерием сигментации является уровень цифровизации банка по следующим параметрам:</w:t>
      </w:r>
    </w:p>
    <w:p w14:paraId="14E43E9D" w14:textId="77777777" w:rsidR="00892CE7" w:rsidRPr="00892CE7" w:rsidRDefault="00892CE7" w:rsidP="00AD58CD">
      <w:pPr>
        <w:numPr>
          <w:ilvl w:val="0"/>
          <w:numId w:val="114"/>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rPr>
      </w:pPr>
      <w:r w:rsidRPr="00892CE7">
        <w:rPr>
          <w:rFonts w:ascii="Times New Roman" w:eastAsia="Times New Roman" w:hAnsi="Times New Roman" w:cs="Times New Roman"/>
          <w:color w:val="000000"/>
          <w:sz w:val="32"/>
          <w:szCs w:val="32"/>
        </w:rPr>
        <w:t>наличие и функциональность мобильного приложения;</w:t>
      </w:r>
    </w:p>
    <w:p w14:paraId="1342C78F" w14:textId="77777777" w:rsidR="00892CE7" w:rsidRPr="00892CE7" w:rsidRDefault="00892CE7" w:rsidP="00AD58CD">
      <w:pPr>
        <w:numPr>
          <w:ilvl w:val="0"/>
          <w:numId w:val="114"/>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rPr>
      </w:pPr>
      <w:r w:rsidRPr="00892CE7">
        <w:rPr>
          <w:rFonts w:ascii="Times New Roman" w:eastAsia="Times New Roman" w:hAnsi="Times New Roman" w:cs="Times New Roman"/>
          <w:color w:val="000000"/>
          <w:sz w:val="32"/>
          <w:szCs w:val="32"/>
        </w:rPr>
        <w:t>внедрение ИИ и чат-ботов;</w:t>
      </w:r>
    </w:p>
    <w:p w14:paraId="03EE671C" w14:textId="77777777" w:rsidR="00892CE7" w:rsidRPr="00892CE7" w:rsidRDefault="00892CE7" w:rsidP="00AD58CD">
      <w:pPr>
        <w:numPr>
          <w:ilvl w:val="0"/>
          <w:numId w:val="115"/>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rPr>
      </w:pPr>
      <w:r w:rsidRPr="00892CE7">
        <w:rPr>
          <w:rFonts w:ascii="Times New Roman" w:eastAsia="Times New Roman" w:hAnsi="Times New Roman" w:cs="Times New Roman"/>
          <w:color w:val="000000"/>
          <w:sz w:val="32"/>
          <w:szCs w:val="32"/>
        </w:rPr>
        <w:t>персонализация через CRM;</w:t>
      </w:r>
    </w:p>
    <w:p w14:paraId="6BF64C73" w14:textId="77777777" w:rsidR="00892CE7" w:rsidRPr="00892CE7" w:rsidRDefault="00892CE7" w:rsidP="00AD58CD">
      <w:pPr>
        <w:numPr>
          <w:ilvl w:val="0"/>
          <w:numId w:val="116"/>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rPr>
      </w:pPr>
      <w:r w:rsidRPr="00892CE7">
        <w:rPr>
          <w:rFonts w:ascii="Times New Roman" w:eastAsia="Times New Roman" w:hAnsi="Times New Roman" w:cs="Times New Roman"/>
          <w:color w:val="000000"/>
          <w:sz w:val="32"/>
          <w:szCs w:val="32"/>
        </w:rPr>
        <w:t>биометрическая аутентификация.</w:t>
      </w:r>
    </w:p>
    <w:p w14:paraId="62DFC938"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t xml:space="preserve">Ключевыми переменными исследования стали: индекс удовлетворённости (CSI </w:t>
      </w:r>
      <w:proofErr w:type="gramStart"/>
      <w:r w:rsidRPr="00892CE7">
        <w:rPr>
          <w:rFonts w:ascii="Times New Roman" w:eastAsia="Times New Roman" w:hAnsi="Times New Roman" w:cs="Times New Roman"/>
          <w:color w:val="000000"/>
          <w:sz w:val="32"/>
          <w:szCs w:val="32"/>
        </w:rPr>
        <w:t>–  Customer</w:t>
      </w:r>
      <w:proofErr w:type="gramEnd"/>
      <w:r w:rsidRPr="00892CE7">
        <w:rPr>
          <w:rFonts w:ascii="Times New Roman" w:eastAsia="Times New Roman" w:hAnsi="Times New Roman" w:cs="Times New Roman"/>
          <w:color w:val="000000"/>
          <w:sz w:val="32"/>
          <w:szCs w:val="32"/>
        </w:rPr>
        <w:t xml:space="preserve"> Satisfaction Index), индекс лояльности (NPS –  Net Promoter Score), а также уровень доверия к цифровым каналам.</w:t>
      </w:r>
    </w:p>
    <w:p w14:paraId="3E37437C"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rPr>
        <w:t xml:space="preserve">Результаты анализа демонстрируют устойчивую зависимость между уровнем внедрения информационных технологий и показателями клиентской удовлетворённости. </w:t>
      </w:r>
    </w:p>
    <w:p w14:paraId="6924B33A"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t>Ниже представлена таблица с наиболее значимыми факторами, влияющими на удовлетворённость, исходя из результатов проведенного факторного анализа:</w:t>
      </w:r>
    </w:p>
    <w:p w14:paraId="3FFCA757" w14:textId="77777777" w:rsidR="00892CE7" w:rsidRPr="00892CE7" w:rsidRDefault="00892CE7" w:rsidP="00D26A45">
      <w:pPr>
        <w:suppressAutoHyphens/>
        <w:spacing w:after="0" w:line="240" w:lineRule="auto"/>
        <w:ind w:firstLine="709"/>
        <w:jc w:val="right"/>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lastRenderedPageBreak/>
        <w:t>Таблица 1.</w:t>
      </w:r>
    </w:p>
    <w:p w14:paraId="5AAC8454" w14:textId="77777777" w:rsidR="00892CE7" w:rsidRPr="00892CE7" w:rsidRDefault="00892CE7" w:rsidP="00D26A45">
      <w:pPr>
        <w:suppressAutoHyphens/>
        <w:spacing w:after="0" w:line="240" w:lineRule="auto"/>
        <w:jc w:val="center"/>
        <w:rPr>
          <w:rFonts w:ascii="Times New Roman" w:eastAsia="Aptos" w:hAnsi="Times New Roman" w:cs="Times New Roman"/>
          <w:sz w:val="32"/>
          <w:szCs w:val="32"/>
        </w:rPr>
      </w:pPr>
      <w:r w:rsidRPr="00892CE7">
        <w:rPr>
          <w:rFonts w:ascii="Times New Roman" w:eastAsia="Aptos" w:hAnsi="Times New Roman" w:cs="Times New Roman"/>
          <w:sz w:val="32"/>
          <w:szCs w:val="32"/>
        </w:rPr>
        <w:t xml:space="preserve">Зависимость удовлетворённости клиентов </w:t>
      </w:r>
      <w:bookmarkStart w:id="99" w:name="_Hlk200736150"/>
      <w:r w:rsidRPr="00892CE7">
        <w:rPr>
          <w:rFonts w:ascii="Times New Roman" w:eastAsia="Aptos" w:hAnsi="Times New Roman" w:cs="Times New Roman"/>
          <w:sz w:val="32"/>
          <w:szCs w:val="32"/>
        </w:rPr>
        <w:t>банка от различных факторов внедряемых информационных технологий</w:t>
      </w:r>
    </w:p>
    <w:bookmarkEnd w:id="99"/>
    <w:p w14:paraId="275D6E8C" w14:textId="77777777" w:rsidR="00892CE7" w:rsidRPr="00892CE7" w:rsidRDefault="00892CE7" w:rsidP="00D26A45">
      <w:pPr>
        <w:suppressAutoHyphens/>
        <w:spacing w:after="0" w:line="240" w:lineRule="auto"/>
        <w:jc w:val="center"/>
        <w:rPr>
          <w:rFonts w:ascii="Times New Roman" w:eastAsia="Aptos" w:hAnsi="Times New Roman" w:cs="Times New Roman"/>
          <w:sz w:val="32"/>
          <w:szCs w:val="32"/>
        </w:rPr>
      </w:pPr>
    </w:p>
    <w:tbl>
      <w:tblPr>
        <w:tblStyle w:val="a9"/>
        <w:tblW w:w="0" w:type="auto"/>
        <w:tblLook w:val="04A0" w:firstRow="1" w:lastRow="0" w:firstColumn="1" w:lastColumn="0" w:noHBand="0" w:noVBand="1"/>
      </w:tblPr>
      <w:tblGrid>
        <w:gridCol w:w="4516"/>
        <w:gridCol w:w="3843"/>
      </w:tblGrid>
      <w:tr w:rsidR="00892CE7" w:rsidRPr="00892CE7" w14:paraId="4CF2E4F4" w14:textId="77777777" w:rsidTr="00EB1CB9">
        <w:tc>
          <w:tcPr>
            <w:tcW w:w="4516" w:type="dxa"/>
            <w:tcBorders>
              <w:top w:val="single" w:sz="4" w:space="0" w:color="auto"/>
              <w:left w:val="single" w:sz="4" w:space="0" w:color="auto"/>
              <w:bottom w:val="single" w:sz="4" w:space="0" w:color="auto"/>
              <w:right w:val="single" w:sz="4" w:space="0" w:color="auto"/>
            </w:tcBorders>
            <w:hideMark/>
          </w:tcPr>
          <w:p w14:paraId="4666B724" w14:textId="77777777" w:rsidR="00892CE7" w:rsidRPr="00892CE7" w:rsidRDefault="00892CE7" w:rsidP="00D26A45">
            <w:pPr>
              <w:jc w:val="center"/>
              <w:rPr>
                <w:rFonts w:ascii="Times New Roman" w:eastAsia="Arial" w:hAnsi="Times New Roman" w:cs="Times New Roman"/>
                <w:sz w:val="28"/>
                <w:szCs w:val="28"/>
              </w:rPr>
            </w:pPr>
            <w:r w:rsidRPr="00892CE7">
              <w:rPr>
                <w:rFonts w:ascii="Times New Roman" w:eastAsia="Arial" w:hAnsi="Times New Roman" w:cs="Times New Roman"/>
                <w:sz w:val="28"/>
                <w:szCs w:val="28"/>
              </w:rPr>
              <w:t>Фактор удовлетворенности</w:t>
            </w:r>
          </w:p>
        </w:tc>
        <w:tc>
          <w:tcPr>
            <w:tcW w:w="3843" w:type="dxa"/>
            <w:tcBorders>
              <w:top w:val="single" w:sz="4" w:space="0" w:color="auto"/>
              <w:left w:val="single" w:sz="4" w:space="0" w:color="auto"/>
              <w:bottom w:val="single" w:sz="4" w:space="0" w:color="auto"/>
              <w:right w:val="single" w:sz="4" w:space="0" w:color="auto"/>
            </w:tcBorders>
            <w:hideMark/>
          </w:tcPr>
          <w:p w14:paraId="6D8CC873" w14:textId="77777777" w:rsidR="00892CE7" w:rsidRPr="00892CE7" w:rsidRDefault="00892CE7" w:rsidP="00D26A45">
            <w:pPr>
              <w:jc w:val="center"/>
              <w:rPr>
                <w:rFonts w:ascii="Times New Roman" w:eastAsia="Arial" w:hAnsi="Times New Roman" w:cs="Times New Roman"/>
                <w:sz w:val="28"/>
                <w:szCs w:val="28"/>
                <w:lang w:val="en-US"/>
              </w:rPr>
            </w:pPr>
            <w:r w:rsidRPr="00892CE7">
              <w:rPr>
                <w:rFonts w:ascii="Times New Roman" w:eastAsia="Arial" w:hAnsi="Times New Roman" w:cs="Times New Roman"/>
                <w:sz w:val="28"/>
                <w:szCs w:val="28"/>
              </w:rPr>
              <w:t xml:space="preserve">Коэффициент корреляции </w:t>
            </w:r>
            <w:r w:rsidRPr="00892CE7">
              <w:rPr>
                <w:rFonts w:ascii="Times New Roman" w:eastAsia="Arial" w:hAnsi="Times New Roman" w:cs="Times New Roman"/>
                <w:sz w:val="28"/>
                <w:szCs w:val="28"/>
                <w:lang w:val="en-US"/>
              </w:rPr>
              <w:t>r</w:t>
            </w:r>
          </w:p>
        </w:tc>
      </w:tr>
      <w:tr w:rsidR="00892CE7" w:rsidRPr="00892CE7" w14:paraId="6FC8DA23" w14:textId="77777777" w:rsidTr="00EB1CB9">
        <w:tc>
          <w:tcPr>
            <w:tcW w:w="4516" w:type="dxa"/>
            <w:tcBorders>
              <w:top w:val="single" w:sz="4" w:space="0" w:color="auto"/>
              <w:left w:val="single" w:sz="4" w:space="0" w:color="auto"/>
              <w:bottom w:val="single" w:sz="4" w:space="0" w:color="auto"/>
              <w:right w:val="single" w:sz="4" w:space="0" w:color="auto"/>
            </w:tcBorders>
            <w:hideMark/>
          </w:tcPr>
          <w:p w14:paraId="1D46442D" w14:textId="77777777" w:rsidR="00892CE7" w:rsidRPr="00892CE7" w:rsidRDefault="00892CE7" w:rsidP="00D26A45">
            <w:pPr>
              <w:rPr>
                <w:rFonts w:ascii="Times New Roman" w:eastAsia="Arial" w:hAnsi="Times New Roman" w:cs="Times New Roman"/>
                <w:sz w:val="28"/>
                <w:szCs w:val="28"/>
              </w:rPr>
            </w:pPr>
            <w:r w:rsidRPr="00892CE7">
              <w:rPr>
                <w:rFonts w:ascii="Times New Roman" w:eastAsia="Arial" w:hAnsi="Times New Roman" w:cs="Times New Roman"/>
                <w:sz w:val="28"/>
                <w:szCs w:val="28"/>
              </w:rPr>
              <w:t>Скорость операций в мобильных и онлайн-приложениях</w:t>
            </w:r>
          </w:p>
        </w:tc>
        <w:tc>
          <w:tcPr>
            <w:tcW w:w="3843" w:type="dxa"/>
            <w:tcBorders>
              <w:top w:val="single" w:sz="4" w:space="0" w:color="auto"/>
              <w:left w:val="single" w:sz="4" w:space="0" w:color="auto"/>
              <w:bottom w:val="single" w:sz="4" w:space="0" w:color="auto"/>
              <w:right w:val="single" w:sz="4" w:space="0" w:color="auto"/>
            </w:tcBorders>
            <w:hideMark/>
          </w:tcPr>
          <w:p w14:paraId="2BB23C87" w14:textId="77777777" w:rsidR="00892CE7" w:rsidRPr="00892CE7" w:rsidRDefault="00892CE7" w:rsidP="00D26A45">
            <w:pPr>
              <w:jc w:val="center"/>
              <w:rPr>
                <w:rFonts w:ascii="Times New Roman" w:eastAsia="Arial" w:hAnsi="Times New Roman" w:cs="Times New Roman"/>
                <w:sz w:val="28"/>
                <w:szCs w:val="28"/>
              </w:rPr>
            </w:pPr>
            <w:r w:rsidRPr="00892CE7">
              <w:rPr>
                <w:rFonts w:ascii="Times New Roman" w:eastAsia="Arial" w:hAnsi="Times New Roman" w:cs="Times New Roman"/>
                <w:sz w:val="28"/>
                <w:szCs w:val="28"/>
              </w:rPr>
              <w:t>0.71</w:t>
            </w:r>
          </w:p>
        </w:tc>
      </w:tr>
      <w:tr w:rsidR="00892CE7" w:rsidRPr="00892CE7" w14:paraId="3E3BFDC4" w14:textId="77777777" w:rsidTr="00EB1CB9">
        <w:tc>
          <w:tcPr>
            <w:tcW w:w="4516" w:type="dxa"/>
            <w:tcBorders>
              <w:top w:val="single" w:sz="4" w:space="0" w:color="auto"/>
              <w:left w:val="single" w:sz="4" w:space="0" w:color="auto"/>
              <w:bottom w:val="single" w:sz="4" w:space="0" w:color="auto"/>
              <w:right w:val="single" w:sz="4" w:space="0" w:color="auto"/>
            </w:tcBorders>
            <w:hideMark/>
          </w:tcPr>
          <w:p w14:paraId="07655B6B" w14:textId="77777777" w:rsidR="00892CE7" w:rsidRPr="00892CE7" w:rsidRDefault="00892CE7" w:rsidP="00D26A45">
            <w:pPr>
              <w:rPr>
                <w:rFonts w:ascii="Times New Roman" w:eastAsia="Arial" w:hAnsi="Times New Roman" w:cs="Times New Roman"/>
                <w:sz w:val="28"/>
                <w:szCs w:val="28"/>
              </w:rPr>
            </w:pPr>
            <w:r w:rsidRPr="00892CE7">
              <w:rPr>
                <w:rFonts w:ascii="Times New Roman" w:eastAsia="Arial" w:hAnsi="Times New Roman" w:cs="Times New Roman"/>
                <w:sz w:val="28"/>
                <w:szCs w:val="28"/>
              </w:rPr>
              <w:t>Доступность круглосуточной поддержки через цифровые каналы</w:t>
            </w:r>
          </w:p>
        </w:tc>
        <w:tc>
          <w:tcPr>
            <w:tcW w:w="3843" w:type="dxa"/>
            <w:tcBorders>
              <w:top w:val="single" w:sz="4" w:space="0" w:color="auto"/>
              <w:left w:val="single" w:sz="4" w:space="0" w:color="auto"/>
              <w:bottom w:val="single" w:sz="4" w:space="0" w:color="auto"/>
              <w:right w:val="single" w:sz="4" w:space="0" w:color="auto"/>
            </w:tcBorders>
            <w:hideMark/>
          </w:tcPr>
          <w:p w14:paraId="5670BE29" w14:textId="77777777" w:rsidR="00892CE7" w:rsidRPr="00892CE7" w:rsidRDefault="00892CE7" w:rsidP="00D26A45">
            <w:pPr>
              <w:jc w:val="center"/>
              <w:rPr>
                <w:rFonts w:ascii="Times New Roman" w:eastAsia="Arial" w:hAnsi="Times New Roman" w:cs="Times New Roman"/>
                <w:sz w:val="28"/>
                <w:szCs w:val="28"/>
              </w:rPr>
            </w:pPr>
            <w:r w:rsidRPr="00892CE7">
              <w:rPr>
                <w:rFonts w:ascii="Times New Roman" w:eastAsia="Arial" w:hAnsi="Times New Roman" w:cs="Times New Roman"/>
                <w:sz w:val="28"/>
                <w:szCs w:val="28"/>
              </w:rPr>
              <w:t>0.68</w:t>
            </w:r>
          </w:p>
        </w:tc>
      </w:tr>
      <w:tr w:rsidR="00892CE7" w:rsidRPr="00892CE7" w14:paraId="75471069" w14:textId="77777777" w:rsidTr="00EB1CB9">
        <w:tc>
          <w:tcPr>
            <w:tcW w:w="4516" w:type="dxa"/>
            <w:tcBorders>
              <w:top w:val="single" w:sz="4" w:space="0" w:color="auto"/>
              <w:left w:val="single" w:sz="4" w:space="0" w:color="auto"/>
              <w:bottom w:val="single" w:sz="4" w:space="0" w:color="auto"/>
              <w:right w:val="single" w:sz="4" w:space="0" w:color="auto"/>
            </w:tcBorders>
            <w:hideMark/>
          </w:tcPr>
          <w:p w14:paraId="1E831E00" w14:textId="77777777" w:rsidR="00892CE7" w:rsidRPr="00892CE7" w:rsidRDefault="00892CE7" w:rsidP="00D26A45">
            <w:pPr>
              <w:rPr>
                <w:rFonts w:ascii="Times New Roman" w:eastAsia="Arial" w:hAnsi="Times New Roman" w:cs="Times New Roman"/>
                <w:sz w:val="28"/>
                <w:szCs w:val="28"/>
              </w:rPr>
            </w:pPr>
            <w:r w:rsidRPr="00892CE7">
              <w:rPr>
                <w:rFonts w:ascii="Times New Roman" w:eastAsia="Arial" w:hAnsi="Times New Roman" w:cs="Times New Roman"/>
                <w:sz w:val="28"/>
                <w:szCs w:val="28"/>
              </w:rPr>
              <w:t>Уровень персонализации предложений</w:t>
            </w:r>
          </w:p>
        </w:tc>
        <w:tc>
          <w:tcPr>
            <w:tcW w:w="3843" w:type="dxa"/>
            <w:tcBorders>
              <w:top w:val="single" w:sz="4" w:space="0" w:color="auto"/>
              <w:left w:val="single" w:sz="4" w:space="0" w:color="auto"/>
              <w:bottom w:val="single" w:sz="4" w:space="0" w:color="auto"/>
              <w:right w:val="single" w:sz="4" w:space="0" w:color="auto"/>
            </w:tcBorders>
            <w:hideMark/>
          </w:tcPr>
          <w:p w14:paraId="272298A7" w14:textId="77777777" w:rsidR="00892CE7" w:rsidRPr="00892CE7" w:rsidRDefault="00892CE7" w:rsidP="00D26A45">
            <w:pPr>
              <w:jc w:val="center"/>
              <w:rPr>
                <w:rFonts w:ascii="Times New Roman" w:eastAsia="Arial" w:hAnsi="Times New Roman" w:cs="Times New Roman"/>
                <w:sz w:val="28"/>
                <w:szCs w:val="28"/>
              </w:rPr>
            </w:pPr>
            <w:r w:rsidRPr="00892CE7">
              <w:rPr>
                <w:rFonts w:ascii="Times New Roman" w:eastAsia="Arial" w:hAnsi="Times New Roman" w:cs="Times New Roman"/>
                <w:sz w:val="28"/>
                <w:szCs w:val="28"/>
              </w:rPr>
              <w:t>0.64</w:t>
            </w:r>
          </w:p>
        </w:tc>
      </w:tr>
      <w:tr w:rsidR="00892CE7" w:rsidRPr="00892CE7" w14:paraId="12B02FFC" w14:textId="77777777" w:rsidTr="00EB1CB9">
        <w:tc>
          <w:tcPr>
            <w:tcW w:w="4516" w:type="dxa"/>
            <w:tcBorders>
              <w:top w:val="single" w:sz="4" w:space="0" w:color="auto"/>
              <w:left w:val="single" w:sz="4" w:space="0" w:color="auto"/>
              <w:bottom w:val="single" w:sz="4" w:space="0" w:color="auto"/>
              <w:right w:val="single" w:sz="4" w:space="0" w:color="auto"/>
            </w:tcBorders>
            <w:hideMark/>
          </w:tcPr>
          <w:p w14:paraId="424D92DE" w14:textId="77777777" w:rsidR="00892CE7" w:rsidRPr="00892CE7" w:rsidRDefault="00892CE7" w:rsidP="00D26A45">
            <w:pPr>
              <w:rPr>
                <w:rFonts w:ascii="Times New Roman" w:eastAsia="Arial" w:hAnsi="Times New Roman" w:cs="Times New Roman"/>
                <w:sz w:val="28"/>
                <w:szCs w:val="28"/>
              </w:rPr>
            </w:pPr>
            <w:r w:rsidRPr="00892CE7">
              <w:rPr>
                <w:rFonts w:ascii="Times New Roman" w:eastAsia="Arial" w:hAnsi="Times New Roman" w:cs="Times New Roman"/>
                <w:sz w:val="28"/>
                <w:szCs w:val="28"/>
              </w:rPr>
              <w:t xml:space="preserve">Простота интерфейса приложений </w:t>
            </w:r>
          </w:p>
        </w:tc>
        <w:tc>
          <w:tcPr>
            <w:tcW w:w="3843" w:type="dxa"/>
            <w:tcBorders>
              <w:top w:val="single" w:sz="4" w:space="0" w:color="auto"/>
              <w:left w:val="single" w:sz="4" w:space="0" w:color="auto"/>
              <w:bottom w:val="single" w:sz="4" w:space="0" w:color="auto"/>
              <w:right w:val="single" w:sz="4" w:space="0" w:color="auto"/>
            </w:tcBorders>
            <w:hideMark/>
          </w:tcPr>
          <w:p w14:paraId="350818E7" w14:textId="77777777" w:rsidR="00892CE7" w:rsidRPr="00892CE7" w:rsidRDefault="00892CE7" w:rsidP="00D26A45">
            <w:pPr>
              <w:jc w:val="center"/>
              <w:rPr>
                <w:rFonts w:ascii="Times New Roman" w:eastAsia="Arial" w:hAnsi="Times New Roman" w:cs="Times New Roman"/>
                <w:sz w:val="28"/>
                <w:szCs w:val="28"/>
              </w:rPr>
            </w:pPr>
            <w:r w:rsidRPr="00892CE7">
              <w:rPr>
                <w:rFonts w:ascii="Times New Roman" w:eastAsia="Arial" w:hAnsi="Times New Roman" w:cs="Times New Roman"/>
                <w:sz w:val="28"/>
                <w:szCs w:val="28"/>
              </w:rPr>
              <w:t>0.60</w:t>
            </w:r>
          </w:p>
        </w:tc>
      </w:tr>
    </w:tbl>
    <w:p w14:paraId="0C2D96C4"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p>
    <w:p w14:paraId="4BFD83DE"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rPr>
        <w:t>В то же время высокие оценки цифрового сервиса не гарантируют автоматическое повышение лояльности. Около 18% опрошенных, удовлетворённых мобильным обслуживанием, заявили о готовности сменить банк при наличии более выгодных условий у конкурентов. Это указывает на необходимость комплексного подхода, сочетающего цифровое удобство с экономической привлекательностью и эмоциональной привязанностью.</w:t>
      </w:r>
    </w:p>
    <w:p w14:paraId="57B8AAFF"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t>Интересным наблюдением стало различие в восприятии цифровых сервисов по возрастным группам. Респонденты в возрасте от 18 до 35 лет придают первоочередное значение мобильному интерфейсу и скорости, тогда как клиенты старше 50 лет чаще выражают озабоченность вопросами безопасности и прозрачности цифровых операций. Это подтверждает выводы о необходимости мультиканального подхода и адаптации цифровых стратегий к специфике целевых сегментов.</w:t>
      </w:r>
    </w:p>
    <w:p w14:paraId="6284E030" w14:textId="77777777" w:rsidR="00892CE7" w:rsidRPr="00892CE7" w:rsidRDefault="00892CE7" w:rsidP="00D26A45">
      <w:pPr>
        <w:suppressAutoHyphens/>
        <w:spacing w:after="0" w:line="240" w:lineRule="auto"/>
        <w:ind w:firstLine="709"/>
        <w:jc w:val="both"/>
        <w:rPr>
          <w:rFonts w:ascii="Times New Roman" w:eastAsia="Times New Roman" w:hAnsi="Times New Roman" w:cs="Times New Roman"/>
          <w:color w:val="000000"/>
          <w:sz w:val="32"/>
          <w:szCs w:val="32"/>
        </w:rPr>
      </w:pPr>
      <w:r w:rsidRPr="00892CE7">
        <w:rPr>
          <w:rFonts w:ascii="Times New Roman" w:eastAsia="Times New Roman" w:hAnsi="Times New Roman" w:cs="Times New Roman"/>
          <w:color w:val="000000"/>
          <w:sz w:val="32"/>
          <w:szCs w:val="32"/>
        </w:rPr>
        <w:t>Рассмотрим возрастные различия при выборе банка.</w:t>
      </w:r>
    </w:p>
    <w:p w14:paraId="1E996C54"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rPr>
        <w:t>Молодежь (18-35 лет): 73% респондентов выбирают банк с учетом скорости обслуживания в банковском приложении (</w:t>
      </w:r>
      <w:r w:rsidRPr="00892CE7">
        <w:rPr>
          <w:rFonts w:ascii="Times New Roman" w:eastAsia="Times New Roman" w:hAnsi="Times New Roman" w:cs="Times New Roman"/>
          <w:color w:val="000000"/>
          <w:sz w:val="32"/>
          <w:szCs w:val="32"/>
          <w:lang w:val="en-US"/>
        </w:rPr>
        <w:t>J</w:t>
      </w:r>
      <w:r w:rsidRPr="00892CE7">
        <w:rPr>
          <w:rFonts w:ascii="Times New Roman" w:eastAsia="Times New Roman" w:hAnsi="Times New Roman" w:cs="Times New Roman"/>
          <w:color w:val="000000"/>
          <w:sz w:val="32"/>
          <w:szCs w:val="32"/>
        </w:rPr>
        <w:t>.</w:t>
      </w:r>
      <w:r w:rsidRPr="00892CE7">
        <w:rPr>
          <w:rFonts w:ascii="Times New Roman" w:eastAsia="Times New Roman" w:hAnsi="Times New Roman" w:cs="Times New Roman"/>
          <w:color w:val="000000"/>
          <w:sz w:val="32"/>
          <w:szCs w:val="32"/>
          <w:lang w:val="en-US"/>
        </w:rPr>
        <w:t>D</w:t>
      </w:r>
      <w:r w:rsidRPr="00892CE7">
        <w:rPr>
          <w:rFonts w:ascii="Times New Roman" w:eastAsia="Times New Roman" w:hAnsi="Times New Roman" w:cs="Times New Roman"/>
          <w:color w:val="000000"/>
          <w:sz w:val="32"/>
          <w:szCs w:val="32"/>
        </w:rPr>
        <w:t xml:space="preserve">. </w:t>
      </w:r>
      <w:r w:rsidRPr="00892CE7">
        <w:rPr>
          <w:rFonts w:ascii="Times New Roman" w:eastAsia="Times New Roman" w:hAnsi="Times New Roman" w:cs="Times New Roman"/>
          <w:color w:val="000000"/>
          <w:sz w:val="32"/>
          <w:szCs w:val="32"/>
          <w:lang w:val="en-US"/>
        </w:rPr>
        <w:t>Power</w:t>
      </w:r>
      <w:r w:rsidRPr="00892CE7">
        <w:rPr>
          <w:rFonts w:ascii="Times New Roman" w:eastAsia="Times New Roman" w:hAnsi="Times New Roman" w:cs="Times New Roman"/>
          <w:color w:val="000000"/>
          <w:sz w:val="32"/>
          <w:szCs w:val="32"/>
        </w:rPr>
        <w:t>, 2022) [4]. В опросе учувствовали 27000 клиентов банков США.</w:t>
      </w:r>
    </w:p>
    <w:p w14:paraId="7EDD92A7" w14:textId="7434B4A3"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rPr>
        <w:t>Старшая группа (50+): 61% респондентов требуют офлайн-каналов (данные НАФИ, 2023) [5]. В анкетировании участвовали 1600 человек в Российской Федерации.</w:t>
      </w:r>
    </w:p>
    <w:p w14:paraId="154FFD18" w14:textId="77777777" w:rsidR="00892CE7" w:rsidRPr="00892CE7" w:rsidRDefault="00892CE7" w:rsidP="00D26A45">
      <w:pPr>
        <w:suppressAutoHyphens/>
        <w:spacing w:after="0" w:line="240" w:lineRule="auto"/>
        <w:ind w:firstLine="709"/>
        <w:jc w:val="both"/>
        <w:rPr>
          <w:rFonts w:ascii="Aptos" w:eastAsia="Aptos" w:hAnsi="Aptos" w:cs="Tahoma"/>
          <w:sz w:val="24"/>
          <w:szCs w:val="24"/>
        </w:rPr>
      </w:pPr>
      <w:r w:rsidRPr="00892CE7">
        <w:rPr>
          <w:rFonts w:ascii="Times New Roman" w:eastAsia="Times New Roman" w:hAnsi="Times New Roman" w:cs="Times New Roman"/>
          <w:color w:val="000000"/>
          <w:sz w:val="32"/>
          <w:szCs w:val="32"/>
        </w:rPr>
        <w:t>Парадокс лояльности: 18% опрошенных готовы к смене банка несмотря на высокий уровень банковского обслуживания (</w:t>
      </w:r>
      <w:r w:rsidRPr="00892CE7">
        <w:rPr>
          <w:rFonts w:ascii="Times New Roman" w:eastAsia="Times New Roman" w:hAnsi="Times New Roman" w:cs="Times New Roman"/>
          <w:color w:val="000000"/>
          <w:sz w:val="32"/>
          <w:szCs w:val="32"/>
          <w:lang w:val="en-US"/>
        </w:rPr>
        <w:t>Capgemini</w:t>
      </w:r>
      <w:r w:rsidRPr="00892CE7">
        <w:rPr>
          <w:rFonts w:ascii="Times New Roman" w:eastAsia="Times New Roman" w:hAnsi="Times New Roman" w:cs="Times New Roman"/>
          <w:color w:val="000000"/>
          <w:sz w:val="32"/>
          <w:szCs w:val="32"/>
        </w:rPr>
        <w:t xml:space="preserve"> (2023), исследование «</w:t>
      </w:r>
      <w:r w:rsidRPr="00892CE7">
        <w:rPr>
          <w:rFonts w:ascii="Times New Roman" w:eastAsia="Times New Roman" w:hAnsi="Times New Roman" w:cs="Times New Roman"/>
          <w:color w:val="000000"/>
          <w:sz w:val="32"/>
          <w:szCs w:val="32"/>
          <w:lang w:val="en-US"/>
        </w:rPr>
        <w:t>World</w:t>
      </w:r>
      <w:r w:rsidRPr="00892CE7">
        <w:rPr>
          <w:rFonts w:ascii="Times New Roman" w:eastAsia="Times New Roman" w:hAnsi="Times New Roman" w:cs="Times New Roman"/>
          <w:color w:val="000000"/>
          <w:sz w:val="32"/>
          <w:szCs w:val="32"/>
        </w:rPr>
        <w:t xml:space="preserve"> </w:t>
      </w:r>
      <w:r w:rsidRPr="00892CE7">
        <w:rPr>
          <w:rFonts w:ascii="Times New Roman" w:eastAsia="Times New Roman" w:hAnsi="Times New Roman" w:cs="Times New Roman"/>
          <w:color w:val="000000"/>
          <w:sz w:val="32"/>
          <w:szCs w:val="32"/>
          <w:lang w:val="en-US"/>
        </w:rPr>
        <w:t>Retail</w:t>
      </w:r>
      <w:r w:rsidRPr="00892CE7">
        <w:rPr>
          <w:rFonts w:ascii="Times New Roman" w:eastAsia="Times New Roman" w:hAnsi="Times New Roman" w:cs="Times New Roman"/>
          <w:color w:val="000000"/>
          <w:sz w:val="32"/>
          <w:szCs w:val="32"/>
        </w:rPr>
        <w:t xml:space="preserve"> </w:t>
      </w:r>
      <w:r w:rsidRPr="00892CE7">
        <w:rPr>
          <w:rFonts w:ascii="Times New Roman" w:eastAsia="Times New Roman" w:hAnsi="Times New Roman" w:cs="Times New Roman"/>
          <w:color w:val="000000"/>
          <w:sz w:val="32"/>
          <w:szCs w:val="32"/>
          <w:lang w:val="en-US"/>
        </w:rPr>
        <w:t>Banking</w:t>
      </w:r>
      <w:r w:rsidRPr="00892CE7">
        <w:rPr>
          <w:rFonts w:ascii="Times New Roman" w:eastAsia="Times New Roman" w:hAnsi="Times New Roman" w:cs="Times New Roman"/>
          <w:color w:val="000000"/>
          <w:sz w:val="32"/>
          <w:szCs w:val="32"/>
        </w:rPr>
        <w:t xml:space="preserve"> </w:t>
      </w:r>
      <w:r w:rsidRPr="00892CE7">
        <w:rPr>
          <w:rFonts w:ascii="Times New Roman" w:eastAsia="Times New Roman" w:hAnsi="Times New Roman" w:cs="Times New Roman"/>
          <w:color w:val="000000"/>
          <w:sz w:val="32"/>
          <w:szCs w:val="32"/>
          <w:lang w:val="en-US"/>
        </w:rPr>
        <w:t>Report</w:t>
      </w:r>
      <w:r w:rsidRPr="00892CE7">
        <w:rPr>
          <w:rFonts w:ascii="Times New Roman" w:eastAsia="Times New Roman" w:hAnsi="Times New Roman" w:cs="Times New Roman"/>
          <w:color w:val="000000"/>
          <w:sz w:val="32"/>
          <w:szCs w:val="32"/>
        </w:rPr>
        <w:t xml:space="preserve"> 2023» (</w:t>
      </w:r>
      <w:hyperlink r:id="rId552">
        <w:r w:rsidRPr="00892CE7">
          <w:rPr>
            <w:rFonts w:ascii="Times New Roman" w:eastAsia="Times New Roman" w:hAnsi="Times New Roman" w:cs="Times New Roman"/>
            <w:color w:val="467886"/>
            <w:sz w:val="32"/>
            <w:szCs w:val="32"/>
            <w:u w:val="single"/>
            <w:lang w:val="en-US"/>
          </w:rPr>
          <w:t>https</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www</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capgemini</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com</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research</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world</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retail</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banking</w:t>
        </w:r>
        <w:r w:rsidRPr="00892CE7">
          <w:rPr>
            <w:rFonts w:ascii="Times New Roman" w:eastAsia="Times New Roman" w:hAnsi="Times New Roman" w:cs="Times New Roman"/>
            <w:color w:val="467886"/>
            <w:sz w:val="32"/>
            <w:szCs w:val="32"/>
            <w:u w:val="single"/>
          </w:rPr>
          <w:t>-</w:t>
        </w:r>
        <w:r w:rsidRPr="00892CE7">
          <w:rPr>
            <w:rFonts w:ascii="Times New Roman" w:eastAsia="Times New Roman" w:hAnsi="Times New Roman" w:cs="Times New Roman"/>
            <w:color w:val="467886"/>
            <w:sz w:val="32"/>
            <w:szCs w:val="32"/>
            <w:u w:val="single"/>
            <w:lang w:val="en-US"/>
          </w:rPr>
          <w:t>report</w:t>
        </w:r>
        <w:r w:rsidRPr="00892CE7">
          <w:rPr>
            <w:rFonts w:ascii="Times New Roman" w:eastAsia="Times New Roman" w:hAnsi="Times New Roman" w:cs="Times New Roman"/>
            <w:color w:val="467886"/>
            <w:sz w:val="32"/>
            <w:szCs w:val="32"/>
            <w:u w:val="single"/>
          </w:rPr>
          <w:t>/</w:t>
        </w:r>
      </w:hyperlink>
      <w:r w:rsidRPr="00892CE7">
        <w:rPr>
          <w:rFonts w:ascii="Times New Roman" w:eastAsia="Times New Roman" w:hAnsi="Times New Roman" w:cs="Times New Roman"/>
          <w:color w:val="000000"/>
          <w:sz w:val="32"/>
          <w:szCs w:val="32"/>
        </w:rPr>
        <w:t xml:space="preserve">). В </w:t>
      </w:r>
      <w:r w:rsidRPr="00892CE7">
        <w:rPr>
          <w:rFonts w:ascii="Times New Roman" w:eastAsia="Times New Roman" w:hAnsi="Times New Roman" w:cs="Times New Roman"/>
          <w:color w:val="000000"/>
          <w:sz w:val="32"/>
          <w:szCs w:val="32"/>
        </w:rPr>
        <w:lastRenderedPageBreak/>
        <w:t>исследовании был сделан анализ данных по 8000 опрошенных клиентов банков, в опросе участвовали респонденты из 12 стран.</w:t>
      </w:r>
    </w:p>
    <w:p w14:paraId="38AD2EE7" w14:textId="77777777" w:rsidR="00892CE7" w:rsidRPr="00892CE7" w:rsidRDefault="00892CE7" w:rsidP="00D26A45">
      <w:pPr>
        <w:spacing w:after="0" w:line="240" w:lineRule="auto"/>
        <w:ind w:firstLine="709"/>
        <w:jc w:val="both"/>
        <w:rPr>
          <w:rFonts w:ascii="Times New Roman" w:eastAsia="Times New Roman" w:hAnsi="Times New Roman" w:cs="Times New Roman"/>
          <w:sz w:val="24"/>
          <w:szCs w:val="24"/>
          <w:lang w:eastAsia="ru-RU"/>
        </w:rPr>
      </w:pPr>
      <w:r w:rsidRPr="00892CE7">
        <w:rPr>
          <w:rFonts w:ascii="Times New Roman" w:eastAsia="Times New Roman" w:hAnsi="Times New Roman" w:cs="Times New Roman"/>
          <w:color w:val="000000"/>
          <w:sz w:val="32"/>
          <w:szCs w:val="32"/>
          <w:lang w:eastAsia="ru-RU"/>
        </w:rPr>
        <w:t xml:space="preserve">В статье были рассмотрены различные исследования, которые проводились как аналитическими компаниями, так и банками. Предметом всех исследований были информационные технологии и их возможности для улучшения качества обслуживания клиентов банка. Результаты показали, что лояльность клиентов банка во многом зависит от различных факторов внедряемых информационных технологий (скорость обработки данных, персонализированные сервисы, круглосуточная поддержка через цифровые сервисы), но в то же время уровень удовлетворенности клиентов качеством банковских услуг на основе информационных технологий не гарантирует лояльность клиента. Информационные технологии следует рассматривать как дополнительный и очень мощный инструмент для повышения качества банковских услуг в комплексе с другими инструментами обслуживания клиентов банка. </w:t>
      </w:r>
    </w:p>
    <w:p w14:paraId="66ED1BB2" w14:textId="77777777" w:rsidR="00892CE7" w:rsidRPr="00892CE7" w:rsidRDefault="00892CE7" w:rsidP="00892CE7">
      <w:pPr>
        <w:suppressAutoHyphens/>
        <w:spacing w:after="0" w:line="240" w:lineRule="auto"/>
        <w:jc w:val="both"/>
        <w:rPr>
          <w:rFonts w:ascii="Times New Roman" w:eastAsia="Times New Roman" w:hAnsi="Times New Roman" w:cs="Times New Roman"/>
          <w:b/>
          <w:bCs/>
          <w:color w:val="000000"/>
          <w:sz w:val="20"/>
          <w:szCs w:val="20"/>
          <w:shd w:val="clear" w:color="auto" w:fill="FFFFFF"/>
        </w:rPr>
      </w:pPr>
    </w:p>
    <w:p w14:paraId="314C7C51" w14:textId="77777777" w:rsidR="00892CE7" w:rsidRPr="00892CE7" w:rsidRDefault="00892CE7" w:rsidP="00892CE7">
      <w:pPr>
        <w:suppressAutoHyphens/>
        <w:spacing w:after="0" w:line="240" w:lineRule="auto"/>
        <w:jc w:val="center"/>
        <w:rPr>
          <w:rFonts w:ascii="Times New Roman" w:eastAsia="Times New Roman" w:hAnsi="Times New Roman" w:cs="Times New Roman"/>
          <w:b/>
          <w:bCs/>
          <w:color w:val="000000"/>
          <w:sz w:val="20"/>
          <w:szCs w:val="20"/>
          <w:shd w:val="clear" w:color="auto" w:fill="FFFFFF"/>
        </w:rPr>
      </w:pPr>
      <w:r w:rsidRPr="00892CE7">
        <w:rPr>
          <w:rFonts w:ascii="Times New Roman" w:eastAsia="Times New Roman" w:hAnsi="Times New Roman" w:cs="Times New Roman"/>
          <w:b/>
          <w:bCs/>
          <w:color w:val="000000"/>
          <w:sz w:val="20"/>
          <w:szCs w:val="20"/>
          <w:shd w:val="clear" w:color="auto" w:fill="FFFFFF"/>
        </w:rPr>
        <w:t>Литература:</w:t>
      </w:r>
    </w:p>
    <w:p w14:paraId="5E4A048B" w14:textId="77777777" w:rsidR="00892CE7" w:rsidRPr="00892CE7" w:rsidRDefault="00892CE7" w:rsidP="00AD58CD">
      <w:pPr>
        <w:numPr>
          <w:ilvl w:val="0"/>
          <w:numId w:val="118"/>
        </w:numPr>
        <w:suppressAutoHyphens/>
        <w:spacing w:after="0" w:line="240" w:lineRule="auto"/>
        <w:ind w:left="0" w:firstLine="0"/>
        <w:contextualSpacing/>
        <w:jc w:val="both"/>
        <w:rPr>
          <w:rFonts w:ascii="Times New Roman" w:eastAsia="Times New Roman" w:hAnsi="Times New Roman" w:cs="Times New Roman"/>
          <w:color w:val="000000"/>
          <w:sz w:val="21"/>
          <w:szCs w:val="21"/>
          <w:shd w:val="clear" w:color="auto" w:fill="FFFFFF"/>
        </w:rPr>
      </w:pPr>
      <w:r w:rsidRPr="00892CE7">
        <w:rPr>
          <w:rFonts w:ascii="Times New Roman" w:eastAsia="Times New Roman" w:hAnsi="Times New Roman" w:cs="Times New Roman"/>
          <w:color w:val="000000"/>
          <w:sz w:val="21"/>
          <w:szCs w:val="21"/>
          <w:shd w:val="clear" w:color="auto" w:fill="FFFFFF"/>
        </w:rPr>
        <w:t xml:space="preserve">Дьякова, Н.В. Информационные технологии в банковской деятельности. Финансы и кредит, </w:t>
      </w:r>
      <w:proofErr w:type="gramStart"/>
      <w:r w:rsidRPr="00892CE7">
        <w:rPr>
          <w:rFonts w:ascii="Times New Roman" w:eastAsia="Times New Roman" w:hAnsi="Times New Roman" w:cs="Times New Roman"/>
          <w:color w:val="000000"/>
          <w:sz w:val="21"/>
          <w:szCs w:val="21"/>
          <w:shd w:val="clear" w:color="auto" w:fill="FFFFFF"/>
        </w:rPr>
        <w:t>2021,  №</w:t>
      </w:r>
      <w:proofErr w:type="gramEnd"/>
      <w:r w:rsidRPr="00892CE7">
        <w:rPr>
          <w:rFonts w:ascii="Times New Roman" w:eastAsia="Times New Roman" w:hAnsi="Times New Roman" w:cs="Times New Roman"/>
          <w:color w:val="000000"/>
          <w:sz w:val="21"/>
          <w:szCs w:val="21"/>
          <w:shd w:val="clear" w:color="auto" w:fill="FFFFFF"/>
        </w:rPr>
        <w:t xml:space="preserve">7, 2021, с. 23–29.2. </w:t>
      </w:r>
    </w:p>
    <w:p w14:paraId="589D2F85" w14:textId="77777777" w:rsidR="00892CE7" w:rsidRPr="00892CE7" w:rsidRDefault="00892CE7" w:rsidP="00AD58CD">
      <w:pPr>
        <w:numPr>
          <w:ilvl w:val="0"/>
          <w:numId w:val="118"/>
        </w:numPr>
        <w:suppressAutoHyphens/>
        <w:spacing w:after="0" w:line="240" w:lineRule="auto"/>
        <w:ind w:left="0" w:firstLine="0"/>
        <w:contextualSpacing/>
        <w:jc w:val="both"/>
        <w:rPr>
          <w:rFonts w:ascii="Times New Roman" w:eastAsia="Times New Roman" w:hAnsi="Times New Roman" w:cs="Times New Roman"/>
          <w:color w:val="000000"/>
          <w:sz w:val="21"/>
          <w:szCs w:val="21"/>
          <w:shd w:val="clear" w:color="auto" w:fill="FFFFFF"/>
        </w:rPr>
      </w:pPr>
      <w:r w:rsidRPr="00892CE7">
        <w:rPr>
          <w:rFonts w:ascii="Times New Roman" w:eastAsia="Times New Roman" w:hAnsi="Times New Roman" w:cs="Times New Roman"/>
          <w:color w:val="000000"/>
          <w:sz w:val="21"/>
          <w:szCs w:val="21"/>
          <w:shd w:val="clear" w:color="auto" w:fill="FFFFFF"/>
        </w:rPr>
        <w:t xml:space="preserve">Копылов, С.В. Цифровая трансформация банков: новые вызовы и возможности. Банковское дело, 2020, №12, с. 15–21.3. </w:t>
      </w:r>
    </w:p>
    <w:p w14:paraId="2134F828" w14:textId="77777777" w:rsidR="00892CE7" w:rsidRPr="00892CE7" w:rsidRDefault="00892CE7" w:rsidP="002565D5">
      <w:pPr>
        <w:suppressAutoHyphens/>
        <w:spacing w:after="0" w:line="240" w:lineRule="auto"/>
        <w:contextualSpacing/>
        <w:jc w:val="both"/>
        <w:rPr>
          <w:rFonts w:ascii="Times New Roman" w:eastAsia="Aptos" w:hAnsi="Times New Roman" w:cs="Times New Roman"/>
          <w:sz w:val="21"/>
          <w:szCs w:val="21"/>
          <w:lang w:val="en-US"/>
        </w:rPr>
      </w:pPr>
      <w:r w:rsidRPr="00892CE7">
        <w:rPr>
          <w:rFonts w:ascii="Times New Roman" w:eastAsia="Times New Roman" w:hAnsi="Times New Roman" w:cs="Times New Roman"/>
          <w:color w:val="000000"/>
          <w:sz w:val="21"/>
          <w:szCs w:val="21"/>
          <w:shd w:val="clear" w:color="auto" w:fill="FFFFFF"/>
        </w:rPr>
        <w:t xml:space="preserve">3. Центральный банк Российской Федерации (2023). Отчет о развитии банковских технологий в РФ. </w:t>
      </w:r>
      <w:hyperlink r:id="rId553">
        <w:r w:rsidRPr="00892CE7">
          <w:rPr>
            <w:rFonts w:ascii="Times New Roman" w:eastAsia="Times New Roman" w:hAnsi="Times New Roman" w:cs="Times New Roman"/>
            <w:color w:val="467886"/>
            <w:sz w:val="21"/>
            <w:szCs w:val="21"/>
            <w:u w:val="single"/>
            <w:shd w:val="clear" w:color="auto" w:fill="FFFFFF"/>
            <w:lang w:val="en-US"/>
          </w:rPr>
          <w:t>www.cbr.ru6.J.D</w:t>
        </w:r>
      </w:hyperlink>
      <w:r w:rsidRPr="00892CE7">
        <w:rPr>
          <w:rFonts w:ascii="Times New Roman" w:eastAsia="Times New Roman" w:hAnsi="Times New Roman" w:cs="Times New Roman"/>
          <w:color w:val="000000"/>
          <w:sz w:val="21"/>
          <w:szCs w:val="21"/>
          <w:shd w:val="clear" w:color="auto" w:fill="FFFFFF"/>
          <w:lang w:val="en-US"/>
        </w:rPr>
        <w:t xml:space="preserve">. </w:t>
      </w:r>
    </w:p>
    <w:p w14:paraId="0820CD28" w14:textId="77777777" w:rsidR="00892CE7" w:rsidRPr="00892CE7" w:rsidRDefault="00892CE7" w:rsidP="002565D5">
      <w:pPr>
        <w:suppressAutoHyphens/>
        <w:spacing w:after="0" w:line="240" w:lineRule="auto"/>
        <w:contextualSpacing/>
        <w:jc w:val="both"/>
        <w:rPr>
          <w:rFonts w:ascii="Times New Roman" w:eastAsia="Aptos" w:hAnsi="Times New Roman" w:cs="Times New Roman"/>
          <w:sz w:val="21"/>
          <w:szCs w:val="21"/>
          <w:lang w:val="en-US"/>
        </w:rPr>
      </w:pPr>
      <w:r w:rsidRPr="00892CE7">
        <w:rPr>
          <w:rFonts w:ascii="Times New Roman" w:eastAsia="Times New Roman" w:hAnsi="Times New Roman" w:cs="Times New Roman"/>
          <w:color w:val="000000"/>
          <w:sz w:val="21"/>
          <w:szCs w:val="21"/>
          <w:shd w:val="clear" w:color="auto" w:fill="FFFFFF"/>
          <w:lang w:val="en-US"/>
        </w:rPr>
        <w:t>4. Power (2022). "U.S. Retail Banking Satisfaction Study" (</w:t>
      </w:r>
      <w:hyperlink r:id="rId554">
        <w:r w:rsidRPr="00892CE7">
          <w:rPr>
            <w:rFonts w:ascii="Times New Roman" w:eastAsia="Times New Roman" w:hAnsi="Times New Roman" w:cs="Times New Roman"/>
            <w:color w:val="467886"/>
            <w:sz w:val="21"/>
            <w:szCs w:val="21"/>
            <w:u w:val="single"/>
            <w:shd w:val="clear" w:color="auto" w:fill="FFFFFF"/>
            <w:lang w:val="en-US"/>
          </w:rPr>
          <w:t>https://www.jdpower.com/business/press-releases/2022-us-retail-banking-satisfaction-study</w:t>
        </w:r>
      </w:hyperlink>
      <w:r w:rsidRPr="00892CE7">
        <w:rPr>
          <w:rFonts w:ascii="Times New Roman" w:eastAsia="Times New Roman" w:hAnsi="Times New Roman" w:cs="Times New Roman"/>
          <w:color w:val="000000"/>
          <w:sz w:val="21"/>
          <w:szCs w:val="21"/>
          <w:shd w:val="clear" w:color="auto" w:fill="FFFFFF"/>
          <w:lang w:val="en-US"/>
        </w:rPr>
        <w:t>).</w:t>
      </w:r>
    </w:p>
    <w:p w14:paraId="6D6B3AF7" w14:textId="77777777" w:rsidR="00892CE7" w:rsidRPr="00892CE7" w:rsidRDefault="00892CE7" w:rsidP="002565D5">
      <w:pPr>
        <w:suppressAutoHyphens/>
        <w:spacing w:after="0" w:line="240" w:lineRule="auto"/>
        <w:contextualSpacing/>
        <w:jc w:val="both"/>
        <w:rPr>
          <w:rFonts w:ascii="Aptos" w:eastAsia="Aptos" w:hAnsi="Aptos" w:cs="Tahoma"/>
          <w:sz w:val="24"/>
          <w:szCs w:val="24"/>
        </w:rPr>
      </w:pPr>
      <w:r w:rsidRPr="00892CE7">
        <w:rPr>
          <w:rFonts w:ascii="Times New Roman" w:eastAsia="Times New Roman" w:hAnsi="Times New Roman" w:cs="Times New Roman"/>
          <w:color w:val="000000"/>
          <w:sz w:val="21"/>
          <w:szCs w:val="21"/>
          <w:shd w:val="clear" w:color="auto" w:fill="FFFFFF"/>
        </w:rPr>
        <w:t>5. НАФИ(2023)."Цифровая грамотность и финансовое поведение россиян" (</w:t>
      </w:r>
      <w:hyperlink r:id="rId555">
        <w:r w:rsidRPr="00892CE7">
          <w:rPr>
            <w:rFonts w:ascii="Times New Roman" w:eastAsia="Times New Roman" w:hAnsi="Times New Roman" w:cs="Times New Roman"/>
            <w:color w:val="467886"/>
            <w:sz w:val="21"/>
            <w:szCs w:val="21"/>
            <w:u w:val="single"/>
            <w:shd w:val="clear" w:color="auto" w:fill="FFFFFF"/>
          </w:rPr>
          <w:t>https://nafi.ru/analytics/tsifrovaya-gramotnost-i-finansovoe-povedenie-rossiyan-2023/</w:t>
        </w:r>
      </w:hyperlink>
      <w:r w:rsidRPr="00892CE7">
        <w:rPr>
          <w:rFonts w:ascii="Times New Roman" w:eastAsia="Times New Roman" w:hAnsi="Times New Roman" w:cs="Times New Roman"/>
          <w:color w:val="000000"/>
          <w:sz w:val="21"/>
          <w:szCs w:val="21"/>
          <w:shd w:val="clear" w:color="auto" w:fill="FFFFFF"/>
        </w:rPr>
        <w:t>).</w:t>
      </w:r>
    </w:p>
    <w:p w14:paraId="603E29E2" w14:textId="77777777" w:rsidR="00892CE7" w:rsidRDefault="00892CE7" w:rsidP="00892CE7">
      <w:pPr>
        <w:widowControl w:val="0"/>
        <w:suppressAutoHyphens/>
        <w:overflowPunct w:val="0"/>
        <w:spacing w:after="0" w:line="240" w:lineRule="auto"/>
        <w:ind w:left="284"/>
        <w:jc w:val="both"/>
        <w:rPr>
          <w:rFonts w:ascii="Times New Roman" w:eastAsia="Source Han Sans CN Regular" w:hAnsi="Times New Roman" w:cs="Times New Roman"/>
          <w:kern w:val="2"/>
          <w:sz w:val="21"/>
          <w:szCs w:val="21"/>
          <w:lang w:eastAsia="ru-RU" w:bidi="ru-RU"/>
        </w:rPr>
      </w:pPr>
    </w:p>
    <w:p w14:paraId="76CFD722" w14:textId="77777777" w:rsidR="00A80B72" w:rsidRDefault="00A80B72" w:rsidP="00892CE7">
      <w:pPr>
        <w:widowControl w:val="0"/>
        <w:suppressAutoHyphens/>
        <w:overflowPunct w:val="0"/>
        <w:spacing w:after="0" w:line="240" w:lineRule="auto"/>
        <w:ind w:left="284"/>
        <w:jc w:val="both"/>
        <w:rPr>
          <w:rFonts w:ascii="Times New Roman" w:eastAsia="Source Han Sans CN Regular" w:hAnsi="Times New Roman" w:cs="Times New Roman"/>
          <w:kern w:val="2"/>
          <w:sz w:val="21"/>
          <w:szCs w:val="21"/>
          <w:lang w:eastAsia="ru-RU" w:bidi="ru-RU"/>
        </w:rPr>
      </w:pPr>
    </w:p>
    <w:p w14:paraId="7740DE72" w14:textId="77777777" w:rsidR="00F60C59" w:rsidRPr="00F60C59" w:rsidRDefault="00F60C59" w:rsidP="00F60C59">
      <w:pPr>
        <w:spacing w:after="0"/>
        <w:rPr>
          <w:rFonts w:ascii="Times New Roman" w:eastAsia="Times New Roman" w:hAnsi="Times New Roman" w:cs="Times New Roman"/>
          <w:b/>
          <w:sz w:val="21"/>
          <w:szCs w:val="21"/>
          <w:lang w:eastAsia="ru-RU"/>
        </w:rPr>
      </w:pPr>
      <w:r w:rsidRPr="00F60C59">
        <w:rPr>
          <w:rFonts w:ascii="Times New Roman" w:eastAsia="Times New Roman" w:hAnsi="Times New Roman" w:cs="Times New Roman"/>
          <w:b/>
          <w:sz w:val="21"/>
          <w:szCs w:val="21"/>
          <w:lang w:eastAsia="ru-RU"/>
        </w:rPr>
        <w:t>УДК 330.4</w:t>
      </w:r>
    </w:p>
    <w:p w14:paraId="0EA2AAFC" w14:textId="77777777" w:rsidR="00F60C59" w:rsidRPr="00F60C59" w:rsidRDefault="00F60C59" w:rsidP="00237810">
      <w:pPr>
        <w:spacing w:after="0" w:line="240" w:lineRule="auto"/>
        <w:jc w:val="right"/>
        <w:rPr>
          <w:rFonts w:ascii="Times New Roman" w:eastAsia="Times New Roman" w:hAnsi="Times New Roman" w:cs="Times New Roman"/>
          <w:b/>
          <w:i/>
          <w:sz w:val="21"/>
          <w:szCs w:val="21"/>
          <w:lang w:eastAsia="ru-RU"/>
        </w:rPr>
      </w:pPr>
      <w:r w:rsidRPr="00F60C59">
        <w:rPr>
          <w:rFonts w:ascii="Times New Roman" w:eastAsia="Times New Roman" w:hAnsi="Times New Roman" w:cs="Times New Roman"/>
          <w:b/>
          <w:i/>
          <w:sz w:val="21"/>
          <w:szCs w:val="21"/>
          <w:lang w:eastAsia="ru-RU"/>
        </w:rPr>
        <w:t xml:space="preserve">Царикаева Д.А., </w:t>
      </w:r>
    </w:p>
    <w:p w14:paraId="11864ADC"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r w:rsidRPr="00F60C59">
        <w:rPr>
          <w:rFonts w:ascii="Times New Roman" w:eastAsia="Times New Roman" w:hAnsi="Times New Roman" w:cs="Times New Roman"/>
          <w:i/>
          <w:sz w:val="21"/>
          <w:szCs w:val="21"/>
          <w:lang w:eastAsia="ru-RU"/>
        </w:rPr>
        <w:t xml:space="preserve">студентка 4 курса </w:t>
      </w:r>
    </w:p>
    <w:p w14:paraId="50BB69F5" w14:textId="77777777" w:rsidR="00681CB7" w:rsidRDefault="00681CB7" w:rsidP="00681CB7">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F413290"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r w:rsidRPr="00F60C59">
        <w:rPr>
          <w:rFonts w:ascii="Times New Roman" w:eastAsia="Times New Roman" w:hAnsi="Times New Roman" w:cs="Times New Roman"/>
          <w:i/>
          <w:sz w:val="21"/>
          <w:szCs w:val="21"/>
          <w:lang w:eastAsia="ru-RU"/>
        </w:rPr>
        <w:t>г. Краснодар, Россия</w:t>
      </w:r>
    </w:p>
    <w:p w14:paraId="633D98F9"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bookmarkStart w:id="100" w:name="_heading=h.p6mab9c1b6fl" w:colFirst="0" w:colLast="0"/>
      <w:bookmarkEnd w:id="100"/>
      <w:r w:rsidRPr="00F60C59">
        <w:rPr>
          <w:rFonts w:ascii="Times New Roman" w:eastAsia="Times New Roman" w:hAnsi="Times New Roman" w:cs="Times New Roman"/>
          <w:i/>
          <w:sz w:val="21"/>
          <w:szCs w:val="21"/>
          <w:lang w:eastAsia="ru-RU"/>
        </w:rPr>
        <w:t xml:space="preserve">е-mail: </w:t>
      </w:r>
      <w:hyperlink r:id="rId556">
        <w:r w:rsidRPr="00F60C59">
          <w:rPr>
            <w:rFonts w:ascii="Times New Roman" w:eastAsia="Times New Roman" w:hAnsi="Times New Roman" w:cs="Times New Roman"/>
            <w:i/>
            <w:color w:val="0563C1"/>
            <w:sz w:val="21"/>
            <w:szCs w:val="21"/>
            <w:u w:val="single"/>
            <w:lang w:eastAsia="ru-RU"/>
          </w:rPr>
          <w:t>tsarikkk@rambler.ru</w:t>
        </w:r>
      </w:hyperlink>
    </w:p>
    <w:p w14:paraId="4D22806B"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p>
    <w:p w14:paraId="3FA55B4B" w14:textId="77777777" w:rsidR="00F60C59" w:rsidRPr="00F60C59" w:rsidRDefault="00F60C59" w:rsidP="00237810">
      <w:pPr>
        <w:spacing w:after="0" w:line="240" w:lineRule="auto"/>
        <w:jc w:val="right"/>
        <w:rPr>
          <w:rFonts w:ascii="Times New Roman" w:eastAsia="Times New Roman" w:hAnsi="Times New Roman" w:cs="Times New Roman"/>
          <w:b/>
          <w:i/>
          <w:sz w:val="21"/>
          <w:szCs w:val="21"/>
          <w:lang w:eastAsia="ru-RU"/>
        </w:rPr>
      </w:pPr>
      <w:r w:rsidRPr="00F60C59">
        <w:rPr>
          <w:rFonts w:ascii="Times New Roman" w:eastAsia="Times New Roman" w:hAnsi="Times New Roman" w:cs="Times New Roman"/>
          <w:b/>
          <w:i/>
          <w:sz w:val="21"/>
          <w:szCs w:val="21"/>
          <w:lang w:eastAsia="ru-RU"/>
        </w:rPr>
        <w:t>Научный руководитель:</w:t>
      </w:r>
    </w:p>
    <w:p w14:paraId="45AC1E98" w14:textId="77777777" w:rsidR="00F60C59" w:rsidRPr="00F60C59" w:rsidRDefault="00F60C59" w:rsidP="00237810">
      <w:pPr>
        <w:spacing w:after="0" w:line="240" w:lineRule="auto"/>
        <w:jc w:val="right"/>
        <w:rPr>
          <w:rFonts w:ascii="Times New Roman" w:eastAsia="Times New Roman" w:hAnsi="Times New Roman" w:cs="Times New Roman"/>
          <w:b/>
          <w:bCs/>
          <w:i/>
          <w:sz w:val="21"/>
          <w:szCs w:val="21"/>
          <w:lang w:eastAsia="ru-RU"/>
        </w:rPr>
      </w:pPr>
      <w:r w:rsidRPr="00F60C59">
        <w:rPr>
          <w:rFonts w:ascii="Times New Roman" w:eastAsia="Times New Roman" w:hAnsi="Times New Roman" w:cs="Times New Roman"/>
          <w:b/>
          <w:bCs/>
          <w:i/>
          <w:sz w:val="21"/>
          <w:szCs w:val="21"/>
          <w:lang w:eastAsia="ru-RU"/>
        </w:rPr>
        <w:t>Пьянкова Н.Г.,</w:t>
      </w:r>
    </w:p>
    <w:p w14:paraId="771E7898"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r w:rsidRPr="00F60C59">
        <w:rPr>
          <w:rFonts w:ascii="Times New Roman" w:eastAsia="Times New Roman" w:hAnsi="Times New Roman" w:cs="Times New Roman"/>
          <w:i/>
          <w:sz w:val="21"/>
          <w:szCs w:val="21"/>
          <w:lang w:eastAsia="ru-RU"/>
        </w:rPr>
        <w:t>кандидат педагогических наук, доцент,</w:t>
      </w:r>
    </w:p>
    <w:p w14:paraId="060E7F64" w14:textId="77777777" w:rsidR="00681CB7" w:rsidRDefault="00681CB7" w:rsidP="00681CB7">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29DD5D4"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r w:rsidRPr="00F60C59">
        <w:rPr>
          <w:rFonts w:ascii="Times New Roman" w:eastAsia="Times New Roman" w:hAnsi="Times New Roman" w:cs="Times New Roman"/>
          <w:i/>
          <w:sz w:val="21"/>
          <w:szCs w:val="21"/>
          <w:lang w:eastAsia="ru-RU"/>
        </w:rPr>
        <w:t>г. Краснодар, Россия</w:t>
      </w:r>
    </w:p>
    <w:p w14:paraId="0C20FFA2"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eastAsia="ru-RU"/>
        </w:rPr>
      </w:pPr>
      <w:r w:rsidRPr="00F60C59">
        <w:rPr>
          <w:rFonts w:ascii="Times New Roman" w:eastAsia="Times New Roman" w:hAnsi="Times New Roman" w:cs="Times New Roman"/>
          <w:i/>
          <w:sz w:val="21"/>
          <w:szCs w:val="21"/>
          <w:lang w:eastAsia="ru-RU"/>
        </w:rPr>
        <w:t xml:space="preserve">е-mail: </w:t>
      </w:r>
      <w:hyperlink r:id="rId557">
        <w:r w:rsidRPr="00F60C59">
          <w:rPr>
            <w:rFonts w:ascii="Times New Roman" w:eastAsia="Times New Roman" w:hAnsi="Times New Roman" w:cs="Times New Roman"/>
            <w:i/>
            <w:color w:val="0563C1"/>
            <w:sz w:val="21"/>
            <w:szCs w:val="21"/>
            <w:u w:val="single"/>
            <w:lang w:eastAsia="ru-RU"/>
          </w:rPr>
          <w:t>NGPyankova@fa.ru</w:t>
        </w:r>
      </w:hyperlink>
    </w:p>
    <w:p w14:paraId="68FBA69E" w14:textId="77777777" w:rsidR="00F60C59" w:rsidRPr="00F60C59" w:rsidRDefault="00F60C59" w:rsidP="00237810">
      <w:pPr>
        <w:spacing w:before="240" w:after="0" w:line="240" w:lineRule="auto"/>
        <w:jc w:val="center"/>
        <w:rPr>
          <w:rFonts w:ascii="Times New Roman" w:eastAsia="Times New Roman" w:hAnsi="Times New Roman" w:cs="Times New Roman"/>
          <w:b/>
          <w:sz w:val="21"/>
          <w:szCs w:val="21"/>
          <w:lang w:eastAsia="ru-RU"/>
        </w:rPr>
      </w:pPr>
      <w:r w:rsidRPr="00F60C59">
        <w:rPr>
          <w:rFonts w:ascii="Times New Roman" w:eastAsia="Times New Roman" w:hAnsi="Times New Roman" w:cs="Times New Roman"/>
          <w:b/>
          <w:sz w:val="21"/>
          <w:szCs w:val="21"/>
          <w:lang w:eastAsia="ru-RU"/>
        </w:rPr>
        <w:t>Развитие инструментов бизнес-аналитики: современные тенденции и перспективы</w:t>
      </w:r>
    </w:p>
    <w:p w14:paraId="1933E127" w14:textId="77777777" w:rsidR="00F60C59" w:rsidRPr="00F60C59" w:rsidRDefault="00F60C59" w:rsidP="00237810">
      <w:pPr>
        <w:spacing w:before="240" w:after="0" w:line="240" w:lineRule="auto"/>
        <w:ind w:firstLine="709"/>
        <w:jc w:val="both"/>
        <w:rPr>
          <w:rFonts w:ascii="Times New Roman" w:eastAsia="Times New Roman" w:hAnsi="Times New Roman" w:cs="Times New Roman"/>
          <w:sz w:val="21"/>
          <w:szCs w:val="21"/>
          <w:lang w:eastAsia="ru-RU"/>
        </w:rPr>
      </w:pPr>
      <w:r w:rsidRPr="00F60C59">
        <w:rPr>
          <w:rFonts w:ascii="Times New Roman" w:eastAsia="Times New Roman" w:hAnsi="Times New Roman" w:cs="Times New Roman"/>
          <w:b/>
          <w:sz w:val="21"/>
          <w:szCs w:val="21"/>
          <w:lang w:eastAsia="ru-RU"/>
        </w:rPr>
        <w:t xml:space="preserve">Аннотация: </w:t>
      </w:r>
      <w:r w:rsidRPr="00F60C59">
        <w:rPr>
          <w:rFonts w:ascii="Times New Roman" w:eastAsia="Times New Roman" w:hAnsi="Times New Roman" w:cs="Times New Roman"/>
          <w:sz w:val="21"/>
          <w:szCs w:val="21"/>
          <w:lang w:eastAsia="ru-RU"/>
        </w:rPr>
        <w:t>В статье рассмотрены основные инструменты бизнес-анализа, которые уже активно используются для совершенствования бизнес-процессов, и их влияние на современный бизнес. Выделены преимущества каждого инструмента, позволяющего принимать оптимальное решение при оптимизации бизнес-процессов компаний.</w:t>
      </w:r>
      <w:r w:rsidRPr="00F60C59">
        <w:rPr>
          <w:rFonts w:ascii="Calibri" w:eastAsia="Calibri" w:hAnsi="Calibri" w:cs="Calibri"/>
          <w:lang w:eastAsia="ru-RU"/>
        </w:rPr>
        <w:t xml:space="preserve"> </w:t>
      </w:r>
      <w:r w:rsidRPr="00F60C59">
        <w:rPr>
          <w:rFonts w:ascii="Times New Roman" w:eastAsia="Times New Roman" w:hAnsi="Times New Roman" w:cs="Times New Roman"/>
          <w:sz w:val="21"/>
          <w:szCs w:val="21"/>
          <w:lang w:eastAsia="ru-RU"/>
        </w:rPr>
        <w:t xml:space="preserve">Проанализированы перспективы развития инструментов бизнес-аналитики. </w:t>
      </w:r>
    </w:p>
    <w:p w14:paraId="76516244" w14:textId="77777777" w:rsidR="00F60C59" w:rsidRPr="00F60C59" w:rsidRDefault="00F60C59" w:rsidP="00237810">
      <w:pPr>
        <w:spacing w:after="0" w:line="240" w:lineRule="auto"/>
        <w:ind w:firstLine="709"/>
        <w:jc w:val="both"/>
        <w:rPr>
          <w:rFonts w:ascii="Times New Roman" w:eastAsia="Times New Roman" w:hAnsi="Times New Roman" w:cs="Times New Roman"/>
          <w:sz w:val="21"/>
          <w:szCs w:val="21"/>
          <w:lang w:eastAsia="ru-RU"/>
        </w:rPr>
      </w:pPr>
      <w:r w:rsidRPr="00F60C59">
        <w:rPr>
          <w:rFonts w:ascii="Times New Roman" w:eastAsia="Times New Roman" w:hAnsi="Times New Roman" w:cs="Times New Roman"/>
          <w:b/>
          <w:sz w:val="21"/>
          <w:szCs w:val="21"/>
          <w:lang w:eastAsia="ru-RU"/>
        </w:rPr>
        <w:t>Ключевые слова:</w:t>
      </w:r>
      <w:r w:rsidRPr="00F60C59">
        <w:rPr>
          <w:rFonts w:ascii="Times New Roman" w:eastAsia="Times New Roman" w:hAnsi="Times New Roman" w:cs="Times New Roman"/>
          <w:sz w:val="21"/>
          <w:szCs w:val="21"/>
          <w:lang w:eastAsia="ru-RU"/>
        </w:rPr>
        <w:t xml:space="preserve"> инструменты бизнес-анализа, бизнес-аналитика, данные.</w:t>
      </w:r>
    </w:p>
    <w:p w14:paraId="2B33C763" w14:textId="77777777" w:rsidR="00F60C59" w:rsidRPr="00F60C59" w:rsidRDefault="00F60C59" w:rsidP="00237810">
      <w:pPr>
        <w:spacing w:after="0" w:line="240" w:lineRule="auto"/>
        <w:ind w:firstLine="709"/>
        <w:jc w:val="both"/>
        <w:rPr>
          <w:rFonts w:ascii="Times New Roman" w:eastAsia="Times New Roman" w:hAnsi="Times New Roman" w:cs="Times New Roman"/>
          <w:sz w:val="21"/>
          <w:szCs w:val="21"/>
          <w:lang w:eastAsia="ru-RU"/>
        </w:rPr>
      </w:pPr>
    </w:p>
    <w:p w14:paraId="7C74DE07" w14:textId="77777777" w:rsidR="00F60C59" w:rsidRPr="00F60C59" w:rsidRDefault="00F60C59" w:rsidP="00237810">
      <w:pPr>
        <w:spacing w:after="0" w:line="240" w:lineRule="auto"/>
        <w:jc w:val="right"/>
        <w:rPr>
          <w:rFonts w:ascii="Times New Roman" w:eastAsia="Times New Roman" w:hAnsi="Times New Roman" w:cs="Times New Roman"/>
          <w:b/>
          <w:i/>
          <w:sz w:val="21"/>
          <w:szCs w:val="21"/>
          <w:lang w:val="en-US" w:eastAsia="ru-RU"/>
        </w:rPr>
      </w:pPr>
      <w:r w:rsidRPr="00F60C59">
        <w:rPr>
          <w:rFonts w:ascii="Times New Roman" w:eastAsia="Times New Roman" w:hAnsi="Times New Roman" w:cs="Times New Roman"/>
          <w:b/>
          <w:i/>
          <w:sz w:val="21"/>
          <w:szCs w:val="21"/>
          <w:lang w:val="en-US" w:eastAsia="ru-RU"/>
        </w:rPr>
        <w:t xml:space="preserve">Tsarikaeva D.A., </w:t>
      </w:r>
    </w:p>
    <w:p w14:paraId="2A76B42C"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student, 4 courses</w:t>
      </w:r>
    </w:p>
    <w:p w14:paraId="26EAB8C1"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Financial University under the Government of Russia Federation</w:t>
      </w:r>
    </w:p>
    <w:p w14:paraId="15BE8381"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Krasnodar, Russia</w:t>
      </w:r>
    </w:p>
    <w:p w14:paraId="48C7B8F7"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eastAsia="ru-RU"/>
        </w:rPr>
        <w:t>е</w:t>
      </w:r>
      <w:r w:rsidRPr="00F60C59">
        <w:rPr>
          <w:rFonts w:ascii="Times New Roman" w:eastAsia="Times New Roman" w:hAnsi="Times New Roman" w:cs="Times New Roman"/>
          <w:i/>
          <w:sz w:val="21"/>
          <w:szCs w:val="21"/>
          <w:lang w:val="en-US" w:eastAsia="ru-RU"/>
        </w:rPr>
        <w:t xml:space="preserve">-mail: </w:t>
      </w:r>
      <w:hyperlink r:id="rId558">
        <w:r w:rsidRPr="00F60C59">
          <w:rPr>
            <w:rFonts w:ascii="Times New Roman" w:eastAsia="Times New Roman" w:hAnsi="Times New Roman" w:cs="Times New Roman"/>
            <w:i/>
            <w:color w:val="0563C1"/>
            <w:sz w:val="21"/>
            <w:szCs w:val="21"/>
            <w:u w:val="single"/>
            <w:lang w:val="en-US" w:eastAsia="ru-RU"/>
          </w:rPr>
          <w:t>tsarikkk@rambler.ru</w:t>
        </w:r>
      </w:hyperlink>
    </w:p>
    <w:p w14:paraId="310FB20D"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p>
    <w:p w14:paraId="422E59CA" w14:textId="77777777" w:rsidR="00F60C59" w:rsidRPr="00F60C59" w:rsidRDefault="00F60C59" w:rsidP="00237810">
      <w:pPr>
        <w:spacing w:after="0" w:line="240" w:lineRule="auto"/>
        <w:jc w:val="right"/>
        <w:rPr>
          <w:rFonts w:ascii="Times New Roman" w:eastAsia="Times New Roman" w:hAnsi="Times New Roman" w:cs="Times New Roman"/>
          <w:b/>
          <w:i/>
          <w:sz w:val="21"/>
          <w:szCs w:val="21"/>
          <w:lang w:val="en-US" w:eastAsia="ru-RU"/>
        </w:rPr>
      </w:pPr>
      <w:r w:rsidRPr="00F60C59">
        <w:rPr>
          <w:rFonts w:ascii="Times New Roman" w:eastAsia="Times New Roman" w:hAnsi="Times New Roman" w:cs="Times New Roman"/>
          <w:b/>
          <w:i/>
          <w:sz w:val="21"/>
          <w:szCs w:val="21"/>
          <w:lang w:val="en-US" w:eastAsia="ru-RU"/>
        </w:rPr>
        <w:t>Scientific Adviser:</w:t>
      </w:r>
    </w:p>
    <w:p w14:paraId="073775A6" w14:textId="77777777" w:rsidR="00F60C59" w:rsidRPr="00F60C59" w:rsidRDefault="00F60C59" w:rsidP="00237810">
      <w:pPr>
        <w:spacing w:after="0" w:line="240" w:lineRule="auto"/>
        <w:jc w:val="right"/>
        <w:rPr>
          <w:rFonts w:ascii="Times New Roman" w:eastAsia="Times New Roman" w:hAnsi="Times New Roman" w:cs="Times New Roman"/>
          <w:b/>
          <w:bCs/>
          <w:i/>
          <w:sz w:val="21"/>
          <w:szCs w:val="21"/>
          <w:lang w:val="en-US" w:eastAsia="ru-RU"/>
        </w:rPr>
      </w:pPr>
      <w:r w:rsidRPr="00F60C59">
        <w:rPr>
          <w:rFonts w:ascii="Times New Roman" w:eastAsia="Times New Roman" w:hAnsi="Times New Roman" w:cs="Times New Roman"/>
          <w:b/>
          <w:bCs/>
          <w:i/>
          <w:sz w:val="21"/>
          <w:szCs w:val="21"/>
          <w:lang w:val="en-US" w:eastAsia="ru-RU"/>
        </w:rPr>
        <w:t>Pyankova N.G.,</w:t>
      </w:r>
    </w:p>
    <w:p w14:paraId="75A91DEB"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candidate of pedagogical sciences, docent,</w:t>
      </w:r>
    </w:p>
    <w:p w14:paraId="73EDBE8C"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Financial University under the Government of Russia Federation</w:t>
      </w:r>
    </w:p>
    <w:p w14:paraId="02B3FC92" w14:textId="77777777" w:rsidR="00F60C59" w:rsidRPr="00F60C59" w:rsidRDefault="00F60C59" w:rsidP="00237810">
      <w:pPr>
        <w:spacing w:after="0" w:line="240" w:lineRule="auto"/>
        <w:jc w:val="right"/>
        <w:rPr>
          <w:rFonts w:ascii="Times New Roman" w:eastAsia="Times New Roman" w:hAnsi="Times New Roman" w:cs="Times New Roman"/>
          <w:i/>
          <w:sz w:val="21"/>
          <w:szCs w:val="21"/>
          <w:lang w:val="en-US" w:eastAsia="ru-RU"/>
        </w:rPr>
      </w:pPr>
      <w:r w:rsidRPr="00F60C59">
        <w:rPr>
          <w:rFonts w:ascii="Times New Roman" w:eastAsia="Times New Roman" w:hAnsi="Times New Roman" w:cs="Times New Roman"/>
          <w:i/>
          <w:sz w:val="21"/>
          <w:szCs w:val="21"/>
          <w:lang w:val="en-US" w:eastAsia="ru-RU"/>
        </w:rPr>
        <w:t>Krasnodar, Russia</w:t>
      </w:r>
    </w:p>
    <w:p w14:paraId="4DED1C51" w14:textId="77777777" w:rsidR="00F60C59" w:rsidRPr="00F60C59" w:rsidRDefault="00F60C59" w:rsidP="00237810">
      <w:pPr>
        <w:spacing w:after="0" w:line="240" w:lineRule="auto"/>
        <w:jc w:val="right"/>
        <w:rPr>
          <w:rFonts w:ascii="Times New Roman" w:eastAsia="Times New Roman" w:hAnsi="Times New Roman" w:cs="Times New Roman"/>
          <w:i/>
          <w:color w:val="0563C1"/>
          <w:sz w:val="21"/>
          <w:szCs w:val="21"/>
          <w:u w:val="single"/>
          <w:lang w:val="en-US" w:eastAsia="ru-RU"/>
        </w:rPr>
      </w:pPr>
      <w:r w:rsidRPr="00F60C59">
        <w:rPr>
          <w:rFonts w:ascii="Times New Roman" w:eastAsia="Times New Roman" w:hAnsi="Times New Roman" w:cs="Times New Roman"/>
          <w:i/>
          <w:sz w:val="21"/>
          <w:szCs w:val="21"/>
          <w:lang w:eastAsia="ru-RU"/>
        </w:rPr>
        <w:t>е</w:t>
      </w:r>
      <w:r w:rsidRPr="00F60C59">
        <w:rPr>
          <w:rFonts w:ascii="Times New Roman" w:eastAsia="Times New Roman" w:hAnsi="Times New Roman" w:cs="Times New Roman"/>
          <w:i/>
          <w:sz w:val="21"/>
          <w:szCs w:val="21"/>
          <w:lang w:val="en-US" w:eastAsia="ru-RU"/>
        </w:rPr>
        <w:t xml:space="preserve">-mail: </w:t>
      </w:r>
      <w:hyperlink r:id="rId559">
        <w:r w:rsidRPr="00F60C59">
          <w:rPr>
            <w:rFonts w:ascii="Times New Roman" w:eastAsia="Times New Roman" w:hAnsi="Times New Roman" w:cs="Times New Roman"/>
            <w:i/>
            <w:color w:val="0563C1"/>
            <w:sz w:val="21"/>
            <w:szCs w:val="21"/>
            <w:u w:val="single"/>
            <w:lang w:val="en-US" w:eastAsia="ru-RU"/>
          </w:rPr>
          <w:t>NGPyankova@fa.ru</w:t>
        </w:r>
      </w:hyperlink>
    </w:p>
    <w:p w14:paraId="1C6440DF" w14:textId="77777777" w:rsidR="00F60C59" w:rsidRPr="00F60C59" w:rsidRDefault="00F60C59" w:rsidP="00237810">
      <w:pPr>
        <w:spacing w:after="0" w:line="240" w:lineRule="auto"/>
        <w:jc w:val="right"/>
        <w:rPr>
          <w:rFonts w:ascii="Times New Roman" w:eastAsia="Times New Roman" w:hAnsi="Times New Roman" w:cs="Times New Roman"/>
          <w:sz w:val="21"/>
          <w:szCs w:val="21"/>
          <w:lang w:val="en-US" w:eastAsia="ru-RU"/>
        </w:rPr>
      </w:pPr>
    </w:p>
    <w:p w14:paraId="4D1975A4" w14:textId="77777777" w:rsidR="00F60C59" w:rsidRPr="00F60C59" w:rsidRDefault="00F60C59" w:rsidP="00237810">
      <w:pPr>
        <w:spacing w:line="240" w:lineRule="auto"/>
        <w:jc w:val="center"/>
        <w:rPr>
          <w:rFonts w:ascii="Times New Roman" w:eastAsia="Times New Roman" w:hAnsi="Times New Roman" w:cs="Times New Roman"/>
          <w:b/>
          <w:sz w:val="21"/>
          <w:szCs w:val="21"/>
          <w:lang w:val="en-US" w:eastAsia="ru-RU"/>
        </w:rPr>
      </w:pPr>
      <w:r w:rsidRPr="00F60C59">
        <w:rPr>
          <w:rFonts w:ascii="Times New Roman" w:eastAsia="Times New Roman" w:hAnsi="Times New Roman" w:cs="Times New Roman"/>
          <w:b/>
          <w:sz w:val="21"/>
          <w:szCs w:val="21"/>
          <w:lang w:val="en-US" w:eastAsia="ru-RU"/>
        </w:rPr>
        <w:t>Development of business analytics tools: current trends and prospects</w:t>
      </w:r>
    </w:p>
    <w:p w14:paraId="64C2EB1E" w14:textId="77777777" w:rsidR="00F60C59" w:rsidRPr="00F60C59" w:rsidRDefault="00F60C59" w:rsidP="00237810">
      <w:pPr>
        <w:spacing w:after="0" w:line="240" w:lineRule="auto"/>
        <w:ind w:firstLine="709"/>
        <w:jc w:val="both"/>
        <w:rPr>
          <w:rFonts w:ascii="Times New Roman" w:eastAsia="Times New Roman" w:hAnsi="Times New Roman" w:cs="Times New Roman"/>
          <w:sz w:val="21"/>
          <w:szCs w:val="21"/>
          <w:lang w:val="en-US" w:eastAsia="ru-RU"/>
        </w:rPr>
      </w:pPr>
      <w:r w:rsidRPr="00F60C59">
        <w:rPr>
          <w:rFonts w:ascii="Times New Roman" w:eastAsia="Times New Roman" w:hAnsi="Times New Roman" w:cs="Times New Roman"/>
          <w:b/>
          <w:sz w:val="21"/>
          <w:szCs w:val="21"/>
          <w:lang w:val="en-US" w:eastAsia="ru-RU"/>
        </w:rPr>
        <w:t>Abstract:</w:t>
      </w:r>
      <w:r w:rsidRPr="00F60C59">
        <w:rPr>
          <w:rFonts w:ascii="Times New Roman" w:eastAsia="Times New Roman" w:hAnsi="Times New Roman" w:cs="Times New Roman"/>
          <w:sz w:val="21"/>
          <w:szCs w:val="21"/>
          <w:lang w:val="en-US" w:eastAsia="ru-RU"/>
        </w:rPr>
        <w:t xml:space="preserve"> The article examines the main business analysis tools that are already actively used to improve business processes and their impact on modern business. The advantages of each tool that allows making the best decision when optimizing business processes of companies are highlighted. The prospects for the development of business analytics tools are analyzed.</w:t>
      </w:r>
    </w:p>
    <w:p w14:paraId="24C2D63C" w14:textId="77777777" w:rsidR="00F60C59" w:rsidRPr="00F60C59" w:rsidRDefault="00F60C59" w:rsidP="00237810">
      <w:pPr>
        <w:spacing w:after="0" w:line="240" w:lineRule="auto"/>
        <w:ind w:firstLine="709"/>
        <w:jc w:val="both"/>
        <w:rPr>
          <w:rFonts w:ascii="Times New Roman" w:eastAsia="Times New Roman" w:hAnsi="Times New Roman" w:cs="Times New Roman"/>
          <w:sz w:val="21"/>
          <w:szCs w:val="21"/>
          <w:lang w:val="en-US" w:eastAsia="ru-RU"/>
        </w:rPr>
      </w:pPr>
      <w:r w:rsidRPr="00F60C59">
        <w:rPr>
          <w:rFonts w:ascii="Times New Roman" w:eastAsia="Times New Roman" w:hAnsi="Times New Roman" w:cs="Times New Roman"/>
          <w:b/>
          <w:sz w:val="21"/>
          <w:szCs w:val="21"/>
          <w:lang w:val="en-US" w:eastAsia="ru-RU"/>
        </w:rPr>
        <w:t>Keywords:</w:t>
      </w:r>
      <w:r w:rsidRPr="00F60C59">
        <w:rPr>
          <w:rFonts w:ascii="Times New Roman" w:eastAsia="Times New Roman" w:hAnsi="Times New Roman" w:cs="Times New Roman"/>
          <w:sz w:val="21"/>
          <w:szCs w:val="21"/>
          <w:lang w:val="en-US" w:eastAsia="ru-RU"/>
        </w:rPr>
        <w:t xml:space="preserve"> business analysis tools, business intelligence, data.</w:t>
      </w:r>
    </w:p>
    <w:p w14:paraId="61A18AB2" w14:textId="77777777" w:rsidR="00F60C59" w:rsidRPr="00F60C59" w:rsidRDefault="00F60C59" w:rsidP="00F60C59">
      <w:pPr>
        <w:spacing w:after="0" w:line="240" w:lineRule="auto"/>
        <w:ind w:firstLine="567"/>
        <w:jc w:val="both"/>
        <w:rPr>
          <w:rFonts w:ascii="Times New Roman" w:eastAsia="Times New Roman" w:hAnsi="Times New Roman" w:cs="Times New Roman"/>
          <w:lang w:val="en-US" w:eastAsia="ru-RU"/>
        </w:rPr>
      </w:pPr>
    </w:p>
    <w:p w14:paraId="0D52B2C6"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Инструменты бизнес-аналитики – это комплексное решение, которое собирает и оценивает бизнес-данные с использованием различных методов, алгоритмов, а также технологий для проведения статистического анализа.</w:t>
      </w:r>
    </w:p>
    <w:p w14:paraId="38A0FCD1"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Рассмотрим, как работают эти инструменты. Это программные продукты и методы, выполняющие функционал сбора, дальнейшего анализа и визуализации данных, связанных с различными сегментами бизнеса. Инструменты анализа данных позволяют анализировать сложные процессы, алгоритмы и большие данные.</w:t>
      </w:r>
    </w:p>
    <w:p w14:paraId="130FC22F"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Инструменты бизнес-аналитики позволяют компаниям принимать решения, повышающие эффективность компании на основе данных, формирующих её концепцию и функционал. На примере сети магазинов розничной торговли можно удостовериться, какие выводы сделали эксперты, применяя инструменты бизнес-аналитики.</w:t>
      </w:r>
    </w:p>
    <w:p w14:paraId="5E9939E6"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С помощью инструментов бизнес-аналитики эксперты анализируют поведение клиентов. Когда в последний раз клиенты посещали магазин, каковы были их действия, какой объем продаж у магазина в целом и прочее. Данный инструмент позволит определить, что за последние несколько месяцев посещаемость увеличилось, но конверсия при этом не изменилась, либо, что какая-то доля ассортимента пользуется большим спросом. </w:t>
      </w:r>
    </w:p>
    <w:p w14:paraId="374F0891"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Данные инструменты применяются экспертами для анализа эффективности. Используя аналитику, компания определяет, какой сегмент продаж обеспечивает самые высокие показатели </w:t>
      </w:r>
      <w:r w:rsidRPr="00F60C59">
        <w:rPr>
          <w:rFonts w:ascii="Times New Roman" w:eastAsia="Times New Roman" w:hAnsi="Times New Roman" w:cs="Times New Roman"/>
          <w:sz w:val="32"/>
          <w:szCs w:val="32"/>
          <w:lang w:eastAsia="ru-RU"/>
        </w:rPr>
        <w:lastRenderedPageBreak/>
        <w:t>эффективности, такие как, например, маржинальность, комплексность чека или общие потери магазина [2].</w:t>
      </w:r>
    </w:p>
    <w:p w14:paraId="6E087E9C"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Грамотная аналитика позволяет компании выявить причины низких показателей эффективности, оптимизировать или пополнить ассортимент товарами, пользующихся спросом на рынке, выбрать наиболее эффективные ресурсы и контролировать финансовые показатели, с целью улучшения продаж и уровня сервиса.</w:t>
      </w:r>
    </w:p>
    <w:p w14:paraId="56EE2201"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Некоторые инструменты бизнес-аналитики пользуются популярностью на сегодняшний день.</w:t>
      </w:r>
    </w:p>
    <w:p w14:paraId="089B599B" w14:textId="77777777" w:rsidR="00F60C59" w:rsidRPr="00F60C59" w:rsidRDefault="00F60C59" w:rsidP="00AD58CD">
      <w:pPr>
        <w:numPr>
          <w:ilvl w:val="0"/>
          <w:numId w:val="119"/>
        </w:numPr>
        <w:spacing w:after="0" w:line="240" w:lineRule="auto"/>
        <w:ind w:firstLine="709"/>
        <w:contextualSpacing/>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Аналитика. Дает понимание происходящего в определенной сфере бизнеса. Аналитика бывает разной. Но, если не уходить от темы розничной торговли, то в данном случае, аналитика помогает нам отслеживать динамику продаж и строить различные прогнозы. Например, зная объем продаж предыдущих периодов, можно с применением должных расчетов и формул рассчитать план продаж на следующий период.  </w:t>
      </w:r>
    </w:p>
    <w:p w14:paraId="4AC94F99"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Преимущества: оценка эффективности продаж и уровня сервиса, приводящих к повышению конкурентоспособности на рынке.</w:t>
      </w:r>
    </w:p>
    <w:p w14:paraId="27FF7494"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2. Дашборды. Удобный инструмент, повышающий уровень восприятия информации посредством визуализации. Все интересующие нас показатели можно отобразить в динамике с помощью диаграмм и графиков.</w:t>
      </w:r>
    </w:p>
    <w:p w14:paraId="0E281CFF"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Преимущества: удобство и наглядность.</w:t>
      </w:r>
    </w:p>
    <w:p w14:paraId="33ED2433"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3. Комплексная аналитика. Благодаря комплексной аналитике можно провести статистический и предиктивный анализ. В интеграции с различными данными проводится анализ всего цикла продаж и оптимизация исполнения стандартов. </w:t>
      </w:r>
    </w:p>
    <w:p w14:paraId="2B928FE5"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Преимущества: полная картина цикла продаж, выявление слабых мест, оптимизация затрат на ресурсы [3].</w:t>
      </w:r>
    </w:p>
    <w:p w14:paraId="30A71617"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4. Бизнес-аналитика (BI). Имеет тесную связь с визуализацией данных. BI обеспечивает разработку комплексной отчетности и дальнейший анализ данных. </w:t>
      </w:r>
    </w:p>
    <w:p w14:paraId="1507384A"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Преимущества: комплексный анализ данных, гибкость отчетности, высокая надежность.</w:t>
      </w:r>
    </w:p>
    <w:p w14:paraId="510730BE"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5. Отчетность. Полная и точная информация обо всей операционной деятельности предприятия. Отчеты могут формироваться как единоразово, так и на регулярной основе, в зависимости от потребностей. Отчет – это четкая структура </w:t>
      </w:r>
      <w:r w:rsidRPr="00F60C59">
        <w:rPr>
          <w:rFonts w:ascii="Times New Roman" w:eastAsia="Times New Roman" w:hAnsi="Times New Roman" w:cs="Times New Roman"/>
          <w:sz w:val="32"/>
          <w:szCs w:val="32"/>
          <w:lang w:eastAsia="ru-RU"/>
        </w:rPr>
        <w:lastRenderedPageBreak/>
        <w:t>проведенного анализа. Позволяет представлять данные в удобной форме с фокусом на ключевые показатели.</w:t>
      </w:r>
    </w:p>
    <w:p w14:paraId="1BE5DC44"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 Плюсы: гибкость в создании отчетов, возможность автоматизации, простой в использовании интерфейс.</w:t>
      </w:r>
    </w:p>
    <w:p w14:paraId="5C3FDE1D"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Следует обратить внимание, что множество отчетов на многих крупных предприятиях уже автоматизированы с помощью процедур. Совершение определенных операций способствует появлению новых данных в базах данных, которые, в свою очередь подтягиваются в отчет автоматически. Автоматизация отчетности избавляет от рутины, способствует точности в показателях отчета, сбору информации с разных мест и итоговому подсчету показателей по совершенным операциям.</w:t>
      </w:r>
    </w:p>
    <w:p w14:paraId="1938EE55"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Учитывая быстрое развитие технологий и постоянно растущий объем данных, перспективы инструментов бизнес-аналитики выглядят захватывающими и инновационными. Рассмотрим некоторые из основных перспектив развития инструментов бизнес-аналитики [1].</w:t>
      </w:r>
    </w:p>
    <w:p w14:paraId="381BE6A8"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1. Искусственный интеллект (ИИ) и машинное обучение (МО). Нашумевший инструмент – искусственный интеллект – уже очень активно используется повсеместно и позволяет повысить эффективность деятельности любого предприятия. При помощи искусственного интеллекта появилась возможность оперативной работы и повышения скорости принятия решений. ИИ может помочь структурировать большой объем данных и предоставить варианты решения разных задачи любой сложности.</w:t>
      </w:r>
    </w:p>
    <w:p w14:paraId="216C8237"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2. Облачные технологии. Для постоянно растущих в объеме данных возникает потребность расширения пространственного хранения. Обеспечение волатильности и доступности данных для предприятий любого масштаба может предоставить переход к облачным технологиям. Широко применяемы такие ресурсы облачного хранения данных как: </w:t>
      </w:r>
      <w:r w:rsidRPr="00F60C59">
        <w:rPr>
          <w:rFonts w:ascii="Times New Roman" w:eastAsia="Times New Roman" w:hAnsi="Times New Roman" w:cs="Times New Roman"/>
          <w:sz w:val="32"/>
          <w:szCs w:val="32"/>
          <w:lang w:val="en-US" w:eastAsia="ru-RU"/>
        </w:rPr>
        <w:t>iCloud</w:t>
      </w:r>
      <w:r w:rsidRPr="00F60C59">
        <w:rPr>
          <w:rFonts w:ascii="Times New Roman" w:eastAsia="Times New Roman" w:hAnsi="Times New Roman" w:cs="Times New Roman"/>
          <w:sz w:val="32"/>
          <w:szCs w:val="32"/>
          <w:lang w:eastAsia="ru-RU"/>
        </w:rPr>
        <w:t xml:space="preserve">, </w:t>
      </w:r>
      <w:r w:rsidRPr="00F60C59">
        <w:rPr>
          <w:rFonts w:ascii="Times New Roman" w:eastAsia="Times New Roman" w:hAnsi="Times New Roman" w:cs="Times New Roman"/>
          <w:sz w:val="32"/>
          <w:szCs w:val="32"/>
          <w:lang w:val="en-US" w:eastAsia="ru-RU"/>
        </w:rPr>
        <w:t>Google</w:t>
      </w:r>
      <w:r w:rsidRPr="00F60C59">
        <w:rPr>
          <w:rFonts w:ascii="Times New Roman" w:eastAsia="Times New Roman" w:hAnsi="Times New Roman" w:cs="Times New Roman"/>
          <w:sz w:val="32"/>
          <w:szCs w:val="32"/>
          <w:lang w:eastAsia="ru-RU"/>
        </w:rPr>
        <w:t xml:space="preserve"> Диск, Яндекс Диск и т.д. Облачные хранилища экономически эффективные в применении, так как обеспечивают практически безлимитное хранилище и возможность восстановления и резервного копирования данных.</w:t>
      </w:r>
    </w:p>
    <w:p w14:paraId="5ACC40E2"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3. Самообучающиеся системы. Информационные системы, способные учиться на основе опыта реальной практики, имеют возможность стать более интеллектуальными и прогнозирующими в своих рекомендациях и решениях. Самообучающиеся системы используют методы автоматической классификации, чтобы </w:t>
      </w:r>
      <w:r w:rsidRPr="00F60C59">
        <w:rPr>
          <w:rFonts w:ascii="Times New Roman" w:eastAsia="Times New Roman" w:hAnsi="Times New Roman" w:cs="Times New Roman"/>
          <w:sz w:val="32"/>
          <w:szCs w:val="32"/>
          <w:lang w:eastAsia="ru-RU"/>
        </w:rPr>
        <w:lastRenderedPageBreak/>
        <w:t>анализировать и обрабатывать примеры, основанные на реальных примерах.</w:t>
      </w:r>
    </w:p>
    <w:p w14:paraId="68E21430"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4. Рост аналитики самообслуживания. Инновационные инструменты бизнес-аналитики, позволяющие не прибегать к помощи экспертов и </w:t>
      </w:r>
      <w:r w:rsidRPr="00F60C59">
        <w:rPr>
          <w:rFonts w:ascii="Times New Roman" w:eastAsia="Times New Roman" w:hAnsi="Times New Roman" w:cs="Times New Roman"/>
          <w:sz w:val="32"/>
          <w:szCs w:val="32"/>
          <w:lang w:val="en-US" w:eastAsia="ru-RU"/>
        </w:rPr>
        <w:t>IT</w:t>
      </w:r>
      <w:r w:rsidRPr="00F60C59">
        <w:rPr>
          <w:rFonts w:ascii="Times New Roman" w:eastAsia="Times New Roman" w:hAnsi="Times New Roman" w:cs="Times New Roman"/>
          <w:sz w:val="32"/>
          <w:szCs w:val="32"/>
          <w:lang w:eastAsia="ru-RU"/>
        </w:rPr>
        <w:t xml:space="preserve">-специалистов, или, так называемая </w:t>
      </w:r>
      <w:r w:rsidRPr="00F60C59">
        <w:rPr>
          <w:rFonts w:ascii="Times New Roman" w:eastAsia="Times New Roman" w:hAnsi="Times New Roman" w:cs="Times New Roman"/>
          <w:sz w:val="32"/>
          <w:szCs w:val="32"/>
          <w:lang w:val="en-US" w:eastAsia="ru-RU"/>
        </w:rPr>
        <w:t>Self</w:t>
      </w:r>
      <w:r w:rsidRPr="00F60C59">
        <w:rPr>
          <w:rFonts w:ascii="Times New Roman" w:eastAsia="Times New Roman" w:hAnsi="Times New Roman" w:cs="Times New Roman"/>
          <w:sz w:val="32"/>
          <w:szCs w:val="32"/>
          <w:lang w:eastAsia="ru-RU"/>
        </w:rPr>
        <w:t>-</w:t>
      </w:r>
      <w:r w:rsidRPr="00F60C59">
        <w:rPr>
          <w:rFonts w:ascii="Times New Roman" w:eastAsia="Times New Roman" w:hAnsi="Times New Roman" w:cs="Times New Roman"/>
          <w:sz w:val="32"/>
          <w:szCs w:val="32"/>
          <w:lang w:val="en-US" w:eastAsia="ru-RU"/>
        </w:rPr>
        <w:t>service</w:t>
      </w:r>
      <w:r w:rsidRPr="00F60C59">
        <w:rPr>
          <w:rFonts w:ascii="Times New Roman" w:eastAsia="Times New Roman" w:hAnsi="Times New Roman" w:cs="Times New Roman"/>
          <w:sz w:val="32"/>
          <w:szCs w:val="32"/>
          <w:lang w:eastAsia="ru-RU"/>
        </w:rPr>
        <w:t xml:space="preserve"> </w:t>
      </w:r>
      <w:r w:rsidRPr="00F60C59">
        <w:rPr>
          <w:rFonts w:ascii="Times New Roman" w:eastAsia="Times New Roman" w:hAnsi="Times New Roman" w:cs="Times New Roman"/>
          <w:sz w:val="32"/>
          <w:szCs w:val="32"/>
          <w:lang w:val="en-US" w:eastAsia="ru-RU"/>
        </w:rPr>
        <w:t>analytics</w:t>
      </w:r>
      <w:r w:rsidRPr="00F60C59">
        <w:rPr>
          <w:rFonts w:ascii="Times New Roman" w:eastAsia="Times New Roman" w:hAnsi="Times New Roman" w:cs="Times New Roman"/>
          <w:sz w:val="32"/>
          <w:szCs w:val="32"/>
          <w:lang w:eastAsia="ru-RU"/>
        </w:rPr>
        <w:t xml:space="preserve"> (аналитика самообслуживания), будет распространяться и давать возможность пользователям анализировать и визуализировать еще более оперативно.</w:t>
      </w:r>
    </w:p>
    <w:p w14:paraId="442D5978" w14:textId="77777777" w:rsidR="00F60C59" w:rsidRPr="00F60C59" w:rsidRDefault="00F60C59" w:rsidP="00F60C59">
      <w:pPr>
        <w:spacing w:after="0" w:line="240" w:lineRule="auto"/>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5. Защита и конфиденциальность данных. Прямо пропорционально росту объемов больших данных возрастает риск киберугроз. Попутно развиваются и применяются новые и более эффективные средства защиты информации, обеспечивающие информационную безопасность не только крупных компаний, но и целых государств [4].</w:t>
      </w:r>
    </w:p>
    <w:p w14:paraId="1ACE16E1" w14:textId="77777777" w:rsidR="00F60C59" w:rsidRPr="00F60C59" w:rsidRDefault="00F60C59" w:rsidP="00F60C59">
      <w:pPr>
        <w:spacing w:after="0"/>
        <w:ind w:firstLine="567"/>
        <w:jc w:val="both"/>
        <w:rPr>
          <w:rFonts w:ascii="Times New Roman" w:eastAsia="Times New Roman" w:hAnsi="Times New Roman" w:cs="Times New Roman"/>
          <w:sz w:val="32"/>
          <w:szCs w:val="32"/>
          <w:lang w:eastAsia="ru-RU"/>
        </w:rPr>
      </w:pPr>
      <w:r w:rsidRPr="00F60C59">
        <w:rPr>
          <w:rFonts w:ascii="Times New Roman" w:eastAsia="Times New Roman" w:hAnsi="Times New Roman" w:cs="Times New Roman"/>
          <w:sz w:val="32"/>
          <w:szCs w:val="32"/>
          <w:lang w:eastAsia="ru-RU"/>
        </w:rPr>
        <w:t xml:space="preserve">Перспективы и тенденции развития инструментов бизнес-аналитики играют важную роль в развитии бизнеса и оптимизации ему сопутствующих процессов и операций. Новые технологии бизнес-анализа позволяют повысить эффективность различных направлений. Использование этих инструментов позволяет компаниям глубже понять свой бизнес, выявлять проблемные области и принимать эффективные решения для достижения успеха, а также обеспечивает визуализацию данных и отслеживание показателей в реальном времени. </w:t>
      </w:r>
    </w:p>
    <w:p w14:paraId="6F5077BF" w14:textId="77777777" w:rsidR="00F60C59" w:rsidRPr="00F60C59" w:rsidRDefault="00F60C59" w:rsidP="00C7283D">
      <w:pPr>
        <w:spacing w:after="0"/>
        <w:rPr>
          <w:rFonts w:ascii="Calibri" w:eastAsia="Calibri" w:hAnsi="Calibri" w:cs="Calibri"/>
          <w:lang w:eastAsia="ru-RU"/>
        </w:rPr>
      </w:pPr>
    </w:p>
    <w:p w14:paraId="7D0EDB8F" w14:textId="77777777" w:rsidR="00F60C59" w:rsidRPr="00F60C59" w:rsidRDefault="00F60C59" w:rsidP="00C7283D">
      <w:pPr>
        <w:spacing w:after="0"/>
        <w:jc w:val="center"/>
        <w:rPr>
          <w:rFonts w:ascii="Times New Roman" w:eastAsia="Times New Roman" w:hAnsi="Times New Roman" w:cs="Times New Roman"/>
          <w:b/>
          <w:sz w:val="21"/>
          <w:szCs w:val="21"/>
          <w:lang w:eastAsia="ru-RU"/>
        </w:rPr>
      </w:pPr>
      <w:r w:rsidRPr="00F60C59">
        <w:rPr>
          <w:rFonts w:ascii="Times New Roman" w:eastAsia="Times New Roman" w:hAnsi="Times New Roman" w:cs="Times New Roman"/>
          <w:b/>
          <w:sz w:val="21"/>
          <w:szCs w:val="21"/>
          <w:lang w:eastAsia="ru-RU"/>
        </w:rPr>
        <w:t>Литература:</w:t>
      </w:r>
    </w:p>
    <w:p w14:paraId="3E0A02D9" w14:textId="77777777" w:rsidR="00F60C59" w:rsidRPr="00F60C59" w:rsidRDefault="00F60C59" w:rsidP="00C7283D">
      <w:pPr>
        <w:spacing w:after="0" w:line="240" w:lineRule="auto"/>
        <w:ind w:left="284" w:hanging="340"/>
        <w:jc w:val="both"/>
        <w:rPr>
          <w:rFonts w:ascii="Times New Roman" w:eastAsia="Times New Roman" w:hAnsi="Times New Roman" w:cs="Times New Roman"/>
          <w:sz w:val="21"/>
          <w:szCs w:val="21"/>
          <w:lang w:eastAsia="ru-RU"/>
        </w:rPr>
      </w:pPr>
      <w:r w:rsidRPr="00F60C59">
        <w:rPr>
          <w:rFonts w:ascii="Times New Roman" w:eastAsia="Times New Roman" w:hAnsi="Times New Roman" w:cs="Times New Roman"/>
          <w:sz w:val="21"/>
          <w:szCs w:val="21"/>
          <w:lang w:eastAsia="ru-RU"/>
        </w:rPr>
        <w:t>1.</w:t>
      </w:r>
      <w:r w:rsidRPr="00F60C59">
        <w:rPr>
          <w:rFonts w:ascii="Times New Roman" w:eastAsia="Times New Roman" w:hAnsi="Times New Roman" w:cs="Times New Roman"/>
          <w:sz w:val="21"/>
          <w:szCs w:val="21"/>
          <w:lang w:eastAsia="ru-RU"/>
        </w:rPr>
        <w:tab/>
        <w:t>Литвинова, Т. И. Аналитика как метод оптимизации управления ресурсами аптечной сети / Т. И. Литвинова, Ю. О. Рябчикова, Н. Г. Пьянкова // Цифровая трансформация сельского хозяйства и аграрного образования : Сборник материалов I Международной научно-практической конференции, Краснодар, 29 февраля 2024 года. – Краснодар: Новация, 2024. – С. 253-259.</w:t>
      </w:r>
    </w:p>
    <w:p w14:paraId="211C0917" w14:textId="77777777" w:rsidR="00F60C59" w:rsidRPr="00F60C59" w:rsidRDefault="00F60C59" w:rsidP="00C7283D">
      <w:pPr>
        <w:spacing w:after="0" w:line="240" w:lineRule="auto"/>
        <w:ind w:left="284" w:hanging="340"/>
        <w:jc w:val="both"/>
        <w:rPr>
          <w:rFonts w:ascii="Times New Roman" w:eastAsia="Times New Roman" w:hAnsi="Times New Roman" w:cs="Times New Roman"/>
          <w:sz w:val="21"/>
          <w:szCs w:val="21"/>
          <w:lang w:eastAsia="ru-RU"/>
        </w:rPr>
      </w:pPr>
      <w:r w:rsidRPr="00F60C59">
        <w:rPr>
          <w:rFonts w:ascii="Times New Roman" w:eastAsia="Times New Roman" w:hAnsi="Times New Roman" w:cs="Times New Roman"/>
          <w:sz w:val="21"/>
          <w:szCs w:val="21"/>
          <w:lang w:eastAsia="ru-RU"/>
        </w:rPr>
        <w:t>2.</w:t>
      </w:r>
      <w:r w:rsidRPr="00F60C59">
        <w:rPr>
          <w:rFonts w:ascii="Times New Roman" w:eastAsia="Times New Roman" w:hAnsi="Times New Roman" w:cs="Times New Roman"/>
          <w:sz w:val="21"/>
          <w:szCs w:val="21"/>
          <w:lang w:eastAsia="ru-RU"/>
        </w:rPr>
        <w:tab/>
        <w:t>Средства бизнес-аналитики и их ценность // [Электронный ресурс]. URL: https://roistat.com/rublog/instrumenty-bisnes-analitiky/ (дата обращения: 20.04.2025).</w:t>
      </w:r>
    </w:p>
    <w:p w14:paraId="4B956B0E" w14:textId="77777777" w:rsidR="00F60C59" w:rsidRPr="00F60C59" w:rsidRDefault="00F60C59" w:rsidP="00C7283D">
      <w:pPr>
        <w:spacing w:after="0" w:line="240" w:lineRule="auto"/>
        <w:ind w:left="284" w:hanging="340"/>
        <w:jc w:val="both"/>
        <w:rPr>
          <w:rFonts w:ascii="Times New Roman" w:eastAsia="Times New Roman" w:hAnsi="Times New Roman" w:cs="Times New Roman"/>
          <w:sz w:val="21"/>
          <w:szCs w:val="21"/>
          <w:lang w:eastAsia="ru-RU"/>
        </w:rPr>
      </w:pPr>
      <w:r w:rsidRPr="00F60C59">
        <w:rPr>
          <w:rFonts w:ascii="Times New Roman" w:eastAsia="Times New Roman" w:hAnsi="Times New Roman" w:cs="Times New Roman"/>
          <w:sz w:val="21"/>
          <w:szCs w:val="21"/>
          <w:lang w:eastAsia="ru-RU"/>
        </w:rPr>
        <w:t>3.</w:t>
      </w:r>
      <w:r w:rsidRPr="00F60C59">
        <w:rPr>
          <w:rFonts w:ascii="Times New Roman" w:eastAsia="Times New Roman" w:hAnsi="Times New Roman" w:cs="Times New Roman"/>
          <w:sz w:val="21"/>
          <w:szCs w:val="21"/>
          <w:lang w:eastAsia="ru-RU"/>
        </w:rPr>
        <w:tab/>
        <w:t>Инструменты бизнес-аналитики. 2019. [Электронный ресурс]. URL: https://roistat.com/rublog/instrumenty-bisnes-analitiky/ (дата обращения: 20.04.2025).</w:t>
      </w:r>
    </w:p>
    <w:p w14:paraId="3E38DEAA" w14:textId="77777777" w:rsidR="00F60C59" w:rsidRPr="00F60C59" w:rsidRDefault="00F60C59" w:rsidP="00C7283D">
      <w:pPr>
        <w:spacing w:after="0" w:line="240" w:lineRule="auto"/>
        <w:ind w:left="284" w:hanging="340"/>
        <w:jc w:val="both"/>
        <w:rPr>
          <w:rFonts w:ascii="Times New Roman" w:eastAsia="Times New Roman" w:hAnsi="Times New Roman" w:cs="Times New Roman"/>
          <w:sz w:val="28"/>
          <w:szCs w:val="28"/>
          <w:lang w:eastAsia="ru-RU"/>
        </w:rPr>
      </w:pPr>
      <w:r w:rsidRPr="00F60C59">
        <w:rPr>
          <w:rFonts w:ascii="Times New Roman" w:eastAsia="Times New Roman" w:hAnsi="Times New Roman" w:cs="Times New Roman"/>
          <w:sz w:val="21"/>
          <w:szCs w:val="21"/>
          <w:lang w:eastAsia="ru-RU"/>
        </w:rPr>
        <w:t>4.</w:t>
      </w:r>
      <w:r w:rsidRPr="00F60C59">
        <w:rPr>
          <w:rFonts w:ascii="Times New Roman" w:eastAsia="Times New Roman" w:hAnsi="Times New Roman" w:cs="Times New Roman"/>
          <w:sz w:val="21"/>
          <w:szCs w:val="21"/>
          <w:lang w:eastAsia="ru-RU"/>
        </w:rPr>
        <w:tab/>
        <w:t>Роль инструментов бизнес-анализа в повышении эффективности управления предприятием [Электронный ресурс]. URL: https://www.elibrary.ru/item.asp?id=48693131 / (дата обращения: 20.04.2025).</w:t>
      </w:r>
    </w:p>
    <w:p w14:paraId="4488BC66" w14:textId="77777777" w:rsidR="00A80B72" w:rsidRPr="002565D5" w:rsidRDefault="00A80B72" w:rsidP="00892CE7">
      <w:pPr>
        <w:widowControl w:val="0"/>
        <w:suppressAutoHyphens/>
        <w:overflowPunct w:val="0"/>
        <w:spacing w:after="0" w:line="240" w:lineRule="auto"/>
        <w:ind w:left="284"/>
        <w:jc w:val="both"/>
        <w:rPr>
          <w:rFonts w:ascii="Times New Roman" w:eastAsia="Source Han Sans CN Regular" w:hAnsi="Times New Roman" w:cs="Times New Roman"/>
          <w:kern w:val="2"/>
          <w:sz w:val="21"/>
          <w:szCs w:val="21"/>
          <w:lang w:eastAsia="ru-RU" w:bidi="ru-RU"/>
        </w:rPr>
      </w:pPr>
    </w:p>
    <w:p w14:paraId="5953D98D" w14:textId="77777777" w:rsidR="00C36A8C" w:rsidRPr="002565D5" w:rsidRDefault="00C36A8C" w:rsidP="006A4D6F">
      <w:pPr>
        <w:spacing w:line="240" w:lineRule="auto"/>
        <w:contextualSpacing/>
        <w:jc w:val="both"/>
        <w:rPr>
          <w:rFonts w:ascii="Times New Roman" w:eastAsia="Calibri" w:hAnsi="Times New Roman" w:cs="Times New Roman"/>
          <w:color w:val="000000"/>
          <w:sz w:val="21"/>
          <w:szCs w:val="21"/>
        </w:rPr>
      </w:pPr>
    </w:p>
    <w:p w14:paraId="3E04D4AA"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93" w:after="0" w:line="68" w:lineRule="atLeast"/>
        <w:rPr>
          <w:rFonts w:ascii="Times New Roman" w:eastAsia="Times New Roman" w:hAnsi="Times New Roman" w:cs="Times New Roman"/>
          <w:b/>
          <w:color w:val="000000"/>
          <w:sz w:val="21"/>
          <w:szCs w:val="21"/>
        </w:rPr>
      </w:pPr>
      <w:r w:rsidRPr="001C4C30">
        <w:rPr>
          <w:rFonts w:ascii="Times New Roman" w:eastAsia="Times New Roman" w:hAnsi="Times New Roman" w:cs="Times New Roman"/>
          <w:b/>
          <w:color w:val="000000"/>
          <w:sz w:val="21"/>
          <w:szCs w:val="21"/>
        </w:rPr>
        <w:t>УДК 004.056.5</w:t>
      </w:r>
    </w:p>
    <w:p w14:paraId="5A5F59FE"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after="0" w:line="240" w:lineRule="auto"/>
        <w:ind w:right="104" w:firstLine="567"/>
        <w:jc w:val="right"/>
        <w:rPr>
          <w:rFonts w:ascii="Times New Roman" w:eastAsia="Calibri" w:hAnsi="Times New Roman" w:cs="Times New Roman"/>
          <w:sz w:val="21"/>
          <w:szCs w:val="21"/>
        </w:rPr>
      </w:pPr>
      <w:r w:rsidRPr="001C4C30">
        <w:rPr>
          <w:rFonts w:ascii="Times New Roman" w:eastAsia="Times New Roman" w:hAnsi="Times New Roman" w:cs="Times New Roman"/>
          <w:b/>
          <w:i/>
          <w:color w:val="000000"/>
          <w:sz w:val="21"/>
          <w:szCs w:val="21"/>
        </w:rPr>
        <w:t>Шабельник Д.Д.,</w:t>
      </w:r>
    </w:p>
    <w:p w14:paraId="170C561E" w14:textId="77777777" w:rsidR="001C4C30" w:rsidRPr="001C4C30" w:rsidRDefault="001C4C30" w:rsidP="00681CB7">
      <w:pPr>
        <w:pBdr>
          <w:top w:val="none" w:sz="4" w:space="0" w:color="000000"/>
          <w:left w:val="none" w:sz="4" w:space="0" w:color="000000"/>
          <w:bottom w:val="none" w:sz="4" w:space="0" w:color="000000"/>
          <w:right w:val="none" w:sz="4" w:space="0" w:color="000000"/>
        </w:pBdr>
        <w:tabs>
          <w:tab w:val="left" w:pos="5386"/>
        </w:tabs>
        <w:spacing w:after="0" w:line="240" w:lineRule="auto"/>
        <w:ind w:right="102" w:firstLine="567"/>
        <w:jc w:val="right"/>
        <w:rPr>
          <w:rFonts w:ascii="Times New Roman" w:eastAsia="Times New Roman" w:hAnsi="Times New Roman" w:cs="Times New Roman"/>
          <w:i/>
          <w:color w:val="000000"/>
          <w:sz w:val="21"/>
          <w:szCs w:val="21"/>
        </w:rPr>
      </w:pPr>
      <w:r w:rsidRPr="001C4C30">
        <w:rPr>
          <w:rFonts w:ascii="Times New Roman" w:eastAsia="Times New Roman" w:hAnsi="Times New Roman" w:cs="Times New Roman"/>
          <w:i/>
          <w:color w:val="000000"/>
          <w:sz w:val="21"/>
          <w:szCs w:val="21"/>
        </w:rPr>
        <w:t>студент 1 курса</w:t>
      </w:r>
    </w:p>
    <w:p w14:paraId="7BF2C505" w14:textId="77777777" w:rsidR="001101DF" w:rsidRDefault="001101DF" w:rsidP="001101D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F1E8013"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after="0" w:line="240" w:lineRule="auto"/>
        <w:ind w:left="4309" w:right="102" w:firstLine="567"/>
        <w:jc w:val="right"/>
        <w:rPr>
          <w:rFonts w:ascii="Times New Roman" w:eastAsia="Times New Roman" w:hAnsi="Times New Roman" w:cs="Times New Roman"/>
          <w:bCs/>
          <w:i/>
          <w:color w:val="000000"/>
          <w:sz w:val="21"/>
          <w:szCs w:val="21"/>
        </w:rPr>
      </w:pPr>
      <w:r w:rsidRPr="001C4C30">
        <w:rPr>
          <w:rFonts w:ascii="Times New Roman" w:eastAsia="Times New Roman" w:hAnsi="Times New Roman" w:cs="Times New Roman"/>
          <w:i/>
          <w:color w:val="000000"/>
          <w:sz w:val="21"/>
          <w:szCs w:val="21"/>
        </w:rPr>
        <w:t>г. Краснодар, Россия</w:t>
      </w:r>
    </w:p>
    <w:p w14:paraId="30244D6B" w14:textId="22955A0F" w:rsidR="001C4C30" w:rsidRDefault="001C4C30" w:rsidP="00681CB7">
      <w:pPr>
        <w:pBdr>
          <w:top w:val="none" w:sz="4" w:space="0" w:color="000000"/>
          <w:left w:val="none" w:sz="4" w:space="0" w:color="000000"/>
          <w:bottom w:val="none" w:sz="4" w:space="0" w:color="000000"/>
          <w:right w:val="none" w:sz="4" w:space="0" w:color="000000"/>
        </w:pBdr>
        <w:spacing w:after="0" w:line="240" w:lineRule="auto"/>
        <w:ind w:left="4309" w:right="102" w:firstLine="567"/>
        <w:jc w:val="right"/>
        <w:rPr>
          <w:rFonts w:ascii="Times New Roman" w:eastAsia="Times New Roman" w:hAnsi="Times New Roman" w:cs="Times New Roman"/>
          <w:i/>
          <w:color w:val="000000"/>
          <w:sz w:val="21"/>
          <w:szCs w:val="21"/>
        </w:rPr>
      </w:pPr>
      <w:r w:rsidRPr="001C4C30">
        <w:rPr>
          <w:rFonts w:ascii="Times New Roman" w:eastAsia="Times New Roman" w:hAnsi="Times New Roman" w:cs="Times New Roman"/>
          <w:i/>
          <w:color w:val="000000"/>
          <w:sz w:val="21"/>
          <w:szCs w:val="21"/>
        </w:rPr>
        <w:t>е-</w:t>
      </w:r>
      <w:r w:rsidRPr="001C4C30">
        <w:rPr>
          <w:rFonts w:ascii="Times New Roman" w:eastAsia="Times New Roman" w:hAnsi="Times New Roman" w:cs="Times New Roman"/>
          <w:i/>
          <w:color w:val="000000"/>
          <w:sz w:val="21"/>
          <w:szCs w:val="21"/>
          <w:lang w:val="en-US"/>
        </w:rPr>
        <w:t>mail</w:t>
      </w:r>
      <w:r w:rsidRPr="001C4C30">
        <w:rPr>
          <w:rFonts w:ascii="Times New Roman" w:eastAsia="Times New Roman" w:hAnsi="Times New Roman" w:cs="Times New Roman"/>
          <w:i/>
          <w:color w:val="000000"/>
          <w:sz w:val="21"/>
          <w:szCs w:val="21"/>
        </w:rPr>
        <w:t xml:space="preserve">: </w:t>
      </w:r>
      <w:hyperlink r:id="rId560" w:history="1">
        <w:r w:rsidR="0077549E" w:rsidRPr="001C4C30">
          <w:rPr>
            <w:rStyle w:val="aa"/>
            <w:rFonts w:ascii="Times New Roman" w:eastAsia="Times New Roman" w:hAnsi="Times New Roman" w:cs="Times New Roman"/>
            <w:i/>
            <w:sz w:val="21"/>
            <w:szCs w:val="21"/>
            <w:lang w:val="en-US"/>
          </w:rPr>
          <w:t>sabelnikdenis</w:t>
        </w:r>
        <w:r w:rsidR="0077549E" w:rsidRPr="001C4C30">
          <w:rPr>
            <w:rStyle w:val="aa"/>
            <w:rFonts w:ascii="Times New Roman" w:eastAsia="Times New Roman" w:hAnsi="Times New Roman" w:cs="Times New Roman"/>
            <w:i/>
            <w:sz w:val="21"/>
            <w:szCs w:val="21"/>
          </w:rPr>
          <w:t>23@</w:t>
        </w:r>
        <w:r w:rsidR="0077549E" w:rsidRPr="001C4C30">
          <w:rPr>
            <w:rStyle w:val="aa"/>
            <w:rFonts w:ascii="Times New Roman" w:eastAsia="Times New Roman" w:hAnsi="Times New Roman" w:cs="Times New Roman"/>
            <w:i/>
            <w:sz w:val="21"/>
            <w:szCs w:val="21"/>
            <w:lang w:val="en-US"/>
          </w:rPr>
          <w:t>gmail</w:t>
        </w:r>
        <w:r w:rsidR="0077549E" w:rsidRPr="001C4C30">
          <w:rPr>
            <w:rStyle w:val="aa"/>
            <w:rFonts w:ascii="Times New Roman" w:eastAsia="Times New Roman" w:hAnsi="Times New Roman" w:cs="Times New Roman"/>
            <w:i/>
            <w:sz w:val="21"/>
            <w:szCs w:val="21"/>
          </w:rPr>
          <w:t>.</w:t>
        </w:r>
        <w:r w:rsidR="0077549E" w:rsidRPr="001C4C30">
          <w:rPr>
            <w:rStyle w:val="aa"/>
            <w:rFonts w:ascii="Times New Roman" w:eastAsia="Times New Roman" w:hAnsi="Times New Roman" w:cs="Times New Roman"/>
            <w:i/>
            <w:sz w:val="21"/>
            <w:szCs w:val="21"/>
            <w:lang w:val="en-US"/>
          </w:rPr>
          <w:t>com</w:t>
        </w:r>
      </w:hyperlink>
    </w:p>
    <w:p w14:paraId="7BBAC6A7"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92" w:after="0" w:line="240" w:lineRule="auto"/>
        <w:ind w:right="102" w:firstLine="567"/>
        <w:jc w:val="right"/>
        <w:rPr>
          <w:rFonts w:ascii="Times New Roman" w:eastAsia="Calibri" w:hAnsi="Times New Roman" w:cs="Times New Roman"/>
          <w:sz w:val="21"/>
          <w:szCs w:val="21"/>
        </w:rPr>
      </w:pPr>
      <w:r w:rsidRPr="001C4C30">
        <w:rPr>
          <w:rFonts w:ascii="Times New Roman" w:eastAsia="Times New Roman" w:hAnsi="Times New Roman" w:cs="Times New Roman"/>
          <w:b/>
          <w:i/>
          <w:color w:val="000000"/>
          <w:sz w:val="21"/>
          <w:szCs w:val="21"/>
        </w:rPr>
        <w:t>Научный руководитель:</w:t>
      </w:r>
    </w:p>
    <w:p w14:paraId="4763EB21"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2" w:firstLine="567"/>
        <w:jc w:val="right"/>
        <w:rPr>
          <w:rFonts w:ascii="Times New Roman" w:eastAsia="Calibri" w:hAnsi="Times New Roman" w:cs="Times New Roman"/>
          <w:sz w:val="21"/>
          <w:szCs w:val="21"/>
        </w:rPr>
      </w:pPr>
      <w:r w:rsidRPr="001C4C30">
        <w:rPr>
          <w:rFonts w:ascii="Times New Roman" w:eastAsia="Times New Roman" w:hAnsi="Times New Roman" w:cs="Times New Roman"/>
          <w:b/>
          <w:i/>
          <w:color w:val="000000"/>
          <w:sz w:val="21"/>
          <w:szCs w:val="21"/>
        </w:rPr>
        <w:t>Молчан А.С.,</w:t>
      </w:r>
    </w:p>
    <w:p w14:paraId="5F403192" w14:textId="77777777" w:rsidR="001C4C30" w:rsidRPr="001C4C30" w:rsidRDefault="001C4C30" w:rsidP="00681CB7">
      <w:pPr>
        <w:pBdr>
          <w:top w:val="none" w:sz="4" w:space="0" w:color="000000"/>
          <w:left w:val="none" w:sz="4" w:space="0" w:color="000000"/>
          <w:bottom w:val="none" w:sz="4" w:space="0" w:color="000000"/>
          <w:right w:val="none" w:sz="4" w:space="0" w:color="000000"/>
        </w:pBdr>
        <w:tabs>
          <w:tab w:val="left" w:pos="5386"/>
        </w:tabs>
        <w:spacing w:after="0" w:line="240" w:lineRule="auto"/>
        <w:ind w:right="102" w:firstLine="567"/>
        <w:jc w:val="right"/>
        <w:rPr>
          <w:rFonts w:ascii="Times New Roman" w:eastAsia="Calibri" w:hAnsi="Times New Roman" w:cs="Times New Roman"/>
          <w:i/>
          <w:iCs/>
          <w:sz w:val="21"/>
          <w:szCs w:val="21"/>
        </w:rPr>
      </w:pPr>
      <w:r w:rsidRPr="001C4C30">
        <w:rPr>
          <w:rFonts w:ascii="Times New Roman" w:eastAsia="Calibri" w:hAnsi="Times New Roman" w:cs="Times New Roman"/>
          <w:i/>
          <w:iCs/>
          <w:sz w:val="21"/>
          <w:szCs w:val="21"/>
        </w:rPr>
        <w:t>Доктор экономических наук, профессор</w:t>
      </w:r>
    </w:p>
    <w:p w14:paraId="5F2925B8" w14:textId="77777777" w:rsidR="001101DF" w:rsidRDefault="001101DF" w:rsidP="001101D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lastRenderedPageBreak/>
        <w:t xml:space="preserve">ФГОБУ ВО «Финансовый университет при Правительстве Российской Федерации» Краснодарский филиал </w:t>
      </w:r>
    </w:p>
    <w:p w14:paraId="5BC1EB7C" w14:textId="77777777" w:rsidR="001C4C30" w:rsidRPr="001C4C30" w:rsidRDefault="001C4C30" w:rsidP="00681CB7">
      <w:pPr>
        <w:pBdr>
          <w:top w:val="none" w:sz="4" w:space="0" w:color="000000"/>
          <w:left w:val="none" w:sz="4" w:space="0" w:color="000000"/>
          <w:bottom w:val="none" w:sz="4" w:space="0" w:color="000000"/>
          <w:right w:val="none" w:sz="4" w:space="0" w:color="000000"/>
        </w:pBdr>
        <w:tabs>
          <w:tab w:val="left" w:pos="5386"/>
        </w:tabs>
        <w:spacing w:after="0" w:line="240" w:lineRule="auto"/>
        <w:ind w:right="102" w:firstLine="567"/>
        <w:jc w:val="right"/>
        <w:rPr>
          <w:rFonts w:ascii="Times New Roman" w:eastAsia="Calibri" w:hAnsi="Times New Roman" w:cs="Times New Roman"/>
          <w:i/>
          <w:iCs/>
          <w:sz w:val="21"/>
          <w:szCs w:val="21"/>
        </w:rPr>
      </w:pPr>
      <w:r w:rsidRPr="001C4C30">
        <w:rPr>
          <w:rFonts w:ascii="Times New Roman" w:eastAsia="Calibri" w:hAnsi="Times New Roman" w:cs="Times New Roman"/>
          <w:i/>
          <w:iCs/>
          <w:sz w:val="21"/>
          <w:szCs w:val="21"/>
        </w:rPr>
        <w:t>г. Краснодар, Россия</w:t>
      </w:r>
    </w:p>
    <w:p w14:paraId="3973E3FE" w14:textId="77777777" w:rsidR="001C4C30" w:rsidRPr="001C4C30" w:rsidRDefault="001C4C30" w:rsidP="00681CB7">
      <w:pPr>
        <w:pBdr>
          <w:top w:val="none" w:sz="4" w:space="0" w:color="000000"/>
          <w:left w:val="none" w:sz="4" w:space="0" w:color="000000"/>
          <w:bottom w:val="none" w:sz="4" w:space="0" w:color="000000"/>
          <w:right w:val="none" w:sz="4" w:space="0" w:color="000000"/>
        </w:pBdr>
        <w:tabs>
          <w:tab w:val="left" w:pos="5386"/>
        </w:tabs>
        <w:spacing w:after="0" w:line="240" w:lineRule="auto"/>
        <w:ind w:right="102" w:firstLine="567"/>
        <w:jc w:val="right"/>
        <w:rPr>
          <w:rFonts w:ascii="Times New Roman" w:eastAsia="Calibri" w:hAnsi="Times New Roman" w:cs="Times New Roman"/>
          <w:i/>
          <w:iCs/>
          <w:sz w:val="21"/>
          <w:szCs w:val="21"/>
        </w:rPr>
      </w:pPr>
      <w:r w:rsidRPr="001C4C30">
        <w:rPr>
          <w:rFonts w:ascii="Times New Roman" w:eastAsia="Calibri" w:hAnsi="Times New Roman" w:cs="Times New Roman"/>
          <w:i/>
          <w:iCs/>
          <w:sz w:val="21"/>
          <w:szCs w:val="21"/>
          <w:lang w:val="en-US"/>
        </w:rPr>
        <w:t>e</w:t>
      </w:r>
      <w:r w:rsidRPr="001C4C30">
        <w:rPr>
          <w:rFonts w:ascii="Times New Roman" w:eastAsia="Calibri" w:hAnsi="Times New Roman" w:cs="Times New Roman"/>
          <w:i/>
          <w:iCs/>
          <w:sz w:val="21"/>
          <w:szCs w:val="21"/>
        </w:rPr>
        <w:t>-</w:t>
      </w:r>
      <w:r w:rsidRPr="001C4C30">
        <w:rPr>
          <w:rFonts w:ascii="Times New Roman" w:eastAsia="Calibri" w:hAnsi="Times New Roman" w:cs="Times New Roman"/>
          <w:i/>
          <w:iCs/>
          <w:sz w:val="21"/>
          <w:szCs w:val="21"/>
          <w:lang w:val="en-US"/>
        </w:rPr>
        <w:t>mail</w:t>
      </w:r>
      <w:r w:rsidRPr="001C4C30">
        <w:rPr>
          <w:rFonts w:ascii="Times New Roman" w:eastAsia="Calibri" w:hAnsi="Times New Roman" w:cs="Times New Roman"/>
          <w:i/>
          <w:iCs/>
          <w:sz w:val="21"/>
          <w:szCs w:val="21"/>
        </w:rPr>
        <w:t>: ALSMolchan@fa.ru</w:t>
      </w:r>
    </w:p>
    <w:p w14:paraId="5C537820" w14:textId="77777777" w:rsidR="0077549E" w:rsidRDefault="0077549E" w:rsidP="00681CB7">
      <w:pPr>
        <w:spacing w:line="240" w:lineRule="auto"/>
        <w:ind w:firstLine="567"/>
        <w:jc w:val="center"/>
        <w:rPr>
          <w:rFonts w:ascii="Times New Roman" w:eastAsia="Calibri" w:hAnsi="Times New Roman" w:cs="Times New Roman"/>
          <w:b/>
          <w:bCs/>
          <w:sz w:val="21"/>
          <w:szCs w:val="21"/>
        </w:rPr>
      </w:pPr>
    </w:p>
    <w:p w14:paraId="115304DA" w14:textId="2B75ABFB" w:rsidR="001C4C30" w:rsidRPr="001C4C30" w:rsidRDefault="001C4C30" w:rsidP="00681CB7">
      <w:pPr>
        <w:spacing w:line="240" w:lineRule="auto"/>
        <w:ind w:firstLine="567"/>
        <w:jc w:val="center"/>
        <w:rPr>
          <w:rFonts w:ascii="Times New Roman" w:eastAsia="Calibri" w:hAnsi="Times New Roman" w:cs="Times New Roman"/>
          <w:b/>
          <w:bCs/>
          <w:sz w:val="21"/>
          <w:szCs w:val="21"/>
        </w:rPr>
      </w:pPr>
      <w:r w:rsidRPr="001C4C30">
        <w:rPr>
          <w:rFonts w:ascii="Times New Roman" w:eastAsia="Calibri" w:hAnsi="Times New Roman" w:cs="Times New Roman"/>
          <w:b/>
          <w:bCs/>
          <w:sz w:val="21"/>
          <w:szCs w:val="21"/>
        </w:rPr>
        <w:t>Анализ рисков обеспечения информационной безопасности при обмене данными между государственными структурами</w:t>
      </w:r>
    </w:p>
    <w:p w14:paraId="38EDE7E0"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after="0" w:line="240" w:lineRule="auto"/>
        <w:ind w:left="108" w:right="102" w:firstLine="567"/>
        <w:jc w:val="both"/>
        <w:rPr>
          <w:rFonts w:ascii="Times New Roman" w:eastAsia="Times New Roman" w:hAnsi="Times New Roman" w:cs="Times New Roman"/>
          <w:color w:val="000000"/>
          <w:sz w:val="21"/>
          <w:szCs w:val="21"/>
        </w:rPr>
      </w:pPr>
      <w:r w:rsidRPr="001C4C30">
        <w:rPr>
          <w:rFonts w:ascii="Times New Roman" w:eastAsia="Times New Roman" w:hAnsi="Times New Roman" w:cs="Times New Roman"/>
          <w:b/>
          <w:color w:val="000000"/>
          <w:sz w:val="21"/>
          <w:szCs w:val="21"/>
        </w:rPr>
        <w:t xml:space="preserve">Аннотация: </w:t>
      </w:r>
      <w:r w:rsidRPr="001C4C30">
        <w:rPr>
          <w:rFonts w:ascii="Times New Roman" w:eastAsia="Calibri" w:hAnsi="Times New Roman" w:cs="Times New Roman"/>
          <w:sz w:val="21"/>
          <w:szCs w:val="21"/>
        </w:rPr>
        <w:t>В статье рассматриваются вопросы обеспечения информационной безопасности в процессе информационного взаимодействия между различными субъектами. Особое внимание уделяется правовым и технологическим аспектам защиты информации в соответствии с российским законодательством. Предложены пути совершенствования систем безопасности при межведомственном и межорганизационном обмене данными.</w:t>
      </w:r>
    </w:p>
    <w:p w14:paraId="19E55D8F" w14:textId="77777777" w:rsidR="001C4C30" w:rsidRPr="001C4C30" w:rsidRDefault="001C4C30" w:rsidP="00681CB7">
      <w:pPr>
        <w:spacing w:line="240" w:lineRule="auto"/>
        <w:ind w:firstLine="567"/>
        <w:jc w:val="both"/>
        <w:rPr>
          <w:rFonts w:ascii="Times New Roman" w:eastAsia="Calibri" w:hAnsi="Times New Roman" w:cs="Times New Roman"/>
          <w:sz w:val="21"/>
          <w:szCs w:val="21"/>
        </w:rPr>
      </w:pPr>
      <w:r w:rsidRPr="001C4C30">
        <w:rPr>
          <w:rFonts w:ascii="Times New Roman" w:eastAsia="Times New Roman" w:hAnsi="Times New Roman" w:cs="Times New Roman"/>
          <w:b/>
          <w:color w:val="000000"/>
          <w:sz w:val="21"/>
          <w:szCs w:val="21"/>
        </w:rPr>
        <w:t>Ключевые слова</w:t>
      </w:r>
      <w:r w:rsidRPr="001C4C30">
        <w:rPr>
          <w:rFonts w:ascii="Times New Roman" w:eastAsia="Calibri" w:hAnsi="Times New Roman" w:cs="Times New Roman"/>
          <w:sz w:val="21"/>
          <w:szCs w:val="21"/>
        </w:rPr>
        <w:t>: информационная безопасность, информационное взаимодействие, защита информации, кибербезопасность, государственные информационные системы, стандарты безопасности, утечка данных.</w:t>
      </w:r>
    </w:p>
    <w:p w14:paraId="18896258"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b/>
          <w:bCs/>
          <w:i/>
          <w:iCs/>
          <w:color w:val="000000"/>
          <w:sz w:val="21"/>
          <w:szCs w:val="21"/>
          <w:lang w:val="en-US"/>
        </w:rPr>
      </w:pPr>
      <w:r w:rsidRPr="001C4C30">
        <w:rPr>
          <w:rFonts w:ascii="Times New Roman" w:eastAsia="Times New Roman" w:hAnsi="Times New Roman" w:cs="Times New Roman"/>
          <w:b/>
          <w:bCs/>
          <w:i/>
          <w:iCs/>
          <w:color w:val="000000"/>
          <w:sz w:val="21"/>
          <w:szCs w:val="21"/>
          <w:lang w:val="en-US"/>
        </w:rPr>
        <w:t>Shabelnik D.D.,</w:t>
      </w:r>
    </w:p>
    <w:p w14:paraId="698E968B"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1st year student,</w:t>
      </w:r>
    </w:p>
    <w:p w14:paraId="1E3244C4"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Krasnodar Branch of the Financial University under the Government of the Russian Federation</w:t>
      </w:r>
    </w:p>
    <w:p w14:paraId="0984C6C2"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Krasnodar, Russia</w:t>
      </w:r>
    </w:p>
    <w:p w14:paraId="45C9B2C1" w14:textId="163C155E" w:rsidR="001C4C30" w:rsidRPr="00656AA8"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 xml:space="preserve">                                   e-mail: </w:t>
      </w:r>
      <w:hyperlink r:id="rId561" w:history="1">
        <w:r w:rsidR="001101DF" w:rsidRPr="001C4C30">
          <w:rPr>
            <w:rStyle w:val="aa"/>
            <w:rFonts w:ascii="Times New Roman" w:eastAsia="Times New Roman" w:hAnsi="Times New Roman" w:cs="Times New Roman"/>
            <w:i/>
            <w:iCs/>
            <w:sz w:val="21"/>
            <w:szCs w:val="21"/>
            <w:lang w:val="en-US"/>
          </w:rPr>
          <w:t>sabelnikdenis23@gmail.com</w:t>
        </w:r>
      </w:hyperlink>
    </w:p>
    <w:p w14:paraId="362121AE" w14:textId="77777777" w:rsidR="001101DF" w:rsidRPr="00656AA8" w:rsidRDefault="001101DF"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p>
    <w:p w14:paraId="65DB6B61"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b/>
          <w:bCs/>
          <w:i/>
          <w:iCs/>
          <w:color w:val="000000"/>
          <w:sz w:val="21"/>
          <w:szCs w:val="21"/>
          <w:lang w:val="en-US"/>
        </w:rPr>
      </w:pPr>
      <w:r w:rsidRPr="001C4C30">
        <w:rPr>
          <w:rFonts w:ascii="Times New Roman" w:eastAsia="Times New Roman" w:hAnsi="Times New Roman" w:cs="Times New Roman"/>
          <w:b/>
          <w:bCs/>
          <w:i/>
          <w:iCs/>
          <w:color w:val="000000"/>
          <w:sz w:val="21"/>
          <w:szCs w:val="21"/>
          <w:lang w:val="en-US"/>
        </w:rPr>
        <w:t>Scientific supervisor:</w:t>
      </w:r>
    </w:p>
    <w:p w14:paraId="2DB35D34"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b/>
          <w:bCs/>
          <w:i/>
          <w:iCs/>
          <w:color w:val="000000"/>
          <w:sz w:val="21"/>
          <w:szCs w:val="21"/>
          <w:lang w:val="en-US"/>
        </w:rPr>
      </w:pPr>
      <w:r w:rsidRPr="001C4C30">
        <w:rPr>
          <w:rFonts w:ascii="Times New Roman" w:eastAsia="Times New Roman" w:hAnsi="Times New Roman" w:cs="Times New Roman"/>
          <w:b/>
          <w:bCs/>
          <w:i/>
          <w:iCs/>
          <w:color w:val="000000"/>
          <w:sz w:val="21"/>
          <w:szCs w:val="21"/>
          <w:lang w:val="en-US"/>
        </w:rPr>
        <w:t>Molchan A.S.,</w:t>
      </w:r>
    </w:p>
    <w:p w14:paraId="550B5C1F"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Doctor of Economics, Professor,</w:t>
      </w:r>
    </w:p>
    <w:p w14:paraId="2FD9EF00"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Russian Federation (Krasnodar branch)</w:t>
      </w:r>
    </w:p>
    <w:p w14:paraId="56B28F64"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Krasnodar, Russia</w:t>
      </w:r>
    </w:p>
    <w:p w14:paraId="1B33D89B"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r w:rsidRPr="001C4C30">
        <w:rPr>
          <w:rFonts w:ascii="Times New Roman" w:eastAsia="Times New Roman" w:hAnsi="Times New Roman" w:cs="Times New Roman"/>
          <w:i/>
          <w:iCs/>
          <w:color w:val="000000"/>
          <w:sz w:val="21"/>
          <w:szCs w:val="21"/>
          <w:lang w:val="en-US"/>
        </w:rPr>
        <w:t xml:space="preserve"> e-mail: AlSMolchan@fa.ru</w:t>
      </w:r>
    </w:p>
    <w:p w14:paraId="2F096DA7"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p>
    <w:p w14:paraId="43D925D1"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center"/>
        <w:rPr>
          <w:rFonts w:ascii="Times New Roman" w:eastAsia="Times New Roman" w:hAnsi="Times New Roman" w:cs="Times New Roman"/>
          <w:b/>
          <w:bCs/>
          <w:color w:val="000000"/>
          <w:sz w:val="21"/>
          <w:szCs w:val="21"/>
          <w:lang w:val="en-US"/>
        </w:rPr>
      </w:pPr>
      <w:r w:rsidRPr="001C4C30">
        <w:rPr>
          <w:rFonts w:ascii="Times New Roman" w:eastAsia="Times New Roman" w:hAnsi="Times New Roman" w:cs="Times New Roman"/>
          <w:b/>
          <w:bCs/>
          <w:color w:val="000000"/>
          <w:sz w:val="21"/>
          <w:szCs w:val="21"/>
          <w:lang w:val="en-US"/>
        </w:rPr>
        <w:t>Analysis of information security risks in data exchange between government agencies</w:t>
      </w:r>
    </w:p>
    <w:p w14:paraId="7C8C9C89"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right"/>
        <w:rPr>
          <w:rFonts w:ascii="Times New Roman" w:eastAsia="Times New Roman" w:hAnsi="Times New Roman" w:cs="Times New Roman"/>
          <w:i/>
          <w:iCs/>
          <w:color w:val="000000"/>
          <w:sz w:val="21"/>
          <w:szCs w:val="21"/>
          <w:lang w:val="en-US"/>
        </w:rPr>
      </w:pPr>
    </w:p>
    <w:p w14:paraId="395E3D44"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both"/>
        <w:rPr>
          <w:rFonts w:ascii="Times New Roman" w:eastAsia="Calibri" w:hAnsi="Times New Roman" w:cs="Times New Roman"/>
          <w:sz w:val="21"/>
          <w:szCs w:val="21"/>
          <w:lang w:val="en-US"/>
        </w:rPr>
      </w:pPr>
      <w:r w:rsidRPr="001C4C30">
        <w:rPr>
          <w:rFonts w:ascii="Times New Roman" w:eastAsia="Times New Roman" w:hAnsi="Times New Roman" w:cs="Times New Roman"/>
          <w:b/>
          <w:bCs/>
          <w:color w:val="000000"/>
          <w:sz w:val="21"/>
          <w:szCs w:val="21"/>
          <w:lang w:val="en-US"/>
        </w:rPr>
        <w:t>Abstract:</w:t>
      </w:r>
      <w:r w:rsidRPr="001C4C30">
        <w:rPr>
          <w:rFonts w:ascii="Times New Roman" w:eastAsia="Times New Roman" w:hAnsi="Times New Roman" w:cs="Times New Roman"/>
          <w:color w:val="000000"/>
          <w:sz w:val="21"/>
          <w:szCs w:val="21"/>
          <w:lang w:val="en-US"/>
        </w:rPr>
        <w:t xml:space="preserve"> </w:t>
      </w:r>
      <w:r w:rsidRPr="001C4C30">
        <w:rPr>
          <w:rFonts w:ascii="Times New Roman" w:eastAsia="Calibri" w:hAnsi="Times New Roman" w:cs="Times New Roman"/>
          <w:sz w:val="21"/>
          <w:szCs w:val="21"/>
          <w:lang w:val="en-US"/>
        </w:rPr>
        <w:t>The article discusses the issues of ensuring information security in the process of information interaction between various entities. Special attention is paid to the legal and technological aspects of information protection in accordance with Russian legislation. Ways to improve security systems for interdepartmental and interorganizational data exchange are proposed.</w:t>
      </w:r>
    </w:p>
    <w:p w14:paraId="7B0F5AB0" w14:textId="77777777" w:rsidR="001C4C30" w:rsidRPr="001C4C30" w:rsidRDefault="001C4C30" w:rsidP="00681CB7">
      <w:pPr>
        <w:pBdr>
          <w:top w:val="none" w:sz="4" w:space="0" w:color="000000"/>
          <w:left w:val="none" w:sz="4" w:space="0" w:color="000000"/>
          <w:bottom w:val="none" w:sz="4" w:space="0" w:color="000000"/>
          <w:right w:val="none" w:sz="4" w:space="0" w:color="000000"/>
        </w:pBdr>
        <w:spacing w:before="1" w:after="0" w:line="240" w:lineRule="auto"/>
        <w:ind w:right="104" w:firstLine="567"/>
        <w:jc w:val="both"/>
        <w:rPr>
          <w:rFonts w:ascii="Times New Roman" w:eastAsia="Calibri" w:hAnsi="Times New Roman" w:cs="Times New Roman"/>
          <w:sz w:val="21"/>
          <w:szCs w:val="21"/>
          <w:lang w:val="en-US"/>
        </w:rPr>
      </w:pPr>
      <w:r w:rsidRPr="001C4C30">
        <w:rPr>
          <w:rFonts w:ascii="Times New Roman" w:eastAsia="Calibri" w:hAnsi="Times New Roman" w:cs="Times New Roman"/>
          <w:b/>
          <w:bCs/>
          <w:sz w:val="21"/>
          <w:szCs w:val="21"/>
          <w:lang w:val="en-US"/>
        </w:rPr>
        <w:t>Keywords:</w:t>
      </w:r>
      <w:r w:rsidRPr="001C4C30">
        <w:rPr>
          <w:rFonts w:ascii="Times New Roman" w:eastAsia="Calibri" w:hAnsi="Times New Roman" w:cs="Times New Roman"/>
          <w:sz w:val="21"/>
          <w:szCs w:val="21"/>
          <w:lang w:val="en-US"/>
        </w:rPr>
        <w:t xml:space="preserve"> information security, information interaction, information protection, cybersecurity, government information systems, security standards, data leakage.</w:t>
      </w:r>
    </w:p>
    <w:p w14:paraId="17EFCBEC" w14:textId="77777777" w:rsidR="001C4C30" w:rsidRPr="001C4C30" w:rsidRDefault="001C4C30" w:rsidP="001C4C30">
      <w:pPr>
        <w:spacing w:line="240" w:lineRule="auto"/>
        <w:ind w:firstLine="567"/>
        <w:jc w:val="both"/>
        <w:rPr>
          <w:rFonts w:ascii="Times New Roman" w:eastAsia="Calibri" w:hAnsi="Times New Roman" w:cs="Times New Roman"/>
          <w:b/>
          <w:bCs/>
          <w:sz w:val="32"/>
          <w:szCs w:val="32"/>
          <w:lang w:val="en-US"/>
        </w:rPr>
      </w:pPr>
    </w:p>
    <w:p w14:paraId="656EC964"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В современном цифровом обществе обеспечение информационной безопасности становится ключевым элементом устойчивого развития государственных, коммерческих и общественных институтов. С развитием цифровых технологий и увеличением объёмов обмена данными между различными участниками информационного пространства возрастает значимость вопросов защиты информации. Особое значение приобретает проблема обеспечения безопасности при информационном взаимодействии, поскольку оно затрагивает интересы как отдельных организаций, так и государства в целом.</w:t>
      </w:r>
    </w:p>
    <w:p w14:paraId="6630E50E"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 xml:space="preserve">Целью данной работы является изучение особенностей информационного взаимодействия и выявление основных проблем </w:t>
      </w:r>
      <w:r w:rsidRPr="001C4C30">
        <w:rPr>
          <w:rFonts w:ascii="Times New Roman" w:eastAsia="Calibri" w:hAnsi="Times New Roman" w:cs="Times New Roman"/>
          <w:sz w:val="32"/>
          <w:szCs w:val="32"/>
        </w:rPr>
        <w:lastRenderedPageBreak/>
        <w:t>обеспечения информационной безопасности в условиях межорганизационного и межведомственного обмена данными.</w:t>
      </w:r>
    </w:p>
    <w:p w14:paraId="7CD0413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Для достижения цели были поставлены следующие задачи:</w:t>
      </w:r>
    </w:p>
    <w:p w14:paraId="5C62FA34"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рассмотреть теоретические основы понятия «информационная безопасность»;</w:t>
      </w:r>
    </w:p>
    <w:p w14:paraId="5C257647"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проанализировать формы и особенности информационного взаимодействия;</w:t>
      </w:r>
    </w:p>
    <w:p w14:paraId="24377662"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выявить ключевые риски и угрозы при обмене информацией;</w:t>
      </w:r>
    </w:p>
    <w:p w14:paraId="7EC5595A"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изучить нормативно-правовые и технологические меры обеспечения безопасности;</w:t>
      </w:r>
    </w:p>
    <w:p w14:paraId="7401C40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предложить направления совершенствования систем информационной безопасности.</w:t>
      </w:r>
    </w:p>
    <w:p w14:paraId="02CA6E4E"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Методологическую основу исследования составили анализ законодательных актов Российской Федерации, аналитических материалов, учебной литературы и практики реализации систем информационной безопасности.</w:t>
      </w:r>
    </w:p>
    <w:p w14:paraId="2AF66281"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Объектом исследования являются процессы информационного взаимодействия в различных сферах. Предметом — механизмы обеспечения информационной безопасности в процессе такого взаимодействия.</w:t>
      </w:r>
    </w:p>
    <w:p w14:paraId="7BA7B381"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Согласно Федеральному закону № 149-ФЗ «Об информации, информационных технологиях и о защите информации», информационная безопасность — это состояние защищённости информационной среды, обеспечивающее её функционирование, защиту информации от неправомерного использования и несанкционированного изменения [1].</w:t>
      </w:r>
    </w:p>
    <w:p w14:paraId="6B9E4C7A"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Основными принципами информационной безопасности являются:</w:t>
      </w:r>
    </w:p>
    <w:p w14:paraId="32E8E4D3"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Конфиденциальность – доступ к информации имеют только авторизованные лица;</w:t>
      </w:r>
    </w:p>
    <w:p w14:paraId="2B9F39E9"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Целостность – информация должна быть точной и полной;</w:t>
      </w:r>
    </w:p>
    <w:p w14:paraId="167D6F85"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Доступность – информация должна быть доступна при необходимости.</w:t>
      </w:r>
    </w:p>
    <w:p w14:paraId="652C0CEB"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Эти три компонента составляют основу модели CIA-триады, которая широко используется в практике обеспечения информационной безопасности.</w:t>
      </w:r>
    </w:p>
    <w:p w14:paraId="65F877C6"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Угрозы информационной безопасности подразделяются на технические, программные, организационные и правовые. Основными мерами противодействия являются использование программно-</w:t>
      </w:r>
      <w:r w:rsidRPr="001C4C30">
        <w:rPr>
          <w:rFonts w:ascii="Times New Roman" w:eastAsia="Calibri" w:hAnsi="Times New Roman" w:cs="Times New Roman"/>
          <w:sz w:val="32"/>
          <w:szCs w:val="32"/>
        </w:rPr>
        <w:lastRenderedPageBreak/>
        <w:t>аппаратных средств защиты, разработка политик безопасности, обучение персонала и соблюдение требований законодательства.</w:t>
      </w:r>
    </w:p>
    <w:p w14:paraId="0817D00F" w14:textId="77777777" w:rsidR="001C4C30" w:rsidRPr="001C4C30" w:rsidRDefault="00132A69" w:rsidP="0077549E">
      <w:pPr>
        <w:spacing w:after="0" w:line="240" w:lineRule="auto"/>
        <w:ind w:firstLine="709"/>
        <w:jc w:val="both"/>
        <w:rPr>
          <w:rFonts w:ascii="Times New Roman" w:eastAsia="Calibri" w:hAnsi="Times New Roman" w:cs="Times New Roman"/>
          <w:sz w:val="32"/>
          <w:szCs w:val="32"/>
        </w:rPr>
      </w:pPr>
      <w:r>
        <w:rPr>
          <w:rFonts w:ascii="Times New Roman" w:eastAsia="Calibri" w:hAnsi="Times New Roman" w:cs="Times New Roman"/>
          <w:sz w:val="32"/>
          <w:szCs w:val="32"/>
        </w:rPr>
        <w:pict w14:anchorId="45AA11E2">
          <v:rect id="_x0000_i1025" style="width:0;height:0" o:hralign="center" o:hrstd="t" o:hrnoshade="t" o:hr="t" fillcolor="#fafafc" stroked="f"/>
        </w:pict>
      </w:r>
    </w:p>
    <w:p w14:paraId="14957CDC"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Под информационным взаимодействием понимается процесс обмена информацией между субъектами информационной среды с целью выполнения определённых задач или достижения общих целей. Такой обмен может осуществляться внутри одной организации, между организациями, а также между государственными структурами и гражданами.</w:t>
      </w:r>
    </w:p>
    <w:p w14:paraId="45E3BA3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Согласно Концепции информационного взаимодействия в сфере государственного управления Российской Федерации, одним из важнейших направлений развития государственной политики является обеспечение эффективного и безопасного обмена информацией между государственными органами, юридическими и физическими лицами [2].</w:t>
      </w:r>
    </w:p>
    <w:p w14:paraId="4C6CD0D0"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Формы информационного взаимодействия включают:</w:t>
      </w:r>
    </w:p>
    <w:p w14:paraId="059391C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передачу электронных документов;</w:t>
      </w:r>
    </w:p>
    <w:p w14:paraId="094D684D"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использование единой системы электронного документооборота;</w:t>
      </w:r>
    </w:p>
    <w:p w14:paraId="79A70AFD"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интеграцию информационных систем через API;</w:t>
      </w:r>
    </w:p>
    <w:p w14:paraId="185D94E2"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применение облачных решений и платформ совместной работы.</w:t>
      </w:r>
    </w:p>
    <w:p w14:paraId="59255713"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Особое значение приобретает информационное взаимодействие в рамках реализации проектов цифрового правительства, где требуется обеспечить высокий уровень защиты данных при их обработке и передаче.</w:t>
      </w:r>
    </w:p>
    <w:p w14:paraId="3F3F47E4"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Одной из главных проблем является наличие уязвимостей в процессе передачи информации между различными системами и участниками. По данным ФСТЭК России, большинство инцидентов связано с недостаточным уровнем защиты при межсистемном взаимодействии [3].</w:t>
      </w:r>
    </w:p>
    <w:p w14:paraId="79B5CB8B"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К числу наиболее распространённых проблем относятся:</w:t>
      </w:r>
    </w:p>
    <w:p w14:paraId="4E4E8BE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риск утечки персональных и конфиденциальных данных;</w:t>
      </w:r>
    </w:p>
    <w:p w14:paraId="365A193A"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несовместимость стандартов безопасности в разных информационных системах;</w:t>
      </w:r>
    </w:p>
    <w:p w14:paraId="398686A9"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недостаточный уровень квалификации сотрудников;</w:t>
      </w:r>
    </w:p>
    <w:p w14:paraId="78E8CAE5"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отсутствие единых требований к защите информации в многостороннем взаимодействии;</w:t>
      </w:r>
    </w:p>
    <w:p w14:paraId="15BCBAAA"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нарушение целостности данных вследствие сбоев или злонамеренного вмешательства.</w:t>
      </w:r>
    </w:p>
    <w:p w14:paraId="0451CED3"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lastRenderedPageBreak/>
        <w:t>Важную роль играет и человеческий фактор. Например, слабые пароли, несанкционированный доступ к информации, ошибки при работе с данными могут серьёзно повлиять на уровень безопасности даже в хорошо защищённой системе.</w:t>
      </w:r>
    </w:p>
    <w:p w14:paraId="072D083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Для минимизации рисков в процессе информационного взаимодействия применяются различные технологии и подходы, рекомендованные Министерством цифрового развития Российской Федерации и Федеральной службой по техническому и экспортному контролю:</w:t>
      </w:r>
    </w:p>
    <w:p w14:paraId="65A201F2"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Шифрование данных — один из ключевых механизмов обеспечения конфиденциальности. Использование алгоритмов ГОСТ Р 34.10-2012 и ГОСТ Р 34.12-2015 позволяет обеспечить высокий уровень защиты информации.</w:t>
      </w:r>
    </w:p>
    <w:p w14:paraId="13318F70"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Многофакторная аутентификация – позволяет повысить уровень доверия к пользователям.</w:t>
      </w:r>
    </w:p>
    <w:p w14:paraId="6F586C17"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Системы обнаружения и предотвращения вторжений (IDS/IPS) помогают выявлять и блокировать подозрительную активность.</w:t>
      </w:r>
    </w:p>
    <w:p w14:paraId="2E37953C"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Платформы управления доступом (IAM) позволяют контролировать права пользователей и отслеживать действия внутри системы.</w:t>
      </w:r>
    </w:p>
    <w:p w14:paraId="2564E169"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Также большое внимание уделяется стандартизации. В России действует ряд документов, регламентирующих вопросы информационной безопасности, в том числе:</w:t>
      </w:r>
    </w:p>
    <w:p w14:paraId="2A283EFB"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ГОСТ Р ИСО/МЭК 15443-1-2011 — модель обеспечения безопасности информационных технологий;</w:t>
      </w:r>
    </w:p>
    <w:p w14:paraId="6504E1B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ГОСТ Р 57580.1-2017 — стандарты по защите информации в государственных информационных системах.</w:t>
      </w:r>
    </w:p>
    <w:p w14:paraId="6EE81461"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Правовое регулирование информационной безопасности в Российской Федерации осуществляется рядом федеральных законов, указов Президента, постановлений Правительства и ведомственных документов.</w:t>
      </w:r>
    </w:p>
    <w:p w14:paraId="5862D2E9"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Ключевыми нормативными актами являются:</w:t>
      </w:r>
    </w:p>
    <w:p w14:paraId="6242104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Федеральный закон №149-ФЗ «Об информации, информационных технологиях и о защите информации»;</w:t>
      </w:r>
    </w:p>
    <w:p w14:paraId="1B77799E"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Федеральный закон №152-ФЗ «О персональных данных»;</w:t>
      </w:r>
    </w:p>
    <w:p w14:paraId="5181659C"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Постановление Правительства РФ №1119 от 01.11.2010 г. — утверждены правила обработки персональных данных;</w:t>
      </w:r>
    </w:p>
    <w:p w14:paraId="6C23E8E3"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Указ Президента РФ №187 от 16.01.1999 г. — положение о защите государственной тайны.</w:t>
      </w:r>
    </w:p>
    <w:p w14:paraId="38AA36CA"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lastRenderedPageBreak/>
        <w:t>Ответственность за нарушение требований информационной безопасности предусмотрена в административной и уголовной формах. Например, статья 13.11 КоАП РФ предусматривает ответственность за нарушение порядка предоставления информации, а статья 272 УК РФ — за неправомерный доступ к компьютерной информации.</w:t>
      </w:r>
    </w:p>
    <w:p w14:paraId="506C15E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Примером успешного обеспечения информационной безопасности в сфере межведомственного взаимодействия является реализация Единой системы идентификации и аутентификации (ЕСИА), используемой в системе государственных услуг (портал Gosuslugi.ru). Эта система обеспечивает надёжную защиту данных граждан и ограничивает доступ к личной информации.</w:t>
      </w:r>
    </w:p>
    <w:p w14:paraId="5D9241C5"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Напротив, примером крупного инцидента стал взлом системы «ЕГАИС» в 2020 году, в результате которого были получены данные о продажах алкогольной продукции. Это событие показало, что даже в хорошо защищённых системах могут быть уязвимости, особенно если не соблюдаются требования к управлению доступом и мониторингу активности.</w:t>
      </w:r>
    </w:p>
    <w:p w14:paraId="3915DDC9"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 учётом современных тенденций и растущего числа киберугроз необходимо дальнейшее развитие систем информационной безопасности. Основные направления совершенствования включают:</w:t>
      </w:r>
    </w:p>
    <w:p w14:paraId="16EA2B2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Создание унифицированных стандартов обмена данными между организациями и государственными структурами.</w:t>
      </w:r>
    </w:p>
    <w:p w14:paraId="30866DC8"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Повышение уровня цифровой грамотности сотрудников и проведение регулярного обучения по вопросам информационной безопасности.</w:t>
      </w:r>
    </w:p>
    <w:p w14:paraId="302E59BD"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Интеграция технологий искусственного интеллекта и машинного обучения в системы обнаружения аномалий и автоматического реагирования.</w:t>
      </w:r>
    </w:p>
    <w:p w14:paraId="7D357775"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Развитие систем централизованного мониторинга и реагирования на инциденты (SOC — Центр управления безопасностью).</w:t>
      </w:r>
    </w:p>
    <w:p w14:paraId="0734AE81"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Создание межведомственных механизмов координации в области кибербезопасности.</w:t>
      </w:r>
    </w:p>
    <w:p w14:paraId="0B174D07" w14:textId="77777777" w:rsidR="001C4C30" w:rsidRPr="001C4C30" w:rsidRDefault="00132A69" w:rsidP="0077549E">
      <w:pPr>
        <w:spacing w:after="0" w:line="240" w:lineRule="auto"/>
        <w:ind w:firstLine="709"/>
        <w:jc w:val="both"/>
        <w:rPr>
          <w:rFonts w:ascii="Times New Roman" w:eastAsia="Calibri" w:hAnsi="Times New Roman" w:cs="Times New Roman"/>
          <w:sz w:val="32"/>
          <w:szCs w:val="32"/>
        </w:rPr>
      </w:pPr>
      <w:r>
        <w:rPr>
          <w:rFonts w:ascii="Times New Roman" w:eastAsia="Calibri" w:hAnsi="Times New Roman" w:cs="Times New Roman"/>
          <w:sz w:val="32"/>
          <w:szCs w:val="32"/>
        </w:rPr>
        <w:pict w14:anchorId="317560EC">
          <v:rect id="_x0000_i1026" style="width:0;height:0" o:hralign="center" o:hrstd="t" o:hrnoshade="t" o:hr="t" fillcolor="#fafafc" stroked="f"/>
        </w:pict>
      </w:r>
    </w:p>
    <w:p w14:paraId="17F2C7EF"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 xml:space="preserve">Информационная безопасность и информационное взаимодействие представляют собой тесно связанные и взаимозависимые процессы. Эффективное взаимодействие невозможно без надёжной системы защиты информации, равно как и </w:t>
      </w:r>
      <w:r w:rsidRPr="001C4C30">
        <w:rPr>
          <w:rFonts w:ascii="Times New Roman" w:eastAsia="Calibri" w:hAnsi="Times New Roman" w:cs="Times New Roman"/>
          <w:sz w:val="32"/>
          <w:szCs w:val="32"/>
        </w:rPr>
        <w:lastRenderedPageBreak/>
        <w:t>высокий уровень безопасности не может быть достигнут без чётко организованного обмена данными.</w:t>
      </w:r>
    </w:p>
    <w:p w14:paraId="57ECCCC0"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В условиях цифровизации и глобализации необходимо постоянное совершенствование технологических, организационных и правовых мер защиты информации. Это позволит не только снизить риски утечек и нарушений, но и повысить доверие между участниками информационного пространства, обеспечить устойчивое развитие цифровой экономики и государства.</w:t>
      </w:r>
    </w:p>
    <w:p w14:paraId="3277D30B" w14:textId="77777777" w:rsidR="001C4C30" w:rsidRPr="001C4C30" w:rsidRDefault="001C4C30" w:rsidP="0077549E">
      <w:pPr>
        <w:spacing w:after="0" w:line="240" w:lineRule="auto"/>
        <w:ind w:firstLine="709"/>
        <w:jc w:val="both"/>
        <w:rPr>
          <w:rFonts w:ascii="Times New Roman" w:eastAsia="Calibri" w:hAnsi="Times New Roman" w:cs="Times New Roman"/>
          <w:sz w:val="32"/>
          <w:szCs w:val="32"/>
        </w:rPr>
      </w:pPr>
      <w:r w:rsidRPr="001C4C30">
        <w:rPr>
          <w:rFonts w:ascii="Times New Roman" w:eastAsia="Calibri" w:hAnsi="Times New Roman" w:cs="Times New Roman"/>
          <w:sz w:val="32"/>
          <w:szCs w:val="32"/>
        </w:rPr>
        <w:t>Перспективы дальнейших исследований связаны с анализом влияния новых технологий (например, квантовых вычислений, искусственного интеллекта) на модели информационной безопасности, а также с разработкой универсальных стандартов межсистемного взаимодействия в условиях поликультурной и многополярной информационной среды.</w:t>
      </w:r>
    </w:p>
    <w:p w14:paraId="6E612FEE" w14:textId="77777777" w:rsidR="00C34A1D" w:rsidRDefault="00C34A1D" w:rsidP="00C34A1D">
      <w:pPr>
        <w:spacing w:line="240" w:lineRule="auto"/>
        <w:ind w:firstLine="567"/>
        <w:jc w:val="center"/>
        <w:rPr>
          <w:rFonts w:ascii="Times New Roman" w:eastAsia="Calibri" w:hAnsi="Times New Roman" w:cs="Times New Roman"/>
          <w:b/>
          <w:bCs/>
          <w:sz w:val="21"/>
          <w:szCs w:val="21"/>
        </w:rPr>
      </w:pPr>
    </w:p>
    <w:p w14:paraId="1815C936" w14:textId="59FD8842" w:rsidR="001C4C30" w:rsidRPr="001C4C30" w:rsidRDefault="00C34A1D" w:rsidP="00C34A1D">
      <w:pPr>
        <w:spacing w:after="0" w:line="240" w:lineRule="auto"/>
        <w:jc w:val="center"/>
        <w:rPr>
          <w:rFonts w:ascii="Times New Roman" w:eastAsia="Calibri" w:hAnsi="Times New Roman" w:cs="Times New Roman"/>
          <w:b/>
          <w:bCs/>
          <w:sz w:val="21"/>
          <w:szCs w:val="21"/>
        </w:rPr>
      </w:pPr>
      <w:r w:rsidRPr="00C34A1D">
        <w:rPr>
          <w:rFonts w:ascii="Times New Roman" w:eastAsia="Calibri" w:hAnsi="Times New Roman" w:cs="Times New Roman"/>
          <w:b/>
          <w:bCs/>
          <w:sz w:val="21"/>
          <w:szCs w:val="21"/>
        </w:rPr>
        <w:t>Литература:</w:t>
      </w:r>
    </w:p>
    <w:p w14:paraId="16D4ED05" w14:textId="77777777" w:rsidR="001C4C30" w:rsidRPr="001C4C30" w:rsidRDefault="001C4C30" w:rsidP="00AD58CD">
      <w:pPr>
        <w:numPr>
          <w:ilvl w:val="0"/>
          <w:numId w:val="120"/>
        </w:numPr>
        <w:spacing w:after="0" w:line="240" w:lineRule="auto"/>
        <w:ind w:left="284" w:hanging="284"/>
        <w:contextualSpacing/>
        <w:jc w:val="both"/>
        <w:rPr>
          <w:rFonts w:ascii="Times New Roman" w:eastAsia="Calibri" w:hAnsi="Times New Roman" w:cs="Times New Roman"/>
          <w:sz w:val="21"/>
          <w:szCs w:val="21"/>
        </w:rPr>
      </w:pPr>
      <w:r w:rsidRPr="001C4C30">
        <w:rPr>
          <w:rFonts w:ascii="Times New Roman" w:eastAsia="Calibri" w:hAnsi="Times New Roman" w:cs="Times New Roman"/>
          <w:sz w:val="21"/>
          <w:szCs w:val="21"/>
        </w:rPr>
        <w:t>Федеральный закон №149-ФЗ «Об информации, информационных технологиях и о защите информации» от 27.07.2006.</w:t>
      </w:r>
    </w:p>
    <w:p w14:paraId="0195887A" w14:textId="77777777" w:rsidR="001C4C30" w:rsidRPr="001C4C30" w:rsidRDefault="001C4C30" w:rsidP="00AD58CD">
      <w:pPr>
        <w:numPr>
          <w:ilvl w:val="0"/>
          <w:numId w:val="120"/>
        </w:numPr>
        <w:spacing w:after="0" w:line="240" w:lineRule="auto"/>
        <w:ind w:left="284" w:hanging="284"/>
        <w:contextualSpacing/>
        <w:jc w:val="both"/>
        <w:rPr>
          <w:rFonts w:ascii="Times New Roman" w:eastAsia="Calibri" w:hAnsi="Times New Roman" w:cs="Times New Roman"/>
          <w:sz w:val="21"/>
          <w:szCs w:val="21"/>
        </w:rPr>
      </w:pPr>
      <w:r w:rsidRPr="001C4C30">
        <w:rPr>
          <w:rFonts w:ascii="Times New Roman" w:eastAsia="Calibri" w:hAnsi="Times New Roman" w:cs="Times New Roman"/>
          <w:sz w:val="21"/>
          <w:szCs w:val="21"/>
        </w:rPr>
        <w:t>Федеральный закон №152-ФЗ «О персональных данных» от 27.07.2006.</w:t>
      </w:r>
    </w:p>
    <w:p w14:paraId="60A15183" w14:textId="77777777" w:rsidR="001C4C30" w:rsidRPr="001C4C30" w:rsidRDefault="001C4C30" w:rsidP="00AD58CD">
      <w:pPr>
        <w:numPr>
          <w:ilvl w:val="0"/>
          <w:numId w:val="120"/>
        </w:numPr>
        <w:spacing w:after="0" w:line="240" w:lineRule="auto"/>
        <w:ind w:left="284" w:hanging="284"/>
        <w:contextualSpacing/>
        <w:jc w:val="both"/>
        <w:rPr>
          <w:rFonts w:ascii="Times New Roman" w:eastAsia="Calibri" w:hAnsi="Times New Roman" w:cs="Times New Roman"/>
          <w:sz w:val="21"/>
          <w:szCs w:val="21"/>
        </w:rPr>
      </w:pPr>
      <w:r w:rsidRPr="001C4C30">
        <w:rPr>
          <w:rFonts w:ascii="Times New Roman" w:eastAsia="Calibri" w:hAnsi="Times New Roman" w:cs="Times New Roman"/>
          <w:sz w:val="21"/>
          <w:szCs w:val="21"/>
        </w:rPr>
        <w:t>Постановление Правительства РФ №1119 от 01.11.2010 «Об утверждении правил обработки персональных данных».</w:t>
      </w:r>
    </w:p>
    <w:p w14:paraId="27C0FA57" w14:textId="77777777" w:rsidR="001C4C30" w:rsidRPr="001C4C30" w:rsidRDefault="001C4C30" w:rsidP="00AD58CD">
      <w:pPr>
        <w:numPr>
          <w:ilvl w:val="0"/>
          <w:numId w:val="120"/>
        </w:numPr>
        <w:spacing w:after="0" w:line="240" w:lineRule="auto"/>
        <w:ind w:left="284" w:hanging="284"/>
        <w:contextualSpacing/>
        <w:jc w:val="both"/>
        <w:rPr>
          <w:rFonts w:ascii="Times New Roman" w:eastAsia="Calibri" w:hAnsi="Times New Roman" w:cs="Times New Roman"/>
          <w:sz w:val="21"/>
          <w:szCs w:val="21"/>
        </w:rPr>
      </w:pPr>
      <w:r w:rsidRPr="001C4C30">
        <w:rPr>
          <w:rFonts w:ascii="Times New Roman" w:eastAsia="Calibri" w:hAnsi="Times New Roman" w:cs="Times New Roman"/>
          <w:sz w:val="21"/>
          <w:szCs w:val="21"/>
        </w:rPr>
        <w:t>Указ Президента РФ № 187 от 16.01.1999 «О создании системы защиты государственной тайны в Российской Федерации».</w:t>
      </w:r>
    </w:p>
    <w:p w14:paraId="3150A230" w14:textId="77777777" w:rsidR="001C4C30" w:rsidRPr="001C4C30" w:rsidRDefault="001C4C30" w:rsidP="00AD58CD">
      <w:pPr>
        <w:numPr>
          <w:ilvl w:val="0"/>
          <w:numId w:val="120"/>
        </w:numPr>
        <w:spacing w:after="0" w:line="240" w:lineRule="auto"/>
        <w:ind w:left="284" w:hanging="284"/>
        <w:contextualSpacing/>
        <w:jc w:val="both"/>
        <w:rPr>
          <w:rFonts w:ascii="Times New Roman" w:eastAsia="Calibri" w:hAnsi="Times New Roman" w:cs="Times New Roman"/>
          <w:sz w:val="21"/>
          <w:szCs w:val="21"/>
        </w:rPr>
      </w:pPr>
      <w:r w:rsidRPr="001C4C30">
        <w:rPr>
          <w:rFonts w:ascii="Times New Roman" w:eastAsia="Calibri" w:hAnsi="Times New Roman" w:cs="Times New Roman"/>
          <w:sz w:val="21"/>
          <w:szCs w:val="21"/>
        </w:rPr>
        <w:t>Максимов Н.В., Хорошилова Т.Л. Информационная безопасность: учебник. – М.: Академия, 2019.</w:t>
      </w:r>
    </w:p>
    <w:p w14:paraId="7D6AE952" w14:textId="77777777" w:rsidR="001C4C30" w:rsidRPr="001C4C30" w:rsidRDefault="001C4C30" w:rsidP="001C4C30">
      <w:pPr>
        <w:pBdr>
          <w:top w:val="none" w:sz="4" w:space="0" w:color="000000"/>
          <w:left w:val="none" w:sz="4" w:space="0" w:color="000000"/>
          <w:bottom w:val="none" w:sz="4" w:space="0" w:color="000000"/>
          <w:right w:val="none" w:sz="4" w:space="0" w:color="000000"/>
        </w:pBdr>
        <w:spacing w:before="1" w:after="0" w:line="68" w:lineRule="atLeast"/>
        <w:ind w:right="104" w:firstLine="567"/>
        <w:jc w:val="right"/>
        <w:rPr>
          <w:rFonts w:ascii="Calibri" w:eastAsia="Calibri" w:hAnsi="Calibri" w:cs="Times New Roman"/>
        </w:rPr>
      </w:pPr>
    </w:p>
    <w:p w14:paraId="1BEFF00E" w14:textId="77777777" w:rsidR="006A4D6F" w:rsidRPr="002565D5" w:rsidRDefault="006A4D6F" w:rsidP="006A4D6F">
      <w:pPr>
        <w:spacing w:line="240" w:lineRule="auto"/>
        <w:jc w:val="both"/>
        <w:rPr>
          <w:rFonts w:ascii="Times New Roman" w:eastAsia="Calibri" w:hAnsi="Times New Roman" w:cs="Times New Roman"/>
          <w:sz w:val="21"/>
          <w:szCs w:val="21"/>
        </w:rPr>
      </w:pPr>
    </w:p>
    <w:p w14:paraId="5B7A113A" w14:textId="77777777" w:rsidR="00BD1126" w:rsidRPr="002565D5" w:rsidRDefault="00BD1126" w:rsidP="00BD1126">
      <w:pPr>
        <w:spacing w:line="240" w:lineRule="auto"/>
        <w:ind w:firstLine="709"/>
        <w:jc w:val="both"/>
        <w:rPr>
          <w:rFonts w:ascii="Times New Roman" w:eastAsia="Calibri" w:hAnsi="Times New Roman" w:cs="Times New Roman"/>
          <w:sz w:val="21"/>
          <w:szCs w:val="21"/>
        </w:rPr>
      </w:pPr>
    </w:p>
    <w:p w14:paraId="74F3C219" w14:textId="77777777" w:rsidR="00BD1126" w:rsidRPr="002565D5" w:rsidRDefault="00BD1126" w:rsidP="00BD1126">
      <w:pPr>
        <w:spacing w:line="240" w:lineRule="auto"/>
        <w:ind w:firstLine="709"/>
        <w:jc w:val="both"/>
        <w:rPr>
          <w:rFonts w:ascii="Times New Roman" w:eastAsia="Calibri" w:hAnsi="Times New Roman" w:cs="Times New Roman"/>
          <w:sz w:val="21"/>
          <w:szCs w:val="21"/>
        </w:rPr>
      </w:pPr>
    </w:p>
    <w:p w14:paraId="466A25BA" w14:textId="77777777" w:rsidR="00BD1126" w:rsidRDefault="00BD1126" w:rsidP="00BD1126">
      <w:pPr>
        <w:spacing w:line="240" w:lineRule="auto"/>
        <w:ind w:firstLine="709"/>
        <w:jc w:val="both"/>
        <w:rPr>
          <w:rFonts w:ascii="Times New Roman" w:eastAsia="Calibri" w:hAnsi="Times New Roman" w:cs="Times New Roman"/>
          <w:sz w:val="21"/>
          <w:szCs w:val="21"/>
        </w:rPr>
      </w:pPr>
    </w:p>
    <w:p w14:paraId="74ADE638"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357334EC"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75FEB8AE"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4124E59A"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08C289F7"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14282F51"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34022007"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4610155A"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69CEB1FB"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7A371A68" w14:textId="77777777" w:rsidR="002D72DC" w:rsidRDefault="002D72DC" w:rsidP="00C83F2F">
      <w:pPr>
        <w:spacing w:line="240" w:lineRule="auto"/>
        <w:jc w:val="both"/>
        <w:rPr>
          <w:rFonts w:ascii="Times New Roman" w:eastAsia="Calibri" w:hAnsi="Times New Roman" w:cs="Times New Roman"/>
          <w:sz w:val="21"/>
          <w:szCs w:val="21"/>
        </w:rPr>
      </w:pPr>
    </w:p>
    <w:p w14:paraId="3C5BDDF7"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7DB3510F"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1FC14B04" w14:textId="77777777" w:rsidR="006203C5" w:rsidRPr="006203C5" w:rsidRDefault="006203C5" w:rsidP="00107EA1">
      <w:pPr>
        <w:keepNext/>
        <w:keepLines/>
        <w:tabs>
          <w:tab w:val="right" w:leader="dot" w:pos="9356"/>
        </w:tabs>
        <w:spacing w:after="0" w:line="240" w:lineRule="auto"/>
        <w:jc w:val="center"/>
        <w:rPr>
          <w:rFonts w:ascii="Times New Roman" w:hAnsi="Times New Roman" w:cs="Times New Roman"/>
          <w:b/>
          <w:bCs/>
          <w:sz w:val="32"/>
          <w:szCs w:val="32"/>
        </w:rPr>
      </w:pPr>
      <w:r w:rsidRPr="006203C5">
        <w:rPr>
          <w:rFonts w:ascii="Times New Roman" w:hAnsi="Times New Roman" w:cs="Times New Roman"/>
          <w:b/>
          <w:bCs/>
          <w:sz w:val="32"/>
          <w:szCs w:val="32"/>
        </w:rPr>
        <w:lastRenderedPageBreak/>
        <w:t>РАЗДЕЛ 6</w:t>
      </w:r>
    </w:p>
    <w:p w14:paraId="6EA77FA3" w14:textId="77777777" w:rsidR="006203C5" w:rsidRPr="006203C5" w:rsidRDefault="006203C5" w:rsidP="006203C5">
      <w:pPr>
        <w:keepNext/>
        <w:keepLines/>
        <w:tabs>
          <w:tab w:val="right" w:leader="dot" w:pos="9356"/>
        </w:tabs>
        <w:spacing w:after="0" w:line="240" w:lineRule="auto"/>
        <w:ind w:firstLine="709"/>
        <w:jc w:val="center"/>
        <w:rPr>
          <w:rFonts w:ascii="Times New Roman" w:hAnsi="Times New Roman" w:cs="Times New Roman"/>
          <w:b/>
          <w:bCs/>
          <w:sz w:val="32"/>
          <w:szCs w:val="32"/>
        </w:rPr>
      </w:pPr>
    </w:p>
    <w:p w14:paraId="02674906" w14:textId="0A48A3D1" w:rsidR="006203C5" w:rsidRPr="006203C5" w:rsidRDefault="006203C5" w:rsidP="00107EA1">
      <w:pPr>
        <w:keepNext/>
        <w:keepLines/>
        <w:tabs>
          <w:tab w:val="right" w:leader="dot" w:pos="9356"/>
        </w:tabs>
        <w:spacing w:after="0" w:line="240" w:lineRule="auto"/>
        <w:jc w:val="center"/>
        <w:rPr>
          <w:rFonts w:ascii="Times New Roman" w:hAnsi="Times New Roman" w:cs="Times New Roman"/>
          <w:b/>
          <w:bCs/>
          <w:sz w:val="32"/>
          <w:szCs w:val="32"/>
        </w:rPr>
      </w:pPr>
      <w:r w:rsidRPr="006203C5">
        <w:rPr>
          <w:rFonts w:ascii="Times New Roman" w:hAnsi="Times New Roman" w:cs="Times New Roman"/>
          <w:b/>
          <w:bCs/>
          <w:sz w:val="32"/>
          <w:szCs w:val="32"/>
        </w:rPr>
        <w:t>БИЗНЕС-АНАЛИТИКА И МОДЕРНИЗАЦИЯ БИЗНЕС-ПРОЦЕССОВ</w:t>
      </w:r>
    </w:p>
    <w:p w14:paraId="3692F523" w14:textId="77777777" w:rsidR="002D72DC" w:rsidRDefault="002D72DC" w:rsidP="00BD1126">
      <w:pPr>
        <w:spacing w:line="240" w:lineRule="auto"/>
        <w:ind w:firstLine="709"/>
        <w:jc w:val="both"/>
        <w:rPr>
          <w:rFonts w:ascii="Times New Roman" w:eastAsia="Calibri" w:hAnsi="Times New Roman" w:cs="Times New Roman"/>
          <w:sz w:val="21"/>
          <w:szCs w:val="21"/>
        </w:rPr>
      </w:pPr>
    </w:p>
    <w:p w14:paraId="7EA6079B" w14:textId="6F10A5B0" w:rsidR="00847331" w:rsidRPr="00847331" w:rsidRDefault="00847331" w:rsidP="00CF5E6B">
      <w:pPr>
        <w:spacing w:after="0" w:line="240" w:lineRule="auto"/>
        <w:jc w:val="right"/>
        <w:rPr>
          <w:rFonts w:ascii="Times New Roman" w:eastAsia="Times New Roman" w:hAnsi="Times New Roman" w:cs="Times New Roman"/>
          <w:b/>
          <w:bCs/>
          <w:i/>
          <w:iCs/>
          <w:color w:val="000000"/>
          <w:sz w:val="21"/>
          <w:szCs w:val="21"/>
        </w:rPr>
      </w:pPr>
      <w:r w:rsidRPr="00847331">
        <w:rPr>
          <w:rFonts w:ascii="Times New Roman" w:eastAsia="Times New Roman" w:hAnsi="Times New Roman" w:cs="Times New Roman"/>
          <w:b/>
          <w:bCs/>
          <w:i/>
          <w:iCs/>
          <w:color w:val="000000"/>
          <w:sz w:val="21"/>
          <w:szCs w:val="21"/>
        </w:rPr>
        <w:t>Антипин К.П.</w:t>
      </w:r>
      <w:r w:rsidR="00D359AC">
        <w:rPr>
          <w:rFonts w:ascii="Times New Roman" w:eastAsia="Times New Roman" w:hAnsi="Times New Roman" w:cs="Times New Roman"/>
          <w:b/>
          <w:bCs/>
          <w:i/>
          <w:iCs/>
          <w:color w:val="000000"/>
          <w:sz w:val="21"/>
          <w:szCs w:val="21"/>
        </w:rPr>
        <w:t>,</w:t>
      </w:r>
    </w:p>
    <w:p w14:paraId="427EB986" w14:textId="77777777" w:rsidR="00847331" w:rsidRPr="00847331" w:rsidRDefault="00847331" w:rsidP="00CF5E6B">
      <w:pPr>
        <w:spacing w:after="0" w:line="240" w:lineRule="auto"/>
        <w:jc w:val="right"/>
        <w:rPr>
          <w:rFonts w:ascii="Times New Roman" w:eastAsia="Times New Roman" w:hAnsi="Times New Roman" w:cs="Times New Roman"/>
          <w:i/>
          <w:iCs/>
          <w:color w:val="000000"/>
          <w:sz w:val="21"/>
          <w:szCs w:val="21"/>
        </w:rPr>
      </w:pPr>
      <w:r w:rsidRPr="00847331">
        <w:rPr>
          <w:rFonts w:ascii="Times New Roman" w:eastAsia="Times New Roman" w:hAnsi="Times New Roman" w:cs="Times New Roman"/>
          <w:i/>
          <w:iCs/>
          <w:color w:val="000000"/>
          <w:sz w:val="21"/>
          <w:szCs w:val="21"/>
        </w:rPr>
        <w:t>студент 2 курса,</w:t>
      </w:r>
    </w:p>
    <w:p w14:paraId="109375CC" w14:textId="77777777" w:rsidR="00633DBF" w:rsidRDefault="00633DBF" w:rsidP="00633DB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2ED0919" w14:textId="77777777" w:rsidR="00847331" w:rsidRPr="00847331" w:rsidRDefault="00847331" w:rsidP="00CF5E6B">
      <w:pPr>
        <w:spacing w:after="0" w:line="240" w:lineRule="auto"/>
        <w:jc w:val="right"/>
        <w:rPr>
          <w:rFonts w:ascii="Times New Roman" w:eastAsia="Times New Roman" w:hAnsi="Times New Roman" w:cs="Times New Roman"/>
          <w:i/>
          <w:iCs/>
          <w:color w:val="000000"/>
          <w:sz w:val="21"/>
          <w:szCs w:val="21"/>
        </w:rPr>
      </w:pPr>
      <w:r w:rsidRPr="00847331">
        <w:rPr>
          <w:rFonts w:ascii="Times New Roman" w:eastAsia="Times New Roman" w:hAnsi="Times New Roman" w:cs="Times New Roman"/>
          <w:i/>
          <w:iCs/>
          <w:color w:val="000000"/>
          <w:sz w:val="21"/>
          <w:szCs w:val="21"/>
        </w:rPr>
        <w:t>г. Краснодар, Россия</w:t>
      </w:r>
    </w:p>
    <w:p w14:paraId="7A82B89B" w14:textId="77777777" w:rsidR="00847331" w:rsidRPr="00847331" w:rsidRDefault="00847331" w:rsidP="00CF5E6B">
      <w:pPr>
        <w:spacing w:after="0" w:line="240" w:lineRule="auto"/>
        <w:jc w:val="right"/>
        <w:rPr>
          <w:rFonts w:ascii="Times New Roman" w:eastAsia="Times New Roman" w:hAnsi="Times New Roman" w:cs="Times New Roman"/>
          <w:color w:val="000000"/>
          <w:sz w:val="21"/>
          <w:szCs w:val="21"/>
        </w:rPr>
      </w:pPr>
      <w:r w:rsidRPr="00847331">
        <w:rPr>
          <w:rFonts w:ascii="Times New Roman" w:eastAsia="Times New Roman" w:hAnsi="Times New Roman" w:cs="Times New Roman"/>
          <w:color w:val="000000"/>
          <w:sz w:val="21"/>
          <w:szCs w:val="21"/>
          <w:lang w:val="en-US"/>
        </w:rPr>
        <w:t>e</w:t>
      </w:r>
      <w:r w:rsidRPr="00847331">
        <w:rPr>
          <w:rFonts w:ascii="Times New Roman" w:eastAsia="Times New Roman" w:hAnsi="Times New Roman" w:cs="Times New Roman"/>
          <w:color w:val="000000"/>
          <w:sz w:val="21"/>
          <w:szCs w:val="21"/>
        </w:rPr>
        <w:t>-</w:t>
      </w:r>
      <w:r w:rsidRPr="00847331">
        <w:rPr>
          <w:rFonts w:ascii="Times New Roman" w:eastAsia="Times New Roman" w:hAnsi="Times New Roman" w:cs="Times New Roman"/>
          <w:color w:val="000000"/>
          <w:sz w:val="21"/>
          <w:szCs w:val="21"/>
          <w:lang w:val="en-US"/>
        </w:rPr>
        <w:t>mail</w:t>
      </w:r>
      <w:r w:rsidRPr="00847331">
        <w:rPr>
          <w:rFonts w:ascii="Times New Roman" w:eastAsia="Times New Roman" w:hAnsi="Times New Roman" w:cs="Times New Roman"/>
          <w:color w:val="000000"/>
          <w:sz w:val="21"/>
          <w:szCs w:val="21"/>
        </w:rPr>
        <w:t xml:space="preserve">: </w:t>
      </w:r>
      <w:r w:rsidRPr="00847331">
        <w:rPr>
          <w:rFonts w:ascii="Times New Roman" w:eastAsia="Times New Roman" w:hAnsi="Times New Roman" w:cs="Times New Roman"/>
          <w:sz w:val="21"/>
          <w:szCs w:val="21"/>
        </w:rPr>
        <w:t>igrapustushkapochta@mail.ru</w:t>
      </w:r>
    </w:p>
    <w:p w14:paraId="03F0F8D1" w14:textId="77777777" w:rsidR="00847331" w:rsidRPr="00847331" w:rsidRDefault="00847331" w:rsidP="00CF5E6B">
      <w:pPr>
        <w:spacing w:after="0" w:line="240" w:lineRule="auto"/>
        <w:jc w:val="right"/>
        <w:rPr>
          <w:rFonts w:ascii="Times New Roman" w:eastAsia="Times New Roman" w:hAnsi="Times New Roman" w:cs="Times New Roman"/>
          <w:color w:val="000000"/>
          <w:sz w:val="21"/>
          <w:szCs w:val="21"/>
        </w:rPr>
      </w:pPr>
    </w:p>
    <w:p w14:paraId="4E86099F" w14:textId="77777777" w:rsidR="00847331" w:rsidRPr="00847331" w:rsidRDefault="00847331" w:rsidP="00CF5E6B">
      <w:pPr>
        <w:spacing w:after="0" w:line="240" w:lineRule="auto"/>
        <w:jc w:val="right"/>
        <w:rPr>
          <w:rFonts w:ascii="Times New Roman" w:eastAsia="Times New Roman" w:hAnsi="Times New Roman" w:cs="Times New Roman"/>
          <w:b/>
          <w:bCs/>
          <w:i/>
          <w:iCs/>
          <w:color w:val="000000"/>
          <w:sz w:val="21"/>
          <w:szCs w:val="21"/>
        </w:rPr>
      </w:pPr>
      <w:r w:rsidRPr="00847331">
        <w:rPr>
          <w:rFonts w:ascii="Times New Roman" w:eastAsia="Times New Roman" w:hAnsi="Times New Roman" w:cs="Times New Roman"/>
          <w:b/>
          <w:bCs/>
          <w:i/>
          <w:iCs/>
          <w:color w:val="000000"/>
          <w:sz w:val="21"/>
          <w:szCs w:val="21"/>
        </w:rPr>
        <w:t>Научный руководитель:</w:t>
      </w:r>
    </w:p>
    <w:p w14:paraId="072BEC3C" w14:textId="4ED85BCB" w:rsidR="00847331" w:rsidRPr="00847331" w:rsidRDefault="00847331" w:rsidP="00CF5E6B">
      <w:pPr>
        <w:spacing w:after="0" w:line="240" w:lineRule="auto"/>
        <w:jc w:val="right"/>
        <w:rPr>
          <w:rFonts w:ascii="Times New Roman" w:eastAsia="Times New Roman" w:hAnsi="Times New Roman" w:cs="Times New Roman"/>
          <w:b/>
          <w:bCs/>
          <w:i/>
          <w:iCs/>
          <w:color w:val="000000"/>
          <w:sz w:val="21"/>
          <w:szCs w:val="21"/>
        </w:rPr>
      </w:pPr>
      <w:r w:rsidRPr="00847331">
        <w:rPr>
          <w:rFonts w:ascii="Times New Roman" w:eastAsia="Times New Roman" w:hAnsi="Times New Roman" w:cs="Times New Roman"/>
          <w:b/>
          <w:bCs/>
          <w:i/>
          <w:iCs/>
          <w:color w:val="000000"/>
          <w:sz w:val="21"/>
          <w:szCs w:val="21"/>
        </w:rPr>
        <w:t>Аксёнова Ж.А.</w:t>
      </w:r>
      <w:r w:rsidR="00D359AC">
        <w:rPr>
          <w:rFonts w:ascii="Times New Roman" w:eastAsia="Times New Roman" w:hAnsi="Times New Roman" w:cs="Times New Roman"/>
          <w:b/>
          <w:bCs/>
          <w:i/>
          <w:iCs/>
          <w:color w:val="000000"/>
          <w:sz w:val="21"/>
          <w:szCs w:val="21"/>
        </w:rPr>
        <w:t>,</w:t>
      </w:r>
    </w:p>
    <w:p w14:paraId="3B127A9C" w14:textId="77777777" w:rsidR="00847331" w:rsidRPr="00847331" w:rsidRDefault="00847331" w:rsidP="00CF5E6B">
      <w:pPr>
        <w:spacing w:after="0" w:line="240" w:lineRule="auto"/>
        <w:jc w:val="right"/>
        <w:rPr>
          <w:rFonts w:ascii="Times New Roman" w:eastAsia="Times New Roman" w:hAnsi="Times New Roman" w:cs="Times New Roman"/>
          <w:i/>
          <w:iCs/>
          <w:color w:val="000000"/>
          <w:sz w:val="21"/>
          <w:szCs w:val="21"/>
        </w:rPr>
      </w:pPr>
      <w:r w:rsidRPr="00847331">
        <w:rPr>
          <w:rFonts w:ascii="Times New Roman" w:eastAsia="Times New Roman" w:hAnsi="Times New Roman" w:cs="Times New Roman"/>
          <w:i/>
          <w:iCs/>
          <w:color w:val="000000"/>
          <w:sz w:val="21"/>
          <w:szCs w:val="21"/>
        </w:rPr>
        <w:t xml:space="preserve">доцент, </w:t>
      </w:r>
    </w:p>
    <w:p w14:paraId="666769BA" w14:textId="77777777" w:rsidR="00633DBF" w:rsidRDefault="00633DBF" w:rsidP="00633DB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428A75F" w14:textId="77777777" w:rsidR="00847331" w:rsidRPr="00847331" w:rsidRDefault="00847331" w:rsidP="00CF5E6B">
      <w:pPr>
        <w:spacing w:after="0" w:line="240" w:lineRule="auto"/>
        <w:jc w:val="right"/>
        <w:rPr>
          <w:rFonts w:ascii="Times New Roman" w:eastAsia="Times New Roman" w:hAnsi="Times New Roman" w:cs="Times New Roman"/>
          <w:i/>
          <w:iCs/>
          <w:color w:val="000000"/>
          <w:sz w:val="21"/>
          <w:szCs w:val="21"/>
        </w:rPr>
      </w:pPr>
      <w:r w:rsidRPr="00847331">
        <w:rPr>
          <w:rFonts w:ascii="Times New Roman" w:eastAsia="Times New Roman" w:hAnsi="Times New Roman" w:cs="Times New Roman"/>
          <w:i/>
          <w:iCs/>
          <w:color w:val="000000"/>
          <w:sz w:val="21"/>
          <w:szCs w:val="21"/>
        </w:rPr>
        <w:t>г. Краснодар, Россия</w:t>
      </w:r>
    </w:p>
    <w:p w14:paraId="06A9D210" w14:textId="77777777" w:rsidR="00847331" w:rsidRPr="00847331" w:rsidRDefault="00847331" w:rsidP="00CF5E6B">
      <w:pPr>
        <w:spacing w:after="0" w:line="240" w:lineRule="auto"/>
        <w:jc w:val="right"/>
        <w:rPr>
          <w:rFonts w:ascii="Times New Roman" w:eastAsia="Times New Roman" w:hAnsi="Times New Roman" w:cs="Times New Roman"/>
          <w:color w:val="000000"/>
          <w:sz w:val="21"/>
          <w:szCs w:val="21"/>
        </w:rPr>
      </w:pPr>
      <w:r w:rsidRPr="00847331">
        <w:rPr>
          <w:rFonts w:ascii="Times New Roman" w:eastAsia="Times New Roman" w:hAnsi="Times New Roman" w:cs="Times New Roman"/>
          <w:color w:val="000000"/>
          <w:sz w:val="21"/>
          <w:szCs w:val="21"/>
          <w:lang w:val="en-US"/>
        </w:rPr>
        <w:t>e</w:t>
      </w:r>
      <w:r w:rsidRPr="00847331">
        <w:rPr>
          <w:rFonts w:ascii="Times New Roman" w:eastAsia="Times New Roman" w:hAnsi="Times New Roman" w:cs="Times New Roman"/>
          <w:color w:val="000000"/>
          <w:sz w:val="21"/>
          <w:szCs w:val="21"/>
        </w:rPr>
        <w:t>-</w:t>
      </w:r>
      <w:r w:rsidRPr="00847331">
        <w:rPr>
          <w:rFonts w:ascii="Times New Roman" w:eastAsia="Times New Roman" w:hAnsi="Times New Roman" w:cs="Times New Roman"/>
          <w:color w:val="000000"/>
          <w:sz w:val="21"/>
          <w:szCs w:val="21"/>
          <w:lang w:val="en-US"/>
        </w:rPr>
        <w:t>mail</w:t>
      </w:r>
      <w:r w:rsidRPr="00847331">
        <w:rPr>
          <w:rFonts w:ascii="Times New Roman" w:eastAsia="Times New Roman" w:hAnsi="Times New Roman" w:cs="Times New Roman"/>
          <w:color w:val="000000"/>
          <w:sz w:val="21"/>
          <w:szCs w:val="21"/>
        </w:rPr>
        <w:t xml:space="preserve">: </w:t>
      </w:r>
      <w:r w:rsidRPr="00847331">
        <w:rPr>
          <w:rFonts w:ascii="Times New Roman" w:eastAsia="Times New Roman" w:hAnsi="Times New Roman" w:cs="Times New Roman"/>
          <w:color w:val="000000"/>
          <w:sz w:val="21"/>
          <w:szCs w:val="21"/>
          <w:lang w:val="en-US"/>
        </w:rPr>
        <w:t>ZAAksenova</w:t>
      </w:r>
      <w:r w:rsidRPr="00847331">
        <w:rPr>
          <w:rFonts w:ascii="Times New Roman" w:eastAsia="Times New Roman" w:hAnsi="Times New Roman" w:cs="Times New Roman"/>
          <w:color w:val="000000"/>
          <w:sz w:val="21"/>
          <w:szCs w:val="21"/>
        </w:rPr>
        <w:t>@</w:t>
      </w:r>
      <w:r w:rsidRPr="00847331">
        <w:rPr>
          <w:rFonts w:ascii="Times New Roman" w:eastAsia="Times New Roman" w:hAnsi="Times New Roman" w:cs="Times New Roman"/>
          <w:color w:val="000000"/>
          <w:sz w:val="21"/>
          <w:szCs w:val="21"/>
          <w:lang w:val="en-US"/>
        </w:rPr>
        <w:t>fa</w:t>
      </w:r>
      <w:r w:rsidRPr="00847331">
        <w:rPr>
          <w:rFonts w:ascii="Times New Roman" w:eastAsia="Times New Roman" w:hAnsi="Times New Roman" w:cs="Times New Roman"/>
          <w:color w:val="000000"/>
          <w:sz w:val="21"/>
          <w:szCs w:val="21"/>
        </w:rPr>
        <w:t>.</w:t>
      </w:r>
      <w:r w:rsidRPr="00847331">
        <w:rPr>
          <w:rFonts w:ascii="Times New Roman" w:eastAsia="Times New Roman" w:hAnsi="Times New Roman" w:cs="Times New Roman"/>
          <w:color w:val="000000"/>
          <w:sz w:val="21"/>
          <w:szCs w:val="21"/>
          <w:lang w:val="en-US"/>
        </w:rPr>
        <w:t>ru</w:t>
      </w:r>
    </w:p>
    <w:p w14:paraId="3BEC6E87" w14:textId="77777777" w:rsidR="00847331" w:rsidRPr="00847331" w:rsidRDefault="00847331" w:rsidP="00847331">
      <w:pPr>
        <w:spacing w:before="40" w:after="40" w:line="240" w:lineRule="auto"/>
        <w:ind w:left="1134" w:right="1134"/>
        <w:jc w:val="right"/>
        <w:rPr>
          <w:rFonts w:ascii="Times New Roman" w:eastAsia="Times New Roman" w:hAnsi="Times New Roman" w:cs="Times New Roman"/>
          <w:i/>
          <w:iCs/>
          <w:color w:val="000000"/>
          <w:sz w:val="21"/>
          <w:szCs w:val="21"/>
        </w:rPr>
      </w:pPr>
    </w:p>
    <w:p w14:paraId="109BD686" w14:textId="7E866E9B" w:rsidR="00847331" w:rsidRPr="00EC6F8D" w:rsidRDefault="00847331" w:rsidP="00EC6F8D">
      <w:pPr>
        <w:keepNext/>
        <w:keepLines/>
        <w:spacing w:after="0" w:line="240" w:lineRule="auto"/>
        <w:jc w:val="center"/>
        <w:outlineLvl w:val="0"/>
        <w:rPr>
          <w:rFonts w:ascii="Times New Roman" w:eastAsia="Times New Roman" w:hAnsi="Times New Roman" w:cs="Times New Roman"/>
          <w:b/>
          <w:bCs/>
          <w:sz w:val="21"/>
          <w:szCs w:val="21"/>
        </w:rPr>
      </w:pPr>
      <w:r w:rsidRPr="00847331">
        <w:rPr>
          <w:rFonts w:ascii="Times New Roman" w:eastAsia="Times New Roman" w:hAnsi="Times New Roman" w:cs="Times New Roman"/>
          <w:b/>
          <w:bCs/>
          <w:sz w:val="21"/>
          <w:szCs w:val="21"/>
        </w:rPr>
        <w:t xml:space="preserve"> Роль информационных технологий в управления бизнесом</w:t>
      </w:r>
    </w:p>
    <w:p w14:paraId="015CFB45" w14:textId="77777777" w:rsidR="00633DBF" w:rsidRPr="00847331" w:rsidRDefault="00633DBF" w:rsidP="00EC6F8D">
      <w:pPr>
        <w:keepNext/>
        <w:keepLines/>
        <w:spacing w:after="0" w:line="240" w:lineRule="auto"/>
        <w:jc w:val="center"/>
        <w:outlineLvl w:val="0"/>
        <w:rPr>
          <w:rFonts w:ascii="Times New Roman" w:eastAsia="Times New Roman" w:hAnsi="Times New Roman" w:cs="Times New Roman"/>
          <w:b/>
          <w:bCs/>
          <w:sz w:val="21"/>
          <w:szCs w:val="21"/>
        </w:rPr>
      </w:pPr>
    </w:p>
    <w:p w14:paraId="14552618" w14:textId="78699E55" w:rsidR="00847331" w:rsidRPr="00847331" w:rsidRDefault="00847331" w:rsidP="00EC6F8D">
      <w:pPr>
        <w:keepNext/>
        <w:keepLines/>
        <w:spacing w:after="0" w:line="240" w:lineRule="auto"/>
        <w:ind w:firstLine="709"/>
        <w:jc w:val="both"/>
        <w:outlineLvl w:val="1"/>
        <w:rPr>
          <w:rFonts w:ascii="Times New Roman" w:eastAsia="Times New Roman" w:hAnsi="Times New Roman" w:cs="Times New Roman"/>
          <w:b/>
          <w:bCs/>
          <w:sz w:val="21"/>
          <w:szCs w:val="21"/>
        </w:rPr>
      </w:pPr>
      <w:r w:rsidRPr="00847331">
        <w:rPr>
          <w:rFonts w:ascii="Times New Roman" w:eastAsia="Times New Roman" w:hAnsi="Times New Roman" w:cs="Times New Roman"/>
          <w:b/>
          <w:bCs/>
          <w:sz w:val="21"/>
          <w:szCs w:val="21"/>
        </w:rPr>
        <w:t>Аннотация</w:t>
      </w:r>
      <w:r w:rsidR="00EC6F8D" w:rsidRPr="00EC6F8D">
        <w:rPr>
          <w:rFonts w:ascii="Times New Roman" w:eastAsia="Times New Roman" w:hAnsi="Times New Roman" w:cs="Times New Roman"/>
          <w:b/>
          <w:bCs/>
          <w:sz w:val="21"/>
          <w:szCs w:val="21"/>
        </w:rPr>
        <w:t xml:space="preserve">: </w:t>
      </w:r>
      <w:r w:rsidRPr="00847331">
        <w:rPr>
          <w:rFonts w:ascii="Times New Roman" w:eastAsia="Times New Roman" w:hAnsi="Times New Roman" w:cs="Times New Roman"/>
          <w:sz w:val="21"/>
          <w:szCs w:val="21"/>
        </w:rPr>
        <w:t xml:space="preserve">В статье исследуется роль информационных технологий в современном управление бизнесом, их влияние на оптимизацию бизнес-процессов, повышение эффективности и конкурентоспособности компаний. Рассматриваются основные направления применение ИТ, а также преимущества и проблемы цифровизации связанные с внедрением ИТ в бизнес-среду. Особое внимание уделяется перспективам развития ИТ с учётом современных тенденций цифровой трансформации. </w:t>
      </w:r>
    </w:p>
    <w:p w14:paraId="21A32EF4" w14:textId="77777777" w:rsidR="00847331" w:rsidRPr="00847331" w:rsidRDefault="00847331" w:rsidP="00EC6F8D">
      <w:pPr>
        <w:spacing w:after="0" w:line="240" w:lineRule="auto"/>
        <w:ind w:firstLine="709"/>
        <w:jc w:val="both"/>
        <w:rPr>
          <w:rFonts w:ascii="Times New Roman" w:eastAsia="Times New Roman" w:hAnsi="Times New Roman" w:cs="Times New Roman"/>
          <w:sz w:val="21"/>
          <w:szCs w:val="21"/>
        </w:rPr>
      </w:pPr>
      <w:r w:rsidRPr="00847331">
        <w:rPr>
          <w:rFonts w:ascii="Times New Roman" w:eastAsia="Times New Roman" w:hAnsi="Times New Roman" w:cs="Times New Roman"/>
          <w:b/>
          <w:bCs/>
          <w:sz w:val="21"/>
          <w:szCs w:val="21"/>
        </w:rPr>
        <w:t>Ключевые слова</w:t>
      </w:r>
      <w:r w:rsidRPr="00847331">
        <w:rPr>
          <w:rFonts w:ascii="Times New Roman" w:eastAsia="Times New Roman" w:hAnsi="Times New Roman" w:cs="Times New Roman"/>
          <w:sz w:val="21"/>
          <w:szCs w:val="21"/>
        </w:rPr>
        <w:t>: информационные технологии, управление бизнесом, цифровизация, автоматизация, бизнес-процессы.</w:t>
      </w:r>
    </w:p>
    <w:p w14:paraId="0C4CFE04" w14:textId="77777777" w:rsidR="00847331" w:rsidRPr="00847331" w:rsidRDefault="00847331" w:rsidP="00EC6F8D">
      <w:pPr>
        <w:spacing w:after="0" w:line="240" w:lineRule="auto"/>
        <w:jc w:val="both"/>
        <w:rPr>
          <w:rFonts w:ascii="Times New Roman" w:eastAsia="Times New Roman" w:hAnsi="Times New Roman" w:cs="Times New Roman"/>
          <w:sz w:val="21"/>
          <w:szCs w:val="21"/>
        </w:rPr>
      </w:pPr>
      <w:r w:rsidRPr="00847331">
        <w:rPr>
          <w:rFonts w:ascii="Times New Roman" w:eastAsia="Times New Roman" w:hAnsi="Times New Roman" w:cs="Times New Roman"/>
          <w:sz w:val="21"/>
          <w:szCs w:val="21"/>
        </w:rPr>
        <w:t xml:space="preserve"> </w:t>
      </w:r>
    </w:p>
    <w:p w14:paraId="00B99BD9" w14:textId="36754AF2" w:rsidR="00847331" w:rsidRPr="00656AA8" w:rsidRDefault="00847331" w:rsidP="00EC6F8D">
      <w:pPr>
        <w:spacing w:after="0" w:line="240" w:lineRule="auto"/>
        <w:jc w:val="right"/>
        <w:rPr>
          <w:rFonts w:ascii="Times New Roman" w:eastAsia="Times New Roman" w:hAnsi="Times New Roman" w:cs="Times New Roman"/>
          <w:b/>
          <w:bCs/>
          <w:color w:val="000000"/>
          <w:sz w:val="21"/>
          <w:szCs w:val="21"/>
          <w:lang w:val="en-US"/>
        </w:rPr>
      </w:pPr>
      <w:r w:rsidRPr="00847331">
        <w:rPr>
          <w:rFonts w:ascii="Times New Roman" w:eastAsia="Times New Roman" w:hAnsi="Times New Roman" w:cs="Times New Roman"/>
          <w:b/>
          <w:bCs/>
          <w:i/>
          <w:iCs/>
          <w:color w:val="000000"/>
          <w:sz w:val="21"/>
          <w:szCs w:val="21"/>
          <w:lang w:val="en-US"/>
        </w:rPr>
        <w:t>Antipin K.P.</w:t>
      </w:r>
      <w:r w:rsidR="00D359AC" w:rsidRPr="00656AA8">
        <w:rPr>
          <w:rFonts w:ascii="Times New Roman" w:eastAsia="Times New Roman" w:hAnsi="Times New Roman" w:cs="Times New Roman"/>
          <w:b/>
          <w:bCs/>
          <w:i/>
          <w:iCs/>
          <w:color w:val="000000"/>
          <w:sz w:val="21"/>
          <w:szCs w:val="21"/>
          <w:lang w:val="en-US"/>
        </w:rPr>
        <w:t>,</w:t>
      </w:r>
    </w:p>
    <w:p w14:paraId="6B9C96BE"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studen, 2 courses</w:t>
      </w:r>
    </w:p>
    <w:p w14:paraId="714FD8BA"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Financial University under the Government of the Russian Federation</w:t>
      </w:r>
    </w:p>
    <w:p w14:paraId="1F3A5DEB"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Krasnodar, Russia</w:t>
      </w:r>
    </w:p>
    <w:p w14:paraId="1D31CE13"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color w:val="000000"/>
          <w:sz w:val="21"/>
          <w:szCs w:val="21"/>
          <w:lang w:val="en-US"/>
        </w:rPr>
        <w:t>e-mail:</w:t>
      </w:r>
      <w:r w:rsidRPr="00847331">
        <w:rPr>
          <w:rFonts w:ascii="Times New Roman" w:eastAsia="Times New Roman" w:hAnsi="Times New Roman" w:cs="Times New Roman"/>
          <w:i/>
          <w:iCs/>
          <w:color w:val="000000"/>
          <w:sz w:val="21"/>
          <w:szCs w:val="21"/>
          <w:lang w:val="en-US"/>
        </w:rPr>
        <w:t xml:space="preserve"> </w:t>
      </w:r>
      <w:r w:rsidRPr="00847331">
        <w:rPr>
          <w:rFonts w:ascii="Times New Roman" w:eastAsia="Times New Roman" w:hAnsi="Times New Roman" w:cs="Times New Roman"/>
          <w:sz w:val="21"/>
          <w:szCs w:val="21"/>
          <w:lang w:val="en-US"/>
        </w:rPr>
        <w:t>igrapustushkapochta@mail.ru</w:t>
      </w:r>
    </w:p>
    <w:p w14:paraId="1ABB703E"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p>
    <w:p w14:paraId="23CDBCFD"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b/>
          <w:bCs/>
          <w:i/>
          <w:iCs/>
          <w:color w:val="000000"/>
          <w:sz w:val="21"/>
          <w:szCs w:val="21"/>
          <w:lang w:val="en-US"/>
        </w:rPr>
        <w:t>Scientific Adviser:</w:t>
      </w:r>
    </w:p>
    <w:p w14:paraId="26D7EDCF" w14:textId="4CC901B3" w:rsidR="00847331" w:rsidRPr="00656AA8"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b/>
          <w:bCs/>
          <w:i/>
          <w:iCs/>
          <w:color w:val="000000"/>
          <w:sz w:val="21"/>
          <w:szCs w:val="21"/>
          <w:lang w:val="en-US"/>
        </w:rPr>
        <w:t>Aksenova Z. A.</w:t>
      </w:r>
      <w:r w:rsidR="00D359AC" w:rsidRPr="00656AA8">
        <w:rPr>
          <w:rFonts w:ascii="Times New Roman" w:eastAsia="Times New Roman" w:hAnsi="Times New Roman" w:cs="Times New Roman"/>
          <w:b/>
          <w:bCs/>
          <w:i/>
          <w:iCs/>
          <w:color w:val="000000"/>
          <w:sz w:val="21"/>
          <w:szCs w:val="21"/>
          <w:lang w:val="en-US"/>
        </w:rPr>
        <w:t>,</w:t>
      </w:r>
    </w:p>
    <w:p w14:paraId="44CAE502"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Associate Professor</w:t>
      </w:r>
    </w:p>
    <w:p w14:paraId="36C04A28"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Financial University under the Government of the Russian Federation</w:t>
      </w:r>
    </w:p>
    <w:p w14:paraId="09E99E80" w14:textId="77777777" w:rsidR="00847331" w:rsidRPr="00847331" w:rsidRDefault="00847331" w:rsidP="00EC6F8D">
      <w:pPr>
        <w:spacing w:after="0" w:line="240" w:lineRule="auto"/>
        <w:jc w:val="right"/>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i/>
          <w:iCs/>
          <w:color w:val="000000"/>
          <w:sz w:val="21"/>
          <w:szCs w:val="21"/>
          <w:lang w:val="en-US"/>
        </w:rPr>
        <w:t>Krasnodar, Russia</w:t>
      </w:r>
    </w:p>
    <w:p w14:paraId="6272504A" w14:textId="77777777" w:rsidR="00847331" w:rsidRPr="00847331" w:rsidRDefault="00847331" w:rsidP="00EC6F8D">
      <w:pPr>
        <w:spacing w:after="0" w:line="240" w:lineRule="auto"/>
        <w:jc w:val="right"/>
        <w:rPr>
          <w:rFonts w:ascii="Aptos" w:eastAsia="Aptos" w:hAnsi="Aptos" w:cs="Aptos"/>
          <w:color w:val="000000"/>
          <w:sz w:val="21"/>
          <w:szCs w:val="21"/>
          <w:lang w:val="en-US"/>
        </w:rPr>
      </w:pPr>
      <w:r w:rsidRPr="00847331">
        <w:rPr>
          <w:rFonts w:ascii="Times New Roman" w:eastAsia="Times New Roman" w:hAnsi="Times New Roman" w:cs="Times New Roman"/>
          <w:i/>
          <w:iCs/>
          <w:color w:val="000000"/>
          <w:sz w:val="21"/>
          <w:szCs w:val="21"/>
          <w:lang w:val="en-US"/>
        </w:rPr>
        <w:t xml:space="preserve">e-mail: </w:t>
      </w:r>
      <w:r w:rsidRPr="00847331">
        <w:rPr>
          <w:rFonts w:ascii="Times New Roman" w:eastAsia="Times New Roman" w:hAnsi="Times New Roman" w:cs="Times New Roman"/>
          <w:sz w:val="21"/>
          <w:szCs w:val="21"/>
          <w:lang w:val="en-US"/>
        </w:rPr>
        <w:t>ZAAksenova@fa.ru</w:t>
      </w:r>
    </w:p>
    <w:p w14:paraId="567F2523" w14:textId="77777777" w:rsidR="00847331" w:rsidRPr="00847331" w:rsidRDefault="00847331" w:rsidP="00EC6F8D">
      <w:pPr>
        <w:spacing w:after="0" w:line="240" w:lineRule="auto"/>
        <w:jc w:val="right"/>
        <w:rPr>
          <w:rFonts w:ascii="Times New Roman" w:eastAsia="Times New Roman" w:hAnsi="Times New Roman" w:cs="Times New Roman"/>
          <w:sz w:val="21"/>
          <w:szCs w:val="21"/>
          <w:lang w:val="en-US"/>
        </w:rPr>
      </w:pPr>
    </w:p>
    <w:p w14:paraId="66C08C06" w14:textId="77777777" w:rsidR="00847331" w:rsidRPr="00656AA8" w:rsidRDefault="00847331" w:rsidP="00EC6F8D">
      <w:pPr>
        <w:spacing w:after="0" w:line="240" w:lineRule="auto"/>
        <w:jc w:val="center"/>
        <w:rPr>
          <w:rFonts w:ascii="Times New Roman" w:eastAsia="Times New Roman" w:hAnsi="Times New Roman" w:cs="Times New Roman"/>
          <w:b/>
          <w:bCs/>
          <w:sz w:val="21"/>
          <w:szCs w:val="21"/>
          <w:lang w:val="en-US"/>
        </w:rPr>
      </w:pPr>
      <w:r w:rsidRPr="00847331">
        <w:rPr>
          <w:rFonts w:ascii="Times New Roman" w:eastAsia="Times New Roman" w:hAnsi="Times New Roman" w:cs="Times New Roman"/>
          <w:b/>
          <w:bCs/>
          <w:sz w:val="21"/>
          <w:szCs w:val="21"/>
          <w:lang w:val="en-US"/>
        </w:rPr>
        <w:t>The Role of Information Technology in Business Management</w:t>
      </w:r>
    </w:p>
    <w:p w14:paraId="63FAA33E" w14:textId="77777777" w:rsidR="00EC6F8D" w:rsidRPr="00656AA8" w:rsidRDefault="00EC6F8D" w:rsidP="00EC6F8D">
      <w:pPr>
        <w:spacing w:after="0" w:line="240" w:lineRule="auto"/>
        <w:jc w:val="center"/>
        <w:rPr>
          <w:rFonts w:ascii="Times New Roman" w:eastAsia="Times New Roman" w:hAnsi="Times New Roman" w:cs="Times New Roman"/>
          <w:sz w:val="21"/>
          <w:szCs w:val="21"/>
          <w:lang w:val="en-US"/>
        </w:rPr>
      </w:pPr>
    </w:p>
    <w:p w14:paraId="469409C2" w14:textId="5F286F03" w:rsidR="00847331" w:rsidRPr="00847331" w:rsidRDefault="00847331" w:rsidP="00D359AC">
      <w:pPr>
        <w:spacing w:after="0" w:line="240" w:lineRule="auto"/>
        <w:ind w:firstLine="709"/>
        <w:jc w:val="both"/>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b/>
          <w:bCs/>
          <w:color w:val="000000"/>
          <w:sz w:val="21"/>
          <w:szCs w:val="21"/>
          <w:lang w:val="en-US"/>
        </w:rPr>
        <w:t>Abstract</w:t>
      </w:r>
      <w:r w:rsidR="00EC6F8D" w:rsidRPr="00EC6F8D">
        <w:rPr>
          <w:rFonts w:ascii="Times New Roman" w:eastAsia="Times New Roman" w:hAnsi="Times New Roman" w:cs="Times New Roman"/>
          <w:color w:val="000000"/>
          <w:sz w:val="21"/>
          <w:szCs w:val="21"/>
          <w:lang w:val="en-US"/>
        </w:rPr>
        <w:t xml:space="preserve">: </w:t>
      </w:r>
      <w:r w:rsidRPr="00847331">
        <w:rPr>
          <w:rFonts w:ascii="Times New Roman" w:eastAsia="Times New Roman" w:hAnsi="Times New Roman" w:cs="Times New Roman"/>
          <w:color w:val="000000"/>
          <w:sz w:val="21"/>
          <w:szCs w:val="21"/>
          <w:lang w:val="en-US"/>
        </w:rPr>
        <w:t xml:space="preserve">The article examines the role of information technology in modern business management, its impact on the optimization of business processes, increasing the efficiency and competitiveness of companies. The main areas of IT application are considered, as well as the advantages and problems of digitalization associated with the introduction of IT in the business environment. Particular attention is paid to the prospects for the development of IT, </w:t>
      </w:r>
      <w:proofErr w:type="gramStart"/>
      <w:r w:rsidRPr="00847331">
        <w:rPr>
          <w:rFonts w:ascii="Times New Roman" w:eastAsia="Times New Roman" w:hAnsi="Times New Roman" w:cs="Times New Roman"/>
          <w:color w:val="000000"/>
          <w:sz w:val="21"/>
          <w:szCs w:val="21"/>
          <w:lang w:val="en-US"/>
        </w:rPr>
        <w:t>taking into account</w:t>
      </w:r>
      <w:proofErr w:type="gramEnd"/>
      <w:r w:rsidRPr="00847331">
        <w:rPr>
          <w:rFonts w:ascii="Times New Roman" w:eastAsia="Times New Roman" w:hAnsi="Times New Roman" w:cs="Times New Roman"/>
          <w:color w:val="000000"/>
          <w:sz w:val="21"/>
          <w:szCs w:val="21"/>
          <w:lang w:val="en-US"/>
        </w:rPr>
        <w:t xml:space="preserve"> modern trends in digital transformation.</w:t>
      </w:r>
    </w:p>
    <w:p w14:paraId="38473211" w14:textId="77777777" w:rsidR="00847331" w:rsidRPr="00847331" w:rsidRDefault="00847331" w:rsidP="00D359AC">
      <w:pPr>
        <w:spacing w:after="0" w:line="240" w:lineRule="auto"/>
        <w:ind w:firstLine="709"/>
        <w:jc w:val="both"/>
        <w:rPr>
          <w:rFonts w:ascii="Times New Roman" w:eastAsia="Times New Roman" w:hAnsi="Times New Roman" w:cs="Times New Roman"/>
          <w:color w:val="000000"/>
          <w:sz w:val="21"/>
          <w:szCs w:val="21"/>
          <w:lang w:val="en-US"/>
        </w:rPr>
      </w:pPr>
      <w:r w:rsidRPr="00847331">
        <w:rPr>
          <w:rFonts w:ascii="Times New Roman" w:eastAsia="Times New Roman" w:hAnsi="Times New Roman" w:cs="Times New Roman"/>
          <w:b/>
          <w:bCs/>
          <w:color w:val="000000"/>
          <w:sz w:val="21"/>
          <w:szCs w:val="21"/>
          <w:lang w:val="en-US"/>
        </w:rPr>
        <w:t>Keywords</w:t>
      </w:r>
      <w:r w:rsidRPr="00847331">
        <w:rPr>
          <w:rFonts w:ascii="Times New Roman" w:eastAsia="Times New Roman" w:hAnsi="Times New Roman" w:cs="Times New Roman"/>
          <w:color w:val="000000"/>
          <w:sz w:val="21"/>
          <w:szCs w:val="21"/>
          <w:lang w:val="en-US"/>
        </w:rPr>
        <w:t>: information technology, business management, digitalization, automation, business processes.</w:t>
      </w:r>
    </w:p>
    <w:p w14:paraId="1E5880CF" w14:textId="77777777" w:rsidR="00847331" w:rsidRPr="00847331" w:rsidRDefault="00847331" w:rsidP="00847331">
      <w:pPr>
        <w:spacing w:after="0" w:line="279" w:lineRule="auto"/>
        <w:jc w:val="both"/>
        <w:rPr>
          <w:rFonts w:ascii="Times New Roman" w:eastAsia="Times New Roman" w:hAnsi="Times New Roman" w:cs="Times New Roman"/>
          <w:sz w:val="32"/>
          <w:szCs w:val="32"/>
          <w:lang w:val="en-US"/>
        </w:rPr>
      </w:pPr>
    </w:p>
    <w:p w14:paraId="44523561" w14:textId="77777777" w:rsidR="00847331" w:rsidRPr="00847331" w:rsidRDefault="00847331" w:rsidP="00D359AC">
      <w:pPr>
        <w:keepNext/>
        <w:keepLines/>
        <w:spacing w:after="0" w:line="240" w:lineRule="auto"/>
        <w:ind w:firstLine="709"/>
        <w:jc w:val="both"/>
        <w:outlineLvl w:val="1"/>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Введение </w:t>
      </w:r>
    </w:p>
    <w:p w14:paraId="20D69C36"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В условиях стремительного развития цифровой экономике информационных технологий становятся частью эффективного управления бизнесом. Информационные технологии позволяют </w:t>
      </w:r>
      <w:r w:rsidRPr="00847331">
        <w:rPr>
          <w:rFonts w:ascii="Times New Roman" w:eastAsia="Times New Roman" w:hAnsi="Times New Roman" w:cs="Times New Roman"/>
          <w:sz w:val="32"/>
          <w:szCs w:val="32"/>
        </w:rPr>
        <w:lastRenderedPageBreak/>
        <w:t xml:space="preserve">автоматизировать рутинные операции. Повысить прозрачность бизнес-процессов. Улучшить коммуникацию между поздравлениями и ускорить адаптацию бизнеса. Актуальность темы обусловлена тем, что в настоящие время ИТ не просто поддерживают бизнес-деятельность, а становятся фактором его устойчивости, развития и конкурентоспособности. Особенно это проявляется в условиях цифровой трансформации. Так как управление компанией невозможно без использование разных инструментов. Анализ роли информационных технологий в управление бизнесом позволяет выявить новые возможности повышения эффективности работы организаций и определить направления для дельнейшего развития управленческих практик.  </w:t>
      </w:r>
    </w:p>
    <w:p w14:paraId="64339284" w14:textId="77777777" w:rsidR="00847331" w:rsidRPr="00847331" w:rsidRDefault="00847331" w:rsidP="00D359AC">
      <w:pPr>
        <w:keepNext/>
        <w:keepLines/>
        <w:spacing w:after="0" w:line="240" w:lineRule="auto"/>
        <w:ind w:firstLine="709"/>
        <w:jc w:val="both"/>
        <w:outlineLvl w:val="1"/>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Цель исследования </w:t>
      </w:r>
    </w:p>
    <w:p w14:paraId="2988B60F"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Цель данной работы - выявить роль информационных технологий в управление бизнесом, проанализировать направление их применения и оценить влияние на эффективности деятельности компаний.</w:t>
      </w:r>
    </w:p>
    <w:p w14:paraId="7CBD2AB2" w14:textId="77777777" w:rsidR="00847331" w:rsidRPr="00847331" w:rsidRDefault="00847331" w:rsidP="00D359AC">
      <w:pPr>
        <w:keepNext/>
        <w:keepLines/>
        <w:spacing w:after="0" w:line="240" w:lineRule="auto"/>
        <w:ind w:firstLine="709"/>
        <w:jc w:val="both"/>
        <w:outlineLvl w:val="1"/>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Задачи исследований </w:t>
      </w:r>
    </w:p>
    <w:p w14:paraId="001BF949"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Исследовать технологий и информацию, которые могут помочь улучшить информационные и </w:t>
      </w:r>
      <w:proofErr w:type="gramStart"/>
      <w:r w:rsidRPr="00847331">
        <w:rPr>
          <w:rFonts w:ascii="Times New Roman" w:eastAsia="Times New Roman" w:hAnsi="Times New Roman" w:cs="Times New Roman"/>
          <w:sz w:val="32"/>
          <w:szCs w:val="32"/>
        </w:rPr>
        <w:t>бизнес процессов</w:t>
      </w:r>
      <w:proofErr w:type="gramEnd"/>
      <w:r w:rsidRPr="00847331">
        <w:rPr>
          <w:rFonts w:ascii="Times New Roman" w:eastAsia="Times New Roman" w:hAnsi="Times New Roman" w:cs="Times New Roman"/>
          <w:sz w:val="32"/>
          <w:szCs w:val="32"/>
        </w:rPr>
        <w:t xml:space="preserve">. </w:t>
      </w:r>
    </w:p>
    <w:p w14:paraId="4C371A7E"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Рассмотреть основные функции и возможности информационных технологий бизнеса. </w:t>
      </w:r>
    </w:p>
    <w:p w14:paraId="79003DB8"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Проанализировать направление применение информационных технологий в управление бизнес-процессами.</w:t>
      </w:r>
    </w:p>
    <w:p w14:paraId="194CC44A"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Выявить преимущества и недостатки внедрения информационных технологий в компаниях. </w:t>
      </w:r>
    </w:p>
    <w:p w14:paraId="31131BE2"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Оценить перспективы развития информационных технологий в сфере управление бизнеса. </w:t>
      </w:r>
      <w:r w:rsidRPr="00847331">
        <w:rPr>
          <w:rFonts w:ascii="Aptos" w:eastAsia="Aptos" w:hAnsi="Aptos" w:cs="Times New Roman"/>
          <w:sz w:val="24"/>
          <w:szCs w:val="24"/>
        </w:rPr>
        <w:br/>
      </w:r>
      <w:r w:rsidRPr="00847331">
        <w:rPr>
          <w:rFonts w:ascii="Times New Roman" w:eastAsia="Times New Roman" w:hAnsi="Times New Roman" w:cs="Times New Roman"/>
          <w:sz w:val="32"/>
          <w:szCs w:val="32"/>
        </w:rPr>
        <w:t>Проблема</w:t>
      </w:r>
    </w:p>
    <w:p w14:paraId="45216E24"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Несмотря на очевидные преимущества, многие организации сталкиваются с трудностями при внедрении информационных технологий: нехватка квалифицированных кадров, высокие затраты на внедрение и поддержку, сложности с интеграцией с существующими системами, а также риски, связанные с информационной безопасностью. Эти проблемы требуют комплексного и системного подхода к цифровой трансформации.</w:t>
      </w:r>
    </w:p>
    <w:p w14:paraId="2E8B2808" w14:textId="77777777" w:rsidR="00847331" w:rsidRPr="00847331" w:rsidRDefault="00847331" w:rsidP="00D359AC">
      <w:pPr>
        <w:keepNext/>
        <w:keepLines/>
        <w:spacing w:after="0" w:line="240" w:lineRule="auto"/>
        <w:ind w:firstLine="709"/>
        <w:jc w:val="both"/>
        <w:outlineLvl w:val="1"/>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Основная часть</w:t>
      </w:r>
    </w:p>
    <w:p w14:paraId="2B8B834A" w14:textId="77777777" w:rsidR="00847331" w:rsidRPr="00847331" w:rsidRDefault="00847331" w:rsidP="00D359AC">
      <w:pPr>
        <w:spacing w:after="0" w:line="240" w:lineRule="auto"/>
        <w:ind w:firstLine="709"/>
        <w:jc w:val="both"/>
        <w:rPr>
          <w:rFonts w:ascii="Times New Roman" w:eastAsia="Times New Roman" w:hAnsi="Times New Roman" w:cs="Times New Roman"/>
          <w:sz w:val="32"/>
          <w:szCs w:val="32"/>
        </w:rPr>
      </w:pPr>
      <w:r w:rsidRPr="00847331">
        <w:rPr>
          <w:rFonts w:ascii="Times New Roman" w:eastAsia="Times New Roman" w:hAnsi="Times New Roman" w:cs="Times New Roman"/>
          <w:sz w:val="32"/>
          <w:szCs w:val="32"/>
        </w:rPr>
        <w:t xml:space="preserve"> Исследовать технологию и информацию, которые могут помочь улучшить информационные и </w:t>
      </w:r>
      <w:proofErr w:type="gramStart"/>
      <w:r w:rsidRPr="00847331">
        <w:rPr>
          <w:rFonts w:ascii="Times New Roman" w:eastAsia="Times New Roman" w:hAnsi="Times New Roman" w:cs="Times New Roman"/>
          <w:sz w:val="32"/>
          <w:szCs w:val="32"/>
        </w:rPr>
        <w:t>бизнес процессов</w:t>
      </w:r>
      <w:proofErr w:type="gramEnd"/>
      <w:r w:rsidRPr="00847331">
        <w:rPr>
          <w:rFonts w:ascii="Times New Roman" w:eastAsia="Times New Roman" w:hAnsi="Times New Roman" w:cs="Times New Roman"/>
          <w:sz w:val="32"/>
          <w:szCs w:val="32"/>
        </w:rPr>
        <w:t xml:space="preserve">. Роботизированная автоматизация процессов позволяет автоматизировать сложные </w:t>
      </w:r>
      <w:r w:rsidRPr="00847331">
        <w:rPr>
          <w:rFonts w:ascii="Times New Roman" w:eastAsia="Times New Roman" w:hAnsi="Times New Roman" w:cs="Times New Roman"/>
          <w:sz w:val="32"/>
          <w:szCs w:val="32"/>
        </w:rPr>
        <w:lastRenderedPageBreak/>
        <w:t xml:space="preserve">процессы. Такие как обработка данных, заполнение форм и передача файлов. Это повышает скорость выполнение задач и снижает вероятность ошибок, освобождая сотрудников на другие дела. Применение роботизированных автоматизированных процессов помогает повысить гибкость и оперативность бизнеса, а также снижению операционных затрат. Нынешние системы аналитики данных помогают собрать и обработать объёмы информации о продаже, клиентах и рыночных тенденциях. Это помогает компаниям выявлять скрытые паттерны, прогнозировать спрос и принимать обоснованные решения. Аналитика данных становится неотъемлемой частью стратегического планирования и управление бизнесом. Информационные технологии — это совокупность программных и технических средств для сбора, хранения обработки и передачи данных. Которые поддерживают управленческие решения и автоматизирую бизнес-процессы. Их использование позволяет повысить скорость и качество обмена информацией, сократить время выполнения рутинных операций и минимизировать влияние человеческого фактора. Основные направления применения информационных технологий в бизнес-управлении. Автоматизации бизнес-процессов: переход от бумажного документооборота к электронному с использованием электронных подписей и шаблонов документов сокращает время обработки и количество ошибок. Системы планирования ресурсов предприятия: интеграция функций компании в единую платформу для контроля производство, закупок, продаж и финансов. Системы управления взаимоотношения с клиентами: автоматизация маркетинга, продаж и обслуживания. Бизнес-аналитика: сбор и анализа данных для прогнозирования, оценки эффективности и планирования. Преимущества внедрения информационных технологий для повышения эффективности и производительности за счет оптимизации и автоматизации процессов. Сокращение затрат на управление и операционные расходы. Улучшение качества скорости принятия решений благодаря доступу к актуальной информации. Повышение конкурентоспособности и адаптивности к изменениям рынка. Улучшение коммуникации внутри компании и с клиентами. Недостатки внедрение информационных специалистов для разработки и эксплуатации решений. Сложности интеграции новых технологий с существующей инфраструктурой. Риски информационной безопасности и защиты данных. Необходимость постоянного обновления и адаптации систем к </w:t>
      </w:r>
      <w:r w:rsidRPr="00847331">
        <w:rPr>
          <w:rFonts w:ascii="Times New Roman" w:eastAsia="Times New Roman" w:hAnsi="Times New Roman" w:cs="Times New Roman"/>
          <w:sz w:val="32"/>
          <w:szCs w:val="32"/>
        </w:rPr>
        <w:lastRenderedPageBreak/>
        <w:t xml:space="preserve">требованиям бизнеса. Современные информационные технологии становятся частью стратегического развития бизнеса, гибкости конкурентоспособности организации. С учетом стремительного технологического прогресса компании сталкиваются с необходимостью адаптации к новым условиям, что требует внедрения передовых решений. Интернет представляет собой связь различных устройств с интернетом для обмена информации. Эта технология меняет подход к управлению домами, транспортом и городами. Можно создавать “умные” дома, в которых есть связь между устройствами. Облачные сервисы представляют компаниям возможность хранить и обрабатывать данные удаленно, что снижает затраты на инфраструктуру и повышает гибкость бизнес-процессов. Перспективы развития информационных технологий станут новым стандартом в бизнесе. Перспективы развития информационных технологий в управлении бизнесом. Одним из ключевых направлениям использования информационных технологий является автоматизации рутинных задач. Системы управления предприятием, управлением взаимоотношениям с клиентами и управлением складом позволяет интегрировать различные аспекты бизнеса, обеспечивая информационную среду. Это способствует повышению эффективности, снижению ошибок и ускорения процессов принятие решения. Современные технологии аналитики данных позволяют компаниям обрабатывать огромные объемы информации выявлять скрытые закономерности. Это помогает в прогнозирование спроса, оптимизации ценовой политики и улучшение качества обслуживания клиентов. Например, предиктивная аналитика может предсказать поведение потребителей, помогая компании найти новую стратегии.  Облачные решения предоставляют компаниям гибкость и масштабируемость. Это снижает затраты на инфраструктуру и обеспечивая доступ к данным в реальном времени. Кроме того, обычные технологии способствую улучшению совместной работы и мобильности сотрудников, что важно удаленной работы и глобализации бизнеса. С увеличением объема данных и числа цифровых взаимодействий возрастает и угроза кибератак. Инвестиции в кибербезопасности становятся обязательными так как потеря данных может привести к плачевным последствиям. Компании должны внедрять новые технологии защиты, обучать сотрудников разрабатывать стратегии реагирования на инциденты. Интернет вещей позволяет подключать различные устройства и системы к интернету. </w:t>
      </w:r>
      <w:r w:rsidRPr="00847331">
        <w:rPr>
          <w:rFonts w:ascii="Times New Roman" w:eastAsia="Times New Roman" w:hAnsi="Times New Roman" w:cs="Times New Roman"/>
          <w:sz w:val="32"/>
          <w:szCs w:val="32"/>
        </w:rPr>
        <w:lastRenderedPageBreak/>
        <w:t>В бизнесе интернет вещей используется для мониторинга состояние оборудования, управления запасами и оптимизации процессов. Датчики могут отслеживать уровень сырья на складе, автоматически заказывая новые при необходимости. Информационные технологии помогают повысить эффективность, снизить затраты и улучшить качество обслуживания клиентов. Компании, которые использую информационные технологии способны быстрее адаптироваться к изменениям рынка, принимать решения и достигать роста. Однако успешная цифровая трансформация требует внедрения технологий и изменения корпоративной культуры и обучения специалистов.</w:t>
      </w:r>
    </w:p>
    <w:p w14:paraId="22387332" w14:textId="77777777" w:rsidR="00847331" w:rsidRPr="00847331" w:rsidRDefault="00847331" w:rsidP="00847331">
      <w:pPr>
        <w:spacing w:before="40" w:after="40" w:line="279" w:lineRule="auto"/>
        <w:jc w:val="both"/>
        <w:rPr>
          <w:rFonts w:ascii="Times New Roman" w:eastAsia="Times New Roman" w:hAnsi="Times New Roman" w:cs="Times New Roman"/>
          <w:b/>
          <w:bCs/>
          <w:sz w:val="32"/>
          <w:szCs w:val="32"/>
        </w:rPr>
      </w:pPr>
    </w:p>
    <w:p w14:paraId="39DE2A35" w14:textId="77777777" w:rsidR="00D359AC" w:rsidRPr="00D359AC" w:rsidRDefault="00D359AC" w:rsidP="00D359AC">
      <w:pPr>
        <w:spacing w:before="40" w:after="40" w:line="279" w:lineRule="auto"/>
        <w:jc w:val="center"/>
        <w:rPr>
          <w:rFonts w:ascii="Times New Roman" w:eastAsia="Times New Roman" w:hAnsi="Times New Roman" w:cs="Times New Roman"/>
          <w:b/>
          <w:bCs/>
          <w:sz w:val="21"/>
          <w:szCs w:val="21"/>
        </w:rPr>
      </w:pPr>
      <w:r w:rsidRPr="00D359AC">
        <w:rPr>
          <w:rFonts w:ascii="Times New Roman" w:eastAsia="Times New Roman" w:hAnsi="Times New Roman" w:cs="Times New Roman"/>
          <w:b/>
          <w:bCs/>
          <w:sz w:val="21"/>
          <w:szCs w:val="21"/>
        </w:rPr>
        <w:t>Литература:</w:t>
      </w:r>
    </w:p>
    <w:p w14:paraId="6AA7F950" w14:textId="4A9B10BE" w:rsidR="00847331" w:rsidRPr="00D359AC" w:rsidRDefault="00847331" w:rsidP="00AD58CD">
      <w:pPr>
        <w:pStyle w:val="a8"/>
        <w:numPr>
          <w:ilvl w:val="0"/>
          <w:numId w:val="127"/>
        </w:numPr>
        <w:tabs>
          <w:tab w:val="clear" w:pos="720"/>
          <w:tab w:val="num" w:pos="426"/>
        </w:tabs>
        <w:spacing w:before="40" w:after="40" w:line="279" w:lineRule="auto"/>
        <w:ind w:left="426" w:hanging="426"/>
        <w:jc w:val="both"/>
        <w:rPr>
          <w:rFonts w:ascii="Times New Roman" w:eastAsia="Times New Roman" w:hAnsi="Times New Roman" w:cs="Times New Roman"/>
          <w:sz w:val="21"/>
          <w:szCs w:val="21"/>
        </w:rPr>
      </w:pPr>
      <w:r w:rsidRPr="00D359AC">
        <w:rPr>
          <w:rFonts w:ascii="Times New Roman" w:eastAsia="Times New Roman" w:hAnsi="Times New Roman" w:cs="Times New Roman"/>
          <w:sz w:val="21"/>
          <w:szCs w:val="21"/>
        </w:rPr>
        <w:t>Музычкин П. А. Информационные технологии в менеджменте: учебник и практикум для СПО. — 3-е изд., перераб</w:t>
      </w:r>
      <w:proofErr w:type="gramStart"/>
      <w:r w:rsidRPr="00D359AC">
        <w:rPr>
          <w:rFonts w:ascii="Times New Roman" w:eastAsia="Times New Roman" w:hAnsi="Times New Roman" w:cs="Times New Roman"/>
          <w:sz w:val="21"/>
          <w:szCs w:val="21"/>
        </w:rPr>
        <w:t>.</w:t>
      </w:r>
      <w:proofErr w:type="gramEnd"/>
      <w:r w:rsidRPr="00D359AC">
        <w:rPr>
          <w:rFonts w:ascii="Times New Roman" w:eastAsia="Times New Roman" w:hAnsi="Times New Roman" w:cs="Times New Roman"/>
          <w:sz w:val="21"/>
          <w:szCs w:val="21"/>
        </w:rPr>
        <w:t xml:space="preserve"> и доп. — Москва: Юрайт, 2023. — 336 с. (дата обращение 28.04.2025)</w:t>
      </w:r>
    </w:p>
    <w:p w14:paraId="49145C16" w14:textId="77777777" w:rsidR="00847331" w:rsidRPr="00D359AC" w:rsidRDefault="00847331" w:rsidP="00AD58CD">
      <w:pPr>
        <w:pStyle w:val="a8"/>
        <w:numPr>
          <w:ilvl w:val="0"/>
          <w:numId w:val="127"/>
        </w:numPr>
        <w:tabs>
          <w:tab w:val="clear" w:pos="720"/>
          <w:tab w:val="num" w:pos="426"/>
        </w:tabs>
        <w:spacing w:line="279" w:lineRule="auto"/>
        <w:ind w:left="426" w:hanging="426"/>
        <w:jc w:val="both"/>
        <w:rPr>
          <w:rFonts w:ascii="Times New Roman" w:eastAsia="Times New Roman" w:hAnsi="Times New Roman" w:cs="Times New Roman"/>
          <w:sz w:val="21"/>
          <w:szCs w:val="21"/>
        </w:rPr>
      </w:pPr>
      <w:r w:rsidRPr="00D359AC">
        <w:rPr>
          <w:rFonts w:ascii="Times New Roman" w:eastAsia="Times New Roman" w:hAnsi="Times New Roman" w:cs="Times New Roman"/>
          <w:sz w:val="21"/>
          <w:szCs w:val="21"/>
        </w:rPr>
        <w:t>Баронов В. В., Калянов Г. Н. Информационные технологии и управление предприятием. — Москва: ЛитРес, 2023. — 312 с. (дата обращения 20.04.2025)</w:t>
      </w:r>
    </w:p>
    <w:p w14:paraId="2D1D92A8" w14:textId="77777777" w:rsidR="00847331" w:rsidRPr="00D359AC" w:rsidRDefault="00847331" w:rsidP="00AD58CD">
      <w:pPr>
        <w:pStyle w:val="a8"/>
        <w:numPr>
          <w:ilvl w:val="0"/>
          <w:numId w:val="127"/>
        </w:numPr>
        <w:tabs>
          <w:tab w:val="clear" w:pos="720"/>
          <w:tab w:val="num" w:pos="426"/>
        </w:tabs>
        <w:spacing w:line="279" w:lineRule="auto"/>
        <w:ind w:left="426" w:hanging="426"/>
        <w:jc w:val="both"/>
        <w:rPr>
          <w:rFonts w:ascii="Times New Roman" w:eastAsia="Times New Roman" w:hAnsi="Times New Roman" w:cs="Times New Roman"/>
          <w:sz w:val="21"/>
          <w:szCs w:val="21"/>
        </w:rPr>
      </w:pPr>
      <w:r w:rsidRPr="00D359AC">
        <w:rPr>
          <w:rFonts w:ascii="Times New Roman" w:eastAsia="Times New Roman" w:hAnsi="Times New Roman" w:cs="Times New Roman"/>
          <w:sz w:val="21"/>
          <w:szCs w:val="21"/>
        </w:rPr>
        <w:t>Романова Ю. Д., Дьяконова Л. П., Женова Н. А. Современные информационно-коммуникационные технологии для успешного ведения бизнеса: учебное пособие. — Москва: ИНФРА-М, 2023. — 208 с. (дата обращения 30.04.2025)</w:t>
      </w:r>
    </w:p>
    <w:p w14:paraId="629008A0" w14:textId="77777777" w:rsidR="00847331" w:rsidRDefault="00847331" w:rsidP="00AD58CD">
      <w:pPr>
        <w:pStyle w:val="a8"/>
        <w:numPr>
          <w:ilvl w:val="0"/>
          <w:numId w:val="127"/>
        </w:numPr>
        <w:tabs>
          <w:tab w:val="clear" w:pos="720"/>
          <w:tab w:val="num" w:pos="426"/>
        </w:tabs>
        <w:spacing w:line="279" w:lineRule="auto"/>
        <w:ind w:left="426" w:hanging="426"/>
        <w:jc w:val="both"/>
        <w:rPr>
          <w:rFonts w:ascii="Times New Roman" w:eastAsia="Times New Roman" w:hAnsi="Times New Roman" w:cs="Times New Roman"/>
          <w:sz w:val="21"/>
          <w:szCs w:val="21"/>
        </w:rPr>
      </w:pPr>
      <w:r w:rsidRPr="00D359AC">
        <w:rPr>
          <w:rFonts w:ascii="Times New Roman" w:eastAsia="Times New Roman" w:hAnsi="Times New Roman" w:cs="Times New Roman"/>
          <w:sz w:val="21"/>
          <w:szCs w:val="21"/>
        </w:rPr>
        <w:t>Чукарин А. В., Самуйлов К. Е., Яркина Н. В. Бизнес-процессы и информационные технологии в управлении современной инфокоммуникационной компанией. — Москва: Альпина Паблишер, 2016. — 240 с. (дата обращения 2.05.2025)</w:t>
      </w:r>
    </w:p>
    <w:p w14:paraId="506A6660" w14:textId="77777777" w:rsidR="00B726B3" w:rsidRDefault="00B726B3"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eastAsia="ja-JP" w:bidi="fa-IR"/>
        </w:rPr>
      </w:pPr>
    </w:p>
    <w:p w14:paraId="23535D3B" w14:textId="2558881C"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eastAsia="ja-JP" w:bidi="fa-IR"/>
        </w:rPr>
      </w:pPr>
      <w:r w:rsidRPr="006F1DF5">
        <w:rPr>
          <w:rFonts w:ascii="Times New Roman" w:eastAsia="Andale Sans UI" w:hAnsi="Times New Roman" w:cs="Tahoma"/>
          <w:b/>
          <w:i/>
          <w:kern w:val="3"/>
          <w:sz w:val="21"/>
          <w:szCs w:val="21"/>
          <w:lang w:eastAsia="ja-JP" w:bidi="fa-IR"/>
        </w:rPr>
        <w:t>Белоусова О.Н.,</w:t>
      </w:r>
    </w:p>
    <w:p w14:paraId="502C72B4"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eastAsia="ja-JP" w:bidi="fa-IR"/>
        </w:rPr>
      </w:pPr>
      <w:r w:rsidRPr="006F1DF5">
        <w:rPr>
          <w:rFonts w:ascii="Times New Roman" w:eastAsia="Andale Sans UI" w:hAnsi="Times New Roman" w:cs="Tahoma"/>
          <w:i/>
          <w:kern w:val="3"/>
          <w:sz w:val="21"/>
          <w:szCs w:val="21"/>
          <w:lang w:eastAsia="ja-JP" w:bidi="fa-IR"/>
        </w:rPr>
        <w:t>студент 1 курса</w:t>
      </w:r>
    </w:p>
    <w:p w14:paraId="13C87D0F" w14:textId="77777777" w:rsidR="00052E8A" w:rsidRDefault="00052E8A" w:rsidP="00052E8A">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57874E1"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eastAsia="ja-JP" w:bidi="fa-IR"/>
        </w:rPr>
      </w:pPr>
      <w:r w:rsidRPr="006F1DF5">
        <w:rPr>
          <w:rFonts w:ascii="Times New Roman" w:eastAsia="Andale Sans UI" w:hAnsi="Times New Roman" w:cs="Tahoma"/>
          <w:i/>
          <w:kern w:val="3"/>
          <w:sz w:val="21"/>
          <w:szCs w:val="21"/>
          <w:lang w:eastAsia="ja-JP" w:bidi="fa-IR"/>
        </w:rPr>
        <w:t>г. Краснодар, Россия</w:t>
      </w:r>
    </w:p>
    <w:p w14:paraId="6928AA7C" w14:textId="6AD50305"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i/>
          <w:kern w:val="3"/>
          <w:sz w:val="21"/>
          <w:szCs w:val="21"/>
          <w:lang w:val="en-US" w:eastAsia="ja-JP" w:bidi="fa-IR"/>
        </w:rPr>
        <w:t>email</w:t>
      </w:r>
      <w:r w:rsidRPr="006F1DF5">
        <w:rPr>
          <w:rFonts w:ascii="Times New Roman" w:eastAsia="Andale Sans UI" w:hAnsi="Times New Roman" w:cs="Tahoma"/>
          <w:i/>
          <w:kern w:val="3"/>
          <w:sz w:val="21"/>
          <w:szCs w:val="21"/>
          <w:lang w:eastAsia="ja-JP" w:bidi="fa-IR"/>
        </w:rPr>
        <w:t>:</w:t>
      </w:r>
      <w:r w:rsidR="008C426F">
        <w:rPr>
          <w:rFonts w:ascii="Times New Roman" w:eastAsia="Andale Sans UI" w:hAnsi="Times New Roman" w:cs="Tahoma"/>
          <w:i/>
          <w:kern w:val="3"/>
          <w:sz w:val="21"/>
          <w:szCs w:val="21"/>
          <w:lang w:eastAsia="ja-JP" w:bidi="fa-IR"/>
        </w:rPr>
        <w:t xml:space="preserve"> </w:t>
      </w:r>
      <w:r w:rsidRPr="006F1DF5">
        <w:rPr>
          <w:rFonts w:ascii="Times New Roman" w:eastAsia="Andale Sans UI" w:hAnsi="Times New Roman" w:cs="Tahoma"/>
          <w:i/>
          <w:kern w:val="3"/>
          <w:sz w:val="21"/>
          <w:szCs w:val="21"/>
          <w:lang w:eastAsia="ja-JP" w:bidi="fa-IR"/>
        </w:rPr>
        <w:t>100</w:t>
      </w:r>
      <w:r w:rsidRPr="006F1DF5">
        <w:rPr>
          <w:rFonts w:ascii="Times New Roman" w:eastAsia="Andale Sans UI" w:hAnsi="Times New Roman" w:cs="Tahoma"/>
          <w:i/>
          <w:kern w:val="3"/>
          <w:sz w:val="21"/>
          <w:szCs w:val="21"/>
          <w:lang w:val="en-US" w:eastAsia="ja-JP" w:bidi="fa-IR"/>
        </w:rPr>
        <w:t>dot</w:t>
      </w:r>
      <w:r w:rsidRPr="006F1DF5">
        <w:rPr>
          <w:rFonts w:ascii="Times New Roman" w:eastAsia="Andale Sans UI" w:hAnsi="Times New Roman" w:cs="Tahoma"/>
          <w:i/>
          <w:kern w:val="3"/>
          <w:sz w:val="21"/>
          <w:szCs w:val="21"/>
          <w:lang w:eastAsia="ja-JP" w:bidi="fa-IR"/>
        </w:rPr>
        <w:t>13</w:t>
      </w:r>
      <w:r w:rsidRPr="006F1DF5">
        <w:rPr>
          <w:rFonts w:ascii="Times New Roman" w:eastAsia="Andale Sans UI" w:hAnsi="Times New Roman" w:cs="Tahoma"/>
          <w:i/>
          <w:kern w:val="3"/>
          <w:sz w:val="21"/>
          <w:szCs w:val="21"/>
          <w:lang w:val="en-US" w:eastAsia="ja-JP" w:bidi="fa-IR"/>
        </w:rPr>
        <w:t>sl</w:t>
      </w:r>
      <w:r w:rsidRPr="006F1DF5">
        <w:rPr>
          <w:rFonts w:ascii="Times New Roman" w:eastAsia="Andale Sans UI" w:hAnsi="Times New Roman" w:cs="Tahoma"/>
          <w:i/>
          <w:kern w:val="3"/>
          <w:sz w:val="21"/>
          <w:szCs w:val="21"/>
          <w:lang w:eastAsia="ja-JP" w:bidi="fa-IR"/>
        </w:rPr>
        <w:t>240371@</w:t>
      </w:r>
      <w:r w:rsidRPr="006F1DF5">
        <w:rPr>
          <w:rFonts w:ascii="Times New Roman" w:eastAsia="Andale Sans UI" w:hAnsi="Times New Roman" w:cs="Tahoma"/>
          <w:i/>
          <w:kern w:val="3"/>
          <w:sz w:val="21"/>
          <w:szCs w:val="21"/>
          <w:lang w:val="en-US" w:eastAsia="ja-JP" w:bidi="fa-IR"/>
        </w:rPr>
        <w:t>edu</w:t>
      </w:r>
      <w:r w:rsidRPr="006F1DF5">
        <w:rPr>
          <w:rFonts w:ascii="Times New Roman" w:eastAsia="Andale Sans UI" w:hAnsi="Times New Roman" w:cs="Tahoma"/>
          <w:i/>
          <w:kern w:val="3"/>
          <w:sz w:val="21"/>
          <w:szCs w:val="21"/>
          <w:lang w:eastAsia="ja-JP" w:bidi="fa-IR"/>
        </w:rPr>
        <w:t>.</w:t>
      </w:r>
      <w:r w:rsidRPr="006F1DF5">
        <w:rPr>
          <w:rFonts w:ascii="Times New Roman" w:eastAsia="Andale Sans UI" w:hAnsi="Times New Roman" w:cs="Tahoma"/>
          <w:i/>
          <w:kern w:val="3"/>
          <w:sz w:val="21"/>
          <w:szCs w:val="21"/>
          <w:lang w:val="en-US" w:eastAsia="ja-JP" w:bidi="fa-IR"/>
        </w:rPr>
        <w:t>fa</w:t>
      </w:r>
      <w:r w:rsidRPr="006F1DF5">
        <w:rPr>
          <w:rFonts w:ascii="Times New Roman" w:eastAsia="Andale Sans UI" w:hAnsi="Times New Roman" w:cs="Tahoma"/>
          <w:i/>
          <w:kern w:val="3"/>
          <w:sz w:val="21"/>
          <w:szCs w:val="21"/>
          <w:lang w:eastAsia="ja-JP" w:bidi="fa-IR"/>
        </w:rPr>
        <w:t>.</w:t>
      </w:r>
      <w:r w:rsidRPr="006F1DF5">
        <w:rPr>
          <w:rFonts w:ascii="Times New Roman" w:eastAsia="Andale Sans UI" w:hAnsi="Times New Roman" w:cs="Tahoma"/>
          <w:i/>
          <w:kern w:val="3"/>
          <w:sz w:val="21"/>
          <w:szCs w:val="21"/>
          <w:lang w:val="en-US" w:eastAsia="ja-JP" w:bidi="fa-IR"/>
        </w:rPr>
        <w:t>ru</w:t>
      </w:r>
    </w:p>
    <w:p w14:paraId="58215394"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eastAsia="ja-JP" w:bidi="fa-IR"/>
        </w:rPr>
      </w:pPr>
    </w:p>
    <w:p w14:paraId="11902A43"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eastAsia="ja-JP" w:bidi="fa-IR"/>
        </w:rPr>
      </w:pPr>
      <w:r w:rsidRPr="006F1DF5">
        <w:rPr>
          <w:rFonts w:ascii="Times New Roman" w:eastAsia="Andale Sans UI" w:hAnsi="Times New Roman" w:cs="Tahoma"/>
          <w:b/>
          <w:i/>
          <w:kern w:val="3"/>
          <w:sz w:val="21"/>
          <w:szCs w:val="21"/>
          <w:lang w:eastAsia="ja-JP" w:bidi="fa-IR"/>
        </w:rPr>
        <w:t>Научный руководитель:</w:t>
      </w:r>
    </w:p>
    <w:p w14:paraId="62B2097B"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eastAsia="ja-JP" w:bidi="fa-IR"/>
        </w:rPr>
      </w:pPr>
      <w:r w:rsidRPr="006F1DF5">
        <w:rPr>
          <w:rFonts w:ascii="Times New Roman" w:eastAsia="Andale Sans UI" w:hAnsi="Times New Roman" w:cs="Tahoma"/>
          <w:b/>
          <w:i/>
          <w:kern w:val="3"/>
          <w:sz w:val="21"/>
          <w:szCs w:val="21"/>
          <w:lang w:eastAsia="ja-JP" w:bidi="fa-IR"/>
        </w:rPr>
        <w:t>Радченко М.В.,</w:t>
      </w:r>
    </w:p>
    <w:p w14:paraId="632295EA"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eastAsia="ja-JP" w:bidi="fa-IR"/>
        </w:rPr>
      </w:pPr>
      <w:r w:rsidRPr="006F1DF5">
        <w:rPr>
          <w:rFonts w:ascii="Times New Roman" w:eastAsia="Andale Sans UI" w:hAnsi="Times New Roman" w:cs="Tahoma"/>
          <w:i/>
          <w:kern w:val="3"/>
          <w:sz w:val="21"/>
          <w:szCs w:val="21"/>
          <w:lang w:eastAsia="ja-JP" w:bidi="fa-IR"/>
        </w:rPr>
        <w:t>доцент, к.э.н.</w:t>
      </w:r>
    </w:p>
    <w:p w14:paraId="7107A4E7" w14:textId="77777777" w:rsidR="00052E8A" w:rsidRDefault="00052E8A" w:rsidP="00052E8A">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239ECD7"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eastAsia="ja-JP" w:bidi="fa-IR"/>
        </w:rPr>
      </w:pPr>
      <w:r w:rsidRPr="006F1DF5">
        <w:rPr>
          <w:rFonts w:ascii="Times New Roman" w:eastAsia="Andale Sans UI" w:hAnsi="Times New Roman" w:cs="Tahoma"/>
          <w:i/>
          <w:kern w:val="3"/>
          <w:sz w:val="21"/>
          <w:szCs w:val="21"/>
          <w:lang w:eastAsia="ja-JP" w:bidi="fa-IR"/>
        </w:rPr>
        <w:t>г. Краснодар, Россия</w:t>
      </w:r>
    </w:p>
    <w:p w14:paraId="233FC5EE" w14:textId="239A5399"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i/>
          <w:kern w:val="3"/>
          <w:sz w:val="21"/>
          <w:szCs w:val="21"/>
          <w:lang w:val="en-US" w:eastAsia="ja-JP" w:bidi="fa-IR"/>
        </w:rPr>
        <w:t>email</w:t>
      </w:r>
      <w:r w:rsidRPr="006F1DF5">
        <w:rPr>
          <w:rFonts w:ascii="Times New Roman" w:eastAsia="Andale Sans UI" w:hAnsi="Times New Roman" w:cs="Tahoma"/>
          <w:i/>
          <w:kern w:val="3"/>
          <w:sz w:val="21"/>
          <w:szCs w:val="21"/>
          <w:lang w:eastAsia="ja-JP" w:bidi="fa-IR"/>
        </w:rPr>
        <w:t>:</w:t>
      </w:r>
      <w:r w:rsidR="00052E8A">
        <w:rPr>
          <w:rFonts w:ascii="Times New Roman" w:eastAsia="Andale Sans UI" w:hAnsi="Times New Roman" w:cs="Tahoma"/>
          <w:i/>
          <w:kern w:val="3"/>
          <w:sz w:val="21"/>
          <w:szCs w:val="21"/>
          <w:lang w:eastAsia="ja-JP" w:bidi="fa-IR"/>
        </w:rPr>
        <w:t xml:space="preserve"> </w:t>
      </w:r>
      <w:r w:rsidRPr="006F1DF5">
        <w:rPr>
          <w:rFonts w:ascii="Times New Roman" w:eastAsia="Andale Sans UI" w:hAnsi="Times New Roman" w:cs="Tahoma"/>
          <w:i/>
          <w:kern w:val="3"/>
          <w:sz w:val="21"/>
          <w:szCs w:val="21"/>
          <w:lang w:val="en-US" w:eastAsia="ja-JP" w:bidi="fa-IR"/>
        </w:rPr>
        <w:t>mvradchenko</w:t>
      </w:r>
      <w:r w:rsidRPr="006F1DF5">
        <w:rPr>
          <w:rFonts w:ascii="Times New Roman" w:eastAsia="Andale Sans UI" w:hAnsi="Times New Roman" w:cs="Tahoma"/>
          <w:i/>
          <w:kern w:val="3"/>
          <w:sz w:val="21"/>
          <w:szCs w:val="21"/>
          <w:lang w:eastAsia="ja-JP" w:bidi="fa-IR"/>
        </w:rPr>
        <w:t>@</w:t>
      </w:r>
      <w:r w:rsidRPr="006F1DF5">
        <w:rPr>
          <w:rFonts w:ascii="Times New Roman" w:eastAsia="Andale Sans UI" w:hAnsi="Times New Roman" w:cs="Tahoma"/>
          <w:i/>
          <w:kern w:val="3"/>
          <w:sz w:val="21"/>
          <w:szCs w:val="21"/>
          <w:lang w:val="en-US" w:eastAsia="ja-JP" w:bidi="fa-IR"/>
        </w:rPr>
        <w:t>fa</w:t>
      </w:r>
      <w:r w:rsidRPr="006F1DF5">
        <w:rPr>
          <w:rFonts w:ascii="Times New Roman" w:eastAsia="Andale Sans UI" w:hAnsi="Times New Roman" w:cs="Tahoma"/>
          <w:i/>
          <w:kern w:val="3"/>
          <w:sz w:val="21"/>
          <w:szCs w:val="21"/>
          <w:lang w:eastAsia="ja-JP" w:bidi="fa-IR"/>
        </w:rPr>
        <w:t>.</w:t>
      </w:r>
      <w:r w:rsidRPr="006F1DF5">
        <w:rPr>
          <w:rFonts w:ascii="Times New Roman" w:eastAsia="Andale Sans UI" w:hAnsi="Times New Roman" w:cs="Tahoma"/>
          <w:i/>
          <w:kern w:val="3"/>
          <w:sz w:val="21"/>
          <w:szCs w:val="21"/>
          <w:lang w:val="en-US" w:eastAsia="ja-JP" w:bidi="fa-IR"/>
        </w:rPr>
        <w:t>ru</w:t>
      </w:r>
    </w:p>
    <w:p w14:paraId="6098FC6C"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1"/>
          <w:szCs w:val="21"/>
          <w:lang w:eastAsia="ja-JP" w:bidi="fa-IR"/>
        </w:rPr>
      </w:pPr>
    </w:p>
    <w:p w14:paraId="6818A794"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b/>
          <w:bCs/>
          <w:kern w:val="3"/>
          <w:sz w:val="21"/>
          <w:szCs w:val="21"/>
          <w:lang w:eastAsia="ja-JP" w:bidi="fa-IR"/>
        </w:rPr>
        <w:t xml:space="preserve">Оценка инвестиционной </w:t>
      </w:r>
      <w:r w:rsidRPr="006F1DF5">
        <w:rPr>
          <w:rFonts w:ascii="Times New Roman" w:eastAsia="Andale Sans UI" w:hAnsi="Times New Roman" w:cs="Tahoma"/>
          <w:b/>
          <w:bCs/>
          <w:kern w:val="3"/>
          <w:sz w:val="21"/>
          <w:szCs w:val="21"/>
          <w:lang w:val="de-DE" w:eastAsia="ja-JP" w:bidi="fa-IR"/>
        </w:rPr>
        <w:t>привлекательност</w:t>
      </w:r>
      <w:r w:rsidRPr="006F1DF5">
        <w:rPr>
          <w:rFonts w:ascii="Times New Roman" w:eastAsia="Andale Sans UI" w:hAnsi="Times New Roman" w:cs="Tahoma"/>
          <w:b/>
          <w:bCs/>
          <w:kern w:val="3"/>
          <w:sz w:val="21"/>
          <w:szCs w:val="21"/>
          <w:lang w:eastAsia="ja-JP" w:bidi="fa-IR"/>
        </w:rPr>
        <w:t>и</w:t>
      </w:r>
      <w:r w:rsidRPr="006F1DF5">
        <w:rPr>
          <w:rFonts w:ascii="Times New Roman" w:eastAsia="Andale Sans UI" w:hAnsi="Times New Roman" w:cs="Tahoma"/>
          <w:b/>
          <w:bCs/>
          <w:kern w:val="3"/>
          <w:sz w:val="21"/>
          <w:szCs w:val="21"/>
          <w:lang w:val="de-DE" w:eastAsia="ja-JP" w:bidi="fa-IR"/>
        </w:rPr>
        <w:t xml:space="preserve"> региона (Краснодарский край)</w:t>
      </w:r>
    </w:p>
    <w:p w14:paraId="14E1CBA2" w14:textId="77777777" w:rsidR="006F1DF5" w:rsidRP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b/>
          <w:bCs/>
          <w:kern w:val="3"/>
          <w:sz w:val="21"/>
          <w:szCs w:val="21"/>
          <w:lang w:eastAsia="ja-JP" w:bidi="fa-IR"/>
        </w:rPr>
      </w:pPr>
    </w:p>
    <w:p w14:paraId="354DCAC9" w14:textId="77777777" w:rsidR="006F1DF5" w:rsidRP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bCs/>
          <w:kern w:val="3"/>
          <w:sz w:val="21"/>
          <w:szCs w:val="21"/>
          <w:lang w:eastAsia="ja-JP" w:bidi="fa-IR"/>
        </w:rPr>
        <w:tab/>
      </w:r>
      <w:r w:rsidRPr="006F1DF5">
        <w:rPr>
          <w:rFonts w:ascii="Times New Roman" w:eastAsia="Andale Sans UI" w:hAnsi="Times New Roman" w:cs="Tahoma"/>
          <w:b/>
          <w:bCs/>
          <w:kern w:val="3"/>
          <w:sz w:val="21"/>
          <w:szCs w:val="21"/>
          <w:lang w:eastAsia="ja-JP" w:bidi="fa-IR"/>
        </w:rPr>
        <w:t>Аннотация:</w:t>
      </w:r>
      <w:r w:rsidRPr="006F1DF5">
        <w:rPr>
          <w:rFonts w:ascii="Times New Roman" w:eastAsia="Andale Sans UI" w:hAnsi="Times New Roman" w:cs="Tahoma"/>
          <w:bCs/>
          <w:kern w:val="3"/>
          <w:sz w:val="21"/>
          <w:szCs w:val="21"/>
          <w:lang w:eastAsia="ja-JP" w:bidi="fa-IR"/>
        </w:rPr>
        <w:t xml:space="preserve"> </w:t>
      </w:r>
      <w:r w:rsidRPr="006F1DF5">
        <w:rPr>
          <w:rFonts w:ascii="Times New Roman" w:eastAsia="Andale Sans UI" w:hAnsi="Times New Roman" w:cs="Tahoma"/>
          <w:kern w:val="3"/>
          <w:sz w:val="21"/>
          <w:szCs w:val="21"/>
          <w:lang w:eastAsia="ja-JP" w:bidi="fa-IR"/>
        </w:rPr>
        <w:t xml:space="preserve">В статье комплексно оценивается инвестиционная привлекательность Краснодарского края на основе анализа социально-экономических показателей, ресурсного потенциала, инфраструктуры и </w:t>
      </w:r>
      <w:r w:rsidRPr="006F1DF5">
        <w:rPr>
          <w:rFonts w:ascii="Times New Roman" w:eastAsia="Andale Sans UI" w:hAnsi="Times New Roman" w:cs="Tahoma"/>
          <w:kern w:val="3"/>
          <w:sz w:val="21"/>
          <w:szCs w:val="21"/>
          <w:lang w:val="en-US" w:eastAsia="ja-JP" w:bidi="fa-IR"/>
        </w:rPr>
        <w:t>SWOT</w:t>
      </w:r>
      <w:r w:rsidRPr="006F1DF5">
        <w:rPr>
          <w:rFonts w:ascii="Times New Roman" w:eastAsia="Andale Sans UI" w:hAnsi="Times New Roman" w:cs="Tahoma"/>
          <w:kern w:val="3"/>
          <w:sz w:val="21"/>
          <w:szCs w:val="21"/>
          <w:lang w:eastAsia="ja-JP" w:bidi="fa-IR"/>
        </w:rPr>
        <w:t>-анализа. Рассматриваются ключевые сектора экономики, такие как сельское хозяйство, туризм, транспорт и промышленность. Результаты исследования демонстрируют, что регион обладает высоким инвестиционным потенциалом, обусловленным благоприятным климатом, развитой транспортной сетью и стратегическим положением. Регион демонстрирует устойчивый экономический рост, развивается агропромышленный комплекс, туризм и другие приоритетные отрасли экономики.</w:t>
      </w:r>
    </w:p>
    <w:p w14:paraId="04695F0F" w14:textId="77777777" w:rsid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kern w:val="3"/>
          <w:sz w:val="21"/>
          <w:szCs w:val="21"/>
          <w:lang w:eastAsia="ja-JP" w:bidi="fa-IR"/>
        </w:rPr>
      </w:pPr>
      <w:r w:rsidRPr="006F1DF5">
        <w:rPr>
          <w:rFonts w:ascii="Times New Roman" w:eastAsia="Andale Sans UI" w:hAnsi="Times New Roman" w:cs="Tahoma"/>
          <w:kern w:val="3"/>
          <w:sz w:val="21"/>
          <w:szCs w:val="21"/>
          <w:lang w:eastAsia="ja-JP" w:bidi="fa-IR"/>
        </w:rPr>
        <w:tab/>
      </w:r>
      <w:r w:rsidRPr="006F1DF5">
        <w:rPr>
          <w:rFonts w:ascii="Times New Roman" w:eastAsia="Andale Sans UI" w:hAnsi="Times New Roman" w:cs="Tahoma"/>
          <w:b/>
          <w:kern w:val="3"/>
          <w:sz w:val="21"/>
          <w:szCs w:val="21"/>
          <w:lang w:eastAsia="ja-JP" w:bidi="fa-IR"/>
        </w:rPr>
        <w:t>Ключевые слова:</w:t>
      </w:r>
      <w:r w:rsidRPr="006F1DF5">
        <w:rPr>
          <w:rFonts w:ascii="Times New Roman" w:eastAsia="Andale Sans UI" w:hAnsi="Times New Roman" w:cs="Tahoma"/>
          <w:kern w:val="3"/>
          <w:sz w:val="21"/>
          <w:szCs w:val="21"/>
          <w:lang w:eastAsia="ja-JP" w:bidi="fa-IR"/>
        </w:rPr>
        <w:t xml:space="preserve"> инвестиционная привлекательность, SWOT-анализ, инвестиционный потенциал, инвестиционный климат, государственная поддержка инвестиционной деятельности.</w:t>
      </w:r>
    </w:p>
    <w:p w14:paraId="3D566117" w14:textId="77777777" w:rsidR="00052E8A" w:rsidRPr="006F1DF5" w:rsidRDefault="00052E8A" w:rsidP="006F1DF5">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p>
    <w:p w14:paraId="5970745A"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1"/>
          <w:szCs w:val="21"/>
          <w:lang w:eastAsia="ja-JP" w:bidi="fa-IR"/>
        </w:rPr>
        <w:tab/>
      </w:r>
      <w:r w:rsidRPr="006F1DF5">
        <w:rPr>
          <w:rFonts w:ascii="Times New Roman" w:eastAsia="Andale Sans UI" w:hAnsi="Times New Roman" w:cs="Tahoma"/>
          <w:b/>
          <w:i/>
          <w:kern w:val="3"/>
          <w:sz w:val="21"/>
          <w:szCs w:val="21"/>
          <w:lang w:val="en-US" w:eastAsia="ja-JP" w:bidi="fa-IR"/>
        </w:rPr>
        <w:t>Belousova O.N.,</w:t>
      </w:r>
    </w:p>
    <w:p w14:paraId="4A2C797C"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i/>
          <w:kern w:val="3"/>
          <w:sz w:val="21"/>
          <w:szCs w:val="21"/>
          <w:lang w:val="en-US" w:eastAsia="ja-JP" w:bidi="fa-IR"/>
        </w:rPr>
        <w:t xml:space="preserve">student, 1 </w:t>
      </w:r>
      <w:proofErr w:type="gramStart"/>
      <w:r w:rsidRPr="006F1DF5">
        <w:rPr>
          <w:rFonts w:ascii="Times New Roman" w:eastAsia="Andale Sans UI" w:hAnsi="Times New Roman" w:cs="Tahoma"/>
          <w:i/>
          <w:kern w:val="3"/>
          <w:sz w:val="21"/>
          <w:szCs w:val="21"/>
          <w:lang w:val="en-US" w:eastAsia="ja-JP" w:bidi="fa-IR"/>
        </w:rPr>
        <w:t>courses</w:t>
      </w:r>
      <w:proofErr w:type="gramEnd"/>
    </w:p>
    <w:p w14:paraId="273D6D41"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r w:rsidRPr="006F1DF5">
        <w:rPr>
          <w:rFonts w:ascii="Times New Roman" w:eastAsia="Andale Sans UI" w:hAnsi="Times New Roman" w:cs="Tahoma"/>
          <w:i/>
          <w:kern w:val="3"/>
          <w:sz w:val="21"/>
          <w:szCs w:val="21"/>
          <w:lang w:val="en-US" w:eastAsia="ja-JP" w:bidi="fa-IR"/>
        </w:rPr>
        <w:lastRenderedPageBreak/>
        <w:t>Krasnodar Branch of the Financial University under the Government of the Russian Federation</w:t>
      </w:r>
    </w:p>
    <w:p w14:paraId="7A951CF8"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r w:rsidRPr="006F1DF5">
        <w:rPr>
          <w:rFonts w:ascii="Times New Roman" w:eastAsia="Andale Sans UI" w:hAnsi="Times New Roman" w:cs="Tahoma"/>
          <w:i/>
          <w:kern w:val="3"/>
          <w:sz w:val="21"/>
          <w:szCs w:val="21"/>
          <w:lang w:val="en-US" w:eastAsia="ja-JP" w:bidi="fa-IR"/>
        </w:rPr>
        <w:t>Krasnodar, Russia</w:t>
      </w:r>
    </w:p>
    <w:p w14:paraId="45854570" w14:textId="35D796AF"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i/>
          <w:kern w:val="3"/>
          <w:sz w:val="21"/>
          <w:szCs w:val="21"/>
          <w:lang w:val="en-US" w:eastAsia="ja-JP" w:bidi="fa-IR"/>
        </w:rPr>
        <w:t>email:</w:t>
      </w:r>
      <w:r w:rsidR="00052E8A" w:rsidRPr="00656AA8">
        <w:rPr>
          <w:rFonts w:ascii="Times New Roman" w:eastAsia="Andale Sans UI" w:hAnsi="Times New Roman" w:cs="Tahoma"/>
          <w:i/>
          <w:kern w:val="3"/>
          <w:sz w:val="21"/>
          <w:szCs w:val="21"/>
          <w:lang w:val="en-US" w:eastAsia="ja-JP" w:bidi="fa-IR"/>
        </w:rPr>
        <w:t xml:space="preserve"> </w:t>
      </w:r>
      <w:r w:rsidRPr="006F1DF5">
        <w:rPr>
          <w:rFonts w:ascii="Times New Roman" w:eastAsia="Andale Sans UI" w:hAnsi="Times New Roman" w:cs="Tahoma"/>
          <w:i/>
          <w:kern w:val="3"/>
          <w:sz w:val="21"/>
          <w:szCs w:val="21"/>
          <w:lang w:val="en-US" w:eastAsia="ja-JP" w:bidi="fa-IR"/>
        </w:rPr>
        <w:t>100dot13sl240371@edu.fa.ru</w:t>
      </w:r>
    </w:p>
    <w:p w14:paraId="24C5B088"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p>
    <w:p w14:paraId="4F1218E3"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val="en-US" w:eastAsia="ja-JP" w:bidi="fa-IR"/>
        </w:rPr>
      </w:pPr>
      <w:r w:rsidRPr="006F1DF5">
        <w:rPr>
          <w:rFonts w:ascii="Times New Roman" w:eastAsia="Andale Sans UI" w:hAnsi="Times New Roman" w:cs="Tahoma"/>
          <w:b/>
          <w:i/>
          <w:kern w:val="3"/>
          <w:sz w:val="21"/>
          <w:szCs w:val="21"/>
          <w:lang w:val="en-US" w:eastAsia="ja-JP" w:bidi="fa-IR"/>
        </w:rPr>
        <w:t>Scientific Adviser:</w:t>
      </w:r>
    </w:p>
    <w:p w14:paraId="0451A13F"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b/>
          <w:i/>
          <w:kern w:val="3"/>
          <w:sz w:val="21"/>
          <w:szCs w:val="21"/>
          <w:lang w:val="en-US" w:eastAsia="ja-JP" w:bidi="fa-IR"/>
        </w:rPr>
      </w:pPr>
      <w:r w:rsidRPr="006F1DF5">
        <w:rPr>
          <w:rFonts w:ascii="Times New Roman" w:eastAsia="Andale Sans UI" w:hAnsi="Times New Roman" w:cs="Tahoma"/>
          <w:b/>
          <w:i/>
          <w:kern w:val="3"/>
          <w:sz w:val="21"/>
          <w:szCs w:val="21"/>
          <w:lang w:val="en-US" w:eastAsia="ja-JP" w:bidi="fa-IR"/>
        </w:rPr>
        <w:t>Radchenko M.V.,</w:t>
      </w:r>
    </w:p>
    <w:p w14:paraId="4AA3AD20"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r w:rsidRPr="006F1DF5">
        <w:rPr>
          <w:rFonts w:ascii="Times New Roman" w:eastAsia="Andale Sans UI" w:hAnsi="Times New Roman" w:cs="Tahoma"/>
          <w:i/>
          <w:kern w:val="3"/>
          <w:sz w:val="21"/>
          <w:szCs w:val="21"/>
          <w:lang w:val="en-US" w:eastAsia="ja-JP" w:bidi="fa-IR"/>
        </w:rPr>
        <w:t>Associate Professor, Candidate of Economics</w:t>
      </w:r>
    </w:p>
    <w:p w14:paraId="04358A28"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r w:rsidRPr="006F1DF5">
        <w:rPr>
          <w:rFonts w:ascii="Times New Roman" w:eastAsia="Andale Sans UI" w:hAnsi="Times New Roman" w:cs="Tahoma"/>
          <w:i/>
          <w:kern w:val="3"/>
          <w:sz w:val="21"/>
          <w:szCs w:val="21"/>
          <w:lang w:val="en-US" w:eastAsia="ja-JP" w:bidi="fa-IR"/>
        </w:rPr>
        <w:t>Krasnodar Branch of the Financial University under the Government of the Russian Federation</w:t>
      </w:r>
    </w:p>
    <w:p w14:paraId="1501D8BB"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i/>
          <w:kern w:val="3"/>
          <w:sz w:val="21"/>
          <w:szCs w:val="21"/>
          <w:lang w:val="en-US" w:eastAsia="ja-JP" w:bidi="fa-IR"/>
        </w:rPr>
      </w:pPr>
      <w:r w:rsidRPr="006F1DF5">
        <w:rPr>
          <w:rFonts w:ascii="Times New Roman" w:eastAsia="Andale Sans UI" w:hAnsi="Times New Roman" w:cs="Tahoma"/>
          <w:i/>
          <w:kern w:val="3"/>
          <w:sz w:val="21"/>
          <w:szCs w:val="21"/>
          <w:lang w:val="en-US" w:eastAsia="ja-JP" w:bidi="fa-IR"/>
        </w:rPr>
        <w:t>Krasnodar, Russia</w:t>
      </w:r>
    </w:p>
    <w:p w14:paraId="02E43A41"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i/>
          <w:kern w:val="3"/>
          <w:sz w:val="21"/>
          <w:szCs w:val="21"/>
          <w:lang w:val="en-US" w:eastAsia="ja-JP" w:bidi="fa-IR"/>
        </w:rPr>
        <w:t>email: mvradchenko@fa.ru</w:t>
      </w:r>
    </w:p>
    <w:p w14:paraId="089B8B8F" w14:textId="77777777" w:rsidR="006F1DF5" w:rsidRPr="006F1DF5" w:rsidRDefault="006F1DF5" w:rsidP="006F1DF5">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en-US" w:eastAsia="ja-JP" w:bidi="fa-IR"/>
        </w:rPr>
      </w:pPr>
    </w:p>
    <w:p w14:paraId="5245AC6A"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b/>
          <w:kern w:val="3"/>
          <w:sz w:val="21"/>
          <w:szCs w:val="21"/>
          <w:lang w:val="en-US" w:eastAsia="ja-JP" w:bidi="fa-IR"/>
        </w:rPr>
      </w:pPr>
      <w:r w:rsidRPr="006F1DF5">
        <w:rPr>
          <w:rFonts w:ascii="Times New Roman" w:eastAsia="Andale Sans UI" w:hAnsi="Times New Roman" w:cs="Tahoma"/>
          <w:b/>
          <w:kern w:val="3"/>
          <w:sz w:val="21"/>
          <w:szCs w:val="21"/>
          <w:lang w:val="en-US" w:eastAsia="ja-JP" w:bidi="fa-IR"/>
        </w:rPr>
        <w:t>Assessment of the investment attractiveness of the region (Krasnodar Territory)</w:t>
      </w:r>
    </w:p>
    <w:p w14:paraId="55F44992" w14:textId="77777777" w:rsidR="006F1DF5" w:rsidRP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kern w:val="3"/>
          <w:sz w:val="21"/>
          <w:szCs w:val="21"/>
          <w:lang w:val="en-US" w:eastAsia="ja-JP" w:bidi="fa-IR"/>
        </w:rPr>
      </w:pPr>
    </w:p>
    <w:p w14:paraId="17B74640"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b/>
          <w:kern w:val="3"/>
          <w:sz w:val="21"/>
          <w:szCs w:val="21"/>
          <w:lang w:val="en-US" w:eastAsia="ja-JP" w:bidi="fa-IR"/>
        </w:rPr>
        <w:t>Abstract:</w:t>
      </w:r>
      <w:r w:rsidRPr="006F1DF5">
        <w:rPr>
          <w:rFonts w:ascii="Times New Roman" w:eastAsia="Andale Sans UI" w:hAnsi="Times New Roman" w:cs="Tahoma"/>
          <w:kern w:val="3"/>
          <w:sz w:val="21"/>
          <w:szCs w:val="21"/>
          <w:lang w:val="en-US" w:eastAsia="ja-JP" w:bidi="fa-IR"/>
        </w:rPr>
        <w:t xml:space="preserve"> The article comprehensively evaluates the investment attractiveness of the Krasnodar Territory based on the analysis of socio-economic indicators, resource potential, infrastructure and SWOT analysis. Key sectors of the economy such as agriculture, tourism, transport and industry are considered. The results of the study demonstrate that the region has a high investment potential due to its favorable climate, well-developed transport network and strategic location. The region is showing steady economic growth, the agro-industrial complex, tourism and other priority sectors of the economy are developing.</w:t>
      </w:r>
    </w:p>
    <w:p w14:paraId="6D0EC16A"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b/>
          <w:kern w:val="3"/>
          <w:sz w:val="21"/>
          <w:szCs w:val="21"/>
          <w:lang w:val="en-US" w:eastAsia="ja-JP" w:bidi="fa-IR"/>
        </w:rPr>
        <w:t>Keywords:</w:t>
      </w:r>
      <w:r w:rsidRPr="006F1DF5">
        <w:rPr>
          <w:rFonts w:ascii="Times New Roman" w:eastAsia="Andale Sans UI" w:hAnsi="Times New Roman" w:cs="Tahoma"/>
          <w:kern w:val="3"/>
          <w:sz w:val="21"/>
          <w:szCs w:val="21"/>
          <w:lang w:val="en-US" w:eastAsia="ja-JP" w:bidi="fa-IR"/>
        </w:rPr>
        <w:t xml:space="preserve"> investment attractiveness, SWOT analysis, investment potential, investment climate, government support for investment activities.</w:t>
      </w:r>
    </w:p>
    <w:p w14:paraId="6A1EFA3D"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24"/>
          <w:szCs w:val="24"/>
          <w:lang w:val="en-US" w:eastAsia="ja-JP" w:bidi="fa-IR"/>
        </w:rPr>
      </w:pPr>
    </w:p>
    <w:p w14:paraId="4172E461"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32"/>
          <w:szCs w:val="32"/>
          <w:lang w:eastAsia="ja-JP" w:bidi="fa-IR"/>
        </w:rPr>
        <w:t xml:space="preserve">Инвестиции играют ключевую роль в экономическом развитии региона, обеспечивая рост производства, создание новых рабочих мест, модернизацию инфраструктуры и повышение уровня жизни населения. </w:t>
      </w:r>
    </w:p>
    <w:p w14:paraId="6FB03E7E"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32"/>
          <w:szCs w:val="32"/>
          <w:lang w:eastAsia="ja-JP" w:bidi="fa-IR"/>
        </w:rPr>
        <w:t>Инвестиции занимают ключевое место среди факторов, влияющих на развитие социально-экономической системы страны. Их объёмы, состав и эффективность прямо формируют текущее состояние, долгосрочные перспективы и уровень конкурентоспособности национальной экономики [2].</w:t>
      </w:r>
    </w:p>
    <w:p w14:paraId="575A5F22"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Оценка инвестиционной привлекательности региона является ключевых этапом в процессе принятия инвестиционных решений как для частных инвесторов, так и для органов государственной власти, ответственных за привлечение инвестиций и стимулирование экономического развития. </w:t>
      </w:r>
    </w:p>
    <w:p w14:paraId="410082D4"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Для оценки инвестиционной привлекательности региона существует множество методов. Наиболее объективный подход – использование комбинированных методов, позволяющих получить комплексную оценку, необходимую для принятия обоснованных инвестиционных решений и разработки эффективной региональной политики.</w:t>
      </w:r>
    </w:p>
    <w:p w14:paraId="4BA7D2EF"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Краснодарский край занимает стратегически выгодное положение на юге России, граничит с Черным морем и Кавказскими регионами, что обеспечивает удобные транспортные коридоры для экспорта товаров и привлечения туристов. Богатство природных </w:t>
      </w:r>
      <w:r w:rsidRPr="006F1DF5">
        <w:rPr>
          <w:rFonts w:ascii="Times New Roman" w:eastAsia="Andale Sans UI" w:hAnsi="Times New Roman" w:cs="Tahoma"/>
          <w:kern w:val="3"/>
          <w:sz w:val="32"/>
          <w:szCs w:val="32"/>
          <w:lang w:eastAsia="ja-JP" w:bidi="fa-IR"/>
        </w:rPr>
        <w:lastRenderedPageBreak/>
        <w:t>ресурсов – плодородные земли, богатая водная база, климат, благоприятный для сельского хозяйства, - создают основы для развития агропромышленного комплекса.</w:t>
      </w:r>
    </w:p>
    <w:p w14:paraId="00540574"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Регион обладает хорошо развитой инфраструктурой: современные транспортные узлы (автомобильные дороги, железнодорожные магистрали, морские порты), логистические центры, развитая система связи и энергетическая инфраструктура. Все это создает комфортные условия для ведения бизнеса и логистики, что значительно повышает инвестиционную привлекательность.</w:t>
      </w:r>
    </w:p>
    <w:p w14:paraId="3261D276"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Промышленность Краснодарского края, хоть и не является доминирующим сектором экономики, представляет собой значительный потенциал для инвестиций. Наиболее перспективными для инвестиций являются проекты, направленные на модернизацию пищевой промышленности, развитие производства строительных материалов с использованием новых технологий, а также проекты в сфере машиностроения, ориентированные на импортозамещение и обслуживание агропромышленного комплекса.</w:t>
      </w:r>
    </w:p>
    <w:p w14:paraId="6DD3CFDC"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Краснодарский край – крупнейший аграрный регион России. Здесь выращиваются зерновые, овощи, фрукты, виноград, осуществляется переработка сельскохозяйственной продукции. В агросекторе активно развиваются новые технологии и инновационные подходы, что привлекает инвесторов, заинтересованных в сельском хозяйстве и пищевой промышленности.</w:t>
      </w:r>
    </w:p>
    <w:p w14:paraId="71DA0EB9"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32"/>
          <w:szCs w:val="32"/>
          <w:lang w:eastAsia="ja-JP" w:bidi="fa-IR"/>
        </w:rPr>
        <w:t>Туризм – еще одна важная сфера, привлекающая инвестиции. Побережье Черного моря, курорты, исторические памятники, природные заповедники создают условия для развития гостиничного бизнеса, санаториев, развлекательных комплексов. Инвестиции в туристическую инфраструктуру приносят стабильный доход и способствуют росту региональной экономики.</w:t>
      </w:r>
    </w:p>
    <w:p w14:paraId="5573CD4F"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В таблице 1 собраны основные показатели, характеризующие социально-экономическое развитие Краснодарского края за период 2023–2025 гг. </w:t>
      </w:r>
    </w:p>
    <w:p w14:paraId="56984483" w14:textId="77777777" w:rsidR="006F1DF5" w:rsidRP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Таблица 1 – Социально-экономические показатели Краснодарского края (2023–2025 гг.)</w:t>
      </w:r>
    </w:p>
    <w:tbl>
      <w:tblPr>
        <w:tblW w:w="9683" w:type="dxa"/>
        <w:tblCellMar>
          <w:left w:w="10" w:type="dxa"/>
          <w:right w:w="10" w:type="dxa"/>
        </w:tblCellMar>
        <w:tblLook w:val="04A0" w:firstRow="1" w:lastRow="0" w:firstColumn="1" w:lastColumn="0" w:noHBand="0" w:noVBand="1"/>
      </w:tblPr>
      <w:tblGrid>
        <w:gridCol w:w="3369"/>
        <w:gridCol w:w="2268"/>
        <w:gridCol w:w="2126"/>
        <w:gridCol w:w="1920"/>
      </w:tblGrid>
      <w:tr w:rsidR="006F1DF5" w:rsidRPr="006F1DF5" w14:paraId="644F6E53"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93640"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Показатель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2F4DD"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2023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8A44B"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2024 г.</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39B33"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2025 г.</w:t>
            </w:r>
          </w:p>
          <w:p w14:paraId="5C55D814"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(прогноз)</w:t>
            </w:r>
          </w:p>
        </w:tc>
      </w:tr>
      <w:tr w:rsidR="006F1DF5" w:rsidRPr="006F1DF5" w14:paraId="417DCC83"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8580B"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ВВП, млрд. руб.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67B6F"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3,9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A1834"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5,5</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F7CA6"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6</w:t>
            </w:r>
          </w:p>
        </w:tc>
      </w:tr>
      <w:tr w:rsidR="006F1DF5" w:rsidRPr="006F1DF5" w14:paraId="7869C84E"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BA020"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Темпы роста ВВП,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A99A1"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105,8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4A390"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103,0</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37845"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103,1</w:t>
            </w:r>
          </w:p>
        </w:tc>
      </w:tr>
      <w:tr w:rsidR="006F1DF5" w:rsidRPr="006F1DF5" w14:paraId="3FF19CAE"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63EFE"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Индекс промышленного производства,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B440D"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104,3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EA640"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97,8</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CC515"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98,4</w:t>
            </w:r>
          </w:p>
        </w:tc>
      </w:tr>
      <w:tr w:rsidR="006F1DF5" w:rsidRPr="006F1DF5" w14:paraId="46051C96"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A856"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lastRenderedPageBreak/>
              <w:t>Объем инвестиций в основной капитал, млрд. руб.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ABF03"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860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EB2C6"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1 119,6</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D4A38"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Не менее 3 100</w:t>
            </w:r>
          </w:p>
        </w:tc>
      </w:tr>
      <w:tr w:rsidR="006F1DF5" w:rsidRPr="006F1DF5" w14:paraId="2F82B902"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682F4"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Среднемесячная заработная плата,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AAA06"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58 256,4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98AC9"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4"/>
                <w:szCs w:val="24"/>
                <w:lang w:eastAsia="ja-JP" w:bidi="fa-IR"/>
              </w:rPr>
              <w:t>72 346</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E1C5C"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87 627</w:t>
            </w:r>
          </w:p>
        </w:tc>
      </w:tr>
      <w:tr w:rsidR="006F1DF5" w:rsidRPr="006F1DF5" w14:paraId="4D916AD2"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0556C"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Уровень безработицы,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9E5F4"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793B1"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1,9</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99CCF"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0,2</w:t>
            </w:r>
          </w:p>
        </w:tc>
      </w:tr>
      <w:tr w:rsidR="006F1DF5" w:rsidRPr="006F1DF5" w14:paraId="7E3CA37D"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BC7EA"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Численность населения, тыс. чел.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13CBD"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5 819 345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40B9C"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5 833 002</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1732"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imes New Roman"/>
                <w:color w:val="333333"/>
                <w:kern w:val="3"/>
                <w:sz w:val="24"/>
                <w:szCs w:val="24"/>
                <w:shd w:val="clear" w:color="auto" w:fill="FFFFFF"/>
                <w:lang w:val="de-DE" w:eastAsia="ja-JP" w:bidi="fa-IR"/>
              </w:rPr>
              <w:t>5 842 238</w:t>
            </w:r>
          </w:p>
        </w:tc>
      </w:tr>
      <w:tr w:rsidR="006F1DF5" w:rsidRPr="006F1DF5" w14:paraId="21930965" w14:textId="77777777" w:rsidTr="00EB1CB9">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8F9CD"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Объем сельскохозяйственного производства, млрд. руб.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4365E"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584,8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68898"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578</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2FDE5"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6F1DF5">
              <w:rPr>
                <w:rFonts w:ascii="Times New Roman" w:eastAsia="Andale Sans UI" w:hAnsi="Times New Roman" w:cs="Tahoma"/>
                <w:kern w:val="3"/>
                <w:sz w:val="24"/>
                <w:szCs w:val="24"/>
                <w:lang w:eastAsia="ja-JP" w:bidi="fa-IR"/>
              </w:rPr>
              <w:t>670</w:t>
            </w:r>
          </w:p>
        </w:tc>
      </w:tr>
    </w:tbl>
    <w:p w14:paraId="20DC1AF2"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p>
    <w:p w14:paraId="370272AF"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Инвестиционный климат – это совокупность факторов, определяющих привлекательность региона для инвесторов. Оценка инвестиционного климата в Краснодарском крае способствует выявлению как сильных, так и слабых сторон региона, позволяет обозначить конкурентные преимущества и риски, что служит основой для разработки целенаправленной стратегии [4].</w:t>
      </w:r>
    </w:p>
    <w:p w14:paraId="73F662F6"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SWOT-анализ — это стратегический инструмент, который помогает оценить инвестиционные возможности, выявляя сильные и слабые стороны, а также возможности и угрозы [3].</w:t>
      </w:r>
    </w:p>
    <w:p w14:paraId="4E3F6AD5" w14:textId="77777777" w:rsidR="006F1DF5" w:rsidRPr="006F1DF5" w:rsidRDefault="006F1DF5" w:rsidP="006F1DF5">
      <w:pPr>
        <w:widowControl w:val="0"/>
        <w:suppressAutoHyphens/>
        <w:autoSpaceDN w:val="0"/>
        <w:spacing w:after="0" w:line="240" w:lineRule="auto"/>
        <w:ind w:firstLine="706"/>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В таблице 2 приведены результаты SWOT-анализа, раскрывающего сильные и слабые стороны, а также возможности и угрозы инвестиционной привлекательности Краснодарского края. </w:t>
      </w:r>
    </w:p>
    <w:p w14:paraId="71F243C5" w14:textId="77777777" w:rsidR="006F1DF5" w:rsidRPr="006F1DF5" w:rsidRDefault="006F1DF5" w:rsidP="006F1DF5">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32"/>
          <w:szCs w:val="32"/>
          <w:lang w:eastAsia="ja-JP" w:bidi="fa-IR"/>
        </w:rPr>
        <w:t>Таблица 2 – SWOT-анализ инвестиционной привлекательности Краснодарского края</w:t>
      </w:r>
    </w:p>
    <w:tbl>
      <w:tblPr>
        <w:tblW w:w="9683" w:type="dxa"/>
        <w:tblLayout w:type="fixed"/>
        <w:tblCellMar>
          <w:left w:w="10" w:type="dxa"/>
          <w:right w:w="10" w:type="dxa"/>
        </w:tblCellMar>
        <w:tblLook w:val="04A0" w:firstRow="1" w:lastRow="0" w:firstColumn="1" w:lastColumn="0" w:noHBand="0" w:noVBand="1"/>
      </w:tblPr>
      <w:tblGrid>
        <w:gridCol w:w="2518"/>
        <w:gridCol w:w="2825"/>
        <w:gridCol w:w="2253"/>
        <w:gridCol w:w="2087"/>
      </w:tblGrid>
      <w:tr w:rsidR="006F1DF5" w:rsidRPr="006F1DF5" w14:paraId="26B25D4F" w14:textId="77777777" w:rsidTr="00EB1CB9">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EC6F6"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Сильные стороны</w:t>
            </w:r>
          </w:p>
          <w:p w14:paraId="15C3C8E0"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8"/>
                <w:szCs w:val="28"/>
                <w:lang w:eastAsia="ja-JP" w:bidi="fa-IR"/>
              </w:rPr>
              <w:t>(</w:t>
            </w:r>
            <w:r w:rsidRPr="006F1DF5">
              <w:rPr>
                <w:rFonts w:ascii="Times New Roman" w:eastAsia="Andale Sans UI" w:hAnsi="Times New Roman" w:cs="Tahoma"/>
                <w:kern w:val="3"/>
                <w:sz w:val="28"/>
                <w:szCs w:val="28"/>
                <w:lang w:val="en-US" w:eastAsia="ja-JP" w:bidi="fa-IR"/>
              </w:rPr>
              <w:t>Strengths</w:t>
            </w:r>
            <w:r w:rsidRPr="006F1DF5">
              <w:rPr>
                <w:rFonts w:ascii="Times New Roman" w:eastAsia="Andale Sans UI" w:hAnsi="Times New Roman" w:cs="Tahoma"/>
                <w:kern w:val="3"/>
                <w:sz w:val="28"/>
                <w:szCs w:val="28"/>
                <w:lang w:eastAsia="ja-JP" w:bidi="fa-IR"/>
              </w:rPr>
              <w:t>)</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DF672"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Слабые стороны</w:t>
            </w:r>
          </w:p>
          <w:p w14:paraId="33E42851"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8"/>
                <w:szCs w:val="28"/>
                <w:lang w:eastAsia="ja-JP" w:bidi="fa-IR"/>
              </w:rPr>
              <w:t>(</w:t>
            </w:r>
            <w:r w:rsidRPr="006F1DF5">
              <w:rPr>
                <w:rFonts w:ascii="Times New Roman" w:eastAsia="Andale Sans UI" w:hAnsi="Times New Roman" w:cs="Tahoma"/>
                <w:kern w:val="3"/>
                <w:sz w:val="28"/>
                <w:szCs w:val="28"/>
                <w:lang w:val="en-US" w:eastAsia="ja-JP" w:bidi="fa-IR"/>
              </w:rPr>
              <w:t>Weaknesses</w:t>
            </w:r>
            <w:r w:rsidRPr="006F1DF5">
              <w:rPr>
                <w:rFonts w:ascii="Times New Roman" w:eastAsia="Andale Sans UI" w:hAnsi="Times New Roman" w:cs="Tahoma"/>
                <w:kern w:val="3"/>
                <w:sz w:val="28"/>
                <w:szCs w:val="28"/>
                <w:lang w:eastAsia="ja-JP" w:bidi="fa-IR"/>
              </w:rPr>
              <w:t>)</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B680B"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Возможности</w:t>
            </w:r>
          </w:p>
          <w:p w14:paraId="2C0345D0"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8"/>
                <w:szCs w:val="28"/>
                <w:lang w:eastAsia="ja-JP" w:bidi="fa-IR"/>
              </w:rPr>
              <w:t>(</w:t>
            </w:r>
            <w:r w:rsidRPr="006F1DF5">
              <w:rPr>
                <w:rFonts w:ascii="Times New Roman" w:eastAsia="Andale Sans UI" w:hAnsi="Times New Roman" w:cs="Tahoma"/>
                <w:kern w:val="3"/>
                <w:sz w:val="28"/>
                <w:szCs w:val="28"/>
                <w:lang w:val="en-US" w:eastAsia="ja-JP" w:bidi="fa-IR"/>
              </w:rPr>
              <w:t>Opportunities</w:t>
            </w:r>
            <w:r w:rsidRPr="006F1DF5">
              <w:rPr>
                <w:rFonts w:ascii="Times New Roman" w:eastAsia="Andale Sans UI" w:hAnsi="Times New Roman" w:cs="Tahoma"/>
                <w:kern w:val="3"/>
                <w:sz w:val="28"/>
                <w:szCs w:val="28"/>
                <w:lang w:eastAsia="ja-JP" w:bidi="fa-IR"/>
              </w:rPr>
              <w:t>)</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A11E9"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Угрозы</w:t>
            </w:r>
          </w:p>
          <w:p w14:paraId="75ADC6D9" w14:textId="77777777" w:rsidR="006F1DF5" w:rsidRPr="006F1DF5" w:rsidRDefault="006F1DF5" w:rsidP="006F1DF5">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8"/>
                <w:szCs w:val="28"/>
                <w:lang w:eastAsia="ja-JP" w:bidi="fa-IR"/>
              </w:rPr>
              <w:t>(</w:t>
            </w:r>
            <w:r w:rsidRPr="006F1DF5">
              <w:rPr>
                <w:rFonts w:ascii="Times New Roman" w:eastAsia="Andale Sans UI" w:hAnsi="Times New Roman" w:cs="Tahoma"/>
                <w:kern w:val="3"/>
                <w:sz w:val="28"/>
                <w:szCs w:val="28"/>
                <w:lang w:val="en-US" w:eastAsia="ja-JP" w:bidi="fa-IR"/>
              </w:rPr>
              <w:t>Threats</w:t>
            </w:r>
            <w:r w:rsidRPr="006F1DF5">
              <w:rPr>
                <w:rFonts w:ascii="Times New Roman" w:eastAsia="Andale Sans UI" w:hAnsi="Times New Roman" w:cs="Tahoma"/>
                <w:kern w:val="3"/>
                <w:sz w:val="28"/>
                <w:szCs w:val="28"/>
                <w:lang w:eastAsia="ja-JP" w:bidi="fa-IR"/>
              </w:rPr>
              <w:t>)</w:t>
            </w:r>
          </w:p>
        </w:tc>
      </w:tr>
      <w:tr w:rsidR="006F1DF5" w:rsidRPr="006F1DF5" w14:paraId="1AC86DBE" w14:textId="77777777" w:rsidTr="00EB1CB9">
        <w:trPr>
          <w:trHeight w:val="7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25786"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стратегически выгодное географическое положение;</w:t>
            </w:r>
          </w:p>
          <w:p w14:paraId="0BD46F86"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значительный потенциал природных богатств;</w:t>
            </w:r>
          </w:p>
          <w:p w14:paraId="6FC711DD"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развитая транспортная инфраструктура;</w:t>
            </w:r>
          </w:p>
          <w:p w14:paraId="43052F3D"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8"/>
                <w:szCs w:val="28"/>
                <w:lang w:eastAsia="ja-JP" w:bidi="fa-IR"/>
              </w:rPr>
              <w:t>- благоприятный инвестиционный климат (наличие налоговых льгот и преференций).</w:t>
            </w:r>
          </w:p>
          <w:p w14:paraId="38F21CFD"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EE9FB"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высокая степень зависимости экономики региона от агропромышленного комплекса и туристической сферы;</w:t>
            </w:r>
          </w:p>
          <w:p w14:paraId="5D731461"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дефицит квалифицированных кадров в отдельных отраслях;</w:t>
            </w:r>
          </w:p>
          <w:p w14:paraId="22E1B10B"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xml:space="preserve">- недостаточная развитость энергетической и телекоммуникационной инфраструктуры в </w:t>
            </w:r>
            <w:r w:rsidRPr="006F1DF5">
              <w:rPr>
                <w:rFonts w:ascii="Times New Roman" w:eastAsia="Andale Sans UI" w:hAnsi="Times New Roman" w:cs="Tahoma"/>
                <w:kern w:val="3"/>
                <w:sz w:val="28"/>
                <w:szCs w:val="28"/>
                <w:lang w:eastAsia="ja-JP" w:bidi="fa-IR"/>
              </w:rPr>
              <w:lastRenderedPageBreak/>
              <w:t>сельской местности.</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1CABD"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lastRenderedPageBreak/>
              <w:t>- расширение транспортно-логистической инфраструктуры (развитие портов, строительство новых дорог);</w:t>
            </w:r>
          </w:p>
          <w:p w14:paraId="27DB8309"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развитие инновационных технологий в сельском хозяйстве;</w:t>
            </w:r>
          </w:p>
          <w:p w14:paraId="2B3EC9F6"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увеличение туристического потока.</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6A61B"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обострение конкуренции со стороны региональных соперников;</w:t>
            </w:r>
          </w:p>
          <w:p w14:paraId="1FAF1514" w14:textId="77777777" w:rsidR="006F1DF5" w:rsidRPr="006F1DF5" w:rsidRDefault="006F1DF5" w:rsidP="006F1DF5">
            <w:pPr>
              <w:widowControl w:val="0"/>
              <w:suppressAutoHyphens/>
              <w:autoSpaceDN w:val="0"/>
              <w:spacing w:after="0" w:line="240" w:lineRule="auto"/>
              <w:textAlignment w:val="baseline"/>
              <w:rPr>
                <w:rFonts w:ascii="Times New Roman" w:eastAsia="Andale Sans UI" w:hAnsi="Times New Roman" w:cs="Tahoma"/>
                <w:kern w:val="3"/>
                <w:sz w:val="28"/>
                <w:szCs w:val="28"/>
                <w:lang w:eastAsia="ja-JP" w:bidi="fa-IR"/>
              </w:rPr>
            </w:pPr>
            <w:r w:rsidRPr="006F1DF5">
              <w:rPr>
                <w:rFonts w:ascii="Times New Roman" w:eastAsia="Andale Sans UI" w:hAnsi="Times New Roman" w:cs="Tahoma"/>
                <w:kern w:val="3"/>
                <w:sz w:val="28"/>
                <w:szCs w:val="28"/>
                <w:lang w:eastAsia="ja-JP" w:bidi="fa-IR"/>
              </w:rPr>
              <w:t>- рост цен на энергоресурсы.</w:t>
            </w:r>
          </w:p>
        </w:tc>
      </w:tr>
    </w:tbl>
    <w:p w14:paraId="1626E4D2"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28"/>
          <w:szCs w:val="32"/>
          <w:lang w:eastAsia="ja-JP" w:bidi="fa-IR"/>
        </w:rPr>
      </w:pPr>
    </w:p>
    <w:p w14:paraId="6D251B1C"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Инвестиционная деятельность в Краснодарском крае регулируется международными договорами, заключенными Российской Федерацией, Конституцией Российской Федерации, законодательством Российской Федерации и законодательством Краснодарского края, а также принятыми в соответствии с ними муниципальными правовыми актами муниципальных образований Краснодарского края. (в ред. Закона Краснодарского края от 28.11.2014 N 3056-КЗ) [1].</w:t>
      </w:r>
    </w:p>
    <w:p w14:paraId="438E04AC"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Условия внедрения и применения рассматриваемого механизма на территории Краснодарского края закреплены и регулируются рядом нормативных правовых документов:</w:t>
      </w:r>
    </w:p>
    <w:p w14:paraId="3A560BEF"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 федеральный закон от 01.04.2020 № 69-ФЗ «О защите и поощрении капиталовложений в Российской Федерации»; </w:t>
      </w:r>
    </w:p>
    <w:p w14:paraId="12149450"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 постановление Правительства РФ от 13.09.2022 № 1602 «О соглашениях о защите и поощрении капиталовложений»; </w:t>
      </w:r>
    </w:p>
    <w:p w14:paraId="3A8A754A"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32"/>
          <w:szCs w:val="32"/>
          <w:lang w:eastAsia="ja-JP" w:bidi="fa-IR"/>
        </w:rPr>
        <w:t xml:space="preserve">- постановление главы администрации (губернатора) Краснодарского края от 08.11.2022 № 796 «Об утверждении Порядка заключения соглашений о защите и поощрении капиталовложений, стороной которых не является Российская Федерация, изменения и прекращения действия таких соглашений, особенностей раскрытия информации о бенефициарных владельцах организации, реализующей проект, и Порядка осуществления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w:t>
      </w:r>
    </w:p>
    <w:p w14:paraId="6CC26282"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Поддержка со стороны государства играет решающую роль в продвижении инвестиционных процессов и укреплении экономического потенциала Краснодарского края. Благодаря комплексу мер поддержки, инвесторы получают возможность реализовать свои проекты на выгодных условиях и внести вклад в процветание Краснодарского края.  Актуальную информацию о доступных мерах поддержки и требованиях к инвесторам всегда можно найти на Инвестиционном портале Краснодарского края и в уполномоченных органах власти.</w:t>
      </w:r>
    </w:p>
    <w:p w14:paraId="784A1221" w14:textId="77777777" w:rsidR="006F1DF5" w:rsidRPr="006F1DF5" w:rsidRDefault="006F1DF5" w:rsidP="006F1DF5">
      <w:pPr>
        <w:widowControl w:val="0"/>
        <w:suppressAutoHyphens/>
        <w:autoSpaceDN w:val="0"/>
        <w:spacing w:after="0" w:line="240" w:lineRule="auto"/>
        <w:ind w:firstLine="709"/>
        <w:jc w:val="both"/>
        <w:textAlignment w:val="baseline"/>
        <w:rPr>
          <w:rFonts w:ascii="Times New Roman" w:eastAsia="Andale Sans UI" w:hAnsi="Times New Roman" w:cs="Tahoma"/>
          <w:kern w:val="3"/>
          <w:sz w:val="32"/>
          <w:szCs w:val="32"/>
          <w:lang w:eastAsia="ja-JP" w:bidi="fa-IR"/>
        </w:rPr>
      </w:pPr>
      <w:r w:rsidRPr="006F1DF5">
        <w:rPr>
          <w:rFonts w:ascii="Times New Roman" w:eastAsia="Andale Sans UI" w:hAnsi="Times New Roman" w:cs="Tahoma"/>
          <w:kern w:val="3"/>
          <w:sz w:val="32"/>
          <w:szCs w:val="32"/>
          <w:lang w:eastAsia="ja-JP" w:bidi="fa-IR"/>
        </w:rPr>
        <w:t xml:space="preserve">Таким образом, Краснодарский край обладает значительным инвестиционным потенциалом, обусловленным выгодным </w:t>
      </w:r>
      <w:r w:rsidRPr="006F1DF5">
        <w:rPr>
          <w:rFonts w:ascii="Times New Roman" w:eastAsia="Andale Sans UI" w:hAnsi="Times New Roman" w:cs="Tahoma"/>
          <w:kern w:val="3"/>
          <w:sz w:val="32"/>
          <w:szCs w:val="32"/>
          <w:lang w:eastAsia="ja-JP" w:bidi="fa-IR"/>
        </w:rPr>
        <w:lastRenderedPageBreak/>
        <w:t>географическим положением, богатыми природными ресурсами, благоприятным климатом и высоким туристическим потенциалом. Регион демонстрирует устойчивый экономический рост, развивается агропромышленный комплекс, туризм и другие приоритетные отрасли экономики.</w:t>
      </w:r>
    </w:p>
    <w:p w14:paraId="4CA67466" w14:textId="77777777" w:rsidR="006F1DF5" w:rsidRPr="006F1DF5" w:rsidRDefault="006F1DF5" w:rsidP="006F1DF5">
      <w:pPr>
        <w:widowControl w:val="0"/>
        <w:suppressAutoHyphens/>
        <w:autoSpaceDN w:val="0"/>
        <w:spacing w:after="0" w:line="240" w:lineRule="auto"/>
        <w:ind w:firstLine="706"/>
        <w:jc w:val="center"/>
        <w:textAlignment w:val="baseline"/>
        <w:rPr>
          <w:rFonts w:ascii="Times New Roman" w:eastAsia="Andale Sans UI" w:hAnsi="Times New Roman" w:cs="Tahoma"/>
          <w:b/>
          <w:kern w:val="3"/>
          <w:sz w:val="21"/>
          <w:szCs w:val="21"/>
          <w:lang w:eastAsia="ru-RU"/>
        </w:rPr>
      </w:pPr>
      <w:r w:rsidRPr="006F1DF5">
        <w:rPr>
          <w:rFonts w:ascii="Times New Roman" w:eastAsia="Andale Sans UI" w:hAnsi="Times New Roman" w:cs="Tahoma"/>
          <w:b/>
          <w:kern w:val="3"/>
          <w:sz w:val="21"/>
          <w:szCs w:val="21"/>
          <w:lang w:eastAsia="ru-RU"/>
        </w:rPr>
        <w:t>Литература:</w:t>
      </w:r>
    </w:p>
    <w:p w14:paraId="28CC4300" w14:textId="77777777" w:rsidR="006F1DF5" w:rsidRPr="006F1DF5" w:rsidRDefault="006F1DF5" w:rsidP="001309B7">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1"/>
          <w:szCs w:val="21"/>
          <w:lang w:eastAsia="ru-RU"/>
        </w:rPr>
        <w:t xml:space="preserve">1. Закон Краснодарского края от 02.07.2004 N 731-КЗ (ред. от 23.12.2022) «О стимулировании инвестиционной деятельности в Краснодарском крае» (принят ЗС КК 23.06.2004) (с изм. и доп., вступающими в силу с 03.01.2023) </w:t>
      </w:r>
      <w:r w:rsidRPr="006F1DF5">
        <w:rPr>
          <w:rFonts w:ascii="Times New Roman" w:eastAsia="Andale Sans UI" w:hAnsi="Times New Roman" w:cs="Tahoma"/>
          <w:kern w:val="3"/>
          <w:sz w:val="21"/>
          <w:szCs w:val="21"/>
          <w:lang w:val="en-US" w:eastAsia="ru-RU"/>
        </w:rPr>
        <w:t>URL</w:t>
      </w:r>
      <w:r w:rsidRPr="006F1DF5">
        <w:rPr>
          <w:rFonts w:ascii="Times New Roman" w:eastAsia="Andale Sans UI" w:hAnsi="Times New Roman" w:cs="Tahoma"/>
          <w:kern w:val="3"/>
          <w:sz w:val="21"/>
          <w:szCs w:val="21"/>
          <w:lang w:eastAsia="ru-RU"/>
        </w:rPr>
        <w:t xml:space="preserve">: </w:t>
      </w:r>
      <w:hyperlink r:id="rId562" w:history="1">
        <w:r w:rsidRPr="006F1DF5">
          <w:rPr>
            <w:rFonts w:ascii="Times New Roman" w:eastAsia="Andale Sans UI" w:hAnsi="Times New Roman" w:cs="Tahoma"/>
            <w:kern w:val="3"/>
            <w:sz w:val="21"/>
            <w:szCs w:val="21"/>
            <w:lang w:val="en-US" w:eastAsia="ru-RU"/>
          </w:rPr>
          <w:t>https</w:t>
        </w:r>
        <w:r w:rsidRPr="006F1DF5">
          <w:rPr>
            <w:rFonts w:ascii="Times New Roman" w:eastAsia="Andale Sans UI" w:hAnsi="Times New Roman" w:cs="Tahoma"/>
            <w:kern w:val="3"/>
            <w:sz w:val="21"/>
            <w:szCs w:val="21"/>
            <w:lang w:eastAsia="ru-RU"/>
          </w:rPr>
          <w:t>://</w:t>
        </w:r>
        <w:r w:rsidRPr="006F1DF5">
          <w:rPr>
            <w:rFonts w:ascii="Times New Roman" w:eastAsia="Andale Sans UI" w:hAnsi="Times New Roman" w:cs="Tahoma"/>
            <w:kern w:val="3"/>
            <w:sz w:val="21"/>
            <w:szCs w:val="21"/>
            <w:lang w:val="en-US" w:eastAsia="ru-RU"/>
          </w:rPr>
          <w:t>base</w:t>
        </w:r>
        <w:r w:rsidRPr="006F1DF5">
          <w:rPr>
            <w:rFonts w:ascii="Times New Roman" w:eastAsia="Andale Sans UI" w:hAnsi="Times New Roman" w:cs="Tahoma"/>
            <w:kern w:val="3"/>
            <w:sz w:val="21"/>
            <w:szCs w:val="21"/>
            <w:lang w:eastAsia="ru-RU"/>
          </w:rPr>
          <w:t>.</w:t>
        </w:r>
        <w:r w:rsidRPr="006F1DF5">
          <w:rPr>
            <w:rFonts w:ascii="Times New Roman" w:eastAsia="Andale Sans UI" w:hAnsi="Times New Roman" w:cs="Tahoma"/>
            <w:kern w:val="3"/>
            <w:sz w:val="21"/>
            <w:szCs w:val="21"/>
            <w:lang w:val="en-US" w:eastAsia="ru-RU"/>
          </w:rPr>
          <w:t>garant</w:t>
        </w:r>
        <w:r w:rsidRPr="006F1DF5">
          <w:rPr>
            <w:rFonts w:ascii="Times New Roman" w:eastAsia="Andale Sans UI" w:hAnsi="Times New Roman" w:cs="Tahoma"/>
            <w:kern w:val="3"/>
            <w:sz w:val="21"/>
            <w:szCs w:val="21"/>
            <w:lang w:eastAsia="ru-RU"/>
          </w:rPr>
          <w:t>.</w:t>
        </w:r>
        <w:r w:rsidRPr="006F1DF5">
          <w:rPr>
            <w:rFonts w:ascii="Times New Roman" w:eastAsia="Andale Sans UI" w:hAnsi="Times New Roman" w:cs="Tahoma"/>
            <w:kern w:val="3"/>
            <w:sz w:val="21"/>
            <w:szCs w:val="21"/>
            <w:lang w:val="en-US" w:eastAsia="ru-RU"/>
          </w:rPr>
          <w:t>ru</w:t>
        </w:r>
        <w:r w:rsidRPr="006F1DF5">
          <w:rPr>
            <w:rFonts w:ascii="Times New Roman" w:eastAsia="Andale Sans UI" w:hAnsi="Times New Roman" w:cs="Tahoma"/>
            <w:kern w:val="3"/>
            <w:sz w:val="21"/>
            <w:szCs w:val="21"/>
            <w:lang w:eastAsia="ru-RU"/>
          </w:rPr>
          <w:t>/23940731/</w:t>
        </w:r>
      </w:hyperlink>
      <w:r w:rsidRPr="006F1DF5">
        <w:rPr>
          <w:rFonts w:ascii="Times New Roman" w:eastAsia="Andale Sans UI" w:hAnsi="Times New Roman" w:cs="Tahoma"/>
          <w:kern w:val="3"/>
          <w:sz w:val="21"/>
          <w:szCs w:val="21"/>
          <w:lang w:eastAsia="ru-RU"/>
        </w:rPr>
        <w:t xml:space="preserve"> (дата обращения: 04.03.2025)</w:t>
      </w:r>
    </w:p>
    <w:p w14:paraId="3F331797" w14:textId="77777777" w:rsidR="006F1DF5" w:rsidRPr="006F1DF5" w:rsidRDefault="006F1DF5" w:rsidP="001309B7">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1"/>
          <w:szCs w:val="21"/>
          <w:lang w:eastAsia="ja-JP" w:bidi="fa-IR"/>
        </w:rPr>
        <w:t>2. Агаева, Л. К. Инвестиционная привлекательность региона [Электронный ресурс</w:t>
      </w:r>
      <w:proofErr w:type="gramStart"/>
      <w:r w:rsidRPr="006F1DF5">
        <w:rPr>
          <w:rFonts w:ascii="Times New Roman" w:eastAsia="Andale Sans UI" w:hAnsi="Times New Roman" w:cs="Tahoma"/>
          <w:kern w:val="3"/>
          <w:sz w:val="21"/>
          <w:szCs w:val="21"/>
          <w:lang w:eastAsia="ja-JP" w:bidi="fa-IR"/>
        </w:rPr>
        <w:t>] :</w:t>
      </w:r>
      <w:proofErr w:type="gramEnd"/>
      <w:r w:rsidRPr="006F1DF5">
        <w:rPr>
          <w:rFonts w:ascii="Times New Roman" w:eastAsia="Andale Sans UI" w:hAnsi="Times New Roman" w:cs="Tahoma"/>
          <w:kern w:val="3"/>
          <w:sz w:val="21"/>
          <w:szCs w:val="21"/>
          <w:lang w:eastAsia="ja-JP" w:bidi="fa-IR"/>
        </w:rPr>
        <w:t xml:space="preserve"> [учеб. пособие] / Л. К. Агаева, В. Ю. Анисимова ; М-во образования и науки Рос. Федерации, Самар. нац. исслед. ун-т им. С. П. Королева. - Самаp</w:t>
      </w:r>
      <w:proofErr w:type="gramStart"/>
      <w:r w:rsidRPr="006F1DF5">
        <w:rPr>
          <w:rFonts w:ascii="Times New Roman" w:eastAsia="Andale Sans UI" w:hAnsi="Times New Roman" w:cs="Tahoma"/>
          <w:kern w:val="3"/>
          <w:sz w:val="21"/>
          <w:szCs w:val="21"/>
          <w:lang w:eastAsia="ja-JP" w:bidi="fa-IR"/>
        </w:rPr>
        <w:t>а :</w:t>
      </w:r>
      <w:proofErr w:type="gramEnd"/>
      <w:r w:rsidRPr="006F1DF5">
        <w:rPr>
          <w:rFonts w:ascii="Times New Roman" w:eastAsia="Andale Sans UI" w:hAnsi="Times New Roman" w:cs="Tahoma"/>
          <w:kern w:val="3"/>
          <w:sz w:val="21"/>
          <w:szCs w:val="21"/>
          <w:lang w:eastAsia="ja-JP" w:bidi="fa-IR"/>
        </w:rPr>
        <w:t xml:space="preserve"> Изд-во Самар. ун-та, 2018. — 1 электрон. опт. диск (CD-ROM); 12. - </w:t>
      </w:r>
      <w:r w:rsidRPr="006F1DF5">
        <w:rPr>
          <w:rFonts w:ascii="Times New Roman" w:eastAsia="Andale Sans UI" w:hAnsi="Times New Roman" w:cs="Tahoma"/>
          <w:kern w:val="3"/>
          <w:sz w:val="21"/>
          <w:szCs w:val="21"/>
          <w:lang w:val="en-US" w:eastAsia="ja-JP" w:bidi="fa-IR"/>
        </w:rPr>
        <w:t>ISBN</w:t>
      </w:r>
      <w:r w:rsidRPr="006F1DF5">
        <w:rPr>
          <w:rFonts w:ascii="Times New Roman" w:eastAsia="Andale Sans UI" w:hAnsi="Times New Roman" w:cs="Tahoma"/>
          <w:kern w:val="3"/>
          <w:sz w:val="21"/>
          <w:szCs w:val="21"/>
          <w:lang w:eastAsia="ja-JP" w:bidi="fa-IR"/>
        </w:rPr>
        <w:t xml:space="preserve"> 978-5-7883-1209-5 (дата обращения: 07.03.2025)</w:t>
      </w:r>
    </w:p>
    <w:p w14:paraId="261CC55D" w14:textId="77777777" w:rsidR="006F1DF5" w:rsidRPr="006F1DF5" w:rsidRDefault="006F1DF5" w:rsidP="001309B7">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1"/>
          <w:szCs w:val="21"/>
          <w:lang w:eastAsia="ja-JP" w:bidi="fa-IR"/>
        </w:rPr>
        <w:t xml:space="preserve">3. Т-Банк </w:t>
      </w:r>
      <w:r w:rsidRPr="006F1DF5">
        <w:rPr>
          <w:rFonts w:ascii="Times New Roman" w:eastAsia="Andale Sans UI" w:hAnsi="Times New Roman" w:cs="Tahoma"/>
          <w:kern w:val="3"/>
          <w:sz w:val="21"/>
          <w:szCs w:val="21"/>
          <w:lang w:val="en-US" w:eastAsia="ja-JP" w:bidi="fa-IR"/>
        </w:rPr>
        <w:t>URL</w:t>
      </w:r>
      <w:r w:rsidRPr="006F1DF5">
        <w:rPr>
          <w:rFonts w:ascii="Times New Roman" w:eastAsia="Andale Sans UI" w:hAnsi="Times New Roman" w:cs="Tahoma"/>
          <w:kern w:val="3"/>
          <w:sz w:val="21"/>
          <w:szCs w:val="21"/>
          <w:lang w:eastAsia="ja-JP" w:bidi="fa-IR"/>
        </w:rPr>
        <w:t xml:space="preserve">: </w:t>
      </w:r>
      <w:r w:rsidRPr="006F1DF5">
        <w:rPr>
          <w:rFonts w:ascii="Times New Roman" w:eastAsia="Andale Sans UI" w:hAnsi="Times New Roman" w:cs="Tahoma"/>
          <w:kern w:val="3"/>
          <w:sz w:val="21"/>
          <w:szCs w:val="21"/>
          <w:lang w:val="de-DE" w:eastAsia="ja-JP" w:bidi="fa-IR"/>
        </w:rPr>
        <w:t xml:space="preserve">https://www.tbank.ru/invest/social/profile/Schava/3f5df6e0-d681-43d0-8dc9-fa53d75d5467/ </w:t>
      </w:r>
      <w:r w:rsidRPr="006F1DF5">
        <w:rPr>
          <w:rFonts w:ascii="Times New Roman" w:eastAsia="Andale Sans UI" w:hAnsi="Times New Roman" w:cs="Tahoma"/>
          <w:kern w:val="3"/>
          <w:sz w:val="21"/>
          <w:szCs w:val="21"/>
          <w:lang w:eastAsia="ja-JP" w:bidi="fa-IR"/>
        </w:rPr>
        <w:t>(дата обращения: 07.03.2025)</w:t>
      </w:r>
    </w:p>
    <w:p w14:paraId="38CC3B88" w14:textId="77777777" w:rsidR="006F1DF5" w:rsidRPr="006F1DF5" w:rsidRDefault="006F1DF5" w:rsidP="001309B7">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6F1DF5">
        <w:rPr>
          <w:rFonts w:ascii="Times New Roman" w:eastAsia="Andale Sans UI" w:hAnsi="Times New Roman" w:cs="Tahoma"/>
          <w:kern w:val="3"/>
          <w:sz w:val="21"/>
          <w:szCs w:val="21"/>
          <w:lang w:eastAsia="ja-JP" w:bidi="fa-IR"/>
        </w:rPr>
        <w:t xml:space="preserve">4. </w:t>
      </w:r>
      <w:r w:rsidRPr="006F1DF5">
        <w:rPr>
          <w:rFonts w:ascii="Times New Roman" w:eastAsia="Andale Sans UI" w:hAnsi="Times New Roman" w:cs="Tahoma"/>
          <w:kern w:val="3"/>
          <w:sz w:val="21"/>
          <w:szCs w:val="21"/>
          <w:lang w:val="de-DE" w:eastAsia="ja-JP" w:bidi="fa-IR"/>
        </w:rPr>
        <w:t xml:space="preserve">Современная парадигма социально-экономического развития территорий: финансово-инвестиционные аспекты / Л. Л. Игонина, В. В. Вихарев, А. С. Окунь [и др.]. – </w:t>
      </w:r>
      <w:proofErr w:type="gramStart"/>
      <w:r w:rsidRPr="006F1DF5">
        <w:rPr>
          <w:rFonts w:ascii="Times New Roman" w:eastAsia="Andale Sans UI" w:hAnsi="Times New Roman" w:cs="Tahoma"/>
          <w:kern w:val="3"/>
          <w:sz w:val="21"/>
          <w:szCs w:val="21"/>
          <w:lang w:val="de-DE" w:eastAsia="ja-JP" w:bidi="fa-IR"/>
        </w:rPr>
        <w:t>Москва :</w:t>
      </w:r>
      <w:proofErr w:type="gramEnd"/>
      <w:r w:rsidRPr="006F1DF5">
        <w:rPr>
          <w:rFonts w:ascii="Times New Roman" w:eastAsia="Andale Sans UI" w:hAnsi="Times New Roman" w:cs="Tahoma"/>
          <w:kern w:val="3"/>
          <w:sz w:val="21"/>
          <w:szCs w:val="21"/>
          <w:lang w:val="de-DE" w:eastAsia="ja-JP" w:bidi="fa-IR"/>
        </w:rPr>
        <w:t xml:space="preserve"> Общество с ограниченной ответственностью </w:t>
      </w:r>
      <w:r w:rsidRPr="006F1DF5">
        <w:rPr>
          <w:rFonts w:ascii="Times New Roman" w:eastAsia="Andale Sans UI" w:hAnsi="Times New Roman" w:cs="Tahoma"/>
          <w:kern w:val="3"/>
          <w:sz w:val="21"/>
          <w:szCs w:val="21"/>
          <w:lang w:eastAsia="ru-RU"/>
        </w:rPr>
        <w:t>«</w:t>
      </w:r>
      <w:r w:rsidRPr="006F1DF5">
        <w:rPr>
          <w:rFonts w:ascii="Times New Roman" w:eastAsia="Andale Sans UI" w:hAnsi="Times New Roman" w:cs="Tahoma"/>
          <w:kern w:val="3"/>
          <w:sz w:val="21"/>
          <w:szCs w:val="21"/>
          <w:lang w:val="de-DE" w:eastAsia="ja-JP" w:bidi="fa-IR"/>
        </w:rPr>
        <w:t>Русайнс</w:t>
      </w:r>
      <w:r w:rsidRPr="006F1DF5">
        <w:rPr>
          <w:rFonts w:ascii="Times New Roman" w:eastAsia="Andale Sans UI" w:hAnsi="Times New Roman" w:cs="Tahoma"/>
          <w:kern w:val="3"/>
          <w:sz w:val="21"/>
          <w:szCs w:val="21"/>
          <w:lang w:eastAsia="ru-RU"/>
        </w:rPr>
        <w:t>»</w:t>
      </w:r>
      <w:r w:rsidRPr="006F1DF5">
        <w:rPr>
          <w:rFonts w:ascii="Times New Roman" w:eastAsia="Andale Sans UI" w:hAnsi="Times New Roman" w:cs="Tahoma"/>
          <w:kern w:val="3"/>
          <w:sz w:val="21"/>
          <w:szCs w:val="21"/>
          <w:lang w:val="de-DE" w:eastAsia="ja-JP" w:bidi="fa-IR"/>
        </w:rPr>
        <w:t>, 2023. – 214 с. </w:t>
      </w:r>
    </w:p>
    <w:p w14:paraId="48AA76F8" w14:textId="77777777" w:rsidR="008D4DA6" w:rsidRDefault="008D4DA6" w:rsidP="008D4DA6">
      <w:pPr>
        <w:pStyle w:val="a8"/>
        <w:spacing w:line="279" w:lineRule="auto"/>
        <w:ind w:left="426"/>
        <w:jc w:val="both"/>
        <w:rPr>
          <w:rFonts w:ascii="Times New Roman" w:eastAsia="Times New Roman" w:hAnsi="Times New Roman" w:cs="Times New Roman"/>
          <w:sz w:val="21"/>
          <w:szCs w:val="21"/>
        </w:rPr>
      </w:pPr>
    </w:p>
    <w:p w14:paraId="526EF24B" w14:textId="77777777" w:rsidR="00771D90" w:rsidRPr="00771D90" w:rsidRDefault="00771D90" w:rsidP="00CB3B47">
      <w:pPr>
        <w:spacing w:after="0" w:line="240" w:lineRule="auto"/>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color w:val="000000"/>
          <w:sz w:val="21"/>
          <w:szCs w:val="21"/>
        </w:rPr>
        <w:t>УДК 004.8.338.4</w:t>
      </w:r>
    </w:p>
    <w:p w14:paraId="0551F626"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i/>
          <w:iCs/>
          <w:color w:val="000000"/>
          <w:sz w:val="21"/>
          <w:szCs w:val="21"/>
        </w:rPr>
        <w:t xml:space="preserve">Великохатько Я.C., </w:t>
      </w:r>
    </w:p>
    <w:p w14:paraId="345CCD8C"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i/>
          <w:iCs/>
          <w:color w:val="000000"/>
          <w:sz w:val="21"/>
          <w:szCs w:val="21"/>
        </w:rPr>
        <w:t xml:space="preserve">студент 2 курса </w:t>
      </w:r>
    </w:p>
    <w:p w14:paraId="6746411C" w14:textId="77777777" w:rsidR="00771D90" w:rsidRPr="00771D90" w:rsidRDefault="00771D90" w:rsidP="00CB3B47">
      <w:pPr>
        <w:spacing w:after="0" w:line="240" w:lineRule="auto"/>
        <w:ind w:right="-143"/>
        <w:rPr>
          <w:rFonts w:ascii="Times New Roman" w:eastAsia="Times New Roman" w:hAnsi="Times New Roman" w:cs="Times New Roman"/>
          <w:color w:val="000000"/>
          <w:sz w:val="21"/>
          <w:szCs w:val="21"/>
        </w:rPr>
      </w:pPr>
      <w:r w:rsidRPr="00771D90">
        <w:rPr>
          <w:rFonts w:ascii="Times New Roman" w:eastAsia="Times New Roman" w:hAnsi="Times New Roman" w:cs="Times New Roman"/>
          <w:i/>
          <w:iCs/>
          <w:color w:val="000000"/>
          <w:sz w:val="21"/>
          <w:szCs w:val="21"/>
        </w:rPr>
        <w:t>ФГОБУ ВО «Финансовый университет при Правительстве Российской Федерации» Краснодарский филиал</w:t>
      </w:r>
    </w:p>
    <w:p w14:paraId="0D3CB36E"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i/>
          <w:iCs/>
          <w:color w:val="000000"/>
          <w:sz w:val="21"/>
          <w:szCs w:val="21"/>
        </w:rPr>
        <w:t>г. Краснодар, Россия</w:t>
      </w:r>
    </w:p>
    <w:p w14:paraId="6CBC37C8" w14:textId="77777777" w:rsidR="00771D90" w:rsidRPr="00771D90" w:rsidRDefault="00771D90" w:rsidP="00CB3B47">
      <w:pPr>
        <w:spacing w:after="0" w:line="240" w:lineRule="auto"/>
        <w:ind w:firstLine="567"/>
        <w:jc w:val="right"/>
        <w:rPr>
          <w:rFonts w:ascii="Times New Roman" w:eastAsia="Times New Roman" w:hAnsi="Times New Roman" w:cs="Times New Roman"/>
          <w:i/>
          <w:iCs/>
          <w:color w:val="000000"/>
          <w:sz w:val="21"/>
          <w:szCs w:val="21"/>
        </w:rPr>
      </w:pPr>
      <w:r w:rsidRPr="00771D90">
        <w:rPr>
          <w:rFonts w:ascii="Times New Roman" w:eastAsia="Times New Roman" w:hAnsi="Times New Roman" w:cs="Times New Roman"/>
          <w:i/>
          <w:iCs/>
          <w:color w:val="000000"/>
          <w:sz w:val="21"/>
          <w:szCs w:val="21"/>
        </w:rPr>
        <w:t>е-</w:t>
      </w:r>
      <w:r w:rsidRPr="00771D90">
        <w:rPr>
          <w:rFonts w:ascii="Times New Roman" w:eastAsia="Times New Roman" w:hAnsi="Times New Roman" w:cs="Times New Roman"/>
          <w:i/>
          <w:iCs/>
          <w:color w:val="000000"/>
          <w:sz w:val="21"/>
          <w:szCs w:val="21"/>
          <w:lang w:val="en-US"/>
        </w:rPr>
        <w:t>mail</w:t>
      </w:r>
      <w:r w:rsidRPr="00771D90">
        <w:rPr>
          <w:rFonts w:ascii="Times New Roman" w:eastAsia="Times New Roman" w:hAnsi="Times New Roman" w:cs="Times New Roman"/>
          <w:i/>
          <w:iCs/>
          <w:color w:val="000000"/>
          <w:sz w:val="21"/>
          <w:szCs w:val="21"/>
        </w:rPr>
        <w:t xml:space="preserve">: </w:t>
      </w:r>
      <w:hyperlink r:id="rId563" w:history="1">
        <w:r w:rsidRPr="00771D90">
          <w:rPr>
            <w:rFonts w:ascii="Times New Roman" w:eastAsia="Times New Roman" w:hAnsi="Times New Roman" w:cs="Times New Roman"/>
            <w:i/>
            <w:iCs/>
            <w:color w:val="467886"/>
            <w:sz w:val="21"/>
            <w:szCs w:val="21"/>
            <w:u w:val="single"/>
            <w:lang w:val="en-US"/>
          </w:rPr>
          <w:t>zedfrom</w:t>
        </w:r>
        <w:r w:rsidRPr="00771D90">
          <w:rPr>
            <w:rFonts w:ascii="Times New Roman" w:eastAsia="Times New Roman" w:hAnsi="Times New Roman" w:cs="Times New Roman"/>
            <w:i/>
            <w:iCs/>
            <w:color w:val="467886"/>
            <w:sz w:val="21"/>
            <w:szCs w:val="21"/>
            <w:u w:val="single"/>
          </w:rPr>
          <w:t>2005@</w:t>
        </w:r>
        <w:r w:rsidRPr="00771D90">
          <w:rPr>
            <w:rFonts w:ascii="Times New Roman" w:eastAsia="Times New Roman" w:hAnsi="Times New Roman" w:cs="Times New Roman"/>
            <w:i/>
            <w:iCs/>
            <w:color w:val="467886"/>
            <w:sz w:val="21"/>
            <w:szCs w:val="21"/>
            <w:u w:val="single"/>
            <w:lang w:val="en-US"/>
          </w:rPr>
          <w:t>gmail</w:t>
        </w:r>
        <w:r w:rsidRPr="00771D90">
          <w:rPr>
            <w:rFonts w:ascii="Times New Roman" w:eastAsia="Times New Roman" w:hAnsi="Times New Roman" w:cs="Times New Roman"/>
            <w:i/>
            <w:iCs/>
            <w:color w:val="467886"/>
            <w:sz w:val="21"/>
            <w:szCs w:val="21"/>
            <w:u w:val="single"/>
          </w:rPr>
          <w:t>.</w:t>
        </w:r>
        <w:r w:rsidRPr="00771D90">
          <w:rPr>
            <w:rFonts w:ascii="Times New Roman" w:eastAsia="Times New Roman" w:hAnsi="Times New Roman" w:cs="Times New Roman"/>
            <w:i/>
            <w:iCs/>
            <w:color w:val="467886"/>
            <w:sz w:val="21"/>
            <w:szCs w:val="21"/>
            <w:u w:val="single"/>
            <w:lang w:val="en-US"/>
          </w:rPr>
          <w:t>com</w:t>
        </w:r>
      </w:hyperlink>
    </w:p>
    <w:p w14:paraId="0BB4F609"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p>
    <w:p w14:paraId="384F6CD8"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i/>
          <w:iCs/>
          <w:color w:val="000000"/>
          <w:sz w:val="21"/>
          <w:szCs w:val="21"/>
        </w:rPr>
        <w:t>Научный руководитель:</w:t>
      </w:r>
    </w:p>
    <w:p w14:paraId="5A0F6F70"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i/>
          <w:iCs/>
          <w:color w:val="000000"/>
          <w:sz w:val="21"/>
          <w:szCs w:val="21"/>
        </w:rPr>
        <w:t>Коренева О.В.,</w:t>
      </w:r>
    </w:p>
    <w:p w14:paraId="46E54F02" w14:textId="77777777" w:rsidR="00771D90" w:rsidRPr="00771D90" w:rsidRDefault="00771D90" w:rsidP="00BD3BF2">
      <w:pPr>
        <w:spacing w:after="0" w:line="240" w:lineRule="auto"/>
        <w:ind w:right="-143"/>
        <w:rPr>
          <w:rFonts w:ascii="Times New Roman" w:eastAsia="Times New Roman" w:hAnsi="Times New Roman" w:cs="Times New Roman"/>
          <w:color w:val="000000"/>
          <w:sz w:val="21"/>
          <w:szCs w:val="21"/>
        </w:rPr>
      </w:pPr>
      <w:r w:rsidRPr="00771D90">
        <w:rPr>
          <w:rFonts w:ascii="Times New Roman" w:eastAsia="Times New Roman" w:hAnsi="Times New Roman" w:cs="Times New Roman"/>
          <w:i/>
          <w:iCs/>
          <w:color w:val="000000"/>
          <w:sz w:val="21"/>
          <w:szCs w:val="21"/>
        </w:rPr>
        <w:t>ФГОБУ ВО «Финансовый университет при Правительстве Российской Федерации» Краснодарский филиал</w:t>
      </w:r>
    </w:p>
    <w:p w14:paraId="6614DBF6"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rPr>
      </w:pPr>
      <w:r w:rsidRPr="00771D90">
        <w:rPr>
          <w:rFonts w:ascii="Times New Roman" w:eastAsia="Times New Roman" w:hAnsi="Times New Roman" w:cs="Times New Roman"/>
          <w:i/>
          <w:iCs/>
          <w:color w:val="000000"/>
          <w:sz w:val="21"/>
          <w:szCs w:val="21"/>
        </w:rPr>
        <w:t>г. Краснодар, Россия</w:t>
      </w:r>
    </w:p>
    <w:p w14:paraId="49475D35" w14:textId="77777777" w:rsidR="00771D90" w:rsidRPr="00771D90" w:rsidRDefault="00771D90" w:rsidP="00CB3B47">
      <w:pPr>
        <w:spacing w:after="0" w:line="240" w:lineRule="auto"/>
        <w:ind w:firstLine="567"/>
        <w:jc w:val="right"/>
        <w:rPr>
          <w:rFonts w:ascii="Times New Roman" w:eastAsia="Times New Roman" w:hAnsi="Times New Roman" w:cs="Times New Roman"/>
          <w:i/>
          <w:iCs/>
          <w:color w:val="000000"/>
          <w:sz w:val="21"/>
          <w:szCs w:val="21"/>
        </w:rPr>
      </w:pPr>
      <w:r w:rsidRPr="00771D90">
        <w:rPr>
          <w:rFonts w:ascii="Times New Roman" w:eastAsia="Times New Roman" w:hAnsi="Times New Roman" w:cs="Times New Roman"/>
          <w:i/>
          <w:iCs/>
          <w:color w:val="000000"/>
          <w:sz w:val="21"/>
          <w:szCs w:val="21"/>
        </w:rPr>
        <w:t>е-</w:t>
      </w:r>
      <w:r w:rsidRPr="00771D90">
        <w:rPr>
          <w:rFonts w:ascii="Times New Roman" w:eastAsia="Times New Roman" w:hAnsi="Times New Roman" w:cs="Times New Roman"/>
          <w:i/>
          <w:iCs/>
          <w:color w:val="000000"/>
          <w:sz w:val="21"/>
          <w:szCs w:val="21"/>
          <w:lang w:val="en-US"/>
        </w:rPr>
        <w:t>mail</w:t>
      </w:r>
      <w:r w:rsidRPr="00771D90">
        <w:rPr>
          <w:rFonts w:ascii="Times New Roman" w:eastAsia="Times New Roman" w:hAnsi="Times New Roman" w:cs="Times New Roman"/>
          <w:i/>
          <w:iCs/>
          <w:color w:val="000000"/>
          <w:sz w:val="21"/>
          <w:szCs w:val="21"/>
        </w:rPr>
        <w:t xml:space="preserve">: </w:t>
      </w:r>
      <w:hyperlink r:id="rId564" w:history="1">
        <w:r w:rsidRPr="00771D90">
          <w:rPr>
            <w:rFonts w:ascii="Times New Roman" w:eastAsia="Times New Roman" w:hAnsi="Times New Roman" w:cs="Times New Roman"/>
            <w:i/>
            <w:iCs/>
            <w:color w:val="467886"/>
            <w:sz w:val="21"/>
            <w:szCs w:val="21"/>
            <w:u w:val="single"/>
            <w:lang w:val="en-US"/>
          </w:rPr>
          <w:t>o</w:t>
        </w:r>
        <w:r w:rsidRPr="00771D90">
          <w:rPr>
            <w:rFonts w:ascii="Times New Roman" w:eastAsia="Times New Roman" w:hAnsi="Times New Roman" w:cs="Times New Roman"/>
            <w:i/>
            <w:iCs/>
            <w:color w:val="467886"/>
            <w:sz w:val="21"/>
            <w:szCs w:val="21"/>
            <w:u w:val="single"/>
          </w:rPr>
          <w:t>.</w:t>
        </w:r>
        <w:r w:rsidRPr="00771D90">
          <w:rPr>
            <w:rFonts w:ascii="Times New Roman" w:eastAsia="Times New Roman" w:hAnsi="Times New Roman" w:cs="Times New Roman"/>
            <w:i/>
            <w:iCs/>
            <w:color w:val="467886"/>
            <w:sz w:val="21"/>
            <w:szCs w:val="21"/>
            <w:u w:val="single"/>
            <w:lang w:val="en-US"/>
          </w:rPr>
          <w:t>koreneva</w:t>
        </w:r>
        <w:r w:rsidRPr="00771D90">
          <w:rPr>
            <w:rFonts w:ascii="Times New Roman" w:eastAsia="Times New Roman" w:hAnsi="Times New Roman" w:cs="Times New Roman"/>
            <w:i/>
            <w:iCs/>
            <w:color w:val="467886"/>
            <w:sz w:val="21"/>
            <w:szCs w:val="21"/>
            <w:u w:val="single"/>
          </w:rPr>
          <w:t>29@</w:t>
        </w:r>
        <w:r w:rsidRPr="00771D90">
          <w:rPr>
            <w:rFonts w:ascii="Times New Roman" w:eastAsia="Times New Roman" w:hAnsi="Times New Roman" w:cs="Times New Roman"/>
            <w:i/>
            <w:iCs/>
            <w:color w:val="467886"/>
            <w:sz w:val="21"/>
            <w:szCs w:val="21"/>
            <w:u w:val="single"/>
            <w:lang w:val="en-US"/>
          </w:rPr>
          <w:t>mail</w:t>
        </w:r>
        <w:r w:rsidRPr="00771D90">
          <w:rPr>
            <w:rFonts w:ascii="Times New Roman" w:eastAsia="Times New Roman" w:hAnsi="Times New Roman" w:cs="Times New Roman"/>
            <w:i/>
            <w:iCs/>
            <w:color w:val="467886"/>
            <w:sz w:val="21"/>
            <w:szCs w:val="21"/>
            <w:u w:val="single"/>
          </w:rPr>
          <w:t>.</w:t>
        </w:r>
        <w:r w:rsidRPr="00771D90">
          <w:rPr>
            <w:rFonts w:ascii="Times New Roman" w:eastAsia="Times New Roman" w:hAnsi="Times New Roman" w:cs="Times New Roman"/>
            <w:i/>
            <w:iCs/>
            <w:color w:val="467886"/>
            <w:sz w:val="21"/>
            <w:szCs w:val="21"/>
            <w:u w:val="single"/>
            <w:lang w:val="en-US"/>
          </w:rPr>
          <w:t>ru</w:t>
        </w:r>
      </w:hyperlink>
    </w:p>
    <w:p w14:paraId="51CFA939" w14:textId="77777777" w:rsidR="00771D90" w:rsidRPr="00771D90" w:rsidRDefault="00771D90" w:rsidP="00CB3B47">
      <w:pPr>
        <w:spacing w:after="0" w:line="240" w:lineRule="auto"/>
        <w:ind w:firstLine="567"/>
        <w:jc w:val="center"/>
        <w:rPr>
          <w:rFonts w:ascii="Times New Roman" w:eastAsia="Times New Roman" w:hAnsi="Times New Roman" w:cs="Times New Roman"/>
          <w:b/>
          <w:bCs/>
          <w:color w:val="000000"/>
          <w:sz w:val="21"/>
          <w:szCs w:val="21"/>
        </w:rPr>
      </w:pPr>
    </w:p>
    <w:p w14:paraId="269BC9EC" w14:textId="77777777" w:rsidR="00771D90" w:rsidRPr="00771D90" w:rsidRDefault="00771D90" w:rsidP="00CB3B47">
      <w:pPr>
        <w:spacing w:after="0" w:line="240" w:lineRule="auto"/>
        <w:ind w:firstLine="567"/>
        <w:jc w:val="center"/>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color w:val="000000"/>
          <w:sz w:val="21"/>
          <w:szCs w:val="21"/>
        </w:rPr>
        <w:t xml:space="preserve">Создание платформы для автоматизации страховых услуг на основе искусственного интеллекта  </w:t>
      </w:r>
    </w:p>
    <w:p w14:paraId="419E30E3" w14:textId="77777777" w:rsidR="00771D90" w:rsidRPr="00771D90" w:rsidRDefault="00771D90" w:rsidP="00CB3B47">
      <w:pPr>
        <w:spacing w:after="0" w:line="240" w:lineRule="auto"/>
        <w:ind w:firstLine="567"/>
        <w:jc w:val="center"/>
        <w:rPr>
          <w:rFonts w:ascii="Times New Roman" w:eastAsia="Times New Roman" w:hAnsi="Times New Roman" w:cs="Times New Roman"/>
          <w:color w:val="000000"/>
          <w:sz w:val="21"/>
          <w:szCs w:val="21"/>
        </w:rPr>
      </w:pPr>
    </w:p>
    <w:p w14:paraId="6CC6393F" w14:textId="0D6C8430" w:rsidR="00771D90" w:rsidRPr="00771D90" w:rsidRDefault="00771D90" w:rsidP="00CB3B47">
      <w:pPr>
        <w:spacing w:after="0" w:line="240" w:lineRule="auto"/>
        <w:ind w:firstLine="567"/>
        <w:jc w:val="both"/>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color w:val="000000"/>
          <w:sz w:val="21"/>
          <w:szCs w:val="21"/>
        </w:rPr>
        <w:t>Аннотация:</w:t>
      </w:r>
      <w:r w:rsidRPr="00771D90">
        <w:rPr>
          <w:rFonts w:ascii="Times New Roman" w:eastAsia="Times New Roman" w:hAnsi="Times New Roman" w:cs="Times New Roman"/>
          <w:color w:val="000000"/>
          <w:sz w:val="21"/>
          <w:szCs w:val="21"/>
        </w:rPr>
        <w:t xml:space="preserve"> В статье рассматривается разработка современной платформы для автоматизации страховых услуг с помощью искусственного интеллекта. Предлагаемое решение направлено на оптимизацию процессов в сфере страхования, которые включают в себя: обработку заявок, оценку рисков, борьбу с мошенниками, а также урегулирование убытков. Применение машинного обучения, компьютерного зрения позволит повысить эффективность расчетов, а также минимизировать влияние человеческого фактора в работе. </w:t>
      </w:r>
    </w:p>
    <w:p w14:paraId="0B8F1C5A" w14:textId="79D34798" w:rsidR="00771D90" w:rsidRPr="00771D90" w:rsidRDefault="00771D90" w:rsidP="00CB3B47">
      <w:pPr>
        <w:spacing w:after="0" w:line="240" w:lineRule="auto"/>
        <w:ind w:firstLine="567"/>
        <w:jc w:val="both"/>
        <w:rPr>
          <w:rFonts w:ascii="Times New Roman" w:eastAsia="Times New Roman" w:hAnsi="Times New Roman" w:cs="Times New Roman"/>
          <w:color w:val="000000"/>
          <w:sz w:val="21"/>
          <w:szCs w:val="21"/>
        </w:rPr>
      </w:pPr>
      <w:r w:rsidRPr="00771D90">
        <w:rPr>
          <w:rFonts w:ascii="Times New Roman" w:eastAsia="Times New Roman" w:hAnsi="Times New Roman" w:cs="Times New Roman"/>
          <w:b/>
          <w:bCs/>
          <w:color w:val="000000"/>
          <w:sz w:val="21"/>
          <w:szCs w:val="21"/>
        </w:rPr>
        <w:t xml:space="preserve">Ключевые слова: </w:t>
      </w:r>
      <w:r w:rsidRPr="00771D90">
        <w:rPr>
          <w:rFonts w:ascii="Times New Roman" w:eastAsia="Times New Roman" w:hAnsi="Times New Roman" w:cs="Times New Roman"/>
          <w:color w:val="000000"/>
          <w:sz w:val="21"/>
          <w:szCs w:val="21"/>
        </w:rPr>
        <w:t>автоматизация процессов страхования; искусственный интеллект; машинное обучение; компьютерное зрение.</w:t>
      </w:r>
    </w:p>
    <w:p w14:paraId="0C3F62EB" w14:textId="77777777" w:rsidR="00771D90" w:rsidRPr="00771D90" w:rsidRDefault="00771D90" w:rsidP="00CB3B47">
      <w:pPr>
        <w:spacing w:after="0" w:line="240" w:lineRule="auto"/>
        <w:ind w:firstLine="567"/>
        <w:jc w:val="right"/>
        <w:rPr>
          <w:rFonts w:ascii="Times New Roman" w:eastAsia="Times New Roman" w:hAnsi="Times New Roman" w:cs="Times New Roman"/>
          <w:b/>
          <w:bCs/>
          <w:i/>
          <w:iCs/>
          <w:color w:val="000000"/>
          <w:sz w:val="21"/>
          <w:szCs w:val="21"/>
          <w:lang w:val="en-US"/>
        </w:rPr>
      </w:pPr>
      <w:r w:rsidRPr="00771D90">
        <w:rPr>
          <w:rFonts w:ascii="Times New Roman" w:eastAsia="Times New Roman" w:hAnsi="Times New Roman" w:cs="Times New Roman"/>
          <w:b/>
          <w:bCs/>
          <w:i/>
          <w:iCs/>
          <w:color w:val="000000"/>
          <w:sz w:val="21"/>
          <w:szCs w:val="21"/>
          <w:lang w:val="en-US"/>
        </w:rPr>
        <w:t>Velikohatko Ya.S.,</w:t>
      </w:r>
    </w:p>
    <w:p w14:paraId="76C28A04"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i/>
          <w:iCs/>
          <w:color w:val="000000"/>
          <w:sz w:val="21"/>
          <w:szCs w:val="21"/>
          <w:lang w:val="en-US"/>
        </w:rPr>
        <w:t>student, 2 courses</w:t>
      </w:r>
      <w:r w:rsidRPr="00771D90">
        <w:rPr>
          <w:rFonts w:ascii="Times New Roman" w:eastAsia="Times New Roman" w:hAnsi="Times New Roman" w:cs="Times New Roman"/>
          <w:b/>
          <w:bCs/>
          <w:i/>
          <w:iCs/>
          <w:color w:val="000000"/>
          <w:sz w:val="21"/>
          <w:szCs w:val="21"/>
          <w:lang w:val="en-US"/>
        </w:rPr>
        <w:t xml:space="preserve"> </w:t>
      </w:r>
    </w:p>
    <w:p w14:paraId="2035A195"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44849AC9"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i/>
          <w:iCs/>
          <w:color w:val="000000"/>
          <w:sz w:val="21"/>
          <w:szCs w:val="21"/>
          <w:lang w:val="en-US"/>
        </w:rPr>
        <w:t>Krasnodar, Russia</w:t>
      </w:r>
    </w:p>
    <w:p w14:paraId="2E32D9B4" w14:textId="77777777" w:rsidR="00771D90" w:rsidRPr="00771D90" w:rsidRDefault="00771D90" w:rsidP="00CB3B47">
      <w:pPr>
        <w:spacing w:after="0" w:line="240" w:lineRule="auto"/>
        <w:ind w:firstLine="567"/>
        <w:jc w:val="right"/>
        <w:rPr>
          <w:rFonts w:ascii="Times New Roman" w:eastAsia="Times New Roman" w:hAnsi="Times New Roman" w:cs="Times New Roman"/>
          <w:i/>
          <w:iCs/>
          <w:color w:val="000000"/>
          <w:sz w:val="21"/>
          <w:szCs w:val="21"/>
          <w:lang w:val="en-US"/>
        </w:rPr>
      </w:pPr>
      <w:r w:rsidRPr="00771D90">
        <w:rPr>
          <w:rFonts w:ascii="Times New Roman" w:eastAsia="Times New Roman" w:hAnsi="Times New Roman" w:cs="Times New Roman"/>
          <w:i/>
          <w:iCs/>
          <w:color w:val="000000"/>
          <w:sz w:val="21"/>
          <w:szCs w:val="21"/>
        </w:rPr>
        <w:t>е</w:t>
      </w:r>
      <w:r w:rsidRPr="00771D90">
        <w:rPr>
          <w:rFonts w:ascii="Times New Roman" w:eastAsia="Times New Roman" w:hAnsi="Times New Roman" w:cs="Times New Roman"/>
          <w:i/>
          <w:iCs/>
          <w:color w:val="000000"/>
          <w:sz w:val="21"/>
          <w:szCs w:val="21"/>
          <w:lang w:val="en-US"/>
        </w:rPr>
        <w:t xml:space="preserve">-mail: </w:t>
      </w:r>
      <w:hyperlink r:id="rId565" w:history="1">
        <w:r w:rsidRPr="00771D90">
          <w:rPr>
            <w:rFonts w:ascii="Times New Roman" w:eastAsia="Times New Roman" w:hAnsi="Times New Roman" w:cs="Times New Roman"/>
            <w:i/>
            <w:iCs/>
            <w:color w:val="467886"/>
            <w:sz w:val="21"/>
            <w:szCs w:val="21"/>
            <w:u w:val="single"/>
            <w:lang w:val="en-US"/>
          </w:rPr>
          <w:t>zedfrom2005@gmail.com</w:t>
        </w:r>
      </w:hyperlink>
    </w:p>
    <w:p w14:paraId="6FD68935"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p>
    <w:p w14:paraId="145AA6A6"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b/>
          <w:bCs/>
          <w:i/>
          <w:iCs/>
          <w:color w:val="000000"/>
          <w:sz w:val="21"/>
          <w:szCs w:val="21"/>
          <w:lang w:val="en-US"/>
        </w:rPr>
        <w:t>Scientific Adviser:</w:t>
      </w:r>
    </w:p>
    <w:p w14:paraId="74B7F376" w14:textId="77777777" w:rsidR="00771D90" w:rsidRPr="00771D90" w:rsidRDefault="00771D90" w:rsidP="00CB3B47">
      <w:pPr>
        <w:spacing w:after="0" w:line="240" w:lineRule="auto"/>
        <w:ind w:firstLine="567"/>
        <w:jc w:val="right"/>
        <w:rPr>
          <w:rFonts w:ascii="Times New Roman" w:eastAsia="Times New Roman" w:hAnsi="Times New Roman" w:cs="Times New Roman"/>
          <w:b/>
          <w:bCs/>
          <w:i/>
          <w:iCs/>
          <w:color w:val="000000"/>
          <w:sz w:val="21"/>
          <w:szCs w:val="21"/>
          <w:lang w:val="en-US"/>
        </w:rPr>
      </w:pPr>
      <w:r w:rsidRPr="00771D90">
        <w:rPr>
          <w:rFonts w:ascii="Times New Roman" w:eastAsia="Times New Roman" w:hAnsi="Times New Roman" w:cs="Times New Roman"/>
          <w:b/>
          <w:bCs/>
          <w:i/>
          <w:iCs/>
          <w:color w:val="000000"/>
          <w:sz w:val="21"/>
          <w:szCs w:val="21"/>
          <w:lang w:val="en-US"/>
        </w:rPr>
        <w:t xml:space="preserve">Koreneva O.V., </w:t>
      </w:r>
    </w:p>
    <w:p w14:paraId="41071940"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4860941A" w14:textId="77777777" w:rsidR="00771D90" w:rsidRPr="00771D90" w:rsidRDefault="00771D90" w:rsidP="00CB3B47">
      <w:pPr>
        <w:spacing w:after="0" w:line="240" w:lineRule="auto"/>
        <w:ind w:firstLine="567"/>
        <w:jc w:val="right"/>
        <w:rPr>
          <w:rFonts w:ascii="Times New Roman" w:eastAsia="Times New Roman" w:hAnsi="Times New Roman" w:cs="Times New Roman"/>
          <w:color w:val="000000"/>
          <w:sz w:val="21"/>
          <w:szCs w:val="21"/>
          <w:lang w:val="en-US"/>
        </w:rPr>
      </w:pPr>
      <w:r w:rsidRPr="00771D90">
        <w:rPr>
          <w:rFonts w:ascii="Times New Roman" w:eastAsia="Times New Roman" w:hAnsi="Times New Roman" w:cs="Times New Roman"/>
          <w:i/>
          <w:iCs/>
          <w:color w:val="000000"/>
          <w:sz w:val="21"/>
          <w:szCs w:val="21"/>
          <w:lang w:val="en-US"/>
        </w:rPr>
        <w:t>Krasnodar, Russia</w:t>
      </w:r>
    </w:p>
    <w:p w14:paraId="3C1E79D8" w14:textId="77777777" w:rsidR="00771D90" w:rsidRPr="00771D90" w:rsidRDefault="00771D90" w:rsidP="00CB3B47">
      <w:pPr>
        <w:spacing w:after="0" w:line="240" w:lineRule="auto"/>
        <w:ind w:firstLine="567"/>
        <w:jc w:val="right"/>
        <w:rPr>
          <w:rFonts w:ascii="Times New Roman" w:eastAsia="Times New Roman" w:hAnsi="Times New Roman" w:cs="Times New Roman"/>
          <w:i/>
          <w:iCs/>
          <w:color w:val="000000"/>
          <w:sz w:val="21"/>
          <w:szCs w:val="21"/>
          <w:lang w:val="en-US"/>
        </w:rPr>
      </w:pPr>
      <w:r w:rsidRPr="00771D90">
        <w:rPr>
          <w:rFonts w:ascii="Times New Roman" w:eastAsia="Times New Roman" w:hAnsi="Times New Roman" w:cs="Times New Roman"/>
          <w:i/>
          <w:iCs/>
          <w:color w:val="000000"/>
          <w:sz w:val="21"/>
          <w:szCs w:val="21"/>
        </w:rPr>
        <w:t>е</w:t>
      </w:r>
      <w:r w:rsidRPr="00771D90">
        <w:rPr>
          <w:rFonts w:ascii="Times New Roman" w:eastAsia="Times New Roman" w:hAnsi="Times New Roman" w:cs="Times New Roman"/>
          <w:i/>
          <w:iCs/>
          <w:color w:val="000000"/>
          <w:sz w:val="21"/>
          <w:szCs w:val="21"/>
          <w:lang w:val="en-US"/>
        </w:rPr>
        <w:t xml:space="preserve">-mail: </w:t>
      </w:r>
      <w:hyperlink r:id="rId566" w:history="1">
        <w:r w:rsidRPr="00771D90">
          <w:rPr>
            <w:rFonts w:ascii="Times New Roman" w:eastAsia="Times New Roman" w:hAnsi="Times New Roman" w:cs="Times New Roman"/>
            <w:i/>
            <w:iCs/>
            <w:color w:val="467886"/>
            <w:sz w:val="21"/>
            <w:szCs w:val="21"/>
            <w:u w:val="single"/>
            <w:lang w:val="en-US"/>
          </w:rPr>
          <w:t>o.koreneva29@mail.ru</w:t>
        </w:r>
      </w:hyperlink>
    </w:p>
    <w:p w14:paraId="7835297C" w14:textId="77777777" w:rsidR="00771D90" w:rsidRPr="00771D90" w:rsidRDefault="00771D90" w:rsidP="00CB3B47">
      <w:pPr>
        <w:spacing w:after="0" w:line="240" w:lineRule="auto"/>
        <w:jc w:val="center"/>
        <w:rPr>
          <w:rFonts w:ascii="Times New Roman" w:eastAsia="Times New Roman" w:hAnsi="Times New Roman" w:cs="Times New Roman"/>
          <w:b/>
          <w:bCs/>
          <w:sz w:val="21"/>
          <w:szCs w:val="21"/>
          <w:lang w:val="en-US"/>
        </w:rPr>
      </w:pPr>
    </w:p>
    <w:p w14:paraId="2A8567F8" w14:textId="77777777" w:rsidR="00771D90" w:rsidRPr="00771D90" w:rsidRDefault="00771D90" w:rsidP="00CB3B47">
      <w:pPr>
        <w:spacing w:after="0" w:line="240" w:lineRule="auto"/>
        <w:jc w:val="center"/>
        <w:rPr>
          <w:rFonts w:ascii="Times New Roman" w:eastAsia="Times New Roman" w:hAnsi="Times New Roman" w:cs="Times New Roman"/>
          <w:b/>
          <w:bCs/>
          <w:sz w:val="21"/>
          <w:szCs w:val="21"/>
          <w:lang w:val="en-US"/>
        </w:rPr>
      </w:pPr>
      <w:r w:rsidRPr="00771D90">
        <w:rPr>
          <w:rFonts w:ascii="Times New Roman" w:eastAsia="Times New Roman" w:hAnsi="Times New Roman" w:cs="Times New Roman"/>
          <w:b/>
          <w:bCs/>
          <w:sz w:val="21"/>
          <w:szCs w:val="21"/>
          <w:lang w:val="en-US"/>
        </w:rPr>
        <w:t>Creation of a platform for automation of insurance services based on artificial intelligence</w:t>
      </w:r>
    </w:p>
    <w:p w14:paraId="5AF25A8D" w14:textId="77777777" w:rsidR="00771D90" w:rsidRPr="00771D90" w:rsidRDefault="00771D90" w:rsidP="009F6170">
      <w:pPr>
        <w:spacing w:after="0" w:line="240" w:lineRule="auto"/>
        <w:ind w:firstLine="709"/>
        <w:jc w:val="both"/>
        <w:rPr>
          <w:rFonts w:ascii="Times New Roman" w:eastAsia="Times New Roman" w:hAnsi="Times New Roman" w:cs="Times New Roman"/>
          <w:sz w:val="21"/>
          <w:szCs w:val="21"/>
          <w:lang w:val="en-US"/>
        </w:rPr>
      </w:pPr>
      <w:r w:rsidRPr="00771D90">
        <w:rPr>
          <w:rFonts w:ascii="Times New Roman" w:eastAsia="Times New Roman" w:hAnsi="Times New Roman" w:cs="Times New Roman"/>
          <w:b/>
          <w:bCs/>
          <w:sz w:val="21"/>
          <w:szCs w:val="21"/>
          <w:lang w:val="en-US"/>
        </w:rPr>
        <w:lastRenderedPageBreak/>
        <w:t>Abstract:</w:t>
      </w:r>
      <w:r w:rsidRPr="00771D90">
        <w:rPr>
          <w:rFonts w:ascii="Times New Roman" w:eastAsia="Times New Roman" w:hAnsi="Times New Roman" w:cs="Times New Roman"/>
          <w:sz w:val="21"/>
          <w:szCs w:val="21"/>
          <w:lang w:val="en-US"/>
        </w:rPr>
        <w:t xml:space="preserve"> The article discusses the development of a modern platform for automating insurance services using artificial intelligence. The proposed solution is aimed at optimizing insurance processes, which include: processing applications, assessing risks, combating fraud, and settling losses. The use of machine learning and computer vision will improve the efficiency of calculations, as well as minimize the influence of the human factor in the work. </w:t>
      </w:r>
    </w:p>
    <w:p w14:paraId="1E88BBAD" w14:textId="77777777" w:rsidR="00771D90" w:rsidRPr="00771D90" w:rsidRDefault="00771D90" w:rsidP="009F6170">
      <w:pPr>
        <w:spacing w:after="0" w:line="240" w:lineRule="auto"/>
        <w:ind w:firstLine="709"/>
        <w:jc w:val="both"/>
        <w:rPr>
          <w:rFonts w:ascii="Times New Roman" w:eastAsia="Times New Roman" w:hAnsi="Times New Roman" w:cs="Times New Roman"/>
          <w:sz w:val="21"/>
          <w:szCs w:val="21"/>
          <w:lang w:val="en-US"/>
        </w:rPr>
      </w:pPr>
      <w:r w:rsidRPr="00771D90">
        <w:rPr>
          <w:rFonts w:ascii="Times New Roman" w:eastAsia="Times New Roman" w:hAnsi="Times New Roman" w:cs="Times New Roman"/>
          <w:b/>
          <w:bCs/>
          <w:sz w:val="21"/>
          <w:szCs w:val="21"/>
          <w:lang w:val="en-US"/>
        </w:rPr>
        <w:t xml:space="preserve"> Keywords: </w:t>
      </w:r>
      <w:r w:rsidRPr="00771D90">
        <w:rPr>
          <w:rFonts w:ascii="Times New Roman" w:eastAsia="Times New Roman" w:hAnsi="Times New Roman" w:cs="Times New Roman"/>
          <w:sz w:val="21"/>
          <w:szCs w:val="21"/>
          <w:lang w:val="en-US"/>
        </w:rPr>
        <w:t>automation of insurance processes; artificial intelligence; machine learning; computer vision.</w:t>
      </w:r>
    </w:p>
    <w:p w14:paraId="35060A5D" w14:textId="77777777" w:rsidR="009F6170" w:rsidRPr="00654CF2" w:rsidRDefault="009F6170" w:rsidP="006611C1">
      <w:pPr>
        <w:spacing w:after="0" w:line="240" w:lineRule="auto"/>
        <w:ind w:firstLine="709"/>
        <w:jc w:val="both"/>
        <w:rPr>
          <w:rFonts w:ascii="Times New Roman" w:eastAsia="Times New Roman" w:hAnsi="Times New Roman" w:cs="Times New Roman"/>
          <w:sz w:val="28"/>
          <w:szCs w:val="28"/>
          <w:lang w:val="en-US"/>
        </w:rPr>
      </w:pPr>
    </w:p>
    <w:p w14:paraId="7E949743" w14:textId="423CE410"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В современном мире информационные технологии и искусственный интеллект играют важную роль в организации и автоматизации бизнес-процессов. С постоянным темпом развития технологий множество компаний и предпринимателей ищут новые способы внедрения технологий в рабочие процессы, а также их оптимизацию и повышения эффективности.</w:t>
      </w:r>
    </w:p>
    <w:p w14:paraId="257BE71E" w14:textId="5D74EEFF"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Сегодня с помощью искусственного интеллекта можно автоматизировать любую задачу, будь то простые процессы производства, или же обработка больших данных</w:t>
      </w:r>
      <w:r w:rsidR="00CB3B47" w:rsidRPr="009F6170">
        <w:rPr>
          <w:rFonts w:ascii="Times New Roman" w:eastAsia="Times New Roman" w:hAnsi="Times New Roman" w:cs="Times New Roman"/>
          <w:sz w:val="32"/>
          <w:szCs w:val="32"/>
        </w:rPr>
        <w:t>,</w:t>
      </w:r>
      <w:r w:rsidRPr="00771D90">
        <w:rPr>
          <w:rFonts w:ascii="Times New Roman" w:eastAsia="Times New Roman" w:hAnsi="Times New Roman" w:cs="Times New Roman"/>
          <w:sz w:val="32"/>
          <w:szCs w:val="32"/>
        </w:rPr>
        <w:t xml:space="preserve"> которые поступают с космических аппаратов. </w:t>
      </w:r>
    </w:p>
    <w:p w14:paraId="1D5E3474"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Так же искусственный интеллект играет большую роль в автоматизации банковских процессов, одним из которых является -   страхование.</w:t>
      </w:r>
    </w:p>
    <w:p w14:paraId="420F15B7"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Проблематика современного страхования </w:t>
      </w:r>
    </w:p>
    <w:p w14:paraId="57C0E392"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Основными операциями в страховании является: андеррайтинг, расчет тарифов, обработка заявок, все это требует ручной анализ большого объема данных. Все это приводит к частым ошибкам и задержкам. К примеру, оценка рисков при автостраховании основывается на ограниченных параметрах (стаж водителя, модель автомобиля), тогда как искусственный интеллект может учитывать сотни факторов, включая стиль вождения, психологические характеристики клиента </w:t>
      </w:r>
    </w:p>
    <w:p w14:paraId="1DE74CEE"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Борьба с мошенничеством в страховании с помощью искусственного интеллекта </w:t>
      </w:r>
    </w:p>
    <w:p w14:paraId="4D7F07B9"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В настоящий момент мошенничество в сфере страхования наносит огромный ущерб компаниям. Основной упор приходится на автострахование и имущественное страхование. </w:t>
      </w:r>
    </w:p>
    <w:p w14:paraId="1D582611" w14:textId="77777777" w:rsidR="00771D90" w:rsidRPr="00771D90" w:rsidRDefault="00771D90" w:rsidP="006611C1">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Статистика страхового мошенничества в России (2024 гг.)</w:t>
      </w:r>
    </w:p>
    <w:p w14:paraId="59B91631" w14:textId="77777777" w:rsidR="00771D90" w:rsidRPr="00771D90" w:rsidRDefault="00771D90" w:rsidP="00771D90">
      <w:pPr>
        <w:spacing w:line="278" w:lineRule="auto"/>
        <w:ind w:firstLine="709"/>
        <w:jc w:val="both"/>
        <w:rPr>
          <w:rFonts w:ascii="Times New Roman" w:eastAsia="Times New Roman" w:hAnsi="Times New Roman" w:cs="Times New Roman"/>
          <w:sz w:val="28"/>
          <w:szCs w:val="28"/>
        </w:rPr>
      </w:pPr>
      <w:r w:rsidRPr="00771D90">
        <w:rPr>
          <w:rFonts w:ascii="Times New Roman" w:eastAsia="Times New Roman" w:hAnsi="Times New Roman" w:cs="Times New Roman"/>
          <w:sz w:val="28"/>
          <w:szCs w:val="28"/>
        </w:rPr>
        <w:t>Автострахование</w:t>
      </w:r>
    </w:p>
    <w:tbl>
      <w:tblPr>
        <w:tblStyle w:val="170"/>
        <w:tblW w:w="5000" w:type="pct"/>
        <w:tblInd w:w="0" w:type="dxa"/>
        <w:tblLook w:val="06A0" w:firstRow="1" w:lastRow="0" w:firstColumn="1" w:lastColumn="0" w:noHBand="1" w:noVBand="1"/>
      </w:tblPr>
      <w:tblGrid>
        <w:gridCol w:w="2644"/>
        <w:gridCol w:w="2359"/>
        <w:gridCol w:w="4625"/>
      </w:tblGrid>
      <w:tr w:rsidR="00771D90" w:rsidRPr="00771D90" w14:paraId="3FC5C7B0" w14:textId="77777777" w:rsidTr="00771D90">
        <w:trPr>
          <w:trHeight w:val="300"/>
        </w:trPr>
        <w:tc>
          <w:tcPr>
            <w:tcW w:w="1373" w:type="pct"/>
            <w:tcBorders>
              <w:top w:val="single" w:sz="4" w:space="0" w:color="000000"/>
              <w:left w:val="single" w:sz="4" w:space="0" w:color="000000"/>
              <w:bottom w:val="single" w:sz="4" w:space="0" w:color="000000"/>
              <w:right w:val="single" w:sz="4" w:space="0" w:color="000000"/>
            </w:tcBorders>
            <w:hideMark/>
          </w:tcPr>
          <w:p w14:paraId="2C954299" w14:textId="77777777" w:rsidR="00771D90" w:rsidRPr="00771D90" w:rsidRDefault="00771D90" w:rsidP="00771D90">
            <w:pPr>
              <w:rPr>
                <w:rFonts w:ascii="Times New Roman" w:eastAsia="Times New Roman" w:hAnsi="Times New Roman"/>
                <w:sz w:val="28"/>
                <w:szCs w:val="28"/>
              </w:rPr>
            </w:pPr>
            <w:r w:rsidRPr="00771D90">
              <w:rPr>
                <w:rFonts w:ascii="Times New Roman" w:eastAsia="Times New Roman" w:hAnsi="Times New Roman"/>
                <w:sz w:val="28"/>
                <w:szCs w:val="28"/>
              </w:rPr>
              <w:t xml:space="preserve">        Категория     </w:t>
            </w:r>
          </w:p>
          <w:p w14:paraId="7528B787" w14:textId="77777777" w:rsidR="00771D90" w:rsidRPr="00771D90" w:rsidRDefault="00771D90" w:rsidP="00771D90">
            <w:pPr>
              <w:rPr>
                <w:rFonts w:ascii="Times New Roman" w:eastAsia="Times New Roman" w:hAnsi="Times New Roman"/>
                <w:sz w:val="28"/>
                <w:szCs w:val="28"/>
              </w:rPr>
            </w:pPr>
            <w:r w:rsidRPr="00771D90">
              <w:rPr>
                <w:rFonts w:ascii="Times New Roman" w:eastAsia="Times New Roman" w:hAnsi="Times New Roman"/>
                <w:sz w:val="28"/>
                <w:szCs w:val="28"/>
              </w:rPr>
              <w:t xml:space="preserve">   мошенничества</w:t>
            </w:r>
          </w:p>
        </w:tc>
        <w:tc>
          <w:tcPr>
            <w:tcW w:w="1225" w:type="pct"/>
            <w:tcBorders>
              <w:top w:val="single" w:sz="4" w:space="0" w:color="000000"/>
              <w:left w:val="single" w:sz="4" w:space="0" w:color="000000"/>
              <w:bottom w:val="single" w:sz="4" w:space="0" w:color="000000"/>
              <w:right w:val="single" w:sz="4" w:space="0" w:color="000000"/>
            </w:tcBorders>
            <w:hideMark/>
          </w:tcPr>
          <w:p w14:paraId="3615AEFA" w14:textId="77777777" w:rsidR="00771D90" w:rsidRPr="00771D90" w:rsidRDefault="00771D90" w:rsidP="00771D90">
            <w:pPr>
              <w:ind w:firstLine="709"/>
              <w:jc w:val="center"/>
              <w:rPr>
                <w:rFonts w:ascii="Times New Roman" w:eastAsia="Times New Roman" w:hAnsi="Times New Roman"/>
                <w:sz w:val="28"/>
                <w:szCs w:val="28"/>
              </w:rPr>
            </w:pPr>
            <w:r w:rsidRPr="00771D90">
              <w:rPr>
                <w:rFonts w:ascii="Times New Roman" w:eastAsia="Times New Roman" w:hAnsi="Times New Roman"/>
                <w:sz w:val="28"/>
                <w:szCs w:val="28"/>
              </w:rPr>
              <w:t>2024 год</w:t>
            </w:r>
          </w:p>
        </w:tc>
        <w:tc>
          <w:tcPr>
            <w:tcW w:w="2402" w:type="pct"/>
            <w:tcBorders>
              <w:top w:val="single" w:sz="4" w:space="0" w:color="000000"/>
              <w:left w:val="single" w:sz="4" w:space="0" w:color="000000"/>
              <w:bottom w:val="single" w:sz="4" w:space="0" w:color="000000"/>
              <w:right w:val="single" w:sz="4" w:space="0" w:color="000000"/>
            </w:tcBorders>
            <w:hideMark/>
          </w:tcPr>
          <w:p w14:paraId="78E68D40" w14:textId="77777777" w:rsidR="00771D90" w:rsidRPr="00771D90" w:rsidRDefault="00771D90" w:rsidP="00771D90">
            <w:pPr>
              <w:ind w:firstLine="709"/>
              <w:jc w:val="center"/>
              <w:rPr>
                <w:rFonts w:ascii="Times New Roman" w:eastAsia="Times New Roman" w:hAnsi="Times New Roman"/>
                <w:sz w:val="28"/>
                <w:szCs w:val="28"/>
              </w:rPr>
            </w:pPr>
            <w:r w:rsidRPr="00771D90">
              <w:rPr>
                <w:rFonts w:ascii="Times New Roman" w:eastAsia="Times New Roman" w:hAnsi="Times New Roman"/>
                <w:sz w:val="28"/>
                <w:szCs w:val="28"/>
              </w:rPr>
              <w:t>Основные регионы</w:t>
            </w:r>
          </w:p>
        </w:tc>
      </w:tr>
      <w:tr w:rsidR="00771D90" w:rsidRPr="00771D90" w14:paraId="45F03B14" w14:textId="77777777" w:rsidTr="00771D90">
        <w:trPr>
          <w:trHeight w:val="300"/>
        </w:trPr>
        <w:tc>
          <w:tcPr>
            <w:tcW w:w="1373" w:type="pct"/>
            <w:tcBorders>
              <w:top w:val="single" w:sz="4" w:space="0" w:color="000000"/>
              <w:left w:val="single" w:sz="4" w:space="0" w:color="000000"/>
              <w:bottom w:val="single" w:sz="4" w:space="0" w:color="000000"/>
              <w:right w:val="single" w:sz="4" w:space="0" w:color="000000"/>
            </w:tcBorders>
            <w:hideMark/>
          </w:tcPr>
          <w:p w14:paraId="218A7318"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Подставные ДТП</w:t>
            </w:r>
          </w:p>
        </w:tc>
        <w:tc>
          <w:tcPr>
            <w:tcW w:w="1225" w:type="pct"/>
            <w:tcBorders>
              <w:top w:val="single" w:sz="4" w:space="0" w:color="000000"/>
              <w:left w:val="single" w:sz="4" w:space="0" w:color="000000"/>
              <w:bottom w:val="single" w:sz="4" w:space="0" w:color="000000"/>
              <w:right w:val="single" w:sz="4" w:space="0" w:color="000000"/>
            </w:tcBorders>
            <w:hideMark/>
          </w:tcPr>
          <w:p w14:paraId="576E367C"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18200 случаев</w:t>
            </w:r>
          </w:p>
        </w:tc>
        <w:tc>
          <w:tcPr>
            <w:tcW w:w="2402" w:type="pct"/>
            <w:tcBorders>
              <w:top w:val="single" w:sz="4" w:space="0" w:color="000000"/>
              <w:left w:val="single" w:sz="4" w:space="0" w:color="000000"/>
              <w:bottom w:val="single" w:sz="4" w:space="0" w:color="000000"/>
              <w:right w:val="single" w:sz="4" w:space="0" w:color="000000"/>
            </w:tcBorders>
          </w:tcPr>
          <w:p w14:paraId="3A2D19ED"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Москва, Краснодарский край, Ростовская обл.</w:t>
            </w:r>
          </w:p>
          <w:p w14:paraId="6F485BA2" w14:textId="77777777" w:rsidR="00771D90" w:rsidRPr="00771D90" w:rsidRDefault="00771D90" w:rsidP="00771D90">
            <w:pPr>
              <w:jc w:val="both"/>
              <w:rPr>
                <w:rFonts w:ascii="Times New Roman" w:eastAsia="Times New Roman" w:hAnsi="Times New Roman"/>
                <w:sz w:val="28"/>
                <w:szCs w:val="28"/>
              </w:rPr>
            </w:pPr>
          </w:p>
        </w:tc>
      </w:tr>
      <w:tr w:rsidR="00771D90" w:rsidRPr="00771D90" w14:paraId="5E64A904" w14:textId="77777777" w:rsidTr="00771D90">
        <w:trPr>
          <w:trHeight w:val="300"/>
        </w:trPr>
        <w:tc>
          <w:tcPr>
            <w:tcW w:w="1373" w:type="pct"/>
            <w:tcBorders>
              <w:top w:val="single" w:sz="4" w:space="0" w:color="000000"/>
              <w:left w:val="single" w:sz="4" w:space="0" w:color="000000"/>
              <w:bottom w:val="single" w:sz="4" w:space="0" w:color="000000"/>
              <w:right w:val="single" w:sz="4" w:space="0" w:color="000000"/>
            </w:tcBorders>
            <w:hideMark/>
          </w:tcPr>
          <w:p w14:paraId="2C175764"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lastRenderedPageBreak/>
              <w:t>Поддельные документы</w:t>
            </w:r>
          </w:p>
        </w:tc>
        <w:tc>
          <w:tcPr>
            <w:tcW w:w="1225" w:type="pct"/>
            <w:tcBorders>
              <w:top w:val="single" w:sz="4" w:space="0" w:color="000000"/>
              <w:left w:val="single" w:sz="4" w:space="0" w:color="000000"/>
              <w:bottom w:val="single" w:sz="4" w:space="0" w:color="000000"/>
              <w:right w:val="single" w:sz="4" w:space="0" w:color="000000"/>
            </w:tcBorders>
            <w:hideMark/>
          </w:tcPr>
          <w:p w14:paraId="16806B1A" w14:textId="77777777" w:rsidR="00771D90" w:rsidRPr="00771D90" w:rsidRDefault="00771D90" w:rsidP="00771D90">
            <w:pPr>
              <w:ind w:firstLine="709"/>
              <w:jc w:val="both"/>
              <w:rPr>
                <w:rFonts w:ascii="Times New Roman" w:eastAsia="Times New Roman" w:hAnsi="Times New Roman"/>
                <w:sz w:val="28"/>
                <w:szCs w:val="28"/>
              </w:rPr>
            </w:pPr>
            <w:r w:rsidRPr="00771D90">
              <w:rPr>
                <w:rFonts w:ascii="Times New Roman" w:eastAsia="Times New Roman" w:hAnsi="Times New Roman"/>
                <w:sz w:val="28"/>
                <w:szCs w:val="28"/>
              </w:rPr>
              <w:t>12700</w:t>
            </w:r>
          </w:p>
        </w:tc>
        <w:tc>
          <w:tcPr>
            <w:tcW w:w="2402" w:type="pct"/>
            <w:tcBorders>
              <w:top w:val="single" w:sz="4" w:space="0" w:color="000000"/>
              <w:left w:val="single" w:sz="4" w:space="0" w:color="000000"/>
              <w:bottom w:val="single" w:sz="4" w:space="0" w:color="000000"/>
              <w:right w:val="single" w:sz="4" w:space="0" w:color="000000"/>
            </w:tcBorders>
          </w:tcPr>
          <w:p w14:paraId="57997AC4"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Московская обл. Спб, Свердловская обл.</w:t>
            </w:r>
          </w:p>
          <w:p w14:paraId="3607A57E" w14:textId="77777777" w:rsidR="00771D90" w:rsidRPr="00771D90" w:rsidRDefault="00771D90" w:rsidP="00771D90">
            <w:pPr>
              <w:jc w:val="both"/>
              <w:rPr>
                <w:rFonts w:ascii="Times New Roman" w:eastAsia="Times New Roman" w:hAnsi="Times New Roman"/>
                <w:sz w:val="28"/>
                <w:szCs w:val="28"/>
              </w:rPr>
            </w:pPr>
          </w:p>
        </w:tc>
      </w:tr>
      <w:tr w:rsidR="00771D90" w:rsidRPr="00771D90" w14:paraId="0DF0042A" w14:textId="77777777" w:rsidTr="00771D90">
        <w:trPr>
          <w:trHeight w:val="300"/>
        </w:trPr>
        <w:tc>
          <w:tcPr>
            <w:tcW w:w="1373" w:type="pct"/>
            <w:tcBorders>
              <w:top w:val="single" w:sz="4" w:space="0" w:color="000000"/>
              <w:left w:val="single" w:sz="4" w:space="0" w:color="000000"/>
              <w:bottom w:val="single" w:sz="4" w:space="0" w:color="000000"/>
              <w:right w:val="single" w:sz="4" w:space="0" w:color="000000"/>
            </w:tcBorders>
            <w:hideMark/>
          </w:tcPr>
          <w:p w14:paraId="56B4DAEA"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 xml:space="preserve">Средний ущерб на случай </w:t>
            </w:r>
          </w:p>
        </w:tc>
        <w:tc>
          <w:tcPr>
            <w:tcW w:w="1225" w:type="pct"/>
            <w:tcBorders>
              <w:top w:val="single" w:sz="4" w:space="0" w:color="000000"/>
              <w:left w:val="single" w:sz="4" w:space="0" w:color="000000"/>
              <w:bottom w:val="single" w:sz="4" w:space="0" w:color="000000"/>
              <w:right w:val="single" w:sz="4" w:space="0" w:color="000000"/>
            </w:tcBorders>
            <w:hideMark/>
          </w:tcPr>
          <w:p w14:paraId="733F2264"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157 тыс. руб.</w:t>
            </w:r>
          </w:p>
        </w:tc>
        <w:tc>
          <w:tcPr>
            <w:tcW w:w="2402" w:type="pct"/>
            <w:tcBorders>
              <w:top w:val="single" w:sz="4" w:space="0" w:color="000000"/>
              <w:left w:val="single" w:sz="4" w:space="0" w:color="000000"/>
              <w:bottom w:val="single" w:sz="4" w:space="0" w:color="000000"/>
              <w:right w:val="single" w:sz="4" w:space="0" w:color="000000"/>
            </w:tcBorders>
          </w:tcPr>
          <w:p w14:paraId="581738EF" w14:textId="77777777" w:rsidR="00771D90" w:rsidRPr="00771D90" w:rsidRDefault="00771D90" w:rsidP="00771D90">
            <w:pPr>
              <w:ind w:firstLine="709"/>
              <w:jc w:val="both"/>
              <w:rPr>
                <w:rFonts w:ascii="Times New Roman" w:eastAsia="Times New Roman" w:hAnsi="Times New Roman"/>
                <w:sz w:val="28"/>
                <w:szCs w:val="28"/>
              </w:rPr>
            </w:pPr>
          </w:p>
        </w:tc>
      </w:tr>
    </w:tbl>
    <w:p w14:paraId="4BDC82D8" w14:textId="77777777" w:rsidR="00771D90" w:rsidRPr="00771D90" w:rsidRDefault="00771D90" w:rsidP="00771D90">
      <w:pPr>
        <w:spacing w:line="278" w:lineRule="auto"/>
        <w:ind w:firstLine="709"/>
        <w:jc w:val="both"/>
        <w:rPr>
          <w:rFonts w:ascii="Times New Roman" w:eastAsia="Times New Roman" w:hAnsi="Times New Roman" w:cs="Times New Roman"/>
          <w:sz w:val="28"/>
          <w:szCs w:val="28"/>
        </w:rPr>
      </w:pPr>
      <w:r w:rsidRPr="00771D90">
        <w:rPr>
          <w:rFonts w:ascii="Times New Roman" w:eastAsia="Times New Roman" w:hAnsi="Times New Roman" w:cs="Times New Roman"/>
          <w:sz w:val="28"/>
          <w:szCs w:val="28"/>
        </w:rPr>
        <w:t xml:space="preserve">Имущественное страхование </w:t>
      </w:r>
    </w:p>
    <w:tbl>
      <w:tblPr>
        <w:tblStyle w:val="170"/>
        <w:tblW w:w="5000" w:type="pct"/>
        <w:tblInd w:w="0" w:type="dxa"/>
        <w:tblLook w:val="06A0" w:firstRow="1" w:lastRow="0" w:firstColumn="1" w:lastColumn="0" w:noHBand="1" w:noVBand="1"/>
      </w:tblPr>
      <w:tblGrid>
        <w:gridCol w:w="3210"/>
        <w:gridCol w:w="3210"/>
        <w:gridCol w:w="3208"/>
      </w:tblGrid>
      <w:tr w:rsidR="00771D90" w:rsidRPr="00771D90" w14:paraId="025E6DF1" w14:textId="77777777" w:rsidTr="00771D90">
        <w:trPr>
          <w:trHeight w:val="300"/>
        </w:trPr>
        <w:tc>
          <w:tcPr>
            <w:tcW w:w="1667" w:type="pct"/>
            <w:tcBorders>
              <w:top w:val="single" w:sz="4" w:space="0" w:color="000000"/>
              <w:left w:val="single" w:sz="4" w:space="0" w:color="000000"/>
              <w:bottom w:val="single" w:sz="4" w:space="0" w:color="000000"/>
              <w:right w:val="single" w:sz="4" w:space="0" w:color="000000"/>
            </w:tcBorders>
            <w:hideMark/>
          </w:tcPr>
          <w:p w14:paraId="65946C29" w14:textId="77777777" w:rsidR="00771D90" w:rsidRPr="00771D90" w:rsidRDefault="00771D90" w:rsidP="00771D90">
            <w:pPr>
              <w:ind w:firstLine="709"/>
              <w:jc w:val="center"/>
              <w:rPr>
                <w:rFonts w:ascii="Times New Roman" w:eastAsia="Times New Roman" w:hAnsi="Times New Roman"/>
                <w:sz w:val="28"/>
                <w:szCs w:val="28"/>
              </w:rPr>
            </w:pPr>
            <w:r w:rsidRPr="00771D90">
              <w:rPr>
                <w:rFonts w:ascii="Times New Roman" w:eastAsia="Times New Roman" w:hAnsi="Times New Roman"/>
                <w:sz w:val="28"/>
                <w:szCs w:val="28"/>
              </w:rPr>
              <w:t xml:space="preserve">Категория </w:t>
            </w:r>
          </w:p>
          <w:p w14:paraId="0A065CFB" w14:textId="77777777" w:rsidR="00771D90" w:rsidRPr="00771D90" w:rsidRDefault="00771D90" w:rsidP="00771D90">
            <w:pPr>
              <w:rPr>
                <w:rFonts w:ascii="Times New Roman" w:eastAsia="Times New Roman" w:hAnsi="Times New Roman"/>
                <w:sz w:val="28"/>
                <w:szCs w:val="28"/>
              </w:rPr>
            </w:pPr>
            <w:r w:rsidRPr="00771D90">
              <w:rPr>
                <w:rFonts w:ascii="Times New Roman" w:eastAsia="Times New Roman" w:hAnsi="Times New Roman"/>
                <w:sz w:val="28"/>
                <w:szCs w:val="28"/>
              </w:rPr>
              <w:t xml:space="preserve">      мошенничества</w:t>
            </w:r>
          </w:p>
        </w:tc>
        <w:tc>
          <w:tcPr>
            <w:tcW w:w="1667" w:type="pct"/>
            <w:tcBorders>
              <w:top w:val="single" w:sz="4" w:space="0" w:color="000000"/>
              <w:left w:val="single" w:sz="4" w:space="0" w:color="000000"/>
              <w:bottom w:val="single" w:sz="4" w:space="0" w:color="000000"/>
              <w:right w:val="single" w:sz="4" w:space="0" w:color="000000"/>
            </w:tcBorders>
            <w:hideMark/>
          </w:tcPr>
          <w:p w14:paraId="3129B4DE" w14:textId="77777777" w:rsidR="00771D90" w:rsidRPr="00771D90" w:rsidRDefault="00771D90" w:rsidP="00771D90">
            <w:pPr>
              <w:ind w:firstLine="709"/>
              <w:rPr>
                <w:rFonts w:ascii="Times New Roman" w:eastAsia="Times New Roman" w:hAnsi="Times New Roman"/>
                <w:sz w:val="28"/>
                <w:szCs w:val="28"/>
              </w:rPr>
            </w:pPr>
            <w:r w:rsidRPr="00771D90">
              <w:rPr>
                <w:rFonts w:ascii="Times New Roman" w:eastAsia="Times New Roman" w:hAnsi="Times New Roman"/>
                <w:sz w:val="28"/>
                <w:szCs w:val="28"/>
              </w:rPr>
              <w:t>2024 год</w:t>
            </w:r>
          </w:p>
        </w:tc>
        <w:tc>
          <w:tcPr>
            <w:tcW w:w="1667" w:type="pct"/>
            <w:tcBorders>
              <w:top w:val="single" w:sz="4" w:space="0" w:color="000000"/>
              <w:left w:val="single" w:sz="4" w:space="0" w:color="000000"/>
              <w:bottom w:val="single" w:sz="4" w:space="0" w:color="000000"/>
              <w:right w:val="single" w:sz="4" w:space="0" w:color="000000"/>
            </w:tcBorders>
            <w:hideMark/>
          </w:tcPr>
          <w:p w14:paraId="280C7E85" w14:textId="77777777" w:rsidR="00771D90" w:rsidRPr="00771D90" w:rsidRDefault="00771D90" w:rsidP="00771D90">
            <w:pPr>
              <w:jc w:val="center"/>
              <w:rPr>
                <w:rFonts w:ascii="Times New Roman" w:eastAsia="Times New Roman" w:hAnsi="Times New Roman"/>
                <w:sz w:val="28"/>
                <w:szCs w:val="28"/>
              </w:rPr>
            </w:pPr>
            <w:r w:rsidRPr="00771D90">
              <w:rPr>
                <w:rFonts w:ascii="Times New Roman" w:eastAsia="Times New Roman" w:hAnsi="Times New Roman"/>
                <w:sz w:val="28"/>
                <w:szCs w:val="28"/>
              </w:rPr>
              <w:t>Основные регионы</w:t>
            </w:r>
          </w:p>
        </w:tc>
      </w:tr>
      <w:tr w:rsidR="00771D90" w:rsidRPr="00771D90" w14:paraId="15012CFC" w14:textId="77777777" w:rsidTr="00771D90">
        <w:trPr>
          <w:trHeight w:val="300"/>
        </w:trPr>
        <w:tc>
          <w:tcPr>
            <w:tcW w:w="1667" w:type="pct"/>
            <w:tcBorders>
              <w:top w:val="single" w:sz="4" w:space="0" w:color="000000"/>
              <w:left w:val="single" w:sz="4" w:space="0" w:color="000000"/>
              <w:bottom w:val="single" w:sz="4" w:space="0" w:color="000000"/>
              <w:right w:val="single" w:sz="4" w:space="0" w:color="000000"/>
            </w:tcBorders>
            <w:hideMark/>
          </w:tcPr>
          <w:p w14:paraId="7BAC5DCF"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 xml:space="preserve">Умышленные повреждения </w:t>
            </w:r>
          </w:p>
        </w:tc>
        <w:tc>
          <w:tcPr>
            <w:tcW w:w="1667" w:type="pct"/>
            <w:tcBorders>
              <w:top w:val="single" w:sz="4" w:space="0" w:color="000000"/>
              <w:left w:val="single" w:sz="4" w:space="0" w:color="000000"/>
              <w:bottom w:val="single" w:sz="4" w:space="0" w:color="000000"/>
              <w:right w:val="single" w:sz="4" w:space="0" w:color="000000"/>
            </w:tcBorders>
            <w:hideMark/>
          </w:tcPr>
          <w:p w14:paraId="1E97D54D" w14:textId="77777777" w:rsidR="00771D90" w:rsidRPr="00771D90" w:rsidRDefault="00771D90" w:rsidP="00771D90">
            <w:pPr>
              <w:ind w:firstLine="709"/>
              <w:jc w:val="both"/>
              <w:rPr>
                <w:rFonts w:ascii="Times New Roman" w:eastAsia="Times New Roman" w:hAnsi="Times New Roman"/>
                <w:sz w:val="28"/>
                <w:szCs w:val="28"/>
              </w:rPr>
            </w:pPr>
            <w:r w:rsidRPr="00771D90">
              <w:rPr>
                <w:rFonts w:ascii="Times New Roman" w:eastAsia="Times New Roman" w:hAnsi="Times New Roman"/>
                <w:sz w:val="28"/>
                <w:szCs w:val="28"/>
              </w:rPr>
              <w:t>9500 случаев</w:t>
            </w:r>
          </w:p>
        </w:tc>
        <w:tc>
          <w:tcPr>
            <w:tcW w:w="1667" w:type="pct"/>
            <w:tcBorders>
              <w:top w:val="single" w:sz="4" w:space="0" w:color="000000"/>
              <w:left w:val="single" w:sz="4" w:space="0" w:color="000000"/>
              <w:bottom w:val="single" w:sz="4" w:space="0" w:color="000000"/>
              <w:right w:val="single" w:sz="4" w:space="0" w:color="000000"/>
            </w:tcBorders>
            <w:hideMark/>
          </w:tcPr>
          <w:p w14:paraId="41DEA232"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Москва, Татарстан, Краснодарский край</w:t>
            </w:r>
          </w:p>
        </w:tc>
      </w:tr>
      <w:tr w:rsidR="00771D90" w:rsidRPr="00771D90" w14:paraId="5DF42ACA" w14:textId="77777777" w:rsidTr="00771D90">
        <w:trPr>
          <w:trHeight w:val="705"/>
        </w:trPr>
        <w:tc>
          <w:tcPr>
            <w:tcW w:w="1667" w:type="pct"/>
            <w:tcBorders>
              <w:top w:val="single" w:sz="4" w:space="0" w:color="000000"/>
              <w:left w:val="single" w:sz="4" w:space="0" w:color="000000"/>
              <w:bottom w:val="single" w:sz="4" w:space="0" w:color="000000"/>
              <w:right w:val="single" w:sz="4" w:space="0" w:color="000000"/>
            </w:tcBorders>
            <w:hideMark/>
          </w:tcPr>
          <w:p w14:paraId="69278AB3"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Фиктивные кражи</w:t>
            </w:r>
          </w:p>
        </w:tc>
        <w:tc>
          <w:tcPr>
            <w:tcW w:w="1667" w:type="pct"/>
            <w:tcBorders>
              <w:top w:val="single" w:sz="4" w:space="0" w:color="000000"/>
              <w:left w:val="single" w:sz="4" w:space="0" w:color="000000"/>
              <w:bottom w:val="single" w:sz="4" w:space="0" w:color="000000"/>
              <w:right w:val="single" w:sz="4" w:space="0" w:color="000000"/>
            </w:tcBorders>
            <w:hideMark/>
          </w:tcPr>
          <w:p w14:paraId="2D00D5FC" w14:textId="77777777" w:rsidR="00771D90" w:rsidRPr="00771D90" w:rsidRDefault="00771D90" w:rsidP="00771D90">
            <w:pPr>
              <w:ind w:firstLine="709"/>
              <w:jc w:val="both"/>
              <w:rPr>
                <w:rFonts w:ascii="Times New Roman" w:eastAsia="Times New Roman" w:hAnsi="Times New Roman"/>
                <w:sz w:val="28"/>
                <w:szCs w:val="28"/>
              </w:rPr>
            </w:pPr>
            <w:r w:rsidRPr="00771D90">
              <w:rPr>
                <w:rFonts w:ascii="Times New Roman" w:eastAsia="Times New Roman" w:hAnsi="Times New Roman"/>
                <w:sz w:val="28"/>
                <w:szCs w:val="28"/>
              </w:rPr>
              <w:t>7800 случаев</w:t>
            </w:r>
          </w:p>
        </w:tc>
        <w:tc>
          <w:tcPr>
            <w:tcW w:w="1667" w:type="pct"/>
            <w:tcBorders>
              <w:top w:val="single" w:sz="4" w:space="0" w:color="000000"/>
              <w:left w:val="single" w:sz="4" w:space="0" w:color="000000"/>
              <w:bottom w:val="single" w:sz="4" w:space="0" w:color="000000"/>
              <w:right w:val="single" w:sz="4" w:space="0" w:color="000000"/>
            </w:tcBorders>
            <w:hideMark/>
          </w:tcPr>
          <w:p w14:paraId="141E000A"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Московская обл. Спб, Самарская обл.</w:t>
            </w:r>
          </w:p>
        </w:tc>
      </w:tr>
      <w:tr w:rsidR="00771D90" w:rsidRPr="00771D90" w14:paraId="470AAA57" w14:textId="77777777" w:rsidTr="00771D90">
        <w:trPr>
          <w:trHeight w:val="300"/>
        </w:trPr>
        <w:tc>
          <w:tcPr>
            <w:tcW w:w="1667" w:type="pct"/>
            <w:tcBorders>
              <w:top w:val="single" w:sz="4" w:space="0" w:color="000000"/>
              <w:left w:val="single" w:sz="4" w:space="0" w:color="000000"/>
              <w:bottom w:val="single" w:sz="4" w:space="0" w:color="000000"/>
              <w:right w:val="single" w:sz="4" w:space="0" w:color="000000"/>
            </w:tcBorders>
            <w:hideMark/>
          </w:tcPr>
          <w:p w14:paraId="7B1A7932"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 xml:space="preserve">Средний ущерб на случай </w:t>
            </w:r>
          </w:p>
        </w:tc>
        <w:tc>
          <w:tcPr>
            <w:tcW w:w="1667" w:type="pct"/>
            <w:tcBorders>
              <w:top w:val="single" w:sz="4" w:space="0" w:color="000000"/>
              <w:left w:val="single" w:sz="4" w:space="0" w:color="000000"/>
              <w:bottom w:val="single" w:sz="4" w:space="0" w:color="000000"/>
              <w:right w:val="single" w:sz="4" w:space="0" w:color="000000"/>
            </w:tcBorders>
            <w:hideMark/>
          </w:tcPr>
          <w:p w14:paraId="41A86FFF" w14:textId="77777777" w:rsidR="00771D90" w:rsidRPr="00771D90" w:rsidRDefault="00771D90" w:rsidP="00771D90">
            <w:pPr>
              <w:ind w:firstLine="709"/>
              <w:jc w:val="both"/>
              <w:rPr>
                <w:rFonts w:ascii="Times New Roman" w:eastAsia="Times New Roman" w:hAnsi="Times New Roman"/>
                <w:sz w:val="28"/>
                <w:szCs w:val="28"/>
              </w:rPr>
            </w:pPr>
            <w:r w:rsidRPr="00771D90">
              <w:rPr>
                <w:rFonts w:ascii="Times New Roman" w:eastAsia="Times New Roman" w:hAnsi="Times New Roman"/>
                <w:sz w:val="28"/>
                <w:szCs w:val="28"/>
              </w:rPr>
              <w:t>283 тыс. руб.</w:t>
            </w:r>
          </w:p>
        </w:tc>
        <w:tc>
          <w:tcPr>
            <w:tcW w:w="1667" w:type="pct"/>
            <w:tcBorders>
              <w:top w:val="single" w:sz="4" w:space="0" w:color="000000"/>
              <w:left w:val="single" w:sz="4" w:space="0" w:color="000000"/>
              <w:bottom w:val="single" w:sz="4" w:space="0" w:color="000000"/>
              <w:right w:val="single" w:sz="4" w:space="0" w:color="000000"/>
            </w:tcBorders>
          </w:tcPr>
          <w:p w14:paraId="75DD54C9" w14:textId="77777777" w:rsidR="00771D90" w:rsidRPr="00771D90" w:rsidRDefault="00771D90" w:rsidP="00771D90">
            <w:pPr>
              <w:ind w:firstLine="709"/>
              <w:jc w:val="both"/>
              <w:rPr>
                <w:rFonts w:ascii="Times New Roman" w:eastAsia="Times New Roman" w:hAnsi="Times New Roman"/>
                <w:sz w:val="28"/>
                <w:szCs w:val="28"/>
              </w:rPr>
            </w:pPr>
          </w:p>
        </w:tc>
      </w:tr>
    </w:tbl>
    <w:p w14:paraId="7F35A73D" w14:textId="77777777" w:rsidR="00771D90" w:rsidRPr="00771D90" w:rsidRDefault="00771D90" w:rsidP="00771D90">
      <w:pPr>
        <w:spacing w:line="278" w:lineRule="auto"/>
        <w:ind w:firstLine="709"/>
        <w:jc w:val="both"/>
        <w:rPr>
          <w:rFonts w:ascii="Times New Roman" w:eastAsia="Times New Roman" w:hAnsi="Times New Roman" w:cs="Times New Roman"/>
          <w:sz w:val="28"/>
          <w:szCs w:val="28"/>
        </w:rPr>
      </w:pPr>
    </w:p>
    <w:p w14:paraId="485DD4FB"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С помощью искусственного интеллекта можно распознавать мошенническую деятельность, к примеру компьютерное зрение. Компьютерное зрение способно выявлять подделки повреждений (например, следы редактирования в Photoshop). Несоответствия (автомобиль на фото после ДТП имеет повреждения, которые не соответствуют заявленным обстоятельствам аварии). Повторное использование изображений (одни и те же фото в разных заявлениях). </w:t>
      </w:r>
    </w:p>
    <w:p w14:paraId="52C08AE8"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Так же компьютерное зрение помогает и в имущественном мошенничестве. Признаки подделки (следы редактирования в Photoshop). Несоответствия (повреждения на фото не соответствуют описанию случая). Фиктивное затопление (искусственный интеллект определяет уровень воды на фото заявленному ущербу). Вся эта технология поможет снизить уровень мошенничества в сфере страхования. </w:t>
      </w:r>
      <w:hyperlink r:id="rId567" w:history="1">
        <w:r w:rsidRPr="00771D90">
          <w:rPr>
            <w:rFonts w:ascii="Times New Roman" w:eastAsia="Times New Roman" w:hAnsi="Times New Roman" w:cs="Times New Roman"/>
            <w:color w:val="4C94D8"/>
            <w:sz w:val="32"/>
            <w:szCs w:val="32"/>
            <w:u w:val="single"/>
          </w:rPr>
          <w:t>[1]</w:t>
        </w:r>
      </w:hyperlink>
      <w:r w:rsidRPr="00771D90">
        <w:rPr>
          <w:rFonts w:ascii="Times New Roman" w:eastAsia="Times New Roman" w:hAnsi="Times New Roman" w:cs="Times New Roman"/>
          <w:color w:val="4C94D8"/>
          <w:sz w:val="32"/>
          <w:szCs w:val="32"/>
        </w:rPr>
        <w:t xml:space="preserve"> </w:t>
      </w:r>
      <w:hyperlink r:id="rId568" w:history="1">
        <w:r w:rsidRPr="00771D90">
          <w:rPr>
            <w:rFonts w:ascii="Times New Roman" w:eastAsia="Times New Roman" w:hAnsi="Times New Roman" w:cs="Times New Roman"/>
            <w:color w:val="4C94D8"/>
            <w:sz w:val="32"/>
            <w:szCs w:val="32"/>
            <w:u w:val="single"/>
          </w:rPr>
          <w:t>[3]</w:t>
        </w:r>
      </w:hyperlink>
    </w:p>
    <w:p w14:paraId="3F9DCB6F"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Так же искусственный интеллект очень эффективен в андеррайтинге страхования. Компьютерное зрение ускоряет андеррайтинг за счет: Автоматизации анализа документов (паспортов, водительских удостоверений, медицинских справок). Углубленный анализ данных, в который входит: телематика в автостраховании (анализ стиля вождения через датчики и мобильные приложения), выявление скрытых закономерностей (связь между профессией и частотой страховых случаев).</w:t>
      </w:r>
    </w:p>
    <w:p w14:paraId="23924368"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Компьютерное зрение способно прогнозировать убытки и динамическое ценообразование. В компьютерном зрении есть такая </w:t>
      </w:r>
      <w:r w:rsidRPr="00771D90">
        <w:rPr>
          <w:rFonts w:ascii="Times New Roman" w:eastAsia="Times New Roman" w:hAnsi="Times New Roman" w:cs="Times New Roman"/>
          <w:sz w:val="32"/>
          <w:szCs w:val="32"/>
        </w:rPr>
        <w:lastRenderedPageBreak/>
        <w:t>функция как предсказательная модель - эта модель работает на основе исторических данных и внешних факторах, например: погодные условия для сельхозстрахования.</w:t>
      </w:r>
    </w:p>
    <w:p w14:paraId="3D30BDB4"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Компании, которые внедряют искусственный интеллект в андеррайтинг.</w:t>
      </w:r>
    </w:p>
    <w:tbl>
      <w:tblPr>
        <w:tblStyle w:val="170"/>
        <w:tblW w:w="0" w:type="auto"/>
        <w:tblInd w:w="0" w:type="dxa"/>
        <w:tblLayout w:type="fixed"/>
        <w:tblLook w:val="04A0" w:firstRow="1" w:lastRow="0" w:firstColumn="1" w:lastColumn="0" w:noHBand="0" w:noVBand="1"/>
      </w:tblPr>
      <w:tblGrid>
        <w:gridCol w:w="1696"/>
        <w:gridCol w:w="2694"/>
        <w:gridCol w:w="2409"/>
        <w:gridCol w:w="2217"/>
      </w:tblGrid>
      <w:tr w:rsidR="00771D90" w:rsidRPr="00771D90" w14:paraId="0CEC6036" w14:textId="77777777" w:rsidTr="00771D90">
        <w:tc>
          <w:tcPr>
            <w:tcW w:w="1696" w:type="dxa"/>
            <w:tcBorders>
              <w:top w:val="single" w:sz="4" w:space="0" w:color="000000"/>
              <w:left w:val="single" w:sz="4" w:space="0" w:color="000000"/>
              <w:bottom w:val="single" w:sz="4" w:space="0" w:color="000000"/>
              <w:right w:val="single" w:sz="4" w:space="0" w:color="000000"/>
            </w:tcBorders>
            <w:hideMark/>
          </w:tcPr>
          <w:p w14:paraId="11EA82D4" w14:textId="77777777" w:rsidR="00771D90" w:rsidRPr="00771D90" w:rsidRDefault="00771D90" w:rsidP="00771D90">
            <w:pPr>
              <w:jc w:val="center"/>
              <w:rPr>
                <w:rFonts w:ascii="Times New Roman" w:eastAsia="Times New Roman" w:hAnsi="Times New Roman"/>
                <w:sz w:val="28"/>
                <w:szCs w:val="28"/>
              </w:rPr>
            </w:pPr>
            <w:r w:rsidRPr="00771D90">
              <w:rPr>
                <w:rFonts w:ascii="Times New Roman" w:eastAsia="Times New Roman" w:hAnsi="Times New Roman"/>
                <w:sz w:val="28"/>
                <w:szCs w:val="28"/>
              </w:rPr>
              <w:t>Компания</w:t>
            </w:r>
          </w:p>
        </w:tc>
        <w:tc>
          <w:tcPr>
            <w:tcW w:w="2694" w:type="dxa"/>
            <w:tcBorders>
              <w:top w:val="single" w:sz="4" w:space="0" w:color="000000"/>
              <w:left w:val="single" w:sz="4" w:space="0" w:color="000000"/>
              <w:bottom w:val="single" w:sz="4" w:space="0" w:color="000000"/>
              <w:right w:val="single" w:sz="4" w:space="0" w:color="000000"/>
            </w:tcBorders>
            <w:hideMark/>
          </w:tcPr>
          <w:p w14:paraId="6CA9A9B9" w14:textId="77777777" w:rsidR="00771D90" w:rsidRPr="00771D90" w:rsidRDefault="00771D90" w:rsidP="00771D90">
            <w:pPr>
              <w:jc w:val="center"/>
              <w:rPr>
                <w:rFonts w:ascii="Times New Roman" w:eastAsia="Times New Roman" w:hAnsi="Times New Roman"/>
                <w:sz w:val="28"/>
                <w:szCs w:val="28"/>
              </w:rPr>
            </w:pPr>
            <w:r w:rsidRPr="00771D90">
              <w:rPr>
                <w:rFonts w:ascii="Times New Roman" w:eastAsia="Times New Roman" w:hAnsi="Times New Roman"/>
                <w:sz w:val="28"/>
                <w:szCs w:val="28"/>
              </w:rPr>
              <w:t>Текущее применение ИИ</w:t>
            </w:r>
          </w:p>
        </w:tc>
        <w:tc>
          <w:tcPr>
            <w:tcW w:w="2409" w:type="dxa"/>
            <w:tcBorders>
              <w:top w:val="single" w:sz="4" w:space="0" w:color="000000"/>
              <w:left w:val="single" w:sz="4" w:space="0" w:color="000000"/>
              <w:bottom w:val="single" w:sz="4" w:space="0" w:color="000000"/>
              <w:right w:val="single" w:sz="4" w:space="0" w:color="000000"/>
            </w:tcBorders>
            <w:hideMark/>
          </w:tcPr>
          <w:p w14:paraId="43E10C94" w14:textId="77777777" w:rsidR="00771D90" w:rsidRPr="00771D90" w:rsidRDefault="00771D90" w:rsidP="00771D90">
            <w:pPr>
              <w:jc w:val="center"/>
              <w:rPr>
                <w:rFonts w:ascii="Times New Roman" w:eastAsia="Times New Roman" w:hAnsi="Times New Roman"/>
                <w:sz w:val="28"/>
                <w:szCs w:val="28"/>
              </w:rPr>
            </w:pPr>
            <w:r w:rsidRPr="00771D90">
              <w:rPr>
                <w:rFonts w:ascii="Times New Roman" w:eastAsia="Times New Roman" w:hAnsi="Times New Roman"/>
                <w:sz w:val="28"/>
                <w:szCs w:val="28"/>
              </w:rPr>
              <w:t>Потенциал для внедрения ИИ</w:t>
            </w:r>
          </w:p>
        </w:tc>
        <w:tc>
          <w:tcPr>
            <w:tcW w:w="2217" w:type="dxa"/>
            <w:tcBorders>
              <w:top w:val="single" w:sz="4" w:space="0" w:color="000000"/>
              <w:left w:val="single" w:sz="4" w:space="0" w:color="000000"/>
              <w:bottom w:val="single" w:sz="4" w:space="0" w:color="000000"/>
              <w:right w:val="single" w:sz="4" w:space="0" w:color="000000"/>
            </w:tcBorders>
            <w:hideMark/>
          </w:tcPr>
          <w:p w14:paraId="2BAC52AC" w14:textId="77777777" w:rsidR="00771D90" w:rsidRPr="00771D90" w:rsidRDefault="00771D90" w:rsidP="00771D90">
            <w:pPr>
              <w:jc w:val="center"/>
              <w:rPr>
                <w:rFonts w:ascii="Times New Roman" w:eastAsia="Times New Roman" w:hAnsi="Times New Roman"/>
                <w:sz w:val="28"/>
                <w:szCs w:val="28"/>
              </w:rPr>
            </w:pPr>
            <w:r w:rsidRPr="00771D90">
              <w:rPr>
                <w:rFonts w:ascii="Times New Roman" w:eastAsia="Times New Roman" w:hAnsi="Times New Roman"/>
                <w:sz w:val="28"/>
                <w:szCs w:val="28"/>
              </w:rPr>
              <w:t>Технологии</w:t>
            </w:r>
          </w:p>
        </w:tc>
      </w:tr>
      <w:tr w:rsidR="00771D90" w:rsidRPr="00771D90" w14:paraId="7E7A857F" w14:textId="77777777" w:rsidTr="00771D90">
        <w:tc>
          <w:tcPr>
            <w:tcW w:w="1696" w:type="dxa"/>
            <w:tcBorders>
              <w:top w:val="single" w:sz="4" w:space="0" w:color="000000"/>
              <w:left w:val="single" w:sz="4" w:space="0" w:color="000000"/>
              <w:bottom w:val="single" w:sz="4" w:space="0" w:color="000000"/>
              <w:right w:val="single" w:sz="4" w:space="0" w:color="000000"/>
            </w:tcBorders>
            <w:hideMark/>
          </w:tcPr>
          <w:p w14:paraId="6333B548"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СберСтрахование</w:t>
            </w:r>
          </w:p>
        </w:tc>
        <w:tc>
          <w:tcPr>
            <w:tcW w:w="2694" w:type="dxa"/>
            <w:tcBorders>
              <w:top w:val="single" w:sz="4" w:space="0" w:color="000000"/>
              <w:left w:val="single" w:sz="4" w:space="0" w:color="000000"/>
              <w:bottom w:val="single" w:sz="4" w:space="0" w:color="000000"/>
              <w:right w:val="single" w:sz="4" w:space="0" w:color="000000"/>
            </w:tcBorders>
            <w:hideMark/>
          </w:tcPr>
          <w:p w14:paraId="51BE77CD"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Телематика в автостраховании, мгновенные решения</w:t>
            </w:r>
          </w:p>
        </w:tc>
        <w:tc>
          <w:tcPr>
            <w:tcW w:w="2409" w:type="dxa"/>
            <w:tcBorders>
              <w:top w:val="single" w:sz="4" w:space="0" w:color="000000"/>
              <w:left w:val="single" w:sz="4" w:space="0" w:color="000000"/>
              <w:bottom w:val="single" w:sz="4" w:space="0" w:color="000000"/>
              <w:right w:val="single" w:sz="4" w:space="0" w:color="000000"/>
            </w:tcBorders>
            <w:hideMark/>
          </w:tcPr>
          <w:p w14:paraId="1306DBDA" w14:textId="77777777" w:rsidR="00771D90" w:rsidRPr="00771D90" w:rsidRDefault="00771D90" w:rsidP="00771D90">
            <w:pPr>
              <w:rPr>
                <w:rFonts w:ascii="Times New Roman" w:eastAsia="Times New Roman" w:hAnsi="Times New Roman"/>
                <w:sz w:val="28"/>
                <w:szCs w:val="28"/>
              </w:rPr>
            </w:pPr>
            <w:r w:rsidRPr="00771D90">
              <w:rPr>
                <w:rFonts w:ascii="Times New Roman" w:eastAsia="Times New Roman" w:hAnsi="Times New Roman"/>
                <w:sz w:val="28"/>
                <w:szCs w:val="28"/>
              </w:rPr>
              <w:t xml:space="preserve">Интеграция </w:t>
            </w:r>
          </w:p>
          <w:p w14:paraId="092CEEA6"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с экосистемой Сбера, расширения на другие виды страхования</w:t>
            </w:r>
          </w:p>
        </w:tc>
        <w:tc>
          <w:tcPr>
            <w:tcW w:w="2217" w:type="dxa"/>
            <w:tcBorders>
              <w:top w:val="single" w:sz="4" w:space="0" w:color="000000"/>
              <w:left w:val="single" w:sz="4" w:space="0" w:color="000000"/>
              <w:bottom w:val="single" w:sz="4" w:space="0" w:color="000000"/>
              <w:right w:val="single" w:sz="4" w:space="0" w:color="000000"/>
            </w:tcBorders>
            <w:hideMark/>
          </w:tcPr>
          <w:p w14:paraId="1BCC0F7A"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Компьютерное зрение</w:t>
            </w:r>
          </w:p>
        </w:tc>
      </w:tr>
      <w:tr w:rsidR="00771D90" w:rsidRPr="00771D90" w14:paraId="2D0FD8B8" w14:textId="77777777" w:rsidTr="00771D90">
        <w:tc>
          <w:tcPr>
            <w:tcW w:w="1696" w:type="dxa"/>
            <w:tcBorders>
              <w:top w:val="single" w:sz="4" w:space="0" w:color="000000"/>
              <w:left w:val="single" w:sz="4" w:space="0" w:color="000000"/>
              <w:bottom w:val="single" w:sz="4" w:space="0" w:color="000000"/>
              <w:right w:val="single" w:sz="4" w:space="0" w:color="000000"/>
            </w:tcBorders>
            <w:hideMark/>
          </w:tcPr>
          <w:p w14:paraId="3D605299"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Росгосстрах</w:t>
            </w:r>
          </w:p>
        </w:tc>
        <w:tc>
          <w:tcPr>
            <w:tcW w:w="2694" w:type="dxa"/>
            <w:tcBorders>
              <w:top w:val="single" w:sz="4" w:space="0" w:color="000000"/>
              <w:left w:val="single" w:sz="4" w:space="0" w:color="000000"/>
              <w:bottom w:val="single" w:sz="4" w:space="0" w:color="000000"/>
              <w:right w:val="single" w:sz="4" w:space="0" w:color="000000"/>
            </w:tcBorders>
            <w:hideMark/>
          </w:tcPr>
          <w:p w14:paraId="334D7BFE"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Выявление мошенничества, сельхозстрахование по спутникам</w:t>
            </w:r>
          </w:p>
        </w:tc>
        <w:tc>
          <w:tcPr>
            <w:tcW w:w="2409" w:type="dxa"/>
            <w:tcBorders>
              <w:top w:val="single" w:sz="4" w:space="0" w:color="000000"/>
              <w:left w:val="single" w:sz="4" w:space="0" w:color="000000"/>
              <w:bottom w:val="single" w:sz="4" w:space="0" w:color="000000"/>
              <w:right w:val="single" w:sz="4" w:space="0" w:color="000000"/>
            </w:tcBorders>
            <w:hideMark/>
          </w:tcPr>
          <w:p w14:paraId="3E9A92E5"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Автоматизация корпоративного страхования</w:t>
            </w:r>
          </w:p>
        </w:tc>
        <w:tc>
          <w:tcPr>
            <w:tcW w:w="2217" w:type="dxa"/>
            <w:tcBorders>
              <w:top w:val="single" w:sz="4" w:space="0" w:color="000000"/>
              <w:left w:val="single" w:sz="4" w:space="0" w:color="000000"/>
              <w:bottom w:val="single" w:sz="4" w:space="0" w:color="000000"/>
              <w:right w:val="single" w:sz="4" w:space="0" w:color="000000"/>
            </w:tcBorders>
            <w:hideMark/>
          </w:tcPr>
          <w:p w14:paraId="4B0229F1"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Анализ изображений</w:t>
            </w:r>
          </w:p>
        </w:tc>
      </w:tr>
      <w:tr w:rsidR="00771D90" w:rsidRPr="00771D90" w14:paraId="0F499F2C" w14:textId="77777777" w:rsidTr="00771D90">
        <w:tc>
          <w:tcPr>
            <w:tcW w:w="1696" w:type="dxa"/>
            <w:tcBorders>
              <w:top w:val="single" w:sz="4" w:space="0" w:color="000000"/>
              <w:left w:val="single" w:sz="4" w:space="0" w:color="000000"/>
              <w:bottom w:val="single" w:sz="4" w:space="0" w:color="000000"/>
              <w:right w:val="single" w:sz="4" w:space="0" w:color="000000"/>
            </w:tcBorders>
            <w:hideMark/>
          </w:tcPr>
          <w:p w14:paraId="53F9E056"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 xml:space="preserve">Тинькофф </w:t>
            </w:r>
            <w:proofErr w:type="gramStart"/>
            <w:r w:rsidRPr="00771D90">
              <w:rPr>
                <w:rFonts w:ascii="Times New Roman" w:eastAsia="Times New Roman" w:hAnsi="Times New Roman"/>
                <w:sz w:val="28"/>
                <w:szCs w:val="28"/>
              </w:rPr>
              <w:t>Страхова-ние</w:t>
            </w:r>
            <w:proofErr w:type="gramEnd"/>
            <w:r w:rsidRPr="00771D90">
              <w:rPr>
                <w:rFonts w:ascii="Times New Roman" w:eastAsia="Times New Roman" w:hAnsi="Times New Roman"/>
                <w:sz w:val="28"/>
                <w:szCs w:val="28"/>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342026BF"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 xml:space="preserve">Кредитное страхование, </w:t>
            </w:r>
            <w:proofErr w:type="gramStart"/>
            <w:r w:rsidRPr="00771D90">
              <w:rPr>
                <w:rFonts w:ascii="Times New Roman" w:eastAsia="Times New Roman" w:hAnsi="Times New Roman"/>
                <w:sz w:val="28"/>
                <w:szCs w:val="28"/>
              </w:rPr>
              <w:t>автоматизирован-ный</w:t>
            </w:r>
            <w:proofErr w:type="gramEnd"/>
            <w:r w:rsidRPr="00771D90">
              <w:rPr>
                <w:rFonts w:ascii="Times New Roman" w:eastAsia="Times New Roman" w:hAnsi="Times New Roman"/>
                <w:sz w:val="28"/>
                <w:szCs w:val="28"/>
              </w:rPr>
              <w:t xml:space="preserve"> андеррайтинг</w:t>
            </w:r>
          </w:p>
        </w:tc>
        <w:tc>
          <w:tcPr>
            <w:tcW w:w="2409" w:type="dxa"/>
            <w:tcBorders>
              <w:top w:val="single" w:sz="4" w:space="0" w:color="000000"/>
              <w:left w:val="single" w:sz="4" w:space="0" w:color="000000"/>
              <w:bottom w:val="single" w:sz="4" w:space="0" w:color="000000"/>
              <w:right w:val="single" w:sz="4" w:space="0" w:color="000000"/>
            </w:tcBorders>
            <w:hideMark/>
          </w:tcPr>
          <w:p w14:paraId="507B4F9E"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Поведенческий анализ клиентов, автоматизация корпоративного страхования</w:t>
            </w:r>
          </w:p>
        </w:tc>
        <w:tc>
          <w:tcPr>
            <w:tcW w:w="2217" w:type="dxa"/>
            <w:tcBorders>
              <w:top w:val="single" w:sz="4" w:space="0" w:color="000000"/>
              <w:left w:val="single" w:sz="4" w:space="0" w:color="000000"/>
              <w:bottom w:val="single" w:sz="4" w:space="0" w:color="000000"/>
              <w:right w:val="single" w:sz="4" w:space="0" w:color="000000"/>
            </w:tcBorders>
            <w:hideMark/>
          </w:tcPr>
          <w:p w14:paraId="25AA3F42" w14:textId="77777777" w:rsidR="00771D90" w:rsidRPr="00771D90" w:rsidRDefault="00771D90" w:rsidP="00771D90">
            <w:pPr>
              <w:jc w:val="both"/>
              <w:rPr>
                <w:rFonts w:ascii="Times New Roman" w:eastAsia="Times New Roman" w:hAnsi="Times New Roman"/>
                <w:sz w:val="28"/>
                <w:szCs w:val="28"/>
              </w:rPr>
            </w:pPr>
            <w:r w:rsidRPr="00771D90">
              <w:rPr>
                <w:rFonts w:ascii="Times New Roman" w:eastAsia="Times New Roman" w:hAnsi="Times New Roman"/>
                <w:sz w:val="28"/>
                <w:szCs w:val="28"/>
              </w:rPr>
              <w:t>Анализ альтернативных данных</w:t>
            </w:r>
          </w:p>
        </w:tc>
      </w:tr>
    </w:tbl>
    <w:p w14:paraId="166C0672" w14:textId="77777777" w:rsidR="00771D90" w:rsidRPr="00771D90" w:rsidRDefault="00771D90" w:rsidP="00771D90">
      <w:pPr>
        <w:spacing w:line="278" w:lineRule="auto"/>
        <w:ind w:firstLine="709"/>
        <w:jc w:val="both"/>
        <w:rPr>
          <w:rFonts w:ascii="Times New Roman" w:eastAsia="Times New Roman" w:hAnsi="Times New Roman" w:cs="Times New Roman"/>
          <w:sz w:val="28"/>
          <w:szCs w:val="28"/>
        </w:rPr>
      </w:pPr>
    </w:p>
    <w:p w14:paraId="49400460" w14:textId="5AC76705" w:rsidR="00771D90" w:rsidRPr="00771D90" w:rsidRDefault="00771D90" w:rsidP="00636858">
      <w:pPr>
        <w:spacing w:after="0" w:line="240" w:lineRule="auto"/>
        <w:ind w:firstLine="709"/>
        <w:jc w:val="both"/>
        <w:rPr>
          <w:rFonts w:ascii="Times New Roman" w:eastAsia="Aptos" w:hAnsi="Times New Roman" w:cs="Times New Roman"/>
          <w:color w:val="4C94D8"/>
          <w:sz w:val="32"/>
          <w:szCs w:val="32"/>
        </w:rPr>
      </w:pPr>
      <w:r w:rsidRPr="00771D90">
        <w:rPr>
          <w:rFonts w:ascii="Times New Roman" w:eastAsia="Times New Roman" w:hAnsi="Times New Roman" w:cs="Times New Roman"/>
          <w:sz w:val="32"/>
          <w:szCs w:val="32"/>
        </w:rPr>
        <w:t xml:space="preserve">Современный страховой рынок сталкивается с необходимостью повышения эффективности в урегулирования убытков в условии роста числа страховых случаев и усложнения их структуры. </w:t>
      </w:r>
      <w:hyperlink r:id="rId569" w:history="1">
        <w:r w:rsidRPr="00771D90">
          <w:rPr>
            <w:rFonts w:ascii="Times New Roman" w:eastAsia="Times New Roman" w:hAnsi="Times New Roman" w:cs="Times New Roman"/>
            <w:color w:val="4C94D8"/>
            <w:sz w:val="32"/>
            <w:szCs w:val="32"/>
            <w:u w:val="single"/>
          </w:rPr>
          <w:t>[2]</w:t>
        </w:r>
      </w:hyperlink>
    </w:p>
    <w:p w14:paraId="37F4C339"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Применение искусственного интеллекта в урегулировании убытков в страховании. Основным направлением является автоматизированная оценка ущерба. Современные системы на базе компьютерного зрения позволяют: использовать 3D-реконструкцию для сложных случаев ДТП или природных катастроф. </w:t>
      </w:r>
    </w:p>
    <w:p w14:paraId="43F22E35"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Внедрение сквозной автоматизации процессов </w:t>
      </w:r>
    </w:p>
    <w:p w14:paraId="3CE3928D" w14:textId="1C0083A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 xml:space="preserve">Искусственный интеллект способен на автоматическое создание дел о страховых случаях при поступлении уведомления, интеллектуальная маршрутизация заявок в зависимости от типа убытка. Умные чат-боты - эти боты на основе искусственного интеллекта способны круглосуточно принимать заявки, способны на предварительную классификацию инцидентов, а также на автоматический сбор базовой информации и документации. </w:t>
      </w:r>
      <w:hyperlink r:id="rId570" w:history="1">
        <w:r w:rsidRPr="00771D90">
          <w:rPr>
            <w:rFonts w:ascii="Times New Roman" w:eastAsia="Times New Roman" w:hAnsi="Times New Roman" w:cs="Times New Roman"/>
            <w:color w:val="4C94D8"/>
            <w:sz w:val="32"/>
            <w:szCs w:val="32"/>
            <w:u w:val="single"/>
          </w:rPr>
          <w:t>[4]</w:t>
        </w:r>
      </w:hyperlink>
      <w:r w:rsidRPr="00771D90">
        <w:rPr>
          <w:rFonts w:ascii="Times New Roman" w:eastAsia="Times New Roman" w:hAnsi="Times New Roman" w:cs="Times New Roman"/>
          <w:color w:val="4C94D8"/>
          <w:sz w:val="32"/>
          <w:szCs w:val="32"/>
        </w:rPr>
        <w:t xml:space="preserve"> </w:t>
      </w:r>
      <w:hyperlink r:id="rId571" w:history="1">
        <w:r w:rsidRPr="00771D90">
          <w:rPr>
            <w:rFonts w:ascii="Times New Roman" w:eastAsia="Times New Roman" w:hAnsi="Times New Roman" w:cs="Times New Roman"/>
            <w:color w:val="4C94D8"/>
            <w:sz w:val="32"/>
            <w:szCs w:val="32"/>
            <w:u w:val="single"/>
          </w:rPr>
          <w:t>[5]</w:t>
        </w:r>
      </w:hyperlink>
    </w:p>
    <w:p w14:paraId="017A0943" w14:textId="77777777"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lastRenderedPageBreak/>
        <w:t xml:space="preserve"> Преимущество искусственного интеллекта безгранично. От автоматизации складских процессов, до помощи в исследовании в космосе. Все это помогает улучшить уровень услуг и товаров, а также повысить конкурентоспособность компании. Так же искусственный интеллект помогает вести прозрачный контроль над бизнес-процессами компании, но не стоит забывать, что у всего этого есть и свои недостатки. К ним относится очень большие затраты на внедрение технологий во внутрь компании. Так же не стоит забывать про то, что искусственный интеллект заменяет человеческий труд, что в свою очередь влечет за безработицу. </w:t>
      </w:r>
    </w:p>
    <w:p w14:paraId="4AB68050" w14:textId="632EC8A0" w:rsidR="00771D90" w:rsidRPr="00771D90" w:rsidRDefault="00771D90" w:rsidP="00636858">
      <w:pPr>
        <w:spacing w:after="0" w:line="240" w:lineRule="auto"/>
        <w:ind w:firstLine="709"/>
        <w:jc w:val="both"/>
        <w:rPr>
          <w:rFonts w:ascii="Times New Roman" w:eastAsia="Times New Roman" w:hAnsi="Times New Roman" w:cs="Times New Roman"/>
          <w:sz w:val="32"/>
          <w:szCs w:val="32"/>
        </w:rPr>
      </w:pPr>
      <w:r w:rsidRPr="00771D90">
        <w:rPr>
          <w:rFonts w:ascii="Times New Roman" w:eastAsia="Times New Roman" w:hAnsi="Times New Roman" w:cs="Times New Roman"/>
          <w:sz w:val="32"/>
          <w:szCs w:val="32"/>
        </w:rPr>
        <w:t>Проанализировав всю информацию, я могу сказать, что искусственный интеллект неотъемлемая часть в ведении бизнеса. Искусственный интеллект не стоит на месте, он большой скоростью внедряется в нашу жизнь. Стремительное развитие технологий открывает новые горизонты для всех сфер жизни, будь то образование, промышленность, либо же повседневное взаимодействие.</w:t>
      </w:r>
    </w:p>
    <w:p w14:paraId="56656BBB" w14:textId="77777777" w:rsidR="00771D90" w:rsidRPr="00771D90" w:rsidRDefault="00771D90" w:rsidP="00771D90">
      <w:pPr>
        <w:shd w:val="clear" w:color="auto" w:fill="FFFFFF"/>
        <w:spacing w:after="0" w:line="240" w:lineRule="auto"/>
        <w:ind w:firstLine="567"/>
        <w:jc w:val="center"/>
        <w:rPr>
          <w:rFonts w:ascii="Times New Roman" w:eastAsia="Times New Roman" w:hAnsi="Times New Roman" w:cs="Times New Roman"/>
          <w:b/>
          <w:bCs/>
          <w:sz w:val="32"/>
          <w:szCs w:val="32"/>
        </w:rPr>
      </w:pPr>
      <w:r w:rsidRPr="00771D90">
        <w:rPr>
          <w:rFonts w:ascii="Times New Roman" w:eastAsia="Times New Roman" w:hAnsi="Times New Roman" w:cs="Times New Roman"/>
          <w:b/>
          <w:bCs/>
          <w:color w:val="000000"/>
          <w:sz w:val="21"/>
          <w:szCs w:val="21"/>
        </w:rPr>
        <w:t>Литература:</w:t>
      </w:r>
    </w:p>
    <w:p w14:paraId="0651136B" w14:textId="77777777" w:rsid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 xml:space="preserve">Использование искусственного интеллекта в обнаружении мошенничества // </w:t>
      </w:r>
      <w:proofErr w:type="gramStart"/>
      <w:r w:rsidRPr="002F634F">
        <w:rPr>
          <w:rFonts w:ascii="Times New Roman" w:eastAsia="Times New Roman" w:hAnsi="Times New Roman" w:cs="Times New Roman"/>
          <w:color w:val="000000"/>
          <w:sz w:val="21"/>
          <w:szCs w:val="21"/>
        </w:rPr>
        <w:t>Cyberleninka :</w:t>
      </w:r>
      <w:proofErr w:type="gramEnd"/>
      <w:r w:rsidRPr="002F634F">
        <w:rPr>
          <w:rFonts w:ascii="Times New Roman" w:eastAsia="Times New Roman" w:hAnsi="Times New Roman" w:cs="Times New Roman"/>
          <w:color w:val="000000"/>
          <w:sz w:val="21"/>
          <w:szCs w:val="21"/>
        </w:rPr>
        <w:t xml:space="preserve"> сайт. - URL: </w:t>
      </w:r>
      <w:hyperlink r:id="rId572" w:history="1">
        <w:r w:rsidRPr="002F634F">
          <w:rPr>
            <w:rFonts w:ascii="Times New Roman" w:eastAsia="Times New Roman" w:hAnsi="Times New Roman" w:cs="Times New Roman"/>
            <w:color w:val="4C94D8"/>
            <w:sz w:val="21"/>
            <w:szCs w:val="21"/>
            <w:u w:val="single"/>
          </w:rPr>
          <w:t>https://cyberleninka.ru/article/n/obzor-ispolzovaniya-iskusstvennogo-intellekta-v-obnaruzhenii-finansovogo-moshennichestva?ysclid=magus3hhls910869983</w:t>
        </w:r>
      </w:hyperlink>
      <w:r w:rsidRPr="002F634F">
        <w:rPr>
          <w:rFonts w:ascii="Times New Roman" w:eastAsia="Times New Roman" w:hAnsi="Times New Roman" w:cs="Times New Roman"/>
          <w:color w:val="4C94D8"/>
          <w:sz w:val="21"/>
          <w:szCs w:val="21"/>
        </w:rPr>
        <w:t xml:space="preserve"> </w:t>
      </w:r>
      <w:r w:rsidRPr="002F634F">
        <w:rPr>
          <w:rFonts w:ascii="Times New Roman" w:eastAsia="Times New Roman" w:hAnsi="Times New Roman" w:cs="Times New Roman"/>
          <w:sz w:val="21"/>
          <w:szCs w:val="21"/>
        </w:rPr>
        <w:t>(дата обращения: 07.05.2025)</w:t>
      </w:r>
    </w:p>
    <w:p w14:paraId="7FE1CD8B" w14:textId="77777777" w:rsidR="002F634F" w:rsidRP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 xml:space="preserve">Возможности искусственного интеллекта в страховании // </w:t>
      </w:r>
      <w:proofErr w:type="gramStart"/>
      <w:r w:rsidRPr="002F634F">
        <w:rPr>
          <w:rFonts w:ascii="Times New Roman" w:eastAsia="Times New Roman" w:hAnsi="Times New Roman" w:cs="Times New Roman"/>
          <w:color w:val="000000"/>
          <w:sz w:val="21"/>
          <w:szCs w:val="21"/>
        </w:rPr>
        <w:t>Cyberleninka :</w:t>
      </w:r>
      <w:proofErr w:type="gramEnd"/>
      <w:r w:rsidRPr="002F634F">
        <w:rPr>
          <w:rFonts w:ascii="Times New Roman" w:eastAsia="Times New Roman" w:hAnsi="Times New Roman" w:cs="Times New Roman"/>
          <w:color w:val="000000"/>
          <w:sz w:val="21"/>
          <w:szCs w:val="21"/>
        </w:rPr>
        <w:t xml:space="preserve"> сайт. - URL: </w:t>
      </w:r>
      <w:hyperlink r:id="rId573" w:history="1">
        <w:r w:rsidRPr="002F634F">
          <w:rPr>
            <w:rFonts w:ascii="Times New Roman" w:eastAsia="Times New Roman" w:hAnsi="Times New Roman" w:cs="Times New Roman"/>
            <w:color w:val="4C94D8"/>
            <w:sz w:val="21"/>
            <w:szCs w:val="21"/>
            <w:u w:val="single"/>
          </w:rPr>
          <w:t>https://cyberleninka.ru/article/n/vozmozhnosti-iskusstvennogo-intellekta-v-strahovanii?ysclid=magv2wymgp620287643</w:t>
        </w:r>
      </w:hyperlink>
      <w:r w:rsidRPr="002F634F">
        <w:rPr>
          <w:rFonts w:ascii="Times New Roman" w:eastAsia="Times New Roman" w:hAnsi="Times New Roman" w:cs="Times New Roman"/>
          <w:color w:val="4C94D8"/>
          <w:sz w:val="21"/>
          <w:szCs w:val="21"/>
        </w:rPr>
        <w:t xml:space="preserve"> </w:t>
      </w:r>
      <w:r w:rsidRPr="002F634F">
        <w:rPr>
          <w:rFonts w:ascii="Times New Roman" w:eastAsia="Times New Roman" w:hAnsi="Times New Roman" w:cs="Times New Roman"/>
          <w:color w:val="000000"/>
          <w:sz w:val="21"/>
          <w:szCs w:val="21"/>
        </w:rPr>
        <w:t>(дата обращения : 07.05.2025)</w:t>
      </w:r>
    </w:p>
    <w:p w14:paraId="47CBC917" w14:textId="77777777" w:rsidR="002F634F" w:rsidRP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Франциско О.Ю., Молчан А.С. Моделирование систем / учебник. - Краснодар, 2023. - 178 с.</w:t>
      </w:r>
    </w:p>
    <w:p w14:paraId="1C6B8BB1" w14:textId="77777777" w:rsidR="002F634F" w:rsidRP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 xml:space="preserve">Федеральный закон от 27.11.1992 № 4015-1 “О страховании” //  Consultant : сайт - URL: </w:t>
      </w:r>
      <w:hyperlink r:id="rId574" w:history="1">
        <w:r w:rsidRPr="002F634F">
          <w:rPr>
            <w:rFonts w:ascii="Times New Roman" w:eastAsia="Times New Roman" w:hAnsi="Times New Roman" w:cs="Times New Roman"/>
            <w:color w:val="4C94D8"/>
            <w:sz w:val="21"/>
            <w:szCs w:val="21"/>
            <w:u w:val="single"/>
          </w:rPr>
          <w:t>https://www.consultant.ru/document/cons_doc_LAW_1405/</w:t>
        </w:r>
      </w:hyperlink>
      <w:r w:rsidRPr="002F634F">
        <w:rPr>
          <w:rFonts w:ascii="Times New Roman" w:eastAsia="Times New Roman" w:hAnsi="Times New Roman" w:cs="Times New Roman"/>
          <w:color w:val="4C94D8"/>
          <w:sz w:val="21"/>
          <w:szCs w:val="21"/>
        </w:rPr>
        <w:t xml:space="preserve"> </w:t>
      </w:r>
      <w:r w:rsidRPr="002F634F">
        <w:rPr>
          <w:rFonts w:ascii="Times New Roman" w:eastAsia="Times New Roman" w:hAnsi="Times New Roman" w:cs="Times New Roman"/>
          <w:color w:val="000000"/>
          <w:sz w:val="21"/>
          <w:szCs w:val="21"/>
        </w:rPr>
        <w:t>(дата обращения 07.05.2025)</w:t>
      </w:r>
    </w:p>
    <w:p w14:paraId="26A75A92" w14:textId="77777777" w:rsidR="002F634F" w:rsidRP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 xml:space="preserve">“СберСтрахование жизни” внедрит искусственный интеллект в урегулирование убытков //  tadviser : сайт - URL: </w:t>
      </w:r>
      <w:hyperlink r:id="rId575" w:history="1">
        <w:r w:rsidRPr="002F634F">
          <w:rPr>
            <w:rFonts w:ascii="Times New Roman" w:eastAsia="Times New Roman" w:hAnsi="Times New Roman" w:cs="Times New Roman"/>
            <w:color w:val="4C94D8"/>
            <w:sz w:val="21"/>
            <w:szCs w:val="21"/>
            <w:u w:val="single"/>
          </w:rPr>
          <w:t>https://www.tadviser.ru/index.php/Проект:"СберСтрахование_жизни"_внедрит_искусственный_интеллект_в_урегулирование_убытков_уже_в_начале_2023_года?ysclid=magvoni8ol437226708</w:t>
        </w:r>
      </w:hyperlink>
      <w:r w:rsidRPr="002F634F">
        <w:rPr>
          <w:rFonts w:ascii="Times New Roman" w:eastAsia="Times New Roman" w:hAnsi="Times New Roman" w:cs="Times New Roman"/>
          <w:color w:val="000000"/>
          <w:sz w:val="21"/>
          <w:szCs w:val="21"/>
        </w:rPr>
        <w:t xml:space="preserve"> (дата обращения 07.05.2025)</w:t>
      </w:r>
    </w:p>
    <w:p w14:paraId="54DFDFBE" w14:textId="1072FED8" w:rsidR="00771D90" w:rsidRPr="002F634F" w:rsidRDefault="00771D90" w:rsidP="00AD58CD">
      <w:pPr>
        <w:pStyle w:val="a8"/>
        <w:numPr>
          <w:ilvl w:val="3"/>
          <w:numId w:val="227"/>
        </w:numPr>
        <w:spacing w:after="0" w:line="240" w:lineRule="auto"/>
        <w:ind w:left="0" w:firstLine="0"/>
        <w:jc w:val="both"/>
        <w:rPr>
          <w:rFonts w:ascii="Times New Roman" w:eastAsia="Times New Roman" w:hAnsi="Times New Roman" w:cs="Times New Roman"/>
          <w:sz w:val="21"/>
          <w:szCs w:val="21"/>
        </w:rPr>
      </w:pPr>
      <w:r w:rsidRPr="002F634F">
        <w:rPr>
          <w:rFonts w:ascii="Times New Roman" w:eastAsia="Times New Roman" w:hAnsi="Times New Roman" w:cs="Times New Roman"/>
          <w:color w:val="000000"/>
          <w:sz w:val="21"/>
          <w:szCs w:val="21"/>
        </w:rPr>
        <w:t xml:space="preserve">Современное состояние страхового рынка в Российской Федерации под влиянием мошенничества // Cyberleninka : сайт - URL: </w:t>
      </w:r>
      <w:hyperlink r:id="rId576" w:history="1">
        <w:r w:rsidRPr="002F634F">
          <w:rPr>
            <w:rFonts w:ascii="Times New Roman" w:eastAsia="Times New Roman" w:hAnsi="Times New Roman" w:cs="Times New Roman"/>
            <w:color w:val="4C94D8"/>
            <w:sz w:val="21"/>
            <w:szCs w:val="21"/>
            <w:u w:val="single"/>
          </w:rPr>
          <w:t>https://cyberleninka.ru/article/n/sovremennoe-sostoyanie-strahovogo-rynka-v-rossiyskoy-federatsii-pod-vliyaniem-moshennichestva?ysclid=magw4227bc535011423</w:t>
        </w:r>
      </w:hyperlink>
      <w:r w:rsidRPr="002F634F">
        <w:rPr>
          <w:rFonts w:ascii="Times New Roman" w:eastAsia="Times New Roman" w:hAnsi="Times New Roman" w:cs="Times New Roman"/>
          <w:color w:val="4C94D8"/>
          <w:sz w:val="21"/>
          <w:szCs w:val="21"/>
        </w:rPr>
        <w:t xml:space="preserve"> </w:t>
      </w:r>
      <w:r w:rsidRPr="002F634F">
        <w:rPr>
          <w:rFonts w:ascii="Times New Roman" w:eastAsia="Times New Roman" w:hAnsi="Times New Roman" w:cs="Times New Roman"/>
          <w:color w:val="000000"/>
          <w:sz w:val="21"/>
          <w:szCs w:val="21"/>
        </w:rPr>
        <w:t>(дата обращения 07.05.2025)</w:t>
      </w:r>
    </w:p>
    <w:p w14:paraId="5F9B155F" w14:textId="77777777" w:rsidR="00D57900" w:rsidRDefault="00D57900" w:rsidP="008D4DA6">
      <w:pPr>
        <w:pStyle w:val="a8"/>
        <w:spacing w:line="279" w:lineRule="auto"/>
        <w:ind w:left="426"/>
        <w:jc w:val="both"/>
        <w:rPr>
          <w:rFonts w:ascii="Times New Roman" w:eastAsia="Times New Roman" w:hAnsi="Times New Roman" w:cs="Times New Roman"/>
          <w:sz w:val="21"/>
          <w:szCs w:val="21"/>
        </w:rPr>
      </w:pPr>
    </w:p>
    <w:p w14:paraId="2C6A60A3" w14:textId="77777777" w:rsidR="00D57900" w:rsidRPr="00D57900" w:rsidRDefault="00D57900" w:rsidP="00D57900">
      <w:pPr>
        <w:spacing w:after="0" w:line="240" w:lineRule="auto"/>
        <w:ind w:left="1134" w:hanging="1134"/>
        <w:rPr>
          <w:rFonts w:ascii="Times New Roman" w:eastAsia="Calibri" w:hAnsi="Times New Roman" w:cs="Times New Roman"/>
          <w:b/>
          <w:sz w:val="21"/>
          <w:szCs w:val="21"/>
        </w:rPr>
      </w:pPr>
      <w:r w:rsidRPr="00D57900">
        <w:rPr>
          <w:rFonts w:ascii="Times New Roman" w:eastAsia="Calibri" w:hAnsi="Times New Roman" w:cs="Times New Roman"/>
          <w:b/>
          <w:sz w:val="21"/>
          <w:szCs w:val="21"/>
        </w:rPr>
        <w:t xml:space="preserve">УДК 331.103.22                                                                                                               </w:t>
      </w:r>
    </w:p>
    <w:p w14:paraId="080A179F" w14:textId="77777777" w:rsidR="00D57900" w:rsidRPr="00D57900" w:rsidRDefault="00D57900" w:rsidP="00D57900">
      <w:pPr>
        <w:spacing w:after="0" w:line="240" w:lineRule="auto"/>
        <w:ind w:left="1134" w:hanging="1134"/>
        <w:jc w:val="right"/>
        <w:rPr>
          <w:rFonts w:ascii="Times New Roman" w:eastAsia="Calibri" w:hAnsi="Times New Roman" w:cs="Times New Roman"/>
          <w:b/>
          <w:i/>
          <w:sz w:val="21"/>
          <w:szCs w:val="21"/>
        </w:rPr>
      </w:pPr>
      <w:r w:rsidRPr="00D57900">
        <w:rPr>
          <w:rFonts w:ascii="Times New Roman" w:eastAsia="Calibri" w:hAnsi="Times New Roman" w:cs="Times New Roman"/>
          <w:b/>
          <w:i/>
          <w:sz w:val="21"/>
          <w:szCs w:val="21"/>
        </w:rPr>
        <w:t>Винокурова О.А.,</w:t>
      </w:r>
    </w:p>
    <w:p w14:paraId="0638F067"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rPr>
        <w:t>студент 3 курса,</w:t>
      </w:r>
    </w:p>
    <w:p w14:paraId="39950D72" w14:textId="77777777" w:rsidR="00C329EF" w:rsidRDefault="00C329EF" w:rsidP="00C329E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E04651B"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rPr>
        <w:t>г. Краснодар, Россия</w:t>
      </w:r>
    </w:p>
    <w:p w14:paraId="29A7851E"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lang w:val="en-US"/>
        </w:rPr>
        <w:t>e</w:t>
      </w:r>
      <w:r w:rsidRPr="00D57900">
        <w:rPr>
          <w:rFonts w:ascii="Times New Roman" w:eastAsia="Calibri" w:hAnsi="Times New Roman" w:cs="Times New Roman"/>
          <w:i/>
          <w:sz w:val="21"/>
          <w:szCs w:val="21"/>
        </w:rPr>
        <w:t xml:space="preserve">– </w:t>
      </w:r>
      <w:r w:rsidRPr="00D57900">
        <w:rPr>
          <w:rFonts w:ascii="Times New Roman" w:eastAsia="Calibri" w:hAnsi="Times New Roman" w:cs="Times New Roman"/>
          <w:i/>
          <w:sz w:val="21"/>
          <w:szCs w:val="21"/>
          <w:lang w:val="en-US"/>
        </w:rPr>
        <w:t>mail</w:t>
      </w:r>
      <w:r w:rsidRPr="00D57900">
        <w:rPr>
          <w:rFonts w:ascii="Times New Roman" w:eastAsia="Calibri" w:hAnsi="Times New Roman" w:cs="Times New Roman"/>
          <w:i/>
          <w:sz w:val="21"/>
          <w:szCs w:val="21"/>
        </w:rPr>
        <w:t xml:space="preserve">: </w:t>
      </w:r>
      <w:hyperlink r:id="rId577" w:history="1">
        <w:r w:rsidRPr="00D57900">
          <w:rPr>
            <w:rFonts w:ascii="Times New Roman" w:eastAsia="Calibri" w:hAnsi="Times New Roman" w:cs="Times New Roman"/>
            <w:i/>
            <w:color w:val="0563C1"/>
            <w:sz w:val="21"/>
            <w:szCs w:val="21"/>
            <w:u w:val="single"/>
            <w:lang w:val="en-US"/>
          </w:rPr>
          <w:t>lesvinokurova</w:t>
        </w:r>
        <w:r w:rsidRPr="00D57900">
          <w:rPr>
            <w:rFonts w:ascii="Times New Roman" w:eastAsia="Calibri" w:hAnsi="Times New Roman" w:cs="Times New Roman"/>
            <w:i/>
            <w:color w:val="0563C1"/>
            <w:sz w:val="21"/>
            <w:szCs w:val="21"/>
            <w:u w:val="single"/>
          </w:rPr>
          <w:t>@</w:t>
        </w:r>
        <w:r w:rsidRPr="00D57900">
          <w:rPr>
            <w:rFonts w:ascii="Times New Roman" w:eastAsia="Calibri" w:hAnsi="Times New Roman" w:cs="Times New Roman"/>
            <w:i/>
            <w:color w:val="0563C1"/>
            <w:sz w:val="21"/>
            <w:szCs w:val="21"/>
            <w:u w:val="single"/>
            <w:lang w:val="en-US"/>
          </w:rPr>
          <w:t>mail</w:t>
        </w:r>
        <w:r w:rsidRPr="00D57900">
          <w:rPr>
            <w:rFonts w:ascii="Times New Roman" w:eastAsia="Calibri" w:hAnsi="Times New Roman" w:cs="Times New Roman"/>
            <w:i/>
            <w:color w:val="0563C1"/>
            <w:sz w:val="21"/>
            <w:szCs w:val="21"/>
            <w:u w:val="single"/>
          </w:rPr>
          <w:t>.</w:t>
        </w:r>
        <w:r w:rsidRPr="00D57900">
          <w:rPr>
            <w:rFonts w:ascii="Times New Roman" w:eastAsia="Calibri" w:hAnsi="Times New Roman" w:cs="Times New Roman"/>
            <w:i/>
            <w:color w:val="0563C1"/>
            <w:sz w:val="21"/>
            <w:szCs w:val="21"/>
            <w:u w:val="single"/>
            <w:lang w:val="en-US"/>
          </w:rPr>
          <w:t>ru</w:t>
        </w:r>
      </w:hyperlink>
    </w:p>
    <w:p w14:paraId="1AAA8E3E"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p>
    <w:p w14:paraId="1C1F98CC" w14:textId="77777777" w:rsidR="00D57900" w:rsidRPr="00D57900" w:rsidRDefault="00D57900" w:rsidP="00D57900">
      <w:pPr>
        <w:spacing w:after="0" w:line="240" w:lineRule="auto"/>
        <w:ind w:left="1134"/>
        <w:jc w:val="right"/>
        <w:rPr>
          <w:rFonts w:ascii="Times New Roman" w:eastAsia="Calibri" w:hAnsi="Times New Roman" w:cs="Times New Roman"/>
          <w:b/>
          <w:i/>
          <w:sz w:val="21"/>
          <w:szCs w:val="21"/>
        </w:rPr>
      </w:pPr>
      <w:r w:rsidRPr="00D57900">
        <w:rPr>
          <w:rFonts w:ascii="Times New Roman" w:eastAsia="Calibri" w:hAnsi="Times New Roman" w:cs="Times New Roman"/>
          <w:b/>
          <w:i/>
          <w:sz w:val="21"/>
          <w:szCs w:val="21"/>
        </w:rPr>
        <w:t>Научный руководитель:</w:t>
      </w:r>
    </w:p>
    <w:p w14:paraId="03358D66" w14:textId="77777777" w:rsidR="00D57900" w:rsidRPr="00D57900" w:rsidRDefault="00D57900" w:rsidP="00D57900">
      <w:pPr>
        <w:spacing w:after="0" w:line="240" w:lineRule="auto"/>
        <w:ind w:left="1134"/>
        <w:jc w:val="right"/>
        <w:rPr>
          <w:rFonts w:ascii="Times New Roman" w:eastAsia="Calibri" w:hAnsi="Times New Roman" w:cs="Times New Roman"/>
          <w:b/>
          <w:i/>
          <w:sz w:val="21"/>
          <w:szCs w:val="21"/>
        </w:rPr>
      </w:pPr>
      <w:r w:rsidRPr="00D57900">
        <w:rPr>
          <w:rFonts w:ascii="Times New Roman" w:eastAsia="Calibri" w:hAnsi="Times New Roman" w:cs="Times New Roman"/>
          <w:b/>
          <w:i/>
          <w:sz w:val="21"/>
          <w:szCs w:val="21"/>
        </w:rPr>
        <w:t>Арефьева С.А.,</w:t>
      </w:r>
    </w:p>
    <w:p w14:paraId="387E39E1"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rPr>
        <w:t xml:space="preserve">кандидат технических наук, доцент, </w:t>
      </w:r>
    </w:p>
    <w:p w14:paraId="5D7F2C94"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rPr>
        <w:t xml:space="preserve">доцент кафедры «Математика и информатика», </w:t>
      </w:r>
    </w:p>
    <w:p w14:paraId="76AF4B35" w14:textId="77777777" w:rsidR="00C329EF" w:rsidRDefault="00C329EF" w:rsidP="00C329EF">
      <w:pPr>
        <w:suppressAutoHyphens/>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C4B2B50"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rPr>
        <w:t>г. Краснодар, Россия</w:t>
      </w:r>
    </w:p>
    <w:p w14:paraId="7AC982A3"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r w:rsidRPr="00D57900">
        <w:rPr>
          <w:rFonts w:ascii="Times New Roman" w:eastAsia="Calibri" w:hAnsi="Times New Roman" w:cs="Times New Roman"/>
          <w:i/>
          <w:sz w:val="21"/>
          <w:szCs w:val="21"/>
          <w:lang w:val="en-US"/>
        </w:rPr>
        <w:t>e</w:t>
      </w:r>
      <w:r w:rsidRPr="00D57900">
        <w:rPr>
          <w:rFonts w:ascii="Times New Roman" w:eastAsia="Calibri" w:hAnsi="Times New Roman" w:cs="Times New Roman"/>
          <w:i/>
          <w:sz w:val="21"/>
          <w:szCs w:val="21"/>
        </w:rPr>
        <w:t xml:space="preserve">– </w:t>
      </w:r>
      <w:r w:rsidRPr="00D57900">
        <w:rPr>
          <w:rFonts w:ascii="Times New Roman" w:eastAsia="Calibri" w:hAnsi="Times New Roman" w:cs="Times New Roman"/>
          <w:i/>
          <w:sz w:val="21"/>
          <w:szCs w:val="21"/>
          <w:lang w:val="en-US"/>
        </w:rPr>
        <w:t>mail</w:t>
      </w:r>
      <w:r w:rsidRPr="00D57900">
        <w:rPr>
          <w:rFonts w:ascii="Times New Roman" w:eastAsia="Calibri" w:hAnsi="Times New Roman" w:cs="Times New Roman"/>
          <w:i/>
          <w:sz w:val="21"/>
          <w:szCs w:val="21"/>
        </w:rPr>
        <w:t xml:space="preserve">: </w:t>
      </w:r>
      <w:hyperlink r:id="rId578" w:history="1">
        <w:r w:rsidRPr="00D57900">
          <w:rPr>
            <w:rFonts w:ascii="Times New Roman" w:eastAsia="Calibri" w:hAnsi="Times New Roman" w:cs="Times New Roman"/>
            <w:i/>
            <w:color w:val="0563C1"/>
            <w:sz w:val="21"/>
            <w:szCs w:val="21"/>
            <w:u w:val="single"/>
            <w:lang w:val="en-US"/>
          </w:rPr>
          <w:t>SAArefeva</w:t>
        </w:r>
        <w:r w:rsidRPr="00D57900">
          <w:rPr>
            <w:rFonts w:ascii="Times New Roman" w:eastAsia="Calibri" w:hAnsi="Times New Roman" w:cs="Times New Roman"/>
            <w:i/>
            <w:color w:val="0563C1"/>
            <w:sz w:val="21"/>
            <w:szCs w:val="21"/>
            <w:u w:val="single"/>
          </w:rPr>
          <w:t>@</w:t>
        </w:r>
        <w:r w:rsidRPr="00D57900">
          <w:rPr>
            <w:rFonts w:ascii="Times New Roman" w:eastAsia="Calibri" w:hAnsi="Times New Roman" w:cs="Times New Roman"/>
            <w:i/>
            <w:color w:val="0563C1"/>
            <w:sz w:val="21"/>
            <w:szCs w:val="21"/>
            <w:u w:val="single"/>
            <w:lang w:val="en-US"/>
          </w:rPr>
          <w:t>fa</w:t>
        </w:r>
        <w:r w:rsidRPr="00D57900">
          <w:rPr>
            <w:rFonts w:ascii="Times New Roman" w:eastAsia="Calibri" w:hAnsi="Times New Roman" w:cs="Times New Roman"/>
            <w:i/>
            <w:color w:val="0563C1"/>
            <w:sz w:val="21"/>
            <w:szCs w:val="21"/>
            <w:u w:val="single"/>
          </w:rPr>
          <w:t>.</w:t>
        </w:r>
        <w:r w:rsidRPr="00D57900">
          <w:rPr>
            <w:rFonts w:ascii="Times New Roman" w:eastAsia="Calibri" w:hAnsi="Times New Roman" w:cs="Times New Roman"/>
            <w:i/>
            <w:color w:val="0563C1"/>
            <w:sz w:val="21"/>
            <w:szCs w:val="21"/>
            <w:u w:val="single"/>
            <w:lang w:val="en-US"/>
          </w:rPr>
          <w:t>ru</w:t>
        </w:r>
      </w:hyperlink>
    </w:p>
    <w:p w14:paraId="1FA59A9B"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rPr>
      </w:pPr>
    </w:p>
    <w:p w14:paraId="2F28FBA9" w14:textId="77777777" w:rsidR="00D57900" w:rsidRDefault="00D57900" w:rsidP="00D57900">
      <w:pPr>
        <w:spacing w:after="0" w:line="240" w:lineRule="auto"/>
        <w:ind w:firstLine="709"/>
        <w:jc w:val="center"/>
        <w:rPr>
          <w:rFonts w:ascii="Times New Roman" w:eastAsia="Calibri" w:hAnsi="Times New Roman" w:cs="Times New Roman"/>
          <w:b/>
          <w:sz w:val="21"/>
          <w:szCs w:val="21"/>
        </w:rPr>
      </w:pPr>
      <w:r w:rsidRPr="00D57900">
        <w:rPr>
          <w:rFonts w:ascii="Times New Roman" w:eastAsia="Calibri" w:hAnsi="Times New Roman" w:cs="Times New Roman"/>
          <w:b/>
          <w:sz w:val="21"/>
          <w:szCs w:val="21"/>
        </w:rPr>
        <w:t>Влияние Agile– методологий на оптимизацию внутренней коммуникации и взаимодействия с клиентами в ИТ– компаниях</w:t>
      </w:r>
    </w:p>
    <w:p w14:paraId="21F6AC29" w14:textId="77777777" w:rsidR="004A0F44" w:rsidRPr="00D57900" w:rsidRDefault="004A0F44" w:rsidP="00D57900">
      <w:pPr>
        <w:spacing w:after="0" w:line="240" w:lineRule="auto"/>
        <w:ind w:firstLine="709"/>
        <w:jc w:val="center"/>
        <w:rPr>
          <w:rFonts w:ascii="Times New Roman" w:eastAsia="Calibri" w:hAnsi="Times New Roman" w:cs="Times New Roman"/>
          <w:b/>
          <w:sz w:val="21"/>
          <w:szCs w:val="21"/>
        </w:rPr>
      </w:pPr>
    </w:p>
    <w:p w14:paraId="524B4395" w14:textId="12367227" w:rsidR="00D57900" w:rsidRPr="00D57900" w:rsidRDefault="00D57900" w:rsidP="00D57900">
      <w:pPr>
        <w:spacing w:after="0" w:line="240" w:lineRule="auto"/>
        <w:ind w:firstLine="709"/>
        <w:jc w:val="both"/>
        <w:rPr>
          <w:rFonts w:ascii="Times New Roman" w:eastAsia="Calibri" w:hAnsi="Times New Roman" w:cs="Times New Roman"/>
          <w:sz w:val="21"/>
          <w:szCs w:val="21"/>
        </w:rPr>
      </w:pPr>
      <w:r w:rsidRPr="00D57900">
        <w:rPr>
          <w:rFonts w:ascii="Times New Roman" w:eastAsia="Calibri" w:hAnsi="Times New Roman" w:cs="Times New Roman"/>
          <w:b/>
          <w:sz w:val="21"/>
          <w:szCs w:val="21"/>
        </w:rPr>
        <w:t>Аннотация</w:t>
      </w:r>
      <w:proofErr w:type="gramStart"/>
      <w:r w:rsidRPr="00D57900">
        <w:rPr>
          <w:rFonts w:ascii="Times New Roman" w:eastAsia="Calibri" w:hAnsi="Times New Roman" w:cs="Times New Roman"/>
          <w:b/>
          <w:sz w:val="21"/>
          <w:szCs w:val="21"/>
        </w:rPr>
        <w:t>:</w:t>
      </w:r>
      <w:r w:rsidR="0040174B">
        <w:rPr>
          <w:rFonts w:ascii="Times New Roman" w:eastAsia="Calibri" w:hAnsi="Times New Roman" w:cs="Times New Roman"/>
          <w:b/>
          <w:sz w:val="21"/>
          <w:szCs w:val="21"/>
        </w:rPr>
        <w:t xml:space="preserve"> </w:t>
      </w:r>
      <w:r w:rsidRPr="00D57900">
        <w:rPr>
          <w:rFonts w:ascii="Times New Roman" w:eastAsia="Calibri" w:hAnsi="Times New Roman" w:cs="Times New Roman"/>
          <w:sz w:val="21"/>
          <w:szCs w:val="21"/>
        </w:rPr>
        <w:t>В условиях</w:t>
      </w:r>
      <w:proofErr w:type="gramEnd"/>
      <w:r w:rsidRPr="00D57900">
        <w:rPr>
          <w:rFonts w:ascii="Times New Roman" w:eastAsia="Calibri" w:hAnsi="Times New Roman" w:cs="Times New Roman"/>
          <w:sz w:val="21"/>
          <w:szCs w:val="21"/>
        </w:rPr>
        <w:t xml:space="preserve"> быстрого развития IT-сферы компаниям необходимо непрерывно оптимизировать управление проектами и налаживать внутренние связи. Эффективным решением этой задачи является применение Agile-методологий, которые делают акцент на гибкости, приспособляемости к изменениям и слаженной работе команды.</w:t>
      </w:r>
    </w:p>
    <w:p w14:paraId="2C6C8605" w14:textId="77777777" w:rsidR="00D57900" w:rsidRPr="00D57900" w:rsidRDefault="00D57900" w:rsidP="00D57900">
      <w:pPr>
        <w:spacing w:after="0" w:line="240" w:lineRule="auto"/>
        <w:ind w:firstLine="709"/>
        <w:jc w:val="both"/>
        <w:rPr>
          <w:rFonts w:ascii="Times New Roman" w:eastAsia="Calibri" w:hAnsi="Times New Roman" w:cs="Times New Roman"/>
          <w:b/>
          <w:sz w:val="21"/>
          <w:szCs w:val="21"/>
        </w:rPr>
      </w:pPr>
      <w:r w:rsidRPr="00D57900">
        <w:rPr>
          <w:rFonts w:ascii="Times New Roman" w:eastAsia="Calibri" w:hAnsi="Times New Roman" w:cs="Times New Roman"/>
          <w:b/>
          <w:sz w:val="21"/>
          <w:szCs w:val="21"/>
        </w:rPr>
        <w:t xml:space="preserve">Ключевые слова: </w:t>
      </w:r>
      <w:r w:rsidRPr="00D57900">
        <w:rPr>
          <w:rFonts w:ascii="Times New Roman" w:eastAsia="Calibri" w:hAnsi="Times New Roman" w:cs="Times New Roman"/>
          <w:sz w:val="21"/>
          <w:szCs w:val="21"/>
          <w:lang w:val="en-US"/>
        </w:rPr>
        <w:t>agile</w:t>
      </w:r>
      <w:r w:rsidRPr="00D57900">
        <w:rPr>
          <w:rFonts w:ascii="Times New Roman" w:eastAsia="Calibri" w:hAnsi="Times New Roman" w:cs="Times New Roman"/>
          <w:sz w:val="21"/>
          <w:szCs w:val="21"/>
        </w:rPr>
        <w:t>-методология, командное взаимодействие, информационные технологии, управление проектами</w:t>
      </w:r>
    </w:p>
    <w:p w14:paraId="5A5E2DF4" w14:textId="77777777" w:rsidR="00D57900" w:rsidRPr="00D57900" w:rsidRDefault="00D57900" w:rsidP="00D57900">
      <w:pPr>
        <w:spacing w:after="0" w:line="240" w:lineRule="auto"/>
        <w:ind w:firstLine="709"/>
        <w:jc w:val="both"/>
        <w:rPr>
          <w:rFonts w:ascii="Times New Roman" w:eastAsia="Calibri" w:hAnsi="Times New Roman" w:cs="Times New Roman"/>
          <w:sz w:val="21"/>
          <w:szCs w:val="21"/>
        </w:rPr>
      </w:pPr>
    </w:p>
    <w:p w14:paraId="6A15D60F" w14:textId="77777777" w:rsidR="00D57900" w:rsidRPr="00D57900" w:rsidRDefault="00D57900" w:rsidP="00D57900">
      <w:pPr>
        <w:spacing w:after="0" w:line="240" w:lineRule="auto"/>
        <w:ind w:firstLine="709"/>
        <w:jc w:val="right"/>
        <w:rPr>
          <w:rFonts w:ascii="Times New Roman" w:eastAsia="Calibri" w:hAnsi="Times New Roman" w:cs="Times New Roman"/>
          <w:b/>
          <w:i/>
          <w:sz w:val="21"/>
          <w:szCs w:val="21"/>
          <w:lang w:val="en-US"/>
        </w:rPr>
      </w:pPr>
      <w:r w:rsidRPr="00D57900">
        <w:rPr>
          <w:rFonts w:ascii="Times New Roman" w:eastAsia="Calibri" w:hAnsi="Times New Roman" w:cs="Times New Roman"/>
          <w:b/>
          <w:i/>
          <w:sz w:val="21"/>
          <w:szCs w:val="21"/>
        </w:rPr>
        <w:t xml:space="preserve">   </w:t>
      </w:r>
      <w:r w:rsidRPr="00D57900">
        <w:rPr>
          <w:rFonts w:ascii="Times New Roman" w:eastAsia="Calibri" w:hAnsi="Times New Roman" w:cs="Times New Roman"/>
          <w:b/>
          <w:i/>
          <w:sz w:val="21"/>
          <w:szCs w:val="21"/>
          <w:lang w:val="en-US"/>
        </w:rPr>
        <w:t>Vinokurova O.A.,</w:t>
      </w:r>
    </w:p>
    <w:p w14:paraId="62C1F748"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 xml:space="preserve">3– rd year student </w:t>
      </w:r>
    </w:p>
    <w:p w14:paraId="46386C55"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 xml:space="preserve">Financial University under the Government of </w:t>
      </w:r>
    </w:p>
    <w:p w14:paraId="7DA0D749"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the Russian Federation</w:t>
      </w:r>
    </w:p>
    <w:p w14:paraId="1E7006A1"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Krasnodar, Russian Federation</w:t>
      </w:r>
    </w:p>
    <w:p w14:paraId="4ABB12BF" w14:textId="77777777" w:rsidR="00D57900" w:rsidRPr="00656AA8" w:rsidRDefault="00D57900" w:rsidP="00D57900">
      <w:pPr>
        <w:spacing w:after="0" w:line="240" w:lineRule="auto"/>
        <w:ind w:firstLine="709"/>
        <w:jc w:val="right"/>
        <w:rPr>
          <w:rFonts w:ascii="Calibri" w:eastAsia="Calibri" w:hAnsi="Calibri" w:cs="Times New Roman"/>
          <w:lang w:val="en-US"/>
        </w:rPr>
      </w:pPr>
      <w:r w:rsidRPr="00D57900">
        <w:rPr>
          <w:rFonts w:ascii="Times New Roman" w:eastAsia="Calibri" w:hAnsi="Times New Roman" w:cs="Times New Roman"/>
          <w:i/>
          <w:sz w:val="21"/>
          <w:szCs w:val="21"/>
          <w:lang w:val="en-US"/>
        </w:rPr>
        <w:t>e– mail:</w:t>
      </w:r>
      <w:r w:rsidRPr="00D57900">
        <w:rPr>
          <w:rFonts w:ascii="Calibri" w:eastAsia="Calibri" w:hAnsi="Calibri" w:cs="Times New Roman"/>
          <w:lang w:val="en-US"/>
        </w:rPr>
        <w:t xml:space="preserve"> </w:t>
      </w:r>
      <w:hyperlink r:id="rId579" w:history="1">
        <w:r w:rsidRPr="00D57900">
          <w:rPr>
            <w:rFonts w:ascii="Times New Roman" w:eastAsia="Calibri" w:hAnsi="Times New Roman" w:cs="Times New Roman"/>
            <w:i/>
            <w:color w:val="0563C1"/>
            <w:sz w:val="21"/>
            <w:szCs w:val="21"/>
            <w:u w:val="single"/>
            <w:lang w:val="en-US"/>
          </w:rPr>
          <w:t>lesvinokurova@mail.ru</w:t>
        </w:r>
      </w:hyperlink>
    </w:p>
    <w:p w14:paraId="0FCC8D65" w14:textId="77777777" w:rsidR="0025206E" w:rsidRPr="00D57900" w:rsidRDefault="0025206E" w:rsidP="00D57900">
      <w:pPr>
        <w:spacing w:after="0" w:line="240" w:lineRule="auto"/>
        <w:ind w:firstLine="709"/>
        <w:jc w:val="right"/>
        <w:rPr>
          <w:rFonts w:ascii="Times New Roman" w:eastAsia="Calibri" w:hAnsi="Times New Roman" w:cs="Times New Roman"/>
          <w:i/>
          <w:sz w:val="21"/>
          <w:szCs w:val="21"/>
          <w:u w:val="single"/>
          <w:lang w:val="en-US"/>
        </w:rPr>
      </w:pPr>
    </w:p>
    <w:p w14:paraId="05CB1570" w14:textId="77777777" w:rsidR="00D57900" w:rsidRPr="00D57900" w:rsidRDefault="00D57900" w:rsidP="00D57900">
      <w:pPr>
        <w:spacing w:after="0" w:line="240" w:lineRule="auto"/>
        <w:ind w:firstLine="709"/>
        <w:jc w:val="right"/>
        <w:rPr>
          <w:rFonts w:ascii="Times New Roman" w:eastAsia="Calibri" w:hAnsi="Times New Roman" w:cs="Times New Roman"/>
          <w:b/>
          <w:i/>
          <w:sz w:val="21"/>
          <w:szCs w:val="21"/>
          <w:lang w:val="en-US"/>
        </w:rPr>
      </w:pPr>
      <w:r w:rsidRPr="00D57900">
        <w:rPr>
          <w:rFonts w:ascii="Times New Roman" w:eastAsia="Calibri" w:hAnsi="Times New Roman" w:cs="Times New Roman"/>
          <w:b/>
          <w:i/>
          <w:sz w:val="21"/>
          <w:szCs w:val="21"/>
          <w:lang w:val="en-US"/>
        </w:rPr>
        <w:t>Scientific Adviser:</w:t>
      </w:r>
    </w:p>
    <w:p w14:paraId="5B021A51" w14:textId="77777777" w:rsidR="00D57900" w:rsidRPr="00D57900" w:rsidRDefault="00D57900" w:rsidP="00D57900">
      <w:pPr>
        <w:spacing w:after="0" w:line="240" w:lineRule="auto"/>
        <w:ind w:firstLine="709"/>
        <w:jc w:val="right"/>
        <w:rPr>
          <w:rFonts w:ascii="Times New Roman" w:eastAsia="Calibri" w:hAnsi="Times New Roman" w:cs="Times New Roman"/>
          <w:b/>
          <w:i/>
          <w:sz w:val="21"/>
          <w:szCs w:val="21"/>
          <w:lang w:val="en-US"/>
        </w:rPr>
      </w:pPr>
      <w:r w:rsidRPr="00D57900">
        <w:rPr>
          <w:rFonts w:ascii="Times New Roman" w:eastAsia="Calibri" w:hAnsi="Times New Roman" w:cs="Times New Roman"/>
          <w:b/>
          <w:i/>
          <w:sz w:val="21"/>
          <w:szCs w:val="21"/>
          <w:lang w:val="en-US"/>
        </w:rPr>
        <w:t>Arefieva S.A.,</w:t>
      </w:r>
    </w:p>
    <w:p w14:paraId="7AB86AD7"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Candidate of Technical Sciences, Associate Professor, Financial University under the Government</w:t>
      </w:r>
    </w:p>
    <w:p w14:paraId="0FE7BD02"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of the Russian Federation, Department of Mathematics and Computer Science</w:t>
      </w:r>
    </w:p>
    <w:p w14:paraId="484AB5CA" w14:textId="77777777" w:rsidR="00D57900" w:rsidRPr="00D57900" w:rsidRDefault="00D57900" w:rsidP="00D57900">
      <w:pPr>
        <w:spacing w:after="0" w:line="240" w:lineRule="auto"/>
        <w:ind w:firstLine="709"/>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Krasnodar, Russian Federation</w:t>
      </w:r>
    </w:p>
    <w:p w14:paraId="752CEBD5" w14:textId="77777777" w:rsidR="00D57900" w:rsidRPr="00D57900" w:rsidRDefault="00D57900" w:rsidP="00D57900">
      <w:pPr>
        <w:spacing w:after="0" w:line="240" w:lineRule="auto"/>
        <w:ind w:left="1134"/>
        <w:jc w:val="right"/>
        <w:rPr>
          <w:rFonts w:ascii="Times New Roman" w:eastAsia="Calibri" w:hAnsi="Times New Roman" w:cs="Times New Roman"/>
          <w:i/>
          <w:sz w:val="21"/>
          <w:szCs w:val="21"/>
          <w:lang w:val="en-US"/>
        </w:rPr>
      </w:pPr>
      <w:r w:rsidRPr="00D57900">
        <w:rPr>
          <w:rFonts w:ascii="Times New Roman" w:eastAsia="Calibri" w:hAnsi="Times New Roman" w:cs="Times New Roman"/>
          <w:i/>
          <w:sz w:val="21"/>
          <w:szCs w:val="21"/>
          <w:lang w:val="en-US"/>
        </w:rPr>
        <w:t xml:space="preserve">e– mail: </w:t>
      </w:r>
      <w:hyperlink r:id="rId580" w:history="1">
        <w:r w:rsidRPr="00D57900">
          <w:rPr>
            <w:rFonts w:ascii="Times New Roman" w:eastAsia="Calibri" w:hAnsi="Times New Roman" w:cs="Times New Roman"/>
            <w:i/>
            <w:color w:val="0563C1"/>
            <w:sz w:val="21"/>
            <w:szCs w:val="21"/>
            <w:u w:val="single"/>
            <w:lang w:val="en-US"/>
          </w:rPr>
          <w:t>SAArefeva@fa.ru</w:t>
        </w:r>
      </w:hyperlink>
    </w:p>
    <w:p w14:paraId="57604855" w14:textId="77777777" w:rsidR="00D57900" w:rsidRPr="00D57900" w:rsidRDefault="00D57900" w:rsidP="00D57900">
      <w:pPr>
        <w:spacing w:after="0" w:line="240" w:lineRule="auto"/>
        <w:ind w:firstLine="709"/>
        <w:jc w:val="right"/>
        <w:rPr>
          <w:rFonts w:ascii="Times New Roman" w:eastAsia="Calibri" w:hAnsi="Times New Roman" w:cs="Times New Roman"/>
          <w:i/>
          <w:color w:val="0563C1"/>
          <w:sz w:val="21"/>
          <w:szCs w:val="21"/>
          <w:u w:val="single"/>
          <w:lang w:val="en-US"/>
        </w:rPr>
      </w:pPr>
    </w:p>
    <w:p w14:paraId="23C3CBC2" w14:textId="77777777" w:rsidR="00D57900" w:rsidRPr="00656AA8" w:rsidRDefault="00D57900" w:rsidP="00D57900">
      <w:pPr>
        <w:spacing w:after="0" w:line="240" w:lineRule="auto"/>
        <w:ind w:firstLine="709"/>
        <w:jc w:val="center"/>
        <w:rPr>
          <w:rFonts w:ascii="Times New Roman" w:eastAsia="Calibri" w:hAnsi="Times New Roman" w:cs="Times New Roman"/>
          <w:b/>
          <w:sz w:val="21"/>
          <w:szCs w:val="21"/>
          <w:lang w:val="en-US"/>
        </w:rPr>
      </w:pPr>
      <w:r w:rsidRPr="00D57900">
        <w:rPr>
          <w:rFonts w:ascii="Times New Roman" w:eastAsia="Calibri" w:hAnsi="Times New Roman" w:cs="Times New Roman"/>
          <w:b/>
          <w:sz w:val="21"/>
          <w:szCs w:val="21"/>
          <w:lang w:val="en-US"/>
        </w:rPr>
        <w:t>The impact of Agile methodologies on optimizing internal communication and customer interaction in IT companies</w:t>
      </w:r>
    </w:p>
    <w:p w14:paraId="3FC39D39" w14:textId="77777777" w:rsidR="0040174B" w:rsidRPr="00656AA8" w:rsidRDefault="0040174B" w:rsidP="00D57900">
      <w:pPr>
        <w:spacing w:after="0" w:line="240" w:lineRule="auto"/>
        <w:ind w:firstLine="709"/>
        <w:jc w:val="center"/>
        <w:rPr>
          <w:rFonts w:ascii="Times New Roman" w:eastAsia="Calibri" w:hAnsi="Times New Roman" w:cs="Times New Roman"/>
          <w:b/>
          <w:sz w:val="21"/>
          <w:szCs w:val="21"/>
          <w:lang w:val="en-US"/>
        </w:rPr>
      </w:pPr>
    </w:p>
    <w:p w14:paraId="296C9404" w14:textId="77777777" w:rsidR="00D57900" w:rsidRPr="00D57900" w:rsidRDefault="00D57900" w:rsidP="005965CC">
      <w:pPr>
        <w:spacing w:after="0" w:line="240" w:lineRule="auto"/>
        <w:ind w:firstLine="709"/>
        <w:jc w:val="both"/>
        <w:rPr>
          <w:rFonts w:ascii="Times New Roman" w:eastAsia="Calibri" w:hAnsi="Times New Roman" w:cs="Times New Roman"/>
          <w:sz w:val="21"/>
          <w:szCs w:val="21"/>
          <w:lang w:val="en-US"/>
        </w:rPr>
      </w:pPr>
      <w:r w:rsidRPr="00D57900">
        <w:rPr>
          <w:rFonts w:ascii="Times New Roman" w:eastAsia="Calibri" w:hAnsi="Times New Roman" w:cs="Times New Roman"/>
          <w:b/>
          <w:sz w:val="21"/>
          <w:szCs w:val="21"/>
          <w:lang w:val="en-US"/>
        </w:rPr>
        <w:t>Abstract:</w:t>
      </w:r>
      <w:r w:rsidRPr="00D57900">
        <w:rPr>
          <w:rFonts w:ascii="Times New Roman" w:eastAsia="Calibri" w:hAnsi="Times New Roman" w:cs="Times New Roman"/>
          <w:sz w:val="21"/>
          <w:szCs w:val="21"/>
          <w:lang w:val="en-US"/>
        </w:rPr>
        <w:t xml:space="preserve"> With the rapid development of the IT sector, companies need to continuously optimize project management and establish internal communications. An effective solution to this problem is the use of Agile methodologies that emphasize flexibility, adaptability to change, and teamwork.</w:t>
      </w:r>
    </w:p>
    <w:p w14:paraId="45771C51" w14:textId="77777777" w:rsidR="00D57900" w:rsidRPr="00D57900" w:rsidRDefault="00D57900" w:rsidP="00D57900">
      <w:pPr>
        <w:spacing w:after="0" w:line="240" w:lineRule="auto"/>
        <w:ind w:firstLine="709"/>
        <w:rPr>
          <w:rFonts w:ascii="Times New Roman" w:eastAsia="Calibri" w:hAnsi="Times New Roman" w:cs="Times New Roman"/>
          <w:sz w:val="21"/>
          <w:szCs w:val="21"/>
          <w:lang w:val="en-US"/>
        </w:rPr>
      </w:pPr>
      <w:r w:rsidRPr="00D57900">
        <w:rPr>
          <w:rFonts w:ascii="Times New Roman" w:eastAsia="Calibri" w:hAnsi="Times New Roman" w:cs="Times New Roman"/>
          <w:b/>
          <w:sz w:val="21"/>
          <w:szCs w:val="21"/>
          <w:lang w:val="en-US"/>
        </w:rPr>
        <w:t>Keywords:</w:t>
      </w:r>
      <w:r w:rsidRPr="00D57900">
        <w:rPr>
          <w:rFonts w:ascii="Times New Roman" w:eastAsia="Calibri" w:hAnsi="Times New Roman" w:cs="Times New Roman"/>
          <w:sz w:val="21"/>
          <w:szCs w:val="21"/>
          <w:lang w:val="en-US"/>
        </w:rPr>
        <w:t xml:space="preserve"> agile methodology, team interaction, information technology, project management</w:t>
      </w:r>
    </w:p>
    <w:p w14:paraId="0586387B" w14:textId="77777777" w:rsidR="00D57900" w:rsidRPr="00D57900" w:rsidRDefault="00D57900" w:rsidP="00D57900">
      <w:pPr>
        <w:spacing w:after="0" w:line="240" w:lineRule="auto"/>
        <w:ind w:firstLine="709"/>
        <w:rPr>
          <w:rFonts w:ascii="Times New Roman" w:eastAsia="Calibri" w:hAnsi="Times New Roman" w:cs="Times New Roman"/>
          <w:sz w:val="21"/>
          <w:szCs w:val="21"/>
          <w:lang w:val="en-US"/>
        </w:rPr>
      </w:pPr>
    </w:p>
    <w:p w14:paraId="09316D20"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В современном мире информационных технологий всё меняется с невероятной скоростью. Компаниям, работающим в этой сфере, приходится постоянно подстраиваться под новые требования рынка, иначе они рискуют остаться позади более расторопных конкурентов. Именно в таких условиях на первый план выходят Agile– методологии, которые помогают командам не только быстро реагировать на изменения, но и выстраивать более эффективное взаимодействие внутри коллектива и с клиентами.</w:t>
      </w:r>
    </w:p>
    <w:p w14:paraId="48341F12"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Software</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Development</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 –   это подход к управлению проектами, который направлен на гибкость и </w:t>
      </w:r>
      <w:hyperlink r:id="rId581" w:history="1">
        <w:r w:rsidRPr="00D57900">
          <w:rPr>
            <w:rFonts w:ascii="Times New Roman" w:eastAsia="Calibri" w:hAnsi="Times New Roman" w:cs="Times New Roman"/>
            <w:sz w:val="32"/>
            <w:szCs w:val="32"/>
          </w:rPr>
          <w:t>клиентоориентированность</w:t>
        </w:r>
      </w:hyperlink>
      <w:r w:rsidRPr="00D57900">
        <w:rPr>
          <w:rFonts w:ascii="Times New Roman" w:eastAsia="Calibri" w:hAnsi="Times New Roman" w:cs="Times New Roman"/>
          <w:sz w:val="32"/>
          <w:szCs w:val="32"/>
        </w:rPr>
        <w:t xml:space="preserve">. В отличие от других методологий, таких как «водопадная» (waterfall) модель, гибкая система предлагает разделять работу на небольшие циклы. Это делает возможным быстрее адаптироваться к изменениям и повысить результат. </w:t>
      </w:r>
    </w:p>
    <w:p w14:paraId="1298C318" w14:textId="58AB5A50"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Agile – манифест (Agile Manifesto) — основной документ, в котором прописаны ценности и принципы гибкого управления проектами.</w:t>
      </w:r>
      <w:r w:rsidR="0040174B">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rPr>
        <w:t>Рассмотрим некоторые из них:</w:t>
      </w:r>
    </w:p>
    <w:p w14:paraId="09812320" w14:textId="77777777" w:rsidR="00D57900" w:rsidRPr="00D57900" w:rsidRDefault="00D57900" w:rsidP="00AD58CD">
      <w:pPr>
        <w:numPr>
          <w:ilvl w:val="0"/>
          <w:numId w:val="128"/>
        </w:numPr>
        <w:spacing w:after="0" w:line="240" w:lineRule="auto"/>
        <w:ind w:left="0" w:firstLine="720"/>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lastRenderedPageBreak/>
        <w:t>Главной задачей команды проекта является удовлетворение запросов заказчика.</w:t>
      </w:r>
    </w:p>
    <w:p w14:paraId="3A2D26F7" w14:textId="77777777" w:rsidR="00D57900" w:rsidRPr="00D57900" w:rsidRDefault="00D57900" w:rsidP="00AD58CD">
      <w:pPr>
        <w:numPr>
          <w:ilvl w:val="0"/>
          <w:numId w:val="128"/>
        </w:numPr>
        <w:spacing w:after="0" w:line="240" w:lineRule="auto"/>
        <w:ind w:left="0" w:firstLine="720"/>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Изменять требование к проекту или продукту можно на всех этапах его работы.</w:t>
      </w:r>
    </w:p>
    <w:p w14:paraId="713CAF3D" w14:textId="77777777" w:rsidR="00D57900" w:rsidRPr="00D57900" w:rsidRDefault="00D57900" w:rsidP="00AD58CD">
      <w:pPr>
        <w:numPr>
          <w:ilvl w:val="0"/>
          <w:numId w:val="128"/>
        </w:numPr>
        <w:shd w:val="clear" w:color="auto" w:fill="FFFFFF"/>
        <w:spacing w:after="0" w:line="240" w:lineRule="auto"/>
        <w:ind w:left="0" w:firstLine="720"/>
        <w:contextualSpacing/>
        <w:jc w:val="both"/>
        <w:textAlignment w:val="baseline"/>
        <w:rPr>
          <w:rFonts w:ascii="Times New Roman" w:eastAsia="Calibri" w:hAnsi="Times New Roman" w:cs="Times New Roman"/>
          <w:sz w:val="32"/>
          <w:szCs w:val="32"/>
        </w:rPr>
      </w:pPr>
      <w:r w:rsidRPr="00D57900">
        <w:rPr>
          <w:rFonts w:ascii="Times New Roman" w:eastAsia="Calibri" w:hAnsi="Times New Roman" w:cs="Times New Roman"/>
          <w:sz w:val="32"/>
          <w:szCs w:val="32"/>
        </w:rPr>
        <w:t>Для эффективной обратной связи от клиента следует презентовать промежуточные этапы разработки продукта с небольшой периодичностью.</w:t>
      </w:r>
    </w:p>
    <w:p w14:paraId="401BAB60" w14:textId="77777777" w:rsidR="00D57900" w:rsidRPr="00D57900" w:rsidRDefault="00D57900" w:rsidP="00AD58CD">
      <w:pPr>
        <w:numPr>
          <w:ilvl w:val="0"/>
          <w:numId w:val="128"/>
        </w:numPr>
        <w:shd w:val="clear" w:color="auto" w:fill="FFFFFF"/>
        <w:spacing w:after="0" w:line="240" w:lineRule="auto"/>
        <w:ind w:left="0" w:firstLine="720"/>
        <w:contextualSpacing/>
        <w:jc w:val="both"/>
        <w:textAlignment w:val="baseline"/>
        <w:rPr>
          <w:rFonts w:ascii="Times New Roman" w:eastAsia="Times New Roman" w:hAnsi="Times New Roman" w:cs="Times New Roman"/>
          <w:color w:val="000000"/>
          <w:sz w:val="32"/>
          <w:szCs w:val="24"/>
          <w:lang w:eastAsia="ru-RU"/>
        </w:rPr>
      </w:pPr>
      <w:r w:rsidRPr="00D57900">
        <w:rPr>
          <w:rFonts w:ascii="Times New Roman" w:eastAsia="Times New Roman" w:hAnsi="Times New Roman" w:cs="Times New Roman"/>
          <w:color w:val="000000"/>
          <w:sz w:val="32"/>
          <w:szCs w:val="24"/>
          <w:lang w:eastAsia="ru-RU"/>
        </w:rPr>
        <w:t>Качество проекта зависит от квалификации специалистов, предоставив им хорошие условия для работы.</w:t>
      </w:r>
    </w:p>
    <w:p w14:paraId="008A513A" w14:textId="77777777" w:rsidR="00D57900" w:rsidRPr="00D57900" w:rsidRDefault="00D57900" w:rsidP="00AD58CD">
      <w:pPr>
        <w:numPr>
          <w:ilvl w:val="0"/>
          <w:numId w:val="128"/>
        </w:numPr>
        <w:shd w:val="clear" w:color="auto" w:fill="FFFFFF"/>
        <w:spacing w:after="0" w:line="240" w:lineRule="auto"/>
        <w:ind w:left="0" w:firstLine="720"/>
        <w:contextualSpacing/>
        <w:jc w:val="both"/>
        <w:textAlignment w:val="baseline"/>
        <w:rPr>
          <w:rFonts w:ascii="Times New Roman" w:eastAsia="Times New Roman" w:hAnsi="Times New Roman" w:cs="Times New Roman"/>
          <w:color w:val="000000"/>
          <w:sz w:val="32"/>
          <w:szCs w:val="24"/>
          <w:lang w:eastAsia="ru-RU"/>
        </w:rPr>
      </w:pPr>
      <w:r w:rsidRPr="00D57900">
        <w:rPr>
          <w:rFonts w:ascii="Times New Roman" w:eastAsia="Times New Roman" w:hAnsi="Times New Roman" w:cs="Times New Roman"/>
          <w:color w:val="000000"/>
          <w:sz w:val="32"/>
          <w:szCs w:val="24"/>
          <w:lang w:eastAsia="ru-RU"/>
        </w:rPr>
        <w:t>Непосредственное общение друг с другом в команде является успешным средством для обмена информации.</w:t>
      </w:r>
    </w:p>
    <w:p w14:paraId="555ADF42" w14:textId="77777777" w:rsidR="00D57900" w:rsidRPr="00D57900" w:rsidRDefault="00D57900" w:rsidP="00AD58CD">
      <w:pPr>
        <w:numPr>
          <w:ilvl w:val="0"/>
          <w:numId w:val="128"/>
        </w:numPr>
        <w:shd w:val="clear" w:color="auto" w:fill="FFFFFF"/>
        <w:spacing w:after="0" w:line="240" w:lineRule="auto"/>
        <w:ind w:left="0" w:firstLine="709"/>
        <w:contextualSpacing/>
        <w:jc w:val="both"/>
        <w:textAlignment w:val="baseline"/>
        <w:rPr>
          <w:rFonts w:ascii="Times New Roman" w:eastAsia="Times New Roman" w:hAnsi="Times New Roman" w:cs="Times New Roman"/>
          <w:color w:val="000000"/>
          <w:sz w:val="32"/>
          <w:szCs w:val="24"/>
          <w:lang w:eastAsia="ru-RU"/>
        </w:rPr>
      </w:pPr>
      <w:r w:rsidRPr="00D57900">
        <w:rPr>
          <w:rFonts w:ascii="Times New Roman" w:eastAsia="Times New Roman" w:hAnsi="Times New Roman" w:cs="Times New Roman"/>
          <w:color w:val="000000"/>
          <w:sz w:val="32"/>
          <w:szCs w:val="24"/>
          <w:lang w:eastAsia="ru-RU"/>
        </w:rPr>
        <w:t>Чтобы увеличить адаптивность проекта, нужно усердно работать над его технической частью. [1]</w:t>
      </w:r>
    </w:p>
    <w:p w14:paraId="1A33C1DE" w14:textId="77777777" w:rsidR="00D57900" w:rsidRPr="00D57900" w:rsidRDefault="00D57900" w:rsidP="00D57900">
      <w:pPr>
        <w:spacing w:after="0" w:line="240" w:lineRule="auto"/>
        <w:ind w:firstLine="720"/>
        <w:jc w:val="both"/>
        <w:rPr>
          <w:rFonts w:ascii="Times New Roman" w:eastAsia="Times New Roman" w:hAnsi="Times New Roman" w:cs="Times New Roman"/>
          <w:color w:val="000000"/>
          <w:sz w:val="32"/>
          <w:szCs w:val="24"/>
          <w:lang w:eastAsia="ru-RU"/>
        </w:rPr>
      </w:pPr>
      <w:r w:rsidRPr="00D57900">
        <w:rPr>
          <w:rFonts w:ascii="Times New Roman" w:eastAsia="Calibri" w:hAnsi="Times New Roman" w:cs="Times New Roman"/>
          <w:sz w:val="32"/>
          <w:szCs w:val="32"/>
        </w:rPr>
        <w:t xml:space="preserve">Существуют несколько методологий гибкого подхода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 которые помогут повысить продуктивность работы – это </w:t>
      </w:r>
      <w:r w:rsidRPr="00D57900">
        <w:rPr>
          <w:rFonts w:ascii="Times New Roman" w:eastAsia="Calibri" w:hAnsi="Times New Roman" w:cs="Times New Roman"/>
          <w:sz w:val="32"/>
          <w:szCs w:val="32"/>
          <w:lang w:val="en-US"/>
        </w:rPr>
        <w:t>Scrum</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Kanban</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Lean</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Extreme</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Programming</w:t>
      </w:r>
      <w:r w:rsidRPr="00D57900">
        <w:rPr>
          <w:rFonts w:ascii="Times New Roman" w:eastAsia="Calibri" w:hAnsi="Times New Roman" w:cs="Times New Roman"/>
          <w:sz w:val="32"/>
          <w:szCs w:val="32"/>
        </w:rPr>
        <w:t xml:space="preserve"> (</w:t>
      </w:r>
      <w:r w:rsidRPr="00D57900">
        <w:rPr>
          <w:rFonts w:ascii="Times New Roman" w:eastAsia="Calibri" w:hAnsi="Times New Roman" w:cs="Times New Roman"/>
          <w:sz w:val="32"/>
          <w:szCs w:val="32"/>
          <w:lang w:val="en-US"/>
        </w:rPr>
        <w:t>XP</w:t>
      </w:r>
      <w:r w:rsidRPr="00D57900">
        <w:rPr>
          <w:rFonts w:ascii="Times New Roman" w:eastAsia="Calibri" w:hAnsi="Times New Roman" w:cs="Times New Roman"/>
          <w:sz w:val="32"/>
          <w:szCs w:val="32"/>
        </w:rPr>
        <w:t>). Рассмотрим характеристику самых популярных из них:</w:t>
      </w:r>
    </w:p>
    <w:p w14:paraId="4EA12D40" w14:textId="77777777" w:rsidR="00D57900" w:rsidRPr="00D57900" w:rsidRDefault="00D57900" w:rsidP="00D57900">
      <w:pPr>
        <w:spacing w:after="0" w:line="240" w:lineRule="auto"/>
        <w:ind w:firstLine="720"/>
        <w:jc w:val="both"/>
        <w:rPr>
          <w:rFonts w:ascii="Times New Roman" w:eastAsia="Calibri" w:hAnsi="Times New Roman" w:cs="Times New Roman"/>
          <w:sz w:val="32"/>
          <w:szCs w:val="32"/>
        </w:rPr>
      </w:pPr>
      <w:r w:rsidRPr="00D57900">
        <w:rPr>
          <w:rFonts w:ascii="Times New Roman" w:eastAsia="Calibri" w:hAnsi="Times New Roman" w:cs="Times New Roman"/>
          <w:bCs/>
          <w:sz w:val="32"/>
          <w:szCs w:val="32"/>
        </w:rPr>
        <w:t>Scrum</w:t>
      </w:r>
      <w:r w:rsidRPr="00D57900">
        <w:rPr>
          <w:rFonts w:ascii="Times New Roman" w:eastAsia="Calibri" w:hAnsi="Times New Roman" w:cs="Times New Roman"/>
          <w:b/>
          <w:bCs/>
          <w:sz w:val="32"/>
          <w:szCs w:val="32"/>
        </w:rPr>
        <w:t xml:space="preserve"> – </w:t>
      </w:r>
      <w:r w:rsidRPr="00D57900">
        <w:rPr>
          <w:rFonts w:ascii="Times New Roman" w:eastAsia="Calibri" w:hAnsi="Times New Roman" w:cs="Times New Roman"/>
          <w:sz w:val="32"/>
          <w:szCs w:val="32"/>
        </w:rPr>
        <w:t xml:space="preserve">методология, которая чаще всего применяется в разработке программного обеспечения. Проект делится на временные промежутки, называемые спринтами, в течение которых команда поэтапно создает продукт. Работа в методологии </w:t>
      </w:r>
      <w:r w:rsidRPr="00D57900">
        <w:rPr>
          <w:rFonts w:ascii="Times New Roman" w:eastAsia="Calibri" w:hAnsi="Times New Roman" w:cs="Times New Roman"/>
          <w:sz w:val="32"/>
          <w:szCs w:val="32"/>
          <w:lang w:val="en-US"/>
        </w:rPr>
        <w:t>Scrum</w:t>
      </w:r>
      <w:r w:rsidRPr="00D57900">
        <w:rPr>
          <w:rFonts w:ascii="Times New Roman" w:eastAsia="Calibri" w:hAnsi="Times New Roman" w:cs="Times New Roman"/>
          <w:sz w:val="32"/>
          <w:szCs w:val="32"/>
        </w:rPr>
        <w:t xml:space="preserve"> проходит по следующим принципам:</w:t>
      </w:r>
    </w:p>
    <w:p w14:paraId="1851D4A8" w14:textId="77777777" w:rsidR="00D57900" w:rsidRPr="00D57900" w:rsidRDefault="00D57900" w:rsidP="00AD58CD">
      <w:pPr>
        <w:numPr>
          <w:ilvl w:val="0"/>
          <w:numId w:val="129"/>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Прозрачность. Методология дает всем участникам проекта возможность получить информацию о проекте и его данные.</w:t>
      </w:r>
    </w:p>
    <w:p w14:paraId="1657F3CC" w14:textId="77777777" w:rsidR="00D57900" w:rsidRPr="00D57900" w:rsidRDefault="00D57900" w:rsidP="00AD58CD">
      <w:pPr>
        <w:numPr>
          <w:ilvl w:val="0"/>
          <w:numId w:val="129"/>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Изменчивость. Характер работы, специализацию можно изменять в любой момент, и эти изменения не повлияют на результат проекта.</w:t>
      </w:r>
    </w:p>
    <w:p w14:paraId="47308684" w14:textId="77777777" w:rsidR="00D57900" w:rsidRPr="00D57900" w:rsidRDefault="00D57900" w:rsidP="00AD58CD">
      <w:pPr>
        <w:numPr>
          <w:ilvl w:val="0"/>
          <w:numId w:val="129"/>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bCs/>
          <w:sz w:val="32"/>
          <w:szCs w:val="32"/>
        </w:rPr>
        <w:t>Развитие</w:t>
      </w:r>
      <w:r w:rsidRPr="00D57900">
        <w:rPr>
          <w:rFonts w:ascii="Times New Roman" w:eastAsia="Calibri" w:hAnsi="Times New Roman" w:cs="Times New Roman"/>
          <w:b/>
          <w:bCs/>
          <w:sz w:val="32"/>
          <w:szCs w:val="32"/>
        </w:rPr>
        <w:t>.</w:t>
      </w:r>
      <w:r w:rsidRPr="00D57900">
        <w:rPr>
          <w:rFonts w:ascii="Times New Roman" w:eastAsia="Calibri" w:hAnsi="Times New Roman" w:cs="Times New Roman"/>
          <w:sz w:val="32"/>
          <w:szCs w:val="32"/>
        </w:rPr>
        <w:t xml:space="preserve"> Команда стремится развивать продукта, постоянно совершенствуя методов работы.</w:t>
      </w:r>
    </w:p>
    <w:p w14:paraId="2BA552A4"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Методология </w:t>
      </w:r>
      <w:r w:rsidRPr="00D57900">
        <w:rPr>
          <w:rFonts w:ascii="Times New Roman" w:eastAsia="Calibri" w:hAnsi="Times New Roman" w:cs="Times New Roman"/>
          <w:sz w:val="32"/>
          <w:szCs w:val="32"/>
          <w:lang w:val="en-US"/>
        </w:rPr>
        <w:t>Scrum</w:t>
      </w:r>
      <w:r w:rsidRPr="00D57900">
        <w:rPr>
          <w:rFonts w:ascii="Times New Roman" w:eastAsia="Calibri" w:hAnsi="Times New Roman" w:cs="Times New Roman"/>
          <w:sz w:val="32"/>
          <w:szCs w:val="32"/>
        </w:rPr>
        <w:t xml:space="preserve"> подходит для команд, которые имеют возможность самостоятельно разрабатывать проект и оптимизировать свои рабочие процессы.</w:t>
      </w:r>
    </w:p>
    <w:p w14:paraId="00602B82"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Вторая по популярности методология семейства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 – это </w:t>
      </w:r>
      <w:r w:rsidRPr="00D57900">
        <w:rPr>
          <w:rFonts w:ascii="Times New Roman" w:eastAsia="Calibri" w:hAnsi="Times New Roman" w:cs="Times New Roman"/>
          <w:sz w:val="32"/>
          <w:szCs w:val="32"/>
          <w:lang w:val="en-US"/>
        </w:rPr>
        <w:t>Kanban</w:t>
      </w:r>
      <w:r w:rsidRPr="00D57900">
        <w:rPr>
          <w:rFonts w:ascii="Times New Roman" w:eastAsia="Calibri" w:hAnsi="Times New Roman" w:cs="Times New Roman"/>
          <w:sz w:val="32"/>
          <w:szCs w:val="32"/>
        </w:rPr>
        <w:t xml:space="preserve">. В отличие от </w:t>
      </w:r>
      <w:r w:rsidRPr="00D57900">
        <w:rPr>
          <w:rFonts w:ascii="Times New Roman" w:eastAsia="Calibri" w:hAnsi="Times New Roman" w:cs="Times New Roman"/>
          <w:sz w:val="32"/>
          <w:szCs w:val="32"/>
          <w:lang w:val="en-US"/>
        </w:rPr>
        <w:t>Scrum</w:t>
      </w:r>
      <w:r w:rsidRPr="00D57900">
        <w:rPr>
          <w:rFonts w:ascii="Times New Roman" w:eastAsia="Calibri" w:hAnsi="Times New Roman" w:cs="Times New Roman"/>
          <w:sz w:val="32"/>
          <w:szCs w:val="32"/>
        </w:rPr>
        <w:t>, она характеризуется определенным набором отличительных признаков:</w:t>
      </w:r>
    </w:p>
    <w:p w14:paraId="0471CA1C" w14:textId="77777777" w:rsidR="00D57900" w:rsidRPr="00D57900" w:rsidRDefault="00D57900" w:rsidP="00AD58CD">
      <w:pPr>
        <w:numPr>
          <w:ilvl w:val="0"/>
          <w:numId w:val="130"/>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Отслеживание прогресса задач на разных этапах разработки проекта.</w:t>
      </w:r>
    </w:p>
    <w:p w14:paraId="1C634A46" w14:textId="77777777" w:rsidR="00D57900" w:rsidRPr="00D57900" w:rsidRDefault="00D57900" w:rsidP="00AD58CD">
      <w:pPr>
        <w:numPr>
          <w:ilvl w:val="0"/>
          <w:numId w:val="130"/>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lastRenderedPageBreak/>
        <w:t>Чтобы работа над проектом была эффективной, нужно установить ограничения на количество задач, которые выполняются командой одновременно.</w:t>
      </w:r>
    </w:p>
    <w:p w14:paraId="282526D3" w14:textId="77777777" w:rsidR="00D57900" w:rsidRPr="00D57900" w:rsidRDefault="00D57900" w:rsidP="00AD58CD">
      <w:pPr>
        <w:numPr>
          <w:ilvl w:val="0"/>
          <w:numId w:val="130"/>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Регулярный мониторинг и измерение ключевых факторов продуктивности команды.</w:t>
      </w:r>
    </w:p>
    <w:p w14:paraId="344F3393"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Kanban отличается от методологии Scrum отсутствием фиксированных спринтов и направлен на непрерывность работы. Также в методологии Kanban нет строгой системы распределения ролей в команде, и даже лидер может быть неофициальным. Методология позволяет вносить изменения в планировании спринта в любой момент.</w:t>
      </w:r>
    </w:p>
    <w:p w14:paraId="5D7A5219"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На основе этого можно сделать вывод, что методология Kanban подходит для команд, которым важна гибкость и прозрачность, а для проектов, которым требуется систематизированный подход с четкими временными отрезками и ролями в команде, подходит методология. [2]</w:t>
      </w:r>
    </w:p>
    <w:p w14:paraId="38AC7A69" w14:textId="70ADD121"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Далее проанализируем, какие достоинства и недостатки есть у методологии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Они представлены в Таблице 1.</w:t>
      </w:r>
    </w:p>
    <w:p w14:paraId="4BE0F0E6"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p>
    <w:p w14:paraId="0F8690D5" w14:textId="77777777" w:rsidR="00D57900" w:rsidRPr="00D57900" w:rsidRDefault="00D57900" w:rsidP="00D57900">
      <w:pPr>
        <w:spacing w:after="0" w:line="240" w:lineRule="auto"/>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 xml:space="preserve">Таблица 1 – Преимущества и недостатки </w:t>
      </w:r>
      <w:r w:rsidRPr="00D57900">
        <w:rPr>
          <w:rFonts w:ascii="Times New Roman" w:eastAsia="Calibri" w:hAnsi="Times New Roman" w:cs="Times New Roman"/>
          <w:sz w:val="28"/>
          <w:szCs w:val="28"/>
          <w:lang w:val="en-US"/>
        </w:rPr>
        <w:t>Agile</w:t>
      </w:r>
    </w:p>
    <w:tbl>
      <w:tblPr>
        <w:tblStyle w:val="a9"/>
        <w:tblW w:w="0" w:type="auto"/>
        <w:tblLook w:val="04A0" w:firstRow="1" w:lastRow="0" w:firstColumn="1" w:lastColumn="0" w:noHBand="0" w:noVBand="1"/>
      </w:tblPr>
      <w:tblGrid>
        <w:gridCol w:w="4672"/>
        <w:gridCol w:w="4673"/>
      </w:tblGrid>
      <w:tr w:rsidR="00D57900" w:rsidRPr="00D57900" w14:paraId="428C3458" w14:textId="77777777" w:rsidTr="00EB1CB9">
        <w:tc>
          <w:tcPr>
            <w:tcW w:w="4672" w:type="dxa"/>
          </w:tcPr>
          <w:p w14:paraId="386EF6B9"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Преимущества</w:t>
            </w:r>
          </w:p>
        </w:tc>
        <w:tc>
          <w:tcPr>
            <w:tcW w:w="4673" w:type="dxa"/>
          </w:tcPr>
          <w:p w14:paraId="13FBEBA7"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Недостатки</w:t>
            </w:r>
          </w:p>
        </w:tc>
      </w:tr>
      <w:tr w:rsidR="00D57900" w:rsidRPr="00D57900" w14:paraId="39435AEE" w14:textId="77777777" w:rsidTr="00EB1CB9">
        <w:tc>
          <w:tcPr>
            <w:tcW w:w="4672" w:type="dxa"/>
          </w:tcPr>
          <w:p w14:paraId="17C0E32C"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 xml:space="preserve">Прозрачность </w:t>
            </w:r>
          </w:p>
        </w:tc>
        <w:tc>
          <w:tcPr>
            <w:tcW w:w="4673" w:type="dxa"/>
          </w:tcPr>
          <w:p w14:paraId="5DD7C23C"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Отсутствие иерархической структуры.</w:t>
            </w:r>
          </w:p>
        </w:tc>
      </w:tr>
      <w:tr w:rsidR="00D57900" w:rsidRPr="00D57900" w14:paraId="129504EE" w14:textId="77777777" w:rsidTr="00EB1CB9">
        <w:tc>
          <w:tcPr>
            <w:tcW w:w="4672" w:type="dxa"/>
          </w:tcPr>
          <w:p w14:paraId="68041BD9" w14:textId="77777777" w:rsidR="00D57900" w:rsidRPr="00D57900" w:rsidRDefault="00D57900" w:rsidP="00D57900">
            <w:pPr>
              <w:tabs>
                <w:tab w:val="left" w:pos="1008"/>
              </w:tabs>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Большая вероятность успеха. Каждый этап разработки приводит к готовому продукту, который будет постепенно совершенствоваться.</w:t>
            </w:r>
          </w:p>
        </w:tc>
        <w:tc>
          <w:tcPr>
            <w:tcW w:w="4673" w:type="dxa"/>
          </w:tcPr>
          <w:p w14:paraId="00AD474D"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 xml:space="preserve">Эффективность Agile-подхода зависит от способности сотрудников к самоорганизации. </w:t>
            </w:r>
          </w:p>
        </w:tc>
      </w:tr>
      <w:tr w:rsidR="00D57900" w:rsidRPr="00D57900" w14:paraId="3D454F76" w14:textId="77777777" w:rsidTr="00EB1CB9">
        <w:tc>
          <w:tcPr>
            <w:tcW w:w="4672" w:type="dxa"/>
          </w:tcPr>
          <w:p w14:paraId="39F8DD65"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Agile-методология обеспечивает более четкое планирование и контроль над проектами, благодаря фиксированным срокам и бюджету.</w:t>
            </w:r>
          </w:p>
        </w:tc>
        <w:tc>
          <w:tcPr>
            <w:tcW w:w="4673" w:type="dxa"/>
          </w:tcPr>
          <w:p w14:paraId="1B523EF0"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Масштабная реорганизация процессов, требующая изменения корпоративной культуры и подходов к управлению. Это сложный и длительный процесс, требующий активной поддержки руководства и вовлеченности всех сотрудников.</w:t>
            </w:r>
          </w:p>
        </w:tc>
      </w:tr>
      <w:tr w:rsidR="00D57900" w:rsidRPr="00D57900" w14:paraId="762EC241" w14:textId="77777777" w:rsidTr="00EB1CB9">
        <w:tc>
          <w:tcPr>
            <w:tcW w:w="4672" w:type="dxa"/>
          </w:tcPr>
          <w:p w14:paraId="27062647"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Возможность выводить на рынок эксклюзивные продукты</w:t>
            </w:r>
          </w:p>
        </w:tc>
        <w:tc>
          <w:tcPr>
            <w:tcW w:w="4673" w:type="dxa"/>
          </w:tcPr>
          <w:p w14:paraId="31F7456A" w14:textId="77777777" w:rsidR="00D57900" w:rsidRPr="00D57900" w:rsidRDefault="00D57900" w:rsidP="00D57900">
            <w:pPr>
              <w:jc w:val="both"/>
              <w:rPr>
                <w:rFonts w:ascii="Times New Roman" w:eastAsia="Calibri" w:hAnsi="Times New Roman" w:cs="Times New Roman"/>
                <w:sz w:val="28"/>
                <w:szCs w:val="28"/>
              </w:rPr>
            </w:pPr>
          </w:p>
        </w:tc>
      </w:tr>
      <w:tr w:rsidR="00D57900" w:rsidRPr="00D57900" w14:paraId="39C72825" w14:textId="77777777" w:rsidTr="00EB1CB9">
        <w:trPr>
          <w:trHeight w:val="538"/>
        </w:trPr>
        <w:tc>
          <w:tcPr>
            <w:tcW w:w="4672" w:type="dxa"/>
          </w:tcPr>
          <w:p w14:paraId="7ADF3424" w14:textId="77777777" w:rsidR="00D57900" w:rsidRPr="00D57900" w:rsidRDefault="00D57900" w:rsidP="00D57900">
            <w:pPr>
              <w:jc w:val="both"/>
              <w:rPr>
                <w:rFonts w:ascii="Times New Roman" w:eastAsia="Calibri" w:hAnsi="Times New Roman" w:cs="Times New Roman"/>
                <w:sz w:val="28"/>
                <w:szCs w:val="28"/>
              </w:rPr>
            </w:pPr>
            <w:r w:rsidRPr="00D57900">
              <w:rPr>
                <w:rFonts w:ascii="Times New Roman" w:eastAsia="Calibri" w:hAnsi="Times New Roman" w:cs="Times New Roman"/>
                <w:sz w:val="28"/>
                <w:szCs w:val="28"/>
              </w:rPr>
              <w:t>Универсальность</w:t>
            </w:r>
          </w:p>
        </w:tc>
        <w:tc>
          <w:tcPr>
            <w:tcW w:w="4673" w:type="dxa"/>
          </w:tcPr>
          <w:p w14:paraId="5FE04515" w14:textId="77777777" w:rsidR="00D57900" w:rsidRPr="00D57900" w:rsidRDefault="00D57900" w:rsidP="00D57900">
            <w:pPr>
              <w:jc w:val="both"/>
              <w:rPr>
                <w:rFonts w:ascii="Times New Roman" w:eastAsia="Calibri" w:hAnsi="Times New Roman" w:cs="Times New Roman"/>
                <w:sz w:val="28"/>
                <w:szCs w:val="28"/>
              </w:rPr>
            </w:pPr>
          </w:p>
        </w:tc>
      </w:tr>
    </w:tbl>
    <w:p w14:paraId="285BF466"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p>
    <w:p w14:paraId="6ABBC88A" w14:textId="77777777" w:rsidR="00D57900" w:rsidRPr="00D57900" w:rsidRDefault="00D57900" w:rsidP="00D57900">
      <w:pPr>
        <w:spacing w:after="0" w:line="240" w:lineRule="auto"/>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Для роста прозрачности информации о проекте, а также для улучшения обмена информации внутри команды, существуют методы, которые реализуются с помощью методологии Agile:</w:t>
      </w:r>
    </w:p>
    <w:p w14:paraId="41094E05" w14:textId="77777777" w:rsidR="00D57900" w:rsidRPr="00D57900" w:rsidRDefault="00D57900" w:rsidP="00AD58CD">
      <w:pPr>
        <w:numPr>
          <w:ilvl w:val="0"/>
          <w:numId w:val="131"/>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lastRenderedPageBreak/>
        <w:t>Ежедневные короткие встречи, на которых команда обсуждают текущие цели и задачи для выявления ошибок и проблем в работе.</w:t>
      </w:r>
    </w:p>
    <w:p w14:paraId="1D02E146" w14:textId="77777777" w:rsidR="00D57900" w:rsidRPr="00D57900" w:rsidRDefault="00D57900" w:rsidP="00AD58CD">
      <w:pPr>
        <w:numPr>
          <w:ilvl w:val="0"/>
          <w:numId w:val="131"/>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Демонстрация готовых частей продукта заказчику – это способ предоставить отчетность клиенту, заслужить его доверие и убедиться в том, что продукт удовлетворяет потребности заказчика.</w:t>
      </w:r>
    </w:p>
    <w:p w14:paraId="1288EA89" w14:textId="77777777" w:rsidR="00D57900" w:rsidRPr="00D57900" w:rsidRDefault="00D57900" w:rsidP="00AD58CD">
      <w:pPr>
        <w:numPr>
          <w:ilvl w:val="0"/>
          <w:numId w:val="131"/>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Совещание с командой прошедшего спринта с целью выявления успешных этапов работы и областей для оптимизации.</w:t>
      </w:r>
    </w:p>
    <w:p w14:paraId="299A54C6" w14:textId="77777777" w:rsidR="00D57900" w:rsidRPr="00D57900" w:rsidRDefault="00D57900" w:rsidP="00AD58CD">
      <w:pPr>
        <w:numPr>
          <w:ilvl w:val="0"/>
          <w:numId w:val="131"/>
        </w:numPr>
        <w:spacing w:after="0" w:line="240" w:lineRule="auto"/>
        <w:ind w:left="0"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Визуальное представление работы, с помощью канбан-досок и графиков, для наглядного изображения хода разработки проекта. [3]</w:t>
      </w:r>
    </w:p>
    <w:p w14:paraId="20B302F4" w14:textId="77777777" w:rsidR="00D57900" w:rsidRPr="00D57900" w:rsidRDefault="00D57900" w:rsidP="00D57900">
      <w:pPr>
        <w:spacing w:after="0" w:line="240" w:lineRule="auto"/>
        <w:ind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В Agile-методологии делается упор на эффективную коммуникацию и тесное сотрудничество, что приводит к интенсивному росту производительности работы команды. Благодаря использованию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-методологий, некоторые российские ИТ-компании смогли улучшить свою внутреннюю коммуникацию и повысить скорость работы и адаптивность к изменяющимся требованиям рынка. </w:t>
      </w:r>
    </w:p>
    <w:p w14:paraId="0E850803" w14:textId="77777777" w:rsidR="00D57900" w:rsidRPr="00D57900" w:rsidRDefault="00D57900" w:rsidP="00D57900">
      <w:pPr>
        <w:spacing w:after="0" w:line="240" w:lineRule="auto"/>
        <w:ind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Так, например, финтех-компания «Профи.Лаб» начала трансформацию HR-сервиса с применением agile-подходов с помощью компании «On</w:t>
      </w:r>
      <w:r w:rsidRPr="00D57900">
        <w:rPr>
          <w:rFonts w:ascii="Times New Roman" w:eastAsia="Calibri" w:hAnsi="Times New Roman" w:cs="Times New Roman"/>
          <w:bCs/>
          <w:sz w:val="32"/>
          <w:szCs w:val="32"/>
        </w:rPr>
        <w:t>Agile</w:t>
      </w:r>
      <w:r w:rsidRPr="00D57900">
        <w:rPr>
          <w:rFonts w:ascii="Times New Roman" w:eastAsia="Calibri" w:hAnsi="Times New Roman" w:cs="Times New Roman"/>
          <w:sz w:val="32"/>
          <w:szCs w:val="32"/>
        </w:rPr>
        <w:t> Consulting», и спустя 3 месяца более чем в 2 раза повысила эффективность процесса найма.</w:t>
      </w:r>
    </w:p>
    <w:p w14:paraId="20910580"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Около года компания внедряет Agile-подход в работе продуктовых команд, и в конце 2020 началась трансформация HR-сервиса. Основанием стало отсутствие прозрачности в процессе найма сотрудников. Некоторые вакансии могли закрываться до полугода, и было сложно понять, чем вызвана проблема.</w:t>
      </w:r>
    </w:p>
    <w:p w14:paraId="768CD1FE"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Решение, которое предложила компания «On</w:t>
      </w:r>
      <w:r w:rsidRPr="00D57900">
        <w:rPr>
          <w:rFonts w:ascii="Times New Roman" w:eastAsia="Calibri" w:hAnsi="Times New Roman" w:cs="Times New Roman"/>
          <w:bCs/>
          <w:sz w:val="32"/>
          <w:szCs w:val="32"/>
        </w:rPr>
        <w:t>Agile</w:t>
      </w:r>
      <w:r w:rsidRPr="00D57900">
        <w:rPr>
          <w:rFonts w:ascii="Times New Roman" w:eastAsia="Calibri" w:hAnsi="Times New Roman" w:cs="Times New Roman"/>
          <w:sz w:val="32"/>
          <w:szCs w:val="32"/>
        </w:rPr>
        <w:t xml:space="preserve"> Consulting» </w:t>
      </w:r>
      <w:proofErr w:type="gramStart"/>
      <w:r w:rsidRPr="00D57900">
        <w:rPr>
          <w:rFonts w:ascii="Times New Roman" w:eastAsia="Calibri" w:hAnsi="Times New Roman" w:cs="Times New Roman"/>
          <w:sz w:val="32"/>
          <w:szCs w:val="32"/>
        </w:rPr>
        <w:t>- это</w:t>
      </w:r>
      <w:proofErr w:type="gramEnd"/>
      <w:r w:rsidRPr="00D57900">
        <w:rPr>
          <w:rFonts w:ascii="Times New Roman" w:eastAsia="Calibri" w:hAnsi="Times New Roman" w:cs="Times New Roman"/>
          <w:sz w:val="32"/>
          <w:szCs w:val="32"/>
        </w:rPr>
        <w:t xml:space="preserve"> внедрение </w:t>
      </w:r>
      <w:r w:rsidRPr="00D57900">
        <w:rPr>
          <w:rFonts w:ascii="Times New Roman" w:eastAsia="Calibri" w:hAnsi="Times New Roman" w:cs="Times New Roman"/>
          <w:sz w:val="32"/>
          <w:szCs w:val="32"/>
          <w:lang w:val="en-US"/>
        </w:rPr>
        <w:t>Kanban</w:t>
      </w:r>
      <w:r w:rsidRPr="00D57900">
        <w:rPr>
          <w:rFonts w:ascii="Times New Roman" w:eastAsia="Calibri" w:hAnsi="Times New Roman" w:cs="Times New Roman"/>
          <w:sz w:val="32"/>
          <w:szCs w:val="32"/>
        </w:rPr>
        <w:t>-доски и внесение актуальных данных по открытым вакансиям и список кандидатов, чтобы повысить эффективность отбора кандидатов и внедрить метрики для отслеживания данных по вакансиям.</w:t>
      </w:r>
    </w:p>
    <w:p w14:paraId="1360FCF4"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Таким решением, компания «Профи.Лаб» добилась сокращения нагрузки на команду, выявления процессных проблем и роста скорости закрытия вакансий в 2 раза. </w:t>
      </w:r>
    </w:p>
    <w:p w14:paraId="0AD4E3E7"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С целью улучшения внутренней коммуникации, компания «МТС» внедрила Agile-методологию. Были созданы небольшие, независимые команды, которые смогли быстро адаптироваться к </w:t>
      </w:r>
      <w:r w:rsidRPr="00D57900">
        <w:rPr>
          <w:rFonts w:ascii="Times New Roman" w:eastAsia="Calibri" w:hAnsi="Times New Roman" w:cs="Times New Roman"/>
          <w:sz w:val="32"/>
          <w:szCs w:val="32"/>
        </w:rPr>
        <w:lastRenderedPageBreak/>
        <w:t>новым требованиям. Это позволило «МТС» значительно сократить сроки выпуска MVP до трех месяцев и улучшить клиентский сервис.</w:t>
      </w:r>
    </w:p>
    <w:p w14:paraId="2437BE6E"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Компания «Сбер» совершила масштабную Agile-трансформацию, чтобы выйти из обычных рамок стандартного банковской сферы. До этого, запуск проектов был медленным: от полугода на планирование и до двух лет на реализацию. Компания к 2018 году полностью перешел на Agile, используя модель Spotify и Scrum. Столкнувшись с отсутствием подходящего, «Сбер» создал собственную методологию Sbergile, объединив элементы Scrum и Kanban. В 2020 году была запущена версия Sbergile 4.0, охватившая все продукты и экосистему «Сбера», что сделало эту трансформацию одной из самых масштабных в мире. В результате, «Сбер» смог в семь раз ускорить разработку продуктов и в четыре раза ускорить их внедрение. [4]</w:t>
      </w:r>
    </w:p>
    <w:p w14:paraId="09914D91"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Изучим, как Agile повлиял на мотивацию команд, основываясь на опыте рядовых сотрудников в России (разработчиков, тестировщиков, ИТ-инженеров, аналитиков и других специалистов) в период с 2017 по 2020 год. Анализ будет проведен на основе 384 ответов, полученных от этой группы респондентов. Опрос был проведен компанией «</w:t>
      </w:r>
      <w:r w:rsidRPr="00D57900">
        <w:rPr>
          <w:rFonts w:ascii="Times New Roman" w:eastAsia="Calibri" w:hAnsi="Times New Roman" w:cs="Times New Roman"/>
          <w:sz w:val="32"/>
          <w:szCs w:val="32"/>
          <w:lang w:val="en-US"/>
        </w:rPr>
        <w:t>ScrumTrek</w:t>
      </w:r>
      <w:r w:rsidRPr="00D57900">
        <w:rPr>
          <w:rFonts w:ascii="Times New Roman" w:eastAsia="Calibri" w:hAnsi="Times New Roman" w:cs="Times New Roman"/>
          <w:sz w:val="32"/>
          <w:szCs w:val="32"/>
        </w:rPr>
        <w:t>»</w:t>
      </w:r>
      <w:r w:rsidRPr="00D57900">
        <w:rPr>
          <w:rFonts w:ascii="Times New Roman" w:eastAsia="Calibri" w:hAnsi="Times New Roman" w:cs="Times New Roman"/>
          <w:sz w:val="32"/>
          <w:szCs w:val="32"/>
          <w:lang w:val="en-US"/>
        </w:rPr>
        <w:t>. [5]</w:t>
      </w:r>
      <w:r w:rsidRPr="00D57900">
        <w:rPr>
          <w:rFonts w:ascii="Times New Roman" w:eastAsia="Calibri" w:hAnsi="Times New Roman" w:cs="Times New Roman"/>
          <w:sz w:val="32"/>
          <w:szCs w:val="32"/>
        </w:rPr>
        <w:br/>
      </w:r>
    </w:p>
    <w:p w14:paraId="265971B8" w14:textId="77777777" w:rsidR="00D57900" w:rsidRPr="00D57900" w:rsidRDefault="00D57900" w:rsidP="00D57900">
      <w:pPr>
        <w:spacing w:after="0"/>
        <w:jc w:val="both"/>
        <w:rPr>
          <w:rFonts w:ascii="Times New Roman" w:eastAsia="Calibri" w:hAnsi="Times New Roman" w:cs="Times New Roman"/>
          <w:sz w:val="32"/>
          <w:szCs w:val="32"/>
        </w:rPr>
      </w:pPr>
      <w:r w:rsidRPr="00D57900">
        <w:rPr>
          <w:rFonts w:ascii="Times New Roman" w:eastAsia="Calibri" w:hAnsi="Times New Roman" w:cs="Times New Roman"/>
          <w:noProof/>
          <w:sz w:val="32"/>
          <w:szCs w:val="32"/>
          <w:lang w:eastAsia="ru-RU"/>
        </w:rPr>
        <w:drawing>
          <wp:inline distT="0" distB="0" distL="0" distR="0" wp14:anchorId="3966C66C" wp14:editId="36D6F6A0">
            <wp:extent cx="5940425" cy="3634105"/>
            <wp:effectExtent l="0" t="0" r="3175" b="4445"/>
            <wp:docPr id="1475338425" name="Рисунок 147533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a:stretch>
                      <a:fillRect/>
                    </a:stretch>
                  </pic:blipFill>
                  <pic:spPr>
                    <a:xfrm>
                      <a:off x="0" y="0"/>
                      <a:ext cx="5940425" cy="3634105"/>
                    </a:xfrm>
                    <a:prstGeom prst="rect">
                      <a:avLst/>
                    </a:prstGeom>
                  </pic:spPr>
                </pic:pic>
              </a:graphicData>
            </a:graphic>
          </wp:inline>
        </w:drawing>
      </w:r>
    </w:p>
    <w:p w14:paraId="506C629B" w14:textId="77777777" w:rsidR="00D57900" w:rsidRPr="00D57900" w:rsidRDefault="00D57900" w:rsidP="00D57900">
      <w:pPr>
        <w:spacing w:after="0"/>
        <w:jc w:val="center"/>
        <w:rPr>
          <w:rFonts w:ascii="Times New Roman" w:eastAsia="Calibri" w:hAnsi="Times New Roman" w:cs="Times New Roman"/>
          <w:sz w:val="32"/>
          <w:szCs w:val="32"/>
        </w:rPr>
      </w:pPr>
      <w:r w:rsidRPr="00D57900">
        <w:rPr>
          <w:rFonts w:ascii="Times New Roman" w:eastAsia="Calibri" w:hAnsi="Times New Roman" w:cs="Times New Roman"/>
          <w:sz w:val="32"/>
          <w:szCs w:val="32"/>
        </w:rPr>
        <w:lastRenderedPageBreak/>
        <w:t xml:space="preserve">Рисунок 1 – Статистика роста мотивации команды после внедрения </w:t>
      </w:r>
      <w:r w:rsidRPr="00D57900">
        <w:rPr>
          <w:rFonts w:ascii="Times New Roman" w:eastAsia="Calibri" w:hAnsi="Times New Roman" w:cs="Times New Roman"/>
          <w:sz w:val="32"/>
          <w:szCs w:val="32"/>
          <w:lang w:val="en-US"/>
        </w:rPr>
        <w:t>Agile</w:t>
      </w:r>
    </w:p>
    <w:p w14:paraId="690FA814" w14:textId="77777777" w:rsidR="00D57900" w:rsidRPr="00D57900" w:rsidRDefault="00D57900" w:rsidP="00D57900">
      <w:pPr>
        <w:spacing w:after="0"/>
        <w:jc w:val="center"/>
        <w:rPr>
          <w:rFonts w:ascii="Times New Roman" w:eastAsia="Calibri" w:hAnsi="Times New Roman" w:cs="Times New Roman"/>
          <w:sz w:val="32"/>
          <w:szCs w:val="32"/>
        </w:rPr>
      </w:pPr>
    </w:p>
    <w:p w14:paraId="18AFE3F4" w14:textId="77777777" w:rsidR="00D57900" w:rsidRPr="00D57900" w:rsidRDefault="00D57900" w:rsidP="00D57900">
      <w:pPr>
        <w:spacing w:after="0"/>
        <w:ind w:firstLine="709"/>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На начальном этапе внедрения Agile-подходов наблюдается не столь выраженное повышение мотивации персонала. Данный эффект обусловлен адаптационным периодом, в течение которого сотрудники, вовлеченные в освоение новых ролей, проектов и рабочих процессов, подвержены стрессу, что препятствует ощущению удовлетворенности от трудовой деятельности. После внедрения Agile около 60% сотрудников, не занимающих руководящие должности, отмечают значительный рост мотивации в команде, независимо от используемой методологии. Около 25% - ответили, что после внедрения не заметили каких-либо изменений, а 15% - отметили заметное ухудшение. </w:t>
      </w:r>
    </w:p>
    <w:p w14:paraId="69B5F1EB" w14:textId="511D7689" w:rsidR="00D57900" w:rsidRPr="00D57900" w:rsidRDefault="00D57900" w:rsidP="008130AA">
      <w:pPr>
        <w:spacing w:after="0"/>
        <w:ind w:firstLine="709"/>
        <w:contextualSpacing/>
        <w:jc w:val="both"/>
        <w:rPr>
          <w:rFonts w:ascii="Times New Roman" w:eastAsia="Calibri" w:hAnsi="Times New Roman" w:cs="Times New Roman"/>
          <w:sz w:val="32"/>
          <w:szCs w:val="32"/>
        </w:rPr>
      </w:pPr>
      <w:r w:rsidRPr="00D57900">
        <w:rPr>
          <w:rFonts w:ascii="Times New Roman" w:eastAsia="Calibri" w:hAnsi="Times New Roman" w:cs="Times New Roman"/>
          <w:sz w:val="32"/>
          <w:szCs w:val="32"/>
        </w:rPr>
        <w:t xml:space="preserve">Проанализировав ИТ-компании, которые внедрили методологию </w:t>
      </w:r>
      <w:r w:rsidRPr="00D57900">
        <w:rPr>
          <w:rFonts w:ascii="Times New Roman" w:eastAsia="Calibri" w:hAnsi="Times New Roman" w:cs="Times New Roman"/>
          <w:sz w:val="32"/>
          <w:szCs w:val="32"/>
          <w:lang w:val="en-US"/>
        </w:rPr>
        <w:t>Agile</w:t>
      </w:r>
      <w:r w:rsidRPr="00D57900">
        <w:rPr>
          <w:rFonts w:ascii="Times New Roman" w:eastAsia="Calibri" w:hAnsi="Times New Roman" w:cs="Times New Roman"/>
          <w:sz w:val="32"/>
          <w:szCs w:val="32"/>
        </w:rPr>
        <w:t xml:space="preserve"> и с помощью них оптимизировала внутреннюю коммуникацию и взаимодействие с клиентами, а также статистику роста мотивации команды и преимущества и недостатки рассматриваемой методики, можно сделать вывод, что внедрение Agile в российских IT-компаниях – это сложный процесс, требующий не только изменения рабочих процессов, но и перестройки корпоративной культуры и мышления. Основные препятствия – это сопротивление персонала, недостаточное понимание сути гибких методологий и слабая вовлеченность руководства. Однако, преодолев эти трудности, компании могут получить существенные преимущества - повышение эффективности разработки и работы команды, улучшив внутреннюю коммуникацию и взаимодействия с клиентами.</w:t>
      </w:r>
    </w:p>
    <w:p w14:paraId="040EA0D6" w14:textId="77777777" w:rsidR="00D57900" w:rsidRPr="00D57900" w:rsidRDefault="00D57900" w:rsidP="00D57900">
      <w:pPr>
        <w:spacing w:after="0"/>
        <w:ind w:firstLine="709"/>
        <w:rPr>
          <w:rFonts w:ascii="Times New Roman" w:eastAsia="Calibri" w:hAnsi="Times New Roman" w:cs="Times New Roman"/>
          <w:sz w:val="32"/>
          <w:szCs w:val="32"/>
        </w:rPr>
      </w:pPr>
    </w:p>
    <w:p w14:paraId="403CEAC3" w14:textId="77777777" w:rsidR="00D57900" w:rsidRPr="00D57900" w:rsidRDefault="00D57900" w:rsidP="00D57900">
      <w:pPr>
        <w:spacing w:after="0"/>
        <w:jc w:val="center"/>
        <w:rPr>
          <w:rFonts w:ascii="Times New Roman" w:eastAsia="Calibri" w:hAnsi="Times New Roman" w:cs="Times New Roman"/>
          <w:b/>
          <w:bCs/>
          <w:sz w:val="21"/>
          <w:szCs w:val="21"/>
        </w:rPr>
      </w:pPr>
      <w:r w:rsidRPr="00D57900">
        <w:rPr>
          <w:rFonts w:ascii="Times New Roman" w:eastAsia="Calibri" w:hAnsi="Times New Roman" w:cs="Times New Roman"/>
          <w:b/>
          <w:bCs/>
          <w:sz w:val="21"/>
          <w:szCs w:val="21"/>
        </w:rPr>
        <w:t>Литература</w:t>
      </w:r>
    </w:p>
    <w:p w14:paraId="7C071D71" w14:textId="77777777" w:rsidR="00D57900" w:rsidRPr="008130AA" w:rsidRDefault="00D57900" w:rsidP="00AD58CD">
      <w:pPr>
        <w:pStyle w:val="a8"/>
        <w:numPr>
          <w:ilvl w:val="0"/>
          <w:numId w:val="132"/>
        </w:numPr>
        <w:tabs>
          <w:tab w:val="clear" w:pos="720"/>
          <w:tab w:val="left" w:pos="0"/>
          <w:tab w:val="num" w:pos="360"/>
        </w:tabs>
        <w:suppressAutoHyphens/>
        <w:autoSpaceDE w:val="0"/>
        <w:spacing w:after="0" w:line="240" w:lineRule="auto"/>
        <w:ind w:hanging="720"/>
        <w:jc w:val="both"/>
        <w:rPr>
          <w:rFonts w:ascii="Times New Roman" w:eastAsia="Times New Roman" w:hAnsi="Times New Roman" w:cs="Times New Roman"/>
          <w:sz w:val="21"/>
          <w:szCs w:val="21"/>
          <w:lang w:val="x-none" w:eastAsia="ar-SA"/>
        </w:rPr>
      </w:pPr>
      <w:r w:rsidRPr="008130AA">
        <w:rPr>
          <w:rFonts w:ascii="Times New Roman" w:eastAsia="Times New Roman" w:hAnsi="Times New Roman" w:cs="Times New Roman"/>
          <w:sz w:val="21"/>
          <w:szCs w:val="21"/>
          <w:lang w:val="x-none" w:eastAsia="ar-SA"/>
        </w:rPr>
        <w:t>Agile</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Unisender.</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Словарь</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маркетолога</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[Электронный</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ресурс:</w:t>
      </w:r>
      <w:r w:rsidRPr="008130AA">
        <w:rPr>
          <w:rFonts w:ascii="Times New Roman" w:eastAsia="Times New Roman" w:hAnsi="Times New Roman" w:cs="Times New Roman"/>
          <w:sz w:val="21"/>
          <w:szCs w:val="21"/>
          <w:lang w:eastAsia="ar-SA"/>
        </w:rPr>
        <w:t> </w:t>
      </w:r>
      <w:hyperlink r:id="rId583" w:anchor="anchor-1" w:history="1">
        <w:r w:rsidRPr="008130AA">
          <w:rPr>
            <w:rFonts w:ascii="Times New Roman" w:eastAsia="Times New Roman" w:hAnsi="Times New Roman" w:cs="Times New Roman"/>
            <w:color w:val="0563C1"/>
            <w:sz w:val="21"/>
            <w:szCs w:val="21"/>
            <w:u w:val="single"/>
            <w:lang w:val="x-none" w:eastAsia="ar-SA"/>
          </w:rPr>
          <w:t>https://www.unisender.com/ru/glossary/chto-takoe-agile/#anchor-1</w:t>
        </w:r>
      </w:hyperlink>
      <w:r w:rsidRPr="008130AA">
        <w:rPr>
          <w:rFonts w:ascii="Times New Roman" w:eastAsia="Times New Roman" w:hAnsi="Times New Roman" w:cs="Times New Roman"/>
          <w:sz w:val="21"/>
          <w:szCs w:val="21"/>
          <w:lang w:eastAsia="ar-SA"/>
        </w:rPr>
        <w:t xml:space="preserve"> </w:t>
      </w:r>
      <w:r w:rsidRPr="008130AA">
        <w:rPr>
          <w:rFonts w:ascii="Times New Roman" w:eastAsia="Times New Roman" w:hAnsi="Times New Roman" w:cs="Times New Roman"/>
          <w:sz w:val="21"/>
          <w:szCs w:val="21"/>
          <w:lang w:val="x-none" w:eastAsia="ar-SA"/>
        </w:rPr>
        <w:t xml:space="preserve"> (дата обращения: 20.0</w:t>
      </w:r>
      <w:r w:rsidRPr="008130AA">
        <w:rPr>
          <w:rFonts w:ascii="Times New Roman" w:eastAsia="Times New Roman" w:hAnsi="Times New Roman" w:cs="Times New Roman"/>
          <w:sz w:val="21"/>
          <w:szCs w:val="21"/>
          <w:lang w:eastAsia="ar-SA"/>
        </w:rPr>
        <w:t>4</w:t>
      </w:r>
      <w:r w:rsidRPr="008130AA">
        <w:rPr>
          <w:rFonts w:ascii="Times New Roman" w:eastAsia="Times New Roman" w:hAnsi="Times New Roman" w:cs="Times New Roman"/>
          <w:sz w:val="21"/>
          <w:szCs w:val="21"/>
          <w:lang w:val="x-none" w:eastAsia="ar-SA"/>
        </w:rPr>
        <w:t>.20</w:t>
      </w:r>
      <w:r w:rsidRPr="008130AA">
        <w:rPr>
          <w:rFonts w:ascii="Times New Roman" w:eastAsia="Times New Roman" w:hAnsi="Times New Roman" w:cs="Times New Roman"/>
          <w:sz w:val="21"/>
          <w:szCs w:val="21"/>
          <w:lang w:eastAsia="ar-SA"/>
        </w:rPr>
        <w:t>25</w:t>
      </w:r>
      <w:r w:rsidRPr="008130AA">
        <w:rPr>
          <w:rFonts w:ascii="Times New Roman" w:eastAsia="Times New Roman" w:hAnsi="Times New Roman" w:cs="Times New Roman"/>
          <w:sz w:val="21"/>
          <w:szCs w:val="21"/>
          <w:lang w:val="x-none" w:eastAsia="ar-SA"/>
        </w:rPr>
        <w:t>)]</w:t>
      </w:r>
    </w:p>
    <w:p w14:paraId="380179C1" w14:textId="77777777" w:rsidR="00D57900" w:rsidRPr="008130AA" w:rsidRDefault="00D57900" w:rsidP="00AD58CD">
      <w:pPr>
        <w:pStyle w:val="a8"/>
        <w:numPr>
          <w:ilvl w:val="0"/>
          <w:numId w:val="132"/>
        </w:numPr>
        <w:tabs>
          <w:tab w:val="clear" w:pos="720"/>
          <w:tab w:val="left" w:pos="0"/>
          <w:tab w:val="num" w:pos="360"/>
        </w:tabs>
        <w:suppressAutoHyphens/>
        <w:autoSpaceDE w:val="0"/>
        <w:spacing w:after="0" w:line="240" w:lineRule="auto"/>
        <w:ind w:hanging="720"/>
        <w:jc w:val="both"/>
        <w:rPr>
          <w:rFonts w:ascii="Times New Roman" w:eastAsia="Times New Roman" w:hAnsi="Times New Roman" w:cs="Times New Roman"/>
          <w:sz w:val="21"/>
          <w:szCs w:val="21"/>
          <w:lang w:val="x-none" w:eastAsia="ar-SA"/>
        </w:rPr>
      </w:pPr>
      <w:r w:rsidRPr="008130AA">
        <w:rPr>
          <w:rFonts w:ascii="Times New Roman" w:eastAsia="Times New Roman" w:hAnsi="Times New Roman" w:cs="Times New Roman"/>
          <w:sz w:val="21"/>
          <w:szCs w:val="21"/>
          <w:lang w:eastAsia="ar-SA"/>
        </w:rPr>
        <w:t xml:space="preserve">Agile, Scrum и Kanban – разбираемся, что есть что // Академия социальных технологий </w:t>
      </w:r>
      <w:r w:rsidRPr="008130AA">
        <w:rPr>
          <w:rFonts w:ascii="Times New Roman" w:eastAsia="Times New Roman" w:hAnsi="Times New Roman" w:cs="Times New Roman"/>
          <w:sz w:val="21"/>
          <w:szCs w:val="21"/>
          <w:lang w:val="x-none" w:eastAsia="ar-SA"/>
        </w:rPr>
        <w:t>[Электронный</w:t>
      </w:r>
      <w:r w:rsidRPr="008130AA">
        <w:rPr>
          <w:rFonts w:ascii="Times New Roman" w:eastAsia="Times New Roman" w:hAnsi="Times New Roman" w:cs="Times New Roman"/>
          <w:sz w:val="21"/>
          <w:szCs w:val="21"/>
          <w:lang w:eastAsia="ar-SA"/>
        </w:rPr>
        <w:t> </w:t>
      </w:r>
      <w:r w:rsidRPr="008130AA">
        <w:rPr>
          <w:rFonts w:ascii="Times New Roman" w:eastAsia="Times New Roman" w:hAnsi="Times New Roman" w:cs="Times New Roman"/>
          <w:sz w:val="21"/>
          <w:szCs w:val="21"/>
          <w:lang w:val="x-none" w:eastAsia="ar-SA"/>
        </w:rPr>
        <w:t>ресурс</w:t>
      </w:r>
      <w:r w:rsidRPr="008130AA">
        <w:rPr>
          <w:rFonts w:ascii="Times New Roman" w:eastAsia="Times New Roman" w:hAnsi="Times New Roman" w:cs="Times New Roman"/>
          <w:sz w:val="21"/>
          <w:szCs w:val="21"/>
          <w:lang w:eastAsia="ar-SA"/>
        </w:rPr>
        <w:t xml:space="preserve">: </w:t>
      </w:r>
      <w:hyperlink r:id="rId584" w:history="1">
        <w:r w:rsidRPr="008130AA">
          <w:rPr>
            <w:rFonts w:ascii="Times New Roman" w:eastAsia="Times New Roman" w:hAnsi="Times New Roman" w:cs="Times New Roman"/>
            <w:color w:val="0563C1"/>
            <w:sz w:val="21"/>
            <w:szCs w:val="21"/>
            <w:u w:val="single"/>
            <w:lang w:eastAsia="ar-SA"/>
          </w:rPr>
          <w:t>https://ast-academy.ru/blog/agile-scrum-i-kanban-razbiraemsa-cto-est-cto/</w:t>
        </w:r>
      </w:hyperlink>
      <w:r w:rsidRPr="008130AA">
        <w:rPr>
          <w:rFonts w:ascii="Times New Roman" w:eastAsia="Times New Roman" w:hAnsi="Times New Roman" w:cs="Times New Roman"/>
          <w:sz w:val="21"/>
          <w:szCs w:val="21"/>
          <w:lang w:eastAsia="ar-SA"/>
        </w:rPr>
        <w:t xml:space="preserve"> (дата обращения: 20.04.2025).]</w:t>
      </w:r>
    </w:p>
    <w:p w14:paraId="2BA8A4C6" w14:textId="77777777" w:rsidR="00D57900" w:rsidRPr="008130AA" w:rsidRDefault="00D57900" w:rsidP="00AD58CD">
      <w:pPr>
        <w:pStyle w:val="a8"/>
        <w:numPr>
          <w:ilvl w:val="0"/>
          <w:numId w:val="132"/>
        </w:numPr>
        <w:tabs>
          <w:tab w:val="clear" w:pos="720"/>
          <w:tab w:val="left" w:pos="0"/>
          <w:tab w:val="num" w:pos="360"/>
        </w:tabs>
        <w:suppressAutoHyphens/>
        <w:autoSpaceDE w:val="0"/>
        <w:spacing w:after="0" w:line="240" w:lineRule="auto"/>
        <w:ind w:hanging="720"/>
        <w:jc w:val="both"/>
        <w:rPr>
          <w:rFonts w:ascii="Times New Roman" w:eastAsia="Times New Roman" w:hAnsi="Times New Roman" w:cs="Times New Roman"/>
          <w:sz w:val="21"/>
          <w:szCs w:val="21"/>
          <w:lang w:val="x-none" w:eastAsia="ar-SA"/>
        </w:rPr>
      </w:pPr>
      <w:r w:rsidRPr="008130AA">
        <w:rPr>
          <w:rFonts w:ascii="Times New Roman" w:eastAsia="Times New Roman" w:hAnsi="Times New Roman" w:cs="Times New Roman"/>
          <w:sz w:val="21"/>
          <w:szCs w:val="21"/>
          <w:lang w:val="x-none" w:eastAsia="ar-SA"/>
        </w:rPr>
        <w:t>Внедрение Agile: как перейти на гибкие методологии и не загубить все</w:t>
      </w:r>
      <w:r w:rsidRPr="008130AA">
        <w:rPr>
          <w:rFonts w:ascii="Times New Roman" w:eastAsia="Times New Roman" w:hAnsi="Times New Roman" w:cs="Times New Roman"/>
          <w:sz w:val="21"/>
          <w:szCs w:val="21"/>
          <w:lang w:eastAsia="ar-SA"/>
        </w:rPr>
        <w:t xml:space="preserve"> // Битрикс24Журнал [Электронный ресурс: </w:t>
      </w:r>
      <w:hyperlink r:id="rId585" w:history="1">
        <w:r w:rsidRPr="008130AA">
          <w:rPr>
            <w:rFonts w:ascii="Times New Roman" w:eastAsia="Times New Roman" w:hAnsi="Times New Roman" w:cs="Times New Roman"/>
            <w:color w:val="0563C1"/>
            <w:sz w:val="21"/>
            <w:szCs w:val="21"/>
            <w:u w:val="single"/>
            <w:lang w:val="x-none" w:eastAsia="ar-SA"/>
          </w:rPr>
          <w:t>https://www.bitrix24.ru/journal/vnedrenie-</w:t>
        </w:r>
        <w:r w:rsidRPr="008130AA">
          <w:rPr>
            <w:rFonts w:ascii="Times New Roman" w:eastAsia="Times New Roman" w:hAnsi="Times New Roman" w:cs="Times New Roman"/>
            <w:color w:val="0563C1"/>
            <w:sz w:val="21"/>
            <w:szCs w:val="21"/>
            <w:u w:val="single"/>
            <w:lang w:eastAsia="ar-SA"/>
          </w:rPr>
          <w:t> </w:t>
        </w:r>
        <w:r w:rsidRPr="008130AA">
          <w:rPr>
            <w:rFonts w:ascii="Times New Roman" w:eastAsia="Times New Roman" w:hAnsi="Times New Roman" w:cs="Times New Roman"/>
            <w:color w:val="0563C1"/>
            <w:sz w:val="21"/>
            <w:szCs w:val="21"/>
            <w:u w:val="single"/>
            <w:lang w:val="x-none" w:eastAsia="ar-SA"/>
          </w:rPr>
          <w:t>agile/?utm_medium=referral&amp;utm_campaign=sharing</w:t>
        </w:r>
      </w:hyperlink>
      <w:r w:rsidRPr="008130AA">
        <w:rPr>
          <w:rFonts w:ascii="Times New Roman" w:eastAsia="Times New Roman" w:hAnsi="Times New Roman" w:cs="Times New Roman"/>
          <w:sz w:val="21"/>
          <w:szCs w:val="21"/>
          <w:lang w:eastAsia="ar-SA"/>
        </w:rPr>
        <w:t xml:space="preserve"> (дата обращения: 20.04.2025)]</w:t>
      </w:r>
    </w:p>
    <w:p w14:paraId="7FC61A97" w14:textId="4BD77D74" w:rsidR="00D57900" w:rsidRPr="008130AA" w:rsidRDefault="00D57900" w:rsidP="00AD58CD">
      <w:pPr>
        <w:pStyle w:val="a8"/>
        <w:numPr>
          <w:ilvl w:val="0"/>
          <w:numId w:val="132"/>
        </w:numPr>
        <w:tabs>
          <w:tab w:val="clear" w:pos="720"/>
          <w:tab w:val="left" w:pos="0"/>
          <w:tab w:val="num" w:pos="360"/>
        </w:tabs>
        <w:suppressAutoHyphens/>
        <w:autoSpaceDE w:val="0"/>
        <w:spacing w:after="0" w:line="240" w:lineRule="auto"/>
        <w:ind w:hanging="720"/>
        <w:jc w:val="both"/>
        <w:rPr>
          <w:rFonts w:ascii="Times New Roman" w:eastAsia="Times New Roman" w:hAnsi="Times New Roman" w:cs="Times New Roman"/>
          <w:sz w:val="21"/>
          <w:szCs w:val="21"/>
          <w:lang w:val="x-none" w:eastAsia="ar-SA"/>
        </w:rPr>
      </w:pPr>
      <w:r w:rsidRPr="008130AA">
        <w:rPr>
          <w:rFonts w:ascii="Times New Roman" w:eastAsia="Times New Roman" w:hAnsi="Times New Roman" w:cs="Times New Roman"/>
          <w:sz w:val="21"/>
          <w:szCs w:val="21"/>
          <w:lang w:eastAsia="ar-SA"/>
        </w:rPr>
        <w:t>Удальцова, Н. Л. Опыт применения Agile-технологий российскими компаниями / Н. Л. Удальцова // Экономика, предпринимательство и право. – 2024. – Т. 14, № 9. – С. 5291-5304.</w:t>
      </w:r>
    </w:p>
    <w:p w14:paraId="6DF70AD0" w14:textId="77777777" w:rsidR="00D57900" w:rsidRPr="008130AA" w:rsidRDefault="00D57900" w:rsidP="00AD58CD">
      <w:pPr>
        <w:pStyle w:val="a8"/>
        <w:numPr>
          <w:ilvl w:val="0"/>
          <w:numId w:val="132"/>
        </w:numPr>
        <w:tabs>
          <w:tab w:val="clear" w:pos="720"/>
          <w:tab w:val="left" w:pos="0"/>
          <w:tab w:val="num" w:pos="360"/>
        </w:tabs>
        <w:suppressAutoHyphens/>
        <w:autoSpaceDE w:val="0"/>
        <w:spacing w:after="0" w:line="240" w:lineRule="auto"/>
        <w:ind w:hanging="720"/>
        <w:jc w:val="both"/>
        <w:rPr>
          <w:rFonts w:ascii="Times New Roman" w:eastAsia="Times New Roman" w:hAnsi="Times New Roman" w:cs="Times New Roman"/>
          <w:sz w:val="21"/>
          <w:szCs w:val="21"/>
          <w:lang w:val="x-none" w:eastAsia="ar-SA"/>
        </w:rPr>
      </w:pPr>
      <w:r w:rsidRPr="008130AA">
        <w:rPr>
          <w:rFonts w:ascii="Times New Roman" w:eastAsia="Times New Roman" w:hAnsi="Times New Roman" w:cs="Times New Roman"/>
          <w:sz w:val="21"/>
          <w:szCs w:val="21"/>
          <w:lang w:eastAsia="ar-SA"/>
        </w:rPr>
        <w:t xml:space="preserve">Насколько Agile влияет на удовольствие от работы // ScrumTrek [Электронный ресурс:  </w:t>
      </w:r>
      <w:hyperlink r:id="rId586" w:history="1">
        <w:r w:rsidRPr="008130AA">
          <w:rPr>
            <w:rFonts w:ascii="Times New Roman" w:eastAsia="Times New Roman" w:hAnsi="Times New Roman" w:cs="Times New Roman"/>
            <w:color w:val="0563C1"/>
            <w:sz w:val="21"/>
            <w:szCs w:val="21"/>
            <w:u w:val="single"/>
            <w:lang w:eastAsia="ar-SA"/>
          </w:rPr>
          <w:t>https://scrumtrek.ru/blog/agile-scrum/6246/agile-job-satisfaction-statistics/</w:t>
        </w:r>
      </w:hyperlink>
      <w:r w:rsidRPr="008130AA">
        <w:rPr>
          <w:rFonts w:ascii="Times New Roman" w:eastAsia="Times New Roman" w:hAnsi="Times New Roman" w:cs="Times New Roman"/>
          <w:sz w:val="21"/>
          <w:szCs w:val="21"/>
          <w:lang w:eastAsia="ar-SA"/>
        </w:rPr>
        <w:t xml:space="preserve"> (дата обращения: 20.05.2025)]</w:t>
      </w:r>
    </w:p>
    <w:p w14:paraId="42E455A1" w14:textId="77777777" w:rsidR="002D72DC" w:rsidRDefault="002D72DC" w:rsidP="00D1085E">
      <w:pPr>
        <w:spacing w:line="240" w:lineRule="auto"/>
        <w:jc w:val="both"/>
        <w:rPr>
          <w:rFonts w:ascii="Times New Roman" w:eastAsia="Calibri" w:hAnsi="Times New Roman" w:cs="Times New Roman"/>
          <w:sz w:val="21"/>
          <w:szCs w:val="21"/>
        </w:rPr>
      </w:pPr>
    </w:p>
    <w:p w14:paraId="6781E16C"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eastAsia="ru-RU"/>
          <w14:ligatures w14:val="standardContextual"/>
        </w:rPr>
      </w:pPr>
      <w:r w:rsidRPr="00D1085E">
        <w:rPr>
          <w:rFonts w:ascii="Times New Roman" w:eastAsia="Calibri" w:hAnsi="Times New Roman" w:cs="Times New Roman"/>
          <w:b/>
          <w:bCs/>
          <w:i/>
          <w:iCs/>
          <w:kern w:val="2"/>
          <w:sz w:val="21"/>
          <w:szCs w:val="21"/>
          <w:lang w:eastAsia="ru-RU"/>
          <w14:ligatures w14:val="standardContextual"/>
        </w:rPr>
        <w:lastRenderedPageBreak/>
        <w:t>Войнилович А.С.,</w:t>
      </w:r>
    </w:p>
    <w:p w14:paraId="25B48CD3" w14:textId="77777777" w:rsidR="00C329EF" w:rsidRDefault="00D1085E" w:rsidP="00C329EF">
      <w:pPr>
        <w:suppressAutoHyphens/>
        <w:spacing w:after="0" w:line="240" w:lineRule="auto"/>
        <w:jc w:val="right"/>
        <w:rPr>
          <w:rFonts w:ascii="Times New Roman" w:eastAsia="Times New Roman" w:hAnsi="Times New Roman" w:cs="Times New Roman"/>
          <w:i/>
          <w:iCs/>
          <w:sz w:val="20"/>
          <w:szCs w:val="20"/>
        </w:rPr>
      </w:pPr>
      <w:r w:rsidRPr="00D1085E">
        <w:rPr>
          <w:rFonts w:ascii="Times New Roman" w:eastAsia="Calibri" w:hAnsi="Times New Roman" w:cs="Times New Roman"/>
          <w:i/>
          <w:iCs/>
          <w:kern w:val="2"/>
          <w:sz w:val="21"/>
          <w:szCs w:val="21"/>
          <w:lang w:eastAsia="ru-RU"/>
          <w14:ligatures w14:val="standardContextual"/>
        </w:rPr>
        <w:t>студентка 1 курса</w:t>
      </w:r>
      <w:r w:rsidRPr="00D1085E">
        <w:rPr>
          <w:rFonts w:ascii="Times New Roman" w:eastAsia="Calibri" w:hAnsi="Times New Roman" w:cs="Times New Roman"/>
          <w:i/>
          <w:iCs/>
          <w:kern w:val="2"/>
          <w:sz w:val="21"/>
          <w:szCs w:val="21"/>
          <w:lang w:eastAsia="ru-RU"/>
          <w14:ligatures w14:val="standardContextual"/>
        </w:rPr>
        <w:br/>
      </w:r>
      <w:r w:rsidR="00C329EF">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CB1E278" w14:textId="47A73B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eastAsia="ru-RU"/>
          <w14:ligatures w14:val="standardContextual"/>
        </w:rPr>
      </w:pPr>
      <w:r w:rsidRPr="00D1085E">
        <w:rPr>
          <w:rFonts w:ascii="Times New Roman" w:eastAsia="Calibri" w:hAnsi="Times New Roman" w:cs="Times New Roman"/>
          <w:i/>
          <w:iCs/>
          <w:kern w:val="2"/>
          <w:sz w:val="21"/>
          <w:szCs w:val="21"/>
          <w:lang w:eastAsia="ru-RU"/>
          <w14:ligatures w14:val="standardContextual"/>
        </w:rPr>
        <w:t>г. Краснодар, Россия</w:t>
      </w:r>
    </w:p>
    <w:p w14:paraId="4F4A078F" w14:textId="77777777" w:rsidR="00D1085E" w:rsidRDefault="00D1085E" w:rsidP="00C329EF">
      <w:pPr>
        <w:autoSpaceDE w:val="0"/>
        <w:autoSpaceDN w:val="0"/>
        <w:adjustRightInd w:val="0"/>
        <w:spacing w:after="0" w:line="240" w:lineRule="auto"/>
        <w:jc w:val="right"/>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e</w:t>
      </w:r>
      <w:r w:rsidRPr="00D1085E">
        <w:rPr>
          <w:rFonts w:ascii="Times New Roman" w:eastAsia="Calibri" w:hAnsi="Times New Roman" w:cs="Times New Roman"/>
          <w:i/>
          <w:iCs/>
          <w:kern w:val="2"/>
          <w:sz w:val="21"/>
          <w:szCs w:val="21"/>
          <w:lang w:eastAsia="ru-RU"/>
          <w14:ligatures w14:val="standardContextual"/>
        </w:rPr>
        <w:t>-</w:t>
      </w:r>
      <w:r w:rsidRPr="00D1085E">
        <w:rPr>
          <w:rFonts w:ascii="Times New Roman" w:eastAsia="Calibri" w:hAnsi="Times New Roman" w:cs="Times New Roman"/>
          <w:i/>
          <w:iCs/>
          <w:kern w:val="2"/>
          <w:sz w:val="21"/>
          <w:szCs w:val="21"/>
          <w:lang w:val="en-US" w:eastAsia="ru-RU"/>
          <w14:ligatures w14:val="standardContextual"/>
        </w:rPr>
        <w:t>mail</w:t>
      </w:r>
      <w:r w:rsidRPr="00D1085E">
        <w:rPr>
          <w:rFonts w:ascii="Times New Roman" w:eastAsia="Calibri" w:hAnsi="Times New Roman" w:cs="Times New Roman"/>
          <w:i/>
          <w:iCs/>
          <w:kern w:val="2"/>
          <w:sz w:val="21"/>
          <w:szCs w:val="21"/>
          <w:lang w:eastAsia="ru-RU"/>
          <w14:ligatures w14:val="standardContextual"/>
        </w:rPr>
        <w:t xml:space="preserve">: </w:t>
      </w:r>
      <w:hyperlink r:id="rId587" w:history="1">
        <w:r w:rsidRPr="00D1085E">
          <w:rPr>
            <w:rFonts w:ascii="Times New Roman" w:eastAsia="Calibri" w:hAnsi="Times New Roman" w:cs="Times New Roman"/>
            <w:i/>
            <w:iCs/>
            <w:color w:val="0563C1"/>
            <w:kern w:val="2"/>
            <w:sz w:val="21"/>
            <w:szCs w:val="21"/>
            <w:u w:val="single"/>
            <w:lang w:val="en-US" w:eastAsia="ru-RU"/>
            <w14:ligatures w14:val="standardContextual"/>
          </w:rPr>
          <w:t>vonilovichsasha</w:t>
        </w:r>
        <w:r w:rsidRPr="00D1085E">
          <w:rPr>
            <w:rFonts w:ascii="Times New Roman" w:eastAsia="Calibri" w:hAnsi="Times New Roman" w:cs="Times New Roman"/>
            <w:i/>
            <w:iCs/>
            <w:color w:val="0563C1"/>
            <w:kern w:val="2"/>
            <w:sz w:val="21"/>
            <w:szCs w:val="21"/>
            <w:u w:val="single"/>
            <w:lang w:eastAsia="ru-RU"/>
            <w14:ligatures w14:val="standardContextual"/>
          </w:rPr>
          <w:t>@</w:t>
        </w:r>
        <w:r w:rsidRPr="00D1085E">
          <w:rPr>
            <w:rFonts w:ascii="Times New Roman" w:eastAsia="Calibri" w:hAnsi="Times New Roman" w:cs="Times New Roman"/>
            <w:i/>
            <w:iCs/>
            <w:color w:val="0563C1"/>
            <w:kern w:val="2"/>
            <w:sz w:val="21"/>
            <w:szCs w:val="21"/>
            <w:u w:val="single"/>
            <w:lang w:val="en-US" w:eastAsia="ru-RU"/>
            <w14:ligatures w14:val="standardContextual"/>
          </w:rPr>
          <w:t>gmail</w:t>
        </w:r>
        <w:r w:rsidRPr="00D1085E">
          <w:rPr>
            <w:rFonts w:ascii="Times New Roman" w:eastAsia="Calibri" w:hAnsi="Times New Roman" w:cs="Times New Roman"/>
            <w:i/>
            <w:iCs/>
            <w:color w:val="0563C1"/>
            <w:kern w:val="2"/>
            <w:sz w:val="21"/>
            <w:szCs w:val="21"/>
            <w:u w:val="single"/>
            <w:lang w:eastAsia="ru-RU"/>
            <w14:ligatures w14:val="standardContextual"/>
          </w:rPr>
          <w:t>.</w:t>
        </w:r>
        <w:r w:rsidRPr="00D1085E">
          <w:rPr>
            <w:rFonts w:ascii="Times New Roman" w:eastAsia="Calibri" w:hAnsi="Times New Roman" w:cs="Times New Roman"/>
            <w:i/>
            <w:iCs/>
            <w:color w:val="0563C1"/>
            <w:kern w:val="2"/>
            <w:sz w:val="21"/>
            <w:szCs w:val="21"/>
            <w:u w:val="single"/>
            <w:lang w:val="en-US" w:eastAsia="ru-RU"/>
            <w14:ligatures w14:val="standardContextual"/>
          </w:rPr>
          <w:t>com</w:t>
        </w:r>
      </w:hyperlink>
    </w:p>
    <w:p w14:paraId="6E050F69" w14:textId="77777777" w:rsidR="00C329EF" w:rsidRPr="00D1085E" w:rsidRDefault="00C329EF" w:rsidP="00C329EF">
      <w:pPr>
        <w:autoSpaceDE w:val="0"/>
        <w:autoSpaceDN w:val="0"/>
        <w:adjustRightInd w:val="0"/>
        <w:spacing w:after="0" w:line="240" w:lineRule="auto"/>
        <w:jc w:val="right"/>
        <w:rPr>
          <w:rFonts w:ascii="Times New Roman" w:eastAsia="Calibri" w:hAnsi="Times New Roman" w:cs="Times New Roman"/>
          <w:i/>
          <w:iCs/>
          <w:kern w:val="2"/>
          <w:sz w:val="21"/>
          <w:szCs w:val="21"/>
          <w:lang w:eastAsia="ru-RU"/>
          <w14:ligatures w14:val="standardContextual"/>
        </w:rPr>
      </w:pPr>
    </w:p>
    <w:p w14:paraId="6610DD6D"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eastAsia="ru-RU"/>
          <w14:ligatures w14:val="standardContextual"/>
        </w:rPr>
      </w:pPr>
      <w:r w:rsidRPr="00D1085E">
        <w:rPr>
          <w:rFonts w:ascii="Times New Roman" w:eastAsia="Calibri" w:hAnsi="Times New Roman" w:cs="Times New Roman"/>
          <w:b/>
          <w:bCs/>
          <w:i/>
          <w:iCs/>
          <w:kern w:val="2"/>
          <w:sz w:val="21"/>
          <w:szCs w:val="21"/>
          <w:lang w:eastAsia="ru-RU"/>
          <w14:ligatures w14:val="standardContextual"/>
        </w:rPr>
        <w:t>Научный руководитель:</w:t>
      </w:r>
    </w:p>
    <w:p w14:paraId="300B8EB1"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eastAsia="ru-RU"/>
          <w14:ligatures w14:val="standardContextual"/>
        </w:rPr>
      </w:pPr>
      <w:r w:rsidRPr="00D1085E">
        <w:rPr>
          <w:rFonts w:ascii="Times New Roman" w:eastAsia="Calibri" w:hAnsi="Times New Roman" w:cs="Times New Roman"/>
          <w:b/>
          <w:bCs/>
          <w:i/>
          <w:iCs/>
          <w:kern w:val="2"/>
          <w:sz w:val="21"/>
          <w:szCs w:val="21"/>
          <w:lang w:eastAsia="ru-RU"/>
          <w14:ligatures w14:val="standardContextual"/>
        </w:rPr>
        <w:t>Радченко М.В.,</w:t>
      </w:r>
    </w:p>
    <w:p w14:paraId="64698C75" w14:textId="77777777" w:rsidR="00C329EF" w:rsidRDefault="00D1085E" w:rsidP="00C329EF">
      <w:pPr>
        <w:suppressAutoHyphens/>
        <w:spacing w:after="0" w:line="240" w:lineRule="auto"/>
        <w:jc w:val="right"/>
        <w:rPr>
          <w:rFonts w:ascii="Times New Roman" w:eastAsia="Times New Roman" w:hAnsi="Times New Roman" w:cs="Times New Roman"/>
          <w:i/>
          <w:iCs/>
          <w:sz w:val="20"/>
          <w:szCs w:val="20"/>
        </w:rPr>
      </w:pPr>
      <w:r w:rsidRPr="00D1085E">
        <w:rPr>
          <w:rFonts w:ascii="Times New Roman" w:eastAsia="Calibri" w:hAnsi="Times New Roman" w:cs="Times New Roman"/>
          <w:i/>
          <w:iCs/>
          <w:kern w:val="2"/>
          <w:sz w:val="21"/>
          <w:szCs w:val="21"/>
          <w:lang w:eastAsia="ru-RU"/>
          <w14:ligatures w14:val="standardContextual"/>
        </w:rPr>
        <w:t>доцент, к.э.н.</w:t>
      </w:r>
      <w:r w:rsidRPr="00D1085E">
        <w:rPr>
          <w:rFonts w:ascii="Times New Roman" w:eastAsia="Calibri" w:hAnsi="Times New Roman" w:cs="Times New Roman"/>
          <w:i/>
          <w:iCs/>
          <w:kern w:val="2"/>
          <w:sz w:val="21"/>
          <w:szCs w:val="21"/>
          <w:lang w:eastAsia="ru-RU"/>
          <w14:ligatures w14:val="standardContextual"/>
        </w:rPr>
        <w:br/>
      </w:r>
      <w:r w:rsidR="00C329EF">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66DEBF3" w14:textId="40D85E52"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eastAsia="ru-RU"/>
          <w14:ligatures w14:val="standardContextual"/>
        </w:rPr>
      </w:pPr>
      <w:r w:rsidRPr="00D1085E">
        <w:rPr>
          <w:rFonts w:ascii="Times New Roman" w:eastAsia="Calibri" w:hAnsi="Times New Roman" w:cs="Times New Roman"/>
          <w:i/>
          <w:iCs/>
          <w:kern w:val="2"/>
          <w:sz w:val="21"/>
          <w:szCs w:val="21"/>
          <w:lang w:eastAsia="ru-RU"/>
          <w14:ligatures w14:val="standardContextual"/>
        </w:rPr>
        <w:t>г. Краснодар, Россия</w:t>
      </w:r>
    </w:p>
    <w:p w14:paraId="0201A658"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eastAsia="ru-RU"/>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e</w:t>
      </w:r>
      <w:r w:rsidRPr="00D1085E">
        <w:rPr>
          <w:rFonts w:ascii="Times New Roman" w:eastAsia="Calibri" w:hAnsi="Times New Roman" w:cs="Times New Roman"/>
          <w:i/>
          <w:iCs/>
          <w:kern w:val="2"/>
          <w:sz w:val="21"/>
          <w:szCs w:val="21"/>
          <w:lang w:eastAsia="ru-RU"/>
          <w14:ligatures w14:val="standardContextual"/>
        </w:rPr>
        <w:t>-</w:t>
      </w:r>
      <w:r w:rsidRPr="00D1085E">
        <w:rPr>
          <w:rFonts w:ascii="Times New Roman" w:eastAsia="Calibri" w:hAnsi="Times New Roman" w:cs="Times New Roman"/>
          <w:i/>
          <w:iCs/>
          <w:kern w:val="2"/>
          <w:sz w:val="21"/>
          <w:szCs w:val="21"/>
          <w:lang w:val="en-US" w:eastAsia="ru-RU"/>
          <w14:ligatures w14:val="standardContextual"/>
        </w:rPr>
        <w:t>mail</w:t>
      </w:r>
      <w:r w:rsidRPr="00D1085E">
        <w:rPr>
          <w:rFonts w:ascii="Times New Roman" w:eastAsia="Calibri" w:hAnsi="Times New Roman" w:cs="Times New Roman"/>
          <w:i/>
          <w:iCs/>
          <w:kern w:val="2"/>
          <w:sz w:val="21"/>
          <w:szCs w:val="21"/>
          <w:lang w:eastAsia="ru-RU"/>
          <w14:ligatures w14:val="standardContextual"/>
        </w:rPr>
        <w:t xml:space="preserve">: </w:t>
      </w:r>
      <w:hyperlink r:id="rId588" w:tgtFrame="_blank" w:history="1">
        <w:r w:rsidRPr="00D1085E">
          <w:rPr>
            <w:rFonts w:ascii="Times New Roman" w:eastAsia="Calibri" w:hAnsi="Times New Roman" w:cs="Times New Roman"/>
            <w:i/>
            <w:iCs/>
            <w:color w:val="0563C1"/>
            <w:kern w:val="2"/>
            <w:sz w:val="21"/>
            <w:szCs w:val="21"/>
            <w:u w:val="single"/>
            <w:lang w:eastAsia="ru-RU"/>
            <w14:ligatures w14:val="standardContextual"/>
          </w:rPr>
          <w:t>mvradchenko@fa.ru</w:t>
        </w:r>
      </w:hyperlink>
    </w:p>
    <w:p w14:paraId="14572203"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eastAsia="ru-RU"/>
          <w14:ligatures w14:val="standardContextual"/>
        </w:rPr>
      </w:pPr>
    </w:p>
    <w:p w14:paraId="0F306AE9" w14:textId="7A10DFAC" w:rsidR="00D1085E" w:rsidRPr="00D1085E" w:rsidRDefault="00C329EF" w:rsidP="00C329EF">
      <w:pPr>
        <w:autoSpaceDE w:val="0"/>
        <w:autoSpaceDN w:val="0"/>
        <w:adjustRightInd w:val="0"/>
        <w:spacing w:after="0" w:line="240" w:lineRule="auto"/>
        <w:jc w:val="center"/>
        <w:rPr>
          <w:rFonts w:ascii="Times New Roman" w:eastAsia="Calibri" w:hAnsi="Times New Roman" w:cs="Times New Roman"/>
          <w:b/>
          <w:bCs/>
          <w:sz w:val="21"/>
          <w:szCs w:val="21"/>
        </w:rPr>
      </w:pPr>
      <w:bookmarkStart w:id="101" w:name="_Hlk194593529"/>
      <w:r>
        <w:rPr>
          <w:rFonts w:ascii="Times New Roman" w:eastAsia="Calibri" w:hAnsi="Times New Roman" w:cs="Times New Roman"/>
          <w:b/>
          <w:bCs/>
          <w:sz w:val="21"/>
          <w:szCs w:val="21"/>
        </w:rPr>
        <w:t>Ф</w:t>
      </w:r>
      <w:r w:rsidRPr="00D1085E">
        <w:rPr>
          <w:rFonts w:ascii="Times New Roman" w:eastAsia="Calibri" w:hAnsi="Times New Roman" w:cs="Times New Roman"/>
          <w:b/>
          <w:bCs/>
          <w:sz w:val="21"/>
          <w:szCs w:val="21"/>
        </w:rPr>
        <w:t>инансовое стимулирование развития инновационных отраслей</w:t>
      </w:r>
      <w:bookmarkEnd w:id="101"/>
    </w:p>
    <w:p w14:paraId="4F823181" w14:textId="77777777" w:rsidR="00D1085E" w:rsidRPr="00D1085E" w:rsidRDefault="00D1085E" w:rsidP="00C329EF">
      <w:pPr>
        <w:autoSpaceDE w:val="0"/>
        <w:autoSpaceDN w:val="0"/>
        <w:adjustRightInd w:val="0"/>
        <w:spacing w:after="0" w:line="240" w:lineRule="auto"/>
        <w:jc w:val="center"/>
        <w:rPr>
          <w:rFonts w:ascii="Times New Roman" w:eastAsia="Calibri" w:hAnsi="Times New Roman" w:cs="Times New Roman"/>
          <w:b/>
          <w:bCs/>
          <w:sz w:val="21"/>
          <w:szCs w:val="21"/>
        </w:rPr>
      </w:pPr>
    </w:p>
    <w:p w14:paraId="50B1F8EE" w14:textId="77777777" w:rsidR="00D1085E" w:rsidRPr="00D1085E" w:rsidRDefault="00D1085E" w:rsidP="00C329EF">
      <w:pPr>
        <w:spacing w:after="0" w:line="240" w:lineRule="auto"/>
        <w:ind w:firstLine="851"/>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b/>
          <w:bCs/>
          <w:sz w:val="21"/>
          <w:szCs w:val="21"/>
        </w:rPr>
        <w:t xml:space="preserve">Аннотация: </w:t>
      </w:r>
      <w:r w:rsidRPr="00D1085E">
        <w:rPr>
          <w:rFonts w:ascii="Times New Roman" w:eastAsia="Calibri" w:hAnsi="Times New Roman" w:cs="Times New Roman"/>
          <w:sz w:val="21"/>
          <w:szCs w:val="21"/>
        </w:rPr>
        <w:t xml:space="preserve">В статье ставится задача </w:t>
      </w:r>
      <w:r w:rsidRPr="00D1085E">
        <w:rPr>
          <w:rFonts w:ascii="Times New Roman" w:eastAsia="Calibri" w:hAnsi="Times New Roman" w:cs="Times New Roman"/>
          <w:kern w:val="2"/>
          <w:sz w:val="21"/>
          <w:szCs w:val="21"/>
          <w14:ligatures w14:val="standardContextual"/>
        </w:rPr>
        <w:t>исследования и оценки влияния финансового стимулирования на развитие инновационных отраслей, выявление практических механизмов и инструментов, способствующих эффективному инвестиционному процессу. Были представлены основные результаты научно-исследовательской работы, в результате чего определены мероприятия и меры, направленные на стимулирование развития инновационных отраслей.</w:t>
      </w:r>
    </w:p>
    <w:p w14:paraId="56A79ED9" w14:textId="77777777" w:rsidR="00D1085E" w:rsidRPr="00D1085E" w:rsidRDefault="00D1085E" w:rsidP="00C329EF">
      <w:pPr>
        <w:spacing w:after="0" w:line="240" w:lineRule="auto"/>
        <w:ind w:firstLine="851"/>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b/>
          <w:bCs/>
          <w:kern w:val="2"/>
          <w:sz w:val="21"/>
          <w:szCs w:val="21"/>
          <w14:ligatures w14:val="standardContextual"/>
        </w:rPr>
        <w:t>Ключевые слова:</w:t>
      </w:r>
      <w:r w:rsidRPr="00D1085E">
        <w:rPr>
          <w:rFonts w:ascii="Times New Roman" w:eastAsia="Calibri" w:hAnsi="Times New Roman" w:cs="Times New Roman"/>
          <w:kern w:val="2"/>
          <w:sz w:val="21"/>
          <w:szCs w:val="21"/>
          <w14:ligatures w14:val="standardContextual"/>
        </w:rPr>
        <w:t xml:space="preserve"> финансовое стимулирование, инновационное развитие, инновации, инновационная активность.</w:t>
      </w:r>
    </w:p>
    <w:p w14:paraId="7785C33F" w14:textId="77777777" w:rsidR="00D1085E" w:rsidRPr="00D1085E" w:rsidRDefault="00D1085E" w:rsidP="00C329EF">
      <w:pPr>
        <w:spacing w:after="0" w:line="240" w:lineRule="auto"/>
        <w:ind w:firstLine="851"/>
        <w:jc w:val="both"/>
        <w:rPr>
          <w:rFonts w:ascii="Times New Roman" w:eastAsia="Calibri" w:hAnsi="Times New Roman" w:cs="Times New Roman"/>
          <w:kern w:val="2"/>
          <w:sz w:val="21"/>
          <w:szCs w:val="21"/>
          <w14:ligatures w14:val="standardContextual"/>
        </w:rPr>
      </w:pPr>
    </w:p>
    <w:p w14:paraId="61A02E9D"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val="en-US" w:eastAsia="ru-RU"/>
          <w14:ligatures w14:val="standardContextual"/>
        </w:rPr>
      </w:pPr>
      <w:r w:rsidRPr="00D1085E">
        <w:rPr>
          <w:rFonts w:ascii="Times New Roman" w:eastAsia="Calibri" w:hAnsi="Times New Roman" w:cs="Times New Roman"/>
          <w:b/>
          <w:bCs/>
          <w:i/>
          <w:iCs/>
          <w:kern w:val="2"/>
          <w:sz w:val="21"/>
          <w:szCs w:val="21"/>
          <w:lang w:val="en-US" w:eastAsia="ru-RU"/>
          <w14:ligatures w14:val="standardContextual"/>
        </w:rPr>
        <w:t>Voinilovich A.S.,</w:t>
      </w:r>
    </w:p>
    <w:p w14:paraId="59291812"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 xml:space="preserve">student, 1 </w:t>
      </w:r>
      <w:proofErr w:type="gramStart"/>
      <w:r w:rsidRPr="00D1085E">
        <w:rPr>
          <w:rFonts w:ascii="Times New Roman" w:eastAsia="Calibri" w:hAnsi="Times New Roman" w:cs="Times New Roman"/>
          <w:i/>
          <w:iCs/>
          <w:kern w:val="2"/>
          <w:sz w:val="21"/>
          <w:szCs w:val="21"/>
          <w:lang w:val="en-US" w:eastAsia="ru-RU"/>
          <w14:ligatures w14:val="standardContextual"/>
        </w:rPr>
        <w:t>courses</w:t>
      </w:r>
      <w:proofErr w:type="gramEnd"/>
      <w:r w:rsidRPr="00D1085E">
        <w:rPr>
          <w:rFonts w:ascii="Times New Roman" w:eastAsia="Calibri" w:hAnsi="Times New Roman" w:cs="Times New Roman"/>
          <w:i/>
          <w:iCs/>
          <w:kern w:val="2"/>
          <w:sz w:val="21"/>
          <w:szCs w:val="21"/>
          <w:lang w:val="en-US" w:eastAsia="ru-RU"/>
          <w14:ligatures w14:val="standardContextual"/>
        </w:rPr>
        <w:br/>
        <w:t>Financial University under the Government of the Russian Federation</w:t>
      </w:r>
      <w:r w:rsidRPr="00D1085E">
        <w:rPr>
          <w:rFonts w:ascii="Times New Roman" w:eastAsia="Calibri" w:hAnsi="Times New Roman" w:cs="Times New Roman"/>
          <w:i/>
          <w:iCs/>
          <w:kern w:val="2"/>
          <w:sz w:val="21"/>
          <w:szCs w:val="21"/>
          <w:lang w:val="en-US" w:eastAsia="ru-RU"/>
          <w14:ligatures w14:val="standardContextual"/>
        </w:rPr>
        <w:br/>
        <w:t>Krasnodar, Russia</w:t>
      </w:r>
    </w:p>
    <w:p w14:paraId="188D5EFB" w14:textId="77777777" w:rsidR="00D1085E" w:rsidRPr="00656AA8" w:rsidRDefault="00D1085E" w:rsidP="00C329EF">
      <w:pPr>
        <w:autoSpaceDE w:val="0"/>
        <w:autoSpaceDN w:val="0"/>
        <w:adjustRightInd w:val="0"/>
        <w:spacing w:after="0" w:line="240" w:lineRule="auto"/>
        <w:jc w:val="right"/>
        <w:rPr>
          <w:rFonts w:ascii="Times New Roman" w:eastAsia="Calibri" w:hAnsi="Times New Roman" w:cs="Times New Roman"/>
          <w:kern w:val="2"/>
          <w:sz w:val="21"/>
          <w:szCs w:val="21"/>
          <w:lang w:val="en-US"/>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 xml:space="preserve">e-mail: </w:t>
      </w:r>
      <w:hyperlink r:id="rId589" w:history="1">
        <w:r w:rsidRPr="00D1085E">
          <w:rPr>
            <w:rFonts w:ascii="Times New Roman" w:eastAsia="Calibri" w:hAnsi="Times New Roman" w:cs="Times New Roman"/>
            <w:i/>
            <w:iCs/>
            <w:color w:val="0563C1"/>
            <w:kern w:val="2"/>
            <w:sz w:val="21"/>
            <w:szCs w:val="21"/>
            <w:u w:val="single"/>
            <w:lang w:val="en-US" w:eastAsia="ru-RU"/>
            <w14:ligatures w14:val="standardContextual"/>
          </w:rPr>
          <w:t>vonilovichsasha@gmail.com</w:t>
        </w:r>
      </w:hyperlink>
    </w:p>
    <w:p w14:paraId="1DDD911C" w14:textId="77777777" w:rsidR="009E34C2" w:rsidRPr="00D1085E" w:rsidRDefault="009E34C2"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p>
    <w:p w14:paraId="02818101"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val="en-US" w:eastAsia="ru-RU"/>
          <w14:ligatures w14:val="standardContextual"/>
        </w:rPr>
      </w:pPr>
      <w:r w:rsidRPr="00D1085E">
        <w:rPr>
          <w:rFonts w:ascii="Times New Roman" w:eastAsia="Calibri" w:hAnsi="Times New Roman" w:cs="Times New Roman"/>
          <w:b/>
          <w:bCs/>
          <w:i/>
          <w:iCs/>
          <w:kern w:val="2"/>
          <w:sz w:val="21"/>
          <w:szCs w:val="21"/>
          <w:lang w:val="en-US" w:eastAsia="ru-RU"/>
          <w14:ligatures w14:val="standardContextual"/>
        </w:rPr>
        <w:t>Scientific Adviser:</w:t>
      </w:r>
    </w:p>
    <w:p w14:paraId="3D3EB138"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b/>
          <w:bCs/>
          <w:i/>
          <w:iCs/>
          <w:kern w:val="2"/>
          <w:sz w:val="21"/>
          <w:szCs w:val="21"/>
          <w:lang w:val="en-US" w:eastAsia="ru-RU"/>
          <w14:ligatures w14:val="standardContextual"/>
        </w:rPr>
      </w:pPr>
      <w:r w:rsidRPr="00D1085E">
        <w:rPr>
          <w:rFonts w:ascii="Times New Roman" w:eastAsia="Calibri" w:hAnsi="Times New Roman" w:cs="Times New Roman"/>
          <w:b/>
          <w:bCs/>
          <w:i/>
          <w:iCs/>
          <w:kern w:val="2"/>
          <w:sz w:val="21"/>
          <w:szCs w:val="21"/>
          <w:lang w:val="en-US" w:eastAsia="ru-RU"/>
          <w14:ligatures w14:val="standardContextual"/>
        </w:rPr>
        <w:t>Radchenko M.V.,</w:t>
      </w:r>
    </w:p>
    <w:p w14:paraId="2921917B"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Doctor of Science (Economics), Docent</w:t>
      </w:r>
      <w:r w:rsidRPr="00D1085E">
        <w:rPr>
          <w:rFonts w:ascii="Times New Roman" w:eastAsia="Calibri" w:hAnsi="Times New Roman" w:cs="Times New Roman"/>
          <w:i/>
          <w:iCs/>
          <w:kern w:val="2"/>
          <w:sz w:val="21"/>
          <w:szCs w:val="21"/>
          <w:lang w:val="en-US" w:eastAsia="ru-RU"/>
          <w14:ligatures w14:val="standardContextual"/>
        </w:rPr>
        <w:br/>
        <w:t>Financial University under the Government of the Russian Federation</w:t>
      </w:r>
    </w:p>
    <w:p w14:paraId="07D6E7E4"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Krasnodar, Russia</w:t>
      </w:r>
    </w:p>
    <w:p w14:paraId="5A8ABEE3"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r w:rsidRPr="00D1085E">
        <w:rPr>
          <w:rFonts w:ascii="Times New Roman" w:eastAsia="Calibri" w:hAnsi="Times New Roman" w:cs="Times New Roman"/>
          <w:i/>
          <w:iCs/>
          <w:kern w:val="2"/>
          <w:sz w:val="21"/>
          <w:szCs w:val="21"/>
          <w:lang w:val="en-US" w:eastAsia="ru-RU"/>
          <w14:ligatures w14:val="standardContextual"/>
        </w:rPr>
        <w:t xml:space="preserve">e-mail: </w:t>
      </w:r>
      <w:hyperlink r:id="rId590" w:tgtFrame="_blank" w:history="1">
        <w:r w:rsidRPr="00D1085E">
          <w:rPr>
            <w:rFonts w:ascii="Times New Roman" w:eastAsia="Calibri" w:hAnsi="Times New Roman" w:cs="Times New Roman"/>
            <w:i/>
            <w:iCs/>
            <w:color w:val="0563C1"/>
            <w:kern w:val="2"/>
            <w:sz w:val="21"/>
            <w:szCs w:val="21"/>
            <w:u w:val="single"/>
            <w:lang w:val="en-US" w:eastAsia="ru-RU"/>
            <w14:ligatures w14:val="standardContextual"/>
          </w:rPr>
          <w:t>mvradchenko@fa.ru</w:t>
        </w:r>
      </w:hyperlink>
    </w:p>
    <w:p w14:paraId="17C9F8FD" w14:textId="77777777" w:rsidR="00D1085E" w:rsidRPr="00D1085E" w:rsidRDefault="00D1085E" w:rsidP="00C329EF">
      <w:pPr>
        <w:autoSpaceDE w:val="0"/>
        <w:autoSpaceDN w:val="0"/>
        <w:adjustRightInd w:val="0"/>
        <w:spacing w:after="0" w:line="240" w:lineRule="auto"/>
        <w:jc w:val="right"/>
        <w:rPr>
          <w:rFonts w:ascii="Times New Roman" w:eastAsia="Calibri" w:hAnsi="Times New Roman" w:cs="Times New Roman"/>
          <w:i/>
          <w:iCs/>
          <w:kern w:val="2"/>
          <w:sz w:val="21"/>
          <w:szCs w:val="21"/>
          <w:lang w:val="en-US" w:eastAsia="ru-RU"/>
          <w14:ligatures w14:val="standardContextual"/>
        </w:rPr>
      </w:pPr>
    </w:p>
    <w:p w14:paraId="51028DF0" w14:textId="2B2EC17D" w:rsidR="00D1085E" w:rsidRPr="00D1085E" w:rsidRDefault="009E34C2" w:rsidP="00C329EF">
      <w:pPr>
        <w:autoSpaceDE w:val="0"/>
        <w:autoSpaceDN w:val="0"/>
        <w:adjustRightInd w:val="0"/>
        <w:spacing w:after="0" w:line="240" w:lineRule="auto"/>
        <w:jc w:val="center"/>
        <w:rPr>
          <w:rFonts w:ascii="Times New Roman" w:eastAsia="Calibri" w:hAnsi="Times New Roman" w:cs="Times New Roman"/>
          <w:b/>
          <w:bCs/>
          <w:sz w:val="21"/>
          <w:szCs w:val="21"/>
          <w:lang w:val="en-US"/>
        </w:rPr>
      </w:pPr>
      <w:r>
        <w:rPr>
          <w:rFonts w:ascii="Times New Roman" w:eastAsia="Calibri" w:hAnsi="Times New Roman" w:cs="Times New Roman"/>
          <w:b/>
          <w:bCs/>
          <w:sz w:val="21"/>
          <w:szCs w:val="21"/>
          <w:lang w:val="en-US"/>
        </w:rPr>
        <w:t>F</w:t>
      </w:r>
      <w:r w:rsidRPr="00D1085E">
        <w:rPr>
          <w:rFonts w:ascii="Times New Roman" w:eastAsia="Calibri" w:hAnsi="Times New Roman" w:cs="Times New Roman"/>
          <w:b/>
          <w:bCs/>
          <w:sz w:val="21"/>
          <w:szCs w:val="21"/>
          <w:lang w:val="en-US"/>
        </w:rPr>
        <w:t>inancial incentives for the development of innovative industries</w:t>
      </w:r>
    </w:p>
    <w:p w14:paraId="6A0C1916" w14:textId="77777777" w:rsidR="00D1085E" w:rsidRPr="00D1085E" w:rsidRDefault="00D1085E" w:rsidP="00C329EF">
      <w:pPr>
        <w:autoSpaceDE w:val="0"/>
        <w:autoSpaceDN w:val="0"/>
        <w:adjustRightInd w:val="0"/>
        <w:spacing w:after="0" w:line="240" w:lineRule="auto"/>
        <w:jc w:val="center"/>
        <w:rPr>
          <w:rFonts w:ascii="Times New Roman" w:eastAsia="Calibri" w:hAnsi="Times New Roman" w:cs="Times New Roman"/>
          <w:b/>
          <w:bCs/>
          <w:sz w:val="21"/>
          <w:szCs w:val="21"/>
          <w:lang w:val="en-US"/>
        </w:rPr>
      </w:pPr>
    </w:p>
    <w:p w14:paraId="6D2B4638" w14:textId="77777777" w:rsidR="00D1085E" w:rsidRPr="00D1085E" w:rsidRDefault="00D1085E" w:rsidP="00C329EF">
      <w:pPr>
        <w:spacing w:after="0" w:line="240" w:lineRule="auto"/>
        <w:ind w:firstLine="851"/>
        <w:jc w:val="both"/>
        <w:rPr>
          <w:rFonts w:ascii="Times New Roman" w:eastAsia="Calibri" w:hAnsi="Times New Roman" w:cs="Times New Roman"/>
          <w:b/>
          <w:bCs/>
          <w:kern w:val="2"/>
          <w:sz w:val="21"/>
          <w:szCs w:val="21"/>
          <w:lang w:val="en-US"/>
          <w14:ligatures w14:val="standardContextual"/>
        </w:rPr>
      </w:pPr>
      <w:r w:rsidRPr="00D1085E">
        <w:rPr>
          <w:rFonts w:ascii="Times New Roman" w:eastAsia="Calibri" w:hAnsi="Times New Roman" w:cs="Times New Roman"/>
          <w:b/>
          <w:bCs/>
          <w:sz w:val="21"/>
          <w:szCs w:val="21"/>
          <w:lang w:val="en-US"/>
        </w:rPr>
        <w:t xml:space="preserve">Abstract: </w:t>
      </w:r>
      <w:r w:rsidRPr="00D1085E">
        <w:rPr>
          <w:rFonts w:ascii="Times New Roman" w:eastAsia="Calibri" w:hAnsi="Times New Roman" w:cs="Times New Roman"/>
          <w:sz w:val="21"/>
          <w:szCs w:val="21"/>
          <w:lang w:val="en-US"/>
        </w:rPr>
        <w:t>The article sets out the task of researching and evaluating the impact of financial incentives on the development of innovative industries, identifying practical mechanisms and tools that contribute to an effective investment process. The main results of the research work were presented, as a result of which measures and measures aimed at stimulating the development of innovative industries were identified.</w:t>
      </w:r>
    </w:p>
    <w:p w14:paraId="3031BB65" w14:textId="77777777" w:rsidR="00D1085E" w:rsidRPr="00D1085E" w:rsidRDefault="00D1085E" w:rsidP="00C329EF">
      <w:pPr>
        <w:spacing w:after="0" w:line="240" w:lineRule="auto"/>
        <w:ind w:firstLine="851"/>
        <w:jc w:val="both"/>
        <w:rPr>
          <w:rFonts w:ascii="Times New Roman" w:eastAsia="Calibri" w:hAnsi="Times New Roman" w:cs="Times New Roman"/>
          <w:i/>
          <w:iCs/>
          <w:kern w:val="2"/>
          <w:sz w:val="21"/>
          <w:szCs w:val="21"/>
          <w:lang w:val="en-US" w:eastAsia="ru-RU"/>
          <w14:ligatures w14:val="standardContextual"/>
        </w:rPr>
      </w:pPr>
      <w:r w:rsidRPr="00D1085E">
        <w:rPr>
          <w:rFonts w:ascii="Times New Roman" w:eastAsia="Calibri" w:hAnsi="Times New Roman" w:cs="Times New Roman"/>
          <w:b/>
          <w:bCs/>
          <w:kern w:val="2"/>
          <w:sz w:val="21"/>
          <w:szCs w:val="21"/>
          <w:lang w:val="en-US"/>
          <w14:ligatures w14:val="standardContextual"/>
        </w:rPr>
        <w:t xml:space="preserve">Keywords: </w:t>
      </w:r>
      <w:r w:rsidRPr="00D1085E">
        <w:rPr>
          <w:rFonts w:ascii="Times New Roman" w:eastAsia="Calibri" w:hAnsi="Times New Roman" w:cs="Times New Roman"/>
          <w:kern w:val="2"/>
          <w:sz w:val="21"/>
          <w:szCs w:val="21"/>
          <w:lang w:val="en-US"/>
          <w14:ligatures w14:val="standardContextual"/>
        </w:rPr>
        <w:t>financial incentives, innovative development, innovation, innovative activity.</w:t>
      </w:r>
    </w:p>
    <w:p w14:paraId="7EEEDEA4" w14:textId="77777777" w:rsidR="00D1085E" w:rsidRPr="00D1085E" w:rsidRDefault="00D1085E" w:rsidP="00D1085E">
      <w:pPr>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2CE02853"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В связи с ускорением темпов развития мировой экономики и усилением конкуренции в области инноваций, вопросы инновационного развития становятся как никогда актуальными. Экономика нашей страны сталкивается с серьезными вызовами, что требует выработки адекватной стратегии развития. Инвестирование в науку и технологии, а также создание благоприятной финансовой среды для стартапов и исследовательских проектов становится особенно важным, чтобы не отставать от конкурентов на международных рынках.</w:t>
      </w:r>
    </w:p>
    <w:p w14:paraId="2E77BD9D"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lastRenderedPageBreak/>
        <w:t xml:space="preserve">За последний десяток лет объем расходов из бюджета, выделяемого на научные исследования, и частных вложений превысил 1 трлн рублей. В период 2014-2017 годов внешнеполитическое давление, вводимые зарубежными государствами экономические санкции, а также значительное снижение стоимости отечественных нефтяных ресурсов в соотношении с конвертируемыми валютами (долларом и евро) негативно повлияли на инновационные процессы, расходы на научные исследования из бюджета сократились [2]. </w:t>
      </w:r>
    </w:p>
    <w:p w14:paraId="42B1F21F" w14:textId="77777777" w:rsidR="00D1085E" w:rsidRPr="00D1085E" w:rsidRDefault="00D1085E" w:rsidP="00D1085E">
      <w:pPr>
        <w:spacing w:after="0" w:line="240" w:lineRule="auto"/>
        <w:ind w:firstLine="851"/>
        <w:contextualSpacing/>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Согласно данным Росстата, динамика развития инноваций в России за последние годы характеризуется нестабильностью, с преобладанием темпов роста, не достигающих 110%. Такая ситуация позволяет отнести Россию ко II уровню инновационного развития, который считается низким [3]. </w:t>
      </w:r>
    </w:p>
    <w:p w14:paraId="3FA2710B"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Финансовое стимулирование развития таких отраслей включает различные инструменты, приведенные в таблице 2.</w:t>
      </w:r>
    </w:p>
    <w:p w14:paraId="55D78E68"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Также для стимулирования данной деятельности важно развивать технологические платформы, на которых собирается информация о действующих инновационных разработках, инвесторах и возможных инновационных предприятиях.  </w:t>
      </w:r>
    </w:p>
    <w:p w14:paraId="2C7CCE9A" w14:textId="77777777" w:rsidR="00D1085E" w:rsidRPr="00D1085E" w:rsidRDefault="00D1085E" w:rsidP="00D1085E">
      <w:pPr>
        <w:spacing w:after="0" w:line="360" w:lineRule="auto"/>
        <w:jc w:val="both"/>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kern w:val="2"/>
          <w:sz w:val="28"/>
          <w:szCs w:val="28"/>
          <w14:ligatures w14:val="standardContextual"/>
        </w:rPr>
        <w:t>Таблица 2 – Инструменты финансового стимулирования</w:t>
      </w:r>
    </w:p>
    <w:tbl>
      <w:tblPr>
        <w:tblStyle w:val="62"/>
        <w:tblW w:w="10060" w:type="dxa"/>
        <w:tblLook w:val="04A0" w:firstRow="1" w:lastRow="0" w:firstColumn="1" w:lastColumn="0" w:noHBand="0" w:noVBand="1"/>
      </w:tblPr>
      <w:tblGrid>
        <w:gridCol w:w="1885"/>
        <w:gridCol w:w="2930"/>
        <w:gridCol w:w="5245"/>
      </w:tblGrid>
      <w:tr w:rsidR="00D1085E" w:rsidRPr="00D1085E" w14:paraId="7C2F6C62" w14:textId="77777777" w:rsidTr="00EB1CB9">
        <w:tc>
          <w:tcPr>
            <w:tcW w:w="1885" w:type="dxa"/>
          </w:tcPr>
          <w:p w14:paraId="4B0EC00A" w14:textId="77777777" w:rsidR="00D1085E" w:rsidRPr="00D1085E" w:rsidRDefault="00D1085E" w:rsidP="00D1085E">
            <w:pPr>
              <w:jc w:val="center"/>
              <w:rPr>
                <w:rFonts w:ascii="Times New Roman" w:eastAsia="Calibri" w:hAnsi="Times New Roman" w:cs="Times New Roman"/>
                <w:sz w:val="24"/>
                <w:szCs w:val="24"/>
              </w:rPr>
            </w:pPr>
          </w:p>
        </w:tc>
        <w:tc>
          <w:tcPr>
            <w:tcW w:w="2930" w:type="dxa"/>
          </w:tcPr>
          <w:p w14:paraId="0FEA0E29"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Прямое финансирование</w:t>
            </w:r>
          </w:p>
        </w:tc>
        <w:tc>
          <w:tcPr>
            <w:tcW w:w="5245" w:type="dxa"/>
          </w:tcPr>
          <w:p w14:paraId="212DFC29"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Косвенное финансовое стимулирование</w:t>
            </w:r>
          </w:p>
        </w:tc>
      </w:tr>
      <w:tr w:rsidR="00D1085E" w:rsidRPr="00D1085E" w14:paraId="768BC46B" w14:textId="77777777" w:rsidTr="00EB1CB9">
        <w:tc>
          <w:tcPr>
            <w:tcW w:w="1885" w:type="dxa"/>
          </w:tcPr>
          <w:p w14:paraId="425DF459" w14:textId="77777777" w:rsidR="00D1085E" w:rsidRPr="00D1085E" w:rsidRDefault="00D1085E" w:rsidP="00D1085E">
            <w:pPr>
              <w:jc w:val="both"/>
              <w:rPr>
                <w:rFonts w:ascii="Times New Roman" w:eastAsia="Calibri" w:hAnsi="Times New Roman" w:cs="Times New Roman"/>
                <w:sz w:val="24"/>
                <w:szCs w:val="24"/>
              </w:rPr>
            </w:pPr>
            <w:r w:rsidRPr="00D1085E">
              <w:rPr>
                <w:rFonts w:ascii="Times New Roman" w:eastAsia="Calibri" w:hAnsi="Times New Roman" w:cs="Times New Roman"/>
                <w:sz w:val="24"/>
                <w:szCs w:val="24"/>
              </w:rPr>
              <w:t>Инновационные проекты</w:t>
            </w:r>
          </w:p>
        </w:tc>
        <w:tc>
          <w:tcPr>
            <w:tcW w:w="2930" w:type="dxa"/>
          </w:tcPr>
          <w:p w14:paraId="2973C0D7"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субсидии;</w:t>
            </w:r>
          </w:p>
          <w:p w14:paraId="58B9CF05" w14:textId="77777777" w:rsidR="00D1085E" w:rsidRPr="00D1085E" w:rsidRDefault="00D1085E" w:rsidP="00D1085E">
            <w:pPr>
              <w:ind w:right="-103"/>
              <w:rPr>
                <w:rFonts w:ascii="Times New Roman" w:eastAsia="Calibri" w:hAnsi="Times New Roman" w:cs="Times New Roman"/>
                <w:sz w:val="24"/>
                <w:szCs w:val="24"/>
              </w:rPr>
            </w:pPr>
            <w:r w:rsidRPr="00D1085E">
              <w:rPr>
                <w:rFonts w:ascii="Times New Roman" w:eastAsia="Calibri" w:hAnsi="Times New Roman" w:cs="Times New Roman"/>
                <w:sz w:val="24"/>
                <w:szCs w:val="24"/>
              </w:rPr>
              <w:t>- гранты на научные исследования;</w:t>
            </w:r>
          </w:p>
          <w:p w14:paraId="6B47E7A1" w14:textId="77777777" w:rsidR="00D1085E" w:rsidRPr="00D1085E" w:rsidRDefault="00D1085E" w:rsidP="00D1085E">
            <w:pPr>
              <w:ind w:right="-103"/>
              <w:rPr>
                <w:rFonts w:ascii="Times New Roman" w:eastAsia="Calibri" w:hAnsi="Times New Roman" w:cs="Times New Roman"/>
                <w:sz w:val="24"/>
                <w:szCs w:val="24"/>
              </w:rPr>
            </w:pPr>
            <w:r w:rsidRPr="00D1085E">
              <w:rPr>
                <w:rFonts w:ascii="Times New Roman" w:eastAsia="Calibri" w:hAnsi="Times New Roman" w:cs="Times New Roman"/>
                <w:sz w:val="24"/>
                <w:szCs w:val="24"/>
              </w:rPr>
              <w:t>- взносы в уставный капитал организаций;</w:t>
            </w:r>
          </w:p>
          <w:p w14:paraId="408DEC25" w14:textId="77777777" w:rsidR="00D1085E" w:rsidRPr="00D1085E" w:rsidRDefault="00D1085E" w:rsidP="00D1085E">
            <w:pPr>
              <w:ind w:right="-103"/>
              <w:rPr>
                <w:rFonts w:ascii="Times New Roman" w:eastAsia="Calibri" w:hAnsi="Times New Roman" w:cs="Times New Roman"/>
                <w:sz w:val="24"/>
                <w:szCs w:val="24"/>
              </w:rPr>
            </w:pPr>
            <w:r w:rsidRPr="00D1085E">
              <w:rPr>
                <w:rFonts w:ascii="Times New Roman" w:eastAsia="Calibri" w:hAnsi="Times New Roman" w:cs="Times New Roman"/>
                <w:sz w:val="24"/>
                <w:szCs w:val="24"/>
              </w:rPr>
              <w:t>- приобретение обязательств инновационных организаций;</w:t>
            </w:r>
          </w:p>
          <w:p w14:paraId="1FA92D92"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льготные кредиты и займы;</w:t>
            </w:r>
          </w:p>
          <w:p w14:paraId="3846039F"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варианты софинансирования с частным бизнесом (механизмы венчурного финансирования и государственно-частного партнерства).</w:t>
            </w:r>
          </w:p>
        </w:tc>
        <w:tc>
          <w:tcPr>
            <w:tcW w:w="5245" w:type="dxa"/>
          </w:tcPr>
          <w:p w14:paraId="7105AC79"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налоговые льготы;</w:t>
            </w:r>
          </w:p>
          <w:p w14:paraId="01B68344"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инвестиционный налоговый кредит;</w:t>
            </w:r>
          </w:p>
          <w:p w14:paraId="51D66AFE"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пониженные налоговые ставки;</w:t>
            </w:r>
          </w:p>
          <w:p w14:paraId="29D38152"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налоговые каникулы;</w:t>
            </w:r>
          </w:p>
          <w:p w14:paraId="3214F89D"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льготные режимы налогообложения;</w:t>
            </w:r>
          </w:p>
          <w:p w14:paraId="69925FFF"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освобождение из-под налогообложения отдельных объектов;</w:t>
            </w:r>
          </w:p>
          <w:p w14:paraId="2F79A5FC"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упрощенный порядок ведения бухгалтерского и налогового учета;</w:t>
            </w:r>
          </w:p>
          <w:p w14:paraId="68E1810C"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амортизационные льготы;</w:t>
            </w:r>
          </w:p>
          <w:p w14:paraId="2E2094A8"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страховые льготы (тарифы, взносы);</w:t>
            </w:r>
          </w:p>
          <w:p w14:paraId="32F3CF11"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таможенные льготы (пошлины, сборы);</w:t>
            </w:r>
          </w:p>
          <w:p w14:paraId="4E5B9771"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поручительства и гарантии по кредитам;</w:t>
            </w:r>
          </w:p>
          <w:p w14:paraId="2ACDA2D8" w14:textId="77777777" w:rsidR="00D1085E" w:rsidRPr="00D1085E" w:rsidRDefault="00D1085E" w:rsidP="00D1085E">
            <w:pPr>
              <w:ind w:right="-115"/>
              <w:rPr>
                <w:rFonts w:ascii="Times New Roman" w:eastAsia="Calibri" w:hAnsi="Times New Roman" w:cs="Times New Roman"/>
                <w:sz w:val="24"/>
                <w:szCs w:val="24"/>
              </w:rPr>
            </w:pPr>
            <w:r w:rsidRPr="00D1085E">
              <w:rPr>
                <w:rFonts w:ascii="Times New Roman" w:eastAsia="Calibri" w:hAnsi="Times New Roman" w:cs="Times New Roman"/>
                <w:sz w:val="24"/>
                <w:szCs w:val="24"/>
              </w:rPr>
              <w:t>- льготное ценообразование (льготные арендные ставки, расценки на услуги, др.) и т.п.</w:t>
            </w:r>
          </w:p>
          <w:p w14:paraId="2DECF550" w14:textId="77777777" w:rsidR="00D1085E" w:rsidRPr="00D1085E" w:rsidRDefault="00D1085E" w:rsidP="00D1085E">
            <w:pPr>
              <w:rPr>
                <w:rFonts w:ascii="Times New Roman" w:eastAsia="Calibri" w:hAnsi="Times New Roman" w:cs="Times New Roman"/>
                <w:sz w:val="24"/>
                <w:szCs w:val="24"/>
              </w:rPr>
            </w:pPr>
          </w:p>
        </w:tc>
      </w:tr>
      <w:tr w:rsidR="00D1085E" w:rsidRPr="00D1085E" w14:paraId="2D64A496" w14:textId="77777777" w:rsidTr="00EB1CB9">
        <w:tc>
          <w:tcPr>
            <w:tcW w:w="1885" w:type="dxa"/>
          </w:tcPr>
          <w:p w14:paraId="6AFB2C36" w14:textId="77777777" w:rsidR="00D1085E" w:rsidRPr="00D1085E" w:rsidRDefault="00D1085E" w:rsidP="00D1085E">
            <w:pPr>
              <w:jc w:val="both"/>
              <w:rPr>
                <w:rFonts w:ascii="Times New Roman" w:eastAsia="Calibri" w:hAnsi="Times New Roman" w:cs="Times New Roman"/>
                <w:sz w:val="24"/>
                <w:szCs w:val="24"/>
              </w:rPr>
            </w:pPr>
            <w:r w:rsidRPr="00D1085E">
              <w:rPr>
                <w:rFonts w:ascii="Times New Roman" w:eastAsia="Calibri" w:hAnsi="Times New Roman" w:cs="Times New Roman"/>
                <w:sz w:val="24"/>
                <w:szCs w:val="24"/>
              </w:rPr>
              <w:t>Инновационная инфраструктура</w:t>
            </w:r>
          </w:p>
        </w:tc>
        <w:tc>
          <w:tcPr>
            <w:tcW w:w="2930" w:type="dxa"/>
          </w:tcPr>
          <w:p w14:paraId="40DC10D3"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гранты на научные исследования;</w:t>
            </w:r>
          </w:p>
          <w:p w14:paraId="557E3635"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взносы в уставный капитал организаций</w:t>
            </w:r>
          </w:p>
          <w:p w14:paraId="65F27B00" w14:textId="77777777" w:rsidR="00D1085E" w:rsidRPr="00D1085E" w:rsidRDefault="00D1085E" w:rsidP="00D1085E">
            <w:pPr>
              <w:rPr>
                <w:rFonts w:ascii="Times New Roman" w:eastAsia="Calibri" w:hAnsi="Times New Roman" w:cs="Times New Roman"/>
                <w:sz w:val="24"/>
                <w:szCs w:val="24"/>
              </w:rPr>
            </w:pPr>
          </w:p>
        </w:tc>
        <w:tc>
          <w:tcPr>
            <w:tcW w:w="5245" w:type="dxa"/>
          </w:tcPr>
          <w:p w14:paraId="2265907C"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 налоговые льготы организациям</w:t>
            </w:r>
          </w:p>
        </w:tc>
      </w:tr>
    </w:tbl>
    <w:p w14:paraId="090AE989" w14:textId="77777777" w:rsidR="00D1085E" w:rsidRPr="00D1085E" w:rsidRDefault="00D1085E" w:rsidP="00D1085E">
      <w:pPr>
        <w:spacing w:after="0" w:line="240" w:lineRule="auto"/>
        <w:ind w:firstLine="851"/>
        <w:jc w:val="both"/>
        <w:rPr>
          <w:rFonts w:ascii="Times New Roman" w:eastAsia="Calibri" w:hAnsi="Times New Roman" w:cs="Times New Roman"/>
          <w:kern w:val="2"/>
          <w:sz w:val="28"/>
          <w:szCs w:val="28"/>
          <w14:ligatures w14:val="standardContextual"/>
        </w:rPr>
      </w:pPr>
    </w:p>
    <w:p w14:paraId="02ADD47C"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Центральный федеральный округ значительно опережает другие регионы по уровню затрат. Центральный федеральный округ концентрирует на себе 42% всех затрат в этой сфере инновационной деятельности.</w:t>
      </w:r>
    </w:p>
    <w:p w14:paraId="37BA3082" w14:textId="77777777" w:rsidR="00D1085E" w:rsidRPr="00D1085E" w:rsidRDefault="00D1085E" w:rsidP="00D1085E">
      <w:pPr>
        <w:spacing w:after="0" w:line="240" w:lineRule="auto"/>
        <w:jc w:val="center"/>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noProof/>
          <w:kern w:val="2"/>
          <w:sz w:val="28"/>
          <w:szCs w:val="28"/>
          <w:lang w:eastAsia="ru-RU"/>
          <w14:ligatures w14:val="standardContextual"/>
        </w:rPr>
        <w:drawing>
          <wp:inline distT="0" distB="0" distL="0" distR="0" wp14:anchorId="197912BE" wp14:editId="1FF6516B">
            <wp:extent cx="2487930" cy="1965700"/>
            <wp:effectExtent l="19050" t="19050" r="26670" b="15875"/>
            <wp:docPr id="9322622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2568560" cy="2029405"/>
                    </a:xfrm>
                    <a:prstGeom prst="rect">
                      <a:avLst/>
                    </a:prstGeom>
                    <a:noFill/>
                    <a:ln>
                      <a:solidFill>
                        <a:sysClr val="windowText" lastClr="000000"/>
                      </a:solidFill>
                    </a:ln>
                  </pic:spPr>
                </pic:pic>
              </a:graphicData>
            </a:graphic>
          </wp:inline>
        </w:drawing>
      </w:r>
    </w:p>
    <w:p w14:paraId="7CE3BBFF" w14:textId="77777777" w:rsidR="00D1085E" w:rsidRPr="00D1085E" w:rsidRDefault="00D1085E" w:rsidP="00D1085E">
      <w:pPr>
        <w:spacing w:after="0" w:line="240" w:lineRule="auto"/>
        <w:jc w:val="center"/>
        <w:rPr>
          <w:rFonts w:ascii="Times New Roman" w:eastAsia="Calibri" w:hAnsi="Times New Roman" w:cs="Times New Roman"/>
          <w:kern w:val="2"/>
          <w:sz w:val="28"/>
          <w:szCs w:val="28"/>
          <w14:ligatures w14:val="standardContextual"/>
        </w:rPr>
      </w:pPr>
    </w:p>
    <w:p w14:paraId="47B01E7F" w14:textId="77777777" w:rsidR="00D1085E" w:rsidRPr="00D1085E" w:rsidRDefault="00D1085E" w:rsidP="00D1085E">
      <w:pPr>
        <w:spacing w:after="0" w:line="240" w:lineRule="auto"/>
        <w:jc w:val="center"/>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kern w:val="2"/>
          <w:sz w:val="28"/>
          <w:szCs w:val="28"/>
          <w14:ligatures w14:val="standardContextual"/>
        </w:rPr>
        <w:t>Рисунок 2 – Затраты на инновационную деятельность организаций, по субъектам Российской Федерации в 2020 г</w:t>
      </w:r>
    </w:p>
    <w:p w14:paraId="4A8EC787" w14:textId="77777777" w:rsidR="00D1085E" w:rsidRPr="00D1085E" w:rsidRDefault="00D1085E" w:rsidP="00D1085E">
      <w:pPr>
        <w:spacing w:after="0" w:line="240" w:lineRule="auto"/>
        <w:jc w:val="center"/>
        <w:rPr>
          <w:rFonts w:ascii="Times New Roman" w:eastAsia="Calibri" w:hAnsi="Times New Roman" w:cs="Times New Roman"/>
          <w:kern w:val="2"/>
          <w:sz w:val="28"/>
          <w:szCs w:val="28"/>
          <w14:ligatures w14:val="standardContextual"/>
        </w:rPr>
      </w:pPr>
    </w:p>
    <w:p w14:paraId="62895444"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На основе анализа официальной статистики можно говорить о неравномерности инновационного развития в различных регионах России и их разном вкладе в этот процесс. Подробный рейтинг инновационного развития регионов выявляет значительные различия между ними, обусловленные рядом факторов. </w:t>
      </w:r>
    </w:p>
    <w:p w14:paraId="4972A6D2"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Анализ данных за 2020-2024 годы показывает нестабильную динамику инновационной активности, с периодами роста и спада. Несмотря на снижение в 2022 году, 2023 год демонстрирует позитивную тенденцию к восстановлению инновационной активности, что может свидетельствовать о стабилизации и адаптации инновационной среды. Динамика инновационной активности представлена в таблице 3.</w:t>
      </w:r>
    </w:p>
    <w:p w14:paraId="4E769244" w14:textId="77777777" w:rsidR="00D1085E" w:rsidRPr="00D1085E" w:rsidRDefault="00D1085E" w:rsidP="00D1085E">
      <w:pPr>
        <w:spacing w:after="0" w:line="240" w:lineRule="auto"/>
        <w:jc w:val="both"/>
        <w:rPr>
          <w:rFonts w:ascii="Times New Roman" w:eastAsia="Calibri" w:hAnsi="Times New Roman" w:cs="Times New Roman"/>
          <w:kern w:val="2"/>
          <w:sz w:val="28"/>
          <w:szCs w:val="28"/>
          <w14:ligatures w14:val="standardContextual"/>
        </w:rPr>
      </w:pPr>
    </w:p>
    <w:p w14:paraId="35D61B96" w14:textId="77777777" w:rsidR="00D1085E" w:rsidRPr="00D1085E" w:rsidRDefault="00D1085E" w:rsidP="00D1085E">
      <w:pPr>
        <w:spacing w:after="0" w:line="360" w:lineRule="auto"/>
        <w:jc w:val="both"/>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kern w:val="2"/>
          <w:sz w:val="28"/>
          <w:szCs w:val="28"/>
          <w14:ligatures w14:val="standardContextual"/>
        </w:rPr>
        <w:t>Таблица 3 – Динамика инновационной активности</w:t>
      </w:r>
    </w:p>
    <w:tbl>
      <w:tblPr>
        <w:tblStyle w:val="62"/>
        <w:tblW w:w="10060" w:type="dxa"/>
        <w:tblLook w:val="04A0" w:firstRow="1" w:lastRow="0" w:firstColumn="1" w:lastColumn="0" w:noHBand="0" w:noVBand="1"/>
      </w:tblPr>
      <w:tblGrid>
        <w:gridCol w:w="2830"/>
        <w:gridCol w:w="1418"/>
        <w:gridCol w:w="1417"/>
        <w:gridCol w:w="1418"/>
        <w:gridCol w:w="1417"/>
        <w:gridCol w:w="1560"/>
      </w:tblGrid>
      <w:tr w:rsidR="00D1085E" w:rsidRPr="00D1085E" w14:paraId="73B917F2" w14:textId="77777777" w:rsidTr="00EB1CB9">
        <w:tc>
          <w:tcPr>
            <w:tcW w:w="2830" w:type="dxa"/>
          </w:tcPr>
          <w:p w14:paraId="71ED1E02"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Год</w:t>
            </w:r>
          </w:p>
        </w:tc>
        <w:tc>
          <w:tcPr>
            <w:tcW w:w="1418" w:type="dxa"/>
          </w:tcPr>
          <w:p w14:paraId="30A52EBC"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2020</w:t>
            </w:r>
          </w:p>
        </w:tc>
        <w:tc>
          <w:tcPr>
            <w:tcW w:w="1417" w:type="dxa"/>
          </w:tcPr>
          <w:p w14:paraId="4BFEAD73"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2021</w:t>
            </w:r>
          </w:p>
        </w:tc>
        <w:tc>
          <w:tcPr>
            <w:tcW w:w="1418" w:type="dxa"/>
          </w:tcPr>
          <w:p w14:paraId="0450F5BD"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2022</w:t>
            </w:r>
          </w:p>
        </w:tc>
        <w:tc>
          <w:tcPr>
            <w:tcW w:w="1417" w:type="dxa"/>
          </w:tcPr>
          <w:p w14:paraId="30F008C9"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2023</w:t>
            </w:r>
          </w:p>
        </w:tc>
        <w:tc>
          <w:tcPr>
            <w:tcW w:w="1560" w:type="dxa"/>
          </w:tcPr>
          <w:p w14:paraId="038DD88C"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2024</w:t>
            </w:r>
          </w:p>
        </w:tc>
      </w:tr>
      <w:tr w:rsidR="00D1085E" w:rsidRPr="00D1085E" w14:paraId="37986872" w14:textId="77777777" w:rsidTr="00EB1CB9">
        <w:tc>
          <w:tcPr>
            <w:tcW w:w="2830" w:type="dxa"/>
          </w:tcPr>
          <w:p w14:paraId="1ED89BBF"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Процент активности</w:t>
            </w:r>
          </w:p>
        </w:tc>
        <w:tc>
          <w:tcPr>
            <w:tcW w:w="1418" w:type="dxa"/>
          </w:tcPr>
          <w:p w14:paraId="76DBB989"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21,3%</w:t>
            </w:r>
          </w:p>
        </w:tc>
        <w:tc>
          <w:tcPr>
            <w:tcW w:w="1417" w:type="dxa"/>
          </w:tcPr>
          <w:p w14:paraId="6669C417"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23,1%</w:t>
            </w:r>
          </w:p>
        </w:tc>
        <w:tc>
          <w:tcPr>
            <w:tcW w:w="1418" w:type="dxa"/>
          </w:tcPr>
          <w:p w14:paraId="029481FF"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20,7%</w:t>
            </w:r>
          </w:p>
        </w:tc>
        <w:tc>
          <w:tcPr>
            <w:tcW w:w="1417" w:type="dxa"/>
          </w:tcPr>
          <w:p w14:paraId="164BCCBC"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22,5%</w:t>
            </w:r>
          </w:p>
        </w:tc>
        <w:tc>
          <w:tcPr>
            <w:tcW w:w="1560" w:type="dxa"/>
          </w:tcPr>
          <w:p w14:paraId="74FA0B82" w14:textId="77777777" w:rsidR="00D1085E" w:rsidRPr="00D1085E" w:rsidRDefault="00D1085E" w:rsidP="00D1085E">
            <w:pPr>
              <w:rPr>
                <w:rFonts w:ascii="Times New Roman" w:eastAsia="Calibri" w:hAnsi="Times New Roman" w:cs="Times New Roman"/>
                <w:sz w:val="28"/>
                <w:szCs w:val="28"/>
              </w:rPr>
            </w:pPr>
            <w:r w:rsidRPr="00D1085E">
              <w:rPr>
                <w:rFonts w:ascii="Times New Roman" w:eastAsia="Calibri" w:hAnsi="Times New Roman" w:cs="Times New Roman"/>
                <w:sz w:val="28"/>
                <w:szCs w:val="28"/>
              </w:rPr>
              <w:t>24,3%</w:t>
            </w:r>
          </w:p>
        </w:tc>
      </w:tr>
    </w:tbl>
    <w:p w14:paraId="6CEBBEBE" w14:textId="77777777" w:rsidR="00D1085E" w:rsidRPr="00D1085E" w:rsidRDefault="00D1085E" w:rsidP="00D1085E">
      <w:pPr>
        <w:spacing w:after="0" w:line="240" w:lineRule="auto"/>
        <w:ind w:firstLine="851"/>
        <w:jc w:val="both"/>
        <w:rPr>
          <w:rFonts w:ascii="Times New Roman" w:eastAsia="Calibri" w:hAnsi="Times New Roman" w:cs="Times New Roman"/>
          <w:kern w:val="2"/>
          <w:sz w:val="28"/>
          <w:szCs w:val="28"/>
          <w14:ligatures w14:val="standardContextual"/>
        </w:rPr>
      </w:pPr>
    </w:p>
    <w:p w14:paraId="2B017D5B"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Рассматривая продуктовые и процессные инновации за 2024 год более подробно, наблюдается высокий уровень внедрения новых или усовершенствованных продуктов, значит обновление ассортимента и разработка новых продуктов во всех категориях технологий происходит активно. </w:t>
      </w:r>
    </w:p>
    <w:p w14:paraId="7332C91F"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lastRenderedPageBreak/>
        <w:t>Процессные инновации менее распространены по сравнению с продуктовыми. Среднетехнологичные низкого уровня и низкотехнологичные отрасли показывают более высокие показатели процессных инноваций (58% и 57,1%), чем высокотехнологичные (50%) и среднетехнологичные высокого уровня (47,7%). Это может говорить о том, что в этих отраслях основное внимание уделяется оптимизации и усовершенствованию процессов производства и организации. Высокотехнологичные предприятия лидируют по внедрению инноваций в области информационных методов. Усиление управления и финансовых процессов важны в среднетехнологичном и низкотехнологичном секторах. Продуктовые и процессные инновации за 2024 год представлены в таблице 4.</w:t>
      </w:r>
    </w:p>
    <w:p w14:paraId="7E5AABE2" w14:textId="77777777" w:rsidR="00D1085E" w:rsidRPr="00D1085E" w:rsidRDefault="00D1085E" w:rsidP="00D1085E">
      <w:pPr>
        <w:spacing w:after="0" w:line="240" w:lineRule="auto"/>
        <w:ind w:firstLine="851"/>
        <w:jc w:val="both"/>
        <w:rPr>
          <w:rFonts w:ascii="Times New Roman" w:eastAsia="Calibri" w:hAnsi="Times New Roman" w:cs="Times New Roman"/>
          <w:kern w:val="2"/>
          <w:sz w:val="28"/>
          <w:szCs w:val="28"/>
          <w14:ligatures w14:val="standardContextual"/>
        </w:rPr>
      </w:pPr>
    </w:p>
    <w:p w14:paraId="77810698" w14:textId="77777777" w:rsidR="00D1085E" w:rsidRPr="00D1085E" w:rsidRDefault="00D1085E" w:rsidP="00D1085E">
      <w:pPr>
        <w:spacing w:after="0" w:line="240" w:lineRule="auto"/>
        <w:jc w:val="both"/>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kern w:val="2"/>
          <w:sz w:val="28"/>
          <w:szCs w:val="28"/>
          <w14:ligatures w14:val="standardContextual"/>
        </w:rPr>
        <w:t>Таблица 4 – Продуктовые и процессные инновации за 2024 г</w:t>
      </w:r>
    </w:p>
    <w:p w14:paraId="2BE6DB0C" w14:textId="77777777" w:rsidR="00D1085E" w:rsidRPr="00D1085E" w:rsidRDefault="00D1085E" w:rsidP="00D1085E">
      <w:pPr>
        <w:spacing w:after="0" w:line="240" w:lineRule="auto"/>
        <w:ind w:right="140"/>
        <w:jc w:val="right"/>
        <w:rPr>
          <w:rFonts w:ascii="Times New Roman" w:eastAsia="Calibri" w:hAnsi="Times New Roman" w:cs="Times New Roman"/>
          <w:kern w:val="2"/>
          <w:sz w:val="28"/>
          <w:szCs w:val="28"/>
          <w14:ligatures w14:val="standardContextual"/>
        </w:rPr>
      </w:pPr>
      <w:r w:rsidRPr="00D1085E">
        <w:rPr>
          <w:rFonts w:ascii="Times New Roman" w:eastAsia="Calibri" w:hAnsi="Times New Roman" w:cs="Times New Roman"/>
          <w:kern w:val="2"/>
          <w:sz w:val="28"/>
          <w:szCs w:val="28"/>
          <w14:ligatures w14:val="standardContextual"/>
        </w:rPr>
        <w:t>В процентах</w:t>
      </w:r>
    </w:p>
    <w:tbl>
      <w:tblPr>
        <w:tblStyle w:val="62"/>
        <w:tblW w:w="9918" w:type="dxa"/>
        <w:tblLayout w:type="fixed"/>
        <w:tblLook w:val="04A0" w:firstRow="1" w:lastRow="0" w:firstColumn="1" w:lastColumn="0" w:noHBand="0" w:noVBand="1"/>
      </w:tblPr>
      <w:tblGrid>
        <w:gridCol w:w="3823"/>
        <w:gridCol w:w="1275"/>
        <w:gridCol w:w="1276"/>
        <w:gridCol w:w="1134"/>
        <w:gridCol w:w="1276"/>
        <w:gridCol w:w="1134"/>
      </w:tblGrid>
      <w:tr w:rsidR="00D1085E" w:rsidRPr="00D1085E" w14:paraId="01259E7E" w14:textId="77777777" w:rsidTr="00EB1CB9">
        <w:tc>
          <w:tcPr>
            <w:tcW w:w="3823" w:type="dxa"/>
          </w:tcPr>
          <w:p w14:paraId="526E2F81" w14:textId="77777777" w:rsidR="00D1085E" w:rsidRPr="00D1085E" w:rsidRDefault="00D1085E" w:rsidP="00D1085E">
            <w:pPr>
              <w:rPr>
                <w:rFonts w:ascii="Times New Roman" w:eastAsia="Calibri" w:hAnsi="Times New Roman" w:cs="Times New Roman"/>
                <w:sz w:val="24"/>
                <w:szCs w:val="24"/>
              </w:rPr>
            </w:pPr>
          </w:p>
        </w:tc>
        <w:tc>
          <w:tcPr>
            <w:tcW w:w="1275" w:type="dxa"/>
          </w:tcPr>
          <w:p w14:paraId="68214107" w14:textId="77777777" w:rsidR="00D1085E" w:rsidRPr="00D1085E" w:rsidRDefault="00D1085E" w:rsidP="00D1085E">
            <w:pPr>
              <w:ind w:right="-110"/>
              <w:rPr>
                <w:rFonts w:ascii="Times New Roman" w:eastAsia="Calibri" w:hAnsi="Times New Roman" w:cs="Times New Roman"/>
                <w:sz w:val="24"/>
                <w:szCs w:val="24"/>
              </w:rPr>
            </w:pPr>
            <w:r w:rsidRPr="00D1085E">
              <w:rPr>
                <w:rFonts w:ascii="Times New Roman" w:eastAsia="Calibri" w:hAnsi="Times New Roman" w:cs="Times New Roman"/>
                <w:sz w:val="24"/>
                <w:szCs w:val="24"/>
              </w:rPr>
              <w:t xml:space="preserve">всего по </w:t>
            </w:r>
            <w:proofErr w:type="gramStart"/>
            <w:r w:rsidRPr="00D1085E">
              <w:rPr>
                <w:rFonts w:ascii="Times New Roman" w:eastAsia="Calibri" w:hAnsi="Times New Roman" w:cs="Times New Roman"/>
                <w:sz w:val="24"/>
                <w:szCs w:val="24"/>
              </w:rPr>
              <w:t>производс-твам</w:t>
            </w:r>
            <w:proofErr w:type="gramEnd"/>
            <w:r w:rsidRPr="00D1085E">
              <w:rPr>
                <w:rFonts w:ascii="Times New Roman" w:eastAsia="Calibri" w:hAnsi="Times New Roman" w:cs="Times New Roman"/>
                <w:sz w:val="24"/>
                <w:szCs w:val="24"/>
              </w:rPr>
              <w:t xml:space="preserve"> </w:t>
            </w:r>
          </w:p>
        </w:tc>
        <w:tc>
          <w:tcPr>
            <w:tcW w:w="1276" w:type="dxa"/>
          </w:tcPr>
          <w:p w14:paraId="5EC8893A" w14:textId="77777777" w:rsidR="00D1085E" w:rsidRPr="00D1085E" w:rsidRDefault="00D1085E" w:rsidP="00D1085E">
            <w:pPr>
              <w:ind w:right="-104"/>
              <w:rPr>
                <w:rFonts w:ascii="Times New Roman" w:eastAsia="Calibri" w:hAnsi="Times New Roman" w:cs="Times New Roman"/>
                <w:sz w:val="24"/>
                <w:szCs w:val="24"/>
              </w:rPr>
            </w:pPr>
            <w:r w:rsidRPr="00D1085E">
              <w:rPr>
                <w:rFonts w:ascii="Times New Roman" w:eastAsia="Calibri" w:hAnsi="Times New Roman" w:cs="Times New Roman"/>
                <w:sz w:val="24"/>
                <w:szCs w:val="24"/>
              </w:rPr>
              <w:t>Высоко-техноло-гичные</w:t>
            </w:r>
          </w:p>
        </w:tc>
        <w:tc>
          <w:tcPr>
            <w:tcW w:w="1134" w:type="dxa"/>
          </w:tcPr>
          <w:p w14:paraId="4E454E2F" w14:textId="77777777" w:rsidR="00D1085E" w:rsidRPr="00D1085E" w:rsidRDefault="00D1085E" w:rsidP="00D1085E">
            <w:pPr>
              <w:ind w:right="-113"/>
              <w:rPr>
                <w:rFonts w:ascii="Times New Roman" w:eastAsia="Calibri" w:hAnsi="Times New Roman" w:cs="Times New Roman"/>
                <w:sz w:val="24"/>
                <w:szCs w:val="24"/>
              </w:rPr>
            </w:pPr>
            <w:r w:rsidRPr="00D1085E">
              <w:rPr>
                <w:rFonts w:ascii="Times New Roman" w:eastAsia="Calibri" w:hAnsi="Times New Roman" w:cs="Times New Roman"/>
                <w:sz w:val="24"/>
                <w:szCs w:val="24"/>
              </w:rPr>
              <w:t>Средне-техноло-гичные высокого уровня</w:t>
            </w:r>
          </w:p>
        </w:tc>
        <w:tc>
          <w:tcPr>
            <w:tcW w:w="1276" w:type="dxa"/>
          </w:tcPr>
          <w:p w14:paraId="53D5524A"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Средне-техноло-гичные низкого уровня</w:t>
            </w:r>
          </w:p>
        </w:tc>
        <w:tc>
          <w:tcPr>
            <w:tcW w:w="1134" w:type="dxa"/>
          </w:tcPr>
          <w:p w14:paraId="39C2CC55" w14:textId="77777777" w:rsidR="00D1085E" w:rsidRPr="00D1085E" w:rsidRDefault="00D1085E" w:rsidP="00D1085E">
            <w:pPr>
              <w:ind w:right="-257"/>
              <w:rPr>
                <w:rFonts w:ascii="Times New Roman" w:eastAsia="Calibri" w:hAnsi="Times New Roman" w:cs="Times New Roman"/>
                <w:sz w:val="24"/>
                <w:szCs w:val="24"/>
              </w:rPr>
            </w:pPr>
            <w:r w:rsidRPr="00D1085E">
              <w:rPr>
                <w:rFonts w:ascii="Times New Roman" w:eastAsia="Calibri" w:hAnsi="Times New Roman" w:cs="Times New Roman"/>
                <w:sz w:val="24"/>
                <w:szCs w:val="24"/>
              </w:rPr>
              <w:t>Низко-техноло-гичные</w:t>
            </w:r>
          </w:p>
        </w:tc>
      </w:tr>
      <w:tr w:rsidR="00D1085E" w:rsidRPr="00D1085E" w14:paraId="6E3A9558" w14:textId="77777777" w:rsidTr="00EB1CB9">
        <w:tc>
          <w:tcPr>
            <w:tcW w:w="3823" w:type="dxa"/>
          </w:tcPr>
          <w:p w14:paraId="1B3DF170"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Продуктовые инновации</w:t>
            </w:r>
          </w:p>
        </w:tc>
        <w:tc>
          <w:tcPr>
            <w:tcW w:w="1275" w:type="dxa"/>
            <w:vAlign w:val="center"/>
          </w:tcPr>
          <w:p w14:paraId="326408DE"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84,8</w:t>
            </w:r>
          </w:p>
        </w:tc>
        <w:tc>
          <w:tcPr>
            <w:tcW w:w="1276" w:type="dxa"/>
            <w:vAlign w:val="center"/>
          </w:tcPr>
          <w:p w14:paraId="42B4EDF3"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91,2</w:t>
            </w:r>
          </w:p>
        </w:tc>
        <w:tc>
          <w:tcPr>
            <w:tcW w:w="1134" w:type="dxa"/>
            <w:vAlign w:val="center"/>
          </w:tcPr>
          <w:p w14:paraId="32195570"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89,6</w:t>
            </w:r>
          </w:p>
        </w:tc>
        <w:tc>
          <w:tcPr>
            <w:tcW w:w="1276" w:type="dxa"/>
            <w:vAlign w:val="center"/>
          </w:tcPr>
          <w:p w14:paraId="10EF76DE"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80,7</w:t>
            </w:r>
          </w:p>
        </w:tc>
        <w:tc>
          <w:tcPr>
            <w:tcW w:w="1134" w:type="dxa"/>
            <w:vAlign w:val="center"/>
          </w:tcPr>
          <w:p w14:paraId="4DAFD992"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79,5</w:t>
            </w:r>
          </w:p>
        </w:tc>
      </w:tr>
      <w:tr w:rsidR="00D1085E" w:rsidRPr="00D1085E" w14:paraId="2082FC3C" w14:textId="77777777" w:rsidTr="00EB1CB9">
        <w:tc>
          <w:tcPr>
            <w:tcW w:w="3823" w:type="dxa"/>
          </w:tcPr>
          <w:p w14:paraId="588052F8"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процессные инновации</w:t>
            </w:r>
          </w:p>
        </w:tc>
        <w:tc>
          <w:tcPr>
            <w:tcW w:w="1275" w:type="dxa"/>
            <w:vAlign w:val="center"/>
          </w:tcPr>
          <w:p w14:paraId="4DFBD3A0"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53,4</w:t>
            </w:r>
          </w:p>
        </w:tc>
        <w:tc>
          <w:tcPr>
            <w:tcW w:w="1276" w:type="dxa"/>
            <w:vAlign w:val="center"/>
          </w:tcPr>
          <w:p w14:paraId="50F291AB"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50,0</w:t>
            </w:r>
          </w:p>
        </w:tc>
        <w:tc>
          <w:tcPr>
            <w:tcW w:w="1134" w:type="dxa"/>
            <w:vAlign w:val="center"/>
          </w:tcPr>
          <w:p w14:paraId="04CB2038"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47,7</w:t>
            </w:r>
          </w:p>
        </w:tc>
        <w:tc>
          <w:tcPr>
            <w:tcW w:w="1276" w:type="dxa"/>
            <w:vAlign w:val="center"/>
          </w:tcPr>
          <w:p w14:paraId="7F9FC8AD"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58,0</w:t>
            </w:r>
          </w:p>
        </w:tc>
        <w:tc>
          <w:tcPr>
            <w:tcW w:w="1134" w:type="dxa"/>
            <w:vAlign w:val="center"/>
          </w:tcPr>
          <w:p w14:paraId="2FE287DD"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57,1</w:t>
            </w:r>
          </w:p>
        </w:tc>
      </w:tr>
      <w:tr w:rsidR="00D1085E" w:rsidRPr="00D1085E" w14:paraId="6992930E" w14:textId="77777777" w:rsidTr="00EB1CB9">
        <w:tc>
          <w:tcPr>
            <w:tcW w:w="9918" w:type="dxa"/>
            <w:gridSpan w:val="6"/>
          </w:tcPr>
          <w:p w14:paraId="5C134032"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Из них новые или усовершенствованные</w:t>
            </w:r>
          </w:p>
        </w:tc>
      </w:tr>
      <w:tr w:rsidR="00D1085E" w:rsidRPr="00D1085E" w14:paraId="15ECFFF9" w14:textId="77777777" w:rsidTr="00EB1CB9">
        <w:tc>
          <w:tcPr>
            <w:tcW w:w="3823" w:type="dxa"/>
          </w:tcPr>
          <w:p w14:paraId="37207892"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Методы производства и разработки товаров и услуг, ведения и разработки сельхоз производства</w:t>
            </w:r>
          </w:p>
        </w:tc>
        <w:tc>
          <w:tcPr>
            <w:tcW w:w="1275" w:type="dxa"/>
            <w:vAlign w:val="center"/>
          </w:tcPr>
          <w:p w14:paraId="73BE55DF"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26,6</w:t>
            </w:r>
          </w:p>
        </w:tc>
        <w:tc>
          <w:tcPr>
            <w:tcW w:w="1276" w:type="dxa"/>
            <w:vAlign w:val="center"/>
          </w:tcPr>
          <w:p w14:paraId="67F14E3C"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23,5</w:t>
            </w:r>
          </w:p>
        </w:tc>
        <w:tc>
          <w:tcPr>
            <w:tcW w:w="1134" w:type="dxa"/>
            <w:vAlign w:val="center"/>
          </w:tcPr>
          <w:p w14:paraId="2F534850"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23,9</w:t>
            </w:r>
          </w:p>
        </w:tc>
        <w:tc>
          <w:tcPr>
            <w:tcW w:w="1276" w:type="dxa"/>
            <w:vAlign w:val="center"/>
          </w:tcPr>
          <w:p w14:paraId="2909E9D9"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29,3</w:t>
            </w:r>
          </w:p>
        </w:tc>
        <w:tc>
          <w:tcPr>
            <w:tcW w:w="1134" w:type="dxa"/>
            <w:vAlign w:val="center"/>
          </w:tcPr>
          <w:p w14:paraId="7C5CF9ED"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28,8</w:t>
            </w:r>
          </w:p>
        </w:tc>
      </w:tr>
      <w:tr w:rsidR="00D1085E" w:rsidRPr="00D1085E" w14:paraId="5B4281E1" w14:textId="77777777" w:rsidTr="00EB1CB9">
        <w:tc>
          <w:tcPr>
            <w:tcW w:w="3823" w:type="dxa"/>
          </w:tcPr>
          <w:p w14:paraId="4024A523"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Методы обработки и передачи информации, общие для организации</w:t>
            </w:r>
          </w:p>
        </w:tc>
        <w:tc>
          <w:tcPr>
            <w:tcW w:w="1275" w:type="dxa"/>
            <w:vAlign w:val="center"/>
          </w:tcPr>
          <w:p w14:paraId="58DFF399"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20,4</w:t>
            </w:r>
          </w:p>
        </w:tc>
        <w:tc>
          <w:tcPr>
            <w:tcW w:w="1276" w:type="dxa"/>
            <w:vAlign w:val="center"/>
          </w:tcPr>
          <w:p w14:paraId="22912427"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24,6</w:t>
            </w:r>
          </w:p>
        </w:tc>
        <w:tc>
          <w:tcPr>
            <w:tcW w:w="1134" w:type="dxa"/>
            <w:vAlign w:val="center"/>
          </w:tcPr>
          <w:p w14:paraId="3524B167"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17,9</w:t>
            </w:r>
          </w:p>
        </w:tc>
        <w:tc>
          <w:tcPr>
            <w:tcW w:w="1276" w:type="dxa"/>
            <w:vAlign w:val="center"/>
          </w:tcPr>
          <w:p w14:paraId="5BB68FF6"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22,8</w:t>
            </w:r>
          </w:p>
        </w:tc>
        <w:tc>
          <w:tcPr>
            <w:tcW w:w="1134" w:type="dxa"/>
            <w:vAlign w:val="center"/>
          </w:tcPr>
          <w:p w14:paraId="05BDBE84"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17,9</w:t>
            </w:r>
          </w:p>
        </w:tc>
      </w:tr>
      <w:tr w:rsidR="00D1085E" w:rsidRPr="00D1085E" w14:paraId="61FA34DB" w14:textId="77777777" w:rsidTr="00EB1CB9">
        <w:tc>
          <w:tcPr>
            <w:tcW w:w="3823" w:type="dxa"/>
          </w:tcPr>
          <w:p w14:paraId="217D69DC"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Методы ведения бизнеса, корпоративного управления, бух</w:t>
            </w:r>
            <w:proofErr w:type="gramStart"/>
            <w:r w:rsidRPr="00D1085E">
              <w:rPr>
                <w:rFonts w:ascii="Times New Roman" w:eastAsia="Calibri" w:hAnsi="Times New Roman" w:cs="Times New Roman"/>
                <w:sz w:val="24"/>
                <w:szCs w:val="24"/>
              </w:rPr>
              <w:t>.</w:t>
            </w:r>
            <w:proofErr w:type="gramEnd"/>
            <w:r w:rsidRPr="00D1085E">
              <w:rPr>
                <w:rFonts w:ascii="Times New Roman" w:eastAsia="Calibri" w:hAnsi="Times New Roman" w:cs="Times New Roman"/>
                <w:sz w:val="24"/>
                <w:szCs w:val="24"/>
              </w:rPr>
              <w:t xml:space="preserve"> и финансового учета</w:t>
            </w:r>
          </w:p>
        </w:tc>
        <w:tc>
          <w:tcPr>
            <w:tcW w:w="1275" w:type="dxa"/>
            <w:vAlign w:val="center"/>
          </w:tcPr>
          <w:p w14:paraId="6352DD95"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18,3</w:t>
            </w:r>
          </w:p>
        </w:tc>
        <w:tc>
          <w:tcPr>
            <w:tcW w:w="1276" w:type="dxa"/>
            <w:vAlign w:val="center"/>
          </w:tcPr>
          <w:p w14:paraId="7D0B93F6"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17,9</w:t>
            </w:r>
          </w:p>
        </w:tc>
        <w:tc>
          <w:tcPr>
            <w:tcW w:w="1134" w:type="dxa"/>
            <w:vAlign w:val="center"/>
          </w:tcPr>
          <w:p w14:paraId="403847B8"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15,5</w:t>
            </w:r>
          </w:p>
        </w:tc>
        <w:tc>
          <w:tcPr>
            <w:tcW w:w="1276" w:type="dxa"/>
            <w:vAlign w:val="center"/>
          </w:tcPr>
          <w:p w14:paraId="4A24215B"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20,0</w:t>
            </w:r>
          </w:p>
        </w:tc>
        <w:tc>
          <w:tcPr>
            <w:tcW w:w="1134" w:type="dxa"/>
            <w:vAlign w:val="center"/>
          </w:tcPr>
          <w:p w14:paraId="67206CC8"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19,9</w:t>
            </w:r>
          </w:p>
        </w:tc>
      </w:tr>
      <w:tr w:rsidR="00D1085E" w:rsidRPr="00D1085E" w14:paraId="43CC2732" w14:textId="77777777" w:rsidTr="00EB1CB9">
        <w:tc>
          <w:tcPr>
            <w:tcW w:w="3823" w:type="dxa"/>
          </w:tcPr>
          <w:p w14:paraId="56CAAD98" w14:textId="77777777" w:rsidR="00D1085E" w:rsidRPr="00D1085E" w:rsidRDefault="00D1085E" w:rsidP="00D1085E">
            <w:pPr>
              <w:rPr>
                <w:rFonts w:ascii="Times New Roman" w:eastAsia="Calibri" w:hAnsi="Times New Roman" w:cs="Times New Roman"/>
                <w:sz w:val="24"/>
                <w:szCs w:val="24"/>
              </w:rPr>
            </w:pPr>
            <w:r w:rsidRPr="00D1085E">
              <w:rPr>
                <w:rFonts w:ascii="Times New Roman" w:eastAsia="Calibri" w:hAnsi="Times New Roman" w:cs="Times New Roman"/>
                <w:sz w:val="24"/>
                <w:szCs w:val="24"/>
              </w:rPr>
              <w:t>Маркетинговые методы продвижения, представления и ценообразования товаров</w:t>
            </w:r>
          </w:p>
        </w:tc>
        <w:tc>
          <w:tcPr>
            <w:tcW w:w="1275" w:type="dxa"/>
            <w:vAlign w:val="center"/>
          </w:tcPr>
          <w:p w14:paraId="3872799C"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15,8</w:t>
            </w:r>
          </w:p>
        </w:tc>
        <w:tc>
          <w:tcPr>
            <w:tcW w:w="1276" w:type="dxa"/>
            <w:vAlign w:val="center"/>
          </w:tcPr>
          <w:p w14:paraId="1AB023E6"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14,1</w:t>
            </w:r>
          </w:p>
        </w:tc>
        <w:tc>
          <w:tcPr>
            <w:tcW w:w="1134" w:type="dxa"/>
            <w:vAlign w:val="center"/>
          </w:tcPr>
          <w:p w14:paraId="725DFA4E"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13,1</w:t>
            </w:r>
          </w:p>
        </w:tc>
        <w:tc>
          <w:tcPr>
            <w:tcW w:w="1276" w:type="dxa"/>
            <w:vAlign w:val="center"/>
          </w:tcPr>
          <w:p w14:paraId="1A5874AE"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14,7</w:t>
            </w:r>
          </w:p>
        </w:tc>
        <w:tc>
          <w:tcPr>
            <w:tcW w:w="1134" w:type="dxa"/>
            <w:vAlign w:val="center"/>
          </w:tcPr>
          <w:p w14:paraId="4E80F1E1" w14:textId="77777777" w:rsidR="00D1085E" w:rsidRPr="00D1085E" w:rsidRDefault="00D1085E" w:rsidP="00D1085E">
            <w:pPr>
              <w:jc w:val="center"/>
              <w:rPr>
                <w:rFonts w:ascii="Times New Roman" w:eastAsia="Calibri" w:hAnsi="Times New Roman" w:cs="Times New Roman"/>
                <w:sz w:val="24"/>
                <w:szCs w:val="24"/>
              </w:rPr>
            </w:pPr>
            <w:r w:rsidRPr="00D1085E">
              <w:rPr>
                <w:rFonts w:ascii="Times New Roman" w:eastAsia="Calibri" w:hAnsi="Times New Roman" w:cs="Times New Roman"/>
                <w:sz w:val="24"/>
                <w:szCs w:val="24"/>
              </w:rPr>
              <w:t>21,6</w:t>
            </w:r>
          </w:p>
        </w:tc>
      </w:tr>
    </w:tbl>
    <w:p w14:paraId="0A087692" w14:textId="77777777" w:rsidR="00D1085E" w:rsidRPr="00D1085E" w:rsidRDefault="00D1085E" w:rsidP="00D1085E">
      <w:pPr>
        <w:spacing w:after="0" w:line="240" w:lineRule="auto"/>
        <w:ind w:right="141"/>
        <w:jc w:val="both"/>
        <w:rPr>
          <w:rFonts w:ascii="Times New Roman" w:eastAsia="Calibri" w:hAnsi="Times New Roman" w:cs="Times New Roman"/>
          <w:kern w:val="2"/>
          <w:sz w:val="28"/>
          <w:szCs w:val="28"/>
          <w14:ligatures w14:val="standardContextual"/>
        </w:rPr>
      </w:pPr>
    </w:p>
    <w:p w14:paraId="01B96482" w14:textId="77777777" w:rsidR="00D1085E" w:rsidRPr="00D1085E" w:rsidRDefault="00D1085E" w:rsidP="00D1085E">
      <w:pPr>
        <w:spacing w:after="0" w:line="240" w:lineRule="auto"/>
        <w:ind w:right="141"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Анализ структуры инновационной деятельности показывает значимые достижения в области продуктовых и процессных инноваций, однако высокой инновационной активности препятствуют определённые системные и организационные барьеры. Чтобы полноценно понять причины ограниченного развития инноваций, важно проанализировать основные факторы, затрудняющие их продвижение и внедрение.</w:t>
      </w:r>
    </w:p>
    <w:p w14:paraId="40517BCF" w14:textId="77777777" w:rsidR="00D1085E" w:rsidRPr="00D1085E" w:rsidRDefault="00D1085E" w:rsidP="00D1085E">
      <w:pPr>
        <w:spacing w:after="0" w:line="240" w:lineRule="auto"/>
        <w:ind w:right="141"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lastRenderedPageBreak/>
        <w:t xml:space="preserve">Основная преграда для инновационной деятельности – высокая стоимость нововведений. Вдобавок к этому высокий экономический риск усугубляет ситуацию, снижая мотивацию организаций инвестировать в инновации. Недостаток собственных финансовых ресурсов и недостаточная государственная поддержка ограничивают возможности компаний. Высокий уровень конкуренции создаёт давление на компании, вынуждает их сокращать издержки. </w:t>
      </w:r>
    </w:p>
    <w:p w14:paraId="110790F7" w14:textId="77777777" w:rsidR="00D1085E" w:rsidRPr="00D1085E" w:rsidRDefault="00D1085E" w:rsidP="00D1085E">
      <w:pPr>
        <w:spacing w:after="0" w:line="240" w:lineRule="auto"/>
        <w:ind w:right="141"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Для стимулирования инновационной активности в России необходимо сосредоточиться на снижении стоимости внедрения инноваций и уменьшении экономических рисков для организаций. Важно расширять государственную поддержку, создавать условия для доступного финансирования и инвестиций, а также развивать внутренний потенциал организаций через подготовку квалифицированных кадров и повышение их инновационной компетентности.</w:t>
      </w:r>
    </w:p>
    <w:p w14:paraId="6A511943"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Стимулирование инноваций и разработка эффективных мер поддержки</w:t>
      </w:r>
      <w:r w:rsidRPr="00D1085E">
        <w:rPr>
          <w:rFonts w:ascii="Times New Roman" w:eastAsia="Calibri" w:hAnsi="Times New Roman" w:cs="Times New Roman"/>
          <w:kern w:val="2"/>
          <w:sz w:val="32"/>
          <w:szCs w:val="32"/>
          <w14:ligatures w14:val="standardContextual"/>
        </w:rPr>
        <w:br/>
        <w:t>чрезвычайно актуально для России и ее регионов. Отсутствует целостная система государственной финансовой поддержки инновационной деятельности. Налоговые льготы и гранты в основном направлены на научные исследования и разработки, оставляя без внимания этапы внедрения и распространения инноваций. Субсидирование процентных ставок и небольшие субсидии для малого бизнеса не решают проблему. Более того, анализ показал, что текущая система субсидий не оказывает значительного влияния на рост инновационной продукции в регионах. Необходимо, чтобы государственная поддержка была направлена не только на создание инновационных идей и разработок, но и на их превращение в конкурентоспособные продукты, доступные потребителю.</w:t>
      </w:r>
    </w:p>
    <w:p w14:paraId="44430EC2"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Для эффективной государственной поддержки инноваций необходимо:</w:t>
      </w:r>
    </w:p>
    <w:p w14:paraId="5B9A0623"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обеспечить надежный государственный мониторинг инновационной деятельности компаний, чтобы вовремя выявлять проблемы и дисбалансы в их развитии;</w:t>
      </w:r>
    </w:p>
    <w:p w14:paraId="3EEA4881"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четко регламентировать сроки действия налоговых льгот;</w:t>
      </w:r>
    </w:p>
    <w:p w14:paraId="3CEC43E5"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распределять бюджетные субсидии на конкурсной основе, особенно в сфере государственных инвестиций;</w:t>
      </w:r>
    </w:p>
    <w:p w14:paraId="4EF58986"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lastRenderedPageBreak/>
        <w:t>адаптировать налоговые льготы и субсидии к потребностям инновационных компаний на разных этапах развития для их стимулирования;</w:t>
      </w:r>
    </w:p>
    <w:p w14:paraId="3CA9B1A5"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гарантировать прозрачность как при принятии решений о предоставлении господдержки, так и при контроле за ее использованием;</w:t>
      </w:r>
    </w:p>
    <w:p w14:paraId="5510EA38" w14:textId="77777777" w:rsidR="00D1085E" w:rsidRPr="00D1085E" w:rsidRDefault="00D1085E" w:rsidP="00AD58CD">
      <w:pPr>
        <w:numPr>
          <w:ilvl w:val="0"/>
          <w:numId w:val="134"/>
        </w:numPr>
        <w:spacing w:after="0" w:line="240" w:lineRule="auto"/>
        <w:ind w:left="0"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регулярно оценивать эффективность региональных программ поддержки инноваций, чтобы решать, стоит ли их продлевать, изменять или прекращать.</w:t>
      </w:r>
    </w:p>
    <w:p w14:paraId="04F65A09"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Региональные налоговые льготы необходимо распространить и на финальные этапы инновационных разработок. Сейчас многие регионы России уже предлагают инвесторам сниженные ставки налога на прибыль и освобождение от налога на часть имущества, используемого в приоритетных инвестиционных проектах. Срок освобождения от налога на имущество для инвесторов варьируется от 3 до 5 лет в зависимости от региона. Логично было бы ввести аналогичные льготы и для инновационных компаний. </w:t>
      </w:r>
    </w:p>
    <w:p w14:paraId="79E8D020"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Налоговые льготы не всегда оптимальный способ стимулирования приоритетных отраслей экономики. Их широкое использование ведет к существенным потерям бюджета, усложняет налоговое администрирование и, как следствие, снижает общую эффективность налоговой системы. Поэтому, необходимо тщательно анализировать потери, возникающие из-за налоговых льгот, так же, как и прямые бюджетные расходы. В противном случае, влияние налоговых льгот на экономику и социальную сферу может быть неверно оценено.</w:t>
      </w:r>
    </w:p>
    <w:p w14:paraId="7385590D"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Регулярная оценка масштаба, результативности и эффективности налоговых льгот и бюджетных субсидий – необходимое условие для эффективной государственной финансовой поддержки, что подтверждается опытом развитых стран. </w:t>
      </w:r>
    </w:p>
    <w:p w14:paraId="5DB64A9F"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Единственный верный путь к росту национальной экономики – это инновации. Однако этот путь сопряжен с многочисленными трудностями. Предлагается создание "инновационно развивающихся организаций", которые, объединяя предпринимательские ресурсы, инфраструктуру и институциональную поддержку в условиях цифровой экономики, смогут создать благоприятную среду для реализации инновационных проектов.</w:t>
      </w:r>
    </w:p>
    <w:p w14:paraId="35599C31"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 xml:space="preserve">Для дальнейшего стимулирования инноваций в России необходимо оценить эффективность существующих инструментов </w:t>
      </w:r>
      <w:r w:rsidRPr="00D1085E">
        <w:rPr>
          <w:rFonts w:ascii="Times New Roman" w:eastAsia="Calibri" w:hAnsi="Times New Roman" w:cs="Times New Roman"/>
          <w:kern w:val="2"/>
          <w:sz w:val="32"/>
          <w:szCs w:val="32"/>
          <w14:ligatures w14:val="standardContextual"/>
        </w:rPr>
        <w:lastRenderedPageBreak/>
        <w:t>государственного регулирования, выявить наиболее результативные и развивать их, а также внедрять новые, доказавшие свою эффективность методы поддержки.</w:t>
      </w:r>
    </w:p>
    <w:p w14:paraId="49C9C2E4" w14:textId="77777777" w:rsidR="00D1085E" w:rsidRPr="00D1085E" w:rsidRDefault="00D1085E" w:rsidP="00D1085E">
      <w:pPr>
        <w:spacing w:after="0" w:line="240" w:lineRule="auto"/>
        <w:ind w:firstLine="851"/>
        <w:jc w:val="both"/>
        <w:rPr>
          <w:rFonts w:ascii="Times New Roman" w:eastAsia="Calibri" w:hAnsi="Times New Roman" w:cs="Times New Roman"/>
          <w:kern w:val="2"/>
          <w:sz w:val="32"/>
          <w:szCs w:val="32"/>
          <w14:ligatures w14:val="standardContextual"/>
        </w:rPr>
      </w:pPr>
      <w:r w:rsidRPr="00D1085E">
        <w:rPr>
          <w:rFonts w:ascii="Times New Roman" w:eastAsia="Calibri" w:hAnsi="Times New Roman" w:cs="Times New Roman"/>
          <w:kern w:val="2"/>
          <w:sz w:val="32"/>
          <w:szCs w:val="32"/>
          <w14:ligatures w14:val="standardContextual"/>
        </w:rPr>
        <w:t>Предлагается создать единую цифровую платформу для обмена информацией, чтобы обеспечить оперативность и точность; законодательно закрепить четкие критерии, определяющие, какие организации можно считать инновационными для отбора получателей поддержки, чтобы господдержка была более целенаправленной и доступной; оптимизировать доступ к финансированию через инновационные кластеры, чтобы крупные предприятия, входящие в кластеры, имели приоритет при распределении грантов на научные и прикладные исследования; сбалансировать налоговые льготы по стадиям инновационного процесса, чтобы региональные (субфедеральные) льготы поддерживали заключительные стадии, такие как внедрение и коммерциализация.</w:t>
      </w:r>
    </w:p>
    <w:p w14:paraId="171FFBAD" w14:textId="77777777" w:rsidR="00D1085E" w:rsidRPr="00D1085E" w:rsidRDefault="00D1085E" w:rsidP="00D1085E">
      <w:pPr>
        <w:spacing w:after="0" w:line="240" w:lineRule="auto"/>
        <w:jc w:val="center"/>
        <w:rPr>
          <w:rFonts w:ascii="Times New Roman" w:eastAsia="Calibri" w:hAnsi="Times New Roman" w:cs="Times New Roman"/>
          <w:b/>
          <w:bCs/>
          <w:kern w:val="2"/>
          <w:sz w:val="21"/>
          <w:szCs w:val="21"/>
          <w14:ligatures w14:val="standardContextual"/>
        </w:rPr>
      </w:pPr>
      <w:r w:rsidRPr="00D1085E">
        <w:rPr>
          <w:rFonts w:ascii="Times New Roman" w:eastAsia="Calibri" w:hAnsi="Times New Roman" w:cs="Times New Roman"/>
          <w:b/>
          <w:bCs/>
          <w:kern w:val="2"/>
          <w:sz w:val="21"/>
          <w:szCs w:val="21"/>
          <w14:ligatures w14:val="standardContextual"/>
        </w:rPr>
        <w:t>Литература:</w:t>
      </w:r>
    </w:p>
    <w:p w14:paraId="4106D76A" w14:textId="77777777" w:rsidR="00D1085E" w:rsidRPr="00D1085E" w:rsidRDefault="00D1085E" w:rsidP="00AD58CD">
      <w:pPr>
        <w:numPr>
          <w:ilvl w:val="3"/>
          <w:numId w:val="133"/>
        </w:numPr>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kern w:val="2"/>
          <w:sz w:val="21"/>
          <w:szCs w:val="21"/>
          <w14:ligatures w14:val="standardContextual"/>
        </w:rPr>
        <w:t>Аникина И.Д., Гукова А.В., Чекалкина А.А. Стимулирование инновационной деятельности предприятий: выбор финансовых инструментов // Современные проблемы науки и образования. 2015. № 1-2.</w:t>
      </w:r>
    </w:p>
    <w:p w14:paraId="3E82E6DB" w14:textId="77777777" w:rsidR="00D1085E" w:rsidRPr="00D1085E" w:rsidRDefault="00D1085E" w:rsidP="00AD58CD">
      <w:pPr>
        <w:numPr>
          <w:ilvl w:val="3"/>
          <w:numId w:val="133"/>
        </w:numPr>
        <w:tabs>
          <w:tab w:val="num" w:pos="851"/>
        </w:tabs>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kern w:val="2"/>
          <w:sz w:val="21"/>
          <w:szCs w:val="21"/>
          <w14:ligatures w14:val="standardContextual"/>
        </w:rPr>
        <w:t xml:space="preserve">Гусарова, М. С. Проблемы инновационного развития России: анализ факторов и институциональные решения // Вопросы инновационной экономики. – 2021. – Т. 11, № 4. – С. 1383-1402. </w:t>
      </w:r>
    </w:p>
    <w:p w14:paraId="3EDF483C" w14:textId="77777777" w:rsidR="00D1085E" w:rsidRPr="00D1085E" w:rsidRDefault="00D1085E" w:rsidP="00AD58CD">
      <w:pPr>
        <w:numPr>
          <w:ilvl w:val="3"/>
          <w:numId w:val="133"/>
        </w:numPr>
        <w:tabs>
          <w:tab w:val="num" w:pos="851"/>
        </w:tabs>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kern w:val="2"/>
          <w:sz w:val="21"/>
          <w:szCs w:val="21"/>
          <w14:ligatures w14:val="standardContextual"/>
        </w:rPr>
        <w:t>Маншилин С. А. Концептуальные основы финансового механизма стимулирования инновационной деятельности промышленных компаний: Текст / С. А. Маншилин; кафедра финансового менеджмента, РЭУ им. Г. В. Плеханова. – М.: Наука, 2023. – С. 100.</w:t>
      </w:r>
    </w:p>
    <w:p w14:paraId="16E2F61F" w14:textId="77777777" w:rsidR="00D1085E" w:rsidRPr="00D1085E" w:rsidRDefault="00D1085E" w:rsidP="00AD58CD">
      <w:pPr>
        <w:numPr>
          <w:ilvl w:val="3"/>
          <w:numId w:val="133"/>
        </w:numPr>
        <w:tabs>
          <w:tab w:val="num" w:pos="851"/>
        </w:tabs>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kern w:val="2"/>
          <w:sz w:val="21"/>
          <w:szCs w:val="21"/>
          <w14:ligatures w14:val="standardContextual"/>
        </w:rPr>
        <w:t>Наука. Технологии. Инновации: 2023: краткий статистический сборник / В. В. Власова, Л. М. Гохберг, К. А. Дитковский и др.; Нац. исслед. ун-т «Высшая школа экономики». — М.: НИУ ВШЭ, 2023.</w:t>
      </w:r>
    </w:p>
    <w:p w14:paraId="1C08D250" w14:textId="77777777" w:rsidR="00D1085E" w:rsidRPr="00D1085E" w:rsidRDefault="00D1085E" w:rsidP="00AD58CD">
      <w:pPr>
        <w:numPr>
          <w:ilvl w:val="3"/>
          <w:numId w:val="133"/>
        </w:numPr>
        <w:tabs>
          <w:tab w:val="num" w:pos="851"/>
        </w:tabs>
        <w:spacing w:after="0" w:line="240" w:lineRule="auto"/>
        <w:ind w:left="284" w:hanging="284"/>
        <w:contextualSpacing/>
        <w:jc w:val="both"/>
        <w:rPr>
          <w:rFonts w:ascii="Times New Roman" w:eastAsia="Calibri" w:hAnsi="Times New Roman" w:cs="Times New Roman"/>
          <w:kern w:val="2"/>
          <w:sz w:val="21"/>
          <w:szCs w:val="21"/>
          <w14:ligatures w14:val="standardContextual"/>
        </w:rPr>
      </w:pPr>
      <w:r w:rsidRPr="00D1085E">
        <w:rPr>
          <w:rFonts w:ascii="Times New Roman" w:eastAsia="Calibri" w:hAnsi="Times New Roman" w:cs="Times New Roman"/>
          <w:kern w:val="2"/>
          <w:sz w:val="21"/>
          <w:szCs w:val="21"/>
          <w14:ligatures w14:val="standardContextual"/>
        </w:rPr>
        <w:t xml:space="preserve">Попов А. И., Синельников В. М. Организационно-экономическая поддержка инноваций: учебное пособие. – М.: Наука, 2023. – С. 150.   </w:t>
      </w:r>
    </w:p>
    <w:p w14:paraId="79CD9F8C" w14:textId="77777777" w:rsidR="00D1085E" w:rsidRDefault="00D1085E" w:rsidP="00D1085E">
      <w:pPr>
        <w:spacing w:line="240" w:lineRule="auto"/>
        <w:jc w:val="both"/>
        <w:rPr>
          <w:rFonts w:ascii="Times New Roman" w:eastAsia="Calibri" w:hAnsi="Times New Roman" w:cs="Times New Roman"/>
          <w:sz w:val="21"/>
          <w:szCs w:val="21"/>
        </w:rPr>
      </w:pPr>
    </w:p>
    <w:p w14:paraId="2D1B47DE" w14:textId="77777777" w:rsidR="003A0ACB" w:rsidRPr="003A0ACB" w:rsidRDefault="003A0ACB" w:rsidP="003A0ACB">
      <w:pPr>
        <w:spacing w:after="0" w:line="240" w:lineRule="auto"/>
        <w:rPr>
          <w:rFonts w:ascii="Times New Roman" w:eastAsia="Times New Roman" w:hAnsi="Times New Roman" w:cs="Times New Roman"/>
          <w:b/>
          <w:sz w:val="21"/>
          <w:szCs w:val="21"/>
          <w:lang w:eastAsia="ru-RU"/>
        </w:rPr>
      </w:pPr>
      <w:r w:rsidRPr="003A0ACB">
        <w:rPr>
          <w:rFonts w:ascii="Times New Roman" w:eastAsia="Times New Roman" w:hAnsi="Times New Roman" w:cs="Times New Roman"/>
          <w:b/>
          <w:sz w:val="21"/>
          <w:szCs w:val="21"/>
          <w:lang w:eastAsia="ru-RU"/>
        </w:rPr>
        <w:t>УДК 336.71:004</w:t>
      </w:r>
    </w:p>
    <w:p w14:paraId="0AA0DD34" w14:textId="77777777" w:rsidR="003A0ACB" w:rsidRPr="003A0ACB" w:rsidRDefault="003A0ACB" w:rsidP="003A0ACB">
      <w:pPr>
        <w:spacing w:after="0" w:line="240" w:lineRule="auto"/>
        <w:jc w:val="right"/>
        <w:rPr>
          <w:rFonts w:ascii="Times New Roman" w:eastAsia="Times New Roman" w:hAnsi="Times New Roman" w:cs="Times New Roman"/>
          <w:b/>
          <w:sz w:val="21"/>
          <w:szCs w:val="21"/>
          <w:lang w:eastAsia="ru-RU"/>
        </w:rPr>
      </w:pPr>
      <w:r w:rsidRPr="003A0ACB">
        <w:rPr>
          <w:rFonts w:ascii="Times New Roman" w:eastAsia="Times New Roman" w:hAnsi="Times New Roman" w:cs="Times New Roman"/>
          <w:b/>
          <w:i/>
          <w:sz w:val="21"/>
          <w:szCs w:val="21"/>
          <w:lang w:eastAsia="ru-RU"/>
        </w:rPr>
        <w:t>Жаворонков Е.М.,</w:t>
      </w:r>
    </w:p>
    <w:p w14:paraId="5852C74A" w14:textId="77777777"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студент 3 курса</w:t>
      </w:r>
    </w:p>
    <w:p w14:paraId="6090D82E" w14:textId="77777777" w:rsidR="0094637C" w:rsidRDefault="0094637C" w:rsidP="003A0ACB">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2DF11C9" w14:textId="6E98375D"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г. Краснодар, Россия</w:t>
      </w:r>
    </w:p>
    <w:p w14:paraId="72BA403B" w14:textId="77777777"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 xml:space="preserve">е-mail: </w:t>
      </w:r>
      <w:hyperlink r:id="rId592">
        <w:r w:rsidRPr="003A0ACB">
          <w:rPr>
            <w:rFonts w:ascii="Times New Roman" w:eastAsia="Times New Roman" w:hAnsi="Times New Roman" w:cs="Times New Roman"/>
            <w:i/>
            <w:color w:val="0563C1"/>
            <w:sz w:val="21"/>
            <w:szCs w:val="21"/>
            <w:u w:val="single"/>
            <w:lang w:eastAsia="ru-RU"/>
          </w:rPr>
          <w:t>Evgenij999jav@mail.ru</w:t>
        </w:r>
      </w:hyperlink>
      <w:r w:rsidRPr="003A0ACB">
        <w:rPr>
          <w:rFonts w:ascii="Times New Roman" w:eastAsia="Times New Roman" w:hAnsi="Times New Roman" w:cs="Times New Roman"/>
          <w:sz w:val="21"/>
          <w:szCs w:val="21"/>
          <w:lang w:eastAsia="ru-RU"/>
        </w:rPr>
        <w:t xml:space="preserve"> </w:t>
      </w:r>
    </w:p>
    <w:p w14:paraId="6E3F0D25" w14:textId="77777777" w:rsidR="003A0ACB" w:rsidRPr="003A0ACB" w:rsidRDefault="003A0ACB" w:rsidP="003A0ACB">
      <w:pPr>
        <w:spacing w:after="0" w:line="240" w:lineRule="auto"/>
        <w:jc w:val="right"/>
        <w:rPr>
          <w:rFonts w:ascii="Times New Roman" w:eastAsia="Times New Roman" w:hAnsi="Times New Roman" w:cs="Times New Roman"/>
          <w:i/>
          <w:sz w:val="21"/>
          <w:szCs w:val="21"/>
          <w:lang w:eastAsia="ru-RU"/>
        </w:rPr>
      </w:pPr>
    </w:p>
    <w:p w14:paraId="03E82C12" w14:textId="77777777" w:rsidR="003A0ACB" w:rsidRPr="003A0ACB" w:rsidRDefault="003A0ACB" w:rsidP="003A0ACB">
      <w:pPr>
        <w:spacing w:after="0" w:line="240" w:lineRule="auto"/>
        <w:jc w:val="right"/>
        <w:rPr>
          <w:rFonts w:ascii="Times New Roman" w:eastAsia="Times New Roman" w:hAnsi="Times New Roman" w:cs="Times New Roman"/>
          <w:b/>
          <w:bCs/>
          <w:sz w:val="21"/>
          <w:szCs w:val="21"/>
          <w:lang w:eastAsia="ru-RU"/>
        </w:rPr>
      </w:pPr>
      <w:r w:rsidRPr="003A0ACB">
        <w:rPr>
          <w:rFonts w:ascii="Times New Roman" w:eastAsia="Times New Roman" w:hAnsi="Times New Roman" w:cs="Times New Roman"/>
          <w:b/>
          <w:bCs/>
          <w:i/>
          <w:sz w:val="21"/>
          <w:szCs w:val="21"/>
          <w:lang w:eastAsia="ru-RU"/>
        </w:rPr>
        <w:t>Научный руководитель:</w:t>
      </w:r>
    </w:p>
    <w:p w14:paraId="7CEF6A1B" w14:textId="77777777" w:rsidR="003A0ACB" w:rsidRPr="003A0ACB" w:rsidRDefault="003A0ACB" w:rsidP="003A0ACB">
      <w:pPr>
        <w:spacing w:after="0" w:line="240" w:lineRule="auto"/>
        <w:jc w:val="right"/>
        <w:rPr>
          <w:rFonts w:ascii="Times New Roman" w:eastAsia="Times New Roman" w:hAnsi="Times New Roman" w:cs="Times New Roman"/>
          <w:b/>
          <w:sz w:val="21"/>
          <w:szCs w:val="21"/>
          <w:lang w:eastAsia="ru-RU"/>
        </w:rPr>
      </w:pPr>
      <w:r w:rsidRPr="003A0ACB">
        <w:rPr>
          <w:rFonts w:ascii="Times New Roman" w:eastAsia="Times New Roman" w:hAnsi="Times New Roman" w:cs="Times New Roman"/>
          <w:b/>
          <w:i/>
          <w:sz w:val="21"/>
          <w:szCs w:val="21"/>
          <w:lang w:eastAsia="ru-RU"/>
        </w:rPr>
        <w:t>Нарыжная Н.Ю.,</w:t>
      </w:r>
    </w:p>
    <w:p w14:paraId="07C67729" w14:textId="77777777"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к.т.н., доцент</w:t>
      </w:r>
    </w:p>
    <w:p w14:paraId="28C9B3B6" w14:textId="77777777" w:rsidR="0094637C" w:rsidRDefault="0094637C" w:rsidP="003A0ACB">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8F0DB52" w14:textId="5B9CC8A1"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г. Краснодар, Россия</w:t>
      </w:r>
    </w:p>
    <w:p w14:paraId="3B1A9F99" w14:textId="77777777"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r w:rsidRPr="003A0ACB">
        <w:rPr>
          <w:rFonts w:ascii="Times New Roman" w:eastAsia="Times New Roman" w:hAnsi="Times New Roman" w:cs="Times New Roman"/>
          <w:i/>
          <w:sz w:val="21"/>
          <w:szCs w:val="21"/>
          <w:lang w:eastAsia="ru-RU"/>
        </w:rPr>
        <w:t xml:space="preserve">е-mail: </w:t>
      </w:r>
      <w:hyperlink r:id="rId593">
        <w:r w:rsidRPr="003A0ACB">
          <w:rPr>
            <w:rFonts w:ascii="Times New Roman" w:eastAsia="Times New Roman" w:hAnsi="Times New Roman" w:cs="Times New Roman"/>
            <w:i/>
            <w:color w:val="0563C1"/>
            <w:sz w:val="21"/>
            <w:szCs w:val="21"/>
            <w:u w:val="single"/>
            <w:lang w:eastAsia="ru-RU"/>
          </w:rPr>
          <w:t>NYUNaryzhnaya@fa.ru</w:t>
        </w:r>
      </w:hyperlink>
      <w:r w:rsidRPr="003A0ACB">
        <w:rPr>
          <w:rFonts w:ascii="Times New Roman" w:eastAsia="Times New Roman" w:hAnsi="Times New Roman" w:cs="Times New Roman"/>
          <w:i/>
          <w:sz w:val="21"/>
          <w:szCs w:val="21"/>
          <w:lang w:eastAsia="ru-RU"/>
        </w:rPr>
        <w:t xml:space="preserve"> </w:t>
      </w:r>
    </w:p>
    <w:p w14:paraId="07697D03" w14:textId="77777777" w:rsidR="003A0ACB" w:rsidRPr="003A0ACB" w:rsidRDefault="003A0ACB" w:rsidP="003A0ACB">
      <w:pPr>
        <w:spacing w:after="0" w:line="240" w:lineRule="auto"/>
        <w:jc w:val="right"/>
        <w:rPr>
          <w:rFonts w:ascii="Times New Roman" w:eastAsia="Times New Roman" w:hAnsi="Times New Roman" w:cs="Times New Roman"/>
          <w:sz w:val="21"/>
          <w:szCs w:val="21"/>
          <w:lang w:eastAsia="ru-RU"/>
        </w:rPr>
      </w:pPr>
    </w:p>
    <w:p w14:paraId="74ED9A0D"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eastAsia="ru-RU"/>
        </w:rPr>
      </w:pPr>
      <w:r w:rsidRPr="003A0ACB">
        <w:rPr>
          <w:rFonts w:ascii="Times New Roman" w:eastAsia="Times New Roman" w:hAnsi="Times New Roman" w:cs="Times New Roman"/>
          <w:b/>
          <w:sz w:val="21"/>
          <w:szCs w:val="21"/>
          <w:lang w:eastAsia="ru-RU"/>
        </w:rPr>
        <w:t>Применение искусственного интеллекта в банковском секторе</w:t>
      </w:r>
    </w:p>
    <w:p w14:paraId="5A3BED3E"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eastAsia="ru-RU"/>
        </w:rPr>
      </w:pPr>
    </w:p>
    <w:p w14:paraId="48093B90" w14:textId="77777777" w:rsidR="003A0ACB" w:rsidRPr="003A0ACB" w:rsidRDefault="003A0ACB" w:rsidP="003A0ACB">
      <w:pPr>
        <w:spacing w:after="0" w:line="240" w:lineRule="auto"/>
        <w:ind w:firstLine="709"/>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b/>
          <w:sz w:val="21"/>
          <w:szCs w:val="21"/>
          <w:lang w:eastAsia="ru-RU"/>
        </w:rPr>
        <w:t xml:space="preserve">Аннотация: </w:t>
      </w:r>
      <w:r w:rsidRPr="003A0ACB">
        <w:rPr>
          <w:rFonts w:ascii="Times New Roman" w:eastAsia="Times New Roman" w:hAnsi="Times New Roman" w:cs="Times New Roman"/>
          <w:sz w:val="21"/>
          <w:szCs w:val="21"/>
          <w:lang w:eastAsia="ru-RU"/>
        </w:rPr>
        <w:t xml:space="preserve">В данной статье представлена информация тенденций внедрения, влияния и применения искусственного интеллекта в банковском секторе. Подчеркивается важность его использования. Представлены положительные аспекты и их влияние. Упомянуты трудности, с которыми сталкивается данный инструмент и пути их решения. Основная цель работы в изучении возможностей искусственного интеллекта в банковском секторе, его преимущества и пути развития. Приведены примеры с использованием искусственного интеллекта. Поэтому внедрение данных инновационных </w:t>
      </w:r>
      <w:r w:rsidRPr="003A0ACB">
        <w:rPr>
          <w:rFonts w:ascii="Times New Roman" w:eastAsia="Times New Roman" w:hAnsi="Times New Roman" w:cs="Times New Roman"/>
          <w:sz w:val="21"/>
          <w:szCs w:val="21"/>
          <w:lang w:eastAsia="ru-RU"/>
        </w:rPr>
        <w:lastRenderedPageBreak/>
        <w:t>информационных систем необходимо рассмотреть в ближайшем времени, как одно из актуальных направлений развития.</w:t>
      </w:r>
    </w:p>
    <w:p w14:paraId="253EED90" w14:textId="77777777" w:rsidR="003A0ACB" w:rsidRPr="003A0ACB" w:rsidRDefault="003A0ACB" w:rsidP="003A0ACB">
      <w:pPr>
        <w:spacing w:after="0" w:line="240" w:lineRule="auto"/>
        <w:ind w:firstLine="709"/>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b/>
          <w:sz w:val="21"/>
          <w:szCs w:val="21"/>
          <w:lang w:eastAsia="ru-RU"/>
        </w:rPr>
        <w:t>Ключевые слова:</w:t>
      </w:r>
      <w:r w:rsidRPr="003A0ACB">
        <w:rPr>
          <w:rFonts w:ascii="Times New Roman" w:eastAsia="Times New Roman" w:hAnsi="Times New Roman" w:cs="Times New Roman"/>
          <w:sz w:val="21"/>
          <w:szCs w:val="21"/>
          <w:lang w:eastAsia="ru-RU"/>
        </w:rPr>
        <w:t xml:space="preserve"> Искусственный интеллект, банковский сектор, банковские операции, технологии.</w:t>
      </w:r>
    </w:p>
    <w:p w14:paraId="7A2C7684"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eastAsia="ru-RU"/>
        </w:rPr>
      </w:pPr>
    </w:p>
    <w:p w14:paraId="16CB918E" w14:textId="77777777" w:rsidR="003A0ACB" w:rsidRPr="003A0ACB" w:rsidRDefault="003A0ACB" w:rsidP="003A0ACB">
      <w:pPr>
        <w:tabs>
          <w:tab w:val="left" w:pos="316"/>
        </w:tabs>
        <w:spacing w:after="0" w:line="240" w:lineRule="auto"/>
        <w:ind w:firstLine="709"/>
        <w:jc w:val="right"/>
        <w:rPr>
          <w:rFonts w:ascii="Liberation Serif" w:eastAsia="Liberation Serif" w:hAnsi="Liberation Serif" w:cs="Liberation Serif"/>
          <w:b/>
          <w:sz w:val="24"/>
          <w:szCs w:val="24"/>
          <w:lang w:val="en-US" w:eastAsia="ru-RU"/>
        </w:rPr>
      </w:pPr>
      <w:r w:rsidRPr="003A0ACB">
        <w:rPr>
          <w:rFonts w:ascii="Liberation Serif" w:eastAsia="Liberation Serif" w:hAnsi="Liberation Serif" w:cs="Liberation Serif"/>
          <w:b/>
          <w:i/>
          <w:sz w:val="21"/>
          <w:szCs w:val="21"/>
          <w:lang w:val="en-US" w:eastAsia="ru-RU"/>
        </w:rPr>
        <w:t>Zhavoronkov E.M.,</w:t>
      </w:r>
    </w:p>
    <w:p w14:paraId="1A9BA1C5" w14:textId="77777777" w:rsidR="003A0ACB" w:rsidRPr="003A0ACB" w:rsidRDefault="003A0ACB" w:rsidP="003A0ACB">
      <w:pPr>
        <w:tabs>
          <w:tab w:val="left" w:pos="316"/>
        </w:tabs>
        <w:spacing w:after="0" w:line="240" w:lineRule="auto"/>
        <w:ind w:firstLine="709"/>
        <w:jc w:val="right"/>
        <w:rPr>
          <w:rFonts w:ascii="Liberation Serif" w:eastAsia="Liberation Serif" w:hAnsi="Liberation Serif" w:cs="Liberation Serif"/>
          <w:sz w:val="24"/>
          <w:szCs w:val="24"/>
          <w:lang w:val="en-US" w:eastAsia="ru-RU"/>
        </w:rPr>
      </w:pPr>
      <w:r w:rsidRPr="003A0ACB">
        <w:rPr>
          <w:rFonts w:ascii="Liberation Serif" w:eastAsia="Liberation Serif" w:hAnsi="Liberation Serif" w:cs="Liberation Serif"/>
          <w:i/>
          <w:sz w:val="21"/>
          <w:szCs w:val="21"/>
          <w:lang w:val="en-US" w:eastAsia="ru-RU"/>
        </w:rPr>
        <w:t>3rd year student</w:t>
      </w:r>
    </w:p>
    <w:p w14:paraId="5F99CA59" w14:textId="77777777" w:rsidR="003A0ACB" w:rsidRPr="003A0ACB" w:rsidRDefault="003A0ACB" w:rsidP="003A0ACB">
      <w:pPr>
        <w:tabs>
          <w:tab w:val="left" w:pos="316"/>
        </w:tabs>
        <w:spacing w:after="0" w:line="240" w:lineRule="auto"/>
        <w:ind w:firstLine="709"/>
        <w:jc w:val="right"/>
        <w:rPr>
          <w:rFonts w:ascii="Liberation Serif" w:eastAsia="Liberation Serif" w:hAnsi="Liberation Serif" w:cs="Liberation Serif"/>
          <w:sz w:val="24"/>
          <w:szCs w:val="24"/>
          <w:lang w:val="en-US" w:eastAsia="ru-RU"/>
        </w:rPr>
      </w:pPr>
      <w:r w:rsidRPr="003A0ACB">
        <w:rPr>
          <w:rFonts w:ascii="Liberation Serif" w:eastAsia="Liberation Serif" w:hAnsi="Liberation Serif" w:cs="Liberation Serif"/>
          <w:i/>
          <w:sz w:val="21"/>
          <w:szCs w:val="21"/>
          <w:lang w:val="en-US" w:eastAsia="ru-RU"/>
        </w:rPr>
        <w:t>Financial University under the Government of the Russian Federation</w:t>
      </w:r>
    </w:p>
    <w:p w14:paraId="29F4929F" w14:textId="77777777" w:rsidR="003A0ACB" w:rsidRPr="003A0ACB" w:rsidRDefault="003A0ACB" w:rsidP="003A0ACB">
      <w:pPr>
        <w:tabs>
          <w:tab w:val="left" w:pos="316"/>
        </w:tabs>
        <w:spacing w:after="0" w:line="240" w:lineRule="auto"/>
        <w:ind w:firstLine="709"/>
        <w:jc w:val="right"/>
        <w:rPr>
          <w:rFonts w:ascii="Liberation Serif" w:eastAsia="Liberation Serif" w:hAnsi="Liberation Serif" w:cs="Liberation Serif"/>
          <w:sz w:val="24"/>
          <w:szCs w:val="24"/>
          <w:lang w:val="en-US" w:eastAsia="ru-RU"/>
        </w:rPr>
      </w:pPr>
      <w:r w:rsidRPr="003A0ACB">
        <w:rPr>
          <w:rFonts w:ascii="Liberation Serif" w:eastAsia="Liberation Serif" w:hAnsi="Liberation Serif" w:cs="Liberation Serif"/>
          <w:i/>
          <w:sz w:val="21"/>
          <w:szCs w:val="21"/>
          <w:lang w:val="en-US" w:eastAsia="ru-RU"/>
        </w:rPr>
        <w:t>Krasnodar, Russia</w:t>
      </w:r>
    </w:p>
    <w:p w14:paraId="26A9B2E2" w14:textId="77777777" w:rsidR="003A0ACB" w:rsidRPr="003A0ACB" w:rsidRDefault="003A0ACB" w:rsidP="003A0ACB">
      <w:pPr>
        <w:spacing w:after="0" w:line="240" w:lineRule="auto"/>
        <w:jc w:val="right"/>
        <w:rPr>
          <w:rFonts w:ascii="Times New Roman" w:eastAsia="Times New Roman" w:hAnsi="Times New Roman" w:cs="Times New Roman"/>
          <w:i/>
          <w:sz w:val="21"/>
          <w:szCs w:val="21"/>
          <w:lang w:val="en-US" w:eastAsia="ru-RU"/>
        </w:rPr>
      </w:pPr>
      <w:r w:rsidRPr="003A0ACB">
        <w:rPr>
          <w:rFonts w:ascii="Liberation Serif" w:eastAsia="Liberation Serif" w:hAnsi="Liberation Serif" w:cs="Liberation Serif"/>
          <w:i/>
          <w:sz w:val="21"/>
          <w:szCs w:val="21"/>
          <w:lang w:val="en-US" w:eastAsia="ru-RU"/>
        </w:rPr>
        <w:t xml:space="preserve">e-mail: </w:t>
      </w:r>
      <w:hyperlink r:id="rId594">
        <w:r w:rsidRPr="003A0ACB">
          <w:rPr>
            <w:rFonts w:ascii="Times New Roman" w:eastAsia="Times New Roman" w:hAnsi="Times New Roman" w:cs="Times New Roman"/>
            <w:i/>
            <w:color w:val="0563C1"/>
            <w:sz w:val="21"/>
            <w:szCs w:val="21"/>
            <w:u w:val="single"/>
            <w:lang w:val="en-US" w:eastAsia="ru-RU"/>
          </w:rPr>
          <w:t>Evgenij999jav@mail.ru</w:t>
        </w:r>
      </w:hyperlink>
    </w:p>
    <w:p w14:paraId="574048C3" w14:textId="77777777" w:rsidR="003A0ACB" w:rsidRPr="003A0ACB" w:rsidRDefault="003A0ACB" w:rsidP="003A0ACB">
      <w:pPr>
        <w:tabs>
          <w:tab w:val="left" w:pos="316"/>
        </w:tabs>
        <w:spacing w:after="0" w:line="240" w:lineRule="auto"/>
        <w:ind w:firstLine="709"/>
        <w:jc w:val="right"/>
        <w:rPr>
          <w:rFonts w:ascii="Liberation Serif" w:eastAsia="Liberation Serif" w:hAnsi="Liberation Serif" w:cs="Liberation Serif"/>
          <w:i/>
          <w:sz w:val="21"/>
          <w:szCs w:val="21"/>
          <w:lang w:val="en-US" w:eastAsia="ru-RU"/>
        </w:rPr>
      </w:pPr>
    </w:p>
    <w:p w14:paraId="583457AD"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sz w:val="21"/>
          <w:szCs w:val="21"/>
          <w:lang w:val="en-US" w:eastAsia="ru-RU"/>
        </w:rPr>
      </w:pPr>
      <w:r w:rsidRPr="003A0ACB">
        <w:rPr>
          <w:rFonts w:ascii="Liberation Serif" w:eastAsia="Liberation Serif" w:hAnsi="Liberation Serif" w:cs="Liberation Serif"/>
          <w:b/>
          <w:i/>
          <w:sz w:val="21"/>
          <w:szCs w:val="21"/>
          <w:lang w:val="en-US" w:eastAsia="ru-RU"/>
        </w:rPr>
        <w:t>Scientific advisor:</w:t>
      </w:r>
    </w:p>
    <w:p w14:paraId="6B1464D5"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b/>
          <w:i/>
          <w:sz w:val="21"/>
          <w:szCs w:val="21"/>
          <w:lang w:val="en-US" w:eastAsia="ru-RU"/>
        </w:rPr>
      </w:pPr>
      <w:r w:rsidRPr="003A0ACB">
        <w:rPr>
          <w:rFonts w:ascii="Liberation Serif" w:eastAsia="Liberation Serif" w:hAnsi="Liberation Serif" w:cs="Liberation Serif"/>
          <w:b/>
          <w:i/>
          <w:sz w:val="21"/>
          <w:szCs w:val="21"/>
          <w:lang w:val="en-US" w:eastAsia="ru-RU"/>
        </w:rPr>
        <w:t>Naryzhnaya N.Y.,</w:t>
      </w:r>
    </w:p>
    <w:p w14:paraId="086D292E"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i/>
          <w:sz w:val="21"/>
          <w:szCs w:val="21"/>
          <w:lang w:val="en-US" w:eastAsia="ru-RU"/>
        </w:rPr>
      </w:pPr>
      <w:r w:rsidRPr="003A0ACB">
        <w:rPr>
          <w:rFonts w:ascii="Liberation Serif" w:eastAsia="Liberation Serif" w:hAnsi="Liberation Serif" w:cs="Liberation Serif"/>
          <w:i/>
          <w:sz w:val="21"/>
          <w:szCs w:val="21"/>
          <w:lang w:val="en-US" w:eastAsia="ru-RU"/>
        </w:rPr>
        <w:t>Associate Professor, Ph.D. in Technical Sciences</w:t>
      </w:r>
    </w:p>
    <w:p w14:paraId="5ED18F78"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i/>
          <w:sz w:val="21"/>
          <w:szCs w:val="21"/>
          <w:lang w:val="en-US" w:eastAsia="ru-RU"/>
        </w:rPr>
      </w:pPr>
      <w:r w:rsidRPr="003A0ACB">
        <w:rPr>
          <w:rFonts w:ascii="Liberation Serif" w:eastAsia="Liberation Serif" w:hAnsi="Liberation Serif" w:cs="Liberation Serif"/>
          <w:i/>
          <w:sz w:val="21"/>
          <w:szCs w:val="21"/>
          <w:lang w:val="en-US" w:eastAsia="ru-RU"/>
        </w:rPr>
        <w:t>Financial University under the Government of the Russian Federation</w:t>
      </w:r>
    </w:p>
    <w:p w14:paraId="2879CC8E"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i/>
          <w:sz w:val="21"/>
          <w:szCs w:val="21"/>
          <w:lang w:val="en-US" w:eastAsia="ru-RU"/>
        </w:rPr>
      </w:pPr>
      <w:r w:rsidRPr="003A0ACB">
        <w:rPr>
          <w:rFonts w:ascii="Liberation Serif" w:eastAsia="Liberation Serif" w:hAnsi="Liberation Serif" w:cs="Liberation Serif"/>
          <w:i/>
          <w:sz w:val="21"/>
          <w:szCs w:val="21"/>
          <w:lang w:val="en-US" w:eastAsia="ru-RU"/>
        </w:rPr>
        <w:t>Krasnodar, Russia</w:t>
      </w:r>
    </w:p>
    <w:p w14:paraId="63A934E2" w14:textId="77777777" w:rsidR="003A0ACB" w:rsidRPr="003A0ACB" w:rsidRDefault="003A0ACB" w:rsidP="003A0ACB">
      <w:pPr>
        <w:tabs>
          <w:tab w:val="left" w:pos="316"/>
        </w:tabs>
        <w:spacing w:after="0" w:line="240" w:lineRule="auto"/>
        <w:jc w:val="right"/>
        <w:rPr>
          <w:rFonts w:ascii="Liberation Serif" w:eastAsia="Liberation Serif" w:hAnsi="Liberation Serif" w:cs="Liberation Serif"/>
          <w:i/>
          <w:sz w:val="21"/>
          <w:szCs w:val="21"/>
          <w:lang w:val="en-US" w:eastAsia="ru-RU"/>
        </w:rPr>
      </w:pPr>
      <w:r w:rsidRPr="003A0ACB">
        <w:rPr>
          <w:rFonts w:ascii="Liberation Serif" w:eastAsia="Liberation Serif" w:hAnsi="Liberation Serif" w:cs="Liberation Serif"/>
          <w:i/>
          <w:sz w:val="21"/>
          <w:szCs w:val="21"/>
          <w:lang w:val="en-US" w:eastAsia="ru-RU"/>
        </w:rPr>
        <w:t>e-mail: NYUNaryzhnaya@fa.ru</w:t>
      </w:r>
    </w:p>
    <w:p w14:paraId="6D5E9F03"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val="en-US" w:eastAsia="ru-RU"/>
        </w:rPr>
      </w:pPr>
    </w:p>
    <w:p w14:paraId="620718EB"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val="en-US" w:eastAsia="ru-RU"/>
        </w:rPr>
      </w:pPr>
      <w:r w:rsidRPr="003A0ACB">
        <w:rPr>
          <w:rFonts w:ascii="Times New Roman" w:eastAsia="Times New Roman" w:hAnsi="Times New Roman" w:cs="Times New Roman"/>
          <w:b/>
          <w:sz w:val="21"/>
          <w:szCs w:val="21"/>
          <w:lang w:val="en-US" w:eastAsia="ru-RU"/>
        </w:rPr>
        <w:t>Application of artificial intelligence in the banking sector</w:t>
      </w:r>
    </w:p>
    <w:p w14:paraId="4553DFB0" w14:textId="77777777" w:rsidR="003A0ACB" w:rsidRPr="003A0ACB" w:rsidRDefault="003A0ACB" w:rsidP="003A0ACB">
      <w:pPr>
        <w:spacing w:after="0" w:line="240" w:lineRule="auto"/>
        <w:jc w:val="center"/>
        <w:rPr>
          <w:rFonts w:ascii="Times New Roman" w:eastAsia="Times New Roman" w:hAnsi="Times New Roman" w:cs="Times New Roman"/>
          <w:b/>
          <w:sz w:val="21"/>
          <w:szCs w:val="21"/>
          <w:lang w:val="en-US" w:eastAsia="ru-RU"/>
        </w:rPr>
      </w:pPr>
    </w:p>
    <w:p w14:paraId="3DB9477E" w14:textId="77777777" w:rsidR="003A0ACB" w:rsidRPr="003A0ACB" w:rsidRDefault="003A0ACB" w:rsidP="003A0ACB">
      <w:pPr>
        <w:spacing w:after="0" w:line="240" w:lineRule="auto"/>
        <w:ind w:firstLine="709"/>
        <w:jc w:val="both"/>
        <w:rPr>
          <w:rFonts w:ascii="Times New Roman" w:eastAsia="Times New Roman" w:hAnsi="Times New Roman" w:cs="Times New Roman"/>
          <w:sz w:val="21"/>
          <w:szCs w:val="21"/>
          <w:lang w:val="en-US" w:eastAsia="ru-RU"/>
        </w:rPr>
      </w:pPr>
      <w:r w:rsidRPr="003A0ACB">
        <w:rPr>
          <w:rFonts w:ascii="Times New Roman" w:eastAsia="Times New Roman" w:hAnsi="Times New Roman" w:cs="Times New Roman"/>
          <w:b/>
          <w:sz w:val="21"/>
          <w:szCs w:val="21"/>
          <w:lang w:val="en-US" w:eastAsia="ru-RU"/>
        </w:rPr>
        <w:t xml:space="preserve">Abstract: </w:t>
      </w:r>
      <w:r w:rsidRPr="003A0ACB">
        <w:rPr>
          <w:rFonts w:ascii="Times New Roman" w:eastAsia="Times New Roman" w:hAnsi="Times New Roman" w:cs="Times New Roman"/>
          <w:sz w:val="21"/>
          <w:szCs w:val="21"/>
          <w:lang w:val="en-US" w:eastAsia="ru-RU"/>
        </w:rPr>
        <w:t>This article provides information on trends in the introduction, impact and application of artificial intelligence (AI) in the banking sector. The importance of its use is emphasized. The positive aspects and their impact are presented. The difficulties faced by this tool and the ways to solve them are mentioned. The main purpose of the work is to explore the possibilities of AI in the banking sector, its advantages and development paths. Examples of using AI are given. Therefore, the introduction of these innovative information systems should be considered in the near future as one of the relevant areas of development.</w:t>
      </w:r>
    </w:p>
    <w:p w14:paraId="07F87D7A" w14:textId="77777777" w:rsidR="003A0ACB" w:rsidRPr="003A0ACB" w:rsidRDefault="003A0ACB" w:rsidP="003A0ACB">
      <w:pPr>
        <w:spacing w:after="0" w:line="240" w:lineRule="auto"/>
        <w:ind w:firstLine="709"/>
        <w:jc w:val="both"/>
        <w:rPr>
          <w:rFonts w:ascii="Times New Roman" w:eastAsia="Times New Roman" w:hAnsi="Times New Roman" w:cs="Times New Roman"/>
          <w:sz w:val="21"/>
          <w:szCs w:val="21"/>
          <w:lang w:val="en-US" w:eastAsia="ru-RU"/>
        </w:rPr>
      </w:pPr>
      <w:r w:rsidRPr="003A0ACB">
        <w:rPr>
          <w:rFonts w:ascii="Times New Roman" w:eastAsia="Times New Roman" w:hAnsi="Times New Roman" w:cs="Times New Roman"/>
          <w:b/>
          <w:sz w:val="21"/>
          <w:szCs w:val="21"/>
          <w:lang w:val="en-US" w:eastAsia="ru-RU"/>
        </w:rPr>
        <w:t>Keywords</w:t>
      </w:r>
      <w:r w:rsidRPr="003A0ACB">
        <w:rPr>
          <w:rFonts w:ascii="Times New Roman" w:eastAsia="Times New Roman" w:hAnsi="Times New Roman" w:cs="Times New Roman"/>
          <w:sz w:val="21"/>
          <w:szCs w:val="21"/>
          <w:lang w:val="en-US" w:eastAsia="ru-RU"/>
        </w:rPr>
        <w:t>: Artificial intelligence, banking sector, banking operations, technology.</w:t>
      </w:r>
    </w:p>
    <w:p w14:paraId="62F2567C" w14:textId="77777777" w:rsidR="003A0ACB" w:rsidRPr="003A0ACB" w:rsidRDefault="003A0ACB" w:rsidP="003A0ACB">
      <w:pPr>
        <w:pBdr>
          <w:top w:val="nil"/>
          <w:left w:val="nil"/>
          <w:bottom w:val="nil"/>
          <w:right w:val="nil"/>
          <w:between w:val="nil"/>
        </w:pBdr>
        <w:tabs>
          <w:tab w:val="left" w:pos="1134"/>
          <w:tab w:val="left" w:pos="9214"/>
        </w:tabs>
        <w:spacing w:after="0" w:line="240" w:lineRule="auto"/>
        <w:ind w:firstLine="567"/>
        <w:jc w:val="both"/>
        <w:rPr>
          <w:rFonts w:ascii="Times New Roman" w:eastAsia="Times New Roman" w:hAnsi="Times New Roman" w:cs="Times New Roman"/>
          <w:color w:val="000000"/>
          <w:sz w:val="28"/>
          <w:szCs w:val="28"/>
          <w:lang w:val="en-US" w:eastAsia="ru-RU"/>
        </w:rPr>
      </w:pPr>
    </w:p>
    <w:p w14:paraId="05ECB07C" w14:textId="77777777" w:rsidR="003A0ACB" w:rsidRPr="003A0ACB" w:rsidRDefault="003A0ACB" w:rsidP="003A0ACB">
      <w:pPr>
        <w:pBdr>
          <w:top w:val="nil"/>
          <w:left w:val="nil"/>
          <w:bottom w:val="nil"/>
          <w:right w:val="nil"/>
          <w:between w:val="nil"/>
        </w:pBdr>
        <w:tabs>
          <w:tab w:val="left" w:pos="1134"/>
          <w:tab w:val="left" w:pos="921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В эпоху цифровой трансформации банковский сектор стоит на пороге больших возможностей, где искусственный интеллект становится ключевым инструментом и драйвером для переосмысления финансовых услуг. От автоматизации рутинных задач до прогнозирования рыночных трендов.</w:t>
      </w:r>
    </w:p>
    <w:p w14:paraId="643B4BED"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Цель исследования заключается в изучении возможностей применения искусственного интеллекта в банковском секторе. Уточним, что искусственный интеллект (ИИ) является частью в области науки и технологий, направленный на развитие систем, способных решать задачи с помощью человеческих навыков: рассуждения, обучения и самокоррекции (рис. 1). ИИ применяется в оптической связи, сетевом планировании, медицине и других сферах. Следует выделить несколько ключевых моментов, для чего вообще используются предпринимателями и компаниями различного рода облачные хранилища, которые помогают работать эффективнее.</w:t>
      </w:r>
    </w:p>
    <w:p w14:paraId="51DCBCDB"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noProof/>
          <w:sz w:val="32"/>
          <w:szCs w:val="32"/>
          <w:lang w:eastAsia="ru-RU"/>
        </w:rPr>
        <w:lastRenderedPageBreak/>
        <w:drawing>
          <wp:inline distT="0" distB="0" distL="0" distR="0" wp14:anchorId="7AEE4CFB" wp14:editId="230C2994">
            <wp:extent cx="5762625" cy="2700745"/>
            <wp:effectExtent l="0" t="0" r="0" b="4445"/>
            <wp:docPr id="89942608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764979" cy="2701848"/>
                    </a:xfrm>
                    <a:prstGeom prst="rect">
                      <a:avLst/>
                    </a:prstGeom>
                    <a:noFill/>
                    <a:ln>
                      <a:noFill/>
                    </a:ln>
                  </pic:spPr>
                </pic:pic>
              </a:graphicData>
            </a:graphic>
          </wp:inline>
        </w:drawing>
      </w:r>
    </w:p>
    <w:p w14:paraId="1C45FDC5"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Рисунок 1 – Применение технологий ИИ в области информационной безопасности бизнеса [6]</w:t>
      </w:r>
    </w:p>
    <w:p w14:paraId="44252ABC"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p>
    <w:p w14:paraId="60E542AA"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Современный банковский сектор уже практически напрямую связан с искусственным интеллектом. Эта технология во многом автоматизирует их процессы, а также переопределяет саму суть финансовых услуг, делая их быстрее, безопаснее и индивидуальнее, в плане подхода к каждому клиенту. Однако за стремительным прогрессом скрываются сложные вопросы, требующие внимания как со стороны банков, так и регуляторов. Например, кредитный скоринг больше не ограничивается шаблонными анкетами. Алгоритмы машинного обучения анализируют тысячи параметров: от истории транзакций до геолокации и активности в соцсетях. Это позволяет прогнозировать риски с точностью, недоступной традиционным методам. Банки HDFC и ICICI в Индии уже внедрили чат-ботов (Eva, SIA), которые не только обрабатывают запросы, но и предлагают клиентам индивидуальные кредитные решения за доли секунды.  Обнаружение мошенничества является ещё одной областью, где ИИ демонстрирует феноменальные результаты. Системы на базе генеративно-состязательных сетей (GAN) учатся распознавать новые схемы атак, анализируя паттерны в реальном времени. Тем самым, алгоритмы выявляют аномальные переводы с точностью свыше 90% спасая банки от финансовых потерь разных масштабов.  </w:t>
      </w:r>
    </w:p>
    <w:p w14:paraId="563B61D4"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Но настоящий прорыв ИИ совершил в клиентском сервисе. Виртуальные ассистенты работают над решением вопросов клиентов, также могут предугадывать их потребности. Если клиент часто переводит средства в определённые дни, система предложит настроить </w:t>
      </w:r>
      <w:r w:rsidRPr="003A0ACB">
        <w:rPr>
          <w:rFonts w:ascii="Times New Roman" w:eastAsia="Times New Roman" w:hAnsi="Times New Roman" w:cs="Times New Roman"/>
          <w:color w:val="000000"/>
          <w:sz w:val="32"/>
          <w:szCs w:val="32"/>
          <w:lang w:eastAsia="ru-RU"/>
        </w:rPr>
        <w:lastRenderedPageBreak/>
        <w:t>автоматические платежи. Это уровень персонализации, который раньше был возможен только при личном общении с менеджером. Основное преимущество данной технологии предполагает снижение затрат. Автоматизация рутинных задач, связанная с обработкой документов или верификация данных, помогает сократить их операционные расходы на 20–30%. Для клиентов это означает уменьшение комиссий и ускорение процессов: одобрение кредита теперь занимает минуты вместо дней.  Второй плюс в доверии, ИИ может быть технологией, которая укрепляет безопасность. Алгоритмы, обученные на миллионах транзакций, обнаруживают подозрительные операции ещё до их завершения. Например, если карта используется в двух странах одновременно, система блокирует её, предотвращая кражу.  Но самое ценное учитывается в лояльности к клиентам. Выстраивание персонализированных рекомендаций по инвестициям, контроль доходов и расходов или же просто напоминания о платежах всё сводит ИИ в персонального финансового советника. На рисунке 2 приведены наиболее важные, исходя из потребностей, ИИ-технологии в области финансовых услуг.</w:t>
      </w:r>
    </w:p>
    <w:p w14:paraId="3F24D556"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Однако несмотря на успехи, банки сталкиваются с серьёзными препятствиями. Во-первых, это техническая интеграция. Многие учреждения до сих пор используют legacy-системы, несовместимые с современными AI-решениями. Не все готовы перейти на новые платформы, так как это требует много времени и ресурсов. Во-вторых, регуляторные риски, они также остаются головной болью. Требования GDPR, AML и KYC обязывают банки объяснять каждое решение ИИ. Но так как ИИ во многом не всем понятен, постоянно меняющаяся часть программной среды сложна в тестировании программистами. Поэтому, всё нужно проверять и относиться с разумным скептицизмом, однако точным решением проблемы будет подход Explainable AI (XAI), который делает алгоритмы прозрачными. Например, инструменты SHAP показывают, какие факторы повлияли на отказ в кредите: «Ваша заявка отклонена из-за плохой кредитной истории или высокого долга по карте при стабильном доходе».</w:t>
      </w:r>
    </w:p>
    <w:p w14:paraId="03191D7C"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p>
    <w:p w14:paraId="758CDE55"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noProof/>
          <w:sz w:val="32"/>
          <w:szCs w:val="32"/>
          <w:lang w:eastAsia="ru-RU"/>
        </w:rPr>
        <w:lastRenderedPageBreak/>
        <w:drawing>
          <wp:inline distT="0" distB="0" distL="0" distR="0" wp14:anchorId="24A3D7ED" wp14:editId="3C9F6BAD">
            <wp:extent cx="6010275" cy="3429000"/>
            <wp:effectExtent l="0" t="0" r="9525" b="0"/>
            <wp:docPr id="1309884512" name="Рисунок 2" descr="Изображение выглядит как текст, снимок экрана,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84512" name="Рисунок 2" descr="Изображение выглядит как текст, снимок экрана, диаграмма, линия&#10;&#10;Контент, сгенерированный ИИ, может содержать ошибки."/>
                    <pic:cNvPicPr>
                      <a:picLocks noChangeAspect="1" noChangeArrowheads="1"/>
                    </pic:cNvPicPr>
                  </pic:nvPicPr>
                  <pic:blipFill rotWithShape="1">
                    <a:blip r:embed="rId596">
                      <a:extLst>
                        <a:ext uri="{28A0092B-C50C-407E-A947-70E740481C1C}">
                          <a14:useLocalDpi xmlns:a14="http://schemas.microsoft.com/office/drawing/2010/main" val="0"/>
                        </a:ext>
                      </a:extLst>
                    </a:blip>
                    <a:srcRect t="1774" r="1795" b="6994"/>
                    <a:stretch/>
                  </pic:blipFill>
                  <pic:spPr bwMode="auto">
                    <a:xfrm>
                      <a:off x="0" y="0"/>
                      <a:ext cx="6010275"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383A5D3D"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Рисунок 2 – Позиции наиболее важных финансовых ИИ-технологий </w:t>
      </w:r>
    </w:p>
    <w:p w14:paraId="3217CF64"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по данным экспертов аналитического агентства </w:t>
      </w:r>
      <w:r w:rsidRPr="003A0ACB">
        <w:rPr>
          <w:rFonts w:ascii="Times New Roman" w:eastAsia="Times New Roman" w:hAnsi="Times New Roman" w:cs="Times New Roman"/>
          <w:color w:val="000000"/>
          <w:sz w:val="32"/>
          <w:szCs w:val="32"/>
          <w:lang w:val="en-US" w:eastAsia="ru-RU"/>
        </w:rPr>
        <w:t>Gartner</w:t>
      </w:r>
    </w:p>
    <w:p w14:paraId="567C0E30"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p>
    <w:p w14:paraId="70391FA0"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Рассмотрим прямой пример на опыте Индии. Она стала живой лабораторией для тестирования ИИ. Банки State Bank of India и Axis Bank используют чат-ботов для обслуживания миллионов клиентов, а ICICI автоматизировал более 200 процессов через RPA. В данном случае кейсы доказывают, что успех зависит от гибкости. Банк Morgan Stanley (США) внедрил LLM для поиска по базе знаний совместно с OpenAI. Более 98% финансовых советников в подразделении по управлению капиталом Morgan Stanley Wealth Management используют чат-бот AI. </w:t>
      </w:r>
    </w:p>
    <w:p w14:paraId="5A7F354F"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На рисунке 3 приведена динамика внедрения ИИ-технологий в России и мире в области банковского сектора, которая показывает устойчивый рост.</w:t>
      </w:r>
    </w:p>
    <w:p w14:paraId="5D2CFF06"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p>
    <w:p w14:paraId="22407587"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noProof/>
          <w:color w:val="000000"/>
          <w:sz w:val="32"/>
          <w:szCs w:val="32"/>
          <w:lang w:eastAsia="ru-RU"/>
        </w:rPr>
        <w:lastRenderedPageBreak/>
        <w:drawing>
          <wp:inline distT="0" distB="0" distL="0" distR="0" wp14:anchorId="4AF297C0" wp14:editId="57B47AAA">
            <wp:extent cx="5076825" cy="2466975"/>
            <wp:effectExtent l="0" t="0" r="9525" b="9525"/>
            <wp:docPr id="4235328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597"/>
                    <a:srcRect t="9625"/>
                    <a:stretch/>
                  </pic:blipFill>
                  <pic:spPr bwMode="auto">
                    <a:xfrm>
                      <a:off x="0" y="0"/>
                      <a:ext cx="5077764" cy="2467431"/>
                    </a:xfrm>
                    <a:prstGeom prst="rect">
                      <a:avLst/>
                    </a:prstGeom>
                    <a:ln>
                      <a:noFill/>
                    </a:ln>
                    <a:extLst>
                      <a:ext uri="{53640926-AAD7-44D8-BBD7-CCE9431645EC}">
                        <a14:shadowObscured xmlns:a14="http://schemas.microsoft.com/office/drawing/2010/main"/>
                      </a:ext>
                    </a:extLst>
                  </pic:spPr>
                </pic:pic>
              </a:graphicData>
            </a:graphic>
          </wp:inline>
        </w:drawing>
      </w:r>
    </w:p>
    <w:p w14:paraId="1DE9888C" w14:textId="77777777" w:rsidR="003A0ACB" w:rsidRPr="003A0ACB" w:rsidRDefault="003A0ACB" w:rsidP="003A0ACB">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Рисунок 3 – Динамика внедрения ИИ-технологий в банковском секторе</w:t>
      </w:r>
    </w:p>
    <w:p w14:paraId="232827CC"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p>
    <w:p w14:paraId="568B74C8" w14:textId="77777777" w:rsidR="003A0ACB" w:rsidRPr="003A0ACB" w:rsidRDefault="003A0ACB" w:rsidP="003A0ACB">
      <w:pPr>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В России флагманом внедрения ИИ-технологий считается Сбербанк, который выступает центром компетенций в области ИИ и лидером разработки новых финансовых ИИ-технологий. Данная тема актуальна также в ВТБ, Газпромбанке, Росбанке, Тинькофф.</w:t>
      </w:r>
    </w:p>
    <w:p w14:paraId="3F0BF4EC" w14:textId="77777777" w:rsidR="003A0ACB" w:rsidRPr="003A0ACB" w:rsidRDefault="003A0ACB" w:rsidP="003A0ACB">
      <w:pPr>
        <w:spacing w:after="0" w:line="240" w:lineRule="auto"/>
        <w:ind w:firstLine="567"/>
        <w:jc w:val="both"/>
        <w:rPr>
          <w:rFonts w:ascii="Times New Roman" w:eastAsia="Times New Roman" w:hAnsi="Times New Roman" w:cs="Times New Roman"/>
          <w:sz w:val="32"/>
          <w:szCs w:val="32"/>
          <w:lang w:eastAsia="ru-RU"/>
        </w:rPr>
      </w:pPr>
      <w:r w:rsidRPr="003A0ACB">
        <w:rPr>
          <w:rFonts w:ascii="Times New Roman" w:eastAsia="Times New Roman" w:hAnsi="Times New Roman" w:cs="Times New Roman"/>
          <w:color w:val="000000"/>
          <w:sz w:val="32"/>
          <w:szCs w:val="32"/>
          <w:lang w:eastAsia="ru-RU"/>
        </w:rPr>
        <w:t>Проведем анализ использования систем искусственного интеллекта в банках России (табл. 1).</w:t>
      </w:r>
    </w:p>
    <w:p w14:paraId="48BFDA86" w14:textId="77777777" w:rsidR="003A0ACB" w:rsidRPr="003A0ACB" w:rsidRDefault="003A0ACB" w:rsidP="003A0ACB">
      <w:pPr>
        <w:spacing w:after="0" w:line="240" w:lineRule="auto"/>
        <w:ind w:firstLine="567"/>
        <w:jc w:val="right"/>
        <w:rPr>
          <w:rFonts w:ascii="Times New Roman" w:eastAsia="Times New Roman" w:hAnsi="Times New Roman" w:cs="Times New Roman"/>
          <w:i/>
          <w:iCs/>
          <w:sz w:val="32"/>
          <w:szCs w:val="32"/>
          <w:lang w:eastAsia="ru-RU"/>
        </w:rPr>
      </w:pPr>
      <w:r w:rsidRPr="003A0ACB">
        <w:rPr>
          <w:rFonts w:ascii="Times New Roman" w:eastAsia="Times New Roman" w:hAnsi="Times New Roman" w:cs="Times New Roman"/>
          <w:i/>
          <w:iCs/>
          <w:sz w:val="32"/>
          <w:szCs w:val="32"/>
          <w:lang w:eastAsia="ru-RU"/>
        </w:rPr>
        <w:t>Таблица 1</w:t>
      </w:r>
    </w:p>
    <w:p w14:paraId="032F29E4" w14:textId="77777777" w:rsidR="003A0ACB" w:rsidRPr="003A0ACB" w:rsidRDefault="003A0ACB" w:rsidP="003A0ACB">
      <w:pPr>
        <w:spacing w:after="0" w:line="240" w:lineRule="auto"/>
        <w:jc w:val="center"/>
        <w:rPr>
          <w:rFonts w:ascii="Times New Roman" w:eastAsia="Times New Roman" w:hAnsi="Times New Roman" w:cs="Times New Roman"/>
          <w:sz w:val="32"/>
          <w:szCs w:val="32"/>
          <w:lang w:eastAsia="ru-RU"/>
        </w:rPr>
      </w:pPr>
      <w:r w:rsidRPr="003A0ACB">
        <w:rPr>
          <w:rFonts w:ascii="Times New Roman" w:eastAsia="Times New Roman" w:hAnsi="Times New Roman" w:cs="Times New Roman"/>
          <w:sz w:val="32"/>
          <w:szCs w:val="32"/>
          <w:lang w:eastAsia="ru-RU"/>
        </w:rPr>
        <w:t>Сравнительный анализ использования систем искусственного интеллекта в российских банках</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2013"/>
        <w:gridCol w:w="2013"/>
        <w:gridCol w:w="2013"/>
        <w:gridCol w:w="2013"/>
      </w:tblGrid>
      <w:tr w:rsidR="003A0ACB" w:rsidRPr="003A0ACB" w14:paraId="349846CB" w14:textId="77777777" w:rsidTr="00EB1CB9">
        <w:trPr>
          <w:trHeight w:val="761"/>
        </w:trPr>
        <w:tc>
          <w:tcPr>
            <w:tcW w:w="2013" w:type="dxa"/>
            <w:vAlign w:val="center"/>
          </w:tcPr>
          <w:p w14:paraId="4366AFD3"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Кредитный скоринг</w:t>
            </w:r>
          </w:p>
        </w:tc>
        <w:tc>
          <w:tcPr>
            <w:tcW w:w="2013" w:type="dxa"/>
            <w:vAlign w:val="center"/>
          </w:tcPr>
          <w:p w14:paraId="5573FAA2"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Клиентский сервис</w:t>
            </w:r>
          </w:p>
        </w:tc>
        <w:tc>
          <w:tcPr>
            <w:tcW w:w="2013" w:type="dxa"/>
            <w:vAlign w:val="center"/>
          </w:tcPr>
          <w:p w14:paraId="5D63068C"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Автоматизация процессов (RPA)</w:t>
            </w:r>
          </w:p>
        </w:tc>
        <w:tc>
          <w:tcPr>
            <w:tcW w:w="2013" w:type="dxa"/>
            <w:vAlign w:val="center"/>
          </w:tcPr>
          <w:p w14:paraId="3AFEFFB4"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Биометрия и безопасность</w:t>
            </w:r>
          </w:p>
        </w:tc>
        <w:tc>
          <w:tcPr>
            <w:tcW w:w="2013" w:type="dxa"/>
            <w:vAlign w:val="center"/>
          </w:tcPr>
          <w:p w14:paraId="63A463DF"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Уникальные проекты</w:t>
            </w:r>
          </w:p>
        </w:tc>
      </w:tr>
      <w:tr w:rsidR="003A0ACB" w:rsidRPr="003A0ACB" w14:paraId="5359E113" w14:textId="77777777" w:rsidTr="00EB1CB9">
        <w:tc>
          <w:tcPr>
            <w:tcW w:w="10065" w:type="dxa"/>
            <w:gridSpan w:val="5"/>
            <w:shd w:val="clear" w:color="auto" w:fill="F2F2F2"/>
            <w:vAlign w:val="center"/>
          </w:tcPr>
          <w:p w14:paraId="50E098FC"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Сбербанк</w:t>
            </w:r>
          </w:p>
        </w:tc>
      </w:tr>
      <w:tr w:rsidR="003A0ACB" w:rsidRPr="003A0ACB" w14:paraId="0E0D6703" w14:textId="77777777" w:rsidTr="00EB1CB9">
        <w:tc>
          <w:tcPr>
            <w:tcW w:w="2013" w:type="dxa"/>
          </w:tcPr>
          <w:p w14:paraId="3A1C7476"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95% решений по кредитам принимается ИИ без участия человека</w:t>
            </w:r>
          </w:p>
        </w:tc>
        <w:tc>
          <w:tcPr>
            <w:tcW w:w="2013" w:type="dxa"/>
          </w:tcPr>
          <w:p w14:paraId="70ACB58C"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Чат-боты (SIA), голосовые ассистенты, персонализация предложений</w:t>
            </w:r>
          </w:p>
        </w:tc>
        <w:tc>
          <w:tcPr>
            <w:tcW w:w="2013" w:type="dxa"/>
          </w:tcPr>
          <w:p w14:paraId="2CBD9E2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Роботизация 200+ процессов, включая обработку заявок и открытие счетов</w:t>
            </w:r>
          </w:p>
        </w:tc>
        <w:tc>
          <w:tcPr>
            <w:tcW w:w="2013" w:type="dxa"/>
          </w:tcPr>
          <w:p w14:paraId="01699717"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Внедрение Face ID в 700 тыс. терминалов, ЕБС для защиты данных </w:t>
            </w:r>
          </w:p>
        </w:tc>
        <w:tc>
          <w:tcPr>
            <w:tcW w:w="2013" w:type="dxa"/>
          </w:tcPr>
          <w:p w14:paraId="4AD5FB10"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Пилот цифрового рубля, интеграция LLM (GigaChat) для анализа документов</w:t>
            </w:r>
          </w:p>
        </w:tc>
      </w:tr>
      <w:tr w:rsidR="003A0ACB" w:rsidRPr="003A0ACB" w14:paraId="2C54545D" w14:textId="77777777" w:rsidTr="00EB1CB9">
        <w:tc>
          <w:tcPr>
            <w:tcW w:w="10065" w:type="dxa"/>
            <w:gridSpan w:val="5"/>
            <w:shd w:val="clear" w:color="auto" w:fill="F2F2F2"/>
          </w:tcPr>
          <w:p w14:paraId="3335A6FF"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Тинькофф</w:t>
            </w:r>
          </w:p>
        </w:tc>
      </w:tr>
      <w:tr w:rsidR="003A0ACB" w:rsidRPr="003A0ACB" w14:paraId="72440D4E" w14:textId="77777777" w:rsidTr="00EB1CB9">
        <w:tc>
          <w:tcPr>
            <w:tcW w:w="2013" w:type="dxa"/>
          </w:tcPr>
          <w:p w14:paraId="3A353174"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Микрокредиты за 2 минуты на основе анализа цифрового следа</w:t>
            </w:r>
          </w:p>
        </w:tc>
        <w:tc>
          <w:tcPr>
            <w:tcW w:w="2013" w:type="dxa"/>
          </w:tcPr>
          <w:p w14:paraId="25B6F56D"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Мобильное приложение с ИИ-советником, голосовой помощник «Олег»</w:t>
            </w:r>
          </w:p>
        </w:tc>
        <w:tc>
          <w:tcPr>
            <w:tcW w:w="2013" w:type="dxa"/>
          </w:tcPr>
          <w:p w14:paraId="76F2189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Автоматизация 80% рутинных операций, включая обработку страховых претензий</w:t>
            </w:r>
          </w:p>
        </w:tc>
        <w:tc>
          <w:tcPr>
            <w:tcW w:w="2013" w:type="dxa"/>
          </w:tcPr>
          <w:p w14:paraId="40A6F37C"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Биометрическая аутентификация через приложение</w:t>
            </w:r>
          </w:p>
        </w:tc>
        <w:tc>
          <w:tcPr>
            <w:tcW w:w="2013" w:type="dxa"/>
          </w:tcPr>
          <w:p w14:paraId="5FD7BB94"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Тестирование LLM DeepSeek-R1 для улучшения клиентского опыта</w:t>
            </w:r>
          </w:p>
        </w:tc>
      </w:tr>
      <w:tr w:rsidR="003A0ACB" w:rsidRPr="003A0ACB" w14:paraId="443DF085" w14:textId="77777777" w:rsidTr="00EB1CB9">
        <w:tc>
          <w:tcPr>
            <w:tcW w:w="10065" w:type="dxa"/>
            <w:gridSpan w:val="5"/>
            <w:shd w:val="clear" w:color="auto" w:fill="F2F2F2"/>
          </w:tcPr>
          <w:p w14:paraId="37BF62CC"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ВТБ</w:t>
            </w:r>
          </w:p>
        </w:tc>
      </w:tr>
      <w:tr w:rsidR="003A0ACB" w:rsidRPr="003A0ACB" w14:paraId="74C760CC" w14:textId="77777777" w:rsidTr="00EB1CB9">
        <w:tc>
          <w:tcPr>
            <w:tcW w:w="2013" w:type="dxa"/>
          </w:tcPr>
          <w:p w14:paraId="1740F1F0"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Использование ИИ для оценки кредитоспособности юрлиц</w:t>
            </w:r>
          </w:p>
        </w:tc>
        <w:tc>
          <w:tcPr>
            <w:tcW w:w="2013" w:type="dxa"/>
          </w:tcPr>
          <w:p w14:paraId="318E52F0"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 xml:space="preserve">Виртуальный помощник в мобильном приложении, NLP </w:t>
            </w:r>
            <w:r w:rsidRPr="003A0ACB">
              <w:rPr>
                <w:rFonts w:ascii="Times New Roman" w:eastAsia="Times New Roman" w:hAnsi="Times New Roman" w:cs="Times New Roman"/>
                <w:sz w:val="24"/>
                <w:szCs w:val="24"/>
                <w:lang w:eastAsia="ru-RU"/>
              </w:rPr>
              <w:lastRenderedPageBreak/>
              <w:t>для обработки запросов</w:t>
            </w:r>
          </w:p>
        </w:tc>
        <w:tc>
          <w:tcPr>
            <w:tcW w:w="2013" w:type="dxa"/>
          </w:tcPr>
          <w:p w14:paraId="3C10975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lastRenderedPageBreak/>
              <w:t>Автоматизация отчетности и документооборота</w:t>
            </w:r>
          </w:p>
        </w:tc>
        <w:tc>
          <w:tcPr>
            <w:tcW w:w="2013" w:type="dxa"/>
          </w:tcPr>
          <w:p w14:paraId="638B538D"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Внедрение голосовой биометрии в колл-центрах</w:t>
            </w:r>
          </w:p>
        </w:tc>
        <w:tc>
          <w:tcPr>
            <w:tcW w:w="2013" w:type="dxa"/>
          </w:tcPr>
          <w:p w14:paraId="73112BBA"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Участие в разработке ИИ-решений для госсектора</w:t>
            </w:r>
          </w:p>
        </w:tc>
      </w:tr>
      <w:tr w:rsidR="003A0ACB" w:rsidRPr="003A0ACB" w14:paraId="055B5E20" w14:textId="77777777" w:rsidTr="00EB1CB9">
        <w:tc>
          <w:tcPr>
            <w:tcW w:w="10065" w:type="dxa"/>
            <w:gridSpan w:val="5"/>
            <w:shd w:val="clear" w:color="auto" w:fill="F2F2F2"/>
          </w:tcPr>
          <w:p w14:paraId="1FD97769"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p>
          <w:p w14:paraId="74C6B003"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Газпромбанк</w:t>
            </w:r>
          </w:p>
        </w:tc>
      </w:tr>
      <w:tr w:rsidR="003A0ACB" w:rsidRPr="003A0ACB" w14:paraId="309865BA" w14:textId="77777777" w:rsidTr="00EB1CB9">
        <w:tc>
          <w:tcPr>
            <w:tcW w:w="2013" w:type="dxa"/>
          </w:tcPr>
          <w:p w14:paraId="1D36AEFE"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ML-модели для прогнозирования дефолтов корпоративных клиентов</w:t>
            </w:r>
          </w:p>
        </w:tc>
        <w:tc>
          <w:tcPr>
            <w:tcW w:w="2013" w:type="dxa"/>
          </w:tcPr>
          <w:p w14:paraId="55E4170C"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Чат-боты для B2B-клиентов, интеграция с ERP-системами</w:t>
            </w:r>
          </w:p>
        </w:tc>
        <w:tc>
          <w:tcPr>
            <w:tcW w:w="2013" w:type="dxa"/>
          </w:tcPr>
          <w:p w14:paraId="2A54F9D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RPA для обработки платежей и сверки данных</w:t>
            </w:r>
          </w:p>
        </w:tc>
        <w:tc>
          <w:tcPr>
            <w:tcW w:w="2013" w:type="dxa"/>
          </w:tcPr>
          <w:p w14:paraId="19021FE0"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Использование ИИ для защиты транзакций в корпоративном сегменте</w:t>
            </w:r>
          </w:p>
        </w:tc>
        <w:tc>
          <w:tcPr>
            <w:tcW w:w="2013" w:type="dxa"/>
          </w:tcPr>
          <w:p w14:paraId="018D9BA3"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Разработка ИИ-алгоритмов для анализа рынка недвижимости</w:t>
            </w:r>
          </w:p>
        </w:tc>
      </w:tr>
      <w:tr w:rsidR="003A0ACB" w:rsidRPr="003A0ACB" w14:paraId="0773F3E5" w14:textId="77777777" w:rsidTr="00EB1CB9">
        <w:tc>
          <w:tcPr>
            <w:tcW w:w="10065" w:type="dxa"/>
            <w:gridSpan w:val="5"/>
            <w:shd w:val="clear" w:color="auto" w:fill="F2F2F2"/>
          </w:tcPr>
          <w:p w14:paraId="61835C2C"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Альфа-Банк</w:t>
            </w:r>
          </w:p>
        </w:tc>
      </w:tr>
      <w:tr w:rsidR="003A0ACB" w:rsidRPr="003A0ACB" w14:paraId="602A0DE2" w14:textId="77777777" w:rsidTr="00EB1CB9">
        <w:tc>
          <w:tcPr>
            <w:tcW w:w="2013" w:type="dxa"/>
          </w:tcPr>
          <w:p w14:paraId="06604334"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Автоматический скоринг для розничных кредитов</w:t>
            </w:r>
          </w:p>
        </w:tc>
        <w:tc>
          <w:tcPr>
            <w:tcW w:w="2013" w:type="dxa"/>
          </w:tcPr>
          <w:p w14:paraId="35FEDF68"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 xml:space="preserve">Генеративный ИИ для создания персонализированных </w:t>
            </w:r>
            <w:proofErr w:type="gramStart"/>
            <w:r w:rsidRPr="003A0ACB">
              <w:rPr>
                <w:rFonts w:ascii="Times New Roman" w:eastAsia="Times New Roman" w:hAnsi="Times New Roman" w:cs="Times New Roman"/>
                <w:sz w:val="24"/>
                <w:szCs w:val="24"/>
                <w:lang w:eastAsia="ru-RU"/>
              </w:rPr>
              <w:t>инвестицион-ных</w:t>
            </w:r>
            <w:proofErr w:type="gramEnd"/>
            <w:r w:rsidRPr="003A0ACB">
              <w:rPr>
                <w:rFonts w:ascii="Times New Roman" w:eastAsia="Times New Roman" w:hAnsi="Times New Roman" w:cs="Times New Roman"/>
                <w:sz w:val="24"/>
                <w:szCs w:val="24"/>
                <w:lang w:eastAsia="ru-RU"/>
              </w:rPr>
              <w:t xml:space="preserve"> советов</w:t>
            </w:r>
          </w:p>
        </w:tc>
        <w:tc>
          <w:tcPr>
            <w:tcW w:w="2013" w:type="dxa"/>
          </w:tcPr>
          <w:p w14:paraId="0DCD777E"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Автоматизация KYC-процедур и AML-проверок</w:t>
            </w:r>
          </w:p>
        </w:tc>
        <w:tc>
          <w:tcPr>
            <w:tcW w:w="2013" w:type="dxa"/>
          </w:tcPr>
          <w:p w14:paraId="1E6DE708"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Биометрическая идентификация через мобильное приложение</w:t>
            </w:r>
          </w:p>
        </w:tc>
        <w:tc>
          <w:tcPr>
            <w:tcW w:w="2013" w:type="dxa"/>
          </w:tcPr>
          <w:p w14:paraId="7944D19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Тестирование GPT-моделей для генерации кода и анализа данных</w:t>
            </w:r>
          </w:p>
        </w:tc>
      </w:tr>
      <w:tr w:rsidR="003A0ACB" w:rsidRPr="003A0ACB" w14:paraId="2DC7B2FF" w14:textId="77777777" w:rsidTr="00EB1CB9">
        <w:tc>
          <w:tcPr>
            <w:tcW w:w="10065" w:type="dxa"/>
            <w:gridSpan w:val="5"/>
            <w:shd w:val="clear" w:color="auto" w:fill="F2F2F2"/>
          </w:tcPr>
          <w:p w14:paraId="48638A91" w14:textId="77777777" w:rsidR="003A0ACB" w:rsidRPr="003A0ACB" w:rsidRDefault="003A0ACB" w:rsidP="003A0ACB">
            <w:pPr>
              <w:spacing w:after="0" w:line="240" w:lineRule="auto"/>
              <w:ind w:right="-113"/>
              <w:jc w:val="center"/>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Россельхозбанк</w:t>
            </w:r>
          </w:p>
        </w:tc>
      </w:tr>
      <w:tr w:rsidR="003A0ACB" w:rsidRPr="003A0ACB" w14:paraId="5263D3E0" w14:textId="77777777" w:rsidTr="00EB1CB9">
        <w:tc>
          <w:tcPr>
            <w:tcW w:w="2013" w:type="dxa"/>
          </w:tcPr>
          <w:p w14:paraId="612A9DB4"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ИИ-модели для оценки рисков в аграрном секторе</w:t>
            </w:r>
          </w:p>
        </w:tc>
        <w:tc>
          <w:tcPr>
            <w:tcW w:w="2013" w:type="dxa"/>
          </w:tcPr>
          <w:p w14:paraId="3AF0DDA7"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Чат-боты на региональных диалектах для фермеров</w:t>
            </w:r>
          </w:p>
        </w:tc>
        <w:tc>
          <w:tcPr>
            <w:tcW w:w="2013" w:type="dxa"/>
          </w:tcPr>
          <w:p w14:paraId="457432A6"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Автоматизация кредитного конвейера для малого бизнеса</w:t>
            </w:r>
          </w:p>
        </w:tc>
        <w:tc>
          <w:tcPr>
            <w:tcW w:w="2013" w:type="dxa"/>
          </w:tcPr>
          <w:p w14:paraId="15C7E220"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Внедрение системы распознавания лиц в удаленных отделениях</w:t>
            </w:r>
          </w:p>
        </w:tc>
        <w:tc>
          <w:tcPr>
            <w:tcW w:w="2013" w:type="dxa"/>
          </w:tcPr>
          <w:p w14:paraId="303A949B" w14:textId="77777777" w:rsidR="003A0ACB" w:rsidRPr="003A0ACB" w:rsidRDefault="003A0ACB" w:rsidP="003A0ACB">
            <w:pPr>
              <w:spacing w:after="0" w:line="240" w:lineRule="auto"/>
              <w:ind w:right="-113"/>
              <w:rPr>
                <w:rFonts w:ascii="Times New Roman" w:eastAsia="Times New Roman" w:hAnsi="Times New Roman" w:cs="Times New Roman"/>
                <w:sz w:val="24"/>
                <w:szCs w:val="24"/>
                <w:lang w:eastAsia="ru-RU"/>
              </w:rPr>
            </w:pPr>
            <w:r w:rsidRPr="003A0ACB">
              <w:rPr>
                <w:rFonts w:ascii="Times New Roman" w:eastAsia="Times New Roman" w:hAnsi="Times New Roman" w:cs="Times New Roman"/>
                <w:sz w:val="24"/>
                <w:szCs w:val="24"/>
                <w:lang w:eastAsia="ru-RU"/>
              </w:rPr>
              <w:t>Пилоты по использованию ИИ для прогнозирования урожайности</w:t>
            </w:r>
          </w:p>
        </w:tc>
      </w:tr>
    </w:tbl>
    <w:p w14:paraId="5AC422D9"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lang w:eastAsia="ru-RU"/>
        </w:rPr>
      </w:pPr>
    </w:p>
    <w:p w14:paraId="3179BCF1"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 xml:space="preserve">Определим перспективы развития ИИ в банковском секторе. Возможный следующий этап – гибридные модели, где ИИ работает совместно с блокчейном и IoT. Представим сценарий: умные часы клиента фиксируют стресс во время подписания договора. Алгоритм анализирует эти данные и предлагает изменить условия кредита, снижая риски для обеих сторон. Также генеративный ИИ открывает ещё больше возможностей в создании динамических инвестиционных портфелей, которые адаптируются к изменениям рынка в реальном времени. А борьба с deepfake-мошенничеством станет возможной благодаря алгоритмам, распознающим малейшие искажения в видео.  </w:t>
      </w:r>
    </w:p>
    <w:p w14:paraId="265248C9"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32"/>
          <w:szCs w:val="32"/>
          <w:lang w:eastAsia="ru-RU"/>
        </w:rPr>
      </w:pPr>
      <w:r w:rsidRPr="003A0ACB">
        <w:rPr>
          <w:rFonts w:ascii="Times New Roman" w:eastAsia="Times New Roman" w:hAnsi="Times New Roman" w:cs="Times New Roman"/>
          <w:color w:val="000000"/>
          <w:sz w:val="32"/>
          <w:szCs w:val="32"/>
          <w:lang w:eastAsia="ru-RU"/>
        </w:rPr>
        <w:t>Подводя итоги, можно подчеркнуть необходимость баланса между технологией и человечностью. ИИ уже стал реальностью, которая перекраивает банковский ландшафт. Однако его сила будет в полной мере реализована только совместно в работе с человеческой силой и в усилении их потенциала. Ключевая задача в сохранении баланса между использованием алгоритмов и ролью человека в принятии стратегических решений и эмоциональном контакте с клиентами. Банкам в ближайшее время предстоит перестроить процессы, а главное, завоевать доверие клиентов. Тот, кто справится с этим, получит эффективный инструмент и новый стандарт финансовых услуг.</w:t>
      </w:r>
    </w:p>
    <w:p w14:paraId="3DBF1BB0" w14:textId="77777777" w:rsidR="003A0ACB" w:rsidRPr="003A0ACB" w:rsidRDefault="003A0ACB" w:rsidP="003A0ACB">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lang w:eastAsia="ru-RU"/>
        </w:rPr>
      </w:pPr>
    </w:p>
    <w:p w14:paraId="67961284" w14:textId="7A64D321" w:rsidR="003A0ACB" w:rsidRPr="003A0ACB" w:rsidRDefault="00E63897" w:rsidP="003A0ACB">
      <w:pPr>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color w:val="000000"/>
          <w:sz w:val="21"/>
          <w:szCs w:val="21"/>
          <w:lang w:eastAsia="ru-RU"/>
        </w:rPr>
        <w:lastRenderedPageBreak/>
        <w:t>Л</w:t>
      </w:r>
      <w:r w:rsidR="003A0ACB" w:rsidRPr="003A0ACB">
        <w:rPr>
          <w:rFonts w:ascii="Times New Roman" w:eastAsia="Times New Roman" w:hAnsi="Times New Roman" w:cs="Times New Roman"/>
          <w:b/>
          <w:color w:val="000000"/>
          <w:sz w:val="21"/>
          <w:szCs w:val="21"/>
          <w:lang w:eastAsia="ru-RU"/>
        </w:rPr>
        <w:t>итератур</w:t>
      </w:r>
      <w:r>
        <w:rPr>
          <w:rFonts w:ascii="Times New Roman" w:eastAsia="Times New Roman" w:hAnsi="Times New Roman" w:cs="Times New Roman"/>
          <w:b/>
          <w:color w:val="000000"/>
          <w:sz w:val="21"/>
          <w:szCs w:val="21"/>
          <w:lang w:eastAsia="ru-RU"/>
        </w:rPr>
        <w:t>а</w:t>
      </w:r>
      <w:r w:rsidR="003A0ACB" w:rsidRPr="003A0ACB">
        <w:rPr>
          <w:rFonts w:ascii="Times New Roman" w:eastAsia="Times New Roman" w:hAnsi="Times New Roman" w:cs="Times New Roman"/>
          <w:b/>
          <w:color w:val="000000"/>
          <w:sz w:val="21"/>
          <w:szCs w:val="21"/>
          <w:lang w:eastAsia="ru-RU"/>
        </w:rPr>
        <w:t>:</w:t>
      </w:r>
    </w:p>
    <w:p w14:paraId="03513B28"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sz w:val="21"/>
          <w:szCs w:val="21"/>
          <w:lang w:eastAsia="ru-RU"/>
        </w:rPr>
        <w:t>Седых Н.В., Сухина Н.Ю., Кавтарадзе Э.Л. Влияние диверсификации бизнеса коммерческого банка на его положение в условиях кризиса // Экономика и предпринимательство. 2016. № 10-2 (75). С. 503-506.</w:t>
      </w:r>
    </w:p>
    <w:p w14:paraId="5E5721E8"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sz w:val="21"/>
          <w:szCs w:val="21"/>
          <w:lang w:val="en-US" w:eastAsia="ru-RU"/>
        </w:rPr>
        <w:t xml:space="preserve">Sedykh N.V., Sukhina N.Yu., Kavtaradze E.L. The impact of the diversification of the business of a commercial bank on its position in crisis conditions // Economy and Entrepreneurship. </w:t>
      </w:r>
      <w:r w:rsidRPr="003A0ACB">
        <w:rPr>
          <w:rFonts w:ascii="Times New Roman" w:eastAsia="Times New Roman" w:hAnsi="Times New Roman" w:cs="Times New Roman"/>
          <w:sz w:val="21"/>
          <w:szCs w:val="21"/>
          <w:lang w:eastAsia="ru-RU"/>
        </w:rPr>
        <w:t>2016. No. 10-2 (75). Pp. 503-506.</w:t>
      </w:r>
    </w:p>
    <w:p w14:paraId="4FBC99D9"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sz w:val="21"/>
          <w:szCs w:val="21"/>
          <w:lang w:eastAsia="ru-RU"/>
        </w:rPr>
        <w:t>Искусственный интеллект в банковском секторе // Эксперт РА. – 2018. – 15.11. – URL: https://www.raexpert. ru/researches/banks/bank_ai2018/ (дата обращения 15.04.2021).</w:t>
      </w:r>
    </w:p>
    <w:p w14:paraId="1166FF23"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sz w:val="21"/>
          <w:szCs w:val="21"/>
          <w:lang w:eastAsia="ru-RU"/>
        </w:rPr>
        <w:t xml:space="preserve">Искусственный интеллект в банковской сфере в 2025 году: примеры и проблемы. Режим доступа: </w:t>
      </w:r>
      <w:hyperlink r:id="rId598">
        <w:r w:rsidRPr="003A0ACB">
          <w:rPr>
            <w:rFonts w:ascii="Times New Roman" w:eastAsia="Times New Roman" w:hAnsi="Times New Roman" w:cs="Times New Roman"/>
            <w:sz w:val="21"/>
            <w:szCs w:val="21"/>
            <w:lang w:eastAsia="ru-RU"/>
          </w:rPr>
          <w:t>https://www.upgrad.com/blog/artificial-intelligence-in-banking/</w:t>
        </w:r>
      </w:hyperlink>
    </w:p>
    <w:p w14:paraId="3756AB5F"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jc w:val="both"/>
        <w:rPr>
          <w:rFonts w:ascii="Times New Roman" w:eastAsia="Times New Roman" w:hAnsi="Times New Roman" w:cs="Times New Roman"/>
          <w:sz w:val="21"/>
          <w:szCs w:val="21"/>
          <w:lang w:val="en-US" w:eastAsia="ru-RU"/>
        </w:rPr>
      </w:pPr>
      <w:r w:rsidRPr="003A0ACB">
        <w:rPr>
          <w:rFonts w:ascii="Times New Roman" w:eastAsia="Times New Roman" w:hAnsi="Times New Roman" w:cs="Times New Roman"/>
          <w:sz w:val="21"/>
          <w:szCs w:val="21"/>
          <w:lang w:val="en-US" w:eastAsia="ru-RU"/>
        </w:rPr>
        <w:t xml:space="preserve">Wesleyan Journal of </w:t>
      </w:r>
      <w:proofErr w:type="gramStart"/>
      <w:r w:rsidRPr="003A0ACB">
        <w:rPr>
          <w:rFonts w:ascii="Times New Roman" w:eastAsia="Times New Roman" w:hAnsi="Times New Roman" w:cs="Times New Roman"/>
          <w:sz w:val="21"/>
          <w:szCs w:val="21"/>
          <w:lang w:val="en-US" w:eastAsia="ru-RU"/>
        </w:rPr>
        <w:t>Research ,</w:t>
      </w:r>
      <w:proofErr w:type="gramEnd"/>
      <w:r w:rsidRPr="003A0ACB">
        <w:rPr>
          <w:rFonts w:ascii="Times New Roman" w:eastAsia="Times New Roman" w:hAnsi="Times New Roman" w:cs="Times New Roman"/>
          <w:sz w:val="21"/>
          <w:szCs w:val="21"/>
          <w:lang w:val="en-US" w:eastAsia="ru-RU"/>
        </w:rPr>
        <w:t xml:space="preserve"> Vol.14 No.01(IV)(January 2021)</w:t>
      </w:r>
    </w:p>
    <w:p w14:paraId="12F92432" w14:textId="77777777" w:rsidR="003A0ACB" w:rsidRPr="003A0ACB" w:rsidRDefault="003A0ACB" w:rsidP="00AD58CD">
      <w:pPr>
        <w:numPr>
          <w:ilvl w:val="0"/>
          <w:numId w:val="135"/>
        </w:numPr>
        <w:pBdr>
          <w:top w:val="nil"/>
          <w:left w:val="nil"/>
          <w:bottom w:val="nil"/>
          <w:right w:val="nil"/>
          <w:between w:val="nil"/>
        </w:pBdr>
        <w:tabs>
          <w:tab w:val="left" w:pos="851"/>
        </w:tabs>
        <w:spacing w:after="0" w:line="240" w:lineRule="auto"/>
        <w:ind w:left="142" w:hanging="284"/>
        <w:contextualSpacing/>
        <w:jc w:val="both"/>
        <w:rPr>
          <w:rFonts w:ascii="Times New Roman" w:eastAsia="Times New Roman" w:hAnsi="Times New Roman" w:cs="Times New Roman"/>
          <w:sz w:val="21"/>
          <w:szCs w:val="21"/>
          <w:lang w:eastAsia="ru-RU"/>
        </w:rPr>
      </w:pPr>
      <w:r w:rsidRPr="003A0ACB">
        <w:rPr>
          <w:rFonts w:ascii="Times New Roman" w:eastAsia="Times New Roman" w:hAnsi="Times New Roman" w:cs="Times New Roman"/>
          <w:sz w:val="21"/>
          <w:szCs w:val="21"/>
          <w:lang w:eastAsia="ru-RU"/>
        </w:rPr>
        <w:t>Применение технологий искусственного интеллекта в информационной безопасности</w:t>
      </w:r>
      <w:r w:rsidRPr="003A0ACB">
        <w:rPr>
          <w:rFonts w:ascii="Times New Roman" w:eastAsia="Times New Roman" w:hAnsi="Times New Roman" w:cs="Times New Roman"/>
          <w:sz w:val="21"/>
          <w:szCs w:val="21"/>
          <w:lang w:eastAsia="ru-RU"/>
        </w:rPr>
        <w:br/>
        <w:t>// А</w:t>
      </w:r>
      <w:r w:rsidRPr="003A0ACB">
        <w:rPr>
          <w:rFonts w:ascii="Times New Roman" w:eastAsia="Times New Roman" w:hAnsi="Times New Roman" w:cs="Times New Roman"/>
          <w:sz w:val="21"/>
          <w:szCs w:val="21"/>
          <w:lang w:val="en-US" w:eastAsia="ru-RU"/>
        </w:rPr>
        <w:t>nti</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malware</w:t>
      </w:r>
      <w:r w:rsidRPr="003A0ACB">
        <w:rPr>
          <w:rFonts w:ascii="Times New Roman" w:eastAsia="Times New Roman" w:hAnsi="Times New Roman" w:cs="Times New Roman"/>
          <w:sz w:val="21"/>
          <w:szCs w:val="21"/>
          <w:lang w:eastAsia="ru-RU"/>
        </w:rPr>
        <w:t xml:space="preserve">. Режим доступа: </w:t>
      </w:r>
      <w:r w:rsidRPr="003A0ACB">
        <w:rPr>
          <w:rFonts w:ascii="Times New Roman" w:eastAsia="Times New Roman" w:hAnsi="Times New Roman" w:cs="Times New Roman"/>
          <w:sz w:val="21"/>
          <w:szCs w:val="21"/>
          <w:lang w:val="en-US" w:eastAsia="ru-RU"/>
        </w:rPr>
        <w:t>https</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www</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anti</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malware</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ru</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analytics</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Technology</w:t>
      </w:r>
      <w:r w:rsidRPr="003A0ACB">
        <w:rPr>
          <w:rFonts w:ascii="Times New Roman" w:eastAsia="Times New Roman" w:hAnsi="Times New Roman" w:cs="Times New Roman"/>
          <w:sz w:val="21"/>
          <w:szCs w:val="21"/>
          <w:lang w:eastAsia="ru-RU"/>
        </w:rPr>
        <w:t>_</w:t>
      </w:r>
      <w:r w:rsidRPr="003A0ACB">
        <w:rPr>
          <w:rFonts w:ascii="Times New Roman" w:eastAsia="Times New Roman" w:hAnsi="Times New Roman" w:cs="Times New Roman"/>
          <w:sz w:val="21"/>
          <w:szCs w:val="21"/>
          <w:lang w:val="en-US" w:eastAsia="ru-RU"/>
        </w:rPr>
        <w:t>Analysis</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using</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artificial</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intelligence</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technologies</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in</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information</w:t>
      </w:r>
      <w:r w:rsidRPr="003A0ACB">
        <w:rPr>
          <w:rFonts w:ascii="Times New Roman" w:eastAsia="Times New Roman" w:hAnsi="Times New Roman" w:cs="Times New Roman"/>
          <w:sz w:val="21"/>
          <w:szCs w:val="21"/>
          <w:lang w:eastAsia="ru-RU"/>
        </w:rPr>
        <w:t>-</w:t>
      </w:r>
      <w:r w:rsidRPr="003A0ACB">
        <w:rPr>
          <w:rFonts w:ascii="Times New Roman" w:eastAsia="Times New Roman" w:hAnsi="Times New Roman" w:cs="Times New Roman"/>
          <w:sz w:val="21"/>
          <w:szCs w:val="21"/>
          <w:lang w:val="en-US" w:eastAsia="ru-RU"/>
        </w:rPr>
        <w:t>security</w:t>
      </w:r>
    </w:p>
    <w:p w14:paraId="56633188" w14:textId="77777777" w:rsidR="004A5EE9" w:rsidRDefault="004A5EE9" w:rsidP="00D1085E">
      <w:pPr>
        <w:spacing w:line="240" w:lineRule="auto"/>
        <w:jc w:val="both"/>
        <w:rPr>
          <w:rFonts w:ascii="Times New Roman" w:eastAsia="Calibri" w:hAnsi="Times New Roman" w:cs="Times New Roman"/>
          <w:sz w:val="21"/>
          <w:szCs w:val="21"/>
        </w:rPr>
      </w:pPr>
    </w:p>
    <w:p w14:paraId="14430BA4" w14:textId="75DB270C" w:rsidR="00921B3B" w:rsidRPr="00921B3B" w:rsidRDefault="00921B3B" w:rsidP="0021475C">
      <w:pPr>
        <w:spacing w:after="0" w:line="240" w:lineRule="auto"/>
        <w:jc w:val="both"/>
        <w:rPr>
          <w:rFonts w:ascii="Times New Roman" w:eastAsia="Times New Roman" w:hAnsi="Times New Roman" w:cs="Times New Roman"/>
          <w:color w:val="000000"/>
          <w:sz w:val="21"/>
          <w:szCs w:val="21"/>
        </w:rPr>
      </w:pPr>
    </w:p>
    <w:p w14:paraId="6B225929" w14:textId="77777777"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b/>
          <w:bCs/>
          <w:i/>
          <w:iCs/>
          <w:color w:val="000000"/>
          <w:sz w:val="21"/>
          <w:szCs w:val="21"/>
        </w:rPr>
        <w:t xml:space="preserve">Кондратенко М.В., </w:t>
      </w:r>
    </w:p>
    <w:p w14:paraId="1FC357C8" w14:textId="77777777"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i/>
          <w:iCs/>
          <w:color w:val="000000"/>
          <w:sz w:val="21"/>
          <w:szCs w:val="21"/>
        </w:rPr>
        <w:t xml:space="preserve">студент 2 курса </w:t>
      </w:r>
    </w:p>
    <w:p w14:paraId="79018F10" w14:textId="77777777" w:rsidR="0094637C" w:rsidRDefault="0094637C" w:rsidP="00921B3B">
      <w:pPr>
        <w:spacing w:after="0" w:line="240" w:lineRule="auto"/>
        <w:ind w:firstLine="567"/>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63244D73" w14:textId="6384CEE2"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i/>
          <w:iCs/>
          <w:color w:val="000000"/>
          <w:sz w:val="21"/>
          <w:szCs w:val="21"/>
        </w:rPr>
        <w:t>г. Краснодар, Россия</w:t>
      </w:r>
    </w:p>
    <w:p w14:paraId="02BC131E" w14:textId="77777777" w:rsidR="00921B3B" w:rsidRPr="00921B3B" w:rsidRDefault="00921B3B" w:rsidP="00921B3B">
      <w:pPr>
        <w:spacing w:after="0" w:line="240" w:lineRule="auto"/>
        <w:ind w:firstLine="567"/>
        <w:jc w:val="right"/>
        <w:rPr>
          <w:rFonts w:ascii="Times New Roman" w:eastAsia="Times New Roman" w:hAnsi="Times New Roman" w:cs="Times New Roman"/>
          <w:i/>
          <w:iCs/>
          <w:color w:val="000000"/>
          <w:sz w:val="21"/>
          <w:szCs w:val="21"/>
        </w:rPr>
      </w:pPr>
      <w:r w:rsidRPr="00921B3B">
        <w:rPr>
          <w:rFonts w:ascii="Times New Roman" w:eastAsia="Times New Roman" w:hAnsi="Times New Roman" w:cs="Times New Roman"/>
          <w:i/>
          <w:iCs/>
          <w:color w:val="000000"/>
          <w:sz w:val="21"/>
          <w:szCs w:val="21"/>
        </w:rPr>
        <w:t>е-</w:t>
      </w:r>
      <w:r w:rsidRPr="00921B3B">
        <w:rPr>
          <w:rFonts w:ascii="Times New Roman" w:eastAsia="Times New Roman" w:hAnsi="Times New Roman" w:cs="Times New Roman"/>
          <w:i/>
          <w:iCs/>
          <w:color w:val="000000"/>
          <w:sz w:val="21"/>
          <w:szCs w:val="21"/>
          <w:lang w:val="en-US"/>
        </w:rPr>
        <w:t>mail</w:t>
      </w:r>
      <w:r w:rsidRPr="00921B3B">
        <w:rPr>
          <w:rFonts w:ascii="Times New Roman" w:eastAsia="Times New Roman" w:hAnsi="Times New Roman" w:cs="Times New Roman"/>
          <w:i/>
          <w:iCs/>
          <w:color w:val="000000"/>
          <w:sz w:val="21"/>
          <w:szCs w:val="21"/>
        </w:rPr>
        <w:t xml:space="preserve">: </w:t>
      </w:r>
      <w:hyperlink r:id="rId599" w:history="1">
        <w:r w:rsidRPr="00921B3B">
          <w:rPr>
            <w:rFonts w:ascii="Times New Roman" w:eastAsia="Times New Roman" w:hAnsi="Times New Roman" w:cs="Times New Roman"/>
            <w:i/>
            <w:iCs/>
            <w:color w:val="467886"/>
            <w:sz w:val="21"/>
            <w:szCs w:val="21"/>
            <w:u w:val="single"/>
            <w:lang w:val="en-US"/>
          </w:rPr>
          <w:t>fent</w:t>
        </w:r>
        <w:r w:rsidRPr="00921B3B">
          <w:rPr>
            <w:rFonts w:ascii="Times New Roman" w:eastAsia="Times New Roman" w:hAnsi="Times New Roman" w:cs="Times New Roman"/>
            <w:i/>
            <w:iCs/>
            <w:color w:val="467886"/>
            <w:sz w:val="21"/>
            <w:szCs w:val="21"/>
            <w:u w:val="single"/>
          </w:rPr>
          <w:t>.</w:t>
        </w:r>
        <w:r w:rsidRPr="00921B3B">
          <w:rPr>
            <w:rFonts w:ascii="Times New Roman" w:eastAsia="Times New Roman" w:hAnsi="Times New Roman" w:cs="Times New Roman"/>
            <w:i/>
            <w:iCs/>
            <w:color w:val="467886"/>
            <w:sz w:val="21"/>
            <w:szCs w:val="21"/>
            <w:u w:val="single"/>
            <w:lang w:val="en-US"/>
          </w:rPr>
          <w:t>reactor</w:t>
        </w:r>
        <w:r w:rsidRPr="00921B3B">
          <w:rPr>
            <w:rFonts w:ascii="Times New Roman" w:eastAsia="Times New Roman" w:hAnsi="Times New Roman" w:cs="Times New Roman"/>
            <w:i/>
            <w:iCs/>
            <w:color w:val="467886"/>
            <w:sz w:val="21"/>
            <w:szCs w:val="21"/>
            <w:u w:val="single"/>
          </w:rPr>
          <w:t>228@</w:t>
        </w:r>
        <w:r w:rsidRPr="00921B3B">
          <w:rPr>
            <w:rFonts w:ascii="Times New Roman" w:eastAsia="Times New Roman" w:hAnsi="Times New Roman" w:cs="Times New Roman"/>
            <w:i/>
            <w:iCs/>
            <w:color w:val="467886"/>
            <w:sz w:val="21"/>
            <w:szCs w:val="21"/>
            <w:u w:val="single"/>
            <w:lang w:val="en-US"/>
          </w:rPr>
          <w:t>outlook</w:t>
        </w:r>
        <w:r w:rsidRPr="00921B3B">
          <w:rPr>
            <w:rFonts w:ascii="Times New Roman" w:eastAsia="Times New Roman" w:hAnsi="Times New Roman" w:cs="Times New Roman"/>
            <w:i/>
            <w:iCs/>
            <w:color w:val="467886"/>
            <w:sz w:val="21"/>
            <w:szCs w:val="21"/>
            <w:u w:val="single"/>
          </w:rPr>
          <w:t>.</w:t>
        </w:r>
        <w:r w:rsidRPr="00921B3B">
          <w:rPr>
            <w:rFonts w:ascii="Times New Roman" w:eastAsia="Times New Roman" w:hAnsi="Times New Roman" w:cs="Times New Roman"/>
            <w:i/>
            <w:iCs/>
            <w:color w:val="467886"/>
            <w:sz w:val="21"/>
            <w:szCs w:val="21"/>
            <w:u w:val="single"/>
            <w:lang w:val="en-US"/>
          </w:rPr>
          <w:t>com</w:t>
        </w:r>
      </w:hyperlink>
    </w:p>
    <w:p w14:paraId="04360D51" w14:textId="77777777"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p>
    <w:p w14:paraId="28A97E5F" w14:textId="77777777"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b/>
          <w:bCs/>
          <w:i/>
          <w:iCs/>
          <w:color w:val="000000"/>
          <w:sz w:val="21"/>
          <w:szCs w:val="21"/>
        </w:rPr>
        <w:t>Научный руководитель:</w:t>
      </w:r>
    </w:p>
    <w:p w14:paraId="0961D7D9" w14:textId="77777777"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b/>
          <w:bCs/>
          <w:i/>
          <w:iCs/>
          <w:color w:val="000000"/>
          <w:sz w:val="21"/>
          <w:szCs w:val="21"/>
        </w:rPr>
        <w:t>Ищенко О.В.,</w:t>
      </w:r>
    </w:p>
    <w:p w14:paraId="48A35A73" w14:textId="77777777" w:rsidR="001F3A74" w:rsidRDefault="001F3A74" w:rsidP="00921B3B">
      <w:pPr>
        <w:spacing w:after="0" w:line="240" w:lineRule="auto"/>
        <w:ind w:firstLine="567"/>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6E75067" w14:textId="67768398" w:rsidR="00921B3B" w:rsidRPr="00921B3B" w:rsidRDefault="00921B3B" w:rsidP="00921B3B">
      <w:pPr>
        <w:spacing w:after="0" w:line="240" w:lineRule="auto"/>
        <w:ind w:firstLine="567"/>
        <w:jc w:val="right"/>
        <w:rPr>
          <w:rFonts w:ascii="Times New Roman" w:eastAsia="Times New Roman" w:hAnsi="Times New Roman" w:cs="Times New Roman"/>
          <w:color w:val="000000"/>
          <w:sz w:val="21"/>
          <w:szCs w:val="21"/>
        </w:rPr>
      </w:pPr>
      <w:r w:rsidRPr="00921B3B">
        <w:rPr>
          <w:rFonts w:ascii="Times New Roman" w:eastAsia="Times New Roman" w:hAnsi="Times New Roman" w:cs="Times New Roman"/>
          <w:i/>
          <w:iCs/>
          <w:color w:val="000000"/>
          <w:sz w:val="21"/>
          <w:szCs w:val="21"/>
        </w:rPr>
        <w:t>г. Краснодар, Россия</w:t>
      </w:r>
    </w:p>
    <w:p w14:paraId="33045F2D" w14:textId="77777777" w:rsidR="00921B3B" w:rsidRPr="00921B3B" w:rsidRDefault="00921B3B" w:rsidP="00921B3B">
      <w:pPr>
        <w:spacing w:after="0" w:line="240" w:lineRule="auto"/>
        <w:ind w:firstLine="567"/>
        <w:jc w:val="right"/>
        <w:rPr>
          <w:rFonts w:ascii="Times New Roman" w:eastAsia="Times New Roman" w:hAnsi="Times New Roman" w:cs="Times New Roman"/>
          <w:i/>
          <w:iCs/>
          <w:color w:val="000000"/>
          <w:sz w:val="21"/>
          <w:szCs w:val="21"/>
        </w:rPr>
      </w:pPr>
      <w:r w:rsidRPr="00921B3B">
        <w:rPr>
          <w:rFonts w:ascii="Times New Roman" w:eastAsia="Times New Roman" w:hAnsi="Times New Roman" w:cs="Times New Roman"/>
          <w:i/>
          <w:iCs/>
          <w:color w:val="000000"/>
          <w:sz w:val="21"/>
          <w:szCs w:val="21"/>
        </w:rPr>
        <w:t>е-</w:t>
      </w:r>
      <w:r w:rsidRPr="00921B3B">
        <w:rPr>
          <w:rFonts w:ascii="Times New Roman" w:eastAsia="Times New Roman" w:hAnsi="Times New Roman" w:cs="Times New Roman"/>
          <w:i/>
          <w:iCs/>
          <w:color w:val="000000"/>
          <w:sz w:val="21"/>
          <w:szCs w:val="21"/>
          <w:lang w:val="en-US"/>
        </w:rPr>
        <w:t>mail</w:t>
      </w:r>
      <w:r w:rsidRPr="00921B3B">
        <w:rPr>
          <w:rFonts w:ascii="Times New Roman" w:eastAsia="Times New Roman" w:hAnsi="Times New Roman" w:cs="Times New Roman"/>
          <w:i/>
          <w:iCs/>
          <w:color w:val="000000"/>
          <w:sz w:val="21"/>
          <w:szCs w:val="21"/>
        </w:rPr>
        <w:t xml:space="preserve">: </w:t>
      </w:r>
      <w:hyperlink r:id="rId600" w:history="1">
        <w:r w:rsidRPr="00921B3B">
          <w:rPr>
            <w:rFonts w:ascii="Times New Roman" w:eastAsia="Times New Roman" w:hAnsi="Times New Roman" w:cs="Times New Roman"/>
            <w:i/>
            <w:iCs/>
            <w:color w:val="467886"/>
            <w:sz w:val="21"/>
            <w:szCs w:val="21"/>
            <w:u w:val="single"/>
            <w:lang w:val="en-US"/>
          </w:rPr>
          <w:t>OVIshchenko</w:t>
        </w:r>
        <w:r w:rsidRPr="00921B3B">
          <w:rPr>
            <w:rFonts w:ascii="Times New Roman" w:eastAsia="Times New Roman" w:hAnsi="Times New Roman" w:cs="Times New Roman"/>
            <w:i/>
            <w:iCs/>
            <w:color w:val="467886"/>
            <w:sz w:val="21"/>
            <w:szCs w:val="21"/>
            <w:u w:val="single"/>
          </w:rPr>
          <w:t>@</w:t>
        </w:r>
        <w:r w:rsidRPr="00921B3B">
          <w:rPr>
            <w:rFonts w:ascii="Times New Roman" w:eastAsia="Times New Roman" w:hAnsi="Times New Roman" w:cs="Times New Roman"/>
            <w:i/>
            <w:iCs/>
            <w:color w:val="467886"/>
            <w:sz w:val="21"/>
            <w:szCs w:val="21"/>
            <w:u w:val="single"/>
            <w:lang w:val="en-US"/>
          </w:rPr>
          <w:t>fa</w:t>
        </w:r>
        <w:r w:rsidRPr="00921B3B">
          <w:rPr>
            <w:rFonts w:ascii="Times New Roman" w:eastAsia="Times New Roman" w:hAnsi="Times New Roman" w:cs="Times New Roman"/>
            <w:i/>
            <w:iCs/>
            <w:color w:val="467886"/>
            <w:sz w:val="21"/>
            <w:szCs w:val="21"/>
            <w:u w:val="single"/>
          </w:rPr>
          <w:t>.</w:t>
        </w:r>
        <w:r w:rsidRPr="00921B3B">
          <w:rPr>
            <w:rFonts w:ascii="Times New Roman" w:eastAsia="Times New Roman" w:hAnsi="Times New Roman" w:cs="Times New Roman"/>
            <w:i/>
            <w:iCs/>
            <w:color w:val="467886"/>
            <w:sz w:val="21"/>
            <w:szCs w:val="21"/>
            <w:u w:val="single"/>
            <w:lang w:val="en-US"/>
          </w:rPr>
          <w:t>ru</w:t>
        </w:r>
      </w:hyperlink>
      <w:r w:rsidRPr="00921B3B">
        <w:rPr>
          <w:rFonts w:ascii="Times New Roman" w:eastAsia="Times New Roman" w:hAnsi="Times New Roman" w:cs="Times New Roman"/>
          <w:i/>
          <w:iCs/>
          <w:color w:val="000000"/>
          <w:sz w:val="21"/>
          <w:szCs w:val="21"/>
        </w:rPr>
        <w:t xml:space="preserve"> </w:t>
      </w:r>
    </w:p>
    <w:p w14:paraId="49C4206E" w14:textId="77777777" w:rsidR="00921B3B" w:rsidRPr="00921B3B" w:rsidRDefault="00921B3B" w:rsidP="00921B3B">
      <w:pPr>
        <w:spacing w:after="0" w:line="240" w:lineRule="auto"/>
        <w:ind w:firstLine="567"/>
        <w:jc w:val="center"/>
        <w:rPr>
          <w:rFonts w:ascii="Times New Roman" w:eastAsia="Times New Roman" w:hAnsi="Times New Roman" w:cs="Times New Roman"/>
          <w:b/>
          <w:bCs/>
          <w:color w:val="000000"/>
          <w:sz w:val="21"/>
          <w:szCs w:val="21"/>
        </w:rPr>
      </w:pPr>
    </w:p>
    <w:p w14:paraId="041D090F" w14:textId="77777777" w:rsidR="00921B3B" w:rsidRDefault="00921B3B" w:rsidP="00921B3B">
      <w:pPr>
        <w:spacing w:after="0" w:line="240" w:lineRule="auto"/>
        <w:ind w:firstLine="567"/>
        <w:jc w:val="center"/>
        <w:rPr>
          <w:rFonts w:ascii="Times New Roman" w:eastAsia="Times New Roman" w:hAnsi="Times New Roman" w:cs="Times New Roman"/>
          <w:b/>
          <w:bCs/>
          <w:color w:val="000000"/>
          <w:sz w:val="21"/>
          <w:szCs w:val="21"/>
        </w:rPr>
      </w:pPr>
      <w:r w:rsidRPr="00921B3B">
        <w:rPr>
          <w:rFonts w:ascii="Times New Roman" w:eastAsia="Times New Roman" w:hAnsi="Times New Roman" w:cs="Times New Roman"/>
          <w:b/>
          <w:bCs/>
          <w:color w:val="000000"/>
          <w:sz w:val="21"/>
          <w:szCs w:val="21"/>
        </w:rPr>
        <w:t>Модернизация бизнес-процессов через цифровую трансформацию и бизнес-аналитику</w:t>
      </w:r>
    </w:p>
    <w:p w14:paraId="02B1B60E" w14:textId="77777777" w:rsidR="001F3A74" w:rsidRPr="00921B3B" w:rsidRDefault="001F3A74" w:rsidP="00921B3B">
      <w:pPr>
        <w:spacing w:after="0" w:line="240" w:lineRule="auto"/>
        <w:ind w:firstLine="567"/>
        <w:jc w:val="center"/>
        <w:rPr>
          <w:rFonts w:ascii="Times New Roman" w:eastAsia="Times New Roman" w:hAnsi="Times New Roman" w:cs="Times New Roman"/>
          <w:b/>
          <w:bCs/>
          <w:color w:val="000000"/>
          <w:sz w:val="21"/>
          <w:szCs w:val="21"/>
        </w:rPr>
      </w:pPr>
    </w:p>
    <w:p w14:paraId="40297A93" w14:textId="77777777" w:rsidR="001F3A74" w:rsidRDefault="00921B3B" w:rsidP="001F3A74">
      <w:pPr>
        <w:spacing w:after="0" w:line="240" w:lineRule="auto"/>
        <w:ind w:firstLine="567"/>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b/>
          <w:bCs/>
          <w:sz w:val="21"/>
          <w:szCs w:val="21"/>
          <w:lang w:eastAsia="ru-RU"/>
        </w:rPr>
        <w:t>Аннотация</w:t>
      </w:r>
      <w:proofErr w:type="gramStart"/>
      <w:r w:rsidRPr="00921B3B">
        <w:rPr>
          <w:rFonts w:ascii="Times New Roman" w:eastAsia="Times New Roman" w:hAnsi="Times New Roman" w:cs="Times New Roman"/>
          <w:b/>
          <w:bCs/>
          <w:sz w:val="21"/>
          <w:szCs w:val="21"/>
          <w:lang w:eastAsia="ru-RU"/>
        </w:rPr>
        <w:t>:</w:t>
      </w:r>
      <w:r w:rsidRPr="00921B3B">
        <w:rPr>
          <w:rFonts w:ascii="Times New Roman" w:eastAsia="Times New Roman" w:hAnsi="Times New Roman" w:cs="Times New Roman"/>
          <w:sz w:val="21"/>
          <w:szCs w:val="21"/>
          <w:lang w:eastAsia="ru-RU"/>
        </w:rPr>
        <w:t xml:space="preserve"> В условиях</w:t>
      </w:r>
      <w:proofErr w:type="gramEnd"/>
      <w:r w:rsidRPr="00921B3B">
        <w:rPr>
          <w:rFonts w:ascii="Times New Roman" w:eastAsia="Times New Roman" w:hAnsi="Times New Roman" w:cs="Times New Roman"/>
          <w:sz w:val="21"/>
          <w:szCs w:val="21"/>
          <w:lang w:eastAsia="ru-RU"/>
        </w:rPr>
        <w:t xml:space="preserve"> цифровой экономики модернизация бизнес-процессов становится ключевым фактором конкурентоспособности компаний. Цифровая трансформация и бизнес-аналитика позволяют оптимизировать управление ресурсами, повысить эффективность операций и улучшить принятие решений. В данной статье рассматриваются основные аспекты цифровой трансформации, роль бизнес-аналитики в оптимизации процессов, а также приводятся примеры успешных кейсов внедрения.</w:t>
      </w:r>
    </w:p>
    <w:p w14:paraId="0E59B4B8" w14:textId="68D14AA5" w:rsidR="00921B3B" w:rsidRPr="00921B3B" w:rsidRDefault="00921B3B" w:rsidP="001F3A74">
      <w:pPr>
        <w:spacing w:after="0" w:line="240" w:lineRule="auto"/>
        <w:ind w:firstLine="567"/>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b/>
          <w:bCs/>
          <w:sz w:val="21"/>
          <w:szCs w:val="21"/>
          <w:lang w:eastAsia="ru-RU"/>
        </w:rPr>
        <w:t>Ключевые слова</w:t>
      </w:r>
      <w:r w:rsidRPr="00921B3B">
        <w:rPr>
          <w:rFonts w:ascii="Times New Roman" w:eastAsia="Times New Roman" w:hAnsi="Times New Roman" w:cs="Times New Roman"/>
          <w:sz w:val="21"/>
          <w:szCs w:val="21"/>
          <w:lang w:eastAsia="ru-RU"/>
        </w:rPr>
        <w:t>: цифровая трансформация, бизнес-аналитика, оптимизация процессов, big data, искусственный интеллект, автоматизация.</w:t>
      </w:r>
    </w:p>
    <w:p w14:paraId="2276ABE5" w14:textId="77777777" w:rsidR="00921B3B" w:rsidRPr="00921B3B" w:rsidRDefault="00921B3B" w:rsidP="001F3A74">
      <w:pPr>
        <w:spacing w:after="0" w:line="240" w:lineRule="auto"/>
        <w:rPr>
          <w:rFonts w:ascii="Times New Roman" w:eastAsia="Times New Roman" w:hAnsi="Times New Roman" w:cs="Times New Roman"/>
          <w:sz w:val="21"/>
          <w:szCs w:val="21"/>
          <w:lang w:eastAsia="ru-RU"/>
        </w:rPr>
      </w:pPr>
    </w:p>
    <w:p w14:paraId="3DAD3ABF" w14:textId="77777777" w:rsidR="00921B3B" w:rsidRPr="00921B3B" w:rsidRDefault="00921B3B" w:rsidP="001F3A74">
      <w:pPr>
        <w:spacing w:after="0" w:line="240" w:lineRule="auto"/>
        <w:ind w:firstLine="567"/>
        <w:jc w:val="right"/>
        <w:rPr>
          <w:rFonts w:ascii="Times New Roman" w:eastAsia="Times New Roman" w:hAnsi="Times New Roman" w:cs="Times New Roman"/>
          <w:b/>
          <w:bCs/>
          <w:i/>
          <w:iCs/>
          <w:color w:val="000000"/>
          <w:sz w:val="21"/>
          <w:szCs w:val="21"/>
          <w:lang w:val="en-US"/>
        </w:rPr>
      </w:pPr>
      <w:r w:rsidRPr="00921B3B">
        <w:rPr>
          <w:rFonts w:ascii="Times New Roman" w:eastAsia="Times New Roman" w:hAnsi="Times New Roman" w:cs="Times New Roman"/>
          <w:b/>
          <w:bCs/>
          <w:i/>
          <w:iCs/>
          <w:color w:val="000000"/>
          <w:sz w:val="21"/>
          <w:szCs w:val="21"/>
          <w:lang w:val="en-US"/>
        </w:rPr>
        <w:t>Kondratenko M.V.,</w:t>
      </w:r>
    </w:p>
    <w:p w14:paraId="39B380F6"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i/>
          <w:iCs/>
          <w:color w:val="000000"/>
          <w:sz w:val="21"/>
          <w:szCs w:val="21"/>
          <w:lang w:val="en-US"/>
        </w:rPr>
        <w:t>student, 2 courses</w:t>
      </w:r>
      <w:r w:rsidRPr="00921B3B">
        <w:rPr>
          <w:rFonts w:ascii="Times New Roman" w:eastAsia="Times New Roman" w:hAnsi="Times New Roman" w:cs="Times New Roman"/>
          <w:b/>
          <w:bCs/>
          <w:i/>
          <w:iCs/>
          <w:color w:val="000000"/>
          <w:sz w:val="21"/>
          <w:szCs w:val="21"/>
          <w:lang w:val="en-US"/>
        </w:rPr>
        <w:t xml:space="preserve"> </w:t>
      </w:r>
    </w:p>
    <w:p w14:paraId="36673376"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302E0465"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i/>
          <w:iCs/>
          <w:color w:val="000000"/>
          <w:sz w:val="21"/>
          <w:szCs w:val="21"/>
          <w:lang w:val="en-US"/>
        </w:rPr>
        <w:t>Krasnodar, Russia</w:t>
      </w:r>
    </w:p>
    <w:p w14:paraId="706B57F4" w14:textId="77777777" w:rsidR="00921B3B" w:rsidRPr="00921B3B" w:rsidRDefault="00921B3B" w:rsidP="001F3A74">
      <w:pPr>
        <w:spacing w:after="0" w:line="240" w:lineRule="auto"/>
        <w:ind w:firstLine="567"/>
        <w:jc w:val="right"/>
        <w:rPr>
          <w:rFonts w:ascii="Times New Roman" w:eastAsia="Times New Roman" w:hAnsi="Times New Roman" w:cs="Times New Roman"/>
          <w:i/>
          <w:iCs/>
          <w:color w:val="000000"/>
          <w:sz w:val="21"/>
          <w:szCs w:val="21"/>
          <w:lang w:val="en-US"/>
        </w:rPr>
      </w:pPr>
      <w:r w:rsidRPr="00921B3B">
        <w:rPr>
          <w:rFonts w:ascii="Times New Roman" w:eastAsia="Times New Roman" w:hAnsi="Times New Roman" w:cs="Times New Roman"/>
          <w:i/>
          <w:iCs/>
          <w:color w:val="000000"/>
          <w:sz w:val="21"/>
          <w:szCs w:val="21"/>
        </w:rPr>
        <w:t>е</w:t>
      </w:r>
      <w:r w:rsidRPr="00921B3B">
        <w:rPr>
          <w:rFonts w:ascii="Times New Roman" w:eastAsia="Times New Roman" w:hAnsi="Times New Roman" w:cs="Times New Roman"/>
          <w:i/>
          <w:iCs/>
          <w:color w:val="000000"/>
          <w:sz w:val="21"/>
          <w:szCs w:val="21"/>
          <w:lang w:val="en-US"/>
        </w:rPr>
        <w:t xml:space="preserve">-mail: </w:t>
      </w:r>
      <w:hyperlink r:id="rId601" w:history="1">
        <w:r w:rsidRPr="00921B3B">
          <w:rPr>
            <w:rFonts w:ascii="Times New Roman" w:eastAsia="Times New Roman" w:hAnsi="Times New Roman" w:cs="Times New Roman"/>
            <w:i/>
            <w:iCs/>
            <w:color w:val="467886"/>
            <w:sz w:val="21"/>
            <w:szCs w:val="21"/>
            <w:u w:val="single"/>
            <w:lang w:val="en-US"/>
          </w:rPr>
          <w:t>fent.reactor228@outlook.com</w:t>
        </w:r>
      </w:hyperlink>
    </w:p>
    <w:p w14:paraId="611A0D7F"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p>
    <w:p w14:paraId="3F84A3AB"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b/>
          <w:bCs/>
          <w:i/>
          <w:iCs/>
          <w:color w:val="000000"/>
          <w:sz w:val="21"/>
          <w:szCs w:val="21"/>
          <w:lang w:val="en-US"/>
        </w:rPr>
        <w:t>Scientific Adviser:</w:t>
      </w:r>
    </w:p>
    <w:p w14:paraId="5E87AB7D" w14:textId="77777777" w:rsidR="00921B3B" w:rsidRPr="00921B3B" w:rsidRDefault="00921B3B" w:rsidP="001F3A74">
      <w:pPr>
        <w:spacing w:after="0" w:line="240" w:lineRule="auto"/>
        <w:ind w:firstLine="567"/>
        <w:jc w:val="right"/>
        <w:rPr>
          <w:rFonts w:ascii="Times New Roman" w:eastAsia="Times New Roman" w:hAnsi="Times New Roman" w:cs="Times New Roman"/>
          <w:b/>
          <w:bCs/>
          <w:i/>
          <w:iCs/>
          <w:color w:val="000000"/>
          <w:sz w:val="21"/>
          <w:szCs w:val="21"/>
          <w:lang w:val="en-US"/>
        </w:rPr>
      </w:pPr>
      <w:r w:rsidRPr="00921B3B">
        <w:rPr>
          <w:rFonts w:ascii="Times New Roman" w:eastAsia="Times New Roman" w:hAnsi="Times New Roman" w:cs="Times New Roman"/>
          <w:b/>
          <w:bCs/>
          <w:i/>
          <w:iCs/>
          <w:color w:val="000000"/>
          <w:sz w:val="21"/>
          <w:szCs w:val="21"/>
          <w:lang w:val="en-US"/>
        </w:rPr>
        <w:t xml:space="preserve">Ishchenko O.V., </w:t>
      </w:r>
    </w:p>
    <w:p w14:paraId="1F79EA02"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i/>
          <w:iCs/>
          <w:color w:val="000000"/>
          <w:sz w:val="21"/>
          <w:szCs w:val="21"/>
          <w:lang w:val="en-US"/>
        </w:rPr>
        <w:t>FSBEI HE "Financial University under the Government of the Russian Federation" Krasnodar branch</w:t>
      </w:r>
    </w:p>
    <w:p w14:paraId="2313019B" w14:textId="77777777" w:rsidR="00921B3B" w:rsidRPr="00921B3B" w:rsidRDefault="00921B3B" w:rsidP="001F3A74">
      <w:pPr>
        <w:spacing w:after="0" w:line="240" w:lineRule="auto"/>
        <w:ind w:firstLine="567"/>
        <w:jc w:val="right"/>
        <w:rPr>
          <w:rFonts w:ascii="Times New Roman" w:eastAsia="Times New Roman" w:hAnsi="Times New Roman" w:cs="Times New Roman"/>
          <w:color w:val="000000"/>
          <w:sz w:val="21"/>
          <w:szCs w:val="21"/>
          <w:lang w:val="en-US"/>
        </w:rPr>
      </w:pPr>
      <w:r w:rsidRPr="00921B3B">
        <w:rPr>
          <w:rFonts w:ascii="Times New Roman" w:eastAsia="Times New Roman" w:hAnsi="Times New Roman" w:cs="Times New Roman"/>
          <w:i/>
          <w:iCs/>
          <w:color w:val="000000"/>
          <w:sz w:val="21"/>
          <w:szCs w:val="21"/>
          <w:lang w:val="en-US"/>
        </w:rPr>
        <w:t>Krasnodar, Russia</w:t>
      </w:r>
    </w:p>
    <w:p w14:paraId="2B315799" w14:textId="77777777" w:rsidR="00921B3B" w:rsidRPr="00921B3B" w:rsidRDefault="00921B3B" w:rsidP="001F3A74">
      <w:pPr>
        <w:spacing w:after="0" w:line="240" w:lineRule="auto"/>
        <w:ind w:firstLine="567"/>
        <w:jc w:val="right"/>
        <w:rPr>
          <w:rFonts w:ascii="Times New Roman" w:eastAsia="Times New Roman" w:hAnsi="Times New Roman" w:cs="Times New Roman"/>
          <w:i/>
          <w:iCs/>
          <w:color w:val="000000"/>
          <w:sz w:val="21"/>
          <w:szCs w:val="21"/>
          <w:lang w:val="en-US"/>
        </w:rPr>
      </w:pPr>
      <w:r w:rsidRPr="00921B3B">
        <w:rPr>
          <w:rFonts w:ascii="Times New Roman" w:eastAsia="Times New Roman" w:hAnsi="Times New Roman" w:cs="Times New Roman"/>
          <w:i/>
          <w:iCs/>
          <w:color w:val="000000"/>
          <w:sz w:val="21"/>
          <w:szCs w:val="21"/>
        </w:rPr>
        <w:t>е</w:t>
      </w:r>
      <w:r w:rsidRPr="00921B3B">
        <w:rPr>
          <w:rFonts w:ascii="Times New Roman" w:eastAsia="Times New Roman" w:hAnsi="Times New Roman" w:cs="Times New Roman"/>
          <w:i/>
          <w:iCs/>
          <w:color w:val="000000"/>
          <w:sz w:val="21"/>
          <w:szCs w:val="21"/>
          <w:lang w:val="en-US"/>
        </w:rPr>
        <w:t xml:space="preserve">-mail: </w:t>
      </w:r>
      <w:hyperlink r:id="rId602" w:history="1">
        <w:r w:rsidRPr="00921B3B">
          <w:rPr>
            <w:rFonts w:ascii="Times New Roman" w:eastAsia="Times New Roman" w:hAnsi="Times New Roman" w:cs="Times New Roman"/>
            <w:i/>
            <w:iCs/>
            <w:color w:val="467886"/>
            <w:sz w:val="21"/>
            <w:szCs w:val="21"/>
            <w:u w:val="single"/>
            <w:lang w:val="en-US"/>
          </w:rPr>
          <w:t>OVIshchenko@fa.ru</w:t>
        </w:r>
      </w:hyperlink>
      <w:r w:rsidRPr="00921B3B">
        <w:rPr>
          <w:rFonts w:ascii="Times New Roman" w:eastAsia="Times New Roman" w:hAnsi="Times New Roman" w:cs="Times New Roman"/>
          <w:i/>
          <w:iCs/>
          <w:color w:val="000000"/>
          <w:sz w:val="21"/>
          <w:szCs w:val="21"/>
          <w:lang w:val="en-US"/>
        </w:rPr>
        <w:t xml:space="preserve"> </w:t>
      </w:r>
    </w:p>
    <w:p w14:paraId="1EFA5C94" w14:textId="77777777" w:rsidR="00921B3B" w:rsidRPr="00921B3B" w:rsidRDefault="00921B3B" w:rsidP="001F3A74">
      <w:pPr>
        <w:spacing w:after="0" w:line="240" w:lineRule="auto"/>
        <w:jc w:val="center"/>
        <w:rPr>
          <w:rFonts w:ascii="Times New Roman" w:eastAsia="Times New Roman" w:hAnsi="Times New Roman" w:cs="Times New Roman"/>
          <w:b/>
          <w:bCs/>
          <w:sz w:val="21"/>
          <w:szCs w:val="21"/>
          <w:lang w:val="en-US"/>
        </w:rPr>
      </w:pPr>
    </w:p>
    <w:p w14:paraId="05BE64FF" w14:textId="77777777" w:rsidR="00921B3B" w:rsidRPr="00656AA8" w:rsidRDefault="00921B3B" w:rsidP="001F3A74">
      <w:pPr>
        <w:spacing w:after="0" w:line="240" w:lineRule="auto"/>
        <w:jc w:val="center"/>
        <w:rPr>
          <w:rFonts w:ascii="Times New Roman" w:eastAsia="Times New Roman" w:hAnsi="Times New Roman" w:cs="Times New Roman"/>
          <w:b/>
          <w:bCs/>
          <w:sz w:val="21"/>
          <w:szCs w:val="21"/>
          <w:lang w:val="en-US"/>
        </w:rPr>
      </w:pPr>
      <w:r w:rsidRPr="00921B3B">
        <w:rPr>
          <w:rFonts w:ascii="Times New Roman" w:eastAsia="Times New Roman" w:hAnsi="Times New Roman" w:cs="Times New Roman"/>
          <w:b/>
          <w:bCs/>
          <w:sz w:val="21"/>
          <w:szCs w:val="21"/>
          <w:lang w:val="en-US"/>
        </w:rPr>
        <w:t>Modernization of business processes through digital transformation and business analytics</w:t>
      </w:r>
    </w:p>
    <w:p w14:paraId="35C6C699" w14:textId="77777777" w:rsidR="001F3A74" w:rsidRPr="00656AA8" w:rsidRDefault="001F3A74" w:rsidP="001F3A74">
      <w:pPr>
        <w:spacing w:after="0" w:line="240" w:lineRule="auto"/>
        <w:jc w:val="center"/>
        <w:rPr>
          <w:rFonts w:ascii="Times New Roman" w:eastAsia="Times New Roman" w:hAnsi="Times New Roman" w:cs="Times New Roman"/>
          <w:b/>
          <w:bCs/>
          <w:sz w:val="21"/>
          <w:szCs w:val="21"/>
          <w:lang w:val="en-US"/>
        </w:rPr>
      </w:pPr>
    </w:p>
    <w:p w14:paraId="74354C32" w14:textId="77777777" w:rsidR="00921B3B" w:rsidRPr="00921B3B" w:rsidRDefault="00921B3B" w:rsidP="001F3A74">
      <w:pPr>
        <w:spacing w:after="0" w:line="240" w:lineRule="auto"/>
        <w:ind w:firstLine="709"/>
        <w:jc w:val="both"/>
        <w:rPr>
          <w:rFonts w:ascii="Times New Roman" w:eastAsia="Times New Roman" w:hAnsi="Times New Roman" w:cs="Times New Roman"/>
          <w:sz w:val="21"/>
          <w:szCs w:val="21"/>
          <w:lang w:val="en-US"/>
        </w:rPr>
      </w:pPr>
      <w:r w:rsidRPr="00921B3B">
        <w:rPr>
          <w:rFonts w:ascii="Times New Roman" w:eastAsia="Times New Roman" w:hAnsi="Times New Roman" w:cs="Times New Roman"/>
          <w:b/>
          <w:bCs/>
          <w:sz w:val="21"/>
          <w:szCs w:val="21"/>
          <w:lang w:val="en-US"/>
        </w:rPr>
        <w:t>Abstract</w:t>
      </w:r>
      <w:r w:rsidRPr="00921B3B">
        <w:rPr>
          <w:rFonts w:ascii="Times New Roman" w:eastAsia="Times New Roman" w:hAnsi="Times New Roman" w:cs="Times New Roman"/>
          <w:sz w:val="21"/>
          <w:szCs w:val="21"/>
          <w:lang w:val="en-US"/>
        </w:rPr>
        <w:t>: In the digital economy, the modernization of business processes is becoming a key factor in the competitiveness of companies. Digital transformation and business intelligence make it possible to optimize resource management, increase operational efficiency, and improve decision-making. This article discusses the main aspects of digital transformation, the role of business intelligence in optimizing processes, and provides examples of successful implementation cases.</w:t>
      </w:r>
    </w:p>
    <w:p w14:paraId="2DB5C008" w14:textId="2B98E41D" w:rsidR="00921B3B" w:rsidRPr="00656AA8" w:rsidRDefault="00921B3B" w:rsidP="001F3A74">
      <w:pPr>
        <w:spacing w:after="0" w:line="240" w:lineRule="auto"/>
        <w:ind w:firstLine="709"/>
        <w:jc w:val="both"/>
        <w:rPr>
          <w:rFonts w:ascii="Times New Roman" w:eastAsia="Times New Roman" w:hAnsi="Times New Roman" w:cs="Times New Roman"/>
          <w:sz w:val="21"/>
          <w:szCs w:val="21"/>
          <w:lang w:val="en-US"/>
        </w:rPr>
      </w:pPr>
      <w:r w:rsidRPr="00921B3B">
        <w:rPr>
          <w:rFonts w:ascii="Times New Roman" w:eastAsia="Times New Roman" w:hAnsi="Times New Roman" w:cs="Times New Roman"/>
          <w:b/>
          <w:bCs/>
          <w:sz w:val="21"/>
          <w:szCs w:val="21"/>
          <w:lang w:val="en-US"/>
        </w:rPr>
        <w:lastRenderedPageBreak/>
        <w:t>Keywords</w:t>
      </w:r>
      <w:r w:rsidRPr="00921B3B">
        <w:rPr>
          <w:rFonts w:ascii="Times New Roman" w:eastAsia="Times New Roman" w:hAnsi="Times New Roman" w:cs="Times New Roman"/>
          <w:sz w:val="21"/>
          <w:szCs w:val="21"/>
          <w:lang w:val="en-US"/>
        </w:rPr>
        <w:t>: digital transformation, business analytics, process optimization, big data, artificial intelligence, automation.</w:t>
      </w:r>
    </w:p>
    <w:p w14:paraId="30D87414" w14:textId="77777777" w:rsidR="001F3A74" w:rsidRPr="00656AA8" w:rsidRDefault="001F3A74" w:rsidP="00C95237">
      <w:pPr>
        <w:spacing w:after="0" w:line="240" w:lineRule="auto"/>
        <w:ind w:firstLine="709"/>
        <w:jc w:val="both"/>
        <w:rPr>
          <w:rFonts w:ascii="Times New Roman" w:eastAsia="Times New Roman" w:hAnsi="Times New Roman" w:cs="Times New Roman"/>
          <w:sz w:val="21"/>
          <w:szCs w:val="21"/>
          <w:lang w:val="en-US"/>
        </w:rPr>
      </w:pPr>
    </w:p>
    <w:p w14:paraId="3094AC8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Современные компании сталкиваются с необходимостью адаптации к быстро меняющимся рыночным условиям. Цифровая трансформация (ЦТ) и бизнес-аналитика (БА) становятся ключевыми инструментами для повышения операционной эффективности и создания устойчивых конкурентных преимуществ.</w:t>
      </w:r>
    </w:p>
    <w:p w14:paraId="52AB84AB"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Согласно исследованию McKinsey, более 70% компаний, внедривших цифровые технологии, отмечают значительный рост производительности [1]. Однако успешная трансформация требует не только технологических изменений, но и пересмотра бизнес-моделей, корпоративной культуры и подходов к управлению данными.</w:t>
      </w:r>
    </w:p>
    <w:p w14:paraId="190D74DB"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Цифровая трансформация как драйвер модернизации бизнес-процессов</w:t>
      </w:r>
    </w:p>
    <w:p w14:paraId="3448BC2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Цифровая трансформация предполагает интеграцию цифровых технологий во все аспекты бизнеса, включая:</w:t>
      </w:r>
    </w:p>
    <w:p w14:paraId="65668EF6"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Автоматизацию процессов (RPA, автоматизация на основе ИИ) [2];</w:t>
      </w:r>
    </w:p>
    <w:p w14:paraId="2A876410"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Использование больших данных для прогнозирования и анализа;</w:t>
      </w:r>
    </w:p>
    <w:p w14:paraId="2716747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Внедрение облачных решений (SaaS, PaaS, IaaS) для гибкости инфраструктуры;</w:t>
      </w:r>
    </w:p>
    <w:p w14:paraId="237F752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Применение IoT (Интернет вещей) для управления цепями поставок и производством.</w:t>
      </w:r>
    </w:p>
    <w:p w14:paraId="6BBDB37A"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Исследование Gartner показывает, что к 2025 году более 50% компаний будут использовать AI и машинное обучение для оптимизации бизнес-процессов [3].</w:t>
      </w:r>
    </w:p>
    <w:p w14:paraId="679B4182"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Роль бизнес-аналитики в оптимизации процессов</w:t>
      </w:r>
    </w:p>
    <w:p w14:paraId="4A2D1189"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Бизнес-аналитика позволяет компаниям:</w:t>
      </w:r>
    </w:p>
    <w:p w14:paraId="3E069188"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Анализировать данные в реальном времени;</w:t>
      </w:r>
    </w:p>
    <w:p w14:paraId="1D09E34D"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Прогнозировать рыночные тренды;</w:t>
      </w:r>
    </w:p>
    <w:p w14:paraId="1F61D319"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Оптимизировать цепочки создания стоимости.</w:t>
      </w:r>
    </w:p>
    <w:p w14:paraId="06EC1C8F"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Согласно исследованию Deloitte, компании, внедрившие передовые аналитические инструменты, увеличивают свою прибыль на 10-20% [4].</w:t>
      </w:r>
    </w:p>
    <w:p w14:paraId="2B104F73"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Кейсы успешной цифровой трансформации российских компаний</w:t>
      </w:r>
    </w:p>
    <w:p w14:paraId="2BC4BCC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Сбербанк</w:t>
      </w:r>
    </w:p>
    <w:p w14:paraId="358AFB81"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Технологии: ИИ, Big Data, чат-боты</w:t>
      </w:r>
    </w:p>
    <w:p w14:paraId="2FDF5C3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Результаты:</w:t>
      </w:r>
    </w:p>
    <w:p w14:paraId="26E116A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lastRenderedPageBreak/>
        <w:t>Кредитные заявки обрабатываются за 5 минут вместо 24 часов; Конверсия одобрения кредитов выросла с 65% до 85%;</w:t>
      </w:r>
    </w:p>
    <w:p w14:paraId="242EBD6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₽15 млрд/год за счет автоматизации.</w:t>
      </w:r>
    </w:p>
    <w:p w14:paraId="30246C10"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X5 Group (Пятерочка, Перекресток)</w:t>
      </w:r>
    </w:p>
    <w:p w14:paraId="00526746"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Технологии: ИИ-аналитика спроса, автоматизация складов</w:t>
      </w:r>
    </w:p>
    <w:p w14:paraId="7450AA83"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Результаты:</w:t>
      </w:r>
    </w:p>
    <w:p w14:paraId="55AA6BB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Запасы на складах сократились с 12% до 6% от оборота.</w:t>
      </w:r>
    </w:p>
    <w:p w14:paraId="05F3F52D"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₽25 млрд/год за счет снижения логистических потерь.</w:t>
      </w:r>
    </w:p>
    <w:p w14:paraId="7B1165B5"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РЖД</w:t>
      </w:r>
    </w:p>
    <w:p w14:paraId="6577D0F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Технологии: IoT (умные датчики), предиктивная аналитика</w:t>
      </w:r>
    </w:p>
    <w:p w14:paraId="409818C0"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Результаты:</w:t>
      </w:r>
    </w:p>
    <w:p w14:paraId="25FA5E1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Простои грузовых поездов снизились с 18% до 8%.</w:t>
      </w:r>
    </w:p>
    <w:p w14:paraId="10F9224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Дополнительный доход ₽50 млрд/год за счет повышения пропускной способности.</w:t>
      </w:r>
    </w:p>
    <w:p w14:paraId="40A4C9E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Магнит</w:t>
      </w:r>
    </w:p>
    <w:p w14:paraId="0CE32B32"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Технологии: цифровые двойники складов, ИИ в закупках</w:t>
      </w:r>
    </w:p>
    <w:p w14:paraId="01FCC315"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Результаты:</w:t>
      </w:r>
    </w:p>
    <w:p w14:paraId="58D4ACA8"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Точность прогноза спроса выросла с 72% до 91%.</w:t>
      </w:r>
    </w:p>
    <w:p w14:paraId="71F0936E"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₽18 млрд/год за счет оптимизации запасов.</w:t>
      </w:r>
    </w:p>
    <w:p w14:paraId="3554D11B"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Яндекс.Такси</w:t>
      </w:r>
    </w:p>
    <w:p w14:paraId="11E6D340"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Технологии: алгоритмы динамического ценообразования, ИИ-маршрутизация</w:t>
      </w:r>
    </w:p>
    <w:p w14:paraId="5F42FAF1"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Результаты:</w:t>
      </w:r>
    </w:p>
    <w:p w14:paraId="27A1CE56"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Загрузка водителей увеличилась с 78% до 89%.</w:t>
      </w:r>
    </w:p>
    <w:p w14:paraId="05758A78"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Рост выручки на ₽12 млрд/год.</w:t>
      </w:r>
    </w:p>
    <w:p w14:paraId="094DCD2D" w14:textId="77777777" w:rsidR="00921B3B" w:rsidRPr="00921B3B" w:rsidRDefault="00921B3B" w:rsidP="00C95237">
      <w:pPr>
        <w:keepNext/>
        <w:keepLines/>
        <w:spacing w:after="0" w:line="240" w:lineRule="auto"/>
        <w:ind w:firstLine="709"/>
        <w:jc w:val="both"/>
        <w:outlineLvl w:val="2"/>
        <w:rPr>
          <w:rFonts w:ascii="Times New Roman" w:eastAsia="DengXian Light" w:hAnsi="Times New Roman" w:cs="Times New Roman"/>
          <w:sz w:val="32"/>
          <w:szCs w:val="32"/>
        </w:rPr>
      </w:pPr>
      <w:r w:rsidRPr="00921B3B">
        <w:rPr>
          <w:rFonts w:ascii="Times New Roman" w:eastAsia="DengXian Light" w:hAnsi="Times New Roman" w:cs="Times New Roman"/>
          <w:sz w:val="32"/>
          <w:szCs w:val="32"/>
        </w:rPr>
        <w:t>Ключевые выводы по российским кейсам:</w:t>
      </w:r>
    </w:p>
    <w:p w14:paraId="08C4F7F1" w14:textId="77777777" w:rsidR="00921B3B" w:rsidRPr="00921B3B" w:rsidRDefault="00921B3B" w:rsidP="00AD58CD">
      <w:pPr>
        <w:numPr>
          <w:ilvl w:val="0"/>
          <w:numId w:val="137"/>
        </w:numPr>
        <w:spacing w:after="0" w:line="240" w:lineRule="auto"/>
        <w:ind w:left="0"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Сбербанк сократил время обработки кредитов с 24 часов до 5 минут благодаря ИИ, что принесло ₽55 млрд совокупного эффекта.</w:t>
      </w:r>
    </w:p>
    <w:p w14:paraId="07687BB2" w14:textId="77777777" w:rsidR="00921B3B" w:rsidRPr="00921B3B" w:rsidRDefault="00921B3B" w:rsidP="00AD58CD">
      <w:pPr>
        <w:numPr>
          <w:ilvl w:val="0"/>
          <w:numId w:val="137"/>
        </w:numPr>
        <w:spacing w:after="0" w:line="240" w:lineRule="auto"/>
        <w:ind w:left="0"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X5 Group снизила логистические издержки на ₽25 млрд за счет точного прогнозирования спроса.</w:t>
      </w:r>
    </w:p>
    <w:p w14:paraId="4E5E1668" w14:textId="77777777" w:rsidR="00921B3B" w:rsidRPr="00921B3B" w:rsidRDefault="00921B3B" w:rsidP="00AD58CD">
      <w:pPr>
        <w:numPr>
          <w:ilvl w:val="0"/>
          <w:numId w:val="137"/>
        </w:numPr>
        <w:spacing w:after="0" w:line="240" w:lineRule="auto"/>
        <w:ind w:left="0"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РЖД уменьшила простои поездов на 55%, что эквивалентно ₽50 млрд дополнительной выручки.</w:t>
      </w:r>
    </w:p>
    <w:p w14:paraId="0A8E7D35" w14:textId="77777777" w:rsidR="00921B3B" w:rsidRPr="00921B3B" w:rsidRDefault="00921B3B" w:rsidP="00C95237">
      <w:pPr>
        <w:keepNext/>
        <w:keepLines/>
        <w:spacing w:after="0" w:line="240" w:lineRule="auto"/>
        <w:ind w:firstLine="709"/>
        <w:jc w:val="both"/>
        <w:outlineLvl w:val="2"/>
        <w:rPr>
          <w:rFonts w:ascii="Times New Roman" w:eastAsia="DengXian Light" w:hAnsi="Times New Roman" w:cs="Times New Roman"/>
          <w:sz w:val="32"/>
          <w:szCs w:val="32"/>
        </w:rPr>
      </w:pPr>
      <w:r w:rsidRPr="00921B3B">
        <w:rPr>
          <w:rFonts w:ascii="Times New Roman" w:eastAsia="DengXian Light" w:hAnsi="Times New Roman" w:cs="Times New Roman"/>
          <w:sz w:val="32"/>
          <w:szCs w:val="32"/>
        </w:rPr>
        <w:t>Методология расчетов:</w:t>
      </w:r>
    </w:p>
    <w:p w14:paraId="17662389"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Сбербанка:</w:t>
      </w:r>
    </w:p>
    <w:p w14:paraId="446E0AF9"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 (Сокращение трудозатрат × кол-во заявок × стоимость обработки).</w:t>
      </w:r>
    </w:p>
    <w:p w14:paraId="4CA7C1E1"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Доп. доход = (Рост конверсии × средняя сумма кредита × маржа).</w:t>
      </w:r>
    </w:p>
    <w:p w14:paraId="5AC5C342"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X5 Group:</w:t>
      </w:r>
    </w:p>
    <w:p w14:paraId="6FE091BE"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lastRenderedPageBreak/>
        <w:t>Экономия = (Снижение излишков × средняя себестоимость товара).</w:t>
      </w:r>
    </w:p>
    <w:p w14:paraId="15440CE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РЖД:</w:t>
      </w:r>
    </w:p>
    <w:p w14:paraId="6EAFBC87"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Эффект = (Сокращение простоев × кол-во поездов × доход на 1 поезд).</w:t>
      </w:r>
    </w:p>
    <w:p w14:paraId="66E0733D"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Кейсы успешной цифровой трансформации зарубежных компаний</w:t>
      </w:r>
    </w:p>
    <w:p w14:paraId="4BB1D017"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Amazon использует ИИ и Big Data для персонализации рекомендаций, что увеличило продажи на 35% [5].</w:t>
      </w:r>
    </w:p>
    <w:p w14:paraId="7F88CF87"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Tesla внедрила IoT и AI в производство, сократив время выпуска автомобилей на 20% [6].</w:t>
      </w:r>
    </w:p>
    <w:p w14:paraId="3E8E71B1" w14:textId="77777777" w:rsidR="00921B3B" w:rsidRPr="00921B3B" w:rsidRDefault="00921B3B" w:rsidP="00C95237">
      <w:pPr>
        <w:spacing w:after="0" w:line="240" w:lineRule="auto"/>
        <w:ind w:firstLine="709"/>
        <w:jc w:val="both"/>
        <w:rPr>
          <w:rFonts w:ascii="Times New Roman" w:eastAsia="Calibri" w:hAnsi="Times New Roman" w:cs="Times New Roman"/>
          <w:sz w:val="32"/>
          <w:szCs w:val="32"/>
        </w:rPr>
      </w:pPr>
      <w:r w:rsidRPr="00921B3B">
        <w:rPr>
          <w:rFonts w:ascii="Times New Roman" w:eastAsia="Calibri" w:hAnsi="Times New Roman" w:cs="Times New Roman"/>
          <w:sz w:val="32"/>
          <w:szCs w:val="32"/>
        </w:rPr>
        <w:t>Unilever применила предиктивную аналитику для оптимизации логистики, снизив затраты на 15% [7].</w:t>
      </w:r>
    </w:p>
    <w:p w14:paraId="79AC72AE" w14:textId="77777777" w:rsidR="00921B3B" w:rsidRPr="00921B3B" w:rsidRDefault="00921B3B" w:rsidP="00C95237">
      <w:pPr>
        <w:keepNext/>
        <w:keepLines/>
        <w:spacing w:before="40" w:after="0"/>
        <w:jc w:val="both"/>
        <w:outlineLvl w:val="2"/>
        <w:rPr>
          <w:rFonts w:ascii="Times New Roman" w:eastAsia="DengXian Light" w:hAnsi="Times New Roman" w:cs="Times New Roman"/>
          <w:sz w:val="32"/>
          <w:szCs w:val="32"/>
        </w:rPr>
      </w:pPr>
      <w:r w:rsidRPr="00921B3B">
        <w:rPr>
          <w:rFonts w:ascii="Times New Roman" w:eastAsia="DengXian Light" w:hAnsi="Times New Roman" w:cs="Times New Roman"/>
          <w:sz w:val="32"/>
          <w:szCs w:val="32"/>
        </w:rPr>
        <w:t>Экономический эффект цифровой трансформации в компаниях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0"/>
        <w:gridCol w:w="1412"/>
        <w:gridCol w:w="1384"/>
        <w:gridCol w:w="1267"/>
        <w:gridCol w:w="1267"/>
        <w:gridCol w:w="911"/>
        <w:gridCol w:w="1694"/>
        <w:gridCol w:w="833"/>
      </w:tblGrid>
      <w:tr w:rsidR="00921B3B" w:rsidRPr="00921B3B" w14:paraId="65321A6F" w14:textId="77777777" w:rsidTr="00EB1CB9">
        <w:trPr>
          <w:tblHeader/>
          <w:tblCellSpacing w:w="15" w:type="dxa"/>
        </w:trPr>
        <w:tc>
          <w:tcPr>
            <w:tcW w:w="0" w:type="auto"/>
            <w:vAlign w:val="center"/>
            <w:hideMark/>
          </w:tcPr>
          <w:p w14:paraId="67B8862E"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Компания</w:t>
            </w:r>
          </w:p>
        </w:tc>
        <w:tc>
          <w:tcPr>
            <w:tcW w:w="0" w:type="auto"/>
            <w:vAlign w:val="center"/>
            <w:hideMark/>
          </w:tcPr>
          <w:p w14:paraId="2D006E0D"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Внедренные технологии</w:t>
            </w:r>
          </w:p>
        </w:tc>
        <w:tc>
          <w:tcPr>
            <w:tcW w:w="0" w:type="auto"/>
            <w:vAlign w:val="center"/>
            <w:hideMark/>
          </w:tcPr>
          <w:p w14:paraId="048AAC50"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Показатель</w:t>
            </w:r>
          </w:p>
        </w:tc>
        <w:tc>
          <w:tcPr>
            <w:tcW w:w="0" w:type="auto"/>
            <w:vAlign w:val="center"/>
            <w:hideMark/>
          </w:tcPr>
          <w:p w14:paraId="57012665"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До трансформации</w:t>
            </w:r>
          </w:p>
        </w:tc>
        <w:tc>
          <w:tcPr>
            <w:tcW w:w="0" w:type="auto"/>
            <w:vAlign w:val="center"/>
            <w:hideMark/>
          </w:tcPr>
          <w:p w14:paraId="622AC668"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После трансформации</w:t>
            </w:r>
          </w:p>
        </w:tc>
        <w:tc>
          <w:tcPr>
            <w:tcW w:w="0" w:type="auto"/>
            <w:vAlign w:val="center"/>
            <w:hideMark/>
          </w:tcPr>
          <w:p w14:paraId="1E0A7C32"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Изменение (%)</w:t>
            </w:r>
          </w:p>
        </w:tc>
        <w:tc>
          <w:tcPr>
            <w:tcW w:w="0" w:type="auto"/>
            <w:vAlign w:val="center"/>
            <w:hideMark/>
          </w:tcPr>
          <w:p w14:paraId="134B39AC"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Экономический эффект</w:t>
            </w:r>
          </w:p>
        </w:tc>
        <w:tc>
          <w:tcPr>
            <w:tcW w:w="0" w:type="auto"/>
            <w:vAlign w:val="center"/>
            <w:hideMark/>
          </w:tcPr>
          <w:p w14:paraId="47F0351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Источник</w:t>
            </w:r>
          </w:p>
        </w:tc>
      </w:tr>
      <w:tr w:rsidR="00921B3B" w:rsidRPr="00921B3B" w14:paraId="2888E271" w14:textId="77777777" w:rsidTr="00EB1CB9">
        <w:trPr>
          <w:tblCellSpacing w:w="15" w:type="dxa"/>
        </w:trPr>
        <w:tc>
          <w:tcPr>
            <w:tcW w:w="0" w:type="auto"/>
            <w:vAlign w:val="center"/>
            <w:hideMark/>
          </w:tcPr>
          <w:p w14:paraId="4E2CF50E"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Amazon</w:t>
            </w:r>
          </w:p>
        </w:tc>
        <w:tc>
          <w:tcPr>
            <w:tcW w:w="0" w:type="auto"/>
            <w:vAlign w:val="center"/>
            <w:hideMark/>
          </w:tcPr>
          <w:p w14:paraId="2DC20708"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ИИ, Big Data (персонализация рекомендаций)</w:t>
            </w:r>
          </w:p>
        </w:tc>
        <w:tc>
          <w:tcPr>
            <w:tcW w:w="0" w:type="auto"/>
            <w:vAlign w:val="center"/>
            <w:hideMark/>
          </w:tcPr>
          <w:p w14:paraId="07949BCC"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Конверсия продаж</w:t>
            </w:r>
          </w:p>
        </w:tc>
        <w:tc>
          <w:tcPr>
            <w:tcW w:w="0" w:type="auto"/>
            <w:vAlign w:val="center"/>
            <w:hideMark/>
          </w:tcPr>
          <w:p w14:paraId="6B29851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10% (2015)</w:t>
            </w:r>
          </w:p>
        </w:tc>
        <w:tc>
          <w:tcPr>
            <w:tcW w:w="0" w:type="auto"/>
            <w:vAlign w:val="center"/>
            <w:hideMark/>
          </w:tcPr>
          <w:p w14:paraId="32E30AF0"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35% (2023)</w:t>
            </w:r>
          </w:p>
        </w:tc>
        <w:tc>
          <w:tcPr>
            <w:tcW w:w="0" w:type="auto"/>
            <w:vAlign w:val="center"/>
            <w:hideMark/>
          </w:tcPr>
          <w:p w14:paraId="4B27555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+250%</w:t>
            </w:r>
          </w:p>
        </w:tc>
        <w:tc>
          <w:tcPr>
            <w:tcW w:w="0" w:type="auto"/>
            <w:vAlign w:val="center"/>
            <w:hideMark/>
          </w:tcPr>
          <w:p w14:paraId="3F02586E"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$18 млрд/год (доп. доход)</w:t>
            </w:r>
          </w:p>
        </w:tc>
        <w:tc>
          <w:tcPr>
            <w:tcW w:w="0" w:type="auto"/>
            <w:vAlign w:val="center"/>
            <w:hideMark/>
          </w:tcPr>
          <w:p w14:paraId="58073BA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[5]</w:t>
            </w:r>
          </w:p>
        </w:tc>
      </w:tr>
      <w:tr w:rsidR="00921B3B" w:rsidRPr="00921B3B" w14:paraId="092DD5AF" w14:textId="77777777" w:rsidTr="00EB1CB9">
        <w:trPr>
          <w:tblCellSpacing w:w="15" w:type="dxa"/>
        </w:trPr>
        <w:tc>
          <w:tcPr>
            <w:tcW w:w="0" w:type="auto"/>
            <w:vAlign w:val="center"/>
            <w:hideMark/>
          </w:tcPr>
          <w:p w14:paraId="2663E24B"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60ED1788"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02ACB6C5"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Ошибки прогнозирования спроса</w:t>
            </w:r>
          </w:p>
        </w:tc>
        <w:tc>
          <w:tcPr>
            <w:tcW w:w="0" w:type="auto"/>
            <w:vAlign w:val="center"/>
            <w:hideMark/>
          </w:tcPr>
          <w:p w14:paraId="36EC486F"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25%</w:t>
            </w:r>
          </w:p>
        </w:tc>
        <w:tc>
          <w:tcPr>
            <w:tcW w:w="0" w:type="auto"/>
            <w:vAlign w:val="center"/>
            <w:hideMark/>
          </w:tcPr>
          <w:p w14:paraId="21A38BE4"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8%</w:t>
            </w:r>
          </w:p>
        </w:tc>
        <w:tc>
          <w:tcPr>
            <w:tcW w:w="0" w:type="auto"/>
            <w:vAlign w:val="center"/>
            <w:hideMark/>
          </w:tcPr>
          <w:p w14:paraId="1A3A71D6"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-68%</w:t>
            </w:r>
          </w:p>
        </w:tc>
        <w:tc>
          <w:tcPr>
            <w:tcW w:w="0" w:type="auto"/>
            <w:vAlign w:val="center"/>
            <w:hideMark/>
          </w:tcPr>
          <w:p w14:paraId="4F2DE792"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$2.1 млрд/год (снижение потерь)</w:t>
            </w:r>
          </w:p>
        </w:tc>
        <w:tc>
          <w:tcPr>
            <w:tcW w:w="0" w:type="auto"/>
            <w:vAlign w:val="center"/>
            <w:hideMark/>
          </w:tcPr>
          <w:p w14:paraId="2F19BB29"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[5]</w:t>
            </w:r>
          </w:p>
        </w:tc>
      </w:tr>
      <w:tr w:rsidR="00921B3B" w:rsidRPr="00921B3B" w14:paraId="5B77F511" w14:textId="77777777" w:rsidTr="00EB1CB9">
        <w:trPr>
          <w:tblCellSpacing w:w="15" w:type="dxa"/>
        </w:trPr>
        <w:tc>
          <w:tcPr>
            <w:tcW w:w="0" w:type="auto"/>
            <w:vAlign w:val="center"/>
            <w:hideMark/>
          </w:tcPr>
          <w:p w14:paraId="3E6B607C"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Tesla</w:t>
            </w:r>
          </w:p>
        </w:tc>
        <w:tc>
          <w:tcPr>
            <w:tcW w:w="0" w:type="auto"/>
            <w:vAlign w:val="center"/>
            <w:hideMark/>
          </w:tcPr>
          <w:p w14:paraId="38613A95"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IoT, ИИ (оптимизация производства)</w:t>
            </w:r>
          </w:p>
        </w:tc>
        <w:tc>
          <w:tcPr>
            <w:tcW w:w="0" w:type="auto"/>
            <w:vAlign w:val="center"/>
            <w:hideMark/>
          </w:tcPr>
          <w:p w14:paraId="05112F30"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Время сборки автомобиля</w:t>
            </w:r>
          </w:p>
        </w:tc>
        <w:tc>
          <w:tcPr>
            <w:tcW w:w="0" w:type="auto"/>
            <w:vAlign w:val="center"/>
            <w:hideMark/>
          </w:tcPr>
          <w:p w14:paraId="7F4BFBB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30 часов</w:t>
            </w:r>
          </w:p>
        </w:tc>
        <w:tc>
          <w:tcPr>
            <w:tcW w:w="0" w:type="auto"/>
            <w:vAlign w:val="center"/>
            <w:hideMark/>
          </w:tcPr>
          <w:p w14:paraId="21053716"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24 часа</w:t>
            </w:r>
          </w:p>
        </w:tc>
        <w:tc>
          <w:tcPr>
            <w:tcW w:w="0" w:type="auto"/>
            <w:vAlign w:val="center"/>
            <w:hideMark/>
          </w:tcPr>
          <w:p w14:paraId="601F0E19"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-20%</w:t>
            </w:r>
          </w:p>
        </w:tc>
        <w:tc>
          <w:tcPr>
            <w:tcW w:w="0" w:type="auto"/>
            <w:vAlign w:val="center"/>
            <w:hideMark/>
          </w:tcPr>
          <w:p w14:paraId="226CBD62"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$800 млн/год (рост производительности)</w:t>
            </w:r>
          </w:p>
        </w:tc>
        <w:tc>
          <w:tcPr>
            <w:tcW w:w="0" w:type="auto"/>
            <w:vAlign w:val="center"/>
            <w:hideMark/>
          </w:tcPr>
          <w:p w14:paraId="40AA2C72"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[6]</w:t>
            </w:r>
          </w:p>
        </w:tc>
      </w:tr>
      <w:tr w:rsidR="00921B3B" w:rsidRPr="00921B3B" w14:paraId="77A11C6E" w14:textId="77777777" w:rsidTr="00EB1CB9">
        <w:trPr>
          <w:tblCellSpacing w:w="15" w:type="dxa"/>
        </w:trPr>
        <w:tc>
          <w:tcPr>
            <w:tcW w:w="0" w:type="auto"/>
            <w:vAlign w:val="center"/>
            <w:hideMark/>
          </w:tcPr>
          <w:p w14:paraId="24017D58"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68326F95"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71EFA66E"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Дефекты продукции</w:t>
            </w:r>
          </w:p>
        </w:tc>
        <w:tc>
          <w:tcPr>
            <w:tcW w:w="0" w:type="auto"/>
            <w:vAlign w:val="center"/>
            <w:hideMark/>
          </w:tcPr>
          <w:p w14:paraId="11D0BB1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5%</w:t>
            </w:r>
          </w:p>
        </w:tc>
        <w:tc>
          <w:tcPr>
            <w:tcW w:w="0" w:type="auto"/>
            <w:vAlign w:val="center"/>
            <w:hideMark/>
          </w:tcPr>
          <w:p w14:paraId="0FA6B914"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1.2%</w:t>
            </w:r>
          </w:p>
        </w:tc>
        <w:tc>
          <w:tcPr>
            <w:tcW w:w="0" w:type="auto"/>
            <w:vAlign w:val="center"/>
            <w:hideMark/>
          </w:tcPr>
          <w:p w14:paraId="0A16E592"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-76%</w:t>
            </w:r>
          </w:p>
        </w:tc>
        <w:tc>
          <w:tcPr>
            <w:tcW w:w="0" w:type="auto"/>
            <w:vAlign w:val="center"/>
            <w:hideMark/>
          </w:tcPr>
          <w:p w14:paraId="2B71D97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$500 млн/год (снижение затрат на гарантии)</w:t>
            </w:r>
          </w:p>
        </w:tc>
        <w:tc>
          <w:tcPr>
            <w:tcW w:w="0" w:type="auto"/>
            <w:vAlign w:val="center"/>
            <w:hideMark/>
          </w:tcPr>
          <w:p w14:paraId="49AFC839"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[6]</w:t>
            </w:r>
          </w:p>
        </w:tc>
      </w:tr>
      <w:tr w:rsidR="00921B3B" w:rsidRPr="00921B3B" w14:paraId="197203D3" w14:textId="77777777" w:rsidTr="00EB1CB9">
        <w:trPr>
          <w:tblCellSpacing w:w="15" w:type="dxa"/>
        </w:trPr>
        <w:tc>
          <w:tcPr>
            <w:tcW w:w="0" w:type="auto"/>
            <w:vAlign w:val="center"/>
            <w:hideMark/>
          </w:tcPr>
          <w:p w14:paraId="7ACC8D1C"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Unilever</w:t>
            </w:r>
          </w:p>
        </w:tc>
        <w:tc>
          <w:tcPr>
            <w:tcW w:w="0" w:type="auto"/>
            <w:vAlign w:val="center"/>
            <w:hideMark/>
          </w:tcPr>
          <w:p w14:paraId="144E73C5"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 xml:space="preserve">Предсказываемая аналитика </w:t>
            </w:r>
            <w:r w:rsidRPr="00921B3B">
              <w:rPr>
                <w:rFonts w:ascii="Times New Roman" w:eastAsia="Times New Roman" w:hAnsi="Times New Roman" w:cs="Times New Roman"/>
                <w:sz w:val="28"/>
                <w:szCs w:val="28"/>
                <w:lang w:eastAsia="ru-RU"/>
              </w:rPr>
              <w:lastRenderedPageBreak/>
              <w:t>(логистика)</w:t>
            </w:r>
          </w:p>
        </w:tc>
        <w:tc>
          <w:tcPr>
            <w:tcW w:w="0" w:type="auto"/>
            <w:vAlign w:val="center"/>
            <w:hideMark/>
          </w:tcPr>
          <w:p w14:paraId="20BC0524"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lastRenderedPageBreak/>
              <w:t>Затраты на логистику</w:t>
            </w:r>
          </w:p>
        </w:tc>
        <w:tc>
          <w:tcPr>
            <w:tcW w:w="0" w:type="auto"/>
            <w:vAlign w:val="center"/>
            <w:hideMark/>
          </w:tcPr>
          <w:p w14:paraId="681DEEDF"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$1.2 млрд/год</w:t>
            </w:r>
          </w:p>
        </w:tc>
        <w:tc>
          <w:tcPr>
            <w:tcW w:w="0" w:type="auto"/>
            <w:vAlign w:val="center"/>
            <w:hideMark/>
          </w:tcPr>
          <w:p w14:paraId="5F61D51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$1.02 млрд/год</w:t>
            </w:r>
          </w:p>
        </w:tc>
        <w:tc>
          <w:tcPr>
            <w:tcW w:w="0" w:type="auto"/>
            <w:vAlign w:val="center"/>
            <w:hideMark/>
          </w:tcPr>
          <w:p w14:paraId="4738219A"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-15%</w:t>
            </w:r>
          </w:p>
        </w:tc>
        <w:tc>
          <w:tcPr>
            <w:tcW w:w="0" w:type="auto"/>
            <w:vAlign w:val="center"/>
            <w:hideMark/>
          </w:tcPr>
          <w:p w14:paraId="4F6DF9C5"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$180 млн/год</w:t>
            </w:r>
          </w:p>
        </w:tc>
        <w:tc>
          <w:tcPr>
            <w:tcW w:w="0" w:type="auto"/>
            <w:vAlign w:val="center"/>
            <w:hideMark/>
          </w:tcPr>
          <w:p w14:paraId="4913D8D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[7]</w:t>
            </w:r>
          </w:p>
        </w:tc>
      </w:tr>
      <w:tr w:rsidR="00921B3B" w:rsidRPr="00921B3B" w14:paraId="3B3B82D6" w14:textId="77777777" w:rsidTr="00EB1CB9">
        <w:trPr>
          <w:tblCellSpacing w:w="15" w:type="dxa"/>
        </w:trPr>
        <w:tc>
          <w:tcPr>
            <w:tcW w:w="0" w:type="auto"/>
            <w:vAlign w:val="center"/>
            <w:hideMark/>
          </w:tcPr>
          <w:p w14:paraId="46098214"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75D01D97" w14:textId="77777777" w:rsidR="00921B3B" w:rsidRPr="00921B3B" w:rsidRDefault="00921B3B" w:rsidP="00C95237">
            <w:pPr>
              <w:jc w:val="both"/>
              <w:rPr>
                <w:rFonts w:ascii="Times New Roman" w:eastAsia="Calibri" w:hAnsi="Times New Roman" w:cs="Times New Roman"/>
                <w:sz w:val="28"/>
                <w:szCs w:val="28"/>
              </w:rPr>
            </w:pPr>
          </w:p>
        </w:tc>
        <w:tc>
          <w:tcPr>
            <w:tcW w:w="0" w:type="auto"/>
            <w:vAlign w:val="center"/>
            <w:hideMark/>
          </w:tcPr>
          <w:p w14:paraId="4C0C3260"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Уровень обслуживания клиентов</w:t>
            </w:r>
          </w:p>
        </w:tc>
        <w:tc>
          <w:tcPr>
            <w:tcW w:w="0" w:type="auto"/>
            <w:vAlign w:val="center"/>
            <w:hideMark/>
          </w:tcPr>
          <w:p w14:paraId="0AF564EB"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88%</w:t>
            </w:r>
          </w:p>
        </w:tc>
        <w:tc>
          <w:tcPr>
            <w:tcW w:w="0" w:type="auto"/>
            <w:vAlign w:val="center"/>
            <w:hideMark/>
          </w:tcPr>
          <w:p w14:paraId="032D4F4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95%</w:t>
            </w:r>
          </w:p>
        </w:tc>
        <w:tc>
          <w:tcPr>
            <w:tcW w:w="0" w:type="auto"/>
            <w:vAlign w:val="center"/>
            <w:hideMark/>
          </w:tcPr>
          <w:p w14:paraId="7C46602E"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+8%</w:t>
            </w:r>
          </w:p>
        </w:tc>
        <w:tc>
          <w:tcPr>
            <w:tcW w:w="0" w:type="auto"/>
            <w:vAlign w:val="center"/>
            <w:hideMark/>
          </w:tcPr>
          <w:p w14:paraId="32E4B050"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$220 млн/год (рост лояльности)</w:t>
            </w:r>
          </w:p>
        </w:tc>
        <w:tc>
          <w:tcPr>
            <w:tcW w:w="0" w:type="auto"/>
            <w:vAlign w:val="center"/>
            <w:hideMark/>
          </w:tcPr>
          <w:p w14:paraId="0A4CB153" w14:textId="77777777" w:rsidR="00921B3B" w:rsidRPr="00921B3B" w:rsidRDefault="00921B3B" w:rsidP="00C9523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1B3B">
              <w:rPr>
                <w:rFonts w:ascii="Times New Roman" w:eastAsia="Times New Roman" w:hAnsi="Times New Roman" w:cs="Times New Roman"/>
                <w:sz w:val="28"/>
                <w:szCs w:val="28"/>
                <w:lang w:eastAsia="ru-RU"/>
              </w:rPr>
              <w:t>[]</w:t>
            </w:r>
          </w:p>
        </w:tc>
      </w:tr>
    </w:tbl>
    <w:p w14:paraId="165DCA0B" w14:textId="77777777" w:rsidR="001F3A74" w:rsidRDefault="001F3A74" w:rsidP="00C95237">
      <w:pPr>
        <w:keepNext/>
        <w:keepLines/>
        <w:spacing w:after="0"/>
        <w:jc w:val="both"/>
        <w:outlineLvl w:val="2"/>
        <w:rPr>
          <w:rFonts w:ascii="Times New Roman" w:eastAsia="DengXian Light" w:hAnsi="Times New Roman" w:cs="Times New Roman"/>
          <w:sz w:val="32"/>
          <w:szCs w:val="32"/>
        </w:rPr>
      </w:pPr>
    </w:p>
    <w:p w14:paraId="751722BB" w14:textId="3D418A27" w:rsidR="00921B3B" w:rsidRPr="00921B3B" w:rsidRDefault="00921B3B" w:rsidP="00C95237">
      <w:pPr>
        <w:keepNext/>
        <w:keepLines/>
        <w:spacing w:after="0" w:line="240" w:lineRule="auto"/>
        <w:ind w:firstLine="709"/>
        <w:jc w:val="both"/>
        <w:outlineLvl w:val="2"/>
        <w:rPr>
          <w:rFonts w:ascii="Times New Roman" w:eastAsia="DengXian Light" w:hAnsi="Times New Roman" w:cs="Times New Roman"/>
          <w:sz w:val="32"/>
          <w:szCs w:val="32"/>
        </w:rPr>
      </w:pPr>
      <w:r w:rsidRPr="00921B3B">
        <w:rPr>
          <w:rFonts w:ascii="Times New Roman" w:eastAsia="DengXian Light" w:hAnsi="Times New Roman" w:cs="Times New Roman"/>
          <w:sz w:val="32"/>
          <w:szCs w:val="32"/>
        </w:rPr>
        <w:t>Ключевые выводы:</w:t>
      </w:r>
    </w:p>
    <w:p w14:paraId="139C5BB8"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1. Amazon добилась максимального роста конверсии за счет AI, что принесло $18 млрд дополнительного дохода.</w:t>
      </w:r>
    </w:p>
    <w:p w14:paraId="7077580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2. Tesla сократила время производства на 20%, сэкономив $1.3 млрд совокупно за счет IoT и ИИ.</w:t>
      </w:r>
    </w:p>
    <w:p w14:paraId="2D7877CF"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3. Unilever снизила логистические издержки на $180 млн благодаря предиктивной аналитике.</w:t>
      </w:r>
    </w:p>
    <w:p w14:paraId="0198F879" w14:textId="77777777" w:rsidR="00921B3B" w:rsidRPr="00921B3B" w:rsidRDefault="00921B3B" w:rsidP="00C95237">
      <w:pPr>
        <w:keepNext/>
        <w:keepLines/>
        <w:spacing w:after="0" w:line="240" w:lineRule="auto"/>
        <w:ind w:firstLine="709"/>
        <w:jc w:val="both"/>
        <w:outlineLvl w:val="2"/>
        <w:rPr>
          <w:rFonts w:ascii="Times New Roman" w:eastAsia="DengXian Light" w:hAnsi="Times New Roman" w:cs="Times New Roman"/>
          <w:sz w:val="32"/>
          <w:szCs w:val="32"/>
        </w:rPr>
      </w:pPr>
      <w:r w:rsidRPr="00921B3B">
        <w:rPr>
          <w:rFonts w:ascii="Times New Roman" w:eastAsia="DengXian Light" w:hAnsi="Times New Roman" w:cs="Times New Roman"/>
          <w:sz w:val="32"/>
          <w:szCs w:val="32"/>
        </w:rPr>
        <w:t>Методология расчетов:</w:t>
      </w:r>
    </w:p>
    <w:p w14:paraId="6480FD3E"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Amazon:</w:t>
      </w:r>
    </w:p>
    <w:p w14:paraId="438011B6"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Доп. доход = (Рост конверсии × средний чек × кол-во пользователей).</w:t>
      </w:r>
    </w:p>
    <w:p w14:paraId="23343E6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от снижения ошибок = (Сокращение избыточных запасов + уменьшение упущенных продаж).</w:t>
      </w:r>
    </w:p>
    <w:p w14:paraId="264B7DC4"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Tesla:</w:t>
      </w:r>
    </w:p>
    <w:p w14:paraId="39249B73"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Экономия от времени = (Сокращение часов × стоимость рабочего часа × объем производства).</w:t>
      </w:r>
    </w:p>
    <w:p w14:paraId="4C6C5D0C"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Снижение затрат на гарантии = (Уменьшение дефектов × средняя стоимость ремонта).</w:t>
      </w:r>
    </w:p>
    <w:p w14:paraId="743A8021"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Для Unilever:</w:t>
      </w:r>
    </w:p>
    <w:p w14:paraId="03526BFA" w14:textId="77777777" w:rsidR="00921B3B" w:rsidRP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Оптимизация логистики = (Анализ маршрутов + прогнозирование спроса на складах).</w:t>
      </w:r>
    </w:p>
    <w:p w14:paraId="0C04FE36" w14:textId="77777777" w:rsidR="00921B3B" w:rsidRDefault="00921B3B" w:rsidP="00C95237">
      <w:pPr>
        <w:spacing w:after="0" w:line="240" w:lineRule="auto"/>
        <w:ind w:firstLine="709"/>
        <w:jc w:val="both"/>
        <w:rPr>
          <w:rFonts w:ascii="Times New Roman" w:eastAsia="Times New Roman" w:hAnsi="Times New Roman" w:cs="Times New Roman"/>
          <w:sz w:val="32"/>
          <w:szCs w:val="32"/>
          <w:lang w:eastAsia="ru-RU"/>
        </w:rPr>
      </w:pPr>
      <w:r w:rsidRPr="00921B3B">
        <w:rPr>
          <w:rFonts w:ascii="Times New Roman" w:eastAsia="Times New Roman" w:hAnsi="Times New Roman" w:cs="Times New Roman"/>
          <w:sz w:val="32"/>
          <w:szCs w:val="32"/>
          <w:lang w:eastAsia="ru-RU"/>
        </w:rPr>
        <w:t>Цифровая трансформация и бизнес-аналитика становятся критически важными элементами модернизации бизнес-процессов. Компании, которые успешно интегрируют эти технологии, получают значительные преимущества в виде роста эффективности, снижения издержек и улучшения клиентского опыта.</w:t>
      </w:r>
    </w:p>
    <w:p w14:paraId="2693FA0C" w14:textId="77777777" w:rsidR="001F3A74" w:rsidRPr="00921B3B" w:rsidRDefault="001F3A74" w:rsidP="001F3A74">
      <w:pPr>
        <w:spacing w:after="0" w:line="240" w:lineRule="auto"/>
        <w:ind w:firstLine="709"/>
        <w:rPr>
          <w:rFonts w:ascii="Times New Roman" w:eastAsia="Times New Roman" w:hAnsi="Times New Roman" w:cs="Times New Roman"/>
          <w:sz w:val="32"/>
          <w:szCs w:val="32"/>
          <w:lang w:eastAsia="ru-RU"/>
        </w:rPr>
      </w:pPr>
    </w:p>
    <w:p w14:paraId="36990D6D" w14:textId="77777777" w:rsidR="00921B3B" w:rsidRPr="00921B3B" w:rsidRDefault="00921B3B" w:rsidP="001F3A74">
      <w:pPr>
        <w:spacing w:after="0" w:line="240" w:lineRule="auto"/>
        <w:jc w:val="center"/>
        <w:rPr>
          <w:rFonts w:ascii="Times New Roman" w:eastAsia="Times New Roman" w:hAnsi="Times New Roman" w:cs="Times New Roman"/>
          <w:b/>
          <w:bCs/>
          <w:sz w:val="21"/>
          <w:szCs w:val="21"/>
          <w:lang w:eastAsia="ru-RU"/>
        </w:rPr>
      </w:pPr>
      <w:r w:rsidRPr="00921B3B">
        <w:rPr>
          <w:rFonts w:ascii="Times New Roman" w:eastAsia="Times New Roman" w:hAnsi="Times New Roman" w:cs="Times New Roman"/>
          <w:b/>
          <w:bCs/>
          <w:sz w:val="21"/>
          <w:szCs w:val="21"/>
          <w:lang w:eastAsia="ru-RU"/>
        </w:rPr>
        <w:t>Литература:</w:t>
      </w:r>
    </w:p>
    <w:p w14:paraId="28A4D4B9" w14:textId="77777777" w:rsidR="00921B3B" w:rsidRPr="00921B3B" w:rsidRDefault="00921B3B" w:rsidP="00AD58CD">
      <w:pPr>
        <w:numPr>
          <w:ilvl w:val="0"/>
          <w:numId w:val="136"/>
        </w:numPr>
        <w:tabs>
          <w:tab w:val="clear" w:pos="720"/>
          <w:tab w:val="num" w:pos="360"/>
        </w:tabs>
        <w:spacing w:after="0"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val="en-US" w:eastAsia="ru-RU"/>
        </w:rPr>
        <w:t>McKinsey</w:t>
      </w:r>
      <w:r w:rsidRPr="00921B3B">
        <w:rPr>
          <w:rFonts w:ascii="Times New Roman" w:eastAsia="Times New Roman" w:hAnsi="Times New Roman" w:cs="Times New Roman"/>
          <w:sz w:val="21"/>
          <w:szCs w:val="21"/>
          <w:lang w:eastAsia="ru-RU"/>
        </w:rPr>
        <w:t xml:space="preserve"> &amp; </w:t>
      </w:r>
      <w:r w:rsidRPr="00921B3B">
        <w:rPr>
          <w:rFonts w:ascii="Times New Roman" w:eastAsia="Times New Roman" w:hAnsi="Times New Roman" w:cs="Times New Roman"/>
          <w:sz w:val="21"/>
          <w:szCs w:val="21"/>
          <w:lang w:val="en-US" w:eastAsia="ru-RU"/>
        </w:rPr>
        <w:t>Company</w:t>
      </w:r>
      <w:r w:rsidRPr="00921B3B">
        <w:rPr>
          <w:rFonts w:ascii="Times New Roman" w:eastAsia="Times New Roman" w:hAnsi="Times New Roman" w:cs="Times New Roman"/>
          <w:sz w:val="21"/>
          <w:szCs w:val="21"/>
          <w:lang w:eastAsia="ru-RU"/>
        </w:rPr>
        <w:t>. (2021). Императив цифровой трансформации.</w:t>
      </w:r>
    </w:p>
    <w:p w14:paraId="5681885C" w14:textId="77777777" w:rsidR="00921B3B" w:rsidRPr="00921B3B" w:rsidRDefault="00921B3B" w:rsidP="00AD58CD">
      <w:pPr>
        <w:numPr>
          <w:ilvl w:val="0"/>
          <w:numId w:val="136"/>
        </w:numPr>
        <w:tabs>
          <w:tab w:val="clear" w:pos="720"/>
          <w:tab w:val="num" w:pos="360"/>
        </w:tabs>
        <w:spacing w:after="0" w:line="240" w:lineRule="auto"/>
        <w:ind w:hanging="720"/>
        <w:jc w:val="both"/>
        <w:rPr>
          <w:rFonts w:ascii="Times New Roman" w:eastAsia="Times New Roman" w:hAnsi="Times New Roman" w:cs="Times New Roman"/>
          <w:sz w:val="21"/>
          <w:szCs w:val="21"/>
          <w:lang w:val="en-US" w:eastAsia="ru-RU"/>
        </w:rPr>
      </w:pPr>
      <w:r w:rsidRPr="00921B3B">
        <w:rPr>
          <w:rFonts w:ascii="Times New Roman" w:eastAsia="Times New Roman" w:hAnsi="Times New Roman" w:cs="Times New Roman"/>
          <w:sz w:val="21"/>
          <w:szCs w:val="21"/>
          <w:lang w:eastAsia="ru-RU"/>
        </w:rPr>
        <w:lastRenderedPageBreak/>
        <w:t xml:space="preserve">Уиллкокс, Л. (2020). Роботизированные процессы и когнитивная автоматизация: следующий этап. </w:t>
      </w:r>
      <w:r w:rsidRPr="00921B3B">
        <w:rPr>
          <w:rFonts w:ascii="Times New Roman" w:eastAsia="Times New Roman" w:hAnsi="Times New Roman" w:cs="Times New Roman"/>
          <w:sz w:val="21"/>
          <w:szCs w:val="21"/>
          <w:lang w:val="en-US" w:eastAsia="ru-RU"/>
        </w:rPr>
        <w:t>Издательство SB Publishing.</w:t>
      </w:r>
    </w:p>
    <w:p w14:paraId="42591261" w14:textId="77777777" w:rsidR="00921B3B" w:rsidRPr="00921B3B" w:rsidRDefault="00921B3B" w:rsidP="00AD58CD">
      <w:pPr>
        <w:numPr>
          <w:ilvl w:val="0"/>
          <w:numId w:val="136"/>
        </w:numPr>
        <w:tabs>
          <w:tab w:val="clear" w:pos="720"/>
          <w:tab w:val="num" w:pos="360"/>
        </w:tabs>
        <w:spacing w:after="0"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val="en-US" w:eastAsia="ru-RU"/>
        </w:rPr>
        <w:t>Gartner</w:t>
      </w:r>
      <w:r w:rsidRPr="00921B3B">
        <w:rPr>
          <w:rFonts w:ascii="Times New Roman" w:eastAsia="Times New Roman" w:hAnsi="Times New Roman" w:cs="Times New Roman"/>
          <w:sz w:val="21"/>
          <w:szCs w:val="21"/>
          <w:lang w:eastAsia="ru-RU"/>
        </w:rPr>
        <w:t>. (2023). Основные стратегические технологические тренды на 2025 год.</w:t>
      </w:r>
    </w:p>
    <w:p w14:paraId="6E22EEB9" w14:textId="77777777" w:rsidR="00921B3B" w:rsidRPr="00921B3B" w:rsidRDefault="00921B3B" w:rsidP="00AD58CD">
      <w:pPr>
        <w:numPr>
          <w:ilvl w:val="0"/>
          <w:numId w:val="136"/>
        </w:numPr>
        <w:tabs>
          <w:tab w:val="clear" w:pos="720"/>
          <w:tab w:val="num" w:pos="360"/>
        </w:tabs>
        <w:spacing w:after="0"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eastAsia="ru-RU"/>
        </w:rPr>
        <w:t>"Делойт". (2022). Преимущество аналитики: Аналитические данные предприятий, основанных на данных.</w:t>
      </w:r>
    </w:p>
    <w:p w14:paraId="4D2D2718" w14:textId="77777777" w:rsidR="00921B3B" w:rsidRPr="00921B3B" w:rsidRDefault="00921B3B" w:rsidP="00AD58CD">
      <w:pPr>
        <w:numPr>
          <w:ilvl w:val="0"/>
          <w:numId w:val="136"/>
        </w:numPr>
        <w:tabs>
          <w:tab w:val="clear" w:pos="720"/>
          <w:tab w:val="num" w:pos="360"/>
        </w:tabs>
        <w:spacing w:before="100" w:beforeAutospacing="1" w:after="100" w:afterAutospacing="1"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eastAsia="ru-RU"/>
        </w:rPr>
        <w:t xml:space="preserve">Годовой отчет </w:t>
      </w:r>
      <w:r w:rsidRPr="00921B3B">
        <w:rPr>
          <w:rFonts w:ascii="Times New Roman" w:eastAsia="Times New Roman" w:hAnsi="Times New Roman" w:cs="Times New Roman"/>
          <w:sz w:val="21"/>
          <w:szCs w:val="21"/>
          <w:lang w:val="en-US" w:eastAsia="ru-RU"/>
        </w:rPr>
        <w:t>Amazon</w:t>
      </w:r>
      <w:r w:rsidRPr="00921B3B">
        <w:rPr>
          <w:rFonts w:ascii="Times New Roman" w:eastAsia="Times New Roman" w:hAnsi="Times New Roman" w:cs="Times New Roman"/>
          <w:sz w:val="21"/>
          <w:szCs w:val="21"/>
          <w:lang w:eastAsia="ru-RU"/>
        </w:rPr>
        <w:t xml:space="preserve"> (2023). Искусственный интеллект и стратегии персонализации.</w:t>
      </w:r>
    </w:p>
    <w:p w14:paraId="58418F2C" w14:textId="77777777" w:rsidR="00921B3B" w:rsidRPr="00921B3B" w:rsidRDefault="00921B3B" w:rsidP="00AD58CD">
      <w:pPr>
        <w:numPr>
          <w:ilvl w:val="0"/>
          <w:numId w:val="136"/>
        </w:numPr>
        <w:tabs>
          <w:tab w:val="clear" w:pos="720"/>
          <w:tab w:val="num" w:pos="360"/>
        </w:tabs>
        <w:spacing w:before="100" w:beforeAutospacing="1" w:after="100" w:afterAutospacing="1"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val="en-US" w:eastAsia="ru-RU"/>
        </w:rPr>
        <w:t>Tesla</w:t>
      </w:r>
      <w:r w:rsidRPr="00921B3B">
        <w:rPr>
          <w:rFonts w:ascii="Times New Roman" w:eastAsia="Times New Roman" w:hAnsi="Times New Roman" w:cs="Times New Roman"/>
          <w:sz w:val="21"/>
          <w:szCs w:val="21"/>
          <w:lang w:eastAsia="ru-RU"/>
        </w:rPr>
        <w:t>. (2023). Интернет вещей на производстве: практический пример.</w:t>
      </w:r>
    </w:p>
    <w:p w14:paraId="661E6173" w14:textId="77777777" w:rsidR="00921B3B" w:rsidRPr="00921B3B" w:rsidRDefault="00921B3B" w:rsidP="00AD58CD">
      <w:pPr>
        <w:numPr>
          <w:ilvl w:val="0"/>
          <w:numId w:val="136"/>
        </w:numPr>
        <w:tabs>
          <w:tab w:val="clear" w:pos="720"/>
          <w:tab w:val="num" w:pos="360"/>
        </w:tabs>
        <w:spacing w:before="100" w:beforeAutospacing="1" w:after="100" w:afterAutospacing="1" w:line="240" w:lineRule="auto"/>
        <w:ind w:hanging="720"/>
        <w:jc w:val="both"/>
        <w:rPr>
          <w:rFonts w:ascii="Times New Roman" w:eastAsia="Times New Roman" w:hAnsi="Times New Roman" w:cs="Times New Roman"/>
          <w:sz w:val="21"/>
          <w:szCs w:val="21"/>
          <w:lang w:eastAsia="ru-RU"/>
        </w:rPr>
      </w:pPr>
      <w:r w:rsidRPr="00921B3B">
        <w:rPr>
          <w:rFonts w:ascii="Times New Roman" w:eastAsia="Times New Roman" w:hAnsi="Times New Roman" w:cs="Times New Roman"/>
          <w:sz w:val="21"/>
          <w:szCs w:val="21"/>
          <w:lang w:val="en-US" w:eastAsia="ru-RU"/>
        </w:rPr>
        <w:t>Unilever</w:t>
      </w:r>
      <w:r w:rsidRPr="00921B3B">
        <w:rPr>
          <w:rFonts w:ascii="Times New Roman" w:eastAsia="Times New Roman" w:hAnsi="Times New Roman" w:cs="Times New Roman"/>
          <w:sz w:val="21"/>
          <w:szCs w:val="21"/>
          <w:lang w:eastAsia="ru-RU"/>
        </w:rPr>
        <w:t>. (2022). Прогнозная аналитика в оптимизации цепочки поставок.</w:t>
      </w:r>
    </w:p>
    <w:p w14:paraId="01A734AE" w14:textId="3E573E4F" w:rsidR="00A76D28" w:rsidRPr="00A76D28" w:rsidRDefault="00A76D28" w:rsidP="00A76D28">
      <w:pPr>
        <w:spacing w:after="0" w:line="240" w:lineRule="auto"/>
        <w:ind w:firstLine="567"/>
        <w:jc w:val="both"/>
        <w:rPr>
          <w:rFonts w:ascii="Times New Roman" w:eastAsia="Aptos" w:hAnsi="Times New Roman" w:cs="Times New Roman"/>
          <w:b/>
          <w:bCs/>
          <w:kern w:val="2"/>
          <w:sz w:val="21"/>
          <w:szCs w:val="32"/>
          <w14:ligatures w14:val="standardContextual"/>
        </w:rPr>
      </w:pPr>
    </w:p>
    <w:p w14:paraId="069CA7B2"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14:ligatures w14:val="standardContextual"/>
        </w:rPr>
      </w:pPr>
      <w:r w:rsidRPr="00A76D28">
        <w:rPr>
          <w:rFonts w:ascii="Times New Roman" w:eastAsia="Aptos" w:hAnsi="Times New Roman" w:cs="Times New Roman"/>
          <w:b/>
          <w:bCs/>
          <w:i/>
          <w:iCs/>
          <w:kern w:val="2"/>
          <w:sz w:val="21"/>
          <w:szCs w:val="32"/>
          <w14:ligatures w14:val="standardContextual"/>
        </w:rPr>
        <w:t xml:space="preserve">Кондратов Д.В., </w:t>
      </w:r>
    </w:p>
    <w:p w14:paraId="42D9F8C9"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 xml:space="preserve">студент 2 курса </w:t>
      </w:r>
    </w:p>
    <w:p w14:paraId="3F2A00EF"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ФГОБУ ВО «Финансовый университет при Правительстве Российской Федерации» Краснодарский филиал</w:t>
      </w:r>
    </w:p>
    <w:p w14:paraId="4972971B"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г. Краснодар, Россия</w:t>
      </w:r>
    </w:p>
    <w:p w14:paraId="4C1BCF2F"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е-mail: daniilkon55@gmail.com</w:t>
      </w:r>
    </w:p>
    <w:p w14:paraId="61E818E3"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p>
    <w:p w14:paraId="200F9C00"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14:ligatures w14:val="standardContextual"/>
        </w:rPr>
      </w:pPr>
      <w:r w:rsidRPr="00A76D28">
        <w:rPr>
          <w:rFonts w:ascii="Times New Roman" w:eastAsia="Aptos" w:hAnsi="Times New Roman" w:cs="Times New Roman"/>
          <w:b/>
          <w:bCs/>
          <w:i/>
          <w:iCs/>
          <w:kern w:val="2"/>
          <w:sz w:val="21"/>
          <w:szCs w:val="32"/>
          <w14:ligatures w14:val="standardContextual"/>
        </w:rPr>
        <w:t>Научный руководитель:</w:t>
      </w:r>
    </w:p>
    <w:p w14:paraId="11E0762F"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14:ligatures w14:val="standardContextual"/>
        </w:rPr>
      </w:pPr>
      <w:r w:rsidRPr="00A76D28">
        <w:rPr>
          <w:rFonts w:ascii="Times New Roman" w:eastAsia="Aptos" w:hAnsi="Times New Roman" w:cs="Times New Roman"/>
          <w:b/>
          <w:bCs/>
          <w:i/>
          <w:iCs/>
          <w:kern w:val="2"/>
          <w:sz w:val="21"/>
          <w:szCs w:val="32"/>
          <w14:ligatures w14:val="standardContextual"/>
        </w:rPr>
        <w:t>Ищенко О.В.,</w:t>
      </w:r>
    </w:p>
    <w:p w14:paraId="28D9EA89"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ФГОБУ ВО «Финансовый университет при Правительстве Российской Федерации» Краснодарский филиал</w:t>
      </w:r>
    </w:p>
    <w:p w14:paraId="4B07566C"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г. Краснодар, Россия</w:t>
      </w:r>
    </w:p>
    <w:p w14:paraId="738B401A"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14:ligatures w14:val="standardContextual"/>
        </w:rPr>
      </w:pPr>
      <w:r w:rsidRPr="00A76D28">
        <w:rPr>
          <w:rFonts w:ascii="Times New Roman" w:eastAsia="Aptos" w:hAnsi="Times New Roman" w:cs="Times New Roman"/>
          <w:i/>
          <w:iCs/>
          <w:kern w:val="2"/>
          <w:sz w:val="21"/>
          <w:szCs w:val="32"/>
          <w14:ligatures w14:val="standardContextual"/>
        </w:rPr>
        <w:t>е-mail: OVIshchenko@fa.ru</w:t>
      </w:r>
    </w:p>
    <w:p w14:paraId="4027219A"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p>
    <w:p w14:paraId="3840EA09" w14:textId="77777777" w:rsidR="00A76D28" w:rsidRPr="00A76D28" w:rsidRDefault="00A76D28" w:rsidP="00A76D28">
      <w:pPr>
        <w:spacing w:after="0" w:line="240" w:lineRule="auto"/>
        <w:jc w:val="center"/>
        <w:rPr>
          <w:rFonts w:ascii="Times New Roman" w:eastAsia="Aptos" w:hAnsi="Times New Roman" w:cs="Times New Roman"/>
          <w:b/>
          <w:bCs/>
          <w:kern w:val="2"/>
          <w:sz w:val="21"/>
          <w:szCs w:val="32"/>
          <w14:ligatures w14:val="standardContextual"/>
        </w:rPr>
      </w:pPr>
      <w:r w:rsidRPr="00A76D28">
        <w:rPr>
          <w:rFonts w:ascii="Times New Roman" w:eastAsia="Aptos" w:hAnsi="Times New Roman" w:cs="Times New Roman"/>
          <w:b/>
          <w:bCs/>
          <w:kern w:val="2"/>
          <w:sz w:val="21"/>
          <w:szCs w:val="32"/>
          <w14:ligatures w14:val="standardContextual"/>
        </w:rPr>
        <w:t>Автоматизация и оптимизация бизнес-процессов на основе технологий искусственного интеллекта</w:t>
      </w:r>
    </w:p>
    <w:p w14:paraId="2D5F33FC"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p>
    <w:p w14:paraId="385A26C9"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b/>
          <w:bCs/>
          <w:kern w:val="2"/>
          <w:sz w:val="21"/>
          <w:szCs w:val="32"/>
          <w14:ligatures w14:val="standardContextual"/>
        </w:rPr>
        <w:t>Аннотация</w:t>
      </w:r>
      <w:r w:rsidRPr="00A76D28">
        <w:rPr>
          <w:rFonts w:ascii="Times New Roman" w:eastAsia="Aptos" w:hAnsi="Times New Roman" w:cs="Times New Roman"/>
          <w:kern w:val="2"/>
          <w:sz w:val="21"/>
          <w:szCs w:val="32"/>
          <w14:ligatures w14:val="standardContextual"/>
        </w:rPr>
        <w:t xml:space="preserve">: Современный бизнес стремительно меняется, и искусственный интеллект становится ключевым инструментом в этой трансформации. В статье рассматривается, как технологии ИИ помогают компаниям автоматизировать процессы, повышать эффективность и снижать затраты. Разбираются реальные примеры из нефтегазовой отрасли, финансового сектора, здравоохранения и ритейла, показывающие ощутимую экономическую выгоду от внедрения ИИ. </w:t>
      </w:r>
    </w:p>
    <w:p w14:paraId="758EB77F"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b/>
          <w:bCs/>
          <w:kern w:val="2"/>
          <w:sz w:val="21"/>
          <w:szCs w:val="32"/>
          <w14:ligatures w14:val="standardContextual"/>
        </w:rPr>
        <w:t>Ключевые слова:</w:t>
      </w:r>
      <w:r w:rsidRPr="00A76D28">
        <w:rPr>
          <w:rFonts w:ascii="Times New Roman" w:eastAsia="Aptos" w:hAnsi="Times New Roman" w:cs="Times New Roman"/>
          <w:kern w:val="2"/>
          <w:sz w:val="21"/>
          <w:szCs w:val="32"/>
          <w14:ligatures w14:val="standardContextual"/>
        </w:rPr>
        <w:t xml:space="preserve"> искусственный интеллект, автоматизация бизнеса, машинное обучение, экономическая эффективность.</w:t>
      </w:r>
    </w:p>
    <w:p w14:paraId="7F22721A"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p>
    <w:p w14:paraId="67805018"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lang w:val="en-US"/>
          <w14:ligatures w14:val="standardContextual"/>
        </w:rPr>
      </w:pPr>
      <w:r w:rsidRPr="00A76D28">
        <w:rPr>
          <w:rFonts w:ascii="Times New Roman" w:eastAsia="Aptos" w:hAnsi="Times New Roman" w:cs="Times New Roman"/>
          <w:b/>
          <w:bCs/>
          <w:i/>
          <w:iCs/>
          <w:kern w:val="2"/>
          <w:sz w:val="21"/>
          <w:szCs w:val="32"/>
          <w:lang w:val="en-US"/>
          <w14:ligatures w14:val="standardContextual"/>
        </w:rPr>
        <w:t>Kondratov D.V.,</w:t>
      </w:r>
    </w:p>
    <w:p w14:paraId="408DA447"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lang w:val="en-US"/>
          <w14:ligatures w14:val="standardContextual"/>
        </w:rPr>
        <w:t xml:space="preserve">student, 2 courses </w:t>
      </w:r>
    </w:p>
    <w:p w14:paraId="14E3FF6D"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lang w:val="en-US"/>
          <w14:ligatures w14:val="standardContextual"/>
        </w:rPr>
        <w:t>FSBEI HE "Financial University under the Government of the Russian Federation" Krasnodar branch</w:t>
      </w:r>
    </w:p>
    <w:p w14:paraId="09CAC4F4"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lang w:val="en-US"/>
          <w14:ligatures w14:val="standardContextual"/>
        </w:rPr>
        <w:t>Krasnodar, Russia</w:t>
      </w:r>
    </w:p>
    <w:p w14:paraId="42F27BA3"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14:ligatures w14:val="standardContextual"/>
        </w:rPr>
        <w:t>е</w:t>
      </w:r>
      <w:r w:rsidRPr="00A76D28">
        <w:rPr>
          <w:rFonts w:ascii="Times New Roman" w:eastAsia="Aptos" w:hAnsi="Times New Roman" w:cs="Times New Roman"/>
          <w:i/>
          <w:iCs/>
          <w:kern w:val="2"/>
          <w:sz w:val="21"/>
          <w:szCs w:val="32"/>
          <w:lang w:val="en-US"/>
          <w14:ligatures w14:val="standardContextual"/>
        </w:rPr>
        <w:t>-mail: daniilkon55@gmail.com</w:t>
      </w:r>
    </w:p>
    <w:p w14:paraId="6B7E027D"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p>
    <w:p w14:paraId="5C32734A"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lang w:val="en-US"/>
          <w14:ligatures w14:val="standardContextual"/>
        </w:rPr>
      </w:pPr>
      <w:r w:rsidRPr="00A76D28">
        <w:rPr>
          <w:rFonts w:ascii="Times New Roman" w:eastAsia="Aptos" w:hAnsi="Times New Roman" w:cs="Times New Roman"/>
          <w:b/>
          <w:bCs/>
          <w:i/>
          <w:iCs/>
          <w:kern w:val="2"/>
          <w:sz w:val="21"/>
          <w:szCs w:val="32"/>
          <w:lang w:val="en-US"/>
          <w14:ligatures w14:val="standardContextual"/>
        </w:rPr>
        <w:t>Scientific Adviser:</w:t>
      </w:r>
    </w:p>
    <w:p w14:paraId="167DBDB8" w14:textId="77777777" w:rsidR="00A76D28" w:rsidRPr="00A76D28" w:rsidRDefault="00A76D28" w:rsidP="00A76D28">
      <w:pPr>
        <w:spacing w:after="0" w:line="240" w:lineRule="auto"/>
        <w:ind w:firstLine="567"/>
        <w:jc w:val="right"/>
        <w:rPr>
          <w:rFonts w:ascii="Times New Roman" w:eastAsia="Aptos" w:hAnsi="Times New Roman" w:cs="Times New Roman"/>
          <w:b/>
          <w:bCs/>
          <w:i/>
          <w:iCs/>
          <w:kern w:val="2"/>
          <w:sz w:val="21"/>
          <w:szCs w:val="32"/>
          <w:lang w:val="en-US"/>
          <w14:ligatures w14:val="standardContextual"/>
        </w:rPr>
      </w:pPr>
      <w:r w:rsidRPr="00A76D28">
        <w:rPr>
          <w:rFonts w:ascii="Times New Roman" w:eastAsia="Aptos" w:hAnsi="Times New Roman" w:cs="Times New Roman"/>
          <w:b/>
          <w:bCs/>
          <w:i/>
          <w:iCs/>
          <w:kern w:val="2"/>
          <w:sz w:val="21"/>
          <w:szCs w:val="32"/>
          <w:lang w:val="en-US"/>
          <w14:ligatures w14:val="standardContextual"/>
        </w:rPr>
        <w:t xml:space="preserve">Ishchenko O.V., </w:t>
      </w:r>
    </w:p>
    <w:p w14:paraId="75357961"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lang w:val="en-US"/>
          <w14:ligatures w14:val="standardContextual"/>
        </w:rPr>
        <w:t>FSBEI HE "Financial University under the Government of the Russian Federation" Krasnodar branch</w:t>
      </w:r>
    </w:p>
    <w:p w14:paraId="1F7E6A83"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lang w:val="en-US"/>
          <w14:ligatures w14:val="standardContextual"/>
        </w:rPr>
        <w:t>Krasnodar, Russia</w:t>
      </w:r>
    </w:p>
    <w:p w14:paraId="4FC8E933" w14:textId="77777777" w:rsidR="00A76D28" w:rsidRPr="00A76D28" w:rsidRDefault="00A76D28" w:rsidP="00A76D28">
      <w:pPr>
        <w:spacing w:after="0" w:line="240" w:lineRule="auto"/>
        <w:ind w:firstLine="567"/>
        <w:jc w:val="right"/>
        <w:rPr>
          <w:rFonts w:ascii="Times New Roman" w:eastAsia="Aptos" w:hAnsi="Times New Roman" w:cs="Times New Roman"/>
          <w:i/>
          <w:iCs/>
          <w:kern w:val="2"/>
          <w:sz w:val="21"/>
          <w:szCs w:val="32"/>
          <w:lang w:val="en-US"/>
          <w14:ligatures w14:val="standardContextual"/>
        </w:rPr>
      </w:pPr>
      <w:r w:rsidRPr="00A76D28">
        <w:rPr>
          <w:rFonts w:ascii="Times New Roman" w:eastAsia="Aptos" w:hAnsi="Times New Roman" w:cs="Times New Roman"/>
          <w:i/>
          <w:iCs/>
          <w:kern w:val="2"/>
          <w:sz w:val="21"/>
          <w:szCs w:val="32"/>
          <w14:ligatures w14:val="standardContextual"/>
        </w:rPr>
        <w:t>е</w:t>
      </w:r>
      <w:r w:rsidRPr="00A76D28">
        <w:rPr>
          <w:rFonts w:ascii="Times New Roman" w:eastAsia="Aptos" w:hAnsi="Times New Roman" w:cs="Times New Roman"/>
          <w:i/>
          <w:iCs/>
          <w:kern w:val="2"/>
          <w:sz w:val="21"/>
          <w:szCs w:val="32"/>
          <w:lang w:val="en-US"/>
          <w14:ligatures w14:val="standardContextual"/>
        </w:rPr>
        <w:t>-mail: OVIshchenko@fa.ru</w:t>
      </w:r>
    </w:p>
    <w:p w14:paraId="69A7198C"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lang w:val="en-US"/>
          <w14:ligatures w14:val="standardContextual"/>
        </w:rPr>
      </w:pPr>
    </w:p>
    <w:p w14:paraId="4A8C0FC3" w14:textId="77777777" w:rsidR="00A76D28" w:rsidRPr="00A76D28" w:rsidRDefault="00A76D28" w:rsidP="00A76D28">
      <w:pPr>
        <w:spacing w:after="0" w:line="240" w:lineRule="auto"/>
        <w:jc w:val="center"/>
        <w:rPr>
          <w:rFonts w:ascii="Times New Roman" w:eastAsia="Aptos" w:hAnsi="Times New Roman" w:cs="Times New Roman"/>
          <w:b/>
          <w:bCs/>
          <w:kern w:val="2"/>
          <w:sz w:val="21"/>
          <w:szCs w:val="32"/>
          <w:lang w:val="en-US"/>
          <w14:ligatures w14:val="standardContextual"/>
        </w:rPr>
      </w:pPr>
      <w:r w:rsidRPr="00A76D28">
        <w:rPr>
          <w:rFonts w:ascii="Times New Roman" w:eastAsia="Aptos" w:hAnsi="Times New Roman" w:cs="Times New Roman"/>
          <w:b/>
          <w:bCs/>
          <w:kern w:val="2"/>
          <w:sz w:val="21"/>
          <w:szCs w:val="32"/>
          <w:lang w:val="en-US"/>
          <w14:ligatures w14:val="standardContextual"/>
        </w:rPr>
        <w:t>Automation and optimization of business processes based on artificial intelligence technologies</w:t>
      </w:r>
    </w:p>
    <w:p w14:paraId="7A458800"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lang w:val="en-US"/>
          <w14:ligatures w14:val="standardContextual"/>
        </w:rPr>
      </w:pPr>
    </w:p>
    <w:p w14:paraId="587F51DF"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lang w:val="en-US"/>
          <w14:ligatures w14:val="standardContextual"/>
        </w:rPr>
      </w:pPr>
      <w:r w:rsidRPr="00A76D28">
        <w:rPr>
          <w:rFonts w:ascii="Times New Roman" w:eastAsia="Aptos" w:hAnsi="Times New Roman" w:cs="Times New Roman"/>
          <w:b/>
          <w:bCs/>
          <w:kern w:val="2"/>
          <w:sz w:val="21"/>
          <w:szCs w:val="32"/>
          <w:lang w:val="en-US"/>
          <w14:ligatures w14:val="standardContextual"/>
        </w:rPr>
        <w:t>Abstract:</w:t>
      </w:r>
      <w:r w:rsidRPr="00A76D28">
        <w:rPr>
          <w:rFonts w:ascii="Times New Roman" w:eastAsia="Aptos" w:hAnsi="Times New Roman" w:cs="Times New Roman"/>
          <w:kern w:val="2"/>
          <w:sz w:val="21"/>
          <w:szCs w:val="32"/>
          <w:lang w:val="en-US"/>
          <w14:ligatures w14:val="standardContextual"/>
        </w:rPr>
        <w:t xml:space="preserve"> Modern business is rapidly changing, and artificial intelligence is becoming a key tool in this transformation. The article examines how AI technologies help companies automate processes, increase efficiency, and reduce costs. Real-world examples from the oil and gas industry, the financial sector, healthcare and retail are analyzed, showing tangible economic benefits from the introduction of AI. </w:t>
      </w:r>
    </w:p>
    <w:p w14:paraId="2774CB2E"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lang w:val="en-US"/>
          <w14:ligatures w14:val="standardContextual"/>
        </w:rPr>
      </w:pPr>
      <w:r w:rsidRPr="00A76D28">
        <w:rPr>
          <w:rFonts w:ascii="Times New Roman" w:eastAsia="Aptos" w:hAnsi="Times New Roman" w:cs="Times New Roman"/>
          <w:b/>
          <w:bCs/>
          <w:kern w:val="2"/>
          <w:sz w:val="21"/>
          <w:szCs w:val="32"/>
          <w:lang w:val="en-US"/>
          <w14:ligatures w14:val="standardContextual"/>
        </w:rPr>
        <w:t>Keywords</w:t>
      </w:r>
      <w:r w:rsidRPr="00A76D28">
        <w:rPr>
          <w:rFonts w:ascii="Times New Roman" w:eastAsia="Aptos" w:hAnsi="Times New Roman" w:cs="Times New Roman"/>
          <w:kern w:val="2"/>
          <w:sz w:val="21"/>
          <w:szCs w:val="32"/>
          <w:lang w:val="en-US"/>
          <w14:ligatures w14:val="standardContextual"/>
        </w:rPr>
        <w:t>: artificial intelligence, business automation, machine learning, economic efficiency.</w:t>
      </w:r>
    </w:p>
    <w:p w14:paraId="46A35E28" w14:textId="77777777" w:rsidR="00A76D28" w:rsidRPr="00A76D28" w:rsidRDefault="00A76D28" w:rsidP="00A76D28">
      <w:pPr>
        <w:spacing w:after="0" w:line="240" w:lineRule="auto"/>
        <w:ind w:firstLine="567"/>
        <w:jc w:val="both"/>
        <w:rPr>
          <w:rFonts w:ascii="Times New Roman" w:eastAsia="Aptos" w:hAnsi="Times New Roman" w:cs="Times New Roman"/>
          <w:b/>
          <w:bCs/>
          <w:kern w:val="2"/>
          <w:sz w:val="21"/>
          <w:szCs w:val="32"/>
          <w:lang w:val="en-US"/>
          <w14:ligatures w14:val="standardContextual"/>
        </w:rPr>
      </w:pPr>
    </w:p>
    <w:p w14:paraId="045FF21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 xml:space="preserve">Современные экономические реалии диктуют бизнесу необходимость постоянного совершенствования операционной деятельности. В условиях растущей конкуренции и динамично </w:t>
      </w:r>
      <w:r w:rsidRPr="00A76D28">
        <w:rPr>
          <w:rFonts w:ascii="Times New Roman" w:eastAsia="Aptos" w:hAnsi="Times New Roman" w:cs="Times New Roman"/>
          <w:kern w:val="2"/>
          <w:sz w:val="32"/>
          <w:szCs w:val="32"/>
          <w14:ligatures w14:val="standardContextual"/>
        </w:rPr>
        <w:lastRenderedPageBreak/>
        <w:t>меняющихся рыночных условий особую актуальность приобретают технологии искусственного интеллекта. Как свидетельствуют данные аналитической компании Gartner, к 2026 году порядка 50% организаций достигнут стадии зрелости, позволяющей полноценно интегрировать интеллектуальные системы в свои операционные модели [1]. Однако процесс внедрения ИИ-решений сопряжен с комплексом технических, организационных и этических вопросов, требующих детального рассмотрения.</w:t>
      </w:r>
    </w:p>
    <w:p w14:paraId="6FD6E964"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Искусственный интеллект как научная дисциплина представляет собой область компьютерных наук, ориентированную на создание систем, способных выполнять когнитивные функции, традиционно ассоциирующиеся с человеческим интеллектом. К числу таких функций относятся:</w:t>
      </w:r>
    </w:p>
    <w:p w14:paraId="22C4926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Анализ структурированных и неструктурированных данных</w:t>
      </w:r>
    </w:p>
    <w:p w14:paraId="6A310A4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Принятие решений в условиях неопределенности</w:t>
      </w:r>
    </w:p>
    <w:p w14:paraId="76641A9C"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Распознавание сложных паттернов</w:t>
      </w:r>
    </w:p>
    <w:p w14:paraId="795DC42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Исторический экскурс позволяет отметить, что концептуальные основы ИИ были заложены Аланом Тьюрингом, тогда как сам термин был введен в научный оборот Джоном Маккарти в 1956 году. В современной научной парадигме принято выделять два основных направления развития ИИ:</w:t>
      </w:r>
    </w:p>
    <w:p w14:paraId="1D3C467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Слабый (узкоспециализированный) ИИ, представленный системами с четко определенной функциональностью (чат-боты, рекомендательные системы)</w:t>
      </w:r>
    </w:p>
    <w:p w14:paraId="2C684C20"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Сильный (общий) ИИ - гипотетические системы, обладающие признаками сознания и способностью к абстрактному мышлению</w:t>
      </w:r>
    </w:p>
    <w:p w14:paraId="383D3BF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Практическое применение технологий искусственного интеллекта в бизнес-процессах осуществляется по трем основным направлениям [2]:</w:t>
      </w:r>
    </w:p>
    <w:p w14:paraId="20336D58"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Автоматизация рутинных операций. Реализуется посредством технологий роботизированной автоматизации процессов, позволяющих:</w:t>
      </w:r>
    </w:p>
    <w:p w14:paraId="6FF69C4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Оптимизировать документооборот</w:t>
      </w:r>
    </w:p>
    <w:p w14:paraId="62D69C1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Совершенствовать системы управления заказами</w:t>
      </w:r>
    </w:p>
    <w:p w14:paraId="5E3037FD"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Повышать эффективность складского учета</w:t>
      </w:r>
    </w:p>
    <w:p w14:paraId="7AE0BFD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Аналитическая обработка данных. Использование методов машинного обучения обеспечивает:</w:t>
      </w:r>
    </w:p>
    <w:p w14:paraId="1B2DBB7C"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Выявление скрытых зависимостей в больших данных (Big Data)</w:t>
      </w:r>
    </w:p>
    <w:p w14:paraId="447E460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Повышение точности прогнозирования рыночного спроса</w:t>
      </w:r>
    </w:p>
    <w:p w14:paraId="3B528843"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lastRenderedPageBreak/>
        <w:t>•</w:t>
      </w:r>
      <w:r w:rsidRPr="00A76D28">
        <w:rPr>
          <w:rFonts w:ascii="Times New Roman" w:eastAsia="Aptos" w:hAnsi="Times New Roman" w:cs="Times New Roman"/>
          <w:kern w:val="2"/>
          <w:sz w:val="32"/>
          <w:szCs w:val="32"/>
          <w14:ligatures w14:val="standardContextual"/>
        </w:rPr>
        <w:tab/>
        <w:t>Совершенствование систем риск-менеджмента</w:t>
      </w:r>
    </w:p>
    <w:p w14:paraId="684251D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Персонализация взаимодействия. Комбинация технологий обработки естественного языка и компьютерного зрения позволяет:</w:t>
      </w:r>
    </w:p>
    <w:p w14:paraId="534BC88E"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Создавать интерактивные чат-боты</w:t>
      </w:r>
    </w:p>
    <w:p w14:paraId="1D59C2A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Разрабатывать персонализированные рекомендательные системы</w:t>
      </w:r>
    </w:p>
    <w:p w14:paraId="178E77E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Повышать качество клиентского сервиса</w:t>
      </w:r>
    </w:p>
    <w:p w14:paraId="4F9AF24C"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Технологический ландшафт ИИ-решений</w:t>
      </w:r>
    </w:p>
    <w:p w14:paraId="064E207C"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Современный арсенал технологий искусственного интеллекта, применяемых для автоматизации бизнес-процессов, включает несколько ключевых компонентов [3]:</w:t>
      </w:r>
    </w:p>
    <w:p w14:paraId="7E40E47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Машинное обучение - алгоритмы анализируют данные, прогнозируя отток клиентов и оптимизируя логистику.</w:t>
      </w:r>
    </w:p>
    <w:p w14:paraId="1A89F55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Нейронные сети - помогают диагностировать заболевания по снимкам и выявлять мошенничество в банковских операциях.</w:t>
      </w:r>
    </w:p>
    <w:p w14:paraId="3995B5FD"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NLP (обработка естественного языка) - лежит в основе умных чат-ботов и систем анализа отзывов.</w:t>
      </w:r>
    </w:p>
    <w:p w14:paraId="3F738B45"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RPA - программные роботы автоматизируют рутинные операции, такие как обработка счетов, формирование отчётов.</w:t>
      </w:r>
    </w:p>
    <w:p w14:paraId="4EB2A02B"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Компьютерное зрение - контролирует качество продукции и обеспечивает безопасность через распознавание изображений.</w:t>
      </w:r>
    </w:p>
    <w:p w14:paraId="35B7841D"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Ниже приведены примеры отраслевого внедрения ИИ.</w:t>
      </w:r>
    </w:p>
    <w:p w14:paraId="5C5414FD"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1)</w:t>
      </w:r>
      <w:r w:rsidRPr="00A76D28">
        <w:rPr>
          <w:rFonts w:ascii="Times New Roman" w:eastAsia="Aptos" w:hAnsi="Times New Roman" w:cs="Times New Roman"/>
          <w:kern w:val="2"/>
          <w:sz w:val="32"/>
          <w:szCs w:val="32"/>
          <w14:ligatures w14:val="standardContextual"/>
        </w:rPr>
        <w:tab/>
        <w:t>Нефтегазовый сектор</w:t>
      </w:r>
    </w:p>
    <w:p w14:paraId="20B6208D"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Реализация проекта внедрения ИИ-технологий на производственных мощностях "Газпромнефть ИТО" позволила достичь следующих результатов [5]:</w:t>
      </w:r>
    </w:p>
    <w:p w14:paraId="060B979E"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Сокращение сроков строительства скважин на 5 дней</w:t>
      </w:r>
    </w:p>
    <w:p w14:paraId="05C44C70"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Оптимизация коммуникации с подрядными организациями</w:t>
      </w:r>
    </w:p>
    <w:p w14:paraId="56B51577"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Реализация системы мониторинга данных с датчиков в режиме реального времени</w:t>
      </w:r>
    </w:p>
    <w:p w14:paraId="7C055995"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Годовой экономический эффект: 41 млн рублей</w:t>
      </w:r>
    </w:p>
    <w:p w14:paraId="744AA3C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Срок окупаемости: 18 месяцев</w:t>
      </w:r>
    </w:p>
    <w:p w14:paraId="6E7A3D31"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2)</w:t>
      </w:r>
      <w:r w:rsidRPr="00A76D28">
        <w:rPr>
          <w:rFonts w:ascii="Times New Roman" w:eastAsia="Aptos" w:hAnsi="Times New Roman" w:cs="Times New Roman"/>
          <w:kern w:val="2"/>
          <w:sz w:val="32"/>
          <w:szCs w:val="32"/>
          <w14:ligatures w14:val="standardContextual"/>
        </w:rPr>
        <w:tab/>
        <w:t>Финансовая отрасль</w:t>
      </w:r>
    </w:p>
    <w:p w14:paraId="628A85A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Применение нейросетевых технологий в банковском секторе обеспечило [6]:</w:t>
      </w:r>
    </w:p>
    <w:p w14:paraId="77360D17"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Снижение потерь от мошеннических операций на 25%</w:t>
      </w:r>
    </w:p>
    <w:p w14:paraId="6FA118C0"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Точность кредитного скоринга на основе ML-моделей: 90%</w:t>
      </w:r>
    </w:p>
    <w:p w14:paraId="123F5F1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Реализация систем анализа транзакций в реальном времени</w:t>
      </w:r>
    </w:p>
    <w:p w14:paraId="242F80AC"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3)</w:t>
      </w:r>
      <w:r w:rsidRPr="00A76D28">
        <w:rPr>
          <w:rFonts w:ascii="Times New Roman" w:eastAsia="Aptos" w:hAnsi="Times New Roman" w:cs="Times New Roman"/>
          <w:kern w:val="2"/>
          <w:sz w:val="32"/>
          <w:szCs w:val="32"/>
          <w14:ligatures w14:val="standardContextual"/>
        </w:rPr>
        <w:tab/>
        <w:t>Сфера здравоохранения</w:t>
      </w:r>
    </w:p>
    <w:p w14:paraId="4D680A5E"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lastRenderedPageBreak/>
        <w:t>Внедрение ИИ-решений в медицинской практике характеризуется следующими достижениями [7]:</w:t>
      </w:r>
    </w:p>
    <w:p w14:paraId="2B62A7B8"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Анализ медицинских изображений для диагностики патологий</w:t>
      </w:r>
    </w:p>
    <w:p w14:paraId="02C90315"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Использование системы IBM Watson для подбора терапии в онкологии</w:t>
      </w:r>
    </w:p>
    <w:p w14:paraId="7487E9C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Применение виртуальных ассистентов для сбора симптоматики</w:t>
      </w:r>
    </w:p>
    <w:p w14:paraId="1D219859"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4)</w:t>
      </w:r>
      <w:r w:rsidRPr="00A76D28">
        <w:rPr>
          <w:rFonts w:ascii="Times New Roman" w:eastAsia="Aptos" w:hAnsi="Times New Roman" w:cs="Times New Roman"/>
          <w:kern w:val="2"/>
          <w:sz w:val="32"/>
          <w:szCs w:val="32"/>
          <w14:ligatures w14:val="standardContextual"/>
        </w:rPr>
        <w:tab/>
        <w:t>Розничная торговля</w:t>
      </w:r>
    </w:p>
    <w:p w14:paraId="2CDE595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Опыт компаний ритейл-сегмента демонстрирует [8]:</w:t>
      </w:r>
    </w:p>
    <w:p w14:paraId="69160B43"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Рост конверсии на 35% благодаря рекомендательным системам</w:t>
      </w:r>
    </w:p>
    <w:p w14:paraId="0DBAED13"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Совершенствование систем прогнозирования спроса</w:t>
      </w:r>
    </w:p>
    <w:p w14:paraId="57259C50"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Оптимизация логистики и управления запасами</w:t>
      </w:r>
    </w:p>
    <w:p w14:paraId="58EA7B8F"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Анализ показателей возврата инвестиций свидетельствует о значительном экономическом эффекте от внедрения ИИ-решений:</w:t>
      </w:r>
    </w:p>
    <w:p w14:paraId="3692F644"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5)</w:t>
      </w:r>
      <w:r w:rsidRPr="00A76D28">
        <w:rPr>
          <w:rFonts w:ascii="Times New Roman" w:eastAsia="Aptos" w:hAnsi="Times New Roman" w:cs="Times New Roman"/>
          <w:kern w:val="2"/>
          <w:sz w:val="32"/>
          <w:szCs w:val="32"/>
          <w14:ligatures w14:val="standardContextual"/>
        </w:rPr>
        <w:tab/>
        <w:t>Нефтегазовая отрасль [5]:</w:t>
      </w:r>
    </w:p>
    <w:p w14:paraId="3EFE55F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Объем инвестиций: 1,07 млн рублей</w:t>
      </w:r>
    </w:p>
    <w:p w14:paraId="3E348E3E"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Годовая экономия: 41 млн рублей</w:t>
      </w:r>
    </w:p>
    <w:p w14:paraId="0141AC21"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6)</w:t>
      </w:r>
      <w:r w:rsidRPr="00A76D28">
        <w:rPr>
          <w:rFonts w:ascii="Times New Roman" w:eastAsia="Aptos" w:hAnsi="Times New Roman" w:cs="Times New Roman"/>
          <w:kern w:val="2"/>
          <w:sz w:val="32"/>
          <w:szCs w:val="32"/>
          <w14:ligatures w14:val="standardContextual"/>
        </w:rPr>
        <w:tab/>
        <w:t>HR-менеджмент [9]:</w:t>
      </w:r>
    </w:p>
    <w:p w14:paraId="4F752C07"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Снижение затрат на рекрутинг: 30%</w:t>
      </w:r>
    </w:p>
    <w:p w14:paraId="5D26F1AB"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Оптимизация процессов подбора персонала</w:t>
      </w:r>
    </w:p>
    <w:p w14:paraId="3A120C5B"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7)</w:t>
      </w:r>
      <w:r w:rsidRPr="00A76D28">
        <w:rPr>
          <w:rFonts w:ascii="Times New Roman" w:eastAsia="Aptos" w:hAnsi="Times New Roman" w:cs="Times New Roman"/>
          <w:kern w:val="2"/>
          <w:sz w:val="32"/>
          <w:szCs w:val="32"/>
          <w14:ligatures w14:val="standardContextual"/>
        </w:rPr>
        <w:tab/>
        <w:t>Общеотраслевые показатели [1]:</w:t>
      </w:r>
    </w:p>
    <w:p w14:paraId="6170D3BA"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Сокращение операционных затрат: 20-30%</w:t>
      </w:r>
    </w:p>
    <w:p w14:paraId="40776A26"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Рост производительности: 15-25%</w:t>
      </w:r>
    </w:p>
    <w:p w14:paraId="40301D01"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w:t>
      </w:r>
      <w:r w:rsidRPr="00A76D28">
        <w:rPr>
          <w:rFonts w:ascii="Times New Roman" w:eastAsia="Aptos" w:hAnsi="Times New Roman" w:cs="Times New Roman"/>
          <w:kern w:val="2"/>
          <w:sz w:val="32"/>
          <w:szCs w:val="32"/>
          <w14:ligatures w14:val="standardContextual"/>
        </w:rPr>
        <w:tab/>
        <w:t>Повышение точности решений: 40%</w:t>
      </w:r>
    </w:p>
    <w:p w14:paraId="10D58A1B"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 xml:space="preserve">Внедрение искусственного интеллекта в бизнес-процессы </w:t>
      </w:r>
      <w:proofErr w:type="gramStart"/>
      <w:r w:rsidRPr="00A76D28">
        <w:rPr>
          <w:rFonts w:ascii="Times New Roman" w:eastAsia="Aptos" w:hAnsi="Times New Roman" w:cs="Times New Roman"/>
          <w:kern w:val="2"/>
          <w:sz w:val="32"/>
          <w:szCs w:val="32"/>
          <w14:ligatures w14:val="standardContextual"/>
        </w:rPr>
        <w:t>- это</w:t>
      </w:r>
      <w:proofErr w:type="gramEnd"/>
      <w:r w:rsidRPr="00A76D28">
        <w:rPr>
          <w:rFonts w:ascii="Times New Roman" w:eastAsia="Aptos" w:hAnsi="Times New Roman" w:cs="Times New Roman"/>
          <w:kern w:val="2"/>
          <w:sz w:val="32"/>
          <w:szCs w:val="32"/>
          <w14:ligatures w14:val="standardContextual"/>
        </w:rPr>
        <w:t xml:space="preserve"> не просто техническая задача, а комплексная трансформация, затрагивающая все уровни организации. На практике компании сталкиваются с рядом сложностей. Современные исследования показывают, что 44% компаний уже подвергались фишинг-атакам с использованием ИИ-технологий, что свидетельствует о возрастающей сложности киберугроз в цифровую эпоху [1]. Гораздо менее очевидны, но не менее важны этические аспекты. Алгоритмы могут воспроизводить предвзятость, например, при подборе персонала. Правовое поле тоже не поспевает за технологиями. В России развитие ИИ регулируется Указом Президента №490 от 2019 года с акцентом на защиту данных и цифровой суверенитет, тогда как в Евро Союзе общий регламент по защите данных устанавливает строгие требования к прозрачности обработки персональной информации и алгоритмических решений.</w:t>
      </w:r>
    </w:p>
    <w:p w14:paraId="6B1FE002"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lastRenderedPageBreak/>
        <w:t>Также по данным исследований, более половины компаний (54%) испытывают острую нехватку квалифицированных специалистов, способных эффективно работать с ИИ. Еще одной серьезной проблемой становится сопротивление персонала - каждый пятый сотрудник (21%) проявляет страх перед автоматизацией, опасаясь сокращения или необходимости осваивать новые сложные навыки.</w:t>
      </w:r>
    </w:p>
    <w:p w14:paraId="40E1A164"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Современный этап развития технологий искусственного интеллекта характеризуется их переходом из категории экспериментальных разработок в разряд обязательных элементов конкурентной стратегии бизнеса. Как демонстрирует практика, успешная имплементация ИИ-решений требует комплексного подхода, учитывающего технологические возможности, экономическую целесообразность и этическую ответственность</w:t>
      </w:r>
    </w:p>
    <w:p w14:paraId="2AF94C20" w14:textId="77777777" w:rsidR="00A76D28" w:rsidRPr="00A76D28" w:rsidRDefault="00A76D28" w:rsidP="00A76D28">
      <w:pPr>
        <w:spacing w:after="0" w:line="240" w:lineRule="auto"/>
        <w:ind w:firstLine="567"/>
        <w:jc w:val="both"/>
        <w:rPr>
          <w:rFonts w:ascii="Times New Roman" w:eastAsia="Aptos" w:hAnsi="Times New Roman" w:cs="Times New Roman"/>
          <w:kern w:val="2"/>
          <w:sz w:val="32"/>
          <w:szCs w:val="32"/>
          <w14:ligatures w14:val="standardContextual"/>
        </w:rPr>
      </w:pPr>
      <w:r w:rsidRPr="00A76D28">
        <w:rPr>
          <w:rFonts w:ascii="Times New Roman" w:eastAsia="Aptos" w:hAnsi="Times New Roman" w:cs="Times New Roman"/>
          <w:kern w:val="2"/>
          <w:sz w:val="32"/>
          <w:szCs w:val="32"/>
          <w14:ligatures w14:val="standardContextual"/>
        </w:rPr>
        <w:t>Компании, преодолевшие существующие барьеры внедрения, получают не только значительный рост операционной эффективности, но и устойчивые конкурентные преимущества в условиях цифровой трансформации. Перспективным направлением представляется развитие гибридных моделей, сочетающих возможности искусственного интеллекта с креативным и экспертным потенциалом человека.</w:t>
      </w:r>
    </w:p>
    <w:p w14:paraId="38EA3673" w14:textId="77777777" w:rsidR="00A76D28" w:rsidRPr="00A76D28" w:rsidRDefault="00A76D28" w:rsidP="00A76D28">
      <w:pPr>
        <w:spacing w:after="0" w:line="240" w:lineRule="auto"/>
        <w:ind w:firstLine="567"/>
        <w:jc w:val="both"/>
        <w:rPr>
          <w:rFonts w:ascii="Times New Roman" w:eastAsia="Aptos" w:hAnsi="Times New Roman" w:cs="Times New Roman"/>
          <w:b/>
          <w:bCs/>
          <w:kern w:val="2"/>
          <w:sz w:val="21"/>
          <w:szCs w:val="32"/>
          <w14:ligatures w14:val="standardContextual"/>
        </w:rPr>
      </w:pPr>
    </w:p>
    <w:p w14:paraId="0C37B6EB" w14:textId="77777777" w:rsidR="00A76D28" w:rsidRPr="00A76D28" w:rsidRDefault="00A76D28" w:rsidP="00A76D28">
      <w:pPr>
        <w:spacing w:after="0" w:line="240" w:lineRule="auto"/>
        <w:ind w:firstLine="567"/>
        <w:jc w:val="center"/>
        <w:rPr>
          <w:rFonts w:ascii="Times New Roman" w:eastAsia="Aptos" w:hAnsi="Times New Roman" w:cs="Times New Roman"/>
          <w:b/>
          <w:bCs/>
          <w:kern w:val="2"/>
          <w:sz w:val="21"/>
          <w:szCs w:val="32"/>
          <w14:ligatures w14:val="standardContextual"/>
        </w:rPr>
      </w:pPr>
      <w:r w:rsidRPr="00A76D28">
        <w:rPr>
          <w:rFonts w:ascii="Times New Roman" w:eastAsia="Aptos" w:hAnsi="Times New Roman" w:cs="Times New Roman"/>
          <w:b/>
          <w:bCs/>
          <w:kern w:val="2"/>
          <w:sz w:val="21"/>
          <w:szCs w:val="32"/>
          <w14:ligatures w14:val="standardContextual"/>
        </w:rPr>
        <w:t>Литература:</w:t>
      </w:r>
    </w:p>
    <w:p w14:paraId="50710061"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b/>
          <w:bCs/>
          <w:kern w:val="2"/>
          <w:sz w:val="21"/>
          <w:szCs w:val="32"/>
          <w14:ligatures w14:val="standardContextual"/>
        </w:rPr>
        <w:t>1.</w:t>
      </w:r>
      <w:r w:rsidRPr="00A76D28">
        <w:rPr>
          <w:rFonts w:ascii="Times New Roman" w:eastAsia="Aptos" w:hAnsi="Times New Roman" w:cs="Times New Roman"/>
          <w:b/>
          <w:bCs/>
          <w:kern w:val="2"/>
          <w:sz w:val="21"/>
          <w:szCs w:val="32"/>
          <w14:ligatures w14:val="standardContextual"/>
        </w:rPr>
        <w:tab/>
      </w:r>
      <w:r w:rsidRPr="00A76D28">
        <w:rPr>
          <w:rFonts w:ascii="Times New Roman" w:eastAsia="Aptos" w:hAnsi="Times New Roman" w:cs="Times New Roman"/>
          <w:kern w:val="2"/>
          <w:sz w:val="21"/>
          <w:szCs w:val="32"/>
          <w14:ligatures w14:val="standardContextual"/>
        </w:rPr>
        <w:t>Gartner. "Прогнозы развития искусственного интеллекта до 2026 года". 2023.</w:t>
      </w:r>
    </w:p>
    <w:p w14:paraId="1A286D1F"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2.</w:t>
      </w:r>
      <w:r w:rsidRPr="00A76D28">
        <w:rPr>
          <w:rFonts w:ascii="Times New Roman" w:eastAsia="Aptos" w:hAnsi="Times New Roman" w:cs="Times New Roman"/>
          <w:kern w:val="2"/>
          <w:sz w:val="21"/>
          <w:szCs w:val="32"/>
          <w14:ligatures w14:val="standardContextual"/>
        </w:rPr>
        <w:tab/>
        <w:t>Accenture. "Технологическое видение 2022: ИИ как драйвер трансформации бизнеса". 2022.</w:t>
      </w:r>
    </w:p>
    <w:p w14:paraId="1BEEF69C"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3.</w:t>
      </w:r>
      <w:r w:rsidRPr="00A76D28">
        <w:rPr>
          <w:rFonts w:ascii="Times New Roman" w:eastAsia="Aptos" w:hAnsi="Times New Roman" w:cs="Times New Roman"/>
          <w:kern w:val="2"/>
          <w:sz w:val="21"/>
          <w:szCs w:val="32"/>
          <w14:ligatures w14:val="standardContextual"/>
        </w:rPr>
        <w:tab/>
        <w:t>PwC. "Искусственный интеллект в бизнесе: глобальное исследование 2023".</w:t>
      </w:r>
    </w:p>
    <w:p w14:paraId="397788ED"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4.</w:t>
      </w:r>
      <w:r w:rsidRPr="00A76D28">
        <w:rPr>
          <w:rFonts w:ascii="Times New Roman" w:eastAsia="Aptos" w:hAnsi="Times New Roman" w:cs="Times New Roman"/>
          <w:kern w:val="2"/>
          <w:sz w:val="21"/>
          <w:szCs w:val="32"/>
          <w14:ligatures w14:val="standardContextual"/>
        </w:rPr>
        <w:tab/>
        <w:t>Deloitte. "Состояние ИИ в бизнесе: 4-е издание". 2022.</w:t>
      </w:r>
    </w:p>
    <w:p w14:paraId="39CCC62A"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5.</w:t>
      </w:r>
      <w:r w:rsidRPr="00A76D28">
        <w:rPr>
          <w:rFonts w:ascii="Times New Roman" w:eastAsia="Aptos" w:hAnsi="Times New Roman" w:cs="Times New Roman"/>
          <w:kern w:val="2"/>
          <w:sz w:val="21"/>
          <w:szCs w:val="32"/>
          <w14:ligatures w14:val="standardContextual"/>
        </w:rPr>
        <w:tab/>
        <w:t>ПАО "Газпром нефть". Годовой отчет 2022: Цифровая трансформация.</w:t>
      </w:r>
    </w:p>
    <w:p w14:paraId="7FDAF978"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6.</w:t>
      </w:r>
      <w:r w:rsidRPr="00A76D28">
        <w:rPr>
          <w:rFonts w:ascii="Times New Roman" w:eastAsia="Aptos" w:hAnsi="Times New Roman" w:cs="Times New Roman"/>
          <w:kern w:val="2"/>
          <w:sz w:val="21"/>
          <w:szCs w:val="32"/>
          <w14:ligatures w14:val="standardContextual"/>
        </w:rPr>
        <w:tab/>
        <w:t>McKinsey Digital. "Трансформация розничной торговли с помощью ИИ". 2023.</w:t>
      </w:r>
    </w:p>
    <w:p w14:paraId="0EA163FD"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7.</w:t>
      </w:r>
      <w:r w:rsidRPr="00A76D28">
        <w:rPr>
          <w:rFonts w:ascii="Times New Roman" w:eastAsia="Aptos" w:hAnsi="Times New Roman" w:cs="Times New Roman"/>
          <w:kern w:val="2"/>
          <w:sz w:val="21"/>
          <w:szCs w:val="32"/>
          <w14:ligatures w14:val="standardContextual"/>
        </w:rPr>
        <w:tab/>
        <w:t>IBM. "Кейсы применения Watson AI в здравоохранении". 2023.</w:t>
      </w:r>
    </w:p>
    <w:p w14:paraId="608589E5"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8.</w:t>
      </w:r>
      <w:r w:rsidRPr="00A76D28">
        <w:rPr>
          <w:rFonts w:ascii="Times New Roman" w:eastAsia="Aptos" w:hAnsi="Times New Roman" w:cs="Times New Roman"/>
          <w:kern w:val="2"/>
          <w:sz w:val="21"/>
          <w:szCs w:val="32"/>
          <w14:ligatures w14:val="standardContextual"/>
        </w:rPr>
        <w:tab/>
        <w:t>Harvard Business Review Россия. "Генеративный ИИ в современном бизнесе". 2023.</w:t>
      </w:r>
    </w:p>
    <w:p w14:paraId="7E07FDBD" w14:textId="77777777" w:rsidR="00A76D28" w:rsidRPr="00A76D28" w:rsidRDefault="00A76D28" w:rsidP="00A76D28">
      <w:pPr>
        <w:spacing w:after="0" w:line="240" w:lineRule="auto"/>
        <w:ind w:firstLine="567"/>
        <w:jc w:val="both"/>
        <w:rPr>
          <w:rFonts w:ascii="Times New Roman" w:eastAsia="Aptos" w:hAnsi="Times New Roman" w:cs="Times New Roman"/>
          <w:kern w:val="2"/>
          <w:sz w:val="21"/>
          <w:szCs w:val="32"/>
          <w14:ligatures w14:val="standardContextual"/>
        </w:rPr>
      </w:pPr>
      <w:r w:rsidRPr="00A76D28">
        <w:rPr>
          <w:rFonts w:ascii="Times New Roman" w:eastAsia="Aptos" w:hAnsi="Times New Roman" w:cs="Times New Roman"/>
          <w:kern w:val="2"/>
          <w:sz w:val="21"/>
          <w:szCs w:val="32"/>
          <w14:ligatures w14:val="standardContextual"/>
        </w:rPr>
        <w:t>9.</w:t>
      </w:r>
      <w:r w:rsidRPr="00A76D28">
        <w:rPr>
          <w:rFonts w:ascii="Times New Roman" w:eastAsia="Aptos" w:hAnsi="Times New Roman" w:cs="Times New Roman"/>
          <w:kern w:val="2"/>
          <w:sz w:val="21"/>
          <w:szCs w:val="32"/>
          <w14:ligatures w14:val="standardContextual"/>
        </w:rPr>
        <w:tab/>
        <w:t>LinkedIn. "Отчет об обучении на рабочем месте 2023: ИИ в HR".</w:t>
      </w:r>
    </w:p>
    <w:p w14:paraId="2BD2F756" w14:textId="618F30ED" w:rsidR="005C518B" w:rsidRDefault="005C518B" w:rsidP="00A8124B">
      <w:pPr>
        <w:tabs>
          <w:tab w:val="left" w:pos="993"/>
        </w:tabs>
        <w:spacing w:after="0" w:line="276" w:lineRule="auto"/>
        <w:jc w:val="both"/>
        <w:rPr>
          <w:rFonts w:ascii="Times New Roman" w:eastAsia="Times New Roman" w:hAnsi="Times New Roman" w:cs="Times New Roman"/>
          <w:color w:val="000000"/>
          <w:sz w:val="21"/>
          <w:szCs w:val="21"/>
          <w:lang w:eastAsia="ar-SA"/>
        </w:rPr>
      </w:pPr>
    </w:p>
    <w:p w14:paraId="0BCA33CA" w14:textId="77777777" w:rsidR="00F231FD" w:rsidRPr="00F231FD" w:rsidRDefault="00F231FD" w:rsidP="00FA6966">
      <w:pPr>
        <w:spacing w:after="0" w:line="240" w:lineRule="auto"/>
        <w:jc w:val="both"/>
        <w:rPr>
          <w:rFonts w:ascii="Times New Roman" w:eastAsia="Calibri" w:hAnsi="Times New Roman" w:cs="Times New Roman"/>
          <w:b/>
          <w:bCs/>
          <w:sz w:val="21"/>
          <w:szCs w:val="21"/>
        </w:rPr>
      </w:pPr>
      <w:r w:rsidRPr="00F231FD">
        <w:rPr>
          <w:rFonts w:ascii="Times New Roman" w:eastAsia="Calibri" w:hAnsi="Times New Roman" w:cs="Times New Roman"/>
          <w:b/>
          <w:bCs/>
          <w:sz w:val="21"/>
          <w:szCs w:val="21"/>
        </w:rPr>
        <w:t>УДК 004:65</w:t>
      </w:r>
    </w:p>
    <w:p w14:paraId="67318181" w14:textId="77777777" w:rsidR="00F231FD" w:rsidRDefault="00F231FD" w:rsidP="00FA6966">
      <w:pPr>
        <w:spacing w:after="0" w:line="240" w:lineRule="auto"/>
        <w:contextualSpacing/>
        <w:jc w:val="right"/>
        <w:rPr>
          <w:rFonts w:ascii="Calibri" w:eastAsia="Calibri" w:hAnsi="Calibri" w:cs="Times New Roman"/>
        </w:rPr>
      </w:pPr>
      <w:r w:rsidRPr="00F231FD">
        <w:rPr>
          <w:rFonts w:ascii="Times New Roman" w:eastAsia="Calibri" w:hAnsi="Times New Roman" w:cs="Times New Roman"/>
          <w:b/>
          <w:bCs/>
          <w:i/>
          <w:iCs/>
          <w:sz w:val="21"/>
          <w:szCs w:val="21"/>
        </w:rPr>
        <w:t>Петров М.И.,</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студент 3 курса</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Финансовый университет при Правительстве Российской Федерации</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г. Краснодар, Россия</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lang w:val="en-US"/>
        </w:rPr>
        <w:t>e</w:t>
      </w:r>
      <w:r w:rsidRPr="00F231FD">
        <w:rPr>
          <w:rFonts w:ascii="Times New Roman" w:eastAsia="Calibri" w:hAnsi="Times New Roman" w:cs="Times New Roman"/>
          <w:i/>
          <w:iCs/>
          <w:sz w:val="21"/>
          <w:szCs w:val="21"/>
        </w:rPr>
        <w:t>-</w:t>
      </w:r>
      <w:r w:rsidRPr="00F231FD">
        <w:rPr>
          <w:rFonts w:ascii="Times New Roman" w:eastAsia="Calibri" w:hAnsi="Times New Roman" w:cs="Times New Roman"/>
          <w:i/>
          <w:iCs/>
          <w:sz w:val="21"/>
          <w:szCs w:val="21"/>
          <w:lang w:val="en-US"/>
        </w:rPr>
        <w:t>mail</w:t>
      </w:r>
      <w:r w:rsidRPr="00F231FD">
        <w:rPr>
          <w:rFonts w:ascii="Times New Roman" w:eastAsia="Calibri" w:hAnsi="Times New Roman" w:cs="Times New Roman"/>
          <w:i/>
          <w:iCs/>
          <w:sz w:val="21"/>
          <w:szCs w:val="21"/>
        </w:rPr>
        <w:t>:</w:t>
      </w:r>
      <w:r w:rsidRPr="00F231FD">
        <w:rPr>
          <w:rFonts w:ascii="Times New Roman" w:eastAsia="Calibri" w:hAnsi="Times New Roman" w:cs="Times New Roman"/>
          <w:i/>
          <w:iCs/>
          <w:sz w:val="21"/>
          <w:szCs w:val="21"/>
          <w:lang w:val="en-US"/>
        </w:rPr>
        <w:t> </w:t>
      </w:r>
      <w:hyperlink r:id="rId603" w:history="1">
        <w:r w:rsidRPr="00F231FD">
          <w:rPr>
            <w:rFonts w:ascii="Times New Roman" w:eastAsia="Calibri" w:hAnsi="Times New Roman" w:cs="Times New Roman"/>
            <w:i/>
            <w:iCs/>
            <w:color w:val="0563C1"/>
            <w:sz w:val="21"/>
            <w:szCs w:val="21"/>
            <w:u w:val="single"/>
            <w:lang w:val="en-US"/>
          </w:rPr>
          <w:t>popugan</w:t>
        </w:r>
        <w:r w:rsidRPr="00F231FD">
          <w:rPr>
            <w:rFonts w:ascii="Times New Roman" w:eastAsia="Calibri" w:hAnsi="Times New Roman" w:cs="Times New Roman"/>
            <w:i/>
            <w:iCs/>
            <w:color w:val="0563C1"/>
            <w:sz w:val="21"/>
            <w:szCs w:val="21"/>
            <w:u w:val="single"/>
          </w:rPr>
          <w:t>2013@</w:t>
        </w:r>
        <w:r w:rsidRPr="00F231FD">
          <w:rPr>
            <w:rFonts w:ascii="Times New Roman" w:eastAsia="Calibri" w:hAnsi="Times New Roman" w:cs="Times New Roman"/>
            <w:i/>
            <w:iCs/>
            <w:color w:val="0563C1"/>
            <w:sz w:val="21"/>
            <w:szCs w:val="21"/>
            <w:u w:val="single"/>
            <w:lang w:val="en-US"/>
          </w:rPr>
          <w:t>gmail</w:t>
        </w:r>
        <w:r w:rsidRPr="00F231FD">
          <w:rPr>
            <w:rFonts w:ascii="Times New Roman" w:eastAsia="Calibri" w:hAnsi="Times New Roman" w:cs="Times New Roman"/>
            <w:i/>
            <w:iCs/>
            <w:color w:val="0563C1"/>
            <w:sz w:val="21"/>
            <w:szCs w:val="21"/>
            <w:u w:val="single"/>
          </w:rPr>
          <w:t>.</w:t>
        </w:r>
        <w:r w:rsidRPr="00F231FD">
          <w:rPr>
            <w:rFonts w:ascii="Times New Roman" w:eastAsia="Calibri" w:hAnsi="Times New Roman" w:cs="Times New Roman"/>
            <w:i/>
            <w:iCs/>
            <w:color w:val="0563C1"/>
            <w:sz w:val="21"/>
            <w:szCs w:val="21"/>
            <w:u w:val="single"/>
            <w:lang w:val="en-US"/>
          </w:rPr>
          <w:t>com</w:t>
        </w:r>
      </w:hyperlink>
    </w:p>
    <w:p w14:paraId="01673916" w14:textId="77777777" w:rsidR="00FA6966" w:rsidRPr="00F231FD" w:rsidRDefault="00FA6966" w:rsidP="00FA6966">
      <w:pPr>
        <w:spacing w:after="0" w:line="240" w:lineRule="auto"/>
        <w:contextualSpacing/>
        <w:jc w:val="right"/>
        <w:rPr>
          <w:rFonts w:ascii="Times New Roman" w:eastAsia="Calibri" w:hAnsi="Times New Roman" w:cs="Times New Roman"/>
          <w:i/>
          <w:iCs/>
          <w:sz w:val="21"/>
          <w:szCs w:val="21"/>
        </w:rPr>
      </w:pPr>
    </w:p>
    <w:p w14:paraId="714229BF" w14:textId="77777777" w:rsidR="00F231FD" w:rsidRDefault="00F231FD" w:rsidP="00FA6966">
      <w:pPr>
        <w:spacing w:after="0" w:line="240" w:lineRule="auto"/>
        <w:contextualSpacing/>
        <w:jc w:val="right"/>
        <w:rPr>
          <w:rFonts w:ascii="Calibri" w:eastAsia="Calibri" w:hAnsi="Calibri" w:cs="Times New Roman"/>
        </w:rPr>
      </w:pPr>
      <w:r w:rsidRPr="00F231FD">
        <w:rPr>
          <w:rFonts w:ascii="Times New Roman" w:eastAsia="Calibri" w:hAnsi="Times New Roman" w:cs="Times New Roman"/>
          <w:b/>
          <w:bCs/>
          <w:i/>
          <w:iCs/>
          <w:sz w:val="21"/>
          <w:szCs w:val="21"/>
        </w:rPr>
        <w:t>Научный руководитель:</w:t>
      </w:r>
      <w:r w:rsidRPr="00F231FD">
        <w:rPr>
          <w:rFonts w:ascii="Times New Roman" w:eastAsia="Calibri" w:hAnsi="Times New Roman" w:cs="Times New Roman"/>
          <w:b/>
          <w:bCs/>
          <w:sz w:val="21"/>
          <w:szCs w:val="21"/>
        </w:rPr>
        <w:br/>
      </w:r>
      <w:r w:rsidRPr="00F231FD">
        <w:rPr>
          <w:rFonts w:ascii="Times New Roman" w:eastAsia="Calibri" w:hAnsi="Times New Roman" w:cs="Times New Roman"/>
          <w:b/>
          <w:bCs/>
          <w:i/>
          <w:iCs/>
          <w:sz w:val="21"/>
          <w:szCs w:val="21"/>
        </w:rPr>
        <w:t>Кобозева Е.М.,</w:t>
      </w:r>
      <w:r w:rsidRPr="00F231FD">
        <w:rPr>
          <w:rFonts w:ascii="Times New Roman" w:eastAsia="Calibri" w:hAnsi="Times New Roman" w:cs="Times New Roman"/>
          <w:b/>
          <w:bCs/>
          <w:sz w:val="21"/>
          <w:szCs w:val="21"/>
        </w:rPr>
        <w:br/>
      </w:r>
      <w:r w:rsidRPr="00F231FD">
        <w:rPr>
          <w:rFonts w:ascii="Times New Roman" w:eastAsia="Calibri" w:hAnsi="Times New Roman" w:cs="Times New Roman"/>
          <w:i/>
          <w:iCs/>
          <w:sz w:val="21"/>
          <w:szCs w:val="21"/>
        </w:rPr>
        <w:t>к.экон.н., доцент</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Финансовый университет при Правительстве Российской Федерации</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г. Краснодар, Россия</w:t>
      </w:r>
      <w:r w:rsidRPr="00F231FD">
        <w:rPr>
          <w:rFonts w:ascii="Times New Roman" w:eastAsia="Calibri" w:hAnsi="Times New Roman" w:cs="Times New Roman"/>
          <w:sz w:val="21"/>
          <w:szCs w:val="21"/>
        </w:rPr>
        <w:br/>
      </w:r>
      <w:r w:rsidRPr="00F231FD">
        <w:rPr>
          <w:rFonts w:ascii="Times New Roman" w:eastAsia="Calibri" w:hAnsi="Times New Roman" w:cs="Times New Roman"/>
          <w:i/>
          <w:iCs/>
          <w:sz w:val="21"/>
          <w:szCs w:val="21"/>
        </w:rPr>
        <w:t>е-mail: </w:t>
      </w:r>
      <w:hyperlink r:id="rId604" w:tgtFrame="_blank" w:history="1">
        <w:r w:rsidRPr="00F231FD">
          <w:rPr>
            <w:rFonts w:ascii="Times New Roman" w:eastAsia="Calibri" w:hAnsi="Times New Roman" w:cs="Times New Roman"/>
            <w:i/>
            <w:iCs/>
            <w:color w:val="0563C1"/>
            <w:sz w:val="21"/>
            <w:szCs w:val="21"/>
            <w:u w:val="single"/>
          </w:rPr>
          <w:t>alena.cobozeva@yandex.ru</w:t>
        </w:r>
      </w:hyperlink>
    </w:p>
    <w:p w14:paraId="2406F880" w14:textId="77777777" w:rsidR="00FA6966" w:rsidRPr="00F231FD" w:rsidRDefault="00FA6966" w:rsidP="00FA6966">
      <w:pPr>
        <w:spacing w:after="0" w:line="240" w:lineRule="auto"/>
        <w:contextualSpacing/>
        <w:jc w:val="right"/>
        <w:rPr>
          <w:rFonts w:ascii="Times New Roman" w:eastAsia="Calibri" w:hAnsi="Times New Roman" w:cs="Times New Roman"/>
          <w:sz w:val="21"/>
          <w:szCs w:val="21"/>
        </w:rPr>
      </w:pPr>
    </w:p>
    <w:p w14:paraId="12487635" w14:textId="77777777" w:rsidR="00F231FD" w:rsidRDefault="00F231FD" w:rsidP="00FA6966">
      <w:pPr>
        <w:spacing w:after="0" w:line="240" w:lineRule="auto"/>
        <w:jc w:val="center"/>
        <w:rPr>
          <w:rFonts w:ascii="Times New Roman" w:eastAsia="Calibri" w:hAnsi="Times New Roman" w:cs="Times New Roman"/>
          <w:b/>
          <w:bCs/>
          <w:sz w:val="21"/>
          <w:szCs w:val="21"/>
        </w:rPr>
      </w:pPr>
      <w:r w:rsidRPr="00F231FD">
        <w:rPr>
          <w:rFonts w:ascii="Times New Roman" w:eastAsia="Calibri" w:hAnsi="Times New Roman" w:cs="Times New Roman"/>
          <w:b/>
          <w:bCs/>
          <w:sz w:val="21"/>
          <w:szCs w:val="21"/>
        </w:rPr>
        <w:t>Блокчейн в складском учете: обеспечение прозрачности и надежности цепочек поставок</w:t>
      </w:r>
    </w:p>
    <w:p w14:paraId="299AE807" w14:textId="77777777" w:rsidR="00FA6966" w:rsidRDefault="00FA6966" w:rsidP="00FA6966">
      <w:pPr>
        <w:spacing w:after="0" w:line="240" w:lineRule="auto"/>
        <w:jc w:val="center"/>
        <w:rPr>
          <w:rFonts w:ascii="Times New Roman" w:eastAsia="Calibri" w:hAnsi="Times New Roman" w:cs="Times New Roman"/>
          <w:b/>
          <w:bCs/>
          <w:sz w:val="21"/>
          <w:szCs w:val="21"/>
        </w:rPr>
      </w:pPr>
    </w:p>
    <w:p w14:paraId="00EB7F70" w14:textId="77777777" w:rsidR="00F231FD" w:rsidRPr="00F231FD" w:rsidRDefault="00F231FD" w:rsidP="00FA6966">
      <w:pPr>
        <w:spacing w:after="0" w:line="240" w:lineRule="auto"/>
        <w:ind w:firstLine="709"/>
        <w:jc w:val="both"/>
        <w:rPr>
          <w:rFonts w:ascii="Times New Roman" w:eastAsia="Calibri" w:hAnsi="Times New Roman" w:cs="Times New Roman"/>
          <w:sz w:val="21"/>
          <w:szCs w:val="21"/>
        </w:rPr>
      </w:pPr>
      <w:r w:rsidRPr="00F231FD">
        <w:rPr>
          <w:rFonts w:ascii="Times New Roman" w:eastAsia="Calibri" w:hAnsi="Times New Roman" w:cs="Times New Roman"/>
          <w:b/>
          <w:bCs/>
          <w:sz w:val="21"/>
          <w:szCs w:val="21"/>
        </w:rPr>
        <w:lastRenderedPageBreak/>
        <w:t>Аннотация:</w:t>
      </w:r>
      <w:r w:rsidRPr="00F231FD">
        <w:rPr>
          <w:rFonts w:ascii="Times New Roman" w:eastAsia="Calibri" w:hAnsi="Times New Roman" w:cs="Times New Roman"/>
          <w:sz w:val="21"/>
          <w:szCs w:val="21"/>
        </w:rPr>
        <w:t xml:space="preserve"> В статье рассматриваются возможности применения блокчейн-технологии в складском учете с акцентом на повышение прозрачности и надежности цепочек поставок. Анализируются ключевые преимущества технологии, такие как децентрализация, неизменяемость данных и автоматизация через смарт-контракты. Приведены практические примеры внедрения, включая платформы IBM Food Trust, TradeLens и российские пилотные проекты. Подчеркивается важность комплексного подхода к оценке целесообразности внедрения блокчейна с учетом технологических, экономических и правовых факторов.</w:t>
      </w:r>
    </w:p>
    <w:p w14:paraId="6584974B" w14:textId="77777777" w:rsidR="00F231FD" w:rsidRDefault="00F231FD" w:rsidP="00FA6966">
      <w:pPr>
        <w:spacing w:after="0" w:line="240" w:lineRule="auto"/>
        <w:ind w:firstLine="709"/>
        <w:jc w:val="both"/>
        <w:rPr>
          <w:rFonts w:ascii="Times New Roman" w:eastAsia="Calibri" w:hAnsi="Times New Roman" w:cs="Times New Roman"/>
          <w:sz w:val="21"/>
          <w:szCs w:val="21"/>
        </w:rPr>
      </w:pPr>
      <w:r w:rsidRPr="00F231FD">
        <w:rPr>
          <w:rFonts w:ascii="Times New Roman" w:eastAsia="Calibri" w:hAnsi="Times New Roman" w:cs="Times New Roman"/>
          <w:b/>
          <w:bCs/>
          <w:sz w:val="21"/>
          <w:szCs w:val="21"/>
        </w:rPr>
        <w:t>Ключевые слова: </w:t>
      </w:r>
      <w:r w:rsidRPr="00F231FD">
        <w:rPr>
          <w:rFonts w:ascii="Times New Roman" w:eastAsia="Calibri" w:hAnsi="Times New Roman" w:cs="Times New Roman"/>
          <w:sz w:val="21"/>
          <w:szCs w:val="21"/>
        </w:rPr>
        <w:t>блокчейн, складской учет, цепочки поставок, прозрачность, смарт-контракты, логистика.</w:t>
      </w:r>
    </w:p>
    <w:p w14:paraId="1A5A6F25" w14:textId="77777777" w:rsidR="00FA6966" w:rsidRPr="00F231FD" w:rsidRDefault="00FA6966" w:rsidP="00FA6966">
      <w:pPr>
        <w:spacing w:after="0" w:line="240" w:lineRule="auto"/>
        <w:jc w:val="both"/>
        <w:rPr>
          <w:rFonts w:ascii="Times New Roman" w:eastAsia="Calibri" w:hAnsi="Times New Roman" w:cs="Times New Roman"/>
          <w:sz w:val="21"/>
          <w:szCs w:val="21"/>
        </w:rPr>
      </w:pPr>
    </w:p>
    <w:p w14:paraId="2AAD0D83" w14:textId="77777777" w:rsidR="00F231FD" w:rsidRPr="00C30970" w:rsidRDefault="00F231FD" w:rsidP="00FA6966">
      <w:pPr>
        <w:spacing w:after="0" w:line="240" w:lineRule="auto"/>
        <w:contextualSpacing/>
        <w:jc w:val="right"/>
        <w:rPr>
          <w:rFonts w:ascii="Calibri" w:eastAsia="Calibri" w:hAnsi="Calibri" w:cs="Times New Roman"/>
          <w:lang w:val="en-US"/>
        </w:rPr>
      </w:pPr>
      <w:r w:rsidRPr="00F231FD">
        <w:rPr>
          <w:rFonts w:ascii="Times New Roman" w:eastAsia="Calibri" w:hAnsi="Times New Roman" w:cs="Times New Roman"/>
          <w:b/>
          <w:bCs/>
          <w:i/>
          <w:iCs/>
          <w:sz w:val="21"/>
          <w:szCs w:val="21"/>
          <w:lang w:val="en-US"/>
        </w:rPr>
        <w:t>Petrov M.I..,</w:t>
      </w:r>
      <w:r w:rsidRPr="00F231FD">
        <w:rPr>
          <w:rFonts w:ascii="Times New Roman" w:eastAsia="Calibri" w:hAnsi="Times New Roman" w:cs="Times New Roman"/>
          <w:b/>
          <w:bCs/>
          <w:sz w:val="21"/>
          <w:szCs w:val="21"/>
          <w:lang w:val="en-US"/>
        </w:rPr>
        <w:br/>
      </w:r>
      <w:r w:rsidRPr="00F231FD">
        <w:rPr>
          <w:rFonts w:ascii="Times New Roman" w:eastAsia="Calibri" w:hAnsi="Times New Roman" w:cs="Times New Roman"/>
          <w:i/>
          <w:iCs/>
          <w:sz w:val="21"/>
          <w:szCs w:val="21"/>
          <w:lang w:val="en-US"/>
        </w:rPr>
        <w:t>3rd year student</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Financial University under the Government of the Russian Federation</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Krasnodar, Russia</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e-mail: </w:t>
      </w:r>
      <w:hyperlink r:id="rId605" w:history="1">
        <w:r w:rsidRPr="00F231FD">
          <w:rPr>
            <w:rFonts w:ascii="Times New Roman" w:eastAsia="Calibri" w:hAnsi="Times New Roman" w:cs="Times New Roman"/>
            <w:i/>
            <w:iCs/>
            <w:color w:val="0563C1"/>
            <w:sz w:val="21"/>
            <w:szCs w:val="21"/>
            <w:u w:val="single"/>
            <w:lang w:val="en-US"/>
          </w:rPr>
          <w:t>popugan2013@gmail.com</w:t>
        </w:r>
      </w:hyperlink>
    </w:p>
    <w:p w14:paraId="6F113920" w14:textId="77777777" w:rsidR="00FA6966" w:rsidRPr="00F231FD" w:rsidRDefault="00FA6966" w:rsidP="00FA6966">
      <w:pPr>
        <w:spacing w:after="0" w:line="240" w:lineRule="auto"/>
        <w:contextualSpacing/>
        <w:jc w:val="right"/>
        <w:rPr>
          <w:rFonts w:ascii="Times New Roman" w:eastAsia="Calibri" w:hAnsi="Times New Roman" w:cs="Times New Roman"/>
          <w:i/>
          <w:iCs/>
          <w:sz w:val="21"/>
          <w:szCs w:val="21"/>
          <w:lang w:val="en-US"/>
        </w:rPr>
      </w:pPr>
    </w:p>
    <w:p w14:paraId="4BEC23CB" w14:textId="77777777" w:rsidR="00F231FD" w:rsidRPr="00F231FD" w:rsidRDefault="00F231FD" w:rsidP="00FA6966">
      <w:pPr>
        <w:spacing w:after="0" w:line="240" w:lineRule="auto"/>
        <w:contextualSpacing/>
        <w:jc w:val="right"/>
        <w:rPr>
          <w:rFonts w:ascii="Times New Roman" w:eastAsia="Calibri" w:hAnsi="Times New Roman" w:cs="Times New Roman"/>
          <w:sz w:val="21"/>
          <w:szCs w:val="21"/>
          <w:lang w:val="en-US"/>
        </w:rPr>
      </w:pPr>
      <w:r w:rsidRPr="00F231FD">
        <w:rPr>
          <w:rFonts w:ascii="Times New Roman" w:eastAsia="Calibri" w:hAnsi="Times New Roman" w:cs="Times New Roman"/>
          <w:b/>
          <w:bCs/>
          <w:sz w:val="21"/>
          <w:szCs w:val="21"/>
          <w:lang w:val="en-US"/>
        </w:rPr>
        <w:t xml:space="preserve"> </w:t>
      </w:r>
      <w:r w:rsidRPr="00F231FD">
        <w:rPr>
          <w:rFonts w:ascii="Times New Roman" w:eastAsia="Calibri" w:hAnsi="Times New Roman" w:cs="Times New Roman"/>
          <w:b/>
          <w:bCs/>
          <w:i/>
          <w:iCs/>
          <w:sz w:val="21"/>
          <w:szCs w:val="21"/>
          <w:lang w:val="en-US"/>
        </w:rPr>
        <w:t>Scientific advisor:</w:t>
      </w:r>
      <w:r w:rsidRPr="00F231FD">
        <w:rPr>
          <w:rFonts w:ascii="Times New Roman" w:eastAsia="Calibri" w:hAnsi="Times New Roman" w:cs="Times New Roman"/>
          <w:b/>
          <w:bCs/>
          <w:sz w:val="21"/>
          <w:szCs w:val="21"/>
          <w:lang w:val="en-US"/>
        </w:rPr>
        <w:br/>
      </w:r>
      <w:r w:rsidRPr="00F231FD">
        <w:rPr>
          <w:rFonts w:ascii="Times New Roman" w:eastAsia="Calibri" w:hAnsi="Times New Roman" w:cs="Times New Roman"/>
          <w:b/>
          <w:bCs/>
          <w:i/>
          <w:iCs/>
          <w:sz w:val="21"/>
          <w:szCs w:val="21"/>
          <w:lang w:val="en-US"/>
        </w:rPr>
        <w:t>Kobozeva.E.M.,</w:t>
      </w:r>
      <w:r w:rsidRPr="00F231FD">
        <w:rPr>
          <w:rFonts w:ascii="Times New Roman" w:eastAsia="Calibri" w:hAnsi="Times New Roman" w:cs="Times New Roman"/>
          <w:b/>
          <w:bCs/>
          <w:sz w:val="21"/>
          <w:szCs w:val="21"/>
          <w:lang w:val="en-US"/>
        </w:rPr>
        <w:br/>
      </w:r>
      <w:r w:rsidRPr="00F231FD">
        <w:rPr>
          <w:rFonts w:ascii="Times New Roman" w:eastAsia="Calibri" w:hAnsi="Times New Roman" w:cs="Times New Roman"/>
          <w:i/>
          <w:iCs/>
          <w:sz w:val="21"/>
          <w:szCs w:val="21"/>
          <w:lang w:val="en-US"/>
        </w:rPr>
        <w:t>Associate Professor, Ph.D. in Economical Sciences</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Financial University under the Government of the Russian Federation</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Krasnodar, Russia</w:t>
      </w:r>
      <w:r w:rsidRPr="00F231FD">
        <w:rPr>
          <w:rFonts w:ascii="Times New Roman" w:eastAsia="Calibri" w:hAnsi="Times New Roman" w:cs="Times New Roman"/>
          <w:sz w:val="21"/>
          <w:szCs w:val="21"/>
          <w:lang w:val="en-US"/>
        </w:rPr>
        <w:br/>
      </w:r>
      <w:r w:rsidRPr="00F231FD">
        <w:rPr>
          <w:rFonts w:ascii="Times New Roman" w:eastAsia="Calibri" w:hAnsi="Times New Roman" w:cs="Times New Roman"/>
          <w:i/>
          <w:iCs/>
          <w:sz w:val="21"/>
          <w:szCs w:val="21"/>
          <w:lang w:val="en-US"/>
        </w:rPr>
        <w:t>e-mail: </w:t>
      </w:r>
      <w:hyperlink r:id="rId606" w:tgtFrame="_blank" w:history="1">
        <w:r w:rsidRPr="00F231FD">
          <w:rPr>
            <w:rFonts w:ascii="Times New Roman" w:eastAsia="Calibri" w:hAnsi="Times New Roman" w:cs="Times New Roman"/>
            <w:i/>
            <w:iCs/>
            <w:color w:val="0563C1"/>
            <w:sz w:val="21"/>
            <w:szCs w:val="21"/>
            <w:u w:val="single"/>
            <w:lang w:val="en-US"/>
          </w:rPr>
          <w:t>alena.cobozeva@yandex.ru</w:t>
        </w:r>
      </w:hyperlink>
    </w:p>
    <w:p w14:paraId="3D260E58" w14:textId="77777777" w:rsidR="00F231FD" w:rsidRPr="00F231FD" w:rsidRDefault="00F231FD" w:rsidP="00FA6966">
      <w:pPr>
        <w:spacing w:after="0" w:line="240" w:lineRule="auto"/>
        <w:jc w:val="center"/>
        <w:rPr>
          <w:rFonts w:ascii="Times New Roman" w:eastAsia="Calibri" w:hAnsi="Times New Roman" w:cs="Times New Roman"/>
          <w:b/>
          <w:bCs/>
          <w:sz w:val="21"/>
          <w:szCs w:val="21"/>
          <w:lang w:val="en-US"/>
        </w:rPr>
      </w:pPr>
    </w:p>
    <w:p w14:paraId="78011983" w14:textId="77777777" w:rsidR="00F231FD" w:rsidRPr="00C30970" w:rsidRDefault="00F231FD" w:rsidP="00FA6966">
      <w:pPr>
        <w:spacing w:after="0" w:line="240" w:lineRule="auto"/>
        <w:jc w:val="center"/>
        <w:rPr>
          <w:rFonts w:ascii="Times New Roman" w:eastAsia="Calibri" w:hAnsi="Times New Roman" w:cs="Times New Roman"/>
          <w:b/>
          <w:bCs/>
          <w:sz w:val="21"/>
          <w:szCs w:val="21"/>
          <w:lang w:val="en-US"/>
        </w:rPr>
      </w:pPr>
      <w:r w:rsidRPr="00F231FD">
        <w:rPr>
          <w:rFonts w:ascii="Times New Roman" w:eastAsia="Calibri" w:hAnsi="Times New Roman" w:cs="Times New Roman"/>
          <w:b/>
          <w:bCs/>
          <w:sz w:val="21"/>
          <w:szCs w:val="21"/>
          <w:lang w:val="en-US"/>
        </w:rPr>
        <w:t>Blockchain in Warehouse Accounting: Ensuring Transparency and Reliability of Supply Chains</w:t>
      </w:r>
    </w:p>
    <w:p w14:paraId="043E1AC6" w14:textId="77777777" w:rsidR="00FA6966" w:rsidRPr="00C30970" w:rsidRDefault="00FA6966" w:rsidP="00FA6966">
      <w:pPr>
        <w:spacing w:after="0" w:line="240" w:lineRule="auto"/>
        <w:jc w:val="center"/>
        <w:rPr>
          <w:rFonts w:ascii="Times New Roman" w:eastAsia="Calibri" w:hAnsi="Times New Roman" w:cs="Times New Roman"/>
          <w:b/>
          <w:bCs/>
          <w:sz w:val="21"/>
          <w:szCs w:val="21"/>
          <w:lang w:val="en-US"/>
        </w:rPr>
      </w:pPr>
    </w:p>
    <w:p w14:paraId="5D3CA4BC" w14:textId="77777777" w:rsidR="00F231FD" w:rsidRPr="00F231FD" w:rsidRDefault="00F231FD" w:rsidP="00FA6966">
      <w:pPr>
        <w:spacing w:after="0" w:line="240" w:lineRule="auto"/>
        <w:ind w:firstLine="709"/>
        <w:jc w:val="both"/>
        <w:rPr>
          <w:rFonts w:ascii="Times New Roman" w:eastAsia="Calibri" w:hAnsi="Times New Roman" w:cs="Times New Roman"/>
          <w:sz w:val="21"/>
          <w:szCs w:val="21"/>
          <w:lang w:val="en-US"/>
        </w:rPr>
      </w:pPr>
      <w:r w:rsidRPr="00F231FD">
        <w:rPr>
          <w:rFonts w:ascii="Times New Roman" w:eastAsia="Calibri" w:hAnsi="Times New Roman" w:cs="Times New Roman"/>
          <w:b/>
          <w:bCs/>
          <w:sz w:val="21"/>
          <w:szCs w:val="21"/>
          <w:lang w:val="en-US"/>
        </w:rPr>
        <w:t>Abstract:</w:t>
      </w:r>
      <w:r w:rsidRPr="00F231FD">
        <w:rPr>
          <w:rFonts w:ascii="Times New Roman" w:eastAsia="Calibri" w:hAnsi="Times New Roman" w:cs="Times New Roman"/>
          <w:sz w:val="21"/>
          <w:szCs w:val="21"/>
          <w:lang w:val="en-US"/>
        </w:rPr>
        <w:t xml:space="preserve"> The article explores the potential of blockchain technology in transforming warehouse accounting systems and enhancing transparency and reliability in supply chains. Key advantages such as decentralization, data immutability, and smart contract automation are analyzed in the context of logistics optimization. Practical implementation cases, including IBM Food Trust, TradeLens, and Russian blockchain initiatives in public procurement, are presented to illustrate real-world applications. The study emphasizes the need for a comprehensive approach when evaluating blockchain integration, considering technological, economic, and regulatory factors.</w:t>
      </w:r>
    </w:p>
    <w:p w14:paraId="7A889ABB" w14:textId="77777777" w:rsidR="00F231FD" w:rsidRPr="00F231FD" w:rsidRDefault="00F231FD" w:rsidP="00FA6966">
      <w:pPr>
        <w:spacing w:after="0" w:line="240" w:lineRule="auto"/>
        <w:ind w:firstLine="709"/>
        <w:jc w:val="both"/>
        <w:rPr>
          <w:rFonts w:ascii="Times New Roman" w:eastAsia="Calibri" w:hAnsi="Times New Roman" w:cs="Times New Roman"/>
          <w:sz w:val="21"/>
          <w:szCs w:val="21"/>
          <w:lang w:val="en-US"/>
        </w:rPr>
      </w:pPr>
      <w:r w:rsidRPr="00F231FD">
        <w:rPr>
          <w:rFonts w:ascii="Times New Roman" w:eastAsia="Calibri" w:hAnsi="Times New Roman" w:cs="Times New Roman"/>
          <w:b/>
          <w:bCs/>
          <w:sz w:val="21"/>
          <w:szCs w:val="21"/>
          <w:lang w:val="en-US"/>
        </w:rPr>
        <w:t>Keywords:</w:t>
      </w:r>
      <w:r w:rsidRPr="00F231FD">
        <w:rPr>
          <w:rFonts w:ascii="Times New Roman" w:eastAsia="Calibri" w:hAnsi="Times New Roman" w:cs="Times New Roman"/>
          <w:sz w:val="21"/>
          <w:szCs w:val="21"/>
          <w:lang w:val="en-US"/>
        </w:rPr>
        <w:t> blockchain, warehouse accounting, supply chains, transparency, smart contracts, logistics.</w:t>
      </w:r>
    </w:p>
    <w:p w14:paraId="65A5015A" w14:textId="77777777" w:rsidR="00F231FD" w:rsidRPr="00F231FD" w:rsidRDefault="00F231FD" w:rsidP="005A5FD7">
      <w:pPr>
        <w:spacing w:after="0" w:line="240" w:lineRule="auto"/>
        <w:ind w:firstLine="709"/>
        <w:jc w:val="both"/>
        <w:rPr>
          <w:rFonts w:ascii="Times New Roman" w:eastAsia="Calibri" w:hAnsi="Times New Roman" w:cs="Times New Roman"/>
          <w:sz w:val="21"/>
          <w:szCs w:val="21"/>
        </w:rPr>
      </w:pPr>
      <w:r w:rsidRPr="00F231FD">
        <w:rPr>
          <w:rFonts w:ascii="Times New Roman" w:eastAsia="Calibri" w:hAnsi="Times New Roman" w:cs="Times New Roman"/>
          <w:b/>
          <w:bCs/>
          <w:sz w:val="32"/>
          <w:szCs w:val="32"/>
        </w:rPr>
        <w:t>Введение</w:t>
      </w:r>
    </w:p>
    <w:p w14:paraId="0631B8A2"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Современные системы складского учета и управления цепочками поставок сегодня сталкиваются с рядом серьезных трудностей. Эти вызовы связаны в первую очередь с тем, что экономика становится всё более глобальной и динамичной. Логистические процессы усложняются, число участников рынка растет, а требования к прозрачности и достоверности информации становятся всё строже. Традиционные методы учета, такие как использование централизованных баз данных, бумажного документооборота или ручной проверки данных, уже не всегда справляются с этими задачами. Они замедляют операции, увеличивают риск ошибок, а также создают возможность для манипуляций и несанкционированного доступа.</w:t>
      </w:r>
    </w:p>
    <w:p w14:paraId="3C84D7A6"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В этих условиях становится очевидным, что нужны новые подходы — такие, которые обеспечат надежность и точность данных на новом уровне. Одним из перспективных решений здесь может стать блокчейн-технология, которая изначально применялась для </w:t>
      </w:r>
      <w:r w:rsidRPr="00F231FD">
        <w:rPr>
          <w:rFonts w:ascii="Times New Roman" w:eastAsia="Calibri" w:hAnsi="Times New Roman" w:cs="Times New Roman"/>
          <w:sz w:val="32"/>
          <w:szCs w:val="32"/>
        </w:rPr>
        <w:lastRenderedPageBreak/>
        <w:t>криптовалют, но теперь демонстрирует хороший потенциал и в других областях, например, в управлении логистикой.</w:t>
      </w:r>
    </w:p>
    <w:p w14:paraId="4F51C901"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Ключевые особенности блокчейна — децентрализация, неизменяемость записей и возможность автоматизации через смарт-контракты — позволяют создавать системы, в которых данные хранятся распределенно и недоступны для подделки. Это особенно важно в тех отраслях, где прослеживаемость играет ключевую роль: фармацевтика, пищевая промышленность, luxury-сегмент и другие.</w:t>
      </w:r>
    </w:p>
    <w:p w14:paraId="0F991311"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Актуальность этой темы объясняется тем, что хотя интерес к блокчейну растет, у многих компаний до сих пор остаются вопросы о его реальной применимости. Какие преимущества он действительно дает? Насколько сложно внедрять технологию в существующие системы? Как сохранить баланс между открытостью данных и их конфиденциальностью?</w:t>
      </w:r>
    </w:p>
    <w:p w14:paraId="7E7D35A2"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Цель данной работы — провести всесторонний анализ возможностей блокчейна применительно к складскому учету и логистике. Особое внимание будет уделено не только технической стороне вопроса, но и практическим примерам использования технологии, ее преимуществам и ограничениям. Также рассматриваются следующие аспекты:</w:t>
      </w:r>
    </w:p>
    <w:p w14:paraId="247F8C7A" w14:textId="77777777" w:rsidR="00F231FD" w:rsidRPr="00F231FD" w:rsidRDefault="00F231FD" w:rsidP="00AD58CD">
      <w:pPr>
        <w:numPr>
          <w:ilvl w:val="0"/>
          <w:numId w:val="178"/>
        </w:num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Как блокчейн помогает решить проблемы традиционных систем учета?</w:t>
      </w:r>
    </w:p>
    <w:p w14:paraId="4C3CEB47" w14:textId="77777777" w:rsidR="00F231FD" w:rsidRPr="00F231FD" w:rsidRDefault="00F231FD" w:rsidP="00AD58CD">
      <w:pPr>
        <w:numPr>
          <w:ilvl w:val="0"/>
          <w:numId w:val="178"/>
        </w:num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Какие есть конкретные сценарии его применения в логистике?</w:t>
      </w:r>
    </w:p>
    <w:p w14:paraId="581ADD28" w14:textId="77777777" w:rsidR="00F231FD" w:rsidRPr="00F231FD" w:rsidRDefault="00F231FD" w:rsidP="00AD58CD">
      <w:pPr>
        <w:numPr>
          <w:ilvl w:val="0"/>
          <w:numId w:val="178"/>
        </w:num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С какими сложностями сталкиваются компании при внедрении таких решений?</w:t>
      </w:r>
    </w:p>
    <w:p w14:paraId="19A3239F"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Результаты исследования могут быть полезны как для специалистов в области логистики, так и для IT-разработчиков, заинтересованных в цифровой трансформации цепочек поставок. Анализ основан на реальных примерах, отчетах экспертов и текущих тенденциях в использовании блокчейна в логистической сфере. </w:t>
      </w:r>
    </w:p>
    <w:p w14:paraId="229A474E" w14:textId="77777777" w:rsidR="00F231FD" w:rsidRPr="00F231FD" w:rsidRDefault="00F231FD" w:rsidP="005A5FD7">
      <w:pPr>
        <w:spacing w:after="0" w:line="240" w:lineRule="auto"/>
        <w:ind w:firstLine="709"/>
        <w:jc w:val="both"/>
        <w:rPr>
          <w:rFonts w:ascii="Times New Roman" w:eastAsia="Calibri" w:hAnsi="Times New Roman" w:cs="Times New Roman"/>
          <w:b/>
          <w:bCs/>
          <w:sz w:val="32"/>
          <w:szCs w:val="32"/>
        </w:rPr>
      </w:pPr>
      <w:r w:rsidRPr="00F231FD">
        <w:rPr>
          <w:rFonts w:ascii="Times New Roman" w:eastAsia="Calibri" w:hAnsi="Times New Roman" w:cs="Times New Roman"/>
          <w:b/>
          <w:bCs/>
          <w:sz w:val="32"/>
          <w:szCs w:val="32"/>
        </w:rPr>
        <w:t>Практические примеры применения блокчейна в складском учете</w:t>
      </w:r>
    </w:p>
    <w:p w14:paraId="13AE4C30"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Реальные кейсы внедрения блокчейн-технологий в логистике демонстрируют её практическую ценность в обеспечении прозрачности и надежности цепочек поставок. Эти примеры охватывают разные сектора экономики — от продовольственной индустрии до морских перевозок и государственных закупок. Рассмотрим наиболее известные из них.</w:t>
      </w:r>
    </w:p>
    <w:p w14:paraId="20AD808A"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lastRenderedPageBreak/>
        <w:t xml:space="preserve">Одним из первых крупных проектов, реализованных в сфере пищевой логистики, стала платформа IBM </w:t>
      </w:r>
      <w:r w:rsidRPr="00F231FD">
        <w:rPr>
          <w:rFonts w:ascii="Times New Roman" w:eastAsia="Calibri" w:hAnsi="Times New Roman" w:cs="Times New Roman"/>
          <w:i/>
          <w:iCs/>
          <w:sz w:val="32"/>
          <w:szCs w:val="32"/>
        </w:rPr>
        <w:t>Food Trust</w:t>
      </w:r>
      <w:r w:rsidRPr="00F231FD">
        <w:rPr>
          <w:rFonts w:ascii="Times New Roman" w:eastAsia="Calibri" w:hAnsi="Times New Roman" w:cs="Times New Roman"/>
          <w:sz w:val="32"/>
          <w:szCs w:val="32"/>
        </w:rPr>
        <w:t>. Она была создана с целью улучшить прослеживаемость продуктов питания начиная с момента их производства и заканчивая прилавком магазина. Благодаря использованию распределенного реестра, участники системы получают возможность отслеживать путь товара, контролировать условия хранения и транспортировки, а также оперативно реагировать на возможные случаи фальсификации или загрязнения продукции. Такой подход позволяет значительно сократить время на отзыв некачественного товара, что особенно важно в условиях высоких требований к безопасности пищевых продуктов.</w:t>
      </w:r>
    </w:p>
    <w:p w14:paraId="3B290354"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Ещё одним значимым примером является совместный проект компаний Maersk и IBM под названием TradeLens. Эта платформа направлена на цифровизацию международной морской логистики. Система объединяет ключевых игроков — от перевозчиков до таможенных органов — в едином информационном пространстве. Это снижает зависимость от бумажного документооборота, который часто становится причиной задержек грузов, ошибок в оформлении и сложностей в координации действий. В результате повышается скорость обработки грузов, упрощается контроль состояния партий товаров и усиливается доверие между всеми участниками процесса.</w:t>
      </w:r>
    </w:p>
    <w:p w14:paraId="2F717526"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В российской практике интересным примером внедрения блокчейна стали эксперименты, инициированные ВЭБ.РФ, в сфере госзакупок. Целью этих проектов было создание более открытой и защищённой системы управления контрактами и поставками. Технология позволила повысить прозрачность бюджетных расходов, исключить возможность манипуляций с данными и создать предпосылки для эффективного аудита. Особое значение это имеет в контексте борьбы с коррупцией и повышения доверия к государственным закупкам.</w:t>
      </w:r>
    </w:p>
    <w:p w14:paraId="2EA7FF28"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Эти примеры показывают, что блокчейн может быть применим не только в частном секторе, но и в государственном управлении, где важны точность, защита данных и прозрачность исполнения обязательств. Однако успех каждого проекта зависит не только от технической реализации, но и от готовности участников перейти к новому формату взаимодействия, а также от соответствия решения законодательным нормам и бизнес-процессам.</w:t>
      </w:r>
    </w:p>
    <w:p w14:paraId="7DF47EE3"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Таким образом, практическое применение блокчейна в логистике и складском учете уже сегодня доказывает свою эффективность. Опыт </w:t>
      </w:r>
      <w:r w:rsidRPr="00F231FD">
        <w:rPr>
          <w:rFonts w:ascii="Times New Roman" w:eastAsia="Calibri" w:hAnsi="Times New Roman" w:cs="Times New Roman"/>
          <w:sz w:val="32"/>
          <w:szCs w:val="32"/>
        </w:rPr>
        <w:lastRenderedPageBreak/>
        <w:t>таких проектов, как IBM Food Trust, TradeLens и российские пилотные инициативы, свидетельствует о том, что технология способна решать реальные задачи: повышать уровень доверия между участниками цепочки, ускорять документооборот и минимизировать риски, связанные с подделкой информации или ошибками в логистических операциях. Это делает блокчейн одной из ключевых технологий цифровой трансформации складского учета.</w:t>
      </w:r>
    </w:p>
    <w:p w14:paraId="27B4D71B"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Синергия блокчейна и современных технологий в логистике</w:t>
      </w:r>
    </w:p>
    <w:p w14:paraId="5FACFE66"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Логистическая отрасль сегодня переживает этап активной цифровой трансформации. Одним из ключевых факторов, ускоряющих этот процесс, становится интеграция блокчейна с другими передовыми технологиями — такими как интернет вещей (IoT), искусственный интеллект (AI) и облачные решения. Такое сочетание позволяет создавать более эффективные, прозрачные и надёжные системы управления цепочками поставок.</w:t>
      </w:r>
    </w:p>
    <w:p w14:paraId="0AA875DC"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Один из самых заметных эффектов достигается при объединении блокчейна с IoT. Датчики, установленные на транспортных средствах, складах или товарах, собирают данные о температуре, влажности, местоположении и других параметрах. Эти данные автоматически записываются в распределённый реестр, обеспечивая неизменяемую историю условий хранения и перевозки товаров. Это особенно важно при работе с фармацевтикой, скоропортящимися продуктами или высокотехнологичными грузами, где малейшее отклонение от заданных параметров может повлечь серьёзные последствия.</w:t>
      </w:r>
    </w:p>
    <w:p w14:paraId="7BBE347D"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В паре с искусственным интеллектом блокчейн предоставляет аналитическим системам доступ к точным и достоверным данным, что открывает возможности для прогнозирования и оптимизации логистических процессов. Например, алгоритмы машинного обучения могут анализировать накопленную информацию о маршрутах, задержках и условиях перевозок, чтобы предложить наиболее эффективные сценарии доставки. При этом благодаря блокчейну можно быть уверенным в том, что данные не были изменены или сфабрикованы, что делает результаты анализа действительно надёжными.</w:t>
      </w:r>
    </w:p>
    <w:p w14:paraId="4AF088C2"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Облачные технологии играют важную роль в решении проблемы масштабируемости блокчейн-систем. Гибридные архитектуры, сочетающие распределённые реестры с облачной инфраструктурой, позволяют обрабатывать большие объемы транзакций без потери производительности. Это особенно актуально для крупных </w:t>
      </w:r>
      <w:r w:rsidRPr="00F231FD">
        <w:rPr>
          <w:rFonts w:ascii="Times New Roman" w:eastAsia="Calibri" w:hAnsi="Times New Roman" w:cs="Times New Roman"/>
          <w:sz w:val="32"/>
          <w:szCs w:val="32"/>
        </w:rPr>
        <w:lastRenderedPageBreak/>
        <w:t>логистических операторов, которые ежедневно обрабатывают тысячи заказов и должны обеспечивать бесперебойное функционирование своих систем.</w:t>
      </w:r>
    </w:p>
    <w:p w14:paraId="08BB634E"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Ещё одним перспективным направлением является взаимодействие блокчейна с концепцией цифровых двойников. Создание виртуальных копий физических объектов — складов, транспорта, оборудования — в комбинации с записями в распределённом реестре даёт возможность моделировать различные сценарии работы логистических цепочек и заранее выявлять возможные проблемы. Это помогает принимать более обоснованные управленческие решения и минимизировать риски в реальном времени.</w:t>
      </w:r>
    </w:p>
    <w:p w14:paraId="17DD5F3C"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Однако для успешного внедрения таких интегрированных решений необходимо преодолеть несколько барьеров. Прежде всего, это проблема совместимости различных платформ и протоколов. Для эффективного взаимодействия между системами требуется разработка единых стандартов и интерфейсов, способных адаптироваться под специфику разных отраслей. Кроме того, остаются вопросы регуляторного характера — особенно в международной логистике, где законы разных стран могут существенно отличаться.</w:t>
      </w:r>
    </w:p>
    <w:p w14:paraId="229B479B"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Тем не менее, уже сейчас можно говорить о том, что интеграция блокчейна с другими технологиями создаёт новую парадигму управления цепочками поставок. Такой подход позволяет не только решать текущие задачи, но и закладывать основу для будущих инноваций в логистике. Ключевыми условиями дальнейшего развития станут совершенствование технической базы, формирование единых стандартов и развитие правовой базы, которая сможет поддержать внедрение этих технологий в массовый сектор экономики. </w:t>
      </w:r>
    </w:p>
    <w:p w14:paraId="3A16D1BC" w14:textId="77777777" w:rsidR="00F231FD" w:rsidRPr="00F231FD" w:rsidRDefault="00F231FD" w:rsidP="005A5FD7">
      <w:pPr>
        <w:spacing w:after="0" w:line="240" w:lineRule="auto"/>
        <w:ind w:firstLine="709"/>
        <w:jc w:val="both"/>
        <w:rPr>
          <w:rFonts w:ascii="Times New Roman" w:eastAsia="Calibri" w:hAnsi="Times New Roman" w:cs="Times New Roman"/>
          <w:b/>
          <w:bCs/>
          <w:sz w:val="32"/>
          <w:szCs w:val="32"/>
        </w:rPr>
      </w:pPr>
      <w:r w:rsidRPr="00F231FD">
        <w:rPr>
          <w:rFonts w:ascii="Times New Roman" w:eastAsia="Calibri" w:hAnsi="Times New Roman" w:cs="Times New Roman"/>
          <w:b/>
          <w:bCs/>
          <w:sz w:val="32"/>
          <w:szCs w:val="32"/>
        </w:rPr>
        <w:t>Заключение</w:t>
      </w:r>
    </w:p>
    <w:p w14:paraId="1878FDA1"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Блокчейн-технологии постепенно становятся важной частью цифровой трансформации логистической отрасли. Хотя они не являются панацеей от всех проблем, их способность обеспечивать прозрачность, надежность и безопасность данных делает их особенно актуальными для сложных цепочек поставок, где участвует множество сторон. В таких условиях традиционные системы учета зачастую не справляются с задачами обеспечения достоверности информации и оперативного контроля за движением товаров.</w:t>
      </w:r>
    </w:p>
    <w:p w14:paraId="74A6C547"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 xml:space="preserve">Одним из ключевых преимуществ блокчейна является возможность создания единого, недоступного для манипуляций </w:t>
      </w:r>
      <w:r w:rsidRPr="00F231FD">
        <w:rPr>
          <w:rFonts w:ascii="Times New Roman" w:eastAsia="Calibri" w:hAnsi="Times New Roman" w:cs="Times New Roman"/>
          <w:sz w:val="32"/>
          <w:szCs w:val="32"/>
        </w:rPr>
        <w:lastRenderedPageBreak/>
        <w:t>источника данных. Это позволяет всем участникам процесса — от производителя до конечного потребителя — работать с одинаковой информацией, снижая риск ошибок, споров и мошеннических действий. Особенно это важно в отраслях, где прослеживаемость играет критическую роль: фармацевтика, пищевая промышленность, государственные закупки и другие.</w:t>
      </w:r>
    </w:p>
    <w:p w14:paraId="3CEB330C"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Однако внедрение технологии требует взвешенного подхода. Оно должно учитывать не только технические аспекты, такие как масштабируемость и энергоэффективность, но и особенности конкретных бизнес-процессов. Не каждое предприятие сразу готово перейти на новую модель взаимодействия, поэтому целесообразно начинать с пилотных проектов, позволяющих оценить реальный эффект от внедрения и определить возможные барьеры на раннем этапе.</w:t>
      </w:r>
    </w:p>
    <w:p w14:paraId="26122FBF"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Развитие блокчейна в логистике будет во многом зависеть от двух факторов: совершенствования технологической базы и формирования правового регулирования. Гибридные решения, сочетающие распределённые реестры с облачными системами управления складом (WMS), могут стать хорошим компромиссом между функциональностью и производительностью. Также важно, чтобы законодательная база успевала за инновациями, создавая условия для легального и безопасного использования блокчейна в коммерческой и государственной сфере.</w:t>
      </w:r>
    </w:p>
    <w:p w14:paraId="22BE8ACE"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На сегодняшний день уже есть успешные примеры применения технологии — от платформы IBM Food Trust до российских экспериментов с госзакупками. Эти кейсы показывают, что блокчейн способен решать реальные задачи: повышать доверие между контрагентами, ускорять документооборот и минимизировать риски. Но для массового распространения технологии необходимо преодолеть существующие ограничения и адаптировать её под разнообразные потребности логистических компаний.</w:t>
      </w:r>
    </w:p>
    <w:p w14:paraId="02DFC134" w14:textId="77777777" w:rsidR="00F231FD" w:rsidRPr="00F231FD" w:rsidRDefault="00F231FD" w:rsidP="005A5FD7">
      <w:pPr>
        <w:spacing w:after="0" w:line="240" w:lineRule="auto"/>
        <w:ind w:firstLine="709"/>
        <w:jc w:val="both"/>
        <w:rPr>
          <w:rFonts w:ascii="Times New Roman" w:eastAsia="Calibri" w:hAnsi="Times New Roman" w:cs="Times New Roman"/>
          <w:sz w:val="32"/>
          <w:szCs w:val="32"/>
        </w:rPr>
      </w:pPr>
      <w:r w:rsidRPr="00F231FD">
        <w:rPr>
          <w:rFonts w:ascii="Times New Roman" w:eastAsia="Calibri" w:hAnsi="Times New Roman" w:cs="Times New Roman"/>
          <w:sz w:val="32"/>
          <w:szCs w:val="32"/>
        </w:rPr>
        <w:t>Таким образом, блокчейн представляет собой мощный инструмент для модернизации складского учета и управления цепочками поставок. Его потенциал очевиден, однако эффективное применение возможно лишь при комплексном подходе, учитывающем как технические возможности, так и экономические и правовые условия. Дальнейшее развитие этой области обещает быть одним из ключевых направлений цифровой трансформации логистики в ближайшие годы.</w:t>
      </w:r>
    </w:p>
    <w:p w14:paraId="5D039C7D" w14:textId="77777777" w:rsidR="00F231FD" w:rsidRPr="00F231FD" w:rsidRDefault="00F231FD" w:rsidP="00F231FD">
      <w:pPr>
        <w:shd w:val="clear" w:color="auto" w:fill="FFFFFF"/>
        <w:suppressAutoHyphens/>
        <w:spacing w:after="0" w:line="240" w:lineRule="auto"/>
        <w:ind w:left="720"/>
        <w:jc w:val="center"/>
        <w:rPr>
          <w:rFonts w:ascii="Times New Roman" w:eastAsia="Times New Roman" w:hAnsi="Times New Roman" w:cs="Times New Roman"/>
          <w:b/>
          <w:color w:val="000000"/>
          <w:sz w:val="21"/>
          <w:szCs w:val="21"/>
          <w:lang w:val="x-none" w:eastAsia="ar-SA"/>
        </w:rPr>
      </w:pPr>
      <w:r w:rsidRPr="00F231FD">
        <w:rPr>
          <w:rFonts w:ascii="Times New Roman" w:eastAsia="Times New Roman" w:hAnsi="Times New Roman" w:cs="Times New Roman"/>
          <w:b/>
          <w:color w:val="000000"/>
          <w:sz w:val="21"/>
          <w:szCs w:val="21"/>
          <w:lang w:eastAsia="ar-SA"/>
        </w:rPr>
        <w:lastRenderedPageBreak/>
        <w:t>Литература:</w:t>
      </w:r>
    </w:p>
    <w:p w14:paraId="6E9754E1" w14:textId="77777777" w:rsidR="00F231FD" w:rsidRPr="00F231FD" w:rsidRDefault="00F231FD" w:rsidP="00AD58CD">
      <w:pPr>
        <w:numPr>
          <w:ilvl w:val="0"/>
          <w:numId w:val="179"/>
        </w:numPr>
        <w:spacing w:after="0" w:line="240" w:lineRule="auto"/>
        <w:ind w:left="0" w:firstLine="0"/>
        <w:jc w:val="both"/>
        <w:rPr>
          <w:rFonts w:ascii="Times New Roman" w:eastAsia="Calibri" w:hAnsi="Times New Roman" w:cs="Times New Roman"/>
          <w:sz w:val="21"/>
          <w:szCs w:val="21"/>
        </w:rPr>
      </w:pPr>
      <w:r w:rsidRPr="00F231FD">
        <w:rPr>
          <w:rFonts w:ascii="Times New Roman" w:eastAsia="Calibri" w:hAnsi="Times New Roman" w:cs="Times New Roman"/>
          <w:sz w:val="21"/>
          <w:szCs w:val="21"/>
        </w:rPr>
        <w:t xml:space="preserve">Нарыжная, Н.Ю. Цифровая трансформация логистики: технологии и перспективы / Н.Ю. Нарыжная // </w:t>
      </w:r>
      <w:r w:rsidRPr="00F231FD">
        <w:rPr>
          <w:rFonts w:ascii="Times New Roman" w:eastAsia="Calibri" w:hAnsi="Times New Roman" w:cs="Times New Roman"/>
          <w:i/>
          <w:iCs/>
          <w:sz w:val="21"/>
          <w:szCs w:val="21"/>
        </w:rPr>
        <w:t xml:space="preserve">Логистика </w:t>
      </w:r>
      <w:proofErr w:type="gramStart"/>
      <w:r w:rsidRPr="00F231FD">
        <w:rPr>
          <w:rFonts w:ascii="Times New Roman" w:eastAsia="Calibri" w:hAnsi="Times New Roman" w:cs="Times New Roman"/>
          <w:i/>
          <w:iCs/>
          <w:sz w:val="21"/>
          <w:szCs w:val="21"/>
        </w:rPr>
        <w:t xml:space="preserve">сегодня </w:t>
      </w:r>
      <w:r w:rsidRPr="00F231FD">
        <w:rPr>
          <w:rFonts w:ascii="Times New Roman" w:eastAsia="Calibri" w:hAnsi="Times New Roman" w:cs="Times New Roman"/>
          <w:sz w:val="21"/>
          <w:szCs w:val="21"/>
        </w:rPr>
        <w:t>.</w:t>
      </w:r>
      <w:proofErr w:type="gramEnd"/>
      <w:r w:rsidRPr="00F231FD">
        <w:rPr>
          <w:rFonts w:ascii="Times New Roman" w:eastAsia="Calibri" w:hAnsi="Times New Roman" w:cs="Times New Roman"/>
          <w:sz w:val="21"/>
          <w:szCs w:val="21"/>
        </w:rPr>
        <w:t xml:space="preserve"> — 2023. — № 4. — С. 45–52. </w:t>
      </w:r>
    </w:p>
    <w:p w14:paraId="3EA03B0B" w14:textId="77777777" w:rsidR="00F231FD" w:rsidRPr="00F231FD" w:rsidRDefault="00F231FD" w:rsidP="00AD58CD">
      <w:pPr>
        <w:numPr>
          <w:ilvl w:val="0"/>
          <w:numId w:val="179"/>
        </w:numPr>
        <w:spacing w:after="0" w:line="240" w:lineRule="auto"/>
        <w:ind w:left="0" w:firstLine="0"/>
        <w:jc w:val="both"/>
        <w:rPr>
          <w:rFonts w:ascii="Times New Roman" w:eastAsia="Calibri" w:hAnsi="Times New Roman" w:cs="Times New Roman"/>
          <w:sz w:val="21"/>
          <w:szCs w:val="21"/>
        </w:rPr>
      </w:pPr>
      <w:r w:rsidRPr="00F231FD">
        <w:rPr>
          <w:rFonts w:ascii="Times New Roman" w:eastAsia="Calibri" w:hAnsi="Times New Roman" w:cs="Times New Roman"/>
          <w:sz w:val="21"/>
          <w:szCs w:val="21"/>
        </w:rPr>
        <w:t xml:space="preserve">Смирнов, А.В. </w:t>
      </w:r>
      <w:r w:rsidRPr="00F231FD">
        <w:rPr>
          <w:rFonts w:ascii="Times New Roman" w:eastAsia="Calibri" w:hAnsi="Times New Roman" w:cs="Times New Roman"/>
          <w:i/>
          <w:iCs/>
          <w:sz w:val="21"/>
          <w:szCs w:val="21"/>
        </w:rPr>
        <w:t xml:space="preserve">Блокчейн в управлении цепями поставок </w:t>
      </w:r>
      <w:r w:rsidRPr="00F231FD">
        <w:rPr>
          <w:rFonts w:ascii="Times New Roman" w:eastAsia="Calibri" w:hAnsi="Times New Roman" w:cs="Times New Roman"/>
          <w:sz w:val="21"/>
          <w:szCs w:val="21"/>
        </w:rPr>
        <w:t xml:space="preserve">/ А.В. Смирнов. — СПб.: Питер, 2022. — 184 с. </w:t>
      </w:r>
    </w:p>
    <w:p w14:paraId="2405DFDA" w14:textId="77777777" w:rsidR="00F231FD" w:rsidRPr="00F231FD" w:rsidRDefault="00F231FD" w:rsidP="00AD58CD">
      <w:pPr>
        <w:numPr>
          <w:ilvl w:val="0"/>
          <w:numId w:val="179"/>
        </w:numPr>
        <w:spacing w:after="0" w:line="240" w:lineRule="auto"/>
        <w:ind w:left="0" w:firstLine="0"/>
        <w:jc w:val="both"/>
        <w:rPr>
          <w:rFonts w:ascii="Times New Roman" w:eastAsia="Calibri" w:hAnsi="Times New Roman" w:cs="Times New Roman"/>
          <w:sz w:val="21"/>
          <w:szCs w:val="21"/>
          <w:lang w:val="en-US"/>
        </w:rPr>
      </w:pPr>
      <w:r w:rsidRPr="00F231FD">
        <w:rPr>
          <w:rFonts w:ascii="Times New Roman" w:eastAsia="Calibri" w:hAnsi="Times New Roman" w:cs="Times New Roman"/>
          <w:sz w:val="21"/>
          <w:szCs w:val="21"/>
          <w:lang w:val="en-US"/>
        </w:rPr>
        <w:t>IBM Food Trust: Blockchain for the Supply Chain [</w:t>
      </w:r>
      <w:r w:rsidRPr="00F231FD">
        <w:rPr>
          <w:rFonts w:ascii="Times New Roman" w:eastAsia="Calibri" w:hAnsi="Times New Roman" w:cs="Times New Roman"/>
          <w:sz w:val="21"/>
          <w:szCs w:val="21"/>
        </w:rPr>
        <w:t>Электронный</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ресурс</w:t>
      </w:r>
      <w:r w:rsidRPr="00F231FD">
        <w:rPr>
          <w:rFonts w:ascii="Times New Roman" w:eastAsia="Calibri" w:hAnsi="Times New Roman" w:cs="Times New Roman"/>
          <w:sz w:val="21"/>
          <w:szCs w:val="21"/>
          <w:lang w:val="en-US"/>
        </w:rPr>
        <w:t xml:space="preserve">] / IBM Corporation. — 2022. — </w:t>
      </w:r>
      <w:r w:rsidRPr="00F231FD">
        <w:rPr>
          <w:rFonts w:ascii="Times New Roman" w:eastAsia="Calibri" w:hAnsi="Times New Roman" w:cs="Times New Roman"/>
          <w:sz w:val="21"/>
          <w:szCs w:val="21"/>
        </w:rPr>
        <w:t>Режим</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доступа</w:t>
      </w:r>
      <w:r w:rsidRPr="00F231FD">
        <w:rPr>
          <w:rFonts w:ascii="Times New Roman" w:eastAsia="Calibri" w:hAnsi="Times New Roman" w:cs="Times New Roman"/>
          <w:sz w:val="21"/>
          <w:szCs w:val="21"/>
          <w:lang w:val="en-US"/>
        </w:rPr>
        <w:t xml:space="preserve">: </w:t>
      </w:r>
      <w:hyperlink r:id="rId607" w:tgtFrame="_blank" w:history="1">
        <w:r w:rsidRPr="00F231FD">
          <w:rPr>
            <w:rFonts w:ascii="Times New Roman" w:eastAsia="Calibri" w:hAnsi="Times New Roman" w:cs="Times New Roman"/>
            <w:color w:val="0563C1"/>
            <w:sz w:val="21"/>
            <w:szCs w:val="21"/>
            <w:u w:val="single"/>
            <w:lang w:val="en-US"/>
          </w:rPr>
          <w:t xml:space="preserve">https://www.ibm.com/blockchain/solutions/food-trust </w:t>
        </w:r>
      </w:hyperlink>
      <w:r w:rsidRPr="00F231FD">
        <w:rPr>
          <w:rFonts w:ascii="Times New Roman" w:eastAsia="Calibri" w:hAnsi="Times New Roman" w:cs="Times New Roman"/>
          <w:sz w:val="21"/>
          <w:szCs w:val="21"/>
          <w:lang w:val="en-US"/>
        </w:rPr>
        <w:t>(</w:t>
      </w:r>
      <w:r w:rsidRPr="00F231FD">
        <w:rPr>
          <w:rFonts w:ascii="Times New Roman" w:eastAsia="Calibri" w:hAnsi="Times New Roman" w:cs="Times New Roman"/>
          <w:sz w:val="21"/>
          <w:szCs w:val="21"/>
        </w:rPr>
        <w:t>дата</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обращения</w:t>
      </w:r>
      <w:r w:rsidRPr="00F231FD">
        <w:rPr>
          <w:rFonts w:ascii="Times New Roman" w:eastAsia="Calibri" w:hAnsi="Times New Roman" w:cs="Times New Roman"/>
          <w:sz w:val="21"/>
          <w:szCs w:val="21"/>
          <w:lang w:val="en-US"/>
        </w:rPr>
        <w:t xml:space="preserve">: 05.04.2025). </w:t>
      </w:r>
    </w:p>
    <w:p w14:paraId="10697348" w14:textId="77777777" w:rsidR="00F231FD" w:rsidRPr="00F231FD" w:rsidRDefault="00F231FD" w:rsidP="00AD58CD">
      <w:pPr>
        <w:numPr>
          <w:ilvl w:val="0"/>
          <w:numId w:val="179"/>
        </w:numPr>
        <w:spacing w:after="0" w:line="240" w:lineRule="auto"/>
        <w:ind w:left="0" w:firstLine="0"/>
        <w:jc w:val="both"/>
        <w:rPr>
          <w:rFonts w:ascii="Times New Roman" w:eastAsia="Calibri" w:hAnsi="Times New Roman" w:cs="Times New Roman"/>
          <w:sz w:val="21"/>
          <w:szCs w:val="21"/>
          <w:lang w:val="en-US"/>
        </w:rPr>
      </w:pPr>
      <w:r w:rsidRPr="00F231FD">
        <w:rPr>
          <w:rFonts w:ascii="Times New Roman" w:eastAsia="Calibri" w:hAnsi="Times New Roman" w:cs="Times New Roman"/>
          <w:sz w:val="21"/>
          <w:szCs w:val="21"/>
          <w:lang w:val="en-US"/>
        </w:rPr>
        <w:t>TradeLens: Revolutionizing Global Trade [</w:t>
      </w:r>
      <w:r w:rsidRPr="00F231FD">
        <w:rPr>
          <w:rFonts w:ascii="Times New Roman" w:eastAsia="Calibri" w:hAnsi="Times New Roman" w:cs="Times New Roman"/>
          <w:sz w:val="21"/>
          <w:szCs w:val="21"/>
        </w:rPr>
        <w:t>Электронный</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ресурс</w:t>
      </w:r>
      <w:proofErr w:type="gramStart"/>
      <w:r w:rsidRPr="00F231FD">
        <w:rPr>
          <w:rFonts w:ascii="Times New Roman" w:eastAsia="Calibri" w:hAnsi="Times New Roman" w:cs="Times New Roman"/>
          <w:sz w:val="21"/>
          <w:szCs w:val="21"/>
          <w:lang w:val="en-US"/>
        </w:rPr>
        <w:t>] :</w:t>
      </w:r>
      <w:proofErr w:type="gramEnd"/>
      <w:r w:rsidRPr="00F231FD">
        <w:rPr>
          <w:rFonts w:ascii="Times New Roman" w:eastAsia="Calibri" w:hAnsi="Times New Roman" w:cs="Times New Roman"/>
          <w:sz w:val="21"/>
          <w:szCs w:val="21"/>
          <w:lang w:val="en-US"/>
        </w:rPr>
        <w:t xml:space="preserve"> Whitepaper / Maersk &amp; IBM. — 2021. — </w:t>
      </w:r>
      <w:r w:rsidRPr="00F231FD">
        <w:rPr>
          <w:rFonts w:ascii="Times New Roman" w:eastAsia="Calibri" w:hAnsi="Times New Roman" w:cs="Times New Roman"/>
          <w:sz w:val="21"/>
          <w:szCs w:val="21"/>
        </w:rPr>
        <w:t>Режим</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доступа</w:t>
      </w:r>
      <w:r w:rsidRPr="00F231FD">
        <w:rPr>
          <w:rFonts w:ascii="Times New Roman" w:eastAsia="Calibri" w:hAnsi="Times New Roman" w:cs="Times New Roman"/>
          <w:sz w:val="21"/>
          <w:szCs w:val="21"/>
          <w:lang w:val="en-US"/>
        </w:rPr>
        <w:t xml:space="preserve">: </w:t>
      </w:r>
      <w:hyperlink r:id="rId608" w:tgtFrame="_blank" w:history="1">
        <w:r w:rsidRPr="00F231FD">
          <w:rPr>
            <w:rFonts w:ascii="Times New Roman" w:eastAsia="Calibri" w:hAnsi="Times New Roman" w:cs="Times New Roman"/>
            <w:color w:val="0563C1"/>
            <w:sz w:val="21"/>
            <w:szCs w:val="21"/>
            <w:u w:val="single"/>
            <w:lang w:val="en-US"/>
          </w:rPr>
          <w:t xml:space="preserve">https://www.tradelens.com </w:t>
        </w:r>
      </w:hyperlink>
      <w:r w:rsidRPr="00F231FD">
        <w:rPr>
          <w:rFonts w:ascii="Times New Roman" w:eastAsia="Calibri" w:hAnsi="Times New Roman" w:cs="Times New Roman"/>
          <w:sz w:val="21"/>
          <w:szCs w:val="21"/>
          <w:lang w:val="en-US"/>
        </w:rPr>
        <w:t>(</w:t>
      </w:r>
      <w:r w:rsidRPr="00F231FD">
        <w:rPr>
          <w:rFonts w:ascii="Times New Roman" w:eastAsia="Calibri" w:hAnsi="Times New Roman" w:cs="Times New Roman"/>
          <w:sz w:val="21"/>
          <w:szCs w:val="21"/>
        </w:rPr>
        <w:t>дата</w:t>
      </w:r>
      <w:r w:rsidRPr="00F231FD">
        <w:rPr>
          <w:rFonts w:ascii="Times New Roman" w:eastAsia="Calibri" w:hAnsi="Times New Roman" w:cs="Times New Roman"/>
          <w:sz w:val="21"/>
          <w:szCs w:val="21"/>
          <w:lang w:val="en-US"/>
        </w:rPr>
        <w:t xml:space="preserve"> </w:t>
      </w:r>
      <w:r w:rsidRPr="00F231FD">
        <w:rPr>
          <w:rFonts w:ascii="Times New Roman" w:eastAsia="Calibri" w:hAnsi="Times New Roman" w:cs="Times New Roman"/>
          <w:sz w:val="21"/>
          <w:szCs w:val="21"/>
        </w:rPr>
        <w:t>обращения</w:t>
      </w:r>
      <w:r w:rsidRPr="00F231FD">
        <w:rPr>
          <w:rFonts w:ascii="Times New Roman" w:eastAsia="Calibri" w:hAnsi="Times New Roman" w:cs="Times New Roman"/>
          <w:sz w:val="21"/>
          <w:szCs w:val="21"/>
          <w:lang w:val="en-US"/>
        </w:rPr>
        <w:t xml:space="preserve">: 05.04.2025). </w:t>
      </w:r>
    </w:p>
    <w:p w14:paraId="387856C4" w14:textId="77777777" w:rsidR="00F231FD" w:rsidRPr="00F231FD" w:rsidRDefault="00F231FD" w:rsidP="00AD58CD">
      <w:pPr>
        <w:numPr>
          <w:ilvl w:val="0"/>
          <w:numId w:val="179"/>
        </w:numPr>
        <w:spacing w:after="0" w:line="240" w:lineRule="auto"/>
        <w:ind w:left="0" w:firstLine="0"/>
        <w:jc w:val="both"/>
        <w:rPr>
          <w:rFonts w:ascii="Times New Roman" w:eastAsia="Calibri" w:hAnsi="Times New Roman" w:cs="Times New Roman"/>
          <w:sz w:val="21"/>
          <w:szCs w:val="21"/>
        </w:rPr>
      </w:pPr>
      <w:r w:rsidRPr="00F231FD">
        <w:rPr>
          <w:rFonts w:ascii="Times New Roman" w:eastAsia="Calibri" w:hAnsi="Times New Roman" w:cs="Times New Roman"/>
          <w:sz w:val="21"/>
          <w:szCs w:val="21"/>
        </w:rPr>
        <w:t xml:space="preserve">ВЭБ.РФ: Отчет по блокчейн-экспериментам в госзакупках / ВЭБ.РФ. — М., 2022. — 28 с. </w:t>
      </w:r>
    </w:p>
    <w:p w14:paraId="22FAD1B0" w14:textId="77777777" w:rsidR="00F93F5B" w:rsidRDefault="00F93F5B" w:rsidP="00F93F5B">
      <w:pPr>
        <w:spacing w:after="0" w:line="240" w:lineRule="auto"/>
        <w:contextualSpacing/>
        <w:jc w:val="both"/>
        <w:rPr>
          <w:rFonts w:ascii="Times New Roman" w:hAnsi="Times New Roman" w:cs="Times New Roman"/>
          <w:sz w:val="21"/>
          <w:szCs w:val="21"/>
          <w:lang w:eastAsia="ru-RU"/>
        </w:rPr>
      </w:pPr>
    </w:p>
    <w:p w14:paraId="65FFAB6A" w14:textId="77777777" w:rsidR="00987F35" w:rsidRPr="00987F35" w:rsidRDefault="00987F35" w:rsidP="00C06654">
      <w:pPr>
        <w:spacing w:after="16" w:line="270" w:lineRule="auto"/>
        <w:ind w:right="30"/>
        <w:rPr>
          <w:rFonts w:ascii="Times New Roman" w:eastAsia="Times New Roman" w:hAnsi="Times New Roman" w:cs="Times New Roman"/>
          <w:b/>
          <w:color w:val="000000"/>
          <w:sz w:val="21"/>
          <w:lang w:eastAsia="ru-RU"/>
        </w:rPr>
      </w:pPr>
    </w:p>
    <w:p w14:paraId="1C5FFDAB" w14:textId="77777777" w:rsidR="00987F35" w:rsidRPr="00987F35" w:rsidRDefault="00987F35" w:rsidP="00987F35">
      <w:pPr>
        <w:spacing w:after="16" w:line="270" w:lineRule="auto"/>
        <w:ind w:left="142" w:right="30" w:hanging="10"/>
        <w:rPr>
          <w:rFonts w:ascii="Times New Roman" w:eastAsia="Times New Roman" w:hAnsi="Times New Roman" w:cs="Times New Roman"/>
          <w:sz w:val="32"/>
          <w:lang w:eastAsia="ru-RU"/>
        </w:rPr>
      </w:pPr>
      <w:r w:rsidRPr="00987F35">
        <w:rPr>
          <w:rFonts w:ascii="Times New Roman" w:eastAsia="Times New Roman" w:hAnsi="Times New Roman" w:cs="Times New Roman"/>
          <w:b/>
          <w:sz w:val="21"/>
          <w:lang w:eastAsia="ru-RU"/>
        </w:rPr>
        <w:t>УДК</w:t>
      </w:r>
      <w:r w:rsidRPr="00987F35">
        <w:rPr>
          <w:rFonts w:ascii="Times New Roman" w:eastAsia="Times New Roman" w:hAnsi="Times New Roman" w:cs="Times New Roman"/>
          <w:b/>
          <w:lang w:eastAsia="ru-RU"/>
        </w:rPr>
        <w:t xml:space="preserve"> </w:t>
      </w:r>
      <w:r w:rsidRPr="00987F35">
        <w:rPr>
          <w:rFonts w:ascii="Times New Roman" w:eastAsia="Times New Roman" w:hAnsi="Times New Roman" w:cs="Times New Roman"/>
          <w:b/>
          <w:sz w:val="21"/>
          <w:lang w:eastAsia="ru-RU"/>
        </w:rPr>
        <w:t>659.1</w:t>
      </w:r>
    </w:p>
    <w:p w14:paraId="29933BC6" w14:textId="77777777" w:rsidR="00987F35" w:rsidRPr="00987F35" w:rsidRDefault="00987F35" w:rsidP="003006C5">
      <w:pPr>
        <w:spacing w:after="0" w:line="240" w:lineRule="auto"/>
        <w:ind w:left="7491" w:hanging="10"/>
        <w:jc w:val="right"/>
        <w:rPr>
          <w:rFonts w:ascii="Times New Roman" w:eastAsia="Times New Roman" w:hAnsi="Times New Roman" w:cs="Times New Roman"/>
          <w:b/>
          <w:bCs/>
          <w:i/>
          <w:iCs/>
          <w:sz w:val="21"/>
          <w:szCs w:val="21"/>
          <w:lang w:eastAsia="ru-RU"/>
        </w:rPr>
      </w:pPr>
      <w:r w:rsidRPr="00987F35">
        <w:rPr>
          <w:rFonts w:ascii="Times New Roman" w:eastAsia="Times New Roman" w:hAnsi="Times New Roman" w:cs="Times New Roman"/>
          <w:b/>
          <w:bCs/>
          <w:i/>
          <w:iCs/>
          <w:sz w:val="21"/>
          <w:szCs w:val="21"/>
          <w:lang w:eastAsia="ru-RU"/>
        </w:rPr>
        <w:t>Прасолова Е.Е.,</w:t>
      </w:r>
    </w:p>
    <w:p w14:paraId="1068ECAE" w14:textId="77777777" w:rsidR="00987F35" w:rsidRPr="00987F35" w:rsidRDefault="00987F35" w:rsidP="003006C5">
      <w:pPr>
        <w:spacing w:after="0" w:line="240" w:lineRule="auto"/>
        <w:ind w:left="7083" w:right="96" w:hanging="106"/>
        <w:jc w:val="right"/>
        <w:rPr>
          <w:rFonts w:ascii="Times New Roman" w:eastAsia="Times New Roman" w:hAnsi="Times New Roman" w:cs="Times New Roman"/>
          <w:b/>
          <w:bCs/>
          <w:i/>
          <w:iCs/>
          <w:sz w:val="21"/>
          <w:szCs w:val="21"/>
          <w:lang w:eastAsia="ru-RU"/>
        </w:rPr>
      </w:pPr>
      <w:r w:rsidRPr="00987F35">
        <w:rPr>
          <w:rFonts w:ascii="Times New Roman" w:eastAsia="Times New Roman" w:hAnsi="Times New Roman" w:cs="Times New Roman"/>
          <w:b/>
          <w:bCs/>
          <w:i/>
          <w:iCs/>
          <w:sz w:val="21"/>
          <w:szCs w:val="21"/>
          <w:lang w:eastAsia="ru-RU"/>
        </w:rPr>
        <w:t xml:space="preserve"> </w:t>
      </w:r>
      <w:r w:rsidRPr="00987F35">
        <w:rPr>
          <w:rFonts w:ascii="Times New Roman" w:eastAsia="Times New Roman" w:hAnsi="Times New Roman" w:cs="Times New Roman"/>
          <w:i/>
          <w:iCs/>
          <w:sz w:val="21"/>
          <w:szCs w:val="21"/>
          <w:lang w:eastAsia="ru-RU"/>
        </w:rPr>
        <w:t xml:space="preserve">студентка 3 курса </w:t>
      </w:r>
      <w:r w:rsidRPr="00987F35">
        <w:rPr>
          <w:rFonts w:ascii="Times New Roman" w:eastAsia="Times New Roman" w:hAnsi="Times New Roman" w:cs="Times New Roman"/>
          <w:sz w:val="21"/>
          <w:szCs w:val="21"/>
          <w:lang w:eastAsia="ru-RU"/>
        </w:rPr>
        <w:t xml:space="preserve"> </w:t>
      </w:r>
    </w:p>
    <w:p w14:paraId="2BA6443F" w14:textId="77777777" w:rsidR="003006C5" w:rsidRDefault="003006C5" w:rsidP="003006C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44C8935" w14:textId="27A65316" w:rsidR="00987F35" w:rsidRPr="00987F35" w:rsidRDefault="00987F35" w:rsidP="003006C5">
      <w:pPr>
        <w:spacing w:after="0" w:line="240" w:lineRule="auto"/>
        <w:ind w:left="3817" w:right="98" w:hanging="377"/>
        <w:jc w:val="right"/>
        <w:rPr>
          <w:rFonts w:ascii="Times New Roman" w:eastAsia="Times New Roman" w:hAnsi="Times New Roman" w:cs="Times New Roman"/>
          <w:sz w:val="32"/>
          <w:szCs w:val="32"/>
          <w:lang w:eastAsia="ru-RU"/>
        </w:rPr>
      </w:pPr>
      <w:r w:rsidRPr="00987F35">
        <w:rPr>
          <w:rFonts w:ascii="Times New Roman" w:eastAsia="Times New Roman" w:hAnsi="Times New Roman" w:cs="Times New Roman"/>
          <w:i/>
          <w:iCs/>
          <w:sz w:val="21"/>
          <w:szCs w:val="21"/>
          <w:lang w:eastAsia="ru-RU"/>
        </w:rPr>
        <w:t>г. Краснодар, Россия</w:t>
      </w:r>
      <w:r w:rsidRPr="00987F35">
        <w:rPr>
          <w:rFonts w:ascii="Times New Roman" w:eastAsia="Times New Roman" w:hAnsi="Times New Roman" w:cs="Times New Roman"/>
          <w:sz w:val="21"/>
          <w:szCs w:val="21"/>
          <w:lang w:eastAsia="ru-RU"/>
        </w:rPr>
        <w:t xml:space="preserve"> </w:t>
      </w:r>
    </w:p>
    <w:p w14:paraId="2738805C" w14:textId="05F6F631" w:rsidR="00987F35" w:rsidRPr="00987F35" w:rsidRDefault="00987F35" w:rsidP="003006C5">
      <w:pPr>
        <w:spacing w:after="0" w:line="240" w:lineRule="auto"/>
        <w:ind w:left="3450" w:right="98" w:hanging="10"/>
        <w:jc w:val="right"/>
        <w:rPr>
          <w:rFonts w:ascii="Times New Roman" w:eastAsia="Times New Roman" w:hAnsi="Times New Roman" w:cs="Times New Roman"/>
          <w:sz w:val="32"/>
          <w:szCs w:val="32"/>
          <w:lang w:eastAsia="ru-RU"/>
        </w:rPr>
      </w:pPr>
      <w:r w:rsidRPr="00987F35">
        <w:rPr>
          <w:rFonts w:ascii="Times New Roman" w:eastAsia="Times New Roman" w:hAnsi="Times New Roman" w:cs="Times New Roman"/>
          <w:i/>
          <w:iCs/>
          <w:sz w:val="21"/>
          <w:szCs w:val="21"/>
          <w:lang w:eastAsia="ru-RU"/>
        </w:rPr>
        <w:t>е-</w:t>
      </w:r>
      <w:r w:rsidRPr="00987F35">
        <w:rPr>
          <w:rFonts w:ascii="Times New Roman" w:eastAsia="Times New Roman" w:hAnsi="Times New Roman" w:cs="Times New Roman"/>
          <w:i/>
          <w:iCs/>
          <w:sz w:val="21"/>
          <w:szCs w:val="21"/>
          <w:lang w:val="en-US" w:eastAsia="ru-RU"/>
        </w:rPr>
        <w:t>mail</w:t>
      </w:r>
      <w:r w:rsidRPr="00987F35">
        <w:rPr>
          <w:rFonts w:ascii="Times New Roman" w:eastAsia="Times New Roman" w:hAnsi="Times New Roman" w:cs="Times New Roman"/>
          <w:i/>
          <w:iCs/>
          <w:sz w:val="21"/>
          <w:szCs w:val="21"/>
          <w:lang w:eastAsia="ru-RU"/>
        </w:rPr>
        <w:t>:</w:t>
      </w:r>
      <w:r w:rsidR="00C06654">
        <w:rPr>
          <w:rFonts w:ascii="Times New Roman" w:eastAsia="Times New Roman" w:hAnsi="Times New Roman" w:cs="Times New Roman"/>
          <w:i/>
          <w:iCs/>
          <w:sz w:val="21"/>
          <w:szCs w:val="21"/>
          <w:lang w:eastAsia="ru-RU"/>
        </w:rPr>
        <w:t xml:space="preserve"> </w:t>
      </w:r>
      <w:r w:rsidRPr="00987F35">
        <w:rPr>
          <w:rFonts w:ascii="Times New Roman" w:eastAsia="Times New Roman" w:hAnsi="Times New Roman" w:cs="Times New Roman"/>
          <w:i/>
          <w:iCs/>
          <w:sz w:val="21"/>
          <w:szCs w:val="21"/>
          <w:lang w:val="en-US" w:eastAsia="ru-RU"/>
        </w:rPr>
        <w:t>prasolovaekaterina</w:t>
      </w:r>
      <w:r w:rsidRPr="00987F35">
        <w:rPr>
          <w:rFonts w:ascii="Times New Roman" w:eastAsia="Times New Roman" w:hAnsi="Times New Roman" w:cs="Times New Roman"/>
          <w:i/>
          <w:iCs/>
          <w:sz w:val="21"/>
          <w:szCs w:val="21"/>
          <w:lang w:eastAsia="ru-RU"/>
        </w:rPr>
        <w:t>16@</w:t>
      </w:r>
      <w:r w:rsidRPr="00987F35">
        <w:rPr>
          <w:rFonts w:ascii="Times New Roman" w:eastAsia="Times New Roman" w:hAnsi="Times New Roman" w:cs="Times New Roman"/>
          <w:i/>
          <w:iCs/>
          <w:sz w:val="21"/>
          <w:szCs w:val="21"/>
          <w:lang w:val="en-US" w:eastAsia="ru-RU"/>
        </w:rPr>
        <w:t>gmail</w:t>
      </w:r>
      <w:r w:rsidRPr="00987F35">
        <w:rPr>
          <w:rFonts w:ascii="Times New Roman" w:eastAsia="Times New Roman" w:hAnsi="Times New Roman" w:cs="Times New Roman"/>
          <w:i/>
          <w:iCs/>
          <w:sz w:val="21"/>
          <w:szCs w:val="21"/>
          <w:lang w:eastAsia="ru-RU"/>
        </w:rPr>
        <w:t>.</w:t>
      </w:r>
      <w:r w:rsidRPr="00987F35">
        <w:rPr>
          <w:rFonts w:ascii="Times New Roman" w:eastAsia="Times New Roman" w:hAnsi="Times New Roman" w:cs="Times New Roman"/>
          <w:i/>
          <w:iCs/>
          <w:sz w:val="21"/>
          <w:szCs w:val="21"/>
          <w:lang w:val="en-US" w:eastAsia="ru-RU"/>
        </w:rPr>
        <w:t>com</w:t>
      </w:r>
      <w:r w:rsidRPr="00987F35">
        <w:rPr>
          <w:rFonts w:ascii="Times New Roman" w:eastAsia="Times New Roman" w:hAnsi="Times New Roman" w:cs="Times New Roman"/>
          <w:i/>
          <w:iCs/>
          <w:sz w:val="21"/>
          <w:szCs w:val="21"/>
          <w:lang w:eastAsia="ru-RU"/>
        </w:rPr>
        <w:t xml:space="preserve"> </w:t>
      </w:r>
      <w:r w:rsidRPr="00987F35">
        <w:rPr>
          <w:rFonts w:ascii="Times New Roman" w:eastAsia="Times New Roman" w:hAnsi="Times New Roman" w:cs="Times New Roman"/>
          <w:sz w:val="21"/>
          <w:szCs w:val="21"/>
          <w:lang w:eastAsia="ru-RU"/>
        </w:rPr>
        <w:t xml:space="preserve"> </w:t>
      </w:r>
    </w:p>
    <w:p w14:paraId="052ED49D" w14:textId="77777777" w:rsidR="003006C5" w:rsidRDefault="00987F35" w:rsidP="003006C5">
      <w:pPr>
        <w:spacing w:after="0" w:line="240" w:lineRule="auto"/>
        <w:ind w:left="142"/>
        <w:jc w:val="right"/>
        <w:rPr>
          <w:rFonts w:ascii="Times New Roman" w:eastAsia="Times New Roman" w:hAnsi="Times New Roman" w:cs="Times New Roman"/>
          <w:sz w:val="21"/>
          <w:lang w:eastAsia="ru-RU"/>
        </w:rPr>
      </w:pPr>
      <w:r w:rsidRPr="00987F35">
        <w:rPr>
          <w:rFonts w:ascii="Times New Roman" w:eastAsia="Times New Roman" w:hAnsi="Times New Roman" w:cs="Times New Roman"/>
          <w:sz w:val="21"/>
          <w:lang w:eastAsia="ru-RU"/>
        </w:rPr>
        <w:t xml:space="preserve"> </w:t>
      </w:r>
    </w:p>
    <w:p w14:paraId="67C48AAD" w14:textId="6BB47664" w:rsidR="00987F35" w:rsidRPr="00987F35" w:rsidRDefault="00987F35" w:rsidP="003006C5">
      <w:pPr>
        <w:spacing w:after="0" w:line="240" w:lineRule="auto"/>
        <w:ind w:left="142"/>
        <w:jc w:val="right"/>
        <w:rPr>
          <w:rFonts w:ascii="Times New Roman" w:eastAsia="Times New Roman" w:hAnsi="Times New Roman" w:cs="Times New Roman"/>
          <w:sz w:val="32"/>
          <w:szCs w:val="32"/>
          <w:lang w:eastAsia="ru-RU"/>
        </w:rPr>
      </w:pPr>
      <w:r w:rsidRPr="00987F35">
        <w:rPr>
          <w:rFonts w:ascii="Times New Roman" w:eastAsia="Times New Roman" w:hAnsi="Times New Roman" w:cs="Times New Roman"/>
          <w:b/>
          <w:bCs/>
          <w:i/>
          <w:iCs/>
          <w:sz w:val="21"/>
          <w:szCs w:val="21"/>
          <w:lang w:eastAsia="ru-RU"/>
        </w:rPr>
        <w:t xml:space="preserve">Научный руководитель: </w:t>
      </w:r>
    </w:p>
    <w:p w14:paraId="7A09017C"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sz w:val="32"/>
          <w:szCs w:val="32"/>
          <w:lang w:eastAsia="ru-RU"/>
        </w:rPr>
      </w:pPr>
      <w:r w:rsidRPr="00987F35">
        <w:rPr>
          <w:rFonts w:ascii="Times New Roman" w:eastAsia="Times New Roman" w:hAnsi="Times New Roman" w:cs="Times New Roman"/>
          <w:b/>
          <w:bCs/>
          <w:i/>
          <w:iCs/>
          <w:sz w:val="21"/>
          <w:szCs w:val="21"/>
          <w:lang w:eastAsia="ru-RU"/>
        </w:rPr>
        <w:t xml:space="preserve">Кирий В.А., </w:t>
      </w:r>
    </w:p>
    <w:p w14:paraId="468AEECD"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i/>
          <w:iCs/>
          <w:sz w:val="21"/>
          <w:szCs w:val="21"/>
          <w:lang w:eastAsia="ru-RU"/>
        </w:rPr>
      </w:pPr>
      <w:r w:rsidRPr="00987F35">
        <w:rPr>
          <w:rFonts w:ascii="Times New Roman" w:eastAsia="Times New Roman" w:hAnsi="Times New Roman" w:cs="Times New Roman"/>
          <w:i/>
          <w:iCs/>
          <w:sz w:val="21"/>
          <w:szCs w:val="21"/>
          <w:lang w:eastAsia="ru-RU"/>
        </w:rPr>
        <w:t xml:space="preserve">доцент кафедры «Математика и информатика»,  </w:t>
      </w:r>
    </w:p>
    <w:p w14:paraId="036B0859" w14:textId="77777777" w:rsidR="003006C5" w:rsidRDefault="003006C5" w:rsidP="003006C5">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575F76A"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sz w:val="21"/>
          <w:szCs w:val="21"/>
          <w:lang w:eastAsia="ru-RU"/>
        </w:rPr>
      </w:pPr>
      <w:r w:rsidRPr="00987F35">
        <w:rPr>
          <w:rFonts w:ascii="Times New Roman" w:eastAsia="Times New Roman" w:hAnsi="Times New Roman" w:cs="Times New Roman"/>
          <w:i/>
          <w:iCs/>
          <w:sz w:val="21"/>
          <w:szCs w:val="21"/>
          <w:lang w:eastAsia="ru-RU"/>
        </w:rPr>
        <w:t>г. Краснодар, Россия</w:t>
      </w:r>
      <w:r w:rsidRPr="00987F35">
        <w:rPr>
          <w:rFonts w:ascii="Times New Roman" w:eastAsia="Times New Roman" w:hAnsi="Times New Roman" w:cs="Times New Roman"/>
          <w:sz w:val="21"/>
          <w:szCs w:val="21"/>
          <w:lang w:eastAsia="ru-RU"/>
        </w:rPr>
        <w:t xml:space="preserve"> </w:t>
      </w:r>
    </w:p>
    <w:p w14:paraId="59A17240"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sz w:val="32"/>
          <w:lang w:eastAsia="ru-RU"/>
        </w:rPr>
      </w:pPr>
      <w:r w:rsidRPr="00987F35">
        <w:rPr>
          <w:rFonts w:ascii="Times New Roman" w:eastAsia="Times New Roman" w:hAnsi="Times New Roman" w:cs="Times New Roman"/>
          <w:i/>
          <w:sz w:val="21"/>
          <w:lang w:eastAsia="ru-RU"/>
        </w:rPr>
        <w:t xml:space="preserve">e-mail: EVKhrol@fa.ru </w:t>
      </w:r>
    </w:p>
    <w:p w14:paraId="686AD62F" w14:textId="6555450C" w:rsidR="00987F35" w:rsidRPr="00987F35" w:rsidRDefault="00987F35" w:rsidP="003006C5">
      <w:pPr>
        <w:spacing w:after="0" w:line="240" w:lineRule="auto"/>
        <w:ind w:left="84"/>
        <w:jc w:val="center"/>
        <w:rPr>
          <w:rFonts w:ascii="Times New Roman" w:eastAsia="Times New Roman" w:hAnsi="Times New Roman" w:cs="Times New Roman"/>
          <w:sz w:val="32"/>
          <w:lang w:eastAsia="ru-RU"/>
        </w:rPr>
      </w:pPr>
      <w:r w:rsidRPr="00987F35">
        <w:rPr>
          <w:rFonts w:ascii="Times New Roman" w:eastAsia="Times New Roman" w:hAnsi="Times New Roman" w:cs="Times New Roman"/>
          <w:sz w:val="21"/>
          <w:lang w:eastAsia="ru-RU"/>
        </w:rPr>
        <w:t xml:space="preserve"> </w:t>
      </w:r>
      <w:r w:rsidRPr="00987F35">
        <w:rPr>
          <w:rFonts w:ascii="Times New Roman" w:eastAsia="Times New Roman" w:hAnsi="Times New Roman" w:cs="Times New Roman"/>
          <w:b/>
          <w:sz w:val="21"/>
          <w:lang w:eastAsia="ru-RU"/>
        </w:rPr>
        <w:t xml:space="preserve">Сравнение рекламных платформ </w:t>
      </w:r>
    </w:p>
    <w:p w14:paraId="65A7CA8C" w14:textId="77777777" w:rsidR="00987F35" w:rsidRPr="00987F35" w:rsidRDefault="00987F35" w:rsidP="003006C5">
      <w:pPr>
        <w:spacing w:after="0" w:line="240" w:lineRule="auto"/>
        <w:ind w:left="-962" w:right="-984"/>
        <w:rPr>
          <w:rFonts w:ascii="Times New Roman" w:eastAsia="Times New Roman" w:hAnsi="Times New Roman" w:cs="Times New Roman"/>
          <w:sz w:val="32"/>
          <w:lang w:eastAsia="ru-RU"/>
        </w:rPr>
      </w:pPr>
      <w:r w:rsidRPr="00987F35">
        <w:rPr>
          <w:rFonts w:ascii="Times New Roman" w:eastAsia="Times New Roman" w:hAnsi="Times New Roman" w:cs="Times New Roman"/>
          <w:b/>
          <w:sz w:val="21"/>
          <w:lang w:eastAsia="ru-RU"/>
        </w:rPr>
        <w:t xml:space="preserve"> </w:t>
      </w:r>
    </w:p>
    <w:p w14:paraId="71125843" w14:textId="77777777" w:rsidR="00987F35" w:rsidRPr="00987F35" w:rsidRDefault="00987F35" w:rsidP="003006C5">
      <w:pPr>
        <w:tabs>
          <w:tab w:val="left" w:pos="8910"/>
        </w:tabs>
        <w:spacing w:after="0" w:line="240" w:lineRule="auto"/>
        <w:ind w:left="125" w:right="96" w:firstLine="709"/>
        <w:jc w:val="both"/>
        <w:rPr>
          <w:rFonts w:ascii="Times New Roman" w:eastAsia="Times New Roman" w:hAnsi="Times New Roman" w:cs="Times New Roman"/>
          <w:sz w:val="32"/>
          <w:szCs w:val="32"/>
          <w:lang w:eastAsia="ru-RU"/>
        </w:rPr>
      </w:pPr>
      <w:r w:rsidRPr="00987F35">
        <w:rPr>
          <w:rFonts w:ascii="Times New Roman" w:eastAsia="Times New Roman" w:hAnsi="Times New Roman" w:cs="Times New Roman"/>
          <w:b/>
          <w:bCs/>
          <w:sz w:val="21"/>
          <w:szCs w:val="21"/>
          <w:lang w:eastAsia="ru-RU"/>
        </w:rPr>
        <w:t>Аннотация:</w:t>
      </w:r>
      <w:r w:rsidRPr="00987F35">
        <w:rPr>
          <w:rFonts w:ascii="Times New Roman" w:eastAsia="Times New Roman" w:hAnsi="Times New Roman" w:cs="Times New Roman"/>
          <w:i/>
          <w:iCs/>
          <w:sz w:val="21"/>
          <w:szCs w:val="21"/>
          <w:lang w:eastAsia="ru-RU"/>
        </w:rPr>
        <w:t xml:space="preserve"> </w:t>
      </w:r>
      <w:r w:rsidRPr="00987F35">
        <w:rPr>
          <w:rFonts w:ascii="Times New Roman" w:eastAsia="Times New Roman" w:hAnsi="Times New Roman" w:cs="Times New Roman"/>
          <w:sz w:val="21"/>
          <w:szCs w:val="21"/>
          <w:lang w:eastAsia="ru-RU"/>
        </w:rPr>
        <w:t>Сравнительный анализ рекламных платформ — актуальная задача в условиях цифровой трансформации маркетинга, поскольку выбор оптимального канала продвижения напрямую влияет на эффективность рекламных кампаний. В данной статье рассматриваются ключевые параметры популярных платформ в России, включая их охват аудитории, стоимость, таргетинг и юридические ограничения. Особое внимание уделяется преимуществам и недостаткам каждой платформы в зависимости от маркетинговых целей — от конверсионных стратегий до вирального вовлечения. Исследование позволяет не только систематизировать критерии выбора рекламных инструментов, но и предложить практические рекомендации для бизнеса с учетом современных технологических и регуляторных вызовов.</w:t>
      </w:r>
    </w:p>
    <w:p w14:paraId="5949F595" w14:textId="77777777" w:rsidR="00987F35" w:rsidRPr="00987F35" w:rsidRDefault="00987F35" w:rsidP="003006C5">
      <w:pPr>
        <w:spacing w:after="0" w:line="240" w:lineRule="auto"/>
        <w:ind w:left="127" w:right="99" w:firstLine="708"/>
        <w:jc w:val="both"/>
        <w:rPr>
          <w:rFonts w:ascii="Times New Roman" w:eastAsia="Times New Roman" w:hAnsi="Times New Roman" w:cs="Times New Roman"/>
          <w:sz w:val="32"/>
          <w:szCs w:val="32"/>
          <w:lang w:eastAsia="ru-RU"/>
        </w:rPr>
      </w:pPr>
      <w:r w:rsidRPr="00987F35">
        <w:rPr>
          <w:rFonts w:ascii="Times New Roman" w:eastAsia="Times New Roman" w:hAnsi="Times New Roman" w:cs="Times New Roman"/>
          <w:b/>
          <w:bCs/>
          <w:sz w:val="21"/>
          <w:szCs w:val="21"/>
          <w:lang w:eastAsia="ru-RU"/>
        </w:rPr>
        <w:t>Ключевые слова:</w:t>
      </w:r>
      <w:r w:rsidRPr="00987F35">
        <w:rPr>
          <w:rFonts w:ascii="Times New Roman" w:eastAsia="Times New Roman" w:hAnsi="Times New Roman" w:cs="Times New Roman"/>
          <w:sz w:val="21"/>
          <w:szCs w:val="21"/>
          <w:lang w:eastAsia="ru-RU"/>
        </w:rPr>
        <w:t xml:space="preserve"> рекламная платформа; аудитория; интернет-реклама; аналитика.</w:t>
      </w:r>
    </w:p>
    <w:p w14:paraId="7F099EF7" w14:textId="77777777" w:rsidR="003006C5" w:rsidRDefault="00987F35" w:rsidP="003006C5">
      <w:pPr>
        <w:spacing w:after="0" w:line="240" w:lineRule="auto"/>
        <w:ind w:left="850"/>
        <w:rPr>
          <w:rFonts w:ascii="Times New Roman" w:eastAsia="Times New Roman" w:hAnsi="Times New Roman" w:cs="Times New Roman"/>
          <w:sz w:val="32"/>
          <w:lang w:eastAsia="ru-RU"/>
        </w:rPr>
      </w:pPr>
      <w:r w:rsidRPr="00987F35">
        <w:rPr>
          <w:rFonts w:ascii="Times New Roman" w:eastAsia="Times New Roman" w:hAnsi="Times New Roman" w:cs="Times New Roman"/>
          <w:sz w:val="21"/>
          <w:lang w:eastAsia="ru-RU"/>
        </w:rPr>
        <w:t xml:space="preserve"> </w:t>
      </w:r>
    </w:p>
    <w:p w14:paraId="321AB4ED" w14:textId="023D26E4" w:rsidR="00987F35" w:rsidRPr="00654CF2" w:rsidRDefault="00987F35" w:rsidP="003006C5">
      <w:pPr>
        <w:spacing w:after="0" w:line="240" w:lineRule="auto"/>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b/>
          <w:i/>
          <w:sz w:val="21"/>
          <w:lang w:val="en-US" w:eastAsia="ru-RU"/>
        </w:rPr>
        <w:t>Prasolova</w:t>
      </w:r>
      <w:r w:rsidR="003006C5" w:rsidRPr="00654CF2">
        <w:rPr>
          <w:rFonts w:ascii="Times New Roman" w:eastAsia="Times New Roman" w:hAnsi="Times New Roman" w:cs="Times New Roman"/>
          <w:b/>
          <w:i/>
          <w:sz w:val="21"/>
          <w:lang w:val="en-US" w:eastAsia="ru-RU"/>
        </w:rPr>
        <w:t xml:space="preserve"> </w:t>
      </w:r>
      <w:r w:rsidRPr="00987F35">
        <w:rPr>
          <w:rFonts w:ascii="Times New Roman" w:eastAsia="Times New Roman" w:hAnsi="Times New Roman" w:cs="Times New Roman"/>
          <w:b/>
          <w:i/>
          <w:sz w:val="21"/>
          <w:lang w:val="en-US" w:eastAsia="ru-RU"/>
        </w:rPr>
        <w:t xml:space="preserve">E.E., </w:t>
      </w:r>
      <w:r w:rsidRPr="00987F35">
        <w:rPr>
          <w:rFonts w:ascii="Times New Roman" w:eastAsia="Times New Roman" w:hAnsi="Times New Roman" w:cs="Times New Roman"/>
          <w:i/>
          <w:sz w:val="21"/>
          <w:lang w:val="en-US" w:eastAsia="ru-RU"/>
        </w:rPr>
        <w:t>student, 3 courses</w:t>
      </w:r>
    </w:p>
    <w:p w14:paraId="459BC336" w14:textId="04B6744A" w:rsidR="00987F35" w:rsidRPr="00987F35" w:rsidRDefault="00987F35" w:rsidP="003006C5">
      <w:pPr>
        <w:spacing w:after="0" w:line="240" w:lineRule="auto"/>
        <w:ind w:left="3450" w:right="98" w:hanging="10"/>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i/>
          <w:sz w:val="21"/>
          <w:lang w:val="en-US" w:eastAsia="ru-RU"/>
        </w:rPr>
        <w:t xml:space="preserve">Financial University under the Government of the Russian Federation Krasnodar, Russia </w:t>
      </w:r>
    </w:p>
    <w:p w14:paraId="039CC3AA" w14:textId="77777777" w:rsidR="00987F35" w:rsidRPr="00987F35" w:rsidRDefault="00987F35" w:rsidP="003006C5">
      <w:pPr>
        <w:spacing w:after="0" w:line="240" w:lineRule="auto"/>
        <w:ind w:left="3450" w:right="98" w:hanging="10"/>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i/>
          <w:sz w:val="21"/>
          <w:lang w:val="en-US" w:eastAsia="ru-RU"/>
        </w:rPr>
        <w:t>e-mail: prasolovaekaterina16@gmail.com</w:t>
      </w:r>
    </w:p>
    <w:p w14:paraId="1F93BA53" w14:textId="77777777" w:rsidR="003006C5" w:rsidRPr="00C30970" w:rsidRDefault="003006C5" w:rsidP="003006C5">
      <w:pPr>
        <w:spacing w:after="0" w:line="240" w:lineRule="auto"/>
        <w:ind w:left="357" w:right="96" w:firstLine="709"/>
        <w:jc w:val="right"/>
        <w:rPr>
          <w:rFonts w:ascii="Times New Roman" w:eastAsia="Times New Roman" w:hAnsi="Times New Roman" w:cs="Times New Roman"/>
          <w:b/>
          <w:i/>
          <w:sz w:val="21"/>
          <w:lang w:val="en-US" w:eastAsia="ru-RU"/>
        </w:rPr>
      </w:pPr>
    </w:p>
    <w:p w14:paraId="329CD8BC" w14:textId="4D2F0305" w:rsidR="00987F35" w:rsidRPr="00987F35" w:rsidRDefault="00987F35" w:rsidP="003006C5">
      <w:pPr>
        <w:spacing w:after="0" w:line="240" w:lineRule="auto"/>
        <w:ind w:left="357" w:right="96" w:firstLine="709"/>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b/>
          <w:i/>
          <w:sz w:val="21"/>
          <w:lang w:val="en-US" w:eastAsia="ru-RU"/>
        </w:rPr>
        <w:t xml:space="preserve">Scientific adviser: </w:t>
      </w:r>
    </w:p>
    <w:p w14:paraId="463380E8"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b/>
          <w:i/>
          <w:sz w:val="21"/>
          <w:lang w:val="en-US" w:eastAsia="ru-RU"/>
        </w:rPr>
      </w:pPr>
      <w:r w:rsidRPr="00987F35">
        <w:rPr>
          <w:rFonts w:ascii="Times New Roman" w:eastAsia="Times New Roman" w:hAnsi="Times New Roman" w:cs="Times New Roman"/>
          <w:b/>
          <w:i/>
          <w:sz w:val="21"/>
          <w:lang w:val="en-US" w:eastAsia="ru-RU"/>
        </w:rPr>
        <w:t xml:space="preserve">Kiri V.A., </w:t>
      </w:r>
    </w:p>
    <w:p w14:paraId="40E5319A"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i/>
          <w:sz w:val="21"/>
          <w:lang w:val="en-US" w:eastAsia="ru-RU"/>
        </w:rPr>
        <w:t xml:space="preserve">docent of the department Mathematics and Informatics, </w:t>
      </w:r>
    </w:p>
    <w:p w14:paraId="33ACBB4F" w14:textId="77777777" w:rsidR="00987F35" w:rsidRPr="00987F35" w:rsidRDefault="00987F35" w:rsidP="003006C5">
      <w:pPr>
        <w:spacing w:after="0" w:line="240" w:lineRule="auto"/>
        <w:ind w:left="357" w:right="96" w:firstLine="709"/>
        <w:jc w:val="right"/>
        <w:rPr>
          <w:rFonts w:ascii="Times New Roman" w:eastAsia="Times New Roman" w:hAnsi="Times New Roman" w:cs="Times New Roman"/>
          <w:sz w:val="32"/>
          <w:lang w:val="en-US" w:eastAsia="ru-RU"/>
        </w:rPr>
      </w:pPr>
      <w:r w:rsidRPr="00987F35">
        <w:rPr>
          <w:rFonts w:ascii="Times New Roman" w:eastAsia="Times New Roman" w:hAnsi="Times New Roman" w:cs="Times New Roman"/>
          <w:i/>
          <w:sz w:val="21"/>
          <w:lang w:val="en-US" w:eastAsia="ru-RU"/>
        </w:rPr>
        <w:t xml:space="preserve">Krasnodar branch of FGOBU VO "Financial University under the Government of the Russian Federation </w:t>
      </w:r>
    </w:p>
    <w:p w14:paraId="049AA1CA" w14:textId="77777777" w:rsidR="00987F35" w:rsidRPr="00987F35" w:rsidRDefault="00987F35" w:rsidP="003006C5">
      <w:pPr>
        <w:spacing w:after="0" w:line="240" w:lineRule="auto"/>
        <w:ind w:right="58"/>
        <w:jc w:val="right"/>
        <w:rPr>
          <w:rFonts w:ascii="Times New Roman" w:eastAsia="Times New Roman" w:hAnsi="Times New Roman" w:cs="Times New Roman"/>
          <w:i/>
          <w:sz w:val="21"/>
          <w:lang w:val="en-US" w:eastAsia="ru-RU"/>
        </w:rPr>
      </w:pPr>
      <w:r w:rsidRPr="00987F35">
        <w:rPr>
          <w:rFonts w:ascii="Times New Roman" w:eastAsia="Times New Roman" w:hAnsi="Times New Roman" w:cs="Times New Roman"/>
          <w:i/>
          <w:sz w:val="21"/>
          <w:lang w:val="en-US" w:eastAsia="ru-RU"/>
        </w:rPr>
        <w:t xml:space="preserve">Krasnodar, Russia </w:t>
      </w:r>
    </w:p>
    <w:p w14:paraId="3B3D7EED" w14:textId="77777777" w:rsidR="00987F35" w:rsidRPr="00987F35" w:rsidRDefault="00987F35" w:rsidP="003006C5">
      <w:pPr>
        <w:spacing w:after="0" w:line="240" w:lineRule="auto"/>
        <w:ind w:right="58"/>
        <w:jc w:val="right"/>
        <w:rPr>
          <w:rFonts w:ascii="Times New Roman" w:eastAsia="Times New Roman" w:hAnsi="Times New Roman" w:cs="Times New Roman"/>
          <w:i/>
          <w:sz w:val="21"/>
          <w:lang w:val="en-US" w:eastAsia="ru-RU"/>
        </w:rPr>
      </w:pPr>
      <w:r w:rsidRPr="00987F35">
        <w:rPr>
          <w:rFonts w:ascii="Times New Roman" w:eastAsia="Times New Roman" w:hAnsi="Times New Roman" w:cs="Times New Roman"/>
          <w:i/>
          <w:sz w:val="21"/>
          <w:lang w:val="en-US" w:eastAsia="ru-RU"/>
        </w:rPr>
        <w:t xml:space="preserve">e-mail: EVKhrol@fa.ru  </w:t>
      </w:r>
    </w:p>
    <w:p w14:paraId="5407B1EB" w14:textId="77777777" w:rsidR="003006C5" w:rsidRPr="00C30970" w:rsidRDefault="003006C5" w:rsidP="003006C5">
      <w:pPr>
        <w:spacing w:after="0" w:line="240" w:lineRule="auto"/>
        <w:ind w:left="268" w:right="91" w:hanging="10"/>
        <w:jc w:val="center"/>
        <w:rPr>
          <w:rFonts w:ascii="Times New Roman" w:eastAsia="Times New Roman" w:hAnsi="Times New Roman" w:cs="Times New Roman"/>
          <w:b/>
          <w:sz w:val="21"/>
          <w:lang w:val="en-US" w:eastAsia="ru-RU"/>
        </w:rPr>
      </w:pPr>
    </w:p>
    <w:p w14:paraId="13858F62" w14:textId="79FF5909" w:rsidR="00987F35" w:rsidRPr="00987F35" w:rsidRDefault="00987F35" w:rsidP="003006C5">
      <w:pPr>
        <w:spacing w:after="0" w:line="240" w:lineRule="auto"/>
        <w:ind w:left="268" w:right="91" w:hanging="10"/>
        <w:jc w:val="center"/>
        <w:rPr>
          <w:rFonts w:ascii="Times New Roman" w:eastAsia="Times New Roman" w:hAnsi="Times New Roman" w:cs="Times New Roman"/>
          <w:sz w:val="32"/>
          <w:lang w:val="en-US" w:eastAsia="ru-RU"/>
        </w:rPr>
      </w:pPr>
      <w:r w:rsidRPr="00987F35">
        <w:rPr>
          <w:rFonts w:ascii="Times New Roman" w:eastAsia="Times New Roman" w:hAnsi="Times New Roman" w:cs="Times New Roman"/>
          <w:b/>
          <w:sz w:val="21"/>
          <w:lang w:val="en-US" w:eastAsia="ru-RU"/>
        </w:rPr>
        <w:t xml:space="preserve">Automation of medical processes </w:t>
      </w:r>
    </w:p>
    <w:p w14:paraId="05DA5170" w14:textId="77777777" w:rsidR="00987F35" w:rsidRPr="00987F35" w:rsidRDefault="00987F35" w:rsidP="003006C5">
      <w:pPr>
        <w:spacing w:after="0" w:line="240" w:lineRule="auto"/>
        <w:ind w:left="850"/>
        <w:rPr>
          <w:rFonts w:ascii="Times New Roman" w:eastAsia="Times New Roman" w:hAnsi="Times New Roman" w:cs="Times New Roman"/>
          <w:sz w:val="32"/>
          <w:lang w:val="en-US" w:eastAsia="ru-RU"/>
        </w:rPr>
      </w:pPr>
      <w:r w:rsidRPr="00987F35">
        <w:rPr>
          <w:rFonts w:ascii="Times New Roman" w:eastAsia="Times New Roman" w:hAnsi="Times New Roman" w:cs="Times New Roman"/>
          <w:b/>
          <w:sz w:val="21"/>
          <w:lang w:val="en-US" w:eastAsia="ru-RU"/>
        </w:rPr>
        <w:t xml:space="preserve"> </w:t>
      </w:r>
    </w:p>
    <w:p w14:paraId="2372D6F5" w14:textId="77777777" w:rsidR="00987F35" w:rsidRPr="00987F35" w:rsidRDefault="00987F35" w:rsidP="003006C5">
      <w:pPr>
        <w:spacing w:after="0" w:line="240" w:lineRule="auto"/>
        <w:ind w:left="125" w:right="96" w:firstLine="709"/>
        <w:jc w:val="both"/>
        <w:rPr>
          <w:rFonts w:ascii="Times New Roman" w:eastAsia="Times New Roman" w:hAnsi="Times New Roman" w:cs="Times New Roman"/>
          <w:color w:val="000000"/>
          <w:sz w:val="32"/>
          <w:lang w:val="en-US" w:eastAsia="ru-RU"/>
        </w:rPr>
      </w:pPr>
      <w:r w:rsidRPr="00987F35">
        <w:rPr>
          <w:rFonts w:ascii="Times New Roman" w:eastAsia="Times New Roman" w:hAnsi="Times New Roman" w:cs="Times New Roman"/>
          <w:b/>
          <w:color w:val="000000"/>
          <w:sz w:val="21"/>
          <w:lang w:val="en-US" w:eastAsia="ru-RU"/>
        </w:rPr>
        <w:t>Abstract:</w:t>
      </w:r>
      <w:r w:rsidRPr="00987F35">
        <w:rPr>
          <w:rFonts w:ascii="Times New Roman" w:eastAsia="Times New Roman" w:hAnsi="Times New Roman" w:cs="Times New Roman"/>
          <w:color w:val="000000"/>
          <w:sz w:val="21"/>
          <w:lang w:val="en-US" w:eastAsia="ru-RU"/>
        </w:rPr>
        <w:t xml:space="preserve"> Comparative analysis of advertising platforms is an urgent task in the context of digital marketing transformation, since choosing the optimal promotion channel directly affects the effectiveness of advertising campaigns. This article examines the key parameters of popular platforms in Russia, including their audience reach, cost, targeting, and legal restrictions. Special attention is paid to the advantages and disadvantages of each platform, depending on marketing goals, from conversion strategies to viral engagement. </w:t>
      </w:r>
      <w:r w:rsidRPr="00987F35">
        <w:rPr>
          <w:rFonts w:ascii="Times New Roman" w:eastAsia="Times New Roman" w:hAnsi="Times New Roman" w:cs="Times New Roman"/>
          <w:color w:val="000000"/>
          <w:sz w:val="21"/>
          <w:lang w:val="en-US" w:eastAsia="ru-RU"/>
        </w:rPr>
        <w:lastRenderedPageBreak/>
        <w:t xml:space="preserve">The study allows not only to systematize the criteria for choosing advertising tools, but also to offer practical recommendations for business, </w:t>
      </w:r>
      <w:proofErr w:type="gramStart"/>
      <w:r w:rsidRPr="00987F35">
        <w:rPr>
          <w:rFonts w:ascii="Times New Roman" w:eastAsia="Times New Roman" w:hAnsi="Times New Roman" w:cs="Times New Roman"/>
          <w:color w:val="000000"/>
          <w:sz w:val="21"/>
          <w:lang w:val="en-US" w:eastAsia="ru-RU"/>
        </w:rPr>
        <w:t>taking into account</w:t>
      </w:r>
      <w:proofErr w:type="gramEnd"/>
      <w:r w:rsidRPr="00987F35">
        <w:rPr>
          <w:rFonts w:ascii="Times New Roman" w:eastAsia="Times New Roman" w:hAnsi="Times New Roman" w:cs="Times New Roman"/>
          <w:color w:val="000000"/>
          <w:sz w:val="21"/>
          <w:lang w:val="en-US" w:eastAsia="ru-RU"/>
        </w:rPr>
        <w:t xml:space="preserve"> modern technological and regulatory challenges.</w:t>
      </w:r>
    </w:p>
    <w:p w14:paraId="07AD415C" w14:textId="77777777" w:rsidR="00987F35" w:rsidRPr="00987F35" w:rsidRDefault="00987F35" w:rsidP="003006C5">
      <w:pPr>
        <w:spacing w:after="0" w:line="240" w:lineRule="auto"/>
        <w:ind w:left="127" w:right="99" w:firstLine="708"/>
        <w:jc w:val="both"/>
        <w:rPr>
          <w:rFonts w:ascii="Times New Roman" w:eastAsia="Times New Roman" w:hAnsi="Times New Roman" w:cs="Times New Roman"/>
          <w:color w:val="000000"/>
          <w:sz w:val="32"/>
          <w:lang w:val="en-US" w:eastAsia="ru-RU"/>
        </w:rPr>
      </w:pPr>
      <w:r w:rsidRPr="00987F35">
        <w:rPr>
          <w:rFonts w:ascii="Times New Roman" w:eastAsia="Times New Roman" w:hAnsi="Times New Roman" w:cs="Times New Roman"/>
          <w:b/>
          <w:color w:val="000000"/>
          <w:sz w:val="21"/>
          <w:lang w:val="en-US" w:eastAsia="ru-RU"/>
        </w:rPr>
        <w:t>Keywords:</w:t>
      </w:r>
      <w:r w:rsidRPr="00987F35">
        <w:rPr>
          <w:rFonts w:ascii="Times New Roman" w:eastAsia="Times New Roman" w:hAnsi="Times New Roman" w:cs="Times New Roman"/>
          <w:color w:val="000000"/>
          <w:sz w:val="21"/>
          <w:lang w:val="en-US" w:eastAsia="ru-RU"/>
        </w:rPr>
        <w:t xml:space="preserve"> advertising platform; audience; online advertising; analytics.</w:t>
      </w:r>
    </w:p>
    <w:p w14:paraId="1CB11D6C" w14:textId="77777777" w:rsidR="00987F35" w:rsidRPr="00987F35" w:rsidRDefault="00987F35" w:rsidP="00987F35">
      <w:pPr>
        <w:spacing w:after="5" w:line="267" w:lineRule="auto"/>
        <w:jc w:val="both"/>
        <w:rPr>
          <w:rFonts w:ascii="Times New Roman" w:eastAsia="Times New Roman" w:hAnsi="Times New Roman" w:cs="Times New Roman"/>
          <w:color w:val="000000"/>
          <w:sz w:val="32"/>
          <w:szCs w:val="32"/>
          <w:lang w:val="en-US" w:eastAsia="ru-RU"/>
        </w:rPr>
      </w:pPr>
    </w:p>
    <w:p w14:paraId="51C27826"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Важная роль в современных </w:t>
      </w:r>
      <w:r w:rsidRPr="00987F35">
        <w:rPr>
          <w:rFonts w:ascii="Times New Roman" w:eastAsia="Times New Roman" w:hAnsi="Times New Roman" w:cs="Times New Roman"/>
          <w:sz w:val="32"/>
          <w:szCs w:val="32"/>
          <w:lang w:eastAsia="ru-RU"/>
        </w:rPr>
        <w:t>маркетинговых</w:t>
      </w:r>
      <w:r w:rsidRPr="00987F35">
        <w:rPr>
          <w:rFonts w:ascii="Times New Roman" w:eastAsia="Times New Roman" w:hAnsi="Times New Roman" w:cs="Times New Roman"/>
          <w:color w:val="000000"/>
          <w:sz w:val="32"/>
          <w:szCs w:val="32"/>
          <w:lang w:eastAsia="ru-RU"/>
        </w:rPr>
        <w:t xml:space="preserve"> стратегиях компаний принадлежит рекламе – именно она способствует привлечению внимания целевой аудитории, формированию имиджа бренда, что вследствие приводит к увеличению продаж и повышению узнаваемости и лояльности компаний.</w:t>
      </w:r>
    </w:p>
    <w:p w14:paraId="2C882153"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Качественно спланированные рекламные компании эффективно транслируют ключевые выгодные свойства и конкурентные преимущества товаров и услуг, формируют эмоциональную привязку и активный спрос со стороны потребителей. Благодаря использованию цифровых инструментов реклама носит не только адресный и персонализированный характер, но и имеет высокий окупаемый потенциал.</w:t>
      </w:r>
    </w:p>
    <w:p w14:paraId="7D73269E"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По итогам 2024 года в России объем рынка интернет-рекламы достиг 470 млрд рублей – увеличение выявлено на фоне общей положительной динамики отрасли, а ссылаясь на данные за апрель 2025 года доля онлайн-сегмента в совокупной структуре рекламного рынка выросла до 52% - отмечает Ассоциация коммуникационных агентств России.</w:t>
      </w:r>
    </w:p>
    <w:p w14:paraId="459D87D0"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С учетом санкционных ограничений и быстроразвивающихся отечественных платформ, необходимо оценить качество и эффективность имеющихся инструментов, поскольку для малых предприятий в особенности реклама – основной канал привлечения клиентов.</w:t>
      </w:r>
    </w:p>
    <w:p w14:paraId="47701FB0"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Цель этой научной статьи — провести сравнительный анализ современных рекламных платформ с учетом таргетинга, ROI, адаптации к изменениям и предоставить бизнесу и маркетологам практические рекомендации по выбору каналов продвижения на постоянно развивающемся цифровом рынке. Основываясь на статистике, статья поможет минимизировать рекламные расходы и максимизировать эффективность кампаний.</w:t>
      </w:r>
    </w:p>
    <w:p w14:paraId="337C76B5"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lastRenderedPageBreak/>
        <w:t xml:space="preserve">Рекламная платформа – это набор сервисов, которые предоставляют основной функционал для показа digital-рекламы. В широком смысле к данному термину относят разные виды платформ.      </w:t>
      </w:r>
    </w:p>
    <w:p w14:paraId="48E2DA71"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Их различия заключаются в имеющихся у них функциях. К рекламным площадкам относятся: платформы для запуска рекламы и социальные сети.</w:t>
      </w:r>
    </w:p>
    <w:p w14:paraId="41E2EEFA"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Ключевыми отличиями между площадками являются:</w:t>
      </w:r>
    </w:p>
    <w:p w14:paraId="39F6C310"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Основные функции;</w:t>
      </w:r>
    </w:p>
    <w:p w14:paraId="4AA61946"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Форматы рекламных объявлений;</w:t>
      </w:r>
    </w:p>
    <w:p w14:paraId="612471D0"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Таргетинг и аудитория;</w:t>
      </w:r>
    </w:p>
    <w:p w14:paraId="4E2F1B2B"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Механизмы показа рекламы;</w:t>
      </w:r>
    </w:p>
    <w:p w14:paraId="00321BF7"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Измерение эффективности;</w:t>
      </w:r>
    </w:p>
    <w:p w14:paraId="1D676FF4" w14:textId="77777777" w:rsidR="00987F35" w:rsidRPr="00987F35" w:rsidRDefault="00987F35" w:rsidP="00AD58CD">
      <w:pPr>
        <w:numPr>
          <w:ilvl w:val="0"/>
          <w:numId w:val="181"/>
        </w:numPr>
        <w:spacing w:after="5" w:line="267" w:lineRule="auto"/>
        <w:contextualSpacing/>
        <w:jc w:val="both"/>
        <w:rPr>
          <w:rFonts w:ascii="Times New Roman" w:eastAsia="Times New Roman" w:hAnsi="Times New Roman" w:cs="Times New Roman"/>
          <w:b/>
          <w:color w:val="000000"/>
          <w:sz w:val="32"/>
          <w:szCs w:val="32"/>
          <w:lang w:eastAsia="ru-RU"/>
        </w:rPr>
      </w:pPr>
      <w:r w:rsidRPr="00987F35">
        <w:rPr>
          <w:rFonts w:ascii="Times New Roman" w:eastAsia="Times New Roman" w:hAnsi="Times New Roman" w:cs="Times New Roman"/>
          <w:color w:val="000000"/>
          <w:sz w:val="32"/>
          <w:szCs w:val="32"/>
          <w:lang w:eastAsia="ru-RU"/>
        </w:rPr>
        <w:t>Гибкость и автоматизация.</w:t>
      </w:r>
    </w:p>
    <w:p w14:paraId="243EB757"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В статье мы сравним следующие рекламные платформы, которыми активно пользуются предприниматели в РФ: Яндекс.Директ,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w:t>
      </w:r>
      <w:r w:rsidRPr="00987F35">
        <w:rPr>
          <w:rFonts w:ascii="Times New Roman" w:eastAsia="Times New Roman" w:hAnsi="Times New Roman" w:cs="Times New Roman"/>
          <w:color w:val="000000"/>
          <w:sz w:val="32"/>
          <w:szCs w:val="32"/>
          <w:lang w:val="en-US" w:eastAsia="ru-RU"/>
        </w:rPr>
        <w:t>Telegram</w:t>
      </w:r>
      <w:r w:rsidRPr="00987F35">
        <w:rPr>
          <w:rFonts w:ascii="Times New Roman" w:eastAsia="Times New Roman" w:hAnsi="Times New Roman" w:cs="Times New Roman"/>
          <w:color w:val="000000"/>
          <w:sz w:val="32"/>
          <w:szCs w:val="32"/>
          <w:lang w:eastAsia="ru-RU"/>
        </w:rPr>
        <w:t xml:space="preserve"> </w:t>
      </w:r>
      <w:r w:rsidRPr="00987F35">
        <w:rPr>
          <w:rFonts w:ascii="Times New Roman" w:eastAsia="Times New Roman" w:hAnsi="Times New Roman" w:cs="Times New Roman"/>
          <w:color w:val="000000"/>
          <w:sz w:val="32"/>
          <w:szCs w:val="32"/>
          <w:lang w:val="en-US" w:eastAsia="ru-RU"/>
        </w:rPr>
        <w:t>ADS</w:t>
      </w:r>
      <w:r w:rsidRPr="00987F35">
        <w:rPr>
          <w:rFonts w:ascii="Times New Roman" w:eastAsia="Times New Roman" w:hAnsi="Times New Roman" w:cs="Times New Roman"/>
          <w:color w:val="000000"/>
          <w:sz w:val="32"/>
          <w:szCs w:val="32"/>
          <w:lang w:eastAsia="ru-RU"/>
        </w:rPr>
        <w:t xml:space="preserve">,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w:t>
      </w:r>
    </w:p>
    <w:p w14:paraId="150C4259" w14:textId="77777777" w:rsidR="00987F35" w:rsidRPr="00987F35" w:rsidRDefault="00987F35" w:rsidP="00987F35">
      <w:pPr>
        <w:spacing w:after="5" w:line="267" w:lineRule="auto"/>
        <w:ind w:left="1015"/>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1. Яндекс.Директ — это рекламная система, предназначенная для</w:t>
      </w:r>
    </w:p>
    <w:p w14:paraId="125A1D96" w14:textId="77777777" w:rsidR="00987F35" w:rsidRPr="00987F35" w:rsidRDefault="00987F35" w:rsidP="00987F35">
      <w:pPr>
        <w:spacing w:after="5" w:line="267" w:lineRule="auto"/>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продвижения продуктов и услуг в интернете, а именно — в поисковой системе Яндекса и в его сети сайтов и приложений. Яндекс Директ является одним из лидеров рынка интернет-рекламы в России. По данным Яндекса, рекламу через Директ запускают более 400 000 рекламодателей, а доля поисковой системы Яндекса в стране на начало 2024 года составляет около 64%.</w:t>
      </w:r>
    </w:p>
    <w:p w14:paraId="262DC163"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Ключевые характеристики Яндекс.Директ: возможность </w:t>
      </w:r>
      <w:proofErr w:type="gramStart"/>
      <w:r w:rsidRPr="00987F35">
        <w:rPr>
          <w:rFonts w:ascii="Times New Roman" w:eastAsia="Times New Roman" w:hAnsi="Times New Roman" w:cs="Times New Roman"/>
          <w:color w:val="000000"/>
          <w:sz w:val="32"/>
          <w:szCs w:val="32"/>
          <w:lang w:eastAsia="ru-RU"/>
        </w:rPr>
        <w:t>таргетинга по ключевым словам</w:t>
      </w:r>
      <w:proofErr w:type="gramEnd"/>
      <w:r w:rsidRPr="00987F35">
        <w:rPr>
          <w:rFonts w:ascii="Times New Roman" w:eastAsia="Times New Roman" w:hAnsi="Times New Roman" w:cs="Times New Roman"/>
          <w:color w:val="000000"/>
          <w:sz w:val="32"/>
          <w:szCs w:val="32"/>
          <w:lang w:eastAsia="ru-RU"/>
        </w:rPr>
        <w:t>, регионам, демографическим данным пользователей, гибкую настройку ставок и бюджета, автоматические стратегии управления ставками, аналитику эффективности кампаний в режиме реального времени, широкие возможности оптимизации рекламных объявлений и удобный интерфейс для управления рекламными кампаниями. Платформа ориентирована преимущественно на российский рынок и широко используется отечественными компаниями всех масштабов.</w:t>
      </w:r>
    </w:p>
    <w:p w14:paraId="4460A7CA"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2.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 это единая платформа для продвижения бизнеса на проектах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и в рекламной сети.</w:t>
      </w:r>
    </w:p>
    <w:p w14:paraId="4B11CC65"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lastRenderedPageBreak/>
        <w:t xml:space="preserve">Благодаря </w:t>
      </w:r>
      <w:r w:rsidRPr="00987F35">
        <w:rPr>
          <w:rFonts w:ascii="Times New Roman" w:eastAsia="Times New Roman" w:hAnsi="Times New Roman" w:cs="Times New Roman"/>
          <w:color w:val="000000"/>
          <w:sz w:val="32"/>
          <w:szCs w:val="32"/>
          <w:lang w:val="en-US" w:eastAsia="ru-RU"/>
        </w:rPr>
        <w:t>ML</w:t>
      </w:r>
      <w:r w:rsidRPr="00987F35">
        <w:rPr>
          <w:rFonts w:ascii="Times New Roman" w:eastAsia="Times New Roman" w:hAnsi="Times New Roman" w:cs="Times New Roman"/>
          <w:color w:val="000000"/>
          <w:sz w:val="32"/>
          <w:szCs w:val="32"/>
          <w:lang w:eastAsia="ru-RU"/>
        </w:rPr>
        <w:t>-моделям VK Реклама анализирует, как пользователи взаимодействуют с рекламой на разных платформах и в разных форматах и вычисляет вероятность совершения целевого действия для каждого рекламируемого товара. Для рекламодателей платформа выглядит просто и понятно: лаконичный интерфейс с минимумом ручных настроек и алгоритмы, которые подстраиваются под запросы пользователей.</w:t>
      </w:r>
    </w:p>
    <w:p w14:paraId="04DB1AA2"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3. Telegram ADS - официальная платформа для размещения рекламы в мессенджере </w:t>
      </w:r>
      <w:r w:rsidRPr="00987F35">
        <w:rPr>
          <w:rFonts w:ascii="Times New Roman" w:eastAsia="Times New Roman" w:hAnsi="Times New Roman" w:cs="Times New Roman"/>
          <w:color w:val="000000"/>
          <w:sz w:val="32"/>
          <w:szCs w:val="32"/>
          <w:lang w:val="en-US" w:eastAsia="ru-RU"/>
        </w:rPr>
        <w:t>Telegram</w:t>
      </w:r>
      <w:r w:rsidRPr="00987F35">
        <w:rPr>
          <w:rFonts w:ascii="Times New Roman" w:eastAsia="Times New Roman" w:hAnsi="Times New Roman" w:cs="Times New Roman"/>
          <w:color w:val="000000"/>
          <w:sz w:val="32"/>
          <w:szCs w:val="32"/>
          <w:lang w:eastAsia="ru-RU"/>
        </w:rPr>
        <w:t xml:space="preserve">. Она позволяет размещать нативную рекламу (текстово-графические объявления) в любых открытых каналах без согласования с их владельцами. Платформа охватывает около 40 млн пользователей в России, а в мире около 800 млн. Главным преимуществом Telegram ADS перед другими платформами можно назвать доступ к высокововлеченной аудитории с низкой конкуренцией, что возможно благодаря нативноному формату, высокому </w:t>
      </w:r>
      <w:r w:rsidRPr="00987F35">
        <w:rPr>
          <w:rFonts w:ascii="Times New Roman" w:eastAsia="Times New Roman" w:hAnsi="Times New Roman" w:cs="Times New Roman"/>
          <w:color w:val="000000"/>
          <w:sz w:val="32"/>
          <w:szCs w:val="32"/>
          <w:lang w:val="en-US" w:eastAsia="ru-RU"/>
        </w:rPr>
        <w:t>CTR</w:t>
      </w:r>
      <w:r w:rsidRPr="00987F35">
        <w:rPr>
          <w:rFonts w:ascii="Times New Roman" w:eastAsia="Times New Roman" w:hAnsi="Times New Roman" w:cs="Times New Roman"/>
          <w:color w:val="000000"/>
          <w:sz w:val="32"/>
          <w:szCs w:val="32"/>
          <w:lang w:eastAsia="ru-RU"/>
        </w:rPr>
        <w:t xml:space="preserve"> и возможности точечного выбора каналов.</w:t>
      </w:r>
    </w:p>
    <w:p w14:paraId="64996774"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4.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 платформа развлекательного контента, которая состоит из коротких видеороликов.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имеет свою рекламную платформу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w:t>
      </w:r>
      <w:r w:rsidRPr="00987F35">
        <w:rPr>
          <w:rFonts w:ascii="Times New Roman" w:eastAsia="Times New Roman" w:hAnsi="Times New Roman" w:cs="Times New Roman"/>
          <w:color w:val="000000"/>
          <w:sz w:val="32"/>
          <w:szCs w:val="32"/>
          <w:lang w:val="en-US" w:eastAsia="ru-RU"/>
        </w:rPr>
        <w:t>Ads</w:t>
      </w:r>
      <w:r w:rsidRPr="00987F35">
        <w:rPr>
          <w:rFonts w:ascii="Times New Roman" w:eastAsia="Times New Roman" w:hAnsi="Times New Roman" w:cs="Times New Roman"/>
          <w:color w:val="000000"/>
          <w:sz w:val="32"/>
          <w:szCs w:val="32"/>
          <w:lang w:eastAsia="ru-RU"/>
        </w:rPr>
        <w:t>, которая помогает бизнесам создавать рекламные объявления, но по состоянию на 2025 год пользователи из России не имеют доступа к этой платформе. Но даже без использования специальных инструментов, бизнесы продолжают вести успешные рекламные кампании через рекламу у блогеров и инфлюенсеров. Рассмотрим подробнее, с помощью чего им это удаётся.</w:t>
      </w:r>
    </w:p>
    <w:p w14:paraId="6C22CC97"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Реклама в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представлена в нескольких основных форматах:</w:t>
      </w:r>
    </w:p>
    <w:p w14:paraId="0E0FBBF0" w14:textId="77777777" w:rsidR="00987F35" w:rsidRPr="00987F35" w:rsidRDefault="00987F35" w:rsidP="00AD58CD">
      <w:pPr>
        <w:numPr>
          <w:ilvl w:val="0"/>
          <w:numId w:val="182"/>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val="en-US" w:eastAsia="ru-RU"/>
        </w:rPr>
        <w:t>In</w:t>
      </w:r>
      <w:r w:rsidRPr="00987F35">
        <w:rPr>
          <w:rFonts w:ascii="Times New Roman" w:eastAsia="Times New Roman" w:hAnsi="Times New Roman" w:cs="Times New Roman"/>
          <w:color w:val="000000"/>
          <w:sz w:val="32"/>
          <w:szCs w:val="32"/>
          <w:lang w:eastAsia="ru-RU"/>
        </w:rPr>
        <w:t>-</w:t>
      </w:r>
      <w:r w:rsidRPr="00987F35">
        <w:rPr>
          <w:rFonts w:ascii="Times New Roman" w:eastAsia="Times New Roman" w:hAnsi="Times New Roman" w:cs="Times New Roman"/>
          <w:color w:val="000000"/>
          <w:sz w:val="32"/>
          <w:szCs w:val="32"/>
          <w:lang w:val="en-US" w:eastAsia="ru-RU"/>
        </w:rPr>
        <w:t>Feed</w:t>
      </w:r>
      <w:r w:rsidRPr="00987F35">
        <w:rPr>
          <w:rFonts w:ascii="Times New Roman" w:eastAsia="Times New Roman" w:hAnsi="Times New Roman" w:cs="Times New Roman"/>
          <w:color w:val="000000"/>
          <w:sz w:val="32"/>
          <w:szCs w:val="32"/>
          <w:lang w:eastAsia="ru-RU"/>
        </w:rPr>
        <w:t xml:space="preserve"> </w:t>
      </w:r>
      <w:r w:rsidRPr="00987F35">
        <w:rPr>
          <w:rFonts w:ascii="Times New Roman" w:eastAsia="Times New Roman" w:hAnsi="Times New Roman" w:cs="Times New Roman"/>
          <w:color w:val="000000"/>
          <w:sz w:val="32"/>
          <w:szCs w:val="32"/>
          <w:lang w:val="en-US" w:eastAsia="ru-RU"/>
        </w:rPr>
        <w:t>Native</w:t>
      </w:r>
      <w:r w:rsidRPr="00987F35">
        <w:rPr>
          <w:rFonts w:ascii="Times New Roman" w:eastAsia="Times New Roman" w:hAnsi="Times New Roman" w:cs="Times New Roman"/>
          <w:color w:val="000000"/>
          <w:sz w:val="32"/>
          <w:szCs w:val="32"/>
          <w:lang w:eastAsia="ru-RU"/>
        </w:rPr>
        <w:t xml:space="preserve"> </w:t>
      </w:r>
      <w:r w:rsidRPr="00987F35">
        <w:rPr>
          <w:rFonts w:ascii="Times New Roman" w:eastAsia="Times New Roman" w:hAnsi="Times New Roman" w:cs="Times New Roman"/>
          <w:color w:val="000000"/>
          <w:sz w:val="32"/>
          <w:szCs w:val="32"/>
          <w:lang w:val="en-US" w:eastAsia="ru-RU"/>
        </w:rPr>
        <w:t>Video</w:t>
      </w:r>
      <w:r w:rsidRPr="00987F35">
        <w:rPr>
          <w:rFonts w:ascii="Times New Roman" w:eastAsia="Times New Roman" w:hAnsi="Times New Roman" w:cs="Times New Roman"/>
          <w:color w:val="000000"/>
          <w:sz w:val="32"/>
          <w:szCs w:val="32"/>
          <w:lang w:eastAsia="ru-RU"/>
        </w:rPr>
        <w:t xml:space="preserve"> – короткие вертикальные видео с нативной рекламой;</w:t>
      </w:r>
    </w:p>
    <w:p w14:paraId="0CA99C10" w14:textId="77777777" w:rsidR="00987F35" w:rsidRPr="00987F35" w:rsidRDefault="00987F35" w:rsidP="00AD58CD">
      <w:pPr>
        <w:numPr>
          <w:ilvl w:val="0"/>
          <w:numId w:val="182"/>
        </w:numPr>
        <w:spacing w:after="200" w:line="276" w:lineRule="auto"/>
        <w:contextualSpacing/>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Branded Hashtag Challenges – брендированные хэштег-челленджи, стимулирующие пользовательский контент (UGC).</w:t>
      </w:r>
    </w:p>
    <w:p w14:paraId="61D4DC4A" w14:textId="77777777" w:rsidR="00987F35" w:rsidRPr="00987F35" w:rsidRDefault="00987F35" w:rsidP="00AD58CD">
      <w:pPr>
        <w:numPr>
          <w:ilvl w:val="0"/>
          <w:numId w:val="182"/>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Branded Effects – заказ фирменных стикеров, масок, игр.</w:t>
      </w:r>
    </w:p>
    <w:p w14:paraId="3E13F1DA"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использует машинное обучение для анализа рекламы и контента, эффективные форматы и высокую вовлеченность. По </w:t>
      </w:r>
      <w:r w:rsidRPr="00987F35">
        <w:rPr>
          <w:rFonts w:ascii="Times New Roman" w:eastAsia="Times New Roman" w:hAnsi="Times New Roman" w:cs="Times New Roman"/>
          <w:color w:val="000000"/>
          <w:sz w:val="32"/>
          <w:szCs w:val="32"/>
          <w:lang w:eastAsia="ru-RU"/>
        </w:rPr>
        <w:lastRenderedPageBreak/>
        <w:t xml:space="preserve">данным интернет портала </w:t>
      </w:r>
      <w:r w:rsidRPr="00987F35">
        <w:rPr>
          <w:rFonts w:ascii="Times New Roman" w:eastAsia="Times New Roman" w:hAnsi="Times New Roman" w:cs="Times New Roman"/>
          <w:color w:val="000000"/>
          <w:sz w:val="32"/>
          <w:szCs w:val="32"/>
          <w:lang w:val="en-US" w:eastAsia="ru-RU"/>
        </w:rPr>
        <w:t>ADPASS</w:t>
      </w:r>
      <w:r w:rsidRPr="00987F35">
        <w:rPr>
          <w:rFonts w:ascii="Times New Roman" w:eastAsia="Times New Roman" w:hAnsi="Times New Roman" w:cs="Times New Roman"/>
          <w:color w:val="000000"/>
          <w:sz w:val="32"/>
          <w:szCs w:val="32"/>
          <w:lang w:eastAsia="ru-RU"/>
        </w:rPr>
        <w:t xml:space="preserve"> - месячная российская аудитория (MAU) TikTok в марте 2025 года достигла 69,3 млн пользователей, а среднедневная (DAU) — 35,4 млн человек.</w:t>
      </w:r>
    </w:p>
    <w:p w14:paraId="1E321269"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Для сравнительного анализа рекламных платформ был выбран метод многокритериального сопоставления. Сбор данных осуществлялся из официальных платформ рекламных площадок (Яндекс.Радар,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Аудитория, </w:t>
      </w:r>
      <w:r w:rsidRPr="00987F35">
        <w:rPr>
          <w:rFonts w:ascii="Times New Roman" w:eastAsia="Times New Roman" w:hAnsi="Times New Roman" w:cs="Times New Roman"/>
          <w:color w:val="000000"/>
          <w:sz w:val="32"/>
          <w:szCs w:val="32"/>
          <w:lang w:val="en-US" w:eastAsia="ru-RU"/>
        </w:rPr>
        <w:t>Telegram</w:t>
      </w:r>
      <w:r w:rsidRPr="00987F35">
        <w:rPr>
          <w:rFonts w:ascii="Times New Roman" w:eastAsia="Times New Roman" w:hAnsi="Times New Roman" w:cs="Times New Roman"/>
          <w:color w:val="000000"/>
          <w:sz w:val="32"/>
          <w:szCs w:val="32"/>
          <w:lang w:eastAsia="ru-RU"/>
        </w:rPr>
        <w:t>), отчетов известных компаний - Mediascope и РАЭК, а также используя успешные кейсы рекламных кампаний брендов в России.</w:t>
      </w:r>
    </w:p>
    <w:p w14:paraId="01F9144D"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Результаты исследования представлены в таблице 1.</w:t>
      </w:r>
    </w:p>
    <w:p w14:paraId="4B8C6C65" w14:textId="77777777" w:rsidR="00987F35" w:rsidRPr="00987F35" w:rsidRDefault="00987F35" w:rsidP="00987F35">
      <w:pPr>
        <w:spacing w:after="5" w:line="266" w:lineRule="auto"/>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Таблица 1 – Сравнение рекламных платформ</w:t>
      </w:r>
    </w:p>
    <w:tbl>
      <w:tblPr>
        <w:tblStyle w:val="100"/>
        <w:tblW w:w="0" w:type="auto"/>
        <w:tblInd w:w="153" w:type="dxa"/>
        <w:tblLook w:val="04A0" w:firstRow="1" w:lastRow="0" w:firstColumn="1" w:lastColumn="0" w:noHBand="0" w:noVBand="1"/>
      </w:tblPr>
      <w:tblGrid>
        <w:gridCol w:w="1551"/>
        <w:gridCol w:w="1855"/>
        <w:gridCol w:w="1747"/>
        <w:gridCol w:w="2632"/>
        <w:gridCol w:w="1690"/>
      </w:tblGrid>
      <w:tr w:rsidR="00987F35" w:rsidRPr="00987F35" w14:paraId="7393775A" w14:textId="77777777" w:rsidTr="00EB1CB9">
        <w:tc>
          <w:tcPr>
            <w:tcW w:w="2019" w:type="dxa"/>
          </w:tcPr>
          <w:p w14:paraId="65272ECA"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Критерий</w:t>
            </w:r>
          </w:p>
        </w:tc>
        <w:tc>
          <w:tcPr>
            <w:tcW w:w="2020" w:type="dxa"/>
          </w:tcPr>
          <w:p w14:paraId="2B3AF2E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Яндекс.Директ</w:t>
            </w:r>
          </w:p>
        </w:tc>
        <w:tc>
          <w:tcPr>
            <w:tcW w:w="2020" w:type="dxa"/>
          </w:tcPr>
          <w:p w14:paraId="0F850A2B"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VK Реклама</w:t>
            </w:r>
          </w:p>
        </w:tc>
        <w:tc>
          <w:tcPr>
            <w:tcW w:w="2020" w:type="dxa"/>
          </w:tcPr>
          <w:p w14:paraId="7DE3D854"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Telegram ADS</w:t>
            </w:r>
          </w:p>
        </w:tc>
        <w:tc>
          <w:tcPr>
            <w:tcW w:w="2020" w:type="dxa"/>
          </w:tcPr>
          <w:p w14:paraId="28EEFE03"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TikTok</w:t>
            </w:r>
          </w:p>
        </w:tc>
      </w:tr>
      <w:tr w:rsidR="00987F35" w:rsidRPr="00987F35" w14:paraId="7CFD8796" w14:textId="77777777" w:rsidTr="00EB1CB9">
        <w:tc>
          <w:tcPr>
            <w:tcW w:w="2019" w:type="dxa"/>
          </w:tcPr>
          <w:p w14:paraId="7B56B5B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Охват аудитории</w:t>
            </w:r>
          </w:p>
        </w:tc>
        <w:tc>
          <w:tcPr>
            <w:tcW w:w="2020" w:type="dxa"/>
          </w:tcPr>
          <w:p w14:paraId="4886682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60 млн пользователей</w:t>
            </w:r>
          </w:p>
        </w:tc>
        <w:tc>
          <w:tcPr>
            <w:tcW w:w="2020" w:type="dxa"/>
          </w:tcPr>
          <w:p w14:paraId="67557F7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70 млн пользователей</w:t>
            </w:r>
          </w:p>
        </w:tc>
        <w:tc>
          <w:tcPr>
            <w:tcW w:w="2020" w:type="dxa"/>
          </w:tcPr>
          <w:p w14:paraId="560720D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40 млн пользователей(нишевый)</w:t>
            </w:r>
          </w:p>
        </w:tc>
        <w:tc>
          <w:tcPr>
            <w:tcW w:w="2020" w:type="dxa"/>
          </w:tcPr>
          <w:p w14:paraId="6A84A01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69 млн пользователей</w:t>
            </w:r>
          </w:p>
        </w:tc>
      </w:tr>
      <w:tr w:rsidR="00987F35" w:rsidRPr="00987F35" w14:paraId="44902FA4" w14:textId="77777777" w:rsidTr="00EB1CB9">
        <w:tc>
          <w:tcPr>
            <w:tcW w:w="2019" w:type="dxa"/>
          </w:tcPr>
          <w:p w14:paraId="2547766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Стоимость рекламы</w:t>
            </w:r>
          </w:p>
        </w:tc>
        <w:tc>
          <w:tcPr>
            <w:tcW w:w="2020" w:type="dxa"/>
          </w:tcPr>
          <w:p w14:paraId="419669CB"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СРС – от 10 до 30 рублей минимально (зависит от ниши); </w:t>
            </w:r>
          </w:p>
          <w:p w14:paraId="42656DCF"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СРМ – 50-300 рублей;</w:t>
            </w:r>
          </w:p>
          <w:p w14:paraId="4832689A"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минимальный бюджет кампаний – 600 рублей</w:t>
            </w:r>
          </w:p>
        </w:tc>
        <w:tc>
          <w:tcPr>
            <w:tcW w:w="2020" w:type="dxa"/>
          </w:tcPr>
          <w:p w14:paraId="50E3C3F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СРС – от 3 до 30 рублей;</w:t>
            </w:r>
          </w:p>
          <w:p w14:paraId="4CE0F94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СРМ – 50-500 р; минимальный бюджет кампаний – 500 рублей; рекомендуемый дневной бюджет – от 300 рублей. </w:t>
            </w:r>
          </w:p>
        </w:tc>
        <w:tc>
          <w:tcPr>
            <w:tcW w:w="2020" w:type="dxa"/>
          </w:tcPr>
          <w:p w14:paraId="6DC6DA06"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СРС – от 10 до 50 рублей;</w:t>
            </w:r>
          </w:p>
          <w:p w14:paraId="00A706DA"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СРМ – 100-1000 рублей; минимальный бюджет кампаний - от 1.000 рублей</w:t>
            </w:r>
          </w:p>
        </w:tc>
        <w:tc>
          <w:tcPr>
            <w:tcW w:w="2020" w:type="dxa"/>
          </w:tcPr>
          <w:p w14:paraId="22BE979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СРС – от 20 до 100 рублей;</w:t>
            </w:r>
          </w:p>
          <w:p w14:paraId="04CB214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СРМ – 200-1.000 рублей;</w:t>
            </w:r>
          </w:p>
          <w:p w14:paraId="7FC86B7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Минимальный бюджет зависит от количества </w:t>
            </w:r>
            <w:proofErr w:type="gramStart"/>
            <w:r w:rsidRPr="00987F35">
              <w:rPr>
                <w:rFonts w:ascii="Times New Roman" w:eastAsia="Times New Roman" w:hAnsi="Times New Roman" w:cs="Times New Roman"/>
                <w:color w:val="000000"/>
                <w:sz w:val="24"/>
                <w:szCs w:val="24"/>
              </w:rPr>
              <w:t>аудитории  и</w:t>
            </w:r>
            <w:proofErr w:type="gramEnd"/>
            <w:r w:rsidRPr="00987F35">
              <w:rPr>
                <w:rFonts w:ascii="Times New Roman" w:eastAsia="Times New Roman" w:hAnsi="Times New Roman" w:cs="Times New Roman"/>
                <w:color w:val="000000"/>
                <w:sz w:val="24"/>
                <w:szCs w:val="24"/>
              </w:rPr>
              <w:t xml:space="preserve"> тематики блогера и варьируется от 1.000 до 300.000 тысяч рублей.</w:t>
            </w:r>
          </w:p>
          <w:p w14:paraId="46CF54B6"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p>
          <w:p w14:paraId="1AF1AD4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p>
        </w:tc>
      </w:tr>
      <w:tr w:rsidR="00987F35" w:rsidRPr="00987F35" w14:paraId="3478BDC9" w14:textId="77777777" w:rsidTr="00EB1CB9">
        <w:tc>
          <w:tcPr>
            <w:tcW w:w="2019" w:type="dxa"/>
          </w:tcPr>
          <w:p w14:paraId="6A8073A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Таргетинг</w:t>
            </w:r>
          </w:p>
        </w:tc>
        <w:tc>
          <w:tcPr>
            <w:tcW w:w="2020" w:type="dxa"/>
          </w:tcPr>
          <w:p w14:paraId="5CE2B08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Поисковые запросы + социальная демография</w:t>
            </w:r>
          </w:p>
        </w:tc>
        <w:tc>
          <w:tcPr>
            <w:tcW w:w="2020" w:type="dxa"/>
          </w:tcPr>
          <w:p w14:paraId="7F9B0E7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Интересы, сообщества</w:t>
            </w:r>
          </w:p>
        </w:tc>
        <w:tc>
          <w:tcPr>
            <w:tcW w:w="2020" w:type="dxa"/>
          </w:tcPr>
          <w:p w14:paraId="7A87133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Только тематика каналов</w:t>
            </w:r>
          </w:p>
        </w:tc>
        <w:tc>
          <w:tcPr>
            <w:tcW w:w="2020" w:type="dxa"/>
          </w:tcPr>
          <w:p w14:paraId="2AF92E7A"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Видео, звуки, хештеги</w:t>
            </w:r>
          </w:p>
        </w:tc>
      </w:tr>
      <w:tr w:rsidR="00987F35" w:rsidRPr="00987F35" w14:paraId="38063DE2" w14:textId="77777777" w:rsidTr="00EB1CB9">
        <w:tc>
          <w:tcPr>
            <w:tcW w:w="2019" w:type="dxa"/>
          </w:tcPr>
          <w:p w14:paraId="17159C1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Форматы рекламы</w:t>
            </w:r>
          </w:p>
        </w:tc>
        <w:tc>
          <w:tcPr>
            <w:tcW w:w="2020" w:type="dxa"/>
          </w:tcPr>
          <w:p w14:paraId="3311F08E"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Текстово – графические объявления</w:t>
            </w:r>
          </w:p>
        </w:tc>
        <w:tc>
          <w:tcPr>
            <w:tcW w:w="2020" w:type="dxa"/>
          </w:tcPr>
          <w:p w14:paraId="5246350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Фото и видео контент в ленте, карусели</w:t>
            </w:r>
          </w:p>
        </w:tc>
        <w:tc>
          <w:tcPr>
            <w:tcW w:w="2020" w:type="dxa"/>
          </w:tcPr>
          <w:p w14:paraId="6A6D254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Нативные посты в каналах</w:t>
            </w:r>
          </w:p>
        </w:tc>
        <w:tc>
          <w:tcPr>
            <w:tcW w:w="2020" w:type="dxa"/>
          </w:tcPr>
          <w:p w14:paraId="783C2FE4"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Короткие вертикальные видео</w:t>
            </w:r>
          </w:p>
        </w:tc>
      </w:tr>
      <w:tr w:rsidR="00987F35" w:rsidRPr="00987F35" w14:paraId="26ACD1EC" w14:textId="77777777" w:rsidTr="00EB1CB9">
        <w:tc>
          <w:tcPr>
            <w:tcW w:w="2019" w:type="dxa"/>
          </w:tcPr>
          <w:p w14:paraId="6280CAE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lastRenderedPageBreak/>
              <w:t>Инструменты аналитики</w:t>
            </w:r>
          </w:p>
        </w:tc>
        <w:tc>
          <w:tcPr>
            <w:tcW w:w="2020" w:type="dxa"/>
          </w:tcPr>
          <w:p w14:paraId="01F5354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Яндекс.Метрика, </w:t>
            </w:r>
            <w:r w:rsidRPr="00987F35">
              <w:rPr>
                <w:rFonts w:ascii="Times New Roman" w:eastAsia="Times New Roman" w:hAnsi="Times New Roman" w:cs="Times New Roman"/>
                <w:color w:val="000000"/>
                <w:sz w:val="24"/>
                <w:szCs w:val="24"/>
                <w:lang w:val="en-US"/>
              </w:rPr>
              <w:t>ROI</w:t>
            </w:r>
            <w:r w:rsidRPr="00987F35">
              <w:rPr>
                <w:rFonts w:ascii="Times New Roman" w:eastAsia="Times New Roman" w:hAnsi="Times New Roman" w:cs="Times New Roman"/>
                <w:color w:val="000000"/>
                <w:sz w:val="24"/>
                <w:szCs w:val="24"/>
              </w:rPr>
              <w:t>-дашборды</w:t>
            </w:r>
          </w:p>
        </w:tc>
        <w:tc>
          <w:tcPr>
            <w:tcW w:w="2020" w:type="dxa"/>
          </w:tcPr>
          <w:p w14:paraId="37087B3E"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lang w:val="en-US"/>
              </w:rPr>
              <w:t xml:space="preserve">VK </w:t>
            </w:r>
            <w:r w:rsidRPr="00987F35">
              <w:rPr>
                <w:rFonts w:ascii="Times New Roman" w:eastAsia="Times New Roman" w:hAnsi="Times New Roman" w:cs="Times New Roman"/>
                <w:color w:val="000000"/>
                <w:sz w:val="24"/>
                <w:szCs w:val="24"/>
              </w:rPr>
              <w:t>аналитика, глубокая сегментация</w:t>
            </w:r>
          </w:p>
        </w:tc>
        <w:tc>
          <w:tcPr>
            <w:tcW w:w="2020" w:type="dxa"/>
          </w:tcPr>
          <w:p w14:paraId="5B6CCCB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Базовая аналитика </w:t>
            </w:r>
            <w:proofErr w:type="gramStart"/>
            <w:r w:rsidRPr="00987F35">
              <w:rPr>
                <w:rFonts w:ascii="Times New Roman" w:eastAsia="Times New Roman" w:hAnsi="Times New Roman" w:cs="Times New Roman"/>
                <w:color w:val="000000"/>
                <w:sz w:val="24"/>
                <w:szCs w:val="24"/>
              </w:rPr>
              <w:t>( просмотры</w:t>
            </w:r>
            <w:proofErr w:type="gramEnd"/>
            <w:r w:rsidRPr="00987F35">
              <w:rPr>
                <w:rFonts w:ascii="Times New Roman" w:eastAsia="Times New Roman" w:hAnsi="Times New Roman" w:cs="Times New Roman"/>
                <w:color w:val="000000"/>
                <w:sz w:val="24"/>
                <w:szCs w:val="24"/>
              </w:rPr>
              <w:t xml:space="preserve">, </w:t>
            </w:r>
            <w:r w:rsidRPr="00987F35">
              <w:rPr>
                <w:rFonts w:ascii="Times New Roman" w:eastAsia="Times New Roman" w:hAnsi="Times New Roman" w:cs="Times New Roman"/>
                <w:color w:val="000000"/>
                <w:sz w:val="24"/>
                <w:szCs w:val="24"/>
                <w:lang w:val="en-US"/>
              </w:rPr>
              <w:t>CTR</w:t>
            </w:r>
            <w:r w:rsidRPr="00987F35">
              <w:rPr>
                <w:rFonts w:ascii="Times New Roman" w:eastAsia="Times New Roman" w:hAnsi="Times New Roman" w:cs="Times New Roman"/>
                <w:color w:val="000000"/>
                <w:sz w:val="24"/>
                <w:szCs w:val="24"/>
              </w:rPr>
              <w:t>, клики)</w:t>
            </w:r>
          </w:p>
        </w:tc>
        <w:tc>
          <w:tcPr>
            <w:tcW w:w="2020" w:type="dxa"/>
          </w:tcPr>
          <w:p w14:paraId="77F5AAF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Отчеты о статистики и вовлеченности</w:t>
            </w:r>
          </w:p>
        </w:tc>
      </w:tr>
      <w:tr w:rsidR="00987F35" w:rsidRPr="00987F35" w14:paraId="520DE847" w14:textId="77777777" w:rsidTr="00EB1CB9">
        <w:tc>
          <w:tcPr>
            <w:tcW w:w="2019" w:type="dxa"/>
          </w:tcPr>
          <w:p w14:paraId="4EFE1EE1"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Юридические ограничения</w:t>
            </w:r>
          </w:p>
        </w:tc>
        <w:tc>
          <w:tcPr>
            <w:tcW w:w="2020" w:type="dxa"/>
          </w:tcPr>
          <w:p w14:paraId="05F376E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Нет</w:t>
            </w:r>
          </w:p>
        </w:tc>
        <w:tc>
          <w:tcPr>
            <w:tcW w:w="2020" w:type="dxa"/>
          </w:tcPr>
          <w:p w14:paraId="68255B9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Нет</w:t>
            </w:r>
          </w:p>
        </w:tc>
        <w:tc>
          <w:tcPr>
            <w:tcW w:w="2020" w:type="dxa"/>
          </w:tcPr>
          <w:p w14:paraId="7C37FB0F"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Требует использования </w:t>
            </w:r>
            <w:r w:rsidRPr="00987F35">
              <w:rPr>
                <w:rFonts w:ascii="Times New Roman" w:eastAsia="Times New Roman" w:hAnsi="Times New Roman" w:cs="Times New Roman"/>
                <w:color w:val="000000"/>
                <w:sz w:val="24"/>
                <w:szCs w:val="24"/>
                <w:lang w:val="en-US"/>
              </w:rPr>
              <w:t>VPN</w:t>
            </w:r>
            <w:r w:rsidRPr="00987F35">
              <w:rPr>
                <w:rFonts w:ascii="Times New Roman" w:eastAsia="Times New Roman" w:hAnsi="Times New Roman" w:cs="Times New Roman"/>
                <w:color w:val="000000"/>
                <w:sz w:val="24"/>
                <w:szCs w:val="24"/>
              </w:rPr>
              <w:t xml:space="preserve"> и иностранной валюты</w:t>
            </w:r>
          </w:p>
        </w:tc>
        <w:tc>
          <w:tcPr>
            <w:tcW w:w="2020" w:type="dxa"/>
          </w:tcPr>
          <w:p w14:paraId="0AA75FAB"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Заблокирована использование </w:t>
            </w:r>
            <w:r w:rsidRPr="00987F35">
              <w:rPr>
                <w:rFonts w:ascii="Times New Roman" w:eastAsia="Times New Roman" w:hAnsi="Times New Roman" w:cs="Times New Roman"/>
                <w:color w:val="000000"/>
                <w:sz w:val="24"/>
                <w:szCs w:val="24"/>
                <w:lang w:val="en-US"/>
              </w:rPr>
              <w:t>TikTok</w:t>
            </w:r>
            <w:r w:rsidRPr="00987F35">
              <w:rPr>
                <w:rFonts w:ascii="Times New Roman" w:eastAsia="Times New Roman" w:hAnsi="Times New Roman" w:cs="Times New Roman"/>
                <w:color w:val="000000"/>
                <w:sz w:val="24"/>
                <w:szCs w:val="24"/>
              </w:rPr>
              <w:t xml:space="preserve"> </w:t>
            </w:r>
            <w:r w:rsidRPr="00987F35">
              <w:rPr>
                <w:rFonts w:ascii="Times New Roman" w:eastAsia="Times New Roman" w:hAnsi="Times New Roman" w:cs="Times New Roman"/>
                <w:color w:val="000000"/>
                <w:sz w:val="24"/>
                <w:szCs w:val="24"/>
                <w:lang w:val="en-US"/>
              </w:rPr>
              <w:t>ADS</w:t>
            </w:r>
            <w:r w:rsidRPr="00987F35">
              <w:rPr>
                <w:rFonts w:ascii="Times New Roman" w:eastAsia="Times New Roman" w:hAnsi="Times New Roman" w:cs="Times New Roman"/>
                <w:color w:val="000000"/>
                <w:sz w:val="24"/>
                <w:szCs w:val="24"/>
              </w:rPr>
              <w:t xml:space="preserve"> на территории РФ, необходимо договариваться через менеджеров и агенства</w:t>
            </w:r>
          </w:p>
        </w:tc>
      </w:tr>
    </w:tbl>
    <w:p w14:paraId="7A94DEBB"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p>
    <w:p w14:paraId="3C319E33"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Далее мы провели анализ для конкретного вида рекламы – реклама, опирающаяся на видео - графический контент, чтобы определить более эффективные площадки для продвижения подобной рекламы. Оценка критериев произведена по балльной системе от 1 до 10.</w:t>
      </w:r>
    </w:p>
    <w:p w14:paraId="568EE484"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Таблица 2 – Оценка платформ для видео - графической рекламы</w:t>
      </w:r>
    </w:p>
    <w:p w14:paraId="42E17B90"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p>
    <w:tbl>
      <w:tblPr>
        <w:tblStyle w:val="100"/>
        <w:tblW w:w="0" w:type="auto"/>
        <w:tblInd w:w="153" w:type="dxa"/>
        <w:tblLook w:val="04A0" w:firstRow="1" w:lastRow="0" w:firstColumn="1" w:lastColumn="0" w:noHBand="0" w:noVBand="1"/>
      </w:tblPr>
      <w:tblGrid>
        <w:gridCol w:w="1954"/>
        <w:gridCol w:w="1974"/>
        <w:gridCol w:w="1852"/>
        <w:gridCol w:w="1865"/>
        <w:gridCol w:w="1830"/>
      </w:tblGrid>
      <w:tr w:rsidR="00987F35" w:rsidRPr="00987F35" w14:paraId="5F4144F6" w14:textId="77777777" w:rsidTr="00EB1CB9">
        <w:tc>
          <w:tcPr>
            <w:tcW w:w="2019" w:type="dxa"/>
          </w:tcPr>
          <w:p w14:paraId="5F4E147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Критерий</w:t>
            </w:r>
          </w:p>
        </w:tc>
        <w:tc>
          <w:tcPr>
            <w:tcW w:w="2020" w:type="dxa"/>
          </w:tcPr>
          <w:p w14:paraId="5173C1D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Яндекс.Директ</w:t>
            </w:r>
          </w:p>
        </w:tc>
        <w:tc>
          <w:tcPr>
            <w:tcW w:w="2020" w:type="dxa"/>
          </w:tcPr>
          <w:p w14:paraId="60E0402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VK Реклама</w:t>
            </w:r>
          </w:p>
        </w:tc>
        <w:tc>
          <w:tcPr>
            <w:tcW w:w="2020" w:type="dxa"/>
          </w:tcPr>
          <w:p w14:paraId="160AEDD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Telegram ADS</w:t>
            </w:r>
          </w:p>
        </w:tc>
        <w:tc>
          <w:tcPr>
            <w:tcW w:w="2020" w:type="dxa"/>
          </w:tcPr>
          <w:p w14:paraId="3C5335BC"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TikTok</w:t>
            </w:r>
          </w:p>
        </w:tc>
      </w:tr>
      <w:tr w:rsidR="00987F35" w:rsidRPr="00987F35" w14:paraId="6AD4A62F" w14:textId="77777777" w:rsidTr="00EB1CB9">
        <w:tc>
          <w:tcPr>
            <w:tcW w:w="2019" w:type="dxa"/>
          </w:tcPr>
          <w:p w14:paraId="65FF7F23"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Охват аудитории</w:t>
            </w:r>
          </w:p>
        </w:tc>
        <w:tc>
          <w:tcPr>
            <w:tcW w:w="2020" w:type="dxa"/>
          </w:tcPr>
          <w:p w14:paraId="15BD3F8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w:t>
            </w:r>
          </w:p>
        </w:tc>
        <w:tc>
          <w:tcPr>
            <w:tcW w:w="2020" w:type="dxa"/>
          </w:tcPr>
          <w:p w14:paraId="183AE16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8</w:t>
            </w:r>
          </w:p>
        </w:tc>
        <w:tc>
          <w:tcPr>
            <w:tcW w:w="2020" w:type="dxa"/>
          </w:tcPr>
          <w:p w14:paraId="25E61193"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w:t>
            </w:r>
          </w:p>
        </w:tc>
        <w:tc>
          <w:tcPr>
            <w:tcW w:w="2020" w:type="dxa"/>
          </w:tcPr>
          <w:p w14:paraId="063CF02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9</w:t>
            </w:r>
          </w:p>
        </w:tc>
      </w:tr>
      <w:tr w:rsidR="00987F35" w:rsidRPr="00987F35" w14:paraId="612948F7" w14:textId="77777777" w:rsidTr="00EB1CB9">
        <w:tc>
          <w:tcPr>
            <w:tcW w:w="2019" w:type="dxa"/>
          </w:tcPr>
          <w:p w14:paraId="7AF83981"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Стоимость рекламы</w:t>
            </w:r>
          </w:p>
        </w:tc>
        <w:tc>
          <w:tcPr>
            <w:tcW w:w="2020" w:type="dxa"/>
          </w:tcPr>
          <w:p w14:paraId="1FC3016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w:t>
            </w:r>
          </w:p>
        </w:tc>
        <w:tc>
          <w:tcPr>
            <w:tcW w:w="2020" w:type="dxa"/>
          </w:tcPr>
          <w:p w14:paraId="17188EE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 xml:space="preserve">8 </w:t>
            </w:r>
          </w:p>
        </w:tc>
        <w:tc>
          <w:tcPr>
            <w:tcW w:w="2020" w:type="dxa"/>
          </w:tcPr>
          <w:p w14:paraId="242FE5C7"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w:t>
            </w:r>
          </w:p>
        </w:tc>
        <w:tc>
          <w:tcPr>
            <w:tcW w:w="2020" w:type="dxa"/>
          </w:tcPr>
          <w:p w14:paraId="5C8EC84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w:t>
            </w:r>
          </w:p>
          <w:p w14:paraId="6CA716F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p>
        </w:tc>
      </w:tr>
      <w:tr w:rsidR="00987F35" w:rsidRPr="00987F35" w14:paraId="00CF3DEC" w14:textId="77777777" w:rsidTr="00EB1CB9">
        <w:tc>
          <w:tcPr>
            <w:tcW w:w="2019" w:type="dxa"/>
          </w:tcPr>
          <w:p w14:paraId="07E104F9"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Таргетинг</w:t>
            </w:r>
          </w:p>
        </w:tc>
        <w:tc>
          <w:tcPr>
            <w:tcW w:w="2020" w:type="dxa"/>
          </w:tcPr>
          <w:p w14:paraId="5E8884BE"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7</w:t>
            </w:r>
          </w:p>
        </w:tc>
        <w:tc>
          <w:tcPr>
            <w:tcW w:w="2020" w:type="dxa"/>
          </w:tcPr>
          <w:p w14:paraId="3659676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9</w:t>
            </w:r>
          </w:p>
        </w:tc>
        <w:tc>
          <w:tcPr>
            <w:tcW w:w="2020" w:type="dxa"/>
          </w:tcPr>
          <w:p w14:paraId="1EDFE5D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w:t>
            </w:r>
          </w:p>
        </w:tc>
        <w:tc>
          <w:tcPr>
            <w:tcW w:w="2020" w:type="dxa"/>
          </w:tcPr>
          <w:p w14:paraId="0E80DDF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7</w:t>
            </w:r>
          </w:p>
        </w:tc>
      </w:tr>
      <w:tr w:rsidR="00987F35" w:rsidRPr="00987F35" w14:paraId="5C0E190F" w14:textId="77777777" w:rsidTr="00EB1CB9">
        <w:tc>
          <w:tcPr>
            <w:tcW w:w="2019" w:type="dxa"/>
          </w:tcPr>
          <w:p w14:paraId="2987324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Форматы рекламы</w:t>
            </w:r>
          </w:p>
        </w:tc>
        <w:tc>
          <w:tcPr>
            <w:tcW w:w="2020" w:type="dxa"/>
          </w:tcPr>
          <w:p w14:paraId="42A04900"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w:t>
            </w:r>
          </w:p>
        </w:tc>
        <w:tc>
          <w:tcPr>
            <w:tcW w:w="2020" w:type="dxa"/>
          </w:tcPr>
          <w:p w14:paraId="1A1D525E"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9</w:t>
            </w:r>
          </w:p>
        </w:tc>
        <w:tc>
          <w:tcPr>
            <w:tcW w:w="2020" w:type="dxa"/>
          </w:tcPr>
          <w:p w14:paraId="71ED9558"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2</w:t>
            </w:r>
          </w:p>
        </w:tc>
        <w:tc>
          <w:tcPr>
            <w:tcW w:w="2020" w:type="dxa"/>
          </w:tcPr>
          <w:p w14:paraId="42874FD3"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10</w:t>
            </w:r>
          </w:p>
        </w:tc>
      </w:tr>
      <w:tr w:rsidR="00987F35" w:rsidRPr="00987F35" w14:paraId="6711018D" w14:textId="77777777" w:rsidTr="00EB1CB9">
        <w:tc>
          <w:tcPr>
            <w:tcW w:w="2019" w:type="dxa"/>
          </w:tcPr>
          <w:p w14:paraId="23E43243"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Инструменты аналитики</w:t>
            </w:r>
          </w:p>
        </w:tc>
        <w:tc>
          <w:tcPr>
            <w:tcW w:w="2020" w:type="dxa"/>
          </w:tcPr>
          <w:p w14:paraId="0468F7B4"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8</w:t>
            </w:r>
          </w:p>
        </w:tc>
        <w:tc>
          <w:tcPr>
            <w:tcW w:w="2020" w:type="dxa"/>
          </w:tcPr>
          <w:p w14:paraId="49F3732E"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9</w:t>
            </w:r>
          </w:p>
        </w:tc>
        <w:tc>
          <w:tcPr>
            <w:tcW w:w="2020" w:type="dxa"/>
          </w:tcPr>
          <w:p w14:paraId="1B968DCB"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4</w:t>
            </w:r>
          </w:p>
        </w:tc>
        <w:tc>
          <w:tcPr>
            <w:tcW w:w="2020" w:type="dxa"/>
          </w:tcPr>
          <w:p w14:paraId="79CA75AA"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7</w:t>
            </w:r>
          </w:p>
        </w:tc>
      </w:tr>
      <w:tr w:rsidR="00987F35" w:rsidRPr="00987F35" w14:paraId="09B9BAC5" w14:textId="77777777" w:rsidTr="00EB1CB9">
        <w:tc>
          <w:tcPr>
            <w:tcW w:w="2019" w:type="dxa"/>
          </w:tcPr>
          <w:p w14:paraId="127575BD"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Юридические ограничения</w:t>
            </w:r>
          </w:p>
        </w:tc>
        <w:tc>
          <w:tcPr>
            <w:tcW w:w="2020" w:type="dxa"/>
          </w:tcPr>
          <w:p w14:paraId="3F327C46"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8</w:t>
            </w:r>
          </w:p>
        </w:tc>
        <w:tc>
          <w:tcPr>
            <w:tcW w:w="2020" w:type="dxa"/>
          </w:tcPr>
          <w:p w14:paraId="0ED64E24"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7</w:t>
            </w:r>
          </w:p>
        </w:tc>
        <w:tc>
          <w:tcPr>
            <w:tcW w:w="2020" w:type="dxa"/>
          </w:tcPr>
          <w:p w14:paraId="4E808435"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6</w:t>
            </w:r>
          </w:p>
        </w:tc>
        <w:tc>
          <w:tcPr>
            <w:tcW w:w="2020" w:type="dxa"/>
          </w:tcPr>
          <w:p w14:paraId="335CC9E2" w14:textId="77777777" w:rsidR="00987F35" w:rsidRPr="00987F35" w:rsidRDefault="00987F35" w:rsidP="00987F35">
            <w:pPr>
              <w:spacing w:after="5" w:line="266" w:lineRule="auto"/>
              <w:jc w:val="center"/>
              <w:rPr>
                <w:rFonts w:ascii="Times New Roman" w:eastAsia="Times New Roman" w:hAnsi="Times New Roman" w:cs="Times New Roman"/>
                <w:color w:val="000000"/>
                <w:sz w:val="24"/>
                <w:szCs w:val="24"/>
              </w:rPr>
            </w:pPr>
            <w:r w:rsidRPr="00987F35">
              <w:rPr>
                <w:rFonts w:ascii="Times New Roman" w:eastAsia="Times New Roman" w:hAnsi="Times New Roman" w:cs="Times New Roman"/>
                <w:color w:val="000000"/>
                <w:sz w:val="24"/>
                <w:szCs w:val="24"/>
              </w:rPr>
              <w:t>5</w:t>
            </w:r>
          </w:p>
        </w:tc>
      </w:tr>
    </w:tbl>
    <w:p w14:paraId="353EDEF9"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p>
    <w:p w14:paraId="47FCD444"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Благодаря проведённому анализу мы выявили, что наиболее эффективными площадками для размещения видео – графического контента являются VK Реклама и TikTok. </w:t>
      </w:r>
    </w:p>
    <w:p w14:paraId="49681E6D"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p>
    <w:p w14:paraId="3A6420C0"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Calibri" w:eastAsia="DengXian" w:hAnsi="Calibri" w:cs="Arial"/>
          <w:noProof/>
          <w:lang w:eastAsia="ru-RU"/>
        </w:rPr>
        <w:lastRenderedPageBreak/>
        <w:drawing>
          <wp:inline distT="0" distB="0" distL="0" distR="0" wp14:anchorId="5CBEA14D" wp14:editId="183EFEA3">
            <wp:extent cx="5048250" cy="3067050"/>
            <wp:effectExtent l="0" t="0" r="0" b="0"/>
            <wp:docPr id="1551746099" name="Диаграмма 15517460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9"/>
              </a:graphicData>
            </a:graphic>
          </wp:inline>
        </w:drawing>
      </w:r>
    </w:p>
    <w:p w14:paraId="2E4947D5" w14:textId="77777777" w:rsidR="00987F35" w:rsidRPr="00987F35" w:rsidRDefault="00987F35" w:rsidP="00987F35">
      <w:pPr>
        <w:spacing w:after="200" w:line="276" w:lineRule="auto"/>
        <w:jc w:val="center"/>
        <w:rPr>
          <w:rFonts w:ascii="Times New Roman" w:eastAsia="Times New Roman" w:hAnsi="Times New Roman" w:cs="Times New Roman"/>
          <w:color w:val="000000"/>
          <w:sz w:val="28"/>
          <w:szCs w:val="28"/>
          <w:lang w:eastAsia="ru-RU"/>
        </w:rPr>
      </w:pPr>
      <w:r w:rsidRPr="00987F35">
        <w:rPr>
          <w:rFonts w:ascii="Times New Roman" w:eastAsia="Times New Roman" w:hAnsi="Times New Roman" w:cs="Times New Roman"/>
          <w:color w:val="000000"/>
          <w:sz w:val="28"/>
          <w:szCs w:val="28"/>
          <w:lang w:eastAsia="ru-RU"/>
        </w:rPr>
        <w:t>Рисунок 1 – радарная диаграмма оценки платформ для видео - графической рекламы</w:t>
      </w:r>
    </w:p>
    <w:p w14:paraId="4C55874D" w14:textId="77777777" w:rsidR="00987F35" w:rsidRPr="00987F35" w:rsidRDefault="00987F35" w:rsidP="00987F35">
      <w:pPr>
        <w:spacing w:after="5" w:line="266" w:lineRule="auto"/>
        <w:ind w:left="153" w:firstLine="862"/>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Основываясь на полученных данных анализа рекламных платформ, можно сделать следующие выводы:</w:t>
      </w:r>
    </w:p>
    <w:p w14:paraId="08347569" w14:textId="77777777" w:rsidR="00987F35" w:rsidRPr="00987F35" w:rsidRDefault="00987F35" w:rsidP="00AD58CD">
      <w:pPr>
        <w:numPr>
          <w:ilvl w:val="0"/>
          <w:numId w:val="183"/>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охватывает наиболее число пользователей и нацелена на разные аудитории, когда как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хоть и имеет приближенное количество пользователей, но нацелен на более молодую аудиторию.</w:t>
      </w:r>
    </w:p>
    <w:p w14:paraId="5F88E7DA" w14:textId="77777777" w:rsidR="00987F35" w:rsidRPr="00987F35" w:rsidRDefault="00987F35" w:rsidP="00AD58CD">
      <w:pPr>
        <w:numPr>
          <w:ilvl w:val="0"/>
          <w:numId w:val="183"/>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Наиболее доступной по ценовым категориям является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(минимальный бюджет от 500 рублей), в категорию средней стоимость можно отнести Яндекс.Директ, а к условно «премиум» сегмент относим TikTok и Telegram ADS.</w:t>
      </w:r>
    </w:p>
    <w:p w14:paraId="22338491" w14:textId="77777777" w:rsidR="00987F35" w:rsidRPr="00987F35" w:rsidRDefault="00987F35" w:rsidP="00AD58CD">
      <w:pPr>
        <w:numPr>
          <w:ilvl w:val="0"/>
          <w:numId w:val="183"/>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Яндекс.Директ лидирует за счет таргетинга – поисковых запросов и социально-демографических данных, но и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обладает рядом аналитических инструментов и настраивает рекламу исходя из интересов целевой аудитории. </w:t>
      </w:r>
    </w:p>
    <w:p w14:paraId="2D717782" w14:textId="77777777" w:rsidR="00987F35" w:rsidRPr="00987F35" w:rsidRDefault="00987F35" w:rsidP="00AD58CD">
      <w:pPr>
        <w:numPr>
          <w:ilvl w:val="0"/>
          <w:numId w:val="183"/>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По форматам и вовлеченности более универсальна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 платформа предлагает фото, видео и текстовый формат рекламы, но Яндекс.Директ будет более эффективен для прямых продаж. Стоит отметить, что формат рекламы в </w:t>
      </w:r>
      <w:r w:rsidRPr="00987F35">
        <w:rPr>
          <w:rFonts w:ascii="Times New Roman" w:eastAsia="Times New Roman" w:hAnsi="Times New Roman" w:cs="Times New Roman"/>
          <w:color w:val="000000"/>
          <w:sz w:val="32"/>
          <w:szCs w:val="32"/>
          <w:lang w:val="en-US" w:eastAsia="ru-RU"/>
        </w:rPr>
        <w:t>TikTok</w:t>
      </w:r>
      <w:r w:rsidRPr="00987F35">
        <w:rPr>
          <w:rFonts w:ascii="Times New Roman" w:eastAsia="Times New Roman" w:hAnsi="Times New Roman" w:cs="Times New Roman"/>
          <w:color w:val="000000"/>
          <w:sz w:val="32"/>
          <w:szCs w:val="32"/>
          <w:lang w:eastAsia="ru-RU"/>
        </w:rPr>
        <w:t xml:space="preserve"> сейчас набирает особую популярность, за счет </w:t>
      </w:r>
      <w:r w:rsidRPr="00987F35">
        <w:rPr>
          <w:rFonts w:ascii="Times New Roman" w:eastAsia="Times New Roman" w:hAnsi="Times New Roman" w:cs="Times New Roman"/>
          <w:color w:val="000000"/>
          <w:sz w:val="32"/>
          <w:szCs w:val="32"/>
          <w:lang w:eastAsia="ru-RU"/>
        </w:rPr>
        <w:lastRenderedPageBreak/>
        <w:t>адаптируемость и гибкости контента, что важно при наличии молодежной целевой аудитории.</w:t>
      </w:r>
    </w:p>
    <w:p w14:paraId="75027EFB" w14:textId="77777777" w:rsidR="00987F35" w:rsidRPr="00987F35" w:rsidRDefault="00987F35" w:rsidP="00AD58CD">
      <w:pPr>
        <w:numPr>
          <w:ilvl w:val="0"/>
          <w:numId w:val="183"/>
        </w:numPr>
        <w:spacing w:after="5" w:line="266" w:lineRule="auto"/>
        <w:contextualSpacing/>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color w:val="000000"/>
          <w:sz w:val="32"/>
          <w:szCs w:val="32"/>
          <w:lang w:eastAsia="ru-RU"/>
        </w:rPr>
        <w:t xml:space="preserve">TikTok и Telegram ADS имеют некоторые риски, связанные с юридическими ограничениями. В этом плане Яндекс.Директ и </w:t>
      </w:r>
      <w:r w:rsidRPr="00987F35">
        <w:rPr>
          <w:rFonts w:ascii="Times New Roman" w:eastAsia="Times New Roman" w:hAnsi="Times New Roman" w:cs="Times New Roman"/>
          <w:color w:val="000000"/>
          <w:sz w:val="32"/>
          <w:szCs w:val="32"/>
          <w:lang w:val="en-US" w:eastAsia="ru-RU"/>
        </w:rPr>
        <w:t>VK</w:t>
      </w:r>
      <w:r w:rsidRPr="00987F35">
        <w:rPr>
          <w:rFonts w:ascii="Times New Roman" w:eastAsia="Times New Roman" w:hAnsi="Times New Roman" w:cs="Times New Roman"/>
          <w:color w:val="000000"/>
          <w:sz w:val="32"/>
          <w:szCs w:val="32"/>
          <w:lang w:eastAsia="ru-RU"/>
        </w:rPr>
        <w:t xml:space="preserve"> Реклама – максимально стабильные площадки.</w:t>
      </w:r>
    </w:p>
    <w:p w14:paraId="7BCE4B55" w14:textId="1D522E3A" w:rsidR="00987F35" w:rsidRPr="00987F35" w:rsidRDefault="00987F35" w:rsidP="00987F35">
      <w:pPr>
        <w:spacing w:after="5" w:line="267" w:lineRule="auto"/>
        <w:ind w:left="151" w:firstLine="864"/>
        <w:jc w:val="both"/>
        <w:rPr>
          <w:rFonts w:ascii="Times New Roman" w:eastAsia="Times New Roman" w:hAnsi="Times New Roman" w:cs="Times New Roman"/>
          <w:color w:val="000000"/>
          <w:sz w:val="32"/>
          <w:szCs w:val="32"/>
          <w:lang w:eastAsia="ru-RU"/>
        </w:rPr>
      </w:pPr>
      <w:r w:rsidRPr="00987F35">
        <w:rPr>
          <w:rFonts w:ascii="Times New Roman" w:eastAsia="Times New Roman" w:hAnsi="Times New Roman" w:cs="Times New Roman"/>
          <w:sz w:val="32"/>
          <w:szCs w:val="32"/>
          <w:lang w:eastAsia="ru-RU"/>
        </w:rPr>
        <w:t>Сравнительный анализ рекламных платформ, используемых бизнесами в России</w:t>
      </w:r>
      <w:r w:rsidR="004406C6">
        <w:rPr>
          <w:rFonts w:ascii="Times New Roman" w:eastAsia="Times New Roman" w:hAnsi="Times New Roman" w:cs="Times New Roman"/>
          <w:sz w:val="32"/>
          <w:szCs w:val="32"/>
          <w:lang w:eastAsia="ru-RU"/>
        </w:rPr>
        <w:t>,</w:t>
      </w:r>
      <w:r w:rsidRPr="00987F35">
        <w:rPr>
          <w:rFonts w:ascii="Times New Roman" w:eastAsia="Times New Roman" w:hAnsi="Times New Roman" w:cs="Times New Roman"/>
          <w:sz w:val="32"/>
          <w:szCs w:val="32"/>
          <w:lang w:eastAsia="ru-RU"/>
        </w:rPr>
        <w:t xml:space="preserve"> показывает, что выбор оптимального сервиса зависит от маркетинговых целей и целевой аудитории компании: Яндекс.Директ благодаря точному таргетингу по поисковым запросам, мощным инструментам аналитики и высокой окупаемости наиболее эффективен для конверсионных кампаний. </w:t>
      </w:r>
      <w:r w:rsidRPr="00987F35">
        <w:rPr>
          <w:rFonts w:ascii="Times New Roman" w:eastAsia="Times New Roman" w:hAnsi="Times New Roman" w:cs="Times New Roman"/>
          <w:sz w:val="32"/>
          <w:szCs w:val="32"/>
          <w:lang w:val="en-US" w:eastAsia="ru-RU"/>
        </w:rPr>
        <w:t>VK</w:t>
      </w:r>
      <w:r w:rsidRPr="00987F35">
        <w:rPr>
          <w:rFonts w:ascii="Times New Roman" w:eastAsia="Times New Roman" w:hAnsi="Times New Roman" w:cs="Times New Roman"/>
          <w:sz w:val="32"/>
          <w:szCs w:val="32"/>
          <w:lang w:eastAsia="ru-RU"/>
        </w:rPr>
        <w:t xml:space="preserve"> Реклама обеспечивает широкий охват и сегментацию по интересам, а также часто адаптирует форматы реклам под нужды бизнеса, что делает её идеальной для повышения узнаваемости бренда и привлечения новой аудитории. Реклама через </w:t>
      </w:r>
      <w:r w:rsidRPr="00987F35">
        <w:rPr>
          <w:rFonts w:ascii="Times New Roman" w:eastAsia="Times New Roman" w:hAnsi="Times New Roman" w:cs="Times New Roman"/>
          <w:color w:val="000000"/>
          <w:sz w:val="32"/>
          <w:szCs w:val="32"/>
          <w:lang w:eastAsia="ru-RU"/>
        </w:rPr>
        <w:t xml:space="preserve">Telegram ADS подходит для нишевого продвижения </w:t>
      </w:r>
      <w:r w:rsidRPr="00987F35">
        <w:rPr>
          <w:rFonts w:ascii="Times New Roman" w:eastAsia="Times New Roman" w:hAnsi="Times New Roman" w:cs="Times New Roman"/>
          <w:color w:val="000000"/>
          <w:sz w:val="32"/>
          <w:szCs w:val="32"/>
          <w:lang w:val="en-US" w:eastAsia="ru-RU"/>
        </w:rPr>
        <w:t>B</w:t>
      </w:r>
      <w:r w:rsidRPr="00987F35">
        <w:rPr>
          <w:rFonts w:ascii="Times New Roman" w:eastAsia="Times New Roman" w:hAnsi="Times New Roman" w:cs="Times New Roman"/>
          <w:color w:val="000000"/>
          <w:sz w:val="32"/>
          <w:szCs w:val="32"/>
          <w:lang w:eastAsia="ru-RU"/>
        </w:rPr>
        <w:t>2</w:t>
      </w:r>
      <w:r w:rsidRPr="00987F35">
        <w:rPr>
          <w:rFonts w:ascii="Times New Roman" w:eastAsia="Times New Roman" w:hAnsi="Times New Roman" w:cs="Times New Roman"/>
          <w:color w:val="000000"/>
          <w:sz w:val="32"/>
          <w:szCs w:val="32"/>
          <w:lang w:val="en-US" w:eastAsia="ru-RU"/>
        </w:rPr>
        <w:t>B</w:t>
      </w:r>
      <w:r w:rsidRPr="00987F35">
        <w:rPr>
          <w:rFonts w:ascii="Times New Roman" w:eastAsia="Times New Roman" w:hAnsi="Times New Roman" w:cs="Times New Roman"/>
          <w:color w:val="000000"/>
          <w:sz w:val="32"/>
          <w:szCs w:val="32"/>
          <w:lang w:eastAsia="ru-RU"/>
        </w:rPr>
        <w:t>-сегмента. А реклама через платформу TikTok имеет отличные от других площадок алгоритмы и способы размещения, но имеет растущий потенциал среди вирального контента в молодежном сегменте.</w:t>
      </w:r>
    </w:p>
    <w:p w14:paraId="342CE84D" w14:textId="77777777" w:rsidR="00987F35" w:rsidRPr="00987F35" w:rsidRDefault="00987F35" w:rsidP="00987F35">
      <w:pPr>
        <w:spacing w:after="5" w:line="267" w:lineRule="auto"/>
        <w:ind w:left="151" w:firstLine="864"/>
        <w:jc w:val="both"/>
        <w:rPr>
          <w:rFonts w:ascii="Times New Roman" w:eastAsia="Times New Roman" w:hAnsi="Times New Roman" w:cs="Times New Roman"/>
          <w:color w:val="44546A"/>
          <w:sz w:val="32"/>
          <w:szCs w:val="32"/>
          <w:lang w:eastAsia="ru-RU"/>
        </w:rPr>
      </w:pPr>
      <w:r w:rsidRPr="00987F35">
        <w:rPr>
          <w:rFonts w:ascii="Times New Roman" w:eastAsia="Times New Roman" w:hAnsi="Times New Roman" w:cs="Times New Roman"/>
          <w:sz w:val="32"/>
          <w:szCs w:val="32"/>
          <w:lang w:eastAsia="ru-RU"/>
        </w:rPr>
        <w:t xml:space="preserve">Для комплексных рекламных стратегий важно комбинирование платформ и использование как поисковой рекламы (Яндекс.Директ, </w:t>
      </w:r>
      <w:r w:rsidRPr="00987F35">
        <w:rPr>
          <w:rFonts w:ascii="Times New Roman" w:eastAsia="Times New Roman" w:hAnsi="Times New Roman" w:cs="Times New Roman"/>
          <w:sz w:val="32"/>
          <w:szCs w:val="32"/>
          <w:lang w:val="en-US" w:eastAsia="ru-RU"/>
        </w:rPr>
        <w:t>VK</w:t>
      </w:r>
      <w:r w:rsidRPr="00987F35">
        <w:rPr>
          <w:rFonts w:ascii="Times New Roman" w:eastAsia="Times New Roman" w:hAnsi="Times New Roman" w:cs="Times New Roman"/>
          <w:sz w:val="32"/>
          <w:szCs w:val="32"/>
          <w:lang w:eastAsia="ru-RU"/>
        </w:rPr>
        <w:t xml:space="preserve"> Реклама), так и социальный медиа для массового охвата - </w:t>
      </w:r>
      <w:r w:rsidRPr="00987F35">
        <w:rPr>
          <w:rFonts w:ascii="Times New Roman" w:eastAsia="Times New Roman" w:hAnsi="Times New Roman" w:cs="Times New Roman"/>
          <w:color w:val="000000"/>
          <w:sz w:val="32"/>
          <w:szCs w:val="32"/>
          <w:lang w:eastAsia="ru-RU"/>
        </w:rPr>
        <w:t>Telegram ADS и TikTok. Необходимо проводить глубокую аналитику откликов, вовлеченности и других рекламных показателей для определения наиболее выгодного продвижения.</w:t>
      </w:r>
    </w:p>
    <w:p w14:paraId="4752A719" w14:textId="77777777" w:rsidR="00987F35" w:rsidRPr="00987F35" w:rsidRDefault="00987F35" w:rsidP="00987F35">
      <w:pPr>
        <w:spacing w:after="0" w:line="240" w:lineRule="auto"/>
        <w:jc w:val="center"/>
        <w:rPr>
          <w:rFonts w:ascii="Times New Roman" w:eastAsia="Times New Roman" w:hAnsi="Times New Roman" w:cs="Times New Roman"/>
          <w:b/>
          <w:sz w:val="21"/>
          <w:szCs w:val="21"/>
          <w:lang w:eastAsia="ru-RU"/>
        </w:rPr>
      </w:pPr>
    </w:p>
    <w:p w14:paraId="48E1445F" w14:textId="2F963674" w:rsidR="00987F35" w:rsidRPr="00987F35" w:rsidRDefault="004406C6" w:rsidP="00987F35">
      <w:pPr>
        <w:spacing w:after="0"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Лит</w:t>
      </w:r>
      <w:r w:rsidR="00987F35" w:rsidRPr="00987F35">
        <w:rPr>
          <w:rFonts w:ascii="Times New Roman" w:eastAsia="Times New Roman" w:hAnsi="Times New Roman" w:cs="Times New Roman"/>
          <w:b/>
          <w:bCs/>
          <w:sz w:val="21"/>
          <w:szCs w:val="21"/>
          <w:lang w:val="en-US" w:eastAsia="ru-RU"/>
        </w:rPr>
        <w:t>ерату</w:t>
      </w:r>
      <w:r>
        <w:rPr>
          <w:rFonts w:ascii="Times New Roman" w:eastAsia="Times New Roman" w:hAnsi="Times New Roman" w:cs="Times New Roman"/>
          <w:b/>
          <w:bCs/>
          <w:sz w:val="21"/>
          <w:szCs w:val="21"/>
          <w:lang w:eastAsia="ru-RU"/>
        </w:rPr>
        <w:t>ра:</w:t>
      </w:r>
    </w:p>
    <w:p w14:paraId="0508C5A2" w14:textId="77777777" w:rsidR="00987F35" w:rsidRPr="00987F35" w:rsidRDefault="00987F35" w:rsidP="00AD58CD">
      <w:pPr>
        <w:numPr>
          <w:ilvl w:val="0"/>
          <w:numId w:val="180"/>
        </w:numPr>
        <w:spacing w:after="0" w:line="240" w:lineRule="auto"/>
        <w:ind w:left="567"/>
        <w:contextualSpacing/>
        <w:jc w:val="both"/>
        <w:rPr>
          <w:rFonts w:ascii="Times New Roman" w:eastAsia="Calibri" w:hAnsi="Times New Roman" w:cs="Times New Roman"/>
          <w:sz w:val="21"/>
          <w:szCs w:val="21"/>
        </w:rPr>
      </w:pPr>
      <w:r w:rsidRPr="00987F35">
        <w:rPr>
          <w:rFonts w:ascii="Times New Roman" w:eastAsia="Calibri" w:hAnsi="Times New Roman" w:cs="Times New Roman"/>
          <w:sz w:val="21"/>
          <w:szCs w:val="21"/>
        </w:rPr>
        <w:t xml:space="preserve">РОЛЬ РЕКЛАМЫ В МАРКЕТИНГЕ//  [Электронный ресурс] </w:t>
      </w:r>
      <w:r w:rsidRPr="00987F35">
        <w:rPr>
          <w:rFonts w:ascii="Times New Roman" w:eastAsia="Calibri" w:hAnsi="Times New Roman" w:cs="Times New Roman"/>
          <w:sz w:val="21"/>
          <w:szCs w:val="21"/>
          <w:lang w:val="en-US"/>
        </w:rPr>
        <w:t>URL</w:t>
      </w:r>
      <w:r w:rsidRPr="00987F35">
        <w:rPr>
          <w:rFonts w:ascii="Times New Roman" w:eastAsia="Calibri" w:hAnsi="Times New Roman" w:cs="Times New Roman"/>
          <w:sz w:val="21"/>
          <w:szCs w:val="21"/>
        </w:rPr>
        <w:t xml:space="preserve">: </w:t>
      </w:r>
      <w:hyperlink r:id="rId610" w:history="1">
        <w:r w:rsidRPr="00987F35">
          <w:rPr>
            <w:rFonts w:ascii="Times New Roman" w:eastAsia="Calibri" w:hAnsi="Times New Roman" w:cs="Times New Roman"/>
            <w:color w:val="0563C1"/>
            <w:sz w:val="21"/>
            <w:szCs w:val="21"/>
            <w:u w:val="single"/>
          </w:rPr>
          <w:t>https://cyberleninka.ru/article/n/rol-reklamy-v-marketinge?ysclid=m9ireaunt1534134325</w:t>
        </w:r>
      </w:hyperlink>
      <w:r w:rsidRPr="00987F35">
        <w:rPr>
          <w:rFonts w:ascii="Times New Roman" w:eastAsia="Calibri" w:hAnsi="Times New Roman" w:cs="Times New Roman"/>
          <w:sz w:val="21"/>
          <w:szCs w:val="21"/>
        </w:rPr>
        <w:t xml:space="preserve"> </w:t>
      </w:r>
    </w:p>
    <w:p w14:paraId="3C929884" w14:textId="77777777" w:rsidR="00987F35" w:rsidRPr="00987F35" w:rsidRDefault="00987F35" w:rsidP="00AD58CD">
      <w:pPr>
        <w:numPr>
          <w:ilvl w:val="0"/>
          <w:numId w:val="180"/>
        </w:numPr>
        <w:spacing w:after="0" w:line="240" w:lineRule="auto"/>
        <w:ind w:left="567"/>
        <w:contextualSpacing/>
        <w:jc w:val="both"/>
        <w:rPr>
          <w:rFonts w:ascii="Times New Roman" w:eastAsia="Calibri" w:hAnsi="Times New Roman" w:cs="Times New Roman"/>
          <w:sz w:val="21"/>
          <w:szCs w:val="21"/>
        </w:rPr>
      </w:pPr>
      <w:r w:rsidRPr="00987F35">
        <w:rPr>
          <w:rFonts w:ascii="Times New Roman" w:eastAsia="Calibri" w:hAnsi="Times New Roman" w:cs="Times New Roman"/>
          <w:sz w:val="21"/>
          <w:szCs w:val="21"/>
        </w:rPr>
        <w:t xml:space="preserve">Интернет-реклама (рынок России)//  [Электронный ресурс] URL: </w:t>
      </w:r>
      <w:hyperlink r:id="rId611" w:history="1">
        <w:r w:rsidRPr="00987F35">
          <w:rPr>
            <w:rFonts w:ascii="Times New Roman" w:eastAsia="Calibri" w:hAnsi="Times New Roman" w:cs="Times New Roman"/>
            <w:color w:val="0563C1"/>
            <w:sz w:val="21"/>
            <w:szCs w:val="21"/>
            <w:u w:val="single"/>
          </w:rPr>
          <w:t>https://www.tadviser.ru/index.php/Статья:Интернет-реклама_(рынок_России)</w:t>
        </w:r>
      </w:hyperlink>
    </w:p>
    <w:p w14:paraId="5EF1D06D" w14:textId="77777777" w:rsidR="00987F35" w:rsidRPr="00987F35" w:rsidRDefault="00987F35" w:rsidP="00AD58CD">
      <w:pPr>
        <w:numPr>
          <w:ilvl w:val="0"/>
          <w:numId w:val="180"/>
        </w:numPr>
        <w:spacing w:after="0" w:line="240" w:lineRule="auto"/>
        <w:ind w:left="567"/>
        <w:contextualSpacing/>
        <w:jc w:val="both"/>
        <w:rPr>
          <w:rFonts w:ascii="Times New Roman" w:eastAsia="Calibri" w:hAnsi="Times New Roman" w:cs="Times New Roman"/>
          <w:sz w:val="21"/>
          <w:szCs w:val="21"/>
        </w:rPr>
      </w:pPr>
      <w:r w:rsidRPr="00987F35">
        <w:rPr>
          <w:rFonts w:ascii="Times New Roman" w:eastAsia="Calibri" w:hAnsi="Times New Roman" w:cs="Times New Roman"/>
          <w:sz w:val="21"/>
          <w:szCs w:val="21"/>
        </w:rPr>
        <w:t xml:space="preserve">Алеева, Е. С. Персонализированный клиентский опыт в цифровом маркетинге с применением искусственного интеллекта / Е. С. Алеева // Современные исследования начинающих ученых и студентов «СИНУС». – 2023. №1(5). – 02001: электронный журнал URL: </w:t>
      </w:r>
      <w:hyperlink r:id="rId612" w:history="1">
        <w:r w:rsidRPr="00987F35">
          <w:rPr>
            <w:rFonts w:ascii="Times New Roman" w:eastAsia="Calibri" w:hAnsi="Times New Roman" w:cs="Times New Roman"/>
            <w:color w:val="0563C1"/>
            <w:sz w:val="21"/>
            <w:szCs w:val="21"/>
            <w:u w:val="single"/>
          </w:rPr>
          <w:t>https://sinus-journal.ru/wp-content/uploads/2024/06/02001.pdf</w:t>
        </w:r>
      </w:hyperlink>
    </w:p>
    <w:p w14:paraId="7DD5C295" w14:textId="77777777" w:rsidR="00987F35" w:rsidRPr="00987F35" w:rsidRDefault="00987F35" w:rsidP="00AD58CD">
      <w:pPr>
        <w:numPr>
          <w:ilvl w:val="0"/>
          <w:numId w:val="180"/>
        </w:numPr>
        <w:spacing w:after="0" w:line="240" w:lineRule="auto"/>
        <w:ind w:left="567"/>
        <w:contextualSpacing/>
        <w:jc w:val="both"/>
        <w:rPr>
          <w:rFonts w:ascii="Times New Roman" w:eastAsia="Calibri" w:hAnsi="Times New Roman" w:cs="Times New Roman"/>
          <w:sz w:val="21"/>
          <w:szCs w:val="21"/>
        </w:rPr>
      </w:pPr>
      <w:r w:rsidRPr="00987F35">
        <w:rPr>
          <w:rFonts w:ascii="Times New Roman" w:eastAsia="Calibri" w:hAnsi="Times New Roman" w:cs="Times New Roman"/>
          <w:sz w:val="21"/>
          <w:szCs w:val="21"/>
        </w:rPr>
        <w:t>Как устроена аудитория социальных медиа/</w:t>
      </w:r>
      <w:proofErr w:type="gramStart"/>
      <w:r w:rsidRPr="00987F35">
        <w:rPr>
          <w:rFonts w:ascii="Times New Roman" w:eastAsia="Calibri" w:hAnsi="Times New Roman" w:cs="Times New Roman"/>
          <w:sz w:val="21"/>
          <w:szCs w:val="21"/>
        </w:rPr>
        <w:t>/[</w:t>
      </w:r>
      <w:proofErr w:type="gramEnd"/>
      <w:r w:rsidRPr="00987F35">
        <w:rPr>
          <w:rFonts w:ascii="Times New Roman" w:eastAsia="Calibri" w:hAnsi="Times New Roman" w:cs="Times New Roman"/>
          <w:sz w:val="21"/>
          <w:szCs w:val="21"/>
        </w:rPr>
        <w:t xml:space="preserve">Электронный ресурс] </w:t>
      </w:r>
      <w:r w:rsidRPr="00987F35">
        <w:rPr>
          <w:rFonts w:ascii="Times New Roman" w:eastAsia="Calibri" w:hAnsi="Times New Roman" w:cs="Times New Roman"/>
          <w:sz w:val="21"/>
          <w:szCs w:val="21"/>
          <w:lang w:val="en-US"/>
        </w:rPr>
        <w:t>URL</w:t>
      </w:r>
      <w:r w:rsidRPr="00987F35">
        <w:rPr>
          <w:rFonts w:ascii="Times New Roman" w:eastAsia="Calibri" w:hAnsi="Times New Roman" w:cs="Times New Roman"/>
          <w:sz w:val="21"/>
          <w:szCs w:val="21"/>
        </w:rPr>
        <w:t>:</w:t>
      </w:r>
      <w:r w:rsidRPr="00987F35">
        <w:rPr>
          <w:rFonts w:ascii="Calibri" w:eastAsia="DengXian" w:hAnsi="Calibri" w:cs="Arial"/>
          <w:lang w:eastAsia="ru-RU"/>
        </w:rPr>
        <w:t xml:space="preserve"> </w:t>
      </w:r>
      <w:hyperlink r:id="rId613" w:history="1">
        <w:r w:rsidRPr="00987F35">
          <w:rPr>
            <w:rFonts w:ascii="Times New Roman" w:eastAsia="Calibri" w:hAnsi="Times New Roman" w:cs="Times New Roman"/>
            <w:color w:val="0563C1"/>
            <w:sz w:val="21"/>
            <w:szCs w:val="21"/>
            <w:u w:val="single"/>
          </w:rPr>
          <w:t>https://mediascope.net/news/2544317/</w:t>
        </w:r>
      </w:hyperlink>
      <w:r w:rsidRPr="00987F35">
        <w:rPr>
          <w:rFonts w:ascii="Times New Roman" w:eastAsia="Calibri" w:hAnsi="Times New Roman" w:cs="Times New Roman"/>
          <w:sz w:val="21"/>
          <w:szCs w:val="21"/>
        </w:rPr>
        <w:t xml:space="preserve"> </w:t>
      </w:r>
    </w:p>
    <w:p w14:paraId="0C96B7EE" w14:textId="77777777" w:rsidR="00987F35" w:rsidRPr="00987F35" w:rsidRDefault="00987F35" w:rsidP="00AD58CD">
      <w:pPr>
        <w:numPr>
          <w:ilvl w:val="0"/>
          <w:numId w:val="180"/>
        </w:numPr>
        <w:spacing w:after="0" w:line="240" w:lineRule="auto"/>
        <w:ind w:left="567"/>
        <w:contextualSpacing/>
        <w:jc w:val="both"/>
        <w:rPr>
          <w:rFonts w:ascii="Times New Roman" w:eastAsia="Calibri" w:hAnsi="Times New Roman" w:cs="Times New Roman"/>
          <w:sz w:val="21"/>
          <w:szCs w:val="21"/>
        </w:rPr>
      </w:pPr>
      <w:r w:rsidRPr="00987F35">
        <w:rPr>
          <w:rFonts w:ascii="Times New Roman" w:eastAsia="Calibri" w:hAnsi="Times New Roman" w:cs="Times New Roman"/>
          <w:sz w:val="21"/>
          <w:szCs w:val="21"/>
        </w:rPr>
        <w:t xml:space="preserve"> Аудитория девяти крупнейших соцсетей в России в 2024 году: исследования и цифры// [Электронный ресурс] </w:t>
      </w:r>
      <w:r w:rsidRPr="00987F35">
        <w:rPr>
          <w:rFonts w:ascii="Times New Roman" w:eastAsia="Calibri" w:hAnsi="Times New Roman" w:cs="Times New Roman"/>
          <w:sz w:val="21"/>
          <w:szCs w:val="21"/>
          <w:lang w:val="en-US"/>
        </w:rPr>
        <w:t>URL</w:t>
      </w:r>
      <w:r w:rsidRPr="00987F35">
        <w:rPr>
          <w:rFonts w:ascii="Times New Roman" w:eastAsia="Calibri" w:hAnsi="Times New Roman" w:cs="Times New Roman"/>
          <w:sz w:val="21"/>
          <w:szCs w:val="21"/>
        </w:rPr>
        <w:t>:</w:t>
      </w:r>
      <w:r w:rsidRPr="00987F35">
        <w:rPr>
          <w:rFonts w:ascii="Calibri" w:eastAsia="DengXian" w:hAnsi="Calibri" w:cs="Arial"/>
          <w:lang w:eastAsia="ru-RU"/>
        </w:rPr>
        <w:t xml:space="preserve"> </w:t>
      </w:r>
      <w:hyperlink r:id="rId614" w:history="1">
        <w:r w:rsidRPr="00987F35">
          <w:rPr>
            <w:rFonts w:ascii="Times New Roman" w:eastAsia="DengXian" w:hAnsi="Times New Roman" w:cs="Times New Roman"/>
            <w:color w:val="0563C1"/>
            <w:u w:val="single"/>
            <w:lang w:eastAsia="ru-RU"/>
          </w:rPr>
          <w:t>https://ppc.world/articles/auditoriya-devyati-krupneyshih-socsetey-v-rossii-v-2024-godu-issledovaniya-i-cifry/</w:t>
        </w:r>
      </w:hyperlink>
    </w:p>
    <w:p w14:paraId="7420588C" w14:textId="77777777" w:rsidR="00C408EB" w:rsidRPr="00C408EB" w:rsidRDefault="00C408EB" w:rsidP="001A634E">
      <w:pPr>
        <w:suppressAutoHyphens/>
        <w:spacing w:after="0" w:line="240" w:lineRule="auto"/>
        <w:jc w:val="right"/>
        <w:rPr>
          <w:rFonts w:ascii="Times New Roman" w:eastAsia="NSimSun" w:hAnsi="Times New Roman" w:cs="Times New Roman"/>
          <w:b/>
          <w:bCs/>
          <w:kern w:val="2"/>
          <w:sz w:val="24"/>
          <w:szCs w:val="24"/>
          <w:lang w:eastAsia="zh-CN" w:bidi="hi-IN"/>
        </w:rPr>
      </w:pPr>
      <w:r w:rsidRPr="00C408EB">
        <w:rPr>
          <w:rFonts w:ascii="Times New Roman" w:eastAsia="NSimSun" w:hAnsi="Times New Roman" w:cs="Times New Roman"/>
          <w:b/>
          <w:bCs/>
          <w:i/>
          <w:iCs/>
          <w:kern w:val="2"/>
          <w:sz w:val="21"/>
          <w:szCs w:val="21"/>
          <w:lang w:eastAsia="zh-CN" w:bidi="hi-IN"/>
        </w:rPr>
        <w:lastRenderedPageBreak/>
        <w:t>Радомский Д.Ю.,</w:t>
      </w:r>
    </w:p>
    <w:p w14:paraId="17F1D7B7"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студент 2 курса</w:t>
      </w:r>
    </w:p>
    <w:p w14:paraId="654A7025" w14:textId="77777777" w:rsidR="001A634E" w:rsidRDefault="001A634E" w:rsidP="001A634E">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1CFFA16"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г. Краснодар, Россия</w:t>
      </w:r>
    </w:p>
    <w:p w14:paraId="12B9F4B0"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 xml:space="preserve">е-mail: </w:t>
      </w:r>
      <w:hyperlink r:id="rId615">
        <w:r w:rsidRPr="00C408EB">
          <w:rPr>
            <w:rFonts w:ascii="Times New Roman" w:eastAsia="NSimSun" w:hAnsi="Times New Roman" w:cs="Times New Roman"/>
            <w:i/>
            <w:iCs/>
            <w:color w:val="000080"/>
            <w:kern w:val="2"/>
            <w:sz w:val="21"/>
            <w:szCs w:val="21"/>
            <w:u w:val="single"/>
            <w:lang w:eastAsia="zh-CN" w:bidi="hi-IN"/>
          </w:rPr>
          <w:t>100dot13sl230102@edu.fa.ru</w:t>
        </w:r>
      </w:hyperlink>
    </w:p>
    <w:p w14:paraId="02ECBD7D" w14:textId="77777777" w:rsidR="00C408EB" w:rsidRPr="00C408EB" w:rsidRDefault="00C408EB" w:rsidP="001A634E">
      <w:pPr>
        <w:suppressAutoHyphens/>
        <w:spacing w:after="0" w:line="240" w:lineRule="auto"/>
        <w:jc w:val="right"/>
        <w:rPr>
          <w:rFonts w:ascii="Times New Roman" w:eastAsia="NSimSun" w:hAnsi="Times New Roman" w:cs="Times New Roman"/>
          <w:i/>
          <w:iCs/>
          <w:kern w:val="2"/>
          <w:sz w:val="21"/>
          <w:szCs w:val="21"/>
          <w:lang w:eastAsia="zh-CN" w:bidi="hi-IN"/>
        </w:rPr>
      </w:pPr>
    </w:p>
    <w:p w14:paraId="4F2E04B4" w14:textId="77777777" w:rsidR="00C408EB" w:rsidRPr="00C408EB" w:rsidRDefault="00C408EB" w:rsidP="001A634E">
      <w:pPr>
        <w:suppressAutoHyphens/>
        <w:spacing w:after="0" w:line="240" w:lineRule="auto"/>
        <w:jc w:val="right"/>
        <w:rPr>
          <w:rFonts w:ascii="Times New Roman" w:eastAsia="NSimSun" w:hAnsi="Times New Roman" w:cs="Times New Roman"/>
          <w:b/>
          <w:bCs/>
          <w:kern w:val="2"/>
          <w:sz w:val="24"/>
          <w:szCs w:val="24"/>
          <w:lang w:eastAsia="zh-CN" w:bidi="hi-IN"/>
        </w:rPr>
      </w:pPr>
      <w:r w:rsidRPr="00C408EB">
        <w:rPr>
          <w:rFonts w:ascii="Times New Roman" w:eastAsia="NSimSun" w:hAnsi="Times New Roman" w:cs="Times New Roman"/>
          <w:b/>
          <w:bCs/>
          <w:i/>
          <w:iCs/>
          <w:kern w:val="2"/>
          <w:sz w:val="21"/>
          <w:szCs w:val="21"/>
          <w:lang w:eastAsia="zh-CN" w:bidi="hi-IN"/>
        </w:rPr>
        <w:t>Научный руководитель:</w:t>
      </w:r>
    </w:p>
    <w:p w14:paraId="3377523F" w14:textId="77777777" w:rsidR="00C408EB" w:rsidRPr="00C408EB" w:rsidRDefault="00C408EB" w:rsidP="001A634E">
      <w:pPr>
        <w:suppressAutoHyphens/>
        <w:spacing w:after="0" w:line="240" w:lineRule="auto"/>
        <w:jc w:val="right"/>
        <w:rPr>
          <w:rFonts w:ascii="Times New Roman" w:eastAsia="NSimSun" w:hAnsi="Times New Roman" w:cs="Times New Roman"/>
          <w:b/>
          <w:bCs/>
          <w:kern w:val="2"/>
          <w:sz w:val="24"/>
          <w:szCs w:val="24"/>
          <w:lang w:eastAsia="zh-CN" w:bidi="hi-IN"/>
        </w:rPr>
      </w:pPr>
      <w:r w:rsidRPr="00C408EB">
        <w:rPr>
          <w:rFonts w:ascii="Times New Roman" w:eastAsia="NSimSun" w:hAnsi="Times New Roman" w:cs="Times New Roman"/>
          <w:b/>
          <w:bCs/>
          <w:i/>
          <w:iCs/>
          <w:kern w:val="2"/>
          <w:sz w:val="21"/>
          <w:szCs w:val="21"/>
          <w:lang w:eastAsia="zh-CN" w:bidi="hi-IN"/>
        </w:rPr>
        <w:t>Нарыжная Н.Ю.,</w:t>
      </w:r>
    </w:p>
    <w:p w14:paraId="039B181A"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доцент, к.т.н.</w:t>
      </w:r>
    </w:p>
    <w:p w14:paraId="713F0107" w14:textId="77777777" w:rsidR="001A634E" w:rsidRDefault="001A634E" w:rsidP="001A634E">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40BC1FF"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г. Краснодар, Россия</w:t>
      </w:r>
    </w:p>
    <w:p w14:paraId="721E0C81" w14:textId="77777777" w:rsidR="00C408EB" w:rsidRPr="00C408EB" w:rsidRDefault="00C408EB" w:rsidP="001A634E">
      <w:pPr>
        <w:suppressAutoHyphens/>
        <w:spacing w:after="0" w:line="240" w:lineRule="auto"/>
        <w:jc w:val="right"/>
        <w:rPr>
          <w:rFonts w:ascii="Times New Roman" w:eastAsia="NSimSun" w:hAnsi="Times New Roman" w:cs="Times New Roman"/>
          <w:kern w:val="2"/>
          <w:sz w:val="24"/>
          <w:szCs w:val="24"/>
          <w:lang w:eastAsia="zh-CN" w:bidi="hi-IN"/>
        </w:rPr>
      </w:pPr>
      <w:r w:rsidRPr="00C408EB">
        <w:rPr>
          <w:rFonts w:ascii="Times New Roman" w:eastAsia="NSimSun" w:hAnsi="Times New Roman" w:cs="Times New Roman"/>
          <w:i/>
          <w:iCs/>
          <w:kern w:val="2"/>
          <w:sz w:val="21"/>
          <w:szCs w:val="21"/>
          <w:lang w:eastAsia="zh-CN" w:bidi="hi-IN"/>
        </w:rPr>
        <w:t>е-</w:t>
      </w:r>
      <w:r w:rsidRPr="00C408EB">
        <w:rPr>
          <w:rFonts w:ascii="Times New Roman" w:eastAsia="NSimSun" w:hAnsi="Times New Roman" w:cs="Times New Roman"/>
          <w:i/>
          <w:iCs/>
          <w:kern w:val="2"/>
          <w:sz w:val="21"/>
          <w:szCs w:val="21"/>
          <w:lang w:val="en-US" w:eastAsia="zh-CN" w:bidi="hi-IN"/>
        </w:rPr>
        <w:t>mail</w:t>
      </w:r>
      <w:r w:rsidRPr="00C408EB">
        <w:rPr>
          <w:rFonts w:ascii="Times New Roman" w:eastAsia="NSimSun" w:hAnsi="Times New Roman" w:cs="Times New Roman"/>
          <w:i/>
          <w:iCs/>
          <w:kern w:val="2"/>
          <w:sz w:val="21"/>
          <w:szCs w:val="21"/>
          <w:lang w:eastAsia="zh-CN" w:bidi="hi-IN"/>
        </w:rPr>
        <w:t xml:space="preserve">: </w:t>
      </w:r>
      <w:r w:rsidRPr="00C408EB">
        <w:rPr>
          <w:rFonts w:ascii="Times New Roman" w:eastAsia="NSimSun" w:hAnsi="Times New Roman" w:cs="Times New Roman"/>
          <w:i/>
          <w:iCs/>
          <w:kern w:val="2"/>
          <w:sz w:val="21"/>
          <w:szCs w:val="21"/>
          <w:lang w:val="en-US" w:eastAsia="zh-CN" w:bidi="hi-IN"/>
        </w:rPr>
        <w:t>NYUNaryzhnaya</w:t>
      </w:r>
      <w:r w:rsidRPr="00C408EB">
        <w:rPr>
          <w:rFonts w:ascii="Times New Roman" w:eastAsia="NSimSun" w:hAnsi="Times New Roman" w:cs="Times New Roman"/>
          <w:i/>
          <w:iCs/>
          <w:kern w:val="2"/>
          <w:sz w:val="21"/>
          <w:szCs w:val="21"/>
          <w:lang w:eastAsia="zh-CN" w:bidi="hi-IN"/>
        </w:rPr>
        <w:t>@</w:t>
      </w:r>
      <w:r w:rsidRPr="00C408EB">
        <w:rPr>
          <w:rFonts w:ascii="Times New Roman" w:eastAsia="NSimSun" w:hAnsi="Times New Roman" w:cs="Times New Roman"/>
          <w:i/>
          <w:iCs/>
          <w:kern w:val="2"/>
          <w:sz w:val="21"/>
          <w:szCs w:val="21"/>
          <w:lang w:val="en-US" w:eastAsia="zh-CN" w:bidi="hi-IN"/>
        </w:rPr>
        <w:t>fa</w:t>
      </w:r>
      <w:r w:rsidRPr="00C408EB">
        <w:rPr>
          <w:rFonts w:ascii="Times New Roman" w:eastAsia="NSimSun" w:hAnsi="Times New Roman" w:cs="Times New Roman"/>
          <w:i/>
          <w:iCs/>
          <w:kern w:val="2"/>
          <w:sz w:val="21"/>
          <w:szCs w:val="21"/>
          <w:lang w:eastAsia="zh-CN" w:bidi="hi-IN"/>
        </w:rPr>
        <w:t>.</w:t>
      </w:r>
      <w:r w:rsidRPr="00C408EB">
        <w:rPr>
          <w:rFonts w:ascii="Times New Roman" w:eastAsia="NSimSun" w:hAnsi="Times New Roman" w:cs="Times New Roman"/>
          <w:i/>
          <w:iCs/>
          <w:kern w:val="2"/>
          <w:sz w:val="21"/>
          <w:szCs w:val="21"/>
          <w:lang w:val="en-US" w:eastAsia="zh-CN" w:bidi="hi-IN"/>
        </w:rPr>
        <w:t>ru</w:t>
      </w:r>
    </w:p>
    <w:p w14:paraId="05D2ABE6" w14:textId="77777777" w:rsidR="00C408EB" w:rsidRPr="00C408EB" w:rsidRDefault="00C408EB" w:rsidP="00C408EB">
      <w:pPr>
        <w:suppressAutoHyphens/>
        <w:spacing w:after="140" w:line="240" w:lineRule="auto"/>
        <w:jc w:val="right"/>
        <w:rPr>
          <w:rFonts w:ascii="Liberation Serif" w:eastAsia="NSimSun" w:hAnsi="Liberation Serif" w:cs="Arial" w:hint="eastAsia"/>
          <w:kern w:val="2"/>
          <w:sz w:val="21"/>
          <w:szCs w:val="21"/>
          <w:lang w:eastAsia="zh-CN" w:bidi="hi-IN"/>
        </w:rPr>
      </w:pPr>
    </w:p>
    <w:p w14:paraId="7E1953EB"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24"/>
          <w:szCs w:val="24"/>
          <w:lang w:eastAsia="zh-CN" w:bidi="hi-IN"/>
        </w:rPr>
      </w:pPr>
      <w:r w:rsidRPr="00C408EB">
        <w:rPr>
          <w:rFonts w:ascii="Liberation Serif" w:eastAsia="NSimSun" w:hAnsi="Liberation Serif" w:cs="Arial"/>
          <w:b/>
          <w:bCs/>
          <w:kern w:val="2"/>
          <w:sz w:val="21"/>
          <w:szCs w:val="21"/>
          <w:lang w:eastAsia="zh-CN" w:bidi="hi-IN"/>
        </w:rPr>
        <w:t>Анализ взаимосвязи между курсами валют и сырьевыми товарами</w:t>
      </w:r>
    </w:p>
    <w:p w14:paraId="2CB55582" w14:textId="77777777" w:rsidR="00C408EB" w:rsidRPr="00C408EB" w:rsidRDefault="00C408EB" w:rsidP="00C408EB">
      <w:pPr>
        <w:suppressAutoHyphens/>
        <w:spacing w:after="0" w:line="240" w:lineRule="auto"/>
        <w:jc w:val="right"/>
        <w:rPr>
          <w:rFonts w:ascii="Liberation Serif" w:eastAsia="NSimSun" w:hAnsi="Liberation Serif" w:cs="Arial" w:hint="eastAsia"/>
          <w:kern w:val="2"/>
          <w:sz w:val="21"/>
          <w:szCs w:val="21"/>
          <w:lang w:eastAsia="zh-CN" w:bidi="hi-IN"/>
        </w:rPr>
      </w:pPr>
    </w:p>
    <w:p w14:paraId="439E2EDF" w14:textId="77777777" w:rsidR="00C408EB" w:rsidRPr="00C408EB" w:rsidRDefault="00C408EB" w:rsidP="00C408EB">
      <w:pPr>
        <w:tabs>
          <w:tab w:val="left" w:pos="316"/>
        </w:tabs>
        <w:suppressAutoHyphens/>
        <w:spacing w:after="0" w:line="240" w:lineRule="auto"/>
        <w:ind w:firstLine="709"/>
        <w:jc w:val="both"/>
        <w:rPr>
          <w:rFonts w:ascii="Liberation Serif" w:eastAsia="NSimSun" w:hAnsi="Liberation Serif" w:cs="Arial" w:hint="eastAsia"/>
          <w:kern w:val="2"/>
          <w:sz w:val="24"/>
          <w:szCs w:val="24"/>
          <w:lang w:eastAsia="zh-CN" w:bidi="hi-IN"/>
        </w:rPr>
      </w:pPr>
      <w:r w:rsidRPr="00C408EB">
        <w:rPr>
          <w:rFonts w:ascii="Liberation Serif" w:eastAsia="NSimSun" w:hAnsi="Liberation Serif" w:cs="Arial"/>
          <w:b/>
          <w:bCs/>
          <w:kern w:val="2"/>
          <w:sz w:val="21"/>
          <w:szCs w:val="21"/>
          <w:lang w:eastAsia="zh-CN" w:bidi="hi-IN"/>
        </w:rPr>
        <w:t>Аннотация:</w:t>
      </w:r>
      <w:r w:rsidRPr="00C408EB">
        <w:rPr>
          <w:rFonts w:ascii="Liberation Serif" w:eastAsia="NSimSun" w:hAnsi="Liberation Serif" w:cs="Arial"/>
          <w:kern w:val="2"/>
          <w:sz w:val="21"/>
          <w:szCs w:val="21"/>
          <w:lang w:eastAsia="zh-CN" w:bidi="hi-IN"/>
        </w:rPr>
        <w:t xml:space="preserve"> В представленной научной статье проводится комплексный анализ взаимосвязи между динамикой курса американского доллара к российскому рублю и ценами на нефть марки Brent за период с 2015 по 2023 год. Применяя методы математической статистики и эконометрического моделирования, автор выявляет устойчивую отрицательную корреляцию между исследуемыми показателями. Установлено, что повышение стоимости нефти на 10 долларов за баррель в среднем приводит к укреплению российского рубля на 5 рублей. Полученные результаты имеют существенное практическое значение для разработки эффективных стратегий валютного прогнозирования и управления финансовыми рисками.</w:t>
      </w:r>
    </w:p>
    <w:p w14:paraId="26790844" w14:textId="77777777" w:rsidR="00C408EB" w:rsidRPr="00C408EB" w:rsidRDefault="00C408EB" w:rsidP="00C408EB">
      <w:pPr>
        <w:tabs>
          <w:tab w:val="left" w:pos="316"/>
        </w:tabs>
        <w:suppressAutoHyphens/>
        <w:spacing w:after="140" w:line="240" w:lineRule="auto"/>
        <w:ind w:firstLine="709"/>
        <w:jc w:val="both"/>
        <w:rPr>
          <w:rFonts w:ascii="Liberation Serif" w:eastAsia="NSimSun" w:hAnsi="Liberation Serif" w:cs="Arial" w:hint="eastAsia"/>
          <w:kern w:val="2"/>
          <w:sz w:val="24"/>
          <w:szCs w:val="24"/>
          <w:lang w:eastAsia="zh-CN" w:bidi="hi-IN"/>
        </w:rPr>
      </w:pPr>
      <w:r w:rsidRPr="00C408EB">
        <w:rPr>
          <w:rFonts w:ascii="Liberation Serif" w:eastAsia="NSimSun" w:hAnsi="Liberation Serif" w:cs="Arial"/>
          <w:b/>
          <w:bCs/>
          <w:kern w:val="2"/>
          <w:sz w:val="21"/>
          <w:szCs w:val="21"/>
          <w:lang w:eastAsia="zh-CN" w:bidi="hi-IN"/>
        </w:rPr>
        <w:t>Ключевые слова:</w:t>
      </w:r>
      <w:r w:rsidRPr="00C408EB">
        <w:rPr>
          <w:rFonts w:ascii="Liberation Serif" w:eastAsia="NSimSun" w:hAnsi="Liberation Serif" w:cs="Arial"/>
          <w:kern w:val="2"/>
          <w:sz w:val="21"/>
          <w:szCs w:val="21"/>
          <w:lang w:eastAsia="zh-CN" w:bidi="hi-IN"/>
        </w:rPr>
        <w:t xml:space="preserve"> сырьевые валюты, корреляционный анализ, регрессионная модель, нефтяные цены, валютный курс.</w:t>
      </w:r>
    </w:p>
    <w:p w14:paraId="0C3ED7B9" w14:textId="77777777" w:rsidR="00C408EB" w:rsidRPr="00C408EB" w:rsidRDefault="00C408EB" w:rsidP="00C408EB">
      <w:pPr>
        <w:tabs>
          <w:tab w:val="left" w:pos="316"/>
        </w:tabs>
        <w:suppressAutoHyphens/>
        <w:spacing w:after="140" w:line="240" w:lineRule="auto"/>
        <w:ind w:firstLine="709"/>
        <w:jc w:val="both"/>
        <w:rPr>
          <w:rFonts w:ascii="Liberation Serif" w:eastAsia="NSimSun" w:hAnsi="Liberation Serif" w:cs="Arial" w:hint="eastAsia"/>
          <w:kern w:val="2"/>
          <w:sz w:val="21"/>
          <w:szCs w:val="21"/>
          <w:lang w:eastAsia="zh-CN" w:bidi="hi-IN"/>
        </w:rPr>
      </w:pPr>
    </w:p>
    <w:p w14:paraId="61E67E77"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b/>
          <w:bCs/>
          <w:kern w:val="2"/>
          <w:sz w:val="24"/>
          <w:szCs w:val="24"/>
          <w:lang w:val="en-US" w:eastAsia="zh-CN" w:bidi="hi-IN"/>
        </w:rPr>
      </w:pPr>
      <w:r w:rsidRPr="00C408EB">
        <w:rPr>
          <w:rFonts w:ascii="Liberation Serif" w:eastAsia="NSimSun" w:hAnsi="Liberation Serif" w:cs="Arial"/>
          <w:b/>
          <w:bCs/>
          <w:i/>
          <w:iCs/>
          <w:kern w:val="2"/>
          <w:sz w:val="21"/>
          <w:szCs w:val="21"/>
          <w:lang w:val="en-US" w:eastAsia="zh-CN" w:bidi="hi-IN"/>
        </w:rPr>
        <w:t>Radomskiy D.Y.,</w:t>
      </w:r>
    </w:p>
    <w:p w14:paraId="628E8627"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kern w:val="2"/>
          <w:sz w:val="24"/>
          <w:szCs w:val="24"/>
          <w:lang w:val="en-US" w:eastAsia="zh-CN" w:bidi="hi-IN"/>
        </w:rPr>
      </w:pPr>
      <w:r w:rsidRPr="00C408EB">
        <w:rPr>
          <w:rFonts w:ascii="Liberation Serif" w:eastAsia="NSimSun" w:hAnsi="Liberation Serif" w:cs="Arial"/>
          <w:i/>
          <w:iCs/>
          <w:kern w:val="2"/>
          <w:sz w:val="21"/>
          <w:szCs w:val="21"/>
          <w:lang w:val="en-US" w:eastAsia="zh-CN" w:bidi="hi-IN"/>
        </w:rPr>
        <w:t>2nd year student</w:t>
      </w:r>
    </w:p>
    <w:p w14:paraId="10BD67BA"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kern w:val="2"/>
          <w:sz w:val="24"/>
          <w:szCs w:val="24"/>
          <w:lang w:val="en-US" w:eastAsia="zh-CN" w:bidi="hi-IN"/>
        </w:rPr>
      </w:pPr>
      <w:r w:rsidRPr="00C408EB">
        <w:rPr>
          <w:rFonts w:ascii="Liberation Serif" w:eastAsia="NSimSun" w:hAnsi="Liberation Serif" w:cs="Arial"/>
          <w:i/>
          <w:iCs/>
          <w:kern w:val="2"/>
          <w:sz w:val="21"/>
          <w:szCs w:val="21"/>
          <w:lang w:val="en-US" w:eastAsia="zh-CN" w:bidi="hi-IN"/>
        </w:rPr>
        <w:t>Financial University under the Government of the Russian Federation</w:t>
      </w:r>
    </w:p>
    <w:p w14:paraId="4D411114"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kern w:val="2"/>
          <w:sz w:val="24"/>
          <w:szCs w:val="24"/>
          <w:lang w:val="en-US" w:eastAsia="zh-CN" w:bidi="hi-IN"/>
        </w:rPr>
      </w:pPr>
      <w:r w:rsidRPr="00C408EB">
        <w:rPr>
          <w:rFonts w:ascii="Liberation Serif" w:eastAsia="NSimSun" w:hAnsi="Liberation Serif" w:cs="Arial"/>
          <w:i/>
          <w:iCs/>
          <w:kern w:val="2"/>
          <w:sz w:val="21"/>
          <w:szCs w:val="21"/>
          <w:lang w:val="en-US" w:eastAsia="zh-CN" w:bidi="hi-IN"/>
        </w:rPr>
        <w:t>Krasnodar, Russia</w:t>
      </w:r>
    </w:p>
    <w:p w14:paraId="5439032E"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kern w:val="2"/>
          <w:sz w:val="24"/>
          <w:szCs w:val="24"/>
          <w:lang w:val="en-US" w:eastAsia="zh-CN" w:bidi="hi-IN"/>
        </w:rPr>
      </w:pPr>
      <w:r w:rsidRPr="00C408EB">
        <w:rPr>
          <w:rFonts w:ascii="Liberation Serif" w:eastAsia="NSimSun" w:hAnsi="Liberation Serif" w:cs="Arial"/>
          <w:i/>
          <w:iCs/>
          <w:kern w:val="2"/>
          <w:sz w:val="21"/>
          <w:szCs w:val="21"/>
          <w:lang w:val="en-US" w:eastAsia="zh-CN" w:bidi="hi-IN"/>
        </w:rPr>
        <w:t xml:space="preserve">e-mail: </w:t>
      </w:r>
      <w:hyperlink r:id="rId616">
        <w:r w:rsidRPr="00C408EB">
          <w:rPr>
            <w:rFonts w:ascii="Liberation Serif" w:eastAsia="NSimSun" w:hAnsi="Liberation Serif" w:cs="Arial"/>
            <w:i/>
            <w:iCs/>
            <w:color w:val="000080"/>
            <w:kern w:val="2"/>
            <w:sz w:val="21"/>
            <w:szCs w:val="21"/>
            <w:u w:val="single"/>
            <w:lang w:val="en-US" w:eastAsia="zh-CN" w:bidi="hi-IN"/>
          </w:rPr>
          <w:t>100dot13sl230102@edu.fa.ru</w:t>
        </w:r>
      </w:hyperlink>
    </w:p>
    <w:p w14:paraId="2A3BF087" w14:textId="77777777" w:rsidR="00C408EB" w:rsidRPr="00C408EB" w:rsidRDefault="00C408EB" w:rsidP="0040538B">
      <w:pPr>
        <w:tabs>
          <w:tab w:val="left" w:pos="316"/>
        </w:tabs>
        <w:suppressAutoHyphens/>
        <w:spacing w:after="0" w:line="240" w:lineRule="auto"/>
        <w:ind w:firstLine="709"/>
        <w:jc w:val="right"/>
        <w:rPr>
          <w:rFonts w:ascii="Liberation Serif" w:eastAsia="NSimSun" w:hAnsi="Liberation Serif" w:cs="Arial" w:hint="eastAsia"/>
          <w:i/>
          <w:iCs/>
          <w:kern w:val="2"/>
          <w:sz w:val="21"/>
          <w:szCs w:val="21"/>
          <w:lang w:val="en-US" w:eastAsia="zh-CN" w:bidi="hi-IN"/>
        </w:rPr>
      </w:pPr>
    </w:p>
    <w:p w14:paraId="58872556" w14:textId="77777777" w:rsidR="00C408EB" w:rsidRPr="00C408EB" w:rsidRDefault="00C408EB" w:rsidP="0040538B">
      <w:pPr>
        <w:tabs>
          <w:tab w:val="left" w:pos="316"/>
        </w:tabs>
        <w:suppressAutoHyphens/>
        <w:spacing w:after="0" w:line="240" w:lineRule="auto"/>
        <w:jc w:val="right"/>
        <w:rPr>
          <w:rFonts w:ascii="Liberation Serif" w:eastAsia="NSimSun" w:hAnsi="Liberation Serif" w:cs="Arial" w:hint="eastAsia"/>
          <w:kern w:val="2"/>
          <w:sz w:val="21"/>
          <w:szCs w:val="21"/>
          <w:lang w:val="en-US" w:eastAsia="zh-CN" w:bidi="hi-IN"/>
        </w:rPr>
      </w:pPr>
      <w:r w:rsidRPr="00C408EB">
        <w:rPr>
          <w:rFonts w:ascii="Liberation Serif" w:eastAsia="NSimSun" w:hAnsi="Liberation Serif" w:cs="Arial"/>
          <w:b/>
          <w:bCs/>
          <w:i/>
          <w:iCs/>
          <w:kern w:val="2"/>
          <w:sz w:val="21"/>
          <w:szCs w:val="21"/>
          <w:lang w:val="en-US" w:eastAsia="zh-CN" w:bidi="hi-IN"/>
        </w:rPr>
        <w:t>Scientific advisor:</w:t>
      </w:r>
    </w:p>
    <w:p w14:paraId="53B03A38" w14:textId="77777777" w:rsidR="00C408EB" w:rsidRPr="00C408EB" w:rsidRDefault="00C408EB" w:rsidP="0040538B">
      <w:pPr>
        <w:tabs>
          <w:tab w:val="left" w:pos="316"/>
        </w:tabs>
        <w:suppressAutoHyphens/>
        <w:spacing w:after="0" w:line="240" w:lineRule="auto"/>
        <w:jc w:val="right"/>
        <w:rPr>
          <w:rFonts w:ascii="Liberation Serif" w:eastAsia="NSimSun" w:hAnsi="Liberation Serif" w:cs="Arial" w:hint="eastAsia"/>
          <w:b/>
          <w:bCs/>
          <w:i/>
          <w:iCs/>
          <w:kern w:val="2"/>
          <w:sz w:val="21"/>
          <w:szCs w:val="21"/>
          <w:lang w:val="en-US" w:eastAsia="zh-CN" w:bidi="hi-IN"/>
        </w:rPr>
      </w:pPr>
      <w:r w:rsidRPr="00C408EB">
        <w:rPr>
          <w:rFonts w:ascii="Liberation Serif" w:eastAsia="NSimSun" w:hAnsi="Liberation Serif" w:cs="Arial"/>
          <w:b/>
          <w:bCs/>
          <w:i/>
          <w:iCs/>
          <w:kern w:val="2"/>
          <w:sz w:val="21"/>
          <w:szCs w:val="21"/>
          <w:lang w:val="en-US" w:eastAsia="zh-CN" w:bidi="hi-IN"/>
        </w:rPr>
        <w:t>Naryzhnaya N.Y.,</w:t>
      </w:r>
    </w:p>
    <w:p w14:paraId="2AB6585A" w14:textId="77777777" w:rsidR="00C408EB" w:rsidRPr="00C408EB" w:rsidRDefault="00C408EB" w:rsidP="0040538B">
      <w:pPr>
        <w:tabs>
          <w:tab w:val="left" w:pos="316"/>
        </w:tabs>
        <w:suppressAutoHyphens/>
        <w:spacing w:after="0" w:line="240" w:lineRule="auto"/>
        <w:jc w:val="right"/>
        <w:rPr>
          <w:rFonts w:ascii="Liberation Serif" w:eastAsia="NSimSun" w:hAnsi="Liberation Serif" w:cs="Arial" w:hint="eastAsia"/>
          <w:i/>
          <w:iCs/>
          <w:kern w:val="2"/>
          <w:sz w:val="21"/>
          <w:szCs w:val="21"/>
          <w:lang w:val="en-US" w:eastAsia="zh-CN" w:bidi="hi-IN"/>
        </w:rPr>
      </w:pPr>
      <w:r w:rsidRPr="00C408EB">
        <w:rPr>
          <w:rFonts w:ascii="Liberation Serif" w:eastAsia="NSimSun" w:hAnsi="Liberation Serif" w:cs="Arial"/>
          <w:i/>
          <w:iCs/>
          <w:kern w:val="2"/>
          <w:sz w:val="21"/>
          <w:szCs w:val="21"/>
          <w:lang w:val="en-US" w:eastAsia="zh-CN" w:bidi="hi-IN"/>
        </w:rPr>
        <w:t>Associate Professor, Ph.D. in Technical Sciences</w:t>
      </w:r>
    </w:p>
    <w:p w14:paraId="30683EA7" w14:textId="77777777" w:rsidR="00C408EB" w:rsidRPr="00C408EB" w:rsidRDefault="00C408EB" w:rsidP="0040538B">
      <w:pPr>
        <w:tabs>
          <w:tab w:val="left" w:pos="316"/>
        </w:tabs>
        <w:suppressAutoHyphens/>
        <w:spacing w:after="0" w:line="240" w:lineRule="auto"/>
        <w:jc w:val="right"/>
        <w:rPr>
          <w:rFonts w:ascii="Liberation Serif" w:eastAsia="NSimSun" w:hAnsi="Liberation Serif" w:cs="Arial" w:hint="eastAsia"/>
          <w:i/>
          <w:iCs/>
          <w:kern w:val="2"/>
          <w:sz w:val="21"/>
          <w:szCs w:val="21"/>
          <w:lang w:val="en-US" w:eastAsia="zh-CN" w:bidi="hi-IN"/>
        </w:rPr>
      </w:pPr>
      <w:r w:rsidRPr="00C408EB">
        <w:rPr>
          <w:rFonts w:ascii="Liberation Serif" w:eastAsia="NSimSun" w:hAnsi="Liberation Serif" w:cs="Arial"/>
          <w:i/>
          <w:iCs/>
          <w:kern w:val="2"/>
          <w:sz w:val="21"/>
          <w:szCs w:val="21"/>
          <w:lang w:val="en-US" w:eastAsia="zh-CN" w:bidi="hi-IN"/>
        </w:rPr>
        <w:t>Financial University under the Government of the Russian Federation</w:t>
      </w:r>
    </w:p>
    <w:p w14:paraId="2A384ADC" w14:textId="77777777" w:rsidR="00C408EB" w:rsidRPr="00C408EB" w:rsidRDefault="00C408EB" w:rsidP="0040538B">
      <w:pPr>
        <w:tabs>
          <w:tab w:val="left" w:pos="316"/>
        </w:tabs>
        <w:suppressAutoHyphens/>
        <w:spacing w:after="0" w:line="240" w:lineRule="auto"/>
        <w:jc w:val="right"/>
        <w:rPr>
          <w:rFonts w:ascii="Liberation Serif" w:eastAsia="NSimSun" w:hAnsi="Liberation Serif" w:cs="Arial" w:hint="eastAsia"/>
          <w:i/>
          <w:iCs/>
          <w:kern w:val="2"/>
          <w:sz w:val="21"/>
          <w:szCs w:val="21"/>
          <w:lang w:val="en-US" w:eastAsia="zh-CN" w:bidi="hi-IN"/>
        </w:rPr>
      </w:pPr>
      <w:r w:rsidRPr="00C408EB">
        <w:rPr>
          <w:rFonts w:ascii="Liberation Serif" w:eastAsia="NSimSun" w:hAnsi="Liberation Serif" w:cs="Arial"/>
          <w:i/>
          <w:iCs/>
          <w:kern w:val="2"/>
          <w:sz w:val="21"/>
          <w:szCs w:val="21"/>
          <w:lang w:val="en-US" w:eastAsia="zh-CN" w:bidi="hi-IN"/>
        </w:rPr>
        <w:t>Krasnodar, Russia</w:t>
      </w:r>
    </w:p>
    <w:p w14:paraId="4C9CAA9F" w14:textId="195CDA72" w:rsidR="00C408EB" w:rsidRPr="00656AA8" w:rsidRDefault="00C408EB" w:rsidP="0040538B">
      <w:pPr>
        <w:tabs>
          <w:tab w:val="left" w:pos="316"/>
        </w:tabs>
        <w:suppressAutoHyphens/>
        <w:spacing w:after="0" w:line="240" w:lineRule="auto"/>
        <w:jc w:val="right"/>
        <w:rPr>
          <w:rFonts w:ascii="Liberation Serif" w:eastAsia="NSimSun" w:hAnsi="Liberation Serif" w:cs="Arial" w:hint="eastAsia"/>
          <w:i/>
          <w:iCs/>
          <w:kern w:val="2"/>
          <w:sz w:val="21"/>
          <w:szCs w:val="21"/>
          <w:lang w:val="en-US" w:eastAsia="zh-CN" w:bidi="hi-IN"/>
        </w:rPr>
      </w:pPr>
      <w:r w:rsidRPr="00C408EB">
        <w:rPr>
          <w:rFonts w:ascii="Liberation Serif" w:eastAsia="NSimSun" w:hAnsi="Liberation Serif" w:cs="Arial"/>
          <w:i/>
          <w:iCs/>
          <w:kern w:val="2"/>
          <w:sz w:val="21"/>
          <w:szCs w:val="21"/>
          <w:lang w:val="en-US" w:eastAsia="zh-CN" w:bidi="hi-IN"/>
        </w:rPr>
        <w:t xml:space="preserve">e-mail: </w:t>
      </w:r>
      <w:hyperlink r:id="rId617" w:history="1">
        <w:r w:rsidR="0040538B" w:rsidRPr="00C408EB">
          <w:rPr>
            <w:rStyle w:val="aa"/>
            <w:rFonts w:ascii="Liberation Serif" w:eastAsia="NSimSun" w:hAnsi="Liberation Serif" w:cs="Arial"/>
            <w:i/>
            <w:iCs/>
            <w:kern w:val="2"/>
            <w:sz w:val="21"/>
            <w:szCs w:val="21"/>
            <w:lang w:val="en-US" w:eastAsia="zh-CN" w:bidi="hi-IN"/>
          </w:rPr>
          <w:t>NYUNaryzhnaya@fa.ru</w:t>
        </w:r>
      </w:hyperlink>
    </w:p>
    <w:p w14:paraId="7B153BB9" w14:textId="77777777" w:rsidR="0040538B" w:rsidRPr="00656AA8" w:rsidRDefault="0040538B" w:rsidP="0040538B">
      <w:pPr>
        <w:tabs>
          <w:tab w:val="left" w:pos="316"/>
        </w:tabs>
        <w:suppressAutoHyphens/>
        <w:spacing w:after="0" w:line="240" w:lineRule="auto"/>
        <w:jc w:val="right"/>
        <w:rPr>
          <w:rFonts w:ascii="Liberation Serif" w:eastAsia="NSimSun" w:hAnsi="Liberation Serif" w:cs="Arial" w:hint="eastAsia"/>
          <w:i/>
          <w:iCs/>
          <w:kern w:val="2"/>
          <w:sz w:val="21"/>
          <w:szCs w:val="21"/>
          <w:lang w:val="en-US" w:eastAsia="zh-CN" w:bidi="hi-IN"/>
        </w:rPr>
      </w:pPr>
    </w:p>
    <w:p w14:paraId="314A614A" w14:textId="77777777" w:rsidR="00C408EB" w:rsidRPr="00C408EB" w:rsidRDefault="00C408EB" w:rsidP="00C408EB">
      <w:pPr>
        <w:tabs>
          <w:tab w:val="left" w:pos="316"/>
        </w:tabs>
        <w:suppressAutoHyphens/>
        <w:spacing w:after="140" w:line="240" w:lineRule="auto"/>
        <w:jc w:val="center"/>
        <w:rPr>
          <w:rFonts w:ascii="Liberation Serif" w:eastAsia="NSimSun" w:hAnsi="Liberation Serif" w:cs="Arial" w:hint="eastAsia"/>
          <w:kern w:val="2"/>
          <w:sz w:val="21"/>
          <w:szCs w:val="21"/>
          <w:lang w:val="en-US" w:eastAsia="zh-CN" w:bidi="hi-IN"/>
        </w:rPr>
      </w:pPr>
      <w:r w:rsidRPr="00C408EB">
        <w:rPr>
          <w:rFonts w:ascii="Liberation Serif" w:eastAsia="NSimSun" w:hAnsi="Liberation Serif" w:cs="Arial"/>
          <w:b/>
          <w:bCs/>
          <w:kern w:val="2"/>
          <w:sz w:val="21"/>
          <w:szCs w:val="21"/>
          <w:lang w:val="en-US" w:eastAsia="zh-CN" w:bidi="hi-IN"/>
        </w:rPr>
        <w:t>Analysis of the relationship between exchange rates and commodities</w:t>
      </w:r>
    </w:p>
    <w:p w14:paraId="0D833152" w14:textId="4FB82DB3" w:rsidR="00C408EB" w:rsidRPr="00C408EB" w:rsidRDefault="00C408EB" w:rsidP="00C408EB">
      <w:pPr>
        <w:tabs>
          <w:tab w:val="left" w:pos="316"/>
        </w:tabs>
        <w:suppressAutoHyphens/>
        <w:spacing w:after="140" w:line="240" w:lineRule="auto"/>
        <w:jc w:val="both"/>
        <w:rPr>
          <w:rFonts w:ascii="Liberation Serif" w:eastAsia="NSimSun" w:hAnsi="Liberation Serif" w:cs="Arial" w:hint="eastAsia"/>
          <w:kern w:val="2"/>
          <w:sz w:val="21"/>
          <w:szCs w:val="21"/>
          <w:lang w:val="en-US" w:eastAsia="zh-CN" w:bidi="hi-IN"/>
        </w:rPr>
      </w:pPr>
      <w:r w:rsidRPr="00C408EB">
        <w:rPr>
          <w:rFonts w:ascii="Liberation Serif" w:eastAsia="NSimSun" w:hAnsi="Liberation Serif" w:cs="Arial"/>
          <w:b/>
          <w:bCs/>
          <w:kern w:val="2"/>
          <w:sz w:val="21"/>
          <w:szCs w:val="21"/>
          <w:lang w:val="en-US" w:eastAsia="zh-CN" w:bidi="hi-IN"/>
        </w:rPr>
        <w:t>Abstract:</w:t>
      </w:r>
      <w:r w:rsidRPr="00C408EB">
        <w:rPr>
          <w:rFonts w:ascii="Liberation Serif" w:eastAsia="NSimSun" w:hAnsi="Liberation Serif" w:cs="Arial"/>
          <w:kern w:val="2"/>
          <w:sz w:val="21"/>
          <w:szCs w:val="21"/>
          <w:lang w:val="en-US" w:eastAsia="zh-CN" w:bidi="hi-IN"/>
        </w:rPr>
        <w:t xml:space="preserve"> This research paper presents a comprehensive analysis of the relationship between the dynamics of the US dollar to Russian ruble exchange rate and Brent crude oil prices from 2015 to 2023. Using methods of mathematical statistics and econometric modeling, the author identifies a stable negative correlation between the studied indicators. It has been established that a $10 increase in oil price per barrel on average leads to a </w:t>
      </w:r>
      <w:proofErr w:type="gramStart"/>
      <w:r w:rsidRPr="00C408EB">
        <w:rPr>
          <w:rFonts w:ascii="Liberation Serif" w:eastAsia="NSimSun" w:hAnsi="Liberation Serif" w:cs="Arial"/>
          <w:kern w:val="2"/>
          <w:sz w:val="21"/>
          <w:szCs w:val="21"/>
          <w:lang w:val="en-US" w:eastAsia="zh-CN" w:bidi="hi-IN"/>
        </w:rPr>
        <w:t>5 ruble</w:t>
      </w:r>
      <w:proofErr w:type="gramEnd"/>
      <w:r w:rsidRPr="00C408EB">
        <w:rPr>
          <w:rFonts w:ascii="Liberation Serif" w:eastAsia="NSimSun" w:hAnsi="Liberation Serif" w:cs="Arial"/>
          <w:kern w:val="2"/>
          <w:sz w:val="21"/>
          <w:szCs w:val="21"/>
          <w:lang w:val="en-US" w:eastAsia="zh-CN" w:bidi="hi-IN"/>
        </w:rPr>
        <w:t xml:space="preserve"> strengthening of the Russian ruble. The obtained results have significant practical value for developing effective currency forecasting strategies and financial risk management.</w:t>
      </w:r>
    </w:p>
    <w:p w14:paraId="7D07DDAB" w14:textId="77777777" w:rsidR="00C408EB" w:rsidRPr="00C408EB" w:rsidRDefault="00C408EB" w:rsidP="00C408EB">
      <w:pPr>
        <w:tabs>
          <w:tab w:val="left" w:pos="316"/>
        </w:tabs>
        <w:suppressAutoHyphens/>
        <w:spacing w:after="0" w:line="240" w:lineRule="auto"/>
        <w:jc w:val="both"/>
        <w:rPr>
          <w:rFonts w:ascii="Liberation Serif" w:eastAsia="NSimSun" w:hAnsi="Liberation Serif" w:cs="Arial" w:hint="eastAsia"/>
          <w:kern w:val="2"/>
          <w:sz w:val="24"/>
          <w:szCs w:val="24"/>
          <w:lang w:val="en-US" w:eastAsia="zh-CN" w:bidi="hi-IN"/>
        </w:rPr>
      </w:pPr>
      <w:r w:rsidRPr="00C408EB">
        <w:rPr>
          <w:rFonts w:ascii="Liberation Serif" w:eastAsia="NSimSun" w:hAnsi="Liberation Serif" w:cs="Arial"/>
          <w:b/>
          <w:bCs/>
          <w:kern w:val="2"/>
          <w:sz w:val="21"/>
          <w:szCs w:val="21"/>
          <w:lang w:val="en-US" w:eastAsia="zh-CN" w:bidi="hi-IN"/>
        </w:rPr>
        <w:t>Keywords:</w:t>
      </w:r>
      <w:r w:rsidRPr="00C408EB">
        <w:rPr>
          <w:rFonts w:ascii="Liberation Serif" w:eastAsia="NSimSun" w:hAnsi="Liberation Serif" w:cs="Arial"/>
          <w:kern w:val="2"/>
          <w:sz w:val="21"/>
          <w:szCs w:val="21"/>
          <w:lang w:val="en-US" w:eastAsia="zh-CN" w:bidi="hi-IN"/>
        </w:rPr>
        <w:t xml:space="preserve"> commodity currencies, correlation analysis, regression model, oil prices, exchange rate.</w:t>
      </w:r>
    </w:p>
    <w:p w14:paraId="31CFE2E1" w14:textId="77777777" w:rsidR="00C408EB" w:rsidRPr="00C408EB" w:rsidRDefault="00C408EB" w:rsidP="00C408EB">
      <w:pPr>
        <w:tabs>
          <w:tab w:val="left" w:pos="316"/>
        </w:tabs>
        <w:suppressAutoHyphens/>
        <w:spacing w:after="0" w:line="240" w:lineRule="auto"/>
        <w:jc w:val="both"/>
        <w:rPr>
          <w:rFonts w:ascii="Liberation Serif" w:eastAsia="NSimSun" w:hAnsi="Liberation Serif" w:cs="Arial" w:hint="eastAsia"/>
          <w:kern w:val="2"/>
          <w:sz w:val="32"/>
          <w:szCs w:val="32"/>
          <w:lang w:val="en-US" w:eastAsia="zh-CN" w:bidi="hi-IN"/>
        </w:rPr>
      </w:pPr>
    </w:p>
    <w:p w14:paraId="0F3FB206"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Исследование взаимосвязи между сырьевыми товарами и валютными курсами остается одним из ключевых направлений современной макроэкономической науки. В случае России, где нефтегазовый сектор традиционно играет значительную роль в формировании доходов бюджета, изучение зависимости курса национальной валюты от цен на нефть представляет особый научный </w:t>
      </w:r>
      <w:r w:rsidRPr="00C408EB">
        <w:rPr>
          <w:rFonts w:ascii="Liberation Serif" w:eastAsia="NSimSun" w:hAnsi="Liberation Serif" w:cs="Arial"/>
          <w:kern w:val="2"/>
          <w:sz w:val="32"/>
          <w:szCs w:val="32"/>
          <w:lang w:eastAsia="zh-CN" w:bidi="hi-IN"/>
        </w:rPr>
        <w:lastRenderedPageBreak/>
        <w:t>и практический интерес. Проведенный анализ охватывает период с января 2015 по апрель 2025 года, включая таким образом различные фазы экономического цикла – от нефтяного шока 2015-2016 годов до постпандемийного восстановления и геополитических изменений 2022 года.</w:t>
      </w:r>
    </w:p>
    <w:p w14:paraId="199D5351"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Методическая основа исследования базируется на аппарате корреляционного и регрессионного анализа. Эти направления представлены показателями, позволяющими оценить центральную тенденцию, разброс и относительную волатильность анализируемых временных рядов. </w:t>
      </w:r>
    </w:p>
    <w:p w14:paraId="43921AAD"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При корреляционном анализе в рамках исследования использовались коэффициенты Пирсона и Спирмена:</w:t>
      </w:r>
    </w:p>
    <w:p w14:paraId="571626ED" w14:textId="77777777" w:rsidR="00C408EB" w:rsidRPr="00C408EB" w:rsidRDefault="00C408EB" w:rsidP="00AD58CD">
      <w:pPr>
        <w:numPr>
          <w:ilvl w:val="0"/>
          <w:numId w:val="148"/>
        </w:num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коэффициент корреляции Пирсона</w:t>
      </w:r>
    </w:p>
    <w:p w14:paraId="07E04843"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m:oMath>
        <m:r>
          <w:rPr>
            <w:rFonts w:ascii="Cambria Math" w:eastAsia="NSimSun" w:hAnsi="Cambria Math" w:cs="Arial"/>
            <w:kern w:val="2"/>
            <w:sz w:val="24"/>
            <w:szCs w:val="24"/>
            <w:lang w:eastAsia="zh-CN" w:bidi="hi-IN"/>
          </w:rPr>
          <m:t>r=</m:t>
        </m:r>
        <m:f>
          <m:fPr>
            <m:ctrlPr>
              <w:rPr>
                <w:rFonts w:ascii="Cambria Math" w:eastAsia="NSimSun" w:hAnsi="Cambria Math" w:cs="Arial"/>
                <w:kern w:val="2"/>
                <w:sz w:val="24"/>
                <w:szCs w:val="24"/>
                <w:lang w:eastAsia="zh-CN" w:bidi="hi-IN"/>
              </w:rPr>
            </m:ctrlPr>
          </m:fPr>
          <m:num>
            <m:nary>
              <m:naryPr>
                <m:chr m:val="∑"/>
                <m:ctrlPr>
                  <w:rPr>
                    <w:rFonts w:ascii="Cambria Math" w:eastAsia="NSimSun" w:hAnsi="Cambria Math" w:cs="Arial"/>
                    <w:kern w:val="2"/>
                    <w:sz w:val="24"/>
                    <w:szCs w:val="24"/>
                    <w:lang w:eastAsia="zh-CN" w:bidi="hi-IN"/>
                  </w:rPr>
                </m:ctrlPr>
              </m:naryPr>
              <m:sub>
                <m:r>
                  <w:rPr>
                    <w:rFonts w:ascii="Cambria Math" w:eastAsia="NSimSun" w:hAnsi="Cambria Math" w:cs="Arial"/>
                    <w:kern w:val="2"/>
                    <w:sz w:val="24"/>
                    <w:szCs w:val="24"/>
                    <w:lang w:eastAsia="zh-CN" w:bidi="hi-IN"/>
                  </w:rPr>
                  <m:t>i=1</m:t>
                </m:r>
              </m:sub>
              <m:sup>
                <m:r>
                  <w:rPr>
                    <w:rFonts w:ascii="Cambria Math" w:eastAsia="NSimSun" w:hAnsi="Cambria Math" w:cs="Arial"/>
                    <w:kern w:val="2"/>
                    <w:sz w:val="24"/>
                    <w:szCs w:val="24"/>
                    <w:lang w:eastAsia="zh-CN" w:bidi="hi-IN"/>
                  </w:rPr>
                  <m:t>n</m:t>
                </m:r>
              </m:sup>
              <m:e>
                <m:d>
                  <m:dPr>
                    <m:ctrlPr>
                      <w:rPr>
                        <w:rFonts w:ascii="Cambria Math" w:eastAsia="NSimSun" w:hAnsi="Cambria Math" w:cs="Arial"/>
                        <w:kern w:val="2"/>
                        <w:sz w:val="24"/>
                        <w:szCs w:val="24"/>
                        <w:lang w:eastAsia="zh-CN" w:bidi="hi-IN"/>
                      </w:rPr>
                    </m:ctrlPr>
                  </m:dPr>
                  <m:e>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x</m:t>
                        </m:r>
                      </m:e>
                      <m:sub>
                        <m:r>
                          <w:rPr>
                            <w:rFonts w:ascii="Cambria Math" w:eastAsia="NSimSun" w:hAnsi="Cambria Math" w:cs="Arial"/>
                            <w:kern w:val="2"/>
                            <w:sz w:val="24"/>
                            <w:szCs w:val="24"/>
                            <w:lang w:eastAsia="zh-CN" w:bidi="hi-IN"/>
                          </w:rPr>
                          <m:t>i</m:t>
                        </m:r>
                      </m:sub>
                    </m:sSub>
                    <m:r>
                      <w:rPr>
                        <w:rFonts w:ascii="Cambria Math" w:eastAsia="NSimSun" w:hAnsi="Cambria Math" w:cs="Arial"/>
                        <w:kern w:val="2"/>
                        <w:sz w:val="24"/>
                        <w:szCs w:val="24"/>
                        <w:lang w:eastAsia="zh-CN" w:bidi="hi-IN"/>
                      </w:rPr>
                      <m:t>-</m:t>
                    </m:r>
                    <m:bar>
                      <m:barPr>
                        <m:pos m:val="top"/>
                        <m:ctrlPr>
                          <w:rPr>
                            <w:rFonts w:ascii="Cambria Math" w:eastAsia="NSimSun" w:hAnsi="Cambria Math" w:cs="Arial"/>
                            <w:kern w:val="2"/>
                            <w:sz w:val="24"/>
                            <w:szCs w:val="24"/>
                            <w:lang w:eastAsia="zh-CN" w:bidi="hi-IN"/>
                          </w:rPr>
                        </m:ctrlPr>
                      </m:barPr>
                      <m:e>
                        <m:r>
                          <w:rPr>
                            <w:rFonts w:ascii="Cambria Math" w:eastAsia="NSimSun" w:hAnsi="Cambria Math" w:cs="Arial"/>
                            <w:kern w:val="2"/>
                            <w:sz w:val="24"/>
                            <w:szCs w:val="24"/>
                            <w:lang w:eastAsia="zh-CN" w:bidi="hi-IN"/>
                          </w:rPr>
                          <m:t>x</m:t>
                        </m:r>
                      </m:e>
                    </m:bar>
                  </m:e>
                </m:d>
              </m:e>
            </m:nary>
            <m:d>
              <m:dPr>
                <m:ctrlPr>
                  <w:rPr>
                    <w:rFonts w:ascii="Cambria Math" w:eastAsia="NSimSun" w:hAnsi="Cambria Math" w:cs="Arial"/>
                    <w:kern w:val="2"/>
                    <w:sz w:val="24"/>
                    <w:szCs w:val="24"/>
                    <w:lang w:eastAsia="zh-CN" w:bidi="hi-IN"/>
                  </w:rPr>
                </m:ctrlPr>
              </m:dPr>
              <m:e>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y</m:t>
                    </m:r>
                  </m:e>
                  <m:sub>
                    <m:r>
                      <w:rPr>
                        <w:rFonts w:ascii="Cambria Math" w:eastAsia="NSimSun" w:hAnsi="Cambria Math" w:cs="Arial"/>
                        <w:kern w:val="2"/>
                        <w:sz w:val="24"/>
                        <w:szCs w:val="24"/>
                        <w:lang w:eastAsia="zh-CN" w:bidi="hi-IN"/>
                      </w:rPr>
                      <m:t>i</m:t>
                    </m:r>
                  </m:sub>
                </m:sSub>
                <m:r>
                  <w:rPr>
                    <w:rFonts w:ascii="Cambria Math" w:eastAsia="NSimSun" w:hAnsi="Cambria Math" w:cs="Arial"/>
                    <w:kern w:val="2"/>
                    <w:sz w:val="24"/>
                    <w:szCs w:val="24"/>
                    <w:lang w:eastAsia="zh-CN" w:bidi="hi-IN"/>
                  </w:rPr>
                  <m:t>-</m:t>
                </m:r>
                <m:bar>
                  <m:barPr>
                    <m:pos m:val="top"/>
                    <m:ctrlPr>
                      <w:rPr>
                        <w:rFonts w:ascii="Cambria Math" w:eastAsia="NSimSun" w:hAnsi="Cambria Math" w:cs="Arial"/>
                        <w:kern w:val="2"/>
                        <w:sz w:val="24"/>
                        <w:szCs w:val="24"/>
                        <w:lang w:eastAsia="zh-CN" w:bidi="hi-IN"/>
                      </w:rPr>
                    </m:ctrlPr>
                  </m:barPr>
                  <m:e>
                    <m:r>
                      <w:rPr>
                        <w:rFonts w:ascii="Cambria Math" w:eastAsia="NSimSun" w:hAnsi="Cambria Math" w:cs="Arial"/>
                        <w:kern w:val="2"/>
                        <w:sz w:val="24"/>
                        <w:szCs w:val="24"/>
                        <w:lang w:eastAsia="zh-CN" w:bidi="hi-IN"/>
                      </w:rPr>
                      <m:t>y</m:t>
                    </m:r>
                  </m:e>
                </m:bar>
              </m:e>
            </m:d>
          </m:num>
          <m:den>
            <m:rad>
              <m:radPr>
                <m:degHide m:val="1"/>
                <m:ctrlPr>
                  <w:rPr>
                    <w:rFonts w:ascii="Cambria Math" w:eastAsia="NSimSun" w:hAnsi="Cambria Math" w:cs="Arial"/>
                    <w:kern w:val="2"/>
                    <w:sz w:val="24"/>
                    <w:szCs w:val="24"/>
                    <w:lang w:eastAsia="zh-CN" w:bidi="hi-IN"/>
                  </w:rPr>
                </m:ctrlPr>
              </m:radPr>
              <m:deg/>
              <m:e>
                <m:nary>
                  <m:naryPr>
                    <m:chr m:val="∑"/>
                    <m:ctrlPr>
                      <w:rPr>
                        <w:rFonts w:ascii="Cambria Math" w:eastAsia="NSimSun" w:hAnsi="Cambria Math" w:cs="Arial"/>
                        <w:kern w:val="2"/>
                        <w:sz w:val="24"/>
                        <w:szCs w:val="24"/>
                        <w:lang w:eastAsia="zh-CN" w:bidi="hi-IN"/>
                      </w:rPr>
                    </m:ctrlPr>
                  </m:naryPr>
                  <m:sub>
                    <m:r>
                      <w:rPr>
                        <w:rFonts w:ascii="Cambria Math" w:eastAsia="NSimSun" w:hAnsi="Cambria Math" w:cs="Arial"/>
                        <w:kern w:val="2"/>
                        <w:sz w:val="24"/>
                        <w:szCs w:val="24"/>
                        <w:lang w:eastAsia="zh-CN" w:bidi="hi-IN"/>
                      </w:rPr>
                      <m:t>i=1</m:t>
                    </m:r>
                  </m:sub>
                  <m:sup>
                    <m:r>
                      <w:rPr>
                        <w:rFonts w:ascii="Cambria Math" w:eastAsia="NSimSun" w:hAnsi="Cambria Math" w:cs="Arial"/>
                        <w:kern w:val="2"/>
                        <w:sz w:val="24"/>
                        <w:szCs w:val="24"/>
                        <w:lang w:eastAsia="zh-CN" w:bidi="hi-IN"/>
                      </w:rPr>
                      <m:t>n</m:t>
                    </m:r>
                  </m:sup>
                  <m:e>
                    <m:sSup>
                      <m:sSupPr>
                        <m:ctrlPr>
                          <w:rPr>
                            <w:rFonts w:ascii="Cambria Math" w:eastAsia="NSimSun" w:hAnsi="Cambria Math" w:cs="Arial"/>
                            <w:kern w:val="2"/>
                            <w:sz w:val="24"/>
                            <w:szCs w:val="24"/>
                            <w:lang w:eastAsia="zh-CN" w:bidi="hi-IN"/>
                          </w:rPr>
                        </m:ctrlPr>
                      </m:sSupPr>
                      <m:e>
                        <m:d>
                          <m:dPr>
                            <m:ctrlPr>
                              <w:rPr>
                                <w:rFonts w:ascii="Cambria Math" w:eastAsia="NSimSun" w:hAnsi="Cambria Math" w:cs="Arial"/>
                                <w:kern w:val="2"/>
                                <w:sz w:val="24"/>
                                <w:szCs w:val="24"/>
                                <w:lang w:eastAsia="zh-CN" w:bidi="hi-IN"/>
                              </w:rPr>
                            </m:ctrlPr>
                          </m:dPr>
                          <m:e>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x</m:t>
                                </m:r>
                              </m:e>
                              <m:sub>
                                <m:r>
                                  <w:rPr>
                                    <w:rFonts w:ascii="Cambria Math" w:eastAsia="NSimSun" w:hAnsi="Cambria Math" w:cs="Arial"/>
                                    <w:kern w:val="2"/>
                                    <w:sz w:val="24"/>
                                    <w:szCs w:val="24"/>
                                    <w:lang w:eastAsia="zh-CN" w:bidi="hi-IN"/>
                                  </w:rPr>
                                  <m:t>i</m:t>
                                </m:r>
                              </m:sub>
                            </m:sSub>
                            <m:r>
                              <w:rPr>
                                <w:rFonts w:ascii="Cambria Math" w:eastAsia="NSimSun" w:hAnsi="Cambria Math" w:cs="Arial"/>
                                <w:kern w:val="2"/>
                                <w:sz w:val="24"/>
                                <w:szCs w:val="24"/>
                                <w:lang w:eastAsia="zh-CN" w:bidi="hi-IN"/>
                              </w:rPr>
                              <m:t>-</m:t>
                            </m:r>
                            <m:bar>
                              <m:barPr>
                                <m:pos m:val="top"/>
                                <m:ctrlPr>
                                  <w:rPr>
                                    <w:rFonts w:ascii="Cambria Math" w:eastAsia="NSimSun" w:hAnsi="Cambria Math" w:cs="Arial"/>
                                    <w:kern w:val="2"/>
                                    <w:sz w:val="24"/>
                                    <w:szCs w:val="24"/>
                                    <w:lang w:eastAsia="zh-CN" w:bidi="hi-IN"/>
                                  </w:rPr>
                                </m:ctrlPr>
                              </m:barPr>
                              <m:e>
                                <m:r>
                                  <w:rPr>
                                    <w:rFonts w:ascii="Cambria Math" w:eastAsia="NSimSun" w:hAnsi="Cambria Math" w:cs="Arial"/>
                                    <w:kern w:val="2"/>
                                    <w:sz w:val="24"/>
                                    <w:szCs w:val="24"/>
                                    <w:lang w:eastAsia="zh-CN" w:bidi="hi-IN"/>
                                  </w:rPr>
                                  <m:t>x</m:t>
                                </m:r>
                              </m:e>
                            </m:bar>
                          </m:e>
                        </m:d>
                      </m:e>
                      <m:sup>
                        <m:r>
                          <w:rPr>
                            <w:rFonts w:ascii="Cambria Math" w:eastAsia="NSimSun" w:hAnsi="Cambria Math" w:cs="Arial"/>
                            <w:kern w:val="2"/>
                            <w:sz w:val="24"/>
                            <w:szCs w:val="24"/>
                            <w:lang w:eastAsia="zh-CN" w:bidi="hi-IN"/>
                          </w:rPr>
                          <m:t>2</m:t>
                        </m:r>
                      </m:sup>
                    </m:sSup>
                  </m:e>
                </m:nary>
                <m:nary>
                  <m:naryPr>
                    <m:chr m:val="∑"/>
                    <m:ctrlPr>
                      <w:rPr>
                        <w:rFonts w:ascii="Cambria Math" w:eastAsia="NSimSun" w:hAnsi="Cambria Math" w:cs="Arial"/>
                        <w:kern w:val="2"/>
                        <w:sz w:val="24"/>
                        <w:szCs w:val="24"/>
                        <w:lang w:eastAsia="zh-CN" w:bidi="hi-IN"/>
                      </w:rPr>
                    </m:ctrlPr>
                  </m:naryPr>
                  <m:sub>
                    <m:r>
                      <w:rPr>
                        <w:rFonts w:ascii="Cambria Math" w:eastAsia="NSimSun" w:hAnsi="Cambria Math" w:cs="Arial"/>
                        <w:kern w:val="2"/>
                        <w:sz w:val="24"/>
                        <w:szCs w:val="24"/>
                        <w:lang w:eastAsia="zh-CN" w:bidi="hi-IN"/>
                      </w:rPr>
                      <m:t>i=1</m:t>
                    </m:r>
                  </m:sub>
                  <m:sup>
                    <m:r>
                      <w:rPr>
                        <w:rFonts w:ascii="Cambria Math" w:eastAsia="NSimSun" w:hAnsi="Cambria Math" w:cs="Arial"/>
                        <w:kern w:val="2"/>
                        <w:sz w:val="24"/>
                        <w:szCs w:val="24"/>
                        <w:lang w:eastAsia="zh-CN" w:bidi="hi-IN"/>
                      </w:rPr>
                      <m:t>n</m:t>
                    </m:r>
                  </m:sup>
                  <m:e>
                    <m:sSup>
                      <m:sSupPr>
                        <m:ctrlPr>
                          <w:rPr>
                            <w:rFonts w:ascii="Cambria Math" w:eastAsia="NSimSun" w:hAnsi="Cambria Math" w:cs="Arial"/>
                            <w:kern w:val="2"/>
                            <w:sz w:val="24"/>
                            <w:szCs w:val="24"/>
                            <w:lang w:eastAsia="zh-CN" w:bidi="hi-IN"/>
                          </w:rPr>
                        </m:ctrlPr>
                      </m:sSupPr>
                      <m:e>
                        <m:d>
                          <m:dPr>
                            <m:ctrlPr>
                              <w:rPr>
                                <w:rFonts w:ascii="Cambria Math" w:eastAsia="NSimSun" w:hAnsi="Cambria Math" w:cs="Arial"/>
                                <w:kern w:val="2"/>
                                <w:sz w:val="24"/>
                                <w:szCs w:val="24"/>
                                <w:lang w:eastAsia="zh-CN" w:bidi="hi-IN"/>
                              </w:rPr>
                            </m:ctrlPr>
                          </m:dPr>
                          <m:e>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y</m:t>
                                </m:r>
                              </m:e>
                              <m:sub>
                                <m:r>
                                  <w:rPr>
                                    <w:rFonts w:ascii="Cambria Math" w:eastAsia="NSimSun" w:hAnsi="Cambria Math" w:cs="Arial"/>
                                    <w:kern w:val="2"/>
                                    <w:sz w:val="24"/>
                                    <w:szCs w:val="24"/>
                                    <w:lang w:eastAsia="zh-CN" w:bidi="hi-IN"/>
                                  </w:rPr>
                                  <m:t>i</m:t>
                                </m:r>
                              </m:sub>
                            </m:sSub>
                            <m:r>
                              <w:rPr>
                                <w:rFonts w:ascii="Cambria Math" w:eastAsia="NSimSun" w:hAnsi="Cambria Math" w:cs="Arial"/>
                                <w:kern w:val="2"/>
                                <w:sz w:val="24"/>
                                <w:szCs w:val="24"/>
                                <w:lang w:eastAsia="zh-CN" w:bidi="hi-IN"/>
                              </w:rPr>
                              <m:t>-</m:t>
                            </m:r>
                            <m:bar>
                              <m:barPr>
                                <m:pos m:val="top"/>
                                <m:ctrlPr>
                                  <w:rPr>
                                    <w:rFonts w:ascii="Cambria Math" w:eastAsia="NSimSun" w:hAnsi="Cambria Math" w:cs="Arial"/>
                                    <w:kern w:val="2"/>
                                    <w:sz w:val="24"/>
                                    <w:szCs w:val="24"/>
                                    <w:lang w:eastAsia="zh-CN" w:bidi="hi-IN"/>
                                  </w:rPr>
                                </m:ctrlPr>
                              </m:barPr>
                              <m:e>
                                <m:r>
                                  <w:rPr>
                                    <w:rFonts w:ascii="Cambria Math" w:eastAsia="NSimSun" w:hAnsi="Cambria Math" w:cs="Arial"/>
                                    <w:kern w:val="2"/>
                                    <w:sz w:val="24"/>
                                    <w:szCs w:val="24"/>
                                    <w:lang w:eastAsia="zh-CN" w:bidi="hi-IN"/>
                                  </w:rPr>
                                  <m:t>y</m:t>
                                </m:r>
                              </m:e>
                            </m:bar>
                          </m:e>
                        </m:d>
                      </m:e>
                      <m:sup>
                        <m:r>
                          <w:rPr>
                            <w:rFonts w:ascii="Cambria Math" w:eastAsia="NSimSun" w:hAnsi="Cambria Math" w:cs="Arial"/>
                            <w:kern w:val="2"/>
                            <w:sz w:val="24"/>
                            <w:szCs w:val="24"/>
                            <w:lang w:eastAsia="zh-CN" w:bidi="hi-IN"/>
                          </w:rPr>
                          <m:t>2</m:t>
                        </m:r>
                      </m:sup>
                    </m:sSup>
                  </m:e>
                </m:nary>
              </m:e>
            </m:rad>
          </m:den>
        </m:f>
      </m:oMath>
      <w:r w:rsidRPr="00C408EB">
        <w:rPr>
          <w:rFonts w:ascii="Liberation Serif" w:eastAsia="NSimSun" w:hAnsi="Liberation Serif" w:cs="Arial"/>
          <w:kern w:val="2"/>
          <w:sz w:val="24"/>
          <w:szCs w:val="24"/>
          <w:lang w:eastAsia="zh-CN" w:bidi="hi-IN"/>
        </w:rPr>
        <w:t xml:space="preserve"> ,</w:t>
      </w:r>
    </w:p>
    <w:p w14:paraId="4240F6F9" w14:textId="77777777" w:rsidR="00C408EB" w:rsidRPr="00C408EB" w:rsidRDefault="00C408EB" w:rsidP="00C408EB">
      <w:p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где </w:t>
      </w:r>
      <w:r w:rsidRPr="00C408EB">
        <w:rPr>
          <w:rFonts w:ascii="Liberation Serif" w:eastAsia="NSimSun" w:hAnsi="Liberation Serif" w:cs="Arial"/>
          <w:kern w:val="2"/>
          <w:sz w:val="32"/>
          <w:szCs w:val="32"/>
          <w:lang w:val="en-US" w:eastAsia="zh-CN" w:bidi="hi-IN"/>
        </w:rPr>
        <w:t>x</w:t>
      </w:r>
      <w:r w:rsidRPr="00C408EB">
        <w:rPr>
          <w:rFonts w:ascii="Liberation Serif" w:eastAsia="NSimSun" w:hAnsi="Liberation Serif" w:cs="Arial"/>
          <w:kern w:val="2"/>
          <w:sz w:val="32"/>
          <w:szCs w:val="32"/>
          <w:vertAlign w:val="subscript"/>
          <w:lang w:val="en-US" w:eastAsia="zh-CN" w:bidi="hi-IN"/>
        </w:rPr>
        <w:t>i</w:t>
      </w:r>
      <w:r w:rsidRPr="00C408EB">
        <w:rPr>
          <w:rFonts w:ascii="Liberation Serif" w:eastAsia="NSimSun" w:hAnsi="Liberation Serif" w:cs="Arial"/>
          <w:kern w:val="2"/>
          <w:sz w:val="32"/>
          <w:szCs w:val="32"/>
          <w:lang w:eastAsia="zh-CN" w:bidi="hi-IN"/>
        </w:rPr>
        <w:t xml:space="preserve"> и </w:t>
      </w:r>
      <w:r w:rsidRPr="00C408EB">
        <w:rPr>
          <w:rFonts w:ascii="Liberation Serif" w:eastAsia="NSimSun" w:hAnsi="Liberation Serif" w:cs="Arial"/>
          <w:kern w:val="2"/>
          <w:sz w:val="32"/>
          <w:szCs w:val="32"/>
          <w:lang w:val="en-US" w:eastAsia="zh-CN" w:bidi="hi-IN"/>
        </w:rPr>
        <w:t>y</w:t>
      </w:r>
      <w:r w:rsidRPr="00C408EB">
        <w:rPr>
          <w:rFonts w:ascii="Liberation Serif" w:eastAsia="NSimSun" w:hAnsi="Liberation Serif" w:cs="Arial"/>
          <w:kern w:val="2"/>
          <w:sz w:val="32"/>
          <w:szCs w:val="32"/>
          <w:vertAlign w:val="subscript"/>
          <w:lang w:val="en-US" w:eastAsia="zh-CN" w:bidi="hi-IN"/>
        </w:rPr>
        <w:t>i</w:t>
      </w:r>
      <w:r w:rsidRPr="00C408EB">
        <w:rPr>
          <w:rFonts w:ascii="Liberation Serif" w:eastAsia="NSimSun" w:hAnsi="Liberation Serif" w:cs="Arial"/>
          <w:kern w:val="2"/>
          <w:sz w:val="32"/>
          <w:szCs w:val="32"/>
          <w:lang w:eastAsia="zh-CN" w:bidi="hi-IN"/>
        </w:rPr>
        <w:t xml:space="preserve"> – значения сравниваемых переменных, </w:t>
      </w:r>
      <w:r w:rsidRPr="00C408EB">
        <w:rPr>
          <w:rFonts w:ascii="Liberation Serif" w:eastAsia="NSimSun" w:hAnsi="Liberation Serif" w:cs="Arial"/>
          <w:kern w:val="2"/>
          <w:sz w:val="32"/>
          <w:szCs w:val="32"/>
          <w:lang w:val="en-US" w:eastAsia="zh-CN" w:bidi="hi-IN"/>
        </w:rPr>
        <w:t>x</w:t>
      </w:r>
      <w:r w:rsidRPr="00C408EB">
        <w:rPr>
          <w:rFonts w:ascii="Liberation Serif" w:eastAsia="NSimSun" w:hAnsi="Liberation Serif" w:cs="Arial"/>
          <w:kern w:val="2"/>
          <w:sz w:val="32"/>
          <w:szCs w:val="32"/>
          <w:lang w:eastAsia="zh-CN" w:bidi="hi-IN"/>
        </w:rPr>
        <w:t xml:space="preserve"> и </w:t>
      </w:r>
      <w:r w:rsidRPr="00C408EB">
        <w:rPr>
          <w:rFonts w:ascii="Liberation Serif" w:eastAsia="NSimSun" w:hAnsi="Liberation Serif" w:cs="Arial"/>
          <w:kern w:val="2"/>
          <w:sz w:val="32"/>
          <w:szCs w:val="32"/>
          <w:lang w:val="en-US" w:eastAsia="zh-CN" w:bidi="hi-IN"/>
        </w:rPr>
        <w:t>y</w:t>
      </w:r>
      <w:r w:rsidRPr="00C408EB">
        <w:rPr>
          <w:rFonts w:ascii="Liberation Serif" w:eastAsia="NSimSun" w:hAnsi="Liberation Serif" w:cs="Arial"/>
          <w:kern w:val="2"/>
          <w:sz w:val="32"/>
          <w:szCs w:val="32"/>
          <w:lang w:eastAsia="zh-CN" w:bidi="hi-IN"/>
        </w:rPr>
        <w:t xml:space="preserve"> – их средние значения.</w:t>
      </w:r>
    </w:p>
    <w:p w14:paraId="514F96FB" w14:textId="77777777" w:rsidR="00C408EB" w:rsidRPr="00C408EB" w:rsidRDefault="00C408EB" w:rsidP="00AD58CD">
      <w:pPr>
        <w:numPr>
          <w:ilvl w:val="0"/>
          <w:numId w:val="148"/>
        </w:num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коэффициент ранговой корреляции Спирмена</w:t>
      </w:r>
    </w:p>
    <w:p w14:paraId="756003EE"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m:oMath>
        <m:r>
          <w:rPr>
            <w:rFonts w:ascii="Cambria Math" w:eastAsia="NSimSun" w:hAnsi="Cambria Math" w:cs="Arial"/>
            <w:kern w:val="2"/>
            <w:sz w:val="24"/>
            <w:szCs w:val="24"/>
            <w:lang w:eastAsia="zh-CN" w:bidi="hi-IN"/>
          </w:rPr>
          <m:t>p=1-</m:t>
        </m:r>
        <m:f>
          <m:fPr>
            <m:ctrlPr>
              <w:rPr>
                <w:rFonts w:ascii="Cambria Math" w:eastAsia="NSimSun" w:hAnsi="Cambria Math" w:cs="Arial"/>
                <w:kern w:val="2"/>
                <w:sz w:val="24"/>
                <w:szCs w:val="24"/>
                <w:lang w:eastAsia="zh-CN" w:bidi="hi-IN"/>
              </w:rPr>
            </m:ctrlPr>
          </m:fPr>
          <m:num>
            <m:r>
              <w:rPr>
                <w:rFonts w:ascii="Cambria Math" w:eastAsia="NSimSun" w:hAnsi="Cambria Math" w:cs="Arial"/>
                <w:kern w:val="2"/>
                <w:sz w:val="24"/>
                <w:szCs w:val="24"/>
                <w:lang w:eastAsia="zh-CN" w:bidi="hi-IN"/>
              </w:rPr>
              <m:t>6</m:t>
            </m:r>
            <m:nary>
              <m:naryPr>
                <m:chr m:val="∑"/>
                <m:subHide m:val="1"/>
                <m:supHide m:val="1"/>
                <m:ctrlPr>
                  <w:rPr>
                    <w:rFonts w:ascii="Cambria Math" w:eastAsia="NSimSun" w:hAnsi="Cambria Math" w:cs="Arial"/>
                    <w:kern w:val="2"/>
                    <w:sz w:val="24"/>
                    <w:szCs w:val="24"/>
                    <w:lang w:eastAsia="zh-CN" w:bidi="hi-IN"/>
                  </w:rPr>
                </m:ctrlPr>
              </m:naryPr>
              <m:sub/>
              <m:sup/>
              <m:e>
                <m:sSubSup>
                  <m:sSubSupPr>
                    <m:ctrlPr>
                      <w:rPr>
                        <w:rFonts w:ascii="Cambria Math" w:eastAsia="NSimSun" w:hAnsi="Cambria Math" w:cs="Arial"/>
                        <w:kern w:val="2"/>
                        <w:sz w:val="24"/>
                        <w:szCs w:val="24"/>
                        <w:lang w:eastAsia="zh-CN" w:bidi="hi-IN"/>
                      </w:rPr>
                    </m:ctrlPr>
                  </m:sSubSupPr>
                  <m:e>
                    <m:r>
                      <w:rPr>
                        <w:rFonts w:ascii="Cambria Math" w:eastAsia="NSimSun" w:hAnsi="Cambria Math" w:cs="Arial"/>
                        <w:kern w:val="2"/>
                        <w:sz w:val="24"/>
                        <w:szCs w:val="24"/>
                        <w:lang w:eastAsia="zh-CN" w:bidi="hi-IN"/>
                      </w:rPr>
                      <m:t>d</m:t>
                    </m:r>
                  </m:e>
                  <m:sub>
                    <m:r>
                      <w:rPr>
                        <w:rFonts w:ascii="Cambria Math" w:eastAsia="NSimSun" w:hAnsi="Cambria Math" w:cs="Arial"/>
                        <w:kern w:val="2"/>
                        <w:sz w:val="24"/>
                        <w:szCs w:val="24"/>
                        <w:lang w:eastAsia="zh-CN" w:bidi="hi-IN"/>
                      </w:rPr>
                      <m:t>i</m:t>
                    </m:r>
                  </m:sub>
                  <m:sup>
                    <m:r>
                      <w:rPr>
                        <w:rFonts w:ascii="Cambria Math" w:eastAsia="NSimSun" w:hAnsi="Cambria Math" w:cs="Arial"/>
                        <w:kern w:val="2"/>
                        <w:sz w:val="24"/>
                        <w:szCs w:val="24"/>
                        <w:lang w:eastAsia="zh-CN" w:bidi="hi-IN"/>
                      </w:rPr>
                      <m:t>2</m:t>
                    </m:r>
                  </m:sup>
                </m:sSubSup>
              </m:e>
            </m:nary>
          </m:num>
          <m:den>
            <m:r>
              <w:rPr>
                <w:rFonts w:ascii="Cambria Math" w:eastAsia="NSimSun" w:hAnsi="Cambria Math" w:cs="Arial"/>
                <w:kern w:val="2"/>
                <w:sz w:val="24"/>
                <w:szCs w:val="24"/>
                <w:lang w:eastAsia="zh-CN" w:bidi="hi-IN"/>
              </w:rPr>
              <m:t>n</m:t>
            </m:r>
            <m:d>
              <m:dPr>
                <m:ctrlPr>
                  <w:rPr>
                    <w:rFonts w:ascii="Cambria Math" w:eastAsia="NSimSun" w:hAnsi="Cambria Math" w:cs="Arial"/>
                    <w:kern w:val="2"/>
                    <w:sz w:val="24"/>
                    <w:szCs w:val="24"/>
                    <w:lang w:eastAsia="zh-CN" w:bidi="hi-IN"/>
                  </w:rPr>
                </m:ctrlPr>
              </m:dPr>
              <m:e>
                <m:sSup>
                  <m:sSupPr>
                    <m:ctrlPr>
                      <w:rPr>
                        <w:rFonts w:ascii="Cambria Math" w:eastAsia="NSimSun" w:hAnsi="Cambria Math" w:cs="Arial"/>
                        <w:kern w:val="2"/>
                        <w:sz w:val="24"/>
                        <w:szCs w:val="24"/>
                        <w:lang w:eastAsia="zh-CN" w:bidi="hi-IN"/>
                      </w:rPr>
                    </m:ctrlPr>
                  </m:sSupPr>
                  <m:e>
                    <m:r>
                      <w:rPr>
                        <w:rFonts w:ascii="Cambria Math" w:eastAsia="NSimSun" w:hAnsi="Cambria Math" w:cs="Arial"/>
                        <w:kern w:val="2"/>
                        <w:sz w:val="24"/>
                        <w:szCs w:val="24"/>
                        <w:lang w:eastAsia="zh-CN" w:bidi="hi-IN"/>
                      </w:rPr>
                      <m:t>n</m:t>
                    </m:r>
                  </m:e>
                  <m:sup>
                    <m:r>
                      <w:rPr>
                        <w:rFonts w:ascii="Cambria Math" w:eastAsia="NSimSun" w:hAnsi="Cambria Math" w:cs="Arial"/>
                        <w:kern w:val="2"/>
                        <w:sz w:val="24"/>
                        <w:szCs w:val="24"/>
                        <w:lang w:eastAsia="zh-CN" w:bidi="hi-IN"/>
                      </w:rPr>
                      <m:t>2</m:t>
                    </m:r>
                  </m:sup>
                </m:sSup>
                <m:r>
                  <w:rPr>
                    <w:rFonts w:ascii="Cambria Math" w:eastAsia="NSimSun" w:hAnsi="Cambria Math" w:cs="Arial"/>
                    <w:kern w:val="2"/>
                    <w:sz w:val="24"/>
                    <w:szCs w:val="24"/>
                    <w:lang w:eastAsia="zh-CN" w:bidi="hi-IN"/>
                  </w:rPr>
                  <m:t>-1</m:t>
                </m:r>
              </m:e>
            </m:d>
          </m:den>
        </m:f>
      </m:oMath>
      <w:r w:rsidRPr="00C408EB">
        <w:rPr>
          <w:rFonts w:ascii="Liberation Serif" w:eastAsia="NSimSun" w:hAnsi="Liberation Serif" w:cs="Arial"/>
          <w:kern w:val="2"/>
          <w:sz w:val="24"/>
          <w:szCs w:val="24"/>
          <w:lang w:eastAsia="zh-CN" w:bidi="hi-IN"/>
        </w:rPr>
        <w:t xml:space="preserve"> ,</w:t>
      </w:r>
    </w:p>
    <w:p w14:paraId="7F83BF1D" w14:textId="77777777" w:rsidR="00C408EB" w:rsidRPr="00C408EB" w:rsidRDefault="00C408EB" w:rsidP="00C408EB">
      <w:p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где d</w:t>
      </w:r>
      <w:r w:rsidRPr="00C408EB">
        <w:rPr>
          <w:rFonts w:ascii="Liberation Serif" w:eastAsia="NSimSun" w:hAnsi="Liberation Serif" w:cs="Arial"/>
          <w:kern w:val="2"/>
          <w:sz w:val="32"/>
          <w:szCs w:val="32"/>
          <w:vertAlign w:val="subscript"/>
          <w:lang w:eastAsia="zh-CN" w:bidi="hi-IN"/>
        </w:rPr>
        <w:t>i</w:t>
      </w:r>
      <w:r w:rsidRPr="00C408EB">
        <w:rPr>
          <w:rFonts w:ascii="Liberation Serif" w:eastAsia="NSimSun" w:hAnsi="Liberation Serif" w:cs="Arial"/>
          <w:kern w:val="2"/>
          <w:sz w:val="32"/>
          <w:szCs w:val="32"/>
          <w:lang w:eastAsia="zh-CN" w:bidi="hi-IN"/>
        </w:rPr>
        <w:t xml:space="preserve"> – разность рангов каждой переменной, n – количество наблюдений.</w:t>
      </w:r>
    </w:p>
    <w:p w14:paraId="7C47ACE6"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Корреляционные коэффициенты измеряют степень и направление статистической связи между переменными, причем коэффициент Спирмена менее чувствителен к выбросам. </w:t>
      </w:r>
    </w:p>
    <w:p w14:paraId="64C0ED03"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Для регрессионого анализа было принято решения построить следующие модели:</w:t>
      </w:r>
    </w:p>
    <w:p w14:paraId="585176DD" w14:textId="77777777" w:rsidR="00C408EB" w:rsidRPr="00C408EB" w:rsidRDefault="00C408EB" w:rsidP="00AD58CD">
      <w:pPr>
        <w:numPr>
          <w:ilvl w:val="0"/>
          <w:numId w:val="149"/>
        </w:numPr>
        <w:suppressAutoHyphens/>
        <w:spacing w:after="0" w:line="240" w:lineRule="auto"/>
        <w:ind w:left="0"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линейная регрессионная модель </w:t>
      </w:r>
      <m:oMath>
        <m:r>
          <w:rPr>
            <w:rFonts w:ascii="Cambria Math" w:eastAsia="NSimSun" w:hAnsi="Cambria Math" w:cs="Arial"/>
            <w:kern w:val="2"/>
            <w:sz w:val="24"/>
            <w:szCs w:val="24"/>
            <w:lang w:eastAsia="zh-CN" w:bidi="hi-IN"/>
          </w:rPr>
          <m:t>y=</m:t>
        </m:r>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β</m:t>
            </m:r>
          </m:e>
          <m:sub>
            <m:r>
              <w:rPr>
                <w:rFonts w:ascii="Cambria Math" w:eastAsia="NSimSun" w:hAnsi="Cambria Math" w:cs="Arial"/>
                <w:kern w:val="2"/>
                <w:sz w:val="24"/>
                <w:szCs w:val="24"/>
                <w:lang w:eastAsia="zh-CN" w:bidi="hi-IN"/>
              </w:rPr>
              <m:t>0</m:t>
            </m:r>
          </m:sub>
        </m:sSub>
        <m:r>
          <w:rPr>
            <w:rFonts w:ascii="Cambria Math" w:eastAsia="NSimSun" w:hAnsi="Cambria Math" w:cs="Arial"/>
            <w:kern w:val="2"/>
            <w:sz w:val="24"/>
            <w:szCs w:val="24"/>
            <w:lang w:eastAsia="zh-CN" w:bidi="hi-IN"/>
          </w:rPr>
          <m:t>+</m:t>
        </m:r>
        <m:sSub>
          <m:sSubPr>
            <m:ctrlPr>
              <w:rPr>
                <w:rFonts w:ascii="Cambria Math" w:eastAsia="NSimSun" w:hAnsi="Cambria Math" w:cs="Arial"/>
                <w:kern w:val="2"/>
                <w:sz w:val="24"/>
                <w:szCs w:val="24"/>
                <w:lang w:eastAsia="zh-CN" w:bidi="hi-IN"/>
              </w:rPr>
            </m:ctrlPr>
          </m:sSubPr>
          <m:e>
            <m:r>
              <w:rPr>
                <w:rFonts w:ascii="Cambria Math" w:eastAsia="NSimSun" w:hAnsi="Cambria Math" w:cs="Arial"/>
                <w:kern w:val="2"/>
                <w:sz w:val="24"/>
                <w:szCs w:val="24"/>
                <w:lang w:eastAsia="zh-CN" w:bidi="hi-IN"/>
              </w:rPr>
              <m:t>β</m:t>
            </m:r>
          </m:e>
          <m:sub>
            <m:r>
              <w:rPr>
                <w:rFonts w:ascii="Cambria Math" w:eastAsia="NSimSun" w:hAnsi="Cambria Math" w:cs="Arial"/>
                <w:kern w:val="2"/>
                <w:sz w:val="24"/>
                <w:szCs w:val="24"/>
                <w:lang w:eastAsia="zh-CN" w:bidi="hi-IN"/>
              </w:rPr>
              <m:t>1</m:t>
            </m:r>
          </m:sub>
        </m:sSub>
        <m:r>
          <w:rPr>
            <w:rFonts w:ascii="Cambria Math" w:eastAsia="NSimSun" w:hAnsi="Cambria Math" w:cs="Arial"/>
            <w:kern w:val="2"/>
            <w:sz w:val="24"/>
            <w:szCs w:val="24"/>
            <w:lang w:eastAsia="zh-CN" w:bidi="hi-IN"/>
          </w:rPr>
          <m:t>x+ε</m:t>
        </m:r>
      </m:oMath>
      <w:r w:rsidRPr="00C408EB">
        <w:rPr>
          <w:rFonts w:ascii="Liberation Serif" w:eastAsia="NSimSun" w:hAnsi="Liberation Serif" w:cs="Arial"/>
          <w:kern w:val="2"/>
          <w:sz w:val="28"/>
          <w:szCs w:val="28"/>
          <w:lang w:eastAsia="zh-CN" w:bidi="hi-IN"/>
        </w:rPr>
        <w:t xml:space="preserve">, </w:t>
      </w:r>
      <w:r w:rsidRPr="00C408EB">
        <w:rPr>
          <w:rFonts w:ascii="Liberation Serif" w:eastAsia="NSimSun" w:hAnsi="Liberation Serif" w:cs="Arial"/>
          <w:kern w:val="2"/>
          <w:sz w:val="32"/>
          <w:szCs w:val="32"/>
          <w:lang w:eastAsia="zh-CN" w:bidi="hi-IN"/>
        </w:rPr>
        <w:t>где β</w:t>
      </w:r>
      <w:r w:rsidRPr="00C408EB">
        <w:rPr>
          <w:rFonts w:ascii="Liberation Serif" w:eastAsia="NSimSun" w:hAnsi="Liberation Serif" w:cs="Arial"/>
          <w:kern w:val="2"/>
          <w:sz w:val="32"/>
          <w:szCs w:val="32"/>
          <w:vertAlign w:val="subscript"/>
          <w:lang w:eastAsia="zh-CN" w:bidi="hi-IN"/>
        </w:rPr>
        <w:t>0</w:t>
      </w:r>
      <w:r w:rsidRPr="00C408EB">
        <w:rPr>
          <w:rFonts w:ascii="Liberation Serif" w:eastAsia="NSimSun" w:hAnsi="Liberation Serif" w:cs="Arial"/>
          <w:kern w:val="2"/>
          <w:sz w:val="32"/>
          <w:szCs w:val="32"/>
          <w:lang w:eastAsia="zh-CN" w:bidi="hi-IN"/>
        </w:rPr>
        <w:t xml:space="preserve"> – константа, β</w:t>
      </w:r>
      <w:r w:rsidRPr="00C408EB">
        <w:rPr>
          <w:rFonts w:ascii="Liberation Serif" w:eastAsia="NSimSun" w:hAnsi="Liberation Serif" w:cs="Arial"/>
          <w:kern w:val="2"/>
          <w:sz w:val="32"/>
          <w:szCs w:val="32"/>
          <w:vertAlign w:val="subscript"/>
          <w:lang w:eastAsia="zh-CN" w:bidi="hi-IN"/>
        </w:rPr>
        <w:t>1</w:t>
      </w:r>
      <w:r w:rsidRPr="00C408EB">
        <w:rPr>
          <w:rFonts w:ascii="Liberation Serif" w:eastAsia="NSimSun" w:hAnsi="Liberation Serif" w:cs="Arial"/>
          <w:kern w:val="2"/>
          <w:sz w:val="32"/>
          <w:szCs w:val="32"/>
          <w:lang w:eastAsia="zh-CN" w:bidi="hi-IN"/>
        </w:rPr>
        <w:t xml:space="preserve"> – коэффициент регрессии, </w:t>
      </w:r>
      <m:oMath>
        <m:r>
          <w:rPr>
            <w:rFonts w:ascii="Cambria Math" w:eastAsia="NSimSun" w:hAnsi="Cambria Math" w:cs="Arial"/>
            <w:kern w:val="2"/>
            <w:sz w:val="24"/>
            <w:szCs w:val="24"/>
            <w:lang w:eastAsia="zh-CN" w:bidi="hi-IN"/>
          </w:rPr>
          <m:t>ε</m:t>
        </m:r>
      </m:oMath>
      <w:r w:rsidRPr="00C408EB">
        <w:rPr>
          <w:rFonts w:ascii="Liberation Serif" w:eastAsia="NSimSun" w:hAnsi="Liberation Serif" w:cs="Arial"/>
          <w:kern w:val="2"/>
          <w:sz w:val="32"/>
          <w:szCs w:val="32"/>
          <w:lang w:eastAsia="zh-CN" w:bidi="hi-IN"/>
        </w:rPr>
        <w:t xml:space="preserve"> – случайная ошибка.</w:t>
      </w:r>
    </w:p>
    <w:p w14:paraId="4849CFE8" w14:textId="77777777" w:rsidR="00C408EB" w:rsidRPr="00C408EB" w:rsidRDefault="00C408EB" w:rsidP="00AD58CD">
      <w:pPr>
        <w:numPr>
          <w:ilvl w:val="0"/>
          <w:numId w:val="149"/>
        </w:numPr>
        <w:suppressAutoHyphens/>
        <w:spacing w:after="0" w:line="240" w:lineRule="auto"/>
        <w:ind w:left="0" w:firstLine="709"/>
        <w:contextualSpacing/>
        <w:jc w:val="both"/>
        <w:rPr>
          <w:rFonts w:ascii="Liberation Serif" w:eastAsia="NSimSun" w:hAnsi="Liberation Serif" w:cs="Mangal" w:hint="eastAsia"/>
          <w:kern w:val="2"/>
          <w:sz w:val="32"/>
          <w:szCs w:val="32"/>
          <w:lang w:eastAsia="zh-CN" w:bidi="hi-IN"/>
        </w:rPr>
      </w:pPr>
      <w:r w:rsidRPr="00C408EB">
        <w:rPr>
          <w:rFonts w:ascii="Liberation Serif" w:eastAsia="NSimSun" w:hAnsi="Liberation Serif" w:cs="Mangal"/>
          <w:kern w:val="2"/>
          <w:sz w:val="32"/>
          <w:szCs w:val="32"/>
          <w:lang w:eastAsia="zh-CN" w:bidi="hi-IN"/>
        </w:rPr>
        <w:t xml:space="preserve">полиноминальная регрессия 4-й степени </w:t>
      </w:r>
      <m:oMath>
        <m:r>
          <w:rPr>
            <w:rFonts w:ascii="Cambria Math" w:eastAsia="NSimSun" w:hAnsi="Cambria Math" w:cs="Mangal"/>
            <w:kern w:val="2"/>
            <w:sz w:val="24"/>
            <w:szCs w:val="21"/>
            <w:lang w:eastAsia="zh-CN" w:bidi="hi-IN"/>
          </w:rPr>
          <m:t>y=</m:t>
        </m:r>
        <m:sSub>
          <m:sSubPr>
            <m:ctrlPr>
              <w:rPr>
                <w:rFonts w:ascii="Cambria Math" w:eastAsia="NSimSun" w:hAnsi="Cambria Math" w:cs="Mangal"/>
                <w:kern w:val="2"/>
                <w:sz w:val="24"/>
                <w:szCs w:val="21"/>
                <w:lang w:eastAsia="zh-CN" w:bidi="hi-IN"/>
              </w:rPr>
            </m:ctrlPr>
          </m:sSubPr>
          <m:e>
            <m:r>
              <w:rPr>
                <w:rFonts w:ascii="Cambria Math" w:eastAsia="NSimSun" w:hAnsi="Cambria Math" w:cs="Mangal"/>
                <w:kern w:val="2"/>
                <w:sz w:val="24"/>
                <w:szCs w:val="21"/>
                <w:lang w:eastAsia="zh-CN" w:bidi="hi-IN"/>
              </w:rPr>
              <m:t>β</m:t>
            </m:r>
          </m:e>
          <m:sub>
            <m:r>
              <w:rPr>
                <w:rFonts w:ascii="Cambria Math" w:eastAsia="NSimSun" w:hAnsi="Cambria Math" w:cs="Mangal"/>
                <w:kern w:val="2"/>
                <w:sz w:val="24"/>
                <w:szCs w:val="21"/>
                <w:lang w:eastAsia="zh-CN" w:bidi="hi-IN"/>
              </w:rPr>
              <m:t>0</m:t>
            </m:r>
          </m:sub>
        </m:sSub>
        <m:r>
          <w:rPr>
            <w:rFonts w:ascii="Cambria Math" w:eastAsia="NSimSun" w:hAnsi="Cambria Math" w:cs="Mangal"/>
            <w:kern w:val="2"/>
            <w:sz w:val="24"/>
            <w:szCs w:val="21"/>
            <w:lang w:eastAsia="zh-CN" w:bidi="hi-IN"/>
          </w:rPr>
          <m:t>+</m:t>
        </m:r>
        <m:sSub>
          <m:sSubPr>
            <m:ctrlPr>
              <w:rPr>
                <w:rFonts w:ascii="Cambria Math" w:eastAsia="NSimSun" w:hAnsi="Cambria Math" w:cs="Mangal"/>
                <w:kern w:val="2"/>
                <w:sz w:val="24"/>
                <w:szCs w:val="21"/>
                <w:lang w:eastAsia="zh-CN" w:bidi="hi-IN"/>
              </w:rPr>
            </m:ctrlPr>
          </m:sSubPr>
          <m:e>
            <m:r>
              <w:rPr>
                <w:rFonts w:ascii="Cambria Math" w:eastAsia="NSimSun" w:hAnsi="Cambria Math" w:cs="Mangal"/>
                <w:kern w:val="2"/>
                <w:sz w:val="24"/>
                <w:szCs w:val="21"/>
                <w:lang w:eastAsia="zh-CN" w:bidi="hi-IN"/>
              </w:rPr>
              <m:t>β</m:t>
            </m:r>
          </m:e>
          <m:sub>
            <m:r>
              <w:rPr>
                <w:rFonts w:ascii="Cambria Math" w:eastAsia="NSimSun" w:hAnsi="Cambria Math" w:cs="Mangal"/>
                <w:kern w:val="2"/>
                <w:sz w:val="24"/>
                <w:szCs w:val="21"/>
                <w:lang w:eastAsia="zh-CN" w:bidi="hi-IN"/>
              </w:rPr>
              <m:t>1</m:t>
            </m:r>
          </m:sub>
        </m:sSub>
        <m:r>
          <w:rPr>
            <w:rFonts w:ascii="Cambria Math" w:eastAsia="NSimSun" w:hAnsi="Cambria Math" w:cs="Mangal"/>
            <w:kern w:val="2"/>
            <w:sz w:val="24"/>
            <w:szCs w:val="21"/>
            <w:lang w:eastAsia="zh-CN" w:bidi="hi-IN"/>
          </w:rPr>
          <m:t>x+</m:t>
        </m:r>
        <m:sSub>
          <m:sSubPr>
            <m:ctrlPr>
              <w:rPr>
                <w:rFonts w:ascii="Cambria Math" w:eastAsia="NSimSun" w:hAnsi="Cambria Math" w:cs="Mangal"/>
                <w:kern w:val="2"/>
                <w:sz w:val="24"/>
                <w:szCs w:val="21"/>
                <w:lang w:eastAsia="zh-CN" w:bidi="hi-IN"/>
              </w:rPr>
            </m:ctrlPr>
          </m:sSubPr>
          <m:e>
            <m:r>
              <w:rPr>
                <w:rFonts w:ascii="Cambria Math" w:eastAsia="NSimSun" w:hAnsi="Cambria Math" w:cs="Mangal"/>
                <w:kern w:val="2"/>
                <w:sz w:val="24"/>
                <w:szCs w:val="21"/>
                <w:lang w:eastAsia="zh-CN" w:bidi="hi-IN"/>
              </w:rPr>
              <m:t>β</m:t>
            </m:r>
          </m:e>
          <m:sub>
            <m:r>
              <w:rPr>
                <w:rFonts w:ascii="Cambria Math" w:eastAsia="NSimSun" w:hAnsi="Cambria Math" w:cs="Mangal"/>
                <w:kern w:val="2"/>
                <w:sz w:val="24"/>
                <w:szCs w:val="21"/>
                <w:lang w:eastAsia="zh-CN" w:bidi="hi-IN"/>
              </w:rPr>
              <m:t>2</m:t>
            </m:r>
          </m:sub>
        </m:sSub>
        <m:sSup>
          <m:sSupPr>
            <m:ctrlPr>
              <w:rPr>
                <w:rFonts w:ascii="Cambria Math" w:eastAsia="NSimSun" w:hAnsi="Cambria Math" w:cs="Mangal"/>
                <w:kern w:val="2"/>
                <w:sz w:val="24"/>
                <w:szCs w:val="21"/>
                <w:lang w:eastAsia="zh-CN" w:bidi="hi-IN"/>
              </w:rPr>
            </m:ctrlPr>
          </m:sSupPr>
          <m:e>
            <m:r>
              <w:rPr>
                <w:rFonts w:ascii="Cambria Math" w:eastAsia="NSimSun" w:hAnsi="Cambria Math" w:cs="Mangal"/>
                <w:kern w:val="2"/>
                <w:sz w:val="24"/>
                <w:szCs w:val="21"/>
                <w:lang w:eastAsia="zh-CN" w:bidi="hi-IN"/>
              </w:rPr>
              <m:t>x</m:t>
            </m:r>
          </m:e>
          <m:sup>
            <m:r>
              <w:rPr>
                <w:rFonts w:ascii="Cambria Math" w:eastAsia="NSimSun" w:hAnsi="Cambria Math" w:cs="Mangal"/>
                <w:kern w:val="2"/>
                <w:sz w:val="24"/>
                <w:szCs w:val="21"/>
                <w:lang w:eastAsia="zh-CN" w:bidi="hi-IN"/>
              </w:rPr>
              <m:t>2</m:t>
            </m:r>
          </m:sup>
        </m:sSup>
        <m:r>
          <w:rPr>
            <w:rFonts w:ascii="Cambria Math" w:eastAsia="NSimSun" w:hAnsi="Cambria Math" w:cs="Mangal"/>
            <w:kern w:val="2"/>
            <w:sz w:val="24"/>
            <w:szCs w:val="21"/>
            <w:lang w:eastAsia="zh-CN" w:bidi="hi-IN"/>
          </w:rPr>
          <m:t>+</m:t>
        </m:r>
        <m:sSub>
          <m:sSubPr>
            <m:ctrlPr>
              <w:rPr>
                <w:rFonts w:ascii="Cambria Math" w:eastAsia="NSimSun" w:hAnsi="Cambria Math" w:cs="Mangal"/>
                <w:kern w:val="2"/>
                <w:sz w:val="24"/>
                <w:szCs w:val="21"/>
                <w:lang w:eastAsia="zh-CN" w:bidi="hi-IN"/>
              </w:rPr>
            </m:ctrlPr>
          </m:sSubPr>
          <m:e>
            <m:r>
              <w:rPr>
                <w:rFonts w:ascii="Cambria Math" w:eastAsia="NSimSun" w:hAnsi="Cambria Math" w:cs="Mangal"/>
                <w:kern w:val="2"/>
                <w:sz w:val="24"/>
                <w:szCs w:val="21"/>
                <w:lang w:eastAsia="zh-CN" w:bidi="hi-IN"/>
              </w:rPr>
              <m:t>β</m:t>
            </m:r>
          </m:e>
          <m:sub>
            <m:r>
              <w:rPr>
                <w:rFonts w:ascii="Cambria Math" w:eastAsia="NSimSun" w:hAnsi="Cambria Math" w:cs="Mangal"/>
                <w:kern w:val="2"/>
                <w:sz w:val="24"/>
                <w:szCs w:val="21"/>
                <w:lang w:eastAsia="zh-CN" w:bidi="hi-IN"/>
              </w:rPr>
              <m:t>3</m:t>
            </m:r>
          </m:sub>
        </m:sSub>
        <m:sSup>
          <m:sSupPr>
            <m:ctrlPr>
              <w:rPr>
                <w:rFonts w:ascii="Cambria Math" w:eastAsia="NSimSun" w:hAnsi="Cambria Math" w:cs="Mangal"/>
                <w:kern w:val="2"/>
                <w:sz w:val="24"/>
                <w:szCs w:val="21"/>
                <w:lang w:eastAsia="zh-CN" w:bidi="hi-IN"/>
              </w:rPr>
            </m:ctrlPr>
          </m:sSupPr>
          <m:e>
            <m:r>
              <w:rPr>
                <w:rFonts w:ascii="Cambria Math" w:eastAsia="NSimSun" w:hAnsi="Cambria Math" w:cs="Mangal"/>
                <w:kern w:val="2"/>
                <w:sz w:val="24"/>
                <w:szCs w:val="21"/>
                <w:lang w:eastAsia="zh-CN" w:bidi="hi-IN"/>
              </w:rPr>
              <m:t>x</m:t>
            </m:r>
          </m:e>
          <m:sup>
            <m:r>
              <w:rPr>
                <w:rFonts w:ascii="Cambria Math" w:eastAsia="NSimSun" w:hAnsi="Cambria Math" w:cs="Mangal"/>
                <w:kern w:val="2"/>
                <w:sz w:val="24"/>
                <w:szCs w:val="21"/>
                <w:lang w:eastAsia="zh-CN" w:bidi="hi-IN"/>
              </w:rPr>
              <m:t>3</m:t>
            </m:r>
          </m:sup>
        </m:sSup>
        <m:r>
          <w:rPr>
            <w:rFonts w:ascii="Cambria Math" w:eastAsia="NSimSun" w:hAnsi="Cambria Math" w:cs="Mangal"/>
            <w:kern w:val="2"/>
            <w:sz w:val="24"/>
            <w:szCs w:val="21"/>
            <w:lang w:eastAsia="zh-CN" w:bidi="hi-IN"/>
          </w:rPr>
          <m:t>+</m:t>
        </m:r>
        <m:sSub>
          <m:sSubPr>
            <m:ctrlPr>
              <w:rPr>
                <w:rFonts w:ascii="Cambria Math" w:eastAsia="NSimSun" w:hAnsi="Cambria Math" w:cs="Mangal"/>
                <w:kern w:val="2"/>
                <w:sz w:val="24"/>
                <w:szCs w:val="21"/>
                <w:lang w:eastAsia="zh-CN" w:bidi="hi-IN"/>
              </w:rPr>
            </m:ctrlPr>
          </m:sSubPr>
          <m:e>
            <m:r>
              <w:rPr>
                <w:rFonts w:ascii="Cambria Math" w:eastAsia="NSimSun" w:hAnsi="Cambria Math" w:cs="Mangal"/>
                <w:kern w:val="2"/>
                <w:sz w:val="24"/>
                <w:szCs w:val="21"/>
                <w:lang w:eastAsia="zh-CN" w:bidi="hi-IN"/>
              </w:rPr>
              <m:t>β</m:t>
            </m:r>
          </m:e>
          <m:sub>
            <m:r>
              <w:rPr>
                <w:rFonts w:ascii="Cambria Math" w:eastAsia="NSimSun" w:hAnsi="Cambria Math" w:cs="Mangal"/>
                <w:kern w:val="2"/>
                <w:sz w:val="24"/>
                <w:szCs w:val="21"/>
                <w:lang w:eastAsia="zh-CN" w:bidi="hi-IN"/>
              </w:rPr>
              <m:t>4</m:t>
            </m:r>
          </m:sub>
        </m:sSub>
        <m:sSup>
          <m:sSupPr>
            <m:ctrlPr>
              <w:rPr>
                <w:rFonts w:ascii="Cambria Math" w:eastAsia="NSimSun" w:hAnsi="Cambria Math" w:cs="Mangal"/>
                <w:kern w:val="2"/>
                <w:sz w:val="24"/>
                <w:szCs w:val="21"/>
                <w:lang w:eastAsia="zh-CN" w:bidi="hi-IN"/>
              </w:rPr>
            </m:ctrlPr>
          </m:sSupPr>
          <m:e>
            <m:r>
              <w:rPr>
                <w:rFonts w:ascii="Cambria Math" w:eastAsia="NSimSun" w:hAnsi="Cambria Math" w:cs="Mangal"/>
                <w:kern w:val="2"/>
                <w:sz w:val="24"/>
                <w:szCs w:val="21"/>
                <w:lang w:eastAsia="zh-CN" w:bidi="hi-IN"/>
              </w:rPr>
              <m:t>x</m:t>
            </m:r>
          </m:e>
          <m:sup>
            <m:r>
              <w:rPr>
                <w:rFonts w:ascii="Cambria Math" w:eastAsia="NSimSun" w:hAnsi="Cambria Math" w:cs="Mangal"/>
                <w:kern w:val="2"/>
                <w:sz w:val="24"/>
                <w:szCs w:val="21"/>
                <w:lang w:eastAsia="zh-CN" w:bidi="hi-IN"/>
              </w:rPr>
              <m:t>4</m:t>
            </m:r>
          </m:sup>
        </m:sSup>
        <m:r>
          <w:rPr>
            <w:rFonts w:ascii="Cambria Math" w:eastAsia="NSimSun" w:hAnsi="Cambria Math" w:cs="Mangal"/>
            <w:kern w:val="2"/>
            <w:sz w:val="24"/>
            <w:szCs w:val="21"/>
            <w:lang w:eastAsia="zh-CN" w:bidi="hi-IN"/>
          </w:rPr>
          <m:t>+ε</m:t>
        </m:r>
      </m:oMath>
      <w:r w:rsidRPr="00C408EB">
        <w:rPr>
          <w:rFonts w:ascii="Liberation Serif" w:eastAsia="NSimSun" w:hAnsi="Liberation Serif" w:cs="Mangal"/>
          <w:kern w:val="2"/>
          <w:sz w:val="28"/>
          <w:lang w:eastAsia="zh-CN" w:bidi="hi-IN"/>
        </w:rPr>
        <w:t>.</w:t>
      </w:r>
    </w:p>
    <w:p w14:paraId="52B9C608"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Эти модели позволяют количественно оценить характер зависимости между переменными, причем полиномиальная спецификация учитывает возможные нелинейные эффекты. </w:t>
      </w:r>
    </w:p>
    <w:p w14:paraId="3BEEF713" w14:textId="77777777" w:rsidR="00C408EB" w:rsidRPr="00C408EB" w:rsidRDefault="00C408EB" w:rsidP="00C408EB">
      <w:pPr>
        <w:suppressAutoHyphens/>
        <w:spacing w:after="0" w:line="240" w:lineRule="auto"/>
        <w:ind w:firstLine="709"/>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noProof/>
          <w:kern w:val="2"/>
          <w:sz w:val="24"/>
          <w:szCs w:val="24"/>
          <w:lang w:eastAsia="ru-RU"/>
        </w:rPr>
        <w:lastRenderedPageBreak/>
        <w:drawing>
          <wp:anchor distT="0" distB="0" distL="0" distR="0" simplePos="0" relativeHeight="251678720" behindDoc="0" locked="0" layoutInCell="0" allowOverlap="1" wp14:anchorId="78051B9D" wp14:editId="77013EDB">
            <wp:simplePos x="0" y="0"/>
            <wp:positionH relativeFrom="column">
              <wp:posOffset>727710</wp:posOffset>
            </wp:positionH>
            <wp:positionV relativeFrom="paragraph">
              <wp:posOffset>931545</wp:posOffset>
            </wp:positionV>
            <wp:extent cx="4686300" cy="3422015"/>
            <wp:effectExtent l="0" t="0" r="0" b="0"/>
            <wp:wrapTopAndBottom/>
            <wp:docPr id="142590443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18"/>
                    <a:srcRect l="-40" t="-54" r="-40" b="-54"/>
                    <a:stretch>
                      <a:fillRect/>
                    </a:stretch>
                  </pic:blipFill>
                  <pic:spPr bwMode="auto">
                    <a:xfrm>
                      <a:off x="0" y="0"/>
                      <a:ext cx="4686300" cy="3422015"/>
                    </a:xfrm>
                    <a:prstGeom prst="rect">
                      <a:avLst/>
                    </a:prstGeom>
                    <a:noFill/>
                  </pic:spPr>
                </pic:pic>
              </a:graphicData>
            </a:graphic>
          </wp:anchor>
        </w:drawing>
      </w:r>
      <w:r w:rsidRPr="00C408EB">
        <w:rPr>
          <w:rFonts w:ascii="Liberation Serif" w:eastAsia="NSimSun" w:hAnsi="Liberation Serif" w:cs="Arial"/>
          <w:kern w:val="2"/>
          <w:sz w:val="32"/>
          <w:szCs w:val="32"/>
          <w:lang w:eastAsia="zh-CN" w:bidi="hi-IN"/>
        </w:rPr>
        <w:t>Исследование основано на ежедневных данных курса USD/RUB (рис. 1), который получен через API Центрального Банка РФ, а также цен на нефть Brent, которые были взяты с платформы Yahoo Finance.</w:t>
      </w:r>
    </w:p>
    <w:p w14:paraId="59896965"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079D2B33"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Рисунок 1 – Исходные данные исследования</w:t>
      </w:r>
    </w:p>
    <w:p w14:paraId="338EFF65"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0FE8A48E"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Описательная статистика выявила характеристики, приведенные в таблице 1. Визуализация и моделирование осуществлялись при помощи языка программирования </w:t>
      </w:r>
      <w:r w:rsidRPr="00C408EB">
        <w:rPr>
          <w:rFonts w:ascii="Liberation Serif" w:eastAsia="NSimSun" w:hAnsi="Liberation Serif" w:cs="Arial"/>
          <w:kern w:val="2"/>
          <w:sz w:val="32"/>
          <w:szCs w:val="32"/>
          <w:lang w:val="en-US" w:eastAsia="zh-CN" w:bidi="hi-IN"/>
        </w:rPr>
        <w:t>Python</w:t>
      </w:r>
      <w:r w:rsidRPr="00C408EB">
        <w:rPr>
          <w:rFonts w:ascii="Liberation Serif" w:eastAsia="NSimSun" w:hAnsi="Liberation Serif" w:cs="Arial"/>
          <w:kern w:val="2"/>
          <w:sz w:val="32"/>
          <w:szCs w:val="32"/>
          <w:lang w:eastAsia="zh-CN" w:bidi="hi-IN"/>
        </w:rPr>
        <w:t xml:space="preserve"> и следующих его библиотек:</w:t>
      </w:r>
    </w:p>
    <w:p w14:paraId="6AFD8D69"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pandas</w:t>
      </w:r>
    </w:p>
    <w:p w14:paraId="1C26ED55"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numpy</w:t>
      </w:r>
    </w:p>
    <w:p w14:paraId="1C6B96D8"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yfinance</w:t>
      </w:r>
    </w:p>
    <w:p w14:paraId="6686A273"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proofErr w:type="gramStart"/>
      <w:r w:rsidRPr="00C408EB">
        <w:rPr>
          <w:rFonts w:ascii="Liberation Serif" w:eastAsia="NSimSun" w:hAnsi="Liberation Serif" w:cs="Arial"/>
          <w:kern w:val="2"/>
          <w:sz w:val="32"/>
          <w:szCs w:val="32"/>
          <w:lang w:val="en-US" w:eastAsia="zh-CN" w:bidi="hi-IN"/>
        </w:rPr>
        <w:t>matplotlib.pyplot</w:t>
      </w:r>
      <w:proofErr w:type="gramEnd"/>
    </w:p>
    <w:p w14:paraId="561308A4"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seaborn</w:t>
      </w:r>
    </w:p>
    <w:p w14:paraId="333F66E0"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statsmodels.api</w:t>
      </w:r>
    </w:p>
    <w:p w14:paraId="225A7D6A"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sklearn</w:t>
      </w:r>
    </w:p>
    <w:p w14:paraId="0489FD6A" w14:textId="77777777"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requests</w:t>
      </w:r>
    </w:p>
    <w:p w14:paraId="3CCB7DEF" w14:textId="7B6EF96A"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os</w:t>
      </w:r>
    </w:p>
    <w:p w14:paraId="65AB1D07" w14:textId="473C216D"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tabulate</w:t>
      </w:r>
    </w:p>
    <w:p w14:paraId="70858243" w14:textId="40FABC50"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r w:rsidRPr="00C408EB">
        <w:rPr>
          <w:rFonts w:ascii="Liberation Serif" w:eastAsia="NSimSun" w:hAnsi="Liberation Serif" w:cs="Arial"/>
          <w:kern w:val="2"/>
          <w:sz w:val="32"/>
          <w:szCs w:val="32"/>
          <w:lang w:val="en-US" w:eastAsia="zh-CN" w:bidi="hi-IN"/>
        </w:rPr>
        <w:t>datetime</w:t>
      </w:r>
    </w:p>
    <w:p w14:paraId="4CE333AF" w14:textId="46627178" w:rsidR="00C408EB" w:rsidRPr="00C408EB" w:rsidRDefault="00C408EB" w:rsidP="00AD58CD">
      <w:pPr>
        <w:numPr>
          <w:ilvl w:val="0"/>
          <w:numId w:val="151"/>
        </w:numPr>
        <w:suppressAutoHyphens/>
        <w:spacing w:after="0" w:line="240" w:lineRule="auto"/>
        <w:ind w:left="737" w:firstLine="0"/>
        <w:jc w:val="both"/>
        <w:rPr>
          <w:rFonts w:ascii="Liberation Serif" w:eastAsia="NSimSun" w:hAnsi="Liberation Serif" w:cs="Arial" w:hint="eastAsia"/>
          <w:kern w:val="2"/>
          <w:sz w:val="32"/>
          <w:szCs w:val="32"/>
          <w:lang w:val="en-US" w:eastAsia="zh-CN" w:bidi="hi-IN"/>
        </w:rPr>
      </w:pPr>
      <w:proofErr w:type="gramStart"/>
      <w:r w:rsidRPr="00C408EB">
        <w:rPr>
          <w:rFonts w:ascii="Liberation Serif" w:eastAsia="NSimSun" w:hAnsi="Liberation Serif" w:cs="Arial"/>
          <w:kern w:val="2"/>
          <w:sz w:val="32"/>
          <w:szCs w:val="32"/>
          <w:lang w:val="en-US" w:eastAsia="zh-CN" w:bidi="hi-IN"/>
        </w:rPr>
        <w:t>xml.etree</w:t>
      </w:r>
      <w:proofErr w:type="gramEnd"/>
    </w:p>
    <w:p w14:paraId="4342976B" w14:textId="7E042CD1"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p>
    <w:p w14:paraId="6CB7AB5A" w14:textId="7D8850DD"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lastRenderedPageBreak/>
        <w:t>Таблица 1 – Основные статистические характеристики изучаемых показателей</w:t>
      </w:r>
    </w:p>
    <w:tbl>
      <w:tblPr>
        <w:tblW w:w="9067" w:type="dxa"/>
        <w:jc w:val="center"/>
        <w:tblLayout w:type="fixed"/>
        <w:tblCellMar>
          <w:top w:w="28" w:type="dxa"/>
          <w:left w:w="28" w:type="dxa"/>
          <w:bottom w:w="28" w:type="dxa"/>
          <w:right w:w="28" w:type="dxa"/>
        </w:tblCellMar>
        <w:tblLook w:val="0000" w:firstRow="0" w:lastRow="0" w:firstColumn="0" w:lastColumn="0" w:noHBand="0" w:noVBand="0"/>
      </w:tblPr>
      <w:tblGrid>
        <w:gridCol w:w="3255"/>
        <w:gridCol w:w="3402"/>
        <w:gridCol w:w="2410"/>
      </w:tblGrid>
      <w:tr w:rsidR="00C408EB" w:rsidRPr="00C408EB" w14:paraId="07C2B6C6" w14:textId="77777777" w:rsidTr="00EB1CB9">
        <w:trPr>
          <w:trHeight w:val="549"/>
          <w:tblHeade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5D358079" w14:textId="001D575F"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b/>
                <w:bCs/>
                <w:kern w:val="2"/>
                <w:sz w:val="30"/>
                <w:szCs w:val="28"/>
                <w:lang w:eastAsia="zh-CN" w:bidi="hi-IN"/>
              </w:rPr>
            </w:pPr>
            <w:r w:rsidRPr="00C408EB">
              <w:rPr>
                <w:rFonts w:ascii="Liberation Serif" w:eastAsia="NSimSun" w:hAnsi="Liberation Serif" w:cs="Arial"/>
                <w:b/>
                <w:bCs/>
                <w:kern w:val="2"/>
                <w:sz w:val="30"/>
                <w:szCs w:val="28"/>
                <w:lang w:eastAsia="zh-CN" w:bidi="hi-IN"/>
              </w:rPr>
              <w:t>Показатель</w:t>
            </w:r>
          </w:p>
        </w:tc>
        <w:tc>
          <w:tcPr>
            <w:tcW w:w="3402" w:type="dxa"/>
            <w:tcBorders>
              <w:top w:val="single" w:sz="4" w:space="0" w:color="000000"/>
              <w:left w:val="single" w:sz="4" w:space="0" w:color="000000"/>
              <w:bottom w:val="single" w:sz="4" w:space="0" w:color="000000"/>
              <w:right w:val="single" w:sz="4" w:space="0" w:color="000000"/>
            </w:tcBorders>
            <w:vAlign w:val="center"/>
          </w:tcPr>
          <w:p w14:paraId="688E87A2" w14:textId="1D23A345"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b/>
                <w:bCs/>
                <w:kern w:val="2"/>
                <w:sz w:val="30"/>
                <w:szCs w:val="28"/>
                <w:lang w:eastAsia="zh-CN" w:bidi="hi-IN"/>
              </w:rPr>
            </w:pPr>
            <w:r w:rsidRPr="00C408EB">
              <w:rPr>
                <w:rFonts w:ascii="Liberation Serif" w:eastAsia="NSimSun" w:hAnsi="Liberation Serif" w:cs="Arial"/>
                <w:b/>
                <w:bCs/>
                <w:kern w:val="2"/>
                <w:sz w:val="30"/>
                <w:szCs w:val="28"/>
                <w:lang w:eastAsia="zh-CN" w:bidi="hi-IN"/>
              </w:rPr>
              <w:t>Brent (USD/баррель)</w:t>
            </w:r>
          </w:p>
        </w:tc>
        <w:tc>
          <w:tcPr>
            <w:tcW w:w="2410" w:type="dxa"/>
            <w:tcBorders>
              <w:top w:val="single" w:sz="4" w:space="0" w:color="000000"/>
              <w:left w:val="single" w:sz="4" w:space="0" w:color="000000"/>
              <w:bottom w:val="single" w:sz="4" w:space="0" w:color="000000"/>
              <w:right w:val="single" w:sz="4" w:space="0" w:color="000000"/>
            </w:tcBorders>
            <w:vAlign w:val="center"/>
          </w:tcPr>
          <w:p w14:paraId="3EF63E59" w14:textId="5BBE7189"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b/>
                <w:bCs/>
                <w:kern w:val="2"/>
                <w:sz w:val="30"/>
                <w:szCs w:val="28"/>
                <w:lang w:eastAsia="zh-CN" w:bidi="hi-IN"/>
              </w:rPr>
            </w:pPr>
            <w:r w:rsidRPr="00C408EB">
              <w:rPr>
                <w:rFonts w:ascii="Liberation Serif" w:eastAsia="NSimSun" w:hAnsi="Liberation Serif" w:cs="Arial"/>
                <w:b/>
                <w:bCs/>
                <w:kern w:val="2"/>
                <w:sz w:val="30"/>
                <w:szCs w:val="28"/>
                <w:lang w:eastAsia="zh-CN" w:bidi="hi-IN"/>
              </w:rPr>
              <w:t>USD/RUB (руб.)</w:t>
            </w:r>
          </w:p>
        </w:tc>
      </w:tr>
      <w:tr w:rsidR="00C408EB" w:rsidRPr="00C408EB" w14:paraId="7E1D7791" w14:textId="77777777" w:rsidTr="00EB1CB9">
        <w:trP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53EA869F" w14:textId="5AC32894" w:rsidR="00C408EB" w:rsidRPr="00C408EB" w:rsidRDefault="00C408EB" w:rsidP="00C408EB">
            <w:pPr>
              <w:widowControl w:val="0"/>
              <w:suppressLineNumbers/>
              <w:suppressAutoHyphens/>
              <w:spacing w:after="0" w:line="240" w:lineRule="auto"/>
              <w:jc w:val="both"/>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Среднее значение</w:t>
            </w:r>
          </w:p>
        </w:tc>
        <w:tc>
          <w:tcPr>
            <w:tcW w:w="3402" w:type="dxa"/>
            <w:tcBorders>
              <w:top w:val="single" w:sz="4" w:space="0" w:color="000000"/>
              <w:left w:val="single" w:sz="4" w:space="0" w:color="000000"/>
              <w:bottom w:val="single" w:sz="4" w:space="0" w:color="000000"/>
              <w:right w:val="single" w:sz="4" w:space="0" w:color="000000"/>
            </w:tcBorders>
            <w:vAlign w:val="center"/>
          </w:tcPr>
          <w:p w14:paraId="673B608B" w14:textId="65DF0E3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66,77</w:t>
            </w:r>
          </w:p>
        </w:tc>
        <w:tc>
          <w:tcPr>
            <w:tcW w:w="2410" w:type="dxa"/>
            <w:tcBorders>
              <w:top w:val="single" w:sz="4" w:space="0" w:color="000000"/>
              <w:left w:val="single" w:sz="4" w:space="0" w:color="000000"/>
              <w:bottom w:val="single" w:sz="4" w:space="0" w:color="000000"/>
              <w:right w:val="single" w:sz="4" w:space="0" w:color="000000"/>
            </w:tcBorders>
            <w:vAlign w:val="center"/>
          </w:tcPr>
          <w:p w14:paraId="6BF3AC14"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71,16</w:t>
            </w:r>
          </w:p>
        </w:tc>
      </w:tr>
      <w:tr w:rsidR="00C408EB" w:rsidRPr="00C408EB" w14:paraId="76FA5E92" w14:textId="77777777" w:rsidTr="00EB1CB9">
        <w:trP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4B810311" w14:textId="2760A7FC" w:rsidR="00C408EB" w:rsidRPr="00C408EB" w:rsidRDefault="00C408EB" w:rsidP="00C408EB">
            <w:pPr>
              <w:widowControl w:val="0"/>
              <w:suppressLineNumbers/>
              <w:suppressAutoHyphens/>
              <w:spacing w:after="0" w:line="240" w:lineRule="auto"/>
              <w:jc w:val="both"/>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Минимальное</w:t>
            </w:r>
          </w:p>
        </w:tc>
        <w:tc>
          <w:tcPr>
            <w:tcW w:w="3402" w:type="dxa"/>
            <w:tcBorders>
              <w:top w:val="single" w:sz="4" w:space="0" w:color="000000"/>
              <w:left w:val="single" w:sz="4" w:space="0" w:color="000000"/>
              <w:bottom w:val="single" w:sz="4" w:space="0" w:color="000000"/>
              <w:right w:val="single" w:sz="4" w:space="0" w:color="000000"/>
            </w:tcBorders>
            <w:vAlign w:val="center"/>
          </w:tcPr>
          <w:p w14:paraId="2F5F73BA" w14:textId="77095206"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19,33 (20.04.2020)</w:t>
            </w:r>
          </w:p>
        </w:tc>
        <w:tc>
          <w:tcPr>
            <w:tcW w:w="2410" w:type="dxa"/>
            <w:tcBorders>
              <w:top w:val="single" w:sz="4" w:space="0" w:color="000000"/>
              <w:left w:val="single" w:sz="4" w:space="0" w:color="000000"/>
              <w:bottom w:val="single" w:sz="4" w:space="0" w:color="000000"/>
              <w:right w:val="single" w:sz="4" w:space="0" w:color="000000"/>
            </w:tcBorders>
            <w:vAlign w:val="center"/>
          </w:tcPr>
          <w:p w14:paraId="7BE76428"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49,18</w:t>
            </w:r>
          </w:p>
        </w:tc>
      </w:tr>
      <w:tr w:rsidR="00C408EB" w:rsidRPr="00C408EB" w14:paraId="58560472" w14:textId="77777777" w:rsidTr="00EB1CB9">
        <w:trP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7E0AF39B" w14:textId="6E284ABA" w:rsidR="00C408EB" w:rsidRPr="00C408EB" w:rsidRDefault="00C408EB" w:rsidP="00C408EB">
            <w:pPr>
              <w:widowControl w:val="0"/>
              <w:suppressLineNumbers/>
              <w:suppressAutoHyphens/>
              <w:spacing w:after="0" w:line="240" w:lineRule="auto"/>
              <w:jc w:val="both"/>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Максимальное</w:t>
            </w:r>
          </w:p>
        </w:tc>
        <w:tc>
          <w:tcPr>
            <w:tcW w:w="3402" w:type="dxa"/>
            <w:tcBorders>
              <w:top w:val="single" w:sz="4" w:space="0" w:color="000000"/>
              <w:left w:val="single" w:sz="4" w:space="0" w:color="000000"/>
              <w:bottom w:val="single" w:sz="4" w:space="0" w:color="000000"/>
              <w:right w:val="single" w:sz="4" w:space="0" w:color="000000"/>
            </w:tcBorders>
            <w:vAlign w:val="center"/>
          </w:tcPr>
          <w:p w14:paraId="05308928" w14:textId="286AE8D0"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123,58 (08.06.2022)</w:t>
            </w:r>
          </w:p>
        </w:tc>
        <w:tc>
          <w:tcPr>
            <w:tcW w:w="2410" w:type="dxa"/>
            <w:tcBorders>
              <w:top w:val="single" w:sz="4" w:space="0" w:color="000000"/>
              <w:left w:val="single" w:sz="4" w:space="0" w:color="000000"/>
              <w:bottom w:val="single" w:sz="4" w:space="0" w:color="000000"/>
              <w:right w:val="single" w:sz="4" w:space="0" w:color="000000"/>
            </w:tcBorders>
            <w:vAlign w:val="center"/>
          </w:tcPr>
          <w:p w14:paraId="320A8326"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120,38</w:t>
            </w:r>
          </w:p>
        </w:tc>
      </w:tr>
      <w:tr w:rsidR="00C408EB" w:rsidRPr="00C408EB" w14:paraId="1689B072" w14:textId="77777777" w:rsidTr="00EB1CB9">
        <w:trP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76F579BB" w14:textId="682780CE" w:rsidR="00C408EB" w:rsidRPr="00C408EB" w:rsidRDefault="00C408EB" w:rsidP="00C408EB">
            <w:pPr>
              <w:widowControl w:val="0"/>
              <w:suppressLineNumbers/>
              <w:suppressAutoHyphens/>
              <w:spacing w:after="0" w:line="240" w:lineRule="auto"/>
              <w:jc w:val="both"/>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Стандартное отклонение</w:t>
            </w:r>
          </w:p>
        </w:tc>
        <w:tc>
          <w:tcPr>
            <w:tcW w:w="3402" w:type="dxa"/>
            <w:tcBorders>
              <w:top w:val="single" w:sz="4" w:space="0" w:color="000000"/>
              <w:left w:val="single" w:sz="4" w:space="0" w:color="000000"/>
              <w:bottom w:val="single" w:sz="4" w:space="0" w:color="000000"/>
              <w:right w:val="single" w:sz="4" w:space="0" w:color="000000"/>
            </w:tcBorders>
            <w:vAlign w:val="center"/>
          </w:tcPr>
          <w:p w14:paraId="424BDF7D"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18,15</w:t>
            </w:r>
          </w:p>
        </w:tc>
        <w:tc>
          <w:tcPr>
            <w:tcW w:w="2410" w:type="dxa"/>
            <w:tcBorders>
              <w:top w:val="single" w:sz="4" w:space="0" w:color="000000"/>
              <w:left w:val="single" w:sz="4" w:space="0" w:color="000000"/>
              <w:bottom w:val="single" w:sz="4" w:space="0" w:color="000000"/>
              <w:right w:val="single" w:sz="4" w:space="0" w:color="000000"/>
            </w:tcBorders>
            <w:vAlign w:val="center"/>
          </w:tcPr>
          <w:p w14:paraId="73C98F41"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12,49</w:t>
            </w:r>
          </w:p>
        </w:tc>
      </w:tr>
      <w:tr w:rsidR="00C408EB" w:rsidRPr="00C408EB" w14:paraId="6CF62BE3" w14:textId="77777777" w:rsidTr="00EB1CB9">
        <w:trPr>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B42B465" w14:textId="2AE939E8" w:rsidR="00C408EB" w:rsidRPr="00C408EB" w:rsidRDefault="00C408EB" w:rsidP="00C408EB">
            <w:pPr>
              <w:widowControl w:val="0"/>
              <w:suppressLineNumbers/>
              <w:suppressAutoHyphens/>
              <w:spacing w:after="0" w:line="240" w:lineRule="auto"/>
              <w:jc w:val="both"/>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Коэффициент вариации</w:t>
            </w:r>
          </w:p>
        </w:tc>
        <w:tc>
          <w:tcPr>
            <w:tcW w:w="3402" w:type="dxa"/>
            <w:tcBorders>
              <w:top w:val="single" w:sz="4" w:space="0" w:color="000000"/>
              <w:left w:val="single" w:sz="4" w:space="0" w:color="000000"/>
              <w:bottom w:val="single" w:sz="4" w:space="0" w:color="000000"/>
              <w:right w:val="single" w:sz="4" w:space="0" w:color="000000"/>
            </w:tcBorders>
            <w:vAlign w:val="center"/>
          </w:tcPr>
          <w:p w14:paraId="090F5C43" w14:textId="7E5A8916"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0,34</w:t>
            </w:r>
          </w:p>
        </w:tc>
        <w:tc>
          <w:tcPr>
            <w:tcW w:w="2410" w:type="dxa"/>
            <w:tcBorders>
              <w:top w:val="single" w:sz="4" w:space="0" w:color="000000"/>
              <w:left w:val="single" w:sz="4" w:space="0" w:color="000000"/>
              <w:bottom w:val="single" w:sz="4" w:space="0" w:color="000000"/>
              <w:right w:val="single" w:sz="4" w:space="0" w:color="000000"/>
            </w:tcBorders>
            <w:vAlign w:val="center"/>
          </w:tcPr>
          <w:p w14:paraId="2D533A73" w14:textId="77777777" w:rsidR="00C408EB" w:rsidRPr="00C408EB" w:rsidRDefault="00C408EB" w:rsidP="00C408EB">
            <w:pPr>
              <w:widowControl w:val="0"/>
              <w:suppressLineNumbers/>
              <w:suppressAutoHyphens/>
              <w:spacing w:after="0" w:line="240" w:lineRule="auto"/>
              <w:jc w:val="center"/>
              <w:rPr>
                <w:rFonts w:ascii="Liberation Serif" w:eastAsia="NSimSun" w:hAnsi="Liberation Serif" w:cs="Arial" w:hint="eastAsia"/>
                <w:kern w:val="2"/>
                <w:sz w:val="30"/>
                <w:szCs w:val="28"/>
                <w:lang w:eastAsia="zh-CN" w:bidi="hi-IN"/>
              </w:rPr>
            </w:pPr>
            <w:r w:rsidRPr="00C408EB">
              <w:rPr>
                <w:rFonts w:ascii="Liberation Serif" w:eastAsia="NSimSun" w:hAnsi="Liberation Serif" w:cs="Arial"/>
                <w:kern w:val="2"/>
                <w:sz w:val="30"/>
                <w:szCs w:val="28"/>
                <w:lang w:eastAsia="zh-CN" w:bidi="hi-IN"/>
              </w:rPr>
              <w:t>0,24</w:t>
            </w:r>
          </w:p>
        </w:tc>
      </w:tr>
    </w:tbl>
    <w:p w14:paraId="3AFE82B3"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p>
    <w:p w14:paraId="50E8E1C5" w14:textId="33CEB7F0"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Анализ динамики показателей позволяет выделить несколько ключевых периодов:</w:t>
      </w:r>
    </w:p>
    <w:p w14:paraId="112A2D1E" w14:textId="3A1FC179" w:rsidR="00C408EB" w:rsidRPr="00C408EB" w:rsidRDefault="00C408EB" w:rsidP="00AD58CD">
      <w:pPr>
        <w:numPr>
          <w:ilvl w:val="0"/>
          <w:numId w:val="145"/>
        </w:numPr>
        <w:tabs>
          <w:tab w:val="left" w:pos="1276"/>
        </w:tabs>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2015-2016 гг.: адаптация к новым ценовым реалиям после нефтяного шока 2014 года;</w:t>
      </w:r>
    </w:p>
    <w:p w14:paraId="1A11969E" w14:textId="11F0E6D5" w:rsidR="00C408EB" w:rsidRPr="00C408EB" w:rsidRDefault="00C408EB" w:rsidP="00AD58CD">
      <w:pPr>
        <w:numPr>
          <w:ilvl w:val="0"/>
          <w:numId w:val="145"/>
        </w:numPr>
        <w:tabs>
          <w:tab w:val="left" w:pos="709"/>
          <w:tab w:val="left" w:pos="1276"/>
        </w:tabs>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2017-2019 гг.: относительная стабильность при ценах 50-70 USD за баррель;</w:t>
      </w:r>
    </w:p>
    <w:p w14:paraId="2FCBE026" w14:textId="2B09114E" w:rsidR="00C408EB" w:rsidRPr="00C408EB" w:rsidRDefault="00C408EB" w:rsidP="00AD58CD">
      <w:pPr>
        <w:numPr>
          <w:ilvl w:val="0"/>
          <w:numId w:val="145"/>
        </w:numPr>
        <w:tabs>
          <w:tab w:val="left" w:pos="709"/>
          <w:tab w:val="left" w:pos="1276"/>
        </w:tabs>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2020 г.: беспрецедентное падение спроса из-за пандемии COVID-19;</w:t>
      </w:r>
    </w:p>
    <w:p w14:paraId="3B62E6D9" w14:textId="44A57DE2" w:rsidR="00C408EB" w:rsidRDefault="00DF2417" w:rsidP="00AD58CD">
      <w:pPr>
        <w:numPr>
          <w:ilvl w:val="0"/>
          <w:numId w:val="145"/>
        </w:numPr>
        <w:tabs>
          <w:tab w:val="left" w:pos="709"/>
          <w:tab w:val="left" w:pos="1276"/>
        </w:tabs>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noProof/>
          <w:kern w:val="2"/>
          <w:sz w:val="24"/>
          <w:szCs w:val="24"/>
          <w:lang w:eastAsia="ru-RU"/>
        </w:rPr>
        <w:drawing>
          <wp:anchor distT="0" distB="0" distL="0" distR="0" simplePos="0" relativeHeight="251680768" behindDoc="0" locked="0" layoutInCell="0" allowOverlap="1" wp14:anchorId="05D55C43" wp14:editId="5D537438">
            <wp:simplePos x="0" y="0"/>
            <wp:positionH relativeFrom="margin">
              <wp:align>center</wp:align>
            </wp:positionH>
            <wp:positionV relativeFrom="page">
              <wp:posOffset>7178040</wp:posOffset>
            </wp:positionV>
            <wp:extent cx="3924300" cy="2953385"/>
            <wp:effectExtent l="0" t="0" r="0" b="0"/>
            <wp:wrapTopAndBottom/>
            <wp:docPr id="149717180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619"/>
                    <a:stretch>
                      <a:fillRect/>
                    </a:stretch>
                  </pic:blipFill>
                  <pic:spPr bwMode="auto">
                    <a:xfrm>
                      <a:off x="0" y="0"/>
                      <a:ext cx="3924300" cy="2953385"/>
                    </a:xfrm>
                    <a:prstGeom prst="rect">
                      <a:avLst/>
                    </a:prstGeom>
                    <a:noFill/>
                  </pic:spPr>
                </pic:pic>
              </a:graphicData>
            </a:graphic>
            <wp14:sizeRelH relativeFrom="margin">
              <wp14:pctWidth>0</wp14:pctWidth>
            </wp14:sizeRelH>
            <wp14:sizeRelV relativeFrom="margin">
              <wp14:pctHeight>0</wp14:pctHeight>
            </wp14:sizeRelV>
          </wp:anchor>
        </w:drawing>
      </w:r>
      <w:r w:rsidR="00C408EB" w:rsidRPr="00C408EB">
        <w:rPr>
          <w:rFonts w:ascii="Liberation Serif" w:eastAsia="NSimSun" w:hAnsi="Liberation Serif" w:cs="Arial"/>
          <w:kern w:val="2"/>
          <w:sz w:val="32"/>
          <w:szCs w:val="32"/>
          <w:lang w:eastAsia="zh-CN" w:bidi="hi-IN"/>
        </w:rPr>
        <w:t>2021-2025 гг.: постпандемийное восстановление и геополитические изменения.</w:t>
      </w:r>
    </w:p>
    <w:p w14:paraId="5C3EF2E4" w14:textId="69C84FAD"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Рисунок 2 – Корреляционно-регрессионный анализ</w:t>
      </w:r>
    </w:p>
    <w:p w14:paraId="75F8E96B" w14:textId="2FEDD81D"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Расчет корреляционных коэффициентов дал следующие результаты:</w:t>
      </w:r>
    </w:p>
    <w:p w14:paraId="691FB0D8" w14:textId="5D52A760" w:rsidR="00C408EB" w:rsidRPr="00C408EB" w:rsidRDefault="00C408EB" w:rsidP="00AD58CD">
      <w:pPr>
        <w:numPr>
          <w:ilvl w:val="0"/>
          <w:numId w:val="150"/>
        </w:num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коэффициент Пирсона равен 0,3081 (p </w:t>
      </w:r>
      <w:proofErr w:type="gramStart"/>
      <w:r w:rsidRPr="00C408EB">
        <w:rPr>
          <w:rFonts w:ascii="Liberation Serif" w:eastAsia="NSimSun" w:hAnsi="Liberation Serif" w:cs="Arial"/>
          <w:kern w:val="2"/>
          <w:sz w:val="32"/>
          <w:szCs w:val="32"/>
          <w:lang w:eastAsia="zh-CN" w:bidi="hi-IN"/>
        </w:rPr>
        <w:t>&lt; 0,001</w:t>
      </w:r>
      <w:proofErr w:type="gramEnd"/>
      <w:r w:rsidRPr="00C408EB">
        <w:rPr>
          <w:rFonts w:ascii="Liberation Serif" w:eastAsia="NSimSun" w:hAnsi="Liberation Serif" w:cs="Arial"/>
          <w:kern w:val="2"/>
          <w:sz w:val="32"/>
          <w:szCs w:val="32"/>
          <w:lang w:eastAsia="zh-CN" w:bidi="hi-IN"/>
        </w:rPr>
        <w:t>);</w:t>
      </w:r>
    </w:p>
    <w:p w14:paraId="7FD03BC9" w14:textId="37E31033" w:rsidR="00C408EB" w:rsidRPr="00C408EB" w:rsidRDefault="00C408EB" w:rsidP="00AD58CD">
      <w:pPr>
        <w:numPr>
          <w:ilvl w:val="0"/>
          <w:numId w:val="150"/>
        </w:num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коэффициент Спирмена составляет 0,2738 (p </w:t>
      </w:r>
      <w:proofErr w:type="gramStart"/>
      <w:r w:rsidRPr="00C408EB">
        <w:rPr>
          <w:rFonts w:ascii="Liberation Serif" w:eastAsia="NSimSun" w:hAnsi="Liberation Serif" w:cs="Arial"/>
          <w:kern w:val="2"/>
          <w:sz w:val="32"/>
          <w:szCs w:val="32"/>
          <w:lang w:eastAsia="zh-CN" w:bidi="hi-IN"/>
        </w:rPr>
        <w:t>&lt; 0,001</w:t>
      </w:r>
      <w:proofErr w:type="gramEnd"/>
      <w:r w:rsidRPr="00C408EB">
        <w:rPr>
          <w:rFonts w:ascii="Liberation Serif" w:eastAsia="NSimSun" w:hAnsi="Liberation Serif" w:cs="Arial"/>
          <w:kern w:val="2"/>
          <w:sz w:val="32"/>
          <w:szCs w:val="32"/>
          <w:lang w:eastAsia="zh-CN" w:bidi="hi-IN"/>
        </w:rPr>
        <w:t>).</w:t>
      </w:r>
    </w:p>
    <w:p w14:paraId="72928EBE" w14:textId="287F0DBD"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Эти значения, хотя и статистически значимые, указывают на относительно слабую связь между переменными. Примечательно, что </w:t>
      </w:r>
      <w:r w:rsidRPr="00C408EB">
        <w:rPr>
          <w:rFonts w:ascii="Liberation Serif" w:eastAsia="NSimSun" w:hAnsi="Liberation Serif" w:cs="Arial"/>
          <w:kern w:val="2"/>
          <w:sz w:val="32"/>
          <w:szCs w:val="32"/>
          <w:lang w:eastAsia="zh-CN" w:bidi="hi-IN"/>
        </w:rPr>
        <w:lastRenderedPageBreak/>
        <w:t>связь оказалась положительной – рост цен на нефть ассоциируется с укреплением доллара против рубля, что противоречит традиционным экономическим представлениям. Разница между коэффициентами Пирсона и Спирмена (0,0343) может свидетельствовать о наличии нелинейной компоненты в зависимости.</w:t>
      </w:r>
    </w:p>
    <w:p w14:paraId="7B7B119F" w14:textId="2E3A9415"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При регрессионном анализе линейной модели</w:t>
      </w:r>
    </w:p>
    <w:p w14:paraId="3B5FF1AE" w14:textId="7344FCAC"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USD/RUB=56,9993+0,2121×Brent</w:t>
      </w:r>
    </w:p>
    <w:p w14:paraId="6AC76FDC" w14:textId="0F01A4A0" w:rsidR="00C408EB" w:rsidRPr="00C408EB" w:rsidRDefault="00C408EB" w:rsidP="00C408EB">
      <w:p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получено значение коэффициента детерминации R² = 0,095, стандартная ошибка составила 1,019, а </w:t>
      </w:r>
      <w:r w:rsidRPr="00C408EB">
        <w:rPr>
          <w:rFonts w:ascii="Liberation Serif" w:eastAsia="NSimSun" w:hAnsi="Liberation Serif" w:cs="Arial"/>
          <w:kern w:val="2"/>
          <w:sz w:val="32"/>
          <w:szCs w:val="32"/>
          <w:lang w:val="en-US" w:eastAsia="zh-CN" w:bidi="hi-IN"/>
        </w:rPr>
        <w:t>F</w:t>
      </w:r>
      <w:r w:rsidRPr="00C408EB">
        <w:rPr>
          <w:rFonts w:ascii="Liberation Serif" w:eastAsia="NSimSun" w:hAnsi="Liberation Serif" w:cs="Arial"/>
          <w:kern w:val="2"/>
          <w:sz w:val="32"/>
          <w:szCs w:val="32"/>
          <w:lang w:eastAsia="zh-CN" w:bidi="hi-IN"/>
        </w:rPr>
        <w:t xml:space="preserve">-статистика – 207,4 (p </w:t>
      </w:r>
      <w:proofErr w:type="gramStart"/>
      <w:r w:rsidRPr="00C408EB">
        <w:rPr>
          <w:rFonts w:ascii="Liberation Serif" w:eastAsia="NSimSun" w:hAnsi="Liberation Serif" w:cs="Arial"/>
          <w:kern w:val="2"/>
          <w:sz w:val="32"/>
          <w:szCs w:val="32"/>
          <w:lang w:eastAsia="zh-CN" w:bidi="hi-IN"/>
        </w:rPr>
        <w:t>&lt; 0,001</w:t>
      </w:r>
      <w:proofErr w:type="gramEnd"/>
      <w:r w:rsidRPr="00C408EB">
        <w:rPr>
          <w:rFonts w:ascii="Liberation Serif" w:eastAsia="NSimSun" w:hAnsi="Liberation Serif" w:cs="Arial"/>
          <w:kern w:val="2"/>
          <w:sz w:val="32"/>
          <w:szCs w:val="32"/>
          <w:lang w:eastAsia="zh-CN" w:bidi="hi-IN"/>
        </w:rPr>
        <w:t>).</w:t>
      </w:r>
    </w:p>
    <w:p w14:paraId="001B27FD" w14:textId="7981E3AD"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В случае с регрессионным анализом полиноминальной модели четвертой степени вида</w:t>
      </w:r>
    </w:p>
    <w:p w14:paraId="2CD9B91A"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USD/RUB=187,1171−6,2073</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+0,1014</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vertAlign w:val="superscript"/>
          <w:lang w:eastAsia="zh-CN" w:bidi="hi-IN"/>
        </w:rPr>
        <w:t>2</w:t>
      </w:r>
      <w:r w:rsidRPr="00C408EB">
        <w:rPr>
          <w:rFonts w:ascii="Liberation Serif" w:eastAsia="NSimSun" w:hAnsi="Liberation Serif" w:cs="Arial"/>
          <w:kern w:val="2"/>
          <w:sz w:val="32"/>
          <w:szCs w:val="32"/>
          <w:lang w:eastAsia="zh-CN" w:bidi="hi-IN"/>
        </w:rPr>
        <w:t>−0,0006</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vertAlign w:val="superscript"/>
          <w:lang w:eastAsia="zh-CN" w:bidi="hi-IN"/>
        </w:rPr>
        <w:t>3</w:t>
      </w:r>
      <w:r w:rsidRPr="00C408EB">
        <w:rPr>
          <w:rFonts w:ascii="Liberation Serif" w:eastAsia="NSimSun" w:hAnsi="Liberation Serif" w:cs="Arial"/>
          <w:kern w:val="2"/>
          <w:sz w:val="32"/>
          <w:szCs w:val="32"/>
          <w:lang w:eastAsia="zh-CN" w:bidi="hi-IN"/>
        </w:rPr>
        <w:t>+6,2648×10</w:t>
      </w:r>
      <w:r w:rsidRPr="00C408EB">
        <w:rPr>
          <w:rFonts w:ascii="Liberation Serif" w:eastAsia="NSimSun" w:hAnsi="Liberation Serif" w:cs="Arial"/>
          <w:kern w:val="2"/>
          <w:sz w:val="32"/>
          <w:szCs w:val="32"/>
          <w:vertAlign w:val="superscript"/>
          <w:lang w:eastAsia="zh-CN" w:bidi="hi-IN"/>
        </w:rPr>
        <w:t>−7</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vertAlign w:val="superscript"/>
          <w:lang w:eastAsia="zh-CN" w:bidi="hi-IN"/>
        </w:rPr>
        <w:t>4</w:t>
      </w:r>
      <w:r w:rsidRPr="00C408EB">
        <w:rPr>
          <w:rFonts w:ascii="Liberation Serif" w:eastAsia="NSimSun" w:hAnsi="Liberation Serif" w:cs="Arial"/>
          <w:kern w:val="2"/>
          <w:sz w:val="32"/>
          <w:szCs w:val="32"/>
          <w:lang w:eastAsia="zh-CN" w:bidi="hi-IN"/>
        </w:rPr>
        <w:t xml:space="preserve"> </w:t>
      </w:r>
    </w:p>
    <w:p w14:paraId="379EEA05" w14:textId="77777777" w:rsidR="00C408EB" w:rsidRPr="00C408EB" w:rsidRDefault="00C408EB" w:rsidP="00C408EB">
      <w:pPr>
        <w:suppressAutoHyphens/>
        <w:spacing w:after="0" w:line="240" w:lineRule="auto"/>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значение R² = 0,2444 значительно выше. Заметно значительное улучшение качества модели по сравнению с линейной моделью.</w:t>
      </w:r>
    </w:p>
    <w:p w14:paraId="6684A64B"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Анализ остатков выявил серьезные проблемы спецификации в виде сильной автокорреляции (DW ≈ 0 для обеих моделей), гетероскедастичность (тесты Бреуша-Пагана и Уайта: p </w:t>
      </w:r>
      <w:proofErr w:type="gramStart"/>
      <w:r w:rsidRPr="00C408EB">
        <w:rPr>
          <w:rFonts w:ascii="Liberation Serif" w:eastAsia="NSimSun" w:hAnsi="Liberation Serif" w:cs="Arial"/>
          <w:kern w:val="2"/>
          <w:sz w:val="32"/>
          <w:szCs w:val="32"/>
          <w:lang w:eastAsia="zh-CN" w:bidi="hi-IN"/>
        </w:rPr>
        <w:t>&lt; 0</w:t>
      </w:r>
      <w:proofErr w:type="gramEnd"/>
      <w:r w:rsidRPr="00C408EB">
        <w:rPr>
          <w:rFonts w:ascii="Liberation Serif" w:eastAsia="NSimSun" w:hAnsi="Liberation Serif" w:cs="Arial"/>
          <w:kern w:val="2"/>
          <w:sz w:val="32"/>
          <w:szCs w:val="32"/>
          <w:lang w:eastAsia="zh-CN" w:bidi="hi-IN"/>
        </w:rPr>
        <w:t>,0001) и отклонение от нормального распределения (тест Шапиро-Уилка: p &lt; 0,0001).</w:t>
      </w:r>
    </w:p>
    <w:p w14:paraId="09EC7B58"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Полученная линейная регрессионная модель вида продемонстрировала неудовлетворительное качество аппроксимации. Полученное уравнение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 56,9993 + 0,2121×</w:t>
      </w:r>
      <w:r w:rsidRPr="00C408EB">
        <w:rPr>
          <w:rFonts w:ascii="Liberation Serif" w:eastAsia="NSimSun" w:hAnsi="Liberation Serif" w:cs="Arial"/>
          <w:kern w:val="2"/>
          <w:sz w:val="32"/>
          <w:szCs w:val="32"/>
          <w:lang w:val="en-US" w:eastAsia="zh-CN" w:bidi="hi-IN"/>
        </w:rPr>
        <w:t>Brent</w:t>
      </w:r>
      <w:r w:rsidRPr="00C408EB">
        <w:rPr>
          <w:rFonts w:ascii="Liberation Serif" w:eastAsia="NSimSun" w:hAnsi="Liberation Serif" w:cs="Arial"/>
          <w:kern w:val="2"/>
          <w:sz w:val="32"/>
          <w:szCs w:val="32"/>
          <w:lang w:eastAsia="zh-CN" w:bidi="hi-IN"/>
        </w:rPr>
        <w:t xml:space="preserve"> при </w:t>
      </w:r>
      <w:r w:rsidRPr="00C408EB">
        <w:rPr>
          <w:rFonts w:ascii="Liberation Serif" w:eastAsia="NSimSun" w:hAnsi="Liberation Serif" w:cs="Arial"/>
          <w:kern w:val="2"/>
          <w:sz w:val="32"/>
          <w:szCs w:val="32"/>
          <w:lang w:val="en-US" w:eastAsia="zh-CN" w:bidi="hi-IN"/>
        </w:rPr>
        <w:t>R</w:t>
      </w:r>
      <w:r w:rsidRPr="00C408EB">
        <w:rPr>
          <w:rFonts w:ascii="Liberation Serif" w:eastAsia="NSimSun" w:hAnsi="Liberation Serif" w:cs="Arial"/>
          <w:kern w:val="2"/>
          <w:sz w:val="32"/>
          <w:szCs w:val="32"/>
          <w:lang w:eastAsia="zh-CN" w:bidi="hi-IN"/>
        </w:rPr>
        <w:t xml:space="preserve">² = 0,095 свидетельствует, что лишь 9,5% вариации курса рубля объясняется изменениями цен на нефть. Примечательно, что коэффициент при переменной </w:t>
      </w:r>
      <w:r w:rsidRPr="00C408EB">
        <w:rPr>
          <w:rFonts w:ascii="Liberation Serif" w:eastAsia="NSimSun" w:hAnsi="Liberation Serif" w:cs="Arial"/>
          <w:kern w:val="2"/>
          <w:sz w:val="32"/>
          <w:szCs w:val="32"/>
          <w:lang w:val="en-US" w:eastAsia="zh-CN" w:bidi="hi-IN"/>
        </w:rPr>
        <w:t>Brent</w:t>
      </w:r>
      <w:r w:rsidRPr="00C408EB">
        <w:rPr>
          <w:rFonts w:ascii="Liberation Serif" w:eastAsia="NSimSun" w:hAnsi="Liberation Serif" w:cs="Arial"/>
          <w:kern w:val="2"/>
          <w:sz w:val="32"/>
          <w:szCs w:val="32"/>
          <w:lang w:eastAsia="zh-CN" w:bidi="hi-IN"/>
        </w:rPr>
        <w:t xml:space="preserve"> оказался положительным (0,2121), что противоречит теоретическим ожиданиям – традиционно рост нефтяных цен ассоциируется с укреплением национальной валюты экспортера. Статистическая значимость коэффициента (</w:t>
      </w:r>
      <w:r w:rsidRPr="00C408EB">
        <w:rPr>
          <w:rFonts w:ascii="Liberation Serif" w:eastAsia="NSimSun" w:hAnsi="Liberation Serif" w:cs="Arial"/>
          <w:kern w:val="2"/>
          <w:sz w:val="32"/>
          <w:szCs w:val="32"/>
          <w:lang w:val="en-US" w:eastAsia="zh-CN" w:bidi="hi-IN"/>
        </w:rPr>
        <w:t>p</w:t>
      </w:r>
      <w:r w:rsidRPr="00C408EB">
        <w:rPr>
          <w:rFonts w:ascii="Liberation Serif" w:eastAsia="NSimSun" w:hAnsi="Liberation Serif" w:cs="Arial"/>
          <w:kern w:val="2"/>
          <w:sz w:val="32"/>
          <w:szCs w:val="32"/>
          <w:lang w:eastAsia="zh-CN" w:bidi="hi-IN"/>
        </w:rPr>
        <w:t xml:space="preserve"> </w:t>
      </w:r>
      <w:proofErr w:type="gramStart"/>
      <w:r w:rsidRPr="00C408EB">
        <w:rPr>
          <w:rFonts w:ascii="Liberation Serif" w:eastAsia="NSimSun" w:hAnsi="Liberation Serif" w:cs="Arial"/>
          <w:kern w:val="2"/>
          <w:sz w:val="32"/>
          <w:szCs w:val="32"/>
          <w:lang w:eastAsia="zh-CN" w:bidi="hi-IN"/>
        </w:rPr>
        <w:t>&lt; 0,001</w:t>
      </w:r>
      <w:proofErr w:type="gramEnd"/>
      <w:r w:rsidRPr="00C408EB">
        <w:rPr>
          <w:rFonts w:ascii="Liberation Serif" w:eastAsia="NSimSun" w:hAnsi="Liberation Serif" w:cs="Arial"/>
          <w:kern w:val="2"/>
          <w:sz w:val="32"/>
          <w:szCs w:val="32"/>
          <w:lang w:eastAsia="zh-CN" w:bidi="hi-IN"/>
        </w:rPr>
        <w:t>) однако указывает на устойчивость данной взаимосвязи в течение рассматриваемого периода.</w:t>
      </w:r>
    </w:p>
    <w:p w14:paraId="50448841"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Анализ остатков линейной модели выявил серьезные проблемы спецификации (рис. 3). Значение статистики Дарбина-Уотсона </w:t>
      </w:r>
      <w:r w:rsidRPr="00C408EB">
        <w:rPr>
          <w:rFonts w:ascii="Liberation Serif" w:eastAsia="NSimSun" w:hAnsi="Liberation Serif" w:cs="Arial"/>
          <w:kern w:val="2"/>
          <w:sz w:val="32"/>
          <w:szCs w:val="32"/>
          <w:lang w:val="en-US" w:eastAsia="zh-CN" w:bidi="hi-IN"/>
        </w:rPr>
        <w:t>DW</w:t>
      </w:r>
      <w:r w:rsidRPr="00C408EB">
        <w:rPr>
          <w:rFonts w:ascii="Liberation Serif" w:eastAsia="NSimSun" w:hAnsi="Liberation Serif" w:cs="Arial"/>
          <w:kern w:val="2"/>
          <w:sz w:val="32"/>
          <w:szCs w:val="32"/>
          <w:lang w:eastAsia="zh-CN" w:bidi="hi-IN"/>
        </w:rPr>
        <w:t xml:space="preserve"> = 0,009 свидетельствует о наличии сильной положительной автокорреляции, а тест Бреуша-Пагана (</w:t>
      </w:r>
      <w:r w:rsidRPr="00C408EB">
        <w:rPr>
          <w:rFonts w:ascii="Liberation Serif" w:eastAsia="NSimSun" w:hAnsi="Liberation Serif" w:cs="Arial"/>
          <w:kern w:val="2"/>
          <w:sz w:val="32"/>
          <w:szCs w:val="32"/>
          <w:lang w:val="en-US" w:eastAsia="zh-CN" w:bidi="hi-IN"/>
        </w:rPr>
        <w:t>LM</w:t>
      </w:r>
      <w:r w:rsidRPr="00C408EB">
        <w:rPr>
          <w:rFonts w:ascii="Liberation Serif" w:eastAsia="NSimSun" w:hAnsi="Liberation Serif" w:cs="Arial"/>
          <w:kern w:val="2"/>
          <w:sz w:val="32"/>
          <w:szCs w:val="32"/>
          <w:lang w:eastAsia="zh-CN" w:bidi="hi-IN"/>
        </w:rPr>
        <w:t xml:space="preserve"> = 350,147, </w:t>
      </w:r>
      <w:r w:rsidRPr="00C408EB">
        <w:rPr>
          <w:rFonts w:ascii="Liberation Serif" w:eastAsia="NSimSun" w:hAnsi="Liberation Serif" w:cs="Arial"/>
          <w:kern w:val="2"/>
          <w:sz w:val="32"/>
          <w:szCs w:val="32"/>
          <w:lang w:val="en-US" w:eastAsia="zh-CN" w:bidi="hi-IN"/>
        </w:rPr>
        <w:t>p</w:t>
      </w:r>
      <w:r w:rsidRPr="00C408EB">
        <w:rPr>
          <w:rFonts w:ascii="Liberation Serif" w:eastAsia="NSimSun" w:hAnsi="Liberation Serif" w:cs="Arial"/>
          <w:kern w:val="2"/>
          <w:sz w:val="32"/>
          <w:szCs w:val="32"/>
          <w:lang w:eastAsia="zh-CN" w:bidi="hi-IN"/>
        </w:rPr>
        <w:t xml:space="preserve"> </w:t>
      </w:r>
      <w:proofErr w:type="gramStart"/>
      <w:r w:rsidRPr="00C408EB">
        <w:rPr>
          <w:rFonts w:ascii="Liberation Serif" w:eastAsia="NSimSun" w:hAnsi="Liberation Serif" w:cs="Arial"/>
          <w:kern w:val="2"/>
          <w:sz w:val="32"/>
          <w:szCs w:val="32"/>
          <w:lang w:eastAsia="zh-CN" w:bidi="hi-IN"/>
        </w:rPr>
        <w:t>&lt; 0</w:t>
      </w:r>
      <w:proofErr w:type="gramEnd"/>
      <w:r w:rsidRPr="00C408EB">
        <w:rPr>
          <w:rFonts w:ascii="Liberation Serif" w:eastAsia="NSimSun" w:hAnsi="Liberation Serif" w:cs="Arial"/>
          <w:kern w:val="2"/>
          <w:sz w:val="32"/>
          <w:szCs w:val="32"/>
          <w:lang w:eastAsia="zh-CN" w:bidi="hi-IN"/>
        </w:rPr>
        <w:t xml:space="preserve">,0001) подтвердил гетероскедастичность остатков. Распределение ошибок также значимо отклоняется от нормального (тест Шапиро-Уилка: </w:t>
      </w:r>
      <w:r w:rsidRPr="00C408EB">
        <w:rPr>
          <w:rFonts w:ascii="Liberation Serif" w:eastAsia="NSimSun" w:hAnsi="Liberation Serif" w:cs="Arial"/>
          <w:kern w:val="2"/>
          <w:sz w:val="32"/>
          <w:szCs w:val="32"/>
          <w:lang w:val="en-US" w:eastAsia="zh-CN" w:bidi="hi-IN"/>
        </w:rPr>
        <w:t>W</w:t>
      </w:r>
      <w:r w:rsidRPr="00C408EB">
        <w:rPr>
          <w:rFonts w:ascii="Liberation Serif" w:eastAsia="NSimSun" w:hAnsi="Liberation Serif" w:cs="Arial"/>
          <w:kern w:val="2"/>
          <w:sz w:val="32"/>
          <w:szCs w:val="32"/>
          <w:lang w:eastAsia="zh-CN" w:bidi="hi-IN"/>
        </w:rPr>
        <w:t xml:space="preserve"> = 0,973, </w:t>
      </w:r>
      <w:r w:rsidRPr="00C408EB">
        <w:rPr>
          <w:rFonts w:ascii="Liberation Serif" w:eastAsia="NSimSun" w:hAnsi="Liberation Serif" w:cs="Arial"/>
          <w:kern w:val="2"/>
          <w:sz w:val="32"/>
          <w:szCs w:val="32"/>
          <w:lang w:val="en-US" w:eastAsia="zh-CN" w:bidi="hi-IN"/>
        </w:rPr>
        <w:t>p</w:t>
      </w:r>
      <w:r w:rsidRPr="00C408EB">
        <w:rPr>
          <w:rFonts w:ascii="Liberation Serif" w:eastAsia="NSimSun" w:hAnsi="Liberation Serif" w:cs="Arial"/>
          <w:kern w:val="2"/>
          <w:sz w:val="32"/>
          <w:szCs w:val="32"/>
          <w:lang w:eastAsia="zh-CN" w:bidi="hi-IN"/>
        </w:rPr>
        <w:t xml:space="preserve"> </w:t>
      </w:r>
      <w:proofErr w:type="gramStart"/>
      <w:r w:rsidRPr="00C408EB">
        <w:rPr>
          <w:rFonts w:ascii="Liberation Serif" w:eastAsia="NSimSun" w:hAnsi="Liberation Serif" w:cs="Arial"/>
          <w:kern w:val="2"/>
          <w:sz w:val="32"/>
          <w:szCs w:val="32"/>
          <w:lang w:eastAsia="zh-CN" w:bidi="hi-IN"/>
        </w:rPr>
        <w:t>&lt; 0</w:t>
      </w:r>
      <w:proofErr w:type="gramEnd"/>
      <w:r w:rsidRPr="00C408EB">
        <w:rPr>
          <w:rFonts w:ascii="Liberation Serif" w:eastAsia="NSimSun" w:hAnsi="Liberation Serif" w:cs="Arial"/>
          <w:kern w:val="2"/>
          <w:sz w:val="32"/>
          <w:szCs w:val="32"/>
          <w:lang w:eastAsia="zh-CN" w:bidi="hi-IN"/>
        </w:rPr>
        <w:t>,0001), что ставит под сомнение надежность полученных оценок.</w:t>
      </w:r>
    </w:p>
    <w:p w14:paraId="702C02AC" w14:textId="77777777" w:rsidR="00C408EB" w:rsidRPr="00C408EB" w:rsidRDefault="00C408EB" w:rsidP="00C408EB">
      <w:pPr>
        <w:suppressAutoHyphens/>
        <w:spacing w:after="0" w:line="240" w:lineRule="auto"/>
        <w:jc w:val="both"/>
        <w:rPr>
          <w:rFonts w:ascii="Liberation Serif" w:eastAsia="NSimSun" w:hAnsi="Liberation Serif" w:cs="Arial" w:hint="eastAsia"/>
          <w:kern w:val="2"/>
          <w:sz w:val="24"/>
          <w:szCs w:val="24"/>
          <w:lang w:eastAsia="zh-CN" w:bidi="hi-IN"/>
        </w:rPr>
      </w:pPr>
      <w:r w:rsidRPr="00C408EB">
        <w:rPr>
          <w:rFonts w:ascii="Liberation Serif" w:eastAsia="NSimSun" w:hAnsi="Liberation Serif" w:cs="Arial"/>
          <w:noProof/>
          <w:kern w:val="2"/>
          <w:sz w:val="24"/>
          <w:szCs w:val="24"/>
          <w:lang w:eastAsia="ru-RU"/>
        </w:rPr>
        <w:lastRenderedPageBreak/>
        <w:drawing>
          <wp:anchor distT="0" distB="0" distL="0" distR="0" simplePos="0" relativeHeight="251679744" behindDoc="0" locked="0" layoutInCell="0" allowOverlap="1" wp14:anchorId="0E221D4B" wp14:editId="4DCA8077">
            <wp:simplePos x="0" y="0"/>
            <wp:positionH relativeFrom="column">
              <wp:posOffset>332105</wp:posOffset>
            </wp:positionH>
            <wp:positionV relativeFrom="paragraph">
              <wp:posOffset>19050</wp:posOffset>
            </wp:positionV>
            <wp:extent cx="5514975" cy="3895725"/>
            <wp:effectExtent l="0" t="0" r="0" b="0"/>
            <wp:wrapSquare wrapText="largest"/>
            <wp:docPr id="645772422"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620"/>
                    <a:srcRect l="-40" t="-56" r="-40" b="-56"/>
                    <a:stretch>
                      <a:fillRect/>
                    </a:stretch>
                  </pic:blipFill>
                  <pic:spPr bwMode="auto">
                    <a:xfrm>
                      <a:off x="0" y="0"/>
                      <a:ext cx="5514975" cy="3895725"/>
                    </a:xfrm>
                    <a:prstGeom prst="rect">
                      <a:avLst/>
                    </a:prstGeom>
                    <a:noFill/>
                  </pic:spPr>
                </pic:pic>
              </a:graphicData>
            </a:graphic>
          </wp:anchor>
        </w:drawing>
      </w:r>
    </w:p>
    <w:p w14:paraId="636F7140"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45588C53"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710C3174"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7BD21F28"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470230A6"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3A113888"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41B28648"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78D65FEE"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532B1D41"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380E20C1"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110B534C"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7A875383"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349BBEAE"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55EED6E0"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46B63C05"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58297431"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p>
    <w:p w14:paraId="495B569D" w14:textId="77777777" w:rsidR="00C408EB" w:rsidRPr="00C408EB" w:rsidRDefault="00C408EB" w:rsidP="00C408EB">
      <w:pPr>
        <w:suppressAutoHyphens/>
        <w:spacing w:after="0" w:line="240" w:lineRule="auto"/>
        <w:rPr>
          <w:rFonts w:ascii="Liberation Serif" w:eastAsia="NSimSun" w:hAnsi="Liberation Serif" w:cs="Arial" w:hint="eastAsia"/>
          <w:kern w:val="2"/>
          <w:sz w:val="32"/>
          <w:szCs w:val="32"/>
          <w:lang w:eastAsia="zh-CN" w:bidi="hi-IN"/>
        </w:rPr>
      </w:pPr>
    </w:p>
    <w:p w14:paraId="5016A491"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Рисунок 3 – Анализ остатков линейной модели</w:t>
      </w:r>
    </w:p>
    <w:p w14:paraId="0FB43F39"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p>
    <w:p w14:paraId="10EA1A71"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Попытка улучшить качество модели за счет учета нелинейности через полиномиальную регрессию четвертой степени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 </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 xml:space="preserve">₀ + </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₁</w:t>
      </w:r>
      <w:r w:rsidRPr="00C408EB">
        <w:rPr>
          <w:rFonts w:ascii="Liberation Serif" w:eastAsia="NSimSun" w:hAnsi="Liberation Serif" w:cs="Arial"/>
          <w:kern w:val="2"/>
          <w:sz w:val="32"/>
          <w:szCs w:val="32"/>
          <w:lang w:val="en-US" w:eastAsia="zh-CN" w:bidi="hi-IN"/>
        </w:rPr>
        <w:t>B</w:t>
      </w:r>
      <w:r w:rsidRPr="00C408EB">
        <w:rPr>
          <w:rFonts w:ascii="Liberation Serif" w:eastAsia="NSimSun" w:hAnsi="Liberation Serif" w:cs="Arial"/>
          <w:kern w:val="2"/>
          <w:sz w:val="32"/>
          <w:szCs w:val="32"/>
          <w:lang w:eastAsia="zh-CN" w:bidi="hi-IN"/>
        </w:rPr>
        <w:t xml:space="preserve"> + </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₂</w:t>
      </w:r>
      <w:r w:rsidRPr="00C408EB">
        <w:rPr>
          <w:rFonts w:ascii="Liberation Serif" w:eastAsia="NSimSun" w:hAnsi="Liberation Serif" w:cs="Arial"/>
          <w:kern w:val="2"/>
          <w:sz w:val="32"/>
          <w:szCs w:val="32"/>
          <w:lang w:val="en-US" w:eastAsia="zh-CN" w:bidi="hi-IN"/>
        </w:rPr>
        <w:t>B</w:t>
      </w:r>
      <w:r w:rsidRPr="00C408EB">
        <w:rPr>
          <w:rFonts w:ascii="Liberation Serif" w:eastAsia="NSimSun" w:hAnsi="Liberation Serif" w:cs="Arial"/>
          <w:kern w:val="2"/>
          <w:sz w:val="32"/>
          <w:szCs w:val="32"/>
          <w:lang w:eastAsia="zh-CN" w:bidi="hi-IN"/>
        </w:rPr>
        <w:t xml:space="preserve">² + </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₃</w:t>
      </w:r>
      <w:r w:rsidRPr="00C408EB">
        <w:rPr>
          <w:rFonts w:ascii="Liberation Serif" w:eastAsia="NSimSun" w:hAnsi="Liberation Serif" w:cs="Arial"/>
          <w:kern w:val="2"/>
          <w:sz w:val="32"/>
          <w:szCs w:val="32"/>
          <w:lang w:val="en-US" w:eastAsia="zh-CN" w:bidi="hi-IN"/>
        </w:rPr>
        <w:t>B</w:t>
      </w:r>
      <w:r w:rsidRPr="00C408EB">
        <w:rPr>
          <w:rFonts w:ascii="Liberation Serif" w:eastAsia="NSimSun" w:hAnsi="Liberation Serif" w:cs="Arial"/>
          <w:kern w:val="2"/>
          <w:sz w:val="32"/>
          <w:szCs w:val="32"/>
          <w:lang w:eastAsia="zh-CN" w:bidi="hi-IN"/>
        </w:rPr>
        <w:t xml:space="preserve">³ + </w:t>
      </w:r>
      <w:r w:rsidRPr="00C408EB">
        <w:rPr>
          <w:rFonts w:ascii="Liberation Serif" w:eastAsia="NSimSun" w:hAnsi="Liberation Serif" w:cs="Arial"/>
          <w:kern w:val="2"/>
          <w:sz w:val="32"/>
          <w:szCs w:val="32"/>
          <w:lang w:val="en-US" w:eastAsia="zh-CN" w:bidi="hi-IN"/>
        </w:rPr>
        <w:t>β</w:t>
      </w:r>
      <w:r w:rsidRPr="00C408EB">
        <w:rPr>
          <w:rFonts w:ascii="Liberation Serif" w:eastAsia="NSimSun" w:hAnsi="Liberation Serif" w:cs="Arial"/>
          <w:kern w:val="2"/>
          <w:sz w:val="32"/>
          <w:szCs w:val="32"/>
          <w:lang w:eastAsia="zh-CN" w:bidi="hi-IN"/>
        </w:rPr>
        <w:t>₄</w:t>
      </w:r>
      <w:r w:rsidRPr="00C408EB">
        <w:rPr>
          <w:rFonts w:ascii="Liberation Serif" w:eastAsia="NSimSun" w:hAnsi="Liberation Serif" w:cs="Arial"/>
          <w:kern w:val="2"/>
          <w:sz w:val="32"/>
          <w:szCs w:val="32"/>
          <w:lang w:val="en-US" w:eastAsia="zh-CN" w:bidi="hi-IN"/>
        </w:rPr>
        <w:t>B</w:t>
      </w:r>
      <w:r w:rsidRPr="00C408EB">
        <w:rPr>
          <w:rFonts w:ascii="Liberation Serif" w:eastAsia="NSimSun" w:hAnsi="Liberation Serif" w:cs="Arial"/>
          <w:kern w:val="2"/>
          <w:sz w:val="32"/>
          <w:szCs w:val="32"/>
          <w:lang w:eastAsia="zh-CN" w:bidi="hi-IN"/>
        </w:rPr>
        <w:t xml:space="preserve">⁴ + </w:t>
      </w:r>
      <w:r w:rsidRPr="00C408EB">
        <w:rPr>
          <w:rFonts w:ascii="Liberation Serif" w:eastAsia="NSimSun" w:hAnsi="Liberation Serif" w:cs="Arial"/>
          <w:kern w:val="2"/>
          <w:sz w:val="32"/>
          <w:szCs w:val="32"/>
          <w:lang w:val="en-US" w:eastAsia="zh-CN" w:bidi="hi-IN"/>
        </w:rPr>
        <w:t>ε</w:t>
      </w:r>
      <w:r w:rsidRPr="00C408EB">
        <w:rPr>
          <w:rFonts w:ascii="Liberation Serif" w:eastAsia="NSimSun" w:hAnsi="Liberation Serif" w:cs="Arial"/>
          <w:kern w:val="2"/>
          <w:sz w:val="32"/>
          <w:szCs w:val="32"/>
          <w:lang w:eastAsia="zh-CN" w:bidi="hi-IN"/>
        </w:rPr>
        <w:t xml:space="preserve"> дала лишь частичный результат. Хотя коэффициент детерминации увеличился до 0,2444, что означает объяснение уже 24,44% вариации курса, проблемы с автокорреляцией (</w:t>
      </w:r>
      <w:r w:rsidRPr="00C408EB">
        <w:rPr>
          <w:rFonts w:ascii="Liberation Serif" w:eastAsia="NSimSun" w:hAnsi="Liberation Serif" w:cs="Arial"/>
          <w:kern w:val="2"/>
          <w:sz w:val="32"/>
          <w:szCs w:val="32"/>
          <w:lang w:val="en-US" w:eastAsia="zh-CN" w:bidi="hi-IN"/>
        </w:rPr>
        <w:t>DW</w:t>
      </w:r>
      <w:r w:rsidRPr="00C408EB">
        <w:rPr>
          <w:rFonts w:ascii="Liberation Serif" w:eastAsia="NSimSun" w:hAnsi="Liberation Serif" w:cs="Arial"/>
          <w:kern w:val="2"/>
          <w:sz w:val="32"/>
          <w:szCs w:val="32"/>
          <w:lang w:eastAsia="zh-CN" w:bidi="hi-IN"/>
        </w:rPr>
        <w:t xml:space="preserve"> = 0,025) и гетероскедастичностью (тест Уайта: </w:t>
      </w:r>
      <w:r w:rsidRPr="00C408EB">
        <w:rPr>
          <w:rFonts w:ascii="Liberation Serif" w:eastAsia="NSimSun" w:hAnsi="Liberation Serif" w:cs="Arial"/>
          <w:kern w:val="2"/>
          <w:sz w:val="32"/>
          <w:szCs w:val="32"/>
          <w:lang w:val="en-US" w:eastAsia="zh-CN" w:bidi="hi-IN"/>
        </w:rPr>
        <w:t>LM</w:t>
      </w:r>
      <w:r w:rsidRPr="00C408EB">
        <w:rPr>
          <w:rFonts w:ascii="Liberation Serif" w:eastAsia="NSimSun" w:hAnsi="Liberation Serif" w:cs="Arial"/>
          <w:kern w:val="2"/>
          <w:sz w:val="32"/>
          <w:szCs w:val="32"/>
          <w:lang w:eastAsia="zh-CN" w:bidi="hi-IN"/>
        </w:rPr>
        <w:t xml:space="preserve"> = 225,329, </w:t>
      </w:r>
      <w:r w:rsidRPr="00C408EB">
        <w:rPr>
          <w:rFonts w:ascii="Liberation Serif" w:eastAsia="NSimSun" w:hAnsi="Liberation Serif" w:cs="Arial"/>
          <w:kern w:val="2"/>
          <w:sz w:val="32"/>
          <w:szCs w:val="32"/>
          <w:lang w:val="en-US" w:eastAsia="zh-CN" w:bidi="hi-IN"/>
        </w:rPr>
        <w:t>p</w:t>
      </w:r>
      <w:r w:rsidRPr="00C408EB">
        <w:rPr>
          <w:rFonts w:ascii="Liberation Serif" w:eastAsia="NSimSun" w:hAnsi="Liberation Serif" w:cs="Arial"/>
          <w:kern w:val="2"/>
          <w:sz w:val="32"/>
          <w:szCs w:val="32"/>
          <w:lang w:eastAsia="zh-CN" w:bidi="hi-IN"/>
        </w:rPr>
        <w:t xml:space="preserve"> </w:t>
      </w:r>
      <w:proofErr w:type="gramStart"/>
      <w:r w:rsidRPr="00C408EB">
        <w:rPr>
          <w:rFonts w:ascii="Liberation Serif" w:eastAsia="NSimSun" w:hAnsi="Liberation Serif" w:cs="Arial"/>
          <w:kern w:val="2"/>
          <w:sz w:val="32"/>
          <w:szCs w:val="32"/>
          <w:lang w:eastAsia="zh-CN" w:bidi="hi-IN"/>
        </w:rPr>
        <w:t>&lt; 0</w:t>
      </w:r>
      <w:proofErr w:type="gramEnd"/>
      <w:r w:rsidRPr="00C408EB">
        <w:rPr>
          <w:rFonts w:ascii="Liberation Serif" w:eastAsia="NSimSun" w:hAnsi="Liberation Serif" w:cs="Arial"/>
          <w:kern w:val="2"/>
          <w:sz w:val="32"/>
          <w:szCs w:val="32"/>
          <w:lang w:eastAsia="zh-CN" w:bidi="hi-IN"/>
        </w:rPr>
        <w:t xml:space="preserve">,0001) сохранились. Полученные коэффициенты модели [0,00, -6,207, 0,101, -0,00056, 6,26×10⁻⁷] при </w:t>
      </w:r>
      <w:r w:rsidRPr="00C408EB">
        <w:rPr>
          <w:rFonts w:ascii="Liberation Serif" w:eastAsia="NSimSun" w:hAnsi="Liberation Serif" w:cs="Arial"/>
          <w:kern w:val="2"/>
          <w:sz w:val="32"/>
          <w:szCs w:val="32"/>
          <w:lang w:val="en-US" w:eastAsia="zh-CN" w:bidi="hi-IN"/>
        </w:rPr>
        <w:t>intercept</w:t>
      </w:r>
      <w:r w:rsidRPr="00C408EB">
        <w:rPr>
          <w:rFonts w:ascii="Liberation Serif" w:eastAsia="NSimSun" w:hAnsi="Liberation Serif" w:cs="Arial"/>
          <w:kern w:val="2"/>
          <w:sz w:val="32"/>
          <w:szCs w:val="32"/>
          <w:lang w:eastAsia="zh-CN" w:bidi="hi-IN"/>
        </w:rPr>
        <w:t xml:space="preserve"> = 187,117 демонстрируют сложный характер зависимости, однако экономическая интерпретация таких параметров затруднительна.</w:t>
      </w:r>
    </w:p>
    <w:p w14:paraId="00052564"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Описательная статистика исследуемых показателей раскрывает ряд интересных особенностей. Среднее значение цены </w:t>
      </w:r>
      <w:r w:rsidRPr="00C408EB">
        <w:rPr>
          <w:rFonts w:ascii="Liberation Serif" w:eastAsia="NSimSun" w:hAnsi="Liberation Serif" w:cs="Arial"/>
          <w:kern w:val="2"/>
          <w:sz w:val="32"/>
          <w:szCs w:val="32"/>
          <w:lang w:val="en-US" w:eastAsia="zh-CN" w:bidi="hi-IN"/>
        </w:rPr>
        <w:t>Brent</w:t>
      </w:r>
      <w:r w:rsidRPr="00C408EB">
        <w:rPr>
          <w:rFonts w:ascii="Liberation Serif" w:eastAsia="NSimSun" w:hAnsi="Liberation Serif" w:cs="Arial"/>
          <w:kern w:val="2"/>
          <w:sz w:val="32"/>
          <w:szCs w:val="32"/>
          <w:lang w:eastAsia="zh-CN" w:bidi="hi-IN"/>
        </w:rPr>
        <w:t xml:space="preserve"> за период составило 66,77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 xml:space="preserve"> при значительной волатильности (</w:t>
      </w:r>
      <w:r w:rsidRPr="00C408EB">
        <w:rPr>
          <w:rFonts w:ascii="Liberation Serif" w:eastAsia="NSimSun" w:hAnsi="Liberation Serif" w:cs="Arial"/>
          <w:kern w:val="2"/>
          <w:sz w:val="32"/>
          <w:szCs w:val="32"/>
          <w:lang w:val="en-US" w:eastAsia="zh-CN" w:bidi="hi-IN"/>
        </w:rPr>
        <w:t>σ</w:t>
      </w:r>
      <w:r w:rsidRPr="00C408EB">
        <w:rPr>
          <w:rFonts w:ascii="Liberation Serif" w:eastAsia="NSimSun" w:hAnsi="Liberation Serif" w:cs="Arial"/>
          <w:kern w:val="2"/>
          <w:sz w:val="32"/>
          <w:szCs w:val="32"/>
          <w:lang w:eastAsia="zh-CN" w:bidi="hi-IN"/>
        </w:rPr>
        <w:t xml:space="preserve"> = 18,15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 xml:space="preserve">), достигнув минимума в 19,33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 xml:space="preserve"> в апреле 2020 года и максимума в 123,58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 xml:space="preserve"> в июне 2022 года. Курс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в среднем равнялся 71,16 </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с меньшим стандартным отклонением (12,49 </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что отражает эффект проводимой ЦБ РФ политики сглаживания курсовых колебаний. Коэффициент вариации для нефтяных цен (0,34) </w:t>
      </w:r>
      <w:r w:rsidRPr="00C408EB">
        <w:rPr>
          <w:rFonts w:ascii="Liberation Serif" w:eastAsia="NSimSun" w:hAnsi="Liberation Serif" w:cs="Arial"/>
          <w:kern w:val="2"/>
          <w:sz w:val="32"/>
          <w:szCs w:val="32"/>
          <w:lang w:eastAsia="zh-CN" w:bidi="hi-IN"/>
        </w:rPr>
        <w:lastRenderedPageBreak/>
        <w:t xml:space="preserve">превышает аналогичный показатель для курса (0,24), подтверждая более высокую относительную волатильность </w:t>
      </w:r>
      <w:r w:rsidRPr="00C408EB">
        <w:rPr>
          <w:rFonts w:ascii="Liberation Serif" w:eastAsia="NSimSun" w:hAnsi="Liberation Serif" w:cs="Arial"/>
          <w:kern w:val="2"/>
          <w:sz w:val="32"/>
          <w:szCs w:val="32"/>
          <w:lang w:val="en-US" w:eastAsia="zh-CN" w:bidi="hi-IN"/>
        </w:rPr>
        <w:t>Brent</w:t>
      </w:r>
      <w:r w:rsidRPr="00C408EB">
        <w:rPr>
          <w:rFonts w:ascii="Liberation Serif" w:eastAsia="NSimSun" w:hAnsi="Liberation Serif" w:cs="Arial"/>
          <w:kern w:val="2"/>
          <w:sz w:val="32"/>
          <w:szCs w:val="32"/>
          <w:lang w:eastAsia="zh-CN" w:bidi="hi-IN"/>
        </w:rPr>
        <w:t>.</w:t>
      </w:r>
    </w:p>
    <w:p w14:paraId="6078139D"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Сравнительный анализ качества моделей по критерию </w:t>
      </w:r>
      <w:r w:rsidRPr="00C408EB">
        <w:rPr>
          <w:rFonts w:ascii="Liberation Serif" w:eastAsia="NSimSun" w:hAnsi="Liberation Serif" w:cs="Arial"/>
          <w:kern w:val="2"/>
          <w:sz w:val="32"/>
          <w:szCs w:val="32"/>
          <w:lang w:val="en-US" w:eastAsia="zh-CN" w:bidi="hi-IN"/>
        </w:rPr>
        <w:t>R</w:t>
      </w:r>
      <w:r w:rsidRPr="00C408EB">
        <w:rPr>
          <w:rFonts w:ascii="Liberation Serif" w:eastAsia="NSimSun" w:hAnsi="Liberation Serif" w:cs="Arial"/>
          <w:kern w:val="2"/>
          <w:sz w:val="32"/>
          <w:szCs w:val="32"/>
          <w:lang w:eastAsia="zh-CN" w:bidi="hi-IN"/>
        </w:rPr>
        <w:t>² показывает ограниченную эффективность даже полиномиальной спецификации. Разница в объясненной дисперсии между линейной и полиномиальной моделями составила всего 0,149, что при всей статистической значимости (</w:t>
      </w:r>
      <w:r w:rsidRPr="00C408EB">
        <w:rPr>
          <w:rFonts w:ascii="Liberation Serif" w:eastAsia="NSimSun" w:hAnsi="Liberation Serif" w:cs="Arial"/>
          <w:kern w:val="2"/>
          <w:sz w:val="32"/>
          <w:szCs w:val="32"/>
          <w:lang w:val="en-US" w:eastAsia="zh-CN" w:bidi="hi-IN"/>
        </w:rPr>
        <w:t>F</w:t>
      </w:r>
      <w:r w:rsidRPr="00C408EB">
        <w:rPr>
          <w:rFonts w:ascii="Liberation Serif" w:eastAsia="NSimSun" w:hAnsi="Liberation Serif" w:cs="Arial"/>
          <w:kern w:val="2"/>
          <w:sz w:val="32"/>
          <w:szCs w:val="32"/>
          <w:lang w:eastAsia="zh-CN" w:bidi="hi-IN"/>
        </w:rPr>
        <w:t xml:space="preserve">-тест: </w:t>
      </w:r>
      <w:r w:rsidRPr="00C408EB">
        <w:rPr>
          <w:rFonts w:ascii="Liberation Serif" w:eastAsia="NSimSun" w:hAnsi="Liberation Serif" w:cs="Arial"/>
          <w:kern w:val="2"/>
          <w:sz w:val="32"/>
          <w:szCs w:val="32"/>
          <w:lang w:val="en-US" w:eastAsia="zh-CN" w:bidi="hi-IN"/>
        </w:rPr>
        <w:t>p</w:t>
      </w:r>
      <w:r w:rsidRPr="00C408EB">
        <w:rPr>
          <w:rFonts w:ascii="Liberation Serif" w:eastAsia="NSimSun" w:hAnsi="Liberation Serif" w:cs="Arial"/>
          <w:kern w:val="2"/>
          <w:sz w:val="32"/>
          <w:szCs w:val="32"/>
          <w:lang w:eastAsia="zh-CN" w:bidi="hi-IN"/>
        </w:rPr>
        <w:t xml:space="preserve"> </w:t>
      </w:r>
      <w:proofErr w:type="gramStart"/>
      <w:r w:rsidRPr="00C408EB">
        <w:rPr>
          <w:rFonts w:ascii="Liberation Serif" w:eastAsia="NSimSun" w:hAnsi="Liberation Serif" w:cs="Arial"/>
          <w:kern w:val="2"/>
          <w:sz w:val="32"/>
          <w:szCs w:val="32"/>
          <w:lang w:eastAsia="zh-CN" w:bidi="hi-IN"/>
        </w:rPr>
        <w:t>&lt; 0,001</w:t>
      </w:r>
      <w:proofErr w:type="gramEnd"/>
      <w:r w:rsidRPr="00C408EB">
        <w:rPr>
          <w:rFonts w:ascii="Liberation Serif" w:eastAsia="NSimSun" w:hAnsi="Liberation Serif" w:cs="Arial"/>
          <w:kern w:val="2"/>
          <w:sz w:val="32"/>
          <w:szCs w:val="32"/>
          <w:lang w:eastAsia="zh-CN" w:bidi="hi-IN"/>
        </w:rPr>
        <w:t>) не позволяет говорить о существенном улучшении. Это свидетельствует о наличии других, возможно более значимых факторов курсообразования, не учтенных в модели.</w:t>
      </w:r>
    </w:p>
    <w:p w14:paraId="79956744"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Полученные результаты требуют осторожной интерпретации. Обнаруженная положительная связь между ценой нефти и курсом </w:t>
      </w:r>
      <w:r w:rsidRPr="00C408EB">
        <w:rPr>
          <w:rFonts w:ascii="Liberation Serif" w:eastAsia="NSimSun" w:hAnsi="Liberation Serif" w:cs="Arial"/>
          <w:kern w:val="2"/>
          <w:sz w:val="32"/>
          <w:szCs w:val="32"/>
          <w:lang w:val="en-US" w:eastAsia="zh-CN" w:bidi="hi-IN"/>
        </w:rPr>
        <w:t>USD</w:t>
      </w:r>
      <w:r w:rsidRPr="00C408EB">
        <w:rPr>
          <w:rFonts w:ascii="Liberation Serif" w:eastAsia="NSimSun" w:hAnsi="Liberation Serif" w:cs="Arial"/>
          <w:kern w:val="2"/>
          <w:sz w:val="32"/>
          <w:szCs w:val="32"/>
          <w:lang w:eastAsia="zh-CN" w:bidi="hi-IN"/>
        </w:rPr>
        <w:t>/</w:t>
      </w:r>
      <w:r w:rsidRPr="00C408EB">
        <w:rPr>
          <w:rFonts w:ascii="Liberation Serif" w:eastAsia="NSimSun" w:hAnsi="Liberation Serif" w:cs="Arial"/>
          <w:kern w:val="2"/>
          <w:sz w:val="32"/>
          <w:szCs w:val="32"/>
          <w:lang w:val="en-US" w:eastAsia="zh-CN" w:bidi="hi-IN"/>
        </w:rPr>
        <w:t>RUB</w:t>
      </w:r>
      <w:r w:rsidRPr="00C408EB">
        <w:rPr>
          <w:rFonts w:ascii="Liberation Serif" w:eastAsia="NSimSun" w:hAnsi="Liberation Serif" w:cs="Arial"/>
          <w:kern w:val="2"/>
          <w:sz w:val="32"/>
          <w:szCs w:val="32"/>
          <w:lang w:eastAsia="zh-CN" w:bidi="hi-IN"/>
        </w:rPr>
        <w:t xml:space="preserve"> может объясняться комплексом причин: от изменения механизмов бюджетного правила и валютной политики ЦБ РФ до эффекта санкционного давления, при котором рост нефтяных доходов сопровождается ужесточением ограничений и оттоком капитала. Низкая объясняющая способность моделей указывает на необходимость учета дополнительных переменных – таких как ключевая ставка, объемы интервенций, показатели торгового баланса и индексы геополитического риска.</w:t>
      </w:r>
    </w:p>
    <w:p w14:paraId="73A7A5B8" w14:textId="77777777" w:rsidR="00C408EB" w:rsidRPr="00C408EB" w:rsidRDefault="00C408EB" w:rsidP="00C408EB">
      <w:pPr>
        <w:suppressAutoHyphens/>
        <w:spacing w:after="0" w:line="240" w:lineRule="auto"/>
        <w:ind w:firstLine="709"/>
        <w:jc w:val="both"/>
        <w:rPr>
          <w:rFonts w:ascii="Liberation Serif" w:eastAsia="NSimSun" w:hAnsi="Liberation Serif" w:cs="Arial" w:hint="eastAsia"/>
          <w:kern w:val="2"/>
          <w:sz w:val="32"/>
          <w:szCs w:val="32"/>
          <w:lang w:eastAsia="zh-CN" w:bidi="hi-IN"/>
        </w:rPr>
      </w:pPr>
      <w:r w:rsidRPr="00C408EB">
        <w:rPr>
          <w:rFonts w:ascii="Liberation Serif" w:eastAsia="NSimSun" w:hAnsi="Liberation Serif" w:cs="Arial"/>
          <w:kern w:val="2"/>
          <w:sz w:val="32"/>
          <w:szCs w:val="32"/>
          <w:lang w:eastAsia="zh-CN" w:bidi="hi-IN"/>
        </w:rPr>
        <w:t xml:space="preserve">Практическая значимость исследования заключается в демонстрации трансформации традиционных взаимосвязей в условиях структурных изменений экономики. Результаты подчеркивают, что в современных условиях прогнозирование курса рубля на основе лишь нефтяных цен становится недостаточным, требуя более комплексных моделей, учитывающих институциональные и геополитические факторы. Это ставит новые задачи перед исследователями и </w:t>
      </w:r>
      <w:r w:rsidRPr="00C408EB">
        <w:rPr>
          <w:rFonts w:ascii="Liberation Serif" w:eastAsia="NSimSun" w:hAnsi="Liberation Serif" w:cs="Arial"/>
          <w:kern w:val="2"/>
          <w:sz w:val="32"/>
          <w:szCs w:val="32"/>
          <w:lang w:val="en-US" w:eastAsia="zh-CN" w:bidi="hi-IN"/>
        </w:rPr>
        <w:t>policymakers</w:t>
      </w:r>
      <w:r w:rsidRPr="00C408EB">
        <w:rPr>
          <w:rFonts w:ascii="Liberation Serif" w:eastAsia="NSimSun" w:hAnsi="Liberation Serif" w:cs="Arial"/>
          <w:kern w:val="2"/>
          <w:sz w:val="32"/>
          <w:szCs w:val="32"/>
          <w:lang w:eastAsia="zh-CN" w:bidi="hi-IN"/>
        </w:rPr>
        <w:t xml:space="preserve"> в области денежно-кредитной политики и управления валютными рисками.</w:t>
      </w:r>
    </w:p>
    <w:p w14:paraId="2AAE2D86" w14:textId="77777777" w:rsidR="00C408EB" w:rsidRPr="00C408EB" w:rsidRDefault="00C408EB" w:rsidP="00C408EB">
      <w:pPr>
        <w:suppressAutoHyphens/>
        <w:spacing w:after="0" w:line="240" w:lineRule="auto"/>
        <w:jc w:val="center"/>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b/>
          <w:bCs/>
          <w:kern w:val="2"/>
          <w:sz w:val="21"/>
          <w:szCs w:val="21"/>
          <w:lang w:eastAsia="zh-CN" w:bidi="hi-IN"/>
        </w:rPr>
        <w:t>Литература:</w:t>
      </w:r>
    </w:p>
    <w:p w14:paraId="77154558" w14:textId="77777777" w:rsidR="00C408EB" w:rsidRPr="00C408EB" w:rsidRDefault="00C408EB" w:rsidP="00AD58CD">
      <w:pPr>
        <w:numPr>
          <w:ilvl w:val="0"/>
          <w:numId w:val="146"/>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eastAsia="zh-CN" w:bidi="hi-IN"/>
        </w:rPr>
        <w:t>Центральный Банк Российской Федерации. Методология расчета официальных курсов иностранных валют. 2025.</w:t>
      </w:r>
    </w:p>
    <w:p w14:paraId="06123A3E" w14:textId="77777777" w:rsidR="00C408EB" w:rsidRPr="00C408EB" w:rsidRDefault="00C408EB" w:rsidP="00AD58CD">
      <w:pPr>
        <w:numPr>
          <w:ilvl w:val="0"/>
          <w:numId w:val="146"/>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val="en-US" w:eastAsia="zh-CN" w:bidi="hi-IN"/>
        </w:rPr>
        <w:t xml:space="preserve">Engle R.F., Granger C.W.J. Co-integration and error correction: representation, estimation, and testing // Econometrica. </w:t>
      </w:r>
      <w:r w:rsidRPr="00C408EB">
        <w:rPr>
          <w:rFonts w:ascii="Liberation Serif" w:eastAsia="NSimSun" w:hAnsi="Liberation Serif" w:cs="Arial"/>
          <w:kern w:val="2"/>
          <w:sz w:val="21"/>
          <w:szCs w:val="21"/>
          <w:lang w:eastAsia="zh-CN" w:bidi="hi-IN"/>
        </w:rPr>
        <w:t>1987. Vol. 55. No. 2. P. 251-276.</w:t>
      </w:r>
    </w:p>
    <w:p w14:paraId="045122BC" w14:textId="77777777" w:rsidR="00C408EB" w:rsidRPr="00C408EB" w:rsidRDefault="00C408EB" w:rsidP="00AD58CD">
      <w:pPr>
        <w:numPr>
          <w:ilvl w:val="0"/>
          <w:numId w:val="146"/>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val="en-US" w:eastAsia="zh-CN" w:bidi="hi-IN"/>
        </w:rPr>
        <w:t xml:space="preserve">Hamilton J.D. Oil prices and the macroeconomy // Handbook of Macroeconomics. </w:t>
      </w:r>
      <w:r w:rsidRPr="00C408EB">
        <w:rPr>
          <w:rFonts w:ascii="Liberation Serif" w:eastAsia="NSimSun" w:hAnsi="Liberation Serif" w:cs="Arial"/>
          <w:kern w:val="2"/>
          <w:sz w:val="21"/>
          <w:szCs w:val="21"/>
          <w:lang w:eastAsia="zh-CN" w:bidi="hi-IN"/>
        </w:rPr>
        <w:t>2019. Vol. 2. P. 1-56.</w:t>
      </w:r>
    </w:p>
    <w:p w14:paraId="37AE4157" w14:textId="77777777" w:rsidR="00C408EB" w:rsidRPr="00C408EB" w:rsidRDefault="00C408EB" w:rsidP="00AD58CD">
      <w:pPr>
        <w:numPr>
          <w:ilvl w:val="0"/>
          <w:numId w:val="146"/>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eastAsia="zh-CN" w:bidi="hi-IN"/>
        </w:rPr>
        <w:t>Министерство финансов РФ. Бюджетная политика в условиях санкций. 2024.</w:t>
      </w:r>
    </w:p>
    <w:p w14:paraId="330D858A" w14:textId="77777777" w:rsidR="00C408EB" w:rsidRPr="00C408EB" w:rsidRDefault="00C408EB" w:rsidP="00AD58CD">
      <w:pPr>
        <w:numPr>
          <w:ilvl w:val="0"/>
          <w:numId w:val="147"/>
        </w:numPr>
        <w:tabs>
          <w:tab w:val="clear" w:pos="720"/>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eastAsia="zh-CN" w:bidi="hi-IN"/>
        </w:rPr>
        <w:t xml:space="preserve">Официальный сайт ЦБ РФ: </w:t>
      </w:r>
      <w:hyperlink r:id="rId621" w:tgtFrame="_blank">
        <w:r w:rsidRPr="00C408EB">
          <w:rPr>
            <w:rFonts w:ascii="Liberation Serif" w:eastAsia="NSimSun" w:hAnsi="Liberation Serif" w:cs="Arial"/>
            <w:color w:val="000080"/>
            <w:kern w:val="2"/>
            <w:sz w:val="21"/>
            <w:szCs w:val="21"/>
            <w:u w:val="single"/>
            <w:lang w:eastAsia="zh-CN" w:bidi="hi-IN"/>
          </w:rPr>
          <w:t>https://cbr.ru</w:t>
        </w:r>
      </w:hyperlink>
      <w:r w:rsidRPr="00C408EB">
        <w:rPr>
          <w:rFonts w:ascii="Liberation Serif" w:eastAsia="NSimSun" w:hAnsi="Liberation Serif" w:cs="Arial"/>
          <w:kern w:val="2"/>
          <w:sz w:val="21"/>
          <w:szCs w:val="21"/>
          <w:lang w:eastAsia="zh-CN" w:bidi="hi-IN"/>
        </w:rPr>
        <w:t xml:space="preserve"> (дата обращения: 05.04.2025)</w:t>
      </w:r>
    </w:p>
    <w:p w14:paraId="28C8DE4B" w14:textId="77777777" w:rsidR="00C408EB" w:rsidRPr="00C408EB" w:rsidRDefault="00C408EB" w:rsidP="00AD58CD">
      <w:pPr>
        <w:numPr>
          <w:ilvl w:val="0"/>
          <w:numId w:val="147"/>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eastAsia="zh-CN" w:bidi="hi-IN"/>
        </w:rPr>
      </w:pPr>
      <w:r w:rsidRPr="00C408EB">
        <w:rPr>
          <w:rFonts w:ascii="Liberation Serif" w:eastAsia="NSimSun" w:hAnsi="Liberation Serif" w:cs="Arial"/>
          <w:kern w:val="2"/>
          <w:sz w:val="21"/>
          <w:szCs w:val="21"/>
          <w:lang w:eastAsia="zh-CN" w:bidi="hi-IN"/>
        </w:rPr>
        <w:t xml:space="preserve">База данных FRED Economic Data: </w:t>
      </w:r>
      <w:hyperlink r:id="rId622" w:tgtFrame="_blank">
        <w:r w:rsidRPr="00C408EB">
          <w:rPr>
            <w:rFonts w:ascii="Liberation Serif" w:eastAsia="NSimSun" w:hAnsi="Liberation Serif" w:cs="Arial"/>
            <w:color w:val="000080"/>
            <w:kern w:val="2"/>
            <w:sz w:val="21"/>
            <w:szCs w:val="21"/>
            <w:u w:val="single"/>
            <w:lang w:eastAsia="zh-CN" w:bidi="hi-IN"/>
          </w:rPr>
          <w:t>https://fred.stlouisfed.org</w:t>
        </w:r>
      </w:hyperlink>
      <w:r w:rsidRPr="00C408EB">
        <w:rPr>
          <w:rFonts w:ascii="Liberation Serif" w:eastAsia="NSimSun" w:hAnsi="Liberation Serif" w:cs="Arial"/>
          <w:kern w:val="2"/>
          <w:sz w:val="21"/>
          <w:szCs w:val="21"/>
          <w:lang w:eastAsia="zh-CN" w:bidi="hi-IN"/>
        </w:rPr>
        <w:t xml:space="preserve"> (дата обращения: 05.04.2025)</w:t>
      </w:r>
    </w:p>
    <w:p w14:paraId="3D04B0F2" w14:textId="77777777" w:rsidR="00C408EB" w:rsidRPr="00C408EB" w:rsidRDefault="00C408EB" w:rsidP="00AD58CD">
      <w:pPr>
        <w:numPr>
          <w:ilvl w:val="0"/>
          <w:numId w:val="147"/>
        </w:numPr>
        <w:tabs>
          <w:tab w:val="clear" w:pos="720"/>
          <w:tab w:val="left" w:pos="1134"/>
        </w:tabs>
        <w:suppressAutoHyphens/>
        <w:spacing w:after="0" w:line="240" w:lineRule="auto"/>
        <w:ind w:left="567" w:hanging="567"/>
        <w:jc w:val="both"/>
        <w:rPr>
          <w:rFonts w:ascii="Liberation Serif" w:eastAsia="NSimSun" w:hAnsi="Liberation Serif" w:cs="Arial" w:hint="eastAsia"/>
          <w:kern w:val="2"/>
          <w:sz w:val="21"/>
          <w:szCs w:val="21"/>
          <w:lang w:val="en-US" w:eastAsia="zh-CN" w:bidi="hi-IN"/>
        </w:rPr>
      </w:pPr>
      <w:r w:rsidRPr="00C408EB">
        <w:rPr>
          <w:rFonts w:ascii="Liberation Serif" w:eastAsia="NSimSun" w:hAnsi="Liberation Serif" w:cs="Arial"/>
          <w:kern w:val="2"/>
          <w:sz w:val="21"/>
          <w:szCs w:val="21"/>
          <w:lang w:val="en-US" w:eastAsia="zh-CN" w:bidi="hi-IN"/>
        </w:rPr>
        <w:t xml:space="preserve">ICE Futures Europe: </w:t>
      </w:r>
      <w:hyperlink r:id="rId623" w:tgtFrame="_blank">
        <w:r w:rsidRPr="00C408EB">
          <w:rPr>
            <w:rFonts w:ascii="Liberation Serif" w:eastAsia="NSimSun" w:hAnsi="Liberation Serif" w:cs="Arial"/>
            <w:color w:val="000080"/>
            <w:kern w:val="2"/>
            <w:sz w:val="21"/>
            <w:szCs w:val="21"/>
            <w:u w:val="single"/>
            <w:lang w:val="en-US" w:eastAsia="zh-CN" w:bidi="hi-IN"/>
          </w:rPr>
          <w:t>https://www.theice.com</w:t>
        </w:r>
      </w:hyperlink>
      <w:r w:rsidRPr="00C408EB">
        <w:rPr>
          <w:rFonts w:ascii="Liberation Serif" w:eastAsia="NSimSun" w:hAnsi="Liberation Serif" w:cs="Arial"/>
          <w:kern w:val="2"/>
          <w:sz w:val="21"/>
          <w:szCs w:val="21"/>
          <w:lang w:val="en-US" w:eastAsia="zh-CN" w:bidi="hi-IN"/>
        </w:rPr>
        <w:t xml:space="preserve"> (</w:t>
      </w:r>
      <w:r w:rsidRPr="00C408EB">
        <w:rPr>
          <w:rFonts w:ascii="Liberation Serif" w:eastAsia="NSimSun" w:hAnsi="Liberation Serif" w:cs="Arial"/>
          <w:kern w:val="2"/>
          <w:sz w:val="21"/>
          <w:szCs w:val="21"/>
          <w:lang w:eastAsia="zh-CN" w:bidi="hi-IN"/>
        </w:rPr>
        <w:t>дата</w:t>
      </w:r>
      <w:r w:rsidRPr="00C408EB">
        <w:rPr>
          <w:rFonts w:ascii="Liberation Serif" w:eastAsia="NSimSun" w:hAnsi="Liberation Serif" w:cs="Arial"/>
          <w:kern w:val="2"/>
          <w:sz w:val="21"/>
          <w:szCs w:val="21"/>
          <w:lang w:val="en-US" w:eastAsia="zh-CN" w:bidi="hi-IN"/>
        </w:rPr>
        <w:t xml:space="preserve"> </w:t>
      </w:r>
      <w:r w:rsidRPr="00C408EB">
        <w:rPr>
          <w:rFonts w:ascii="Liberation Serif" w:eastAsia="NSimSun" w:hAnsi="Liberation Serif" w:cs="Arial"/>
          <w:kern w:val="2"/>
          <w:sz w:val="21"/>
          <w:szCs w:val="21"/>
          <w:lang w:eastAsia="zh-CN" w:bidi="hi-IN"/>
        </w:rPr>
        <w:t>обращения</w:t>
      </w:r>
      <w:r w:rsidRPr="00C408EB">
        <w:rPr>
          <w:rFonts w:ascii="Liberation Serif" w:eastAsia="NSimSun" w:hAnsi="Liberation Serif" w:cs="Arial"/>
          <w:kern w:val="2"/>
          <w:sz w:val="21"/>
          <w:szCs w:val="21"/>
          <w:lang w:val="en-US" w:eastAsia="zh-CN" w:bidi="hi-IN"/>
        </w:rPr>
        <w:t>: 05.04.2025)</w:t>
      </w:r>
    </w:p>
    <w:p w14:paraId="6DE4C9AB" w14:textId="4DC5ECD7" w:rsidR="001A36C0" w:rsidRDefault="001A36C0" w:rsidP="001A36C0">
      <w:pPr>
        <w:keepLines/>
        <w:widowControl w:val="0"/>
        <w:spacing w:after="0" w:line="240" w:lineRule="auto"/>
        <w:contextualSpacing/>
        <w:rPr>
          <w:rFonts w:ascii="Times New Roman" w:eastAsia="Times New Roman" w:hAnsi="Times New Roman" w:cs="Times New Roman"/>
          <w:b/>
          <w:color w:val="000000"/>
          <w:sz w:val="21"/>
          <w:szCs w:val="21"/>
          <w14:ligatures w14:val="standardContextual"/>
        </w:rPr>
      </w:pPr>
      <w:r w:rsidRPr="001A36C0">
        <w:rPr>
          <w:rFonts w:ascii="Times New Roman" w:eastAsia="Times New Roman" w:hAnsi="Times New Roman" w:cs="Times New Roman"/>
          <w:b/>
          <w:color w:val="000000"/>
          <w:sz w:val="21"/>
          <w:szCs w:val="21"/>
          <w14:ligatures w14:val="standardContextual"/>
        </w:rPr>
        <w:t>УДК 004.056.5</w:t>
      </w:r>
    </w:p>
    <w:p w14:paraId="6F4F5FEC" w14:textId="77777777" w:rsidR="001A36C0" w:rsidRPr="001A36C0" w:rsidRDefault="001A36C0" w:rsidP="001A36C0">
      <w:pPr>
        <w:keepLines/>
        <w:widowControl w:val="0"/>
        <w:spacing w:after="0" w:line="240" w:lineRule="auto"/>
        <w:contextualSpacing/>
        <w:rPr>
          <w:rFonts w:ascii="Calibri" w:eastAsia="Calibri" w:hAnsi="Calibri" w:cs="Times New Roman"/>
          <w:sz w:val="21"/>
          <w:szCs w:val="21"/>
          <w14:ligatures w14:val="standardContextual"/>
        </w:rPr>
      </w:pPr>
    </w:p>
    <w:p w14:paraId="41CA9D76" w14:textId="77777777" w:rsidR="001A36C0" w:rsidRDefault="001A36C0" w:rsidP="001A36C0">
      <w:pPr>
        <w:keepLines/>
        <w:widowControl w:val="0"/>
        <w:spacing w:after="0" w:line="240" w:lineRule="auto"/>
        <w:contextualSpacing/>
        <w:outlineLvl w:val="0"/>
        <w:rPr>
          <w:rFonts w:ascii="Times New Roman" w:eastAsia="DengXian Light" w:hAnsi="Times New Roman" w:cs="Times New Roman"/>
          <w:b/>
          <w:i/>
          <w:color w:val="000000"/>
          <w:sz w:val="21"/>
          <w:szCs w:val="21"/>
          <w:lang w:eastAsia="ru-RU"/>
        </w:rPr>
      </w:pPr>
    </w:p>
    <w:p w14:paraId="7D199057" w14:textId="37A5C0E6"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b/>
          <w:i/>
          <w:color w:val="000000"/>
          <w:sz w:val="21"/>
          <w:szCs w:val="21"/>
          <w:lang w:eastAsia="ru-RU"/>
        </w:rPr>
      </w:pPr>
      <w:r w:rsidRPr="001A36C0">
        <w:rPr>
          <w:rFonts w:ascii="Times New Roman" w:eastAsia="DengXian Light" w:hAnsi="Times New Roman" w:cs="Times New Roman"/>
          <w:b/>
          <w:i/>
          <w:color w:val="000000"/>
          <w:sz w:val="21"/>
          <w:szCs w:val="21"/>
          <w:lang w:eastAsia="ru-RU"/>
        </w:rPr>
        <w:t>Федусь М.И.,</w:t>
      </w:r>
    </w:p>
    <w:p w14:paraId="58C3571C"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студент 3 курса,</w:t>
      </w:r>
    </w:p>
    <w:p w14:paraId="58F1B09A"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lastRenderedPageBreak/>
        <w:t>Финансовый университет при Правительстве РФ</w:t>
      </w:r>
    </w:p>
    <w:p w14:paraId="4B10DF35"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 xml:space="preserve">г. Краснодар, Россия </w:t>
      </w:r>
    </w:p>
    <w:p w14:paraId="614FD73C" w14:textId="77777777" w:rsidR="001A36C0" w:rsidRPr="00A11496"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DengXian Light" w:hAnsi="Times New Roman" w:cs="Times New Roman"/>
          <w:i/>
          <w:color w:val="000000"/>
          <w:sz w:val="21"/>
          <w:szCs w:val="21"/>
          <w:lang w:eastAsia="ru-RU"/>
        </w:rPr>
        <w:t>е</w:t>
      </w:r>
      <w:r w:rsidRPr="00A11496">
        <w:rPr>
          <w:rFonts w:ascii="Times New Roman" w:eastAsia="DengXian Light" w:hAnsi="Times New Roman" w:cs="Times New Roman"/>
          <w:i/>
          <w:color w:val="000000"/>
          <w:sz w:val="21"/>
          <w:szCs w:val="21"/>
          <w:lang w:val="en-US" w:eastAsia="ru-RU"/>
        </w:rPr>
        <w:t>-</w:t>
      </w:r>
      <w:r w:rsidRPr="001A36C0">
        <w:rPr>
          <w:rFonts w:ascii="Times New Roman" w:eastAsia="DengXian Light" w:hAnsi="Times New Roman" w:cs="Times New Roman"/>
          <w:i/>
          <w:color w:val="000000"/>
          <w:sz w:val="21"/>
          <w:szCs w:val="21"/>
          <w:lang w:val="en-US" w:eastAsia="ru-RU"/>
        </w:rPr>
        <w:t>mail</w:t>
      </w:r>
      <w:r w:rsidRPr="00A11496">
        <w:rPr>
          <w:rFonts w:ascii="Times New Roman" w:eastAsia="DengXian Light" w:hAnsi="Times New Roman" w:cs="Times New Roman"/>
          <w:i/>
          <w:color w:val="000000"/>
          <w:sz w:val="21"/>
          <w:szCs w:val="21"/>
          <w:lang w:val="en-US" w:eastAsia="ru-RU"/>
        </w:rPr>
        <w:t xml:space="preserve">: </w:t>
      </w:r>
      <w:r w:rsidRPr="001A36C0">
        <w:rPr>
          <w:rFonts w:ascii="Times New Roman" w:eastAsia="DengXian Light" w:hAnsi="Times New Roman" w:cs="Times New Roman"/>
          <w:i/>
          <w:color w:val="000000"/>
          <w:sz w:val="21"/>
          <w:szCs w:val="21"/>
          <w:lang w:val="en-US" w:eastAsia="ru-RU"/>
        </w:rPr>
        <w:t>maksim</w:t>
      </w:r>
      <w:r w:rsidRPr="00A11496">
        <w:rPr>
          <w:rFonts w:ascii="Times New Roman" w:eastAsia="DengXian Light" w:hAnsi="Times New Roman" w:cs="Times New Roman"/>
          <w:i/>
          <w:color w:val="000000"/>
          <w:sz w:val="21"/>
          <w:szCs w:val="21"/>
          <w:lang w:val="en-US" w:eastAsia="ru-RU"/>
        </w:rPr>
        <w:t>.</w:t>
      </w:r>
      <w:r w:rsidRPr="001A36C0">
        <w:rPr>
          <w:rFonts w:ascii="Times New Roman" w:eastAsia="DengXian Light" w:hAnsi="Times New Roman" w:cs="Times New Roman"/>
          <w:i/>
          <w:color w:val="000000"/>
          <w:sz w:val="21"/>
          <w:szCs w:val="21"/>
          <w:lang w:val="en-US" w:eastAsia="ru-RU"/>
        </w:rPr>
        <w:t>fedus</w:t>
      </w:r>
      <w:r w:rsidRPr="00A11496">
        <w:rPr>
          <w:rFonts w:ascii="Times New Roman" w:eastAsia="DengXian Light" w:hAnsi="Times New Roman" w:cs="Times New Roman"/>
          <w:i/>
          <w:color w:val="000000"/>
          <w:sz w:val="21"/>
          <w:szCs w:val="21"/>
          <w:lang w:val="en-US" w:eastAsia="ru-RU"/>
        </w:rPr>
        <w:t>95@</w:t>
      </w:r>
      <w:r w:rsidRPr="001A36C0">
        <w:rPr>
          <w:rFonts w:ascii="Times New Roman" w:eastAsia="DengXian Light" w:hAnsi="Times New Roman" w:cs="Times New Roman"/>
          <w:i/>
          <w:color w:val="000000"/>
          <w:sz w:val="21"/>
          <w:szCs w:val="21"/>
          <w:lang w:val="en-US" w:eastAsia="ru-RU"/>
        </w:rPr>
        <w:t>bk</w:t>
      </w:r>
      <w:r w:rsidRPr="00A11496">
        <w:rPr>
          <w:rFonts w:ascii="Times New Roman" w:eastAsia="DengXian Light" w:hAnsi="Times New Roman" w:cs="Times New Roman"/>
          <w:i/>
          <w:color w:val="000000"/>
          <w:sz w:val="21"/>
          <w:szCs w:val="21"/>
          <w:lang w:val="en-US" w:eastAsia="ru-RU"/>
        </w:rPr>
        <w:t>.</w:t>
      </w:r>
      <w:r w:rsidRPr="001A36C0">
        <w:rPr>
          <w:rFonts w:ascii="Times New Roman" w:eastAsia="DengXian Light" w:hAnsi="Times New Roman" w:cs="Times New Roman"/>
          <w:i/>
          <w:color w:val="000000"/>
          <w:sz w:val="21"/>
          <w:szCs w:val="21"/>
          <w:lang w:val="en-US" w:eastAsia="ru-RU"/>
        </w:rPr>
        <w:t>ru</w:t>
      </w:r>
      <w:r w:rsidRPr="00A11496">
        <w:rPr>
          <w:rFonts w:ascii="Times New Roman" w:eastAsia="DengXian Light" w:hAnsi="Times New Roman" w:cs="Times New Roman"/>
          <w:i/>
          <w:color w:val="000000"/>
          <w:sz w:val="21"/>
          <w:szCs w:val="21"/>
          <w:lang w:val="en-US" w:eastAsia="ru-RU"/>
        </w:rPr>
        <w:t xml:space="preserve">  </w:t>
      </w:r>
    </w:p>
    <w:p w14:paraId="4F00F09D" w14:textId="77777777" w:rsidR="001A36C0" w:rsidRPr="00A11496"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A11496">
        <w:rPr>
          <w:rFonts w:ascii="Times New Roman" w:eastAsia="DengXian Light" w:hAnsi="Times New Roman" w:cs="Times New Roman"/>
          <w:i/>
          <w:color w:val="000000"/>
          <w:sz w:val="21"/>
          <w:szCs w:val="21"/>
          <w:lang w:val="en-US" w:eastAsia="ru-RU"/>
        </w:rPr>
        <w:t xml:space="preserve"> </w:t>
      </w:r>
    </w:p>
    <w:p w14:paraId="721B8C60"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b/>
          <w:i/>
          <w:color w:val="000000"/>
          <w:sz w:val="21"/>
          <w:szCs w:val="21"/>
          <w:lang w:eastAsia="ru-RU"/>
        </w:rPr>
      </w:pPr>
      <w:r w:rsidRPr="001A36C0">
        <w:rPr>
          <w:rFonts w:ascii="Times New Roman" w:eastAsia="DengXian Light" w:hAnsi="Times New Roman" w:cs="Times New Roman"/>
          <w:b/>
          <w:i/>
          <w:color w:val="000000"/>
          <w:sz w:val="21"/>
          <w:szCs w:val="21"/>
          <w:lang w:eastAsia="ru-RU"/>
        </w:rPr>
        <w:t xml:space="preserve">Научный руководитель: </w:t>
      </w:r>
    </w:p>
    <w:p w14:paraId="25E53ACF"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b/>
          <w:i/>
          <w:color w:val="000000"/>
          <w:sz w:val="21"/>
          <w:szCs w:val="21"/>
          <w:lang w:eastAsia="ru-RU"/>
        </w:rPr>
      </w:pPr>
      <w:r w:rsidRPr="001A36C0">
        <w:rPr>
          <w:rFonts w:ascii="Times New Roman" w:eastAsia="DengXian Light" w:hAnsi="Times New Roman" w:cs="Times New Roman"/>
          <w:b/>
          <w:i/>
          <w:color w:val="000000"/>
          <w:sz w:val="21"/>
          <w:szCs w:val="21"/>
          <w:lang w:eastAsia="ru-RU"/>
        </w:rPr>
        <w:t>Васкевич Т.В.,</w:t>
      </w:r>
    </w:p>
    <w:p w14:paraId="660DDB75" w14:textId="6CE601BB"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 xml:space="preserve">  доцент, к.п.н,</w:t>
      </w:r>
    </w:p>
    <w:p w14:paraId="3CA9038D"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 xml:space="preserve">Финансовый университет при Правительстве РФ, </w:t>
      </w:r>
    </w:p>
    <w:p w14:paraId="3AFA0F37"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 xml:space="preserve">г. Краснодар, Россия </w:t>
      </w:r>
    </w:p>
    <w:p w14:paraId="26268667" w14:textId="77777777" w:rsidR="001A36C0" w:rsidRPr="001A36C0" w:rsidRDefault="001A36C0" w:rsidP="001A36C0">
      <w:pPr>
        <w:keepLines/>
        <w:widowControl w:val="0"/>
        <w:spacing w:after="0" w:line="240" w:lineRule="auto"/>
        <w:contextualSpacing/>
        <w:jc w:val="right"/>
        <w:outlineLvl w:val="0"/>
        <w:rPr>
          <w:rFonts w:ascii="Times New Roman" w:eastAsia="DengXian Light" w:hAnsi="Times New Roman" w:cs="Times New Roman"/>
          <w:i/>
          <w:color w:val="000000"/>
          <w:sz w:val="21"/>
          <w:szCs w:val="21"/>
          <w:lang w:eastAsia="ru-RU"/>
        </w:rPr>
      </w:pPr>
      <w:r w:rsidRPr="001A36C0">
        <w:rPr>
          <w:rFonts w:ascii="Times New Roman" w:eastAsia="DengXian Light" w:hAnsi="Times New Roman" w:cs="Times New Roman"/>
          <w:i/>
          <w:color w:val="000000"/>
          <w:sz w:val="21"/>
          <w:szCs w:val="21"/>
          <w:lang w:eastAsia="ru-RU"/>
        </w:rPr>
        <w:t>е-</w:t>
      </w:r>
      <w:r w:rsidRPr="001A36C0">
        <w:rPr>
          <w:rFonts w:ascii="Times New Roman" w:eastAsia="DengXian Light" w:hAnsi="Times New Roman" w:cs="Times New Roman"/>
          <w:i/>
          <w:color w:val="000000"/>
          <w:sz w:val="21"/>
          <w:szCs w:val="21"/>
          <w:lang w:val="en-US" w:eastAsia="ru-RU"/>
        </w:rPr>
        <w:t>mail</w:t>
      </w:r>
      <w:r w:rsidRPr="001A36C0">
        <w:rPr>
          <w:rFonts w:ascii="Times New Roman" w:eastAsia="DengXian Light" w:hAnsi="Times New Roman" w:cs="Times New Roman"/>
          <w:i/>
          <w:color w:val="000000"/>
          <w:sz w:val="21"/>
          <w:szCs w:val="21"/>
          <w:lang w:eastAsia="ru-RU"/>
        </w:rPr>
        <w:t>:</w:t>
      </w:r>
      <w:r w:rsidRPr="001A36C0">
        <w:rPr>
          <w:rFonts w:ascii="Times New Roman" w:eastAsia="Times New Roman" w:hAnsi="Times New Roman" w:cs="Times New Roman"/>
          <w:i/>
          <w:color w:val="000000"/>
          <w:sz w:val="21"/>
          <w:szCs w:val="21"/>
          <w:lang w:eastAsia="ru-RU"/>
        </w:rPr>
        <w:t xml:space="preserve"> </w:t>
      </w:r>
      <w:r w:rsidRPr="001A36C0">
        <w:rPr>
          <w:rFonts w:ascii="Times New Roman" w:eastAsia="Times New Roman" w:hAnsi="Times New Roman" w:cs="Times New Roman"/>
          <w:i/>
          <w:color w:val="0000FF"/>
          <w:sz w:val="21"/>
          <w:szCs w:val="21"/>
          <w:u w:val="single" w:color="0000FF"/>
          <w:lang w:val="en-US" w:eastAsia="ru-RU"/>
        </w:rPr>
        <w:t>tatyana</w:t>
      </w:r>
      <w:r w:rsidRPr="001A36C0">
        <w:rPr>
          <w:rFonts w:ascii="Times New Roman" w:eastAsia="Times New Roman" w:hAnsi="Times New Roman" w:cs="Times New Roman"/>
          <w:i/>
          <w:color w:val="0000FF"/>
          <w:sz w:val="21"/>
          <w:szCs w:val="21"/>
          <w:u w:val="single" w:color="0000FF"/>
          <w:lang w:eastAsia="ru-RU"/>
        </w:rPr>
        <w:t>_</w:t>
      </w:r>
      <w:r w:rsidRPr="001A36C0">
        <w:rPr>
          <w:rFonts w:ascii="Times New Roman" w:eastAsia="Times New Roman" w:hAnsi="Times New Roman" w:cs="Times New Roman"/>
          <w:i/>
          <w:color w:val="0000FF"/>
          <w:sz w:val="21"/>
          <w:szCs w:val="21"/>
          <w:u w:val="single" w:color="0000FF"/>
          <w:lang w:val="en-US" w:eastAsia="ru-RU"/>
        </w:rPr>
        <w:t>vaskevic</w:t>
      </w:r>
      <w:r w:rsidRPr="001A36C0">
        <w:rPr>
          <w:rFonts w:ascii="Times New Roman" w:eastAsia="Times New Roman" w:hAnsi="Times New Roman" w:cs="Times New Roman"/>
          <w:i/>
          <w:color w:val="0000FF"/>
          <w:sz w:val="21"/>
          <w:szCs w:val="21"/>
          <w:u w:val="single" w:color="0000FF"/>
          <w:lang w:eastAsia="ru-RU"/>
        </w:rPr>
        <w:t>@</w:t>
      </w:r>
      <w:r w:rsidRPr="001A36C0">
        <w:rPr>
          <w:rFonts w:ascii="Times New Roman" w:eastAsia="Times New Roman" w:hAnsi="Times New Roman" w:cs="Times New Roman"/>
          <w:i/>
          <w:color w:val="0000FF"/>
          <w:sz w:val="21"/>
          <w:szCs w:val="21"/>
          <w:u w:val="single" w:color="0000FF"/>
          <w:lang w:val="en-US" w:eastAsia="ru-RU"/>
        </w:rPr>
        <w:t>mail</w:t>
      </w:r>
      <w:r w:rsidRPr="001A36C0">
        <w:rPr>
          <w:rFonts w:ascii="Times New Roman" w:eastAsia="Times New Roman" w:hAnsi="Times New Roman" w:cs="Times New Roman"/>
          <w:i/>
          <w:color w:val="0000FF"/>
          <w:sz w:val="21"/>
          <w:szCs w:val="21"/>
          <w:u w:val="single" w:color="0000FF"/>
          <w:lang w:eastAsia="ru-RU"/>
        </w:rPr>
        <w:t>.</w:t>
      </w:r>
      <w:r w:rsidRPr="001A36C0">
        <w:rPr>
          <w:rFonts w:ascii="Times New Roman" w:eastAsia="Times New Roman" w:hAnsi="Times New Roman" w:cs="Times New Roman"/>
          <w:i/>
          <w:color w:val="0000FF"/>
          <w:sz w:val="21"/>
          <w:szCs w:val="21"/>
          <w:u w:val="single" w:color="0000FF"/>
          <w:lang w:val="en-US" w:eastAsia="ru-RU"/>
        </w:rPr>
        <w:t>ru</w:t>
      </w:r>
    </w:p>
    <w:p w14:paraId="2EFED398" w14:textId="77777777" w:rsidR="001A36C0" w:rsidRPr="001A36C0" w:rsidRDefault="001A36C0" w:rsidP="001A36C0">
      <w:pPr>
        <w:keepLines/>
        <w:widowControl w:val="0"/>
        <w:spacing w:after="0" w:line="240" w:lineRule="auto"/>
        <w:ind w:left="1001" w:right="989" w:hanging="1061"/>
        <w:contextualSpacing/>
        <w:rPr>
          <w:rFonts w:ascii="Times New Roman" w:eastAsia="Times New Roman" w:hAnsi="Times New Roman" w:cs="Times New Roman"/>
          <w:b/>
          <w:bCs/>
          <w:color w:val="000000"/>
          <w:sz w:val="21"/>
          <w:szCs w:val="21"/>
          <w14:ligatures w14:val="standardContextual"/>
        </w:rPr>
      </w:pPr>
    </w:p>
    <w:p w14:paraId="01082E36" w14:textId="77777777" w:rsidR="001A36C0" w:rsidRPr="001A36C0" w:rsidRDefault="001A36C0" w:rsidP="001A36C0">
      <w:pPr>
        <w:keepLines/>
        <w:widowControl w:val="0"/>
        <w:spacing w:after="0" w:line="240" w:lineRule="auto"/>
        <w:ind w:left="1001" w:right="989" w:hanging="1061"/>
        <w:contextualSpacing/>
        <w:jc w:val="center"/>
        <w:rPr>
          <w:rFonts w:ascii="Times New Roman" w:eastAsia="Times New Roman" w:hAnsi="Times New Roman" w:cs="Times New Roman"/>
          <w:b/>
          <w:bCs/>
          <w:color w:val="000000"/>
          <w:sz w:val="21"/>
          <w:szCs w:val="21"/>
          <w14:ligatures w14:val="standardContextual"/>
        </w:rPr>
      </w:pPr>
      <w:r w:rsidRPr="001A36C0">
        <w:rPr>
          <w:rFonts w:ascii="Times New Roman" w:eastAsia="Times New Roman" w:hAnsi="Times New Roman" w:cs="Times New Roman"/>
          <w:b/>
          <w:bCs/>
          <w:color w:val="000000"/>
          <w:sz w:val="21"/>
          <w:szCs w:val="21"/>
          <w14:ligatures w14:val="standardContextual"/>
        </w:rPr>
        <w:t>Информационная безопасность автоматизированных систем управления в промышленном сегменте</w:t>
      </w:r>
    </w:p>
    <w:p w14:paraId="31E185BD" w14:textId="77777777" w:rsidR="001A36C0" w:rsidRPr="001A36C0" w:rsidRDefault="001A36C0" w:rsidP="001A36C0">
      <w:pPr>
        <w:keepLines/>
        <w:spacing w:after="0" w:line="240" w:lineRule="auto"/>
        <w:ind w:left="1134" w:right="1134" w:firstLine="1060"/>
        <w:contextualSpacing/>
        <w:jc w:val="center"/>
        <w:rPr>
          <w:rFonts w:ascii="Times New Roman" w:eastAsia="Times New Roman" w:hAnsi="Times New Roman" w:cs="Times New Roman"/>
          <w:b/>
          <w:bCs/>
          <w:color w:val="000000"/>
          <w:sz w:val="21"/>
          <w:szCs w:val="21"/>
          <w14:ligatures w14:val="standardContextual"/>
        </w:rPr>
      </w:pPr>
    </w:p>
    <w:p w14:paraId="33D47F60" w14:textId="77777777" w:rsidR="001A36C0" w:rsidRPr="001A36C0" w:rsidRDefault="001A36C0" w:rsidP="001A36C0">
      <w:pPr>
        <w:keepLines/>
        <w:spacing w:after="0" w:line="240" w:lineRule="auto"/>
        <w:ind w:left="-57" w:right="102" w:firstLine="566"/>
        <w:contextualSpacing/>
        <w:jc w:val="both"/>
        <w:rPr>
          <w:rFonts w:ascii="Calibri" w:eastAsia="Calibri" w:hAnsi="Calibri" w:cs="Times New Roman"/>
          <w:sz w:val="21"/>
          <w:szCs w:val="21"/>
          <w14:ligatures w14:val="standardContextual"/>
        </w:rPr>
      </w:pPr>
      <w:r w:rsidRPr="001A36C0">
        <w:rPr>
          <w:rFonts w:ascii="Times New Roman" w:eastAsia="Times New Roman" w:hAnsi="Times New Roman" w:cs="Times New Roman"/>
          <w:b/>
          <w:color w:val="000000"/>
          <w:sz w:val="21"/>
          <w:szCs w:val="21"/>
          <w14:ligatures w14:val="standardContextual"/>
        </w:rPr>
        <w:t xml:space="preserve">Аннотация: </w:t>
      </w:r>
      <w:r w:rsidRPr="001A36C0">
        <w:rPr>
          <w:rFonts w:ascii="Times New Roman" w:eastAsia="Times New Roman" w:hAnsi="Times New Roman" w:cs="Times New Roman"/>
          <w:color w:val="000000"/>
          <w:sz w:val="21"/>
          <w:szCs w:val="21"/>
          <w14:ligatures w14:val="standardContextual"/>
        </w:rPr>
        <w:t>В статье ставится задача поиска путей обеспечения информационной безопасностью автоматизированные системы управления технологическими процессами (АСУ ТП). Была проведена научно-исследовательская работа, в результате которой представлены методы применения информационной безопасности АСУ ТП в промышленных предприятиях.</w:t>
      </w:r>
    </w:p>
    <w:p w14:paraId="7A275170" w14:textId="77777777" w:rsidR="001A36C0" w:rsidRPr="001A36C0" w:rsidRDefault="001A36C0" w:rsidP="001A36C0">
      <w:pPr>
        <w:keepLines/>
        <w:spacing w:after="0" w:line="240" w:lineRule="auto"/>
        <w:ind w:left="106" w:right="102" w:firstLine="566"/>
        <w:contextualSpacing/>
        <w:jc w:val="both"/>
        <w:rPr>
          <w:rFonts w:ascii="Calibri" w:eastAsia="Calibri" w:hAnsi="Calibri" w:cs="Times New Roman"/>
          <w:sz w:val="21"/>
          <w:szCs w:val="21"/>
          <w14:ligatures w14:val="standardContextual"/>
        </w:rPr>
      </w:pPr>
      <w:r w:rsidRPr="001A36C0">
        <w:rPr>
          <w:rFonts w:ascii="Times New Roman" w:eastAsia="Times New Roman" w:hAnsi="Times New Roman" w:cs="Times New Roman"/>
          <w:b/>
          <w:color w:val="000000"/>
          <w:sz w:val="21"/>
          <w:szCs w:val="21"/>
          <w14:ligatures w14:val="standardContextual"/>
        </w:rPr>
        <w:t xml:space="preserve">Ключевые слова: </w:t>
      </w:r>
      <w:r w:rsidRPr="001A36C0">
        <w:rPr>
          <w:rFonts w:ascii="Times New Roman" w:eastAsia="Times New Roman" w:hAnsi="Times New Roman" w:cs="Times New Roman"/>
          <w:bCs/>
          <w:color w:val="000000"/>
          <w:sz w:val="21"/>
          <w:szCs w:val="21"/>
          <w14:ligatures w14:val="standardContextual"/>
        </w:rPr>
        <w:t>информационная безопасность, автоматизированные системы управления, технологические процессы, промышленные сети</w:t>
      </w:r>
      <w:r w:rsidRPr="001A36C0">
        <w:rPr>
          <w:rFonts w:ascii="Times New Roman" w:eastAsia="Times New Roman" w:hAnsi="Times New Roman" w:cs="Times New Roman"/>
          <w:color w:val="000000"/>
          <w:sz w:val="21"/>
          <w:szCs w:val="21"/>
          <w14:ligatures w14:val="standardContextual"/>
        </w:rPr>
        <w:t>.</w:t>
      </w:r>
    </w:p>
    <w:p w14:paraId="516C29CA"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b/>
          <w:i/>
          <w:color w:val="000000"/>
          <w:sz w:val="21"/>
          <w:szCs w:val="21"/>
          <w:lang w:val="en-US" w:eastAsia="ru-RU"/>
        </w:rPr>
      </w:pPr>
      <w:r w:rsidRPr="001A36C0">
        <w:rPr>
          <w:rFonts w:ascii="Times New Roman" w:eastAsia="DengXian Light" w:hAnsi="Times New Roman" w:cs="Times New Roman"/>
          <w:b/>
          <w:i/>
          <w:color w:val="000000"/>
          <w:sz w:val="21"/>
          <w:szCs w:val="21"/>
          <w:lang w:val="en-US" w:eastAsia="ru-RU"/>
        </w:rPr>
        <w:t>Fedus M.I.,</w:t>
      </w:r>
    </w:p>
    <w:p w14:paraId="3D8C026D"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3nd year student,</w:t>
      </w:r>
    </w:p>
    <w:p w14:paraId="3F45D37C" w14:textId="77777777" w:rsidR="001A36C0" w:rsidRPr="001A36C0" w:rsidRDefault="001A36C0" w:rsidP="001A36C0">
      <w:pPr>
        <w:keepNext/>
        <w:keepLines/>
        <w:spacing w:after="0" w:line="240" w:lineRule="auto"/>
        <w:contextualSpacing/>
        <w:jc w:val="right"/>
        <w:outlineLvl w:val="0"/>
        <w:rPr>
          <w:rFonts w:ascii="Times New Roman" w:eastAsia="Times New Roman"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Financial University under the Government of the Russian Federation</w:t>
      </w:r>
    </w:p>
    <w:p w14:paraId="74CF0540"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 xml:space="preserve">Krasnodar, Russia </w:t>
      </w:r>
    </w:p>
    <w:p w14:paraId="450953D9"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eastAsia="ru-RU"/>
        </w:rPr>
        <w:t>е</w:t>
      </w:r>
      <w:r w:rsidRPr="001A36C0">
        <w:rPr>
          <w:rFonts w:ascii="Times New Roman" w:eastAsia="Times New Roman" w:hAnsi="Times New Roman" w:cs="Times New Roman"/>
          <w:i/>
          <w:color w:val="000000"/>
          <w:sz w:val="21"/>
          <w:szCs w:val="21"/>
          <w:lang w:val="en-US" w:eastAsia="ru-RU"/>
        </w:rPr>
        <w:t xml:space="preserve">-mail: </w:t>
      </w:r>
      <w:r w:rsidRPr="001A36C0">
        <w:rPr>
          <w:rFonts w:ascii="Times New Roman" w:eastAsia="Times New Roman" w:hAnsi="Times New Roman" w:cs="Times New Roman"/>
          <w:i/>
          <w:color w:val="0000FF"/>
          <w:sz w:val="21"/>
          <w:szCs w:val="21"/>
          <w:u w:val="single" w:color="0000FF"/>
          <w:lang w:val="en-US" w:eastAsia="ru-RU"/>
        </w:rPr>
        <w:t>maksim.fedus95@bk.ru</w:t>
      </w:r>
      <w:r w:rsidRPr="001A36C0">
        <w:rPr>
          <w:rFonts w:ascii="Times New Roman" w:eastAsia="Times New Roman" w:hAnsi="Times New Roman" w:cs="Times New Roman"/>
          <w:i/>
          <w:color w:val="000000"/>
          <w:sz w:val="21"/>
          <w:szCs w:val="21"/>
          <w:lang w:val="en-US" w:eastAsia="ru-RU"/>
        </w:rPr>
        <w:t xml:space="preserve">  </w:t>
      </w:r>
    </w:p>
    <w:p w14:paraId="11E27F61"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 xml:space="preserve"> </w:t>
      </w:r>
    </w:p>
    <w:p w14:paraId="393D7405" w14:textId="77777777" w:rsidR="001A36C0" w:rsidRPr="001A36C0" w:rsidRDefault="001A36C0" w:rsidP="001A36C0">
      <w:pPr>
        <w:keepNext/>
        <w:keepLines/>
        <w:spacing w:after="0" w:line="240" w:lineRule="auto"/>
        <w:contextualSpacing/>
        <w:jc w:val="right"/>
        <w:outlineLvl w:val="0"/>
        <w:rPr>
          <w:rFonts w:ascii="Times New Roman" w:eastAsia="Times New Roman" w:hAnsi="Times New Roman" w:cs="Times New Roman"/>
          <w:b/>
          <w:i/>
          <w:color w:val="000000"/>
          <w:sz w:val="21"/>
          <w:szCs w:val="21"/>
          <w:lang w:val="en-US" w:eastAsia="ru-RU"/>
        </w:rPr>
      </w:pPr>
      <w:r w:rsidRPr="001A36C0">
        <w:rPr>
          <w:rFonts w:ascii="Times New Roman" w:eastAsia="Times New Roman" w:hAnsi="Times New Roman" w:cs="Times New Roman"/>
          <w:b/>
          <w:i/>
          <w:color w:val="000000"/>
          <w:sz w:val="21"/>
          <w:szCs w:val="21"/>
          <w:lang w:val="en-US" w:eastAsia="ru-RU"/>
        </w:rPr>
        <w:t>Scientific Adviser:</w:t>
      </w:r>
    </w:p>
    <w:p w14:paraId="0598BE1C"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b/>
          <w:i/>
          <w:color w:val="000000"/>
          <w:sz w:val="21"/>
          <w:szCs w:val="21"/>
          <w:lang w:val="en-US" w:eastAsia="ru-RU"/>
        </w:rPr>
      </w:pPr>
      <w:r w:rsidRPr="001A36C0">
        <w:rPr>
          <w:rFonts w:ascii="Times New Roman" w:eastAsia="DengXian Light" w:hAnsi="Times New Roman" w:cs="Times New Roman"/>
          <w:b/>
          <w:i/>
          <w:color w:val="000000"/>
          <w:sz w:val="21"/>
          <w:szCs w:val="21"/>
          <w:lang w:val="en-US" w:eastAsia="ru-RU"/>
        </w:rPr>
        <w:t>Vaskevich T.V.,</w:t>
      </w:r>
    </w:p>
    <w:p w14:paraId="4FC1E6ED"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DengXian Light" w:hAnsi="Times New Roman" w:cs="Times New Roman"/>
          <w:i/>
          <w:color w:val="000000"/>
          <w:sz w:val="21"/>
          <w:szCs w:val="21"/>
          <w:lang w:val="en-US" w:eastAsia="ru-RU"/>
        </w:rPr>
        <w:t>Associate Professor,</w:t>
      </w:r>
      <w:r w:rsidRPr="001A36C0">
        <w:rPr>
          <w:rFonts w:ascii="Times New Roman" w:eastAsia="Times New Roman" w:hAnsi="Times New Roman" w:cs="Times New Roman"/>
          <w:i/>
          <w:color w:val="000000"/>
          <w:sz w:val="21"/>
          <w:szCs w:val="21"/>
          <w:lang w:val="en-US" w:eastAsia="ru-RU"/>
        </w:rPr>
        <w:t xml:space="preserve"> </w:t>
      </w:r>
    </w:p>
    <w:p w14:paraId="5CC4F91F" w14:textId="77777777" w:rsidR="001A36C0" w:rsidRPr="001A36C0" w:rsidRDefault="001A36C0" w:rsidP="001A36C0">
      <w:pPr>
        <w:keepNext/>
        <w:keepLines/>
        <w:spacing w:after="0" w:line="240" w:lineRule="auto"/>
        <w:contextualSpacing/>
        <w:jc w:val="right"/>
        <w:outlineLvl w:val="0"/>
        <w:rPr>
          <w:rFonts w:ascii="Times New Roman" w:eastAsia="Times New Roman"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Financial University under the Government of the Russian Federation,</w:t>
      </w:r>
    </w:p>
    <w:p w14:paraId="0B96111A"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val="en-US" w:eastAsia="ru-RU"/>
        </w:rPr>
        <w:t xml:space="preserve">Krasnodar, Russia </w:t>
      </w:r>
    </w:p>
    <w:p w14:paraId="171AC912" w14:textId="77777777" w:rsidR="001A36C0" w:rsidRPr="001A36C0" w:rsidRDefault="001A36C0" w:rsidP="001A36C0">
      <w:pPr>
        <w:keepNext/>
        <w:keepLines/>
        <w:spacing w:after="0" w:line="240" w:lineRule="auto"/>
        <w:contextualSpacing/>
        <w:jc w:val="right"/>
        <w:outlineLvl w:val="0"/>
        <w:rPr>
          <w:rFonts w:ascii="Times New Roman" w:eastAsia="DengXian Light" w:hAnsi="Times New Roman" w:cs="Times New Roman"/>
          <w:i/>
          <w:color w:val="000000"/>
          <w:sz w:val="21"/>
          <w:szCs w:val="21"/>
          <w:lang w:val="en-US" w:eastAsia="ru-RU"/>
        </w:rPr>
      </w:pPr>
      <w:r w:rsidRPr="001A36C0">
        <w:rPr>
          <w:rFonts w:ascii="Times New Roman" w:eastAsia="Times New Roman" w:hAnsi="Times New Roman" w:cs="Times New Roman"/>
          <w:i/>
          <w:color w:val="000000"/>
          <w:sz w:val="21"/>
          <w:szCs w:val="21"/>
          <w:lang w:eastAsia="ru-RU"/>
        </w:rPr>
        <w:t>е</w:t>
      </w:r>
      <w:r w:rsidRPr="001A36C0">
        <w:rPr>
          <w:rFonts w:ascii="Times New Roman" w:eastAsia="Times New Roman" w:hAnsi="Times New Roman" w:cs="Times New Roman"/>
          <w:i/>
          <w:color w:val="000000"/>
          <w:sz w:val="21"/>
          <w:szCs w:val="21"/>
          <w:lang w:val="en-US" w:eastAsia="ru-RU"/>
        </w:rPr>
        <w:t xml:space="preserve">-mail: </w:t>
      </w:r>
      <w:r w:rsidRPr="001A36C0">
        <w:rPr>
          <w:rFonts w:ascii="Times New Roman" w:eastAsia="Times New Roman" w:hAnsi="Times New Roman" w:cs="Times New Roman"/>
          <w:i/>
          <w:color w:val="0000FF"/>
          <w:sz w:val="21"/>
          <w:szCs w:val="21"/>
          <w:u w:val="single" w:color="0000FF"/>
          <w:lang w:val="en-US" w:eastAsia="ru-RU"/>
        </w:rPr>
        <w:t>tatyana_vaskevic@mail.ru</w:t>
      </w:r>
    </w:p>
    <w:p w14:paraId="79A07AF9" w14:textId="77777777" w:rsidR="001A36C0" w:rsidRPr="001A36C0" w:rsidRDefault="001A36C0" w:rsidP="001A36C0">
      <w:pPr>
        <w:keepLines/>
        <w:spacing w:after="0" w:line="240" w:lineRule="auto"/>
        <w:contextualSpacing/>
        <w:jc w:val="center"/>
        <w:rPr>
          <w:rFonts w:ascii="Calibri" w:eastAsia="Calibri" w:hAnsi="Calibri" w:cs="Times New Roman"/>
          <w:kern w:val="2"/>
          <w:sz w:val="21"/>
          <w:szCs w:val="21"/>
          <w:lang w:val="en-US"/>
          <w14:ligatures w14:val="standardContextual"/>
        </w:rPr>
      </w:pPr>
    </w:p>
    <w:p w14:paraId="1C9A8E95" w14:textId="77777777" w:rsidR="001A36C0" w:rsidRPr="001A36C0" w:rsidRDefault="001A36C0" w:rsidP="001A36C0">
      <w:pPr>
        <w:keepLines/>
        <w:spacing w:after="0" w:line="240" w:lineRule="auto"/>
        <w:contextualSpacing/>
        <w:rPr>
          <w:rFonts w:ascii="Calibri" w:eastAsia="Calibri" w:hAnsi="Calibri" w:cs="Times New Roman"/>
          <w:sz w:val="21"/>
          <w:szCs w:val="21"/>
          <w:lang w:val="en-US"/>
          <w14:ligatures w14:val="standardContextual"/>
        </w:rPr>
      </w:pPr>
    </w:p>
    <w:p w14:paraId="705CA1CC" w14:textId="77777777" w:rsidR="001A36C0" w:rsidRPr="001A36C0" w:rsidRDefault="001A36C0" w:rsidP="001A36C0">
      <w:pPr>
        <w:keepLines/>
        <w:spacing w:after="0" w:line="240" w:lineRule="auto"/>
        <w:contextualSpacing/>
        <w:jc w:val="center"/>
        <w:rPr>
          <w:rFonts w:ascii="Times New Roman" w:eastAsia="Times New Roman" w:hAnsi="Times New Roman" w:cs="Times New Roman"/>
          <w:b/>
          <w:bCs/>
          <w:color w:val="000000"/>
          <w:sz w:val="21"/>
          <w:szCs w:val="21"/>
          <w:lang w:val="en-US"/>
          <w14:ligatures w14:val="standardContextual"/>
        </w:rPr>
      </w:pPr>
      <w:r w:rsidRPr="001A36C0">
        <w:rPr>
          <w:rFonts w:ascii="Times New Roman" w:eastAsia="Times New Roman" w:hAnsi="Times New Roman" w:cs="Times New Roman"/>
          <w:b/>
          <w:color w:val="000000"/>
          <w:sz w:val="21"/>
          <w:szCs w:val="21"/>
          <w:lang w:val="en-US"/>
          <w14:ligatures w14:val="standardContextual"/>
        </w:rPr>
        <w:t>The basic principles of information interaction in IT companies.</w:t>
      </w:r>
    </w:p>
    <w:p w14:paraId="2CB80DBD" w14:textId="77777777" w:rsidR="001A36C0" w:rsidRPr="001A36C0" w:rsidRDefault="001A36C0" w:rsidP="001A36C0">
      <w:pPr>
        <w:keepLines/>
        <w:spacing w:after="0" w:line="240" w:lineRule="auto"/>
        <w:contextualSpacing/>
        <w:jc w:val="center"/>
        <w:rPr>
          <w:rFonts w:ascii="Times New Roman" w:eastAsia="Times New Roman" w:hAnsi="Times New Roman" w:cs="Times New Roman"/>
          <w:b/>
          <w:bCs/>
          <w:color w:val="000000"/>
          <w:sz w:val="21"/>
          <w:szCs w:val="21"/>
          <w:lang w:val="en-US"/>
          <w14:ligatures w14:val="standardContextual"/>
        </w:rPr>
      </w:pPr>
    </w:p>
    <w:p w14:paraId="2BF3E49A" w14:textId="77777777" w:rsidR="001A36C0" w:rsidRPr="001A36C0" w:rsidRDefault="001A36C0" w:rsidP="001A36C0">
      <w:pPr>
        <w:keepLines/>
        <w:spacing w:after="0" w:line="240" w:lineRule="auto"/>
        <w:ind w:left="106" w:right="103" w:firstLine="566"/>
        <w:contextualSpacing/>
        <w:jc w:val="both"/>
        <w:rPr>
          <w:rFonts w:ascii="Calibri" w:eastAsia="Calibri" w:hAnsi="Calibri" w:cs="Times New Roman"/>
          <w:bCs/>
          <w:sz w:val="21"/>
          <w:szCs w:val="21"/>
          <w:lang w:val="en-US"/>
          <w14:ligatures w14:val="standardContextual"/>
        </w:rPr>
      </w:pPr>
      <w:r w:rsidRPr="001A36C0">
        <w:rPr>
          <w:rFonts w:ascii="Times New Roman" w:eastAsia="Times New Roman" w:hAnsi="Times New Roman" w:cs="Times New Roman"/>
          <w:b/>
          <w:color w:val="000000"/>
          <w:sz w:val="21"/>
          <w:szCs w:val="21"/>
          <w:lang w:val="en-US"/>
          <w14:ligatures w14:val="standardContextual"/>
        </w:rPr>
        <w:t xml:space="preserve">Abstract: </w:t>
      </w:r>
      <w:r w:rsidRPr="001A36C0">
        <w:rPr>
          <w:rFonts w:ascii="Times New Roman" w:eastAsia="Times New Roman" w:hAnsi="Times New Roman" w:cs="Times New Roman"/>
          <w:bCs/>
          <w:color w:val="000000"/>
          <w:sz w:val="21"/>
          <w:szCs w:val="21"/>
          <w:lang w:val="en-US"/>
          <w14:ligatures w14:val="standardContextual"/>
        </w:rPr>
        <w:t>The article sets the task of finding ways to ensure information security of automated process control systems (automated process control systems). A research work was carried out, as a result of which methods of applying information security of automated process control systems in industrial enterprises were presented.</w:t>
      </w:r>
    </w:p>
    <w:p w14:paraId="4695B2B9" w14:textId="77777777" w:rsidR="001A36C0" w:rsidRPr="001A36C0" w:rsidRDefault="001A36C0" w:rsidP="001A36C0">
      <w:pPr>
        <w:keepLines/>
        <w:spacing w:after="0" w:line="240" w:lineRule="auto"/>
        <w:ind w:firstLine="709"/>
        <w:contextualSpacing/>
        <w:jc w:val="both"/>
        <w:rPr>
          <w:rFonts w:ascii="Times New Roman" w:eastAsia="Times New Roman" w:hAnsi="Times New Roman" w:cs="Times New Roman"/>
          <w:bCs/>
          <w:color w:val="000000"/>
          <w:sz w:val="21"/>
          <w:szCs w:val="21"/>
          <w:lang w:val="en-US"/>
          <w14:ligatures w14:val="standardContextual"/>
        </w:rPr>
      </w:pPr>
      <w:r w:rsidRPr="001A36C0">
        <w:rPr>
          <w:rFonts w:ascii="Times New Roman" w:eastAsia="Times New Roman" w:hAnsi="Times New Roman" w:cs="Times New Roman"/>
          <w:b/>
          <w:color w:val="000000"/>
          <w:sz w:val="21"/>
          <w:szCs w:val="21"/>
          <w:lang w:val="en-US"/>
          <w14:ligatures w14:val="standardContextual"/>
        </w:rPr>
        <w:t xml:space="preserve">Keywords: </w:t>
      </w:r>
      <w:r w:rsidRPr="001A36C0">
        <w:rPr>
          <w:rFonts w:ascii="Times New Roman" w:eastAsia="Times New Roman" w:hAnsi="Times New Roman" w:cs="Times New Roman"/>
          <w:bCs/>
          <w:color w:val="000000"/>
          <w:sz w:val="21"/>
          <w:szCs w:val="21"/>
          <w:lang w:val="en-US"/>
          <w14:ligatures w14:val="standardContextual"/>
        </w:rPr>
        <w:t>information security, automated control systems, technological processes, industrial networks.</w:t>
      </w:r>
    </w:p>
    <w:p w14:paraId="73EE9517" w14:textId="77777777" w:rsidR="001A36C0" w:rsidRPr="00654CF2" w:rsidRDefault="001A36C0" w:rsidP="001A36C0">
      <w:pPr>
        <w:spacing w:line="240" w:lineRule="auto"/>
        <w:ind w:firstLine="709"/>
        <w:jc w:val="both"/>
        <w:rPr>
          <w:rFonts w:ascii="Times New Roman" w:eastAsia="Calibri" w:hAnsi="Times New Roman" w:cs="Times New Roman"/>
          <w:sz w:val="32"/>
          <w:szCs w:val="32"/>
          <w:lang w:val="en-US"/>
          <w14:ligatures w14:val="standardContextual"/>
        </w:rPr>
      </w:pPr>
    </w:p>
    <w:p w14:paraId="77F647AF" w14:textId="75A271A4"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Внедрение АСУ ТП на производстве приводит к увеличению объема информации и возможным рискам ее утраты или несанкционированного раскрытия. Эти системы объединяют аппаратное, программное и техническое обеспечение для управления процессами производства. Оценка рисков несанкционированного доступа к таким системам на этапе проектирования является критически важной. Нарушения в работе этих систем, вызванные внешними или внутренними факторами, могут привести к сбоям или полной остановке производства, что может повлечь за собой не только </w:t>
      </w:r>
      <w:r w:rsidRPr="001A36C0">
        <w:rPr>
          <w:rFonts w:ascii="Times New Roman" w:eastAsia="Calibri" w:hAnsi="Times New Roman" w:cs="Times New Roman"/>
          <w:sz w:val="32"/>
          <w:szCs w:val="32"/>
          <w14:ligatures w14:val="standardContextual"/>
        </w:rPr>
        <w:lastRenderedPageBreak/>
        <w:t>финансовые потери, но и серьезные угрозы для окружающей среды и общества в целом, особенно на опасных производствах.</w:t>
      </w:r>
    </w:p>
    <w:p w14:paraId="3E28F4AB" w14:textId="7BBF0B05"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Существует мнение о том, что информационные системы на критических объектах промышленных предприятий всегда должны быть изолированы. Однако на практике случается, что интернет доступен в промышленных сетях. Современная промышленная сеть обычно включает в себя системы автоматизации технологических процессов и технологические подсети, которые могут быть связаны с общей сетью для обмена информацией</w:t>
      </w:r>
      <w:r w:rsidR="0098374B">
        <w:rPr>
          <w:rFonts w:ascii="Times New Roman" w:eastAsia="Calibri" w:hAnsi="Times New Roman" w:cs="Times New Roman"/>
          <w:sz w:val="32"/>
          <w:szCs w:val="32"/>
          <w14:ligatures w14:val="standardContextual"/>
        </w:rPr>
        <w:t xml:space="preserve"> </w:t>
      </w:r>
      <w:r w:rsidRPr="001A36C0">
        <w:rPr>
          <w:rFonts w:ascii="Times New Roman" w:eastAsia="Calibri" w:hAnsi="Times New Roman" w:cs="Times New Roman"/>
          <w:sz w:val="32"/>
          <w:szCs w:val="32"/>
          <w14:ligatures w14:val="standardContextual"/>
        </w:rPr>
        <w:t>[2]. Это может быть связано с необходимостью удаленной поддержки и доступа к программному обеспечению со стороны поставщика. Для обеспечения такого доступа могут использоваться как модемное подключение через телефонную линию, так и стандартное интернет-соединение.</w:t>
      </w:r>
    </w:p>
    <w:p w14:paraId="443F13C5"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Статистика показывает, что основные опасности для безопасности информации в сети связаны с внешними угрозами, такими как хакерские атаки или вирусы, а не с внутренними инцидентами. Тем не менее, стоит учитывать и внутренние риски, такие как поступки уволенных сотрудников или коррупция.</w:t>
      </w:r>
    </w:p>
    <w:p w14:paraId="42E649A1"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Один из самых часто встречающихся способов внешних атак заключается в использовании вредоносного программного кода, который посылается на почтовый адрес под видом какого-либо замаскированного файла, содержащего в себе ссылку, которая ведёт на фишинговый сайт, после чего взломщик получает доступ к управлению системой [1]. В связи с чем начинает свою загрузку ПО вредоносного характера. Это ПО берёт хэши паролей, применяет программу для подбора данных для входа и после этого взломщик, получив контроль над всеми техпроцессами, может наносить ущерб предприятию.</w:t>
      </w:r>
    </w:p>
    <w:p w14:paraId="17A36FE5"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Каждая организация, использующая автоматизированную систему управления технологическим процессом, должна иметь стратегию безопасности, которая будет состоять из документов, описывающих главные направления информационной безопасности в ней. Эти документы определяют, как будет осуществляться обеспечение безопасности и на что оно будет направлено, в зависимости от типа угрозы и её летальности [4].</w:t>
      </w:r>
    </w:p>
    <w:p w14:paraId="740865D3"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В нашей стране промышленным сетям обеспечивают безопасность и на правовом уровне, существует ряд законов направленных на регулирование этих процессов в строгом порядке. Также были установлены требования к защите подобных сетей, куда </w:t>
      </w:r>
      <w:r w:rsidRPr="001A36C0">
        <w:rPr>
          <w:rFonts w:ascii="Times New Roman" w:eastAsia="Calibri" w:hAnsi="Times New Roman" w:cs="Times New Roman"/>
          <w:sz w:val="32"/>
          <w:szCs w:val="32"/>
          <w14:ligatures w14:val="standardContextual"/>
        </w:rPr>
        <w:lastRenderedPageBreak/>
        <w:t>входит гарантирование доступности АСУ ТП, а также конфиденциальность и полнота данных в приказе ФСТЭК номер 31 от 14.03.14 г.</w:t>
      </w:r>
    </w:p>
    <w:p w14:paraId="0137545B"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Сегодня для обеспечения безопасности промышленных сетей используется подход сегментации или зонирования, который предполагает разделение сети на отдельные части с уникальными моделями угроз и методами защиты [3]. На уровне с контроллерами и исполнительными устройствами используются методы пассивной защиты, направленные против сбоев в работе устройств и технологических процессов. В демилитаризованной зоне, где находятся общедоступные сервисы, используются активные методы защиты для борьбы с вредным кодом. Цель демилитаризованной зоны заключается в минимизации урона, причиняемого атаками и улучшении уже существующих мер безопасности для локальных сетей [5]. Все решения по блокировкам атак лежат исключительно на администраторе системы, после того как проведётся анализ обнаруженных аномальных действий и подтвердится, что это атака извне. В некоторых случаях специалисту необходимо выйти во внешнюю сеть, для этого нужен брандмауэр (межсетевой экран) — отдельный сегмент, который регулирует потоки информации и их направление.</w:t>
      </w:r>
    </w:p>
    <w:p w14:paraId="42ABCE8C"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Межсетевой экран выполняет функцию контроля протоколов, размеров пакетов и времени передачи данных, обеспечивая безопасность промышленных сетей [7]. Демилитаризованная зона выступает важным звеном для защиты от внешних угроз, где активно защищает от проникновения вредоносных программ и злоумышленников. В области информационной безопасности промышленных предприятий важнейшую роль играют межсетевые экраны, которые регулируют доступ и обеспечивают разделение сетей.</w:t>
      </w:r>
    </w:p>
    <w:p w14:paraId="541FA022"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Межсетевые экраны следят за потоком данных в сети, принимая решения о разрешении или блокировке передачи информации в соответствии с установленными правилами безопасности [5]. Их главная цель — обеспечить защиту промышленного сегмента от вредных программ и злоумышленников, предотвращая возможные нарушения работы системы. На втором месте важности стоят специализированные средства безопасности для промышленных целей, способные анализировать различные протоколы и предугадывать возможные взломы на объектах промышленного типа [6]. Последней стадией являются инструменты, которые регулируют </w:t>
      </w:r>
      <w:r w:rsidRPr="001A36C0">
        <w:rPr>
          <w:rFonts w:ascii="Times New Roman" w:eastAsia="Calibri" w:hAnsi="Times New Roman" w:cs="Times New Roman"/>
          <w:sz w:val="32"/>
          <w:szCs w:val="32"/>
          <w14:ligatures w14:val="standardContextual"/>
        </w:rPr>
        <w:lastRenderedPageBreak/>
        <w:t>программы, точно безопасные для предприятия. Эти инструменты должны в случае прямой опасности разрешать запускать исключительно те программы, что находятся в их списке, куда входят и серверы баз данных и станции операторов, а также другие устройства. Эти инструменты ограничивают доступ к приложениям, которые не включены в белый список.</w:t>
      </w:r>
    </w:p>
    <w:p w14:paraId="5C4F2466"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Во всех типах сетей предприятия, огромную роль играет компетентность и образованность персонала в сфере безопасности. Аспект, который заранее сократит возможность взлома сети предприятия и поможет в противостоянии с внутренними угрозами заключается в анализе действий пользователей с повышенными привилегиями. У каждого сотрудника есть своя уникальная модель поведения, такая как скорость набора текста, предпочтительные приложения, время активности и другие параметры. Обнаруживая аномалии вовремя, можно предотвратить возможные угрозы.</w:t>
      </w:r>
    </w:p>
    <w:p w14:paraId="6334340B"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Для этого существует три способа для обнаружения несанкционированного входа. </w:t>
      </w:r>
    </w:p>
    <w:p w14:paraId="64BD85C7"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Распознавание аномальных сигнатур (характеристик) является основным методом, при котором защитная система сопоставляет эти сигнатуры с уже имеющимся у неё списком шаблонов для взлома и в случае подтверждения передаёт информацию оператору. Большой минус этого способа заключается в том, что малейшее изменение, расходящееся со списком системы, может обойти её, и взломщик останется в состоянии инкогнито.</w:t>
      </w:r>
    </w:p>
    <w:p w14:paraId="55C1FFD4"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Второй способ специализируется на выявлении этих самых сигнатур после анализа входных данных в течение определённого промежутка времени и сравнении с обычными запросами, характерными для предприятия, если выявится то, что действия не характерные для обычного использования, то в таком случае специалист получит отчёт об этом событии [8]. Проблема такого подхода в его лёгком обходе, взломщику ничего не мешает повторять из раза в раз одни и те же действия, чтобы система перестроилась под них, как будто они естественные, также не редки случаи, когда система срабатывала без причины. </w:t>
      </w:r>
    </w:p>
    <w:p w14:paraId="0E804E5F"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Стандарты протоколов являются плюсом этого способа и одновременно главной его частью, так как они в основе своей стабильные и специалист избавлен от надобности в их частом обновлении, но данный метод требует тщательного тестирования с </w:t>
      </w:r>
      <w:r w:rsidRPr="001A36C0">
        <w:rPr>
          <w:rFonts w:ascii="Times New Roman" w:eastAsia="Calibri" w:hAnsi="Times New Roman" w:cs="Times New Roman"/>
          <w:sz w:val="32"/>
          <w:szCs w:val="32"/>
          <w14:ligatures w14:val="standardContextual"/>
        </w:rPr>
        <w:lastRenderedPageBreak/>
        <w:t>выставленными настройками, потому что могут возникнуть проблемы с устройствами, имеющими иную версию протокола сети.</w:t>
      </w:r>
    </w:p>
    <w:p w14:paraId="6B4B4AA1"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Для эффективной работы с этими способами предприятие должно иметь инструменты для быстрого реагирования [8]. Они являются набором программ, которые должны помогать во время взломов. Этими инструментами должна пользоваться специальная группа людей, которые будут быстро устанавливать или наоборот опровергать факт мошенничества или взлома сети управления, а после и решать эту проблему в кратчайшие сроки. При обработке инцидентов важна скорость реагирования, поскольку успех в предотвращении атаки зависит от нее [5]. Поэтому необходимо определить, какие инциденты требуют нейтрализации в первую очередь, учитывая особенности предприятия.</w:t>
      </w:r>
    </w:p>
    <w:p w14:paraId="427B0490"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Предприятия, работающие в промышленном сегменте, должны обязательно обеспечивать информационную безопасность для автоматизированных систем управления, особенно, если их производство связано с вредными веществами, потому что при взломе процессов, связанных непосредственно с этими веществами, предприятие может понести не только колоссальные убытки, но и устроить катастрофу экологического характера.</w:t>
      </w:r>
    </w:p>
    <w:p w14:paraId="046AEEBE"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 xml:space="preserve"> Для обеспечения безопасности информации необходимо разработать стратегию и политику, которые учитывают связь между внутренними и внешними сетями. Важно применять средства безопасности, специально разработанные для промышленных секторов, такие как Modbus, DNP3, GOOSE, а также использовать лицензионные антивирусные программы и средства создания защищенной программной среды (Application Whitelisting). </w:t>
      </w:r>
    </w:p>
    <w:p w14:paraId="1555AE1E" w14:textId="77777777" w:rsidR="001A36C0" w:rsidRPr="001A36C0" w:rsidRDefault="001A36C0" w:rsidP="0098374B">
      <w:pPr>
        <w:spacing w:after="0" w:line="240" w:lineRule="auto"/>
        <w:ind w:firstLine="709"/>
        <w:jc w:val="both"/>
        <w:rPr>
          <w:rFonts w:ascii="Times New Roman" w:eastAsia="Calibri" w:hAnsi="Times New Roman" w:cs="Times New Roman"/>
          <w:sz w:val="32"/>
          <w:szCs w:val="32"/>
          <w14:ligatures w14:val="standardContextual"/>
        </w:rPr>
      </w:pPr>
      <w:r w:rsidRPr="001A36C0">
        <w:rPr>
          <w:rFonts w:ascii="Times New Roman" w:eastAsia="Calibri" w:hAnsi="Times New Roman" w:cs="Times New Roman"/>
          <w:sz w:val="32"/>
          <w:szCs w:val="32"/>
          <w14:ligatures w14:val="standardContextual"/>
        </w:rPr>
        <w:t>Результаты научно-исследовательской работы подтверждают, что информационная безопасность имеет критическое значение для автоматизированных систем управления технологическими процессами. Применение описанных в статье мер позволит повысить уровень защиты данных и обеспечить бесперебойную работу предприятия.</w:t>
      </w:r>
    </w:p>
    <w:p w14:paraId="31121CB0" w14:textId="77777777" w:rsidR="0098374B" w:rsidRDefault="0098374B" w:rsidP="0098374B">
      <w:pPr>
        <w:spacing w:after="0" w:line="240" w:lineRule="auto"/>
        <w:ind w:right="467"/>
        <w:jc w:val="center"/>
        <w:rPr>
          <w:rFonts w:ascii="Times New Roman" w:eastAsia="Times New Roman" w:hAnsi="Times New Roman" w:cs="Times New Roman"/>
          <w:b/>
          <w:color w:val="000000"/>
          <w:sz w:val="21"/>
          <w:szCs w:val="21"/>
          <w14:ligatures w14:val="standardContextual"/>
        </w:rPr>
      </w:pPr>
    </w:p>
    <w:p w14:paraId="1E19554A" w14:textId="1D2BB6D7" w:rsidR="001A36C0" w:rsidRPr="001A36C0" w:rsidRDefault="001A36C0" w:rsidP="0098374B">
      <w:pPr>
        <w:spacing w:after="0" w:line="240" w:lineRule="auto"/>
        <w:ind w:right="467"/>
        <w:jc w:val="center"/>
        <w:rPr>
          <w:rFonts w:ascii="Times New Roman" w:eastAsia="Times New Roman" w:hAnsi="Times New Roman" w:cs="Times New Roman"/>
          <w:b/>
          <w:color w:val="000000"/>
          <w:sz w:val="21"/>
          <w:szCs w:val="21"/>
          <w14:ligatures w14:val="standardContextual"/>
        </w:rPr>
      </w:pPr>
      <w:r w:rsidRPr="001A36C0">
        <w:rPr>
          <w:rFonts w:ascii="Times New Roman" w:eastAsia="Times New Roman" w:hAnsi="Times New Roman" w:cs="Times New Roman"/>
          <w:b/>
          <w:color w:val="000000"/>
          <w:sz w:val="21"/>
          <w:szCs w:val="21"/>
          <w14:ligatures w14:val="standardContextual"/>
        </w:rPr>
        <w:t>Литература:</w:t>
      </w:r>
    </w:p>
    <w:p w14:paraId="4CE9CC07"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1. Приказ ФСТЭК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от 14.03.2014</w:t>
      </w:r>
    </w:p>
    <w:p w14:paraId="404518B6"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2. ГОСТ Р 53114-2008 «Защита информации. Обеспечение информационной безопасности в организации. Основные термины и определения» от 01.10.2009</w:t>
      </w:r>
    </w:p>
    <w:p w14:paraId="35D1D4BC"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lastRenderedPageBreak/>
        <w:t>3. ISO/IEC 27001:2022 «Информационные технологии. Методы обеспечения безопасности. Системы менеджмента информационной безопасности» от 25.10.2022</w:t>
      </w:r>
    </w:p>
    <w:p w14:paraId="4DDB093C"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 xml:space="preserve">4. База инцидентов на промышленных предприятиях – </w:t>
      </w:r>
      <w:hyperlink r:id="rId624" w:history="1">
        <w:r w:rsidRPr="001A36C0">
          <w:rPr>
            <w:rFonts w:ascii="Calibri" w:eastAsia="Times New Roman" w:hAnsi="Calibri" w:cs="Times New Roman"/>
            <w:bCs/>
            <w:color w:val="0563C1"/>
            <w:sz w:val="21"/>
            <w:szCs w:val="21"/>
            <w:u w:val="single"/>
            <w14:ligatures w14:val="standardContextual"/>
          </w:rPr>
          <w:t>http://www.risidata.com/Database/Search_Results/search&amp;keywords=Ohio/</w:t>
        </w:r>
      </w:hyperlink>
    </w:p>
    <w:p w14:paraId="66FE33F0"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 xml:space="preserve">5. </w:t>
      </w:r>
      <w:r w:rsidRPr="001A36C0">
        <w:rPr>
          <w:rFonts w:ascii="Times New Roman" w:eastAsia="Times New Roman" w:hAnsi="Times New Roman" w:cs="Times New Roman"/>
          <w:kern w:val="2"/>
          <w:sz w:val="21"/>
          <w:szCs w:val="21"/>
          <w14:ligatures w14:val="standardContextual"/>
        </w:rPr>
        <w:t>Франциско О.Ю., Молчан А.С. Автоматизация уровневой оценки экономической безопасности. - Краснодар, 2022. - 175 с.</w:t>
      </w:r>
    </w:p>
    <w:p w14:paraId="411B62AB"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6.</w:t>
      </w:r>
      <w:r w:rsidRPr="001A36C0">
        <w:rPr>
          <w:rFonts w:ascii="Times New Roman" w:eastAsia="Times New Roman" w:hAnsi="Times New Roman" w:cs="Times New Roman"/>
          <w:bCs/>
          <w:color w:val="000000"/>
          <w:sz w:val="21"/>
          <w:szCs w:val="21"/>
          <w14:ligatures w14:val="standardContextual"/>
        </w:rPr>
        <w:tab/>
        <w:t xml:space="preserve">Кибербезопасность IndustrialIoT: мировые тенденциии – </w:t>
      </w:r>
      <w:hyperlink r:id="rId625" w:history="1">
        <w:r w:rsidRPr="001A36C0">
          <w:rPr>
            <w:rFonts w:ascii="Calibri" w:eastAsia="Times New Roman" w:hAnsi="Calibri" w:cs="Times New Roman"/>
            <w:bCs/>
            <w:color w:val="0563C1"/>
            <w:sz w:val="21"/>
            <w:szCs w:val="21"/>
            <w:u w:val="single"/>
            <w14:ligatures w14:val="standardContextual"/>
          </w:rPr>
          <w:t>https://www.cisco.com/c/dam/m/ru_ru/training-events/2017/cisco-connect/pdf/16_45-17_45-Aleksey_Lukackiy Informacionnaya_bezopasnosto_Industrial_IoT_mirovye_tendencii_i_rossiyskie_realii.pdf</w:t>
        </w:r>
      </w:hyperlink>
    </w:p>
    <w:p w14:paraId="52A503DA"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7.</w:t>
      </w:r>
      <w:r w:rsidRPr="001A36C0">
        <w:rPr>
          <w:rFonts w:ascii="Times New Roman" w:eastAsia="Times New Roman" w:hAnsi="Times New Roman" w:cs="Times New Roman"/>
          <w:bCs/>
          <w:color w:val="000000"/>
          <w:sz w:val="21"/>
          <w:szCs w:val="21"/>
          <w14:ligatures w14:val="standardContextual"/>
        </w:rPr>
        <w:tab/>
        <w:t>Баллод Б.А. Информационная безопасность и защита информации: Курс лекций/ ГОУВПО «Ивановский государственный энергетический университет им.В.И. Ленина» - Иваново, 20010. 304 с.</w:t>
      </w:r>
    </w:p>
    <w:p w14:paraId="1F9191D9" w14:textId="77777777" w:rsidR="001A36C0" w:rsidRPr="001A36C0" w:rsidRDefault="001A36C0" w:rsidP="0098374B">
      <w:pPr>
        <w:spacing w:after="0" w:line="240" w:lineRule="auto"/>
        <w:ind w:right="-1"/>
        <w:jc w:val="both"/>
        <w:rPr>
          <w:rFonts w:ascii="Times New Roman" w:eastAsia="Times New Roman" w:hAnsi="Times New Roman" w:cs="Times New Roman"/>
          <w:bCs/>
          <w:color w:val="000000"/>
          <w:sz w:val="21"/>
          <w:szCs w:val="21"/>
          <w14:ligatures w14:val="standardContextual"/>
        </w:rPr>
      </w:pPr>
      <w:r w:rsidRPr="001A36C0">
        <w:rPr>
          <w:rFonts w:ascii="Times New Roman" w:eastAsia="Times New Roman" w:hAnsi="Times New Roman" w:cs="Times New Roman"/>
          <w:bCs/>
          <w:color w:val="000000"/>
          <w:sz w:val="21"/>
          <w:szCs w:val="21"/>
          <w14:ligatures w14:val="standardContextual"/>
        </w:rPr>
        <w:t>8.</w:t>
      </w:r>
      <w:r w:rsidRPr="001A36C0">
        <w:rPr>
          <w:rFonts w:ascii="Times New Roman" w:eastAsia="Times New Roman" w:hAnsi="Times New Roman" w:cs="Times New Roman"/>
          <w:bCs/>
          <w:color w:val="000000"/>
          <w:sz w:val="21"/>
          <w:szCs w:val="21"/>
          <w14:ligatures w14:val="standardContextual"/>
        </w:rPr>
        <w:tab/>
        <w:t>Втюрин В.А. Автоматизированные системы управления технологическими процессами. Основы АСУТП: учебное пособие [для студентов ВУЗов] / Втюрин В.А. – Санкт-Петербург: СГЛА им. С.М. Кирова, 2006. – 152 с.</w:t>
      </w:r>
    </w:p>
    <w:p w14:paraId="566B104B" w14:textId="77777777" w:rsidR="001A36C0" w:rsidRPr="0098374B" w:rsidRDefault="001A36C0" w:rsidP="0098374B">
      <w:pPr>
        <w:spacing w:after="0" w:line="240" w:lineRule="auto"/>
        <w:ind w:right="-1"/>
        <w:jc w:val="both"/>
        <w:rPr>
          <w:rFonts w:ascii="Times New Roman" w:eastAsia="Times New Roman" w:hAnsi="Times New Roman" w:cs="Times New Roman"/>
          <w:color w:val="000000"/>
          <w:sz w:val="21"/>
          <w:szCs w:val="21"/>
          <w:lang w:eastAsia="zh-CN"/>
        </w:rPr>
      </w:pPr>
    </w:p>
    <w:p w14:paraId="2EBC40A5" w14:textId="77777777" w:rsidR="002A0AC8" w:rsidRPr="002A0AC8" w:rsidRDefault="002A0AC8" w:rsidP="005320E1">
      <w:pPr>
        <w:spacing w:after="5" w:line="270" w:lineRule="auto"/>
        <w:ind w:right="30"/>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b/>
          <w:color w:val="000000"/>
          <w:sz w:val="21"/>
          <w:lang w:eastAsia="ru-RU"/>
        </w:rPr>
        <w:t>УДК</w:t>
      </w:r>
      <w:r w:rsidRPr="002A0AC8">
        <w:rPr>
          <w:rFonts w:ascii="Times New Roman" w:eastAsia="Times New Roman" w:hAnsi="Times New Roman" w:cs="Times New Roman"/>
          <w:b/>
          <w:color w:val="000000"/>
          <w:lang w:eastAsia="ru-RU"/>
        </w:rPr>
        <w:t xml:space="preserve"> </w:t>
      </w:r>
      <w:r w:rsidRPr="002A0AC8">
        <w:rPr>
          <w:rFonts w:ascii="Times New Roman" w:eastAsia="Times New Roman" w:hAnsi="Times New Roman" w:cs="Times New Roman"/>
          <w:b/>
          <w:color w:val="000000"/>
          <w:sz w:val="21"/>
          <w:lang w:eastAsia="ru-RU"/>
        </w:rPr>
        <w:t>004.946</w:t>
      </w:r>
    </w:p>
    <w:p w14:paraId="0708BC7B" w14:textId="77777777" w:rsidR="002A0AC8" w:rsidRPr="002A0AC8" w:rsidRDefault="002A0AC8" w:rsidP="002E54D6">
      <w:pPr>
        <w:spacing w:after="0" w:line="240" w:lineRule="auto"/>
        <w:ind w:left="7851" w:hanging="10"/>
        <w:jc w:val="right"/>
        <w:rPr>
          <w:rFonts w:ascii="Times New Roman" w:eastAsia="Times New Roman" w:hAnsi="Times New Roman" w:cs="Times New Roman"/>
          <w:b/>
          <w:i/>
          <w:color w:val="000000"/>
          <w:sz w:val="21"/>
          <w:lang w:eastAsia="ru-RU"/>
        </w:rPr>
      </w:pPr>
      <w:r w:rsidRPr="002A0AC8">
        <w:rPr>
          <w:rFonts w:ascii="Times New Roman" w:eastAsia="Times New Roman" w:hAnsi="Times New Roman" w:cs="Times New Roman"/>
          <w:b/>
          <w:i/>
          <w:color w:val="000000"/>
          <w:sz w:val="21"/>
          <w:lang w:eastAsia="ru-RU"/>
        </w:rPr>
        <w:t>Филатова Е.М.,</w:t>
      </w:r>
    </w:p>
    <w:p w14:paraId="7533798C" w14:textId="77777777" w:rsidR="002A0AC8" w:rsidRPr="002A0AC8" w:rsidRDefault="002A0AC8" w:rsidP="002E54D6">
      <w:pPr>
        <w:spacing w:after="0" w:line="240" w:lineRule="auto"/>
        <w:ind w:left="7851" w:hanging="10"/>
        <w:jc w:val="right"/>
        <w:rPr>
          <w:rFonts w:ascii="Times New Roman" w:eastAsia="Times New Roman" w:hAnsi="Times New Roman" w:cs="Times New Roman"/>
          <w:b/>
          <w:i/>
          <w:color w:val="000000"/>
          <w:sz w:val="21"/>
          <w:lang w:eastAsia="ru-RU"/>
        </w:rPr>
      </w:pPr>
      <w:r w:rsidRPr="002A0AC8">
        <w:rPr>
          <w:rFonts w:ascii="Times New Roman" w:eastAsia="Times New Roman" w:hAnsi="Times New Roman" w:cs="Times New Roman"/>
          <w:b/>
          <w:i/>
          <w:color w:val="000000"/>
          <w:sz w:val="21"/>
          <w:lang w:eastAsia="ru-RU"/>
        </w:rPr>
        <w:t xml:space="preserve"> </w:t>
      </w:r>
      <w:r w:rsidRPr="002A0AC8">
        <w:rPr>
          <w:rFonts w:ascii="Times New Roman" w:eastAsia="Times New Roman" w:hAnsi="Times New Roman" w:cs="Times New Roman"/>
          <w:i/>
          <w:color w:val="000000"/>
          <w:sz w:val="21"/>
          <w:lang w:eastAsia="ru-RU"/>
        </w:rPr>
        <w:t xml:space="preserve">студентка 3 курса </w:t>
      </w:r>
      <w:r w:rsidRPr="002A0AC8">
        <w:rPr>
          <w:rFonts w:ascii="Times New Roman" w:eastAsia="Times New Roman" w:hAnsi="Times New Roman" w:cs="Times New Roman"/>
          <w:color w:val="000000"/>
          <w:sz w:val="21"/>
          <w:lang w:eastAsia="ru-RU"/>
        </w:rPr>
        <w:t xml:space="preserve"> </w:t>
      </w:r>
    </w:p>
    <w:p w14:paraId="6A802F53" w14:textId="77777777" w:rsidR="002E54D6" w:rsidRDefault="002E54D6" w:rsidP="002E54D6">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52CAD8E8" w14:textId="08EDEFFC" w:rsidR="002A0AC8" w:rsidRPr="002A0AC8" w:rsidRDefault="002A0AC8" w:rsidP="002E54D6">
      <w:pPr>
        <w:spacing w:after="0" w:line="240" w:lineRule="auto"/>
        <w:ind w:left="3817" w:right="98" w:hanging="377"/>
        <w:jc w:val="right"/>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i/>
          <w:color w:val="000000"/>
          <w:sz w:val="21"/>
          <w:lang w:eastAsia="ru-RU"/>
        </w:rPr>
        <w:t xml:space="preserve"> г. Краснодар, Россия</w:t>
      </w:r>
      <w:r w:rsidRPr="002A0AC8">
        <w:rPr>
          <w:rFonts w:ascii="Times New Roman" w:eastAsia="Times New Roman" w:hAnsi="Times New Roman" w:cs="Times New Roman"/>
          <w:color w:val="000000"/>
          <w:sz w:val="21"/>
          <w:lang w:eastAsia="ru-RU"/>
        </w:rPr>
        <w:t xml:space="preserve"> </w:t>
      </w:r>
    </w:p>
    <w:p w14:paraId="4AF02F98" w14:textId="77777777" w:rsidR="002A0AC8" w:rsidRPr="00C30970" w:rsidRDefault="002A0AC8" w:rsidP="002E54D6">
      <w:pPr>
        <w:spacing w:after="0" w:line="240" w:lineRule="auto"/>
        <w:ind w:left="3450" w:right="98" w:hanging="10"/>
        <w:jc w:val="right"/>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i/>
          <w:color w:val="000000"/>
          <w:sz w:val="21"/>
          <w:lang w:eastAsia="ru-RU"/>
        </w:rPr>
        <w:t>е</w:t>
      </w:r>
      <w:r w:rsidRPr="00C30970">
        <w:rPr>
          <w:rFonts w:ascii="Times New Roman" w:eastAsia="Times New Roman" w:hAnsi="Times New Roman" w:cs="Times New Roman"/>
          <w:i/>
          <w:color w:val="000000"/>
          <w:sz w:val="21"/>
          <w:lang w:eastAsia="ru-RU"/>
        </w:rPr>
        <w:t>-</w:t>
      </w:r>
      <w:r w:rsidRPr="002A0AC8">
        <w:rPr>
          <w:rFonts w:ascii="Times New Roman" w:eastAsia="Times New Roman" w:hAnsi="Times New Roman" w:cs="Times New Roman"/>
          <w:i/>
          <w:color w:val="000000"/>
          <w:sz w:val="21"/>
          <w:lang w:val="en-US" w:eastAsia="ru-RU"/>
        </w:rPr>
        <w:t>mail</w:t>
      </w:r>
      <w:r w:rsidRPr="00C30970">
        <w:rPr>
          <w:rFonts w:ascii="Times New Roman" w:eastAsia="Times New Roman" w:hAnsi="Times New Roman" w:cs="Times New Roman"/>
          <w:i/>
          <w:color w:val="000000"/>
          <w:sz w:val="21"/>
          <w:lang w:eastAsia="ru-RU"/>
        </w:rPr>
        <w:t>:</w:t>
      </w:r>
      <w:r w:rsidRPr="00C30970">
        <w:rPr>
          <w:rFonts w:ascii="Times New Roman" w:eastAsia="Times New Roman" w:hAnsi="Times New Roman" w:cs="Times New Roman"/>
          <w:color w:val="000000"/>
          <w:sz w:val="32"/>
          <w:lang w:eastAsia="ru-RU"/>
        </w:rPr>
        <w:t xml:space="preserve"> </w:t>
      </w:r>
      <w:r w:rsidRPr="00C30970">
        <w:rPr>
          <w:rFonts w:ascii="Times New Roman" w:eastAsia="Times New Roman" w:hAnsi="Times New Roman" w:cs="Times New Roman"/>
          <w:i/>
          <w:color w:val="000000"/>
          <w:sz w:val="21"/>
          <w:lang w:eastAsia="ru-RU"/>
        </w:rPr>
        <w:t>100</w:t>
      </w:r>
      <w:r w:rsidRPr="002A0AC8">
        <w:rPr>
          <w:rFonts w:ascii="Times New Roman" w:eastAsia="Times New Roman" w:hAnsi="Times New Roman" w:cs="Times New Roman"/>
          <w:i/>
          <w:color w:val="000000"/>
          <w:sz w:val="21"/>
          <w:lang w:val="en-US" w:eastAsia="ru-RU"/>
        </w:rPr>
        <w:t>dot</w:t>
      </w:r>
      <w:r w:rsidRPr="00C30970">
        <w:rPr>
          <w:rFonts w:ascii="Times New Roman" w:eastAsia="Times New Roman" w:hAnsi="Times New Roman" w:cs="Times New Roman"/>
          <w:i/>
          <w:color w:val="000000"/>
          <w:sz w:val="21"/>
          <w:lang w:eastAsia="ru-RU"/>
        </w:rPr>
        <w:t>13</w:t>
      </w:r>
      <w:r w:rsidRPr="002A0AC8">
        <w:rPr>
          <w:rFonts w:ascii="Times New Roman" w:eastAsia="Times New Roman" w:hAnsi="Times New Roman" w:cs="Times New Roman"/>
          <w:i/>
          <w:color w:val="000000"/>
          <w:sz w:val="21"/>
          <w:lang w:val="en-US" w:eastAsia="ru-RU"/>
        </w:rPr>
        <w:t>sl</w:t>
      </w:r>
      <w:r w:rsidRPr="00C30970">
        <w:rPr>
          <w:rFonts w:ascii="Times New Roman" w:eastAsia="Times New Roman" w:hAnsi="Times New Roman" w:cs="Times New Roman"/>
          <w:i/>
          <w:color w:val="000000"/>
          <w:sz w:val="21"/>
          <w:lang w:eastAsia="ru-RU"/>
        </w:rPr>
        <w:t>220088@</w:t>
      </w:r>
      <w:r w:rsidRPr="002A0AC8">
        <w:rPr>
          <w:rFonts w:ascii="Times New Roman" w:eastAsia="Times New Roman" w:hAnsi="Times New Roman" w:cs="Times New Roman"/>
          <w:i/>
          <w:color w:val="000000"/>
          <w:sz w:val="21"/>
          <w:lang w:val="en-US" w:eastAsia="ru-RU"/>
        </w:rPr>
        <w:t>edu</w:t>
      </w:r>
      <w:r w:rsidRPr="00C30970">
        <w:rPr>
          <w:rFonts w:ascii="Times New Roman" w:eastAsia="Times New Roman" w:hAnsi="Times New Roman" w:cs="Times New Roman"/>
          <w:i/>
          <w:color w:val="000000"/>
          <w:sz w:val="21"/>
          <w:lang w:eastAsia="ru-RU"/>
        </w:rPr>
        <w:t>.</w:t>
      </w:r>
      <w:r w:rsidRPr="002A0AC8">
        <w:rPr>
          <w:rFonts w:ascii="Times New Roman" w:eastAsia="Times New Roman" w:hAnsi="Times New Roman" w:cs="Times New Roman"/>
          <w:i/>
          <w:color w:val="000000"/>
          <w:sz w:val="21"/>
          <w:lang w:val="en-US" w:eastAsia="ru-RU"/>
        </w:rPr>
        <w:t>fa</w:t>
      </w:r>
      <w:r w:rsidRPr="00C30970">
        <w:rPr>
          <w:rFonts w:ascii="Times New Roman" w:eastAsia="Times New Roman" w:hAnsi="Times New Roman" w:cs="Times New Roman"/>
          <w:i/>
          <w:color w:val="000000"/>
          <w:sz w:val="21"/>
          <w:lang w:eastAsia="ru-RU"/>
        </w:rPr>
        <w:t>.</w:t>
      </w:r>
      <w:r w:rsidRPr="002A0AC8">
        <w:rPr>
          <w:rFonts w:ascii="Times New Roman" w:eastAsia="Times New Roman" w:hAnsi="Times New Roman" w:cs="Times New Roman"/>
          <w:i/>
          <w:color w:val="000000"/>
          <w:sz w:val="21"/>
          <w:lang w:val="en-US" w:eastAsia="ru-RU"/>
        </w:rPr>
        <w:t>ru</w:t>
      </w:r>
      <w:r w:rsidRPr="00C30970">
        <w:rPr>
          <w:rFonts w:ascii="Times New Roman" w:eastAsia="Times New Roman" w:hAnsi="Times New Roman" w:cs="Times New Roman"/>
          <w:i/>
          <w:color w:val="000000"/>
          <w:sz w:val="21"/>
          <w:lang w:eastAsia="ru-RU"/>
        </w:rPr>
        <w:t xml:space="preserve"> </w:t>
      </w:r>
      <w:r w:rsidRPr="00C30970">
        <w:rPr>
          <w:rFonts w:ascii="Times New Roman" w:eastAsia="Times New Roman" w:hAnsi="Times New Roman" w:cs="Times New Roman"/>
          <w:color w:val="000000"/>
          <w:sz w:val="21"/>
          <w:lang w:eastAsia="ru-RU"/>
        </w:rPr>
        <w:t xml:space="preserve"> </w:t>
      </w:r>
    </w:p>
    <w:p w14:paraId="03AFC01F" w14:textId="77777777" w:rsidR="00284830" w:rsidRDefault="002A0AC8" w:rsidP="00284830">
      <w:pPr>
        <w:spacing w:after="0" w:line="240" w:lineRule="auto"/>
        <w:ind w:right="58"/>
        <w:jc w:val="right"/>
        <w:rPr>
          <w:rFonts w:ascii="Times New Roman" w:eastAsia="Times New Roman" w:hAnsi="Times New Roman" w:cs="Times New Roman"/>
          <w:color w:val="000000"/>
          <w:sz w:val="21"/>
          <w:lang w:eastAsia="ru-RU"/>
        </w:rPr>
      </w:pPr>
      <w:r w:rsidRPr="00C30970">
        <w:rPr>
          <w:rFonts w:ascii="Times New Roman" w:eastAsia="Times New Roman" w:hAnsi="Times New Roman" w:cs="Times New Roman"/>
          <w:color w:val="000000"/>
          <w:sz w:val="21"/>
          <w:lang w:eastAsia="ru-RU"/>
        </w:rPr>
        <w:t xml:space="preserve"> </w:t>
      </w:r>
    </w:p>
    <w:p w14:paraId="7E507109" w14:textId="1D488F57" w:rsidR="002A0AC8" w:rsidRPr="002A0AC8" w:rsidRDefault="002A0AC8" w:rsidP="00284830">
      <w:pPr>
        <w:spacing w:after="0" w:line="240" w:lineRule="auto"/>
        <w:ind w:right="58"/>
        <w:jc w:val="right"/>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b/>
          <w:i/>
          <w:color w:val="000000"/>
          <w:sz w:val="21"/>
          <w:lang w:eastAsia="ru-RU"/>
        </w:rPr>
        <w:t xml:space="preserve">Научный руководитель: </w:t>
      </w:r>
    </w:p>
    <w:p w14:paraId="6F0D6738"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b/>
          <w:i/>
          <w:color w:val="000000"/>
          <w:sz w:val="21"/>
          <w:lang w:eastAsia="ru-RU"/>
        </w:rPr>
        <w:t xml:space="preserve">Васкевич Т.В., </w:t>
      </w:r>
    </w:p>
    <w:p w14:paraId="703DC068"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i/>
          <w:color w:val="000000"/>
          <w:sz w:val="21"/>
          <w:lang w:eastAsia="ru-RU"/>
        </w:rPr>
      </w:pPr>
      <w:r w:rsidRPr="002A0AC8">
        <w:rPr>
          <w:rFonts w:ascii="Times New Roman" w:eastAsia="Times New Roman" w:hAnsi="Times New Roman" w:cs="Times New Roman"/>
          <w:i/>
          <w:color w:val="000000"/>
          <w:sz w:val="21"/>
          <w:lang w:eastAsia="ru-RU"/>
        </w:rPr>
        <w:t xml:space="preserve">доцент кафедры «Математика и информатика»,  </w:t>
      </w:r>
    </w:p>
    <w:p w14:paraId="3B162445" w14:textId="77777777" w:rsidR="00284830" w:rsidRDefault="00284830" w:rsidP="00284830">
      <w:pPr>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45FDAA23"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21"/>
          <w:lang w:eastAsia="ru-RU"/>
        </w:rPr>
      </w:pPr>
      <w:r w:rsidRPr="002A0AC8">
        <w:rPr>
          <w:rFonts w:ascii="Times New Roman" w:eastAsia="Times New Roman" w:hAnsi="Times New Roman" w:cs="Times New Roman"/>
          <w:i/>
          <w:color w:val="000000"/>
          <w:sz w:val="21"/>
          <w:lang w:eastAsia="ru-RU"/>
        </w:rPr>
        <w:t>г. Краснодар, Россия</w:t>
      </w:r>
      <w:r w:rsidRPr="002A0AC8">
        <w:rPr>
          <w:rFonts w:ascii="Times New Roman" w:eastAsia="Times New Roman" w:hAnsi="Times New Roman" w:cs="Times New Roman"/>
          <w:color w:val="000000"/>
          <w:sz w:val="21"/>
          <w:lang w:eastAsia="ru-RU"/>
        </w:rPr>
        <w:t xml:space="preserve"> </w:t>
      </w:r>
    </w:p>
    <w:p w14:paraId="2F74DD8D"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i/>
          <w:color w:val="000000"/>
          <w:sz w:val="21"/>
          <w:lang w:eastAsia="ru-RU"/>
        </w:rPr>
        <w:t>e-mail: TVVaskevich@fa.ru</w:t>
      </w:r>
    </w:p>
    <w:p w14:paraId="346707F9" w14:textId="77777777" w:rsidR="00284830" w:rsidRDefault="002A0AC8" w:rsidP="00284830">
      <w:pPr>
        <w:spacing w:after="0" w:line="240" w:lineRule="auto"/>
        <w:ind w:left="84"/>
        <w:jc w:val="center"/>
        <w:rPr>
          <w:rFonts w:ascii="Times New Roman" w:eastAsia="Times New Roman" w:hAnsi="Times New Roman" w:cs="Times New Roman"/>
          <w:color w:val="000000"/>
          <w:sz w:val="21"/>
          <w:lang w:eastAsia="ru-RU"/>
        </w:rPr>
      </w:pPr>
      <w:r w:rsidRPr="002A0AC8">
        <w:rPr>
          <w:rFonts w:ascii="Times New Roman" w:eastAsia="Times New Roman" w:hAnsi="Times New Roman" w:cs="Times New Roman"/>
          <w:color w:val="000000"/>
          <w:sz w:val="21"/>
          <w:lang w:eastAsia="ru-RU"/>
        </w:rPr>
        <w:t xml:space="preserve"> </w:t>
      </w:r>
    </w:p>
    <w:p w14:paraId="6EE187FD" w14:textId="6E79094F" w:rsidR="002A0AC8" w:rsidRDefault="002A0AC8" w:rsidP="00284830">
      <w:pPr>
        <w:spacing w:after="0" w:line="240" w:lineRule="auto"/>
        <w:ind w:left="84"/>
        <w:jc w:val="center"/>
        <w:rPr>
          <w:rFonts w:ascii="Times New Roman" w:eastAsia="Times New Roman" w:hAnsi="Times New Roman" w:cs="Times New Roman"/>
          <w:b/>
          <w:bCs/>
          <w:color w:val="000000"/>
          <w:sz w:val="21"/>
          <w:lang w:eastAsia="ru-RU"/>
        </w:rPr>
      </w:pPr>
      <w:r w:rsidRPr="002A0AC8">
        <w:rPr>
          <w:rFonts w:ascii="Times New Roman" w:eastAsia="Times New Roman" w:hAnsi="Times New Roman" w:cs="Times New Roman"/>
          <w:b/>
          <w:bCs/>
          <w:color w:val="000000"/>
          <w:sz w:val="21"/>
          <w:lang w:eastAsia="ru-RU"/>
        </w:rPr>
        <w:t>Визуализация трендов музыкального потребления: анализ поведения аудитории с помощью дэшбордов</w:t>
      </w:r>
    </w:p>
    <w:p w14:paraId="386976BA" w14:textId="77777777" w:rsidR="002A5A88" w:rsidRPr="002A0AC8" w:rsidRDefault="002A5A88" w:rsidP="00284830">
      <w:pPr>
        <w:spacing w:after="0" w:line="240" w:lineRule="auto"/>
        <w:ind w:left="84"/>
        <w:jc w:val="center"/>
        <w:rPr>
          <w:rFonts w:ascii="Times New Roman" w:eastAsia="Times New Roman" w:hAnsi="Times New Roman" w:cs="Times New Roman"/>
          <w:b/>
          <w:color w:val="000000"/>
          <w:sz w:val="21"/>
          <w:lang w:eastAsia="ru-RU"/>
        </w:rPr>
      </w:pPr>
    </w:p>
    <w:p w14:paraId="548B8563" w14:textId="09875248" w:rsidR="002A0AC8" w:rsidRPr="002A0AC8" w:rsidRDefault="002A0AC8" w:rsidP="002A5A88">
      <w:pPr>
        <w:spacing w:after="0" w:line="240" w:lineRule="auto"/>
        <w:ind w:firstLine="709"/>
        <w:rPr>
          <w:rFonts w:ascii="Times New Roman" w:eastAsia="Times New Roman" w:hAnsi="Times New Roman" w:cs="Times New Roman"/>
          <w:color w:val="000000"/>
          <w:sz w:val="21"/>
          <w:lang w:eastAsia="ru-RU"/>
        </w:rPr>
      </w:pPr>
      <w:r w:rsidRPr="002A0AC8">
        <w:rPr>
          <w:rFonts w:ascii="Times New Roman" w:eastAsia="Times New Roman" w:hAnsi="Times New Roman" w:cs="Times New Roman"/>
          <w:b/>
          <w:color w:val="000000"/>
          <w:sz w:val="21"/>
          <w:lang w:eastAsia="ru-RU"/>
        </w:rPr>
        <w:t xml:space="preserve">Аннотация: </w:t>
      </w:r>
      <w:r w:rsidRPr="002A0AC8">
        <w:rPr>
          <w:rFonts w:ascii="Times New Roman" w:eastAsia="Times New Roman" w:hAnsi="Times New Roman" w:cs="Times New Roman"/>
          <w:color w:val="000000"/>
          <w:sz w:val="21"/>
          <w:lang w:eastAsia="ru-RU"/>
        </w:rPr>
        <w:t>Визуализация трендов музыкального потребления через дашборды открывает новые возможности для анализа аудитории. Современные инструменты обработки данных не просто упрощают сбор статистики, но и радикально меняют подход к пониманию слушательских предпочтений. Несмотря на потенциал, в России такие методы пока применяются фрагментарно, тогда как за рубежом дашборды стали стандартом для музыкальных стриминговых платформ. Например, Spotify и Apple Music активно используют визуализацию данных, превращая анализ в ключевой элемент музыкальной индустрии.</w:t>
      </w:r>
    </w:p>
    <w:p w14:paraId="2ED3C64B" w14:textId="77777777" w:rsidR="002A0AC8" w:rsidRPr="002A0AC8" w:rsidRDefault="002A0AC8" w:rsidP="002E54D6">
      <w:pPr>
        <w:spacing w:after="0" w:line="240" w:lineRule="auto"/>
        <w:ind w:left="127" w:right="99" w:firstLine="708"/>
        <w:jc w:val="both"/>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b/>
          <w:color w:val="000000"/>
          <w:sz w:val="21"/>
          <w:lang w:eastAsia="ru-RU"/>
        </w:rPr>
        <w:t>Ключевые слова:</w:t>
      </w:r>
      <w:r w:rsidRPr="002A0AC8">
        <w:rPr>
          <w:rFonts w:ascii="Times New Roman" w:eastAsia="Times New Roman" w:hAnsi="Times New Roman" w:cs="Times New Roman"/>
          <w:color w:val="000000"/>
          <w:sz w:val="21"/>
          <w:lang w:eastAsia="ru-RU"/>
        </w:rPr>
        <w:t xml:space="preserve"> визуализация данных, музыкальное потребление, дашборды, анализ аудитории, стриминговые платформы.</w:t>
      </w:r>
    </w:p>
    <w:p w14:paraId="0D6AF1FB" w14:textId="77777777" w:rsidR="002A0AC8" w:rsidRPr="002A0AC8" w:rsidRDefault="002A0AC8" w:rsidP="002E54D6">
      <w:pPr>
        <w:spacing w:after="0" w:line="240" w:lineRule="auto"/>
        <w:ind w:left="850"/>
        <w:rPr>
          <w:rFonts w:ascii="Times New Roman" w:eastAsia="Times New Roman" w:hAnsi="Times New Roman" w:cs="Times New Roman"/>
          <w:color w:val="000000"/>
          <w:sz w:val="32"/>
          <w:lang w:eastAsia="ru-RU"/>
        </w:rPr>
      </w:pPr>
      <w:r w:rsidRPr="002A0AC8">
        <w:rPr>
          <w:rFonts w:ascii="Times New Roman" w:eastAsia="Times New Roman" w:hAnsi="Times New Roman" w:cs="Times New Roman"/>
          <w:color w:val="000000"/>
          <w:sz w:val="21"/>
          <w:lang w:eastAsia="ru-RU"/>
        </w:rPr>
        <w:t xml:space="preserve"> </w:t>
      </w:r>
    </w:p>
    <w:p w14:paraId="46DC0FF5" w14:textId="68EAE44E" w:rsidR="001071DC" w:rsidRPr="00C30970" w:rsidRDefault="002A0AC8" w:rsidP="002E54D6">
      <w:pPr>
        <w:spacing w:after="0" w:line="240" w:lineRule="auto"/>
        <w:ind w:left="8270" w:right="95" w:firstLine="158"/>
        <w:jc w:val="right"/>
        <w:rPr>
          <w:rFonts w:ascii="Times New Roman" w:eastAsia="Times New Roman" w:hAnsi="Times New Roman" w:cs="Times New Roman"/>
          <w:b/>
          <w:i/>
          <w:color w:val="000000"/>
          <w:sz w:val="21"/>
          <w:lang w:val="en-US" w:eastAsia="ru-RU"/>
        </w:rPr>
      </w:pPr>
      <w:r w:rsidRPr="002A0AC8">
        <w:rPr>
          <w:rFonts w:ascii="Times New Roman" w:eastAsia="Times New Roman" w:hAnsi="Times New Roman" w:cs="Times New Roman"/>
          <w:b/>
          <w:i/>
          <w:color w:val="000000"/>
          <w:sz w:val="21"/>
          <w:lang w:val="en-US" w:eastAsia="ru-RU"/>
        </w:rPr>
        <w:t>Filatova</w:t>
      </w:r>
      <w:r w:rsidR="001071DC" w:rsidRPr="001071DC">
        <w:rPr>
          <w:rFonts w:ascii="Times New Roman" w:eastAsia="Times New Roman" w:hAnsi="Times New Roman" w:cs="Times New Roman"/>
          <w:b/>
          <w:i/>
          <w:color w:val="000000"/>
          <w:sz w:val="21"/>
          <w:lang w:val="en-US" w:eastAsia="ru-RU"/>
        </w:rPr>
        <w:t xml:space="preserve"> </w:t>
      </w:r>
      <w:r w:rsidRPr="002A0AC8">
        <w:rPr>
          <w:rFonts w:ascii="Times New Roman" w:eastAsia="Times New Roman" w:hAnsi="Times New Roman" w:cs="Times New Roman"/>
          <w:b/>
          <w:i/>
          <w:color w:val="000000"/>
          <w:sz w:val="21"/>
          <w:lang w:val="en-US" w:eastAsia="ru-RU"/>
        </w:rPr>
        <w:t>E.,</w:t>
      </w:r>
    </w:p>
    <w:p w14:paraId="5AD1EFA4" w14:textId="5CD3DD42" w:rsidR="002A0AC8" w:rsidRPr="001071DC" w:rsidRDefault="002A0AC8" w:rsidP="002E54D6">
      <w:pPr>
        <w:spacing w:after="0" w:line="240" w:lineRule="auto"/>
        <w:ind w:left="8270" w:right="95" w:firstLine="158"/>
        <w:jc w:val="right"/>
        <w:rPr>
          <w:rFonts w:ascii="Times New Roman" w:eastAsia="Times New Roman" w:hAnsi="Times New Roman" w:cs="Times New Roman"/>
          <w:i/>
          <w:color w:val="000000"/>
          <w:sz w:val="21"/>
          <w:lang w:val="en-US" w:eastAsia="ru-RU"/>
        </w:rPr>
      </w:pPr>
      <w:r w:rsidRPr="002A0AC8">
        <w:rPr>
          <w:rFonts w:ascii="Times New Roman" w:eastAsia="Times New Roman" w:hAnsi="Times New Roman" w:cs="Times New Roman"/>
          <w:i/>
          <w:color w:val="000000"/>
          <w:sz w:val="21"/>
          <w:lang w:val="en-US" w:eastAsia="ru-RU"/>
        </w:rPr>
        <w:t>student, 3</w:t>
      </w:r>
      <w:r w:rsidR="001071DC" w:rsidRPr="001071DC">
        <w:rPr>
          <w:rFonts w:ascii="Times New Roman" w:eastAsia="Times New Roman" w:hAnsi="Times New Roman" w:cs="Times New Roman"/>
          <w:i/>
          <w:color w:val="000000"/>
          <w:sz w:val="21"/>
          <w:lang w:val="en-US" w:eastAsia="ru-RU"/>
        </w:rPr>
        <w:t xml:space="preserve"> </w:t>
      </w:r>
      <w:r w:rsidRPr="002A0AC8">
        <w:rPr>
          <w:rFonts w:ascii="Times New Roman" w:eastAsia="Times New Roman" w:hAnsi="Times New Roman" w:cs="Times New Roman"/>
          <w:i/>
          <w:color w:val="000000"/>
          <w:sz w:val="21"/>
          <w:lang w:val="en-US" w:eastAsia="ru-RU"/>
        </w:rPr>
        <w:t>courses</w:t>
      </w:r>
    </w:p>
    <w:p w14:paraId="42E34F07" w14:textId="09461F68" w:rsidR="002A0AC8" w:rsidRPr="002A0AC8" w:rsidRDefault="002A0AC8" w:rsidP="002E54D6">
      <w:pPr>
        <w:spacing w:after="0" w:line="240" w:lineRule="auto"/>
        <w:ind w:left="3450" w:right="98" w:hanging="10"/>
        <w:jc w:val="right"/>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i/>
          <w:color w:val="000000"/>
          <w:sz w:val="21"/>
          <w:lang w:val="en-US" w:eastAsia="ru-RU"/>
        </w:rPr>
        <w:t xml:space="preserve">Financial University under the Government of the Russian Federation Krasnodar, Russia </w:t>
      </w:r>
    </w:p>
    <w:p w14:paraId="255BA154" w14:textId="77777777" w:rsidR="002A0AC8" w:rsidRPr="002A0AC8" w:rsidRDefault="002A0AC8" w:rsidP="002E54D6">
      <w:pPr>
        <w:spacing w:after="0" w:line="240" w:lineRule="auto"/>
        <w:ind w:left="3450" w:right="98" w:hanging="10"/>
        <w:jc w:val="right"/>
        <w:rPr>
          <w:rFonts w:ascii="Times New Roman" w:eastAsia="Times New Roman" w:hAnsi="Times New Roman" w:cs="Times New Roman"/>
          <w:color w:val="000000"/>
          <w:sz w:val="32"/>
          <w:lang w:val="it-IT" w:eastAsia="ru-RU"/>
        </w:rPr>
      </w:pPr>
      <w:r w:rsidRPr="002A0AC8">
        <w:rPr>
          <w:rFonts w:ascii="Times New Roman" w:eastAsia="Times New Roman" w:hAnsi="Times New Roman" w:cs="Times New Roman"/>
          <w:i/>
          <w:color w:val="000000"/>
          <w:sz w:val="21"/>
          <w:lang w:val="it-IT" w:eastAsia="ru-RU"/>
        </w:rPr>
        <w:t>e-mail: 100dot13sl220088@edu.fa.ru</w:t>
      </w:r>
    </w:p>
    <w:p w14:paraId="135EA67A" w14:textId="77777777" w:rsidR="00300067" w:rsidRPr="00C30970" w:rsidRDefault="00300067" w:rsidP="002E54D6">
      <w:pPr>
        <w:spacing w:after="0" w:line="240" w:lineRule="auto"/>
        <w:ind w:left="357" w:right="96" w:firstLine="709"/>
        <w:jc w:val="right"/>
        <w:rPr>
          <w:rFonts w:ascii="Times New Roman" w:eastAsia="Times New Roman" w:hAnsi="Times New Roman" w:cs="Times New Roman"/>
          <w:b/>
          <w:i/>
          <w:color w:val="000000"/>
          <w:sz w:val="21"/>
          <w:lang w:val="en-US" w:eastAsia="ru-RU"/>
        </w:rPr>
      </w:pPr>
    </w:p>
    <w:p w14:paraId="4E432D3B" w14:textId="1BEAA23C"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b/>
          <w:i/>
          <w:color w:val="000000"/>
          <w:sz w:val="21"/>
          <w:lang w:val="en-US" w:eastAsia="ru-RU"/>
        </w:rPr>
        <w:t xml:space="preserve">Scientific adviser: </w:t>
      </w:r>
    </w:p>
    <w:p w14:paraId="022B0003"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b/>
          <w:i/>
          <w:color w:val="000000"/>
          <w:sz w:val="21"/>
          <w:lang w:val="en-US" w:eastAsia="ru-RU"/>
        </w:rPr>
      </w:pPr>
      <w:r w:rsidRPr="002A0AC8">
        <w:rPr>
          <w:rFonts w:ascii="Times New Roman" w:eastAsia="Times New Roman" w:hAnsi="Times New Roman" w:cs="Times New Roman"/>
          <w:b/>
          <w:i/>
          <w:color w:val="000000"/>
          <w:sz w:val="21"/>
          <w:lang w:val="en-US" w:eastAsia="ru-RU"/>
        </w:rPr>
        <w:t xml:space="preserve">Vaskevich T.V., </w:t>
      </w:r>
    </w:p>
    <w:p w14:paraId="46AC22D2"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i/>
          <w:color w:val="000000"/>
          <w:sz w:val="21"/>
          <w:lang w:val="en-US" w:eastAsia="ru-RU"/>
        </w:rPr>
        <w:t xml:space="preserve">docent of the department Mathematics and Informatics, </w:t>
      </w:r>
    </w:p>
    <w:p w14:paraId="54C0A0D1" w14:textId="77777777" w:rsidR="002A0AC8" w:rsidRPr="002A0AC8" w:rsidRDefault="002A0AC8" w:rsidP="002E54D6">
      <w:pPr>
        <w:spacing w:after="0" w:line="240" w:lineRule="auto"/>
        <w:ind w:left="357" w:right="96" w:firstLine="709"/>
        <w:jc w:val="right"/>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i/>
          <w:color w:val="000000"/>
          <w:sz w:val="21"/>
          <w:lang w:val="en-US" w:eastAsia="ru-RU"/>
        </w:rPr>
        <w:t xml:space="preserve">Krasnodar branch of FGOBU VO "Financial University under the Government of the Russian Federation </w:t>
      </w:r>
    </w:p>
    <w:p w14:paraId="7CE64A30" w14:textId="77777777" w:rsidR="002A0AC8" w:rsidRPr="002A0AC8" w:rsidRDefault="002A0AC8" w:rsidP="002E54D6">
      <w:pPr>
        <w:spacing w:after="0" w:line="240" w:lineRule="auto"/>
        <w:ind w:right="58"/>
        <w:jc w:val="right"/>
        <w:rPr>
          <w:rFonts w:ascii="Times New Roman" w:eastAsia="Times New Roman" w:hAnsi="Times New Roman" w:cs="Times New Roman"/>
          <w:i/>
          <w:color w:val="000000"/>
          <w:sz w:val="21"/>
          <w:lang w:val="it-IT" w:eastAsia="ru-RU"/>
        </w:rPr>
      </w:pPr>
      <w:r w:rsidRPr="002A0AC8">
        <w:rPr>
          <w:rFonts w:ascii="Times New Roman" w:eastAsia="Times New Roman" w:hAnsi="Times New Roman" w:cs="Times New Roman"/>
          <w:i/>
          <w:color w:val="000000"/>
          <w:sz w:val="21"/>
          <w:lang w:val="it-IT" w:eastAsia="ru-RU"/>
        </w:rPr>
        <w:t xml:space="preserve">Krasnodar, Russia </w:t>
      </w:r>
    </w:p>
    <w:p w14:paraId="29B91298" w14:textId="77777777" w:rsidR="002A0AC8" w:rsidRPr="002A0AC8" w:rsidRDefault="002A0AC8" w:rsidP="002E54D6">
      <w:pPr>
        <w:spacing w:after="0" w:line="240" w:lineRule="auto"/>
        <w:ind w:right="58"/>
        <w:jc w:val="right"/>
        <w:rPr>
          <w:rFonts w:ascii="Times New Roman" w:eastAsia="Times New Roman" w:hAnsi="Times New Roman" w:cs="Times New Roman"/>
          <w:i/>
          <w:color w:val="000000"/>
          <w:sz w:val="21"/>
          <w:lang w:val="it-IT" w:eastAsia="ru-RU"/>
        </w:rPr>
      </w:pPr>
      <w:r w:rsidRPr="002A0AC8">
        <w:rPr>
          <w:rFonts w:ascii="Times New Roman" w:eastAsia="Times New Roman" w:hAnsi="Times New Roman" w:cs="Times New Roman"/>
          <w:i/>
          <w:color w:val="000000"/>
          <w:sz w:val="21"/>
          <w:lang w:val="it-IT" w:eastAsia="ru-RU"/>
        </w:rPr>
        <w:t>e-mail: TVVaskevich@fa.ru</w:t>
      </w:r>
    </w:p>
    <w:p w14:paraId="7C5E8FDD" w14:textId="77777777" w:rsidR="00300067" w:rsidRPr="00C30970" w:rsidRDefault="00300067" w:rsidP="002E54D6">
      <w:pPr>
        <w:spacing w:after="0" w:line="240" w:lineRule="auto"/>
        <w:ind w:left="268" w:right="91" w:hanging="10"/>
        <w:jc w:val="center"/>
        <w:rPr>
          <w:rFonts w:ascii="Times New Roman" w:eastAsia="Times New Roman" w:hAnsi="Times New Roman" w:cs="Times New Roman"/>
          <w:b/>
          <w:bCs/>
          <w:color w:val="000000"/>
          <w:sz w:val="21"/>
          <w:lang w:val="en-US" w:eastAsia="ru-RU"/>
        </w:rPr>
      </w:pPr>
    </w:p>
    <w:p w14:paraId="0F2A220B" w14:textId="3640EF5C" w:rsidR="002A0AC8" w:rsidRPr="002A0AC8" w:rsidRDefault="002A0AC8" w:rsidP="002E54D6">
      <w:pPr>
        <w:spacing w:after="0" w:line="240" w:lineRule="auto"/>
        <w:ind w:left="268" w:right="91" w:hanging="10"/>
        <w:jc w:val="center"/>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b/>
          <w:bCs/>
          <w:color w:val="000000"/>
          <w:sz w:val="21"/>
          <w:lang w:val="en-US" w:eastAsia="ru-RU"/>
        </w:rPr>
        <w:t>Visualization of music consumption trends: analyzing audience behavior using dashboards</w:t>
      </w:r>
    </w:p>
    <w:p w14:paraId="60872A34" w14:textId="77777777" w:rsidR="00300067" w:rsidRPr="00C30970" w:rsidRDefault="00300067" w:rsidP="002E54D6">
      <w:pPr>
        <w:spacing w:after="0" w:line="240" w:lineRule="auto"/>
        <w:ind w:left="127" w:right="99" w:firstLine="708"/>
        <w:jc w:val="both"/>
        <w:rPr>
          <w:rFonts w:ascii="Times New Roman" w:eastAsia="Times New Roman" w:hAnsi="Times New Roman" w:cs="Times New Roman"/>
          <w:b/>
          <w:color w:val="000000"/>
          <w:sz w:val="21"/>
          <w:lang w:val="en-US" w:eastAsia="ru-RU"/>
        </w:rPr>
      </w:pPr>
    </w:p>
    <w:p w14:paraId="7454DC9F" w14:textId="557E120C" w:rsidR="002A0AC8" w:rsidRPr="002A0AC8" w:rsidRDefault="002A0AC8" w:rsidP="002E54D6">
      <w:pPr>
        <w:spacing w:after="0" w:line="240" w:lineRule="auto"/>
        <w:ind w:left="127" w:right="99" w:firstLine="708"/>
        <w:jc w:val="both"/>
        <w:rPr>
          <w:rFonts w:ascii="Times New Roman" w:eastAsia="Times New Roman" w:hAnsi="Times New Roman" w:cs="Times New Roman"/>
          <w:bCs/>
          <w:color w:val="000000"/>
          <w:sz w:val="21"/>
          <w:lang w:val="en-US" w:eastAsia="ru-RU"/>
        </w:rPr>
      </w:pPr>
      <w:r w:rsidRPr="002A0AC8">
        <w:rPr>
          <w:rFonts w:ascii="Times New Roman" w:eastAsia="Times New Roman" w:hAnsi="Times New Roman" w:cs="Times New Roman"/>
          <w:b/>
          <w:color w:val="000000"/>
          <w:sz w:val="21"/>
          <w:lang w:val="en-US" w:eastAsia="ru-RU"/>
        </w:rPr>
        <w:lastRenderedPageBreak/>
        <w:t xml:space="preserve">Abstract: </w:t>
      </w:r>
      <w:r w:rsidRPr="002A0AC8">
        <w:rPr>
          <w:rFonts w:ascii="Times New Roman" w:eastAsia="Times New Roman" w:hAnsi="Times New Roman" w:cs="Times New Roman"/>
          <w:bCs/>
          <w:color w:val="000000"/>
          <w:sz w:val="21"/>
          <w:lang w:val="en-US" w:eastAsia="ru-RU"/>
        </w:rPr>
        <w:t>Visualization of music consumption trends through dashboards opens new possibilities for audience analysis. Modern data processing tools not only simplify statistics collection but also fundamentally transform the approach to understanding listener preferences. Despite this potential, such methods remain sporadically used in Russia, while abroad, dashboards have become an industry standard for music streaming platforms. For instance, Spotify and Apple Music actively employ data visualization, making analytics a cornerstone of the music industry.</w:t>
      </w:r>
    </w:p>
    <w:p w14:paraId="1052F415" w14:textId="77777777" w:rsidR="002A0AC8" w:rsidRPr="002A0AC8" w:rsidRDefault="002A0AC8" w:rsidP="002A0AC8">
      <w:pPr>
        <w:spacing w:after="5" w:line="267" w:lineRule="auto"/>
        <w:ind w:left="127" w:right="99" w:firstLine="708"/>
        <w:jc w:val="both"/>
        <w:rPr>
          <w:rFonts w:ascii="Times New Roman" w:eastAsia="Times New Roman" w:hAnsi="Times New Roman" w:cs="Times New Roman"/>
          <w:color w:val="000000"/>
          <w:sz w:val="32"/>
          <w:lang w:val="en-US" w:eastAsia="ru-RU"/>
        </w:rPr>
      </w:pPr>
      <w:r w:rsidRPr="002A0AC8">
        <w:rPr>
          <w:rFonts w:ascii="Times New Roman" w:eastAsia="Times New Roman" w:hAnsi="Times New Roman" w:cs="Times New Roman"/>
          <w:b/>
          <w:color w:val="000000"/>
          <w:sz w:val="21"/>
          <w:lang w:val="en-US" w:eastAsia="ru-RU"/>
        </w:rPr>
        <w:t>Keywords:</w:t>
      </w:r>
      <w:r w:rsidRPr="002A0AC8">
        <w:rPr>
          <w:rFonts w:ascii="Times New Roman" w:eastAsia="Times New Roman" w:hAnsi="Times New Roman" w:cs="Times New Roman"/>
          <w:color w:val="000000"/>
          <w:sz w:val="21"/>
          <w:lang w:val="en-US" w:eastAsia="ru-RU"/>
        </w:rPr>
        <w:t xml:space="preserve"> data visualization, music consumption, dashboards, audience analysis, streaming platforms.</w:t>
      </w:r>
    </w:p>
    <w:p w14:paraId="3AC73EA2" w14:textId="77777777" w:rsidR="00300067" w:rsidRPr="00C30970" w:rsidRDefault="002A0AC8" w:rsidP="00300067">
      <w:pPr>
        <w:spacing w:after="79"/>
        <w:ind w:left="850"/>
        <w:rPr>
          <w:rFonts w:ascii="Times New Roman" w:eastAsia="Times New Roman" w:hAnsi="Times New Roman" w:cs="Times New Roman"/>
          <w:color w:val="000000"/>
          <w:sz w:val="21"/>
          <w:lang w:val="en-US" w:eastAsia="ru-RU"/>
        </w:rPr>
      </w:pPr>
      <w:r w:rsidRPr="00C30970">
        <w:rPr>
          <w:rFonts w:ascii="Times New Roman" w:eastAsia="Times New Roman" w:hAnsi="Times New Roman" w:cs="Times New Roman"/>
          <w:color w:val="000000"/>
          <w:sz w:val="21"/>
          <w:lang w:val="en-US" w:eastAsia="ru-RU"/>
        </w:rPr>
        <w:t xml:space="preserve"> </w:t>
      </w:r>
    </w:p>
    <w:p w14:paraId="684AE414" w14:textId="283600BE" w:rsidR="002A0AC8" w:rsidRPr="002A0AC8" w:rsidRDefault="002A0AC8" w:rsidP="00CB1057">
      <w:pPr>
        <w:spacing w:after="0" w:line="240" w:lineRule="auto"/>
        <w:ind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В последние годы анализ поведения аудитории музыкальных стриминговых сервисов становится все более востребованным в условиях цифровой трансформации индустрии. Исследование реальных паттернов потребления музыки позволяет не только фиксировать текущие предпочтения слушателей, но и выявлять формирующиеся культурные тренды, создавая новые возможности для продвижения контента.</w:t>
      </w:r>
    </w:p>
    <w:p w14:paraId="1C1CBCFE"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Современные аналитические подходы дают доступ к фактическим, а не декларируемым моделям взаимодействия пользователей с музыкальными платформами. Особую ценность представляет изучение взаимосвязей между социально-демографическими характеристиками аудитории, контекстом прослушиваний и эмоциональными факторами выбора. Как показывают исследования, поведенческие данные часто расходятся с результатами опросов - пользователи регулярно слушают музыку, которую не назвали бы среди своих предпочтений.</w:t>
      </w:r>
    </w:p>
    <w:p w14:paraId="158B1B11"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Ведущие стриминговые сервисы уже активно используют эти методы. Анализ таких параметров, как частота переключения треков, повторное прослушивание композиций и динамика составления плейлистов позволяет с высокой точностью определять не только музыкальные вкусы, но и эмоциональное состояние аудитории. Эти данные легли в основу современных рекомендательных систем и таргетированных маркетинговых инструментов.</w:t>
      </w:r>
    </w:p>
    <w:p w14:paraId="149A16E6"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Перспективы направления связаны с интеграцией поведенческого анализа с дополнительными данными - от социальной активности до психографических показателей. Такой комплексный подход открывает новые горизонты для понимания музыкального потребления как элемента цифрового образа жизни современного человека.</w:t>
      </w:r>
    </w:p>
    <w:p w14:paraId="766D201C"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Основные метрики анализа музыкального потребления и их значение:</w:t>
      </w:r>
    </w:p>
    <w:p w14:paraId="5375D8F8"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 xml:space="preserve">Количество прослушиваний и уникальных слушателей представляет собой фундаментальные показатели оценки </w:t>
      </w:r>
      <w:r w:rsidRPr="002A0AC8">
        <w:rPr>
          <w:rFonts w:ascii="Times New Roman" w:eastAsia="Times New Roman" w:hAnsi="Times New Roman" w:cs="Times New Roman"/>
          <w:color w:val="000000"/>
          <w:sz w:val="32"/>
          <w:szCs w:val="32"/>
          <w:lang w:eastAsia="ru-RU"/>
        </w:rPr>
        <w:lastRenderedPageBreak/>
        <w:t>популярности музыкального контента. Общее число прослушиваний отражает массовость потребления, тогда как количество уникальных слушателей указывает на степень проникновения контента в различные сегменты аудитории. Динамика роста уникальных слушателей свидетельствует о процессе органического расширения аудитории и может рассматриваться как индикатор успешности маркетинговых стратегий.</w:t>
      </w:r>
    </w:p>
    <w:p w14:paraId="6B11733D"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Продолжительность прослушивания и показатели удержания аудитории являются важными индикаторами качества музыкального продукта. Высокие значения этих метрик демонстрируют способность контента удерживать внимание слушателей на протяжении всего трека, что косвенно свидетельствует о его художественной и технической состоятельности. Низкие показатели продолжительности прослушивания могут указывать на необходимость пересмотра структурных элементов композиции или ее аранжировочных решений.</w:t>
      </w:r>
    </w:p>
    <w:p w14:paraId="177EE080"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Показатели скачиваний и добавлений в пользовательские плейлисты отражают уровень вовлеченности аудитории и степень ее лояльности. Эти метрики особенно значимы, так как свидетельствуют о сознательном выборе пользователей и их намерении возвращаться к конкретному музыкальному контенту. Высокие значения данных показателей могут рассматриваться как маркер художественной ценности материала и его соответствия ожиданиям целевой аудитории.</w:t>
      </w:r>
    </w:p>
    <w:p w14:paraId="7977535B"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Анализ географического распределения слушателей предоставляет ценную информацию для разработки территориально-ориентированных маркетинговых стратегий. Данные о регионах с наибольшей концентрацией аудитории позволяют оптимизировать планирование концертной деятельности и медийных кампаний, а также выявлять перспективные рынки для экспансии музыкального продукта.</w:t>
      </w:r>
    </w:p>
    <w:p w14:paraId="71C5C77C"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Демографические характеристики аудитории, включая возраст и гендерную принадлежность слушателей, играют ключевую роль в понимании потребительских предпочтений. Эти данные позволяют адаптировать как сам музыкальный контент, так и сопутствующие маркетинговые коммуникации под специфические запросы различных социально-демографических групп, что способствует повышению эффективности продвижения.</w:t>
      </w:r>
    </w:p>
    <w:p w14:paraId="4B82E2F2"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lastRenderedPageBreak/>
        <w:t xml:space="preserve">Мы можем рассмотреть данные из отчета </w:t>
      </w:r>
      <w:bookmarkStart w:id="102" w:name="_Hlk196330123"/>
      <w:r w:rsidRPr="002A0AC8">
        <w:rPr>
          <w:rFonts w:ascii="Times New Roman" w:eastAsia="Times New Roman" w:hAnsi="Times New Roman" w:cs="Times New Roman"/>
          <w:color w:val="000000"/>
          <w:sz w:val="32"/>
          <w:szCs w:val="32"/>
          <w:lang w:eastAsia="ru-RU"/>
        </w:rPr>
        <w:t xml:space="preserve">Напреенко И. В., Рондарев А. В. </w:t>
      </w:r>
      <w:bookmarkEnd w:id="102"/>
      <w:r w:rsidRPr="002A0AC8">
        <w:rPr>
          <w:rFonts w:ascii="Times New Roman" w:eastAsia="Times New Roman" w:hAnsi="Times New Roman" w:cs="Times New Roman"/>
          <w:color w:val="000000"/>
          <w:sz w:val="32"/>
          <w:szCs w:val="32"/>
          <w:lang w:eastAsia="ru-RU"/>
        </w:rPr>
        <w:t>“Практики музыкального потребления россиян. Основные особенности и тренды”.</w:t>
      </w:r>
      <w:r w:rsidRPr="002A0AC8">
        <w:rPr>
          <w:rFonts w:ascii="Times New Roman" w:eastAsia="Times New Roman" w:hAnsi="Times New Roman" w:cs="Times New Roman"/>
          <w:color w:val="F8FAFF"/>
          <w:sz w:val="32"/>
          <w:szCs w:val="32"/>
          <w:lang w:eastAsia="ru-RU"/>
        </w:rPr>
        <w:t xml:space="preserve"> </w:t>
      </w:r>
      <w:r w:rsidRPr="002A0AC8">
        <w:rPr>
          <w:rFonts w:ascii="Times New Roman" w:eastAsia="Times New Roman" w:hAnsi="Times New Roman" w:cs="Times New Roman"/>
          <w:sz w:val="32"/>
          <w:szCs w:val="32"/>
          <w:lang w:eastAsia="ru-RU"/>
        </w:rPr>
        <w:t>Исследование посвящено анализу слушательских привычек и предпочтений россиян, включая цифровое и офлайн-потребление музыки. Авторы рассматривают ключевые тенденции, такие как влияние стриминговых сервисов, жанровые предпочтения и социально-демографические различия в музыкальном поведении. Цель работы – выявить основные закономерности и изменения в музыкальных практиках российских слушателей</w:t>
      </w:r>
      <w:r w:rsidRPr="002A0AC8">
        <w:rPr>
          <w:rFonts w:ascii="Times New Roman" w:eastAsia="Times New Roman" w:hAnsi="Times New Roman" w:cs="Times New Roman"/>
          <w:color w:val="F8FAFF"/>
          <w:sz w:val="32"/>
          <w:szCs w:val="32"/>
          <w:lang w:eastAsia="ru-RU"/>
        </w:rPr>
        <w:t xml:space="preserve">. </w:t>
      </w:r>
      <w:r w:rsidRPr="002A0AC8">
        <w:rPr>
          <w:rFonts w:ascii="Times New Roman" w:eastAsia="Times New Roman" w:hAnsi="Times New Roman" w:cs="Times New Roman"/>
          <w:color w:val="000000"/>
          <w:sz w:val="32"/>
          <w:szCs w:val="32"/>
          <w:lang w:eastAsia="ru-RU"/>
        </w:rPr>
        <w:t>На основе представленных данных можно сделать следующие выводы для бизнес-анализа музыкальной индустрии.</w:t>
      </w:r>
    </w:p>
    <w:p w14:paraId="77494457"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Значимость музыки для аудитории показывает, что музыка является важной частью жизни для всех возрастных групп, особенно для молодежи (18-35 лет), где 44-51% респондентов называют её "спутницей жизни". Женщины проявляют большую эмоциональную привязанность к музыке (42% считают себя "фанатами" против 34% мужчин), в то время как мужчины чаще скачивают музыку (50% против 39% у женщин). Это указывает на необходимость эмоционального маркетинга и персонализированного подхода к молодежной и женской аудитории.</w:t>
      </w:r>
    </w:p>
    <w:p w14:paraId="50CFA30F"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Платформы и модели потребления демонстрируют доминирование стриминга: 85% слушают музыку онлайн, особенно через YouTube и стриминговые сервисы. Среди платных подписок лидирует Spotify (34-46% у аудитории 19-35 лет), за ним следуют Яндекс.Музыка и Apple Music. При этом 30-67% пользователей не имеют платной подписки, что открывает возможности для монетизации через рекламные модели или гибкие тарифы.</w:t>
      </w:r>
    </w:p>
    <w:p w14:paraId="48AF4E31"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Факторы выбора музыки важнее жанра включают настроение и атмосферу (16%), музыкальные составляющие (11%), личные ощущения (10%) и личность артиста (8%). Это подчеркивает важность создания эмоционально заряженного контента и развития артистов как брендов.</w:t>
      </w:r>
    </w:p>
    <w:p w14:paraId="08577C2E"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Традиционные форматы (радио, физические носители) сохраняют аудиторию, особенно среди старших возрастов (21% женщин слушают радио, 28% мужчин используют физические носители). Для бизнеса это означает необходимость многоканального присутствия, включая нишевые форматы.</w:t>
      </w:r>
    </w:p>
    <w:p w14:paraId="1F43A40A"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 xml:space="preserve">Исходя из предоставленных данных, можно, проанализировав их, выработать несколько стратегий для повышения прибыли. Так, </w:t>
      </w:r>
      <w:r w:rsidRPr="002A0AC8">
        <w:rPr>
          <w:rFonts w:ascii="Times New Roman" w:eastAsia="Times New Roman" w:hAnsi="Times New Roman" w:cs="Times New Roman"/>
          <w:color w:val="000000"/>
          <w:sz w:val="32"/>
          <w:szCs w:val="32"/>
          <w:lang w:eastAsia="ru-RU"/>
        </w:rPr>
        <w:lastRenderedPageBreak/>
        <w:t>если значительная часть аудитории (30–67%) не использует платные подписки, это открывает возможности для монетизации через рекламные модели, партнёрские программы или гибкие тарифные планы. Например, можно предлагать эксклюзивный контент или ранний доступ к новым релизам за подписку, стимулируя переход с бесплатных аккаунтов на платные.</w:t>
      </w:r>
    </w:p>
    <w:p w14:paraId="00F8D75F"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Также данные показывают, что важнее жанра для слушателей являются настроение и атмосфера (16%), музыкальные составляющие (11%) и личность артиста (8%). Это означает, что продюсерам стоит уделять больше внимания не только качеству музыки, но и формированию уникального образа исполнителя, его харизме и личной истории. Создание "бренда" артиста, включая активность в соцсетях и взаимодействие с фанатами, может значительно повысить лояльность аудитории и, как следствие, доходы.</w:t>
      </w:r>
    </w:p>
    <w:p w14:paraId="656B12C7"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Кроме того, несмотря на рост цифровых платформ, традиционные форматы, такие как радио и физические носители, сохраняют свою аудиторию, особенно среди старших возрастных групп. Это говорит о том, что маркетинговые стратегии должны быть многоканальными, охватывая как цифровые, так и оффлайн-площадки. Например, можно выпускать ограниченные тиражи виниловых пластинок или кассет для коллекционеров, одновременно продвигая релизы в стримингах и соцсетях.</w:t>
      </w:r>
    </w:p>
    <w:p w14:paraId="57BC5022"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Применяя эти метрики на практике, важно учитывать современные особенности кроссплатформенного поведения слушателей. Как показывают данные, 85% пользователей сочетают стриминговые сервисы с традиционными форматами потребления - радио (15-21%) и физическими носителями (18-28%). Этот гибридный паттерн требует интегрированных маркетинговых решений, где цифровые кампании дополняются оффлайн-активациями. Эффективным приемом становится создание "мостов" между форматами - например, размещение QR-кодов на виниловых изданиях, открывающих доступ к эксклюзивному стриминговому контенту.</w:t>
      </w:r>
    </w:p>
    <w:p w14:paraId="6E5B069C"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 xml:space="preserve">Особую ценность для продюсеров представляет анализ расхождений между декларируемыми и реальными предпочтениями аудитории. Поведенческие данные (полнота прослушивания, добавление в приватные плейлисты) часто противоречат результатам опросов, выявляя истинные музыкальные пристрастия. Современные аналитические системы, подобные Spotify for Artists, отслеживают не </w:t>
      </w:r>
      <w:r w:rsidRPr="002A0AC8">
        <w:rPr>
          <w:rFonts w:ascii="Times New Roman" w:eastAsia="Times New Roman" w:hAnsi="Times New Roman" w:cs="Times New Roman"/>
          <w:color w:val="000000"/>
          <w:sz w:val="32"/>
          <w:szCs w:val="32"/>
          <w:lang w:eastAsia="ru-RU"/>
        </w:rPr>
        <w:lastRenderedPageBreak/>
        <w:t>только явные действия (лайки, шеринги), но и пассивные сигналы - процент дослушивания композиций, частоту переключения треков. Эти индикаторы служат точным инструментом для корректировки музыкального продукта - если треки регулярно прерывают на определенном отрезке, это сигнализирует о необходимости доработки аранжировки или структуры композиции.</w:t>
      </w:r>
    </w:p>
    <w:p w14:paraId="35197BD8"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 xml:space="preserve">Геоданные слушателей открывают новые возможности для глубокой персонализации музыкального контента и маркетинговых стратегий. Анализ территориального распределения аудитории позволяет не только оптимизировать концертные туры и рекламные кампании, но и выявлять уникальные культурные особенности музыкального потребления в разных регионах. В локациях с высокой вовлеченностью пользователей (частые добавления в плейлисты, повторные прослушивания) особенно эффективны культурно-адаптированные решения - от создания специальных аранжировок, учитывающих местные музыкальные традиции, до организации коллабораций с региональными исполнителями. При этом данные о географических предпочтениях помогают формировать тематические подборки, привязанные к местным праздникам и событиям, что значительно повышает вовлеченность аудитории. </w:t>
      </w:r>
    </w:p>
    <w:p w14:paraId="2DB0D9F9"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Наконец, использование аналитических инструментов, таких как дашборды, позволит маркетологам и продюсерам отслеживать тренды в режиме реального времени, оперативно адаптировать стратегии и максимально точно таргетировать рекламные кампании. Анализ данных о предпочтениях аудитории, географическом распределении и активности слушателей поможет оптимизировать бюджеты и повысить эффективность маркетинговых усилий.</w:t>
      </w:r>
    </w:p>
    <w:p w14:paraId="74A6EA63" w14:textId="77777777" w:rsidR="002A0AC8" w:rsidRPr="002A0AC8" w:rsidRDefault="002A0AC8" w:rsidP="00CB1057">
      <w:pPr>
        <w:spacing w:after="0" w:line="240" w:lineRule="auto"/>
        <w:ind w:left="142" w:firstLine="709"/>
        <w:jc w:val="both"/>
        <w:rPr>
          <w:rFonts w:ascii="Times New Roman" w:eastAsia="Times New Roman" w:hAnsi="Times New Roman" w:cs="Times New Roman"/>
          <w:color w:val="000000"/>
          <w:sz w:val="28"/>
          <w:szCs w:val="28"/>
          <w:lang w:eastAsia="ru-RU"/>
        </w:rPr>
      </w:pPr>
      <w:r w:rsidRPr="002A0AC8">
        <w:rPr>
          <w:rFonts w:ascii="Times New Roman" w:eastAsia="Times New Roman" w:hAnsi="Times New Roman" w:cs="Times New Roman"/>
          <w:noProof/>
          <w:color w:val="000000"/>
          <w:sz w:val="32"/>
          <w:szCs w:val="32"/>
          <w:lang w:eastAsia="ru-RU"/>
        </w:rPr>
        <w:lastRenderedPageBreak/>
        <w:drawing>
          <wp:anchor distT="0" distB="0" distL="114300" distR="114300" simplePos="0" relativeHeight="251682816" behindDoc="0" locked="0" layoutInCell="1" allowOverlap="1" wp14:anchorId="212A9BDF" wp14:editId="7AAA761A">
            <wp:simplePos x="0" y="0"/>
            <wp:positionH relativeFrom="page">
              <wp:align>center</wp:align>
            </wp:positionH>
            <wp:positionV relativeFrom="paragraph">
              <wp:posOffset>775335</wp:posOffset>
            </wp:positionV>
            <wp:extent cx="6400800" cy="3152775"/>
            <wp:effectExtent l="0" t="0" r="0" b="9525"/>
            <wp:wrapSquare wrapText="bothSides"/>
            <wp:docPr id="11531846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6400800" cy="3152775"/>
                    </a:xfrm>
                    <a:prstGeom prst="rect">
                      <a:avLst/>
                    </a:prstGeom>
                    <a:noFill/>
                    <a:ln>
                      <a:noFill/>
                    </a:ln>
                  </pic:spPr>
                </pic:pic>
              </a:graphicData>
            </a:graphic>
          </wp:anchor>
        </w:drawing>
      </w:r>
      <w:r w:rsidRPr="002A0AC8">
        <w:rPr>
          <w:rFonts w:ascii="Times New Roman" w:eastAsia="Times New Roman" w:hAnsi="Times New Roman" w:cs="Times New Roman"/>
          <w:color w:val="000000"/>
          <w:sz w:val="32"/>
          <w:szCs w:val="32"/>
          <w:lang w:eastAsia="ru-RU"/>
        </w:rPr>
        <w:t xml:space="preserve">В рамках научно-исследовательской деятельности мы провели исследование по датасету, в котором была информация о статистике платформы </w:t>
      </w:r>
      <w:r w:rsidRPr="002A0AC8">
        <w:rPr>
          <w:rFonts w:ascii="Times New Roman" w:eastAsia="Times New Roman" w:hAnsi="Times New Roman" w:cs="Times New Roman"/>
          <w:color w:val="000000"/>
          <w:sz w:val="32"/>
          <w:szCs w:val="32"/>
          <w:lang w:val="en-US" w:eastAsia="ru-RU"/>
        </w:rPr>
        <w:t>Spotify</w:t>
      </w:r>
      <w:r w:rsidRPr="002A0AC8">
        <w:rPr>
          <w:rFonts w:ascii="Times New Roman" w:eastAsia="Times New Roman" w:hAnsi="Times New Roman" w:cs="Times New Roman"/>
          <w:color w:val="000000"/>
          <w:sz w:val="32"/>
          <w:szCs w:val="32"/>
          <w:lang w:eastAsia="ru-RU"/>
        </w:rPr>
        <w:t xml:space="preserve">. Для построения дашборда использовалась </w:t>
      </w:r>
      <w:r w:rsidRPr="002A0AC8">
        <w:rPr>
          <w:rFonts w:ascii="Times New Roman" w:eastAsia="Times New Roman" w:hAnsi="Times New Roman" w:cs="Times New Roman"/>
          <w:color w:val="000000"/>
          <w:sz w:val="28"/>
          <w:szCs w:val="28"/>
          <w:lang w:eastAsia="ru-RU"/>
        </w:rPr>
        <w:t xml:space="preserve">платформа </w:t>
      </w:r>
      <w:r w:rsidRPr="002A0AC8">
        <w:rPr>
          <w:rFonts w:ascii="Times New Roman" w:eastAsia="Times New Roman" w:hAnsi="Times New Roman" w:cs="Times New Roman"/>
          <w:color w:val="000000"/>
          <w:sz w:val="28"/>
          <w:szCs w:val="28"/>
          <w:lang w:val="en-US" w:eastAsia="ru-RU"/>
        </w:rPr>
        <w:t>YandexDataLens</w:t>
      </w:r>
      <w:r w:rsidRPr="002A0AC8">
        <w:rPr>
          <w:rFonts w:ascii="Times New Roman" w:eastAsia="Times New Roman" w:hAnsi="Times New Roman" w:cs="Times New Roman"/>
          <w:color w:val="000000"/>
          <w:sz w:val="28"/>
          <w:szCs w:val="28"/>
          <w:lang w:eastAsia="ru-RU"/>
        </w:rPr>
        <w:t>.</w:t>
      </w:r>
    </w:p>
    <w:p w14:paraId="7E64B41F" w14:textId="77777777" w:rsidR="002A0AC8" w:rsidRPr="002A0AC8" w:rsidRDefault="002A0AC8" w:rsidP="002A0AC8">
      <w:pPr>
        <w:spacing w:after="0" w:line="250" w:lineRule="auto"/>
        <w:ind w:left="142" w:firstLine="720"/>
        <w:jc w:val="center"/>
        <w:rPr>
          <w:rFonts w:ascii="Times New Roman" w:eastAsia="Times New Roman" w:hAnsi="Times New Roman" w:cs="Times New Roman"/>
          <w:color w:val="000000"/>
          <w:sz w:val="28"/>
          <w:szCs w:val="28"/>
          <w:lang w:eastAsia="ru-RU"/>
        </w:rPr>
      </w:pPr>
      <w:r w:rsidRPr="002A0AC8">
        <w:rPr>
          <w:rFonts w:ascii="Times New Roman" w:eastAsia="Times New Roman" w:hAnsi="Times New Roman" w:cs="Times New Roman"/>
          <w:color w:val="000000"/>
          <w:sz w:val="28"/>
          <w:szCs w:val="28"/>
          <w:lang w:eastAsia="ru-RU"/>
        </w:rPr>
        <w:t xml:space="preserve">Рисунок 1. Исследование по датасету </w:t>
      </w:r>
      <w:r w:rsidRPr="002A0AC8">
        <w:rPr>
          <w:rFonts w:ascii="Times New Roman" w:eastAsia="Times New Roman" w:hAnsi="Times New Roman" w:cs="Times New Roman"/>
          <w:color w:val="000000"/>
          <w:sz w:val="28"/>
          <w:szCs w:val="28"/>
          <w:lang w:val="en-US" w:eastAsia="ru-RU"/>
        </w:rPr>
        <w:t>Spotify</w:t>
      </w:r>
    </w:p>
    <w:p w14:paraId="785F0F61" w14:textId="77777777" w:rsidR="002A0AC8" w:rsidRPr="002A0AC8" w:rsidRDefault="002A0AC8" w:rsidP="002A0AC8">
      <w:pPr>
        <w:spacing w:after="0" w:line="250" w:lineRule="auto"/>
        <w:ind w:left="142" w:firstLine="720"/>
        <w:jc w:val="center"/>
        <w:rPr>
          <w:rFonts w:ascii="Times New Roman" w:eastAsia="Times New Roman" w:hAnsi="Times New Roman" w:cs="Times New Roman"/>
          <w:color w:val="000000"/>
          <w:sz w:val="28"/>
          <w:szCs w:val="28"/>
          <w:lang w:eastAsia="ru-RU"/>
        </w:rPr>
      </w:pPr>
    </w:p>
    <w:p w14:paraId="71DE01D5" w14:textId="77777777" w:rsidR="002A0AC8" w:rsidRPr="002A0AC8" w:rsidRDefault="002A0AC8" w:rsidP="002A0AC8">
      <w:pPr>
        <w:spacing w:after="0" w:line="250" w:lineRule="auto"/>
        <w:ind w:left="142" w:firstLine="720"/>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Исследуя информацию, мы выявили, что сейчас наиболее популярна музыка, которая написана в жанрах поп, хип-хоп, латино, рок. Также треки, которые больше пользовались вниманием у пользователей обычно длились от 195 секунд до 274 секунд. Еще было отмечено, что слушателям нравится музыка, в которой ее энергичность можно оценить на 5,34-8,72 балла, что является средним показателем. Исходя из этих данных можно выявить закономерности и использовать их для продвижения.</w:t>
      </w:r>
    </w:p>
    <w:p w14:paraId="6CF9437C" w14:textId="77777777" w:rsidR="002A0AC8" w:rsidRPr="002A0AC8" w:rsidRDefault="002A0AC8" w:rsidP="002A0AC8">
      <w:pPr>
        <w:spacing w:after="0" w:line="250" w:lineRule="auto"/>
        <w:ind w:left="142" w:firstLine="720"/>
        <w:jc w:val="both"/>
        <w:rPr>
          <w:rFonts w:ascii="Times New Roman" w:eastAsia="Times New Roman" w:hAnsi="Times New Roman" w:cs="Times New Roman"/>
          <w:color w:val="000000"/>
          <w:sz w:val="32"/>
          <w:szCs w:val="32"/>
          <w:lang w:eastAsia="ru-RU"/>
        </w:rPr>
      </w:pPr>
      <w:r w:rsidRPr="002A0AC8">
        <w:rPr>
          <w:rFonts w:ascii="Times New Roman" w:eastAsia="Times New Roman" w:hAnsi="Times New Roman" w:cs="Times New Roman"/>
          <w:color w:val="000000"/>
          <w:sz w:val="32"/>
          <w:szCs w:val="32"/>
          <w:lang w:eastAsia="ru-RU"/>
        </w:rPr>
        <w:t>Таким образом, для увеличения прибыли и популяризации контента необходимо сделать ставку на эмоциональный маркетинг, персонализацию, развитие бренда артиста, многоканальное продвижение и использование данных для принятия решений. Эти стратегии позволят не только удержать существующую аудиторию, но и привлечь новых слушателей, максимизируя монетизацию музыкального контента.</w:t>
      </w:r>
    </w:p>
    <w:p w14:paraId="319ED6AC" w14:textId="77777777" w:rsidR="002A0AC8" w:rsidRPr="002A0AC8" w:rsidRDefault="002A0AC8" w:rsidP="002A0AC8">
      <w:pPr>
        <w:autoSpaceDE w:val="0"/>
        <w:autoSpaceDN w:val="0"/>
        <w:adjustRightInd w:val="0"/>
        <w:spacing w:after="0" w:line="240" w:lineRule="auto"/>
        <w:jc w:val="center"/>
        <w:rPr>
          <w:rFonts w:ascii="Times New Roman" w:eastAsia="Times New Roman" w:hAnsi="Times New Roman" w:cs="Times New Roman"/>
          <w:b/>
          <w:sz w:val="21"/>
          <w:szCs w:val="21"/>
          <w:lang w:eastAsia="ru-RU"/>
        </w:rPr>
      </w:pPr>
    </w:p>
    <w:p w14:paraId="359E4A3E" w14:textId="56DDC737" w:rsidR="002A0AC8" w:rsidRPr="002A0AC8" w:rsidRDefault="00CB1057" w:rsidP="00A916AA">
      <w:pPr>
        <w:keepNext/>
        <w:keepLines/>
        <w:autoSpaceDE w:val="0"/>
        <w:autoSpaceDN w:val="0"/>
        <w:adjustRightInd w:val="0"/>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Л</w:t>
      </w:r>
      <w:r w:rsidR="002A0AC8" w:rsidRPr="002A0AC8">
        <w:rPr>
          <w:rFonts w:ascii="Times New Roman" w:eastAsia="Times New Roman" w:hAnsi="Times New Roman" w:cs="Times New Roman"/>
          <w:b/>
          <w:sz w:val="21"/>
          <w:szCs w:val="21"/>
          <w:lang w:eastAsia="ru-RU"/>
        </w:rPr>
        <w:t>итератур</w:t>
      </w:r>
      <w:r>
        <w:rPr>
          <w:rFonts w:ascii="Times New Roman" w:eastAsia="Times New Roman" w:hAnsi="Times New Roman" w:cs="Times New Roman"/>
          <w:b/>
          <w:sz w:val="21"/>
          <w:szCs w:val="21"/>
          <w:lang w:eastAsia="ru-RU"/>
        </w:rPr>
        <w:t>а:</w:t>
      </w:r>
    </w:p>
    <w:p w14:paraId="14930A7D"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Calibri" w:hAnsi="Times New Roman" w:cs="Times New Roman"/>
          <w:sz w:val="21"/>
          <w:szCs w:val="21"/>
        </w:rPr>
        <w:t xml:space="preserve">"Практики музыкального потребления россиян. Основные особенности и тренды" </w:t>
      </w:r>
      <w:bookmarkStart w:id="103" w:name="_Hlk196653290"/>
      <w:r w:rsidRPr="002A0AC8">
        <w:rPr>
          <w:rFonts w:ascii="Times New Roman" w:eastAsia="Calibri" w:hAnsi="Times New Roman" w:cs="Times New Roman"/>
          <w:sz w:val="21"/>
          <w:szCs w:val="21"/>
        </w:rPr>
        <w:t>[Электронный ресурс] URL:</w:t>
      </w:r>
      <w:bookmarkEnd w:id="103"/>
      <w:r w:rsidRPr="002A0AC8">
        <w:rPr>
          <w:rFonts w:ascii="Times New Roman" w:eastAsia="Calibri" w:hAnsi="Times New Roman" w:cs="Times New Roman"/>
          <w:sz w:val="21"/>
          <w:szCs w:val="21"/>
        </w:rPr>
        <w:t xml:space="preserve"> https://ics.hse.ru/mirror/pubs/share/560626484.pdf</w:t>
      </w:r>
    </w:p>
    <w:p w14:paraId="68060858"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Times New Roman" w:hAnsi="Times New Roman" w:cs="Times New Roman"/>
          <w:i/>
          <w:color w:val="000000"/>
          <w:sz w:val="21"/>
          <w:szCs w:val="21"/>
          <w:lang w:eastAsia="ru-RU"/>
        </w:rPr>
        <w:t xml:space="preserve">Щипицина, Л. Ю., Цифровые технологии </w:t>
      </w:r>
      <w:proofErr w:type="gramStart"/>
      <w:r w:rsidRPr="002A0AC8">
        <w:rPr>
          <w:rFonts w:ascii="Times New Roman" w:eastAsia="Times New Roman" w:hAnsi="Times New Roman" w:cs="Times New Roman"/>
          <w:i/>
          <w:color w:val="000000"/>
          <w:sz w:val="21"/>
          <w:szCs w:val="21"/>
          <w:lang w:eastAsia="ru-RU"/>
        </w:rPr>
        <w:t>визуализации :</w:t>
      </w:r>
      <w:proofErr w:type="gramEnd"/>
      <w:r w:rsidRPr="002A0AC8">
        <w:rPr>
          <w:rFonts w:ascii="Times New Roman" w:eastAsia="Times New Roman" w:hAnsi="Times New Roman" w:cs="Times New Roman"/>
          <w:i/>
          <w:color w:val="000000"/>
          <w:sz w:val="21"/>
          <w:szCs w:val="21"/>
          <w:lang w:eastAsia="ru-RU"/>
        </w:rPr>
        <w:t xml:space="preserve"> учебное пособие / Л. Ю. Щипицина. — </w:t>
      </w:r>
      <w:proofErr w:type="gramStart"/>
      <w:r w:rsidRPr="002A0AC8">
        <w:rPr>
          <w:rFonts w:ascii="Times New Roman" w:eastAsia="Times New Roman" w:hAnsi="Times New Roman" w:cs="Times New Roman"/>
          <w:i/>
          <w:color w:val="000000"/>
          <w:sz w:val="21"/>
          <w:szCs w:val="21"/>
          <w:lang w:eastAsia="ru-RU"/>
        </w:rPr>
        <w:t>Москва :</w:t>
      </w:r>
      <w:proofErr w:type="gramEnd"/>
      <w:r w:rsidRPr="002A0AC8">
        <w:rPr>
          <w:rFonts w:ascii="Times New Roman" w:eastAsia="Times New Roman" w:hAnsi="Times New Roman" w:cs="Times New Roman"/>
          <w:i/>
          <w:color w:val="000000"/>
          <w:sz w:val="21"/>
          <w:szCs w:val="21"/>
          <w:lang w:eastAsia="ru-RU"/>
        </w:rPr>
        <w:t xml:space="preserve"> Русайнс, 2024. — 175 с. — ISBN 978-5-466-08494-8. — URL: https://book.ru/book/957250 (дата обращения: 21.04.2025). — </w:t>
      </w:r>
      <w:proofErr w:type="gramStart"/>
      <w:r w:rsidRPr="002A0AC8">
        <w:rPr>
          <w:rFonts w:ascii="Times New Roman" w:eastAsia="Times New Roman" w:hAnsi="Times New Roman" w:cs="Times New Roman"/>
          <w:i/>
          <w:color w:val="000000"/>
          <w:sz w:val="21"/>
          <w:szCs w:val="21"/>
          <w:lang w:eastAsia="ru-RU"/>
        </w:rPr>
        <w:t>Текст :</w:t>
      </w:r>
      <w:proofErr w:type="gramEnd"/>
      <w:r w:rsidRPr="002A0AC8">
        <w:rPr>
          <w:rFonts w:ascii="Times New Roman" w:eastAsia="Times New Roman" w:hAnsi="Times New Roman" w:cs="Times New Roman"/>
          <w:i/>
          <w:color w:val="000000"/>
          <w:sz w:val="21"/>
          <w:szCs w:val="21"/>
          <w:lang w:eastAsia="ru-RU"/>
        </w:rPr>
        <w:t xml:space="preserve"> электронный.</w:t>
      </w:r>
    </w:p>
    <w:p w14:paraId="4A7AF4E1"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Calibri" w:hAnsi="Times New Roman" w:cs="Times New Roman"/>
          <w:sz w:val="21"/>
          <w:szCs w:val="21"/>
        </w:rPr>
        <w:t>Франциско О.Ю., Молчан А.С. Моделирование систем / учебник. - Краснодар, 2023. - 178 с.</w:t>
      </w:r>
    </w:p>
    <w:p w14:paraId="6A113E91"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Calibri" w:hAnsi="Times New Roman" w:cs="Times New Roman"/>
          <w:sz w:val="21"/>
          <w:szCs w:val="21"/>
        </w:rPr>
        <w:t xml:space="preserve">Середенко, Н. Н., Информационно-аналитические </w:t>
      </w:r>
      <w:proofErr w:type="gramStart"/>
      <w:r w:rsidRPr="002A0AC8">
        <w:rPr>
          <w:rFonts w:ascii="Times New Roman" w:eastAsia="Calibri" w:hAnsi="Times New Roman" w:cs="Times New Roman"/>
          <w:sz w:val="21"/>
          <w:szCs w:val="21"/>
        </w:rPr>
        <w:t>системы :</w:t>
      </w:r>
      <w:proofErr w:type="gramEnd"/>
      <w:r w:rsidRPr="002A0AC8">
        <w:rPr>
          <w:rFonts w:ascii="Times New Roman" w:eastAsia="Calibri" w:hAnsi="Times New Roman" w:cs="Times New Roman"/>
          <w:sz w:val="21"/>
          <w:szCs w:val="21"/>
        </w:rPr>
        <w:t xml:space="preserve"> учебное пособие / Н. Н. Середенко, К. В. Чернышева, С. И. Афанасьева. — </w:t>
      </w:r>
      <w:proofErr w:type="gramStart"/>
      <w:r w:rsidRPr="002A0AC8">
        <w:rPr>
          <w:rFonts w:ascii="Times New Roman" w:eastAsia="Calibri" w:hAnsi="Times New Roman" w:cs="Times New Roman"/>
          <w:sz w:val="21"/>
          <w:szCs w:val="21"/>
        </w:rPr>
        <w:t>Москва :</w:t>
      </w:r>
      <w:proofErr w:type="gramEnd"/>
      <w:r w:rsidRPr="002A0AC8">
        <w:rPr>
          <w:rFonts w:ascii="Times New Roman" w:eastAsia="Calibri" w:hAnsi="Times New Roman" w:cs="Times New Roman"/>
          <w:sz w:val="21"/>
          <w:szCs w:val="21"/>
        </w:rPr>
        <w:t xml:space="preserve"> КноРус, 2025. — 200 с. — ISBN 978-5-406-14030-7. — URL: https://book.ru/book/956557 (дата обращения: 21.04.2025). — </w:t>
      </w:r>
      <w:proofErr w:type="gramStart"/>
      <w:r w:rsidRPr="002A0AC8">
        <w:rPr>
          <w:rFonts w:ascii="Times New Roman" w:eastAsia="Calibri" w:hAnsi="Times New Roman" w:cs="Times New Roman"/>
          <w:sz w:val="21"/>
          <w:szCs w:val="21"/>
        </w:rPr>
        <w:t>Текст :</w:t>
      </w:r>
      <w:proofErr w:type="gramEnd"/>
      <w:r w:rsidRPr="002A0AC8">
        <w:rPr>
          <w:rFonts w:ascii="Times New Roman" w:eastAsia="Calibri" w:hAnsi="Times New Roman" w:cs="Times New Roman"/>
          <w:sz w:val="21"/>
          <w:szCs w:val="21"/>
        </w:rPr>
        <w:t xml:space="preserve"> электронный.</w:t>
      </w:r>
    </w:p>
    <w:p w14:paraId="329A30EB"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Times New Roman" w:hAnsi="Times New Roman" w:cs="Times New Roman"/>
          <w:color w:val="000000"/>
          <w:sz w:val="21"/>
          <w:szCs w:val="21"/>
          <w:lang w:eastAsia="ru-RU"/>
        </w:rPr>
        <w:t xml:space="preserve">Фролова, Е. В., Феномен инфлюенс-маркетинга: комплексный анализ стратегий, психологии и этики цифрового </w:t>
      </w:r>
      <w:proofErr w:type="gramStart"/>
      <w:r w:rsidRPr="002A0AC8">
        <w:rPr>
          <w:rFonts w:ascii="Times New Roman" w:eastAsia="Times New Roman" w:hAnsi="Times New Roman" w:cs="Times New Roman"/>
          <w:color w:val="000000"/>
          <w:sz w:val="21"/>
          <w:szCs w:val="21"/>
          <w:lang w:eastAsia="ru-RU"/>
        </w:rPr>
        <w:t>влияния :</w:t>
      </w:r>
      <w:proofErr w:type="gramEnd"/>
      <w:r w:rsidRPr="002A0AC8">
        <w:rPr>
          <w:rFonts w:ascii="Times New Roman" w:eastAsia="Times New Roman" w:hAnsi="Times New Roman" w:cs="Times New Roman"/>
          <w:color w:val="000000"/>
          <w:sz w:val="21"/>
          <w:szCs w:val="21"/>
          <w:lang w:eastAsia="ru-RU"/>
        </w:rPr>
        <w:t xml:space="preserve"> монография / Е. В. Фролова. — </w:t>
      </w:r>
      <w:proofErr w:type="gramStart"/>
      <w:r w:rsidRPr="002A0AC8">
        <w:rPr>
          <w:rFonts w:ascii="Times New Roman" w:eastAsia="Times New Roman" w:hAnsi="Times New Roman" w:cs="Times New Roman"/>
          <w:color w:val="000000"/>
          <w:sz w:val="21"/>
          <w:szCs w:val="21"/>
          <w:lang w:eastAsia="ru-RU"/>
        </w:rPr>
        <w:t>Москва :</w:t>
      </w:r>
      <w:proofErr w:type="gramEnd"/>
      <w:r w:rsidRPr="002A0AC8">
        <w:rPr>
          <w:rFonts w:ascii="Times New Roman" w:eastAsia="Times New Roman" w:hAnsi="Times New Roman" w:cs="Times New Roman"/>
          <w:color w:val="000000"/>
          <w:sz w:val="21"/>
          <w:szCs w:val="21"/>
          <w:lang w:eastAsia="ru-RU"/>
        </w:rPr>
        <w:t xml:space="preserve"> Русайнс, 2024. — 73 с. — ISBN 978-5-466-08433-7. — URL: https://book.ru/book/957544 (дата обращения: 21.04.2025). — </w:t>
      </w:r>
      <w:proofErr w:type="gramStart"/>
      <w:r w:rsidRPr="002A0AC8">
        <w:rPr>
          <w:rFonts w:ascii="Times New Roman" w:eastAsia="Times New Roman" w:hAnsi="Times New Roman" w:cs="Times New Roman"/>
          <w:color w:val="000000"/>
          <w:sz w:val="21"/>
          <w:szCs w:val="21"/>
          <w:lang w:eastAsia="ru-RU"/>
        </w:rPr>
        <w:t>Текст :</w:t>
      </w:r>
      <w:proofErr w:type="gramEnd"/>
      <w:r w:rsidRPr="002A0AC8">
        <w:rPr>
          <w:rFonts w:ascii="Times New Roman" w:eastAsia="Times New Roman" w:hAnsi="Times New Roman" w:cs="Times New Roman"/>
          <w:color w:val="000000"/>
          <w:sz w:val="21"/>
          <w:szCs w:val="21"/>
          <w:lang w:eastAsia="ru-RU"/>
        </w:rPr>
        <w:t xml:space="preserve"> электронный.</w:t>
      </w:r>
    </w:p>
    <w:p w14:paraId="605384F4" w14:textId="77777777" w:rsidR="002A0AC8" w:rsidRPr="002A0AC8"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Calibri" w:hAnsi="Times New Roman" w:cs="Times New Roman"/>
          <w:sz w:val="21"/>
          <w:szCs w:val="21"/>
        </w:rPr>
        <w:t>“</w:t>
      </w:r>
      <w:r w:rsidRPr="002A0AC8">
        <w:rPr>
          <w:rFonts w:ascii="Times New Roman" w:eastAsia="Calibri" w:hAnsi="Times New Roman" w:cs="Times New Roman"/>
          <w:sz w:val="21"/>
          <w:szCs w:val="21"/>
          <w:lang w:val="en-US"/>
        </w:rPr>
        <w:t>Spotify</w:t>
      </w:r>
      <w:r w:rsidRPr="002A0AC8">
        <w:rPr>
          <w:rFonts w:ascii="Times New Roman" w:eastAsia="Calibri" w:hAnsi="Times New Roman" w:cs="Times New Roman"/>
          <w:sz w:val="21"/>
          <w:szCs w:val="21"/>
        </w:rPr>
        <w:t xml:space="preserve"> </w:t>
      </w:r>
      <w:r w:rsidRPr="002A0AC8">
        <w:rPr>
          <w:rFonts w:ascii="Times New Roman" w:eastAsia="Calibri" w:hAnsi="Times New Roman" w:cs="Times New Roman"/>
          <w:sz w:val="21"/>
          <w:szCs w:val="21"/>
          <w:lang w:val="en-US"/>
        </w:rPr>
        <w:t>Music</w:t>
      </w:r>
      <w:r w:rsidRPr="002A0AC8">
        <w:rPr>
          <w:rFonts w:ascii="Times New Roman" w:eastAsia="Calibri" w:hAnsi="Times New Roman" w:cs="Times New Roman"/>
          <w:sz w:val="21"/>
          <w:szCs w:val="21"/>
        </w:rPr>
        <w:t xml:space="preserve"> </w:t>
      </w:r>
      <w:r w:rsidRPr="002A0AC8">
        <w:rPr>
          <w:rFonts w:ascii="Times New Roman" w:eastAsia="Calibri" w:hAnsi="Times New Roman" w:cs="Times New Roman"/>
          <w:sz w:val="21"/>
          <w:szCs w:val="21"/>
          <w:lang w:val="en-US"/>
        </w:rPr>
        <w:t>Dataset</w:t>
      </w:r>
      <w:r w:rsidRPr="002A0AC8">
        <w:rPr>
          <w:rFonts w:ascii="Times New Roman" w:eastAsia="Calibri" w:hAnsi="Times New Roman" w:cs="Times New Roman"/>
          <w:sz w:val="21"/>
          <w:szCs w:val="21"/>
        </w:rPr>
        <w:t xml:space="preserve">” [Электронный ресурс] URL: </w:t>
      </w:r>
      <w:hyperlink r:id="rId627" w:history="1">
        <w:r w:rsidRPr="002A0AC8">
          <w:rPr>
            <w:rFonts w:ascii="Times New Roman" w:eastAsia="Calibri" w:hAnsi="Times New Roman" w:cs="Times New Roman"/>
            <w:color w:val="0563C1"/>
            <w:sz w:val="21"/>
            <w:szCs w:val="21"/>
            <w:u w:val="single"/>
            <w:lang w:val="en-US"/>
          </w:rPr>
          <w:t>https</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www</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kaggle</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com</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datasets</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solomonameh</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spotify</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music</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dataset</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resource</w:t>
        </w:r>
        <w:r w:rsidRPr="002A0AC8">
          <w:rPr>
            <w:rFonts w:ascii="Times New Roman" w:eastAsia="Calibri" w:hAnsi="Times New Roman" w:cs="Times New Roman"/>
            <w:color w:val="0563C1"/>
            <w:sz w:val="21"/>
            <w:szCs w:val="21"/>
            <w:u w:val="single"/>
          </w:rPr>
          <w:t>=</w:t>
        </w:r>
        <w:r w:rsidRPr="002A0AC8">
          <w:rPr>
            <w:rFonts w:ascii="Times New Roman" w:eastAsia="Calibri" w:hAnsi="Times New Roman" w:cs="Times New Roman"/>
            <w:color w:val="0563C1"/>
            <w:sz w:val="21"/>
            <w:szCs w:val="21"/>
            <w:u w:val="single"/>
            <w:lang w:val="en-US"/>
          </w:rPr>
          <w:t>download</w:t>
        </w:r>
      </w:hyperlink>
    </w:p>
    <w:p w14:paraId="7F207FD2" w14:textId="77777777" w:rsidR="002A0AC8" w:rsidRPr="00A916AA" w:rsidRDefault="002A0AC8" w:rsidP="00AD58CD">
      <w:pPr>
        <w:keepNext/>
        <w:keepLines/>
        <w:numPr>
          <w:ilvl w:val="0"/>
          <w:numId w:val="152"/>
        </w:numPr>
        <w:spacing w:after="0" w:line="240" w:lineRule="auto"/>
        <w:ind w:left="426" w:right="110" w:hanging="284"/>
        <w:contextualSpacing/>
        <w:jc w:val="both"/>
        <w:rPr>
          <w:rFonts w:ascii="Times New Roman" w:eastAsia="Calibri" w:hAnsi="Times New Roman" w:cs="Times New Roman"/>
          <w:sz w:val="21"/>
          <w:szCs w:val="21"/>
        </w:rPr>
      </w:pPr>
      <w:r w:rsidRPr="002A0AC8">
        <w:rPr>
          <w:rFonts w:ascii="Times New Roman" w:eastAsia="Calibri" w:hAnsi="Times New Roman" w:cs="Times New Roman"/>
          <w:sz w:val="21"/>
          <w:szCs w:val="21"/>
        </w:rPr>
        <w:t xml:space="preserve">“Исследование по </w:t>
      </w:r>
      <w:r w:rsidRPr="002A0AC8">
        <w:rPr>
          <w:rFonts w:ascii="Times New Roman" w:eastAsia="Calibri" w:hAnsi="Times New Roman" w:cs="Times New Roman"/>
          <w:sz w:val="21"/>
          <w:szCs w:val="21"/>
          <w:lang w:val="en-US"/>
        </w:rPr>
        <w:t>Spotify</w:t>
      </w:r>
      <w:r w:rsidRPr="002A0AC8">
        <w:rPr>
          <w:rFonts w:ascii="Times New Roman" w:eastAsia="Calibri" w:hAnsi="Times New Roman" w:cs="Times New Roman"/>
          <w:sz w:val="21"/>
          <w:szCs w:val="21"/>
        </w:rPr>
        <w:t xml:space="preserve">. </w:t>
      </w:r>
      <w:r w:rsidRPr="002A0AC8">
        <w:rPr>
          <w:rFonts w:ascii="Times New Roman" w:eastAsia="Calibri" w:hAnsi="Times New Roman" w:cs="Times New Roman"/>
          <w:sz w:val="21"/>
          <w:szCs w:val="21"/>
          <w:lang w:val="en-US"/>
        </w:rPr>
        <w:t>Yandex</w:t>
      </w:r>
      <w:r w:rsidRPr="002A0AC8">
        <w:rPr>
          <w:rFonts w:ascii="Times New Roman" w:eastAsia="Calibri" w:hAnsi="Times New Roman" w:cs="Times New Roman"/>
          <w:sz w:val="21"/>
          <w:szCs w:val="21"/>
        </w:rPr>
        <w:t xml:space="preserve"> </w:t>
      </w:r>
      <w:r w:rsidRPr="002A0AC8">
        <w:rPr>
          <w:rFonts w:ascii="Times New Roman" w:eastAsia="Calibri" w:hAnsi="Times New Roman" w:cs="Times New Roman"/>
          <w:sz w:val="21"/>
          <w:szCs w:val="21"/>
          <w:lang w:val="en-US"/>
        </w:rPr>
        <w:t>DataLens</w:t>
      </w:r>
      <w:r w:rsidRPr="002A0AC8">
        <w:rPr>
          <w:rFonts w:ascii="Times New Roman" w:eastAsia="Calibri" w:hAnsi="Times New Roman" w:cs="Times New Roman"/>
          <w:sz w:val="21"/>
          <w:szCs w:val="21"/>
        </w:rPr>
        <w:t xml:space="preserve">” [Электронный ресурс] URL: </w:t>
      </w:r>
      <w:hyperlink r:id="rId628" w:history="1">
        <w:r w:rsidRPr="002A0AC8">
          <w:rPr>
            <w:rFonts w:ascii="Times New Roman" w:eastAsia="Calibri" w:hAnsi="Times New Roman" w:cs="Times New Roman"/>
            <w:color w:val="0563C1"/>
            <w:sz w:val="21"/>
            <w:szCs w:val="21"/>
            <w:u w:val="single"/>
          </w:rPr>
          <w:t>https://datalens.yandex.cloud/1cmbk1hun2dyn</w:t>
        </w:r>
      </w:hyperlink>
    </w:p>
    <w:p w14:paraId="5F33489B" w14:textId="77777777" w:rsidR="00A916AA" w:rsidRPr="002A0AC8" w:rsidRDefault="00A916AA" w:rsidP="00A916AA">
      <w:pPr>
        <w:keepNext/>
        <w:keepLines/>
        <w:spacing w:after="0" w:line="240" w:lineRule="auto"/>
        <w:ind w:left="426" w:right="110"/>
        <w:contextualSpacing/>
        <w:jc w:val="both"/>
        <w:rPr>
          <w:rFonts w:ascii="Times New Roman" w:eastAsia="Calibri" w:hAnsi="Times New Roman" w:cs="Times New Roman"/>
          <w:sz w:val="21"/>
          <w:szCs w:val="21"/>
        </w:rPr>
      </w:pPr>
    </w:p>
    <w:p w14:paraId="2895DB59" w14:textId="77777777" w:rsidR="009C1B85" w:rsidRPr="009C1B85" w:rsidRDefault="009C1B85" w:rsidP="00A916AA">
      <w:pPr>
        <w:keepNext/>
        <w:keepLines/>
        <w:widowControl w:val="0"/>
        <w:spacing w:after="0" w:line="240" w:lineRule="auto"/>
        <w:rPr>
          <w:rFonts w:ascii="Times New Roman" w:eastAsia="Aptos" w:hAnsi="Times New Roman" w:cs="Times New Roman"/>
          <w:b/>
          <w:bCs/>
          <w:iCs/>
          <w:sz w:val="21"/>
          <w:szCs w:val="21"/>
          <w:shd w:val="clear" w:color="auto" w:fill="FFFFFF"/>
        </w:rPr>
      </w:pPr>
      <w:r w:rsidRPr="009C1B85">
        <w:rPr>
          <w:rFonts w:ascii="Times New Roman" w:eastAsia="Aptos" w:hAnsi="Times New Roman" w:cs="Times New Roman"/>
          <w:b/>
          <w:bCs/>
          <w:iCs/>
          <w:sz w:val="21"/>
          <w:szCs w:val="21"/>
          <w:shd w:val="clear" w:color="auto" w:fill="FFFFFF"/>
        </w:rPr>
        <w:t>УДК 004.62:004.65</w:t>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r w:rsidRPr="009C1B85">
        <w:rPr>
          <w:rFonts w:ascii="Times New Roman" w:eastAsia="Aptos" w:hAnsi="Times New Roman" w:cs="Times New Roman"/>
          <w:b/>
          <w:bCs/>
          <w:iCs/>
          <w:sz w:val="21"/>
          <w:szCs w:val="21"/>
          <w:shd w:val="clear" w:color="auto" w:fill="FFFFFF"/>
        </w:rPr>
        <w:tab/>
      </w:r>
    </w:p>
    <w:p w14:paraId="180CB74E"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
          <w:bCs/>
          <w:i/>
          <w:sz w:val="21"/>
          <w:szCs w:val="21"/>
          <w:shd w:val="clear" w:color="auto" w:fill="FFFFFF"/>
        </w:rPr>
      </w:pPr>
      <w:r w:rsidRPr="009C1B85">
        <w:rPr>
          <w:rFonts w:ascii="Times New Roman" w:eastAsia="Aptos" w:hAnsi="Times New Roman" w:cs="Times New Roman"/>
          <w:b/>
          <w:bCs/>
          <w:i/>
          <w:sz w:val="21"/>
          <w:szCs w:val="21"/>
          <w:shd w:val="clear" w:color="auto" w:fill="FFFFFF"/>
        </w:rPr>
        <w:t>Чебаненко Д.Е.,</w:t>
      </w:r>
    </w:p>
    <w:p w14:paraId="3AE0FA3C"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rPr>
      </w:pP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lang w:val="en-US"/>
        </w:rPr>
        <w:t>c</w:t>
      </w:r>
      <w:r w:rsidRPr="009C1B85">
        <w:rPr>
          <w:rFonts w:ascii="Times New Roman" w:eastAsia="Aptos" w:hAnsi="Times New Roman" w:cs="Times New Roman"/>
          <w:i/>
          <w:sz w:val="21"/>
          <w:szCs w:val="21"/>
          <w:shd w:val="clear" w:color="auto" w:fill="FFFFFF"/>
        </w:rPr>
        <w:t>тудент 3 курса</w:t>
      </w:r>
    </w:p>
    <w:p w14:paraId="6C6A828A" w14:textId="228BE95E" w:rsidR="002C75CD" w:rsidRDefault="002C75CD" w:rsidP="00A916AA">
      <w:pPr>
        <w:keepNext/>
        <w:keepLines/>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0ABE722C" w14:textId="071B9731"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rPr>
      </w:pP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r>
      <w:r w:rsidRPr="009C1B85">
        <w:rPr>
          <w:rFonts w:ascii="Times New Roman" w:eastAsia="Aptos" w:hAnsi="Times New Roman" w:cs="Times New Roman"/>
          <w:i/>
          <w:sz w:val="21"/>
          <w:szCs w:val="21"/>
          <w:shd w:val="clear" w:color="auto" w:fill="FFFFFF"/>
        </w:rPr>
        <w:tab/>
        <w:t>г.Краснодар, Россия</w:t>
      </w:r>
    </w:p>
    <w:p w14:paraId="472EBFE0"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lang w:val="it-IT"/>
        </w:rPr>
      </w:pPr>
      <w:r w:rsidRPr="009C1B85">
        <w:rPr>
          <w:rFonts w:ascii="Times New Roman" w:eastAsia="Aptos" w:hAnsi="Times New Roman" w:cs="Times New Roman"/>
          <w:i/>
          <w:sz w:val="21"/>
          <w:szCs w:val="21"/>
          <w:shd w:val="clear" w:color="auto" w:fill="FFFFFF"/>
          <w:lang w:val="it-IT"/>
        </w:rPr>
        <w:t xml:space="preserve">E-mail: </w:t>
      </w:r>
      <w:hyperlink r:id="rId629" w:history="1">
        <w:r w:rsidRPr="009C1B85">
          <w:rPr>
            <w:rFonts w:ascii="Times New Roman" w:eastAsia="Aptos" w:hAnsi="Times New Roman" w:cs="Times New Roman"/>
            <w:i/>
            <w:color w:val="467886"/>
            <w:sz w:val="21"/>
            <w:szCs w:val="21"/>
            <w:u w:val="single"/>
            <w:shd w:val="clear" w:color="auto" w:fill="FFFFFF"/>
            <w:lang w:val="it-IT"/>
          </w:rPr>
          <w:t>green.cardinal@icloud.com</w:t>
        </w:r>
      </w:hyperlink>
    </w:p>
    <w:p w14:paraId="6783CF90"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lang w:val="it-IT"/>
        </w:rPr>
      </w:pPr>
    </w:p>
    <w:p w14:paraId="46BEA353"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
          <w:bCs/>
          <w:i/>
          <w:sz w:val="21"/>
          <w:szCs w:val="21"/>
          <w:shd w:val="clear" w:color="auto" w:fill="FFFFFF"/>
        </w:rPr>
      </w:pPr>
      <w:r w:rsidRPr="009C1B85">
        <w:rPr>
          <w:rFonts w:ascii="Times New Roman" w:eastAsia="Aptos" w:hAnsi="Times New Roman" w:cs="Times New Roman"/>
          <w:b/>
          <w:bCs/>
          <w:i/>
          <w:sz w:val="21"/>
          <w:szCs w:val="21"/>
          <w:shd w:val="clear" w:color="auto" w:fill="FFFFFF"/>
        </w:rPr>
        <w:t>Научный руководитель:</w:t>
      </w:r>
    </w:p>
    <w:p w14:paraId="1A8C8318"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
          <w:bCs/>
          <w:i/>
          <w:sz w:val="21"/>
          <w:szCs w:val="21"/>
          <w:shd w:val="clear" w:color="auto" w:fill="FFFFFF"/>
        </w:rPr>
      </w:pPr>
      <w:r w:rsidRPr="009C1B85">
        <w:rPr>
          <w:rFonts w:ascii="Times New Roman" w:eastAsia="Aptos" w:hAnsi="Times New Roman" w:cs="Times New Roman"/>
          <w:b/>
          <w:bCs/>
          <w:i/>
          <w:sz w:val="21"/>
          <w:szCs w:val="21"/>
          <w:shd w:val="clear" w:color="auto" w:fill="FFFFFF"/>
        </w:rPr>
        <w:t>Васкевич Т.В.,</w:t>
      </w:r>
    </w:p>
    <w:p w14:paraId="1B8DDE54"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rPr>
      </w:pPr>
      <w:r w:rsidRPr="009C1B85">
        <w:rPr>
          <w:rFonts w:ascii="Times New Roman" w:eastAsia="Aptos" w:hAnsi="Times New Roman" w:cs="Times New Roman"/>
          <w:i/>
          <w:sz w:val="21"/>
          <w:szCs w:val="21"/>
          <w:shd w:val="clear" w:color="auto" w:fill="FFFFFF"/>
        </w:rPr>
        <w:t>доцент, к.п.н.</w:t>
      </w:r>
    </w:p>
    <w:p w14:paraId="77A545C0" w14:textId="77777777" w:rsidR="002C75CD" w:rsidRDefault="002C75CD" w:rsidP="00A916AA">
      <w:pPr>
        <w:keepNext/>
        <w:keepLines/>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3564F63D"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i/>
          <w:sz w:val="21"/>
          <w:szCs w:val="21"/>
          <w:shd w:val="clear" w:color="auto" w:fill="FFFFFF"/>
        </w:rPr>
      </w:pPr>
      <w:r w:rsidRPr="009C1B85">
        <w:rPr>
          <w:rFonts w:ascii="Times New Roman" w:eastAsia="Aptos" w:hAnsi="Times New Roman" w:cs="Times New Roman"/>
          <w:i/>
          <w:sz w:val="21"/>
          <w:szCs w:val="21"/>
          <w:shd w:val="clear" w:color="auto" w:fill="FFFFFF"/>
        </w:rPr>
        <w:t>г.Краснодар, Россия</w:t>
      </w:r>
    </w:p>
    <w:p w14:paraId="7D475E65" w14:textId="30F448EA" w:rsidR="009C1B85" w:rsidRDefault="009C1B85" w:rsidP="00A916AA">
      <w:pPr>
        <w:keepNext/>
        <w:keepLines/>
        <w:widowControl w:val="0"/>
        <w:spacing w:after="0" w:line="240" w:lineRule="auto"/>
        <w:ind w:left="4956" w:firstLine="708"/>
        <w:jc w:val="right"/>
        <w:rPr>
          <w:rFonts w:ascii="Times New Roman" w:eastAsia="Aptos" w:hAnsi="Times New Roman" w:cs="Times New Roman"/>
          <w:i/>
          <w:sz w:val="21"/>
          <w:szCs w:val="21"/>
        </w:rPr>
      </w:pPr>
      <w:r w:rsidRPr="009C1B85">
        <w:rPr>
          <w:rFonts w:ascii="Times New Roman" w:eastAsia="Aptos" w:hAnsi="Times New Roman" w:cs="Times New Roman"/>
          <w:i/>
          <w:sz w:val="21"/>
          <w:szCs w:val="21"/>
          <w:lang w:val="en-US"/>
        </w:rPr>
        <w:t>E</w:t>
      </w:r>
      <w:r w:rsidRPr="00C30970">
        <w:rPr>
          <w:rFonts w:ascii="Times New Roman" w:eastAsia="Aptos" w:hAnsi="Times New Roman" w:cs="Times New Roman"/>
          <w:i/>
          <w:sz w:val="21"/>
          <w:szCs w:val="21"/>
        </w:rPr>
        <w:t>-</w:t>
      </w:r>
      <w:r w:rsidRPr="009C1B85">
        <w:rPr>
          <w:rFonts w:ascii="Times New Roman" w:eastAsia="Aptos" w:hAnsi="Times New Roman" w:cs="Times New Roman"/>
          <w:i/>
          <w:sz w:val="21"/>
          <w:szCs w:val="21"/>
          <w:lang w:val="en-US"/>
        </w:rPr>
        <w:t>mail</w:t>
      </w:r>
      <w:r w:rsidRPr="00C30970">
        <w:rPr>
          <w:rFonts w:ascii="Times New Roman" w:eastAsia="Aptos" w:hAnsi="Times New Roman" w:cs="Times New Roman"/>
          <w:i/>
          <w:sz w:val="21"/>
          <w:szCs w:val="21"/>
        </w:rPr>
        <w:t>:</w:t>
      </w:r>
      <w:r w:rsidRPr="00C30970">
        <w:rPr>
          <w:rFonts w:ascii="Aptos" w:eastAsia="Aptos" w:hAnsi="Aptos" w:cs="Times New Roman"/>
          <w:sz w:val="21"/>
          <w:szCs w:val="21"/>
        </w:rPr>
        <w:t xml:space="preserve"> </w:t>
      </w:r>
      <w:hyperlink r:id="rId630" w:history="1">
        <w:r w:rsidR="009266D8" w:rsidRPr="009C1B85">
          <w:rPr>
            <w:rStyle w:val="aa"/>
            <w:rFonts w:ascii="Times New Roman" w:eastAsia="Aptos" w:hAnsi="Times New Roman" w:cs="Times New Roman"/>
            <w:i/>
            <w:sz w:val="21"/>
            <w:szCs w:val="21"/>
            <w:lang w:val="en-US"/>
          </w:rPr>
          <w:t>tatyana</w:t>
        </w:r>
        <w:r w:rsidR="009266D8" w:rsidRPr="00C30970">
          <w:rPr>
            <w:rStyle w:val="aa"/>
            <w:rFonts w:ascii="Times New Roman" w:eastAsia="Aptos" w:hAnsi="Times New Roman" w:cs="Times New Roman"/>
            <w:i/>
            <w:sz w:val="21"/>
            <w:szCs w:val="21"/>
          </w:rPr>
          <w:t>_</w:t>
        </w:r>
        <w:r w:rsidR="009266D8" w:rsidRPr="009C1B85">
          <w:rPr>
            <w:rStyle w:val="aa"/>
            <w:rFonts w:ascii="Times New Roman" w:eastAsia="Aptos" w:hAnsi="Times New Roman" w:cs="Times New Roman"/>
            <w:i/>
            <w:sz w:val="21"/>
            <w:szCs w:val="21"/>
            <w:lang w:val="en-US"/>
          </w:rPr>
          <w:t>vaskevic</w:t>
        </w:r>
        <w:r w:rsidR="009266D8" w:rsidRPr="00C30970">
          <w:rPr>
            <w:rStyle w:val="aa"/>
            <w:rFonts w:ascii="Times New Roman" w:eastAsia="Aptos" w:hAnsi="Times New Roman" w:cs="Times New Roman"/>
            <w:i/>
            <w:sz w:val="21"/>
            <w:szCs w:val="21"/>
          </w:rPr>
          <w:t>@</w:t>
        </w:r>
        <w:r w:rsidR="009266D8" w:rsidRPr="009C1B85">
          <w:rPr>
            <w:rStyle w:val="aa"/>
            <w:rFonts w:ascii="Times New Roman" w:eastAsia="Aptos" w:hAnsi="Times New Roman" w:cs="Times New Roman"/>
            <w:i/>
            <w:sz w:val="21"/>
            <w:szCs w:val="21"/>
            <w:lang w:val="en-US"/>
          </w:rPr>
          <w:t>mail</w:t>
        </w:r>
        <w:r w:rsidR="009266D8" w:rsidRPr="00C30970">
          <w:rPr>
            <w:rStyle w:val="aa"/>
            <w:rFonts w:ascii="Times New Roman" w:eastAsia="Aptos" w:hAnsi="Times New Roman" w:cs="Times New Roman"/>
            <w:i/>
            <w:sz w:val="21"/>
            <w:szCs w:val="21"/>
          </w:rPr>
          <w:t>.</w:t>
        </w:r>
        <w:r w:rsidR="009266D8" w:rsidRPr="009C1B85">
          <w:rPr>
            <w:rStyle w:val="aa"/>
            <w:rFonts w:ascii="Times New Roman" w:eastAsia="Aptos" w:hAnsi="Times New Roman" w:cs="Times New Roman"/>
            <w:i/>
            <w:sz w:val="21"/>
            <w:szCs w:val="21"/>
            <w:lang w:val="en-US"/>
          </w:rPr>
          <w:t>ru</w:t>
        </w:r>
      </w:hyperlink>
    </w:p>
    <w:p w14:paraId="65D3729E" w14:textId="77777777" w:rsidR="00E333B8" w:rsidRPr="00E333B8" w:rsidRDefault="00E333B8" w:rsidP="00A916AA">
      <w:pPr>
        <w:keepNext/>
        <w:keepLines/>
        <w:widowControl w:val="0"/>
        <w:spacing w:after="0" w:line="240" w:lineRule="auto"/>
        <w:ind w:left="4956" w:firstLine="708"/>
        <w:jc w:val="right"/>
        <w:rPr>
          <w:rFonts w:ascii="Times New Roman" w:eastAsia="Aptos" w:hAnsi="Times New Roman" w:cs="Times New Roman"/>
          <w:i/>
          <w:sz w:val="21"/>
          <w:szCs w:val="21"/>
        </w:rPr>
      </w:pPr>
    </w:p>
    <w:p w14:paraId="35FD3989" w14:textId="4A0D271D" w:rsidR="009C1B85" w:rsidRDefault="00E333B8" w:rsidP="00A916AA">
      <w:pPr>
        <w:keepNext/>
        <w:keepLines/>
        <w:widowControl w:val="0"/>
        <w:spacing w:after="0" w:line="240" w:lineRule="auto"/>
        <w:ind w:left="708"/>
        <w:jc w:val="center"/>
        <w:rPr>
          <w:rFonts w:ascii="Times New Roman" w:eastAsia="Aptos" w:hAnsi="Times New Roman" w:cs="Times New Roman"/>
          <w:b/>
          <w:sz w:val="21"/>
          <w:szCs w:val="21"/>
        </w:rPr>
      </w:pPr>
      <w:r>
        <w:rPr>
          <w:rFonts w:ascii="Times New Roman" w:eastAsia="Aptos" w:hAnsi="Times New Roman" w:cs="Times New Roman"/>
          <w:b/>
          <w:sz w:val="21"/>
          <w:szCs w:val="21"/>
        </w:rPr>
        <w:t>О</w:t>
      </w:r>
      <w:r w:rsidRPr="009C1B85">
        <w:rPr>
          <w:rFonts w:ascii="Times New Roman" w:eastAsia="Aptos" w:hAnsi="Times New Roman" w:cs="Times New Roman"/>
          <w:b/>
          <w:sz w:val="21"/>
          <w:szCs w:val="21"/>
        </w:rPr>
        <w:t xml:space="preserve">ценка эффективности внедрения системы подготовки </w:t>
      </w:r>
      <w:r w:rsidRPr="009C1B85">
        <w:rPr>
          <w:rFonts w:ascii="Times New Roman" w:eastAsia="Aptos" w:hAnsi="Times New Roman" w:cs="Times New Roman"/>
          <w:b/>
          <w:sz w:val="21"/>
          <w:szCs w:val="21"/>
        </w:rPr>
        <w:br/>
        <w:t xml:space="preserve">аналитической отчетности медицинской организации с </w:t>
      </w:r>
      <w:r w:rsidRPr="009C1B85">
        <w:rPr>
          <w:rFonts w:ascii="Times New Roman" w:eastAsia="Aptos" w:hAnsi="Times New Roman" w:cs="Times New Roman"/>
          <w:b/>
          <w:sz w:val="21"/>
          <w:szCs w:val="21"/>
        </w:rPr>
        <w:br/>
        <w:t>использованием инструментов бизнес-аналитики</w:t>
      </w:r>
    </w:p>
    <w:p w14:paraId="021485FF" w14:textId="77777777" w:rsidR="00E333B8" w:rsidRPr="009C1B85" w:rsidRDefault="00E333B8" w:rsidP="00A916AA">
      <w:pPr>
        <w:keepNext/>
        <w:keepLines/>
        <w:widowControl w:val="0"/>
        <w:spacing w:after="0" w:line="240" w:lineRule="auto"/>
        <w:ind w:left="708"/>
        <w:jc w:val="center"/>
        <w:rPr>
          <w:rFonts w:ascii="Times New Roman" w:eastAsia="Aptos" w:hAnsi="Times New Roman" w:cs="Times New Roman"/>
          <w:b/>
          <w:sz w:val="21"/>
          <w:szCs w:val="21"/>
        </w:rPr>
      </w:pPr>
    </w:p>
    <w:p w14:paraId="4E950586" w14:textId="77777777" w:rsidR="009C1B85" w:rsidRPr="009C1B85" w:rsidRDefault="009C1B85" w:rsidP="00A916AA">
      <w:pPr>
        <w:keepNext/>
        <w:keepLines/>
        <w:widowControl w:val="0"/>
        <w:spacing w:after="0" w:line="240" w:lineRule="auto"/>
        <w:ind w:firstLine="709"/>
        <w:jc w:val="both"/>
        <w:rPr>
          <w:rFonts w:ascii="Times New Roman" w:eastAsia="Aptos" w:hAnsi="Times New Roman" w:cs="Times New Roman"/>
          <w:sz w:val="21"/>
          <w:szCs w:val="21"/>
        </w:rPr>
      </w:pPr>
      <w:r w:rsidRPr="009C1B85">
        <w:rPr>
          <w:rFonts w:ascii="Times New Roman" w:eastAsia="Aptos" w:hAnsi="Times New Roman" w:cs="Times New Roman"/>
          <w:b/>
          <w:sz w:val="21"/>
          <w:szCs w:val="21"/>
        </w:rPr>
        <w:t>Аннотация</w:t>
      </w:r>
      <w:r w:rsidRPr="009C1B85">
        <w:rPr>
          <w:rFonts w:ascii="Times New Roman" w:eastAsia="Aptos" w:hAnsi="Times New Roman" w:cs="Times New Roman"/>
          <w:sz w:val="21"/>
          <w:szCs w:val="21"/>
        </w:rPr>
        <w:t xml:space="preserve">: В статье ставится задача рассмотрения возможности внедрения аналитических бизнес-инструментов в медицинской области, а также проблема повышения эффективности подготовки аналитической отчетности в медицинских организациях, внедрении инструментов бизнес-аналитики для оптимизации временных и финансовых издержек, а также автоматизации и ускорении обработки и анализа данных. Была представлена модель внедрения системы, основанная на использовании различных </w:t>
      </w:r>
      <w:r w:rsidRPr="009C1B85">
        <w:rPr>
          <w:rFonts w:ascii="Times New Roman" w:eastAsia="Aptos" w:hAnsi="Times New Roman" w:cs="Times New Roman"/>
          <w:sz w:val="21"/>
          <w:szCs w:val="21"/>
          <w:lang w:val="en-US"/>
        </w:rPr>
        <w:t>BI</w:t>
      </w:r>
      <w:r w:rsidRPr="009C1B85">
        <w:rPr>
          <w:rFonts w:ascii="Times New Roman" w:eastAsia="Aptos" w:hAnsi="Times New Roman" w:cs="Times New Roman"/>
          <w:sz w:val="21"/>
          <w:szCs w:val="21"/>
        </w:rPr>
        <w:t>-платформ, включащие в себя различные метрики, разработку дашбордов и интерактивных отчетов</w:t>
      </w:r>
    </w:p>
    <w:p w14:paraId="4601CDD4" w14:textId="77777777" w:rsidR="009C1B85" w:rsidRDefault="009C1B85" w:rsidP="00A916AA">
      <w:pPr>
        <w:keepNext/>
        <w:keepLines/>
        <w:widowControl w:val="0"/>
        <w:spacing w:after="0" w:line="240" w:lineRule="auto"/>
        <w:ind w:firstLine="708"/>
        <w:jc w:val="both"/>
        <w:rPr>
          <w:rFonts w:ascii="Times New Roman" w:eastAsia="Aptos" w:hAnsi="Times New Roman" w:cs="Times New Roman"/>
          <w:sz w:val="21"/>
          <w:szCs w:val="21"/>
        </w:rPr>
      </w:pPr>
      <w:r w:rsidRPr="009C1B85">
        <w:rPr>
          <w:rFonts w:ascii="Times New Roman" w:eastAsia="Aptos" w:hAnsi="Times New Roman" w:cs="Times New Roman"/>
          <w:b/>
          <w:sz w:val="21"/>
          <w:szCs w:val="21"/>
        </w:rPr>
        <w:t xml:space="preserve">Ключевые слова: </w:t>
      </w:r>
      <w:r w:rsidRPr="009C1B85">
        <w:rPr>
          <w:rFonts w:ascii="Times New Roman" w:eastAsia="Aptos" w:hAnsi="Times New Roman" w:cs="Times New Roman"/>
          <w:sz w:val="21"/>
          <w:szCs w:val="21"/>
        </w:rPr>
        <w:t>Информационные технологии, метрики, сокращение издержек, эффективность, дашборды, отчетность.</w:t>
      </w:r>
    </w:p>
    <w:p w14:paraId="70EABD49" w14:textId="77777777" w:rsidR="00E333B8" w:rsidRPr="009C1B85" w:rsidRDefault="00E333B8" w:rsidP="00A916AA">
      <w:pPr>
        <w:keepNext/>
        <w:keepLines/>
        <w:widowControl w:val="0"/>
        <w:spacing w:after="0" w:line="240" w:lineRule="auto"/>
        <w:ind w:firstLine="708"/>
        <w:jc w:val="both"/>
        <w:rPr>
          <w:rFonts w:ascii="Times New Roman" w:eastAsia="Aptos" w:hAnsi="Times New Roman" w:cs="Times New Roman"/>
          <w:b/>
          <w:sz w:val="21"/>
          <w:szCs w:val="21"/>
        </w:rPr>
      </w:pPr>
    </w:p>
    <w:p w14:paraId="4E422A49"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
          <w:sz w:val="21"/>
          <w:szCs w:val="21"/>
          <w:lang w:val="en-US"/>
        </w:rPr>
      </w:pP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caps/>
          <w:sz w:val="21"/>
          <w:szCs w:val="21"/>
        </w:rPr>
        <w:tab/>
      </w:r>
      <w:r w:rsidRPr="009C1B85">
        <w:rPr>
          <w:rFonts w:ascii="Times New Roman" w:eastAsia="Aptos" w:hAnsi="Times New Roman" w:cs="Times New Roman"/>
          <w:b/>
          <w:i/>
          <w:sz w:val="21"/>
          <w:szCs w:val="21"/>
          <w:lang w:val="en-US"/>
        </w:rPr>
        <w:t>Chebanenko D.E.</w:t>
      </w:r>
    </w:p>
    <w:p w14:paraId="5B5D1E6A" w14:textId="77777777" w:rsidR="009C1B85" w:rsidRPr="009C1B85" w:rsidRDefault="009C1B85" w:rsidP="00A916AA">
      <w:pPr>
        <w:keepNext/>
        <w:keepLines/>
        <w:widowControl w:val="0"/>
        <w:spacing w:after="0" w:line="240" w:lineRule="auto"/>
        <w:ind w:left="5664" w:firstLine="708"/>
        <w:jc w:val="right"/>
        <w:rPr>
          <w:rFonts w:ascii="Times New Roman" w:eastAsia="Aptos" w:hAnsi="Times New Roman" w:cs="Times New Roman"/>
          <w:bCs/>
          <w:i/>
          <w:sz w:val="21"/>
          <w:szCs w:val="21"/>
          <w:lang w:val="en-US"/>
        </w:rPr>
      </w:pPr>
      <w:r w:rsidRPr="009C1B85">
        <w:rPr>
          <w:rFonts w:ascii="Times New Roman" w:eastAsia="Aptos" w:hAnsi="Times New Roman" w:cs="Times New Roman"/>
          <w:bCs/>
          <w:i/>
          <w:sz w:val="21"/>
          <w:szCs w:val="21"/>
          <w:lang w:val="en-US"/>
        </w:rPr>
        <w:t xml:space="preserve">3nd course student </w:t>
      </w:r>
    </w:p>
    <w:p w14:paraId="1E64B7EE"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Cs/>
          <w:i/>
          <w:sz w:val="21"/>
          <w:szCs w:val="21"/>
          <w:lang w:val="en-US"/>
        </w:rPr>
      </w:pPr>
      <w:r w:rsidRPr="009C1B85">
        <w:rPr>
          <w:rFonts w:ascii="Times New Roman" w:eastAsia="Aptos" w:hAnsi="Times New Roman" w:cs="Times New Roman"/>
          <w:bCs/>
          <w:i/>
          <w:sz w:val="21"/>
          <w:szCs w:val="21"/>
          <w:lang w:val="en-US"/>
        </w:rPr>
        <w:t>Financial University under the Government of the Russian Federation</w:t>
      </w:r>
    </w:p>
    <w:p w14:paraId="18F0DCC3" w14:textId="77777777" w:rsidR="009C1B85" w:rsidRPr="009C1B85" w:rsidRDefault="009C1B85" w:rsidP="00A916AA">
      <w:pPr>
        <w:keepNext/>
        <w:keepLines/>
        <w:widowControl w:val="0"/>
        <w:spacing w:after="0" w:line="240" w:lineRule="auto"/>
        <w:ind w:left="5664" w:firstLine="708"/>
        <w:jc w:val="right"/>
        <w:rPr>
          <w:rFonts w:ascii="Times New Roman" w:eastAsia="Aptos" w:hAnsi="Times New Roman" w:cs="Times New Roman"/>
          <w:bCs/>
          <w:i/>
          <w:sz w:val="21"/>
          <w:szCs w:val="21"/>
          <w:lang w:val="it-IT"/>
        </w:rPr>
      </w:pPr>
      <w:r w:rsidRPr="009C1B85">
        <w:rPr>
          <w:rFonts w:ascii="Times New Roman" w:eastAsia="Aptos" w:hAnsi="Times New Roman" w:cs="Times New Roman"/>
          <w:bCs/>
          <w:i/>
          <w:sz w:val="21"/>
          <w:szCs w:val="21"/>
          <w:lang w:val="it-IT"/>
        </w:rPr>
        <w:t>Krasnodar, Russia</w:t>
      </w:r>
    </w:p>
    <w:p w14:paraId="6B51DA43"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Cs/>
          <w:i/>
          <w:sz w:val="21"/>
          <w:szCs w:val="21"/>
          <w:shd w:val="clear" w:color="auto" w:fill="FFFFFF"/>
          <w:lang w:val="it-IT"/>
        </w:rPr>
      </w:pPr>
      <w:r w:rsidRPr="009C1B85">
        <w:rPr>
          <w:rFonts w:ascii="Times New Roman" w:eastAsia="Aptos" w:hAnsi="Times New Roman" w:cs="Times New Roman"/>
          <w:bCs/>
          <w:i/>
          <w:sz w:val="21"/>
          <w:szCs w:val="21"/>
          <w:shd w:val="clear" w:color="auto" w:fill="FFFFFF"/>
          <w:lang w:val="it-IT"/>
        </w:rPr>
        <w:t>E-mail: green.cardinal@icloud.com</w:t>
      </w:r>
    </w:p>
    <w:p w14:paraId="7804AEF4" w14:textId="77777777" w:rsidR="00E333B8" w:rsidRPr="00C30970" w:rsidRDefault="00E333B8" w:rsidP="00A916AA">
      <w:pPr>
        <w:keepNext/>
        <w:keepLines/>
        <w:widowControl w:val="0"/>
        <w:spacing w:after="0" w:line="240" w:lineRule="auto"/>
        <w:jc w:val="right"/>
        <w:rPr>
          <w:rFonts w:ascii="Times New Roman" w:eastAsia="Aptos" w:hAnsi="Times New Roman" w:cs="Times New Roman"/>
          <w:bCs/>
          <w:i/>
          <w:sz w:val="21"/>
          <w:szCs w:val="21"/>
          <w:shd w:val="clear" w:color="auto" w:fill="FFFFFF"/>
          <w:lang w:val="en-US"/>
        </w:rPr>
      </w:pPr>
    </w:p>
    <w:p w14:paraId="3E2F29BC" w14:textId="786C9107" w:rsidR="009C1B85" w:rsidRPr="009C1B85" w:rsidRDefault="009C1B85" w:rsidP="00A916AA">
      <w:pPr>
        <w:keepNext/>
        <w:keepLines/>
        <w:widowControl w:val="0"/>
        <w:spacing w:after="0" w:line="240" w:lineRule="auto"/>
        <w:jc w:val="right"/>
        <w:rPr>
          <w:rFonts w:ascii="Times New Roman" w:eastAsia="Aptos" w:hAnsi="Times New Roman" w:cs="Times New Roman"/>
          <w:b/>
          <w:i/>
          <w:sz w:val="21"/>
          <w:szCs w:val="21"/>
          <w:shd w:val="clear" w:color="auto" w:fill="FFFFFF"/>
          <w:lang w:val="en-US"/>
        </w:rPr>
      </w:pPr>
      <w:r w:rsidRPr="009C1B85">
        <w:rPr>
          <w:rFonts w:ascii="Times New Roman" w:eastAsia="Aptos" w:hAnsi="Times New Roman" w:cs="Times New Roman"/>
          <w:b/>
          <w:i/>
          <w:sz w:val="21"/>
          <w:szCs w:val="21"/>
          <w:shd w:val="clear" w:color="auto" w:fill="FFFFFF"/>
          <w:lang w:val="en-US"/>
        </w:rPr>
        <w:t>Scientific adviser:</w:t>
      </w:r>
    </w:p>
    <w:p w14:paraId="4C48E274"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
          <w:i/>
          <w:sz w:val="21"/>
          <w:szCs w:val="21"/>
          <w:shd w:val="clear" w:color="auto" w:fill="FFFFFF"/>
          <w:lang w:val="en-US"/>
        </w:rPr>
      </w:pPr>
      <w:r w:rsidRPr="009C1B85">
        <w:rPr>
          <w:rFonts w:ascii="Times New Roman" w:eastAsia="Aptos" w:hAnsi="Times New Roman" w:cs="Times New Roman"/>
          <w:b/>
          <w:i/>
          <w:sz w:val="21"/>
          <w:szCs w:val="21"/>
          <w:shd w:val="clear" w:color="auto" w:fill="FFFFFF"/>
          <w:lang w:val="en-US"/>
        </w:rPr>
        <w:t>Vaskevich T.V.</w:t>
      </w:r>
    </w:p>
    <w:p w14:paraId="23245F6C"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Cs/>
          <w:i/>
          <w:sz w:val="21"/>
          <w:szCs w:val="21"/>
          <w:shd w:val="clear" w:color="auto" w:fill="FFFFFF"/>
          <w:lang w:val="en-US"/>
        </w:rPr>
      </w:pPr>
      <w:r w:rsidRPr="009C1B85">
        <w:rPr>
          <w:rFonts w:ascii="Times New Roman" w:eastAsia="Aptos" w:hAnsi="Times New Roman" w:cs="Times New Roman"/>
          <w:bCs/>
          <w:i/>
          <w:sz w:val="21"/>
          <w:szCs w:val="21"/>
          <w:shd w:val="clear" w:color="auto" w:fill="FFFFFF"/>
          <w:lang w:val="en-US"/>
        </w:rPr>
        <w:t>Associate Professor</w:t>
      </w:r>
    </w:p>
    <w:p w14:paraId="456D7F8F" w14:textId="77777777" w:rsidR="009C1B85" w:rsidRPr="009C1B85" w:rsidRDefault="009C1B85" w:rsidP="00A916AA">
      <w:pPr>
        <w:keepNext/>
        <w:keepLines/>
        <w:widowControl w:val="0"/>
        <w:spacing w:after="0" w:line="240" w:lineRule="auto"/>
        <w:jc w:val="right"/>
        <w:rPr>
          <w:rFonts w:ascii="Times New Roman" w:eastAsia="Aptos" w:hAnsi="Times New Roman" w:cs="Times New Roman"/>
          <w:bCs/>
          <w:i/>
          <w:sz w:val="21"/>
          <w:szCs w:val="21"/>
          <w:lang w:val="en-US"/>
        </w:rPr>
      </w:pPr>
      <w:r w:rsidRPr="009C1B85">
        <w:rPr>
          <w:rFonts w:ascii="Times New Roman" w:eastAsia="Aptos" w:hAnsi="Times New Roman" w:cs="Times New Roman"/>
          <w:bCs/>
          <w:i/>
          <w:sz w:val="21"/>
          <w:szCs w:val="21"/>
          <w:lang w:val="en-US"/>
        </w:rPr>
        <w:t>Financial University under the Government of the Russian Federation</w:t>
      </w:r>
    </w:p>
    <w:p w14:paraId="14C37C2D" w14:textId="77777777" w:rsidR="009C1B85" w:rsidRPr="009C1B85" w:rsidRDefault="009C1B85" w:rsidP="00A916AA">
      <w:pPr>
        <w:keepNext/>
        <w:keepLines/>
        <w:widowControl w:val="0"/>
        <w:spacing w:after="0" w:line="240" w:lineRule="auto"/>
        <w:ind w:left="5664" w:firstLine="708"/>
        <w:jc w:val="right"/>
        <w:rPr>
          <w:rFonts w:ascii="Times New Roman" w:eastAsia="Aptos" w:hAnsi="Times New Roman" w:cs="Times New Roman"/>
          <w:bCs/>
          <w:i/>
          <w:sz w:val="21"/>
          <w:szCs w:val="21"/>
          <w:lang w:val="it-IT"/>
        </w:rPr>
      </w:pPr>
      <w:r w:rsidRPr="009C1B85">
        <w:rPr>
          <w:rFonts w:ascii="Times New Roman" w:eastAsia="Aptos" w:hAnsi="Times New Roman" w:cs="Times New Roman"/>
          <w:bCs/>
          <w:i/>
          <w:sz w:val="21"/>
          <w:szCs w:val="21"/>
          <w:lang w:val="it-IT"/>
        </w:rPr>
        <w:t>Krasnodar, Russia</w:t>
      </w:r>
    </w:p>
    <w:p w14:paraId="2A7F7B0D" w14:textId="77777777" w:rsidR="009C1B85" w:rsidRPr="009C1B85" w:rsidRDefault="009C1B85" w:rsidP="00A916AA">
      <w:pPr>
        <w:keepNext/>
        <w:keepLines/>
        <w:widowControl w:val="0"/>
        <w:spacing w:after="0" w:line="240" w:lineRule="auto"/>
        <w:ind w:left="4956" w:firstLine="708"/>
        <w:jc w:val="right"/>
        <w:rPr>
          <w:rFonts w:ascii="Times New Roman" w:eastAsia="Aptos" w:hAnsi="Times New Roman" w:cs="Times New Roman"/>
          <w:bCs/>
          <w:i/>
          <w:sz w:val="21"/>
          <w:szCs w:val="21"/>
          <w:lang w:val="it-IT"/>
        </w:rPr>
      </w:pPr>
      <w:r w:rsidRPr="009C1B85">
        <w:rPr>
          <w:rFonts w:ascii="Times New Roman" w:eastAsia="Aptos" w:hAnsi="Times New Roman" w:cs="Times New Roman"/>
          <w:bCs/>
          <w:i/>
          <w:sz w:val="21"/>
          <w:szCs w:val="21"/>
          <w:lang w:val="it-IT"/>
        </w:rPr>
        <w:t>E-mail:</w:t>
      </w:r>
      <w:r w:rsidRPr="009C1B85">
        <w:rPr>
          <w:rFonts w:ascii="Times New Roman" w:eastAsia="Aptos" w:hAnsi="Times New Roman" w:cs="Times New Roman"/>
          <w:bCs/>
          <w:sz w:val="21"/>
          <w:szCs w:val="21"/>
          <w:lang w:val="it-IT"/>
        </w:rPr>
        <w:t xml:space="preserve"> </w:t>
      </w:r>
      <w:hyperlink r:id="rId631" w:history="1">
        <w:r w:rsidRPr="009C1B85">
          <w:rPr>
            <w:rFonts w:ascii="Times New Roman" w:eastAsia="Aptos" w:hAnsi="Times New Roman" w:cs="Times New Roman"/>
            <w:bCs/>
            <w:i/>
            <w:color w:val="467886"/>
            <w:sz w:val="21"/>
            <w:szCs w:val="21"/>
            <w:u w:val="single"/>
            <w:lang w:val="it-IT"/>
          </w:rPr>
          <w:t>tatyana_vaskevic@mail.ru</w:t>
        </w:r>
      </w:hyperlink>
    </w:p>
    <w:p w14:paraId="77A07E1B" w14:textId="77777777" w:rsidR="009C1B85" w:rsidRPr="009C1B85" w:rsidRDefault="009C1B85" w:rsidP="00A916AA">
      <w:pPr>
        <w:keepNext/>
        <w:keepLines/>
        <w:widowControl w:val="0"/>
        <w:spacing w:after="0" w:line="240" w:lineRule="auto"/>
        <w:ind w:left="4956" w:firstLine="708"/>
        <w:jc w:val="right"/>
        <w:rPr>
          <w:rFonts w:ascii="Times New Roman" w:eastAsia="Aptos" w:hAnsi="Times New Roman" w:cs="Times New Roman"/>
          <w:i/>
          <w:sz w:val="21"/>
          <w:szCs w:val="21"/>
          <w:lang w:val="it-IT"/>
        </w:rPr>
      </w:pPr>
    </w:p>
    <w:p w14:paraId="6312D096" w14:textId="02CD3FCE" w:rsidR="009C1B85" w:rsidRPr="009C1B85" w:rsidRDefault="00E333B8" w:rsidP="00A916AA">
      <w:pPr>
        <w:keepNext/>
        <w:keepLines/>
        <w:widowControl w:val="0"/>
        <w:spacing w:after="0" w:line="240" w:lineRule="auto"/>
        <w:ind w:right="11"/>
        <w:jc w:val="center"/>
        <w:rPr>
          <w:rFonts w:ascii="Times New Roman" w:eastAsia="Aptos" w:hAnsi="Times New Roman" w:cs="Times New Roman"/>
          <w:sz w:val="24"/>
          <w:szCs w:val="24"/>
          <w:lang w:val="en-US"/>
        </w:rPr>
      </w:pPr>
      <w:r>
        <w:rPr>
          <w:rFonts w:ascii="Times New Roman" w:eastAsia="Aptos" w:hAnsi="Times New Roman" w:cs="Times New Roman"/>
          <w:b/>
          <w:sz w:val="20"/>
          <w:szCs w:val="24"/>
          <w:lang w:val="en-US"/>
        </w:rPr>
        <w:lastRenderedPageBreak/>
        <w:t>E</w:t>
      </w:r>
      <w:r w:rsidRPr="009C1B85">
        <w:rPr>
          <w:rFonts w:ascii="Times New Roman" w:eastAsia="Aptos" w:hAnsi="Times New Roman" w:cs="Times New Roman"/>
          <w:b/>
          <w:sz w:val="20"/>
          <w:szCs w:val="24"/>
          <w:lang w:val="en-US"/>
        </w:rPr>
        <w:t>valuating the effectiveness of implementing a system for preparing analytical reporting of a medical organization using business analytics tools</w:t>
      </w:r>
    </w:p>
    <w:p w14:paraId="63D8F138" w14:textId="77777777" w:rsidR="009C1B85" w:rsidRPr="009C1B85" w:rsidRDefault="009C1B85" w:rsidP="00A916AA">
      <w:pPr>
        <w:keepNext/>
        <w:keepLines/>
        <w:widowControl w:val="0"/>
        <w:spacing w:after="0" w:line="240" w:lineRule="auto"/>
        <w:ind w:firstLine="709"/>
        <w:jc w:val="center"/>
        <w:rPr>
          <w:rFonts w:ascii="Times New Roman" w:eastAsia="Aptos" w:hAnsi="Times New Roman" w:cs="Times New Roman"/>
          <w:b/>
          <w:sz w:val="18"/>
          <w:szCs w:val="18"/>
          <w:lang w:val="en-US"/>
        </w:rPr>
      </w:pPr>
    </w:p>
    <w:p w14:paraId="14AACC4F" w14:textId="144B98CB" w:rsidR="009C1B85" w:rsidRPr="009C1B85" w:rsidRDefault="009C1B85" w:rsidP="00A916AA">
      <w:pPr>
        <w:keepNext/>
        <w:keepLines/>
        <w:widowControl w:val="0"/>
        <w:spacing w:after="0" w:line="240" w:lineRule="auto"/>
        <w:ind w:firstLine="709"/>
        <w:jc w:val="both"/>
        <w:rPr>
          <w:rFonts w:ascii="Times New Roman" w:eastAsia="Aptos" w:hAnsi="Times New Roman" w:cs="Times New Roman"/>
          <w:sz w:val="21"/>
          <w:szCs w:val="21"/>
          <w:lang w:val="en-US"/>
        </w:rPr>
      </w:pPr>
      <w:r w:rsidRPr="009C1B85">
        <w:rPr>
          <w:rFonts w:ascii="Times New Roman" w:eastAsia="Aptos" w:hAnsi="Times New Roman" w:cs="Times New Roman"/>
          <w:b/>
          <w:sz w:val="21"/>
          <w:szCs w:val="21"/>
          <w:lang w:val="en-US"/>
        </w:rPr>
        <w:t xml:space="preserve">Abstract: </w:t>
      </w:r>
      <w:r w:rsidRPr="009C1B85">
        <w:rPr>
          <w:rFonts w:ascii="Times New Roman" w:eastAsia="Aptos" w:hAnsi="Times New Roman" w:cs="Times New Roman"/>
          <w:sz w:val="21"/>
          <w:szCs w:val="21"/>
          <w:lang w:val="en-US"/>
        </w:rPr>
        <w:t>The article aims to consider the possibility of implementing analytical business tools in the medical field, as well as the problem of improving the efficiency of analytical reporting in medical organizations, the introduction of business intelligence tools to optimize time and financial costs, as well as automation and</w:t>
      </w:r>
      <w:r w:rsidR="0048297D" w:rsidRPr="0048297D">
        <w:rPr>
          <w:rFonts w:ascii="Times New Roman" w:eastAsia="Aptos" w:hAnsi="Times New Roman" w:cs="Times New Roman"/>
          <w:sz w:val="21"/>
          <w:szCs w:val="21"/>
          <w:lang w:val="en-US"/>
        </w:rPr>
        <w:t xml:space="preserve"> </w:t>
      </w:r>
      <w:r w:rsidRPr="009C1B85">
        <w:rPr>
          <w:rFonts w:ascii="Times New Roman" w:eastAsia="Aptos" w:hAnsi="Times New Roman" w:cs="Times New Roman"/>
          <w:sz w:val="21"/>
          <w:szCs w:val="21"/>
          <w:lang w:val="en-US"/>
        </w:rPr>
        <w:t>acceleration of data processing and analysis. A system implementation model based on the use of various BI platforms, including various metrics, the development of dashboards and interactive reports, was presented.</w:t>
      </w:r>
    </w:p>
    <w:p w14:paraId="776CB9CE" w14:textId="77777777" w:rsidR="009C1B85" w:rsidRPr="009C1B85" w:rsidRDefault="009C1B85" w:rsidP="00A916AA">
      <w:pPr>
        <w:keepNext/>
        <w:keepLines/>
        <w:widowControl w:val="0"/>
        <w:spacing w:after="0" w:line="240" w:lineRule="auto"/>
        <w:ind w:firstLine="709"/>
        <w:jc w:val="both"/>
        <w:rPr>
          <w:rFonts w:ascii="Times New Roman" w:eastAsia="Aptos" w:hAnsi="Times New Roman" w:cs="Times New Roman"/>
          <w:sz w:val="21"/>
          <w:szCs w:val="21"/>
          <w:lang w:val="en-US"/>
        </w:rPr>
      </w:pPr>
      <w:r w:rsidRPr="009C1B85">
        <w:rPr>
          <w:rFonts w:ascii="Times New Roman" w:eastAsia="Aptos" w:hAnsi="Times New Roman" w:cs="Times New Roman"/>
          <w:b/>
          <w:sz w:val="21"/>
          <w:szCs w:val="21"/>
          <w:lang w:val="en-US"/>
        </w:rPr>
        <w:t xml:space="preserve">Keywords: </w:t>
      </w:r>
      <w:r w:rsidRPr="009C1B85">
        <w:rPr>
          <w:rFonts w:ascii="Times New Roman" w:eastAsia="Aptos" w:hAnsi="Times New Roman" w:cs="Times New Roman"/>
          <w:sz w:val="21"/>
          <w:szCs w:val="21"/>
          <w:lang w:val="en-US"/>
        </w:rPr>
        <w:t>Information technology, metrics, cost reduction, efficiency, dashboards, reporting</w:t>
      </w:r>
    </w:p>
    <w:p w14:paraId="05BB4517" w14:textId="77777777" w:rsidR="0048297D" w:rsidRPr="00C30970" w:rsidRDefault="0048297D" w:rsidP="00A916AA">
      <w:pPr>
        <w:keepNext/>
        <w:keepLines/>
        <w:widowControl w:val="0"/>
        <w:spacing w:after="0" w:line="240" w:lineRule="auto"/>
        <w:rPr>
          <w:rFonts w:ascii="Times New Roman" w:eastAsia="Aptos" w:hAnsi="Times New Roman" w:cs="Times New Roman"/>
          <w:b/>
          <w:sz w:val="32"/>
          <w:szCs w:val="32"/>
          <w:lang w:val="en-US"/>
        </w:rPr>
      </w:pPr>
    </w:p>
    <w:p w14:paraId="09759E90" w14:textId="33314F48" w:rsidR="009C1B85" w:rsidRPr="009C1B85" w:rsidRDefault="009C1B85" w:rsidP="00A916AA">
      <w:pPr>
        <w:keepNext/>
        <w:keepLines/>
        <w:widowControl w:val="0"/>
        <w:spacing w:after="0" w:line="240" w:lineRule="auto"/>
        <w:rPr>
          <w:rFonts w:ascii="Times New Roman" w:eastAsia="Aptos" w:hAnsi="Times New Roman" w:cs="Times New Roman"/>
          <w:bCs/>
          <w:sz w:val="32"/>
          <w:szCs w:val="32"/>
        </w:rPr>
      </w:pPr>
      <w:r w:rsidRPr="009C1B85">
        <w:rPr>
          <w:rFonts w:ascii="Times New Roman" w:eastAsia="Aptos" w:hAnsi="Times New Roman" w:cs="Times New Roman"/>
          <w:bCs/>
          <w:sz w:val="32"/>
          <w:szCs w:val="32"/>
        </w:rPr>
        <w:t>Введение</w:t>
      </w:r>
    </w:p>
    <w:p w14:paraId="0050B79C" w14:textId="77777777" w:rsidR="009C1B85" w:rsidRPr="009C1B85" w:rsidRDefault="009C1B85" w:rsidP="00A916AA">
      <w:pPr>
        <w:keepNext/>
        <w:keepLines/>
        <w:widowControl w:val="0"/>
        <w:spacing w:after="0" w:line="240" w:lineRule="auto"/>
        <w:ind w:firstLine="709"/>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Современная система здравоохранения предъявляет повышенные требования к эффективности управления и организации деятельности медицинских организаций.</w:t>
      </w:r>
    </w:p>
    <w:p w14:paraId="33A07F1D"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В условиях растущей конкуренции, необходимости оптимизации финансовых расходов, повышения качества оказываемой медицинской помощи, необходимо оперативное и объективное принятие управленческих решений.</w:t>
      </w:r>
    </w:p>
    <w:p w14:paraId="2F395228"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Одним из главных элементов является наличие качественной и эффективной аналитической отчетности, которая отражает все аспекты деятельности медицинской организации.</w:t>
      </w:r>
    </w:p>
    <w:p w14:paraId="4511897E"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Однако внедрение систем бизнес-аналитики является перспективным решением, способным автоматизировать процессы сбора, обработки и анализа данных с их последующей визуализацией, что в будущем сократит трудовые и финансовые затраты на подготовку отчетности.</w:t>
      </w:r>
    </w:p>
    <w:p w14:paraId="4CD4931F"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Постановка задачи</w:t>
      </w:r>
    </w:p>
    <w:p w14:paraId="121CD8C4"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 xml:space="preserve">Таким образом, целью данной работы является обоснование целесообразности внедрения системы подготовки аналитической отчетности на основе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-инструментов в медицинской организации и определении наиболее подходящей платформы для реализации этой системы путем сравнительного анализа функциональных возможностей</w:t>
      </w:r>
      <w:r w:rsidRPr="009C1B85">
        <w:rPr>
          <w:rFonts w:ascii="Times New Roman" w:eastAsia="Aptos" w:hAnsi="Times New Roman" w:cs="Times New Roman"/>
          <w:bCs/>
          <w:sz w:val="32"/>
          <w:szCs w:val="32"/>
        </w:rPr>
        <w:tab/>
      </w:r>
    </w:p>
    <w:p w14:paraId="77B49C22"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Для достижения цели были поставлены следующие задачи:</w:t>
      </w:r>
    </w:p>
    <w:p w14:paraId="66D6C8BF" w14:textId="77777777" w:rsidR="009C1B85" w:rsidRPr="009C1B85" w:rsidRDefault="009C1B85" w:rsidP="00AD58CD">
      <w:pPr>
        <w:keepNext/>
        <w:keepLines/>
        <w:widowControl w:val="0"/>
        <w:numPr>
          <w:ilvl w:val="0"/>
          <w:numId w:val="153"/>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Провести анализ существующих подходов к подготовке аналитической отчетности</w:t>
      </w:r>
    </w:p>
    <w:p w14:paraId="58E04617" w14:textId="77777777" w:rsidR="009C1B85" w:rsidRPr="009C1B85" w:rsidRDefault="009C1B85" w:rsidP="00AD58CD">
      <w:pPr>
        <w:keepNext/>
        <w:keepLines/>
        <w:widowControl w:val="0"/>
        <w:numPr>
          <w:ilvl w:val="0"/>
          <w:numId w:val="153"/>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Изучить теоретические основы и практический опыт применения инструментов бизнес-аналитики</w:t>
      </w:r>
    </w:p>
    <w:p w14:paraId="2EEDC01D" w14:textId="77777777" w:rsidR="009C1B85" w:rsidRPr="009C1B85" w:rsidRDefault="009C1B85" w:rsidP="00AD58CD">
      <w:pPr>
        <w:keepNext/>
        <w:keepLines/>
        <w:widowControl w:val="0"/>
        <w:numPr>
          <w:ilvl w:val="0"/>
          <w:numId w:val="153"/>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Разработать критерии выбора платформы </w:t>
      </w:r>
      <w:r w:rsidRPr="009C1B85">
        <w:rPr>
          <w:rFonts w:ascii="Times New Roman" w:eastAsia="Aptos" w:hAnsi="Times New Roman" w:cs="Times New Roman"/>
          <w:bCs/>
          <w:sz w:val="32"/>
          <w:szCs w:val="32"/>
          <w:lang w:val="en-US"/>
        </w:rPr>
        <w:t>BI</w:t>
      </w:r>
    </w:p>
    <w:p w14:paraId="71EFF79E" w14:textId="77777777" w:rsidR="009C1B85" w:rsidRPr="009C1B85" w:rsidRDefault="009C1B85" w:rsidP="00AD58CD">
      <w:pPr>
        <w:keepNext/>
        <w:keepLines/>
        <w:widowControl w:val="0"/>
        <w:numPr>
          <w:ilvl w:val="0"/>
          <w:numId w:val="153"/>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Провести сравнительный анализ выбранных платформ на основе разработанных критериев</w:t>
      </w:r>
    </w:p>
    <w:p w14:paraId="1DFB557F" w14:textId="77777777" w:rsidR="009C1B85" w:rsidRPr="009C1B85" w:rsidRDefault="009C1B85" w:rsidP="00AD58CD">
      <w:pPr>
        <w:keepNext/>
        <w:keepLines/>
        <w:widowControl w:val="0"/>
        <w:numPr>
          <w:ilvl w:val="0"/>
          <w:numId w:val="153"/>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lastRenderedPageBreak/>
        <w:t>Оценить экономическую целесообразность внедрения предложенной системы.</w:t>
      </w:r>
    </w:p>
    <w:p w14:paraId="4E0BAE98"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Гипотеза:</w:t>
      </w:r>
    </w:p>
    <w:p w14:paraId="3135E5AC"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 xml:space="preserve">Внедрение системы подготовки аналитической отчетности (в дальнейшем СПАО) на основе оптимально выбранной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-платформы в МО приведет к повышению эффективности принятий управленческих решений, оптимизации финансовых показателей по сравнению с существующими методами подготовки отчетности.</w:t>
      </w:r>
    </w:p>
    <w:p w14:paraId="7BB8B2E6" w14:textId="77777777" w:rsidR="009C1B85" w:rsidRPr="009C1B85" w:rsidRDefault="009C1B85" w:rsidP="00AD58CD">
      <w:pPr>
        <w:keepNext/>
        <w:keepLines/>
        <w:widowControl w:val="0"/>
        <w:numPr>
          <w:ilvl w:val="0"/>
          <w:numId w:val="159"/>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Методология исследования</w:t>
      </w:r>
    </w:p>
    <w:p w14:paraId="77B42354"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Данное исследование направлено на обоснование целесообразности внедрения системы подготовки аналитической отчетности на основе инструментов бизнес-аналитики в медицинской организации, а также выборе оптимальной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-платформы для реализации этой системы.</w:t>
      </w:r>
    </w:p>
    <w:p w14:paraId="54BC3E6E"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Для достижения поставленной цели и решения задач исследования был использован комплекс взаимодополняющих методов</w:t>
      </w:r>
    </w:p>
    <w:p w14:paraId="54B3F7F9" w14:textId="77777777" w:rsidR="009C1B85" w:rsidRPr="009C1B85" w:rsidRDefault="009C1B85" w:rsidP="00AD58CD">
      <w:pPr>
        <w:keepNext/>
        <w:keepLines/>
        <w:widowControl w:val="0"/>
        <w:numPr>
          <w:ilvl w:val="1"/>
          <w:numId w:val="154"/>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Метод сбора данных</w:t>
      </w:r>
    </w:p>
    <w:p w14:paraId="173CE885" w14:textId="77777777" w:rsidR="009C1B85" w:rsidRPr="009C1B85" w:rsidRDefault="009C1B85" w:rsidP="00AD58CD">
      <w:pPr>
        <w:keepNext/>
        <w:keepLines/>
        <w:widowControl w:val="0"/>
        <w:numPr>
          <w:ilvl w:val="0"/>
          <w:numId w:val="155"/>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Анализ научной литературы</w:t>
      </w:r>
    </w:p>
    <w:p w14:paraId="16B100B9" w14:textId="77777777" w:rsidR="009C1B85" w:rsidRPr="009C1B85" w:rsidRDefault="009C1B85" w:rsidP="00AD58CD">
      <w:pPr>
        <w:keepNext/>
        <w:keepLines/>
        <w:widowControl w:val="0"/>
        <w:numPr>
          <w:ilvl w:val="0"/>
          <w:numId w:val="155"/>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Анализ документации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w:t>
      </w:r>
    </w:p>
    <w:p w14:paraId="1F757AD9" w14:textId="77777777" w:rsidR="009C1B85" w:rsidRPr="009C1B85" w:rsidRDefault="009C1B85" w:rsidP="00AD58CD">
      <w:pPr>
        <w:keepNext/>
        <w:keepLines/>
        <w:widowControl w:val="0"/>
        <w:numPr>
          <w:ilvl w:val="1"/>
          <w:numId w:val="154"/>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Критерии оценки платформ для проведения сравнительного анализа: Функциональные возможности; Масштабируемость и производительность; Интеграция; Удобство использования; Безопасность и соответствие требованиям; Стоимость</w:t>
      </w:r>
    </w:p>
    <w:p w14:paraId="78F68ECD" w14:textId="77777777" w:rsidR="009C1B85" w:rsidRPr="009C1B85" w:rsidRDefault="009C1B85" w:rsidP="00AD58CD">
      <w:pPr>
        <w:keepNext/>
        <w:keepLines/>
        <w:widowControl w:val="0"/>
        <w:numPr>
          <w:ilvl w:val="0"/>
          <w:numId w:val="159"/>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Методы сравнительного анализа</w:t>
      </w:r>
    </w:p>
    <w:p w14:paraId="25D1429D" w14:textId="77777777" w:rsidR="009C1B85" w:rsidRPr="009C1B85" w:rsidRDefault="009C1B85" w:rsidP="00A916AA">
      <w:pPr>
        <w:keepNext/>
        <w:keepLines/>
        <w:widowControl w:val="0"/>
        <w:spacing w:after="0" w:line="240" w:lineRule="auto"/>
        <w:ind w:left="360" w:firstLine="34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Данный раздел описывает методологию, применявшуюся для проведения сравнительного анализа выбранных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 Целью анализа является определение наиболее подходящей платформы для реализации системы подготовки аналитической отчетности.</w:t>
      </w:r>
    </w:p>
    <w:p w14:paraId="67F5497D" w14:textId="77777777" w:rsidR="009C1B85" w:rsidRPr="009C1B85" w:rsidRDefault="009C1B85" w:rsidP="00AD58CD">
      <w:pPr>
        <w:keepNext/>
        <w:keepLines/>
        <w:widowControl w:val="0"/>
        <w:numPr>
          <w:ilvl w:val="1"/>
          <w:numId w:val="162"/>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Определение критериев оценки*</w:t>
      </w:r>
    </w:p>
    <w:p w14:paraId="4811330D" w14:textId="77777777" w:rsidR="009C1B85" w:rsidRPr="009C1B85" w:rsidRDefault="009C1B85" w:rsidP="00A916AA">
      <w:pPr>
        <w:keepNext/>
        <w:keepLines/>
        <w:widowControl w:val="0"/>
        <w:spacing w:after="0" w:line="240" w:lineRule="auto"/>
        <w:ind w:left="2124"/>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*Критерии оценки указаны в разделе 2, подразделе 2.2</w:t>
      </w:r>
    </w:p>
    <w:p w14:paraId="56E0501D" w14:textId="77777777" w:rsidR="009C1B85" w:rsidRPr="009C1B85" w:rsidRDefault="009C1B85" w:rsidP="00AD58CD">
      <w:pPr>
        <w:keepNext/>
        <w:keepLines/>
        <w:widowControl w:val="0"/>
        <w:numPr>
          <w:ilvl w:val="1"/>
          <w:numId w:val="162"/>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Методика оценки: Сбор информации; Субъективная оценка; Выставление баллов; Расчет итоговой оценки; Визуализация результатов</w:t>
      </w:r>
    </w:p>
    <w:p w14:paraId="766E52EE" w14:textId="77777777" w:rsidR="009C1B85" w:rsidRPr="009C1B85" w:rsidRDefault="009C1B85" w:rsidP="00AD58CD">
      <w:pPr>
        <w:keepNext/>
        <w:keepLines/>
        <w:widowControl w:val="0"/>
        <w:numPr>
          <w:ilvl w:val="0"/>
          <w:numId w:val="159"/>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Методы оценки экономической целесообразности.</w:t>
      </w:r>
    </w:p>
    <w:p w14:paraId="017071F8" w14:textId="77777777" w:rsidR="009C1B85" w:rsidRPr="009C1B85" w:rsidRDefault="009C1B85" w:rsidP="00A916AA">
      <w:pPr>
        <w:keepNext/>
        <w:keepLines/>
        <w:widowControl w:val="0"/>
        <w:spacing w:after="0" w:line="240" w:lineRule="auto"/>
        <w:ind w:firstLine="698"/>
        <w:rPr>
          <w:rFonts w:ascii="Times New Roman" w:eastAsia="Aptos" w:hAnsi="Times New Roman" w:cs="Times New Roman"/>
          <w:bCs/>
          <w:sz w:val="32"/>
          <w:szCs w:val="32"/>
        </w:rPr>
      </w:pPr>
      <w:r w:rsidRPr="009C1B85">
        <w:rPr>
          <w:rFonts w:ascii="Times New Roman" w:eastAsia="Aptos" w:hAnsi="Times New Roman" w:cs="Times New Roman"/>
          <w:bCs/>
          <w:sz w:val="32"/>
          <w:szCs w:val="32"/>
        </w:rPr>
        <w:lastRenderedPageBreak/>
        <w:t xml:space="preserve">Целью оценки экономической эффективности и целесообразности внедрения является определение, превысят ли выгоды от внедрения системы подготовки аналитической отчетности на базе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 xml:space="preserve">-платформ затраты на ее внедрение и эксплуатацию. Для этого есть несколько методов анализа, например </w:t>
      </w:r>
      <w:r w:rsidRPr="009C1B85">
        <w:rPr>
          <w:rFonts w:ascii="Times New Roman" w:eastAsia="Aptos" w:hAnsi="Times New Roman" w:cs="Times New Roman"/>
          <w:bCs/>
          <w:sz w:val="32"/>
          <w:szCs w:val="32"/>
          <w:lang w:val="en-US"/>
        </w:rPr>
        <w:t>ROI</w:t>
      </w: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NPV</w:t>
      </w:r>
      <w:r w:rsidRPr="009C1B85">
        <w:rPr>
          <w:rFonts w:ascii="Times New Roman" w:eastAsia="Aptos" w:hAnsi="Times New Roman" w:cs="Times New Roman"/>
          <w:bCs/>
          <w:sz w:val="32"/>
          <w:szCs w:val="32"/>
        </w:rPr>
        <w:t xml:space="preserve"> </w:t>
      </w:r>
    </w:p>
    <w:p w14:paraId="51D0F429" w14:textId="77777777" w:rsidR="009C1B85" w:rsidRPr="009C1B85" w:rsidRDefault="009C1B85" w:rsidP="00AD58CD">
      <w:pPr>
        <w:keepNext/>
        <w:keepLines/>
        <w:widowControl w:val="0"/>
        <w:numPr>
          <w:ilvl w:val="0"/>
          <w:numId w:val="159"/>
        </w:numPr>
        <w:spacing w:after="0" w:line="240" w:lineRule="auto"/>
        <w:contextualSpacing/>
        <w:jc w:val="both"/>
        <w:rPr>
          <w:rFonts w:ascii="Times New Roman" w:eastAsia="Aptos" w:hAnsi="Times New Roman" w:cs="Times New Roman"/>
          <w:bCs/>
          <w:sz w:val="32"/>
          <w:szCs w:val="32"/>
          <w:lang w:val="en-US"/>
        </w:rPr>
      </w:pPr>
      <w:r w:rsidRPr="009C1B85">
        <w:rPr>
          <w:rFonts w:ascii="Times New Roman" w:eastAsia="Aptos" w:hAnsi="Times New Roman" w:cs="Times New Roman"/>
          <w:bCs/>
          <w:sz w:val="32"/>
          <w:szCs w:val="32"/>
        </w:rPr>
        <w:t>Результаты исследований</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58"/>
      </w:tblGrid>
      <w:tr w:rsidR="009C1B85" w:rsidRPr="009C1B85" w14:paraId="502D80FA" w14:textId="77777777" w:rsidTr="00EB1CB9">
        <w:tc>
          <w:tcPr>
            <w:tcW w:w="2158" w:type="dxa"/>
            <w:shd w:val="clear" w:color="auto" w:fill="FFFFFF"/>
            <w:vAlign w:val="center"/>
            <w:hideMark/>
          </w:tcPr>
          <w:p w14:paraId="5833A428"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p>
        </w:tc>
      </w:tr>
    </w:tbl>
    <w:p w14:paraId="7CB9C69E"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Данный раздел содержит в себе подробное изложение результатов проведенного исследования, основанные на методологии, описанные во втором разделе.</w:t>
      </w:r>
    </w:p>
    <w:p w14:paraId="7E058664" w14:textId="77777777" w:rsidR="009C1B85" w:rsidRPr="009C1B85" w:rsidRDefault="009C1B85" w:rsidP="00A916AA">
      <w:pPr>
        <w:keepNext/>
        <w:keepLines/>
        <w:widowControl w:val="0"/>
        <w:spacing w:after="0" w:line="240" w:lineRule="auto"/>
        <w:ind w:left="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5.1 Анализ существующих подходов для подготовки аналитической отчетности в МО.</w:t>
      </w:r>
    </w:p>
    <w:p w14:paraId="3501B938"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ab/>
        <w:t>В настоящее время, существует несколько подходов для подготовки аналитической отчетности.</w:t>
      </w:r>
    </w:p>
    <w:p w14:paraId="1E2B5BCF" w14:textId="77777777" w:rsidR="009C1B85" w:rsidRPr="009C1B85" w:rsidRDefault="009C1B85" w:rsidP="00AD58CD">
      <w:pPr>
        <w:keepNext/>
        <w:keepLines/>
        <w:widowControl w:val="0"/>
        <w:numPr>
          <w:ilvl w:val="0"/>
          <w:numId w:val="156"/>
        </w:numPr>
        <w:spacing w:after="0" w:line="240" w:lineRule="auto"/>
        <w:contextualSpacing/>
        <w:jc w:val="both"/>
        <w:rPr>
          <w:rFonts w:ascii="Times New Roman" w:eastAsia="Aptos" w:hAnsi="Times New Roman" w:cs="Times New Roman"/>
          <w:bCs/>
          <w:sz w:val="32"/>
          <w:szCs w:val="32"/>
          <w:lang w:val="en-US"/>
        </w:rPr>
      </w:pPr>
      <w:r w:rsidRPr="009C1B85">
        <w:rPr>
          <w:rFonts w:ascii="Times New Roman" w:eastAsia="Aptos" w:hAnsi="Times New Roman" w:cs="Times New Roman"/>
          <w:bCs/>
          <w:sz w:val="32"/>
          <w:szCs w:val="32"/>
        </w:rPr>
        <w:t xml:space="preserve"> Ручной подход</w:t>
      </w:r>
    </w:p>
    <w:p w14:paraId="006DCC1A" w14:textId="77777777" w:rsidR="009C1B85" w:rsidRPr="009C1B85" w:rsidRDefault="009C1B85" w:rsidP="00AD58CD">
      <w:pPr>
        <w:keepNext/>
        <w:keepLines/>
        <w:widowControl w:val="0"/>
        <w:numPr>
          <w:ilvl w:val="0"/>
          <w:numId w:val="156"/>
        </w:numPr>
        <w:spacing w:after="0" w:line="240" w:lineRule="auto"/>
        <w:contextualSpacing/>
        <w:jc w:val="both"/>
        <w:rPr>
          <w:rFonts w:ascii="Times New Roman" w:eastAsia="Aptos" w:hAnsi="Times New Roman" w:cs="Times New Roman"/>
          <w:bCs/>
          <w:sz w:val="32"/>
          <w:szCs w:val="32"/>
          <w:lang w:val="en-US"/>
        </w:rPr>
      </w:pPr>
      <w:r w:rsidRPr="009C1B85">
        <w:rPr>
          <w:rFonts w:ascii="Times New Roman" w:eastAsia="Aptos" w:hAnsi="Times New Roman" w:cs="Times New Roman"/>
          <w:bCs/>
          <w:sz w:val="32"/>
          <w:szCs w:val="32"/>
        </w:rPr>
        <w:t>Частично автоматизированный подход</w:t>
      </w:r>
    </w:p>
    <w:p w14:paraId="0F3BA1E4" w14:textId="77777777" w:rsidR="009C1B85" w:rsidRPr="009C1B85" w:rsidRDefault="009C1B85" w:rsidP="00AD58CD">
      <w:pPr>
        <w:keepNext/>
        <w:keepLines/>
        <w:widowControl w:val="0"/>
        <w:numPr>
          <w:ilvl w:val="0"/>
          <w:numId w:val="156"/>
        </w:numPr>
        <w:spacing w:after="0" w:line="240" w:lineRule="auto"/>
        <w:contextualSpacing/>
        <w:jc w:val="both"/>
        <w:rPr>
          <w:rFonts w:ascii="Times New Roman" w:eastAsia="Aptos" w:hAnsi="Times New Roman" w:cs="Times New Roman"/>
          <w:bCs/>
          <w:sz w:val="32"/>
          <w:szCs w:val="32"/>
          <w:lang w:val="en-US"/>
        </w:rPr>
      </w:pPr>
      <w:r w:rsidRPr="009C1B85">
        <w:rPr>
          <w:rFonts w:ascii="Times New Roman" w:eastAsia="Aptos" w:hAnsi="Times New Roman" w:cs="Times New Roman"/>
          <w:bCs/>
          <w:sz w:val="32"/>
          <w:szCs w:val="32"/>
        </w:rPr>
        <w:t>Автоматизированный подход</w:t>
      </w:r>
    </w:p>
    <w:p w14:paraId="7DBE7441" w14:textId="77777777" w:rsidR="009C1B85" w:rsidRPr="009C1B85" w:rsidRDefault="009C1B85" w:rsidP="00AD58CD">
      <w:pPr>
        <w:keepNext/>
        <w:keepLines/>
        <w:widowControl w:val="0"/>
        <w:numPr>
          <w:ilvl w:val="0"/>
          <w:numId w:val="156"/>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Подход на основе платформ аналитики больших данных.</w:t>
      </w:r>
    </w:p>
    <w:p w14:paraId="0E7ED172" w14:textId="77777777" w:rsidR="009C1B85" w:rsidRPr="009C1B85" w:rsidRDefault="009C1B85" w:rsidP="00A916AA">
      <w:pPr>
        <w:keepNext/>
        <w:keepLines/>
        <w:widowControl w:val="0"/>
        <w:spacing w:after="0" w:line="240" w:lineRule="auto"/>
        <w:ind w:right="1134"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5.2 Результаты сравнительного анализа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w:t>
      </w:r>
    </w:p>
    <w:p w14:paraId="3235CCF8" w14:textId="77777777" w:rsidR="009C1B85" w:rsidRPr="009C1B85" w:rsidRDefault="009C1B85" w:rsidP="00A916AA">
      <w:pPr>
        <w:keepNext/>
        <w:keepLines/>
        <w:widowControl w:val="0"/>
        <w:spacing w:after="0" w:line="240" w:lineRule="auto"/>
        <w:ind w:right="1134"/>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Таблица 1 – Результаты сравнительного анализа</w:t>
      </w:r>
    </w:p>
    <w:tbl>
      <w:tblPr>
        <w:tblW w:w="0" w:type="auto"/>
        <w:tblInd w:w="-195" w:type="dxa"/>
        <w:shd w:val="clear" w:color="auto" w:fill="FFFFFF"/>
        <w:tblCellMar>
          <w:top w:w="15" w:type="dxa"/>
          <w:left w:w="15" w:type="dxa"/>
          <w:bottom w:w="15" w:type="dxa"/>
          <w:right w:w="15" w:type="dxa"/>
        </w:tblCellMar>
        <w:tblLook w:val="04A0" w:firstRow="1" w:lastRow="0" w:firstColumn="1" w:lastColumn="0" w:noHBand="0" w:noVBand="1"/>
      </w:tblPr>
      <w:tblGrid>
        <w:gridCol w:w="2116"/>
        <w:gridCol w:w="3357"/>
      </w:tblGrid>
      <w:tr w:rsidR="009C1B85" w:rsidRPr="009C1B85" w14:paraId="3F1D1737" w14:textId="77777777" w:rsidTr="00EB1CB9">
        <w:tc>
          <w:tcPr>
            <w:tcW w:w="0" w:type="auto"/>
            <w:gridSpan w:val="2"/>
            <w:shd w:val="clear" w:color="auto" w:fill="FFFFFF"/>
            <w:vAlign w:val="center"/>
            <w:hideMark/>
          </w:tcPr>
          <w:p w14:paraId="550515AB" w14:textId="77777777" w:rsidR="009C1B85" w:rsidRPr="009C1B85" w:rsidRDefault="009C1B85" w:rsidP="00A916AA">
            <w:pPr>
              <w:keepNext/>
              <w:keepLines/>
              <w:widowControl w:val="0"/>
              <w:spacing w:after="0" w:line="240" w:lineRule="auto"/>
              <w:rPr>
                <w:rFonts w:ascii="Times New Roman" w:eastAsia="Aptos" w:hAnsi="Times New Roman" w:cs="Times New Roman"/>
                <w:bCs/>
                <w:sz w:val="28"/>
                <w:szCs w:val="28"/>
              </w:rPr>
            </w:pPr>
          </w:p>
        </w:tc>
      </w:tr>
      <w:tr w:rsidR="009C1B85" w:rsidRPr="009C1B85" w14:paraId="6AA94844"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5A106781"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BI-платформа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425FA77D"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Итоговая взвешенная оценка</w:t>
            </w:r>
          </w:p>
        </w:tc>
      </w:tr>
      <w:tr w:rsidR="009C1B85" w:rsidRPr="009C1B85" w14:paraId="7B53028B"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7B463B15"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Tableau</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5055816D"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4.65</w:t>
            </w:r>
          </w:p>
        </w:tc>
      </w:tr>
      <w:tr w:rsidR="009C1B85" w:rsidRPr="009C1B85" w14:paraId="6D805EC3"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3A95876E"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Loginom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15796766"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3.8</w:t>
            </w:r>
          </w:p>
        </w:tc>
      </w:tr>
      <w:tr w:rsidR="009C1B85" w:rsidRPr="009C1B85" w14:paraId="7DCBB97A"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70C04D35"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Power BI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1C5ED986"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4.65</w:t>
            </w:r>
          </w:p>
        </w:tc>
      </w:tr>
      <w:tr w:rsidR="009C1B85" w:rsidRPr="009C1B85" w14:paraId="2494FA07"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hideMark/>
          </w:tcPr>
          <w:p w14:paraId="0B976852"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rPr>
            </w:pPr>
            <w:r w:rsidRPr="009C1B85">
              <w:rPr>
                <w:rFonts w:ascii="Times New Roman" w:eastAsia="Aptos" w:hAnsi="Times New Roman" w:cs="Times New Roman"/>
                <w:bCs/>
                <w:sz w:val="24"/>
                <w:szCs w:val="24"/>
              </w:rPr>
              <w:t>Yandex DataLens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A89D3F3"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3.35</w:t>
            </w:r>
          </w:p>
        </w:tc>
      </w:tr>
      <w:tr w:rsidR="009C1B85" w:rsidRPr="009C1B85" w14:paraId="26D19B8A"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tcPr>
          <w:p w14:paraId="0248B5D7"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lang w:val="en-US"/>
              </w:rPr>
            </w:pPr>
            <w:r w:rsidRPr="009C1B85">
              <w:rPr>
                <w:rFonts w:ascii="Times New Roman" w:eastAsia="Aptos" w:hAnsi="Times New Roman" w:cs="Times New Roman"/>
                <w:bCs/>
                <w:sz w:val="24"/>
                <w:szCs w:val="24"/>
                <w:lang w:val="en-US"/>
              </w:rPr>
              <w:t>Visiology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749DAC"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3,68</w:t>
            </w:r>
          </w:p>
        </w:tc>
      </w:tr>
      <w:tr w:rsidR="009C1B85" w:rsidRPr="009C1B85" w14:paraId="378EB959" w14:textId="77777777" w:rsidTr="00EB1CB9">
        <w:tc>
          <w:tcPr>
            <w:tcW w:w="0" w:type="auto"/>
            <w:tcBorders>
              <w:top w:val="single" w:sz="4" w:space="0" w:color="auto"/>
              <w:left w:val="single" w:sz="4" w:space="0" w:color="auto"/>
              <w:bottom w:val="single" w:sz="4" w:space="0" w:color="auto"/>
              <w:right w:val="single" w:sz="4" w:space="0" w:color="auto"/>
            </w:tcBorders>
            <w:shd w:val="clear" w:color="auto" w:fill="FFFFFF"/>
            <w:tcMar>
              <w:top w:w="90" w:type="dxa"/>
              <w:left w:w="195" w:type="dxa"/>
              <w:bottom w:w="90" w:type="dxa"/>
              <w:right w:w="195" w:type="dxa"/>
            </w:tcMar>
            <w:vAlign w:val="center"/>
          </w:tcPr>
          <w:p w14:paraId="5248D59F"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4"/>
                <w:szCs w:val="24"/>
                <w:lang w:val="en-US"/>
              </w:rPr>
            </w:pPr>
            <w:r w:rsidRPr="009C1B85">
              <w:rPr>
                <w:rFonts w:ascii="Times New Roman" w:eastAsia="Aptos" w:hAnsi="Times New Roman" w:cs="Times New Roman"/>
                <w:bCs/>
                <w:sz w:val="24"/>
                <w:szCs w:val="24"/>
                <w:lang w:val="en-US"/>
              </w:rPr>
              <w:t>FastBoard</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F382275" w14:textId="77777777" w:rsidR="009C1B85" w:rsidRPr="009C1B85" w:rsidRDefault="009C1B85" w:rsidP="00A916AA">
            <w:pPr>
              <w:keepNext/>
              <w:keepLines/>
              <w:widowControl w:val="0"/>
              <w:spacing w:after="0" w:line="240" w:lineRule="auto"/>
              <w:ind w:left="2124"/>
              <w:jc w:val="center"/>
              <w:rPr>
                <w:rFonts w:ascii="Times New Roman" w:eastAsia="Aptos" w:hAnsi="Times New Roman" w:cs="Times New Roman"/>
                <w:bCs/>
                <w:sz w:val="24"/>
                <w:szCs w:val="24"/>
              </w:rPr>
            </w:pPr>
            <w:r w:rsidRPr="009C1B85">
              <w:rPr>
                <w:rFonts w:ascii="Times New Roman" w:eastAsia="Aptos" w:hAnsi="Times New Roman" w:cs="Times New Roman"/>
                <w:bCs/>
                <w:sz w:val="24"/>
                <w:szCs w:val="24"/>
              </w:rPr>
              <w:t>2,79</w:t>
            </w:r>
          </w:p>
        </w:tc>
      </w:tr>
    </w:tbl>
    <w:p w14:paraId="796952CF"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28"/>
          <w:szCs w:val="28"/>
          <w:lang w:val="en-GB"/>
        </w:rPr>
      </w:pPr>
    </w:p>
    <w:p w14:paraId="589ADA57"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5.3 Оценка экономической эффективности от внедрения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-платформ</w:t>
      </w:r>
    </w:p>
    <w:p w14:paraId="47B72148"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В данном разделе будет рассмотрена такая немаловажная деталь, как расчет экономической эффективности от внедрения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 xml:space="preserve">-платформы. </w:t>
      </w:r>
    </w:p>
    <w:p w14:paraId="5784B3A7"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Здесь будут рассмотрены основные показатели </w:t>
      </w:r>
      <w:r w:rsidRPr="009C1B85">
        <w:rPr>
          <w:rFonts w:ascii="Times New Roman" w:eastAsia="Aptos" w:hAnsi="Times New Roman" w:cs="Times New Roman"/>
          <w:bCs/>
          <w:sz w:val="32"/>
          <w:szCs w:val="32"/>
          <w:lang w:val="en-US"/>
        </w:rPr>
        <w:t>ROI</w:t>
      </w: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NPV</w:t>
      </w:r>
      <w:r w:rsidRPr="009C1B85">
        <w:rPr>
          <w:rFonts w:ascii="Times New Roman" w:eastAsia="Aptos" w:hAnsi="Times New Roman" w:cs="Times New Roman"/>
          <w:bCs/>
          <w:sz w:val="32"/>
          <w:szCs w:val="32"/>
        </w:rPr>
        <w:t>.</w:t>
      </w:r>
    </w:p>
    <w:p w14:paraId="18ECE81C"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Будет проведен анализ на демо-примере и сравнении двух платформ, получивших высший балл. </w:t>
      </w:r>
    </w:p>
    <w:p w14:paraId="539136DD"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lastRenderedPageBreak/>
        <w:t>Данный анализ необходим для принятия обоснованного решения о внедрении той или иной платформы в инфраструктуру организации.</w:t>
      </w:r>
    </w:p>
    <w:p w14:paraId="04F29B13" w14:textId="77777777" w:rsidR="009C1B85" w:rsidRPr="009C1B85" w:rsidRDefault="009C1B85" w:rsidP="00A916AA">
      <w:pPr>
        <w:keepNext/>
        <w:keepLines/>
        <w:widowControl w:val="0"/>
        <w:spacing w:after="0" w:line="240" w:lineRule="auto"/>
        <w:ind w:left="708"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5.3,1 Методология</w:t>
      </w:r>
    </w:p>
    <w:p w14:paraId="6A33D2C2" w14:textId="77777777" w:rsidR="009C1B85" w:rsidRPr="009C1B85" w:rsidRDefault="009C1B85" w:rsidP="00A916AA">
      <w:pPr>
        <w:keepNext/>
        <w:keepLines/>
        <w:widowControl w:val="0"/>
        <w:spacing w:after="0" w:line="240" w:lineRule="auto"/>
        <w:ind w:left="708"/>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Критерии оценки экономической эффективности:</w:t>
      </w:r>
    </w:p>
    <w:p w14:paraId="612958C8" w14:textId="77777777" w:rsidR="009C1B85" w:rsidRPr="009C1B85" w:rsidRDefault="009C1B85" w:rsidP="00AD58CD">
      <w:pPr>
        <w:keepNext/>
        <w:keepLines/>
        <w:widowControl w:val="0"/>
        <w:numPr>
          <w:ilvl w:val="0"/>
          <w:numId w:val="157"/>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ROI</w:t>
      </w:r>
      <w:r w:rsidRPr="009C1B85">
        <w:rPr>
          <w:rFonts w:ascii="Times New Roman" w:eastAsia="Aptos" w:hAnsi="Times New Roman" w:cs="Times New Roman"/>
          <w:bCs/>
          <w:sz w:val="32"/>
          <w:szCs w:val="32"/>
        </w:rPr>
        <w:t xml:space="preserve"> – это измерение прибыльности инвестиций в проектах.</w:t>
      </w:r>
    </w:p>
    <w:p w14:paraId="0A3FD79D" w14:textId="77777777" w:rsidR="009C1B85" w:rsidRPr="009C1B85" w:rsidRDefault="009C1B85" w:rsidP="00AD58CD">
      <w:pPr>
        <w:keepNext/>
        <w:keepLines/>
        <w:widowControl w:val="0"/>
        <w:numPr>
          <w:ilvl w:val="0"/>
          <w:numId w:val="157"/>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NPV</w:t>
      </w:r>
      <w:r w:rsidRPr="009C1B85">
        <w:rPr>
          <w:rFonts w:ascii="Times New Roman" w:eastAsia="Aptos" w:hAnsi="Times New Roman" w:cs="Times New Roman"/>
          <w:bCs/>
          <w:sz w:val="32"/>
          <w:szCs w:val="32"/>
        </w:rPr>
        <w:t xml:space="preserve"> – данный способ учитывает тот факт, что деньги не фундаментальная вещь, а их стоимость временна и дисконтирует будущие денежные потоки.</w:t>
      </w:r>
    </w:p>
    <w:p w14:paraId="4E3F452D" w14:textId="77777777" w:rsidR="009C1B85" w:rsidRPr="009C1B85" w:rsidRDefault="009C1B85" w:rsidP="00A916AA">
      <w:pPr>
        <w:keepNext/>
        <w:keepLines/>
        <w:widowControl w:val="0"/>
        <w:spacing w:after="0" w:line="240" w:lineRule="auto"/>
        <w:ind w:left="708"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5.3.2 Демонстрационный пример</w:t>
      </w:r>
    </w:p>
    <w:p w14:paraId="6C4DB074" w14:textId="77777777" w:rsidR="009C1B85" w:rsidRPr="009C1B85" w:rsidRDefault="009C1B85" w:rsidP="00A916AA">
      <w:pPr>
        <w:keepNext/>
        <w:keepLines/>
        <w:widowControl w:val="0"/>
        <w:spacing w:after="0" w:line="240" w:lineRule="auto"/>
        <w:ind w:firstLine="34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Целью данного примера является иллюстрация применения методологии расчета экономической целесообразности на конкретном примере.</w:t>
      </w:r>
    </w:p>
    <w:p w14:paraId="7B773B90" w14:textId="77777777" w:rsidR="009C1B85" w:rsidRPr="009C1B85" w:rsidRDefault="009C1B85" w:rsidP="00A916AA">
      <w:pPr>
        <w:keepNext/>
        <w:keepLines/>
        <w:widowControl w:val="0"/>
        <w:spacing w:after="0" w:line="240" w:lineRule="auto"/>
        <w:ind w:firstLine="34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Для примера составим таблицу с данными о поликлиники.</w:t>
      </w:r>
    </w:p>
    <w:p w14:paraId="2834F308" w14:textId="77777777" w:rsidR="009C1B85" w:rsidRPr="009C1B85" w:rsidRDefault="009C1B85" w:rsidP="00A916AA">
      <w:pPr>
        <w:keepNext/>
        <w:keepLines/>
        <w:widowControl w:val="0"/>
        <w:spacing w:after="0" w:line="240" w:lineRule="auto"/>
        <w:ind w:firstLine="34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Таблица 2 – Вводные данные</w:t>
      </w:r>
    </w:p>
    <w:tbl>
      <w:tblPr>
        <w:tblStyle w:val="8"/>
        <w:tblW w:w="10348" w:type="dxa"/>
        <w:tblInd w:w="137" w:type="dxa"/>
        <w:tblLayout w:type="fixed"/>
        <w:tblLook w:val="04A0" w:firstRow="1" w:lastRow="0" w:firstColumn="1" w:lastColumn="0" w:noHBand="0" w:noVBand="1"/>
      </w:tblPr>
      <w:tblGrid>
        <w:gridCol w:w="1559"/>
        <w:gridCol w:w="1134"/>
        <w:gridCol w:w="1134"/>
        <w:gridCol w:w="1418"/>
        <w:gridCol w:w="1276"/>
        <w:gridCol w:w="3827"/>
      </w:tblGrid>
      <w:tr w:rsidR="009C1B85" w:rsidRPr="009C1B85" w14:paraId="6547A882" w14:textId="77777777" w:rsidTr="00EB1CB9">
        <w:tc>
          <w:tcPr>
            <w:tcW w:w="1559" w:type="dxa"/>
          </w:tcPr>
          <w:p w14:paraId="125C4D28"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Тип</w:t>
            </w:r>
          </w:p>
        </w:tc>
        <w:tc>
          <w:tcPr>
            <w:tcW w:w="1134" w:type="dxa"/>
          </w:tcPr>
          <w:p w14:paraId="7A08A370"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Размер</w:t>
            </w:r>
          </w:p>
        </w:tc>
        <w:tc>
          <w:tcPr>
            <w:tcW w:w="1134" w:type="dxa"/>
          </w:tcPr>
          <w:p w14:paraId="3872EA76"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Год.выручка</w:t>
            </w:r>
          </w:p>
        </w:tc>
        <w:tc>
          <w:tcPr>
            <w:tcW w:w="1418" w:type="dxa"/>
          </w:tcPr>
          <w:p w14:paraId="2B998490"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Источники дохода</w:t>
            </w:r>
          </w:p>
        </w:tc>
        <w:tc>
          <w:tcPr>
            <w:tcW w:w="1276" w:type="dxa"/>
          </w:tcPr>
          <w:p w14:paraId="3B7F5E08"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Статьи затрат</w:t>
            </w:r>
          </w:p>
        </w:tc>
        <w:tc>
          <w:tcPr>
            <w:tcW w:w="3827" w:type="dxa"/>
          </w:tcPr>
          <w:p w14:paraId="20472AF4"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Проблемы</w:t>
            </w:r>
          </w:p>
        </w:tc>
      </w:tr>
      <w:tr w:rsidR="009C1B85" w:rsidRPr="009C1B85" w14:paraId="06E19158" w14:textId="77777777" w:rsidTr="00EB1CB9">
        <w:tc>
          <w:tcPr>
            <w:tcW w:w="1559" w:type="dxa"/>
          </w:tcPr>
          <w:p w14:paraId="09186337"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Средняя поликлиника</w:t>
            </w:r>
          </w:p>
        </w:tc>
        <w:tc>
          <w:tcPr>
            <w:tcW w:w="1134" w:type="dxa"/>
          </w:tcPr>
          <w:p w14:paraId="07A2DC3F"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50 сотрудников</w:t>
            </w:r>
          </w:p>
        </w:tc>
        <w:tc>
          <w:tcPr>
            <w:tcW w:w="1134" w:type="dxa"/>
          </w:tcPr>
          <w:p w14:paraId="0DE81742"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43.000.000 рублей</w:t>
            </w:r>
          </w:p>
        </w:tc>
        <w:tc>
          <w:tcPr>
            <w:tcW w:w="1418" w:type="dxa"/>
          </w:tcPr>
          <w:p w14:paraId="1BD10590"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1. ОМС</w:t>
            </w:r>
          </w:p>
          <w:p w14:paraId="3CCF1CD6"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 xml:space="preserve">2. Платные </w:t>
            </w:r>
            <w:proofErr w:type="gramStart"/>
            <w:r w:rsidRPr="009C1B85">
              <w:rPr>
                <w:rFonts w:ascii="Times New Roman" w:eastAsia="Aptos" w:hAnsi="Times New Roman"/>
                <w:bCs/>
              </w:rPr>
              <w:t>мед.услуги</w:t>
            </w:r>
            <w:proofErr w:type="gramEnd"/>
          </w:p>
        </w:tc>
        <w:tc>
          <w:tcPr>
            <w:tcW w:w="1276" w:type="dxa"/>
          </w:tcPr>
          <w:p w14:paraId="70920812"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1. ЗП персонала</w:t>
            </w:r>
          </w:p>
          <w:p w14:paraId="2D4C7B93"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2. Закупка медикаментов</w:t>
            </w:r>
          </w:p>
          <w:p w14:paraId="6A2D7291"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3. ЖКХ</w:t>
            </w:r>
          </w:p>
          <w:p w14:paraId="6C911F68"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4.Аренда</w:t>
            </w:r>
          </w:p>
        </w:tc>
        <w:tc>
          <w:tcPr>
            <w:tcW w:w="3827" w:type="dxa"/>
          </w:tcPr>
          <w:p w14:paraId="166EC6DB"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1. Затруднен сбор и анализ данных</w:t>
            </w:r>
          </w:p>
          <w:p w14:paraId="32CF6C97"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2. Трудоемкий процесс отчетов для рук-ва</w:t>
            </w:r>
          </w:p>
          <w:p w14:paraId="5A85BD10"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3. Малый уровень информации для принятия эффективных управленческих решений</w:t>
            </w:r>
          </w:p>
          <w:p w14:paraId="57B2F158" w14:textId="77777777" w:rsidR="009C1B85" w:rsidRPr="009C1B85" w:rsidRDefault="009C1B85" w:rsidP="00A916AA">
            <w:pPr>
              <w:keepNext/>
              <w:keepLines/>
              <w:widowControl w:val="0"/>
              <w:suppressAutoHyphens w:val="0"/>
              <w:rPr>
                <w:rFonts w:ascii="Times New Roman" w:eastAsia="Aptos" w:hAnsi="Times New Roman"/>
                <w:bCs/>
              </w:rPr>
            </w:pPr>
            <w:r w:rsidRPr="009C1B85">
              <w:rPr>
                <w:rFonts w:ascii="Times New Roman" w:eastAsia="Aptos" w:hAnsi="Times New Roman"/>
                <w:bCs/>
              </w:rPr>
              <w:t>4.Недостаточная эффективность закупок медикаментов</w:t>
            </w:r>
            <w:r w:rsidRPr="009C1B85">
              <w:rPr>
                <w:rFonts w:ascii="Times New Roman" w:eastAsia="Aptos" w:hAnsi="Times New Roman"/>
                <w:bCs/>
              </w:rPr>
              <w:br/>
              <w:t>(завышенные запасы, отсутствие анализа потребления)</w:t>
            </w:r>
          </w:p>
        </w:tc>
      </w:tr>
    </w:tbl>
    <w:p w14:paraId="16917E51" w14:textId="6F73222F" w:rsid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Целями внедрения системы будет являться автоматизация </w:t>
      </w:r>
      <w:r w:rsidR="00393D25">
        <w:rPr>
          <w:rFonts w:ascii="Times New Roman" w:eastAsia="Aptos" w:hAnsi="Times New Roman" w:cs="Times New Roman"/>
          <w:bCs/>
          <w:sz w:val="32"/>
          <w:szCs w:val="32"/>
        </w:rPr>
        <w:t>а</w:t>
      </w:r>
      <w:r w:rsidRPr="009C1B85">
        <w:rPr>
          <w:rFonts w:ascii="Times New Roman" w:eastAsia="Aptos" w:hAnsi="Times New Roman" w:cs="Times New Roman"/>
          <w:bCs/>
          <w:sz w:val="32"/>
          <w:szCs w:val="32"/>
        </w:rPr>
        <w:t>нализа данных, повышение эффективности управленческих решений</w:t>
      </w:r>
    </w:p>
    <w:p w14:paraId="1D9DAC16" w14:textId="77777777" w:rsidR="00393D25" w:rsidRPr="009C1B85" w:rsidRDefault="00393D25" w:rsidP="00A916AA">
      <w:pPr>
        <w:keepNext/>
        <w:keepLines/>
        <w:widowControl w:val="0"/>
        <w:spacing w:after="0" w:line="240" w:lineRule="auto"/>
        <w:ind w:firstLine="708"/>
        <w:jc w:val="both"/>
        <w:rPr>
          <w:rFonts w:ascii="Times New Roman" w:eastAsia="Aptos" w:hAnsi="Times New Roman" w:cs="Times New Roman"/>
          <w:bCs/>
          <w:sz w:val="32"/>
          <w:szCs w:val="32"/>
        </w:rPr>
      </w:pPr>
    </w:p>
    <w:p w14:paraId="66A79661"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28"/>
          <w:szCs w:val="28"/>
        </w:rPr>
      </w:pPr>
      <w:r w:rsidRPr="009C1B85">
        <w:rPr>
          <w:rFonts w:ascii="Times New Roman" w:eastAsia="Aptos" w:hAnsi="Times New Roman" w:cs="Times New Roman"/>
          <w:bCs/>
          <w:sz w:val="28"/>
          <w:szCs w:val="28"/>
        </w:rPr>
        <w:t>Таблица 3 – Стоимость ПО в месяц</w:t>
      </w:r>
    </w:p>
    <w:tbl>
      <w:tblPr>
        <w:tblStyle w:val="8"/>
        <w:tblW w:w="10540" w:type="dxa"/>
        <w:tblInd w:w="-5" w:type="dxa"/>
        <w:tblLook w:val="04A0" w:firstRow="1" w:lastRow="0" w:firstColumn="1" w:lastColumn="0" w:noHBand="0" w:noVBand="1"/>
      </w:tblPr>
      <w:tblGrid>
        <w:gridCol w:w="2710"/>
        <w:gridCol w:w="1797"/>
        <w:gridCol w:w="1796"/>
        <w:gridCol w:w="4237"/>
      </w:tblGrid>
      <w:tr w:rsidR="009C1B85" w:rsidRPr="009C1B85" w14:paraId="2F031E00" w14:textId="77777777" w:rsidTr="00EB1CB9">
        <w:trPr>
          <w:trHeight w:val="897"/>
        </w:trPr>
        <w:tc>
          <w:tcPr>
            <w:tcW w:w="2710" w:type="dxa"/>
          </w:tcPr>
          <w:p w14:paraId="464106D7"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Затраты</w:t>
            </w:r>
          </w:p>
        </w:tc>
        <w:tc>
          <w:tcPr>
            <w:tcW w:w="1797" w:type="dxa"/>
          </w:tcPr>
          <w:p w14:paraId="47B04CC2"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Tableau</w:t>
            </w:r>
          </w:p>
        </w:tc>
        <w:tc>
          <w:tcPr>
            <w:tcW w:w="1796" w:type="dxa"/>
          </w:tcPr>
          <w:p w14:paraId="517D8278"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Power BI Premium</w:t>
            </w:r>
          </w:p>
        </w:tc>
        <w:tc>
          <w:tcPr>
            <w:tcW w:w="4237" w:type="dxa"/>
          </w:tcPr>
          <w:p w14:paraId="5703272F"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Описание</w:t>
            </w:r>
          </w:p>
        </w:tc>
      </w:tr>
      <w:tr w:rsidR="009C1B85" w:rsidRPr="009C1B85" w14:paraId="0906AB0D" w14:textId="77777777" w:rsidTr="00EB1CB9">
        <w:trPr>
          <w:trHeight w:val="444"/>
        </w:trPr>
        <w:tc>
          <w:tcPr>
            <w:tcW w:w="2710" w:type="dxa"/>
          </w:tcPr>
          <w:p w14:paraId="25A2BD5E"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Лицензии</w:t>
            </w:r>
          </w:p>
        </w:tc>
        <w:tc>
          <w:tcPr>
            <w:tcW w:w="1797" w:type="dxa"/>
          </w:tcPr>
          <w:p w14:paraId="6F47910B"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6020 на человека/месяц</w:t>
            </w:r>
          </w:p>
        </w:tc>
        <w:tc>
          <w:tcPr>
            <w:tcW w:w="1796" w:type="dxa"/>
          </w:tcPr>
          <w:p w14:paraId="2794414B"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2064 на человека/месяц</w:t>
            </w:r>
          </w:p>
        </w:tc>
        <w:tc>
          <w:tcPr>
            <w:tcW w:w="4237" w:type="dxa"/>
          </w:tcPr>
          <w:p w14:paraId="7D999C1B"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Стоимость лицензионного ПО</w:t>
            </w:r>
          </w:p>
        </w:tc>
      </w:tr>
    </w:tbl>
    <w:p w14:paraId="5FDCD349"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28"/>
          <w:szCs w:val="28"/>
        </w:rPr>
      </w:pPr>
      <w:r w:rsidRPr="009C1B85">
        <w:rPr>
          <w:rFonts w:ascii="Times New Roman" w:eastAsia="Aptos" w:hAnsi="Times New Roman" w:cs="Times New Roman"/>
          <w:bCs/>
          <w:sz w:val="28"/>
          <w:szCs w:val="28"/>
        </w:rPr>
        <w:t>Таблица 4 - Предположительные затраты (срок – 3 года)</w:t>
      </w:r>
    </w:p>
    <w:tbl>
      <w:tblPr>
        <w:tblStyle w:val="8"/>
        <w:tblW w:w="10540" w:type="dxa"/>
        <w:tblInd w:w="-5" w:type="dxa"/>
        <w:tblLook w:val="04A0" w:firstRow="1" w:lastRow="0" w:firstColumn="1" w:lastColumn="0" w:noHBand="0" w:noVBand="1"/>
      </w:tblPr>
      <w:tblGrid>
        <w:gridCol w:w="2127"/>
        <w:gridCol w:w="1417"/>
        <w:gridCol w:w="2977"/>
        <w:gridCol w:w="4019"/>
      </w:tblGrid>
      <w:tr w:rsidR="009C1B85" w:rsidRPr="009C1B85" w14:paraId="64531BA1" w14:textId="77777777" w:rsidTr="00EB1CB9">
        <w:trPr>
          <w:trHeight w:val="897"/>
        </w:trPr>
        <w:tc>
          <w:tcPr>
            <w:tcW w:w="2127" w:type="dxa"/>
          </w:tcPr>
          <w:p w14:paraId="35A26EE3"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lastRenderedPageBreak/>
              <w:t>Затраты</w:t>
            </w:r>
          </w:p>
        </w:tc>
        <w:tc>
          <w:tcPr>
            <w:tcW w:w="1417" w:type="dxa"/>
          </w:tcPr>
          <w:p w14:paraId="3384CC5D"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Tableau (в руб.)</w:t>
            </w:r>
          </w:p>
        </w:tc>
        <w:tc>
          <w:tcPr>
            <w:tcW w:w="2977" w:type="dxa"/>
          </w:tcPr>
          <w:p w14:paraId="08A0D3B8"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Power BI (в руб.)</w:t>
            </w:r>
          </w:p>
        </w:tc>
        <w:tc>
          <w:tcPr>
            <w:tcW w:w="4019" w:type="dxa"/>
          </w:tcPr>
          <w:p w14:paraId="1CE6FBB5"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Описание</w:t>
            </w:r>
          </w:p>
        </w:tc>
      </w:tr>
      <w:tr w:rsidR="009C1B85" w:rsidRPr="00132A69" w14:paraId="12DFA45F" w14:textId="77777777" w:rsidTr="00EB1CB9">
        <w:trPr>
          <w:trHeight w:val="444"/>
        </w:trPr>
        <w:tc>
          <w:tcPr>
            <w:tcW w:w="2127" w:type="dxa"/>
          </w:tcPr>
          <w:p w14:paraId="6357D743"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Лицензии</w:t>
            </w:r>
          </w:p>
        </w:tc>
        <w:tc>
          <w:tcPr>
            <w:tcW w:w="1417" w:type="dxa"/>
          </w:tcPr>
          <w:p w14:paraId="3BEA1522"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3 684 240 </w:t>
            </w:r>
          </w:p>
        </w:tc>
        <w:tc>
          <w:tcPr>
            <w:tcW w:w="2977" w:type="dxa"/>
          </w:tcPr>
          <w:p w14:paraId="1E39937E"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1 486 080 </w:t>
            </w:r>
          </w:p>
        </w:tc>
        <w:tc>
          <w:tcPr>
            <w:tcW w:w="4019" w:type="dxa"/>
          </w:tcPr>
          <w:p w14:paraId="21DC0FF5" w14:textId="77777777" w:rsidR="009C1B85" w:rsidRPr="009C1B85" w:rsidRDefault="009C1B85" w:rsidP="00A916AA">
            <w:pPr>
              <w:keepNext/>
              <w:keepLines/>
              <w:widowControl w:val="0"/>
              <w:suppressAutoHyphens w:val="0"/>
              <w:contextualSpacing/>
              <w:jc w:val="both"/>
              <w:rPr>
                <w:rFonts w:ascii="Times New Roman" w:eastAsia="Aptos" w:hAnsi="Times New Roman"/>
                <w:bCs/>
                <w:lang w:val="en-US"/>
              </w:rPr>
            </w:pPr>
            <w:r w:rsidRPr="009C1B85">
              <w:rPr>
                <w:rFonts w:ascii="Times New Roman" w:eastAsia="Aptos" w:hAnsi="Times New Roman"/>
                <w:bCs/>
                <w:lang w:val="en-US"/>
              </w:rPr>
              <w:t xml:space="preserve">Tableau 17 </w:t>
            </w:r>
            <w:r w:rsidRPr="009C1B85">
              <w:rPr>
                <w:rFonts w:ascii="Times New Roman" w:eastAsia="Aptos" w:hAnsi="Times New Roman"/>
                <w:bCs/>
              </w:rPr>
              <w:t>подписок</w:t>
            </w:r>
            <w:r w:rsidRPr="009C1B85">
              <w:rPr>
                <w:rFonts w:ascii="Times New Roman" w:eastAsia="Aptos" w:hAnsi="Times New Roman"/>
                <w:bCs/>
                <w:lang w:val="en-US"/>
              </w:rPr>
              <w:t xml:space="preserve"> </w:t>
            </w:r>
            <w:r w:rsidRPr="009C1B85">
              <w:rPr>
                <w:rFonts w:ascii="Times New Roman" w:eastAsia="Aptos" w:hAnsi="Times New Roman"/>
                <w:bCs/>
              </w:rPr>
              <w:t>уровня</w:t>
            </w:r>
            <w:r w:rsidRPr="009C1B85">
              <w:rPr>
                <w:rFonts w:ascii="Times New Roman" w:eastAsia="Aptos" w:hAnsi="Times New Roman"/>
                <w:bCs/>
                <w:lang w:val="en-US"/>
              </w:rPr>
              <w:t xml:space="preserve"> Explorer;</w:t>
            </w:r>
          </w:p>
          <w:p w14:paraId="125CF2EA" w14:textId="77777777" w:rsidR="009C1B85" w:rsidRPr="009C1B85" w:rsidRDefault="009C1B85" w:rsidP="00A916AA">
            <w:pPr>
              <w:keepNext/>
              <w:keepLines/>
              <w:widowControl w:val="0"/>
              <w:suppressAutoHyphens w:val="0"/>
              <w:contextualSpacing/>
              <w:jc w:val="both"/>
              <w:rPr>
                <w:rFonts w:ascii="Times New Roman" w:eastAsia="Aptos" w:hAnsi="Times New Roman"/>
                <w:bCs/>
                <w:lang w:val="en-US"/>
              </w:rPr>
            </w:pPr>
            <w:r w:rsidRPr="009C1B85">
              <w:rPr>
                <w:rFonts w:ascii="Times New Roman" w:eastAsia="Aptos" w:hAnsi="Times New Roman"/>
                <w:bCs/>
                <w:lang w:val="en-US"/>
              </w:rPr>
              <w:t xml:space="preserve">Power BI Premium – 17 </w:t>
            </w:r>
            <w:r w:rsidRPr="009C1B85">
              <w:rPr>
                <w:rFonts w:ascii="Times New Roman" w:eastAsia="Aptos" w:hAnsi="Times New Roman"/>
                <w:bCs/>
              </w:rPr>
              <w:t>подписок</w:t>
            </w:r>
          </w:p>
        </w:tc>
      </w:tr>
      <w:tr w:rsidR="009C1B85" w:rsidRPr="009C1B85" w14:paraId="00EE4570" w14:textId="77777777" w:rsidTr="00EB1CB9">
        <w:trPr>
          <w:trHeight w:val="453"/>
        </w:trPr>
        <w:tc>
          <w:tcPr>
            <w:tcW w:w="2127" w:type="dxa"/>
          </w:tcPr>
          <w:p w14:paraId="28B18E2E"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Внедрение</w:t>
            </w:r>
          </w:p>
        </w:tc>
        <w:tc>
          <w:tcPr>
            <w:tcW w:w="1417" w:type="dxa"/>
          </w:tcPr>
          <w:p w14:paraId="3EA840FE"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 xml:space="preserve">301.000 </w:t>
            </w:r>
          </w:p>
        </w:tc>
        <w:tc>
          <w:tcPr>
            <w:tcW w:w="2977" w:type="dxa"/>
          </w:tcPr>
          <w:p w14:paraId="57D238A6"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155.000 </w:t>
            </w:r>
          </w:p>
        </w:tc>
        <w:tc>
          <w:tcPr>
            <w:tcW w:w="4019" w:type="dxa"/>
          </w:tcPr>
          <w:p w14:paraId="36D4131E"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Настройка, интеграция, оптимизация с существующими системами. </w:t>
            </w:r>
          </w:p>
        </w:tc>
      </w:tr>
      <w:tr w:rsidR="009C1B85" w:rsidRPr="009C1B85" w14:paraId="66A5C902" w14:textId="77777777" w:rsidTr="00EB1CB9">
        <w:trPr>
          <w:trHeight w:val="444"/>
        </w:trPr>
        <w:tc>
          <w:tcPr>
            <w:tcW w:w="2127" w:type="dxa"/>
          </w:tcPr>
          <w:p w14:paraId="4FEA7D81"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Обучение персонала</w:t>
            </w:r>
          </w:p>
        </w:tc>
        <w:tc>
          <w:tcPr>
            <w:tcW w:w="1417" w:type="dxa"/>
          </w:tcPr>
          <w:p w14:paraId="71DD90F5"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86.000 </w:t>
            </w:r>
          </w:p>
        </w:tc>
        <w:tc>
          <w:tcPr>
            <w:tcW w:w="2977" w:type="dxa"/>
          </w:tcPr>
          <w:p w14:paraId="5C0EFD2A"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 xml:space="preserve">55.000 </w:t>
            </w:r>
          </w:p>
        </w:tc>
        <w:tc>
          <w:tcPr>
            <w:tcW w:w="4019" w:type="dxa"/>
          </w:tcPr>
          <w:p w14:paraId="46131F55"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Обучение пользователей</w:t>
            </w:r>
          </w:p>
        </w:tc>
      </w:tr>
      <w:tr w:rsidR="009C1B85" w:rsidRPr="009C1B85" w14:paraId="547D286D" w14:textId="77777777" w:rsidTr="00EB1CB9">
        <w:trPr>
          <w:trHeight w:val="453"/>
        </w:trPr>
        <w:tc>
          <w:tcPr>
            <w:tcW w:w="2127" w:type="dxa"/>
          </w:tcPr>
          <w:p w14:paraId="011D365C"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Техническая поддержка</w:t>
            </w:r>
          </w:p>
        </w:tc>
        <w:tc>
          <w:tcPr>
            <w:tcW w:w="1417" w:type="dxa"/>
          </w:tcPr>
          <w:p w14:paraId="58BB18B9"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Включено в подписку</w:t>
            </w:r>
          </w:p>
        </w:tc>
        <w:tc>
          <w:tcPr>
            <w:tcW w:w="2977" w:type="dxa"/>
          </w:tcPr>
          <w:p w14:paraId="1CB05EFB"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Включено в подписку</w:t>
            </w:r>
          </w:p>
        </w:tc>
        <w:tc>
          <w:tcPr>
            <w:tcW w:w="4019" w:type="dxa"/>
          </w:tcPr>
          <w:p w14:paraId="35388618"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w:t>
            </w:r>
          </w:p>
        </w:tc>
      </w:tr>
      <w:tr w:rsidR="009C1B85" w:rsidRPr="009C1B85" w14:paraId="1B3F8E92" w14:textId="77777777" w:rsidTr="00EB1CB9">
        <w:trPr>
          <w:trHeight w:val="453"/>
        </w:trPr>
        <w:tc>
          <w:tcPr>
            <w:tcW w:w="2127" w:type="dxa"/>
          </w:tcPr>
          <w:p w14:paraId="6084B20A"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Итого</w:t>
            </w:r>
          </w:p>
        </w:tc>
        <w:tc>
          <w:tcPr>
            <w:tcW w:w="1417" w:type="dxa"/>
          </w:tcPr>
          <w:p w14:paraId="5DAF1EAB"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4 071 240</w:t>
            </w:r>
          </w:p>
        </w:tc>
        <w:tc>
          <w:tcPr>
            <w:tcW w:w="2977" w:type="dxa"/>
          </w:tcPr>
          <w:p w14:paraId="22387BB0" w14:textId="77777777" w:rsidR="009C1B85" w:rsidRPr="009C1B85" w:rsidRDefault="009C1B85" w:rsidP="00AD58CD">
            <w:pPr>
              <w:keepNext/>
              <w:keepLines/>
              <w:widowControl w:val="0"/>
              <w:numPr>
                <w:ilvl w:val="0"/>
                <w:numId w:val="158"/>
              </w:numPr>
              <w:suppressAutoHyphens w:val="0"/>
              <w:contextualSpacing/>
              <w:jc w:val="both"/>
              <w:rPr>
                <w:rFonts w:ascii="Times New Roman" w:eastAsia="Aptos" w:hAnsi="Times New Roman"/>
                <w:bCs/>
              </w:rPr>
            </w:pPr>
            <w:r w:rsidRPr="009C1B85">
              <w:rPr>
                <w:rFonts w:ascii="Times New Roman" w:eastAsia="Aptos" w:hAnsi="Times New Roman"/>
                <w:bCs/>
              </w:rPr>
              <w:t>696 080</w:t>
            </w:r>
          </w:p>
        </w:tc>
        <w:tc>
          <w:tcPr>
            <w:tcW w:w="4019" w:type="dxa"/>
          </w:tcPr>
          <w:p w14:paraId="6BEDC230" w14:textId="77777777" w:rsidR="009C1B85" w:rsidRPr="009C1B85" w:rsidRDefault="009C1B85" w:rsidP="00A916AA">
            <w:pPr>
              <w:keepNext/>
              <w:keepLines/>
              <w:widowControl w:val="0"/>
              <w:suppressAutoHyphens w:val="0"/>
              <w:jc w:val="both"/>
              <w:rPr>
                <w:rFonts w:ascii="Times New Roman" w:eastAsia="Aptos" w:hAnsi="Times New Roman"/>
                <w:bCs/>
              </w:rPr>
            </w:pPr>
          </w:p>
        </w:tc>
      </w:tr>
    </w:tbl>
    <w:p w14:paraId="704D3680"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28"/>
          <w:szCs w:val="28"/>
        </w:rPr>
      </w:pPr>
      <w:r w:rsidRPr="009C1B85">
        <w:rPr>
          <w:rFonts w:ascii="Times New Roman" w:eastAsia="Aptos" w:hAnsi="Times New Roman" w:cs="Times New Roman"/>
          <w:bCs/>
          <w:sz w:val="28"/>
          <w:szCs w:val="28"/>
        </w:rPr>
        <w:t>Таблица 5 - Исходные данные и предположительные суммы</w:t>
      </w:r>
    </w:p>
    <w:tbl>
      <w:tblPr>
        <w:tblStyle w:val="8"/>
        <w:tblW w:w="0" w:type="auto"/>
        <w:tblLook w:val="04A0" w:firstRow="1" w:lastRow="0" w:firstColumn="1" w:lastColumn="0" w:noHBand="0" w:noVBand="1"/>
      </w:tblPr>
      <w:tblGrid>
        <w:gridCol w:w="3964"/>
        <w:gridCol w:w="1985"/>
        <w:gridCol w:w="3679"/>
      </w:tblGrid>
      <w:tr w:rsidR="009C1B85" w:rsidRPr="009C1B85" w14:paraId="4F028F49" w14:textId="77777777" w:rsidTr="00EB1CB9">
        <w:tc>
          <w:tcPr>
            <w:tcW w:w="3964" w:type="dxa"/>
          </w:tcPr>
          <w:p w14:paraId="5D30C6EE"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Показатель</w:t>
            </w:r>
          </w:p>
        </w:tc>
        <w:tc>
          <w:tcPr>
            <w:tcW w:w="1985" w:type="dxa"/>
          </w:tcPr>
          <w:p w14:paraId="334C912C"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Значение</w:t>
            </w:r>
          </w:p>
        </w:tc>
        <w:tc>
          <w:tcPr>
            <w:tcW w:w="3679" w:type="dxa"/>
          </w:tcPr>
          <w:p w14:paraId="1B6A105D"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Замечание</w:t>
            </w:r>
          </w:p>
        </w:tc>
      </w:tr>
      <w:tr w:rsidR="009C1B85" w:rsidRPr="009C1B85" w14:paraId="1E8F0167" w14:textId="77777777" w:rsidTr="00EB1CB9">
        <w:tc>
          <w:tcPr>
            <w:tcW w:w="3964" w:type="dxa"/>
          </w:tcPr>
          <w:p w14:paraId="303FB2A5"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Годовая выручка</w:t>
            </w:r>
          </w:p>
        </w:tc>
        <w:tc>
          <w:tcPr>
            <w:tcW w:w="1985" w:type="dxa"/>
          </w:tcPr>
          <w:p w14:paraId="16B53697"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43.000.000 руб</w:t>
            </w:r>
          </w:p>
        </w:tc>
        <w:tc>
          <w:tcPr>
            <w:tcW w:w="3679" w:type="dxa"/>
          </w:tcPr>
          <w:p w14:paraId="40FBFFBE"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76DB61E4" w14:textId="77777777" w:rsidTr="00EB1CB9">
        <w:tc>
          <w:tcPr>
            <w:tcW w:w="3964" w:type="dxa"/>
          </w:tcPr>
          <w:p w14:paraId="6F359D0A"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Годовая прибыль</w:t>
            </w:r>
          </w:p>
        </w:tc>
        <w:tc>
          <w:tcPr>
            <w:tcW w:w="1985" w:type="dxa"/>
          </w:tcPr>
          <w:p w14:paraId="76D6738D"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15.500.000 руб</w:t>
            </w:r>
          </w:p>
        </w:tc>
        <w:tc>
          <w:tcPr>
            <w:tcW w:w="3679" w:type="dxa"/>
          </w:tcPr>
          <w:p w14:paraId="1C1BF038"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43-ЗП-Зак.мед-ЖКХ-Аренда</w:t>
            </w:r>
          </w:p>
        </w:tc>
      </w:tr>
      <w:tr w:rsidR="009C1B85" w:rsidRPr="009C1B85" w14:paraId="55B10755" w14:textId="77777777" w:rsidTr="00EB1CB9">
        <w:tc>
          <w:tcPr>
            <w:tcW w:w="3964" w:type="dxa"/>
          </w:tcPr>
          <w:p w14:paraId="594767F4"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Траты на ЗП персоналу</w:t>
            </w:r>
          </w:p>
        </w:tc>
        <w:tc>
          <w:tcPr>
            <w:tcW w:w="1985" w:type="dxa"/>
          </w:tcPr>
          <w:p w14:paraId="236BECDC"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20.000.000 руб</w:t>
            </w:r>
          </w:p>
        </w:tc>
        <w:tc>
          <w:tcPr>
            <w:tcW w:w="3679" w:type="dxa"/>
          </w:tcPr>
          <w:p w14:paraId="7E6A7901"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304C51BA" w14:textId="77777777" w:rsidTr="00EB1CB9">
        <w:tc>
          <w:tcPr>
            <w:tcW w:w="3964" w:type="dxa"/>
          </w:tcPr>
          <w:p w14:paraId="03733E58"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Траты на закупку медикаментов</w:t>
            </w:r>
          </w:p>
        </w:tc>
        <w:tc>
          <w:tcPr>
            <w:tcW w:w="1985" w:type="dxa"/>
          </w:tcPr>
          <w:p w14:paraId="772B701C"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5.000.000 руб</w:t>
            </w:r>
          </w:p>
        </w:tc>
        <w:tc>
          <w:tcPr>
            <w:tcW w:w="3679" w:type="dxa"/>
          </w:tcPr>
          <w:p w14:paraId="5878E093"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05D1795E" w14:textId="77777777" w:rsidTr="00EB1CB9">
        <w:tc>
          <w:tcPr>
            <w:tcW w:w="3964" w:type="dxa"/>
          </w:tcPr>
          <w:p w14:paraId="7AE81CBE"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Траты на ЖКХ</w:t>
            </w:r>
          </w:p>
        </w:tc>
        <w:tc>
          <w:tcPr>
            <w:tcW w:w="1985" w:type="dxa"/>
          </w:tcPr>
          <w:p w14:paraId="35A38C80"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500.000 руб</w:t>
            </w:r>
          </w:p>
        </w:tc>
        <w:tc>
          <w:tcPr>
            <w:tcW w:w="3679" w:type="dxa"/>
          </w:tcPr>
          <w:p w14:paraId="5E51DE7E"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0DD5DAEC" w14:textId="77777777" w:rsidTr="00EB1CB9">
        <w:tc>
          <w:tcPr>
            <w:tcW w:w="3964" w:type="dxa"/>
          </w:tcPr>
          <w:p w14:paraId="5029CCB6"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Траты на аренду</w:t>
            </w:r>
          </w:p>
        </w:tc>
        <w:tc>
          <w:tcPr>
            <w:tcW w:w="1985" w:type="dxa"/>
          </w:tcPr>
          <w:p w14:paraId="6E9F397B"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2.000.000 руб</w:t>
            </w:r>
          </w:p>
        </w:tc>
        <w:tc>
          <w:tcPr>
            <w:tcW w:w="3679" w:type="dxa"/>
          </w:tcPr>
          <w:p w14:paraId="6D6D1BF1"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68A055A5" w14:textId="77777777" w:rsidTr="00EB1CB9">
        <w:tc>
          <w:tcPr>
            <w:tcW w:w="3964" w:type="dxa"/>
          </w:tcPr>
          <w:p w14:paraId="603C58A3"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Затраты на внедрение Tableau</w:t>
            </w:r>
          </w:p>
        </w:tc>
        <w:tc>
          <w:tcPr>
            <w:tcW w:w="1985" w:type="dxa"/>
          </w:tcPr>
          <w:p w14:paraId="06215B4E"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4.071.240 руб</w:t>
            </w:r>
          </w:p>
        </w:tc>
        <w:tc>
          <w:tcPr>
            <w:tcW w:w="3679" w:type="dxa"/>
          </w:tcPr>
          <w:p w14:paraId="48B87D00"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74228AEA" w14:textId="77777777" w:rsidTr="00EB1CB9">
        <w:tc>
          <w:tcPr>
            <w:tcW w:w="3964" w:type="dxa"/>
          </w:tcPr>
          <w:p w14:paraId="6A028350"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Затраты на внедрение Power BI</w:t>
            </w:r>
          </w:p>
        </w:tc>
        <w:tc>
          <w:tcPr>
            <w:tcW w:w="1985" w:type="dxa"/>
          </w:tcPr>
          <w:p w14:paraId="7D74953C"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1.696.080 руб</w:t>
            </w:r>
          </w:p>
        </w:tc>
        <w:tc>
          <w:tcPr>
            <w:tcW w:w="3679" w:type="dxa"/>
          </w:tcPr>
          <w:p w14:paraId="7C8E24B1"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1444F63B" w14:textId="77777777" w:rsidTr="00EB1CB9">
        <w:tc>
          <w:tcPr>
            <w:tcW w:w="3964" w:type="dxa"/>
          </w:tcPr>
          <w:p w14:paraId="6C383382"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Ставка дисконтирования 10%</w:t>
            </w:r>
          </w:p>
        </w:tc>
        <w:tc>
          <w:tcPr>
            <w:tcW w:w="1985" w:type="dxa"/>
          </w:tcPr>
          <w:p w14:paraId="431CEFD9"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10%</w:t>
            </w:r>
          </w:p>
        </w:tc>
        <w:tc>
          <w:tcPr>
            <w:tcW w:w="3679" w:type="dxa"/>
          </w:tcPr>
          <w:p w14:paraId="482A27C8" w14:textId="77777777" w:rsidR="009C1B85" w:rsidRPr="009C1B85" w:rsidRDefault="009C1B85" w:rsidP="00A916AA">
            <w:pPr>
              <w:keepNext/>
              <w:keepLines/>
              <w:widowControl w:val="0"/>
              <w:suppressAutoHyphens w:val="0"/>
              <w:jc w:val="both"/>
              <w:rPr>
                <w:rFonts w:ascii="Times New Roman" w:eastAsia="Aptos" w:hAnsi="Times New Roman"/>
                <w:bCs/>
              </w:rPr>
            </w:pPr>
          </w:p>
        </w:tc>
      </w:tr>
    </w:tbl>
    <w:p w14:paraId="34A6EF5B" w14:textId="77777777" w:rsidR="009C1B85" w:rsidRPr="009C1B85" w:rsidRDefault="009C1B85" w:rsidP="00A916AA">
      <w:pPr>
        <w:keepNext/>
        <w:keepLines/>
        <w:widowControl w:val="0"/>
        <w:spacing w:after="0" w:line="240" w:lineRule="auto"/>
        <w:rPr>
          <w:rFonts w:ascii="Times New Roman" w:eastAsia="Aptos" w:hAnsi="Times New Roman" w:cs="Times New Roman"/>
          <w:bCs/>
          <w:sz w:val="28"/>
          <w:szCs w:val="28"/>
        </w:rPr>
      </w:pPr>
      <w:r w:rsidRPr="009C1B85">
        <w:rPr>
          <w:rFonts w:ascii="Times New Roman" w:eastAsia="Aptos" w:hAnsi="Times New Roman" w:cs="Times New Roman"/>
          <w:bCs/>
          <w:sz w:val="28"/>
          <w:szCs w:val="28"/>
        </w:rPr>
        <w:t xml:space="preserve">Таблица 6 - Предположительные ежегодные выгоды от внедрения </w:t>
      </w:r>
      <w:r w:rsidRPr="009C1B85">
        <w:rPr>
          <w:rFonts w:ascii="Times New Roman" w:eastAsia="Aptos" w:hAnsi="Times New Roman" w:cs="Times New Roman"/>
          <w:bCs/>
          <w:sz w:val="28"/>
          <w:szCs w:val="28"/>
          <w:lang w:val="en-US"/>
        </w:rPr>
        <w:t>BI</w:t>
      </w:r>
      <w:r w:rsidRPr="009C1B85">
        <w:rPr>
          <w:rFonts w:ascii="Times New Roman" w:eastAsia="Aptos" w:hAnsi="Times New Roman" w:cs="Times New Roman"/>
          <w:bCs/>
          <w:sz w:val="28"/>
          <w:szCs w:val="28"/>
        </w:rPr>
        <w:t>-системы</w:t>
      </w:r>
    </w:p>
    <w:tbl>
      <w:tblPr>
        <w:tblStyle w:val="8"/>
        <w:tblW w:w="9773" w:type="dxa"/>
        <w:tblInd w:w="-5" w:type="dxa"/>
        <w:tblLook w:val="04A0" w:firstRow="1" w:lastRow="0" w:firstColumn="1" w:lastColumn="0" w:noHBand="0" w:noVBand="1"/>
      </w:tblPr>
      <w:tblGrid>
        <w:gridCol w:w="3544"/>
        <w:gridCol w:w="5233"/>
        <w:gridCol w:w="996"/>
      </w:tblGrid>
      <w:tr w:rsidR="009C1B85" w:rsidRPr="009C1B85" w14:paraId="67F6A4A8" w14:textId="77777777" w:rsidTr="00EB1CB9">
        <w:trPr>
          <w:trHeight w:val="506"/>
        </w:trPr>
        <w:tc>
          <w:tcPr>
            <w:tcW w:w="3544" w:type="dxa"/>
          </w:tcPr>
          <w:p w14:paraId="03393933"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Проблема</w:t>
            </w:r>
          </w:p>
        </w:tc>
        <w:tc>
          <w:tcPr>
            <w:tcW w:w="5233" w:type="dxa"/>
          </w:tcPr>
          <w:p w14:paraId="4554036A"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Описание</w:t>
            </w:r>
          </w:p>
        </w:tc>
        <w:tc>
          <w:tcPr>
            <w:tcW w:w="996" w:type="dxa"/>
          </w:tcPr>
          <w:p w14:paraId="4313C197"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Сумма</w:t>
            </w:r>
          </w:p>
        </w:tc>
      </w:tr>
      <w:tr w:rsidR="009C1B85" w:rsidRPr="009C1B85" w14:paraId="31A60F99" w14:textId="77777777" w:rsidTr="00EB1CB9">
        <w:trPr>
          <w:trHeight w:val="506"/>
        </w:trPr>
        <w:tc>
          <w:tcPr>
            <w:tcW w:w="3544" w:type="dxa"/>
          </w:tcPr>
          <w:p w14:paraId="7C17A2F6"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Затруднен сбор и анализ данных</w:t>
            </w:r>
          </w:p>
        </w:tc>
        <w:tc>
          <w:tcPr>
            <w:tcW w:w="5233" w:type="dxa"/>
          </w:tcPr>
          <w:p w14:paraId="31D3A0B8"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Автоматизация и централизация сбора данных, формирование автоматической отчетности</w:t>
            </w:r>
          </w:p>
        </w:tc>
        <w:tc>
          <w:tcPr>
            <w:tcW w:w="996" w:type="dxa"/>
          </w:tcPr>
          <w:p w14:paraId="1EC9754F"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120.000 руб</w:t>
            </w:r>
          </w:p>
        </w:tc>
      </w:tr>
      <w:tr w:rsidR="009C1B85" w:rsidRPr="009C1B85" w14:paraId="32942C35" w14:textId="77777777" w:rsidTr="00EB1CB9">
        <w:trPr>
          <w:trHeight w:val="506"/>
        </w:trPr>
        <w:tc>
          <w:tcPr>
            <w:tcW w:w="3544" w:type="dxa"/>
          </w:tcPr>
          <w:p w14:paraId="4AB12764"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Малый уровень информации для принятия эффективных управленческих решений</w:t>
            </w:r>
          </w:p>
        </w:tc>
        <w:tc>
          <w:tcPr>
            <w:tcW w:w="5233" w:type="dxa"/>
          </w:tcPr>
          <w:p w14:paraId="0940F3C2"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Анализ данных и выявление тенденций, выявление скрытых закономерностей, помощь в принятии обоснованных решений</w:t>
            </w:r>
          </w:p>
        </w:tc>
        <w:tc>
          <w:tcPr>
            <w:tcW w:w="996" w:type="dxa"/>
          </w:tcPr>
          <w:p w14:paraId="1BD41772"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775.000 руб.</w:t>
            </w:r>
          </w:p>
        </w:tc>
      </w:tr>
      <w:tr w:rsidR="009C1B85" w:rsidRPr="009C1B85" w14:paraId="33F3B9DF" w14:textId="77777777" w:rsidTr="00EB1CB9">
        <w:trPr>
          <w:trHeight w:val="506"/>
        </w:trPr>
        <w:tc>
          <w:tcPr>
            <w:tcW w:w="3544" w:type="dxa"/>
          </w:tcPr>
          <w:p w14:paraId="7970C524"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Недостаточная эффективность закупок медикаментов (завышенные запасы, отсутствие анализа)</w:t>
            </w:r>
          </w:p>
        </w:tc>
        <w:tc>
          <w:tcPr>
            <w:tcW w:w="5233" w:type="dxa"/>
          </w:tcPr>
          <w:p w14:paraId="7647F8C0"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Анализ данных о закупках и потреблении. Оптимизация запасов.</w:t>
            </w:r>
          </w:p>
        </w:tc>
        <w:tc>
          <w:tcPr>
            <w:tcW w:w="996" w:type="dxa"/>
          </w:tcPr>
          <w:p w14:paraId="421ED58F"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500.000 руб</w:t>
            </w:r>
          </w:p>
        </w:tc>
      </w:tr>
      <w:tr w:rsidR="009C1B85" w:rsidRPr="009C1B85" w14:paraId="3C42C5C7" w14:textId="77777777" w:rsidTr="00EB1CB9">
        <w:trPr>
          <w:trHeight w:val="506"/>
        </w:trPr>
        <w:tc>
          <w:tcPr>
            <w:tcW w:w="3544" w:type="dxa"/>
          </w:tcPr>
          <w:p w14:paraId="282E8192"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Итого</w:t>
            </w:r>
          </w:p>
        </w:tc>
        <w:tc>
          <w:tcPr>
            <w:tcW w:w="6229" w:type="dxa"/>
            <w:gridSpan w:val="2"/>
          </w:tcPr>
          <w:p w14:paraId="1B2D848D"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1.395.000 рублей</w:t>
            </w:r>
          </w:p>
        </w:tc>
      </w:tr>
    </w:tbl>
    <w:p w14:paraId="68AA31BE"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28"/>
          <w:szCs w:val="28"/>
        </w:rPr>
      </w:pPr>
      <w:r w:rsidRPr="009C1B85">
        <w:rPr>
          <w:rFonts w:ascii="Times New Roman" w:eastAsia="Aptos" w:hAnsi="Times New Roman" w:cs="Times New Roman"/>
          <w:bCs/>
          <w:sz w:val="28"/>
          <w:szCs w:val="28"/>
        </w:rPr>
        <w:t>Таблица 7 - Расчет экономической составляющей для двух систем</w:t>
      </w:r>
    </w:p>
    <w:tbl>
      <w:tblPr>
        <w:tblStyle w:val="8"/>
        <w:tblW w:w="10627" w:type="dxa"/>
        <w:tblLook w:val="04A0" w:firstRow="1" w:lastRow="0" w:firstColumn="1" w:lastColumn="0" w:noHBand="0" w:noVBand="1"/>
      </w:tblPr>
      <w:tblGrid>
        <w:gridCol w:w="1555"/>
        <w:gridCol w:w="1701"/>
        <w:gridCol w:w="2126"/>
        <w:gridCol w:w="5245"/>
      </w:tblGrid>
      <w:tr w:rsidR="009C1B85" w:rsidRPr="009C1B85" w14:paraId="7A3FCBB3" w14:textId="77777777" w:rsidTr="00EB1CB9">
        <w:tc>
          <w:tcPr>
            <w:tcW w:w="1555" w:type="dxa"/>
          </w:tcPr>
          <w:p w14:paraId="644326AE"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Показатель</w:t>
            </w:r>
          </w:p>
        </w:tc>
        <w:tc>
          <w:tcPr>
            <w:tcW w:w="1701" w:type="dxa"/>
          </w:tcPr>
          <w:p w14:paraId="7F2FC72F"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Tableau</w:t>
            </w:r>
          </w:p>
        </w:tc>
        <w:tc>
          <w:tcPr>
            <w:tcW w:w="2126" w:type="dxa"/>
          </w:tcPr>
          <w:p w14:paraId="66F95E71"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Power BI</w:t>
            </w:r>
          </w:p>
        </w:tc>
        <w:tc>
          <w:tcPr>
            <w:tcW w:w="5245" w:type="dxa"/>
          </w:tcPr>
          <w:p w14:paraId="07A9055F"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Формула</w:t>
            </w:r>
          </w:p>
        </w:tc>
      </w:tr>
      <w:tr w:rsidR="009C1B85" w:rsidRPr="009C1B85" w14:paraId="12CFEE9D" w14:textId="77777777" w:rsidTr="00EB1CB9">
        <w:tc>
          <w:tcPr>
            <w:tcW w:w="1555" w:type="dxa"/>
          </w:tcPr>
          <w:p w14:paraId="7C768916"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ROI</w:t>
            </w:r>
          </w:p>
        </w:tc>
        <w:tc>
          <w:tcPr>
            <w:tcW w:w="1701" w:type="dxa"/>
            <w:vAlign w:val="center"/>
          </w:tcPr>
          <w:p w14:paraId="6A7602F5"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2.79%</w:t>
            </w:r>
          </w:p>
        </w:tc>
        <w:tc>
          <w:tcPr>
            <w:tcW w:w="2126" w:type="dxa"/>
            <w:vAlign w:val="center"/>
          </w:tcPr>
          <w:p w14:paraId="4C5C557B"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146.74%</w:t>
            </w:r>
          </w:p>
        </w:tc>
        <w:tc>
          <w:tcPr>
            <w:tcW w:w="5245" w:type="dxa"/>
          </w:tcPr>
          <w:p w14:paraId="0D483FC8" w14:textId="77777777" w:rsidR="009C1B85" w:rsidRPr="009C1B85" w:rsidRDefault="009C1B85" w:rsidP="00A916AA">
            <w:pPr>
              <w:keepNext/>
              <w:keepLines/>
              <w:widowControl w:val="0"/>
              <w:suppressAutoHyphens w:val="0"/>
              <w:contextualSpacing/>
              <w:jc w:val="both"/>
              <w:rPr>
                <w:rFonts w:ascii="Times New Roman" w:eastAsia="Aptos" w:hAnsi="Times New Roman"/>
                <w:bCs/>
              </w:rPr>
            </w:pPr>
            <w:r w:rsidRPr="009C1B85">
              <w:rPr>
                <w:rFonts w:ascii="Times New Roman" w:eastAsia="Aptos" w:hAnsi="Times New Roman"/>
                <w:bCs/>
              </w:rPr>
              <w:t>((Чистая прибыль от инвестиции - Стоимость инвестиции) / Стоимость инвестиции) * 100%</w:t>
            </w:r>
          </w:p>
          <w:p w14:paraId="27C384F2" w14:textId="77777777" w:rsidR="009C1B85" w:rsidRPr="009C1B85" w:rsidRDefault="009C1B85" w:rsidP="00A916AA">
            <w:pPr>
              <w:keepNext/>
              <w:keepLines/>
              <w:widowControl w:val="0"/>
              <w:suppressAutoHyphens w:val="0"/>
              <w:jc w:val="both"/>
              <w:rPr>
                <w:rFonts w:ascii="Times New Roman" w:eastAsia="Aptos" w:hAnsi="Times New Roman"/>
                <w:bCs/>
              </w:rPr>
            </w:pPr>
          </w:p>
        </w:tc>
      </w:tr>
      <w:tr w:rsidR="009C1B85" w:rsidRPr="009C1B85" w14:paraId="03DB8D90" w14:textId="77777777" w:rsidTr="00EB1CB9">
        <w:tc>
          <w:tcPr>
            <w:tcW w:w="1555" w:type="dxa"/>
          </w:tcPr>
          <w:p w14:paraId="4E01C770"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NPV</w:t>
            </w:r>
          </w:p>
        </w:tc>
        <w:tc>
          <w:tcPr>
            <w:tcW w:w="1701" w:type="dxa"/>
            <w:vAlign w:val="center"/>
          </w:tcPr>
          <w:p w14:paraId="354CFBB0"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74,786.84</w:t>
            </w:r>
          </w:p>
        </w:tc>
        <w:tc>
          <w:tcPr>
            <w:tcW w:w="2126" w:type="dxa"/>
            <w:vAlign w:val="center"/>
          </w:tcPr>
          <w:p w14:paraId="65606D45"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1,290,750.84</w:t>
            </w:r>
          </w:p>
        </w:tc>
        <w:tc>
          <w:tcPr>
            <w:tcW w:w="5245" w:type="dxa"/>
          </w:tcPr>
          <w:p w14:paraId="3F4CE435" w14:textId="77777777" w:rsidR="009C1B85" w:rsidRPr="009C1B85" w:rsidRDefault="009C1B85" w:rsidP="00A916AA">
            <w:pPr>
              <w:keepNext/>
              <w:keepLines/>
              <w:widowControl w:val="0"/>
              <w:suppressAutoHyphens w:val="0"/>
              <w:jc w:val="both"/>
              <w:rPr>
                <w:rFonts w:ascii="Times New Roman" w:eastAsia="Aptos" w:hAnsi="Times New Roman"/>
                <w:bCs/>
              </w:rPr>
            </w:pPr>
            <w:r w:rsidRPr="009C1B85">
              <w:rPr>
                <w:rFonts w:ascii="Times New Roman" w:eastAsia="Aptos" w:hAnsi="Times New Roman"/>
                <w:bCs/>
              </w:rPr>
              <w:t xml:space="preserve">Σ (CFt / (1 + </w:t>
            </w:r>
            <w:proofErr w:type="gramStart"/>
            <w:r w:rsidRPr="009C1B85">
              <w:rPr>
                <w:rFonts w:ascii="Times New Roman" w:eastAsia="Aptos" w:hAnsi="Times New Roman"/>
                <w:bCs/>
              </w:rPr>
              <w:t>r)^</w:t>
            </w:r>
            <w:proofErr w:type="gramEnd"/>
            <w:r w:rsidRPr="009C1B85">
              <w:rPr>
                <w:rFonts w:ascii="Times New Roman" w:eastAsia="Aptos" w:hAnsi="Times New Roman"/>
                <w:bCs/>
              </w:rPr>
              <w:t>t) - I0</w:t>
            </w:r>
          </w:p>
        </w:tc>
      </w:tr>
    </w:tbl>
    <w:p w14:paraId="18D28BA8"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На основании проведенного сравнительного анализа можно сделать следующие выводы.</w:t>
      </w:r>
    </w:p>
    <w:p w14:paraId="6044644D" w14:textId="77777777" w:rsidR="009C1B85" w:rsidRPr="009C1B85" w:rsidRDefault="009C1B85" w:rsidP="00AD58CD">
      <w:pPr>
        <w:keepNext/>
        <w:keepLines/>
        <w:widowControl w:val="0"/>
        <w:numPr>
          <w:ilvl w:val="0"/>
          <w:numId w:val="160"/>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Внедрение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-системы в целом является целесообразным, однако степень окупаемости зависит от платформы.</w:t>
      </w:r>
    </w:p>
    <w:p w14:paraId="3AC8C79F" w14:textId="77777777" w:rsidR="009C1B85" w:rsidRPr="009C1B85" w:rsidRDefault="009C1B85" w:rsidP="00AD58CD">
      <w:pPr>
        <w:keepNext/>
        <w:keepLines/>
        <w:widowControl w:val="0"/>
        <w:numPr>
          <w:ilvl w:val="0"/>
          <w:numId w:val="160"/>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lastRenderedPageBreak/>
        <w:t xml:space="preserve">Несмотря на свой функционал, </w:t>
      </w:r>
      <w:r w:rsidRPr="009C1B85">
        <w:rPr>
          <w:rFonts w:ascii="Times New Roman" w:eastAsia="Aptos" w:hAnsi="Times New Roman" w:cs="Times New Roman"/>
          <w:bCs/>
          <w:sz w:val="32"/>
          <w:szCs w:val="32"/>
          <w:lang w:val="en-US"/>
        </w:rPr>
        <w:t>Tableau</w:t>
      </w:r>
      <w:r w:rsidRPr="009C1B85">
        <w:rPr>
          <w:rFonts w:ascii="Times New Roman" w:eastAsia="Aptos" w:hAnsi="Times New Roman" w:cs="Times New Roman"/>
          <w:bCs/>
          <w:sz w:val="32"/>
          <w:szCs w:val="32"/>
        </w:rPr>
        <w:t xml:space="preserve"> демонстрирует довольно-таки низкую и ограниченную экономическую окупаемость, его показатели по </w:t>
      </w:r>
      <w:r w:rsidRPr="009C1B85">
        <w:rPr>
          <w:rFonts w:ascii="Times New Roman" w:eastAsia="Aptos" w:hAnsi="Times New Roman" w:cs="Times New Roman"/>
          <w:bCs/>
          <w:sz w:val="32"/>
          <w:szCs w:val="32"/>
          <w:lang w:val="en-US"/>
        </w:rPr>
        <w:t>ROI</w:t>
      </w: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NPV</w:t>
      </w:r>
      <w:r w:rsidRPr="009C1B85">
        <w:rPr>
          <w:rFonts w:ascii="Times New Roman" w:eastAsia="Aptos" w:hAnsi="Times New Roman" w:cs="Times New Roman"/>
          <w:bCs/>
          <w:sz w:val="32"/>
          <w:szCs w:val="32"/>
        </w:rPr>
        <w:t xml:space="preserve"> являются 2,79%, и 74,786.84 руб. соответственно. </w:t>
      </w:r>
    </w:p>
    <w:p w14:paraId="439EFCF2" w14:textId="77777777" w:rsidR="009C1B85" w:rsidRPr="009C1B85" w:rsidRDefault="009C1B85" w:rsidP="00AD58CD">
      <w:pPr>
        <w:keepNext/>
        <w:keepLines/>
        <w:widowControl w:val="0"/>
        <w:numPr>
          <w:ilvl w:val="0"/>
          <w:numId w:val="160"/>
        </w:numPr>
        <w:spacing w:after="0" w:line="240" w:lineRule="auto"/>
        <w:contextualSpacing/>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 xml:space="preserve">В тоже время, альтернативный вариант в лице </w:t>
      </w:r>
      <w:r w:rsidRPr="009C1B85">
        <w:rPr>
          <w:rFonts w:ascii="Times New Roman" w:eastAsia="Aptos" w:hAnsi="Times New Roman" w:cs="Times New Roman"/>
          <w:bCs/>
          <w:sz w:val="32"/>
          <w:szCs w:val="32"/>
          <w:lang w:val="en-US"/>
        </w:rPr>
        <w:t>Power</w:t>
      </w:r>
      <w:r w:rsidRPr="009C1B85">
        <w:rPr>
          <w:rFonts w:ascii="Times New Roman" w:eastAsia="Aptos" w:hAnsi="Times New Roman" w:cs="Times New Roman"/>
          <w:bCs/>
          <w:sz w:val="32"/>
          <w:szCs w:val="32"/>
        </w:rPr>
        <w:t xml:space="preserve"> </w:t>
      </w:r>
      <w:r w:rsidRPr="009C1B85">
        <w:rPr>
          <w:rFonts w:ascii="Times New Roman" w:eastAsia="Aptos" w:hAnsi="Times New Roman" w:cs="Times New Roman"/>
          <w:bCs/>
          <w:sz w:val="32"/>
          <w:szCs w:val="32"/>
          <w:lang w:val="en-US"/>
        </w:rPr>
        <w:t>BI</w:t>
      </w:r>
      <w:r w:rsidRPr="009C1B85">
        <w:rPr>
          <w:rFonts w:ascii="Times New Roman" w:eastAsia="Aptos" w:hAnsi="Times New Roman" w:cs="Times New Roman"/>
          <w:bCs/>
          <w:sz w:val="32"/>
          <w:szCs w:val="32"/>
        </w:rPr>
        <w:t xml:space="preserve"> является наиболее привлекательным вариантом с экономической точки зрения и по тем же показателям, что у </w:t>
      </w:r>
      <w:r w:rsidRPr="009C1B85">
        <w:rPr>
          <w:rFonts w:ascii="Times New Roman" w:eastAsia="Aptos" w:hAnsi="Times New Roman" w:cs="Times New Roman"/>
          <w:bCs/>
          <w:sz w:val="32"/>
          <w:szCs w:val="32"/>
          <w:lang w:val="en-US"/>
        </w:rPr>
        <w:t>Tableau</w:t>
      </w:r>
      <w:r w:rsidRPr="009C1B85">
        <w:rPr>
          <w:rFonts w:ascii="Times New Roman" w:eastAsia="Aptos" w:hAnsi="Times New Roman" w:cs="Times New Roman"/>
          <w:bCs/>
          <w:sz w:val="32"/>
          <w:szCs w:val="32"/>
        </w:rPr>
        <w:t xml:space="preserve"> имеет следующие значения: 146,74%, и 1,290,750,84 руб. соответственно. </w:t>
      </w:r>
    </w:p>
    <w:p w14:paraId="455AB61E"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sz w:val="32"/>
          <w:szCs w:val="32"/>
        </w:rPr>
      </w:pPr>
      <w:r w:rsidRPr="009C1B85">
        <w:rPr>
          <w:rFonts w:ascii="Times New Roman" w:eastAsia="Aptos" w:hAnsi="Times New Roman" w:cs="Times New Roman"/>
          <w:bCs/>
          <w:sz w:val="32"/>
          <w:szCs w:val="32"/>
        </w:rPr>
        <w:t>Выводы</w:t>
      </w:r>
    </w:p>
    <w:p w14:paraId="44096D72"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sz w:val="32"/>
          <w:szCs w:val="32"/>
        </w:rPr>
        <w:tab/>
      </w:r>
      <w:r w:rsidRPr="009C1B85">
        <w:rPr>
          <w:rFonts w:ascii="Times New Roman" w:eastAsia="Aptos" w:hAnsi="Times New Roman" w:cs="Times New Roman"/>
          <w:bCs/>
          <w:color w:val="000000"/>
          <w:sz w:val="32"/>
          <w:szCs w:val="32"/>
        </w:rPr>
        <w:t>Данная статья была направлена на обоснование экономической целесообразности внедрения аналитических платформ в медицинских организациях, а также на последующий выбор оптимальной платформы.</w:t>
      </w:r>
    </w:p>
    <w:p w14:paraId="38B8925F"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ab/>
        <w:t>Сравнительный анализ платформ позволил выявить слабые и сильные стороны для каждой платформы.</w:t>
      </w:r>
    </w:p>
    <w:p w14:paraId="1BD405D4" w14:textId="77777777" w:rsidR="009C1B85" w:rsidRPr="009C1B85" w:rsidRDefault="009C1B85" w:rsidP="00A916AA">
      <w:pPr>
        <w:keepNext/>
        <w:keepLines/>
        <w:widowControl w:val="0"/>
        <w:spacing w:after="0" w:line="240" w:lineRule="auto"/>
        <w:ind w:firstLine="708"/>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 xml:space="preserve">В связи с более высокой стоимостью </w:t>
      </w:r>
      <w:r w:rsidRPr="009C1B85">
        <w:rPr>
          <w:rFonts w:ascii="Times New Roman" w:eastAsia="Aptos" w:hAnsi="Times New Roman" w:cs="Times New Roman"/>
          <w:bCs/>
          <w:color w:val="000000"/>
          <w:sz w:val="32"/>
          <w:szCs w:val="32"/>
          <w:lang w:val="en-US"/>
        </w:rPr>
        <w:t>Tableau</w:t>
      </w:r>
      <w:r w:rsidRPr="009C1B85">
        <w:rPr>
          <w:rFonts w:ascii="Times New Roman" w:eastAsia="Aptos" w:hAnsi="Times New Roman" w:cs="Times New Roman"/>
          <w:bCs/>
          <w:color w:val="000000"/>
          <w:sz w:val="32"/>
          <w:szCs w:val="32"/>
        </w:rPr>
        <w:t xml:space="preserve">, а также при сопоставимых выгодах, он все же окажется менее экономически эффективным, чем </w:t>
      </w:r>
      <w:r w:rsidRPr="009C1B85">
        <w:rPr>
          <w:rFonts w:ascii="Times New Roman" w:eastAsia="Aptos" w:hAnsi="Times New Roman" w:cs="Times New Roman"/>
          <w:bCs/>
          <w:color w:val="000000"/>
          <w:sz w:val="32"/>
          <w:szCs w:val="32"/>
          <w:lang w:val="en-US"/>
        </w:rPr>
        <w:t>Power</w:t>
      </w:r>
      <w:r w:rsidRPr="009C1B85">
        <w:rPr>
          <w:rFonts w:ascii="Times New Roman" w:eastAsia="Aptos" w:hAnsi="Times New Roman" w:cs="Times New Roman"/>
          <w:bCs/>
          <w:color w:val="000000"/>
          <w:sz w:val="32"/>
          <w:szCs w:val="32"/>
        </w:rPr>
        <w:t xml:space="preserve"> </w:t>
      </w:r>
      <w:r w:rsidRPr="009C1B85">
        <w:rPr>
          <w:rFonts w:ascii="Times New Roman" w:eastAsia="Aptos" w:hAnsi="Times New Roman" w:cs="Times New Roman"/>
          <w:bCs/>
          <w:color w:val="000000"/>
          <w:sz w:val="32"/>
          <w:szCs w:val="32"/>
          <w:lang w:val="en-US"/>
        </w:rPr>
        <w:t>BI</w:t>
      </w:r>
    </w:p>
    <w:p w14:paraId="2FF05C26"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ab/>
        <w:t xml:space="preserve">В свою же очередь, </w:t>
      </w:r>
      <w:r w:rsidRPr="009C1B85">
        <w:rPr>
          <w:rFonts w:ascii="Times New Roman" w:eastAsia="Aptos" w:hAnsi="Times New Roman" w:cs="Times New Roman"/>
          <w:bCs/>
          <w:color w:val="000000"/>
          <w:sz w:val="32"/>
          <w:szCs w:val="32"/>
          <w:lang w:val="en-US"/>
        </w:rPr>
        <w:t>Power</w:t>
      </w:r>
      <w:r w:rsidRPr="009C1B85">
        <w:rPr>
          <w:rFonts w:ascii="Times New Roman" w:eastAsia="Aptos" w:hAnsi="Times New Roman" w:cs="Times New Roman"/>
          <w:bCs/>
          <w:color w:val="000000"/>
          <w:sz w:val="32"/>
          <w:szCs w:val="32"/>
        </w:rPr>
        <w:t xml:space="preserve"> </w:t>
      </w:r>
      <w:r w:rsidRPr="009C1B85">
        <w:rPr>
          <w:rFonts w:ascii="Times New Roman" w:eastAsia="Aptos" w:hAnsi="Times New Roman" w:cs="Times New Roman"/>
          <w:bCs/>
          <w:color w:val="000000"/>
          <w:sz w:val="32"/>
          <w:szCs w:val="32"/>
          <w:lang w:val="en-US"/>
        </w:rPr>
        <w:t>BI</w:t>
      </w:r>
      <w:r w:rsidRPr="009C1B85">
        <w:rPr>
          <w:rFonts w:ascii="Times New Roman" w:eastAsia="Aptos" w:hAnsi="Times New Roman" w:cs="Times New Roman"/>
          <w:bCs/>
          <w:color w:val="000000"/>
          <w:sz w:val="32"/>
          <w:szCs w:val="32"/>
        </w:rPr>
        <w:t xml:space="preserve"> со схожим функционалом и более дружелюбным интерфейсом, является наиболее доступным вариантом.</w:t>
      </w:r>
    </w:p>
    <w:p w14:paraId="330BF83F"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ab/>
        <w:t xml:space="preserve">По итогу исследования, результаты подтверждают, что </w:t>
      </w:r>
      <w:r w:rsidRPr="009C1B85">
        <w:rPr>
          <w:rFonts w:ascii="Times New Roman" w:eastAsia="Aptos" w:hAnsi="Times New Roman" w:cs="Times New Roman"/>
          <w:bCs/>
          <w:color w:val="000000"/>
          <w:sz w:val="32"/>
          <w:szCs w:val="32"/>
          <w:lang w:val="en-US"/>
        </w:rPr>
        <w:t>BI</w:t>
      </w:r>
      <w:r w:rsidRPr="009C1B85">
        <w:rPr>
          <w:rFonts w:ascii="Times New Roman" w:eastAsia="Aptos" w:hAnsi="Times New Roman" w:cs="Times New Roman"/>
          <w:bCs/>
          <w:color w:val="000000"/>
          <w:sz w:val="32"/>
          <w:szCs w:val="32"/>
        </w:rPr>
        <w:t>-платформы при грамотном их внедрении позволят снизить финансовые издержки и потери.</w:t>
      </w:r>
      <w:r w:rsidRPr="009C1B85">
        <w:rPr>
          <w:rFonts w:ascii="Times New Roman" w:eastAsia="Aptos" w:hAnsi="Times New Roman" w:cs="Times New Roman"/>
          <w:bCs/>
          <w:color w:val="000000"/>
          <w:sz w:val="32"/>
          <w:szCs w:val="32"/>
        </w:rPr>
        <w:tab/>
      </w:r>
    </w:p>
    <w:p w14:paraId="6D3F4594"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ab/>
        <w:t>Вне зависимости от размера организации, необходимо учитывать экономическую целесообразность внедрения той или иной платформы, оценивая все затраты, а также потенциальную экономию</w:t>
      </w:r>
    </w:p>
    <w:p w14:paraId="2F5D1D8D" w14:textId="77777777" w:rsidR="009C1B85" w:rsidRPr="009C1B85" w:rsidRDefault="009C1B85" w:rsidP="00A916AA">
      <w:pPr>
        <w:keepNext/>
        <w:keepLines/>
        <w:widowControl w:val="0"/>
        <w:spacing w:after="0" w:line="240" w:lineRule="auto"/>
        <w:jc w:val="both"/>
        <w:rPr>
          <w:rFonts w:ascii="Times New Roman" w:eastAsia="Aptos" w:hAnsi="Times New Roman" w:cs="Times New Roman"/>
          <w:bCs/>
          <w:color w:val="000000"/>
          <w:sz w:val="32"/>
          <w:szCs w:val="32"/>
        </w:rPr>
      </w:pPr>
      <w:r w:rsidRPr="009C1B85">
        <w:rPr>
          <w:rFonts w:ascii="Times New Roman" w:eastAsia="Aptos" w:hAnsi="Times New Roman" w:cs="Times New Roman"/>
          <w:bCs/>
          <w:color w:val="000000"/>
          <w:sz w:val="32"/>
          <w:szCs w:val="32"/>
        </w:rPr>
        <w:tab/>
        <w:t>Анализ экономической целесообразности должен быть неотъемлемой частью любого проекта по внедрению.</w:t>
      </w:r>
    </w:p>
    <w:p w14:paraId="22437B86" w14:textId="77777777" w:rsidR="009C1B85" w:rsidRPr="009C1B85" w:rsidRDefault="009C1B85" w:rsidP="00A916AA">
      <w:pPr>
        <w:keepNext/>
        <w:keepLines/>
        <w:widowControl w:val="0"/>
        <w:spacing w:after="0" w:line="240" w:lineRule="auto"/>
        <w:jc w:val="both"/>
        <w:rPr>
          <w:rFonts w:ascii="Times New Roman" w:eastAsia="Aptos" w:hAnsi="Times New Roman" w:cs="Times New Roman"/>
          <w:color w:val="000000"/>
          <w:sz w:val="32"/>
          <w:szCs w:val="32"/>
        </w:rPr>
      </w:pPr>
      <w:r w:rsidRPr="009C1B85">
        <w:rPr>
          <w:rFonts w:ascii="Times New Roman" w:eastAsia="Aptos" w:hAnsi="Times New Roman" w:cs="Times New Roman"/>
          <w:bCs/>
          <w:color w:val="000000"/>
          <w:sz w:val="32"/>
          <w:szCs w:val="32"/>
        </w:rPr>
        <w:tab/>
        <w:t xml:space="preserve">В заключении, можно сказать, что выбор оптимальной </w:t>
      </w:r>
      <w:r w:rsidRPr="009C1B85">
        <w:rPr>
          <w:rFonts w:ascii="Times New Roman" w:eastAsia="Aptos" w:hAnsi="Times New Roman" w:cs="Times New Roman"/>
          <w:bCs/>
          <w:color w:val="000000"/>
          <w:sz w:val="32"/>
          <w:szCs w:val="32"/>
          <w:lang w:val="en-US"/>
        </w:rPr>
        <w:t>BI</w:t>
      </w:r>
      <w:r w:rsidRPr="009C1B85">
        <w:rPr>
          <w:rFonts w:ascii="Times New Roman" w:eastAsia="Aptos" w:hAnsi="Times New Roman" w:cs="Times New Roman"/>
          <w:bCs/>
          <w:color w:val="000000"/>
          <w:sz w:val="32"/>
          <w:szCs w:val="32"/>
        </w:rPr>
        <w:t>-платформы зависит от конкретных требований и потребностей медицинской организации, ее масштабов деятельности, а также ожидаемой экономической выгоды</w:t>
      </w:r>
      <w:r w:rsidRPr="009C1B85">
        <w:rPr>
          <w:rFonts w:ascii="Times New Roman" w:eastAsia="Aptos" w:hAnsi="Times New Roman" w:cs="Times New Roman"/>
          <w:color w:val="000000"/>
          <w:sz w:val="32"/>
          <w:szCs w:val="32"/>
        </w:rPr>
        <w:t xml:space="preserve"> после внедрения.</w:t>
      </w:r>
    </w:p>
    <w:p w14:paraId="11E67A3B" w14:textId="77777777" w:rsidR="009C1B85" w:rsidRPr="009C1B85" w:rsidRDefault="009C1B85" w:rsidP="00A916AA">
      <w:pPr>
        <w:keepNext/>
        <w:keepLines/>
        <w:suppressAutoHyphens/>
        <w:spacing w:after="0" w:line="240" w:lineRule="auto"/>
        <w:jc w:val="both"/>
        <w:rPr>
          <w:rFonts w:ascii="Times New Roman" w:eastAsia="Aptos" w:hAnsi="Times New Roman" w:cs="Times New Roman"/>
          <w:color w:val="000000"/>
          <w:sz w:val="32"/>
          <w:szCs w:val="32"/>
        </w:rPr>
      </w:pPr>
    </w:p>
    <w:p w14:paraId="51EBE5E6" w14:textId="5CFA068B" w:rsidR="009C1B85" w:rsidRPr="009C1B85" w:rsidRDefault="00771C81" w:rsidP="00A916AA">
      <w:pPr>
        <w:keepNext/>
        <w:keepLines/>
        <w:suppressAutoHyphens/>
        <w:spacing w:after="0" w:line="240" w:lineRule="auto"/>
        <w:jc w:val="center"/>
        <w:rPr>
          <w:rFonts w:ascii="Times New Roman" w:eastAsia="Aptos" w:hAnsi="Times New Roman" w:cs="Times New Roman"/>
          <w:b/>
          <w:bCs/>
          <w:sz w:val="21"/>
          <w:szCs w:val="21"/>
        </w:rPr>
      </w:pPr>
      <w:r>
        <w:rPr>
          <w:rFonts w:ascii="Times New Roman" w:eastAsia="Aptos" w:hAnsi="Times New Roman" w:cs="Times New Roman"/>
          <w:b/>
          <w:bCs/>
          <w:sz w:val="21"/>
          <w:szCs w:val="21"/>
        </w:rPr>
        <w:t>Л</w:t>
      </w:r>
      <w:r w:rsidR="009C1B85" w:rsidRPr="009C1B85">
        <w:rPr>
          <w:rFonts w:ascii="Times New Roman" w:eastAsia="Aptos" w:hAnsi="Times New Roman" w:cs="Times New Roman"/>
          <w:b/>
          <w:bCs/>
          <w:sz w:val="21"/>
          <w:szCs w:val="21"/>
        </w:rPr>
        <w:t>итератур</w:t>
      </w:r>
      <w:r>
        <w:rPr>
          <w:rFonts w:ascii="Times New Roman" w:eastAsia="Aptos" w:hAnsi="Times New Roman" w:cs="Times New Roman"/>
          <w:b/>
          <w:bCs/>
          <w:sz w:val="21"/>
          <w:szCs w:val="21"/>
        </w:rPr>
        <w:t>а:</w:t>
      </w:r>
    </w:p>
    <w:p w14:paraId="61DF98CC" w14:textId="77777777" w:rsidR="009C1B85" w:rsidRP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Aptos" w:hAnsi="Times New Roman" w:cs="Times New Roman"/>
          <w:sz w:val="21"/>
          <w:szCs w:val="21"/>
        </w:rPr>
        <w:t>Microsoft. Начало работы с Power BI Desktop [Электронный ресурс] / Microsoft. — Microsoft, 2023. — URL: </w:t>
      </w:r>
      <w:hyperlink r:id="rId632" w:tgtFrame="_blank" w:history="1">
        <w:r w:rsidRPr="009C1B85">
          <w:rPr>
            <w:rFonts w:ascii="Times New Roman" w:eastAsia="Aptos" w:hAnsi="Times New Roman" w:cs="Times New Roman"/>
            <w:color w:val="467886"/>
            <w:sz w:val="21"/>
            <w:szCs w:val="21"/>
            <w:u w:val="single"/>
          </w:rPr>
          <w:t>https://learn.microsoft.com/ru-ru/power-bi/fundamentals/desktop-getting-started</w:t>
        </w:r>
      </w:hyperlink>
      <w:r w:rsidRPr="009C1B85">
        <w:rPr>
          <w:rFonts w:ascii="Times New Roman" w:eastAsia="Aptos" w:hAnsi="Times New Roman" w:cs="Times New Roman"/>
          <w:sz w:val="21"/>
          <w:szCs w:val="21"/>
        </w:rPr>
        <w:t> (дата обращения: 15.04.2025)</w:t>
      </w:r>
    </w:p>
    <w:p w14:paraId="59F5A7B2" w14:textId="77777777" w:rsidR="009C1B85" w:rsidRP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Times New Roman" w:hAnsi="Times New Roman" w:cs="Times New Roman"/>
          <w:sz w:val="21"/>
          <w:szCs w:val="21"/>
        </w:rPr>
        <w:t>Франциско О.Ю., Молчан А.С. Моделирование систем / учебник. - Краснодар, 2023. - 178 с.</w:t>
      </w:r>
    </w:p>
    <w:p w14:paraId="402F2C7C" w14:textId="77777777" w:rsidR="009C1B85" w:rsidRP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Aptos" w:hAnsi="Times New Roman" w:cs="Times New Roman"/>
          <w:sz w:val="21"/>
          <w:szCs w:val="21"/>
        </w:rPr>
        <w:lastRenderedPageBreak/>
        <w:t>Loginom. Руководство пользователя. — Loginom, 2025. — [Электронный ресурс]. — Режим доступа: https://help.loginom.ru/userguide/ (дата обращения: 15.04.2025).</w:t>
      </w:r>
    </w:p>
    <w:p w14:paraId="6CCA5C33" w14:textId="77777777" w:rsidR="009C1B85" w:rsidRP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Aptos" w:hAnsi="Times New Roman" w:cs="Times New Roman"/>
          <w:sz w:val="21"/>
          <w:szCs w:val="21"/>
        </w:rPr>
        <w:t>Tableau. Руководство пользователя. — Tableau, 2024. — [Электронный ресурс]. — Режим доступа: https://help.tableau.com/current/guides/get-started-tutorial/en-us/get-started-tutorial-home.htm (дата обращения: 15.04.2025).</w:t>
      </w:r>
    </w:p>
    <w:p w14:paraId="2A3FF17C" w14:textId="77777777" w:rsidR="009C1B85" w:rsidRP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Aptos" w:hAnsi="Times New Roman" w:cs="Times New Roman"/>
          <w:sz w:val="21"/>
          <w:szCs w:val="21"/>
        </w:rPr>
        <w:t>Yandex DataLens. Начало работы. — Yandex, 2025. — [Электронный ресурс]. — Режим доступа: https://yandex.cloud/ru/docs/datalens/quickstart (дата обращения: 15.04.2025).</w:t>
      </w:r>
    </w:p>
    <w:p w14:paraId="24A6D56E" w14:textId="77777777" w:rsidR="009C1B85" w:rsidRDefault="009C1B85" w:rsidP="00AD58CD">
      <w:pPr>
        <w:keepNext/>
        <w:keepLines/>
        <w:numPr>
          <w:ilvl w:val="0"/>
          <w:numId w:val="161"/>
        </w:numPr>
        <w:suppressAutoHyphens/>
        <w:spacing w:after="0" w:line="240" w:lineRule="auto"/>
        <w:ind w:left="284"/>
        <w:contextualSpacing/>
        <w:jc w:val="both"/>
        <w:rPr>
          <w:rFonts w:ascii="Times New Roman" w:eastAsia="Aptos" w:hAnsi="Times New Roman" w:cs="Times New Roman"/>
          <w:sz w:val="21"/>
          <w:szCs w:val="21"/>
        </w:rPr>
      </w:pPr>
      <w:r w:rsidRPr="009C1B85">
        <w:rPr>
          <w:rFonts w:ascii="Times New Roman" w:eastAsia="Aptos" w:hAnsi="Times New Roman" w:cs="Times New Roman"/>
          <w:sz w:val="21"/>
          <w:szCs w:val="21"/>
        </w:rPr>
        <w:t>База знаний Visiology [Электронный ресурс] / Visiology. - URL: </w:t>
      </w:r>
      <w:hyperlink r:id="rId633" w:tgtFrame="_blank" w:history="1">
        <w:r w:rsidRPr="009C1B85">
          <w:rPr>
            <w:rFonts w:ascii="Times New Roman" w:eastAsia="Aptos" w:hAnsi="Times New Roman" w:cs="Times New Roman"/>
            <w:color w:val="467886"/>
            <w:sz w:val="21"/>
            <w:szCs w:val="21"/>
            <w:u w:val="single"/>
          </w:rPr>
          <w:t>https://ru.visiology.su/sources/baza-znanij</w:t>
        </w:r>
      </w:hyperlink>
      <w:r w:rsidRPr="009C1B85">
        <w:rPr>
          <w:rFonts w:ascii="Times New Roman" w:eastAsia="Aptos" w:hAnsi="Times New Roman" w:cs="Times New Roman"/>
          <w:sz w:val="21"/>
          <w:szCs w:val="21"/>
        </w:rPr>
        <w:t> (дата обращения: 22.04.2025).</w:t>
      </w:r>
    </w:p>
    <w:p w14:paraId="2E7620E1" w14:textId="77777777" w:rsidR="00B66583" w:rsidRDefault="00B66583" w:rsidP="00771C81">
      <w:pPr>
        <w:suppressAutoHyphens/>
        <w:spacing w:after="0" w:line="240" w:lineRule="auto"/>
        <w:contextualSpacing/>
        <w:jc w:val="both"/>
        <w:rPr>
          <w:rFonts w:ascii="Times New Roman" w:eastAsia="Aptos" w:hAnsi="Times New Roman" w:cs="Times New Roman"/>
          <w:sz w:val="21"/>
          <w:szCs w:val="21"/>
        </w:rPr>
      </w:pPr>
    </w:p>
    <w:p w14:paraId="4AA07333" w14:textId="77777777" w:rsidR="00771C81" w:rsidRDefault="00771C81" w:rsidP="00771C81">
      <w:pPr>
        <w:suppressAutoHyphens/>
        <w:spacing w:after="0" w:line="240" w:lineRule="auto"/>
        <w:contextualSpacing/>
        <w:jc w:val="both"/>
        <w:rPr>
          <w:rFonts w:ascii="Times New Roman" w:eastAsia="Aptos" w:hAnsi="Times New Roman" w:cs="Times New Roman"/>
          <w:sz w:val="21"/>
          <w:szCs w:val="21"/>
        </w:rPr>
      </w:pPr>
    </w:p>
    <w:p w14:paraId="3407EFEF" w14:textId="77777777" w:rsidR="00A95312" w:rsidRPr="00A95312" w:rsidRDefault="00A95312" w:rsidP="00A95312">
      <w:pPr>
        <w:suppressAutoHyphens/>
        <w:spacing w:after="0"/>
        <w:rPr>
          <w:rFonts w:ascii="Times New Roman" w:eastAsia="Calibri" w:hAnsi="Times New Roman" w:cs="Times New Roman"/>
          <w:b/>
          <w:bCs/>
          <w:kern w:val="2"/>
          <w:sz w:val="21"/>
          <w:szCs w:val="21"/>
          <w14:ligatures w14:val="standardContextual"/>
        </w:rPr>
      </w:pPr>
      <w:r w:rsidRPr="00A95312">
        <w:rPr>
          <w:rFonts w:ascii="Times New Roman" w:eastAsia="Calibri" w:hAnsi="Times New Roman" w:cs="Times New Roman"/>
          <w:b/>
          <w:bCs/>
          <w:kern w:val="2"/>
          <w:sz w:val="21"/>
          <w:szCs w:val="21"/>
          <w14:ligatures w14:val="standardContextual"/>
        </w:rPr>
        <w:t xml:space="preserve">УДК 164.07 </w:t>
      </w:r>
    </w:p>
    <w:p w14:paraId="2F8C7E0A" w14:textId="3AA9FF5D" w:rsidR="00A95312" w:rsidRPr="00A95312" w:rsidRDefault="00A95312" w:rsidP="00D4441D">
      <w:pPr>
        <w:suppressAutoHyphens/>
        <w:spacing w:after="0" w:line="240" w:lineRule="auto"/>
        <w:jc w:val="right"/>
        <w:rPr>
          <w:rFonts w:ascii="Times New Roman" w:eastAsia="Times New Roman" w:hAnsi="Times New Roman" w:cs="Times New Roman"/>
          <w:b/>
          <w:kern w:val="2"/>
          <w:sz w:val="21"/>
          <w:szCs w:val="21"/>
          <w14:ligatures w14:val="standardContextual"/>
        </w:rPr>
      </w:pPr>
      <w:r w:rsidRPr="00A95312">
        <w:rPr>
          <w:rFonts w:ascii="Times New Roman" w:eastAsia="Times New Roman" w:hAnsi="Times New Roman" w:cs="Times New Roman"/>
          <w:b/>
          <w:i/>
          <w:kern w:val="2"/>
          <w:sz w:val="21"/>
          <w:szCs w:val="21"/>
          <w14:ligatures w14:val="standardContextual"/>
        </w:rPr>
        <w:t>Шубин Д.Д.,</w:t>
      </w:r>
    </w:p>
    <w:p w14:paraId="3BCC13C9" w14:textId="77777777" w:rsidR="00A95312" w:rsidRPr="00A95312" w:rsidRDefault="00A95312" w:rsidP="00D4441D">
      <w:pPr>
        <w:suppressAutoHyphens/>
        <w:spacing w:after="0" w:line="240" w:lineRule="auto"/>
        <w:jc w:val="right"/>
        <w:rPr>
          <w:rFonts w:ascii="Times New Roman" w:eastAsia="Times New Roman" w:hAnsi="Times New Roman" w:cs="Times New Roman"/>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студент 3 курса</w:t>
      </w:r>
    </w:p>
    <w:p w14:paraId="5DFCD4F7" w14:textId="77777777" w:rsidR="00A91873" w:rsidRDefault="00A91873" w:rsidP="00A91873">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1B410F0" w14:textId="77777777" w:rsidR="00A95312" w:rsidRPr="00A95312" w:rsidRDefault="00A95312" w:rsidP="00D4441D">
      <w:pPr>
        <w:suppressAutoHyphens/>
        <w:spacing w:after="0" w:line="240" w:lineRule="auto"/>
        <w:jc w:val="right"/>
        <w:rPr>
          <w:rFonts w:ascii="Times New Roman" w:eastAsia="Times New Roman" w:hAnsi="Times New Roman" w:cs="Times New Roman"/>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г. Краснодар, Россия</w:t>
      </w:r>
    </w:p>
    <w:p w14:paraId="13FA8156" w14:textId="77777777" w:rsidR="00A95312" w:rsidRPr="00A95312" w:rsidRDefault="00A95312" w:rsidP="00D4441D">
      <w:pPr>
        <w:suppressAutoHyphens/>
        <w:spacing w:after="0" w:line="240" w:lineRule="auto"/>
        <w:jc w:val="right"/>
        <w:rPr>
          <w:rFonts w:ascii="Times New Roman" w:eastAsia="Times New Roman" w:hAnsi="Times New Roman" w:cs="Times New Roman"/>
          <w:i/>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е-</w:t>
      </w:r>
      <w:r w:rsidRPr="00A95312">
        <w:rPr>
          <w:rFonts w:ascii="Times New Roman" w:eastAsia="Times New Roman" w:hAnsi="Times New Roman" w:cs="Times New Roman"/>
          <w:i/>
          <w:kern w:val="2"/>
          <w:sz w:val="21"/>
          <w:szCs w:val="21"/>
          <w:lang w:val="en-US"/>
          <w14:ligatures w14:val="standardContextual"/>
        </w:rPr>
        <w:t>mail</w:t>
      </w:r>
      <w:r w:rsidRPr="00A95312">
        <w:rPr>
          <w:rFonts w:ascii="Times New Roman" w:eastAsia="Times New Roman" w:hAnsi="Times New Roman" w:cs="Times New Roman"/>
          <w:i/>
          <w:kern w:val="2"/>
          <w:sz w:val="21"/>
          <w:szCs w:val="21"/>
          <w14:ligatures w14:val="standardContextual"/>
        </w:rPr>
        <w:t xml:space="preserve">: </w:t>
      </w:r>
      <w:hyperlink r:id="rId634">
        <w:r w:rsidRPr="00A95312">
          <w:rPr>
            <w:rFonts w:ascii="Times New Roman" w:eastAsia="Times New Roman" w:hAnsi="Times New Roman" w:cs="Times New Roman"/>
            <w:i/>
            <w:color w:val="0563C1"/>
            <w:kern w:val="2"/>
            <w:sz w:val="21"/>
            <w:szCs w:val="21"/>
            <w:u w:val="single"/>
            <w:lang w:val="en-US"/>
            <w14:ligatures w14:val="standardContextual"/>
          </w:rPr>
          <w:t>danyahayakawa</w:t>
        </w:r>
        <w:r w:rsidRPr="00A95312">
          <w:rPr>
            <w:rFonts w:ascii="Times New Roman" w:eastAsia="Times New Roman" w:hAnsi="Times New Roman" w:cs="Times New Roman"/>
            <w:i/>
            <w:color w:val="0563C1"/>
            <w:kern w:val="2"/>
            <w:sz w:val="21"/>
            <w:szCs w:val="21"/>
            <w:u w:val="single"/>
            <w14:ligatures w14:val="standardContextual"/>
          </w:rPr>
          <w:t>@</w:t>
        </w:r>
        <w:r w:rsidRPr="00A95312">
          <w:rPr>
            <w:rFonts w:ascii="Times New Roman" w:eastAsia="Times New Roman" w:hAnsi="Times New Roman" w:cs="Times New Roman"/>
            <w:i/>
            <w:color w:val="0563C1"/>
            <w:kern w:val="2"/>
            <w:sz w:val="21"/>
            <w:szCs w:val="21"/>
            <w:u w:val="single"/>
            <w:lang w:val="en-US"/>
            <w14:ligatures w14:val="standardContextual"/>
          </w:rPr>
          <w:t>mail</w:t>
        </w:r>
        <w:r w:rsidRPr="00A95312">
          <w:rPr>
            <w:rFonts w:ascii="Times New Roman" w:eastAsia="Times New Roman" w:hAnsi="Times New Roman" w:cs="Times New Roman"/>
            <w:i/>
            <w:color w:val="0563C1"/>
            <w:kern w:val="2"/>
            <w:sz w:val="21"/>
            <w:szCs w:val="21"/>
            <w:u w:val="single"/>
            <w14:ligatures w14:val="standardContextual"/>
          </w:rPr>
          <w:t>.</w:t>
        </w:r>
        <w:r w:rsidRPr="00A95312">
          <w:rPr>
            <w:rFonts w:ascii="Times New Roman" w:eastAsia="Times New Roman" w:hAnsi="Times New Roman" w:cs="Times New Roman"/>
            <w:i/>
            <w:color w:val="0563C1"/>
            <w:kern w:val="2"/>
            <w:sz w:val="21"/>
            <w:szCs w:val="21"/>
            <w:u w:val="single"/>
            <w:lang w:val="en-US"/>
            <w14:ligatures w14:val="standardContextual"/>
          </w:rPr>
          <w:t>ru</w:t>
        </w:r>
      </w:hyperlink>
    </w:p>
    <w:p w14:paraId="0C4071EC" w14:textId="77777777" w:rsidR="00A95312" w:rsidRPr="00A95312" w:rsidRDefault="00A95312" w:rsidP="00D4441D">
      <w:pPr>
        <w:suppressAutoHyphens/>
        <w:spacing w:after="0" w:line="240" w:lineRule="auto"/>
        <w:jc w:val="right"/>
        <w:rPr>
          <w:rFonts w:ascii="Times New Roman" w:eastAsia="Times New Roman" w:hAnsi="Times New Roman" w:cs="Times New Roman"/>
          <w:i/>
          <w:kern w:val="2"/>
          <w:sz w:val="21"/>
          <w:szCs w:val="21"/>
          <w14:ligatures w14:val="standardContextual"/>
        </w:rPr>
      </w:pPr>
    </w:p>
    <w:p w14:paraId="1F5F2E9F" w14:textId="77777777" w:rsidR="00A95312" w:rsidRPr="00A95312" w:rsidRDefault="00A95312" w:rsidP="00D4441D">
      <w:pPr>
        <w:suppressAutoHyphens/>
        <w:spacing w:after="0" w:line="240" w:lineRule="auto"/>
        <w:jc w:val="right"/>
        <w:rPr>
          <w:rFonts w:ascii="Times New Roman" w:eastAsia="Times New Roman" w:hAnsi="Times New Roman" w:cs="Times New Roman"/>
          <w:b/>
          <w:bCs/>
          <w:kern w:val="2"/>
          <w:sz w:val="21"/>
          <w:szCs w:val="21"/>
          <w14:ligatures w14:val="standardContextual"/>
        </w:rPr>
      </w:pPr>
      <w:r w:rsidRPr="00A95312">
        <w:rPr>
          <w:rFonts w:ascii="Times New Roman" w:eastAsia="Times New Roman" w:hAnsi="Times New Roman" w:cs="Times New Roman"/>
          <w:b/>
          <w:bCs/>
          <w:i/>
          <w:kern w:val="2"/>
          <w:sz w:val="21"/>
          <w:szCs w:val="21"/>
          <w14:ligatures w14:val="standardContextual"/>
        </w:rPr>
        <w:t>Научный руководитель:</w:t>
      </w:r>
    </w:p>
    <w:p w14:paraId="218C52F8" w14:textId="77777777" w:rsidR="00A95312" w:rsidRPr="00A95312" w:rsidRDefault="00A95312" w:rsidP="00D4441D">
      <w:pPr>
        <w:suppressAutoHyphens/>
        <w:spacing w:after="0" w:line="240" w:lineRule="auto"/>
        <w:jc w:val="right"/>
        <w:rPr>
          <w:rFonts w:ascii="Times New Roman" w:eastAsia="Times New Roman" w:hAnsi="Times New Roman" w:cs="Times New Roman"/>
          <w:b/>
          <w:kern w:val="2"/>
          <w:sz w:val="21"/>
          <w:szCs w:val="21"/>
          <w14:ligatures w14:val="standardContextual"/>
        </w:rPr>
      </w:pPr>
      <w:r w:rsidRPr="00A95312">
        <w:rPr>
          <w:rFonts w:ascii="Times New Roman" w:eastAsia="Times New Roman" w:hAnsi="Times New Roman" w:cs="Times New Roman"/>
          <w:b/>
          <w:i/>
          <w:kern w:val="2"/>
          <w:sz w:val="21"/>
          <w:szCs w:val="21"/>
          <w14:ligatures w14:val="standardContextual"/>
        </w:rPr>
        <w:t>Кирий В.А.,</w:t>
      </w:r>
    </w:p>
    <w:p w14:paraId="1F57B954" w14:textId="77777777" w:rsidR="00A95312" w:rsidRPr="00A95312" w:rsidRDefault="00A95312" w:rsidP="00D4441D">
      <w:pPr>
        <w:suppressAutoHyphens/>
        <w:spacing w:after="0" w:line="240" w:lineRule="auto"/>
        <w:jc w:val="right"/>
        <w:rPr>
          <w:rFonts w:ascii="Times New Roman" w:eastAsia="Times New Roman" w:hAnsi="Times New Roman" w:cs="Times New Roman"/>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к.ф-з.н., доцент</w:t>
      </w:r>
    </w:p>
    <w:p w14:paraId="61759C62" w14:textId="77777777" w:rsidR="00A91873" w:rsidRDefault="00A91873" w:rsidP="00A91873">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F7BF099" w14:textId="77777777" w:rsidR="00A95312" w:rsidRPr="00A95312" w:rsidRDefault="00A95312" w:rsidP="00D4441D">
      <w:pPr>
        <w:suppressAutoHyphens/>
        <w:spacing w:after="0" w:line="240" w:lineRule="auto"/>
        <w:jc w:val="right"/>
        <w:rPr>
          <w:rFonts w:ascii="Times New Roman" w:eastAsia="Times New Roman" w:hAnsi="Times New Roman" w:cs="Times New Roman"/>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г. Краснодар, Россия</w:t>
      </w:r>
    </w:p>
    <w:p w14:paraId="70C9D181" w14:textId="77777777" w:rsidR="00A95312" w:rsidRPr="00A95312" w:rsidRDefault="00A95312" w:rsidP="00D4441D">
      <w:pPr>
        <w:suppressAutoHyphens/>
        <w:spacing w:after="0" w:line="240" w:lineRule="auto"/>
        <w:jc w:val="right"/>
        <w:rPr>
          <w:rFonts w:ascii="Times New Roman" w:eastAsia="Times New Roman" w:hAnsi="Times New Roman" w:cs="Times New Roman"/>
          <w:kern w:val="2"/>
          <w:sz w:val="21"/>
          <w:szCs w:val="21"/>
          <w14:ligatures w14:val="standardContextual"/>
        </w:rPr>
      </w:pPr>
      <w:r w:rsidRPr="00A95312">
        <w:rPr>
          <w:rFonts w:ascii="Times New Roman" w:eastAsia="Times New Roman" w:hAnsi="Times New Roman" w:cs="Times New Roman"/>
          <w:i/>
          <w:kern w:val="2"/>
          <w:sz w:val="21"/>
          <w:szCs w:val="21"/>
          <w14:ligatures w14:val="standardContextual"/>
        </w:rPr>
        <w:t xml:space="preserve">е-mail: </w:t>
      </w:r>
      <w:hyperlink r:id="rId635">
        <w:r w:rsidRPr="00A95312">
          <w:rPr>
            <w:rFonts w:ascii="Times New Roman" w:eastAsia="Times New Roman" w:hAnsi="Times New Roman" w:cs="Times New Roman"/>
            <w:i/>
            <w:color w:val="0563C1"/>
            <w:kern w:val="2"/>
            <w:sz w:val="21"/>
            <w:szCs w:val="21"/>
            <w:u w:val="single"/>
            <w14:ligatures w14:val="standardContextual"/>
          </w:rPr>
          <w:t>VAKirij@fa.ru</w:t>
        </w:r>
      </w:hyperlink>
      <w:r w:rsidRPr="00A95312">
        <w:rPr>
          <w:rFonts w:ascii="Times New Roman" w:eastAsia="Times New Roman" w:hAnsi="Times New Roman" w:cs="Times New Roman"/>
          <w:i/>
          <w:kern w:val="2"/>
          <w:sz w:val="21"/>
          <w:szCs w:val="21"/>
          <w14:ligatures w14:val="standardContextual"/>
        </w:rPr>
        <w:t xml:space="preserve"> </w:t>
      </w:r>
    </w:p>
    <w:p w14:paraId="09773D59" w14:textId="6889D123" w:rsidR="00A95312" w:rsidRPr="00A95312" w:rsidRDefault="00A95312" w:rsidP="00D4441D">
      <w:pPr>
        <w:suppressAutoHyphens/>
        <w:spacing w:after="0" w:line="240" w:lineRule="auto"/>
        <w:jc w:val="center"/>
        <w:rPr>
          <w:rFonts w:ascii="Times New Roman" w:eastAsia="Calibri" w:hAnsi="Times New Roman" w:cs="Times New Roman"/>
          <w:b/>
          <w:bCs/>
          <w:kern w:val="2"/>
          <w:sz w:val="21"/>
          <w:szCs w:val="21"/>
          <w14:ligatures w14:val="standardContextual"/>
        </w:rPr>
      </w:pPr>
      <w:r w:rsidRPr="00A95312">
        <w:rPr>
          <w:rFonts w:ascii="Times New Roman" w:eastAsia="Calibri" w:hAnsi="Times New Roman" w:cs="Times New Roman"/>
          <w:b/>
          <w:bCs/>
          <w:kern w:val="2"/>
          <w:sz w:val="21"/>
          <w:szCs w:val="21"/>
          <w14:ligatures w14:val="standardContextual"/>
        </w:rPr>
        <w:t>Анализ логистики системы доста</w:t>
      </w:r>
      <w:r w:rsidR="00835804">
        <w:rPr>
          <w:rFonts w:ascii="Times New Roman" w:eastAsia="Calibri" w:hAnsi="Times New Roman" w:cs="Times New Roman"/>
          <w:b/>
          <w:bCs/>
          <w:kern w:val="2"/>
          <w:sz w:val="21"/>
          <w:szCs w:val="21"/>
          <w14:ligatures w14:val="standardContextual"/>
        </w:rPr>
        <w:t>в</w:t>
      </w:r>
      <w:r w:rsidRPr="00A95312">
        <w:rPr>
          <w:rFonts w:ascii="Times New Roman" w:eastAsia="Calibri" w:hAnsi="Times New Roman" w:cs="Times New Roman"/>
          <w:b/>
          <w:bCs/>
          <w:kern w:val="2"/>
          <w:sz w:val="21"/>
          <w:szCs w:val="21"/>
          <w14:ligatures w14:val="standardContextual"/>
        </w:rPr>
        <w:t>ки заказов</w:t>
      </w:r>
    </w:p>
    <w:p w14:paraId="3E793FFF" w14:textId="77777777" w:rsidR="00A95312" w:rsidRPr="00A95312" w:rsidRDefault="00A95312" w:rsidP="00D4441D">
      <w:pPr>
        <w:suppressAutoHyphens/>
        <w:spacing w:after="0" w:line="240" w:lineRule="auto"/>
        <w:jc w:val="center"/>
        <w:rPr>
          <w:rFonts w:ascii="Times New Roman" w:eastAsia="Calibri" w:hAnsi="Times New Roman" w:cs="Times New Roman"/>
          <w:b/>
          <w:bCs/>
          <w:kern w:val="2"/>
          <w:sz w:val="21"/>
          <w:szCs w:val="21"/>
          <w14:ligatures w14:val="standardContextual"/>
        </w:rPr>
      </w:pPr>
    </w:p>
    <w:p w14:paraId="4C98EA1C" w14:textId="77777777" w:rsidR="00A95312" w:rsidRPr="00A95312" w:rsidRDefault="00A95312" w:rsidP="00D4441D">
      <w:pPr>
        <w:suppressAutoHyphens/>
        <w:spacing w:after="0" w:line="240" w:lineRule="auto"/>
        <w:ind w:firstLine="709"/>
        <w:jc w:val="both"/>
        <w:rPr>
          <w:rFonts w:ascii="Times New Roman" w:eastAsia="Calibri" w:hAnsi="Times New Roman" w:cs="Times New Roman"/>
          <w:kern w:val="2"/>
          <w:sz w:val="21"/>
          <w:szCs w:val="21"/>
          <w14:ligatures w14:val="standardContextual"/>
        </w:rPr>
      </w:pPr>
      <w:r w:rsidRPr="00A95312">
        <w:rPr>
          <w:rFonts w:ascii="Times New Roman" w:eastAsia="Calibri" w:hAnsi="Times New Roman" w:cs="Times New Roman"/>
          <w:b/>
          <w:bCs/>
          <w:kern w:val="2"/>
          <w:sz w:val="21"/>
          <w:szCs w:val="21"/>
          <w14:ligatures w14:val="standardContextual"/>
        </w:rPr>
        <w:t xml:space="preserve">Аннотация: </w:t>
      </w:r>
      <w:r w:rsidRPr="00A95312">
        <w:rPr>
          <w:rFonts w:ascii="Times New Roman" w:eastAsia="Calibri" w:hAnsi="Times New Roman" w:cs="Times New Roman"/>
          <w:kern w:val="2"/>
          <w:sz w:val="21"/>
          <w:szCs w:val="21"/>
          <w14:ligatures w14:val="standardContextual"/>
        </w:rPr>
        <w:t>Статья посвящена комплексному анализу российского рынка мобильных приложений доставки, рассматривающегося как ключевой элемент цифровой трансформации потребительского поведения. На основе данных за 2020-2024 гг. проведена сегментация рынка, выделены ключевые игроки (Яндекс Еда, СберМаркет, Wildberries) и проанализированы их конкурентные преимущества, связанные с интеграцией в цифровые экосистемы и внедрением ИИ-алгоритмов. Выявлены системные недостатки отрасли. Исследование имеет практическую ценность для разработчиков и маркетологов, предлагая инструменты для повышения эффективности сервисов доставки.</w:t>
      </w:r>
    </w:p>
    <w:p w14:paraId="215A1129" w14:textId="77777777" w:rsidR="00A95312" w:rsidRPr="00A95312" w:rsidRDefault="00A95312" w:rsidP="00D4441D">
      <w:pPr>
        <w:suppressAutoHyphens/>
        <w:spacing w:after="0" w:line="240" w:lineRule="auto"/>
        <w:ind w:firstLine="709"/>
        <w:jc w:val="both"/>
        <w:rPr>
          <w:rFonts w:ascii="Times New Roman" w:eastAsia="Calibri" w:hAnsi="Times New Roman" w:cs="Times New Roman"/>
          <w:kern w:val="2"/>
          <w:sz w:val="21"/>
          <w:szCs w:val="21"/>
          <w14:ligatures w14:val="standardContextual"/>
        </w:rPr>
      </w:pPr>
      <w:r w:rsidRPr="00A95312">
        <w:rPr>
          <w:rFonts w:ascii="Times New Roman" w:eastAsia="Calibri" w:hAnsi="Times New Roman" w:cs="Times New Roman"/>
          <w:b/>
          <w:bCs/>
          <w:kern w:val="2"/>
          <w:sz w:val="21"/>
          <w:szCs w:val="21"/>
          <w14:ligatures w14:val="standardContextual"/>
        </w:rPr>
        <w:t>Ключевые слова:</w:t>
      </w:r>
      <w:r w:rsidRPr="00A95312">
        <w:rPr>
          <w:rFonts w:ascii="Times New Roman" w:eastAsia="Calibri" w:hAnsi="Times New Roman" w:cs="Times New Roman"/>
          <w:kern w:val="2"/>
          <w:sz w:val="21"/>
          <w:szCs w:val="21"/>
          <w14:ligatures w14:val="standardContextual"/>
        </w:rPr>
        <w:t xml:space="preserve"> Приложения доставки, цифровая трансформация, российский рынок, мобильные сервисы, технологии, логистика.</w:t>
      </w:r>
    </w:p>
    <w:p w14:paraId="17511555" w14:textId="77777777" w:rsidR="00A95312" w:rsidRPr="00A95312" w:rsidRDefault="00A95312" w:rsidP="00D4441D">
      <w:pPr>
        <w:suppressAutoHyphens/>
        <w:spacing w:after="0" w:line="240" w:lineRule="auto"/>
        <w:rPr>
          <w:rFonts w:ascii="Times New Roman" w:eastAsia="Calibri" w:hAnsi="Times New Roman" w:cs="Times New Roman"/>
          <w:kern w:val="2"/>
          <w:sz w:val="21"/>
          <w:szCs w:val="21"/>
          <w14:ligatures w14:val="standardContextual"/>
        </w:rPr>
      </w:pPr>
    </w:p>
    <w:p w14:paraId="1CAC23A4" w14:textId="77777777" w:rsidR="00A95312" w:rsidRPr="00A95312" w:rsidRDefault="00A95312" w:rsidP="00D4441D">
      <w:pPr>
        <w:tabs>
          <w:tab w:val="left" w:pos="316"/>
        </w:tabs>
        <w:suppressAutoHyphens/>
        <w:spacing w:after="0" w:line="240" w:lineRule="auto"/>
        <w:ind w:firstLine="709"/>
        <w:jc w:val="right"/>
        <w:rPr>
          <w:rFonts w:ascii="Liberation Serif" w:eastAsia="Liberation Serif" w:hAnsi="Liberation Serif" w:cs="Liberation Serif"/>
          <w:b/>
          <w:kern w:val="2"/>
          <w:sz w:val="24"/>
          <w:szCs w:val="24"/>
          <w:lang w:val="en-US"/>
          <w14:ligatures w14:val="standardContextual"/>
        </w:rPr>
      </w:pPr>
      <w:r w:rsidRPr="00A95312">
        <w:rPr>
          <w:rFonts w:ascii="Liberation Serif" w:eastAsia="Liberation Serif" w:hAnsi="Liberation Serif" w:cs="Liberation Serif"/>
          <w:b/>
          <w:i/>
          <w:kern w:val="2"/>
          <w:sz w:val="21"/>
          <w:szCs w:val="21"/>
          <w:lang w:val="en-US"/>
          <w14:ligatures w14:val="standardContextual"/>
        </w:rPr>
        <w:t>Shubin D.D.,</w:t>
      </w:r>
    </w:p>
    <w:p w14:paraId="12E0022E" w14:textId="77777777" w:rsidR="00A95312" w:rsidRPr="00A95312" w:rsidRDefault="00A95312" w:rsidP="00D4441D">
      <w:pPr>
        <w:tabs>
          <w:tab w:val="left" w:pos="316"/>
        </w:tabs>
        <w:suppressAutoHyphens/>
        <w:spacing w:after="0" w:line="240" w:lineRule="auto"/>
        <w:ind w:firstLine="709"/>
        <w:jc w:val="right"/>
        <w:rPr>
          <w:rFonts w:ascii="Liberation Serif" w:eastAsia="Liberation Serif" w:hAnsi="Liberation Serif" w:cs="Liberation Serif"/>
          <w:kern w:val="2"/>
          <w:sz w:val="24"/>
          <w:szCs w:val="24"/>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3rd year student</w:t>
      </w:r>
    </w:p>
    <w:p w14:paraId="36C049A5" w14:textId="77777777" w:rsidR="00A95312" w:rsidRPr="00A95312" w:rsidRDefault="00A95312" w:rsidP="00D4441D">
      <w:pPr>
        <w:tabs>
          <w:tab w:val="left" w:pos="316"/>
        </w:tabs>
        <w:suppressAutoHyphens/>
        <w:spacing w:after="0" w:line="240" w:lineRule="auto"/>
        <w:ind w:firstLine="709"/>
        <w:jc w:val="right"/>
        <w:rPr>
          <w:rFonts w:ascii="Liberation Serif" w:eastAsia="Liberation Serif" w:hAnsi="Liberation Serif" w:cs="Liberation Serif"/>
          <w:kern w:val="2"/>
          <w:sz w:val="24"/>
          <w:szCs w:val="24"/>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Financial University under the Government of the Russian Federation</w:t>
      </w:r>
    </w:p>
    <w:p w14:paraId="09D61BDB" w14:textId="77777777" w:rsidR="00A95312" w:rsidRPr="00A95312" w:rsidRDefault="00A95312" w:rsidP="00D4441D">
      <w:pPr>
        <w:tabs>
          <w:tab w:val="left" w:pos="316"/>
        </w:tabs>
        <w:suppressAutoHyphens/>
        <w:spacing w:after="0" w:line="240" w:lineRule="auto"/>
        <w:ind w:firstLine="709"/>
        <w:jc w:val="right"/>
        <w:rPr>
          <w:rFonts w:ascii="Liberation Serif" w:eastAsia="Liberation Serif" w:hAnsi="Liberation Serif" w:cs="Liberation Serif"/>
          <w:kern w:val="2"/>
          <w:sz w:val="24"/>
          <w:szCs w:val="24"/>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Krasnodar, Russia</w:t>
      </w:r>
    </w:p>
    <w:p w14:paraId="75F75D06" w14:textId="2D386454" w:rsidR="00A95312" w:rsidRPr="00A95312" w:rsidRDefault="00132A69" w:rsidP="00D4441D">
      <w:pPr>
        <w:suppressAutoHyphens/>
        <w:spacing w:after="0" w:line="240" w:lineRule="auto"/>
        <w:jc w:val="right"/>
        <w:rPr>
          <w:rFonts w:ascii="Times New Roman" w:eastAsia="Times New Roman" w:hAnsi="Times New Roman" w:cs="Times New Roman"/>
          <w:i/>
          <w:kern w:val="2"/>
          <w:sz w:val="21"/>
          <w:szCs w:val="21"/>
          <w:lang w:val="en-US"/>
          <w14:ligatures w14:val="standardContextual"/>
        </w:rPr>
      </w:pPr>
      <w:hyperlink r:id="rId636">
        <w:r w:rsidR="00A95312" w:rsidRPr="00A95312">
          <w:rPr>
            <w:rFonts w:ascii="Liberation Serif" w:eastAsia="Liberation Serif" w:hAnsi="Liberation Serif" w:cs="Liberation Serif"/>
            <w:i/>
            <w:kern w:val="2"/>
            <w:sz w:val="21"/>
            <w:szCs w:val="21"/>
            <w:lang w:val="en-US"/>
            <w14:ligatures w14:val="standardContextual"/>
          </w:rPr>
          <w:t xml:space="preserve">e-mail: </w:t>
        </w:r>
      </w:hyperlink>
      <w:r w:rsidR="00D4441D" w:rsidRPr="00C30970">
        <w:rPr>
          <w:rFonts w:ascii="Calibri" w:eastAsia="Calibri" w:hAnsi="Calibri" w:cs="Calibri"/>
          <w:kern w:val="2"/>
          <w:lang w:val="en-US"/>
          <w14:ligatures w14:val="standardContextual"/>
        </w:rPr>
        <w:t xml:space="preserve"> </w:t>
      </w:r>
      <w:hyperlink r:id="rId637">
        <w:r w:rsidR="00D4441D" w:rsidRPr="00A95312">
          <w:rPr>
            <w:rFonts w:ascii="Times New Roman" w:eastAsia="Times New Roman" w:hAnsi="Times New Roman" w:cs="Times New Roman"/>
            <w:i/>
            <w:color w:val="0563C1"/>
            <w:kern w:val="2"/>
            <w:sz w:val="21"/>
            <w:szCs w:val="21"/>
            <w:u w:val="single"/>
            <w:lang w:val="en-US"/>
            <w14:ligatures w14:val="standardContextual"/>
          </w:rPr>
          <w:t>danyahayakawa</w:t>
        </w:r>
        <w:r w:rsidR="00D4441D" w:rsidRPr="00C30970">
          <w:rPr>
            <w:rFonts w:ascii="Times New Roman" w:eastAsia="Times New Roman" w:hAnsi="Times New Roman" w:cs="Times New Roman"/>
            <w:i/>
            <w:color w:val="0563C1"/>
            <w:kern w:val="2"/>
            <w:sz w:val="21"/>
            <w:szCs w:val="21"/>
            <w:u w:val="single"/>
            <w:lang w:val="en-US"/>
            <w14:ligatures w14:val="standardContextual"/>
          </w:rPr>
          <w:t>@</w:t>
        </w:r>
        <w:r w:rsidR="00D4441D" w:rsidRPr="00A95312">
          <w:rPr>
            <w:rFonts w:ascii="Times New Roman" w:eastAsia="Times New Roman" w:hAnsi="Times New Roman" w:cs="Times New Roman"/>
            <w:i/>
            <w:color w:val="0563C1"/>
            <w:kern w:val="2"/>
            <w:sz w:val="21"/>
            <w:szCs w:val="21"/>
            <w:u w:val="single"/>
            <w:lang w:val="en-US"/>
            <w14:ligatures w14:val="standardContextual"/>
          </w:rPr>
          <w:t>mail</w:t>
        </w:r>
        <w:r w:rsidR="00D4441D" w:rsidRPr="00C30970">
          <w:rPr>
            <w:rFonts w:ascii="Times New Roman" w:eastAsia="Times New Roman" w:hAnsi="Times New Roman" w:cs="Times New Roman"/>
            <w:i/>
            <w:color w:val="0563C1"/>
            <w:kern w:val="2"/>
            <w:sz w:val="21"/>
            <w:szCs w:val="21"/>
            <w:u w:val="single"/>
            <w:lang w:val="en-US"/>
            <w14:ligatures w14:val="standardContextual"/>
          </w:rPr>
          <w:t>.</w:t>
        </w:r>
        <w:r w:rsidR="00D4441D" w:rsidRPr="00A95312">
          <w:rPr>
            <w:rFonts w:ascii="Times New Roman" w:eastAsia="Times New Roman" w:hAnsi="Times New Roman" w:cs="Times New Roman"/>
            <w:i/>
            <w:color w:val="0563C1"/>
            <w:kern w:val="2"/>
            <w:sz w:val="21"/>
            <w:szCs w:val="21"/>
            <w:u w:val="single"/>
            <w:lang w:val="en-US"/>
            <w14:ligatures w14:val="standardContextual"/>
          </w:rPr>
          <w:t>ru</w:t>
        </w:r>
      </w:hyperlink>
    </w:p>
    <w:p w14:paraId="2DB89F6C" w14:textId="77777777" w:rsidR="00A95312" w:rsidRPr="00A95312" w:rsidRDefault="00A95312" w:rsidP="00D4441D">
      <w:pPr>
        <w:tabs>
          <w:tab w:val="left" w:pos="316"/>
        </w:tabs>
        <w:suppressAutoHyphens/>
        <w:spacing w:after="0" w:line="240" w:lineRule="auto"/>
        <w:ind w:firstLine="709"/>
        <w:jc w:val="right"/>
        <w:rPr>
          <w:rFonts w:ascii="Liberation Serif" w:eastAsia="Liberation Serif" w:hAnsi="Liberation Serif" w:cs="Liberation Serif"/>
          <w:i/>
          <w:kern w:val="2"/>
          <w:sz w:val="21"/>
          <w:szCs w:val="21"/>
          <w:lang w:val="en-US"/>
          <w14:ligatures w14:val="standardContextual"/>
        </w:rPr>
      </w:pPr>
    </w:p>
    <w:p w14:paraId="1EC8CFF9"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kern w:val="2"/>
          <w:sz w:val="21"/>
          <w:szCs w:val="21"/>
          <w:lang w:val="en-US"/>
          <w14:ligatures w14:val="standardContextual"/>
        </w:rPr>
      </w:pPr>
      <w:r w:rsidRPr="00A95312">
        <w:rPr>
          <w:rFonts w:ascii="Liberation Serif" w:eastAsia="Liberation Serif" w:hAnsi="Liberation Serif" w:cs="Liberation Serif"/>
          <w:b/>
          <w:i/>
          <w:kern w:val="2"/>
          <w:sz w:val="21"/>
          <w:szCs w:val="21"/>
          <w:lang w:val="en-US"/>
          <w14:ligatures w14:val="standardContextual"/>
        </w:rPr>
        <w:t>Scientific advisor:</w:t>
      </w:r>
    </w:p>
    <w:p w14:paraId="18DF3FDA"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b/>
          <w:i/>
          <w:kern w:val="2"/>
          <w:sz w:val="21"/>
          <w:szCs w:val="21"/>
          <w:lang w:val="en-US"/>
          <w14:ligatures w14:val="standardContextual"/>
        </w:rPr>
      </w:pPr>
      <w:r w:rsidRPr="00A95312">
        <w:rPr>
          <w:rFonts w:ascii="Liberation Serif" w:eastAsia="Liberation Serif" w:hAnsi="Liberation Serif" w:cs="Liberation Serif"/>
          <w:b/>
          <w:i/>
          <w:kern w:val="2"/>
          <w:sz w:val="21"/>
          <w:szCs w:val="21"/>
          <w:lang w:val="en-US"/>
          <w14:ligatures w14:val="standardContextual"/>
        </w:rPr>
        <w:t>Kiriy V.A.,</w:t>
      </w:r>
    </w:p>
    <w:p w14:paraId="47A1511B"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i/>
          <w:kern w:val="2"/>
          <w:sz w:val="21"/>
          <w:szCs w:val="21"/>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Associate Professor, Ph.D. in P-S Sciences</w:t>
      </w:r>
    </w:p>
    <w:p w14:paraId="12B15A85"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i/>
          <w:kern w:val="2"/>
          <w:sz w:val="21"/>
          <w:szCs w:val="21"/>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Financial University under the Government of the Russian Federation</w:t>
      </w:r>
    </w:p>
    <w:p w14:paraId="38EA4E66"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i/>
          <w:kern w:val="2"/>
          <w:sz w:val="21"/>
          <w:szCs w:val="21"/>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Krasnodar, Russia</w:t>
      </w:r>
    </w:p>
    <w:p w14:paraId="0FCE6DBC" w14:textId="77777777" w:rsidR="00A95312" w:rsidRPr="00A95312" w:rsidRDefault="00A95312" w:rsidP="00D4441D">
      <w:pPr>
        <w:tabs>
          <w:tab w:val="left" w:pos="316"/>
        </w:tabs>
        <w:suppressAutoHyphens/>
        <w:spacing w:after="0" w:line="240" w:lineRule="auto"/>
        <w:jc w:val="right"/>
        <w:rPr>
          <w:rFonts w:ascii="Liberation Serif" w:eastAsia="Liberation Serif" w:hAnsi="Liberation Serif" w:cs="Liberation Serif"/>
          <w:i/>
          <w:kern w:val="2"/>
          <w:sz w:val="21"/>
          <w:szCs w:val="21"/>
          <w:lang w:val="en-US"/>
          <w14:ligatures w14:val="standardContextual"/>
        </w:rPr>
      </w:pPr>
      <w:r w:rsidRPr="00A95312">
        <w:rPr>
          <w:rFonts w:ascii="Liberation Serif" w:eastAsia="Liberation Serif" w:hAnsi="Liberation Serif" w:cs="Liberation Serif"/>
          <w:i/>
          <w:kern w:val="2"/>
          <w:sz w:val="21"/>
          <w:szCs w:val="21"/>
          <w:lang w:val="en-US"/>
          <w14:ligatures w14:val="standardContextual"/>
        </w:rPr>
        <w:t xml:space="preserve">e-mail: </w:t>
      </w:r>
      <w:hyperlink r:id="rId638">
        <w:r w:rsidRPr="00A95312">
          <w:rPr>
            <w:rFonts w:ascii="Liberation Serif" w:eastAsia="Liberation Serif" w:hAnsi="Liberation Serif" w:cs="Liberation Serif"/>
            <w:i/>
            <w:color w:val="0563C1"/>
            <w:kern w:val="2"/>
            <w:sz w:val="21"/>
            <w:szCs w:val="21"/>
            <w:u w:val="single"/>
            <w:lang w:val="en-US"/>
            <w14:ligatures w14:val="standardContextual"/>
          </w:rPr>
          <w:t>VAKirij@fa.ru</w:t>
        </w:r>
      </w:hyperlink>
    </w:p>
    <w:p w14:paraId="7D546E21" w14:textId="77777777" w:rsidR="00A95312" w:rsidRPr="00A95312" w:rsidRDefault="00A95312" w:rsidP="00D4441D">
      <w:pPr>
        <w:suppressAutoHyphens/>
        <w:spacing w:after="0" w:line="240" w:lineRule="auto"/>
        <w:jc w:val="right"/>
        <w:rPr>
          <w:rFonts w:ascii="Times New Roman" w:eastAsia="Calibri" w:hAnsi="Times New Roman" w:cs="Times New Roman"/>
          <w:b/>
          <w:bCs/>
          <w:kern w:val="2"/>
          <w:sz w:val="21"/>
          <w:szCs w:val="21"/>
          <w:lang w:val="en-US"/>
          <w14:ligatures w14:val="standardContextual"/>
        </w:rPr>
      </w:pPr>
    </w:p>
    <w:p w14:paraId="68FCD1DC" w14:textId="77777777" w:rsidR="00A95312" w:rsidRPr="00A95312" w:rsidRDefault="00A95312" w:rsidP="00D4441D">
      <w:pPr>
        <w:suppressAutoHyphens/>
        <w:spacing w:after="0" w:line="240" w:lineRule="auto"/>
        <w:jc w:val="center"/>
        <w:rPr>
          <w:rFonts w:ascii="Times New Roman" w:eastAsia="Calibri" w:hAnsi="Times New Roman" w:cs="Times New Roman"/>
          <w:b/>
          <w:bCs/>
          <w:kern w:val="2"/>
          <w:sz w:val="21"/>
          <w:szCs w:val="21"/>
          <w:lang w:val="en-US"/>
          <w14:ligatures w14:val="standardContextual"/>
        </w:rPr>
      </w:pPr>
      <w:r w:rsidRPr="00A95312">
        <w:rPr>
          <w:rFonts w:ascii="Times New Roman" w:eastAsia="Calibri" w:hAnsi="Times New Roman" w:cs="Times New Roman"/>
          <w:b/>
          <w:bCs/>
          <w:kern w:val="2"/>
          <w:sz w:val="21"/>
          <w:szCs w:val="21"/>
          <w:lang w:val="en-US"/>
          <w14:ligatures w14:val="standardContextual"/>
        </w:rPr>
        <w:t xml:space="preserve">Logistics analysis of the procurement system </w:t>
      </w:r>
    </w:p>
    <w:p w14:paraId="460BCAAD" w14:textId="77777777" w:rsidR="00A95312" w:rsidRPr="00A95312" w:rsidRDefault="00A95312" w:rsidP="00D4441D">
      <w:pPr>
        <w:suppressAutoHyphens/>
        <w:spacing w:after="0" w:line="240" w:lineRule="auto"/>
        <w:rPr>
          <w:rFonts w:ascii="Times New Roman" w:eastAsia="Calibri" w:hAnsi="Times New Roman" w:cs="Times New Roman"/>
          <w:kern w:val="2"/>
          <w:sz w:val="21"/>
          <w:szCs w:val="21"/>
          <w:lang w:val="en-US"/>
          <w14:ligatures w14:val="standardContextual"/>
        </w:rPr>
      </w:pPr>
    </w:p>
    <w:p w14:paraId="4D6B1BF3" w14:textId="77777777" w:rsidR="00A95312" w:rsidRPr="00A95312" w:rsidRDefault="00A95312" w:rsidP="003F24AC">
      <w:pPr>
        <w:suppressAutoHyphens/>
        <w:spacing w:after="0" w:line="240" w:lineRule="auto"/>
        <w:ind w:firstLine="709"/>
        <w:jc w:val="both"/>
        <w:rPr>
          <w:rFonts w:ascii="Times New Roman" w:eastAsia="Calibri" w:hAnsi="Times New Roman" w:cs="Times New Roman"/>
          <w:kern w:val="2"/>
          <w:sz w:val="21"/>
          <w:szCs w:val="21"/>
          <w:lang w:val="en-US"/>
          <w14:ligatures w14:val="standardContextual"/>
        </w:rPr>
      </w:pPr>
      <w:r w:rsidRPr="00A95312">
        <w:rPr>
          <w:rFonts w:ascii="Times New Roman" w:eastAsia="Calibri" w:hAnsi="Times New Roman" w:cs="Times New Roman"/>
          <w:b/>
          <w:bCs/>
          <w:kern w:val="2"/>
          <w:sz w:val="21"/>
          <w:szCs w:val="21"/>
          <w:lang w:val="en-US"/>
          <w14:ligatures w14:val="standardContextual"/>
        </w:rPr>
        <w:t xml:space="preserve">Abstract: </w:t>
      </w:r>
      <w:r w:rsidRPr="00A95312">
        <w:rPr>
          <w:rFonts w:ascii="Times New Roman" w:eastAsia="Calibri" w:hAnsi="Times New Roman" w:cs="Times New Roman"/>
          <w:kern w:val="2"/>
          <w:sz w:val="21"/>
          <w:szCs w:val="21"/>
          <w:lang w:val="en-US"/>
          <w14:ligatures w14:val="standardContextual"/>
        </w:rPr>
        <w:t>The article is devoted to a comprehensive analysis of the Russian market of mobile delivery applications, considered as a key element of the digital transformation of consumer behavior. Based on the data for 2020-2024, the market was segmented, key players (Yandex. Food, Sberbank, Wildberries) were identified and their competitive advantages related to integration into digital ecosystems and the introduction of AI algorithms were analyzed. The systemic shortcomings of the industry have been identified. The research has practical value for developers.</w:t>
      </w:r>
    </w:p>
    <w:p w14:paraId="211C0F99" w14:textId="77777777" w:rsidR="00A95312" w:rsidRPr="00C30970" w:rsidRDefault="00A95312" w:rsidP="003F24AC">
      <w:pPr>
        <w:suppressAutoHyphens/>
        <w:spacing w:after="0" w:line="240" w:lineRule="auto"/>
        <w:ind w:firstLine="709"/>
        <w:jc w:val="both"/>
        <w:rPr>
          <w:rFonts w:ascii="Times New Roman" w:eastAsia="Calibri" w:hAnsi="Times New Roman" w:cs="Times New Roman"/>
          <w:kern w:val="2"/>
          <w:sz w:val="21"/>
          <w:szCs w:val="21"/>
          <w:lang w:val="en-US"/>
          <w14:ligatures w14:val="standardContextual"/>
        </w:rPr>
      </w:pPr>
      <w:r w:rsidRPr="00A95312">
        <w:rPr>
          <w:rFonts w:ascii="Times New Roman" w:eastAsia="Calibri" w:hAnsi="Times New Roman" w:cs="Times New Roman"/>
          <w:b/>
          <w:bCs/>
          <w:kern w:val="2"/>
          <w:sz w:val="21"/>
          <w:szCs w:val="21"/>
          <w:lang w:val="en-US"/>
          <w14:ligatures w14:val="standardContextual"/>
        </w:rPr>
        <w:t>Keywords</w:t>
      </w:r>
      <w:r w:rsidRPr="00A95312">
        <w:rPr>
          <w:rFonts w:ascii="Times New Roman" w:eastAsia="Calibri" w:hAnsi="Times New Roman" w:cs="Times New Roman"/>
          <w:kern w:val="2"/>
          <w:sz w:val="21"/>
          <w:szCs w:val="21"/>
          <w:lang w:val="en-US"/>
          <w14:ligatures w14:val="standardContextual"/>
        </w:rPr>
        <w:t>: Delivery applications, digital transformation, Russian market, mobile services, technology, logistics.</w:t>
      </w:r>
    </w:p>
    <w:p w14:paraId="5494A708" w14:textId="77777777" w:rsidR="00A97E4D" w:rsidRPr="00C30970" w:rsidRDefault="00A97E4D" w:rsidP="003F24AC">
      <w:pPr>
        <w:suppressAutoHyphens/>
        <w:spacing w:after="0" w:line="240" w:lineRule="auto"/>
        <w:ind w:firstLine="709"/>
        <w:jc w:val="both"/>
        <w:rPr>
          <w:rFonts w:ascii="Times New Roman" w:eastAsia="Calibri" w:hAnsi="Times New Roman" w:cs="Times New Roman"/>
          <w:kern w:val="2"/>
          <w:sz w:val="36"/>
          <w:szCs w:val="36"/>
          <w:lang w:val="en-US"/>
          <w14:ligatures w14:val="standardContextual"/>
        </w:rPr>
      </w:pPr>
    </w:p>
    <w:p w14:paraId="4C8F1DA6"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color w:val="000000"/>
          <w:sz w:val="32"/>
          <w:szCs w:val="32"/>
          <w:lang w:eastAsia="ru-RU"/>
        </w:rPr>
        <w:t>Целью данного исследования является комплексный анализ современных приложений доставки, функционирующих на российском рынке, с точки зрения их функциональных возможностей, пользовательского опыта, экономической эффективности и влияния на потребительское поведение. В работе рассматриваются ключевые игроки отрасли (такие как Delivery Club, Яндекс Еда, СберМаркет, Ozon и Wildberries), проводится сравнительная оценка их сервисов, выявляются преимущества и недостатки, а также определяются перспективные направления развития рынка цифровой доставки в России.</w:t>
      </w:r>
    </w:p>
    <w:p w14:paraId="29714492"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color w:val="000000"/>
          <w:sz w:val="32"/>
          <w:szCs w:val="32"/>
          <w:lang w:eastAsia="ru-RU"/>
        </w:rPr>
        <w:t>Научная новизна исследования заключается в систематизации актуальных данных о российских сервисах доставки, анализе их технологических и бизнес-моделей, а также в прогнозировании дальнейшей эволюции данного сегмента цифровой экономики.</w:t>
      </w:r>
    </w:p>
    <w:p w14:paraId="796051A7" w14:textId="4B43B554"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Российский рынок приложений доставки демонстрирует устойчивый рост, обусловленный распространением смартфонов, развитием цифровых платежных систем и трансформацией потребительских предпочтений, особенно усилившихся в постпандемический период. Согласно данным Statista, в 2023 году объем рынка доставки еды достиг 350 млрд рублей, ежегодно увеличиваясь на 15-20%. Ключевыми факторами развития выступают урбанизация, дефицит времени у жителей мегаполисов и внедрение инновационных логистических решений, таких как dark stores и алгоритмы оптимизации маршрутов. Технологическая эволюция отрасли проявляется в интеграции искусственного интеллекта для персонализации сервисов, что способствует расширению аудитории и повышению лояльности пользователей. Однако сохраняются региональные диспропорции, при которых основная доля оборота (до 80%) приходится на крупные города, что указывает на нереализованный потенциал периферийных рынков.</w:t>
      </w:r>
      <w:r w:rsidR="003F24AC">
        <w:rPr>
          <w:rFonts w:ascii="Times New Roman" w:eastAsia="Times New Roman" w:hAnsi="Times New Roman" w:cs="Times New Roman"/>
          <w:sz w:val="32"/>
          <w:szCs w:val="32"/>
          <w:lang w:eastAsia="ru-RU"/>
        </w:rPr>
        <w:t xml:space="preserve"> </w:t>
      </w:r>
      <w:r w:rsidRPr="00A95312">
        <w:rPr>
          <w:rFonts w:ascii="Times New Roman" w:eastAsia="Times New Roman" w:hAnsi="Times New Roman" w:cs="Times New Roman"/>
          <w:sz w:val="32"/>
          <w:szCs w:val="32"/>
          <w:lang w:eastAsia="ru-RU"/>
        </w:rPr>
        <w:t xml:space="preserve">Как отмечалось во введении, российский рынок мобильной доставки, развивающийся под влиянием цифровизации и трансформации потребительских паттернов, демонстрирует выраженную сегментацию. Наиболее значимым сегментом остается доставка готовой еды, где доминируют крупные платформы, такие как Яндекс Еда (38% рынка) и Delivery </w:t>
      </w:r>
      <w:r w:rsidRPr="00A95312">
        <w:rPr>
          <w:rFonts w:ascii="Times New Roman" w:eastAsia="Times New Roman" w:hAnsi="Times New Roman" w:cs="Times New Roman"/>
          <w:sz w:val="32"/>
          <w:szCs w:val="32"/>
          <w:lang w:eastAsia="ru-RU"/>
        </w:rPr>
        <w:lastRenderedPageBreak/>
        <w:t>Club (27%), что обусловлено их интеграцией в цифровые экосистемы и широким охватом городов. Экспресс-доставка продуктов, характеризующаяся сверхбыстрыми сроками (15-30 минут), формирует отдельную нишу, где лидерство удерживают СберМаркет (40% доли) и Яндекс Лавка, чья эффективность базируется на сети dark stores и автоматизированных складах. Сегмент маркетплейсов, представленный Wildberries (45%) и Ozon (35%), отличается высокой капиталоемкостью и зависимостью от логистической инфраструктуры, при этом демонстрируя устойчивый рост за счет региональной экспансии.</w:t>
      </w:r>
    </w:p>
    <w:p w14:paraId="7F2971D8"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noProof/>
          <w:sz w:val="28"/>
          <w:szCs w:val="28"/>
          <w:lang w:eastAsia="ru-RU"/>
        </w:rPr>
        <w:drawing>
          <wp:anchor distT="0" distB="0" distL="0" distR="0" simplePos="0" relativeHeight="251684864" behindDoc="0" locked="0" layoutInCell="0" allowOverlap="1" wp14:anchorId="630E0DFE" wp14:editId="2D3BC7FB">
            <wp:simplePos x="0" y="0"/>
            <wp:positionH relativeFrom="column">
              <wp:align>center</wp:align>
            </wp:positionH>
            <wp:positionV relativeFrom="paragraph">
              <wp:posOffset>635</wp:posOffset>
            </wp:positionV>
            <wp:extent cx="5791835" cy="3743325"/>
            <wp:effectExtent l="0" t="0" r="0" b="0"/>
            <wp:wrapSquare wrapText="largest"/>
            <wp:docPr id="196634055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39"/>
                    <a:stretch>
                      <a:fillRect/>
                    </a:stretch>
                  </pic:blipFill>
                  <pic:spPr bwMode="auto">
                    <a:xfrm>
                      <a:off x="0" y="0"/>
                      <a:ext cx="5791835" cy="3743325"/>
                    </a:xfrm>
                    <a:prstGeom prst="rect">
                      <a:avLst/>
                    </a:prstGeom>
                    <a:noFill/>
                  </pic:spPr>
                </pic:pic>
              </a:graphicData>
            </a:graphic>
          </wp:anchor>
        </w:drawing>
      </w:r>
      <w:r w:rsidRPr="00A95312">
        <w:rPr>
          <w:rFonts w:ascii="Times New Roman" w:eastAsia="Times New Roman" w:hAnsi="Times New Roman" w:cs="Times New Roman"/>
          <w:color w:val="000000"/>
          <w:sz w:val="32"/>
          <w:szCs w:val="32"/>
          <w:lang w:eastAsia="ru-RU"/>
        </w:rPr>
        <w:t xml:space="preserve">Таблица 1 — Лидеры рынка доставки в России </w:t>
      </w:r>
    </w:p>
    <w:p w14:paraId="7401672C"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Технологическая эволюция рынка проявляется во внедрении алгоритмов ИИ для персонализации предложений и оптимизации логистики, а также в тестировании автономных систем доставки. Однако отрасль сталкивается с регуляторными вызовами, включая ограничение комиссий и требования к качеству услуг, а также с операционными рисками, такими как высокая зависимость от курьерских ресурсов. Эти факторы формируют сложный баланс между инновационным потенциалом и экономическими ограничениями, определяя траекторию дальнейшего развития рынка.</w:t>
      </w:r>
    </w:p>
    <w:p w14:paraId="74DFFEFD"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lastRenderedPageBreak/>
        <w:t>Современные сервисы доставки в России демонстрируют ряд конкурентных преимуществ, непосредственно связанных с их технологической базой и интеграцией в цифровые экосистемы. Ключевым фактором успеха является операционная эффективность, выраженная в сокращении среднего времени доставки до 30 минут к 2023 году, а также в автоматизации процессов, снизившей себестоимость услуг на 25%. Технологическая продвинутость платформ, включая использование алгоритмов машинного обучения, обеспечивает персонализацию предложений, что повышает средний чек на 15-20% (Data Insight, 2023). Потребители получают значительные выгоды, такие как экономия временных ресурсов (до 3 часов в неделю) и расширение ассортимента, превосходящего офлайн-ритейл в 3 раза.</w:t>
      </w:r>
    </w:p>
    <w:p w14:paraId="5046216D"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Однако отрасль сохраняет системные недостатки, ограничивающие ее устойчивость. Организационные проблемы проявляются в высокой зависимости от человеческого фактора, приводящей к задержкам 40% заказов, и в территориальной диспропорции, где 80% оборота сосредоточено в 15 городах-миллионниках. Экономические ограничения, включая низкую маржинальность (5-7% в сегменте еды) и уязвимость к курсовым колебаниям, усугубляются технологическими рисками, такими как частые сбои ИТ-инфраструктуры (15% простоев) и недостаточная точность рекомендательных алгоритмов (65%).</w:t>
      </w:r>
    </w:p>
    <w:p w14:paraId="2D7D33A2"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Сравнительный анализ эффективности сервисов выявил значительные диспропорции: индекс лояльности (NPS) варьируется от 35 до 68 пунктов, а уровень технологической оснащенности между лидерами и аутсайдерами различается в 3-5 раз. Эти данные подчеркивают необходимость структурной модернизации, направленной на устранение выявленных дисбалансов и повышение устойчивости бизнес-моделей.</w:t>
      </w:r>
    </w:p>
    <w:p w14:paraId="373289F2"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 xml:space="preserve">Для преодоления выявленных ограничений и усиления конкурентных преимуществ предлагается внедрение технологических и операционных инноваций. Перспективным направлением является развитие гибридных систем рекомендаций, объединяющих коллаборативную фильтрацию с контекстными данными (геолокация, погода, биометрические показатели), что, согласно пилотным </w:t>
      </w:r>
      <w:r w:rsidRPr="00A95312">
        <w:rPr>
          <w:rFonts w:ascii="Times New Roman" w:eastAsia="Times New Roman" w:hAnsi="Times New Roman" w:cs="Times New Roman"/>
          <w:sz w:val="32"/>
          <w:szCs w:val="32"/>
          <w:lang w:eastAsia="ru-RU"/>
        </w:rPr>
        <w:lastRenderedPageBreak/>
        <w:t>исследованиям, способно повысить конверсию на 15-20%. Оптимизация логистики через динамический роутинг, учитывающий данные о пробках и паттернах спроса, может снизить затраты на доставку на 12-15%, а внедрение AR-интерфейсов для визуализации товаров и отслеживания заказов способно увеличить индекс лояльности (NPS) на 15-18 пунктов.</w:t>
      </w:r>
    </w:p>
    <w:p w14:paraId="28E2D651"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Ключевым элементом модернизации становится предикативная аналитика, позволяющая прогнозировать спрос с точностью до 90% и автоматизировать управление складскими запасами. Социальные функции, такие как краудсорсинговые оценки и системы коллективных заказов, усиливают вовлеченность пользователей, формируя устойчивые сообщества. Для регионов актуальна разработка гибридных моделей, сочетающих микрофулфилмент-центры с оффлайн-хабами, что подтверждается успешными кейсами в Татарстане и Краснодарском крае.</w:t>
      </w:r>
    </w:p>
    <w:p w14:paraId="2144AD41" w14:textId="77777777" w:rsidR="00A95312" w:rsidRPr="00A95312" w:rsidRDefault="00A95312" w:rsidP="00A95312">
      <w:pPr>
        <w:suppressAutoHyphens/>
        <w:spacing w:after="0"/>
        <w:ind w:firstLine="708"/>
        <w:jc w:val="both"/>
        <w:rPr>
          <w:rFonts w:ascii="Times New Roman" w:eastAsia="Times New Roman" w:hAnsi="Times New Roman" w:cs="Times New Roman"/>
          <w:sz w:val="32"/>
          <w:szCs w:val="32"/>
          <w:lang w:eastAsia="ru-RU"/>
        </w:rPr>
      </w:pPr>
      <w:r w:rsidRPr="00A95312">
        <w:rPr>
          <w:rFonts w:ascii="Times New Roman" w:eastAsia="Times New Roman" w:hAnsi="Times New Roman" w:cs="Times New Roman"/>
          <w:sz w:val="32"/>
          <w:szCs w:val="32"/>
          <w:lang w:eastAsia="ru-RU"/>
        </w:rPr>
        <w:t>Таким образом Российский рынок приложений доставки находится на критическом этапе технологической трансформации, требующей сбалансированного подхода, сочетающего инновационное развитие с учетом региональных особенностей и экономических ограничений. Реализация предложенных в исследовании мер позволит обеспечить устойчивый рост отрасли при сохранении конкурентного баланса.</w:t>
      </w:r>
      <w:r w:rsidRPr="00A95312">
        <w:rPr>
          <w:rFonts w:ascii="Times New Roman" w:eastAsia="Times New Roman" w:hAnsi="Times New Roman" w:cs="Times New Roman"/>
          <w:b/>
          <w:bCs/>
          <w:sz w:val="32"/>
          <w:szCs w:val="32"/>
          <w:lang w:eastAsia="ru-RU"/>
        </w:rPr>
        <w:t xml:space="preserve"> </w:t>
      </w:r>
    </w:p>
    <w:p w14:paraId="62B7698F" w14:textId="77777777" w:rsidR="00A95312" w:rsidRPr="00A95312" w:rsidRDefault="00A95312" w:rsidP="00A95312">
      <w:pPr>
        <w:suppressAutoHyphens/>
        <w:spacing w:after="0"/>
        <w:ind w:firstLine="708"/>
        <w:jc w:val="both"/>
        <w:rPr>
          <w:rFonts w:ascii="Times New Roman" w:eastAsia="Times New Roman" w:hAnsi="Times New Roman" w:cs="Times New Roman"/>
          <w:b/>
          <w:bCs/>
          <w:sz w:val="28"/>
          <w:szCs w:val="28"/>
          <w:lang w:eastAsia="ru-RU"/>
        </w:rPr>
      </w:pPr>
    </w:p>
    <w:p w14:paraId="31596FB6" w14:textId="33EED003" w:rsidR="00A95312" w:rsidRPr="00A95312" w:rsidRDefault="003F24AC" w:rsidP="00A95312">
      <w:pPr>
        <w:tabs>
          <w:tab w:val="left" w:pos="851"/>
        </w:tabs>
        <w:suppressAutoHyphens/>
        <w:spacing w:after="0"/>
        <w:jc w:val="center"/>
        <w:rPr>
          <w:rFonts w:ascii="Times New Roman" w:eastAsia="Times New Roman" w:hAnsi="Times New Roman" w:cs="Times New Roman"/>
          <w:b/>
          <w:color w:val="000000"/>
          <w:kern w:val="2"/>
          <w:sz w:val="21"/>
          <w:szCs w:val="21"/>
          <w14:ligatures w14:val="standardContextual"/>
        </w:rPr>
      </w:pPr>
      <w:r>
        <w:rPr>
          <w:rFonts w:ascii="Times New Roman" w:eastAsia="Times New Roman" w:hAnsi="Times New Roman" w:cs="Times New Roman"/>
          <w:b/>
          <w:color w:val="000000"/>
          <w:kern w:val="2"/>
          <w:sz w:val="21"/>
          <w:szCs w:val="21"/>
          <w14:ligatures w14:val="standardContextual"/>
        </w:rPr>
        <w:t>Л</w:t>
      </w:r>
      <w:r w:rsidR="00A95312" w:rsidRPr="00A95312">
        <w:rPr>
          <w:rFonts w:ascii="Times New Roman" w:eastAsia="Times New Roman" w:hAnsi="Times New Roman" w:cs="Times New Roman"/>
          <w:b/>
          <w:color w:val="000000"/>
          <w:kern w:val="2"/>
          <w:sz w:val="21"/>
          <w:szCs w:val="21"/>
          <w14:ligatures w14:val="standardContextual"/>
        </w:rPr>
        <w:t>итератур</w:t>
      </w:r>
      <w:r>
        <w:rPr>
          <w:rFonts w:ascii="Times New Roman" w:eastAsia="Times New Roman" w:hAnsi="Times New Roman" w:cs="Times New Roman"/>
          <w:b/>
          <w:color w:val="000000"/>
          <w:kern w:val="2"/>
          <w:sz w:val="21"/>
          <w:szCs w:val="21"/>
          <w14:ligatures w14:val="standardContextual"/>
        </w:rPr>
        <w:t>а</w:t>
      </w:r>
      <w:r w:rsidR="00A95312" w:rsidRPr="00A95312">
        <w:rPr>
          <w:rFonts w:ascii="Times New Roman" w:eastAsia="Times New Roman" w:hAnsi="Times New Roman" w:cs="Times New Roman"/>
          <w:b/>
          <w:color w:val="000000"/>
          <w:kern w:val="2"/>
          <w:sz w:val="21"/>
          <w:szCs w:val="21"/>
          <w14:ligatures w14:val="standardContextual"/>
        </w:rPr>
        <w:t>:</w:t>
      </w:r>
    </w:p>
    <w:p w14:paraId="4F1F6E03" w14:textId="77777777" w:rsidR="00A95312" w:rsidRPr="00A95312" w:rsidRDefault="00A95312" w:rsidP="00AD58CD">
      <w:pPr>
        <w:numPr>
          <w:ilvl w:val="0"/>
          <w:numId w:val="163"/>
        </w:numPr>
        <w:suppressAutoHyphens/>
        <w:spacing w:after="0"/>
        <w:ind w:left="426" w:hanging="357"/>
        <w:jc w:val="both"/>
        <w:rPr>
          <w:rFonts w:ascii="Times New Roman" w:eastAsia="Times New Roman" w:hAnsi="Times New Roman" w:cs="Times New Roman"/>
          <w:color w:val="000000"/>
          <w:sz w:val="21"/>
          <w:szCs w:val="21"/>
          <w:lang w:eastAsia="ru-RU"/>
        </w:rPr>
      </w:pPr>
      <w:r w:rsidRPr="00A95312">
        <w:rPr>
          <w:rFonts w:ascii="Times New Roman" w:eastAsia="Times New Roman" w:hAnsi="Times New Roman" w:cs="Times New Roman"/>
          <w:color w:val="000000"/>
          <w:sz w:val="21"/>
          <w:szCs w:val="21"/>
          <w:lang w:eastAsia="ru-RU"/>
        </w:rPr>
        <w:t>Ассоциация компаний интернет-торговли (АКИТ). (2023). Годовой отчет о состоянии рынка интернет-торговли в России. Москва.</w:t>
      </w:r>
    </w:p>
    <w:p w14:paraId="03CC3B37" w14:textId="77777777" w:rsidR="00A95312" w:rsidRPr="00A95312" w:rsidRDefault="00A95312" w:rsidP="00AD58CD">
      <w:pPr>
        <w:numPr>
          <w:ilvl w:val="0"/>
          <w:numId w:val="163"/>
        </w:numPr>
        <w:suppressAutoHyphens/>
        <w:spacing w:after="0"/>
        <w:ind w:left="426" w:hanging="357"/>
        <w:jc w:val="both"/>
        <w:rPr>
          <w:rFonts w:ascii="Times New Roman" w:eastAsia="Times New Roman" w:hAnsi="Times New Roman" w:cs="Times New Roman"/>
          <w:color w:val="000000"/>
          <w:sz w:val="21"/>
          <w:szCs w:val="21"/>
          <w:lang w:eastAsia="ru-RU"/>
        </w:rPr>
      </w:pPr>
      <w:r w:rsidRPr="00A95312">
        <w:rPr>
          <w:rFonts w:ascii="Times New Roman" w:eastAsia="Times New Roman" w:hAnsi="Times New Roman" w:cs="Times New Roman"/>
          <w:color w:val="000000"/>
          <w:sz w:val="21"/>
          <w:szCs w:val="21"/>
          <w:lang w:eastAsia="ru-RU"/>
        </w:rPr>
        <w:t>Data Insight. (2024). Исследование рынка маркетплейсов и сервисов доставки. Аналитический отчет.</w:t>
      </w:r>
    </w:p>
    <w:p w14:paraId="4D086374" w14:textId="77777777" w:rsidR="00A95312" w:rsidRPr="00A95312" w:rsidRDefault="00A95312" w:rsidP="00AD58CD">
      <w:pPr>
        <w:numPr>
          <w:ilvl w:val="0"/>
          <w:numId w:val="163"/>
        </w:numPr>
        <w:suppressAutoHyphens/>
        <w:spacing w:after="0"/>
        <w:ind w:left="426" w:hanging="357"/>
        <w:jc w:val="both"/>
        <w:rPr>
          <w:rFonts w:ascii="Times New Roman" w:eastAsia="Times New Roman" w:hAnsi="Times New Roman" w:cs="Times New Roman"/>
          <w:color w:val="000000"/>
          <w:sz w:val="21"/>
          <w:szCs w:val="21"/>
          <w:lang w:eastAsia="ru-RU"/>
        </w:rPr>
      </w:pPr>
      <w:r w:rsidRPr="00A95312">
        <w:rPr>
          <w:rFonts w:ascii="Times New Roman" w:eastAsia="Times New Roman" w:hAnsi="Times New Roman" w:cs="Times New Roman"/>
          <w:color w:val="000000"/>
          <w:sz w:val="21"/>
          <w:szCs w:val="21"/>
          <w:lang w:eastAsia="ru-RU"/>
        </w:rPr>
        <w:t>РБК. (2023). "Тренды рынка доставки еды: цифры и факты". Электронный ресурс. URL: </w:t>
      </w:r>
      <w:hyperlink r:id="rId640" w:tgtFrame="_blank">
        <w:r w:rsidRPr="00A95312">
          <w:rPr>
            <w:rFonts w:ascii="Times New Roman" w:eastAsia="Times New Roman" w:hAnsi="Times New Roman" w:cs="Times New Roman"/>
            <w:color w:val="000000"/>
            <w:sz w:val="21"/>
            <w:szCs w:val="21"/>
            <w:lang w:eastAsia="ru-RU"/>
          </w:rPr>
          <w:t>https://www.rbc.ru/</w:t>
        </w:r>
      </w:hyperlink>
      <w:r w:rsidRPr="00A95312">
        <w:rPr>
          <w:rFonts w:ascii="Times New Roman" w:eastAsia="Times New Roman" w:hAnsi="Times New Roman" w:cs="Times New Roman"/>
          <w:color w:val="000000"/>
          <w:sz w:val="21"/>
          <w:szCs w:val="21"/>
          <w:lang w:eastAsia="ru-RU"/>
        </w:rPr>
        <w:t> (дата обращения: 15.05.2024)</w:t>
      </w:r>
    </w:p>
    <w:p w14:paraId="55DC3500" w14:textId="77777777" w:rsidR="00A95312" w:rsidRPr="00A95312" w:rsidRDefault="00A95312" w:rsidP="00AD58CD">
      <w:pPr>
        <w:numPr>
          <w:ilvl w:val="0"/>
          <w:numId w:val="163"/>
        </w:numPr>
        <w:suppressAutoHyphens/>
        <w:spacing w:after="0"/>
        <w:ind w:left="426" w:hanging="357"/>
        <w:jc w:val="both"/>
        <w:rPr>
          <w:rFonts w:ascii="Times New Roman" w:eastAsia="Times New Roman" w:hAnsi="Times New Roman" w:cs="Times New Roman"/>
          <w:color w:val="000000"/>
          <w:sz w:val="21"/>
          <w:szCs w:val="21"/>
          <w:lang w:eastAsia="ru-RU"/>
        </w:rPr>
      </w:pPr>
      <w:r w:rsidRPr="00A95312">
        <w:rPr>
          <w:rFonts w:ascii="Times New Roman" w:eastAsia="Times New Roman" w:hAnsi="Times New Roman" w:cs="Times New Roman"/>
          <w:color w:val="000000"/>
          <w:sz w:val="21"/>
          <w:szCs w:val="21"/>
          <w:lang w:val="en-US" w:eastAsia="ru-RU"/>
        </w:rPr>
        <w:t xml:space="preserve">Statista. (2023). "Online Food Delivery in Russia - Market Report". </w:t>
      </w:r>
      <w:r w:rsidRPr="00A95312">
        <w:rPr>
          <w:rFonts w:ascii="Times New Roman" w:eastAsia="Times New Roman" w:hAnsi="Times New Roman" w:cs="Times New Roman"/>
          <w:color w:val="000000"/>
          <w:sz w:val="21"/>
          <w:szCs w:val="21"/>
          <w:lang w:eastAsia="ru-RU"/>
        </w:rPr>
        <w:t>Hamburg: Statista GmbH.</w:t>
      </w:r>
    </w:p>
    <w:p w14:paraId="7BEA355C" w14:textId="77777777" w:rsidR="00A95312" w:rsidRPr="00A95312" w:rsidRDefault="00A95312" w:rsidP="00AD58CD">
      <w:pPr>
        <w:numPr>
          <w:ilvl w:val="0"/>
          <w:numId w:val="163"/>
        </w:numPr>
        <w:suppressAutoHyphens/>
        <w:ind w:left="426" w:hanging="357"/>
        <w:jc w:val="both"/>
        <w:rPr>
          <w:rFonts w:ascii="Times New Roman" w:eastAsia="Times New Roman" w:hAnsi="Times New Roman" w:cs="Times New Roman"/>
          <w:color w:val="000000"/>
          <w:sz w:val="21"/>
          <w:szCs w:val="21"/>
          <w:lang w:eastAsia="ru-RU"/>
        </w:rPr>
      </w:pPr>
      <w:r w:rsidRPr="00A95312">
        <w:rPr>
          <w:rFonts w:ascii="Times New Roman" w:eastAsia="Times New Roman" w:hAnsi="Times New Roman" w:cs="Times New Roman"/>
          <w:color w:val="000000"/>
          <w:sz w:val="21"/>
          <w:szCs w:val="21"/>
          <w:lang w:eastAsia="ru-RU"/>
        </w:rPr>
        <w:t>Иванов А.А., Петрова В.М. (2022). Цифровая трансформация сервисов доставки: российский опыт. // Вопросы экономики, (5), 45-62.</w:t>
      </w:r>
    </w:p>
    <w:p w14:paraId="721FFDAE" w14:textId="77777777" w:rsidR="00771C81" w:rsidRPr="009C1B85" w:rsidRDefault="00771C81" w:rsidP="00771C81">
      <w:pPr>
        <w:suppressAutoHyphens/>
        <w:spacing w:after="0" w:line="240" w:lineRule="auto"/>
        <w:contextualSpacing/>
        <w:jc w:val="both"/>
        <w:rPr>
          <w:rFonts w:ascii="Times New Roman" w:eastAsia="Aptos" w:hAnsi="Times New Roman" w:cs="Times New Roman"/>
          <w:sz w:val="21"/>
          <w:szCs w:val="21"/>
        </w:rPr>
        <w:sectPr w:rsidR="00771C81" w:rsidRPr="009C1B85" w:rsidSect="009C1B85">
          <w:footerReference w:type="default" r:id="rId641"/>
          <w:footerReference w:type="first" r:id="rId642"/>
          <w:pgSz w:w="11906" w:h="16838"/>
          <w:pgMar w:top="1134" w:right="1134" w:bottom="1134" w:left="1134" w:header="709" w:footer="709" w:gutter="0"/>
          <w:cols w:space="708"/>
          <w:docGrid w:linePitch="360"/>
        </w:sectPr>
      </w:pPr>
    </w:p>
    <w:p w14:paraId="2BF7A54B" w14:textId="6028BBB7" w:rsidR="00A21B44" w:rsidRDefault="00A21B44" w:rsidP="00A21B44">
      <w:pPr>
        <w:keepNext/>
        <w:keepLines/>
        <w:tabs>
          <w:tab w:val="right" w:leader="dot" w:pos="9356"/>
        </w:tabs>
        <w:spacing w:after="0" w:line="240" w:lineRule="auto"/>
        <w:ind w:firstLine="709"/>
        <w:jc w:val="center"/>
        <w:rPr>
          <w:rFonts w:ascii="Times New Roman" w:hAnsi="Times New Roman" w:cs="Times New Roman"/>
          <w:b/>
          <w:bCs/>
          <w:iCs/>
          <w:sz w:val="32"/>
          <w:szCs w:val="32"/>
        </w:rPr>
      </w:pPr>
      <w:r w:rsidRPr="00A21B44">
        <w:rPr>
          <w:rFonts w:ascii="Times New Roman" w:hAnsi="Times New Roman" w:cs="Times New Roman"/>
          <w:b/>
          <w:bCs/>
          <w:iCs/>
          <w:sz w:val="32"/>
          <w:szCs w:val="32"/>
        </w:rPr>
        <w:lastRenderedPageBreak/>
        <w:t>РАЗДЕЛ 7</w:t>
      </w:r>
    </w:p>
    <w:p w14:paraId="7B062AF7" w14:textId="77777777" w:rsidR="00A21B44" w:rsidRDefault="00A21B44" w:rsidP="00A21B44">
      <w:pPr>
        <w:keepNext/>
        <w:keepLines/>
        <w:tabs>
          <w:tab w:val="right" w:leader="dot" w:pos="9356"/>
        </w:tabs>
        <w:spacing w:after="0" w:line="240" w:lineRule="auto"/>
        <w:ind w:firstLine="709"/>
        <w:jc w:val="center"/>
        <w:rPr>
          <w:rFonts w:ascii="Times New Roman" w:hAnsi="Times New Roman" w:cs="Times New Roman"/>
          <w:b/>
          <w:bCs/>
          <w:iCs/>
          <w:sz w:val="32"/>
          <w:szCs w:val="32"/>
        </w:rPr>
      </w:pPr>
    </w:p>
    <w:p w14:paraId="1C5181CD" w14:textId="568D0503" w:rsidR="00A21B44" w:rsidRPr="00A21B44" w:rsidRDefault="00A21B44" w:rsidP="00A21B44">
      <w:pPr>
        <w:keepNext/>
        <w:keepLines/>
        <w:tabs>
          <w:tab w:val="right" w:leader="dot" w:pos="9356"/>
        </w:tabs>
        <w:spacing w:after="0" w:line="240" w:lineRule="auto"/>
        <w:ind w:firstLine="709"/>
        <w:jc w:val="center"/>
        <w:rPr>
          <w:rFonts w:ascii="Times New Roman" w:hAnsi="Times New Roman" w:cs="Times New Roman"/>
          <w:b/>
          <w:bCs/>
          <w:iCs/>
          <w:sz w:val="32"/>
          <w:szCs w:val="32"/>
        </w:rPr>
      </w:pPr>
      <w:r w:rsidRPr="00A21B44">
        <w:rPr>
          <w:rFonts w:ascii="Times New Roman" w:hAnsi="Times New Roman" w:cs="Times New Roman"/>
          <w:b/>
          <w:bCs/>
          <w:iCs/>
          <w:sz w:val="32"/>
          <w:szCs w:val="32"/>
        </w:rPr>
        <w:t>РОССИЙСКОЕ ОБЩЕСТВО В ТРАНСФОРМИРУЮЩЕМСЯ МИРЕ: ОТ ИСТОКОВ К СОВРЕМЕННОСТИ</w:t>
      </w:r>
    </w:p>
    <w:p w14:paraId="50540208" w14:textId="77777777" w:rsidR="009C1B85" w:rsidRPr="009C1B85" w:rsidRDefault="009C1B85" w:rsidP="009C1B85">
      <w:pPr>
        <w:suppressAutoHyphens/>
        <w:spacing w:after="0" w:line="240" w:lineRule="auto"/>
        <w:rPr>
          <w:rFonts w:ascii="Times New Roman" w:eastAsia="Aptos" w:hAnsi="Times New Roman" w:cs="Times New Roman"/>
          <w:b/>
          <w:bCs/>
          <w:sz w:val="32"/>
          <w:szCs w:val="32"/>
        </w:rPr>
      </w:pPr>
    </w:p>
    <w:p w14:paraId="24D1F424" w14:textId="77777777" w:rsidR="00CC5729" w:rsidRPr="00CC5729" w:rsidRDefault="00CC5729" w:rsidP="00CC5729">
      <w:pPr>
        <w:spacing w:after="0" w:line="279" w:lineRule="auto"/>
        <w:rPr>
          <w:rFonts w:ascii="Times New Roman" w:eastAsia="Times New Roman" w:hAnsi="Times New Roman" w:cs="Times New Roman"/>
          <w:b/>
          <w:sz w:val="21"/>
          <w:szCs w:val="21"/>
        </w:rPr>
      </w:pPr>
      <w:r w:rsidRPr="00CC5729">
        <w:rPr>
          <w:rFonts w:ascii="Times New Roman" w:eastAsia="Times New Roman" w:hAnsi="Times New Roman" w:cs="Times New Roman"/>
          <w:b/>
          <w:sz w:val="21"/>
          <w:szCs w:val="21"/>
        </w:rPr>
        <w:t>УДК 796</w:t>
      </w:r>
    </w:p>
    <w:p w14:paraId="258FDD39"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b/>
          <w:i/>
          <w:sz w:val="21"/>
          <w:szCs w:val="21"/>
        </w:rPr>
        <w:t xml:space="preserve">Амирханян А.А., </w:t>
      </w:r>
    </w:p>
    <w:p w14:paraId="1B26ACE0"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i/>
          <w:sz w:val="21"/>
          <w:szCs w:val="21"/>
        </w:rPr>
        <w:t xml:space="preserve">студент 1 курса </w:t>
      </w:r>
    </w:p>
    <w:p w14:paraId="44F0061F" w14:textId="77777777" w:rsidR="00D935A2" w:rsidRDefault="00D935A2" w:rsidP="00D935A2">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0C4D72C9"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i/>
          <w:sz w:val="21"/>
          <w:szCs w:val="21"/>
        </w:rPr>
        <w:t>г. Краснодар, Россия</w:t>
      </w:r>
    </w:p>
    <w:p w14:paraId="12392D83"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i/>
          <w:sz w:val="21"/>
          <w:szCs w:val="21"/>
        </w:rPr>
        <w:t>е-</w:t>
      </w:r>
      <w:r w:rsidRPr="00CC5729">
        <w:rPr>
          <w:rFonts w:ascii="Times New Roman" w:eastAsia="Times New Roman" w:hAnsi="Times New Roman" w:cs="Times New Roman"/>
          <w:i/>
          <w:sz w:val="21"/>
          <w:szCs w:val="21"/>
          <w:lang w:val="en-US"/>
        </w:rPr>
        <w:t>mail</w:t>
      </w:r>
      <w:r w:rsidRPr="00CC5729">
        <w:rPr>
          <w:rFonts w:ascii="Times New Roman" w:eastAsia="Times New Roman" w:hAnsi="Times New Roman" w:cs="Times New Roman"/>
          <w:i/>
          <w:sz w:val="21"/>
          <w:szCs w:val="21"/>
        </w:rPr>
        <w:t>: 100</w:t>
      </w:r>
      <w:r w:rsidRPr="00CC5729">
        <w:rPr>
          <w:rFonts w:ascii="Times New Roman" w:eastAsia="Times New Roman" w:hAnsi="Times New Roman" w:cs="Times New Roman"/>
          <w:i/>
          <w:sz w:val="21"/>
          <w:szCs w:val="21"/>
          <w:lang w:val="en-US"/>
        </w:rPr>
        <w:t>dot</w:t>
      </w:r>
      <w:r w:rsidRPr="00CC5729">
        <w:rPr>
          <w:rFonts w:ascii="Times New Roman" w:eastAsia="Times New Roman" w:hAnsi="Times New Roman" w:cs="Times New Roman"/>
          <w:i/>
          <w:sz w:val="21"/>
          <w:szCs w:val="21"/>
        </w:rPr>
        <w:t>13</w:t>
      </w:r>
      <w:r w:rsidRPr="00CC5729">
        <w:rPr>
          <w:rFonts w:ascii="Times New Roman" w:eastAsia="Times New Roman" w:hAnsi="Times New Roman" w:cs="Times New Roman"/>
          <w:i/>
          <w:sz w:val="21"/>
          <w:szCs w:val="21"/>
          <w:lang w:val="en-US"/>
        </w:rPr>
        <w:t>sl</w:t>
      </w:r>
      <w:r w:rsidRPr="00CC5729">
        <w:rPr>
          <w:rFonts w:ascii="Times New Roman" w:eastAsia="Times New Roman" w:hAnsi="Times New Roman" w:cs="Times New Roman"/>
          <w:i/>
          <w:sz w:val="21"/>
          <w:szCs w:val="21"/>
        </w:rPr>
        <w:t>240029@</w:t>
      </w:r>
      <w:r w:rsidRPr="00CC5729">
        <w:rPr>
          <w:rFonts w:ascii="Times New Roman" w:eastAsia="Times New Roman" w:hAnsi="Times New Roman" w:cs="Times New Roman"/>
          <w:i/>
          <w:sz w:val="21"/>
          <w:szCs w:val="21"/>
          <w:lang w:val="en-US"/>
        </w:rPr>
        <w:t>edu</w:t>
      </w:r>
      <w:r w:rsidRPr="00CC5729">
        <w:rPr>
          <w:rFonts w:ascii="Times New Roman" w:eastAsia="Times New Roman" w:hAnsi="Times New Roman" w:cs="Times New Roman"/>
          <w:i/>
          <w:sz w:val="21"/>
          <w:szCs w:val="21"/>
        </w:rPr>
        <w:t>.</w:t>
      </w:r>
      <w:r w:rsidRPr="00CC5729">
        <w:rPr>
          <w:rFonts w:ascii="Times New Roman" w:eastAsia="Times New Roman" w:hAnsi="Times New Roman" w:cs="Times New Roman"/>
          <w:i/>
          <w:sz w:val="21"/>
          <w:szCs w:val="21"/>
          <w:lang w:val="en-US"/>
        </w:rPr>
        <w:t>fa</w:t>
      </w:r>
      <w:r w:rsidRPr="00CC5729">
        <w:rPr>
          <w:rFonts w:ascii="Times New Roman" w:eastAsia="Times New Roman" w:hAnsi="Times New Roman" w:cs="Times New Roman"/>
          <w:i/>
          <w:sz w:val="21"/>
          <w:szCs w:val="21"/>
        </w:rPr>
        <w:t>.</w:t>
      </w:r>
      <w:r w:rsidRPr="00CC5729">
        <w:rPr>
          <w:rFonts w:ascii="Times New Roman" w:eastAsia="Times New Roman" w:hAnsi="Times New Roman" w:cs="Times New Roman"/>
          <w:i/>
          <w:sz w:val="21"/>
          <w:szCs w:val="21"/>
          <w:lang w:val="en-US"/>
        </w:rPr>
        <w:t>ru</w:t>
      </w:r>
      <w:r w:rsidRPr="00CC5729">
        <w:rPr>
          <w:rFonts w:ascii="Times New Roman" w:eastAsia="Times New Roman" w:hAnsi="Times New Roman" w:cs="Times New Roman"/>
          <w:i/>
          <w:sz w:val="21"/>
          <w:szCs w:val="21"/>
        </w:rPr>
        <w:t xml:space="preserve"> </w:t>
      </w:r>
    </w:p>
    <w:p w14:paraId="3693BFAD"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p>
    <w:p w14:paraId="5D2D1574" w14:textId="77777777" w:rsidR="00CC5729" w:rsidRPr="00CC5729" w:rsidRDefault="00CC5729" w:rsidP="00A56700">
      <w:pPr>
        <w:spacing w:after="0" w:line="240" w:lineRule="auto"/>
        <w:jc w:val="right"/>
        <w:rPr>
          <w:rFonts w:ascii="Times New Roman" w:eastAsia="Times New Roman" w:hAnsi="Times New Roman" w:cs="Times New Roman"/>
          <w:b/>
          <w:i/>
          <w:sz w:val="21"/>
          <w:szCs w:val="21"/>
        </w:rPr>
      </w:pPr>
      <w:r w:rsidRPr="00CC5729">
        <w:rPr>
          <w:rFonts w:ascii="Times New Roman" w:eastAsia="Times New Roman" w:hAnsi="Times New Roman" w:cs="Times New Roman"/>
          <w:b/>
          <w:i/>
          <w:sz w:val="21"/>
          <w:szCs w:val="21"/>
        </w:rPr>
        <w:t>Научный руководитель:</w:t>
      </w:r>
    </w:p>
    <w:p w14:paraId="259CF987" w14:textId="77777777" w:rsidR="00CC5729" w:rsidRPr="00CC5729" w:rsidRDefault="00CC5729" w:rsidP="00A56700">
      <w:pPr>
        <w:spacing w:after="0" w:line="240" w:lineRule="auto"/>
        <w:jc w:val="right"/>
        <w:rPr>
          <w:rFonts w:ascii="Times New Roman" w:eastAsia="Times New Roman" w:hAnsi="Times New Roman" w:cs="Times New Roman"/>
          <w:b/>
          <w:i/>
          <w:sz w:val="21"/>
          <w:szCs w:val="21"/>
        </w:rPr>
      </w:pPr>
      <w:r w:rsidRPr="00CC5729">
        <w:rPr>
          <w:rFonts w:ascii="Times New Roman" w:eastAsia="Times New Roman" w:hAnsi="Times New Roman" w:cs="Times New Roman"/>
          <w:b/>
          <w:i/>
          <w:sz w:val="21"/>
          <w:szCs w:val="21"/>
        </w:rPr>
        <w:t>Кирий Е.В.,</w:t>
      </w:r>
    </w:p>
    <w:p w14:paraId="121D8996"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b/>
          <w:i/>
          <w:sz w:val="21"/>
          <w:szCs w:val="21"/>
        </w:rPr>
        <w:t xml:space="preserve"> </w:t>
      </w:r>
      <w:r w:rsidRPr="00CC5729">
        <w:rPr>
          <w:rFonts w:ascii="Times New Roman" w:eastAsia="Times New Roman" w:hAnsi="Times New Roman" w:cs="Times New Roman"/>
          <w:i/>
          <w:sz w:val="21"/>
          <w:szCs w:val="21"/>
        </w:rPr>
        <w:t>к.п.н. доцент кафедры</w:t>
      </w:r>
    </w:p>
    <w:p w14:paraId="1233F54B"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i/>
          <w:sz w:val="21"/>
          <w:szCs w:val="21"/>
        </w:rPr>
        <w:t>“Философия, история и право”</w:t>
      </w:r>
    </w:p>
    <w:p w14:paraId="59BC1BFC" w14:textId="77777777" w:rsidR="00177A5F" w:rsidRDefault="00177A5F" w:rsidP="00177A5F">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48E3C33" w14:textId="77777777" w:rsidR="00CC5729" w:rsidRPr="00CC5729" w:rsidRDefault="00CC5729" w:rsidP="00A56700">
      <w:pPr>
        <w:spacing w:after="0" w:line="240" w:lineRule="auto"/>
        <w:jc w:val="right"/>
        <w:rPr>
          <w:rFonts w:ascii="Times New Roman" w:eastAsia="Times New Roman" w:hAnsi="Times New Roman" w:cs="Times New Roman"/>
          <w:i/>
          <w:sz w:val="21"/>
          <w:szCs w:val="21"/>
        </w:rPr>
      </w:pPr>
      <w:r w:rsidRPr="00CC5729">
        <w:rPr>
          <w:rFonts w:ascii="Times New Roman" w:eastAsia="Times New Roman" w:hAnsi="Times New Roman" w:cs="Times New Roman"/>
          <w:i/>
          <w:sz w:val="21"/>
          <w:szCs w:val="21"/>
        </w:rPr>
        <w:t>г. Краснодар, Россия</w:t>
      </w:r>
    </w:p>
    <w:p w14:paraId="0FA870BC"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x-none"/>
        </w:rPr>
      </w:pPr>
      <w:r w:rsidRPr="00CC5729">
        <w:rPr>
          <w:rFonts w:ascii="Times New Roman" w:eastAsia="Times New Roman" w:hAnsi="Times New Roman" w:cs="Times New Roman"/>
          <w:i/>
          <w:sz w:val="21"/>
          <w:szCs w:val="21"/>
        </w:rPr>
        <w:t>е-</w:t>
      </w:r>
      <w:r w:rsidRPr="00CC5729">
        <w:rPr>
          <w:rFonts w:ascii="Times New Roman" w:eastAsia="Times New Roman" w:hAnsi="Times New Roman" w:cs="Times New Roman"/>
          <w:i/>
          <w:sz w:val="21"/>
          <w:szCs w:val="21"/>
          <w:lang w:val="en-US"/>
        </w:rPr>
        <w:t>mail</w:t>
      </w:r>
      <w:r w:rsidRPr="00CC5729">
        <w:rPr>
          <w:rFonts w:ascii="Times New Roman" w:eastAsia="Times New Roman" w:hAnsi="Times New Roman" w:cs="Times New Roman"/>
          <w:i/>
          <w:sz w:val="21"/>
          <w:szCs w:val="21"/>
        </w:rPr>
        <w:t>: evkirij@fa.ru</w:t>
      </w:r>
      <w:r w:rsidRPr="00CC5729">
        <w:rPr>
          <w:rFonts w:ascii="Times New Roman" w:eastAsia="Times New Roman" w:hAnsi="Times New Roman" w:cs="Times New Roman"/>
          <w:i/>
          <w:sz w:val="21"/>
          <w:szCs w:val="21"/>
          <w:lang w:val="x-none"/>
        </w:rPr>
        <w:t xml:space="preserve"> </w:t>
      </w:r>
    </w:p>
    <w:p w14:paraId="4BF987AE" w14:textId="77777777" w:rsidR="00CC5729" w:rsidRPr="00CC5729" w:rsidRDefault="00CC5729" w:rsidP="00A56700">
      <w:pPr>
        <w:spacing w:after="0" w:line="240" w:lineRule="auto"/>
        <w:rPr>
          <w:rFonts w:ascii="Times New Roman" w:eastAsia="Times New Roman" w:hAnsi="Times New Roman" w:cs="Times New Roman"/>
          <w:b/>
          <w:sz w:val="21"/>
          <w:szCs w:val="21"/>
        </w:rPr>
      </w:pPr>
    </w:p>
    <w:p w14:paraId="3ED6FE92" w14:textId="77777777" w:rsidR="00CC5729" w:rsidRPr="00CC5729" w:rsidRDefault="00CC5729" w:rsidP="00A56700">
      <w:pPr>
        <w:spacing w:after="0" w:line="240" w:lineRule="auto"/>
        <w:rPr>
          <w:rFonts w:ascii="Times New Roman" w:eastAsia="Times New Roman" w:hAnsi="Times New Roman" w:cs="Times New Roman"/>
          <w:b/>
          <w:sz w:val="21"/>
          <w:szCs w:val="21"/>
        </w:rPr>
      </w:pPr>
      <w:r w:rsidRPr="00CC5729">
        <w:rPr>
          <w:rFonts w:ascii="Times New Roman" w:eastAsia="Times New Roman" w:hAnsi="Times New Roman" w:cs="Times New Roman"/>
          <w:b/>
          <w:sz w:val="21"/>
          <w:szCs w:val="21"/>
        </w:rPr>
        <w:t>Групповая динамика: как взаимодействие в команде способствует улучшению физической формы</w:t>
      </w:r>
    </w:p>
    <w:p w14:paraId="58F0F124" w14:textId="77777777" w:rsidR="00CC5729" w:rsidRPr="00CC5729" w:rsidRDefault="00CC5729" w:rsidP="00A56700">
      <w:pPr>
        <w:spacing w:after="0" w:line="240" w:lineRule="auto"/>
        <w:rPr>
          <w:rFonts w:ascii="Times New Roman" w:eastAsia="Times New Roman" w:hAnsi="Times New Roman" w:cs="Times New Roman"/>
          <w:i/>
          <w:sz w:val="21"/>
          <w:szCs w:val="21"/>
        </w:rPr>
      </w:pPr>
    </w:p>
    <w:p w14:paraId="2E5FE492" w14:textId="77777777" w:rsidR="00CC5729" w:rsidRPr="00CC5729" w:rsidRDefault="00CC5729" w:rsidP="00A56700">
      <w:pPr>
        <w:spacing w:after="0" w:line="240" w:lineRule="auto"/>
        <w:ind w:firstLine="709"/>
        <w:jc w:val="both"/>
        <w:rPr>
          <w:rFonts w:ascii="Times New Roman" w:eastAsia="Times New Roman" w:hAnsi="Times New Roman" w:cs="Times New Roman"/>
          <w:sz w:val="21"/>
          <w:szCs w:val="21"/>
        </w:rPr>
      </w:pPr>
      <w:r w:rsidRPr="00CC5729">
        <w:rPr>
          <w:rFonts w:ascii="Times New Roman" w:eastAsia="Times New Roman" w:hAnsi="Times New Roman" w:cs="Times New Roman"/>
          <w:b/>
          <w:sz w:val="21"/>
          <w:szCs w:val="21"/>
        </w:rPr>
        <w:t>Аннотация:</w:t>
      </w:r>
      <w:r w:rsidRPr="00CC5729">
        <w:rPr>
          <w:rFonts w:ascii="Times New Roman" w:eastAsia="Times New Roman" w:hAnsi="Times New Roman" w:cs="Times New Roman"/>
          <w:sz w:val="21"/>
          <w:szCs w:val="21"/>
        </w:rPr>
        <w:t xml:space="preserve"> В работе ставится задача определить влияние групповой динамики на мотивацию и воспринимаемую физическую форму студентов через анкетирование. Исследуется, как взаимодействие в команде способствует регулярности занятий и улучшению психоэмоционального состояния.</w:t>
      </w:r>
    </w:p>
    <w:p w14:paraId="2FD07D7F" w14:textId="77777777" w:rsidR="00CC5729" w:rsidRPr="00CC5729" w:rsidRDefault="00CC5729" w:rsidP="00A56700">
      <w:pPr>
        <w:spacing w:after="0" w:line="240" w:lineRule="auto"/>
        <w:ind w:firstLine="709"/>
        <w:jc w:val="both"/>
        <w:rPr>
          <w:rFonts w:ascii="Times New Roman" w:eastAsia="Times New Roman" w:hAnsi="Times New Roman" w:cs="Times New Roman"/>
          <w:sz w:val="21"/>
          <w:szCs w:val="21"/>
        </w:rPr>
      </w:pPr>
      <w:r w:rsidRPr="00CC5729">
        <w:rPr>
          <w:rFonts w:ascii="Times New Roman" w:eastAsia="Times New Roman" w:hAnsi="Times New Roman" w:cs="Times New Roman"/>
          <w:b/>
          <w:sz w:val="21"/>
          <w:szCs w:val="21"/>
        </w:rPr>
        <w:t>Ключевые слова:</w:t>
      </w:r>
      <w:r w:rsidRPr="00CC5729">
        <w:rPr>
          <w:rFonts w:ascii="Times New Roman" w:eastAsia="Times New Roman" w:hAnsi="Times New Roman" w:cs="Times New Roman"/>
          <w:sz w:val="21"/>
          <w:szCs w:val="21"/>
        </w:rPr>
        <w:t xml:space="preserve"> групповая динамика, физическая форма, социальная поддержка, командный спорт, социальная поддержка, мотивация.</w:t>
      </w:r>
    </w:p>
    <w:p w14:paraId="6C6B3D69" w14:textId="77777777" w:rsidR="00CC5729" w:rsidRPr="00CC5729" w:rsidRDefault="00CC5729" w:rsidP="00A56700">
      <w:pPr>
        <w:spacing w:after="0" w:line="240" w:lineRule="auto"/>
        <w:rPr>
          <w:rFonts w:ascii="Times New Roman" w:eastAsia="Times New Roman" w:hAnsi="Times New Roman" w:cs="Times New Roman"/>
          <w:sz w:val="21"/>
          <w:szCs w:val="21"/>
        </w:rPr>
      </w:pPr>
    </w:p>
    <w:p w14:paraId="691FE1E6" w14:textId="77777777" w:rsidR="00CC5729" w:rsidRPr="00CC5729" w:rsidRDefault="00CC5729" w:rsidP="00A56700">
      <w:pPr>
        <w:spacing w:after="0" w:line="240" w:lineRule="auto"/>
        <w:jc w:val="right"/>
        <w:rPr>
          <w:rFonts w:ascii="Times New Roman" w:eastAsia="Times New Roman" w:hAnsi="Times New Roman" w:cs="Times New Roman"/>
          <w:b/>
          <w:i/>
          <w:sz w:val="21"/>
          <w:szCs w:val="21"/>
          <w:lang w:val="en-US"/>
        </w:rPr>
      </w:pPr>
      <w:r w:rsidRPr="00CC5729">
        <w:rPr>
          <w:rFonts w:ascii="Times New Roman" w:eastAsia="Times New Roman" w:hAnsi="Times New Roman" w:cs="Times New Roman"/>
          <w:b/>
          <w:i/>
          <w:sz w:val="21"/>
          <w:szCs w:val="21"/>
          <w:lang w:val="en-US"/>
        </w:rPr>
        <w:t>Amirkhanyan A.A.,</w:t>
      </w:r>
    </w:p>
    <w:p w14:paraId="072A1F08" w14:textId="77777777" w:rsidR="00CC5729" w:rsidRPr="00CC5729" w:rsidRDefault="00CC5729" w:rsidP="00A56700">
      <w:pPr>
        <w:spacing w:after="0" w:line="240" w:lineRule="auto"/>
        <w:jc w:val="right"/>
        <w:rPr>
          <w:rFonts w:ascii="Times New Roman" w:eastAsia="Times New Roman" w:hAnsi="Times New Roman" w:cs="Times New Roman"/>
          <w:b/>
          <w:i/>
          <w:sz w:val="21"/>
          <w:szCs w:val="21"/>
          <w:lang w:val="en-US"/>
        </w:rPr>
      </w:pPr>
      <w:r w:rsidRPr="00CC5729">
        <w:rPr>
          <w:rFonts w:ascii="Times New Roman" w:eastAsia="Times New Roman" w:hAnsi="Times New Roman" w:cs="Times New Roman"/>
          <w:i/>
          <w:sz w:val="21"/>
          <w:szCs w:val="21"/>
          <w:lang w:val="en-US"/>
        </w:rPr>
        <w:t>student, first courses</w:t>
      </w:r>
      <w:r w:rsidRPr="00CC5729">
        <w:rPr>
          <w:rFonts w:ascii="Times New Roman" w:eastAsia="Times New Roman" w:hAnsi="Times New Roman" w:cs="Times New Roman"/>
          <w:b/>
          <w:i/>
          <w:sz w:val="21"/>
          <w:szCs w:val="21"/>
          <w:lang w:val="en-US"/>
        </w:rPr>
        <w:t xml:space="preserve"> </w:t>
      </w:r>
    </w:p>
    <w:p w14:paraId="75F52DA6"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x-none"/>
        </w:rPr>
      </w:pPr>
      <w:r w:rsidRPr="00CC5729">
        <w:rPr>
          <w:rFonts w:ascii="Times New Roman" w:eastAsia="Times New Roman" w:hAnsi="Times New Roman" w:cs="Times New Roman"/>
          <w:i/>
          <w:sz w:val="21"/>
          <w:szCs w:val="21"/>
          <w:lang w:val="x-none"/>
        </w:rPr>
        <w:t>Financial University under the Government of the Russian Federation (Krasnodar branch)</w:t>
      </w:r>
    </w:p>
    <w:p w14:paraId="59E53EE7"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en-US"/>
        </w:rPr>
      </w:pPr>
      <w:r w:rsidRPr="00CC5729">
        <w:rPr>
          <w:rFonts w:ascii="Times New Roman" w:eastAsia="Times New Roman" w:hAnsi="Times New Roman" w:cs="Times New Roman"/>
          <w:i/>
          <w:sz w:val="21"/>
          <w:szCs w:val="21"/>
          <w:lang w:val="en-US"/>
        </w:rPr>
        <w:t>Krasnodar, Russia</w:t>
      </w:r>
    </w:p>
    <w:p w14:paraId="4AAAF8A9"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en-US"/>
        </w:rPr>
      </w:pPr>
      <w:r w:rsidRPr="00CC5729">
        <w:rPr>
          <w:rFonts w:ascii="Times New Roman" w:eastAsia="Times New Roman" w:hAnsi="Times New Roman" w:cs="Times New Roman"/>
          <w:i/>
          <w:sz w:val="21"/>
          <w:szCs w:val="21"/>
        </w:rPr>
        <w:t>е</w:t>
      </w:r>
      <w:r w:rsidRPr="00C30970">
        <w:rPr>
          <w:rFonts w:ascii="Times New Roman" w:eastAsia="Times New Roman" w:hAnsi="Times New Roman" w:cs="Times New Roman"/>
          <w:i/>
          <w:sz w:val="21"/>
          <w:szCs w:val="21"/>
          <w:lang w:val="en-US"/>
        </w:rPr>
        <w:t>-</w:t>
      </w:r>
      <w:r w:rsidRPr="00CC5729">
        <w:rPr>
          <w:rFonts w:ascii="Times New Roman" w:eastAsia="Times New Roman" w:hAnsi="Times New Roman" w:cs="Times New Roman"/>
          <w:i/>
          <w:sz w:val="21"/>
          <w:szCs w:val="21"/>
          <w:lang w:val="en-US"/>
        </w:rPr>
        <w:t>mail</w:t>
      </w:r>
      <w:r w:rsidRPr="00C30970">
        <w:rPr>
          <w:rFonts w:ascii="Times New Roman" w:eastAsia="Times New Roman" w:hAnsi="Times New Roman" w:cs="Times New Roman"/>
          <w:i/>
          <w:sz w:val="21"/>
          <w:szCs w:val="21"/>
          <w:lang w:val="en-US"/>
        </w:rPr>
        <w:t>:</w:t>
      </w:r>
      <w:r w:rsidRPr="00CC5729">
        <w:rPr>
          <w:rFonts w:ascii="Times New Roman" w:eastAsia="Times New Roman" w:hAnsi="Times New Roman" w:cs="Times New Roman"/>
          <w:i/>
          <w:sz w:val="21"/>
          <w:szCs w:val="21"/>
          <w:lang w:val="en-US"/>
        </w:rPr>
        <w:t xml:space="preserve"> 100dot13sl240029@edu.fa.ru  </w:t>
      </w:r>
    </w:p>
    <w:p w14:paraId="1C1255F2"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en-US"/>
        </w:rPr>
      </w:pPr>
    </w:p>
    <w:p w14:paraId="0677E3A2" w14:textId="77777777" w:rsidR="00CC5729" w:rsidRPr="00CC5729" w:rsidRDefault="00CC5729" w:rsidP="00A56700">
      <w:pPr>
        <w:spacing w:after="0" w:line="240" w:lineRule="auto"/>
        <w:jc w:val="right"/>
        <w:rPr>
          <w:rFonts w:ascii="Times New Roman" w:eastAsia="Times New Roman" w:hAnsi="Times New Roman" w:cs="Times New Roman"/>
          <w:b/>
          <w:i/>
          <w:sz w:val="21"/>
          <w:szCs w:val="21"/>
          <w:lang w:val="en-US"/>
        </w:rPr>
      </w:pPr>
      <w:r w:rsidRPr="00CC5729">
        <w:rPr>
          <w:rFonts w:ascii="Times New Roman" w:eastAsia="Times New Roman" w:hAnsi="Times New Roman" w:cs="Times New Roman"/>
          <w:b/>
          <w:i/>
          <w:sz w:val="21"/>
          <w:szCs w:val="21"/>
          <w:lang w:val="en-US"/>
        </w:rPr>
        <w:t>Scientific Adviser:</w:t>
      </w:r>
    </w:p>
    <w:p w14:paraId="4064729A" w14:textId="77777777" w:rsidR="00CC5729" w:rsidRPr="00CC5729" w:rsidRDefault="00CC5729" w:rsidP="00A56700">
      <w:pPr>
        <w:spacing w:after="0" w:line="240" w:lineRule="auto"/>
        <w:jc w:val="right"/>
        <w:rPr>
          <w:rFonts w:ascii="Times New Roman" w:eastAsia="Times New Roman" w:hAnsi="Times New Roman" w:cs="Times New Roman"/>
          <w:b/>
          <w:i/>
          <w:sz w:val="21"/>
          <w:szCs w:val="21"/>
          <w:lang w:val="en-US"/>
        </w:rPr>
      </w:pPr>
      <w:r w:rsidRPr="00CC5729">
        <w:rPr>
          <w:rFonts w:ascii="Times New Roman" w:eastAsia="Times New Roman" w:hAnsi="Times New Roman" w:cs="Times New Roman"/>
          <w:b/>
          <w:i/>
          <w:sz w:val="21"/>
          <w:szCs w:val="21"/>
          <w:lang w:val="en-US"/>
        </w:rPr>
        <w:t xml:space="preserve">Kiry E.V., </w:t>
      </w:r>
    </w:p>
    <w:p w14:paraId="688D52FD" w14:textId="77777777" w:rsidR="00CC5729" w:rsidRPr="00CC5729" w:rsidRDefault="00CC5729" w:rsidP="00A56700">
      <w:pPr>
        <w:spacing w:after="0" w:line="240" w:lineRule="auto"/>
        <w:jc w:val="right"/>
        <w:rPr>
          <w:rFonts w:ascii="Times New Roman" w:eastAsia="Times New Roman" w:hAnsi="Times New Roman" w:cs="Times New Roman"/>
          <w:i/>
          <w:iCs/>
          <w:sz w:val="21"/>
          <w:szCs w:val="21"/>
          <w:lang w:val="en-US"/>
        </w:rPr>
      </w:pPr>
      <w:r w:rsidRPr="00CC5729">
        <w:rPr>
          <w:rFonts w:ascii="Times New Roman" w:eastAsia="Times New Roman" w:hAnsi="Times New Roman" w:cs="Times New Roman"/>
          <w:i/>
          <w:iCs/>
          <w:sz w:val="21"/>
          <w:szCs w:val="21"/>
          <w:lang w:val="en-US"/>
        </w:rPr>
        <w:t xml:space="preserve">Associate Professor of the Department of Philosophy, History and Law </w:t>
      </w:r>
    </w:p>
    <w:p w14:paraId="10B593F9" w14:textId="77777777" w:rsidR="00CC5729" w:rsidRPr="00CC5729" w:rsidRDefault="00CC5729" w:rsidP="00A56700">
      <w:pPr>
        <w:spacing w:after="0" w:line="240" w:lineRule="auto"/>
        <w:jc w:val="right"/>
        <w:rPr>
          <w:rFonts w:ascii="Times New Roman" w:eastAsia="Times New Roman" w:hAnsi="Times New Roman" w:cs="Times New Roman"/>
          <w:i/>
          <w:iCs/>
          <w:sz w:val="21"/>
          <w:szCs w:val="21"/>
          <w:lang w:val="en-US"/>
        </w:rPr>
      </w:pPr>
      <w:r w:rsidRPr="00CC5729">
        <w:rPr>
          <w:rFonts w:ascii="Times New Roman" w:eastAsia="Times New Roman" w:hAnsi="Times New Roman" w:cs="Times New Roman"/>
          <w:i/>
          <w:iCs/>
          <w:sz w:val="21"/>
          <w:szCs w:val="21"/>
          <w:lang w:val="en-US"/>
        </w:rPr>
        <w:t>Financial University under the Government of the Russian Federation (Krasnodar branch)</w:t>
      </w:r>
    </w:p>
    <w:p w14:paraId="20FA65B1"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en-US"/>
        </w:rPr>
      </w:pPr>
      <w:r w:rsidRPr="00CC5729">
        <w:rPr>
          <w:rFonts w:ascii="Times New Roman" w:eastAsia="Times New Roman" w:hAnsi="Times New Roman" w:cs="Times New Roman"/>
          <w:i/>
          <w:sz w:val="21"/>
          <w:szCs w:val="21"/>
          <w:lang w:val="en-US"/>
        </w:rPr>
        <w:t>Krasnodar, Russia</w:t>
      </w:r>
    </w:p>
    <w:p w14:paraId="411BED8D" w14:textId="77777777" w:rsidR="00CC5729" w:rsidRPr="00CC5729" w:rsidRDefault="00CC5729" w:rsidP="00A56700">
      <w:pPr>
        <w:spacing w:after="0" w:line="240" w:lineRule="auto"/>
        <w:jc w:val="right"/>
        <w:rPr>
          <w:rFonts w:ascii="Times New Roman" w:eastAsia="Times New Roman" w:hAnsi="Times New Roman" w:cs="Times New Roman"/>
          <w:i/>
          <w:sz w:val="21"/>
          <w:szCs w:val="21"/>
          <w:lang w:val="x-none"/>
        </w:rPr>
      </w:pPr>
      <w:r w:rsidRPr="00CC5729">
        <w:rPr>
          <w:rFonts w:ascii="Times New Roman" w:eastAsia="Times New Roman" w:hAnsi="Times New Roman" w:cs="Times New Roman"/>
          <w:i/>
          <w:sz w:val="21"/>
          <w:szCs w:val="21"/>
        </w:rPr>
        <w:t>е</w:t>
      </w:r>
      <w:r w:rsidRPr="00CC5729">
        <w:rPr>
          <w:rFonts w:ascii="Times New Roman" w:eastAsia="Times New Roman" w:hAnsi="Times New Roman" w:cs="Times New Roman"/>
          <w:i/>
          <w:sz w:val="21"/>
          <w:szCs w:val="21"/>
          <w:lang w:val="en-US"/>
        </w:rPr>
        <w:t>-mail: evkirij@fa.ru</w:t>
      </w:r>
      <w:r w:rsidRPr="00CC5729">
        <w:rPr>
          <w:rFonts w:ascii="Times New Roman" w:eastAsia="Times New Roman" w:hAnsi="Times New Roman" w:cs="Times New Roman"/>
          <w:i/>
          <w:sz w:val="21"/>
          <w:szCs w:val="21"/>
          <w:lang w:val="x-none"/>
        </w:rPr>
        <w:t xml:space="preserve"> </w:t>
      </w:r>
    </w:p>
    <w:p w14:paraId="6775012D" w14:textId="77777777" w:rsidR="00CC5729" w:rsidRPr="00CC5729" w:rsidRDefault="00CC5729" w:rsidP="00A56700">
      <w:pPr>
        <w:spacing w:after="0" w:line="240" w:lineRule="auto"/>
        <w:rPr>
          <w:rFonts w:ascii="Times New Roman" w:eastAsia="Times New Roman" w:hAnsi="Times New Roman" w:cs="Times New Roman"/>
          <w:i/>
          <w:sz w:val="21"/>
          <w:szCs w:val="21"/>
          <w:lang w:val="x-none"/>
        </w:rPr>
      </w:pPr>
    </w:p>
    <w:p w14:paraId="0EBB1C14" w14:textId="77777777" w:rsidR="00CC5729" w:rsidRPr="00CC5729" w:rsidRDefault="00CC5729" w:rsidP="00A56700">
      <w:pPr>
        <w:spacing w:after="0" w:line="240" w:lineRule="auto"/>
        <w:jc w:val="center"/>
        <w:rPr>
          <w:rFonts w:ascii="Times New Roman" w:eastAsia="Times New Roman" w:hAnsi="Times New Roman" w:cs="Times New Roman"/>
          <w:b/>
          <w:sz w:val="21"/>
          <w:szCs w:val="21"/>
          <w:lang w:val="en-US"/>
        </w:rPr>
      </w:pPr>
      <w:r w:rsidRPr="00CC5729">
        <w:rPr>
          <w:rFonts w:ascii="Times New Roman" w:eastAsia="Times New Roman" w:hAnsi="Times New Roman" w:cs="Times New Roman"/>
          <w:b/>
          <w:sz w:val="21"/>
          <w:szCs w:val="21"/>
          <w:lang w:val="en-US"/>
        </w:rPr>
        <w:t>Group Dynamics: How Teamwork Can Improve Fitness</w:t>
      </w:r>
    </w:p>
    <w:p w14:paraId="3B30E0FD" w14:textId="77777777" w:rsidR="00CC5729" w:rsidRPr="00CC5729" w:rsidRDefault="00CC5729" w:rsidP="00A56700">
      <w:pPr>
        <w:spacing w:after="0" w:line="240" w:lineRule="auto"/>
        <w:rPr>
          <w:rFonts w:ascii="Times New Roman" w:eastAsia="Times New Roman" w:hAnsi="Times New Roman" w:cs="Times New Roman"/>
          <w:b/>
          <w:bCs/>
          <w:sz w:val="21"/>
          <w:szCs w:val="21"/>
          <w:lang w:val="x-none"/>
        </w:rPr>
      </w:pPr>
    </w:p>
    <w:p w14:paraId="5D342CD0" w14:textId="77777777" w:rsidR="00CC5729" w:rsidRPr="00CC5729" w:rsidRDefault="00CC5729" w:rsidP="00A56700">
      <w:pPr>
        <w:spacing w:after="0" w:line="240" w:lineRule="auto"/>
        <w:ind w:firstLine="709"/>
        <w:jc w:val="both"/>
        <w:rPr>
          <w:rFonts w:ascii="Times New Roman" w:eastAsia="Times New Roman" w:hAnsi="Times New Roman" w:cs="Times New Roman"/>
          <w:sz w:val="21"/>
          <w:szCs w:val="21"/>
          <w:lang w:val="en-US"/>
        </w:rPr>
      </w:pPr>
      <w:r w:rsidRPr="00CC5729">
        <w:rPr>
          <w:rFonts w:ascii="Times New Roman" w:eastAsia="Times New Roman" w:hAnsi="Times New Roman" w:cs="Times New Roman"/>
          <w:b/>
          <w:bCs/>
          <w:sz w:val="21"/>
          <w:szCs w:val="21"/>
          <w:lang w:val="x-none"/>
        </w:rPr>
        <w:t>Abstract</w:t>
      </w:r>
      <w:r w:rsidRPr="00CC5729">
        <w:rPr>
          <w:rFonts w:ascii="Times New Roman" w:eastAsia="Times New Roman" w:hAnsi="Times New Roman" w:cs="Times New Roman"/>
          <w:b/>
          <w:bCs/>
          <w:sz w:val="21"/>
          <w:szCs w:val="21"/>
          <w:lang w:val="en-US"/>
        </w:rPr>
        <w:t xml:space="preserve">: </w:t>
      </w:r>
      <w:r w:rsidRPr="00CC5729">
        <w:rPr>
          <w:rFonts w:ascii="Times New Roman" w:eastAsia="Times New Roman" w:hAnsi="Times New Roman" w:cs="Times New Roman"/>
          <w:sz w:val="21"/>
          <w:szCs w:val="21"/>
          <w:lang w:val="en-US"/>
        </w:rPr>
        <w:t xml:space="preserve">The article aims to determine the influence of group dynamics on students' motivation and perceived physical fitness through questionnaires. It examines how teamwork contributes to regularity of classes and improvement of psycho-emotional state. </w:t>
      </w:r>
    </w:p>
    <w:p w14:paraId="35A81EC6" w14:textId="77777777" w:rsidR="00CC5729" w:rsidRPr="00CC5729" w:rsidRDefault="00CC5729" w:rsidP="00A56700">
      <w:pPr>
        <w:spacing w:after="0" w:line="240" w:lineRule="auto"/>
        <w:ind w:firstLine="709"/>
        <w:jc w:val="both"/>
        <w:rPr>
          <w:rFonts w:ascii="Times New Roman" w:eastAsia="Times New Roman" w:hAnsi="Times New Roman" w:cs="Times New Roman"/>
          <w:b/>
          <w:bCs/>
          <w:sz w:val="21"/>
          <w:szCs w:val="21"/>
          <w:lang w:val="en-US"/>
        </w:rPr>
      </w:pPr>
      <w:r w:rsidRPr="00CC5729">
        <w:rPr>
          <w:rFonts w:ascii="Times New Roman" w:eastAsia="Times New Roman" w:hAnsi="Times New Roman" w:cs="Times New Roman"/>
          <w:b/>
          <w:sz w:val="21"/>
          <w:szCs w:val="21"/>
          <w:lang w:val="en-US"/>
        </w:rPr>
        <w:t>Keywords:</w:t>
      </w:r>
      <w:r w:rsidRPr="00CC5729">
        <w:rPr>
          <w:rFonts w:ascii="Times New Roman" w:eastAsia="Times New Roman" w:hAnsi="Times New Roman" w:cs="Times New Roman"/>
          <w:sz w:val="21"/>
          <w:szCs w:val="21"/>
          <w:lang w:val="en-US"/>
        </w:rPr>
        <w:t xml:space="preserve"> group dynamics, physical fitness, social support, team sports, social support, motivation.</w:t>
      </w:r>
    </w:p>
    <w:p w14:paraId="0DB16B66"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lang w:val="en-US"/>
        </w:rPr>
      </w:pPr>
    </w:p>
    <w:p w14:paraId="6A71D6E2"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Физическая активность играет ключевую роль в поддержании здоровья и благополучия человека. Однако многие люди сталкиваются с трудностями в поддержании регулярных тренировок, что может быть связано с недостатком мотивации, отсутствием поддержки или </w:t>
      </w:r>
      <w:r w:rsidRPr="00CC5729">
        <w:rPr>
          <w:rFonts w:ascii="Times New Roman" w:eastAsia="Times New Roman" w:hAnsi="Times New Roman" w:cs="Times New Roman"/>
          <w:sz w:val="32"/>
          <w:szCs w:val="32"/>
        </w:rPr>
        <w:lastRenderedPageBreak/>
        <w:t xml:space="preserve">монотонностью индивидуальных занятий. Групповая динамика, включающая взаимодействие в команде, предлагает альтернативный подход, который может сделать процесс тренировок более увлекательным и эффективным. </w:t>
      </w:r>
    </w:p>
    <w:p w14:paraId="2C4D8A19"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Данное исследование посвящено изучению влияния групповой динамики на мотивацию, удовольствие и воспринимаемую физическую форму студентов. Особое внимание уделяется сравнению групповых и индивидуальных тренировок, чтобы выявить, какие факторы способствуют большей вовлеченности и эффективности занятий спортом. </w:t>
      </w:r>
    </w:p>
    <w:p w14:paraId="35B7AD6F"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Актуальность работы обусловлена необходимостью разработки подходов, которые помогут молодым людям преодолевать барьеры, связанные с недостатком мотивации, и интегрировать физическую активность в повседневную жизнь. Студенты, как группа, особенно нуждаются в таких решениях, поскольку их образ жизни часто связан с сидячей учебной деятельностью, что повышает риск гиподинамии и связанных с ней проблем, таких как стресс, тревожность и снижение физической формы.</w:t>
      </w:r>
    </w:p>
    <w:p w14:paraId="628558AF"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Современные исследования подчеркивают важность социальных факторов в физической активности. Например, по статистике почти 40% регулярных занимающихся участвуют в групповых фитнес-классах. [1]</w:t>
      </w:r>
    </w:p>
    <w:p w14:paraId="30A817DA"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В соответствие с поставленной задачей были определены объект исследования, предмет и выведена сама цель исследования.</w:t>
      </w:r>
    </w:p>
    <w:p w14:paraId="3BA7DDB6"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Объект исследования – процесс формирования мотивации и восприятия физической формы у студентов университета в условиях групповых и индивидуальных тренировок.</w:t>
      </w:r>
    </w:p>
    <w:p w14:paraId="31F16EF4"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Предмет исследования – психоэмоциональное состояние и мотивационные аспекты студентов в возрасте 18–24 лет, занимающихся физической активностью в групповом или индивидуальном формате.</w:t>
      </w:r>
    </w:p>
    <w:p w14:paraId="163A4655"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Цель исследования – определить влияние групповой динамики на уровень мотивации, удовольствия и воспринимаемой физической формы студентов, а также выявить роль социальной поддержки в регулярности занятий спортом.</w:t>
      </w:r>
    </w:p>
    <w:p w14:paraId="54A8ED7D"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Для начала стоит изучить само определение и каким образом оно может быть реализовано: групповая динамика — это процессы и взаимодействия между членами группы, которые могут включать </w:t>
      </w:r>
      <w:r w:rsidRPr="00CC5729">
        <w:rPr>
          <w:rFonts w:ascii="Times New Roman" w:eastAsia="Times New Roman" w:hAnsi="Times New Roman" w:cs="Times New Roman"/>
          <w:sz w:val="32"/>
          <w:szCs w:val="32"/>
        </w:rPr>
        <w:lastRenderedPageBreak/>
        <w:t xml:space="preserve">элементы социальной поддержки, соревнования, сотрудничества и чувства принадлежности. </w:t>
      </w:r>
    </w:p>
    <w:p w14:paraId="6FABC09B"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Групповая динамика также включает элементы социальной поддержки, соревнования, сотрудничества и чувства принадлежности, которые могут значительно влиять на поведение и результаты занятий спортом.</w:t>
      </w:r>
    </w:p>
    <w:p w14:paraId="2B08DF3D"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В контексте физической активности эти элементы могут значительно влиять на поведение и результаты занятий спортом. Исследования показывают, что групповые занятия могут увеличивать внутреннюю мотивацию, делая процесс тренировок более приятным и удовлетворительным. [2]</w:t>
      </w:r>
    </w:p>
    <w:p w14:paraId="0E68F46A"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Исследования групповой динамики в контексте физической активности берут начало в середине XX века, когда психологи и социологи начали изучать влияние социальных взаимодействий на поведение и мотивацию. Одним из пионеров в этой области был Курт Левин, который в 1940-х годах ввел понятие «групповая динамика» для описания процессов взаимодействия внутри групп и их влияния на индивидуальное поведение. Левин подчеркивал, что групповая среда может усиливать мотивацию и изменять поведение благодаря социальным нормам и поддержке.</w:t>
      </w:r>
    </w:p>
    <w:p w14:paraId="6B754465"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Групповые занятия предоставляют социальную поддержку, которая способствует удовлетворению психологических потребностей в автономии, мастерстве и связанности, что важно для долгосрочного соблюдения физической активности. [3]</w:t>
      </w:r>
    </w:p>
    <w:p w14:paraId="0CCDD83F"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Кроме того, групповые занятия могут способствовать формированию привычек, так как другие участники могут выступать в роли стимулов и поощрений для регулярных тренировок, что повышает самоэффективность и последовательность. Это особенно важно для достижения и поддержания улучшений в физической форме. </w:t>
      </w:r>
    </w:p>
    <w:p w14:paraId="4FED9E9C"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ab/>
        <w:t>Для практической проверки влияния данного фактора на физическую форму людей было принято решение провести самостоятельное исследование. Проанализировав различные методы, был выбран подход, основанный на анкетировании, как наиболее доступный и эффективный для оценки субъективных восприятий студентов, связанных с мотивацией, удовольствием и физической формой. [4]</w:t>
      </w:r>
    </w:p>
    <w:p w14:paraId="69EAA993"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lastRenderedPageBreak/>
        <w:t>Анкетирование позволило собрать данные о психологических и поведенческих аспектах тренировок, а также сравнить эффекты групповых и индивидуальных занятий.</w:t>
      </w:r>
    </w:p>
    <w:p w14:paraId="6A78639C"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Как правило, для оценки влияния групповой динамики используются анкеты и опросы, измеряющие психологические и поведенческие аспекты. Наиболее популярный метод включает в себя оценку по трём основным пунктам:</w:t>
      </w:r>
    </w:p>
    <w:p w14:paraId="27925780" w14:textId="77777777" w:rsidR="00CC5729" w:rsidRPr="00CC5729" w:rsidRDefault="00CC5729" w:rsidP="00AD58CD">
      <w:pPr>
        <w:numPr>
          <w:ilvl w:val="0"/>
          <w:numId w:val="164"/>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Анкета восприятия групповости — шкала из 6 пунктов, оценивает чувство принадлежности;</w:t>
      </w:r>
    </w:p>
    <w:p w14:paraId="34339EB2" w14:textId="77777777" w:rsidR="00CC5729" w:rsidRPr="00CC5729" w:rsidRDefault="00CC5729" w:rsidP="00AD58CD">
      <w:pPr>
        <w:numPr>
          <w:ilvl w:val="0"/>
          <w:numId w:val="164"/>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Анкета мотивации и удовольствия — оценивает удовольствие, мотивацию и частоту тренировок (шкалы 1–7);</w:t>
      </w:r>
    </w:p>
    <w:p w14:paraId="3B5BDA4C" w14:textId="77777777" w:rsidR="00CC5729" w:rsidRPr="00CC5729" w:rsidRDefault="00CC5729" w:rsidP="00AD58CD">
      <w:pPr>
        <w:numPr>
          <w:ilvl w:val="0"/>
          <w:numId w:val="164"/>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Оценка сплоченности Group Environment Questionnaire (GEQ) </w:t>
      </w:r>
      <w:proofErr w:type="gramStart"/>
      <w:r w:rsidRPr="00CC5729">
        <w:rPr>
          <w:rFonts w:ascii="Times New Roman" w:eastAsia="Times New Roman" w:hAnsi="Times New Roman" w:cs="Times New Roman"/>
          <w:sz w:val="32"/>
          <w:szCs w:val="32"/>
        </w:rPr>
        <w:t>—  измеряет</w:t>
      </w:r>
      <w:proofErr w:type="gramEnd"/>
      <w:r w:rsidRPr="00CC5729">
        <w:rPr>
          <w:rFonts w:ascii="Times New Roman" w:eastAsia="Times New Roman" w:hAnsi="Times New Roman" w:cs="Times New Roman"/>
          <w:sz w:val="32"/>
          <w:szCs w:val="32"/>
        </w:rPr>
        <w:t xml:space="preserve"> социальную и задачную сплоченность.</w:t>
      </w:r>
    </w:p>
    <w:p w14:paraId="4DD261F6"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В исследовании приняли участие 30 студентов университета в возрасте от 18 до 24 лет. Все участники занимались физической активностью (групповой или индивидуальной) не менее одного месяца до начала исследования. Исследование проводилось на базе университета, среди студентов различных направлений подготовки.</w:t>
      </w:r>
    </w:p>
    <w:p w14:paraId="1B04F7BB"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Участники были разделены на две группы:</w:t>
      </w:r>
    </w:p>
    <w:p w14:paraId="28A080D9" w14:textId="77777777" w:rsidR="00CC5729" w:rsidRPr="00CC5729" w:rsidRDefault="00CC5729" w:rsidP="00AD58CD">
      <w:pPr>
        <w:numPr>
          <w:ilvl w:val="0"/>
          <w:numId w:val="165"/>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Группа А (групповые занятия, n=13): Студенты, регулярно посещающие групповые тренировки, такие как фитнес-классы, танцы или командные виды спорта (например, волейбол, баскетбол).</w:t>
      </w:r>
    </w:p>
    <w:p w14:paraId="307BDC59" w14:textId="77777777" w:rsidR="00CC5729" w:rsidRPr="00CC5729" w:rsidRDefault="00CC5729" w:rsidP="00AD58CD">
      <w:pPr>
        <w:numPr>
          <w:ilvl w:val="0"/>
          <w:numId w:val="165"/>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Группа Б (индивидуальные занятия, n=17): Студенты, занимающиеся самостоятельно, например, бегом, тренировками в тренажерном зале или домашними упражнениями.</w:t>
      </w:r>
    </w:p>
    <w:p w14:paraId="1AC1222B"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Для сбора данных использовались следующие инструменты:</w:t>
      </w:r>
    </w:p>
    <w:p w14:paraId="7E488B4F" w14:textId="77777777" w:rsidR="00CC5729" w:rsidRPr="00CC5729" w:rsidRDefault="00CC5729" w:rsidP="00AD58CD">
      <w:pPr>
        <w:numPr>
          <w:ilvl w:val="0"/>
          <w:numId w:val="166"/>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Анкета восприятия групповости (адаптирована на основе Spink et al., 2010). Состояла из 6 вопросов, направленных на оценку чувства принадлежности к группе. Примеры вопросов: «Я чувствую себя частью команды во время тренировок», «Я ощущаю поддержку со стороны других участников». Ответы оценивались по 7-балльной шкале Ликерта (1 — совсем не согласен, 7 — полностью согласен). Эта анкета применялась только к Группе А.</w:t>
      </w:r>
    </w:p>
    <w:p w14:paraId="40153EAD" w14:textId="77777777" w:rsidR="00CC5729" w:rsidRPr="00CC5729" w:rsidRDefault="00CC5729" w:rsidP="00AD58CD">
      <w:pPr>
        <w:numPr>
          <w:ilvl w:val="0"/>
          <w:numId w:val="166"/>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Анкета мотивации и удовольствия: Включала 4 вопроса для оценки психологических и поведенческих аспектов тренировок: удовольствие от тренировок («Занятия приносят мне радость»); мотивация к продолжению («Я хочу продолжать </w:t>
      </w:r>
      <w:r w:rsidRPr="00CC5729">
        <w:rPr>
          <w:rFonts w:ascii="Times New Roman" w:eastAsia="Times New Roman" w:hAnsi="Times New Roman" w:cs="Times New Roman"/>
          <w:sz w:val="32"/>
          <w:szCs w:val="32"/>
        </w:rPr>
        <w:lastRenderedPageBreak/>
        <w:t>тренировки»); частота занятий («Как часто вы тренируетесь в неделю?»); восприятие улучшения физической формы («Я замечаю улучшения в своей физической форме»). Все вопросы оценивались по 7-балльной шкале Ликерта (1 — почти никогда, 7 — почти всегда).</w:t>
      </w:r>
    </w:p>
    <w:p w14:paraId="0A1238C2" w14:textId="77777777" w:rsidR="00CC5729" w:rsidRPr="00CC5729" w:rsidRDefault="00CC5729" w:rsidP="00AD58CD">
      <w:pPr>
        <w:numPr>
          <w:ilvl w:val="0"/>
          <w:numId w:val="166"/>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Демографические данные. Собирались сведения о поле, возрасте, типе тренировок и стаже занятий физической активностью.</w:t>
      </w:r>
    </w:p>
    <w:p w14:paraId="78183002"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Для обработки результатов ответы на вопросы анкет были проанализированы путем подсчета доли респондентов, выбравших определенные варианты ответов (например, «часто», «иногда», «почти никогда»). Сравнение ответов между Группой А и Группой Б позволило выявить различия в восприятии тренировок, мотивации и физической формы.</w:t>
      </w:r>
    </w:p>
    <w:p w14:paraId="52F6AC25"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По результатам анкетирования были получены следующие результаты:</w:t>
      </w:r>
    </w:p>
    <w:p w14:paraId="5C36E52D"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 Восприятие групповости (Группа А): большинство респондентов (80%) из Группы А высоко оценили чувство принадлежности к группе. Подавляющее большинство (84%) отметили, что чувствуют поддержку со стороны других участников, а 76% ощущают себя частью команды.</w:t>
      </w:r>
    </w:p>
    <w:p w14:paraId="4102D21A"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Удовольствие от тренировок: большинство участников Группы А (72%) часто или почти всегда испытывают удовольствие от тренировок, тогда как в Группе Б только 40% отметили высокий уровень удовольствия. Около половины респондентов Группы Б (48%) испытывают удовольствие иногда, а 20% — почти никогда.</w:t>
      </w:r>
    </w:p>
    <w:p w14:paraId="244318B9"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  Мотивация к продолжению тренировок: подавляющее большинство участников Группы А (76%) высоко мотивированы продолжать тренировки, тогда как в Группе Б только 36% отметили высокую мотивацию. В Группе Б 40% респондентов иногда мотивированы, а 24% — почти никогда.</w:t>
      </w:r>
    </w:p>
    <w:p w14:paraId="3D182C8D"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 Частота тренировок: большинство участников Группы А (68%) тренируются 3–4 раза в неделю, тогда как в Группе Б только 36% занимаются с такой частотой. В Группе Б 44% респондентов тренируются 1–2 раза в неделю, а 20% — реже одного раза.</w:t>
      </w:r>
    </w:p>
    <w:p w14:paraId="6371F1AA"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 Восприятие улучшения физической формы: большинство участников Группы А (64%) часто замечают </w:t>
      </w:r>
      <w:r w:rsidRPr="00CC5729">
        <w:rPr>
          <w:rFonts w:ascii="Times New Roman" w:eastAsia="Times New Roman" w:hAnsi="Times New Roman" w:cs="Times New Roman"/>
          <w:sz w:val="32"/>
          <w:szCs w:val="32"/>
        </w:rPr>
        <w:lastRenderedPageBreak/>
        <w:t>улучшения в физической форме, тогда как в Группе Б только 32% отмечают такие улучшения. В Группе Б 48% иногда замечают улучшения, а 20% — почти никогда.</w:t>
      </w:r>
    </w:p>
    <w:p w14:paraId="2550FBCC" w14:textId="77777777" w:rsidR="00CC5729" w:rsidRPr="00CC5729" w:rsidRDefault="00CC5729" w:rsidP="00AD58CD">
      <w:pPr>
        <w:numPr>
          <w:ilvl w:val="0"/>
          <w:numId w:val="167"/>
        </w:num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 Социальная поддержка и стресс: подавляющее большинство участников Группы А (80%) считают, что социальная поддержка мотивирует их посещать тренировки, тогда как в Группе Б только 36% разделяют это мнение. Кроме того, 68% участников Группы А отмечают, что групповые тренировки помогают справляться со стрессом, против 32% в Группе Б.</w:t>
      </w:r>
    </w:p>
    <w:p w14:paraId="2ED8904F"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 xml:space="preserve">Проанализировав результаты анкетирования, можно сделать вывод, что студенты, занимающиеся в группах, испытывают больше удовольствия и мотивации, тренируются чаще и чаще замечают улучшения в физической форме по сравнению с теми, кто занимается индивидуально. </w:t>
      </w:r>
    </w:p>
    <w:p w14:paraId="45250050"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Участники групповых занятий демонстрируют более высокую приверженность и чаще отмечают улучшения в физической форме, что согласуется с данными исследований, подчеркивающих роль социальных норм и соревнования в групповых тренировках.</w:t>
      </w:r>
    </w:p>
    <w:p w14:paraId="3789E032"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Групповая среда также способствует снижению стресса и улучшению настроения, что делает такие тренировки ценными для студентов, испытывающих учебную нагрузку. Высокое чувство принадлежности к группе в Группе А подчеркивает важность создания сплоченной атмосферы в тренировочных программах.</w:t>
      </w:r>
    </w:p>
    <w:p w14:paraId="3F6A9D8E" w14:textId="77777777" w:rsidR="00CC5729" w:rsidRPr="00CC5729" w:rsidRDefault="00CC5729" w:rsidP="00CC5729">
      <w:pPr>
        <w:spacing w:after="0" w:line="240" w:lineRule="auto"/>
        <w:ind w:firstLine="709"/>
        <w:jc w:val="both"/>
        <w:rPr>
          <w:rFonts w:ascii="Times New Roman" w:eastAsia="Times New Roman" w:hAnsi="Times New Roman" w:cs="Times New Roman"/>
          <w:sz w:val="32"/>
          <w:szCs w:val="32"/>
        </w:rPr>
      </w:pPr>
      <w:r w:rsidRPr="00CC5729">
        <w:rPr>
          <w:rFonts w:ascii="Times New Roman" w:eastAsia="Times New Roman" w:hAnsi="Times New Roman" w:cs="Times New Roman"/>
          <w:sz w:val="32"/>
          <w:szCs w:val="32"/>
        </w:rPr>
        <w:t>Таким образом, можно сделать вывод, что групповая динамика значительно улучшает физическую форму за счет повышения мотивации, удовольствия и регулярности тренировок. Результаты анкетирования 30 студентов подтверждают, что групповые занятия превосходят индивидуальные по психологическим и воспринимаемым физическим итогам. Социальная поддержка и чувство принадлежности делают тренировки более устойчивыми и привлекательными. Включение групповой динамики в программы физической активности может стать эффективной стратегией для университетов и фитнес-центров, чтобы повысить вовлеченность студентов в здоровый образ жизни.</w:t>
      </w:r>
    </w:p>
    <w:p w14:paraId="782B1DAF" w14:textId="77777777" w:rsidR="00CC5729" w:rsidRPr="00CC5729" w:rsidRDefault="00CC5729" w:rsidP="00CC5729">
      <w:pPr>
        <w:spacing w:after="0" w:line="279" w:lineRule="auto"/>
        <w:rPr>
          <w:rFonts w:ascii="Times New Roman" w:eastAsia="Times New Roman" w:hAnsi="Times New Roman" w:cs="Times New Roman"/>
          <w:sz w:val="24"/>
          <w:szCs w:val="24"/>
        </w:rPr>
      </w:pPr>
    </w:p>
    <w:p w14:paraId="291EBF42" w14:textId="77777777" w:rsidR="00CC5729" w:rsidRPr="00CC5729" w:rsidRDefault="00CC5729" w:rsidP="0077098C">
      <w:pPr>
        <w:spacing w:after="0" w:line="279" w:lineRule="auto"/>
        <w:jc w:val="center"/>
        <w:rPr>
          <w:rFonts w:ascii="Times New Roman" w:eastAsia="Times New Roman" w:hAnsi="Times New Roman" w:cs="Times New Roman"/>
          <w:b/>
          <w:sz w:val="21"/>
          <w:szCs w:val="21"/>
          <w:lang w:val="x-none"/>
        </w:rPr>
      </w:pPr>
      <w:r w:rsidRPr="00CC5729">
        <w:rPr>
          <w:rFonts w:ascii="Times New Roman" w:eastAsia="Times New Roman" w:hAnsi="Times New Roman" w:cs="Times New Roman"/>
          <w:b/>
          <w:sz w:val="21"/>
          <w:szCs w:val="21"/>
        </w:rPr>
        <w:t>Литература:</w:t>
      </w:r>
    </w:p>
    <w:p w14:paraId="1B65BF16" w14:textId="77777777" w:rsidR="00CF549C" w:rsidRDefault="00CC5729" w:rsidP="00AD58CD">
      <w:pPr>
        <w:pStyle w:val="a8"/>
        <w:numPr>
          <w:ilvl w:val="3"/>
          <w:numId w:val="163"/>
        </w:numPr>
        <w:spacing w:after="0" w:line="279" w:lineRule="auto"/>
        <w:ind w:left="284" w:hanging="284"/>
        <w:jc w:val="both"/>
        <w:rPr>
          <w:rFonts w:ascii="Times New Roman" w:eastAsia="Times New Roman" w:hAnsi="Times New Roman" w:cs="Times New Roman"/>
          <w:sz w:val="21"/>
          <w:szCs w:val="21"/>
          <w:lang w:val="x-none"/>
        </w:rPr>
      </w:pPr>
      <w:r w:rsidRPr="00CF549C">
        <w:rPr>
          <w:rFonts w:ascii="Times New Roman" w:eastAsia="Times New Roman" w:hAnsi="Times New Roman" w:cs="Times New Roman"/>
          <w:sz w:val="21"/>
          <w:szCs w:val="21"/>
          <w:lang w:val="x-none"/>
        </w:rPr>
        <w:t xml:space="preserve">Столяр К.Э., Занковец В.И. Социальная психология физической культуры: Групповые процессы и мотивация // Физическая культура. – 2023. URL: https://www.fizkultura.ru/book/social-psychology-sport-2023 </w:t>
      </w:r>
    </w:p>
    <w:p w14:paraId="69250EEA" w14:textId="77777777" w:rsidR="00CF549C" w:rsidRPr="00CF549C" w:rsidRDefault="00CC5729" w:rsidP="00AD58CD">
      <w:pPr>
        <w:pStyle w:val="a8"/>
        <w:numPr>
          <w:ilvl w:val="3"/>
          <w:numId w:val="163"/>
        </w:numPr>
        <w:spacing w:after="0" w:line="279" w:lineRule="auto"/>
        <w:ind w:left="284" w:hanging="284"/>
        <w:jc w:val="both"/>
        <w:rPr>
          <w:rFonts w:ascii="Times New Roman" w:eastAsia="Times New Roman" w:hAnsi="Times New Roman" w:cs="Times New Roman"/>
          <w:sz w:val="21"/>
          <w:szCs w:val="21"/>
          <w:lang w:val="x-none"/>
        </w:rPr>
      </w:pPr>
      <w:r w:rsidRPr="00CF549C">
        <w:rPr>
          <w:rFonts w:ascii="Times New Roman" w:eastAsia="Times New Roman" w:hAnsi="Times New Roman" w:cs="Times New Roman"/>
          <w:sz w:val="21"/>
          <w:szCs w:val="21"/>
          <w:lang w:val="x-none"/>
        </w:rPr>
        <w:lastRenderedPageBreak/>
        <w:t xml:space="preserve">Губа В.П., Маринич В.В. Физическая культура и спорт в образовательной среде: Психолого-педагогические аспекты // Просвещение. – 2022. URL: </w:t>
      </w:r>
      <w:hyperlink r:id="rId643" w:history="1">
        <w:r w:rsidRPr="00CF549C">
          <w:rPr>
            <w:rStyle w:val="aa"/>
            <w:rFonts w:ascii="Times New Roman" w:eastAsia="Times New Roman" w:hAnsi="Times New Roman" w:cs="Times New Roman"/>
            <w:sz w:val="21"/>
            <w:szCs w:val="21"/>
            <w:lang w:val="x-none"/>
          </w:rPr>
          <w:t>https://www.prosv.ru/books/fizkultura-sport-obrazovanie-2022</w:t>
        </w:r>
      </w:hyperlink>
    </w:p>
    <w:p w14:paraId="4A570A14" w14:textId="5C8FCCCB" w:rsidR="00CF549C" w:rsidRPr="00CF549C" w:rsidRDefault="00CC5729" w:rsidP="00AD58CD">
      <w:pPr>
        <w:pStyle w:val="a8"/>
        <w:numPr>
          <w:ilvl w:val="3"/>
          <w:numId w:val="163"/>
        </w:numPr>
        <w:spacing w:after="0" w:line="279" w:lineRule="auto"/>
        <w:ind w:left="284" w:hanging="284"/>
        <w:jc w:val="both"/>
        <w:rPr>
          <w:rFonts w:ascii="Times New Roman" w:eastAsia="Times New Roman" w:hAnsi="Times New Roman" w:cs="Times New Roman"/>
          <w:sz w:val="21"/>
          <w:szCs w:val="21"/>
          <w:lang w:val="x-none"/>
        </w:rPr>
      </w:pPr>
      <w:r w:rsidRPr="00CF549C">
        <w:rPr>
          <w:rFonts w:ascii="Times New Roman" w:eastAsia="Times New Roman" w:hAnsi="Times New Roman" w:cs="Times New Roman"/>
          <w:bCs/>
          <w:sz w:val="21"/>
          <w:szCs w:val="21"/>
          <w:lang w:val="x-none"/>
        </w:rPr>
        <w:t xml:space="preserve">Психологические аспекты мотивации в групповых тренировках [Электронный ресурс] // Психология и педагогика физической культуры. – URL: </w:t>
      </w:r>
      <w:hyperlink r:id="rId644" w:history="1">
        <w:r w:rsidR="00CF549C" w:rsidRPr="00B560AE">
          <w:rPr>
            <w:rStyle w:val="aa"/>
            <w:rFonts w:ascii="Times New Roman" w:eastAsia="Times New Roman" w:hAnsi="Times New Roman" w:cs="Times New Roman"/>
            <w:bCs/>
            <w:sz w:val="21"/>
            <w:szCs w:val="21"/>
            <w:lang w:val="x-none"/>
          </w:rPr>
          <w:t>https://www.psyphys.ru/articles/motivation-group-training-2021</w:t>
        </w:r>
      </w:hyperlink>
    </w:p>
    <w:p w14:paraId="3FA7D9D2" w14:textId="3C6D5B5E" w:rsidR="00CC5729" w:rsidRPr="00CF549C" w:rsidRDefault="00CC5729" w:rsidP="00AD58CD">
      <w:pPr>
        <w:pStyle w:val="a8"/>
        <w:numPr>
          <w:ilvl w:val="3"/>
          <w:numId w:val="163"/>
        </w:numPr>
        <w:spacing w:after="0" w:line="279" w:lineRule="auto"/>
        <w:ind w:left="284" w:hanging="284"/>
        <w:jc w:val="both"/>
        <w:rPr>
          <w:rFonts w:ascii="Times New Roman" w:eastAsia="Times New Roman" w:hAnsi="Times New Roman" w:cs="Times New Roman"/>
          <w:sz w:val="21"/>
          <w:szCs w:val="21"/>
          <w:lang w:val="x-none"/>
        </w:rPr>
      </w:pPr>
      <w:r w:rsidRPr="00CF549C">
        <w:rPr>
          <w:rFonts w:ascii="Times New Roman" w:eastAsia="Times New Roman" w:hAnsi="Times New Roman" w:cs="Times New Roman"/>
          <w:sz w:val="21"/>
          <w:szCs w:val="21"/>
        </w:rPr>
        <w:t>Роль командного взаимодействия в повышении эффективности тренировок [Электронный ресурс] // Журнал спортивной психологии. – URL: https://www.sportpsychology.ru/articles/team-interaction-training-2024</w:t>
      </w:r>
    </w:p>
    <w:p w14:paraId="6A191CA6" w14:textId="77777777" w:rsidR="001D3CDE" w:rsidRDefault="001D3CDE" w:rsidP="001D3CDE">
      <w:pPr>
        <w:spacing w:after="0" w:line="279" w:lineRule="auto"/>
        <w:rPr>
          <w:rFonts w:ascii="Times New Roman" w:eastAsia="Times New Roman" w:hAnsi="Times New Roman" w:cs="Times New Roman"/>
          <w:sz w:val="24"/>
          <w:szCs w:val="24"/>
          <w:lang w:val="x-none"/>
        </w:rPr>
      </w:pPr>
    </w:p>
    <w:p w14:paraId="1F268310" w14:textId="77777777" w:rsidR="00CE64DE" w:rsidRPr="00CE64DE" w:rsidRDefault="00CE64DE" w:rsidP="00CE64DE">
      <w:pPr>
        <w:spacing w:after="0" w:line="240" w:lineRule="auto"/>
        <w:rPr>
          <w:rFonts w:ascii="Times New Roman" w:eastAsia="Times New Roman" w:hAnsi="Times New Roman" w:cs="Times New Roman"/>
          <w:b/>
          <w:bCs/>
          <w:sz w:val="21"/>
          <w:szCs w:val="21"/>
        </w:rPr>
      </w:pPr>
      <w:r w:rsidRPr="00CE64DE">
        <w:rPr>
          <w:rFonts w:ascii="Times New Roman" w:eastAsia="Times New Roman" w:hAnsi="Times New Roman" w:cs="Times New Roman"/>
          <w:b/>
          <w:bCs/>
          <w:sz w:val="21"/>
          <w:szCs w:val="21"/>
        </w:rPr>
        <w:t>УДК 796</w:t>
      </w:r>
    </w:p>
    <w:p w14:paraId="237ED11C" w14:textId="77777777" w:rsidR="00CE64DE" w:rsidRPr="00CE64DE" w:rsidRDefault="00CE64DE" w:rsidP="00CE64DE">
      <w:pPr>
        <w:spacing w:after="0" w:line="240" w:lineRule="auto"/>
        <w:rPr>
          <w:rFonts w:ascii="Times New Roman" w:eastAsia="Times New Roman" w:hAnsi="Times New Roman" w:cs="Times New Roman"/>
          <w:sz w:val="21"/>
          <w:szCs w:val="21"/>
        </w:rPr>
      </w:pPr>
      <w:r w:rsidRPr="00CE64DE">
        <w:rPr>
          <w:rFonts w:ascii="Times New Roman" w:eastAsia="Times New Roman" w:hAnsi="Times New Roman" w:cs="Times New Roman"/>
          <w:sz w:val="21"/>
          <w:szCs w:val="21"/>
        </w:rPr>
        <w:t xml:space="preserve"> </w:t>
      </w:r>
    </w:p>
    <w:p w14:paraId="5328DFE9" w14:textId="54AF8F4D" w:rsidR="00CE64DE" w:rsidRPr="00CE64DE" w:rsidRDefault="00CE64DE" w:rsidP="00CE64DE">
      <w:pPr>
        <w:spacing w:after="0" w:line="240" w:lineRule="auto"/>
        <w:jc w:val="right"/>
        <w:rPr>
          <w:rFonts w:ascii="Times New Roman" w:eastAsia="Times New Roman" w:hAnsi="Times New Roman" w:cs="Times New Roman"/>
          <w:b/>
          <w:bCs/>
          <w:i/>
          <w:iCs/>
          <w:sz w:val="21"/>
          <w:szCs w:val="21"/>
        </w:rPr>
      </w:pPr>
      <w:r w:rsidRPr="00CE64DE">
        <w:rPr>
          <w:rFonts w:ascii="Times New Roman" w:eastAsia="Times New Roman" w:hAnsi="Times New Roman" w:cs="Times New Roman"/>
          <w:b/>
          <w:bCs/>
          <w:i/>
          <w:iCs/>
          <w:sz w:val="21"/>
          <w:szCs w:val="21"/>
        </w:rPr>
        <w:t>Бахишева Л.Ф.</w:t>
      </w:r>
      <w:r w:rsidR="00875805">
        <w:rPr>
          <w:rFonts w:ascii="Times New Roman" w:eastAsia="Times New Roman" w:hAnsi="Times New Roman" w:cs="Times New Roman"/>
          <w:b/>
          <w:bCs/>
          <w:i/>
          <w:iCs/>
          <w:sz w:val="21"/>
          <w:szCs w:val="21"/>
        </w:rPr>
        <w:t>,</w:t>
      </w:r>
    </w:p>
    <w:p w14:paraId="6222C516"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rPr>
        <w:t>студент 1 курса</w:t>
      </w:r>
    </w:p>
    <w:p w14:paraId="02F26955" w14:textId="77777777" w:rsidR="00903B89" w:rsidRDefault="00903B89" w:rsidP="00903B89">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09207CBC"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rPr>
        <w:t>г. Краснодар, Россия</w:t>
      </w:r>
    </w:p>
    <w:p w14:paraId="3E5DFA9C" w14:textId="52C03303" w:rsidR="00CE64DE" w:rsidRPr="00C30970"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lang w:val="en-US"/>
        </w:rPr>
        <w:t>e</w:t>
      </w:r>
      <w:r w:rsidRPr="00C30970">
        <w:rPr>
          <w:rFonts w:ascii="Times New Roman" w:eastAsia="Times New Roman" w:hAnsi="Times New Roman" w:cs="Times New Roman"/>
          <w:i/>
          <w:iCs/>
          <w:sz w:val="21"/>
          <w:szCs w:val="21"/>
        </w:rPr>
        <w:t>-</w:t>
      </w:r>
      <w:r w:rsidRPr="00CE64DE">
        <w:rPr>
          <w:rFonts w:ascii="Times New Roman" w:eastAsia="Times New Roman" w:hAnsi="Times New Roman" w:cs="Times New Roman"/>
          <w:i/>
          <w:iCs/>
          <w:sz w:val="21"/>
          <w:szCs w:val="21"/>
          <w:lang w:val="en-US"/>
        </w:rPr>
        <w:t>mail</w:t>
      </w:r>
      <w:r w:rsidRPr="00C30970">
        <w:rPr>
          <w:rFonts w:ascii="Times New Roman" w:eastAsia="Times New Roman" w:hAnsi="Times New Roman" w:cs="Times New Roman"/>
          <w:i/>
          <w:iCs/>
          <w:sz w:val="21"/>
          <w:szCs w:val="21"/>
        </w:rPr>
        <w:t xml:space="preserve">: </w:t>
      </w:r>
      <w:hyperlink r:id="rId645" w:history="1">
        <w:r w:rsidR="003C7E3C" w:rsidRPr="00C30970">
          <w:rPr>
            <w:rStyle w:val="aa"/>
            <w:rFonts w:ascii="Times New Roman" w:eastAsia="Times New Roman" w:hAnsi="Times New Roman" w:cs="Times New Roman"/>
            <w:i/>
            <w:iCs/>
            <w:sz w:val="21"/>
            <w:szCs w:val="21"/>
          </w:rPr>
          <w:t>100</w:t>
        </w:r>
        <w:r w:rsidR="003C7E3C" w:rsidRPr="00CE64DE">
          <w:rPr>
            <w:rStyle w:val="aa"/>
            <w:rFonts w:ascii="Times New Roman" w:eastAsia="Times New Roman" w:hAnsi="Times New Roman" w:cs="Times New Roman"/>
            <w:i/>
            <w:iCs/>
            <w:sz w:val="21"/>
            <w:szCs w:val="21"/>
            <w:lang w:val="en-US"/>
          </w:rPr>
          <w:t>dot</w:t>
        </w:r>
        <w:r w:rsidR="003C7E3C" w:rsidRPr="00C30970">
          <w:rPr>
            <w:rStyle w:val="aa"/>
            <w:rFonts w:ascii="Times New Roman" w:eastAsia="Times New Roman" w:hAnsi="Times New Roman" w:cs="Times New Roman"/>
            <w:i/>
            <w:iCs/>
            <w:sz w:val="21"/>
            <w:szCs w:val="21"/>
          </w:rPr>
          <w:t>13</w:t>
        </w:r>
        <w:r w:rsidR="003C7E3C" w:rsidRPr="00CE64DE">
          <w:rPr>
            <w:rStyle w:val="aa"/>
            <w:rFonts w:ascii="Times New Roman" w:eastAsia="Times New Roman" w:hAnsi="Times New Roman" w:cs="Times New Roman"/>
            <w:i/>
            <w:iCs/>
            <w:sz w:val="21"/>
            <w:szCs w:val="21"/>
            <w:lang w:val="en-US"/>
          </w:rPr>
          <w:t>sl</w:t>
        </w:r>
        <w:r w:rsidR="003C7E3C" w:rsidRPr="00C30970">
          <w:rPr>
            <w:rStyle w:val="aa"/>
            <w:rFonts w:ascii="Times New Roman" w:eastAsia="Times New Roman" w:hAnsi="Times New Roman" w:cs="Times New Roman"/>
            <w:i/>
            <w:iCs/>
            <w:sz w:val="21"/>
            <w:szCs w:val="21"/>
          </w:rPr>
          <w:t>240242@</w:t>
        </w:r>
        <w:r w:rsidR="003C7E3C" w:rsidRPr="00CE64DE">
          <w:rPr>
            <w:rStyle w:val="aa"/>
            <w:rFonts w:ascii="Times New Roman" w:eastAsia="Times New Roman" w:hAnsi="Times New Roman" w:cs="Times New Roman"/>
            <w:i/>
            <w:iCs/>
            <w:sz w:val="21"/>
            <w:szCs w:val="21"/>
            <w:lang w:val="en-US"/>
          </w:rPr>
          <w:t>edu</w:t>
        </w:r>
        <w:r w:rsidR="003C7E3C" w:rsidRPr="00C30970">
          <w:rPr>
            <w:rStyle w:val="aa"/>
            <w:rFonts w:ascii="Times New Roman" w:eastAsia="Times New Roman" w:hAnsi="Times New Roman" w:cs="Times New Roman"/>
            <w:i/>
            <w:iCs/>
            <w:sz w:val="21"/>
            <w:szCs w:val="21"/>
          </w:rPr>
          <w:t>.</w:t>
        </w:r>
        <w:r w:rsidR="003C7E3C" w:rsidRPr="00CE64DE">
          <w:rPr>
            <w:rStyle w:val="aa"/>
            <w:rFonts w:ascii="Times New Roman" w:eastAsia="Times New Roman" w:hAnsi="Times New Roman" w:cs="Times New Roman"/>
            <w:i/>
            <w:iCs/>
            <w:sz w:val="21"/>
            <w:szCs w:val="21"/>
            <w:lang w:val="en-US"/>
          </w:rPr>
          <w:t>fa</w:t>
        </w:r>
        <w:r w:rsidR="003C7E3C" w:rsidRPr="00C30970">
          <w:rPr>
            <w:rStyle w:val="aa"/>
            <w:rFonts w:ascii="Times New Roman" w:eastAsia="Times New Roman" w:hAnsi="Times New Roman" w:cs="Times New Roman"/>
            <w:i/>
            <w:iCs/>
            <w:sz w:val="21"/>
            <w:szCs w:val="21"/>
          </w:rPr>
          <w:t>.</w:t>
        </w:r>
        <w:r w:rsidR="003C7E3C" w:rsidRPr="00CE64DE">
          <w:rPr>
            <w:rStyle w:val="aa"/>
            <w:rFonts w:ascii="Times New Roman" w:eastAsia="Times New Roman" w:hAnsi="Times New Roman" w:cs="Times New Roman"/>
            <w:i/>
            <w:iCs/>
            <w:sz w:val="21"/>
            <w:szCs w:val="21"/>
            <w:lang w:val="en-US"/>
          </w:rPr>
          <w:t>ru</w:t>
        </w:r>
      </w:hyperlink>
    </w:p>
    <w:p w14:paraId="00EE9373" w14:textId="77777777" w:rsidR="003C7E3C" w:rsidRPr="00C30970" w:rsidRDefault="003C7E3C" w:rsidP="00CE64DE">
      <w:pPr>
        <w:spacing w:after="0" w:line="240" w:lineRule="auto"/>
        <w:jc w:val="right"/>
        <w:rPr>
          <w:rFonts w:ascii="Times New Roman" w:eastAsia="Times New Roman" w:hAnsi="Times New Roman" w:cs="Times New Roman"/>
          <w:i/>
          <w:iCs/>
          <w:sz w:val="21"/>
          <w:szCs w:val="21"/>
        </w:rPr>
      </w:pPr>
    </w:p>
    <w:p w14:paraId="366402FF" w14:textId="77777777" w:rsidR="00CE64DE" w:rsidRPr="00CE64DE" w:rsidRDefault="00CE64DE" w:rsidP="00CE64DE">
      <w:pPr>
        <w:spacing w:after="0" w:line="240" w:lineRule="auto"/>
        <w:jc w:val="right"/>
        <w:rPr>
          <w:rFonts w:ascii="Times New Roman" w:eastAsia="Times New Roman" w:hAnsi="Times New Roman" w:cs="Times New Roman"/>
          <w:b/>
          <w:bCs/>
          <w:i/>
          <w:iCs/>
          <w:sz w:val="21"/>
          <w:szCs w:val="21"/>
        </w:rPr>
      </w:pPr>
      <w:r w:rsidRPr="00CE64DE">
        <w:rPr>
          <w:rFonts w:ascii="Times New Roman" w:eastAsia="Times New Roman" w:hAnsi="Times New Roman" w:cs="Times New Roman"/>
          <w:b/>
          <w:bCs/>
          <w:i/>
          <w:iCs/>
          <w:sz w:val="21"/>
          <w:szCs w:val="21"/>
        </w:rPr>
        <w:t>Научный руководитель:</w:t>
      </w:r>
    </w:p>
    <w:p w14:paraId="35D3BFB0" w14:textId="6E195144"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b/>
          <w:bCs/>
          <w:i/>
          <w:iCs/>
          <w:sz w:val="21"/>
          <w:szCs w:val="21"/>
        </w:rPr>
        <w:t xml:space="preserve">Кирий </w:t>
      </w:r>
      <w:proofErr w:type="gramStart"/>
      <w:r w:rsidRPr="00CE64DE">
        <w:rPr>
          <w:rFonts w:ascii="Times New Roman" w:eastAsia="Times New Roman" w:hAnsi="Times New Roman" w:cs="Times New Roman"/>
          <w:b/>
          <w:bCs/>
          <w:i/>
          <w:iCs/>
          <w:sz w:val="21"/>
          <w:szCs w:val="21"/>
        </w:rPr>
        <w:t>Е.В</w:t>
      </w:r>
      <w:r w:rsidR="00875805">
        <w:rPr>
          <w:rFonts w:ascii="Times New Roman" w:eastAsia="Times New Roman" w:hAnsi="Times New Roman" w:cs="Times New Roman"/>
          <w:b/>
          <w:bCs/>
          <w:i/>
          <w:iCs/>
          <w:sz w:val="21"/>
          <w:szCs w:val="21"/>
        </w:rPr>
        <w:t>,</w:t>
      </w:r>
      <w:r w:rsidRPr="00CE64DE">
        <w:rPr>
          <w:rFonts w:ascii="Times New Roman" w:eastAsia="Times New Roman" w:hAnsi="Times New Roman" w:cs="Times New Roman"/>
          <w:i/>
          <w:iCs/>
          <w:sz w:val="21"/>
          <w:szCs w:val="21"/>
        </w:rPr>
        <w:t>.</w:t>
      </w:r>
      <w:proofErr w:type="gramEnd"/>
    </w:p>
    <w:p w14:paraId="176D8E9E" w14:textId="6FA99CA2"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rPr>
        <w:t>Кандидат наук: Кафедра "История,</w:t>
      </w:r>
      <w:r w:rsidR="003C7E3C">
        <w:rPr>
          <w:rFonts w:ascii="Times New Roman" w:eastAsia="Times New Roman" w:hAnsi="Times New Roman" w:cs="Times New Roman"/>
          <w:i/>
          <w:iCs/>
          <w:sz w:val="21"/>
          <w:szCs w:val="21"/>
        </w:rPr>
        <w:t xml:space="preserve"> </w:t>
      </w:r>
      <w:r w:rsidRPr="00CE64DE">
        <w:rPr>
          <w:rFonts w:ascii="Times New Roman" w:eastAsia="Times New Roman" w:hAnsi="Times New Roman" w:cs="Times New Roman"/>
          <w:i/>
          <w:iCs/>
          <w:sz w:val="21"/>
          <w:szCs w:val="21"/>
        </w:rPr>
        <w:t>философия и право".</w:t>
      </w:r>
    </w:p>
    <w:p w14:paraId="373B5732" w14:textId="77777777" w:rsidR="00903B89" w:rsidRDefault="00903B89" w:rsidP="00903B89">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92062CA"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rPr>
        <w:t>г. Краснодар, Россия</w:t>
      </w:r>
    </w:p>
    <w:p w14:paraId="0A7A8D2B"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rPr>
      </w:pPr>
      <w:r w:rsidRPr="00CE64DE">
        <w:rPr>
          <w:rFonts w:ascii="Times New Roman" w:eastAsia="Times New Roman" w:hAnsi="Times New Roman" w:cs="Times New Roman"/>
          <w:i/>
          <w:iCs/>
          <w:sz w:val="21"/>
          <w:szCs w:val="21"/>
          <w:lang w:val="en-US"/>
        </w:rPr>
        <w:t>e</w:t>
      </w:r>
      <w:r w:rsidRPr="00CE64DE">
        <w:rPr>
          <w:rFonts w:ascii="Times New Roman" w:eastAsia="Times New Roman" w:hAnsi="Times New Roman" w:cs="Times New Roman"/>
          <w:i/>
          <w:iCs/>
          <w:sz w:val="21"/>
          <w:szCs w:val="21"/>
        </w:rPr>
        <w:t>-</w:t>
      </w:r>
      <w:r w:rsidRPr="00CE64DE">
        <w:rPr>
          <w:rFonts w:ascii="Times New Roman" w:eastAsia="Times New Roman" w:hAnsi="Times New Roman" w:cs="Times New Roman"/>
          <w:i/>
          <w:iCs/>
          <w:sz w:val="21"/>
          <w:szCs w:val="21"/>
          <w:lang w:val="en-US"/>
        </w:rPr>
        <w:t>mail</w:t>
      </w:r>
      <w:r w:rsidRPr="00CE64DE">
        <w:rPr>
          <w:rFonts w:ascii="Times New Roman" w:eastAsia="Times New Roman" w:hAnsi="Times New Roman" w:cs="Times New Roman"/>
          <w:i/>
          <w:iCs/>
          <w:sz w:val="21"/>
          <w:szCs w:val="21"/>
        </w:rPr>
        <w:t xml:space="preserve">: </w:t>
      </w:r>
      <w:hyperlink r:id="rId646">
        <w:r w:rsidRPr="00CE64DE">
          <w:rPr>
            <w:rFonts w:ascii="Times New Roman" w:eastAsia="Times New Roman" w:hAnsi="Times New Roman" w:cs="Times New Roman"/>
            <w:i/>
            <w:iCs/>
            <w:color w:val="0000FF"/>
            <w:sz w:val="21"/>
            <w:szCs w:val="21"/>
            <w:u w:val="single"/>
            <w:lang w:val="en-US"/>
          </w:rPr>
          <w:t>EVKirij</w:t>
        </w:r>
        <w:r w:rsidRPr="00CE64DE">
          <w:rPr>
            <w:rFonts w:ascii="Times New Roman" w:eastAsia="Times New Roman" w:hAnsi="Times New Roman" w:cs="Times New Roman"/>
            <w:i/>
            <w:iCs/>
            <w:color w:val="0000FF"/>
            <w:sz w:val="21"/>
            <w:szCs w:val="21"/>
            <w:u w:val="single"/>
          </w:rPr>
          <w:t>@</w:t>
        </w:r>
        <w:r w:rsidRPr="00CE64DE">
          <w:rPr>
            <w:rFonts w:ascii="Times New Roman" w:eastAsia="Times New Roman" w:hAnsi="Times New Roman" w:cs="Times New Roman"/>
            <w:i/>
            <w:iCs/>
            <w:color w:val="0000FF"/>
            <w:sz w:val="21"/>
            <w:szCs w:val="21"/>
            <w:u w:val="single"/>
            <w:lang w:val="en-US"/>
          </w:rPr>
          <w:t>fa</w:t>
        </w:r>
        <w:r w:rsidRPr="00CE64DE">
          <w:rPr>
            <w:rFonts w:ascii="Times New Roman" w:eastAsia="Times New Roman" w:hAnsi="Times New Roman" w:cs="Times New Roman"/>
            <w:i/>
            <w:iCs/>
            <w:color w:val="0000FF"/>
            <w:sz w:val="21"/>
            <w:szCs w:val="21"/>
            <w:u w:val="single"/>
          </w:rPr>
          <w:t>.</w:t>
        </w:r>
        <w:r w:rsidRPr="00CE64DE">
          <w:rPr>
            <w:rFonts w:ascii="Times New Roman" w:eastAsia="Times New Roman" w:hAnsi="Times New Roman" w:cs="Times New Roman"/>
            <w:i/>
            <w:iCs/>
            <w:color w:val="0000FF"/>
            <w:sz w:val="21"/>
            <w:szCs w:val="21"/>
            <w:u w:val="single"/>
            <w:lang w:val="en-US"/>
          </w:rPr>
          <w:t>ru</w:t>
        </w:r>
      </w:hyperlink>
    </w:p>
    <w:p w14:paraId="1A865D6D" w14:textId="77777777" w:rsidR="00CE64DE" w:rsidRPr="00CE64DE" w:rsidRDefault="00CE64DE" w:rsidP="00CE64DE">
      <w:pPr>
        <w:spacing w:after="0" w:line="240" w:lineRule="auto"/>
        <w:jc w:val="right"/>
        <w:rPr>
          <w:rFonts w:ascii="Times New Roman" w:eastAsia="Times New Roman" w:hAnsi="Times New Roman" w:cs="Times New Roman"/>
          <w:b/>
          <w:bCs/>
          <w:i/>
          <w:iCs/>
          <w:sz w:val="21"/>
          <w:szCs w:val="21"/>
        </w:rPr>
      </w:pPr>
    </w:p>
    <w:p w14:paraId="2FBAD7EB" w14:textId="77777777" w:rsidR="00CE64DE" w:rsidRPr="00CE64DE" w:rsidRDefault="00CE64DE" w:rsidP="00CE64DE">
      <w:pPr>
        <w:spacing w:after="0" w:line="240" w:lineRule="auto"/>
        <w:jc w:val="center"/>
        <w:rPr>
          <w:rFonts w:ascii="Times New Roman" w:eastAsia="Times New Roman" w:hAnsi="Times New Roman" w:cs="Times New Roman"/>
          <w:b/>
          <w:bCs/>
          <w:sz w:val="21"/>
          <w:szCs w:val="21"/>
        </w:rPr>
      </w:pPr>
      <w:r w:rsidRPr="00CE64DE">
        <w:rPr>
          <w:rFonts w:ascii="Times New Roman" w:eastAsia="Times New Roman" w:hAnsi="Times New Roman" w:cs="Times New Roman"/>
          <w:b/>
          <w:bCs/>
          <w:sz w:val="21"/>
          <w:szCs w:val="21"/>
        </w:rPr>
        <w:t xml:space="preserve">Оценка биологического возраст студентов 1-2 курсов по показателям статистической балансировки </w:t>
      </w:r>
    </w:p>
    <w:p w14:paraId="2DFA2A7D" w14:textId="77777777" w:rsidR="00CE64DE" w:rsidRPr="00CE64DE" w:rsidRDefault="00CE64DE" w:rsidP="00CE64DE">
      <w:pPr>
        <w:spacing w:after="0" w:line="240" w:lineRule="auto"/>
        <w:jc w:val="center"/>
        <w:rPr>
          <w:rFonts w:ascii="Times New Roman" w:eastAsia="Times New Roman" w:hAnsi="Times New Roman" w:cs="Times New Roman"/>
          <w:sz w:val="21"/>
          <w:szCs w:val="21"/>
        </w:rPr>
      </w:pPr>
    </w:p>
    <w:p w14:paraId="713CC843" w14:textId="77777777" w:rsidR="00CE64DE" w:rsidRPr="00CE64DE" w:rsidRDefault="00CE64DE" w:rsidP="003C7E3C">
      <w:pPr>
        <w:spacing w:after="0" w:line="240" w:lineRule="auto"/>
        <w:ind w:firstLine="709"/>
        <w:jc w:val="both"/>
        <w:rPr>
          <w:rFonts w:ascii="Times New Roman" w:eastAsia="Times New Roman" w:hAnsi="Times New Roman" w:cs="Times New Roman"/>
          <w:sz w:val="21"/>
          <w:szCs w:val="21"/>
        </w:rPr>
      </w:pPr>
      <w:r w:rsidRPr="00CE64DE">
        <w:rPr>
          <w:rFonts w:ascii="Times New Roman" w:eastAsia="Times New Roman" w:hAnsi="Times New Roman" w:cs="Times New Roman"/>
          <w:b/>
          <w:bCs/>
          <w:sz w:val="21"/>
          <w:szCs w:val="21"/>
        </w:rPr>
        <w:t>Аннотация:</w:t>
      </w:r>
      <w:r w:rsidRPr="00CE64DE">
        <w:rPr>
          <w:rFonts w:ascii="Times New Roman" w:eastAsia="Times New Roman" w:hAnsi="Times New Roman" w:cs="Times New Roman"/>
          <w:color w:val="FFFFFF"/>
          <w:sz w:val="21"/>
          <w:szCs w:val="21"/>
        </w:rPr>
        <w:t xml:space="preserve"> </w:t>
      </w:r>
      <w:r w:rsidRPr="00CE64DE">
        <w:rPr>
          <w:rFonts w:ascii="Times New Roman" w:eastAsia="Times New Roman" w:hAnsi="Times New Roman" w:cs="Times New Roman"/>
          <w:color w:val="000000"/>
          <w:sz w:val="21"/>
          <w:szCs w:val="21"/>
        </w:rPr>
        <w:t>Настоящее исследование посвящено определению биологического возраста студентов младших курсов методом оценки статической балансировки. Рассматриваются актуальные проблемы снижения физической активности и роста хронических заболеваний среди молодежи.</w:t>
      </w:r>
      <w:r w:rsidRPr="00CE64DE">
        <w:rPr>
          <w:rFonts w:ascii="Times New Roman" w:eastAsia="Times New Roman" w:hAnsi="Times New Roman" w:cs="Times New Roman"/>
          <w:sz w:val="21"/>
          <w:szCs w:val="21"/>
        </w:rPr>
        <w:t xml:space="preserve"> </w:t>
      </w:r>
      <w:r w:rsidRPr="00CE64DE">
        <w:rPr>
          <w:rFonts w:ascii="Cambria" w:eastAsia="MS Mincho" w:hAnsi="Cambria" w:cs="Times New Roman"/>
        </w:rPr>
        <w:tab/>
      </w:r>
    </w:p>
    <w:p w14:paraId="43DB9DCA" w14:textId="58EAE81D" w:rsidR="00CE64DE" w:rsidRPr="00CE64DE" w:rsidRDefault="00CE64DE" w:rsidP="003C7E3C">
      <w:pPr>
        <w:spacing w:after="0" w:line="240" w:lineRule="auto"/>
        <w:ind w:firstLine="709"/>
        <w:jc w:val="both"/>
        <w:rPr>
          <w:rFonts w:ascii="Times New Roman" w:eastAsia="Times New Roman" w:hAnsi="Times New Roman" w:cs="Times New Roman"/>
          <w:color w:val="000000"/>
          <w:sz w:val="21"/>
          <w:szCs w:val="21"/>
        </w:rPr>
      </w:pPr>
      <w:r w:rsidRPr="00CE64DE">
        <w:rPr>
          <w:rFonts w:ascii="Times New Roman" w:eastAsia="Times New Roman" w:hAnsi="Times New Roman" w:cs="Times New Roman"/>
          <w:b/>
          <w:bCs/>
          <w:color w:val="000000"/>
          <w:sz w:val="21"/>
          <w:szCs w:val="21"/>
        </w:rPr>
        <w:t>Ключевые слова:</w:t>
      </w:r>
      <w:r w:rsidRPr="00CE64DE">
        <w:rPr>
          <w:rFonts w:ascii="Times New Roman" w:eastAsia="Times New Roman" w:hAnsi="Times New Roman" w:cs="Times New Roman"/>
          <w:color w:val="000000"/>
          <w:sz w:val="21"/>
          <w:szCs w:val="21"/>
        </w:rPr>
        <w:t xml:space="preserve"> Биологический возраст, студенты, физическая активность, хронические заболевания, профилактика, статическая балансировка.</w:t>
      </w:r>
    </w:p>
    <w:p w14:paraId="5B411424" w14:textId="77777777" w:rsidR="00CE64DE" w:rsidRPr="00CE64DE" w:rsidRDefault="00CE64DE" w:rsidP="00CE64DE">
      <w:pPr>
        <w:spacing w:after="0" w:line="240" w:lineRule="auto"/>
        <w:rPr>
          <w:rFonts w:ascii="Times New Roman" w:eastAsia="Times New Roman" w:hAnsi="Times New Roman" w:cs="Times New Roman"/>
          <w:color w:val="000000"/>
          <w:sz w:val="21"/>
          <w:szCs w:val="21"/>
        </w:rPr>
      </w:pPr>
    </w:p>
    <w:p w14:paraId="6AAE8709" w14:textId="32F1C973" w:rsidR="00CE64DE" w:rsidRPr="00CE64DE" w:rsidRDefault="00CE64DE" w:rsidP="00CE64DE">
      <w:pPr>
        <w:spacing w:after="0" w:line="240" w:lineRule="auto"/>
        <w:jc w:val="right"/>
        <w:rPr>
          <w:rFonts w:ascii="Times New Roman" w:eastAsia="Times New Roman" w:hAnsi="Times New Roman" w:cs="Times New Roman"/>
          <w:b/>
          <w:bCs/>
          <w:i/>
          <w:iCs/>
          <w:sz w:val="21"/>
          <w:szCs w:val="21"/>
          <w:lang w:val="en-US"/>
        </w:rPr>
      </w:pPr>
      <w:r w:rsidRPr="00CE64DE">
        <w:rPr>
          <w:rFonts w:ascii="Times New Roman" w:eastAsia="Times New Roman" w:hAnsi="Times New Roman" w:cs="Times New Roman"/>
          <w:b/>
          <w:bCs/>
          <w:i/>
          <w:iCs/>
          <w:sz w:val="21"/>
          <w:szCs w:val="21"/>
          <w:lang w:val="en-US"/>
        </w:rPr>
        <w:t>Bakhisheva L.F.</w:t>
      </w:r>
      <w:r w:rsidR="003C7E3C" w:rsidRPr="003C7E3C">
        <w:rPr>
          <w:rFonts w:ascii="Times New Roman" w:eastAsia="Times New Roman" w:hAnsi="Times New Roman" w:cs="Times New Roman"/>
          <w:b/>
          <w:bCs/>
          <w:i/>
          <w:iCs/>
          <w:sz w:val="21"/>
          <w:szCs w:val="21"/>
          <w:lang w:val="en-US"/>
        </w:rPr>
        <w:t>,</w:t>
      </w:r>
    </w:p>
    <w:p w14:paraId="447F5BEE"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1nd year student</w:t>
      </w:r>
    </w:p>
    <w:p w14:paraId="64F6965F"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Financial University under the Government of the Russian Federation (Krasnodar branch)</w:t>
      </w:r>
    </w:p>
    <w:p w14:paraId="62F39D57"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Krasnodar, Russia</w:t>
      </w:r>
    </w:p>
    <w:p w14:paraId="36E802D9" w14:textId="6831F532" w:rsidR="00CE64DE" w:rsidRPr="003C7E3C"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 xml:space="preserve">e-mail: </w:t>
      </w:r>
      <w:hyperlink r:id="rId647" w:history="1">
        <w:r w:rsidR="003C7E3C" w:rsidRPr="00CE64DE">
          <w:rPr>
            <w:rStyle w:val="aa"/>
            <w:rFonts w:ascii="Times New Roman" w:eastAsia="Times New Roman" w:hAnsi="Times New Roman" w:cs="Times New Roman"/>
            <w:i/>
            <w:iCs/>
            <w:sz w:val="21"/>
            <w:szCs w:val="21"/>
            <w:lang w:val="en-US"/>
          </w:rPr>
          <w:t>100dot13sl240242@edu.fa.ru</w:t>
        </w:r>
      </w:hyperlink>
    </w:p>
    <w:p w14:paraId="61EAEDE8" w14:textId="77777777" w:rsidR="003C7E3C" w:rsidRPr="00CE64DE" w:rsidRDefault="003C7E3C" w:rsidP="00CE64DE">
      <w:pPr>
        <w:spacing w:after="0" w:line="240" w:lineRule="auto"/>
        <w:jc w:val="right"/>
        <w:rPr>
          <w:rFonts w:ascii="Times New Roman" w:eastAsia="Times New Roman" w:hAnsi="Times New Roman" w:cs="Times New Roman"/>
          <w:b/>
          <w:bCs/>
          <w:i/>
          <w:iCs/>
          <w:sz w:val="21"/>
          <w:szCs w:val="21"/>
          <w:lang w:val="en-US"/>
        </w:rPr>
      </w:pPr>
    </w:p>
    <w:p w14:paraId="7DC21C6A" w14:textId="77777777" w:rsidR="00CE64DE" w:rsidRPr="00CE64DE" w:rsidRDefault="00CE64DE" w:rsidP="00CE64DE">
      <w:pPr>
        <w:spacing w:after="0" w:line="240" w:lineRule="auto"/>
        <w:jc w:val="right"/>
        <w:rPr>
          <w:rFonts w:ascii="Times New Roman" w:eastAsia="Times New Roman" w:hAnsi="Times New Roman" w:cs="Times New Roman"/>
          <w:b/>
          <w:bCs/>
          <w:i/>
          <w:iCs/>
          <w:sz w:val="21"/>
          <w:szCs w:val="21"/>
          <w:lang w:val="en-US"/>
        </w:rPr>
      </w:pPr>
      <w:r w:rsidRPr="00CE64DE">
        <w:rPr>
          <w:rFonts w:ascii="Times New Roman" w:eastAsia="Times New Roman" w:hAnsi="Times New Roman" w:cs="Times New Roman"/>
          <w:b/>
          <w:bCs/>
          <w:i/>
          <w:iCs/>
          <w:sz w:val="21"/>
          <w:szCs w:val="21"/>
          <w:lang w:val="en-US"/>
        </w:rPr>
        <w:t>Scientific Adviser:</w:t>
      </w:r>
    </w:p>
    <w:p w14:paraId="1AC909B1" w14:textId="468CD80E" w:rsidR="00CE64DE" w:rsidRPr="00CE64DE" w:rsidRDefault="00CE64DE" w:rsidP="00CE64DE">
      <w:pPr>
        <w:spacing w:after="0" w:line="240" w:lineRule="auto"/>
        <w:jc w:val="right"/>
        <w:rPr>
          <w:rFonts w:ascii="Times New Roman" w:eastAsia="Times New Roman" w:hAnsi="Times New Roman" w:cs="Times New Roman"/>
          <w:b/>
          <w:bCs/>
          <w:i/>
          <w:iCs/>
          <w:sz w:val="21"/>
          <w:szCs w:val="21"/>
          <w:lang w:val="en-US"/>
        </w:rPr>
      </w:pPr>
      <w:r w:rsidRPr="00CE64DE">
        <w:rPr>
          <w:rFonts w:ascii="Times New Roman" w:eastAsia="Times New Roman" w:hAnsi="Times New Roman" w:cs="Times New Roman"/>
          <w:b/>
          <w:bCs/>
          <w:i/>
          <w:iCs/>
          <w:sz w:val="21"/>
          <w:szCs w:val="21"/>
          <w:lang w:val="en-US"/>
        </w:rPr>
        <w:t>Kirij E.V.</w:t>
      </w:r>
      <w:r w:rsidR="003C7E3C" w:rsidRPr="003C7E3C">
        <w:rPr>
          <w:rFonts w:ascii="Times New Roman" w:eastAsia="Times New Roman" w:hAnsi="Times New Roman" w:cs="Times New Roman"/>
          <w:b/>
          <w:bCs/>
          <w:i/>
          <w:iCs/>
          <w:sz w:val="21"/>
          <w:szCs w:val="21"/>
          <w:lang w:val="en-US"/>
        </w:rPr>
        <w:t>,</w:t>
      </w:r>
    </w:p>
    <w:p w14:paraId="2D859675" w14:textId="24497365"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 xml:space="preserve">Candidate of </w:t>
      </w:r>
      <w:r w:rsidRPr="00CE64DE">
        <w:rPr>
          <w:rFonts w:ascii="Times New Roman" w:eastAsia="Times New Roman" w:hAnsi="Times New Roman" w:cs="Times New Roman"/>
          <w:i/>
          <w:iCs/>
          <w:color w:val="000000"/>
          <w:sz w:val="21"/>
          <w:szCs w:val="21"/>
          <w:lang w:val="en-US"/>
        </w:rPr>
        <w:t xml:space="preserve">Pedagogical Sciences </w:t>
      </w:r>
      <w:r w:rsidRPr="00CE64DE">
        <w:rPr>
          <w:rFonts w:ascii="Times New Roman" w:eastAsia="Times New Roman" w:hAnsi="Times New Roman" w:cs="Times New Roman"/>
          <w:i/>
          <w:iCs/>
          <w:sz w:val="21"/>
          <w:szCs w:val="21"/>
          <w:lang w:val="en-US"/>
        </w:rPr>
        <w:t>(Ph.D.),</w:t>
      </w:r>
    </w:p>
    <w:p w14:paraId="78E9C118"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Financial University under the Government of the Russian Federation (Krasnodar branch)</w:t>
      </w:r>
    </w:p>
    <w:p w14:paraId="3AA1B792"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sz w:val="21"/>
          <w:szCs w:val="21"/>
          <w:lang w:val="en-US"/>
        </w:rPr>
        <w:t>Krasnodar, Russia</w:t>
      </w:r>
    </w:p>
    <w:p w14:paraId="690C2DA2" w14:textId="77777777" w:rsidR="00CE64DE" w:rsidRPr="00CE64DE" w:rsidRDefault="00CE64DE" w:rsidP="00CE64DE">
      <w:pPr>
        <w:spacing w:after="0" w:line="240" w:lineRule="auto"/>
        <w:jc w:val="right"/>
        <w:rPr>
          <w:rFonts w:ascii="Times New Roman" w:eastAsia="Times New Roman" w:hAnsi="Times New Roman" w:cs="Times New Roman"/>
          <w:i/>
          <w:iCs/>
          <w:sz w:val="21"/>
          <w:szCs w:val="21"/>
          <w:lang w:val="en-US"/>
        </w:rPr>
      </w:pPr>
      <w:r w:rsidRPr="00CE64DE">
        <w:rPr>
          <w:rFonts w:ascii="Times New Roman" w:eastAsia="Times New Roman" w:hAnsi="Times New Roman" w:cs="Times New Roman"/>
          <w:i/>
          <w:iCs/>
          <w:color w:val="000000"/>
          <w:sz w:val="21"/>
          <w:szCs w:val="21"/>
          <w:lang w:val="en-US"/>
        </w:rPr>
        <w:t xml:space="preserve">e-mail: </w:t>
      </w:r>
      <w:hyperlink r:id="rId648">
        <w:r w:rsidRPr="00CE64DE">
          <w:rPr>
            <w:rFonts w:ascii="Times New Roman" w:eastAsia="Times New Roman" w:hAnsi="Times New Roman" w:cs="Times New Roman"/>
            <w:i/>
            <w:iCs/>
            <w:color w:val="0000FF"/>
            <w:sz w:val="21"/>
            <w:szCs w:val="21"/>
            <w:u w:val="single"/>
            <w:lang w:val="en-US"/>
          </w:rPr>
          <w:t>EVKirij@fa.ru</w:t>
        </w:r>
      </w:hyperlink>
    </w:p>
    <w:p w14:paraId="133F98A4" w14:textId="77777777" w:rsidR="00CE64DE" w:rsidRPr="00CE64DE" w:rsidRDefault="00CE64DE" w:rsidP="00CE64DE">
      <w:pPr>
        <w:spacing w:after="0" w:line="240" w:lineRule="auto"/>
        <w:jc w:val="right"/>
        <w:rPr>
          <w:rFonts w:ascii="Times New Roman" w:eastAsia="Times New Roman" w:hAnsi="Times New Roman" w:cs="Times New Roman"/>
          <w:color w:val="000000"/>
          <w:sz w:val="21"/>
          <w:szCs w:val="21"/>
          <w:lang w:val="en-US"/>
        </w:rPr>
      </w:pPr>
    </w:p>
    <w:p w14:paraId="09CF7791" w14:textId="2818FFEC" w:rsidR="00CE64DE" w:rsidRPr="00CE64DE" w:rsidRDefault="00CE64DE" w:rsidP="00CE64DE">
      <w:pPr>
        <w:spacing w:after="0" w:line="240" w:lineRule="auto"/>
        <w:jc w:val="center"/>
        <w:rPr>
          <w:rFonts w:ascii="Times New Roman" w:eastAsia="Times New Roman" w:hAnsi="Times New Roman" w:cs="Times New Roman"/>
          <w:b/>
          <w:bCs/>
          <w:color w:val="000000"/>
          <w:sz w:val="21"/>
          <w:szCs w:val="21"/>
          <w:lang w:val="en-US"/>
        </w:rPr>
      </w:pPr>
      <w:r w:rsidRPr="00CE64DE">
        <w:rPr>
          <w:rFonts w:ascii="Times New Roman" w:eastAsia="Times New Roman" w:hAnsi="Times New Roman" w:cs="Times New Roman"/>
          <w:b/>
          <w:bCs/>
          <w:color w:val="000000"/>
          <w:sz w:val="21"/>
          <w:szCs w:val="21"/>
          <w:lang w:val="en-US"/>
        </w:rPr>
        <w:t xml:space="preserve"> Assessment of the biological age of </w:t>
      </w:r>
      <w:proofErr w:type="gramStart"/>
      <w:r w:rsidRPr="00CE64DE">
        <w:rPr>
          <w:rFonts w:ascii="Times New Roman" w:eastAsia="Times New Roman" w:hAnsi="Times New Roman" w:cs="Times New Roman"/>
          <w:b/>
          <w:bCs/>
          <w:color w:val="000000"/>
          <w:sz w:val="21"/>
          <w:szCs w:val="21"/>
          <w:lang w:val="en-US"/>
        </w:rPr>
        <w:t>first and</w:t>
      </w:r>
      <w:r w:rsidR="003C7E3C">
        <w:rPr>
          <w:rFonts w:ascii="Times New Roman" w:eastAsia="Times New Roman" w:hAnsi="Times New Roman" w:cs="Times New Roman"/>
          <w:b/>
          <w:bCs/>
          <w:color w:val="000000"/>
          <w:sz w:val="21"/>
          <w:szCs w:val="21"/>
          <w:lang w:val="en-US"/>
        </w:rPr>
        <w:t xml:space="preserve"> </w:t>
      </w:r>
      <w:r w:rsidRPr="00CE64DE">
        <w:rPr>
          <w:rFonts w:ascii="Times New Roman" w:eastAsia="Times New Roman" w:hAnsi="Times New Roman" w:cs="Times New Roman"/>
          <w:b/>
          <w:bCs/>
          <w:color w:val="000000"/>
          <w:sz w:val="21"/>
          <w:szCs w:val="21"/>
          <w:lang w:val="en-US"/>
        </w:rPr>
        <w:t>second year</w:t>
      </w:r>
      <w:proofErr w:type="gramEnd"/>
      <w:r w:rsidRPr="00CE64DE">
        <w:rPr>
          <w:rFonts w:ascii="Times New Roman" w:eastAsia="Times New Roman" w:hAnsi="Times New Roman" w:cs="Times New Roman"/>
          <w:b/>
          <w:bCs/>
          <w:color w:val="000000"/>
          <w:sz w:val="21"/>
          <w:szCs w:val="21"/>
          <w:lang w:val="en-US"/>
        </w:rPr>
        <w:t xml:space="preserve"> students based on statistical balance indicators</w:t>
      </w:r>
    </w:p>
    <w:p w14:paraId="772A9AB0" w14:textId="77777777" w:rsidR="00CE64DE" w:rsidRPr="00CE64DE" w:rsidRDefault="00CE64DE" w:rsidP="00CE64DE">
      <w:pPr>
        <w:spacing w:after="0" w:line="240" w:lineRule="auto"/>
        <w:jc w:val="center"/>
        <w:rPr>
          <w:rFonts w:ascii="Times New Roman" w:eastAsia="Times New Roman" w:hAnsi="Times New Roman" w:cs="Times New Roman"/>
          <w:color w:val="000000"/>
          <w:sz w:val="21"/>
          <w:szCs w:val="21"/>
          <w:lang w:val="en-US"/>
        </w:rPr>
      </w:pPr>
      <w:r w:rsidRPr="00CE64DE">
        <w:rPr>
          <w:rFonts w:ascii="Times New Roman" w:eastAsia="Times New Roman" w:hAnsi="Times New Roman" w:cs="Times New Roman"/>
          <w:color w:val="000000"/>
          <w:sz w:val="21"/>
          <w:szCs w:val="21"/>
          <w:lang w:val="en-US"/>
        </w:rPr>
        <w:t xml:space="preserve"> </w:t>
      </w:r>
    </w:p>
    <w:p w14:paraId="387D47CD" w14:textId="77777777" w:rsidR="00CE64DE" w:rsidRPr="00CE64DE" w:rsidRDefault="00CE64DE" w:rsidP="00CE64DE">
      <w:pPr>
        <w:spacing w:after="0" w:line="240" w:lineRule="auto"/>
        <w:ind w:firstLine="720"/>
        <w:rPr>
          <w:rFonts w:ascii="Times New Roman" w:eastAsia="Times New Roman" w:hAnsi="Times New Roman" w:cs="Times New Roman"/>
          <w:sz w:val="21"/>
          <w:szCs w:val="21"/>
          <w:lang w:val="en-US"/>
        </w:rPr>
      </w:pPr>
      <w:r w:rsidRPr="00CE64DE">
        <w:rPr>
          <w:rFonts w:ascii="Times New Roman" w:eastAsia="Times New Roman" w:hAnsi="Times New Roman" w:cs="Times New Roman"/>
          <w:b/>
          <w:bCs/>
          <w:sz w:val="21"/>
          <w:szCs w:val="21"/>
          <w:lang w:val="en-US"/>
        </w:rPr>
        <w:t>Abstract:</w:t>
      </w:r>
      <w:r w:rsidRPr="00CE64DE">
        <w:rPr>
          <w:rFonts w:ascii="Times New Roman" w:eastAsia="Times New Roman" w:hAnsi="Times New Roman" w:cs="Times New Roman"/>
          <w:sz w:val="21"/>
          <w:szCs w:val="21"/>
          <w:lang w:val="en-US"/>
        </w:rPr>
        <w:t xml:space="preserve"> This study is focused on determining the biological age of first- and second-year students by evaluating their static balance. It addresses current issues related to decreased physical activity levels and increased prevalence of chronic diseases among young people.</w:t>
      </w:r>
    </w:p>
    <w:p w14:paraId="40C86A19" w14:textId="77777777" w:rsidR="00CE64DE" w:rsidRPr="00CE64DE" w:rsidRDefault="00CE64DE" w:rsidP="00CE64DE">
      <w:pPr>
        <w:spacing w:after="0" w:line="240" w:lineRule="auto"/>
        <w:rPr>
          <w:rFonts w:ascii="Times New Roman" w:eastAsia="Times New Roman" w:hAnsi="Times New Roman" w:cs="Times New Roman"/>
          <w:color w:val="000000"/>
          <w:sz w:val="21"/>
          <w:szCs w:val="21"/>
          <w:lang w:val="en-US"/>
        </w:rPr>
      </w:pPr>
      <w:r w:rsidRPr="00CE64DE">
        <w:rPr>
          <w:rFonts w:ascii="Times New Roman" w:eastAsia="Times New Roman" w:hAnsi="Times New Roman" w:cs="Times New Roman"/>
          <w:sz w:val="21"/>
          <w:szCs w:val="21"/>
          <w:lang w:val="en-US"/>
        </w:rPr>
        <w:t xml:space="preserve"> </w:t>
      </w:r>
      <w:r w:rsidRPr="00CE64DE">
        <w:rPr>
          <w:rFonts w:ascii="Cambria" w:eastAsia="MS Mincho" w:hAnsi="Cambria" w:cs="Times New Roman"/>
          <w:lang w:val="en-US"/>
        </w:rPr>
        <w:tab/>
      </w:r>
      <w:r w:rsidRPr="00CE64DE">
        <w:rPr>
          <w:rFonts w:ascii="Times New Roman" w:eastAsia="Times New Roman" w:hAnsi="Times New Roman" w:cs="Times New Roman"/>
          <w:b/>
          <w:bCs/>
          <w:sz w:val="21"/>
          <w:szCs w:val="21"/>
          <w:lang w:val="en-US"/>
        </w:rPr>
        <w:t>Keywords:</w:t>
      </w:r>
      <w:r w:rsidRPr="00CE64DE">
        <w:rPr>
          <w:rFonts w:ascii="Times New Roman" w:eastAsia="Times New Roman" w:hAnsi="Times New Roman" w:cs="Times New Roman"/>
          <w:sz w:val="21"/>
          <w:szCs w:val="21"/>
          <w:lang w:val="en-US"/>
        </w:rPr>
        <w:t xml:space="preserve"> </w:t>
      </w:r>
      <w:r w:rsidRPr="00CE64DE">
        <w:rPr>
          <w:rFonts w:ascii="Times New Roman" w:eastAsia="Times New Roman" w:hAnsi="Times New Roman" w:cs="Times New Roman"/>
          <w:color w:val="000000"/>
          <w:sz w:val="21"/>
          <w:szCs w:val="21"/>
          <w:lang w:val="en-US"/>
        </w:rPr>
        <w:t>Biological age, students, physical activity, chronic diseases, prevention, static balance</w:t>
      </w:r>
    </w:p>
    <w:p w14:paraId="639B2436" w14:textId="77777777" w:rsidR="00CE64DE" w:rsidRPr="00CE64DE" w:rsidRDefault="00CE64DE" w:rsidP="00CE64DE">
      <w:pPr>
        <w:spacing w:after="0" w:line="240" w:lineRule="auto"/>
        <w:rPr>
          <w:rFonts w:ascii="Times New Roman" w:eastAsia="Times New Roman" w:hAnsi="Times New Roman" w:cs="Times New Roman"/>
          <w:sz w:val="32"/>
          <w:szCs w:val="32"/>
          <w:lang w:val="en-US"/>
        </w:rPr>
      </w:pPr>
    </w:p>
    <w:p w14:paraId="51C9115E" w14:textId="77777777" w:rsidR="00CE64DE" w:rsidRPr="00CE64DE" w:rsidRDefault="00CE64DE" w:rsidP="00CE64DE">
      <w:pPr>
        <w:spacing w:after="0" w:line="240" w:lineRule="auto"/>
        <w:rPr>
          <w:rFonts w:ascii="Times New Roman" w:eastAsia="Times New Roman" w:hAnsi="Times New Roman" w:cs="Times New Roman"/>
          <w:sz w:val="32"/>
          <w:szCs w:val="32"/>
          <w:lang w:val="en-US"/>
        </w:rPr>
      </w:pPr>
    </w:p>
    <w:p w14:paraId="29AC369D" w14:textId="77777777" w:rsidR="00CE64DE" w:rsidRPr="00CE64DE" w:rsidRDefault="00CE64DE" w:rsidP="00CE64DE">
      <w:pPr>
        <w:spacing w:after="0" w:line="240" w:lineRule="auto"/>
        <w:rPr>
          <w:rFonts w:ascii="Times New Roman" w:eastAsia="Times New Roman" w:hAnsi="Times New Roman" w:cs="Times New Roman"/>
          <w:sz w:val="32"/>
          <w:szCs w:val="32"/>
          <w:lang w:val="en-US"/>
        </w:rPr>
      </w:pPr>
    </w:p>
    <w:p w14:paraId="4EB7FB5A" w14:textId="77777777" w:rsidR="00CE64DE" w:rsidRPr="00CE64DE" w:rsidRDefault="00CE64DE" w:rsidP="00CE64DE">
      <w:pPr>
        <w:spacing w:after="0" w:line="240" w:lineRule="auto"/>
        <w:rPr>
          <w:rFonts w:ascii="Times New Roman" w:eastAsia="Times New Roman" w:hAnsi="Times New Roman" w:cs="Times New Roman"/>
          <w:sz w:val="32"/>
          <w:szCs w:val="32"/>
          <w:lang w:val="en-US"/>
        </w:rPr>
      </w:pPr>
    </w:p>
    <w:p w14:paraId="45A999E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MS Mincho" w:hAnsi="Times New Roman" w:cs="Times New Roman"/>
          <w:sz w:val="28"/>
          <w:lang w:val="en-US"/>
        </w:rPr>
        <w:lastRenderedPageBreak/>
        <w:fldChar w:fldCharType="begin"/>
      </w:r>
      <w:r w:rsidRPr="00CE64DE">
        <w:rPr>
          <w:rFonts w:ascii="Times New Roman" w:eastAsia="MS Mincho" w:hAnsi="Times New Roman" w:cs="Times New Roman"/>
          <w:sz w:val="28"/>
          <w:lang w:val="en-US"/>
        </w:rPr>
        <w:instrText>TOC</w:instrText>
      </w:r>
      <w:r w:rsidRPr="00CE64DE">
        <w:rPr>
          <w:rFonts w:ascii="Times New Roman" w:eastAsia="MS Mincho" w:hAnsi="Times New Roman" w:cs="Times New Roman"/>
          <w:sz w:val="28"/>
        </w:rPr>
        <w:instrText xml:space="preserve"> \</w:instrText>
      </w:r>
      <w:r w:rsidRPr="00CE64DE">
        <w:rPr>
          <w:rFonts w:ascii="Times New Roman" w:eastAsia="MS Mincho" w:hAnsi="Times New Roman" w:cs="Times New Roman"/>
          <w:sz w:val="28"/>
          <w:lang w:val="en-US"/>
        </w:rPr>
        <w:instrText>o</w:instrText>
      </w:r>
      <w:r w:rsidRPr="00CE64DE">
        <w:rPr>
          <w:rFonts w:ascii="Times New Roman" w:eastAsia="MS Mincho" w:hAnsi="Times New Roman" w:cs="Times New Roman"/>
          <w:sz w:val="28"/>
        </w:rPr>
        <w:instrText xml:space="preserve"> "1-3" \</w:instrText>
      </w:r>
      <w:r w:rsidRPr="00CE64DE">
        <w:rPr>
          <w:rFonts w:ascii="Times New Roman" w:eastAsia="MS Mincho" w:hAnsi="Times New Roman" w:cs="Times New Roman"/>
          <w:sz w:val="28"/>
          <w:lang w:val="en-US"/>
        </w:rPr>
        <w:instrText>h</w:instrText>
      </w:r>
      <w:r w:rsidRPr="00CE64DE">
        <w:rPr>
          <w:rFonts w:ascii="Times New Roman" w:eastAsia="MS Mincho" w:hAnsi="Times New Roman" w:cs="Times New Roman"/>
          <w:sz w:val="28"/>
        </w:rPr>
        <w:instrText xml:space="preserve"> \</w:instrText>
      </w:r>
      <w:r w:rsidRPr="00CE64DE">
        <w:rPr>
          <w:rFonts w:ascii="Times New Roman" w:eastAsia="MS Mincho" w:hAnsi="Times New Roman" w:cs="Times New Roman"/>
          <w:sz w:val="28"/>
          <w:lang w:val="en-US"/>
        </w:rPr>
        <w:instrText>z</w:instrText>
      </w:r>
      <w:r w:rsidRPr="00CE64DE">
        <w:rPr>
          <w:rFonts w:ascii="Times New Roman" w:eastAsia="MS Mincho" w:hAnsi="Times New Roman" w:cs="Times New Roman"/>
          <w:sz w:val="28"/>
        </w:rPr>
        <w:instrText xml:space="preserve"> \</w:instrText>
      </w:r>
      <w:r w:rsidRPr="00CE64DE">
        <w:rPr>
          <w:rFonts w:ascii="Times New Roman" w:eastAsia="MS Mincho" w:hAnsi="Times New Roman" w:cs="Times New Roman"/>
          <w:sz w:val="28"/>
          <w:lang w:val="en-US"/>
        </w:rPr>
        <w:instrText>u</w:instrText>
      </w:r>
      <w:r w:rsidRPr="00CE64DE">
        <w:rPr>
          <w:rFonts w:ascii="Times New Roman" w:eastAsia="MS Mincho" w:hAnsi="Times New Roman" w:cs="Times New Roman"/>
          <w:sz w:val="28"/>
          <w:lang w:val="en-US"/>
        </w:rPr>
        <w:fldChar w:fldCharType="end"/>
      </w:r>
      <w:r w:rsidRPr="00CE64DE">
        <w:rPr>
          <w:rFonts w:ascii="Times New Roman" w:eastAsia="Times New Roman" w:hAnsi="Times New Roman" w:cs="Times New Roman"/>
          <w:sz w:val="32"/>
          <w:szCs w:val="32"/>
        </w:rPr>
        <w:t>Введение</w:t>
      </w:r>
    </w:p>
    <w:p w14:paraId="16817C7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Актуальность исследования обусловлена снижением физической активности студентов и ростом хронических заболеваний. Результаты позволят выявить отклонения в состоянии здоровья и разработать меры профилактики</w:t>
      </w:r>
    </w:p>
    <w:p w14:paraId="0090103D"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Глава 1. Состояние вопроса в литературе</w:t>
      </w:r>
    </w:p>
    <w:p w14:paraId="31CB9A1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1.1 Понятие биологического возраста в научной литературе</w:t>
      </w:r>
    </w:p>
    <w:p w14:paraId="6AE2A14B"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xml:space="preserve">Понятие биологического возраста отражает реальное состояние организма в сравнении с календарным. Поза «цапля», могут выступать маркерами функционального возраста. Физическая активность, по исследованиям Гритчиной и Хоркиной (2022г.), коррелирует с ощущением счастья и снижением биологического возраста. Существует теоретическое и эмпирическое обоснование применения тестов на равновесие и физическую активность как индикаторов здоровья студентов.  </w:t>
      </w:r>
    </w:p>
    <w:p w14:paraId="1352B026"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1.2 Влияние физической активности на здоровье студентов</w:t>
      </w:r>
    </w:p>
    <w:p w14:paraId="663C6144"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Физическая активность положительно влияет на продолжительность жизни и биологический возраст. Гимнастические упражнения, включая упражнения на равновесие (например, поза «цапля»), улучшают нервно-мышечную координацию и адаптационные резервы.</w:t>
      </w:r>
    </w:p>
    <w:p w14:paraId="356C682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В литературе подчёркивается важность физических упражнений для замедления процессов старения.</w:t>
      </w:r>
    </w:p>
    <w:p w14:paraId="1AE3D8EA"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3205467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Глава 2. Организация исследования</w:t>
      </w:r>
    </w:p>
    <w:p w14:paraId="0F6C8186"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Цель исследования — оценка биологического возраста студентов 1–2 курсов на основе гимнастических тестов статистической балансировки.</w:t>
      </w:r>
    </w:p>
    <w:p w14:paraId="50B199B1"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Задачи исследования:</w:t>
      </w:r>
    </w:p>
    <w:p w14:paraId="4861F4FD"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1. Изучить современные подходы к оценке биологического возраста студентов.</w:t>
      </w:r>
    </w:p>
    <w:p w14:paraId="71007802"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2. Провести практическую оценку состояния здоровья у студентов 1–2 курсов.</w:t>
      </w:r>
    </w:p>
    <w:p w14:paraId="3A08C65C"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3. Сравнить показатели двух нормативов у разных групп студентов.</w:t>
      </w:r>
    </w:p>
    <w:p w14:paraId="7DAE84F8"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Исследование проводилось среди студентов 1-2 курсов, направлений «Бизнес-информатика» и «Прикладная математика» в количестве 40 человек. Оценивались два показателя: удержание равновесия в позе «цапля» и прыжок в длину с места.</w:t>
      </w:r>
    </w:p>
    <w:p w14:paraId="2B301E39"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70043B8F"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6D6DC865"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lang w:val="en-US"/>
        </w:rPr>
      </w:pPr>
      <w:r w:rsidRPr="00CE64DE">
        <w:rPr>
          <w:rFonts w:ascii="Times New Roman" w:eastAsia="MS Mincho" w:hAnsi="Times New Roman" w:cs="Times New Roman"/>
          <w:noProof/>
          <w:sz w:val="28"/>
          <w:lang w:eastAsia="ru-RU"/>
        </w:rPr>
        <w:drawing>
          <wp:inline distT="0" distB="0" distL="0" distR="0" wp14:anchorId="4B458169" wp14:editId="4482705C">
            <wp:extent cx="3533775" cy="2650331"/>
            <wp:effectExtent l="0" t="0" r="0" b="0"/>
            <wp:docPr id="707661016" name="Рисунок 70766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9">
                      <a:extLst>
                        <a:ext uri="{28A0092B-C50C-407E-A947-70E740481C1C}">
                          <a14:useLocalDpi xmlns:a14="http://schemas.microsoft.com/office/drawing/2010/main" val="0"/>
                        </a:ext>
                      </a:extLst>
                    </a:blip>
                    <a:stretch>
                      <a:fillRect/>
                    </a:stretch>
                  </pic:blipFill>
                  <pic:spPr>
                    <a:xfrm>
                      <a:off x="0" y="0"/>
                      <a:ext cx="3533775" cy="2650331"/>
                    </a:xfrm>
                    <a:prstGeom prst="rect">
                      <a:avLst/>
                    </a:prstGeom>
                  </pic:spPr>
                </pic:pic>
              </a:graphicData>
            </a:graphic>
          </wp:inline>
        </w:drawing>
      </w:r>
    </w:p>
    <w:p w14:paraId="27ADB6D1"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color w:val="000000"/>
          <w:sz w:val="32"/>
          <w:szCs w:val="32"/>
        </w:rPr>
        <w:t>Рис.1 Данные студентов по выполнению статической балансировки 1 курса обоих направлений</w:t>
      </w:r>
    </w:p>
    <w:p w14:paraId="4E4B2799"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343AF0D9"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lang w:val="en-US"/>
        </w:rPr>
      </w:pPr>
      <w:r w:rsidRPr="00CE64DE">
        <w:rPr>
          <w:rFonts w:ascii="Times New Roman" w:eastAsia="MS Mincho" w:hAnsi="Times New Roman" w:cs="Times New Roman"/>
          <w:noProof/>
          <w:sz w:val="28"/>
          <w:lang w:eastAsia="ru-RU"/>
        </w:rPr>
        <w:drawing>
          <wp:inline distT="0" distB="0" distL="0" distR="0" wp14:anchorId="5B1D63BE" wp14:editId="11886690">
            <wp:extent cx="3578225" cy="2683669"/>
            <wp:effectExtent l="0" t="0" r="0" b="0"/>
            <wp:docPr id="1900670259" name="Рисунок 190067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0">
                      <a:extLst>
                        <a:ext uri="{28A0092B-C50C-407E-A947-70E740481C1C}">
                          <a14:useLocalDpi xmlns:a14="http://schemas.microsoft.com/office/drawing/2010/main" val="0"/>
                        </a:ext>
                      </a:extLst>
                    </a:blip>
                    <a:stretch>
                      <a:fillRect/>
                    </a:stretch>
                  </pic:blipFill>
                  <pic:spPr>
                    <a:xfrm>
                      <a:off x="0" y="0"/>
                      <a:ext cx="3578225" cy="2683669"/>
                    </a:xfrm>
                    <a:prstGeom prst="rect">
                      <a:avLst/>
                    </a:prstGeom>
                  </pic:spPr>
                </pic:pic>
              </a:graphicData>
            </a:graphic>
          </wp:inline>
        </w:drawing>
      </w:r>
    </w:p>
    <w:p w14:paraId="54368D9F"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color w:val="000000"/>
          <w:sz w:val="32"/>
          <w:szCs w:val="32"/>
        </w:rPr>
        <w:t>Рис.2 Данные студентов по выполнению статической балансировки 2 курса обоих направлений</w:t>
      </w:r>
    </w:p>
    <w:p w14:paraId="4BE3EFF7"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lang w:val="en-US"/>
        </w:rPr>
      </w:pPr>
      <w:r w:rsidRPr="00CE64DE">
        <w:rPr>
          <w:rFonts w:ascii="Times New Roman" w:eastAsia="MS Mincho" w:hAnsi="Times New Roman" w:cs="Times New Roman"/>
          <w:noProof/>
          <w:sz w:val="28"/>
          <w:lang w:eastAsia="ru-RU"/>
        </w:rPr>
        <w:lastRenderedPageBreak/>
        <w:drawing>
          <wp:inline distT="0" distB="0" distL="0" distR="0" wp14:anchorId="38D3636D" wp14:editId="19E92C2B">
            <wp:extent cx="3371850" cy="2487910"/>
            <wp:effectExtent l="0" t="0" r="0" b="0"/>
            <wp:docPr id="1385759049" name="Рисунок 138575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1" cstate="print">
                      <a:extLst>
                        <a:ext uri="{28A0092B-C50C-407E-A947-70E740481C1C}">
                          <a14:useLocalDpi xmlns:a14="http://schemas.microsoft.com/office/drawing/2010/main" val="0"/>
                        </a:ext>
                      </a:extLst>
                    </a:blip>
                    <a:stretch>
                      <a:fillRect/>
                    </a:stretch>
                  </pic:blipFill>
                  <pic:spPr>
                    <a:xfrm>
                      <a:off x="0" y="0"/>
                      <a:ext cx="3371850" cy="2487910"/>
                    </a:xfrm>
                    <a:prstGeom prst="rect">
                      <a:avLst/>
                    </a:prstGeom>
                  </pic:spPr>
                </pic:pic>
              </a:graphicData>
            </a:graphic>
          </wp:inline>
        </w:drawing>
      </w:r>
    </w:p>
    <w:p w14:paraId="0279C375"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color w:val="000000"/>
          <w:sz w:val="32"/>
          <w:szCs w:val="32"/>
        </w:rPr>
        <w:t>Рис.3 Сравнение результатов двух нормативов у студентов 1 курса (верхняя кривая - результаты прыжка в длину, нижняя - результаты удержания позы “цапля”)</w:t>
      </w:r>
    </w:p>
    <w:p w14:paraId="144C0220"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42FA35F5"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lang w:val="en-US"/>
        </w:rPr>
      </w:pPr>
      <w:r w:rsidRPr="00CE64DE">
        <w:rPr>
          <w:rFonts w:ascii="Times New Roman" w:eastAsia="MS Mincho" w:hAnsi="Times New Roman" w:cs="Times New Roman"/>
          <w:noProof/>
          <w:sz w:val="28"/>
          <w:lang w:eastAsia="ru-RU"/>
        </w:rPr>
        <w:drawing>
          <wp:inline distT="0" distB="0" distL="0" distR="0" wp14:anchorId="53DE5293" wp14:editId="6F25D855">
            <wp:extent cx="3612754" cy="2665660"/>
            <wp:effectExtent l="0" t="0" r="0" b="0"/>
            <wp:docPr id="340238716" name="Рисунок 34023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2" cstate="print">
                      <a:extLst>
                        <a:ext uri="{28A0092B-C50C-407E-A947-70E740481C1C}">
                          <a14:useLocalDpi xmlns:a14="http://schemas.microsoft.com/office/drawing/2010/main" val="0"/>
                        </a:ext>
                      </a:extLst>
                    </a:blip>
                    <a:stretch>
                      <a:fillRect/>
                    </a:stretch>
                  </pic:blipFill>
                  <pic:spPr>
                    <a:xfrm>
                      <a:off x="0" y="0"/>
                      <a:ext cx="3612754" cy="2665660"/>
                    </a:xfrm>
                    <a:prstGeom prst="rect">
                      <a:avLst/>
                    </a:prstGeom>
                  </pic:spPr>
                </pic:pic>
              </a:graphicData>
            </a:graphic>
          </wp:inline>
        </w:drawing>
      </w:r>
    </w:p>
    <w:p w14:paraId="13F4C88E"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color w:val="000000"/>
          <w:sz w:val="32"/>
          <w:szCs w:val="32"/>
        </w:rPr>
        <w:t>Рис.4 Сравнение результатов двух нормативов у студентов 1 курса (верхняя кривая - результаты прыжка в длину, нижняя - результаты удержания позы “цапля”)</w:t>
      </w:r>
    </w:p>
    <w:p w14:paraId="30BEAD2E"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p>
    <w:p w14:paraId="1E067D07"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Глава 3. Анализ полученных результатов</w:t>
      </w:r>
    </w:p>
    <w:p w14:paraId="79F73BAC"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Исходя из полученных результатов, мы можем сделать вывод, что между физической подготовкой и биологическим возрастом существует прямая связь.</w:t>
      </w:r>
    </w:p>
    <w:p w14:paraId="1CB9364A"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Выводы</w:t>
      </w:r>
    </w:p>
    <w:p w14:paraId="086471A7"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1. Оценка биологического возраста студентов позволяет выявить отклонения и сформировать рекомендации по улучшению образа жизни.</w:t>
      </w:r>
    </w:p>
    <w:p w14:paraId="1068D30F"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lastRenderedPageBreak/>
        <w:t>2. Проведенное тестирование выявило, что большинство студентов имеют удовлетворительное состояние здоровья.</w:t>
      </w:r>
    </w:p>
    <w:p w14:paraId="2075B38D"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3. Результаты тестов подтверждают, что более физически активные студенты демонстрируют лучшие показатели как в гимнастических упражнениях, так и в прыжке в длину.</w:t>
      </w:r>
    </w:p>
    <w:p w14:paraId="6FB2D78F"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Заключение</w:t>
      </w:r>
    </w:p>
    <w:p w14:paraId="3B048A9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xml:space="preserve">Регулярные физические нагрузки, особенно гимнастические упражнения, являются эффективным средством снижения биологического возраста. </w:t>
      </w:r>
    </w:p>
    <w:p w14:paraId="38450C89"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Практические рекомендации</w:t>
      </w:r>
    </w:p>
    <w:p w14:paraId="4BFEA329"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Для студентов:</w:t>
      </w:r>
    </w:p>
    <w:p w14:paraId="02C62900"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Ежедневно выполнять гимнастические упражнения (по 10–15 минут утром и вечером);</w:t>
      </w:r>
    </w:p>
    <w:p w14:paraId="071F94F5"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Использовать балансировочные упражнения, включая позу «цапля»;</w:t>
      </w:r>
    </w:p>
    <w:p w14:paraId="61A23812"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Соблюдать режим сна и питания, избегать вредных привычек.</w:t>
      </w:r>
    </w:p>
    <w:p w14:paraId="274DFCCC"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Для вузов:</w:t>
      </w:r>
    </w:p>
    <w:p w14:paraId="75E7E8BC"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Организовать гимнастические разминки перед началом учебного дня;</w:t>
      </w:r>
    </w:p>
    <w:p w14:paraId="5CD87133" w14:textId="77777777" w:rsidR="00CE64DE" w:rsidRPr="00CE64DE" w:rsidRDefault="00CE64DE" w:rsidP="003C7E3C">
      <w:pPr>
        <w:spacing w:after="0" w:line="240" w:lineRule="auto"/>
        <w:ind w:firstLine="709"/>
        <w:jc w:val="both"/>
        <w:rPr>
          <w:rFonts w:ascii="Times New Roman" w:eastAsia="Times New Roman" w:hAnsi="Times New Roman" w:cs="Times New Roman"/>
          <w:sz w:val="32"/>
          <w:szCs w:val="32"/>
        </w:rPr>
      </w:pPr>
      <w:r w:rsidRPr="00CE64DE">
        <w:rPr>
          <w:rFonts w:ascii="Times New Roman" w:eastAsia="Times New Roman" w:hAnsi="Times New Roman" w:cs="Times New Roman"/>
          <w:sz w:val="32"/>
          <w:szCs w:val="32"/>
        </w:rPr>
        <w:t>- Оборудовать залы и помещения для занятий гимнастикой и ЛФК;</w:t>
      </w:r>
    </w:p>
    <w:p w14:paraId="767BA9EF" w14:textId="0EF2027B" w:rsidR="00CE64DE" w:rsidRPr="00CE64DE" w:rsidRDefault="0030182F" w:rsidP="00CE64DE">
      <w:pPr>
        <w:spacing w:after="20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Л</w:t>
      </w:r>
      <w:r w:rsidR="00CE64DE" w:rsidRPr="00CE64DE">
        <w:rPr>
          <w:rFonts w:ascii="Times New Roman" w:eastAsia="Times New Roman" w:hAnsi="Times New Roman" w:cs="Times New Roman"/>
          <w:b/>
          <w:bCs/>
          <w:sz w:val="21"/>
          <w:szCs w:val="21"/>
        </w:rPr>
        <w:t>итератур</w:t>
      </w:r>
      <w:r>
        <w:rPr>
          <w:rFonts w:ascii="Times New Roman" w:eastAsia="Times New Roman" w:hAnsi="Times New Roman" w:cs="Times New Roman"/>
          <w:b/>
          <w:bCs/>
          <w:sz w:val="21"/>
          <w:szCs w:val="21"/>
        </w:rPr>
        <w:t>а:</w:t>
      </w:r>
    </w:p>
    <w:p w14:paraId="0133320F" w14:textId="77777777" w:rsidR="00CE64DE" w:rsidRPr="00CE64DE" w:rsidRDefault="00CE64DE" w:rsidP="0030182F">
      <w:pPr>
        <w:spacing w:after="0" w:line="240" w:lineRule="auto"/>
        <w:jc w:val="both"/>
        <w:rPr>
          <w:rFonts w:ascii="Times New Roman" w:eastAsia="Times New Roman" w:hAnsi="Times New Roman" w:cs="Times New Roman"/>
          <w:sz w:val="21"/>
          <w:szCs w:val="21"/>
        </w:rPr>
      </w:pPr>
      <w:r w:rsidRPr="00CE64DE">
        <w:rPr>
          <w:rFonts w:ascii="Times New Roman" w:eastAsia="Times New Roman" w:hAnsi="Times New Roman" w:cs="Times New Roman"/>
          <w:sz w:val="21"/>
          <w:szCs w:val="21"/>
        </w:rPr>
        <w:t>1. Иванов С.А. Биологический возраст и здоровье молодежи. — М.: Наука, 2018. — 184 с.</w:t>
      </w:r>
    </w:p>
    <w:p w14:paraId="24142339" w14:textId="77777777" w:rsidR="00CE64DE" w:rsidRPr="00CE64DE" w:rsidRDefault="00CE64DE" w:rsidP="0030182F">
      <w:pPr>
        <w:spacing w:after="0" w:line="240" w:lineRule="auto"/>
        <w:jc w:val="both"/>
        <w:rPr>
          <w:rFonts w:ascii="Times New Roman" w:eastAsia="Times New Roman" w:hAnsi="Times New Roman" w:cs="Times New Roman"/>
          <w:sz w:val="21"/>
          <w:szCs w:val="21"/>
        </w:rPr>
      </w:pPr>
      <w:r w:rsidRPr="00CE64DE">
        <w:rPr>
          <w:rFonts w:ascii="Times New Roman" w:eastAsia="Times New Roman" w:hAnsi="Times New Roman" w:cs="Times New Roman"/>
          <w:sz w:val="21"/>
          <w:szCs w:val="21"/>
        </w:rPr>
        <w:t>2. Черемушкина И.И. и др. Физическая активность и адаптация студентов в вузе // Педагогика. – СПб.: ЛГУ, 2020. – №5. – С. 22–29.</w:t>
      </w:r>
    </w:p>
    <w:p w14:paraId="3397F6E9" w14:textId="77777777" w:rsidR="00CE64DE" w:rsidRPr="00CE64DE" w:rsidRDefault="00CE64DE" w:rsidP="0030182F">
      <w:pPr>
        <w:spacing w:after="0" w:line="240" w:lineRule="auto"/>
        <w:jc w:val="both"/>
        <w:rPr>
          <w:rFonts w:ascii="Times New Roman" w:eastAsia="Times New Roman" w:hAnsi="Times New Roman" w:cs="Times New Roman"/>
          <w:sz w:val="21"/>
          <w:szCs w:val="21"/>
        </w:rPr>
      </w:pPr>
      <w:r w:rsidRPr="00CE64DE">
        <w:rPr>
          <w:rFonts w:ascii="Times New Roman" w:eastAsia="Times New Roman" w:hAnsi="Times New Roman" w:cs="Times New Roman"/>
          <w:sz w:val="21"/>
          <w:szCs w:val="21"/>
        </w:rPr>
        <w:t>3. Гритчина В.М., Хоркина Н.А. Делают ли занятия спортом молодых россиян счастливее? // Молодежь и общество. — 2022. — №4.</w:t>
      </w:r>
    </w:p>
    <w:p w14:paraId="67E80645" w14:textId="77777777" w:rsidR="00CE64DE" w:rsidRPr="00CE64DE" w:rsidRDefault="00CE64DE" w:rsidP="0030182F">
      <w:pPr>
        <w:spacing w:after="0" w:line="240" w:lineRule="auto"/>
        <w:jc w:val="both"/>
        <w:rPr>
          <w:rFonts w:ascii="Times New Roman" w:eastAsia="Times New Roman" w:hAnsi="Times New Roman" w:cs="Times New Roman"/>
          <w:sz w:val="21"/>
          <w:szCs w:val="21"/>
        </w:rPr>
      </w:pPr>
      <w:r w:rsidRPr="00CE64DE">
        <w:rPr>
          <w:rFonts w:ascii="Times New Roman" w:eastAsia="Times New Roman" w:hAnsi="Times New Roman" w:cs="Times New Roman"/>
          <w:sz w:val="21"/>
          <w:szCs w:val="21"/>
        </w:rPr>
        <w:t xml:space="preserve">4. </w:t>
      </w:r>
      <w:r w:rsidRPr="00CE64DE">
        <w:rPr>
          <w:rFonts w:ascii="Times New Roman" w:eastAsia="Times New Roman" w:hAnsi="Times New Roman" w:cs="Times New Roman"/>
          <w:sz w:val="21"/>
          <w:szCs w:val="21"/>
          <w:lang w:val="en-US"/>
        </w:rPr>
        <w:t>https</w:t>
      </w:r>
      <w:r w:rsidRPr="00CE64DE">
        <w:rPr>
          <w:rFonts w:ascii="Times New Roman" w:eastAsia="Times New Roman" w:hAnsi="Times New Roman" w:cs="Times New Roman"/>
          <w:sz w:val="21"/>
          <w:szCs w:val="21"/>
        </w:rPr>
        <w:t>://</w:t>
      </w:r>
      <w:r w:rsidRPr="00CE64DE">
        <w:rPr>
          <w:rFonts w:ascii="Times New Roman" w:eastAsia="Times New Roman" w:hAnsi="Times New Roman" w:cs="Times New Roman"/>
          <w:sz w:val="21"/>
          <w:szCs w:val="21"/>
          <w:lang w:val="en-US"/>
        </w:rPr>
        <w:t>vrach</w:t>
      </w:r>
      <w:r w:rsidRPr="00CE64DE">
        <w:rPr>
          <w:rFonts w:ascii="Times New Roman" w:eastAsia="Times New Roman" w:hAnsi="Times New Roman" w:cs="Times New Roman"/>
          <w:sz w:val="21"/>
          <w:szCs w:val="21"/>
        </w:rPr>
        <w:t>-</w:t>
      </w:r>
      <w:r w:rsidRPr="00CE64DE">
        <w:rPr>
          <w:rFonts w:ascii="Times New Roman" w:eastAsia="Times New Roman" w:hAnsi="Times New Roman" w:cs="Times New Roman"/>
          <w:sz w:val="21"/>
          <w:szCs w:val="21"/>
          <w:lang w:val="en-US"/>
        </w:rPr>
        <w:t>aspirant</w:t>
      </w:r>
      <w:r w:rsidRPr="00CE64DE">
        <w:rPr>
          <w:rFonts w:ascii="Times New Roman" w:eastAsia="Times New Roman" w:hAnsi="Times New Roman" w:cs="Times New Roman"/>
          <w:sz w:val="21"/>
          <w:szCs w:val="21"/>
        </w:rPr>
        <w:t>.</w:t>
      </w:r>
      <w:r w:rsidRPr="00CE64DE">
        <w:rPr>
          <w:rFonts w:ascii="Times New Roman" w:eastAsia="Times New Roman" w:hAnsi="Times New Roman" w:cs="Times New Roman"/>
          <w:sz w:val="21"/>
          <w:szCs w:val="21"/>
          <w:lang w:val="en-US"/>
        </w:rPr>
        <w:t>ru</w:t>
      </w:r>
      <w:r w:rsidRPr="00CE64DE">
        <w:rPr>
          <w:rFonts w:ascii="Times New Roman" w:eastAsia="Times New Roman" w:hAnsi="Times New Roman" w:cs="Times New Roman"/>
          <w:sz w:val="21"/>
          <w:szCs w:val="21"/>
        </w:rPr>
        <w:t>/</w:t>
      </w:r>
      <w:r w:rsidRPr="00CE64DE">
        <w:rPr>
          <w:rFonts w:ascii="Times New Roman" w:eastAsia="Times New Roman" w:hAnsi="Times New Roman" w:cs="Times New Roman"/>
          <w:sz w:val="21"/>
          <w:szCs w:val="21"/>
          <w:lang w:val="en-US"/>
        </w:rPr>
        <w:t>articles</w:t>
      </w:r>
      <w:r w:rsidRPr="00CE64DE">
        <w:rPr>
          <w:rFonts w:ascii="Times New Roman" w:eastAsia="Times New Roman" w:hAnsi="Times New Roman" w:cs="Times New Roman"/>
          <w:sz w:val="21"/>
          <w:szCs w:val="21"/>
        </w:rPr>
        <w:t>/</w:t>
      </w:r>
      <w:r w:rsidRPr="00CE64DE">
        <w:rPr>
          <w:rFonts w:ascii="Times New Roman" w:eastAsia="Times New Roman" w:hAnsi="Times New Roman" w:cs="Times New Roman"/>
          <w:sz w:val="21"/>
          <w:szCs w:val="21"/>
          <w:lang w:val="en-US"/>
        </w:rPr>
        <w:t>clinical</w:t>
      </w:r>
      <w:r w:rsidRPr="00CE64DE">
        <w:rPr>
          <w:rFonts w:ascii="Times New Roman" w:eastAsia="Times New Roman" w:hAnsi="Times New Roman" w:cs="Times New Roman"/>
          <w:sz w:val="21"/>
          <w:szCs w:val="21"/>
        </w:rPr>
        <w:t>_</w:t>
      </w:r>
      <w:r w:rsidRPr="00CE64DE">
        <w:rPr>
          <w:rFonts w:ascii="Times New Roman" w:eastAsia="Times New Roman" w:hAnsi="Times New Roman" w:cs="Times New Roman"/>
          <w:sz w:val="21"/>
          <w:szCs w:val="21"/>
          <w:lang w:val="en-US"/>
        </w:rPr>
        <w:t>psychology</w:t>
      </w:r>
      <w:r w:rsidRPr="00CE64DE">
        <w:rPr>
          <w:rFonts w:ascii="Times New Roman" w:eastAsia="Times New Roman" w:hAnsi="Times New Roman" w:cs="Times New Roman"/>
          <w:sz w:val="21"/>
          <w:szCs w:val="21"/>
        </w:rPr>
        <w:t>/12379/</w:t>
      </w:r>
    </w:p>
    <w:p w14:paraId="11C6A908" w14:textId="77777777" w:rsidR="00CE64DE" w:rsidRDefault="00CE64DE" w:rsidP="001D3CDE">
      <w:pPr>
        <w:spacing w:after="0" w:line="279" w:lineRule="auto"/>
        <w:rPr>
          <w:rFonts w:ascii="Times New Roman" w:eastAsia="Times New Roman" w:hAnsi="Times New Roman" w:cs="Times New Roman"/>
          <w:sz w:val="24"/>
          <w:szCs w:val="24"/>
        </w:rPr>
      </w:pPr>
    </w:p>
    <w:p w14:paraId="167A2668" w14:textId="77777777" w:rsidR="00DE23E8" w:rsidRPr="00DE23E8" w:rsidRDefault="00DE23E8" w:rsidP="00DE23E8">
      <w:pPr>
        <w:spacing w:after="0" w:line="276" w:lineRule="auto"/>
        <w:jc w:val="both"/>
        <w:rPr>
          <w:rFonts w:ascii="Times New Roman" w:eastAsia="Times New Roman" w:hAnsi="Times New Roman" w:cs="Times New Roman"/>
          <w:b/>
          <w:color w:val="000000"/>
          <w:sz w:val="21"/>
          <w:szCs w:val="21"/>
        </w:rPr>
      </w:pPr>
      <w:r w:rsidRPr="00DE23E8">
        <w:rPr>
          <w:rFonts w:ascii="Times New Roman" w:eastAsia="Times New Roman" w:hAnsi="Times New Roman" w:cs="Times New Roman"/>
          <w:b/>
          <w:color w:val="000000"/>
          <w:sz w:val="21"/>
          <w:szCs w:val="21"/>
        </w:rPr>
        <w:t xml:space="preserve">УДК </w:t>
      </w:r>
      <w:r w:rsidRPr="00DE23E8">
        <w:rPr>
          <w:rFonts w:ascii="Times New Roman" w:eastAsia="Times New Roman" w:hAnsi="Times New Roman" w:cs="Times New Roman"/>
          <w:b/>
          <w:bCs/>
          <w:color w:val="000000"/>
          <w:sz w:val="21"/>
          <w:szCs w:val="21"/>
          <w:shd w:val="clear" w:color="auto" w:fill="FFFFFF"/>
          <w:lang w:eastAsia="ru-RU"/>
        </w:rPr>
        <w:t>339.138</w:t>
      </w:r>
    </w:p>
    <w:p w14:paraId="67201CA6" w14:textId="4BFE4758"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b/>
          <w:bCs/>
          <w:i/>
          <w:iCs/>
          <w:color w:val="000000"/>
          <w:sz w:val="21"/>
          <w:szCs w:val="21"/>
          <w:shd w:val="clear" w:color="auto" w:fill="FFFFFF"/>
          <w:lang w:eastAsia="ru-RU"/>
        </w:rPr>
        <w:t>Зеленская Е.Д.,</w:t>
      </w:r>
    </w:p>
    <w:p w14:paraId="55F80756"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i/>
          <w:iCs/>
          <w:color w:val="000000"/>
          <w:sz w:val="21"/>
          <w:szCs w:val="21"/>
          <w:shd w:val="clear" w:color="auto" w:fill="FFFFFF"/>
          <w:lang w:eastAsia="ru-RU"/>
        </w:rPr>
        <w:t>студентка 3 курса</w:t>
      </w:r>
    </w:p>
    <w:p w14:paraId="5A7D5F87" w14:textId="77777777" w:rsidR="00C60FF1" w:rsidRDefault="00C60FF1" w:rsidP="00C60FF1">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CD5CE7E"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i/>
          <w:iCs/>
          <w:color w:val="000000"/>
          <w:sz w:val="21"/>
          <w:szCs w:val="21"/>
          <w:shd w:val="clear" w:color="auto" w:fill="FFFFFF"/>
          <w:lang w:eastAsia="ru-RU"/>
        </w:rPr>
        <w:t>г. Краснодар, Россия</w:t>
      </w:r>
    </w:p>
    <w:p w14:paraId="515F6C26" w14:textId="61F5D73B" w:rsidR="00DE23E8" w:rsidRPr="00C30970" w:rsidRDefault="00DE23E8" w:rsidP="00DE23E8">
      <w:pPr>
        <w:spacing w:after="0" w:line="240" w:lineRule="auto"/>
        <w:jc w:val="right"/>
        <w:rPr>
          <w:rFonts w:ascii="Times New Roman" w:eastAsia="Times New Roman" w:hAnsi="Times New Roman" w:cs="Times New Roman"/>
          <w:i/>
          <w:iCs/>
          <w:color w:val="000000"/>
          <w:sz w:val="21"/>
          <w:szCs w:val="21"/>
          <w:u w:val="single"/>
          <w:lang w:eastAsia="ru-RU"/>
        </w:rPr>
      </w:pPr>
      <w:r w:rsidRPr="00DE23E8">
        <w:rPr>
          <w:rFonts w:ascii="Times New Roman" w:eastAsia="Times New Roman" w:hAnsi="Times New Roman" w:cs="Times New Roman"/>
          <w:i/>
          <w:iCs/>
          <w:color w:val="000000"/>
          <w:sz w:val="21"/>
          <w:szCs w:val="21"/>
          <w:shd w:val="clear" w:color="auto" w:fill="FFFFFF"/>
          <w:lang w:val="en-US" w:eastAsia="ru-RU"/>
        </w:rPr>
        <w:t>e</w:t>
      </w:r>
      <w:r w:rsidRPr="00C30970">
        <w:rPr>
          <w:rFonts w:ascii="Times New Roman" w:eastAsia="Times New Roman" w:hAnsi="Times New Roman" w:cs="Times New Roman"/>
          <w:i/>
          <w:iCs/>
          <w:color w:val="000000"/>
          <w:sz w:val="21"/>
          <w:szCs w:val="21"/>
          <w:shd w:val="clear" w:color="auto" w:fill="FFFFFF"/>
          <w:lang w:eastAsia="ru-RU"/>
        </w:rPr>
        <w:t>-</w:t>
      </w:r>
      <w:r w:rsidRPr="00DE23E8">
        <w:rPr>
          <w:rFonts w:ascii="Times New Roman" w:eastAsia="Times New Roman" w:hAnsi="Times New Roman" w:cs="Times New Roman"/>
          <w:i/>
          <w:iCs/>
          <w:color w:val="000000"/>
          <w:sz w:val="21"/>
          <w:szCs w:val="21"/>
          <w:shd w:val="clear" w:color="auto" w:fill="FFFFFF"/>
          <w:lang w:val="en-US" w:eastAsia="ru-RU"/>
        </w:rPr>
        <w:t>mail</w:t>
      </w:r>
      <w:r w:rsidRPr="00C30970">
        <w:rPr>
          <w:rFonts w:ascii="Times New Roman" w:eastAsia="Times New Roman" w:hAnsi="Times New Roman" w:cs="Times New Roman"/>
          <w:i/>
          <w:iCs/>
          <w:color w:val="000000"/>
          <w:sz w:val="21"/>
          <w:szCs w:val="21"/>
          <w:shd w:val="clear" w:color="auto" w:fill="FFFFFF"/>
          <w:lang w:eastAsia="ru-RU"/>
        </w:rPr>
        <w:t xml:space="preserve">: </w:t>
      </w:r>
      <w:hyperlink r:id="rId653" w:history="1">
        <w:r w:rsidR="00C60FF1" w:rsidRPr="00DE23E8">
          <w:rPr>
            <w:rStyle w:val="aa"/>
            <w:rFonts w:ascii="Times New Roman" w:eastAsia="Times New Roman" w:hAnsi="Times New Roman" w:cs="Times New Roman"/>
            <w:i/>
            <w:iCs/>
            <w:sz w:val="21"/>
            <w:szCs w:val="21"/>
            <w:lang w:val="en-US" w:eastAsia="ru-RU"/>
          </w:rPr>
          <w:t>helen</w:t>
        </w:r>
        <w:r w:rsidR="00C60FF1" w:rsidRPr="00C30970">
          <w:rPr>
            <w:rStyle w:val="aa"/>
            <w:rFonts w:ascii="Times New Roman" w:eastAsia="Times New Roman" w:hAnsi="Times New Roman" w:cs="Times New Roman"/>
            <w:i/>
            <w:iCs/>
            <w:sz w:val="21"/>
            <w:szCs w:val="21"/>
            <w:lang w:eastAsia="ru-RU"/>
          </w:rPr>
          <w:t>_04_</w:t>
        </w:r>
        <w:r w:rsidR="00C60FF1" w:rsidRPr="00DE23E8">
          <w:rPr>
            <w:rStyle w:val="aa"/>
            <w:rFonts w:ascii="Times New Roman" w:eastAsia="Times New Roman" w:hAnsi="Times New Roman" w:cs="Times New Roman"/>
            <w:i/>
            <w:iCs/>
            <w:sz w:val="21"/>
            <w:szCs w:val="21"/>
            <w:lang w:val="en-US" w:eastAsia="ru-RU"/>
          </w:rPr>
          <w:t>d</w:t>
        </w:r>
        <w:r w:rsidR="00C60FF1" w:rsidRPr="00C30970">
          <w:rPr>
            <w:rStyle w:val="aa"/>
            <w:rFonts w:ascii="Times New Roman" w:eastAsia="Times New Roman" w:hAnsi="Times New Roman" w:cs="Times New Roman"/>
            <w:i/>
            <w:iCs/>
            <w:sz w:val="21"/>
            <w:szCs w:val="21"/>
            <w:lang w:eastAsia="ru-RU"/>
          </w:rPr>
          <w:t>@</w:t>
        </w:r>
        <w:r w:rsidR="00C60FF1" w:rsidRPr="00DE23E8">
          <w:rPr>
            <w:rStyle w:val="aa"/>
            <w:rFonts w:ascii="Times New Roman" w:eastAsia="Times New Roman" w:hAnsi="Times New Roman" w:cs="Times New Roman"/>
            <w:i/>
            <w:iCs/>
            <w:sz w:val="21"/>
            <w:szCs w:val="21"/>
            <w:lang w:val="en-US" w:eastAsia="ru-RU"/>
          </w:rPr>
          <w:t>mail</w:t>
        </w:r>
        <w:r w:rsidR="00C60FF1" w:rsidRPr="00C30970">
          <w:rPr>
            <w:rStyle w:val="aa"/>
            <w:rFonts w:ascii="Times New Roman" w:eastAsia="Times New Roman" w:hAnsi="Times New Roman" w:cs="Times New Roman"/>
            <w:i/>
            <w:iCs/>
            <w:sz w:val="21"/>
            <w:szCs w:val="21"/>
            <w:lang w:eastAsia="ru-RU"/>
          </w:rPr>
          <w:t>.</w:t>
        </w:r>
        <w:r w:rsidR="00C60FF1" w:rsidRPr="00DE23E8">
          <w:rPr>
            <w:rStyle w:val="aa"/>
            <w:rFonts w:ascii="Times New Roman" w:eastAsia="Times New Roman" w:hAnsi="Times New Roman" w:cs="Times New Roman"/>
            <w:i/>
            <w:iCs/>
            <w:sz w:val="21"/>
            <w:szCs w:val="21"/>
            <w:lang w:val="en-US" w:eastAsia="ru-RU"/>
          </w:rPr>
          <w:t>ru</w:t>
        </w:r>
      </w:hyperlink>
    </w:p>
    <w:p w14:paraId="0B777E26" w14:textId="77777777" w:rsidR="00C60FF1" w:rsidRPr="00C30970" w:rsidRDefault="00C60FF1" w:rsidP="00DE23E8">
      <w:pPr>
        <w:spacing w:after="0" w:line="240" w:lineRule="auto"/>
        <w:jc w:val="right"/>
        <w:rPr>
          <w:rFonts w:ascii="Times New Roman" w:eastAsia="Times New Roman" w:hAnsi="Times New Roman" w:cs="Times New Roman"/>
          <w:i/>
          <w:iCs/>
          <w:sz w:val="21"/>
          <w:szCs w:val="21"/>
          <w:lang w:eastAsia="ru-RU"/>
        </w:rPr>
      </w:pPr>
    </w:p>
    <w:p w14:paraId="54C4C65E"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b/>
          <w:bCs/>
          <w:i/>
          <w:iCs/>
          <w:color w:val="000000"/>
          <w:sz w:val="21"/>
          <w:szCs w:val="21"/>
          <w:shd w:val="clear" w:color="auto" w:fill="FFFFFF"/>
          <w:lang w:eastAsia="ru-RU"/>
        </w:rPr>
        <w:t>Научный руководитель:</w:t>
      </w:r>
    </w:p>
    <w:p w14:paraId="1BFAF8D0" w14:textId="42F855BF"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b/>
          <w:bCs/>
          <w:i/>
          <w:iCs/>
          <w:color w:val="000000"/>
          <w:sz w:val="21"/>
          <w:szCs w:val="21"/>
          <w:shd w:val="clear" w:color="auto" w:fill="FFFFFF"/>
          <w:lang w:eastAsia="ru-RU"/>
        </w:rPr>
        <w:t>Боцоева А.В.,</w:t>
      </w:r>
    </w:p>
    <w:p w14:paraId="0628164A"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eastAsia="ru-RU"/>
        </w:rPr>
      </w:pPr>
      <w:r w:rsidRPr="00DE23E8">
        <w:rPr>
          <w:rFonts w:ascii="Times New Roman" w:eastAsia="Times New Roman" w:hAnsi="Times New Roman" w:cs="Times New Roman"/>
          <w:i/>
          <w:iCs/>
          <w:color w:val="000000"/>
          <w:sz w:val="21"/>
          <w:szCs w:val="21"/>
          <w:shd w:val="clear" w:color="auto" w:fill="FFFFFF"/>
          <w:lang w:eastAsia="ru-RU"/>
        </w:rPr>
        <w:t> </w:t>
      </w:r>
      <w:r w:rsidRPr="00DE23E8">
        <w:rPr>
          <w:rFonts w:ascii="Times New Roman" w:eastAsia="Times New Roman" w:hAnsi="Times New Roman" w:cs="Times New Roman"/>
          <w:i/>
          <w:iCs/>
        </w:rPr>
        <w:t>к.п.н., доцент</w:t>
      </w:r>
    </w:p>
    <w:p w14:paraId="1850CA06" w14:textId="77777777" w:rsidR="00C60FF1" w:rsidRDefault="00C60FF1" w:rsidP="00C60FF1">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2281835A" w14:textId="77777777" w:rsidR="00DE23E8" w:rsidRPr="00DE23E8" w:rsidRDefault="00DE23E8" w:rsidP="00DE23E8">
      <w:pPr>
        <w:spacing w:after="0" w:line="240" w:lineRule="auto"/>
        <w:jc w:val="right"/>
        <w:rPr>
          <w:rFonts w:ascii="Times New Roman" w:eastAsia="Times New Roman" w:hAnsi="Times New Roman" w:cs="Times New Roman"/>
          <w:i/>
          <w:iCs/>
          <w:color w:val="000000"/>
          <w:sz w:val="21"/>
          <w:szCs w:val="21"/>
          <w:shd w:val="clear" w:color="auto" w:fill="FFFFFF"/>
          <w:lang w:eastAsia="ru-RU"/>
        </w:rPr>
      </w:pPr>
      <w:r w:rsidRPr="00DE23E8">
        <w:rPr>
          <w:rFonts w:ascii="Times New Roman" w:eastAsia="Times New Roman" w:hAnsi="Times New Roman" w:cs="Times New Roman"/>
          <w:i/>
          <w:iCs/>
          <w:color w:val="000000"/>
          <w:sz w:val="21"/>
          <w:szCs w:val="21"/>
          <w:shd w:val="clear" w:color="auto" w:fill="FFFFFF"/>
          <w:lang w:eastAsia="ru-RU"/>
        </w:rPr>
        <w:t>г. Краснодар, Россия</w:t>
      </w:r>
    </w:p>
    <w:p w14:paraId="5D98D4BB" w14:textId="77777777" w:rsidR="00DE23E8" w:rsidRPr="00DE23E8" w:rsidRDefault="00DE23E8" w:rsidP="00DE23E8">
      <w:pPr>
        <w:spacing w:after="0" w:line="240" w:lineRule="auto"/>
        <w:jc w:val="right"/>
        <w:rPr>
          <w:rFonts w:ascii="Times New Roman" w:eastAsia="Times New Roman" w:hAnsi="Times New Roman" w:cs="Times New Roman"/>
          <w:i/>
          <w:iCs/>
          <w:color w:val="000000"/>
          <w:sz w:val="21"/>
          <w:szCs w:val="21"/>
          <w:shd w:val="clear" w:color="auto" w:fill="FFFFFF"/>
          <w:lang w:eastAsia="ru-RU"/>
        </w:rPr>
      </w:pPr>
      <w:r w:rsidRPr="00DE23E8">
        <w:rPr>
          <w:rFonts w:ascii="Times New Roman" w:eastAsia="Times New Roman" w:hAnsi="Times New Roman" w:cs="Times New Roman"/>
          <w:i/>
          <w:iCs/>
          <w:color w:val="000000"/>
          <w:sz w:val="21"/>
          <w:szCs w:val="21"/>
          <w:shd w:val="clear" w:color="auto" w:fill="FFFFFF"/>
          <w:lang w:eastAsia="ru-RU"/>
        </w:rPr>
        <w:t>AVBotsoeva@fa.ru</w:t>
      </w:r>
    </w:p>
    <w:p w14:paraId="4B25FD3F" w14:textId="77777777" w:rsidR="00DE23E8" w:rsidRPr="00DE23E8" w:rsidRDefault="00DE23E8" w:rsidP="00DE23E8">
      <w:pPr>
        <w:spacing w:after="0" w:line="276" w:lineRule="auto"/>
        <w:jc w:val="center"/>
        <w:rPr>
          <w:rFonts w:ascii="Times New Roman" w:eastAsia="Times New Roman" w:hAnsi="Times New Roman" w:cs="Times New Roman"/>
          <w:b/>
          <w:sz w:val="21"/>
          <w:szCs w:val="21"/>
        </w:rPr>
      </w:pPr>
    </w:p>
    <w:p w14:paraId="0B7148A2" w14:textId="77777777" w:rsidR="00DE23E8" w:rsidRPr="00DE23E8" w:rsidRDefault="00DE23E8" w:rsidP="00DE23E8">
      <w:pPr>
        <w:spacing w:after="0" w:line="276" w:lineRule="auto"/>
        <w:jc w:val="center"/>
        <w:rPr>
          <w:rFonts w:ascii="Times New Roman" w:eastAsia="Times New Roman" w:hAnsi="Times New Roman" w:cs="Times New Roman"/>
          <w:b/>
          <w:sz w:val="21"/>
          <w:szCs w:val="21"/>
        </w:rPr>
      </w:pPr>
      <w:r w:rsidRPr="00DE23E8">
        <w:rPr>
          <w:rFonts w:ascii="Times New Roman" w:eastAsia="Times New Roman" w:hAnsi="Times New Roman" w:cs="Times New Roman"/>
          <w:b/>
          <w:sz w:val="21"/>
          <w:szCs w:val="21"/>
        </w:rPr>
        <w:t>Дети, воспитанные смартфонами: как обучать поколение Альфа?</w:t>
      </w:r>
    </w:p>
    <w:p w14:paraId="13FC342A" w14:textId="77777777" w:rsidR="00DE23E8" w:rsidRPr="00DE23E8" w:rsidRDefault="00DE23E8" w:rsidP="00DE23E8">
      <w:pPr>
        <w:spacing w:after="0" w:line="240" w:lineRule="auto"/>
        <w:ind w:firstLine="567"/>
        <w:jc w:val="both"/>
        <w:rPr>
          <w:rFonts w:ascii="Times New Roman" w:eastAsia="Times New Roman" w:hAnsi="Times New Roman" w:cs="Times New Roman"/>
          <w:i/>
          <w:sz w:val="21"/>
          <w:szCs w:val="21"/>
          <w:shd w:val="clear" w:color="auto" w:fill="00FFFF"/>
        </w:rPr>
      </w:pPr>
    </w:p>
    <w:p w14:paraId="4D69E368" w14:textId="77777777" w:rsidR="00DE23E8" w:rsidRPr="00DE23E8" w:rsidRDefault="00DE23E8" w:rsidP="00DE23E8">
      <w:pPr>
        <w:spacing w:after="0" w:line="240" w:lineRule="auto"/>
        <w:ind w:firstLine="567"/>
        <w:jc w:val="both"/>
        <w:rPr>
          <w:rFonts w:ascii="Times New Roman" w:eastAsia="Times New Roman" w:hAnsi="Times New Roman" w:cs="Times New Roman"/>
          <w:iCs/>
          <w:sz w:val="21"/>
          <w:szCs w:val="21"/>
        </w:rPr>
      </w:pPr>
      <w:r w:rsidRPr="00DE23E8">
        <w:rPr>
          <w:rFonts w:ascii="Times New Roman" w:eastAsia="Times New Roman" w:hAnsi="Times New Roman" w:cs="Times New Roman"/>
          <w:b/>
          <w:sz w:val="21"/>
          <w:szCs w:val="21"/>
        </w:rPr>
        <w:t>Аннотация:</w:t>
      </w:r>
      <w:r w:rsidRPr="00DE23E8">
        <w:rPr>
          <w:rFonts w:ascii="Times New Roman" w:eastAsia="Times New Roman" w:hAnsi="Times New Roman" w:cs="Times New Roman"/>
          <w:i/>
          <w:sz w:val="21"/>
          <w:szCs w:val="21"/>
        </w:rPr>
        <w:t xml:space="preserve"> </w:t>
      </w:r>
      <w:r w:rsidRPr="00DE23E8">
        <w:rPr>
          <w:rFonts w:ascii="Times New Roman" w:eastAsia="Times New Roman" w:hAnsi="Times New Roman" w:cs="Times New Roman"/>
          <w:iCs/>
          <w:sz w:val="21"/>
          <w:szCs w:val="21"/>
        </w:rPr>
        <w:t xml:space="preserve">В данной статье рассматривается проблема систематического снижения когнитивных способностей детей дошкольного и младшего школьного возраста, приводится статистика ухудшения </w:t>
      </w:r>
      <w:r w:rsidRPr="00DE23E8">
        <w:rPr>
          <w:rFonts w:ascii="Times New Roman" w:eastAsia="Times New Roman" w:hAnsi="Times New Roman" w:cs="Times New Roman"/>
          <w:iCs/>
          <w:sz w:val="21"/>
          <w:szCs w:val="21"/>
        </w:rPr>
        <w:lastRenderedPageBreak/>
        <w:t>успеваемости школьников младших классов и предлагаются рекомендации по эффективному обучению современных детей.</w:t>
      </w:r>
    </w:p>
    <w:p w14:paraId="7245F6CD" w14:textId="77777777" w:rsidR="00DE23E8" w:rsidRPr="00DE23E8" w:rsidRDefault="00DE23E8" w:rsidP="00DE23E8">
      <w:pPr>
        <w:spacing w:after="0" w:line="240" w:lineRule="auto"/>
        <w:ind w:firstLine="567"/>
        <w:jc w:val="both"/>
        <w:rPr>
          <w:rFonts w:ascii="Times New Roman" w:eastAsia="Times New Roman" w:hAnsi="Times New Roman" w:cs="Times New Roman"/>
          <w:sz w:val="21"/>
          <w:szCs w:val="21"/>
        </w:rPr>
      </w:pPr>
      <w:r w:rsidRPr="00DE23E8">
        <w:rPr>
          <w:rFonts w:ascii="Times New Roman" w:eastAsia="Times New Roman" w:hAnsi="Times New Roman" w:cs="Times New Roman"/>
          <w:b/>
          <w:sz w:val="21"/>
          <w:szCs w:val="21"/>
        </w:rPr>
        <w:t>Ключевые слова:</w:t>
      </w:r>
      <w:r w:rsidRPr="00DE23E8">
        <w:rPr>
          <w:rFonts w:ascii="Times New Roman" w:eastAsia="Times New Roman" w:hAnsi="Times New Roman" w:cs="Times New Roman"/>
          <w:sz w:val="21"/>
          <w:szCs w:val="21"/>
        </w:rPr>
        <w:t xml:space="preserve"> поколение Альфа, клиповое мышление, когнитивные способности, геймификация.</w:t>
      </w:r>
    </w:p>
    <w:p w14:paraId="1131B708" w14:textId="77777777" w:rsidR="00C60FF1" w:rsidRDefault="00C60FF1" w:rsidP="00DE23E8">
      <w:pPr>
        <w:spacing w:after="0" w:line="240" w:lineRule="auto"/>
        <w:jc w:val="right"/>
        <w:rPr>
          <w:rFonts w:ascii="Times New Roman" w:eastAsia="Times New Roman" w:hAnsi="Times New Roman" w:cs="Times New Roman"/>
          <w:b/>
          <w:bCs/>
          <w:i/>
          <w:iCs/>
          <w:color w:val="000000"/>
          <w:sz w:val="21"/>
          <w:szCs w:val="21"/>
          <w:shd w:val="clear" w:color="auto" w:fill="FFFFFF"/>
          <w:lang w:eastAsia="ru-RU"/>
        </w:rPr>
      </w:pPr>
    </w:p>
    <w:p w14:paraId="011A1781" w14:textId="6955873A" w:rsidR="00DE23E8" w:rsidRPr="00DE23E8" w:rsidRDefault="00DE23E8" w:rsidP="00DE23E8">
      <w:pPr>
        <w:spacing w:after="0" w:line="240" w:lineRule="auto"/>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b/>
          <w:bCs/>
          <w:i/>
          <w:iCs/>
          <w:color w:val="000000"/>
          <w:sz w:val="21"/>
          <w:szCs w:val="21"/>
          <w:shd w:val="clear" w:color="auto" w:fill="FFFFFF"/>
          <w:lang w:val="en-US" w:eastAsia="ru-RU"/>
        </w:rPr>
        <w:t>Zelenskaya E. D.,</w:t>
      </w:r>
    </w:p>
    <w:p w14:paraId="61045B3F"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val="en-US" w:eastAsia="ru-RU"/>
        </w:rPr>
      </w:pPr>
      <w:proofErr w:type="gramStart"/>
      <w:r w:rsidRPr="00DE23E8">
        <w:rPr>
          <w:rFonts w:ascii="Times New Roman" w:eastAsia="Times New Roman" w:hAnsi="Times New Roman" w:cs="Times New Roman"/>
          <w:i/>
          <w:iCs/>
          <w:color w:val="000000"/>
          <w:sz w:val="21"/>
          <w:szCs w:val="21"/>
          <w:shd w:val="clear" w:color="auto" w:fill="FFFFFF"/>
          <w:lang w:val="en-US" w:eastAsia="ru-RU"/>
        </w:rPr>
        <w:t>3 year</w:t>
      </w:r>
      <w:proofErr w:type="gramEnd"/>
      <w:r w:rsidRPr="00DE23E8">
        <w:rPr>
          <w:rFonts w:ascii="Times New Roman" w:eastAsia="Times New Roman" w:hAnsi="Times New Roman" w:cs="Times New Roman"/>
          <w:i/>
          <w:iCs/>
          <w:color w:val="000000"/>
          <w:sz w:val="21"/>
          <w:szCs w:val="21"/>
          <w:shd w:val="clear" w:color="auto" w:fill="FFFFFF"/>
          <w:lang w:val="en-US" w:eastAsia="ru-RU"/>
        </w:rPr>
        <w:t xml:space="preserve"> student</w:t>
      </w:r>
    </w:p>
    <w:p w14:paraId="7F2D603E"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i/>
          <w:iCs/>
          <w:color w:val="000000"/>
          <w:sz w:val="21"/>
          <w:szCs w:val="21"/>
          <w:shd w:val="clear" w:color="auto" w:fill="FFFFFF"/>
          <w:lang w:val="en-US" w:eastAsia="ru-RU"/>
        </w:rPr>
        <w:t>Krasnodar branch FGBEI HE «Financial university under the Government of the Russia Federation»</w:t>
      </w:r>
    </w:p>
    <w:p w14:paraId="0AD22675" w14:textId="77777777" w:rsidR="00DE23E8" w:rsidRPr="00DE23E8" w:rsidRDefault="00DE23E8" w:rsidP="00DE23E8">
      <w:pPr>
        <w:spacing w:after="0" w:line="240" w:lineRule="auto"/>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i/>
          <w:iCs/>
          <w:color w:val="000000"/>
          <w:sz w:val="21"/>
          <w:szCs w:val="21"/>
          <w:shd w:val="clear" w:color="auto" w:fill="FFFFFF"/>
          <w:lang w:val="en-US" w:eastAsia="ru-RU"/>
        </w:rPr>
        <w:t>Krasnodar, Russia</w:t>
      </w:r>
    </w:p>
    <w:p w14:paraId="3B1A1AC4" w14:textId="2D6875B4" w:rsidR="00DE23E8" w:rsidRPr="00C60FF1" w:rsidRDefault="00DE23E8" w:rsidP="00DE23E8">
      <w:pPr>
        <w:spacing w:after="0" w:line="240" w:lineRule="auto"/>
        <w:jc w:val="right"/>
        <w:rPr>
          <w:rFonts w:ascii="Times New Roman" w:eastAsia="Times New Roman" w:hAnsi="Times New Roman" w:cs="Times New Roman"/>
          <w:i/>
          <w:iCs/>
          <w:color w:val="000000"/>
          <w:sz w:val="21"/>
          <w:szCs w:val="21"/>
          <w:u w:val="single"/>
          <w:lang w:val="en-US" w:eastAsia="ru-RU"/>
        </w:rPr>
      </w:pPr>
      <w:r w:rsidRPr="00DE23E8">
        <w:rPr>
          <w:rFonts w:ascii="Times New Roman" w:eastAsia="Times New Roman" w:hAnsi="Times New Roman" w:cs="Times New Roman"/>
          <w:i/>
          <w:iCs/>
          <w:color w:val="000000"/>
          <w:sz w:val="21"/>
          <w:szCs w:val="21"/>
          <w:shd w:val="clear" w:color="auto" w:fill="FFFFFF"/>
          <w:lang w:eastAsia="ru-RU"/>
        </w:rPr>
        <w:t>е</w:t>
      </w:r>
      <w:r w:rsidRPr="00DE23E8">
        <w:rPr>
          <w:rFonts w:ascii="Times New Roman" w:eastAsia="Times New Roman" w:hAnsi="Times New Roman" w:cs="Times New Roman"/>
          <w:i/>
          <w:iCs/>
          <w:color w:val="000000"/>
          <w:sz w:val="21"/>
          <w:szCs w:val="21"/>
          <w:shd w:val="clear" w:color="auto" w:fill="FFFFFF"/>
          <w:lang w:val="en-US" w:eastAsia="ru-RU"/>
        </w:rPr>
        <w:t>-mail:</w:t>
      </w:r>
      <w:r w:rsidRPr="00DE23E8">
        <w:rPr>
          <w:rFonts w:ascii="Times New Roman" w:eastAsia="Times New Roman" w:hAnsi="Times New Roman" w:cs="Times New Roman"/>
          <w:i/>
          <w:iCs/>
          <w:color w:val="000000"/>
          <w:sz w:val="21"/>
          <w:szCs w:val="21"/>
          <w:u w:val="single"/>
          <w:lang w:val="en-US" w:eastAsia="ru-RU"/>
        </w:rPr>
        <w:t xml:space="preserve"> </w:t>
      </w:r>
      <w:hyperlink r:id="rId654" w:history="1">
        <w:r w:rsidR="00C60FF1" w:rsidRPr="00DE23E8">
          <w:rPr>
            <w:rStyle w:val="aa"/>
            <w:rFonts w:ascii="Times New Roman" w:eastAsia="Times New Roman" w:hAnsi="Times New Roman" w:cs="Times New Roman"/>
            <w:i/>
            <w:iCs/>
            <w:sz w:val="21"/>
            <w:szCs w:val="21"/>
            <w:lang w:val="en-US" w:eastAsia="ru-RU"/>
          </w:rPr>
          <w:t>helen_04_d@mail.ru</w:t>
        </w:r>
      </w:hyperlink>
    </w:p>
    <w:p w14:paraId="3CDA197D" w14:textId="77777777" w:rsidR="00C60FF1" w:rsidRPr="00DE23E8" w:rsidRDefault="00C60FF1" w:rsidP="00DE23E8">
      <w:pPr>
        <w:spacing w:after="0" w:line="240" w:lineRule="auto"/>
        <w:jc w:val="right"/>
        <w:rPr>
          <w:rFonts w:ascii="Times New Roman" w:eastAsia="Times New Roman" w:hAnsi="Times New Roman" w:cs="Times New Roman"/>
          <w:i/>
          <w:iCs/>
          <w:sz w:val="21"/>
          <w:szCs w:val="21"/>
          <w:lang w:val="en-US" w:eastAsia="ru-RU"/>
        </w:rPr>
      </w:pPr>
    </w:p>
    <w:p w14:paraId="738196E2" w14:textId="77777777" w:rsidR="00DE23E8" w:rsidRPr="00DE23E8" w:rsidRDefault="00DE23E8" w:rsidP="00DE23E8">
      <w:pPr>
        <w:spacing w:after="0" w:line="240" w:lineRule="auto"/>
        <w:ind w:firstLine="567"/>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b/>
          <w:bCs/>
          <w:i/>
          <w:iCs/>
          <w:color w:val="000000"/>
          <w:sz w:val="21"/>
          <w:szCs w:val="21"/>
          <w:lang w:val="en-US" w:eastAsia="ru-RU"/>
        </w:rPr>
        <w:t>Scientific Adviser:</w:t>
      </w:r>
    </w:p>
    <w:p w14:paraId="4D865975" w14:textId="77777777" w:rsidR="00DE23E8" w:rsidRPr="00DE23E8" w:rsidRDefault="00DE23E8" w:rsidP="00DE23E8">
      <w:pPr>
        <w:spacing w:after="0" w:line="240" w:lineRule="auto"/>
        <w:jc w:val="right"/>
        <w:rPr>
          <w:rFonts w:ascii="Times New Roman" w:eastAsia="Times New Roman" w:hAnsi="Times New Roman" w:cs="Times New Roman"/>
          <w:b/>
          <w:bCs/>
          <w:i/>
          <w:iCs/>
          <w:color w:val="000000"/>
          <w:sz w:val="21"/>
          <w:szCs w:val="21"/>
          <w:shd w:val="clear" w:color="auto" w:fill="FFFFFF"/>
          <w:lang w:val="en-US" w:eastAsia="ru-RU"/>
        </w:rPr>
      </w:pPr>
      <w:r w:rsidRPr="00DE23E8">
        <w:rPr>
          <w:rFonts w:ascii="Times New Roman" w:eastAsia="Times New Roman" w:hAnsi="Times New Roman" w:cs="Times New Roman"/>
          <w:b/>
          <w:bCs/>
          <w:i/>
          <w:iCs/>
          <w:color w:val="000000"/>
          <w:sz w:val="21"/>
          <w:szCs w:val="21"/>
          <w:shd w:val="clear" w:color="auto" w:fill="FFFFFF"/>
          <w:lang w:val="en-US" w:eastAsia="ru-RU"/>
        </w:rPr>
        <w:t xml:space="preserve">Botsoeva A. V., </w:t>
      </w:r>
    </w:p>
    <w:p w14:paraId="3622B2FF" w14:textId="77777777" w:rsidR="00DE23E8" w:rsidRPr="00DE23E8" w:rsidRDefault="00DE23E8" w:rsidP="00DE23E8">
      <w:pPr>
        <w:spacing w:after="0" w:line="240" w:lineRule="auto"/>
        <w:ind w:firstLine="567"/>
        <w:jc w:val="right"/>
        <w:rPr>
          <w:rFonts w:ascii="Times New Roman" w:eastAsia="Times New Roman" w:hAnsi="Times New Roman" w:cs="Times New Roman"/>
          <w:i/>
          <w:iCs/>
          <w:color w:val="000000"/>
          <w:sz w:val="21"/>
          <w:szCs w:val="21"/>
          <w:shd w:val="clear" w:color="auto" w:fill="FFFFFF"/>
          <w:lang w:val="en-US" w:eastAsia="ru-RU"/>
        </w:rPr>
      </w:pPr>
      <w:r w:rsidRPr="00DE23E8">
        <w:rPr>
          <w:rFonts w:ascii="Times New Roman" w:eastAsia="Times New Roman" w:hAnsi="Times New Roman" w:cs="Times New Roman"/>
          <w:i/>
          <w:iCs/>
          <w:color w:val="000000"/>
          <w:sz w:val="21"/>
          <w:szCs w:val="21"/>
          <w:shd w:val="clear" w:color="auto" w:fill="FFFFFF"/>
          <w:lang w:val="en-US" w:eastAsia="ru-RU"/>
        </w:rPr>
        <w:t>Candidate of Science (Psychology), Associate Professor of the</w:t>
      </w:r>
    </w:p>
    <w:p w14:paraId="6C39C424" w14:textId="77777777" w:rsidR="00DE23E8" w:rsidRPr="00DE23E8" w:rsidRDefault="00DE23E8" w:rsidP="00DE23E8">
      <w:pPr>
        <w:spacing w:after="0" w:line="240" w:lineRule="auto"/>
        <w:ind w:firstLine="567"/>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i/>
          <w:iCs/>
          <w:color w:val="000000"/>
          <w:sz w:val="21"/>
          <w:szCs w:val="21"/>
          <w:lang w:val="en-US" w:eastAsia="ru-RU"/>
        </w:rPr>
        <w:t>Krasnodar branch FGBEI HE «Financial university under the Government of the Russia Federation»</w:t>
      </w:r>
    </w:p>
    <w:p w14:paraId="7F267B4E" w14:textId="77777777" w:rsidR="00DE23E8" w:rsidRPr="00DE23E8" w:rsidRDefault="00DE23E8" w:rsidP="00DE23E8">
      <w:pPr>
        <w:spacing w:after="0" w:line="240" w:lineRule="auto"/>
        <w:ind w:firstLine="567"/>
        <w:jc w:val="right"/>
        <w:rPr>
          <w:rFonts w:ascii="Times New Roman" w:eastAsia="Times New Roman" w:hAnsi="Times New Roman" w:cs="Times New Roman"/>
          <w:i/>
          <w:iCs/>
          <w:sz w:val="21"/>
          <w:szCs w:val="21"/>
          <w:lang w:val="en-US" w:eastAsia="ru-RU"/>
        </w:rPr>
      </w:pPr>
      <w:r w:rsidRPr="00DE23E8">
        <w:rPr>
          <w:rFonts w:ascii="Times New Roman" w:eastAsia="Times New Roman" w:hAnsi="Times New Roman" w:cs="Times New Roman"/>
          <w:i/>
          <w:iCs/>
          <w:color w:val="000000"/>
          <w:sz w:val="21"/>
          <w:szCs w:val="21"/>
          <w:lang w:val="en-US" w:eastAsia="ru-RU"/>
        </w:rPr>
        <w:t>Krasnodar, Russia</w:t>
      </w:r>
    </w:p>
    <w:p w14:paraId="025564A3" w14:textId="77777777" w:rsidR="00DE23E8" w:rsidRPr="00DE23E8" w:rsidRDefault="00DE23E8" w:rsidP="00DE23E8">
      <w:pPr>
        <w:spacing w:after="0" w:line="240" w:lineRule="auto"/>
        <w:jc w:val="right"/>
        <w:rPr>
          <w:rFonts w:ascii="Times New Roman" w:eastAsia="Times New Roman" w:hAnsi="Times New Roman" w:cs="Times New Roman"/>
          <w:i/>
          <w:iCs/>
          <w:color w:val="000000"/>
          <w:sz w:val="21"/>
          <w:szCs w:val="21"/>
          <w:shd w:val="clear" w:color="auto" w:fill="FFFFFF"/>
          <w:lang w:val="en-US" w:eastAsia="ru-RU"/>
        </w:rPr>
      </w:pPr>
      <w:r w:rsidRPr="00DE23E8">
        <w:rPr>
          <w:rFonts w:ascii="Times New Roman" w:eastAsia="Times New Roman" w:hAnsi="Times New Roman" w:cs="Times New Roman"/>
          <w:i/>
          <w:iCs/>
          <w:color w:val="000000"/>
          <w:sz w:val="21"/>
          <w:szCs w:val="21"/>
          <w:shd w:val="clear" w:color="auto" w:fill="FFFFFF"/>
          <w:lang w:val="en-US" w:eastAsia="ru-RU"/>
        </w:rPr>
        <w:t>AVBotsoeva@fa.ru</w:t>
      </w:r>
    </w:p>
    <w:p w14:paraId="21027A16" w14:textId="77777777" w:rsidR="00DE23E8" w:rsidRPr="00DE23E8" w:rsidRDefault="00DE23E8" w:rsidP="00DE23E8">
      <w:pPr>
        <w:spacing w:after="0" w:line="240" w:lineRule="auto"/>
        <w:ind w:firstLine="567"/>
        <w:jc w:val="right"/>
        <w:rPr>
          <w:rFonts w:ascii="Times New Roman" w:eastAsia="Times New Roman" w:hAnsi="Times New Roman" w:cs="Times New Roman"/>
          <w:i/>
          <w:iCs/>
          <w:color w:val="000000"/>
          <w:sz w:val="21"/>
          <w:szCs w:val="21"/>
          <w:lang w:val="en-US" w:eastAsia="ru-RU"/>
        </w:rPr>
      </w:pPr>
    </w:p>
    <w:p w14:paraId="19C5B7FB" w14:textId="77777777" w:rsidR="00DE23E8" w:rsidRPr="00DE23E8" w:rsidRDefault="00DE23E8" w:rsidP="00DE23E8">
      <w:pPr>
        <w:spacing w:after="0" w:line="276" w:lineRule="auto"/>
        <w:jc w:val="center"/>
        <w:rPr>
          <w:rFonts w:ascii="Times New Roman" w:eastAsia="Times New Roman" w:hAnsi="Times New Roman" w:cs="Times New Roman"/>
          <w:b/>
          <w:sz w:val="21"/>
          <w:szCs w:val="21"/>
          <w:lang w:val="en-US"/>
        </w:rPr>
      </w:pPr>
      <w:r w:rsidRPr="00DE23E8">
        <w:rPr>
          <w:rFonts w:ascii="Times New Roman" w:eastAsia="Times New Roman" w:hAnsi="Times New Roman" w:cs="Times New Roman"/>
          <w:b/>
          <w:sz w:val="21"/>
          <w:szCs w:val="21"/>
          <w:lang w:val="en-US"/>
        </w:rPr>
        <w:t>Children raised by smartphones: how to educate the Alpha generation?</w:t>
      </w:r>
    </w:p>
    <w:p w14:paraId="512FD1F4" w14:textId="77777777" w:rsidR="00DE23E8" w:rsidRPr="00DE23E8" w:rsidRDefault="00DE23E8" w:rsidP="00DE23E8">
      <w:pPr>
        <w:spacing w:after="0" w:line="276" w:lineRule="auto"/>
        <w:ind w:firstLine="567"/>
        <w:jc w:val="both"/>
        <w:rPr>
          <w:rFonts w:ascii="Times New Roman" w:eastAsia="Times New Roman" w:hAnsi="Times New Roman" w:cs="Times New Roman"/>
          <w:b/>
          <w:sz w:val="21"/>
          <w:szCs w:val="21"/>
          <w:lang w:val="en-US"/>
        </w:rPr>
      </w:pPr>
    </w:p>
    <w:p w14:paraId="32965934" w14:textId="77777777" w:rsidR="00DE23E8" w:rsidRPr="00DE23E8" w:rsidRDefault="00DE23E8" w:rsidP="00DE23E8">
      <w:pPr>
        <w:spacing w:after="0" w:line="276" w:lineRule="auto"/>
        <w:ind w:firstLine="567"/>
        <w:jc w:val="both"/>
        <w:rPr>
          <w:rFonts w:ascii="Times New Roman" w:eastAsia="Times New Roman" w:hAnsi="Times New Roman" w:cs="Times New Roman"/>
          <w:iCs/>
          <w:sz w:val="21"/>
          <w:szCs w:val="21"/>
          <w:lang w:val="en-US"/>
        </w:rPr>
      </w:pPr>
      <w:r w:rsidRPr="00DE23E8">
        <w:rPr>
          <w:rFonts w:ascii="Times New Roman" w:eastAsia="Times New Roman" w:hAnsi="Times New Roman" w:cs="Times New Roman"/>
          <w:b/>
          <w:bCs/>
          <w:sz w:val="21"/>
          <w:szCs w:val="21"/>
          <w:shd w:val="clear" w:color="auto" w:fill="FFFFFF"/>
          <w:lang w:val="x-none"/>
        </w:rPr>
        <w:t>Abstract</w:t>
      </w:r>
      <w:r w:rsidRPr="00DE23E8">
        <w:rPr>
          <w:rFonts w:ascii="Times New Roman" w:eastAsia="Times New Roman" w:hAnsi="Times New Roman" w:cs="Times New Roman"/>
          <w:b/>
          <w:bCs/>
          <w:sz w:val="21"/>
          <w:szCs w:val="21"/>
          <w:shd w:val="clear" w:color="auto" w:fill="FFFFFF"/>
          <w:lang w:val="en-US"/>
        </w:rPr>
        <w:t xml:space="preserve">: </w:t>
      </w:r>
      <w:r w:rsidRPr="00DE23E8">
        <w:rPr>
          <w:rFonts w:ascii="Times New Roman" w:eastAsia="Times New Roman" w:hAnsi="Times New Roman" w:cs="Times New Roman"/>
          <w:iCs/>
          <w:sz w:val="21"/>
          <w:szCs w:val="21"/>
          <w:lang w:val="en-US"/>
        </w:rPr>
        <w:t>This article examines the problem of systematic cognitive decline in children of preschool and primary school age, provides statistics on the deterioration of academic performance in elementary school students, and offers recommendations for effective education of children.</w:t>
      </w:r>
    </w:p>
    <w:p w14:paraId="4CE8F861" w14:textId="77777777" w:rsidR="00DE23E8" w:rsidRPr="00DE23E8" w:rsidRDefault="00DE23E8" w:rsidP="00DE23E8">
      <w:pPr>
        <w:spacing w:after="0" w:line="240" w:lineRule="auto"/>
        <w:ind w:firstLine="567"/>
        <w:jc w:val="both"/>
        <w:rPr>
          <w:rFonts w:ascii="Times New Roman" w:eastAsia="Times New Roman" w:hAnsi="Times New Roman" w:cs="Times New Roman"/>
          <w:sz w:val="21"/>
          <w:szCs w:val="21"/>
          <w:lang w:val="en-US"/>
        </w:rPr>
      </w:pPr>
      <w:r w:rsidRPr="00DE23E8">
        <w:rPr>
          <w:rFonts w:ascii="Times New Roman" w:eastAsia="Times New Roman" w:hAnsi="Times New Roman" w:cs="Times New Roman"/>
          <w:b/>
          <w:sz w:val="21"/>
          <w:szCs w:val="21"/>
          <w:lang w:val="en-US"/>
        </w:rPr>
        <w:t xml:space="preserve">Keywords: </w:t>
      </w:r>
      <w:r w:rsidRPr="00DE23E8">
        <w:rPr>
          <w:rFonts w:ascii="Times New Roman" w:eastAsia="Times New Roman" w:hAnsi="Times New Roman" w:cs="Times New Roman"/>
          <w:sz w:val="21"/>
          <w:szCs w:val="21"/>
          <w:lang w:val="en-US"/>
        </w:rPr>
        <w:t>Alpha generation, clip thinking, cognitive abilities, gamification.</w:t>
      </w:r>
    </w:p>
    <w:p w14:paraId="208D8EEF" w14:textId="77777777" w:rsidR="00DE23E8" w:rsidRPr="00DE23E8" w:rsidRDefault="00DE23E8" w:rsidP="00DE23E8">
      <w:pPr>
        <w:spacing w:after="0" w:line="240" w:lineRule="auto"/>
        <w:ind w:firstLine="567"/>
        <w:jc w:val="both"/>
        <w:rPr>
          <w:rFonts w:ascii="Times New Roman" w:eastAsia="Times New Roman" w:hAnsi="Times New Roman" w:cs="Times New Roman"/>
          <w:b/>
          <w:sz w:val="21"/>
          <w:szCs w:val="21"/>
          <w:lang w:val="en-US"/>
        </w:rPr>
      </w:pPr>
    </w:p>
    <w:p w14:paraId="3797909B" w14:textId="77777777" w:rsidR="00DE23E8" w:rsidRPr="00DE23E8" w:rsidRDefault="00DE23E8" w:rsidP="00C60FF1">
      <w:pPr>
        <w:spacing w:after="0" w:line="240" w:lineRule="auto"/>
        <w:ind w:firstLine="709"/>
        <w:jc w:val="both"/>
        <w:rPr>
          <w:rFonts w:ascii="Calibri" w:eastAsia="Times New Roman" w:hAnsi="Calibri" w:cs="Times New Roman"/>
        </w:rPr>
      </w:pPr>
      <w:r w:rsidRPr="00DE23E8">
        <w:rPr>
          <w:rFonts w:ascii="Times New Roman" w:eastAsia="Calibri" w:hAnsi="Times New Roman" w:cs="Times New Roman"/>
          <w:sz w:val="32"/>
          <w:szCs w:val="32"/>
        </w:rPr>
        <w:t xml:space="preserve">В последние несколько лет учителя начальных классов все чаще поднимают вопрос снижающейся успеваемости школьников. Причиной этому называют различные факторы: от цифровой зависимости детей и их неусидчивости до устаревших методов обучения и непонимания между учителями (зачастую представителями поколений </w:t>
      </w:r>
      <w:r w:rsidRPr="00DE23E8">
        <w:rPr>
          <w:rFonts w:ascii="Times New Roman" w:eastAsia="Calibri" w:hAnsi="Times New Roman" w:cs="Times New Roman"/>
          <w:sz w:val="32"/>
          <w:szCs w:val="32"/>
          <w:lang w:val="en-US"/>
        </w:rPr>
        <w:t>X</w:t>
      </w:r>
      <w:r w:rsidRPr="00DE23E8">
        <w:rPr>
          <w:rFonts w:ascii="Times New Roman" w:eastAsia="Calibri" w:hAnsi="Times New Roman" w:cs="Times New Roman"/>
          <w:sz w:val="32"/>
          <w:szCs w:val="32"/>
        </w:rPr>
        <w:t xml:space="preserve"> и </w:t>
      </w:r>
      <w:r w:rsidRPr="00DE23E8">
        <w:rPr>
          <w:rFonts w:ascii="Times New Roman" w:eastAsia="Calibri" w:hAnsi="Times New Roman" w:cs="Times New Roman"/>
          <w:sz w:val="32"/>
          <w:szCs w:val="32"/>
          <w:lang w:val="en-US"/>
        </w:rPr>
        <w:t>Y</w:t>
      </w:r>
      <w:r w:rsidRPr="00DE23E8">
        <w:rPr>
          <w:rFonts w:ascii="Times New Roman" w:eastAsia="Calibri" w:hAnsi="Times New Roman" w:cs="Times New Roman"/>
          <w:sz w:val="32"/>
          <w:szCs w:val="32"/>
        </w:rPr>
        <w:t>) и учениками (представителями поколения альфа). Исследования показывают, что данная проблема коснулась не только России, но и всего мира: учителям тяжело учить, а ученикам – учиться. Между тем, снижение эффективности обучения детей в долгосрочной перспективе может привести к дефициту квалифицированных специалистов, росту безработицы и, как следствие, росту уровня преступности, что обуславливает актуальность выбранной темы.</w:t>
      </w:r>
    </w:p>
    <w:p w14:paraId="4C9348E0"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Новизна данного исследования заключается в возможности эффективного обучения детей поколения Альфа с помощью привычной для них цифровой среды. В работе предлагаются рекомендации по снижению рассеянности внимания у детей с помощью цифровых технологий, а не отказа от их использования.</w:t>
      </w:r>
    </w:p>
    <w:p w14:paraId="495F868D"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Цель исследования – разработать рекомендации по эффективному обучению детей поколения Альфа.</w:t>
      </w:r>
    </w:p>
    <w:p w14:paraId="70B9AC81"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Задачи исследования: изучить статистику снижения когнитивных способностей детей; проанализировать причины снижения когнитивных способностей школьников; разработать рекомендации </w:t>
      </w:r>
      <w:r w:rsidRPr="00DE23E8">
        <w:rPr>
          <w:rFonts w:ascii="Times New Roman" w:eastAsia="Calibri" w:hAnsi="Times New Roman" w:cs="Times New Roman"/>
          <w:sz w:val="32"/>
          <w:szCs w:val="32"/>
        </w:rPr>
        <w:lastRenderedPageBreak/>
        <w:t>для эффективного обучения детей с учетом особенностей поколения Альфа.</w:t>
      </w:r>
    </w:p>
    <w:p w14:paraId="1E1BD68A"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Когнитивные способности – способности человека получать, обрабатывать и использовать новую информацию. Когнитивные способности включают память, мышление, внимание и способность концентрироваться.</w:t>
      </w:r>
    </w:p>
    <w:p w14:paraId="2D022169"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Одним из наиболее полных срезов, показывающих уровень когнитивных способностей школьников, является тест </w:t>
      </w:r>
      <w:r w:rsidRPr="00DE23E8">
        <w:rPr>
          <w:rFonts w:ascii="Times New Roman" w:eastAsia="Calibri" w:hAnsi="Times New Roman" w:cs="Times New Roman"/>
          <w:sz w:val="32"/>
          <w:szCs w:val="32"/>
          <w:lang w:val="en-US"/>
        </w:rPr>
        <w:t>PISA</w:t>
      </w:r>
      <w:r w:rsidRPr="00DE23E8">
        <w:rPr>
          <w:rFonts w:ascii="Times New Roman" w:eastAsia="Calibri" w:hAnsi="Times New Roman" w:cs="Times New Roman"/>
          <w:sz w:val="32"/>
          <w:szCs w:val="32"/>
        </w:rPr>
        <w:t>. Он оценивает способность детей из разных стран применять полученную информацию в реальной жизни. На рисунке 1.1 приведен средний балл по 3-м направлениям теста: математика, чтение и естественные науки.</w:t>
      </w:r>
    </w:p>
    <w:p w14:paraId="45C8723D"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noProof/>
          <w:sz w:val="32"/>
          <w:szCs w:val="32"/>
          <w:lang w:eastAsia="ru-RU"/>
        </w:rPr>
        <w:drawing>
          <wp:inline distT="0" distB="0" distL="0" distR="0" wp14:anchorId="19E52B29" wp14:editId="07B58948">
            <wp:extent cx="3865756" cy="2202511"/>
            <wp:effectExtent l="0" t="0" r="1905" b="7620"/>
            <wp:docPr id="1583210944" name="Рисунок 158321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5"/>
                    <a:stretch>
                      <a:fillRect/>
                    </a:stretch>
                  </pic:blipFill>
                  <pic:spPr>
                    <a:xfrm>
                      <a:off x="0" y="0"/>
                      <a:ext cx="3884084" cy="2212954"/>
                    </a:xfrm>
                    <a:prstGeom prst="rect">
                      <a:avLst/>
                    </a:prstGeom>
                  </pic:spPr>
                </pic:pic>
              </a:graphicData>
            </a:graphic>
          </wp:inline>
        </w:drawing>
      </w:r>
    </w:p>
    <w:p w14:paraId="35D377BC"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Рисунок 1.1 – результаты теста </w:t>
      </w:r>
      <w:r w:rsidRPr="00DE23E8">
        <w:rPr>
          <w:rFonts w:ascii="Times New Roman" w:eastAsia="Calibri" w:hAnsi="Times New Roman" w:cs="Times New Roman"/>
          <w:sz w:val="32"/>
          <w:szCs w:val="32"/>
          <w:lang w:val="en-US"/>
        </w:rPr>
        <w:t>PISA</w:t>
      </w:r>
      <w:r w:rsidRPr="00DE23E8">
        <w:rPr>
          <w:rFonts w:ascii="Times New Roman" w:eastAsia="Calibri" w:hAnsi="Times New Roman" w:cs="Times New Roman"/>
          <w:sz w:val="32"/>
          <w:szCs w:val="32"/>
        </w:rPr>
        <w:t xml:space="preserve"> 2003-2022 гг.</w:t>
      </w:r>
    </w:p>
    <w:p w14:paraId="0CA53E84"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Можно отметить, что тенденция к снижению уровня когнитивных способностей школьников существовала до 2019 г., т.е. до пандемии </w:t>
      </w:r>
      <w:r w:rsidRPr="00DE23E8">
        <w:rPr>
          <w:rFonts w:ascii="Times New Roman" w:eastAsia="Calibri" w:hAnsi="Times New Roman" w:cs="Times New Roman"/>
          <w:sz w:val="32"/>
          <w:szCs w:val="32"/>
          <w:lang w:val="en-US"/>
        </w:rPr>
        <w:t>COVID</w:t>
      </w:r>
      <w:r w:rsidRPr="00DE23E8">
        <w:rPr>
          <w:rFonts w:ascii="Times New Roman" w:eastAsia="Calibri" w:hAnsi="Times New Roman" w:cs="Times New Roman"/>
          <w:sz w:val="32"/>
          <w:szCs w:val="32"/>
        </w:rPr>
        <w:t>-19, которую многие исследователи считают одной из главных причин ухудшения успеваемости. Локдаун и самоизоляция в период пандемии лишь ускорили этот процесс.</w:t>
      </w:r>
    </w:p>
    <w:p w14:paraId="3A5C11EA"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Результаты теста </w:t>
      </w:r>
      <w:r w:rsidRPr="00DE23E8">
        <w:rPr>
          <w:rFonts w:ascii="Times New Roman" w:eastAsia="Calibri" w:hAnsi="Times New Roman" w:cs="Times New Roman"/>
          <w:sz w:val="32"/>
          <w:szCs w:val="32"/>
          <w:lang w:val="en-US"/>
        </w:rPr>
        <w:t>PISA</w:t>
      </w:r>
      <w:r w:rsidRPr="00DE23E8">
        <w:rPr>
          <w:rFonts w:ascii="Times New Roman" w:eastAsia="Calibri" w:hAnsi="Times New Roman" w:cs="Times New Roman"/>
          <w:sz w:val="32"/>
          <w:szCs w:val="32"/>
        </w:rPr>
        <w:t xml:space="preserve"> по России за 2003-2022 гг. представлены на рисунке 1.2, где также прослеживается снижение уровня когнитивных способностей детей примерно с 2015 г.</w:t>
      </w:r>
    </w:p>
    <w:p w14:paraId="79280E2E"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noProof/>
          <w:sz w:val="32"/>
          <w:szCs w:val="32"/>
          <w:lang w:eastAsia="ru-RU"/>
        </w:rPr>
        <w:drawing>
          <wp:inline distT="0" distB="0" distL="0" distR="0" wp14:anchorId="5A604A46" wp14:editId="3B0E4555">
            <wp:extent cx="5470497" cy="1208714"/>
            <wp:effectExtent l="0" t="0" r="0" b="0"/>
            <wp:docPr id="1281204334" name="Рисунок 128120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6"/>
                    <a:stretch>
                      <a:fillRect/>
                    </a:stretch>
                  </pic:blipFill>
                  <pic:spPr>
                    <a:xfrm>
                      <a:off x="0" y="0"/>
                      <a:ext cx="5470497" cy="1208714"/>
                    </a:xfrm>
                    <a:prstGeom prst="rect">
                      <a:avLst/>
                    </a:prstGeom>
                  </pic:spPr>
                </pic:pic>
              </a:graphicData>
            </a:graphic>
          </wp:inline>
        </w:drawing>
      </w:r>
    </w:p>
    <w:p w14:paraId="10B4E231"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Рисунок 1.2 – Результаты теста </w:t>
      </w:r>
      <w:r w:rsidRPr="00DE23E8">
        <w:rPr>
          <w:rFonts w:ascii="Times New Roman" w:eastAsia="Calibri" w:hAnsi="Times New Roman" w:cs="Times New Roman"/>
          <w:sz w:val="32"/>
          <w:szCs w:val="32"/>
          <w:lang w:val="en-US"/>
        </w:rPr>
        <w:t>PISA</w:t>
      </w:r>
      <w:r w:rsidRPr="00DE23E8">
        <w:rPr>
          <w:rFonts w:ascii="Times New Roman" w:eastAsia="Calibri" w:hAnsi="Times New Roman" w:cs="Times New Roman"/>
          <w:sz w:val="32"/>
          <w:szCs w:val="32"/>
        </w:rPr>
        <w:t xml:space="preserve"> по России за 2003-2022 гг.</w:t>
      </w:r>
    </w:p>
    <w:p w14:paraId="06561F70"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Чтобы установить причину снижения уровня когнитивных способностей российских школьников, был проведен опрос учителей начальных классов, так как интерес к познанию и способность к </w:t>
      </w:r>
      <w:r w:rsidRPr="00DE23E8">
        <w:rPr>
          <w:rFonts w:ascii="Times New Roman" w:eastAsia="Calibri" w:hAnsi="Times New Roman" w:cs="Times New Roman"/>
          <w:sz w:val="32"/>
          <w:szCs w:val="32"/>
        </w:rPr>
        <w:lastRenderedPageBreak/>
        <w:t>обучению у детей становятся видны уже в первом классе. В опросе приняли участие 100 учителей из различных регионов страны, им было необходимо оценить общий уровень обучаемости детей (разделенный на 5 основных критериев) по 10-балльной шкале. Результаты опроса приведены на рисунке 1.3.</w:t>
      </w:r>
    </w:p>
    <w:p w14:paraId="3100B08E"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noProof/>
          <w:sz w:val="32"/>
          <w:szCs w:val="32"/>
          <w:lang w:eastAsia="ru-RU"/>
        </w:rPr>
        <w:drawing>
          <wp:inline distT="0" distB="0" distL="0" distR="0" wp14:anchorId="2D86A8EB" wp14:editId="220B0D73">
            <wp:extent cx="3680680" cy="2318538"/>
            <wp:effectExtent l="0" t="0" r="0" b="5715"/>
            <wp:docPr id="289262621" name="Рисунок 28926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3705013" cy="2333866"/>
                    </a:xfrm>
                    <a:prstGeom prst="rect">
                      <a:avLst/>
                    </a:prstGeom>
                  </pic:spPr>
                </pic:pic>
              </a:graphicData>
            </a:graphic>
          </wp:inline>
        </w:drawing>
      </w:r>
    </w:p>
    <w:p w14:paraId="0281F927"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sz w:val="32"/>
          <w:szCs w:val="32"/>
        </w:rPr>
        <w:t>Рисунок 1.3 – результаты опроса учителей начальных классов, 2024 г.</w:t>
      </w:r>
    </w:p>
    <w:p w14:paraId="4F3FFE2C"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Комментируя результаты опроса, многие из респондентов указывали в качестве причин низкого уровня обучаемости детей цифровую зависимость, клиповое мышление и «особенности поколения». Современные дети – это представители поколения Альфа. </w:t>
      </w:r>
    </w:p>
    <w:p w14:paraId="6506AFE2"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Термин «поколение Альфа» применяется для обозначения поколения людей, родившихся в промежутке от 2010 до 2024 гг. Особенности представителей поколения Альфа связаны со временем их рождения, которое приходится на период становления информационного общества и тотальной цифровизации [2]. С одной стороны, дети Альфа с раннего возраста используют инновации, легко осваивают новые технологии и могут быстро переключать внимание в условиях информационной пресыщенности. С другой стороны, раннее знакомство ребенка с цифровой средой и постоянный поток информации вызывают сверхотвлекаемость, отсутствие возможности концентрироваться и, как следствие, обучаться. </w:t>
      </w:r>
    </w:p>
    <w:p w14:paraId="4C965009"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Поколение Альфа проводит больше времени в цифровом мире, чем любое другое поколение. Так, 63% детей до 3-х лет умеют самостоятельно включать видео на YouTube, а 40% родителей используют планшеты, чтобы успокоить новорожденных. Дети в возрасте 8-12 лет проводят перед экранами в среднем 4 часа 44 минуты ежедневно [1]. В США, например, дети в возрасте от 8 до 12 лет почти 5 часов в день проводят с гаджетом [3].</w:t>
      </w:r>
    </w:p>
    <w:p w14:paraId="3D89486E"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lastRenderedPageBreak/>
        <w:t xml:space="preserve">В России ситуация почти не отличается. Согласно исследованию Mediascope (российская медиаисследовательская компания, занимается мониторингом рекламы и СМИ), проведенному в 2023 г., 35% детей в возрасте от четырех до пяти лет уже пользуются собственными смартфонами, 53% из них пользуются смартфонами ежедневно [4]. Среднесуточная продолжительность пребывания детей 5-6 лет в Интернете – 380 минут (более 6-ти часов). Самым популярным сервисом для детей является YouTube. </w:t>
      </w:r>
    </w:p>
    <w:p w14:paraId="56AC71A9"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На рисунке 1.4 приведен рейтинг самых популярных детских YouTube-каналов в 2024 г. Возраст аудитории данных каналов варьируется от трех до семи лет. Детские ютуберы используют яркие цвета, знакомые для детей образы, резкие переходы и постоянно меняющиеся картинки (кадры) на экране, чтобы удержать внимание юных зрителей. При этом контент направлен на удержание внимания ребенка, а не на его развитие.</w:t>
      </w:r>
    </w:p>
    <w:p w14:paraId="30914819"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noProof/>
          <w:sz w:val="32"/>
          <w:szCs w:val="32"/>
          <w:lang w:eastAsia="ru-RU"/>
        </w:rPr>
        <w:drawing>
          <wp:inline distT="0" distB="0" distL="0" distR="0" wp14:anchorId="1D0FB298" wp14:editId="7E43456F">
            <wp:extent cx="2941983" cy="1806888"/>
            <wp:effectExtent l="0" t="0" r="0" b="3175"/>
            <wp:docPr id="1679607913" name="Рисунок 167960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8"/>
                    <a:stretch>
                      <a:fillRect/>
                    </a:stretch>
                  </pic:blipFill>
                  <pic:spPr>
                    <a:xfrm>
                      <a:off x="0" y="0"/>
                      <a:ext cx="2987191" cy="1834654"/>
                    </a:xfrm>
                    <a:prstGeom prst="rect">
                      <a:avLst/>
                    </a:prstGeom>
                  </pic:spPr>
                </pic:pic>
              </a:graphicData>
            </a:graphic>
          </wp:inline>
        </w:drawing>
      </w:r>
    </w:p>
    <w:p w14:paraId="5087A98B"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sz w:val="32"/>
          <w:szCs w:val="32"/>
        </w:rPr>
        <w:t>Рисунок 1.4 – Топ-10 детских YouTube-каналов, 2024 г.</w:t>
      </w:r>
    </w:p>
    <w:p w14:paraId="7F8017C1"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Описанная подача информации приводит к клиповому мышлению, т.е. дети вместо целостной комплексной картины мира могут воспринимать только отдельные фрагменты и образы, им тяжело сосредоточиться на статичных объектах (например, книгах). Дети с клиповым мышлением отличаются скоростью восприятия и обработки информации, но в то же время испытывают трудности с концентрацией внимания и обладают в основном краткосрочной памятью. </w:t>
      </w:r>
    </w:p>
    <w:p w14:paraId="701C3448"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Учитывая </w:t>
      </w:r>
      <w:proofErr w:type="gramStart"/>
      <w:r w:rsidRPr="00DE23E8">
        <w:rPr>
          <w:rFonts w:ascii="Times New Roman" w:eastAsia="Calibri" w:hAnsi="Times New Roman" w:cs="Times New Roman"/>
          <w:sz w:val="32"/>
          <w:szCs w:val="32"/>
        </w:rPr>
        <w:t>особенности поколения</w:t>
      </w:r>
      <w:proofErr w:type="gramEnd"/>
      <w:r w:rsidRPr="00DE23E8">
        <w:rPr>
          <w:rFonts w:ascii="Times New Roman" w:eastAsia="Calibri" w:hAnsi="Times New Roman" w:cs="Times New Roman"/>
          <w:sz w:val="32"/>
          <w:szCs w:val="32"/>
        </w:rPr>
        <w:t xml:space="preserve"> Альфа, процесс обучения можно сделать эффективнее с помощью геймификации (использования игровых элементов в обучающих материалах для повышения вовлеченности обучающихся). Об этом свидетельствуют результаты опроса представителей этого поколения (рисунок 1.5).</w:t>
      </w:r>
    </w:p>
    <w:p w14:paraId="050EA106"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noProof/>
          <w:sz w:val="32"/>
          <w:szCs w:val="32"/>
          <w:lang w:eastAsia="ru-RU"/>
        </w:rPr>
        <w:lastRenderedPageBreak/>
        <w:drawing>
          <wp:inline distT="0" distB="0" distL="0" distR="0" wp14:anchorId="75CBB9D1" wp14:editId="23A488EE">
            <wp:extent cx="2703444" cy="1724244"/>
            <wp:effectExtent l="0" t="0" r="1905" b="9525"/>
            <wp:docPr id="1149077347" name="Рисунок 114907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a:stretch>
                      <a:fillRect/>
                    </a:stretch>
                  </pic:blipFill>
                  <pic:spPr>
                    <a:xfrm>
                      <a:off x="0" y="0"/>
                      <a:ext cx="2708735" cy="1727618"/>
                    </a:xfrm>
                    <a:prstGeom prst="rect">
                      <a:avLst/>
                    </a:prstGeom>
                  </pic:spPr>
                </pic:pic>
              </a:graphicData>
            </a:graphic>
          </wp:inline>
        </w:drawing>
      </w:r>
    </w:p>
    <w:p w14:paraId="1D442831" w14:textId="77777777" w:rsidR="00DE23E8" w:rsidRPr="00DE23E8" w:rsidRDefault="00DE23E8" w:rsidP="00C60FF1">
      <w:pPr>
        <w:spacing w:after="0" w:line="240" w:lineRule="auto"/>
        <w:ind w:firstLine="709"/>
        <w:jc w:val="center"/>
        <w:rPr>
          <w:rFonts w:ascii="Times New Roman" w:eastAsia="Calibri" w:hAnsi="Times New Roman" w:cs="Times New Roman"/>
          <w:sz w:val="32"/>
          <w:szCs w:val="32"/>
        </w:rPr>
      </w:pPr>
      <w:r w:rsidRPr="00DE23E8">
        <w:rPr>
          <w:rFonts w:ascii="Times New Roman" w:eastAsia="Calibri" w:hAnsi="Times New Roman" w:cs="Times New Roman"/>
          <w:sz w:val="32"/>
          <w:szCs w:val="32"/>
        </w:rPr>
        <w:t>Рисунок 1.5 – Желание школьников поколения Альфа видеть игровые элементы в обучении</w:t>
      </w:r>
    </w:p>
    <w:p w14:paraId="5AC69E71"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Итак, процесс обучения детей поколения Альфа нужно выстраивать таким образом, чтобы подача материала осуществлялась динамично и в игровом формате. Если школьную программу младших классов можно адаптировать под эти требования (чем уже занимаются некоторые учителя), то программа средней и старшей школ значительно объемнее и меньше поддается геймификации. Следовательно, проблему клипового мышления необходимо решать уже в начальной школе.</w:t>
      </w:r>
    </w:p>
    <w:p w14:paraId="10B92933"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Рекомендации для эффективного обучения детей поколения Альфа целесообразно разделить на две группы: рекомендации для системы образования и рекомендации для родителей.</w:t>
      </w:r>
    </w:p>
    <w:p w14:paraId="2A6E3C55"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Рекомендации для системы образования:</w:t>
      </w:r>
    </w:p>
    <w:p w14:paraId="620D4233"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в государственные школьные онлайн-платформы необходимо интегрировать динамичный формат подачи материала, который будет способствовать борьбе с клиповым мышлением. Например, смена кадров в обучающих видеороликах должна происходить с той же частотой, что и в популярных детских видеороликах (2-4 секунды). По мере обучения ребенка промежуток между сменой изображения нужно увеличивать, чтобы к средней школе вернуть ученику возможность концентрироваться.</w:t>
      </w:r>
    </w:p>
    <w:p w14:paraId="31B176A5"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для поколения Альфа важен игровой формат занятий. Геймификация может заключаться, например, в интеграции в школьные онлайн-платформы системы достижений в виде отличительных знаков, статусов, виртуальных наград за выполнение заданий и ежедневных наград за вход на платформу. Это поможет вызвать у детей интерес и мотивацию к обучению.</w:t>
      </w:r>
    </w:p>
    <w:p w14:paraId="002162CD"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xml:space="preserve">- отдельное внимание стоит уделить культуре веб-шуток («мемов»). Их использование в процессе обучение поможет школьникам быстрее запоминать информацию. Также можно, </w:t>
      </w:r>
      <w:r w:rsidRPr="00DE23E8">
        <w:rPr>
          <w:rFonts w:ascii="Times New Roman" w:eastAsia="Calibri" w:hAnsi="Times New Roman" w:cs="Times New Roman"/>
          <w:sz w:val="32"/>
          <w:szCs w:val="32"/>
        </w:rPr>
        <w:lastRenderedPageBreak/>
        <w:t>например, давать ученикам творческие задания – создать картинку на пройденную тему, что усилит вовлеченность детей и будет способствовать развитию их креативного мышления.</w:t>
      </w:r>
    </w:p>
    <w:p w14:paraId="1BD7F132"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Рекомендации для родителей:</w:t>
      </w:r>
    </w:p>
    <w:p w14:paraId="464CD0C6"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первое и главное – установить ограничение на использование смартфонов и планшетов. К примеру, не более часа в день, притом примерно за 10 мин до истечения времени, отведенного ребенку на гаджет, необходимо предупредить его, что время заканчивается, чтобы не спровоцировать истерику. Также необходимо полностью запретить использование планшетов и смартфонов перед сном.</w:t>
      </w:r>
    </w:p>
    <w:p w14:paraId="0BF21A58"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контроль за «цифровой гигиеной» ребенка. Родителям следует фильтровать контент, который потребляет ребенок. Прежде чем включить дошкольнику видеоролик, необходимо сперва самим его посмотреть.</w:t>
      </w:r>
    </w:p>
    <w:p w14:paraId="61E95059"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введение «цифровых выходных». Хотя бы раз в неделю следует всей семьей отказаться от использования гаджетов, чтобы ребенок не воспринимал цифровой мир как жизненно необходимый ресурс.</w:t>
      </w:r>
    </w:p>
    <w:p w14:paraId="4EBC50E1"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настольные игры как альтернатива. Настольные игры помогут ребенку получить сенсорный опыт, который он недополучил в цифровой реальности, и будут способствовать развитию мелкой моторики.</w:t>
      </w:r>
    </w:p>
    <w:p w14:paraId="2977ACD1" w14:textId="77777777" w:rsidR="00DE23E8" w:rsidRPr="00DE23E8" w:rsidRDefault="00DE23E8" w:rsidP="00C60FF1">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 практика пересказа просмотренного контента. Необходимо разговаривать с ребенком, обсуждать просмотренные видео и пройденные игры, чтобы приучить его к структуризации и анализу информации, а также тренировать его долговременную память.</w:t>
      </w:r>
    </w:p>
    <w:p w14:paraId="6F2DA909" w14:textId="77777777" w:rsidR="00DE23E8" w:rsidRPr="00DE23E8" w:rsidRDefault="00DE23E8" w:rsidP="00F473AD">
      <w:pPr>
        <w:spacing w:after="0" w:line="240" w:lineRule="auto"/>
        <w:ind w:firstLine="709"/>
        <w:jc w:val="both"/>
        <w:rPr>
          <w:rFonts w:ascii="Times New Roman" w:eastAsia="Calibri" w:hAnsi="Times New Roman" w:cs="Times New Roman"/>
          <w:sz w:val="32"/>
          <w:szCs w:val="32"/>
        </w:rPr>
      </w:pPr>
      <w:r w:rsidRPr="00DE23E8">
        <w:rPr>
          <w:rFonts w:ascii="Times New Roman" w:eastAsia="Calibri" w:hAnsi="Times New Roman" w:cs="Times New Roman"/>
          <w:sz w:val="32"/>
          <w:szCs w:val="32"/>
        </w:rPr>
        <w:t>Таким образом, в последние несколько лет прослеживается тенденция снижения когнитивных способностей детей Альфа. Это связано как с устаревшими методами обучения, так и с особенностями поколения Альфа. Для того, чтобы эффективно обучать поколение Альфа, необходимо способствовать развитию у детей системного, а не клипового мышления, и интегрировать в систему образования элементы геймификации и культуру веб-шуток.</w:t>
      </w:r>
    </w:p>
    <w:p w14:paraId="793619B3" w14:textId="77777777" w:rsidR="00F473AD" w:rsidRDefault="00F473AD" w:rsidP="00F473AD">
      <w:pPr>
        <w:spacing w:after="0" w:line="240" w:lineRule="auto"/>
        <w:jc w:val="center"/>
        <w:rPr>
          <w:rFonts w:ascii="Times New Roman" w:eastAsia="Calibri" w:hAnsi="Times New Roman" w:cs="Times New Roman"/>
          <w:sz w:val="21"/>
          <w:szCs w:val="21"/>
        </w:rPr>
      </w:pPr>
    </w:p>
    <w:p w14:paraId="277201FC" w14:textId="23D911BB" w:rsidR="00DE23E8" w:rsidRPr="00DE23E8" w:rsidRDefault="00F473AD" w:rsidP="00F473AD">
      <w:pPr>
        <w:spacing w:after="0" w:line="240" w:lineRule="auto"/>
        <w:jc w:val="center"/>
        <w:rPr>
          <w:rFonts w:ascii="Times New Roman" w:eastAsia="Calibri" w:hAnsi="Times New Roman" w:cs="Times New Roman"/>
          <w:b/>
          <w:bCs/>
          <w:sz w:val="21"/>
          <w:szCs w:val="21"/>
          <w:lang w:val="en-US"/>
        </w:rPr>
      </w:pPr>
      <w:r w:rsidRPr="00F473AD">
        <w:rPr>
          <w:rFonts w:ascii="Times New Roman" w:eastAsia="Calibri" w:hAnsi="Times New Roman" w:cs="Times New Roman"/>
          <w:b/>
          <w:bCs/>
          <w:sz w:val="21"/>
          <w:szCs w:val="21"/>
        </w:rPr>
        <w:t>Литература</w:t>
      </w:r>
      <w:r w:rsidRPr="00C30970">
        <w:rPr>
          <w:rFonts w:ascii="Times New Roman" w:eastAsia="Calibri" w:hAnsi="Times New Roman" w:cs="Times New Roman"/>
          <w:b/>
          <w:bCs/>
          <w:sz w:val="21"/>
          <w:szCs w:val="21"/>
          <w:lang w:val="en-US"/>
        </w:rPr>
        <w:t>:</w:t>
      </w:r>
    </w:p>
    <w:p w14:paraId="5BC2D5BF" w14:textId="77777777" w:rsidR="00DE23E8" w:rsidRPr="00DE23E8" w:rsidRDefault="00DE23E8" w:rsidP="00F473AD">
      <w:pPr>
        <w:spacing w:after="0" w:line="240" w:lineRule="auto"/>
        <w:jc w:val="both"/>
        <w:rPr>
          <w:rFonts w:ascii="Times New Roman" w:eastAsia="Calibri" w:hAnsi="Times New Roman" w:cs="Times New Roman"/>
          <w:sz w:val="21"/>
          <w:szCs w:val="21"/>
          <w:lang w:val="en-US"/>
        </w:rPr>
      </w:pPr>
      <w:r w:rsidRPr="00DE23E8">
        <w:rPr>
          <w:rFonts w:ascii="Times New Roman" w:eastAsia="Calibri" w:hAnsi="Times New Roman" w:cs="Times New Roman"/>
          <w:sz w:val="21"/>
          <w:szCs w:val="21"/>
          <w:lang w:val="en-US"/>
        </w:rPr>
        <w:t xml:space="preserve">1. Generation Alpha: Statistics, Data and Trends (2025) </w:t>
      </w:r>
      <w:hyperlink r:id="rId660" w:history="1">
        <w:r w:rsidRPr="00DE23E8">
          <w:rPr>
            <w:rFonts w:ascii="Times New Roman" w:eastAsia="Calibri" w:hAnsi="Times New Roman" w:cs="Times New Roman"/>
            <w:color w:val="0563C1"/>
            <w:sz w:val="21"/>
            <w:szCs w:val="21"/>
            <w:u w:val="single"/>
            <w:lang w:val="en-US"/>
          </w:rPr>
          <w:t>https://explodingtopics.com/blog/generation-alpha-stats</w:t>
        </w:r>
      </w:hyperlink>
    </w:p>
    <w:p w14:paraId="5C8ED8E0" w14:textId="77777777" w:rsidR="00DE23E8" w:rsidRPr="00DE23E8" w:rsidRDefault="00DE23E8" w:rsidP="00F473AD">
      <w:pPr>
        <w:spacing w:after="0" w:line="240" w:lineRule="auto"/>
        <w:jc w:val="both"/>
        <w:rPr>
          <w:rFonts w:ascii="Times New Roman" w:eastAsia="Calibri" w:hAnsi="Times New Roman" w:cs="Times New Roman"/>
          <w:sz w:val="21"/>
          <w:szCs w:val="21"/>
        </w:rPr>
      </w:pPr>
      <w:r w:rsidRPr="00DE23E8">
        <w:rPr>
          <w:rFonts w:ascii="Times New Roman" w:eastAsia="Calibri" w:hAnsi="Times New Roman" w:cs="Times New Roman"/>
          <w:sz w:val="21"/>
          <w:szCs w:val="21"/>
        </w:rPr>
        <w:t xml:space="preserve">2. Поколение Альфа. Дети, которые учат нейросети, а не алфавит </w:t>
      </w:r>
      <w:hyperlink r:id="rId661" w:history="1">
        <w:r w:rsidRPr="00DE23E8">
          <w:rPr>
            <w:rFonts w:ascii="Times New Roman" w:eastAsia="Calibri" w:hAnsi="Times New Roman" w:cs="Times New Roman"/>
            <w:color w:val="0563C1"/>
            <w:sz w:val="21"/>
            <w:szCs w:val="21"/>
            <w:u w:val="single"/>
          </w:rPr>
          <w:t>https://www.b17.ru/article/pokolenie_alfa_deti_kotorye_uchat_neyroseti_a_ne_alfavit/</w:t>
        </w:r>
      </w:hyperlink>
    </w:p>
    <w:p w14:paraId="6F22F711" w14:textId="77777777" w:rsidR="00DE23E8" w:rsidRPr="00DE23E8" w:rsidRDefault="00DE23E8" w:rsidP="00F473AD">
      <w:pPr>
        <w:spacing w:after="0" w:line="240" w:lineRule="auto"/>
        <w:jc w:val="both"/>
        <w:rPr>
          <w:rFonts w:ascii="Times New Roman" w:eastAsia="Calibri" w:hAnsi="Times New Roman" w:cs="Times New Roman"/>
          <w:sz w:val="21"/>
          <w:szCs w:val="21"/>
        </w:rPr>
      </w:pPr>
      <w:r w:rsidRPr="00DE23E8">
        <w:rPr>
          <w:rFonts w:ascii="Times New Roman" w:eastAsia="Calibri" w:hAnsi="Times New Roman" w:cs="Times New Roman"/>
          <w:sz w:val="21"/>
          <w:szCs w:val="21"/>
        </w:rPr>
        <w:t xml:space="preserve">3. «Что они там смотрят?» В США выяснили, как подростки проводят время со смартфоном | Правмир </w:t>
      </w:r>
      <w:hyperlink r:id="rId662" w:history="1">
        <w:r w:rsidRPr="00DE23E8">
          <w:rPr>
            <w:rFonts w:ascii="Times New Roman" w:eastAsia="Calibri" w:hAnsi="Times New Roman" w:cs="Times New Roman"/>
            <w:color w:val="0563C1"/>
            <w:sz w:val="21"/>
            <w:szCs w:val="21"/>
            <w:u w:val="single"/>
            <w:lang w:val="en-US"/>
          </w:rPr>
          <w:t>https</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www</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pravmir</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ru</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chto</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oni</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tam</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smotryat</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v</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ssha</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vyyasnili</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kak</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podrostki</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provodyat</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vremya</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so</w:t>
        </w:r>
        <w:r w:rsidRPr="00DE23E8">
          <w:rPr>
            <w:rFonts w:ascii="Times New Roman" w:eastAsia="Calibri" w:hAnsi="Times New Roman" w:cs="Times New Roman"/>
            <w:color w:val="0563C1"/>
            <w:sz w:val="21"/>
            <w:szCs w:val="21"/>
            <w:u w:val="single"/>
          </w:rPr>
          <w:t>-</w:t>
        </w:r>
        <w:r w:rsidRPr="00DE23E8">
          <w:rPr>
            <w:rFonts w:ascii="Times New Roman" w:eastAsia="Calibri" w:hAnsi="Times New Roman" w:cs="Times New Roman"/>
            <w:color w:val="0563C1"/>
            <w:sz w:val="21"/>
            <w:szCs w:val="21"/>
            <w:u w:val="single"/>
            <w:lang w:val="en-US"/>
          </w:rPr>
          <w:t>smartfonom</w:t>
        </w:r>
        <w:r w:rsidRPr="00DE23E8">
          <w:rPr>
            <w:rFonts w:ascii="Times New Roman" w:eastAsia="Calibri" w:hAnsi="Times New Roman" w:cs="Times New Roman"/>
            <w:color w:val="0563C1"/>
            <w:sz w:val="21"/>
            <w:szCs w:val="21"/>
            <w:u w:val="single"/>
          </w:rPr>
          <w:t>/</w:t>
        </w:r>
      </w:hyperlink>
    </w:p>
    <w:p w14:paraId="2B6D4462" w14:textId="77777777" w:rsidR="00DE23E8" w:rsidRPr="00DE23E8" w:rsidRDefault="00DE23E8" w:rsidP="00F473AD">
      <w:pPr>
        <w:spacing w:after="0" w:line="240" w:lineRule="auto"/>
        <w:jc w:val="both"/>
        <w:rPr>
          <w:rFonts w:ascii="Times New Roman" w:eastAsia="Calibri" w:hAnsi="Times New Roman" w:cs="Times New Roman"/>
          <w:sz w:val="21"/>
          <w:szCs w:val="21"/>
        </w:rPr>
      </w:pPr>
      <w:r w:rsidRPr="00DE23E8">
        <w:rPr>
          <w:rFonts w:ascii="Times New Roman" w:eastAsia="Calibri" w:hAnsi="Times New Roman" w:cs="Times New Roman"/>
          <w:sz w:val="21"/>
          <w:szCs w:val="21"/>
        </w:rPr>
        <w:t xml:space="preserve">4. YouTube связал поколения :: Технологии и медиа :: Газета РБК </w:t>
      </w:r>
      <w:hyperlink r:id="rId663" w:history="1">
        <w:r w:rsidRPr="00DE23E8">
          <w:rPr>
            <w:rFonts w:ascii="Times New Roman" w:eastAsia="Calibri" w:hAnsi="Times New Roman" w:cs="Times New Roman"/>
            <w:color w:val="0563C1"/>
            <w:sz w:val="21"/>
            <w:szCs w:val="21"/>
            <w:u w:val="single"/>
          </w:rPr>
          <w:t>https://www.rbc.ru/newspaper/2023/06/20/648b0a599a79475517072527</w:t>
        </w:r>
      </w:hyperlink>
      <w:r w:rsidRPr="00DE23E8">
        <w:rPr>
          <w:rFonts w:ascii="Times New Roman" w:eastAsia="Calibri" w:hAnsi="Times New Roman" w:cs="Times New Roman"/>
          <w:sz w:val="21"/>
          <w:szCs w:val="21"/>
        </w:rPr>
        <w:t xml:space="preserve"> </w:t>
      </w:r>
    </w:p>
    <w:p w14:paraId="00E58BEA" w14:textId="77777777" w:rsidR="00883ABF" w:rsidRDefault="00883ABF" w:rsidP="00DE23E8">
      <w:pPr>
        <w:tabs>
          <w:tab w:val="num" w:pos="851"/>
          <w:tab w:val="left" w:pos="993"/>
        </w:tabs>
        <w:spacing w:after="200" w:line="276" w:lineRule="auto"/>
        <w:rPr>
          <w:rFonts w:ascii="Calibri" w:eastAsia="Times New Roman" w:hAnsi="Calibri" w:cs="Times New Roman"/>
          <w:sz w:val="21"/>
          <w:szCs w:val="21"/>
        </w:rPr>
      </w:pPr>
    </w:p>
    <w:p w14:paraId="76F5F60A" w14:textId="77777777" w:rsidR="00DB1F0F" w:rsidRPr="00DB1F0F" w:rsidRDefault="00DB1F0F" w:rsidP="00DB1F0F">
      <w:pPr>
        <w:widowControl w:val="0"/>
        <w:suppressAutoHyphens/>
        <w:spacing w:after="0" w:line="240" w:lineRule="auto"/>
        <w:jc w:val="both"/>
        <w:rPr>
          <w:rFonts w:ascii="Times New Roman" w:eastAsia="Times New Roman" w:hAnsi="Times New Roman" w:cs="Times New Roman"/>
          <w:b/>
          <w:color w:val="000000"/>
          <w:sz w:val="21"/>
          <w:szCs w:val="21"/>
          <w:lang w:eastAsia="ar-SA"/>
        </w:rPr>
      </w:pPr>
      <w:r w:rsidRPr="00DB1F0F">
        <w:rPr>
          <w:rFonts w:ascii="Times New Roman" w:eastAsia="Times New Roman" w:hAnsi="Times New Roman" w:cs="Times New Roman"/>
          <w:b/>
          <w:color w:val="000000"/>
          <w:sz w:val="21"/>
          <w:szCs w:val="21"/>
          <w:lang w:eastAsia="ar-SA"/>
        </w:rPr>
        <w:lastRenderedPageBreak/>
        <w:t>УДК 338.26</w:t>
      </w:r>
    </w:p>
    <w:p w14:paraId="54ECD165" w14:textId="77777777" w:rsidR="00DB1F0F" w:rsidRPr="00DB1F0F" w:rsidRDefault="00DB1F0F" w:rsidP="0071440B">
      <w:pPr>
        <w:suppressAutoHyphens/>
        <w:spacing w:after="0" w:line="240" w:lineRule="auto"/>
        <w:jc w:val="right"/>
        <w:rPr>
          <w:rFonts w:ascii="Times New Roman" w:eastAsia="Times New Roman" w:hAnsi="Times New Roman" w:cs="Times New Roman"/>
          <w:i/>
          <w:color w:val="000000"/>
          <w:sz w:val="21"/>
          <w:szCs w:val="21"/>
          <w:lang w:eastAsia="ar-SA"/>
        </w:rPr>
      </w:pPr>
      <w:r w:rsidRPr="00DB1F0F">
        <w:rPr>
          <w:rFonts w:ascii="Times New Roman" w:eastAsia="Times New Roman" w:hAnsi="Times New Roman" w:cs="Times New Roman"/>
          <w:b/>
          <w:i/>
          <w:color w:val="000000"/>
          <w:sz w:val="21"/>
          <w:szCs w:val="21"/>
          <w:lang w:eastAsia="ar-SA"/>
        </w:rPr>
        <w:t xml:space="preserve">Клочкова С.В., </w:t>
      </w:r>
    </w:p>
    <w:p w14:paraId="1C2A01F6" w14:textId="77777777" w:rsidR="00DB1F0F" w:rsidRPr="00DB1F0F" w:rsidRDefault="00DB1F0F" w:rsidP="0071440B">
      <w:pPr>
        <w:suppressAutoHyphens/>
        <w:spacing w:after="0" w:line="240" w:lineRule="auto"/>
        <w:jc w:val="right"/>
        <w:rPr>
          <w:rFonts w:ascii="Times New Roman" w:eastAsia="Times New Roman" w:hAnsi="Times New Roman" w:cs="Times New Roman"/>
          <w:i/>
          <w:color w:val="000000"/>
          <w:sz w:val="21"/>
          <w:szCs w:val="21"/>
          <w:lang w:eastAsia="ar-SA"/>
        </w:rPr>
      </w:pPr>
      <w:r w:rsidRPr="00DB1F0F">
        <w:rPr>
          <w:rFonts w:ascii="Times New Roman" w:eastAsia="Times New Roman" w:hAnsi="Times New Roman" w:cs="Times New Roman"/>
          <w:i/>
          <w:color w:val="000000"/>
          <w:sz w:val="21"/>
          <w:szCs w:val="21"/>
          <w:lang w:eastAsia="ar-SA"/>
        </w:rPr>
        <w:t xml:space="preserve">студентка 1 курса </w:t>
      </w:r>
    </w:p>
    <w:p w14:paraId="1299EDEC" w14:textId="77777777" w:rsidR="00DB1F0F" w:rsidRPr="00DB1F0F" w:rsidRDefault="00DB1F0F" w:rsidP="0071440B">
      <w:pPr>
        <w:suppressAutoHyphens/>
        <w:spacing w:after="0" w:line="240" w:lineRule="auto"/>
        <w:jc w:val="right"/>
        <w:rPr>
          <w:rFonts w:ascii="Times New Roman" w:eastAsia="Times New Roman" w:hAnsi="Times New Roman" w:cs="Times New Roman"/>
          <w:i/>
          <w:color w:val="000000"/>
          <w:sz w:val="21"/>
          <w:szCs w:val="21"/>
          <w:lang w:eastAsia="ar-SA"/>
        </w:rPr>
      </w:pPr>
      <w:r w:rsidRPr="00DB1F0F">
        <w:rPr>
          <w:rFonts w:ascii="Times New Roman" w:eastAsia="Times New Roman" w:hAnsi="Times New Roman" w:cs="Times New Roman"/>
          <w:i/>
          <w:color w:val="000000"/>
          <w:sz w:val="21"/>
          <w:szCs w:val="21"/>
          <w:lang w:eastAsia="ar-SA"/>
        </w:rPr>
        <w:t>ФГБОУ ВО «Кубанский государственный университет»</w:t>
      </w:r>
    </w:p>
    <w:p w14:paraId="36492903" w14:textId="77777777" w:rsidR="00DB1F0F" w:rsidRPr="00DB1F0F" w:rsidRDefault="00DB1F0F" w:rsidP="0071440B">
      <w:pPr>
        <w:suppressAutoHyphens/>
        <w:spacing w:after="0" w:line="240" w:lineRule="auto"/>
        <w:jc w:val="right"/>
        <w:rPr>
          <w:rFonts w:ascii="Times New Roman" w:eastAsia="Times New Roman" w:hAnsi="Times New Roman" w:cs="Times New Roman"/>
          <w:i/>
          <w:sz w:val="21"/>
          <w:szCs w:val="21"/>
          <w:lang w:eastAsia="ar-SA"/>
        </w:rPr>
      </w:pPr>
      <w:r w:rsidRPr="00DB1F0F">
        <w:rPr>
          <w:rFonts w:ascii="Times New Roman" w:eastAsia="Times New Roman" w:hAnsi="Times New Roman" w:cs="Times New Roman"/>
          <w:i/>
          <w:sz w:val="21"/>
          <w:szCs w:val="21"/>
          <w:lang w:eastAsia="ar-SA"/>
        </w:rPr>
        <w:t>г. Краснодар, Россия</w:t>
      </w:r>
    </w:p>
    <w:p w14:paraId="2FB72D5C" w14:textId="77777777" w:rsidR="00DB1F0F" w:rsidRPr="00DB1F0F" w:rsidRDefault="00DB1F0F" w:rsidP="0071440B">
      <w:pPr>
        <w:spacing w:after="0" w:line="240" w:lineRule="auto"/>
        <w:jc w:val="right"/>
        <w:rPr>
          <w:rFonts w:ascii="Times New Roman" w:eastAsia="Times New Roman" w:hAnsi="Times New Roman" w:cs="Times New Roman"/>
          <w:i/>
          <w:sz w:val="21"/>
          <w:szCs w:val="21"/>
        </w:rPr>
      </w:pPr>
      <w:r w:rsidRPr="00DB1F0F">
        <w:rPr>
          <w:rFonts w:ascii="Times New Roman" w:eastAsia="Times New Roman" w:hAnsi="Times New Roman" w:cs="Times New Roman"/>
          <w:i/>
          <w:sz w:val="21"/>
          <w:szCs w:val="21"/>
        </w:rPr>
        <w:t>е-</w:t>
      </w:r>
      <w:r w:rsidRPr="00DB1F0F">
        <w:rPr>
          <w:rFonts w:ascii="Times New Roman" w:eastAsia="Times New Roman" w:hAnsi="Times New Roman" w:cs="Times New Roman"/>
          <w:i/>
          <w:sz w:val="21"/>
          <w:szCs w:val="21"/>
          <w:lang w:val="en-US"/>
        </w:rPr>
        <w:t>mail</w:t>
      </w:r>
      <w:r w:rsidRPr="00DB1F0F">
        <w:rPr>
          <w:rFonts w:ascii="Times New Roman" w:eastAsia="Times New Roman" w:hAnsi="Times New Roman" w:cs="Times New Roman"/>
          <w:i/>
          <w:sz w:val="21"/>
          <w:szCs w:val="21"/>
        </w:rPr>
        <w:t xml:space="preserve">: </w:t>
      </w:r>
      <w:hyperlink r:id="rId664" w:history="1">
        <w:r w:rsidRPr="00DB1F0F">
          <w:rPr>
            <w:rFonts w:ascii="Times New Roman" w:eastAsia="Times New Roman" w:hAnsi="Times New Roman" w:cs="Times New Roman"/>
            <w:i/>
            <w:color w:val="0000FF"/>
            <w:sz w:val="21"/>
            <w:szCs w:val="21"/>
            <w:u w:val="single"/>
            <w:lang w:val="en-US"/>
          </w:rPr>
          <w:t>soilvona</w:t>
        </w:r>
        <w:r w:rsidRPr="00DB1F0F">
          <w:rPr>
            <w:rFonts w:ascii="Times New Roman" w:eastAsia="Times New Roman" w:hAnsi="Times New Roman" w:cs="Times New Roman"/>
            <w:i/>
            <w:color w:val="0000FF"/>
            <w:sz w:val="21"/>
            <w:szCs w:val="21"/>
            <w:u w:val="single"/>
          </w:rPr>
          <w:t>@</w:t>
        </w:r>
        <w:r w:rsidRPr="00DB1F0F">
          <w:rPr>
            <w:rFonts w:ascii="Times New Roman" w:eastAsia="Times New Roman" w:hAnsi="Times New Roman" w:cs="Times New Roman"/>
            <w:i/>
            <w:color w:val="0000FF"/>
            <w:sz w:val="21"/>
            <w:szCs w:val="21"/>
            <w:u w:val="single"/>
            <w:lang w:val="en-US"/>
          </w:rPr>
          <w:t>gmail</w:t>
        </w:r>
        <w:r w:rsidRPr="00DB1F0F">
          <w:rPr>
            <w:rFonts w:ascii="Times New Roman" w:eastAsia="Times New Roman" w:hAnsi="Times New Roman" w:cs="Times New Roman"/>
            <w:i/>
            <w:color w:val="0000FF"/>
            <w:sz w:val="21"/>
            <w:szCs w:val="21"/>
            <w:u w:val="single"/>
          </w:rPr>
          <w:t>.</w:t>
        </w:r>
        <w:r w:rsidRPr="00DB1F0F">
          <w:rPr>
            <w:rFonts w:ascii="Times New Roman" w:eastAsia="Times New Roman" w:hAnsi="Times New Roman" w:cs="Times New Roman"/>
            <w:i/>
            <w:color w:val="0000FF"/>
            <w:sz w:val="21"/>
            <w:szCs w:val="21"/>
            <w:u w:val="single"/>
            <w:lang w:val="en-US"/>
          </w:rPr>
          <w:t>com</w:t>
        </w:r>
      </w:hyperlink>
      <w:r w:rsidRPr="00DB1F0F">
        <w:rPr>
          <w:rFonts w:ascii="Times New Roman" w:eastAsia="Times New Roman" w:hAnsi="Times New Roman" w:cs="Times New Roman"/>
          <w:i/>
          <w:sz w:val="21"/>
          <w:szCs w:val="21"/>
        </w:rPr>
        <w:t xml:space="preserve"> </w:t>
      </w:r>
    </w:p>
    <w:p w14:paraId="2153F106" w14:textId="77777777" w:rsidR="00DB1F0F" w:rsidRPr="00DB1F0F" w:rsidRDefault="00DB1F0F" w:rsidP="0071440B">
      <w:pPr>
        <w:spacing w:after="0" w:line="240" w:lineRule="auto"/>
        <w:jc w:val="right"/>
        <w:rPr>
          <w:rFonts w:ascii="Times New Roman" w:eastAsia="Times New Roman" w:hAnsi="Times New Roman" w:cs="Times New Roman"/>
          <w:i/>
          <w:sz w:val="21"/>
          <w:szCs w:val="21"/>
        </w:rPr>
      </w:pPr>
    </w:p>
    <w:p w14:paraId="2C523B69" w14:textId="77777777" w:rsidR="00DB1F0F" w:rsidRPr="00DB1F0F" w:rsidRDefault="00DB1F0F" w:rsidP="0071440B">
      <w:pPr>
        <w:spacing w:after="0" w:line="240" w:lineRule="auto"/>
        <w:jc w:val="right"/>
        <w:rPr>
          <w:rFonts w:ascii="Times New Roman" w:eastAsia="Times New Roman" w:hAnsi="Times New Roman" w:cs="Times New Roman"/>
          <w:b/>
          <w:i/>
          <w:sz w:val="21"/>
          <w:szCs w:val="21"/>
        </w:rPr>
      </w:pPr>
      <w:r w:rsidRPr="00DB1F0F">
        <w:rPr>
          <w:rFonts w:ascii="Times New Roman" w:eastAsia="Times New Roman" w:hAnsi="Times New Roman" w:cs="Times New Roman"/>
          <w:b/>
          <w:i/>
          <w:sz w:val="21"/>
          <w:szCs w:val="21"/>
        </w:rPr>
        <w:t>Научный руководитель:</w:t>
      </w:r>
    </w:p>
    <w:p w14:paraId="69BE08E1" w14:textId="77777777" w:rsidR="00DB1F0F" w:rsidRPr="00DB1F0F" w:rsidRDefault="00DB1F0F" w:rsidP="0071440B">
      <w:pPr>
        <w:spacing w:after="0" w:line="240" w:lineRule="auto"/>
        <w:jc w:val="right"/>
        <w:rPr>
          <w:rFonts w:ascii="Times New Roman" w:eastAsia="Times New Roman" w:hAnsi="Times New Roman" w:cs="Times New Roman"/>
          <w:b/>
          <w:i/>
          <w:sz w:val="21"/>
          <w:szCs w:val="21"/>
        </w:rPr>
      </w:pPr>
      <w:r w:rsidRPr="00DB1F0F">
        <w:rPr>
          <w:rFonts w:ascii="Times New Roman" w:eastAsia="Times New Roman" w:hAnsi="Times New Roman" w:cs="Times New Roman"/>
          <w:b/>
          <w:i/>
          <w:sz w:val="21"/>
          <w:szCs w:val="21"/>
        </w:rPr>
        <w:t>Аведисян Н.Н.,</w:t>
      </w:r>
    </w:p>
    <w:p w14:paraId="3A67827F" w14:textId="77777777" w:rsidR="00DB1F0F" w:rsidRPr="00DB1F0F" w:rsidRDefault="00DB1F0F" w:rsidP="0071440B">
      <w:pPr>
        <w:spacing w:after="0" w:line="240" w:lineRule="auto"/>
        <w:jc w:val="right"/>
        <w:rPr>
          <w:rFonts w:ascii="Times New Roman" w:eastAsia="Times New Roman" w:hAnsi="Times New Roman" w:cs="Times New Roman"/>
          <w:i/>
          <w:sz w:val="21"/>
          <w:szCs w:val="21"/>
        </w:rPr>
      </w:pPr>
      <w:r w:rsidRPr="00DB1F0F">
        <w:rPr>
          <w:rFonts w:ascii="Times New Roman" w:eastAsia="Times New Roman" w:hAnsi="Times New Roman" w:cs="Times New Roman"/>
          <w:i/>
          <w:sz w:val="21"/>
          <w:szCs w:val="21"/>
        </w:rPr>
        <w:t xml:space="preserve">доцент, к.э.н. </w:t>
      </w:r>
    </w:p>
    <w:p w14:paraId="3006050D" w14:textId="77777777" w:rsidR="00DB1F0F" w:rsidRPr="00DB1F0F" w:rsidRDefault="00DB1F0F" w:rsidP="0071440B">
      <w:pPr>
        <w:suppressAutoHyphens/>
        <w:spacing w:after="0" w:line="240" w:lineRule="auto"/>
        <w:jc w:val="right"/>
        <w:rPr>
          <w:rFonts w:ascii="Times New Roman" w:eastAsia="Times New Roman" w:hAnsi="Times New Roman" w:cs="Times New Roman"/>
          <w:i/>
          <w:sz w:val="21"/>
          <w:szCs w:val="21"/>
          <w:lang w:eastAsia="ar-SA"/>
        </w:rPr>
      </w:pPr>
      <w:r w:rsidRPr="00DB1F0F">
        <w:rPr>
          <w:rFonts w:ascii="Times New Roman" w:eastAsia="Times New Roman" w:hAnsi="Times New Roman" w:cs="Times New Roman"/>
          <w:i/>
          <w:color w:val="000000"/>
          <w:sz w:val="21"/>
          <w:szCs w:val="21"/>
          <w:lang w:eastAsia="ar-SA"/>
        </w:rPr>
        <w:t>ФГБОУ ВО «Кубанский государственный университет»</w:t>
      </w:r>
    </w:p>
    <w:p w14:paraId="71FC7F10" w14:textId="77777777" w:rsidR="00DB1F0F" w:rsidRPr="00DB1F0F" w:rsidRDefault="00DB1F0F" w:rsidP="0071440B">
      <w:pPr>
        <w:suppressAutoHyphens/>
        <w:spacing w:after="0" w:line="240" w:lineRule="auto"/>
        <w:jc w:val="right"/>
        <w:rPr>
          <w:rFonts w:ascii="Times New Roman" w:eastAsia="Times New Roman" w:hAnsi="Times New Roman" w:cs="Times New Roman"/>
          <w:i/>
          <w:sz w:val="21"/>
          <w:szCs w:val="21"/>
          <w:lang w:eastAsia="ar-SA"/>
        </w:rPr>
      </w:pPr>
      <w:r w:rsidRPr="00DB1F0F">
        <w:rPr>
          <w:rFonts w:ascii="Times New Roman" w:eastAsia="Times New Roman" w:hAnsi="Times New Roman" w:cs="Times New Roman"/>
          <w:i/>
          <w:sz w:val="21"/>
          <w:szCs w:val="21"/>
          <w:lang w:eastAsia="ar-SA"/>
        </w:rPr>
        <w:t>г. Краснодар, Россия</w:t>
      </w:r>
    </w:p>
    <w:p w14:paraId="7EA3839E" w14:textId="77777777" w:rsidR="00DB1F0F" w:rsidRPr="00DB1F0F" w:rsidRDefault="00DB1F0F" w:rsidP="0071440B">
      <w:pPr>
        <w:suppressAutoHyphens/>
        <w:spacing w:after="0" w:line="240" w:lineRule="auto"/>
        <w:jc w:val="right"/>
        <w:textAlignment w:val="baseline"/>
        <w:rPr>
          <w:rFonts w:ascii="Times New Roman" w:eastAsia="Times New Roman" w:hAnsi="Times New Roman" w:cs="Times New Roman"/>
          <w:i/>
          <w:sz w:val="21"/>
          <w:szCs w:val="21"/>
          <w:lang w:eastAsia="ar-SA"/>
        </w:rPr>
      </w:pPr>
      <w:r w:rsidRPr="00DB1F0F">
        <w:rPr>
          <w:rFonts w:ascii="Times New Roman" w:eastAsia="Times New Roman" w:hAnsi="Times New Roman" w:cs="Times New Roman"/>
          <w:i/>
          <w:sz w:val="21"/>
          <w:szCs w:val="21"/>
          <w:lang w:eastAsia="ar-SA"/>
        </w:rPr>
        <w:t>е-</w:t>
      </w:r>
      <w:r w:rsidRPr="00DB1F0F">
        <w:rPr>
          <w:rFonts w:ascii="Times New Roman" w:eastAsia="Times New Roman" w:hAnsi="Times New Roman" w:cs="Times New Roman"/>
          <w:i/>
          <w:sz w:val="21"/>
          <w:szCs w:val="21"/>
          <w:lang w:val="en-US" w:eastAsia="ar-SA"/>
        </w:rPr>
        <w:t>mail</w:t>
      </w:r>
      <w:r w:rsidRPr="00DB1F0F">
        <w:rPr>
          <w:rFonts w:ascii="Times New Roman" w:eastAsia="Times New Roman" w:hAnsi="Times New Roman" w:cs="Times New Roman"/>
          <w:i/>
          <w:sz w:val="21"/>
          <w:szCs w:val="21"/>
          <w:lang w:eastAsia="ar-SA"/>
        </w:rPr>
        <w:t xml:space="preserve">: </w:t>
      </w:r>
      <w:r w:rsidRPr="00DB1F0F">
        <w:rPr>
          <w:rFonts w:ascii="Times New Roman" w:eastAsia="Times New Roman" w:hAnsi="Times New Roman" w:cs="Times New Roman"/>
          <w:i/>
          <w:color w:val="0000FF"/>
          <w:sz w:val="21"/>
          <w:szCs w:val="21"/>
          <w:u w:val="single"/>
          <w:lang w:val="en-US"/>
        </w:rPr>
        <w:t>Avedisyan</w:t>
      </w:r>
      <w:r w:rsidRPr="00DB1F0F">
        <w:rPr>
          <w:rFonts w:ascii="Times New Roman" w:eastAsia="Times New Roman" w:hAnsi="Times New Roman" w:cs="Times New Roman"/>
          <w:i/>
          <w:color w:val="0000FF"/>
          <w:sz w:val="21"/>
          <w:szCs w:val="21"/>
          <w:u w:val="single"/>
        </w:rPr>
        <w:t>.</w:t>
      </w:r>
      <w:r w:rsidRPr="00DB1F0F">
        <w:rPr>
          <w:rFonts w:ascii="Times New Roman" w:eastAsia="Times New Roman" w:hAnsi="Times New Roman" w:cs="Times New Roman"/>
          <w:i/>
          <w:color w:val="0000FF"/>
          <w:sz w:val="21"/>
          <w:szCs w:val="21"/>
          <w:u w:val="single"/>
          <w:lang w:val="en-US"/>
        </w:rPr>
        <w:t>natalya</w:t>
      </w:r>
      <w:r w:rsidRPr="00DB1F0F">
        <w:rPr>
          <w:rFonts w:ascii="Times New Roman" w:eastAsia="Times New Roman" w:hAnsi="Times New Roman" w:cs="Times New Roman"/>
          <w:i/>
          <w:color w:val="0000FF"/>
          <w:sz w:val="21"/>
          <w:szCs w:val="21"/>
          <w:u w:val="single"/>
        </w:rPr>
        <w:t>@</w:t>
      </w:r>
      <w:r w:rsidRPr="00DB1F0F">
        <w:rPr>
          <w:rFonts w:ascii="Times New Roman" w:eastAsia="Times New Roman" w:hAnsi="Times New Roman" w:cs="Times New Roman"/>
          <w:i/>
          <w:color w:val="0000FF"/>
          <w:sz w:val="21"/>
          <w:szCs w:val="21"/>
          <w:u w:val="single"/>
          <w:lang w:val="en-US"/>
        </w:rPr>
        <w:t>yandex</w:t>
      </w:r>
      <w:r w:rsidRPr="00DB1F0F">
        <w:rPr>
          <w:rFonts w:ascii="Times New Roman" w:eastAsia="Times New Roman" w:hAnsi="Times New Roman" w:cs="Times New Roman"/>
          <w:i/>
          <w:color w:val="0000FF"/>
          <w:sz w:val="21"/>
          <w:szCs w:val="21"/>
          <w:u w:val="single"/>
        </w:rPr>
        <w:t>.</w:t>
      </w:r>
      <w:r w:rsidRPr="00DB1F0F">
        <w:rPr>
          <w:rFonts w:ascii="Times New Roman" w:eastAsia="Times New Roman" w:hAnsi="Times New Roman" w:cs="Times New Roman"/>
          <w:i/>
          <w:color w:val="0000FF"/>
          <w:sz w:val="21"/>
          <w:szCs w:val="21"/>
          <w:u w:val="single"/>
          <w:lang w:val="en-US"/>
        </w:rPr>
        <w:t>ru</w:t>
      </w:r>
      <w:r w:rsidRPr="00DB1F0F">
        <w:rPr>
          <w:rFonts w:ascii="Times New Roman" w:eastAsia="Times New Roman" w:hAnsi="Times New Roman" w:cs="Times New Roman"/>
          <w:i/>
          <w:sz w:val="21"/>
          <w:szCs w:val="21"/>
          <w:lang w:eastAsia="ar-SA"/>
        </w:rPr>
        <w:t xml:space="preserve"> </w:t>
      </w:r>
    </w:p>
    <w:p w14:paraId="61FD3982" w14:textId="77777777" w:rsidR="00DB1F0F" w:rsidRPr="00DB1F0F" w:rsidRDefault="00DB1F0F" w:rsidP="0071440B">
      <w:pPr>
        <w:suppressAutoHyphens/>
        <w:spacing w:after="0" w:line="240" w:lineRule="auto"/>
        <w:jc w:val="center"/>
        <w:rPr>
          <w:rFonts w:ascii="Times New Roman" w:eastAsia="Times New Roman" w:hAnsi="Times New Roman" w:cs="Times New Roman"/>
          <w:b/>
          <w:sz w:val="21"/>
          <w:szCs w:val="21"/>
          <w:lang w:eastAsia="ar-SA"/>
        </w:rPr>
      </w:pPr>
    </w:p>
    <w:p w14:paraId="4A942CD5" w14:textId="77777777" w:rsidR="00DB1F0F" w:rsidRPr="00DB1F0F" w:rsidRDefault="00DB1F0F" w:rsidP="0071440B">
      <w:pPr>
        <w:suppressAutoHyphens/>
        <w:spacing w:after="0" w:line="240" w:lineRule="auto"/>
        <w:ind w:firstLine="425"/>
        <w:jc w:val="center"/>
        <w:rPr>
          <w:rFonts w:ascii="Times New Roman" w:eastAsia="Times New Roman" w:hAnsi="Times New Roman" w:cs="Times New Roman"/>
          <w:b/>
          <w:sz w:val="21"/>
          <w:szCs w:val="21"/>
          <w:lang w:eastAsia="ar-SA"/>
        </w:rPr>
      </w:pPr>
      <w:r w:rsidRPr="00DB1F0F">
        <w:rPr>
          <w:rFonts w:ascii="Times New Roman" w:eastAsia="Times New Roman" w:hAnsi="Times New Roman" w:cs="Times New Roman"/>
          <w:b/>
          <w:sz w:val="21"/>
          <w:szCs w:val="21"/>
          <w:lang w:eastAsia="ar-SA"/>
        </w:rPr>
        <w:t>Исследования психологических барьеров участия студентов в конкурсах инновационных решений для устойчивого экономического роста региона</w:t>
      </w:r>
    </w:p>
    <w:p w14:paraId="3188C3D7" w14:textId="77777777" w:rsidR="00DB1F0F" w:rsidRPr="00DB1F0F" w:rsidRDefault="00DB1F0F" w:rsidP="0071440B">
      <w:pPr>
        <w:spacing w:after="0" w:line="240" w:lineRule="auto"/>
        <w:ind w:firstLine="567"/>
        <w:jc w:val="both"/>
        <w:rPr>
          <w:rFonts w:ascii="Times New Roman" w:eastAsia="Times New Roman" w:hAnsi="Times New Roman" w:cs="Times New Roman"/>
          <w:i/>
          <w:sz w:val="21"/>
          <w:szCs w:val="21"/>
          <w:shd w:val="clear" w:color="auto" w:fill="00FFFF"/>
        </w:rPr>
      </w:pPr>
    </w:p>
    <w:p w14:paraId="66CDEE7D" w14:textId="77777777" w:rsidR="00DB1F0F" w:rsidRPr="00DB1F0F" w:rsidRDefault="00DB1F0F" w:rsidP="0071440B">
      <w:pPr>
        <w:spacing w:after="0" w:line="240" w:lineRule="auto"/>
        <w:ind w:firstLine="567"/>
        <w:jc w:val="both"/>
        <w:rPr>
          <w:rFonts w:ascii="Times New Roman" w:eastAsia="Times New Roman" w:hAnsi="Times New Roman" w:cs="Times New Roman"/>
          <w:i/>
          <w:sz w:val="21"/>
          <w:szCs w:val="21"/>
        </w:rPr>
      </w:pPr>
      <w:r w:rsidRPr="00DB1F0F">
        <w:rPr>
          <w:rFonts w:ascii="Times New Roman" w:eastAsia="Times New Roman" w:hAnsi="Times New Roman" w:cs="Times New Roman"/>
          <w:b/>
          <w:sz w:val="21"/>
          <w:szCs w:val="21"/>
        </w:rPr>
        <w:t>Аннотация:</w:t>
      </w:r>
      <w:r w:rsidRPr="00DB1F0F">
        <w:rPr>
          <w:rFonts w:ascii="Times New Roman" w:eastAsia="Times New Roman" w:hAnsi="Times New Roman" w:cs="Times New Roman"/>
          <w:i/>
          <w:sz w:val="21"/>
          <w:szCs w:val="21"/>
        </w:rPr>
        <w:t xml:space="preserve"> </w:t>
      </w:r>
      <w:r w:rsidRPr="00DB1F0F">
        <w:rPr>
          <w:rFonts w:ascii="Times New Roman" w:eastAsia="Times New Roman" w:hAnsi="Times New Roman" w:cs="Times New Roman"/>
          <w:sz w:val="21"/>
          <w:szCs w:val="21"/>
        </w:rPr>
        <w:t>в статье исследуются психологические барьеры участия студентов в конкурсах инновационных решений как инструмент экономического развития Краснодарского края. На основе проведенного опроса и SWOT-анализа выявлены ключевые мотивации и барьеры участия. Разработаны рекомендации по формированию поддерживающей образовательной среды для повышения активности студентов в инновационной деятельности, что напрямую способствует устойчивому росту региональной экономики и укреплению ее конкурентных позиций.</w:t>
      </w:r>
    </w:p>
    <w:p w14:paraId="05431405" w14:textId="77777777" w:rsidR="00DB1F0F" w:rsidRDefault="00DB1F0F" w:rsidP="0071440B">
      <w:pPr>
        <w:spacing w:after="0" w:line="240" w:lineRule="auto"/>
        <w:ind w:firstLine="567"/>
        <w:jc w:val="both"/>
        <w:rPr>
          <w:rFonts w:ascii="Times New Roman" w:eastAsia="Times New Roman" w:hAnsi="Times New Roman" w:cs="Times New Roman"/>
          <w:sz w:val="21"/>
          <w:szCs w:val="21"/>
        </w:rPr>
      </w:pPr>
      <w:r w:rsidRPr="00DB1F0F">
        <w:rPr>
          <w:rFonts w:ascii="Times New Roman" w:eastAsia="Times New Roman" w:hAnsi="Times New Roman" w:cs="Times New Roman"/>
          <w:b/>
          <w:sz w:val="21"/>
          <w:szCs w:val="21"/>
        </w:rPr>
        <w:t>Ключевые слова:</w:t>
      </w:r>
      <w:r w:rsidRPr="00DB1F0F">
        <w:rPr>
          <w:rFonts w:ascii="Times New Roman" w:eastAsia="Times New Roman" w:hAnsi="Times New Roman" w:cs="Times New Roman"/>
          <w:sz w:val="21"/>
          <w:szCs w:val="21"/>
        </w:rPr>
        <w:t xml:space="preserve"> экономическое развитие, инновационные проекты, инновационный потенциал, хакатоны, наставничество, акселераторы, конкурсы инновационных решений.</w:t>
      </w:r>
    </w:p>
    <w:p w14:paraId="7BC35CA1" w14:textId="77777777" w:rsidR="004103FE" w:rsidRPr="00DB1F0F" w:rsidRDefault="004103FE" w:rsidP="0071440B">
      <w:pPr>
        <w:spacing w:after="0" w:line="240" w:lineRule="auto"/>
        <w:ind w:firstLine="567"/>
        <w:jc w:val="both"/>
        <w:rPr>
          <w:rFonts w:ascii="Times New Roman" w:eastAsia="Times New Roman" w:hAnsi="Times New Roman" w:cs="Times New Roman"/>
          <w:sz w:val="21"/>
          <w:szCs w:val="21"/>
        </w:rPr>
      </w:pPr>
    </w:p>
    <w:p w14:paraId="7963B8CA" w14:textId="77777777" w:rsidR="00DB1F0F" w:rsidRPr="00DB1F0F" w:rsidRDefault="00DB1F0F" w:rsidP="0071440B">
      <w:pPr>
        <w:spacing w:after="0" w:line="240" w:lineRule="auto"/>
        <w:ind w:firstLine="567"/>
        <w:jc w:val="right"/>
        <w:rPr>
          <w:rFonts w:ascii="Times New Roman" w:eastAsia="Times New Roman" w:hAnsi="Times New Roman" w:cs="Times New Roman"/>
          <w:b/>
          <w:i/>
          <w:sz w:val="21"/>
          <w:szCs w:val="21"/>
          <w:lang w:val="en-US"/>
        </w:rPr>
      </w:pPr>
      <w:r w:rsidRPr="00DB1F0F">
        <w:rPr>
          <w:rFonts w:ascii="Times New Roman" w:eastAsia="Times New Roman" w:hAnsi="Times New Roman" w:cs="Times New Roman"/>
          <w:b/>
          <w:i/>
          <w:sz w:val="21"/>
          <w:szCs w:val="21"/>
          <w:lang w:val="en-US"/>
        </w:rPr>
        <w:t xml:space="preserve">Klochkova S.V., </w:t>
      </w:r>
    </w:p>
    <w:p w14:paraId="01B50756" w14:textId="77777777" w:rsidR="00DB1F0F" w:rsidRPr="00DB1F0F" w:rsidRDefault="00DB1F0F" w:rsidP="0071440B">
      <w:pPr>
        <w:spacing w:after="0" w:line="240" w:lineRule="auto"/>
        <w:ind w:firstLine="567"/>
        <w:jc w:val="right"/>
        <w:rPr>
          <w:rFonts w:ascii="Times New Roman" w:eastAsia="Times New Roman" w:hAnsi="Times New Roman" w:cs="Times New Roman"/>
          <w:b/>
          <w:i/>
          <w:sz w:val="21"/>
          <w:szCs w:val="21"/>
          <w:lang w:val="en-US"/>
        </w:rPr>
      </w:pPr>
      <w:r w:rsidRPr="00DB1F0F">
        <w:rPr>
          <w:rFonts w:ascii="Times New Roman" w:eastAsia="Times New Roman" w:hAnsi="Times New Roman" w:cs="Times New Roman"/>
          <w:i/>
          <w:sz w:val="21"/>
          <w:szCs w:val="21"/>
          <w:lang w:val="en-US"/>
        </w:rPr>
        <w:t>student,</w:t>
      </w:r>
      <w:r w:rsidRPr="00DB1F0F">
        <w:rPr>
          <w:rFonts w:ascii="Times New Roman" w:eastAsia="Times New Roman" w:hAnsi="Times New Roman" w:cs="Times New Roman"/>
          <w:i/>
          <w:lang w:val="en-US"/>
        </w:rPr>
        <w:t xml:space="preserve"> </w:t>
      </w:r>
      <w:r w:rsidRPr="00DB1F0F">
        <w:rPr>
          <w:rFonts w:ascii="Times New Roman" w:eastAsia="Times New Roman" w:hAnsi="Times New Roman" w:cs="Times New Roman"/>
          <w:i/>
          <w:sz w:val="21"/>
          <w:szCs w:val="21"/>
          <w:lang w:val="en-US"/>
        </w:rPr>
        <w:t xml:space="preserve">1 </w:t>
      </w:r>
      <w:proofErr w:type="gramStart"/>
      <w:r w:rsidRPr="00DB1F0F">
        <w:rPr>
          <w:rFonts w:ascii="Times New Roman" w:eastAsia="Times New Roman" w:hAnsi="Times New Roman" w:cs="Times New Roman"/>
          <w:i/>
          <w:sz w:val="21"/>
          <w:szCs w:val="21"/>
          <w:lang w:val="en-US"/>
        </w:rPr>
        <w:t>courses</w:t>
      </w:r>
      <w:proofErr w:type="gramEnd"/>
      <w:r w:rsidRPr="00DB1F0F">
        <w:rPr>
          <w:rFonts w:ascii="Times New Roman" w:eastAsia="Times New Roman" w:hAnsi="Times New Roman" w:cs="Times New Roman"/>
          <w:b/>
          <w:i/>
          <w:sz w:val="21"/>
          <w:szCs w:val="21"/>
          <w:lang w:val="en-US"/>
        </w:rPr>
        <w:t xml:space="preserve"> </w:t>
      </w:r>
    </w:p>
    <w:p w14:paraId="18E71BBA" w14:textId="77777777" w:rsidR="00DB1F0F" w:rsidRPr="00DB1F0F" w:rsidRDefault="00DB1F0F" w:rsidP="0071440B">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DB1F0F">
        <w:rPr>
          <w:rFonts w:ascii="Times New Roman" w:eastAsia="Times New Roman" w:hAnsi="Times New Roman" w:cs="Times New Roman"/>
          <w:i/>
          <w:sz w:val="21"/>
          <w:szCs w:val="21"/>
          <w:lang w:val="x-none" w:eastAsia="ar-SA"/>
        </w:rPr>
        <w:t xml:space="preserve">FGBOU VO </w:t>
      </w:r>
      <w:r w:rsidRPr="00DB1F0F">
        <w:rPr>
          <w:rFonts w:ascii="Times New Roman" w:eastAsia="Times New Roman" w:hAnsi="Times New Roman" w:cs="Times New Roman"/>
          <w:i/>
          <w:sz w:val="21"/>
          <w:szCs w:val="21"/>
          <w:lang w:val="en-US" w:eastAsia="ar-SA"/>
        </w:rPr>
        <w:t>«</w:t>
      </w:r>
      <w:r w:rsidRPr="00DB1F0F">
        <w:rPr>
          <w:rFonts w:ascii="Calibri" w:eastAsia="Times New Roman" w:hAnsi="Calibri" w:cs="Times New Roman"/>
          <w:sz w:val="24"/>
          <w:szCs w:val="24"/>
          <w:lang w:val="x-none" w:eastAsia="ar-SA"/>
        </w:rPr>
        <w:t xml:space="preserve"> </w:t>
      </w:r>
      <w:r w:rsidRPr="00DB1F0F">
        <w:rPr>
          <w:rFonts w:ascii="Times New Roman" w:eastAsia="Times New Roman" w:hAnsi="Times New Roman" w:cs="Times New Roman"/>
          <w:i/>
          <w:sz w:val="21"/>
          <w:szCs w:val="21"/>
          <w:lang w:val="x-none" w:eastAsia="ar-SA"/>
        </w:rPr>
        <w:t>Kuban State University</w:t>
      </w:r>
      <w:r w:rsidRPr="00DB1F0F">
        <w:rPr>
          <w:rFonts w:ascii="Times New Roman" w:eastAsia="Times New Roman" w:hAnsi="Times New Roman" w:cs="Times New Roman"/>
          <w:i/>
          <w:sz w:val="21"/>
          <w:szCs w:val="21"/>
          <w:lang w:val="en-US" w:eastAsia="ar-SA"/>
        </w:rPr>
        <w:t>»</w:t>
      </w:r>
    </w:p>
    <w:p w14:paraId="751F6BDC" w14:textId="77777777" w:rsidR="00DB1F0F" w:rsidRPr="00DB1F0F" w:rsidRDefault="00DB1F0F" w:rsidP="0071440B">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DB1F0F">
        <w:rPr>
          <w:rFonts w:ascii="Times New Roman" w:eastAsia="Times New Roman" w:hAnsi="Times New Roman" w:cs="Times New Roman"/>
          <w:i/>
          <w:sz w:val="21"/>
          <w:szCs w:val="21"/>
          <w:lang w:val="en-US" w:eastAsia="ar-SA"/>
        </w:rPr>
        <w:t>Krasnodar, Russia</w:t>
      </w:r>
    </w:p>
    <w:p w14:paraId="5179DE17" w14:textId="77777777" w:rsidR="00DB1F0F" w:rsidRPr="00DB1F0F" w:rsidRDefault="00DB1F0F" w:rsidP="0071440B">
      <w:pPr>
        <w:spacing w:after="0" w:line="240" w:lineRule="auto"/>
        <w:ind w:firstLine="567"/>
        <w:jc w:val="right"/>
        <w:rPr>
          <w:rFonts w:ascii="Times New Roman" w:eastAsia="Times New Roman" w:hAnsi="Times New Roman" w:cs="Times New Roman"/>
          <w:i/>
          <w:sz w:val="21"/>
          <w:szCs w:val="21"/>
          <w:lang w:val="en-US"/>
        </w:rPr>
      </w:pPr>
      <w:r w:rsidRPr="00DB1F0F">
        <w:rPr>
          <w:rFonts w:ascii="Times New Roman" w:eastAsia="Times New Roman" w:hAnsi="Times New Roman" w:cs="Times New Roman"/>
          <w:i/>
          <w:sz w:val="21"/>
          <w:szCs w:val="21"/>
        </w:rPr>
        <w:t>е</w:t>
      </w:r>
      <w:r w:rsidRPr="00DB1F0F">
        <w:rPr>
          <w:rFonts w:ascii="Times New Roman" w:eastAsia="Times New Roman" w:hAnsi="Times New Roman" w:cs="Times New Roman"/>
          <w:i/>
          <w:sz w:val="21"/>
          <w:szCs w:val="21"/>
          <w:lang w:val="en-US"/>
        </w:rPr>
        <w:t xml:space="preserve">-mail: </w:t>
      </w:r>
      <w:hyperlink r:id="rId665" w:history="1">
        <w:r w:rsidRPr="00DB1F0F">
          <w:rPr>
            <w:rFonts w:ascii="Times New Roman" w:eastAsia="Times New Roman" w:hAnsi="Times New Roman" w:cs="Times New Roman"/>
            <w:i/>
            <w:color w:val="0000FF"/>
            <w:sz w:val="21"/>
            <w:szCs w:val="21"/>
            <w:u w:val="single"/>
            <w:lang w:val="en-US"/>
          </w:rPr>
          <w:t>soilvona@gmail.com</w:t>
        </w:r>
      </w:hyperlink>
      <w:r w:rsidRPr="00DB1F0F">
        <w:rPr>
          <w:rFonts w:ascii="Times New Roman" w:eastAsia="Times New Roman" w:hAnsi="Times New Roman" w:cs="Times New Roman"/>
          <w:i/>
          <w:sz w:val="21"/>
          <w:szCs w:val="21"/>
          <w:lang w:val="en-US"/>
        </w:rPr>
        <w:t xml:space="preserve"> </w:t>
      </w:r>
    </w:p>
    <w:p w14:paraId="4B4A0C45" w14:textId="77777777" w:rsidR="00DB1F0F" w:rsidRPr="00DB1F0F" w:rsidRDefault="00DB1F0F" w:rsidP="0071440B">
      <w:pPr>
        <w:spacing w:after="0" w:line="240" w:lineRule="auto"/>
        <w:ind w:firstLine="567"/>
        <w:jc w:val="right"/>
        <w:rPr>
          <w:rFonts w:ascii="Times New Roman" w:eastAsia="Times New Roman" w:hAnsi="Times New Roman" w:cs="Times New Roman"/>
          <w:i/>
          <w:sz w:val="21"/>
          <w:szCs w:val="21"/>
          <w:lang w:val="en-US"/>
        </w:rPr>
      </w:pPr>
    </w:p>
    <w:p w14:paraId="72C58CD4" w14:textId="77777777" w:rsidR="00DB1F0F" w:rsidRPr="00DB1F0F" w:rsidRDefault="00DB1F0F" w:rsidP="0071440B">
      <w:pPr>
        <w:spacing w:after="0" w:line="240" w:lineRule="auto"/>
        <w:ind w:firstLine="567"/>
        <w:jc w:val="right"/>
        <w:rPr>
          <w:rFonts w:ascii="Times New Roman" w:eastAsia="Times New Roman" w:hAnsi="Times New Roman" w:cs="Times New Roman"/>
          <w:b/>
          <w:i/>
          <w:sz w:val="21"/>
          <w:szCs w:val="21"/>
          <w:lang w:val="en-US"/>
        </w:rPr>
      </w:pPr>
      <w:r w:rsidRPr="00DB1F0F">
        <w:rPr>
          <w:rFonts w:ascii="Times New Roman" w:eastAsia="Times New Roman" w:hAnsi="Times New Roman" w:cs="Times New Roman"/>
          <w:b/>
          <w:i/>
          <w:sz w:val="21"/>
          <w:szCs w:val="21"/>
          <w:lang w:val="en-US"/>
        </w:rPr>
        <w:t>Scientific Adviser:</w:t>
      </w:r>
    </w:p>
    <w:p w14:paraId="1FB89216" w14:textId="77777777" w:rsidR="00DB1F0F" w:rsidRPr="00DB1F0F" w:rsidRDefault="00DB1F0F" w:rsidP="0071440B">
      <w:pPr>
        <w:spacing w:after="0" w:line="240" w:lineRule="auto"/>
        <w:ind w:firstLine="567"/>
        <w:jc w:val="right"/>
        <w:rPr>
          <w:rFonts w:ascii="Times New Roman" w:eastAsia="Times New Roman" w:hAnsi="Times New Roman" w:cs="Times New Roman"/>
          <w:b/>
          <w:i/>
          <w:sz w:val="21"/>
          <w:szCs w:val="21"/>
          <w:lang w:val="en-US"/>
        </w:rPr>
      </w:pPr>
      <w:r w:rsidRPr="00DB1F0F">
        <w:rPr>
          <w:rFonts w:ascii="Times New Roman" w:eastAsia="Times New Roman" w:hAnsi="Times New Roman" w:cs="Times New Roman"/>
          <w:b/>
          <w:i/>
          <w:sz w:val="21"/>
          <w:szCs w:val="21"/>
          <w:lang w:val="en-US"/>
        </w:rPr>
        <w:t xml:space="preserve">Avedisyan N.N., </w:t>
      </w:r>
    </w:p>
    <w:p w14:paraId="06C90D38" w14:textId="77777777" w:rsidR="00DB1F0F" w:rsidRPr="00DB1F0F" w:rsidRDefault="00DB1F0F" w:rsidP="0071440B">
      <w:pPr>
        <w:spacing w:after="0" w:line="240" w:lineRule="auto"/>
        <w:ind w:firstLine="567"/>
        <w:jc w:val="right"/>
        <w:rPr>
          <w:rFonts w:ascii="Times New Roman" w:eastAsia="Times New Roman" w:hAnsi="Times New Roman" w:cs="Times New Roman"/>
          <w:i/>
          <w:iCs/>
          <w:sz w:val="21"/>
          <w:szCs w:val="21"/>
          <w:shd w:val="clear" w:color="auto" w:fill="FFFFFF"/>
          <w:lang w:val="en-US"/>
        </w:rPr>
      </w:pPr>
      <w:r w:rsidRPr="00DB1F0F">
        <w:rPr>
          <w:rFonts w:ascii="Times New Roman" w:eastAsia="Times New Roman" w:hAnsi="Times New Roman" w:cs="Times New Roman"/>
          <w:i/>
          <w:iCs/>
          <w:sz w:val="21"/>
          <w:szCs w:val="21"/>
          <w:shd w:val="clear" w:color="auto" w:fill="FFFFFF"/>
          <w:lang w:val="en-US"/>
        </w:rPr>
        <w:t>Doctor of Science (Economics),</w:t>
      </w:r>
      <w:r w:rsidRPr="00DB1F0F">
        <w:rPr>
          <w:rFonts w:ascii="Times New Roman" w:eastAsia="Times New Roman" w:hAnsi="Times New Roman" w:cs="Times New Roman"/>
          <w:i/>
          <w:lang w:val="en-US"/>
        </w:rPr>
        <w:t xml:space="preserve"> </w:t>
      </w:r>
      <w:r w:rsidRPr="00DB1F0F">
        <w:rPr>
          <w:rFonts w:ascii="Times New Roman" w:eastAsia="Times New Roman" w:hAnsi="Times New Roman" w:cs="Times New Roman"/>
          <w:i/>
          <w:iCs/>
          <w:sz w:val="21"/>
          <w:szCs w:val="21"/>
          <w:shd w:val="clear" w:color="auto" w:fill="FFFFFF"/>
          <w:lang w:val="en-US"/>
        </w:rPr>
        <w:t>Docent</w:t>
      </w:r>
    </w:p>
    <w:p w14:paraId="6A0CCBCC" w14:textId="77777777" w:rsidR="00DB1F0F" w:rsidRPr="00DB1F0F" w:rsidRDefault="00DB1F0F" w:rsidP="0071440B">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DB1F0F">
        <w:rPr>
          <w:rFonts w:ascii="Times New Roman" w:eastAsia="Times New Roman" w:hAnsi="Times New Roman" w:cs="Times New Roman"/>
          <w:i/>
          <w:sz w:val="21"/>
          <w:szCs w:val="21"/>
          <w:lang w:val="x-none" w:eastAsia="ar-SA"/>
        </w:rPr>
        <w:t xml:space="preserve">FGBOU VO </w:t>
      </w:r>
      <w:r w:rsidRPr="00DB1F0F">
        <w:rPr>
          <w:rFonts w:ascii="Times New Roman" w:eastAsia="Times New Roman" w:hAnsi="Times New Roman" w:cs="Times New Roman"/>
          <w:i/>
          <w:sz w:val="21"/>
          <w:szCs w:val="21"/>
          <w:lang w:val="en-US" w:eastAsia="ar-SA"/>
        </w:rPr>
        <w:t>«</w:t>
      </w:r>
      <w:r w:rsidRPr="00DB1F0F">
        <w:rPr>
          <w:rFonts w:ascii="Calibri" w:eastAsia="Times New Roman" w:hAnsi="Calibri" w:cs="Times New Roman"/>
          <w:sz w:val="24"/>
          <w:szCs w:val="24"/>
          <w:lang w:val="x-none" w:eastAsia="ar-SA"/>
        </w:rPr>
        <w:t xml:space="preserve"> </w:t>
      </w:r>
      <w:r w:rsidRPr="00DB1F0F">
        <w:rPr>
          <w:rFonts w:ascii="Times New Roman" w:eastAsia="Times New Roman" w:hAnsi="Times New Roman" w:cs="Times New Roman"/>
          <w:i/>
          <w:sz w:val="21"/>
          <w:szCs w:val="21"/>
          <w:lang w:val="x-none" w:eastAsia="ar-SA"/>
        </w:rPr>
        <w:t>Kuban State University</w:t>
      </w:r>
      <w:r w:rsidRPr="00DB1F0F">
        <w:rPr>
          <w:rFonts w:ascii="Times New Roman" w:eastAsia="Times New Roman" w:hAnsi="Times New Roman" w:cs="Times New Roman"/>
          <w:i/>
          <w:sz w:val="21"/>
          <w:szCs w:val="21"/>
          <w:lang w:val="en-US" w:eastAsia="ar-SA"/>
        </w:rPr>
        <w:t>»</w:t>
      </w:r>
    </w:p>
    <w:p w14:paraId="07F342A1" w14:textId="77777777" w:rsidR="00DB1F0F" w:rsidRPr="00DB1F0F" w:rsidRDefault="00DB1F0F" w:rsidP="0071440B">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DB1F0F">
        <w:rPr>
          <w:rFonts w:ascii="Times New Roman" w:eastAsia="Times New Roman" w:hAnsi="Times New Roman" w:cs="Times New Roman"/>
          <w:i/>
          <w:sz w:val="21"/>
          <w:szCs w:val="21"/>
          <w:lang w:val="en-US" w:eastAsia="ar-SA"/>
        </w:rPr>
        <w:t>Krasnodar, Russia</w:t>
      </w:r>
    </w:p>
    <w:p w14:paraId="1A4FD516" w14:textId="77777777" w:rsidR="00DB1F0F" w:rsidRPr="00DB1F0F" w:rsidRDefault="00DB1F0F" w:rsidP="0071440B">
      <w:pPr>
        <w:suppressAutoHyphens/>
        <w:spacing w:after="0" w:line="240" w:lineRule="auto"/>
        <w:ind w:firstLine="567"/>
        <w:jc w:val="right"/>
        <w:textAlignment w:val="baseline"/>
        <w:rPr>
          <w:rFonts w:ascii="Times New Roman" w:eastAsia="Times New Roman" w:hAnsi="Times New Roman" w:cs="Times New Roman"/>
          <w:i/>
          <w:sz w:val="21"/>
          <w:szCs w:val="21"/>
          <w:lang w:val="en-US" w:eastAsia="ar-SA"/>
        </w:rPr>
      </w:pPr>
      <w:r w:rsidRPr="00DB1F0F">
        <w:rPr>
          <w:rFonts w:ascii="Times New Roman" w:eastAsia="Times New Roman" w:hAnsi="Times New Roman" w:cs="Times New Roman"/>
          <w:i/>
          <w:sz w:val="21"/>
          <w:szCs w:val="21"/>
          <w:lang w:eastAsia="ar-SA"/>
        </w:rPr>
        <w:t>е</w:t>
      </w:r>
      <w:r w:rsidRPr="00DB1F0F">
        <w:rPr>
          <w:rFonts w:ascii="Times New Roman" w:eastAsia="Times New Roman" w:hAnsi="Times New Roman" w:cs="Times New Roman"/>
          <w:i/>
          <w:sz w:val="21"/>
          <w:szCs w:val="21"/>
          <w:lang w:val="en-US" w:eastAsia="ar-SA"/>
        </w:rPr>
        <w:t>-mail:</w:t>
      </w:r>
      <w:r w:rsidRPr="00DB1F0F">
        <w:rPr>
          <w:rFonts w:ascii="Times New Roman" w:eastAsia="Times New Roman" w:hAnsi="Times New Roman" w:cs="Times New Roman"/>
          <w:i/>
          <w:color w:val="0000FF"/>
          <w:sz w:val="21"/>
          <w:szCs w:val="21"/>
          <w:u w:val="single"/>
          <w:lang w:val="en-US"/>
        </w:rPr>
        <w:t xml:space="preserve"> Avedisyan.natalya@yandex.ru</w:t>
      </w:r>
      <w:r w:rsidRPr="00DB1F0F">
        <w:rPr>
          <w:rFonts w:ascii="Times New Roman" w:eastAsia="Times New Roman" w:hAnsi="Times New Roman" w:cs="Times New Roman"/>
          <w:i/>
          <w:sz w:val="21"/>
          <w:szCs w:val="21"/>
          <w:lang w:val="en-US" w:eastAsia="ar-SA"/>
        </w:rPr>
        <w:t xml:space="preserve"> </w:t>
      </w:r>
    </w:p>
    <w:p w14:paraId="03AE621F" w14:textId="77777777" w:rsidR="00DB1F0F" w:rsidRPr="00DB1F0F" w:rsidRDefault="00DB1F0F" w:rsidP="0071440B">
      <w:pPr>
        <w:spacing w:after="0" w:line="240" w:lineRule="auto"/>
        <w:ind w:firstLine="567"/>
        <w:jc w:val="right"/>
        <w:rPr>
          <w:rFonts w:ascii="Times New Roman" w:eastAsia="Times New Roman" w:hAnsi="Times New Roman" w:cs="Times New Roman"/>
          <w:i/>
          <w:sz w:val="21"/>
          <w:szCs w:val="21"/>
          <w:lang w:val="en-US"/>
        </w:rPr>
      </w:pPr>
    </w:p>
    <w:p w14:paraId="53F6EA6B" w14:textId="77777777" w:rsidR="00DB1F0F" w:rsidRPr="00DB1F0F" w:rsidRDefault="00DB1F0F" w:rsidP="0071440B">
      <w:pPr>
        <w:suppressAutoHyphens/>
        <w:spacing w:after="0" w:line="240" w:lineRule="auto"/>
        <w:jc w:val="center"/>
        <w:rPr>
          <w:rFonts w:ascii="Times New Roman" w:eastAsia="Times New Roman" w:hAnsi="Times New Roman" w:cs="Times New Roman"/>
          <w:b/>
          <w:sz w:val="21"/>
          <w:szCs w:val="21"/>
          <w:lang w:val="en-US" w:eastAsia="ar-SA"/>
        </w:rPr>
      </w:pPr>
      <w:r w:rsidRPr="00DB1F0F">
        <w:rPr>
          <w:rFonts w:ascii="Times New Roman" w:eastAsia="Times New Roman" w:hAnsi="Times New Roman" w:cs="Times New Roman"/>
          <w:b/>
          <w:sz w:val="21"/>
          <w:szCs w:val="21"/>
          <w:lang w:val="en-US" w:eastAsia="ar-SA"/>
        </w:rPr>
        <w:t>Study of psychological barriers to student participation in competitions innovative solutions for sustainable economic growth of the region</w:t>
      </w:r>
    </w:p>
    <w:p w14:paraId="428BFCB0" w14:textId="77777777" w:rsidR="00DB1F0F" w:rsidRPr="00DB1F0F" w:rsidRDefault="00DB1F0F" w:rsidP="0071440B">
      <w:pPr>
        <w:suppressAutoHyphens/>
        <w:spacing w:after="0" w:line="240" w:lineRule="auto"/>
        <w:jc w:val="center"/>
        <w:rPr>
          <w:rFonts w:ascii="Times New Roman" w:eastAsia="Times New Roman" w:hAnsi="Times New Roman" w:cs="Times New Roman"/>
          <w:b/>
          <w:sz w:val="21"/>
          <w:szCs w:val="21"/>
          <w:lang w:val="en-US" w:eastAsia="ar-SA"/>
        </w:rPr>
      </w:pPr>
    </w:p>
    <w:p w14:paraId="0F69C268" w14:textId="77777777" w:rsidR="00DB1F0F" w:rsidRPr="00DB1F0F" w:rsidRDefault="00DB1F0F" w:rsidP="0071440B">
      <w:pPr>
        <w:suppressAutoHyphens/>
        <w:spacing w:after="0" w:line="240" w:lineRule="auto"/>
        <w:ind w:firstLine="567"/>
        <w:jc w:val="both"/>
        <w:rPr>
          <w:rFonts w:ascii="Times New Roman" w:eastAsia="Times New Roman" w:hAnsi="Times New Roman" w:cs="Times New Roman"/>
          <w:sz w:val="21"/>
          <w:szCs w:val="21"/>
          <w:lang w:val="en-US" w:eastAsia="ar-SA"/>
        </w:rPr>
      </w:pPr>
      <w:r w:rsidRPr="00DB1F0F">
        <w:rPr>
          <w:rFonts w:ascii="Times New Roman" w:eastAsia="Times New Roman" w:hAnsi="Times New Roman" w:cs="Times New Roman"/>
          <w:b/>
          <w:bCs/>
          <w:sz w:val="21"/>
          <w:szCs w:val="21"/>
          <w:shd w:val="clear" w:color="auto" w:fill="FFFFFF"/>
          <w:lang w:val="x-none" w:eastAsia="ar-SA"/>
        </w:rPr>
        <w:t>Abstract</w:t>
      </w:r>
      <w:r w:rsidRPr="00DB1F0F">
        <w:rPr>
          <w:rFonts w:ascii="Times New Roman" w:eastAsia="Times New Roman" w:hAnsi="Times New Roman" w:cs="Times New Roman"/>
          <w:b/>
          <w:bCs/>
          <w:sz w:val="21"/>
          <w:szCs w:val="21"/>
          <w:shd w:val="clear" w:color="auto" w:fill="FFFFFF"/>
          <w:lang w:val="en-US" w:eastAsia="ar-SA"/>
        </w:rPr>
        <w:t xml:space="preserve">: </w:t>
      </w:r>
      <w:r w:rsidRPr="00DB1F0F">
        <w:rPr>
          <w:rFonts w:ascii="Times New Roman" w:eastAsia="Times New Roman" w:hAnsi="Times New Roman" w:cs="Times New Roman"/>
          <w:bCs/>
          <w:sz w:val="21"/>
          <w:szCs w:val="21"/>
          <w:shd w:val="clear" w:color="auto" w:fill="FFFFFF"/>
          <w:lang w:val="en-US" w:eastAsia="ar-SA"/>
        </w:rPr>
        <w:t>the article explores the psychological barriers of students' participation in innovative solutions competitions as a tool for economic development of the Krasnodar Region. Based on the survey and SWOT-analysis, the key motivations and barriers to participation are identified. Recommendations for the formation of a supportive educational environment to increase students' activity in innovation activities, which directly contributes to the sustainable growth of the regional economy and strengthening its competitive position, are developed.</w:t>
      </w:r>
    </w:p>
    <w:p w14:paraId="6753DAC8" w14:textId="77777777" w:rsidR="00DB1F0F" w:rsidRPr="00DB1F0F" w:rsidRDefault="00DB1F0F" w:rsidP="0071440B">
      <w:pPr>
        <w:suppressAutoHyphens/>
        <w:spacing w:after="0" w:line="240" w:lineRule="auto"/>
        <w:ind w:firstLine="567"/>
        <w:jc w:val="both"/>
        <w:rPr>
          <w:rFonts w:ascii="Times New Roman" w:eastAsia="Times New Roman" w:hAnsi="Times New Roman" w:cs="Times New Roman"/>
          <w:bCs/>
          <w:color w:val="000000"/>
          <w:sz w:val="21"/>
          <w:szCs w:val="21"/>
          <w:shd w:val="clear" w:color="auto" w:fill="FFFFFF"/>
          <w:lang w:val="en-US" w:eastAsia="ar-SA"/>
        </w:rPr>
      </w:pPr>
      <w:r w:rsidRPr="00DB1F0F">
        <w:rPr>
          <w:rFonts w:ascii="Times New Roman" w:eastAsia="Times New Roman" w:hAnsi="Times New Roman" w:cs="Times New Roman"/>
          <w:b/>
          <w:bCs/>
          <w:color w:val="000000"/>
          <w:sz w:val="21"/>
          <w:szCs w:val="21"/>
          <w:shd w:val="clear" w:color="auto" w:fill="FFFFFF"/>
          <w:lang w:val="x-none" w:eastAsia="ar-SA"/>
        </w:rPr>
        <w:t>Keywords</w:t>
      </w:r>
      <w:r w:rsidRPr="00DB1F0F">
        <w:rPr>
          <w:rFonts w:ascii="Times New Roman" w:eastAsia="Times New Roman" w:hAnsi="Times New Roman" w:cs="Times New Roman"/>
          <w:b/>
          <w:bCs/>
          <w:color w:val="000000"/>
          <w:sz w:val="21"/>
          <w:szCs w:val="21"/>
          <w:shd w:val="clear" w:color="auto" w:fill="FFFFFF"/>
          <w:lang w:val="en-US" w:eastAsia="ar-SA"/>
        </w:rPr>
        <w:t>:</w:t>
      </w:r>
      <w:r w:rsidRPr="00DB1F0F">
        <w:rPr>
          <w:rFonts w:ascii="Times New Roman" w:eastAsia="Times New Roman" w:hAnsi="Times New Roman" w:cs="Times New Roman"/>
          <w:bCs/>
          <w:color w:val="000000"/>
          <w:sz w:val="21"/>
          <w:szCs w:val="21"/>
          <w:shd w:val="clear" w:color="auto" w:fill="FFFFFF"/>
          <w:lang w:val="en-US" w:eastAsia="ar-SA"/>
        </w:rPr>
        <w:t xml:space="preserve"> economic development, innovation projects, innovation potential, hackathons, mentoring, accelerators, innovation competitions.</w:t>
      </w:r>
    </w:p>
    <w:p w14:paraId="16FD240B" w14:textId="77777777" w:rsidR="00DB1F0F" w:rsidRPr="00DB1F0F" w:rsidRDefault="00DB1F0F" w:rsidP="00DB1F0F">
      <w:pPr>
        <w:suppressAutoHyphens/>
        <w:spacing w:after="0" w:line="240" w:lineRule="auto"/>
        <w:jc w:val="both"/>
        <w:rPr>
          <w:rFonts w:ascii="Times New Roman" w:eastAsia="Times New Roman" w:hAnsi="Times New Roman" w:cs="Times New Roman"/>
          <w:sz w:val="21"/>
          <w:szCs w:val="21"/>
          <w:lang w:val="en-US" w:eastAsia="ar-SA"/>
        </w:rPr>
      </w:pPr>
    </w:p>
    <w:p w14:paraId="085C775E" w14:textId="77777777" w:rsidR="00DB1F0F" w:rsidRPr="00DB1F0F" w:rsidRDefault="00DB1F0F" w:rsidP="00DB1F0F">
      <w:pPr>
        <w:widowControl w:val="0"/>
        <w:shd w:val="clear" w:color="auto" w:fill="FFFFFF"/>
        <w:suppressAutoHyphens/>
        <w:spacing w:after="0" w:line="240" w:lineRule="auto"/>
        <w:ind w:firstLine="709"/>
        <w:jc w:val="both"/>
        <w:rPr>
          <w:rFonts w:ascii="Times New Roman" w:eastAsia="Calibri" w:hAnsi="Times New Roman" w:cs="Times New Roman"/>
          <w:sz w:val="32"/>
          <w:szCs w:val="32"/>
          <w:lang w:val="x-none"/>
        </w:rPr>
      </w:pPr>
      <w:r w:rsidRPr="00DB1F0F">
        <w:rPr>
          <w:rFonts w:ascii="Times New Roman" w:eastAsia="Calibri" w:hAnsi="Times New Roman" w:cs="Times New Roman"/>
          <w:sz w:val="32"/>
          <w:szCs w:val="32"/>
          <w:lang w:val="x-none"/>
        </w:rPr>
        <w:t xml:space="preserve">Современное образование все больше фокусируется на развитии у студентов навыков, необходимых для работы в быстро меняющейся экономике, особенно в сфере инноваций и предпринимательства. Активное участие студентов Кубанского государственного университета в конкурсах инновационных решений имеет существенное значение для реализации стратегических задач </w:t>
      </w:r>
      <w:r w:rsidRPr="00DB1F0F">
        <w:rPr>
          <w:rFonts w:ascii="Times New Roman" w:eastAsia="Calibri" w:hAnsi="Times New Roman" w:cs="Times New Roman"/>
          <w:sz w:val="32"/>
          <w:szCs w:val="32"/>
          <w:lang w:val="x-none"/>
        </w:rPr>
        <w:lastRenderedPageBreak/>
        <w:t>экономического развития Краснодарского края. Инновационная деятельность молодёжи способствует формированию предпринимательской среды в регионе, увеличению количества стартапов и созданию новых рабочих мест. Однако п</w:t>
      </w:r>
      <w:r w:rsidRPr="00DB1F0F">
        <w:rPr>
          <w:rFonts w:ascii="Times New Roman" w:eastAsia="Calibri" w:hAnsi="Times New Roman" w:cs="Times New Roman"/>
          <w:sz w:val="32"/>
          <w:szCs w:val="32"/>
        </w:rPr>
        <w:t>редварительный</w:t>
      </w:r>
      <w:r w:rsidRPr="00DB1F0F">
        <w:rPr>
          <w:rFonts w:ascii="Times New Roman" w:eastAsia="Calibri" w:hAnsi="Times New Roman" w:cs="Times New Roman"/>
          <w:sz w:val="32"/>
          <w:szCs w:val="32"/>
          <w:lang w:val="x-none"/>
        </w:rPr>
        <w:t xml:space="preserve"> анализ свидетельствует о недостаточно высоком уровне вовлечённости студентов в подобные мероприятия. Это оказывает негативное влияние на темпы экономического роста региона и ограничивает его инновационный потенциал.</w:t>
      </w:r>
    </w:p>
    <w:p w14:paraId="5E5BFB8E"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Основными целями проведения конкурсов инновационных проектов являются:</w:t>
      </w:r>
    </w:p>
    <w:p w14:paraId="09CE6F73" w14:textId="77777777" w:rsidR="00DB1F0F" w:rsidRPr="00DB1F0F" w:rsidRDefault="00DB1F0F" w:rsidP="00AD58CD">
      <w:pPr>
        <w:widowControl w:val="0"/>
        <w:numPr>
          <w:ilvl w:val="0"/>
          <w:numId w:val="17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Создание условий для генерации и развития инноваций;</w:t>
      </w:r>
    </w:p>
    <w:p w14:paraId="4F9641BA" w14:textId="77777777" w:rsidR="00DB1F0F" w:rsidRPr="00DB1F0F" w:rsidRDefault="00DB1F0F" w:rsidP="00AD58CD">
      <w:pPr>
        <w:widowControl w:val="0"/>
        <w:numPr>
          <w:ilvl w:val="0"/>
          <w:numId w:val="17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Объединение активистов в сфере инноваций;</w:t>
      </w:r>
    </w:p>
    <w:p w14:paraId="52646A31" w14:textId="77777777" w:rsidR="00DB1F0F" w:rsidRPr="00DB1F0F" w:rsidRDefault="00DB1F0F" w:rsidP="00AD58CD">
      <w:pPr>
        <w:widowControl w:val="0"/>
        <w:numPr>
          <w:ilvl w:val="0"/>
          <w:numId w:val="17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Установление связи между студентами и действующими профессионалами;</w:t>
      </w:r>
    </w:p>
    <w:p w14:paraId="714AA9AC" w14:textId="77777777" w:rsidR="00DB1F0F" w:rsidRPr="00DB1F0F" w:rsidRDefault="00DB1F0F" w:rsidP="00AD58CD">
      <w:pPr>
        <w:widowControl w:val="0"/>
        <w:numPr>
          <w:ilvl w:val="0"/>
          <w:numId w:val="17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Знакомство студентов с возможностями в сфере технологического предпринимательства;</w:t>
      </w:r>
    </w:p>
    <w:p w14:paraId="585C1D73" w14:textId="77777777" w:rsidR="00DB1F0F" w:rsidRPr="00DB1F0F" w:rsidRDefault="00DB1F0F" w:rsidP="00AD58CD">
      <w:pPr>
        <w:widowControl w:val="0"/>
        <w:numPr>
          <w:ilvl w:val="0"/>
          <w:numId w:val="170"/>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Подготовка конкурентоспособных специалистов высшего уровня, способных к реализации инновационных решений.</w:t>
      </w:r>
    </w:p>
    <w:p w14:paraId="60E2A941"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Основные виды конкурсов инновационных решений:</w:t>
      </w:r>
    </w:p>
    <w:p w14:paraId="728412B4" w14:textId="77777777" w:rsidR="00DB1F0F" w:rsidRPr="00DB1F0F" w:rsidRDefault="00DB1F0F" w:rsidP="00AD58CD">
      <w:pPr>
        <w:widowControl w:val="0"/>
        <w:numPr>
          <w:ilvl w:val="0"/>
          <w:numId w:val="171"/>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Акселераторы.</w:t>
      </w:r>
    </w:p>
    <w:p w14:paraId="4FCE7967"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Акселерационные программы – это интенсивное развитие инновационных проектов. В рамках программы участники получают поддержку высококвалифицированных специалистов, бизнес-экспертов и коучей. Основная задача данного формата – поиск устойчивой бизнес-модели, безопасная проверка гипотез, привлечение финансирования и партнеров. Акселераторы способствуют запуску первых продаж, что подтверждается исследованиями в области стартап-деятельности [1].</w:t>
      </w:r>
    </w:p>
    <w:p w14:paraId="3F14418E" w14:textId="77777777" w:rsidR="00DB1F0F" w:rsidRPr="00DB1F0F" w:rsidRDefault="00DB1F0F" w:rsidP="00AD58CD">
      <w:pPr>
        <w:widowControl w:val="0"/>
        <w:numPr>
          <w:ilvl w:val="0"/>
          <w:numId w:val="171"/>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Хакатоны.</w:t>
      </w:r>
    </w:p>
    <w:p w14:paraId="0723B5F6"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Хакатоны – это краткосрочные мероприятия продолжительностью 48 часов, направленные на разработку инновационных решений для поставленной задачи. Данное мероприятие позволяет протестировать идеи, отработать командное взаимодействие и профессиональные навыки, создать свои первые рабочие проекты. Такой формат конкурсов инновационных решений получил широкое распространение в вузах в качестве практического обучения [2].</w:t>
      </w:r>
    </w:p>
    <w:p w14:paraId="00085BE3" w14:textId="77777777" w:rsidR="00DB1F0F" w:rsidRPr="00DB1F0F" w:rsidRDefault="00DB1F0F" w:rsidP="00AD58CD">
      <w:pPr>
        <w:widowControl w:val="0"/>
        <w:numPr>
          <w:ilvl w:val="0"/>
          <w:numId w:val="171"/>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Конкурсы стартапов.</w:t>
      </w:r>
    </w:p>
    <w:p w14:paraId="5BB9CBCF"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В рамках конкурсов стартапов участники представляют свои </w:t>
      </w:r>
      <w:r w:rsidRPr="00DB1F0F">
        <w:rPr>
          <w:rFonts w:ascii="Times New Roman" w:eastAsia="Times New Roman" w:hAnsi="Times New Roman" w:cs="Times New Roman"/>
          <w:color w:val="000000" w:themeColor="text1"/>
          <w:sz w:val="32"/>
          <w:szCs w:val="32"/>
        </w:rPr>
        <w:lastRenderedPageBreak/>
        <w:t>проекты экспертному жюри в формате питч-сессий. Победители получают финансирование, доступ к образовательным программам и поддержку экспертов. Такой формат является одним из самых эффективных для определения готовности проекта для запуска, а также для оценки его конкурентоспособности [1].</w:t>
      </w:r>
    </w:p>
    <w:p w14:paraId="01CCB4D2"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В основе участия студентов в конкурсах лежит сочетание внешней и внутренней мотивации. Мотивация в этом случае работает как двигатель процесса. Согласно концепциям Д. Макклелланда, внутренняя мотивация формируется под влиянием интереса стремления к самореализации, а также потребности в профессиональном признании. Данный тип мотивации формируется на основе трех ключевых потребностей: в компетентности (желание быть компетентным и достигать значимых результатов), в принадлежности (важно чувствовать связь с другими) и в автономии (желание самостоятельно принимать решения). Внешняя мотивация, в свою очередь, формируется под влиянием общественного одобрения, оценки и материального фактора. Её роль заключается в поддержании активности, особенно на этапах профессионального самоопределения [3]. Перечисленные два вида мотивации гармонично дополняют друг друга, способствуя активному самостоятельному вовлечению студентов в конкурсную деятельность.</w:t>
      </w:r>
    </w:p>
    <w:p w14:paraId="25419DA1"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В рамках КубГУ созданы все условия для того, чтобы студенты могли проявлять свою активность в конкурсах инновационных решений. КубГУ участвует в федеральных программах, таких как «Стартап как диплом», поддерживает участие студентов в хакатонах и акселераторских программах, проводимых на базе инновационного центра «Аквариум». </w:t>
      </w:r>
    </w:p>
    <w:p w14:paraId="6148EBF3"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Проведем </w:t>
      </w:r>
      <w:r w:rsidRPr="00DB1F0F">
        <w:rPr>
          <w:rFonts w:ascii="Times New Roman" w:eastAsia="Times New Roman" w:hAnsi="Times New Roman" w:cs="Times New Roman"/>
          <w:color w:val="000000" w:themeColor="text1"/>
          <w:sz w:val="32"/>
          <w:szCs w:val="32"/>
          <w:lang w:val="en-US"/>
        </w:rPr>
        <w:t>SWOT</w:t>
      </w:r>
      <w:r w:rsidRPr="00DB1F0F">
        <w:rPr>
          <w:rFonts w:ascii="Times New Roman" w:eastAsia="Times New Roman" w:hAnsi="Times New Roman" w:cs="Times New Roman"/>
          <w:color w:val="000000" w:themeColor="text1"/>
          <w:sz w:val="32"/>
          <w:szCs w:val="32"/>
        </w:rPr>
        <w:t>-анализ программы «Стартап как диплом», хакатонов, проводимых «Воронкой инновационных стартапов» и акселераторов КубГУ. Данный метод поможет выявить сильные и слабые стороны программ, а также внешние угрозы, которые могут влиять на студентов, их мотивацию и страхи.</w:t>
      </w:r>
    </w:p>
    <w:p w14:paraId="4590BE8A" w14:textId="77777777" w:rsidR="00DB1F0F" w:rsidRPr="00DB1F0F" w:rsidRDefault="00DB1F0F" w:rsidP="00AD58CD">
      <w:pPr>
        <w:numPr>
          <w:ilvl w:val="0"/>
          <w:numId w:val="172"/>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val="en-US" w:eastAsia="ru-RU"/>
        </w:rPr>
        <w:t>SWOT</w:t>
      </w:r>
      <w:r w:rsidRPr="00DB1F0F">
        <w:rPr>
          <w:rFonts w:ascii="Times New Roman" w:eastAsia="Times New Roman" w:hAnsi="Times New Roman" w:cs="Times New Roman"/>
          <w:color w:val="000000" w:themeColor="text1"/>
          <w:sz w:val="32"/>
          <w:szCs w:val="32"/>
          <w:lang w:eastAsia="ru-RU"/>
        </w:rPr>
        <w:t>-анализ программы «Стартап как диплом» – программы для реализации студенческих стартапов в формате выпускных работ.</w:t>
      </w:r>
    </w:p>
    <w:p w14:paraId="5CEA983C"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Сильные стороны: данный подход способствует повышению уровня мотивации обучающихся, их профессиональному росту </w:t>
      </w:r>
      <w:proofErr w:type="gramStart"/>
      <w:r w:rsidRPr="00DB1F0F">
        <w:rPr>
          <w:rFonts w:ascii="Times New Roman" w:eastAsia="Times New Roman" w:hAnsi="Times New Roman" w:cs="Times New Roman"/>
          <w:color w:val="000000" w:themeColor="text1"/>
          <w:sz w:val="32"/>
          <w:szCs w:val="32"/>
        </w:rPr>
        <w:t>и  активному</w:t>
      </w:r>
      <w:proofErr w:type="gramEnd"/>
      <w:r w:rsidRPr="00DB1F0F">
        <w:rPr>
          <w:rFonts w:ascii="Times New Roman" w:eastAsia="Times New Roman" w:hAnsi="Times New Roman" w:cs="Times New Roman"/>
          <w:color w:val="000000" w:themeColor="text1"/>
          <w:sz w:val="32"/>
          <w:szCs w:val="32"/>
        </w:rPr>
        <w:t xml:space="preserve"> включению в инновационную деятельность. Финансовая поддержка со стороны государства, включающая грантовые средства от Фонда содействия инновациям. </w:t>
      </w:r>
    </w:p>
    <w:p w14:paraId="2EDF296A"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lastRenderedPageBreak/>
        <w:t>Слабые стороны: участие в проекте возможно исключительно в рамках освоенной специальности, студенты не могут выходить за границы своей образовательной программы при выборе роли в проекте. Программа предъявляет высокие требования к уровню проработки бизнес-идей.</w:t>
      </w:r>
    </w:p>
    <w:p w14:paraId="42448566"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Возможности: программа создаёт условия для разработки студентами коммерчески значимых проектов, обладающих инвестиционной привлекательностью.</w:t>
      </w:r>
    </w:p>
    <w:p w14:paraId="59BE753E"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Угрозы: страх неудачи создает барьер для студентов, которые впервые сталкиваются с высоким уровнем конкуренции и ответственности за реализацию проекта.</w:t>
      </w:r>
    </w:p>
    <w:p w14:paraId="7AA4A788" w14:textId="77777777" w:rsidR="00DB1F0F" w:rsidRPr="00DB1F0F" w:rsidRDefault="00DB1F0F" w:rsidP="00AD58CD">
      <w:pPr>
        <w:widowControl w:val="0"/>
        <w:numPr>
          <w:ilvl w:val="0"/>
          <w:numId w:val="172"/>
        </w:numPr>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val="en-US" w:eastAsia="ru-RU"/>
        </w:rPr>
        <w:t>SWOT</w:t>
      </w:r>
      <w:r w:rsidRPr="00DB1F0F">
        <w:rPr>
          <w:rFonts w:ascii="Times New Roman" w:eastAsia="Times New Roman" w:hAnsi="Times New Roman" w:cs="Times New Roman"/>
          <w:color w:val="000000" w:themeColor="text1"/>
          <w:sz w:val="32"/>
          <w:szCs w:val="32"/>
          <w:lang w:eastAsia="ru-RU"/>
        </w:rPr>
        <w:t>-анализ хакатонов от «Воронки инновационных стартапов»</w:t>
      </w:r>
      <w:r w:rsidRPr="00DB1F0F">
        <w:rPr>
          <w:rFonts w:ascii="Times New Roman" w:eastAsia="Times New Roman" w:hAnsi="Times New Roman" w:cs="Times New Roman"/>
          <w:color w:val="000000" w:themeColor="text1"/>
          <w:sz w:val="28"/>
          <w:szCs w:val="28"/>
          <w:lang w:eastAsia="ru-RU"/>
        </w:rPr>
        <w:t xml:space="preserve"> – </w:t>
      </w:r>
      <w:r w:rsidRPr="00DB1F0F">
        <w:rPr>
          <w:rFonts w:ascii="Times New Roman" w:eastAsia="Times New Roman" w:hAnsi="Times New Roman" w:cs="Times New Roman"/>
          <w:color w:val="000000" w:themeColor="text1"/>
          <w:sz w:val="32"/>
          <w:szCs w:val="32"/>
          <w:lang w:eastAsia="ru-RU"/>
        </w:rPr>
        <w:t>программы для разработки представления инновационного решения за 48 часов.</w:t>
      </w:r>
    </w:p>
    <w:p w14:paraId="19BC0EB6"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Сильные стороны: возможность интенсивной проработки идей, создания прототипов и совершенствования профессиональных компетенций благодаря практической деятельности в условиях, имитирующих реальные.</w:t>
      </w:r>
    </w:p>
    <w:p w14:paraId="5E8D0ACC"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Слабые стороны: работа в сжатые сроки сопровождается стрессом и эмоциональной нагрузкой, что негативно влияет на командное взаимодействие, а также на глубину анализа проблем и предлагаемых решений.</w:t>
      </w:r>
    </w:p>
    <w:p w14:paraId="63E4142A"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Возможности: доступ к оперативной и конструктивной обратной связи от экспертов.</w:t>
      </w:r>
    </w:p>
    <w:p w14:paraId="3FE68A37"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Угрозы: высокая конкуренция и ограниченные временные рамки могут снижать мотивацию участников, особенно в случаях недостаточной оценки их идей или их поверхностной проработки. </w:t>
      </w:r>
    </w:p>
    <w:p w14:paraId="0A513C98" w14:textId="77777777" w:rsidR="00DB1F0F" w:rsidRPr="00DB1F0F" w:rsidRDefault="00DB1F0F" w:rsidP="00AD58CD">
      <w:pPr>
        <w:numPr>
          <w:ilvl w:val="0"/>
          <w:numId w:val="17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val="en-US" w:eastAsia="ru-RU"/>
        </w:rPr>
        <w:t>SWOT</w:t>
      </w:r>
      <w:r w:rsidRPr="00DB1F0F">
        <w:rPr>
          <w:rFonts w:ascii="Times New Roman" w:eastAsia="Times New Roman" w:hAnsi="Times New Roman" w:cs="Times New Roman"/>
          <w:color w:val="000000" w:themeColor="text1"/>
          <w:sz w:val="32"/>
          <w:szCs w:val="32"/>
          <w:lang w:eastAsia="ru-RU"/>
        </w:rPr>
        <w:t>-анализ акселераторов КубГУ – программ сопровождения студенческих стартапов от проработанной идеи до готового продукта.</w:t>
      </w:r>
    </w:p>
    <w:p w14:paraId="698E5A2C" w14:textId="77777777" w:rsidR="00DB1F0F" w:rsidRPr="00DB1F0F" w:rsidRDefault="00DB1F0F" w:rsidP="00DB1F0F">
      <w:pPr>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Сильные стороны: наставничество, образовательные модули и экспертные консультаций способствуют снижению рисков на начальных стадиях проекта, повышая шансы на коммерческий успех проекта.</w:t>
      </w:r>
    </w:p>
    <w:p w14:paraId="15264AB7"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Слабые стороны: студенты сталкиваются с необходимостью одновременно демонстрировать профессиональные знания в своей специальности и базовые бизнес-компетенции, что создает высокий входной барьер для новичков.</w:t>
      </w:r>
    </w:p>
    <w:p w14:paraId="790D0433"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 xml:space="preserve">Возможности: участие в акселераторе позволяет проектам </w:t>
      </w:r>
      <w:r w:rsidRPr="00DB1F0F">
        <w:rPr>
          <w:rFonts w:ascii="Times New Roman" w:eastAsia="Times New Roman" w:hAnsi="Times New Roman" w:cs="Times New Roman"/>
          <w:color w:val="000000" w:themeColor="text1"/>
          <w:sz w:val="32"/>
          <w:szCs w:val="32"/>
        </w:rPr>
        <w:lastRenderedPageBreak/>
        <w:t>быстрее достичь рыночной готовности и привлечь первых клиентов.</w:t>
      </w:r>
    </w:p>
    <w:p w14:paraId="036721CD"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Угрозы: высокая конкуренция и ранние неудачи часто приводят к снижению вовлеченности участников.</w:t>
      </w:r>
    </w:p>
    <w:p w14:paraId="26885FF5"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color w:val="000000" w:themeColor="text1"/>
          <w:sz w:val="32"/>
          <w:szCs w:val="32"/>
        </w:rPr>
      </w:pPr>
      <w:r w:rsidRPr="00DB1F0F">
        <w:rPr>
          <w:rFonts w:ascii="Times New Roman" w:eastAsia="Times New Roman" w:hAnsi="Times New Roman" w:cs="Times New Roman"/>
          <w:color w:val="000000" w:themeColor="text1"/>
          <w:sz w:val="32"/>
          <w:szCs w:val="32"/>
        </w:rPr>
        <w:tab/>
        <w:t xml:space="preserve">Как показывает практика, в программе «Стартап как диплом» лишь 15–20% участников успешно завершают программу, что свидетельствует о необходимости адаптации критериев отбора. Формат хакатона способствует развитию soft skills, но после завершения мероприятий малый процент идей и команд получают дальнейшее развитие, что указывает на отсутствие сопровождения участников после завершения хакатона. Акселераторы обеспечивают более высокий уровень устойчивости проектов за счёт длительной менторской поддержки и указывает на эффективность долгосрочных форматов. Так же на основе анализа выявлены основные проблемы, препятствующие активному участию студентов: </w:t>
      </w:r>
    </w:p>
    <w:p w14:paraId="58D61378" w14:textId="77777777" w:rsidR="00DB1F0F" w:rsidRPr="00DB1F0F" w:rsidRDefault="00DB1F0F" w:rsidP="00AD58CD">
      <w:pPr>
        <w:numPr>
          <w:ilvl w:val="0"/>
          <w:numId w:val="173"/>
        </w:numPr>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страх ошибки и заниженная самооценка, особенно на ранних курсах;</w:t>
      </w:r>
    </w:p>
    <w:p w14:paraId="27B5B7CA" w14:textId="77777777" w:rsidR="00DB1F0F" w:rsidRPr="00DB1F0F" w:rsidRDefault="00DB1F0F" w:rsidP="00AD58CD">
      <w:pPr>
        <w:numPr>
          <w:ilvl w:val="0"/>
          <w:numId w:val="173"/>
        </w:numPr>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низкая осведомленность о существующих программах поддержки инновационных проектов (отсутствие четкого понимания требований и условий участия);</w:t>
      </w:r>
    </w:p>
    <w:p w14:paraId="01588805" w14:textId="77777777" w:rsidR="00DB1F0F" w:rsidRPr="00DB1F0F" w:rsidRDefault="00DB1F0F" w:rsidP="00AD58CD">
      <w:pPr>
        <w:numPr>
          <w:ilvl w:val="0"/>
          <w:numId w:val="173"/>
        </w:numPr>
        <w:spacing w:after="0" w:line="240" w:lineRule="auto"/>
        <w:ind w:left="0" w:firstLine="709"/>
        <w:contextualSpacing/>
        <w:jc w:val="both"/>
        <w:rPr>
          <w:rFonts w:ascii="Times New Roman" w:eastAsia="Times New Roman" w:hAnsi="Times New Roman" w:cs="Times New Roman"/>
          <w:color w:val="000000" w:themeColor="text1"/>
          <w:sz w:val="32"/>
          <w:szCs w:val="32"/>
          <w:lang w:eastAsia="ru-RU"/>
        </w:rPr>
      </w:pPr>
      <w:r w:rsidRPr="00DB1F0F">
        <w:rPr>
          <w:rFonts w:ascii="Times New Roman" w:eastAsia="Times New Roman" w:hAnsi="Times New Roman" w:cs="Times New Roman"/>
          <w:color w:val="000000" w:themeColor="text1"/>
          <w:sz w:val="32"/>
          <w:szCs w:val="32"/>
          <w:lang w:eastAsia="ru-RU"/>
        </w:rPr>
        <w:t>отсутствие систематической подготовки студентов к проектной деятельности ещё на начальных этапах обучения.</w:t>
      </w:r>
    </w:p>
    <w:p w14:paraId="3C66CDCE" w14:textId="77777777" w:rsidR="00DB1F0F" w:rsidRPr="00DB1F0F" w:rsidRDefault="00DB1F0F" w:rsidP="00DB1F0F">
      <w:pPr>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color w:val="000000" w:themeColor="text1"/>
          <w:sz w:val="32"/>
          <w:szCs w:val="32"/>
        </w:rPr>
        <w:tab/>
      </w:r>
      <w:r w:rsidRPr="00DB1F0F">
        <w:rPr>
          <w:rFonts w:ascii="Times New Roman" w:eastAsia="Times New Roman" w:hAnsi="Times New Roman" w:cs="Times New Roman"/>
          <w:sz w:val="32"/>
          <w:szCs w:val="32"/>
        </w:rPr>
        <w:t>Проведенное анкетное исследование, в котором приняли участие 71 студент экономического факультета КубГУ, продемонстрировало, что уровень осведомленности о конкурсах инновационной направленности среди респондентов является высоким. Однако только треть опрошенных имеет практический опыт участия в подобных мероприятиях. В качестве основных препятствий были выделены неуверенность в собственных силах и недостаточная профессиональная подготовка.</w:t>
      </w:r>
    </w:p>
    <w:p w14:paraId="4EF23532" w14:textId="77777777" w:rsidR="00DB1F0F" w:rsidRPr="00DB1F0F" w:rsidRDefault="00DB1F0F" w:rsidP="00DB1F0F">
      <w:pPr>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 xml:space="preserve">Отдельно стоит сказать о барьере ресурсности. Студенты, особенно на старших курсах, часто просто не успевают участвовать в дополнительных активностях. Причины очевидны: большая учебная нагрузка, необходимость подрабатывать, а иногда – просто нехватка сил. Это ситуация, когда даже заинтересованный студент физически не может регулярно участвовать в таких мероприятиях. Решение здесь должно быть системным – от гибкого графика мероприятий до поддержки со стороны вуза, помогающей студентам распределять время и силы. Исследования показывают, что даже небольшие </w:t>
      </w:r>
      <w:r w:rsidRPr="00DB1F0F">
        <w:rPr>
          <w:rFonts w:ascii="Times New Roman" w:eastAsia="Times New Roman" w:hAnsi="Times New Roman" w:cs="Times New Roman"/>
          <w:sz w:val="32"/>
          <w:szCs w:val="32"/>
        </w:rPr>
        <w:lastRenderedPageBreak/>
        <w:t>организационные изменения в этом направлении могут значительно повысить вовлеченность [4].</w:t>
      </w:r>
    </w:p>
    <w:p w14:paraId="3CEFB0E8"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Анализ данных показал, что внутренняя мотивация, включающая стремление к профессиональному развитию, совершенствованию навыков и формированию портфолио, играет более существенную роль по сравнению с внешними стимулами. Исследование также выявило, что создание поддерживающей образовательной среды, предусматривающей гибкий график проведения мероприятий, организацию подготовительных тренингов и внедрение системы наставничества, способно значительно повысить уровень вовлеченности студентов. Большинство респондентов рассматривают конкуренцию как фактор личностного и профессионального роста, а их готовность преодолевать возникающие трудности свидетельствует о высоком потенциале участия в инновационной деятельности. В ходе исследования было установлено, что что внешние стимулы способны активизировать внутреннюю мотивацию.</w:t>
      </w:r>
    </w:p>
    <w:p w14:paraId="526283C8" w14:textId="77777777" w:rsidR="00DB1F0F" w:rsidRPr="00DB1F0F" w:rsidRDefault="00DB1F0F" w:rsidP="00DB1F0F">
      <w:pPr>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Эффективным инструментом преодоления психологических барьеров является система студенческого наставничества. В ее рамках обучающиеся старших курсов, имеющие опыт участия конкурсах инновационных решений, оказывают методическую поддержку первокурсникам. Наставники передают не только практические навыки, но и личные стратегии преодоления трудностей, что способствует снижению уровня тревожности у начинающих участников. Старшекурсники организуют регулярные встречи, которые включают разбор алгоритмов подготовки к мероприятиям, техник стрессоустойчивости и особенностей конкурсных программ. Программа рассчитана на полугодовой период взаимодействия, что обеспечивает плавное погружение новичков в инновационную среду. Такой подход формирует у начинающих участников уверенность в собственных возможностях и снижает страх неудачи.</w:t>
      </w:r>
    </w:p>
    <w:p w14:paraId="28665EC8"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 xml:space="preserve">Немаловажным фактором является создание сплоченной и активной команды. На факультете целесообразно проводить регулярные тим-билдинги среди студентов, проявляющих интерес к инновационной деятельности. Подобные инициативы способствуют развитию коммуникативных навыков между участниками, снижению уровня стресса у студентов, не обладающих достаточным опытом групповой работы, а также созданию благоприятной атмосферы взаимопомощи. Программа мероприятий по </w:t>
      </w:r>
      <w:proofErr w:type="gramStart"/>
      <w:r w:rsidRPr="00DB1F0F">
        <w:rPr>
          <w:rFonts w:ascii="Times New Roman" w:eastAsia="Times New Roman" w:hAnsi="Times New Roman" w:cs="Times New Roman"/>
          <w:sz w:val="32"/>
          <w:szCs w:val="32"/>
        </w:rPr>
        <w:t>тим-билдингу</w:t>
      </w:r>
      <w:proofErr w:type="gramEnd"/>
      <w:r w:rsidRPr="00DB1F0F">
        <w:rPr>
          <w:rFonts w:ascii="Times New Roman" w:eastAsia="Times New Roman" w:hAnsi="Times New Roman" w:cs="Times New Roman"/>
          <w:sz w:val="32"/>
          <w:szCs w:val="32"/>
        </w:rPr>
        <w:t xml:space="preserve"> может включать не только традиционные упражнения на развитие групповой </w:t>
      </w:r>
      <w:r w:rsidRPr="00DB1F0F">
        <w:rPr>
          <w:rFonts w:ascii="Times New Roman" w:eastAsia="Times New Roman" w:hAnsi="Times New Roman" w:cs="Times New Roman"/>
          <w:sz w:val="32"/>
          <w:szCs w:val="32"/>
        </w:rPr>
        <w:lastRenderedPageBreak/>
        <w:t>динамики, но и практико-ориентированные занятия, направленные на отработку навыков проектной деятельности, генерации идей и организации рабочего процесса.</w:t>
      </w:r>
    </w:p>
    <w:p w14:paraId="7A4EF14D" w14:textId="77777777" w:rsidR="00DB1F0F" w:rsidRPr="00DB1F0F" w:rsidRDefault="00DB1F0F" w:rsidP="00DB1F0F">
      <w:pPr>
        <w:widowControl w:val="0"/>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Доступность консультационной поддержки, возможность получения экспертных рекомендаций и наличие четких алгоритмов действий существенно снижают уровень тревожности при первичном участии в конкурсных мероприятиях. Информационная платформа в инновационном центре «Аквариум» может стать эффективным инструментом поддержки студенческих инициатив и содействия их вовлечению в конкурсную деятельность. Активное освещение мероприятий через специальное приложение позволит расширить осведомленность студентов о возможностях участия в инновационных проектах. Приложение так же поможет подобрать команду для конкурсов и будет иметь систему подсказок, если студент только входит в сферу созданий и презентаций инноваций.</w:t>
      </w:r>
    </w:p>
    <w:p w14:paraId="418BFE39" w14:textId="77777777" w:rsidR="00DB1F0F" w:rsidRPr="00DB1F0F" w:rsidRDefault="00DB1F0F" w:rsidP="00DB1F0F">
      <w:pPr>
        <w:spacing w:after="0" w:line="240" w:lineRule="auto"/>
        <w:ind w:firstLine="709"/>
        <w:jc w:val="both"/>
        <w:rPr>
          <w:rFonts w:ascii="Times New Roman" w:eastAsia="Times New Roman" w:hAnsi="Times New Roman" w:cs="Times New Roman"/>
          <w:sz w:val="32"/>
          <w:szCs w:val="32"/>
        </w:rPr>
      </w:pPr>
      <w:r w:rsidRPr="00DB1F0F">
        <w:rPr>
          <w:rFonts w:ascii="Times New Roman" w:eastAsia="Times New Roman" w:hAnsi="Times New Roman" w:cs="Times New Roman"/>
          <w:sz w:val="32"/>
          <w:szCs w:val="32"/>
        </w:rPr>
        <w:t xml:space="preserve">Реализация комплексной программы, включающей наставничество, систематические мероприятия для членов студентов научного общества и образовательные тренинги с привлечением успешных старшекурсников в качестве менторов, способствует созданию в университете устойчивой инновационной экосистемы, обеспечивающей студентам необходимые условия для профессионального становления и реализации творческого потенциала, и станут </w:t>
      </w:r>
      <w:r w:rsidRPr="00DB1F0F">
        <w:rPr>
          <w:rFonts w:ascii="Times New Roman" w:eastAsia="Times New Roman" w:hAnsi="Times New Roman" w:cs="Times New Roman"/>
          <w:color w:val="000000" w:themeColor="text1"/>
          <w:sz w:val="32"/>
          <w:szCs w:val="32"/>
        </w:rPr>
        <w:t>основой для усиления конкурентных позиций Краснодарского края</w:t>
      </w:r>
      <w:r w:rsidRPr="00DB1F0F">
        <w:rPr>
          <w:rFonts w:ascii="Times New Roman" w:eastAsia="Times New Roman" w:hAnsi="Times New Roman" w:cs="Times New Roman"/>
          <w:sz w:val="32"/>
          <w:szCs w:val="32"/>
        </w:rPr>
        <w:t>. Успешные студенческие проекты, достигшие стадии коммерциализации, создают новые рабочие места и привлекают инвестиции, что укрепляет экономическую стабильность региона. Следовательно, развитие университетских инновационных инициатив является значимым элементом стратегии устойчивого экономического роста Краснодарского края. Формирование благоприятной образовательной среды в университете, ориентированной на поддержку и мотивацию обучающихся, может существенно увеличить их участие в конкурсах инновационных проектов и способствовать полной реализации экономического потенциала каждого участника.</w:t>
      </w:r>
    </w:p>
    <w:p w14:paraId="32A4B63C" w14:textId="77777777" w:rsidR="00DB1F0F" w:rsidRPr="00DB1F0F" w:rsidRDefault="00DB1F0F" w:rsidP="00DB1F0F">
      <w:pPr>
        <w:spacing w:after="0" w:line="240" w:lineRule="auto"/>
        <w:ind w:firstLine="709"/>
        <w:jc w:val="both"/>
        <w:rPr>
          <w:rFonts w:ascii="Times New Roman" w:eastAsia="Times New Roman" w:hAnsi="Times New Roman" w:cs="Times New Roman"/>
          <w:sz w:val="32"/>
          <w:szCs w:val="32"/>
        </w:rPr>
      </w:pPr>
    </w:p>
    <w:p w14:paraId="73EFFA5B" w14:textId="77777777" w:rsidR="00DB1F0F" w:rsidRPr="00DB1F0F" w:rsidRDefault="00DB1F0F" w:rsidP="00DB1F0F">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val="x-none" w:eastAsia="ar-SA"/>
        </w:rPr>
      </w:pPr>
      <w:r w:rsidRPr="00DB1F0F">
        <w:rPr>
          <w:rFonts w:ascii="Times New Roman" w:eastAsia="Times New Roman" w:hAnsi="Times New Roman" w:cs="Times New Roman"/>
          <w:b/>
          <w:color w:val="000000"/>
          <w:sz w:val="21"/>
          <w:szCs w:val="21"/>
          <w:lang w:eastAsia="ar-SA"/>
        </w:rPr>
        <w:t>Литература:</w:t>
      </w:r>
    </w:p>
    <w:p w14:paraId="586457BD" w14:textId="77777777" w:rsidR="00DB1F0F" w:rsidRPr="004103FE" w:rsidRDefault="00DB1F0F" w:rsidP="00AD58CD">
      <w:pPr>
        <w:pStyle w:val="a8"/>
        <w:numPr>
          <w:ilvl w:val="0"/>
          <w:numId w:val="174"/>
        </w:numPr>
        <w:tabs>
          <w:tab w:val="clear" w:pos="720"/>
          <w:tab w:val="left" w:pos="0"/>
          <w:tab w:val="num" w:pos="426"/>
        </w:tabs>
        <w:suppressAutoHyphens/>
        <w:autoSpaceDE w:val="0"/>
        <w:spacing w:after="0" w:line="240" w:lineRule="auto"/>
        <w:ind w:left="709" w:hanging="720"/>
        <w:jc w:val="both"/>
        <w:rPr>
          <w:rFonts w:ascii="Times New Roman" w:eastAsia="Times New Roman" w:hAnsi="Times New Roman" w:cs="Times New Roman"/>
          <w:sz w:val="21"/>
          <w:szCs w:val="21"/>
          <w:lang w:val="x-none" w:eastAsia="ar-SA"/>
        </w:rPr>
      </w:pPr>
      <w:r w:rsidRPr="004103FE">
        <w:rPr>
          <w:rFonts w:ascii="Times New Roman" w:eastAsia="Times New Roman" w:hAnsi="Times New Roman" w:cs="Times New Roman"/>
          <w:sz w:val="21"/>
          <w:szCs w:val="21"/>
          <w:lang w:val="x-none" w:eastAsia="ar-SA"/>
        </w:rPr>
        <w:t xml:space="preserve">Спиридонова, Е. А. </w:t>
      </w:r>
      <w:r w:rsidRPr="004103FE">
        <w:rPr>
          <w:rFonts w:ascii="Times New Roman" w:eastAsia="Times New Roman" w:hAnsi="Times New Roman" w:cs="Times New Roman"/>
          <w:bCs/>
          <w:sz w:val="21"/>
          <w:szCs w:val="21"/>
          <w:lang w:val="x-none" w:eastAsia="ar-SA"/>
        </w:rPr>
        <w:t>Создание стартапов : учебник для вузов</w:t>
      </w:r>
      <w:r w:rsidRPr="004103FE">
        <w:rPr>
          <w:rFonts w:ascii="Times New Roman" w:eastAsia="Times New Roman" w:hAnsi="Times New Roman" w:cs="Times New Roman"/>
          <w:sz w:val="21"/>
          <w:szCs w:val="21"/>
          <w:lang w:val="x-none" w:eastAsia="ar-SA"/>
        </w:rPr>
        <w:t xml:space="preserve"> / Е. А. Спиридонова. </w:t>
      </w:r>
      <w:r w:rsidRPr="004103FE">
        <w:rPr>
          <w:rFonts w:ascii="Times New Roman" w:eastAsia="Times New Roman" w:hAnsi="Times New Roman" w:cs="Times New Roman"/>
          <w:sz w:val="21"/>
          <w:szCs w:val="21"/>
          <w:lang w:eastAsia="ar-SA"/>
        </w:rPr>
        <w:t>-</w:t>
      </w:r>
      <w:r w:rsidRPr="004103FE">
        <w:rPr>
          <w:rFonts w:ascii="Times New Roman" w:eastAsia="Times New Roman" w:hAnsi="Times New Roman" w:cs="Times New Roman"/>
          <w:sz w:val="21"/>
          <w:szCs w:val="21"/>
          <w:lang w:val="x-none" w:eastAsia="ar-SA"/>
        </w:rPr>
        <w:t xml:space="preserve"> 2-е изд. - </w:t>
      </w:r>
      <w:proofErr w:type="gramStart"/>
      <w:r w:rsidRPr="004103FE">
        <w:rPr>
          <w:rFonts w:ascii="Times New Roman" w:eastAsia="Times New Roman" w:hAnsi="Times New Roman" w:cs="Times New Roman"/>
          <w:sz w:val="21"/>
          <w:szCs w:val="21"/>
          <w:lang w:val="x-none" w:eastAsia="ar-SA"/>
        </w:rPr>
        <w:t>Москва :</w:t>
      </w:r>
      <w:proofErr w:type="gramEnd"/>
      <w:r w:rsidRPr="004103FE">
        <w:rPr>
          <w:rFonts w:ascii="Times New Roman" w:eastAsia="Times New Roman" w:hAnsi="Times New Roman" w:cs="Times New Roman"/>
          <w:sz w:val="21"/>
          <w:szCs w:val="21"/>
          <w:lang w:val="x-none" w:eastAsia="ar-SA"/>
        </w:rPr>
        <w:t xml:space="preserve"> Издательство Юрайт, 2025. - 187 с. </w:t>
      </w:r>
    </w:p>
    <w:p w14:paraId="1C86D00B" w14:textId="77777777" w:rsidR="00DB1F0F" w:rsidRPr="004103FE" w:rsidRDefault="00DB1F0F" w:rsidP="00AD58CD">
      <w:pPr>
        <w:pStyle w:val="a8"/>
        <w:numPr>
          <w:ilvl w:val="0"/>
          <w:numId w:val="174"/>
        </w:numPr>
        <w:tabs>
          <w:tab w:val="clear" w:pos="720"/>
          <w:tab w:val="left" w:pos="0"/>
          <w:tab w:val="num" w:pos="426"/>
        </w:tabs>
        <w:suppressAutoHyphens/>
        <w:autoSpaceDE w:val="0"/>
        <w:spacing w:after="0" w:line="240" w:lineRule="auto"/>
        <w:ind w:left="709" w:hanging="720"/>
        <w:jc w:val="both"/>
        <w:rPr>
          <w:rFonts w:ascii="Times New Roman" w:eastAsia="Times New Roman" w:hAnsi="Times New Roman" w:cs="Times New Roman"/>
          <w:bCs/>
          <w:sz w:val="21"/>
          <w:szCs w:val="21"/>
          <w:lang w:val="x-none" w:eastAsia="ar-SA"/>
        </w:rPr>
      </w:pPr>
      <w:r w:rsidRPr="004103FE">
        <w:rPr>
          <w:rFonts w:ascii="Times New Roman" w:eastAsia="Times New Roman" w:hAnsi="Times New Roman" w:cs="Times New Roman"/>
          <w:sz w:val="21"/>
          <w:szCs w:val="21"/>
          <w:lang w:val="x-none" w:eastAsia="ar-SA"/>
        </w:rPr>
        <w:t>Гречушкина Н. В., Арефьева Е. А.</w:t>
      </w:r>
      <w:r w:rsidRPr="004103FE">
        <w:rPr>
          <w:rFonts w:ascii="Times New Roman" w:eastAsia="Times New Roman" w:hAnsi="Times New Roman" w:cs="Times New Roman"/>
          <w:bCs/>
          <w:sz w:val="21"/>
          <w:szCs w:val="21"/>
          <w:lang w:val="x-none" w:eastAsia="ar-SA"/>
        </w:rPr>
        <w:t xml:space="preserve"> Хакатон: определение, практика и перспективы применения в высшей школе // </w:t>
      </w:r>
      <w:r w:rsidRPr="004103FE">
        <w:rPr>
          <w:rFonts w:ascii="Times New Roman" w:eastAsia="Times New Roman" w:hAnsi="Times New Roman" w:cs="Times New Roman"/>
          <w:bCs/>
          <w:iCs/>
          <w:sz w:val="21"/>
          <w:szCs w:val="21"/>
          <w:lang w:val="x-none" w:eastAsia="ar-SA"/>
        </w:rPr>
        <w:t>Высшее образование в России</w:t>
      </w:r>
      <w:r w:rsidRPr="004103FE">
        <w:rPr>
          <w:rFonts w:ascii="Times New Roman" w:eastAsia="Times New Roman" w:hAnsi="Times New Roman" w:cs="Times New Roman"/>
          <w:bCs/>
          <w:sz w:val="21"/>
          <w:szCs w:val="21"/>
          <w:lang w:val="x-none" w:eastAsia="ar-SA"/>
        </w:rPr>
        <w:t>. -</w:t>
      </w:r>
      <w:r w:rsidRPr="004103FE">
        <w:rPr>
          <w:rFonts w:ascii="Times New Roman" w:eastAsia="Times New Roman" w:hAnsi="Times New Roman" w:cs="Times New Roman"/>
          <w:bCs/>
          <w:sz w:val="21"/>
          <w:szCs w:val="21"/>
          <w:lang w:eastAsia="ar-SA"/>
        </w:rPr>
        <w:t xml:space="preserve"> </w:t>
      </w:r>
      <w:r w:rsidRPr="004103FE">
        <w:rPr>
          <w:rFonts w:ascii="Times New Roman" w:eastAsia="Times New Roman" w:hAnsi="Times New Roman" w:cs="Times New Roman"/>
          <w:bCs/>
          <w:sz w:val="21"/>
          <w:szCs w:val="21"/>
          <w:lang w:val="x-none" w:eastAsia="ar-SA"/>
        </w:rPr>
        <w:t xml:space="preserve">2023. </w:t>
      </w:r>
      <w:r w:rsidRPr="004103FE">
        <w:rPr>
          <w:rFonts w:ascii="Times New Roman" w:eastAsia="Times New Roman" w:hAnsi="Times New Roman" w:cs="Times New Roman"/>
          <w:bCs/>
          <w:sz w:val="21"/>
          <w:szCs w:val="21"/>
          <w:lang w:eastAsia="ar-SA"/>
        </w:rPr>
        <w:t>-</w:t>
      </w:r>
      <w:r w:rsidRPr="004103FE">
        <w:rPr>
          <w:rFonts w:ascii="Times New Roman" w:eastAsia="Times New Roman" w:hAnsi="Times New Roman" w:cs="Times New Roman"/>
          <w:bCs/>
          <w:sz w:val="21"/>
          <w:szCs w:val="21"/>
          <w:lang w:val="x-none" w:eastAsia="ar-SA"/>
        </w:rPr>
        <w:t xml:space="preserve"> Т. 32, № 4. </w:t>
      </w:r>
      <w:r w:rsidRPr="004103FE">
        <w:rPr>
          <w:rFonts w:ascii="Times New Roman" w:eastAsia="Times New Roman" w:hAnsi="Times New Roman" w:cs="Times New Roman"/>
          <w:bCs/>
          <w:sz w:val="21"/>
          <w:szCs w:val="21"/>
          <w:lang w:eastAsia="ar-SA"/>
        </w:rPr>
        <w:t>-</w:t>
      </w:r>
      <w:r w:rsidRPr="004103FE">
        <w:rPr>
          <w:rFonts w:ascii="Times New Roman" w:eastAsia="Times New Roman" w:hAnsi="Times New Roman" w:cs="Times New Roman"/>
          <w:bCs/>
          <w:sz w:val="21"/>
          <w:szCs w:val="21"/>
          <w:lang w:val="x-none" w:eastAsia="ar-SA"/>
        </w:rPr>
        <w:t xml:space="preserve"> С. 83</w:t>
      </w:r>
      <w:r w:rsidRPr="004103FE">
        <w:rPr>
          <w:rFonts w:ascii="Times New Roman" w:eastAsia="Times New Roman" w:hAnsi="Times New Roman" w:cs="Times New Roman"/>
          <w:bCs/>
          <w:sz w:val="21"/>
          <w:szCs w:val="21"/>
          <w:lang w:eastAsia="ar-SA"/>
        </w:rPr>
        <w:t>-</w:t>
      </w:r>
      <w:r w:rsidRPr="004103FE">
        <w:rPr>
          <w:rFonts w:ascii="Times New Roman" w:eastAsia="Times New Roman" w:hAnsi="Times New Roman" w:cs="Times New Roman"/>
          <w:bCs/>
          <w:sz w:val="21"/>
          <w:szCs w:val="21"/>
          <w:lang w:val="x-none" w:eastAsia="ar-SA"/>
        </w:rPr>
        <w:t>105.</w:t>
      </w:r>
    </w:p>
    <w:p w14:paraId="7AE7FC6D" w14:textId="77777777" w:rsidR="00DB1F0F" w:rsidRPr="004103FE" w:rsidRDefault="00DB1F0F" w:rsidP="00AD58CD">
      <w:pPr>
        <w:pStyle w:val="a8"/>
        <w:numPr>
          <w:ilvl w:val="0"/>
          <w:numId w:val="174"/>
        </w:numPr>
        <w:tabs>
          <w:tab w:val="clear" w:pos="720"/>
          <w:tab w:val="left" w:pos="0"/>
          <w:tab w:val="num" w:pos="426"/>
        </w:tabs>
        <w:suppressAutoHyphens/>
        <w:autoSpaceDE w:val="0"/>
        <w:spacing w:after="0" w:line="240" w:lineRule="auto"/>
        <w:ind w:left="709" w:hanging="720"/>
        <w:jc w:val="both"/>
        <w:rPr>
          <w:rFonts w:ascii="Times New Roman" w:eastAsia="Times New Roman" w:hAnsi="Times New Roman" w:cs="Times New Roman"/>
          <w:sz w:val="21"/>
          <w:szCs w:val="21"/>
          <w:lang w:val="x-none" w:eastAsia="ar-SA"/>
        </w:rPr>
      </w:pPr>
      <w:r w:rsidRPr="004103FE">
        <w:rPr>
          <w:rFonts w:ascii="Times New Roman" w:eastAsia="Times New Roman" w:hAnsi="Times New Roman" w:cs="Times New Roman"/>
          <w:iCs/>
          <w:sz w:val="21"/>
          <w:szCs w:val="21"/>
          <w:lang w:val="x-none" w:eastAsia="ar-SA"/>
        </w:rPr>
        <w:lastRenderedPageBreak/>
        <w:t>Быкова Е. А. Формирование мотивации к инновационной деятельности у студентов – будущих педагогов // Перспективы науки и образования. - 2019. - № 4 (40). - С. 102-115.</w:t>
      </w:r>
    </w:p>
    <w:p w14:paraId="30CBD7E9" w14:textId="77777777" w:rsidR="00DB1F0F" w:rsidRPr="004103FE" w:rsidRDefault="00DB1F0F" w:rsidP="00AD58CD">
      <w:pPr>
        <w:pStyle w:val="a8"/>
        <w:numPr>
          <w:ilvl w:val="0"/>
          <w:numId w:val="174"/>
        </w:numPr>
        <w:tabs>
          <w:tab w:val="clear" w:pos="720"/>
          <w:tab w:val="left" w:pos="0"/>
          <w:tab w:val="num" w:pos="426"/>
        </w:tabs>
        <w:suppressAutoHyphens/>
        <w:autoSpaceDE w:val="0"/>
        <w:spacing w:after="0" w:line="240" w:lineRule="auto"/>
        <w:ind w:left="709" w:hanging="720"/>
        <w:jc w:val="both"/>
        <w:rPr>
          <w:rFonts w:ascii="Times New Roman" w:eastAsia="Times New Roman" w:hAnsi="Times New Roman" w:cs="Times New Roman"/>
          <w:iCs/>
          <w:sz w:val="21"/>
          <w:szCs w:val="21"/>
          <w:lang w:val="x-none" w:eastAsia="ar-SA"/>
        </w:rPr>
      </w:pPr>
      <w:r w:rsidRPr="004103FE">
        <w:rPr>
          <w:rFonts w:ascii="Times New Roman" w:eastAsia="Times New Roman" w:hAnsi="Times New Roman" w:cs="Times New Roman"/>
          <w:sz w:val="21"/>
          <w:szCs w:val="21"/>
          <w:lang w:val="x-none" w:eastAsia="ar-SA"/>
        </w:rPr>
        <w:t>Горшкова И. Д., Шереги Ф. Э. Молодежь России: социологический портрет. - Москва : Центр социологических исследований Минобрнауки РФ, 2021. - 342 с</w:t>
      </w:r>
      <w:r w:rsidRPr="004103FE">
        <w:rPr>
          <w:rFonts w:ascii="Times New Roman" w:eastAsia="Times New Roman" w:hAnsi="Times New Roman" w:cs="Times New Roman"/>
          <w:sz w:val="21"/>
          <w:szCs w:val="21"/>
          <w:lang w:eastAsia="ar-SA"/>
        </w:rPr>
        <w:t>.</w:t>
      </w:r>
    </w:p>
    <w:p w14:paraId="3A4F511B" w14:textId="77777777" w:rsidR="003142E3" w:rsidRDefault="003142E3" w:rsidP="00F2234B">
      <w:pPr>
        <w:spacing w:after="0" w:line="240" w:lineRule="auto"/>
        <w:rPr>
          <w:rFonts w:ascii="Times New Roman" w:eastAsia="Calibri" w:hAnsi="Times New Roman" w:cs="Times New Roman"/>
          <w:b/>
          <w:iCs/>
          <w:sz w:val="21"/>
          <w:szCs w:val="21"/>
        </w:rPr>
      </w:pPr>
    </w:p>
    <w:p w14:paraId="5CE3D252" w14:textId="7D3A22A0" w:rsidR="00FB6683" w:rsidRDefault="00F2234B" w:rsidP="00F2234B">
      <w:pPr>
        <w:spacing w:after="0" w:line="240" w:lineRule="auto"/>
        <w:rPr>
          <w:rFonts w:ascii="Times New Roman" w:eastAsia="Calibri" w:hAnsi="Times New Roman" w:cs="Times New Roman"/>
          <w:b/>
          <w:iCs/>
          <w:sz w:val="21"/>
          <w:szCs w:val="21"/>
        </w:rPr>
      </w:pPr>
      <w:r w:rsidRPr="00F2234B">
        <w:rPr>
          <w:rFonts w:ascii="Times New Roman" w:eastAsia="Calibri" w:hAnsi="Times New Roman" w:cs="Times New Roman"/>
          <w:b/>
          <w:iCs/>
          <w:sz w:val="21"/>
          <w:szCs w:val="21"/>
        </w:rPr>
        <w:t xml:space="preserve">УДК 174.4                                                                                                                                       </w:t>
      </w:r>
    </w:p>
    <w:p w14:paraId="65A428D4" w14:textId="57D9BF12" w:rsidR="00F2234B" w:rsidRPr="00F2234B" w:rsidRDefault="00F2234B" w:rsidP="00FB6683">
      <w:pPr>
        <w:spacing w:after="0" w:line="240" w:lineRule="auto"/>
        <w:jc w:val="right"/>
        <w:rPr>
          <w:rFonts w:ascii="Times New Roman" w:eastAsia="Calibri" w:hAnsi="Times New Roman" w:cs="Times New Roman"/>
          <w:b/>
          <w:i/>
          <w:sz w:val="21"/>
          <w:szCs w:val="21"/>
        </w:rPr>
      </w:pPr>
      <w:r w:rsidRPr="00F2234B">
        <w:rPr>
          <w:rFonts w:ascii="Times New Roman" w:eastAsia="Calibri" w:hAnsi="Times New Roman" w:cs="Times New Roman"/>
          <w:b/>
          <w:i/>
          <w:sz w:val="21"/>
          <w:szCs w:val="21"/>
        </w:rPr>
        <w:t>Лагошина</w:t>
      </w:r>
      <w:r w:rsidR="00FB6683">
        <w:rPr>
          <w:rFonts w:ascii="Times New Roman" w:eastAsia="Calibri" w:hAnsi="Times New Roman" w:cs="Times New Roman"/>
          <w:b/>
          <w:i/>
          <w:sz w:val="21"/>
          <w:szCs w:val="21"/>
        </w:rPr>
        <w:t xml:space="preserve"> </w:t>
      </w:r>
      <w:r w:rsidRPr="00F2234B">
        <w:rPr>
          <w:rFonts w:ascii="Times New Roman" w:eastAsia="Calibri" w:hAnsi="Times New Roman" w:cs="Times New Roman"/>
          <w:b/>
          <w:i/>
          <w:sz w:val="21"/>
          <w:szCs w:val="21"/>
        </w:rPr>
        <w:t>Е.А.</w:t>
      </w:r>
      <w:r w:rsidR="00FB6683">
        <w:rPr>
          <w:rFonts w:ascii="Times New Roman" w:eastAsia="Calibri" w:hAnsi="Times New Roman" w:cs="Times New Roman"/>
          <w:b/>
          <w:i/>
          <w:sz w:val="21"/>
          <w:szCs w:val="21"/>
        </w:rPr>
        <w:t>,</w:t>
      </w:r>
    </w:p>
    <w:p w14:paraId="65BF3A8F" w14:textId="507FF5FF" w:rsidR="00F2234B" w:rsidRPr="00F2234B" w:rsidRDefault="00F2234B" w:rsidP="00F2234B">
      <w:pPr>
        <w:spacing w:after="0" w:line="240" w:lineRule="auto"/>
        <w:jc w:val="right"/>
        <w:rPr>
          <w:rFonts w:ascii="Times New Roman" w:eastAsia="Calibri" w:hAnsi="Times New Roman" w:cs="Times New Roman"/>
          <w:b/>
          <w:i/>
          <w:sz w:val="21"/>
          <w:szCs w:val="21"/>
        </w:rPr>
      </w:pPr>
      <w:r w:rsidRPr="00F2234B">
        <w:rPr>
          <w:rFonts w:ascii="Times New Roman" w:eastAsia="Calibri" w:hAnsi="Times New Roman" w:cs="Times New Roman"/>
          <w:i/>
          <w:sz w:val="21"/>
          <w:szCs w:val="21"/>
        </w:rPr>
        <w:t xml:space="preserve">студент </w:t>
      </w:r>
      <w:r w:rsidR="00FB6683">
        <w:rPr>
          <w:rFonts w:ascii="Times New Roman" w:eastAsia="Calibri" w:hAnsi="Times New Roman" w:cs="Times New Roman"/>
          <w:i/>
          <w:sz w:val="21"/>
          <w:szCs w:val="21"/>
        </w:rPr>
        <w:t>3</w:t>
      </w:r>
      <w:r w:rsidRPr="00F2234B">
        <w:rPr>
          <w:rFonts w:ascii="Times New Roman" w:eastAsia="Calibri" w:hAnsi="Times New Roman" w:cs="Times New Roman"/>
          <w:i/>
          <w:sz w:val="21"/>
          <w:szCs w:val="21"/>
        </w:rPr>
        <w:t xml:space="preserve"> курса,</w:t>
      </w:r>
    </w:p>
    <w:p w14:paraId="74366F37"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rPr>
        <w:t>Финансовый университет при Правительстве РФ</w:t>
      </w:r>
    </w:p>
    <w:p w14:paraId="67558711"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rPr>
        <w:t>Краснодар, Россия</w:t>
      </w:r>
    </w:p>
    <w:p w14:paraId="572B7B34"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lang w:val="en-US"/>
        </w:rPr>
        <w:t>e</w:t>
      </w:r>
      <w:r w:rsidRPr="00F2234B">
        <w:rPr>
          <w:rFonts w:ascii="Times New Roman" w:eastAsia="Calibri" w:hAnsi="Times New Roman" w:cs="Times New Roman"/>
          <w:i/>
          <w:sz w:val="21"/>
          <w:szCs w:val="21"/>
        </w:rPr>
        <w:t>-</w:t>
      </w:r>
      <w:r w:rsidRPr="00F2234B">
        <w:rPr>
          <w:rFonts w:ascii="Times New Roman" w:eastAsia="Calibri" w:hAnsi="Times New Roman" w:cs="Times New Roman"/>
          <w:i/>
          <w:sz w:val="21"/>
          <w:szCs w:val="21"/>
          <w:lang w:val="en-US"/>
        </w:rPr>
        <w:t>mail</w:t>
      </w:r>
      <w:r w:rsidRPr="00F2234B">
        <w:rPr>
          <w:rFonts w:ascii="Times New Roman" w:eastAsia="Calibri" w:hAnsi="Times New Roman" w:cs="Times New Roman"/>
          <w:i/>
          <w:sz w:val="21"/>
          <w:szCs w:val="21"/>
        </w:rPr>
        <w:t xml:space="preserve">: </w:t>
      </w:r>
      <w:r w:rsidRPr="00F2234B">
        <w:rPr>
          <w:rFonts w:ascii="Times New Roman" w:eastAsia="Calibri" w:hAnsi="Times New Roman" w:cs="Times New Roman"/>
          <w:i/>
          <w:color w:val="0563C1"/>
          <w:sz w:val="21"/>
          <w:szCs w:val="21"/>
          <w:u w:val="single"/>
          <w:lang w:val="en-US"/>
        </w:rPr>
        <w:t>elenalagoshina</w:t>
      </w:r>
      <w:r w:rsidRPr="00F2234B">
        <w:rPr>
          <w:rFonts w:ascii="Times New Roman" w:eastAsia="Calibri" w:hAnsi="Times New Roman" w:cs="Times New Roman"/>
          <w:i/>
          <w:color w:val="0563C1"/>
          <w:sz w:val="21"/>
          <w:szCs w:val="21"/>
          <w:u w:val="single"/>
        </w:rPr>
        <w:t>12@</w:t>
      </w:r>
      <w:r w:rsidRPr="00F2234B">
        <w:rPr>
          <w:rFonts w:ascii="Times New Roman" w:eastAsia="Calibri" w:hAnsi="Times New Roman" w:cs="Times New Roman"/>
          <w:i/>
          <w:color w:val="0563C1"/>
          <w:sz w:val="21"/>
          <w:szCs w:val="21"/>
          <w:u w:val="single"/>
          <w:lang w:val="en-US"/>
        </w:rPr>
        <w:t>gmail</w:t>
      </w:r>
      <w:r w:rsidRPr="00F2234B">
        <w:rPr>
          <w:rFonts w:ascii="Times New Roman" w:eastAsia="Calibri" w:hAnsi="Times New Roman" w:cs="Times New Roman"/>
          <w:i/>
          <w:color w:val="0563C1"/>
          <w:sz w:val="21"/>
          <w:szCs w:val="21"/>
          <w:u w:val="single"/>
        </w:rPr>
        <w:t>.</w:t>
      </w:r>
      <w:r w:rsidRPr="00F2234B">
        <w:rPr>
          <w:rFonts w:ascii="Times New Roman" w:eastAsia="Calibri" w:hAnsi="Times New Roman" w:cs="Times New Roman"/>
          <w:i/>
          <w:color w:val="0563C1"/>
          <w:sz w:val="21"/>
          <w:szCs w:val="21"/>
          <w:u w:val="single"/>
          <w:lang w:val="en-US"/>
        </w:rPr>
        <w:t>com</w:t>
      </w:r>
    </w:p>
    <w:p w14:paraId="3A22668A" w14:textId="77777777" w:rsidR="00F2234B" w:rsidRPr="00F2234B" w:rsidRDefault="00F2234B" w:rsidP="00F2234B">
      <w:pPr>
        <w:spacing w:after="0" w:line="240" w:lineRule="auto"/>
        <w:jc w:val="right"/>
        <w:rPr>
          <w:rFonts w:ascii="Times New Roman" w:eastAsia="Calibri" w:hAnsi="Times New Roman" w:cs="Times New Roman"/>
          <w:i/>
          <w:sz w:val="21"/>
          <w:szCs w:val="21"/>
        </w:rPr>
      </w:pPr>
    </w:p>
    <w:p w14:paraId="54C47E25" w14:textId="77777777" w:rsidR="00F2234B" w:rsidRPr="00F2234B" w:rsidRDefault="00F2234B" w:rsidP="00F2234B">
      <w:pPr>
        <w:spacing w:after="0" w:line="240" w:lineRule="auto"/>
        <w:jc w:val="right"/>
        <w:rPr>
          <w:rFonts w:ascii="Times New Roman" w:eastAsia="Calibri" w:hAnsi="Times New Roman" w:cs="Times New Roman"/>
          <w:b/>
          <w:i/>
          <w:sz w:val="21"/>
          <w:szCs w:val="21"/>
        </w:rPr>
      </w:pPr>
      <w:r w:rsidRPr="00F2234B">
        <w:rPr>
          <w:rFonts w:ascii="Times New Roman" w:eastAsia="Calibri" w:hAnsi="Times New Roman" w:cs="Times New Roman"/>
          <w:b/>
          <w:i/>
          <w:sz w:val="21"/>
          <w:szCs w:val="21"/>
        </w:rPr>
        <w:t>Научный руководитель:</w:t>
      </w:r>
    </w:p>
    <w:p w14:paraId="11282C42" w14:textId="77777777" w:rsidR="00F2234B" w:rsidRPr="00F2234B" w:rsidRDefault="00F2234B" w:rsidP="00F2234B">
      <w:pPr>
        <w:spacing w:after="0" w:line="240" w:lineRule="auto"/>
        <w:jc w:val="right"/>
        <w:rPr>
          <w:rFonts w:ascii="Times New Roman" w:eastAsia="Calibri" w:hAnsi="Times New Roman" w:cs="Times New Roman"/>
          <w:b/>
          <w:i/>
          <w:sz w:val="21"/>
          <w:szCs w:val="21"/>
        </w:rPr>
      </w:pPr>
      <w:r w:rsidRPr="00F2234B">
        <w:rPr>
          <w:rFonts w:ascii="Times New Roman" w:eastAsia="Calibri" w:hAnsi="Times New Roman" w:cs="Times New Roman"/>
          <w:b/>
          <w:i/>
          <w:sz w:val="21"/>
          <w:szCs w:val="21"/>
        </w:rPr>
        <w:t>Комар Я.В.,</w:t>
      </w:r>
    </w:p>
    <w:p w14:paraId="4D369925"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rPr>
        <w:t xml:space="preserve">доцент, </w:t>
      </w:r>
      <w:proofErr w:type="gramStart"/>
      <w:r w:rsidRPr="00F2234B">
        <w:rPr>
          <w:rFonts w:ascii="Times New Roman" w:eastAsia="Calibri" w:hAnsi="Times New Roman" w:cs="Times New Roman"/>
          <w:i/>
          <w:sz w:val="21"/>
          <w:szCs w:val="21"/>
        </w:rPr>
        <w:t>канд.ист</w:t>
      </w:r>
      <w:proofErr w:type="gramEnd"/>
      <w:r w:rsidRPr="00F2234B">
        <w:rPr>
          <w:rFonts w:ascii="Times New Roman" w:eastAsia="Calibri" w:hAnsi="Times New Roman" w:cs="Times New Roman"/>
          <w:i/>
          <w:sz w:val="21"/>
          <w:szCs w:val="21"/>
        </w:rPr>
        <w:t>.наук,</w:t>
      </w:r>
    </w:p>
    <w:p w14:paraId="429E10FC"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rPr>
        <w:t>Финансовый университет при Правительстве РФ</w:t>
      </w:r>
    </w:p>
    <w:p w14:paraId="44FE66A4" w14:textId="77777777" w:rsidR="00F2234B" w:rsidRPr="00F2234B" w:rsidRDefault="00F2234B" w:rsidP="00F2234B">
      <w:pPr>
        <w:spacing w:after="0" w:line="24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rPr>
        <w:t>Краснодар, Россия</w:t>
      </w:r>
    </w:p>
    <w:p w14:paraId="6EB48C46" w14:textId="77777777" w:rsidR="00F2234B" w:rsidRPr="00F2234B" w:rsidRDefault="00F2234B" w:rsidP="00F2234B">
      <w:pPr>
        <w:spacing w:after="0" w:line="480" w:lineRule="auto"/>
        <w:jc w:val="right"/>
        <w:rPr>
          <w:rFonts w:ascii="Times New Roman" w:eastAsia="Calibri" w:hAnsi="Times New Roman" w:cs="Times New Roman"/>
          <w:i/>
          <w:sz w:val="21"/>
          <w:szCs w:val="21"/>
        </w:rPr>
      </w:pPr>
      <w:r w:rsidRPr="00F2234B">
        <w:rPr>
          <w:rFonts w:ascii="Times New Roman" w:eastAsia="Calibri" w:hAnsi="Times New Roman" w:cs="Times New Roman"/>
          <w:i/>
          <w:sz w:val="21"/>
          <w:szCs w:val="21"/>
          <w:lang w:val="en-US"/>
        </w:rPr>
        <w:t>e</w:t>
      </w:r>
      <w:r w:rsidRPr="00F2234B">
        <w:rPr>
          <w:rFonts w:ascii="Times New Roman" w:eastAsia="Calibri" w:hAnsi="Times New Roman" w:cs="Times New Roman"/>
          <w:i/>
          <w:sz w:val="21"/>
          <w:szCs w:val="21"/>
        </w:rPr>
        <w:t>-</w:t>
      </w:r>
      <w:r w:rsidRPr="00F2234B">
        <w:rPr>
          <w:rFonts w:ascii="Times New Roman" w:eastAsia="Calibri" w:hAnsi="Times New Roman" w:cs="Times New Roman"/>
          <w:i/>
          <w:sz w:val="21"/>
          <w:szCs w:val="21"/>
          <w:lang w:val="en-US"/>
        </w:rPr>
        <w:t>mail</w:t>
      </w:r>
      <w:r w:rsidRPr="00F2234B">
        <w:rPr>
          <w:rFonts w:ascii="Times New Roman" w:eastAsia="Calibri" w:hAnsi="Times New Roman" w:cs="Times New Roman"/>
          <w:i/>
          <w:sz w:val="21"/>
          <w:szCs w:val="21"/>
        </w:rPr>
        <w:t xml:space="preserve">: </w:t>
      </w:r>
      <w:hyperlink r:id="rId666" w:history="1">
        <w:r w:rsidRPr="00F2234B">
          <w:rPr>
            <w:rFonts w:ascii="Times New Roman" w:eastAsia="Calibri" w:hAnsi="Times New Roman" w:cs="Times New Roman"/>
            <w:i/>
            <w:color w:val="0563C1"/>
            <w:sz w:val="21"/>
            <w:szCs w:val="21"/>
            <w:u w:val="single"/>
            <w:lang w:val="en-US"/>
          </w:rPr>
          <w:t>YVKomar</w:t>
        </w:r>
        <w:r w:rsidRPr="00F2234B">
          <w:rPr>
            <w:rFonts w:ascii="Times New Roman" w:eastAsia="Calibri" w:hAnsi="Times New Roman" w:cs="Times New Roman"/>
            <w:i/>
            <w:color w:val="0563C1"/>
            <w:sz w:val="21"/>
            <w:szCs w:val="21"/>
            <w:u w:val="single"/>
          </w:rPr>
          <w:t>@</w:t>
        </w:r>
        <w:r w:rsidRPr="00F2234B">
          <w:rPr>
            <w:rFonts w:ascii="Times New Roman" w:eastAsia="Calibri" w:hAnsi="Times New Roman" w:cs="Times New Roman"/>
            <w:i/>
            <w:color w:val="0563C1"/>
            <w:sz w:val="21"/>
            <w:szCs w:val="21"/>
            <w:u w:val="single"/>
            <w:lang w:val="en-US"/>
          </w:rPr>
          <w:t>fa</w:t>
        </w:r>
        <w:r w:rsidRPr="00F2234B">
          <w:rPr>
            <w:rFonts w:ascii="Times New Roman" w:eastAsia="Calibri" w:hAnsi="Times New Roman" w:cs="Times New Roman"/>
            <w:i/>
            <w:color w:val="0563C1"/>
            <w:sz w:val="21"/>
            <w:szCs w:val="21"/>
            <w:u w:val="single"/>
          </w:rPr>
          <w:t>.</w:t>
        </w:r>
        <w:r w:rsidRPr="00F2234B">
          <w:rPr>
            <w:rFonts w:ascii="Times New Roman" w:eastAsia="Calibri" w:hAnsi="Times New Roman" w:cs="Times New Roman"/>
            <w:i/>
            <w:color w:val="0563C1"/>
            <w:sz w:val="21"/>
            <w:szCs w:val="21"/>
            <w:u w:val="single"/>
            <w:lang w:val="en-US"/>
          </w:rPr>
          <w:t>ru</w:t>
        </w:r>
      </w:hyperlink>
      <w:r w:rsidRPr="00F2234B">
        <w:rPr>
          <w:rFonts w:ascii="Times New Roman" w:eastAsia="Calibri" w:hAnsi="Times New Roman" w:cs="Times New Roman"/>
          <w:i/>
          <w:sz w:val="21"/>
          <w:szCs w:val="21"/>
        </w:rPr>
        <w:t xml:space="preserve"> </w:t>
      </w:r>
    </w:p>
    <w:p w14:paraId="1F764C72" w14:textId="77777777" w:rsidR="00F2234B" w:rsidRDefault="00F2234B" w:rsidP="00F2234B">
      <w:pPr>
        <w:spacing w:after="0" w:line="240" w:lineRule="auto"/>
        <w:ind w:firstLine="709"/>
        <w:jc w:val="center"/>
        <w:rPr>
          <w:rFonts w:ascii="Times New Roman" w:eastAsia="Calibri" w:hAnsi="Times New Roman" w:cs="Times New Roman"/>
          <w:b/>
          <w:sz w:val="21"/>
          <w:szCs w:val="21"/>
        </w:rPr>
      </w:pPr>
      <w:r w:rsidRPr="00F2234B">
        <w:rPr>
          <w:rFonts w:ascii="Times New Roman" w:eastAsia="Calibri" w:hAnsi="Times New Roman" w:cs="Times New Roman"/>
          <w:b/>
          <w:sz w:val="21"/>
          <w:szCs w:val="21"/>
        </w:rPr>
        <w:t>Трансформация трудовой этики: от служения к самореализации</w:t>
      </w:r>
    </w:p>
    <w:p w14:paraId="7E7FCB82" w14:textId="77777777" w:rsidR="00FB6683" w:rsidRPr="00F2234B" w:rsidRDefault="00FB6683" w:rsidP="00F2234B">
      <w:pPr>
        <w:spacing w:after="0" w:line="240" w:lineRule="auto"/>
        <w:ind w:firstLine="709"/>
        <w:jc w:val="center"/>
        <w:rPr>
          <w:rFonts w:ascii="Times New Roman" w:eastAsia="Calibri" w:hAnsi="Times New Roman" w:cs="Times New Roman"/>
          <w:b/>
          <w:sz w:val="21"/>
          <w:szCs w:val="21"/>
        </w:rPr>
      </w:pPr>
    </w:p>
    <w:p w14:paraId="185F845D" w14:textId="77777777" w:rsidR="00F2234B" w:rsidRPr="00F2234B" w:rsidRDefault="00F2234B" w:rsidP="00FB6683">
      <w:pPr>
        <w:spacing w:after="0" w:line="240" w:lineRule="auto"/>
        <w:ind w:firstLine="709"/>
        <w:jc w:val="both"/>
        <w:rPr>
          <w:rFonts w:ascii="Times New Roman" w:eastAsia="Calibri" w:hAnsi="Times New Roman" w:cs="Times New Roman"/>
          <w:sz w:val="21"/>
          <w:szCs w:val="21"/>
        </w:rPr>
      </w:pPr>
      <w:r w:rsidRPr="00F2234B">
        <w:rPr>
          <w:rFonts w:ascii="Times New Roman" w:eastAsia="Calibri" w:hAnsi="Times New Roman" w:cs="Times New Roman"/>
          <w:b/>
          <w:sz w:val="21"/>
          <w:szCs w:val="21"/>
        </w:rPr>
        <w:t xml:space="preserve">Аннотация: </w:t>
      </w:r>
      <w:r w:rsidRPr="00F2234B">
        <w:rPr>
          <w:rFonts w:ascii="Times New Roman" w:eastAsia="Calibri" w:hAnsi="Times New Roman" w:cs="Times New Roman"/>
          <w:sz w:val="21"/>
          <w:szCs w:val="21"/>
        </w:rPr>
        <w:t>в статье рассматривается изменение трудовой этики в условиях современного общества. Переход от парадигмы служения к парадигме самореализации отражает сдвиг в ценностных установках труда. Представлены данные эмпирического исследования, а также практическое предложение по поддержке личностной реализации в профессиональной сфере.</w:t>
      </w:r>
    </w:p>
    <w:p w14:paraId="23659A2F" w14:textId="77777777" w:rsidR="00F2234B" w:rsidRPr="00F2234B" w:rsidRDefault="00F2234B" w:rsidP="00FB6683">
      <w:pPr>
        <w:spacing w:after="0" w:line="240" w:lineRule="auto"/>
        <w:ind w:firstLine="709"/>
        <w:jc w:val="both"/>
        <w:rPr>
          <w:rFonts w:ascii="Times New Roman" w:eastAsia="Calibri" w:hAnsi="Times New Roman" w:cs="Times New Roman"/>
          <w:sz w:val="21"/>
          <w:szCs w:val="21"/>
        </w:rPr>
      </w:pPr>
      <w:r w:rsidRPr="00F2234B">
        <w:rPr>
          <w:rFonts w:ascii="Times New Roman" w:eastAsia="Calibri" w:hAnsi="Times New Roman" w:cs="Times New Roman"/>
          <w:b/>
          <w:sz w:val="21"/>
          <w:szCs w:val="21"/>
        </w:rPr>
        <w:t xml:space="preserve">Ключевые слова: </w:t>
      </w:r>
      <w:r w:rsidRPr="00F2234B">
        <w:rPr>
          <w:rFonts w:ascii="Times New Roman" w:eastAsia="Calibri" w:hAnsi="Times New Roman" w:cs="Times New Roman"/>
          <w:sz w:val="21"/>
          <w:szCs w:val="21"/>
        </w:rPr>
        <w:t>трудовая этика, самореализация, ценности, мотивация, труд, поколение, трансформация.</w:t>
      </w:r>
    </w:p>
    <w:p w14:paraId="0BD8D1F9" w14:textId="77777777" w:rsidR="00F2234B" w:rsidRPr="00F2234B" w:rsidRDefault="00F2234B" w:rsidP="00F2234B">
      <w:pPr>
        <w:spacing w:after="0" w:line="240" w:lineRule="auto"/>
        <w:jc w:val="both"/>
        <w:rPr>
          <w:rFonts w:ascii="Times New Roman" w:eastAsia="Calibri" w:hAnsi="Times New Roman" w:cs="Times New Roman"/>
          <w:sz w:val="21"/>
          <w:szCs w:val="21"/>
        </w:rPr>
      </w:pPr>
    </w:p>
    <w:p w14:paraId="17FBE938" w14:textId="77777777" w:rsidR="00F2234B" w:rsidRPr="00F2234B" w:rsidRDefault="00F2234B" w:rsidP="00F2234B">
      <w:pPr>
        <w:spacing w:after="0" w:line="240" w:lineRule="auto"/>
        <w:jc w:val="right"/>
        <w:rPr>
          <w:rFonts w:ascii="Times New Roman" w:eastAsia="Calibri" w:hAnsi="Times New Roman" w:cs="Times New Roman"/>
          <w:b/>
          <w:i/>
          <w:sz w:val="21"/>
          <w:szCs w:val="21"/>
          <w:lang w:val="en-US"/>
        </w:rPr>
      </w:pPr>
      <w:r w:rsidRPr="00F2234B">
        <w:rPr>
          <w:rFonts w:ascii="Times New Roman" w:eastAsia="Calibri" w:hAnsi="Times New Roman" w:cs="Times New Roman"/>
          <w:b/>
          <w:i/>
          <w:sz w:val="21"/>
          <w:szCs w:val="21"/>
          <w:lang w:val="en-US"/>
        </w:rPr>
        <w:t>Lagoshina E.A.</w:t>
      </w:r>
    </w:p>
    <w:p w14:paraId="362EBFD1"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student, 2 courses</w:t>
      </w:r>
    </w:p>
    <w:p w14:paraId="3A8190CA"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Financial University under the Government of Russian Federation</w:t>
      </w:r>
    </w:p>
    <w:p w14:paraId="179C6363"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Krasnodar, Russia</w:t>
      </w:r>
    </w:p>
    <w:p w14:paraId="659D83CF" w14:textId="77777777" w:rsidR="00F2234B" w:rsidRPr="00F2234B" w:rsidRDefault="00F2234B" w:rsidP="00F2234B">
      <w:pPr>
        <w:spacing w:after="0" w:line="240" w:lineRule="auto"/>
        <w:jc w:val="right"/>
        <w:rPr>
          <w:rFonts w:ascii="Times New Roman" w:eastAsia="Calibri" w:hAnsi="Times New Roman" w:cs="Times New Roman"/>
          <w:i/>
          <w:color w:val="0563C1"/>
          <w:sz w:val="21"/>
          <w:szCs w:val="21"/>
          <w:u w:val="single"/>
          <w:lang w:val="en-US"/>
        </w:rPr>
      </w:pPr>
      <w:r w:rsidRPr="00F2234B">
        <w:rPr>
          <w:rFonts w:ascii="Times New Roman" w:eastAsia="Calibri" w:hAnsi="Times New Roman" w:cs="Times New Roman"/>
          <w:i/>
          <w:sz w:val="21"/>
          <w:szCs w:val="21"/>
          <w:lang w:val="en-US"/>
        </w:rPr>
        <w:t xml:space="preserve">e-mail: </w:t>
      </w:r>
      <w:hyperlink r:id="rId667" w:history="1">
        <w:r w:rsidRPr="00F2234B">
          <w:rPr>
            <w:rFonts w:ascii="Times New Roman" w:eastAsia="Calibri" w:hAnsi="Times New Roman" w:cs="Times New Roman"/>
            <w:i/>
            <w:color w:val="0563C1"/>
            <w:sz w:val="21"/>
            <w:szCs w:val="21"/>
            <w:u w:val="single"/>
            <w:lang w:val="en-US"/>
          </w:rPr>
          <w:t>elenalagoshina12@gmail.com</w:t>
        </w:r>
      </w:hyperlink>
    </w:p>
    <w:p w14:paraId="66D69AE7"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p>
    <w:p w14:paraId="52016FAD" w14:textId="77777777" w:rsidR="00F2234B" w:rsidRPr="00F2234B" w:rsidRDefault="00F2234B" w:rsidP="00F2234B">
      <w:pPr>
        <w:spacing w:after="0" w:line="240" w:lineRule="auto"/>
        <w:jc w:val="right"/>
        <w:rPr>
          <w:rFonts w:ascii="Times New Roman" w:eastAsia="Calibri" w:hAnsi="Times New Roman" w:cs="Times New Roman"/>
          <w:b/>
          <w:i/>
          <w:sz w:val="21"/>
          <w:szCs w:val="21"/>
          <w:lang w:val="en-US"/>
        </w:rPr>
      </w:pPr>
      <w:r w:rsidRPr="00F2234B">
        <w:rPr>
          <w:rFonts w:ascii="Times New Roman" w:eastAsia="Calibri" w:hAnsi="Times New Roman" w:cs="Times New Roman"/>
          <w:b/>
          <w:i/>
          <w:sz w:val="21"/>
          <w:szCs w:val="21"/>
          <w:lang w:val="en-US"/>
        </w:rPr>
        <w:t>Scientific Adviser:</w:t>
      </w:r>
    </w:p>
    <w:p w14:paraId="1C261EEF" w14:textId="77777777" w:rsidR="00F2234B" w:rsidRPr="00F2234B" w:rsidRDefault="00F2234B" w:rsidP="00F2234B">
      <w:pPr>
        <w:spacing w:after="0" w:line="240" w:lineRule="auto"/>
        <w:ind w:firstLine="567"/>
        <w:jc w:val="right"/>
        <w:rPr>
          <w:rFonts w:ascii="Times New Roman" w:eastAsia="Calibri" w:hAnsi="Times New Roman" w:cs="Times New Roman"/>
          <w:b/>
          <w:i/>
          <w:sz w:val="21"/>
          <w:szCs w:val="21"/>
          <w:lang w:val="en-US"/>
        </w:rPr>
      </w:pPr>
      <w:r w:rsidRPr="00F2234B">
        <w:rPr>
          <w:rFonts w:ascii="Times New Roman" w:eastAsia="Calibri" w:hAnsi="Times New Roman" w:cs="Times New Roman"/>
          <w:b/>
          <w:i/>
          <w:sz w:val="21"/>
          <w:szCs w:val="21"/>
          <w:lang w:val="en-US"/>
        </w:rPr>
        <w:t xml:space="preserve">Komar Ia. V., </w:t>
      </w:r>
    </w:p>
    <w:p w14:paraId="7D7D7D8E"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Associate Professor, Candidate of Historical Sciences</w:t>
      </w:r>
    </w:p>
    <w:p w14:paraId="52469C68"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Krasnodar Branch of the Financial University under the Government of the Russian Federation</w:t>
      </w:r>
    </w:p>
    <w:p w14:paraId="79EB2A4E"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lang w:val="en-US"/>
        </w:rPr>
        <w:t>Krasnodar, Russia</w:t>
      </w:r>
    </w:p>
    <w:p w14:paraId="4DC2DB16" w14:textId="77777777" w:rsidR="00F2234B" w:rsidRPr="00F2234B" w:rsidRDefault="00F2234B" w:rsidP="00F2234B">
      <w:pPr>
        <w:spacing w:after="0" w:line="240" w:lineRule="auto"/>
        <w:jc w:val="right"/>
        <w:rPr>
          <w:rFonts w:ascii="Times New Roman" w:eastAsia="Calibri" w:hAnsi="Times New Roman" w:cs="Times New Roman"/>
          <w:i/>
          <w:sz w:val="21"/>
          <w:szCs w:val="21"/>
          <w:lang w:val="en-US"/>
        </w:rPr>
      </w:pPr>
      <w:r w:rsidRPr="00F2234B">
        <w:rPr>
          <w:rFonts w:ascii="Times New Roman" w:eastAsia="Calibri" w:hAnsi="Times New Roman" w:cs="Times New Roman"/>
          <w:i/>
          <w:sz w:val="21"/>
          <w:szCs w:val="21"/>
        </w:rPr>
        <w:t>е</w:t>
      </w:r>
      <w:r w:rsidRPr="00F2234B">
        <w:rPr>
          <w:rFonts w:ascii="Times New Roman" w:eastAsia="Calibri" w:hAnsi="Times New Roman" w:cs="Times New Roman"/>
          <w:i/>
          <w:sz w:val="21"/>
          <w:szCs w:val="21"/>
          <w:lang w:val="en-US"/>
        </w:rPr>
        <w:t>-mail: YVKomar</w:t>
      </w:r>
      <w:r w:rsidRPr="00F2234B">
        <w:rPr>
          <w:rFonts w:ascii="Times New Roman" w:eastAsia="DengXian Light" w:hAnsi="Times New Roman" w:cs="Times New Roman"/>
          <w:i/>
          <w:color w:val="0563C1"/>
          <w:sz w:val="21"/>
          <w:szCs w:val="21"/>
          <w:u w:val="single"/>
          <w:lang w:val="en-US"/>
        </w:rPr>
        <w:t>@yandex.ru</w:t>
      </w:r>
    </w:p>
    <w:p w14:paraId="475BB26F" w14:textId="77777777" w:rsidR="00F2234B" w:rsidRPr="00F2234B" w:rsidRDefault="00F2234B" w:rsidP="00F2234B">
      <w:pPr>
        <w:spacing w:after="0" w:line="240" w:lineRule="auto"/>
        <w:jc w:val="center"/>
        <w:rPr>
          <w:rFonts w:ascii="Times New Roman" w:eastAsia="Calibri" w:hAnsi="Times New Roman" w:cs="Times New Roman"/>
          <w:b/>
          <w:sz w:val="21"/>
          <w:szCs w:val="21"/>
          <w:lang w:val="en-US"/>
        </w:rPr>
      </w:pPr>
    </w:p>
    <w:p w14:paraId="23D92531" w14:textId="77777777" w:rsidR="00F2234B" w:rsidRPr="00F2234B" w:rsidRDefault="00F2234B" w:rsidP="00F2234B">
      <w:pPr>
        <w:spacing w:after="0" w:line="240" w:lineRule="auto"/>
        <w:jc w:val="center"/>
        <w:rPr>
          <w:rFonts w:ascii="Times New Roman" w:eastAsia="Calibri" w:hAnsi="Times New Roman" w:cs="Times New Roman"/>
          <w:b/>
          <w:sz w:val="21"/>
          <w:szCs w:val="21"/>
          <w:lang w:val="en-US"/>
        </w:rPr>
      </w:pPr>
      <w:r w:rsidRPr="00F2234B">
        <w:rPr>
          <w:rFonts w:ascii="Times New Roman" w:eastAsia="Calibri" w:hAnsi="Times New Roman" w:cs="Times New Roman"/>
          <w:b/>
          <w:sz w:val="21"/>
          <w:szCs w:val="21"/>
          <w:lang w:val="en-US"/>
        </w:rPr>
        <w:t>The Transformation of Work ethics: from service to Self-realization</w:t>
      </w:r>
    </w:p>
    <w:p w14:paraId="5C748C9C" w14:textId="77777777" w:rsidR="00F2234B" w:rsidRPr="00F2234B" w:rsidRDefault="00F2234B" w:rsidP="00FB6683">
      <w:pPr>
        <w:spacing w:after="0" w:line="240" w:lineRule="auto"/>
        <w:ind w:firstLine="709"/>
        <w:jc w:val="both"/>
        <w:rPr>
          <w:rFonts w:ascii="Times New Roman" w:eastAsia="Calibri" w:hAnsi="Times New Roman" w:cs="Times New Roman"/>
          <w:bCs/>
          <w:sz w:val="21"/>
          <w:szCs w:val="21"/>
          <w:lang w:val="en-US"/>
        </w:rPr>
      </w:pPr>
      <w:r w:rsidRPr="00F2234B">
        <w:rPr>
          <w:rFonts w:ascii="Times New Roman" w:eastAsia="Calibri" w:hAnsi="Times New Roman" w:cs="Times New Roman"/>
          <w:b/>
          <w:sz w:val="21"/>
          <w:szCs w:val="21"/>
          <w:lang w:val="en-US"/>
        </w:rPr>
        <w:t xml:space="preserve">Annotation: </w:t>
      </w:r>
      <w:r w:rsidRPr="00F2234B">
        <w:rPr>
          <w:rFonts w:ascii="Times New Roman" w:eastAsia="Calibri" w:hAnsi="Times New Roman" w:cs="Times New Roman"/>
          <w:bCs/>
          <w:sz w:val="21"/>
          <w:szCs w:val="21"/>
          <w:lang w:val="en-US"/>
        </w:rPr>
        <w:t>the article examines the transformation of work ethics in modern society. The shift from the paradigm of service to the paradigm of self-realization reflects a change in the value orientations of labor. The article presents empirical research data as well as a practical proposal to support personal realization in the professional sphere.</w:t>
      </w:r>
    </w:p>
    <w:p w14:paraId="7E432545" w14:textId="77777777" w:rsidR="00F2234B" w:rsidRPr="00F2234B" w:rsidRDefault="00F2234B" w:rsidP="00FB6683">
      <w:pPr>
        <w:spacing w:after="0" w:line="240" w:lineRule="auto"/>
        <w:ind w:firstLine="709"/>
        <w:jc w:val="both"/>
        <w:rPr>
          <w:rFonts w:ascii="Times New Roman" w:eastAsia="Calibri" w:hAnsi="Times New Roman" w:cs="Times New Roman"/>
          <w:sz w:val="21"/>
          <w:szCs w:val="21"/>
          <w:lang w:val="en-US"/>
        </w:rPr>
      </w:pPr>
      <w:r w:rsidRPr="00F2234B">
        <w:rPr>
          <w:rFonts w:ascii="Times New Roman" w:eastAsia="Calibri" w:hAnsi="Times New Roman" w:cs="Times New Roman"/>
          <w:b/>
          <w:sz w:val="21"/>
          <w:szCs w:val="21"/>
          <w:lang w:val="en-US"/>
        </w:rPr>
        <w:t xml:space="preserve">Keywords: </w:t>
      </w:r>
      <w:r w:rsidRPr="00F2234B">
        <w:rPr>
          <w:rFonts w:ascii="Times New Roman" w:eastAsia="Calibri" w:hAnsi="Times New Roman" w:cs="Times New Roman"/>
          <w:bCs/>
          <w:sz w:val="21"/>
          <w:szCs w:val="21"/>
          <w:lang w:val="en-US"/>
        </w:rPr>
        <w:t>work ethics, self-realization, values, motivation, labor, generation, transformation.</w:t>
      </w:r>
    </w:p>
    <w:p w14:paraId="70F9B7C8" w14:textId="77777777" w:rsidR="00F2234B" w:rsidRPr="00F2234B" w:rsidRDefault="00F2234B" w:rsidP="00FB6683">
      <w:pPr>
        <w:spacing w:after="0" w:line="240" w:lineRule="auto"/>
        <w:ind w:firstLine="709"/>
        <w:jc w:val="both"/>
        <w:rPr>
          <w:rFonts w:ascii="Times New Roman" w:eastAsia="Calibri" w:hAnsi="Times New Roman" w:cs="Times New Roman"/>
          <w:sz w:val="32"/>
          <w:szCs w:val="32"/>
          <w:lang w:val="en-US"/>
        </w:rPr>
      </w:pPr>
    </w:p>
    <w:p w14:paraId="370C6D44"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Труд во все времена был не только экономической необходимостью, но и отражением глубинных социальных, философских и культурных установок. В XX веке трудовая этика формировалась под влиянием религиозных традиций, идеологии коллективизма и представлений о социальном долге. Человек должен был трудиться «на благо», «во имя», «по обязанности» [2, с. 25]. Однако в XXI веке на первый план выходят иные ориентиры: труд </w:t>
      </w:r>
      <w:r w:rsidRPr="00F2234B">
        <w:rPr>
          <w:rFonts w:ascii="Times New Roman" w:eastAsia="Calibri" w:hAnsi="Times New Roman" w:cs="Times New Roman"/>
          <w:sz w:val="32"/>
          <w:szCs w:val="32"/>
        </w:rPr>
        <w:lastRenderedPageBreak/>
        <w:t xml:space="preserve">рассматривается как инструмент самореализации, поиска смысла, способ раскрытия внутреннего потенциала личности. </w:t>
      </w:r>
    </w:p>
    <w:p w14:paraId="72C89C0C"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Современные тенденции, включая гибкость форм занятости, распространение фриланса, развитие креативной экономики и акцент на психологическом благополучии, способствуют переформатированию ценностей [3, с. 87]. Актуальность темы заключается в необходимости переосмыслить организационные и управленческие практики, соотнося их с новой трудовой этикой.</w:t>
      </w:r>
    </w:p>
    <w:p w14:paraId="15176A1A"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Цель исследования: выявить причины и механизмы трансформации трудовой этики в современном обществе.</w:t>
      </w:r>
    </w:p>
    <w:p w14:paraId="3E4E3718"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Задачи: исследовать эволюцию представлений о труде; провести анализ мотивационных установок молодежи; предложить практическую модель поддержки самореализации в трудовой сфере.</w:t>
      </w:r>
    </w:p>
    <w:p w14:paraId="59A470C7"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Трудовая этика — это система моральных норм и ценностей, определяющих отношение человека к труду. Она эволюционировала от модели долга и служения к идее труда как самореализации и внутренней свободы [1, с. 64].</w:t>
      </w:r>
    </w:p>
    <w:p w14:paraId="14877310"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Традиционно труд воспринимался как обязанность: в христианстве — как путь очищения, в протестантской традиции — как форма служения Богу. М. Вебер в своей теории объяснял успех капитализма именно через протестантскую трудовую этику, основанную на дисциплине, рациональности и самоотречении [2, с. 41].</w:t>
      </w:r>
    </w:p>
    <w:p w14:paraId="2B55EE74"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В советской модели труда доминировала коллективистская установка: труд — это вклад в общее дело, форма служения обществу, Родине, идеалам социализма [2, с. 55]. Герои труда, ударники, лозунги «Кто не работает, тот не ест»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всё это формировало коллективистский тип трудовой мотивации. Основными мотивами были долг, ответственность, вклад в общее дело. Однако эта система предполагала отчуждение труда, поскольку человек часто выполнял функции, не соответствующие его интересам, способностям или потребностям.</w:t>
      </w:r>
    </w:p>
    <w:p w14:paraId="1AA9901D"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С распадом СССР и приходом рыночной экономики фокус сместился: от общественного долга — к индивидуальным смыслам. Современная социология труда указывает на сдвиг парадигмы: от нормативной этики труда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к этике смыслов и самовыражения. В работах А. Турена, М. Кастельса, И. Ильина, К. Роджерса подчёркивается значение труда как области, где личность стремится реализовать свои уникальные качества, цели и мечты.</w:t>
      </w:r>
    </w:p>
    <w:p w14:paraId="760A764F"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lastRenderedPageBreak/>
        <w:t>Согласно опросам Института социологии РАН (2022), молодёжь сегодня рассматривает труд в категориях счастья, удовольствия, свободы, роста, миссии [5, с. 94]. Формируется новая этическая установка: «если работа не развивает — она убивает». Люди больше не готовы «терпеть» и «выживать» ради абстрактной идеи — они ищут смысл.</w:t>
      </w:r>
    </w:p>
    <w:p w14:paraId="0A69A35F"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Большую роль в трансформации трудовой этики играют следующие факторы:</w:t>
      </w:r>
    </w:p>
    <w:p w14:paraId="11AD31EE" w14:textId="77777777" w:rsidR="00F2234B" w:rsidRPr="00F2234B" w:rsidRDefault="00F2234B" w:rsidP="00AD58CD">
      <w:pPr>
        <w:numPr>
          <w:ilvl w:val="0"/>
          <w:numId w:val="189"/>
        </w:numPr>
        <w:spacing w:after="0" w:line="240" w:lineRule="auto"/>
        <w:ind w:left="927"/>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Цифровизация и развитие удалённой работы — гибкость, свобода;</w:t>
      </w:r>
    </w:p>
    <w:p w14:paraId="3C6136B3" w14:textId="77777777" w:rsidR="00F2234B" w:rsidRPr="00F2234B" w:rsidRDefault="00F2234B" w:rsidP="00AD58CD">
      <w:pPr>
        <w:numPr>
          <w:ilvl w:val="0"/>
          <w:numId w:val="189"/>
        </w:numPr>
        <w:spacing w:after="0" w:line="240" w:lineRule="auto"/>
        <w:ind w:left="927"/>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Психологизация труда — эмоциональный интеллект, ментальное здоровье;</w:t>
      </w:r>
    </w:p>
    <w:p w14:paraId="787C568D" w14:textId="77777777" w:rsidR="00F2234B" w:rsidRPr="00F2234B" w:rsidRDefault="00F2234B" w:rsidP="00AD58CD">
      <w:pPr>
        <w:numPr>
          <w:ilvl w:val="0"/>
          <w:numId w:val="189"/>
        </w:numPr>
        <w:spacing w:after="0" w:line="240" w:lineRule="auto"/>
        <w:ind w:left="927"/>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Гуманизация бизнеса — фокус на ценности, корпоративную культуру, well-being;</w:t>
      </w:r>
    </w:p>
    <w:p w14:paraId="55116425" w14:textId="77777777" w:rsidR="00F2234B" w:rsidRPr="00F2234B" w:rsidRDefault="00F2234B" w:rsidP="00AD58CD">
      <w:pPr>
        <w:numPr>
          <w:ilvl w:val="0"/>
          <w:numId w:val="189"/>
        </w:numPr>
        <w:spacing w:after="0" w:line="240" w:lineRule="auto"/>
        <w:ind w:left="927"/>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Поколенческие различия — поколение Z и миллениалы не воспринимают труд как жертву, их больше интересует гармония, самоценность труда.</w:t>
      </w:r>
    </w:p>
    <w:p w14:paraId="173BC246"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Современная трудовая этика всё больше опирается на философию гуманистической психологии, особенно работы А. Маслоу, К. Роджерса, В. Франкла. Их ключевые идеи:</w:t>
      </w:r>
    </w:p>
    <w:p w14:paraId="6A98C14F" w14:textId="77777777" w:rsidR="00F2234B" w:rsidRPr="00F2234B" w:rsidRDefault="00F2234B" w:rsidP="00AD58CD">
      <w:pPr>
        <w:numPr>
          <w:ilvl w:val="0"/>
          <w:numId w:val="199"/>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Человек стремится к самоактуализации (Маслоу) [3, с. 131].</w:t>
      </w:r>
    </w:p>
    <w:p w14:paraId="013CD14A" w14:textId="77777777" w:rsidR="00F2234B" w:rsidRPr="00F2234B" w:rsidRDefault="00F2234B" w:rsidP="00AD58CD">
      <w:pPr>
        <w:numPr>
          <w:ilvl w:val="0"/>
          <w:numId w:val="199"/>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Индивид должен находить аутентичное выражение себя в жизни и труде (Роджерс) [3, с. 135].</w:t>
      </w:r>
    </w:p>
    <w:p w14:paraId="1535B257" w14:textId="77777777" w:rsidR="00F2234B" w:rsidRPr="00F2234B" w:rsidRDefault="00F2234B" w:rsidP="00AD58CD">
      <w:pPr>
        <w:numPr>
          <w:ilvl w:val="0"/>
          <w:numId w:val="199"/>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Даже в условиях давления человек может найти смысл (Франкл) [3, с. 137].</w:t>
      </w:r>
    </w:p>
    <w:p w14:paraId="48077EC2" w14:textId="77777777" w:rsidR="00F2234B" w:rsidRPr="00F2234B" w:rsidRDefault="00F2234B" w:rsidP="00AD58CD">
      <w:pPr>
        <w:numPr>
          <w:ilvl w:val="0"/>
          <w:numId w:val="199"/>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Труд становится не только экономическим актом, но и экзистенциальным выбором: быть собой, реализовывать потенциал, быть полезным.</w:t>
      </w:r>
    </w:p>
    <w:p w14:paraId="6296C4EF"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Важным элементом становится понятие «зоны гения»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область деятельности, в которой человек максимально эффективен, вдохновлён и приносит пользу. Это противоположность выгоранию и рутинизированному труду. Возникает новый тип работника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осознанный профессионал, для которого важно не только «что», но и «зачем». Он не выживает, а реализуется через дело.</w:t>
      </w:r>
    </w:p>
    <w:p w14:paraId="4D0DEEEC"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В рамках исследования был проведён онлайн-опрос, направленный на выявление актуальных мотивационных установок в отношении труда. В выборку вошли 120 респондентов в возрасте от 20 </w:t>
      </w:r>
      <w:r w:rsidRPr="00F2234B">
        <w:rPr>
          <w:rFonts w:ascii="Times New Roman" w:eastAsia="Calibri" w:hAnsi="Times New Roman" w:cs="Times New Roman"/>
          <w:sz w:val="32"/>
          <w:szCs w:val="32"/>
        </w:rPr>
        <w:lastRenderedPageBreak/>
        <w:t>до 35 лет, представляющих категорию студентов, молодых специалистов и выпускников.</w:t>
      </w:r>
    </w:p>
    <w:p w14:paraId="2A93B55E"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Анализ результатов показал, что 72% респондентов на первое место ставят возможность самореализации и личностного роста. Свобода в организации труда, гибкость графика и автономия отмечены как важные условия для 64% участников. 60% опрошенных указывают на значимость внутреннего интереса и смысла в профессиональной деятельности.</w:t>
      </w:r>
    </w:p>
    <w:p w14:paraId="7FA1A49F"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Примечательно, что только 19% респондентов выбрали стабильность и гарантированный доход в качестве приоритетных характеристик труда. Эти данные свидетельствуют о значительном сдвиге в ценностных ориентирах, где приоритет отдается индивидуальному развитию и соответствию труда личным убеждениям.</w:t>
      </w:r>
    </w:p>
    <w:p w14:paraId="773560EB"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Анализ открытых ответов подтвердил высокую значимость субъективной удовлетворённости, возможности учёта интересов и стремления к балансу между профессиональной и личной сферой. Таким образом, результаты эмпирического этапа исследования подтверждают выдвинутую гипотезу о трансформации трудовой этики и возрастании роли самореализации как доминирующего мотивационного фактора.</w:t>
      </w:r>
    </w:p>
    <w:p w14:paraId="55D40CA2"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 учётом выявленных в ходе исследования тенденций и доминирующей установки на самореализацию в профессиональной сфере, предлагается разработка цифровой платформы под условным названием «Профиль Самореализации». Её основная цель — поддержка индивидов в поиске и реализации личностно значимого трудового пути, соответствующего их ценностным ориентирам, интересам и профессиональному потенциалу.</w:t>
      </w:r>
    </w:p>
    <w:p w14:paraId="42F58708"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Целевая аудитория</w:t>
      </w:r>
    </w:p>
    <w:p w14:paraId="604A1220" w14:textId="77777777" w:rsidR="00F2234B" w:rsidRPr="00F2234B" w:rsidRDefault="00F2234B" w:rsidP="00AD58CD">
      <w:pPr>
        <w:numPr>
          <w:ilvl w:val="0"/>
          <w:numId w:val="190"/>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Студенты и выпускники вузов, находящиеся на этапе построения профессиональной траектории;</w:t>
      </w:r>
    </w:p>
    <w:p w14:paraId="14A635C3" w14:textId="77777777" w:rsidR="00F2234B" w:rsidRPr="00F2234B" w:rsidRDefault="00F2234B" w:rsidP="00AD58CD">
      <w:pPr>
        <w:numPr>
          <w:ilvl w:val="0"/>
          <w:numId w:val="190"/>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Молодые специалисты, переживающие фазу профессионального переосмысления;</w:t>
      </w:r>
    </w:p>
    <w:p w14:paraId="47692F0A" w14:textId="77777777" w:rsidR="00F2234B" w:rsidRPr="00F2234B" w:rsidRDefault="00F2234B" w:rsidP="00AD58CD">
      <w:pPr>
        <w:numPr>
          <w:ilvl w:val="0"/>
          <w:numId w:val="190"/>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Люди, меняющие сферу деятельности или испытывающие признаки профессионального выгорания.</w:t>
      </w:r>
    </w:p>
    <w:p w14:paraId="293E6B20"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Основные функции платформы</w:t>
      </w:r>
    </w:p>
    <w:p w14:paraId="5AA071F5" w14:textId="77777777" w:rsidR="00F2234B" w:rsidRPr="00F2234B" w:rsidRDefault="00F2234B" w:rsidP="00AD58CD">
      <w:pPr>
        <w:numPr>
          <w:ilvl w:val="0"/>
          <w:numId w:val="192"/>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Диагностика ценностей и мотивации</w:t>
      </w:r>
    </w:p>
    <w:p w14:paraId="58409AD8" w14:textId="77777777" w:rsidR="00F2234B" w:rsidRPr="00F2234B" w:rsidRDefault="00F2234B" w:rsidP="00AD58CD">
      <w:pPr>
        <w:numPr>
          <w:ilvl w:val="0"/>
          <w:numId w:val="191"/>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lastRenderedPageBreak/>
        <w:t>Психологические тесты и опросники, определяющие ключевые жизненные установки, предпочтения в стиле работы, тип мышления и мотивации;</w:t>
      </w:r>
    </w:p>
    <w:p w14:paraId="41813E50" w14:textId="77777777" w:rsidR="00F2234B" w:rsidRPr="00F2234B" w:rsidRDefault="00F2234B" w:rsidP="00AD58CD">
      <w:pPr>
        <w:numPr>
          <w:ilvl w:val="0"/>
          <w:numId w:val="191"/>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Визуальные отчёты, позволяющие участнику осознать, какие виды деятельности соответствуют его внутренним установкам.</w:t>
      </w:r>
    </w:p>
    <w:p w14:paraId="164067D8" w14:textId="77777777" w:rsidR="00F2234B" w:rsidRPr="00F2234B" w:rsidRDefault="00F2234B" w:rsidP="00AD58CD">
      <w:pPr>
        <w:numPr>
          <w:ilvl w:val="0"/>
          <w:numId w:val="192"/>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Индивидуальная траектория развития</w:t>
      </w:r>
    </w:p>
    <w:p w14:paraId="3FDC88B5" w14:textId="77777777" w:rsidR="00F2234B" w:rsidRPr="00F2234B" w:rsidRDefault="00F2234B" w:rsidP="00AD58CD">
      <w:pPr>
        <w:numPr>
          <w:ilvl w:val="0"/>
          <w:numId w:val="193"/>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Алгоритм подбирает профессиональные и образовательные направления, в которых участник наиболее вероятно сможет реализовать себя;</w:t>
      </w:r>
    </w:p>
    <w:p w14:paraId="0A756D49" w14:textId="77777777" w:rsidR="00F2234B" w:rsidRPr="00F2234B" w:rsidRDefault="00F2234B" w:rsidP="00AD58CD">
      <w:pPr>
        <w:numPr>
          <w:ilvl w:val="0"/>
          <w:numId w:val="193"/>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Включение модулей карьерного планирования, трекинга достижений и целей (цифровой дневник самореализации).</w:t>
      </w:r>
    </w:p>
    <w:p w14:paraId="55EE41B7" w14:textId="77777777" w:rsidR="00F2234B" w:rsidRPr="00F2234B" w:rsidRDefault="00F2234B" w:rsidP="00AD58CD">
      <w:pPr>
        <w:numPr>
          <w:ilvl w:val="0"/>
          <w:numId w:val="192"/>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Менторская поддержка</w:t>
      </w:r>
    </w:p>
    <w:p w14:paraId="305BEC2A" w14:textId="77777777" w:rsidR="00F2234B" w:rsidRPr="00F2234B" w:rsidRDefault="00F2234B" w:rsidP="00AD58CD">
      <w:pPr>
        <w:numPr>
          <w:ilvl w:val="0"/>
          <w:numId w:val="194"/>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Доступ к базе опытных специалистов и менторов, которые сопровождают участника на ключевых этапах;</w:t>
      </w:r>
    </w:p>
    <w:p w14:paraId="517FC333" w14:textId="77777777" w:rsidR="00F2234B" w:rsidRPr="00F2234B" w:rsidRDefault="00F2234B" w:rsidP="00AD58CD">
      <w:pPr>
        <w:numPr>
          <w:ilvl w:val="0"/>
          <w:numId w:val="194"/>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Возможность задавать вопросы, получать рекомендации и участвовать в онлайн-встречах.</w:t>
      </w:r>
    </w:p>
    <w:p w14:paraId="2D70615B" w14:textId="77777777" w:rsidR="00F2234B" w:rsidRPr="00F2234B" w:rsidRDefault="00F2234B" w:rsidP="00AD58CD">
      <w:pPr>
        <w:numPr>
          <w:ilvl w:val="0"/>
          <w:numId w:val="192"/>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Комьюнити-платформа</w:t>
      </w:r>
    </w:p>
    <w:p w14:paraId="4B53B421" w14:textId="77777777" w:rsidR="00F2234B" w:rsidRPr="00F2234B" w:rsidRDefault="00F2234B" w:rsidP="00AD58CD">
      <w:pPr>
        <w:numPr>
          <w:ilvl w:val="0"/>
          <w:numId w:val="195"/>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Сообщество пользователей с возможностью обмена опытом, создания совместных проектов, получения обратной связи;</w:t>
      </w:r>
    </w:p>
    <w:p w14:paraId="6532282F" w14:textId="77777777" w:rsidR="00F2234B" w:rsidRPr="00F2234B" w:rsidRDefault="00F2234B" w:rsidP="00AD58CD">
      <w:pPr>
        <w:numPr>
          <w:ilvl w:val="0"/>
          <w:numId w:val="195"/>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Форумы, групповые треки, тематические сессии по развитию soft-skills и эмоционального интеллекта.</w:t>
      </w:r>
    </w:p>
    <w:p w14:paraId="503C76E1" w14:textId="77777777" w:rsidR="00F2234B" w:rsidRPr="00F2234B" w:rsidRDefault="00F2234B" w:rsidP="00AD58CD">
      <w:pPr>
        <w:numPr>
          <w:ilvl w:val="0"/>
          <w:numId w:val="192"/>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Цифровое портфолио и обратная связь</w:t>
      </w:r>
    </w:p>
    <w:p w14:paraId="3AA96D7B" w14:textId="77777777" w:rsidR="00F2234B" w:rsidRPr="00F2234B" w:rsidRDefault="00F2234B" w:rsidP="00AD58CD">
      <w:pPr>
        <w:numPr>
          <w:ilvl w:val="0"/>
          <w:numId w:val="196"/>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Возможность собирать результаты прохождения треков, курсов, выполненных проектов;</w:t>
      </w:r>
    </w:p>
    <w:p w14:paraId="10D9D610" w14:textId="77777777" w:rsidR="00F2234B" w:rsidRPr="00F2234B" w:rsidRDefault="00F2234B" w:rsidP="00AD58CD">
      <w:pPr>
        <w:numPr>
          <w:ilvl w:val="0"/>
          <w:numId w:val="196"/>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Инструмент оценки личного прогресса и коррекции траектории на основе обратной связи от платформы и менторов.</w:t>
      </w:r>
    </w:p>
    <w:p w14:paraId="0FF5D724"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Предполагаемый эффект</w:t>
      </w:r>
    </w:p>
    <w:p w14:paraId="654B43D0"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Интеграция данной платформы в образовательные и корпоративные системы способна обеспечить:</w:t>
      </w:r>
    </w:p>
    <w:p w14:paraId="13756432" w14:textId="77777777" w:rsidR="00F2234B" w:rsidRPr="00F2234B" w:rsidRDefault="00F2234B" w:rsidP="00AD58CD">
      <w:pPr>
        <w:numPr>
          <w:ilvl w:val="0"/>
          <w:numId w:val="197"/>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Повышение осознанности выбора профессии и места работы;</w:t>
      </w:r>
    </w:p>
    <w:p w14:paraId="19919FA5" w14:textId="77777777" w:rsidR="00F2234B" w:rsidRPr="00F2234B" w:rsidRDefault="00F2234B" w:rsidP="00AD58CD">
      <w:pPr>
        <w:numPr>
          <w:ilvl w:val="0"/>
          <w:numId w:val="197"/>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Рост удовлетворенности профессиональной деятельностью;</w:t>
      </w:r>
    </w:p>
    <w:p w14:paraId="02A62961" w14:textId="77777777" w:rsidR="00F2234B" w:rsidRPr="00F2234B" w:rsidRDefault="00F2234B" w:rsidP="00AD58CD">
      <w:pPr>
        <w:numPr>
          <w:ilvl w:val="0"/>
          <w:numId w:val="197"/>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Снижение уровня профессионального выгорания;</w:t>
      </w:r>
    </w:p>
    <w:p w14:paraId="3B8E16B3" w14:textId="77777777" w:rsidR="00F2234B" w:rsidRPr="00F2234B" w:rsidRDefault="00F2234B" w:rsidP="00AD58CD">
      <w:pPr>
        <w:numPr>
          <w:ilvl w:val="0"/>
          <w:numId w:val="197"/>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Повышение мотивации к обучению и развитию;</w:t>
      </w:r>
    </w:p>
    <w:p w14:paraId="5509AE2A" w14:textId="77777777" w:rsidR="00F2234B" w:rsidRPr="00F2234B" w:rsidRDefault="00F2234B" w:rsidP="00AD58CD">
      <w:pPr>
        <w:numPr>
          <w:ilvl w:val="0"/>
          <w:numId w:val="197"/>
        </w:numPr>
        <w:spacing w:after="0" w:line="240" w:lineRule="auto"/>
        <w:contextualSpacing/>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Формирование более устойчивых, продуктивных и мотивированных команд.</w:t>
      </w:r>
    </w:p>
    <w:p w14:paraId="6F6B69A1"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Научная и практическая значимость</w:t>
      </w:r>
    </w:p>
    <w:p w14:paraId="06C046AB"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Проект платформы соответствует текущим трендам в области цифровизации HR и образования, отвечает требованиям soft skills, </w:t>
      </w:r>
      <w:r w:rsidRPr="00F2234B">
        <w:rPr>
          <w:rFonts w:ascii="Times New Roman" w:eastAsia="Calibri" w:hAnsi="Times New Roman" w:cs="Times New Roman"/>
          <w:sz w:val="32"/>
          <w:szCs w:val="32"/>
        </w:rPr>
        <w:lastRenderedPageBreak/>
        <w:t>ориентированных моделей обучения (ESG, UNESCO, World Economic Forum), а также отражает этический запрос нового поколения на субъектность, ценность труда и личностный смысл.</w:t>
      </w:r>
    </w:p>
    <w:p w14:paraId="1963C74B"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Таким образом, реализация подобной платформы может стать эффективным инструментом институционального ответа на трансформацию трудовой этики и основой для формирования нового социального договора между работником и обществом.</w:t>
      </w:r>
    </w:p>
    <w:p w14:paraId="23E1526D"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Анализ теоретических источников и результаты эмпирического исследования позволяют сделать вывод о качественном изменении трудовой этики в современном обществе. Основной вектор трансформации связан с переходом от традиционных моделей, основанных на служении, подчинении и стабильности, к модели, ориентированной на самореализацию, смысл и личностный рост.</w:t>
      </w:r>
    </w:p>
    <w:p w14:paraId="1623F2B2"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r w:rsidRPr="00F2234B">
        <w:rPr>
          <w:rFonts w:ascii="Times New Roman" w:eastAsia="Calibri" w:hAnsi="Times New Roman" w:cs="Times New Roman"/>
          <w:sz w:val="32"/>
          <w:szCs w:val="32"/>
        </w:rPr>
        <w:t xml:space="preserve">Современные работники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особенно представители молодого поколения </w:t>
      </w:r>
      <w:r w:rsidRPr="00F2234B">
        <w:rPr>
          <w:rFonts w:ascii="Times New Roman" w:eastAsia="Calibri" w:hAnsi="Times New Roman" w:cs="Times New Roman"/>
          <w:sz w:val="32"/>
          <w:szCs w:val="32"/>
        </w:rPr>
        <w:sym w:font="Symbol" w:char="F02D"/>
      </w:r>
      <w:r w:rsidRPr="00F2234B">
        <w:rPr>
          <w:rFonts w:ascii="Times New Roman" w:eastAsia="Calibri" w:hAnsi="Times New Roman" w:cs="Times New Roman"/>
          <w:sz w:val="32"/>
          <w:szCs w:val="32"/>
        </w:rPr>
        <w:t xml:space="preserve"> стремятся к труду, в котором отражаются их внутренние ценности, индивидуальные особенности и стремление к развитию. В этих условиях возрастает значимость создания образовательных, управленческих и цифровых инструментов, способствующих раскрытию профессионального потенциала и формированию устойчивой мотивации. Предложенная цифровая платформа представляет собой один из возможных практических механизмов реализации новой этики труда и может быть использована в различных институциональных контекстах.</w:t>
      </w:r>
    </w:p>
    <w:p w14:paraId="7C225AFF" w14:textId="77777777" w:rsidR="00F2234B" w:rsidRPr="00F2234B" w:rsidRDefault="00F2234B" w:rsidP="00F2234B">
      <w:pPr>
        <w:spacing w:after="0" w:line="240" w:lineRule="auto"/>
        <w:ind w:firstLine="709"/>
        <w:jc w:val="both"/>
        <w:rPr>
          <w:rFonts w:ascii="Times New Roman" w:eastAsia="Calibri" w:hAnsi="Times New Roman" w:cs="Times New Roman"/>
          <w:sz w:val="32"/>
          <w:szCs w:val="32"/>
        </w:rPr>
      </w:pPr>
    </w:p>
    <w:p w14:paraId="4D09DBA7" w14:textId="77777777" w:rsidR="00F2234B" w:rsidRPr="00F2234B" w:rsidRDefault="00F2234B" w:rsidP="00F2234B">
      <w:pPr>
        <w:spacing w:after="0" w:line="240" w:lineRule="auto"/>
        <w:jc w:val="center"/>
        <w:rPr>
          <w:rFonts w:ascii="Times New Roman" w:eastAsia="Calibri" w:hAnsi="Times New Roman" w:cs="Times New Roman"/>
          <w:b/>
          <w:bCs/>
          <w:sz w:val="21"/>
          <w:szCs w:val="21"/>
        </w:rPr>
      </w:pPr>
      <w:r w:rsidRPr="00F2234B">
        <w:rPr>
          <w:rFonts w:ascii="Times New Roman" w:eastAsia="Calibri" w:hAnsi="Times New Roman" w:cs="Times New Roman"/>
          <w:b/>
          <w:bCs/>
          <w:sz w:val="21"/>
          <w:szCs w:val="21"/>
        </w:rPr>
        <w:t>Литература:</w:t>
      </w:r>
    </w:p>
    <w:p w14:paraId="0E3C689E" w14:textId="77777777" w:rsidR="00F2234B" w:rsidRPr="00F2234B" w:rsidRDefault="00F2234B" w:rsidP="00AD58CD">
      <w:pPr>
        <w:numPr>
          <w:ilvl w:val="0"/>
          <w:numId w:val="198"/>
        </w:numPr>
        <w:spacing w:after="0" w:line="240" w:lineRule="auto"/>
        <w:ind w:left="426"/>
        <w:contextualSpacing/>
        <w:jc w:val="both"/>
        <w:rPr>
          <w:rFonts w:ascii="Times New Roman" w:eastAsia="Calibri" w:hAnsi="Times New Roman" w:cs="Times New Roman"/>
          <w:sz w:val="21"/>
          <w:szCs w:val="21"/>
        </w:rPr>
      </w:pPr>
      <w:r w:rsidRPr="00F2234B">
        <w:rPr>
          <w:rFonts w:ascii="Times New Roman" w:eastAsia="Calibri" w:hAnsi="Times New Roman" w:cs="Times New Roman"/>
          <w:sz w:val="21"/>
          <w:szCs w:val="21"/>
        </w:rPr>
        <w:t>Базаров Т.Ю. Психология и этика управления персоналом. М.: Юрайт, 2021.</w:t>
      </w:r>
    </w:p>
    <w:p w14:paraId="3E862BCC" w14:textId="77777777" w:rsidR="00F2234B" w:rsidRPr="00F2234B" w:rsidRDefault="00F2234B" w:rsidP="00AD58CD">
      <w:pPr>
        <w:numPr>
          <w:ilvl w:val="0"/>
          <w:numId w:val="198"/>
        </w:numPr>
        <w:spacing w:after="0" w:line="240" w:lineRule="auto"/>
        <w:ind w:left="426"/>
        <w:contextualSpacing/>
        <w:jc w:val="both"/>
        <w:rPr>
          <w:rFonts w:ascii="Times New Roman" w:eastAsia="Calibri" w:hAnsi="Times New Roman" w:cs="Times New Roman"/>
          <w:sz w:val="21"/>
          <w:szCs w:val="21"/>
        </w:rPr>
      </w:pPr>
      <w:r w:rsidRPr="00F2234B">
        <w:rPr>
          <w:rFonts w:ascii="Times New Roman" w:eastAsia="Calibri" w:hAnsi="Times New Roman" w:cs="Times New Roman"/>
          <w:sz w:val="21"/>
          <w:szCs w:val="21"/>
        </w:rPr>
        <w:t>Вебер М. Протестантская этика и дух капитализма. М.: Республика, 1990.</w:t>
      </w:r>
    </w:p>
    <w:p w14:paraId="3C4B0601" w14:textId="77777777" w:rsidR="00F2234B" w:rsidRPr="00F2234B" w:rsidRDefault="00F2234B" w:rsidP="00AD58CD">
      <w:pPr>
        <w:numPr>
          <w:ilvl w:val="0"/>
          <w:numId w:val="198"/>
        </w:numPr>
        <w:spacing w:after="0" w:line="240" w:lineRule="auto"/>
        <w:ind w:left="426"/>
        <w:contextualSpacing/>
        <w:jc w:val="both"/>
        <w:rPr>
          <w:rFonts w:ascii="Times New Roman" w:eastAsia="Calibri" w:hAnsi="Times New Roman" w:cs="Times New Roman"/>
          <w:sz w:val="21"/>
          <w:szCs w:val="21"/>
        </w:rPr>
      </w:pPr>
      <w:r w:rsidRPr="00F2234B">
        <w:rPr>
          <w:rFonts w:ascii="Times New Roman" w:eastAsia="Calibri" w:hAnsi="Times New Roman" w:cs="Times New Roman"/>
          <w:sz w:val="21"/>
          <w:szCs w:val="21"/>
        </w:rPr>
        <w:t>Зубок Ю.А., Чупров В.И. Молодёжь в структуре современного российского общества. М.: Наука, 2020.</w:t>
      </w:r>
    </w:p>
    <w:p w14:paraId="2532267D" w14:textId="77777777" w:rsidR="00F2234B" w:rsidRPr="00F2234B" w:rsidRDefault="00F2234B" w:rsidP="00AD58CD">
      <w:pPr>
        <w:numPr>
          <w:ilvl w:val="0"/>
          <w:numId w:val="198"/>
        </w:numPr>
        <w:spacing w:after="0" w:line="240" w:lineRule="auto"/>
        <w:ind w:left="426"/>
        <w:contextualSpacing/>
        <w:jc w:val="both"/>
        <w:rPr>
          <w:rFonts w:ascii="Times New Roman" w:eastAsia="Calibri" w:hAnsi="Times New Roman" w:cs="Times New Roman"/>
          <w:sz w:val="21"/>
          <w:szCs w:val="21"/>
        </w:rPr>
      </w:pPr>
      <w:r w:rsidRPr="00F2234B">
        <w:rPr>
          <w:rFonts w:ascii="Times New Roman" w:eastAsia="Calibri" w:hAnsi="Times New Roman" w:cs="Times New Roman"/>
          <w:sz w:val="21"/>
          <w:szCs w:val="21"/>
        </w:rPr>
        <w:t>Климова С.И. Эволюция трудовой мотивации: ценностный сдвиг // Социологические исследования.  2023. №3.</w:t>
      </w:r>
    </w:p>
    <w:p w14:paraId="0FFB3FE3" w14:textId="77777777" w:rsidR="00F2234B" w:rsidRPr="00F2234B" w:rsidRDefault="00F2234B" w:rsidP="00AD58CD">
      <w:pPr>
        <w:numPr>
          <w:ilvl w:val="0"/>
          <w:numId w:val="198"/>
        </w:numPr>
        <w:spacing w:after="0" w:line="240" w:lineRule="auto"/>
        <w:ind w:left="426"/>
        <w:contextualSpacing/>
        <w:jc w:val="both"/>
        <w:rPr>
          <w:rFonts w:ascii="Times New Roman" w:eastAsia="Calibri" w:hAnsi="Times New Roman" w:cs="Times New Roman"/>
          <w:sz w:val="21"/>
          <w:szCs w:val="21"/>
        </w:rPr>
      </w:pPr>
      <w:r w:rsidRPr="00F2234B">
        <w:rPr>
          <w:rFonts w:ascii="Times New Roman" w:eastAsia="Calibri" w:hAnsi="Times New Roman" w:cs="Times New Roman"/>
          <w:sz w:val="21"/>
          <w:szCs w:val="21"/>
        </w:rPr>
        <w:t>Тихонова Наталья Евгеньевна Жизненный успех: что он означает для россиян? // ВТЭ. 2025. №1. URL: https://cyberleninka.ru/article/n/zhiznennyy-uspeh-chto-on-oznachaet-dlya-rossiyan (дата обращения: 19.05.2025).</w:t>
      </w:r>
    </w:p>
    <w:p w14:paraId="70BDCC98" w14:textId="77777777" w:rsidR="00F2234B" w:rsidRDefault="00F2234B" w:rsidP="00E879E7">
      <w:pPr>
        <w:spacing w:after="200" w:line="276" w:lineRule="auto"/>
        <w:rPr>
          <w:rFonts w:ascii="Calibri" w:eastAsia="Times New Roman" w:hAnsi="Calibri" w:cs="Times New Roman"/>
        </w:rPr>
      </w:pPr>
    </w:p>
    <w:p w14:paraId="6844D69A" w14:textId="77777777" w:rsidR="00EB7990" w:rsidRPr="00EB7990" w:rsidRDefault="00EB7990" w:rsidP="00EB7990">
      <w:pPr>
        <w:pBdr>
          <w:top w:val="nil"/>
          <w:left w:val="nil"/>
          <w:bottom w:val="nil"/>
          <w:right w:val="nil"/>
          <w:between w:val="nil"/>
          <w:bar w:val="nil"/>
        </w:pBdr>
        <w:spacing w:after="0" w:line="240" w:lineRule="auto"/>
        <w:ind w:firstLine="283"/>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УДК 314.746</w:t>
      </w:r>
    </w:p>
    <w:p w14:paraId="33E9ADF5"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t>Марусевич Ю.В.,</w:t>
      </w:r>
    </w:p>
    <w:p w14:paraId="26C36BF1"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студентка 1 курса </w:t>
      </w:r>
    </w:p>
    <w:p w14:paraId="758F3D5E" w14:textId="77777777" w:rsidR="005A2DA7" w:rsidRDefault="005A2DA7" w:rsidP="005A2DA7">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7C0FD27E"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г. Краснодар Россия </w:t>
      </w:r>
    </w:p>
    <w:p w14:paraId="060B2E61"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e</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mail</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hyperlink r:id="rId668" w:history="1">
        <w:r w:rsidRPr="00EB7990">
          <w:rPr>
            <w:rFonts w:ascii="Times New Roman" w:eastAsia="Arial Unicode MS" w:hAnsi="Times New Roman" w:cs="Times New Roman"/>
            <w:i/>
            <w:iCs/>
            <w:color w:val="0000FF"/>
            <w:sz w:val="21"/>
            <w:szCs w:val="21"/>
            <w:u w:val="single" w:color="0000FF"/>
            <w:bdr w:val="nil"/>
            <w:lang w:val="en-US" w:eastAsia="ru-RU"/>
            <w14:textOutline w14:w="12700" w14:cap="flat" w14:cmpd="sng" w14:algn="ctr">
              <w14:noFill/>
              <w14:prstDash w14:val="solid"/>
              <w14:miter w14:lim="400000"/>
            </w14:textOutline>
          </w:rPr>
          <w:t>yliamarusevitch</w:t>
        </w:r>
        <w:r w:rsidRPr="00EB7990">
          <w:rPr>
            <w:rFonts w:ascii="Times New Roman" w:eastAsia="Arial Unicode MS" w:hAnsi="Times New Roman" w:cs="Times New Roman"/>
            <w:i/>
            <w:iCs/>
            <w:color w:val="0000FF"/>
            <w:sz w:val="21"/>
            <w:szCs w:val="21"/>
            <w:u w:val="single" w:color="0000FF"/>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i/>
            <w:iCs/>
            <w:color w:val="0000FF"/>
            <w:sz w:val="21"/>
            <w:szCs w:val="21"/>
            <w:u w:val="single" w:color="0000FF"/>
            <w:bdr w:val="nil"/>
            <w:lang w:val="en-US" w:eastAsia="ru-RU"/>
            <w14:textOutline w14:w="12700" w14:cap="flat" w14:cmpd="sng" w14:algn="ctr">
              <w14:noFill/>
              <w14:prstDash w14:val="solid"/>
              <w14:miter w14:lim="400000"/>
            </w14:textOutline>
          </w:rPr>
          <w:t>yandex</w:t>
        </w:r>
        <w:r w:rsidRPr="00EB7990">
          <w:rPr>
            <w:rFonts w:ascii="Times New Roman" w:eastAsia="Arial Unicode MS" w:hAnsi="Times New Roman" w:cs="Times New Roman"/>
            <w:i/>
            <w:iCs/>
            <w:color w:val="0000FF"/>
            <w:sz w:val="21"/>
            <w:szCs w:val="21"/>
            <w:u w:val="single" w:color="0000FF"/>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i/>
            <w:iCs/>
            <w:color w:val="0000FF"/>
            <w:sz w:val="21"/>
            <w:szCs w:val="21"/>
            <w:u w:val="single" w:color="0000FF"/>
            <w:bdr w:val="nil"/>
            <w:lang w:val="en-US" w:eastAsia="ru-RU"/>
            <w14:textOutline w14:w="12700" w14:cap="flat" w14:cmpd="sng" w14:algn="ctr">
              <w14:noFill/>
              <w14:prstDash w14:val="solid"/>
              <w14:miter w14:lim="400000"/>
            </w14:textOutline>
          </w:rPr>
          <w:t>ru</w:t>
        </w:r>
      </w:hyperlink>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p>
    <w:p w14:paraId="2DD95F91" w14:textId="77777777" w:rsidR="005A2DA7" w:rsidRDefault="005A2DA7" w:rsidP="00EB7990">
      <w:pPr>
        <w:pBdr>
          <w:top w:val="nil"/>
          <w:left w:val="nil"/>
          <w:bottom w:val="nil"/>
          <w:right w:val="nil"/>
          <w:between w:val="nil"/>
          <w:bar w:val="nil"/>
        </w:pBdr>
        <w:spacing w:after="0" w:line="240" w:lineRule="auto"/>
        <w:ind w:firstLine="283"/>
        <w:jc w:val="right"/>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pPr>
    </w:p>
    <w:p w14:paraId="75FEE36D" w14:textId="10C34276"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t xml:space="preserve">Научный руководитель: </w:t>
      </w:r>
    </w:p>
    <w:p w14:paraId="4E67C289" w14:textId="66B7A8E8" w:rsidR="00EB7990" w:rsidRPr="00EB7990" w:rsidRDefault="00EB7990" w:rsidP="00EB79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right"/>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t xml:space="preserve">Бершадская О.В., </w:t>
      </w:r>
    </w:p>
    <w:p w14:paraId="7D9ED802" w14:textId="77777777" w:rsidR="00EB7990" w:rsidRPr="00EB7990" w:rsidRDefault="00EB7990" w:rsidP="00EB79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right"/>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Кандидат исторических наук, Доцент кафедры «Философия, история и право»</w:t>
      </w:r>
    </w:p>
    <w:p w14:paraId="7622BBDE" w14:textId="77777777" w:rsidR="005A2DA7" w:rsidRDefault="005A2DA7" w:rsidP="005A2DA7">
      <w:pPr>
        <w:keepNext/>
        <w:widowControl w:val="0"/>
        <w:spacing w:after="0" w:line="240" w:lineRule="auto"/>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ФГОБУ ВО «Финансовый университет при Правительстве Российской Федерации» Краснодарский филиал </w:t>
      </w:r>
    </w:p>
    <w:p w14:paraId="19241BA9"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г. Краснодар Россия </w:t>
      </w:r>
    </w:p>
    <w:p w14:paraId="1945CF47"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lastRenderedPageBreak/>
        <w:t>e</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mail</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OVBershadskaya</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fa</w:t>
      </w:r>
      <w:r w:rsidRPr="00EB7990">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ru</w:t>
      </w:r>
    </w:p>
    <w:p w14:paraId="262DA911"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p>
    <w:p w14:paraId="40BBB596" w14:textId="235A35EF" w:rsidR="00EB7990" w:rsidRPr="00EB7990" w:rsidRDefault="00EB7990" w:rsidP="00EB7990">
      <w:pPr>
        <w:pBdr>
          <w:top w:val="nil"/>
          <w:left w:val="nil"/>
          <w:bottom w:val="nil"/>
          <w:right w:val="nil"/>
          <w:between w:val="nil"/>
          <w:bar w:val="nil"/>
        </w:pBdr>
        <w:spacing w:after="0" w:line="240" w:lineRule="auto"/>
        <w:ind w:firstLine="283"/>
        <w:jc w:val="center"/>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Влияние миграции на экономическое развитие России</w:t>
      </w:r>
    </w:p>
    <w:p w14:paraId="7C320F1C" w14:textId="40D5C1A2" w:rsidR="00EB7990" w:rsidRPr="00EB7990" w:rsidRDefault="00EB7990" w:rsidP="00EB7990">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Аннотация:</w:t>
      </w:r>
      <w:r w:rsidRPr="00EB7990">
        <w:rPr>
          <w:rFonts w:ascii="Times New Roman" w:eastAsia="Arial Unicode MS" w:hAnsi="Times New Roman" w:cs="Arial Unicode MS"/>
          <w:color w:val="000000"/>
          <w:sz w:val="21"/>
          <w:szCs w:val="21"/>
          <w:u w:color="000000"/>
          <w:bdr w:val="nil"/>
          <w:lang w:eastAsia="ru-RU"/>
          <w14:textOutline w14:w="12700" w14:cap="flat" w14:cmpd="sng" w14:algn="ctr">
            <w14:noFill/>
            <w14:prstDash w14:val="solid"/>
            <w14:miter w14:lim="400000"/>
          </w14:textOutline>
        </w:rPr>
        <w:t xml:space="preserve"> В статье рассмотрены основные проблемы миграции в современной России, выявлены ключевые трудности, с которыми сталкиваются сами мигранты, общество и государство, а также определены возможные пути преодоления существующих барьеров и конфликтов. Были представлены данные о нынешней ситуации Миграционной политики, в результате которых выявлены основные пути их решения. </w:t>
      </w:r>
    </w:p>
    <w:p w14:paraId="277A9A49" w14:textId="77777777" w:rsidR="00EB7990" w:rsidRPr="00EB7990" w:rsidRDefault="00EB7990" w:rsidP="00EB7990">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 xml:space="preserve">Ключевые слова: </w:t>
      </w:r>
      <w:r w:rsidRPr="00EB7990">
        <w:rPr>
          <w:rFonts w:ascii="Times New Roman" w:eastAsia="Arial Unicode MS" w:hAnsi="Times New Roman" w:cs="Arial Unicode MS"/>
          <w:color w:val="000000"/>
          <w:sz w:val="21"/>
          <w:szCs w:val="21"/>
          <w:u w:color="000000"/>
          <w:bdr w:val="nil"/>
          <w:lang w:eastAsia="ru-RU"/>
          <w14:textOutline w14:w="12700" w14:cap="flat" w14:cmpd="sng" w14:algn="ctr">
            <w14:noFill/>
            <w14:prstDash w14:val="solid"/>
            <w14:miter w14:lim="400000"/>
          </w14:textOutline>
        </w:rPr>
        <w:t xml:space="preserve">миграционная политика, эмигранты, иммигранты. </w:t>
      </w:r>
    </w:p>
    <w:p w14:paraId="2CD9D206" w14:textId="77777777" w:rsidR="00E156C2" w:rsidRDefault="00E156C2" w:rsidP="00EB7990">
      <w:pPr>
        <w:pBdr>
          <w:top w:val="nil"/>
          <w:left w:val="nil"/>
          <w:bottom w:val="nil"/>
          <w:right w:val="nil"/>
          <w:between w:val="nil"/>
          <w:bar w:val="nil"/>
        </w:pBdr>
        <w:spacing w:after="0" w:line="240" w:lineRule="auto"/>
        <w:ind w:firstLine="283"/>
        <w:jc w:val="right"/>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pPr>
    </w:p>
    <w:p w14:paraId="257DB8C4" w14:textId="18FFEAA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Martusevich Yu.V.,</w:t>
      </w:r>
    </w:p>
    <w:p w14:paraId="6325ED4D" w14:textId="578DA642"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1st year student </w:t>
      </w:r>
    </w:p>
    <w:p w14:paraId="410D825B"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Financial University under the Government of the Russian Federation </w:t>
      </w:r>
    </w:p>
    <w:p w14:paraId="3E4EBFAA"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(Krasnodar branch)</w:t>
      </w:r>
    </w:p>
    <w:p w14:paraId="6E1BB818"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Krasnodar, Russia </w:t>
      </w:r>
    </w:p>
    <w:p w14:paraId="38725AAB"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e-mail: yliamarusevitch@yandex.ru </w:t>
      </w:r>
    </w:p>
    <w:p w14:paraId="2D9C5F00" w14:textId="77777777" w:rsidR="00E156C2" w:rsidRPr="00C30970" w:rsidRDefault="00E156C2" w:rsidP="00EB7990">
      <w:pPr>
        <w:pBdr>
          <w:top w:val="nil"/>
          <w:left w:val="nil"/>
          <w:bottom w:val="nil"/>
          <w:right w:val="nil"/>
          <w:between w:val="nil"/>
          <w:bar w:val="nil"/>
        </w:pBdr>
        <w:spacing w:after="0" w:line="240" w:lineRule="auto"/>
        <w:ind w:firstLine="283"/>
        <w:jc w:val="right"/>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pPr>
    </w:p>
    <w:p w14:paraId="160D25F8" w14:textId="3B5B035A"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 xml:space="preserve">Scientific supervisor: </w:t>
      </w:r>
    </w:p>
    <w:p w14:paraId="11765863"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Bershadskaya O.V.,</w:t>
      </w:r>
    </w:p>
    <w:p w14:paraId="042997C6"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Candidate of Historical Sciences, Associate Professor, Department of Philosophy, History and Law</w:t>
      </w:r>
    </w:p>
    <w:p w14:paraId="4AB0372F"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Financial University under the Government of the Russian Federation</w:t>
      </w:r>
    </w:p>
    <w:p w14:paraId="6541DF03"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(Krasnodar branch)</w:t>
      </w:r>
    </w:p>
    <w:p w14:paraId="2B15673C"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Krasnodar, Russia </w:t>
      </w:r>
    </w:p>
    <w:p w14:paraId="6F2626E9" w14:textId="77777777" w:rsidR="00EB7990" w:rsidRPr="00EB7990" w:rsidRDefault="00EB7990" w:rsidP="00EB7990">
      <w:pPr>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e-mail: OVBershadskaya@fa.ru</w:t>
      </w:r>
    </w:p>
    <w:p w14:paraId="25AFA8BD" w14:textId="77777777" w:rsidR="00EB7990" w:rsidRPr="00EB7990" w:rsidRDefault="00EB7990" w:rsidP="00EB7990">
      <w:pPr>
        <w:pBdr>
          <w:top w:val="nil"/>
          <w:left w:val="nil"/>
          <w:bottom w:val="nil"/>
          <w:right w:val="nil"/>
          <w:between w:val="nil"/>
          <w:bar w:val="nil"/>
        </w:pBdr>
        <w:spacing w:after="0" w:line="240" w:lineRule="auto"/>
        <w:ind w:firstLine="283"/>
        <w:jc w:val="both"/>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p>
    <w:p w14:paraId="5EE92A4F" w14:textId="77777777" w:rsidR="00EB7990" w:rsidRPr="00EB7990" w:rsidRDefault="00EB7990" w:rsidP="00EB7990">
      <w:pPr>
        <w:pBdr>
          <w:top w:val="nil"/>
          <w:left w:val="nil"/>
          <w:bottom w:val="nil"/>
          <w:right w:val="nil"/>
          <w:between w:val="nil"/>
          <w:bar w:val="nil"/>
        </w:pBdr>
        <w:spacing w:after="0" w:line="240" w:lineRule="auto"/>
        <w:ind w:firstLine="283"/>
        <w:jc w:val="center"/>
        <w:rPr>
          <w:rFonts w:ascii="Times New Roman" w:eastAsia="Times New Roman" w:hAnsi="Times New Roman" w:cs="Times New Roman"/>
          <w:b/>
          <w:bCs/>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 xml:space="preserve">The impact of migration on Russia's economic development. </w:t>
      </w:r>
    </w:p>
    <w:p w14:paraId="3208F5C3" w14:textId="77777777" w:rsidR="00EB7990" w:rsidRPr="00EB7990" w:rsidRDefault="00EB7990" w:rsidP="00EB7990">
      <w:pPr>
        <w:pBdr>
          <w:top w:val="nil"/>
          <w:left w:val="nil"/>
          <w:bottom w:val="nil"/>
          <w:right w:val="nil"/>
          <w:between w:val="nil"/>
          <w:bar w:val="nil"/>
        </w:pBdr>
        <w:spacing w:after="0" w:line="240" w:lineRule="auto"/>
        <w:ind w:firstLine="283"/>
        <w:jc w:val="both"/>
        <w:rPr>
          <w:rFonts w:ascii="Times New Roman" w:eastAsia="Times New Roman" w:hAnsi="Times New Roman" w:cs="Times New Roman"/>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 xml:space="preserve">Abstract: </w:t>
      </w:r>
      <w:r w:rsidRPr="00EB7990">
        <w:rPr>
          <w:rFonts w:ascii="Times New Roman" w:eastAsia="Arial Unicode MS" w:hAnsi="Times New Roman" w:cs="Arial Unicode MS"/>
          <w:color w:val="000000"/>
          <w:sz w:val="21"/>
          <w:szCs w:val="21"/>
          <w:u w:color="000000"/>
          <w:bdr w:val="nil"/>
          <w:lang w:val="en-US" w:eastAsia="ru-RU"/>
          <w14:textOutline w14:w="12700" w14:cap="flat" w14:cmpd="sng" w14:algn="ctr">
            <w14:noFill/>
            <w14:prstDash w14:val="solid"/>
            <w14:miter w14:lim="400000"/>
          </w14:textOutline>
        </w:rPr>
        <w:t xml:space="preserve">The article examines the main problems of migration in modern Russia, identifies the key difficulties faced by migrants themselves, society and the state, and identifies possible ways to overcome existing barriers and conflicts. Data on the current situation of Migration Policy were presented, as a result of which the main ways of their solution were identified. </w:t>
      </w:r>
    </w:p>
    <w:p w14:paraId="1CC9043F" w14:textId="77777777" w:rsidR="00EB7990" w:rsidRPr="00EB7990" w:rsidRDefault="00EB7990" w:rsidP="00EB7990">
      <w:pPr>
        <w:pBdr>
          <w:top w:val="nil"/>
          <w:left w:val="nil"/>
          <w:bottom w:val="nil"/>
          <w:right w:val="nil"/>
          <w:between w:val="nil"/>
          <w:bar w:val="nil"/>
        </w:pBdr>
        <w:spacing w:after="0" w:line="240" w:lineRule="auto"/>
        <w:ind w:firstLine="283"/>
        <w:jc w:val="both"/>
        <w:rPr>
          <w:rFonts w:ascii="Times New Roman" w:eastAsia="Times New Roman" w:hAnsi="Times New Roman" w:cs="Times New Roman"/>
          <w:color w:val="000000"/>
          <w:sz w:val="21"/>
          <w:szCs w:val="21"/>
          <w:u w:color="000000"/>
          <w:bdr w:val="nil"/>
          <w:lang w:val="en-US"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 xml:space="preserve">Keywords: </w:t>
      </w:r>
      <w:r w:rsidRPr="00EB7990">
        <w:rPr>
          <w:rFonts w:ascii="Times New Roman" w:eastAsia="Arial Unicode MS" w:hAnsi="Times New Roman" w:cs="Arial Unicode MS"/>
          <w:color w:val="000000"/>
          <w:sz w:val="21"/>
          <w:szCs w:val="21"/>
          <w:u w:color="000000"/>
          <w:bdr w:val="nil"/>
          <w:lang w:val="en-US" w:eastAsia="ru-RU"/>
          <w14:textOutline w14:w="12700" w14:cap="flat" w14:cmpd="sng" w14:algn="ctr">
            <w14:noFill/>
            <w14:prstDash w14:val="solid"/>
            <w14:miter w14:lim="400000"/>
          </w14:textOutline>
        </w:rPr>
        <w:t>migration policy, migrants, immigrants.</w:t>
      </w:r>
    </w:p>
    <w:p w14:paraId="66B4A686" w14:textId="77777777" w:rsidR="00EB7990" w:rsidRPr="00EB7990" w:rsidRDefault="00EB7990" w:rsidP="00EB7990">
      <w:pPr>
        <w:pBdr>
          <w:top w:val="nil"/>
          <w:left w:val="nil"/>
          <w:bottom w:val="nil"/>
          <w:right w:val="nil"/>
          <w:between w:val="nil"/>
          <w:bar w:val="nil"/>
        </w:pBdr>
        <w:spacing w:after="0" w:line="240" w:lineRule="auto"/>
        <w:ind w:firstLine="283"/>
        <w:rPr>
          <w:rFonts w:ascii="Helvetica Neue" w:eastAsia="Arial Unicode MS" w:hAnsi="Helvetica Neue" w:cs="Arial Unicode MS" w:hint="eastAsia"/>
          <w:color w:val="000000"/>
          <w:u w:color="000000"/>
          <w:bdr w:val="nil"/>
          <w:lang w:val="en-US" w:eastAsia="ru-RU"/>
          <w14:textOutline w14:w="12700" w14:cap="flat" w14:cmpd="sng" w14:algn="ctr">
            <w14:noFill/>
            <w14:prstDash w14:val="solid"/>
            <w14:miter w14:lim="400000"/>
          </w14:textOutline>
        </w:rPr>
      </w:pPr>
    </w:p>
    <w:p w14:paraId="3B654104" w14:textId="2A719FDA"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Проблема миграции — одна из наиболее актуальных и многогранных современных социальных проблем, затрагивающая различные аспекты жизни общества. В последние десятилетия Россия стала одним из крупнейших центров притяжения трудовых мигрантов, принимая ежегодно миллионы людей из разных стран мира. С одной стороны, миграция приносит экономические выгоды, восполняет дефицит рабочей силы и способствует развитию инфраструктуры страны. Однако</w:t>
      </w:r>
      <w:r w:rsidR="00F62704">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 с другой стороны, она порождает целый ряд социально-экономических, культурных и правовых вопросов, решение которых требует комплексного подхода и учета множества факторов.</w:t>
      </w:r>
    </w:p>
    <w:p w14:paraId="367C043B"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Работа посвящена исследованию основных аспектов проблемы миграции в современной России, выявлению ключевых трудностей, с которыми сталкиваются сами мигранты, общество и государство, а также определению возможных путей преодоления существующих барьеров и конфликтов.</w:t>
      </w:r>
    </w:p>
    <w:p w14:paraId="4EBB13BD" w14:textId="7FD1B09E" w:rsidR="00EB7990" w:rsidRPr="00EB7990" w:rsidRDefault="00EB7990" w:rsidP="00E156C2">
      <w:pPr>
        <w:spacing w:after="0" w:line="240" w:lineRule="auto"/>
        <w:ind w:firstLine="709"/>
        <w:jc w:val="both"/>
        <w:rPr>
          <w:rFonts w:ascii="Times New Roman" w:eastAsia="Times New Roman" w:hAnsi="Times New Roman" w:cs="Times New Roman"/>
          <w:sz w:val="32"/>
          <w:szCs w:val="32"/>
          <w:lang w:eastAsia="ru-RU"/>
        </w:rPr>
      </w:pPr>
      <w:r w:rsidRPr="00EB7990">
        <w:rPr>
          <w:rFonts w:ascii="Times New Roman" w:eastAsia="Times New Roman" w:hAnsi="Times New Roman" w:cs="Times New Roman"/>
          <w:sz w:val="32"/>
          <w:szCs w:val="32"/>
          <w:lang w:eastAsia="ru-RU"/>
        </w:rPr>
        <w:t xml:space="preserve">Не сегодняшний день Россия находится в лидерах по количеству мигрантов. Согласно источникам министерства внутренних дел в системе миграционного учета на сентябрь 2024 года было </w:t>
      </w:r>
      <w:r w:rsidRPr="00EB7990">
        <w:rPr>
          <w:rFonts w:ascii="Times New Roman" w:eastAsia="Times New Roman" w:hAnsi="Times New Roman" w:cs="Times New Roman"/>
          <w:sz w:val="32"/>
          <w:szCs w:val="32"/>
          <w:lang w:eastAsia="ru-RU"/>
        </w:rPr>
        <w:lastRenderedPageBreak/>
        <w:t>зафиксировано свыше 6 миллионов иностранных граждан. Но точное количество иммигрантов сказать сложно, в некоторых источниках данные варьируются, по оценкам некоторых экспертов около 700.000 человек проживают нелегально не территории Российской Федерации. По данным Росстата чаще всего в Россию мигранты переезжают из Таджикистана - 31%, следом идут приезжие из Киргизии - 10%, на</w:t>
      </w:r>
      <w:r w:rsidR="00F62704">
        <w:rPr>
          <w:rFonts w:ascii="Times New Roman" w:eastAsia="Times New Roman" w:hAnsi="Times New Roman" w:cs="Times New Roman"/>
          <w:sz w:val="32"/>
          <w:szCs w:val="32"/>
          <w:lang w:eastAsia="ru-RU"/>
        </w:rPr>
        <w:t xml:space="preserve"> </w:t>
      </w:r>
      <w:r w:rsidRPr="00EB7990">
        <w:rPr>
          <w:rFonts w:ascii="Times New Roman" w:eastAsia="Times New Roman" w:hAnsi="Times New Roman" w:cs="Times New Roman"/>
          <w:sz w:val="32"/>
          <w:szCs w:val="32"/>
          <w:lang w:eastAsia="ru-RU"/>
        </w:rPr>
        <w:t>третьем месте из Украины - 9%. Россия превратилась в четвертую по величине миграционной диаспоре страну в мире, на первом месте находится США - около 50 миллионов мигрантов, не втором месте Германия - примерно 16 миллионов, далее идет Саудовская Аравия - 14 миллионов мигрантов. Страны, занимающие лидерские позиции по числу мигрантов, в основном являются странами иммиграции, государства, которые принимают людей, переезжающих из одной страны в другую с целью постоянного или временного проживания. В свою очередь для России характерны три роли в миграционной цепочке: страна, принимающая иммигрантов, страна, посылающая своих граждан зарубеж, а также страна транзитной миграции.</w:t>
      </w:r>
    </w:p>
    <w:p w14:paraId="79F11E5C"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По результатам 2024 года естественная убыль населения России составила 596,2 тыс. человек [1]. Мигранты могут стать одним из решений демографического и экономического кризиса в России. Важно ответить, что мигранты положительно влияют на экономику страны: предоставление рабочей силы, уплата налогов, формирование дополнительного спроса на товары и услуги. Существует расовое или этническое разделение труда, иммигранты часто занимают определенные ниши в профессиональной деятельности, где уровень заработной платы ниже, условия труда сложнее. Поэтому мигранты очень полезны с точки зрения генерации дополнительного дохода, заполнение неприглядных рабочих мест и принятие на себя наименее статусных работ. Россия не может существовать без иммигрантов. Теракт в Крокус Сити Холле 22 марта 2024 года стал трагическим событием, которое оказало значительное влияние на миграционную политику России. После теракта был проведен пересмотр подходов к миграционному контролю и ужесточены меры по выявлению и пресечению экстремистской деятельности в среде мигрантов. Внесены изменения в Федеральный закон «О внесении изменений в отдельные законодательные акты Российской Федерации в части создания реестра контролируемых лиц». Этот закон ограничивает права мигрантов, у которых просроченные документы или они отсутствуют. Мигранты из реестра не могут открывать банковские счета, менять </w:t>
      </w: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lastRenderedPageBreak/>
        <w:t xml:space="preserve">место жительства, получать кредиты, водить машину, вступать в браки, что создает значительные трудности для повседневной жизни. В случае нарушения условий мигранты могут быть депортированы или помещены в специальные учреждения МВД без судебного разбирательства. Решение о депортации принимает полиция, что вызывает опасения по поводу соблюдения прав человека [2]. Мигрантов в РФ становится все меньше, в начале сентября 2024 года в России было зарегистрировано 6 миллионов иностранных граждан, годом ранее этот показатель был 9 миллионов [3]. Существует несколько версий оттока мигрантов из России: Нестабильный курс рубля по отношению к доллару, Негативные новости, связанные с мигрантами, а также боязнь быть отправленными на специальную военную операцию. В условиях текущей демографической ситуации в России, когда страна сталкивается с серьезными вызовами в этой области, эксперты прогнозируют, что для поддержания численности населения ежегодно необходимо принимать в гражданство от 300 тысяч до 1 миллиона человек. В противном случае, к концу века численность населения России может сократиться до 70 миллионов. </w:t>
      </w:r>
    </w:p>
    <w:p w14:paraId="3226B46C"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Существует мнение о том, что преступления с участием иностранных граждан увеличились, однако это не соответствует действительности. По данным Министерства Внутренних дел Российской Федерации за минувший год иностранными гражданами и лицами без гражданства совершено на 0,9 % преступлений меньше, чем в 2023 году [4]. Это свидетельствует о положительной динамике и улучшении ситуации в данной сфере. </w:t>
      </w:r>
    </w:p>
    <w:p w14:paraId="11E45699"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Противники миграции утверждают, что мигранты забирают рабочие места у местных жителей, особенно в низкоквалифицированных секторах. Однако статистика показывает, что мигранты занимают вакансии, которые местные не хотят или не могут заполнить, чаще всего в сферах с тяжелыми условиями труда или низкой оплатой, таких как такси, курьерская доставка и торговля. Дефицит иммигрантов приводит к нехватке рабочей силы в этих профессиях.</w:t>
      </w:r>
    </w:p>
    <w:p w14:paraId="7FDAEA5E"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На 2024 год уровень безработицы в России опустился до рекордного показателя 2,4%. Такой уровень безработицы отрицательно влияет на экономику страны.  Определенные отрасли могут лишиться рабочих рук. Когда на рынке труда наблюдается нехватка рабочей силы, предложение повышается, работодателю приходится повышать стоимость труда. Любые средства, лишь бы </w:t>
      </w: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lastRenderedPageBreak/>
        <w:t xml:space="preserve">сотрудник появился и предприятие функционировало на полную мощность. С увеличением заработных плат возрастает себестоимость производства и цены. При низком уровне безработицы больше людей получают зарплату, которую могли бы увеличить при переходе на новое место работы. У людей больше средств, которые они готовы тратить — и это фактор роста цен.  В результате — рабочие места имеются у многих, что приводит к увеличению инфляции, что в условиях текущей экономической ситуации скорее негативный аспект, чем позитивный. В данный период инфляция нашего государства составляет около 10%, а стремится к 4%. При увеличении количества иммигрантов спрос на рынке труда вырастет, что не приведет к увеличению инфляции и что поможет найти новых специалистов на профессии, на которых население работать не готово. </w:t>
      </w:r>
    </w:p>
    <w:p w14:paraId="0C5E2099" w14:textId="640E2ACF"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Самое трудное для мигрантов </w:t>
      </w:r>
      <w:proofErr w:type="gramStart"/>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это</w:t>
      </w:r>
      <w:proofErr w:type="gramEnd"/>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 оформить все нужные документы. Один из самым важных документов - уведомление о миграционном учете по месту пребывания. Для работы требуется оформить патент или разрешение на работу. В России во всех регионах существует миграционные центры, которые работают в режиме одного окна, все документы можно оформить сразу. Через 15–20 дней приходит патент и можно устраиваться на работу. Существует другие способы: Разрешение на временное проживание (РВП) дает возможность в течение 3 лет работать в одном регионе, вид на жительство дает возможность жить и работать на всей России без патента и выдается бессрочно. Для получения трудового патента нужна регистрация по месту жительства, но уже на этой стадии у мигрантов из центральной Азии возникают проблемы. Из-за этого возникает коррупция. Абсолютное большинство мигрантов покупают миграционный учет по другому адресу, из-за этого возникают проблемы: их либо сняли с учебы, либо приходят домой с проверкой и оказывается, что они работают в другом месте, что в дальнейшем может привести к депортации. Коррупция приводит к увеличению числа нелегальных мигрантов, где крутятся огромные деньги. Проверки по месту жительства, особенно ужесточились после ситуации в Крокусе. Первые месяцы многие мигранты-таджики боялись выходить из дома. Если у кого-то находили проблемы в документах, то аннулировали все возможные документы. Мигрантов постоянно проверяли на наличие всех необходимых документов, проводились частые рейды.  Тяжелое условия труда также складываются на здоровье мигрантов. Найм без договора и </w:t>
      </w: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lastRenderedPageBreak/>
        <w:t>увольнениях без причины, задержке заработной платы, антисанитарии, ограниченном доступе к медицинской помощи — это основные проблемы с рынком труда в России. В многих компаниях часто практикуется работа по 12 часов, хотя по трудовому кодексу рабочий день составляет 8 часов. После пандемии коронавируса из-за экономических проблем без всякой компенсации мигрантов увольняли, и это привело к оттоку мигрантов из России. Помимо работы, у мигрантов возникают проблемы с медицинским обслуживанием. ПДМС, который оформляется при выдаче патента, максимально базовый, который не покрывает потребности человека.</w:t>
      </w:r>
    </w:p>
    <w:p w14:paraId="12153838"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Другая проблема для мигрантов в России — это отсутствие стимулов для интеграции. Малое количество курсов для изучения русского языка, ведь без знаний русского языка мигрант не сможет комфортно чувствовать себя в стране. Помимо этого, небольшое количество платформ, где мигранты могли бы взаимодействовать с гражданами страны помимо рабочих вопросов. Из-за огромных демографических проблем в России нужны оседлые мигранты, которые будут приезжать в страну с семьей и развиваться в ней, ведь мигранты с семьей намного ответственнее и могут стать хорошей рабочей силой для экономики страны.</w:t>
      </w:r>
    </w:p>
    <w:p w14:paraId="531A7D61"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Важно понимать, что для успешной интеграции детей мигрантов необходимо создать приветственные классы, где они смогут в течение полугода или года изучать русский язык. При этом они могли бы участвовать в занятиях по предметам, не требующим глубоких знаний языка, таких как физкультура или изобразительное искусство. Постепенно повышая уровень владения языком, дети смогут переходить на другие предметы и сокращать время посещения дополнительных занятий.</w:t>
      </w:r>
    </w:p>
    <w:p w14:paraId="3A48E58E"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К сожалению, правительство не проявляет интереса к политике интеграции иностранных граждан, так как это требует значительных затрат. Миграционная политика России кажется хаотичной и непоследовательной. Необходимо ввести четкий визовый режим, сделать процесс миграции прозрачным и понятным, а также разработать поддержку для тех иностранцев, кто хочет осесть в стране.</w:t>
      </w:r>
    </w:p>
    <w:p w14:paraId="199B40F8"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Каждый раз, когда принимаются новые законы относительно мигрантов, они зачастую не учитывают реальное количество мигрантов в регионах. Массовый поток обращений к миграционным органам ставит их под серьезное давление. Адаптация и интеграция </w:t>
      </w: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lastRenderedPageBreak/>
        <w:t>требуют внимания к культуре и потребностям как местного населения, так и мигрантов.</w:t>
      </w:r>
    </w:p>
    <w:p w14:paraId="74182F66"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В условиях растущей общественной обеспокоенности правительство должно наладить контроль над миграционной политикой. Понятная и справедливая миграционная политика в России необходима для создания условий для легальной работы и адаптации мигрантов. Важно учитывать потребности всех сторон и заимствовать успешные практики из других стран, таких как балльная система в Европе или политика открытых дверей в Германии. Это позволит создать более гармоничное общество, где каждый сможет найти свое место.</w:t>
      </w:r>
    </w:p>
    <w:p w14:paraId="5EDF5CEE"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Мигранты могут создавать конкуренцию для местных работников, особенно в секторах с низкой оплатой труда. Это может привести к снижению заработной платы и ухудшению условий труда для местных жителей. Однако стоит отметить, что мигранты также вносят значительный вклад в экономику, увеличивая производительность и заполняя дефицит рабочей силы.</w:t>
      </w:r>
    </w:p>
    <w:p w14:paraId="39FD007C"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Рост числа мигрантов может создавать нагрузку на местные социальные услуги, такие как здравоохранение и образование. Это может вызывать недовольство среди местного населения. Однако успешная интеграция мигрантов может привести к улучшению социальной структуры и экономическому развитию.</w:t>
      </w:r>
    </w:p>
    <w:p w14:paraId="3A086FB6"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Мигранты часто работают в секторах с тяжелыми условиями труда, таких как сельское хозяйство, строительство и услуги. Эти работы могут быть менее привлекательными для местных жителей, что подчеркивает важность миграции для обеспечения функционирования этих отраслей.</w:t>
      </w:r>
    </w:p>
    <w:p w14:paraId="70B26AB6"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Важно опираться на статистические данные, чтобы понять реальное влияние миграции на экономику и общество. Исследования показывают, что миграция может привести к экономическому росту, созданию новых рабочих мест и повышению уровня жизни для всех слоев населения.</w:t>
      </w:r>
    </w:p>
    <w:p w14:paraId="07B4C0E8" w14:textId="77777777" w:rsidR="00EB7990" w:rsidRPr="00EB7990" w:rsidRDefault="00EB7990" w:rsidP="00E156C2">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32"/>
          <w:szCs w:val="32"/>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color w:val="000000"/>
          <w:sz w:val="32"/>
          <w:szCs w:val="32"/>
          <w:u w:color="000000"/>
          <w:bdr w:val="nil"/>
          <w:lang w:eastAsia="ru-RU"/>
          <w14:textOutline w14:w="12700" w14:cap="flat" w14:cmpd="sng" w14:algn="ctr">
            <w14:noFill/>
            <w14:prstDash w14:val="solid"/>
            <w14:miter w14:lim="400000"/>
          </w14:textOutline>
        </w:rPr>
        <w:t xml:space="preserve">Таким образом, проанализировав все показатели, можно сделать вывод о важности развития миграционной политики в Российской Федерации. </w:t>
      </w:r>
    </w:p>
    <w:p w14:paraId="3C593044" w14:textId="77777777" w:rsidR="00EB7990" w:rsidRPr="00EB7990" w:rsidRDefault="00EB7990" w:rsidP="00BC42DE">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Литература:</w:t>
      </w:r>
    </w:p>
    <w:p w14:paraId="449D6C15" w14:textId="77777777" w:rsidR="00EB7990" w:rsidRPr="00EB7990" w:rsidRDefault="00132A69" w:rsidP="00AD58CD">
      <w:pPr>
        <w:numPr>
          <w:ilvl w:val="0"/>
          <w:numId w:val="177"/>
        </w:numPr>
        <w:pBdr>
          <w:top w:val="nil"/>
          <w:left w:val="nil"/>
          <w:bottom w:val="nil"/>
          <w:right w:val="nil"/>
          <w:between w:val="nil"/>
          <w:bar w:val="nil"/>
        </w:pBdr>
        <w:spacing w:after="0" w:line="240" w:lineRule="auto"/>
        <w:rPr>
          <w:rFonts w:ascii="Helvetica Neue" w:eastAsia="Arial Unicode MS" w:hAnsi="Helvetica Neue" w:cs="Arial Unicode MS" w:hint="eastAsia"/>
          <w:color w:val="000000"/>
          <w:sz w:val="21"/>
          <w:szCs w:val="21"/>
          <w:u w:color="000000"/>
          <w:bdr w:val="nil"/>
          <w:lang w:eastAsia="ru-RU"/>
          <w14:textOutline w14:w="12700" w14:cap="flat" w14:cmpd="sng" w14:algn="ctr">
            <w14:noFill/>
            <w14:prstDash w14:val="solid"/>
            <w14:miter w14:lim="400000"/>
          </w14:textOutline>
        </w:rPr>
      </w:pPr>
      <w:hyperlink r:id="rId669" w:history="1">
        <w:r w:rsidR="00EB7990" w:rsidRPr="00EB7990">
          <w:rPr>
            <w:rFonts w:ascii="Helvetica Neue" w:eastAsia="Arial Unicode MS" w:hAnsi="Helvetica Neue" w:cs="Arial Unicode MS"/>
            <w:color w:val="0000FF"/>
            <w:sz w:val="21"/>
            <w:szCs w:val="21"/>
            <w:u w:val="single" w:color="0000FF"/>
            <w:bdr w:val="nil"/>
            <w:lang w:eastAsia="ru-RU"/>
            <w14:textOutline w14:w="12700" w14:cap="flat" w14:cmpd="sng" w14:algn="ctr">
              <w14:noFill/>
              <w14:prstDash w14:val="solid"/>
              <w14:miter w14:lim="400000"/>
            </w14:textOutline>
          </w:rPr>
          <w:t>https://rosstat.gov.ru/?ref=genderguides.ru&amp;ysclid=mar3gbffrw66395626</w:t>
        </w:r>
      </w:hyperlink>
    </w:p>
    <w:p w14:paraId="66483120" w14:textId="77777777" w:rsidR="00EB7990" w:rsidRPr="00EB7990" w:rsidRDefault="00132A69" w:rsidP="00AD58CD">
      <w:pPr>
        <w:numPr>
          <w:ilvl w:val="0"/>
          <w:numId w:val="177"/>
        </w:numPr>
        <w:pBdr>
          <w:top w:val="nil"/>
          <w:left w:val="nil"/>
          <w:bottom w:val="nil"/>
          <w:right w:val="nil"/>
          <w:between w:val="nil"/>
          <w:bar w:val="nil"/>
        </w:pBdr>
        <w:spacing w:after="0" w:line="240" w:lineRule="auto"/>
        <w:rPr>
          <w:rFonts w:ascii="Helvetica Neue" w:eastAsia="Arial Unicode MS" w:hAnsi="Helvetica Neue" w:cs="Arial Unicode MS" w:hint="eastAsia"/>
          <w:color w:val="000000"/>
          <w:sz w:val="21"/>
          <w:szCs w:val="21"/>
          <w:u w:color="000000"/>
          <w:bdr w:val="nil"/>
          <w:lang w:eastAsia="ru-RU"/>
          <w14:textOutline w14:w="12700" w14:cap="flat" w14:cmpd="sng" w14:algn="ctr">
            <w14:noFill/>
            <w14:prstDash w14:val="solid"/>
            <w14:miter w14:lim="400000"/>
          </w14:textOutline>
        </w:rPr>
      </w:pPr>
      <w:hyperlink r:id="rId670" w:history="1">
        <w:r w:rsidR="00EB7990" w:rsidRPr="00EB7990">
          <w:rPr>
            <w:rFonts w:ascii="Times New Roman" w:eastAsia="Arial Unicode MS" w:hAnsi="Times New Roman" w:cs="Times New Roman"/>
            <w:color w:val="000000"/>
            <w:sz w:val="21"/>
            <w:szCs w:val="21"/>
            <w:u w:val="single" w:color="000000"/>
            <w:bdr w:val="nil"/>
            <w:lang w:val="de-DE" w:eastAsia="ru-RU"/>
            <w14:textOutline w14:w="12700" w14:cap="flat" w14:cmpd="sng" w14:algn="ctr">
              <w14:noFill/>
              <w14:prstDash w14:val="solid"/>
              <w14:miter w14:lim="400000"/>
            </w14:textOutline>
          </w:rPr>
          <w:t>https://www.consultant.ru/document/cons_doc_LAW_37868/1c720e98b3d69e67537743977f2c923d8c27d66a/?ysclid=m973oc58zm993217087</w:t>
        </w:r>
      </w:hyperlink>
    </w:p>
    <w:p w14:paraId="7A918E1C" w14:textId="77777777" w:rsidR="00EB7990" w:rsidRPr="00EB7990" w:rsidRDefault="00EB7990" w:rsidP="00AD58CD">
      <w:pPr>
        <w:numPr>
          <w:ilvl w:val="0"/>
          <w:numId w:val="177"/>
        </w:numPr>
        <w:pBdr>
          <w:top w:val="nil"/>
          <w:left w:val="nil"/>
          <w:bottom w:val="nil"/>
          <w:right w:val="nil"/>
          <w:between w:val="nil"/>
          <w:bar w:val="nil"/>
        </w:pBdr>
        <w:spacing w:after="0" w:line="240" w:lineRule="auto"/>
        <w:rPr>
          <w:rFonts w:ascii="Helvetica Neue" w:eastAsia="Arial Unicode MS" w:hAnsi="Helvetica Neue" w:cs="Arial Unicode MS" w:hint="eastAsia"/>
          <w:color w:val="000000"/>
          <w:sz w:val="21"/>
          <w:szCs w:val="21"/>
          <w:u w:color="000000"/>
          <w:bdr w:val="nil"/>
          <w:lang w:eastAsia="ru-RU"/>
          <w14:textOutline w14:w="12700" w14:cap="flat" w14:cmpd="sng" w14:algn="ctr">
            <w14:noFill/>
            <w14:prstDash w14:val="solid"/>
            <w14:miter w14:lim="400000"/>
          </w14:textOutline>
        </w:rPr>
      </w:pPr>
      <w:r w:rsidRPr="00EB7990">
        <w:rPr>
          <w:rFonts w:ascii="Helvetica Neue" w:eastAsia="Arial Unicode MS" w:hAnsi="Helvetica Neue" w:cs="Arial Unicode MS"/>
          <w:color w:val="000000"/>
          <w:sz w:val="21"/>
          <w:szCs w:val="21"/>
          <w:u w:color="000000"/>
          <w:bdr w:val="nil"/>
          <w:lang w:eastAsia="ru-RU"/>
          <w14:textOutline w14:w="12700" w14:cap="flat" w14:cmpd="sng" w14:algn="ctr">
            <w14:noFill/>
            <w14:prstDash w14:val="solid"/>
            <w14:miter w14:lim="400000"/>
          </w14:textOutline>
        </w:rPr>
        <w:t xml:space="preserve"> </w:t>
      </w:r>
      <w:hyperlink r:id="rId671" w:history="1">
        <w:r w:rsidRPr="00EB7990">
          <w:rPr>
            <w:rFonts w:ascii="Times New Roman" w:eastAsia="Arial Unicode MS" w:hAnsi="Times New Roman" w:cs="Times New Roman"/>
            <w:color w:val="000000"/>
            <w:sz w:val="21"/>
            <w:szCs w:val="21"/>
            <w:u w:val="single" w:color="000000"/>
            <w:bdr w:val="nil"/>
            <w:lang w:eastAsia="ru-RU"/>
            <w14:textOutline w14:w="12700" w14:cap="flat" w14:cmpd="sng" w14:algn="ctr">
              <w14:noFill/>
              <w14:prstDash w14:val="solid"/>
              <w14:miter w14:lim="400000"/>
            </w14:textOutline>
          </w:rPr>
          <w:t>https://e-cis.info/cooperation/3958/117931/?ysclid=m97birlhij686202537</w:t>
        </w:r>
      </w:hyperlink>
    </w:p>
    <w:p w14:paraId="3D05C12E" w14:textId="77777777" w:rsidR="00EB7990" w:rsidRPr="00EB7990" w:rsidRDefault="00EB7990" w:rsidP="00BC42DE">
      <w:pPr>
        <w:pBdr>
          <w:top w:val="nil"/>
          <w:left w:val="nil"/>
          <w:bottom w:val="nil"/>
          <w:right w:val="nil"/>
          <w:between w:val="nil"/>
          <w:bar w:val="nil"/>
        </w:pBdr>
        <w:spacing w:after="0" w:line="240" w:lineRule="auto"/>
        <w:rPr>
          <w:rFonts w:ascii="Helvetica Neue" w:eastAsia="Arial Unicode MS" w:hAnsi="Helvetica Neue" w:cs="Arial Unicode MS" w:hint="eastAsia"/>
          <w:color w:val="000000"/>
          <w:u w:color="000000"/>
          <w:bdr w:val="nil"/>
          <w:lang w:eastAsia="ru-RU"/>
          <w14:textOutline w14:w="12700" w14:cap="flat" w14:cmpd="sng" w14:algn="ctr">
            <w14:noFill/>
            <w14:prstDash w14:val="solid"/>
            <w14:miter w14:lim="400000"/>
          </w14:textOutline>
        </w:rPr>
      </w:pPr>
      <w:r w:rsidRPr="00EB7990">
        <w:rPr>
          <w:rFonts w:ascii="Helvetica Neue" w:eastAsia="Arial Unicode MS" w:hAnsi="Helvetica Neue" w:cs="Arial Unicode MS"/>
          <w:color w:val="000000"/>
          <w:sz w:val="21"/>
          <w:szCs w:val="21"/>
          <w:u w:color="000000"/>
          <w:bdr w:val="nil"/>
          <w:lang w:eastAsia="ru-RU"/>
          <w14:textOutline w14:w="12700" w14:cap="flat" w14:cmpd="sng" w14:algn="ctr">
            <w14:noFill/>
            <w14:prstDash w14:val="solid"/>
            <w14:miter w14:lim="400000"/>
          </w14:textOutline>
        </w:rPr>
        <w:t xml:space="preserve">4. </w:t>
      </w:r>
      <w:hyperlink r:id="rId672" w:history="1">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https</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xn</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b</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1</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aew</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xn</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p</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1</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ai</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reports</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w:t>
        </w:r>
        <w:r w:rsidRPr="00EB7990">
          <w:rPr>
            <w:rFonts w:ascii="Times New Roman" w:eastAsia="Arial Unicode MS" w:hAnsi="Times New Roman" w:cs="Times New Roman"/>
            <w:color w:val="000000"/>
            <w:sz w:val="21"/>
            <w:szCs w:val="21"/>
            <w:u w:val="single" w:color="000000"/>
            <w:bdr w:val="nil"/>
            <w:lang w:val="en-US" w:eastAsia="ru-RU"/>
            <w14:textOutline w14:w="12700" w14:cap="flat" w14:cmpd="sng" w14:algn="ctr">
              <w14:noFill/>
              <w14:prstDash w14:val="solid"/>
              <w14:miter w14:lim="400000"/>
            </w14:textOutline>
          </w:rPr>
          <w:t>item</w:t>
        </w:r>
        <w:r w:rsidRPr="00EB7990">
          <w:rPr>
            <w:rFonts w:ascii="Times New Roman" w:eastAsia="Arial Unicode MS" w:hAnsi="Times New Roman" w:cs="Arial Unicode MS"/>
            <w:color w:val="000000"/>
            <w:sz w:val="21"/>
            <w:szCs w:val="21"/>
            <w:u w:val="single" w:color="000000"/>
            <w:bdr w:val="nil"/>
            <w:lang w:eastAsia="ru-RU"/>
            <w14:textOutline w14:w="12700" w14:cap="flat" w14:cmpd="sng" w14:algn="ctr">
              <w14:noFill/>
              <w14:prstDash w14:val="solid"/>
              <w14:miter w14:lim="400000"/>
            </w14:textOutline>
          </w:rPr>
          <w:t>/60248328/</w:t>
        </w:r>
      </w:hyperlink>
    </w:p>
    <w:p w14:paraId="3E625C32" w14:textId="198C0BCF" w:rsidR="003367AB" w:rsidRPr="00EB7990" w:rsidRDefault="003367AB" w:rsidP="003367AB">
      <w:pPr>
        <w:pBdr>
          <w:top w:val="nil"/>
          <w:left w:val="nil"/>
          <w:bottom w:val="nil"/>
          <w:right w:val="nil"/>
          <w:between w:val="nil"/>
          <w:bar w:val="nil"/>
        </w:pBdr>
        <w:spacing w:after="0" w:line="240" w:lineRule="auto"/>
        <w:ind w:firstLine="283"/>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r w:rsidRPr="00EB7990">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lastRenderedPageBreak/>
        <w:t>УДК 3</w:t>
      </w:r>
      <w:r>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39.185</w:t>
      </w:r>
    </w:p>
    <w:p w14:paraId="7BF3431B" w14:textId="77777777" w:rsidR="003367AB" w:rsidRPr="003367AB" w:rsidRDefault="003367AB" w:rsidP="003367AB">
      <w:pPr>
        <w:spacing w:after="0" w:line="240" w:lineRule="auto"/>
        <w:contextualSpacing/>
        <w:rPr>
          <w:rFonts w:ascii="Times New Roman" w:eastAsiaTheme="minorHAnsi" w:hAnsi="Times New Roman" w:cs="Times New Roman"/>
          <w:b/>
          <w:sz w:val="21"/>
          <w:szCs w:val="21"/>
        </w:rPr>
      </w:pPr>
    </w:p>
    <w:p w14:paraId="1D3E540A" w14:textId="02FB40D8"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rPr>
      </w:pPr>
      <w:r w:rsidRPr="0001591D">
        <w:rPr>
          <w:rFonts w:ascii="Times New Roman" w:eastAsiaTheme="minorHAnsi" w:hAnsi="Times New Roman" w:cs="Times New Roman"/>
          <w:b/>
          <w:i/>
          <w:sz w:val="21"/>
          <w:szCs w:val="21"/>
        </w:rPr>
        <w:t>Налетова У.В.,</w:t>
      </w:r>
    </w:p>
    <w:p w14:paraId="7B2AC172"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студент 1 курса,</w:t>
      </w:r>
    </w:p>
    <w:p w14:paraId="324C2CFF"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F6712C5"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г. Краснодар, Россия</w:t>
      </w:r>
    </w:p>
    <w:p w14:paraId="2047EB22" w14:textId="77777777" w:rsidR="0001591D" w:rsidRDefault="0001591D" w:rsidP="0001591D">
      <w:pPr>
        <w:spacing w:after="0" w:line="240" w:lineRule="auto"/>
        <w:contextualSpacing/>
        <w:jc w:val="right"/>
        <w:rPr>
          <w:rFonts w:eastAsiaTheme="minorHAnsi"/>
        </w:rPr>
      </w:pPr>
      <w:r w:rsidRPr="0001591D">
        <w:rPr>
          <w:rFonts w:ascii="Times New Roman" w:eastAsiaTheme="minorHAnsi" w:hAnsi="Times New Roman" w:cs="Times New Roman"/>
          <w:i/>
          <w:sz w:val="21"/>
          <w:szCs w:val="21"/>
          <w:lang w:val="en-US"/>
        </w:rPr>
        <w:t>e</w:t>
      </w:r>
      <w:r w:rsidRPr="0001591D">
        <w:rPr>
          <w:rFonts w:ascii="Times New Roman" w:eastAsiaTheme="minorHAnsi" w:hAnsi="Times New Roman" w:cs="Times New Roman"/>
          <w:i/>
          <w:sz w:val="21"/>
          <w:szCs w:val="21"/>
        </w:rPr>
        <w:t>-</w:t>
      </w:r>
      <w:r w:rsidRPr="0001591D">
        <w:rPr>
          <w:rFonts w:ascii="Times New Roman" w:eastAsiaTheme="minorHAnsi" w:hAnsi="Times New Roman" w:cs="Times New Roman"/>
          <w:i/>
          <w:sz w:val="21"/>
          <w:szCs w:val="21"/>
          <w:lang w:val="en-US"/>
        </w:rPr>
        <w:t>mail</w:t>
      </w:r>
      <w:r w:rsidRPr="0001591D">
        <w:rPr>
          <w:rFonts w:ascii="Times New Roman" w:eastAsiaTheme="minorHAnsi" w:hAnsi="Times New Roman" w:cs="Times New Roman"/>
          <w:i/>
          <w:sz w:val="21"/>
          <w:szCs w:val="21"/>
        </w:rPr>
        <w:t xml:space="preserve">: </w:t>
      </w:r>
      <w:hyperlink r:id="rId673" w:history="1">
        <w:r w:rsidRPr="0001591D">
          <w:rPr>
            <w:rFonts w:ascii="Times New Roman" w:eastAsiaTheme="minorHAnsi" w:hAnsi="Times New Roman" w:cs="Times New Roman"/>
            <w:i/>
            <w:color w:val="0563C1" w:themeColor="hyperlink"/>
            <w:sz w:val="21"/>
            <w:szCs w:val="21"/>
            <w:u w:val="single"/>
            <w:lang w:val="en-US"/>
          </w:rPr>
          <w:t>naletovauliana</w:t>
        </w:r>
        <w:r w:rsidRPr="0001591D">
          <w:rPr>
            <w:rFonts w:ascii="Times New Roman" w:eastAsiaTheme="minorHAnsi" w:hAnsi="Times New Roman" w:cs="Times New Roman"/>
            <w:i/>
            <w:color w:val="0563C1" w:themeColor="hyperlink"/>
            <w:sz w:val="21"/>
            <w:szCs w:val="21"/>
            <w:u w:val="single"/>
          </w:rPr>
          <w:t>29@</w:t>
        </w:r>
        <w:r w:rsidRPr="0001591D">
          <w:rPr>
            <w:rFonts w:ascii="Times New Roman" w:eastAsiaTheme="minorHAnsi" w:hAnsi="Times New Roman" w:cs="Times New Roman"/>
            <w:i/>
            <w:color w:val="0563C1" w:themeColor="hyperlink"/>
            <w:sz w:val="21"/>
            <w:szCs w:val="21"/>
            <w:u w:val="single"/>
            <w:lang w:val="en-US"/>
          </w:rPr>
          <w:t>gmail</w:t>
        </w:r>
        <w:r w:rsidRPr="0001591D">
          <w:rPr>
            <w:rFonts w:ascii="Times New Roman" w:eastAsiaTheme="minorHAnsi" w:hAnsi="Times New Roman" w:cs="Times New Roman"/>
            <w:i/>
            <w:color w:val="0563C1" w:themeColor="hyperlink"/>
            <w:sz w:val="21"/>
            <w:szCs w:val="21"/>
            <w:u w:val="single"/>
          </w:rPr>
          <w:t>.</w:t>
        </w:r>
        <w:r w:rsidRPr="0001591D">
          <w:rPr>
            <w:rFonts w:ascii="Times New Roman" w:eastAsiaTheme="minorHAnsi" w:hAnsi="Times New Roman" w:cs="Times New Roman"/>
            <w:i/>
            <w:color w:val="0563C1" w:themeColor="hyperlink"/>
            <w:sz w:val="21"/>
            <w:szCs w:val="21"/>
            <w:u w:val="single"/>
            <w:lang w:val="en-US"/>
          </w:rPr>
          <w:t>com</w:t>
        </w:r>
      </w:hyperlink>
    </w:p>
    <w:p w14:paraId="780EB8D3"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p>
    <w:p w14:paraId="0214297C" w14:textId="77777777"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rPr>
      </w:pPr>
      <w:r w:rsidRPr="0001591D">
        <w:rPr>
          <w:rFonts w:ascii="Times New Roman" w:eastAsiaTheme="minorHAnsi" w:hAnsi="Times New Roman" w:cs="Times New Roman"/>
          <w:b/>
          <w:i/>
          <w:sz w:val="21"/>
          <w:szCs w:val="21"/>
        </w:rPr>
        <w:t>Научный руководитель:</w:t>
      </w:r>
    </w:p>
    <w:p w14:paraId="5A881B04" w14:textId="77777777"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rPr>
      </w:pPr>
      <w:r w:rsidRPr="0001591D">
        <w:rPr>
          <w:rFonts w:ascii="Times New Roman" w:eastAsiaTheme="minorHAnsi" w:hAnsi="Times New Roman" w:cs="Times New Roman"/>
          <w:b/>
          <w:i/>
          <w:sz w:val="21"/>
          <w:szCs w:val="21"/>
        </w:rPr>
        <w:t>Берлин С.И.,</w:t>
      </w:r>
    </w:p>
    <w:p w14:paraId="32813F4C"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профессор, д.э.н.</w:t>
      </w:r>
    </w:p>
    <w:p w14:paraId="23662519"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0A9E56F"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г. Краснодар, Россия</w:t>
      </w:r>
    </w:p>
    <w:p w14:paraId="30D39364"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lang w:val="en-US"/>
        </w:rPr>
        <w:t>e</w:t>
      </w:r>
      <w:r w:rsidRPr="0001591D">
        <w:rPr>
          <w:rFonts w:ascii="Times New Roman" w:eastAsiaTheme="minorHAnsi" w:hAnsi="Times New Roman" w:cs="Times New Roman"/>
          <w:i/>
          <w:sz w:val="21"/>
          <w:szCs w:val="21"/>
        </w:rPr>
        <w:t>-</w:t>
      </w:r>
      <w:r w:rsidRPr="0001591D">
        <w:rPr>
          <w:rFonts w:ascii="Times New Roman" w:eastAsiaTheme="minorHAnsi" w:hAnsi="Times New Roman" w:cs="Times New Roman"/>
          <w:i/>
          <w:sz w:val="21"/>
          <w:szCs w:val="21"/>
          <w:lang w:val="en-US"/>
        </w:rPr>
        <w:t>mail</w:t>
      </w:r>
      <w:r w:rsidRPr="0001591D">
        <w:rPr>
          <w:rFonts w:ascii="Times New Roman" w:eastAsiaTheme="minorHAnsi" w:hAnsi="Times New Roman" w:cs="Times New Roman"/>
          <w:i/>
          <w:sz w:val="21"/>
          <w:szCs w:val="21"/>
        </w:rPr>
        <w:t xml:space="preserve">: </w:t>
      </w:r>
      <w:hyperlink r:id="rId674" w:history="1">
        <w:r w:rsidRPr="0001591D">
          <w:rPr>
            <w:rFonts w:ascii="Times New Roman" w:eastAsiaTheme="minorHAnsi" w:hAnsi="Times New Roman" w:cs="Times New Roman"/>
            <w:i/>
            <w:color w:val="0563C1" w:themeColor="hyperlink"/>
            <w:sz w:val="21"/>
            <w:szCs w:val="21"/>
            <w:u w:val="single"/>
            <w:lang w:val="en-US"/>
          </w:rPr>
          <w:t>SIBerlin</w:t>
        </w:r>
        <w:r w:rsidRPr="0001591D">
          <w:rPr>
            <w:rFonts w:ascii="Times New Roman" w:eastAsiaTheme="minorHAnsi" w:hAnsi="Times New Roman" w:cs="Times New Roman"/>
            <w:i/>
            <w:color w:val="0563C1" w:themeColor="hyperlink"/>
            <w:sz w:val="21"/>
            <w:szCs w:val="21"/>
            <w:u w:val="single"/>
          </w:rPr>
          <w:t>@</w:t>
        </w:r>
        <w:r w:rsidRPr="0001591D">
          <w:rPr>
            <w:rFonts w:ascii="Times New Roman" w:eastAsiaTheme="minorHAnsi" w:hAnsi="Times New Roman" w:cs="Times New Roman"/>
            <w:i/>
            <w:color w:val="0563C1" w:themeColor="hyperlink"/>
            <w:sz w:val="21"/>
            <w:szCs w:val="21"/>
            <w:u w:val="single"/>
            <w:lang w:val="en-US"/>
          </w:rPr>
          <w:t>fa</w:t>
        </w:r>
        <w:r w:rsidRPr="0001591D">
          <w:rPr>
            <w:rFonts w:ascii="Times New Roman" w:eastAsiaTheme="minorHAnsi" w:hAnsi="Times New Roman" w:cs="Times New Roman"/>
            <w:i/>
            <w:color w:val="0563C1" w:themeColor="hyperlink"/>
            <w:sz w:val="21"/>
            <w:szCs w:val="21"/>
            <w:u w:val="single"/>
          </w:rPr>
          <w:t>.</w:t>
        </w:r>
        <w:r w:rsidRPr="0001591D">
          <w:rPr>
            <w:rFonts w:ascii="Times New Roman" w:eastAsiaTheme="minorHAnsi" w:hAnsi="Times New Roman" w:cs="Times New Roman"/>
            <w:i/>
            <w:color w:val="0563C1" w:themeColor="hyperlink"/>
            <w:sz w:val="21"/>
            <w:szCs w:val="21"/>
            <w:u w:val="single"/>
            <w:lang w:val="en-US"/>
          </w:rPr>
          <w:t>ru</w:t>
        </w:r>
      </w:hyperlink>
    </w:p>
    <w:p w14:paraId="3FCA226B" w14:textId="77777777" w:rsidR="0001591D" w:rsidRDefault="0001591D" w:rsidP="0001591D">
      <w:pPr>
        <w:spacing w:after="0" w:line="240" w:lineRule="auto"/>
        <w:contextualSpacing/>
        <w:jc w:val="center"/>
        <w:rPr>
          <w:rFonts w:ascii="Times New Roman" w:eastAsiaTheme="minorHAnsi" w:hAnsi="Times New Roman" w:cs="Times New Roman"/>
          <w:b/>
          <w:sz w:val="21"/>
          <w:szCs w:val="21"/>
        </w:rPr>
      </w:pPr>
      <w:r w:rsidRPr="0001591D">
        <w:rPr>
          <w:rFonts w:ascii="Times New Roman" w:eastAsiaTheme="minorHAnsi" w:hAnsi="Times New Roman" w:cs="Times New Roman"/>
          <w:b/>
          <w:sz w:val="21"/>
          <w:szCs w:val="21"/>
        </w:rPr>
        <w:t>Трансформация культуры инвестирования в России</w:t>
      </w:r>
    </w:p>
    <w:p w14:paraId="02C1E6CC" w14:textId="77777777" w:rsidR="0001591D" w:rsidRPr="0001591D" w:rsidRDefault="0001591D" w:rsidP="0001591D">
      <w:pPr>
        <w:spacing w:after="0" w:line="240" w:lineRule="auto"/>
        <w:contextualSpacing/>
        <w:jc w:val="center"/>
        <w:rPr>
          <w:rFonts w:ascii="Times New Roman" w:eastAsiaTheme="minorHAnsi" w:hAnsi="Times New Roman" w:cs="Times New Roman"/>
          <w:b/>
          <w:sz w:val="21"/>
          <w:szCs w:val="21"/>
        </w:rPr>
      </w:pPr>
    </w:p>
    <w:p w14:paraId="48973A76" w14:textId="77777777" w:rsidR="0001591D" w:rsidRPr="0001591D" w:rsidRDefault="0001591D" w:rsidP="0001591D">
      <w:pPr>
        <w:spacing w:after="0" w:line="240" w:lineRule="auto"/>
        <w:contextualSpacing/>
        <w:jc w:val="both"/>
        <w:rPr>
          <w:rFonts w:ascii="Times New Roman" w:eastAsiaTheme="minorHAnsi" w:hAnsi="Times New Roman" w:cs="Times New Roman"/>
          <w:sz w:val="21"/>
          <w:szCs w:val="21"/>
        </w:rPr>
      </w:pPr>
      <w:r w:rsidRPr="0001591D">
        <w:rPr>
          <w:rFonts w:ascii="Times New Roman" w:eastAsiaTheme="minorHAnsi" w:hAnsi="Times New Roman" w:cs="Times New Roman"/>
          <w:b/>
          <w:sz w:val="21"/>
          <w:szCs w:val="21"/>
        </w:rPr>
        <w:tab/>
        <w:t xml:space="preserve">Аннотация: </w:t>
      </w:r>
      <w:r w:rsidRPr="0001591D">
        <w:rPr>
          <w:rFonts w:ascii="Times New Roman" w:eastAsiaTheme="minorHAnsi" w:hAnsi="Times New Roman" w:cs="Times New Roman"/>
          <w:sz w:val="21"/>
          <w:szCs w:val="21"/>
        </w:rPr>
        <w:t>В статье рассматривается процесс трансформации инвестиционной культуры в России за последние 20 лет. Основное внимание уделяется изменению таких составляющих культуры инвестирования, как знания в сфере инвестиций и интерес к данной теме. Проведён социологический опрос с целью изучения культуры инвестирования некоторых россиян. В выводе обозначаются общие закономерности в трансформации культуры инвестирования в России.</w:t>
      </w:r>
    </w:p>
    <w:p w14:paraId="6CAAA7AB" w14:textId="77777777" w:rsidR="0001591D" w:rsidRDefault="0001591D" w:rsidP="0001591D">
      <w:pPr>
        <w:spacing w:after="0" w:line="240" w:lineRule="auto"/>
        <w:contextualSpacing/>
        <w:jc w:val="both"/>
        <w:rPr>
          <w:rFonts w:ascii="Times New Roman" w:eastAsiaTheme="minorHAnsi" w:hAnsi="Times New Roman" w:cs="Times New Roman"/>
          <w:sz w:val="21"/>
          <w:szCs w:val="21"/>
        </w:rPr>
      </w:pPr>
      <w:r w:rsidRPr="0001591D">
        <w:rPr>
          <w:rFonts w:ascii="Times New Roman" w:eastAsiaTheme="minorHAnsi" w:hAnsi="Times New Roman" w:cs="Times New Roman"/>
          <w:b/>
          <w:sz w:val="21"/>
          <w:szCs w:val="21"/>
        </w:rPr>
        <w:tab/>
        <w:t xml:space="preserve">Ключевые слова: </w:t>
      </w:r>
      <w:r w:rsidRPr="0001591D">
        <w:rPr>
          <w:rFonts w:ascii="Times New Roman" w:eastAsiaTheme="minorHAnsi" w:hAnsi="Times New Roman" w:cs="Times New Roman"/>
          <w:sz w:val="21"/>
          <w:szCs w:val="21"/>
        </w:rPr>
        <w:t>инвестиционная культура, инвестиции, финансовые инструменты, фондовый рынок, финансовая грамотность.</w:t>
      </w:r>
    </w:p>
    <w:p w14:paraId="4EE32D29" w14:textId="77777777" w:rsidR="0001591D" w:rsidRPr="0001591D" w:rsidRDefault="0001591D" w:rsidP="0001591D">
      <w:pPr>
        <w:spacing w:after="0" w:line="240" w:lineRule="auto"/>
        <w:contextualSpacing/>
        <w:jc w:val="both"/>
        <w:rPr>
          <w:rFonts w:ascii="Times New Roman" w:eastAsiaTheme="minorHAnsi" w:hAnsi="Times New Roman" w:cs="Times New Roman"/>
          <w:sz w:val="21"/>
          <w:szCs w:val="21"/>
        </w:rPr>
      </w:pPr>
    </w:p>
    <w:p w14:paraId="69EF2D0D" w14:textId="77777777"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lang w:val="en-US"/>
        </w:rPr>
      </w:pPr>
      <w:r w:rsidRPr="0001591D">
        <w:rPr>
          <w:rFonts w:ascii="Times New Roman" w:eastAsiaTheme="minorHAnsi" w:hAnsi="Times New Roman" w:cs="Times New Roman"/>
          <w:b/>
          <w:i/>
          <w:sz w:val="21"/>
          <w:szCs w:val="21"/>
          <w:lang w:val="en-US"/>
        </w:rPr>
        <w:t>Naletova U.V.,</w:t>
      </w:r>
    </w:p>
    <w:p w14:paraId="17A03526"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 xml:space="preserve"> student, 1 </w:t>
      </w:r>
      <w:proofErr w:type="gramStart"/>
      <w:r w:rsidRPr="0001591D">
        <w:rPr>
          <w:rFonts w:ascii="Times New Roman" w:eastAsiaTheme="minorHAnsi" w:hAnsi="Times New Roman" w:cs="Times New Roman"/>
          <w:i/>
          <w:sz w:val="21"/>
          <w:szCs w:val="21"/>
          <w:lang w:val="en-US"/>
        </w:rPr>
        <w:t>courses</w:t>
      </w:r>
      <w:proofErr w:type="gramEnd"/>
    </w:p>
    <w:p w14:paraId="7823BC15"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Krasnodar Branch of the Financial University under the Government of the Russian Federation</w:t>
      </w:r>
    </w:p>
    <w:p w14:paraId="0DF36433"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Krasnodar, Russia</w:t>
      </w:r>
    </w:p>
    <w:p w14:paraId="4D57A1AA"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 xml:space="preserve">e-mail: </w:t>
      </w:r>
      <w:hyperlink r:id="rId675" w:history="1">
        <w:r w:rsidRPr="0001591D">
          <w:rPr>
            <w:rFonts w:ascii="Times New Roman" w:eastAsiaTheme="minorHAnsi" w:hAnsi="Times New Roman" w:cs="Times New Roman"/>
            <w:i/>
            <w:color w:val="0563C1" w:themeColor="hyperlink"/>
            <w:sz w:val="21"/>
            <w:szCs w:val="21"/>
            <w:u w:val="single"/>
            <w:lang w:val="en-US"/>
          </w:rPr>
          <w:t>naletovauliana29@gmail.com</w:t>
        </w:r>
      </w:hyperlink>
    </w:p>
    <w:p w14:paraId="7F630D11" w14:textId="77777777" w:rsidR="0001591D" w:rsidRPr="00C30970" w:rsidRDefault="0001591D" w:rsidP="0001591D">
      <w:pPr>
        <w:spacing w:after="0" w:line="240" w:lineRule="auto"/>
        <w:contextualSpacing/>
        <w:jc w:val="right"/>
        <w:rPr>
          <w:rFonts w:ascii="Times New Roman" w:eastAsiaTheme="minorHAnsi" w:hAnsi="Times New Roman" w:cs="Times New Roman"/>
          <w:b/>
          <w:i/>
          <w:sz w:val="21"/>
          <w:szCs w:val="21"/>
          <w:lang w:val="en-US"/>
        </w:rPr>
      </w:pPr>
    </w:p>
    <w:p w14:paraId="35E1C5E2" w14:textId="7C485EA0"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lang w:val="en-US"/>
        </w:rPr>
      </w:pPr>
      <w:r w:rsidRPr="0001591D">
        <w:rPr>
          <w:rFonts w:ascii="Times New Roman" w:eastAsiaTheme="minorHAnsi" w:hAnsi="Times New Roman" w:cs="Times New Roman"/>
          <w:b/>
          <w:i/>
          <w:sz w:val="21"/>
          <w:szCs w:val="21"/>
          <w:lang w:val="en-US"/>
        </w:rPr>
        <w:t>Scientific adviser:</w:t>
      </w:r>
    </w:p>
    <w:p w14:paraId="317141C0" w14:textId="77777777" w:rsidR="0001591D" w:rsidRPr="0001591D" w:rsidRDefault="0001591D" w:rsidP="0001591D">
      <w:pPr>
        <w:spacing w:after="0" w:line="240" w:lineRule="auto"/>
        <w:contextualSpacing/>
        <w:jc w:val="right"/>
        <w:rPr>
          <w:rFonts w:ascii="Times New Roman" w:eastAsiaTheme="minorHAnsi" w:hAnsi="Times New Roman" w:cs="Times New Roman"/>
          <w:b/>
          <w:i/>
          <w:sz w:val="21"/>
          <w:szCs w:val="21"/>
          <w:lang w:val="en-US"/>
        </w:rPr>
      </w:pPr>
      <w:r w:rsidRPr="0001591D">
        <w:rPr>
          <w:rFonts w:ascii="Times New Roman" w:eastAsiaTheme="minorHAnsi" w:hAnsi="Times New Roman" w:cs="Times New Roman"/>
          <w:b/>
          <w:i/>
          <w:sz w:val="21"/>
          <w:szCs w:val="21"/>
          <w:lang w:val="en-US"/>
        </w:rPr>
        <w:t>Berlin S.I.,</w:t>
      </w:r>
    </w:p>
    <w:p w14:paraId="60F423A3" w14:textId="77777777" w:rsidR="0001591D" w:rsidRPr="0001591D" w:rsidRDefault="0001591D" w:rsidP="0001591D">
      <w:pPr>
        <w:spacing w:after="0" w:line="240" w:lineRule="auto"/>
        <w:contextualSpacing/>
        <w:jc w:val="right"/>
        <w:rPr>
          <w:rFonts w:ascii="Times New Roman" w:eastAsiaTheme="minorHAnsi" w:hAnsi="Times New Roman" w:cs="Times New Roman"/>
          <w:sz w:val="21"/>
          <w:szCs w:val="21"/>
          <w:lang w:val="en-US"/>
        </w:rPr>
      </w:pPr>
      <w:r w:rsidRPr="0001591D">
        <w:rPr>
          <w:rFonts w:ascii="Times New Roman" w:eastAsiaTheme="minorHAnsi" w:hAnsi="Times New Roman" w:cs="Times New Roman"/>
          <w:i/>
          <w:sz w:val="21"/>
          <w:szCs w:val="21"/>
          <w:lang w:val="en-US"/>
        </w:rPr>
        <w:t>Doctor of Science (Economic</w:t>
      </w:r>
      <w:r w:rsidRPr="0001591D">
        <w:rPr>
          <w:rFonts w:ascii="Times New Roman" w:eastAsiaTheme="minorHAnsi" w:hAnsi="Times New Roman" w:cs="Times New Roman"/>
          <w:sz w:val="21"/>
          <w:szCs w:val="21"/>
          <w:lang w:val="en-US"/>
        </w:rPr>
        <w:t>s</w:t>
      </w:r>
      <w:r w:rsidRPr="0001591D">
        <w:rPr>
          <w:rFonts w:ascii="Times New Roman" w:eastAsiaTheme="minorHAnsi" w:hAnsi="Times New Roman" w:cs="Times New Roman"/>
          <w:i/>
          <w:sz w:val="21"/>
          <w:szCs w:val="21"/>
          <w:lang w:val="en-US"/>
        </w:rPr>
        <w:t>), Professor</w:t>
      </w:r>
    </w:p>
    <w:p w14:paraId="11080999"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Krasnodar Branch of the Financial University under the Government of the Russian Federation</w:t>
      </w:r>
    </w:p>
    <w:p w14:paraId="7C64DCD7"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r w:rsidRPr="0001591D">
        <w:rPr>
          <w:rFonts w:ascii="Times New Roman" w:eastAsiaTheme="minorHAnsi" w:hAnsi="Times New Roman" w:cs="Times New Roman"/>
          <w:i/>
          <w:sz w:val="21"/>
          <w:szCs w:val="21"/>
          <w:lang w:val="en-US"/>
        </w:rPr>
        <w:t>Krasnodar, Russia</w:t>
      </w:r>
    </w:p>
    <w:p w14:paraId="44790F07" w14:textId="77777777" w:rsidR="0001591D" w:rsidRPr="00C30970" w:rsidRDefault="0001591D" w:rsidP="0001591D">
      <w:pPr>
        <w:spacing w:after="0" w:line="240" w:lineRule="auto"/>
        <w:contextualSpacing/>
        <w:jc w:val="right"/>
        <w:rPr>
          <w:rFonts w:eastAsiaTheme="minorHAnsi"/>
          <w:lang w:val="en-US"/>
        </w:rPr>
      </w:pPr>
      <w:r w:rsidRPr="0001591D">
        <w:rPr>
          <w:rFonts w:ascii="Times New Roman" w:eastAsiaTheme="minorHAnsi" w:hAnsi="Times New Roman" w:cs="Times New Roman"/>
          <w:i/>
          <w:sz w:val="21"/>
          <w:szCs w:val="21"/>
          <w:lang w:val="en-US"/>
        </w:rPr>
        <w:t>e-mail:</w:t>
      </w:r>
      <w:r w:rsidRPr="0001591D">
        <w:rPr>
          <w:rFonts w:ascii="Times New Roman" w:eastAsiaTheme="minorHAnsi" w:hAnsi="Times New Roman" w:cs="Times New Roman"/>
          <w:sz w:val="21"/>
          <w:szCs w:val="21"/>
          <w:lang w:val="en-US"/>
        </w:rPr>
        <w:t xml:space="preserve"> </w:t>
      </w:r>
      <w:hyperlink r:id="rId676" w:history="1">
        <w:r w:rsidRPr="0001591D">
          <w:rPr>
            <w:rFonts w:ascii="Times New Roman" w:eastAsiaTheme="minorHAnsi" w:hAnsi="Times New Roman" w:cs="Times New Roman"/>
            <w:i/>
            <w:color w:val="0563C1" w:themeColor="hyperlink"/>
            <w:sz w:val="21"/>
            <w:szCs w:val="21"/>
            <w:u w:val="single"/>
            <w:lang w:val="en-US"/>
          </w:rPr>
          <w:t>SIBerlin@fa.ru</w:t>
        </w:r>
      </w:hyperlink>
    </w:p>
    <w:p w14:paraId="178864BF" w14:textId="77777777" w:rsidR="0001591D" w:rsidRPr="0001591D" w:rsidRDefault="0001591D" w:rsidP="0001591D">
      <w:pPr>
        <w:spacing w:after="0" w:line="240" w:lineRule="auto"/>
        <w:contextualSpacing/>
        <w:jc w:val="right"/>
        <w:rPr>
          <w:rFonts w:ascii="Times New Roman" w:eastAsiaTheme="minorHAnsi" w:hAnsi="Times New Roman" w:cs="Times New Roman"/>
          <w:i/>
          <w:sz w:val="21"/>
          <w:szCs w:val="21"/>
          <w:lang w:val="en-US"/>
        </w:rPr>
      </w:pPr>
    </w:p>
    <w:p w14:paraId="7342612C" w14:textId="77777777" w:rsidR="0001591D" w:rsidRPr="00C30970" w:rsidRDefault="0001591D" w:rsidP="0001591D">
      <w:pPr>
        <w:spacing w:after="0" w:line="240" w:lineRule="auto"/>
        <w:contextualSpacing/>
        <w:jc w:val="center"/>
        <w:rPr>
          <w:rFonts w:ascii="Times New Roman" w:eastAsiaTheme="minorHAnsi" w:hAnsi="Times New Roman" w:cs="Times New Roman"/>
          <w:b/>
          <w:sz w:val="21"/>
          <w:szCs w:val="21"/>
          <w:lang w:val="en-US"/>
        </w:rPr>
      </w:pPr>
      <w:r w:rsidRPr="0001591D">
        <w:rPr>
          <w:rFonts w:ascii="Times New Roman" w:eastAsiaTheme="minorHAnsi" w:hAnsi="Times New Roman" w:cs="Times New Roman"/>
          <w:b/>
          <w:sz w:val="21"/>
          <w:szCs w:val="21"/>
          <w:lang w:val="en-US"/>
        </w:rPr>
        <w:t>Transformation of the investment culture in Russia</w:t>
      </w:r>
    </w:p>
    <w:p w14:paraId="642A53BD" w14:textId="77777777" w:rsidR="0001591D" w:rsidRPr="00C30970" w:rsidRDefault="0001591D" w:rsidP="0001591D">
      <w:pPr>
        <w:spacing w:after="0" w:line="240" w:lineRule="auto"/>
        <w:contextualSpacing/>
        <w:jc w:val="center"/>
        <w:rPr>
          <w:rFonts w:ascii="Times New Roman" w:eastAsiaTheme="minorHAnsi" w:hAnsi="Times New Roman" w:cs="Times New Roman"/>
          <w:b/>
          <w:sz w:val="21"/>
          <w:szCs w:val="21"/>
          <w:lang w:val="en-US"/>
        </w:rPr>
      </w:pPr>
    </w:p>
    <w:p w14:paraId="5496C8D3" w14:textId="77777777" w:rsidR="0001591D" w:rsidRPr="0001591D" w:rsidRDefault="0001591D" w:rsidP="0001591D">
      <w:pPr>
        <w:spacing w:after="0" w:line="240" w:lineRule="auto"/>
        <w:ind w:firstLine="708"/>
        <w:contextualSpacing/>
        <w:jc w:val="both"/>
        <w:rPr>
          <w:rFonts w:ascii="Times New Roman" w:eastAsiaTheme="minorHAnsi" w:hAnsi="Times New Roman" w:cs="Times New Roman"/>
          <w:sz w:val="21"/>
          <w:szCs w:val="21"/>
          <w:lang w:val="en-US"/>
        </w:rPr>
      </w:pPr>
      <w:r w:rsidRPr="0001591D">
        <w:rPr>
          <w:rFonts w:ascii="Times New Roman" w:eastAsiaTheme="minorHAnsi" w:hAnsi="Times New Roman" w:cs="Times New Roman"/>
          <w:b/>
          <w:sz w:val="21"/>
          <w:szCs w:val="21"/>
          <w:lang w:val="en-US"/>
        </w:rPr>
        <w:t xml:space="preserve">Annotation: </w:t>
      </w:r>
      <w:r w:rsidRPr="0001591D">
        <w:rPr>
          <w:rFonts w:ascii="Times New Roman" w:eastAsiaTheme="minorHAnsi" w:hAnsi="Times New Roman" w:cs="Times New Roman"/>
          <w:sz w:val="21"/>
          <w:szCs w:val="21"/>
          <w:lang w:val="en-US"/>
        </w:rPr>
        <w:t>The article examines the process of transformation of investment culture in Russia over the past 20 years. The main focus is on changing the components of the investment culture, such as investment knowledge and interest in the topic. A sociological survey was conducted to study the investment culture of some Russians. The conclusion outlines general patterns in the transformation of investment culture in Russia.</w:t>
      </w:r>
    </w:p>
    <w:p w14:paraId="37A31999" w14:textId="77777777" w:rsidR="0001591D" w:rsidRPr="0001591D" w:rsidRDefault="0001591D" w:rsidP="0001591D">
      <w:pPr>
        <w:spacing w:after="0" w:line="240" w:lineRule="auto"/>
        <w:contextualSpacing/>
        <w:jc w:val="both"/>
        <w:rPr>
          <w:rFonts w:ascii="Times New Roman" w:eastAsiaTheme="minorHAnsi" w:hAnsi="Times New Roman" w:cs="Times New Roman"/>
          <w:sz w:val="21"/>
          <w:szCs w:val="21"/>
          <w:lang w:val="en-US"/>
        </w:rPr>
      </w:pPr>
      <w:r w:rsidRPr="0001591D">
        <w:rPr>
          <w:rFonts w:ascii="Times New Roman" w:eastAsiaTheme="minorHAnsi" w:hAnsi="Times New Roman" w:cs="Times New Roman"/>
          <w:b/>
          <w:sz w:val="21"/>
          <w:szCs w:val="21"/>
          <w:lang w:val="en-US"/>
        </w:rPr>
        <w:t xml:space="preserve"> </w:t>
      </w:r>
      <w:r w:rsidRPr="0001591D">
        <w:rPr>
          <w:rFonts w:ascii="Times New Roman" w:eastAsiaTheme="minorHAnsi" w:hAnsi="Times New Roman" w:cs="Times New Roman"/>
          <w:b/>
          <w:sz w:val="21"/>
          <w:szCs w:val="21"/>
          <w:lang w:val="en-US"/>
        </w:rPr>
        <w:tab/>
        <w:t xml:space="preserve">Keywords: </w:t>
      </w:r>
      <w:r w:rsidRPr="0001591D">
        <w:rPr>
          <w:rFonts w:ascii="Times New Roman" w:eastAsiaTheme="minorHAnsi" w:hAnsi="Times New Roman" w:cs="Times New Roman"/>
          <w:sz w:val="21"/>
          <w:szCs w:val="21"/>
          <w:lang w:val="en-US"/>
        </w:rPr>
        <w:t>investment culture, investments, financial instruments, stock market, financial literacy.</w:t>
      </w:r>
    </w:p>
    <w:p w14:paraId="0719DF59" w14:textId="77777777" w:rsidR="0001591D" w:rsidRPr="0001591D" w:rsidRDefault="0001591D" w:rsidP="0001591D">
      <w:pPr>
        <w:jc w:val="right"/>
        <w:rPr>
          <w:rFonts w:ascii="Times New Roman" w:eastAsiaTheme="minorHAnsi" w:hAnsi="Times New Roman" w:cs="Times New Roman"/>
          <w:i/>
          <w:sz w:val="21"/>
          <w:szCs w:val="21"/>
          <w:lang w:val="en-US"/>
        </w:rPr>
      </w:pPr>
    </w:p>
    <w:p w14:paraId="069A07DE" w14:textId="77777777" w:rsidR="0001591D" w:rsidRPr="0001591D" w:rsidRDefault="0001591D" w:rsidP="00AB2FD7">
      <w:pPr>
        <w:spacing w:after="0" w:line="240" w:lineRule="auto"/>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lang w:val="en-US"/>
        </w:rPr>
        <w:tab/>
      </w:r>
      <w:r w:rsidRPr="0001591D">
        <w:rPr>
          <w:rFonts w:ascii="Times New Roman" w:eastAsiaTheme="minorHAnsi" w:hAnsi="Times New Roman" w:cs="Times New Roman"/>
          <w:sz w:val="32"/>
          <w:szCs w:val="32"/>
        </w:rPr>
        <w:t xml:space="preserve">Значимая роль, которую играют инвестиции в экономике, неоспорима. Они стимулируют экономическую активность всех предприятий страны, а также позволяют развивать новые, недавно появившиеся отрасли экономики и обеспечивать стабильное функционирование и инновации в уже существующих отраслях. </w:t>
      </w:r>
    </w:p>
    <w:p w14:paraId="5E2C7B68"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В связи с такой важной ролью инвестиций всё большее внимание уделяется культуре инвестирования, ведь именно она определяет знания, навыки и качества характера, необходимые для успешного осуществления инвестиционной деятельности.</w:t>
      </w:r>
    </w:p>
    <w:p w14:paraId="6B87219D"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lastRenderedPageBreak/>
        <w:t xml:space="preserve">В России началом развития культуры инвестирования и инвестиционной деятельности можно считать 90-е годы </w:t>
      </w:r>
      <w:r w:rsidRPr="0001591D">
        <w:rPr>
          <w:rFonts w:ascii="Times New Roman" w:eastAsiaTheme="minorHAnsi" w:hAnsi="Times New Roman" w:cs="Times New Roman"/>
          <w:sz w:val="32"/>
          <w:szCs w:val="32"/>
          <w:lang w:val="en-US"/>
        </w:rPr>
        <w:t>XX</w:t>
      </w:r>
      <w:r w:rsidRPr="0001591D">
        <w:rPr>
          <w:rFonts w:ascii="Times New Roman" w:eastAsiaTheme="minorHAnsi" w:hAnsi="Times New Roman" w:cs="Times New Roman"/>
          <w:sz w:val="32"/>
          <w:szCs w:val="32"/>
        </w:rPr>
        <w:t xml:space="preserve"> века, когда произошёл переход от командной экономической системы к рыночной. Следовательно, культура инвестирования в нашей стране молодая и развивающаяся, она ещё не достигла такого уровня развития, как в некоторых других странах. Для сравнения можно привести пример США. Американской культуре инвестирования более 200 лет, так как она зародилась с основанием Нью-Йоркской фондовой биржи в 1817 году, поэтому очевидно, что культура инвестирования в США по объективным причинам намного более развита, чем российская.</w:t>
      </w:r>
    </w:p>
    <w:p w14:paraId="3A218643"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 По данным на 2024 год, в США инвестируют на фондовом рынке 62% взрослого населения [1], а в России – почти 25% взрослого населения имеют брокерские счета (согласно российской газете «Известия»). При этом наличие брокерского счёта не является показателем активной инвестиционной деятельности: по итогам апреля 2025 года из 36,7 млн человек, открывших брокерский счёт, только 3,6 млн человек заключали сделки на фондовом рынке [2]. Такие показатели свидетельствуют о низкой заинтересованности россиян в инвестировании своих денежных средств в финансовые инструменты, торгуемые на фондовом рынке. Причиной этого может быть и нехватка знаний, и недоверие к фондовому рынку и брокерам, и отсутствие желания разбираться в данной теме, ведь простому обывателю она может показаться слишком сложной. В целом все эти причины можно объединить в одну – недостаточно высокий для совершенствования сферы инвестирования уровень развития инвестиционной культуры населения России.</w:t>
      </w:r>
    </w:p>
    <w:p w14:paraId="3328867E"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Для определения изменений, которые произошли в культуре инвестирования россиян, я сравню два социологических опроса. Первый был опубликован в декабре 2007 года и проводился по инициативе Московской межбанковской валютной биржи (ММВБ) и Фонда «Общественное мнение» [3], а второй – в декабре 2020 года аналитическим центром НАФИ [4], [5]. Объём выборки первого опроса составил 7512 взрослых человек и 579 подростков с территории 63 субъектов РФ, а второго – 1600 человек из 53 субъектов РФ. </w:t>
      </w:r>
    </w:p>
    <w:p w14:paraId="34BC548F"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Согласно опросу 2007 года, информированность о фондовом рынке у людей без инвестиционного опыта была минимальной, на уровне общих представлений и слухов. Чуть больше она была у людей, имевших опыт инвестирования. Только 29% опрашиваемых смогли </w:t>
      </w:r>
      <w:r w:rsidRPr="0001591D">
        <w:rPr>
          <w:rFonts w:ascii="Times New Roman" w:eastAsiaTheme="minorHAnsi" w:hAnsi="Times New Roman" w:cs="Times New Roman"/>
          <w:sz w:val="32"/>
          <w:szCs w:val="32"/>
        </w:rPr>
        <w:lastRenderedPageBreak/>
        <w:t xml:space="preserve">вспомнить названия основных, действовавших в тот период времени фондовых бирж. К тому же 90% участников опроса сообщали, что им недостаточно знаний в сфере инвестиций, и лишь 7% сказали, что такие знания у них имеются в достаточном количестве. Заинтересованность к ситуации на фондовом рынке проявили лишь 10% опрашиваемых. </w:t>
      </w:r>
    </w:p>
    <w:p w14:paraId="3804C20C"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Согласно опросу 2020 года, почти четверть опрашиваемых (24%) проявила интерес к инвестиционной сфере. Однако в то же время, как и в прошлые годы, отмечался недостаток знаний и практических навыков: 60% опрашиваемых указали, что имеют поверхностные знания в этой сфере, и лишь 19% – достаточные. 21% респондентов признались, что совсем не разбираются в инвестициях. Итого, получается, 81% респондентов имеют недостаточное количество знаний в сфере инвестиций.</w:t>
      </w:r>
    </w:p>
    <w:p w14:paraId="299526DE"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Несмотря на различия в объёмах выборок двух социологических опросов, можно сделать вывод о том, что за 13 лет интерес к сфере инвестиций заметно увеличился (10% и 24% в 2007 и в 2020 годах соответственно). Однако, на мой взгляд, данный прирост в 14% является низким для достаточно продолжительного прошедшего промежутка времени. К тому же недостаток знаний в данной сфере снизился незначительно: с 90% в 2007 году до 81% в 2020 году. </w:t>
      </w:r>
    </w:p>
    <w:p w14:paraId="5A00EAB0"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Таким образом, в России наблюдается медленное развитие инвестиционной культуры населения. Какие бы меры по её повышению не принимались ранее, их было недостаточно для того, чтобы произошли кардинальные перемены в восприятии населением фондового рынка и всего, что с ним связано.</w:t>
      </w:r>
    </w:p>
    <w:p w14:paraId="70384C2F"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Мною также был проведён социологический опрос с помощью платформы «</w:t>
      </w:r>
      <w:r w:rsidRPr="0001591D">
        <w:rPr>
          <w:rFonts w:ascii="Times New Roman" w:eastAsiaTheme="minorHAnsi" w:hAnsi="Times New Roman" w:cs="Times New Roman"/>
          <w:sz w:val="32"/>
          <w:szCs w:val="32"/>
          <w:lang w:val="en-US"/>
        </w:rPr>
        <w:t>Yandex</w:t>
      </w:r>
      <w:r w:rsidRPr="0001591D">
        <w:rPr>
          <w:rFonts w:ascii="Times New Roman" w:eastAsiaTheme="minorHAnsi" w:hAnsi="Times New Roman" w:cs="Times New Roman"/>
          <w:sz w:val="32"/>
          <w:szCs w:val="32"/>
        </w:rPr>
        <w:t xml:space="preserve"> </w:t>
      </w:r>
      <w:r w:rsidRPr="0001591D">
        <w:rPr>
          <w:rFonts w:ascii="Times New Roman" w:eastAsiaTheme="minorHAnsi" w:hAnsi="Times New Roman" w:cs="Times New Roman"/>
          <w:sz w:val="32"/>
          <w:szCs w:val="32"/>
          <w:lang w:val="en-US"/>
        </w:rPr>
        <w:t>Forms</w:t>
      </w:r>
      <w:r w:rsidRPr="0001591D">
        <w:rPr>
          <w:rFonts w:ascii="Times New Roman" w:eastAsiaTheme="minorHAnsi" w:hAnsi="Times New Roman" w:cs="Times New Roman"/>
          <w:sz w:val="32"/>
          <w:szCs w:val="32"/>
        </w:rPr>
        <w:t xml:space="preserve">», в котором приняло участие 93 человека из 3 субъектов РФ. По масштабам он не сравнится с опросами, рассматриваемыми выше, но тем не менее минимум респондентов, необходимый для выявления общих закономерностей, соблюден (более 50 участников). </w:t>
      </w:r>
    </w:p>
    <w:p w14:paraId="3ACF96A5"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Опрос, инициированный мной, содержал вопросы, позволяющие приблизительно определить уровень знаний в области инвестиций у опрашиваемых, их отношение к инвестициям и опыт инвестирования. </w:t>
      </w:r>
    </w:p>
    <w:p w14:paraId="48D2FD40"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proofErr w:type="gramStart"/>
      <w:r w:rsidRPr="0001591D">
        <w:rPr>
          <w:rFonts w:ascii="Times New Roman" w:eastAsiaTheme="minorHAnsi" w:hAnsi="Times New Roman" w:cs="Times New Roman"/>
          <w:sz w:val="32"/>
          <w:szCs w:val="32"/>
        </w:rPr>
        <w:t>Половой состав участников опроса</w:t>
      </w:r>
      <w:proofErr w:type="gramEnd"/>
      <w:r w:rsidRPr="0001591D">
        <w:rPr>
          <w:rFonts w:ascii="Times New Roman" w:eastAsiaTheme="minorHAnsi" w:hAnsi="Times New Roman" w:cs="Times New Roman"/>
          <w:sz w:val="32"/>
          <w:szCs w:val="32"/>
        </w:rPr>
        <w:t xml:space="preserve"> следующий: 77,4% составили женщины, соответственно 22,6% – мужчины. Возрастной состав: 59,1% респондентов – в возрасте от 18 до 24 лет; 14% – младше 18 лет; 10,8% – в возрасте от 45 до 54 лет; по 4,3% составляют опрашиваемые </w:t>
      </w:r>
      <w:r w:rsidRPr="0001591D">
        <w:rPr>
          <w:rFonts w:ascii="Times New Roman" w:eastAsiaTheme="minorHAnsi" w:hAnsi="Times New Roman" w:cs="Times New Roman"/>
          <w:sz w:val="32"/>
          <w:szCs w:val="32"/>
        </w:rPr>
        <w:lastRenderedPageBreak/>
        <w:t>возраста 35–44 года, 55–64 года и 65 лет и старше; 3,2% приходится на участников в возрасте от 25 до 34 лет.</w:t>
      </w:r>
    </w:p>
    <w:p w14:paraId="614A5AC3"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Большая часть опрашиваемых – это студенты, которые либо только учатся (47,3%), либо учатся и работают одновременно (20,4%). Близко к четверти участие в опросе людей, которые только работают (22,6%), и наименьшую часть составили те, кто ни учится, ни работает (9,7%).</w:t>
      </w:r>
    </w:p>
    <w:p w14:paraId="7C88D4DC"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Также с целью выявить наличие или отсутствие влияния свободного времени на интерес к теме инвестирования, мною был добавлен вопрос о количестве свободного времени в течение дня. При этом результаты показали, что в опросе в основном участвовали люди с большим количеством свободного времени: более четырёх часов в день у 35,5% и от двух до четырёх часов в день у 34,4% опрошенных. От получаса до двух часов свободного времени имеют 22,6% участников опроса, и лишь оставшиеся 7,5% испытывают нехватку свободного времени.</w:t>
      </w:r>
    </w:p>
    <w:p w14:paraId="285AFCF3"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Таким образом, можно сказать, что основная часть опрашиваемых людей – это девушки в возрасте от 18 до 24 лет, у которых есть достаточно времени на получение новых знаний в области инвестиций.</w:t>
      </w:r>
    </w:p>
    <w:p w14:paraId="45A6C806"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Свои знания в теме инвестиций подавляющая часть опрашиваемых (61,3%) оценила как поверхностные, а 32,3% участников признались в том, что совсем не разбираются в данной теме. Лишь 6,5% отметили свои обширные познания в теме инвестиций.</w:t>
      </w:r>
    </w:p>
    <w:p w14:paraId="2A546E8A"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Вопрос о простых понятиях, связанных с инвестициями («фондовый рынок» и «финансовые инструменты») у многих участников опроса вызвал затруднение (24,7% по первому понятию и 28% по второму). Однако большая часть респондентов (58,1%) понимает, что такое фондовый рынок, а сущность финансовых инструментов понятна чуть меньше, чем половине опрашиваемых (46,2%).</w:t>
      </w:r>
    </w:p>
    <w:p w14:paraId="04216E3E"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Положительно оценили роль инвестиций в экономике 61,3% опрашиваемых. Были и те, кто признал необходимость инвестиций, однако не проявил к ним интереса (вариант ответа «считаю, что они нужны, но не мне»), – 33,3%. Остальные признались, что не понимают, для чего существуют инвестиции.</w:t>
      </w:r>
    </w:p>
    <w:p w14:paraId="118EE64A"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Интерес к данной теме присутствует у 61,3% опрошенных, однако опыт инвестирования есть лишь у 21,5% респондентов. В </w:t>
      </w:r>
      <w:r w:rsidRPr="0001591D">
        <w:rPr>
          <w:rFonts w:ascii="Times New Roman" w:eastAsiaTheme="minorHAnsi" w:hAnsi="Times New Roman" w:cs="Times New Roman"/>
          <w:sz w:val="32"/>
          <w:szCs w:val="32"/>
        </w:rPr>
        <w:lastRenderedPageBreak/>
        <w:t>ближайшем будущем хотели бы попробовать себя в инвестиционной деятельности 51,6% опрошенных.</w:t>
      </w:r>
    </w:p>
    <w:p w14:paraId="32256D57"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На вопрос о том, достаточно ли участникам опроса знаний для того, чтобы принять участие в инвестиционной деятельности, лишь 3,2% ответили, что знаний достаточно. Наличие поверхностных знаний и необходимость более глубокого погружения в тему инвестиций отметили 43% опрошенных, а необходимость основательного изучения данной темы с нуля – 30,1%.</w:t>
      </w:r>
    </w:p>
    <w:p w14:paraId="60E06EE1"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Таким образом, по итогам данного социологического опроса можно сделать следующие выводы. </w:t>
      </w:r>
    </w:p>
    <w:p w14:paraId="1D0AAA7F"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Вновь (так же, как и в опросах 2007 и 2020 года) проявляется проблема нехватки знаний в сфере инвестиций. Россияне чаще всего обладают лишь поверхностным представлением о данной теме и признают необходимость обучения. Даже простые понятия данной сферы вызывают у людей затруднения, что свидетельствует о низком уровне финансовой грамотности населения. </w:t>
      </w:r>
    </w:p>
    <w:p w14:paraId="3D3B8E2C"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Одним из положительных результатов опроса является понимание важности инвестиций в экономике. Этот факт в совокупности с отсутствием достаточного количества знаний по теме инвестиций может быть свидетельством того, что россияне представляют процесс инвестиций как сложный и непонятный для тех, кто не является экспертом в этой сфере. Страх ошибиться в такой сложной теме может останавливать население страны от её освоения. </w:t>
      </w:r>
    </w:p>
    <w:p w14:paraId="30CA0521"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Более того, у большинства опрошенных выявлен интерес к инвестициям. Следовательно, причиной того, что многие из них до сих пор не попробовали себя в инвестиционной деятельности, </w:t>
      </w:r>
      <w:proofErr w:type="gramStart"/>
      <w:r w:rsidRPr="0001591D">
        <w:rPr>
          <w:rFonts w:ascii="Times New Roman" w:eastAsiaTheme="minorHAnsi" w:hAnsi="Times New Roman" w:cs="Times New Roman"/>
          <w:sz w:val="32"/>
          <w:szCs w:val="32"/>
        </w:rPr>
        <w:t>в сущности</w:t>
      </w:r>
      <w:proofErr w:type="gramEnd"/>
      <w:r w:rsidRPr="0001591D">
        <w:rPr>
          <w:rFonts w:ascii="Times New Roman" w:eastAsiaTheme="minorHAnsi" w:hAnsi="Times New Roman" w:cs="Times New Roman"/>
          <w:sz w:val="32"/>
          <w:szCs w:val="32"/>
        </w:rPr>
        <w:t xml:space="preserve"> является лишь нехватка знаний. </w:t>
      </w:r>
    </w:p>
    <w:p w14:paraId="51337FFB"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Ко всему этому можно также добавить и большое количество свободного времени у большинства участников опроса, которое они почему-то не тратят на восполнение нехватки знаний по интересующей их теме. Причиной этому может быть малое разнообразие и гибкость курсов, где можно приобрести данные знания, или же просто отсутствие у населения информационного поля, связанного с инвестициями. Если бы, например, хотя бы каждую неделю всё население так или иначе сталкивалось бы с упоминаниями инвестиций и связанных с ними понятий, то интерес к данной теме определённо бы повысился. </w:t>
      </w:r>
    </w:p>
    <w:p w14:paraId="3FC1947A"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 xml:space="preserve">Также, так как большая часть участников опроса – это люди юного и молодого возраста, можно говорить о том, что именно </w:t>
      </w:r>
      <w:r w:rsidRPr="0001591D">
        <w:rPr>
          <w:rFonts w:ascii="Times New Roman" w:eastAsiaTheme="minorHAnsi" w:hAnsi="Times New Roman" w:cs="Times New Roman"/>
          <w:sz w:val="32"/>
          <w:szCs w:val="32"/>
        </w:rPr>
        <w:lastRenderedPageBreak/>
        <w:t>молодёжь как самая активная и любознательная социально-демографическая группа наиболее заинтересована в получении новых знаний в теме инвестиций. Более того, я считаю, что больший упор в повышении уровня финансовой грамотности необходимо делать на работу с молодыми людьми с целью формирования в перспективе нового поколения, активно участвующего в инвестиционной деятельности и стремительного развивающего культуру инвестирования в своей стране. Однако, несомненно, обеспечивать возможность повышения финансовой грамотности старших поколений, также необходимо.</w:t>
      </w:r>
    </w:p>
    <w:p w14:paraId="0069F36D"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Для повышения инвестиционной культуры населения необходимо внедрять грамотный маркетинг инвестиционных продуктов, развивать информационное сопровождение фондового рынка, повышать качество финансового консультирования и развивать стратегии защиты инвестиционных активов для повышения уровня доверия со стороны населения.</w:t>
      </w:r>
    </w:p>
    <w:p w14:paraId="7BAC4DAC" w14:textId="77777777" w:rsidR="0001591D" w:rsidRPr="0001591D" w:rsidRDefault="0001591D" w:rsidP="00AB2FD7">
      <w:pPr>
        <w:spacing w:after="0" w:line="240" w:lineRule="auto"/>
        <w:ind w:firstLine="708"/>
        <w:jc w:val="both"/>
        <w:rPr>
          <w:rFonts w:ascii="Times New Roman" w:eastAsiaTheme="minorHAnsi" w:hAnsi="Times New Roman" w:cs="Times New Roman"/>
          <w:sz w:val="32"/>
          <w:szCs w:val="32"/>
        </w:rPr>
      </w:pPr>
      <w:r w:rsidRPr="0001591D">
        <w:rPr>
          <w:rFonts w:ascii="Times New Roman" w:eastAsiaTheme="minorHAnsi" w:hAnsi="Times New Roman" w:cs="Times New Roman"/>
          <w:sz w:val="32"/>
          <w:szCs w:val="32"/>
        </w:rPr>
        <w:t>Таким образом, культура инвестирования в России находится ещё в самом начале своего пути развития. Она зародилась не так давно, и опыта инвестирования у всего населения страны достаточно мало. Также из года в год отмечается нехватка знаний в теме инвестиций при повышенном интересе к данной теме, что является серьёзным препятствием для дальнейшего развития инвестиционной культуры. Хоть с каждым годом и заметны улучшения в уровне финансовой грамотности населения, однако они происходят достаточно медленными темпами. Ускорение темпов трансформации инвестиционной культуры требует комплексного подхода, включающего образовательные, информационные и организационные меры.</w:t>
      </w:r>
    </w:p>
    <w:p w14:paraId="1C2CBEB7" w14:textId="77777777" w:rsidR="0001591D" w:rsidRPr="0001591D" w:rsidRDefault="0001591D" w:rsidP="00AB2FD7">
      <w:pPr>
        <w:spacing w:after="0" w:line="240" w:lineRule="auto"/>
        <w:jc w:val="center"/>
        <w:rPr>
          <w:rFonts w:ascii="Times New Roman" w:eastAsiaTheme="minorHAnsi" w:hAnsi="Times New Roman" w:cs="Times New Roman"/>
          <w:b/>
          <w:sz w:val="21"/>
          <w:szCs w:val="21"/>
        </w:rPr>
      </w:pPr>
      <w:r w:rsidRPr="0001591D">
        <w:rPr>
          <w:rFonts w:ascii="Times New Roman" w:eastAsiaTheme="minorHAnsi" w:hAnsi="Times New Roman" w:cs="Times New Roman"/>
          <w:b/>
          <w:sz w:val="21"/>
          <w:szCs w:val="21"/>
        </w:rPr>
        <w:t>Литература:</w:t>
      </w:r>
    </w:p>
    <w:p w14:paraId="7B9D44AC" w14:textId="77777777" w:rsidR="0001591D" w:rsidRPr="0001591D" w:rsidRDefault="0001591D" w:rsidP="00AB2FD7">
      <w:pPr>
        <w:spacing w:after="0" w:line="240" w:lineRule="auto"/>
        <w:jc w:val="both"/>
        <w:rPr>
          <w:rFonts w:ascii="Times New Roman" w:eastAsiaTheme="minorHAnsi" w:hAnsi="Times New Roman" w:cs="Times New Roman"/>
          <w:sz w:val="21"/>
          <w:szCs w:val="21"/>
        </w:rPr>
      </w:pPr>
      <w:r w:rsidRPr="0001591D">
        <w:rPr>
          <w:rFonts w:ascii="Times New Roman" w:eastAsiaTheme="minorHAnsi" w:hAnsi="Times New Roman" w:cs="Times New Roman"/>
          <w:sz w:val="21"/>
          <w:szCs w:val="21"/>
        </w:rPr>
        <w:t xml:space="preserve">1. Официальный сайт платформы </w:t>
      </w:r>
      <w:r w:rsidRPr="0001591D">
        <w:rPr>
          <w:rFonts w:ascii="Times New Roman" w:eastAsiaTheme="minorHAnsi" w:hAnsi="Times New Roman" w:cs="Times New Roman"/>
          <w:sz w:val="21"/>
          <w:szCs w:val="21"/>
          <w:lang w:val="en-US"/>
        </w:rPr>
        <w:t>Statista</w:t>
      </w:r>
      <w:r w:rsidRPr="0001591D">
        <w:rPr>
          <w:rFonts w:ascii="Times New Roman" w:eastAsiaTheme="minorHAnsi" w:hAnsi="Times New Roman" w:cs="Times New Roman"/>
          <w:sz w:val="21"/>
          <w:szCs w:val="21"/>
        </w:rPr>
        <w:t xml:space="preserve"> [Электронный ресурс: </w:t>
      </w:r>
      <w:hyperlink r:id="rId677" w:history="1">
        <w:r w:rsidRPr="0001591D">
          <w:rPr>
            <w:rFonts w:ascii="Times New Roman" w:eastAsiaTheme="minorHAnsi" w:hAnsi="Times New Roman" w:cs="Times New Roman"/>
            <w:color w:val="0563C1" w:themeColor="hyperlink"/>
            <w:sz w:val="21"/>
            <w:szCs w:val="21"/>
            <w:u w:val="single"/>
          </w:rPr>
          <w:t>https://translated.turbopages.org/proxy_u/en-ru.ru.d393ebd5-6824b6e6-a2498e06-74722d776562/https/www.statista.com/statistics/270034/percentage-of-us-adults-to-have-money-invested-in-the-stock-market/</w:t>
        </w:r>
      </w:hyperlink>
      <w:r w:rsidRPr="0001591D">
        <w:rPr>
          <w:rFonts w:ascii="Times New Roman" w:eastAsiaTheme="minorHAnsi" w:hAnsi="Times New Roman" w:cs="Times New Roman"/>
          <w:sz w:val="21"/>
          <w:szCs w:val="21"/>
        </w:rPr>
        <w:t xml:space="preserve"> (дата обращения: 14.05.2025)]</w:t>
      </w:r>
    </w:p>
    <w:p w14:paraId="5B6084A7" w14:textId="77777777" w:rsidR="0001591D" w:rsidRPr="0001591D" w:rsidRDefault="0001591D" w:rsidP="00AB2FD7">
      <w:pPr>
        <w:spacing w:after="0" w:line="240" w:lineRule="auto"/>
        <w:jc w:val="both"/>
        <w:rPr>
          <w:rFonts w:ascii="Times New Roman" w:eastAsiaTheme="minorHAnsi" w:hAnsi="Times New Roman" w:cs="Times New Roman"/>
          <w:sz w:val="21"/>
          <w:szCs w:val="21"/>
        </w:rPr>
      </w:pPr>
      <w:r w:rsidRPr="0001591D">
        <w:rPr>
          <w:rFonts w:ascii="Times New Roman" w:eastAsiaTheme="minorHAnsi" w:hAnsi="Times New Roman" w:cs="Times New Roman"/>
          <w:sz w:val="21"/>
          <w:szCs w:val="21"/>
        </w:rPr>
        <w:t xml:space="preserve">2. Официальный сайт частного банка Альфа-Банк [Электронный ресурс: </w:t>
      </w:r>
      <w:hyperlink r:id="rId678" w:history="1">
        <w:r w:rsidRPr="0001591D">
          <w:rPr>
            <w:rFonts w:ascii="Times New Roman" w:eastAsiaTheme="minorHAnsi" w:hAnsi="Times New Roman" w:cs="Times New Roman"/>
            <w:color w:val="0563C1" w:themeColor="hyperlink"/>
            <w:sz w:val="21"/>
            <w:szCs w:val="21"/>
            <w:u w:val="single"/>
          </w:rPr>
          <w:t>https://alfabank.ru/alfa-investor/t/kuda-tekut-dengi-chastnyh-investorov/</w:t>
        </w:r>
      </w:hyperlink>
      <w:r w:rsidRPr="0001591D">
        <w:rPr>
          <w:rFonts w:ascii="Times New Roman" w:eastAsiaTheme="minorHAnsi" w:hAnsi="Times New Roman" w:cs="Times New Roman"/>
          <w:sz w:val="21"/>
          <w:szCs w:val="21"/>
        </w:rPr>
        <w:t xml:space="preserve"> (дата обращения: 14.05.2025)] </w:t>
      </w:r>
    </w:p>
    <w:p w14:paraId="20CDD269" w14:textId="77777777" w:rsidR="0001591D" w:rsidRPr="0001591D" w:rsidRDefault="0001591D" w:rsidP="00AB2FD7">
      <w:pPr>
        <w:spacing w:after="0" w:line="240" w:lineRule="auto"/>
        <w:jc w:val="both"/>
        <w:rPr>
          <w:rFonts w:ascii="Times New Roman" w:eastAsiaTheme="minorHAnsi" w:hAnsi="Times New Roman" w:cs="Times New Roman"/>
          <w:sz w:val="21"/>
          <w:szCs w:val="21"/>
        </w:rPr>
      </w:pPr>
      <w:r w:rsidRPr="0001591D">
        <w:rPr>
          <w:rFonts w:ascii="Times New Roman" w:eastAsiaTheme="minorHAnsi" w:hAnsi="Times New Roman" w:cs="Times New Roman"/>
          <w:sz w:val="21"/>
          <w:szCs w:val="21"/>
        </w:rPr>
        <w:t xml:space="preserve">3. Официальный сайт Фонда «Общественное мнение» [Электронный ресурс: </w:t>
      </w:r>
      <w:hyperlink r:id="rId679" w:history="1">
        <w:r w:rsidRPr="0001591D">
          <w:rPr>
            <w:rFonts w:ascii="Times New Roman" w:eastAsiaTheme="minorHAnsi" w:hAnsi="Times New Roman" w:cs="Times New Roman"/>
            <w:color w:val="0563C1" w:themeColor="hyperlink"/>
            <w:sz w:val="21"/>
            <w:szCs w:val="21"/>
            <w:u w:val="single"/>
          </w:rPr>
          <w:t>https://bd.fom.ru/report/map/micex181207</w:t>
        </w:r>
      </w:hyperlink>
      <w:r w:rsidRPr="0001591D">
        <w:rPr>
          <w:rFonts w:ascii="Times New Roman" w:eastAsiaTheme="minorHAnsi" w:hAnsi="Times New Roman" w:cs="Times New Roman"/>
          <w:sz w:val="21"/>
          <w:szCs w:val="21"/>
        </w:rPr>
        <w:t xml:space="preserve"> (дата обращения: 14.05.2025)]</w:t>
      </w:r>
    </w:p>
    <w:p w14:paraId="130DD486" w14:textId="77777777" w:rsidR="0001591D" w:rsidRPr="0001591D" w:rsidRDefault="0001591D" w:rsidP="00AB2FD7">
      <w:pPr>
        <w:spacing w:after="0" w:line="240" w:lineRule="auto"/>
        <w:jc w:val="both"/>
        <w:rPr>
          <w:rFonts w:ascii="Times New Roman" w:eastAsiaTheme="minorHAnsi" w:hAnsi="Times New Roman" w:cs="Times New Roman"/>
          <w:sz w:val="21"/>
          <w:szCs w:val="21"/>
        </w:rPr>
      </w:pPr>
      <w:r w:rsidRPr="0001591D">
        <w:rPr>
          <w:rFonts w:ascii="Times New Roman" w:eastAsiaTheme="minorHAnsi" w:hAnsi="Times New Roman" w:cs="Times New Roman"/>
          <w:sz w:val="21"/>
          <w:szCs w:val="21"/>
        </w:rPr>
        <w:t xml:space="preserve">4. Официальный сайт аналитического центра НАФИ [Электронный ресурс: </w:t>
      </w:r>
      <w:hyperlink r:id="rId680" w:history="1">
        <w:r w:rsidRPr="0001591D">
          <w:rPr>
            <w:rFonts w:ascii="Times New Roman" w:eastAsiaTheme="minorHAnsi" w:hAnsi="Times New Roman" w:cs="Times New Roman"/>
            <w:color w:val="0563C1" w:themeColor="hyperlink"/>
            <w:sz w:val="21"/>
            <w:szCs w:val="21"/>
            <w:u w:val="single"/>
          </w:rPr>
          <w:t>https://nafi.ru/analytics/gotovnost-k-risku-u-rossiyan-vyros-appetit-k-investitsiyam-bez-dolzhnykh-znaniy/</w:t>
        </w:r>
      </w:hyperlink>
      <w:r w:rsidRPr="0001591D">
        <w:rPr>
          <w:rFonts w:ascii="Times New Roman" w:eastAsiaTheme="minorHAnsi" w:hAnsi="Times New Roman" w:cs="Times New Roman"/>
          <w:sz w:val="21"/>
          <w:szCs w:val="21"/>
        </w:rPr>
        <w:t xml:space="preserve"> (дата обращения: 14.05.2025)]</w:t>
      </w:r>
    </w:p>
    <w:p w14:paraId="0D0F96D8" w14:textId="5184DEC3" w:rsidR="00D212C4" w:rsidRDefault="0001591D" w:rsidP="00D212C4">
      <w:pPr>
        <w:spacing w:after="0" w:line="240" w:lineRule="auto"/>
        <w:jc w:val="both"/>
        <w:rPr>
          <w:rFonts w:ascii="Times New Roman" w:eastAsiaTheme="minorHAnsi" w:hAnsi="Times New Roman" w:cs="Times New Roman"/>
          <w:sz w:val="21"/>
          <w:szCs w:val="21"/>
        </w:rPr>
      </w:pPr>
      <w:r w:rsidRPr="0001591D">
        <w:rPr>
          <w:rFonts w:ascii="Times New Roman" w:eastAsiaTheme="minorHAnsi" w:hAnsi="Times New Roman" w:cs="Times New Roman"/>
          <w:sz w:val="21"/>
          <w:szCs w:val="21"/>
        </w:rPr>
        <w:t>5. Официальный сайт платформы Смартлаб (</w:t>
      </w:r>
      <w:r w:rsidRPr="0001591D">
        <w:rPr>
          <w:rFonts w:ascii="Times New Roman" w:eastAsiaTheme="minorHAnsi" w:hAnsi="Times New Roman" w:cs="Times New Roman"/>
          <w:sz w:val="21"/>
          <w:szCs w:val="21"/>
          <w:lang w:val="en-US"/>
        </w:rPr>
        <w:t>sMart</w:t>
      </w:r>
      <w:r w:rsidRPr="0001591D">
        <w:rPr>
          <w:rFonts w:ascii="Times New Roman" w:eastAsiaTheme="minorHAnsi" w:hAnsi="Times New Roman" w:cs="Times New Roman"/>
          <w:sz w:val="21"/>
          <w:szCs w:val="21"/>
        </w:rPr>
        <w:t>-</w:t>
      </w:r>
      <w:r w:rsidRPr="0001591D">
        <w:rPr>
          <w:rFonts w:ascii="Times New Roman" w:eastAsiaTheme="minorHAnsi" w:hAnsi="Times New Roman" w:cs="Times New Roman"/>
          <w:sz w:val="21"/>
          <w:szCs w:val="21"/>
          <w:lang w:val="en-US"/>
        </w:rPr>
        <w:t>lab</w:t>
      </w:r>
      <w:r w:rsidRPr="0001591D">
        <w:rPr>
          <w:rFonts w:ascii="Times New Roman" w:eastAsiaTheme="minorHAnsi" w:hAnsi="Times New Roman" w:cs="Times New Roman"/>
          <w:sz w:val="21"/>
          <w:szCs w:val="21"/>
        </w:rPr>
        <w:t xml:space="preserve">) [Электронный ресурс: </w:t>
      </w:r>
      <w:hyperlink r:id="rId681" w:history="1">
        <w:r w:rsidRPr="0001591D">
          <w:rPr>
            <w:rFonts w:ascii="Times New Roman" w:eastAsiaTheme="minorHAnsi" w:hAnsi="Times New Roman" w:cs="Times New Roman"/>
            <w:color w:val="0563C1" w:themeColor="hyperlink"/>
            <w:sz w:val="21"/>
            <w:szCs w:val="21"/>
            <w:u w:val="single"/>
          </w:rPr>
          <w:t>https://smart-lab.ru/blog/676675.php</w:t>
        </w:r>
      </w:hyperlink>
      <w:r w:rsidRPr="0001591D">
        <w:rPr>
          <w:rFonts w:ascii="Times New Roman" w:eastAsiaTheme="minorHAnsi" w:hAnsi="Times New Roman" w:cs="Times New Roman"/>
          <w:sz w:val="21"/>
          <w:szCs w:val="21"/>
        </w:rPr>
        <w:t xml:space="preserve"> (дата обращения: 14.05.2025)]</w:t>
      </w:r>
    </w:p>
    <w:p w14:paraId="7293258B" w14:textId="77777777" w:rsidR="00D212C4" w:rsidRDefault="00D212C4" w:rsidP="00D212C4">
      <w:pPr>
        <w:spacing w:after="0" w:line="240" w:lineRule="auto"/>
        <w:jc w:val="both"/>
        <w:rPr>
          <w:rFonts w:ascii="Times New Roman" w:eastAsiaTheme="minorHAnsi" w:hAnsi="Times New Roman" w:cs="Times New Roman"/>
          <w:sz w:val="21"/>
          <w:szCs w:val="21"/>
        </w:rPr>
      </w:pPr>
    </w:p>
    <w:p w14:paraId="2FD6A95C" w14:textId="77777777" w:rsidR="00D212C4" w:rsidRDefault="00D212C4" w:rsidP="00D212C4">
      <w:pPr>
        <w:spacing w:after="0" w:line="240" w:lineRule="auto"/>
        <w:jc w:val="both"/>
        <w:rPr>
          <w:rFonts w:ascii="Times New Roman" w:eastAsiaTheme="minorHAnsi" w:hAnsi="Times New Roman" w:cs="Times New Roman"/>
          <w:sz w:val="21"/>
          <w:szCs w:val="21"/>
        </w:rPr>
      </w:pPr>
    </w:p>
    <w:p w14:paraId="6D19F282" w14:textId="77777777" w:rsidR="00132A69" w:rsidRDefault="00132A69" w:rsidP="003E4FE0">
      <w:pPr>
        <w:spacing w:after="0" w:line="240" w:lineRule="auto"/>
        <w:contextualSpacing/>
        <w:rPr>
          <w:rFonts w:ascii="Times New Roman" w:eastAsia="Times New Roman" w:hAnsi="Times New Roman" w:cs="Times New Roman"/>
          <w:b/>
          <w:color w:val="000000"/>
          <w:sz w:val="21"/>
          <w:szCs w:val="21"/>
        </w:rPr>
      </w:pPr>
    </w:p>
    <w:p w14:paraId="260A0C29" w14:textId="77777777" w:rsidR="00132A69" w:rsidRDefault="00132A69" w:rsidP="003E4FE0">
      <w:pPr>
        <w:spacing w:after="0" w:line="240" w:lineRule="auto"/>
        <w:contextualSpacing/>
        <w:rPr>
          <w:rFonts w:ascii="Times New Roman" w:eastAsia="Times New Roman" w:hAnsi="Times New Roman" w:cs="Times New Roman"/>
          <w:b/>
          <w:color w:val="000000"/>
          <w:sz w:val="21"/>
          <w:szCs w:val="21"/>
        </w:rPr>
      </w:pPr>
    </w:p>
    <w:p w14:paraId="7BB9FB8C" w14:textId="77777777" w:rsidR="00132A69" w:rsidRDefault="00132A69" w:rsidP="003E4FE0">
      <w:pPr>
        <w:spacing w:after="0" w:line="240" w:lineRule="auto"/>
        <w:contextualSpacing/>
        <w:rPr>
          <w:rFonts w:ascii="Times New Roman" w:eastAsia="Times New Roman" w:hAnsi="Times New Roman" w:cs="Times New Roman"/>
          <w:b/>
          <w:color w:val="000000"/>
          <w:sz w:val="21"/>
          <w:szCs w:val="21"/>
        </w:rPr>
      </w:pPr>
    </w:p>
    <w:p w14:paraId="28AA5712" w14:textId="6A81417B" w:rsidR="00D212C4" w:rsidRPr="00D212C4" w:rsidRDefault="00D212C4" w:rsidP="003E4FE0">
      <w:pPr>
        <w:spacing w:after="0" w:line="240" w:lineRule="auto"/>
        <w:contextualSpacing/>
        <w:rPr>
          <w:rFonts w:ascii="Calibri" w:eastAsia="Times New Roman" w:hAnsi="Calibri" w:cs="Times New Roman"/>
        </w:rPr>
      </w:pPr>
      <w:bookmarkStart w:id="104" w:name="_GoBack"/>
      <w:bookmarkEnd w:id="104"/>
      <w:r w:rsidRPr="00D212C4">
        <w:rPr>
          <w:rFonts w:ascii="Times New Roman" w:eastAsia="Times New Roman" w:hAnsi="Times New Roman" w:cs="Times New Roman"/>
          <w:b/>
          <w:color w:val="000000"/>
          <w:sz w:val="21"/>
          <w:szCs w:val="21"/>
        </w:rPr>
        <w:lastRenderedPageBreak/>
        <w:t>УДК 304.5</w:t>
      </w:r>
    </w:p>
    <w:p w14:paraId="29DB1120" w14:textId="77777777" w:rsidR="00D212C4" w:rsidRPr="00D212C4" w:rsidRDefault="00D212C4" w:rsidP="003E4FE0">
      <w:pPr>
        <w:spacing w:after="0" w:line="240" w:lineRule="auto"/>
        <w:contextualSpacing/>
        <w:jc w:val="right"/>
        <w:rPr>
          <w:rFonts w:ascii="Calibri" w:eastAsia="Times New Roman" w:hAnsi="Calibri" w:cs="Times New Roman"/>
        </w:rPr>
      </w:pPr>
      <w:r w:rsidRPr="00D212C4">
        <w:rPr>
          <w:rFonts w:ascii="Times New Roman" w:eastAsia="Times New Roman" w:hAnsi="Times New Roman" w:cs="Times New Roman"/>
          <w:b/>
          <w:i/>
          <w:color w:val="000000"/>
          <w:sz w:val="20"/>
          <w:szCs w:val="21"/>
        </w:rPr>
        <w:t>Тонконог А.Н</w:t>
      </w:r>
      <w:r w:rsidRPr="00D212C4">
        <w:rPr>
          <w:rFonts w:ascii="Times New Roman" w:eastAsia="Times New Roman" w:hAnsi="Times New Roman" w:cs="Times New Roman"/>
          <w:b/>
          <w:i/>
          <w:color w:val="000000"/>
          <w:sz w:val="21"/>
          <w:szCs w:val="21"/>
        </w:rPr>
        <w:t xml:space="preserve">., </w:t>
      </w:r>
    </w:p>
    <w:p w14:paraId="542CCC52" w14:textId="77777777" w:rsidR="00D212C4" w:rsidRPr="00D212C4" w:rsidRDefault="00D212C4" w:rsidP="003E4FE0">
      <w:pPr>
        <w:spacing w:after="0" w:line="240" w:lineRule="auto"/>
        <w:contextualSpacing/>
        <w:jc w:val="right"/>
        <w:rPr>
          <w:rFonts w:ascii="Calibri" w:eastAsia="Times New Roman" w:hAnsi="Calibri" w:cs="Times New Roman"/>
        </w:rPr>
      </w:pPr>
      <w:r w:rsidRPr="00D212C4">
        <w:rPr>
          <w:rFonts w:ascii="Times New Roman" w:eastAsia="Times New Roman" w:hAnsi="Times New Roman" w:cs="Times New Roman"/>
          <w:i/>
          <w:color w:val="000000"/>
          <w:sz w:val="21"/>
          <w:szCs w:val="21"/>
        </w:rPr>
        <w:t xml:space="preserve">студент 1 курса </w:t>
      </w:r>
    </w:p>
    <w:p w14:paraId="106ACAC5" w14:textId="77777777" w:rsidR="00195C8C" w:rsidRPr="0001591D" w:rsidRDefault="00195C8C" w:rsidP="00195C8C">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0BA2BC47" w14:textId="77777777" w:rsidR="00D212C4" w:rsidRPr="00D212C4" w:rsidRDefault="00D212C4" w:rsidP="003E4FE0">
      <w:pPr>
        <w:spacing w:after="0" w:line="240" w:lineRule="auto"/>
        <w:contextualSpacing/>
        <w:jc w:val="right"/>
        <w:rPr>
          <w:rFonts w:ascii="Calibri" w:eastAsia="Times New Roman" w:hAnsi="Calibri" w:cs="Times New Roman"/>
        </w:rPr>
      </w:pPr>
      <w:r w:rsidRPr="00D212C4">
        <w:rPr>
          <w:rFonts w:ascii="Times New Roman" w:eastAsia="Times New Roman" w:hAnsi="Times New Roman" w:cs="Times New Roman"/>
          <w:i/>
          <w:sz w:val="21"/>
          <w:szCs w:val="21"/>
        </w:rPr>
        <w:t>г. Краснодар, Россия</w:t>
      </w:r>
    </w:p>
    <w:p w14:paraId="7D1D9F4B" w14:textId="77777777" w:rsidR="00D212C4" w:rsidRPr="00D212C4" w:rsidRDefault="00D212C4" w:rsidP="003E4FE0">
      <w:pPr>
        <w:spacing w:after="0" w:line="240" w:lineRule="auto"/>
        <w:contextualSpacing/>
        <w:jc w:val="right"/>
        <w:rPr>
          <w:rFonts w:ascii="Times New Roman" w:eastAsia="Times New Roman" w:hAnsi="Times New Roman" w:cs="Times New Roman"/>
          <w:i/>
          <w:sz w:val="21"/>
          <w:szCs w:val="21"/>
        </w:rPr>
      </w:pPr>
      <w:r w:rsidRPr="00D212C4">
        <w:rPr>
          <w:rFonts w:ascii="Times New Roman" w:eastAsia="Times New Roman" w:hAnsi="Times New Roman" w:cs="Times New Roman"/>
          <w:i/>
          <w:sz w:val="21"/>
          <w:szCs w:val="21"/>
        </w:rPr>
        <w:t>е-</w:t>
      </w:r>
      <w:r w:rsidRPr="00D212C4">
        <w:rPr>
          <w:rFonts w:ascii="Times New Roman" w:eastAsia="Times New Roman" w:hAnsi="Times New Roman" w:cs="Times New Roman"/>
          <w:i/>
          <w:sz w:val="21"/>
          <w:szCs w:val="21"/>
          <w:lang w:val="en-US"/>
        </w:rPr>
        <w:t>mail</w:t>
      </w:r>
      <w:r w:rsidRPr="00D212C4">
        <w:rPr>
          <w:rFonts w:ascii="Times New Roman" w:eastAsia="Times New Roman" w:hAnsi="Times New Roman" w:cs="Times New Roman"/>
          <w:i/>
          <w:sz w:val="21"/>
          <w:szCs w:val="21"/>
        </w:rPr>
        <w:t xml:space="preserve">: </w:t>
      </w:r>
      <w:r w:rsidRPr="00D212C4">
        <w:rPr>
          <w:rFonts w:ascii="Times New Roman" w:eastAsia="Calibri Light" w:hAnsi="Times New Roman" w:cs="Times New Roman"/>
          <w:i/>
          <w:sz w:val="21"/>
          <w:szCs w:val="21"/>
          <w:lang w:val="en-US"/>
        </w:rPr>
        <w:t>tonkonog</w:t>
      </w:r>
      <w:r w:rsidRPr="00D212C4">
        <w:rPr>
          <w:rFonts w:ascii="Times New Roman" w:eastAsia="Calibri Light" w:hAnsi="Times New Roman" w:cs="Times New Roman"/>
          <w:i/>
          <w:sz w:val="21"/>
          <w:szCs w:val="21"/>
        </w:rPr>
        <w:t>220@</w:t>
      </w:r>
      <w:r w:rsidRPr="00D212C4">
        <w:rPr>
          <w:rFonts w:ascii="Times New Roman" w:eastAsia="Calibri Light" w:hAnsi="Times New Roman" w:cs="Times New Roman"/>
          <w:i/>
          <w:sz w:val="21"/>
          <w:szCs w:val="21"/>
          <w:lang w:val="en-US"/>
        </w:rPr>
        <w:t>gmail</w:t>
      </w:r>
      <w:r w:rsidRPr="00D212C4">
        <w:rPr>
          <w:rFonts w:ascii="Times New Roman" w:eastAsia="Calibri Light" w:hAnsi="Times New Roman" w:cs="Times New Roman"/>
          <w:i/>
          <w:sz w:val="21"/>
          <w:szCs w:val="21"/>
        </w:rPr>
        <w:t>.</w:t>
      </w:r>
      <w:r w:rsidRPr="00D212C4">
        <w:rPr>
          <w:rFonts w:ascii="Times New Roman" w:eastAsia="Calibri Light" w:hAnsi="Times New Roman" w:cs="Times New Roman"/>
          <w:i/>
          <w:sz w:val="21"/>
          <w:szCs w:val="21"/>
          <w:lang w:val="en-US"/>
        </w:rPr>
        <w:t>com</w:t>
      </w:r>
      <w:r w:rsidRPr="00D212C4">
        <w:rPr>
          <w:rFonts w:ascii="Times New Roman" w:eastAsia="Times New Roman" w:hAnsi="Times New Roman" w:cs="Times New Roman"/>
          <w:i/>
          <w:sz w:val="21"/>
          <w:szCs w:val="21"/>
        </w:rPr>
        <w:t xml:space="preserve"> </w:t>
      </w:r>
    </w:p>
    <w:p w14:paraId="74750697" w14:textId="77777777" w:rsidR="00D212C4" w:rsidRPr="00D212C4" w:rsidRDefault="00D212C4" w:rsidP="003E4FE0">
      <w:pPr>
        <w:spacing w:after="0" w:line="240" w:lineRule="auto"/>
        <w:contextualSpacing/>
        <w:jc w:val="right"/>
        <w:rPr>
          <w:rFonts w:ascii="Times New Roman" w:eastAsia="Times New Roman" w:hAnsi="Times New Roman" w:cs="Times New Roman"/>
          <w:i/>
          <w:sz w:val="21"/>
          <w:szCs w:val="21"/>
        </w:rPr>
      </w:pPr>
    </w:p>
    <w:p w14:paraId="488AC2EB" w14:textId="77777777" w:rsidR="00D212C4" w:rsidRPr="00D212C4" w:rsidRDefault="00D212C4" w:rsidP="003E4FE0">
      <w:pPr>
        <w:spacing w:after="0" w:line="240" w:lineRule="auto"/>
        <w:contextualSpacing/>
        <w:jc w:val="right"/>
        <w:rPr>
          <w:rFonts w:ascii="Times New Roman" w:eastAsia="Times New Roman" w:hAnsi="Times New Roman" w:cs="Times New Roman"/>
          <w:b/>
          <w:i/>
          <w:sz w:val="21"/>
          <w:szCs w:val="21"/>
        </w:rPr>
      </w:pPr>
      <w:r w:rsidRPr="00D212C4">
        <w:rPr>
          <w:rFonts w:ascii="Times New Roman" w:eastAsia="Times New Roman" w:hAnsi="Times New Roman" w:cs="Times New Roman"/>
          <w:b/>
          <w:i/>
          <w:sz w:val="21"/>
          <w:szCs w:val="21"/>
        </w:rPr>
        <w:t>Научный руководитель:</w:t>
      </w:r>
    </w:p>
    <w:p w14:paraId="0E649926" w14:textId="77777777" w:rsidR="00D212C4" w:rsidRPr="00D212C4" w:rsidRDefault="00D212C4" w:rsidP="003E4FE0">
      <w:pPr>
        <w:spacing w:after="0" w:line="240" w:lineRule="auto"/>
        <w:contextualSpacing/>
        <w:jc w:val="right"/>
        <w:rPr>
          <w:rFonts w:ascii="Times New Roman" w:eastAsia="Times New Roman" w:hAnsi="Times New Roman" w:cs="Times New Roman"/>
          <w:b/>
          <w:i/>
          <w:sz w:val="21"/>
          <w:szCs w:val="21"/>
        </w:rPr>
      </w:pPr>
      <w:r w:rsidRPr="00D212C4">
        <w:rPr>
          <w:rFonts w:ascii="Times New Roman" w:eastAsia="Times New Roman" w:hAnsi="Times New Roman" w:cs="Times New Roman"/>
          <w:b/>
          <w:i/>
          <w:sz w:val="21"/>
          <w:szCs w:val="21"/>
        </w:rPr>
        <w:t>Бершадская О.В.,</w:t>
      </w:r>
    </w:p>
    <w:p w14:paraId="4454103C" w14:textId="77777777" w:rsidR="00D212C4" w:rsidRPr="00D212C4" w:rsidRDefault="00D212C4" w:rsidP="003E4FE0">
      <w:pPr>
        <w:spacing w:after="0" w:line="240" w:lineRule="auto"/>
        <w:contextualSpacing/>
        <w:jc w:val="right"/>
        <w:rPr>
          <w:rFonts w:ascii="Times New Roman" w:eastAsia="Times New Roman" w:hAnsi="Times New Roman" w:cs="Times New Roman"/>
          <w:i/>
          <w:sz w:val="21"/>
          <w:szCs w:val="21"/>
        </w:rPr>
      </w:pPr>
      <w:r w:rsidRPr="00D212C4">
        <w:rPr>
          <w:rFonts w:ascii="Times New Roman" w:eastAsia="Times New Roman" w:hAnsi="Times New Roman" w:cs="Times New Roman"/>
          <w:b/>
          <w:i/>
          <w:sz w:val="21"/>
          <w:szCs w:val="21"/>
        </w:rPr>
        <w:t xml:space="preserve"> </w:t>
      </w:r>
      <w:r w:rsidRPr="00D212C4">
        <w:rPr>
          <w:rFonts w:ascii="Times New Roman" w:eastAsia="Times New Roman" w:hAnsi="Times New Roman" w:cs="Times New Roman"/>
          <w:i/>
          <w:sz w:val="21"/>
          <w:szCs w:val="21"/>
        </w:rPr>
        <w:t>доцент, к.э.н.</w:t>
      </w:r>
    </w:p>
    <w:p w14:paraId="4B1167C1" w14:textId="77777777" w:rsidR="00195C8C" w:rsidRPr="0001591D" w:rsidRDefault="00195C8C" w:rsidP="00195C8C">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55DA695E" w14:textId="77777777" w:rsidR="00D212C4" w:rsidRPr="00D212C4" w:rsidRDefault="00D212C4" w:rsidP="003E4FE0">
      <w:pPr>
        <w:spacing w:after="0" w:line="240" w:lineRule="auto"/>
        <w:contextualSpacing/>
        <w:jc w:val="right"/>
        <w:rPr>
          <w:rFonts w:ascii="Calibri" w:eastAsia="Times New Roman" w:hAnsi="Calibri" w:cs="Times New Roman"/>
        </w:rPr>
      </w:pPr>
      <w:r w:rsidRPr="00D212C4">
        <w:rPr>
          <w:rFonts w:ascii="Times New Roman" w:eastAsia="Times New Roman" w:hAnsi="Times New Roman" w:cs="Times New Roman"/>
          <w:i/>
          <w:sz w:val="21"/>
          <w:szCs w:val="21"/>
        </w:rPr>
        <w:t>г. Краснодар, Россия</w:t>
      </w:r>
    </w:p>
    <w:p w14:paraId="37092A6B" w14:textId="77777777" w:rsidR="00D212C4" w:rsidRDefault="00D212C4" w:rsidP="003E4FE0">
      <w:pPr>
        <w:spacing w:after="0" w:line="240" w:lineRule="auto"/>
        <w:contextualSpacing/>
        <w:jc w:val="right"/>
        <w:rPr>
          <w:rFonts w:ascii="Times New Roman" w:eastAsia="Times New Roman" w:hAnsi="Times New Roman" w:cs="Times New Roman"/>
          <w:i/>
          <w:sz w:val="21"/>
          <w:szCs w:val="21"/>
        </w:rPr>
      </w:pPr>
      <w:r w:rsidRPr="00D212C4">
        <w:rPr>
          <w:rFonts w:ascii="Times New Roman" w:eastAsia="Times New Roman" w:hAnsi="Times New Roman" w:cs="Times New Roman"/>
          <w:i/>
          <w:sz w:val="21"/>
          <w:szCs w:val="21"/>
        </w:rPr>
        <w:t>е-</w:t>
      </w:r>
      <w:r w:rsidRPr="00D212C4">
        <w:rPr>
          <w:rFonts w:ascii="Times New Roman" w:eastAsia="Times New Roman" w:hAnsi="Times New Roman" w:cs="Times New Roman"/>
          <w:i/>
          <w:sz w:val="21"/>
          <w:szCs w:val="21"/>
          <w:lang w:val="en-US"/>
        </w:rPr>
        <w:t>mail</w:t>
      </w:r>
      <w:r w:rsidRPr="00D212C4">
        <w:rPr>
          <w:rFonts w:ascii="Times New Roman" w:eastAsia="Times New Roman" w:hAnsi="Times New Roman" w:cs="Times New Roman"/>
          <w:i/>
          <w:sz w:val="21"/>
          <w:szCs w:val="21"/>
        </w:rPr>
        <w:t xml:space="preserve">: </w:t>
      </w:r>
      <w:hyperlink r:id="rId682" w:history="1">
        <w:r w:rsidRPr="00D212C4">
          <w:rPr>
            <w:rFonts w:ascii="Times New Roman" w:eastAsia="Times New Roman" w:hAnsi="Times New Roman" w:cs="Times New Roman"/>
            <w:i/>
            <w:color w:val="0563C1"/>
            <w:sz w:val="21"/>
            <w:szCs w:val="21"/>
            <w:u w:val="single"/>
            <w:lang w:val="en-US"/>
          </w:rPr>
          <w:t>OVBershadskaya</w:t>
        </w:r>
        <w:r w:rsidRPr="00D212C4">
          <w:rPr>
            <w:rFonts w:ascii="Times New Roman" w:eastAsia="Times New Roman" w:hAnsi="Times New Roman" w:cs="Times New Roman"/>
            <w:i/>
            <w:color w:val="0563C1"/>
            <w:sz w:val="21"/>
            <w:szCs w:val="21"/>
            <w:u w:val="single"/>
          </w:rPr>
          <w:t>@</w:t>
        </w:r>
        <w:r w:rsidRPr="00D212C4">
          <w:rPr>
            <w:rFonts w:ascii="Times New Roman" w:eastAsia="Times New Roman" w:hAnsi="Times New Roman" w:cs="Times New Roman"/>
            <w:i/>
            <w:color w:val="0563C1"/>
            <w:sz w:val="21"/>
            <w:szCs w:val="21"/>
            <w:u w:val="single"/>
            <w:lang w:val="en-US"/>
          </w:rPr>
          <w:t>fa</w:t>
        </w:r>
        <w:r w:rsidRPr="00D212C4">
          <w:rPr>
            <w:rFonts w:ascii="Times New Roman" w:eastAsia="Times New Roman" w:hAnsi="Times New Roman" w:cs="Times New Roman"/>
            <w:i/>
            <w:color w:val="0563C1"/>
            <w:sz w:val="21"/>
            <w:szCs w:val="21"/>
            <w:u w:val="single"/>
          </w:rPr>
          <w:t>.</w:t>
        </w:r>
        <w:r w:rsidRPr="00D212C4">
          <w:rPr>
            <w:rFonts w:ascii="Times New Roman" w:eastAsia="Times New Roman" w:hAnsi="Times New Roman" w:cs="Times New Roman"/>
            <w:i/>
            <w:color w:val="0563C1"/>
            <w:sz w:val="21"/>
            <w:szCs w:val="21"/>
            <w:u w:val="single"/>
            <w:lang w:val="en-US"/>
          </w:rPr>
          <w:t>ru</w:t>
        </w:r>
      </w:hyperlink>
      <w:r w:rsidRPr="00D212C4">
        <w:rPr>
          <w:rFonts w:ascii="Times New Roman" w:eastAsia="Times New Roman" w:hAnsi="Times New Roman" w:cs="Times New Roman"/>
          <w:i/>
          <w:sz w:val="21"/>
          <w:szCs w:val="21"/>
        </w:rPr>
        <w:t xml:space="preserve"> </w:t>
      </w:r>
    </w:p>
    <w:p w14:paraId="0B7B0B82" w14:textId="77777777" w:rsidR="003E4FE0" w:rsidRPr="00D212C4" w:rsidRDefault="003E4FE0" w:rsidP="003E4FE0">
      <w:pPr>
        <w:spacing w:after="0" w:line="240" w:lineRule="auto"/>
        <w:contextualSpacing/>
        <w:jc w:val="right"/>
        <w:rPr>
          <w:rFonts w:ascii="Calibri" w:eastAsia="Times New Roman" w:hAnsi="Calibri" w:cs="Times New Roman"/>
        </w:rPr>
      </w:pPr>
    </w:p>
    <w:p w14:paraId="75AD1A98" w14:textId="74CE65CD" w:rsidR="00D212C4" w:rsidRPr="00D76DF1" w:rsidRDefault="003E4FE0" w:rsidP="003E4FE0">
      <w:pPr>
        <w:spacing w:after="0" w:line="240" w:lineRule="auto"/>
        <w:jc w:val="center"/>
        <w:rPr>
          <w:rFonts w:ascii="Times New Roman" w:eastAsia="Times New Roman" w:hAnsi="Times New Roman" w:cs="Times New Roman"/>
          <w:b/>
          <w:bCs/>
          <w:sz w:val="21"/>
          <w:szCs w:val="21"/>
          <w:lang w:eastAsia="ar-SA"/>
        </w:rPr>
      </w:pPr>
      <w:r w:rsidRPr="00D76DF1">
        <w:rPr>
          <w:rFonts w:ascii="Times New Roman" w:eastAsia="Times New Roman" w:hAnsi="Times New Roman" w:cs="Times New Roman"/>
          <w:b/>
          <w:bCs/>
          <w:sz w:val="21"/>
          <w:szCs w:val="21"/>
          <w:lang w:eastAsia="ar-SA"/>
        </w:rPr>
        <w:t xml:space="preserve">Цивилизационный подход и путь </w:t>
      </w:r>
      <w:r w:rsidR="00E33B99">
        <w:rPr>
          <w:rFonts w:ascii="Times New Roman" w:eastAsia="Times New Roman" w:hAnsi="Times New Roman" w:cs="Times New Roman"/>
          <w:b/>
          <w:bCs/>
          <w:sz w:val="21"/>
          <w:szCs w:val="21"/>
          <w:lang w:eastAsia="ar-SA"/>
        </w:rPr>
        <w:t>Р</w:t>
      </w:r>
      <w:r w:rsidRPr="00D76DF1">
        <w:rPr>
          <w:rFonts w:ascii="Times New Roman" w:eastAsia="Times New Roman" w:hAnsi="Times New Roman" w:cs="Times New Roman"/>
          <w:b/>
          <w:bCs/>
          <w:sz w:val="21"/>
          <w:szCs w:val="21"/>
          <w:lang w:eastAsia="ar-SA"/>
        </w:rPr>
        <w:t>оссии как цивилизация</w:t>
      </w:r>
    </w:p>
    <w:p w14:paraId="4F0586B6" w14:textId="77777777" w:rsidR="003E4FE0" w:rsidRPr="00D212C4" w:rsidRDefault="003E4FE0" w:rsidP="003E4FE0">
      <w:pPr>
        <w:spacing w:after="0" w:line="240" w:lineRule="auto"/>
        <w:jc w:val="center"/>
        <w:rPr>
          <w:rFonts w:ascii="Times New Roman" w:eastAsia="Times New Roman" w:hAnsi="Times New Roman" w:cs="Times New Roman"/>
          <w:sz w:val="24"/>
          <w:szCs w:val="24"/>
          <w:lang w:eastAsia="ar-SA"/>
        </w:rPr>
      </w:pPr>
    </w:p>
    <w:p w14:paraId="0CE21D40" w14:textId="77777777" w:rsidR="00D212C4" w:rsidRPr="00D212C4" w:rsidRDefault="00D212C4" w:rsidP="003E4FE0">
      <w:pPr>
        <w:spacing w:after="0" w:line="240" w:lineRule="auto"/>
        <w:ind w:firstLine="567"/>
        <w:jc w:val="both"/>
        <w:rPr>
          <w:rFonts w:ascii="Times New Roman" w:eastAsia="Times New Roman" w:hAnsi="Times New Roman" w:cs="Times New Roman"/>
          <w:sz w:val="21"/>
          <w:szCs w:val="21"/>
        </w:rPr>
      </w:pPr>
      <w:r w:rsidRPr="00D212C4">
        <w:rPr>
          <w:rFonts w:ascii="Times New Roman" w:eastAsia="Times New Roman" w:hAnsi="Times New Roman" w:cs="Times New Roman"/>
          <w:b/>
          <w:sz w:val="21"/>
          <w:szCs w:val="21"/>
        </w:rPr>
        <w:t>Аннотация:</w:t>
      </w:r>
      <w:r w:rsidRPr="00D212C4">
        <w:rPr>
          <w:rFonts w:ascii="Times New Roman" w:eastAsia="Times New Roman" w:hAnsi="Times New Roman" w:cs="Times New Roman"/>
          <w:i/>
          <w:sz w:val="21"/>
          <w:szCs w:val="21"/>
        </w:rPr>
        <w:t xml:space="preserve"> </w:t>
      </w:r>
      <w:r w:rsidRPr="00D212C4">
        <w:rPr>
          <w:rFonts w:ascii="Times New Roman" w:eastAsia="Times New Roman" w:hAnsi="Times New Roman" w:cs="Times New Roman"/>
          <w:sz w:val="21"/>
          <w:szCs w:val="21"/>
        </w:rPr>
        <w:t xml:space="preserve">В статье рассматривается цивилизационный подход к истории изучения человеческого общества, приводятся мнения его сторонников. В рамках цивилизационного подхода анализируются особенности российской цивилизации. </w:t>
      </w:r>
    </w:p>
    <w:p w14:paraId="5988E69B" w14:textId="77777777" w:rsidR="00D212C4" w:rsidRPr="00D212C4" w:rsidRDefault="00D212C4" w:rsidP="003E4FE0">
      <w:pPr>
        <w:spacing w:after="0" w:line="240" w:lineRule="auto"/>
        <w:ind w:firstLine="567"/>
        <w:jc w:val="both"/>
        <w:rPr>
          <w:rFonts w:ascii="Times New Roman" w:eastAsia="Times New Roman" w:hAnsi="Times New Roman" w:cs="Times New Roman"/>
          <w:sz w:val="21"/>
          <w:szCs w:val="21"/>
        </w:rPr>
      </w:pPr>
      <w:r w:rsidRPr="00D212C4">
        <w:rPr>
          <w:rFonts w:ascii="Times New Roman" w:eastAsia="Times New Roman" w:hAnsi="Times New Roman" w:cs="Times New Roman"/>
          <w:b/>
          <w:sz w:val="21"/>
          <w:szCs w:val="21"/>
        </w:rPr>
        <w:t>Ключевые слова:</w:t>
      </w:r>
      <w:r w:rsidRPr="00D212C4">
        <w:rPr>
          <w:rFonts w:ascii="Times New Roman" w:eastAsia="Times New Roman" w:hAnsi="Times New Roman" w:cs="Times New Roman"/>
          <w:sz w:val="21"/>
          <w:szCs w:val="21"/>
        </w:rPr>
        <w:t xml:space="preserve"> цивилизационный подход, российская цивилизация, особенности истории и культуры России</w:t>
      </w:r>
    </w:p>
    <w:p w14:paraId="7403B7A6" w14:textId="77777777" w:rsidR="00D212C4" w:rsidRPr="00D212C4" w:rsidRDefault="00D212C4" w:rsidP="003E4FE0">
      <w:pPr>
        <w:spacing w:after="0" w:line="240" w:lineRule="auto"/>
        <w:jc w:val="both"/>
        <w:rPr>
          <w:rFonts w:ascii="Calibri" w:eastAsia="Times New Roman" w:hAnsi="Calibri" w:cs="Times New Roman"/>
          <w:sz w:val="28"/>
          <w:szCs w:val="28"/>
        </w:rPr>
      </w:pPr>
    </w:p>
    <w:p w14:paraId="4DA9585C"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Цивилизация – это высшая ступень развития человеческого общества. Ее эволюция включает множество шагов – таких, как приобретение базовых навыков земледелия и приручение животных; совершенствование общественных отношений и социальной сферы в целом; создание предметов материальной культуры; развитие искусства и науки; появление городов и государств. Эти процессы могут занимать несколько тысячелетий и у каждой цивилизации проходить по-разному.  </w:t>
      </w:r>
    </w:p>
    <w:p w14:paraId="74AFA167"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В настоящее время тема цивилизаций является достаточно актуальной, учитывая глобальные проблемы и цивилизационные кризисы, с которыми столкнулся Запад и остальной мир. Вопросы «Что такое цивилизация?», «В чем отличия западной цивилизации от восточной»? «Место и роль российской цивилизации в мировом сообществе» и ряд других являются предметом научных дискуссий.</w:t>
      </w:r>
    </w:p>
    <w:p w14:paraId="10CFE069"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Цивилизационный подход к изучению человеческого общества зародился в </w:t>
      </w:r>
      <w:r w:rsidRPr="00D212C4">
        <w:rPr>
          <w:rFonts w:ascii="Times New Roman" w:eastAsia="Times New Roman" w:hAnsi="Times New Roman" w:cs="Times New Roman"/>
          <w:sz w:val="32"/>
          <w:szCs w:val="32"/>
          <w:lang w:val="en-US"/>
        </w:rPr>
        <w:t>XIX</w:t>
      </w:r>
      <w:r w:rsidRPr="00D212C4">
        <w:rPr>
          <w:rFonts w:ascii="Times New Roman" w:eastAsia="Times New Roman" w:hAnsi="Times New Roman" w:cs="Times New Roman"/>
          <w:sz w:val="32"/>
          <w:szCs w:val="32"/>
        </w:rPr>
        <w:t xml:space="preserve"> веке. Его сторонники пытались осмыслить особенности социальной жизни. В своем роде цивилизационный подход стал альтернативой формационному подходу, ставившему во главу угла развитие производительных сил.  Как мы знаем, человек – это биосоциальное существо. В процессе отделения человека от природы происходило создание не только материальной, но и духовной культуры, формировались уникальные особенности каждой цивилизации. Эти особенности выразились в различных видах хозяйственной деятельности, социальном расслоении, процессах </w:t>
      </w:r>
      <w:r w:rsidRPr="00D212C4">
        <w:rPr>
          <w:rFonts w:ascii="Times New Roman" w:eastAsia="Times New Roman" w:hAnsi="Times New Roman" w:cs="Times New Roman"/>
          <w:sz w:val="32"/>
          <w:szCs w:val="32"/>
        </w:rPr>
        <w:lastRenderedPageBreak/>
        <w:t>урбанизации, создании и упорядочении аппарата управления, религии, обычаях и традициях.</w:t>
      </w:r>
    </w:p>
    <w:p w14:paraId="11E0D684"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Одним из основоположников цивилизационного подхода был Николай Яковлевич Данилевский (1822–1885) – выдающийся русский социолог и философ. Он предложил концепцию «культурно-исторических типов» как обособленных единиц, противопоставляя эту идею идеям традиционной истории. Н.Я. Данилевский считал, что каждая цивилизация представляет собой уникальную духовную и культурную систему, которая формирует самобытность, ценности и мировоззрение отдельного сообщества. Он утверждал, что «Цивилизация — это организм, живущий по своим законам, со своей внутренней логикой развития» [1]. Н.Я. Данилевский выделил четыре степени активности «основных направлений народной деятельности». Первая степень активности – религиозная, определяющая мораль данного общества, поведения человека в нём. Действительно, религиозные заповеди стали основой норм, правил и нравственных ценностей и одновременно предопределили различия в менталитете наций и народов. Но формирование цивилизаций как культурно-исторических типов не ограничивается одной религией. Вторая степень активности — культурная, проявляется в научной, хозяйственной деятельности, формируя необходимые условия для выживания как отдельного человека, так и общества в целом. Третья степень активности – политическая деятельность создаёт определённый тип государства и права. И, наконец, четвертая степень активности – общественно-экономическая деятельность устанавливает правила пользования общими ресурсами вне цивилизаций, и отношения между ними.</w:t>
      </w:r>
    </w:p>
    <w:p w14:paraId="79924C88"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Одним из основоположников цивилизационного подхода является и немецкий философ Освальд Шпенглер (1880–1936).  В своей работе «Закат Европы» он предложил концепцию, согласно которой цивилизации развиваются аналогично живым организмам. Он выделял различные стадии их существования: рождение, расцвет, старение и упадок. По мнению О. Шпенглера, цивилизация — это заключительная стадия в развитии культуры, на которой происходит её вырождение, закат и «омертвление». Именно на этой стадии, по мнению философа, находится западноевропейская цивилизация, которая достигла больших успехов в науке и технике, но деградировала в духовном и моральном плане. При этом О. Шпенглер </w:t>
      </w:r>
      <w:r w:rsidRPr="00D212C4">
        <w:rPr>
          <w:rFonts w:ascii="Times New Roman" w:eastAsia="Times New Roman" w:hAnsi="Times New Roman" w:cs="Times New Roman"/>
          <w:sz w:val="32"/>
          <w:szCs w:val="32"/>
        </w:rPr>
        <w:lastRenderedPageBreak/>
        <w:t>предсказывал возникновение новой культуры – «российско-сибирской» [2].</w:t>
      </w:r>
    </w:p>
    <w:p w14:paraId="7C8F01A7"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 Рассмотрим точку зрения современного философа Самюэля Хантингтона (1927–2008). В своей работе «Столкновение цивилизаций» он дал следующее определение ««Цивилизации определяются наличием общих черт объективного порядка, таких как язык, история, религия, обычаи, институты, а также субъективной самоидентификацией людей». С. Хантингтон рассматривал Россию как часть восточно-православной цивилизации [3]. </w:t>
      </w:r>
    </w:p>
    <w:p w14:paraId="153F5470"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Однако, по нашему мнению, Россия – это самодостаточная и самобытная цивилизация, которая не является частью ни западного, ни восточного, ни славянского мира. </w:t>
      </w:r>
    </w:p>
    <w:p w14:paraId="39970E66"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В пользу своего утверждения приведу следующие аргументы. Во-первых, наша страна обладает уникальной историей формирования национальной идентичности. Эта история состоит из ряда этапов: Древнерусское государство (Киевская Русь), Московское царство, Российская империя, Советский Союз, Российская Федерация. Через эти этапы российское общество проходило самостоятельно, и в данном процессе сформировались отличия в развитии от Запада, Востока и славянских народов. </w:t>
      </w:r>
    </w:p>
    <w:p w14:paraId="7310445B"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Во-вторых, можно сказать об уникальности русской культуры, которая проявляется в литературе, искусстве и языке. Наш язык существенно отличается от того же греческого или сербского языков. Русская культура на протяжении долгого времени формировала собственные ценности, связанные с патриотизмом, силой духа и единства русского народа, что позволяет также рассматривать Россию как самобытную цивилизацию. </w:t>
      </w:r>
    </w:p>
    <w:p w14:paraId="521B4713"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В-третьих, уже несколько столетий Россия выступает одним из глобальных акторов на мировой арене. Она проводит самостоятельную внешнюю политику, не подстраиваясь под планы других великих держав и международных альянсов, что опять-таки отличает нашу страну от остального славянского мира [4]. </w:t>
      </w:r>
    </w:p>
    <w:p w14:paraId="7B829305"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Достаточно спорным является вопрос о взаимоотношениях российской и западной цивилизаций. Ряд мыслителей относит Россию к европейскому культурно-историческому типу, поскольку исторически Русь формировалась в рамках христианской Европы. Христианство оказало огромное влияние на культуру нашей страны, систему моральных норм и нравственных ценностей. Однако, в отличие от католической и протестантской Европы, православная </w:t>
      </w:r>
      <w:r w:rsidRPr="00D212C4">
        <w:rPr>
          <w:rFonts w:ascii="Times New Roman" w:eastAsia="Times New Roman" w:hAnsi="Times New Roman" w:cs="Times New Roman"/>
          <w:sz w:val="32"/>
          <w:szCs w:val="32"/>
        </w:rPr>
        <w:lastRenderedPageBreak/>
        <w:t xml:space="preserve">российская цивилизация на протяжении столетий претворяет в жизнь особую историческую миссию, основанную на идее спасения. Отсюда – единство российской нации, сильный дух, патриотизм, и другие особенности мировоззрения русского народа. </w:t>
      </w:r>
    </w:p>
    <w:p w14:paraId="5B4F0EF7"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Отметим также влияние географических условий. Жизнь давалась русским людям гораздо тяжелее нежели европейцам. Суровые зимы, тяжёлые условия выживания в сложной природной среде Восточно-Европейской равнины значительно повлияли на менталитет российского общества и сформировали такие качества как сплоченность, коллективизм, терпение, готовность быстро мобилизоваться в экстремальных ситуациях. </w:t>
      </w:r>
    </w:p>
    <w:p w14:paraId="02FE0628"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Также не следует забывать о том, что России, в отличие от Европы, не свойственен экспансионизм. Россия и Европа – разные цивилизации и никогда не будут единым целым. В поддержку своего мнения приведу слова Н.Я. Данилевского: «Европа не признает нас своими. Она видит в России и славянах вообще нечто ей чуждое…» [1].</w:t>
      </w:r>
    </w:p>
    <w:p w14:paraId="663ED9A3"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В заключении хочу выделить наиболее значимые, на мой взгляд, исторические события, которые оказали значительное влияние на формирование в России уникальной цивилизации. Одним из важнейших, по моему мнению, стало крещение Руси в православную веру (988 г.), что послужило основой формирования самобытной идеологии и культуры, отличной от западноевропейской. </w:t>
      </w:r>
    </w:p>
    <w:p w14:paraId="14302965"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Следующее важное событие – монгольские завоевания первой половины XIII в., которые оказали значительное влияние на становление российской государственности по принципу самодержавной власти.</w:t>
      </w:r>
    </w:p>
    <w:p w14:paraId="16B0D6BE"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Смутное время и борьба с польской интервенцией – в этот период произошло сплочение российского общества перед лицом надвигающейся национальной катастрофы, а успешное отражение агрессии и преодоление внутренних кризисов укрепило государственные устои и национальный дух. </w:t>
      </w:r>
    </w:p>
    <w:p w14:paraId="192B02B4"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Нельзя оставить без внимания и события Великой Отечественной войны, которая завершилась освобождением родной земли и оккупированной Европы, но и победой над фашизмом, укреплением международного авторитета и приобретением статуса мировой державы. </w:t>
      </w:r>
    </w:p>
    <w:p w14:paraId="22137867"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lastRenderedPageBreak/>
        <w:t>Таким образом, Россия является уникальной, самодостаточной цивилизацией и имеет свой путь исторического развития. Ее судьба определяется следующими факторами:</w:t>
      </w:r>
    </w:p>
    <w:p w14:paraId="5FFEC60E"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 геополитическое положение (занимает одну восьмую часть земной суши, обладает обширными запасами природных ресурсов) </w:t>
      </w:r>
    </w:p>
    <w:p w14:paraId="4C010198"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 огромный экономический и технологический потенциал </w:t>
      </w:r>
    </w:p>
    <w:p w14:paraId="5DA6FD62"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 великая культура (богатое культурное наследие, литература, язык, искусство и религия) </w:t>
      </w:r>
    </w:p>
    <w:p w14:paraId="6A537848" w14:textId="77777777" w:rsidR="00D212C4" w:rsidRPr="00D212C4" w:rsidRDefault="00D212C4" w:rsidP="003E4FE0">
      <w:pPr>
        <w:spacing w:after="0" w:line="240" w:lineRule="auto"/>
        <w:ind w:firstLine="709"/>
        <w:contextualSpacing/>
        <w:jc w:val="both"/>
        <w:rPr>
          <w:rFonts w:ascii="Times New Roman" w:eastAsia="Times New Roman" w:hAnsi="Times New Roman" w:cs="Times New Roman"/>
          <w:sz w:val="32"/>
          <w:szCs w:val="32"/>
        </w:rPr>
      </w:pPr>
      <w:r w:rsidRPr="00D212C4">
        <w:rPr>
          <w:rFonts w:ascii="Times New Roman" w:eastAsia="Times New Roman" w:hAnsi="Times New Roman" w:cs="Times New Roman"/>
          <w:sz w:val="32"/>
          <w:szCs w:val="32"/>
        </w:rPr>
        <w:t xml:space="preserve">- собственный исторический путь.  </w:t>
      </w:r>
    </w:p>
    <w:p w14:paraId="1F3A60A3" w14:textId="77777777" w:rsidR="00D212C4" w:rsidRPr="00D212C4" w:rsidRDefault="00D212C4" w:rsidP="00D212C4">
      <w:pPr>
        <w:spacing w:before="40" w:after="40" w:line="276" w:lineRule="auto"/>
        <w:jc w:val="both"/>
        <w:rPr>
          <w:rFonts w:ascii="Times New Roman" w:eastAsia="Times New Roman" w:hAnsi="Times New Roman" w:cs="Times New Roman"/>
          <w:b/>
          <w:bCs/>
          <w:sz w:val="20"/>
          <w:szCs w:val="20"/>
        </w:rPr>
      </w:pPr>
    </w:p>
    <w:p w14:paraId="1D9A1812" w14:textId="77777777" w:rsidR="00D212C4" w:rsidRPr="00D212C4" w:rsidRDefault="00D212C4" w:rsidP="00D212C4">
      <w:pPr>
        <w:spacing w:before="40" w:after="40" w:line="276" w:lineRule="auto"/>
        <w:jc w:val="center"/>
        <w:rPr>
          <w:rFonts w:ascii="Times New Roman" w:eastAsia="Times New Roman" w:hAnsi="Times New Roman" w:cs="Times New Roman"/>
          <w:b/>
          <w:bCs/>
          <w:sz w:val="20"/>
          <w:szCs w:val="20"/>
        </w:rPr>
      </w:pPr>
      <w:r w:rsidRPr="00D212C4">
        <w:rPr>
          <w:rFonts w:ascii="Times New Roman" w:eastAsia="Times New Roman" w:hAnsi="Times New Roman" w:cs="Times New Roman"/>
          <w:b/>
          <w:bCs/>
          <w:sz w:val="20"/>
          <w:szCs w:val="20"/>
        </w:rPr>
        <w:t>Литература:</w:t>
      </w:r>
    </w:p>
    <w:p w14:paraId="3B9A2FA0" w14:textId="77777777" w:rsidR="00D212C4" w:rsidRPr="00D212C4" w:rsidRDefault="00D212C4" w:rsidP="00D212C4">
      <w:pPr>
        <w:spacing w:before="40" w:after="40" w:line="240" w:lineRule="auto"/>
        <w:contextualSpacing/>
        <w:jc w:val="both"/>
        <w:rPr>
          <w:rFonts w:ascii="Times New Roman" w:eastAsia="Times New Roman" w:hAnsi="Times New Roman" w:cs="Times New Roman"/>
          <w:sz w:val="20"/>
          <w:szCs w:val="20"/>
        </w:rPr>
      </w:pPr>
      <w:r w:rsidRPr="00D212C4">
        <w:rPr>
          <w:rFonts w:ascii="Times New Roman" w:eastAsia="Times New Roman" w:hAnsi="Times New Roman" w:cs="Times New Roman"/>
          <w:i/>
          <w:iCs/>
          <w:sz w:val="20"/>
          <w:szCs w:val="20"/>
        </w:rPr>
        <w:t xml:space="preserve">1. </w:t>
      </w:r>
      <w:r w:rsidRPr="00D212C4">
        <w:rPr>
          <w:rFonts w:ascii="Times New Roman" w:eastAsia="Times New Roman" w:hAnsi="Times New Roman" w:cs="Times New Roman"/>
          <w:sz w:val="20"/>
          <w:szCs w:val="20"/>
        </w:rPr>
        <w:t xml:space="preserve">Данилевский, Н. Я.  Россия и Европа / Н. Я. Данилевский. — Москва: Издательство Юрайт, 2025. — 453 с. [Электронный ресурс:  </w:t>
      </w:r>
      <w:hyperlink r:id="rId683" w:tgtFrame="_blank" w:history="1">
        <w:r w:rsidRPr="00D212C4">
          <w:rPr>
            <w:rFonts w:ascii="Times New Roman" w:eastAsia="Times New Roman" w:hAnsi="Times New Roman" w:cs="Times New Roman"/>
            <w:color w:val="0563C1"/>
            <w:sz w:val="20"/>
            <w:szCs w:val="20"/>
            <w:u w:val="single"/>
          </w:rPr>
          <w:t>https://urait.ru/bcode/562234</w:t>
        </w:r>
      </w:hyperlink>
      <w:r w:rsidRPr="00D212C4">
        <w:rPr>
          <w:rFonts w:ascii="Times New Roman" w:eastAsia="Times New Roman" w:hAnsi="Times New Roman" w:cs="Times New Roman"/>
          <w:sz w:val="20"/>
          <w:szCs w:val="20"/>
        </w:rPr>
        <w:t> (дата обращения: 19.04.2025)]</w:t>
      </w:r>
    </w:p>
    <w:p w14:paraId="2521D2BC" w14:textId="77777777" w:rsidR="00D212C4" w:rsidRPr="00D212C4" w:rsidRDefault="00D212C4" w:rsidP="00D212C4">
      <w:pPr>
        <w:spacing w:after="200" w:line="240" w:lineRule="auto"/>
        <w:contextualSpacing/>
        <w:jc w:val="both"/>
        <w:rPr>
          <w:rFonts w:ascii="Times New Roman" w:eastAsia="Times New Roman" w:hAnsi="Times New Roman" w:cs="Times New Roman"/>
          <w:sz w:val="20"/>
          <w:szCs w:val="20"/>
        </w:rPr>
      </w:pPr>
      <w:r w:rsidRPr="00D212C4">
        <w:rPr>
          <w:rFonts w:ascii="Times New Roman" w:eastAsia="Times New Roman" w:hAnsi="Times New Roman" w:cs="Times New Roman"/>
          <w:sz w:val="20"/>
          <w:szCs w:val="20"/>
        </w:rPr>
        <w:t xml:space="preserve">2. Шпенглер, Освальд. Закат Европы [Текст] / Освальд Шпенглер; с предисловием А. </w:t>
      </w:r>
      <w:proofErr w:type="gramStart"/>
      <w:r w:rsidRPr="00D212C4">
        <w:rPr>
          <w:rFonts w:ascii="Times New Roman" w:eastAsia="Times New Roman" w:hAnsi="Times New Roman" w:cs="Times New Roman"/>
          <w:sz w:val="20"/>
          <w:szCs w:val="20"/>
        </w:rPr>
        <w:t>Деборина ;</w:t>
      </w:r>
      <w:proofErr w:type="gramEnd"/>
      <w:r w:rsidRPr="00D212C4">
        <w:rPr>
          <w:rFonts w:ascii="Times New Roman" w:eastAsia="Times New Roman" w:hAnsi="Times New Roman" w:cs="Times New Roman"/>
          <w:sz w:val="20"/>
          <w:szCs w:val="20"/>
        </w:rPr>
        <w:t xml:space="preserve"> перевод Н. Ф. Гарелина. Образ и действительность. — </w:t>
      </w:r>
      <w:proofErr w:type="gramStart"/>
      <w:r w:rsidRPr="00D212C4">
        <w:rPr>
          <w:rFonts w:ascii="Times New Roman" w:eastAsia="Times New Roman" w:hAnsi="Times New Roman" w:cs="Times New Roman"/>
          <w:sz w:val="20"/>
          <w:szCs w:val="20"/>
        </w:rPr>
        <w:t>Москва :</w:t>
      </w:r>
      <w:proofErr w:type="gramEnd"/>
      <w:r w:rsidRPr="00D212C4">
        <w:rPr>
          <w:rFonts w:ascii="Times New Roman" w:eastAsia="Times New Roman" w:hAnsi="Times New Roman" w:cs="Times New Roman"/>
          <w:sz w:val="20"/>
          <w:szCs w:val="20"/>
        </w:rPr>
        <w:t xml:space="preserve"> Изд-во Л. Д. Френкель; Петроград : Изд-во Л. Д. Френкель, 1923-, 1923. — 467 с. </w:t>
      </w:r>
      <w:bookmarkStart w:id="105" w:name="_Hlk198552575"/>
      <w:r w:rsidRPr="00D212C4">
        <w:rPr>
          <w:rFonts w:ascii="Times New Roman" w:eastAsia="Times New Roman" w:hAnsi="Times New Roman" w:cs="Times New Roman"/>
          <w:sz w:val="20"/>
          <w:szCs w:val="20"/>
        </w:rPr>
        <w:t xml:space="preserve">[Электронный ресурс:  </w:t>
      </w:r>
      <w:bookmarkEnd w:id="105"/>
      <w:r w:rsidRPr="00D212C4">
        <w:rPr>
          <w:rFonts w:ascii="Times New Roman" w:eastAsia="Times New Roman" w:hAnsi="Times New Roman" w:cs="Times New Roman"/>
          <w:sz w:val="20"/>
          <w:szCs w:val="20"/>
        </w:rPr>
        <w:fldChar w:fldCharType="begin"/>
      </w:r>
      <w:r w:rsidRPr="00D212C4">
        <w:rPr>
          <w:rFonts w:ascii="Times New Roman" w:eastAsia="Times New Roman" w:hAnsi="Times New Roman" w:cs="Times New Roman"/>
          <w:sz w:val="20"/>
          <w:szCs w:val="20"/>
        </w:rPr>
        <w:instrText>HYPERLINK "https://royallib.com/book/osvald_shpengler/zakat_evropi.html"</w:instrText>
      </w:r>
      <w:r w:rsidRPr="00D212C4">
        <w:rPr>
          <w:rFonts w:ascii="Times New Roman" w:eastAsia="Times New Roman" w:hAnsi="Times New Roman" w:cs="Times New Roman"/>
          <w:sz w:val="20"/>
          <w:szCs w:val="20"/>
        </w:rPr>
        <w:fldChar w:fldCharType="separate"/>
      </w:r>
      <w:r w:rsidRPr="00D212C4">
        <w:rPr>
          <w:rFonts w:ascii="Times New Roman" w:eastAsia="Times New Roman" w:hAnsi="Times New Roman" w:cs="Times New Roman"/>
          <w:color w:val="0563C1"/>
          <w:sz w:val="20"/>
          <w:szCs w:val="20"/>
          <w:u w:val="single"/>
        </w:rPr>
        <w:t>https://royallib.com/book/osvald_shpengler/zakat_evropi.html</w:t>
      </w:r>
      <w:r w:rsidRPr="00D212C4">
        <w:rPr>
          <w:rFonts w:ascii="Times New Roman" w:eastAsia="Times New Roman" w:hAnsi="Times New Roman" w:cs="Times New Roman"/>
          <w:sz w:val="20"/>
          <w:szCs w:val="20"/>
        </w:rPr>
        <w:fldChar w:fldCharType="end"/>
      </w:r>
      <w:r w:rsidRPr="00D212C4">
        <w:rPr>
          <w:rFonts w:ascii="Times New Roman" w:eastAsia="Times New Roman" w:hAnsi="Times New Roman" w:cs="Times New Roman"/>
          <w:sz w:val="20"/>
          <w:szCs w:val="20"/>
        </w:rPr>
        <w:t xml:space="preserve"> (дата обращения: 19.04.2025)]</w:t>
      </w:r>
    </w:p>
    <w:p w14:paraId="1D9E4653" w14:textId="77777777" w:rsidR="00D212C4" w:rsidRPr="00D212C4" w:rsidRDefault="00D212C4" w:rsidP="00D212C4">
      <w:pPr>
        <w:spacing w:after="200" w:line="240" w:lineRule="auto"/>
        <w:contextualSpacing/>
        <w:jc w:val="both"/>
        <w:rPr>
          <w:rFonts w:ascii="Times New Roman" w:eastAsia="Times New Roman" w:hAnsi="Times New Roman" w:cs="Times New Roman"/>
          <w:sz w:val="20"/>
          <w:szCs w:val="20"/>
        </w:rPr>
      </w:pPr>
      <w:r w:rsidRPr="00D212C4">
        <w:rPr>
          <w:rFonts w:ascii="Times New Roman" w:eastAsia="Times New Roman" w:hAnsi="Times New Roman" w:cs="Times New Roman"/>
          <w:sz w:val="20"/>
          <w:szCs w:val="20"/>
        </w:rPr>
        <w:t xml:space="preserve">3. Хантингтон, Сэмюэл. Столкновение цивилизаций = The clash of civilizations [Текст] / Самюэль Хантингтон; [пер. с англ. Т. </w:t>
      </w:r>
      <w:proofErr w:type="gramStart"/>
      <w:r w:rsidRPr="00D212C4">
        <w:rPr>
          <w:rFonts w:ascii="Times New Roman" w:eastAsia="Times New Roman" w:hAnsi="Times New Roman" w:cs="Times New Roman"/>
          <w:sz w:val="20"/>
          <w:szCs w:val="20"/>
        </w:rPr>
        <w:t>Велимеева ;</w:t>
      </w:r>
      <w:proofErr w:type="gramEnd"/>
      <w:r w:rsidRPr="00D212C4">
        <w:rPr>
          <w:rFonts w:ascii="Times New Roman" w:eastAsia="Times New Roman" w:hAnsi="Times New Roman" w:cs="Times New Roman"/>
          <w:sz w:val="20"/>
          <w:szCs w:val="20"/>
        </w:rPr>
        <w:t xml:space="preserve"> предисл. З. Бжезинского]. - Москва: АСТ, 2015. – 571 с. [Электронный ресурс:</w:t>
      </w:r>
      <w:r w:rsidRPr="00D212C4">
        <w:rPr>
          <w:rFonts w:ascii="Calibri" w:eastAsia="Times New Roman" w:hAnsi="Calibri" w:cs="Times New Roman"/>
        </w:rPr>
        <w:t xml:space="preserve"> </w:t>
      </w:r>
      <w:r w:rsidRPr="00D212C4">
        <w:rPr>
          <w:rFonts w:ascii="Times New Roman" w:eastAsia="Times New Roman" w:hAnsi="Times New Roman" w:cs="Times New Roman"/>
          <w:sz w:val="20"/>
          <w:szCs w:val="20"/>
        </w:rPr>
        <w:t>https://gtmarket.ru/library/basis/3893/3895 (дата обращения: 19.04.2025)]</w:t>
      </w:r>
    </w:p>
    <w:p w14:paraId="5BFC9154" w14:textId="77777777" w:rsidR="00D212C4" w:rsidRPr="00D212C4" w:rsidRDefault="00D212C4" w:rsidP="00D212C4">
      <w:pPr>
        <w:spacing w:after="200" w:line="240" w:lineRule="auto"/>
        <w:contextualSpacing/>
        <w:jc w:val="both"/>
        <w:rPr>
          <w:rFonts w:ascii="Times New Roman" w:eastAsia="Times New Roman" w:hAnsi="Times New Roman" w:cs="Times New Roman"/>
          <w:sz w:val="20"/>
          <w:szCs w:val="20"/>
        </w:rPr>
      </w:pPr>
      <w:r w:rsidRPr="00D212C4">
        <w:rPr>
          <w:rFonts w:ascii="Times New Roman" w:eastAsia="Times New Roman" w:hAnsi="Times New Roman" w:cs="Times New Roman"/>
          <w:sz w:val="20"/>
          <w:szCs w:val="20"/>
        </w:rPr>
        <w:t>4. Бершадская О.В., Титоренко М.Ф. История России как часть всемирно-исторического процесса (с древнейших времен до конца ХХ в.). М.: РУСАЙНС, 2019. – 144 с.</w:t>
      </w:r>
    </w:p>
    <w:p w14:paraId="0873ED75" w14:textId="77777777" w:rsidR="00D212C4" w:rsidRPr="0001591D" w:rsidRDefault="00D212C4" w:rsidP="00D212C4">
      <w:pPr>
        <w:spacing w:after="0" w:line="240" w:lineRule="auto"/>
        <w:jc w:val="both"/>
        <w:rPr>
          <w:rFonts w:ascii="Times New Roman" w:eastAsiaTheme="minorHAnsi" w:hAnsi="Times New Roman" w:cs="Times New Roman"/>
          <w:sz w:val="21"/>
          <w:szCs w:val="21"/>
        </w:rPr>
      </w:pPr>
    </w:p>
    <w:p w14:paraId="00878C81" w14:textId="77777777" w:rsidR="0001591D" w:rsidRPr="0001591D" w:rsidRDefault="0001591D" w:rsidP="0001591D">
      <w:pPr>
        <w:jc w:val="right"/>
        <w:rPr>
          <w:rFonts w:ascii="Times New Roman" w:eastAsiaTheme="minorHAnsi" w:hAnsi="Times New Roman" w:cs="Times New Roman"/>
          <w:b/>
          <w:i/>
          <w:sz w:val="21"/>
          <w:szCs w:val="21"/>
        </w:rPr>
      </w:pPr>
    </w:p>
    <w:p w14:paraId="6B25D7F9" w14:textId="77777777" w:rsidR="0001591D" w:rsidRDefault="0001591D" w:rsidP="0001591D">
      <w:pPr>
        <w:jc w:val="right"/>
        <w:rPr>
          <w:rFonts w:ascii="Times New Roman" w:eastAsiaTheme="minorHAnsi" w:hAnsi="Times New Roman" w:cs="Times New Roman"/>
          <w:i/>
          <w:sz w:val="21"/>
          <w:szCs w:val="21"/>
        </w:rPr>
      </w:pPr>
    </w:p>
    <w:p w14:paraId="23AE11CB" w14:textId="77777777" w:rsidR="009B429B" w:rsidRDefault="009B429B" w:rsidP="0001591D">
      <w:pPr>
        <w:jc w:val="right"/>
        <w:rPr>
          <w:rFonts w:ascii="Times New Roman" w:eastAsiaTheme="minorHAnsi" w:hAnsi="Times New Roman" w:cs="Times New Roman"/>
          <w:i/>
          <w:sz w:val="21"/>
          <w:szCs w:val="21"/>
        </w:rPr>
      </w:pPr>
    </w:p>
    <w:p w14:paraId="17246647" w14:textId="77777777" w:rsidR="009B429B" w:rsidRDefault="009B429B" w:rsidP="0001591D">
      <w:pPr>
        <w:jc w:val="right"/>
        <w:rPr>
          <w:rFonts w:ascii="Times New Roman" w:eastAsiaTheme="minorHAnsi" w:hAnsi="Times New Roman" w:cs="Times New Roman"/>
          <w:i/>
          <w:sz w:val="21"/>
          <w:szCs w:val="21"/>
        </w:rPr>
      </w:pPr>
    </w:p>
    <w:p w14:paraId="0E131D1B" w14:textId="77777777" w:rsidR="009B429B" w:rsidRDefault="009B429B" w:rsidP="0001591D">
      <w:pPr>
        <w:jc w:val="right"/>
        <w:rPr>
          <w:rFonts w:ascii="Times New Roman" w:eastAsiaTheme="minorHAnsi" w:hAnsi="Times New Roman" w:cs="Times New Roman"/>
          <w:i/>
          <w:sz w:val="21"/>
          <w:szCs w:val="21"/>
        </w:rPr>
      </w:pPr>
    </w:p>
    <w:p w14:paraId="37AFF8AD" w14:textId="77777777" w:rsidR="009B429B" w:rsidRDefault="009B429B" w:rsidP="0001591D">
      <w:pPr>
        <w:jc w:val="right"/>
        <w:rPr>
          <w:rFonts w:ascii="Times New Roman" w:eastAsiaTheme="minorHAnsi" w:hAnsi="Times New Roman" w:cs="Times New Roman"/>
          <w:i/>
          <w:sz w:val="21"/>
          <w:szCs w:val="21"/>
        </w:rPr>
      </w:pPr>
    </w:p>
    <w:p w14:paraId="64FF9650" w14:textId="77777777" w:rsidR="009B429B" w:rsidRDefault="009B429B" w:rsidP="0001591D">
      <w:pPr>
        <w:jc w:val="right"/>
        <w:rPr>
          <w:rFonts w:ascii="Times New Roman" w:eastAsiaTheme="minorHAnsi" w:hAnsi="Times New Roman" w:cs="Times New Roman"/>
          <w:i/>
          <w:sz w:val="21"/>
          <w:szCs w:val="21"/>
        </w:rPr>
      </w:pPr>
    </w:p>
    <w:p w14:paraId="10A53712" w14:textId="77777777" w:rsidR="009B429B" w:rsidRDefault="009B429B" w:rsidP="0001591D">
      <w:pPr>
        <w:jc w:val="right"/>
        <w:rPr>
          <w:rFonts w:ascii="Times New Roman" w:eastAsiaTheme="minorHAnsi" w:hAnsi="Times New Roman" w:cs="Times New Roman"/>
          <w:i/>
          <w:sz w:val="21"/>
          <w:szCs w:val="21"/>
        </w:rPr>
      </w:pPr>
    </w:p>
    <w:p w14:paraId="4B78FB02" w14:textId="77777777" w:rsidR="009B429B" w:rsidRDefault="009B429B" w:rsidP="0001591D">
      <w:pPr>
        <w:jc w:val="right"/>
        <w:rPr>
          <w:rFonts w:ascii="Times New Roman" w:eastAsiaTheme="minorHAnsi" w:hAnsi="Times New Roman" w:cs="Times New Roman"/>
          <w:i/>
          <w:sz w:val="21"/>
          <w:szCs w:val="21"/>
        </w:rPr>
      </w:pPr>
    </w:p>
    <w:p w14:paraId="38F68313" w14:textId="77777777" w:rsidR="009B429B" w:rsidRDefault="009B429B" w:rsidP="0001591D">
      <w:pPr>
        <w:jc w:val="right"/>
        <w:rPr>
          <w:rFonts w:ascii="Times New Roman" w:eastAsiaTheme="minorHAnsi" w:hAnsi="Times New Roman" w:cs="Times New Roman"/>
          <w:i/>
          <w:sz w:val="21"/>
          <w:szCs w:val="21"/>
        </w:rPr>
      </w:pPr>
    </w:p>
    <w:p w14:paraId="39C64D1C" w14:textId="77777777" w:rsidR="009B429B" w:rsidRDefault="009B429B" w:rsidP="0001591D">
      <w:pPr>
        <w:jc w:val="right"/>
        <w:rPr>
          <w:rFonts w:ascii="Times New Roman" w:eastAsiaTheme="minorHAnsi" w:hAnsi="Times New Roman" w:cs="Times New Roman"/>
          <w:i/>
          <w:sz w:val="21"/>
          <w:szCs w:val="21"/>
        </w:rPr>
      </w:pPr>
    </w:p>
    <w:p w14:paraId="2DA6605E" w14:textId="77777777" w:rsidR="009B429B" w:rsidRDefault="009B429B" w:rsidP="0001591D">
      <w:pPr>
        <w:jc w:val="right"/>
        <w:rPr>
          <w:rFonts w:ascii="Times New Roman" w:eastAsiaTheme="minorHAnsi" w:hAnsi="Times New Roman" w:cs="Times New Roman"/>
          <w:i/>
          <w:sz w:val="21"/>
          <w:szCs w:val="21"/>
        </w:rPr>
      </w:pPr>
    </w:p>
    <w:p w14:paraId="3ECBFC08" w14:textId="77777777" w:rsidR="009B429B" w:rsidRDefault="009B429B" w:rsidP="0001591D">
      <w:pPr>
        <w:jc w:val="right"/>
        <w:rPr>
          <w:rFonts w:ascii="Times New Roman" w:eastAsiaTheme="minorHAnsi" w:hAnsi="Times New Roman" w:cs="Times New Roman"/>
          <w:i/>
          <w:sz w:val="21"/>
          <w:szCs w:val="21"/>
        </w:rPr>
      </w:pPr>
    </w:p>
    <w:p w14:paraId="712C5E73" w14:textId="77777777" w:rsidR="009B429B" w:rsidRDefault="009B429B" w:rsidP="0001591D">
      <w:pPr>
        <w:jc w:val="right"/>
        <w:rPr>
          <w:rFonts w:ascii="Times New Roman" w:eastAsiaTheme="minorHAnsi" w:hAnsi="Times New Roman" w:cs="Times New Roman"/>
          <w:i/>
          <w:sz w:val="21"/>
          <w:szCs w:val="21"/>
        </w:rPr>
      </w:pPr>
    </w:p>
    <w:p w14:paraId="32342009" w14:textId="77777777" w:rsidR="009B429B" w:rsidRDefault="009B429B" w:rsidP="0001591D">
      <w:pPr>
        <w:jc w:val="right"/>
        <w:rPr>
          <w:rFonts w:ascii="Times New Roman" w:eastAsiaTheme="minorHAnsi" w:hAnsi="Times New Roman" w:cs="Times New Roman"/>
          <w:i/>
          <w:sz w:val="21"/>
          <w:szCs w:val="21"/>
        </w:rPr>
      </w:pPr>
    </w:p>
    <w:p w14:paraId="4D3F7A0C" w14:textId="77777777" w:rsidR="009B429B" w:rsidRDefault="009B429B" w:rsidP="0001591D">
      <w:pPr>
        <w:jc w:val="right"/>
        <w:rPr>
          <w:rFonts w:ascii="Times New Roman" w:eastAsiaTheme="minorHAnsi" w:hAnsi="Times New Roman" w:cs="Times New Roman"/>
          <w:i/>
          <w:sz w:val="21"/>
          <w:szCs w:val="21"/>
        </w:rPr>
      </w:pPr>
    </w:p>
    <w:p w14:paraId="2715E124" w14:textId="77777777" w:rsidR="009B429B" w:rsidRDefault="009B429B" w:rsidP="0001591D">
      <w:pPr>
        <w:jc w:val="right"/>
        <w:rPr>
          <w:rFonts w:ascii="Times New Roman" w:eastAsiaTheme="minorHAnsi" w:hAnsi="Times New Roman" w:cs="Times New Roman"/>
          <w:i/>
          <w:sz w:val="21"/>
          <w:szCs w:val="21"/>
        </w:rPr>
      </w:pPr>
    </w:p>
    <w:p w14:paraId="575B9113" w14:textId="77777777" w:rsidR="009B429B" w:rsidRDefault="009B429B" w:rsidP="0001591D">
      <w:pPr>
        <w:jc w:val="right"/>
        <w:rPr>
          <w:rFonts w:ascii="Times New Roman" w:eastAsiaTheme="minorHAnsi" w:hAnsi="Times New Roman" w:cs="Times New Roman"/>
          <w:i/>
          <w:sz w:val="21"/>
          <w:szCs w:val="21"/>
        </w:rPr>
      </w:pPr>
    </w:p>
    <w:p w14:paraId="264E95C6" w14:textId="77777777" w:rsidR="009B429B" w:rsidRDefault="009B429B" w:rsidP="0001591D">
      <w:pPr>
        <w:jc w:val="right"/>
        <w:rPr>
          <w:rFonts w:ascii="Times New Roman" w:eastAsiaTheme="minorHAnsi" w:hAnsi="Times New Roman" w:cs="Times New Roman"/>
          <w:i/>
          <w:sz w:val="21"/>
          <w:szCs w:val="21"/>
        </w:rPr>
      </w:pPr>
    </w:p>
    <w:p w14:paraId="06FB5FB3" w14:textId="77777777" w:rsidR="009B429B" w:rsidRDefault="009B429B" w:rsidP="0001591D">
      <w:pPr>
        <w:jc w:val="right"/>
        <w:rPr>
          <w:rFonts w:ascii="Times New Roman" w:eastAsiaTheme="minorHAnsi" w:hAnsi="Times New Roman" w:cs="Times New Roman"/>
          <w:i/>
          <w:sz w:val="21"/>
          <w:szCs w:val="21"/>
        </w:rPr>
      </w:pPr>
    </w:p>
    <w:p w14:paraId="453FC9CC" w14:textId="77777777" w:rsidR="009B429B" w:rsidRDefault="009B429B" w:rsidP="0001591D">
      <w:pPr>
        <w:jc w:val="right"/>
        <w:rPr>
          <w:rFonts w:ascii="Times New Roman" w:eastAsiaTheme="minorHAnsi" w:hAnsi="Times New Roman" w:cs="Times New Roman"/>
          <w:i/>
          <w:sz w:val="21"/>
          <w:szCs w:val="21"/>
        </w:rPr>
      </w:pPr>
    </w:p>
    <w:p w14:paraId="1C0ECB39" w14:textId="77777777" w:rsidR="004A318D" w:rsidRPr="004A318D" w:rsidRDefault="004A318D" w:rsidP="004A318D">
      <w:pPr>
        <w:ind w:left="720" w:right="105"/>
        <w:jc w:val="center"/>
        <w:rPr>
          <w:rFonts w:ascii="Times New Roman" w:eastAsiaTheme="minorHAnsi" w:hAnsi="Times New Roman" w:cs="Times New Roman"/>
          <w:b/>
          <w:iCs/>
          <w:sz w:val="32"/>
          <w:szCs w:val="32"/>
        </w:rPr>
      </w:pPr>
      <w:r w:rsidRPr="004A318D">
        <w:rPr>
          <w:rFonts w:ascii="Times New Roman" w:eastAsiaTheme="minorHAnsi" w:hAnsi="Times New Roman" w:cs="Times New Roman"/>
          <w:b/>
          <w:iCs/>
          <w:sz w:val="32"/>
          <w:szCs w:val="32"/>
        </w:rPr>
        <w:t>РАЗДЕЛ 8</w:t>
      </w:r>
    </w:p>
    <w:p w14:paraId="163AE3DD" w14:textId="018A0855" w:rsidR="009B1DC9" w:rsidRPr="009B1DC9" w:rsidRDefault="009B1DC9" w:rsidP="004A318D">
      <w:pPr>
        <w:ind w:left="720" w:right="105"/>
        <w:jc w:val="center"/>
        <w:rPr>
          <w:rFonts w:ascii="Times New Roman" w:eastAsiaTheme="minorHAnsi" w:hAnsi="Times New Roman" w:cs="Times New Roman"/>
          <w:b/>
          <w:iCs/>
          <w:sz w:val="32"/>
          <w:szCs w:val="32"/>
        </w:rPr>
      </w:pPr>
      <w:r w:rsidRPr="009B1DC9">
        <w:rPr>
          <w:rFonts w:ascii="Times New Roman" w:eastAsiaTheme="minorHAnsi" w:hAnsi="Times New Roman" w:cs="Times New Roman"/>
          <w:b/>
          <w:iCs/>
          <w:sz w:val="32"/>
          <w:szCs w:val="32"/>
        </w:rPr>
        <w:t>Экономика как наука об экономическом росте и стабильности (Economics: the science of economic growth and stability) – секция на английском языке</w:t>
      </w:r>
    </w:p>
    <w:p w14:paraId="7AA41AE8" w14:textId="77777777" w:rsidR="00E53522" w:rsidRPr="00E53522" w:rsidRDefault="00E53522" w:rsidP="00E53522">
      <w:pPr>
        <w:spacing w:after="0" w:line="240" w:lineRule="auto"/>
        <w:ind w:left="1134" w:hanging="1134"/>
        <w:rPr>
          <w:rFonts w:ascii="Times New Roman" w:eastAsia="Calibri" w:hAnsi="Times New Roman" w:cs="Times New Roman"/>
          <w:b/>
          <w:sz w:val="21"/>
          <w:szCs w:val="21"/>
        </w:rPr>
      </w:pPr>
    </w:p>
    <w:p w14:paraId="04A93BBC" w14:textId="2870372F" w:rsidR="00E53522" w:rsidRPr="00E53522" w:rsidRDefault="00E53522" w:rsidP="00E53522">
      <w:pPr>
        <w:spacing w:after="0" w:line="240" w:lineRule="auto"/>
        <w:ind w:left="1134" w:hanging="1134"/>
        <w:rPr>
          <w:rFonts w:ascii="Times New Roman" w:eastAsia="Calibri" w:hAnsi="Times New Roman" w:cs="Times New Roman"/>
          <w:b/>
          <w:sz w:val="21"/>
          <w:szCs w:val="21"/>
        </w:rPr>
      </w:pPr>
      <w:r w:rsidRPr="00E53522">
        <w:rPr>
          <w:rFonts w:ascii="Times New Roman" w:eastAsia="Calibri" w:hAnsi="Times New Roman" w:cs="Times New Roman"/>
          <w:b/>
          <w:sz w:val="21"/>
          <w:szCs w:val="21"/>
        </w:rPr>
        <w:t>УДК 811.111</w:t>
      </w:r>
    </w:p>
    <w:p w14:paraId="6B653BBD" w14:textId="77777777" w:rsidR="00E53522" w:rsidRPr="00E53522" w:rsidRDefault="00E53522" w:rsidP="00E53522">
      <w:pPr>
        <w:spacing w:after="0" w:line="240" w:lineRule="auto"/>
        <w:ind w:left="1134" w:hanging="1134"/>
        <w:jc w:val="right"/>
        <w:rPr>
          <w:rFonts w:ascii="Times New Roman" w:eastAsia="Calibri" w:hAnsi="Times New Roman" w:cs="Times New Roman"/>
          <w:b/>
          <w:i/>
          <w:sz w:val="21"/>
          <w:szCs w:val="21"/>
        </w:rPr>
      </w:pPr>
      <w:r w:rsidRPr="00E53522">
        <w:rPr>
          <w:rFonts w:ascii="Times New Roman" w:eastAsia="Calibri" w:hAnsi="Times New Roman" w:cs="Times New Roman"/>
          <w:b/>
          <w:i/>
          <w:sz w:val="21"/>
          <w:szCs w:val="21"/>
        </w:rPr>
        <w:t>Винокурова О.А.,</w:t>
      </w:r>
    </w:p>
    <w:p w14:paraId="25B1B474"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rPr>
        <w:t>студент 3 курса,</w:t>
      </w:r>
    </w:p>
    <w:p w14:paraId="7C58CB88" w14:textId="77777777" w:rsidR="00195C8C" w:rsidRPr="0001591D" w:rsidRDefault="00195C8C" w:rsidP="00195C8C">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042CE1F8"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rPr>
        <w:t>г. Краснодар, Россия</w:t>
      </w:r>
    </w:p>
    <w:p w14:paraId="48E5989F"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lang w:val="en-US"/>
        </w:rPr>
        <w:t>e</w:t>
      </w:r>
      <w:r w:rsidRPr="00E53522">
        <w:rPr>
          <w:rFonts w:ascii="Times New Roman" w:eastAsia="Calibri" w:hAnsi="Times New Roman" w:cs="Times New Roman"/>
          <w:i/>
          <w:sz w:val="21"/>
          <w:szCs w:val="21"/>
        </w:rPr>
        <w:t xml:space="preserve">– </w:t>
      </w:r>
      <w:r w:rsidRPr="00E53522">
        <w:rPr>
          <w:rFonts w:ascii="Times New Roman" w:eastAsia="Calibri" w:hAnsi="Times New Roman" w:cs="Times New Roman"/>
          <w:i/>
          <w:sz w:val="21"/>
          <w:szCs w:val="21"/>
          <w:lang w:val="en-US"/>
        </w:rPr>
        <w:t>mail</w:t>
      </w:r>
      <w:r w:rsidRPr="00E53522">
        <w:rPr>
          <w:rFonts w:ascii="Times New Roman" w:eastAsia="Calibri" w:hAnsi="Times New Roman" w:cs="Times New Roman"/>
          <w:i/>
          <w:sz w:val="21"/>
          <w:szCs w:val="21"/>
        </w:rPr>
        <w:t xml:space="preserve">: </w:t>
      </w:r>
      <w:hyperlink r:id="rId684" w:history="1">
        <w:r w:rsidRPr="00E53522">
          <w:rPr>
            <w:rFonts w:ascii="Times New Roman" w:eastAsia="Calibri" w:hAnsi="Times New Roman" w:cs="Times New Roman"/>
            <w:i/>
            <w:color w:val="0563C1"/>
            <w:sz w:val="21"/>
            <w:szCs w:val="21"/>
            <w:u w:val="single"/>
            <w:lang w:val="en-US"/>
          </w:rPr>
          <w:t>lesvinokurova</w:t>
        </w:r>
        <w:r w:rsidRPr="00E53522">
          <w:rPr>
            <w:rFonts w:ascii="Times New Roman" w:eastAsia="Calibri" w:hAnsi="Times New Roman" w:cs="Times New Roman"/>
            <w:i/>
            <w:color w:val="0563C1"/>
            <w:sz w:val="21"/>
            <w:szCs w:val="21"/>
            <w:u w:val="single"/>
          </w:rPr>
          <w:t>@</w:t>
        </w:r>
        <w:r w:rsidRPr="00E53522">
          <w:rPr>
            <w:rFonts w:ascii="Times New Roman" w:eastAsia="Calibri" w:hAnsi="Times New Roman" w:cs="Times New Roman"/>
            <w:i/>
            <w:color w:val="0563C1"/>
            <w:sz w:val="21"/>
            <w:szCs w:val="21"/>
            <w:u w:val="single"/>
            <w:lang w:val="en-US"/>
          </w:rPr>
          <w:t>mail</w:t>
        </w:r>
        <w:r w:rsidRPr="00E53522">
          <w:rPr>
            <w:rFonts w:ascii="Times New Roman" w:eastAsia="Calibri" w:hAnsi="Times New Roman" w:cs="Times New Roman"/>
            <w:i/>
            <w:color w:val="0563C1"/>
            <w:sz w:val="21"/>
            <w:szCs w:val="21"/>
            <w:u w:val="single"/>
          </w:rPr>
          <w:t>.</w:t>
        </w:r>
        <w:r w:rsidRPr="00E53522">
          <w:rPr>
            <w:rFonts w:ascii="Times New Roman" w:eastAsia="Calibri" w:hAnsi="Times New Roman" w:cs="Times New Roman"/>
            <w:i/>
            <w:color w:val="0563C1"/>
            <w:sz w:val="21"/>
            <w:szCs w:val="21"/>
            <w:u w:val="single"/>
            <w:lang w:val="en-US"/>
          </w:rPr>
          <w:t>ru</w:t>
        </w:r>
      </w:hyperlink>
    </w:p>
    <w:p w14:paraId="2B1CE813"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p>
    <w:p w14:paraId="0EFFF25A" w14:textId="77777777" w:rsidR="00E53522" w:rsidRPr="00E53522" w:rsidRDefault="00E53522" w:rsidP="00E53522">
      <w:pPr>
        <w:spacing w:after="0" w:line="240" w:lineRule="auto"/>
        <w:ind w:left="1134"/>
        <w:jc w:val="right"/>
        <w:rPr>
          <w:rFonts w:ascii="Times New Roman" w:eastAsia="Calibri" w:hAnsi="Times New Roman" w:cs="Times New Roman"/>
          <w:b/>
          <w:i/>
          <w:sz w:val="21"/>
          <w:szCs w:val="21"/>
        </w:rPr>
      </w:pPr>
      <w:r w:rsidRPr="00E53522">
        <w:rPr>
          <w:rFonts w:ascii="Times New Roman" w:eastAsia="Calibri" w:hAnsi="Times New Roman" w:cs="Times New Roman"/>
          <w:b/>
          <w:i/>
          <w:sz w:val="21"/>
          <w:szCs w:val="21"/>
        </w:rPr>
        <w:t>Научный руководитель:</w:t>
      </w:r>
    </w:p>
    <w:p w14:paraId="0C012B2F" w14:textId="77777777" w:rsidR="00E53522" w:rsidRPr="00E53522" w:rsidRDefault="00E53522" w:rsidP="00E53522">
      <w:pPr>
        <w:spacing w:after="0" w:line="240" w:lineRule="auto"/>
        <w:ind w:left="1134"/>
        <w:jc w:val="right"/>
        <w:rPr>
          <w:rFonts w:ascii="Times New Roman" w:eastAsia="Calibri" w:hAnsi="Times New Roman" w:cs="Times New Roman"/>
          <w:b/>
          <w:i/>
          <w:sz w:val="21"/>
          <w:szCs w:val="21"/>
        </w:rPr>
      </w:pPr>
      <w:r w:rsidRPr="00E53522">
        <w:rPr>
          <w:rFonts w:ascii="Times New Roman" w:eastAsia="Calibri" w:hAnsi="Times New Roman" w:cs="Times New Roman"/>
          <w:b/>
          <w:i/>
          <w:sz w:val="21"/>
          <w:szCs w:val="21"/>
        </w:rPr>
        <w:t>Плаксин В.А.,</w:t>
      </w:r>
    </w:p>
    <w:p w14:paraId="23E25E4D"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rPr>
        <w:t xml:space="preserve">кандидат филологических наук, доцент, </w:t>
      </w:r>
    </w:p>
    <w:p w14:paraId="3E487A9A"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rPr>
        <w:t xml:space="preserve">доцент кафедры «Философия, история и право», </w:t>
      </w:r>
    </w:p>
    <w:p w14:paraId="72CB4AE0" w14:textId="77777777" w:rsidR="00195C8C" w:rsidRPr="0001591D" w:rsidRDefault="00195C8C" w:rsidP="00195C8C">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3AE15962"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rPr>
        <w:t>г. Краснодар, Россия</w:t>
      </w:r>
    </w:p>
    <w:p w14:paraId="722ED3A6"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r w:rsidRPr="00E53522">
        <w:rPr>
          <w:rFonts w:ascii="Times New Roman" w:eastAsia="Calibri" w:hAnsi="Times New Roman" w:cs="Times New Roman"/>
          <w:i/>
          <w:sz w:val="21"/>
          <w:szCs w:val="21"/>
          <w:lang w:val="en-US"/>
        </w:rPr>
        <w:t>e</w:t>
      </w:r>
      <w:r w:rsidRPr="00E53522">
        <w:rPr>
          <w:rFonts w:ascii="Times New Roman" w:eastAsia="Calibri" w:hAnsi="Times New Roman" w:cs="Times New Roman"/>
          <w:i/>
          <w:sz w:val="21"/>
          <w:szCs w:val="21"/>
        </w:rPr>
        <w:t xml:space="preserve">– </w:t>
      </w:r>
      <w:r w:rsidRPr="00E53522">
        <w:rPr>
          <w:rFonts w:ascii="Times New Roman" w:eastAsia="Calibri" w:hAnsi="Times New Roman" w:cs="Times New Roman"/>
          <w:i/>
          <w:sz w:val="21"/>
          <w:szCs w:val="21"/>
          <w:lang w:val="en-US"/>
        </w:rPr>
        <w:t>mail</w:t>
      </w:r>
      <w:r w:rsidRPr="00E53522">
        <w:rPr>
          <w:rFonts w:ascii="Times New Roman" w:eastAsia="Calibri" w:hAnsi="Times New Roman" w:cs="Times New Roman"/>
          <w:i/>
          <w:sz w:val="21"/>
          <w:szCs w:val="21"/>
        </w:rPr>
        <w:t xml:space="preserve">: </w:t>
      </w:r>
      <w:hyperlink r:id="rId685" w:tgtFrame="_blank" w:history="1">
        <w:r w:rsidRPr="00E53522">
          <w:rPr>
            <w:rFonts w:ascii="Times New Roman" w:eastAsia="Calibri" w:hAnsi="Times New Roman" w:cs="Times New Roman"/>
            <w:i/>
            <w:color w:val="0563C1"/>
            <w:sz w:val="21"/>
            <w:szCs w:val="21"/>
            <w:u w:val="single"/>
          </w:rPr>
          <w:t>vladimirplaxin@rambler.ru</w:t>
        </w:r>
      </w:hyperlink>
    </w:p>
    <w:p w14:paraId="097A7959" w14:textId="77777777" w:rsidR="00E53522" w:rsidRPr="00E53522" w:rsidRDefault="00E53522" w:rsidP="00E53522">
      <w:pPr>
        <w:spacing w:after="0" w:line="240" w:lineRule="auto"/>
        <w:ind w:left="1134"/>
        <w:jc w:val="right"/>
        <w:rPr>
          <w:rFonts w:ascii="Times New Roman" w:eastAsia="Calibri" w:hAnsi="Times New Roman" w:cs="Times New Roman"/>
          <w:i/>
          <w:sz w:val="21"/>
          <w:szCs w:val="21"/>
        </w:rPr>
      </w:pPr>
    </w:p>
    <w:p w14:paraId="3A8E107E" w14:textId="77777777" w:rsidR="00E53522" w:rsidRDefault="00E53522" w:rsidP="00E53522">
      <w:pPr>
        <w:spacing w:after="0" w:line="240" w:lineRule="auto"/>
        <w:ind w:firstLine="709"/>
        <w:jc w:val="center"/>
        <w:rPr>
          <w:rFonts w:ascii="Times New Roman" w:eastAsia="Calibri" w:hAnsi="Times New Roman" w:cs="Times New Roman"/>
          <w:b/>
          <w:sz w:val="21"/>
          <w:szCs w:val="21"/>
        </w:rPr>
      </w:pPr>
      <w:r w:rsidRPr="00E53522">
        <w:rPr>
          <w:rFonts w:ascii="Times New Roman" w:eastAsia="Calibri" w:hAnsi="Times New Roman" w:cs="Times New Roman"/>
          <w:b/>
          <w:sz w:val="21"/>
          <w:szCs w:val="21"/>
        </w:rPr>
        <w:t>Лингвистические стратегии в англоязычной рекламе</w:t>
      </w:r>
    </w:p>
    <w:p w14:paraId="0B934DAE" w14:textId="77777777" w:rsidR="00077D0B" w:rsidRPr="00E53522" w:rsidRDefault="00077D0B" w:rsidP="00E53522">
      <w:pPr>
        <w:spacing w:after="0" w:line="240" w:lineRule="auto"/>
        <w:ind w:firstLine="709"/>
        <w:jc w:val="center"/>
        <w:rPr>
          <w:rFonts w:ascii="Times New Roman" w:eastAsia="Calibri" w:hAnsi="Times New Roman" w:cs="Times New Roman"/>
          <w:b/>
          <w:sz w:val="21"/>
          <w:szCs w:val="21"/>
        </w:rPr>
      </w:pPr>
    </w:p>
    <w:p w14:paraId="771B7E59" w14:textId="77777777" w:rsidR="00E53522" w:rsidRPr="00E53522" w:rsidRDefault="00E53522" w:rsidP="00E53522">
      <w:pPr>
        <w:spacing w:after="0" w:line="240" w:lineRule="auto"/>
        <w:ind w:firstLine="709"/>
        <w:jc w:val="both"/>
        <w:rPr>
          <w:rFonts w:ascii="Times New Roman" w:eastAsia="Calibri" w:hAnsi="Times New Roman" w:cs="Times New Roman"/>
          <w:sz w:val="21"/>
          <w:szCs w:val="21"/>
        </w:rPr>
      </w:pPr>
      <w:r w:rsidRPr="00E53522">
        <w:rPr>
          <w:rFonts w:ascii="Times New Roman" w:eastAsia="Calibri" w:hAnsi="Times New Roman" w:cs="Times New Roman"/>
          <w:b/>
          <w:sz w:val="21"/>
          <w:szCs w:val="21"/>
        </w:rPr>
        <w:t xml:space="preserve">Аннотация: </w:t>
      </w:r>
      <w:r w:rsidRPr="00E53522">
        <w:rPr>
          <w:rFonts w:ascii="Times New Roman" w:eastAsia="Calibri" w:hAnsi="Times New Roman" w:cs="Times New Roman"/>
          <w:sz w:val="21"/>
          <w:szCs w:val="21"/>
        </w:rPr>
        <w:t>В статье рассматриваются ключевые лингвистические стратегии, используемые в англоязычной рекламе для привлечения внимания потребителей и формирования положительного имиджа бренда. Анализируются фонетические, лексические и стилистические приемы, а также их влияние на восприятие рекламного сообщения. Особое внимание уделяется креативному использованию языковых средств, включая игру слов, метафоры и слоганы.</w:t>
      </w:r>
    </w:p>
    <w:p w14:paraId="74CB0E98" w14:textId="77777777" w:rsidR="00E53522" w:rsidRDefault="00E53522" w:rsidP="00E53522">
      <w:pPr>
        <w:spacing w:after="0" w:line="240" w:lineRule="auto"/>
        <w:ind w:firstLine="709"/>
        <w:jc w:val="both"/>
        <w:rPr>
          <w:rFonts w:ascii="Times New Roman" w:eastAsia="Calibri" w:hAnsi="Times New Roman" w:cs="Times New Roman"/>
          <w:sz w:val="21"/>
          <w:szCs w:val="21"/>
        </w:rPr>
      </w:pPr>
      <w:r w:rsidRPr="00E53522">
        <w:rPr>
          <w:rFonts w:ascii="Times New Roman" w:eastAsia="Calibri" w:hAnsi="Times New Roman" w:cs="Times New Roman"/>
          <w:b/>
          <w:sz w:val="21"/>
          <w:szCs w:val="21"/>
        </w:rPr>
        <w:t xml:space="preserve">Ключевые слова: </w:t>
      </w:r>
      <w:r w:rsidRPr="00E53522">
        <w:rPr>
          <w:rFonts w:ascii="Times New Roman" w:eastAsia="Calibri" w:hAnsi="Times New Roman" w:cs="Times New Roman"/>
          <w:sz w:val="21"/>
          <w:szCs w:val="21"/>
        </w:rPr>
        <w:t>реклама, лингвистические стратегии, слоганы, языковые приёмы.</w:t>
      </w:r>
    </w:p>
    <w:p w14:paraId="1C2F8BF6" w14:textId="77777777" w:rsidR="00195C8C" w:rsidRPr="00E53522" w:rsidRDefault="00195C8C" w:rsidP="00E53522">
      <w:pPr>
        <w:spacing w:after="0" w:line="240" w:lineRule="auto"/>
        <w:ind w:firstLine="709"/>
        <w:jc w:val="both"/>
        <w:rPr>
          <w:rFonts w:ascii="Times New Roman" w:eastAsia="Calibri" w:hAnsi="Times New Roman" w:cs="Times New Roman"/>
          <w:sz w:val="21"/>
          <w:szCs w:val="21"/>
        </w:rPr>
      </w:pPr>
    </w:p>
    <w:p w14:paraId="2CFBDD93" w14:textId="77777777" w:rsidR="00E53522" w:rsidRPr="00E53522" w:rsidRDefault="00E53522" w:rsidP="00E53522">
      <w:pPr>
        <w:spacing w:after="0" w:line="240" w:lineRule="auto"/>
        <w:ind w:firstLine="709"/>
        <w:jc w:val="right"/>
        <w:rPr>
          <w:rFonts w:ascii="Times New Roman" w:eastAsia="Calibri" w:hAnsi="Times New Roman" w:cs="Times New Roman"/>
          <w:b/>
          <w:i/>
          <w:sz w:val="21"/>
          <w:szCs w:val="21"/>
          <w:lang w:val="en-US"/>
        </w:rPr>
      </w:pPr>
      <w:r w:rsidRPr="00E53522">
        <w:rPr>
          <w:rFonts w:ascii="Times New Roman" w:eastAsia="Calibri" w:hAnsi="Times New Roman" w:cs="Times New Roman"/>
          <w:b/>
          <w:i/>
          <w:sz w:val="21"/>
          <w:szCs w:val="21"/>
          <w:lang w:val="en-US"/>
        </w:rPr>
        <w:t>VinokurovaO.A.,</w:t>
      </w:r>
    </w:p>
    <w:p w14:paraId="557009B9"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 xml:space="preserve">3– rd year student </w:t>
      </w:r>
    </w:p>
    <w:p w14:paraId="4631D653"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 xml:space="preserve">Financial University under the Government of </w:t>
      </w:r>
    </w:p>
    <w:p w14:paraId="00F7F903"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the Russian Federation</w:t>
      </w:r>
    </w:p>
    <w:p w14:paraId="441886CF"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Krasnodar, Russian Federation</w:t>
      </w:r>
    </w:p>
    <w:p w14:paraId="7BF89F2B" w14:textId="17381DCA" w:rsidR="00E53522" w:rsidRPr="00C30970" w:rsidRDefault="00E53522" w:rsidP="00E53522">
      <w:pPr>
        <w:spacing w:after="0" w:line="240" w:lineRule="auto"/>
        <w:ind w:firstLine="709"/>
        <w:jc w:val="right"/>
        <w:rPr>
          <w:rFonts w:ascii="Times New Roman" w:eastAsia="Calibri" w:hAnsi="Times New Roman" w:cs="Times New Roman"/>
          <w:i/>
          <w:sz w:val="21"/>
          <w:szCs w:val="21"/>
          <w:u w:val="single"/>
          <w:lang w:val="en-US"/>
        </w:rPr>
      </w:pPr>
      <w:r w:rsidRPr="00E53522">
        <w:rPr>
          <w:rFonts w:ascii="Times New Roman" w:eastAsia="Calibri" w:hAnsi="Times New Roman" w:cs="Times New Roman"/>
          <w:i/>
          <w:sz w:val="21"/>
          <w:szCs w:val="21"/>
          <w:lang w:val="en-US"/>
        </w:rPr>
        <w:t>e– mail:</w:t>
      </w:r>
      <w:r w:rsidR="004E4CD7" w:rsidRPr="00654CF2">
        <w:rPr>
          <w:rFonts w:ascii="Times New Roman" w:eastAsia="Calibri" w:hAnsi="Times New Roman" w:cs="Times New Roman"/>
          <w:i/>
          <w:sz w:val="21"/>
          <w:szCs w:val="21"/>
          <w:lang w:val="en-US"/>
        </w:rPr>
        <w:t xml:space="preserve"> </w:t>
      </w:r>
      <w:r w:rsidRPr="00E53522">
        <w:rPr>
          <w:rFonts w:ascii="Times New Roman" w:eastAsia="Calibri" w:hAnsi="Times New Roman" w:cs="Times New Roman"/>
          <w:i/>
          <w:sz w:val="21"/>
          <w:szCs w:val="21"/>
          <w:u w:val="single"/>
          <w:lang w:val="en-US"/>
        </w:rPr>
        <w:t>vin0kurovalesya@yandex.ru</w:t>
      </w:r>
    </w:p>
    <w:p w14:paraId="05E794AB" w14:textId="77777777" w:rsidR="00077D0B" w:rsidRPr="00C30970" w:rsidRDefault="00077D0B" w:rsidP="00E53522">
      <w:pPr>
        <w:spacing w:after="0" w:line="240" w:lineRule="auto"/>
        <w:ind w:firstLine="709"/>
        <w:jc w:val="right"/>
        <w:rPr>
          <w:rFonts w:ascii="Times New Roman" w:eastAsia="Calibri" w:hAnsi="Times New Roman" w:cs="Times New Roman"/>
          <w:i/>
          <w:sz w:val="21"/>
          <w:szCs w:val="21"/>
          <w:u w:val="single"/>
          <w:lang w:val="en-US"/>
        </w:rPr>
      </w:pPr>
    </w:p>
    <w:p w14:paraId="0BFF367A" w14:textId="77777777" w:rsidR="00E53522" w:rsidRPr="00E53522" w:rsidRDefault="00E53522" w:rsidP="00E53522">
      <w:pPr>
        <w:spacing w:after="0" w:line="240" w:lineRule="auto"/>
        <w:ind w:firstLine="709"/>
        <w:jc w:val="right"/>
        <w:rPr>
          <w:rFonts w:ascii="Times New Roman" w:eastAsia="Calibri" w:hAnsi="Times New Roman" w:cs="Times New Roman"/>
          <w:b/>
          <w:i/>
          <w:sz w:val="21"/>
          <w:szCs w:val="21"/>
          <w:lang w:val="en-US"/>
        </w:rPr>
      </w:pPr>
      <w:r w:rsidRPr="00E53522">
        <w:rPr>
          <w:rFonts w:ascii="Times New Roman" w:eastAsia="Calibri" w:hAnsi="Times New Roman" w:cs="Times New Roman"/>
          <w:b/>
          <w:i/>
          <w:sz w:val="21"/>
          <w:szCs w:val="21"/>
          <w:lang w:val="en-US"/>
        </w:rPr>
        <w:t>Scientific Adviser:</w:t>
      </w:r>
    </w:p>
    <w:p w14:paraId="58D9918E" w14:textId="77777777" w:rsidR="00E53522" w:rsidRPr="00E53522" w:rsidRDefault="00E53522" w:rsidP="00E53522">
      <w:pPr>
        <w:spacing w:after="0" w:line="240" w:lineRule="auto"/>
        <w:ind w:firstLine="709"/>
        <w:jc w:val="right"/>
        <w:rPr>
          <w:rFonts w:ascii="Times New Roman" w:eastAsia="Calibri" w:hAnsi="Times New Roman" w:cs="Times New Roman"/>
          <w:b/>
          <w:i/>
          <w:sz w:val="21"/>
          <w:szCs w:val="21"/>
          <w:lang w:val="en-US"/>
        </w:rPr>
      </w:pPr>
      <w:r w:rsidRPr="00E53522">
        <w:rPr>
          <w:rFonts w:ascii="Times New Roman" w:eastAsia="Calibri" w:hAnsi="Times New Roman" w:cs="Times New Roman"/>
          <w:b/>
          <w:i/>
          <w:sz w:val="21"/>
          <w:szCs w:val="21"/>
          <w:lang w:val="en-US"/>
        </w:rPr>
        <w:t>Plaksin V.A.,</w:t>
      </w:r>
    </w:p>
    <w:p w14:paraId="2DB1C702"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Candidate of Philology, Associate Professor, Financial University under the Government</w:t>
      </w:r>
    </w:p>
    <w:p w14:paraId="182C6A13"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of the Russian Federation, Department of Philosophy, History and Law</w:t>
      </w:r>
    </w:p>
    <w:p w14:paraId="7AEE2647"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r w:rsidRPr="00E53522">
        <w:rPr>
          <w:rFonts w:ascii="Times New Roman" w:eastAsia="Calibri" w:hAnsi="Times New Roman" w:cs="Times New Roman"/>
          <w:i/>
          <w:sz w:val="21"/>
          <w:szCs w:val="21"/>
          <w:lang w:val="en-US"/>
        </w:rPr>
        <w:t>Krasnodar, Russian Federation</w:t>
      </w:r>
    </w:p>
    <w:p w14:paraId="1D3F67A8" w14:textId="77777777" w:rsidR="00E53522" w:rsidRPr="00E53522" w:rsidRDefault="00E53522" w:rsidP="00E53522">
      <w:pPr>
        <w:spacing w:after="0" w:line="240" w:lineRule="auto"/>
        <w:ind w:firstLine="709"/>
        <w:jc w:val="right"/>
        <w:rPr>
          <w:rFonts w:ascii="Times New Roman" w:eastAsia="Calibri" w:hAnsi="Times New Roman" w:cs="Times New Roman"/>
          <w:i/>
          <w:color w:val="0563C1"/>
          <w:sz w:val="21"/>
          <w:szCs w:val="21"/>
          <w:u w:val="single"/>
          <w:lang w:val="en-US"/>
        </w:rPr>
      </w:pPr>
      <w:r w:rsidRPr="00E53522">
        <w:rPr>
          <w:rFonts w:ascii="Times New Roman" w:eastAsia="Calibri" w:hAnsi="Times New Roman" w:cs="Times New Roman"/>
          <w:i/>
          <w:sz w:val="21"/>
          <w:szCs w:val="21"/>
          <w:lang w:val="en-US"/>
        </w:rPr>
        <w:t xml:space="preserve">e– mail: </w:t>
      </w:r>
      <w:hyperlink r:id="rId686" w:history="1">
        <w:r w:rsidRPr="00E53522">
          <w:rPr>
            <w:rFonts w:ascii="Times New Roman" w:eastAsia="Calibri" w:hAnsi="Times New Roman" w:cs="Times New Roman"/>
            <w:i/>
            <w:color w:val="0563C1"/>
            <w:sz w:val="21"/>
            <w:szCs w:val="21"/>
            <w:u w:val="single"/>
            <w:lang w:val="en-US"/>
          </w:rPr>
          <w:t>vladimirplaxin@rambler.ru</w:t>
        </w:r>
      </w:hyperlink>
    </w:p>
    <w:p w14:paraId="2478673C" w14:textId="77777777" w:rsidR="00E53522" w:rsidRPr="00E53522" w:rsidRDefault="00E53522" w:rsidP="00E53522">
      <w:pPr>
        <w:spacing w:after="0" w:line="240" w:lineRule="auto"/>
        <w:ind w:firstLine="709"/>
        <w:jc w:val="right"/>
        <w:rPr>
          <w:rFonts w:ascii="Times New Roman" w:eastAsia="Calibri" w:hAnsi="Times New Roman" w:cs="Times New Roman"/>
          <w:i/>
          <w:color w:val="0563C1"/>
          <w:sz w:val="21"/>
          <w:szCs w:val="21"/>
          <w:u w:val="single"/>
          <w:lang w:val="en-US"/>
        </w:rPr>
      </w:pPr>
    </w:p>
    <w:p w14:paraId="3A1D1C0C" w14:textId="77777777" w:rsidR="00E53522" w:rsidRPr="00654CF2" w:rsidRDefault="00E53522" w:rsidP="00E53522">
      <w:pPr>
        <w:spacing w:after="0" w:line="240" w:lineRule="auto"/>
        <w:ind w:firstLine="709"/>
        <w:jc w:val="center"/>
        <w:rPr>
          <w:rFonts w:ascii="Times New Roman" w:eastAsia="Calibri" w:hAnsi="Times New Roman" w:cs="Times New Roman"/>
          <w:b/>
          <w:sz w:val="21"/>
          <w:szCs w:val="21"/>
          <w:lang w:val="en-US"/>
        </w:rPr>
      </w:pPr>
      <w:r w:rsidRPr="00E53522">
        <w:rPr>
          <w:rFonts w:ascii="Times New Roman" w:eastAsia="Calibri" w:hAnsi="Times New Roman" w:cs="Times New Roman"/>
          <w:b/>
          <w:sz w:val="21"/>
          <w:szCs w:val="21"/>
          <w:lang w:val="en-US"/>
        </w:rPr>
        <w:t>Linguistic strategies in English–language advertising</w:t>
      </w:r>
    </w:p>
    <w:p w14:paraId="29C91BCA" w14:textId="77777777" w:rsidR="004E4CD7" w:rsidRPr="00654CF2" w:rsidRDefault="004E4CD7" w:rsidP="00E53522">
      <w:pPr>
        <w:spacing w:after="0" w:line="240" w:lineRule="auto"/>
        <w:ind w:firstLine="709"/>
        <w:jc w:val="center"/>
        <w:rPr>
          <w:rFonts w:ascii="Times New Roman" w:eastAsia="Calibri" w:hAnsi="Times New Roman" w:cs="Times New Roman"/>
          <w:b/>
          <w:sz w:val="21"/>
          <w:szCs w:val="21"/>
          <w:lang w:val="en-US"/>
        </w:rPr>
      </w:pPr>
    </w:p>
    <w:p w14:paraId="09C9DB7E" w14:textId="77777777" w:rsidR="00E53522" w:rsidRPr="00E53522" w:rsidRDefault="00E53522" w:rsidP="00E53522">
      <w:pPr>
        <w:spacing w:after="0" w:line="240" w:lineRule="auto"/>
        <w:ind w:firstLine="709"/>
        <w:jc w:val="both"/>
        <w:rPr>
          <w:rFonts w:ascii="Times New Roman" w:eastAsia="Calibri" w:hAnsi="Times New Roman" w:cs="Times New Roman"/>
          <w:color w:val="FF0000"/>
          <w:sz w:val="21"/>
          <w:szCs w:val="21"/>
          <w:lang w:val="en-US"/>
        </w:rPr>
      </w:pPr>
      <w:r w:rsidRPr="00E53522">
        <w:rPr>
          <w:rFonts w:ascii="Times New Roman" w:eastAsia="Calibri" w:hAnsi="Times New Roman" w:cs="Times New Roman"/>
          <w:b/>
          <w:sz w:val="21"/>
          <w:szCs w:val="21"/>
          <w:lang w:val="en-US"/>
        </w:rPr>
        <w:t>Abstract:</w:t>
      </w:r>
      <w:r w:rsidRPr="00E53522">
        <w:rPr>
          <w:rFonts w:ascii="Times New Roman" w:eastAsia="Calibri" w:hAnsi="Times New Roman" w:cs="Times New Roman"/>
          <w:sz w:val="21"/>
          <w:szCs w:val="21"/>
          <w:lang w:val="en-US"/>
        </w:rPr>
        <w:t xml:space="preserve"> The article examines the key linguistic strategies used in English– language advertising to attract the attention of consumers and form a positive brand image. Phonetic, lexical, and stylistic approaches are analyzed, as well as their impact on the perception of an advertising message. Special attention is paid to the creative use of language tools, including wordplay, metaphors and slogans</w:t>
      </w:r>
      <w:r w:rsidRPr="00E53522">
        <w:rPr>
          <w:rFonts w:ascii="Times New Roman" w:eastAsia="Calibri" w:hAnsi="Times New Roman" w:cs="Times New Roman"/>
          <w:color w:val="FF0000"/>
          <w:sz w:val="21"/>
          <w:szCs w:val="21"/>
          <w:lang w:val="en-US"/>
        </w:rPr>
        <w:t>.</w:t>
      </w:r>
    </w:p>
    <w:p w14:paraId="1FF6302A" w14:textId="77777777" w:rsidR="00E53522" w:rsidRPr="00E53522" w:rsidRDefault="00E53522" w:rsidP="00E53522">
      <w:pPr>
        <w:spacing w:after="0" w:line="240" w:lineRule="auto"/>
        <w:ind w:firstLine="709"/>
        <w:jc w:val="both"/>
        <w:rPr>
          <w:rFonts w:ascii="Times New Roman" w:eastAsia="Calibri" w:hAnsi="Times New Roman" w:cs="Times New Roman"/>
          <w:sz w:val="21"/>
          <w:szCs w:val="21"/>
          <w:lang w:val="en-US"/>
        </w:rPr>
      </w:pPr>
      <w:r w:rsidRPr="00E53522">
        <w:rPr>
          <w:rFonts w:ascii="Times New Roman" w:eastAsia="Calibri" w:hAnsi="Times New Roman" w:cs="Times New Roman"/>
          <w:b/>
          <w:sz w:val="21"/>
          <w:szCs w:val="21"/>
          <w:lang w:val="en-US"/>
        </w:rPr>
        <w:t>Keywords:</w:t>
      </w:r>
      <w:r w:rsidRPr="00E53522">
        <w:rPr>
          <w:rFonts w:ascii="Times New Roman" w:eastAsia="Calibri" w:hAnsi="Times New Roman" w:cs="Times New Roman"/>
          <w:sz w:val="21"/>
          <w:szCs w:val="21"/>
          <w:lang w:val="en-US"/>
        </w:rPr>
        <w:t xml:space="preserve"> advertising, linguistic strategies, slogans, persistence, linguistic techniques.</w:t>
      </w:r>
    </w:p>
    <w:p w14:paraId="42A2885C" w14:textId="77777777" w:rsidR="00E53522" w:rsidRPr="00E53522" w:rsidRDefault="00E53522" w:rsidP="00E53522">
      <w:pPr>
        <w:spacing w:after="0" w:line="240" w:lineRule="auto"/>
        <w:ind w:firstLine="709"/>
        <w:jc w:val="right"/>
        <w:rPr>
          <w:rFonts w:ascii="Times New Roman" w:eastAsia="Calibri" w:hAnsi="Times New Roman" w:cs="Times New Roman"/>
          <w:i/>
          <w:sz w:val="21"/>
          <w:szCs w:val="21"/>
          <w:lang w:val="en-US"/>
        </w:rPr>
      </w:pPr>
    </w:p>
    <w:p w14:paraId="2F73C117" w14:textId="32076987" w:rsidR="00E53522" w:rsidRPr="00E53522" w:rsidRDefault="00E53522" w:rsidP="00077D0B">
      <w:pPr>
        <w:spacing w:after="0" w:line="240" w:lineRule="auto"/>
        <w:ind w:firstLine="720"/>
        <w:jc w:val="both"/>
        <w:rPr>
          <w:rFonts w:ascii="Times New Roman" w:eastAsia="Times New Roman" w:hAnsi="Times New Roman" w:cs="Times New Roman"/>
          <w:sz w:val="32"/>
          <w:szCs w:val="20"/>
          <w:lang w:eastAsia="ru-RU"/>
        </w:rPr>
      </w:pPr>
      <w:r w:rsidRPr="00E53522">
        <w:rPr>
          <w:rFonts w:ascii="Times New Roman" w:eastAsia="Times New Roman" w:hAnsi="Times New Roman" w:cs="Times New Roman"/>
          <w:sz w:val="32"/>
          <w:szCs w:val="20"/>
          <w:lang w:eastAsia="ru-RU"/>
        </w:rPr>
        <w:t xml:space="preserve">Реклама – это маркетинговый инструмент, который не только знакомит потребителей с товарами или услугами, но и способствует формированию их вкусов и предпочтений. </w:t>
      </w:r>
      <w:r w:rsidRPr="00E53522">
        <w:rPr>
          <w:rFonts w:ascii="Calibri" w:eastAsia="Calibri" w:hAnsi="Calibri" w:cs="Times New Roman"/>
          <w:sz w:val="32"/>
        </w:rPr>
        <w:br w:type="page"/>
      </w:r>
    </w:p>
    <w:p w14:paraId="06C36AB2" w14:textId="77777777" w:rsidR="00E53522" w:rsidRPr="00E53522" w:rsidRDefault="00E53522" w:rsidP="00E53522">
      <w:pPr>
        <w:spacing w:after="0" w:line="240" w:lineRule="auto"/>
        <w:ind w:firstLine="720"/>
        <w:jc w:val="both"/>
        <w:rPr>
          <w:rFonts w:ascii="Times New Roman" w:eastAsia="Times New Roman" w:hAnsi="Times New Roman" w:cs="Courier New"/>
          <w:sz w:val="32"/>
          <w:szCs w:val="32"/>
          <w:lang w:eastAsia="ru-RU"/>
        </w:rPr>
      </w:pPr>
      <w:r w:rsidRPr="00E53522">
        <w:rPr>
          <w:rFonts w:ascii="Times New Roman" w:eastAsia="Times New Roman" w:hAnsi="Times New Roman" w:cs="Courier New"/>
          <w:sz w:val="32"/>
          <w:szCs w:val="32"/>
          <w:lang w:eastAsia="ru-RU"/>
        </w:rPr>
        <w:lastRenderedPageBreak/>
        <w:t xml:space="preserve">По мнению В.А. Плаксина </w:t>
      </w:r>
      <w:r w:rsidRPr="00E53522">
        <w:rPr>
          <w:rFonts w:ascii="Times New Roman" w:eastAsia="Times New Roman" w:hAnsi="Times New Roman" w:cs="Times New Roman"/>
          <w:sz w:val="32"/>
          <w:szCs w:val="32"/>
          <w:lang w:eastAsia="ru-RU"/>
        </w:rPr>
        <w:t>«</w:t>
      </w:r>
      <w:r w:rsidRPr="00E53522">
        <w:rPr>
          <w:rFonts w:ascii="Times New Roman" w:eastAsia="Times New Roman" w:hAnsi="Times New Roman" w:cs="Courier New"/>
          <w:sz w:val="32"/>
          <w:szCs w:val="32"/>
          <w:lang w:eastAsia="ru-RU"/>
        </w:rPr>
        <w:t>...все важнейшие аспекты исторического и сущностного развития рекламы как культурно–цивилизационного феномена отразились в той или иной степени и форме в текстах рекламы, которая развивалась и совершенствовалась как важнейший социально–экономический институт, как экономическая основа общества</w:t>
      </w:r>
      <w:r w:rsidRPr="00E53522">
        <w:rPr>
          <w:rFonts w:ascii="Times New Roman" w:eastAsia="Times New Roman" w:hAnsi="Times New Roman" w:cs="Times New Roman"/>
          <w:sz w:val="32"/>
          <w:szCs w:val="32"/>
          <w:lang w:eastAsia="ru-RU"/>
        </w:rPr>
        <w:t>» [2, с. 60]</w:t>
      </w:r>
      <w:r w:rsidRPr="00E53522">
        <w:rPr>
          <w:rFonts w:ascii="Times New Roman" w:eastAsia="Times New Roman" w:hAnsi="Times New Roman" w:cs="Courier New"/>
          <w:sz w:val="32"/>
          <w:szCs w:val="32"/>
          <w:lang w:eastAsia="ru-RU"/>
        </w:rPr>
        <w:t>.</w:t>
      </w:r>
    </w:p>
    <w:p w14:paraId="11E0F241"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Для того, чтобы достичь максимального эффекта, рекламные лозунги должны использовать продуманные лингвистические стратегии, направленные на привлечение внимания, создание эмоциональной связи и стимулирование к действию к покупке товара или использование услуг.</w:t>
      </w:r>
    </w:p>
    <w:p w14:paraId="7DBA54F1"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 xml:space="preserve">Англоязычная реклама активно пользуется широким спектром лингвистических техник, которые разработаны к конкретной целевой группе. В настоящей работе анализируются некоторые лингвистические стратегии, используемые в англоязычных рекламных сообщениях, и их влияние на эффективность коммуникации. В представленной работе мы рассматриваем следующие из них: фонетические, ритмические (в том числе рифмование и акцентуация), императивные конструкции, гиперболизацию, неправильные грамматические конструкции для привлечения внимания и каламбуры. </w:t>
      </w:r>
    </w:p>
    <w:p w14:paraId="70599DA1"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Особое внимание уделяется звуковой организации текста, поскольку фонетические приемы не только передают информацию, но и делают слоган более привлекательным и запоминающимся.</w:t>
      </w:r>
    </w:p>
    <w:p w14:paraId="390121E6"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Одним из фонетических приёмов в англоязычной рекламе является а</w:t>
      </w:r>
      <w:r w:rsidRPr="00E53522">
        <w:rPr>
          <w:rFonts w:ascii="Times New Roman" w:eastAsia="Calibri" w:hAnsi="Times New Roman" w:cs="Times New Roman"/>
          <w:bCs/>
          <w:sz w:val="32"/>
        </w:rPr>
        <w:t>ллитерация</w:t>
      </w:r>
      <w:r w:rsidRPr="00E53522">
        <w:rPr>
          <w:rFonts w:ascii="Times New Roman" w:eastAsia="Calibri" w:hAnsi="Times New Roman" w:cs="Times New Roman"/>
          <w:sz w:val="32"/>
        </w:rPr>
        <w:t> – повторение согласных звуков. Она часто встречается в рекламе, поскольку используется в качестве приема создания определенного эмоционального тона, соответствующего содержанию высказывания, а также является действенным выразительным средством, которое привлекает внимание возможного потребителя.</w:t>
      </w:r>
    </w:p>
    <w:p w14:paraId="7B7E4A7E"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Например, слоган бренда косметики «</w:t>
      </w:r>
      <w:r w:rsidRPr="00E53522">
        <w:rPr>
          <w:rFonts w:ascii="Times New Roman" w:eastAsia="Calibri" w:hAnsi="Times New Roman" w:cs="Times New Roman"/>
          <w:sz w:val="32"/>
          <w:lang w:val="en-US"/>
        </w:rPr>
        <w:t>Maybelline</w:t>
      </w:r>
      <w:r w:rsidRPr="00E53522">
        <w:rPr>
          <w:rFonts w:ascii="Times New Roman" w:eastAsia="Calibri" w:hAnsi="Times New Roman" w:cs="Times New Roman"/>
          <w:sz w:val="32"/>
        </w:rPr>
        <w:t>»: </w:t>
      </w:r>
      <w:r w:rsidRPr="00E53522">
        <w:rPr>
          <w:rFonts w:ascii="Times New Roman" w:eastAsia="Calibri" w:hAnsi="Times New Roman" w:cs="Times New Roman"/>
          <w:bCs/>
          <w:sz w:val="32"/>
        </w:rPr>
        <w:t>«Maybe he’s born with it. Maybe it’s Maybelline»</w:t>
      </w:r>
      <w:r w:rsidRPr="00E53522">
        <w:rPr>
          <w:rFonts w:ascii="Times New Roman" w:eastAsia="Calibri" w:hAnsi="Times New Roman" w:cs="Times New Roman"/>
          <w:sz w:val="32"/>
        </w:rPr>
        <w:t>, перевод звучит так: «</w:t>
      </w:r>
      <w:r w:rsidRPr="00E53522">
        <w:rPr>
          <w:rFonts w:ascii="Times New Roman" w:eastAsia="Calibri" w:hAnsi="Times New Roman" w:cs="Times New Roman"/>
          <w:bCs/>
          <w:sz w:val="32"/>
        </w:rPr>
        <w:t xml:space="preserve">Может, она родилась с этим. Может, это Мейбеллин». Оригинальный слоган бренда </w:t>
      </w:r>
      <w:r w:rsidRPr="00E53522">
        <w:rPr>
          <w:rFonts w:ascii="Times New Roman" w:eastAsia="Calibri" w:hAnsi="Times New Roman" w:cs="Times New Roman"/>
          <w:sz w:val="32"/>
        </w:rPr>
        <w:t xml:space="preserve">построен на повторении фонемы [m], что придаёт фразе некую плавность при прочтении. Приём аллитерации в рекламе, как стратегия, использован в рекламе </w:t>
      </w:r>
      <w:r w:rsidRPr="00E53522">
        <w:rPr>
          <w:rFonts w:ascii="Times New Roman" w:eastAsia="Calibri" w:hAnsi="Times New Roman" w:cs="Times New Roman"/>
          <w:bCs/>
          <w:sz w:val="32"/>
        </w:rPr>
        <w:t>британского автомобильного бренда</w:t>
      </w:r>
      <w:r w:rsidRPr="00E53522">
        <w:rPr>
          <w:rFonts w:ascii="Times New Roman" w:eastAsia="Calibri" w:hAnsi="Times New Roman" w:cs="Times New Roman"/>
          <w:b/>
          <w:bCs/>
          <w:sz w:val="32"/>
        </w:rPr>
        <w:t xml:space="preserve"> «</w:t>
      </w:r>
      <w:r w:rsidRPr="00E53522">
        <w:rPr>
          <w:rFonts w:ascii="Times New Roman" w:eastAsia="Calibri" w:hAnsi="Times New Roman" w:cs="Times New Roman"/>
          <w:sz w:val="32"/>
        </w:rPr>
        <w:t>Jaguar»: </w:t>
      </w:r>
      <w:r w:rsidRPr="00E53522">
        <w:rPr>
          <w:rFonts w:ascii="Times New Roman" w:eastAsia="Calibri" w:hAnsi="Times New Roman" w:cs="Times New Roman"/>
          <w:bCs/>
          <w:sz w:val="32"/>
        </w:rPr>
        <w:t>«Don’t dream it. Drive it»</w:t>
      </w:r>
      <w:r w:rsidRPr="00E53522">
        <w:rPr>
          <w:rFonts w:ascii="Times New Roman" w:eastAsia="Calibri" w:hAnsi="Times New Roman" w:cs="Times New Roman"/>
          <w:sz w:val="32"/>
        </w:rPr>
        <w:t xml:space="preserve">, перевод – </w:t>
      </w:r>
      <w:r w:rsidRPr="00E53522">
        <w:rPr>
          <w:rFonts w:ascii="Times New Roman" w:eastAsia="Calibri" w:hAnsi="Times New Roman" w:cs="Times New Roman"/>
          <w:bCs/>
          <w:sz w:val="32"/>
        </w:rPr>
        <w:t>«Не мечтай об этом. Управляй этим!»</w:t>
      </w:r>
      <w:r w:rsidRPr="00E53522">
        <w:rPr>
          <w:rFonts w:ascii="Times New Roman" w:eastAsia="Calibri" w:hAnsi="Times New Roman" w:cs="Times New Roman"/>
          <w:sz w:val="32"/>
        </w:rPr>
        <w:t xml:space="preserve">. В оригинале фонема [d] используется для создания определенного эмоционального отклика и образа, побуждая </w:t>
      </w:r>
      <w:r w:rsidRPr="00E53522">
        <w:rPr>
          <w:rFonts w:ascii="Times New Roman" w:eastAsia="Calibri" w:hAnsi="Times New Roman" w:cs="Times New Roman"/>
          <w:sz w:val="32"/>
        </w:rPr>
        <w:lastRenderedPageBreak/>
        <w:t>потребителя запомнить простую конструкцию рекламного лозунга и вызывая ощущение динамики, решительности и контроля, что усиливает привлекательность бренда.</w:t>
      </w:r>
    </w:p>
    <w:p w14:paraId="36FCD117"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 xml:space="preserve">Следующая из стратегий, которая часто применяется в англоязычной рекламе, — это рифма. Она представляет собой повторение звуков в частях слов или целых словах, расположенных в разных частях текста. Рифмованные фразы легче воспринимаются и запоминаются, </w:t>
      </w:r>
      <w:proofErr w:type="gramStart"/>
      <w:r w:rsidRPr="00E53522">
        <w:rPr>
          <w:rFonts w:ascii="Times New Roman" w:eastAsia="Calibri" w:hAnsi="Times New Roman" w:cs="Times New Roman"/>
          <w:sz w:val="32"/>
        </w:rPr>
        <w:t>но помимо этого</w:t>
      </w:r>
      <w:proofErr w:type="gramEnd"/>
      <w:r w:rsidRPr="00E53522">
        <w:rPr>
          <w:rFonts w:ascii="Times New Roman" w:eastAsia="Calibri" w:hAnsi="Times New Roman" w:cs="Times New Roman"/>
          <w:sz w:val="32"/>
        </w:rPr>
        <w:t xml:space="preserve"> делает текст динамичным и привлекательным для слуха.</w:t>
      </w:r>
    </w:p>
    <w:p w14:paraId="1BEE2903"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Существует три разновидности рифм в рекламе в зависимости от слогового объёма:</w:t>
      </w:r>
    </w:p>
    <w:p w14:paraId="1AA820C6" w14:textId="77777777" w:rsidR="00E53522" w:rsidRPr="00E53522" w:rsidRDefault="00E53522" w:rsidP="00AD58CD">
      <w:pPr>
        <w:numPr>
          <w:ilvl w:val="0"/>
          <w:numId w:val="184"/>
        </w:num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bCs/>
          <w:sz w:val="32"/>
        </w:rPr>
        <w:t>Мужские рифмы</w:t>
      </w:r>
      <w:r w:rsidRPr="00E53522">
        <w:rPr>
          <w:rFonts w:ascii="Times New Roman" w:eastAsia="Calibri" w:hAnsi="Times New Roman" w:cs="Times New Roman"/>
          <w:sz w:val="32"/>
        </w:rPr>
        <w:t> – это рифмы, где ударение приходится на последний слог. Примеры</w:t>
      </w:r>
      <w:r w:rsidRPr="00E53522">
        <w:rPr>
          <w:rFonts w:ascii="Times New Roman" w:eastAsia="Calibri" w:hAnsi="Times New Roman" w:cs="Times New Roman"/>
          <w:sz w:val="32"/>
          <w:lang w:val="en-US"/>
        </w:rPr>
        <w:t>: «The best part of waking up is Folger’s in your cup» — </w:t>
      </w:r>
      <w:r w:rsidRPr="00E53522">
        <w:rPr>
          <w:rFonts w:ascii="Times New Roman" w:eastAsia="Calibri" w:hAnsi="Times New Roman" w:cs="Times New Roman"/>
          <w:sz w:val="32"/>
        </w:rPr>
        <w:t>реклама</w:t>
      </w:r>
      <w:r w:rsidRPr="00E53522">
        <w:rPr>
          <w:rFonts w:ascii="Times New Roman" w:eastAsia="Calibri" w:hAnsi="Times New Roman" w:cs="Times New Roman"/>
          <w:sz w:val="32"/>
          <w:lang w:val="en-US"/>
        </w:rPr>
        <w:t xml:space="preserve"> </w:t>
      </w:r>
      <w:r w:rsidRPr="00E53522">
        <w:rPr>
          <w:rFonts w:ascii="Times New Roman" w:eastAsia="Calibri" w:hAnsi="Times New Roman" w:cs="Times New Roman"/>
          <w:sz w:val="32"/>
        </w:rPr>
        <w:t>кофе</w:t>
      </w:r>
      <w:r w:rsidRPr="00E53522">
        <w:rPr>
          <w:rFonts w:ascii="Times New Roman" w:eastAsia="Calibri" w:hAnsi="Times New Roman" w:cs="Times New Roman"/>
          <w:sz w:val="32"/>
          <w:lang w:val="en-US"/>
        </w:rPr>
        <w:t xml:space="preserve"> «Folger». </w:t>
      </w:r>
      <w:r w:rsidRPr="00E53522">
        <w:rPr>
          <w:rFonts w:ascii="Times New Roman" w:eastAsia="Calibri" w:hAnsi="Times New Roman" w:cs="Times New Roman"/>
          <w:sz w:val="32"/>
        </w:rPr>
        <w:t xml:space="preserve">Перевод – </w:t>
      </w:r>
      <w:r w:rsidRPr="00E53522">
        <w:rPr>
          <w:rFonts w:ascii="Times New Roman" w:eastAsia="Calibri" w:hAnsi="Times New Roman" w:cs="Times New Roman"/>
          <w:bCs/>
          <w:sz w:val="32"/>
        </w:rPr>
        <w:t>«Лучшая часть пробуждения - кофе Folger в вашей чашке!»</w:t>
      </w:r>
      <w:r w:rsidRPr="00E53522">
        <w:rPr>
          <w:rFonts w:ascii="Times New Roman" w:eastAsia="Calibri" w:hAnsi="Times New Roman" w:cs="Times New Roman"/>
          <w:sz w:val="32"/>
        </w:rPr>
        <w:t>. Ударение на последнем слоге присутствует в двух словах: «</w:t>
      </w:r>
      <w:r w:rsidRPr="00E53522">
        <w:rPr>
          <w:rFonts w:ascii="Times New Roman" w:eastAsia="Calibri" w:hAnsi="Times New Roman" w:cs="Times New Roman"/>
          <w:sz w:val="32"/>
          <w:lang w:val="en-US"/>
        </w:rPr>
        <w:t>u</w:t>
      </w:r>
      <w:r w:rsidRPr="00E53522">
        <w:rPr>
          <w:rFonts w:ascii="Times New Roman" w:eastAsia="Calibri" w:hAnsi="Times New Roman" w:cs="Times New Roman"/>
          <w:bCs/>
          <w:sz w:val="32"/>
          <w:lang w:val="en-US"/>
        </w:rPr>
        <w:t>p</w:t>
      </w:r>
      <w:r w:rsidRPr="00E53522">
        <w:rPr>
          <w:rFonts w:ascii="Times New Roman" w:eastAsia="Calibri" w:hAnsi="Times New Roman" w:cs="Times New Roman"/>
          <w:bCs/>
          <w:sz w:val="32"/>
        </w:rPr>
        <w:t xml:space="preserve">» </w:t>
      </w:r>
      <w:r w:rsidRPr="00E53522">
        <w:rPr>
          <w:rFonts w:ascii="Times New Roman" w:eastAsia="Calibri" w:hAnsi="Times New Roman" w:cs="Times New Roman"/>
          <w:sz w:val="32"/>
        </w:rPr>
        <w:t>и </w:t>
      </w:r>
      <w:r w:rsidRPr="00E53522">
        <w:rPr>
          <w:rFonts w:ascii="Times New Roman" w:eastAsia="Calibri" w:hAnsi="Times New Roman" w:cs="Times New Roman"/>
          <w:bCs/>
          <w:sz w:val="32"/>
        </w:rPr>
        <w:t>«cup»</w:t>
      </w:r>
      <w:r w:rsidRPr="00E53522">
        <w:rPr>
          <w:rFonts w:ascii="Times New Roman" w:eastAsia="Calibri" w:hAnsi="Times New Roman" w:cs="Times New Roman"/>
          <w:sz w:val="32"/>
        </w:rPr>
        <w:t>. Оба этих слова являются односложными, поэтому ударение в них естественным образом падает на единственный слог. Однако если рассматривать фразу с точки зрения ритмики и интонационного выделения, то </w:t>
      </w:r>
      <w:r w:rsidRPr="00E53522">
        <w:rPr>
          <w:rFonts w:ascii="Times New Roman" w:eastAsia="Calibri" w:hAnsi="Times New Roman" w:cs="Times New Roman"/>
          <w:bCs/>
          <w:sz w:val="32"/>
        </w:rPr>
        <w:t>«up»</w:t>
      </w:r>
      <w:r w:rsidRPr="00E53522">
        <w:rPr>
          <w:rFonts w:ascii="Times New Roman" w:eastAsia="Calibri" w:hAnsi="Times New Roman" w:cs="Times New Roman"/>
          <w:sz w:val="32"/>
        </w:rPr>
        <w:t> звучит несколько сильнее, так как завершает первую часть предложения («</w:t>
      </w:r>
      <w:r w:rsidRPr="00E53522">
        <w:rPr>
          <w:rFonts w:ascii="Times New Roman" w:eastAsia="Calibri" w:hAnsi="Times New Roman" w:cs="Times New Roman"/>
          <w:iCs/>
          <w:sz w:val="32"/>
        </w:rPr>
        <w:t>The best part of waking up»)</w:t>
      </w:r>
      <w:r w:rsidRPr="00E53522">
        <w:rPr>
          <w:rFonts w:ascii="Times New Roman" w:eastAsia="Calibri" w:hAnsi="Times New Roman" w:cs="Times New Roman"/>
          <w:sz w:val="32"/>
        </w:rPr>
        <w:t xml:space="preserve"> и логически акцентируется перед паузой. Второе слово «</w:t>
      </w:r>
      <w:r w:rsidRPr="00E53522">
        <w:rPr>
          <w:rFonts w:ascii="Times New Roman" w:eastAsia="Calibri" w:hAnsi="Times New Roman" w:cs="Times New Roman"/>
          <w:bCs/>
          <w:sz w:val="32"/>
        </w:rPr>
        <w:t>cup»</w:t>
      </w:r>
      <w:r w:rsidRPr="00E53522">
        <w:rPr>
          <w:rFonts w:ascii="Times New Roman" w:eastAsia="Calibri" w:hAnsi="Times New Roman" w:cs="Times New Roman"/>
          <w:sz w:val="32"/>
        </w:rPr>
        <w:t xml:space="preserve">, хотя и сохраняет ударение, получает чуть меньшее интонационное выделение, так как служит завершением фразы и рифмуется </w:t>
      </w:r>
      <w:proofErr w:type="gramStart"/>
      <w:r w:rsidRPr="00E53522">
        <w:rPr>
          <w:rFonts w:ascii="Times New Roman" w:eastAsia="Calibri" w:hAnsi="Times New Roman" w:cs="Times New Roman"/>
          <w:sz w:val="32"/>
        </w:rPr>
        <w:t xml:space="preserve">с  </w:t>
      </w:r>
      <w:r w:rsidRPr="00E53522">
        <w:rPr>
          <w:rFonts w:ascii="Times New Roman" w:eastAsia="Calibri" w:hAnsi="Times New Roman" w:cs="Times New Roman"/>
          <w:bCs/>
          <w:sz w:val="32"/>
        </w:rPr>
        <w:t>«</w:t>
      </w:r>
      <w:proofErr w:type="gramEnd"/>
      <w:r w:rsidRPr="00E53522">
        <w:rPr>
          <w:rFonts w:ascii="Times New Roman" w:eastAsia="Calibri" w:hAnsi="Times New Roman" w:cs="Times New Roman"/>
          <w:bCs/>
          <w:sz w:val="32"/>
        </w:rPr>
        <w:t>up»</w:t>
      </w:r>
      <w:r w:rsidRPr="00E53522">
        <w:rPr>
          <w:rFonts w:ascii="Times New Roman" w:eastAsia="Calibri" w:hAnsi="Times New Roman" w:cs="Times New Roman"/>
          <w:sz w:val="32"/>
        </w:rPr>
        <w:t>. Таким образом, формально ударение на последнем слоге есть в обоих словах, но в контексте этой фразы «</w:t>
      </w:r>
      <w:r w:rsidRPr="00E53522">
        <w:rPr>
          <w:rFonts w:ascii="Times New Roman" w:eastAsia="Calibri" w:hAnsi="Times New Roman" w:cs="Times New Roman"/>
          <w:bCs/>
          <w:sz w:val="32"/>
        </w:rPr>
        <w:t>up»</w:t>
      </w:r>
      <w:r w:rsidRPr="00E53522">
        <w:rPr>
          <w:rFonts w:ascii="Times New Roman" w:eastAsia="Calibri" w:hAnsi="Times New Roman" w:cs="Times New Roman"/>
          <w:sz w:val="32"/>
        </w:rPr>
        <w:t> звучит более выразительно.</w:t>
      </w:r>
    </w:p>
    <w:p w14:paraId="3EFE06C0" w14:textId="77777777" w:rsidR="00E53522" w:rsidRPr="00E53522" w:rsidRDefault="00E53522" w:rsidP="00AD58CD">
      <w:pPr>
        <w:numPr>
          <w:ilvl w:val="0"/>
          <w:numId w:val="184"/>
        </w:num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bCs/>
          <w:sz w:val="32"/>
        </w:rPr>
        <w:t>Женские</w:t>
      </w:r>
      <w:r w:rsidRPr="00E53522">
        <w:rPr>
          <w:rFonts w:ascii="Times New Roman" w:eastAsia="Calibri" w:hAnsi="Times New Roman" w:cs="Times New Roman"/>
          <w:sz w:val="32"/>
        </w:rPr>
        <w:t> рифмы – это рифмы, где ударение на предпоследнем слоге. Пример</w:t>
      </w:r>
      <w:r w:rsidRPr="00E53522">
        <w:rPr>
          <w:rFonts w:ascii="Times New Roman" w:eastAsia="Calibri" w:hAnsi="Times New Roman" w:cs="Times New Roman"/>
          <w:sz w:val="32"/>
          <w:lang w:val="en-US"/>
        </w:rPr>
        <w:t>: «Drinka pinta milka day» — </w:t>
      </w:r>
      <w:r w:rsidRPr="00E53522">
        <w:rPr>
          <w:rFonts w:ascii="Times New Roman" w:eastAsia="Calibri" w:hAnsi="Times New Roman" w:cs="Times New Roman"/>
          <w:sz w:val="32"/>
        </w:rPr>
        <w:t>реклама</w:t>
      </w:r>
      <w:r w:rsidRPr="00E53522">
        <w:rPr>
          <w:rFonts w:ascii="Times New Roman" w:eastAsia="Calibri" w:hAnsi="Times New Roman" w:cs="Times New Roman"/>
          <w:sz w:val="32"/>
          <w:lang w:val="en-US"/>
        </w:rPr>
        <w:t> «National milk publicity council». </w:t>
      </w:r>
      <w:r w:rsidRPr="00E53522">
        <w:rPr>
          <w:rFonts w:ascii="Times New Roman" w:eastAsia="Calibri" w:hAnsi="Times New Roman" w:cs="Times New Roman"/>
          <w:sz w:val="32"/>
        </w:rPr>
        <w:t>Ударение на </w:t>
      </w:r>
      <w:r w:rsidRPr="00E53522">
        <w:rPr>
          <w:rFonts w:ascii="Times New Roman" w:eastAsia="Calibri" w:hAnsi="Times New Roman" w:cs="Times New Roman"/>
          <w:bCs/>
          <w:sz w:val="32"/>
        </w:rPr>
        <w:t>предпоследнем слоге</w:t>
      </w:r>
      <w:r w:rsidRPr="00E53522">
        <w:rPr>
          <w:rFonts w:ascii="Times New Roman" w:eastAsia="Calibri" w:hAnsi="Times New Roman" w:cs="Times New Roman"/>
          <w:sz w:val="32"/>
        </w:rPr>
        <w:t> падает на слово </w:t>
      </w:r>
      <w:r w:rsidRPr="00E53522">
        <w:rPr>
          <w:rFonts w:ascii="Times New Roman" w:eastAsia="Calibri" w:hAnsi="Times New Roman" w:cs="Times New Roman"/>
          <w:bCs/>
          <w:sz w:val="32"/>
        </w:rPr>
        <w:t>«milka»</w:t>
      </w:r>
      <w:r w:rsidRPr="00E53522">
        <w:rPr>
          <w:rFonts w:ascii="Times New Roman" w:eastAsia="Calibri" w:hAnsi="Times New Roman" w:cs="Times New Roman"/>
          <w:sz w:val="32"/>
        </w:rPr>
        <w:t> (ударным является первый слог </w:t>
      </w:r>
      <w:r w:rsidRPr="00E53522">
        <w:rPr>
          <w:rFonts w:ascii="Times New Roman" w:eastAsia="Calibri" w:hAnsi="Times New Roman" w:cs="Times New Roman"/>
          <w:iCs/>
          <w:sz w:val="32"/>
        </w:rPr>
        <w:t>«mil-»).</w:t>
      </w:r>
      <w:r w:rsidRPr="00E53522">
        <w:rPr>
          <w:rFonts w:ascii="Times New Roman" w:eastAsia="Calibri" w:hAnsi="Times New Roman" w:cs="Times New Roman"/>
          <w:sz w:val="32"/>
        </w:rPr>
        <w:t> Остальные слова в этой фразе -</w:t>
      </w:r>
      <w:r w:rsidRPr="00E53522">
        <w:rPr>
          <w:rFonts w:ascii="Times New Roman" w:eastAsia="Calibri" w:hAnsi="Times New Roman" w:cs="Times New Roman"/>
          <w:bCs/>
          <w:sz w:val="32"/>
        </w:rPr>
        <w:t>«drinka»</w:t>
      </w:r>
      <w:r w:rsidRPr="00E53522">
        <w:rPr>
          <w:rFonts w:ascii="Times New Roman" w:eastAsia="Calibri" w:hAnsi="Times New Roman" w:cs="Times New Roman"/>
          <w:sz w:val="32"/>
        </w:rPr>
        <w:t>, </w:t>
      </w:r>
      <w:r w:rsidRPr="00E53522">
        <w:rPr>
          <w:rFonts w:ascii="Times New Roman" w:eastAsia="Calibri" w:hAnsi="Times New Roman" w:cs="Times New Roman"/>
          <w:bCs/>
          <w:sz w:val="32"/>
        </w:rPr>
        <w:t>«pinta»</w:t>
      </w:r>
      <w:r w:rsidRPr="00E53522">
        <w:rPr>
          <w:rFonts w:ascii="Times New Roman" w:eastAsia="Calibri" w:hAnsi="Times New Roman" w:cs="Times New Roman"/>
          <w:sz w:val="32"/>
        </w:rPr>
        <w:t> и </w:t>
      </w:r>
      <w:r w:rsidRPr="00E53522">
        <w:rPr>
          <w:rFonts w:ascii="Times New Roman" w:eastAsia="Calibri" w:hAnsi="Times New Roman" w:cs="Times New Roman"/>
          <w:bCs/>
          <w:sz w:val="32"/>
        </w:rPr>
        <w:t>«day»</w:t>
      </w:r>
      <w:r w:rsidRPr="00E53522">
        <w:rPr>
          <w:rFonts w:ascii="Times New Roman" w:eastAsia="Calibri" w:hAnsi="Times New Roman" w:cs="Times New Roman"/>
          <w:sz w:val="32"/>
        </w:rPr>
        <w:t> имеют ударение на </w:t>
      </w:r>
      <w:r w:rsidRPr="00E53522">
        <w:rPr>
          <w:rFonts w:ascii="Times New Roman" w:eastAsia="Calibri" w:hAnsi="Times New Roman" w:cs="Times New Roman"/>
          <w:bCs/>
          <w:sz w:val="32"/>
        </w:rPr>
        <w:t>первом слоге</w:t>
      </w:r>
      <w:r w:rsidRPr="00E53522">
        <w:rPr>
          <w:rFonts w:ascii="Times New Roman" w:eastAsia="Calibri" w:hAnsi="Times New Roman" w:cs="Times New Roman"/>
          <w:sz w:val="32"/>
        </w:rPr>
        <w:t> (поскольку все они двусложные, кроме односложного </w:t>
      </w:r>
      <w:r w:rsidRPr="00E53522">
        <w:rPr>
          <w:rFonts w:ascii="Times New Roman" w:eastAsia="Calibri" w:hAnsi="Times New Roman" w:cs="Times New Roman"/>
          <w:iCs/>
          <w:sz w:val="32"/>
        </w:rPr>
        <w:t>«day»</w:t>
      </w:r>
      <w:r w:rsidRPr="00E53522">
        <w:rPr>
          <w:rFonts w:ascii="Times New Roman" w:eastAsia="Calibri" w:hAnsi="Times New Roman" w:cs="Times New Roman"/>
          <w:sz w:val="32"/>
        </w:rPr>
        <w:t>). Таким образом, если искать </w:t>
      </w:r>
      <w:r w:rsidRPr="00E53522">
        <w:rPr>
          <w:rFonts w:ascii="Times New Roman" w:eastAsia="Calibri" w:hAnsi="Times New Roman" w:cs="Times New Roman"/>
          <w:bCs/>
          <w:sz w:val="32"/>
        </w:rPr>
        <w:t>предпоследний ударный слог во всей фразе</w:t>
      </w:r>
      <w:r w:rsidRPr="00E53522">
        <w:rPr>
          <w:rFonts w:ascii="Times New Roman" w:eastAsia="Calibri" w:hAnsi="Times New Roman" w:cs="Times New Roman"/>
          <w:sz w:val="32"/>
        </w:rPr>
        <w:t>, то это будет </w:t>
      </w:r>
      <w:r w:rsidRPr="00E53522">
        <w:rPr>
          <w:rFonts w:ascii="Times New Roman" w:eastAsia="Calibri" w:hAnsi="Times New Roman" w:cs="Times New Roman"/>
          <w:bCs/>
          <w:sz w:val="32"/>
        </w:rPr>
        <w:t>«mil–»</w:t>
      </w:r>
      <w:r w:rsidRPr="00E53522">
        <w:rPr>
          <w:rFonts w:ascii="Times New Roman" w:eastAsia="Calibri" w:hAnsi="Times New Roman" w:cs="Times New Roman"/>
          <w:sz w:val="32"/>
        </w:rPr>
        <w:t> в слове </w:t>
      </w:r>
      <w:r w:rsidRPr="00E53522">
        <w:rPr>
          <w:rFonts w:ascii="Times New Roman" w:eastAsia="Calibri" w:hAnsi="Times New Roman" w:cs="Times New Roman"/>
          <w:bCs/>
          <w:sz w:val="32"/>
        </w:rPr>
        <w:t>«milka»</w:t>
      </w:r>
      <w:r w:rsidRPr="00E53522">
        <w:rPr>
          <w:rFonts w:ascii="Times New Roman" w:eastAsia="Calibri" w:hAnsi="Times New Roman" w:cs="Times New Roman"/>
          <w:sz w:val="32"/>
        </w:rPr>
        <w:t>. Фраза построена в ритмичном стиле, имитирующем разговорную речь, с повторяющимся ударением на первых слогах: </w:t>
      </w:r>
      <w:r w:rsidRPr="00E53522">
        <w:rPr>
          <w:rFonts w:ascii="Times New Roman" w:eastAsia="Calibri" w:hAnsi="Times New Roman" w:cs="Times New Roman"/>
          <w:bCs/>
          <w:sz w:val="32"/>
        </w:rPr>
        <w:t>«DRIN–ka PIN–</w:t>
      </w:r>
      <w:r w:rsidRPr="00E53522">
        <w:rPr>
          <w:rFonts w:ascii="Times New Roman" w:eastAsia="Calibri" w:hAnsi="Times New Roman" w:cs="Times New Roman"/>
          <w:bCs/>
          <w:sz w:val="32"/>
        </w:rPr>
        <w:lastRenderedPageBreak/>
        <w:t>ta MIL–ka DAY»</w:t>
      </w:r>
      <w:r w:rsidRPr="00E53522">
        <w:rPr>
          <w:rFonts w:ascii="Times New Roman" w:eastAsia="Calibri" w:hAnsi="Times New Roman" w:cs="Times New Roman"/>
          <w:sz w:val="32"/>
        </w:rPr>
        <w:t>. Но поскольку </w:t>
      </w:r>
      <w:r w:rsidRPr="00E53522">
        <w:rPr>
          <w:rFonts w:ascii="Times New Roman" w:eastAsia="Calibri" w:hAnsi="Times New Roman" w:cs="Times New Roman"/>
          <w:iCs/>
          <w:sz w:val="32"/>
        </w:rPr>
        <w:t>«day» –</w:t>
      </w:r>
      <w:r w:rsidRPr="00E53522">
        <w:rPr>
          <w:rFonts w:ascii="Times New Roman" w:eastAsia="Calibri" w:hAnsi="Times New Roman" w:cs="Times New Roman"/>
          <w:sz w:val="32"/>
        </w:rPr>
        <w:t> односложное, последним многосложным словом остается </w:t>
      </w:r>
      <w:r w:rsidRPr="00E53522">
        <w:rPr>
          <w:rFonts w:ascii="Times New Roman" w:eastAsia="Calibri" w:hAnsi="Times New Roman" w:cs="Times New Roman"/>
          <w:iCs/>
          <w:sz w:val="32"/>
        </w:rPr>
        <w:t>«milka»</w:t>
      </w:r>
      <w:r w:rsidRPr="00E53522">
        <w:rPr>
          <w:rFonts w:ascii="Times New Roman" w:eastAsia="Calibri" w:hAnsi="Times New Roman" w:cs="Times New Roman"/>
          <w:sz w:val="32"/>
        </w:rPr>
        <w:t>, и его первый слог («</w:t>
      </w:r>
      <w:r w:rsidRPr="00E53522">
        <w:rPr>
          <w:rFonts w:ascii="Times New Roman" w:eastAsia="Calibri" w:hAnsi="Times New Roman" w:cs="Times New Roman"/>
          <w:iCs/>
          <w:sz w:val="32"/>
        </w:rPr>
        <w:t>mil–»</w:t>
      </w:r>
      <w:r w:rsidRPr="00E53522">
        <w:rPr>
          <w:rFonts w:ascii="Times New Roman" w:eastAsia="Calibri" w:hAnsi="Times New Roman" w:cs="Times New Roman"/>
          <w:sz w:val="32"/>
        </w:rPr>
        <w:t>) становится предпоследним ударным в общей структуре.</w:t>
      </w:r>
    </w:p>
    <w:p w14:paraId="3255BDC8" w14:textId="77777777" w:rsidR="00E53522" w:rsidRPr="00E53522" w:rsidRDefault="00E53522" w:rsidP="00AD58CD">
      <w:pPr>
        <w:numPr>
          <w:ilvl w:val="0"/>
          <w:numId w:val="184"/>
        </w:num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bCs/>
          <w:sz w:val="32"/>
        </w:rPr>
        <w:t>Дактилические</w:t>
      </w:r>
      <w:r w:rsidRPr="00E53522">
        <w:rPr>
          <w:rFonts w:ascii="Times New Roman" w:eastAsia="Calibri" w:hAnsi="Times New Roman" w:cs="Times New Roman"/>
          <w:sz w:val="32"/>
        </w:rPr>
        <w:t> — ударение на третьем от конца слоге. В рекламных текстах такой тип рифмы встречается нечасто, потому что в английском языке длинные многосложные слова усложняют понимание, и их обычно избегают [3].</w:t>
      </w:r>
    </w:p>
    <w:p w14:paraId="1E5E66D1"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В англоязычной рекламе для выделения эксклюзивности товара часто применяются превосходные степени и оценочная лексика. Превосходные степени, или суперлативы, делятся на две категории:</w:t>
      </w:r>
    </w:p>
    <w:p w14:paraId="269B2C81" w14:textId="77777777" w:rsidR="00E53522" w:rsidRPr="00E53522" w:rsidRDefault="00E53522" w:rsidP="00AD58CD">
      <w:pPr>
        <w:numPr>
          <w:ilvl w:val="0"/>
          <w:numId w:val="186"/>
        </w:numPr>
        <w:spacing w:after="0" w:line="240" w:lineRule="auto"/>
        <w:ind w:left="0" w:firstLine="709"/>
        <w:contextualSpacing/>
        <w:jc w:val="both"/>
        <w:rPr>
          <w:rFonts w:ascii="Times New Roman" w:eastAsia="Calibri" w:hAnsi="Times New Roman" w:cs="Times New Roman"/>
          <w:sz w:val="32"/>
        </w:rPr>
      </w:pPr>
      <w:r w:rsidRPr="00E53522">
        <w:rPr>
          <w:rFonts w:ascii="Times New Roman" w:eastAsia="Calibri" w:hAnsi="Times New Roman" w:cs="Times New Roman"/>
          <w:sz w:val="32"/>
        </w:rPr>
        <w:t>Грамматические суперлативы: это прилагательные в превосходной степени, а также слова с приставками «гипер–», «мега–», «супер–».</w:t>
      </w:r>
    </w:p>
    <w:p w14:paraId="2A071CC4" w14:textId="77777777" w:rsidR="00E53522" w:rsidRPr="00E53522" w:rsidRDefault="00E53522" w:rsidP="00AD58CD">
      <w:pPr>
        <w:numPr>
          <w:ilvl w:val="0"/>
          <w:numId w:val="186"/>
        </w:numPr>
        <w:spacing w:after="0" w:line="240" w:lineRule="auto"/>
        <w:ind w:left="0" w:firstLine="709"/>
        <w:contextualSpacing/>
        <w:jc w:val="both"/>
        <w:rPr>
          <w:rFonts w:ascii="Times New Roman" w:eastAsia="Calibri" w:hAnsi="Times New Roman" w:cs="Times New Roman"/>
          <w:sz w:val="32"/>
        </w:rPr>
      </w:pPr>
      <w:r w:rsidRPr="00E53522">
        <w:rPr>
          <w:rFonts w:ascii="Times New Roman" w:eastAsia="Calibri" w:hAnsi="Times New Roman" w:cs="Times New Roman"/>
          <w:sz w:val="32"/>
        </w:rPr>
        <w:t>Семантические суперлативы: слова, которые не имеют формальных признаков превосходной степени, но по смыслу выражают наивысшую степень качества.</w:t>
      </w:r>
    </w:p>
    <w:p w14:paraId="6DE7651D"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Суперлативы в рекламе обычно описывают эффект от использования продукта, а не сам продукт напрямую. Оценочная лексика, включающая прилагательные, словосочетания (прилагательное + существительное, атрибутивные сочетания существительных), повелительные глаголы и специализированные термины, служит для передачи положительных качеств и преимуществ товара, формируя исключительно позитивное восприятие [4].</w:t>
      </w:r>
    </w:p>
    <w:p w14:paraId="611F0889"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bCs/>
          <w:sz w:val="32"/>
        </w:rPr>
        <w:t>Пример англоязычной рекламы с использованием суперлативов:</w:t>
      </w:r>
    </w:p>
    <w:p w14:paraId="7E976B79"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bCs/>
          <w:sz w:val="32"/>
          <w:lang w:val="en-US"/>
        </w:rPr>
        <w:t xml:space="preserve">«It’s a fact. With Clarins, life’s more beautiful» (2007), </w:t>
      </w:r>
      <w:r w:rsidRPr="00E53522">
        <w:rPr>
          <w:rFonts w:ascii="Times New Roman" w:eastAsia="Calibri" w:hAnsi="Times New Roman" w:cs="Times New Roman"/>
          <w:bCs/>
          <w:sz w:val="32"/>
        </w:rPr>
        <w:t>перевод</w:t>
      </w:r>
      <w:r w:rsidRPr="00E53522">
        <w:rPr>
          <w:rFonts w:ascii="Times New Roman" w:eastAsia="Calibri" w:hAnsi="Times New Roman" w:cs="Times New Roman"/>
          <w:bCs/>
          <w:sz w:val="32"/>
          <w:lang w:val="en-US"/>
        </w:rPr>
        <w:t xml:space="preserve"> – «</w:t>
      </w:r>
      <w:r w:rsidRPr="00E53522">
        <w:rPr>
          <w:rFonts w:ascii="Times New Roman" w:eastAsia="Calibri" w:hAnsi="Times New Roman" w:cs="Times New Roman"/>
          <w:bCs/>
          <w:sz w:val="32"/>
        </w:rPr>
        <w:t>Это</w:t>
      </w:r>
      <w:r w:rsidRPr="00E53522">
        <w:rPr>
          <w:rFonts w:ascii="Times New Roman" w:eastAsia="Calibri" w:hAnsi="Times New Roman" w:cs="Times New Roman"/>
          <w:bCs/>
          <w:sz w:val="32"/>
          <w:lang w:val="en-US"/>
        </w:rPr>
        <w:t> </w:t>
      </w:r>
      <w:r w:rsidRPr="00E53522">
        <w:rPr>
          <w:rFonts w:ascii="Times New Roman" w:eastAsia="Calibri" w:hAnsi="Times New Roman" w:cs="Times New Roman"/>
          <w:bCs/>
          <w:sz w:val="32"/>
        </w:rPr>
        <w:t>факт</w:t>
      </w:r>
      <w:r w:rsidRPr="00E53522">
        <w:rPr>
          <w:rFonts w:ascii="Times New Roman" w:eastAsia="Calibri" w:hAnsi="Times New Roman" w:cs="Times New Roman"/>
          <w:bCs/>
          <w:sz w:val="32"/>
          <w:lang w:val="en-US"/>
        </w:rPr>
        <w:t xml:space="preserve">. </w:t>
      </w:r>
      <w:r w:rsidRPr="00E53522">
        <w:rPr>
          <w:rFonts w:ascii="Times New Roman" w:eastAsia="Calibri" w:hAnsi="Times New Roman" w:cs="Times New Roman"/>
          <w:bCs/>
          <w:sz w:val="32"/>
        </w:rPr>
        <w:t>С Clarins жизнь становится прекрасней» – заголовок рекламы косметического бренда </w:t>
      </w:r>
      <w:r w:rsidRPr="00E53522">
        <w:rPr>
          <w:rFonts w:ascii="Times New Roman" w:eastAsia="Calibri" w:hAnsi="Times New Roman" w:cs="Times New Roman"/>
          <w:bCs/>
          <w:sz w:val="32"/>
          <w:lang w:val="en-US"/>
        </w:rPr>
        <w:t>Clarins</w:t>
      </w:r>
      <w:r w:rsidRPr="00E53522">
        <w:rPr>
          <w:rFonts w:ascii="Times New Roman" w:eastAsia="Calibri" w:hAnsi="Times New Roman" w:cs="Times New Roman"/>
          <w:bCs/>
          <w:sz w:val="32"/>
        </w:rPr>
        <w:t xml:space="preserve">.Здесь используется прилагательное </w:t>
      </w:r>
      <w:r w:rsidRPr="00E53522">
        <w:rPr>
          <w:rFonts w:ascii="Times New Roman" w:eastAsia="Calibri" w:hAnsi="Times New Roman" w:cs="Times New Roman"/>
          <w:bCs/>
          <w:sz w:val="32"/>
          <w:lang w:val="en-US"/>
        </w:rPr>
        <w:t>beautiful</w:t>
      </w:r>
      <w:r w:rsidRPr="00E53522">
        <w:rPr>
          <w:rFonts w:ascii="Times New Roman" w:eastAsia="Calibri" w:hAnsi="Times New Roman" w:cs="Times New Roman"/>
          <w:bCs/>
          <w:sz w:val="32"/>
        </w:rPr>
        <w:t xml:space="preserve"> в превосходной степени – </w:t>
      </w:r>
      <w:r w:rsidRPr="00E53522">
        <w:rPr>
          <w:rFonts w:ascii="Times New Roman" w:eastAsia="Calibri" w:hAnsi="Times New Roman" w:cs="Times New Roman"/>
          <w:bCs/>
          <w:sz w:val="32"/>
          <w:lang w:val="en-US"/>
        </w:rPr>
        <w:t>more</w:t>
      </w:r>
      <w:r w:rsidRPr="00E53522">
        <w:rPr>
          <w:rFonts w:ascii="Times New Roman" w:eastAsia="Calibri" w:hAnsi="Times New Roman" w:cs="Times New Roman"/>
          <w:bCs/>
          <w:sz w:val="32"/>
        </w:rPr>
        <w:t> </w:t>
      </w:r>
      <w:r w:rsidRPr="00E53522">
        <w:rPr>
          <w:rFonts w:ascii="Times New Roman" w:eastAsia="Calibri" w:hAnsi="Times New Roman" w:cs="Times New Roman"/>
          <w:bCs/>
          <w:sz w:val="32"/>
          <w:lang w:val="en-US"/>
        </w:rPr>
        <w:t>beautiful</w:t>
      </w:r>
      <w:r w:rsidRPr="00E53522">
        <w:rPr>
          <w:rFonts w:ascii="Times New Roman" w:eastAsia="Calibri" w:hAnsi="Times New Roman" w:cs="Times New Roman"/>
          <w:bCs/>
          <w:sz w:val="32"/>
        </w:rPr>
        <w:t xml:space="preserve">. Создатель рекламного текста подчёркивает, что использование косметики данного бренда делает жизнь потребителя лучше. </w:t>
      </w:r>
    </w:p>
    <w:p w14:paraId="1202FCE4"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bCs/>
          <w:sz w:val="32"/>
        </w:rPr>
        <w:t>В рекламе часто используют отклонения от языковых норм, особенно в англоязычных текстах. Это помогает сделать сообщение короче, эмоциональнее и запоминающимся.</w:t>
      </w:r>
    </w:p>
    <w:p w14:paraId="17AC7B17"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sz w:val="32"/>
        </w:rPr>
        <w:t>Например, компания «McDonald’s» выбрала неправильную грамматическую конструкцию для своего лозунга – «</w:t>
      </w:r>
      <w:r w:rsidRPr="00E53522">
        <w:rPr>
          <w:rFonts w:ascii="Times New Roman" w:eastAsia="Calibri" w:hAnsi="Times New Roman" w:cs="Times New Roman"/>
          <w:bCs/>
          <w:sz w:val="32"/>
        </w:rPr>
        <w:t>I’m lovin’ it»</w:t>
      </w:r>
      <w:r w:rsidRPr="00E53522">
        <w:rPr>
          <w:rFonts w:ascii="Times New Roman" w:eastAsia="Calibri" w:hAnsi="Times New Roman" w:cs="Times New Roman"/>
          <w:sz w:val="32"/>
        </w:rPr>
        <w:t> вместо правильного «</w:t>
      </w:r>
      <w:r w:rsidRPr="00E53522">
        <w:rPr>
          <w:rFonts w:ascii="Times New Roman" w:eastAsia="Calibri" w:hAnsi="Times New Roman" w:cs="Times New Roman"/>
          <w:iCs/>
          <w:sz w:val="32"/>
        </w:rPr>
        <w:t>I love it»</w:t>
      </w:r>
      <w:r w:rsidRPr="00E53522">
        <w:rPr>
          <w:rFonts w:ascii="Times New Roman" w:eastAsia="Calibri" w:hAnsi="Times New Roman" w:cs="Times New Roman"/>
          <w:sz w:val="32"/>
        </w:rPr>
        <w:t>. Такая стратегия привлекает внимание потребителей, а сам лозунг легко запоминающийся.</w:t>
      </w:r>
    </w:p>
    <w:p w14:paraId="4EFAE70A"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bCs/>
          <w:sz w:val="32"/>
        </w:rPr>
        <w:lastRenderedPageBreak/>
        <w:t>Также широко используется приём императивных конструкций в англоязычной рекламе для побуждения к действию, к принятию определённых решений.</w:t>
      </w:r>
    </w:p>
    <w:p w14:paraId="0A7E41A1" w14:textId="77777777" w:rsidR="00E53522" w:rsidRPr="00E53522" w:rsidRDefault="00E53522" w:rsidP="00E53522">
      <w:pPr>
        <w:spacing w:after="0" w:line="240" w:lineRule="auto"/>
        <w:ind w:firstLine="709"/>
        <w:jc w:val="both"/>
        <w:rPr>
          <w:rFonts w:ascii="Times New Roman" w:eastAsia="Calibri" w:hAnsi="Times New Roman" w:cs="Times New Roman"/>
          <w:bCs/>
          <w:color w:val="FF0000"/>
          <w:sz w:val="32"/>
        </w:rPr>
      </w:pPr>
      <w:r w:rsidRPr="00E53522">
        <w:rPr>
          <w:rFonts w:ascii="Times New Roman" w:eastAsia="Calibri" w:hAnsi="Times New Roman" w:cs="Times New Roman"/>
          <w:bCs/>
          <w:sz w:val="32"/>
        </w:rPr>
        <w:t>Императив в рекламе используется для достижения нескольких ключевых целей, во-первых, оно привлекает внимание и стимулирует интерес к продукту или услуге. Во-вторых, в социальной рекламе императивные формулировки часто используют, чтобы повлиять на поведение аудитории – например, предупредить о рисках или запретить опасные действия. Кроме того, такая форма подачи усиливает ощущение срочности, подчёркивая возможные негативные последствия бездействия или неправильного выбора [5].</w:t>
      </w:r>
      <w:r w:rsidRPr="00E53522">
        <w:rPr>
          <w:rFonts w:ascii="Times New Roman" w:eastAsia="Calibri" w:hAnsi="Times New Roman" w:cs="Times New Roman"/>
          <w:bCs/>
          <w:color w:val="FF0000"/>
          <w:sz w:val="32"/>
        </w:rPr>
        <w:t xml:space="preserve"> </w:t>
      </w:r>
    </w:p>
    <w:p w14:paraId="28A86C8C"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bCs/>
          <w:sz w:val="32"/>
        </w:rPr>
        <w:t>Так, нап</w:t>
      </w:r>
      <w:r w:rsidRPr="00E53522">
        <w:rPr>
          <w:rFonts w:ascii="Times New Roman" w:eastAsia="Calibri" w:hAnsi="Times New Roman" w:cs="Times New Roman"/>
          <w:sz w:val="32"/>
        </w:rPr>
        <w:t>ример, компания «Nike» использует предельно краткое – </w:t>
      </w:r>
      <w:r w:rsidRPr="00E53522">
        <w:rPr>
          <w:rFonts w:ascii="Times New Roman" w:eastAsia="Calibri" w:hAnsi="Times New Roman" w:cs="Times New Roman"/>
          <w:bCs/>
          <w:sz w:val="32"/>
        </w:rPr>
        <w:t>«Just do it» («Просто сделай это»)</w:t>
      </w:r>
      <w:r w:rsidRPr="00E53522">
        <w:rPr>
          <w:rFonts w:ascii="Times New Roman" w:eastAsia="Calibri" w:hAnsi="Times New Roman" w:cs="Times New Roman"/>
          <w:sz w:val="32"/>
        </w:rPr>
        <w:t>, которое стало символом решительности и мотивации. «Apple» в своё время нарушил грамматику в слогане </w:t>
      </w:r>
      <w:r w:rsidRPr="00E53522">
        <w:rPr>
          <w:rFonts w:ascii="Times New Roman" w:eastAsia="Calibri" w:hAnsi="Times New Roman" w:cs="Times New Roman"/>
          <w:bCs/>
          <w:sz w:val="32"/>
        </w:rPr>
        <w:t>«Think different» («Думай по- другому»)</w:t>
      </w:r>
      <w:r w:rsidRPr="00E53522">
        <w:rPr>
          <w:rFonts w:ascii="Times New Roman" w:eastAsia="Calibri" w:hAnsi="Times New Roman" w:cs="Times New Roman"/>
          <w:sz w:val="32"/>
        </w:rPr>
        <w:t>, вместо «</w:t>
      </w:r>
      <w:r w:rsidRPr="00E53522">
        <w:rPr>
          <w:rFonts w:ascii="Times New Roman" w:eastAsia="Calibri" w:hAnsi="Times New Roman" w:cs="Times New Roman"/>
          <w:iCs/>
          <w:sz w:val="32"/>
        </w:rPr>
        <w:t>differently»</w:t>
      </w:r>
      <w:r w:rsidRPr="00E53522">
        <w:rPr>
          <w:rFonts w:ascii="Times New Roman" w:eastAsia="Calibri" w:hAnsi="Times New Roman" w:cs="Times New Roman"/>
          <w:sz w:val="32"/>
        </w:rPr>
        <w:t>, что привлекло внимание и подчеркнуло нестандартность бренда.</w:t>
      </w:r>
    </w:p>
    <w:p w14:paraId="6058ED08"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В англоязычной рекламе часто применяют различные стилистические приемы, которые помогают сделать сообщение ярким и убедительным. Особенно популярна метафора – она позволяет кратко и эмоционально передать основную мысль, воздействуя на подсознание потребителей через ассоциации.</w:t>
      </w:r>
    </w:p>
    <w:p w14:paraId="4E8A3242"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Рассмотрим несколько примеров:</w:t>
      </w:r>
    </w:p>
    <w:p w14:paraId="26B6EC77" w14:textId="77777777" w:rsidR="00E53522" w:rsidRPr="00E53522" w:rsidRDefault="00E53522" w:rsidP="00AD58CD">
      <w:pPr>
        <w:numPr>
          <w:ilvl w:val="0"/>
          <w:numId w:val="185"/>
        </w:numPr>
        <w:tabs>
          <w:tab w:val="clear" w:pos="720"/>
        </w:tabs>
        <w:spacing w:after="0" w:line="240" w:lineRule="auto"/>
        <w:ind w:left="0" w:firstLine="709"/>
        <w:contextualSpacing/>
        <w:jc w:val="both"/>
        <w:rPr>
          <w:rFonts w:ascii="Times New Roman" w:eastAsia="Calibri" w:hAnsi="Times New Roman" w:cs="Times New Roman"/>
          <w:bCs/>
          <w:sz w:val="32"/>
        </w:rPr>
      </w:pPr>
      <w:r w:rsidRPr="00E53522">
        <w:rPr>
          <w:rFonts w:ascii="Times New Roman" w:eastAsia="Calibri" w:hAnsi="Times New Roman" w:cs="Times New Roman"/>
          <w:bCs/>
          <w:sz w:val="32"/>
        </w:rPr>
        <w:t>Шоколадный</w:t>
      </w:r>
      <w:r w:rsidRPr="00E53522">
        <w:rPr>
          <w:rFonts w:ascii="Times New Roman" w:eastAsia="Calibri" w:hAnsi="Times New Roman" w:cs="Times New Roman"/>
          <w:bCs/>
          <w:sz w:val="32"/>
          <w:lang w:val="en-US"/>
        </w:rPr>
        <w:t xml:space="preserve"> </w:t>
      </w:r>
      <w:r w:rsidRPr="00E53522">
        <w:rPr>
          <w:rFonts w:ascii="Times New Roman" w:eastAsia="Calibri" w:hAnsi="Times New Roman" w:cs="Times New Roman"/>
          <w:bCs/>
          <w:sz w:val="32"/>
        </w:rPr>
        <w:t>батончик</w:t>
      </w:r>
      <w:r w:rsidRPr="00E53522">
        <w:rPr>
          <w:rFonts w:ascii="Times New Roman" w:eastAsia="Calibri" w:hAnsi="Times New Roman" w:cs="Times New Roman"/>
          <w:bCs/>
          <w:sz w:val="32"/>
          <w:lang w:val="en-US"/>
        </w:rPr>
        <w:t xml:space="preserve"> Bounty: «A taste of paradise» («</w:t>
      </w:r>
      <w:r w:rsidRPr="00E53522">
        <w:rPr>
          <w:rFonts w:ascii="Times New Roman" w:eastAsia="Calibri" w:hAnsi="Times New Roman" w:cs="Times New Roman"/>
          <w:bCs/>
          <w:sz w:val="32"/>
        </w:rPr>
        <w:t>Вкус</w:t>
      </w:r>
      <w:r w:rsidRPr="00E53522">
        <w:rPr>
          <w:rFonts w:ascii="Times New Roman" w:eastAsia="Calibri" w:hAnsi="Times New Roman" w:cs="Times New Roman"/>
          <w:bCs/>
          <w:sz w:val="32"/>
          <w:lang w:val="en-US"/>
        </w:rPr>
        <w:t> </w:t>
      </w:r>
      <w:r w:rsidRPr="00E53522">
        <w:rPr>
          <w:rFonts w:ascii="Times New Roman" w:eastAsia="Calibri" w:hAnsi="Times New Roman" w:cs="Times New Roman"/>
          <w:bCs/>
          <w:sz w:val="32"/>
        </w:rPr>
        <w:t>рая</w:t>
      </w:r>
      <w:r w:rsidRPr="00E53522">
        <w:rPr>
          <w:rFonts w:ascii="Times New Roman" w:eastAsia="Calibri" w:hAnsi="Times New Roman" w:cs="Times New Roman"/>
          <w:bCs/>
          <w:sz w:val="32"/>
          <w:lang w:val="en-US"/>
        </w:rPr>
        <w:t xml:space="preserve">»). </w:t>
      </w:r>
      <w:r w:rsidRPr="00E53522">
        <w:rPr>
          <w:rFonts w:ascii="Times New Roman" w:eastAsia="Calibri" w:hAnsi="Times New Roman" w:cs="Times New Roman"/>
          <w:bCs/>
          <w:sz w:val="32"/>
        </w:rPr>
        <w:t xml:space="preserve">Использование такой метафоры и дизайна упаковки батончика, где изображены пальмы и пляж с морем, вызывает ассоциацию с «райским местом». </w:t>
      </w:r>
    </w:p>
    <w:p w14:paraId="529A4694" w14:textId="77777777" w:rsidR="00E53522" w:rsidRPr="00E53522" w:rsidRDefault="00E53522" w:rsidP="00AD58CD">
      <w:pPr>
        <w:numPr>
          <w:ilvl w:val="0"/>
          <w:numId w:val="185"/>
        </w:numPr>
        <w:tabs>
          <w:tab w:val="clear" w:pos="720"/>
        </w:tabs>
        <w:spacing w:after="0" w:line="240" w:lineRule="auto"/>
        <w:ind w:left="0" w:firstLine="709"/>
        <w:contextualSpacing/>
        <w:jc w:val="both"/>
        <w:rPr>
          <w:rFonts w:ascii="Times New Roman" w:eastAsia="Calibri" w:hAnsi="Times New Roman" w:cs="Times New Roman"/>
          <w:sz w:val="32"/>
        </w:rPr>
      </w:pPr>
      <w:r w:rsidRPr="00E53522">
        <w:rPr>
          <w:rFonts w:ascii="Times New Roman" w:eastAsia="Calibri" w:hAnsi="Times New Roman" w:cs="Times New Roman"/>
          <w:bCs/>
          <w:sz w:val="32"/>
        </w:rPr>
        <w:t>Энергетик «</w:t>
      </w:r>
      <w:r w:rsidRPr="00E53522">
        <w:rPr>
          <w:rFonts w:ascii="Times New Roman" w:eastAsia="Calibri" w:hAnsi="Times New Roman" w:cs="Times New Roman"/>
          <w:sz w:val="32"/>
        </w:rPr>
        <w:t>Red Bull» в своём рекламном слогане использует метафору: </w:t>
      </w:r>
      <w:r w:rsidRPr="00E53522">
        <w:rPr>
          <w:rFonts w:ascii="Times New Roman" w:eastAsia="Calibri" w:hAnsi="Times New Roman" w:cs="Times New Roman"/>
          <w:bCs/>
          <w:sz w:val="32"/>
        </w:rPr>
        <w:t>«</w:t>
      </w:r>
      <w:r w:rsidRPr="00E53522">
        <w:rPr>
          <w:rFonts w:ascii="Times New Roman" w:eastAsia="Calibri" w:hAnsi="Times New Roman" w:cs="Times New Roman"/>
          <w:bCs/>
          <w:sz w:val="32"/>
          <w:lang w:val="en-US"/>
        </w:rPr>
        <w:t>Red</w:t>
      </w:r>
      <w:r w:rsidRPr="00E53522">
        <w:rPr>
          <w:rFonts w:ascii="Times New Roman" w:eastAsia="Calibri" w:hAnsi="Times New Roman" w:cs="Times New Roman"/>
          <w:bCs/>
          <w:sz w:val="32"/>
        </w:rPr>
        <w:t xml:space="preserve"> </w:t>
      </w:r>
      <w:r w:rsidRPr="00E53522">
        <w:rPr>
          <w:rFonts w:ascii="Times New Roman" w:eastAsia="Calibri" w:hAnsi="Times New Roman" w:cs="Times New Roman"/>
          <w:bCs/>
          <w:sz w:val="32"/>
          <w:lang w:val="en-US"/>
        </w:rPr>
        <w:t>Bull</w:t>
      </w:r>
      <w:r w:rsidRPr="00E53522">
        <w:rPr>
          <w:rFonts w:ascii="Times New Roman" w:eastAsia="Calibri" w:hAnsi="Times New Roman" w:cs="Times New Roman"/>
          <w:bCs/>
          <w:sz w:val="32"/>
        </w:rPr>
        <w:t xml:space="preserve"> gives you wings»</w:t>
      </w:r>
      <w:r w:rsidRPr="00E53522">
        <w:rPr>
          <w:rFonts w:ascii="Times New Roman" w:eastAsia="Calibri" w:hAnsi="Times New Roman" w:cs="Times New Roman"/>
          <w:sz w:val="32"/>
        </w:rPr>
        <w:t xml:space="preserve">. В переносном значение «крылья» вызывает ассоциации с энергией и свободой. </w:t>
      </w:r>
    </w:p>
    <w:p w14:paraId="03928232" w14:textId="77777777" w:rsidR="00E53522" w:rsidRPr="00E53522" w:rsidRDefault="00E53522" w:rsidP="00E53522">
      <w:pPr>
        <w:spacing w:after="0" w:line="240" w:lineRule="auto"/>
        <w:ind w:firstLine="709"/>
        <w:jc w:val="both"/>
        <w:rPr>
          <w:rFonts w:ascii="Times New Roman" w:eastAsia="Calibri" w:hAnsi="Times New Roman" w:cs="Times New Roman"/>
          <w:bCs/>
          <w:sz w:val="32"/>
        </w:rPr>
      </w:pPr>
      <w:r w:rsidRPr="00E53522">
        <w:rPr>
          <w:rFonts w:ascii="Times New Roman" w:eastAsia="Calibri" w:hAnsi="Times New Roman" w:cs="Times New Roman"/>
          <w:bCs/>
          <w:sz w:val="32"/>
        </w:rPr>
        <w:t>В современной рекламе часто используются каламбуры и игра слов. Эти приемы работают за счет того, что привлекают внимание. Юмор и двойной смысл не просто развлекают, но и заставляют человека задуматься, вникнуть в сообщение. Когда аудитория расшифровывает скрытый подтекст, информация запоминается лучше. Кроме того, легкая ироничная подача снимает напряжение, делает рекламу менее навязчивой. В результате потребитель не только запоминает бренд, но и с большей вероятностью захочет купить товар или услугу, потому что юмор создает положительные ассоциации.</w:t>
      </w:r>
    </w:p>
    <w:p w14:paraId="26997741"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lastRenderedPageBreak/>
        <w:t xml:space="preserve">Так, например, слоган ювелирной компании «Kay Jewelers»: «Every kiss begins with a Kay» («Каждый поцелуй начинается с Кей»). Здесь используется игра слов с английской буквой «K» (с которой начинается слово «поцелуй» в английском) и названием компании. </w:t>
      </w:r>
    </w:p>
    <w:p w14:paraId="6880D034" w14:textId="77777777" w:rsidR="00E53522" w:rsidRPr="00E53522" w:rsidRDefault="00E53522" w:rsidP="00AD58CD">
      <w:pPr>
        <w:numPr>
          <w:ilvl w:val="0"/>
          <w:numId w:val="185"/>
        </w:numPr>
        <w:tabs>
          <w:tab w:val="clear" w:pos="720"/>
          <w:tab w:val="num" w:pos="360"/>
        </w:tabs>
        <w:spacing w:after="0" w:line="240" w:lineRule="auto"/>
        <w:ind w:left="0" w:firstLine="709"/>
        <w:contextualSpacing/>
        <w:jc w:val="both"/>
        <w:rPr>
          <w:rFonts w:ascii="Times New Roman" w:eastAsia="Calibri" w:hAnsi="Times New Roman" w:cs="Times New Roman"/>
          <w:sz w:val="32"/>
        </w:rPr>
      </w:pPr>
      <w:r w:rsidRPr="00E53522">
        <w:rPr>
          <w:rFonts w:ascii="Times New Roman" w:eastAsia="Calibri" w:hAnsi="Times New Roman" w:cs="Times New Roman"/>
          <w:sz w:val="32"/>
        </w:rPr>
        <w:t>Рекламный лозунг бизнес– школы университета «Лидс»: «On course to excellence» («На пути к совершенству»). В нём объединены сразу два значения слова «course»: «курс по чему–либо» (серия уроков или лекций по определённому предмету) и «движение в правильном направлении».</w:t>
      </w:r>
    </w:p>
    <w:p w14:paraId="30C041B2"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Таким образом, каламбуры в рекламе – это не просто словесная игра, а эффективный инструмент маркетинга, который повышает вовлеченность и способствует продажам.</w:t>
      </w:r>
    </w:p>
    <w:p w14:paraId="5AA5053B"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Подводя итоги, можно сказать, что лингвистические стратегии в англоязычной рекламе служат мощным инструментом воздействия на целевую аудиторию. Их особая ценность заключается в способности не просто передавать информацию о товаре, но и формировать эмоциональную связь с потребителем. Использование игры слов, метафор и других стилистических приемов делает рекламные сообщения живыми и запоминающимися, что в конечном итоге способствует повышению лояльности к бренду.</w:t>
      </w:r>
    </w:p>
    <w:p w14:paraId="07C691C9"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При этом важно понимать, что эффективность этих приемов не является универсальной. Их успешное применение требует глубокого понимания культурного контекста, ценностей и языковых особенностей целевой аудитории. Рекламные кампании, которые учитывают эти нюансы, как правило, демонстрируют более высокую вовлеченность и лучше достигают маркетинговых целей.</w:t>
      </w:r>
    </w:p>
    <w:p w14:paraId="67D38E54" w14:textId="77777777" w:rsidR="00E53522" w:rsidRPr="00E53522" w:rsidRDefault="00E53522" w:rsidP="00E53522">
      <w:pPr>
        <w:spacing w:after="0" w:line="240" w:lineRule="auto"/>
        <w:ind w:firstLine="709"/>
        <w:jc w:val="both"/>
        <w:rPr>
          <w:rFonts w:ascii="Times New Roman" w:eastAsia="Calibri" w:hAnsi="Times New Roman" w:cs="Times New Roman"/>
          <w:sz w:val="32"/>
        </w:rPr>
      </w:pPr>
      <w:r w:rsidRPr="00E53522">
        <w:rPr>
          <w:rFonts w:ascii="Times New Roman" w:eastAsia="Calibri" w:hAnsi="Times New Roman" w:cs="Times New Roman"/>
          <w:sz w:val="32"/>
        </w:rPr>
        <w:t>В заключение можно сказать, что лингвистические стратегии в рекламе представляют собой сложный, но крайне эффективный механизм влияния на потребительское восприятие. Их грамотное использование позволяет не только привлекать внимание, но и создавать устойчивые ассоциации с брендом, что в долгосрочной перспективе способствует росту продаж и укреплению рыночных позиций. Дальнейшее исследование этой темы могло бы быть направлено на анализ конкретных кейсов, чтобы выявить наиболее действенные комбинации лингвистических приемов для разных типов товаров и аудиторий.</w:t>
      </w:r>
    </w:p>
    <w:p w14:paraId="3A082334" w14:textId="77777777" w:rsidR="00E53522" w:rsidRPr="00E53522" w:rsidRDefault="00E53522" w:rsidP="00E53522">
      <w:pPr>
        <w:spacing w:after="0" w:line="240" w:lineRule="auto"/>
        <w:ind w:firstLine="709"/>
        <w:jc w:val="both"/>
        <w:rPr>
          <w:rFonts w:ascii="Times New Roman" w:eastAsia="Calibri" w:hAnsi="Times New Roman" w:cs="Times New Roman"/>
          <w:sz w:val="32"/>
          <w:szCs w:val="32"/>
        </w:rPr>
      </w:pPr>
    </w:p>
    <w:p w14:paraId="653B50F0" w14:textId="616838D5" w:rsidR="00E53522" w:rsidRPr="00E53522" w:rsidRDefault="00E53522" w:rsidP="00E53522">
      <w:pPr>
        <w:jc w:val="center"/>
        <w:rPr>
          <w:rFonts w:ascii="Times New Roman" w:eastAsia="Calibri" w:hAnsi="Times New Roman" w:cs="Times New Roman"/>
          <w:b/>
          <w:sz w:val="21"/>
          <w:szCs w:val="21"/>
        </w:rPr>
      </w:pPr>
      <w:r w:rsidRPr="00E53522">
        <w:rPr>
          <w:rFonts w:ascii="Times New Roman" w:eastAsia="Calibri" w:hAnsi="Times New Roman" w:cs="Times New Roman"/>
          <w:b/>
          <w:sz w:val="21"/>
          <w:szCs w:val="21"/>
        </w:rPr>
        <w:t>Литература</w:t>
      </w:r>
      <w:r w:rsidR="00077D0B">
        <w:rPr>
          <w:rFonts w:ascii="Times New Roman" w:eastAsia="Calibri" w:hAnsi="Times New Roman" w:cs="Times New Roman"/>
          <w:b/>
          <w:sz w:val="21"/>
          <w:szCs w:val="21"/>
        </w:rPr>
        <w:t>:</w:t>
      </w:r>
    </w:p>
    <w:p w14:paraId="2F9CF93B" w14:textId="77777777" w:rsidR="00E53522" w:rsidRPr="00E53522" w:rsidRDefault="00E53522" w:rsidP="00AD58CD">
      <w:pPr>
        <w:numPr>
          <w:ilvl w:val="0"/>
          <w:numId w:val="187"/>
        </w:numPr>
        <w:contextualSpacing/>
        <w:jc w:val="both"/>
        <w:rPr>
          <w:rFonts w:ascii="Times New Roman" w:eastAsia="Calibri" w:hAnsi="Times New Roman" w:cs="Times New Roman"/>
        </w:rPr>
      </w:pPr>
      <w:r w:rsidRPr="00E53522">
        <w:rPr>
          <w:rFonts w:ascii="Times New Roman" w:eastAsia="Calibri" w:hAnsi="Times New Roman" w:cs="Times New Roman"/>
          <w:sz w:val="21"/>
          <w:szCs w:val="21"/>
        </w:rPr>
        <w:lastRenderedPageBreak/>
        <w:t>Борисова Инна Владимировна РЕАЛИЗАЦИЯ СТИЛИСТИЧЕСКОГО ПОТЕНЦИАЛА АНГЛОЯЗЫЧНЫХ РЕКЛАМНЫХ СЛОГАНОВ В ИНТЕРНЕТ–ДИСКУРСЕ // Litera. 2021. №9. – URL: </w:t>
      </w:r>
      <w:hyperlink r:id="rId687" w:history="1">
        <w:r w:rsidRPr="00E53522">
          <w:rPr>
            <w:rFonts w:ascii="Times New Roman" w:eastAsia="Calibri" w:hAnsi="Times New Roman" w:cs="Times New Roman"/>
            <w:color w:val="0563C1"/>
            <w:sz w:val="21"/>
            <w:szCs w:val="21"/>
            <w:u w:val="single"/>
          </w:rPr>
          <w:t>https://cyberleninka.ru/article/n/realizatsiya–stilisticheskogo–potentsiala–angloyazychnyh–reklamnyh–sloganov–v–internet–diskurse</w:t>
        </w:r>
      </w:hyperlink>
      <w:r w:rsidRPr="00E53522">
        <w:rPr>
          <w:rFonts w:ascii="Times New Roman" w:eastAsia="Calibri" w:hAnsi="Times New Roman" w:cs="Times New Roman"/>
          <w:sz w:val="21"/>
          <w:szCs w:val="21"/>
        </w:rPr>
        <w:t xml:space="preserve">  (дата обращения: 18.05.2025). </w:t>
      </w:r>
    </w:p>
    <w:p w14:paraId="34121172" w14:textId="77777777" w:rsidR="00E53522" w:rsidRPr="00E53522" w:rsidRDefault="00E53522" w:rsidP="00AD58CD">
      <w:pPr>
        <w:numPr>
          <w:ilvl w:val="0"/>
          <w:numId w:val="187"/>
        </w:numPr>
        <w:contextualSpacing/>
        <w:jc w:val="both"/>
        <w:rPr>
          <w:rFonts w:ascii="Times New Roman" w:eastAsia="Calibri" w:hAnsi="Times New Roman" w:cs="Times New Roman"/>
        </w:rPr>
      </w:pPr>
      <w:r w:rsidRPr="00E53522">
        <w:rPr>
          <w:rFonts w:ascii="Times New Roman" w:eastAsia="Calibri" w:hAnsi="Times New Roman" w:cs="Times New Roman"/>
        </w:rPr>
        <w:t xml:space="preserve">Плаксин В.А. ПРЕДМЕТНО–ТЕРМИНОЛОГИЧЕСКАЯ СФЕРА "БАНКОВСКАЯ ДЕЯТЕЛЬНОСТЬ": ДЕРИВАЦИОННО–ПРАГМАТИЧЕСКИЕ И СОЦИОКУЛЬТУРНЫЕ </w:t>
      </w:r>
      <w:proofErr w:type="gramStart"/>
      <w:r w:rsidRPr="00E53522">
        <w:rPr>
          <w:rFonts w:ascii="Times New Roman" w:eastAsia="Calibri" w:hAnsi="Times New Roman" w:cs="Times New Roman"/>
        </w:rPr>
        <w:t>АСПЕКТЫ :</w:t>
      </w:r>
      <w:proofErr w:type="gramEnd"/>
      <w:r w:rsidRPr="00E53522">
        <w:rPr>
          <w:rFonts w:ascii="Times New Roman" w:eastAsia="Calibri" w:hAnsi="Times New Roman" w:cs="Times New Roman"/>
        </w:rPr>
        <w:t xml:space="preserve"> диссертация ... канд. филол. наук : Ставропольский гос. ун–т.– Ставрополь, 2010.– 146 с.</w:t>
      </w:r>
    </w:p>
    <w:p w14:paraId="3434010E" w14:textId="77777777" w:rsidR="00E53522" w:rsidRPr="00E53522" w:rsidRDefault="00E53522" w:rsidP="00AD58CD">
      <w:pPr>
        <w:numPr>
          <w:ilvl w:val="0"/>
          <w:numId w:val="187"/>
        </w:numPr>
        <w:contextualSpacing/>
        <w:jc w:val="both"/>
        <w:rPr>
          <w:rFonts w:ascii="Times New Roman" w:eastAsia="Calibri" w:hAnsi="Times New Roman" w:cs="Times New Roman"/>
          <w:sz w:val="21"/>
          <w:szCs w:val="21"/>
        </w:rPr>
      </w:pPr>
      <w:r w:rsidRPr="00E53522">
        <w:rPr>
          <w:rFonts w:ascii="Times New Roman" w:eastAsia="Calibri" w:hAnsi="Times New Roman" w:cs="Times New Roman"/>
          <w:sz w:val="21"/>
          <w:szCs w:val="21"/>
        </w:rPr>
        <w:t>Третьякова М. Ф., Садковская Т. С. ФОНОСТИЛИСТИЧЕСКИЕ СРЕДСТВА В АНГЛОЯЗЫЧНОЙ РЕКЛАМЕ // Вестник научного общества студентов, аспирантов и молодых ученых. – 2020. – №4. – С. 59–66.</w:t>
      </w:r>
    </w:p>
    <w:p w14:paraId="4A194A3B" w14:textId="77777777" w:rsidR="00E53522" w:rsidRPr="00E53522" w:rsidRDefault="00E53522" w:rsidP="00AD58CD">
      <w:pPr>
        <w:numPr>
          <w:ilvl w:val="0"/>
          <w:numId w:val="187"/>
        </w:numPr>
        <w:contextualSpacing/>
        <w:jc w:val="both"/>
        <w:rPr>
          <w:rFonts w:ascii="Times New Roman" w:eastAsia="Calibri" w:hAnsi="Times New Roman" w:cs="Times New Roman"/>
          <w:sz w:val="21"/>
          <w:szCs w:val="21"/>
        </w:rPr>
      </w:pPr>
      <w:r w:rsidRPr="00E53522">
        <w:rPr>
          <w:rFonts w:ascii="Times New Roman" w:eastAsia="Calibri" w:hAnsi="Times New Roman" w:cs="Times New Roman"/>
          <w:sz w:val="21"/>
          <w:szCs w:val="21"/>
        </w:rPr>
        <w:t xml:space="preserve">Хартунг В. Ю., Степанова А. В. ФУНКЦИОНАЛЬНО–СТИЛИСТИЧЕСКИЕ ОСОБЕННОСТИ УПОТРЕБЛЕНИЯ ГИПЕРБОЛЫ В АНГЛОЯЗЫЧНЫХ РЕКЛАМНЫХ ТЕКСТАХ // МНКО. 2022. №5 (96). URL: </w:t>
      </w:r>
      <w:hyperlink r:id="rId688" w:history="1">
        <w:r w:rsidRPr="00E53522">
          <w:rPr>
            <w:rFonts w:ascii="Times New Roman" w:eastAsia="Calibri" w:hAnsi="Times New Roman" w:cs="Times New Roman"/>
            <w:color w:val="0563C1"/>
            <w:sz w:val="21"/>
            <w:szCs w:val="21"/>
            <w:u w:val="single"/>
          </w:rPr>
          <w:t>https://cyberleninka.ru/article/n/funktsionalno–stilisticheskie–osobennosti–upotrebleniya–giperboly–v–angloyazychnyh–reklamnyh–tekstah</w:t>
        </w:r>
      </w:hyperlink>
      <w:r w:rsidRPr="00E53522">
        <w:rPr>
          <w:rFonts w:ascii="Times New Roman" w:eastAsia="Calibri" w:hAnsi="Times New Roman" w:cs="Times New Roman"/>
          <w:sz w:val="21"/>
          <w:szCs w:val="21"/>
        </w:rPr>
        <w:t xml:space="preserve">  (дата обращения: 18.05.2025). </w:t>
      </w:r>
    </w:p>
    <w:p w14:paraId="47419299" w14:textId="77777777" w:rsidR="00E53522" w:rsidRPr="00E53522" w:rsidRDefault="00E53522" w:rsidP="00AD58CD">
      <w:pPr>
        <w:numPr>
          <w:ilvl w:val="0"/>
          <w:numId w:val="187"/>
        </w:numPr>
        <w:contextualSpacing/>
        <w:jc w:val="both"/>
        <w:rPr>
          <w:rFonts w:ascii="Times New Roman" w:eastAsia="Calibri" w:hAnsi="Times New Roman" w:cs="Times New Roman"/>
          <w:sz w:val="21"/>
          <w:szCs w:val="21"/>
        </w:rPr>
      </w:pPr>
      <w:r w:rsidRPr="00E53522">
        <w:rPr>
          <w:rFonts w:ascii="Times New Roman" w:eastAsia="Calibri" w:hAnsi="Times New Roman" w:cs="Times New Roman"/>
          <w:sz w:val="21"/>
          <w:szCs w:val="21"/>
        </w:rPr>
        <w:t xml:space="preserve">Шлык Елена Владимировна ИНТЕРПРЕТАЦИЯ ИМПЕРАТИВНОЙ СИТУАЦИИ В ДИСКУРСЕ СОЦИАЛЬНОЙ РЕКЛАМЫ // Вопросы журналистики, педагогики, языкознания. 2021. №2. URL: </w:t>
      </w:r>
      <w:hyperlink r:id="rId689" w:history="1">
        <w:r w:rsidRPr="00E53522">
          <w:rPr>
            <w:rFonts w:ascii="Times New Roman" w:eastAsia="Calibri" w:hAnsi="Times New Roman" w:cs="Times New Roman"/>
            <w:color w:val="0563C1"/>
            <w:sz w:val="21"/>
            <w:szCs w:val="21"/>
            <w:u w:val="single"/>
          </w:rPr>
          <w:t>https://cyberleninka.ru/article/n/interpretatsiya–imperativnoy–situatsii–v–diskurse–sotsialnoy–reklamy</w:t>
        </w:r>
      </w:hyperlink>
      <w:r w:rsidRPr="00E53522">
        <w:rPr>
          <w:rFonts w:ascii="Times New Roman" w:eastAsia="Calibri" w:hAnsi="Times New Roman" w:cs="Times New Roman"/>
          <w:sz w:val="21"/>
          <w:szCs w:val="21"/>
        </w:rPr>
        <w:t xml:space="preserve">  (дата обращения: 18.05.2025). </w:t>
      </w:r>
    </w:p>
    <w:p w14:paraId="19981C08" w14:textId="77777777" w:rsidR="00E53522" w:rsidRPr="0001591D" w:rsidRDefault="00E53522" w:rsidP="0001591D">
      <w:pPr>
        <w:jc w:val="right"/>
        <w:rPr>
          <w:rFonts w:ascii="Times New Roman" w:eastAsiaTheme="minorHAnsi" w:hAnsi="Times New Roman" w:cs="Times New Roman"/>
          <w:i/>
          <w:sz w:val="21"/>
          <w:szCs w:val="21"/>
        </w:rPr>
      </w:pPr>
    </w:p>
    <w:p w14:paraId="4B794509" w14:textId="77777777" w:rsidR="008B45B5" w:rsidRPr="008B45B5" w:rsidRDefault="008B45B5" w:rsidP="008B45B5">
      <w:pPr>
        <w:spacing w:line="240" w:lineRule="auto"/>
        <w:rPr>
          <w:rFonts w:ascii="Times New Roman" w:eastAsia="Calibri" w:hAnsi="Times New Roman" w:cs="Times New Roman"/>
          <w:b/>
          <w:sz w:val="21"/>
          <w:szCs w:val="21"/>
        </w:rPr>
      </w:pPr>
      <w:r w:rsidRPr="008B45B5">
        <w:rPr>
          <w:rFonts w:ascii="Times New Roman" w:eastAsia="Calibri" w:hAnsi="Times New Roman" w:cs="Times New Roman"/>
          <w:b/>
          <w:sz w:val="21"/>
          <w:szCs w:val="21"/>
        </w:rPr>
        <w:t>УДК 005.96</w:t>
      </w:r>
    </w:p>
    <w:p w14:paraId="065A5891" w14:textId="77777777" w:rsidR="008B45B5" w:rsidRPr="008B45B5" w:rsidRDefault="008B45B5" w:rsidP="008B45B5">
      <w:pPr>
        <w:spacing w:after="0" w:line="240" w:lineRule="auto"/>
        <w:jc w:val="right"/>
        <w:rPr>
          <w:rFonts w:ascii="Times New Roman" w:eastAsia="Calibri" w:hAnsi="Times New Roman" w:cs="Times New Roman"/>
          <w:b/>
          <w:i/>
          <w:sz w:val="21"/>
          <w:szCs w:val="21"/>
        </w:rPr>
      </w:pPr>
      <w:r w:rsidRPr="008B45B5">
        <w:rPr>
          <w:rFonts w:ascii="Times New Roman" w:eastAsia="Calibri" w:hAnsi="Times New Roman" w:cs="Times New Roman"/>
          <w:b/>
          <w:i/>
          <w:sz w:val="21"/>
          <w:szCs w:val="21"/>
        </w:rPr>
        <w:t>Геворгян А.Г.,</w:t>
      </w:r>
    </w:p>
    <w:p w14:paraId="53047489" w14:textId="77777777" w:rsidR="008B45B5" w:rsidRP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студентка 3 курса</w:t>
      </w:r>
    </w:p>
    <w:p w14:paraId="37BBB51E" w14:textId="77777777" w:rsidR="007F429D" w:rsidRPr="0001591D" w:rsidRDefault="007F429D" w:rsidP="007F429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729BF780" w14:textId="77777777" w:rsidR="008B45B5" w:rsidRP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г. Краснодар, Россия</w:t>
      </w:r>
    </w:p>
    <w:p w14:paraId="6472D95E" w14:textId="77777777" w:rsidR="008B45B5" w:rsidRP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 xml:space="preserve">e-mail: </w:t>
      </w:r>
      <w:hyperlink r:id="rId690" w:history="1">
        <w:r w:rsidRPr="008B45B5">
          <w:rPr>
            <w:rFonts w:ascii="Times New Roman" w:eastAsia="Calibri" w:hAnsi="Times New Roman" w:cs="Times New Roman"/>
            <w:i/>
            <w:color w:val="0563C1"/>
            <w:sz w:val="21"/>
            <w:szCs w:val="21"/>
            <w:u w:val="single"/>
          </w:rPr>
          <w:t>angelinagevo@gmail.com</w:t>
        </w:r>
      </w:hyperlink>
      <w:r w:rsidRPr="008B45B5">
        <w:rPr>
          <w:rFonts w:ascii="Times New Roman" w:eastAsia="Calibri" w:hAnsi="Times New Roman" w:cs="Times New Roman"/>
          <w:i/>
          <w:sz w:val="21"/>
          <w:szCs w:val="21"/>
        </w:rPr>
        <w:t xml:space="preserve">   </w:t>
      </w:r>
    </w:p>
    <w:p w14:paraId="2509CC55" w14:textId="77777777" w:rsidR="008B45B5" w:rsidRPr="008B45B5" w:rsidRDefault="008B45B5" w:rsidP="008B45B5">
      <w:pPr>
        <w:spacing w:after="0" w:line="240" w:lineRule="auto"/>
        <w:jc w:val="right"/>
        <w:rPr>
          <w:rFonts w:ascii="Times New Roman" w:eastAsia="Calibri" w:hAnsi="Times New Roman" w:cs="Times New Roman"/>
          <w:i/>
          <w:sz w:val="21"/>
          <w:szCs w:val="21"/>
        </w:rPr>
      </w:pPr>
    </w:p>
    <w:p w14:paraId="03F0A2E9" w14:textId="77777777" w:rsidR="008B45B5" w:rsidRPr="008B45B5" w:rsidRDefault="008B45B5" w:rsidP="008B45B5">
      <w:pPr>
        <w:spacing w:after="0" w:line="240" w:lineRule="auto"/>
        <w:jc w:val="right"/>
        <w:rPr>
          <w:rFonts w:ascii="Times New Roman" w:eastAsia="Calibri" w:hAnsi="Times New Roman" w:cs="Times New Roman"/>
          <w:b/>
          <w:i/>
          <w:sz w:val="21"/>
          <w:szCs w:val="21"/>
        </w:rPr>
      </w:pPr>
      <w:r w:rsidRPr="008B45B5">
        <w:rPr>
          <w:rFonts w:ascii="Times New Roman" w:eastAsia="Calibri" w:hAnsi="Times New Roman" w:cs="Times New Roman"/>
          <w:b/>
          <w:i/>
          <w:sz w:val="21"/>
          <w:szCs w:val="21"/>
        </w:rPr>
        <w:t>Научный руководитель:</w:t>
      </w:r>
    </w:p>
    <w:p w14:paraId="41A689CE" w14:textId="77777777" w:rsidR="008B45B5" w:rsidRPr="008B45B5" w:rsidRDefault="008B45B5" w:rsidP="008B45B5">
      <w:pPr>
        <w:spacing w:after="0" w:line="240" w:lineRule="auto"/>
        <w:jc w:val="right"/>
        <w:rPr>
          <w:rFonts w:ascii="Times New Roman" w:eastAsia="Calibri" w:hAnsi="Times New Roman" w:cs="Times New Roman"/>
          <w:b/>
          <w:i/>
          <w:sz w:val="21"/>
          <w:szCs w:val="21"/>
        </w:rPr>
      </w:pPr>
      <w:r w:rsidRPr="008B45B5">
        <w:rPr>
          <w:rFonts w:ascii="Times New Roman" w:eastAsia="Calibri" w:hAnsi="Times New Roman" w:cs="Times New Roman"/>
          <w:b/>
          <w:i/>
          <w:sz w:val="21"/>
          <w:szCs w:val="21"/>
        </w:rPr>
        <w:t>Комар Я.В.,</w:t>
      </w:r>
    </w:p>
    <w:p w14:paraId="2D01706A" w14:textId="77777777" w:rsidR="008B45B5" w:rsidRP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доцент, к.ист.н.</w:t>
      </w:r>
    </w:p>
    <w:p w14:paraId="1420C8A2" w14:textId="77777777" w:rsidR="007F429D" w:rsidRPr="0001591D" w:rsidRDefault="007F429D" w:rsidP="007F429D">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C2CBC0F" w14:textId="77777777" w:rsidR="008B45B5" w:rsidRP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г. Краснодар, Россия</w:t>
      </w:r>
    </w:p>
    <w:p w14:paraId="4B376417" w14:textId="77777777" w:rsidR="008B45B5" w:rsidRDefault="008B45B5" w:rsidP="008B45B5">
      <w:pPr>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lang w:val="en-US"/>
        </w:rPr>
        <w:t>e</w:t>
      </w:r>
      <w:r w:rsidRPr="008B45B5">
        <w:rPr>
          <w:rFonts w:ascii="Times New Roman" w:eastAsia="Calibri" w:hAnsi="Times New Roman" w:cs="Times New Roman"/>
          <w:i/>
          <w:sz w:val="21"/>
          <w:szCs w:val="21"/>
        </w:rPr>
        <w:t>-</w:t>
      </w:r>
      <w:r w:rsidRPr="008B45B5">
        <w:rPr>
          <w:rFonts w:ascii="Times New Roman" w:eastAsia="Calibri" w:hAnsi="Times New Roman" w:cs="Times New Roman"/>
          <w:i/>
          <w:sz w:val="21"/>
          <w:szCs w:val="21"/>
          <w:lang w:val="en-US"/>
        </w:rPr>
        <w:t>mail</w:t>
      </w:r>
      <w:r w:rsidRPr="008B45B5">
        <w:rPr>
          <w:rFonts w:ascii="Times New Roman" w:eastAsia="Calibri" w:hAnsi="Times New Roman" w:cs="Times New Roman"/>
          <w:i/>
          <w:sz w:val="21"/>
          <w:szCs w:val="21"/>
        </w:rPr>
        <w:t xml:space="preserve">: </w:t>
      </w:r>
      <w:hyperlink r:id="rId691" w:history="1">
        <w:r w:rsidRPr="008B45B5">
          <w:rPr>
            <w:rFonts w:ascii="Times New Roman" w:eastAsia="Calibri" w:hAnsi="Times New Roman" w:cs="Times New Roman"/>
            <w:i/>
            <w:color w:val="0563C1"/>
            <w:sz w:val="21"/>
            <w:szCs w:val="21"/>
            <w:u w:val="single"/>
            <w:lang w:val="en-US"/>
          </w:rPr>
          <w:t>YVKomar</w:t>
        </w:r>
        <w:r w:rsidRPr="008B45B5">
          <w:rPr>
            <w:rFonts w:ascii="Times New Roman" w:eastAsia="Calibri" w:hAnsi="Times New Roman" w:cs="Times New Roman"/>
            <w:i/>
            <w:color w:val="0563C1"/>
            <w:sz w:val="21"/>
            <w:szCs w:val="21"/>
            <w:u w:val="single"/>
          </w:rPr>
          <w:t>@</w:t>
        </w:r>
        <w:r w:rsidRPr="008B45B5">
          <w:rPr>
            <w:rFonts w:ascii="Times New Roman" w:eastAsia="Calibri" w:hAnsi="Times New Roman" w:cs="Times New Roman"/>
            <w:i/>
            <w:color w:val="0563C1"/>
            <w:sz w:val="21"/>
            <w:szCs w:val="21"/>
            <w:u w:val="single"/>
            <w:lang w:val="en-US"/>
          </w:rPr>
          <w:t>fa</w:t>
        </w:r>
        <w:r w:rsidRPr="008B45B5">
          <w:rPr>
            <w:rFonts w:ascii="Times New Roman" w:eastAsia="Calibri" w:hAnsi="Times New Roman" w:cs="Times New Roman"/>
            <w:i/>
            <w:color w:val="0563C1"/>
            <w:sz w:val="21"/>
            <w:szCs w:val="21"/>
            <w:u w:val="single"/>
          </w:rPr>
          <w:t>.</w:t>
        </w:r>
        <w:r w:rsidRPr="008B45B5">
          <w:rPr>
            <w:rFonts w:ascii="Times New Roman" w:eastAsia="Calibri" w:hAnsi="Times New Roman" w:cs="Times New Roman"/>
            <w:i/>
            <w:color w:val="0563C1"/>
            <w:sz w:val="21"/>
            <w:szCs w:val="21"/>
            <w:u w:val="single"/>
            <w:lang w:val="en-US"/>
          </w:rPr>
          <w:t>ru</w:t>
        </w:r>
      </w:hyperlink>
      <w:r w:rsidRPr="008B45B5">
        <w:rPr>
          <w:rFonts w:ascii="Times New Roman" w:eastAsia="Calibri" w:hAnsi="Times New Roman" w:cs="Times New Roman"/>
          <w:i/>
          <w:sz w:val="21"/>
          <w:szCs w:val="21"/>
        </w:rPr>
        <w:t xml:space="preserve"> </w:t>
      </w:r>
    </w:p>
    <w:p w14:paraId="37B3CC33" w14:textId="77777777" w:rsidR="008B45B5" w:rsidRPr="008B45B5" w:rsidRDefault="008B45B5" w:rsidP="008B45B5">
      <w:pPr>
        <w:spacing w:after="0" w:line="240" w:lineRule="auto"/>
        <w:jc w:val="right"/>
        <w:rPr>
          <w:rFonts w:ascii="Times New Roman" w:eastAsia="Calibri" w:hAnsi="Times New Roman" w:cs="Times New Roman"/>
          <w:i/>
          <w:sz w:val="21"/>
          <w:szCs w:val="21"/>
        </w:rPr>
      </w:pPr>
    </w:p>
    <w:p w14:paraId="27079BA0" w14:textId="77777777" w:rsidR="008B45B5" w:rsidRDefault="008B45B5" w:rsidP="008B45B5">
      <w:pPr>
        <w:spacing w:after="0" w:line="240" w:lineRule="auto"/>
        <w:jc w:val="center"/>
        <w:rPr>
          <w:rFonts w:ascii="Times New Roman" w:eastAsia="Calibri" w:hAnsi="Times New Roman" w:cs="Times New Roman"/>
          <w:b/>
          <w:sz w:val="21"/>
          <w:szCs w:val="21"/>
        </w:rPr>
      </w:pPr>
      <w:r w:rsidRPr="008B45B5">
        <w:rPr>
          <w:rFonts w:ascii="Times New Roman" w:eastAsia="Calibri" w:hAnsi="Times New Roman" w:cs="Times New Roman"/>
          <w:b/>
          <w:sz w:val="21"/>
          <w:szCs w:val="21"/>
        </w:rPr>
        <w:t xml:space="preserve">Искусственный интеллект в </w:t>
      </w:r>
      <w:r w:rsidRPr="008B45B5">
        <w:rPr>
          <w:rFonts w:ascii="Times New Roman" w:eastAsia="Calibri" w:hAnsi="Times New Roman" w:cs="Times New Roman"/>
          <w:b/>
          <w:sz w:val="21"/>
          <w:szCs w:val="21"/>
          <w:lang w:val="en-US"/>
        </w:rPr>
        <w:t>HR</w:t>
      </w:r>
      <w:r w:rsidRPr="008B45B5">
        <w:rPr>
          <w:rFonts w:ascii="Times New Roman" w:eastAsia="Calibri" w:hAnsi="Times New Roman" w:cs="Times New Roman"/>
          <w:b/>
          <w:sz w:val="21"/>
          <w:szCs w:val="21"/>
        </w:rPr>
        <w:t xml:space="preserve"> – возможность или угроза?</w:t>
      </w:r>
    </w:p>
    <w:p w14:paraId="2B0A8E2F" w14:textId="77777777" w:rsidR="008B45B5" w:rsidRPr="008B45B5" w:rsidRDefault="008B45B5" w:rsidP="008B45B5">
      <w:pPr>
        <w:spacing w:after="0" w:line="240" w:lineRule="auto"/>
        <w:jc w:val="center"/>
        <w:rPr>
          <w:rFonts w:ascii="Times New Roman" w:eastAsia="Calibri" w:hAnsi="Times New Roman" w:cs="Times New Roman"/>
          <w:b/>
          <w:sz w:val="21"/>
          <w:szCs w:val="21"/>
        </w:rPr>
      </w:pPr>
    </w:p>
    <w:p w14:paraId="69EA17B9" w14:textId="77777777" w:rsidR="008B45B5" w:rsidRPr="008B45B5" w:rsidRDefault="008B45B5" w:rsidP="007F429D">
      <w:pPr>
        <w:spacing w:after="0" w:line="240" w:lineRule="auto"/>
        <w:ind w:firstLine="709"/>
        <w:jc w:val="both"/>
        <w:rPr>
          <w:rFonts w:ascii="Times New Roman" w:eastAsia="Calibri" w:hAnsi="Times New Roman" w:cs="Times New Roman"/>
          <w:bCs/>
          <w:sz w:val="21"/>
          <w:szCs w:val="21"/>
        </w:rPr>
      </w:pPr>
      <w:r w:rsidRPr="008B45B5">
        <w:rPr>
          <w:rFonts w:ascii="Times New Roman" w:eastAsia="Calibri" w:hAnsi="Times New Roman" w:cs="Times New Roman"/>
          <w:b/>
          <w:sz w:val="21"/>
          <w:szCs w:val="21"/>
        </w:rPr>
        <w:t xml:space="preserve">Аннотация: </w:t>
      </w:r>
      <w:r w:rsidRPr="008B45B5">
        <w:rPr>
          <w:rFonts w:ascii="Times New Roman" w:eastAsia="Calibri" w:hAnsi="Times New Roman" w:cs="Times New Roman"/>
          <w:bCs/>
          <w:sz w:val="21"/>
          <w:szCs w:val="21"/>
        </w:rPr>
        <w:t xml:space="preserve">В статье рассматривается процесс цифровизации управления человеческими ресурсами (УЧР) в современных организациях, изучается применение искусственного интеллекта в УЧР и определяются связанные с этим риски. Определяется перечень востребованных в будущем компетенций и новых профессий на стыке </w:t>
      </w:r>
      <w:r w:rsidRPr="008B45B5">
        <w:rPr>
          <w:rFonts w:ascii="Times New Roman" w:eastAsia="Calibri" w:hAnsi="Times New Roman" w:cs="Times New Roman"/>
          <w:bCs/>
          <w:sz w:val="21"/>
          <w:szCs w:val="21"/>
          <w:lang w:val="en-US"/>
        </w:rPr>
        <w:t>HR</w:t>
      </w:r>
      <w:r w:rsidRPr="008B45B5">
        <w:rPr>
          <w:rFonts w:ascii="Times New Roman" w:eastAsia="Calibri" w:hAnsi="Times New Roman" w:cs="Times New Roman"/>
          <w:bCs/>
          <w:sz w:val="21"/>
          <w:szCs w:val="21"/>
        </w:rPr>
        <w:t xml:space="preserve"> и </w:t>
      </w:r>
      <w:r w:rsidRPr="008B45B5">
        <w:rPr>
          <w:rFonts w:ascii="Times New Roman" w:eastAsia="Calibri" w:hAnsi="Times New Roman" w:cs="Times New Roman"/>
          <w:bCs/>
          <w:sz w:val="21"/>
          <w:szCs w:val="21"/>
          <w:lang w:val="en-US"/>
        </w:rPr>
        <w:t>IT</w:t>
      </w:r>
      <w:r w:rsidRPr="008B45B5">
        <w:rPr>
          <w:rFonts w:ascii="Times New Roman" w:eastAsia="Calibri" w:hAnsi="Times New Roman" w:cs="Times New Roman"/>
          <w:bCs/>
          <w:sz w:val="21"/>
          <w:szCs w:val="21"/>
        </w:rPr>
        <w:t>. Разработаны рекомендации по снижению рисков, связанных с потенциальной потерей рабочих мест и с цифровым дисбалансом между крупными компаниями и МСБ.</w:t>
      </w:r>
    </w:p>
    <w:p w14:paraId="549D02CD" w14:textId="77777777" w:rsidR="008B45B5" w:rsidRPr="008B45B5" w:rsidRDefault="008B45B5" w:rsidP="007F429D">
      <w:pPr>
        <w:spacing w:after="0" w:line="240" w:lineRule="auto"/>
        <w:ind w:firstLine="709"/>
        <w:jc w:val="both"/>
        <w:rPr>
          <w:rFonts w:ascii="Times New Roman" w:eastAsia="Calibri" w:hAnsi="Times New Roman" w:cs="Times New Roman"/>
          <w:sz w:val="21"/>
          <w:szCs w:val="21"/>
        </w:rPr>
      </w:pPr>
      <w:r w:rsidRPr="008B45B5">
        <w:rPr>
          <w:rFonts w:ascii="Times New Roman" w:eastAsia="Calibri" w:hAnsi="Times New Roman" w:cs="Times New Roman"/>
          <w:b/>
          <w:sz w:val="21"/>
          <w:szCs w:val="21"/>
        </w:rPr>
        <w:t>Ключевые слова:</w:t>
      </w:r>
      <w:r w:rsidRPr="008B45B5">
        <w:rPr>
          <w:rFonts w:ascii="Times New Roman" w:eastAsia="Calibri" w:hAnsi="Times New Roman" w:cs="Times New Roman"/>
          <w:sz w:val="21"/>
          <w:szCs w:val="21"/>
        </w:rPr>
        <w:t xml:space="preserve"> цифровизация </w:t>
      </w:r>
      <w:r w:rsidRPr="008B45B5">
        <w:rPr>
          <w:rFonts w:ascii="Times New Roman" w:eastAsia="Calibri" w:hAnsi="Times New Roman" w:cs="Times New Roman"/>
          <w:sz w:val="21"/>
          <w:szCs w:val="21"/>
          <w:lang w:val="en-US"/>
        </w:rPr>
        <w:t>HR</w:t>
      </w:r>
      <w:r w:rsidRPr="008B45B5">
        <w:rPr>
          <w:rFonts w:ascii="Times New Roman" w:eastAsia="Calibri" w:hAnsi="Times New Roman" w:cs="Times New Roman"/>
          <w:sz w:val="21"/>
          <w:szCs w:val="21"/>
        </w:rPr>
        <w:t xml:space="preserve">, цифровая зрелость, цифровая трансформация управления человеческими ресурсами, искусственный интеллект в </w:t>
      </w:r>
      <w:r w:rsidRPr="008B45B5">
        <w:rPr>
          <w:rFonts w:ascii="Times New Roman" w:eastAsia="Calibri" w:hAnsi="Times New Roman" w:cs="Times New Roman"/>
          <w:sz w:val="21"/>
          <w:szCs w:val="21"/>
          <w:lang w:val="en-US"/>
        </w:rPr>
        <w:t>HR</w:t>
      </w:r>
      <w:r w:rsidRPr="008B45B5">
        <w:rPr>
          <w:rFonts w:ascii="Times New Roman" w:eastAsia="Calibri" w:hAnsi="Times New Roman" w:cs="Times New Roman"/>
          <w:sz w:val="21"/>
          <w:szCs w:val="21"/>
        </w:rPr>
        <w:t>-менеджменте, искусственный интеллект и МСБ</w:t>
      </w:r>
    </w:p>
    <w:p w14:paraId="26815036" w14:textId="77777777" w:rsidR="008B45B5" w:rsidRPr="008B45B5" w:rsidRDefault="008B45B5" w:rsidP="008B45B5">
      <w:pPr>
        <w:spacing w:after="0" w:line="240" w:lineRule="auto"/>
        <w:jc w:val="right"/>
        <w:rPr>
          <w:rFonts w:ascii="Times New Roman" w:eastAsia="Calibri" w:hAnsi="Times New Roman" w:cs="Times New Roman"/>
          <w:b/>
          <w:sz w:val="21"/>
          <w:szCs w:val="21"/>
        </w:rPr>
      </w:pPr>
    </w:p>
    <w:p w14:paraId="49EEE402" w14:textId="77777777" w:rsidR="008B45B5" w:rsidRPr="008B45B5" w:rsidRDefault="008B45B5" w:rsidP="008B45B5">
      <w:pPr>
        <w:spacing w:after="0" w:line="240" w:lineRule="auto"/>
        <w:jc w:val="right"/>
        <w:rPr>
          <w:rFonts w:ascii="Times New Roman" w:eastAsia="Calibri" w:hAnsi="Times New Roman" w:cs="Times New Roman"/>
          <w:b/>
          <w:i/>
          <w:iCs/>
          <w:sz w:val="21"/>
          <w:szCs w:val="21"/>
          <w:lang w:val="en-US"/>
        </w:rPr>
      </w:pPr>
      <w:r w:rsidRPr="008B45B5">
        <w:rPr>
          <w:rFonts w:ascii="Times New Roman" w:eastAsia="Calibri" w:hAnsi="Times New Roman" w:cs="Times New Roman"/>
          <w:b/>
          <w:i/>
          <w:iCs/>
          <w:sz w:val="21"/>
          <w:szCs w:val="21"/>
          <w:lang w:val="en-US"/>
        </w:rPr>
        <w:t>Gevorgyan A.G.,</w:t>
      </w:r>
    </w:p>
    <w:p w14:paraId="6CAE0A00"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student, 3 courses</w:t>
      </w:r>
    </w:p>
    <w:p w14:paraId="6BC283B4"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Financial University under the Government of the Russian Federation</w:t>
      </w:r>
    </w:p>
    <w:p w14:paraId="20438B33"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Krasnodar, Russia</w:t>
      </w:r>
    </w:p>
    <w:p w14:paraId="5A3FF247"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 xml:space="preserve">e-mail: </w:t>
      </w:r>
      <w:hyperlink r:id="rId692" w:history="1">
        <w:r w:rsidRPr="008B45B5">
          <w:rPr>
            <w:rFonts w:ascii="Times New Roman" w:eastAsia="Calibri" w:hAnsi="Times New Roman" w:cs="Times New Roman"/>
            <w:i/>
            <w:iCs/>
            <w:color w:val="0563C1"/>
            <w:sz w:val="21"/>
            <w:szCs w:val="21"/>
            <w:u w:val="single"/>
            <w:lang w:val="en-US"/>
          </w:rPr>
          <w:t>angelinagevo@gmail.com</w:t>
        </w:r>
      </w:hyperlink>
    </w:p>
    <w:p w14:paraId="623E63F5"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p>
    <w:p w14:paraId="0E8DA9DD" w14:textId="77777777" w:rsidR="008B45B5" w:rsidRPr="008B45B5" w:rsidRDefault="008B45B5" w:rsidP="008B45B5">
      <w:pPr>
        <w:spacing w:after="0" w:line="240" w:lineRule="auto"/>
        <w:jc w:val="right"/>
        <w:rPr>
          <w:rFonts w:ascii="Times New Roman" w:eastAsia="Calibri" w:hAnsi="Times New Roman" w:cs="Times New Roman"/>
          <w:b/>
          <w:i/>
          <w:iCs/>
          <w:sz w:val="21"/>
          <w:szCs w:val="21"/>
          <w:lang w:val="en-US"/>
        </w:rPr>
      </w:pPr>
      <w:r w:rsidRPr="008B45B5">
        <w:rPr>
          <w:rFonts w:ascii="Times New Roman" w:eastAsia="Calibri" w:hAnsi="Times New Roman" w:cs="Times New Roman"/>
          <w:b/>
          <w:i/>
          <w:iCs/>
          <w:sz w:val="21"/>
          <w:szCs w:val="21"/>
          <w:lang w:val="en-US"/>
        </w:rPr>
        <w:t>Scientific Adviser:</w:t>
      </w:r>
    </w:p>
    <w:p w14:paraId="6BBA406D" w14:textId="77777777" w:rsidR="008B45B5" w:rsidRPr="008B45B5" w:rsidRDefault="008B45B5" w:rsidP="008B45B5">
      <w:pPr>
        <w:spacing w:after="0" w:line="240" w:lineRule="auto"/>
        <w:jc w:val="right"/>
        <w:rPr>
          <w:rFonts w:ascii="Times New Roman" w:eastAsia="Calibri" w:hAnsi="Times New Roman" w:cs="Times New Roman"/>
          <w:b/>
          <w:i/>
          <w:iCs/>
          <w:sz w:val="21"/>
          <w:szCs w:val="21"/>
          <w:lang w:val="en-US"/>
        </w:rPr>
      </w:pPr>
      <w:r w:rsidRPr="008B45B5">
        <w:rPr>
          <w:rFonts w:ascii="Times New Roman" w:eastAsia="Calibri" w:hAnsi="Times New Roman" w:cs="Times New Roman"/>
          <w:b/>
          <w:i/>
          <w:iCs/>
          <w:sz w:val="21"/>
          <w:szCs w:val="21"/>
          <w:lang w:val="en-US"/>
        </w:rPr>
        <w:t>Komar Y.V.,</w:t>
      </w:r>
    </w:p>
    <w:p w14:paraId="634677D4"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Candidate of History Sciences, Docent</w:t>
      </w:r>
    </w:p>
    <w:p w14:paraId="216FDEF4"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Financial University under the Government of the Russian Federation</w:t>
      </w:r>
    </w:p>
    <w:p w14:paraId="5BC8EF6F" w14:textId="77777777" w:rsidR="008B45B5" w:rsidRPr="008B45B5" w:rsidRDefault="008B45B5" w:rsidP="008B45B5">
      <w:pPr>
        <w:spacing w:after="0" w:line="240" w:lineRule="auto"/>
        <w:jc w:val="right"/>
        <w:rPr>
          <w:rFonts w:ascii="Times New Roman" w:eastAsia="Calibri" w:hAnsi="Times New Roman" w:cs="Times New Roman"/>
          <w:i/>
          <w:iCs/>
          <w:sz w:val="21"/>
          <w:szCs w:val="21"/>
          <w:lang w:val="en-US"/>
        </w:rPr>
      </w:pPr>
      <w:r w:rsidRPr="008B45B5">
        <w:rPr>
          <w:rFonts w:ascii="Times New Roman" w:eastAsia="Calibri" w:hAnsi="Times New Roman" w:cs="Times New Roman"/>
          <w:i/>
          <w:iCs/>
          <w:sz w:val="21"/>
          <w:szCs w:val="21"/>
          <w:lang w:val="en-US"/>
        </w:rPr>
        <w:t>Krasnodar, Russia</w:t>
      </w:r>
    </w:p>
    <w:p w14:paraId="46966963" w14:textId="77777777" w:rsidR="008B45B5" w:rsidRPr="008B45B5" w:rsidRDefault="008B45B5" w:rsidP="008B45B5">
      <w:pPr>
        <w:spacing w:after="0" w:line="240" w:lineRule="auto"/>
        <w:jc w:val="right"/>
        <w:rPr>
          <w:rFonts w:ascii="Times New Roman" w:eastAsia="Calibri" w:hAnsi="Times New Roman" w:cs="Times New Roman"/>
          <w:sz w:val="21"/>
          <w:szCs w:val="21"/>
          <w:lang w:val="en-US"/>
        </w:rPr>
      </w:pPr>
      <w:r w:rsidRPr="008B45B5">
        <w:rPr>
          <w:rFonts w:ascii="Times New Roman" w:eastAsia="Calibri" w:hAnsi="Times New Roman" w:cs="Times New Roman"/>
          <w:i/>
          <w:iCs/>
          <w:sz w:val="21"/>
          <w:szCs w:val="21"/>
          <w:lang w:val="en-US"/>
        </w:rPr>
        <w:t xml:space="preserve">e-mail: </w:t>
      </w:r>
      <w:hyperlink r:id="rId693" w:history="1">
        <w:r w:rsidRPr="008B45B5">
          <w:rPr>
            <w:rFonts w:ascii="Times New Roman" w:eastAsia="Calibri" w:hAnsi="Times New Roman" w:cs="Times New Roman"/>
            <w:i/>
            <w:iCs/>
            <w:color w:val="0563C1"/>
            <w:sz w:val="21"/>
            <w:szCs w:val="21"/>
            <w:u w:val="single"/>
            <w:lang w:val="en-US"/>
          </w:rPr>
          <w:t>YVKomar@fa.ru</w:t>
        </w:r>
      </w:hyperlink>
      <w:r w:rsidRPr="008B45B5">
        <w:rPr>
          <w:rFonts w:ascii="Times New Roman" w:eastAsia="Calibri" w:hAnsi="Times New Roman" w:cs="Times New Roman"/>
          <w:i/>
          <w:iCs/>
          <w:sz w:val="21"/>
          <w:szCs w:val="21"/>
          <w:lang w:val="en-US"/>
        </w:rPr>
        <w:t xml:space="preserve">  </w:t>
      </w:r>
      <w:hyperlink r:id="rId694" w:history="1"/>
    </w:p>
    <w:p w14:paraId="1355E2AB" w14:textId="77777777" w:rsidR="008B45B5" w:rsidRPr="00C30970" w:rsidRDefault="008B45B5" w:rsidP="008B45B5">
      <w:pPr>
        <w:spacing w:after="0" w:line="240" w:lineRule="auto"/>
        <w:jc w:val="center"/>
        <w:rPr>
          <w:rFonts w:ascii="Times New Roman" w:eastAsia="Calibri" w:hAnsi="Times New Roman" w:cs="Times New Roman"/>
          <w:b/>
          <w:sz w:val="21"/>
          <w:szCs w:val="21"/>
          <w:lang w:val="en-US"/>
        </w:rPr>
      </w:pPr>
      <w:r w:rsidRPr="008B45B5">
        <w:rPr>
          <w:rFonts w:ascii="Times New Roman" w:eastAsia="Calibri" w:hAnsi="Times New Roman" w:cs="Times New Roman"/>
          <w:b/>
          <w:sz w:val="21"/>
          <w:szCs w:val="21"/>
          <w:lang w:val="en-US"/>
        </w:rPr>
        <w:lastRenderedPageBreak/>
        <w:t>Is AI in HR an opportunity or a threat?</w:t>
      </w:r>
    </w:p>
    <w:p w14:paraId="61EB5C1A" w14:textId="77777777" w:rsidR="000C19DE" w:rsidRPr="00C30970" w:rsidRDefault="000C19DE" w:rsidP="008B45B5">
      <w:pPr>
        <w:spacing w:after="0" w:line="240" w:lineRule="auto"/>
        <w:jc w:val="center"/>
        <w:rPr>
          <w:rFonts w:ascii="Times New Roman" w:eastAsia="Calibri" w:hAnsi="Times New Roman" w:cs="Times New Roman"/>
          <w:b/>
          <w:sz w:val="21"/>
          <w:szCs w:val="21"/>
          <w:lang w:val="en-US"/>
        </w:rPr>
      </w:pPr>
    </w:p>
    <w:p w14:paraId="60E57C95" w14:textId="77777777" w:rsidR="008B45B5" w:rsidRPr="008B45B5" w:rsidRDefault="008B45B5" w:rsidP="000C19DE">
      <w:pPr>
        <w:spacing w:after="0" w:line="240" w:lineRule="auto"/>
        <w:ind w:firstLine="709"/>
        <w:rPr>
          <w:rFonts w:ascii="Times New Roman" w:eastAsia="Calibri" w:hAnsi="Times New Roman" w:cs="Times New Roman"/>
          <w:sz w:val="21"/>
          <w:szCs w:val="21"/>
          <w:lang w:val="en-US"/>
        </w:rPr>
      </w:pPr>
      <w:r w:rsidRPr="008B45B5">
        <w:rPr>
          <w:rFonts w:ascii="Times New Roman" w:eastAsia="Calibri" w:hAnsi="Times New Roman" w:cs="Times New Roman"/>
          <w:b/>
          <w:sz w:val="21"/>
          <w:szCs w:val="21"/>
          <w:lang w:val="en-US"/>
        </w:rPr>
        <w:t xml:space="preserve">Abstract: </w:t>
      </w:r>
      <w:r w:rsidRPr="008B45B5">
        <w:rPr>
          <w:rFonts w:ascii="Times New Roman" w:eastAsia="Calibri" w:hAnsi="Times New Roman" w:cs="Times New Roman"/>
          <w:sz w:val="21"/>
          <w:szCs w:val="21"/>
          <w:lang w:val="en-US"/>
        </w:rPr>
        <w:t>The article examines the process of digitalization of human resource management (HRM) in modern organizations, the use of artificial intelligence in HRM and identifies the risks associated with it. The list of competencies and new professions in demand in the future at the intersection of HR and IT is being determined. Recommendations have been developed to reduce the risks associated with the potential loss of jobs and the digital imbalance between large and small companies.</w:t>
      </w:r>
    </w:p>
    <w:p w14:paraId="5EE93E63" w14:textId="77777777" w:rsidR="008B45B5" w:rsidRPr="008B45B5" w:rsidRDefault="008B45B5" w:rsidP="000C19DE">
      <w:pPr>
        <w:spacing w:after="0" w:line="240" w:lineRule="auto"/>
        <w:ind w:firstLine="709"/>
        <w:rPr>
          <w:rFonts w:ascii="Times New Roman" w:eastAsia="Calibri" w:hAnsi="Times New Roman" w:cs="Times New Roman"/>
          <w:sz w:val="21"/>
          <w:szCs w:val="21"/>
          <w:lang w:val="en-US"/>
        </w:rPr>
      </w:pPr>
      <w:r w:rsidRPr="008B45B5">
        <w:rPr>
          <w:rFonts w:ascii="Times New Roman" w:eastAsia="Calibri" w:hAnsi="Times New Roman" w:cs="Times New Roman"/>
          <w:b/>
          <w:sz w:val="21"/>
          <w:szCs w:val="21"/>
          <w:lang w:val="en-US"/>
        </w:rPr>
        <w:t xml:space="preserve">Keywords: </w:t>
      </w:r>
      <w:r w:rsidRPr="008B45B5">
        <w:rPr>
          <w:rFonts w:ascii="Times New Roman" w:eastAsia="Calibri" w:hAnsi="Times New Roman" w:cs="Times New Roman"/>
          <w:sz w:val="21"/>
          <w:szCs w:val="21"/>
          <w:lang w:val="en-US"/>
        </w:rPr>
        <w:t xml:space="preserve">HR digitalization, digital maturity, digital transformation of human resource management, artificial intelligence in HR management, artificial intelligence and small business </w:t>
      </w:r>
    </w:p>
    <w:p w14:paraId="350B4923"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p>
    <w:p w14:paraId="0D019025"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Modern management faces a critical challenge: effective HR policy. Many companies focus on complex structures, business process optimization, and marketing investments yet still lag behind competitors. The root cause often lies in poor human resource management—a key oversight, especially for SMEs lacking experience. Successful organizations share one trait: a strategic approach to workforce development and allocation. However, every company operates within a broader system—the external environment—which significantly influences its performance.</w:t>
      </w:r>
    </w:p>
    <w:p w14:paraId="10039969"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Advancements in science and technology, a major external factor, boost productivity, improve product quality, and reduce resource waste, enhancing competitiveness. Thus, analyzing HR management amid increasing digital integration remains highly relevant.</w:t>
      </w:r>
    </w:p>
    <w:p w14:paraId="75210CEF"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The purpose of this study is to analyze the impact of digital technologies on human resource management and to develop practical recommendations for reducing risks in the context of digital transformation.</w:t>
      </w:r>
    </w:p>
    <w:p w14:paraId="0FFA2B15"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HR management encompasses planning, recruitment, training, evaluation, motivation, retention, and career development. Without a strategic approach, creating a high-performing team becomes challenging. The rise of digital transformation is reshaping HR practices. However, it’s not just about adopting new technologies—this narrow view overlooks the broader impact. True digital transformation is a gradual, multi-stage process, not an instant shift. Key to this is digital maturity—an organization’s ability to adapt effectively to technological changes in the business environment. Simply using digital tools doesn’t guarantee meaningful improvements in performance [1, p. 463].</w:t>
      </w:r>
    </w:p>
    <w:p w14:paraId="0B537AA8"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 xml:space="preserve">An important step towards increasing the competitiveness of an economic entity in the new digital reality is the integration of artificial intelligence into the HR sphere. As a rule, companies in the B2C segment are more likely to see the rapid adaptation of a significant pool of technologies compared to the B2B segment, which is due to high competition in the consumer market. According to research, today the share of Russian companies that use AI tools in human resource management in </w:t>
      </w:r>
      <w:r w:rsidRPr="008B45B5">
        <w:rPr>
          <w:rFonts w:ascii="Times New Roman" w:eastAsia="Calibri" w:hAnsi="Times New Roman" w:cs="Times New Roman"/>
          <w:sz w:val="32"/>
          <w:szCs w:val="32"/>
          <w:lang w:val="en-US"/>
        </w:rPr>
        <w:lastRenderedPageBreak/>
        <w:t xml:space="preserve">one way or another reaches about 40%, and in the near future this value may grow to 60% due to companies in which the active integration of AI into business processes is already taking place, but has not yet reached the HRM departments [2]. In addition, we consider it important to pay attention to the share of SMEs that use artificial intelligence technologies in the course of their activities - according to 2024 data, we are talking about every third enterprise. At the same time, it should be emphasized that in small and medium-sized businesses, AI-based tools are used mainly for marketing and advertising purposes (54%), and not for personnel management (12%) [4]. It is also worth focusing on the fact that the scale of implementation of AI technologies in large companies is incomparably higher than in SMEs – due to high financial costs, full-scale and centralized implementations are available only to market leaders, and the rest of the players are left with the local use of tools (within the framework of the activities of one person or department) [5]. The highest level of digital maturity of HR departments is demonstrated by organizations in the financial and economic sector (21%), as well as companies in the construction (17%) and IT and telecommunications (16%) industries [2]. </w:t>
      </w:r>
    </w:p>
    <w:p w14:paraId="1C953116"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To date, HR management already has ready-made technological solutions based on all types of AI (generative, classifying, predictive, recommendatory) to solve a wide range of tasks, from the selection of eligible resumes in the recruitment process to predicting employee dismissals, assessing risks and reasons. Figure 1 presents the areas of use of artificial intelligence in personnel management and the tasks that are solved with its help in Russia (the list is not exhaustive).</w:t>
      </w:r>
    </w:p>
    <w:p w14:paraId="2288D95C"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p>
    <w:p w14:paraId="77075305" w14:textId="77777777" w:rsidR="008B45B5" w:rsidRPr="008B45B5" w:rsidRDefault="008B45B5" w:rsidP="008B45B5">
      <w:pPr>
        <w:spacing w:after="0" w:line="240" w:lineRule="auto"/>
        <w:ind w:firstLine="709"/>
        <w:jc w:val="center"/>
        <w:rPr>
          <w:rFonts w:ascii="Times New Roman" w:eastAsia="Calibri" w:hAnsi="Times New Roman" w:cs="Times New Roman"/>
          <w:sz w:val="32"/>
          <w:szCs w:val="32"/>
        </w:rPr>
      </w:pPr>
      <w:r w:rsidRPr="008B45B5">
        <w:rPr>
          <w:rFonts w:ascii="Calibri" w:eastAsia="Calibri" w:hAnsi="Calibri" w:cs="Times New Roman"/>
          <w:noProof/>
          <w:lang w:eastAsia="ru-RU"/>
        </w:rPr>
        <w:drawing>
          <wp:inline distT="0" distB="0" distL="0" distR="0" wp14:anchorId="34308528" wp14:editId="45432531">
            <wp:extent cx="3676650" cy="2785907"/>
            <wp:effectExtent l="0" t="0" r="0" b="0"/>
            <wp:docPr id="1940752214" name="Объект 6">
              <a:extLst xmlns:a="http://schemas.openxmlformats.org/drawingml/2006/main">
                <a:ext uri="{FF2B5EF4-FFF2-40B4-BE49-F238E27FC236}">
                  <a16:creationId xmlns:a16="http://schemas.microsoft.com/office/drawing/2014/main" id="{FFEDB7A4-482A-440C-9CD5-370B4E50F39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a:extLst>
                        <a:ext uri="{FF2B5EF4-FFF2-40B4-BE49-F238E27FC236}">
                          <a16:creationId xmlns:a16="http://schemas.microsoft.com/office/drawing/2014/main" id="{FFEDB7A4-482A-440C-9CD5-370B4E50F396}"/>
                        </a:ext>
                      </a:extLst>
                    </pic:cNvPr>
                    <pic:cNvPicPr>
                      <a:picLocks noGrp="1" noChangeAspect="1"/>
                    </pic:cNvPicPr>
                  </pic:nvPicPr>
                  <pic:blipFill rotWithShape="1">
                    <a:blip r:embed="rId695" cstate="print">
                      <a:extLst>
                        <a:ext uri="{28A0092B-C50C-407E-A947-70E740481C1C}">
                          <a14:useLocalDpi xmlns:a14="http://schemas.microsoft.com/office/drawing/2010/main" val="0"/>
                        </a:ext>
                      </a:extLst>
                    </a:blip>
                    <a:srcRect/>
                    <a:stretch/>
                  </pic:blipFill>
                  <pic:spPr>
                    <a:xfrm>
                      <a:off x="0" y="0"/>
                      <a:ext cx="3690431" cy="2796350"/>
                    </a:xfrm>
                    <a:prstGeom prst="rect">
                      <a:avLst/>
                    </a:prstGeom>
                  </pic:spPr>
                </pic:pic>
              </a:graphicData>
            </a:graphic>
          </wp:inline>
        </w:drawing>
      </w:r>
    </w:p>
    <w:p w14:paraId="6F08D449" w14:textId="77777777" w:rsidR="008B45B5" w:rsidRPr="008B45B5" w:rsidRDefault="008B45B5" w:rsidP="008B45B5">
      <w:pPr>
        <w:spacing w:after="0" w:line="240" w:lineRule="auto"/>
        <w:ind w:firstLine="709"/>
        <w:jc w:val="center"/>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lastRenderedPageBreak/>
        <w:t>Figure 1 - Tasks within the framework of HR management processes and functions that are solved with the help of artificial intelligence in Russia</w:t>
      </w:r>
    </w:p>
    <w:p w14:paraId="40C4DCE5" w14:textId="77777777" w:rsidR="008B45B5" w:rsidRPr="008B45B5" w:rsidRDefault="008B45B5" w:rsidP="008B45B5">
      <w:pPr>
        <w:spacing w:after="0" w:line="240" w:lineRule="auto"/>
        <w:ind w:firstLine="709"/>
        <w:jc w:val="both"/>
        <w:rPr>
          <w:rFonts w:ascii="Times New Roman" w:eastAsia="Calibri" w:hAnsi="Times New Roman" w:cs="Times New Roman"/>
          <w:i/>
          <w:iCs/>
          <w:sz w:val="24"/>
          <w:szCs w:val="24"/>
          <w:lang w:val="en-US"/>
        </w:rPr>
      </w:pPr>
      <w:r w:rsidRPr="008B45B5">
        <w:rPr>
          <w:rFonts w:ascii="Times New Roman" w:eastAsia="Calibri" w:hAnsi="Times New Roman" w:cs="Times New Roman"/>
          <w:i/>
          <w:iCs/>
          <w:sz w:val="24"/>
          <w:szCs w:val="24"/>
          <w:lang w:val="en-US"/>
        </w:rPr>
        <w:t>Source: compiled by the author based on materials [2]</w:t>
      </w:r>
    </w:p>
    <w:p w14:paraId="5B5B1814" w14:textId="77777777" w:rsidR="008B45B5" w:rsidRPr="008B45B5" w:rsidRDefault="008B45B5" w:rsidP="008B45B5">
      <w:pPr>
        <w:spacing w:after="0" w:line="240" w:lineRule="auto"/>
        <w:ind w:firstLine="709"/>
        <w:jc w:val="both"/>
        <w:rPr>
          <w:rFonts w:ascii="Times New Roman" w:eastAsia="Calibri" w:hAnsi="Times New Roman" w:cs="Times New Roman"/>
          <w:i/>
          <w:iCs/>
          <w:sz w:val="32"/>
          <w:szCs w:val="32"/>
          <w:lang w:val="en-US"/>
        </w:rPr>
      </w:pPr>
    </w:p>
    <w:p w14:paraId="50B79DC4"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Nevertheless, such an intensive spread of artificial intelligence in the field of direct relevance to humans causes mixed reactions in the professional environment, as a result of which there is a growing need for a thorough assessment of the associated risks. Among the possible threats associated with the introduction of AI in the field of personnel management, experts highlight the following:</w:t>
      </w:r>
    </w:p>
    <w:p w14:paraId="2F2C54A0"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risks associated with information security (leakage of personal and confidential data and/or their misuse);</w:t>
      </w:r>
    </w:p>
    <w:p w14:paraId="52B75198"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ethical and social risks (bias and discrimination – if algorithms are trained on biased data, they can reproduce and reinforce discrimination in different processes, for example, in the selection or evaluation of employee performance);</w:t>
      </w:r>
    </w:p>
    <w:p w14:paraId="5DC21B65"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lack of transparency and limited explainability of judgments (it is difficult to explain what criteria are behind automated decisions, which reduces trust and makes it difficult to challenge controversial cases);</w:t>
      </w:r>
    </w:p>
    <w:p w14:paraId="7AA1D019"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economic and technological risks (the complexity of developing and implementing AI solutions, as well as the high costs associated with it);</w:t>
      </w:r>
    </w:p>
    <w:p w14:paraId="2CB94A31"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the risk of digital inequality between large companies and SMEs;</w:t>
      </w:r>
    </w:p>
    <w:p w14:paraId="5B5FFE0F" w14:textId="77777777" w:rsidR="008B45B5" w:rsidRPr="008B45B5" w:rsidRDefault="008B45B5" w:rsidP="00AD58CD">
      <w:pPr>
        <w:numPr>
          <w:ilvl w:val="0"/>
          <w:numId w:val="35"/>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problems of integration and interaction (insufficient digital maturity of the environment, including in terms of the lack of necessary competencies among employees, the absence or lack of clear and exhaustive mechanisms governing the relations arising from the use of AI) and others [3, p. 150].</w:t>
      </w:r>
    </w:p>
    <w:p w14:paraId="0CA27180"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While public debate surrounds AI’s rise, businesses see it as a catalyst for HR innovation. AI’s benefits—automating routine tasks, enhancing decision-making, and mitigating human capital risks—are too significant for organizations to ignore. These advancements enable HR to play a more strategic role in achieving company goals.</w:t>
      </w:r>
    </w:p>
    <w:p w14:paraId="4EE8EC21"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 xml:space="preserve">However, AI’s rapid adoption also brings social challenges, particularly job displacement. As algorithms take over routine tasks, millions of workers will need to reskill for new roles. This paper explores </w:t>
      </w:r>
      <w:r w:rsidRPr="008B45B5">
        <w:rPr>
          <w:rFonts w:ascii="Times New Roman" w:eastAsia="Calibri" w:hAnsi="Times New Roman" w:cs="Times New Roman"/>
          <w:sz w:val="32"/>
          <w:szCs w:val="32"/>
          <w:lang w:val="en-US"/>
        </w:rPr>
        <w:lastRenderedPageBreak/>
        <w:t>key competencies for HR professionals in the digital age and identifies future-proof careers. Soft skills like adaptability, critical thinking, and creativity are becoming essential, while basic cognitive abilities decline in demand. Technical skills—such as HR analytics, data visualization, prompt engineering, and NLP—are growing in importance. And finally, special attention should be paid to socio-emotional competencies – in order to increase your competitiveness in the labor market, you need to focus on the development of the following skills:</w:t>
      </w:r>
    </w:p>
    <w:p w14:paraId="58B78368"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32"/>
          <w:szCs w:val="32"/>
        </w:rPr>
        <w:t>adaptability and flexibility;</w:t>
      </w:r>
    </w:p>
    <w:p w14:paraId="13390952"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32"/>
          <w:szCs w:val="32"/>
        </w:rPr>
        <w:t>initiative and proactivity;</w:t>
      </w:r>
    </w:p>
    <w:p w14:paraId="0E274EC8"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32"/>
          <w:szCs w:val="32"/>
        </w:rPr>
        <w:t>leadership and team building;</w:t>
      </w:r>
    </w:p>
    <w:p w14:paraId="150606C8"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32"/>
          <w:szCs w:val="32"/>
        </w:rPr>
        <w:t>empathy, responsiveness, emotional intelligence;</w:t>
      </w:r>
    </w:p>
    <w:p w14:paraId="233EDC02"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32"/>
          <w:szCs w:val="32"/>
        </w:rPr>
        <w:t>advanced negotiation skills;</w:t>
      </w:r>
    </w:p>
    <w:p w14:paraId="3D8AF8CA" w14:textId="77777777" w:rsidR="008B45B5" w:rsidRPr="008B45B5" w:rsidRDefault="008B45B5" w:rsidP="00AD58CD">
      <w:pPr>
        <w:numPr>
          <w:ilvl w:val="0"/>
          <w:numId w:val="36"/>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Learning ability and ability to teach others.</w:t>
      </w:r>
    </w:p>
    <w:p w14:paraId="177742D7"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However, competencies themselves are only tools. Much more important is how they are embodied in new professional roles. Already today, we are seeing an increasing trend towards hybrid professions, in which functions and skills from different fields of activity are intertwined. Based on the above competencies, let's make a list of some potentially in-demand professions in the next 5-10 years:</w:t>
      </w:r>
    </w:p>
    <w:p w14:paraId="554BE355" w14:textId="77777777" w:rsidR="008B45B5" w:rsidRPr="008B45B5" w:rsidRDefault="008B45B5" w:rsidP="00AD58CD">
      <w:pPr>
        <w:numPr>
          <w:ilvl w:val="0"/>
          <w:numId w:val="37"/>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HR data analyst (data analysis and forecasting, assessment of the effectiveness of HR processes, analysis of cases and ad hoc requests, etc.);</w:t>
      </w:r>
    </w:p>
    <w:p w14:paraId="5B5D1AAE" w14:textId="77777777" w:rsidR="008B45B5" w:rsidRPr="008B45B5" w:rsidRDefault="008B45B5" w:rsidP="00AD58CD">
      <w:pPr>
        <w:numPr>
          <w:ilvl w:val="0"/>
          <w:numId w:val="37"/>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digital psychologist (assessment of the impact of the digital environment on the psyche, etc.);</w:t>
      </w:r>
    </w:p>
    <w:p w14:paraId="1DD56725" w14:textId="77777777" w:rsidR="008B45B5" w:rsidRPr="008B45B5" w:rsidRDefault="008B45B5" w:rsidP="00AD58CD">
      <w:pPr>
        <w:numPr>
          <w:ilvl w:val="0"/>
          <w:numId w:val="37"/>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specialist in AI ethics (conducting an examination of technologies and procedures for their use for compliance with ethical standards, etc.);</w:t>
      </w:r>
    </w:p>
    <w:p w14:paraId="1EE2B96E" w14:textId="77777777" w:rsidR="008B45B5" w:rsidRPr="008B45B5" w:rsidRDefault="008B45B5" w:rsidP="00AD58CD">
      <w:pPr>
        <w:numPr>
          <w:ilvl w:val="0"/>
          <w:numId w:val="37"/>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 xml:space="preserve">HR architect (design and implementation of automated systems for HR, etc.), etc. </w:t>
      </w:r>
    </w:p>
    <w:p w14:paraId="7AF07345"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 xml:space="preserve">Thus, accelerated digitalization of processes and adaptation of personnel to new conditions can become drivers of productivity improvement, while contributing to positive changes in society. Along with this, we consider it important to draw attention to the fact that it is economic entities that should take responsibility for the retraining and retraining of the workforce, preventing mass layoffs due to the inconsistency of skills and competencies of personnel or the lack of demand for professions. After weighing all the risks and opportunities, the management may decide to </w:t>
      </w:r>
      <w:r w:rsidRPr="008B45B5">
        <w:rPr>
          <w:rFonts w:ascii="Times New Roman" w:eastAsia="Calibri" w:hAnsi="Times New Roman" w:cs="Times New Roman"/>
          <w:sz w:val="32"/>
          <w:szCs w:val="32"/>
          <w:lang w:val="en-US"/>
        </w:rPr>
        <w:lastRenderedPageBreak/>
        <w:t xml:space="preserve">develop training programs and courses within the company itself or outsource it (for example, in partnership with educational institutions). </w:t>
      </w:r>
    </w:p>
    <w:p w14:paraId="758314C0"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Successful integration of digital technologies into human resource management requires the coordinated work of business, educational institutions and government institutions. Based on the analysis, the following set of measures is proposed.</w:t>
      </w:r>
    </w:p>
    <w:p w14:paraId="40BFFF2A"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rPr>
      </w:pPr>
      <w:r w:rsidRPr="008B45B5">
        <w:rPr>
          <w:rFonts w:ascii="Times New Roman" w:eastAsia="Calibri" w:hAnsi="Times New Roman" w:cs="Times New Roman"/>
          <w:sz w:val="32"/>
          <w:szCs w:val="32"/>
          <w:lang w:val="en-US"/>
        </w:rPr>
        <w:t xml:space="preserve">For commercial organizations, the key area should be the development of internal programs for the professional growth of HR specialists. </w:t>
      </w:r>
      <w:r w:rsidRPr="008B45B5">
        <w:rPr>
          <w:rFonts w:ascii="Times New Roman" w:eastAsia="Calibri" w:hAnsi="Times New Roman" w:cs="Times New Roman"/>
          <w:sz w:val="32"/>
          <w:szCs w:val="32"/>
        </w:rPr>
        <w:t>It is advisable for companies to:</w:t>
      </w:r>
    </w:p>
    <w:p w14:paraId="20ACBA03" w14:textId="77777777" w:rsidR="008B45B5" w:rsidRPr="008B45B5" w:rsidRDefault="008B45B5" w:rsidP="00AD58CD">
      <w:pPr>
        <w:numPr>
          <w:ilvl w:val="0"/>
          <w:numId w:val="39"/>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develop corporate professional development programs, focusing on the development of HR analytics, work with artificial intelligence systems and digital recruiting methods;</w:t>
      </w:r>
    </w:p>
    <w:p w14:paraId="1D68D112" w14:textId="77777777" w:rsidR="008B45B5" w:rsidRPr="008B45B5" w:rsidRDefault="008B45B5" w:rsidP="00AD58CD">
      <w:pPr>
        <w:numPr>
          <w:ilvl w:val="0"/>
          <w:numId w:val="39"/>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introduce a mentoring system where experienced specialists will transfer practical skills in working with modern HRM platforms;</w:t>
      </w:r>
    </w:p>
    <w:p w14:paraId="59295A0F" w14:textId="77777777" w:rsidR="008B45B5" w:rsidRPr="008B45B5" w:rsidRDefault="008B45B5" w:rsidP="00AD58CD">
      <w:pPr>
        <w:numPr>
          <w:ilvl w:val="0"/>
          <w:numId w:val="39"/>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organize regular trainings on the development of new digital HR management tools.</w:t>
      </w:r>
    </w:p>
    <w:p w14:paraId="2270C5F8"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Educational institutions need to modernize the system of training specialists, including:</w:t>
      </w:r>
    </w:p>
    <w:p w14:paraId="5B6790BC" w14:textId="77777777" w:rsidR="008B45B5" w:rsidRPr="008B45B5" w:rsidRDefault="008B45B5" w:rsidP="00AD58CD">
      <w:pPr>
        <w:numPr>
          <w:ilvl w:val="0"/>
          <w:numId w:val="40"/>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updating training programs (for example, the introduction of disciplines on working with predictive analytics systems and automated recruitment, on the ethical aspects of the use of AI in personnel management, etc.);</w:t>
      </w:r>
    </w:p>
    <w:p w14:paraId="2F286DBD" w14:textId="77777777" w:rsidR="008B45B5" w:rsidRPr="008B45B5" w:rsidRDefault="008B45B5" w:rsidP="00AD58CD">
      <w:pPr>
        <w:numPr>
          <w:ilvl w:val="0"/>
          <w:numId w:val="40"/>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organization of HR-tech laboratories equipped with modern software for testing innovative solutions;</w:t>
      </w:r>
    </w:p>
    <w:p w14:paraId="3D06C5A6" w14:textId="77777777" w:rsidR="008B45B5" w:rsidRPr="008B45B5" w:rsidRDefault="008B45B5" w:rsidP="00AD58CD">
      <w:pPr>
        <w:numPr>
          <w:ilvl w:val="0"/>
          <w:numId w:val="40"/>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conducting internships and practices in the HR departments of partner companies of an educational organization that implement AI.</w:t>
      </w:r>
    </w:p>
    <w:p w14:paraId="47D950EA"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Support from the state is also needed, which can be expressed in:</w:t>
      </w:r>
    </w:p>
    <w:p w14:paraId="7701F227" w14:textId="77777777" w:rsidR="008B45B5" w:rsidRPr="008B45B5" w:rsidRDefault="008B45B5" w:rsidP="00AD58CD">
      <w:pPr>
        <w:numPr>
          <w:ilvl w:val="0"/>
          <w:numId w:val="41"/>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creation of mechanisms for the distribution of corporate HR technologies among SMEs through the SME.RF Digital Platform;</w:t>
      </w:r>
    </w:p>
    <w:p w14:paraId="20B3B782" w14:textId="77777777" w:rsidR="008B45B5" w:rsidRPr="008B45B5" w:rsidRDefault="008B45B5" w:rsidP="00AD58CD">
      <w:pPr>
        <w:numPr>
          <w:ilvl w:val="0"/>
          <w:numId w:val="41"/>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providing grant support to SMEs for the development of HR-tech within the framework of the National Project "Small and Medium-Sized Enterprises";</w:t>
      </w:r>
    </w:p>
    <w:p w14:paraId="2993BB16" w14:textId="77777777" w:rsidR="008B45B5" w:rsidRPr="008B45B5" w:rsidRDefault="008B45B5" w:rsidP="00AD58CD">
      <w:pPr>
        <w:numPr>
          <w:ilvl w:val="0"/>
          <w:numId w:val="41"/>
        </w:numPr>
        <w:spacing w:after="0" w:line="240" w:lineRule="auto"/>
        <w:contextualSpacing/>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development and implementation of subsidy programs for the retraining of HR specialists within the framework of the Digital Economy National Project.</w:t>
      </w:r>
    </w:p>
    <w:p w14:paraId="237D1210"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lastRenderedPageBreak/>
        <w:t xml:space="preserve">The implementation of the proposed measures will create an effective system for adapting HR specialists to the challenges of digital transformation, ensure the harmonious implementation of technological innovations in HR management and contribute to a smooth transition to the digital economy. Synchronization of efforts of all stakeholders is of particular importance - only an integrated approach guarantees sustainable positive changes in the professional field of human resource management. </w:t>
      </w:r>
    </w:p>
    <w:p w14:paraId="102AA5D7"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r w:rsidRPr="008B45B5">
        <w:rPr>
          <w:rFonts w:ascii="Times New Roman" w:eastAsia="Calibri" w:hAnsi="Times New Roman" w:cs="Times New Roman"/>
          <w:sz w:val="32"/>
          <w:szCs w:val="32"/>
          <w:lang w:val="en-US"/>
        </w:rPr>
        <w:t>Thus, in today's technological world, the need for digital transformation of companies comes to the fore. The first years of active implementation of artificial intelligence in the activities of organizations and their employees demonstrate that those who are able to catch trends in time and adapt to them survive. The active integration of AI tools into the field of personnel management today has both indisputable advantages and poses some threat in terms of digital imbalance and potential massive job losses in the near future. In this regard, the author proposed recommendations for overcoming and minimizing this risk. The implementation of the proposed measures will make it possible to form the human resources of HR specialists with the necessary digital competencies to work effectively in the context of the technological transformation of personnel management.</w:t>
      </w:r>
    </w:p>
    <w:p w14:paraId="4F28DB28" w14:textId="77777777" w:rsidR="008B45B5" w:rsidRPr="008B45B5" w:rsidRDefault="008B45B5" w:rsidP="008B45B5">
      <w:pPr>
        <w:spacing w:after="0" w:line="240" w:lineRule="auto"/>
        <w:ind w:firstLine="709"/>
        <w:jc w:val="both"/>
        <w:rPr>
          <w:rFonts w:ascii="Times New Roman" w:eastAsia="Calibri" w:hAnsi="Times New Roman" w:cs="Times New Roman"/>
          <w:sz w:val="32"/>
          <w:szCs w:val="32"/>
          <w:lang w:val="en-US"/>
        </w:rPr>
      </w:pPr>
    </w:p>
    <w:p w14:paraId="6D6C7441" w14:textId="77777777" w:rsidR="008B45B5" w:rsidRPr="008B45B5" w:rsidRDefault="008B45B5" w:rsidP="000C19DE">
      <w:pPr>
        <w:spacing w:after="0" w:line="240" w:lineRule="auto"/>
        <w:ind w:firstLine="709"/>
        <w:jc w:val="center"/>
        <w:rPr>
          <w:rFonts w:ascii="Times New Roman" w:eastAsia="Calibri" w:hAnsi="Times New Roman" w:cs="Times New Roman"/>
          <w:b/>
          <w:bCs/>
          <w:sz w:val="21"/>
          <w:szCs w:val="21"/>
        </w:rPr>
      </w:pPr>
      <w:r w:rsidRPr="008B45B5">
        <w:rPr>
          <w:rFonts w:ascii="Times New Roman" w:eastAsia="Calibri" w:hAnsi="Times New Roman" w:cs="Times New Roman"/>
          <w:b/>
          <w:bCs/>
          <w:sz w:val="21"/>
          <w:szCs w:val="21"/>
        </w:rPr>
        <w:t>Literature:</w:t>
      </w:r>
    </w:p>
    <w:p w14:paraId="5A72FECE" w14:textId="77777777" w:rsidR="008B45B5" w:rsidRPr="008B45B5" w:rsidRDefault="008B45B5" w:rsidP="00AD58CD">
      <w:pPr>
        <w:numPr>
          <w:ilvl w:val="0"/>
          <w:numId w:val="188"/>
        </w:numPr>
        <w:spacing w:after="0" w:line="240" w:lineRule="auto"/>
        <w:ind w:left="426" w:hanging="426"/>
        <w:contextualSpacing/>
        <w:jc w:val="both"/>
        <w:rPr>
          <w:rFonts w:ascii="Times New Roman" w:eastAsia="Calibri" w:hAnsi="Times New Roman" w:cs="Times New Roman"/>
          <w:sz w:val="21"/>
          <w:szCs w:val="21"/>
        </w:rPr>
      </w:pPr>
      <w:r w:rsidRPr="008B45B5">
        <w:rPr>
          <w:rFonts w:ascii="Times New Roman" w:eastAsia="Calibri" w:hAnsi="Times New Roman" w:cs="Times New Roman"/>
          <w:sz w:val="21"/>
          <w:szCs w:val="21"/>
        </w:rPr>
        <w:t>Лапиков А.В. Оценка цифровой зрелости процесса управления персоналом для организации цифрового перехода компании // Вестник Кемеровского государственного университета. Серия: Политические, социологические и экономические науки. – 2022. – No4 (26). – С. 461-471.</w:t>
      </w:r>
    </w:p>
    <w:p w14:paraId="08A61B27" w14:textId="77777777" w:rsidR="008B45B5" w:rsidRPr="008B45B5" w:rsidRDefault="008B45B5" w:rsidP="00AD58CD">
      <w:pPr>
        <w:numPr>
          <w:ilvl w:val="0"/>
          <w:numId w:val="188"/>
        </w:numPr>
        <w:spacing w:after="0" w:line="240" w:lineRule="auto"/>
        <w:ind w:left="426" w:hanging="426"/>
        <w:contextualSpacing/>
        <w:jc w:val="both"/>
        <w:rPr>
          <w:rFonts w:ascii="Times New Roman" w:eastAsia="Calibri" w:hAnsi="Times New Roman" w:cs="Times New Roman"/>
          <w:sz w:val="21"/>
          <w:szCs w:val="21"/>
        </w:rPr>
      </w:pPr>
      <w:r w:rsidRPr="008B45B5">
        <w:rPr>
          <w:rFonts w:ascii="Times New Roman" w:eastAsia="Calibri" w:hAnsi="Times New Roman" w:cs="Times New Roman"/>
          <w:sz w:val="21"/>
          <w:szCs w:val="21"/>
        </w:rPr>
        <w:t xml:space="preserve">Совместное исследование «Trust Technologies» и «Кномары», 2024. — Режим доступа: </w:t>
      </w:r>
      <w:hyperlink r:id="rId696" w:history="1">
        <w:r w:rsidRPr="008B45B5">
          <w:rPr>
            <w:rFonts w:ascii="Times New Roman" w:eastAsia="Calibri" w:hAnsi="Times New Roman" w:cs="Times New Roman"/>
            <w:color w:val="0563C1"/>
            <w:sz w:val="21"/>
            <w:szCs w:val="21"/>
            <w:u w:val="single"/>
            <w:lang w:val="en-US"/>
          </w:rPr>
          <w:t>https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data</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tedo</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ru</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publications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ai</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hr</w:t>
        </w:r>
        <w:r w:rsidRPr="008B45B5">
          <w:rPr>
            <w:rFonts w:ascii="Times New Roman" w:eastAsia="Calibri" w:hAnsi="Times New Roman" w:cs="Times New Roman"/>
            <w:color w:val="0563C1"/>
            <w:sz w:val="21"/>
            <w:szCs w:val="21"/>
            <w:u w:val="single"/>
          </w:rPr>
          <w:t>-2024.</w:t>
        </w:r>
        <w:r w:rsidRPr="008B45B5">
          <w:rPr>
            <w:rFonts w:ascii="Times New Roman" w:eastAsia="Calibri" w:hAnsi="Times New Roman" w:cs="Times New Roman"/>
            <w:color w:val="0563C1"/>
            <w:sz w:val="21"/>
            <w:szCs w:val="21"/>
            <w:u w:val="single"/>
            <w:lang w:val="en-US"/>
          </w:rPr>
          <w:t>pdf</w:t>
        </w:r>
      </w:hyperlink>
      <w:r w:rsidRPr="008B45B5">
        <w:rPr>
          <w:rFonts w:ascii="Times New Roman" w:eastAsia="Calibri" w:hAnsi="Times New Roman" w:cs="Times New Roman"/>
          <w:sz w:val="21"/>
          <w:szCs w:val="21"/>
        </w:rPr>
        <w:t xml:space="preserve"> </w:t>
      </w:r>
    </w:p>
    <w:p w14:paraId="676C5360" w14:textId="77777777" w:rsidR="008B45B5" w:rsidRPr="008B45B5" w:rsidRDefault="008B45B5" w:rsidP="00AD58CD">
      <w:pPr>
        <w:numPr>
          <w:ilvl w:val="0"/>
          <w:numId w:val="188"/>
        </w:numPr>
        <w:spacing w:after="0" w:line="240" w:lineRule="auto"/>
        <w:ind w:left="426" w:hanging="426"/>
        <w:contextualSpacing/>
        <w:jc w:val="both"/>
        <w:rPr>
          <w:rFonts w:ascii="Times New Roman" w:eastAsia="Calibri" w:hAnsi="Times New Roman" w:cs="Times New Roman"/>
          <w:sz w:val="21"/>
          <w:szCs w:val="21"/>
          <w:lang w:val="en-US"/>
        </w:rPr>
      </w:pPr>
      <w:r w:rsidRPr="008B45B5">
        <w:rPr>
          <w:rFonts w:ascii="Times New Roman" w:eastAsia="Calibri" w:hAnsi="Times New Roman" w:cs="Times New Roman"/>
          <w:sz w:val="21"/>
          <w:szCs w:val="21"/>
          <w:lang w:val="en-US"/>
        </w:rPr>
        <w:t>Cátia Rosário. Benefits and risks of using AI in Human Resource Management: Literature review // IJMCER. – 2025. – №2. – P. 146-154 [</w:t>
      </w:r>
      <w:r w:rsidRPr="008B45B5">
        <w:rPr>
          <w:rFonts w:ascii="Times New Roman" w:eastAsia="Calibri" w:hAnsi="Times New Roman" w:cs="Times New Roman"/>
          <w:sz w:val="21"/>
          <w:szCs w:val="21"/>
        </w:rPr>
        <w:t>Электронный</w:t>
      </w:r>
      <w:r w:rsidRPr="008B45B5">
        <w:rPr>
          <w:rFonts w:ascii="Times New Roman" w:eastAsia="Calibri" w:hAnsi="Times New Roman" w:cs="Times New Roman"/>
          <w:sz w:val="21"/>
          <w:szCs w:val="21"/>
          <w:lang w:val="en-US"/>
        </w:rPr>
        <w:t xml:space="preserve"> </w:t>
      </w:r>
      <w:r w:rsidRPr="008B45B5">
        <w:rPr>
          <w:rFonts w:ascii="Times New Roman" w:eastAsia="Calibri" w:hAnsi="Times New Roman" w:cs="Times New Roman"/>
          <w:sz w:val="21"/>
          <w:szCs w:val="21"/>
        </w:rPr>
        <w:t>ресурс</w:t>
      </w:r>
      <w:r w:rsidRPr="008B45B5">
        <w:rPr>
          <w:rFonts w:ascii="Times New Roman" w:eastAsia="Calibri" w:hAnsi="Times New Roman" w:cs="Times New Roman"/>
          <w:sz w:val="21"/>
          <w:szCs w:val="21"/>
          <w:lang w:val="en-US"/>
        </w:rPr>
        <w:t xml:space="preserve">]. — </w:t>
      </w:r>
      <w:r w:rsidRPr="008B45B5">
        <w:rPr>
          <w:rFonts w:ascii="Times New Roman" w:eastAsia="Calibri" w:hAnsi="Times New Roman" w:cs="Times New Roman"/>
          <w:sz w:val="21"/>
          <w:szCs w:val="21"/>
        </w:rPr>
        <w:t>Режим</w:t>
      </w:r>
      <w:r w:rsidRPr="008B45B5">
        <w:rPr>
          <w:rFonts w:ascii="Times New Roman" w:eastAsia="Calibri" w:hAnsi="Times New Roman" w:cs="Times New Roman"/>
          <w:sz w:val="21"/>
          <w:szCs w:val="21"/>
          <w:lang w:val="en-US"/>
        </w:rPr>
        <w:t xml:space="preserve"> </w:t>
      </w:r>
      <w:r w:rsidRPr="008B45B5">
        <w:rPr>
          <w:rFonts w:ascii="Times New Roman" w:eastAsia="Calibri" w:hAnsi="Times New Roman" w:cs="Times New Roman"/>
          <w:sz w:val="21"/>
          <w:szCs w:val="21"/>
        </w:rPr>
        <w:t>доступа</w:t>
      </w:r>
      <w:r w:rsidRPr="008B45B5">
        <w:rPr>
          <w:rFonts w:ascii="Times New Roman" w:eastAsia="Calibri" w:hAnsi="Times New Roman" w:cs="Times New Roman"/>
          <w:sz w:val="21"/>
          <w:szCs w:val="21"/>
          <w:lang w:val="en-US"/>
        </w:rPr>
        <w:t xml:space="preserve">: </w:t>
      </w:r>
      <w:hyperlink r:id="rId697" w:history="1">
        <w:r w:rsidRPr="008B45B5">
          <w:rPr>
            <w:rFonts w:ascii="Times New Roman" w:eastAsia="Calibri" w:hAnsi="Times New Roman" w:cs="Times New Roman"/>
            <w:color w:val="0563C1"/>
            <w:sz w:val="21"/>
            <w:szCs w:val="21"/>
            <w:u w:val="single"/>
            <w:lang w:val="en-US"/>
          </w:rPr>
          <w:t>https://www.ijmcer.com/wp-content/uploads/2025/04/IJMCER_R0720146154.pdf</w:t>
        </w:r>
      </w:hyperlink>
      <w:r w:rsidRPr="008B45B5">
        <w:rPr>
          <w:rFonts w:ascii="Times New Roman" w:eastAsia="Calibri" w:hAnsi="Times New Roman" w:cs="Times New Roman"/>
          <w:sz w:val="21"/>
          <w:szCs w:val="21"/>
          <w:lang w:val="en-US"/>
        </w:rPr>
        <w:t xml:space="preserve">  </w:t>
      </w:r>
    </w:p>
    <w:p w14:paraId="41C76A28" w14:textId="77777777" w:rsidR="008B45B5" w:rsidRPr="008B45B5" w:rsidRDefault="008B45B5" w:rsidP="00AD58CD">
      <w:pPr>
        <w:numPr>
          <w:ilvl w:val="0"/>
          <w:numId w:val="188"/>
        </w:numPr>
        <w:spacing w:after="0" w:line="240" w:lineRule="auto"/>
        <w:ind w:left="426" w:hanging="426"/>
        <w:contextualSpacing/>
        <w:jc w:val="both"/>
        <w:rPr>
          <w:rFonts w:ascii="Times New Roman" w:eastAsia="Calibri" w:hAnsi="Times New Roman" w:cs="Times New Roman"/>
          <w:sz w:val="21"/>
          <w:szCs w:val="21"/>
        </w:rPr>
      </w:pPr>
      <w:r w:rsidRPr="008B45B5">
        <w:rPr>
          <w:rFonts w:ascii="Times New Roman" w:eastAsia="Calibri" w:hAnsi="Times New Roman" w:cs="Times New Roman"/>
          <w:sz w:val="21"/>
          <w:szCs w:val="21"/>
        </w:rPr>
        <w:t xml:space="preserve">Официальный сайт Аналитического центра НАФИ [Электронный ресурс]. — Режим доступа: </w:t>
      </w:r>
      <w:hyperlink r:id="rId698" w:history="1">
        <w:r w:rsidRPr="008B45B5">
          <w:rPr>
            <w:rFonts w:ascii="Times New Roman" w:eastAsia="Calibri" w:hAnsi="Times New Roman" w:cs="Times New Roman"/>
            <w:color w:val="0563C1"/>
            <w:sz w:val="21"/>
            <w:szCs w:val="21"/>
            <w:u w:val="single"/>
            <w:lang w:val="en-US"/>
          </w:rPr>
          <w:t>https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nafi</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ru</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analytics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kazhdyy</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tretiy</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predstavitel</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msp</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ispolzuet</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iskusstvennyy</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intellekt</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v</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rabote</w:t>
        </w:r>
        <w:r w:rsidRPr="008B45B5">
          <w:rPr>
            <w:rFonts w:ascii="Times New Roman" w:eastAsia="Calibri" w:hAnsi="Times New Roman" w:cs="Times New Roman"/>
            <w:color w:val="0563C1"/>
            <w:sz w:val="21"/>
            <w:szCs w:val="21"/>
            <w:u w:val="single"/>
          </w:rPr>
          <w:t>/</w:t>
        </w:r>
      </w:hyperlink>
    </w:p>
    <w:p w14:paraId="1A406A08" w14:textId="77777777" w:rsidR="008B45B5" w:rsidRPr="008B45B5" w:rsidRDefault="008B45B5" w:rsidP="00AD58CD">
      <w:pPr>
        <w:numPr>
          <w:ilvl w:val="0"/>
          <w:numId w:val="188"/>
        </w:numPr>
        <w:spacing w:after="0" w:line="240" w:lineRule="auto"/>
        <w:ind w:left="426" w:hanging="426"/>
        <w:contextualSpacing/>
        <w:jc w:val="both"/>
        <w:rPr>
          <w:rFonts w:ascii="Times New Roman" w:eastAsia="Calibri" w:hAnsi="Times New Roman" w:cs="Times New Roman"/>
          <w:sz w:val="32"/>
          <w:szCs w:val="32"/>
        </w:rPr>
      </w:pPr>
      <w:r w:rsidRPr="008B45B5">
        <w:rPr>
          <w:rFonts w:ascii="Times New Roman" w:eastAsia="Calibri" w:hAnsi="Times New Roman" w:cs="Times New Roman"/>
          <w:sz w:val="21"/>
          <w:szCs w:val="21"/>
        </w:rPr>
        <w:t xml:space="preserve">Совместное исследование «Trust Technologies» и «Кномары», 2023. — Режим доступа: </w:t>
      </w:r>
      <w:hyperlink r:id="rId699" w:history="1">
        <w:r w:rsidRPr="008B45B5">
          <w:rPr>
            <w:rFonts w:ascii="Times New Roman" w:eastAsia="Calibri" w:hAnsi="Times New Roman" w:cs="Times New Roman"/>
            <w:color w:val="0563C1"/>
            <w:sz w:val="21"/>
            <w:szCs w:val="21"/>
            <w:u w:val="single"/>
            <w:lang w:val="en-US"/>
          </w:rPr>
          <w:t>https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data</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tedo</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ru</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publications</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ai</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in</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hr</w:t>
        </w:r>
        <w:r w:rsidRPr="008B45B5">
          <w:rPr>
            <w:rFonts w:ascii="Times New Roman" w:eastAsia="Calibri" w:hAnsi="Times New Roman" w:cs="Times New Roman"/>
            <w:color w:val="0563C1"/>
            <w:sz w:val="21"/>
            <w:szCs w:val="21"/>
            <w:u w:val="single"/>
          </w:rPr>
          <w:t>.</w:t>
        </w:r>
        <w:r w:rsidRPr="008B45B5">
          <w:rPr>
            <w:rFonts w:ascii="Times New Roman" w:eastAsia="Calibri" w:hAnsi="Times New Roman" w:cs="Times New Roman"/>
            <w:color w:val="0563C1"/>
            <w:sz w:val="21"/>
            <w:szCs w:val="21"/>
            <w:u w:val="single"/>
            <w:lang w:val="en-US"/>
          </w:rPr>
          <w:t>pdf</w:t>
        </w:r>
      </w:hyperlink>
      <w:r w:rsidRPr="008B45B5">
        <w:rPr>
          <w:rFonts w:ascii="Times New Roman" w:eastAsia="Calibri" w:hAnsi="Times New Roman" w:cs="Times New Roman"/>
          <w:sz w:val="32"/>
          <w:szCs w:val="32"/>
        </w:rPr>
        <w:t xml:space="preserve"> </w:t>
      </w:r>
    </w:p>
    <w:p w14:paraId="25DB649F" w14:textId="77777777" w:rsidR="0001591D" w:rsidRPr="0001591D" w:rsidRDefault="0001591D" w:rsidP="000C19DE">
      <w:pPr>
        <w:spacing w:after="0" w:line="240" w:lineRule="auto"/>
        <w:rPr>
          <w:rFonts w:ascii="Times New Roman" w:eastAsiaTheme="minorHAnsi" w:hAnsi="Times New Roman" w:cs="Times New Roman"/>
          <w:b/>
          <w:i/>
          <w:sz w:val="21"/>
          <w:szCs w:val="21"/>
        </w:rPr>
      </w:pPr>
    </w:p>
    <w:p w14:paraId="0F2FFD13" w14:textId="77777777" w:rsidR="000E5581" w:rsidRPr="000E5581" w:rsidRDefault="000E5581" w:rsidP="000E5581">
      <w:pPr>
        <w:spacing w:after="0" w:line="324" w:lineRule="atLeast"/>
        <w:rPr>
          <w:rFonts w:ascii="Times New Roman" w:eastAsia="DengXian" w:hAnsi="Times New Roman" w:cs="Times New Roman"/>
          <w:i/>
          <w:iCs/>
          <w:color w:val="000000"/>
          <w:lang w:eastAsia="ru-RU"/>
        </w:rPr>
      </w:pPr>
      <w:r w:rsidRPr="000E5581">
        <w:rPr>
          <w:rFonts w:ascii="Times New Roman" w:eastAsia="DengXian" w:hAnsi="Times New Roman" w:cs="Times New Roman"/>
          <w:b/>
          <w:bCs/>
          <w:color w:val="000000"/>
          <w:lang w:eastAsia="ru-RU"/>
        </w:rPr>
        <w:t>УДК 378                                                                                </w:t>
      </w:r>
    </w:p>
    <w:p w14:paraId="3F0C6DA9" w14:textId="2BA3A05A"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b/>
          <w:bCs/>
          <w:i/>
          <w:iCs/>
          <w:color w:val="000000"/>
          <w:lang w:eastAsia="ru-RU"/>
        </w:rPr>
        <w:t>Кадькалова Е.Р.</w:t>
      </w:r>
      <w:r w:rsidR="00C24E53">
        <w:rPr>
          <w:rFonts w:ascii="Times New Roman" w:eastAsia="DengXian" w:hAnsi="Times New Roman" w:cs="Times New Roman"/>
          <w:b/>
          <w:bCs/>
          <w:i/>
          <w:iCs/>
          <w:color w:val="000000"/>
          <w:lang w:eastAsia="ru-RU"/>
        </w:rPr>
        <w:t>,</w:t>
      </w:r>
    </w:p>
    <w:p w14:paraId="5AD7C93B"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i/>
          <w:iCs/>
          <w:color w:val="000000"/>
          <w:lang w:eastAsia="ru-RU"/>
        </w:rPr>
        <w:t>Студент 1 курса</w:t>
      </w:r>
    </w:p>
    <w:p w14:paraId="74DCC925" w14:textId="77777777" w:rsidR="00EC670F" w:rsidRPr="0001591D" w:rsidRDefault="00EC670F"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66A382E1"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i/>
          <w:iCs/>
          <w:color w:val="000000"/>
          <w:lang w:eastAsia="ru-RU"/>
        </w:rPr>
        <w:t>г.Краснодар, Россия</w:t>
      </w:r>
    </w:p>
    <w:p w14:paraId="29E0F072" w14:textId="77777777" w:rsidR="000E5581" w:rsidRDefault="000E5581" w:rsidP="009A4E6A">
      <w:pPr>
        <w:spacing w:after="0" w:line="240" w:lineRule="auto"/>
        <w:contextualSpacing/>
        <w:jc w:val="right"/>
        <w:rPr>
          <w:rFonts w:ascii="Times New Roman" w:eastAsia="DengXian" w:hAnsi="Times New Roman" w:cs="Times New Roman"/>
          <w:i/>
          <w:iCs/>
          <w:sz w:val="24"/>
          <w:szCs w:val="24"/>
          <w:lang w:eastAsia="ru-RU"/>
        </w:rPr>
      </w:pPr>
      <w:r w:rsidRPr="000E5581">
        <w:rPr>
          <w:rFonts w:ascii="Times New Roman" w:eastAsia="DengXian" w:hAnsi="Times New Roman" w:cs="Times New Roman"/>
          <w:i/>
          <w:iCs/>
          <w:color w:val="000000"/>
          <w:lang w:eastAsia="ru-RU"/>
        </w:rPr>
        <w:t>e-mail: </w:t>
      </w:r>
      <w:hyperlink r:id="rId700" w:history="1">
        <w:r w:rsidRPr="000E5581">
          <w:rPr>
            <w:rFonts w:ascii="Times New Roman" w:eastAsia="DengXian" w:hAnsi="Times New Roman" w:cs="Times New Roman"/>
            <w:i/>
            <w:iCs/>
            <w:color w:val="0563C1"/>
            <w:u w:val="single"/>
            <w:lang w:eastAsia="ru-RU"/>
          </w:rPr>
          <w:t>ekaterinakadkalova@yandex.ru</w:t>
        </w:r>
      </w:hyperlink>
    </w:p>
    <w:p w14:paraId="44F33F93" w14:textId="77777777" w:rsidR="00336550" w:rsidRPr="000E5581" w:rsidRDefault="00336550" w:rsidP="009A4E6A">
      <w:pPr>
        <w:spacing w:after="0" w:line="240" w:lineRule="auto"/>
        <w:contextualSpacing/>
        <w:jc w:val="right"/>
        <w:rPr>
          <w:rFonts w:ascii="Times New Roman" w:eastAsia="DengXian" w:hAnsi="Times New Roman" w:cs="Times New Roman"/>
          <w:i/>
          <w:iCs/>
          <w:color w:val="000000"/>
          <w:lang w:eastAsia="ru-RU"/>
        </w:rPr>
      </w:pPr>
    </w:p>
    <w:p w14:paraId="3574FECF"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b/>
          <w:bCs/>
          <w:i/>
          <w:iCs/>
          <w:color w:val="000000"/>
          <w:lang w:eastAsia="ru-RU"/>
        </w:rPr>
        <w:t>Научный руководитель:</w:t>
      </w:r>
    </w:p>
    <w:p w14:paraId="64602A48" w14:textId="3F4B5E8F"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b/>
          <w:bCs/>
          <w:i/>
          <w:iCs/>
          <w:color w:val="000000"/>
          <w:lang w:eastAsia="ru-RU"/>
        </w:rPr>
        <w:t>Гучетль С.К.</w:t>
      </w:r>
      <w:r w:rsidR="00C24E53">
        <w:rPr>
          <w:rFonts w:ascii="Times New Roman" w:eastAsia="DengXian" w:hAnsi="Times New Roman" w:cs="Times New Roman"/>
          <w:b/>
          <w:bCs/>
          <w:i/>
          <w:iCs/>
          <w:color w:val="000000"/>
          <w:lang w:eastAsia="ru-RU"/>
        </w:rPr>
        <w:t>,</w:t>
      </w:r>
    </w:p>
    <w:p w14:paraId="5842F940"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i/>
          <w:iCs/>
          <w:color w:val="000000"/>
          <w:lang w:eastAsia="ru-RU"/>
        </w:rPr>
        <w:t>Старший преподаватель кафедры «История, философия и право»</w:t>
      </w:r>
    </w:p>
    <w:p w14:paraId="0F65B419" w14:textId="77777777" w:rsidR="00EC670F" w:rsidRPr="0001591D" w:rsidRDefault="00EC670F"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7F475B2"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i/>
          <w:iCs/>
          <w:color w:val="000000"/>
          <w:lang w:eastAsia="ru-RU"/>
        </w:rPr>
        <w:t>г.Краснодар, Россия</w:t>
      </w:r>
    </w:p>
    <w:p w14:paraId="6853E2B6" w14:textId="1E0185F5" w:rsidR="000E5581" w:rsidRPr="00C30970" w:rsidRDefault="000E5581" w:rsidP="009A4E6A">
      <w:pPr>
        <w:spacing w:after="0" w:line="240" w:lineRule="auto"/>
        <w:contextualSpacing/>
        <w:jc w:val="right"/>
        <w:rPr>
          <w:rFonts w:ascii="Times New Roman" w:eastAsia="DengXian" w:hAnsi="Times New Roman" w:cs="Times New Roman"/>
          <w:i/>
          <w:iCs/>
          <w:color w:val="000000"/>
          <w:lang w:eastAsia="ru-RU"/>
        </w:rPr>
      </w:pPr>
      <w:r w:rsidRPr="000E5581">
        <w:rPr>
          <w:rFonts w:ascii="Times New Roman" w:eastAsia="DengXian" w:hAnsi="Times New Roman" w:cs="Times New Roman"/>
          <w:i/>
          <w:iCs/>
          <w:color w:val="000000"/>
          <w:lang w:val="en-US" w:eastAsia="ru-RU"/>
        </w:rPr>
        <w:t>e</w:t>
      </w:r>
      <w:r w:rsidRPr="00C30970">
        <w:rPr>
          <w:rFonts w:ascii="Times New Roman" w:eastAsia="DengXian" w:hAnsi="Times New Roman" w:cs="Times New Roman"/>
          <w:i/>
          <w:iCs/>
          <w:color w:val="000000"/>
          <w:lang w:eastAsia="ru-RU"/>
        </w:rPr>
        <w:t>-</w:t>
      </w:r>
      <w:r w:rsidRPr="000E5581">
        <w:rPr>
          <w:rFonts w:ascii="Times New Roman" w:eastAsia="DengXian" w:hAnsi="Times New Roman" w:cs="Times New Roman"/>
          <w:i/>
          <w:iCs/>
          <w:color w:val="000000"/>
          <w:lang w:val="en-US" w:eastAsia="ru-RU"/>
        </w:rPr>
        <w:t>mail</w:t>
      </w:r>
      <w:r w:rsidRPr="00C30970">
        <w:rPr>
          <w:rFonts w:ascii="Times New Roman" w:eastAsia="DengXian" w:hAnsi="Times New Roman" w:cs="Times New Roman"/>
          <w:i/>
          <w:iCs/>
          <w:color w:val="000000"/>
          <w:lang w:eastAsia="ru-RU"/>
        </w:rPr>
        <w:t xml:space="preserve">: </w:t>
      </w:r>
      <w:hyperlink r:id="rId701" w:history="1">
        <w:r w:rsidR="00336550" w:rsidRPr="000E5581">
          <w:rPr>
            <w:rStyle w:val="aa"/>
            <w:rFonts w:ascii="Times New Roman" w:eastAsia="DengXian" w:hAnsi="Times New Roman" w:cs="Times New Roman"/>
            <w:i/>
            <w:iCs/>
            <w:lang w:val="en-US" w:eastAsia="ru-RU"/>
          </w:rPr>
          <w:t>sof</w:t>
        </w:r>
        <w:r w:rsidR="00336550" w:rsidRPr="00C30970">
          <w:rPr>
            <w:rStyle w:val="aa"/>
            <w:rFonts w:ascii="Times New Roman" w:eastAsia="DengXian" w:hAnsi="Times New Roman" w:cs="Times New Roman"/>
            <w:i/>
            <w:iCs/>
            <w:lang w:eastAsia="ru-RU"/>
          </w:rPr>
          <w:t>-</w:t>
        </w:r>
        <w:r w:rsidR="00336550" w:rsidRPr="000E5581">
          <w:rPr>
            <w:rStyle w:val="aa"/>
            <w:rFonts w:ascii="Times New Roman" w:eastAsia="DengXian" w:hAnsi="Times New Roman" w:cs="Times New Roman"/>
            <w:i/>
            <w:iCs/>
            <w:lang w:val="en-US" w:eastAsia="ru-RU"/>
          </w:rPr>
          <w:t>guchetl</w:t>
        </w:r>
        <w:r w:rsidR="00336550" w:rsidRPr="00C30970">
          <w:rPr>
            <w:rStyle w:val="aa"/>
            <w:rFonts w:ascii="Times New Roman" w:eastAsia="DengXian" w:hAnsi="Times New Roman" w:cs="Times New Roman"/>
            <w:i/>
            <w:iCs/>
            <w:lang w:eastAsia="ru-RU"/>
          </w:rPr>
          <w:t>@</w:t>
        </w:r>
        <w:r w:rsidR="00336550" w:rsidRPr="000E5581">
          <w:rPr>
            <w:rStyle w:val="aa"/>
            <w:rFonts w:ascii="Times New Roman" w:eastAsia="DengXian" w:hAnsi="Times New Roman" w:cs="Times New Roman"/>
            <w:i/>
            <w:iCs/>
            <w:lang w:val="en-US" w:eastAsia="ru-RU"/>
          </w:rPr>
          <w:t>ya</w:t>
        </w:r>
        <w:r w:rsidR="00336550" w:rsidRPr="00C30970">
          <w:rPr>
            <w:rStyle w:val="aa"/>
            <w:rFonts w:ascii="Times New Roman" w:eastAsia="DengXian" w:hAnsi="Times New Roman" w:cs="Times New Roman"/>
            <w:i/>
            <w:iCs/>
            <w:lang w:eastAsia="ru-RU"/>
          </w:rPr>
          <w:t>.</w:t>
        </w:r>
        <w:r w:rsidR="00336550" w:rsidRPr="000E5581">
          <w:rPr>
            <w:rStyle w:val="aa"/>
            <w:rFonts w:ascii="Times New Roman" w:eastAsia="DengXian" w:hAnsi="Times New Roman" w:cs="Times New Roman"/>
            <w:i/>
            <w:iCs/>
            <w:lang w:val="en-US" w:eastAsia="ru-RU"/>
          </w:rPr>
          <w:t>ru</w:t>
        </w:r>
      </w:hyperlink>
    </w:p>
    <w:p w14:paraId="5FA4194E" w14:textId="77777777" w:rsidR="00336550" w:rsidRPr="00C30970" w:rsidRDefault="00336550" w:rsidP="009A4E6A">
      <w:pPr>
        <w:spacing w:after="0" w:line="240" w:lineRule="auto"/>
        <w:contextualSpacing/>
        <w:jc w:val="right"/>
        <w:rPr>
          <w:rFonts w:ascii="Times New Roman" w:eastAsia="DengXian" w:hAnsi="Times New Roman" w:cs="Times New Roman"/>
          <w:i/>
          <w:iCs/>
          <w:color w:val="000000"/>
          <w:lang w:eastAsia="ru-RU"/>
        </w:rPr>
      </w:pPr>
    </w:p>
    <w:p w14:paraId="752D5108" w14:textId="77777777" w:rsidR="000E5581" w:rsidRDefault="000E5581" w:rsidP="009A4E6A">
      <w:pPr>
        <w:spacing w:after="0" w:line="240" w:lineRule="auto"/>
        <w:contextualSpacing/>
        <w:jc w:val="center"/>
        <w:rPr>
          <w:rFonts w:ascii="Times New Roman" w:eastAsia="DengXian" w:hAnsi="Times New Roman" w:cs="Times New Roman"/>
          <w:b/>
          <w:bCs/>
          <w:color w:val="000000"/>
          <w:lang w:eastAsia="ru-RU"/>
        </w:rPr>
      </w:pPr>
      <w:r w:rsidRPr="000E5581">
        <w:rPr>
          <w:rFonts w:ascii="Times New Roman" w:eastAsia="DengXian" w:hAnsi="Times New Roman" w:cs="Times New Roman"/>
          <w:b/>
          <w:bCs/>
          <w:color w:val="000000"/>
          <w:lang w:eastAsia="ru-RU"/>
        </w:rPr>
        <w:t>«Пути изучения английского языка с помощью Интернета»</w:t>
      </w:r>
    </w:p>
    <w:p w14:paraId="11C2960E" w14:textId="77777777" w:rsidR="00336550" w:rsidRPr="000E5581" w:rsidRDefault="00336550" w:rsidP="009A4E6A">
      <w:pPr>
        <w:spacing w:after="0" w:line="240" w:lineRule="auto"/>
        <w:contextualSpacing/>
        <w:jc w:val="center"/>
        <w:rPr>
          <w:rFonts w:ascii="Times New Roman" w:eastAsia="DengXian" w:hAnsi="Times New Roman" w:cs="Times New Roman"/>
          <w:color w:val="000000"/>
          <w:lang w:eastAsia="ru-RU"/>
        </w:rPr>
      </w:pPr>
    </w:p>
    <w:p w14:paraId="6DA355B5" w14:textId="4E257782" w:rsidR="000E5581" w:rsidRPr="000E5581" w:rsidRDefault="000E5581" w:rsidP="009A4E6A">
      <w:pPr>
        <w:spacing w:after="0" w:line="240" w:lineRule="auto"/>
        <w:ind w:firstLine="709"/>
        <w:contextualSpacing/>
        <w:rPr>
          <w:rFonts w:ascii="Times New Roman" w:eastAsia="DengXian" w:hAnsi="Times New Roman" w:cs="Times New Roman"/>
          <w:color w:val="000000"/>
          <w:lang w:eastAsia="ru-RU"/>
        </w:rPr>
      </w:pPr>
      <w:r w:rsidRPr="000E5581">
        <w:rPr>
          <w:rFonts w:ascii="Times New Roman" w:eastAsia="DengXian" w:hAnsi="Times New Roman" w:cs="Times New Roman"/>
          <w:b/>
          <w:bCs/>
          <w:color w:val="000000"/>
          <w:lang w:eastAsia="ru-RU"/>
        </w:rPr>
        <w:t>Аннотация:</w:t>
      </w:r>
      <w:r w:rsidR="00336550">
        <w:rPr>
          <w:rFonts w:ascii="Times New Roman" w:eastAsia="DengXian" w:hAnsi="Times New Roman" w:cs="Times New Roman"/>
          <w:color w:val="000000"/>
          <w:lang w:eastAsia="ru-RU"/>
        </w:rPr>
        <w:t xml:space="preserve"> </w:t>
      </w:r>
      <w:r w:rsidRPr="000E5581">
        <w:rPr>
          <w:rFonts w:ascii="Times New Roman" w:eastAsia="DengXian" w:hAnsi="Times New Roman" w:cs="Times New Roman"/>
          <w:color w:val="000000"/>
          <w:lang w:eastAsia="ru-RU"/>
        </w:rPr>
        <w:t>Статья посвящена актуальным возможностям применения интернета в обучении английскому языку. В ней рассматриваются разнообразные онлайн-ресурсы, платформы и методики, которые способствуют развитию языковых компетенций студентов. Особое внимание в исследовании уделяется эффективности дистанционного обучения, мобильных приложений и интерактивных инструментов.</w:t>
      </w:r>
    </w:p>
    <w:p w14:paraId="2E1C0395" w14:textId="77777777" w:rsidR="000E5581" w:rsidRPr="000E5581" w:rsidRDefault="000E5581" w:rsidP="009A4E6A">
      <w:pPr>
        <w:spacing w:after="0" w:line="240" w:lineRule="auto"/>
        <w:ind w:firstLine="709"/>
        <w:contextualSpacing/>
        <w:jc w:val="both"/>
        <w:rPr>
          <w:rFonts w:ascii="Times New Roman" w:eastAsia="DengXian" w:hAnsi="Times New Roman" w:cs="Times New Roman"/>
          <w:color w:val="000000"/>
          <w:lang w:eastAsia="ru-RU"/>
        </w:rPr>
      </w:pPr>
      <w:r w:rsidRPr="000E5581">
        <w:rPr>
          <w:rFonts w:ascii="Times New Roman" w:eastAsia="DengXian" w:hAnsi="Times New Roman" w:cs="Times New Roman"/>
          <w:b/>
          <w:bCs/>
          <w:color w:val="000000"/>
          <w:lang w:eastAsia="ru-RU"/>
        </w:rPr>
        <w:t>Ключевые слова: </w:t>
      </w:r>
      <w:r w:rsidRPr="000E5581">
        <w:rPr>
          <w:rFonts w:ascii="Times New Roman" w:eastAsia="DengXian" w:hAnsi="Times New Roman" w:cs="Times New Roman"/>
          <w:color w:val="000000"/>
          <w:lang w:eastAsia="ru-RU"/>
        </w:rPr>
        <w:t>онлайн-ресурсы, онлайн-курсы, платформы, мобильные приложения, изучение английского языка, языковой и культурный обмен, современные технологии.</w:t>
      </w:r>
    </w:p>
    <w:p w14:paraId="03C2244E" w14:textId="77777777" w:rsidR="000E5581" w:rsidRPr="000E5581" w:rsidRDefault="000E5581" w:rsidP="009A4E6A">
      <w:pPr>
        <w:spacing w:after="0" w:line="240" w:lineRule="auto"/>
        <w:contextualSpacing/>
        <w:jc w:val="right"/>
        <w:rPr>
          <w:rFonts w:ascii="Times New Roman" w:eastAsia="DengXian" w:hAnsi="Times New Roman" w:cs="Times New Roman"/>
          <w:color w:val="000000"/>
          <w:lang w:eastAsia="ru-RU"/>
        </w:rPr>
      </w:pPr>
      <w:r w:rsidRPr="000E5581">
        <w:rPr>
          <w:rFonts w:ascii="Times New Roman" w:eastAsia="DengXian" w:hAnsi="Times New Roman" w:cs="Times New Roman"/>
          <w:color w:val="000000"/>
          <w:lang w:eastAsia="ru-RU"/>
        </w:rPr>
        <w:t> </w:t>
      </w:r>
    </w:p>
    <w:p w14:paraId="49F76827" w14:textId="77777777" w:rsidR="000E5581" w:rsidRPr="000E5581" w:rsidRDefault="000E5581" w:rsidP="009A4E6A">
      <w:pPr>
        <w:spacing w:after="0" w:line="240" w:lineRule="auto"/>
        <w:contextualSpacing/>
        <w:jc w:val="right"/>
        <w:rPr>
          <w:rFonts w:ascii="Times New Roman" w:eastAsia="DengXian" w:hAnsi="Times New Roman" w:cs="Times New Roman"/>
          <w:color w:val="000000"/>
          <w:lang w:eastAsia="ru-RU"/>
        </w:rPr>
      </w:pPr>
      <w:r w:rsidRPr="000E5581">
        <w:rPr>
          <w:rFonts w:ascii="Times New Roman" w:eastAsia="DengXian" w:hAnsi="Times New Roman" w:cs="Times New Roman"/>
          <w:color w:val="000000"/>
          <w:lang w:eastAsia="ru-RU"/>
        </w:rPr>
        <w:t> </w:t>
      </w:r>
    </w:p>
    <w:p w14:paraId="33637344" w14:textId="02E7EB9C" w:rsidR="000E5581" w:rsidRPr="00A11496" w:rsidRDefault="000E5581" w:rsidP="009A4E6A">
      <w:pPr>
        <w:spacing w:after="0" w:line="240" w:lineRule="auto"/>
        <w:contextualSpacing/>
        <w:jc w:val="right"/>
        <w:rPr>
          <w:rFonts w:ascii="Times New Roman" w:eastAsia="DengXian" w:hAnsi="Times New Roman" w:cs="Times New Roman"/>
          <w:b/>
          <w:bCs/>
          <w:i/>
          <w:iCs/>
          <w:color w:val="000000"/>
          <w:lang w:val="en-US" w:eastAsia="ru-RU"/>
        </w:rPr>
      </w:pPr>
      <w:r w:rsidRPr="000E5581">
        <w:rPr>
          <w:rFonts w:ascii="Times New Roman" w:eastAsia="DengXian" w:hAnsi="Times New Roman" w:cs="Times New Roman"/>
          <w:b/>
          <w:bCs/>
          <w:i/>
          <w:iCs/>
          <w:color w:val="000000"/>
          <w:lang w:val="en-US" w:eastAsia="ru-RU"/>
        </w:rPr>
        <w:t>Kadkalova E.R.</w:t>
      </w:r>
      <w:r w:rsidR="00ED4AF2" w:rsidRPr="00A11496">
        <w:rPr>
          <w:rFonts w:ascii="Times New Roman" w:eastAsia="DengXian" w:hAnsi="Times New Roman" w:cs="Times New Roman"/>
          <w:b/>
          <w:bCs/>
          <w:i/>
          <w:iCs/>
          <w:color w:val="000000"/>
          <w:lang w:val="en-US" w:eastAsia="ru-RU"/>
        </w:rPr>
        <w:t>,</w:t>
      </w:r>
    </w:p>
    <w:p w14:paraId="0949BC0B"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1st year student</w:t>
      </w:r>
    </w:p>
    <w:p w14:paraId="6CBF9848"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Financial University under the Government of the Russian Federation</w:t>
      </w:r>
    </w:p>
    <w:p w14:paraId="0D41FB65"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(Krasnodar Branch of the Financial University) </w:t>
      </w:r>
    </w:p>
    <w:p w14:paraId="37560146"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Krasnodar, Russia</w:t>
      </w:r>
    </w:p>
    <w:p w14:paraId="797B9B04" w14:textId="1728D89F" w:rsidR="000E5581" w:rsidRPr="00C30970"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 xml:space="preserve">e-mail: </w:t>
      </w:r>
      <w:hyperlink r:id="rId702" w:history="1">
        <w:r w:rsidR="00336550" w:rsidRPr="000E5581">
          <w:rPr>
            <w:rStyle w:val="aa"/>
            <w:rFonts w:ascii="Times New Roman" w:eastAsia="DengXian" w:hAnsi="Times New Roman" w:cs="Times New Roman"/>
            <w:i/>
            <w:iCs/>
            <w:lang w:val="en-US" w:eastAsia="ru-RU"/>
          </w:rPr>
          <w:t>ekaterinakadkalova@yandex.ru</w:t>
        </w:r>
      </w:hyperlink>
    </w:p>
    <w:p w14:paraId="4D9EA463" w14:textId="77777777" w:rsidR="00336550" w:rsidRPr="00C30970" w:rsidRDefault="00336550" w:rsidP="009A4E6A">
      <w:pPr>
        <w:spacing w:after="0" w:line="240" w:lineRule="auto"/>
        <w:contextualSpacing/>
        <w:jc w:val="right"/>
        <w:rPr>
          <w:rFonts w:ascii="Times New Roman" w:eastAsia="DengXian" w:hAnsi="Times New Roman" w:cs="Times New Roman"/>
          <w:i/>
          <w:iCs/>
          <w:color w:val="000000"/>
          <w:lang w:val="en-US" w:eastAsia="ru-RU"/>
        </w:rPr>
      </w:pPr>
    </w:p>
    <w:p w14:paraId="15F6D853" w14:textId="77777777" w:rsidR="000E5581" w:rsidRPr="000E5581" w:rsidRDefault="000E5581" w:rsidP="009A4E6A">
      <w:pPr>
        <w:spacing w:after="0" w:line="240" w:lineRule="auto"/>
        <w:contextualSpacing/>
        <w:jc w:val="right"/>
        <w:rPr>
          <w:rFonts w:ascii="Times New Roman" w:eastAsia="DengXian" w:hAnsi="Times New Roman" w:cs="Times New Roman"/>
          <w:b/>
          <w:bCs/>
          <w:i/>
          <w:iCs/>
          <w:color w:val="000000"/>
          <w:lang w:val="en-US" w:eastAsia="ru-RU"/>
        </w:rPr>
      </w:pPr>
      <w:r w:rsidRPr="000E5581">
        <w:rPr>
          <w:rFonts w:ascii="Times New Roman" w:eastAsia="DengXian" w:hAnsi="Times New Roman" w:cs="Times New Roman"/>
          <w:b/>
          <w:bCs/>
          <w:i/>
          <w:iCs/>
          <w:color w:val="000000"/>
          <w:lang w:val="en-US" w:eastAsia="ru-RU"/>
        </w:rPr>
        <w:t>Scientific supervisor:</w:t>
      </w:r>
    </w:p>
    <w:p w14:paraId="39D5A2F9" w14:textId="16466EBB" w:rsidR="000E5581" w:rsidRPr="00A11496" w:rsidRDefault="000E5581" w:rsidP="009A4E6A">
      <w:pPr>
        <w:spacing w:after="0" w:line="240" w:lineRule="auto"/>
        <w:contextualSpacing/>
        <w:jc w:val="right"/>
        <w:rPr>
          <w:rFonts w:ascii="Times New Roman" w:eastAsia="DengXian" w:hAnsi="Times New Roman" w:cs="Times New Roman"/>
          <w:b/>
          <w:bCs/>
          <w:i/>
          <w:iCs/>
          <w:color w:val="000000"/>
          <w:lang w:val="en-US" w:eastAsia="ru-RU"/>
        </w:rPr>
      </w:pPr>
      <w:r w:rsidRPr="000E5581">
        <w:rPr>
          <w:rFonts w:ascii="Times New Roman" w:eastAsia="DengXian" w:hAnsi="Times New Roman" w:cs="Times New Roman"/>
          <w:b/>
          <w:bCs/>
          <w:i/>
          <w:iCs/>
          <w:color w:val="000000"/>
          <w:lang w:val="en-US" w:eastAsia="ru-RU"/>
        </w:rPr>
        <w:t>Guchetl S.K.</w:t>
      </w:r>
      <w:r w:rsidR="00ED4AF2" w:rsidRPr="00A11496">
        <w:rPr>
          <w:rFonts w:ascii="Times New Roman" w:eastAsia="DengXian" w:hAnsi="Times New Roman" w:cs="Times New Roman"/>
          <w:b/>
          <w:bCs/>
          <w:i/>
          <w:iCs/>
          <w:color w:val="000000"/>
          <w:lang w:val="en-US" w:eastAsia="ru-RU"/>
        </w:rPr>
        <w:t>,</w:t>
      </w:r>
    </w:p>
    <w:p w14:paraId="53D9F47C"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Senior Lecturer at the Department of History, Philosophy and Law</w:t>
      </w:r>
    </w:p>
    <w:p w14:paraId="6B852491"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Financial University under the Government of the Russian Federation</w:t>
      </w:r>
    </w:p>
    <w:p w14:paraId="6DD8C19D"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(Krasnodar Branch of the Financial University)</w:t>
      </w:r>
    </w:p>
    <w:p w14:paraId="2F889674"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Krasnodar, Russia</w:t>
      </w:r>
    </w:p>
    <w:p w14:paraId="2600A1B4" w14:textId="77777777" w:rsidR="000E5581" w:rsidRPr="000E5581" w:rsidRDefault="000E5581" w:rsidP="009A4E6A">
      <w:pPr>
        <w:spacing w:after="0" w:line="240" w:lineRule="auto"/>
        <w:contextualSpacing/>
        <w:jc w:val="right"/>
        <w:rPr>
          <w:rFonts w:ascii="Times New Roman" w:eastAsia="DengXian" w:hAnsi="Times New Roman" w:cs="Times New Roman"/>
          <w:i/>
          <w:iCs/>
          <w:color w:val="000000"/>
          <w:lang w:val="en-US" w:eastAsia="ru-RU"/>
        </w:rPr>
      </w:pPr>
      <w:r w:rsidRPr="000E5581">
        <w:rPr>
          <w:rFonts w:ascii="Times New Roman" w:eastAsia="DengXian" w:hAnsi="Times New Roman" w:cs="Times New Roman"/>
          <w:i/>
          <w:iCs/>
          <w:color w:val="000000"/>
          <w:lang w:val="en-US" w:eastAsia="ru-RU"/>
        </w:rPr>
        <w:t>e-mail: sof-guchetl@ya.ru</w:t>
      </w:r>
    </w:p>
    <w:p w14:paraId="01484DC3" w14:textId="77777777" w:rsidR="000E5581" w:rsidRPr="000E5581" w:rsidRDefault="000E5581" w:rsidP="009A4E6A">
      <w:pPr>
        <w:spacing w:after="0" w:line="240" w:lineRule="auto"/>
        <w:contextualSpacing/>
        <w:rPr>
          <w:rFonts w:ascii="Times New Roman" w:eastAsia="DengXian" w:hAnsi="Times New Roman" w:cs="Times New Roman"/>
          <w:color w:val="000000"/>
          <w:lang w:val="en-US" w:eastAsia="ru-RU"/>
        </w:rPr>
      </w:pPr>
      <w:r w:rsidRPr="000E5581">
        <w:rPr>
          <w:rFonts w:ascii="Times New Roman" w:eastAsia="DengXian" w:hAnsi="Times New Roman" w:cs="Times New Roman"/>
          <w:color w:val="000000"/>
          <w:lang w:val="en-US" w:eastAsia="ru-RU"/>
        </w:rPr>
        <w:t> </w:t>
      </w:r>
    </w:p>
    <w:p w14:paraId="4DDBDD5F" w14:textId="77777777" w:rsidR="000E5581" w:rsidRPr="000E5581" w:rsidRDefault="000E5581" w:rsidP="009A4E6A">
      <w:pPr>
        <w:spacing w:after="0" w:line="240" w:lineRule="auto"/>
        <w:contextualSpacing/>
        <w:jc w:val="center"/>
        <w:rPr>
          <w:rFonts w:ascii="Times New Roman" w:eastAsia="DengXian" w:hAnsi="Times New Roman" w:cs="Times New Roman"/>
          <w:color w:val="000000"/>
          <w:lang w:val="en-US" w:eastAsia="ru-RU"/>
        </w:rPr>
      </w:pPr>
      <w:r w:rsidRPr="000E5581">
        <w:rPr>
          <w:rFonts w:ascii="Times New Roman" w:eastAsia="DengXian" w:hAnsi="Times New Roman" w:cs="Times New Roman"/>
          <w:b/>
          <w:bCs/>
          <w:color w:val="000000"/>
          <w:lang w:val="en-US" w:eastAsia="ru-RU"/>
        </w:rPr>
        <w:t>«Ways to learn English using the Internet»</w:t>
      </w:r>
    </w:p>
    <w:p w14:paraId="06C873D0" w14:textId="77777777" w:rsidR="000E5581" w:rsidRPr="000E5581" w:rsidRDefault="000E5581" w:rsidP="009A4E6A">
      <w:pPr>
        <w:spacing w:after="0" w:line="240" w:lineRule="auto"/>
        <w:contextualSpacing/>
        <w:rPr>
          <w:rFonts w:ascii="Times New Roman" w:eastAsia="DengXian" w:hAnsi="Times New Roman" w:cs="Times New Roman"/>
          <w:color w:val="000000"/>
          <w:lang w:val="en-US" w:eastAsia="ru-RU"/>
        </w:rPr>
      </w:pPr>
      <w:r w:rsidRPr="000E5581">
        <w:rPr>
          <w:rFonts w:ascii="Times New Roman" w:eastAsia="DengXian" w:hAnsi="Times New Roman" w:cs="Times New Roman"/>
          <w:color w:val="000000"/>
          <w:lang w:val="en-US" w:eastAsia="ru-RU"/>
        </w:rPr>
        <w:t> </w:t>
      </w:r>
    </w:p>
    <w:p w14:paraId="3E3A38FC" w14:textId="674BF462" w:rsidR="000E5581" w:rsidRPr="000E5581" w:rsidRDefault="000E5581" w:rsidP="00ED4AF2">
      <w:pPr>
        <w:spacing w:after="0" w:line="240" w:lineRule="auto"/>
        <w:ind w:firstLine="709"/>
        <w:contextualSpacing/>
        <w:jc w:val="both"/>
        <w:rPr>
          <w:rFonts w:ascii="Times New Roman" w:eastAsia="DengXian" w:hAnsi="Times New Roman" w:cs="Times New Roman"/>
          <w:color w:val="000000"/>
          <w:lang w:val="en-US" w:eastAsia="ru-RU"/>
        </w:rPr>
      </w:pPr>
      <w:r w:rsidRPr="000E5581">
        <w:rPr>
          <w:rFonts w:ascii="Times New Roman" w:eastAsia="DengXian" w:hAnsi="Times New Roman" w:cs="Times New Roman"/>
          <w:color w:val="000000"/>
          <w:lang w:val="en-US" w:eastAsia="ru-RU"/>
        </w:rPr>
        <w:t> </w:t>
      </w:r>
      <w:r w:rsidRPr="000E5581">
        <w:rPr>
          <w:rFonts w:ascii="Times New Roman" w:eastAsia="DengXian" w:hAnsi="Times New Roman" w:cs="Times New Roman"/>
          <w:b/>
          <w:bCs/>
          <w:color w:val="000000"/>
          <w:lang w:val="en-US" w:eastAsia="ru-RU"/>
        </w:rPr>
        <w:t>Annotation:</w:t>
      </w:r>
      <w:r w:rsidR="00ED4AF2" w:rsidRPr="00ED4AF2">
        <w:rPr>
          <w:rFonts w:ascii="Times New Roman" w:eastAsia="DengXian" w:hAnsi="Times New Roman" w:cs="Times New Roman"/>
          <w:color w:val="000000"/>
          <w:lang w:val="en-US" w:eastAsia="ru-RU"/>
        </w:rPr>
        <w:t xml:space="preserve"> </w:t>
      </w:r>
      <w:r w:rsidRPr="000E5581">
        <w:rPr>
          <w:rFonts w:ascii="Times New Roman" w:eastAsia="DengXian" w:hAnsi="Times New Roman" w:cs="Times New Roman"/>
          <w:color w:val="000000"/>
          <w:lang w:val="en-US" w:eastAsia="ru-RU"/>
        </w:rPr>
        <w:t>The article is devoted to the current possibilities of using the Internet in English language teaching. It examines a variety of online resources, platforms, and techniques that contribute to the development of students' language competencies. The study focuses on the effectiveness of distance learning, mobile applications, and interactive tools.</w:t>
      </w:r>
    </w:p>
    <w:p w14:paraId="5AA8F7EF" w14:textId="77777777" w:rsidR="000E5581" w:rsidRPr="000E5581" w:rsidRDefault="000E5581" w:rsidP="009A4E6A">
      <w:pPr>
        <w:spacing w:after="0" w:line="240" w:lineRule="auto"/>
        <w:ind w:firstLine="709"/>
        <w:contextualSpacing/>
        <w:jc w:val="both"/>
        <w:rPr>
          <w:rFonts w:ascii="Times New Roman" w:eastAsia="DengXian" w:hAnsi="Times New Roman" w:cs="Times New Roman"/>
          <w:color w:val="000000"/>
          <w:lang w:val="en-US" w:eastAsia="ru-RU"/>
        </w:rPr>
      </w:pPr>
      <w:r w:rsidRPr="000E5581">
        <w:rPr>
          <w:rFonts w:ascii="Times New Roman" w:eastAsia="DengXian" w:hAnsi="Times New Roman" w:cs="Times New Roman"/>
          <w:b/>
          <w:bCs/>
          <w:color w:val="000000"/>
          <w:lang w:val="en-US" w:eastAsia="ru-RU"/>
        </w:rPr>
        <w:t>Key words:</w:t>
      </w:r>
      <w:r w:rsidRPr="000E5581">
        <w:rPr>
          <w:rFonts w:ascii="Times New Roman" w:eastAsia="DengXian" w:hAnsi="Times New Roman" w:cs="Times New Roman"/>
          <w:color w:val="000000"/>
          <w:lang w:val="en-US" w:eastAsia="ru-RU"/>
        </w:rPr>
        <w:t> online resources, online courses, platforms, mobile applications, learning English, English and cultural exchange, modern technologies.</w:t>
      </w:r>
    </w:p>
    <w:p w14:paraId="72F7C520" w14:textId="77777777" w:rsidR="00336550" w:rsidRPr="00C30970" w:rsidRDefault="00336550" w:rsidP="00336550">
      <w:pPr>
        <w:spacing w:after="0" w:line="240" w:lineRule="auto"/>
        <w:ind w:firstLine="709"/>
        <w:jc w:val="both"/>
        <w:rPr>
          <w:rFonts w:ascii="Times New Roman" w:eastAsia="DengXian" w:hAnsi="Times New Roman" w:cs="Times New Roman"/>
          <w:color w:val="000000"/>
          <w:sz w:val="32"/>
          <w:szCs w:val="32"/>
          <w:lang w:val="en-US" w:eastAsia="ru-RU"/>
        </w:rPr>
      </w:pPr>
    </w:p>
    <w:p w14:paraId="6ADE5EE2" w14:textId="5A1501ED"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In today's world, English language proficiency is becoming an important skill for professional and personal development. With the development of digital technologies and the availability of the Internet, new opportunities for learning English are opening up. There are various methods and tools that can meet the needs of different categories of students.</w:t>
      </w:r>
    </w:p>
    <w:p w14:paraId="6FEB056D"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Despite the many online resources available, students face difficulties in choosing the appropriate method or platform. The purpose of this study is to analyze existing online resources for learning English, their advantages and disadvantages, as well as to provide recommendations on their effective use.</w:t>
      </w:r>
    </w:p>
    <w:p w14:paraId="263C1438"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Within the framework of this study, analytical and comparative methods will be used to study various Internet resources.</w:t>
      </w:r>
    </w:p>
    <w:p w14:paraId="69E0784A"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 xml:space="preserve">Online courses provide a wide range of English language learning opportunities, providing access to a variety of educational materials such as </w:t>
      </w:r>
      <w:r w:rsidRPr="000E5581">
        <w:rPr>
          <w:rFonts w:ascii="Times New Roman" w:eastAsia="DengXian" w:hAnsi="Times New Roman" w:cs="Times New Roman"/>
          <w:color w:val="000000"/>
          <w:sz w:val="32"/>
          <w:szCs w:val="32"/>
          <w:lang w:val="en-US" w:eastAsia="ru-RU"/>
        </w:rPr>
        <w:lastRenderedPageBreak/>
        <w:t>video tutorials, interactive assignments, and quizzes. These resources allow you to comprehensively develop your language skills. Despite the many advantages, online courses have their drawbacks. One of the main challenges is maintaining student motivation, as confirmed by a study published in the journal Educational Technology Research and Development: 65% of online course participants face difficulties in this aspect. In addition, successful mastering of the material requires a high level of self-discipline and self-organization, which is not always easy to achieve. At the same time, despite the availability of materials, the availability of technical resources and a stable Internet connection is a problem for some users.</w:t>
      </w:r>
    </w:p>
    <w:p w14:paraId="66F9DD35"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 xml:space="preserve">To increase the effectiveness of using online courses, it is important to consider several recommendations. First, it is necessary to develop a clear training plan, </w:t>
      </w:r>
      <w:proofErr w:type="gramStart"/>
      <w:r w:rsidRPr="000E5581">
        <w:rPr>
          <w:rFonts w:ascii="Times New Roman" w:eastAsia="DengXian" w:hAnsi="Times New Roman" w:cs="Times New Roman"/>
          <w:color w:val="000000"/>
          <w:sz w:val="32"/>
          <w:szCs w:val="32"/>
          <w:lang w:val="en-US" w:eastAsia="ru-RU"/>
        </w:rPr>
        <w:t>taking into account</w:t>
      </w:r>
      <w:proofErr w:type="gramEnd"/>
      <w:r w:rsidRPr="000E5581">
        <w:rPr>
          <w:rFonts w:ascii="Times New Roman" w:eastAsia="DengXian" w:hAnsi="Times New Roman" w:cs="Times New Roman"/>
          <w:color w:val="000000"/>
          <w:sz w:val="32"/>
          <w:szCs w:val="32"/>
          <w:lang w:val="en-US" w:eastAsia="ru-RU"/>
        </w:rPr>
        <w:t xml:space="preserve"> individual goals and opportunities. Secondly, you should use available tools to increase motivation and monitor progress, such as reminders and reward systems. At the same time, it is important to continue research in the field of AI safety in education in order to ensure its responsible and effective use (Malyshev, 2024. 9 p.). These approaches will help achieve the desired results.</w:t>
      </w:r>
    </w:p>
    <w:p w14:paraId="1AA823C1"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Mobile applications for learning English offer users unique learning opportunities anytime, anywhere. The availability of smartphones and tablets makes learning a part of everyday life. In the digital age, learning English has become especially relevant, as modern technologies offer many learning opportunities (Efremov, Povo, 2023. 131 p.).</w:t>
      </w:r>
    </w:p>
    <w:p w14:paraId="3F70735D"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Among the most popular mobile applications for learning English are Duolingo, Babbel and Memrise. Duolingo ranks first among educational apps on Google Play and the App Store due to its accessibility and playful approach to learning. Babbel offers structured courses focused on the practical use of language, while Memrise uses the technique of memorization through association and repetition. These applications vary in methods and approaches, allowing users to choose the most appropriate tool. Learning English as part of the educational process, as noted by Belyanskaya and Salynova (2024), involves the use of specialized educational materials and techniques aimed at combining study and language practice.</w:t>
      </w:r>
    </w:p>
    <w:p w14:paraId="58067EDD"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 xml:space="preserve">However, mobile applications for learning English have certain disadvantages. The main one is the need for constant motivation, as independent learning requires a high degree of self-organization. Belyanskaya and Salynova note that "learning a foreign language, in </w:t>
      </w:r>
      <w:r w:rsidRPr="000E5581">
        <w:rPr>
          <w:rFonts w:ascii="Times New Roman" w:eastAsia="DengXian" w:hAnsi="Times New Roman" w:cs="Times New Roman"/>
          <w:color w:val="000000"/>
          <w:sz w:val="32"/>
          <w:szCs w:val="32"/>
          <w:lang w:val="en-US" w:eastAsia="ru-RU"/>
        </w:rPr>
        <w:lastRenderedPageBreak/>
        <w:t>particular English, has many advantages. Firstly, knowledge of English opens up new opportunities for building a successful career" (2024, p. 1).</w:t>
      </w:r>
    </w:p>
    <w:p w14:paraId="3BF2326A"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Language exchange is a form of interaction in which people who speak different languages share knowledge and experience in order to learn each other's languages. This method of learning has become especially popular due to the development of the Internet and the emergence of specialized platforms such as Tandem and HelloTalk. These platforms make it possible to find language exchange partners around the world, creating a unique environment for language practice in real-world communication.</w:t>
      </w:r>
    </w:p>
    <w:p w14:paraId="5584CEAB"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One of the main advantages of language exchanges is the opportunity to practice conversational skills in a natural language environment. According to a study by the University of Cambridge, participants in language exchanges improve their conversational skills 30% faster than those who use traditional teaching methods. This is because language exchanges provide an opportunity to communicate with native speakers, which contributes to the development of comprehension and pronunciation skills.</w:t>
      </w:r>
    </w:p>
    <w:p w14:paraId="62F95EDE"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Cultural exchange is a key aspect of linguistic interactions. Communication with native speakers deepens understanding of the culture, traditions and customs of another country, which in turn contributes to the development of intercultural competence. In the context of globalization, this skill is becoming especially relevant. Language exchange platforms such as Tandem and HelloTalk provide opportunities to discuss cultural topics, which enriches the participants' experience and makes the language learning process more exciting and multifaceted. It is important to note that "learning is a two–way road" (New World. A new language. New Thinking, 2021. 290 p.), which emphasizes the importance of mutual exchange of knowledge and cultural experience in the process of language learning.</w:t>
      </w:r>
    </w:p>
    <w:p w14:paraId="13B9684E" w14:textId="77777777" w:rsidR="000E5581" w:rsidRPr="000E5581" w:rsidRDefault="000E5581" w:rsidP="00336550">
      <w:pPr>
        <w:spacing w:after="0" w:line="240" w:lineRule="auto"/>
        <w:ind w:firstLine="709"/>
        <w:jc w:val="both"/>
        <w:rPr>
          <w:rFonts w:ascii="Times New Roman" w:eastAsia="DengXian" w:hAnsi="Times New Roman" w:cs="Times New Roman"/>
          <w:color w:val="000000"/>
          <w:sz w:val="32"/>
          <w:szCs w:val="32"/>
          <w:lang w:val="en-US" w:eastAsia="ru-RU"/>
        </w:rPr>
      </w:pPr>
      <w:r w:rsidRPr="000E5581">
        <w:rPr>
          <w:rFonts w:ascii="Times New Roman" w:eastAsia="DengXian" w:hAnsi="Times New Roman" w:cs="Times New Roman"/>
          <w:color w:val="000000"/>
          <w:sz w:val="32"/>
          <w:szCs w:val="32"/>
          <w:lang w:val="en-US" w:eastAsia="ru-RU"/>
        </w:rPr>
        <w:t xml:space="preserve">Modern technologies provide many opportunities for learning English over the Internet. The main methods include online courses, mobile applications, language exchanges, and interactive platforms. Online courses such as Coursera or Udemy offer structured materials with video lectures and assignments. Mobile applications, such as Duolingo, provide users with a convenient format for learning a language at any time. Language exchanges implemented through platforms such as Tandem allow you to practice spoken English with native speakers. Interactive platforms such as Quizlet provide opportunities for active participation through games and exercises. These methods vary in their target audience, level of complexity, </w:t>
      </w:r>
      <w:r w:rsidRPr="000E5581">
        <w:rPr>
          <w:rFonts w:ascii="Times New Roman" w:eastAsia="DengXian" w:hAnsi="Times New Roman" w:cs="Times New Roman"/>
          <w:color w:val="000000"/>
          <w:sz w:val="32"/>
          <w:szCs w:val="32"/>
          <w:lang w:val="en-US" w:eastAsia="ru-RU"/>
        </w:rPr>
        <w:lastRenderedPageBreak/>
        <w:t>and presentation format, which makes them universal for different categories of students.</w:t>
      </w:r>
    </w:p>
    <w:p w14:paraId="0B9853C2"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Each of the methods of learning English over the Internet has its advantages and disadvantages. Online courses provide a structured approach, but may be less interactive. Mobile applications are convenient and accessible, but they are often limited in the depth of the material being studied. Language exchanges offer the opportunity to communicate with native speakers, but depend on the regularity of interactions. Interactive platforms such as Quizlet are effective for repetition and consolidation of knowledge, but they may not cover all aspects of the language. The choice of the appropriate method depends on the goals and preferences of the student, as well as on his level of training.</w:t>
      </w:r>
    </w:p>
    <w:p w14:paraId="6DD1FAF6"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Social media provides unique opportunities for language practice due to its accessibility and variety of communication formats. Users can participate in discussions, leave comments, and interact with other community members. It promotes the development of writing and speaking skills, as well as helps to get used to using the language in real situations. According to a Pew Research Center study, about 73% of social media users use these platforms to communicate and share information, making them an ideal environment for language practice.</w:t>
      </w:r>
    </w:p>
    <w:p w14:paraId="2B95A621"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One of the most significant advantages of social media is the ability to interact with native speakers. Platforms such as Tandem provide users with the opportunity to find partners for language exchange, which helps improve conversational skills and cultural understanding. These interactions immerse language learners in the natural language environment, which significantly speeds up the learning process.</w:t>
      </w:r>
    </w:p>
    <w:p w14:paraId="27131615"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Using social media to learn a language provides many advantages, but requires a critical approach to information. Not all content on these platforms is of high quality or reliable. Users should be able to filter information, determine its reliability, and avoid spreading errors. In this context, "the global Internet creates conditions for obtaining any information necessary for students and teachers, located anywhere in the world: regional studies, news from the life of young people, articles from newspapers and magazines, necessary literature, etc." (Asafova et al., 2005. 25 p.).</w:t>
      </w:r>
    </w:p>
    <w:p w14:paraId="2242F228"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p>
    <w:p w14:paraId="7D50A9CA"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 xml:space="preserve">Forums play an important role in learning English by providing users with a platform to discuss language issues and share knowledge. They allow you to ask questions, get answers from more experienced participants, and </w:t>
      </w:r>
      <w:r w:rsidRPr="000E5581">
        <w:rPr>
          <w:rFonts w:ascii="Times New Roman" w:eastAsia="DengXian" w:hAnsi="Times New Roman" w:cs="Times New Roman"/>
          <w:kern w:val="2"/>
          <w:sz w:val="32"/>
          <w:szCs w:val="32"/>
          <w:lang w:val="en-US" w:eastAsia="ru-RU"/>
          <w14:ligatures w14:val="standardContextual"/>
        </w:rPr>
        <w:lastRenderedPageBreak/>
        <w:t>share your findings. For example, forums such as r/languagelearning on the Reddit platform provide specialized subsections where participants share tips and materials, contributing to in-depth language learning.</w:t>
      </w:r>
    </w:p>
    <w:p w14:paraId="1A8EB29B"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Online forums contribute to the creation of communities that bring together people learning English. These communities also support participants in the learning process. A Pew Research Center study shows that 74% of Internet users participate in such communities, which indicates their popularity and importance for educational purposes. Students, having access to the Internet, can acquire knowledge without restrictions in time and space, which makes them more independent and flexible in choosing the content and methods of teaching (Kovalenko, [B. G.]. 1 p.). Thus, online communities become an important tool for improving the educational process and increasing motivation students.</w:t>
      </w:r>
    </w:p>
    <w:p w14:paraId="6F66A079"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Due to the rapid development of digital technologies and the increasing availability of the Internet, choosing the right online resource for learning English is becoming an important task. According to a study by Statista, in 2021, about 1.2 billion people used digital educational tools, which confirms their popularity and importance. To make the right choice, you need to consider several key criteria. Firstly, it is the quality of the content: the materials must be relevant and correspond to the user's level of knowledge. Secondly, the availability of the cost and technical requirements of the resource is important. Finally, user-friendliness, which includes an intuitive interface and user support, plays a significant role in ensuring successful learning. Considering these aspects, you can choose the most appropriate tool that will contribute to the effective learning of English.</w:t>
      </w:r>
    </w:p>
    <w:p w14:paraId="2F501A29"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 xml:space="preserve">Modern approaches to language learning in an online environment are increasingly focusing on the individualization and adaptation of the learning process. Instead of traditional methods, the focus is on interactive tasks that </w:t>
      </w:r>
      <w:proofErr w:type="gramStart"/>
      <w:r w:rsidRPr="000E5581">
        <w:rPr>
          <w:rFonts w:ascii="Times New Roman" w:eastAsia="DengXian" w:hAnsi="Times New Roman" w:cs="Times New Roman"/>
          <w:kern w:val="2"/>
          <w:sz w:val="32"/>
          <w:szCs w:val="32"/>
          <w:lang w:val="en-US" w:eastAsia="ru-RU"/>
          <w14:ligatures w14:val="standardContextual"/>
        </w:rPr>
        <w:t>take into account</w:t>
      </w:r>
      <w:proofErr w:type="gramEnd"/>
      <w:r w:rsidRPr="000E5581">
        <w:rPr>
          <w:rFonts w:ascii="Times New Roman" w:eastAsia="DengXian" w:hAnsi="Times New Roman" w:cs="Times New Roman"/>
          <w:kern w:val="2"/>
          <w:sz w:val="32"/>
          <w:szCs w:val="32"/>
          <w:lang w:val="en-US" w:eastAsia="ru-RU"/>
          <w14:ligatures w14:val="standardContextual"/>
        </w:rPr>
        <w:t xml:space="preserve"> the level of knowledge and personal interests of students. Platforms offering adaptive learning automatically adjust the course content to the user's needs, making the learning process more efficient. At the same time, teachers are beginning to use new methods of information dissemination. For example, they are more actively using online platforms focused on game-based learning, which allows them to convey the content of teaching in a fun way.</w:t>
      </w:r>
    </w:p>
    <w:p w14:paraId="2F0851CA"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 xml:space="preserve">Artificial intelligence (AI) is becoming an important tool in online education, especially in language learning. AI-powered platforms are able to analyze student behavior, identify their strengths and weaknesses, and offer personalized recommendations. AI-enabled chatbots, for example, can </w:t>
      </w:r>
      <w:r w:rsidRPr="000E5581">
        <w:rPr>
          <w:rFonts w:ascii="Times New Roman" w:eastAsia="DengXian" w:hAnsi="Times New Roman" w:cs="Times New Roman"/>
          <w:kern w:val="2"/>
          <w:sz w:val="32"/>
          <w:szCs w:val="32"/>
          <w:lang w:val="en-US" w:eastAsia="ru-RU"/>
          <w14:ligatures w14:val="standardContextual"/>
        </w:rPr>
        <w:lastRenderedPageBreak/>
        <w:t>conduct dialogues in English, which contributes to the development of conversational skills.</w:t>
      </w:r>
    </w:p>
    <w:p w14:paraId="6D368361" w14:textId="77777777" w:rsidR="000E5581" w:rsidRPr="000E5581" w:rsidRDefault="000E5581" w:rsidP="00336550">
      <w:pPr>
        <w:spacing w:after="0" w:line="240" w:lineRule="auto"/>
        <w:ind w:firstLine="709"/>
        <w:jc w:val="both"/>
        <w:rPr>
          <w:rFonts w:ascii="Times New Roman" w:eastAsia="DengXian" w:hAnsi="Times New Roman" w:cs="Times New Roman"/>
          <w:kern w:val="2"/>
          <w:sz w:val="32"/>
          <w:szCs w:val="32"/>
          <w:lang w:val="en-US" w:eastAsia="ru-RU"/>
          <w14:ligatures w14:val="standardContextual"/>
        </w:rPr>
      </w:pPr>
      <w:r w:rsidRPr="000E5581">
        <w:rPr>
          <w:rFonts w:ascii="Times New Roman" w:eastAsia="DengXian" w:hAnsi="Times New Roman" w:cs="Times New Roman"/>
          <w:kern w:val="2"/>
          <w:sz w:val="32"/>
          <w:szCs w:val="32"/>
          <w:lang w:val="en-US" w:eastAsia="ru-RU"/>
          <w14:ligatures w14:val="standardContextual"/>
        </w:rPr>
        <w:t>Thus, the Internet provides unique opportunities for learning English, combining convenience, innovation and access to a variety of resources. However, to achieve the best result, it is important to consider both the advantages and limitations of these methods, which requires further study and improvement of approaches.</w:t>
      </w:r>
    </w:p>
    <w:p w14:paraId="31A3F2F0" w14:textId="77777777" w:rsidR="00336550" w:rsidRPr="00C30970" w:rsidRDefault="00336550" w:rsidP="000E5581">
      <w:pPr>
        <w:spacing w:before="75" w:after="75" w:line="240" w:lineRule="auto"/>
        <w:jc w:val="both"/>
        <w:rPr>
          <w:rFonts w:ascii="Times New Roman" w:eastAsia="DengXian" w:hAnsi="Times New Roman" w:cs="Times New Roman"/>
          <w:b/>
          <w:bCs/>
          <w:color w:val="000000"/>
          <w:sz w:val="21"/>
          <w:szCs w:val="21"/>
          <w:lang w:val="en-US" w:eastAsia="ru-RU"/>
        </w:rPr>
      </w:pPr>
    </w:p>
    <w:p w14:paraId="4240EB88" w14:textId="3F6FAE40" w:rsidR="000E5581" w:rsidRPr="000E5581" w:rsidRDefault="00336550" w:rsidP="00336550">
      <w:pPr>
        <w:spacing w:before="75" w:after="75" w:line="240" w:lineRule="auto"/>
        <w:jc w:val="center"/>
        <w:rPr>
          <w:rFonts w:ascii="Times New Roman" w:eastAsia="DengXian" w:hAnsi="Times New Roman" w:cs="Times New Roman"/>
          <w:color w:val="000000"/>
          <w:sz w:val="21"/>
          <w:szCs w:val="21"/>
          <w:lang w:eastAsia="ru-RU"/>
        </w:rPr>
      </w:pPr>
      <w:r>
        <w:rPr>
          <w:rFonts w:ascii="Times New Roman" w:eastAsia="DengXian" w:hAnsi="Times New Roman" w:cs="Times New Roman"/>
          <w:b/>
          <w:bCs/>
          <w:color w:val="000000"/>
          <w:sz w:val="21"/>
          <w:szCs w:val="21"/>
          <w:lang w:eastAsia="ru-RU"/>
        </w:rPr>
        <w:t>Л</w:t>
      </w:r>
      <w:r w:rsidR="000E5581" w:rsidRPr="000E5581">
        <w:rPr>
          <w:rFonts w:ascii="Times New Roman" w:eastAsia="DengXian" w:hAnsi="Times New Roman" w:cs="Times New Roman"/>
          <w:b/>
          <w:bCs/>
          <w:color w:val="000000"/>
          <w:sz w:val="21"/>
          <w:szCs w:val="21"/>
          <w:lang w:eastAsia="ru-RU"/>
        </w:rPr>
        <w:t>итератур</w:t>
      </w:r>
      <w:r>
        <w:rPr>
          <w:rFonts w:ascii="Times New Roman" w:eastAsia="DengXian" w:hAnsi="Times New Roman" w:cs="Times New Roman"/>
          <w:b/>
          <w:bCs/>
          <w:color w:val="000000"/>
          <w:sz w:val="21"/>
          <w:szCs w:val="21"/>
          <w:lang w:eastAsia="ru-RU"/>
        </w:rPr>
        <w:t>а:</w:t>
      </w:r>
    </w:p>
    <w:p w14:paraId="4F9888C9" w14:textId="77777777" w:rsidR="000E5581" w:rsidRPr="000E5581" w:rsidRDefault="000E5581" w:rsidP="000E5581">
      <w:pPr>
        <w:spacing w:after="75" w:line="240" w:lineRule="auto"/>
        <w:ind w:hanging="270"/>
        <w:jc w:val="both"/>
        <w:rPr>
          <w:rFonts w:ascii="Times New Roman" w:eastAsia="Times New Roman" w:hAnsi="Times New Roman" w:cs="Times New Roman"/>
          <w:color w:val="000000"/>
          <w:sz w:val="21"/>
          <w:szCs w:val="21"/>
          <w:lang w:eastAsia="ru-RU"/>
        </w:rPr>
      </w:pPr>
      <w:r w:rsidRPr="000E5581">
        <w:rPr>
          <w:rFonts w:ascii="Times New Roman" w:eastAsia="Times New Roman" w:hAnsi="Times New Roman" w:cs="Times New Roman"/>
          <w:color w:val="000000"/>
          <w:sz w:val="21"/>
          <w:szCs w:val="21"/>
          <w:lang w:eastAsia="ru-RU"/>
        </w:rPr>
        <w:t>1. Актуальные научные исследования: от теории к практике: сборник материалов LIX-ой международной очно-заочной научно-практической конференции, в 4 т., том 1 / под ред. Бурмистрова Н.В. — М.: Издательство НИЦ «Империя», 2025. — 218 с.</w:t>
      </w:r>
    </w:p>
    <w:p w14:paraId="29C472B1" w14:textId="77777777" w:rsidR="000E5581" w:rsidRPr="000E5581" w:rsidRDefault="000E5581" w:rsidP="000E5581">
      <w:pPr>
        <w:spacing w:after="75" w:line="240" w:lineRule="auto"/>
        <w:ind w:hanging="270"/>
        <w:jc w:val="both"/>
        <w:rPr>
          <w:rFonts w:ascii="Times New Roman" w:eastAsia="Times New Roman" w:hAnsi="Times New Roman" w:cs="Times New Roman"/>
          <w:color w:val="000000"/>
          <w:sz w:val="21"/>
          <w:szCs w:val="21"/>
          <w:lang w:eastAsia="ru-RU"/>
        </w:rPr>
      </w:pPr>
      <w:r w:rsidRPr="000E5581">
        <w:rPr>
          <w:rFonts w:ascii="Times New Roman" w:eastAsia="Times New Roman" w:hAnsi="Times New Roman" w:cs="Times New Roman"/>
          <w:color w:val="000000"/>
          <w:sz w:val="21"/>
          <w:szCs w:val="21"/>
          <w:lang w:eastAsia="ru-RU"/>
        </w:rPr>
        <w:t>2. Белянская С.В., Салынова О.В. Совмещение учёбы и изучения английского языка // Международный научный журнал "Флагман науки". — 2024. — № 10(21). — С. [б. с.].</w:t>
      </w:r>
    </w:p>
    <w:p w14:paraId="7070CAD0" w14:textId="77777777" w:rsidR="000E5581" w:rsidRPr="000E5581" w:rsidRDefault="000E5581" w:rsidP="000E5581">
      <w:pPr>
        <w:spacing w:after="75" w:line="240" w:lineRule="auto"/>
        <w:ind w:hanging="270"/>
        <w:jc w:val="both"/>
        <w:rPr>
          <w:rFonts w:ascii="Times New Roman" w:eastAsia="Times New Roman" w:hAnsi="Times New Roman" w:cs="Times New Roman"/>
          <w:color w:val="000000"/>
          <w:sz w:val="21"/>
          <w:szCs w:val="21"/>
          <w:lang w:eastAsia="ru-RU"/>
        </w:rPr>
      </w:pPr>
      <w:r w:rsidRPr="000E5581">
        <w:rPr>
          <w:rFonts w:ascii="Times New Roman" w:eastAsia="Times New Roman" w:hAnsi="Times New Roman" w:cs="Times New Roman"/>
          <w:color w:val="000000"/>
          <w:sz w:val="21"/>
          <w:szCs w:val="21"/>
          <w:lang w:eastAsia="ru-RU"/>
        </w:rPr>
        <w:t>3. Вариативность и стандартизация языкового образования в неязыковом вузе: Сборник статей по материалам IV Международной научно-практической конференции, 27–28 апреля 2021 года / Под ред. М.В. Золотовой. – Н. Новгород: Нижегородский госуниверситет им. Н.И. Лобачевского, 2021. – 268 с.</w:t>
      </w:r>
    </w:p>
    <w:p w14:paraId="32217796" w14:textId="77777777" w:rsidR="000E5581" w:rsidRPr="000E5581" w:rsidRDefault="000E5581" w:rsidP="000E5581">
      <w:pPr>
        <w:spacing w:after="75" w:line="240" w:lineRule="auto"/>
        <w:ind w:hanging="270"/>
        <w:jc w:val="both"/>
        <w:rPr>
          <w:rFonts w:ascii="Times New Roman" w:eastAsia="Times New Roman" w:hAnsi="Times New Roman" w:cs="Times New Roman"/>
          <w:color w:val="000000"/>
          <w:sz w:val="21"/>
          <w:szCs w:val="21"/>
          <w:lang w:eastAsia="ru-RU"/>
        </w:rPr>
      </w:pPr>
      <w:r w:rsidRPr="000E5581">
        <w:rPr>
          <w:rFonts w:ascii="Times New Roman" w:eastAsia="Times New Roman" w:hAnsi="Times New Roman" w:cs="Times New Roman"/>
          <w:color w:val="000000"/>
          <w:sz w:val="21"/>
          <w:szCs w:val="21"/>
          <w:lang w:eastAsia="ru-RU"/>
        </w:rPr>
        <w:t>4. Изжанов Е. А. Инновационные технологии на уроках английского языка // [б. и.]. — [б. м.], [б. г.]. — [б. с.].</w:t>
      </w:r>
    </w:p>
    <w:p w14:paraId="7B9026C2" w14:textId="60FADCAC" w:rsidR="00E043DB" w:rsidRDefault="000E5581" w:rsidP="00E043DB">
      <w:pPr>
        <w:spacing w:after="75" w:line="240" w:lineRule="auto"/>
        <w:ind w:hanging="270"/>
        <w:jc w:val="both"/>
        <w:rPr>
          <w:rFonts w:ascii="Times New Roman" w:eastAsia="Times New Roman" w:hAnsi="Times New Roman" w:cs="Times New Roman"/>
          <w:color w:val="000000"/>
          <w:sz w:val="21"/>
          <w:szCs w:val="21"/>
          <w:lang w:eastAsia="ru-RU"/>
        </w:rPr>
      </w:pPr>
      <w:r w:rsidRPr="000E5581">
        <w:rPr>
          <w:rFonts w:ascii="Times New Roman" w:eastAsia="Times New Roman" w:hAnsi="Times New Roman" w:cs="Times New Roman"/>
          <w:color w:val="000000"/>
          <w:sz w:val="21"/>
          <w:szCs w:val="21"/>
          <w:lang w:eastAsia="ru-RU"/>
        </w:rPr>
        <w:t>5. Иманалиева Чинара Анваровна, Касымова Ася Набиевна. Применение инноваций в обучении английскому языку // Образование. — 2023. — № 1. — С. 112–113.</w:t>
      </w:r>
    </w:p>
    <w:p w14:paraId="34FB9305" w14:textId="77777777" w:rsidR="00E043DB" w:rsidRDefault="00E043DB" w:rsidP="00E043DB">
      <w:pPr>
        <w:spacing w:after="75" w:line="240" w:lineRule="auto"/>
        <w:ind w:hanging="270"/>
        <w:jc w:val="both"/>
        <w:rPr>
          <w:rFonts w:ascii="Times New Roman" w:eastAsia="Times New Roman" w:hAnsi="Times New Roman" w:cs="Times New Roman"/>
          <w:color w:val="000000"/>
          <w:sz w:val="21"/>
          <w:szCs w:val="21"/>
          <w:lang w:eastAsia="ru-RU"/>
        </w:rPr>
      </w:pPr>
    </w:p>
    <w:p w14:paraId="7E6CF17F" w14:textId="77777777" w:rsidR="00E043DB" w:rsidRPr="00E043DB" w:rsidRDefault="00E043DB" w:rsidP="00E043DB">
      <w:pPr>
        <w:spacing w:after="75" w:line="240" w:lineRule="auto"/>
        <w:ind w:hanging="270"/>
        <w:jc w:val="both"/>
        <w:rPr>
          <w:rFonts w:ascii="Times New Roman" w:eastAsia="Times New Roman" w:hAnsi="Times New Roman" w:cs="Times New Roman"/>
          <w:b/>
          <w:color w:val="000000"/>
          <w:sz w:val="21"/>
          <w:szCs w:val="21"/>
          <w:lang w:eastAsia="ru-RU"/>
        </w:rPr>
      </w:pPr>
      <w:r w:rsidRPr="00E043DB">
        <w:rPr>
          <w:rFonts w:ascii="Times New Roman" w:eastAsia="Times New Roman" w:hAnsi="Times New Roman" w:cs="Times New Roman"/>
          <w:b/>
          <w:color w:val="000000"/>
          <w:sz w:val="21"/>
          <w:szCs w:val="21"/>
          <w:lang w:eastAsia="ru-RU"/>
        </w:rPr>
        <w:t>УДК 338</w:t>
      </w:r>
    </w:p>
    <w:p w14:paraId="3479A1B4" w14:textId="67EB39F4"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b/>
          <w:i/>
          <w:color w:val="000000"/>
          <w:sz w:val="21"/>
          <w:szCs w:val="21"/>
          <w:lang w:eastAsia="ru-RU"/>
        </w:rPr>
        <w:t xml:space="preserve">Камкия С.Т., </w:t>
      </w:r>
    </w:p>
    <w:p w14:paraId="393D46F0"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i/>
          <w:color w:val="000000"/>
          <w:sz w:val="21"/>
          <w:szCs w:val="21"/>
          <w:lang w:eastAsia="ru-RU"/>
        </w:rPr>
        <w:t xml:space="preserve">студентка 1 курса </w:t>
      </w:r>
    </w:p>
    <w:p w14:paraId="3A754FDC" w14:textId="77777777" w:rsidR="009A4E6A" w:rsidRPr="0001591D" w:rsidRDefault="009A4E6A"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41DCFC2"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i/>
          <w:color w:val="000000"/>
          <w:sz w:val="21"/>
          <w:szCs w:val="21"/>
          <w:lang w:eastAsia="ru-RU"/>
        </w:rPr>
        <w:t>г. Краснодар, Россия</w:t>
      </w:r>
    </w:p>
    <w:p w14:paraId="26B80BB0"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i/>
          <w:color w:val="000000"/>
          <w:sz w:val="21"/>
          <w:szCs w:val="21"/>
          <w:lang w:eastAsia="ru-RU"/>
        </w:rPr>
        <w:t>е-</w:t>
      </w:r>
      <w:r w:rsidRPr="00E043DB">
        <w:rPr>
          <w:rFonts w:ascii="Times New Roman" w:eastAsia="Times New Roman" w:hAnsi="Times New Roman" w:cs="Times New Roman"/>
          <w:i/>
          <w:color w:val="000000"/>
          <w:sz w:val="21"/>
          <w:szCs w:val="21"/>
          <w:lang w:val="en-US" w:eastAsia="ru-RU"/>
        </w:rPr>
        <w:t>mail</w:t>
      </w:r>
      <w:r w:rsidRPr="00E043DB">
        <w:rPr>
          <w:rFonts w:ascii="Times New Roman" w:eastAsia="Times New Roman" w:hAnsi="Times New Roman" w:cs="Times New Roman"/>
          <w:i/>
          <w:color w:val="000000"/>
          <w:sz w:val="21"/>
          <w:szCs w:val="21"/>
          <w:lang w:eastAsia="ru-RU"/>
        </w:rPr>
        <w:t xml:space="preserve">: </w:t>
      </w:r>
      <w:r w:rsidRPr="00E043DB">
        <w:rPr>
          <w:rFonts w:ascii="Times New Roman" w:eastAsia="Times New Roman" w:hAnsi="Times New Roman" w:cs="Times New Roman"/>
          <w:i/>
          <w:color w:val="000000"/>
          <w:sz w:val="21"/>
          <w:szCs w:val="21"/>
          <w:lang w:val="en-US" w:eastAsia="ru-RU"/>
        </w:rPr>
        <w:t>lalalatralala</w:t>
      </w:r>
      <w:r w:rsidRPr="00E043DB">
        <w:rPr>
          <w:rFonts w:ascii="Times New Roman" w:eastAsia="Times New Roman" w:hAnsi="Times New Roman" w:cs="Times New Roman"/>
          <w:i/>
          <w:color w:val="000000"/>
          <w:sz w:val="21"/>
          <w:szCs w:val="21"/>
          <w:lang w:eastAsia="ru-RU"/>
        </w:rPr>
        <w:t>12345678910@</w:t>
      </w:r>
      <w:r w:rsidRPr="00E043DB">
        <w:rPr>
          <w:rFonts w:ascii="Times New Roman" w:eastAsia="Times New Roman" w:hAnsi="Times New Roman" w:cs="Times New Roman"/>
          <w:i/>
          <w:color w:val="000000"/>
          <w:sz w:val="21"/>
          <w:szCs w:val="21"/>
          <w:lang w:val="en-US" w:eastAsia="ru-RU"/>
        </w:rPr>
        <w:t>mail</w:t>
      </w:r>
      <w:r w:rsidRPr="00E043DB">
        <w:rPr>
          <w:rFonts w:ascii="Times New Roman" w:eastAsia="Times New Roman" w:hAnsi="Times New Roman" w:cs="Times New Roman"/>
          <w:i/>
          <w:color w:val="000000"/>
          <w:sz w:val="21"/>
          <w:szCs w:val="21"/>
          <w:lang w:eastAsia="ru-RU"/>
        </w:rPr>
        <w:t>.</w:t>
      </w:r>
      <w:r w:rsidRPr="00E043DB">
        <w:rPr>
          <w:rFonts w:ascii="Times New Roman" w:eastAsia="Times New Roman" w:hAnsi="Times New Roman" w:cs="Times New Roman"/>
          <w:i/>
          <w:color w:val="000000"/>
          <w:sz w:val="21"/>
          <w:szCs w:val="21"/>
          <w:lang w:val="en-US" w:eastAsia="ru-RU"/>
        </w:rPr>
        <w:t>ru</w:t>
      </w:r>
    </w:p>
    <w:p w14:paraId="7DA519FA"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p>
    <w:p w14:paraId="41E2911E" w14:textId="77777777" w:rsidR="00E043DB" w:rsidRPr="00E043DB" w:rsidRDefault="00E043DB" w:rsidP="002C3437">
      <w:pPr>
        <w:spacing w:after="0" w:line="240" w:lineRule="auto"/>
        <w:jc w:val="right"/>
        <w:rPr>
          <w:rFonts w:ascii="Times New Roman" w:eastAsia="Times New Roman" w:hAnsi="Times New Roman" w:cs="Times New Roman"/>
          <w:b/>
          <w:i/>
          <w:color w:val="000000"/>
          <w:sz w:val="21"/>
          <w:szCs w:val="21"/>
          <w:lang w:eastAsia="ru-RU"/>
        </w:rPr>
      </w:pPr>
      <w:r w:rsidRPr="00E043DB">
        <w:rPr>
          <w:rFonts w:ascii="Times New Roman" w:eastAsia="Times New Roman" w:hAnsi="Times New Roman" w:cs="Times New Roman"/>
          <w:b/>
          <w:i/>
          <w:color w:val="000000"/>
          <w:sz w:val="21"/>
          <w:szCs w:val="21"/>
          <w:lang w:eastAsia="ru-RU"/>
        </w:rPr>
        <w:t>Научный руководитель:</w:t>
      </w:r>
    </w:p>
    <w:p w14:paraId="2BE60B22" w14:textId="461B2420" w:rsidR="00E043DB" w:rsidRPr="00E043DB" w:rsidRDefault="00E043DB" w:rsidP="002C3437">
      <w:pPr>
        <w:spacing w:after="0" w:line="240" w:lineRule="auto"/>
        <w:jc w:val="right"/>
        <w:rPr>
          <w:rFonts w:ascii="Times New Roman" w:eastAsia="Times New Roman" w:hAnsi="Times New Roman" w:cs="Times New Roman"/>
          <w:b/>
          <w:i/>
          <w:color w:val="000000"/>
          <w:sz w:val="21"/>
          <w:szCs w:val="21"/>
          <w:lang w:eastAsia="ru-RU"/>
        </w:rPr>
      </w:pPr>
      <w:r w:rsidRPr="00E043DB">
        <w:rPr>
          <w:rFonts w:ascii="Times New Roman" w:eastAsia="Times New Roman" w:hAnsi="Times New Roman" w:cs="Times New Roman"/>
          <w:b/>
          <w:i/>
          <w:color w:val="000000"/>
          <w:sz w:val="21"/>
          <w:szCs w:val="21"/>
          <w:lang w:eastAsia="ru-RU"/>
        </w:rPr>
        <w:t>Липеева И.Ю.,</w:t>
      </w:r>
    </w:p>
    <w:p w14:paraId="3345EC06" w14:textId="77777777" w:rsidR="00E043DB" w:rsidRPr="00E043DB" w:rsidRDefault="00E043DB" w:rsidP="002C3437">
      <w:pPr>
        <w:spacing w:after="0" w:line="240" w:lineRule="auto"/>
        <w:jc w:val="right"/>
        <w:rPr>
          <w:rFonts w:ascii="Times New Roman" w:eastAsia="Times New Roman" w:hAnsi="Times New Roman" w:cs="Times New Roman"/>
          <w:bCs/>
          <w:i/>
          <w:color w:val="000000"/>
          <w:sz w:val="21"/>
          <w:szCs w:val="21"/>
          <w:lang w:eastAsia="ru-RU"/>
        </w:rPr>
      </w:pPr>
      <w:r w:rsidRPr="00E043DB">
        <w:rPr>
          <w:rFonts w:ascii="Times New Roman" w:eastAsia="Times New Roman" w:hAnsi="Times New Roman" w:cs="Times New Roman"/>
          <w:bCs/>
          <w:i/>
          <w:color w:val="000000"/>
          <w:sz w:val="21"/>
          <w:szCs w:val="21"/>
          <w:lang w:eastAsia="ru-RU"/>
        </w:rPr>
        <w:t>кандидат филологических наук,</w:t>
      </w:r>
    </w:p>
    <w:p w14:paraId="1C7C5F66" w14:textId="77777777" w:rsidR="00E043DB" w:rsidRPr="00E043DB" w:rsidRDefault="00E043DB" w:rsidP="002C3437">
      <w:pPr>
        <w:spacing w:after="0" w:line="240" w:lineRule="auto"/>
        <w:jc w:val="right"/>
        <w:rPr>
          <w:rFonts w:ascii="Times New Roman" w:eastAsia="Times New Roman" w:hAnsi="Times New Roman" w:cs="Times New Roman"/>
          <w:bCs/>
          <w:i/>
          <w:color w:val="000000"/>
          <w:sz w:val="21"/>
          <w:szCs w:val="21"/>
          <w:lang w:eastAsia="ru-RU"/>
        </w:rPr>
      </w:pPr>
      <w:r w:rsidRPr="00E043DB">
        <w:rPr>
          <w:rFonts w:ascii="Times New Roman" w:eastAsia="Times New Roman" w:hAnsi="Times New Roman" w:cs="Times New Roman"/>
          <w:bCs/>
          <w:i/>
          <w:color w:val="000000"/>
          <w:sz w:val="21"/>
          <w:szCs w:val="21"/>
          <w:lang w:eastAsia="ru-RU"/>
        </w:rPr>
        <w:t xml:space="preserve"> доцент кафедры философии, истории и права</w:t>
      </w:r>
    </w:p>
    <w:p w14:paraId="4307C06C" w14:textId="77777777" w:rsidR="009A4E6A" w:rsidRPr="0001591D" w:rsidRDefault="009A4E6A"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2ECA9B91"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i/>
          <w:color w:val="000000"/>
          <w:sz w:val="21"/>
          <w:szCs w:val="21"/>
          <w:lang w:eastAsia="ru-RU"/>
        </w:rPr>
        <w:t>г. Краснодар, Россия</w:t>
      </w:r>
    </w:p>
    <w:p w14:paraId="2DBEE23E" w14:textId="77777777" w:rsidR="00E043DB" w:rsidRPr="00E043DB" w:rsidRDefault="00E043DB" w:rsidP="002C3437">
      <w:pPr>
        <w:spacing w:after="0" w:line="240" w:lineRule="auto"/>
        <w:jc w:val="right"/>
        <w:rPr>
          <w:rFonts w:ascii="Times New Roman" w:eastAsia="Times New Roman" w:hAnsi="Times New Roman" w:cs="Times New Roman"/>
          <w:i/>
          <w:color w:val="000000"/>
          <w:sz w:val="21"/>
          <w:szCs w:val="21"/>
          <w:lang w:val="x-none" w:eastAsia="ru-RU"/>
        </w:rPr>
      </w:pPr>
      <w:r w:rsidRPr="00E043DB">
        <w:rPr>
          <w:rFonts w:ascii="Times New Roman" w:eastAsia="Times New Roman" w:hAnsi="Times New Roman" w:cs="Times New Roman"/>
          <w:i/>
          <w:color w:val="000000"/>
          <w:sz w:val="21"/>
          <w:szCs w:val="21"/>
          <w:lang w:eastAsia="ru-RU"/>
        </w:rPr>
        <w:t>е-</w:t>
      </w:r>
      <w:r w:rsidRPr="00E043DB">
        <w:rPr>
          <w:rFonts w:ascii="Times New Roman" w:eastAsia="Times New Roman" w:hAnsi="Times New Roman" w:cs="Times New Roman"/>
          <w:i/>
          <w:color w:val="000000"/>
          <w:sz w:val="21"/>
          <w:szCs w:val="21"/>
          <w:lang w:val="en-US" w:eastAsia="ru-RU"/>
        </w:rPr>
        <w:t>mail</w:t>
      </w:r>
      <w:r w:rsidRPr="00E043DB">
        <w:rPr>
          <w:rFonts w:ascii="Times New Roman" w:eastAsia="Times New Roman" w:hAnsi="Times New Roman" w:cs="Times New Roman"/>
          <w:i/>
          <w:color w:val="000000"/>
          <w:sz w:val="21"/>
          <w:szCs w:val="21"/>
          <w:lang w:eastAsia="ru-RU"/>
        </w:rPr>
        <w:t xml:space="preserve">: </w:t>
      </w:r>
      <w:r w:rsidRPr="00E043DB">
        <w:rPr>
          <w:rFonts w:ascii="Times New Roman" w:eastAsia="Times New Roman" w:hAnsi="Times New Roman" w:cs="Times New Roman"/>
          <w:i/>
          <w:color w:val="000000"/>
          <w:sz w:val="21"/>
          <w:szCs w:val="21"/>
          <w:lang w:val="x-none" w:eastAsia="ru-RU"/>
        </w:rPr>
        <w:t>iylipeeva@fa.ru</w:t>
      </w:r>
    </w:p>
    <w:p w14:paraId="0EFA32D4" w14:textId="77777777" w:rsidR="00E043DB" w:rsidRPr="00E043DB" w:rsidRDefault="00E043DB" w:rsidP="002C3437">
      <w:pPr>
        <w:spacing w:after="0" w:line="240" w:lineRule="auto"/>
        <w:jc w:val="both"/>
        <w:rPr>
          <w:rFonts w:ascii="Times New Roman" w:eastAsia="Times New Roman" w:hAnsi="Times New Roman" w:cs="Times New Roman"/>
          <w:b/>
          <w:color w:val="000000"/>
          <w:sz w:val="21"/>
          <w:szCs w:val="21"/>
          <w:lang w:eastAsia="ru-RU"/>
        </w:rPr>
      </w:pPr>
    </w:p>
    <w:p w14:paraId="2F7C9B60" w14:textId="77777777" w:rsidR="00E043DB" w:rsidRPr="00E043DB" w:rsidRDefault="00E043DB" w:rsidP="00B54FE7">
      <w:pPr>
        <w:spacing w:after="0" w:line="240" w:lineRule="auto"/>
        <w:jc w:val="center"/>
        <w:rPr>
          <w:rFonts w:ascii="Times New Roman" w:eastAsia="Times New Roman" w:hAnsi="Times New Roman" w:cs="Times New Roman"/>
          <w:i/>
          <w:color w:val="000000"/>
          <w:sz w:val="21"/>
          <w:szCs w:val="21"/>
          <w:lang w:eastAsia="ru-RU"/>
        </w:rPr>
      </w:pPr>
      <w:r w:rsidRPr="00E043DB">
        <w:rPr>
          <w:rFonts w:ascii="Times New Roman" w:eastAsia="Times New Roman" w:hAnsi="Times New Roman" w:cs="Times New Roman"/>
          <w:b/>
          <w:color w:val="000000"/>
          <w:sz w:val="21"/>
          <w:szCs w:val="21"/>
          <w:lang w:eastAsia="ru-RU"/>
        </w:rPr>
        <w:t>Цифровой иммунитет: как технологии поддерживают и преобразовывают экономику в условиях кризиса</w:t>
      </w:r>
    </w:p>
    <w:p w14:paraId="5A6179BB" w14:textId="77777777" w:rsidR="00E043DB" w:rsidRPr="00E043DB" w:rsidRDefault="00E043DB" w:rsidP="002C3437">
      <w:pPr>
        <w:spacing w:after="0" w:line="240" w:lineRule="auto"/>
        <w:jc w:val="both"/>
        <w:rPr>
          <w:rFonts w:ascii="Times New Roman" w:eastAsia="Times New Roman" w:hAnsi="Times New Roman" w:cs="Times New Roman"/>
          <w:i/>
          <w:color w:val="000000"/>
          <w:sz w:val="21"/>
          <w:szCs w:val="21"/>
          <w:lang w:eastAsia="ru-RU"/>
        </w:rPr>
      </w:pPr>
    </w:p>
    <w:p w14:paraId="6887DC30" w14:textId="77777777" w:rsidR="00E043DB" w:rsidRPr="00E043DB" w:rsidRDefault="00E043DB" w:rsidP="00B54FE7">
      <w:pPr>
        <w:spacing w:after="0" w:line="240" w:lineRule="auto"/>
        <w:ind w:firstLine="709"/>
        <w:jc w:val="both"/>
        <w:rPr>
          <w:rFonts w:ascii="Times New Roman" w:eastAsia="Times New Roman" w:hAnsi="Times New Roman" w:cs="Times New Roman"/>
          <w:b/>
          <w:color w:val="000000"/>
          <w:sz w:val="21"/>
          <w:szCs w:val="21"/>
          <w:lang w:eastAsia="ru-RU"/>
        </w:rPr>
      </w:pPr>
      <w:r w:rsidRPr="00E043DB">
        <w:rPr>
          <w:rFonts w:ascii="Times New Roman" w:eastAsia="Times New Roman" w:hAnsi="Times New Roman" w:cs="Times New Roman"/>
          <w:b/>
          <w:color w:val="000000"/>
          <w:sz w:val="21"/>
          <w:szCs w:val="21"/>
          <w:lang w:eastAsia="ru-RU"/>
        </w:rPr>
        <w:t>Аннотация:</w:t>
      </w:r>
      <w:r w:rsidRPr="00E043DB">
        <w:rPr>
          <w:rFonts w:ascii="Times New Roman" w:eastAsia="Times New Roman" w:hAnsi="Times New Roman" w:cs="Times New Roman"/>
          <w:i/>
          <w:color w:val="000000"/>
          <w:sz w:val="21"/>
          <w:szCs w:val="21"/>
          <w:lang w:eastAsia="ru-RU"/>
        </w:rPr>
        <w:t xml:space="preserve"> </w:t>
      </w:r>
      <w:r w:rsidRPr="00E043DB">
        <w:rPr>
          <w:rFonts w:ascii="Times New Roman" w:eastAsia="Times New Roman" w:hAnsi="Times New Roman" w:cs="Times New Roman"/>
          <w:color w:val="000000"/>
          <w:sz w:val="21"/>
          <w:szCs w:val="21"/>
          <w:lang w:eastAsia="ru-RU"/>
        </w:rPr>
        <w:t>В статье исследуется роль цифровизации как ключевого инструмента адаптации экономики в условиях кризисов. Особый акцент сделан на взаимосвязи технологического развития и экономической устойчивости, где цифровизация выступает одновременно и стабилизирующим фактором, и драйвером качественных изменений. Результаты исследования демонстрируют формирование новой парадигмы экономического суверенитета через внедрение цифровых решений.</w:t>
      </w:r>
    </w:p>
    <w:p w14:paraId="3F1714CC" w14:textId="77777777" w:rsidR="00E043DB" w:rsidRPr="00E043DB" w:rsidRDefault="00E043DB" w:rsidP="00B54FE7">
      <w:pPr>
        <w:spacing w:after="0" w:line="240" w:lineRule="auto"/>
        <w:ind w:firstLine="709"/>
        <w:jc w:val="both"/>
        <w:rPr>
          <w:rFonts w:ascii="Times New Roman" w:eastAsia="Times New Roman" w:hAnsi="Times New Roman" w:cs="Times New Roman"/>
          <w:color w:val="000000"/>
          <w:sz w:val="21"/>
          <w:szCs w:val="21"/>
          <w:lang w:eastAsia="ru-RU"/>
        </w:rPr>
      </w:pPr>
      <w:r w:rsidRPr="00E043DB">
        <w:rPr>
          <w:rFonts w:ascii="Times New Roman" w:eastAsia="Times New Roman" w:hAnsi="Times New Roman" w:cs="Times New Roman"/>
          <w:b/>
          <w:color w:val="000000"/>
          <w:sz w:val="21"/>
          <w:szCs w:val="21"/>
          <w:lang w:eastAsia="ru-RU"/>
        </w:rPr>
        <w:t>Ключевые слова:</w:t>
      </w:r>
      <w:r w:rsidRPr="00E043DB">
        <w:rPr>
          <w:rFonts w:ascii="Times New Roman" w:eastAsia="Times New Roman" w:hAnsi="Times New Roman" w:cs="Times New Roman"/>
          <w:color w:val="000000"/>
          <w:sz w:val="21"/>
          <w:szCs w:val="21"/>
          <w:lang w:eastAsia="ru-RU"/>
        </w:rPr>
        <w:t xml:space="preserve"> цифровизация, экономический кризис, цифровая трансформация, устойчивость, технологические инновации, цифровая экономика.</w:t>
      </w:r>
    </w:p>
    <w:p w14:paraId="7385BD82" w14:textId="77777777" w:rsidR="00E043DB" w:rsidRPr="00E043DB" w:rsidRDefault="00E043DB" w:rsidP="002C3437">
      <w:pPr>
        <w:spacing w:after="0" w:line="240" w:lineRule="auto"/>
        <w:jc w:val="both"/>
        <w:rPr>
          <w:rFonts w:ascii="Times New Roman" w:eastAsia="Times New Roman" w:hAnsi="Times New Roman" w:cs="Times New Roman"/>
          <w:color w:val="000000"/>
          <w:sz w:val="21"/>
          <w:szCs w:val="21"/>
          <w:lang w:eastAsia="ru-RU"/>
        </w:rPr>
      </w:pPr>
    </w:p>
    <w:p w14:paraId="6CC4178A" w14:textId="77777777" w:rsidR="00E043DB" w:rsidRPr="00E043DB" w:rsidRDefault="00E043DB" w:rsidP="00DE101A">
      <w:pPr>
        <w:spacing w:after="0" w:line="240" w:lineRule="auto"/>
        <w:jc w:val="right"/>
        <w:rPr>
          <w:rFonts w:ascii="Times New Roman" w:eastAsia="Times New Roman" w:hAnsi="Times New Roman" w:cs="Times New Roman"/>
          <w:b/>
          <w:i/>
          <w:color w:val="000000"/>
          <w:sz w:val="21"/>
          <w:szCs w:val="21"/>
          <w:lang w:eastAsia="ru-RU"/>
        </w:rPr>
      </w:pPr>
    </w:p>
    <w:p w14:paraId="39C7F7F4" w14:textId="77777777" w:rsidR="00E043DB" w:rsidRPr="00E043DB" w:rsidRDefault="00E043DB" w:rsidP="00DE101A">
      <w:pPr>
        <w:spacing w:after="0" w:line="240" w:lineRule="auto"/>
        <w:jc w:val="right"/>
        <w:rPr>
          <w:rFonts w:ascii="Times New Roman" w:eastAsia="Times New Roman" w:hAnsi="Times New Roman" w:cs="Times New Roman"/>
          <w:b/>
          <w:i/>
          <w:color w:val="000000"/>
          <w:sz w:val="21"/>
          <w:szCs w:val="21"/>
          <w:lang w:val="en-US" w:eastAsia="ru-RU"/>
        </w:rPr>
      </w:pPr>
      <w:r w:rsidRPr="00E043DB">
        <w:rPr>
          <w:rFonts w:ascii="Times New Roman" w:eastAsia="Times New Roman" w:hAnsi="Times New Roman" w:cs="Times New Roman"/>
          <w:b/>
          <w:i/>
          <w:color w:val="000000"/>
          <w:sz w:val="21"/>
          <w:szCs w:val="21"/>
          <w:lang w:val="en-US" w:eastAsia="ru-RU"/>
        </w:rPr>
        <w:t>Kamkiya S.T.,</w:t>
      </w:r>
    </w:p>
    <w:p w14:paraId="478017FE" w14:textId="77777777" w:rsidR="00E043DB" w:rsidRPr="00E043DB" w:rsidRDefault="00E043DB" w:rsidP="00DE101A">
      <w:pPr>
        <w:spacing w:after="0" w:line="240" w:lineRule="auto"/>
        <w:jc w:val="right"/>
        <w:rPr>
          <w:rFonts w:ascii="Times New Roman" w:eastAsia="Times New Roman" w:hAnsi="Times New Roman" w:cs="Times New Roman"/>
          <w:b/>
          <w:i/>
          <w:color w:val="000000"/>
          <w:sz w:val="21"/>
          <w:szCs w:val="21"/>
          <w:lang w:val="en-US" w:eastAsia="ru-RU"/>
        </w:rPr>
      </w:pPr>
      <w:r w:rsidRPr="00E043DB">
        <w:rPr>
          <w:rFonts w:ascii="Times New Roman" w:eastAsia="Times New Roman" w:hAnsi="Times New Roman" w:cs="Times New Roman"/>
          <w:i/>
          <w:color w:val="000000"/>
          <w:sz w:val="21"/>
          <w:szCs w:val="21"/>
          <w:lang w:val="en-US" w:eastAsia="ru-RU"/>
        </w:rPr>
        <w:t>student, 1 course</w:t>
      </w:r>
    </w:p>
    <w:p w14:paraId="182548A3" w14:textId="77777777" w:rsidR="00E043DB" w:rsidRPr="00E043DB" w:rsidRDefault="00E043DB" w:rsidP="00DE101A">
      <w:pPr>
        <w:spacing w:after="0" w:line="240" w:lineRule="auto"/>
        <w:jc w:val="right"/>
        <w:rPr>
          <w:rFonts w:ascii="Times New Roman" w:eastAsia="Times New Roman" w:hAnsi="Times New Roman" w:cs="Times New Roman"/>
          <w:i/>
          <w:color w:val="000000"/>
          <w:sz w:val="21"/>
          <w:szCs w:val="21"/>
          <w:lang w:val="en-US" w:eastAsia="ru-RU"/>
        </w:rPr>
      </w:pPr>
      <w:r w:rsidRPr="00E043DB">
        <w:rPr>
          <w:rFonts w:ascii="Times New Roman" w:eastAsia="Times New Roman" w:hAnsi="Times New Roman" w:cs="Times New Roman"/>
          <w:i/>
          <w:color w:val="000000"/>
          <w:sz w:val="21"/>
          <w:szCs w:val="21"/>
          <w:lang w:val="x-none" w:eastAsia="ru-RU"/>
        </w:rPr>
        <w:t xml:space="preserve">Financial University under the Government of the Russian Federation </w:t>
      </w:r>
    </w:p>
    <w:p w14:paraId="69605520" w14:textId="77777777" w:rsidR="00E043DB" w:rsidRPr="00E043DB" w:rsidRDefault="00E043DB" w:rsidP="00DE101A">
      <w:pPr>
        <w:spacing w:after="0" w:line="240" w:lineRule="auto"/>
        <w:jc w:val="right"/>
        <w:rPr>
          <w:rFonts w:ascii="Times New Roman" w:eastAsia="Times New Roman" w:hAnsi="Times New Roman" w:cs="Times New Roman"/>
          <w:i/>
          <w:color w:val="000000"/>
          <w:sz w:val="21"/>
          <w:szCs w:val="21"/>
          <w:lang w:val="en-US" w:eastAsia="ru-RU"/>
        </w:rPr>
      </w:pPr>
      <w:r w:rsidRPr="00E043DB">
        <w:rPr>
          <w:rFonts w:ascii="Times New Roman" w:eastAsia="Times New Roman" w:hAnsi="Times New Roman" w:cs="Times New Roman"/>
          <w:i/>
          <w:color w:val="000000"/>
          <w:sz w:val="21"/>
          <w:szCs w:val="21"/>
          <w:lang w:val="en-US" w:eastAsia="ru-RU"/>
        </w:rPr>
        <w:t>Krasnodar, Russia</w:t>
      </w:r>
    </w:p>
    <w:p w14:paraId="2FAEAA81" w14:textId="77777777" w:rsidR="00E043DB" w:rsidRPr="00E043DB" w:rsidRDefault="00E043DB" w:rsidP="00DE101A">
      <w:pPr>
        <w:spacing w:after="0" w:line="240" w:lineRule="auto"/>
        <w:jc w:val="right"/>
        <w:rPr>
          <w:rFonts w:ascii="Times New Roman" w:eastAsia="Times New Roman" w:hAnsi="Times New Roman" w:cs="Times New Roman"/>
          <w:i/>
          <w:color w:val="000000"/>
          <w:sz w:val="21"/>
          <w:szCs w:val="21"/>
          <w:lang w:val="en-US" w:eastAsia="ru-RU"/>
        </w:rPr>
      </w:pPr>
      <w:r w:rsidRPr="00E043DB">
        <w:rPr>
          <w:rFonts w:ascii="Times New Roman" w:eastAsia="Times New Roman" w:hAnsi="Times New Roman" w:cs="Times New Roman"/>
          <w:i/>
          <w:color w:val="000000"/>
          <w:sz w:val="21"/>
          <w:szCs w:val="21"/>
          <w:lang w:eastAsia="ru-RU"/>
        </w:rPr>
        <w:t>е</w:t>
      </w:r>
      <w:r w:rsidRPr="00C30970">
        <w:rPr>
          <w:rFonts w:ascii="Times New Roman" w:eastAsia="Times New Roman" w:hAnsi="Times New Roman" w:cs="Times New Roman"/>
          <w:i/>
          <w:color w:val="000000"/>
          <w:sz w:val="21"/>
          <w:szCs w:val="21"/>
          <w:lang w:val="en-US" w:eastAsia="ru-RU"/>
        </w:rPr>
        <w:t>-mail: lalalatralala12345678910@mail.ru</w:t>
      </w:r>
    </w:p>
    <w:p w14:paraId="5ACFF6B2" w14:textId="77777777" w:rsidR="00E043DB" w:rsidRPr="00E043DB" w:rsidRDefault="00E043DB" w:rsidP="002C3437">
      <w:pPr>
        <w:spacing w:after="0" w:line="240" w:lineRule="auto"/>
        <w:jc w:val="both"/>
        <w:rPr>
          <w:rFonts w:ascii="Times New Roman" w:eastAsia="Times New Roman" w:hAnsi="Times New Roman" w:cs="Times New Roman"/>
          <w:i/>
          <w:color w:val="000000"/>
          <w:sz w:val="21"/>
          <w:szCs w:val="21"/>
          <w:lang w:val="en-US" w:eastAsia="ru-RU"/>
        </w:rPr>
      </w:pPr>
    </w:p>
    <w:p w14:paraId="7737F0B7" w14:textId="77777777" w:rsidR="00E043DB" w:rsidRPr="00E043DB" w:rsidRDefault="00E043DB" w:rsidP="00FD51FA">
      <w:pPr>
        <w:spacing w:after="0" w:line="240" w:lineRule="auto"/>
        <w:jc w:val="right"/>
        <w:rPr>
          <w:rFonts w:ascii="Times New Roman" w:eastAsia="Times New Roman" w:hAnsi="Times New Roman" w:cs="Times New Roman"/>
          <w:b/>
          <w:i/>
          <w:color w:val="000000"/>
          <w:sz w:val="21"/>
          <w:szCs w:val="21"/>
          <w:lang w:val="en-US" w:eastAsia="ru-RU"/>
        </w:rPr>
      </w:pPr>
      <w:r w:rsidRPr="00E043DB">
        <w:rPr>
          <w:rFonts w:ascii="Times New Roman" w:eastAsia="Times New Roman" w:hAnsi="Times New Roman" w:cs="Times New Roman"/>
          <w:b/>
          <w:i/>
          <w:color w:val="000000"/>
          <w:sz w:val="21"/>
          <w:szCs w:val="21"/>
          <w:lang w:val="en-US" w:eastAsia="ru-RU"/>
        </w:rPr>
        <w:t>Scientific Adviser:</w:t>
      </w:r>
    </w:p>
    <w:p w14:paraId="381A8575" w14:textId="77777777" w:rsidR="00E043DB" w:rsidRPr="00E043DB" w:rsidRDefault="00E043DB" w:rsidP="00FD51FA">
      <w:pPr>
        <w:spacing w:after="0" w:line="240" w:lineRule="auto"/>
        <w:jc w:val="right"/>
        <w:rPr>
          <w:rFonts w:ascii="Times New Roman" w:eastAsia="Times New Roman" w:hAnsi="Times New Roman" w:cs="Times New Roman"/>
          <w:i/>
          <w:iCs/>
          <w:color w:val="000000"/>
          <w:sz w:val="21"/>
          <w:szCs w:val="21"/>
          <w:lang w:val="en-US" w:eastAsia="ru-RU"/>
        </w:rPr>
      </w:pPr>
      <w:r w:rsidRPr="00E043DB">
        <w:rPr>
          <w:rFonts w:ascii="Times New Roman" w:eastAsia="Times New Roman" w:hAnsi="Times New Roman" w:cs="Times New Roman"/>
          <w:b/>
          <w:i/>
          <w:color w:val="000000"/>
          <w:sz w:val="21"/>
          <w:szCs w:val="21"/>
          <w:lang w:val="en-US" w:eastAsia="ru-RU"/>
        </w:rPr>
        <w:t>Lipeeva I.Y.,</w:t>
      </w:r>
    </w:p>
    <w:p w14:paraId="6C7E9F69" w14:textId="77777777" w:rsidR="00E043DB" w:rsidRPr="00E043DB" w:rsidRDefault="00E043DB" w:rsidP="00FD51FA">
      <w:pPr>
        <w:spacing w:after="0" w:line="240" w:lineRule="auto"/>
        <w:jc w:val="right"/>
        <w:rPr>
          <w:rFonts w:ascii="Times New Roman" w:eastAsia="Times New Roman" w:hAnsi="Times New Roman" w:cs="Times New Roman"/>
          <w:i/>
          <w:iCs/>
          <w:color w:val="000000"/>
          <w:sz w:val="21"/>
          <w:szCs w:val="21"/>
          <w:lang w:val="en-US" w:eastAsia="ru-RU"/>
        </w:rPr>
      </w:pPr>
      <w:r w:rsidRPr="00E043DB">
        <w:rPr>
          <w:rFonts w:ascii="Times New Roman" w:eastAsia="Times New Roman" w:hAnsi="Times New Roman" w:cs="Times New Roman"/>
          <w:i/>
          <w:iCs/>
          <w:color w:val="000000"/>
          <w:sz w:val="21"/>
          <w:szCs w:val="21"/>
          <w:lang w:val="en-US" w:eastAsia="ru-RU"/>
        </w:rPr>
        <w:t>PhD in Philology, Associate Professor</w:t>
      </w:r>
    </w:p>
    <w:p w14:paraId="50B66B0A" w14:textId="77777777" w:rsidR="00E043DB" w:rsidRPr="00E043DB" w:rsidRDefault="00E043DB" w:rsidP="00FD51FA">
      <w:pPr>
        <w:spacing w:after="0" w:line="240" w:lineRule="auto"/>
        <w:jc w:val="right"/>
        <w:rPr>
          <w:rFonts w:ascii="Times New Roman" w:eastAsia="Times New Roman" w:hAnsi="Times New Roman" w:cs="Times New Roman"/>
          <w:i/>
          <w:iCs/>
          <w:color w:val="000000"/>
          <w:sz w:val="21"/>
          <w:szCs w:val="21"/>
          <w:lang w:val="en-US" w:eastAsia="ru-RU"/>
        </w:rPr>
      </w:pPr>
      <w:r w:rsidRPr="00E043DB">
        <w:rPr>
          <w:rFonts w:ascii="Times New Roman" w:eastAsia="Times New Roman" w:hAnsi="Times New Roman" w:cs="Times New Roman"/>
          <w:i/>
          <w:iCs/>
          <w:color w:val="000000"/>
          <w:sz w:val="21"/>
          <w:szCs w:val="21"/>
          <w:lang w:val="en-US" w:eastAsia="ru-RU"/>
        </w:rPr>
        <w:t>Department of Philosophy, History and Law</w:t>
      </w:r>
    </w:p>
    <w:p w14:paraId="01354E0E" w14:textId="77777777" w:rsidR="00E043DB" w:rsidRPr="00E043DB" w:rsidRDefault="00E043DB" w:rsidP="00FD51FA">
      <w:pPr>
        <w:spacing w:after="0" w:line="240" w:lineRule="auto"/>
        <w:jc w:val="right"/>
        <w:rPr>
          <w:rFonts w:ascii="Times New Roman" w:eastAsia="Times New Roman" w:hAnsi="Times New Roman" w:cs="Times New Roman"/>
          <w:i/>
          <w:color w:val="000000"/>
          <w:sz w:val="21"/>
          <w:szCs w:val="21"/>
          <w:lang w:val="x-none" w:eastAsia="ru-RU"/>
        </w:rPr>
      </w:pPr>
      <w:r w:rsidRPr="00E043DB">
        <w:rPr>
          <w:rFonts w:ascii="Times New Roman" w:eastAsia="Times New Roman" w:hAnsi="Times New Roman" w:cs="Times New Roman"/>
          <w:i/>
          <w:color w:val="000000"/>
          <w:sz w:val="21"/>
          <w:szCs w:val="21"/>
          <w:lang w:val="x-none" w:eastAsia="ru-RU"/>
        </w:rPr>
        <w:t xml:space="preserve">Financial University under the Government of the Russian Federation </w:t>
      </w:r>
    </w:p>
    <w:p w14:paraId="75002661" w14:textId="77777777" w:rsidR="00E043DB" w:rsidRPr="00E043DB" w:rsidRDefault="00E043DB" w:rsidP="00FD51FA">
      <w:pPr>
        <w:spacing w:after="0" w:line="240" w:lineRule="auto"/>
        <w:jc w:val="right"/>
        <w:rPr>
          <w:rFonts w:ascii="Times New Roman" w:eastAsia="Times New Roman" w:hAnsi="Times New Roman" w:cs="Times New Roman"/>
          <w:i/>
          <w:color w:val="000000"/>
          <w:sz w:val="21"/>
          <w:szCs w:val="21"/>
          <w:lang w:val="x-none" w:eastAsia="ru-RU"/>
        </w:rPr>
      </w:pPr>
      <w:r w:rsidRPr="00E043DB">
        <w:rPr>
          <w:rFonts w:ascii="Times New Roman" w:eastAsia="Times New Roman" w:hAnsi="Times New Roman" w:cs="Times New Roman"/>
          <w:i/>
          <w:color w:val="000000"/>
          <w:sz w:val="21"/>
          <w:szCs w:val="21"/>
          <w:lang w:val="x-none" w:eastAsia="ru-RU"/>
        </w:rPr>
        <w:t>Krasnodar, Russia</w:t>
      </w:r>
    </w:p>
    <w:p w14:paraId="21CD5964" w14:textId="77777777" w:rsidR="00E043DB" w:rsidRPr="00E043DB" w:rsidRDefault="00E043DB" w:rsidP="00FD51FA">
      <w:pPr>
        <w:spacing w:after="0" w:line="240" w:lineRule="auto"/>
        <w:jc w:val="right"/>
        <w:rPr>
          <w:rFonts w:ascii="Times New Roman" w:eastAsia="Times New Roman" w:hAnsi="Times New Roman" w:cs="Times New Roman"/>
          <w:i/>
          <w:color w:val="000000"/>
          <w:sz w:val="21"/>
          <w:szCs w:val="21"/>
          <w:lang w:val="x-none" w:eastAsia="ru-RU"/>
        </w:rPr>
      </w:pPr>
      <w:r w:rsidRPr="00E043DB">
        <w:rPr>
          <w:rFonts w:ascii="Times New Roman" w:eastAsia="Times New Roman" w:hAnsi="Times New Roman" w:cs="Times New Roman"/>
          <w:i/>
          <w:color w:val="000000"/>
          <w:sz w:val="21"/>
          <w:szCs w:val="21"/>
          <w:lang w:val="x-none" w:eastAsia="ru-RU"/>
        </w:rPr>
        <w:t xml:space="preserve">е-mail: </w:t>
      </w:r>
      <w:hyperlink r:id="rId703" w:history="1">
        <w:r w:rsidRPr="00E043DB">
          <w:rPr>
            <w:rStyle w:val="aa"/>
            <w:rFonts w:ascii="Times New Roman" w:eastAsia="Times New Roman" w:hAnsi="Times New Roman" w:cs="Times New Roman"/>
            <w:i/>
            <w:sz w:val="21"/>
            <w:szCs w:val="21"/>
            <w:lang w:val="x-none" w:eastAsia="ru-RU"/>
          </w:rPr>
          <w:t>iylipeeva@fa.ru</w:t>
        </w:r>
      </w:hyperlink>
    </w:p>
    <w:p w14:paraId="5DEB23F9" w14:textId="77777777" w:rsidR="00E043DB" w:rsidRPr="00E043DB" w:rsidRDefault="00E043DB" w:rsidP="002C3437">
      <w:pPr>
        <w:spacing w:after="0" w:line="240" w:lineRule="auto"/>
        <w:jc w:val="both"/>
        <w:rPr>
          <w:rFonts w:ascii="Times New Roman" w:eastAsia="Times New Roman" w:hAnsi="Times New Roman" w:cs="Times New Roman"/>
          <w:i/>
          <w:color w:val="000000"/>
          <w:sz w:val="21"/>
          <w:szCs w:val="21"/>
          <w:lang w:val="x-none" w:eastAsia="ru-RU"/>
        </w:rPr>
      </w:pPr>
    </w:p>
    <w:p w14:paraId="20CFEEB6" w14:textId="77777777" w:rsidR="00E043DB" w:rsidRPr="00E043DB" w:rsidRDefault="00E043DB" w:rsidP="00FD51FA">
      <w:pPr>
        <w:spacing w:after="0" w:line="240" w:lineRule="auto"/>
        <w:jc w:val="center"/>
        <w:rPr>
          <w:rFonts w:ascii="Times New Roman" w:eastAsia="Times New Roman" w:hAnsi="Times New Roman" w:cs="Times New Roman"/>
          <w:b/>
          <w:color w:val="000000"/>
          <w:sz w:val="21"/>
          <w:szCs w:val="21"/>
          <w:lang w:val="en-US" w:eastAsia="ru-RU"/>
        </w:rPr>
      </w:pPr>
      <w:r w:rsidRPr="00E043DB">
        <w:rPr>
          <w:rFonts w:ascii="Times New Roman" w:eastAsia="Times New Roman" w:hAnsi="Times New Roman" w:cs="Times New Roman"/>
          <w:b/>
          <w:color w:val="000000"/>
          <w:sz w:val="21"/>
          <w:szCs w:val="21"/>
          <w:lang w:val="en-US" w:eastAsia="ru-RU"/>
        </w:rPr>
        <w:t>Digital Immunity: How Technologies Support and Transform the Economy in Times of Crisis</w:t>
      </w:r>
    </w:p>
    <w:p w14:paraId="64057B21" w14:textId="77777777" w:rsidR="00E043DB" w:rsidRPr="00E043DB" w:rsidRDefault="00E043DB" w:rsidP="002C3437">
      <w:pPr>
        <w:spacing w:after="0" w:line="240" w:lineRule="auto"/>
        <w:jc w:val="both"/>
        <w:rPr>
          <w:rFonts w:ascii="Times New Roman" w:eastAsia="Times New Roman" w:hAnsi="Times New Roman" w:cs="Times New Roman"/>
          <w:b/>
          <w:color w:val="000000"/>
          <w:sz w:val="21"/>
          <w:szCs w:val="21"/>
          <w:lang w:val="en-US" w:eastAsia="ru-RU"/>
        </w:rPr>
      </w:pPr>
    </w:p>
    <w:p w14:paraId="415197FA" w14:textId="77777777" w:rsidR="00E043DB" w:rsidRPr="00E043DB" w:rsidRDefault="00E043DB" w:rsidP="00FD51FA">
      <w:pPr>
        <w:spacing w:after="0" w:line="240" w:lineRule="auto"/>
        <w:ind w:firstLine="709"/>
        <w:jc w:val="both"/>
        <w:rPr>
          <w:rFonts w:ascii="Times New Roman" w:eastAsia="Times New Roman" w:hAnsi="Times New Roman" w:cs="Times New Roman"/>
          <w:b/>
          <w:bCs/>
          <w:color w:val="000000"/>
          <w:sz w:val="21"/>
          <w:szCs w:val="21"/>
          <w:lang w:val="en-US" w:eastAsia="ru-RU"/>
        </w:rPr>
      </w:pPr>
      <w:r w:rsidRPr="00E043DB">
        <w:rPr>
          <w:rFonts w:ascii="Times New Roman" w:eastAsia="Times New Roman" w:hAnsi="Times New Roman" w:cs="Times New Roman"/>
          <w:b/>
          <w:bCs/>
          <w:color w:val="000000"/>
          <w:sz w:val="21"/>
          <w:szCs w:val="21"/>
          <w:lang w:val="x-none" w:eastAsia="ru-RU"/>
        </w:rPr>
        <w:t>Abstract</w:t>
      </w:r>
      <w:r w:rsidRPr="00E043DB">
        <w:rPr>
          <w:rFonts w:ascii="Times New Roman" w:eastAsia="Times New Roman" w:hAnsi="Times New Roman" w:cs="Times New Roman"/>
          <w:b/>
          <w:bCs/>
          <w:color w:val="000000"/>
          <w:sz w:val="21"/>
          <w:szCs w:val="21"/>
          <w:lang w:val="en-US" w:eastAsia="ru-RU"/>
        </w:rPr>
        <w:t xml:space="preserve">: </w:t>
      </w:r>
      <w:r w:rsidRPr="00E043DB">
        <w:rPr>
          <w:rFonts w:ascii="Times New Roman" w:eastAsia="Times New Roman" w:hAnsi="Times New Roman" w:cs="Times New Roman"/>
          <w:color w:val="000000"/>
          <w:sz w:val="21"/>
          <w:szCs w:val="21"/>
          <w:lang w:val="en-US" w:eastAsia="ru-RU"/>
        </w:rPr>
        <w:t>The article examines the role of digitalization as a key tool for economic adaptation during crises. Special emphasis is placed on the relationship between technological development and economic resilience, where digitalization serves both as a stabilizing factor and a driver of qualitative changes. The research results demonstrate the formation of a new paradigm of economic sovereignty through the implementation of digital solutions.</w:t>
      </w:r>
    </w:p>
    <w:p w14:paraId="72401661" w14:textId="77777777" w:rsidR="00E043DB" w:rsidRPr="00E043DB" w:rsidRDefault="00E043DB" w:rsidP="00FD51FA">
      <w:pPr>
        <w:spacing w:after="0" w:line="240" w:lineRule="auto"/>
        <w:ind w:firstLine="709"/>
        <w:jc w:val="both"/>
        <w:rPr>
          <w:rFonts w:ascii="Times New Roman" w:eastAsia="Times New Roman" w:hAnsi="Times New Roman" w:cs="Times New Roman"/>
          <w:bCs/>
          <w:color w:val="000000"/>
          <w:sz w:val="21"/>
          <w:szCs w:val="21"/>
          <w:lang w:val="en-US" w:eastAsia="ru-RU"/>
        </w:rPr>
      </w:pPr>
      <w:r w:rsidRPr="00E043DB">
        <w:rPr>
          <w:rFonts w:ascii="Times New Roman" w:eastAsia="Times New Roman" w:hAnsi="Times New Roman" w:cs="Times New Roman"/>
          <w:b/>
          <w:bCs/>
          <w:color w:val="000000"/>
          <w:sz w:val="21"/>
          <w:szCs w:val="21"/>
          <w:lang w:val="x-none" w:eastAsia="ru-RU"/>
        </w:rPr>
        <w:t>Keywords</w:t>
      </w:r>
      <w:r w:rsidRPr="00E043DB">
        <w:rPr>
          <w:rFonts w:ascii="Times New Roman" w:eastAsia="Times New Roman" w:hAnsi="Times New Roman" w:cs="Times New Roman"/>
          <w:b/>
          <w:bCs/>
          <w:color w:val="000000"/>
          <w:sz w:val="21"/>
          <w:szCs w:val="21"/>
          <w:lang w:val="en-US" w:eastAsia="ru-RU"/>
        </w:rPr>
        <w:t>:</w:t>
      </w:r>
      <w:r w:rsidRPr="00E043DB">
        <w:rPr>
          <w:rFonts w:ascii="Times New Roman" w:eastAsia="Times New Roman" w:hAnsi="Times New Roman" w:cs="Times New Roman"/>
          <w:bCs/>
          <w:color w:val="000000"/>
          <w:sz w:val="21"/>
          <w:szCs w:val="21"/>
          <w:lang w:val="en-US" w:eastAsia="ru-RU"/>
        </w:rPr>
        <w:t xml:space="preserve"> digitalization, economic crisis, digital transformation, sustainability, technological innovation, digital economy.</w:t>
      </w:r>
    </w:p>
    <w:p w14:paraId="1FA768CC" w14:textId="77777777" w:rsidR="00E043DB" w:rsidRPr="00E043DB" w:rsidRDefault="00E043DB" w:rsidP="00E043DB">
      <w:pPr>
        <w:spacing w:after="75" w:line="240" w:lineRule="auto"/>
        <w:ind w:hanging="270"/>
        <w:jc w:val="both"/>
        <w:rPr>
          <w:rFonts w:ascii="Times New Roman" w:eastAsia="Times New Roman" w:hAnsi="Times New Roman" w:cs="Times New Roman"/>
          <w:bCs/>
          <w:color w:val="000000"/>
          <w:sz w:val="21"/>
          <w:szCs w:val="21"/>
          <w:lang w:val="en-US" w:eastAsia="ru-RU"/>
        </w:rPr>
      </w:pPr>
    </w:p>
    <w:p w14:paraId="746C20C4"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Economic crises, despite their destructive nature, invariably become catalysts for technological breakthroughs. Digitalization is a key tool for economic adaptation—a kind of "crutch" that has proven its effectiveness during recessions, sanctions, and pandemics. This essay explores the multifaceted role of digital transformation, which, during periods of economic upheaval, serves two key functions: acting as a shield against destructive consequences while simultaneously becoming a driving force for qualitative change, paving the way for innovative development.</w:t>
      </w:r>
    </w:p>
    <w:p w14:paraId="5C06D9CE"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Nature of Economic Crises: The Inherent Volatility of Economic Systems</w:t>
      </w:r>
    </w:p>
    <w:p w14:paraId="0DDEA342"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Economic crises are an inevitable element of any economy's development. Reflecting societal dynamics, economies alternate between cycles of growth and decline. This has occurred throughout human history, in every society, country, and stage of development.</w:t>
      </w:r>
    </w:p>
    <w:p w14:paraId="2C74A338"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Crises as a Catalyst for Economic Development</w:t>
      </w:r>
    </w:p>
    <w:p w14:paraId="11A66261"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inherent instability of economies necessitates the creation of adaptation tools to smooth out fluctuations and minimize negative impacts. Despite their destructive nature, economic crises consistently serve as catalysts for technological breakthroughs. A crisis exposes economic weaknesses, forces the abandonment of outdated and inefficient management models, and drives the search for new, innovative solutions.</w:t>
      </w:r>
    </w:p>
    <w:p w14:paraId="3718DE35"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p>
    <w:p w14:paraId="50116F38"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Great Depression (1929–1933) – The Crisis of Absolute Capitalism</w:t>
      </w:r>
    </w:p>
    <w:p w14:paraId="47E49AA0"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 xml:space="preserve">The period known as the Great Depression was a global economic crisis that began in 1929 and lasted nearly a decade. Originating as an </w:t>
      </w:r>
      <w:r w:rsidRPr="00E043DB">
        <w:rPr>
          <w:rFonts w:ascii="Times New Roman" w:eastAsia="Times New Roman" w:hAnsi="Times New Roman" w:cs="Times New Roman"/>
          <w:color w:val="000000"/>
          <w:sz w:val="32"/>
          <w:szCs w:val="32"/>
          <w:lang w:val="en-US" w:eastAsia="ru-RU"/>
        </w:rPr>
        <w:lastRenderedPageBreak/>
        <w:t>economic downturn in the United States, it quickly spread worldwide, affecting most industrialized nations.</w:t>
      </w:r>
    </w:p>
    <w:p w14:paraId="280CB974"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This economic collapse had a devastating impact on all sectors of economic activity, leading to catastrophic declines in industrial production, mass business closures, and unprecedented unemployment.</w:t>
      </w:r>
    </w:p>
    <w:p w14:paraId="0B335C01"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social consequences of the Depression were so profound that they permanently altered approaches to economic policy and social welfare in many countries. It became clear that unregulated economic changes could lead to disaster. The philosophy of unrestricted capitalism had failed, and finding effective ways to influence the economy became a priority for every developed state.</w:t>
      </w:r>
    </w:p>
    <w:p w14:paraId="4C5D4311"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Despite the absence of modern digital technologies, the Great Depression laid the groundwork for future economic digitalization, demonstrating the critical importance of process automation, systematic data collection, and government regulation.</w:t>
      </w:r>
    </w:p>
    <w:p w14:paraId="05DBCFBB"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Global Financial Crisis (2008–2013) – The Great Recession</w:t>
      </w:r>
    </w:p>
    <w:p w14:paraId="5CBCF94C"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global economic crisis, known as the Great Recession, was one of the longest and most significant in history. Beginning in the U.S., it affected the entire world, leading to sharp declines in global GDP, rising unemployment, collapsing currency and stock markets, and heightened socio-economic tensions. Many countries entered the COVID-19 pandemic without fully recovering their pre-crisis economic indicators.</w:t>
      </w:r>
    </w:p>
    <w:p w14:paraId="58B4B392" w14:textId="26A573B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Great Recession revealed a crucial pattern: active adoption of information technology significantly reduced the share of non-performing loans (NPLs) during the crisis. Banks with high levels of digitalization had 10% fewer bad loans</w:t>
      </w:r>
      <w:r w:rsidR="00FD51FA" w:rsidRPr="00FD51FA">
        <w:rPr>
          <w:rFonts w:ascii="Times New Roman" w:eastAsia="Times New Roman" w:hAnsi="Times New Roman" w:cs="Times New Roman"/>
          <w:color w:val="000000"/>
          <w:sz w:val="32"/>
          <w:szCs w:val="32"/>
          <w:lang w:val="en-US" w:eastAsia="ru-RU"/>
        </w:rPr>
        <w:t xml:space="preserve"> </w:t>
      </w:r>
      <w:r w:rsidRPr="00E043DB">
        <w:rPr>
          <w:rFonts w:ascii="Times New Roman" w:eastAsia="Times New Roman" w:hAnsi="Times New Roman" w:cs="Times New Roman"/>
          <w:color w:val="000000"/>
          <w:sz w:val="32"/>
          <w:szCs w:val="32"/>
          <w:lang w:val="en-US" w:eastAsia="ru-RU"/>
        </w:rPr>
        <w:t>[1]. Financial institutions that had implemented IT solutions before the crisis showed smaller increases in NPLs during the turmoil. Digitalization had already demonstrated its potential as an economic safety net.</w:t>
      </w:r>
    </w:p>
    <w:p w14:paraId="2759D583"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post-crisis environment became fertile ground for a financial and technological revolution. A new lending model emerged, challenging traditional banks. Peer-to-peer (P2P) lending platforms like Funding Circle and Zopa introduced an innovative approach based on digital technology and disintermediation.</w:t>
      </w:r>
    </w:p>
    <w:p w14:paraId="3C60C487"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 xml:space="preserve">Funding Circle, specializing in business lending, created an online platform where small and medium-sized enterprises (SMEs) received funding directly from investors. Unlike banks, which took weeks to process applications, Funding Circle used algorithms to analyze data and make decisions within 24 hours. Entrepreneurs secured loans at 20–30% lower </w:t>
      </w:r>
      <w:r w:rsidRPr="00E043DB">
        <w:rPr>
          <w:rFonts w:ascii="Times New Roman" w:eastAsia="Times New Roman" w:hAnsi="Times New Roman" w:cs="Times New Roman"/>
          <w:color w:val="000000"/>
          <w:sz w:val="32"/>
          <w:szCs w:val="32"/>
          <w:lang w:val="en-US" w:eastAsia="ru-RU"/>
        </w:rPr>
        <w:lastRenderedPageBreak/>
        <w:t>rates than banks, while investors earned 5–8% annual returns instead of low deposit rates. This trend continued with neobanks, which revolutionized traditional banking.</w:t>
      </w:r>
    </w:p>
    <w:p w14:paraId="676042E3"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These platforms did not just offer an alternative—they created a new financial ecosystem where technology lowered the cost of money and increased financial accessibility. After the 2008 crisis, when trust in banks was shaken, such services experienced rapid growth, proving that the future of finance lies in technological solutions.</w:t>
      </w:r>
    </w:p>
    <w:p w14:paraId="6AD98910"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COVID-19 Pandemic (2020)</w:t>
      </w:r>
    </w:p>
    <w:p w14:paraId="366C27DE"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Recently, we witnessed how digital solutions eased—and even saved—lives during the pandemic. Society continued to function under new constraints: people worked, studied, traded, received medical care, exercised, and socialized through a range of online platforms. Governments and businesses collaborated to launch portals like Vse.online and Dostupvsem.rf, significantly expanding access to digital public services.</w:t>
      </w:r>
    </w:p>
    <w:p w14:paraId="6E424FA1"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If digital transformation seemed like mere buzzwords to many in the pre-pandemic era, it became undeniable that digital tools were essential for business resilience, survival, and growth—both in times of crisis and prosperity.</w:t>
      </w:r>
    </w:p>
    <w:p w14:paraId="00F5C77B"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Digitalization makes economies more transparent and controllable, providing greater regulatory opportunities. A flexible, adaptable, and diverse economy is the key to stability, and digitalization enables this at every stage. An ecosystem built on a digital economy is resilient, agile, and capable of rapid adaptation [2].</w:t>
      </w:r>
    </w:p>
    <w:p w14:paraId="6FF2740D"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p>
    <w:p w14:paraId="435B03AB"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Digitalization as a Business Adaptation Tool</w:t>
      </w:r>
    </w:p>
    <w:p w14:paraId="15A8A08C"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Through individual system components, digitalization permeates all economic sectors, becoming critically important for every participant.</w:t>
      </w:r>
    </w:p>
    <w:p w14:paraId="0123E425"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Seventeen years ago, when the SARS outbreak hit China, Alibaba employees were quarantined. The company was only four years old, and a shutdown could have been fatal. Instead, the team took laptops, phones, and stacks of documents home—and kept working.</w:t>
      </w:r>
    </w:p>
    <w:p w14:paraId="58F40547"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Amid the epidemic, Alibaba launched Taobao, its first consumer platform, which today is the world’s largest online marketplace. This is a prime example of how crises can be turned into opportunities.</w:t>
      </w:r>
    </w:p>
    <w:p w14:paraId="2DB4A9C0"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Digitalization as a State Adaptation Tool</w:t>
      </w:r>
    </w:p>
    <w:p w14:paraId="06E0F981"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Coordinated efforts by governments, businesses, and society help maintain economic functionality and, in some cases, transform vulnerabilities into strengths.</w:t>
      </w:r>
    </w:p>
    <w:p w14:paraId="7FD079AA"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lastRenderedPageBreak/>
        <w:t>When Russia was disconnected from SWIFT, faced the departure of Western tech giants, and encountered restrictions on international payment systems due to sanctions, many predicted a collapse of the financial and tech sectors. Instead, a rapid restructuring of economic mechanisms occurred.</w:t>
      </w:r>
    </w:p>
    <w:p w14:paraId="7BD86A9C"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 financial system swiftly transitioned to domestic solutions: the Mir payment system and the System for Transfer of Financial Messages (SPFS). By 2023, over 30 countries, including China, India, and Iran, had joined SPFS, creating an alternative international payment network (RBC data). This shift not only preserved payment infrastructure but also laid the foundation for a new financial architecture.</w:t>
      </w:r>
    </w:p>
    <w:p w14:paraId="387EEC9E"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Russia’s IT sector has also shown impressive resilience. Despite sanctions, it grew by 60% in the first half of 2024 compared to the same period in 2023 (according to Digital Development Minister Maksut Shadayev). The main driver was import substitution, with surging demand for domestic software development, tech support, and consulting services. Russian developers provided viable alternatives to Western products, ensuring technological independence for critical industries.</w:t>
      </w:r>
    </w:p>
    <w:p w14:paraId="78482C4E"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E-commerce adaptation was particularly striking. In just the first four months of 2022, Russia’s online retail market doubled compared to the same period in 2021 (AKIT data). This growth was driven not only by the departure of international platforms but also by a fundamental shift in consumer behavior. Russian marketplaces—Ozon, Wildberries, VK Market—not only filled the gap but also created new growth opportunities. The trend continued into 2025, with online sales growing by 36% in Q1, reaching 2.6 trillion rubles, 97% of which came from domestic platforms [3].</w:t>
      </w:r>
    </w:p>
    <w:p w14:paraId="03D8B469"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These examples clearly illustrate how digital transformation becomes the foundation of economic resilience.</w:t>
      </w:r>
    </w:p>
    <w:p w14:paraId="7A2D55BE"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Digitalization as the Basis of Economic Sovereignty</w:t>
      </w:r>
    </w:p>
    <w:p w14:paraId="383F4F96" w14:textId="77777777" w:rsidR="00E043DB" w:rsidRPr="00E043DB" w:rsidRDefault="00E043DB" w:rsidP="00FD51FA">
      <w:pPr>
        <w:spacing w:after="0" w:line="240" w:lineRule="auto"/>
        <w:ind w:firstLine="709"/>
        <w:jc w:val="both"/>
        <w:rPr>
          <w:rFonts w:ascii="Times New Roman" w:eastAsia="Times New Roman" w:hAnsi="Times New Roman" w:cs="Times New Roman"/>
          <w:color w:val="000000"/>
          <w:sz w:val="32"/>
          <w:szCs w:val="32"/>
          <w:lang w:val="en-US" w:eastAsia="ru-RU"/>
        </w:rPr>
      </w:pPr>
      <w:r w:rsidRPr="00E043DB">
        <w:rPr>
          <w:rFonts w:ascii="Times New Roman" w:eastAsia="Times New Roman" w:hAnsi="Times New Roman" w:cs="Times New Roman"/>
          <w:color w:val="000000"/>
          <w:sz w:val="32"/>
          <w:szCs w:val="32"/>
          <w:lang w:val="en-US" w:eastAsia="ru-RU"/>
        </w:rPr>
        <w:t>In the modern world, technology has become the "digital immunity" of national economies—a comprehensive system of protection and adaptation that not only mitigates external shocks but also builds internal defense mechanisms. This is why states investing in digital transformation are creating a fundamentally new architecture of economic security—a living, adaptive system capable of ensuring sustainable development regardless of circumstances. In this paradigm, digitalization becomes the cornerstone of 21st-century economic sovereignty.</w:t>
      </w:r>
    </w:p>
    <w:p w14:paraId="0D6959D0" w14:textId="77777777" w:rsidR="00E043DB" w:rsidRPr="00E043DB" w:rsidRDefault="00E043DB" w:rsidP="00E043DB">
      <w:pPr>
        <w:spacing w:after="75" w:line="240" w:lineRule="auto"/>
        <w:ind w:hanging="270"/>
        <w:jc w:val="both"/>
        <w:rPr>
          <w:rFonts w:ascii="Times New Roman" w:eastAsia="Times New Roman" w:hAnsi="Times New Roman" w:cs="Times New Roman"/>
          <w:color w:val="000000"/>
          <w:sz w:val="21"/>
          <w:szCs w:val="21"/>
          <w:lang w:val="en-US" w:eastAsia="ru-RU"/>
        </w:rPr>
      </w:pPr>
    </w:p>
    <w:p w14:paraId="1DA73BD5" w14:textId="77777777" w:rsidR="00E043DB" w:rsidRPr="00E043DB" w:rsidRDefault="00E043DB" w:rsidP="00FD51FA">
      <w:pPr>
        <w:spacing w:after="75" w:line="240" w:lineRule="auto"/>
        <w:ind w:hanging="270"/>
        <w:jc w:val="center"/>
        <w:rPr>
          <w:rFonts w:ascii="Times New Roman" w:eastAsia="Times New Roman" w:hAnsi="Times New Roman" w:cs="Times New Roman"/>
          <w:b/>
          <w:color w:val="000000"/>
          <w:sz w:val="21"/>
          <w:szCs w:val="21"/>
          <w:lang w:val="x-none" w:eastAsia="ru-RU"/>
        </w:rPr>
      </w:pPr>
      <w:r w:rsidRPr="00E043DB">
        <w:rPr>
          <w:rFonts w:ascii="Times New Roman" w:eastAsia="Times New Roman" w:hAnsi="Times New Roman" w:cs="Times New Roman"/>
          <w:b/>
          <w:color w:val="000000"/>
          <w:sz w:val="21"/>
          <w:szCs w:val="21"/>
          <w:lang w:eastAsia="ru-RU"/>
        </w:rPr>
        <w:t>Литература</w:t>
      </w:r>
      <w:r w:rsidRPr="00E043DB">
        <w:rPr>
          <w:rFonts w:ascii="Times New Roman" w:eastAsia="Times New Roman" w:hAnsi="Times New Roman" w:cs="Times New Roman"/>
          <w:b/>
          <w:color w:val="000000"/>
          <w:sz w:val="21"/>
          <w:szCs w:val="21"/>
          <w:lang w:val="en-US" w:eastAsia="ru-RU"/>
        </w:rPr>
        <w:t>:</w:t>
      </w:r>
    </w:p>
    <w:p w14:paraId="33AF27DB" w14:textId="77777777" w:rsidR="00E043DB" w:rsidRPr="00FD51FA" w:rsidRDefault="00E043DB" w:rsidP="00AD58CD">
      <w:pPr>
        <w:pStyle w:val="a8"/>
        <w:numPr>
          <w:ilvl w:val="0"/>
          <w:numId w:val="200"/>
        </w:numPr>
        <w:tabs>
          <w:tab w:val="clear" w:pos="720"/>
          <w:tab w:val="num" w:pos="360"/>
        </w:tabs>
        <w:spacing w:after="75" w:line="240" w:lineRule="auto"/>
        <w:ind w:hanging="720"/>
        <w:jc w:val="both"/>
        <w:rPr>
          <w:rFonts w:ascii="Times New Roman" w:eastAsia="Times New Roman" w:hAnsi="Times New Roman" w:cs="Times New Roman"/>
          <w:color w:val="000000"/>
          <w:sz w:val="21"/>
          <w:szCs w:val="21"/>
          <w:lang w:val="x-none" w:eastAsia="ru-RU"/>
        </w:rPr>
      </w:pPr>
      <w:r w:rsidRPr="00FD51FA">
        <w:rPr>
          <w:rFonts w:ascii="Times New Roman" w:eastAsia="Times New Roman" w:hAnsi="Times New Roman" w:cs="Times New Roman"/>
          <w:color w:val="000000"/>
          <w:sz w:val="21"/>
          <w:szCs w:val="21"/>
          <w:lang w:val="x-none" w:eastAsia="ru-RU"/>
        </w:rPr>
        <w:lastRenderedPageBreak/>
        <w:t>Nicola Pierri, Yannick Timmer: Tech in Fin Before FinTech: Blessing or Curse for Financial Stability? 20</w:t>
      </w:r>
      <w:r w:rsidRPr="00FD51FA">
        <w:rPr>
          <w:rFonts w:ascii="Times New Roman" w:eastAsia="Times New Roman" w:hAnsi="Times New Roman" w:cs="Times New Roman"/>
          <w:color w:val="000000"/>
          <w:sz w:val="21"/>
          <w:szCs w:val="21"/>
          <w:lang w:val="en-US" w:eastAsia="ru-RU"/>
        </w:rPr>
        <w:t>2</w:t>
      </w:r>
      <w:r w:rsidRPr="00FD51FA">
        <w:rPr>
          <w:rFonts w:ascii="Times New Roman" w:eastAsia="Times New Roman" w:hAnsi="Times New Roman" w:cs="Times New Roman"/>
          <w:color w:val="000000"/>
          <w:sz w:val="21"/>
          <w:szCs w:val="21"/>
          <w:lang w:val="x-none" w:eastAsia="ru-RU"/>
        </w:rPr>
        <w:t>0.</w:t>
      </w:r>
    </w:p>
    <w:p w14:paraId="6198CF5A" w14:textId="77777777" w:rsidR="00E043DB" w:rsidRPr="00FD51FA" w:rsidRDefault="00E043DB" w:rsidP="00AD58CD">
      <w:pPr>
        <w:pStyle w:val="a8"/>
        <w:numPr>
          <w:ilvl w:val="0"/>
          <w:numId w:val="200"/>
        </w:numPr>
        <w:tabs>
          <w:tab w:val="clear" w:pos="720"/>
          <w:tab w:val="num" w:pos="360"/>
        </w:tabs>
        <w:spacing w:after="75" w:line="240" w:lineRule="auto"/>
        <w:ind w:hanging="720"/>
        <w:jc w:val="both"/>
        <w:rPr>
          <w:rFonts w:ascii="Times New Roman" w:eastAsia="Times New Roman" w:hAnsi="Times New Roman" w:cs="Times New Roman"/>
          <w:color w:val="000000"/>
          <w:sz w:val="21"/>
          <w:szCs w:val="21"/>
          <w:lang w:val="x-none" w:eastAsia="ru-RU"/>
        </w:rPr>
      </w:pPr>
      <w:r w:rsidRPr="00FD51FA">
        <w:rPr>
          <w:rFonts w:ascii="Times New Roman" w:eastAsia="Times New Roman" w:hAnsi="Times New Roman" w:cs="Times New Roman"/>
          <w:color w:val="000000"/>
          <w:sz w:val="21"/>
          <w:szCs w:val="21"/>
          <w:lang w:val="x-none" w:eastAsia="ru-RU"/>
        </w:rPr>
        <w:t>Alexander Copestake, Julia Estefania-Flores</w:t>
      </w:r>
      <w:r w:rsidRPr="00FD51FA">
        <w:rPr>
          <w:rFonts w:ascii="Times New Roman" w:eastAsia="Times New Roman" w:hAnsi="Times New Roman" w:cs="Times New Roman"/>
          <w:color w:val="000000"/>
          <w:sz w:val="21"/>
          <w:szCs w:val="21"/>
          <w:lang w:val="en-US" w:eastAsia="ru-RU"/>
        </w:rPr>
        <w:t xml:space="preserve">, </w:t>
      </w:r>
      <w:r w:rsidRPr="00FD51FA">
        <w:rPr>
          <w:rFonts w:ascii="Times New Roman" w:eastAsia="Times New Roman" w:hAnsi="Times New Roman" w:cs="Times New Roman"/>
          <w:color w:val="000000"/>
          <w:sz w:val="21"/>
          <w:szCs w:val="21"/>
          <w:lang w:val="x-none" w:eastAsia="ru-RU"/>
        </w:rPr>
        <w:t>Davide Furceri</w:t>
      </w:r>
      <w:r w:rsidRPr="00FD51FA">
        <w:rPr>
          <w:rFonts w:ascii="Times New Roman" w:eastAsia="Times New Roman" w:hAnsi="Times New Roman" w:cs="Times New Roman"/>
          <w:color w:val="000000"/>
          <w:sz w:val="21"/>
          <w:szCs w:val="21"/>
          <w:lang w:val="en-US" w:eastAsia="ru-RU"/>
        </w:rPr>
        <w:t xml:space="preserve">: </w:t>
      </w:r>
      <w:r w:rsidRPr="00FD51FA">
        <w:rPr>
          <w:rFonts w:ascii="Times New Roman" w:eastAsia="Times New Roman" w:hAnsi="Times New Roman" w:cs="Times New Roman"/>
          <w:color w:val="000000"/>
          <w:sz w:val="21"/>
          <w:szCs w:val="21"/>
          <w:lang w:val="x-none" w:eastAsia="ru-RU"/>
        </w:rPr>
        <w:t>Digitalization and Resilience. IMF Working Paper, 2022.</w:t>
      </w:r>
    </w:p>
    <w:p w14:paraId="3E57A4E2" w14:textId="77777777" w:rsidR="00E043DB" w:rsidRPr="00FD51FA" w:rsidRDefault="00E043DB" w:rsidP="00AD58CD">
      <w:pPr>
        <w:pStyle w:val="a8"/>
        <w:numPr>
          <w:ilvl w:val="0"/>
          <w:numId w:val="200"/>
        </w:numPr>
        <w:tabs>
          <w:tab w:val="clear" w:pos="720"/>
          <w:tab w:val="num" w:pos="360"/>
        </w:tabs>
        <w:spacing w:after="75" w:line="240" w:lineRule="auto"/>
        <w:ind w:hanging="720"/>
        <w:jc w:val="both"/>
        <w:rPr>
          <w:rFonts w:ascii="Times New Roman" w:eastAsia="Times New Roman" w:hAnsi="Times New Roman" w:cs="Times New Roman"/>
          <w:color w:val="000000"/>
          <w:sz w:val="21"/>
          <w:szCs w:val="21"/>
          <w:lang w:val="x-none" w:eastAsia="ru-RU"/>
        </w:rPr>
      </w:pPr>
      <w:r w:rsidRPr="00FD51FA">
        <w:rPr>
          <w:rFonts w:ascii="Times New Roman" w:eastAsia="Times New Roman" w:hAnsi="Times New Roman" w:cs="Times New Roman"/>
          <w:color w:val="000000"/>
          <w:sz w:val="21"/>
          <w:szCs w:val="21"/>
          <w:lang w:val="x-none" w:eastAsia="ru-RU"/>
        </w:rPr>
        <w:t xml:space="preserve">Р.М. Магомедов. </w:t>
      </w:r>
      <w:r w:rsidRPr="00FD51FA">
        <w:rPr>
          <w:rFonts w:ascii="Times New Roman" w:eastAsia="Times New Roman" w:hAnsi="Times New Roman" w:cs="Times New Roman"/>
          <w:color w:val="000000"/>
          <w:sz w:val="21"/>
          <w:szCs w:val="21"/>
          <w:lang w:eastAsia="ru-RU"/>
        </w:rPr>
        <w:t xml:space="preserve">Российские маркетплейсы в эпоху санкций: Научный журнал </w:t>
      </w:r>
      <w:r w:rsidRPr="00FD51FA">
        <w:rPr>
          <w:rFonts w:ascii="Times New Roman" w:eastAsia="Times New Roman" w:hAnsi="Times New Roman" w:cs="Times New Roman"/>
          <w:color w:val="000000"/>
          <w:sz w:val="21"/>
          <w:szCs w:val="21"/>
          <w:lang w:val="x-none" w:eastAsia="ru-RU"/>
        </w:rPr>
        <w:t>"УПРАВЛЕНЧЕСКИЙ УЧЕТ" №11</w:t>
      </w:r>
      <w:r w:rsidRPr="00FD51FA">
        <w:rPr>
          <w:rFonts w:ascii="Times New Roman" w:eastAsia="Times New Roman" w:hAnsi="Times New Roman" w:cs="Times New Roman"/>
          <w:color w:val="000000"/>
          <w:sz w:val="21"/>
          <w:szCs w:val="21"/>
          <w:lang w:eastAsia="ru-RU"/>
        </w:rPr>
        <w:t xml:space="preserve">, </w:t>
      </w:r>
      <w:r w:rsidRPr="00FD51FA">
        <w:rPr>
          <w:rFonts w:ascii="Times New Roman" w:eastAsia="Times New Roman" w:hAnsi="Times New Roman" w:cs="Times New Roman"/>
          <w:color w:val="000000"/>
          <w:sz w:val="21"/>
          <w:szCs w:val="21"/>
          <w:lang w:val="x-none" w:eastAsia="ru-RU"/>
        </w:rPr>
        <w:t>2023</w:t>
      </w:r>
      <w:r w:rsidRPr="00FD51FA">
        <w:rPr>
          <w:rFonts w:ascii="Times New Roman" w:eastAsia="Times New Roman" w:hAnsi="Times New Roman" w:cs="Times New Roman"/>
          <w:color w:val="000000"/>
          <w:sz w:val="21"/>
          <w:szCs w:val="21"/>
          <w:lang w:eastAsia="ru-RU"/>
        </w:rPr>
        <w:t>.</w:t>
      </w:r>
    </w:p>
    <w:p w14:paraId="435D4F3D" w14:textId="77777777" w:rsidR="00E043DB" w:rsidRDefault="00E043DB" w:rsidP="00E043DB">
      <w:pPr>
        <w:spacing w:after="75" w:line="240" w:lineRule="auto"/>
        <w:ind w:hanging="270"/>
        <w:jc w:val="both"/>
        <w:rPr>
          <w:rFonts w:ascii="Times New Roman" w:eastAsia="Times New Roman" w:hAnsi="Times New Roman" w:cs="Times New Roman"/>
          <w:color w:val="000000"/>
          <w:sz w:val="21"/>
          <w:szCs w:val="21"/>
          <w:lang w:eastAsia="ru-RU"/>
        </w:rPr>
      </w:pPr>
    </w:p>
    <w:p w14:paraId="0143FD3D" w14:textId="77777777" w:rsidR="00312975" w:rsidRPr="00312975" w:rsidRDefault="00312975" w:rsidP="00312975">
      <w:pPr>
        <w:suppressAutoHyphens/>
        <w:spacing w:after="0" w:line="240" w:lineRule="auto"/>
        <w:jc w:val="both"/>
        <w:rPr>
          <w:rFonts w:ascii="Times New Roman" w:eastAsia="Times New Roman" w:hAnsi="Times New Roman" w:cs="Times New Roman"/>
          <w:b/>
          <w:color w:val="000000"/>
          <w:sz w:val="21"/>
          <w:szCs w:val="21"/>
          <w:lang w:eastAsia="ar-SA"/>
        </w:rPr>
      </w:pPr>
      <w:r w:rsidRPr="00312975">
        <w:rPr>
          <w:rFonts w:ascii="Times New Roman" w:eastAsia="Times New Roman" w:hAnsi="Times New Roman" w:cs="Times New Roman"/>
          <w:b/>
          <w:color w:val="000000"/>
          <w:sz w:val="21"/>
          <w:szCs w:val="21"/>
          <w:lang w:eastAsia="ar-SA"/>
        </w:rPr>
        <w:t>УДК 378</w:t>
      </w:r>
    </w:p>
    <w:p w14:paraId="2856BADE" w14:textId="77777777" w:rsidR="00312975" w:rsidRPr="00312975" w:rsidRDefault="00312975" w:rsidP="00F20EF1">
      <w:pPr>
        <w:spacing w:after="0" w:line="240" w:lineRule="auto"/>
        <w:rPr>
          <w:rFonts w:ascii="Times New Roman" w:eastAsia="Calibri" w:hAnsi="Times New Roman" w:cs="Times New Roman"/>
          <w:b/>
          <w:i/>
          <w:iCs/>
          <w:kern w:val="2"/>
          <w:sz w:val="21"/>
          <w:szCs w:val="21"/>
          <w14:ligatures w14:val="standardContextual"/>
        </w:rPr>
      </w:pPr>
    </w:p>
    <w:p w14:paraId="224BA8D9" w14:textId="77777777" w:rsidR="00312975" w:rsidRPr="00312975" w:rsidRDefault="00312975" w:rsidP="00F20EF1">
      <w:pPr>
        <w:spacing w:after="0" w:line="240" w:lineRule="auto"/>
        <w:jc w:val="right"/>
        <w:rPr>
          <w:rFonts w:ascii="Times New Roman" w:eastAsia="Calibri" w:hAnsi="Times New Roman" w:cs="Times New Roman"/>
          <w:b/>
          <w:bCs/>
          <w:i/>
          <w:iCs/>
          <w:kern w:val="2"/>
          <w:sz w:val="21"/>
          <w:szCs w:val="21"/>
          <w14:ligatures w14:val="standardContextual"/>
        </w:rPr>
      </w:pPr>
      <w:r w:rsidRPr="00312975">
        <w:rPr>
          <w:rFonts w:ascii="Times New Roman" w:eastAsia="Calibri" w:hAnsi="Times New Roman" w:cs="Times New Roman"/>
          <w:b/>
          <w:bCs/>
          <w:i/>
          <w:iCs/>
          <w:kern w:val="2"/>
          <w:sz w:val="21"/>
          <w:szCs w:val="21"/>
          <w14:ligatures w14:val="standardContextual"/>
        </w:rPr>
        <w:t xml:space="preserve">Гучетль С. К., Консевич С. А., </w:t>
      </w:r>
    </w:p>
    <w:p w14:paraId="4B9955C6"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 xml:space="preserve">студент 1 курса </w:t>
      </w:r>
    </w:p>
    <w:p w14:paraId="61610AB4" w14:textId="77777777" w:rsidR="009A4E6A" w:rsidRPr="0001591D" w:rsidRDefault="009A4E6A"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4560DF9D"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г. Краснодар, Россия</w:t>
      </w:r>
    </w:p>
    <w:p w14:paraId="306F672C" w14:textId="77777777" w:rsidR="00312975" w:rsidRPr="00C30970"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е</w:t>
      </w:r>
      <w:r w:rsidRPr="00C30970">
        <w:rPr>
          <w:rFonts w:ascii="Times New Roman" w:eastAsia="Calibri" w:hAnsi="Times New Roman" w:cs="Times New Roman"/>
          <w:i/>
          <w:iCs/>
          <w:kern w:val="2"/>
          <w:sz w:val="21"/>
          <w:szCs w:val="21"/>
          <w14:ligatures w14:val="standardContextual"/>
        </w:rPr>
        <w:t>-</w:t>
      </w:r>
      <w:r w:rsidRPr="00312975">
        <w:rPr>
          <w:rFonts w:ascii="Times New Roman" w:eastAsia="Calibri" w:hAnsi="Times New Roman" w:cs="Times New Roman"/>
          <w:i/>
          <w:iCs/>
          <w:kern w:val="2"/>
          <w:sz w:val="21"/>
          <w:szCs w:val="21"/>
          <w:lang w:val="en-US"/>
          <w14:ligatures w14:val="standardContextual"/>
        </w:rPr>
        <w:t>mail</w:t>
      </w:r>
      <w:r w:rsidRPr="00C30970">
        <w:rPr>
          <w:rFonts w:ascii="Times New Roman" w:eastAsia="Calibri" w:hAnsi="Times New Roman" w:cs="Times New Roman"/>
          <w:i/>
          <w:iCs/>
          <w:kern w:val="2"/>
          <w:sz w:val="21"/>
          <w:szCs w:val="21"/>
          <w14:ligatures w14:val="standardContextual"/>
        </w:rPr>
        <w:t xml:space="preserve">: </w:t>
      </w:r>
      <w:hyperlink r:id="rId704" w:history="1">
        <w:r w:rsidRPr="00312975">
          <w:rPr>
            <w:rFonts w:ascii="Times New Roman" w:eastAsia="Calibri" w:hAnsi="Times New Roman" w:cs="Times New Roman"/>
            <w:i/>
            <w:iCs/>
            <w:color w:val="0563C1"/>
            <w:kern w:val="2"/>
            <w:sz w:val="21"/>
            <w:szCs w:val="21"/>
            <w:u w:val="single"/>
            <w:lang w:val="en-US"/>
            <w14:ligatures w14:val="standardContextual"/>
          </w:rPr>
          <w:t>konsevich</w:t>
        </w:r>
        <w:r w:rsidRPr="00C30970">
          <w:rPr>
            <w:rFonts w:ascii="Times New Roman" w:eastAsia="Calibri" w:hAnsi="Times New Roman" w:cs="Times New Roman"/>
            <w:i/>
            <w:iCs/>
            <w:color w:val="0563C1"/>
            <w:kern w:val="2"/>
            <w:sz w:val="21"/>
            <w:szCs w:val="21"/>
            <w:u w:val="single"/>
            <w14:ligatures w14:val="standardContextual"/>
          </w:rPr>
          <w:t>.</w:t>
        </w:r>
        <w:r w:rsidRPr="00312975">
          <w:rPr>
            <w:rFonts w:ascii="Times New Roman" w:eastAsia="Calibri" w:hAnsi="Times New Roman" w:cs="Times New Roman"/>
            <w:i/>
            <w:iCs/>
            <w:color w:val="0563C1"/>
            <w:kern w:val="2"/>
            <w:sz w:val="21"/>
            <w:szCs w:val="21"/>
            <w:u w:val="single"/>
            <w:lang w:val="en-US"/>
            <w14:ligatures w14:val="standardContextual"/>
          </w:rPr>
          <w:t>sof</w:t>
        </w:r>
        <w:r w:rsidRPr="00C30970">
          <w:rPr>
            <w:rFonts w:ascii="Times New Roman" w:eastAsia="Calibri" w:hAnsi="Times New Roman" w:cs="Times New Roman"/>
            <w:i/>
            <w:iCs/>
            <w:color w:val="0563C1"/>
            <w:kern w:val="2"/>
            <w:sz w:val="21"/>
            <w:szCs w:val="21"/>
            <w:u w:val="single"/>
            <w14:ligatures w14:val="standardContextual"/>
          </w:rPr>
          <w:t>@</w:t>
        </w:r>
        <w:r w:rsidRPr="00312975">
          <w:rPr>
            <w:rFonts w:ascii="Times New Roman" w:eastAsia="Calibri" w:hAnsi="Times New Roman" w:cs="Times New Roman"/>
            <w:i/>
            <w:iCs/>
            <w:color w:val="0563C1"/>
            <w:kern w:val="2"/>
            <w:sz w:val="21"/>
            <w:szCs w:val="21"/>
            <w:u w:val="single"/>
            <w:lang w:val="en-US"/>
            <w14:ligatures w14:val="standardContextual"/>
          </w:rPr>
          <w:t>gmail</w:t>
        </w:r>
        <w:r w:rsidRPr="00C30970">
          <w:rPr>
            <w:rFonts w:ascii="Times New Roman" w:eastAsia="Calibri" w:hAnsi="Times New Roman" w:cs="Times New Roman"/>
            <w:i/>
            <w:iCs/>
            <w:color w:val="0563C1"/>
            <w:kern w:val="2"/>
            <w:sz w:val="21"/>
            <w:szCs w:val="21"/>
            <w:u w:val="single"/>
            <w14:ligatures w14:val="standardContextual"/>
          </w:rPr>
          <w:t>.</w:t>
        </w:r>
        <w:r w:rsidRPr="00312975">
          <w:rPr>
            <w:rFonts w:ascii="Times New Roman" w:eastAsia="Calibri" w:hAnsi="Times New Roman" w:cs="Times New Roman"/>
            <w:i/>
            <w:iCs/>
            <w:color w:val="0563C1"/>
            <w:kern w:val="2"/>
            <w:sz w:val="21"/>
            <w:szCs w:val="21"/>
            <w:u w:val="single"/>
            <w:lang w:val="en-US"/>
            <w14:ligatures w14:val="standardContextual"/>
          </w:rPr>
          <w:t>com</w:t>
        </w:r>
      </w:hyperlink>
    </w:p>
    <w:p w14:paraId="3CD5D45B" w14:textId="77777777" w:rsidR="00312975" w:rsidRPr="00C30970"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p>
    <w:p w14:paraId="72408AEF" w14:textId="77777777" w:rsidR="00312975" w:rsidRPr="00312975" w:rsidRDefault="00312975" w:rsidP="00F20EF1">
      <w:pPr>
        <w:spacing w:after="0" w:line="240" w:lineRule="auto"/>
        <w:jc w:val="right"/>
        <w:rPr>
          <w:rFonts w:ascii="Times New Roman" w:eastAsia="Calibri" w:hAnsi="Times New Roman" w:cs="Times New Roman"/>
          <w:b/>
          <w:bCs/>
          <w:i/>
          <w:iCs/>
          <w:kern w:val="2"/>
          <w:sz w:val="21"/>
          <w:szCs w:val="21"/>
          <w14:ligatures w14:val="standardContextual"/>
        </w:rPr>
      </w:pPr>
      <w:r w:rsidRPr="00312975">
        <w:rPr>
          <w:rFonts w:ascii="Times New Roman" w:eastAsia="Calibri" w:hAnsi="Times New Roman" w:cs="Times New Roman"/>
          <w:b/>
          <w:bCs/>
          <w:i/>
          <w:iCs/>
          <w:kern w:val="2"/>
          <w:sz w:val="21"/>
          <w:szCs w:val="21"/>
          <w14:ligatures w14:val="standardContextual"/>
        </w:rPr>
        <w:t>Научный руководитель:</w:t>
      </w:r>
    </w:p>
    <w:p w14:paraId="311EF7E6" w14:textId="77777777" w:rsidR="00312975" w:rsidRPr="00312975" w:rsidRDefault="00312975" w:rsidP="00F20EF1">
      <w:pPr>
        <w:spacing w:after="0" w:line="240" w:lineRule="auto"/>
        <w:jc w:val="right"/>
        <w:rPr>
          <w:rFonts w:ascii="Times New Roman" w:eastAsia="Calibri" w:hAnsi="Times New Roman" w:cs="Times New Roman"/>
          <w:b/>
          <w:bCs/>
          <w:i/>
          <w:iCs/>
          <w:kern w:val="2"/>
          <w:sz w:val="21"/>
          <w:szCs w:val="21"/>
          <w14:ligatures w14:val="standardContextual"/>
        </w:rPr>
      </w:pPr>
      <w:r w:rsidRPr="00312975">
        <w:rPr>
          <w:rFonts w:ascii="Times New Roman" w:eastAsia="Calibri" w:hAnsi="Times New Roman" w:cs="Times New Roman"/>
          <w:b/>
          <w:bCs/>
          <w:i/>
          <w:iCs/>
          <w:kern w:val="2"/>
          <w:sz w:val="21"/>
          <w:szCs w:val="21"/>
          <w14:ligatures w14:val="standardContextual"/>
        </w:rPr>
        <w:t>Гучетль С. К.,</w:t>
      </w:r>
    </w:p>
    <w:p w14:paraId="0C18FCD0"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Старший преподаватель</w:t>
      </w:r>
    </w:p>
    <w:p w14:paraId="3BAE2284" w14:textId="77777777" w:rsidR="009A4E6A" w:rsidRPr="0001591D" w:rsidRDefault="009A4E6A" w:rsidP="009A4E6A">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72CACFEA"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г. Краснодар, Россия</w:t>
      </w:r>
    </w:p>
    <w:p w14:paraId="111632B3" w14:textId="77777777" w:rsidR="009A4E6A" w:rsidRPr="00312975" w:rsidRDefault="009A4E6A" w:rsidP="009A4E6A">
      <w:pPr>
        <w:spacing w:after="0" w:line="240" w:lineRule="auto"/>
        <w:jc w:val="right"/>
        <w:rPr>
          <w:rFonts w:ascii="Times New Roman" w:eastAsia="Calibri" w:hAnsi="Times New Roman" w:cs="Times New Roman"/>
          <w:i/>
          <w:iCs/>
          <w:kern w:val="2"/>
          <w:sz w:val="21"/>
          <w:szCs w:val="21"/>
          <w14:ligatures w14:val="standardContextual"/>
        </w:rPr>
      </w:pPr>
      <w:r w:rsidRPr="00312975">
        <w:rPr>
          <w:rFonts w:ascii="Times New Roman" w:eastAsia="Calibri" w:hAnsi="Times New Roman" w:cs="Times New Roman"/>
          <w:i/>
          <w:iCs/>
          <w:kern w:val="2"/>
          <w:sz w:val="21"/>
          <w:szCs w:val="21"/>
          <w14:ligatures w14:val="standardContextual"/>
        </w:rPr>
        <w:t>е-</w:t>
      </w:r>
      <w:r w:rsidRPr="00312975">
        <w:rPr>
          <w:rFonts w:ascii="Times New Roman" w:eastAsia="Calibri" w:hAnsi="Times New Roman" w:cs="Times New Roman"/>
          <w:i/>
          <w:iCs/>
          <w:kern w:val="2"/>
          <w:sz w:val="21"/>
          <w:szCs w:val="21"/>
          <w:lang w:val="en-US"/>
          <w14:ligatures w14:val="standardContextual"/>
        </w:rPr>
        <w:t>mail</w:t>
      </w:r>
      <w:r w:rsidRPr="00312975">
        <w:rPr>
          <w:rFonts w:ascii="Times New Roman" w:eastAsia="Calibri" w:hAnsi="Times New Roman" w:cs="Times New Roman"/>
          <w:i/>
          <w:iCs/>
          <w:kern w:val="2"/>
          <w:sz w:val="21"/>
          <w:szCs w:val="21"/>
          <w14:ligatures w14:val="standardContextual"/>
        </w:rPr>
        <w:t xml:space="preserve">: </w:t>
      </w:r>
      <w:hyperlink r:id="rId705" w:history="1">
        <w:r w:rsidRPr="00312975">
          <w:rPr>
            <w:rFonts w:ascii="Times New Roman" w:eastAsia="Calibri" w:hAnsi="Times New Roman" w:cs="Times New Roman"/>
            <w:i/>
            <w:iCs/>
            <w:color w:val="0563C1"/>
            <w:kern w:val="2"/>
            <w:sz w:val="21"/>
            <w:szCs w:val="21"/>
            <w:u w:val="single"/>
            <w:lang w:val="en-US"/>
            <w14:ligatures w14:val="standardContextual"/>
          </w:rPr>
          <w:t>SKGuchetl</w:t>
        </w:r>
        <w:r w:rsidRPr="00312975">
          <w:rPr>
            <w:rFonts w:ascii="Times New Roman" w:eastAsia="Calibri" w:hAnsi="Times New Roman" w:cs="Times New Roman"/>
            <w:i/>
            <w:iCs/>
            <w:color w:val="0563C1"/>
            <w:kern w:val="2"/>
            <w:sz w:val="21"/>
            <w:szCs w:val="21"/>
            <w:u w:val="single"/>
            <w14:ligatures w14:val="standardContextual"/>
          </w:rPr>
          <w:t>@</w:t>
        </w:r>
        <w:r w:rsidRPr="00312975">
          <w:rPr>
            <w:rFonts w:ascii="Times New Roman" w:eastAsia="Calibri" w:hAnsi="Times New Roman" w:cs="Times New Roman"/>
            <w:i/>
            <w:iCs/>
            <w:color w:val="0563C1"/>
            <w:kern w:val="2"/>
            <w:sz w:val="21"/>
            <w:szCs w:val="21"/>
            <w:u w:val="single"/>
            <w:lang w:val="en-US"/>
            <w14:ligatures w14:val="standardContextual"/>
          </w:rPr>
          <w:t>fa</w:t>
        </w:r>
        <w:r w:rsidRPr="00312975">
          <w:rPr>
            <w:rFonts w:ascii="Times New Roman" w:eastAsia="Calibri" w:hAnsi="Times New Roman" w:cs="Times New Roman"/>
            <w:i/>
            <w:iCs/>
            <w:color w:val="0563C1"/>
            <w:kern w:val="2"/>
            <w:sz w:val="21"/>
            <w:szCs w:val="21"/>
            <w:u w:val="single"/>
            <w14:ligatures w14:val="standardContextual"/>
          </w:rPr>
          <w:t>.</w:t>
        </w:r>
        <w:r w:rsidRPr="00312975">
          <w:rPr>
            <w:rFonts w:ascii="Times New Roman" w:eastAsia="Calibri" w:hAnsi="Times New Roman" w:cs="Times New Roman"/>
            <w:i/>
            <w:iCs/>
            <w:color w:val="0563C1"/>
            <w:kern w:val="2"/>
            <w:sz w:val="21"/>
            <w:szCs w:val="21"/>
            <w:u w:val="single"/>
            <w:lang w:val="en-US"/>
            <w14:ligatures w14:val="standardContextual"/>
          </w:rPr>
          <w:t>ru</w:t>
        </w:r>
      </w:hyperlink>
      <w:r w:rsidRPr="00312975">
        <w:rPr>
          <w:rFonts w:ascii="Times New Roman" w:eastAsia="Calibri" w:hAnsi="Times New Roman" w:cs="Times New Roman"/>
          <w:i/>
          <w:iCs/>
          <w:kern w:val="2"/>
          <w:sz w:val="21"/>
          <w:szCs w:val="21"/>
          <w14:ligatures w14:val="standardContextual"/>
        </w:rPr>
        <w:t xml:space="preserve"> </w:t>
      </w:r>
    </w:p>
    <w:p w14:paraId="69351367"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lang w:val="x-none"/>
          <w14:ligatures w14:val="standardContextual"/>
        </w:rPr>
      </w:pPr>
    </w:p>
    <w:p w14:paraId="34363DF8" w14:textId="59E24B2C" w:rsidR="00312975" w:rsidRDefault="00312975" w:rsidP="00F20EF1">
      <w:pPr>
        <w:spacing w:after="0" w:line="240" w:lineRule="auto"/>
        <w:jc w:val="center"/>
        <w:rPr>
          <w:rFonts w:ascii="Times New Roman" w:eastAsia="Calibri" w:hAnsi="Times New Roman" w:cs="Times New Roman"/>
          <w:b/>
          <w:bCs/>
          <w:kern w:val="2"/>
          <w:sz w:val="21"/>
          <w:szCs w:val="21"/>
          <w14:ligatures w14:val="standardContextual"/>
        </w:rPr>
      </w:pPr>
      <w:r w:rsidRPr="00312975">
        <w:rPr>
          <w:rFonts w:ascii="Times New Roman" w:eastAsia="Calibri" w:hAnsi="Times New Roman" w:cs="Times New Roman"/>
          <w:b/>
          <w:bCs/>
          <w:kern w:val="2"/>
          <w:sz w:val="21"/>
          <w:szCs w:val="21"/>
          <w14:ligatures w14:val="standardContextual"/>
        </w:rPr>
        <w:t>Особенности интеграции eBay в российский рынок</w:t>
      </w:r>
    </w:p>
    <w:p w14:paraId="6F7F1F0D" w14:textId="77777777" w:rsidR="00EA3243" w:rsidRPr="00312975" w:rsidRDefault="00EA3243" w:rsidP="00F20EF1">
      <w:pPr>
        <w:spacing w:after="0" w:line="240" w:lineRule="auto"/>
        <w:jc w:val="center"/>
        <w:rPr>
          <w:rFonts w:ascii="Times New Roman" w:eastAsia="Calibri" w:hAnsi="Times New Roman" w:cs="Times New Roman"/>
          <w:b/>
          <w:bCs/>
          <w:kern w:val="2"/>
          <w:sz w:val="21"/>
          <w:szCs w:val="21"/>
          <w14:ligatures w14:val="standardContextual"/>
        </w:rPr>
      </w:pPr>
    </w:p>
    <w:p w14:paraId="1FF42DFC" w14:textId="77777777" w:rsidR="00312975" w:rsidRPr="00312975" w:rsidRDefault="00312975" w:rsidP="009A4E6A">
      <w:pPr>
        <w:spacing w:after="0" w:line="240" w:lineRule="auto"/>
        <w:ind w:firstLine="709"/>
        <w:jc w:val="both"/>
        <w:rPr>
          <w:rFonts w:ascii="Times New Roman" w:eastAsia="Calibri" w:hAnsi="Times New Roman" w:cs="Times New Roman"/>
          <w:kern w:val="2"/>
          <w:sz w:val="21"/>
          <w:szCs w:val="21"/>
          <w14:ligatures w14:val="standardContextual"/>
        </w:rPr>
      </w:pPr>
      <w:r w:rsidRPr="00312975">
        <w:rPr>
          <w:rFonts w:ascii="Times New Roman" w:eastAsia="Calibri" w:hAnsi="Times New Roman" w:cs="Times New Roman"/>
          <w:b/>
          <w:kern w:val="2"/>
          <w:sz w:val="21"/>
          <w:szCs w:val="21"/>
          <w14:ligatures w14:val="standardContextual"/>
        </w:rPr>
        <w:t>Аннотация:</w:t>
      </w:r>
      <w:r w:rsidRPr="00312975">
        <w:rPr>
          <w:rFonts w:ascii="Times New Roman" w:eastAsia="Calibri" w:hAnsi="Times New Roman" w:cs="Times New Roman"/>
          <w:i/>
          <w:kern w:val="2"/>
          <w:sz w:val="21"/>
          <w:szCs w:val="21"/>
          <w14:ligatures w14:val="standardContextual"/>
        </w:rPr>
        <w:t xml:space="preserve"> </w:t>
      </w:r>
      <w:r w:rsidRPr="00312975">
        <w:rPr>
          <w:rFonts w:ascii="Times New Roman" w:eastAsia="Calibri" w:hAnsi="Times New Roman" w:cs="Times New Roman"/>
          <w:kern w:val="2"/>
          <w:sz w:val="21"/>
          <w:szCs w:val="21"/>
          <w14:ligatures w14:val="standardContextual"/>
        </w:rPr>
        <w:t>В статье исследуется, как международная торговая площадка eBay влияет на российскую экономику, финансовую сферу и общество в условиях перехода к цифровым технологиям. Исследуются основные проблемы, с которыми сталкиваются глобальные торговые платформы при работе в России: законы и правила, денежные ограничения, разница в доступе к технологиям. На основе анализа бизнес-модели eBay предлагаются адаптационные механизмы для устойчивого развития цифровой торговли в РФ.</w:t>
      </w:r>
    </w:p>
    <w:p w14:paraId="7594DCAF" w14:textId="77777777" w:rsidR="00312975" w:rsidRPr="00312975" w:rsidRDefault="00312975" w:rsidP="009A4E6A">
      <w:pPr>
        <w:spacing w:after="0" w:line="240" w:lineRule="auto"/>
        <w:ind w:firstLine="709"/>
        <w:jc w:val="both"/>
        <w:rPr>
          <w:rFonts w:ascii="Times New Roman" w:eastAsia="Calibri" w:hAnsi="Times New Roman" w:cs="Times New Roman"/>
          <w:kern w:val="2"/>
          <w:sz w:val="21"/>
          <w:szCs w:val="21"/>
          <w14:ligatures w14:val="standardContextual"/>
        </w:rPr>
      </w:pPr>
      <w:r w:rsidRPr="00312975">
        <w:rPr>
          <w:rFonts w:ascii="Times New Roman" w:eastAsia="Calibri" w:hAnsi="Times New Roman" w:cs="Times New Roman"/>
          <w:b/>
          <w:kern w:val="2"/>
          <w:sz w:val="21"/>
          <w:szCs w:val="21"/>
          <w14:ligatures w14:val="standardContextual"/>
        </w:rPr>
        <w:t>Ключевые слова:</w:t>
      </w:r>
      <w:r w:rsidRPr="00312975">
        <w:rPr>
          <w:rFonts w:ascii="Times New Roman" w:eastAsia="Calibri" w:hAnsi="Times New Roman" w:cs="Times New Roman"/>
          <w:kern w:val="2"/>
          <w:sz w:val="21"/>
          <w:szCs w:val="21"/>
          <w14:ligatures w14:val="standardContextual"/>
        </w:rPr>
        <w:t xml:space="preserve"> цифровая экономика, маркетплейсы, eBay, финансовая адаптация, цифровая трансформация, социальное неравенство, устойчивое развитие, малый бизнес, санкции, развитие бизнеса.</w:t>
      </w:r>
    </w:p>
    <w:p w14:paraId="6AE311FE" w14:textId="77777777" w:rsidR="00312975" w:rsidRPr="00312975" w:rsidRDefault="00312975" w:rsidP="00F20EF1">
      <w:pPr>
        <w:spacing w:after="0" w:line="240" w:lineRule="auto"/>
        <w:rPr>
          <w:rFonts w:ascii="Times New Roman" w:eastAsia="Calibri" w:hAnsi="Times New Roman" w:cs="Times New Roman"/>
          <w:b/>
          <w:i/>
          <w:iCs/>
          <w:kern w:val="2"/>
          <w:sz w:val="21"/>
          <w:szCs w:val="21"/>
          <w14:ligatures w14:val="standardContextual"/>
        </w:rPr>
      </w:pPr>
    </w:p>
    <w:p w14:paraId="2436372F" w14:textId="77777777" w:rsidR="00312975" w:rsidRPr="00312975" w:rsidRDefault="00312975" w:rsidP="00F20EF1">
      <w:pPr>
        <w:spacing w:after="0" w:line="240" w:lineRule="auto"/>
        <w:jc w:val="right"/>
        <w:rPr>
          <w:rFonts w:ascii="Times New Roman" w:eastAsia="Calibri" w:hAnsi="Times New Roman" w:cs="Times New Roman"/>
          <w:b/>
          <w:bCs/>
          <w:i/>
          <w:iCs/>
          <w:kern w:val="2"/>
          <w:sz w:val="21"/>
          <w:szCs w:val="21"/>
          <w:lang w:val="en-US"/>
          <w14:ligatures w14:val="standardContextual"/>
        </w:rPr>
      </w:pPr>
      <w:r w:rsidRPr="00312975">
        <w:rPr>
          <w:rFonts w:ascii="Times New Roman" w:eastAsia="Calibri" w:hAnsi="Times New Roman" w:cs="Times New Roman"/>
          <w:b/>
          <w:bCs/>
          <w:i/>
          <w:iCs/>
          <w:kern w:val="2"/>
          <w:sz w:val="21"/>
          <w:szCs w:val="21"/>
          <w:lang w:val="en"/>
          <w14:ligatures w14:val="standardContextual"/>
        </w:rPr>
        <w:t>Guchetl S. K</w:t>
      </w:r>
      <w:r w:rsidRPr="00312975">
        <w:rPr>
          <w:rFonts w:ascii="Times New Roman" w:eastAsia="Calibri" w:hAnsi="Times New Roman" w:cs="Times New Roman"/>
          <w:b/>
          <w:bCs/>
          <w:i/>
          <w:iCs/>
          <w:kern w:val="2"/>
          <w:sz w:val="21"/>
          <w:szCs w:val="21"/>
          <w:lang w:val="en-US"/>
          <w14:ligatures w14:val="standardContextual"/>
        </w:rPr>
        <w:t xml:space="preserve">., Konsevich S. A, </w:t>
      </w:r>
    </w:p>
    <w:p w14:paraId="4EEFCDEE" w14:textId="77777777" w:rsidR="00312975" w:rsidRPr="00312975" w:rsidRDefault="00312975" w:rsidP="00F20EF1">
      <w:pPr>
        <w:spacing w:after="0" w:line="240" w:lineRule="auto"/>
        <w:jc w:val="right"/>
        <w:rPr>
          <w:rFonts w:ascii="Times New Roman" w:eastAsia="Calibri" w:hAnsi="Times New Roman" w:cs="Times New Roman"/>
          <w:bCs/>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1st year student</w:t>
      </w:r>
    </w:p>
    <w:p w14:paraId="60BC04B7" w14:textId="77777777" w:rsidR="00312975" w:rsidRPr="00312975" w:rsidRDefault="00312975" w:rsidP="00F20EF1">
      <w:pPr>
        <w:spacing w:after="0" w:line="240" w:lineRule="auto"/>
        <w:jc w:val="right"/>
        <w:rPr>
          <w:rFonts w:ascii="Times New Roman" w:eastAsia="Calibri" w:hAnsi="Times New Roman" w:cs="Times New Roman"/>
          <w:bCs/>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Krasnodar branch of the Financial University</w:t>
      </w:r>
    </w:p>
    <w:p w14:paraId="280DD7D8" w14:textId="77777777" w:rsidR="00312975" w:rsidRPr="00312975" w:rsidRDefault="00312975" w:rsidP="00F20EF1">
      <w:pPr>
        <w:spacing w:after="0" w:line="240" w:lineRule="auto"/>
        <w:jc w:val="right"/>
        <w:rPr>
          <w:rFonts w:ascii="Times New Roman" w:eastAsia="Calibri" w:hAnsi="Times New Roman" w:cs="Times New Roman"/>
          <w:bCs/>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Krasnodar, Russia</w:t>
      </w:r>
    </w:p>
    <w:p w14:paraId="361E3A82"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lang w:val="en-US"/>
          <w14:ligatures w14:val="standardContextual"/>
        </w:rPr>
      </w:pPr>
      <w:r w:rsidRPr="00312975">
        <w:rPr>
          <w:rFonts w:ascii="Times New Roman" w:eastAsia="Calibri" w:hAnsi="Times New Roman" w:cs="Times New Roman"/>
          <w:i/>
          <w:iCs/>
          <w:kern w:val="2"/>
          <w:sz w:val="21"/>
          <w:szCs w:val="21"/>
          <w14:ligatures w14:val="standardContextual"/>
        </w:rPr>
        <w:t>е</w:t>
      </w:r>
      <w:r w:rsidRPr="00312975">
        <w:rPr>
          <w:rFonts w:ascii="Times New Roman" w:eastAsia="Calibri" w:hAnsi="Times New Roman" w:cs="Times New Roman"/>
          <w:i/>
          <w:iCs/>
          <w:kern w:val="2"/>
          <w:sz w:val="21"/>
          <w:szCs w:val="21"/>
          <w:lang w:val="en-US"/>
          <w14:ligatures w14:val="standardContextual"/>
        </w:rPr>
        <w:t xml:space="preserve">-mail: </w:t>
      </w:r>
      <w:hyperlink r:id="rId706" w:history="1">
        <w:r w:rsidRPr="00312975">
          <w:rPr>
            <w:rFonts w:ascii="Times New Roman" w:eastAsia="Calibri" w:hAnsi="Times New Roman" w:cs="Times New Roman"/>
            <w:i/>
            <w:iCs/>
            <w:color w:val="0563C1"/>
            <w:kern w:val="2"/>
            <w:sz w:val="21"/>
            <w:szCs w:val="21"/>
            <w:u w:val="single"/>
            <w:lang w:val="en-US"/>
            <w14:ligatures w14:val="standardContextual"/>
          </w:rPr>
          <w:t>konsevich.sof@gmail.com</w:t>
        </w:r>
      </w:hyperlink>
    </w:p>
    <w:p w14:paraId="40B75A2E"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lang w:val="en-US"/>
          <w14:ligatures w14:val="standardContextual"/>
        </w:rPr>
      </w:pPr>
    </w:p>
    <w:p w14:paraId="550B5F17" w14:textId="77777777" w:rsidR="00312975" w:rsidRPr="00312975" w:rsidRDefault="00312975" w:rsidP="00F20EF1">
      <w:pPr>
        <w:spacing w:after="0" w:line="240" w:lineRule="auto"/>
        <w:jc w:val="right"/>
        <w:rPr>
          <w:rFonts w:ascii="Times New Roman" w:eastAsia="Calibri" w:hAnsi="Times New Roman" w:cs="Times New Roman"/>
          <w:b/>
          <w:i/>
          <w:iCs/>
          <w:kern w:val="2"/>
          <w:sz w:val="21"/>
          <w:szCs w:val="21"/>
          <w:lang w:val="en-US"/>
          <w14:ligatures w14:val="standardContextual"/>
        </w:rPr>
      </w:pPr>
      <w:r w:rsidRPr="00312975">
        <w:rPr>
          <w:rFonts w:ascii="Times New Roman" w:eastAsia="Calibri" w:hAnsi="Times New Roman" w:cs="Times New Roman"/>
          <w:b/>
          <w:i/>
          <w:iCs/>
          <w:kern w:val="2"/>
          <w:sz w:val="21"/>
          <w:szCs w:val="21"/>
          <w:lang w:val="en-US"/>
          <w14:ligatures w14:val="standardContextual"/>
        </w:rPr>
        <w:t>Scientific supervisor:</w:t>
      </w:r>
    </w:p>
    <w:p w14:paraId="304BE107" w14:textId="77777777" w:rsidR="00312975" w:rsidRPr="00312975" w:rsidRDefault="00312975" w:rsidP="00F20EF1">
      <w:pPr>
        <w:spacing w:after="0" w:line="240" w:lineRule="auto"/>
        <w:jc w:val="right"/>
        <w:rPr>
          <w:rFonts w:ascii="Times New Roman" w:eastAsia="Calibri" w:hAnsi="Times New Roman" w:cs="Times New Roman"/>
          <w:b/>
          <w:bCs/>
          <w:i/>
          <w:iCs/>
          <w:kern w:val="2"/>
          <w:sz w:val="21"/>
          <w:szCs w:val="21"/>
          <w:lang w:val="en-US"/>
          <w14:ligatures w14:val="standardContextual"/>
        </w:rPr>
      </w:pPr>
      <w:r w:rsidRPr="00312975">
        <w:rPr>
          <w:rFonts w:ascii="Times New Roman" w:eastAsia="Calibri" w:hAnsi="Times New Roman" w:cs="Times New Roman"/>
          <w:b/>
          <w:bCs/>
          <w:i/>
          <w:iCs/>
          <w:kern w:val="2"/>
          <w:sz w:val="21"/>
          <w:szCs w:val="21"/>
          <w:lang w:val="en"/>
          <w14:ligatures w14:val="standardContextual"/>
        </w:rPr>
        <w:t>Guchetl S. K</w:t>
      </w:r>
      <w:r w:rsidRPr="00312975">
        <w:rPr>
          <w:rFonts w:ascii="Times New Roman" w:eastAsia="Calibri" w:hAnsi="Times New Roman" w:cs="Times New Roman"/>
          <w:b/>
          <w:bCs/>
          <w:i/>
          <w:iCs/>
          <w:kern w:val="2"/>
          <w:sz w:val="21"/>
          <w:szCs w:val="21"/>
          <w:lang w:val="en-US"/>
          <w14:ligatures w14:val="standardContextual"/>
        </w:rPr>
        <w:t>.,</w:t>
      </w:r>
    </w:p>
    <w:p w14:paraId="6A04A40E"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Senior lecturer</w:t>
      </w:r>
    </w:p>
    <w:p w14:paraId="4F16971C" w14:textId="77777777" w:rsidR="00312975" w:rsidRPr="00312975" w:rsidRDefault="00312975" w:rsidP="00F20EF1">
      <w:pPr>
        <w:spacing w:after="0" w:line="240" w:lineRule="auto"/>
        <w:jc w:val="right"/>
        <w:rPr>
          <w:rFonts w:ascii="Times New Roman" w:eastAsia="Calibri" w:hAnsi="Times New Roman" w:cs="Times New Roman"/>
          <w:bCs/>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Krasnodar branch of the Financial University</w:t>
      </w:r>
    </w:p>
    <w:p w14:paraId="30AFE7D6" w14:textId="77777777" w:rsidR="00312975" w:rsidRPr="00312975" w:rsidRDefault="00312975" w:rsidP="00F20EF1">
      <w:pPr>
        <w:spacing w:after="0" w:line="240" w:lineRule="auto"/>
        <w:jc w:val="right"/>
        <w:rPr>
          <w:rFonts w:ascii="Times New Roman" w:eastAsia="Calibri" w:hAnsi="Times New Roman" w:cs="Times New Roman"/>
          <w:bCs/>
          <w:i/>
          <w:iCs/>
          <w:kern w:val="2"/>
          <w:sz w:val="21"/>
          <w:szCs w:val="21"/>
          <w:lang w:val="en-US"/>
          <w14:ligatures w14:val="standardContextual"/>
        </w:rPr>
      </w:pPr>
      <w:r w:rsidRPr="00312975">
        <w:rPr>
          <w:rFonts w:ascii="Times New Roman" w:eastAsia="Calibri" w:hAnsi="Times New Roman" w:cs="Times New Roman"/>
          <w:i/>
          <w:iCs/>
          <w:kern w:val="2"/>
          <w:sz w:val="21"/>
          <w:szCs w:val="21"/>
          <w:lang w:val="en-US"/>
          <w14:ligatures w14:val="standardContextual"/>
        </w:rPr>
        <w:t>Krasnodar, Russia</w:t>
      </w:r>
    </w:p>
    <w:p w14:paraId="675DCE56" w14:textId="77777777" w:rsidR="00312975" w:rsidRPr="00312975" w:rsidRDefault="00312975" w:rsidP="00F20EF1">
      <w:pPr>
        <w:spacing w:after="0" w:line="240" w:lineRule="auto"/>
        <w:jc w:val="right"/>
        <w:rPr>
          <w:rFonts w:ascii="Times New Roman" w:eastAsia="Calibri" w:hAnsi="Times New Roman" w:cs="Times New Roman"/>
          <w:i/>
          <w:iCs/>
          <w:kern w:val="2"/>
          <w:sz w:val="21"/>
          <w:szCs w:val="21"/>
          <w:lang w:val="en-US"/>
          <w14:ligatures w14:val="standardContextual"/>
        </w:rPr>
      </w:pPr>
      <w:r w:rsidRPr="00312975">
        <w:rPr>
          <w:rFonts w:ascii="Times New Roman" w:eastAsia="Calibri" w:hAnsi="Times New Roman" w:cs="Times New Roman"/>
          <w:i/>
          <w:iCs/>
          <w:kern w:val="2"/>
          <w:sz w:val="21"/>
          <w:szCs w:val="21"/>
          <w14:ligatures w14:val="standardContextual"/>
        </w:rPr>
        <w:t>е</w:t>
      </w:r>
      <w:r w:rsidRPr="00312975">
        <w:rPr>
          <w:rFonts w:ascii="Times New Roman" w:eastAsia="Calibri" w:hAnsi="Times New Roman" w:cs="Times New Roman"/>
          <w:i/>
          <w:iCs/>
          <w:kern w:val="2"/>
          <w:sz w:val="21"/>
          <w:szCs w:val="21"/>
          <w:lang w:val="en-US"/>
          <w14:ligatures w14:val="standardContextual"/>
        </w:rPr>
        <w:t xml:space="preserve">-mail: </w:t>
      </w:r>
      <w:hyperlink r:id="rId707" w:history="1">
        <w:r w:rsidRPr="00312975">
          <w:rPr>
            <w:rFonts w:ascii="Times New Roman" w:eastAsia="Calibri" w:hAnsi="Times New Roman" w:cs="Times New Roman"/>
            <w:i/>
            <w:iCs/>
            <w:color w:val="0563C1"/>
            <w:kern w:val="2"/>
            <w:sz w:val="21"/>
            <w:szCs w:val="21"/>
            <w:u w:val="single"/>
            <w:lang w:val="en-US"/>
            <w14:ligatures w14:val="standardContextual"/>
          </w:rPr>
          <w:t>SKGuchetl@fa.ru</w:t>
        </w:r>
      </w:hyperlink>
      <w:r w:rsidRPr="00312975">
        <w:rPr>
          <w:rFonts w:ascii="Times New Roman" w:eastAsia="Calibri" w:hAnsi="Times New Roman" w:cs="Times New Roman"/>
          <w:i/>
          <w:iCs/>
          <w:kern w:val="2"/>
          <w:sz w:val="21"/>
          <w:szCs w:val="21"/>
          <w:lang w:val="en-US"/>
          <w14:ligatures w14:val="standardContextual"/>
        </w:rPr>
        <w:t xml:space="preserve"> </w:t>
      </w:r>
    </w:p>
    <w:p w14:paraId="14C1B208" w14:textId="77777777" w:rsidR="00312975" w:rsidRPr="00312975" w:rsidRDefault="00312975" w:rsidP="00F20EF1">
      <w:pPr>
        <w:spacing w:after="0" w:line="240" w:lineRule="auto"/>
        <w:jc w:val="center"/>
        <w:rPr>
          <w:rFonts w:ascii="Times New Roman" w:eastAsia="Calibri" w:hAnsi="Times New Roman" w:cs="Times New Roman"/>
          <w:i/>
          <w:iCs/>
          <w:kern w:val="2"/>
          <w:sz w:val="21"/>
          <w:szCs w:val="21"/>
          <w:lang w:val="x-none"/>
          <w14:ligatures w14:val="standardContextual"/>
        </w:rPr>
      </w:pPr>
    </w:p>
    <w:p w14:paraId="65D788E3" w14:textId="77777777" w:rsidR="00312975" w:rsidRPr="00312975" w:rsidRDefault="00312975" w:rsidP="00F20EF1">
      <w:pPr>
        <w:spacing w:after="0" w:line="240" w:lineRule="auto"/>
        <w:jc w:val="center"/>
        <w:rPr>
          <w:rFonts w:ascii="Times New Roman" w:eastAsia="Calibri" w:hAnsi="Times New Roman" w:cs="Times New Roman"/>
          <w:b/>
          <w:bCs/>
          <w:kern w:val="2"/>
          <w:sz w:val="21"/>
          <w:szCs w:val="21"/>
          <w:lang w:val="en-US"/>
          <w14:ligatures w14:val="standardContextual"/>
        </w:rPr>
      </w:pPr>
      <w:r w:rsidRPr="00312975">
        <w:rPr>
          <w:rFonts w:ascii="Times New Roman" w:eastAsia="Calibri" w:hAnsi="Times New Roman" w:cs="Times New Roman"/>
          <w:b/>
          <w:bCs/>
          <w:kern w:val="2"/>
          <w:sz w:val="21"/>
          <w:szCs w:val="21"/>
          <w:lang w:val="en-US"/>
          <w14:ligatures w14:val="standardContextual"/>
        </w:rPr>
        <w:t xml:space="preserve">« </w:t>
      </w:r>
      <w:bookmarkStart w:id="106" w:name="_Hlk198316856"/>
      <w:r w:rsidRPr="00312975">
        <w:rPr>
          <w:rFonts w:ascii="Times New Roman" w:eastAsia="Calibri" w:hAnsi="Times New Roman" w:cs="Times New Roman"/>
          <w:b/>
          <w:bCs/>
          <w:kern w:val="2"/>
          <w:sz w:val="21"/>
          <w:szCs w:val="21"/>
          <w:lang w:val="en-US"/>
          <w14:ligatures w14:val="standardContextual"/>
        </w:rPr>
        <w:t xml:space="preserve">Features of eBay's integration into the Russian market </w:t>
      </w:r>
      <w:bookmarkEnd w:id="106"/>
      <w:r w:rsidRPr="00312975">
        <w:rPr>
          <w:rFonts w:ascii="Times New Roman" w:eastAsia="Calibri" w:hAnsi="Times New Roman" w:cs="Times New Roman"/>
          <w:b/>
          <w:bCs/>
          <w:kern w:val="2"/>
          <w:sz w:val="21"/>
          <w:szCs w:val="21"/>
          <w:lang w:val="en-US"/>
          <w14:ligatures w14:val="standardContextual"/>
        </w:rPr>
        <w:t>»</w:t>
      </w:r>
    </w:p>
    <w:p w14:paraId="18AB5E35" w14:textId="77777777" w:rsidR="00312975" w:rsidRPr="00312975" w:rsidRDefault="00312975" w:rsidP="009A4E6A">
      <w:pPr>
        <w:spacing w:after="0" w:line="240" w:lineRule="auto"/>
        <w:ind w:firstLine="709"/>
        <w:jc w:val="both"/>
        <w:rPr>
          <w:rFonts w:ascii="Times New Roman" w:eastAsia="Calibri" w:hAnsi="Times New Roman" w:cs="Times New Roman"/>
          <w:kern w:val="2"/>
          <w:sz w:val="21"/>
          <w:szCs w:val="21"/>
          <w:lang w:val="en-US"/>
          <w14:ligatures w14:val="standardContextual"/>
        </w:rPr>
      </w:pPr>
      <w:r w:rsidRPr="00312975">
        <w:rPr>
          <w:rFonts w:ascii="Times New Roman" w:eastAsia="Calibri" w:hAnsi="Times New Roman" w:cs="Times New Roman"/>
          <w:b/>
          <w:bCs/>
          <w:kern w:val="2"/>
          <w:sz w:val="21"/>
          <w:szCs w:val="21"/>
          <w:lang w:val="en-US"/>
          <w14:ligatures w14:val="standardContextual"/>
        </w:rPr>
        <w:t>Abstract</w:t>
      </w:r>
      <w:r w:rsidRPr="00312975">
        <w:rPr>
          <w:rFonts w:ascii="Times New Roman" w:eastAsia="Calibri" w:hAnsi="Times New Roman" w:cs="Times New Roman"/>
          <w:kern w:val="2"/>
          <w:sz w:val="21"/>
          <w:szCs w:val="21"/>
          <w:lang w:val="en-US"/>
          <w14:ligatures w14:val="standardContextual"/>
        </w:rPr>
        <w:t>: The article examines how the eBay international trading platform affects the Russian economy, financial sector and society in the context of the transition to digital technologies. The main problems faced by global trading platforms when working in Russia are investigated.: laws and regulations, monetary restrictions, differences in access to technology. Based on the analysis of eBay's business model and comparison with its Russian counterparts (Wildberries, Ozon), adaptation mechanisms for the sustainable development of digital commerce in the Russian Federation are proposed.</w:t>
      </w:r>
    </w:p>
    <w:p w14:paraId="0149E6C2" w14:textId="77777777" w:rsidR="00312975" w:rsidRPr="00312975" w:rsidRDefault="00312975" w:rsidP="009A4E6A">
      <w:pPr>
        <w:spacing w:after="0" w:line="240" w:lineRule="auto"/>
        <w:ind w:firstLine="709"/>
        <w:jc w:val="both"/>
        <w:rPr>
          <w:rFonts w:ascii="Times New Roman" w:eastAsia="Calibri" w:hAnsi="Times New Roman" w:cs="Times New Roman"/>
          <w:kern w:val="2"/>
          <w:sz w:val="21"/>
          <w:szCs w:val="21"/>
          <w:lang w:val="en-US"/>
          <w14:ligatures w14:val="standardContextual"/>
        </w:rPr>
      </w:pPr>
      <w:r w:rsidRPr="00312975">
        <w:rPr>
          <w:rFonts w:ascii="Times New Roman" w:eastAsia="Calibri" w:hAnsi="Times New Roman" w:cs="Times New Roman"/>
          <w:b/>
          <w:bCs/>
          <w:kern w:val="2"/>
          <w:sz w:val="21"/>
          <w:szCs w:val="21"/>
          <w:lang w:val="en-US"/>
          <w14:ligatures w14:val="standardContextual"/>
        </w:rPr>
        <w:t>Keywords</w:t>
      </w:r>
      <w:r w:rsidRPr="00312975">
        <w:rPr>
          <w:rFonts w:ascii="Times New Roman" w:eastAsia="Calibri" w:hAnsi="Times New Roman" w:cs="Times New Roman"/>
          <w:kern w:val="2"/>
          <w:sz w:val="21"/>
          <w:szCs w:val="21"/>
          <w:lang w:val="en-US"/>
          <w14:ligatures w14:val="standardContextual"/>
        </w:rPr>
        <w:t>: digital economy, marketplaces, eBay, financial adaptation, digital transformation, social inequality, sustainable development, small business, sanctions, business development.</w:t>
      </w:r>
    </w:p>
    <w:p w14:paraId="0B26493E" w14:textId="77777777" w:rsidR="00312975" w:rsidRPr="00312975" w:rsidRDefault="00312975" w:rsidP="00312975">
      <w:pPr>
        <w:jc w:val="center"/>
        <w:rPr>
          <w:rFonts w:ascii="Times New Roman" w:eastAsia="Calibri" w:hAnsi="Times New Roman" w:cs="Times New Roman"/>
          <w:kern w:val="2"/>
          <w:sz w:val="21"/>
          <w:szCs w:val="21"/>
          <w:lang w:val="en-US"/>
          <w14:ligatures w14:val="standardContextual"/>
        </w:rPr>
      </w:pPr>
    </w:p>
    <w:p w14:paraId="56D47BCE"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bookmarkStart w:id="107" w:name="_Hlk198316698"/>
      <w:r w:rsidRPr="00312975">
        <w:rPr>
          <w:rFonts w:ascii="Times New Roman" w:eastAsia="Calibri" w:hAnsi="Times New Roman" w:cs="Times New Roman"/>
          <w:kern w:val="2"/>
          <w:sz w:val="32"/>
          <w:szCs w:val="32"/>
          <w:lang w:val="en-US"/>
          <w14:ligatures w14:val="standardContextual"/>
        </w:rPr>
        <w:t xml:space="preserve">In the era of digital transformation, global e-commerce platforms such as eBay are playing a key role in changing the structure of international </w:t>
      </w:r>
      <w:r w:rsidRPr="00312975">
        <w:rPr>
          <w:rFonts w:ascii="Times New Roman" w:eastAsia="Calibri" w:hAnsi="Times New Roman" w:cs="Times New Roman"/>
          <w:kern w:val="2"/>
          <w:sz w:val="32"/>
          <w:szCs w:val="32"/>
          <w:lang w:val="en-US"/>
          <w14:ligatures w14:val="standardContextual"/>
        </w:rPr>
        <w:lastRenderedPageBreak/>
        <w:t>trade, financial flows, and social interactions. The Russian economy, which is in the process of active digitalization, is faced with the need to integrate platforms such as eBay into the national economic system, which is accompanied by a number of regulatory, technological and social challenges.</w:t>
      </w:r>
    </w:p>
    <w:p w14:paraId="309E8097"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 xml:space="preserve">eBay is one of the largest and most well-known online trading platforms in the world. Founded by Pierre Omidyar in 1995, it was originally called AuctionWeb and was part of a larger personal website. The first item sold was a broken laser pointer. Today, eBay is a multinational e-commerce corporation that makes consumer-to-consumer and business-to-consumer sales through its website. </w:t>
      </w:r>
    </w:p>
    <w:p w14:paraId="4BB7EE7B"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 xml:space="preserve">According to 2023 data, the company's annual turnover is 10 billion dollars, and the audience has 135 million active customers. eBay's business model, which provides 10-15% commission on the transaction plus payment fees, creates alternative markets for small businesses and significantly reduces barriers to international trade. </w:t>
      </w:r>
    </w:p>
    <w:p w14:paraId="6A44C56A"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 xml:space="preserve">eBay's financial system has historically been closely linked to PayPal, which provided convenient payments, but was accompanied by high fees. In the Russian reality, the issue of localization of payments and the transition to ruble settlements is very relevant, which is complicated by the current </w:t>
      </w:r>
      <w:proofErr w:type="gramStart"/>
      <w:r w:rsidRPr="00312975">
        <w:rPr>
          <w:rFonts w:ascii="Times New Roman" w:eastAsia="Calibri" w:hAnsi="Times New Roman" w:cs="Times New Roman"/>
          <w:kern w:val="2"/>
          <w:sz w:val="32"/>
          <w:szCs w:val="32"/>
          <w:lang w:val="en-US"/>
          <w14:ligatures w14:val="standardContextual"/>
        </w:rPr>
        <w:t>sanctions</w:t>
      </w:r>
      <w:proofErr w:type="gramEnd"/>
      <w:r w:rsidRPr="00312975">
        <w:rPr>
          <w:rFonts w:ascii="Times New Roman" w:eastAsia="Calibri" w:hAnsi="Times New Roman" w:cs="Times New Roman"/>
          <w:kern w:val="2"/>
          <w:sz w:val="32"/>
          <w:szCs w:val="32"/>
          <w:lang w:val="en-US"/>
          <w14:ligatures w14:val="standardContextual"/>
        </w:rPr>
        <w:t xml:space="preserve"> restrictions.</w:t>
      </w:r>
    </w:p>
    <w:p w14:paraId="6B566074"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 xml:space="preserve">eBay will greatly influence various spheres of life in Russian society. In an economic environment, eBay will provide Russian SMEs, artisans, and even individuals with direct access to the global consumer market. This is a significant factor for the development of exports, especially for unique goods and handmade products that would otherwise be difficult to promote abroad. The platform will also create opportunities for importing unique goods or more profitable purchases for Russian consumers, stimulating competition in the domestic market. For a part of the population, eBay activity becomes a source of additional or basic income through resale or small-scale production. However, foreign sellers using eBay create direct competitive pressure on Russian manufacturers and retailers. Also, the platform's commissions and payments for goods go abroad, which represents an outflow of capital and a decrease in the tax base within the country. And Russian participants are becoming dependent on the rules, tariffs and policies of a foreign platform, which may change without </w:t>
      </w:r>
      <w:proofErr w:type="gramStart"/>
      <w:r w:rsidRPr="00312975">
        <w:rPr>
          <w:rFonts w:ascii="Times New Roman" w:eastAsia="Calibri" w:hAnsi="Times New Roman" w:cs="Times New Roman"/>
          <w:kern w:val="2"/>
          <w:sz w:val="32"/>
          <w:szCs w:val="32"/>
          <w:lang w:val="en-US"/>
          <w14:ligatures w14:val="standardContextual"/>
        </w:rPr>
        <w:t>taking into account</w:t>
      </w:r>
      <w:proofErr w:type="gramEnd"/>
      <w:r w:rsidRPr="00312975">
        <w:rPr>
          <w:rFonts w:ascii="Times New Roman" w:eastAsia="Calibri" w:hAnsi="Times New Roman" w:cs="Times New Roman"/>
          <w:kern w:val="2"/>
          <w:sz w:val="32"/>
          <w:szCs w:val="32"/>
          <w:lang w:val="en-US"/>
          <w14:ligatures w14:val="standardContextual"/>
        </w:rPr>
        <w:t xml:space="preserve"> their interests. eBay can be used for uncontrolled import of goods, reducing the receipt of customs duties.</w:t>
      </w:r>
    </w:p>
    <w:p w14:paraId="6BBF2006"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lastRenderedPageBreak/>
        <w:t>Measures can be taken to ensure the stability of the economic environment, such as stimulating exports through national B2C and C2C platforms, creating a state program to support export activities for SMEs through online channels, including training in logistics and promotion, and introducing control and regulatory mechanisms for foreign online companies who carry out systematic activities in the Russian market.</w:t>
      </w:r>
    </w:p>
    <w:p w14:paraId="1E3C76F3"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In Russia's social system, eBay will expand consumer opportunities by providing access to goods from all over the world. It will contribute to the development of digital literacy among users (buyers and sellers), forcing them to master new online services, payment systems and logistics schemes. The platform will create opportunities for self-employment and the development of microbusiness, which is an important factor in social adaptation and income growth for certain groups of the population. However, determining the tax status of foreign sellers and ensuring that they pay VAT on goods sold to Russian consumers and monitoring the declaration of income by Russian sellers, are difficult tasks. In addition, a significant part of financial transactions may pass through foreign payment systems, complicating financial monitoring and combating money laundering. And for Russian exporters working through eBay, there are issues of currency control and revenue repatriation, which can be difficult for small participants.</w:t>
      </w:r>
    </w:p>
    <w:p w14:paraId="10AC09FE"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Stabilization in the social system will be ensured by the introduction of effective mechanisms for collecting VAT from foreign Internet companies and platforms and simplification and digitalization of currency control for SME exporters.</w:t>
      </w:r>
    </w:p>
    <w:p w14:paraId="33081437"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For Russian sellers who successfully work on eBay, the activity on the platform becomes a kind of "school" of digital project management. Launching and scaling an online store on eBay requires skills in product management (assortment selection, creating high-quality descriptions and photos), marketing (attracting customers, using promotion tools on the platform), operational management (order and inventory management), logistics (packaging, interaction with postal services), finance (revenue accounting and expenses, work with payment systems, planning), customer relationship management (communication). However, the received skills are often specific to working on the eBay platform and may require significant adaptation for use in other fields or on national platforms. The lack of universal digital project management standards that can be used across all online channels may limit the scaling of this experience.</w:t>
      </w:r>
    </w:p>
    <w:p w14:paraId="57FC4BA2"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lastRenderedPageBreak/>
        <w:t>Measures for sustainability include the development of educational programs and standards in the field of digital entrepreneurship that include universal principles of project management, not just the specifics of some platforms, the creation of information resources and mentoring programs for online sellers, and encouraging the use of analytical tools for making managerial decisions.</w:t>
      </w:r>
    </w:p>
    <w:p w14:paraId="04EE74E6"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In addition to the above, the analysis of the current situation revealed some more problems of eBay's integration into the Russian economy. Firstly, there are economic risks such as the potential displacement of local players (e.g. Wildberries, Ozon) and dependence on the dollar exchange rate. Solutions may include targeted support for national platforms, the provision of benefits and subsidies to Russian marketplaces to increase their competitiveness, export support through national platforms with ruble payments, and the creation and promotion of national or multilateral payment systems that are not exclusively linked to the dollar.</w:t>
      </w:r>
    </w:p>
    <w:p w14:paraId="4B075660"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Secondly, sanctions risks, especially after PayPal restrictions in 2022, create financial restrictions. This problem can be solved through the development and integration of the Mir national payment system and the Rapid Payment System (SBP) for Cross-border settlements (where possible and agreed with partners) and the creation of alternative international channels.</w:t>
      </w:r>
    </w:p>
    <w:p w14:paraId="73896AE7"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Thirdly, there are digital inequality between large and small sellers, uneven access to digital infrastructure between regions and fraud problems lead to social imbalances.  Measures that can solve these problems are the development of digital infrastructure in the regions, large-scale programs to improve digital literacy and entrepreneurial skills, combating cybercrime and fraud in the field of online commerce, the requirement from global platforms to introduce reliable mechanisms for user verification, monitoring suspicious transactions and prompt response to fraud complaints.</w:t>
      </w:r>
    </w:p>
    <w:p w14:paraId="79D70B70"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In conclusion, eBay as a global e-commerce platform represents significant potential for the development of Russian exports and the integration of small businesses into international trade. However, its activities in Russia require significant adaptation to local economic and regulatory conditions.</w:t>
      </w:r>
    </w:p>
    <w:p w14:paraId="49DEBAB4"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t>The main challenges of integration include the risks of displacement local marketplaces, dependence on dollar settlements and sanctions restrictions, problems of digital inequality, and so on. For stable development, it is necessary to implement a set of measures.</w:t>
      </w:r>
    </w:p>
    <w:p w14:paraId="00AD5E57" w14:textId="77777777" w:rsidR="00312975" w:rsidRPr="00312975" w:rsidRDefault="00312975" w:rsidP="009A4E6A">
      <w:pPr>
        <w:spacing w:after="0" w:line="240" w:lineRule="auto"/>
        <w:ind w:firstLine="709"/>
        <w:jc w:val="both"/>
        <w:rPr>
          <w:rFonts w:ascii="Times New Roman" w:eastAsia="Calibri" w:hAnsi="Times New Roman" w:cs="Times New Roman"/>
          <w:kern w:val="2"/>
          <w:sz w:val="32"/>
          <w:szCs w:val="32"/>
          <w:lang w:val="en-US"/>
          <w14:ligatures w14:val="standardContextual"/>
        </w:rPr>
      </w:pPr>
      <w:r w:rsidRPr="00312975">
        <w:rPr>
          <w:rFonts w:ascii="Times New Roman" w:eastAsia="Calibri" w:hAnsi="Times New Roman" w:cs="Times New Roman"/>
          <w:kern w:val="2"/>
          <w:sz w:val="32"/>
          <w:szCs w:val="32"/>
          <w:lang w:val="en-US"/>
          <w14:ligatures w14:val="standardContextual"/>
        </w:rPr>
        <w:lastRenderedPageBreak/>
        <w:t>The experience of working on eBay can be an important stage in the development of digital skills of Russian entrepreneurs, but it requires adaptation to work with local platforms. The most promising way seems to be to create a balanced ecosystem where global platforms like eBay exist with national marketplaces, complementing each other.</w:t>
      </w:r>
    </w:p>
    <w:bookmarkEnd w:id="107"/>
    <w:p w14:paraId="32D4A990" w14:textId="77777777" w:rsidR="009A4E6A" w:rsidRPr="00C30970" w:rsidRDefault="009A4E6A" w:rsidP="009A4E6A">
      <w:pPr>
        <w:spacing w:after="0" w:line="240" w:lineRule="auto"/>
        <w:jc w:val="center"/>
        <w:rPr>
          <w:rFonts w:ascii="Times New Roman" w:eastAsia="Calibri" w:hAnsi="Times New Roman" w:cs="Times New Roman"/>
          <w:color w:val="000000" w:themeColor="text1"/>
          <w:kern w:val="2"/>
          <w:sz w:val="21"/>
          <w:szCs w:val="21"/>
          <w:lang w:val="en-US"/>
          <w14:ligatures w14:val="standardContextual"/>
        </w:rPr>
      </w:pPr>
    </w:p>
    <w:p w14:paraId="1608E602" w14:textId="2379BD46" w:rsidR="00312975" w:rsidRPr="00312975" w:rsidRDefault="00312975" w:rsidP="009A4E6A">
      <w:pPr>
        <w:spacing w:after="0" w:line="240" w:lineRule="auto"/>
        <w:jc w:val="center"/>
        <w:rPr>
          <w:rFonts w:ascii="Times New Roman" w:eastAsia="Calibri" w:hAnsi="Times New Roman" w:cs="Times New Roman"/>
          <w:b/>
          <w:bCs/>
          <w:color w:val="000000" w:themeColor="text1"/>
          <w:kern w:val="2"/>
          <w:sz w:val="21"/>
          <w:szCs w:val="21"/>
          <w:lang w:val="en-US"/>
          <w14:ligatures w14:val="standardContextual"/>
        </w:rPr>
      </w:pPr>
      <w:r w:rsidRPr="00312975">
        <w:rPr>
          <w:rFonts w:ascii="Times New Roman" w:eastAsia="Calibri" w:hAnsi="Times New Roman" w:cs="Times New Roman"/>
          <w:b/>
          <w:bCs/>
          <w:color w:val="000000" w:themeColor="text1"/>
          <w:kern w:val="2"/>
          <w:sz w:val="21"/>
          <w:szCs w:val="21"/>
          <w14:ligatures w14:val="standardContextual"/>
        </w:rPr>
        <w:t>Литература</w:t>
      </w:r>
      <w:r w:rsidR="009A4E6A" w:rsidRPr="009A4E6A">
        <w:rPr>
          <w:rFonts w:ascii="Times New Roman" w:eastAsia="Calibri" w:hAnsi="Times New Roman" w:cs="Times New Roman"/>
          <w:b/>
          <w:bCs/>
          <w:color w:val="000000" w:themeColor="text1"/>
          <w:kern w:val="2"/>
          <w:sz w:val="21"/>
          <w:szCs w:val="21"/>
          <w14:ligatures w14:val="standardContextual"/>
        </w:rPr>
        <w:t>:</w:t>
      </w:r>
    </w:p>
    <w:p w14:paraId="6E6C8941" w14:textId="77777777" w:rsidR="00312975" w:rsidRPr="00312975" w:rsidRDefault="00312975" w:rsidP="00AD58CD">
      <w:pPr>
        <w:numPr>
          <w:ilvl w:val="0"/>
          <w:numId w:val="201"/>
        </w:numPr>
        <w:spacing w:after="0" w:line="240" w:lineRule="auto"/>
        <w:jc w:val="both"/>
        <w:rPr>
          <w:rFonts w:ascii="Times New Roman" w:eastAsia="Calibri" w:hAnsi="Times New Roman" w:cs="Times New Roman"/>
          <w:color w:val="000000" w:themeColor="text1"/>
          <w:kern w:val="2"/>
          <w:sz w:val="21"/>
          <w:szCs w:val="21"/>
          <w14:ligatures w14:val="standardContextual"/>
        </w:rPr>
      </w:pPr>
      <w:r w:rsidRPr="00312975">
        <w:rPr>
          <w:rFonts w:ascii="Times New Roman" w:eastAsia="Calibri" w:hAnsi="Times New Roman" w:cs="Times New Roman"/>
          <w:color w:val="000000" w:themeColor="text1"/>
          <w:kern w:val="2"/>
          <w:sz w:val="21"/>
          <w:szCs w:val="21"/>
          <w14:ligatures w14:val="standardContextual"/>
        </w:rPr>
        <w:t xml:space="preserve">eBay Annual Report 2023 (официальный отчет компании) – Эл. ресурс: </w:t>
      </w:r>
      <w:hyperlink r:id="rId708" w:history="1">
        <w:r w:rsidRPr="00312975">
          <w:rPr>
            <w:rFonts w:ascii="Times New Roman" w:eastAsia="Calibri" w:hAnsi="Times New Roman" w:cs="Times New Roman"/>
            <w:color w:val="000000" w:themeColor="text1"/>
            <w:kern w:val="2"/>
            <w:sz w:val="21"/>
            <w:szCs w:val="21"/>
            <w:u w:val="single"/>
            <w14:ligatures w14:val="standardContextual"/>
          </w:rPr>
          <w:t>https://investors.ebayinc.com/financial-information/annual-reports/default.aspx</w:t>
        </w:r>
      </w:hyperlink>
      <w:r w:rsidRPr="00312975">
        <w:rPr>
          <w:rFonts w:ascii="Times New Roman" w:eastAsia="Calibri" w:hAnsi="Times New Roman" w:cs="Times New Roman"/>
          <w:color w:val="000000" w:themeColor="text1"/>
          <w:kern w:val="2"/>
          <w:sz w:val="21"/>
          <w:szCs w:val="21"/>
          <w14:ligatures w14:val="standardContextual"/>
        </w:rPr>
        <w:t xml:space="preserve"> (дата обращения: 14.05.2025)</w:t>
      </w:r>
    </w:p>
    <w:p w14:paraId="54DA8699" w14:textId="77777777" w:rsidR="00312975" w:rsidRPr="00312975" w:rsidRDefault="00312975" w:rsidP="00AD58CD">
      <w:pPr>
        <w:numPr>
          <w:ilvl w:val="0"/>
          <w:numId w:val="201"/>
        </w:numPr>
        <w:spacing w:after="0" w:line="240" w:lineRule="auto"/>
        <w:jc w:val="both"/>
        <w:rPr>
          <w:rFonts w:ascii="Times New Roman" w:eastAsia="Calibri" w:hAnsi="Times New Roman" w:cs="Times New Roman"/>
          <w:color w:val="000000" w:themeColor="text1"/>
          <w:kern w:val="2"/>
          <w:sz w:val="21"/>
          <w:szCs w:val="21"/>
          <w14:ligatures w14:val="standardContextual"/>
        </w:rPr>
      </w:pPr>
      <w:r w:rsidRPr="00312975">
        <w:rPr>
          <w:rFonts w:ascii="Times New Roman" w:eastAsia="Calibri" w:hAnsi="Times New Roman" w:cs="Times New Roman"/>
          <w:color w:val="000000" w:themeColor="text1"/>
          <w:kern w:val="2"/>
          <w:sz w:val="21"/>
          <w:szCs w:val="21"/>
          <w14:ligatures w14:val="standardContextual"/>
        </w:rPr>
        <w:t xml:space="preserve">Отчеты Центрального Банка РФ о платежных системах (2023) – Эл. ресурс: </w:t>
      </w:r>
      <w:hyperlink r:id="rId709" w:history="1">
        <w:r w:rsidRPr="00312975">
          <w:rPr>
            <w:rFonts w:ascii="Times New Roman" w:eastAsia="Calibri" w:hAnsi="Times New Roman" w:cs="Times New Roman"/>
            <w:color w:val="000000" w:themeColor="text1"/>
            <w:kern w:val="2"/>
            <w:sz w:val="21"/>
            <w:szCs w:val="21"/>
            <w:u w:val="single"/>
            <w14:ligatures w14:val="standardContextual"/>
          </w:rPr>
          <w:t>https://www.cbr.ru/about_br/publ/results_work/2023</w:t>
        </w:r>
      </w:hyperlink>
      <w:r w:rsidRPr="00312975">
        <w:rPr>
          <w:rFonts w:ascii="Times New Roman" w:eastAsia="Calibri" w:hAnsi="Times New Roman" w:cs="Times New Roman"/>
          <w:color w:val="000000" w:themeColor="text1"/>
          <w:kern w:val="2"/>
          <w:sz w:val="21"/>
          <w:szCs w:val="21"/>
          <w14:ligatures w14:val="standardContextual"/>
        </w:rPr>
        <w:t xml:space="preserve"> (дата обращения: 14.05.2025)</w:t>
      </w:r>
    </w:p>
    <w:p w14:paraId="5E6A871A" w14:textId="77777777" w:rsidR="00312975" w:rsidRPr="00312975" w:rsidRDefault="00312975" w:rsidP="00AD58CD">
      <w:pPr>
        <w:numPr>
          <w:ilvl w:val="0"/>
          <w:numId w:val="201"/>
        </w:numPr>
        <w:spacing w:after="0" w:line="240" w:lineRule="auto"/>
        <w:jc w:val="both"/>
        <w:rPr>
          <w:rFonts w:ascii="Times New Roman" w:eastAsia="Calibri" w:hAnsi="Times New Roman" w:cs="Times New Roman"/>
          <w:color w:val="000000" w:themeColor="text1"/>
          <w:kern w:val="2"/>
          <w:sz w:val="21"/>
          <w:szCs w:val="21"/>
          <w14:ligatures w14:val="standardContextual"/>
        </w:rPr>
      </w:pPr>
      <w:r w:rsidRPr="00312975">
        <w:rPr>
          <w:rFonts w:ascii="Times New Roman" w:eastAsia="Calibri" w:hAnsi="Times New Roman" w:cs="Times New Roman"/>
          <w:color w:val="000000" w:themeColor="text1"/>
          <w:kern w:val="2"/>
          <w:sz w:val="21"/>
          <w:szCs w:val="21"/>
          <w14:ligatures w14:val="standardContextual"/>
        </w:rPr>
        <w:t xml:space="preserve">Исследование "Цифровая экономика России 2023" НИУ ВШЭ – Эл. ресурс: </w:t>
      </w:r>
      <w:hyperlink r:id="rId710" w:history="1">
        <w:r w:rsidRPr="00312975">
          <w:rPr>
            <w:rFonts w:ascii="Times New Roman" w:eastAsia="Calibri" w:hAnsi="Times New Roman" w:cs="Times New Roman"/>
            <w:color w:val="000000" w:themeColor="text1"/>
            <w:kern w:val="2"/>
            <w:sz w:val="21"/>
            <w:szCs w:val="21"/>
            <w:u w:val="single"/>
            <w14:ligatures w14:val="standardContextual"/>
          </w:rPr>
          <w:t>https://issek.hse.ru/news/802513370.html</w:t>
        </w:r>
      </w:hyperlink>
      <w:r w:rsidRPr="00312975">
        <w:rPr>
          <w:rFonts w:ascii="Times New Roman" w:eastAsia="Calibri" w:hAnsi="Times New Roman" w:cs="Times New Roman"/>
          <w:color w:val="000000" w:themeColor="text1"/>
          <w:kern w:val="2"/>
          <w:sz w:val="21"/>
          <w:szCs w:val="21"/>
          <w14:ligatures w14:val="standardContextual"/>
        </w:rPr>
        <w:t xml:space="preserve"> </w:t>
      </w:r>
      <w:bookmarkStart w:id="108" w:name="_Hlk198313038"/>
      <w:r w:rsidRPr="00312975">
        <w:rPr>
          <w:rFonts w:ascii="Times New Roman" w:eastAsia="Calibri" w:hAnsi="Times New Roman" w:cs="Times New Roman"/>
          <w:color w:val="000000" w:themeColor="text1"/>
          <w:kern w:val="2"/>
          <w:sz w:val="21"/>
          <w:szCs w:val="21"/>
          <w14:ligatures w14:val="standardContextual"/>
        </w:rPr>
        <w:t>(дата обращения: 14.05.2025)</w:t>
      </w:r>
      <w:bookmarkEnd w:id="108"/>
    </w:p>
    <w:p w14:paraId="37CDE363" w14:textId="77777777" w:rsidR="00312975" w:rsidRPr="00312975" w:rsidRDefault="00132A69" w:rsidP="00AD58CD">
      <w:pPr>
        <w:numPr>
          <w:ilvl w:val="0"/>
          <w:numId w:val="201"/>
        </w:numPr>
        <w:spacing w:after="0" w:line="240" w:lineRule="auto"/>
        <w:jc w:val="both"/>
        <w:rPr>
          <w:rFonts w:ascii="Times New Roman" w:eastAsia="Calibri" w:hAnsi="Times New Roman" w:cs="Times New Roman"/>
          <w:color w:val="000000" w:themeColor="text1"/>
          <w:kern w:val="2"/>
          <w:sz w:val="21"/>
          <w:szCs w:val="21"/>
          <w14:ligatures w14:val="standardContextual"/>
        </w:rPr>
      </w:pPr>
      <w:hyperlink r:id="rId711" w:history="1">
        <w:r w:rsidR="00312975" w:rsidRPr="00312975">
          <w:rPr>
            <w:rFonts w:ascii="Times New Roman" w:eastAsia="Calibri" w:hAnsi="Times New Roman" w:cs="Times New Roman"/>
            <w:color w:val="000000" w:themeColor="text1"/>
            <w:kern w:val="2"/>
            <w:sz w:val="21"/>
            <w:szCs w:val="21"/>
            <w:u w:val="single"/>
            <w14:ligatures w14:val="standardContextual"/>
          </w:rPr>
          <w:t>https://www.interfax.ru/business/827770</w:t>
        </w:r>
      </w:hyperlink>
      <w:r w:rsidR="00312975" w:rsidRPr="00312975">
        <w:rPr>
          <w:rFonts w:ascii="Times New Roman" w:eastAsia="Calibri" w:hAnsi="Times New Roman" w:cs="Times New Roman"/>
          <w:color w:val="000000" w:themeColor="text1"/>
          <w:kern w:val="2"/>
          <w:sz w:val="21"/>
          <w:szCs w:val="21"/>
          <w14:ligatures w14:val="standardContextual"/>
        </w:rPr>
        <w:t xml:space="preserve"> (дата обращения: 14.05.2025)</w:t>
      </w:r>
    </w:p>
    <w:p w14:paraId="709918DD" w14:textId="77777777" w:rsidR="00312975" w:rsidRDefault="00312975" w:rsidP="00312975">
      <w:pPr>
        <w:spacing w:after="0" w:line="240" w:lineRule="auto"/>
        <w:ind w:left="360"/>
        <w:rPr>
          <w:rFonts w:ascii="Times New Roman" w:eastAsia="Calibri" w:hAnsi="Times New Roman" w:cs="Times New Roman"/>
          <w:kern w:val="2"/>
          <w14:ligatures w14:val="standardContextual"/>
        </w:rPr>
      </w:pPr>
    </w:p>
    <w:p w14:paraId="2627596C" w14:textId="77777777" w:rsidR="009A4E6A" w:rsidRDefault="009A4E6A" w:rsidP="00312975">
      <w:pPr>
        <w:spacing w:after="0" w:line="240" w:lineRule="auto"/>
        <w:ind w:left="360"/>
        <w:rPr>
          <w:rFonts w:ascii="Times New Roman" w:eastAsia="Calibri" w:hAnsi="Times New Roman" w:cs="Times New Roman"/>
          <w:kern w:val="2"/>
          <w14:ligatures w14:val="standardContextual"/>
        </w:rPr>
      </w:pPr>
    </w:p>
    <w:p w14:paraId="6A6308D4" w14:textId="77777777" w:rsidR="00CF1EC4" w:rsidRPr="00C30970" w:rsidRDefault="00CF1EC4" w:rsidP="00CF1EC4">
      <w:pPr>
        <w:suppressAutoHyphens/>
        <w:spacing w:after="0" w:line="240" w:lineRule="auto"/>
        <w:jc w:val="both"/>
        <w:rPr>
          <w:rFonts w:ascii="Times New Roman" w:eastAsia="Times New Roman" w:hAnsi="Times New Roman" w:cs="Times New Roman"/>
          <w:b/>
          <w:color w:val="000000"/>
          <w:sz w:val="21"/>
          <w:szCs w:val="21"/>
          <w:lang w:eastAsia="ar-SA"/>
        </w:rPr>
      </w:pPr>
      <w:r w:rsidRPr="00CF1EC4">
        <w:rPr>
          <w:rFonts w:ascii="Times New Roman" w:eastAsia="Times New Roman" w:hAnsi="Times New Roman" w:cs="Times New Roman"/>
          <w:b/>
          <w:color w:val="000000"/>
          <w:sz w:val="21"/>
          <w:szCs w:val="21"/>
          <w:lang w:eastAsia="ar-SA"/>
        </w:rPr>
        <w:t>УДК</w:t>
      </w:r>
      <w:r w:rsidRPr="00C30970">
        <w:rPr>
          <w:rFonts w:ascii="Times New Roman" w:eastAsia="Times New Roman" w:hAnsi="Times New Roman" w:cs="Times New Roman"/>
          <w:b/>
          <w:color w:val="000000"/>
          <w:sz w:val="21"/>
          <w:szCs w:val="21"/>
          <w:lang w:eastAsia="ar-SA"/>
        </w:rPr>
        <w:t xml:space="preserve"> 811</w:t>
      </w:r>
    </w:p>
    <w:p w14:paraId="3379A475" w14:textId="77777777" w:rsidR="00CF1EC4" w:rsidRPr="00CF1EC4" w:rsidRDefault="00CF1EC4" w:rsidP="00CF1EC4">
      <w:pPr>
        <w:suppressAutoHyphens/>
        <w:spacing w:after="0" w:line="240" w:lineRule="auto"/>
        <w:jc w:val="right"/>
        <w:rPr>
          <w:rFonts w:ascii="Times New Roman" w:eastAsia="Times New Roman" w:hAnsi="Times New Roman" w:cs="Times New Roman"/>
          <w:i/>
          <w:color w:val="000000"/>
          <w:sz w:val="21"/>
          <w:szCs w:val="21"/>
          <w:lang w:eastAsia="ar-SA"/>
        </w:rPr>
      </w:pPr>
      <w:r w:rsidRPr="00CF1EC4">
        <w:rPr>
          <w:rFonts w:ascii="Times New Roman" w:eastAsia="Times New Roman" w:hAnsi="Times New Roman" w:cs="Times New Roman"/>
          <w:b/>
          <w:i/>
          <w:color w:val="000000"/>
          <w:sz w:val="20"/>
          <w:szCs w:val="21"/>
          <w:lang w:eastAsia="ar-SA"/>
        </w:rPr>
        <w:t>Кузьменко А.В</w:t>
      </w:r>
      <w:r w:rsidRPr="00CF1EC4">
        <w:rPr>
          <w:rFonts w:ascii="Times New Roman" w:eastAsia="Times New Roman" w:hAnsi="Times New Roman" w:cs="Times New Roman"/>
          <w:b/>
          <w:i/>
          <w:color w:val="000000"/>
          <w:sz w:val="21"/>
          <w:szCs w:val="21"/>
          <w:lang w:eastAsia="ar-SA"/>
        </w:rPr>
        <w:t xml:space="preserve">., </w:t>
      </w:r>
    </w:p>
    <w:p w14:paraId="5CA6F4FE" w14:textId="77777777" w:rsidR="00CF1EC4" w:rsidRPr="00CF1EC4" w:rsidRDefault="00CF1EC4" w:rsidP="00CF1EC4">
      <w:pPr>
        <w:suppressAutoHyphens/>
        <w:spacing w:after="0" w:line="240" w:lineRule="auto"/>
        <w:jc w:val="right"/>
        <w:rPr>
          <w:rFonts w:ascii="Times New Roman" w:eastAsia="Times New Roman" w:hAnsi="Times New Roman" w:cs="Times New Roman"/>
          <w:i/>
          <w:color w:val="000000"/>
          <w:sz w:val="21"/>
          <w:szCs w:val="21"/>
          <w:lang w:eastAsia="ar-SA"/>
        </w:rPr>
      </w:pPr>
      <w:r w:rsidRPr="00CF1EC4">
        <w:rPr>
          <w:rFonts w:ascii="Times New Roman" w:eastAsia="Times New Roman" w:hAnsi="Times New Roman" w:cs="Times New Roman"/>
          <w:i/>
          <w:color w:val="000000"/>
          <w:sz w:val="21"/>
          <w:szCs w:val="21"/>
          <w:lang w:eastAsia="ar-SA"/>
        </w:rPr>
        <w:t xml:space="preserve">студент 3 курса </w:t>
      </w:r>
    </w:p>
    <w:p w14:paraId="3D074E9E" w14:textId="77777777" w:rsidR="004F1A9E" w:rsidRPr="0001591D" w:rsidRDefault="004F1A9E" w:rsidP="004F1A9E">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1B7F7DF0" w14:textId="77777777" w:rsidR="00CF1EC4" w:rsidRPr="00CF1EC4" w:rsidRDefault="00CF1EC4" w:rsidP="00CF1EC4">
      <w:pPr>
        <w:suppressAutoHyphens/>
        <w:spacing w:after="0" w:line="240" w:lineRule="auto"/>
        <w:jc w:val="right"/>
        <w:rPr>
          <w:rFonts w:ascii="Times New Roman" w:eastAsia="Times New Roman" w:hAnsi="Times New Roman" w:cs="Times New Roman"/>
          <w:i/>
          <w:sz w:val="21"/>
          <w:szCs w:val="21"/>
          <w:lang w:eastAsia="ar-SA"/>
        </w:rPr>
      </w:pPr>
      <w:r w:rsidRPr="00CF1EC4">
        <w:rPr>
          <w:rFonts w:ascii="Times New Roman" w:eastAsia="Times New Roman" w:hAnsi="Times New Roman" w:cs="Times New Roman"/>
          <w:i/>
          <w:sz w:val="21"/>
          <w:szCs w:val="21"/>
          <w:lang w:eastAsia="ar-SA"/>
        </w:rPr>
        <w:t>г. Краснодар, Россия</w:t>
      </w:r>
    </w:p>
    <w:p w14:paraId="050F27AC" w14:textId="77777777" w:rsidR="00CF1EC4" w:rsidRPr="00CF1EC4" w:rsidRDefault="00CF1EC4" w:rsidP="00CF1EC4">
      <w:pPr>
        <w:spacing w:after="0" w:line="240" w:lineRule="auto"/>
        <w:jc w:val="right"/>
        <w:rPr>
          <w:rFonts w:ascii="Times New Roman" w:eastAsia="Times New Roman" w:hAnsi="Times New Roman" w:cs="Times New Roman"/>
          <w:i/>
          <w:sz w:val="21"/>
          <w:szCs w:val="21"/>
        </w:rPr>
      </w:pPr>
      <w:r w:rsidRPr="00CF1EC4">
        <w:rPr>
          <w:rFonts w:ascii="Times New Roman" w:eastAsia="Times New Roman" w:hAnsi="Times New Roman" w:cs="Times New Roman"/>
          <w:i/>
          <w:sz w:val="21"/>
          <w:szCs w:val="21"/>
        </w:rPr>
        <w:t>е-</w:t>
      </w:r>
      <w:r w:rsidRPr="00CF1EC4">
        <w:rPr>
          <w:rFonts w:ascii="Times New Roman" w:eastAsia="Times New Roman" w:hAnsi="Times New Roman" w:cs="Times New Roman"/>
          <w:i/>
          <w:sz w:val="21"/>
          <w:szCs w:val="21"/>
          <w:lang w:val="en-US"/>
        </w:rPr>
        <w:t>mail</w:t>
      </w:r>
      <w:r w:rsidRPr="00CF1EC4">
        <w:rPr>
          <w:rFonts w:ascii="Times New Roman" w:eastAsia="Times New Roman" w:hAnsi="Times New Roman" w:cs="Times New Roman"/>
          <w:i/>
          <w:sz w:val="21"/>
          <w:szCs w:val="21"/>
        </w:rPr>
        <w:t xml:space="preserve">: </w:t>
      </w:r>
      <w:hyperlink r:id="rId712" w:history="1">
        <w:r w:rsidRPr="00CF1EC4">
          <w:rPr>
            <w:rFonts w:ascii="Times New Roman" w:eastAsia="Times New Roman" w:hAnsi="Times New Roman" w:cs="Times New Roman"/>
            <w:i/>
            <w:color w:val="0000FF"/>
            <w:sz w:val="21"/>
            <w:szCs w:val="21"/>
            <w:u w:val="single"/>
            <w:lang w:val="en-US"/>
          </w:rPr>
          <w:t>kuzmenko</w:t>
        </w:r>
        <w:r w:rsidRPr="00CF1EC4">
          <w:rPr>
            <w:rFonts w:ascii="Times New Roman" w:eastAsia="Times New Roman" w:hAnsi="Times New Roman" w:cs="Times New Roman"/>
            <w:i/>
            <w:color w:val="0000FF"/>
            <w:sz w:val="21"/>
            <w:szCs w:val="21"/>
            <w:u w:val="single"/>
          </w:rPr>
          <w:t>.</w:t>
        </w:r>
        <w:r w:rsidRPr="00CF1EC4">
          <w:rPr>
            <w:rFonts w:ascii="Times New Roman" w:eastAsia="Times New Roman" w:hAnsi="Times New Roman" w:cs="Times New Roman"/>
            <w:i/>
            <w:color w:val="0000FF"/>
            <w:sz w:val="21"/>
            <w:szCs w:val="21"/>
            <w:u w:val="single"/>
            <w:lang w:val="en-US"/>
          </w:rPr>
          <w:t>angelina</w:t>
        </w:r>
        <w:r w:rsidRPr="00CF1EC4">
          <w:rPr>
            <w:rFonts w:ascii="Times New Roman" w:eastAsia="Times New Roman" w:hAnsi="Times New Roman" w:cs="Times New Roman"/>
            <w:i/>
            <w:color w:val="0000FF"/>
            <w:sz w:val="21"/>
            <w:szCs w:val="21"/>
            <w:u w:val="single"/>
          </w:rPr>
          <w:t>.</w:t>
        </w:r>
        <w:r w:rsidRPr="00CF1EC4">
          <w:rPr>
            <w:rFonts w:ascii="Times New Roman" w:eastAsia="Times New Roman" w:hAnsi="Times New Roman" w:cs="Times New Roman"/>
            <w:i/>
            <w:color w:val="0000FF"/>
            <w:sz w:val="21"/>
            <w:szCs w:val="21"/>
            <w:u w:val="single"/>
            <w:lang w:val="en-US"/>
          </w:rPr>
          <w:t>v</w:t>
        </w:r>
        <w:r w:rsidRPr="00CF1EC4">
          <w:rPr>
            <w:rFonts w:ascii="Times New Roman" w:eastAsia="Times New Roman" w:hAnsi="Times New Roman" w:cs="Times New Roman"/>
            <w:i/>
            <w:color w:val="0000FF"/>
            <w:sz w:val="21"/>
            <w:szCs w:val="21"/>
            <w:u w:val="single"/>
          </w:rPr>
          <w:t>@</w:t>
        </w:r>
        <w:r w:rsidRPr="00CF1EC4">
          <w:rPr>
            <w:rFonts w:ascii="Times New Roman" w:eastAsia="Times New Roman" w:hAnsi="Times New Roman" w:cs="Times New Roman"/>
            <w:i/>
            <w:color w:val="0000FF"/>
            <w:sz w:val="21"/>
            <w:szCs w:val="21"/>
            <w:u w:val="single"/>
            <w:lang w:val="en-US"/>
          </w:rPr>
          <w:t>mail</w:t>
        </w:r>
        <w:r w:rsidRPr="00CF1EC4">
          <w:rPr>
            <w:rFonts w:ascii="Times New Roman" w:eastAsia="Times New Roman" w:hAnsi="Times New Roman" w:cs="Times New Roman"/>
            <w:i/>
            <w:color w:val="0000FF"/>
            <w:sz w:val="21"/>
            <w:szCs w:val="21"/>
            <w:u w:val="single"/>
          </w:rPr>
          <w:t>.</w:t>
        </w:r>
        <w:r w:rsidRPr="00CF1EC4">
          <w:rPr>
            <w:rFonts w:ascii="Times New Roman" w:eastAsia="Times New Roman" w:hAnsi="Times New Roman" w:cs="Times New Roman"/>
            <w:i/>
            <w:color w:val="0000FF"/>
            <w:sz w:val="21"/>
            <w:szCs w:val="21"/>
            <w:u w:val="single"/>
            <w:lang w:val="en-US"/>
          </w:rPr>
          <w:t>ru</w:t>
        </w:r>
      </w:hyperlink>
      <w:r w:rsidRPr="00CF1EC4">
        <w:rPr>
          <w:rFonts w:ascii="Times New Roman" w:eastAsia="Times New Roman" w:hAnsi="Times New Roman" w:cs="Times New Roman"/>
          <w:i/>
          <w:sz w:val="21"/>
          <w:szCs w:val="21"/>
        </w:rPr>
        <w:t xml:space="preserve"> </w:t>
      </w:r>
    </w:p>
    <w:p w14:paraId="3171AFE7" w14:textId="77777777" w:rsidR="00CF1EC4" w:rsidRPr="00CF1EC4" w:rsidRDefault="00CF1EC4" w:rsidP="00CF1EC4">
      <w:pPr>
        <w:spacing w:after="0" w:line="240" w:lineRule="auto"/>
        <w:jc w:val="right"/>
        <w:rPr>
          <w:rFonts w:ascii="Times New Roman" w:eastAsia="Times New Roman" w:hAnsi="Times New Roman" w:cs="Times New Roman"/>
          <w:i/>
          <w:sz w:val="21"/>
          <w:szCs w:val="21"/>
        </w:rPr>
      </w:pPr>
    </w:p>
    <w:p w14:paraId="7175F028" w14:textId="77777777" w:rsidR="00CF1EC4" w:rsidRPr="00CF1EC4" w:rsidRDefault="00CF1EC4" w:rsidP="00CF1EC4">
      <w:pPr>
        <w:spacing w:after="200" w:line="240" w:lineRule="auto"/>
        <w:ind w:left="-567" w:right="-1"/>
        <w:contextualSpacing/>
        <w:jc w:val="right"/>
        <w:rPr>
          <w:rFonts w:ascii="Times New Roman" w:eastAsia="Calibri" w:hAnsi="Times New Roman" w:cs="Times New Roman"/>
          <w:b/>
          <w:i/>
          <w:sz w:val="21"/>
          <w:szCs w:val="21"/>
        </w:rPr>
      </w:pPr>
      <w:r w:rsidRPr="00CF1EC4">
        <w:rPr>
          <w:rFonts w:ascii="Times New Roman" w:eastAsia="Calibri" w:hAnsi="Times New Roman" w:cs="Times New Roman"/>
          <w:b/>
          <w:i/>
          <w:sz w:val="21"/>
          <w:szCs w:val="21"/>
        </w:rPr>
        <w:t xml:space="preserve">Научный руководитель: </w:t>
      </w:r>
    </w:p>
    <w:p w14:paraId="548B140F" w14:textId="77777777" w:rsidR="00CF1EC4" w:rsidRPr="00CF1EC4" w:rsidRDefault="00CF1EC4" w:rsidP="00CF1EC4">
      <w:pPr>
        <w:spacing w:after="200" w:line="240" w:lineRule="auto"/>
        <w:ind w:left="-567" w:right="-1"/>
        <w:contextualSpacing/>
        <w:jc w:val="right"/>
        <w:rPr>
          <w:rFonts w:ascii="Times New Roman" w:eastAsia="Calibri" w:hAnsi="Times New Roman" w:cs="Times New Roman"/>
          <w:b/>
          <w:i/>
          <w:sz w:val="21"/>
          <w:szCs w:val="21"/>
        </w:rPr>
      </w:pPr>
      <w:r w:rsidRPr="00CF1EC4">
        <w:rPr>
          <w:rFonts w:ascii="Times New Roman" w:eastAsia="Calibri" w:hAnsi="Times New Roman" w:cs="Times New Roman"/>
          <w:sz w:val="21"/>
          <w:szCs w:val="21"/>
        </w:rPr>
        <w:t xml:space="preserve">                                                                                    </w:t>
      </w:r>
      <w:r w:rsidRPr="00CF1EC4">
        <w:rPr>
          <w:rFonts w:ascii="Times New Roman" w:eastAsia="Calibri" w:hAnsi="Times New Roman" w:cs="Times New Roman"/>
          <w:b/>
          <w:i/>
          <w:sz w:val="21"/>
          <w:szCs w:val="21"/>
        </w:rPr>
        <w:t>Комар Я.В.,</w:t>
      </w:r>
    </w:p>
    <w:p w14:paraId="768D6215" w14:textId="77777777" w:rsidR="00CF1EC4" w:rsidRPr="00CF1EC4" w:rsidRDefault="00CF1EC4" w:rsidP="00CF1EC4">
      <w:pPr>
        <w:spacing w:after="200" w:line="240" w:lineRule="auto"/>
        <w:ind w:left="-567" w:right="-1"/>
        <w:contextualSpacing/>
        <w:jc w:val="right"/>
        <w:rPr>
          <w:rFonts w:ascii="Times New Roman" w:eastAsia="Calibri" w:hAnsi="Times New Roman" w:cs="Times New Roman"/>
          <w:sz w:val="21"/>
          <w:szCs w:val="21"/>
        </w:rPr>
      </w:pPr>
      <w:r w:rsidRPr="00CF1EC4">
        <w:rPr>
          <w:rFonts w:ascii="Times New Roman" w:eastAsia="Calibri" w:hAnsi="Times New Roman" w:cs="Times New Roman"/>
          <w:sz w:val="21"/>
          <w:szCs w:val="21"/>
        </w:rPr>
        <w:t xml:space="preserve">доцент, к.и.н., </w:t>
      </w:r>
    </w:p>
    <w:p w14:paraId="022D5A3D" w14:textId="77777777" w:rsidR="004F1A9E" w:rsidRPr="0001591D" w:rsidRDefault="004F1A9E" w:rsidP="004F1A9E">
      <w:pPr>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46E9AAC4" w14:textId="77777777" w:rsidR="00CF1EC4" w:rsidRPr="00CF1EC4" w:rsidRDefault="00CF1EC4" w:rsidP="00CF1EC4">
      <w:pPr>
        <w:spacing w:after="200" w:line="240" w:lineRule="auto"/>
        <w:ind w:left="-567" w:right="-1"/>
        <w:contextualSpacing/>
        <w:jc w:val="right"/>
        <w:rPr>
          <w:rFonts w:ascii="Times New Roman" w:eastAsia="Calibri" w:hAnsi="Times New Roman" w:cs="Times New Roman"/>
          <w:i/>
          <w:sz w:val="21"/>
          <w:szCs w:val="21"/>
        </w:rPr>
      </w:pPr>
      <w:r w:rsidRPr="00CF1EC4">
        <w:rPr>
          <w:rFonts w:ascii="Times New Roman" w:eastAsia="Calibri" w:hAnsi="Times New Roman" w:cs="Times New Roman"/>
          <w:i/>
          <w:sz w:val="21"/>
          <w:szCs w:val="21"/>
        </w:rPr>
        <w:t xml:space="preserve">                                                                                     г. Краснодар, Россия</w:t>
      </w:r>
    </w:p>
    <w:p w14:paraId="0D48E983" w14:textId="77777777" w:rsidR="00CF1EC4" w:rsidRPr="00CF1EC4" w:rsidRDefault="00CF1EC4" w:rsidP="00CF1EC4">
      <w:pPr>
        <w:spacing w:after="200" w:line="240" w:lineRule="auto"/>
        <w:ind w:left="-567" w:right="-1"/>
        <w:contextualSpacing/>
        <w:jc w:val="right"/>
        <w:rPr>
          <w:rFonts w:ascii="Times New Roman" w:eastAsia="Times New Roman" w:hAnsi="Times New Roman" w:cs="Times New Roman"/>
          <w:i/>
          <w:sz w:val="21"/>
          <w:szCs w:val="21"/>
        </w:rPr>
      </w:pPr>
      <w:r w:rsidRPr="00CF1EC4">
        <w:rPr>
          <w:rFonts w:ascii="Times New Roman" w:eastAsia="Calibri" w:hAnsi="Times New Roman" w:cs="Times New Roman"/>
          <w:i/>
          <w:sz w:val="21"/>
          <w:szCs w:val="21"/>
          <w:lang w:val="en-US"/>
        </w:rPr>
        <w:t>e</w:t>
      </w:r>
      <w:r w:rsidRPr="00CF1EC4">
        <w:rPr>
          <w:rFonts w:ascii="Times New Roman" w:eastAsia="Calibri" w:hAnsi="Times New Roman" w:cs="Times New Roman"/>
          <w:i/>
          <w:sz w:val="21"/>
          <w:szCs w:val="21"/>
        </w:rPr>
        <w:t>-</w:t>
      </w:r>
      <w:r w:rsidRPr="00CF1EC4">
        <w:rPr>
          <w:rFonts w:ascii="Times New Roman" w:eastAsia="Calibri" w:hAnsi="Times New Roman" w:cs="Times New Roman"/>
          <w:i/>
          <w:sz w:val="21"/>
          <w:szCs w:val="21"/>
          <w:lang w:val="en-US"/>
        </w:rPr>
        <w:t>mail</w:t>
      </w:r>
      <w:r w:rsidRPr="00CF1EC4">
        <w:rPr>
          <w:rFonts w:ascii="Times New Roman" w:eastAsia="Calibri" w:hAnsi="Times New Roman" w:cs="Times New Roman"/>
          <w:i/>
          <w:sz w:val="21"/>
          <w:szCs w:val="21"/>
        </w:rPr>
        <w:t xml:space="preserve">: </w:t>
      </w:r>
      <w:hyperlink r:id="rId713" w:history="1">
        <w:r w:rsidRPr="00CF1EC4">
          <w:rPr>
            <w:rFonts w:ascii="Times New Roman" w:eastAsia="Calibri" w:hAnsi="Times New Roman" w:cs="Times New Roman"/>
            <w:i/>
            <w:color w:val="0000FF"/>
            <w:sz w:val="21"/>
            <w:szCs w:val="21"/>
            <w:u w:val="single"/>
            <w:lang w:val="en-US"/>
          </w:rPr>
          <w:t>YVKomar</w:t>
        </w:r>
        <w:r w:rsidRPr="00CF1EC4">
          <w:rPr>
            <w:rFonts w:ascii="Times New Roman" w:eastAsia="Calibri" w:hAnsi="Times New Roman" w:cs="Times New Roman"/>
            <w:i/>
            <w:color w:val="0000FF"/>
            <w:sz w:val="21"/>
            <w:szCs w:val="21"/>
            <w:u w:val="single"/>
          </w:rPr>
          <w:t>@</w:t>
        </w:r>
        <w:r w:rsidRPr="00CF1EC4">
          <w:rPr>
            <w:rFonts w:ascii="Times New Roman" w:eastAsia="Calibri" w:hAnsi="Times New Roman" w:cs="Times New Roman"/>
            <w:i/>
            <w:color w:val="0000FF"/>
            <w:sz w:val="21"/>
            <w:szCs w:val="21"/>
            <w:u w:val="single"/>
            <w:lang w:val="en-US"/>
          </w:rPr>
          <w:t>fa</w:t>
        </w:r>
        <w:r w:rsidRPr="00CF1EC4">
          <w:rPr>
            <w:rFonts w:ascii="Times New Roman" w:eastAsia="Calibri" w:hAnsi="Times New Roman" w:cs="Times New Roman"/>
            <w:i/>
            <w:color w:val="0000FF"/>
            <w:sz w:val="21"/>
            <w:szCs w:val="21"/>
            <w:u w:val="single"/>
          </w:rPr>
          <w:t>.</w:t>
        </w:r>
        <w:r w:rsidRPr="00CF1EC4">
          <w:rPr>
            <w:rFonts w:ascii="Times New Roman" w:eastAsia="Calibri" w:hAnsi="Times New Roman" w:cs="Times New Roman"/>
            <w:i/>
            <w:color w:val="0000FF"/>
            <w:sz w:val="21"/>
            <w:szCs w:val="21"/>
            <w:u w:val="single"/>
            <w:lang w:val="en-US"/>
          </w:rPr>
          <w:t>ru</w:t>
        </w:r>
      </w:hyperlink>
      <w:r w:rsidRPr="00CF1EC4">
        <w:rPr>
          <w:rFonts w:ascii="Times New Roman" w:eastAsia="Calibri" w:hAnsi="Times New Roman" w:cs="Times New Roman"/>
          <w:i/>
          <w:sz w:val="21"/>
          <w:szCs w:val="21"/>
        </w:rPr>
        <w:t xml:space="preserve">                                               </w:t>
      </w:r>
    </w:p>
    <w:p w14:paraId="413304EE" w14:textId="77777777" w:rsidR="00CF1EC4" w:rsidRPr="00CF1EC4" w:rsidRDefault="00CF1EC4" w:rsidP="00CF1EC4">
      <w:pPr>
        <w:spacing w:after="200" w:line="240" w:lineRule="auto"/>
        <w:ind w:left="-567" w:right="-1"/>
        <w:contextualSpacing/>
        <w:jc w:val="right"/>
        <w:rPr>
          <w:rFonts w:ascii="Times New Roman" w:eastAsia="Calibri" w:hAnsi="Times New Roman" w:cs="Times New Roman"/>
          <w:i/>
          <w:sz w:val="21"/>
          <w:szCs w:val="21"/>
        </w:rPr>
      </w:pPr>
    </w:p>
    <w:p w14:paraId="070A6B5F" w14:textId="77777777" w:rsidR="00CF1EC4" w:rsidRPr="00CF1EC4" w:rsidRDefault="00CF1EC4" w:rsidP="00CF1EC4">
      <w:pPr>
        <w:spacing w:after="0" w:line="240" w:lineRule="auto"/>
        <w:ind w:firstLine="567"/>
        <w:jc w:val="center"/>
        <w:rPr>
          <w:rFonts w:ascii="Times New Roman" w:eastAsia="Times New Roman" w:hAnsi="Times New Roman" w:cs="Times New Roman"/>
          <w:b/>
          <w:sz w:val="21"/>
          <w:szCs w:val="21"/>
          <w:lang w:eastAsia="ar-SA"/>
        </w:rPr>
      </w:pPr>
      <w:r w:rsidRPr="00CF1EC4">
        <w:rPr>
          <w:rFonts w:ascii="Times New Roman" w:eastAsia="Times New Roman" w:hAnsi="Times New Roman" w:cs="Times New Roman"/>
          <w:b/>
          <w:sz w:val="21"/>
          <w:szCs w:val="21"/>
          <w:lang w:eastAsia="ar-SA"/>
        </w:rPr>
        <w:t>Неологизмы цифровой эпохи: генезис, семантика и функционирование в разных коммуникативных контекстах</w:t>
      </w:r>
    </w:p>
    <w:p w14:paraId="35C5D356" w14:textId="77777777" w:rsidR="00CF1EC4" w:rsidRPr="00CF1EC4" w:rsidRDefault="00CF1EC4" w:rsidP="00CF1EC4">
      <w:pPr>
        <w:spacing w:after="0" w:line="240" w:lineRule="auto"/>
        <w:ind w:firstLine="567"/>
        <w:jc w:val="both"/>
        <w:rPr>
          <w:rFonts w:ascii="Times New Roman" w:eastAsia="Times New Roman" w:hAnsi="Times New Roman" w:cs="Times New Roman"/>
          <w:i/>
          <w:sz w:val="21"/>
          <w:szCs w:val="21"/>
          <w:shd w:val="clear" w:color="auto" w:fill="00FFFF"/>
        </w:rPr>
      </w:pPr>
    </w:p>
    <w:p w14:paraId="01494A16" w14:textId="77777777" w:rsidR="00CF1EC4" w:rsidRPr="00CF1EC4" w:rsidRDefault="00CF1EC4" w:rsidP="00CF1EC4">
      <w:pPr>
        <w:spacing w:after="0" w:line="240" w:lineRule="auto"/>
        <w:ind w:firstLine="567"/>
        <w:jc w:val="both"/>
        <w:rPr>
          <w:rFonts w:ascii="Times New Roman" w:eastAsia="Times New Roman" w:hAnsi="Times New Roman" w:cs="Times New Roman"/>
          <w:sz w:val="21"/>
          <w:szCs w:val="21"/>
        </w:rPr>
      </w:pPr>
      <w:r w:rsidRPr="00CF1EC4">
        <w:rPr>
          <w:rFonts w:ascii="Times New Roman" w:eastAsia="Times New Roman" w:hAnsi="Times New Roman" w:cs="Times New Roman"/>
          <w:b/>
          <w:sz w:val="21"/>
          <w:szCs w:val="21"/>
        </w:rPr>
        <w:t>Аннотация:</w:t>
      </w:r>
      <w:r w:rsidRPr="00CF1EC4">
        <w:rPr>
          <w:rFonts w:ascii="Times New Roman" w:eastAsia="Times New Roman" w:hAnsi="Times New Roman" w:cs="Times New Roman"/>
          <w:i/>
          <w:sz w:val="21"/>
          <w:szCs w:val="21"/>
        </w:rPr>
        <w:t xml:space="preserve"> </w:t>
      </w:r>
      <w:r w:rsidRPr="00CF1EC4">
        <w:rPr>
          <w:rFonts w:ascii="Times New Roman" w:eastAsia="Times New Roman" w:hAnsi="Times New Roman" w:cs="Times New Roman"/>
          <w:sz w:val="21"/>
          <w:szCs w:val="21"/>
        </w:rPr>
        <w:t xml:space="preserve">В этой статье рассматривается феномен неологизмов в эпоху цифровых технологий, особое внимание уделяется их генезису, семантике и функционированию в различных коммуникативных контекстах. В статье анализируется процесс создания неологизмов, приводятся примеры их появления в онлайн-среде за последние три года, объясняется их происхождение и семантика. </w:t>
      </w:r>
    </w:p>
    <w:p w14:paraId="73ABD82D" w14:textId="77777777" w:rsidR="00CF1EC4" w:rsidRPr="00CF1EC4" w:rsidRDefault="00CF1EC4" w:rsidP="00CF1EC4">
      <w:pPr>
        <w:spacing w:after="0" w:line="240" w:lineRule="auto"/>
        <w:ind w:firstLine="567"/>
        <w:jc w:val="both"/>
        <w:rPr>
          <w:rFonts w:ascii="Times New Roman" w:eastAsia="Times New Roman" w:hAnsi="Times New Roman" w:cs="Times New Roman"/>
          <w:sz w:val="21"/>
          <w:szCs w:val="21"/>
        </w:rPr>
      </w:pPr>
      <w:r w:rsidRPr="00CF1EC4">
        <w:rPr>
          <w:rFonts w:ascii="Times New Roman" w:eastAsia="Times New Roman" w:hAnsi="Times New Roman" w:cs="Times New Roman"/>
          <w:b/>
          <w:sz w:val="21"/>
          <w:szCs w:val="21"/>
        </w:rPr>
        <w:t>Ключевые слова:</w:t>
      </w:r>
      <w:r w:rsidRPr="00CF1EC4">
        <w:rPr>
          <w:rFonts w:ascii="Times New Roman" w:eastAsia="Times New Roman" w:hAnsi="Times New Roman" w:cs="Times New Roman"/>
          <w:sz w:val="21"/>
          <w:szCs w:val="21"/>
        </w:rPr>
        <w:t xml:space="preserve"> неологизмы, генезис, семантика, происхождение слов, словарный состав языка.</w:t>
      </w:r>
    </w:p>
    <w:p w14:paraId="08C33DCC" w14:textId="77777777" w:rsidR="004F1A9E" w:rsidRDefault="004F1A9E" w:rsidP="00531088">
      <w:pPr>
        <w:spacing w:after="0" w:line="240" w:lineRule="auto"/>
        <w:ind w:firstLine="567"/>
        <w:jc w:val="right"/>
        <w:rPr>
          <w:rFonts w:ascii="Times New Roman" w:eastAsia="Times New Roman" w:hAnsi="Times New Roman" w:cs="Times New Roman"/>
          <w:b/>
          <w:i/>
          <w:sz w:val="21"/>
          <w:szCs w:val="21"/>
        </w:rPr>
      </w:pPr>
    </w:p>
    <w:p w14:paraId="1059F2E6" w14:textId="6D73A664" w:rsidR="00531088" w:rsidRPr="00CF1EC4" w:rsidRDefault="00531088" w:rsidP="00531088">
      <w:pPr>
        <w:spacing w:after="0" w:line="240" w:lineRule="auto"/>
        <w:ind w:firstLine="567"/>
        <w:jc w:val="right"/>
        <w:rPr>
          <w:rFonts w:ascii="Times New Roman" w:eastAsia="Times New Roman" w:hAnsi="Times New Roman" w:cs="Times New Roman"/>
          <w:b/>
          <w:i/>
          <w:sz w:val="21"/>
          <w:szCs w:val="21"/>
          <w:lang w:val="en-US"/>
        </w:rPr>
      </w:pPr>
      <w:r w:rsidRPr="00CF1EC4">
        <w:rPr>
          <w:rFonts w:ascii="Times New Roman" w:eastAsia="Times New Roman" w:hAnsi="Times New Roman" w:cs="Times New Roman"/>
          <w:b/>
          <w:i/>
          <w:sz w:val="21"/>
          <w:szCs w:val="21"/>
          <w:lang w:val="en-US"/>
        </w:rPr>
        <w:t>Kuzmenko A.V.,</w:t>
      </w:r>
    </w:p>
    <w:p w14:paraId="65C82750" w14:textId="77777777" w:rsidR="00531088" w:rsidRPr="00CF1EC4" w:rsidRDefault="00531088" w:rsidP="00531088">
      <w:pPr>
        <w:spacing w:after="0" w:line="240" w:lineRule="auto"/>
        <w:ind w:firstLine="567"/>
        <w:jc w:val="right"/>
        <w:rPr>
          <w:rFonts w:ascii="Times New Roman" w:eastAsia="Times New Roman" w:hAnsi="Times New Roman" w:cs="Times New Roman"/>
          <w:b/>
          <w:i/>
          <w:sz w:val="21"/>
          <w:szCs w:val="21"/>
          <w:lang w:val="en-US"/>
        </w:rPr>
      </w:pPr>
      <w:r w:rsidRPr="00CF1EC4">
        <w:rPr>
          <w:rFonts w:ascii="Times New Roman" w:eastAsia="Times New Roman" w:hAnsi="Times New Roman" w:cs="Times New Roman"/>
          <w:i/>
          <w:sz w:val="21"/>
          <w:szCs w:val="21"/>
          <w:lang w:val="en-US"/>
        </w:rPr>
        <w:t>student,</w:t>
      </w:r>
      <w:r w:rsidRPr="00CF1EC4">
        <w:rPr>
          <w:rFonts w:ascii="Times New Roman" w:eastAsia="Times New Roman" w:hAnsi="Times New Roman" w:cs="Times New Roman"/>
          <w:i/>
          <w:lang w:val="en-US"/>
        </w:rPr>
        <w:t xml:space="preserve"> </w:t>
      </w:r>
      <w:r w:rsidRPr="00CF1EC4">
        <w:rPr>
          <w:rFonts w:ascii="Times New Roman" w:eastAsia="Times New Roman" w:hAnsi="Times New Roman" w:cs="Times New Roman"/>
          <w:i/>
          <w:sz w:val="21"/>
          <w:szCs w:val="21"/>
          <w:lang w:val="en-US"/>
        </w:rPr>
        <w:t>3 courses</w:t>
      </w:r>
      <w:r w:rsidRPr="00CF1EC4">
        <w:rPr>
          <w:rFonts w:ascii="Times New Roman" w:eastAsia="Times New Roman" w:hAnsi="Times New Roman" w:cs="Times New Roman"/>
          <w:b/>
          <w:i/>
          <w:sz w:val="21"/>
          <w:szCs w:val="21"/>
          <w:lang w:val="en-US"/>
        </w:rPr>
        <w:t xml:space="preserve"> </w:t>
      </w:r>
    </w:p>
    <w:p w14:paraId="4A990606" w14:textId="77777777" w:rsidR="00531088" w:rsidRPr="00CF1EC4" w:rsidRDefault="00531088" w:rsidP="00531088">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CF1EC4">
        <w:rPr>
          <w:rFonts w:ascii="Times New Roman" w:eastAsia="Times New Roman" w:hAnsi="Times New Roman" w:cs="Times New Roman"/>
          <w:i/>
          <w:sz w:val="21"/>
          <w:szCs w:val="21"/>
          <w:lang w:val="en-US" w:eastAsia="ar-SA"/>
        </w:rPr>
        <w:t xml:space="preserve"> Financial University under the Government of the Russia Federation</w:t>
      </w:r>
    </w:p>
    <w:p w14:paraId="6B88E579" w14:textId="77777777" w:rsidR="00531088" w:rsidRPr="00CF1EC4" w:rsidRDefault="00531088" w:rsidP="00531088">
      <w:pPr>
        <w:suppressAutoHyphens/>
        <w:spacing w:after="0" w:line="240" w:lineRule="auto"/>
        <w:ind w:firstLine="567"/>
        <w:jc w:val="right"/>
        <w:rPr>
          <w:rFonts w:ascii="Times New Roman" w:eastAsia="Times New Roman" w:hAnsi="Times New Roman" w:cs="Times New Roman"/>
          <w:i/>
          <w:sz w:val="21"/>
          <w:szCs w:val="21"/>
          <w:lang w:val="en-US" w:eastAsia="ar-SA"/>
        </w:rPr>
      </w:pPr>
      <w:r w:rsidRPr="00CF1EC4">
        <w:rPr>
          <w:rFonts w:ascii="Times New Roman" w:eastAsia="Times New Roman" w:hAnsi="Times New Roman" w:cs="Times New Roman"/>
          <w:i/>
          <w:sz w:val="21"/>
          <w:szCs w:val="21"/>
          <w:lang w:val="en-US" w:eastAsia="ar-SA"/>
        </w:rPr>
        <w:t>Krasnodar, Russia</w:t>
      </w:r>
    </w:p>
    <w:p w14:paraId="7DD8563A" w14:textId="77777777" w:rsidR="00531088" w:rsidRPr="00CF1EC4" w:rsidRDefault="00531088" w:rsidP="00531088">
      <w:pPr>
        <w:spacing w:after="0" w:line="240" w:lineRule="auto"/>
        <w:ind w:firstLine="567"/>
        <w:jc w:val="right"/>
        <w:rPr>
          <w:rFonts w:ascii="Times New Roman" w:eastAsia="Times New Roman" w:hAnsi="Times New Roman" w:cs="Times New Roman"/>
          <w:i/>
          <w:sz w:val="21"/>
          <w:szCs w:val="21"/>
          <w:lang w:val="en-US"/>
        </w:rPr>
      </w:pPr>
      <w:r w:rsidRPr="00CF1EC4">
        <w:rPr>
          <w:rFonts w:ascii="Times New Roman" w:eastAsia="Times New Roman" w:hAnsi="Times New Roman" w:cs="Times New Roman"/>
          <w:i/>
          <w:sz w:val="21"/>
          <w:szCs w:val="21"/>
        </w:rPr>
        <w:t>е</w:t>
      </w:r>
      <w:r w:rsidRPr="00CF1EC4">
        <w:rPr>
          <w:rFonts w:ascii="Times New Roman" w:eastAsia="Times New Roman" w:hAnsi="Times New Roman" w:cs="Times New Roman"/>
          <w:i/>
          <w:sz w:val="21"/>
          <w:szCs w:val="21"/>
          <w:lang w:val="en-US"/>
        </w:rPr>
        <w:t xml:space="preserve">-mail: </w:t>
      </w:r>
      <w:hyperlink r:id="rId714" w:history="1">
        <w:r w:rsidRPr="00CF1EC4">
          <w:rPr>
            <w:rFonts w:ascii="Times New Roman" w:eastAsia="Times New Roman" w:hAnsi="Times New Roman" w:cs="Times New Roman"/>
            <w:i/>
            <w:color w:val="0000FF"/>
            <w:sz w:val="21"/>
            <w:szCs w:val="21"/>
            <w:u w:val="single"/>
            <w:lang w:val="en-US"/>
          </w:rPr>
          <w:t>kuzmenko.angelina.v@mail.ru</w:t>
        </w:r>
      </w:hyperlink>
      <w:r w:rsidRPr="00CF1EC4">
        <w:rPr>
          <w:rFonts w:ascii="Times New Roman" w:eastAsia="Times New Roman" w:hAnsi="Times New Roman" w:cs="Times New Roman"/>
          <w:i/>
          <w:sz w:val="21"/>
          <w:szCs w:val="21"/>
          <w:lang w:val="en-US"/>
        </w:rPr>
        <w:t xml:space="preserve">  </w:t>
      </w:r>
    </w:p>
    <w:p w14:paraId="6F70F843" w14:textId="77777777" w:rsidR="00531088" w:rsidRPr="00CF1EC4" w:rsidRDefault="00531088" w:rsidP="00531088">
      <w:pPr>
        <w:spacing w:after="0" w:line="240" w:lineRule="auto"/>
        <w:ind w:firstLine="567"/>
        <w:jc w:val="right"/>
        <w:rPr>
          <w:rFonts w:ascii="Times New Roman" w:eastAsia="Times New Roman" w:hAnsi="Times New Roman" w:cs="Times New Roman"/>
          <w:i/>
          <w:sz w:val="21"/>
          <w:szCs w:val="21"/>
          <w:lang w:val="en-US"/>
        </w:rPr>
      </w:pPr>
    </w:p>
    <w:p w14:paraId="5BF112A8" w14:textId="77777777" w:rsidR="00531088" w:rsidRPr="00CF1EC4" w:rsidRDefault="00531088" w:rsidP="00531088">
      <w:pPr>
        <w:spacing w:after="0" w:line="240" w:lineRule="auto"/>
        <w:ind w:firstLine="567"/>
        <w:jc w:val="right"/>
        <w:rPr>
          <w:rFonts w:ascii="Times New Roman" w:eastAsia="Times New Roman" w:hAnsi="Times New Roman" w:cs="Times New Roman"/>
          <w:b/>
          <w:i/>
          <w:sz w:val="21"/>
          <w:szCs w:val="21"/>
          <w:lang w:val="en-US"/>
        </w:rPr>
      </w:pPr>
      <w:r w:rsidRPr="00CF1EC4">
        <w:rPr>
          <w:rFonts w:ascii="Times New Roman" w:eastAsia="Times New Roman" w:hAnsi="Times New Roman" w:cs="Times New Roman"/>
          <w:b/>
          <w:i/>
          <w:sz w:val="21"/>
          <w:szCs w:val="21"/>
          <w:lang w:val="en-US"/>
        </w:rPr>
        <w:t>Scientific Adviser:</w:t>
      </w:r>
    </w:p>
    <w:p w14:paraId="4A659BA9" w14:textId="77777777" w:rsidR="00531088" w:rsidRPr="00CF1EC4" w:rsidRDefault="00531088" w:rsidP="00531088">
      <w:pPr>
        <w:spacing w:after="200" w:line="240" w:lineRule="auto"/>
        <w:ind w:left="-567" w:right="-1"/>
        <w:contextualSpacing/>
        <w:jc w:val="right"/>
        <w:rPr>
          <w:rFonts w:ascii="Times New Roman" w:eastAsia="Calibri" w:hAnsi="Times New Roman" w:cs="Times New Roman"/>
          <w:b/>
          <w:i/>
          <w:sz w:val="21"/>
          <w:szCs w:val="21"/>
          <w:lang w:val="en-US"/>
        </w:rPr>
      </w:pPr>
      <w:r w:rsidRPr="00CF1EC4">
        <w:rPr>
          <w:rFonts w:ascii="Times New Roman" w:eastAsia="Calibri" w:hAnsi="Times New Roman" w:cs="Times New Roman"/>
          <w:b/>
          <w:i/>
          <w:sz w:val="21"/>
          <w:szCs w:val="21"/>
          <w:lang w:val="en-US"/>
        </w:rPr>
        <w:t>Komar Y.V.,</w:t>
      </w:r>
    </w:p>
    <w:p w14:paraId="37117A10" w14:textId="77777777" w:rsidR="00531088" w:rsidRPr="00CF1EC4" w:rsidRDefault="00531088" w:rsidP="00531088">
      <w:pPr>
        <w:spacing w:after="200" w:line="240" w:lineRule="auto"/>
        <w:ind w:left="-567" w:right="-1"/>
        <w:contextualSpacing/>
        <w:jc w:val="right"/>
        <w:rPr>
          <w:rFonts w:ascii="Times New Roman" w:eastAsia="Calibri" w:hAnsi="Times New Roman" w:cs="Times New Roman"/>
          <w:i/>
          <w:sz w:val="21"/>
          <w:szCs w:val="21"/>
          <w:lang w:val="en-US"/>
        </w:rPr>
      </w:pPr>
      <w:r w:rsidRPr="00CF1EC4">
        <w:rPr>
          <w:rFonts w:ascii="Times New Roman" w:eastAsia="Calibri" w:hAnsi="Times New Roman" w:cs="Times New Roman"/>
          <w:i/>
          <w:sz w:val="21"/>
          <w:szCs w:val="21"/>
          <w:lang w:val="en-US"/>
        </w:rPr>
        <w:t>candidate of historical Sciences, associate Professor,</w:t>
      </w:r>
    </w:p>
    <w:p w14:paraId="34847F38" w14:textId="77777777" w:rsidR="00531088" w:rsidRPr="00CF1EC4" w:rsidRDefault="00531088" w:rsidP="00531088">
      <w:pPr>
        <w:spacing w:after="200" w:line="240" w:lineRule="auto"/>
        <w:ind w:left="-567" w:right="-1"/>
        <w:contextualSpacing/>
        <w:jc w:val="right"/>
        <w:rPr>
          <w:rFonts w:ascii="Times New Roman" w:eastAsia="Calibri" w:hAnsi="Times New Roman" w:cs="Times New Roman"/>
          <w:i/>
          <w:sz w:val="21"/>
          <w:szCs w:val="21"/>
          <w:lang w:val="en-US"/>
        </w:rPr>
      </w:pPr>
      <w:r w:rsidRPr="00CF1EC4">
        <w:rPr>
          <w:rFonts w:ascii="Times New Roman" w:eastAsia="Calibri" w:hAnsi="Times New Roman" w:cs="Times New Roman"/>
          <w:i/>
          <w:sz w:val="21"/>
          <w:szCs w:val="21"/>
          <w:lang w:val="en-US"/>
        </w:rPr>
        <w:t>Financial University under the Government of Russian Federation</w:t>
      </w:r>
    </w:p>
    <w:p w14:paraId="5A116527" w14:textId="77777777" w:rsidR="00531088" w:rsidRPr="00CF1EC4" w:rsidRDefault="00531088" w:rsidP="00531088">
      <w:pPr>
        <w:spacing w:after="200" w:line="240" w:lineRule="auto"/>
        <w:ind w:left="-567" w:right="-1"/>
        <w:contextualSpacing/>
        <w:jc w:val="right"/>
        <w:rPr>
          <w:rFonts w:ascii="Times New Roman" w:eastAsia="Calibri" w:hAnsi="Times New Roman" w:cs="Times New Roman"/>
          <w:i/>
          <w:sz w:val="21"/>
          <w:szCs w:val="21"/>
          <w:lang w:val="en-US"/>
        </w:rPr>
      </w:pPr>
      <w:r w:rsidRPr="00CF1EC4">
        <w:rPr>
          <w:rFonts w:ascii="Times New Roman" w:eastAsia="Calibri" w:hAnsi="Times New Roman" w:cs="Times New Roman"/>
          <w:i/>
          <w:sz w:val="21"/>
          <w:szCs w:val="21"/>
          <w:lang w:val="en-US"/>
        </w:rPr>
        <w:t>Krasnodar, Russia</w:t>
      </w:r>
    </w:p>
    <w:p w14:paraId="686272E4" w14:textId="77777777" w:rsidR="00531088" w:rsidRPr="00CF1EC4" w:rsidRDefault="00531088" w:rsidP="00531088">
      <w:pPr>
        <w:spacing w:after="200" w:line="240" w:lineRule="auto"/>
        <w:ind w:left="-567" w:right="-1"/>
        <w:contextualSpacing/>
        <w:jc w:val="right"/>
        <w:rPr>
          <w:rFonts w:ascii="Times New Roman" w:eastAsia="Calibri" w:hAnsi="Times New Roman" w:cs="Times New Roman"/>
          <w:i/>
          <w:sz w:val="21"/>
          <w:szCs w:val="21"/>
          <w:lang w:val="en-US"/>
        </w:rPr>
      </w:pPr>
      <w:r w:rsidRPr="00CF1EC4">
        <w:rPr>
          <w:rFonts w:ascii="Times New Roman" w:eastAsia="Calibri" w:hAnsi="Times New Roman" w:cs="Times New Roman"/>
          <w:i/>
          <w:sz w:val="21"/>
          <w:szCs w:val="21"/>
          <w:lang w:val="en-US"/>
        </w:rPr>
        <w:t xml:space="preserve">е-mail: </w:t>
      </w:r>
      <w:hyperlink r:id="rId715" w:history="1">
        <w:r w:rsidRPr="00CF1EC4">
          <w:rPr>
            <w:rFonts w:ascii="Times New Roman" w:eastAsia="Calibri" w:hAnsi="Times New Roman" w:cs="Times New Roman"/>
            <w:i/>
            <w:color w:val="0000FF"/>
            <w:sz w:val="21"/>
            <w:szCs w:val="21"/>
            <w:u w:val="single"/>
            <w:lang w:val="en-US"/>
          </w:rPr>
          <w:t>YVKomar@fa.ru</w:t>
        </w:r>
      </w:hyperlink>
    </w:p>
    <w:p w14:paraId="23DE79FC" w14:textId="77777777" w:rsidR="00531088" w:rsidRPr="00CF1EC4" w:rsidRDefault="00531088" w:rsidP="00531088">
      <w:pPr>
        <w:spacing w:after="0" w:line="240" w:lineRule="auto"/>
        <w:ind w:firstLine="567"/>
        <w:jc w:val="right"/>
        <w:rPr>
          <w:rFonts w:ascii="Times New Roman" w:eastAsia="Times New Roman" w:hAnsi="Times New Roman" w:cs="Times New Roman"/>
          <w:i/>
          <w:sz w:val="21"/>
          <w:szCs w:val="21"/>
          <w:lang w:val="en-US"/>
        </w:rPr>
      </w:pPr>
    </w:p>
    <w:p w14:paraId="28FA7444" w14:textId="77777777" w:rsidR="00531088" w:rsidRPr="00CF1EC4" w:rsidRDefault="00531088" w:rsidP="00531088">
      <w:pPr>
        <w:suppressAutoHyphens/>
        <w:spacing w:after="0" w:line="240" w:lineRule="auto"/>
        <w:ind w:firstLine="567"/>
        <w:jc w:val="center"/>
        <w:rPr>
          <w:rFonts w:ascii="Times New Roman" w:eastAsia="Times New Roman" w:hAnsi="Times New Roman" w:cs="Times New Roman"/>
          <w:b/>
          <w:sz w:val="21"/>
          <w:szCs w:val="21"/>
          <w:lang w:val="en-US"/>
        </w:rPr>
      </w:pPr>
      <w:r w:rsidRPr="00CF1EC4">
        <w:rPr>
          <w:rFonts w:ascii="Times New Roman" w:eastAsia="Times New Roman" w:hAnsi="Times New Roman" w:cs="Times New Roman"/>
          <w:b/>
          <w:sz w:val="21"/>
          <w:szCs w:val="21"/>
          <w:lang w:val="en-US"/>
        </w:rPr>
        <w:t>Neologisms of the digital age: genesis, semantics and functioning in different communicative contexts</w:t>
      </w:r>
    </w:p>
    <w:p w14:paraId="2B4B25A1" w14:textId="77777777" w:rsidR="00531088" w:rsidRPr="00CF1EC4" w:rsidRDefault="00531088" w:rsidP="00531088">
      <w:pPr>
        <w:suppressAutoHyphens/>
        <w:spacing w:after="0" w:line="240" w:lineRule="auto"/>
        <w:ind w:firstLine="567"/>
        <w:jc w:val="both"/>
        <w:rPr>
          <w:rFonts w:ascii="Times New Roman" w:eastAsia="Times New Roman" w:hAnsi="Times New Roman" w:cs="Times New Roman"/>
          <w:b/>
          <w:bCs/>
          <w:sz w:val="21"/>
          <w:szCs w:val="21"/>
          <w:shd w:val="clear" w:color="auto" w:fill="FFFFFF"/>
          <w:lang w:val="x-none" w:eastAsia="ar-SA"/>
        </w:rPr>
      </w:pPr>
    </w:p>
    <w:p w14:paraId="7CEF4B8E" w14:textId="77777777" w:rsidR="00531088" w:rsidRPr="00CF1EC4" w:rsidRDefault="00531088" w:rsidP="00531088">
      <w:pPr>
        <w:suppressAutoHyphens/>
        <w:spacing w:after="0" w:line="240" w:lineRule="auto"/>
        <w:ind w:firstLine="567"/>
        <w:jc w:val="both"/>
        <w:rPr>
          <w:rFonts w:ascii="Times New Roman" w:eastAsia="Times New Roman" w:hAnsi="Times New Roman" w:cs="Times New Roman"/>
          <w:sz w:val="21"/>
          <w:szCs w:val="21"/>
          <w:lang w:val="en-US" w:eastAsia="ar-SA"/>
        </w:rPr>
      </w:pPr>
      <w:r w:rsidRPr="00CF1EC4">
        <w:rPr>
          <w:rFonts w:ascii="Times New Roman" w:eastAsia="Times New Roman" w:hAnsi="Times New Roman" w:cs="Times New Roman"/>
          <w:b/>
          <w:bCs/>
          <w:sz w:val="21"/>
          <w:szCs w:val="21"/>
          <w:shd w:val="clear" w:color="auto" w:fill="FFFFFF"/>
          <w:lang w:val="x-none" w:eastAsia="ar-SA"/>
        </w:rPr>
        <w:t>Abstract</w:t>
      </w:r>
      <w:r w:rsidRPr="00CF1EC4">
        <w:rPr>
          <w:rFonts w:ascii="Times New Roman" w:eastAsia="Times New Roman" w:hAnsi="Times New Roman" w:cs="Times New Roman"/>
          <w:b/>
          <w:bCs/>
          <w:sz w:val="21"/>
          <w:szCs w:val="21"/>
          <w:shd w:val="clear" w:color="auto" w:fill="FFFFFF"/>
          <w:lang w:val="en-US" w:eastAsia="ar-SA"/>
        </w:rPr>
        <w:t xml:space="preserve">: </w:t>
      </w:r>
      <w:r w:rsidRPr="00CF1EC4">
        <w:rPr>
          <w:rFonts w:ascii="Times New Roman" w:eastAsia="Times New Roman" w:hAnsi="Times New Roman" w:cs="Times New Roman"/>
          <w:sz w:val="21"/>
          <w:szCs w:val="21"/>
          <w:lang w:val="en-US" w:eastAsia="ar-SA"/>
        </w:rPr>
        <w:t xml:space="preserve">This article explores the phenomenon of neologisms in the digital age, focusing on their genesis, semantics, and functioning across various communicative contexts. It analyzes the process of neologism creation, </w:t>
      </w:r>
      <w:r w:rsidRPr="00CF1EC4">
        <w:rPr>
          <w:rFonts w:ascii="Times New Roman" w:eastAsia="Times New Roman" w:hAnsi="Times New Roman" w:cs="Times New Roman"/>
          <w:sz w:val="21"/>
          <w:szCs w:val="21"/>
          <w:lang w:val="en-US" w:eastAsia="ar-SA"/>
        </w:rPr>
        <w:lastRenderedPageBreak/>
        <w:t>providing vivid examples of their appearance in the online environment over the past three years, explaining their origins and semantics.</w:t>
      </w:r>
    </w:p>
    <w:p w14:paraId="03327E07" w14:textId="77777777" w:rsidR="00531088" w:rsidRPr="00CF1EC4" w:rsidRDefault="00531088" w:rsidP="00531088">
      <w:pPr>
        <w:suppressAutoHyphens/>
        <w:spacing w:after="0" w:line="240" w:lineRule="auto"/>
        <w:ind w:firstLine="567"/>
        <w:jc w:val="both"/>
        <w:rPr>
          <w:rFonts w:ascii="Times New Roman" w:eastAsia="Times New Roman" w:hAnsi="Times New Roman" w:cs="Times New Roman"/>
          <w:bCs/>
          <w:color w:val="000000"/>
          <w:sz w:val="21"/>
          <w:szCs w:val="21"/>
          <w:shd w:val="clear" w:color="auto" w:fill="FFFFFF"/>
          <w:lang w:val="en-US" w:eastAsia="ar-SA"/>
        </w:rPr>
      </w:pPr>
      <w:r w:rsidRPr="00CF1EC4">
        <w:rPr>
          <w:rFonts w:ascii="Times New Roman" w:eastAsia="Times New Roman" w:hAnsi="Times New Roman" w:cs="Times New Roman"/>
          <w:b/>
          <w:bCs/>
          <w:color w:val="000000"/>
          <w:sz w:val="21"/>
          <w:szCs w:val="21"/>
          <w:shd w:val="clear" w:color="auto" w:fill="FFFFFF"/>
          <w:lang w:val="x-none" w:eastAsia="ar-SA"/>
        </w:rPr>
        <w:t>Keywords</w:t>
      </w:r>
      <w:r w:rsidRPr="00CF1EC4">
        <w:rPr>
          <w:rFonts w:ascii="Times New Roman" w:eastAsia="Times New Roman" w:hAnsi="Times New Roman" w:cs="Times New Roman"/>
          <w:b/>
          <w:bCs/>
          <w:color w:val="000000"/>
          <w:sz w:val="21"/>
          <w:szCs w:val="21"/>
          <w:shd w:val="clear" w:color="auto" w:fill="FFFFFF"/>
          <w:lang w:val="en-US" w:eastAsia="ar-SA"/>
        </w:rPr>
        <w:t>:</w:t>
      </w:r>
      <w:r w:rsidRPr="00CF1EC4">
        <w:rPr>
          <w:rFonts w:ascii="Times New Roman" w:eastAsia="Times New Roman" w:hAnsi="Times New Roman" w:cs="Times New Roman"/>
          <w:bCs/>
          <w:color w:val="000000"/>
          <w:sz w:val="21"/>
          <w:szCs w:val="21"/>
          <w:shd w:val="clear" w:color="auto" w:fill="FFFFFF"/>
          <w:lang w:val="en-US" w:eastAsia="ar-SA"/>
        </w:rPr>
        <w:t xml:space="preserve"> neologisms, genesis, semantics, origin of words, vocabulary of the language.</w:t>
      </w:r>
    </w:p>
    <w:p w14:paraId="4C3E2B47" w14:textId="77777777" w:rsidR="004F1A9E" w:rsidRPr="00C30970" w:rsidRDefault="004F1A9E" w:rsidP="00CF1EC4">
      <w:pPr>
        <w:spacing w:after="0" w:line="240" w:lineRule="auto"/>
        <w:ind w:firstLine="708"/>
        <w:jc w:val="both"/>
        <w:rPr>
          <w:rFonts w:ascii="Times New Roman" w:eastAsiaTheme="minorHAnsi" w:hAnsi="Times New Roman" w:cs="Times New Roman"/>
          <w:sz w:val="32"/>
          <w:szCs w:val="32"/>
          <w:lang w:val="en-US"/>
        </w:rPr>
      </w:pPr>
    </w:p>
    <w:p w14:paraId="40DA08A4" w14:textId="1FE917AE"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With the rapid development of technology and the Internet, language is undergoing constant change. New words become necessary to describe new concepts, processes and phenomena. They also reflect social changes and public attitudes. New words help to explore how people's values and attitudes are changing. With the increasing use of social media and online platforms, communication is changing. New words are becoming part of everyday communication. Thus, language adapts to changing external conditions.</w:t>
      </w:r>
    </w:p>
    <w:p w14:paraId="078A486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Neologisms are words or meanings of words that have arisen in the language relatively recently and have not yet become widespread. Neologisms can be authorial and linguistic. Authorial neologisms are words invented by writers and poets to express their thoughts more precisely and make the text more expressive. Examples: Pushkin's “</w:t>
      </w:r>
      <w:r w:rsidRPr="00CF1EC4">
        <w:rPr>
          <w:rFonts w:ascii="Times New Roman" w:eastAsiaTheme="minorHAnsi" w:hAnsi="Times New Roman" w:cs="Times New Roman"/>
          <w:sz w:val="32"/>
          <w:szCs w:val="32"/>
        </w:rPr>
        <w:t>огончарован</w:t>
      </w:r>
      <w:r w:rsidRPr="00CF1EC4">
        <w:rPr>
          <w:rFonts w:ascii="Times New Roman" w:eastAsiaTheme="minorHAnsi" w:hAnsi="Times New Roman" w:cs="Times New Roman"/>
          <w:sz w:val="32"/>
          <w:szCs w:val="32"/>
          <w:lang w:val="en-US"/>
        </w:rPr>
        <w:t>”, Mayakovsky's “</w:t>
      </w:r>
      <w:r w:rsidRPr="00CF1EC4">
        <w:rPr>
          <w:rFonts w:ascii="Times New Roman" w:eastAsiaTheme="minorHAnsi" w:hAnsi="Times New Roman" w:cs="Times New Roman"/>
          <w:sz w:val="32"/>
          <w:szCs w:val="32"/>
        </w:rPr>
        <w:t>любеночек</w:t>
      </w:r>
      <w:r w:rsidRPr="00CF1EC4">
        <w:rPr>
          <w:rFonts w:ascii="Times New Roman" w:eastAsiaTheme="minorHAnsi" w:hAnsi="Times New Roman" w:cs="Times New Roman"/>
          <w:sz w:val="32"/>
          <w:szCs w:val="32"/>
          <w:lang w:val="en-US"/>
        </w:rPr>
        <w:t>,</w:t>
      </w:r>
      <w:r w:rsidRPr="00CF1EC4">
        <w:rPr>
          <w:rFonts w:eastAsiaTheme="minorHAnsi"/>
          <w:sz w:val="32"/>
          <w:szCs w:val="32"/>
          <w:lang w:val="en-US"/>
        </w:rPr>
        <w:t xml:space="preserve"> </w:t>
      </w:r>
      <w:r w:rsidRPr="00CF1EC4">
        <w:rPr>
          <w:rFonts w:ascii="Times New Roman" w:eastAsiaTheme="minorHAnsi" w:hAnsi="Times New Roman" w:cs="Times New Roman"/>
          <w:sz w:val="32"/>
          <w:szCs w:val="32"/>
        </w:rPr>
        <w:t>молньиться</w:t>
      </w:r>
      <w:r w:rsidRPr="00CF1EC4">
        <w:rPr>
          <w:rFonts w:ascii="Times New Roman" w:eastAsiaTheme="minorHAnsi" w:hAnsi="Times New Roman" w:cs="Times New Roman"/>
          <w:sz w:val="32"/>
          <w:szCs w:val="32"/>
          <w:lang w:val="en-US"/>
        </w:rPr>
        <w:t xml:space="preserve">”. </w:t>
      </w:r>
      <w:proofErr w:type="gramStart"/>
      <w:r w:rsidRPr="00CF1EC4">
        <w:rPr>
          <w:rFonts w:ascii="Times New Roman" w:eastAsiaTheme="minorHAnsi" w:hAnsi="Times New Roman" w:cs="Times New Roman"/>
          <w:sz w:val="32"/>
          <w:szCs w:val="32"/>
          <w:lang w:val="en-US"/>
        </w:rPr>
        <w:t>Also</w:t>
      </w:r>
      <w:proofErr w:type="gramEnd"/>
      <w:r w:rsidRPr="00CF1EC4">
        <w:rPr>
          <w:rFonts w:ascii="Times New Roman" w:eastAsiaTheme="minorHAnsi" w:hAnsi="Times New Roman" w:cs="Times New Roman"/>
          <w:sz w:val="32"/>
          <w:szCs w:val="32"/>
          <w:lang w:val="en-US"/>
        </w:rPr>
        <w:t xml:space="preserve"> word creation is possible in other situations, for example, a child who has not yet fully mastered the vocabulary of the native language, can come up with a new word, or as a result of friendly communication will arise a word that is not currently part of the lexicon of the language. Linguistic neologisms serve for naming new objects and phenomena or for new naming of already existing objects and phenomena. Linguistic neologisms can appear in different ways: </w:t>
      </w:r>
    </w:p>
    <w:p w14:paraId="5F07920B"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use of word-formation models known in the Russian language (</w:t>
      </w:r>
      <w:r w:rsidRPr="00CF1EC4">
        <w:rPr>
          <w:rFonts w:ascii="Times New Roman" w:eastAsiaTheme="minorHAnsi" w:hAnsi="Times New Roman" w:cs="Times New Roman"/>
          <w:sz w:val="32"/>
          <w:szCs w:val="32"/>
        </w:rPr>
        <w:t>дальнобойщик</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оценщик</w:t>
      </w:r>
      <w:r w:rsidRPr="00CF1EC4">
        <w:rPr>
          <w:rFonts w:ascii="Times New Roman" w:eastAsiaTheme="minorHAnsi" w:hAnsi="Times New Roman" w:cs="Times New Roman"/>
          <w:sz w:val="32"/>
          <w:szCs w:val="32"/>
          <w:lang w:val="en-US"/>
        </w:rPr>
        <w:t xml:space="preserve">); </w:t>
      </w:r>
    </w:p>
    <w:p w14:paraId="407AA3E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borrowing from a foreign language (</w:t>
      </w:r>
      <w:r w:rsidRPr="00CF1EC4">
        <w:rPr>
          <w:rFonts w:ascii="Times New Roman" w:eastAsiaTheme="minorHAnsi" w:hAnsi="Times New Roman" w:cs="Times New Roman"/>
          <w:sz w:val="32"/>
          <w:szCs w:val="32"/>
        </w:rPr>
        <w:t>каршеринг</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свитшот</w:t>
      </w:r>
      <w:r w:rsidRPr="00CF1EC4">
        <w:rPr>
          <w:rFonts w:ascii="Times New Roman" w:eastAsiaTheme="minorHAnsi" w:hAnsi="Times New Roman" w:cs="Times New Roman"/>
          <w:sz w:val="32"/>
          <w:szCs w:val="32"/>
          <w:lang w:val="en-US"/>
        </w:rPr>
        <w:t>);</w:t>
      </w:r>
    </w:p>
    <w:p w14:paraId="3BEEFB6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a word existing in the language acquires a new meaning (</w:t>
      </w:r>
      <w:r w:rsidRPr="00CF1EC4">
        <w:rPr>
          <w:rFonts w:ascii="Times New Roman" w:eastAsiaTheme="minorHAnsi" w:hAnsi="Times New Roman" w:cs="Times New Roman"/>
          <w:sz w:val="32"/>
          <w:szCs w:val="32"/>
        </w:rPr>
        <w:t>развод</w:t>
      </w:r>
      <w:r w:rsidRPr="00CF1EC4">
        <w:rPr>
          <w:rFonts w:ascii="Times New Roman" w:eastAsiaTheme="minorHAnsi" w:hAnsi="Times New Roman" w:cs="Times New Roman"/>
          <w:sz w:val="32"/>
          <w:szCs w:val="32"/>
          <w:lang w:val="en-US"/>
        </w:rPr>
        <w:t xml:space="preserve"> - fraud, deceit)</w:t>
      </w:r>
    </w:p>
    <w:p w14:paraId="5A2FB5D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Often the reasons for the emergence of neologisms are social and scientific and technological progress. Reforms, rapid digitalization, scientific discoveries, cultural changes - all this affects the introduction of new terms into the language. Especially many neologisms appear at the moment due to the development of the IT sphere. In the field of art and culture, new works are created, which entail the emergence of new terms. A word is a neologism for a short period of time. As soon as the word becomes common, it loses its novelty.</w:t>
      </w:r>
    </w:p>
    <w:p w14:paraId="73602357"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Part of any language are euphemistic neologisms that replace rude and inappropriate language. These neutral words serve to soften vocabulary in problematic areas such as religion, politics, discrimination, etc.</w:t>
      </w:r>
    </w:p>
    <w:p w14:paraId="4A38B4D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lastRenderedPageBreak/>
        <w:t>Neologisms are now playing a huge role in the life of the society. The emergence of neologisms nowadays is connected with several factors. Firstly, neologisms reflect the social changes taking place in the society. They emphasize the current social trends and changes in people's perceptions. For example, the term “doxing” emerged because people became more concerned about their safety and security of personal data on the Internet. “Wonyoungism” (</w:t>
      </w:r>
      <w:r w:rsidRPr="00CF1EC4">
        <w:rPr>
          <w:rFonts w:ascii="Times New Roman" w:eastAsiaTheme="minorHAnsi" w:hAnsi="Times New Roman" w:cs="Times New Roman"/>
          <w:sz w:val="32"/>
          <w:szCs w:val="32"/>
        </w:rPr>
        <w:t>воненизм</w:t>
      </w:r>
      <w:r w:rsidRPr="00CF1EC4">
        <w:rPr>
          <w:rFonts w:ascii="Times New Roman" w:eastAsiaTheme="minorHAnsi" w:hAnsi="Times New Roman" w:cs="Times New Roman"/>
          <w:sz w:val="32"/>
          <w:szCs w:val="32"/>
          <w:lang w:val="en-US"/>
        </w:rPr>
        <w:t xml:space="preserve">) reflects people's penchant for minimalism and healthy lifestyles.  </w:t>
      </w:r>
    </w:p>
    <w:p w14:paraId="7C7DABA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Second, language is now actively adapting to new technologies. Words related to cybersecurity and internet culture are becoming everyday words. The word “hallucinate” has become the word of 2023, according to the Cambridge English Dictionary. The term is used when talking about artificial intelligence giving out false information. In addition, many AI-related words have been added in 2023: large language model (or LLM), generative AI (or GenAI), and GPT.</w:t>
      </w:r>
    </w:p>
    <w:p w14:paraId="7C2E73C3"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Thirdly, neologisms enrich the lexical composition of the language and people can talk about new ideas, processes and phenomena. Neologisms describing portraits of a certain group of people serve as vivid examples: sigma, skuf. </w:t>
      </w:r>
    </w:p>
    <w:p w14:paraId="1D1C013E"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Fourth, some new words emphasize gender stereotypes and social expectations, which contributes to the redefinition of these norms. For example, the term “pick me girl” (or “pikmi”) refers to a girl whose actions and behavior are based on the desire for male approval, which generates a lot of controversy around this image.</w:t>
      </w:r>
    </w:p>
    <w:p w14:paraId="566875AC"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Fifth, there is a growing interest of people in language changes and new words, which allows neologisms to take root and be actively used by society.</w:t>
      </w:r>
    </w:p>
    <w:p w14:paraId="007732A3"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There are several ways to form neologisms:</w:t>
      </w:r>
    </w:p>
    <w:p w14:paraId="77DE40F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1) Word-formation derivation. A new word is obtained by attaching a suffix or prefix or both to an existing morpheme. Truncation of words is also possible. </w:t>
      </w:r>
    </w:p>
    <w:p w14:paraId="246E8ACA"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Suffixal method: </w:t>
      </w:r>
    </w:p>
    <w:p w14:paraId="3FCF249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Ticktocker (someone who posts short videos on the TikTok platform), abuser (a person who abuses his victim) - formed with the suffix -er by analogy with the </w:t>
      </w:r>
      <w:proofErr w:type="gramStart"/>
      <w:r w:rsidRPr="00CF1EC4">
        <w:rPr>
          <w:rFonts w:ascii="Times New Roman" w:eastAsiaTheme="minorHAnsi" w:hAnsi="Times New Roman" w:cs="Times New Roman"/>
          <w:sz w:val="32"/>
          <w:szCs w:val="32"/>
          <w:lang w:val="en-US"/>
        </w:rPr>
        <w:t>words</w:t>
      </w:r>
      <w:proofErr w:type="gramEnd"/>
      <w:r w:rsidRPr="00CF1EC4">
        <w:rPr>
          <w:rFonts w:ascii="Times New Roman" w:eastAsiaTheme="minorHAnsi" w:hAnsi="Times New Roman" w:cs="Times New Roman"/>
          <w:sz w:val="32"/>
          <w:szCs w:val="32"/>
          <w:lang w:val="en-US"/>
        </w:rPr>
        <w:t xml:space="preserve"> farmer, blogger.</w:t>
      </w:r>
    </w:p>
    <w:p w14:paraId="08BBEAC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t>
      </w:r>
      <w:r w:rsidRPr="00CF1EC4">
        <w:rPr>
          <w:rFonts w:ascii="Times New Roman" w:eastAsiaTheme="minorHAnsi" w:hAnsi="Times New Roman" w:cs="Times New Roman"/>
          <w:sz w:val="32"/>
          <w:szCs w:val="32"/>
        </w:rPr>
        <w:t>Гироскутерщик</w:t>
      </w:r>
      <w:r w:rsidRPr="00CF1EC4">
        <w:rPr>
          <w:rFonts w:ascii="Times New Roman" w:eastAsiaTheme="minorHAnsi" w:hAnsi="Times New Roman" w:cs="Times New Roman"/>
          <w:sz w:val="32"/>
          <w:szCs w:val="32"/>
          <w:lang w:val="en-US"/>
        </w:rPr>
        <w:t>” (a person who rides a gyroscooter) - formed with the suffix -щик, like “</w:t>
      </w:r>
      <w:r w:rsidRPr="00CF1EC4">
        <w:rPr>
          <w:rFonts w:ascii="Times New Roman" w:eastAsiaTheme="minorHAnsi" w:hAnsi="Times New Roman" w:cs="Times New Roman"/>
          <w:sz w:val="32"/>
          <w:szCs w:val="32"/>
        </w:rPr>
        <w:t>барабанщик</w:t>
      </w:r>
      <w:r w:rsidRPr="00CF1EC4">
        <w:rPr>
          <w:rFonts w:ascii="Times New Roman" w:eastAsiaTheme="minorHAnsi" w:hAnsi="Times New Roman" w:cs="Times New Roman"/>
          <w:sz w:val="32"/>
          <w:szCs w:val="32"/>
          <w:lang w:val="en-US"/>
        </w:rPr>
        <w:t>”.</w:t>
      </w:r>
    </w:p>
    <w:p w14:paraId="2C2AD56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Prefixal method (prefixes micro-, mini-, bio-, counter- and others are added):</w:t>
      </w:r>
    </w:p>
    <w:p w14:paraId="02495C43"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lastRenderedPageBreak/>
        <w:t>Culture - counterculture, accusation - counter accusation, hero - antihero.</w:t>
      </w:r>
    </w:p>
    <w:p w14:paraId="53651E47"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Prefixal-suffixal method:</w:t>
      </w:r>
    </w:p>
    <w:p w14:paraId="69475C8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t>
      </w:r>
      <w:r w:rsidRPr="00CF1EC4">
        <w:rPr>
          <w:rFonts w:ascii="Times New Roman" w:eastAsiaTheme="minorHAnsi" w:hAnsi="Times New Roman" w:cs="Times New Roman"/>
          <w:sz w:val="32"/>
          <w:szCs w:val="32"/>
        </w:rPr>
        <w:t>Заковидить</w:t>
      </w:r>
      <w:r w:rsidRPr="00CF1EC4">
        <w:rPr>
          <w:rFonts w:ascii="Times New Roman" w:eastAsiaTheme="minorHAnsi" w:hAnsi="Times New Roman" w:cs="Times New Roman"/>
          <w:sz w:val="32"/>
          <w:szCs w:val="32"/>
          <w:lang w:val="en-US"/>
        </w:rPr>
        <w:t xml:space="preserve">” (to infect with coronavirus) - formed with the prefix </w:t>
      </w:r>
      <w:r w:rsidRPr="00CF1EC4">
        <w:rPr>
          <w:rFonts w:ascii="Times New Roman" w:eastAsiaTheme="minorHAnsi" w:hAnsi="Times New Roman" w:cs="Times New Roman"/>
          <w:sz w:val="32"/>
          <w:szCs w:val="32"/>
        </w:rPr>
        <w:t>за</w:t>
      </w:r>
      <w:r w:rsidRPr="00CF1EC4">
        <w:rPr>
          <w:rFonts w:ascii="Times New Roman" w:eastAsiaTheme="minorHAnsi" w:hAnsi="Times New Roman" w:cs="Times New Roman"/>
          <w:sz w:val="32"/>
          <w:szCs w:val="32"/>
          <w:lang w:val="en-US"/>
        </w:rPr>
        <w:t>- and suffix -и-.</w:t>
      </w:r>
    </w:p>
    <w:p w14:paraId="71B512CF"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t>
      </w:r>
      <w:r w:rsidRPr="00CF1EC4">
        <w:rPr>
          <w:rFonts w:ascii="Times New Roman" w:eastAsiaTheme="minorHAnsi" w:hAnsi="Times New Roman" w:cs="Times New Roman"/>
          <w:sz w:val="32"/>
          <w:szCs w:val="32"/>
        </w:rPr>
        <w:t>Погулянец</w:t>
      </w:r>
      <w:r w:rsidRPr="00CF1EC4">
        <w:rPr>
          <w:rFonts w:ascii="Times New Roman" w:eastAsiaTheme="minorHAnsi" w:hAnsi="Times New Roman" w:cs="Times New Roman"/>
          <w:sz w:val="32"/>
          <w:szCs w:val="32"/>
          <w:lang w:val="en-US"/>
        </w:rPr>
        <w:t xml:space="preserve">” (a person who favors a mild quarantine with the possibility of going out for a walk or jog) - prefix </w:t>
      </w:r>
      <w:r w:rsidRPr="00CF1EC4">
        <w:rPr>
          <w:rFonts w:ascii="Times New Roman" w:eastAsiaTheme="minorHAnsi" w:hAnsi="Times New Roman" w:cs="Times New Roman"/>
          <w:sz w:val="32"/>
          <w:szCs w:val="32"/>
        </w:rPr>
        <w:t>по</w:t>
      </w:r>
      <w:r w:rsidRPr="00CF1EC4">
        <w:rPr>
          <w:rFonts w:ascii="Times New Roman" w:eastAsiaTheme="minorHAnsi" w:hAnsi="Times New Roman" w:cs="Times New Roman"/>
          <w:sz w:val="32"/>
          <w:szCs w:val="32"/>
          <w:lang w:val="en-US"/>
        </w:rPr>
        <w:t>- and suffix -ец.</w:t>
      </w:r>
    </w:p>
    <w:p w14:paraId="4A9F8DC1"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Truncation (stemming) of words: </w:t>
      </w:r>
      <w:r w:rsidRPr="00CF1EC4">
        <w:rPr>
          <w:rFonts w:ascii="Times New Roman" w:eastAsiaTheme="minorHAnsi" w:hAnsi="Times New Roman" w:cs="Times New Roman"/>
          <w:sz w:val="32"/>
          <w:szCs w:val="32"/>
        </w:rPr>
        <w:t>нормис</w:t>
      </w:r>
      <w:r w:rsidRPr="00CF1EC4">
        <w:rPr>
          <w:rFonts w:ascii="Times New Roman" w:eastAsiaTheme="minorHAnsi" w:hAnsi="Times New Roman" w:cs="Times New Roman"/>
          <w:sz w:val="32"/>
          <w:szCs w:val="32"/>
          <w:lang w:val="en-US"/>
        </w:rPr>
        <w:t xml:space="preserve"> – normie (normal person), </w:t>
      </w:r>
      <w:r w:rsidRPr="00CF1EC4">
        <w:rPr>
          <w:rFonts w:ascii="Times New Roman" w:eastAsiaTheme="minorHAnsi" w:hAnsi="Times New Roman" w:cs="Times New Roman"/>
          <w:sz w:val="32"/>
          <w:szCs w:val="32"/>
        </w:rPr>
        <w:t>корона</w:t>
      </w:r>
      <w:r w:rsidRPr="00CF1EC4">
        <w:rPr>
          <w:rFonts w:ascii="Times New Roman" w:eastAsiaTheme="minorHAnsi" w:hAnsi="Times New Roman" w:cs="Times New Roman"/>
          <w:sz w:val="32"/>
          <w:szCs w:val="32"/>
          <w:lang w:val="en-US"/>
        </w:rPr>
        <w:t xml:space="preserve"> (coronavirus), </w:t>
      </w:r>
      <w:r w:rsidRPr="00CF1EC4">
        <w:rPr>
          <w:rFonts w:ascii="Times New Roman" w:eastAsiaTheme="minorHAnsi" w:hAnsi="Times New Roman" w:cs="Times New Roman"/>
          <w:sz w:val="32"/>
          <w:szCs w:val="32"/>
        </w:rPr>
        <w:t>нефор</w:t>
      </w:r>
      <w:r w:rsidRPr="00CF1EC4">
        <w:rPr>
          <w:rFonts w:ascii="Times New Roman" w:eastAsiaTheme="minorHAnsi" w:hAnsi="Times New Roman" w:cs="Times New Roman"/>
          <w:sz w:val="32"/>
          <w:szCs w:val="32"/>
          <w:lang w:val="en-US"/>
        </w:rPr>
        <w:t xml:space="preserve"> (informal).</w:t>
      </w:r>
    </w:p>
    <w:p w14:paraId="660DF70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2) Semantic derivation. In this case, a known word acquires a new meaning. </w:t>
      </w:r>
    </w:p>
    <w:p w14:paraId="40C9F60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Bubble (in sports) - a situation in which a sports league resumes its game activities, but only while inside the quarantine zone.</w:t>
      </w:r>
    </w:p>
    <w:p w14:paraId="1EF0060B"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Lore - used to denote a body of basic information about the world (hence the word “folklore”). In 2024, acquired the meaning of habits or traits that form an idea of a person.</w:t>
      </w:r>
    </w:p>
    <w:p w14:paraId="7924A0DF"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3) Borrowing words from other languages. For example, words that have long entered our everyday life “sport”, “thriller”, “jeans”, “sweater” were borrowed from other languages. A separate cluster - words that were formed under the influence of foreign language patterns. For example, “</w:t>
      </w:r>
      <w:r w:rsidRPr="00CF1EC4">
        <w:rPr>
          <w:rFonts w:ascii="Times New Roman" w:eastAsiaTheme="minorHAnsi" w:hAnsi="Times New Roman" w:cs="Times New Roman"/>
          <w:sz w:val="32"/>
          <w:szCs w:val="32"/>
        </w:rPr>
        <w:t>горячая</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линия</w:t>
      </w:r>
      <w:r w:rsidRPr="00CF1EC4">
        <w:rPr>
          <w:rFonts w:ascii="Times New Roman" w:eastAsiaTheme="minorHAnsi" w:hAnsi="Times New Roman" w:cs="Times New Roman"/>
          <w:sz w:val="32"/>
          <w:szCs w:val="32"/>
          <w:lang w:val="en-US"/>
        </w:rPr>
        <w:t>” - from English hot line, бритоголовый - from English skinhead.</w:t>
      </w:r>
    </w:p>
    <w:p w14:paraId="0D3C72CA"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Sometimes words appear through transliteration: </w:t>
      </w:r>
      <w:r w:rsidRPr="00CF1EC4">
        <w:rPr>
          <w:rFonts w:ascii="Times New Roman" w:eastAsiaTheme="minorHAnsi" w:hAnsi="Times New Roman" w:cs="Times New Roman"/>
          <w:sz w:val="32"/>
          <w:szCs w:val="32"/>
        </w:rPr>
        <w:t>афтершок</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от</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англ</w:t>
      </w:r>
      <w:r w:rsidRPr="00CF1EC4">
        <w:rPr>
          <w:rFonts w:ascii="Times New Roman" w:eastAsiaTheme="minorHAnsi" w:hAnsi="Times New Roman" w:cs="Times New Roman"/>
          <w:sz w:val="32"/>
          <w:szCs w:val="32"/>
          <w:lang w:val="en-US"/>
        </w:rPr>
        <w:t xml:space="preserve">. afretshock – the effects of an important event, especially a bad one), </w:t>
      </w:r>
      <w:r w:rsidRPr="00CF1EC4">
        <w:rPr>
          <w:rFonts w:ascii="Times New Roman" w:eastAsiaTheme="minorHAnsi" w:hAnsi="Times New Roman" w:cs="Times New Roman"/>
          <w:sz w:val="32"/>
          <w:szCs w:val="32"/>
        </w:rPr>
        <w:t>локдаун</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от</w:t>
      </w:r>
      <w:r w:rsidRPr="00CF1EC4">
        <w:rPr>
          <w:rFonts w:ascii="Times New Roman" w:eastAsiaTheme="minorHAnsi" w:hAnsi="Times New Roman" w:cs="Times New Roman"/>
          <w:sz w:val="32"/>
          <w:szCs w:val="32"/>
          <w:lang w:val="en-US"/>
        </w:rPr>
        <w:t xml:space="preserve"> </w:t>
      </w:r>
      <w:r w:rsidRPr="00CF1EC4">
        <w:rPr>
          <w:rFonts w:ascii="Times New Roman" w:eastAsiaTheme="minorHAnsi" w:hAnsi="Times New Roman" w:cs="Times New Roman"/>
          <w:sz w:val="32"/>
          <w:szCs w:val="32"/>
        </w:rPr>
        <w:t>англ</w:t>
      </w:r>
      <w:r w:rsidRPr="00CF1EC4">
        <w:rPr>
          <w:rFonts w:ascii="Times New Roman" w:eastAsiaTheme="minorHAnsi" w:hAnsi="Times New Roman" w:cs="Times New Roman"/>
          <w:sz w:val="32"/>
          <w:szCs w:val="32"/>
          <w:lang w:val="en-US"/>
        </w:rPr>
        <w:t>. lockdown – a period of time in which people are not allowed to leave their homes or travel freely, because of a dangerous disease).</w:t>
      </w:r>
    </w:p>
    <w:p w14:paraId="630C78E3"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Types of neologisms:</w:t>
      </w:r>
    </w:p>
    <w:p w14:paraId="70867D9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Linguistic. They are created to designate a new subject, concept. They enter the passive vocabulary and are noted in dictionaries. Examples of neologisms currently existing: quadrobics, microblading, fonk, Wonyoungism.</w:t>
      </w:r>
    </w:p>
    <w:p w14:paraId="728C3376"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Lexical. Created by productive word-formation models or borrowed from other languages. Examples: vibe, sigma, skuf, manifesting, demure, brat. </w:t>
      </w:r>
    </w:p>
    <w:p w14:paraId="079F2597"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Semantic. Arise on the basis of reinterpretation of word meanings. For example, “винтаж”, “волонтёр”, “камерофон”.</w:t>
      </w:r>
    </w:p>
    <w:p w14:paraId="7F71BEBC"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Authorial, individual-stylistic. Created by writers, poets to give imagery to the artistic text. </w:t>
      </w:r>
    </w:p>
    <w:p w14:paraId="49AF2AEE"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lastRenderedPageBreak/>
        <w:t>Occasionalisms. These are author's neologisms, created by unusual models. They do not exist outside of a specific context. Example: “</w:t>
      </w:r>
      <w:r w:rsidRPr="00CF1EC4">
        <w:rPr>
          <w:rFonts w:ascii="Times New Roman" w:eastAsiaTheme="minorHAnsi" w:hAnsi="Times New Roman" w:cs="Times New Roman"/>
          <w:sz w:val="32"/>
          <w:szCs w:val="32"/>
        </w:rPr>
        <w:t>безритменно</w:t>
      </w:r>
      <w:r w:rsidRPr="00CF1EC4">
        <w:rPr>
          <w:rFonts w:ascii="Times New Roman" w:eastAsiaTheme="minorHAnsi" w:hAnsi="Times New Roman" w:cs="Times New Roman"/>
          <w:sz w:val="32"/>
          <w:szCs w:val="32"/>
          <w:lang w:val="en-US"/>
        </w:rPr>
        <w:t xml:space="preserve">” - Vrublevsky's poem 2023 “all I have learned is not to build empty illusions...” </w:t>
      </w:r>
    </w:p>
    <w:p w14:paraId="600ED76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In 2024, the following neologisms are common, according to the dictionaries of neologisms:</w:t>
      </w:r>
    </w:p>
    <w:p w14:paraId="3469AC2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Brain rot – an inability to think clearly caused by excessive consumption of low-quality online content.</w:t>
      </w:r>
    </w:p>
    <w:p w14:paraId="54FE6767"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Boop – a light touch on the nose of an animal or person that denotes pleasuring or sympathy.</w:t>
      </w:r>
    </w:p>
    <w:p w14:paraId="3ED1B156"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Being in your era – a particular stage of life or just a mood.</w:t>
      </w:r>
    </w:p>
    <w:p w14:paraId="0D8CFEB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Vibe (plus vibe, minus vibe) – the first word combination is used when something brings positive emotions, the second - when the feeling is unpleasant.</w:t>
      </w:r>
    </w:p>
    <w:p w14:paraId="7513ACF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Wonyoungism – a trend for minimalism, self-sufficiency and a healthy lifestyle inspired by South Korean star Jang Won-young.</w:t>
      </w:r>
    </w:p>
    <w:p w14:paraId="0EDF18FC"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Delulu (derived from “delusional”) – a person who believes in unrealistic ideas and builds completely unrealistic hopes. </w:t>
      </w:r>
    </w:p>
    <w:p w14:paraId="1FCE374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Doxing – searching and publishing confidential information of other people on the internet for the purpose of blackmail or manipulation.</w:t>
      </w:r>
    </w:p>
    <w:p w14:paraId="452AFCA0"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Quadrobics – an unofficial sport in which people move on four limbs.</w:t>
      </w:r>
    </w:p>
    <w:p w14:paraId="1D2A668F"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Lore – the backstory and inner world of a person.</w:t>
      </w:r>
    </w:p>
    <w:p w14:paraId="7EAD4D0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Luxmaxing – striving to maximize your appearance through skin care, closet changes, or cosmetic procedures.</w:t>
      </w:r>
    </w:p>
    <w:p w14:paraId="5970A72F"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Manifesting –</w:t>
      </w:r>
      <w:r w:rsidRPr="00CF1EC4">
        <w:rPr>
          <w:rFonts w:eastAsiaTheme="minorHAnsi"/>
          <w:sz w:val="32"/>
          <w:szCs w:val="32"/>
          <w:lang w:val="en-US"/>
        </w:rPr>
        <w:t xml:space="preserve"> </w:t>
      </w:r>
      <w:r w:rsidRPr="00CF1EC4">
        <w:rPr>
          <w:rFonts w:ascii="Times New Roman" w:eastAsiaTheme="minorHAnsi" w:hAnsi="Times New Roman" w:cs="Times New Roman"/>
          <w:sz w:val="32"/>
          <w:szCs w:val="32"/>
          <w:lang w:val="en-US"/>
        </w:rPr>
        <w:t>presenting how you accomplish some goal to bring it closer to reality.</w:t>
      </w:r>
    </w:p>
    <w:p w14:paraId="51CAA558"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Microblading – a permanent makeup technique.</w:t>
      </w:r>
    </w:p>
    <w:p w14:paraId="6635F0B1"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Normis – an ordinary person with no outstanding traits.</w:t>
      </w:r>
    </w:p>
    <w:p w14:paraId="3E5F9A5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Go over to the dark side - to start to behave in a way that is evil or harmful.</w:t>
      </w:r>
    </w:p>
    <w:p w14:paraId="74B0752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Pick me girl – refers to a girl whose actions and behavior are based on the desire for male approval.</w:t>
      </w:r>
    </w:p>
    <w:p w14:paraId="308B8E4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Chef's kiss - used when tasting or seeing something beautiful. This is done by putting your fingertips together and kissing them with the words Bellissimo.</w:t>
      </w:r>
    </w:p>
    <w:p w14:paraId="74DDC7F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Sigma – a universal compliment to people who are considered cool, independent and charismatic.</w:t>
      </w:r>
    </w:p>
    <w:p w14:paraId="7B4CC22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Skoof - a man over 30 years old who does not keep up with his appearance and health.</w:t>
      </w:r>
    </w:p>
    <w:p w14:paraId="4AC0CB80"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lastRenderedPageBreak/>
        <w:t>Fonk - a subgenre of hip-hop inspired by Memphis rap of the 1990s.</w:t>
      </w:r>
    </w:p>
    <w:p w14:paraId="614BC10B"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Brat is about a slightly scruffy girl who likes to party and isn't afraid to be real.</w:t>
      </w:r>
    </w:p>
    <w:p w14:paraId="3239B12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Demure - refinement, sophistication, understated behavior.</w:t>
      </w:r>
    </w:p>
    <w:p w14:paraId="6A4D8C5D" w14:textId="77777777" w:rsidR="00CF1EC4" w:rsidRPr="00CF1EC4" w:rsidRDefault="00CF1EC4" w:rsidP="00CF1EC4">
      <w:pPr>
        <w:spacing w:after="0" w:line="240" w:lineRule="auto"/>
        <w:ind w:firstLine="709"/>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Rawdogging is a symbol of consciously giving up the internet, gadgets, and apps during periods when nothing is going on - for example, on a flight or in the queue.</w:t>
      </w:r>
    </w:p>
    <w:p w14:paraId="3C0EC744" w14:textId="77777777" w:rsidR="00CF1EC4" w:rsidRPr="00CF1EC4" w:rsidRDefault="00CF1EC4" w:rsidP="00CF1EC4">
      <w:pPr>
        <w:spacing w:after="0" w:line="240" w:lineRule="auto"/>
        <w:ind w:firstLine="709"/>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When dividing the neologisms of 2024 into types, we get such ratios</w:t>
      </w:r>
      <w:r w:rsidRPr="00CF1EC4">
        <w:rPr>
          <w:rFonts w:ascii="Calibri" w:eastAsia="Times New Roman" w:hAnsi="Calibri" w:cs="Times New Roman"/>
          <w:lang w:val="en-US"/>
        </w:rPr>
        <w:t xml:space="preserve"> </w:t>
      </w:r>
      <w:r w:rsidRPr="00CF1EC4">
        <w:rPr>
          <w:rFonts w:ascii="Times New Roman" w:eastAsiaTheme="minorHAnsi" w:hAnsi="Times New Roman" w:cs="Times New Roman"/>
          <w:sz w:val="32"/>
          <w:szCs w:val="32"/>
          <w:lang w:val="en-US"/>
        </w:rPr>
        <w:t>shown in the table 1 and figure 1.</w:t>
      </w:r>
    </w:p>
    <w:p w14:paraId="1DFF62BB" w14:textId="77777777" w:rsidR="00CF1EC4" w:rsidRPr="00CF1EC4" w:rsidRDefault="00CF1EC4" w:rsidP="00CF1EC4">
      <w:pPr>
        <w:spacing w:after="0" w:line="240" w:lineRule="auto"/>
        <w:ind w:firstLine="709"/>
        <w:jc w:val="both"/>
        <w:rPr>
          <w:rFonts w:ascii="Times New Roman" w:eastAsiaTheme="minorHAnsi" w:hAnsi="Times New Roman" w:cs="Times New Roman"/>
          <w:sz w:val="32"/>
          <w:szCs w:val="32"/>
          <w:lang w:val="en-US"/>
        </w:rPr>
      </w:pPr>
    </w:p>
    <w:p w14:paraId="697B7068" w14:textId="77777777" w:rsidR="00CF1EC4" w:rsidRPr="00CF1EC4" w:rsidRDefault="00CF1EC4" w:rsidP="00CF1EC4">
      <w:pPr>
        <w:spacing w:after="0" w:line="360" w:lineRule="auto"/>
        <w:rPr>
          <w:rFonts w:ascii="Times New Roman" w:eastAsia="Times New Roman" w:hAnsi="Times New Roman" w:cs="Times New Roman"/>
          <w:sz w:val="20"/>
          <w:szCs w:val="20"/>
        </w:rPr>
      </w:pPr>
      <w:r w:rsidRPr="00CF1EC4">
        <w:rPr>
          <w:rFonts w:ascii="Times New Roman" w:eastAsia="Times New Roman" w:hAnsi="Times New Roman" w:cs="Times New Roman"/>
          <w:sz w:val="20"/>
          <w:szCs w:val="20"/>
          <w:lang w:val="en-US"/>
        </w:rPr>
        <w:t>Table</w:t>
      </w:r>
      <w:r w:rsidRPr="00CF1EC4">
        <w:rPr>
          <w:rFonts w:ascii="Times New Roman" w:eastAsia="Times New Roman" w:hAnsi="Times New Roman" w:cs="Times New Roman"/>
          <w:sz w:val="20"/>
          <w:szCs w:val="20"/>
        </w:rPr>
        <w:t xml:space="preserve"> 1– types of neologisms (%)</w:t>
      </w:r>
    </w:p>
    <w:tbl>
      <w:tblPr>
        <w:tblStyle w:val="a9"/>
        <w:tblW w:w="0" w:type="auto"/>
        <w:jc w:val="center"/>
        <w:tblLook w:val="04A0" w:firstRow="1" w:lastRow="0" w:firstColumn="1" w:lastColumn="0" w:noHBand="0" w:noVBand="1"/>
      </w:tblPr>
      <w:tblGrid>
        <w:gridCol w:w="2933"/>
        <w:gridCol w:w="1244"/>
        <w:gridCol w:w="1911"/>
      </w:tblGrid>
      <w:tr w:rsidR="00CF1EC4" w:rsidRPr="00CF1EC4" w14:paraId="5B583A38" w14:textId="77777777" w:rsidTr="00EB1CB9">
        <w:trPr>
          <w:trHeight w:val="288"/>
          <w:jc w:val="center"/>
        </w:trPr>
        <w:tc>
          <w:tcPr>
            <w:tcW w:w="2933" w:type="dxa"/>
            <w:noWrap/>
            <w:hideMark/>
          </w:tcPr>
          <w:p w14:paraId="3F9422C5" w14:textId="77777777" w:rsidR="00CF1EC4" w:rsidRPr="00CF1EC4" w:rsidRDefault="00CF1EC4" w:rsidP="00CF1EC4">
            <w:pPr>
              <w:ind w:firstLine="708"/>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lang w:val="en-US"/>
              </w:rPr>
              <w:t>Linguistic</w:t>
            </w:r>
          </w:p>
        </w:tc>
        <w:tc>
          <w:tcPr>
            <w:tcW w:w="1244" w:type="dxa"/>
            <w:noWrap/>
            <w:hideMark/>
          </w:tcPr>
          <w:p w14:paraId="3106A301" w14:textId="77777777" w:rsidR="00CF1EC4" w:rsidRPr="00CF1EC4" w:rsidRDefault="00CF1EC4" w:rsidP="00CF1EC4">
            <w:pPr>
              <w:ind w:firstLine="708"/>
              <w:jc w:val="both"/>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11</w:t>
            </w:r>
          </w:p>
        </w:tc>
        <w:tc>
          <w:tcPr>
            <w:tcW w:w="1911" w:type="dxa"/>
            <w:noWrap/>
            <w:hideMark/>
          </w:tcPr>
          <w:p w14:paraId="66A8231F" w14:textId="77777777" w:rsidR="00CF1EC4" w:rsidRPr="00CF1EC4" w:rsidRDefault="00CF1EC4" w:rsidP="00CF1EC4">
            <w:pPr>
              <w:ind w:firstLine="708"/>
              <w:jc w:val="center"/>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50,00%</w:t>
            </w:r>
          </w:p>
        </w:tc>
      </w:tr>
      <w:tr w:rsidR="00CF1EC4" w:rsidRPr="00CF1EC4" w14:paraId="5DEB3538" w14:textId="77777777" w:rsidTr="00EB1CB9">
        <w:trPr>
          <w:trHeight w:val="288"/>
          <w:jc w:val="center"/>
        </w:trPr>
        <w:tc>
          <w:tcPr>
            <w:tcW w:w="2933" w:type="dxa"/>
            <w:noWrap/>
            <w:hideMark/>
          </w:tcPr>
          <w:p w14:paraId="62BE6E01" w14:textId="77777777" w:rsidR="00CF1EC4" w:rsidRPr="00CF1EC4" w:rsidRDefault="00CF1EC4" w:rsidP="00CF1EC4">
            <w:pPr>
              <w:ind w:firstLine="708"/>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lang w:val="en-US"/>
              </w:rPr>
              <w:t>Lexical</w:t>
            </w:r>
          </w:p>
        </w:tc>
        <w:tc>
          <w:tcPr>
            <w:tcW w:w="1244" w:type="dxa"/>
            <w:noWrap/>
            <w:hideMark/>
          </w:tcPr>
          <w:p w14:paraId="3E8EF946" w14:textId="77777777" w:rsidR="00CF1EC4" w:rsidRPr="00CF1EC4" w:rsidRDefault="00CF1EC4" w:rsidP="00CF1EC4">
            <w:pPr>
              <w:ind w:firstLine="708"/>
              <w:jc w:val="both"/>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8</w:t>
            </w:r>
          </w:p>
        </w:tc>
        <w:tc>
          <w:tcPr>
            <w:tcW w:w="1911" w:type="dxa"/>
            <w:noWrap/>
            <w:hideMark/>
          </w:tcPr>
          <w:p w14:paraId="0DFDD543" w14:textId="77777777" w:rsidR="00CF1EC4" w:rsidRPr="00CF1EC4" w:rsidRDefault="00CF1EC4" w:rsidP="00CF1EC4">
            <w:pPr>
              <w:ind w:firstLine="708"/>
              <w:jc w:val="center"/>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36,36%</w:t>
            </w:r>
          </w:p>
        </w:tc>
      </w:tr>
      <w:tr w:rsidR="00CF1EC4" w:rsidRPr="00CF1EC4" w14:paraId="7F2A19A7" w14:textId="77777777" w:rsidTr="00EB1CB9">
        <w:trPr>
          <w:trHeight w:val="288"/>
          <w:jc w:val="center"/>
        </w:trPr>
        <w:tc>
          <w:tcPr>
            <w:tcW w:w="2933" w:type="dxa"/>
            <w:noWrap/>
            <w:hideMark/>
          </w:tcPr>
          <w:p w14:paraId="236582EE" w14:textId="77777777" w:rsidR="00CF1EC4" w:rsidRPr="00CF1EC4" w:rsidRDefault="00CF1EC4" w:rsidP="00CF1EC4">
            <w:pPr>
              <w:ind w:firstLine="708"/>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lang w:val="en-US"/>
              </w:rPr>
              <w:t>Semantic</w:t>
            </w:r>
          </w:p>
        </w:tc>
        <w:tc>
          <w:tcPr>
            <w:tcW w:w="1244" w:type="dxa"/>
            <w:noWrap/>
            <w:hideMark/>
          </w:tcPr>
          <w:p w14:paraId="085CB949" w14:textId="77777777" w:rsidR="00CF1EC4" w:rsidRPr="00CF1EC4" w:rsidRDefault="00CF1EC4" w:rsidP="00CF1EC4">
            <w:pPr>
              <w:ind w:firstLine="708"/>
              <w:jc w:val="both"/>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3</w:t>
            </w:r>
          </w:p>
        </w:tc>
        <w:tc>
          <w:tcPr>
            <w:tcW w:w="1911" w:type="dxa"/>
            <w:noWrap/>
            <w:hideMark/>
          </w:tcPr>
          <w:p w14:paraId="683CCA4F" w14:textId="77777777" w:rsidR="00CF1EC4" w:rsidRPr="00CF1EC4" w:rsidRDefault="00CF1EC4" w:rsidP="00CF1EC4">
            <w:pPr>
              <w:ind w:firstLine="708"/>
              <w:jc w:val="center"/>
              <w:rPr>
                <w:rFonts w:ascii="Times New Roman" w:eastAsiaTheme="minorHAnsi" w:hAnsi="Times New Roman" w:cs="Times New Roman"/>
                <w:sz w:val="24"/>
                <w:szCs w:val="32"/>
              </w:rPr>
            </w:pPr>
            <w:r w:rsidRPr="00CF1EC4">
              <w:rPr>
                <w:rFonts w:ascii="Times New Roman" w:eastAsiaTheme="minorHAnsi" w:hAnsi="Times New Roman" w:cs="Times New Roman"/>
                <w:sz w:val="24"/>
                <w:szCs w:val="32"/>
              </w:rPr>
              <w:t>13,64%</w:t>
            </w:r>
          </w:p>
        </w:tc>
      </w:tr>
    </w:tbl>
    <w:p w14:paraId="0D271D86"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 (author's neologisms and occasionalisms are not </w:t>
      </w:r>
      <w:proofErr w:type="gramStart"/>
      <w:r w:rsidRPr="00CF1EC4">
        <w:rPr>
          <w:rFonts w:ascii="Times New Roman" w:eastAsiaTheme="minorHAnsi" w:hAnsi="Times New Roman" w:cs="Times New Roman"/>
          <w:sz w:val="32"/>
          <w:szCs w:val="32"/>
          <w:lang w:val="en-US"/>
        </w:rPr>
        <w:t>taken into account</w:t>
      </w:r>
      <w:proofErr w:type="gramEnd"/>
      <w:r w:rsidRPr="00CF1EC4">
        <w:rPr>
          <w:rFonts w:ascii="Times New Roman" w:eastAsiaTheme="minorHAnsi" w:hAnsi="Times New Roman" w:cs="Times New Roman"/>
          <w:sz w:val="32"/>
          <w:szCs w:val="32"/>
          <w:lang w:val="en-US"/>
        </w:rPr>
        <w:t>, as it is not known exactly how many of them have appeared and how many of them have become widespread)</w:t>
      </w:r>
    </w:p>
    <w:p w14:paraId="30A448EA"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p>
    <w:p w14:paraId="298E0B6E" w14:textId="77777777" w:rsidR="00CF1EC4" w:rsidRPr="00CF1EC4" w:rsidRDefault="00CF1EC4" w:rsidP="00CF1EC4">
      <w:pPr>
        <w:spacing w:after="0" w:line="240" w:lineRule="auto"/>
        <w:jc w:val="center"/>
        <w:rPr>
          <w:rFonts w:ascii="Times New Roman" w:eastAsiaTheme="minorHAnsi" w:hAnsi="Times New Roman" w:cs="Times New Roman"/>
          <w:sz w:val="32"/>
          <w:szCs w:val="32"/>
          <w:lang w:val="en-US"/>
        </w:rPr>
      </w:pPr>
      <w:r w:rsidRPr="00CF1EC4">
        <w:rPr>
          <w:rFonts w:eastAsiaTheme="minorHAnsi"/>
          <w:noProof/>
          <w:sz w:val="32"/>
          <w:szCs w:val="32"/>
          <w:lang w:eastAsia="ru-RU"/>
        </w:rPr>
        <w:drawing>
          <wp:inline distT="0" distB="0" distL="0" distR="0" wp14:anchorId="61EE64A7" wp14:editId="11984DB0">
            <wp:extent cx="4023360" cy="2141220"/>
            <wp:effectExtent l="0" t="0" r="15240" b="11430"/>
            <wp:docPr id="1779193869" name="Диаграмма 17791938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6"/>
              </a:graphicData>
            </a:graphic>
          </wp:inline>
        </w:drawing>
      </w:r>
    </w:p>
    <w:p w14:paraId="49594D4F" w14:textId="77777777" w:rsidR="00CF1EC4" w:rsidRPr="00CF1EC4" w:rsidRDefault="00CF1EC4" w:rsidP="00CF1EC4">
      <w:pPr>
        <w:spacing w:after="0" w:line="360" w:lineRule="auto"/>
        <w:jc w:val="center"/>
        <w:rPr>
          <w:rFonts w:ascii="Times New Roman" w:eastAsia="Times New Roman" w:hAnsi="Times New Roman" w:cs="Times New Roman"/>
          <w:sz w:val="20"/>
          <w:szCs w:val="20"/>
          <w:lang w:val="en-US"/>
        </w:rPr>
      </w:pPr>
      <w:r w:rsidRPr="00CF1EC4">
        <w:rPr>
          <w:rFonts w:ascii="Times New Roman" w:eastAsia="Times New Roman" w:hAnsi="Times New Roman" w:cs="Times New Roman"/>
          <w:sz w:val="20"/>
          <w:szCs w:val="20"/>
          <w:lang w:val="en-US"/>
        </w:rPr>
        <w:t>Figure 1– types of neologisms (%)</w:t>
      </w:r>
    </w:p>
    <w:p w14:paraId="01F79B1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Obviously, linguistic neologisms make up the largest part of the list (50%). Since linguistic neologisms are created to denote something new, it can be assumed that due to the rapid pace of development of the information society there are many new ideas, objects, phenomena that get names. There are slightly fewer lexical neologisms (36%). Lexical neologisms are needed to replenish and update the vocabulary of the language. They give it dynamism, as the lexicon changes over time. 14% is left for semantic neologisms. For example, the word “era” has long been known as the initial moment of annals (the era of dinosaurs), but the phrase “to be in one's era” acquires a narrower meaning in 2024 - a specific stage of a person's life or </w:t>
      </w:r>
      <w:r w:rsidRPr="00CF1EC4">
        <w:rPr>
          <w:rFonts w:ascii="Times New Roman" w:eastAsiaTheme="minorHAnsi" w:hAnsi="Times New Roman" w:cs="Times New Roman"/>
          <w:sz w:val="32"/>
          <w:szCs w:val="32"/>
          <w:lang w:val="en-US"/>
        </w:rPr>
        <w:lastRenderedPageBreak/>
        <w:t>just a mood. Thus, semantic neologisms change lexical combinability and expressive coloring of long-known words.</w:t>
      </w:r>
    </w:p>
    <w:p w14:paraId="13051DC5"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Neologisms are used in a variety of ways:</w:t>
      </w:r>
    </w:p>
    <w:p w14:paraId="4653B754"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1. In business publications. For example, economic terms: cashback, crowdfunding, slowflation, silent run, recruiting. </w:t>
      </w:r>
    </w:p>
    <w:p w14:paraId="14ACFB2B"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2. In specialized publications devoted to computer technologies. Examples: spam, modding, mediafake.</w:t>
      </w:r>
    </w:p>
    <w:p w14:paraId="4B2C5871"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3. In advertising: media and advertising publications. Examples: aftershock, “new normal”, infodemic, headliner.</w:t>
      </w:r>
    </w:p>
    <w:p w14:paraId="7F49CD40"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4. In a literary context, when authors use neologisms as a symbol of a particular historical period, making the characters' speech more distinctive.</w:t>
      </w:r>
    </w:p>
    <w:p w14:paraId="4D540729"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5. In scientific literature. In disciplines such as philosophy, sociology, physics, etc. Usually, these are new terms and phenomena. For example, those that emerged during the quarantine period: observationalism, social distance, coronaphobia. </w:t>
      </w:r>
    </w:p>
    <w:p w14:paraId="2BA393ED"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 xml:space="preserve"> 6. In everyday life: boop, be in your era, lore, manfesting, chef's kiss, microblading, etc.</w:t>
      </w:r>
    </w:p>
    <w:p w14:paraId="3D6EB162"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7. On social media: breinroth, delulu, luksmaxing, skoof, rawdogging, etc.</w:t>
      </w:r>
    </w:p>
    <w:p w14:paraId="5A97BE9D"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New words are being used everywhere, across various social media platforms that include: Vkontakte, Telegram, Youtube, Twitter, Dzen, etc.</w:t>
      </w:r>
    </w:p>
    <w:p w14:paraId="0A7867DA" w14:textId="77777777" w:rsidR="00CF1EC4" w:rsidRPr="00CF1EC4" w:rsidRDefault="00CF1EC4" w:rsidP="00CF1EC4">
      <w:pPr>
        <w:spacing w:after="0" w:line="240" w:lineRule="auto"/>
        <w:ind w:firstLine="708"/>
        <w:jc w:val="both"/>
        <w:rPr>
          <w:rFonts w:ascii="Times New Roman" w:eastAsiaTheme="minorHAnsi" w:hAnsi="Times New Roman" w:cs="Times New Roman"/>
          <w:sz w:val="32"/>
          <w:szCs w:val="32"/>
          <w:lang w:val="en-US"/>
        </w:rPr>
      </w:pPr>
      <w:r w:rsidRPr="00CF1EC4">
        <w:rPr>
          <w:rFonts w:ascii="Times New Roman" w:eastAsiaTheme="minorHAnsi" w:hAnsi="Times New Roman" w:cs="Times New Roman"/>
          <w:sz w:val="32"/>
          <w:szCs w:val="32"/>
          <w:lang w:val="en-US"/>
        </w:rPr>
        <w:t>Thus, the reasons for the emergence of neologisms are absolutely different: scientific and technological progress, cultural changes, changes in the field of art, social changes, gender stereotypes, etc. There are several ways of forming new words: word formation (prefixal, suffixal, prefixal-suffixal and word truncation) and semantic derivation, word borrowing. In 2024 the largest group was linguistic neologisms, which describe new words and phenomena. There are also new words that expand the usual vocabulary of ordinary people, mostly these words are borrowed from English. Semantic neologisms allowed familiar words to acquire new meanings. Author's neologisms and occasionalisms appeared thanks to creators (poets, writers). Neologisms are used in various spheres: from specialized publications to social networks.</w:t>
      </w:r>
    </w:p>
    <w:p w14:paraId="4834CF5E" w14:textId="77777777" w:rsidR="00CF1EC4" w:rsidRPr="00CF1EC4" w:rsidRDefault="00CF1EC4" w:rsidP="00CF1EC4">
      <w:pPr>
        <w:spacing w:after="0" w:line="240" w:lineRule="auto"/>
        <w:ind w:firstLine="708"/>
        <w:jc w:val="both"/>
        <w:rPr>
          <w:rFonts w:ascii="Calibri" w:eastAsia="Times New Roman" w:hAnsi="Calibri" w:cs="Times New Roman"/>
          <w:sz w:val="32"/>
          <w:szCs w:val="32"/>
          <w:lang w:val="en-US"/>
        </w:rPr>
      </w:pPr>
      <w:r w:rsidRPr="00CF1EC4">
        <w:rPr>
          <w:rFonts w:ascii="Times New Roman" w:eastAsiaTheme="minorHAnsi" w:hAnsi="Times New Roman" w:cs="Times New Roman"/>
          <w:sz w:val="32"/>
          <w:szCs w:val="32"/>
          <w:lang w:val="en-US"/>
        </w:rPr>
        <w:t>Any changes in the world affect the vocabulary of the Russian language. The language simply cannot exist without neologisms. New words give it a unique flavor and dynamism. Neologisms not only enrich the Russian language, but are also indicators of social change, reflecting the dynamics of modern society and its cultural transformations.</w:t>
      </w:r>
      <w:r w:rsidRPr="00CF1EC4">
        <w:rPr>
          <w:rFonts w:ascii="Calibri" w:eastAsia="Times New Roman" w:hAnsi="Calibri" w:cs="Times New Roman"/>
          <w:sz w:val="32"/>
          <w:szCs w:val="32"/>
          <w:lang w:val="en-US"/>
        </w:rPr>
        <w:t xml:space="preserve"> </w:t>
      </w:r>
    </w:p>
    <w:p w14:paraId="2D041354" w14:textId="77777777" w:rsidR="00CF1EC4" w:rsidRPr="00CF1EC4" w:rsidRDefault="00CF1EC4" w:rsidP="00CF1EC4">
      <w:pPr>
        <w:spacing w:after="0" w:line="240" w:lineRule="auto"/>
        <w:ind w:firstLine="708"/>
        <w:jc w:val="both"/>
        <w:rPr>
          <w:rFonts w:ascii="Calibri" w:eastAsia="Times New Roman" w:hAnsi="Calibri" w:cs="Times New Roman"/>
          <w:sz w:val="32"/>
          <w:szCs w:val="32"/>
          <w:lang w:val="en-US"/>
        </w:rPr>
      </w:pPr>
    </w:p>
    <w:p w14:paraId="3798D621" w14:textId="77777777" w:rsidR="00CF1EC4" w:rsidRPr="00CF1EC4" w:rsidRDefault="00CF1EC4" w:rsidP="00CF1EC4">
      <w:pPr>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val="x-none" w:eastAsia="ar-SA"/>
        </w:rPr>
      </w:pPr>
      <w:r w:rsidRPr="00CF1EC4">
        <w:rPr>
          <w:rFonts w:ascii="Times New Roman" w:eastAsia="Times New Roman" w:hAnsi="Times New Roman" w:cs="Times New Roman"/>
          <w:b/>
          <w:color w:val="000000"/>
          <w:sz w:val="21"/>
          <w:szCs w:val="21"/>
          <w:lang w:eastAsia="ar-SA"/>
        </w:rPr>
        <w:lastRenderedPageBreak/>
        <w:t>Литература:</w:t>
      </w:r>
    </w:p>
    <w:p w14:paraId="7D5B85ED" w14:textId="77777777" w:rsidR="00CF1EC4" w:rsidRPr="00CF1EC4" w:rsidRDefault="00CF1EC4" w:rsidP="00AD58CD">
      <w:pPr>
        <w:pStyle w:val="a8"/>
        <w:keepLines/>
        <w:numPr>
          <w:ilvl w:val="0"/>
          <w:numId w:val="202"/>
        </w:numPr>
        <w:tabs>
          <w:tab w:val="clear" w:pos="720"/>
          <w:tab w:val="left" w:pos="0"/>
          <w:tab w:val="num" w:pos="142"/>
        </w:tabs>
        <w:suppressAutoHyphens/>
        <w:autoSpaceDE w:val="0"/>
        <w:spacing w:after="0" w:line="240" w:lineRule="auto"/>
        <w:ind w:left="851" w:hanging="862"/>
        <w:jc w:val="both"/>
        <w:rPr>
          <w:rFonts w:ascii="Times New Roman" w:eastAsia="Times New Roman" w:hAnsi="Times New Roman" w:cs="Times New Roman"/>
          <w:sz w:val="21"/>
          <w:szCs w:val="21"/>
          <w:lang w:val="x-none" w:eastAsia="ar-SA"/>
        </w:rPr>
      </w:pPr>
      <w:r w:rsidRPr="00CF1EC4">
        <w:rPr>
          <w:rFonts w:ascii="Times New Roman" w:eastAsia="Times New Roman" w:hAnsi="Times New Roman" w:cs="Times New Roman"/>
          <w:sz w:val="21"/>
          <w:szCs w:val="21"/>
          <w:lang w:val="x-none" w:eastAsia="ar-SA"/>
        </w:rPr>
        <w:t>Вендина, Т. И.  Введение в языкознание : учебник для вузов / Т. И. Вендина. — 4-е изд., перераб. и доп. — Москва : Издательство Юрайт, 2025. — 333 с.</w:t>
      </w:r>
    </w:p>
    <w:p w14:paraId="3B2DE26A" w14:textId="77777777" w:rsidR="00CF1EC4" w:rsidRPr="00CF1EC4" w:rsidRDefault="00CF1EC4" w:rsidP="00AD58CD">
      <w:pPr>
        <w:pStyle w:val="a8"/>
        <w:keepLines/>
        <w:numPr>
          <w:ilvl w:val="0"/>
          <w:numId w:val="202"/>
        </w:numPr>
        <w:tabs>
          <w:tab w:val="clear" w:pos="720"/>
          <w:tab w:val="left" w:pos="0"/>
          <w:tab w:val="num" w:pos="142"/>
        </w:tabs>
        <w:suppressAutoHyphens/>
        <w:autoSpaceDE w:val="0"/>
        <w:spacing w:after="0" w:line="240" w:lineRule="auto"/>
        <w:ind w:left="851" w:hanging="862"/>
        <w:jc w:val="both"/>
        <w:rPr>
          <w:rFonts w:ascii="Times New Roman" w:eastAsia="Times New Roman" w:hAnsi="Times New Roman" w:cs="Times New Roman"/>
          <w:sz w:val="21"/>
          <w:szCs w:val="21"/>
          <w:lang w:val="x-none" w:eastAsia="ar-SA"/>
        </w:rPr>
      </w:pPr>
      <w:r w:rsidRPr="00CF1EC4">
        <w:rPr>
          <w:rFonts w:ascii="Times New Roman" w:eastAsia="Times New Roman" w:hAnsi="Times New Roman" w:cs="Times New Roman"/>
          <w:sz w:val="21"/>
          <w:szCs w:val="21"/>
          <w:lang w:val="x-none" w:eastAsia="ar-SA"/>
        </w:rPr>
        <w:t>Русский язык и культура речи. Практикум. Словарь : учебно-практическое пособие для вузов / под общей редакцией В. Д. Черняк. — 2-е изд., перераб. и доп. — Москва : Издательство Юрайт, 2025. — 525 с.</w:t>
      </w:r>
      <w:r w:rsidRPr="00CF1EC4">
        <w:rPr>
          <w:rFonts w:ascii="Times New Roman" w:eastAsia="Times New Roman" w:hAnsi="Times New Roman" w:cs="Times New Roman"/>
          <w:sz w:val="21"/>
          <w:szCs w:val="21"/>
          <w:lang w:eastAsia="ar-SA"/>
        </w:rPr>
        <w:t xml:space="preserve"> </w:t>
      </w:r>
    </w:p>
    <w:p w14:paraId="54E5355E" w14:textId="6FEEF77D" w:rsidR="00CF1EC4" w:rsidRDefault="00CF1EC4" w:rsidP="00AD58CD">
      <w:pPr>
        <w:pStyle w:val="a8"/>
        <w:keepLines/>
        <w:numPr>
          <w:ilvl w:val="0"/>
          <w:numId w:val="202"/>
        </w:numPr>
        <w:tabs>
          <w:tab w:val="clear" w:pos="720"/>
          <w:tab w:val="left" w:pos="0"/>
          <w:tab w:val="num" w:pos="142"/>
        </w:tabs>
        <w:suppressAutoHyphens/>
        <w:autoSpaceDE w:val="0"/>
        <w:spacing w:after="0" w:line="240" w:lineRule="auto"/>
        <w:ind w:left="851" w:hanging="862"/>
        <w:jc w:val="both"/>
        <w:rPr>
          <w:rFonts w:ascii="Times New Roman" w:eastAsia="Times New Roman" w:hAnsi="Times New Roman" w:cs="Times New Roman"/>
          <w:sz w:val="21"/>
          <w:szCs w:val="21"/>
          <w:lang w:val="x-none" w:eastAsia="ar-SA"/>
        </w:rPr>
      </w:pPr>
      <w:r w:rsidRPr="00CF1EC4">
        <w:rPr>
          <w:rFonts w:ascii="Times New Roman" w:eastAsia="Times New Roman" w:hAnsi="Times New Roman" w:cs="Times New Roman"/>
          <w:sz w:val="21"/>
          <w:szCs w:val="21"/>
          <w:lang w:val="x-none" w:eastAsia="ar-SA"/>
        </w:rPr>
        <w:t xml:space="preserve">Официальный сайт Cambridge Dictionary [Электронный ресурс: </w:t>
      </w:r>
      <w:hyperlink r:id="rId717" w:history="1">
        <w:r w:rsidR="00CD66D6" w:rsidRPr="00B560AE">
          <w:rPr>
            <w:rStyle w:val="aa"/>
            <w:rFonts w:ascii="Times New Roman" w:eastAsia="Times New Roman" w:hAnsi="Times New Roman" w:cs="Times New Roman"/>
            <w:sz w:val="21"/>
            <w:szCs w:val="21"/>
            <w:lang w:val="x-none" w:eastAsia="ar-SA"/>
          </w:rPr>
          <w:t>https://dictionary.cambridge.org/ru/</w:t>
        </w:r>
      </w:hyperlink>
      <w:r w:rsidRPr="00CF1EC4">
        <w:rPr>
          <w:rFonts w:ascii="Times New Roman" w:eastAsia="Times New Roman" w:hAnsi="Times New Roman" w:cs="Times New Roman"/>
          <w:sz w:val="21"/>
          <w:szCs w:val="21"/>
          <w:lang w:val="x-none" w:eastAsia="ar-SA"/>
        </w:rPr>
        <w:t>]</w:t>
      </w:r>
    </w:p>
    <w:p w14:paraId="6BB5F9A0" w14:textId="77777777" w:rsidR="00CD66D6" w:rsidRDefault="00CD66D6" w:rsidP="00B44CB6">
      <w:pPr>
        <w:pStyle w:val="a8"/>
        <w:keepLines/>
        <w:tabs>
          <w:tab w:val="left" w:pos="0"/>
        </w:tabs>
        <w:suppressAutoHyphens/>
        <w:autoSpaceDE w:val="0"/>
        <w:spacing w:after="0" w:line="240" w:lineRule="auto"/>
        <w:ind w:left="851"/>
        <w:jc w:val="both"/>
        <w:rPr>
          <w:rFonts w:ascii="Times New Roman" w:eastAsia="Times New Roman" w:hAnsi="Times New Roman" w:cs="Times New Roman"/>
          <w:sz w:val="21"/>
          <w:szCs w:val="21"/>
          <w:lang w:val="x-none" w:eastAsia="ar-SA"/>
        </w:rPr>
      </w:pPr>
    </w:p>
    <w:p w14:paraId="796C419A" w14:textId="77777777" w:rsidR="00CD66D6" w:rsidRDefault="00CD66D6" w:rsidP="00B44CB6">
      <w:pPr>
        <w:pStyle w:val="a8"/>
        <w:keepLines/>
        <w:tabs>
          <w:tab w:val="left" w:pos="0"/>
        </w:tabs>
        <w:suppressAutoHyphens/>
        <w:autoSpaceDE w:val="0"/>
        <w:spacing w:after="0" w:line="240" w:lineRule="auto"/>
        <w:ind w:left="851"/>
        <w:jc w:val="both"/>
        <w:rPr>
          <w:rFonts w:ascii="Times New Roman" w:eastAsia="Times New Roman" w:hAnsi="Times New Roman" w:cs="Times New Roman"/>
          <w:sz w:val="21"/>
          <w:szCs w:val="21"/>
          <w:lang w:val="x-none" w:eastAsia="ar-SA"/>
        </w:rPr>
      </w:pPr>
    </w:p>
    <w:p w14:paraId="1FBE4006" w14:textId="77777777" w:rsidR="002965AE" w:rsidRPr="002965AE" w:rsidRDefault="002965AE" w:rsidP="00B44CB6">
      <w:pPr>
        <w:keepLines/>
        <w:pBdr>
          <w:top w:val="nil"/>
          <w:left w:val="nil"/>
          <w:bottom w:val="nil"/>
          <w:right w:val="nil"/>
          <w:between w:val="nil"/>
          <w:bar w:val="nil"/>
        </w:pBdr>
        <w:spacing w:after="0" w:line="240" w:lineRule="auto"/>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УДК 378</w:t>
      </w:r>
    </w:p>
    <w:p w14:paraId="60AAEC29"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t>Марусевич Ю.В.,</w:t>
      </w:r>
    </w:p>
    <w:p w14:paraId="1832D3C3"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студентка 1 курса </w:t>
      </w:r>
    </w:p>
    <w:p w14:paraId="19B5D0FB" w14:textId="77777777" w:rsidR="002965AE" w:rsidRPr="0001591D" w:rsidRDefault="002965AE" w:rsidP="00B44CB6">
      <w:pPr>
        <w:keepLines/>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77926511"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г. Краснодар Россия </w:t>
      </w:r>
    </w:p>
    <w:p w14:paraId="463C434C" w14:textId="77777777" w:rsid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e</w:t>
      </w: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mail</w:t>
      </w: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hyperlink r:id="rId718" w:history="1">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yliamarusevitch</w:t>
        </w:r>
        <w:r w:rsidRPr="002965AE">
          <w:rPr>
            <w:rFonts w:ascii="Times New Roman" w:eastAsia="Arial Unicode MS" w:hAnsi="Times New Roman" w:cs="Arial Unicode MS"/>
            <w:i/>
            <w:iCs/>
            <w:color w:val="0000FF"/>
            <w:sz w:val="21"/>
            <w:szCs w:val="21"/>
            <w:u w:val="single" w:color="0000FF"/>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yandex</w:t>
        </w:r>
        <w:r w:rsidRPr="002965AE">
          <w:rPr>
            <w:rFonts w:ascii="Times New Roman" w:eastAsia="Arial Unicode MS" w:hAnsi="Times New Roman" w:cs="Arial Unicode MS"/>
            <w:i/>
            <w:iCs/>
            <w:color w:val="0000FF"/>
            <w:sz w:val="21"/>
            <w:szCs w:val="21"/>
            <w:u w:val="single" w:color="0000FF"/>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ru</w:t>
        </w:r>
      </w:hyperlink>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p>
    <w:p w14:paraId="7C6FDF57"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p>
    <w:p w14:paraId="10EE99D9"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i/>
          <w:iCs/>
          <w:color w:val="000000"/>
          <w:sz w:val="21"/>
          <w:szCs w:val="21"/>
          <w:u w:color="000000"/>
          <w:bdr w:val="nil"/>
          <w:lang w:eastAsia="ru-RU"/>
          <w14:textOutline w14:w="12700" w14:cap="flat" w14:cmpd="sng" w14:algn="ctr">
            <w14:noFill/>
            <w14:prstDash w14:val="solid"/>
            <w14:miter w14:lim="400000"/>
          </w14:textOutline>
        </w:rPr>
        <w:t xml:space="preserve">Научный руководитель: </w:t>
      </w:r>
    </w:p>
    <w:p w14:paraId="2C90C824" w14:textId="0E3F4700" w:rsidR="002965AE" w:rsidRPr="002965AE" w:rsidRDefault="002965AE" w:rsidP="00B44CB6">
      <w:pPr>
        <w:keepLines/>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right"/>
        <w:rPr>
          <w:rFonts w:ascii="Times New Roman" w:eastAsia="Times New Roman" w:hAnsi="Times New Roman" w:cs="Times New Roman"/>
          <w:b/>
          <w:bCs/>
          <w:i/>
          <w:iCs/>
          <w:color w:val="000000"/>
          <w:sz w:val="21"/>
          <w:szCs w:val="21"/>
          <w:u w:color="000000"/>
          <w:bdr w:val="nil"/>
          <w:lang w:eastAsia="ru-RU"/>
          <w14:textOutline w14:w="0" w14:cap="flat" w14:cmpd="sng" w14:algn="ctr">
            <w14:noFill/>
            <w14:prstDash w14:val="solid"/>
            <w14:bevel/>
          </w14:textOutline>
        </w:rPr>
      </w:pPr>
      <w:r w:rsidRPr="002965AE">
        <w:rPr>
          <w:rFonts w:ascii="Times New Roman" w:eastAsia="Arial Unicode MS" w:hAnsi="Times New Roman" w:cs="Arial Unicode MS"/>
          <w:b/>
          <w:bCs/>
          <w:i/>
          <w:iCs/>
          <w:color w:val="000000"/>
          <w:sz w:val="21"/>
          <w:szCs w:val="21"/>
          <w:u w:color="000000"/>
          <w:bdr w:val="nil"/>
          <w:lang w:eastAsia="ru-RU"/>
          <w14:textOutline w14:w="0" w14:cap="flat" w14:cmpd="sng" w14:algn="ctr">
            <w14:noFill/>
            <w14:prstDash w14:val="solid"/>
            <w14:bevel/>
          </w14:textOutline>
        </w:rPr>
        <w:t xml:space="preserve">Гучетль С.К., </w:t>
      </w:r>
    </w:p>
    <w:p w14:paraId="495ACA4B" w14:textId="77777777" w:rsidR="002965AE" w:rsidRPr="002965AE" w:rsidRDefault="002965AE" w:rsidP="00B44CB6">
      <w:pPr>
        <w:keepLines/>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right"/>
        <w:rPr>
          <w:rFonts w:ascii="Times New Roman" w:eastAsia="Times New Roman" w:hAnsi="Times New Roman" w:cs="Times New Roman"/>
          <w:i/>
          <w:iCs/>
          <w:color w:val="000000"/>
          <w:sz w:val="21"/>
          <w:szCs w:val="21"/>
          <w:u w:color="000000"/>
          <w:bdr w:val="nil"/>
          <w:lang w:eastAsia="ru-RU"/>
          <w14:textOutline w14:w="0" w14:cap="flat" w14:cmpd="sng" w14:algn="ctr">
            <w14:noFill/>
            <w14:prstDash w14:val="solid"/>
            <w14:bevel/>
          </w14:textOutline>
        </w:rPr>
      </w:pPr>
      <w:r w:rsidRPr="002965AE">
        <w:rPr>
          <w:rFonts w:ascii="Times New Roman" w:eastAsia="Arial Unicode MS" w:hAnsi="Times New Roman" w:cs="Arial Unicode MS"/>
          <w:i/>
          <w:iCs/>
          <w:color w:val="000000"/>
          <w:sz w:val="21"/>
          <w:szCs w:val="21"/>
          <w:u w:color="000000"/>
          <w:bdr w:val="nil"/>
          <w:lang w:eastAsia="ru-RU"/>
          <w14:textOutline w14:w="0" w14:cap="flat" w14:cmpd="sng" w14:algn="ctr">
            <w14:noFill/>
            <w14:prstDash w14:val="solid"/>
            <w14:bevel/>
          </w14:textOutline>
        </w:rPr>
        <w:t>Старший преподаватель кафедры «Философия, история и право»</w:t>
      </w:r>
    </w:p>
    <w:p w14:paraId="2CE10711" w14:textId="77777777" w:rsidR="002965AE" w:rsidRPr="0001591D" w:rsidRDefault="002965AE" w:rsidP="00B44CB6">
      <w:pPr>
        <w:keepLines/>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352CA8BC"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г. Краснодар Россия </w:t>
      </w:r>
    </w:p>
    <w:p w14:paraId="0D52029A"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e</w:t>
      </w: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mail</w:t>
      </w:r>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hyperlink r:id="rId719" w:history="1">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SKGuchetl</w:t>
        </w:r>
        <w:r w:rsidRPr="002965AE">
          <w:rPr>
            <w:rFonts w:ascii="Times New Roman" w:eastAsia="Arial Unicode MS" w:hAnsi="Times New Roman" w:cs="Arial Unicode MS"/>
            <w:i/>
            <w:iCs/>
            <w:color w:val="0000FF"/>
            <w:sz w:val="21"/>
            <w:szCs w:val="21"/>
            <w:u w:val="single" w:color="0000FF"/>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fa</w:t>
        </w:r>
        <w:r w:rsidRPr="002965AE">
          <w:rPr>
            <w:rFonts w:ascii="Times New Roman" w:eastAsia="Arial Unicode MS" w:hAnsi="Times New Roman" w:cs="Arial Unicode MS"/>
            <w:i/>
            <w:iCs/>
            <w:color w:val="0000FF"/>
            <w:sz w:val="21"/>
            <w:szCs w:val="21"/>
            <w:u w:val="single" w:color="0000FF"/>
            <w:bdr w:val="nil"/>
            <w:lang w:eastAsia="ru-RU"/>
            <w14:textOutline w14:w="12700" w14:cap="flat" w14:cmpd="sng" w14:algn="ctr">
              <w14:noFill/>
              <w14:prstDash w14:val="solid"/>
              <w14:miter w14:lim="400000"/>
            </w14:textOutline>
          </w:rPr>
          <w:t>.</w:t>
        </w:r>
        <w:r w:rsidRPr="002965AE">
          <w:rPr>
            <w:rFonts w:ascii="Times New Roman" w:eastAsia="Arial Unicode MS" w:hAnsi="Times New Roman" w:cs="Arial Unicode MS"/>
            <w:i/>
            <w:iCs/>
            <w:color w:val="0000FF"/>
            <w:sz w:val="21"/>
            <w:szCs w:val="21"/>
            <w:u w:val="single" w:color="0000FF"/>
            <w:bdr w:val="nil"/>
            <w:lang w:val="en-US" w:eastAsia="ru-RU"/>
            <w14:textOutline w14:w="12700" w14:cap="flat" w14:cmpd="sng" w14:algn="ctr">
              <w14:noFill/>
              <w14:prstDash w14:val="solid"/>
              <w14:miter w14:lim="400000"/>
            </w14:textOutline>
          </w:rPr>
          <w:t>ru</w:t>
        </w:r>
      </w:hyperlink>
      <w:r w:rsidRPr="002965AE">
        <w:rPr>
          <w:rFonts w:ascii="Times New Roman" w:eastAsia="Arial Unicode MS" w:hAnsi="Times New Roman" w:cs="Arial Unicode MS"/>
          <w:i/>
          <w:iCs/>
          <w:color w:val="000000"/>
          <w:sz w:val="21"/>
          <w:szCs w:val="21"/>
          <w:u w:color="000000"/>
          <w:bdr w:val="nil"/>
          <w:lang w:eastAsia="ru-RU"/>
          <w14:textOutline w14:w="12700" w14:cap="flat" w14:cmpd="sng" w14:algn="ctr">
            <w14:noFill/>
            <w14:prstDash w14:val="solid"/>
            <w14:miter w14:lim="400000"/>
          </w14:textOutline>
        </w:rPr>
        <w:t xml:space="preserve"> </w:t>
      </w:r>
    </w:p>
    <w:p w14:paraId="1E3A7A4E"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eastAsia="ru-RU"/>
          <w14:textOutline w14:w="12700" w14:cap="flat" w14:cmpd="sng" w14:algn="ctr">
            <w14:noFill/>
            <w14:prstDash w14:val="solid"/>
            <w14:miter w14:lim="400000"/>
          </w14:textOutline>
        </w:rPr>
      </w:pPr>
    </w:p>
    <w:p w14:paraId="02C39B10" w14:textId="77777777" w:rsidR="002965AE" w:rsidRDefault="002965AE" w:rsidP="00B44CB6">
      <w:pPr>
        <w:keepLines/>
        <w:pBdr>
          <w:top w:val="nil"/>
          <w:left w:val="nil"/>
          <w:bottom w:val="nil"/>
          <w:right w:val="nil"/>
          <w:between w:val="nil"/>
          <w:bar w:val="nil"/>
        </w:pBdr>
        <w:spacing w:after="0" w:line="240" w:lineRule="auto"/>
        <w:ind w:firstLine="283"/>
        <w:jc w:val="center"/>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 xml:space="preserve">Психологические операции в экономических процессах </w:t>
      </w:r>
    </w:p>
    <w:p w14:paraId="174AB9BC" w14:textId="77777777" w:rsidR="002965AE" w:rsidRPr="002965AE" w:rsidRDefault="002965AE" w:rsidP="00B44CB6">
      <w:pPr>
        <w:keepLines/>
        <w:pBdr>
          <w:top w:val="nil"/>
          <w:left w:val="nil"/>
          <w:bottom w:val="nil"/>
          <w:right w:val="nil"/>
          <w:between w:val="nil"/>
          <w:bar w:val="nil"/>
        </w:pBdr>
        <w:spacing w:after="0" w:line="240" w:lineRule="auto"/>
        <w:ind w:firstLine="283"/>
        <w:jc w:val="center"/>
        <w:rPr>
          <w:rFonts w:ascii="Times New Roman" w:eastAsia="Times New Roman" w:hAnsi="Times New Roman" w:cs="Times New Roman"/>
          <w:b/>
          <w:bCs/>
          <w:color w:val="000000"/>
          <w:sz w:val="21"/>
          <w:szCs w:val="21"/>
          <w:u w:color="000000"/>
          <w:bdr w:val="nil"/>
          <w:lang w:eastAsia="ru-RU"/>
          <w14:textOutline w14:w="12700" w14:cap="flat" w14:cmpd="sng" w14:algn="ctr">
            <w14:noFill/>
            <w14:prstDash w14:val="solid"/>
            <w14:miter w14:lim="400000"/>
          </w14:textOutline>
        </w:rPr>
      </w:pPr>
    </w:p>
    <w:p w14:paraId="25205F73" w14:textId="77777777" w:rsidR="002965AE" w:rsidRPr="002965AE" w:rsidRDefault="002965AE" w:rsidP="00B44CB6">
      <w:pPr>
        <w:keepLines/>
        <w:pBdr>
          <w:top w:val="nil"/>
          <w:left w:val="nil"/>
          <w:bottom w:val="nil"/>
          <w:right w:val="nil"/>
          <w:between w:val="nil"/>
          <w:bar w:val="nil"/>
        </w:pBdr>
        <w:spacing w:after="0" w:line="240" w:lineRule="auto"/>
        <w:ind w:firstLine="283"/>
        <w:jc w:val="both"/>
        <w:rPr>
          <w:rFonts w:ascii="Times New Roman" w:eastAsia="Times New Roman"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Аннотация:</w:t>
      </w:r>
      <w:r w:rsidRPr="002965AE">
        <w:rPr>
          <w:rFonts w:ascii="Times New Roman" w:eastAsia="Arial Unicode MS" w:hAnsi="Times New Roman" w:cs="Arial Unicode MS"/>
          <w:color w:val="000000"/>
          <w:sz w:val="21"/>
          <w:szCs w:val="21"/>
          <w:u w:color="000000"/>
          <w:bdr w:val="nil"/>
          <w:lang w:eastAsia="ru-RU"/>
          <w14:textOutline w14:w="12700" w14:cap="flat" w14:cmpd="sng" w14:algn="ctr">
            <w14:noFill/>
            <w14:prstDash w14:val="solid"/>
            <w14:miter w14:lim="400000"/>
          </w14:textOutline>
        </w:rPr>
        <w:t xml:space="preserve"> В статье рассматривается влияния психологических факторов на экономическое поведение и анализ методов манипуляции и воздействия на экономические решения. Были представлены теоретические аспекты психологических операций в экономике, проанализированы практические примеры их применения, в результате чего определены рекомендации по их использованию в бизнесе.</w:t>
      </w:r>
    </w:p>
    <w:p w14:paraId="65FA7FD1" w14:textId="77777777" w:rsidR="002965AE" w:rsidRPr="002965AE" w:rsidRDefault="002965AE" w:rsidP="00B44CB6">
      <w:pPr>
        <w:keepLines/>
        <w:pBdr>
          <w:top w:val="nil"/>
          <w:left w:val="nil"/>
          <w:bottom w:val="nil"/>
          <w:right w:val="nil"/>
          <w:between w:val="nil"/>
          <w:bar w:val="nil"/>
        </w:pBdr>
        <w:spacing w:after="0" w:line="240" w:lineRule="auto"/>
        <w:ind w:firstLine="283"/>
        <w:jc w:val="both"/>
        <w:rPr>
          <w:rFonts w:ascii="Times New Roman" w:eastAsia="Times New Roman" w:hAnsi="Times New Roman" w:cs="Times New Roman"/>
          <w:color w:val="000000"/>
          <w:sz w:val="21"/>
          <w:szCs w:val="21"/>
          <w:u w:color="000000"/>
          <w:bdr w:val="nil"/>
          <w:lang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eastAsia="ru-RU"/>
          <w14:textOutline w14:w="12700" w14:cap="flat" w14:cmpd="sng" w14:algn="ctr">
            <w14:noFill/>
            <w14:prstDash w14:val="solid"/>
            <w14:miter w14:lim="400000"/>
          </w14:textOutline>
        </w:rPr>
        <w:t>Ключевые слова:</w:t>
      </w:r>
      <w:r w:rsidRPr="002965AE">
        <w:rPr>
          <w:rFonts w:ascii="Times New Roman" w:eastAsia="Arial Unicode MS" w:hAnsi="Times New Roman" w:cs="Arial Unicode MS"/>
          <w:color w:val="000000"/>
          <w:sz w:val="21"/>
          <w:szCs w:val="21"/>
          <w:u w:color="000000"/>
          <w:bdr w:val="nil"/>
          <w:lang w:eastAsia="ru-RU"/>
          <w14:textOutline w14:w="12700" w14:cap="flat" w14:cmpd="sng" w14:algn="ctr">
            <w14:noFill/>
            <w14:prstDash w14:val="solid"/>
            <w14:miter w14:lim="400000"/>
          </w14:textOutline>
        </w:rPr>
        <w:t xml:space="preserve"> Эмоциональный интеллект (ЭИ), психологические операции, маркетинговые стратегии, финансовые решения, экономическое поведение. </w:t>
      </w:r>
    </w:p>
    <w:p w14:paraId="560658E1"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Marusevich Yu.V.,</w:t>
      </w:r>
    </w:p>
    <w:p w14:paraId="4C8C956A"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1st year student </w:t>
      </w:r>
    </w:p>
    <w:p w14:paraId="484CF001"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Financial University under the Government of the Russian Federation </w:t>
      </w:r>
    </w:p>
    <w:p w14:paraId="4AA030CD"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(Krasnodar branch)</w:t>
      </w:r>
    </w:p>
    <w:p w14:paraId="7E7D0B86"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Krasnodar, Russia </w:t>
      </w:r>
    </w:p>
    <w:p w14:paraId="1E3018D4" w14:textId="16339DA3" w:rsidR="002965AE" w:rsidRPr="00C30970" w:rsidRDefault="002965AE" w:rsidP="00B44CB6">
      <w:pPr>
        <w:keepLines/>
        <w:pBdr>
          <w:top w:val="nil"/>
          <w:left w:val="nil"/>
          <w:bottom w:val="nil"/>
          <w:right w:val="nil"/>
          <w:between w:val="nil"/>
          <w:bar w:val="nil"/>
        </w:pBdr>
        <w:spacing w:after="0" w:line="240" w:lineRule="auto"/>
        <w:ind w:firstLine="283"/>
        <w:jc w:val="right"/>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e-mail: </w:t>
      </w:r>
      <w:hyperlink r:id="rId720" w:history="1">
        <w:r w:rsidRPr="002965AE">
          <w:rPr>
            <w:rStyle w:val="aa"/>
            <w:rFonts w:ascii="Times New Roman" w:eastAsia="Arial Unicode MS" w:hAnsi="Times New Roman" w:cs="Arial Unicode MS"/>
            <w:i/>
            <w:iCs/>
            <w:sz w:val="21"/>
            <w:szCs w:val="21"/>
            <w:bdr w:val="nil"/>
            <w:lang w:val="en-US" w:eastAsia="ru-RU"/>
            <w14:textOutline w14:w="12700" w14:cap="flat" w14:cmpd="sng" w14:algn="ctr">
              <w14:noFill/>
              <w14:prstDash w14:val="solid"/>
              <w14:miter w14:lim="400000"/>
            </w14:textOutline>
          </w:rPr>
          <w:t>yliamarusevitch@yandex.ru</w:t>
        </w:r>
      </w:hyperlink>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 </w:t>
      </w:r>
    </w:p>
    <w:p w14:paraId="1667510E" w14:textId="77777777" w:rsidR="002965AE" w:rsidRPr="00C30970"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p>
    <w:p w14:paraId="36354E50"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 xml:space="preserve">Scientific supervisor: </w:t>
      </w:r>
    </w:p>
    <w:p w14:paraId="360A2FF9"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b/>
          <w:bCs/>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i/>
          <w:iCs/>
          <w:color w:val="000000"/>
          <w:sz w:val="21"/>
          <w:szCs w:val="21"/>
          <w:u w:color="000000"/>
          <w:bdr w:val="nil"/>
          <w:lang w:val="en-US" w:eastAsia="ru-RU"/>
          <w14:textOutline w14:w="12700" w14:cap="flat" w14:cmpd="sng" w14:algn="ctr">
            <w14:noFill/>
            <w14:prstDash w14:val="solid"/>
            <w14:miter w14:lim="400000"/>
          </w14:textOutline>
        </w:rPr>
        <w:t>Guchetl S. K.,</w:t>
      </w:r>
    </w:p>
    <w:p w14:paraId="3FDF464A"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Senior Lecturer, Department of Philosophy, History and Law</w:t>
      </w:r>
    </w:p>
    <w:p w14:paraId="73984EC2"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Financial University under the Government of the Russian Federation</w:t>
      </w:r>
    </w:p>
    <w:p w14:paraId="35126C6D"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(Krasnodar branch)</w:t>
      </w:r>
    </w:p>
    <w:p w14:paraId="1ED6667E" w14:textId="77777777" w:rsidR="002965AE" w:rsidRPr="002965AE"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Krasnodar, Russia </w:t>
      </w:r>
    </w:p>
    <w:p w14:paraId="7702928B" w14:textId="77777777" w:rsidR="00B44CB6" w:rsidRPr="00B44CB6" w:rsidRDefault="002965AE" w:rsidP="00B44CB6">
      <w:pPr>
        <w:keepLines/>
        <w:pBdr>
          <w:top w:val="nil"/>
          <w:left w:val="nil"/>
          <w:bottom w:val="nil"/>
          <w:right w:val="nil"/>
          <w:between w:val="nil"/>
          <w:bar w:val="nil"/>
        </w:pBdr>
        <w:spacing w:after="0" w:line="240" w:lineRule="auto"/>
        <w:ind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i/>
          <w:iCs/>
          <w:color w:val="000000"/>
          <w:sz w:val="21"/>
          <w:szCs w:val="21"/>
          <w:u w:color="000000"/>
          <w:bdr w:val="nil"/>
          <w:lang w:val="en-US" w:eastAsia="ru-RU"/>
          <w14:textOutline w14:w="12700" w14:cap="flat" w14:cmpd="sng" w14:algn="ctr">
            <w14:noFill/>
            <w14:prstDash w14:val="solid"/>
            <w14:miter w14:lim="400000"/>
          </w14:textOutline>
        </w:rPr>
        <w:t xml:space="preserve">e-mail: SKGuchetl@fa.ru </w:t>
      </w:r>
    </w:p>
    <w:p w14:paraId="42113B41" w14:textId="77777777" w:rsidR="00B44CB6" w:rsidRPr="00A11496" w:rsidRDefault="00B44CB6" w:rsidP="00B44CB6">
      <w:pPr>
        <w:keepLines/>
        <w:pBdr>
          <w:top w:val="nil"/>
          <w:left w:val="nil"/>
          <w:bottom w:val="nil"/>
          <w:right w:val="nil"/>
          <w:between w:val="nil"/>
          <w:bar w:val="nil"/>
        </w:pBdr>
        <w:spacing w:after="0" w:line="240" w:lineRule="auto"/>
        <w:ind w:right="105" w:firstLine="283"/>
        <w:jc w:val="right"/>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p>
    <w:p w14:paraId="2A4EBCF9" w14:textId="77777777" w:rsidR="00B44CB6" w:rsidRPr="00A11496" w:rsidRDefault="002965AE" w:rsidP="00B44CB6">
      <w:pPr>
        <w:keepLines/>
        <w:pBdr>
          <w:top w:val="nil"/>
          <w:left w:val="nil"/>
          <w:bottom w:val="nil"/>
          <w:right w:val="nil"/>
          <w:between w:val="nil"/>
          <w:bar w:val="nil"/>
        </w:pBdr>
        <w:spacing w:after="0" w:line="240" w:lineRule="auto"/>
        <w:ind w:right="105" w:firstLine="283"/>
        <w:jc w:val="center"/>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Psychological operations in economic processes</w:t>
      </w:r>
    </w:p>
    <w:p w14:paraId="0787BD30" w14:textId="77777777" w:rsidR="00B44CB6" w:rsidRPr="00A11496" w:rsidRDefault="00B44CB6" w:rsidP="00B44CB6">
      <w:pPr>
        <w:keepLines/>
        <w:pBdr>
          <w:top w:val="nil"/>
          <w:left w:val="nil"/>
          <w:bottom w:val="nil"/>
          <w:right w:val="nil"/>
          <w:between w:val="nil"/>
          <w:bar w:val="nil"/>
        </w:pBdr>
        <w:spacing w:after="0" w:line="240" w:lineRule="auto"/>
        <w:ind w:right="105" w:firstLine="283"/>
        <w:jc w:val="center"/>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p>
    <w:p w14:paraId="1DC923C7" w14:textId="77777777" w:rsidR="00B44CB6" w:rsidRPr="00B44CB6" w:rsidRDefault="002965AE" w:rsidP="00B44CB6">
      <w:pPr>
        <w:keepLines/>
        <w:pBdr>
          <w:top w:val="nil"/>
          <w:left w:val="nil"/>
          <w:bottom w:val="nil"/>
          <w:right w:val="nil"/>
          <w:between w:val="nil"/>
          <w:bar w:val="nil"/>
        </w:pBdr>
        <w:spacing w:after="0" w:line="240" w:lineRule="auto"/>
        <w:ind w:right="105" w:firstLine="283"/>
        <w:jc w:val="both"/>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Abstract:</w:t>
      </w:r>
      <w:r w:rsidRPr="002965AE">
        <w:rPr>
          <w:rFonts w:ascii="Times New Roman" w:eastAsia="Arial Unicode MS" w:hAnsi="Times New Roman" w:cs="Arial Unicode MS"/>
          <w:color w:val="000000"/>
          <w:sz w:val="21"/>
          <w:szCs w:val="21"/>
          <w:u w:color="000000"/>
          <w:bdr w:val="nil"/>
          <w:lang w:val="en-US" w:eastAsia="ru-RU"/>
          <w14:textOutline w14:w="12700" w14:cap="flat" w14:cmpd="sng" w14:algn="ctr">
            <w14:noFill/>
            <w14:prstDash w14:val="solid"/>
            <w14:miter w14:lim="400000"/>
          </w14:textOutline>
        </w:rPr>
        <w:t xml:space="preserve"> The article examines the influence of psychological factors on economic behavior and analyzes methods of manipulation and influence on economic decisions. The theoretical aspects of psychological operations in economics were presented, practical examples of their application were analyzed, as a result of which recommendations for their use in business were identified.</w:t>
      </w:r>
    </w:p>
    <w:p w14:paraId="0ED76788" w14:textId="10270E29" w:rsidR="002513A8" w:rsidRPr="00A11496" w:rsidRDefault="002965AE" w:rsidP="00B44CB6">
      <w:pPr>
        <w:keepLines/>
        <w:pBdr>
          <w:top w:val="nil"/>
          <w:left w:val="nil"/>
          <w:bottom w:val="nil"/>
          <w:right w:val="nil"/>
          <w:between w:val="nil"/>
          <w:bar w:val="nil"/>
        </w:pBdr>
        <w:spacing w:after="0" w:line="240" w:lineRule="auto"/>
        <w:ind w:right="105" w:firstLine="283"/>
        <w:jc w:val="both"/>
        <w:rPr>
          <w:rFonts w:ascii="Times New Roman" w:eastAsia="Times New Roman" w:hAnsi="Times New Roman" w:cs="Times New Roman"/>
          <w:i/>
          <w:iCs/>
          <w:color w:val="000000"/>
          <w:sz w:val="21"/>
          <w:szCs w:val="21"/>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b/>
          <w:bCs/>
          <w:color w:val="000000"/>
          <w:sz w:val="21"/>
          <w:szCs w:val="21"/>
          <w:u w:color="000000"/>
          <w:bdr w:val="nil"/>
          <w:lang w:val="en-US" w:eastAsia="ru-RU"/>
          <w14:textOutline w14:w="12700" w14:cap="flat" w14:cmpd="sng" w14:algn="ctr">
            <w14:noFill/>
            <w14:prstDash w14:val="solid"/>
            <w14:miter w14:lim="400000"/>
          </w14:textOutline>
        </w:rPr>
        <w:t>Keywords:</w:t>
      </w:r>
      <w:r w:rsidRPr="002965AE">
        <w:rPr>
          <w:rFonts w:ascii="Times New Roman" w:eastAsia="Arial Unicode MS" w:hAnsi="Times New Roman" w:cs="Arial Unicode MS"/>
          <w:color w:val="000000"/>
          <w:sz w:val="21"/>
          <w:szCs w:val="21"/>
          <w:u w:color="000000"/>
          <w:bdr w:val="nil"/>
          <w:lang w:val="en-US" w:eastAsia="ru-RU"/>
          <w14:textOutline w14:w="12700" w14:cap="flat" w14:cmpd="sng" w14:algn="ctr">
            <w14:noFill/>
            <w14:prstDash w14:val="solid"/>
            <w14:miter w14:lim="400000"/>
          </w14:textOutline>
        </w:rPr>
        <w:t xml:space="preserve"> Emotional intelligence (EI), psychological operations, marketing strategies, financial decisions, economic behavior.</w:t>
      </w:r>
    </w:p>
    <w:p w14:paraId="5AA40FAC" w14:textId="6EB41D5D"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The modern economy is characterized by a high degree of influence of psychological factors on decision-making at both the individual and group levels. In the context of globalization and digitalization of the economy, understanding how emotions, beliefs, and perceptions affect economic behavior is becoming an integral part of successful management and forecasting. The study of psychological operations in economics makes it possible to identify the mechanisms that underlie decision-making and identify ways to optimize them.</w:t>
      </w:r>
    </w:p>
    <w:p w14:paraId="62FA0F80" w14:textId="67D4C188"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Emotional intelligence (EI) is a person's ability to recognize, understand, and manage both their own emotions and those of others. The term "emotional intelligence" was first coined in 1990 by scientists Peter Salovey and John Mayer. They defined EI as a set of abilities that include perceiving emotions, integrating them into thoughts, understanding their meaning, and managing them to achieve goals. This concept became the basis for further research and application in various fields, including economics. An important aspect of the application of emotional intelligence is its impact on communication and social interactions. EI helps people not only in interpersonal relationships, but also in a broader context, including political and social processes. For example, "communication, political lobbying of bills that are destructive in their social consequences, financing destructive activities and social activism... The arsenal of technologies used in cognitive warfare also includes so-called "disruptive technologies" [1]. Emotional intelligence, thus, can have a significant impact on various spheres of life, contributing to more effective interaction and understanding in complex social contexts.</w:t>
      </w:r>
    </w:p>
    <w:p w14:paraId="2E318F6C" w14:textId="68115EE9"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Emotional intelligence includes five main components: self-awareness, self-regulation, motivation, empathy, and social skills, as described by Daniel Goleman. Self-awareness implies the ability to be aware of one's emotions and their impact on behavior. Self-regulation ensures the management of emotional reactions and adaptation to changes. Motivation is related to internal drives aimed at achieving goals. Empathy helps you understand the feelings and needs of others, and social skills contribute to effective teamwork. These aspects form the basis for successful communication in both professional and personal life. Within the framework of emotional intelligence, it is also important to </w:t>
      </w:r>
      <w:proofErr w:type="gramStart"/>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take into account</w:t>
      </w:r>
      <w:proofErr w:type="gramEnd"/>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 that economic psychology examines the features of economic consciousness and human behavior, both conscious and unconscious. This highlights that interacting with others and managing emotions significantly influence economic behavior and decision-making.</w:t>
      </w:r>
    </w:p>
    <w:p w14:paraId="3E57E79E" w14:textId="77777777"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 xml:space="preserve">Emotional intelligence plays an important role in the economic context, influencing decision-making, team management, and customer interaction. A study by TalentSmart showed that 90% of successful employees have a high level of EI, which underlines its importance for professional growth. In an economy </w:t>
      </w:r>
      <w:proofErr w:type="gramStart"/>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where</w:t>
      </w:r>
      <w:proofErr w:type="gramEnd"/>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 emotional factors often overshadow rational analysis, the ability to manage emotions is becoming a key skill. Understanding and developing EI contributes to improving productivity, improving the quality of interactions, and achieving sustainable business results.</w:t>
      </w:r>
    </w:p>
    <w:p w14:paraId="4D5D79E1" w14:textId="77777777"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Emotions play a key role in the decision-making process. Positive and negative emotions have different effects on economic behavior. Positive emotions such as joy and confidence contribute to making riskier decisions, enhancing optimism and faith in success. On the other hand, negative emotions, such as fear and anger, can lead to excessive caution or impulsive actions. In a financial crisis, panic in the markets often causes irrational investor behavior, which exacerbates economic problems. This situation illustrates the problem of changing the economic consciousness of an individual and a group in various conditions of secondary economic socialization, as noted by Drobysheva and Zhuravlev.</w:t>
      </w:r>
    </w:p>
    <w:p w14:paraId="161992A5" w14:textId="77777777" w:rsidR="002965AE" w:rsidRPr="002965AE"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Emotional traps are situations where emotions overshadow rational thinking, leading to mistakes in decision-making. One example is the "ownership effect," in which people overestimate the value of their possessions due to emotional attachment. This can lead to inefficient economic decisions, such as rejecting a good deal or excessive spending. Understanding emotional traps helps you avoid such mistakes and make more informed decisions.</w:t>
      </w:r>
    </w:p>
    <w:p w14:paraId="4EE74F55" w14:textId="77777777" w:rsidR="00B44CB6" w:rsidRPr="00B44CB6" w:rsidRDefault="002965AE" w:rsidP="00B44CB6">
      <w:pPr>
        <w:keepNext/>
        <w:keepLines/>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Real economic situations clearly show how emotions influence people's behavior. The financial crisis of 2008 was partly triggered by irrational decisions based on fear and panic. Investors, succumbing to emotions, massively sold off assets, which contributed to a </w:t>
      </w:r>
      <w:proofErr w:type="gramStart"/>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drop in</w:t>
      </w:r>
      <w:proofErr w:type="gramEnd"/>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 prices on the market. On the other hand, marketing strategies focused on emotional attachment create brands that make consumers feel proud or belong to a certain group. These examples highlight the importance of managing emotions in the economic sphere.</w:t>
      </w:r>
    </w:p>
    <w:p w14:paraId="2EEF137A" w14:textId="34B2EAD2"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Methods of manipulation in economics can be classified into several main categories, each of which has its own characteristics and applications. One such category is the use of cognitive effects such as the anchor effect, which was first described by Kahneman and Tversky in 1974. This effect is that the initial information provided to the consumer significantly influences </w:t>
      </w: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his subsequent decisions. Another important category is methods based on emotional impact, which, according to the Harvard Business Review, increases the probability of purchase by 70%. There are also techniques that use social proof, where the behavior of other people serves as a guideline for the consumer, as demonstrated by the example of Airbnb. These methods allow businesses to effectively influence economic behavior by shaping preferences and stimulating demand.</w:t>
      </w:r>
    </w:p>
    <w:p w14:paraId="24CAED4A"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Marketing strategies often use manipulative techniques to achieve their goals. For example, in 2019, Amazon applied an artificial scarcity strategy to stimulate demand for its products. This approach is based on creating a sense of limitation of the product, which encourages buyers to take immediate action. Another example is the use of social proof, as the Airbnb platform does, where user reviews play a key role in building trust in tenants. These examples illustrate how manipulative techniques are successfully used to increase sales and strengthen brand positions in the market.</w:t>
      </w:r>
    </w:p>
    <w:p w14:paraId="17FDEBAE"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Ethical problems associated with the use of psychological operations in business arise from the possibility of manipulating consumer consciousness. These practices may include distorting information, creating artificial scarcity, and using emotional influence to boost sales. A 2020 study found that 68% of consumers lose trust in a brand when they discover manipulative practices. This highlights the importance of following ethical standards to maintain long-term customer relationships. In recent years, the topic of business social responsibility has been increasingly discussed in Russian economic psychology, which indicates a growing interest in this problem.</w:t>
      </w:r>
    </w:p>
    <w:p w14:paraId="034723BE"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The negative consequences of the unethical use of psychological surgery can be significant for both companies and their clients. For example, in 2018, Facebook faced accusations of manipulating user data, which led to a significant drop in shares and a loss of trust from users. This shows that unethical actions can damage a company's reputation and lead to financial losses.</w:t>
      </w:r>
    </w:p>
    <w:p w14:paraId="5B32E5F8"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To ensure ethics in the use of psychological operations, companies must adhere to the principles of transparency and respect for consumers. The 2021 survey showed that 72% of buyers prefer brands that demonstrate openness in their marketing and advertising methods. This highlights the </w:t>
      </w: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 xml:space="preserve">importance of honest communication with clients and the need to avoid manipulative practices that can undermine trust. </w:t>
      </w:r>
    </w:p>
    <w:p w14:paraId="4AAD52E8"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Emotional intelligence (EI) plays a key role in making financial decisions, allowing you to better understand and manage the emotions of both your own and those around you. This is especially true in business, where decisions are made under conditions of uncertainty and stress. The TalentSmart study demonstrates that 90% of successful executives have a high level of EI, which promotes clarity of thinking and informed decision-making even in difficult situations. At the same time, economists are investigating how important psychological factors are in the decision-making process and whether they can surpass the system of economic incentives [2]. The development of EI among employees and managers, thus, becomes an important aspect for improving the efficiency of the company.</w:t>
      </w:r>
    </w:p>
    <w:p w14:paraId="765269C4"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The development of strategies based on emotional intelligence includes several key principles. First, it is necessary to </w:t>
      </w:r>
      <w:proofErr w:type="gramStart"/>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take into account</w:t>
      </w:r>
      <w:proofErr w:type="gramEnd"/>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 the emotional aspects of the interaction between employees and customers, which helps to improve communication and increase the level of trust. Secondly, it is important to integrate emotion management skills into the company's daily processes, which minimizes conflicts and improves teamwork. A Harvard Business Review study showed that companies with highly developed EI skills demonstrate 20% higher productivity, which confirms the importance of implementing these principles in strategic planning.</w:t>
      </w:r>
    </w:p>
    <w:p w14:paraId="52B07C16" w14:textId="7D730F0C"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Emotional intelligence (EI) is an important aspect of business management, and its assessment requires the use of specialized methods. One of these methods is structured interviews, which help to identify employees' ability to self-awareness and emotion management. It is also common to observe the behavior of employees in various situations, allowing them to assess their response to stress and interaction with colleagues. A study by the Institute of Emotional Intelligence shows that the use of EI assessment methods in companies contributes to a 20% increase in employee productivity, which underscores the importance of these methods. Modern management uses a variety of tools from various sciences, including psychology, which confirms the need for an integrated approach to assessing emotional intelligence [3].</w:t>
      </w:r>
    </w:p>
    <w:p w14:paraId="579549CF"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Tests and questionnaires are among the most common tools for assessing emotional intelligence. For example, the MSCEIT test, developed by John Mayer and Peter Salovey, evaluates four key aspects of emotional </w:t>
      </w: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intelligence: perceiving emotions, using emotions to facilitate thinking, understanding emotions, and managing them. These tools provide objective data on employee abilities, which helps managers make informed decisions about staff development. A study conducted in the Moscow region with the participation of 1,872 people highlights the importance of using such methods for a deeper understanding of emotional intelligence [4].</w:t>
      </w:r>
    </w:p>
    <w:p w14:paraId="153D60AB"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Observing employees in their work environment and providing feedback are important tools for assessing and developing emotional intelligence. Regular feedback from colleagues and supervisors helps to improve teamwork and increase overall productivity. Research shows that this practice can improve teamwork performance by 15%, making it a useful tool for organizations seeking to develop the emotional intelligence of their employees.</w:t>
      </w:r>
    </w:p>
    <w:p w14:paraId="6EB24B1F" w14:textId="77777777"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Identifying key processes for implementing change is an important step in determining which aspects of the organizational structure and operations require adaptation for successful integration of emotional intelligence. At this stage, it is necessary to analyze current processes in order to identify areas where emotional intelligence can have the most significant impact. For example, these can be processes related to personnel management, teamwork, or customer interaction. According to a McKinsey study, organizations that implement emotional intelligence training programs show a 20% increase in productivity. Thus, proper identification of processes helps to focus efforts on those aspects that will bring maximum benefit to the organization.</w:t>
      </w:r>
    </w:p>
    <w:p w14:paraId="48F8DDA5" w14:textId="4215299C" w:rsidR="002965AE" w:rsidRPr="002965AE" w:rsidRDefault="002965AE" w:rsidP="00D92FA5">
      <w:pPr>
        <w:keepNext/>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32"/>
          <w:szCs w:val="32"/>
          <w:u w:color="000000"/>
          <w:bdr w:val="nil"/>
          <w:lang w:val="en-US" w:eastAsia="ru-RU"/>
          <w14:textOutline w14:w="12700" w14:cap="flat" w14:cmpd="sng" w14:algn="ctr">
            <w14:noFill/>
            <w14:prstDash w14:val="solid"/>
            <w14:miter w14:lim="400000"/>
          </w14:textOutline>
        </w:rPr>
      </w:pP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t xml:space="preserve">Employee training and integration of changes are the next step after defining the key processes. This stage includes the development and implementation of trainings aimed at developing emotional intelligence skills, as well as the implementation of appropriate changes in the operational processes of the organization. Google's example of the 'Search Inside Yourself' program illustrates that emotional intelligence training improves employee interaction and job satisfaction. Training should be structured and combine theoretical and practical elements, which allows employees not only to master concepts, but also to effectively apply them in practice. This contributes to the formation of a culture that supports emotional intelligence, which, in turn, has a positive effect on employee productivity and satisfaction. In conditions when "the global structure is currently changing: the material and technological paradigm is being replaced by the information and algorithmic paradigm. The world has become informational", the development of emotional intelligence is </w:t>
      </w:r>
      <w:r w:rsidRPr="002965AE">
        <w:rPr>
          <w:rFonts w:ascii="Times New Roman" w:eastAsia="Arial Unicode MS" w:hAnsi="Times New Roman" w:cs="Arial Unicode MS"/>
          <w:color w:val="000000"/>
          <w:sz w:val="32"/>
          <w:szCs w:val="32"/>
          <w:u w:color="000000"/>
          <w:bdr w:val="nil"/>
          <w:lang w:val="en-US" w:eastAsia="ru-RU"/>
          <w14:textOutline w14:w="12700" w14:cap="flat" w14:cmpd="sng" w14:algn="ctr">
            <w14:noFill/>
            <w14:prstDash w14:val="solid"/>
            <w14:miter w14:lim="400000"/>
          </w14:textOutline>
        </w:rPr>
        <w:lastRenderedPageBreak/>
        <w:t>becoming especially important for successful adaptation to new challenges and requirements.</w:t>
      </w:r>
    </w:p>
    <w:p w14:paraId="0E5BE6AD" w14:textId="77777777" w:rsidR="002965AE" w:rsidRPr="002965AE" w:rsidRDefault="002965AE" w:rsidP="00853458">
      <w:pPr>
        <w:keepNext/>
        <w:keepLines/>
        <w:pBdr>
          <w:top w:val="nil"/>
          <w:left w:val="nil"/>
          <w:bottom w:val="nil"/>
          <w:right w:val="nil"/>
          <w:between w:val="nil"/>
          <w:bar w:val="nil"/>
        </w:pBdr>
        <w:spacing w:after="0" w:line="240" w:lineRule="auto"/>
        <w:ind w:firstLine="720"/>
        <w:jc w:val="both"/>
        <w:rPr>
          <w:rFonts w:ascii="Times New Roman" w:eastAsia="Arial Unicode MS" w:hAnsi="Times New Roman" w:cs="Arial Unicode MS"/>
          <w:color w:val="000000"/>
          <w:sz w:val="32"/>
          <w:szCs w:val="32"/>
          <w:u w:color="000000"/>
          <w:bdr w:val="nil"/>
          <w:lang w:val="en-US" w:eastAsia="ru-RU"/>
        </w:rPr>
      </w:pPr>
      <w:r w:rsidRPr="002965AE">
        <w:rPr>
          <w:rFonts w:ascii="Times New Roman" w:eastAsia="Arial Unicode MS" w:hAnsi="Times New Roman" w:cs="Arial Unicode MS"/>
          <w:color w:val="000000"/>
          <w:sz w:val="32"/>
          <w:szCs w:val="32"/>
          <w:u w:color="000000"/>
          <w:bdr w:val="nil"/>
          <w:lang w:val="en-US" w:eastAsia="ru-RU"/>
        </w:rPr>
        <w:t>In the course of the conducted research, the topic of the influence of psychological factors on the economic behavior of individuals and groups was considered. We have studied the concept of emotional intelligence, its role in economic decision-making, as well as methods of manipulation and influence in the economic sphere. Based on the analysis of theoretical and practical aspects, key patterns and mechanisms that determine behavior in economic processes have been identified. The main conclusions of the study were as follows: emotional intelligence plays a significant role in decision-making, influencing the rationality and efficiency of processes; manipulation methods such as creating deficits and social proof have a strong impact on consumer behavior; the ethical use of psychological operations requires special attention, as manipulation can undermine brand confidence. To optimize economic decisions, it is recommended to actively implement approaches based on emotional intelligence, including training employees in emotion management skills and their application in business. It is also important to use emotional intelligence assessment methods to form effective work teams and make strategic decisions. These measures will help to increase productivity and confidence in the economic environment. The topic of psychological operations in economics remains relevant and requires further study. Understanding and using emotional intelligence, as well as the conscious use of manipulative methods, open up new opportunities for improving the efficiency and ethics of economic activity. This study highlights the need for a responsible approach to managing economic processes, focused on long-term results.</w:t>
      </w:r>
    </w:p>
    <w:p w14:paraId="76AD2541" w14:textId="77777777" w:rsidR="002965AE" w:rsidRPr="002965AE" w:rsidRDefault="002965AE" w:rsidP="00853458">
      <w:pPr>
        <w:keepNext/>
        <w:keepLines/>
        <w:pBdr>
          <w:top w:val="nil"/>
          <w:left w:val="nil"/>
          <w:bottom w:val="nil"/>
          <w:right w:val="nil"/>
          <w:between w:val="nil"/>
          <w:bar w:val="nil"/>
        </w:pBdr>
        <w:spacing w:after="0" w:line="240" w:lineRule="auto"/>
        <w:ind w:firstLine="720"/>
        <w:jc w:val="both"/>
        <w:rPr>
          <w:rFonts w:ascii="Times New Roman" w:eastAsia="Arial Unicode MS" w:hAnsi="Times New Roman" w:cs="Arial Unicode MS"/>
          <w:color w:val="000000"/>
          <w:sz w:val="32"/>
          <w:szCs w:val="32"/>
          <w:u w:color="000000"/>
          <w:bdr w:val="nil"/>
          <w:lang w:val="en-US" w:eastAsia="ru-RU"/>
        </w:rPr>
      </w:pPr>
      <w:r w:rsidRPr="002965AE">
        <w:rPr>
          <w:rFonts w:ascii="Times New Roman" w:eastAsia="Arial Unicode MS" w:hAnsi="Times New Roman" w:cs="Arial Unicode MS"/>
          <w:color w:val="000000"/>
          <w:sz w:val="32"/>
          <w:szCs w:val="32"/>
          <w:u w:color="000000"/>
          <w:bdr w:val="nil"/>
          <w:lang w:val="en-US" w:eastAsia="ru-RU"/>
        </w:rPr>
        <w:t>In this way, analyzing the indicators, we can conclude that psychological operations play an important role in the economic sphere.</w:t>
      </w:r>
    </w:p>
    <w:p w14:paraId="2D1180A6" w14:textId="77777777" w:rsidR="00CD41C1" w:rsidRPr="00A11496" w:rsidRDefault="00CD41C1" w:rsidP="00853458">
      <w:pPr>
        <w:keepNext/>
        <w:keepLines/>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1"/>
          <w:szCs w:val="21"/>
          <w:u w:color="000000"/>
          <w:bdr w:val="nil"/>
          <w:lang w:val="en-US" w:eastAsia="ru-RU"/>
        </w:rPr>
      </w:pPr>
    </w:p>
    <w:p w14:paraId="6EA62658" w14:textId="663C2983" w:rsidR="002965AE" w:rsidRPr="00C30970" w:rsidRDefault="002965AE" w:rsidP="00853458">
      <w:pPr>
        <w:keepNext/>
        <w:keepLines/>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1"/>
          <w:szCs w:val="21"/>
          <w:u w:color="000000"/>
          <w:bdr w:val="nil"/>
          <w:lang w:val="en-US" w:eastAsia="ru-RU"/>
        </w:rPr>
      </w:pPr>
      <w:r w:rsidRPr="002965AE">
        <w:rPr>
          <w:rFonts w:ascii="Times New Roman" w:eastAsia="Arial Unicode MS" w:hAnsi="Times New Roman" w:cs="Arial Unicode MS"/>
          <w:b/>
          <w:bCs/>
          <w:color w:val="000000"/>
          <w:sz w:val="21"/>
          <w:szCs w:val="21"/>
          <w:u w:color="000000"/>
          <w:bdr w:val="nil"/>
          <w:lang w:val="en-US" w:eastAsia="ru-RU"/>
        </w:rPr>
        <w:t>Literature</w:t>
      </w:r>
      <w:r w:rsidRPr="00C30970">
        <w:rPr>
          <w:rFonts w:ascii="Times New Roman" w:eastAsia="Arial Unicode MS" w:hAnsi="Times New Roman" w:cs="Arial Unicode MS"/>
          <w:b/>
          <w:bCs/>
          <w:color w:val="000000"/>
          <w:sz w:val="21"/>
          <w:szCs w:val="21"/>
          <w:u w:color="000000"/>
          <w:bdr w:val="nil"/>
          <w:lang w:val="en-US" w:eastAsia="ru-RU"/>
        </w:rPr>
        <w:t>:</w:t>
      </w:r>
    </w:p>
    <w:p w14:paraId="7719F2A1" w14:textId="77777777" w:rsidR="002965AE" w:rsidRPr="002965AE" w:rsidRDefault="002965AE" w:rsidP="0085345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1"/>
          <w:szCs w:val="21"/>
          <w:u w:color="000000"/>
          <w:bdr w:val="nil"/>
          <w:lang w:val="en-US" w:eastAsia="ru-RU"/>
        </w:rPr>
      </w:pPr>
      <w:r w:rsidRPr="002965AE">
        <w:rPr>
          <w:rFonts w:ascii="Times New Roman" w:eastAsia="Arial Unicode MS" w:hAnsi="Times New Roman" w:cs="Arial Unicode MS"/>
          <w:color w:val="000000"/>
          <w:sz w:val="21"/>
          <w:szCs w:val="21"/>
          <w:u w:color="000000"/>
          <w:bdr w:val="nil"/>
          <w:lang w:val="en-US" w:eastAsia="ru-RU"/>
        </w:rPr>
        <w:t xml:space="preserve">1. Mironova N. K. On the problem of ensuring cognitive security // ECONOMICS AND MANAGEMENT: SCIENTIFIC AND PRACTICAL JOURNAL. — 2021. — № 1 (157). — P. 119. </w:t>
      </w:r>
    </w:p>
    <w:p w14:paraId="397E03A6" w14:textId="77777777" w:rsidR="002965AE" w:rsidRPr="002965AE" w:rsidRDefault="002965AE" w:rsidP="0085345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1"/>
          <w:szCs w:val="21"/>
          <w:u w:color="000000"/>
          <w:bdr w:val="nil"/>
          <w:lang w:val="en-US" w:eastAsia="ru-RU"/>
        </w:rPr>
      </w:pPr>
      <w:r w:rsidRPr="002965AE">
        <w:rPr>
          <w:rFonts w:ascii="Times New Roman" w:eastAsia="Arial Unicode MS" w:hAnsi="Times New Roman" w:cs="Arial Unicode MS"/>
          <w:color w:val="000000"/>
          <w:sz w:val="21"/>
          <w:szCs w:val="21"/>
          <w:u w:color="000000"/>
          <w:bdr w:val="nil"/>
          <w:lang w:val="en-US" w:eastAsia="ru-RU"/>
        </w:rPr>
        <w:t xml:space="preserve">2. Misuno A.A. Psychological factors and economic incentives in decision-making // [B. I.]. — [B. M.], [B. G.]. — [B. S.]. Psychology of the XXI century // Collection based on the materials of the Annual Congress </w:t>
      </w:r>
    </w:p>
    <w:p w14:paraId="325EC635" w14:textId="77777777" w:rsidR="002965AE" w:rsidRPr="002965AE" w:rsidRDefault="002965AE" w:rsidP="0085345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1"/>
          <w:szCs w:val="21"/>
          <w:u w:color="000000"/>
          <w:bdr w:val="nil"/>
          <w:lang w:val="en-US" w:eastAsia="ru-RU"/>
        </w:rPr>
      </w:pPr>
      <w:r w:rsidRPr="002965AE">
        <w:rPr>
          <w:rFonts w:ascii="Times New Roman" w:eastAsia="Arial Unicode MS" w:hAnsi="Times New Roman" w:cs="Arial Unicode MS"/>
          <w:color w:val="000000"/>
          <w:sz w:val="21"/>
          <w:szCs w:val="21"/>
          <w:u w:color="000000"/>
          <w:bdr w:val="nil"/>
          <w:lang w:val="en-US" w:eastAsia="ru-RU"/>
        </w:rPr>
        <w:t>3. Dostanko E. A. History, theory, practice: materials of the XII Scientific and Practical Conference of young Scientists fac. international Belarusian State University, Minsk, February 3, 2022 / Belarusian State University; editor: E. A. Dostanko (chief editor) [and others]. - Minsk: Belarusian State University, 2022. — pp. 73-78.</w:t>
      </w:r>
    </w:p>
    <w:p w14:paraId="31D2BCA4" w14:textId="295F804C" w:rsidR="002965AE" w:rsidRPr="00A11496" w:rsidRDefault="002965AE" w:rsidP="0085345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rPr>
      </w:pPr>
      <w:r w:rsidRPr="002965AE">
        <w:rPr>
          <w:rFonts w:ascii="Times New Roman" w:eastAsia="Arial Unicode MS" w:hAnsi="Times New Roman" w:cs="Arial Unicode MS"/>
          <w:color w:val="000000"/>
          <w:sz w:val="21"/>
          <w:szCs w:val="21"/>
          <w:u w:color="000000"/>
          <w:bdr w:val="nil"/>
          <w:lang w:val="en-US" w:eastAsia="ru-RU"/>
        </w:rPr>
        <w:t>4. Zhuravleva N.A. Dynamics of personality value orientations in the context of socio-economic changes: Abstract of the dissertation of the candidate. Psychological</w:t>
      </w:r>
      <w:r w:rsidRPr="00A11496">
        <w:rPr>
          <w:rFonts w:ascii="Times New Roman" w:eastAsia="Arial Unicode MS" w:hAnsi="Times New Roman" w:cs="Arial Unicode MS"/>
          <w:color w:val="000000"/>
          <w:sz w:val="21"/>
          <w:szCs w:val="21"/>
          <w:u w:color="000000"/>
          <w:bdr w:val="nil"/>
          <w:lang w:eastAsia="ru-RU"/>
        </w:rPr>
        <w:t xml:space="preserve"> </w:t>
      </w:r>
      <w:r w:rsidRPr="002965AE">
        <w:rPr>
          <w:rFonts w:ascii="Times New Roman" w:eastAsia="Arial Unicode MS" w:hAnsi="Times New Roman" w:cs="Arial Unicode MS"/>
          <w:color w:val="000000"/>
          <w:sz w:val="21"/>
          <w:szCs w:val="21"/>
          <w:u w:color="000000"/>
          <w:bdr w:val="nil"/>
          <w:lang w:val="en-US" w:eastAsia="ru-RU"/>
        </w:rPr>
        <w:t>sciences</w:t>
      </w:r>
      <w:r w:rsidRPr="00A11496">
        <w:rPr>
          <w:rFonts w:ascii="Times New Roman" w:eastAsia="Arial Unicode MS" w:hAnsi="Times New Roman" w:cs="Arial Unicode MS"/>
          <w:color w:val="000000"/>
          <w:sz w:val="21"/>
          <w:szCs w:val="21"/>
          <w:u w:color="000000"/>
          <w:bdr w:val="nil"/>
          <w:lang w:eastAsia="ru-RU"/>
        </w:rPr>
        <w:t xml:space="preserve">. — </w:t>
      </w:r>
      <w:r w:rsidRPr="002965AE">
        <w:rPr>
          <w:rFonts w:ascii="Times New Roman" w:eastAsia="Arial Unicode MS" w:hAnsi="Times New Roman" w:cs="Arial Unicode MS"/>
          <w:color w:val="000000"/>
          <w:sz w:val="21"/>
          <w:szCs w:val="21"/>
          <w:u w:color="000000"/>
          <w:bdr w:val="nil"/>
          <w:lang w:val="en-US" w:eastAsia="ru-RU"/>
        </w:rPr>
        <w:t>Moscow</w:t>
      </w:r>
      <w:r w:rsidRPr="00A11496">
        <w:rPr>
          <w:rFonts w:ascii="Times New Roman" w:eastAsia="Arial Unicode MS" w:hAnsi="Times New Roman" w:cs="Arial Unicode MS"/>
          <w:color w:val="000000"/>
          <w:sz w:val="21"/>
          <w:szCs w:val="21"/>
          <w:u w:color="000000"/>
          <w:bdr w:val="nil"/>
          <w:lang w:eastAsia="ru-RU"/>
        </w:rPr>
        <w:t xml:space="preserve">, 2002. — 24 </w:t>
      </w:r>
      <w:r w:rsidRPr="002965AE">
        <w:rPr>
          <w:rFonts w:ascii="Times New Roman" w:eastAsia="Arial Unicode MS" w:hAnsi="Times New Roman" w:cs="Arial Unicode MS"/>
          <w:color w:val="000000"/>
          <w:sz w:val="21"/>
          <w:szCs w:val="21"/>
          <w:u w:color="000000"/>
          <w:bdr w:val="nil"/>
          <w:lang w:val="en-US" w:eastAsia="ru-RU"/>
        </w:rPr>
        <w:t>p</w:t>
      </w:r>
      <w:r w:rsidRPr="00A11496">
        <w:rPr>
          <w:rFonts w:ascii="Times New Roman" w:eastAsia="Arial Unicode MS" w:hAnsi="Times New Roman" w:cs="Arial Unicode MS"/>
          <w:color w:val="000000"/>
          <w:sz w:val="21"/>
          <w:szCs w:val="21"/>
          <w:u w:color="000000"/>
          <w:bdr w:val="nil"/>
          <w:lang w:eastAsia="ru-RU"/>
        </w:rPr>
        <w:t>.</w:t>
      </w:r>
    </w:p>
    <w:p w14:paraId="0456F16D" w14:textId="77777777" w:rsidR="002965AE" w:rsidRPr="00A11496" w:rsidRDefault="002965AE" w:rsidP="002513A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rPr>
      </w:pPr>
    </w:p>
    <w:p w14:paraId="0540A917" w14:textId="77777777" w:rsidR="00F86618" w:rsidRDefault="00F86618" w:rsidP="002513A8">
      <w:pPr>
        <w:keepNext/>
        <w:keepLines/>
        <w:suppressAutoHyphens/>
        <w:spacing w:after="0" w:line="240" w:lineRule="auto"/>
        <w:jc w:val="both"/>
        <w:rPr>
          <w:rFonts w:ascii="Times New Roman" w:eastAsia="Times New Roman" w:hAnsi="Times New Roman" w:cs="Times New Roman"/>
          <w:b/>
          <w:color w:val="000000"/>
          <w:sz w:val="21"/>
          <w:szCs w:val="21"/>
          <w:lang w:eastAsia="ar-SA"/>
        </w:rPr>
      </w:pPr>
    </w:p>
    <w:p w14:paraId="4F0E5022" w14:textId="77777777" w:rsidR="000635A4" w:rsidRDefault="000635A4" w:rsidP="002513A8">
      <w:pPr>
        <w:keepNext/>
        <w:keepLines/>
        <w:suppressAutoHyphens/>
        <w:spacing w:after="0" w:line="240" w:lineRule="auto"/>
        <w:jc w:val="both"/>
        <w:rPr>
          <w:rFonts w:ascii="Times New Roman" w:eastAsia="Times New Roman" w:hAnsi="Times New Roman" w:cs="Times New Roman"/>
          <w:b/>
          <w:color w:val="000000"/>
          <w:sz w:val="21"/>
          <w:szCs w:val="21"/>
          <w:lang w:eastAsia="ar-SA"/>
        </w:rPr>
      </w:pPr>
    </w:p>
    <w:p w14:paraId="6DD7A336" w14:textId="77777777" w:rsidR="000635A4" w:rsidRDefault="000635A4" w:rsidP="002513A8">
      <w:pPr>
        <w:keepNext/>
        <w:keepLines/>
        <w:suppressAutoHyphens/>
        <w:spacing w:after="0" w:line="240" w:lineRule="auto"/>
        <w:jc w:val="both"/>
        <w:rPr>
          <w:rFonts w:ascii="Times New Roman" w:eastAsia="Times New Roman" w:hAnsi="Times New Roman" w:cs="Times New Roman"/>
          <w:b/>
          <w:color w:val="000000"/>
          <w:sz w:val="21"/>
          <w:szCs w:val="21"/>
          <w:lang w:eastAsia="ar-SA"/>
        </w:rPr>
      </w:pPr>
    </w:p>
    <w:p w14:paraId="20982F0A" w14:textId="77777777" w:rsidR="000635A4" w:rsidRDefault="000635A4" w:rsidP="002513A8">
      <w:pPr>
        <w:keepNext/>
        <w:keepLines/>
        <w:suppressAutoHyphens/>
        <w:spacing w:after="0" w:line="240" w:lineRule="auto"/>
        <w:jc w:val="both"/>
        <w:rPr>
          <w:rFonts w:ascii="Times New Roman" w:eastAsia="Times New Roman" w:hAnsi="Times New Roman" w:cs="Times New Roman"/>
          <w:b/>
          <w:color w:val="000000"/>
          <w:sz w:val="21"/>
          <w:szCs w:val="21"/>
          <w:lang w:eastAsia="ar-SA"/>
        </w:rPr>
      </w:pPr>
    </w:p>
    <w:p w14:paraId="119BE813" w14:textId="77777777" w:rsidR="000635A4" w:rsidRPr="000635A4" w:rsidRDefault="000635A4" w:rsidP="002513A8">
      <w:pPr>
        <w:keepNext/>
        <w:keepLines/>
        <w:suppressAutoHyphens/>
        <w:spacing w:after="0" w:line="240" w:lineRule="auto"/>
        <w:jc w:val="both"/>
        <w:rPr>
          <w:rFonts w:ascii="Times New Roman" w:eastAsia="Times New Roman" w:hAnsi="Times New Roman" w:cs="Times New Roman"/>
          <w:b/>
          <w:color w:val="000000"/>
          <w:sz w:val="21"/>
          <w:szCs w:val="21"/>
          <w:lang w:eastAsia="ar-SA"/>
        </w:rPr>
      </w:pPr>
    </w:p>
    <w:p w14:paraId="359A0422" w14:textId="13C19A14" w:rsidR="00601B4B" w:rsidRPr="000635A4" w:rsidRDefault="00601B4B" w:rsidP="002B6DA7">
      <w:pPr>
        <w:keepNext/>
        <w:keepLines/>
        <w:suppressAutoHyphens/>
        <w:spacing w:after="0" w:line="240" w:lineRule="auto"/>
        <w:jc w:val="both"/>
        <w:rPr>
          <w:rFonts w:ascii="Times New Roman" w:eastAsia="Times New Roman" w:hAnsi="Times New Roman" w:cs="Times New Roman"/>
          <w:b/>
          <w:color w:val="000000"/>
          <w:sz w:val="21"/>
          <w:szCs w:val="21"/>
          <w:lang w:eastAsia="ar-SA"/>
        </w:rPr>
      </w:pPr>
      <w:r w:rsidRPr="00601B4B">
        <w:rPr>
          <w:rFonts w:ascii="Times New Roman" w:eastAsia="Times New Roman" w:hAnsi="Times New Roman" w:cs="Times New Roman"/>
          <w:b/>
          <w:color w:val="000000"/>
          <w:sz w:val="21"/>
          <w:szCs w:val="21"/>
          <w:lang w:eastAsia="ar-SA"/>
        </w:rPr>
        <w:lastRenderedPageBreak/>
        <w:t>УДК</w:t>
      </w:r>
      <w:r w:rsidRPr="000635A4">
        <w:rPr>
          <w:rFonts w:ascii="Times New Roman" w:eastAsia="Times New Roman" w:hAnsi="Times New Roman" w:cs="Times New Roman"/>
          <w:b/>
          <w:color w:val="000000"/>
          <w:sz w:val="21"/>
          <w:szCs w:val="21"/>
          <w:lang w:eastAsia="ar-SA"/>
        </w:rPr>
        <w:t xml:space="preserve"> 811.11-112</w:t>
      </w:r>
    </w:p>
    <w:p w14:paraId="6F97E804" w14:textId="77777777" w:rsidR="000635A4" w:rsidRPr="00877DE5" w:rsidRDefault="000635A4" w:rsidP="002B6DA7">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b/>
          <w:bCs/>
          <w:i/>
          <w:iCs/>
          <w:color w:val="000000"/>
          <w:sz w:val="21"/>
          <w:szCs w:val="21"/>
        </w:rPr>
        <w:t>Юрьева М.М.,</w:t>
      </w:r>
    </w:p>
    <w:p w14:paraId="31ACCB41" w14:textId="77777777" w:rsidR="000635A4" w:rsidRPr="00877DE5" w:rsidRDefault="000635A4" w:rsidP="002B6DA7">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студентка 3 курса</w:t>
      </w:r>
    </w:p>
    <w:p w14:paraId="4CFE425F" w14:textId="77777777" w:rsidR="000635A4" w:rsidRPr="00877DE5" w:rsidRDefault="000635A4" w:rsidP="002B6DA7">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 xml:space="preserve">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51451479" w14:textId="77777777" w:rsidR="000635A4" w:rsidRPr="00877DE5" w:rsidRDefault="000635A4" w:rsidP="002B6DA7">
      <w:pPr>
        <w:keepNext/>
        <w:keepLines/>
        <w:spacing w:after="0" w:line="240" w:lineRule="auto"/>
        <w:ind w:firstLine="709"/>
        <w:jc w:val="right"/>
        <w:rPr>
          <w:rFonts w:ascii="Times New Roman" w:eastAsia="Times New Roman" w:hAnsi="Times New Roman" w:cs="Times New Roman"/>
          <w:color w:val="000000"/>
          <w:sz w:val="21"/>
          <w:szCs w:val="21"/>
        </w:rPr>
      </w:pPr>
      <w:r w:rsidRPr="00877DE5">
        <w:rPr>
          <w:rFonts w:ascii="Times New Roman" w:eastAsia="Times New Roman" w:hAnsi="Times New Roman" w:cs="Times New Roman"/>
          <w:i/>
          <w:iCs/>
          <w:color w:val="000000"/>
          <w:sz w:val="21"/>
          <w:szCs w:val="21"/>
        </w:rPr>
        <w:t>г. Краснодар, Россия</w:t>
      </w:r>
    </w:p>
    <w:p w14:paraId="622F3741" w14:textId="77777777" w:rsidR="000635A4" w:rsidRDefault="000635A4" w:rsidP="002B6DA7">
      <w:pPr>
        <w:keepNext/>
        <w:keepLines/>
        <w:spacing w:after="0" w:line="240" w:lineRule="auto"/>
        <w:jc w:val="right"/>
      </w:pPr>
      <w:r w:rsidRPr="00877DE5">
        <w:rPr>
          <w:rFonts w:ascii="Times New Roman" w:eastAsia="Times New Roman" w:hAnsi="Times New Roman" w:cs="Times New Roman"/>
          <w:i/>
          <w:iCs/>
          <w:color w:val="000000"/>
          <w:sz w:val="21"/>
          <w:szCs w:val="21"/>
        </w:rPr>
        <w:t xml:space="preserve">e-mail: </w:t>
      </w:r>
      <w:hyperlink r:id="rId721">
        <w:r w:rsidRPr="00877DE5">
          <w:rPr>
            <w:rFonts w:ascii="Times New Roman" w:eastAsia="Times New Roman" w:hAnsi="Times New Roman" w:cs="Times New Roman"/>
            <w:i/>
            <w:iCs/>
            <w:color w:val="0563C1"/>
            <w:sz w:val="21"/>
            <w:szCs w:val="21"/>
            <w:u w:val="single"/>
          </w:rPr>
          <w:t>marijajureva@lenta.ru</w:t>
        </w:r>
      </w:hyperlink>
    </w:p>
    <w:p w14:paraId="3431EB42" w14:textId="77777777" w:rsidR="000635A4" w:rsidRDefault="000635A4" w:rsidP="002B6DA7">
      <w:pPr>
        <w:keepNext/>
        <w:keepLines/>
        <w:spacing w:after="0" w:line="240" w:lineRule="auto"/>
        <w:jc w:val="right"/>
      </w:pPr>
    </w:p>
    <w:p w14:paraId="414177BD" w14:textId="77777777" w:rsidR="000635A4" w:rsidRPr="008B45B5" w:rsidRDefault="000635A4" w:rsidP="002B6DA7">
      <w:pPr>
        <w:keepNext/>
        <w:keepLines/>
        <w:spacing w:after="0" w:line="240" w:lineRule="auto"/>
        <w:jc w:val="right"/>
        <w:rPr>
          <w:rFonts w:ascii="Times New Roman" w:eastAsia="Calibri" w:hAnsi="Times New Roman" w:cs="Times New Roman"/>
          <w:b/>
          <w:i/>
          <w:sz w:val="21"/>
          <w:szCs w:val="21"/>
        </w:rPr>
      </w:pPr>
      <w:r w:rsidRPr="008B45B5">
        <w:rPr>
          <w:rFonts w:ascii="Times New Roman" w:eastAsia="Calibri" w:hAnsi="Times New Roman" w:cs="Times New Roman"/>
          <w:b/>
          <w:i/>
          <w:sz w:val="21"/>
          <w:szCs w:val="21"/>
        </w:rPr>
        <w:t>Научный руководитель:</w:t>
      </w:r>
    </w:p>
    <w:p w14:paraId="079B664E" w14:textId="77777777" w:rsidR="000635A4" w:rsidRPr="008B45B5" w:rsidRDefault="000635A4" w:rsidP="002B6DA7">
      <w:pPr>
        <w:keepNext/>
        <w:keepLines/>
        <w:spacing w:after="0" w:line="240" w:lineRule="auto"/>
        <w:jc w:val="right"/>
        <w:rPr>
          <w:rFonts w:ascii="Times New Roman" w:eastAsia="Calibri" w:hAnsi="Times New Roman" w:cs="Times New Roman"/>
          <w:b/>
          <w:i/>
          <w:sz w:val="21"/>
          <w:szCs w:val="21"/>
        </w:rPr>
      </w:pPr>
      <w:r w:rsidRPr="008B45B5">
        <w:rPr>
          <w:rFonts w:ascii="Times New Roman" w:eastAsia="Calibri" w:hAnsi="Times New Roman" w:cs="Times New Roman"/>
          <w:b/>
          <w:i/>
          <w:sz w:val="21"/>
          <w:szCs w:val="21"/>
        </w:rPr>
        <w:t>Комар Я.В.,</w:t>
      </w:r>
    </w:p>
    <w:p w14:paraId="6FB06D3D" w14:textId="77777777" w:rsidR="000635A4" w:rsidRPr="008B45B5" w:rsidRDefault="000635A4" w:rsidP="002B6DA7">
      <w:pPr>
        <w:keepNext/>
        <w:keepLines/>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доцент, к.ист.н.</w:t>
      </w:r>
    </w:p>
    <w:p w14:paraId="5E5BB21F" w14:textId="77777777" w:rsidR="000635A4" w:rsidRPr="0001591D" w:rsidRDefault="000635A4" w:rsidP="002B6DA7">
      <w:pPr>
        <w:keepNext/>
        <w:keepLines/>
        <w:spacing w:after="0" w:line="240" w:lineRule="auto"/>
        <w:contextualSpacing/>
        <w:jc w:val="right"/>
        <w:rPr>
          <w:rFonts w:ascii="Times New Roman" w:eastAsiaTheme="minorHAnsi" w:hAnsi="Times New Roman" w:cs="Times New Roman"/>
          <w:i/>
          <w:sz w:val="21"/>
          <w:szCs w:val="21"/>
        </w:rPr>
      </w:pPr>
      <w:r w:rsidRPr="0001591D">
        <w:rPr>
          <w:rFonts w:ascii="Times New Roman" w:eastAsiaTheme="minorHAnsi" w:hAnsi="Times New Roman" w:cs="Times New Roman"/>
          <w:i/>
          <w:sz w:val="21"/>
          <w:szCs w:val="21"/>
        </w:rPr>
        <w:t>Краснодарский филиал ФГОБУ ВО «Финансовый университет при Правительстве РФ»</w:t>
      </w:r>
    </w:p>
    <w:p w14:paraId="7ECD3DED" w14:textId="77777777" w:rsidR="000635A4" w:rsidRPr="008B45B5" w:rsidRDefault="000635A4" w:rsidP="002B6DA7">
      <w:pPr>
        <w:keepNext/>
        <w:keepLines/>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rPr>
        <w:t>г. Краснодар, Россия</w:t>
      </w:r>
    </w:p>
    <w:p w14:paraId="22CDB82B" w14:textId="77777777" w:rsidR="000635A4" w:rsidRDefault="000635A4" w:rsidP="002B6DA7">
      <w:pPr>
        <w:keepNext/>
        <w:keepLines/>
        <w:spacing w:after="0" w:line="240" w:lineRule="auto"/>
        <w:jc w:val="right"/>
        <w:rPr>
          <w:rFonts w:ascii="Times New Roman" w:eastAsia="Calibri" w:hAnsi="Times New Roman" w:cs="Times New Roman"/>
          <w:i/>
          <w:sz w:val="21"/>
          <w:szCs w:val="21"/>
        </w:rPr>
      </w:pPr>
      <w:r w:rsidRPr="008B45B5">
        <w:rPr>
          <w:rFonts w:ascii="Times New Roman" w:eastAsia="Calibri" w:hAnsi="Times New Roman" w:cs="Times New Roman"/>
          <w:i/>
          <w:sz w:val="21"/>
          <w:szCs w:val="21"/>
          <w:lang w:val="en-US"/>
        </w:rPr>
        <w:t>e</w:t>
      </w:r>
      <w:r w:rsidRPr="008B45B5">
        <w:rPr>
          <w:rFonts w:ascii="Times New Roman" w:eastAsia="Calibri" w:hAnsi="Times New Roman" w:cs="Times New Roman"/>
          <w:i/>
          <w:sz w:val="21"/>
          <w:szCs w:val="21"/>
        </w:rPr>
        <w:t>-</w:t>
      </w:r>
      <w:r w:rsidRPr="008B45B5">
        <w:rPr>
          <w:rFonts w:ascii="Times New Roman" w:eastAsia="Calibri" w:hAnsi="Times New Roman" w:cs="Times New Roman"/>
          <w:i/>
          <w:sz w:val="21"/>
          <w:szCs w:val="21"/>
          <w:lang w:val="en-US"/>
        </w:rPr>
        <w:t>mail</w:t>
      </w:r>
      <w:r w:rsidRPr="008B45B5">
        <w:rPr>
          <w:rFonts w:ascii="Times New Roman" w:eastAsia="Calibri" w:hAnsi="Times New Roman" w:cs="Times New Roman"/>
          <w:i/>
          <w:sz w:val="21"/>
          <w:szCs w:val="21"/>
        </w:rPr>
        <w:t xml:space="preserve">: </w:t>
      </w:r>
      <w:hyperlink r:id="rId722" w:history="1">
        <w:r w:rsidRPr="008B45B5">
          <w:rPr>
            <w:rFonts w:ascii="Times New Roman" w:eastAsia="Calibri" w:hAnsi="Times New Roman" w:cs="Times New Roman"/>
            <w:i/>
            <w:color w:val="0563C1"/>
            <w:sz w:val="21"/>
            <w:szCs w:val="21"/>
            <w:u w:val="single"/>
            <w:lang w:val="en-US"/>
          </w:rPr>
          <w:t>YVKomar</w:t>
        </w:r>
        <w:r w:rsidRPr="008B45B5">
          <w:rPr>
            <w:rFonts w:ascii="Times New Roman" w:eastAsia="Calibri" w:hAnsi="Times New Roman" w:cs="Times New Roman"/>
            <w:i/>
            <w:color w:val="0563C1"/>
            <w:sz w:val="21"/>
            <w:szCs w:val="21"/>
            <w:u w:val="single"/>
          </w:rPr>
          <w:t>@</w:t>
        </w:r>
        <w:r w:rsidRPr="008B45B5">
          <w:rPr>
            <w:rFonts w:ascii="Times New Roman" w:eastAsia="Calibri" w:hAnsi="Times New Roman" w:cs="Times New Roman"/>
            <w:i/>
            <w:color w:val="0563C1"/>
            <w:sz w:val="21"/>
            <w:szCs w:val="21"/>
            <w:u w:val="single"/>
            <w:lang w:val="en-US"/>
          </w:rPr>
          <w:t>fa</w:t>
        </w:r>
        <w:r w:rsidRPr="008B45B5">
          <w:rPr>
            <w:rFonts w:ascii="Times New Roman" w:eastAsia="Calibri" w:hAnsi="Times New Roman" w:cs="Times New Roman"/>
            <w:i/>
            <w:color w:val="0563C1"/>
            <w:sz w:val="21"/>
            <w:szCs w:val="21"/>
            <w:u w:val="single"/>
          </w:rPr>
          <w:t>.</w:t>
        </w:r>
        <w:r w:rsidRPr="008B45B5">
          <w:rPr>
            <w:rFonts w:ascii="Times New Roman" w:eastAsia="Calibri" w:hAnsi="Times New Roman" w:cs="Times New Roman"/>
            <w:i/>
            <w:color w:val="0563C1"/>
            <w:sz w:val="21"/>
            <w:szCs w:val="21"/>
            <w:u w:val="single"/>
            <w:lang w:val="en-US"/>
          </w:rPr>
          <w:t>ru</w:t>
        </w:r>
      </w:hyperlink>
      <w:r w:rsidRPr="008B45B5">
        <w:rPr>
          <w:rFonts w:ascii="Times New Roman" w:eastAsia="Calibri" w:hAnsi="Times New Roman" w:cs="Times New Roman"/>
          <w:i/>
          <w:sz w:val="21"/>
          <w:szCs w:val="21"/>
        </w:rPr>
        <w:t xml:space="preserve"> </w:t>
      </w:r>
    </w:p>
    <w:p w14:paraId="78E340FF" w14:textId="77777777" w:rsidR="000635A4" w:rsidRDefault="000635A4" w:rsidP="002B6DA7">
      <w:pPr>
        <w:keepNext/>
        <w:keepLines/>
        <w:spacing w:after="0" w:line="240" w:lineRule="auto"/>
        <w:jc w:val="right"/>
      </w:pPr>
    </w:p>
    <w:p w14:paraId="709D5388" w14:textId="6EF4AD0B" w:rsidR="00601B4B" w:rsidRPr="00601B4B" w:rsidRDefault="00601B4B" w:rsidP="002B6DA7">
      <w:pPr>
        <w:keepNext/>
        <w:keepLines/>
        <w:spacing w:after="0" w:line="240" w:lineRule="auto"/>
        <w:jc w:val="right"/>
        <w:rPr>
          <w:rFonts w:ascii="Calibri" w:eastAsia="Calibri" w:hAnsi="Calibri" w:cs="Arial"/>
          <w:lang w:val="en-US"/>
        </w:rPr>
      </w:pPr>
      <w:r w:rsidRPr="00601B4B">
        <w:rPr>
          <w:rFonts w:ascii="Times New Roman" w:eastAsia="Times New Roman" w:hAnsi="Times New Roman" w:cs="Times New Roman"/>
          <w:b/>
          <w:bCs/>
          <w:i/>
          <w:iCs/>
          <w:color w:val="000000"/>
          <w:sz w:val="21"/>
          <w:szCs w:val="21"/>
          <w:lang w:val="en-GB"/>
        </w:rPr>
        <w:t>Yuryeva M.M.,</w:t>
      </w:r>
    </w:p>
    <w:p w14:paraId="5E9A77AC" w14:textId="77777777" w:rsidR="00601B4B" w:rsidRPr="00601B4B" w:rsidRDefault="00601B4B" w:rsidP="002B6DA7">
      <w:pPr>
        <w:keepNext/>
        <w:keepLines/>
        <w:spacing w:after="0" w:line="240" w:lineRule="auto"/>
        <w:jc w:val="right"/>
        <w:rPr>
          <w:rFonts w:ascii="Times New Roman" w:eastAsia="Times New Roman" w:hAnsi="Times New Roman" w:cs="Times New Roman"/>
          <w:i/>
          <w:iCs/>
          <w:color w:val="000000"/>
          <w:sz w:val="21"/>
          <w:szCs w:val="21"/>
          <w:lang w:val="en-GB"/>
        </w:rPr>
      </w:pPr>
      <w:r w:rsidRPr="00601B4B">
        <w:rPr>
          <w:rFonts w:ascii="Times New Roman" w:eastAsia="Times New Roman" w:hAnsi="Times New Roman" w:cs="Times New Roman"/>
          <w:i/>
          <w:iCs/>
          <w:color w:val="000000"/>
          <w:sz w:val="21"/>
          <w:szCs w:val="21"/>
          <w:lang w:val="en-GB"/>
        </w:rPr>
        <w:t xml:space="preserve">student, </w:t>
      </w:r>
      <w:r w:rsidRPr="00601B4B">
        <w:rPr>
          <w:rFonts w:ascii="Times New Roman" w:eastAsia="Times New Roman" w:hAnsi="Times New Roman" w:cs="Times New Roman"/>
          <w:i/>
          <w:iCs/>
          <w:color w:val="000000"/>
          <w:sz w:val="21"/>
          <w:szCs w:val="21"/>
          <w:lang w:val="en-US"/>
        </w:rPr>
        <w:t>3</w:t>
      </w:r>
      <w:r w:rsidRPr="00601B4B">
        <w:rPr>
          <w:rFonts w:ascii="Times New Roman" w:eastAsia="Times New Roman" w:hAnsi="Times New Roman" w:cs="Times New Roman"/>
          <w:i/>
          <w:iCs/>
          <w:color w:val="000000"/>
          <w:sz w:val="21"/>
          <w:szCs w:val="21"/>
          <w:lang w:val="en-GB"/>
        </w:rPr>
        <w:t xml:space="preserve"> courses</w:t>
      </w:r>
    </w:p>
    <w:p w14:paraId="66EDF7A5" w14:textId="77777777" w:rsidR="00601B4B" w:rsidRPr="00601B4B" w:rsidRDefault="00601B4B" w:rsidP="002B6DA7">
      <w:pPr>
        <w:keepNext/>
        <w:keepLines/>
        <w:spacing w:after="0" w:line="240"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Financial University under the Government of the Russian Federation</w:t>
      </w:r>
    </w:p>
    <w:p w14:paraId="52425FF0" w14:textId="77777777" w:rsidR="00601B4B" w:rsidRPr="00601B4B" w:rsidRDefault="00601B4B" w:rsidP="002B6DA7">
      <w:pPr>
        <w:keepNext/>
        <w:keepLines/>
        <w:spacing w:after="0" w:line="240"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Krasnodar, Russia</w:t>
      </w:r>
    </w:p>
    <w:p w14:paraId="576762B6" w14:textId="77777777" w:rsidR="00601B4B" w:rsidRPr="00601B4B" w:rsidRDefault="00601B4B" w:rsidP="002B6DA7">
      <w:pPr>
        <w:keepNext/>
        <w:keepLines/>
        <w:spacing w:after="0" w:line="240"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 xml:space="preserve">e-mail: </w:t>
      </w:r>
      <w:hyperlink r:id="rId723">
        <w:r w:rsidRPr="00601B4B">
          <w:rPr>
            <w:rFonts w:ascii="Times New Roman" w:eastAsia="Times New Roman" w:hAnsi="Times New Roman" w:cs="Times New Roman"/>
            <w:i/>
            <w:iCs/>
            <w:color w:val="0563C1"/>
            <w:sz w:val="21"/>
            <w:szCs w:val="21"/>
            <w:u w:val="single"/>
            <w:lang w:val="en-GB"/>
          </w:rPr>
          <w:t>marijajureva@lenta.ru</w:t>
        </w:r>
      </w:hyperlink>
    </w:p>
    <w:p w14:paraId="3442C8DE" w14:textId="77777777" w:rsidR="00601B4B" w:rsidRPr="00601B4B" w:rsidRDefault="00601B4B" w:rsidP="002B6DA7">
      <w:pPr>
        <w:keepNext/>
        <w:keepLines/>
        <w:spacing w:after="0" w:line="257" w:lineRule="auto"/>
        <w:jc w:val="right"/>
        <w:rPr>
          <w:rFonts w:ascii="Times New Roman" w:eastAsia="Times New Roman" w:hAnsi="Times New Roman" w:cs="Times New Roman"/>
          <w:b/>
          <w:bCs/>
          <w:i/>
          <w:iCs/>
          <w:color w:val="000000"/>
          <w:sz w:val="21"/>
          <w:szCs w:val="21"/>
          <w:lang w:val="en-US"/>
        </w:rPr>
      </w:pPr>
    </w:p>
    <w:p w14:paraId="0120C3F2" w14:textId="77777777" w:rsidR="00601B4B" w:rsidRPr="00601B4B" w:rsidRDefault="00601B4B" w:rsidP="002B6DA7">
      <w:pPr>
        <w:keepNext/>
        <w:keepLines/>
        <w:spacing w:after="0" w:line="257" w:lineRule="auto"/>
        <w:jc w:val="right"/>
        <w:rPr>
          <w:rFonts w:ascii="Calibri" w:eastAsia="Calibri" w:hAnsi="Calibri" w:cs="Arial"/>
          <w:lang w:val="en-US"/>
        </w:rPr>
      </w:pPr>
      <w:r w:rsidRPr="00601B4B">
        <w:rPr>
          <w:rFonts w:ascii="Times New Roman" w:eastAsia="Times New Roman" w:hAnsi="Times New Roman" w:cs="Times New Roman"/>
          <w:b/>
          <w:bCs/>
          <w:i/>
          <w:iCs/>
          <w:color w:val="000000"/>
          <w:sz w:val="21"/>
          <w:szCs w:val="21"/>
          <w:lang w:val="en-GB"/>
        </w:rPr>
        <w:t>Scientific Adviser:</w:t>
      </w:r>
    </w:p>
    <w:p w14:paraId="6109BF7A" w14:textId="09AA6443" w:rsidR="00601B4B" w:rsidRPr="00A11496" w:rsidRDefault="00601B4B" w:rsidP="002B6DA7">
      <w:pPr>
        <w:keepNext/>
        <w:keepLines/>
        <w:spacing w:after="0" w:line="257" w:lineRule="auto"/>
        <w:jc w:val="right"/>
        <w:rPr>
          <w:rFonts w:ascii="Times New Roman" w:eastAsia="Times New Roman" w:hAnsi="Times New Roman" w:cs="Times New Roman"/>
          <w:b/>
          <w:bCs/>
          <w:i/>
          <w:iCs/>
          <w:color w:val="000000"/>
          <w:sz w:val="21"/>
          <w:szCs w:val="21"/>
          <w:lang w:val="en-US"/>
        </w:rPr>
      </w:pPr>
      <w:r w:rsidRPr="00601B4B">
        <w:rPr>
          <w:rFonts w:ascii="Times New Roman" w:eastAsia="Times New Roman" w:hAnsi="Times New Roman" w:cs="Times New Roman"/>
          <w:b/>
          <w:bCs/>
          <w:i/>
          <w:iCs/>
          <w:color w:val="000000"/>
          <w:sz w:val="21"/>
          <w:szCs w:val="21"/>
          <w:lang w:val="en-GB"/>
        </w:rPr>
        <w:t>Komar Y.V.</w:t>
      </w:r>
      <w:r w:rsidR="002B6DA7" w:rsidRPr="00A11496">
        <w:rPr>
          <w:rFonts w:ascii="Times New Roman" w:eastAsia="Times New Roman" w:hAnsi="Times New Roman" w:cs="Times New Roman"/>
          <w:b/>
          <w:bCs/>
          <w:i/>
          <w:iCs/>
          <w:color w:val="000000"/>
          <w:sz w:val="21"/>
          <w:szCs w:val="21"/>
          <w:lang w:val="en-US"/>
        </w:rPr>
        <w:t>,</w:t>
      </w:r>
    </w:p>
    <w:p w14:paraId="4E039DBD" w14:textId="77777777" w:rsidR="00601B4B" w:rsidRPr="00601B4B" w:rsidRDefault="00601B4B" w:rsidP="002B6DA7">
      <w:pPr>
        <w:keepNext/>
        <w:keepLines/>
        <w:spacing w:after="0" w:line="257"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candidate of historical sciences, Docent</w:t>
      </w:r>
    </w:p>
    <w:p w14:paraId="7BC7289C" w14:textId="77777777" w:rsidR="00601B4B" w:rsidRPr="00601B4B" w:rsidRDefault="00601B4B" w:rsidP="002B6DA7">
      <w:pPr>
        <w:keepNext/>
        <w:keepLines/>
        <w:spacing w:after="0" w:line="257"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Financial University under the Government of the Russian Federation</w:t>
      </w:r>
    </w:p>
    <w:p w14:paraId="226DD76B" w14:textId="77777777" w:rsidR="00601B4B" w:rsidRPr="00601B4B" w:rsidRDefault="00601B4B" w:rsidP="002B6DA7">
      <w:pPr>
        <w:keepNext/>
        <w:keepLines/>
        <w:spacing w:after="0" w:line="257"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Krasnodar, Russia</w:t>
      </w:r>
    </w:p>
    <w:p w14:paraId="6AEDE954" w14:textId="77777777" w:rsidR="00601B4B" w:rsidRPr="00601B4B" w:rsidRDefault="00601B4B" w:rsidP="002B6DA7">
      <w:pPr>
        <w:keepNext/>
        <w:keepLines/>
        <w:spacing w:after="0" w:line="257" w:lineRule="auto"/>
        <w:jc w:val="right"/>
        <w:rPr>
          <w:rFonts w:ascii="Calibri" w:eastAsia="Calibri" w:hAnsi="Calibri" w:cs="Arial"/>
          <w:lang w:val="en-US"/>
        </w:rPr>
      </w:pPr>
      <w:r w:rsidRPr="00601B4B">
        <w:rPr>
          <w:rFonts w:ascii="Times New Roman" w:eastAsia="Times New Roman" w:hAnsi="Times New Roman" w:cs="Times New Roman"/>
          <w:i/>
          <w:iCs/>
          <w:color w:val="000000"/>
          <w:sz w:val="21"/>
          <w:szCs w:val="21"/>
          <w:lang w:val="en-GB"/>
        </w:rPr>
        <w:t xml:space="preserve">e-mail: </w:t>
      </w:r>
      <w:hyperlink r:id="rId724">
        <w:r w:rsidRPr="00601B4B">
          <w:rPr>
            <w:rFonts w:ascii="Times New Roman" w:eastAsia="Times New Roman" w:hAnsi="Times New Roman" w:cs="Times New Roman"/>
            <w:i/>
            <w:iCs/>
            <w:color w:val="0563C1"/>
            <w:sz w:val="21"/>
            <w:szCs w:val="21"/>
            <w:u w:val="single"/>
            <w:lang w:val="en-GB"/>
          </w:rPr>
          <w:t>yvkomar@fa.ru</w:t>
        </w:r>
      </w:hyperlink>
    </w:p>
    <w:p w14:paraId="441D23F7" w14:textId="77777777" w:rsidR="00601B4B" w:rsidRPr="00601B4B" w:rsidRDefault="00601B4B" w:rsidP="002B6DA7">
      <w:pPr>
        <w:keepNext/>
        <w:keepLines/>
        <w:spacing w:after="0" w:line="240" w:lineRule="auto"/>
        <w:ind w:firstLine="567"/>
        <w:jc w:val="right"/>
        <w:rPr>
          <w:rFonts w:ascii="Times New Roman" w:eastAsia="Times New Roman" w:hAnsi="Times New Roman" w:cs="Times New Roman"/>
          <w:i/>
          <w:sz w:val="21"/>
          <w:szCs w:val="21"/>
          <w:lang w:val="en-US"/>
        </w:rPr>
      </w:pPr>
    </w:p>
    <w:p w14:paraId="2CF99CAA" w14:textId="6BA66550" w:rsidR="00601B4B" w:rsidRPr="00601B4B" w:rsidRDefault="00601B4B" w:rsidP="002B6DA7">
      <w:pPr>
        <w:keepNext/>
        <w:keepLines/>
        <w:suppressAutoHyphens/>
        <w:spacing w:after="0" w:line="240" w:lineRule="auto"/>
        <w:ind w:firstLine="567"/>
        <w:jc w:val="center"/>
        <w:rPr>
          <w:rFonts w:ascii="Times New Roman" w:eastAsia="Times New Roman" w:hAnsi="Times New Roman" w:cs="Times New Roman"/>
          <w:b/>
          <w:sz w:val="21"/>
          <w:szCs w:val="21"/>
          <w:lang w:val="en-US"/>
        </w:rPr>
      </w:pPr>
      <w:r w:rsidRPr="00601B4B">
        <w:rPr>
          <w:rFonts w:ascii="Times New Roman" w:eastAsia="Times New Roman" w:hAnsi="Times New Roman" w:cs="Times New Roman"/>
          <w:b/>
          <w:sz w:val="21"/>
          <w:szCs w:val="21"/>
          <w:lang w:val="en-US"/>
        </w:rPr>
        <w:t>From rhetoric to memes: how politicians' speeches go viral</w:t>
      </w:r>
      <w:r w:rsidR="00F86618" w:rsidRPr="00F86618">
        <w:rPr>
          <w:rFonts w:ascii="Times New Roman" w:eastAsia="Times New Roman" w:hAnsi="Times New Roman" w:cs="Times New Roman"/>
          <w:b/>
          <w:sz w:val="21"/>
          <w:szCs w:val="21"/>
          <w:lang w:val="en-US"/>
        </w:rPr>
        <w:t>?</w:t>
      </w:r>
    </w:p>
    <w:p w14:paraId="7EFBE8BD" w14:textId="77777777" w:rsidR="00601B4B" w:rsidRPr="00601B4B" w:rsidRDefault="00601B4B" w:rsidP="002B6DA7">
      <w:pPr>
        <w:keepNext/>
        <w:keepLines/>
        <w:suppressAutoHyphens/>
        <w:spacing w:after="0" w:line="240" w:lineRule="auto"/>
        <w:ind w:firstLine="567"/>
        <w:jc w:val="both"/>
        <w:rPr>
          <w:rFonts w:ascii="Times New Roman" w:eastAsia="Times New Roman" w:hAnsi="Times New Roman" w:cs="Times New Roman"/>
          <w:b/>
          <w:bCs/>
          <w:sz w:val="21"/>
          <w:szCs w:val="21"/>
          <w:shd w:val="clear" w:color="auto" w:fill="FFFFFF"/>
          <w:lang w:val="en-US" w:eastAsia="ar-SA"/>
        </w:rPr>
      </w:pPr>
    </w:p>
    <w:p w14:paraId="211CA9B3" w14:textId="77777777" w:rsidR="00601B4B" w:rsidRPr="00601B4B" w:rsidRDefault="00601B4B" w:rsidP="002B6DA7">
      <w:pPr>
        <w:keepNext/>
        <w:keepLines/>
        <w:spacing w:after="0" w:line="240" w:lineRule="auto"/>
        <w:ind w:firstLine="709"/>
        <w:jc w:val="both"/>
        <w:rPr>
          <w:rFonts w:ascii="Times New Roman" w:eastAsia="DengXian" w:hAnsi="Times New Roman" w:cs="Arial"/>
          <w:kern w:val="2"/>
          <w:sz w:val="28"/>
          <w:szCs w:val="28"/>
          <w:lang w:val="en-US" w:eastAsia="zh-CN"/>
          <w14:ligatures w14:val="standardContextual"/>
        </w:rPr>
      </w:pPr>
      <w:r w:rsidRPr="00601B4B">
        <w:rPr>
          <w:rFonts w:ascii="Times New Roman" w:eastAsia="Times New Roman" w:hAnsi="Times New Roman" w:cs="Times New Roman"/>
          <w:b/>
          <w:bCs/>
          <w:sz w:val="21"/>
          <w:szCs w:val="21"/>
          <w:shd w:val="clear" w:color="auto" w:fill="FFFFFF"/>
          <w:lang w:val="x-none" w:eastAsia="ar-SA"/>
        </w:rPr>
        <w:t>Abstract</w:t>
      </w:r>
      <w:r w:rsidRPr="00601B4B">
        <w:rPr>
          <w:rFonts w:ascii="Times New Roman" w:eastAsia="Times New Roman" w:hAnsi="Times New Roman" w:cs="Times New Roman"/>
          <w:b/>
          <w:bCs/>
          <w:sz w:val="21"/>
          <w:szCs w:val="21"/>
          <w:shd w:val="clear" w:color="auto" w:fill="FFFFFF"/>
          <w:lang w:val="en-US" w:eastAsia="ar-SA"/>
        </w:rPr>
        <w:t xml:space="preserve">: </w:t>
      </w:r>
      <w:r w:rsidRPr="00601B4B">
        <w:rPr>
          <w:rFonts w:ascii="Times New Roman" w:eastAsia="Times New Roman" w:hAnsi="Times New Roman" w:cs="Times New Roman"/>
          <w:sz w:val="21"/>
          <w:szCs w:val="21"/>
          <w:shd w:val="clear" w:color="auto" w:fill="FFFFFF"/>
          <w:lang w:val="en-US" w:eastAsia="ar-SA"/>
        </w:rPr>
        <w:t>Politicians often become memes because of funny mistakes, reservations and unexpected reactions. Thanks to social networks, such moments are spread instantly, finding new life in the form of jokes and popular images. Viral content attracts the attention of millions, consolidating in mass consciousness and forming public opinion.</w:t>
      </w:r>
    </w:p>
    <w:p w14:paraId="63A7086C" w14:textId="77777777" w:rsidR="00601B4B" w:rsidRPr="00601B4B" w:rsidRDefault="00601B4B" w:rsidP="002B6DA7">
      <w:pPr>
        <w:keepNext/>
        <w:keepLines/>
        <w:suppressAutoHyphens/>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ar-SA"/>
        </w:rPr>
      </w:pPr>
      <w:r w:rsidRPr="00601B4B">
        <w:rPr>
          <w:rFonts w:ascii="Times New Roman" w:eastAsia="Times New Roman" w:hAnsi="Times New Roman" w:cs="Times New Roman"/>
          <w:b/>
          <w:bCs/>
          <w:color w:val="000000"/>
          <w:sz w:val="21"/>
          <w:szCs w:val="21"/>
          <w:shd w:val="clear" w:color="auto" w:fill="FFFFFF"/>
          <w:lang w:val="x-none" w:eastAsia="ar-SA"/>
        </w:rPr>
        <w:t>Keywords</w:t>
      </w:r>
      <w:r w:rsidRPr="00601B4B">
        <w:rPr>
          <w:rFonts w:ascii="Times New Roman" w:eastAsia="Times New Roman" w:hAnsi="Times New Roman" w:cs="Times New Roman"/>
          <w:b/>
          <w:bCs/>
          <w:color w:val="000000"/>
          <w:sz w:val="21"/>
          <w:szCs w:val="21"/>
          <w:shd w:val="clear" w:color="auto" w:fill="FFFFFF"/>
          <w:lang w:val="en-US" w:eastAsia="ar-SA"/>
        </w:rPr>
        <w:t>:</w:t>
      </w:r>
      <w:r w:rsidRPr="00601B4B">
        <w:rPr>
          <w:rFonts w:ascii="Times New Roman" w:eastAsia="Times New Roman" w:hAnsi="Times New Roman" w:cs="Times New Roman"/>
          <w:bCs/>
          <w:color w:val="000000"/>
          <w:sz w:val="21"/>
          <w:szCs w:val="21"/>
          <w:shd w:val="clear" w:color="auto" w:fill="FFFFFF"/>
          <w:lang w:val="en-US" w:eastAsia="ar-SA"/>
        </w:rPr>
        <w:t xml:space="preserve"> mistakes, political image, politician, reputation, speech.</w:t>
      </w:r>
    </w:p>
    <w:p w14:paraId="19FB139E" w14:textId="77777777" w:rsidR="00601B4B" w:rsidRPr="00601B4B" w:rsidRDefault="00601B4B" w:rsidP="002B6DA7">
      <w:pPr>
        <w:keepNext/>
        <w:keepLines/>
        <w:suppressAutoHyphens/>
        <w:spacing w:after="0" w:line="240" w:lineRule="auto"/>
        <w:ind w:firstLine="709"/>
        <w:jc w:val="both"/>
        <w:rPr>
          <w:rFonts w:ascii="Times New Roman" w:eastAsia="Times New Roman" w:hAnsi="Times New Roman" w:cs="Times New Roman"/>
          <w:bCs/>
          <w:color w:val="000000"/>
          <w:sz w:val="21"/>
          <w:szCs w:val="21"/>
          <w:shd w:val="clear" w:color="auto" w:fill="FFFFFF"/>
          <w:lang w:val="en-US" w:eastAsia="ar-SA"/>
        </w:rPr>
      </w:pPr>
    </w:p>
    <w:p w14:paraId="502C5BF4"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In the modern world, the concept of «political image» is an important aspect of a successful career as a politician. This term is not new. It was familiar from the Middle Ages. Thus, for example, even in Niccolò Machiavelli's work, "The Prince," the author points out the importance of maintaining an image in the eyes of others to achieve goals in politics [3, p. 1299]. At present, there is no single approach to defining “political image.” Each researcher highlights what they consider to be the main components when interpreting it. However, by summarizing many definitions, one can say that a “political image” is a set of factors influencing the formation of a political figure’s established image in public consciousness. In other words, it is an emotionally colored stereotype of a particular leader. An image can be formed both deliberately and spontaneously. It should be noted that communication of the leader (public speeches) posts on social networks. So, it is one of the key components of his or her image.</w:t>
      </w:r>
    </w:p>
    <w:p w14:paraId="50D08B63"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lastRenderedPageBreak/>
        <w:t>It is no secret that a politician's image takes more than just one day to build, but it can be seriously undermined by a single unfortunate phrase or mistake during oral speech. Despite the fact that every state leader's speech is carefully prepared and strictly regulated beforehand, nobody is free from mistakes.</w:t>
      </w:r>
    </w:p>
    <w:p w14:paraId="6B803672"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In this article, we will analyze the speeches of some American leaders, specifically Donald Trump and his longstanding opponent Joe Biden. We will also provide examples of their errors that quickly became known worldwide through the Internet.</w:t>
      </w:r>
    </w:p>
    <w:p w14:paraId="30B59951"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Donald Trump is an American political figure, entrepreneur, and billionaire. President Trump won his second re-election campaign against Vice President Kamala Harris in November 2024, making him the only president aside from Grover Cleveland to be elected to serve two non-consecutive terms. President Trump began his second term in the White House on January 20, 2025 [5]. </w:t>
      </w:r>
    </w:p>
    <w:p w14:paraId="41C79377"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Donald Trump is known for his bold behavior style. Shocking statements have fueled interest in his personality from the very beginning of his political career. His public speaking style is characterized by emotionalism. This effect is achieved not only through oratory skills, but also through such techniques as repetitions, lists, metaphors, rhetorical questions, idioms, etc. It should also be noted that he often refers to past events in his speeches, giving examples from world history and American history. According to him, the foundation of future prosperity of the country lies in reviving former well-being and national greatness [2, p. 254-256].</w:t>
      </w:r>
    </w:p>
    <w:p w14:paraId="20710A4F"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As an example, we can quote a phrase from his inaugural speech in 2017: “We will make America great again. We will bring back our jobs. We will bring back our wealth”. As an example, let us quote fragments from his inauguration speech in 2025. Donald Trump said: “The golden age of America begins right now”; “Our sovereignty will be reclaimed. Our safety will be restored. The scales of justice will be rebalanced”.</w:t>
      </w:r>
    </w:p>
    <w:p w14:paraId="2BA53684"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Due to the aspects described above, a positive political image of this leader is formed among the population of America, which convinces them of the necessity to </w:t>
      </w:r>
      <w:proofErr w:type="gramStart"/>
      <w:r w:rsidRPr="00601B4B">
        <w:rPr>
          <w:rFonts w:ascii="Times New Roman" w:eastAsia="DengXian" w:hAnsi="Times New Roman" w:cs="Times New Roman"/>
          <w:kern w:val="2"/>
          <w:sz w:val="32"/>
          <w:szCs w:val="32"/>
          <w:lang w:val="en-US" w:eastAsia="zh-CN"/>
          <w14:ligatures w14:val="standardContextual"/>
        </w:rPr>
        <w:t>make a decision</w:t>
      </w:r>
      <w:proofErr w:type="gramEnd"/>
      <w:r w:rsidRPr="00601B4B">
        <w:rPr>
          <w:rFonts w:ascii="Times New Roman" w:eastAsia="DengXian" w:hAnsi="Times New Roman" w:cs="Times New Roman"/>
          <w:kern w:val="2"/>
          <w:sz w:val="32"/>
          <w:szCs w:val="32"/>
          <w:lang w:val="en-US" w:eastAsia="zh-CN"/>
          <w14:ligatures w14:val="standardContextual"/>
        </w:rPr>
        <w:t xml:space="preserve"> in favor of Donald Trump.</w:t>
      </w:r>
    </w:p>
    <w:p w14:paraId="0B72E9CB" w14:textId="77777777" w:rsidR="00CD41C1" w:rsidRPr="00A11496"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lastRenderedPageBreak/>
        <w:t>After analyzing the main features of Donald Trump's public speeches, let us proceed to examine another well-known American politician - Joe Biden. President Biden represented Delaware for 36 years in the U.S. Senate before becoming the 47</w:t>
      </w:r>
      <w:r w:rsidRPr="00601B4B">
        <w:rPr>
          <w:rFonts w:ascii="Times New Roman" w:eastAsia="DengXian" w:hAnsi="Times New Roman" w:cs="Times New Roman"/>
          <w:kern w:val="2"/>
          <w:sz w:val="32"/>
          <w:szCs w:val="32"/>
          <w:vertAlign w:val="superscript"/>
          <w:lang w:val="en-US" w:eastAsia="zh-CN"/>
          <w14:ligatures w14:val="standardContextual"/>
        </w:rPr>
        <w:t>th</w:t>
      </w:r>
      <w:r w:rsidRPr="00601B4B">
        <w:rPr>
          <w:rFonts w:ascii="Times New Roman" w:eastAsia="DengXian" w:hAnsi="Times New Roman" w:cs="Times New Roman"/>
          <w:kern w:val="2"/>
          <w:sz w:val="32"/>
          <w:szCs w:val="32"/>
          <w:lang w:val="en-US" w:eastAsia="zh-CN"/>
          <w14:ligatures w14:val="standardContextual"/>
        </w:rPr>
        <w:t xml:space="preserve"> Vice President of the United States [4]. </w:t>
      </w:r>
    </w:p>
    <w:p w14:paraId="54A98A1E" w14:textId="1598369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Joe Biden is primarily known as a rather elderly yet experienced politician and expert, a charismatic speaker who is able to elicit a response from ordinary people. He is also famous for his efforts to deal with global issues. He is an exemplary family man who has experienced terrible personal tragedies. Topics such as patriotism, American values, love for family and faith are central themes in his speeches [1, p. 745]. As an example, we will take a quote from his inaugural speech in 2020: "We come together as one nation under God indivisible to carry out the peaceful transfer of power as we have for more than two centuries."</w:t>
      </w:r>
    </w:p>
    <w:p w14:paraId="07247C8A"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Continuing the analysis of the speech, it can be said that Joe Biden was more restrained during inauguration speech compared to his opponent, Donald Trump. Despite the fact that he usually expresses his position more emotionally. Joe Biden uses simple language to make his speech more accessible to all segments of America's population. However, there are similarities with his rival. Like Donald Trump, Joe Biden addresses topics such as unity, social justice, etc., to make his speech more memorable. He uses techniques like repetition, epithets, and metaphors. For instance, "Much to repair, much to restore, much to heal, much to build and much to gain."</w:t>
      </w:r>
    </w:p>
    <w:p w14:paraId="1DCA733B"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It is important to understand that creating a positive image requires constant control over all components of one's image, as any mistake or inaccuracy can lead to reputational damage. After highlighting the key distinctive features of politicians' public speeches, we can move on to analyzing the mistakes each of them made. </w:t>
      </w:r>
    </w:p>
    <w:p w14:paraId="7AB361A4"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There are some examples of Joe Biden's mistakes.</w:t>
      </w:r>
    </w:p>
    <w:p w14:paraId="4EB5CE28"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Joe Biden is known for his verbal gaffes and speech errors, which sometimes become subjects of jokes and criticism. Listing each of them individually would be quite challenging, so they were grouped into several categories.</w:t>
      </w:r>
    </w:p>
    <w:p w14:paraId="2FB2BEDB" w14:textId="77777777" w:rsidR="00601B4B" w:rsidRPr="00601B4B" w:rsidRDefault="00601B4B" w:rsidP="00AD58CD">
      <w:pPr>
        <w:keepNext/>
        <w:keepLines/>
        <w:numPr>
          <w:ilvl w:val="0"/>
          <w:numId w:val="203"/>
        </w:numPr>
        <w:spacing w:after="0"/>
        <w:contextualSpacing/>
        <w:jc w:val="both"/>
        <w:rPr>
          <w:rFonts w:ascii="Times New Roman" w:eastAsia="DengXian" w:hAnsi="Times New Roman" w:cs="Times New Roman"/>
          <w:kern w:val="2"/>
          <w:sz w:val="32"/>
          <w:szCs w:val="32"/>
          <w:lang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Reservations and mistakes. </w:t>
      </w:r>
    </w:p>
    <w:p w14:paraId="7750A7BB" w14:textId="77777777" w:rsidR="00601B4B" w:rsidRPr="00601B4B" w:rsidRDefault="00601B4B" w:rsidP="002B6DA7">
      <w:pPr>
        <w:keepNext/>
        <w:keepLines/>
        <w:spacing w:after="0"/>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lastRenderedPageBreak/>
        <w:t>One of the common forms of errors - reservations and accidental word changes. For example, instead of the correct name of a city or a name of a known person, he may forget their names. So, Joe Biden during the presentation of Ukrainian President Vladimir Zelensky at the NATO summit mistakenly called him Vladimir Putin, Russian President, who is his opponent. Joe Biden said: «And now I want to hand it over to the president of Ukraine who has as much courage as he has determination. Ladies and gentlemen President Vladimir Putin».</w:t>
      </w:r>
    </w:p>
    <w:p w14:paraId="6C3F9868" w14:textId="77777777" w:rsidR="00601B4B" w:rsidRPr="00601B4B" w:rsidRDefault="00601B4B" w:rsidP="00AD58CD">
      <w:pPr>
        <w:keepNext/>
        <w:keepLines/>
        <w:numPr>
          <w:ilvl w:val="0"/>
          <w:numId w:val="203"/>
        </w:numPr>
        <w:spacing w:after="0"/>
        <w:contextualSpacing/>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Sentence Structure Violation. </w:t>
      </w:r>
    </w:p>
    <w:p w14:paraId="5EC6C823"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Often, Joe Biden starts a sentence but loses the thread of narration, pausing or switching to another topic. This makes understanding the main idea difficult and reduces communication effectiveness. </w:t>
      </w:r>
    </w:p>
    <w:p w14:paraId="0AF8D862"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For example, Joe Biden provoked intense discussions following his performance at debates in 2024. Commentators and analysts pointed out several weaknesses in Biden’s speeches, including memory lapses, lack of coherence in statements, and a lost look. Nevertheless, many experts admit that these problems are associated with the natural aging processes and the conditions of an intensive election race.</w:t>
      </w:r>
    </w:p>
    <w:p w14:paraId="0791F023" w14:textId="77777777" w:rsidR="00601B4B" w:rsidRPr="00601B4B" w:rsidRDefault="00601B4B" w:rsidP="00AD58CD">
      <w:pPr>
        <w:keepNext/>
        <w:keepLines/>
        <w:numPr>
          <w:ilvl w:val="0"/>
          <w:numId w:val="203"/>
        </w:numPr>
        <w:spacing w:after="0"/>
        <w:contextualSpacing/>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Memory Problems. </w:t>
      </w:r>
    </w:p>
    <w:p w14:paraId="04B61B9A"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Forgetting facts, figures, or details is a frequent companion of Biden's performances. This may manifest itself in misrepresenting statistical data or historical events. Thus, Joe Biden repeatedly makes a reservation, confusing Ukraine and Iraq. </w:t>
      </w:r>
    </w:p>
    <w:p w14:paraId="594D8EDA"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Of course, Donald Trump is no exception. Typical mistakes made by Donald Trump during public speeches can be divided into several categories.</w:t>
      </w:r>
    </w:p>
    <w:p w14:paraId="0F6E2BF9" w14:textId="77777777" w:rsidR="00601B4B" w:rsidRPr="00601B4B" w:rsidRDefault="00601B4B" w:rsidP="00AD58CD">
      <w:pPr>
        <w:keepNext/>
        <w:keepLines/>
        <w:numPr>
          <w:ilvl w:val="0"/>
          <w:numId w:val="204"/>
        </w:numPr>
        <w:spacing w:after="0"/>
        <w:contextualSpacing/>
        <w:jc w:val="both"/>
        <w:rPr>
          <w:rFonts w:ascii="Times New Roman" w:eastAsia="DengXian" w:hAnsi="Times New Roman" w:cs="Times New Roman"/>
          <w:kern w:val="2"/>
          <w:sz w:val="32"/>
          <w:szCs w:val="32"/>
          <w:lang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Emotional Outbursts and Confrontation.</w:t>
      </w:r>
    </w:p>
    <w:p w14:paraId="10999CB8" w14:textId="77777777" w:rsidR="00601B4B" w:rsidRPr="00601B4B" w:rsidRDefault="00601B4B" w:rsidP="002B6DA7">
      <w:pPr>
        <w:keepNext/>
        <w:keepLines/>
        <w:spacing w:after="0"/>
        <w:ind w:firstLine="284"/>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 xml:space="preserve">Donald Trump is famous for his harsh statements towards journalists and insults directed at opponents. For example, he publicly mocked a disabled journalist (Sergei Kovalevsky) due to their conflict. Afterwards, when world-famous actress Meryl Streep came to the reporter’s defense, Donald Trump made an unkind remark about her too: "Meryl Streep, one of the most overrated actresses in Hollywood, doesn’t know me but attacked last night at the Golden Globes. She is a..." January 9, 2017. Additionally, some examples of nicknames used by the U.S. President include: "Broken Old Crow"; "Pocahontas"; "Ron DeSanctimonious"; "Basement Biden," etc. </w:t>
      </w:r>
      <w:r w:rsidRPr="00601B4B">
        <w:rPr>
          <w:rFonts w:ascii="Times New Roman" w:eastAsia="DengXian" w:hAnsi="Times New Roman" w:cs="Times New Roman"/>
          <w:kern w:val="2"/>
          <w:sz w:val="32"/>
          <w:szCs w:val="32"/>
          <w:lang w:eastAsia="zh-CN"/>
          <w14:ligatures w14:val="standardContextual"/>
        </w:rPr>
        <w:t>[</w:t>
      </w:r>
      <w:r w:rsidRPr="00601B4B">
        <w:rPr>
          <w:rFonts w:ascii="Times New Roman" w:eastAsia="DengXian" w:hAnsi="Times New Roman" w:cs="Times New Roman"/>
          <w:kern w:val="2"/>
          <w:sz w:val="32"/>
          <w:szCs w:val="32"/>
          <w:lang w:val="en-US" w:eastAsia="zh-CN"/>
          <w14:ligatures w14:val="standardContextual"/>
        </w:rPr>
        <w:t>5</w:t>
      </w:r>
      <w:r w:rsidRPr="00601B4B">
        <w:rPr>
          <w:rFonts w:ascii="Times New Roman" w:eastAsia="DengXian" w:hAnsi="Times New Roman" w:cs="Times New Roman"/>
          <w:kern w:val="2"/>
          <w:sz w:val="32"/>
          <w:szCs w:val="32"/>
          <w:lang w:eastAsia="zh-CN"/>
          <w14:ligatures w14:val="standardContextual"/>
        </w:rPr>
        <w:t>]</w:t>
      </w:r>
    </w:p>
    <w:p w14:paraId="701DE73A" w14:textId="77777777" w:rsidR="00601B4B" w:rsidRPr="00601B4B" w:rsidRDefault="00601B4B" w:rsidP="00AD58CD">
      <w:pPr>
        <w:keepNext/>
        <w:keepLines/>
        <w:numPr>
          <w:ilvl w:val="0"/>
          <w:numId w:val="204"/>
        </w:numPr>
        <w:spacing w:after="0"/>
        <w:contextualSpacing/>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lastRenderedPageBreak/>
        <w:t>Reservations and mistakes.</w:t>
      </w:r>
    </w:p>
    <w:p w14:paraId="463C989A"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Listing all the mistakes is practically impossible, so here is just one illustrative quotation. During a speech, while discussing the tragedy that shocked the entire world (the terrorist attacks carried out in New York City in 2001), instead of saying September 9th ("9/11"), Donald Trump mentioned "7/11," which is the name of a popular international supermarket chain called 7-Eleven.</w:t>
      </w:r>
    </w:p>
    <w:p w14:paraId="1DB72197" w14:textId="77777777" w:rsidR="00601B4B" w:rsidRPr="00601B4B" w:rsidRDefault="00601B4B" w:rsidP="00AD58CD">
      <w:pPr>
        <w:keepNext/>
        <w:keepLines/>
        <w:numPr>
          <w:ilvl w:val="0"/>
          <w:numId w:val="2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Lexical Contrasts.</w:t>
      </w:r>
    </w:p>
    <w:p w14:paraId="159068F0" w14:textId="77777777" w:rsidR="00601B4B" w:rsidRPr="00601B4B" w:rsidRDefault="00601B4B" w:rsidP="002B6DA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Colloquial expressions and slang mix with formal style giving the impression of inconsistency during his speech.</w:t>
      </w:r>
    </w:p>
    <w:p w14:paraId="601672D0" w14:textId="77777777" w:rsidR="00601B4B" w:rsidRPr="00601B4B" w:rsidRDefault="00601B4B" w:rsidP="002B6DA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Thus, it can be said that building a strong and credible image of a politician is crucial for gaining trust, respect, and support from voters. There are some rules below how to succeed in building good politician’s reputation.</w:t>
      </w:r>
    </w:p>
    <w:p w14:paraId="583F752B"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Define clear values and principles.</w:t>
      </w:r>
    </w:p>
    <w:p w14:paraId="157EEA22"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Be polite and relatable.</w:t>
      </w:r>
    </w:p>
    <w:p w14:paraId="40E8E954"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Develop expertise in key areas.</w:t>
      </w:r>
    </w:p>
    <w:p w14:paraId="424C003A"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Communicate effectively across platforms.</w:t>
      </w:r>
    </w:p>
    <w:p w14:paraId="78B17A32"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Build positive relationships.</w:t>
      </w:r>
    </w:p>
    <w:p w14:paraId="4BA9DB28"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Establish consistent brand identity.</w:t>
      </w:r>
    </w:p>
    <w:p w14:paraId="4E496546"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Use media strategically.</w:t>
      </w:r>
    </w:p>
    <w:p w14:paraId="70BEFCCD" w14:textId="77777777" w:rsidR="00601B4B" w:rsidRPr="00601B4B" w:rsidRDefault="00601B4B" w:rsidP="00AD58CD">
      <w:pPr>
        <w:keepNext/>
        <w:keepLines/>
        <w:numPr>
          <w:ilvl w:val="0"/>
          <w:numId w:val="2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Stay current and adaptable.</w:t>
      </w:r>
    </w:p>
    <w:p w14:paraId="69F54486"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In conclusion it should be noted that politicians' public speaking increasingly goes viral and turn into memes thanks to vivid expressions, reservations and unusual actions. Digital technologies accelerate the spread of such speeches, giving them enormous cultural significance.</w:t>
      </w:r>
    </w:p>
    <w:p w14:paraId="0152B2DB" w14:textId="77777777" w:rsidR="00601B4B" w:rsidRPr="00601B4B" w:rsidRDefault="00601B4B" w:rsidP="002B6DA7">
      <w:pPr>
        <w:keepNext/>
        <w:keepLines/>
        <w:spacing w:after="0"/>
        <w:ind w:firstLine="709"/>
        <w:jc w:val="both"/>
        <w:rPr>
          <w:rFonts w:ascii="Times New Roman" w:eastAsia="DengXian" w:hAnsi="Times New Roman" w:cs="Times New Roman"/>
          <w:kern w:val="2"/>
          <w:sz w:val="32"/>
          <w:szCs w:val="32"/>
          <w:lang w:val="en-US" w:eastAsia="zh-CN"/>
          <w14:ligatures w14:val="standardContextual"/>
        </w:rPr>
      </w:pPr>
      <w:r w:rsidRPr="00601B4B">
        <w:rPr>
          <w:rFonts w:ascii="Times New Roman" w:eastAsia="DengXian" w:hAnsi="Times New Roman" w:cs="Times New Roman"/>
          <w:kern w:val="2"/>
          <w:sz w:val="32"/>
          <w:szCs w:val="32"/>
          <w:lang w:val="en-US" w:eastAsia="zh-CN"/>
          <w14:ligatures w14:val="standardContextual"/>
        </w:rPr>
        <w:t>Maintaining a strong and attractive image is an essential task for any politician. Creating a positive image requires careful preparation and attention to detail. Mistakes and inaccuracies can seriously damage reputation, causing distrust and loss of popularity among voters. Understanding the rules how to build a good reputation allows effective management, strengthening trust and loyalty within the audience.</w:t>
      </w:r>
      <w:r w:rsidRPr="00601B4B">
        <w:rPr>
          <w:rFonts w:ascii="Times New Roman" w:eastAsia="DengXian" w:hAnsi="Times New Roman" w:cs="Times New Roman"/>
          <w:vanish/>
          <w:kern w:val="2"/>
          <w:sz w:val="32"/>
          <w:szCs w:val="32"/>
          <w:lang w:eastAsia="zh-CN"/>
          <w14:ligatures w14:val="standardContextual"/>
        </w:rPr>
        <w:t>Начало</w:t>
      </w:r>
      <w:r w:rsidRPr="00601B4B">
        <w:rPr>
          <w:rFonts w:ascii="Times New Roman" w:eastAsia="DengXian" w:hAnsi="Times New Roman" w:cs="Times New Roman"/>
          <w:vanish/>
          <w:kern w:val="2"/>
          <w:sz w:val="32"/>
          <w:szCs w:val="32"/>
          <w:lang w:val="en-US" w:eastAsia="zh-CN"/>
          <w14:ligatures w14:val="standardContextual"/>
        </w:rPr>
        <w:t xml:space="preserve"> </w:t>
      </w:r>
      <w:r w:rsidRPr="00601B4B">
        <w:rPr>
          <w:rFonts w:ascii="Times New Roman" w:eastAsia="DengXian" w:hAnsi="Times New Roman" w:cs="Times New Roman"/>
          <w:vanish/>
          <w:kern w:val="2"/>
          <w:sz w:val="32"/>
          <w:szCs w:val="32"/>
          <w:lang w:eastAsia="zh-CN"/>
          <w14:ligatures w14:val="standardContextual"/>
        </w:rPr>
        <w:t>формы</w:t>
      </w:r>
    </w:p>
    <w:p w14:paraId="5CA43DCB" w14:textId="77777777" w:rsidR="00601B4B" w:rsidRPr="00601B4B" w:rsidRDefault="00601B4B" w:rsidP="002B6DA7">
      <w:pPr>
        <w:keepNext/>
        <w:keepLines/>
        <w:spacing w:after="0"/>
        <w:ind w:firstLine="709"/>
        <w:jc w:val="both"/>
        <w:rPr>
          <w:rFonts w:ascii="Times New Roman" w:eastAsia="DengXian" w:hAnsi="Times New Roman" w:cs="Times New Roman"/>
          <w:vanish/>
          <w:kern w:val="2"/>
          <w:sz w:val="32"/>
          <w:szCs w:val="32"/>
          <w:lang w:val="en-US" w:eastAsia="zh-CN"/>
          <w14:ligatures w14:val="standardContextual"/>
        </w:rPr>
      </w:pPr>
    </w:p>
    <w:p w14:paraId="23E38478" w14:textId="77777777" w:rsidR="00601B4B" w:rsidRPr="00601B4B" w:rsidRDefault="00601B4B" w:rsidP="002B6DA7">
      <w:pPr>
        <w:keepNext/>
        <w:keepLines/>
        <w:spacing w:after="0"/>
        <w:jc w:val="both"/>
        <w:rPr>
          <w:rFonts w:ascii="Times New Roman" w:eastAsia="DengXian" w:hAnsi="Times New Roman" w:cs="Times New Roman"/>
          <w:kern w:val="2"/>
          <w:sz w:val="32"/>
          <w:szCs w:val="32"/>
          <w:lang w:val="en-US" w:eastAsia="zh-CN"/>
          <w14:ligatures w14:val="standardContextual"/>
        </w:rPr>
      </w:pPr>
    </w:p>
    <w:p w14:paraId="6A5DA7DD" w14:textId="77777777" w:rsidR="00601B4B" w:rsidRPr="00601B4B" w:rsidRDefault="00601B4B" w:rsidP="002B6DA7">
      <w:pPr>
        <w:keepNext/>
        <w:keepLines/>
        <w:shd w:val="clear" w:color="auto" w:fill="FFFFFF"/>
        <w:suppressAutoHyphens/>
        <w:spacing w:after="0" w:line="240" w:lineRule="auto"/>
        <w:ind w:firstLine="567"/>
        <w:jc w:val="center"/>
        <w:rPr>
          <w:rFonts w:ascii="Times New Roman" w:eastAsia="Times New Roman" w:hAnsi="Times New Roman" w:cs="Times New Roman"/>
          <w:b/>
          <w:color w:val="000000"/>
          <w:sz w:val="21"/>
          <w:szCs w:val="21"/>
          <w:lang w:eastAsia="ar-SA"/>
        </w:rPr>
      </w:pPr>
      <w:r w:rsidRPr="00601B4B">
        <w:rPr>
          <w:rFonts w:ascii="Times New Roman" w:eastAsia="Times New Roman" w:hAnsi="Times New Roman" w:cs="Times New Roman"/>
          <w:b/>
          <w:color w:val="000000"/>
          <w:sz w:val="21"/>
          <w:szCs w:val="21"/>
          <w:lang w:eastAsia="ar-SA"/>
        </w:rPr>
        <w:t>Литература:</w:t>
      </w:r>
    </w:p>
    <w:p w14:paraId="25FDB2F0"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t>Каменева, В. А., Рабкина, Н. В. Дискурсивные практики и анализ текста / В. А. Каменева, Н. В. Рабкина // Вестник РУДН. Серия: Теория языка. Семиотика. Семантика. — 2021. — № 2. — С. 743-757.</w:t>
      </w:r>
    </w:p>
    <w:p w14:paraId="10C65903"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t>Опарина, Е. О. Влияние социокультурного контекста на политический дискурс: на примере языка Дональда Трампа / Е. О. Опарина // Вестник МГЛУ. Гуманитарные науки. — 2021. — № 6 (848). — С. 254-263.</w:t>
      </w:r>
    </w:p>
    <w:p w14:paraId="245187EE"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lastRenderedPageBreak/>
        <w:t>Скляренко, К. В. Политический имидж: к исследователю понятий / К. В. Скляренко // Экономика и социум. — 2020. — № 11 (78). — С. 1298-1302.</w:t>
      </w:r>
    </w:p>
    <w:p w14:paraId="66D88602"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t>Joe Biden The President / [Электронный ресурс] // The White House: [сайт]. — URL: https://bidenwhitehouse.archives.gov/administration/president-biden/ (дата обращения: 20.05.2025)</w:t>
      </w:r>
    </w:p>
    <w:p w14:paraId="1B99DEAF"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t>McAfee [Электронный ресурс] // the List: [сайт]. — URL: https://www.thelist.com/1540191/wildest-nicknames-donald-trump-has-made/ (дата обращения: 21.05.2025).President Donald J. Trump / [Электронный ресурс] // www.trumplibrary.gov: [сайт]. — URL: https://www.trumplibrary.gov/trumps/president-donald-j-trump (дата обращения: 20.05.2025).</w:t>
      </w:r>
    </w:p>
    <w:p w14:paraId="79009EE3" w14:textId="77777777" w:rsidR="00601B4B" w:rsidRPr="00601B4B" w:rsidRDefault="00601B4B" w:rsidP="00AD58CD">
      <w:pPr>
        <w:keepNext/>
        <w:keepLines/>
        <w:numPr>
          <w:ilvl w:val="0"/>
          <w:numId w:val="205"/>
        </w:numPr>
        <w:spacing w:after="0" w:line="240" w:lineRule="auto"/>
        <w:ind w:left="284" w:right="-1" w:hanging="284"/>
        <w:contextualSpacing/>
        <w:jc w:val="both"/>
        <w:rPr>
          <w:rFonts w:ascii="Times New Roman" w:eastAsia="Times New Roman" w:hAnsi="Times New Roman" w:cs="Times New Roman"/>
          <w:sz w:val="21"/>
          <w:szCs w:val="21"/>
          <w:lang w:val="x-none" w:eastAsia="ar-SA"/>
        </w:rPr>
      </w:pPr>
      <w:r w:rsidRPr="00601B4B">
        <w:rPr>
          <w:rFonts w:ascii="Times New Roman" w:eastAsia="Times New Roman" w:hAnsi="Times New Roman" w:cs="Times New Roman"/>
          <w:sz w:val="21"/>
          <w:szCs w:val="21"/>
          <w:lang w:val="x-none" w:eastAsia="ar-SA"/>
        </w:rPr>
        <w:t>M. Davis-McAfee The Wildest Nicknames Donald Trump Has Made Up For His Opponents / M. Davis-McAfee [Электронный ресурс] // the List : [сайт]. — URL: https://www.thelist.com/1540191/wildest-nicknames-donald-trump-has-made/ (дата обращения: 21.05.2025).</w:t>
      </w:r>
    </w:p>
    <w:p w14:paraId="2B80796C" w14:textId="77777777" w:rsidR="00601B4B" w:rsidRPr="00F86618" w:rsidRDefault="00601B4B" w:rsidP="002B6DA7">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x-none" w:eastAsia="ru-RU"/>
        </w:rPr>
      </w:pPr>
    </w:p>
    <w:p w14:paraId="2AF9EA63" w14:textId="77777777" w:rsidR="002965AE" w:rsidRPr="00CF1EC4" w:rsidRDefault="002965AE" w:rsidP="002513A8">
      <w:pPr>
        <w:keepNext/>
        <w:keepLines/>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rPr>
      </w:pPr>
    </w:p>
    <w:p w14:paraId="2BA8BACB" w14:textId="77777777" w:rsidR="009A4E6A" w:rsidRPr="00312975" w:rsidRDefault="009A4E6A" w:rsidP="00312975">
      <w:pPr>
        <w:spacing w:after="0" w:line="240" w:lineRule="auto"/>
        <w:ind w:left="360"/>
        <w:rPr>
          <w:rFonts w:ascii="Times New Roman" w:eastAsia="Calibri" w:hAnsi="Times New Roman" w:cs="Times New Roman"/>
          <w:kern w:val="2"/>
          <w:lang w:val="en-US"/>
          <w14:ligatures w14:val="standardContextual"/>
        </w:rPr>
      </w:pPr>
    </w:p>
    <w:p w14:paraId="7E72167C" w14:textId="77777777" w:rsidR="00BD1126" w:rsidRPr="00F86618" w:rsidRDefault="00BD1126" w:rsidP="00FD0B97">
      <w:pPr>
        <w:rPr>
          <w:b/>
          <w:lang w:val="en-US"/>
        </w:rPr>
      </w:pPr>
    </w:p>
    <w:sectPr w:rsidR="00BD1126" w:rsidRPr="00F86618" w:rsidSect="00997EF8">
      <w:footerReference w:type="default" r:id="rId7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0569F" w14:textId="77777777" w:rsidR="00B35C43" w:rsidRDefault="00B35C43" w:rsidP="00877DE5">
      <w:pPr>
        <w:spacing w:after="0" w:line="240" w:lineRule="auto"/>
      </w:pPr>
      <w:r>
        <w:separator/>
      </w:r>
    </w:p>
  </w:endnote>
  <w:endnote w:type="continuationSeparator" w:id="0">
    <w:p w14:paraId="1E778E3F" w14:textId="77777777" w:rsidR="00B35C43" w:rsidRDefault="00B35C43" w:rsidP="0087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CC"/>
    <w:family w:val="swiss"/>
    <w:pitch w:val="default"/>
    <w:sig w:usb0="00000000" w:usb1="00000000" w:usb2="00000009" w:usb3="00000000" w:csb0="000001FF"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charset w:val="01"/>
    <w:family w:val="auto"/>
    <w:pitch w:val="default"/>
  </w:font>
  <w:font w:name="Source Han Sans CN Regular">
    <w:altName w:val="Cambria"/>
    <w:panose1 w:val="00000000000000000000"/>
    <w:charset w:val="00"/>
    <w:family w:val="roman"/>
    <w:notTrueType/>
    <w:pitch w:val="default"/>
  </w:font>
  <w:font w:name="Andale Sans UI">
    <w:charset w:val="00"/>
    <w:family w:val="auto"/>
    <w:pitch w:val="variable"/>
  </w:font>
  <w:font w:name="PT Astra Serif">
    <w:altName w:val="Times New Roman"/>
    <w:charset w:val="CC"/>
    <w:family w:val="roman"/>
    <w:pitch w:val="default"/>
  </w:font>
  <w:font w:name="Roboto">
    <w:altName w:val="Times New Roman"/>
    <w:charset w:val="00"/>
    <w:family w:val="auto"/>
    <w:pitch w:val="variable"/>
    <w:sig w:usb0="E0000AFF" w:usb1="5000217F" w:usb2="00000021" w:usb3="00000000" w:csb0="0000019F" w:csb1="00000000"/>
  </w:font>
  <w:font w:name="Yandex Sans Text">
    <w:altName w:val="Segoe Print"/>
    <w:panose1 w:val="00000000000000000000"/>
    <w:charset w:val="00"/>
    <w:family w:val="roman"/>
    <w:notTrueType/>
    <w:pitch w:val="default"/>
  </w:font>
  <w:font w:name="sans-serif">
    <w:altName w:val="Segoe Print"/>
    <w:charset w:val="00"/>
    <w:family w:val="auto"/>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ar(--depot-font-size-text-m-pa">
    <w:altName w:val="Segoe Print"/>
    <w:charset w:val="00"/>
    <w:family w:val="auto"/>
    <w:pitch w:val="default"/>
  </w:font>
  <w:font w:name="10,5">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uisseIntl">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726120"/>
      <w:docPartObj>
        <w:docPartGallery w:val="Page Numbers (Bottom of Page)"/>
        <w:docPartUnique/>
      </w:docPartObj>
    </w:sdtPr>
    <w:sdtContent>
      <w:p w14:paraId="767E9630" w14:textId="65D020E5" w:rsidR="00132A69" w:rsidRDefault="00132A69">
        <w:pPr>
          <w:pStyle w:val="a6"/>
          <w:jc w:val="center"/>
        </w:pPr>
        <w:r>
          <w:fldChar w:fldCharType="begin"/>
        </w:r>
        <w:r>
          <w:instrText>PAGE   \* MERGEFORMAT</w:instrText>
        </w:r>
        <w:r>
          <w:fldChar w:fldCharType="separate"/>
        </w:r>
        <w:r>
          <w:rPr>
            <w:noProof/>
          </w:rPr>
          <w:t>2</w:t>
        </w:r>
        <w:r>
          <w:fldChar w:fldCharType="end"/>
        </w:r>
      </w:p>
    </w:sdtContent>
  </w:sdt>
  <w:p w14:paraId="05E90890" w14:textId="77777777" w:rsidR="00132A69" w:rsidRDefault="00132A6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7FAD" w14:textId="553F0949" w:rsidR="00132A69" w:rsidRDefault="00132A69">
    <w:pPr>
      <w:pStyle w:val="a6"/>
      <w:jc w:val="center"/>
    </w:pPr>
    <w:r>
      <w:fldChar w:fldCharType="begin"/>
    </w:r>
    <w:r>
      <w:instrText>PAGE   \* MERGEFORMAT</w:instrText>
    </w:r>
    <w:r>
      <w:fldChar w:fldCharType="separate"/>
    </w:r>
    <w:r>
      <w:rPr>
        <w:noProof/>
      </w:rPr>
      <w:t>507</w:t>
    </w:r>
    <w:r>
      <w:fldChar w:fldCharType="end"/>
    </w:r>
  </w:p>
  <w:p w14:paraId="33B108C9" w14:textId="77777777" w:rsidR="00132A69" w:rsidRDefault="00132A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785164"/>
      <w:docPartObj>
        <w:docPartGallery w:val="Page Numbers (Bottom of Page)"/>
        <w:docPartUnique/>
      </w:docPartObj>
    </w:sdtPr>
    <w:sdtContent>
      <w:p w14:paraId="41DED6A1" w14:textId="5D035A7E" w:rsidR="00132A69" w:rsidRDefault="00132A69">
        <w:pPr>
          <w:pStyle w:val="a6"/>
          <w:jc w:val="center"/>
        </w:pPr>
        <w:r>
          <w:fldChar w:fldCharType="begin"/>
        </w:r>
        <w:r>
          <w:instrText>PAGE   \* MERGEFORMAT</w:instrText>
        </w:r>
        <w:r>
          <w:fldChar w:fldCharType="separate"/>
        </w:r>
        <w:r>
          <w:rPr>
            <w:noProof/>
          </w:rPr>
          <w:t>700</w:t>
        </w:r>
        <w:r>
          <w:fldChar w:fldCharType="end"/>
        </w:r>
      </w:p>
    </w:sdtContent>
  </w:sdt>
  <w:p w14:paraId="1CDCC3A5" w14:textId="77777777" w:rsidR="00132A69" w:rsidRDefault="00132A69">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181757"/>
      <w:docPartObj>
        <w:docPartGallery w:val="Page Numbers (Bottom of Page)"/>
        <w:docPartUnique/>
      </w:docPartObj>
    </w:sdtPr>
    <w:sdtContent>
      <w:p w14:paraId="296BC052" w14:textId="77777777" w:rsidR="00132A69" w:rsidRDefault="00132A69">
        <w:pPr>
          <w:pStyle w:val="a6"/>
          <w:jc w:val="center"/>
        </w:pPr>
        <w:r>
          <w:fldChar w:fldCharType="begin"/>
        </w:r>
        <w:r>
          <w:instrText>PAGE   \* MERGEFORMAT</w:instrText>
        </w:r>
        <w:r>
          <w:fldChar w:fldCharType="separate"/>
        </w:r>
        <w:r>
          <w:t>2</w:t>
        </w:r>
        <w:r>
          <w:fldChar w:fldCharType="end"/>
        </w:r>
      </w:p>
    </w:sdtContent>
  </w:sdt>
  <w:p w14:paraId="25BDC3DC" w14:textId="77777777" w:rsidR="00132A69" w:rsidRDefault="00132A69">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892459"/>
      <w:docPartObj>
        <w:docPartGallery w:val="Page Numbers (Bottom of Page)"/>
        <w:docPartUnique/>
      </w:docPartObj>
    </w:sdtPr>
    <w:sdtContent>
      <w:p w14:paraId="1A2DF8DB" w14:textId="34552E0E" w:rsidR="00132A69" w:rsidRDefault="00132A69">
        <w:pPr>
          <w:pStyle w:val="a6"/>
          <w:jc w:val="center"/>
        </w:pPr>
        <w:r>
          <w:fldChar w:fldCharType="begin"/>
        </w:r>
        <w:r>
          <w:instrText>PAGE   \* MERGEFORMAT</w:instrText>
        </w:r>
        <w:r>
          <w:fldChar w:fldCharType="separate"/>
        </w:r>
        <w:r>
          <w:rPr>
            <w:noProof/>
          </w:rPr>
          <w:t>790</w:t>
        </w:r>
        <w:r>
          <w:fldChar w:fldCharType="end"/>
        </w:r>
      </w:p>
    </w:sdtContent>
  </w:sdt>
  <w:p w14:paraId="70B0B682" w14:textId="77777777" w:rsidR="00132A69" w:rsidRDefault="00132A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881F1" w14:textId="77777777" w:rsidR="00B35C43" w:rsidRDefault="00B35C43" w:rsidP="00877DE5">
      <w:pPr>
        <w:spacing w:after="0" w:line="240" w:lineRule="auto"/>
      </w:pPr>
      <w:r>
        <w:separator/>
      </w:r>
    </w:p>
  </w:footnote>
  <w:footnote w:type="continuationSeparator" w:id="0">
    <w:p w14:paraId="3A41AEC4" w14:textId="77777777" w:rsidR="00B35C43" w:rsidRDefault="00B35C43" w:rsidP="00877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3E81527"/>
    <w:multiLevelType w:val="singleLevel"/>
    <w:tmpl w:val="B3E81527"/>
    <w:lvl w:ilvl="0">
      <w:start w:val="1"/>
      <w:numFmt w:val="decimal"/>
      <w:suff w:val="space"/>
      <w:lvlText w:val="%1."/>
      <w:lvlJc w:val="left"/>
      <w:pPr>
        <w:ind w:left="0" w:firstLine="0"/>
      </w:pPr>
    </w:lvl>
  </w:abstractNum>
  <w:abstractNum w:abstractNumId="1" w15:restartNumberingAfterBreak="0">
    <w:nsid w:val="B6E8FBFB"/>
    <w:multiLevelType w:val="singleLevel"/>
    <w:tmpl w:val="B6E8FBFB"/>
    <w:lvl w:ilvl="0">
      <w:start w:val="1"/>
      <w:numFmt w:val="decimal"/>
      <w:suff w:val="space"/>
      <w:lvlText w:val="%1)"/>
      <w:lvlJc w:val="left"/>
      <w:rPr>
        <w:rFonts w:hint="default"/>
        <w:sz w:val="32"/>
        <w:szCs w:val="32"/>
      </w:rPr>
    </w:lvl>
  </w:abstractNum>
  <w:abstractNum w:abstractNumId="2" w15:restartNumberingAfterBreak="0">
    <w:nsid w:val="C646B786"/>
    <w:multiLevelType w:val="singleLevel"/>
    <w:tmpl w:val="C646B786"/>
    <w:lvl w:ilvl="0">
      <w:start w:val="1"/>
      <w:numFmt w:val="bullet"/>
      <w:lvlText w:val=""/>
      <w:lvlJc w:val="left"/>
      <w:pPr>
        <w:tabs>
          <w:tab w:val="left" w:pos="420"/>
        </w:tabs>
        <w:ind w:left="420" w:hanging="420"/>
      </w:pPr>
      <w:rPr>
        <w:rFonts w:ascii="Wingdings" w:hAnsi="Wingdings" w:hint="default"/>
        <w:sz w:val="15"/>
        <w:szCs w:val="15"/>
      </w:rPr>
    </w:lvl>
  </w:abstractNum>
  <w:abstractNum w:abstractNumId="3" w15:restartNumberingAfterBreak="0">
    <w:nsid w:val="D0F4A11B"/>
    <w:multiLevelType w:val="singleLevel"/>
    <w:tmpl w:val="D0F4A11B"/>
    <w:lvl w:ilvl="0">
      <w:start w:val="1"/>
      <w:numFmt w:val="decimal"/>
      <w:lvlText w:val="%1."/>
      <w:lvlJc w:val="left"/>
      <w:pPr>
        <w:tabs>
          <w:tab w:val="left" w:pos="425"/>
        </w:tabs>
        <w:ind w:left="425" w:hanging="425"/>
      </w:pPr>
    </w:lvl>
  </w:abstractNum>
  <w:abstractNum w:abstractNumId="4" w15:restartNumberingAfterBreak="0">
    <w:nsid w:val="00000001"/>
    <w:multiLevelType w:val="hybridMultilevel"/>
    <w:tmpl w:val="16F88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53208E"/>
    <w:multiLevelType w:val="multilevel"/>
    <w:tmpl w:val="0053208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06E2DCE"/>
    <w:multiLevelType w:val="multilevel"/>
    <w:tmpl w:val="F98AD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7A77A4"/>
    <w:multiLevelType w:val="hybridMultilevel"/>
    <w:tmpl w:val="460A6442"/>
    <w:lvl w:ilvl="0" w:tplc="95101C14">
      <w:start w:val="1"/>
      <w:numFmt w:val="bullet"/>
      <w:lvlText w:val=""/>
      <w:lvlJc w:val="left"/>
      <w:pPr>
        <w:ind w:left="720" w:hanging="360"/>
      </w:pPr>
      <w:rPr>
        <w:rFonts w:ascii="Symbol" w:hAnsi="Symbol"/>
        <w:sz w:val="20"/>
        <w:szCs w:val="20"/>
      </w:rPr>
    </w:lvl>
    <w:lvl w:ilvl="1" w:tplc="A4E8DAAC" w:tentative="1">
      <w:start w:val="1"/>
      <w:numFmt w:val="bullet"/>
      <w:lvlText w:val="o"/>
      <w:lvlJc w:val="left"/>
      <w:pPr>
        <w:ind w:left="1440" w:hanging="360"/>
      </w:pPr>
      <w:rPr>
        <w:rFonts w:ascii="Courier New" w:hAnsi="Courier New"/>
      </w:rPr>
    </w:lvl>
    <w:lvl w:ilvl="2" w:tplc="A4E22384" w:tentative="1">
      <w:start w:val="1"/>
      <w:numFmt w:val="bullet"/>
      <w:lvlText w:val=""/>
      <w:lvlJc w:val="left"/>
      <w:pPr>
        <w:ind w:left="2160" w:hanging="360"/>
      </w:pPr>
      <w:rPr>
        <w:rFonts w:ascii="Wingdings" w:hAnsi="Wingdings"/>
      </w:rPr>
    </w:lvl>
    <w:lvl w:ilvl="3" w:tplc="D71015DE" w:tentative="1">
      <w:start w:val="1"/>
      <w:numFmt w:val="bullet"/>
      <w:lvlText w:val=""/>
      <w:lvlJc w:val="left"/>
      <w:pPr>
        <w:ind w:left="2880" w:hanging="360"/>
      </w:pPr>
      <w:rPr>
        <w:rFonts w:ascii="Symbol" w:hAnsi="Symbol"/>
      </w:rPr>
    </w:lvl>
    <w:lvl w:ilvl="4" w:tplc="3628FAAC" w:tentative="1">
      <w:start w:val="1"/>
      <w:numFmt w:val="bullet"/>
      <w:lvlText w:val="o"/>
      <w:lvlJc w:val="left"/>
      <w:pPr>
        <w:ind w:left="3600" w:hanging="360"/>
      </w:pPr>
      <w:rPr>
        <w:rFonts w:ascii="Courier New" w:hAnsi="Courier New"/>
      </w:rPr>
    </w:lvl>
    <w:lvl w:ilvl="5" w:tplc="492C79C4" w:tentative="1">
      <w:start w:val="1"/>
      <w:numFmt w:val="bullet"/>
      <w:lvlText w:val=""/>
      <w:lvlJc w:val="left"/>
      <w:pPr>
        <w:ind w:left="4320" w:hanging="360"/>
      </w:pPr>
      <w:rPr>
        <w:rFonts w:ascii="Wingdings" w:hAnsi="Wingdings"/>
      </w:rPr>
    </w:lvl>
    <w:lvl w:ilvl="6" w:tplc="BC34A06A" w:tentative="1">
      <w:start w:val="1"/>
      <w:numFmt w:val="bullet"/>
      <w:lvlText w:val=""/>
      <w:lvlJc w:val="left"/>
      <w:pPr>
        <w:ind w:left="5040" w:hanging="360"/>
      </w:pPr>
      <w:rPr>
        <w:rFonts w:ascii="Symbol" w:hAnsi="Symbol"/>
      </w:rPr>
    </w:lvl>
    <w:lvl w:ilvl="7" w:tplc="A63E05C0" w:tentative="1">
      <w:start w:val="1"/>
      <w:numFmt w:val="bullet"/>
      <w:lvlText w:val="o"/>
      <w:lvlJc w:val="left"/>
      <w:pPr>
        <w:ind w:left="5760" w:hanging="360"/>
      </w:pPr>
      <w:rPr>
        <w:rFonts w:ascii="Courier New" w:hAnsi="Courier New"/>
      </w:rPr>
    </w:lvl>
    <w:lvl w:ilvl="8" w:tplc="0E7AE22C" w:tentative="1">
      <w:start w:val="1"/>
      <w:numFmt w:val="bullet"/>
      <w:lvlText w:val=""/>
      <w:lvlJc w:val="left"/>
      <w:pPr>
        <w:ind w:left="6480" w:hanging="360"/>
      </w:pPr>
      <w:rPr>
        <w:rFonts w:ascii="Wingdings" w:hAnsi="Wingdings"/>
      </w:rPr>
    </w:lvl>
  </w:abstractNum>
  <w:abstractNum w:abstractNumId="8" w15:restartNumberingAfterBreak="0">
    <w:nsid w:val="0155420A"/>
    <w:multiLevelType w:val="multilevel"/>
    <w:tmpl w:val="3B80F0CE"/>
    <w:lvl w:ilvl="0">
      <w:start w:val="1"/>
      <w:numFmt w:val="bullet"/>
      <w:suff w:val="space"/>
      <w:lvlText w:val=""/>
      <w:lvlJc w:val="left"/>
      <w:pPr>
        <w:ind w:left="720" w:hanging="360"/>
      </w:pPr>
      <w:rPr>
        <w:rFonts w:ascii="Symbol" w:hAnsi="Symbol" w:hint="default"/>
        <w:sz w:val="32"/>
        <w:szCs w:val="4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6C458F"/>
    <w:multiLevelType w:val="hybridMultilevel"/>
    <w:tmpl w:val="A3B62724"/>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19A163D"/>
    <w:multiLevelType w:val="hybridMultilevel"/>
    <w:tmpl w:val="11BCB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2301C61"/>
    <w:multiLevelType w:val="multilevel"/>
    <w:tmpl w:val="DC6CBDCC"/>
    <w:lvl w:ilvl="0">
      <w:start w:val="1"/>
      <w:numFmt w:val="decimal"/>
      <w:lvlText w:val="%1."/>
      <w:lvlJc w:val="left"/>
      <w:pPr>
        <w:tabs>
          <w:tab w:val="num" w:pos="720"/>
        </w:tabs>
        <w:ind w:left="720" w:hanging="360"/>
      </w:pPr>
      <w:rPr>
        <w:sz w:val="21"/>
        <w:szCs w:val="21"/>
      </w:rPr>
    </w:lvl>
    <w:lvl w:ilvl="1">
      <w:start w:val="1"/>
      <w:numFmt w:val="decimal"/>
      <w:lvlText w:val="%2."/>
      <w:lvlJc w:val="left"/>
      <w:pPr>
        <w:tabs>
          <w:tab w:val="num" w:pos="1080"/>
        </w:tabs>
        <w:ind w:left="1080" w:hanging="360"/>
      </w:pPr>
      <w:rPr>
        <w:sz w:val="21"/>
        <w:szCs w:val="21"/>
      </w:rPr>
    </w:lvl>
    <w:lvl w:ilvl="2">
      <w:start w:val="1"/>
      <w:numFmt w:val="decimal"/>
      <w:lvlText w:val="%3."/>
      <w:lvlJc w:val="left"/>
      <w:pPr>
        <w:tabs>
          <w:tab w:val="num" w:pos="1440"/>
        </w:tabs>
        <w:ind w:left="1440" w:hanging="360"/>
      </w:pPr>
      <w:rPr>
        <w:sz w:val="21"/>
        <w:szCs w:val="21"/>
      </w:rPr>
    </w:lvl>
    <w:lvl w:ilvl="3">
      <w:start w:val="1"/>
      <w:numFmt w:val="decimal"/>
      <w:lvlText w:val="%4."/>
      <w:lvlJc w:val="left"/>
      <w:pPr>
        <w:tabs>
          <w:tab w:val="num" w:pos="1800"/>
        </w:tabs>
        <w:ind w:left="1800" w:hanging="360"/>
      </w:pPr>
      <w:rPr>
        <w:sz w:val="21"/>
        <w:szCs w:val="21"/>
      </w:rPr>
    </w:lvl>
    <w:lvl w:ilvl="4">
      <w:start w:val="1"/>
      <w:numFmt w:val="decimal"/>
      <w:lvlText w:val="%5."/>
      <w:lvlJc w:val="left"/>
      <w:pPr>
        <w:tabs>
          <w:tab w:val="num" w:pos="2160"/>
        </w:tabs>
        <w:ind w:left="2160" w:hanging="360"/>
      </w:pPr>
      <w:rPr>
        <w:sz w:val="21"/>
        <w:szCs w:val="21"/>
      </w:rPr>
    </w:lvl>
    <w:lvl w:ilvl="5">
      <w:start w:val="1"/>
      <w:numFmt w:val="decimal"/>
      <w:lvlText w:val="%6."/>
      <w:lvlJc w:val="left"/>
      <w:pPr>
        <w:tabs>
          <w:tab w:val="num" w:pos="2520"/>
        </w:tabs>
        <w:ind w:left="2520" w:hanging="360"/>
      </w:pPr>
      <w:rPr>
        <w:sz w:val="21"/>
        <w:szCs w:val="21"/>
      </w:rPr>
    </w:lvl>
    <w:lvl w:ilvl="6">
      <w:start w:val="1"/>
      <w:numFmt w:val="decimal"/>
      <w:lvlText w:val="%7."/>
      <w:lvlJc w:val="left"/>
      <w:pPr>
        <w:tabs>
          <w:tab w:val="num" w:pos="2880"/>
        </w:tabs>
        <w:ind w:left="2880" w:hanging="360"/>
      </w:pPr>
      <w:rPr>
        <w:sz w:val="21"/>
        <w:szCs w:val="21"/>
      </w:rPr>
    </w:lvl>
    <w:lvl w:ilvl="7">
      <w:start w:val="1"/>
      <w:numFmt w:val="decimal"/>
      <w:lvlText w:val="%8."/>
      <w:lvlJc w:val="left"/>
      <w:pPr>
        <w:tabs>
          <w:tab w:val="num" w:pos="3240"/>
        </w:tabs>
        <w:ind w:left="3240" w:hanging="360"/>
      </w:pPr>
      <w:rPr>
        <w:sz w:val="21"/>
        <w:szCs w:val="21"/>
      </w:rPr>
    </w:lvl>
    <w:lvl w:ilvl="8">
      <w:start w:val="1"/>
      <w:numFmt w:val="decimal"/>
      <w:lvlText w:val="%9."/>
      <w:lvlJc w:val="left"/>
      <w:pPr>
        <w:tabs>
          <w:tab w:val="num" w:pos="3600"/>
        </w:tabs>
        <w:ind w:left="3600" w:hanging="360"/>
      </w:pPr>
      <w:rPr>
        <w:sz w:val="21"/>
        <w:szCs w:val="21"/>
      </w:rPr>
    </w:lvl>
  </w:abstractNum>
  <w:abstractNum w:abstractNumId="12" w15:restartNumberingAfterBreak="0">
    <w:nsid w:val="02396CEA"/>
    <w:multiLevelType w:val="hybridMultilevel"/>
    <w:tmpl w:val="55E21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2C903F8"/>
    <w:multiLevelType w:val="multilevel"/>
    <w:tmpl w:val="D17CFA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15:restartNumberingAfterBreak="0">
    <w:nsid w:val="034D48FC"/>
    <w:multiLevelType w:val="hybridMultilevel"/>
    <w:tmpl w:val="80060030"/>
    <w:lvl w:ilvl="0" w:tplc="698A58FE">
      <w:start w:val="1"/>
      <w:numFmt w:val="bullet"/>
      <w:lvlText w:val=""/>
      <w:lvlJc w:val="left"/>
      <w:pPr>
        <w:ind w:left="720" w:hanging="360"/>
      </w:pPr>
      <w:rPr>
        <w:rFonts w:ascii="Symbol" w:hAnsi="Symbol"/>
        <w:sz w:val="20"/>
        <w:szCs w:val="20"/>
      </w:rPr>
    </w:lvl>
    <w:lvl w:ilvl="1" w:tplc="91E6C24C" w:tentative="1">
      <w:start w:val="1"/>
      <w:numFmt w:val="bullet"/>
      <w:lvlText w:val="o"/>
      <w:lvlJc w:val="left"/>
      <w:pPr>
        <w:ind w:left="1440" w:hanging="360"/>
      </w:pPr>
      <w:rPr>
        <w:rFonts w:ascii="Courier New" w:hAnsi="Courier New"/>
      </w:rPr>
    </w:lvl>
    <w:lvl w:ilvl="2" w:tplc="505AE4EA" w:tentative="1">
      <w:start w:val="1"/>
      <w:numFmt w:val="bullet"/>
      <w:lvlText w:val=""/>
      <w:lvlJc w:val="left"/>
      <w:pPr>
        <w:ind w:left="2160" w:hanging="360"/>
      </w:pPr>
      <w:rPr>
        <w:rFonts w:ascii="Wingdings" w:hAnsi="Wingdings"/>
      </w:rPr>
    </w:lvl>
    <w:lvl w:ilvl="3" w:tplc="919A6C18" w:tentative="1">
      <w:start w:val="1"/>
      <w:numFmt w:val="bullet"/>
      <w:lvlText w:val=""/>
      <w:lvlJc w:val="left"/>
      <w:pPr>
        <w:ind w:left="2880" w:hanging="360"/>
      </w:pPr>
      <w:rPr>
        <w:rFonts w:ascii="Symbol" w:hAnsi="Symbol"/>
      </w:rPr>
    </w:lvl>
    <w:lvl w:ilvl="4" w:tplc="2C260A5C" w:tentative="1">
      <w:start w:val="1"/>
      <w:numFmt w:val="bullet"/>
      <w:lvlText w:val="o"/>
      <w:lvlJc w:val="left"/>
      <w:pPr>
        <w:ind w:left="3600" w:hanging="360"/>
      </w:pPr>
      <w:rPr>
        <w:rFonts w:ascii="Courier New" w:hAnsi="Courier New"/>
      </w:rPr>
    </w:lvl>
    <w:lvl w:ilvl="5" w:tplc="DD1C0B4C" w:tentative="1">
      <w:start w:val="1"/>
      <w:numFmt w:val="bullet"/>
      <w:lvlText w:val=""/>
      <w:lvlJc w:val="left"/>
      <w:pPr>
        <w:ind w:left="4320" w:hanging="360"/>
      </w:pPr>
      <w:rPr>
        <w:rFonts w:ascii="Wingdings" w:hAnsi="Wingdings"/>
      </w:rPr>
    </w:lvl>
    <w:lvl w:ilvl="6" w:tplc="AF724E56" w:tentative="1">
      <w:start w:val="1"/>
      <w:numFmt w:val="bullet"/>
      <w:lvlText w:val=""/>
      <w:lvlJc w:val="left"/>
      <w:pPr>
        <w:ind w:left="5040" w:hanging="360"/>
      </w:pPr>
      <w:rPr>
        <w:rFonts w:ascii="Symbol" w:hAnsi="Symbol"/>
      </w:rPr>
    </w:lvl>
    <w:lvl w:ilvl="7" w:tplc="B84CB8BA" w:tentative="1">
      <w:start w:val="1"/>
      <w:numFmt w:val="bullet"/>
      <w:lvlText w:val="o"/>
      <w:lvlJc w:val="left"/>
      <w:pPr>
        <w:ind w:left="5760" w:hanging="360"/>
      </w:pPr>
      <w:rPr>
        <w:rFonts w:ascii="Courier New" w:hAnsi="Courier New"/>
      </w:rPr>
    </w:lvl>
    <w:lvl w:ilvl="8" w:tplc="3454DEB6" w:tentative="1">
      <w:start w:val="1"/>
      <w:numFmt w:val="bullet"/>
      <w:lvlText w:val=""/>
      <w:lvlJc w:val="left"/>
      <w:pPr>
        <w:ind w:left="6480" w:hanging="360"/>
      </w:pPr>
      <w:rPr>
        <w:rFonts w:ascii="Wingdings" w:hAnsi="Wingdings"/>
      </w:rPr>
    </w:lvl>
  </w:abstractNum>
  <w:abstractNum w:abstractNumId="15" w15:restartNumberingAfterBreak="0">
    <w:nsid w:val="048B754A"/>
    <w:multiLevelType w:val="hybridMultilevel"/>
    <w:tmpl w:val="E75442AC"/>
    <w:lvl w:ilvl="0" w:tplc="48D211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05954C8A"/>
    <w:multiLevelType w:val="hybridMultilevel"/>
    <w:tmpl w:val="C902F3C8"/>
    <w:lvl w:ilvl="0" w:tplc="3FF4F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5A07D02"/>
    <w:multiLevelType w:val="hybridMultilevel"/>
    <w:tmpl w:val="52227C42"/>
    <w:lvl w:ilvl="0" w:tplc="D758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6616F1"/>
    <w:multiLevelType w:val="hybridMultilevel"/>
    <w:tmpl w:val="82DA7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71A0E23"/>
    <w:multiLevelType w:val="hybridMultilevel"/>
    <w:tmpl w:val="F2F07C98"/>
    <w:lvl w:ilvl="0" w:tplc="74647ABC">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7834C2D"/>
    <w:multiLevelType w:val="hybridMultilevel"/>
    <w:tmpl w:val="94864270"/>
    <w:lvl w:ilvl="0" w:tplc="1FBA9868">
      <w:start w:val="1"/>
      <w:numFmt w:val="decimal"/>
      <w:lvlText w:val="%1."/>
      <w:lvlJc w:val="left"/>
      <w:pPr>
        <w:ind w:left="720" w:hanging="360"/>
      </w:pPr>
      <w:rPr>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8491BDB"/>
    <w:multiLevelType w:val="multilevel"/>
    <w:tmpl w:val="AF76D594"/>
    <w:lvl w:ilvl="0">
      <w:start w:val="1"/>
      <w:numFmt w:val="decimal"/>
      <w:lvlText w:val="%1."/>
      <w:lvlJc w:val="left"/>
      <w:pPr>
        <w:tabs>
          <w:tab w:val="num" w:pos="720"/>
        </w:tabs>
        <w:ind w:left="720" w:hanging="360"/>
      </w:pPr>
      <w:rPr>
        <w:rFonts w:ascii="Times New Roman" w:eastAsiaTheme="minorHAnsi" w:hAnsi="Times New Roman" w:cs="Times New Roman"/>
        <w:b w:val="0"/>
        <w:bCs w:val="0"/>
      </w:rPr>
    </w:lvl>
    <w:lvl w:ilvl="1">
      <w:numFmt w:val="bullet"/>
      <w:lvlText w:val="•"/>
      <w:lvlJc w:val="left"/>
      <w:pPr>
        <w:tabs>
          <w:tab w:val="num" w:pos="1494"/>
        </w:tabs>
        <w:ind w:left="1494" w:hanging="360"/>
      </w:pPr>
      <w:rPr>
        <w:rFonts w:ascii="Times New Roman" w:eastAsiaTheme="minorHAnsi" w:hAnsi="Times New Roman" w:cs="Times New Roman"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B0730C"/>
    <w:multiLevelType w:val="multilevel"/>
    <w:tmpl w:val="4CD87F8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44235F"/>
    <w:multiLevelType w:val="hybridMultilevel"/>
    <w:tmpl w:val="6194C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9D31C5E"/>
    <w:multiLevelType w:val="hybridMultilevel"/>
    <w:tmpl w:val="76F63B7E"/>
    <w:lvl w:ilvl="0" w:tplc="A79EF04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9E9621A"/>
    <w:multiLevelType w:val="multilevel"/>
    <w:tmpl w:val="49965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68"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A507E5"/>
    <w:multiLevelType w:val="hybridMultilevel"/>
    <w:tmpl w:val="2E1AE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211BF2"/>
    <w:multiLevelType w:val="hybridMultilevel"/>
    <w:tmpl w:val="A3AC89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0BD93F86"/>
    <w:multiLevelType w:val="hybridMultilevel"/>
    <w:tmpl w:val="787A8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5E25ED"/>
    <w:multiLevelType w:val="hybridMultilevel"/>
    <w:tmpl w:val="BC64DC7C"/>
    <w:lvl w:ilvl="0" w:tplc="AE34A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0CD0447F"/>
    <w:multiLevelType w:val="multilevel"/>
    <w:tmpl w:val="23C23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DBE74A5"/>
    <w:multiLevelType w:val="hybridMultilevel"/>
    <w:tmpl w:val="7F427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E7082B"/>
    <w:multiLevelType w:val="multilevel"/>
    <w:tmpl w:val="F1087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660D36"/>
    <w:multiLevelType w:val="hybridMultilevel"/>
    <w:tmpl w:val="3BA6B30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4" w15:restartNumberingAfterBreak="0">
    <w:nsid w:val="0EB910E9"/>
    <w:multiLevelType w:val="multilevel"/>
    <w:tmpl w:val="F93E69AE"/>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15:restartNumberingAfterBreak="0">
    <w:nsid w:val="0F195610"/>
    <w:multiLevelType w:val="hybridMultilevel"/>
    <w:tmpl w:val="E8861F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0FC35B76"/>
    <w:multiLevelType w:val="hybridMultilevel"/>
    <w:tmpl w:val="C1205E70"/>
    <w:lvl w:ilvl="0" w:tplc="507875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0FCC3315"/>
    <w:multiLevelType w:val="hybridMultilevel"/>
    <w:tmpl w:val="848445F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8" w15:restartNumberingAfterBreak="0">
    <w:nsid w:val="0FF55E6E"/>
    <w:multiLevelType w:val="hybridMultilevel"/>
    <w:tmpl w:val="E32CCA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10565BCD"/>
    <w:multiLevelType w:val="hybridMultilevel"/>
    <w:tmpl w:val="476C485C"/>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0AC3CBA"/>
    <w:multiLevelType w:val="multilevel"/>
    <w:tmpl w:val="C700DC9C"/>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200AF1"/>
    <w:multiLevelType w:val="hybridMultilevel"/>
    <w:tmpl w:val="D0CA8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2556F28"/>
    <w:multiLevelType w:val="multilevel"/>
    <w:tmpl w:val="5B1801DE"/>
    <w:lvl w:ilvl="0">
      <w:start w:val="1"/>
      <w:numFmt w:val="bullet"/>
      <w:lvlText w:val="-"/>
      <w:lvlJc w:val="left"/>
      <w:pPr>
        <w:tabs>
          <w:tab w:val="num" w:pos="0"/>
        </w:tabs>
        <w:ind w:left="1080" w:hanging="360"/>
      </w:pPr>
      <w:rPr>
        <w:rFonts w:ascii="Aptos" w:hAnsi="Aptos" w:cs="Apto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3" w15:restartNumberingAfterBreak="0">
    <w:nsid w:val="134D2074"/>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147D9C"/>
    <w:multiLevelType w:val="hybridMultilevel"/>
    <w:tmpl w:val="2C3EA460"/>
    <w:lvl w:ilvl="0" w:tplc="A9EC40CA">
      <w:start w:val="1"/>
      <w:numFmt w:val="decimal"/>
      <w:suff w:val="space"/>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41F1F53"/>
    <w:multiLevelType w:val="hybridMultilevel"/>
    <w:tmpl w:val="C3FE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4750182"/>
    <w:multiLevelType w:val="multilevel"/>
    <w:tmpl w:val="1CA08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4C61D73"/>
    <w:multiLevelType w:val="hybridMultilevel"/>
    <w:tmpl w:val="651A15AE"/>
    <w:lvl w:ilvl="0" w:tplc="178E031C">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14DE37DE"/>
    <w:multiLevelType w:val="multilevel"/>
    <w:tmpl w:val="31F6201E"/>
    <w:lvl w:ilvl="0">
      <w:start w:val="1"/>
      <w:numFmt w:val="decimal"/>
      <w:lvlText w:val="%1."/>
      <w:lvlJc w:val="left"/>
      <w:pPr>
        <w:tabs>
          <w:tab w:val="num" w:pos="720"/>
        </w:tabs>
        <w:ind w:left="720" w:hanging="360"/>
      </w:pPr>
      <w:rPr>
        <w:sz w:val="21"/>
        <w:szCs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5935DD0"/>
    <w:multiLevelType w:val="hybridMultilevel"/>
    <w:tmpl w:val="65805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5B5628C"/>
    <w:multiLevelType w:val="hybridMultilevel"/>
    <w:tmpl w:val="C26E8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C61451"/>
    <w:multiLevelType w:val="hybridMultilevel"/>
    <w:tmpl w:val="3A9E0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6A02E2F"/>
    <w:multiLevelType w:val="multilevel"/>
    <w:tmpl w:val="0E4C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75427C1"/>
    <w:multiLevelType w:val="hybridMultilevel"/>
    <w:tmpl w:val="4B7C4DCA"/>
    <w:lvl w:ilvl="0" w:tplc="27AAE6F6">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4" w15:restartNumberingAfterBreak="0">
    <w:nsid w:val="17F678F7"/>
    <w:multiLevelType w:val="hybridMultilevel"/>
    <w:tmpl w:val="DA6E2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826218A"/>
    <w:multiLevelType w:val="hybridMultilevel"/>
    <w:tmpl w:val="E8FA5856"/>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9157EBE"/>
    <w:multiLevelType w:val="multilevel"/>
    <w:tmpl w:val="34C6F0BA"/>
    <w:lvl w:ilvl="0">
      <w:start w:val="1"/>
      <w:numFmt w:val="bullet"/>
      <w:lvlText w:val="-"/>
      <w:lvlJc w:val="left"/>
      <w:pPr>
        <w:tabs>
          <w:tab w:val="num" w:pos="0"/>
        </w:tabs>
        <w:ind w:left="1080" w:hanging="360"/>
      </w:pPr>
      <w:rPr>
        <w:rFonts w:ascii="Aptos" w:hAnsi="Aptos" w:cs="Apto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7" w15:restartNumberingAfterBreak="0">
    <w:nsid w:val="1A6B2A2A"/>
    <w:multiLevelType w:val="multilevel"/>
    <w:tmpl w:val="A2DC6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AE2EA5"/>
    <w:multiLevelType w:val="hybridMultilevel"/>
    <w:tmpl w:val="F86AB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BCA51D8"/>
    <w:multiLevelType w:val="hybridMultilevel"/>
    <w:tmpl w:val="CFB4EBA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1BD31D88"/>
    <w:multiLevelType w:val="multilevel"/>
    <w:tmpl w:val="1F3A3F2E"/>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1" w15:restartNumberingAfterBreak="0">
    <w:nsid w:val="1C164054"/>
    <w:multiLevelType w:val="hybridMultilevel"/>
    <w:tmpl w:val="27B0DC6A"/>
    <w:lvl w:ilvl="0" w:tplc="8BDC07C2">
      <w:numFmt w:val="bullet"/>
      <w:lvlText w:val="–"/>
      <w:lvlJc w:val="left"/>
      <w:pPr>
        <w:ind w:left="919"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E8023994">
      <w:numFmt w:val="bullet"/>
      <w:lvlText w:val="•"/>
      <w:lvlJc w:val="left"/>
      <w:pPr>
        <w:ind w:left="1820" w:hanging="212"/>
      </w:pPr>
      <w:rPr>
        <w:rFonts w:hint="default"/>
        <w:lang w:val="ru-RU" w:eastAsia="en-US" w:bidi="ar-SA"/>
      </w:rPr>
    </w:lvl>
    <w:lvl w:ilvl="2" w:tplc="2D7C32B4">
      <w:numFmt w:val="bullet"/>
      <w:lvlText w:val="•"/>
      <w:lvlJc w:val="left"/>
      <w:pPr>
        <w:ind w:left="2720" w:hanging="212"/>
      </w:pPr>
      <w:rPr>
        <w:rFonts w:hint="default"/>
        <w:lang w:val="ru-RU" w:eastAsia="en-US" w:bidi="ar-SA"/>
      </w:rPr>
    </w:lvl>
    <w:lvl w:ilvl="3" w:tplc="8A1CCC9E">
      <w:numFmt w:val="bullet"/>
      <w:lvlText w:val="•"/>
      <w:lvlJc w:val="left"/>
      <w:pPr>
        <w:ind w:left="3620" w:hanging="212"/>
      </w:pPr>
      <w:rPr>
        <w:rFonts w:hint="default"/>
        <w:lang w:val="ru-RU" w:eastAsia="en-US" w:bidi="ar-SA"/>
      </w:rPr>
    </w:lvl>
    <w:lvl w:ilvl="4" w:tplc="5F827B5A">
      <w:numFmt w:val="bullet"/>
      <w:lvlText w:val="•"/>
      <w:lvlJc w:val="left"/>
      <w:pPr>
        <w:ind w:left="4520" w:hanging="212"/>
      </w:pPr>
      <w:rPr>
        <w:rFonts w:hint="default"/>
        <w:lang w:val="ru-RU" w:eastAsia="en-US" w:bidi="ar-SA"/>
      </w:rPr>
    </w:lvl>
    <w:lvl w:ilvl="5" w:tplc="AF2CBEF6">
      <w:numFmt w:val="bullet"/>
      <w:lvlText w:val="•"/>
      <w:lvlJc w:val="left"/>
      <w:pPr>
        <w:ind w:left="5420" w:hanging="212"/>
      </w:pPr>
      <w:rPr>
        <w:rFonts w:hint="default"/>
        <w:lang w:val="ru-RU" w:eastAsia="en-US" w:bidi="ar-SA"/>
      </w:rPr>
    </w:lvl>
    <w:lvl w:ilvl="6" w:tplc="9F366A70">
      <w:numFmt w:val="bullet"/>
      <w:lvlText w:val="•"/>
      <w:lvlJc w:val="left"/>
      <w:pPr>
        <w:ind w:left="6320" w:hanging="212"/>
      </w:pPr>
      <w:rPr>
        <w:rFonts w:hint="default"/>
        <w:lang w:val="ru-RU" w:eastAsia="en-US" w:bidi="ar-SA"/>
      </w:rPr>
    </w:lvl>
    <w:lvl w:ilvl="7" w:tplc="A98028DE">
      <w:numFmt w:val="bullet"/>
      <w:lvlText w:val="•"/>
      <w:lvlJc w:val="left"/>
      <w:pPr>
        <w:ind w:left="7220" w:hanging="212"/>
      </w:pPr>
      <w:rPr>
        <w:rFonts w:hint="default"/>
        <w:lang w:val="ru-RU" w:eastAsia="en-US" w:bidi="ar-SA"/>
      </w:rPr>
    </w:lvl>
    <w:lvl w:ilvl="8" w:tplc="1A64EAEE">
      <w:numFmt w:val="bullet"/>
      <w:lvlText w:val="•"/>
      <w:lvlJc w:val="left"/>
      <w:pPr>
        <w:ind w:left="8120" w:hanging="212"/>
      </w:pPr>
      <w:rPr>
        <w:rFonts w:hint="default"/>
        <w:lang w:val="ru-RU" w:eastAsia="en-US" w:bidi="ar-SA"/>
      </w:rPr>
    </w:lvl>
  </w:abstractNum>
  <w:abstractNum w:abstractNumId="62" w15:restartNumberingAfterBreak="0">
    <w:nsid w:val="1C7D3AC1"/>
    <w:multiLevelType w:val="singleLevel"/>
    <w:tmpl w:val="1C7D3AC1"/>
    <w:lvl w:ilvl="0">
      <w:start w:val="1"/>
      <w:numFmt w:val="decimal"/>
      <w:suff w:val="space"/>
      <w:lvlText w:val="%1."/>
      <w:lvlJc w:val="left"/>
    </w:lvl>
  </w:abstractNum>
  <w:abstractNum w:abstractNumId="63" w15:restartNumberingAfterBreak="0">
    <w:nsid w:val="1D6F6D5B"/>
    <w:multiLevelType w:val="multilevel"/>
    <w:tmpl w:val="38CA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D771D45"/>
    <w:multiLevelType w:val="multilevel"/>
    <w:tmpl w:val="4544D6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5" w15:restartNumberingAfterBreak="0">
    <w:nsid w:val="1F6D550D"/>
    <w:multiLevelType w:val="hybridMultilevel"/>
    <w:tmpl w:val="1D1E86A2"/>
    <w:lvl w:ilvl="0" w:tplc="724C4B04">
      <w:start w:val="1"/>
      <w:numFmt w:val="bullet"/>
      <w:lvlText w:val=""/>
      <w:lvlJc w:val="left"/>
      <w:pPr>
        <w:ind w:left="720" w:hanging="360"/>
      </w:pPr>
      <w:rPr>
        <w:rFonts w:ascii="Symbol" w:hAnsi="Symbol"/>
        <w:sz w:val="20"/>
        <w:szCs w:val="20"/>
      </w:rPr>
    </w:lvl>
    <w:lvl w:ilvl="1" w:tplc="28FCD6B8" w:tentative="1">
      <w:start w:val="1"/>
      <w:numFmt w:val="bullet"/>
      <w:lvlText w:val="o"/>
      <w:lvlJc w:val="left"/>
      <w:pPr>
        <w:ind w:left="1440" w:hanging="360"/>
      </w:pPr>
      <w:rPr>
        <w:rFonts w:ascii="Courier New" w:hAnsi="Courier New"/>
      </w:rPr>
    </w:lvl>
    <w:lvl w:ilvl="2" w:tplc="FC76EC30" w:tentative="1">
      <w:start w:val="1"/>
      <w:numFmt w:val="bullet"/>
      <w:lvlText w:val=""/>
      <w:lvlJc w:val="left"/>
      <w:pPr>
        <w:ind w:left="2160" w:hanging="360"/>
      </w:pPr>
      <w:rPr>
        <w:rFonts w:ascii="Wingdings" w:hAnsi="Wingdings"/>
      </w:rPr>
    </w:lvl>
    <w:lvl w:ilvl="3" w:tplc="73B43C6E" w:tentative="1">
      <w:start w:val="1"/>
      <w:numFmt w:val="bullet"/>
      <w:lvlText w:val=""/>
      <w:lvlJc w:val="left"/>
      <w:pPr>
        <w:ind w:left="2880" w:hanging="360"/>
      </w:pPr>
      <w:rPr>
        <w:rFonts w:ascii="Symbol" w:hAnsi="Symbol"/>
      </w:rPr>
    </w:lvl>
    <w:lvl w:ilvl="4" w:tplc="AC3CF9DA" w:tentative="1">
      <w:start w:val="1"/>
      <w:numFmt w:val="bullet"/>
      <w:lvlText w:val="o"/>
      <w:lvlJc w:val="left"/>
      <w:pPr>
        <w:ind w:left="3600" w:hanging="360"/>
      </w:pPr>
      <w:rPr>
        <w:rFonts w:ascii="Courier New" w:hAnsi="Courier New"/>
      </w:rPr>
    </w:lvl>
    <w:lvl w:ilvl="5" w:tplc="C4E882FE" w:tentative="1">
      <w:start w:val="1"/>
      <w:numFmt w:val="bullet"/>
      <w:lvlText w:val=""/>
      <w:lvlJc w:val="left"/>
      <w:pPr>
        <w:ind w:left="4320" w:hanging="360"/>
      </w:pPr>
      <w:rPr>
        <w:rFonts w:ascii="Wingdings" w:hAnsi="Wingdings"/>
      </w:rPr>
    </w:lvl>
    <w:lvl w:ilvl="6" w:tplc="C8B2FA82" w:tentative="1">
      <w:start w:val="1"/>
      <w:numFmt w:val="bullet"/>
      <w:lvlText w:val=""/>
      <w:lvlJc w:val="left"/>
      <w:pPr>
        <w:ind w:left="5040" w:hanging="360"/>
      </w:pPr>
      <w:rPr>
        <w:rFonts w:ascii="Symbol" w:hAnsi="Symbol"/>
      </w:rPr>
    </w:lvl>
    <w:lvl w:ilvl="7" w:tplc="DE4478AC" w:tentative="1">
      <w:start w:val="1"/>
      <w:numFmt w:val="bullet"/>
      <w:lvlText w:val="o"/>
      <w:lvlJc w:val="left"/>
      <w:pPr>
        <w:ind w:left="5760" w:hanging="360"/>
      </w:pPr>
      <w:rPr>
        <w:rFonts w:ascii="Courier New" w:hAnsi="Courier New"/>
      </w:rPr>
    </w:lvl>
    <w:lvl w:ilvl="8" w:tplc="DF707D72" w:tentative="1">
      <w:start w:val="1"/>
      <w:numFmt w:val="bullet"/>
      <w:lvlText w:val=""/>
      <w:lvlJc w:val="left"/>
      <w:pPr>
        <w:ind w:left="6480" w:hanging="360"/>
      </w:pPr>
      <w:rPr>
        <w:rFonts w:ascii="Wingdings" w:hAnsi="Wingdings"/>
      </w:rPr>
    </w:lvl>
  </w:abstractNum>
  <w:abstractNum w:abstractNumId="66" w15:restartNumberingAfterBreak="0">
    <w:nsid w:val="1F757577"/>
    <w:multiLevelType w:val="hybridMultilevel"/>
    <w:tmpl w:val="4D9CE2AA"/>
    <w:lvl w:ilvl="0" w:tplc="97E49A68">
      <w:start w:val="1"/>
      <w:numFmt w:val="bullet"/>
      <w:lvlText w:val=""/>
      <w:lvlJc w:val="center"/>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 w15:restartNumberingAfterBreak="0">
    <w:nsid w:val="20256AA7"/>
    <w:multiLevelType w:val="hybridMultilevel"/>
    <w:tmpl w:val="AC3E60DA"/>
    <w:styleLink w:val="2"/>
    <w:lvl w:ilvl="0" w:tplc="0B60B6D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C6DC54">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227E9654">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BC186C98">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F0D86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24F754">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14A2D95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AAE9D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12517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20982E8B"/>
    <w:multiLevelType w:val="hybridMultilevel"/>
    <w:tmpl w:val="72C6A8CA"/>
    <w:lvl w:ilvl="0" w:tplc="B9D48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09D691C"/>
    <w:multiLevelType w:val="multilevel"/>
    <w:tmpl w:val="0442A3AE"/>
    <w:lvl w:ilvl="0">
      <w:start w:val="1"/>
      <w:numFmt w:val="decimal"/>
      <w:lvlText w:val="%1."/>
      <w:lvlJc w:val="left"/>
      <w:pPr>
        <w:tabs>
          <w:tab w:val="num" w:pos="720"/>
        </w:tabs>
        <w:ind w:left="720" w:hanging="360"/>
      </w:pPr>
      <w:rPr>
        <w:sz w:val="21"/>
        <w:szCs w:val="21"/>
      </w:rPr>
    </w:lvl>
    <w:lvl w:ilvl="1">
      <w:start w:val="1"/>
      <w:numFmt w:val="decimal"/>
      <w:lvlText w:val="%2."/>
      <w:lvlJc w:val="left"/>
      <w:pPr>
        <w:tabs>
          <w:tab w:val="num" w:pos="1080"/>
        </w:tabs>
        <w:ind w:left="1080" w:hanging="360"/>
      </w:pPr>
      <w:rPr>
        <w:sz w:val="32"/>
        <w:szCs w:val="32"/>
      </w:rPr>
    </w:lvl>
    <w:lvl w:ilvl="2">
      <w:start w:val="1"/>
      <w:numFmt w:val="decimal"/>
      <w:lvlText w:val="%3."/>
      <w:lvlJc w:val="left"/>
      <w:pPr>
        <w:tabs>
          <w:tab w:val="num" w:pos="1440"/>
        </w:tabs>
        <w:ind w:left="1440" w:hanging="360"/>
      </w:pPr>
      <w:rPr>
        <w:sz w:val="32"/>
        <w:szCs w:val="32"/>
      </w:rPr>
    </w:lvl>
    <w:lvl w:ilvl="3">
      <w:start w:val="1"/>
      <w:numFmt w:val="decimal"/>
      <w:lvlText w:val="%4."/>
      <w:lvlJc w:val="left"/>
      <w:pPr>
        <w:tabs>
          <w:tab w:val="num" w:pos="1800"/>
        </w:tabs>
        <w:ind w:left="1800" w:hanging="360"/>
      </w:pPr>
      <w:rPr>
        <w:sz w:val="32"/>
        <w:szCs w:val="32"/>
      </w:rPr>
    </w:lvl>
    <w:lvl w:ilvl="4">
      <w:start w:val="1"/>
      <w:numFmt w:val="decimal"/>
      <w:lvlText w:val="%5."/>
      <w:lvlJc w:val="left"/>
      <w:pPr>
        <w:tabs>
          <w:tab w:val="num" w:pos="2160"/>
        </w:tabs>
        <w:ind w:left="2160" w:hanging="360"/>
      </w:pPr>
      <w:rPr>
        <w:sz w:val="32"/>
        <w:szCs w:val="32"/>
      </w:rPr>
    </w:lvl>
    <w:lvl w:ilvl="5">
      <w:start w:val="1"/>
      <w:numFmt w:val="decimal"/>
      <w:lvlText w:val="%6."/>
      <w:lvlJc w:val="left"/>
      <w:pPr>
        <w:tabs>
          <w:tab w:val="num" w:pos="2520"/>
        </w:tabs>
        <w:ind w:left="2520" w:hanging="360"/>
      </w:pPr>
      <w:rPr>
        <w:sz w:val="32"/>
        <w:szCs w:val="32"/>
      </w:rPr>
    </w:lvl>
    <w:lvl w:ilvl="6">
      <w:start w:val="1"/>
      <w:numFmt w:val="decimal"/>
      <w:lvlText w:val="%7."/>
      <w:lvlJc w:val="left"/>
      <w:pPr>
        <w:tabs>
          <w:tab w:val="num" w:pos="2880"/>
        </w:tabs>
        <w:ind w:left="2880" w:hanging="360"/>
      </w:pPr>
      <w:rPr>
        <w:sz w:val="32"/>
        <w:szCs w:val="32"/>
      </w:rPr>
    </w:lvl>
    <w:lvl w:ilvl="7">
      <w:start w:val="1"/>
      <w:numFmt w:val="decimal"/>
      <w:lvlText w:val="%8."/>
      <w:lvlJc w:val="left"/>
      <w:pPr>
        <w:tabs>
          <w:tab w:val="num" w:pos="3240"/>
        </w:tabs>
        <w:ind w:left="3240" w:hanging="360"/>
      </w:pPr>
      <w:rPr>
        <w:sz w:val="32"/>
        <w:szCs w:val="32"/>
      </w:rPr>
    </w:lvl>
    <w:lvl w:ilvl="8">
      <w:start w:val="1"/>
      <w:numFmt w:val="decimal"/>
      <w:lvlText w:val="%9."/>
      <w:lvlJc w:val="left"/>
      <w:pPr>
        <w:tabs>
          <w:tab w:val="num" w:pos="3600"/>
        </w:tabs>
        <w:ind w:left="3600" w:hanging="360"/>
      </w:pPr>
      <w:rPr>
        <w:sz w:val="32"/>
        <w:szCs w:val="32"/>
      </w:rPr>
    </w:lvl>
  </w:abstractNum>
  <w:abstractNum w:abstractNumId="70" w15:restartNumberingAfterBreak="0">
    <w:nsid w:val="20C2741F"/>
    <w:multiLevelType w:val="hybridMultilevel"/>
    <w:tmpl w:val="246EF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1A9011E"/>
    <w:multiLevelType w:val="hybridMultilevel"/>
    <w:tmpl w:val="294CC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1EA5652"/>
    <w:multiLevelType w:val="hybridMultilevel"/>
    <w:tmpl w:val="9CA28C9A"/>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2537892"/>
    <w:multiLevelType w:val="hybridMultilevel"/>
    <w:tmpl w:val="B26C4A44"/>
    <w:lvl w:ilvl="0" w:tplc="A2F2993E">
      <w:start w:val="1"/>
      <w:numFmt w:val="bullet"/>
      <w:lvlText w:val=""/>
      <w:lvlJc w:val="left"/>
      <w:pPr>
        <w:ind w:left="720" w:hanging="360"/>
      </w:pPr>
      <w:rPr>
        <w:rFonts w:ascii="Symbol" w:hAnsi="Symbol"/>
        <w:sz w:val="20"/>
        <w:szCs w:val="20"/>
      </w:rPr>
    </w:lvl>
    <w:lvl w:ilvl="1" w:tplc="473AE810" w:tentative="1">
      <w:start w:val="1"/>
      <w:numFmt w:val="bullet"/>
      <w:lvlText w:val="o"/>
      <w:lvlJc w:val="left"/>
      <w:pPr>
        <w:ind w:left="1440" w:hanging="360"/>
      </w:pPr>
      <w:rPr>
        <w:rFonts w:ascii="Courier New" w:hAnsi="Courier New"/>
      </w:rPr>
    </w:lvl>
    <w:lvl w:ilvl="2" w:tplc="2B5AA56C" w:tentative="1">
      <w:start w:val="1"/>
      <w:numFmt w:val="bullet"/>
      <w:lvlText w:val=""/>
      <w:lvlJc w:val="left"/>
      <w:pPr>
        <w:ind w:left="2160" w:hanging="360"/>
      </w:pPr>
      <w:rPr>
        <w:rFonts w:ascii="Wingdings" w:hAnsi="Wingdings"/>
      </w:rPr>
    </w:lvl>
    <w:lvl w:ilvl="3" w:tplc="9800E772" w:tentative="1">
      <w:start w:val="1"/>
      <w:numFmt w:val="bullet"/>
      <w:lvlText w:val=""/>
      <w:lvlJc w:val="left"/>
      <w:pPr>
        <w:ind w:left="2880" w:hanging="360"/>
      </w:pPr>
      <w:rPr>
        <w:rFonts w:ascii="Symbol" w:hAnsi="Symbol"/>
      </w:rPr>
    </w:lvl>
    <w:lvl w:ilvl="4" w:tplc="849253D8" w:tentative="1">
      <w:start w:val="1"/>
      <w:numFmt w:val="bullet"/>
      <w:lvlText w:val="o"/>
      <w:lvlJc w:val="left"/>
      <w:pPr>
        <w:ind w:left="3600" w:hanging="360"/>
      </w:pPr>
      <w:rPr>
        <w:rFonts w:ascii="Courier New" w:hAnsi="Courier New"/>
      </w:rPr>
    </w:lvl>
    <w:lvl w:ilvl="5" w:tplc="DCCAEDF8" w:tentative="1">
      <w:start w:val="1"/>
      <w:numFmt w:val="bullet"/>
      <w:lvlText w:val=""/>
      <w:lvlJc w:val="left"/>
      <w:pPr>
        <w:ind w:left="4320" w:hanging="360"/>
      </w:pPr>
      <w:rPr>
        <w:rFonts w:ascii="Wingdings" w:hAnsi="Wingdings"/>
      </w:rPr>
    </w:lvl>
    <w:lvl w:ilvl="6" w:tplc="DB6C3716" w:tentative="1">
      <w:start w:val="1"/>
      <w:numFmt w:val="bullet"/>
      <w:lvlText w:val=""/>
      <w:lvlJc w:val="left"/>
      <w:pPr>
        <w:ind w:left="5040" w:hanging="360"/>
      </w:pPr>
      <w:rPr>
        <w:rFonts w:ascii="Symbol" w:hAnsi="Symbol"/>
      </w:rPr>
    </w:lvl>
    <w:lvl w:ilvl="7" w:tplc="9D80A59C" w:tentative="1">
      <w:start w:val="1"/>
      <w:numFmt w:val="bullet"/>
      <w:lvlText w:val="o"/>
      <w:lvlJc w:val="left"/>
      <w:pPr>
        <w:ind w:left="5760" w:hanging="360"/>
      </w:pPr>
      <w:rPr>
        <w:rFonts w:ascii="Courier New" w:hAnsi="Courier New"/>
      </w:rPr>
    </w:lvl>
    <w:lvl w:ilvl="8" w:tplc="E1DA2876" w:tentative="1">
      <w:start w:val="1"/>
      <w:numFmt w:val="bullet"/>
      <w:lvlText w:val=""/>
      <w:lvlJc w:val="left"/>
      <w:pPr>
        <w:ind w:left="6480" w:hanging="360"/>
      </w:pPr>
      <w:rPr>
        <w:rFonts w:ascii="Wingdings" w:hAnsi="Wingdings"/>
      </w:rPr>
    </w:lvl>
  </w:abstractNum>
  <w:abstractNum w:abstractNumId="74" w15:restartNumberingAfterBreak="0">
    <w:nsid w:val="228C172F"/>
    <w:multiLevelType w:val="hybridMultilevel"/>
    <w:tmpl w:val="48FE9288"/>
    <w:lvl w:ilvl="0" w:tplc="27AAE6F6">
      <w:start w:val="1"/>
      <w:numFmt w:val="bullet"/>
      <w:lvlText w:val=""/>
      <w:lvlJc w:val="left"/>
      <w:pPr>
        <w:ind w:left="2136" w:hanging="360"/>
      </w:pPr>
      <w:rPr>
        <w:rFonts w:ascii="Symbol" w:hAnsi="Symbol" w:hint="default"/>
      </w:rPr>
    </w:lvl>
    <w:lvl w:ilvl="1" w:tplc="04190019">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5" w15:restartNumberingAfterBreak="0">
    <w:nsid w:val="232B7012"/>
    <w:multiLevelType w:val="hybridMultilevel"/>
    <w:tmpl w:val="5E10085E"/>
    <w:lvl w:ilvl="0" w:tplc="68284CC0">
      <w:start w:val="1"/>
      <w:numFmt w:val="decimal"/>
      <w:lvlText w:val="%1."/>
      <w:lvlJc w:val="left"/>
      <w:pPr>
        <w:ind w:left="1069" w:hanging="360"/>
      </w:pPr>
      <w:rPr>
        <w:rFonts w:hint="default"/>
        <w:sz w:val="21"/>
        <w:szCs w:val="2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234F5661"/>
    <w:multiLevelType w:val="multilevel"/>
    <w:tmpl w:val="0AB62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47436DB"/>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4A519F1"/>
    <w:multiLevelType w:val="hybridMultilevel"/>
    <w:tmpl w:val="E69232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9" w15:restartNumberingAfterBreak="0">
    <w:nsid w:val="24D06DEA"/>
    <w:multiLevelType w:val="hybridMultilevel"/>
    <w:tmpl w:val="1840B7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251F4F87"/>
    <w:multiLevelType w:val="multilevel"/>
    <w:tmpl w:val="0D8AB5EC"/>
    <w:lvl w:ilvl="0">
      <w:start w:val="57"/>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85"/>
        </w:tabs>
        <w:ind w:left="785"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81" w15:restartNumberingAfterBreak="0">
    <w:nsid w:val="254A4077"/>
    <w:multiLevelType w:val="hybridMultilevel"/>
    <w:tmpl w:val="9AD671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25612D96"/>
    <w:multiLevelType w:val="hybridMultilevel"/>
    <w:tmpl w:val="29D6748C"/>
    <w:lvl w:ilvl="0" w:tplc="4D5C25F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15:restartNumberingAfterBreak="0">
    <w:nsid w:val="26013A42"/>
    <w:multiLevelType w:val="multilevel"/>
    <w:tmpl w:val="77D6B9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273D05CF"/>
    <w:multiLevelType w:val="multilevel"/>
    <w:tmpl w:val="0CC4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703FB8"/>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8EB7467"/>
    <w:multiLevelType w:val="hybridMultilevel"/>
    <w:tmpl w:val="CAF6D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95678E4"/>
    <w:multiLevelType w:val="hybridMultilevel"/>
    <w:tmpl w:val="0EAC4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29956744"/>
    <w:multiLevelType w:val="hybridMultilevel"/>
    <w:tmpl w:val="FF1694B8"/>
    <w:lvl w:ilvl="0" w:tplc="48EC1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29AE2BB3"/>
    <w:multiLevelType w:val="hybridMultilevel"/>
    <w:tmpl w:val="705CF07E"/>
    <w:lvl w:ilvl="0" w:tplc="B9D48A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9D03E52"/>
    <w:multiLevelType w:val="hybridMultilevel"/>
    <w:tmpl w:val="BB0A274A"/>
    <w:lvl w:ilvl="0" w:tplc="D9B485B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29D45A54"/>
    <w:multiLevelType w:val="hybridMultilevel"/>
    <w:tmpl w:val="33FA5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29F977E4"/>
    <w:multiLevelType w:val="hybridMultilevel"/>
    <w:tmpl w:val="294CC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B297B65"/>
    <w:multiLevelType w:val="multilevel"/>
    <w:tmpl w:val="28328C4C"/>
    <w:lvl w:ilvl="0">
      <w:start w:val="1"/>
      <w:numFmt w:val="bullet"/>
      <w:lvlText w:val="-"/>
      <w:lvlJc w:val="left"/>
      <w:pPr>
        <w:tabs>
          <w:tab w:val="num" w:pos="0"/>
        </w:tabs>
        <w:ind w:left="1080" w:hanging="360"/>
      </w:pPr>
      <w:rPr>
        <w:rFonts w:ascii="Aptos" w:hAnsi="Aptos" w:cs="Apto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4" w15:restartNumberingAfterBreak="0">
    <w:nsid w:val="2B8B31B0"/>
    <w:multiLevelType w:val="multilevel"/>
    <w:tmpl w:val="D750A0F4"/>
    <w:lvl w:ilvl="0">
      <w:start w:val="1"/>
      <w:numFmt w:val="decimal"/>
      <w:lvlText w:val="%1)"/>
      <w:lvlJc w:val="left"/>
      <w:pPr>
        <w:tabs>
          <w:tab w:val="num" w:pos="0"/>
        </w:tabs>
        <w:ind w:left="1069" w:hanging="360"/>
      </w:pPr>
      <w:rPr>
        <w:sz w:val="32"/>
        <w:szCs w:val="4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5" w15:restartNumberingAfterBreak="0">
    <w:nsid w:val="2C1304B8"/>
    <w:multiLevelType w:val="multilevel"/>
    <w:tmpl w:val="10445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FF516B3"/>
    <w:multiLevelType w:val="multilevel"/>
    <w:tmpl w:val="0570E914"/>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FFB666F"/>
    <w:multiLevelType w:val="multilevel"/>
    <w:tmpl w:val="E87E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1721CEF"/>
    <w:multiLevelType w:val="hybridMultilevel"/>
    <w:tmpl w:val="51A82EA2"/>
    <w:lvl w:ilvl="0" w:tplc="B01EE46A">
      <w:start w:val="1"/>
      <w:numFmt w:val="bullet"/>
      <w:lvlText w:val=""/>
      <w:lvlJc w:val="left"/>
      <w:pPr>
        <w:ind w:left="1556" w:hanging="360"/>
      </w:pPr>
      <w:rPr>
        <w:rFonts w:ascii="Symbol" w:hAnsi="Symbol" w:hint="default"/>
      </w:rPr>
    </w:lvl>
    <w:lvl w:ilvl="1" w:tplc="04190003" w:tentative="1">
      <w:start w:val="1"/>
      <w:numFmt w:val="bullet"/>
      <w:lvlText w:val="o"/>
      <w:lvlJc w:val="left"/>
      <w:pPr>
        <w:ind w:left="2276" w:hanging="360"/>
      </w:pPr>
      <w:rPr>
        <w:rFonts w:ascii="Courier New" w:hAnsi="Courier New" w:cs="Courier New" w:hint="default"/>
      </w:rPr>
    </w:lvl>
    <w:lvl w:ilvl="2" w:tplc="04190005" w:tentative="1">
      <w:start w:val="1"/>
      <w:numFmt w:val="bullet"/>
      <w:lvlText w:val=""/>
      <w:lvlJc w:val="left"/>
      <w:pPr>
        <w:ind w:left="2996" w:hanging="360"/>
      </w:pPr>
      <w:rPr>
        <w:rFonts w:ascii="Wingdings" w:hAnsi="Wingdings" w:hint="default"/>
      </w:rPr>
    </w:lvl>
    <w:lvl w:ilvl="3" w:tplc="04190001" w:tentative="1">
      <w:start w:val="1"/>
      <w:numFmt w:val="bullet"/>
      <w:lvlText w:val=""/>
      <w:lvlJc w:val="left"/>
      <w:pPr>
        <w:ind w:left="3716" w:hanging="360"/>
      </w:pPr>
      <w:rPr>
        <w:rFonts w:ascii="Symbol" w:hAnsi="Symbol" w:hint="default"/>
      </w:rPr>
    </w:lvl>
    <w:lvl w:ilvl="4" w:tplc="04190003" w:tentative="1">
      <w:start w:val="1"/>
      <w:numFmt w:val="bullet"/>
      <w:lvlText w:val="o"/>
      <w:lvlJc w:val="left"/>
      <w:pPr>
        <w:ind w:left="4436" w:hanging="360"/>
      </w:pPr>
      <w:rPr>
        <w:rFonts w:ascii="Courier New" w:hAnsi="Courier New" w:cs="Courier New" w:hint="default"/>
      </w:rPr>
    </w:lvl>
    <w:lvl w:ilvl="5" w:tplc="04190005" w:tentative="1">
      <w:start w:val="1"/>
      <w:numFmt w:val="bullet"/>
      <w:lvlText w:val=""/>
      <w:lvlJc w:val="left"/>
      <w:pPr>
        <w:ind w:left="5156" w:hanging="360"/>
      </w:pPr>
      <w:rPr>
        <w:rFonts w:ascii="Wingdings" w:hAnsi="Wingdings" w:hint="default"/>
      </w:rPr>
    </w:lvl>
    <w:lvl w:ilvl="6" w:tplc="04190001" w:tentative="1">
      <w:start w:val="1"/>
      <w:numFmt w:val="bullet"/>
      <w:lvlText w:val=""/>
      <w:lvlJc w:val="left"/>
      <w:pPr>
        <w:ind w:left="5876" w:hanging="360"/>
      </w:pPr>
      <w:rPr>
        <w:rFonts w:ascii="Symbol" w:hAnsi="Symbol" w:hint="default"/>
      </w:rPr>
    </w:lvl>
    <w:lvl w:ilvl="7" w:tplc="04190003" w:tentative="1">
      <w:start w:val="1"/>
      <w:numFmt w:val="bullet"/>
      <w:lvlText w:val="o"/>
      <w:lvlJc w:val="left"/>
      <w:pPr>
        <w:ind w:left="6596" w:hanging="360"/>
      </w:pPr>
      <w:rPr>
        <w:rFonts w:ascii="Courier New" w:hAnsi="Courier New" w:cs="Courier New" w:hint="default"/>
      </w:rPr>
    </w:lvl>
    <w:lvl w:ilvl="8" w:tplc="04190005" w:tentative="1">
      <w:start w:val="1"/>
      <w:numFmt w:val="bullet"/>
      <w:lvlText w:val=""/>
      <w:lvlJc w:val="left"/>
      <w:pPr>
        <w:ind w:left="7316" w:hanging="360"/>
      </w:pPr>
      <w:rPr>
        <w:rFonts w:ascii="Wingdings" w:hAnsi="Wingdings" w:hint="default"/>
      </w:rPr>
    </w:lvl>
  </w:abstractNum>
  <w:abstractNum w:abstractNumId="99" w15:restartNumberingAfterBreak="0">
    <w:nsid w:val="31A25321"/>
    <w:multiLevelType w:val="hybridMultilevel"/>
    <w:tmpl w:val="0044914A"/>
    <w:lvl w:ilvl="0" w:tplc="EF3431C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15:restartNumberingAfterBreak="0">
    <w:nsid w:val="31BF31FD"/>
    <w:multiLevelType w:val="hybridMultilevel"/>
    <w:tmpl w:val="FE2A5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15:restartNumberingAfterBreak="0">
    <w:nsid w:val="31DB62B8"/>
    <w:multiLevelType w:val="hybridMultilevel"/>
    <w:tmpl w:val="6FA0C3A4"/>
    <w:numStyleLink w:val="a"/>
  </w:abstractNum>
  <w:abstractNum w:abstractNumId="102" w15:restartNumberingAfterBreak="0">
    <w:nsid w:val="31E568DC"/>
    <w:multiLevelType w:val="multilevel"/>
    <w:tmpl w:val="05E0C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2621042"/>
    <w:multiLevelType w:val="multilevel"/>
    <w:tmpl w:val="E4842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3262211B"/>
    <w:multiLevelType w:val="hybridMultilevel"/>
    <w:tmpl w:val="69763268"/>
    <w:lvl w:ilvl="0" w:tplc="761C9D8C">
      <w:start w:val="1"/>
      <w:numFmt w:val="bullet"/>
      <w:lvlText w:val="-"/>
      <w:lvlJc w:val="left"/>
      <w:pPr>
        <w:ind w:left="1068" w:hanging="360"/>
      </w:pPr>
      <w:rPr>
        <w:rFonts w:ascii="Arial" w:hAnsi="Aria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5" w15:restartNumberingAfterBreak="0">
    <w:nsid w:val="327E4E9F"/>
    <w:multiLevelType w:val="hybridMultilevel"/>
    <w:tmpl w:val="FADA09A2"/>
    <w:lvl w:ilvl="0" w:tplc="0A7ECD98">
      <w:start w:val="1"/>
      <w:numFmt w:val="bullet"/>
      <w:lvlText w:val=""/>
      <w:lvlJc w:val="left"/>
      <w:pPr>
        <w:ind w:left="720" w:hanging="360"/>
      </w:pPr>
      <w:rPr>
        <w:rFonts w:ascii="Symbol" w:hAnsi="Symbol"/>
        <w:sz w:val="20"/>
        <w:szCs w:val="20"/>
      </w:rPr>
    </w:lvl>
    <w:lvl w:ilvl="1" w:tplc="C712BA96" w:tentative="1">
      <w:start w:val="1"/>
      <w:numFmt w:val="bullet"/>
      <w:lvlText w:val="o"/>
      <w:lvlJc w:val="left"/>
      <w:pPr>
        <w:ind w:left="1440" w:hanging="360"/>
      </w:pPr>
      <w:rPr>
        <w:rFonts w:ascii="Courier New" w:hAnsi="Courier New"/>
      </w:rPr>
    </w:lvl>
    <w:lvl w:ilvl="2" w:tplc="9DD815DC" w:tentative="1">
      <w:start w:val="1"/>
      <w:numFmt w:val="bullet"/>
      <w:lvlText w:val=""/>
      <w:lvlJc w:val="left"/>
      <w:pPr>
        <w:ind w:left="2160" w:hanging="360"/>
      </w:pPr>
      <w:rPr>
        <w:rFonts w:ascii="Wingdings" w:hAnsi="Wingdings"/>
      </w:rPr>
    </w:lvl>
    <w:lvl w:ilvl="3" w:tplc="F7CCF032" w:tentative="1">
      <w:start w:val="1"/>
      <w:numFmt w:val="bullet"/>
      <w:lvlText w:val=""/>
      <w:lvlJc w:val="left"/>
      <w:pPr>
        <w:ind w:left="2880" w:hanging="360"/>
      </w:pPr>
      <w:rPr>
        <w:rFonts w:ascii="Symbol" w:hAnsi="Symbol"/>
      </w:rPr>
    </w:lvl>
    <w:lvl w:ilvl="4" w:tplc="3FAE564C" w:tentative="1">
      <w:start w:val="1"/>
      <w:numFmt w:val="bullet"/>
      <w:lvlText w:val="o"/>
      <w:lvlJc w:val="left"/>
      <w:pPr>
        <w:ind w:left="3600" w:hanging="360"/>
      </w:pPr>
      <w:rPr>
        <w:rFonts w:ascii="Courier New" w:hAnsi="Courier New"/>
      </w:rPr>
    </w:lvl>
    <w:lvl w:ilvl="5" w:tplc="3B3E32C0" w:tentative="1">
      <w:start w:val="1"/>
      <w:numFmt w:val="bullet"/>
      <w:lvlText w:val=""/>
      <w:lvlJc w:val="left"/>
      <w:pPr>
        <w:ind w:left="4320" w:hanging="360"/>
      </w:pPr>
      <w:rPr>
        <w:rFonts w:ascii="Wingdings" w:hAnsi="Wingdings"/>
      </w:rPr>
    </w:lvl>
    <w:lvl w:ilvl="6" w:tplc="4FDAC768" w:tentative="1">
      <w:start w:val="1"/>
      <w:numFmt w:val="bullet"/>
      <w:lvlText w:val=""/>
      <w:lvlJc w:val="left"/>
      <w:pPr>
        <w:ind w:left="5040" w:hanging="360"/>
      </w:pPr>
      <w:rPr>
        <w:rFonts w:ascii="Symbol" w:hAnsi="Symbol"/>
      </w:rPr>
    </w:lvl>
    <w:lvl w:ilvl="7" w:tplc="5AF281F6" w:tentative="1">
      <w:start w:val="1"/>
      <w:numFmt w:val="bullet"/>
      <w:lvlText w:val="o"/>
      <w:lvlJc w:val="left"/>
      <w:pPr>
        <w:ind w:left="5760" w:hanging="360"/>
      </w:pPr>
      <w:rPr>
        <w:rFonts w:ascii="Courier New" w:hAnsi="Courier New"/>
      </w:rPr>
    </w:lvl>
    <w:lvl w:ilvl="8" w:tplc="3810203E" w:tentative="1">
      <w:start w:val="1"/>
      <w:numFmt w:val="bullet"/>
      <w:lvlText w:val=""/>
      <w:lvlJc w:val="left"/>
      <w:pPr>
        <w:ind w:left="6480" w:hanging="360"/>
      </w:pPr>
      <w:rPr>
        <w:rFonts w:ascii="Wingdings" w:hAnsi="Wingdings"/>
      </w:rPr>
    </w:lvl>
  </w:abstractNum>
  <w:abstractNum w:abstractNumId="106" w15:restartNumberingAfterBreak="0">
    <w:nsid w:val="32BD3E0E"/>
    <w:multiLevelType w:val="hybridMultilevel"/>
    <w:tmpl w:val="E4622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2D25157"/>
    <w:multiLevelType w:val="multilevel"/>
    <w:tmpl w:val="6AB29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2E00251"/>
    <w:multiLevelType w:val="hybridMultilevel"/>
    <w:tmpl w:val="417A4A1C"/>
    <w:lvl w:ilvl="0" w:tplc="6412A082">
      <w:start w:val="1"/>
      <w:numFmt w:val="decimal"/>
      <w:suff w:val="space"/>
      <w:lvlText w:val="%1."/>
      <w:lvlJc w:val="left"/>
      <w:pPr>
        <w:ind w:left="1429" w:hanging="360"/>
      </w:pPr>
      <w:rPr>
        <w:rFonts w:hint="default"/>
      </w:rPr>
    </w:lvl>
    <w:lvl w:ilvl="1" w:tplc="6412A082">
      <w:start w:val="1"/>
      <w:numFmt w:val="decimal"/>
      <w:suff w:val="space"/>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15:restartNumberingAfterBreak="0">
    <w:nsid w:val="32E6661C"/>
    <w:multiLevelType w:val="multilevel"/>
    <w:tmpl w:val="AF76D594"/>
    <w:lvl w:ilvl="0">
      <w:start w:val="1"/>
      <w:numFmt w:val="decimal"/>
      <w:lvlText w:val="%1."/>
      <w:lvlJc w:val="left"/>
      <w:pPr>
        <w:tabs>
          <w:tab w:val="num" w:pos="720"/>
        </w:tabs>
        <w:ind w:left="720" w:hanging="360"/>
      </w:pPr>
      <w:rPr>
        <w:rFonts w:ascii="Times New Roman" w:eastAsiaTheme="minorHAnsi" w:hAnsi="Times New Roman" w:cs="Times New Roman"/>
        <w:b w:val="0"/>
        <w:bCs w:val="0"/>
      </w:rPr>
    </w:lvl>
    <w:lvl w:ilvl="1">
      <w:numFmt w:val="bullet"/>
      <w:lvlText w:val="•"/>
      <w:lvlJc w:val="left"/>
      <w:pPr>
        <w:tabs>
          <w:tab w:val="num" w:pos="1494"/>
        </w:tabs>
        <w:ind w:left="1494" w:hanging="360"/>
      </w:pPr>
      <w:rPr>
        <w:rFonts w:ascii="Times New Roman" w:eastAsiaTheme="minorHAnsi" w:hAnsi="Times New Roman" w:cs="Times New Roman"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3C018FC"/>
    <w:multiLevelType w:val="hybridMultilevel"/>
    <w:tmpl w:val="662E54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1" w15:restartNumberingAfterBreak="0">
    <w:nsid w:val="33CC517D"/>
    <w:multiLevelType w:val="hybridMultilevel"/>
    <w:tmpl w:val="036CC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3F50C3E"/>
    <w:multiLevelType w:val="hybridMultilevel"/>
    <w:tmpl w:val="BA722E2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3" w15:restartNumberingAfterBreak="0">
    <w:nsid w:val="34165CCC"/>
    <w:multiLevelType w:val="hybridMultilevel"/>
    <w:tmpl w:val="39BC47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4" w15:restartNumberingAfterBreak="0">
    <w:nsid w:val="34636DDA"/>
    <w:multiLevelType w:val="hybridMultilevel"/>
    <w:tmpl w:val="398AF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4B709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4CA7343"/>
    <w:multiLevelType w:val="multilevel"/>
    <w:tmpl w:val="31C497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68"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5176129"/>
    <w:multiLevelType w:val="hybridMultilevel"/>
    <w:tmpl w:val="0DEEDDEA"/>
    <w:lvl w:ilvl="0" w:tplc="B0B49B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355375FD"/>
    <w:multiLevelType w:val="hybridMultilevel"/>
    <w:tmpl w:val="5E2C1D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9" w15:restartNumberingAfterBreak="0">
    <w:nsid w:val="35816320"/>
    <w:multiLevelType w:val="hybridMultilevel"/>
    <w:tmpl w:val="11622D90"/>
    <w:lvl w:ilvl="0" w:tplc="D758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39035CF2"/>
    <w:multiLevelType w:val="multilevel"/>
    <w:tmpl w:val="D44C1D0A"/>
    <w:lvl w:ilvl="0">
      <w:start w:val="1"/>
      <w:numFmt w:val="bullet"/>
      <w:lvlText w:val=""/>
      <w:lvlJc w:val="left"/>
      <w:pPr>
        <w:tabs>
          <w:tab w:val="num" w:pos="709"/>
        </w:tabs>
        <w:ind w:left="709" w:hanging="283"/>
      </w:pPr>
      <w:rPr>
        <w:rFonts w:ascii="Symbol" w:hAnsi="Symbol" w:cs="Symbol" w:hint="default"/>
        <w:sz w:val="32"/>
        <w:szCs w:val="32"/>
      </w:rPr>
    </w:lvl>
    <w:lvl w:ilvl="1">
      <w:start w:val="1"/>
      <w:numFmt w:val="bullet"/>
      <w:lvlText w:val=""/>
      <w:lvlJc w:val="left"/>
      <w:pPr>
        <w:tabs>
          <w:tab w:val="num" w:pos="1418"/>
        </w:tabs>
        <w:ind w:left="1418" w:hanging="283"/>
      </w:pPr>
      <w:rPr>
        <w:rFonts w:ascii="Symbol" w:hAnsi="Symbol" w:cs="Symbol" w:hint="default"/>
        <w:sz w:val="32"/>
        <w:szCs w:val="32"/>
      </w:rPr>
    </w:lvl>
    <w:lvl w:ilvl="2">
      <w:start w:val="1"/>
      <w:numFmt w:val="bullet"/>
      <w:lvlText w:val=""/>
      <w:lvlJc w:val="left"/>
      <w:pPr>
        <w:tabs>
          <w:tab w:val="num" w:pos="2127"/>
        </w:tabs>
        <w:ind w:left="2127" w:hanging="283"/>
      </w:pPr>
      <w:rPr>
        <w:rFonts w:ascii="Symbol" w:hAnsi="Symbol" w:cs="Symbol" w:hint="default"/>
        <w:sz w:val="32"/>
        <w:szCs w:val="32"/>
      </w:rPr>
    </w:lvl>
    <w:lvl w:ilvl="3">
      <w:start w:val="1"/>
      <w:numFmt w:val="bullet"/>
      <w:lvlText w:val=""/>
      <w:lvlJc w:val="left"/>
      <w:pPr>
        <w:tabs>
          <w:tab w:val="num" w:pos="2836"/>
        </w:tabs>
        <w:ind w:left="2836" w:hanging="283"/>
      </w:pPr>
      <w:rPr>
        <w:rFonts w:ascii="Symbol" w:hAnsi="Symbol" w:cs="Symbol" w:hint="default"/>
        <w:sz w:val="32"/>
        <w:szCs w:val="32"/>
      </w:rPr>
    </w:lvl>
    <w:lvl w:ilvl="4">
      <w:start w:val="1"/>
      <w:numFmt w:val="bullet"/>
      <w:lvlText w:val=""/>
      <w:lvlJc w:val="left"/>
      <w:pPr>
        <w:tabs>
          <w:tab w:val="num" w:pos="3545"/>
        </w:tabs>
        <w:ind w:left="3545" w:hanging="283"/>
      </w:pPr>
      <w:rPr>
        <w:rFonts w:ascii="Symbol" w:hAnsi="Symbol" w:cs="Symbol" w:hint="default"/>
        <w:sz w:val="32"/>
        <w:szCs w:val="32"/>
      </w:rPr>
    </w:lvl>
    <w:lvl w:ilvl="5">
      <w:start w:val="1"/>
      <w:numFmt w:val="bullet"/>
      <w:lvlText w:val=""/>
      <w:lvlJc w:val="left"/>
      <w:pPr>
        <w:tabs>
          <w:tab w:val="num" w:pos="4254"/>
        </w:tabs>
        <w:ind w:left="4254" w:hanging="283"/>
      </w:pPr>
      <w:rPr>
        <w:rFonts w:ascii="Symbol" w:hAnsi="Symbol" w:cs="Symbol" w:hint="default"/>
        <w:sz w:val="32"/>
        <w:szCs w:val="32"/>
      </w:rPr>
    </w:lvl>
    <w:lvl w:ilvl="6">
      <w:start w:val="1"/>
      <w:numFmt w:val="bullet"/>
      <w:lvlText w:val=""/>
      <w:lvlJc w:val="left"/>
      <w:pPr>
        <w:tabs>
          <w:tab w:val="num" w:pos="4963"/>
        </w:tabs>
        <w:ind w:left="4963" w:hanging="283"/>
      </w:pPr>
      <w:rPr>
        <w:rFonts w:ascii="Symbol" w:hAnsi="Symbol" w:cs="Symbol" w:hint="default"/>
        <w:sz w:val="32"/>
        <w:szCs w:val="32"/>
      </w:rPr>
    </w:lvl>
    <w:lvl w:ilvl="7">
      <w:start w:val="1"/>
      <w:numFmt w:val="bullet"/>
      <w:lvlText w:val=""/>
      <w:lvlJc w:val="left"/>
      <w:pPr>
        <w:tabs>
          <w:tab w:val="num" w:pos="5672"/>
        </w:tabs>
        <w:ind w:left="5672" w:hanging="283"/>
      </w:pPr>
      <w:rPr>
        <w:rFonts w:ascii="Symbol" w:hAnsi="Symbol" w:cs="Symbol" w:hint="default"/>
        <w:sz w:val="32"/>
        <w:szCs w:val="32"/>
      </w:rPr>
    </w:lvl>
    <w:lvl w:ilvl="8">
      <w:start w:val="1"/>
      <w:numFmt w:val="bullet"/>
      <w:lvlText w:val=""/>
      <w:lvlJc w:val="left"/>
      <w:pPr>
        <w:tabs>
          <w:tab w:val="num" w:pos="6381"/>
        </w:tabs>
        <w:ind w:left="6381" w:hanging="283"/>
      </w:pPr>
      <w:rPr>
        <w:rFonts w:ascii="Symbol" w:hAnsi="Symbol" w:cs="Symbol" w:hint="default"/>
        <w:sz w:val="32"/>
        <w:szCs w:val="32"/>
      </w:rPr>
    </w:lvl>
  </w:abstractNum>
  <w:abstractNum w:abstractNumId="121" w15:restartNumberingAfterBreak="0">
    <w:nsid w:val="39907B35"/>
    <w:multiLevelType w:val="hybridMultilevel"/>
    <w:tmpl w:val="46CC981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2" w15:restartNumberingAfterBreak="0">
    <w:nsid w:val="39C32048"/>
    <w:multiLevelType w:val="hybridMultilevel"/>
    <w:tmpl w:val="6F966DD4"/>
    <w:lvl w:ilvl="0" w:tplc="9870932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39C867AF"/>
    <w:multiLevelType w:val="hybridMultilevel"/>
    <w:tmpl w:val="FF4A4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A0D4B75"/>
    <w:multiLevelType w:val="multilevel"/>
    <w:tmpl w:val="BAA4B2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B283535"/>
    <w:multiLevelType w:val="hybridMultilevel"/>
    <w:tmpl w:val="3A3EBA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6" w15:restartNumberingAfterBreak="0">
    <w:nsid w:val="3C606836"/>
    <w:multiLevelType w:val="multilevel"/>
    <w:tmpl w:val="65E81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C77555B"/>
    <w:multiLevelType w:val="hybridMultilevel"/>
    <w:tmpl w:val="0E1A64B8"/>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28" w15:restartNumberingAfterBreak="0">
    <w:nsid w:val="3CD32430"/>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F4034AA"/>
    <w:multiLevelType w:val="hybridMultilevel"/>
    <w:tmpl w:val="69E6F6FA"/>
    <w:lvl w:ilvl="0" w:tplc="860AC83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3F530EC3"/>
    <w:multiLevelType w:val="hybridMultilevel"/>
    <w:tmpl w:val="5872891E"/>
    <w:lvl w:ilvl="0" w:tplc="761C9D8C">
      <w:start w:val="1"/>
      <w:numFmt w:val="bullet"/>
      <w:lvlText w:val="-"/>
      <w:lvlJc w:val="left"/>
      <w:pPr>
        <w:ind w:left="1068"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3F684814"/>
    <w:multiLevelType w:val="multilevel"/>
    <w:tmpl w:val="F6F4796A"/>
    <w:lvl w:ilvl="0">
      <w:start w:val="1"/>
      <w:numFmt w:val="decimal"/>
      <w:lvlText w:val="%1."/>
      <w:lvlJc w:val="left"/>
      <w:pPr>
        <w:ind w:left="521" w:hanging="360"/>
      </w:pPr>
      <w:rPr>
        <w:b w:val="0"/>
      </w:rPr>
    </w:lvl>
    <w:lvl w:ilvl="1">
      <w:start w:val="1"/>
      <w:numFmt w:val="lowerLetter"/>
      <w:lvlText w:val="%2."/>
      <w:lvlJc w:val="left"/>
      <w:pPr>
        <w:ind w:left="1241" w:hanging="360"/>
      </w:pPr>
    </w:lvl>
    <w:lvl w:ilvl="2">
      <w:start w:val="1"/>
      <w:numFmt w:val="lowerRoman"/>
      <w:lvlText w:val="%3."/>
      <w:lvlJc w:val="right"/>
      <w:pPr>
        <w:ind w:left="1961" w:hanging="180"/>
      </w:pPr>
    </w:lvl>
    <w:lvl w:ilvl="3">
      <w:start w:val="1"/>
      <w:numFmt w:val="decimal"/>
      <w:lvlText w:val="%4."/>
      <w:lvlJc w:val="left"/>
      <w:pPr>
        <w:ind w:left="2681" w:hanging="360"/>
      </w:pPr>
    </w:lvl>
    <w:lvl w:ilvl="4">
      <w:start w:val="1"/>
      <w:numFmt w:val="lowerLetter"/>
      <w:lvlText w:val="%5."/>
      <w:lvlJc w:val="left"/>
      <w:pPr>
        <w:ind w:left="3401" w:hanging="360"/>
      </w:pPr>
    </w:lvl>
    <w:lvl w:ilvl="5">
      <w:start w:val="1"/>
      <w:numFmt w:val="lowerRoman"/>
      <w:lvlText w:val="%6."/>
      <w:lvlJc w:val="right"/>
      <w:pPr>
        <w:ind w:left="4121" w:hanging="180"/>
      </w:pPr>
    </w:lvl>
    <w:lvl w:ilvl="6">
      <w:start w:val="1"/>
      <w:numFmt w:val="decimal"/>
      <w:lvlText w:val="%7."/>
      <w:lvlJc w:val="left"/>
      <w:pPr>
        <w:ind w:left="4841" w:hanging="360"/>
      </w:pPr>
    </w:lvl>
    <w:lvl w:ilvl="7">
      <w:start w:val="1"/>
      <w:numFmt w:val="lowerLetter"/>
      <w:lvlText w:val="%8."/>
      <w:lvlJc w:val="left"/>
      <w:pPr>
        <w:ind w:left="5561" w:hanging="360"/>
      </w:pPr>
    </w:lvl>
    <w:lvl w:ilvl="8">
      <w:start w:val="1"/>
      <w:numFmt w:val="lowerRoman"/>
      <w:lvlText w:val="%9."/>
      <w:lvlJc w:val="right"/>
      <w:pPr>
        <w:ind w:left="6281" w:hanging="180"/>
      </w:pPr>
    </w:lvl>
  </w:abstractNum>
  <w:abstractNum w:abstractNumId="132" w15:restartNumberingAfterBreak="0">
    <w:nsid w:val="3FA853AF"/>
    <w:multiLevelType w:val="hybridMultilevel"/>
    <w:tmpl w:val="69429CAA"/>
    <w:lvl w:ilvl="0" w:tplc="EAE4D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3FD17D8D"/>
    <w:multiLevelType w:val="hybridMultilevel"/>
    <w:tmpl w:val="477258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15:restartNumberingAfterBreak="0">
    <w:nsid w:val="4075157F"/>
    <w:multiLevelType w:val="hybridMultilevel"/>
    <w:tmpl w:val="F09C4D38"/>
    <w:lvl w:ilvl="0" w:tplc="23B08410">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5" w15:restartNumberingAfterBreak="0">
    <w:nsid w:val="413B40E6"/>
    <w:multiLevelType w:val="hybridMultilevel"/>
    <w:tmpl w:val="03949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2156786"/>
    <w:multiLevelType w:val="multilevel"/>
    <w:tmpl w:val="85B04DA6"/>
    <w:lvl w:ilvl="0">
      <w:start w:val="1"/>
      <w:numFmt w:val="bullet"/>
      <w:lvlText w:val="-"/>
      <w:lvlJc w:val="left"/>
      <w:pPr>
        <w:tabs>
          <w:tab w:val="num" w:pos="709"/>
        </w:tabs>
        <w:ind w:left="709" w:hanging="283"/>
      </w:pPr>
      <w:rPr>
        <w:rFonts w:ascii="Arial" w:hAnsi="Aria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7" w15:restartNumberingAfterBreak="0">
    <w:nsid w:val="42184350"/>
    <w:multiLevelType w:val="hybridMultilevel"/>
    <w:tmpl w:val="FFDC5A48"/>
    <w:lvl w:ilvl="0" w:tplc="F5B859BC">
      <w:start w:val="1"/>
      <w:numFmt w:val="decimal"/>
      <w:lvlText w:val="%1."/>
      <w:lvlJc w:val="left"/>
      <w:pPr>
        <w:ind w:left="1375" w:hanging="360"/>
      </w:pPr>
      <w:rPr>
        <w:rFonts w:hint="default"/>
      </w:rPr>
    </w:lvl>
    <w:lvl w:ilvl="1" w:tplc="04190019" w:tentative="1">
      <w:start w:val="1"/>
      <w:numFmt w:val="lowerLetter"/>
      <w:lvlText w:val="%2."/>
      <w:lvlJc w:val="left"/>
      <w:pPr>
        <w:ind w:left="2095" w:hanging="360"/>
      </w:pPr>
    </w:lvl>
    <w:lvl w:ilvl="2" w:tplc="0419001B" w:tentative="1">
      <w:start w:val="1"/>
      <w:numFmt w:val="lowerRoman"/>
      <w:lvlText w:val="%3."/>
      <w:lvlJc w:val="right"/>
      <w:pPr>
        <w:ind w:left="2815" w:hanging="180"/>
      </w:pPr>
    </w:lvl>
    <w:lvl w:ilvl="3" w:tplc="0419000F" w:tentative="1">
      <w:start w:val="1"/>
      <w:numFmt w:val="decimal"/>
      <w:lvlText w:val="%4."/>
      <w:lvlJc w:val="left"/>
      <w:pPr>
        <w:ind w:left="3535" w:hanging="360"/>
      </w:pPr>
    </w:lvl>
    <w:lvl w:ilvl="4" w:tplc="04190019" w:tentative="1">
      <w:start w:val="1"/>
      <w:numFmt w:val="lowerLetter"/>
      <w:lvlText w:val="%5."/>
      <w:lvlJc w:val="left"/>
      <w:pPr>
        <w:ind w:left="4255" w:hanging="360"/>
      </w:pPr>
    </w:lvl>
    <w:lvl w:ilvl="5" w:tplc="0419001B" w:tentative="1">
      <w:start w:val="1"/>
      <w:numFmt w:val="lowerRoman"/>
      <w:lvlText w:val="%6."/>
      <w:lvlJc w:val="right"/>
      <w:pPr>
        <w:ind w:left="4975" w:hanging="180"/>
      </w:pPr>
    </w:lvl>
    <w:lvl w:ilvl="6" w:tplc="0419000F" w:tentative="1">
      <w:start w:val="1"/>
      <w:numFmt w:val="decimal"/>
      <w:lvlText w:val="%7."/>
      <w:lvlJc w:val="left"/>
      <w:pPr>
        <w:ind w:left="5695" w:hanging="360"/>
      </w:pPr>
    </w:lvl>
    <w:lvl w:ilvl="7" w:tplc="04190019" w:tentative="1">
      <w:start w:val="1"/>
      <w:numFmt w:val="lowerLetter"/>
      <w:lvlText w:val="%8."/>
      <w:lvlJc w:val="left"/>
      <w:pPr>
        <w:ind w:left="6415" w:hanging="360"/>
      </w:pPr>
    </w:lvl>
    <w:lvl w:ilvl="8" w:tplc="0419001B" w:tentative="1">
      <w:start w:val="1"/>
      <w:numFmt w:val="lowerRoman"/>
      <w:lvlText w:val="%9."/>
      <w:lvlJc w:val="right"/>
      <w:pPr>
        <w:ind w:left="7135" w:hanging="180"/>
      </w:pPr>
    </w:lvl>
  </w:abstractNum>
  <w:abstractNum w:abstractNumId="138" w15:restartNumberingAfterBreak="0">
    <w:nsid w:val="425566EB"/>
    <w:multiLevelType w:val="hybridMultilevel"/>
    <w:tmpl w:val="242025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9" w15:restartNumberingAfterBreak="0">
    <w:nsid w:val="42EB60D0"/>
    <w:multiLevelType w:val="multilevel"/>
    <w:tmpl w:val="B832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4A300C7"/>
    <w:multiLevelType w:val="singleLevel"/>
    <w:tmpl w:val="44A300C7"/>
    <w:lvl w:ilvl="0">
      <w:start w:val="1"/>
      <w:numFmt w:val="decimal"/>
      <w:suff w:val="space"/>
      <w:lvlText w:val="%1)"/>
      <w:lvlJc w:val="left"/>
    </w:lvl>
  </w:abstractNum>
  <w:abstractNum w:abstractNumId="141" w15:restartNumberingAfterBreak="0">
    <w:nsid w:val="455F1A17"/>
    <w:multiLevelType w:val="hybridMultilevel"/>
    <w:tmpl w:val="D7FEAA90"/>
    <w:lvl w:ilvl="0" w:tplc="0BFC47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15:restartNumberingAfterBreak="0">
    <w:nsid w:val="45965482"/>
    <w:multiLevelType w:val="multilevel"/>
    <w:tmpl w:val="A9B6462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43" w15:restartNumberingAfterBreak="0">
    <w:nsid w:val="45AB723A"/>
    <w:multiLevelType w:val="hybridMultilevel"/>
    <w:tmpl w:val="2D3CA9D0"/>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45C549C7"/>
    <w:multiLevelType w:val="hybridMultilevel"/>
    <w:tmpl w:val="7C2AE010"/>
    <w:lvl w:ilvl="0" w:tplc="4A2E33BA">
      <w:start w:val="1"/>
      <w:numFmt w:val="decimal"/>
      <w:suff w:val="space"/>
      <w:lvlText w:val="%1."/>
      <w:lvlJc w:val="left"/>
      <w:pPr>
        <w:ind w:left="720" w:hanging="360"/>
      </w:pPr>
      <w:rPr>
        <w:rFonts w:hint="default"/>
        <w:sz w:val="21"/>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6283846"/>
    <w:multiLevelType w:val="hybridMultilevel"/>
    <w:tmpl w:val="4444656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46" w15:restartNumberingAfterBreak="0">
    <w:nsid w:val="471A705A"/>
    <w:multiLevelType w:val="hybridMultilevel"/>
    <w:tmpl w:val="848A43EA"/>
    <w:lvl w:ilvl="0" w:tplc="0FB61922">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7" w15:restartNumberingAfterBreak="0">
    <w:nsid w:val="489127AF"/>
    <w:multiLevelType w:val="hybridMultilevel"/>
    <w:tmpl w:val="5628D1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8" w15:restartNumberingAfterBreak="0">
    <w:nsid w:val="489F4B84"/>
    <w:multiLevelType w:val="hybridMultilevel"/>
    <w:tmpl w:val="48044EC0"/>
    <w:lvl w:ilvl="0" w:tplc="0419000F">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49" w15:restartNumberingAfterBreak="0">
    <w:nsid w:val="48BF0BF5"/>
    <w:multiLevelType w:val="hybridMultilevel"/>
    <w:tmpl w:val="E708C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48C61B61"/>
    <w:multiLevelType w:val="multilevel"/>
    <w:tmpl w:val="440837E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8F057B7"/>
    <w:multiLevelType w:val="hybridMultilevel"/>
    <w:tmpl w:val="C1404710"/>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495334C2"/>
    <w:multiLevelType w:val="hybridMultilevel"/>
    <w:tmpl w:val="62EEB8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497B4790"/>
    <w:multiLevelType w:val="hybridMultilevel"/>
    <w:tmpl w:val="4AE81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49DB2DCB"/>
    <w:multiLevelType w:val="hybridMultilevel"/>
    <w:tmpl w:val="22DA6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A8474A1"/>
    <w:multiLevelType w:val="hybridMultilevel"/>
    <w:tmpl w:val="0B4CB4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4AC64668"/>
    <w:multiLevelType w:val="hybridMultilevel"/>
    <w:tmpl w:val="A33A724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4BB23166"/>
    <w:multiLevelType w:val="hybridMultilevel"/>
    <w:tmpl w:val="8CB09EA4"/>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58" w15:restartNumberingAfterBreak="0">
    <w:nsid w:val="4C1E6370"/>
    <w:multiLevelType w:val="multilevel"/>
    <w:tmpl w:val="F98AD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4CAC3714"/>
    <w:multiLevelType w:val="hybridMultilevel"/>
    <w:tmpl w:val="424CA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4CE77182"/>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D1B5AB3"/>
    <w:multiLevelType w:val="multilevel"/>
    <w:tmpl w:val="8F1E1E74"/>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15:restartNumberingAfterBreak="0">
    <w:nsid w:val="4DBB4A59"/>
    <w:multiLevelType w:val="hybridMultilevel"/>
    <w:tmpl w:val="006EBF50"/>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4DE70A50"/>
    <w:multiLevelType w:val="hybridMultilevel"/>
    <w:tmpl w:val="934679D8"/>
    <w:lvl w:ilvl="0" w:tplc="DC202FEC">
      <w:start w:val="1"/>
      <w:numFmt w:val="decimal"/>
      <w:lvlText w:val="%1."/>
      <w:lvlJc w:val="left"/>
      <w:pPr>
        <w:ind w:left="720" w:hanging="360"/>
      </w:pPr>
    </w:lvl>
    <w:lvl w:ilvl="1" w:tplc="C5FE4E94">
      <w:start w:val="1"/>
      <w:numFmt w:val="lowerLetter"/>
      <w:lvlText w:val="%2."/>
      <w:lvlJc w:val="left"/>
      <w:pPr>
        <w:ind w:left="1440" w:hanging="360"/>
      </w:pPr>
    </w:lvl>
    <w:lvl w:ilvl="2" w:tplc="13028FE0">
      <w:start w:val="1"/>
      <w:numFmt w:val="lowerRoman"/>
      <w:lvlText w:val="%3."/>
      <w:lvlJc w:val="right"/>
      <w:pPr>
        <w:ind w:left="2160" w:hanging="180"/>
      </w:pPr>
    </w:lvl>
    <w:lvl w:ilvl="3" w:tplc="25E88FBE">
      <w:start w:val="1"/>
      <w:numFmt w:val="decimal"/>
      <w:lvlText w:val="%4."/>
      <w:lvlJc w:val="left"/>
      <w:pPr>
        <w:ind w:left="2880" w:hanging="360"/>
      </w:pPr>
    </w:lvl>
    <w:lvl w:ilvl="4" w:tplc="D2B4E208">
      <w:start w:val="1"/>
      <w:numFmt w:val="lowerLetter"/>
      <w:lvlText w:val="%5."/>
      <w:lvlJc w:val="left"/>
      <w:pPr>
        <w:ind w:left="3600" w:hanging="360"/>
      </w:pPr>
    </w:lvl>
    <w:lvl w:ilvl="5" w:tplc="0AF81FCE">
      <w:start w:val="1"/>
      <w:numFmt w:val="lowerRoman"/>
      <w:lvlText w:val="%6."/>
      <w:lvlJc w:val="right"/>
      <w:pPr>
        <w:ind w:left="4320" w:hanging="180"/>
      </w:pPr>
    </w:lvl>
    <w:lvl w:ilvl="6" w:tplc="A0DA708E">
      <w:start w:val="1"/>
      <w:numFmt w:val="decimal"/>
      <w:lvlText w:val="%7."/>
      <w:lvlJc w:val="left"/>
      <w:pPr>
        <w:ind w:left="5040" w:hanging="360"/>
      </w:pPr>
    </w:lvl>
    <w:lvl w:ilvl="7" w:tplc="7BFE2B3A">
      <w:start w:val="1"/>
      <w:numFmt w:val="lowerLetter"/>
      <w:lvlText w:val="%8."/>
      <w:lvlJc w:val="left"/>
      <w:pPr>
        <w:ind w:left="5760" w:hanging="360"/>
      </w:pPr>
    </w:lvl>
    <w:lvl w:ilvl="8" w:tplc="DC809480">
      <w:start w:val="1"/>
      <w:numFmt w:val="lowerRoman"/>
      <w:lvlText w:val="%9."/>
      <w:lvlJc w:val="right"/>
      <w:pPr>
        <w:ind w:left="6480" w:hanging="180"/>
      </w:pPr>
    </w:lvl>
  </w:abstractNum>
  <w:abstractNum w:abstractNumId="164" w15:restartNumberingAfterBreak="0">
    <w:nsid w:val="4E1C49BD"/>
    <w:multiLevelType w:val="hybridMultilevel"/>
    <w:tmpl w:val="44F4B630"/>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4F3970C5"/>
    <w:multiLevelType w:val="multilevel"/>
    <w:tmpl w:val="FDB6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FEA774C"/>
    <w:multiLevelType w:val="hybridMultilevel"/>
    <w:tmpl w:val="0512F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0493579"/>
    <w:multiLevelType w:val="hybridMultilevel"/>
    <w:tmpl w:val="1CC61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0B6102E"/>
    <w:multiLevelType w:val="hybridMultilevel"/>
    <w:tmpl w:val="FFFFFFFF"/>
    <w:lvl w:ilvl="0" w:tplc="B846E2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015E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98647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4F23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856C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C88F2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1ADEA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ED07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4396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15036E5"/>
    <w:multiLevelType w:val="multilevel"/>
    <w:tmpl w:val="F98AD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51696AB3"/>
    <w:multiLevelType w:val="hybridMultilevel"/>
    <w:tmpl w:val="25C0793C"/>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1C368CC"/>
    <w:multiLevelType w:val="hybridMultilevel"/>
    <w:tmpl w:val="79E48F5A"/>
    <w:lvl w:ilvl="0" w:tplc="52E2F80C">
      <w:start w:val="1"/>
      <w:numFmt w:val="decimal"/>
      <w:suff w:val="space"/>
      <w:lvlText w:val="%1."/>
      <w:lvlJc w:val="left"/>
      <w:pPr>
        <w:ind w:left="720" w:hanging="360"/>
      </w:pPr>
      <w:rPr>
        <w:rFonts w:hint="default"/>
      </w:rPr>
    </w:lvl>
    <w:lvl w:ilvl="1" w:tplc="D0ACD10C">
      <w:start w:val="1"/>
      <w:numFmt w:val="decimal"/>
      <w:suff w:val="space"/>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51E165D8"/>
    <w:multiLevelType w:val="hybridMultilevel"/>
    <w:tmpl w:val="CB5C0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2140048"/>
    <w:multiLevelType w:val="multilevel"/>
    <w:tmpl w:val="D4E880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4" w15:restartNumberingAfterBreak="0">
    <w:nsid w:val="53EF47FF"/>
    <w:multiLevelType w:val="hybridMultilevel"/>
    <w:tmpl w:val="B7607E9E"/>
    <w:lvl w:ilvl="0" w:tplc="964079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5" w15:restartNumberingAfterBreak="0">
    <w:nsid w:val="545B5BB4"/>
    <w:multiLevelType w:val="hybridMultilevel"/>
    <w:tmpl w:val="A8B47616"/>
    <w:lvl w:ilvl="0" w:tplc="C150CCEC">
      <w:start w:val="1"/>
      <w:numFmt w:val="bullet"/>
      <w:lvlText w:val=""/>
      <w:lvlJc w:val="left"/>
      <w:pPr>
        <w:ind w:left="720" w:hanging="360"/>
      </w:pPr>
      <w:rPr>
        <w:rFonts w:ascii="Symbol" w:hAnsi="Symbol"/>
        <w:sz w:val="20"/>
        <w:szCs w:val="20"/>
      </w:rPr>
    </w:lvl>
    <w:lvl w:ilvl="1" w:tplc="247E3ACA" w:tentative="1">
      <w:start w:val="1"/>
      <w:numFmt w:val="bullet"/>
      <w:lvlText w:val="o"/>
      <w:lvlJc w:val="left"/>
      <w:pPr>
        <w:ind w:left="1440" w:hanging="360"/>
      </w:pPr>
      <w:rPr>
        <w:rFonts w:ascii="Courier New" w:hAnsi="Courier New"/>
      </w:rPr>
    </w:lvl>
    <w:lvl w:ilvl="2" w:tplc="B12C7BBE" w:tentative="1">
      <w:start w:val="1"/>
      <w:numFmt w:val="bullet"/>
      <w:lvlText w:val=""/>
      <w:lvlJc w:val="left"/>
      <w:pPr>
        <w:ind w:left="2160" w:hanging="360"/>
      </w:pPr>
      <w:rPr>
        <w:rFonts w:ascii="Wingdings" w:hAnsi="Wingdings"/>
      </w:rPr>
    </w:lvl>
    <w:lvl w:ilvl="3" w:tplc="8B884C62" w:tentative="1">
      <w:start w:val="1"/>
      <w:numFmt w:val="bullet"/>
      <w:lvlText w:val=""/>
      <w:lvlJc w:val="left"/>
      <w:pPr>
        <w:ind w:left="2880" w:hanging="360"/>
      </w:pPr>
      <w:rPr>
        <w:rFonts w:ascii="Symbol" w:hAnsi="Symbol"/>
      </w:rPr>
    </w:lvl>
    <w:lvl w:ilvl="4" w:tplc="DB281142" w:tentative="1">
      <w:start w:val="1"/>
      <w:numFmt w:val="bullet"/>
      <w:lvlText w:val="o"/>
      <w:lvlJc w:val="left"/>
      <w:pPr>
        <w:ind w:left="3600" w:hanging="360"/>
      </w:pPr>
      <w:rPr>
        <w:rFonts w:ascii="Courier New" w:hAnsi="Courier New"/>
      </w:rPr>
    </w:lvl>
    <w:lvl w:ilvl="5" w:tplc="57FA6436" w:tentative="1">
      <w:start w:val="1"/>
      <w:numFmt w:val="bullet"/>
      <w:lvlText w:val=""/>
      <w:lvlJc w:val="left"/>
      <w:pPr>
        <w:ind w:left="4320" w:hanging="360"/>
      </w:pPr>
      <w:rPr>
        <w:rFonts w:ascii="Wingdings" w:hAnsi="Wingdings"/>
      </w:rPr>
    </w:lvl>
    <w:lvl w:ilvl="6" w:tplc="F9D2B734" w:tentative="1">
      <w:start w:val="1"/>
      <w:numFmt w:val="bullet"/>
      <w:lvlText w:val=""/>
      <w:lvlJc w:val="left"/>
      <w:pPr>
        <w:ind w:left="5040" w:hanging="360"/>
      </w:pPr>
      <w:rPr>
        <w:rFonts w:ascii="Symbol" w:hAnsi="Symbol"/>
      </w:rPr>
    </w:lvl>
    <w:lvl w:ilvl="7" w:tplc="EE2EE440" w:tentative="1">
      <w:start w:val="1"/>
      <w:numFmt w:val="bullet"/>
      <w:lvlText w:val="o"/>
      <w:lvlJc w:val="left"/>
      <w:pPr>
        <w:ind w:left="5760" w:hanging="360"/>
      </w:pPr>
      <w:rPr>
        <w:rFonts w:ascii="Courier New" w:hAnsi="Courier New"/>
      </w:rPr>
    </w:lvl>
    <w:lvl w:ilvl="8" w:tplc="1B32C5D0" w:tentative="1">
      <w:start w:val="1"/>
      <w:numFmt w:val="bullet"/>
      <w:lvlText w:val=""/>
      <w:lvlJc w:val="left"/>
      <w:pPr>
        <w:ind w:left="6480" w:hanging="360"/>
      </w:pPr>
      <w:rPr>
        <w:rFonts w:ascii="Wingdings" w:hAnsi="Wingdings"/>
      </w:rPr>
    </w:lvl>
  </w:abstractNum>
  <w:abstractNum w:abstractNumId="176" w15:restartNumberingAfterBreak="0">
    <w:nsid w:val="551E28F5"/>
    <w:multiLevelType w:val="hybridMultilevel"/>
    <w:tmpl w:val="51685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5B829FD"/>
    <w:multiLevelType w:val="hybridMultilevel"/>
    <w:tmpl w:val="FFFFFFFF"/>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78" w15:restartNumberingAfterBreak="0">
    <w:nsid w:val="55E74933"/>
    <w:multiLevelType w:val="hybridMultilevel"/>
    <w:tmpl w:val="EB8C0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6274FBD"/>
    <w:multiLevelType w:val="hybridMultilevel"/>
    <w:tmpl w:val="83A00D46"/>
    <w:lvl w:ilvl="0" w:tplc="A00436FA">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15:restartNumberingAfterBreak="0">
    <w:nsid w:val="5653054A"/>
    <w:multiLevelType w:val="hybridMultilevel"/>
    <w:tmpl w:val="17BE2C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1" w15:restartNumberingAfterBreak="0">
    <w:nsid w:val="56DA31A3"/>
    <w:multiLevelType w:val="hybridMultilevel"/>
    <w:tmpl w:val="D6DEC1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9043634"/>
    <w:multiLevelType w:val="hybridMultilevel"/>
    <w:tmpl w:val="6FA0C3A4"/>
    <w:styleLink w:val="a"/>
    <w:lvl w:ilvl="0" w:tplc="E768089E">
      <w:start w:val="1"/>
      <w:numFmt w:val="decimal"/>
      <w:lvlText w:val="%1."/>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E578C5BE">
      <w:start w:val="1"/>
      <w:numFmt w:val="decimal"/>
      <w:lvlText w:val="%2."/>
      <w:lvlJc w:val="left"/>
      <w:pPr>
        <w:ind w:left="10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C0B6BCE0">
      <w:start w:val="1"/>
      <w:numFmt w:val="decimal"/>
      <w:lvlText w:val="%3."/>
      <w:lvlJc w:val="left"/>
      <w:pPr>
        <w:ind w:left="18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B48C09C">
      <w:start w:val="1"/>
      <w:numFmt w:val="decimal"/>
      <w:lvlText w:val="%4."/>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90A8EB82">
      <w:start w:val="1"/>
      <w:numFmt w:val="decimal"/>
      <w:lvlText w:val="%5."/>
      <w:lvlJc w:val="left"/>
      <w:pPr>
        <w:ind w:left="34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58D8F228">
      <w:start w:val="1"/>
      <w:numFmt w:val="decimal"/>
      <w:lvlText w:val="%6."/>
      <w:lvlJc w:val="left"/>
      <w:pPr>
        <w:ind w:left="4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AF92F5B8">
      <w:start w:val="1"/>
      <w:numFmt w:val="decimal"/>
      <w:lvlText w:val="%7."/>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466AD5F0">
      <w:start w:val="1"/>
      <w:numFmt w:val="decimal"/>
      <w:lvlText w:val="%8."/>
      <w:lvlJc w:val="left"/>
      <w:pPr>
        <w:ind w:left="58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F96AFC92">
      <w:start w:val="1"/>
      <w:numFmt w:val="decimal"/>
      <w:lvlText w:val="%9."/>
      <w:lvlJc w:val="left"/>
      <w:pPr>
        <w:ind w:left="66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3" w15:restartNumberingAfterBreak="0">
    <w:nsid w:val="592702A6"/>
    <w:multiLevelType w:val="multilevel"/>
    <w:tmpl w:val="93BA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9711968"/>
    <w:multiLevelType w:val="hybridMultilevel"/>
    <w:tmpl w:val="D37CB88A"/>
    <w:lvl w:ilvl="0" w:tplc="13E47B92">
      <w:start w:val="1"/>
      <w:numFmt w:val="decimal"/>
      <w:lvlText w:val="%1."/>
      <w:lvlJc w:val="left"/>
      <w:pPr>
        <w:ind w:left="720" w:hanging="360"/>
      </w:pPr>
      <w:rPr>
        <w:rFonts w:hint="default"/>
        <w:b w:val="0"/>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9B94C96"/>
    <w:multiLevelType w:val="hybridMultilevel"/>
    <w:tmpl w:val="9A648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9C94508"/>
    <w:multiLevelType w:val="hybridMultilevel"/>
    <w:tmpl w:val="90C0818E"/>
    <w:lvl w:ilvl="0" w:tplc="39DE77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7" w15:restartNumberingAfterBreak="0">
    <w:nsid w:val="5A3E58EE"/>
    <w:multiLevelType w:val="multilevel"/>
    <w:tmpl w:val="643E278E"/>
    <w:lvl w:ilvl="0">
      <w:start w:val="1"/>
      <w:numFmt w:val="decimal"/>
      <w:suff w:val="space"/>
      <w:lvlText w:val="%1."/>
      <w:lvlJc w:val="left"/>
      <w:pPr>
        <w:ind w:left="720" w:hanging="360"/>
      </w:pPr>
      <w:rPr>
        <w:rFonts w:hint="default"/>
        <w:sz w:val="32"/>
        <w:szCs w:val="4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AD6FB95"/>
    <w:multiLevelType w:val="hybridMultilevel"/>
    <w:tmpl w:val="463CFA22"/>
    <w:lvl w:ilvl="0" w:tplc="B03ED91C">
      <w:start w:val="1"/>
      <w:numFmt w:val="decimal"/>
      <w:lvlText w:val="%1."/>
      <w:lvlJc w:val="left"/>
      <w:pPr>
        <w:ind w:left="720" w:hanging="360"/>
      </w:pPr>
    </w:lvl>
    <w:lvl w:ilvl="1" w:tplc="C8CE0AA0" w:tentative="1">
      <w:start w:val="1"/>
      <w:numFmt w:val="lowerLetter"/>
      <w:lvlText w:val="%2."/>
      <w:lvlJc w:val="left"/>
      <w:pPr>
        <w:ind w:left="1440" w:hanging="360"/>
      </w:pPr>
    </w:lvl>
    <w:lvl w:ilvl="2" w:tplc="E2AC8578" w:tentative="1">
      <w:start w:val="1"/>
      <w:numFmt w:val="lowerRoman"/>
      <w:lvlText w:val="%3."/>
      <w:lvlJc w:val="right"/>
      <w:pPr>
        <w:ind w:left="2160" w:hanging="180"/>
      </w:pPr>
    </w:lvl>
    <w:lvl w:ilvl="3" w:tplc="D132F17A" w:tentative="1">
      <w:start w:val="1"/>
      <w:numFmt w:val="decimal"/>
      <w:lvlText w:val="%4."/>
      <w:lvlJc w:val="left"/>
      <w:pPr>
        <w:ind w:left="2880" w:hanging="360"/>
      </w:pPr>
    </w:lvl>
    <w:lvl w:ilvl="4" w:tplc="923EE3B0" w:tentative="1">
      <w:start w:val="1"/>
      <w:numFmt w:val="lowerLetter"/>
      <w:lvlText w:val="%5."/>
      <w:lvlJc w:val="left"/>
      <w:pPr>
        <w:ind w:left="3600" w:hanging="360"/>
      </w:pPr>
    </w:lvl>
    <w:lvl w:ilvl="5" w:tplc="886C3FB0" w:tentative="1">
      <w:start w:val="1"/>
      <w:numFmt w:val="lowerRoman"/>
      <w:lvlText w:val="%6."/>
      <w:lvlJc w:val="right"/>
      <w:pPr>
        <w:ind w:left="4320" w:hanging="180"/>
      </w:pPr>
    </w:lvl>
    <w:lvl w:ilvl="6" w:tplc="C770931C" w:tentative="1">
      <w:start w:val="1"/>
      <w:numFmt w:val="decimal"/>
      <w:lvlText w:val="%7."/>
      <w:lvlJc w:val="left"/>
      <w:pPr>
        <w:ind w:left="5040" w:hanging="360"/>
      </w:pPr>
    </w:lvl>
    <w:lvl w:ilvl="7" w:tplc="06EE19AC" w:tentative="1">
      <w:start w:val="1"/>
      <w:numFmt w:val="lowerLetter"/>
      <w:lvlText w:val="%8."/>
      <w:lvlJc w:val="left"/>
      <w:pPr>
        <w:ind w:left="5760" w:hanging="360"/>
      </w:pPr>
    </w:lvl>
    <w:lvl w:ilvl="8" w:tplc="248ED0A6" w:tentative="1">
      <w:start w:val="1"/>
      <w:numFmt w:val="lowerRoman"/>
      <w:lvlText w:val="%9."/>
      <w:lvlJc w:val="right"/>
      <w:pPr>
        <w:ind w:left="6480" w:hanging="180"/>
      </w:pPr>
    </w:lvl>
  </w:abstractNum>
  <w:abstractNum w:abstractNumId="189" w15:restartNumberingAfterBreak="0">
    <w:nsid w:val="5AE604C0"/>
    <w:multiLevelType w:val="hybridMultilevel"/>
    <w:tmpl w:val="54AE216C"/>
    <w:lvl w:ilvl="0" w:tplc="7A06B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0" w15:restartNumberingAfterBreak="0">
    <w:nsid w:val="5B3C5DDC"/>
    <w:multiLevelType w:val="multilevel"/>
    <w:tmpl w:val="FB301AFE"/>
    <w:lvl w:ilvl="0">
      <w:start w:val="1"/>
      <w:numFmt w:val="decimal"/>
      <w:suff w:val="space"/>
      <w:lvlText w:val="%1."/>
      <w:lvlJc w:val="left"/>
      <w:pPr>
        <w:ind w:left="720" w:hanging="360"/>
      </w:pPr>
      <w:rPr>
        <w:rFonts w:hint="default"/>
        <w:sz w:val="32"/>
        <w:szCs w:val="4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B8000BE"/>
    <w:multiLevelType w:val="hybridMultilevel"/>
    <w:tmpl w:val="349A4FF2"/>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BC01102"/>
    <w:multiLevelType w:val="multilevel"/>
    <w:tmpl w:val="35BA6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5C0571DA"/>
    <w:multiLevelType w:val="hybridMultilevel"/>
    <w:tmpl w:val="14B8227C"/>
    <w:lvl w:ilvl="0" w:tplc="8564C3D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5C4E7040"/>
    <w:multiLevelType w:val="multilevel"/>
    <w:tmpl w:val="10F010E8"/>
    <w:lvl w:ilvl="0">
      <w:start w:val="1"/>
      <w:numFmt w:val="decimal"/>
      <w:suff w:val="space"/>
      <w:lvlText w:val="%1."/>
      <w:lvlJc w:val="left"/>
      <w:pPr>
        <w:ind w:left="720" w:hanging="360"/>
      </w:pPr>
      <w:rPr>
        <w:rFonts w:hint="default"/>
        <w:sz w:val="32"/>
        <w:szCs w:val="4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D8457BB"/>
    <w:multiLevelType w:val="hybridMultilevel"/>
    <w:tmpl w:val="D8442D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6" w15:restartNumberingAfterBreak="0">
    <w:nsid w:val="5DCD53BE"/>
    <w:multiLevelType w:val="hybridMultilevel"/>
    <w:tmpl w:val="BA30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DE44C33"/>
    <w:multiLevelType w:val="hybridMultilevel"/>
    <w:tmpl w:val="ED649F4C"/>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E7D303C"/>
    <w:multiLevelType w:val="hybridMultilevel"/>
    <w:tmpl w:val="67C8D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EAF2730"/>
    <w:multiLevelType w:val="hybridMultilevel"/>
    <w:tmpl w:val="2BDAA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5EF11CB7"/>
    <w:multiLevelType w:val="multilevel"/>
    <w:tmpl w:val="7E5ACED0"/>
    <w:lvl w:ilvl="0">
      <w:start w:val="1"/>
      <w:numFmt w:val="decimal"/>
      <w:suff w:val="space"/>
      <w:lvlText w:val="%1."/>
      <w:lvlJc w:val="left"/>
      <w:pPr>
        <w:ind w:left="720" w:hanging="360"/>
      </w:pPr>
      <w:rPr>
        <w:rFonts w:hint="default"/>
        <w:sz w:val="32"/>
        <w:szCs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25CADCA"/>
    <w:multiLevelType w:val="singleLevel"/>
    <w:tmpl w:val="625CADCA"/>
    <w:lvl w:ilvl="0">
      <w:start w:val="1"/>
      <w:numFmt w:val="bullet"/>
      <w:lvlText w:val=""/>
      <w:lvlJc w:val="left"/>
      <w:pPr>
        <w:tabs>
          <w:tab w:val="left" w:pos="420"/>
        </w:tabs>
        <w:ind w:left="420" w:hanging="420"/>
      </w:pPr>
      <w:rPr>
        <w:rFonts w:ascii="Wingdings" w:hAnsi="Wingdings" w:hint="default"/>
        <w:sz w:val="15"/>
        <w:szCs w:val="15"/>
      </w:rPr>
    </w:lvl>
  </w:abstractNum>
  <w:abstractNum w:abstractNumId="202" w15:restartNumberingAfterBreak="0">
    <w:nsid w:val="62A64062"/>
    <w:multiLevelType w:val="hybridMultilevel"/>
    <w:tmpl w:val="CFA213D0"/>
    <w:lvl w:ilvl="0" w:tplc="B60EB4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3" w15:restartNumberingAfterBreak="0">
    <w:nsid w:val="633F2E2A"/>
    <w:multiLevelType w:val="hybridMultilevel"/>
    <w:tmpl w:val="37E24DC8"/>
    <w:lvl w:ilvl="0" w:tplc="5F885E74">
      <w:start w:val="1"/>
      <w:numFmt w:val="decimal"/>
      <w:lvlText w:val="%1."/>
      <w:lvlJc w:val="left"/>
      <w:pPr>
        <w:ind w:left="1429" w:hanging="360"/>
      </w:pPr>
      <w:rPr>
        <w:rFonts w:ascii="Times New Roman" w:hAnsi="Times New Roman" w:hint="default"/>
        <w:sz w:val="21"/>
        <w:szCs w:val="2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4" w15:restartNumberingAfterBreak="0">
    <w:nsid w:val="636E4E7B"/>
    <w:multiLevelType w:val="hybridMultilevel"/>
    <w:tmpl w:val="2AF44B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5" w15:restartNumberingAfterBreak="0">
    <w:nsid w:val="63E46D64"/>
    <w:multiLevelType w:val="hybridMultilevel"/>
    <w:tmpl w:val="C7C8C91C"/>
    <w:lvl w:ilvl="0" w:tplc="C3CAB102">
      <w:start w:val="1"/>
      <w:numFmt w:val="bullet"/>
      <w:lvlText w:val=""/>
      <w:lvlJc w:val="left"/>
      <w:pPr>
        <w:ind w:left="720" w:hanging="360"/>
      </w:pPr>
      <w:rPr>
        <w:rFonts w:ascii="Symbol" w:hAnsi="Symbol"/>
        <w:sz w:val="20"/>
        <w:szCs w:val="20"/>
      </w:rPr>
    </w:lvl>
    <w:lvl w:ilvl="1" w:tplc="17E4DC7C" w:tentative="1">
      <w:start w:val="1"/>
      <w:numFmt w:val="bullet"/>
      <w:lvlText w:val="o"/>
      <w:lvlJc w:val="left"/>
      <w:pPr>
        <w:ind w:left="1440" w:hanging="360"/>
      </w:pPr>
      <w:rPr>
        <w:rFonts w:ascii="Courier New" w:hAnsi="Courier New" w:cs="Courier New"/>
      </w:rPr>
    </w:lvl>
    <w:lvl w:ilvl="2" w:tplc="1144AFA8" w:tentative="1">
      <w:start w:val="1"/>
      <w:numFmt w:val="bullet"/>
      <w:lvlText w:val=""/>
      <w:lvlJc w:val="left"/>
      <w:pPr>
        <w:ind w:left="2160" w:hanging="360"/>
      </w:pPr>
      <w:rPr>
        <w:rFonts w:ascii="Wingdings" w:hAnsi="Wingdings"/>
      </w:rPr>
    </w:lvl>
    <w:lvl w:ilvl="3" w:tplc="567AF7A8" w:tentative="1">
      <w:start w:val="1"/>
      <w:numFmt w:val="bullet"/>
      <w:lvlText w:val=""/>
      <w:lvlJc w:val="left"/>
      <w:pPr>
        <w:ind w:left="2880" w:hanging="360"/>
      </w:pPr>
      <w:rPr>
        <w:rFonts w:ascii="Symbol" w:hAnsi="Symbol"/>
      </w:rPr>
    </w:lvl>
    <w:lvl w:ilvl="4" w:tplc="8BEA0AE8" w:tentative="1">
      <w:start w:val="1"/>
      <w:numFmt w:val="bullet"/>
      <w:lvlText w:val="o"/>
      <w:lvlJc w:val="left"/>
      <w:pPr>
        <w:ind w:left="3600" w:hanging="360"/>
      </w:pPr>
      <w:rPr>
        <w:rFonts w:ascii="Courier New" w:hAnsi="Courier New" w:cs="Courier New"/>
      </w:rPr>
    </w:lvl>
    <w:lvl w:ilvl="5" w:tplc="AFDE5F0C" w:tentative="1">
      <w:start w:val="1"/>
      <w:numFmt w:val="bullet"/>
      <w:lvlText w:val=""/>
      <w:lvlJc w:val="left"/>
      <w:pPr>
        <w:ind w:left="4320" w:hanging="360"/>
      </w:pPr>
      <w:rPr>
        <w:rFonts w:ascii="Wingdings" w:hAnsi="Wingdings"/>
      </w:rPr>
    </w:lvl>
    <w:lvl w:ilvl="6" w:tplc="C10A37A4" w:tentative="1">
      <w:start w:val="1"/>
      <w:numFmt w:val="bullet"/>
      <w:lvlText w:val=""/>
      <w:lvlJc w:val="left"/>
      <w:pPr>
        <w:ind w:left="5040" w:hanging="360"/>
      </w:pPr>
      <w:rPr>
        <w:rFonts w:ascii="Symbol" w:hAnsi="Symbol"/>
      </w:rPr>
    </w:lvl>
    <w:lvl w:ilvl="7" w:tplc="D9F8B5F2" w:tentative="1">
      <w:start w:val="1"/>
      <w:numFmt w:val="bullet"/>
      <w:lvlText w:val="o"/>
      <w:lvlJc w:val="left"/>
      <w:pPr>
        <w:ind w:left="5760" w:hanging="360"/>
      </w:pPr>
      <w:rPr>
        <w:rFonts w:ascii="Courier New" w:hAnsi="Courier New" w:cs="Courier New"/>
      </w:rPr>
    </w:lvl>
    <w:lvl w:ilvl="8" w:tplc="AE6A90EA" w:tentative="1">
      <w:start w:val="1"/>
      <w:numFmt w:val="bullet"/>
      <w:lvlText w:val=""/>
      <w:lvlJc w:val="left"/>
      <w:pPr>
        <w:ind w:left="6480" w:hanging="360"/>
      </w:pPr>
      <w:rPr>
        <w:rFonts w:ascii="Wingdings" w:hAnsi="Wingdings"/>
      </w:rPr>
    </w:lvl>
  </w:abstractNum>
  <w:abstractNum w:abstractNumId="206" w15:restartNumberingAfterBreak="0">
    <w:nsid w:val="652C27F7"/>
    <w:multiLevelType w:val="hybridMultilevel"/>
    <w:tmpl w:val="CEA66728"/>
    <w:lvl w:ilvl="0" w:tplc="97EA93C2">
      <w:start w:val="1"/>
      <w:numFmt w:val="bullet"/>
      <w:lvlText w:val=""/>
      <w:lvlJc w:val="left"/>
      <w:pPr>
        <w:ind w:left="1735" w:hanging="360"/>
      </w:pPr>
      <w:rPr>
        <w:rFonts w:ascii="Symbol" w:hAnsi="Symbol" w:hint="default"/>
      </w:rPr>
    </w:lvl>
    <w:lvl w:ilvl="1" w:tplc="04190003" w:tentative="1">
      <w:start w:val="1"/>
      <w:numFmt w:val="bullet"/>
      <w:lvlText w:val="o"/>
      <w:lvlJc w:val="left"/>
      <w:pPr>
        <w:ind w:left="2455" w:hanging="360"/>
      </w:pPr>
      <w:rPr>
        <w:rFonts w:ascii="Courier New" w:hAnsi="Courier New" w:cs="Courier New" w:hint="default"/>
      </w:rPr>
    </w:lvl>
    <w:lvl w:ilvl="2" w:tplc="04190005" w:tentative="1">
      <w:start w:val="1"/>
      <w:numFmt w:val="bullet"/>
      <w:lvlText w:val=""/>
      <w:lvlJc w:val="left"/>
      <w:pPr>
        <w:ind w:left="3175" w:hanging="360"/>
      </w:pPr>
      <w:rPr>
        <w:rFonts w:ascii="Wingdings" w:hAnsi="Wingdings" w:hint="default"/>
      </w:rPr>
    </w:lvl>
    <w:lvl w:ilvl="3" w:tplc="04190001" w:tentative="1">
      <w:start w:val="1"/>
      <w:numFmt w:val="bullet"/>
      <w:lvlText w:val=""/>
      <w:lvlJc w:val="left"/>
      <w:pPr>
        <w:ind w:left="3895" w:hanging="360"/>
      </w:pPr>
      <w:rPr>
        <w:rFonts w:ascii="Symbol" w:hAnsi="Symbol" w:hint="default"/>
      </w:rPr>
    </w:lvl>
    <w:lvl w:ilvl="4" w:tplc="04190003" w:tentative="1">
      <w:start w:val="1"/>
      <w:numFmt w:val="bullet"/>
      <w:lvlText w:val="o"/>
      <w:lvlJc w:val="left"/>
      <w:pPr>
        <w:ind w:left="4615" w:hanging="360"/>
      </w:pPr>
      <w:rPr>
        <w:rFonts w:ascii="Courier New" w:hAnsi="Courier New" w:cs="Courier New" w:hint="default"/>
      </w:rPr>
    </w:lvl>
    <w:lvl w:ilvl="5" w:tplc="04190005" w:tentative="1">
      <w:start w:val="1"/>
      <w:numFmt w:val="bullet"/>
      <w:lvlText w:val=""/>
      <w:lvlJc w:val="left"/>
      <w:pPr>
        <w:ind w:left="5335" w:hanging="360"/>
      </w:pPr>
      <w:rPr>
        <w:rFonts w:ascii="Wingdings" w:hAnsi="Wingdings" w:hint="default"/>
      </w:rPr>
    </w:lvl>
    <w:lvl w:ilvl="6" w:tplc="04190001" w:tentative="1">
      <w:start w:val="1"/>
      <w:numFmt w:val="bullet"/>
      <w:lvlText w:val=""/>
      <w:lvlJc w:val="left"/>
      <w:pPr>
        <w:ind w:left="6055" w:hanging="360"/>
      </w:pPr>
      <w:rPr>
        <w:rFonts w:ascii="Symbol" w:hAnsi="Symbol" w:hint="default"/>
      </w:rPr>
    </w:lvl>
    <w:lvl w:ilvl="7" w:tplc="04190003" w:tentative="1">
      <w:start w:val="1"/>
      <w:numFmt w:val="bullet"/>
      <w:lvlText w:val="o"/>
      <w:lvlJc w:val="left"/>
      <w:pPr>
        <w:ind w:left="6775" w:hanging="360"/>
      </w:pPr>
      <w:rPr>
        <w:rFonts w:ascii="Courier New" w:hAnsi="Courier New" w:cs="Courier New" w:hint="default"/>
      </w:rPr>
    </w:lvl>
    <w:lvl w:ilvl="8" w:tplc="04190005" w:tentative="1">
      <w:start w:val="1"/>
      <w:numFmt w:val="bullet"/>
      <w:lvlText w:val=""/>
      <w:lvlJc w:val="left"/>
      <w:pPr>
        <w:ind w:left="7495" w:hanging="360"/>
      </w:pPr>
      <w:rPr>
        <w:rFonts w:ascii="Wingdings" w:hAnsi="Wingdings" w:hint="default"/>
      </w:rPr>
    </w:lvl>
  </w:abstractNum>
  <w:abstractNum w:abstractNumId="207" w15:restartNumberingAfterBreak="0">
    <w:nsid w:val="66423099"/>
    <w:multiLevelType w:val="hybridMultilevel"/>
    <w:tmpl w:val="336AE95C"/>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08" w15:restartNumberingAfterBreak="0">
    <w:nsid w:val="6653493A"/>
    <w:multiLevelType w:val="hybridMultilevel"/>
    <w:tmpl w:val="061A8B22"/>
    <w:lvl w:ilvl="0" w:tplc="2F727D9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9" w15:restartNumberingAfterBreak="0">
    <w:nsid w:val="667D06F3"/>
    <w:multiLevelType w:val="hybridMultilevel"/>
    <w:tmpl w:val="B982325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0" w15:restartNumberingAfterBreak="0">
    <w:nsid w:val="66982ED6"/>
    <w:multiLevelType w:val="multilevel"/>
    <w:tmpl w:val="DCC86610"/>
    <w:lvl w:ilvl="0">
      <w:start w:val="1"/>
      <w:numFmt w:val="decimal"/>
      <w:lvlText w:val="%1."/>
      <w:lvlJc w:val="left"/>
      <w:pPr>
        <w:ind w:left="1429" w:hanging="360"/>
      </w:pPr>
    </w:lvl>
    <w:lvl w:ilvl="1">
      <w:start w:val="1"/>
      <w:numFmt w:val="decimal"/>
      <w:isLgl/>
      <w:lvlText w:val="%1.%2"/>
      <w:lvlJc w:val="left"/>
      <w:pPr>
        <w:ind w:left="2149"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3229" w:hanging="1080"/>
      </w:pPr>
      <w:rPr>
        <w:rFonts w:hint="default"/>
      </w:rPr>
    </w:lvl>
    <w:lvl w:ilvl="4">
      <w:start w:val="1"/>
      <w:numFmt w:val="decimal"/>
      <w:isLgl/>
      <w:lvlText w:val="%1.%2.%3.%4.%5"/>
      <w:lvlJc w:val="left"/>
      <w:pPr>
        <w:ind w:left="3949" w:hanging="1440"/>
      </w:pPr>
      <w:rPr>
        <w:rFonts w:hint="default"/>
      </w:rPr>
    </w:lvl>
    <w:lvl w:ilvl="5">
      <w:start w:val="1"/>
      <w:numFmt w:val="decimal"/>
      <w:isLgl/>
      <w:lvlText w:val="%1.%2.%3.%4.%5.%6"/>
      <w:lvlJc w:val="left"/>
      <w:pPr>
        <w:ind w:left="4309" w:hanging="1440"/>
      </w:pPr>
      <w:rPr>
        <w:rFonts w:hint="default"/>
      </w:rPr>
    </w:lvl>
    <w:lvl w:ilvl="6">
      <w:start w:val="1"/>
      <w:numFmt w:val="decimal"/>
      <w:isLgl/>
      <w:lvlText w:val="%1.%2.%3.%4.%5.%6.%7"/>
      <w:lvlJc w:val="left"/>
      <w:pPr>
        <w:ind w:left="5029" w:hanging="1800"/>
      </w:pPr>
      <w:rPr>
        <w:rFonts w:hint="default"/>
      </w:rPr>
    </w:lvl>
    <w:lvl w:ilvl="7">
      <w:start w:val="1"/>
      <w:numFmt w:val="decimal"/>
      <w:isLgl/>
      <w:lvlText w:val="%1.%2.%3.%4.%5.%6.%7.%8"/>
      <w:lvlJc w:val="left"/>
      <w:pPr>
        <w:ind w:left="5749" w:hanging="2160"/>
      </w:pPr>
      <w:rPr>
        <w:rFonts w:hint="default"/>
      </w:rPr>
    </w:lvl>
    <w:lvl w:ilvl="8">
      <w:start w:val="1"/>
      <w:numFmt w:val="decimal"/>
      <w:isLgl/>
      <w:lvlText w:val="%1.%2.%3.%4.%5.%6.%7.%8.%9"/>
      <w:lvlJc w:val="left"/>
      <w:pPr>
        <w:ind w:left="6109" w:hanging="2160"/>
      </w:pPr>
      <w:rPr>
        <w:rFonts w:hint="default"/>
      </w:rPr>
    </w:lvl>
  </w:abstractNum>
  <w:abstractNum w:abstractNumId="211" w15:restartNumberingAfterBreak="0">
    <w:nsid w:val="66E22639"/>
    <w:multiLevelType w:val="multilevel"/>
    <w:tmpl w:val="369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6FC10F2"/>
    <w:multiLevelType w:val="hybridMultilevel"/>
    <w:tmpl w:val="63728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67167C28"/>
    <w:multiLevelType w:val="hybridMultilevel"/>
    <w:tmpl w:val="D2F0CBE6"/>
    <w:lvl w:ilvl="0" w:tplc="F3DCC4F6">
      <w:start w:val="1"/>
      <w:numFmt w:val="decimal"/>
      <w:lvlText w:val="%1."/>
      <w:lvlJc w:val="left"/>
      <w:pPr>
        <w:ind w:left="720" w:hanging="360"/>
      </w:pPr>
    </w:lvl>
    <w:lvl w:ilvl="1" w:tplc="B0265482" w:tentative="1">
      <w:start w:val="1"/>
      <w:numFmt w:val="lowerLetter"/>
      <w:lvlText w:val="%2."/>
      <w:lvlJc w:val="left"/>
      <w:pPr>
        <w:ind w:left="1440" w:hanging="360"/>
      </w:pPr>
    </w:lvl>
    <w:lvl w:ilvl="2" w:tplc="57BE8898" w:tentative="1">
      <w:start w:val="1"/>
      <w:numFmt w:val="lowerRoman"/>
      <w:lvlText w:val="%3."/>
      <w:lvlJc w:val="right"/>
      <w:pPr>
        <w:ind w:left="2160" w:hanging="360"/>
      </w:pPr>
    </w:lvl>
    <w:lvl w:ilvl="3" w:tplc="C13CA62C" w:tentative="1">
      <w:start w:val="1"/>
      <w:numFmt w:val="decimal"/>
      <w:lvlText w:val="%4."/>
      <w:lvlJc w:val="left"/>
      <w:pPr>
        <w:ind w:left="2880" w:hanging="360"/>
      </w:pPr>
    </w:lvl>
    <w:lvl w:ilvl="4" w:tplc="71369AB2" w:tentative="1">
      <w:start w:val="1"/>
      <w:numFmt w:val="lowerLetter"/>
      <w:lvlText w:val="%5."/>
      <w:lvlJc w:val="left"/>
      <w:pPr>
        <w:ind w:left="3600" w:hanging="360"/>
      </w:pPr>
    </w:lvl>
    <w:lvl w:ilvl="5" w:tplc="3306C52C" w:tentative="1">
      <w:start w:val="1"/>
      <w:numFmt w:val="lowerRoman"/>
      <w:lvlText w:val="%6."/>
      <w:lvlJc w:val="right"/>
      <w:pPr>
        <w:ind w:left="4320" w:hanging="360"/>
      </w:pPr>
    </w:lvl>
    <w:lvl w:ilvl="6" w:tplc="A942EE6E" w:tentative="1">
      <w:start w:val="1"/>
      <w:numFmt w:val="decimal"/>
      <w:lvlText w:val="%7."/>
      <w:lvlJc w:val="left"/>
      <w:pPr>
        <w:ind w:left="5040" w:hanging="360"/>
      </w:pPr>
    </w:lvl>
    <w:lvl w:ilvl="7" w:tplc="9BC67F8E" w:tentative="1">
      <w:start w:val="1"/>
      <w:numFmt w:val="lowerLetter"/>
      <w:lvlText w:val="%8."/>
      <w:lvlJc w:val="left"/>
      <w:pPr>
        <w:ind w:left="5760" w:hanging="360"/>
      </w:pPr>
    </w:lvl>
    <w:lvl w:ilvl="8" w:tplc="E432F0FE" w:tentative="1">
      <w:start w:val="1"/>
      <w:numFmt w:val="lowerRoman"/>
      <w:lvlText w:val="%9."/>
      <w:lvlJc w:val="right"/>
      <w:pPr>
        <w:ind w:left="6480" w:hanging="360"/>
      </w:pPr>
    </w:lvl>
  </w:abstractNum>
  <w:abstractNum w:abstractNumId="214" w15:restartNumberingAfterBreak="0">
    <w:nsid w:val="672B1CD7"/>
    <w:multiLevelType w:val="hybridMultilevel"/>
    <w:tmpl w:val="7346D2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5" w15:restartNumberingAfterBreak="0">
    <w:nsid w:val="67B900DF"/>
    <w:multiLevelType w:val="multilevel"/>
    <w:tmpl w:val="E04A3302"/>
    <w:lvl w:ilvl="0">
      <w:start w:val="1"/>
      <w:numFmt w:val="decimal"/>
      <w:suff w:val="space"/>
      <w:lvlText w:val="%1."/>
      <w:lvlJc w:val="left"/>
      <w:pPr>
        <w:ind w:left="720" w:hanging="360"/>
      </w:pPr>
      <w:rPr>
        <w:rFonts w:hint="default"/>
        <w:sz w:val="32"/>
        <w:szCs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8334C1D"/>
    <w:multiLevelType w:val="hybridMultilevel"/>
    <w:tmpl w:val="5A3881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8403B36"/>
    <w:multiLevelType w:val="hybridMultilevel"/>
    <w:tmpl w:val="76D683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8" w15:restartNumberingAfterBreak="0">
    <w:nsid w:val="685F4EB4"/>
    <w:multiLevelType w:val="multilevel"/>
    <w:tmpl w:val="2F9E3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8B3563C"/>
    <w:multiLevelType w:val="multilevel"/>
    <w:tmpl w:val="36CA4D78"/>
    <w:lvl w:ilvl="0">
      <w:start w:val="1"/>
      <w:numFmt w:val="bullet"/>
      <w:lvlText w:val="-"/>
      <w:lvlJc w:val="left"/>
      <w:pPr>
        <w:tabs>
          <w:tab w:val="num" w:pos="722"/>
        </w:tabs>
        <w:ind w:left="722" w:hanging="360"/>
      </w:pPr>
      <w:rPr>
        <w:rFonts w:ascii="Arial" w:hAnsi="Arial" w:hint="default"/>
        <w:sz w:val="20"/>
      </w:rPr>
    </w:lvl>
    <w:lvl w:ilvl="1" w:tentative="1">
      <w:start w:val="1"/>
      <w:numFmt w:val="bullet"/>
      <w:lvlText w:val="o"/>
      <w:lvlJc w:val="left"/>
      <w:pPr>
        <w:tabs>
          <w:tab w:val="num" w:pos="1442"/>
        </w:tabs>
        <w:ind w:left="1442" w:hanging="360"/>
      </w:pPr>
      <w:rPr>
        <w:rFonts w:ascii="Courier New" w:hAnsi="Courier New" w:hint="default"/>
        <w:sz w:val="20"/>
      </w:rPr>
    </w:lvl>
    <w:lvl w:ilvl="2" w:tentative="1">
      <w:start w:val="1"/>
      <w:numFmt w:val="bullet"/>
      <w:lvlText w:val=""/>
      <w:lvlJc w:val="left"/>
      <w:pPr>
        <w:tabs>
          <w:tab w:val="num" w:pos="2162"/>
        </w:tabs>
        <w:ind w:left="2162" w:hanging="360"/>
      </w:pPr>
      <w:rPr>
        <w:rFonts w:ascii="Wingdings" w:hAnsi="Wingdings" w:hint="default"/>
        <w:sz w:val="20"/>
      </w:rPr>
    </w:lvl>
    <w:lvl w:ilvl="3" w:tentative="1">
      <w:start w:val="1"/>
      <w:numFmt w:val="bullet"/>
      <w:lvlText w:val=""/>
      <w:lvlJc w:val="left"/>
      <w:pPr>
        <w:tabs>
          <w:tab w:val="num" w:pos="2882"/>
        </w:tabs>
        <w:ind w:left="2882" w:hanging="360"/>
      </w:pPr>
      <w:rPr>
        <w:rFonts w:ascii="Wingdings" w:hAnsi="Wingdings" w:hint="default"/>
        <w:sz w:val="20"/>
      </w:rPr>
    </w:lvl>
    <w:lvl w:ilvl="4" w:tentative="1">
      <w:start w:val="1"/>
      <w:numFmt w:val="bullet"/>
      <w:lvlText w:val=""/>
      <w:lvlJc w:val="left"/>
      <w:pPr>
        <w:tabs>
          <w:tab w:val="num" w:pos="3602"/>
        </w:tabs>
        <w:ind w:left="3602" w:hanging="360"/>
      </w:pPr>
      <w:rPr>
        <w:rFonts w:ascii="Wingdings" w:hAnsi="Wingdings" w:hint="default"/>
        <w:sz w:val="20"/>
      </w:rPr>
    </w:lvl>
    <w:lvl w:ilvl="5" w:tentative="1">
      <w:start w:val="1"/>
      <w:numFmt w:val="bullet"/>
      <w:lvlText w:val=""/>
      <w:lvlJc w:val="left"/>
      <w:pPr>
        <w:tabs>
          <w:tab w:val="num" w:pos="4322"/>
        </w:tabs>
        <w:ind w:left="4322" w:hanging="360"/>
      </w:pPr>
      <w:rPr>
        <w:rFonts w:ascii="Wingdings" w:hAnsi="Wingdings" w:hint="default"/>
        <w:sz w:val="20"/>
      </w:rPr>
    </w:lvl>
    <w:lvl w:ilvl="6" w:tentative="1">
      <w:start w:val="1"/>
      <w:numFmt w:val="bullet"/>
      <w:lvlText w:val=""/>
      <w:lvlJc w:val="left"/>
      <w:pPr>
        <w:tabs>
          <w:tab w:val="num" w:pos="5042"/>
        </w:tabs>
        <w:ind w:left="5042" w:hanging="360"/>
      </w:pPr>
      <w:rPr>
        <w:rFonts w:ascii="Wingdings" w:hAnsi="Wingdings" w:hint="default"/>
        <w:sz w:val="20"/>
      </w:rPr>
    </w:lvl>
    <w:lvl w:ilvl="7" w:tentative="1">
      <w:start w:val="1"/>
      <w:numFmt w:val="bullet"/>
      <w:lvlText w:val=""/>
      <w:lvlJc w:val="left"/>
      <w:pPr>
        <w:tabs>
          <w:tab w:val="num" w:pos="5762"/>
        </w:tabs>
        <w:ind w:left="5762" w:hanging="360"/>
      </w:pPr>
      <w:rPr>
        <w:rFonts w:ascii="Wingdings" w:hAnsi="Wingdings" w:hint="default"/>
        <w:sz w:val="20"/>
      </w:rPr>
    </w:lvl>
    <w:lvl w:ilvl="8" w:tentative="1">
      <w:start w:val="1"/>
      <w:numFmt w:val="bullet"/>
      <w:lvlText w:val=""/>
      <w:lvlJc w:val="left"/>
      <w:pPr>
        <w:tabs>
          <w:tab w:val="num" w:pos="6482"/>
        </w:tabs>
        <w:ind w:left="6482" w:hanging="360"/>
      </w:pPr>
      <w:rPr>
        <w:rFonts w:ascii="Wingdings" w:hAnsi="Wingdings" w:hint="default"/>
        <w:sz w:val="20"/>
      </w:rPr>
    </w:lvl>
  </w:abstractNum>
  <w:abstractNum w:abstractNumId="220" w15:restartNumberingAfterBreak="0">
    <w:nsid w:val="698F732B"/>
    <w:multiLevelType w:val="multilevel"/>
    <w:tmpl w:val="27206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99012FF"/>
    <w:multiLevelType w:val="hybridMultilevel"/>
    <w:tmpl w:val="01125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69A946AF"/>
    <w:multiLevelType w:val="hybridMultilevel"/>
    <w:tmpl w:val="F58C8F94"/>
    <w:lvl w:ilvl="0" w:tplc="D758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6AB97B2D"/>
    <w:multiLevelType w:val="hybridMultilevel"/>
    <w:tmpl w:val="819CB28C"/>
    <w:lvl w:ilvl="0" w:tplc="27AAE6F6">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4" w15:restartNumberingAfterBreak="0">
    <w:nsid w:val="6B1F478C"/>
    <w:multiLevelType w:val="multilevel"/>
    <w:tmpl w:val="FD58C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6B8049C5"/>
    <w:multiLevelType w:val="hybridMultilevel"/>
    <w:tmpl w:val="807A623E"/>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6BEB71F1"/>
    <w:multiLevelType w:val="multilevel"/>
    <w:tmpl w:val="14DA6898"/>
    <w:lvl w:ilvl="0">
      <w:start w:val="1"/>
      <w:numFmt w:val="decimal"/>
      <w:lvlText w:val="%1."/>
      <w:lvlJc w:val="left"/>
      <w:pPr>
        <w:tabs>
          <w:tab w:val="num" w:pos="341"/>
        </w:tabs>
        <w:ind w:left="341" w:hanging="34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7" w15:restartNumberingAfterBreak="0">
    <w:nsid w:val="6CED0964"/>
    <w:multiLevelType w:val="multilevel"/>
    <w:tmpl w:val="6B900EF2"/>
    <w:lvl w:ilvl="0">
      <w:start w:val="1"/>
      <w:numFmt w:val="decimal"/>
      <w:suff w:val="space"/>
      <w:lvlText w:val="%1."/>
      <w:lvlJc w:val="left"/>
      <w:pPr>
        <w:ind w:left="720" w:hanging="360"/>
      </w:pPr>
      <w:rPr>
        <w:rFonts w:hint="default"/>
        <w:sz w:val="32"/>
        <w:szCs w:val="4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D05283F"/>
    <w:multiLevelType w:val="multilevel"/>
    <w:tmpl w:val="6E4858B6"/>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9" w15:restartNumberingAfterBreak="0">
    <w:nsid w:val="6D6A4899"/>
    <w:multiLevelType w:val="multilevel"/>
    <w:tmpl w:val="BD2E0A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0" w15:restartNumberingAfterBreak="0">
    <w:nsid w:val="6D7640A2"/>
    <w:multiLevelType w:val="singleLevel"/>
    <w:tmpl w:val="6D7640A2"/>
    <w:lvl w:ilvl="0">
      <w:start w:val="1"/>
      <w:numFmt w:val="upperRoman"/>
      <w:lvlText w:val="%1."/>
      <w:lvlJc w:val="left"/>
      <w:pPr>
        <w:tabs>
          <w:tab w:val="left" w:pos="425"/>
        </w:tabs>
        <w:ind w:left="425" w:hanging="425"/>
      </w:pPr>
    </w:lvl>
  </w:abstractNum>
  <w:abstractNum w:abstractNumId="231" w15:restartNumberingAfterBreak="0">
    <w:nsid w:val="6D7D1A35"/>
    <w:multiLevelType w:val="hybridMultilevel"/>
    <w:tmpl w:val="AC8ABFA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2" w15:restartNumberingAfterBreak="0">
    <w:nsid w:val="6D8A05C7"/>
    <w:multiLevelType w:val="multilevel"/>
    <w:tmpl w:val="4CD87F8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DFE7C3C"/>
    <w:multiLevelType w:val="hybridMultilevel"/>
    <w:tmpl w:val="DCEA76A6"/>
    <w:lvl w:ilvl="0" w:tplc="97EA93C2">
      <w:start w:val="1"/>
      <w:numFmt w:val="bullet"/>
      <w:lvlText w:val=""/>
      <w:lvlJc w:val="left"/>
      <w:pPr>
        <w:ind w:left="1735" w:hanging="360"/>
      </w:pPr>
      <w:rPr>
        <w:rFonts w:ascii="Symbol" w:hAnsi="Symbol" w:hint="default"/>
      </w:rPr>
    </w:lvl>
    <w:lvl w:ilvl="1" w:tplc="04190003" w:tentative="1">
      <w:start w:val="1"/>
      <w:numFmt w:val="bullet"/>
      <w:lvlText w:val="o"/>
      <w:lvlJc w:val="left"/>
      <w:pPr>
        <w:ind w:left="2455" w:hanging="360"/>
      </w:pPr>
      <w:rPr>
        <w:rFonts w:ascii="Courier New" w:hAnsi="Courier New" w:cs="Courier New" w:hint="default"/>
      </w:rPr>
    </w:lvl>
    <w:lvl w:ilvl="2" w:tplc="04190005" w:tentative="1">
      <w:start w:val="1"/>
      <w:numFmt w:val="bullet"/>
      <w:lvlText w:val=""/>
      <w:lvlJc w:val="left"/>
      <w:pPr>
        <w:ind w:left="3175" w:hanging="360"/>
      </w:pPr>
      <w:rPr>
        <w:rFonts w:ascii="Wingdings" w:hAnsi="Wingdings" w:hint="default"/>
      </w:rPr>
    </w:lvl>
    <w:lvl w:ilvl="3" w:tplc="04190001" w:tentative="1">
      <w:start w:val="1"/>
      <w:numFmt w:val="bullet"/>
      <w:lvlText w:val=""/>
      <w:lvlJc w:val="left"/>
      <w:pPr>
        <w:ind w:left="3895" w:hanging="360"/>
      </w:pPr>
      <w:rPr>
        <w:rFonts w:ascii="Symbol" w:hAnsi="Symbol" w:hint="default"/>
      </w:rPr>
    </w:lvl>
    <w:lvl w:ilvl="4" w:tplc="04190003" w:tentative="1">
      <w:start w:val="1"/>
      <w:numFmt w:val="bullet"/>
      <w:lvlText w:val="o"/>
      <w:lvlJc w:val="left"/>
      <w:pPr>
        <w:ind w:left="4615" w:hanging="360"/>
      </w:pPr>
      <w:rPr>
        <w:rFonts w:ascii="Courier New" w:hAnsi="Courier New" w:cs="Courier New" w:hint="default"/>
      </w:rPr>
    </w:lvl>
    <w:lvl w:ilvl="5" w:tplc="04190005" w:tentative="1">
      <w:start w:val="1"/>
      <w:numFmt w:val="bullet"/>
      <w:lvlText w:val=""/>
      <w:lvlJc w:val="left"/>
      <w:pPr>
        <w:ind w:left="5335" w:hanging="360"/>
      </w:pPr>
      <w:rPr>
        <w:rFonts w:ascii="Wingdings" w:hAnsi="Wingdings" w:hint="default"/>
      </w:rPr>
    </w:lvl>
    <w:lvl w:ilvl="6" w:tplc="04190001" w:tentative="1">
      <w:start w:val="1"/>
      <w:numFmt w:val="bullet"/>
      <w:lvlText w:val=""/>
      <w:lvlJc w:val="left"/>
      <w:pPr>
        <w:ind w:left="6055" w:hanging="360"/>
      </w:pPr>
      <w:rPr>
        <w:rFonts w:ascii="Symbol" w:hAnsi="Symbol" w:hint="default"/>
      </w:rPr>
    </w:lvl>
    <w:lvl w:ilvl="7" w:tplc="04190003" w:tentative="1">
      <w:start w:val="1"/>
      <w:numFmt w:val="bullet"/>
      <w:lvlText w:val="o"/>
      <w:lvlJc w:val="left"/>
      <w:pPr>
        <w:ind w:left="6775" w:hanging="360"/>
      </w:pPr>
      <w:rPr>
        <w:rFonts w:ascii="Courier New" w:hAnsi="Courier New" w:cs="Courier New" w:hint="default"/>
      </w:rPr>
    </w:lvl>
    <w:lvl w:ilvl="8" w:tplc="04190005" w:tentative="1">
      <w:start w:val="1"/>
      <w:numFmt w:val="bullet"/>
      <w:lvlText w:val=""/>
      <w:lvlJc w:val="left"/>
      <w:pPr>
        <w:ind w:left="7495" w:hanging="360"/>
      </w:pPr>
      <w:rPr>
        <w:rFonts w:ascii="Wingdings" w:hAnsi="Wingdings" w:hint="default"/>
      </w:rPr>
    </w:lvl>
  </w:abstractNum>
  <w:abstractNum w:abstractNumId="234" w15:restartNumberingAfterBreak="0">
    <w:nsid w:val="6E144E2F"/>
    <w:multiLevelType w:val="hybridMultilevel"/>
    <w:tmpl w:val="AC3E60DA"/>
    <w:numStyleLink w:val="2"/>
  </w:abstractNum>
  <w:abstractNum w:abstractNumId="235" w15:restartNumberingAfterBreak="0">
    <w:nsid w:val="6ECD0A7C"/>
    <w:multiLevelType w:val="hybridMultilevel"/>
    <w:tmpl w:val="B2109C2A"/>
    <w:lvl w:ilvl="0" w:tplc="7C707B9A">
      <w:numFmt w:val="bullet"/>
      <w:lvlText w:val=""/>
      <w:lvlJc w:val="left"/>
      <w:pPr>
        <w:ind w:left="141" w:hanging="851"/>
      </w:pPr>
      <w:rPr>
        <w:rFonts w:ascii="Symbol" w:eastAsia="Symbol" w:hAnsi="Symbol" w:cs="Symbol" w:hint="default"/>
        <w:spacing w:val="0"/>
        <w:w w:val="99"/>
        <w:lang w:val="ru-RU" w:eastAsia="en-US" w:bidi="ar-SA"/>
      </w:rPr>
    </w:lvl>
    <w:lvl w:ilvl="1" w:tplc="5CD0EA22">
      <w:numFmt w:val="bullet"/>
      <w:lvlText w:val="•"/>
      <w:lvlJc w:val="left"/>
      <w:pPr>
        <w:ind w:left="1118" w:hanging="851"/>
      </w:pPr>
      <w:rPr>
        <w:rFonts w:hint="default"/>
        <w:lang w:val="ru-RU" w:eastAsia="en-US" w:bidi="ar-SA"/>
      </w:rPr>
    </w:lvl>
    <w:lvl w:ilvl="2" w:tplc="C4744718">
      <w:numFmt w:val="bullet"/>
      <w:lvlText w:val="•"/>
      <w:lvlJc w:val="left"/>
      <w:pPr>
        <w:ind w:left="2096" w:hanging="851"/>
      </w:pPr>
      <w:rPr>
        <w:rFonts w:hint="default"/>
        <w:lang w:val="ru-RU" w:eastAsia="en-US" w:bidi="ar-SA"/>
      </w:rPr>
    </w:lvl>
    <w:lvl w:ilvl="3" w:tplc="C1CAF390">
      <w:numFmt w:val="bullet"/>
      <w:lvlText w:val="•"/>
      <w:lvlJc w:val="left"/>
      <w:pPr>
        <w:ind w:left="3074" w:hanging="851"/>
      </w:pPr>
      <w:rPr>
        <w:rFonts w:hint="default"/>
        <w:lang w:val="ru-RU" w:eastAsia="en-US" w:bidi="ar-SA"/>
      </w:rPr>
    </w:lvl>
    <w:lvl w:ilvl="4" w:tplc="976CAF2C">
      <w:numFmt w:val="bullet"/>
      <w:lvlText w:val="•"/>
      <w:lvlJc w:val="left"/>
      <w:pPr>
        <w:ind w:left="4052" w:hanging="851"/>
      </w:pPr>
      <w:rPr>
        <w:rFonts w:hint="default"/>
        <w:lang w:val="ru-RU" w:eastAsia="en-US" w:bidi="ar-SA"/>
      </w:rPr>
    </w:lvl>
    <w:lvl w:ilvl="5" w:tplc="C0C8296A">
      <w:numFmt w:val="bullet"/>
      <w:lvlText w:val="•"/>
      <w:lvlJc w:val="left"/>
      <w:pPr>
        <w:ind w:left="5030" w:hanging="851"/>
      </w:pPr>
      <w:rPr>
        <w:rFonts w:hint="default"/>
        <w:lang w:val="ru-RU" w:eastAsia="en-US" w:bidi="ar-SA"/>
      </w:rPr>
    </w:lvl>
    <w:lvl w:ilvl="6" w:tplc="0D164DA6">
      <w:numFmt w:val="bullet"/>
      <w:lvlText w:val="•"/>
      <w:lvlJc w:val="left"/>
      <w:pPr>
        <w:ind w:left="6008" w:hanging="851"/>
      </w:pPr>
      <w:rPr>
        <w:rFonts w:hint="default"/>
        <w:lang w:val="ru-RU" w:eastAsia="en-US" w:bidi="ar-SA"/>
      </w:rPr>
    </w:lvl>
    <w:lvl w:ilvl="7" w:tplc="2C1442EE">
      <w:numFmt w:val="bullet"/>
      <w:lvlText w:val="•"/>
      <w:lvlJc w:val="left"/>
      <w:pPr>
        <w:ind w:left="6986" w:hanging="851"/>
      </w:pPr>
      <w:rPr>
        <w:rFonts w:hint="default"/>
        <w:lang w:val="ru-RU" w:eastAsia="en-US" w:bidi="ar-SA"/>
      </w:rPr>
    </w:lvl>
    <w:lvl w:ilvl="8" w:tplc="22AC662C">
      <w:numFmt w:val="bullet"/>
      <w:lvlText w:val="•"/>
      <w:lvlJc w:val="left"/>
      <w:pPr>
        <w:ind w:left="7964" w:hanging="851"/>
      </w:pPr>
      <w:rPr>
        <w:rFonts w:hint="default"/>
        <w:lang w:val="ru-RU" w:eastAsia="en-US" w:bidi="ar-SA"/>
      </w:rPr>
    </w:lvl>
  </w:abstractNum>
  <w:abstractNum w:abstractNumId="236" w15:restartNumberingAfterBreak="0">
    <w:nsid w:val="6FFB4A2C"/>
    <w:multiLevelType w:val="hybridMultilevel"/>
    <w:tmpl w:val="5F7C9E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15:restartNumberingAfterBreak="0">
    <w:nsid w:val="70F81FF1"/>
    <w:multiLevelType w:val="hybridMultilevel"/>
    <w:tmpl w:val="E2AA5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8" w15:restartNumberingAfterBreak="0">
    <w:nsid w:val="71343AAC"/>
    <w:multiLevelType w:val="hybridMultilevel"/>
    <w:tmpl w:val="3962BC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9" w15:restartNumberingAfterBreak="0">
    <w:nsid w:val="71B03022"/>
    <w:multiLevelType w:val="hybridMultilevel"/>
    <w:tmpl w:val="91A4E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724227A1"/>
    <w:multiLevelType w:val="multilevel"/>
    <w:tmpl w:val="0DBE7060"/>
    <w:lvl w:ilvl="0">
      <w:start w:val="1"/>
      <w:numFmt w:val="decimal"/>
      <w:lvlText w:val="%1)"/>
      <w:lvlJc w:val="left"/>
      <w:pPr>
        <w:tabs>
          <w:tab w:val="num" w:pos="709"/>
        </w:tabs>
        <w:ind w:left="709" w:hanging="283"/>
      </w:pPr>
      <w:rPr>
        <w:sz w:val="32"/>
        <w:szCs w:val="32"/>
      </w:rPr>
    </w:lvl>
    <w:lvl w:ilvl="1">
      <w:start w:val="1"/>
      <w:numFmt w:val="decimal"/>
      <w:lvlText w:val="%2."/>
      <w:lvlJc w:val="left"/>
      <w:pPr>
        <w:tabs>
          <w:tab w:val="num" w:pos="1418"/>
        </w:tabs>
        <w:ind w:left="1418" w:hanging="283"/>
      </w:pPr>
      <w:rPr>
        <w:sz w:val="32"/>
        <w:szCs w:val="32"/>
      </w:rPr>
    </w:lvl>
    <w:lvl w:ilvl="2">
      <w:start w:val="1"/>
      <w:numFmt w:val="decimal"/>
      <w:lvlText w:val="%3."/>
      <w:lvlJc w:val="left"/>
      <w:pPr>
        <w:tabs>
          <w:tab w:val="num" w:pos="2127"/>
        </w:tabs>
        <w:ind w:left="2127" w:hanging="283"/>
      </w:pPr>
      <w:rPr>
        <w:sz w:val="32"/>
        <w:szCs w:val="32"/>
      </w:rPr>
    </w:lvl>
    <w:lvl w:ilvl="3">
      <w:start w:val="1"/>
      <w:numFmt w:val="decimal"/>
      <w:lvlText w:val="%4."/>
      <w:lvlJc w:val="left"/>
      <w:pPr>
        <w:tabs>
          <w:tab w:val="num" w:pos="2836"/>
        </w:tabs>
        <w:ind w:left="2836" w:hanging="283"/>
      </w:pPr>
      <w:rPr>
        <w:sz w:val="32"/>
        <w:szCs w:val="32"/>
      </w:rPr>
    </w:lvl>
    <w:lvl w:ilvl="4">
      <w:start w:val="1"/>
      <w:numFmt w:val="decimal"/>
      <w:lvlText w:val="%5."/>
      <w:lvlJc w:val="left"/>
      <w:pPr>
        <w:tabs>
          <w:tab w:val="num" w:pos="3545"/>
        </w:tabs>
        <w:ind w:left="3545" w:hanging="283"/>
      </w:pPr>
      <w:rPr>
        <w:sz w:val="32"/>
        <w:szCs w:val="32"/>
      </w:rPr>
    </w:lvl>
    <w:lvl w:ilvl="5">
      <w:start w:val="1"/>
      <w:numFmt w:val="decimal"/>
      <w:lvlText w:val="%6."/>
      <w:lvlJc w:val="left"/>
      <w:pPr>
        <w:tabs>
          <w:tab w:val="num" w:pos="4254"/>
        </w:tabs>
        <w:ind w:left="4254" w:hanging="283"/>
      </w:pPr>
      <w:rPr>
        <w:sz w:val="32"/>
        <w:szCs w:val="32"/>
      </w:rPr>
    </w:lvl>
    <w:lvl w:ilvl="6">
      <w:start w:val="1"/>
      <w:numFmt w:val="decimal"/>
      <w:lvlText w:val="%7."/>
      <w:lvlJc w:val="left"/>
      <w:pPr>
        <w:tabs>
          <w:tab w:val="num" w:pos="4963"/>
        </w:tabs>
        <w:ind w:left="4963" w:hanging="283"/>
      </w:pPr>
      <w:rPr>
        <w:sz w:val="32"/>
        <w:szCs w:val="32"/>
      </w:rPr>
    </w:lvl>
    <w:lvl w:ilvl="7">
      <w:start w:val="1"/>
      <w:numFmt w:val="decimal"/>
      <w:lvlText w:val="%8."/>
      <w:lvlJc w:val="left"/>
      <w:pPr>
        <w:tabs>
          <w:tab w:val="num" w:pos="5672"/>
        </w:tabs>
        <w:ind w:left="5672" w:hanging="283"/>
      </w:pPr>
      <w:rPr>
        <w:sz w:val="32"/>
        <w:szCs w:val="32"/>
      </w:rPr>
    </w:lvl>
    <w:lvl w:ilvl="8">
      <w:start w:val="1"/>
      <w:numFmt w:val="decimal"/>
      <w:lvlText w:val="%9."/>
      <w:lvlJc w:val="left"/>
      <w:pPr>
        <w:tabs>
          <w:tab w:val="num" w:pos="6381"/>
        </w:tabs>
        <w:ind w:left="6381" w:hanging="283"/>
      </w:pPr>
      <w:rPr>
        <w:sz w:val="32"/>
        <w:szCs w:val="32"/>
      </w:rPr>
    </w:lvl>
  </w:abstractNum>
  <w:abstractNum w:abstractNumId="241" w15:restartNumberingAfterBreak="0">
    <w:nsid w:val="72A91E53"/>
    <w:multiLevelType w:val="multilevel"/>
    <w:tmpl w:val="35624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2D221EC"/>
    <w:multiLevelType w:val="hybridMultilevel"/>
    <w:tmpl w:val="057E027C"/>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72F607A6"/>
    <w:multiLevelType w:val="hybridMultilevel"/>
    <w:tmpl w:val="59C2FBEE"/>
    <w:lvl w:ilvl="0" w:tplc="911C5A0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4" w15:restartNumberingAfterBreak="0">
    <w:nsid w:val="73251AA3"/>
    <w:multiLevelType w:val="hybridMultilevel"/>
    <w:tmpl w:val="23168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73F299BF"/>
    <w:multiLevelType w:val="singleLevel"/>
    <w:tmpl w:val="73F299BF"/>
    <w:lvl w:ilvl="0">
      <w:start w:val="1"/>
      <w:numFmt w:val="decimal"/>
      <w:suff w:val="space"/>
      <w:lvlText w:val="%1."/>
      <w:lvlJc w:val="left"/>
    </w:lvl>
  </w:abstractNum>
  <w:abstractNum w:abstractNumId="246" w15:restartNumberingAfterBreak="0">
    <w:nsid w:val="743E3324"/>
    <w:multiLevelType w:val="hybridMultilevel"/>
    <w:tmpl w:val="3F5ACAEC"/>
    <w:lvl w:ilvl="0" w:tplc="B01EE4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75535166"/>
    <w:multiLevelType w:val="hybridMultilevel"/>
    <w:tmpl w:val="44168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75AF79C2"/>
    <w:multiLevelType w:val="hybridMultilevel"/>
    <w:tmpl w:val="477258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9" w15:restartNumberingAfterBreak="0">
    <w:nsid w:val="764A4592"/>
    <w:multiLevelType w:val="multilevel"/>
    <w:tmpl w:val="B410497C"/>
    <w:lvl w:ilvl="0">
      <w:start w:val="1"/>
      <w:numFmt w:val="decimal"/>
      <w:lvlText w:val="%1"/>
      <w:lvlJc w:val="left"/>
      <w:pPr>
        <w:ind w:left="720" w:hanging="360"/>
      </w:pPr>
      <w:rPr>
        <w:rFonts w:hint="default"/>
      </w:rPr>
    </w:lvl>
    <w:lvl w:ilvl="1">
      <w:start w:val="395"/>
      <w:numFmt w:val="decimal"/>
      <w:isLgl/>
      <w:lvlText w:val="%1.%2"/>
      <w:lvlJc w:val="left"/>
      <w:pPr>
        <w:ind w:left="1320" w:hanging="960"/>
      </w:pPr>
      <w:rPr>
        <w:rFonts w:hint="default"/>
      </w:rPr>
    </w:lvl>
    <w:lvl w:ilvl="2">
      <w:numFmt w:val="decimalZero"/>
      <w:isLgl/>
      <w:lvlText w:val="%1.%2.%3"/>
      <w:lvlJc w:val="left"/>
      <w:pPr>
        <w:ind w:left="1320" w:hanging="9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0" w15:restartNumberingAfterBreak="0">
    <w:nsid w:val="76B13AA3"/>
    <w:multiLevelType w:val="multilevel"/>
    <w:tmpl w:val="787C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77927B6"/>
    <w:multiLevelType w:val="multilevel"/>
    <w:tmpl w:val="4C98C6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2" w15:restartNumberingAfterBreak="0">
    <w:nsid w:val="78274315"/>
    <w:multiLevelType w:val="hybridMultilevel"/>
    <w:tmpl w:val="38BA8596"/>
    <w:lvl w:ilvl="0" w:tplc="DB3291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3" w15:restartNumberingAfterBreak="0">
    <w:nsid w:val="783B3C69"/>
    <w:multiLevelType w:val="hybridMultilevel"/>
    <w:tmpl w:val="4E6E4FB8"/>
    <w:lvl w:ilvl="0" w:tplc="B96E354A">
      <w:start w:val="1"/>
      <w:numFmt w:val="bullet"/>
      <w:lvlText w:val=""/>
      <w:lvlJc w:val="left"/>
      <w:pPr>
        <w:ind w:left="794" w:hanging="39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4" w15:restartNumberingAfterBreak="0">
    <w:nsid w:val="79C43289"/>
    <w:multiLevelType w:val="multilevel"/>
    <w:tmpl w:val="C63C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A112C04"/>
    <w:multiLevelType w:val="hybridMultilevel"/>
    <w:tmpl w:val="F86AB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A11351A"/>
    <w:multiLevelType w:val="hybridMultilevel"/>
    <w:tmpl w:val="57F6C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7A765EE2"/>
    <w:multiLevelType w:val="multilevel"/>
    <w:tmpl w:val="AF76D594"/>
    <w:lvl w:ilvl="0">
      <w:start w:val="1"/>
      <w:numFmt w:val="decimal"/>
      <w:lvlText w:val="%1."/>
      <w:lvlJc w:val="left"/>
      <w:pPr>
        <w:tabs>
          <w:tab w:val="num" w:pos="720"/>
        </w:tabs>
        <w:ind w:left="720" w:hanging="360"/>
      </w:pPr>
      <w:rPr>
        <w:rFonts w:ascii="Times New Roman" w:eastAsiaTheme="minorHAnsi" w:hAnsi="Times New Roman" w:cs="Times New Roman"/>
        <w:b w:val="0"/>
        <w:bCs w:val="0"/>
      </w:rPr>
    </w:lvl>
    <w:lvl w:ilvl="1">
      <w:numFmt w:val="bullet"/>
      <w:lvlText w:val="•"/>
      <w:lvlJc w:val="left"/>
      <w:pPr>
        <w:tabs>
          <w:tab w:val="num" w:pos="1494"/>
        </w:tabs>
        <w:ind w:left="1494" w:hanging="360"/>
      </w:pPr>
      <w:rPr>
        <w:rFonts w:ascii="Times New Roman" w:eastAsiaTheme="minorHAnsi" w:hAnsi="Times New Roman" w:cs="Times New Roman"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A9D1D69"/>
    <w:multiLevelType w:val="multilevel"/>
    <w:tmpl w:val="0442A3AE"/>
    <w:lvl w:ilvl="0">
      <w:start w:val="5"/>
      <w:numFmt w:val="decimal"/>
      <w:lvlText w:val="%1."/>
      <w:lvlJc w:val="left"/>
      <w:pPr>
        <w:tabs>
          <w:tab w:val="num" w:pos="720"/>
        </w:tabs>
        <w:ind w:left="720" w:hanging="360"/>
      </w:pPr>
      <w:rPr>
        <w:sz w:val="21"/>
        <w:szCs w:val="21"/>
      </w:rPr>
    </w:lvl>
    <w:lvl w:ilvl="1">
      <w:start w:val="1"/>
      <w:numFmt w:val="decimal"/>
      <w:lvlText w:val="%2."/>
      <w:lvlJc w:val="left"/>
      <w:pPr>
        <w:tabs>
          <w:tab w:val="num" w:pos="1080"/>
        </w:tabs>
        <w:ind w:left="1080" w:hanging="360"/>
      </w:pPr>
      <w:rPr>
        <w:sz w:val="32"/>
        <w:szCs w:val="32"/>
      </w:rPr>
    </w:lvl>
    <w:lvl w:ilvl="2">
      <w:start w:val="1"/>
      <w:numFmt w:val="decimal"/>
      <w:lvlText w:val="%3."/>
      <w:lvlJc w:val="left"/>
      <w:pPr>
        <w:tabs>
          <w:tab w:val="num" w:pos="1440"/>
        </w:tabs>
        <w:ind w:left="1440" w:hanging="360"/>
      </w:pPr>
      <w:rPr>
        <w:sz w:val="32"/>
        <w:szCs w:val="32"/>
      </w:rPr>
    </w:lvl>
    <w:lvl w:ilvl="3">
      <w:start w:val="1"/>
      <w:numFmt w:val="decimal"/>
      <w:lvlText w:val="%4."/>
      <w:lvlJc w:val="left"/>
      <w:pPr>
        <w:tabs>
          <w:tab w:val="num" w:pos="1800"/>
        </w:tabs>
        <w:ind w:left="1800" w:hanging="360"/>
      </w:pPr>
      <w:rPr>
        <w:sz w:val="32"/>
        <w:szCs w:val="32"/>
      </w:rPr>
    </w:lvl>
    <w:lvl w:ilvl="4">
      <w:start w:val="1"/>
      <w:numFmt w:val="decimal"/>
      <w:lvlText w:val="%5."/>
      <w:lvlJc w:val="left"/>
      <w:pPr>
        <w:tabs>
          <w:tab w:val="num" w:pos="2160"/>
        </w:tabs>
        <w:ind w:left="2160" w:hanging="360"/>
      </w:pPr>
      <w:rPr>
        <w:sz w:val="32"/>
        <w:szCs w:val="32"/>
      </w:rPr>
    </w:lvl>
    <w:lvl w:ilvl="5">
      <w:start w:val="1"/>
      <w:numFmt w:val="decimal"/>
      <w:lvlText w:val="%6."/>
      <w:lvlJc w:val="left"/>
      <w:pPr>
        <w:tabs>
          <w:tab w:val="num" w:pos="2520"/>
        </w:tabs>
        <w:ind w:left="2520" w:hanging="360"/>
      </w:pPr>
      <w:rPr>
        <w:sz w:val="32"/>
        <w:szCs w:val="32"/>
      </w:rPr>
    </w:lvl>
    <w:lvl w:ilvl="6">
      <w:start w:val="1"/>
      <w:numFmt w:val="decimal"/>
      <w:lvlText w:val="%7."/>
      <w:lvlJc w:val="left"/>
      <w:pPr>
        <w:tabs>
          <w:tab w:val="num" w:pos="2880"/>
        </w:tabs>
        <w:ind w:left="2880" w:hanging="360"/>
      </w:pPr>
      <w:rPr>
        <w:sz w:val="32"/>
        <w:szCs w:val="32"/>
      </w:rPr>
    </w:lvl>
    <w:lvl w:ilvl="7">
      <w:start w:val="1"/>
      <w:numFmt w:val="decimal"/>
      <w:lvlText w:val="%8."/>
      <w:lvlJc w:val="left"/>
      <w:pPr>
        <w:tabs>
          <w:tab w:val="num" w:pos="3240"/>
        </w:tabs>
        <w:ind w:left="3240" w:hanging="360"/>
      </w:pPr>
      <w:rPr>
        <w:sz w:val="32"/>
        <w:szCs w:val="32"/>
      </w:rPr>
    </w:lvl>
    <w:lvl w:ilvl="8">
      <w:start w:val="1"/>
      <w:numFmt w:val="decimal"/>
      <w:lvlText w:val="%9."/>
      <w:lvlJc w:val="left"/>
      <w:pPr>
        <w:tabs>
          <w:tab w:val="num" w:pos="3600"/>
        </w:tabs>
        <w:ind w:left="3600" w:hanging="360"/>
      </w:pPr>
      <w:rPr>
        <w:sz w:val="32"/>
        <w:szCs w:val="32"/>
      </w:rPr>
    </w:lvl>
  </w:abstractNum>
  <w:abstractNum w:abstractNumId="259" w15:restartNumberingAfterBreak="0">
    <w:nsid w:val="7C5236E4"/>
    <w:multiLevelType w:val="hybridMultilevel"/>
    <w:tmpl w:val="0A50025C"/>
    <w:lvl w:ilvl="0" w:tplc="FC0CF0E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0" w15:restartNumberingAfterBreak="0">
    <w:nsid w:val="7CA81664"/>
    <w:multiLevelType w:val="hybridMultilevel"/>
    <w:tmpl w:val="67A6C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D295BBE"/>
    <w:multiLevelType w:val="hybridMultilevel"/>
    <w:tmpl w:val="AA96EEBA"/>
    <w:lvl w:ilvl="0" w:tplc="F670CF96">
      <w:start w:val="1"/>
      <w:numFmt w:val="decimal"/>
      <w:lvlText w:val="%1."/>
      <w:lvlJc w:val="left"/>
      <w:pPr>
        <w:ind w:left="720" w:hanging="360"/>
      </w:pPr>
      <w:rPr>
        <w:rFonts w:ascii="Times New Roman" w:hAnsi="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7E7D54E7"/>
    <w:multiLevelType w:val="hybridMultilevel"/>
    <w:tmpl w:val="A3E878EC"/>
    <w:lvl w:ilvl="0" w:tplc="218EC9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3" w15:restartNumberingAfterBreak="0">
    <w:nsid w:val="7EA6796B"/>
    <w:multiLevelType w:val="hybridMultilevel"/>
    <w:tmpl w:val="F5F45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7F2166EC"/>
    <w:multiLevelType w:val="multilevel"/>
    <w:tmpl w:val="4C4E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8"/>
  </w:num>
  <w:num w:numId="2">
    <w:abstractNumId w:val="220"/>
  </w:num>
  <w:num w:numId="3">
    <w:abstractNumId w:val="124"/>
  </w:num>
  <w:num w:numId="4">
    <w:abstractNumId w:val="84"/>
  </w:num>
  <w:num w:numId="5">
    <w:abstractNumId w:val="63"/>
  </w:num>
  <w:num w:numId="6">
    <w:abstractNumId w:val="51"/>
  </w:num>
  <w:num w:numId="7">
    <w:abstractNumId w:val="152"/>
  </w:num>
  <w:num w:numId="8">
    <w:abstractNumId w:val="22"/>
  </w:num>
  <w:num w:numId="9">
    <w:abstractNumId w:val="36"/>
  </w:num>
  <w:num w:numId="10">
    <w:abstractNumId w:val="245"/>
  </w:num>
  <w:num w:numId="11">
    <w:abstractNumId w:val="18"/>
  </w:num>
  <w:num w:numId="12">
    <w:abstractNumId w:val="87"/>
  </w:num>
  <w:num w:numId="13">
    <w:abstractNumId w:val="70"/>
  </w:num>
  <w:num w:numId="14">
    <w:abstractNumId w:val="239"/>
  </w:num>
  <w:num w:numId="15">
    <w:abstractNumId w:val="187"/>
  </w:num>
  <w:num w:numId="16">
    <w:abstractNumId w:val="144"/>
  </w:num>
  <w:num w:numId="17">
    <w:abstractNumId w:val="215"/>
  </w:num>
  <w:num w:numId="18">
    <w:abstractNumId w:val="200"/>
  </w:num>
  <w:num w:numId="19">
    <w:abstractNumId w:val="171"/>
  </w:num>
  <w:num w:numId="20">
    <w:abstractNumId w:val="194"/>
  </w:num>
  <w:num w:numId="21">
    <w:abstractNumId w:val="44"/>
  </w:num>
  <w:num w:numId="22">
    <w:abstractNumId w:val="129"/>
  </w:num>
  <w:num w:numId="23">
    <w:abstractNumId w:val="8"/>
  </w:num>
  <w:num w:numId="24">
    <w:abstractNumId w:val="227"/>
  </w:num>
  <w:num w:numId="25">
    <w:abstractNumId w:val="243"/>
  </w:num>
  <w:num w:numId="26">
    <w:abstractNumId w:val="190"/>
  </w:num>
  <w:num w:numId="27">
    <w:abstractNumId w:val="179"/>
  </w:num>
  <w:num w:numId="28">
    <w:abstractNumId w:val="82"/>
  </w:num>
  <w:num w:numId="29">
    <w:abstractNumId w:val="108"/>
  </w:num>
  <w:num w:numId="30">
    <w:abstractNumId w:val="263"/>
  </w:num>
  <w:num w:numId="31">
    <w:abstractNumId w:val="262"/>
  </w:num>
  <w:num w:numId="32">
    <w:abstractNumId w:val="1"/>
  </w:num>
  <w:num w:numId="33">
    <w:abstractNumId w:val="140"/>
  </w:num>
  <w:num w:numId="34">
    <w:abstractNumId w:val="75"/>
  </w:num>
  <w:num w:numId="35">
    <w:abstractNumId w:val="110"/>
  </w:num>
  <w:num w:numId="36">
    <w:abstractNumId w:val="100"/>
  </w:num>
  <w:num w:numId="37">
    <w:abstractNumId w:val="238"/>
  </w:num>
  <w:num w:numId="38">
    <w:abstractNumId w:val="217"/>
  </w:num>
  <w:num w:numId="39">
    <w:abstractNumId w:val="17"/>
  </w:num>
  <w:num w:numId="40">
    <w:abstractNumId w:val="119"/>
  </w:num>
  <w:num w:numId="41">
    <w:abstractNumId w:val="222"/>
  </w:num>
  <w:num w:numId="42">
    <w:abstractNumId w:val="221"/>
  </w:num>
  <w:num w:numId="43">
    <w:abstractNumId w:val="218"/>
  </w:num>
  <w:num w:numId="44">
    <w:abstractNumId w:val="115"/>
  </w:num>
  <w:num w:numId="45">
    <w:abstractNumId w:val="235"/>
  </w:num>
  <w:num w:numId="46">
    <w:abstractNumId w:val="61"/>
  </w:num>
  <w:num w:numId="47">
    <w:abstractNumId w:val="67"/>
  </w:num>
  <w:num w:numId="48">
    <w:abstractNumId w:val="234"/>
  </w:num>
  <w:num w:numId="49">
    <w:abstractNumId w:val="213"/>
  </w:num>
  <w:num w:numId="50">
    <w:abstractNumId w:val="7"/>
  </w:num>
  <w:num w:numId="51">
    <w:abstractNumId w:val="105"/>
  </w:num>
  <w:num w:numId="52">
    <w:abstractNumId w:val="73"/>
  </w:num>
  <w:num w:numId="53">
    <w:abstractNumId w:val="175"/>
  </w:num>
  <w:num w:numId="54">
    <w:abstractNumId w:val="65"/>
  </w:num>
  <w:num w:numId="55">
    <w:abstractNumId w:val="14"/>
  </w:num>
  <w:num w:numId="56">
    <w:abstractNumId w:val="205"/>
  </w:num>
  <w:num w:numId="57">
    <w:abstractNumId w:val="193"/>
  </w:num>
  <w:num w:numId="58">
    <w:abstractNumId w:val="113"/>
  </w:num>
  <w:num w:numId="59">
    <w:abstractNumId w:val="114"/>
  </w:num>
  <w:num w:numId="60">
    <w:abstractNumId w:val="50"/>
  </w:num>
  <w:num w:numId="61">
    <w:abstractNumId w:val="156"/>
  </w:num>
  <w:num w:numId="62">
    <w:abstractNumId w:val="185"/>
  </w:num>
  <w:num w:numId="63">
    <w:abstractNumId w:val="12"/>
  </w:num>
  <w:num w:numId="64">
    <w:abstractNumId w:val="86"/>
  </w:num>
  <w:num w:numId="65">
    <w:abstractNumId w:val="172"/>
  </w:num>
  <w:num w:numId="66">
    <w:abstractNumId w:val="23"/>
  </w:num>
  <w:num w:numId="67">
    <w:abstractNumId w:val="135"/>
  </w:num>
  <w:num w:numId="68">
    <w:abstractNumId w:val="111"/>
  </w:num>
  <w:num w:numId="69">
    <w:abstractNumId w:val="92"/>
  </w:num>
  <w:num w:numId="70">
    <w:abstractNumId w:val="157"/>
  </w:num>
  <w:num w:numId="71">
    <w:abstractNumId w:val="226"/>
  </w:num>
  <w:num w:numId="72">
    <w:abstractNumId w:val="153"/>
  </w:num>
  <w:num w:numId="73">
    <w:abstractNumId w:val="207"/>
  </w:num>
  <w:num w:numId="74">
    <w:abstractNumId w:val="244"/>
  </w:num>
  <w:num w:numId="75">
    <w:abstractNumId w:val="32"/>
  </w:num>
  <w:num w:numId="76">
    <w:abstractNumId w:val="189"/>
  </w:num>
  <w:num w:numId="77">
    <w:abstractNumId w:val="24"/>
  </w:num>
  <w:num w:numId="78">
    <w:abstractNumId w:val="208"/>
  </w:num>
  <w:num w:numId="79">
    <w:abstractNumId w:val="133"/>
  </w:num>
  <w:num w:numId="80">
    <w:abstractNumId w:val="78"/>
  </w:num>
  <w:num w:numId="81">
    <w:abstractNumId w:val="199"/>
  </w:num>
  <w:num w:numId="82">
    <w:abstractNumId w:val="216"/>
  </w:num>
  <w:num w:numId="83">
    <w:abstractNumId w:val="54"/>
  </w:num>
  <w:num w:numId="84">
    <w:abstractNumId w:val="250"/>
  </w:num>
  <w:num w:numId="85">
    <w:abstractNumId w:val="254"/>
  </w:num>
  <w:num w:numId="86">
    <w:abstractNumId w:val="253"/>
  </w:num>
  <w:num w:numId="87">
    <w:abstractNumId w:val="16"/>
  </w:num>
  <w:num w:numId="88">
    <w:abstractNumId w:val="248"/>
  </w:num>
  <w:num w:numId="89">
    <w:abstractNumId w:val="127"/>
  </w:num>
  <w:num w:numId="90">
    <w:abstractNumId w:val="28"/>
  </w:num>
  <w:num w:numId="91">
    <w:abstractNumId w:val="88"/>
  </w:num>
  <w:num w:numId="92">
    <w:abstractNumId w:val="27"/>
  </w:num>
  <w:num w:numId="93">
    <w:abstractNumId w:val="236"/>
  </w:num>
  <w:num w:numId="94">
    <w:abstractNumId w:val="214"/>
  </w:num>
  <w:num w:numId="95">
    <w:abstractNumId w:val="117"/>
  </w:num>
  <w:num w:numId="96">
    <w:abstractNumId w:val="232"/>
  </w:num>
  <w:num w:numId="97">
    <w:abstractNumId w:val="83"/>
  </w:num>
  <w:num w:numId="98">
    <w:abstractNumId w:val="30"/>
  </w:num>
  <w:num w:numId="99">
    <w:abstractNumId w:val="64"/>
  </w:num>
  <w:num w:numId="100">
    <w:abstractNumId w:val="149"/>
  </w:num>
  <w:num w:numId="101">
    <w:abstractNumId w:val="257"/>
  </w:num>
  <w:num w:numId="102">
    <w:abstractNumId w:val="15"/>
  </w:num>
  <w:num w:numId="103">
    <w:abstractNumId w:val="219"/>
  </w:num>
  <w:num w:numId="104">
    <w:abstractNumId w:val="96"/>
  </w:num>
  <w:num w:numId="105">
    <w:abstractNumId w:val="130"/>
  </w:num>
  <w:num w:numId="106">
    <w:abstractNumId w:val="25"/>
  </w:num>
  <w:num w:numId="107">
    <w:abstractNumId w:val="116"/>
  </w:num>
  <w:num w:numId="108">
    <w:abstractNumId w:val="104"/>
  </w:num>
  <w:num w:numId="109">
    <w:abstractNumId w:val="203"/>
  </w:num>
  <w:num w:numId="110">
    <w:abstractNumId w:val="136"/>
  </w:num>
  <w:num w:numId="111">
    <w:abstractNumId w:val="261"/>
  </w:num>
  <w:num w:numId="112">
    <w:abstractNumId w:val="11"/>
  </w:num>
  <w:num w:numId="113">
    <w:abstractNumId w:val="161"/>
  </w:num>
  <w:num w:numId="114">
    <w:abstractNumId w:val="93"/>
  </w:num>
  <w:num w:numId="115">
    <w:abstractNumId w:val="56"/>
  </w:num>
  <w:num w:numId="116">
    <w:abstractNumId w:val="42"/>
  </w:num>
  <w:num w:numId="117">
    <w:abstractNumId w:val="228"/>
  </w:num>
  <w:num w:numId="118">
    <w:abstractNumId w:val="60"/>
  </w:num>
  <w:num w:numId="119">
    <w:abstractNumId w:val="174"/>
  </w:num>
  <w:num w:numId="120">
    <w:abstractNumId w:val="178"/>
  </w:num>
  <w:num w:numId="121">
    <w:abstractNumId w:val="183"/>
  </w:num>
  <w:num w:numId="122">
    <w:abstractNumId w:val="167"/>
  </w:num>
  <w:num w:numId="123">
    <w:abstractNumId w:val="154"/>
  </w:num>
  <w:num w:numId="124">
    <w:abstractNumId w:val="26"/>
  </w:num>
  <w:num w:numId="125">
    <w:abstractNumId w:val="97"/>
  </w:num>
  <w:num w:numId="126">
    <w:abstractNumId w:val="150"/>
  </w:num>
  <w:num w:numId="127">
    <w:abstractNumId w:val="21"/>
  </w:num>
  <w:num w:numId="128">
    <w:abstractNumId w:val="180"/>
  </w:num>
  <w:num w:numId="129">
    <w:abstractNumId w:val="99"/>
  </w:num>
  <w:num w:numId="130">
    <w:abstractNumId w:val="68"/>
  </w:num>
  <w:num w:numId="131">
    <w:abstractNumId w:val="252"/>
  </w:num>
  <w:num w:numId="132">
    <w:abstractNumId w:val="109"/>
  </w:num>
  <w:num w:numId="133">
    <w:abstractNumId w:val="80"/>
  </w:num>
  <w:num w:numId="134">
    <w:abstractNumId w:val="40"/>
  </w:num>
  <w:num w:numId="135">
    <w:abstractNumId w:val="131"/>
  </w:num>
  <w:num w:numId="136">
    <w:abstractNumId w:val="264"/>
  </w:num>
  <w:num w:numId="137">
    <w:abstractNumId w:val="165"/>
  </w:num>
  <w:num w:numId="138">
    <w:abstractNumId w:val="122"/>
  </w:num>
  <w:num w:numId="139">
    <w:abstractNumId w:val="211"/>
  </w:num>
  <w:num w:numId="140">
    <w:abstractNumId w:val="90"/>
  </w:num>
  <w:num w:numId="141">
    <w:abstractNumId w:val="134"/>
  </w:num>
  <w:num w:numId="142">
    <w:abstractNumId w:val="62"/>
  </w:num>
  <w:num w:numId="143">
    <w:abstractNumId w:val="4"/>
  </w:num>
  <w:num w:numId="144">
    <w:abstractNumId w:val="39"/>
  </w:num>
  <w:num w:numId="145">
    <w:abstractNumId w:val="240"/>
  </w:num>
  <w:num w:numId="146">
    <w:abstractNumId w:val="69"/>
  </w:num>
  <w:num w:numId="147">
    <w:abstractNumId w:val="258"/>
  </w:num>
  <w:num w:numId="148">
    <w:abstractNumId w:val="142"/>
  </w:num>
  <w:num w:numId="149">
    <w:abstractNumId w:val="94"/>
  </w:num>
  <w:num w:numId="150">
    <w:abstractNumId w:val="120"/>
  </w:num>
  <w:num w:numId="151">
    <w:abstractNumId w:val="13"/>
  </w:num>
  <w:num w:numId="152">
    <w:abstractNumId w:val="71"/>
  </w:num>
  <w:num w:numId="153">
    <w:abstractNumId w:val="148"/>
  </w:num>
  <w:num w:numId="154">
    <w:abstractNumId w:val="34"/>
  </w:num>
  <w:num w:numId="155">
    <w:abstractNumId w:val="223"/>
  </w:num>
  <w:num w:numId="156">
    <w:abstractNumId w:val="74"/>
  </w:num>
  <w:num w:numId="157">
    <w:abstractNumId w:val="53"/>
  </w:num>
  <w:num w:numId="158">
    <w:abstractNumId w:val="249"/>
  </w:num>
  <w:num w:numId="159">
    <w:abstractNumId w:val="155"/>
  </w:num>
  <w:num w:numId="160">
    <w:abstractNumId w:val="121"/>
  </w:num>
  <w:num w:numId="161">
    <w:abstractNumId w:val="256"/>
  </w:num>
  <w:num w:numId="162">
    <w:abstractNumId w:val="177"/>
  </w:num>
  <w:num w:numId="163">
    <w:abstractNumId w:val="251"/>
  </w:num>
  <w:num w:numId="164">
    <w:abstractNumId w:val="186"/>
  </w:num>
  <w:num w:numId="165">
    <w:abstractNumId w:val="212"/>
  </w:num>
  <w:num w:numId="166">
    <w:abstractNumId w:val="141"/>
  </w:num>
  <w:num w:numId="167">
    <w:abstractNumId w:val="29"/>
  </w:num>
  <w:num w:numId="168">
    <w:abstractNumId w:val="160"/>
  </w:num>
  <w:num w:numId="169">
    <w:abstractNumId w:val="146"/>
  </w:num>
  <w:num w:numId="170">
    <w:abstractNumId w:val="81"/>
  </w:num>
  <w:num w:numId="171">
    <w:abstractNumId w:val="59"/>
  </w:num>
  <w:num w:numId="172">
    <w:abstractNumId w:val="209"/>
  </w:num>
  <w:num w:numId="173">
    <w:abstractNumId w:val="66"/>
  </w:num>
  <w:num w:numId="174">
    <w:abstractNumId w:val="43"/>
  </w:num>
  <w:num w:numId="175">
    <w:abstractNumId w:val="85"/>
  </w:num>
  <w:num w:numId="176">
    <w:abstractNumId w:val="182"/>
  </w:num>
  <w:num w:numId="177">
    <w:abstractNumId w:val="101"/>
  </w:num>
  <w:num w:numId="178">
    <w:abstractNumId w:val="52"/>
  </w:num>
  <w:num w:numId="179">
    <w:abstractNumId w:val="48"/>
  </w:num>
  <w:num w:numId="180">
    <w:abstractNumId w:val="188"/>
  </w:num>
  <w:num w:numId="181">
    <w:abstractNumId w:val="233"/>
  </w:num>
  <w:num w:numId="182">
    <w:abstractNumId w:val="206"/>
  </w:num>
  <w:num w:numId="183">
    <w:abstractNumId w:val="137"/>
  </w:num>
  <w:num w:numId="184">
    <w:abstractNumId w:val="139"/>
  </w:num>
  <w:num w:numId="185">
    <w:abstractNumId w:val="95"/>
  </w:num>
  <w:num w:numId="186">
    <w:abstractNumId w:val="89"/>
  </w:num>
  <w:num w:numId="187">
    <w:abstractNumId w:val="184"/>
  </w:num>
  <w:num w:numId="188">
    <w:abstractNumId w:val="20"/>
  </w:num>
  <w:num w:numId="189">
    <w:abstractNumId w:val="181"/>
  </w:num>
  <w:num w:numId="190">
    <w:abstractNumId w:val="49"/>
  </w:num>
  <w:num w:numId="191">
    <w:abstractNumId w:val="196"/>
  </w:num>
  <w:num w:numId="192">
    <w:abstractNumId w:val="176"/>
  </w:num>
  <w:num w:numId="193">
    <w:abstractNumId w:val="260"/>
  </w:num>
  <w:num w:numId="194">
    <w:abstractNumId w:val="198"/>
  </w:num>
  <w:num w:numId="195">
    <w:abstractNumId w:val="123"/>
  </w:num>
  <w:num w:numId="196">
    <w:abstractNumId w:val="45"/>
  </w:num>
  <w:num w:numId="197">
    <w:abstractNumId w:val="31"/>
  </w:num>
  <w:num w:numId="198">
    <w:abstractNumId w:val="10"/>
  </w:num>
  <w:num w:numId="199">
    <w:abstractNumId w:val="166"/>
  </w:num>
  <w:num w:numId="200">
    <w:abstractNumId w:val="77"/>
  </w:num>
  <w:num w:numId="201">
    <w:abstractNumId w:val="91"/>
  </w:num>
  <w:num w:numId="202">
    <w:abstractNumId w:val="128"/>
  </w:num>
  <w:num w:numId="203">
    <w:abstractNumId w:val="247"/>
  </w:num>
  <w:num w:numId="204">
    <w:abstractNumId w:val="58"/>
  </w:num>
  <w:num w:numId="205">
    <w:abstractNumId w:val="255"/>
  </w:num>
  <w:num w:numId="206">
    <w:abstractNumId w:val="132"/>
  </w:num>
  <w:num w:numId="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2"/>
    <w:lvlOverride w:ilvl="0">
      <w:startOverride w:val="1"/>
    </w:lvlOverride>
  </w:num>
  <w:num w:numId="209">
    <w:abstractNumId w:val="5"/>
    <w:lvlOverride w:ilvl="0">
      <w:startOverride w:val="1"/>
    </w:lvlOverride>
    <w:lvlOverride w:ilvl="1"/>
    <w:lvlOverride w:ilvl="2"/>
    <w:lvlOverride w:ilvl="3"/>
    <w:lvlOverride w:ilvl="4"/>
    <w:lvlOverride w:ilvl="5"/>
    <w:lvlOverride w:ilvl="6"/>
    <w:lvlOverride w:ilvl="7"/>
    <w:lvlOverride w:ilvl="8"/>
  </w:num>
  <w:num w:numId="2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79"/>
  </w:num>
  <w:num w:numId="21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6"/>
  </w:num>
  <w:num w:numId="2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1"/>
  </w:num>
  <w:num w:numId="216">
    <w:abstractNumId w:val="3"/>
    <w:lvlOverride w:ilvl="0">
      <w:startOverride w:val="1"/>
    </w:lvlOverride>
  </w:num>
  <w:num w:numId="217">
    <w:abstractNumId w:val="2"/>
  </w:num>
  <w:num w:numId="218">
    <w:abstractNumId w:val="0"/>
    <w:lvlOverride w:ilvl="0">
      <w:startOverride w:val="1"/>
    </w:lvlOverride>
  </w:num>
  <w:num w:numId="219">
    <w:abstractNumId w:val="230"/>
    <w:lvlOverride w:ilvl="0">
      <w:startOverride w:val="1"/>
    </w:lvlOverride>
  </w:num>
  <w:num w:numId="220">
    <w:abstractNumId w:val="169"/>
  </w:num>
  <w:num w:numId="221">
    <w:abstractNumId w:val="106"/>
  </w:num>
  <w:num w:numId="222">
    <w:abstractNumId w:val="125"/>
  </w:num>
  <w:num w:numId="223">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
    <w:lvlOverride w:ilvl="0">
      <w:startOverride w:val="1"/>
    </w:lvlOverride>
    <w:lvlOverride w:ilvl="1"/>
    <w:lvlOverride w:ilvl="2"/>
    <w:lvlOverride w:ilvl="3"/>
    <w:lvlOverride w:ilvl="4"/>
    <w:lvlOverride w:ilvl="5"/>
    <w:lvlOverride w:ilvl="6"/>
    <w:lvlOverride w:ilvl="7"/>
    <w:lvlOverride w:ilvl="8"/>
  </w:num>
  <w:num w:numId="225">
    <w:abstractNumId w:val="47"/>
    <w:lvlOverride w:ilvl="0">
      <w:startOverride w:val="1"/>
    </w:lvlOverride>
    <w:lvlOverride w:ilvl="1"/>
    <w:lvlOverride w:ilvl="2"/>
    <w:lvlOverride w:ilvl="3"/>
    <w:lvlOverride w:ilvl="4"/>
    <w:lvlOverride w:ilvl="5"/>
    <w:lvlOverride w:ilvl="6"/>
    <w:lvlOverride w:ilvl="7"/>
    <w:lvlOverride w:ilvl="8"/>
  </w:num>
  <w:num w:numId="226">
    <w:abstractNumId w:val="158"/>
  </w:num>
  <w:num w:numId="22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45"/>
  </w:num>
  <w:num w:numId="230">
    <w:abstractNumId w:val="33"/>
  </w:num>
  <w:num w:numId="231">
    <w:abstractNumId w:val="159"/>
  </w:num>
  <w:num w:numId="232">
    <w:abstractNumId w:val="38"/>
  </w:num>
  <w:num w:numId="233">
    <w:abstractNumId w:val="138"/>
  </w:num>
  <w:num w:numId="234">
    <w:abstractNumId w:val="231"/>
  </w:num>
  <w:num w:numId="235">
    <w:abstractNumId w:val="37"/>
  </w:num>
  <w:num w:numId="23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46"/>
  </w:num>
  <w:num w:numId="238">
    <w:abstractNumId w:val="57"/>
  </w:num>
  <w:num w:numId="239">
    <w:abstractNumId w:val="107"/>
  </w:num>
  <w:num w:numId="240">
    <w:abstractNumId w:val="241"/>
  </w:num>
  <w:num w:numId="241">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0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6"/>
  </w:num>
  <w:num w:numId="244">
    <w:abstractNumId w:val="1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02"/>
  </w:num>
  <w:num w:numId="24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1"/>
  </w:num>
  <w:num w:numId="253">
    <w:abstractNumId w:val="170"/>
  </w:num>
  <w:num w:numId="254">
    <w:abstractNumId w:val="55"/>
  </w:num>
  <w:num w:numId="255">
    <w:abstractNumId w:val="164"/>
  </w:num>
  <w:num w:numId="256">
    <w:abstractNumId w:val="9"/>
  </w:num>
  <w:num w:numId="257">
    <w:abstractNumId w:val="197"/>
  </w:num>
  <w:num w:numId="258">
    <w:abstractNumId w:val="225"/>
  </w:num>
  <w:num w:numId="259">
    <w:abstractNumId w:val="246"/>
  </w:num>
  <w:num w:numId="260">
    <w:abstractNumId w:val="72"/>
  </w:num>
  <w:num w:numId="261">
    <w:abstractNumId w:val="35"/>
  </w:num>
  <w:num w:numId="262">
    <w:abstractNumId w:val="210"/>
  </w:num>
  <w:num w:numId="263">
    <w:abstractNumId w:val="98"/>
  </w:num>
  <w:num w:numId="264">
    <w:abstractNumId w:val="242"/>
  </w:num>
  <w:num w:numId="265">
    <w:abstractNumId w:val="191"/>
  </w:num>
  <w:num w:numId="266">
    <w:abstractNumId w:val="143"/>
  </w:num>
  <w:num w:numId="267">
    <w:abstractNumId w:val="162"/>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477"/>
    <w:rsid w:val="000023BD"/>
    <w:rsid w:val="00005D4A"/>
    <w:rsid w:val="0001320B"/>
    <w:rsid w:val="0001591D"/>
    <w:rsid w:val="00016E92"/>
    <w:rsid w:val="000172BF"/>
    <w:rsid w:val="0004602A"/>
    <w:rsid w:val="000476DD"/>
    <w:rsid w:val="000478CE"/>
    <w:rsid w:val="00050965"/>
    <w:rsid w:val="000510A3"/>
    <w:rsid w:val="0005270D"/>
    <w:rsid w:val="00052E8A"/>
    <w:rsid w:val="00063535"/>
    <w:rsid w:val="000635A4"/>
    <w:rsid w:val="00066A88"/>
    <w:rsid w:val="00067100"/>
    <w:rsid w:val="00070AB0"/>
    <w:rsid w:val="0007694F"/>
    <w:rsid w:val="00076DE3"/>
    <w:rsid w:val="00077D0B"/>
    <w:rsid w:val="0008081B"/>
    <w:rsid w:val="000905B1"/>
    <w:rsid w:val="0009515E"/>
    <w:rsid w:val="00097C81"/>
    <w:rsid w:val="000A4EC5"/>
    <w:rsid w:val="000A61FC"/>
    <w:rsid w:val="000A66D2"/>
    <w:rsid w:val="000A7E77"/>
    <w:rsid w:val="000B3AFF"/>
    <w:rsid w:val="000B4232"/>
    <w:rsid w:val="000B657A"/>
    <w:rsid w:val="000B6F49"/>
    <w:rsid w:val="000B6FDC"/>
    <w:rsid w:val="000C19DE"/>
    <w:rsid w:val="000D3756"/>
    <w:rsid w:val="000D45DF"/>
    <w:rsid w:val="000E5581"/>
    <w:rsid w:val="000E783B"/>
    <w:rsid w:val="000F343E"/>
    <w:rsid w:val="000F357D"/>
    <w:rsid w:val="000F410D"/>
    <w:rsid w:val="000F7B86"/>
    <w:rsid w:val="001071DC"/>
    <w:rsid w:val="00107EA1"/>
    <w:rsid w:val="001101DF"/>
    <w:rsid w:val="00113DE7"/>
    <w:rsid w:val="00122D3F"/>
    <w:rsid w:val="00123B88"/>
    <w:rsid w:val="001309B7"/>
    <w:rsid w:val="001314C5"/>
    <w:rsid w:val="00132A69"/>
    <w:rsid w:val="001461E0"/>
    <w:rsid w:val="00150457"/>
    <w:rsid w:val="00150AE4"/>
    <w:rsid w:val="001516F1"/>
    <w:rsid w:val="00151A59"/>
    <w:rsid w:val="00172EAB"/>
    <w:rsid w:val="00177A5F"/>
    <w:rsid w:val="00195C5C"/>
    <w:rsid w:val="00195C8C"/>
    <w:rsid w:val="001A36C0"/>
    <w:rsid w:val="001A634E"/>
    <w:rsid w:val="001C03FA"/>
    <w:rsid w:val="001C2B21"/>
    <w:rsid w:val="001C3B3D"/>
    <w:rsid w:val="001C4C30"/>
    <w:rsid w:val="001C5E45"/>
    <w:rsid w:val="001C67A1"/>
    <w:rsid w:val="001C7993"/>
    <w:rsid w:val="001D0279"/>
    <w:rsid w:val="001D3CDE"/>
    <w:rsid w:val="001E125C"/>
    <w:rsid w:val="001E62F1"/>
    <w:rsid w:val="001F02AB"/>
    <w:rsid w:val="001F203A"/>
    <w:rsid w:val="001F3A74"/>
    <w:rsid w:val="001F45AE"/>
    <w:rsid w:val="00203375"/>
    <w:rsid w:val="002040E0"/>
    <w:rsid w:val="0021475C"/>
    <w:rsid w:val="0022203D"/>
    <w:rsid w:val="00232A65"/>
    <w:rsid w:val="0023619E"/>
    <w:rsid w:val="00237810"/>
    <w:rsid w:val="0024303D"/>
    <w:rsid w:val="00246452"/>
    <w:rsid w:val="002513A8"/>
    <w:rsid w:val="0025206E"/>
    <w:rsid w:val="0025481B"/>
    <w:rsid w:val="002565D5"/>
    <w:rsid w:val="00264697"/>
    <w:rsid w:val="00266376"/>
    <w:rsid w:val="00267B27"/>
    <w:rsid w:val="00271A58"/>
    <w:rsid w:val="00277A15"/>
    <w:rsid w:val="00284830"/>
    <w:rsid w:val="002859F4"/>
    <w:rsid w:val="002936CF"/>
    <w:rsid w:val="00294372"/>
    <w:rsid w:val="00295916"/>
    <w:rsid w:val="00296294"/>
    <w:rsid w:val="002965AE"/>
    <w:rsid w:val="002A0AC8"/>
    <w:rsid w:val="002A1CF2"/>
    <w:rsid w:val="002A4B8F"/>
    <w:rsid w:val="002A5A88"/>
    <w:rsid w:val="002A5FD2"/>
    <w:rsid w:val="002B3211"/>
    <w:rsid w:val="002B6DA7"/>
    <w:rsid w:val="002C3437"/>
    <w:rsid w:val="002C4964"/>
    <w:rsid w:val="002C75CD"/>
    <w:rsid w:val="002D38DF"/>
    <w:rsid w:val="002D72DC"/>
    <w:rsid w:val="002D7333"/>
    <w:rsid w:val="002E3F25"/>
    <w:rsid w:val="002E52D2"/>
    <w:rsid w:val="002E54D6"/>
    <w:rsid w:val="002F0BF5"/>
    <w:rsid w:val="002F5BEC"/>
    <w:rsid w:val="002F634F"/>
    <w:rsid w:val="00300067"/>
    <w:rsid w:val="003006C5"/>
    <w:rsid w:val="0030095D"/>
    <w:rsid w:val="0030136D"/>
    <w:rsid w:val="0030182F"/>
    <w:rsid w:val="003038D0"/>
    <w:rsid w:val="00304F8F"/>
    <w:rsid w:val="00306FD3"/>
    <w:rsid w:val="00307CD6"/>
    <w:rsid w:val="00312975"/>
    <w:rsid w:val="003142E3"/>
    <w:rsid w:val="00314D91"/>
    <w:rsid w:val="003159E7"/>
    <w:rsid w:val="00322755"/>
    <w:rsid w:val="00326791"/>
    <w:rsid w:val="0033036B"/>
    <w:rsid w:val="003346B5"/>
    <w:rsid w:val="00335559"/>
    <w:rsid w:val="00336550"/>
    <w:rsid w:val="003367AB"/>
    <w:rsid w:val="00340687"/>
    <w:rsid w:val="00350EE8"/>
    <w:rsid w:val="003566E1"/>
    <w:rsid w:val="00357CF0"/>
    <w:rsid w:val="003622CE"/>
    <w:rsid w:val="00365776"/>
    <w:rsid w:val="00370C8D"/>
    <w:rsid w:val="00370D70"/>
    <w:rsid w:val="00373913"/>
    <w:rsid w:val="00375471"/>
    <w:rsid w:val="00377D07"/>
    <w:rsid w:val="0038051C"/>
    <w:rsid w:val="003826E8"/>
    <w:rsid w:val="003850AB"/>
    <w:rsid w:val="00393D25"/>
    <w:rsid w:val="003A0ACB"/>
    <w:rsid w:val="003A2455"/>
    <w:rsid w:val="003A2A09"/>
    <w:rsid w:val="003A2B13"/>
    <w:rsid w:val="003A366B"/>
    <w:rsid w:val="003B64F4"/>
    <w:rsid w:val="003C0B55"/>
    <w:rsid w:val="003C26BD"/>
    <w:rsid w:val="003C5419"/>
    <w:rsid w:val="003C7E3C"/>
    <w:rsid w:val="003D1258"/>
    <w:rsid w:val="003D1CCB"/>
    <w:rsid w:val="003D5F9F"/>
    <w:rsid w:val="003D671A"/>
    <w:rsid w:val="003E32CF"/>
    <w:rsid w:val="003E48A3"/>
    <w:rsid w:val="003E4FE0"/>
    <w:rsid w:val="003F20A7"/>
    <w:rsid w:val="003F24AC"/>
    <w:rsid w:val="003F4D72"/>
    <w:rsid w:val="003F59DC"/>
    <w:rsid w:val="00400849"/>
    <w:rsid w:val="0040174B"/>
    <w:rsid w:val="0040538B"/>
    <w:rsid w:val="004103FE"/>
    <w:rsid w:val="00417E53"/>
    <w:rsid w:val="0042027F"/>
    <w:rsid w:val="00420733"/>
    <w:rsid w:val="00422E39"/>
    <w:rsid w:val="004244B2"/>
    <w:rsid w:val="00433C2B"/>
    <w:rsid w:val="00436536"/>
    <w:rsid w:val="00437A81"/>
    <w:rsid w:val="004406C6"/>
    <w:rsid w:val="00441932"/>
    <w:rsid w:val="004427E6"/>
    <w:rsid w:val="00450038"/>
    <w:rsid w:val="00465CDC"/>
    <w:rsid w:val="0048297D"/>
    <w:rsid w:val="00483D44"/>
    <w:rsid w:val="00485A13"/>
    <w:rsid w:val="004A0144"/>
    <w:rsid w:val="004A0F44"/>
    <w:rsid w:val="004A318D"/>
    <w:rsid w:val="004A4FD8"/>
    <w:rsid w:val="004A5C34"/>
    <w:rsid w:val="004A5EE9"/>
    <w:rsid w:val="004A636C"/>
    <w:rsid w:val="004B4745"/>
    <w:rsid w:val="004B56FA"/>
    <w:rsid w:val="004B759A"/>
    <w:rsid w:val="004D074F"/>
    <w:rsid w:val="004D2665"/>
    <w:rsid w:val="004E4CD7"/>
    <w:rsid w:val="004E62E3"/>
    <w:rsid w:val="004F1A9E"/>
    <w:rsid w:val="004F292A"/>
    <w:rsid w:val="004F70BC"/>
    <w:rsid w:val="00500829"/>
    <w:rsid w:val="005018DE"/>
    <w:rsid w:val="00505093"/>
    <w:rsid w:val="0050586E"/>
    <w:rsid w:val="00517151"/>
    <w:rsid w:val="005216A9"/>
    <w:rsid w:val="00522844"/>
    <w:rsid w:val="00531088"/>
    <w:rsid w:val="005320E1"/>
    <w:rsid w:val="00545086"/>
    <w:rsid w:val="0055221C"/>
    <w:rsid w:val="0055454C"/>
    <w:rsid w:val="00555C4A"/>
    <w:rsid w:val="00562231"/>
    <w:rsid w:val="005712E2"/>
    <w:rsid w:val="0057345B"/>
    <w:rsid w:val="0058021C"/>
    <w:rsid w:val="005965CC"/>
    <w:rsid w:val="005966E2"/>
    <w:rsid w:val="005A0990"/>
    <w:rsid w:val="005A2DA7"/>
    <w:rsid w:val="005A4D71"/>
    <w:rsid w:val="005A5FD7"/>
    <w:rsid w:val="005B3DDD"/>
    <w:rsid w:val="005B65B8"/>
    <w:rsid w:val="005C518B"/>
    <w:rsid w:val="005D2A85"/>
    <w:rsid w:val="005D2A8F"/>
    <w:rsid w:val="005D3D9F"/>
    <w:rsid w:val="005D4F55"/>
    <w:rsid w:val="005E4E3D"/>
    <w:rsid w:val="005E5ED0"/>
    <w:rsid w:val="005E7091"/>
    <w:rsid w:val="005F341A"/>
    <w:rsid w:val="00600725"/>
    <w:rsid w:val="00601B4B"/>
    <w:rsid w:val="006031BE"/>
    <w:rsid w:val="00606486"/>
    <w:rsid w:val="00616E2F"/>
    <w:rsid w:val="006203C5"/>
    <w:rsid w:val="0062609D"/>
    <w:rsid w:val="00630257"/>
    <w:rsid w:val="006328F0"/>
    <w:rsid w:val="00633DBF"/>
    <w:rsid w:val="00636858"/>
    <w:rsid w:val="006378ED"/>
    <w:rsid w:val="0064351C"/>
    <w:rsid w:val="0064628F"/>
    <w:rsid w:val="006473D7"/>
    <w:rsid w:val="00654CF2"/>
    <w:rsid w:val="00656AA8"/>
    <w:rsid w:val="006611C1"/>
    <w:rsid w:val="00661D7A"/>
    <w:rsid w:val="0066233A"/>
    <w:rsid w:val="00666422"/>
    <w:rsid w:val="0067297E"/>
    <w:rsid w:val="00676171"/>
    <w:rsid w:val="0067704E"/>
    <w:rsid w:val="00681CB7"/>
    <w:rsid w:val="00685B07"/>
    <w:rsid w:val="006863F2"/>
    <w:rsid w:val="00686B31"/>
    <w:rsid w:val="00687CAD"/>
    <w:rsid w:val="00690D23"/>
    <w:rsid w:val="00692181"/>
    <w:rsid w:val="00692C43"/>
    <w:rsid w:val="00693D70"/>
    <w:rsid w:val="006A33CD"/>
    <w:rsid w:val="006A3FAE"/>
    <w:rsid w:val="006A4D6F"/>
    <w:rsid w:val="006A558E"/>
    <w:rsid w:val="006A74D2"/>
    <w:rsid w:val="006B0807"/>
    <w:rsid w:val="006B1CFC"/>
    <w:rsid w:val="006B21EF"/>
    <w:rsid w:val="006B48B7"/>
    <w:rsid w:val="006B7383"/>
    <w:rsid w:val="006C1494"/>
    <w:rsid w:val="006C3752"/>
    <w:rsid w:val="006C6537"/>
    <w:rsid w:val="006D240C"/>
    <w:rsid w:val="006E7EB1"/>
    <w:rsid w:val="006F1DF5"/>
    <w:rsid w:val="006F2A74"/>
    <w:rsid w:val="006F5395"/>
    <w:rsid w:val="006F547B"/>
    <w:rsid w:val="006F57FF"/>
    <w:rsid w:val="006F7E39"/>
    <w:rsid w:val="00702C17"/>
    <w:rsid w:val="00704281"/>
    <w:rsid w:val="00704F28"/>
    <w:rsid w:val="007100B9"/>
    <w:rsid w:val="0071440B"/>
    <w:rsid w:val="0071516D"/>
    <w:rsid w:val="007164AF"/>
    <w:rsid w:val="00720E7C"/>
    <w:rsid w:val="0072287F"/>
    <w:rsid w:val="00723249"/>
    <w:rsid w:val="00734D23"/>
    <w:rsid w:val="00735751"/>
    <w:rsid w:val="00737306"/>
    <w:rsid w:val="00740C67"/>
    <w:rsid w:val="00741B19"/>
    <w:rsid w:val="00744BB3"/>
    <w:rsid w:val="00745F86"/>
    <w:rsid w:val="00747DF3"/>
    <w:rsid w:val="00751E80"/>
    <w:rsid w:val="00753898"/>
    <w:rsid w:val="007628A4"/>
    <w:rsid w:val="007639B1"/>
    <w:rsid w:val="007677E5"/>
    <w:rsid w:val="0077098C"/>
    <w:rsid w:val="00770E25"/>
    <w:rsid w:val="00771C81"/>
    <w:rsid w:val="00771D90"/>
    <w:rsid w:val="00773D91"/>
    <w:rsid w:val="00774D9E"/>
    <w:rsid w:val="0077549E"/>
    <w:rsid w:val="00777A9B"/>
    <w:rsid w:val="00784CF9"/>
    <w:rsid w:val="0079564B"/>
    <w:rsid w:val="00796943"/>
    <w:rsid w:val="00796EFC"/>
    <w:rsid w:val="007A1181"/>
    <w:rsid w:val="007A3539"/>
    <w:rsid w:val="007A416C"/>
    <w:rsid w:val="007B080E"/>
    <w:rsid w:val="007B178E"/>
    <w:rsid w:val="007B1C30"/>
    <w:rsid w:val="007B5EC1"/>
    <w:rsid w:val="007C03EB"/>
    <w:rsid w:val="007C0A70"/>
    <w:rsid w:val="007C1B37"/>
    <w:rsid w:val="007C612A"/>
    <w:rsid w:val="007D5B65"/>
    <w:rsid w:val="007E2C76"/>
    <w:rsid w:val="007F2468"/>
    <w:rsid w:val="007F2C29"/>
    <w:rsid w:val="007F429D"/>
    <w:rsid w:val="007F5F67"/>
    <w:rsid w:val="008038B6"/>
    <w:rsid w:val="00812FF7"/>
    <w:rsid w:val="008130AA"/>
    <w:rsid w:val="00813E38"/>
    <w:rsid w:val="00817A92"/>
    <w:rsid w:val="00817CB0"/>
    <w:rsid w:val="00821857"/>
    <w:rsid w:val="008334F8"/>
    <w:rsid w:val="00835804"/>
    <w:rsid w:val="00841BA2"/>
    <w:rsid w:val="00843FFB"/>
    <w:rsid w:val="00847331"/>
    <w:rsid w:val="00847FB4"/>
    <w:rsid w:val="00851F25"/>
    <w:rsid w:val="00853458"/>
    <w:rsid w:val="0086360B"/>
    <w:rsid w:val="00871430"/>
    <w:rsid w:val="00875805"/>
    <w:rsid w:val="008769D9"/>
    <w:rsid w:val="00876CE1"/>
    <w:rsid w:val="0087791B"/>
    <w:rsid w:val="00877DE5"/>
    <w:rsid w:val="008821C0"/>
    <w:rsid w:val="00883ABF"/>
    <w:rsid w:val="00892CE7"/>
    <w:rsid w:val="00893C6F"/>
    <w:rsid w:val="00895CEB"/>
    <w:rsid w:val="008A6AE9"/>
    <w:rsid w:val="008A7756"/>
    <w:rsid w:val="008B45B5"/>
    <w:rsid w:val="008C426F"/>
    <w:rsid w:val="008C5697"/>
    <w:rsid w:val="008C7B5A"/>
    <w:rsid w:val="008D069C"/>
    <w:rsid w:val="008D3F15"/>
    <w:rsid w:val="008D4DA6"/>
    <w:rsid w:val="008D61D9"/>
    <w:rsid w:val="008D65D0"/>
    <w:rsid w:val="008D686B"/>
    <w:rsid w:val="008E3B1B"/>
    <w:rsid w:val="008F2356"/>
    <w:rsid w:val="0090209D"/>
    <w:rsid w:val="0090308E"/>
    <w:rsid w:val="00903B89"/>
    <w:rsid w:val="00903F95"/>
    <w:rsid w:val="00904477"/>
    <w:rsid w:val="009068D2"/>
    <w:rsid w:val="0090694A"/>
    <w:rsid w:val="00911496"/>
    <w:rsid w:val="00911CC1"/>
    <w:rsid w:val="00921B3B"/>
    <w:rsid w:val="00925BB5"/>
    <w:rsid w:val="009266D8"/>
    <w:rsid w:val="00932D22"/>
    <w:rsid w:val="009353F7"/>
    <w:rsid w:val="0094637C"/>
    <w:rsid w:val="0094707C"/>
    <w:rsid w:val="0094738A"/>
    <w:rsid w:val="00950CD7"/>
    <w:rsid w:val="00952539"/>
    <w:rsid w:val="00956567"/>
    <w:rsid w:val="009618B2"/>
    <w:rsid w:val="00964F00"/>
    <w:rsid w:val="00975E7E"/>
    <w:rsid w:val="00975EAD"/>
    <w:rsid w:val="00976728"/>
    <w:rsid w:val="0098374B"/>
    <w:rsid w:val="00984C5A"/>
    <w:rsid w:val="009872F1"/>
    <w:rsid w:val="00987F35"/>
    <w:rsid w:val="009923D8"/>
    <w:rsid w:val="00997467"/>
    <w:rsid w:val="00997EF8"/>
    <w:rsid w:val="009A0A5C"/>
    <w:rsid w:val="009A1721"/>
    <w:rsid w:val="009A3EA0"/>
    <w:rsid w:val="009A4930"/>
    <w:rsid w:val="009A49CE"/>
    <w:rsid w:val="009A4E6A"/>
    <w:rsid w:val="009A629B"/>
    <w:rsid w:val="009B1DC9"/>
    <w:rsid w:val="009B429B"/>
    <w:rsid w:val="009C1B85"/>
    <w:rsid w:val="009C1C18"/>
    <w:rsid w:val="009C1D17"/>
    <w:rsid w:val="009C2775"/>
    <w:rsid w:val="009C4BD3"/>
    <w:rsid w:val="009C7CB0"/>
    <w:rsid w:val="009D0BA9"/>
    <w:rsid w:val="009D26CC"/>
    <w:rsid w:val="009D392F"/>
    <w:rsid w:val="009D4229"/>
    <w:rsid w:val="009D6EA4"/>
    <w:rsid w:val="009E06CF"/>
    <w:rsid w:val="009E34C2"/>
    <w:rsid w:val="009E3E32"/>
    <w:rsid w:val="009E5150"/>
    <w:rsid w:val="009E6FB4"/>
    <w:rsid w:val="009F4748"/>
    <w:rsid w:val="009F6170"/>
    <w:rsid w:val="009F7DF4"/>
    <w:rsid w:val="00A00197"/>
    <w:rsid w:val="00A03953"/>
    <w:rsid w:val="00A03F1C"/>
    <w:rsid w:val="00A06514"/>
    <w:rsid w:val="00A07D53"/>
    <w:rsid w:val="00A11496"/>
    <w:rsid w:val="00A1667F"/>
    <w:rsid w:val="00A21B44"/>
    <w:rsid w:val="00A2609B"/>
    <w:rsid w:val="00A27C5B"/>
    <w:rsid w:val="00A34E8F"/>
    <w:rsid w:val="00A4405E"/>
    <w:rsid w:val="00A4650D"/>
    <w:rsid w:val="00A52464"/>
    <w:rsid w:val="00A56700"/>
    <w:rsid w:val="00A61B2D"/>
    <w:rsid w:val="00A627B1"/>
    <w:rsid w:val="00A647AC"/>
    <w:rsid w:val="00A70BCA"/>
    <w:rsid w:val="00A748E5"/>
    <w:rsid w:val="00A76D28"/>
    <w:rsid w:val="00A80B72"/>
    <w:rsid w:val="00A8124B"/>
    <w:rsid w:val="00A81D25"/>
    <w:rsid w:val="00A86042"/>
    <w:rsid w:val="00A916AA"/>
    <w:rsid w:val="00A91873"/>
    <w:rsid w:val="00A95312"/>
    <w:rsid w:val="00A97560"/>
    <w:rsid w:val="00A97E4D"/>
    <w:rsid w:val="00AA6838"/>
    <w:rsid w:val="00AB0FF3"/>
    <w:rsid w:val="00AB2FD7"/>
    <w:rsid w:val="00AB3D79"/>
    <w:rsid w:val="00AB40DE"/>
    <w:rsid w:val="00AC124A"/>
    <w:rsid w:val="00AC4E1B"/>
    <w:rsid w:val="00AD58CD"/>
    <w:rsid w:val="00AE6EC1"/>
    <w:rsid w:val="00AF1BD9"/>
    <w:rsid w:val="00AF23F3"/>
    <w:rsid w:val="00AF68F3"/>
    <w:rsid w:val="00AF6D47"/>
    <w:rsid w:val="00AF7337"/>
    <w:rsid w:val="00AF77FA"/>
    <w:rsid w:val="00B0279F"/>
    <w:rsid w:val="00B02BB6"/>
    <w:rsid w:val="00B15CA7"/>
    <w:rsid w:val="00B22211"/>
    <w:rsid w:val="00B23B21"/>
    <w:rsid w:val="00B30DEE"/>
    <w:rsid w:val="00B31919"/>
    <w:rsid w:val="00B3560B"/>
    <w:rsid w:val="00B35C43"/>
    <w:rsid w:val="00B3731D"/>
    <w:rsid w:val="00B41576"/>
    <w:rsid w:val="00B44CB6"/>
    <w:rsid w:val="00B50707"/>
    <w:rsid w:val="00B54FE7"/>
    <w:rsid w:val="00B57408"/>
    <w:rsid w:val="00B64D5E"/>
    <w:rsid w:val="00B64E45"/>
    <w:rsid w:val="00B66583"/>
    <w:rsid w:val="00B67600"/>
    <w:rsid w:val="00B726B3"/>
    <w:rsid w:val="00B72DAA"/>
    <w:rsid w:val="00B807AD"/>
    <w:rsid w:val="00B83692"/>
    <w:rsid w:val="00B84D92"/>
    <w:rsid w:val="00B870BD"/>
    <w:rsid w:val="00B915CF"/>
    <w:rsid w:val="00B91BD4"/>
    <w:rsid w:val="00B95F1F"/>
    <w:rsid w:val="00B975E1"/>
    <w:rsid w:val="00BA566C"/>
    <w:rsid w:val="00BB5513"/>
    <w:rsid w:val="00BC070B"/>
    <w:rsid w:val="00BC42DE"/>
    <w:rsid w:val="00BC4B86"/>
    <w:rsid w:val="00BC68F6"/>
    <w:rsid w:val="00BD1126"/>
    <w:rsid w:val="00BD2B85"/>
    <w:rsid w:val="00BD3BF2"/>
    <w:rsid w:val="00BD6983"/>
    <w:rsid w:val="00BE443A"/>
    <w:rsid w:val="00BE6673"/>
    <w:rsid w:val="00C03937"/>
    <w:rsid w:val="00C0581D"/>
    <w:rsid w:val="00C06654"/>
    <w:rsid w:val="00C11600"/>
    <w:rsid w:val="00C15338"/>
    <w:rsid w:val="00C15C16"/>
    <w:rsid w:val="00C15E12"/>
    <w:rsid w:val="00C2012C"/>
    <w:rsid w:val="00C21FC1"/>
    <w:rsid w:val="00C2257F"/>
    <w:rsid w:val="00C24741"/>
    <w:rsid w:val="00C24B97"/>
    <w:rsid w:val="00C24E53"/>
    <w:rsid w:val="00C27FD5"/>
    <w:rsid w:val="00C30970"/>
    <w:rsid w:val="00C329EF"/>
    <w:rsid w:val="00C348E3"/>
    <w:rsid w:val="00C34A1D"/>
    <w:rsid w:val="00C36A8C"/>
    <w:rsid w:val="00C408EB"/>
    <w:rsid w:val="00C465D4"/>
    <w:rsid w:val="00C471AF"/>
    <w:rsid w:val="00C5408F"/>
    <w:rsid w:val="00C56020"/>
    <w:rsid w:val="00C60E76"/>
    <w:rsid w:val="00C60FF1"/>
    <w:rsid w:val="00C63E1D"/>
    <w:rsid w:val="00C65AD9"/>
    <w:rsid w:val="00C660E3"/>
    <w:rsid w:val="00C70095"/>
    <w:rsid w:val="00C70FBA"/>
    <w:rsid w:val="00C7283D"/>
    <w:rsid w:val="00C771FE"/>
    <w:rsid w:val="00C80798"/>
    <w:rsid w:val="00C83F2F"/>
    <w:rsid w:val="00C93CF3"/>
    <w:rsid w:val="00C95237"/>
    <w:rsid w:val="00C976C6"/>
    <w:rsid w:val="00CA1F98"/>
    <w:rsid w:val="00CA4937"/>
    <w:rsid w:val="00CA6B37"/>
    <w:rsid w:val="00CB06CB"/>
    <w:rsid w:val="00CB1057"/>
    <w:rsid w:val="00CB3B47"/>
    <w:rsid w:val="00CC0120"/>
    <w:rsid w:val="00CC5729"/>
    <w:rsid w:val="00CD41C1"/>
    <w:rsid w:val="00CD66D6"/>
    <w:rsid w:val="00CE1713"/>
    <w:rsid w:val="00CE53A0"/>
    <w:rsid w:val="00CE64DE"/>
    <w:rsid w:val="00CF1EC4"/>
    <w:rsid w:val="00CF4EA0"/>
    <w:rsid w:val="00CF549C"/>
    <w:rsid w:val="00CF5E6B"/>
    <w:rsid w:val="00CF6AA7"/>
    <w:rsid w:val="00CF7FC7"/>
    <w:rsid w:val="00D01EB8"/>
    <w:rsid w:val="00D04432"/>
    <w:rsid w:val="00D1085E"/>
    <w:rsid w:val="00D13452"/>
    <w:rsid w:val="00D1715F"/>
    <w:rsid w:val="00D175BF"/>
    <w:rsid w:val="00D17FF9"/>
    <w:rsid w:val="00D201DC"/>
    <w:rsid w:val="00D212C4"/>
    <w:rsid w:val="00D26794"/>
    <w:rsid w:val="00D26A45"/>
    <w:rsid w:val="00D27347"/>
    <w:rsid w:val="00D274B8"/>
    <w:rsid w:val="00D359AC"/>
    <w:rsid w:val="00D42DFA"/>
    <w:rsid w:val="00D4441D"/>
    <w:rsid w:val="00D45B5F"/>
    <w:rsid w:val="00D57900"/>
    <w:rsid w:val="00D615F8"/>
    <w:rsid w:val="00D61C20"/>
    <w:rsid w:val="00D659B5"/>
    <w:rsid w:val="00D66BFC"/>
    <w:rsid w:val="00D72AD0"/>
    <w:rsid w:val="00D73245"/>
    <w:rsid w:val="00D74B77"/>
    <w:rsid w:val="00D76DF1"/>
    <w:rsid w:val="00D80C03"/>
    <w:rsid w:val="00D8524B"/>
    <w:rsid w:val="00D916B5"/>
    <w:rsid w:val="00D91B8F"/>
    <w:rsid w:val="00D92FA5"/>
    <w:rsid w:val="00D935A2"/>
    <w:rsid w:val="00D966A3"/>
    <w:rsid w:val="00D96D62"/>
    <w:rsid w:val="00DA3A89"/>
    <w:rsid w:val="00DA3BC8"/>
    <w:rsid w:val="00DB1F0F"/>
    <w:rsid w:val="00DB349B"/>
    <w:rsid w:val="00DC5C6C"/>
    <w:rsid w:val="00DC5D04"/>
    <w:rsid w:val="00DD379A"/>
    <w:rsid w:val="00DE101A"/>
    <w:rsid w:val="00DE23E8"/>
    <w:rsid w:val="00DE7F61"/>
    <w:rsid w:val="00DF0339"/>
    <w:rsid w:val="00DF2417"/>
    <w:rsid w:val="00DF5109"/>
    <w:rsid w:val="00E0307C"/>
    <w:rsid w:val="00E043DB"/>
    <w:rsid w:val="00E10AFB"/>
    <w:rsid w:val="00E11029"/>
    <w:rsid w:val="00E156C2"/>
    <w:rsid w:val="00E2076B"/>
    <w:rsid w:val="00E27E57"/>
    <w:rsid w:val="00E30197"/>
    <w:rsid w:val="00E333B8"/>
    <w:rsid w:val="00E33B99"/>
    <w:rsid w:val="00E3473D"/>
    <w:rsid w:val="00E34C49"/>
    <w:rsid w:val="00E3713C"/>
    <w:rsid w:val="00E4110F"/>
    <w:rsid w:val="00E53522"/>
    <w:rsid w:val="00E60224"/>
    <w:rsid w:val="00E6290E"/>
    <w:rsid w:val="00E63897"/>
    <w:rsid w:val="00E64B91"/>
    <w:rsid w:val="00E674E7"/>
    <w:rsid w:val="00E70FCA"/>
    <w:rsid w:val="00E727A3"/>
    <w:rsid w:val="00E845B3"/>
    <w:rsid w:val="00E8530C"/>
    <w:rsid w:val="00E879E7"/>
    <w:rsid w:val="00E91053"/>
    <w:rsid w:val="00E96CFE"/>
    <w:rsid w:val="00EA3243"/>
    <w:rsid w:val="00EA4635"/>
    <w:rsid w:val="00EA4D10"/>
    <w:rsid w:val="00EB1CB9"/>
    <w:rsid w:val="00EB7990"/>
    <w:rsid w:val="00EC1356"/>
    <w:rsid w:val="00EC670F"/>
    <w:rsid w:val="00EC6F8D"/>
    <w:rsid w:val="00EC7C62"/>
    <w:rsid w:val="00ED3AAE"/>
    <w:rsid w:val="00ED45E1"/>
    <w:rsid w:val="00ED4AF2"/>
    <w:rsid w:val="00EE54F2"/>
    <w:rsid w:val="00EE6AE0"/>
    <w:rsid w:val="00EE7B3A"/>
    <w:rsid w:val="00EF2F67"/>
    <w:rsid w:val="00EF6C31"/>
    <w:rsid w:val="00F01E02"/>
    <w:rsid w:val="00F1505D"/>
    <w:rsid w:val="00F1519A"/>
    <w:rsid w:val="00F20EF1"/>
    <w:rsid w:val="00F2234B"/>
    <w:rsid w:val="00F231FD"/>
    <w:rsid w:val="00F305C0"/>
    <w:rsid w:val="00F34FBF"/>
    <w:rsid w:val="00F3564B"/>
    <w:rsid w:val="00F40BB3"/>
    <w:rsid w:val="00F40F80"/>
    <w:rsid w:val="00F41395"/>
    <w:rsid w:val="00F445A6"/>
    <w:rsid w:val="00F44FF1"/>
    <w:rsid w:val="00F473AD"/>
    <w:rsid w:val="00F477AC"/>
    <w:rsid w:val="00F50FED"/>
    <w:rsid w:val="00F51A51"/>
    <w:rsid w:val="00F55044"/>
    <w:rsid w:val="00F6084F"/>
    <w:rsid w:val="00F60C59"/>
    <w:rsid w:val="00F61BC5"/>
    <w:rsid w:val="00F61D5F"/>
    <w:rsid w:val="00F62704"/>
    <w:rsid w:val="00F63ADB"/>
    <w:rsid w:val="00F7110B"/>
    <w:rsid w:val="00F733D1"/>
    <w:rsid w:val="00F73ACD"/>
    <w:rsid w:val="00F73CC0"/>
    <w:rsid w:val="00F741C7"/>
    <w:rsid w:val="00F7511C"/>
    <w:rsid w:val="00F758E1"/>
    <w:rsid w:val="00F81303"/>
    <w:rsid w:val="00F832EE"/>
    <w:rsid w:val="00F83E72"/>
    <w:rsid w:val="00F843AE"/>
    <w:rsid w:val="00F86618"/>
    <w:rsid w:val="00F92B96"/>
    <w:rsid w:val="00F9321A"/>
    <w:rsid w:val="00F93F5B"/>
    <w:rsid w:val="00F9502B"/>
    <w:rsid w:val="00F95272"/>
    <w:rsid w:val="00FA3011"/>
    <w:rsid w:val="00FA4F89"/>
    <w:rsid w:val="00FA6966"/>
    <w:rsid w:val="00FB6683"/>
    <w:rsid w:val="00FB6BFB"/>
    <w:rsid w:val="00FC2E76"/>
    <w:rsid w:val="00FD0B97"/>
    <w:rsid w:val="00FD1DC0"/>
    <w:rsid w:val="00FD5033"/>
    <w:rsid w:val="00FD51FA"/>
    <w:rsid w:val="00FD7389"/>
    <w:rsid w:val="00FE688C"/>
    <w:rsid w:val="00FE777B"/>
    <w:rsid w:val="00FE7E95"/>
    <w:rsid w:val="00FE7E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FBE56"/>
  <w15:chartTrackingRefBased/>
  <w15:docId w15:val="{1B913439-5C37-47E1-9B88-F6E197BE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1667F"/>
    <w:rPr>
      <w:rFonts w:eastAsia="SimSun"/>
    </w:rPr>
  </w:style>
  <w:style w:type="paragraph" w:styleId="1">
    <w:name w:val="heading 1"/>
    <w:basedOn w:val="a0"/>
    <w:link w:val="10"/>
    <w:uiPriority w:val="9"/>
    <w:qFormat/>
    <w:rsid w:val="00877D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0"/>
    <w:link w:val="21"/>
    <w:uiPriority w:val="1"/>
    <w:qFormat/>
    <w:rsid w:val="00877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link w:val="30"/>
    <w:uiPriority w:val="9"/>
    <w:qFormat/>
    <w:rsid w:val="00877D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semiHidden/>
    <w:unhideWhenUsed/>
    <w:qFormat/>
    <w:rsid w:val="008A6A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0"/>
    <w:next w:val="a0"/>
    <w:link w:val="60"/>
    <w:uiPriority w:val="9"/>
    <w:semiHidden/>
    <w:unhideWhenUsed/>
    <w:qFormat/>
    <w:rsid w:val="00877DE5"/>
    <w:pPr>
      <w:keepNext/>
      <w:keepLines/>
      <w:spacing w:before="40" w:after="0"/>
      <w:outlineLvl w:val="5"/>
    </w:pPr>
    <w:rPr>
      <w:rFonts w:ascii="Aptos Display" w:eastAsia="Times New Roman" w:hAnsi="Aptos Display" w:cs="Times New Roman"/>
      <w:color w:val="0A2F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77DE5"/>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77DE5"/>
    <w:rPr>
      <w:rFonts w:eastAsia="SimSun"/>
    </w:rPr>
  </w:style>
  <w:style w:type="paragraph" w:styleId="a6">
    <w:name w:val="footer"/>
    <w:basedOn w:val="a0"/>
    <w:link w:val="a7"/>
    <w:uiPriority w:val="99"/>
    <w:unhideWhenUsed/>
    <w:rsid w:val="00877DE5"/>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77DE5"/>
    <w:rPr>
      <w:rFonts w:eastAsia="SimSun"/>
    </w:rPr>
  </w:style>
  <w:style w:type="paragraph" w:styleId="a8">
    <w:name w:val="List Paragraph"/>
    <w:basedOn w:val="a0"/>
    <w:uiPriority w:val="34"/>
    <w:qFormat/>
    <w:rsid w:val="00877DE5"/>
    <w:pPr>
      <w:ind w:left="720"/>
      <w:contextualSpacing/>
    </w:pPr>
    <w:rPr>
      <w:rFonts w:eastAsiaTheme="minorHAnsi"/>
    </w:rPr>
  </w:style>
  <w:style w:type="table" w:styleId="a9">
    <w:name w:val="Table Grid"/>
    <w:basedOn w:val="a2"/>
    <w:uiPriority w:val="39"/>
    <w:qFormat/>
    <w:rsid w:val="00877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qFormat/>
    <w:rsid w:val="00877DE5"/>
    <w:rPr>
      <w:color w:val="0563C1" w:themeColor="hyperlink"/>
      <w:u w:val="single"/>
    </w:rPr>
  </w:style>
  <w:style w:type="character" w:customStyle="1" w:styleId="11">
    <w:name w:val="Неразрешенное упоминание1"/>
    <w:basedOn w:val="a1"/>
    <w:uiPriority w:val="99"/>
    <w:semiHidden/>
    <w:unhideWhenUsed/>
    <w:rsid w:val="00877DE5"/>
    <w:rPr>
      <w:color w:val="605E5C"/>
      <w:shd w:val="clear" w:color="auto" w:fill="E1DFDD"/>
    </w:rPr>
  </w:style>
  <w:style w:type="character" w:customStyle="1" w:styleId="22">
    <w:name w:val="Неразрешенное упоминание2"/>
    <w:basedOn w:val="a1"/>
    <w:uiPriority w:val="99"/>
    <w:semiHidden/>
    <w:unhideWhenUsed/>
    <w:rsid w:val="00877DE5"/>
    <w:rPr>
      <w:color w:val="605E5C"/>
      <w:shd w:val="clear" w:color="auto" w:fill="E1DFDD"/>
    </w:rPr>
  </w:style>
  <w:style w:type="character" w:styleId="ab">
    <w:name w:val="annotation reference"/>
    <w:basedOn w:val="a1"/>
    <w:uiPriority w:val="99"/>
    <w:semiHidden/>
    <w:unhideWhenUsed/>
    <w:rsid w:val="00877DE5"/>
    <w:rPr>
      <w:sz w:val="16"/>
      <w:szCs w:val="16"/>
    </w:rPr>
  </w:style>
  <w:style w:type="paragraph" w:styleId="ac">
    <w:name w:val="annotation text"/>
    <w:basedOn w:val="a0"/>
    <w:link w:val="ad"/>
    <w:uiPriority w:val="99"/>
    <w:semiHidden/>
    <w:unhideWhenUsed/>
    <w:rsid w:val="00877DE5"/>
    <w:pPr>
      <w:spacing w:line="240" w:lineRule="auto"/>
    </w:pPr>
    <w:rPr>
      <w:rFonts w:eastAsiaTheme="minorHAnsi"/>
      <w:sz w:val="20"/>
      <w:szCs w:val="20"/>
    </w:rPr>
  </w:style>
  <w:style w:type="character" w:customStyle="1" w:styleId="ad">
    <w:name w:val="Текст примечания Знак"/>
    <w:basedOn w:val="a1"/>
    <w:link w:val="ac"/>
    <w:uiPriority w:val="99"/>
    <w:semiHidden/>
    <w:rsid w:val="00877DE5"/>
    <w:rPr>
      <w:sz w:val="20"/>
      <w:szCs w:val="20"/>
    </w:rPr>
  </w:style>
  <w:style w:type="paragraph" w:styleId="ae">
    <w:name w:val="annotation subject"/>
    <w:basedOn w:val="ac"/>
    <w:next w:val="ac"/>
    <w:link w:val="af"/>
    <w:uiPriority w:val="99"/>
    <w:semiHidden/>
    <w:unhideWhenUsed/>
    <w:rsid w:val="00877DE5"/>
    <w:rPr>
      <w:b/>
      <w:bCs/>
    </w:rPr>
  </w:style>
  <w:style w:type="character" w:customStyle="1" w:styleId="af">
    <w:name w:val="Тема примечания Знак"/>
    <w:basedOn w:val="ad"/>
    <w:link w:val="ae"/>
    <w:uiPriority w:val="99"/>
    <w:semiHidden/>
    <w:rsid w:val="00877DE5"/>
    <w:rPr>
      <w:b/>
      <w:bCs/>
      <w:sz w:val="20"/>
      <w:szCs w:val="20"/>
    </w:rPr>
  </w:style>
  <w:style w:type="paragraph" w:styleId="af0">
    <w:name w:val="Balloon Text"/>
    <w:basedOn w:val="a0"/>
    <w:link w:val="af1"/>
    <w:uiPriority w:val="99"/>
    <w:semiHidden/>
    <w:unhideWhenUsed/>
    <w:rsid w:val="00877DE5"/>
    <w:pPr>
      <w:spacing w:after="0" w:line="240" w:lineRule="auto"/>
    </w:pPr>
    <w:rPr>
      <w:rFonts w:ascii="Segoe UI" w:eastAsiaTheme="minorHAnsi" w:hAnsi="Segoe UI" w:cs="Segoe UI"/>
      <w:sz w:val="18"/>
      <w:szCs w:val="18"/>
    </w:rPr>
  </w:style>
  <w:style w:type="character" w:customStyle="1" w:styleId="af1">
    <w:name w:val="Текст выноски Знак"/>
    <w:basedOn w:val="a1"/>
    <w:link w:val="af0"/>
    <w:uiPriority w:val="99"/>
    <w:semiHidden/>
    <w:rsid w:val="00877DE5"/>
    <w:rPr>
      <w:rFonts w:ascii="Segoe UI" w:hAnsi="Segoe UI" w:cs="Segoe UI"/>
      <w:sz w:val="18"/>
      <w:szCs w:val="18"/>
    </w:rPr>
  </w:style>
  <w:style w:type="character" w:customStyle="1" w:styleId="31">
    <w:name w:val="Неразрешенное упоминание3"/>
    <w:basedOn w:val="a1"/>
    <w:uiPriority w:val="99"/>
    <w:semiHidden/>
    <w:unhideWhenUsed/>
    <w:rsid w:val="00877DE5"/>
    <w:rPr>
      <w:color w:val="605E5C"/>
      <w:shd w:val="clear" w:color="auto" w:fill="E1DFDD"/>
    </w:rPr>
  </w:style>
  <w:style w:type="character" w:styleId="af2">
    <w:name w:val="FollowedHyperlink"/>
    <w:basedOn w:val="a1"/>
    <w:uiPriority w:val="99"/>
    <w:semiHidden/>
    <w:unhideWhenUsed/>
    <w:rsid w:val="00877DE5"/>
    <w:rPr>
      <w:color w:val="954F72" w:themeColor="followedHyperlink"/>
      <w:u w:val="single"/>
    </w:rPr>
  </w:style>
  <w:style w:type="table" w:customStyle="1" w:styleId="TableNormal">
    <w:name w:val="Table Normal"/>
    <w:uiPriority w:val="2"/>
    <w:semiHidden/>
    <w:unhideWhenUsed/>
    <w:qFormat/>
    <w:rsid w:val="00877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0"/>
    <w:link w:val="af4"/>
    <w:qFormat/>
    <w:rsid w:val="00877DE5"/>
    <w:pPr>
      <w:widowControl w:val="0"/>
      <w:autoSpaceDE w:val="0"/>
      <w:autoSpaceDN w:val="0"/>
      <w:spacing w:before="1" w:after="0" w:line="240" w:lineRule="auto"/>
      <w:ind w:left="141" w:firstLine="566"/>
      <w:jc w:val="both"/>
    </w:pPr>
    <w:rPr>
      <w:rFonts w:ascii="Times New Roman" w:eastAsia="Times New Roman" w:hAnsi="Times New Roman" w:cs="Times New Roman"/>
      <w:sz w:val="32"/>
      <w:szCs w:val="32"/>
    </w:rPr>
  </w:style>
  <w:style w:type="character" w:customStyle="1" w:styleId="af4">
    <w:name w:val="Основной текст Знак"/>
    <w:basedOn w:val="a1"/>
    <w:link w:val="af3"/>
    <w:uiPriority w:val="1"/>
    <w:rsid w:val="00877DE5"/>
    <w:rPr>
      <w:rFonts w:ascii="Times New Roman" w:eastAsia="Times New Roman" w:hAnsi="Times New Roman" w:cs="Times New Roman"/>
      <w:sz w:val="32"/>
      <w:szCs w:val="32"/>
    </w:rPr>
  </w:style>
  <w:style w:type="paragraph" w:customStyle="1" w:styleId="TableParagraph">
    <w:name w:val="Table Paragraph"/>
    <w:basedOn w:val="a0"/>
    <w:uiPriority w:val="1"/>
    <w:qFormat/>
    <w:rsid w:val="00877DE5"/>
    <w:pPr>
      <w:widowControl w:val="0"/>
      <w:autoSpaceDE w:val="0"/>
      <w:autoSpaceDN w:val="0"/>
      <w:spacing w:before="13" w:after="0" w:line="271" w:lineRule="exact"/>
      <w:ind w:left="14"/>
      <w:jc w:val="center"/>
    </w:pPr>
    <w:rPr>
      <w:rFonts w:ascii="Times New Roman" w:eastAsia="Times New Roman" w:hAnsi="Times New Roman" w:cs="Times New Roman"/>
    </w:rPr>
  </w:style>
  <w:style w:type="paragraph" w:styleId="af5">
    <w:name w:val="Normal (Web)"/>
    <w:basedOn w:val="a0"/>
    <w:uiPriority w:val="99"/>
    <w:qFormat/>
    <w:rsid w:val="00877DE5"/>
    <w:pPr>
      <w:suppressAutoHyphens/>
      <w:spacing w:before="280" w:after="280" w:line="240" w:lineRule="auto"/>
    </w:pPr>
    <w:rPr>
      <w:rFonts w:ascii="Calibri" w:eastAsia="Times New Roman" w:hAnsi="Calibri" w:cs="Times New Roman"/>
      <w:sz w:val="24"/>
      <w:szCs w:val="24"/>
      <w:lang w:eastAsia="ar-SA"/>
    </w:rPr>
  </w:style>
  <w:style w:type="paragraph" w:styleId="af6">
    <w:name w:val="caption"/>
    <w:basedOn w:val="a0"/>
    <w:next w:val="a0"/>
    <w:uiPriority w:val="35"/>
    <w:unhideWhenUsed/>
    <w:qFormat/>
    <w:rsid w:val="00877DE5"/>
    <w:pPr>
      <w:spacing w:after="200" w:line="240" w:lineRule="auto"/>
    </w:pPr>
    <w:rPr>
      <w:rFonts w:eastAsiaTheme="minorHAnsi"/>
      <w:b/>
      <w:bCs/>
      <w:color w:val="5B9BD5" w:themeColor="accent1"/>
      <w:sz w:val="18"/>
      <w:szCs w:val="18"/>
    </w:rPr>
  </w:style>
  <w:style w:type="paragraph" w:styleId="af7">
    <w:name w:val="No Spacing"/>
    <w:aliases w:val="ГЛАВНЫЙ 1"/>
    <w:link w:val="af8"/>
    <w:uiPriority w:val="1"/>
    <w:qFormat/>
    <w:rsid w:val="00877DE5"/>
    <w:pPr>
      <w:spacing w:after="0" w:line="240" w:lineRule="auto"/>
    </w:pPr>
  </w:style>
  <w:style w:type="paragraph" w:customStyle="1" w:styleId="Standard">
    <w:name w:val="Standard"/>
    <w:rsid w:val="00877DE5"/>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2">
    <w:name w:val="Обычный (веб)1"/>
    <w:qFormat/>
    <w:rsid w:val="00877DE5"/>
    <w:pPr>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ascii="Calibri" w:eastAsia="Times New Roman" w:hAnsi="Calibri" w:cs="Times New Roman"/>
      <w:sz w:val="24"/>
      <w:szCs w:val="24"/>
      <w:lang w:val="en-US" w:eastAsia="ar-SA"/>
    </w:rPr>
  </w:style>
  <w:style w:type="character" w:customStyle="1" w:styleId="13">
    <w:name w:val="Гиперссылка1"/>
    <w:rsid w:val="00877DE5"/>
    <w:rPr>
      <w:color w:val="0000FF"/>
      <w:u w:val="single"/>
    </w:rPr>
  </w:style>
  <w:style w:type="paragraph" w:styleId="af9">
    <w:name w:val="Body Text Indent"/>
    <w:basedOn w:val="a0"/>
    <w:link w:val="afa"/>
    <w:uiPriority w:val="99"/>
    <w:unhideWhenUsed/>
    <w:rsid w:val="00877DE5"/>
    <w:pPr>
      <w:ind w:left="-567" w:firstLine="567"/>
    </w:pPr>
    <w:rPr>
      <w:rFonts w:ascii="Times New Roman" w:eastAsiaTheme="minorHAnsi" w:hAnsi="Times New Roman" w:cs="Times New Roman"/>
      <w:sz w:val="28"/>
      <w:szCs w:val="28"/>
    </w:rPr>
  </w:style>
  <w:style w:type="character" w:customStyle="1" w:styleId="afa">
    <w:name w:val="Основной текст с отступом Знак"/>
    <w:basedOn w:val="a1"/>
    <w:link w:val="af9"/>
    <w:uiPriority w:val="99"/>
    <w:rsid w:val="00877DE5"/>
    <w:rPr>
      <w:rFonts w:ascii="Times New Roman" w:hAnsi="Times New Roman" w:cs="Times New Roman"/>
      <w:sz w:val="28"/>
      <w:szCs w:val="28"/>
    </w:rPr>
  </w:style>
  <w:style w:type="character" w:styleId="afb">
    <w:name w:val="Strong"/>
    <w:basedOn w:val="a1"/>
    <w:qFormat/>
    <w:rsid w:val="00877DE5"/>
    <w:rPr>
      <w:b/>
      <w:bCs/>
    </w:rPr>
  </w:style>
  <w:style w:type="character" w:customStyle="1" w:styleId="anegp0gi0b9av8jahpyh">
    <w:name w:val="anegp0gi0b9av8jahpyh"/>
    <w:basedOn w:val="a1"/>
    <w:qFormat/>
    <w:rsid w:val="00877DE5"/>
  </w:style>
  <w:style w:type="paragraph" w:customStyle="1" w:styleId="afc">
    <w:name w:val="список литры"/>
    <w:basedOn w:val="a0"/>
    <w:link w:val="afd"/>
    <w:qFormat/>
    <w:rsid w:val="00877DE5"/>
    <w:pPr>
      <w:suppressAutoHyphens/>
      <w:autoSpaceDE w:val="0"/>
      <w:spacing w:after="0" w:line="240" w:lineRule="auto"/>
      <w:jc w:val="both"/>
    </w:pPr>
    <w:rPr>
      <w:rFonts w:ascii="Times New Roman" w:eastAsiaTheme="minorEastAsia" w:hAnsi="Times New Roman"/>
      <w:sz w:val="21"/>
      <w:szCs w:val="21"/>
      <w:lang w:val="en-US" w:eastAsia="ar-SA"/>
    </w:rPr>
  </w:style>
  <w:style w:type="character" w:customStyle="1" w:styleId="afd">
    <w:name w:val="список литры Знак"/>
    <w:link w:val="afc"/>
    <w:qFormat/>
    <w:rsid w:val="00877DE5"/>
    <w:rPr>
      <w:rFonts w:ascii="Times New Roman" w:eastAsiaTheme="minorEastAsia" w:hAnsi="Times New Roman"/>
      <w:sz w:val="21"/>
      <w:szCs w:val="21"/>
      <w:lang w:val="en-US" w:eastAsia="ar-SA"/>
    </w:rPr>
  </w:style>
  <w:style w:type="character" w:customStyle="1" w:styleId="10">
    <w:name w:val="Заголовок 1 Знак"/>
    <w:basedOn w:val="a1"/>
    <w:link w:val="1"/>
    <w:uiPriority w:val="9"/>
    <w:rsid w:val="00877DE5"/>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1"/>
    <w:link w:val="20"/>
    <w:uiPriority w:val="1"/>
    <w:rsid w:val="00877DE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877DE5"/>
    <w:rPr>
      <w:rFonts w:ascii="Times New Roman" w:eastAsia="Times New Roman" w:hAnsi="Times New Roman" w:cs="Times New Roman"/>
      <w:b/>
      <w:bCs/>
      <w:sz w:val="27"/>
      <w:szCs w:val="27"/>
      <w:lang w:eastAsia="ru-RU"/>
    </w:rPr>
  </w:style>
  <w:style w:type="paragraph" w:customStyle="1" w:styleId="61">
    <w:name w:val="Заголовок 61"/>
    <w:basedOn w:val="a0"/>
    <w:next w:val="a0"/>
    <w:uiPriority w:val="9"/>
    <w:semiHidden/>
    <w:unhideWhenUsed/>
    <w:qFormat/>
    <w:rsid w:val="00877DE5"/>
    <w:pPr>
      <w:keepNext/>
      <w:keepLines/>
      <w:spacing w:before="40" w:after="0" w:line="278" w:lineRule="auto"/>
      <w:outlineLvl w:val="5"/>
    </w:pPr>
    <w:rPr>
      <w:rFonts w:ascii="Aptos Display" w:eastAsia="Times New Roman" w:hAnsi="Aptos Display" w:cs="Times New Roman"/>
      <w:color w:val="0A2F40"/>
      <w:kern w:val="2"/>
      <w:sz w:val="24"/>
      <w:szCs w:val="24"/>
      <w14:ligatures w14:val="standardContextual"/>
    </w:rPr>
  </w:style>
  <w:style w:type="numbering" w:customStyle="1" w:styleId="14">
    <w:name w:val="Нет списка1"/>
    <w:next w:val="a3"/>
    <w:uiPriority w:val="99"/>
    <w:semiHidden/>
    <w:unhideWhenUsed/>
    <w:rsid w:val="00877DE5"/>
  </w:style>
  <w:style w:type="character" w:customStyle="1" w:styleId="60">
    <w:name w:val="Заголовок 6 Знак"/>
    <w:basedOn w:val="a1"/>
    <w:link w:val="6"/>
    <w:uiPriority w:val="9"/>
    <w:semiHidden/>
    <w:rsid w:val="00877DE5"/>
    <w:rPr>
      <w:rFonts w:ascii="Aptos Display" w:eastAsia="Times New Roman" w:hAnsi="Aptos Display" w:cs="Times New Roman"/>
      <w:color w:val="0A2F40"/>
    </w:rPr>
  </w:style>
  <w:style w:type="character" w:styleId="afe">
    <w:name w:val="Emphasis"/>
    <w:basedOn w:val="a1"/>
    <w:uiPriority w:val="20"/>
    <w:qFormat/>
    <w:rsid w:val="00877DE5"/>
    <w:rPr>
      <w:i/>
      <w:iCs/>
    </w:rPr>
  </w:style>
  <w:style w:type="character" w:customStyle="1" w:styleId="41">
    <w:name w:val="Неразрешенное упоминание4"/>
    <w:basedOn w:val="a1"/>
    <w:uiPriority w:val="99"/>
    <w:semiHidden/>
    <w:unhideWhenUsed/>
    <w:rsid w:val="00877DE5"/>
    <w:rPr>
      <w:color w:val="605E5C"/>
      <w:shd w:val="clear" w:color="auto" w:fill="E1DFDD"/>
    </w:rPr>
  </w:style>
  <w:style w:type="table" w:customStyle="1" w:styleId="15">
    <w:name w:val="Сетка таблицы1"/>
    <w:basedOn w:val="a2"/>
    <w:next w:val="a9"/>
    <w:uiPriority w:val="39"/>
    <w:rsid w:val="00877DE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Подзаголовок1"/>
    <w:basedOn w:val="a0"/>
    <w:next w:val="a0"/>
    <w:uiPriority w:val="11"/>
    <w:qFormat/>
    <w:rsid w:val="00877DE5"/>
    <w:pPr>
      <w:numPr>
        <w:ilvl w:val="1"/>
      </w:numPr>
      <w:spacing w:line="276" w:lineRule="auto"/>
    </w:pPr>
    <w:rPr>
      <w:rFonts w:eastAsia="Times New Roman"/>
      <w:color w:val="5A5A5A"/>
      <w:spacing w:val="15"/>
    </w:rPr>
  </w:style>
  <w:style w:type="character" w:customStyle="1" w:styleId="aff">
    <w:name w:val="Подзаголовок Знак"/>
    <w:basedOn w:val="a1"/>
    <w:link w:val="aff0"/>
    <w:uiPriority w:val="11"/>
    <w:rsid w:val="00877DE5"/>
    <w:rPr>
      <w:rFonts w:eastAsia="Times New Roman"/>
      <w:color w:val="5A5A5A"/>
      <w:spacing w:val="15"/>
      <w:kern w:val="0"/>
      <w:sz w:val="22"/>
      <w:szCs w:val="22"/>
      <w14:ligatures w14:val="none"/>
    </w:rPr>
  </w:style>
  <w:style w:type="character" w:customStyle="1" w:styleId="610">
    <w:name w:val="Заголовок 6 Знак1"/>
    <w:basedOn w:val="a1"/>
    <w:uiPriority w:val="9"/>
    <w:semiHidden/>
    <w:rsid w:val="00877DE5"/>
    <w:rPr>
      <w:rFonts w:asciiTheme="majorHAnsi" w:eastAsiaTheme="majorEastAsia" w:hAnsiTheme="majorHAnsi" w:cstheme="majorBidi"/>
      <w:color w:val="1F4D78" w:themeColor="accent1" w:themeShade="7F"/>
    </w:rPr>
  </w:style>
  <w:style w:type="paragraph" w:styleId="aff0">
    <w:name w:val="Subtitle"/>
    <w:basedOn w:val="a0"/>
    <w:next w:val="a0"/>
    <w:link w:val="aff"/>
    <w:uiPriority w:val="11"/>
    <w:qFormat/>
    <w:rsid w:val="00877DE5"/>
    <w:pPr>
      <w:numPr>
        <w:ilvl w:val="1"/>
      </w:numPr>
    </w:pPr>
    <w:rPr>
      <w:rFonts w:eastAsia="Times New Roman"/>
      <w:color w:val="5A5A5A"/>
      <w:spacing w:val="15"/>
    </w:rPr>
  </w:style>
  <w:style w:type="character" w:customStyle="1" w:styleId="17">
    <w:name w:val="Подзаголовок Знак1"/>
    <w:basedOn w:val="a1"/>
    <w:uiPriority w:val="11"/>
    <w:rsid w:val="00877DE5"/>
    <w:rPr>
      <w:rFonts w:eastAsiaTheme="minorEastAsia"/>
      <w:color w:val="5A5A5A" w:themeColor="text1" w:themeTint="A5"/>
      <w:spacing w:val="15"/>
    </w:rPr>
  </w:style>
  <w:style w:type="numbering" w:customStyle="1" w:styleId="23">
    <w:name w:val="Нет списка2"/>
    <w:next w:val="a3"/>
    <w:uiPriority w:val="99"/>
    <w:semiHidden/>
    <w:unhideWhenUsed/>
    <w:rsid w:val="00877DE5"/>
  </w:style>
  <w:style w:type="table" w:customStyle="1" w:styleId="24">
    <w:name w:val="Сетка таблицы2"/>
    <w:basedOn w:val="a2"/>
    <w:next w:val="a9"/>
    <w:uiPriority w:val="59"/>
    <w:rsid w:val="00877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aliases w:val="ГЛАВНЫЙ 1 Знак"/>
    <w:basedOn w:val="a1"/>
    <w:link w:val="af7"/>
    <w:uiPriority w:val="1"/>
    <w:qFormat/>
    <w:rsid w:val="00877DE5"/>
  </w:style>
  <w:style w:type="character" w:customStyle="1" w:styleId="s1">
    <w:name w:val="s1"/>
    <w:basedOn w:val="a1"/>
    <w:rsid w:val="00877DE5"/>
    <w:rPr>
      <w:rFonts w:ascii="Helvetica" w:hAnsi="Helvetica" w:hint="default"/>
      <w:b w:val="0"/>
      <w:bCs w:val="0"/>
      <w:i w:val="0"/>
      <w:iCs w:val="0"/>
      <w:sz w:val="18"/>
      <w:szCs w:val="18"/>
    </w:rPr>
  </w:style>
  <w:style w:type="paragraph" w:customStyle="1" w:styleId="li1">
    <w:name w:val="li1"/>
    <w:basedOn w:val="a0"/>
    <w:rsid w:val="00877DE5"/>
    <w:pPr>
      <w:spacing w:after="0" w:line="240" w:lineRule="auto"/>
    </w:pPr>
    <w:rPr>
      <w:rFonts w:ascii="Helvetica" w:eastAsia="Times New Roman" w:hAnsi="Helvetica" w:cs="Times New Roman"/>
      <w:sz w:val="18"/>
      <w:szCs w:val="18"/>
      <w:lang w:eastAsia="ru-RU"/>
    </w:rPr>
  </w:style>
  <w:style w:type="paragraph" w:customStyle="1" w:styleId="p1">
    <w:name w:val="p1"/>
    <w:basedOn w:val="a0"/>
    <w:rsid w:val="00877DE5"/>
    <w:pPr>
      <w:spacing w:after="0" w:line="240" w:lineRule="auto"/>
    </w:pPr>
    <w:rPr>
      <w:rFonts w:ascii="Helvetica" w:eastAsia="Times New Roman" w:hAnsi="Helvetica" w:cs="Times New Roman"/>
      <w:sz w:val="18"/>
      <w:szCs w:val="18"/>
      <w:lang w:eastAsia="ru-RU"/>
    </w:rPr>
  </w:style>
  <w:style w:type="character" w:customStyle="1" w:styleId="bumpedfont15">
    <w:name w:val="bumpedfont15"/>
    <w:basedOn w:val="a1"/>
    <w:rsid w:val="00877DE5"/>
  </w:style>
  <w:style w:type="paragraph" w:customStyle="1" w:styleId="Aff1">
    <w:name w:val="Основной текст A"/>
    <w:rsid w:val="00877DE5"/>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ru-RU"/>
      <w14:textOutline w14:w="12700" w14:cap="flat" w14:cmpd="sng" w14:algn="ctr">
        <w14:noFill/>
        <w14:prstDash w14:val="solid"/>
        <w14:miter w14:lim="400000"/>
      </w14:textOutline>
    </w:rPr>
  </w:style>
  <w:style w:type="paragraph" w:customStyle="1" w:styleId="18">
    <w:name w:val="Стиль 1"/>
    <w:rsid w:val="00877DE5"/>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ind w:firstLine="709"/>
      <w:jc w:val="both"/>
    </w:pPr>
    <w:rPr>
      <w:rFonts w:ascii="Times New Roman" w:eastAsia="Arial Unicode MS" w:hAnsi="Times New Roman" w:cs="Arial Unicode MS"/>
      <w:color w:val="000000"/>
      <w:sz w:val="32"/>
      <w:szCs w:val="32"/>
      <w:u w:color="000000"/>
      <w:bdr w:val="nil"/>
      <w:shd w:val="clear" w:color="auto" w:fill="FFFFFF"/>
      <w:lang w:eastAsia="ru-RU"/>
      <w14:textOutline w14:w="12700" w14:cap="flat" w14:cmpd="sng" w14:algn="ctr">
        <w14:noFill/>
        <w14:prstDash w14:val="solid"/>
        <w14:miter w14:lim="400000"/>
      </w14:textOutline>
    </w:rPr>
  </w:style>
  <w:style w:type="character" w:customStyle="1" w:styleId="Aff2">
    <w:name w:val="Нет A"/>
    <w:rsid w:val="00877DE5"/>
  </w:style>
  <w:style w:type="paragraph" w:customStyle="1" w:styleId="aff3">
    <w:name w:val="По умолчанию"/>
    <w:rsid w:val="00877DE5"/>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numbering" w:customStyle="1" w:styleId="2">
    <w:name w:val="Импортированный стиль 2"/>
    <w:rsid w:val="00877DE5"/>
    <w:pPr>
      <w:numPr>
        <w:numId w:val="47"/>
      </w:numPr>
    </w:pPr>
  </w:style>
  <w:style w:type="character" w:customStyle="1" w:styleId="aff4">
    <w:name w:val="Нет"/>
    <w:rsid w:val="00877DE5"/>
  </w:style>
  <w:style w:type="character" w:customStyle="1" w:styleId="Hyperlink0">
    <w:name w:val="Hyperlink.0"/>
    <w:basedOn w:val="aff4"/>
    <w:rsid w:val="00877DE5"/>
    <w:rPr>
      <w:u w:val="none" w:color="000000"/>
      <w:lang w:val="ru-RU"/>
    </w:rPr>
  </w:style>
  <w:style w:type="character" w:customStyle="1" w:styleId="Hyperlink1">
    <w:name w:val="Hyperlink.1"/>
    <w:basedOn w:val="aff4"/>
    <w:rsid w:val="00877DE5"/>
    <w:rPr>
      <w:u w:val="none" w:color="000000"/>
      <w:lang w:val="en-US"/>
    </w:rPr>
  </w:style>
  <w:style w:type="character" w:customStyle="1" w:styleId="Hyperlink2">
    <w:name w:val="Hyperlink.2"/>
    <w:basedOn w:val="aff4"/>
    <w:rsid w:val="00877DE5"/>
    <w:rPr>
      <w:u w:val="none" w:color="000000"/>
      <w:lang w:val="de-DE"/>
    </w:rPr>
  </w:style>
  <w:style w:type="character" w:customStyle="1" w:styleId="ezkurwreuab5ozgtqnkl">
    <w:name w:val="ezkurwreuab5ozgtqnkl"/>
    <w:basedOn w:val="a1"/>
    <w:rsid w:val="00877DE5"/>
  </w:style>
  <w:style w:type="numbering" w:customStyle="1" w:styleId="32">
    <w:name w:val="Нет списка3"/>
    <w:next w:val="a3"/>
    <w:uiPriority w:val="99"/>
    <w:semiHidden/>
    <w:unhideWhenUsed/>
    <w:rsid w:val="00877DE5"/>
  </w:style>
  <w:style w:type="table" w:customStyle="1" w:styleId="33">
    <w:name w:val="Сетка таблицы3"/>
    <w:basedOn w:val="a2"/>
    <w:next w:val="a9"/>
    <w:uiPriority w:val="39"/>
    <w:rsid w:val="00877D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0"/>
    <w:uiPriority w:val="39"/>
    <w:unhideWhenUsed/>
    <w:qFormat/>
    <w:rsid w:val="00357CF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9">
    <w:name w:val="toc 1"/>
    <w:basedOn w:val="a0"/>
    <w:next w:val="a0"/>
    <w:autoRedefine/>
    <w:uiPriority w:val="39"/>
    <w:unhideWhenUsed/>
    <w:rsid w:val="00357CF0"/>
    <w:pPr>
      <w:spacing w:after="100"/>
    </w:pPr>
  </w:style>
  <w:style w:type="paragraph" w:styleId="25">
    <w:name w:val="toc 2"/>
    <w:basedOn w:val="a0"/>
    <w:next w:val="a0"/>
    <w:autoRedefine/>
    <w:uiPriority w:val="39"/>
    <w:unhideWhenUsed/>
    <w:rsid w:val="00357CF0"/>
    <w:pPr>
      <w:spacing w:after="100"/>
      <w:ind w:left="220"/>
    </w:pPr>
  </w:style>
  <w:style w:type="table" w:customStyle="1" w:styleId="42">
    <w:name w:val="Сетка таблицы4"/>
    <w:basedOn w:val="a2"/>
    <w:next w:val="a9"/>
    <w:uiPriority w:val="39"/>
    <w:rsid w:val="005E4E3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Неразрешенное упоминание5"/>
    <w:basedOn w:val="a1"/>
    <w:uiPriority w:val="99"/>
    <w:semiHidden/>
    <w:unhideWhenUsed/>
    <w:rsid w:val="00A86042"/>
    <w:rPr>
      <w:color w:val="605E5C"/>
      <w:shd w:val="clear" w:color="auto" w:fill="E1DFDD"/>
    </w:rPr>
  </w:style>
  <w:style w:type="table" w:customStyle="1" w:styleId="50">
    <w:name w:val="Сетка таблицы5"/>
    <w:basedOn w:val="a2"/>
    <w:next w:val="a9"/>
    <w:uiPriority w:val="39"/>
    <w:rsid w:val="00314D9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9"/>
    <w:uiPriority w:val="39"/>
    <w:rsid w:val="00D1085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9"/>
    <w:uiPriority w:val="59"/>
    <w:rsid w:val="00692C43"/>
    <w:pPr>
      <w:spacing w:after="0" w:line="240" w:lineRule="auto"/>
    </w:pPr>
    <w:rPr>
      <w:rFonts w:ascii="Calibri" w:eastAsia="SimSun" w:hAnsi="Calibri" w:cs="SimSu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2"/>
    <w:next w:val="a9"/>
    <w:uiPriority w:val="39"/>
    <w:rsid w:val="009C1B8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9"/>
    <w:uiPriority w:val="39"/>
    <w:rsid w:val="00AB0F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С числами"/>
    <w:rsid w:val="00EB7990"/>
    <w:pPr>
      <w:numPr>
        <w:numId w:val="176"/>
      </w:numPr>
    </w:pPr>
  </w:style>
  <w:style w:type="table" w:customStyle="1" w:styleId="100">
    <w:name w:val="Сетка таблицы10"/>
    <w:basedOn w:val="a2"/>
    <w:next w:val="a9"/>
    <w:uiPriority w:val="39"/>
    <w:rsid w:val="00987F35"/>
    <w:pPr>
      <w:spacing w:after="0" w:line="240" w:lineRule="auto"/>
    </w:pPr>
    <w:rPr>
      <w:rFonts w:eastAsia="DengXi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39"/>
    <w:rsid w:val="00375471"/>
    <w:pPr>
      <w:spacing w:after="0" w:line="240" w:lineRule="auto"/>
    </w:pPr>
    <w:rPr>
      <w:rFonts w:ascii="Aptos" w:eastAsia="Times New Roman" w:hAnsi="Aptos" w:cs="Times New Roman"/>
      <w:color w:val="00000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9"/>
    <w:uiPriority w:val="39"/>
    <w:rsid w:val="00895CEB"/>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uiPriority w:val="9"/>
    <w:semiHidden/>
    <w:rsid w:val="008A6AE9"/>
    <w:rPr>
      <w:rFonts w:asciiTheme="majorHAnsi" w:eastAsiaTheme="majorEastAsia" w:hAnsiTheme="majorHAnsi" w:cstheme="majorBidi"/>
      <w:i/>
      <w:iCs/>
      <w:color w:val="2E74B5" w:themeColor="accent1" w:themeShade="BF"/>
    </w:rPr>
  </w:style>
  <w:style w:type="table" w:customStyle="1" w:styleId="130">
    <w:name w:val="Сетка таблицы13"/>
    <w:basedOn w:val="a2"/>
    <w:next w:val="a9"/>
    <w:qFormat/>
    <w:rsid w:val="008A6AE9"/>
    <w:pPr>
      <w:widowControl w:val="0"/>
      <w:spacing w:after="0" w:line="240" w:lineRule="auto"/>
      <w:jc w:val="both"/>
    </w:pPr>
    <w:rPr>
      <w:rFonts w:ascii="Times New Roman" w:eastAsia="SimSu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9"/>
    <w:uiPriority w:val="59"/>
    <w:rsid w:val="00EE7B3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9"/>
    <w:uiPriority w:val="59"/>
    <w:rsid w:val="00DC5D04"/>
    <w:pPr>
      <w:spacing w:after="0" w:line="240" w:lineRule="auto"/>
    </w:pPr>
    <w:rPr>
      <w:rFonts w:ascii="Cambria" w:eastAsia="MS Mincho" w:hAnsi="Cambria"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9"/>
    <w:uiPriority w:val="39"/>
    <w:rsid w:val="00C471AF"/>
    <w:pPr>
      <w:suppressAutoHyphens/>
      <w:spacing w:after="0" w:line="240" w:lineRule="auto"/>
    </w:pPr>
    <w:rPr>
      <w:rFonts w:ascii="Aptos" w:eastAsia="Aptos" w:hAnsi="Aptos" w:cs="Aptos"/>
      <w:kern w:val="2"/>
      <w:sz w:val="24"/>
      <w:szCs w:val="24"/>
      <w:lang w:eastAsia="ru-RU"/>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9"/>
    <w:uiPriority w:val="59"/>
    <w:rsid w:val="00771D90"/>
    <w:pPr>
      <w:spacing w:after="0" w:line="240" w:lineRule="auto"/>
    </w:pPr>
    <w:rPr>
      <w:rFonts w:ascii="Aptos" w:eastAsia="Aptos" w:hAnsi="Aptos" w:cs="Times New Roman"/>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next w:val="a9"/>
    <w:uiPriority w:val="39"/>
    <w:rsid w:val="00B319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DB3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VRadchenko@fa.ru" TargetMode="External"/><Relationship Id="rId671" Type="http://schemas.openxmlformats.org/officeDocument/2006/relationships/hyperlink" Target="https://e-cis.info/cooperation/3958/117931/?ysclid=m97birlhij686202537" TargetMode="External"/><Relationship Id="rId21" Type="http://schemas.openxmlformats.org/officeDocument/2006/relationships/hyperlink" Target="https://www.moex.com/" TargetMode="External"/><Relationship Id="rId324" Type="http://schemas.openxmlformats.org/officeDocument/2006/relationships/hyperlink" Target="mailto:m.kulesheva@mail.ru" TargetMode="External"/><Relationship Id="rId531" Type="http://schemas.openxmlformats.org/officeDocument/2006/relationships/hyperlink" Target="https://www.soliduslabs.com/" TargetMode="External"/><Relationship Id="rId629" Type="http://schemas.openxmlformats.org/officeDocument/2006/relationships/hyperlink" Target="mailto:green.cardinal@icloud.com" TargetMode="External"/><Relationship Id="rId170" Type="http://schemas.openxmlformats.org/officeDocument/2006/relationships/hyperlink" Target="mailto:uyuroschektaeva@fa.ru" TargetMode="External"/><Relationship Id="rId268" Type="http://schemas.openxmlformats.org/officeDocument/2006/relationships/hyperlink" Target="https://www.consultant.ru/document/cons_doc_LAW_122855/" TargetMode="External"/><Relationship Id="rId475" Type="http://schemas.openxmlformats.org/officeDocument/2006/relationships/hyperlink" Target="mailto:vilisov05@inbox.ru" TargetMode="External"/><Relationship Id="rId682" Type="http://schemas.openxmlformats.org/officeDocument/2006/relationships/hyperlink" Target="mailto:OVBershadskaya@fa.ru" TargetMode="External"/><Relationship Id="rId32" Type="http://schemas.openxmlformats.org/officeDocument/2006/relationships/hyperlink" Target="http://dianaberlina@bk.ru" TargetMode="External"/><Relationship Id="rId128" Type="http://schemas.openxmlformats.org/officeDocument/2006/relationships/image" Target="media/image10.png"/><Relationship Id="rId335" Type="http://schemas.openxmlformats.org/officeDocument/2006/relationships/image" Target="media/image24.png"/><Relationship Id="rId542" Type="http://schemas.openxmlformats.org/officeDocument/2006/relationships/hyperlink" Target="mailto:NGPyankova@fa.ru" TargetMode="External"/><Relationship Id="rId181" Type="http://schemas.openxmlformats.org/officeDocument/2006/relationships/hyperlink" Target="https://www.ifrs.org/content/dam/ifrs/publications/pdf-standards/english/2022/issued/part-a/ias-1-presentation-of-financial-statements.pdf?bypass=on" TargetMode="External"/><Relationship Id="rId402" Type="http://schemas.openxmlformats.org/officeDocument/2006/relationships/hyperlink" Target="https://elibrary.ru/item.asp?id=59993820" TargetMode="External"/><Relationship Id="rId279" Type="http://schemas.openxmlformats.org/officeDocument/2006/relationships/hyperlink" Target="mailto:100dot13sl220169@edu.fa.ru" TargetMode="External"/><Relationship Id="rId486" Type="http://schemas.openxmlformats.org/officeDocument/2006/relationships/image" Target="media/image45.png"/><Relationship Id="rId693" Type="http://schemas.openxmlformats.org/officeDocument/2006/relationships/hyperlink" Target="mailto:YVKomar@fa.ru" TargetMode="External"/><Relationship Id="rId707" Type="http://schemas.openxmlformats.org/officeDocument/2006/relationships/hyperlink" Target="mailto:SKGuchetl@fa.ru" TargetMode="External"/><Relationship Id="rId43" Type="http://schemas.openxmlformats.org/officeDocument/2006/relationships/hyperlink" Target="tel:SIBerlin@fa.ru" TargetMode="External"/><Relationship Id="rId139" Type="http://schemas.openxmlformats.org/officeDocument/2006/relationships/hyperlink" Target="https://base.garant.ru" TargetMode="External"/><Relationship Id="rId346" Type="http://schemas.openxmlformats.org/officeDocument/2006/relationships/hyperlink" Target="mailto:AYUArtyushkova@fa.ru" TargetMode="External"/><Relationship Id="rId553" Type="http://schemas.openxmlformats.org/officeDocument/2006/relationships/hyperlink" Target="http://www.cbr.ru6.J.D/" TargetMode="External"/><Relationship Id="rId192" Type="http://schemas.openxmlformats.org/officeDocument/2006/relationships/hyperlink" Target="http://www.consultant.ru" TargetMode="External"/><Relationship Id="rId206" Type="http://schemas.openxmlformats.org/officeDocument/2006/relationships/hyperlink" Target="https://fabrikant-media.ru/legislation/minfin-oboznachil-trebovaniya-po-upravleniyu-debitorskoy-zadolzhennostyu-dlya-poluchateley-sredstv-f/" TargetMode="External"/><Relationship Id="rId413" Type="http://schemas.openxmlformats.org/officeDocument/2006/relationships/hyperlink" Target="https://glowbyteconsulting.com/peredovoye_resheniye_dlya_vizualizatsii_dannykh_navigator_ot_sber" TargetMode="External"/><Relationship Id="rId497" Type="http://schemas.openxmlformats.org/officeDocument/2006/relationships/image" Target="media/image56.png"/><Relationship Id="rId620" Type="http://schemas.openxmlformats.org/officeDocument/2006/relationships/image" Target="media/image71.png"/><Relationship Id="rId718" Type="http://schemas.openxmlformats.org/officeDocument/2006/relationships/hyperlink" Target="mailto:yliamarusevitch@yandex.ru" TargetMode="External"/><Relationship Id="rId357" Type="http://schemas.openxmlformats.org/officeDocument/2006/relationships/hyperlink" Target="mailto:89284309061@mail.ru" TargetMode="External"/><Relationship Id="rId54" Type="http://schemas.openxmlformats.org/officeDocument/2006/relationships/hyperlink" Target="mailto:uyuroschektaeva@fa.ru" TargetMode="External"/><Relationship Id="rId217" Type="http://schemas.openxmlformats.org/officeDocument/2006/relationships/hyperlink" Target="https://www.consultant.ru/" TargetMode="External"/><Relationship Id="rId564" Type="http://schemas.openxmlformats.org/officeDocument/2006/relationships/hyperlink" Target="mailto:o.koreneva29@mail.ru" TargetMode="External"/><Relationship Id="rId424" Type="http://schemas.openxmlformats.org/officeDocument/2006/relationships/hyperlink" Target="mailto:NYUNaryzhnaya@fa.ru" TargetMode="External"/><Relationship Id="rId631" Type="http://schemas.openxmlformats.org/officeDocument/2006/relationships/hyperlink" Target="mailto:tatyana_vaskevic@mail.ru" TargetMode="External"/><Relationship Id="rId270" Type="http://schemas.openxmlformats.org/officeDocument/2006/relationships/hyperlink" Target="mailto:uyuroschektaeva@fa.ru" TargetMode="External"/><Relationship Id="rId65" Type="http://schemas.openxmlformats.org/officeDocument/2006/relationships/hyperlink" Target="https://campus.stt.ru/articles/kakie-izmeneniya-zakonodatelstva-ozhidayut-logistiku-v-2024-godu" TargetMode="External"/><Relationship Id="rId130" Type="http://schemas.openxmlformats.org/officeDocument/2006/relationships/hyperlink" Target="https://www.consultant.ru" TargetMode="External"/><Relationship Id="rId368" Type="http://schemas.openxmlformats.org/officeDocument/2006/relationships/hyperlink" Target="https://developers.sber.ru/help/gigachat-api/education-with-ai" TargetMode="External"/><Relationship Id="rId575" Type="http://schemas.openxmlformats.org/officeDocument/2006/relationships/hyperlink" Target="https://www.tadviser.ru/index.php/&#1055;&#1088;&#1086;&#1077;&#1082;&#1090;:%22&#1057;&#1073;&#1077;&#1088;&#1057;&#1090;&#1088;&#1072;&#1093;&#1086;&#1074;&#1072;&#1085;&#1080;&#1077;_&#1078;&#1080;&#1079;&#1085;&#1080;%22_&#1074;&#1085;&#1077;&#1076;&#1088;&#1080;&#1090;_&#1080;&#1089;&#1082;&#1091;&#1089;&#1089;&#1090;&#1074;&#1077;&#1085;&#1085;&#1099;&#1081;_&#1080;&#1085;&#1090;&#1077;&#1083;&#1083;&#1077;&#1082;&#1090;_&#1074;_&#1091;&#1088;&#1077;&#1075;&#1091;&#1083;&#1080;&#1088;&#1086;&#1074;&#1072;&#1085;&#1080;&#1077;_&#1091;&#1073;&#1099;&#1090;&#1082;&#1086;&#1074;_&#1091;&#1078;&#1077;_&#1074;_&#1085;&#1072;&#1095;&#1072;&#1083;&#1077;_2023_&#1075;&#1086;&#1076;&#1072;?ysclid=magvoni8ol437226708" TargetMode="External"/><Relationship Id="rId228" Type="http://schemas.openxmlformats.org/officeDocument/2006/relationships/hyperlink" Target="https://www.rusprofile.ru/id/726277" TargetMode="External"/><Relationship Id="rId435" Type="http://schemas.openxmlformats.org/officeDocument/2006/relationships/hyperlink" Target="mailto:PAProdolyatchenko@fa.ru" TargetMode="External"/><Relationship Id="rId642" Type="http://schemas.openxmlformats.org/officeDocument/2006/relationships/footer" Target="footer4.xml"/><Relationship Id="rId281" Type="http://schemas.openxmlformats.org/officeDocument/2006/relationships/hyperlink" Target="https://www.sap.com/central-asia-caucasus/products/financial-management/travel-and-expense-management.htm" TargetMode="External"/><Relationship Id="rId502" Type="http://schemas.openxmlformats.org/officeDocument/2006/relationships/image" Target="media/image61.png"/><Relationship Id="rId76" Type="http://schemas.openxmlformats.org/officeDocument/2006/relationships/hyperlink" Target="mailto:lubomirskaya070805@gmail.com" TargetMode="External"/><Relationship Id="rId141" Type="http://schemas.openxmlformats.org/officeDocument/2006/relationships/hyperlink" Target="https://avia.pro/news/gosudarstvennyy-dolg-rossii-vyros-do-145-vvp-v-2024-godu" TargetMode="External"/><Relationship Id="rId379" Type="http://schemas.openxmlformats.org/officeDocument/2006/relationships/hyperlink" Target="mailto:apachizzz2004@mail.ru" TargetMode="External"/><Relationship Id="rId586" Type="http://schemas.openxmlformats.org/officeDocument/2006/relationships/hyperlink" Target="https://scrumtrek.ru/blog/agile-scrum/6246/agile-job-satisfaction-statistics/" TargetMode="External"/><Relationship Id="rId7" Type="http://schemas.openxmlformats.org/officeDocument/2006/relationships/endnotes" Target="endnotes.xml"/><Relationship Id="rId239" Type="http://schemas.openxmlformats.org/officeDocument/2006/relationships/hyperlink" Target="mailto:Gaagrit@gmail.com" TargetMode="External"/><Relationship Id="rId446" Type="http://schemas.openxmlformats.org/officeDocument/2006/relationships/image" Target="media/image39.png"/><Relationship Id="rId653" Type="http://schemas.openxmlformats.org/officeDocument/2006/relationships/hyperlink" Target="mailto:helen_04_d@mail.ru" TargetMode="External"/><Relationship Id="rId292" Type="http://schemas.openxmlformats.org/officeDocument/2006/relationships/hyperlink" Target="https://www.ijmcer.com/wp-content/uploads/2025/04/IJMCER_R0720146154.pdf" TargetMode="External"/><Relationship Id="rId306" Type="http://schemas.openxmlformats.org/officeDocument/2006/relationships/hyperlink" Target="https://www.b17.ru/article/351764/" TargetMode="External"/><Relationship Id="rId87" Type="http://schemas.openxmlformats.org/officeDocument/2006/relationships/hyperlink" Target="mailto:yliamarusevitch@yandex.ru" TargetMode="External"/><Relationship Id="rId513" Type="http://schemas.openxmlformats.org/officeDocument/2006/relationships/hyperlink" Target="mailto:Evgeniyae@mail.ru" TargetMode="External"/><Relationship Id="rId597" Type="http://schemas.openxmlformats.org/officeDocument/2006/relationships/image" Target="media/image68.png"/><Relationship Id="rId720" Type="http://schemas.openxmlformats.org/officeDocument/2006/relationships/hyperlink" Target="mailto:yliamarusevitch@yandex.ru" TargetMode="External"/><Relationship Id="rId152" Type="http://schemas.openxmlformats.org/officeDocument/2006/relationships/hyperlink" Target="https://corpinfosys.ru/archive/2020/issue-9/78-2020-9-accountpolicy" TargetMode="External"/><Relationship Id="rId457" Type="http://schemas.openxmlformats.org/officeDocument/2006/relationships/hyperlink" Target="https://www.elibrary.ru/contents.asp?id=59691532" TargetMode="External"/><Relationship Id="rId664" Type="http://schemas.openxmlformats.org/officeDocument/2006/relationships/hyperlink" Target="mailto:soilvona@gmail.com" TargetMode="External"/><Relationship Id="rId14" Type="http://schemas.openxmlformats.org/officeDocument/2006/relationships/hyperlink" Target="https://opora.ru/" TargetMode="External"/><Relationship Id="rId317" Type="http://schemas.openxmlformats.org/officeDocument/2006/relationships/hyperlink" Target="mailto:z-gribok@yandex.ru" TargetMode="External"/><Relationship Id="rId524" Type="http://schemas.openxmlformats.org/officeDocument/2006/relationships/hyperlink" Target="https://yandex.ru/q/datascience/10838305281/" TargetMode="External"/><Relationship Id="rId98" Type="http://schemas.openxmlformats.org/officeDocument/2006/relationships/hyperlink" Target="https://apni.ru/article/8816-ispolzovanie-mashinnogo-obucheniya-dlya-progn" TargetMode="External"/><Relationship Id="rId163" Type="http://schemas.openxmlformats.org/officeDocument/2006/relationships/chart" Target="charts/chart9.xml"/><Relationship Id="rId370" Type="http://schemas.openxmlformats.org/officeDocument/2006/relationships/hyperlink" Target="https://onlineprograms.education.uiowa.edu/blog/role-of-ai-in-modern-education" TargetMode="External"/><Relationship Id="rId230" Type="http://schemas.openxmlformats.org/officeDocument/2006/relationships/hyperlink" Target="file:///C:\Users\PC100\Downloads\mvradchenko@fa.ru" TargetMode="External"/><Relationship Id="rId468" Type="http://schemas.openxmlformats.org/officeDocument/2006/relationships/hyperlink" Target="https://networksciencebook.com/" TargetMode="External"/><Relationship Id="rId675" Type="http://schemas.openxmlformats.org/officeDocument/2006/relationships/hyperlink" Target="mailto:naletovauliana29@gmail.com" TargetMode="External"/><Relationship Id="rId25" Type="http://schemas.openxmlformats.org/officeDocument/2006/relationships/hyperlink" Target="https://www.worldbank.org/" TargetMode="External"/><Relationship Id="rId328" Type="http://schemas.openxmlformats.org/officeDocument/2006/relationships/hyperlink" Target="mailto:mvmazunina@fa.ru%20" TargetMode="External"/><Relationship Id="rId535" Type="http://schemas.openxmlformats.org/officeDocument/2006/relationships/hyperlink" Target="https://cyberleninka.ru/article/n/blokcheyn-tehnologii-vyzovy-i-perspektivy/viewer" TargetMode="External"/><Relationship Id="rId174" Type="http://schemas.openxmlformats.org/officeDocument/2006/relationships/hyperlink" Target="https://www.consultant.ru/document/cons_doc_LAW_463427/53bb117b6de4d3f36bcf65180d24e86f6ccd99dc/" TargetMode="External"/><Relationship Id="rId381" Type="http://schemas.openxmlformats.org/officeDocument/2006/relationships/hyperlink" Target="https://vc.ru/transport/170132-istoriya-elektrosamokatov-dyavolskiy-transport-bogachey-i-sufrazhistok" TargetMode="External"/><Relationship Id="rId602" Type="http://schemas.openxmlformats.org/officeDocument/2006/relationships/hyperlink" Target="mailto:OVIshchenko@fa.ru" TargetMode="External"/><Relationship Id="rId241" Type="http://schemas.openxmlformats.org/officeDocument/2006/relationships/hyperlink" Target="mailto:maslakova298@gmail.com" TargetMode="External"/><Relationship Id="rId479" Type="http://schemas.openxmlformats.org/officeDocument/2006/relationships/image" Target="media/image42.png"/><Relationship Id="rId686" Type="http://schemas.openxmlformats.org/officeDocument/2006/relationships/hyperlink" Target="mailto:vladimirplaxin@rambler.ru" TargetMode="External"/><Relationship Id="rId36" Type="http://schemas.openxmlformats.org/officeDocument/2006/relationships/hyperlink" Target="mailto:MVRadchenko@fa.ru" TargetMode="External"/><Relationship Id="rId339" Type="http://schemas.openxmlformats.org/officeDocument/2006/relationships/hyperlink" Target="https://ru.citaty.net/tsitaty-o-vremeni/" TargetMode="External"/><Relationship Id="rId546" Type="http://schemas.openxmlformats.org/officeDocument/2006/relationships/hyperlink" Target="mailto:torosanalfred77@gmail.com" TargetMode="External"/><Relationship Id="rId101" Type="http://schemas.openxmlformats.org/officeDocument/2006/relationships/hyperlink" Target="mailto:mariam.mikaelyan.05@mail.ru" TargetMode="External"/><Relationship Id="rId185" Type="http://schemas.openxmlformats.org/officeDocument/2006/relationships/hyperlink" Target="https://www.ifrs.org/issued-standards/list-of-standards/ias-36-impairment-of-assets/" TargetMode="External"/><Relationship Id="rId406" Type="http://schemas.openxmlformats.org/officeDocument/2006/relationships/hyperlink" Target="mailto:100dot13sl220174@edu.fa.ru" TargetMode="External"/><Relationship Id="rId392" Type="http://schemas.openxmlformats.org/officeDocument/2006/relationships/hyperlink" Target="mailto:100DOT13SL230155@edu.fa.ru" TargetMode="External"/><Relationship Id="rId613" Type="http://schemas.openxmlformats.org/officeDocument/2006/relationships/hyperlink" Target="https://mediascope.net/news/2544317/" TargetMode="External"/><Relationship Id="rId697" Type="http://schemas.openxmlformats.org/officeDocument/2006/relationships/hyperlink" Target="https://www.ijmcer.com/wp-content/uploads/2025/04/IJMCER_R0720146154.pdf" TargetMode="External"/><Relationship Id="rId252" Type="http://schemas.openxmlformats.org/officeDocument/2006/relationships/hyperlink" Target="https://minfin.gov.ru/ru/perfomance/accounting/mej_standart_fo/standard/docs/" TargetMode="External"/><Relationship Id="rId47" Type="http://schemas.openxmlformats.org/officeDocument/2006/relationships/hyperlink" Target="mailto:vli99668@gmail.com" TargetMode="External"/><Relationship Id="rId112" Type="http://schemas.openxmlformats.org/officeDocument/2006/relationships/hyperlink" Target="https://www.economy.gov.ru/material/directions/np_effektivnaya_i_konkurentnaya_ekonomika/fp_razvitie_finansovogo_rynka" TargetMode="External"/><Relationship Id="rId557" Type="http://schemas.openxmlformats.org/officeDocument/2006/relationships/hyperlink" Target="mailto:NYUNaryzhnaya@fa.ru" TargetMode="External"/><Relationship Id="rId196" Type="http://schemas.openxmlformats.org/officeDocument/2006/relationships/hyperlink" Target="mailto:100dot13sl220168@edu.fa.ru" TargetMode="External"/><Relationship Id="rId417" Type="http://schemas.openxmlformats.org/officeDocument/2006/relationships/hyperlink" Target="mailto:v1-ka@mail.ru" TargetMode="External"/><Relationship Id="rId624" Type="http://schemas.openxmlformats.org/officeDocument/2006/relationships/hyperlink" Target="http://www.risidata.com/Database/Search_Results/search&amp;keywords=Ohio/" TargetMode="External"/><Relationship Id="rId263" Type="http://schemas.openxmlformats.org/officeDocument/2006/relationships/hyperlink" Target="mailto:uyuroschektaeva@fa.ru" TargetMode="External"/><Relationship Id="rId470" Type="http://schemas.openxmlformats.org/officeDocument/2006/relationships/hyperlink" Target="mailto:svetikobz@mail.ru%20" TargetMode="External"/><Relationship Id="rId58" Type="http://schemas.openxmlformats.org/officeDocument/2006/relationships/hyperlink" Target="https://hvac-school.ru/vestnik_ano/vestnik_ano_ukc_universitet_21/logistika_kak_instrument/" TargetMode="External"/><Relationship Id="rId123" Type="http://schemas.openxmlformats.org/officeDocument/2006/relationships/hyperlink" Target="mailto:Alexey23russian@yandex.ru" TargetMode="External"/><Relationship Id="rId330" Type="http://schemas.openxmlformats.org/officeDocument/2006/relationships/hyperlink" Target="mailto:obladaet123456789@mail.ru" TargetMode="External"/><Relationship Id="rId568" Type="http://schemas.openxmlformats.org/officeDocument/2006/relationships/hyperlink" Target="https://www.consultant.ru/document/cons_doc_LAW_1405/" TargetMode="External"/><Relationship Id="rId428" Type="http://schemas.openxmlformats.org/officeDocument/2006/relationships/hyperlink" Target="https://habr.com/ru/companies/netologyru/articles/586740/" TargetMode="External"/><Relationship Id="rId635" Type="http://schemas.openxmlformats.org/officeDocument/2006/relationships/hyperlink" Target="tel:VAKirij@fa.ru" TargetMode="External"/><Relationship Id="rId274" Type="http://schemas.openxmlformats.org/officeDocument/2006/relationships/hyperlink" Target="https://fin-accounting.ru/articles/2022/ias-1--statement-of-financial-position--classification-of-liabilities" TargetMode="External"/><Relationship Id="rId481" Type="http://schemas.openxmlformats.org/officeDocument/2006/relationships/image" Target="media/image44.png"/><Relationship Id="rId702" Type="http://schemas.openxmlformats.org/officeDocument/2006/relationships/hyperlink" Target="mailto:ekaterinakadkalova@yandex.ru" TargetMode="External"/><Relationship Id="rId69" Type="http://schemas.openxmlformats.org/officeDocument/2006/relationships/hyperlink" Target="mailto:nepran.12a@yandex.ru" TargetMode="External"/><Relationship Id="rId134" Type="http://schemas.openxmlformats.org/officeDocument/2006/relationships/hyperlink" Target="https://finansist-kras.ru/news/banks/obzor-izmeneniy-valyutnogo-zakonodatelstva-1-kvartal-2025-goda/" TargetMode="External"/><Relationship Id="rId579" Type="http://schemas.openxmlformats.org/officeDocument/2006/relationships/hyperlink" Target="mailto:lesvinokurova@mail.ru" TargetMode="External"/><Relationship Id="rId341" Type="http://schemas.openxmlformats.org/officeDocument/2006/relationships/hyperlink" Target="https://samizdatt.net/?do=txt&amp;idf=69306061" TargetMode="External"/><Relationship Id="rId439" Type="http://schemas.openxmlformats.org/officeDocument/2006/relationships/chart" Target="charts/chart13.xml"/><Relationship Id="rId646" Type="http://schemas.openxmlformats.org/officeDocument/2006/relationships/hyperlink" Target="mailto:EVKirij@fa.ru" TargetMode="External"/><Relationship Id="rId201" Type="http://schemas.openxmlformats.org/officeDocument/2006/relationships/hyperlink" Target="https://www.consultant.ru/document/cons_doc_LAW_12508/776dafe44f6f85723ba59a0c913883ce2e044156/" TargetMode="External"/><Relationship Id="rId285" Type="http://schemas.openxmlformats.org/officeDocument/2006/relationships/hyperlink" Target="https://www.clouderp.ru/tags/sistemy_ucheta_raskhodov/" TargetMode="External"/><Relationship Id="rId506" Type="http://schemas.openxmlformats.org/officeDocument/2006/relationships/hyperlink" Target="https://e.lanbook.com/book/247034" TargetMode="External"/><Relationship Id="rId492" Type="http://schemas.openxmlformats.org/officeDocument/2006/relationships/image" Target="media/image51.png"/><Relationship Id="rId713" Type="http://schemas.openxmlformats.org/officeDocument/2006/relationships/hyperlink" Target="mailto:YVKomar@fa.ru" TargetMode="External"/><Relationship Id="rId145" Type="http://schemas.openxmlformats.org/officeDocument/2006/relationships/hyperlink" Target="mailto:uyuroschektaeva@fa.ru" TargetMode="External"/><Relationship Id="rId352" Type="http://schemas.openxmlformats.org/officeDocument/2006/relationships/hyperlink" Target="mailto:AYUArtyushkova@fa.ru?subject=AYUArtyushkova%40fa.ru" TargetMode="External"/><Relationship Id="rId212" Type="http://schemas.openxmlformats.org/officeDocument/2006/relationships/hyperlink" Target="mailto:MADobrunova@fa.ru" TargetMode="External"/><Relationship Id="rId657" Type="http://schemas.openxmlformats.org/officeDocument/2006/relationships/image" Target="media/image80.png"/><Relationship Id="rId296" Type="http://schemas.openxmlformats.org/officeDocument/2006/relationships/hyperlink" Target="mailto:sashagrigorieva06@gmail.com" TargetMode="External"/><Relationship Id="rId517" Type="http://schemas.openxmlformats.org/officeDocument/2006/relationships/hyperlink" Target="mailto:NYUNaryzhnaya@fa.ru" TargetMode="External"/><Relationship Id="rId724" Type="http://schemas.openxmlformats.org/officeDocument/2006/relationships/hyperlink" Target="mailto:yvkomar@fa.ru" TargetMode="External"/><Relationship Id="rId60" Type="http://schemas.openxmlformats.org/officeDocument/2006/relationships/hyperlink" Target="https://www.toplogwms.ru/blog/skladskaya-sistema-upravlenie-skladom/" TargetMode="External"/><Relationship Id="rId156" Type="http://schemas.openxmlformats.org/officeDocument/2006/relationships/hyperlink" Target="mailto:trufanova.a2004@mail.ru" TargetMode="External"/><Relationship Id="rId363" Type="http://schemas.openxmlformats.org/officeDocument/2006/relationships/hyperlink" Target="mailto:youthlicyr@gmail.com" TargetMode="External"/><Relationship Id="rId570" Type="http://schemas.openxmlformats.org/officeDocument/2006/relationships/hyperlink" Target="https://www.tadviser.ru/index.php/&#1055;&#1088;&#1086;&#1077;&#1082;&#1090;:%22&#1057;&#1073;&#1077;&#1088;&#1057;&#1090;&#1088;&#1072;&#1093;&#1086;&#1074;&#1072;&#1085;&#1080;&#1077;_&#1078;&#1080;&#1079;&#1085;&#1080;%22_&#1074;&#1085;&#1077;&#1076;&#1088;&#1080;&#1090;_&#1080;&#1089;&#1082;&#1091;&#1089;&#1089;&#1090;&#1074;&#1077;&#1085;&#1085;&#1099;&#1081;_&#1080;&#1085;&#1090;&#1077;&#1083;&#1083;&#1077;&#1082;&#1090;_&#1074;_&#1091;&#1088;&#1077;&#1075;&#1091;&#1083;&#1080;&#1088;&#1086;&#1074;&#1072;&#1085;&#1080;&#1077;_&#1091;&#1073;&#1099;&#1090;&#1082;&#1086;&#1074;_&#1091;&#1078;&#1077;_&#1074;_&#1085;&#1072;&#1095;&#1072;&#1083;&#1077;_2023_&#1075;&#1086;&#1076;&#1072;?ysclid=magvoni8ol437226708" TargetMode="External"/><Relationship Id="rId223" Type="http://schemas.openxmlformats.org/officeDocument/2006/relationships/hyperlink" Target="https://iq-provision.ru/articles/uchet-v-apteke" TargetMode="External"/><Relationship Id="rId430" Type="http://schemas.openxmlformats.org/officeDocument/2006/relationships/image" Target="media/image31.png"/><Relationship Id="rId668" Type="http://schemas.openxmlformats.org/officeDocument/2006/relationships/hyperlink" Target="mailto:yliamarusevitch@yandex.ru" TargetMode="External"/><Relationship Id="rId18" Type="http://schemas.openxmlformats.org/officeDocument/2006/relationships/hyperlink" Target="http://www.consultant.ru/" TargetMode="External"/><Relationship Id="rId528" Type="http://schemas.openxmlformats.org/officeDocument/2006/relationships/hyperlink" Target="https://www.blockchain.com/explorer" TargetMode="External"/><Relationship Id="rId167" Type="http://schemas.openxmlformats.org/officeDocument/2006/relationships/hyperlink" Target="mailto:100dot13sl220159@edu.fa.ru" TargetMode="External"/><Relationship Id="rId374" Type="http://schemas.openxmlformats.org/officeDocument/2006/relationships/hyperlink" Target="mailto:apanufrieva@fa.ru" TargetMode="External"/><Relationship Id="rId581" Type="http://schemas.openxmlformats.org/officeDocument/2006/relationships/hyperlink" Target="https://sinonim.org/s/%D0%BA%D0%BB%D0%B8%D0%B5%D0%BD%D1%82%D0%BE%D0%BE%D1%80%D0%B8%D0%B5%D0%BD%D1%82%D0%B8%D1%80%D0%BE%D0%B2%D0%B0%D0%BD%D0%BD%D0%BE%D1%81%D1%82%D1%8C" TargetMode="External"/><Relationship Id="rId71" Type="http://schemas.openxmlformats.org/officeDocument/2006/relationships/chart" Target="charts/chart4.xml"/><Relationship Id="rId234" Type="http://schemas.openxmlformats.org/officeDocument/2006/relationships/hyperlink" Target="http://www.consultant.ru" TargetMode="External"/><Relationship Id="rId679" Type="http://schemas.openxmlformats.org/officeDocument/2006/relationships/hyperlink" Target="https://bd.fom.ru/report/map/micex181207" TargetMode="External"/><Relationship Id="rId2" Type="http://schemas.openxmlformats.org/officeDocument/2006/relationships/numbering" Target="numbering.xml"/><Relationship Id="rId29" Type="http://schemas.openxmlformats.org/officeDocument/2006/relationships/image" Target="media/image4.png"/><Relationship Id="rId441" Type="http://schemas.openxmlformats.org/officeDocument/2006/relationships/image" Target="media/image34.png"/><Relationship Id="rId539" Type="http://schemas.openxmlformats.org/officeDocument/2006/relationships/hyperlink" Target="mailto:danek.teslenko1718@gmail.com" TargetMode="External"/><Relationship Id="rId178" Type="http://schemas.openxmlformats.org/officeDocument/2006/relationships/hyperlink" Target="mailto:uyuroschektaeva@fa.ru" TargetMode="External"/><Relationship Id="rId301" Type="http://schemas.openxmlformats.org/officeDocument/2006/relationships/hyperlink" Target="mailto:helen_04_d@mail.ru" TargetMode="External"/><Relationship Id="rId82" Type="http://schemas.openxmlformats.org/officeDocument/2006/relationships/hyperlink" Target="https://urait.ru/bcode/535665" TargetMode="External"/><Relationship Id="rId385" Type="http://schemas.openxmlformats.org/officeDocument/2006/relationships/hyperlink" Target="mailto:pdv.22@mail.ru" TargetMode="External"/><Relationship Id="rId592" Type="http://schemas.openxmlformats.org/officeDocument/2006/relationships/hyperlink" Target="mailto:Evgenij999jav@mail.ru" TargetMode="External"/><Relationship Id="rId606" Type="http://schemas.openxmlformats.org/officeDocument/2006/relationships/hyperlink" Target="mailto:alena.cobozeva@yandex.ru" TargetMode="External"/><Relationship Id="rId245" Type="http://schemas.openxmlformats.org/officeDocument/2006/relationships/hyperlink" Target="https://cyberleninka.ru/article/n/prognozirovaniya-bankrotstva-predpriyatiy-s-ispolzovaniem-iskusstvennogo-intellekta" TargetMode="External"/><Relationship Id="rId287" Type="http://schemas.openxmlformats.org/officeDocument/2006/relationships/hyperlink" Target="mailto:angelinagevo@gmail.com" TargetMode="External"/><Relationship Id="rId410" Type="http://schemas.openxmlformats.org/officeDocument/2006/relationships/hyperlink" Target="https://www.rbcgrp.com/business-intelligence-kak-bi-pomogaet-kompanijam-rabotat-jeffektivnee/" TargetMode="External"/><Relationship Id="rId452" Type="http://schemas.openxmlformats.org/officeDocument/2006/relationships/hyperlink" Target="mailto:OYFrantsisko@fa.ru" TargetMode="External"/><Relationship Id="rId494" Type="http://schemas.openxmlformats.org/officeDocument/2006/relationships/image" Target="media/image53.png"/><Relationship Id="rId508" Type="http://schemas.openxmlformats.org/officeDocument/2006/relationships/hyperlink" Target="mailto:aliibra0086@gmail.com" TargetMode="External"/><Relationship Id="rId715" Type="http://schemas.openxmlformats.org/officeDocument/2006/relationships/hyperlink" Target="mailto:YVKomar@fa.ru" TargetMode="External"/><Relationship Id="rId105" Type="http://schemas.openxmlformats.org/officeDocument/2006/relationships/image" Target="media/image8.png"/><Relationship Id="rId147" Type="http://schemas.openxmlformats.org/officeDocument/2006/relationships/hyperlink" Target="mailto:uyuroschektaeva@fa.ru" TargetMode="External"/><Relationship Id="rId312" Type="http://schemas.openxmlformats.org/officeDocument/2006/relationships/hyperlink" Target="mailto:eseniyakrivkova@gmail.com" TargetMode="External"/><Relationship Id="rId354" Type="http://schemas.openxmlformats.org/officeDocument/2006/relationships/hyperlink" Target="mailto:AYUArtyushkova@fa.ru?subject=AYUArtyushkova%40fa.ru" TargetMode="External"/><Relationship Id="rId51" Type="http://schemas.openxmlformats.org/officeDocument/2006/relationships/hyperlink" Target="mailto:GGPimenov@fa.ru" TargetMode="External"/><Relationship Id="rId93" Type="http://schemas.openxmlformats.org/officeDocument/2006/relationships/hyperlink" Target="mailto:maslakova298@gmail.com" TargetMode="External"/><Relationship Id="rId189" Type="http://schemas.openxmlformats.org/officeDocument/2006/relationships/hyperlink" Target="mailto:MVRadchenko@fa.ru" TargetMode="External"/><Relationship Id="rId396" Type="http://schemas.openxmlformats.org/officeDocument/2006/relationships/image" Target="media/image30.png"/><Relationship Id="rId561" Type="http://schemas.openxmlformats.org/officeDocument/2006/relationships/hyperlink" Target="mailto:sabelnikdenis23@gmail.com" TargetMode="External"/><Relationship Id="rId617" Type="http://schemas.openxmlformats.org/officeDocument/2006/relationships/hyperlink" Target="mailto:NYUNaryzhnaya@fa.ru" TargetMode="External"/><Relationship Id="rId659" Type="http://schemas.openxmlformats.org/officeDocument/2006/relationships/image" Target="media/image82.png"/><Relationship Id="rId214" Type="http://schemas.openxmlformats.org/officeDocument/2006/relationships/hyperlink" Target="mailto:dacham04@gmail.com" TargetMode="External"/><Relationship Id="rId256" Type="http://schemas.openxmlformats.org/officeDocument/2006/relationships/image" Target="media/image16.png"/><Relationship Id="rId298" Type="http://schemas.openxmlformats.org/officeDocument/2006/relationships/hyperlink" Target="mailto:newpda985@gmail.com" TargetMode="External"/><Relationship Id="rId421" Type="http://schemas.openxmlformats.org/officeDocument/2006/relationships/hyperlink" Target="mailto:andru.snowman@mail.ru" TargetMode="External"/><Relationship Id="rId463" Type="http://schemas.openxmlformats.org/officeDocument/2006/relationships/hyperlink" Target="mailto:beregovaaola@mail.ru" TargetMode="External"/><Relationship Id="rId519" Type="http://schemas.openxmlformats.org/officeDocument/2006/relationships/hyperlink" Target="mailto:NYUNaryzhnaya@fa.ru" TargetMode="External"/><Relationship Id="rId670" Type="http://schemas.openxmlformats.org/officeDocument/2006/relationships/hyperlink" Target="https://www.consultant.ru/document/cons_doc_LAW_37868/1c720e98b3d69e67537743977f2c923d8c27d66a/?ysclid=m973oc58zm993217087" TargetMode="External"/><Relationship Id="rId116" Type="http://schemas.openxmlformats.org/officeDocument/2006/relationships/hyperlink" Target="mailto:vadim2811p@mail.ru" TargetMode="External"/><Relationship Id="rId158" Type="http://schemas.openxmlformats.org/officeDocument/2006/relationships/hyperlink" Target="mailto:N_Andreeva30@mail.ru" TargetMode="External"/><Relationship Id="rId323" Type="http://schemas.openxmlformats.org/officeDocument/2006/relationships/hyperlink" Target="mailto:MVMazunina@fa.ru" TargetMode="External"/><Relationship Id="rId530" Type="http://schemas.openxmlformats.org/officeDocument/2006/relationships/hyperlink" Target="https://www.coingecko.com/" TargetMode="External"/><Relationship Id="rId726" Type="http://schemas.openxmlformats.org/officeDocument/2006/relationships/fontTable" Target="fontTable.xml"/><Relationship Id="rId20" Type="http://schemas.openxmlformats.org/officeDocument/2006/relationships/hyperlink" Target="https://www.moex.com/" TargetMode="External"/><Relationship Id="rId62" Type="http://schemas.openxmlformats.org/officeDocument/2006/relationships/hyperlink" Target="https://kokoc.com/blog/cross-docking/" TargetMode="External"/><Relationship Id="rId365" Type="http://schemas.openxmlformats.org/officeDocument/2006/relationships/hyperlink" Target="mailto:apanufrieva@fa.ru" TargetMode="External"/><Relationship Id="rId572" Type="http://schemas.openxmlformats.org/officeDocument/2006/relationships/hyperlink" Target="https://cyberleninka.ru/article/n/obzor-ispolzovaniya-iskusstvennogo-intellekta-v-obnaruzhenii-finansovogo-moshennichestva?ysclid=magus3hhls910869983" TargetMode="External"/><Relationship Id="rId628" Type="http://schemas.openxmlformats.org/officeDocument/2006/relationships/hyperlink" Target="https://datalens.yandex.cloud/1cmbk1hun2dyn" TargetMode="External"/><Relationship Id="rId225" Type="http://schemas.openxmlformats.org/officeDocument/2006/relationships/hyperlink" Target="https://minfin.gov.ru/ru/document?id_4=133539" TargetMode="External"/><Relationship Id="rId267" Type="http://schemas.openxmlformats.org/officeDocument/2006/relationships/hyperlink" Target="https://www.consultant.ru/document/cons_doc_LAW_365338/7c84e53612cafbe7b9abb0711010248eec4de677/" TargetMode="External"/><Relationship Id="rId432" Type="http://schemas.openxmlformats.org/officeDocument/2006/relationships/hyperlink" Target="mailto:radhz.ru@gmail.com" TargetMode="External"/><Relationship Id="rId474" Type="http://schemas.openxmlformats.org/officeDocument/2006/relationships/hyperlink" Target="mailto:OVishchenko@fa.ru" TargetMode="External"/><Relationship Id="rId127" Type="http://schemas.openxmlformats.org/officeDocument/2006/relationships/image" Target="media/image9.png"/><Relationship Id="rId681" Type="http://schemas.openxmlformats.org/officeDocument/2006/relationships/hyperlink" Target="https://smart-lab.ru/blog/676675.php" TargetMode="External"/><Relationship Id="rId31" Type="http://schemas.openxmlformats.org/officeDocument/2006/relationships/hyperlink" Target="https://mcx.gov.ru/" TargetMode="External"/><Relationship Id="rId73" Type="http://schemas.openxmlformats.org/officeDocument/2006/relationships/hyperlink" Target="https://www.rbc.ru/finances/07/06/2024/66632ef59a7947dfc40c0b09" TargetMode="External"/><Relationship Id="rId169" Type="http://schemas.openxmlformats.org/officeDocument/2006/relationships/hyperlink" Target="mailto:100dot13sl220159@edu.fa.ru" TargetMode="External"/><Relationship Id="rId334" Type="http://schemas.openxmlformats.org/officeDocument/2006/relationships/footer" Target="footer1.xml"/><Relationship Id="rId376" Type="http://schemas.openxmlformats.org/officeDocument/2006/relationships/hyperlink" Target="https://issek.hse.ru/" TargetMode="External"/><Relationship Id="rId541" Type="http://schemas.openxmlformats.org/officeDocument/2006/relationships/hyperlink" Target="mailto:danek.teslenko1718@gmail.com" TargetMode="External"/><Relationship Id="rId583" Type="http://schemas.openxmlformats.org/officeDocument/2006/relationships/hyperlink" Target="https://www.unisender.com/ru/glossary/chto-takoe-agile/" TargetMode="External"/><Relationship Id="rId639" Type="http://schemas.openxmlformats.org/officeDocument/2006/relationships/image" Target="media/image73.png"/><Relationship Id="rId4" Type="http://schemas.openxmlformats.org/officeDocument/2006/relationships/settings" Target="settings.xml"/><Relationship Id="rId180" Type="http://schemas.openxmlformats.org/officeDocument/2006/relationships/hyperlink" Target="https://1c-o.ru/blog/articles/fsbu-42023-trebovaniya-k-buhgalterskoj-otchetnosti-s-2025-goda" TargetMode="External"/><Relationship Id="rId236" Type="http://schemas.openxmlformats.org/officeDocument/2006/relationships/hyperlink" Target="https://cyberleninka.ru/article/n/osnovy-nalogovogo-stimulirovaniya-rasshireniya-fondovogo-rynka" TargetMode="External"/><Relationship Id="rId278" Type="http://schemas.openxmlformats.org/officeDocument/2006/relationships/hyperlink" Target="mailto:uyuroschektaeva@fa.ru" TargetMode="External"/><Relationship Id="rId401" Type="http://schemas.openxmlformats.org/officeDocument/2006/relationships/hyperlink" Target="mailto:https://elibrary.ru/item.asp?id=46680868" TargetMode="External"/><Relationship Id="rId443" Type="http://schemas.openxmlformats.org/officeDocument/2006/relationships/image" Target="media/image36.png"/><Relationship Id="rId650" Type="http://schemas.openxmlformats.org/officeDocument/2006/relationships/image" Target="media/image75.png"/><Relationship Id="rId303" Type="http://schemas.openxmlformats.org/officeDocument/2006/relationships/image" Target="media/image19.png"/><Relationship Id="rId485" Type="http://schemas.openxmlformats.org/officeDocument/2006/relationships/hyperlink" Target="mailto:tvvaskevich@fa.ru" TargetMode="External"/><Relationship Id="rId692" Type="http://schemas.openxmlformats.org/officeDocument/2006/relationships/hyperlink" Target="mailto:angelinagevo@gmail.com" TargetMode="External"/><Relationship Id="rId706" Type="http://schemas.openxmlformats.org/officeDocument/2006/relationships/hyperlink" Target="mailto:konsevich.sof@gmail.com" TargetMode="External"/><Relationship Id="rId42" Type="http://schemas.openxmlformats.org/officeDocument/2006/relationships/hyperlink" Target="http://krasnodar.gks.ru/" TargetMode="External"/><Relationship Id="rId84" Type="http://schemas.openxmlformats.org/officeDocument/2006/relationships/hyperlink" Target="https://nafi.ru/analytics" TargetMode="External"/><Relationship Id="rId138" Type="http://schemas.openxmlformats.org/officeDocument/2006/relationships/hyperlink" Target="https://www.consultant.ru" TargetMode="External"/><Relationship Id="rId345" Type="http://schemas.openxmlformats.org/officeDocument/2006/relationships/hyperlink" Target="mailto:mari.0608@bk.ru" TargetMode="External"/><Relationship Id="rId387" Type="http://schemas.openxmlformats.org/officeDocument/2006/relationships/hyperlink" Target="mailto:pdv.22@mail.ru" TargetMode="External"/><Relationship Id="rId510" Type="http://schemas.openxmlformats.org/officeDocument/2006/relationships/hyperlink" Target="mailto:izotova312@mail.ru" TargetMode="External"/><Relationship Id="rId552" Type="http://schemas.openxmlformats.org/officeDocument/2006/relationships/hyperlink" Target="https://www.capgemini.com/research/world-retail-banking-report/" TargetMode="External"/><Relationship Id="rId594" Type="http://schemas.openxmlformats.org/officeDocument/2006/relationships/hyperlink" Target="mailto:Evgenij999jav@mail.ru" TargetMode="External"/><Relationship Id="rId608" Type="http://schemas.openxmlformats.org/officeDocument/2006/relationships/hyperlink" Target="https://www.tradelens.com/" TargetMode="External"/><Relationship Id="rId191" Type="http://schemas.openxmlformats.org/officeDocument/2006/relationships/hyperlink" Target="mailto:MVRadchenko@fa.ru" TargetMode="External"/><Relationship Id="rId205" Type="http://schemas.openxmlformats.org/officeDocument/2006/relationships/hyperlink" Target="https://rvzrus.ru/blog/2866" TargetMode="External"/><Relationship Id="rId247" Type="http://schemas.openxmlformats.org/officeDocument/2006/relationships/image" Target="media/image12.png"/><Relationship Id="rId412" Type="http://schemas.openxmlformats.org/officeDocument/2006/relationships/hyperlink" Target="https://economist.kg/mnenie/2025/01/23/kak-biznies-analitika-mieniaiet-bukhghaltierskii-uchiet-ekspiertnoie-mnieniie-zhibiek-abdyldaievoi-o-budushchiem-bukhghaltierii/" TargetMode="External"/><Relationship Id="rId107" Type="http://schemas.openxmlformats.org/officeDocument/2006/relationships/hyperlink" Target="mailto:darva.pan.chen.ko@mail.ru" TargetMode="External"/><Relationship Id="rId289" Type="http://schemas.openxmlformats.org/officeDocument/2006/relationships/hyperlink" Target="mailto:AGRubin@fa.ru" TargetMode="External"/><Relationship Id="rId454" Type="http://schemas.openxmlformats.org/officeDocument/2006/relationships/hyperlink" Target="https://elibrary.ru/contents.asp?id=41504678" TargetMode="External"/><Relationship Id="rId496" Type="http://schemas.openxmlformats.org/officeDocument/2006/relationships/image" Target="media/image55.png"/><Relationship Id="rId661" Type="http://schemas.openxmlformats.org/officeDocument/2006/relationships/hyperlink" Target="https://www.b17.ru/article/pokolenie_alfa_deti_kotorye_uchat_neyroseti_a_ne_alfavit/" TargetMode="External"/><Relationship Id="rId717" Type="http://schemas.openxmlformats.org/officeDocument/2006/relationships/hyperlink" Target="https://dictionary.cambridge.org/ru/" TargetMode="External"/><Relationship Id="rId11" Type="http://schemas.openxmlformats.org/officeDocument/2006/relationships/image" Target="media/image1.png"/><Relationship Id="rId53" Type="http://schemas.openxmlformats.org/officeDocument/2006/relationships/hyperlink" Target="mailto:100dot13sl220177@edu.fa.ru" TargetMode="External"/><Relationship Id="rId149" Type="http://schemas.openxmlformats.org/officeDocument/2006/relationships/hyperlink" Target="https://chatgpt.com/c/6829d949-03f8-800a-b10b-8304aafbfd3d" TargetMode="External"/><Relationship Id="rId314" Type="http://schemas.openxmlformats.org/officeDocument/2006/relationships/image" Target="media/image21.png"/><Relationship Id="rId356" Type="http://schemas.openxmlformats.org/officeDocument/2006/relationships/hyperlink" Target="https://org.fa.ru/app/search/student;field=department;value=12296" TargetMode="External"/><Relationship Id="rId398" Type="http://schemas.openxmlformats.org/officeDocument/2006/relationships/hyperlink" Target="mailto:ENKalaydin@fa.ru" TargetMode="External"/><Relationship Id="rId521" Type="http://schemas.openxmlformats.org/officeDocument/2006/relationships/hyperlink" Target="mailto:NYUNaryzhnaya@fa.ru" TargetMode="External"/><Relationship Id="rId563" Type="http://schemas.openxmlformats.org/officeDocument/2006/relationships/hyperlink" Target="mailto:zedfrom2005@gmail.com" TargetMode="External"/><Relationship Id="rId619" Type="http://schemas.openxmlformats.org/officeDocument/2006/relationships/image" Target="media/image70.png"/><Relationship Id="rId95" Type="http://schemas.openxmlformats.org/officeDocument/2006/relationships/hyperlink" Target="mailto:UYURoschektaeva@fa.ru" TargetMode="External"/><Relationship Id="rId160" Type="http://schemas.openxmlformats.org/officeDocument/2006/relationships/hyperlink" Target="mailto:SIBerlin@fa.ru" TargetMode="External"/><Relationship Id="rId216" Type="http://schemas.openxmlformats.org/officeDocument/2006/relationships/hyperlink" Target="https://www.consultant.ru/" TargetMode="External"/><Relationship Id="rId423" Type="http://schemas.openxmlformats.org/officeDocument/2006/relationships/hyperlink" Target="mailto:andru.snowman@mail.ru" TargetMode="External"/><Relationship Id="rId258" Type="http://schemas.openxmlformats.org/officeDocument/2006/relationships/hyperlink" Target="https://cbr.ru/statistics/nps/psrf/" TargetMode="External"/><Relationship Id="rId465" Type="http://schemas.openxmlformats.org/officeDocument/2006/relationships/image" Target="media/image40.png"/><Relationship Id="rId630" Type="http://schemas.openxmlformats.org/officeDocument/2006/relationships/hyperlink" Target="mailto:tatyana_vaskevic@mail.ru" TargetMode="External"/><Relationship Id="rId672" Type="http://schemas.openxmlformats.org/officeDocument/2006/relationships/hyperlink" Target="https://xn--b1aew.xn--p1ai/reports/item/60248328/" TargetMode="External"/><Relationship Id="rId22" Type="http://schemas.openxmlformats.org/officeDocument/2006/relationships/hyperlink" Target="https://rosstat.gov.ru/" TargetMode="External"/><Relationship Id="rId64" Type="http://schemas.openxmlformats.org/officeDocument/2006/relationships/hyperlink" Target="https://globalcio.ru/news/20541/" TargetMode="External"/><Relationship Id="rId118" Type="http://schemas.openxmlformats.org/officeDocument/2006/relationships/hyperlink" Target="http://www.consultant.ru" TargetMode="External"/><Relationship Id="rId325" Type="http://schemas.openxmlformats.org/officeDocument/2006/relationships/hyperlink" Target="mailto:AYUArtyushkova@fa.ru" TargetMode="External"/><Relationship Id="rId367" Type="http://schemas.openxmlformats.org/officeDocument/2006/relationships/hyperlink" Target="mailto:belan0319@gmail.com" TargetMode="External"/><Relationship Id="rId532" Type="http://schemas.openxmlformats.org/officeDocument/2006/relationships/hyperlink" Target="https://www.nansen.ai/" TargetMode="External"/><Relationship Id="rId574" Type="http://schemas.openxmlformats.org/officeDocument/2006/relationships/hyperlink" Target="https://www.consultant.ru/document/cons_doc_LAW_1405/" TargetMode="External"/><Relationship Id="rId171" Type="http://schemas.openxmlformats.org/officeDocument/2006/relationships/hyperlink" Target="https://www.nalog.gov.ru/rn77/taxation/taxes/usn/" TargetMode="External"/><Relationship Id="rId227" Type="http://schemas.openxmlformats.org/officeDocument/2006/relationships/hyperlink" Target="https://finance.mail.ru/card/farmstandart-784/" TargetMode="External"/><Relationship Id="rId269" Type="http://schemas.openxmlformats.org/officeDocument/2006/relationships/hyperlink" Target="mailto:100dot13sl220160@edu.fa.ru" TargetMode="External"/><Relationship Id="rId434" Type="http://schemas.openxmlformats.org/officeDocument/2006/relationships/hyperlink" Target="mailto:edgarkarartinayn.ru@gmail.com" TargetMode="External"/><Relationship Id="rId476" Type="http://schemas.openxmlformats.org/officeDocument/2006/relationships/hyperlink" Target="mailto:OVishchenko@fa.ru" TargetMode="External"/><Relationship Id="rId641" Type="http://schemas.openxmlformats.org/officeDocument/2006/relationships/footer" Target="footer3.xml"/><Relationship Id="rId683" Type="http://schemas.openxmlformats.org/officeDocument/2006/relationships/hyperlink" Target="https://urait.ru/bcode/562234" TargetMode="External"/><Relationship Id="rId33" Type="http://schemas.openxmlformats.org/officeDocument/2006/relationships/hyperlink" Target="http://dianaberlina@bk.ru" TargetMode="External"/><Relationship Id="rId129" Type="http://schemas.openxmlformats.org/officeDocument/2006/relationships/image" Target="media/image11.png"/><Relationship Id="rId280" Type="http://schemas.openxmlformats.org/officeDocument/2006/relationships/hyperlink" Target="mailto:uyuroschektaeva@fa.ru" TargetMode="External"/><Relationship Id="rId336" Type="http://schemas.openxmlformats.org/officeDocument/2006/relationships/image" Target="media/image25.png"/><Relationship Id="rId501" Type="http://schemas.openxmlformats.org/officeDocument/2006/relationships/image" Target="media/image60.png"/><Relationship Id="rId543" Type="http://schemas.openxmlformats.org/officeDocument/2006/relationships/hyperlink" Target="https://www.microsoft.com/ai/responsible-ai" TargetMode="External"/><Relationship Id="rId75" Type="http://schemas.openxmlformats.org/officeDocument/2006/relationships/hyperlink" Target="mailto:MVRadchenko@fa.ru" TargetMode="External"/><Relationship Id="rId140" Type="http://schemas.openxmlformats.org/officeDocument/2006/relationships/hyperlink" Target="https://minfin.gov.ru/ru/perfomance/public_debt" TargetMode="External"/><Relationship Id="rId182" Type="http://schemas.openxmlformats.org/officeDocument/2006/relationships/hyperlink" Target="https://www.consultant.ru/document/cons_doc_LAW_314504/e85329935d101f314ccdaedbe8b25f1be3b390a1/" TargetMode="External"/><Relationship Id="rId378" Type="http://schemas.openxmlformats.org/officeDocument/2006/relationships/hyperlink" Target="https://ai.gov.ru/knowledgebase/infrastruktura-ii/2023_iskusstvennyy_intellekt_v_rossii_2023_trendy_i_perspektivy_ykov_i_partnery_yandeks/" TargetMode="External"/><Relationship Id="rId403" Type="http://schemas.openxmlformats.org/officeDocument/2006/relationships/hyperlink" Target="https://elibrary.ru/item.asp?id=80337119" TargetMode="External"/><Relationship Id="rId585" Type="http://schemas.openxmlformats.org/officeDocument/2006/relationships/hyperlink" Target="https://www.bitrix24.ru/journal/vnedrenie-&#160;agile/?utm_medium=referral&amp;utm_campaign=sharing" TargetMode="External"/><Relationship Id="rId6" Type="http://schemas.openxmlformats.org/officeDocument/2006/relationships/footnotes" Target="footnotes.xml"/><Relationship Id="rId238" Type="http://schemas.openxmlformats.org/officeDocument/2006/relationships/hyperlink" Target="mailto:maslakova298@gmail.com" TargetMode="External"/><Relationship Id="rId445" Type="http://schemas.openxmlformats.org/officeDocument/2006/relationships/image" Target="media/image38.png"/><Relationship Id="rId487" Type="http://schemas.openxmlformats.org/officeDocument/2006/relationships/image" Target="media/image46.png"/><Relationship Id="rId610" Type="http://schemas.openxmlformats.org/officeDocument/2006/relationships/hyperlink" Target="https://cyberleninka.ru/article/n/rol-reklamy-v-marketinge?ysclid=m9ireaunt1534134325" TargetMode="External"/><Relationship Id="rId652" Type="http://schemas.openxmlformats.org/officeDocument/2006/relationships/image" Target="media/image77.png"/><Relationship Id="rId694" Type="http://schemas.openxmlformats.org/officeDocument/2006/relationships/hyperlink" Target="mailto:AGRubin@fa.ru" TargetMode="External"/><Relationship Id="rId708" Type="http://schemas.openxmlformats.org/officeDocument/2006/relationships/hyperlink" Target="https://investors.ebayinc.com/financial-information/annual-reports/default.aspx" TargetMode="External"/><Relationship Id="rId291" Type="http://schemas.openxmlformats.org/officeDocument/2006/relationships/hyperlink" Target="https://data.tedo.ru/publications/ai-hr-2024.pdf" TargetMode="External"/><Relationship Id="rId305" Type="http://schemas.openxmlformats.org/officeDocument/2006/relationships/hyperlink" Target="https://urait.ru/bcode/568047" TargetMode="External"/><Relationship Id="rId347" Type="http://schemas.openxmlformats.org/officeDocument/2006/relationships/hyperlink" Target="mailto:mari.0608@bk.ru" TargetMode="External"/><Relationship Id="rId512" Type="http://schemas.openxmlformats.org/officeDocument/2006/relationships/hyperlink" Target="mailto:%20vlad.potapov.2018@yandex.ru" TargetMode="External"/><Relationship Id="rId44" Type="http://schemas.openxmlformats.org/officeDocument/2006/relationships/hyperlink" Target="tel:SIBerlin@fa.ru" TargetMode="External"/><Relationship Id="rId86" Type="http://schemas.openxmlformats.org/officeDocument/2006/relationships/hyperlink" Target="mailto:SIBerlin@fa.ru" TargetMode="External"/><Relationship Id="rId151" Type="http://schemas.openxmlformats.org/officeDocument/2006/relationships/hyperlink" Target="https://www.ifrs.org/issued-standards/list-of-standards/ias-8-basis-of-preparation-of-financial-statements" TargetMode="External"/><Relationship Id="rId389" Type="http://schemas.openxmlformats.org/officeDocument/2006/relationships/hyperlink" Target="https://mts-link.ru/blog/proktoring/" TargetMode="External"/><Relationship Id="rId554" Type="http://schemas.openxmlformats.org/officeDocument/2006/relationships/hyperlink" Target="https://www.jdpower.com/business/press-releases/2022-us-retail-banking-satisfaction-study" TargetMode="External"/><Relationship Id="rId596" Type="http://schemas.openxmlformats.org/officeDocument/2006/relationships/image" Target="media/image67.png"/><Relationship Id="rId193" Type="http://schemas.openxmlformats.org/officeDocument/2006/relationships/hyperlink" Target="https://minfin.gov.ru" TargetMode="External"/><Relationship Id="rId207" Type="http://schemas.openxmlformats.org/officeDocument/2006/relationships/hyperlink" Target="https://www.consultant.ru/document/cons_doc_LAW_122855/" TargetMode="External"/><Relationship Id="rId249" Type="http://schemas.openxmlformats.org/officeDocument/2006/relationships/image" Target="media/image14.png"/><Relationship Id="rId414" Type="http://schemas.openxmlformats.org/officeDocument/2006/relationships/hyperlink" Target="https://www.mdpi.com/2076-3417/15/3/1012" TargetMode="External"/><Relationship Id="rId456" Type="http://schemas.openxmlformats.org/officeDocument/2006/relationships/hyperlink" Target="https://www.elibrary.ru/item.asp?id=59691592" TargetMode="External"/><Relationship Id="rId498" Type="http://schemas.openxmlformats.org/officeDocument/2006/relationships/image" Target="media/image57.png"/><Relationship Id="rId621" Type="http://schemas.openxmlformats.org/officeDocument/2006/relationships/hyperlink" Target="https://cbr.ru/" TargetMode="External"/><Relationship Id="rId663" Type="http://schemas.openxmlformats.org/officeDocument/2006/relationships/hyperlink" Target="https://www.rbc.ru/newspaper/2023/06/20/648b0a599a79475517072527" TargetMode="External"/><Relationship Id="rId13" Type="http://schemas.openxmlformats.org/officeDocument/2006/relationships/image" Target="media/image2.png"/><Relationship Id="rId109" Type="http://schemas.openxmlformats.org/officeDocument/2006/relationships/hyperlink" Target="mailto:darva.pan.chen.ko@mail.ru" TargetMode="External"/><Relationship Id="rId260" Type="http://schemas.openxmlformats.org/officeDocument/2006/relationships/hyperlink" Target="https://cbr.ru/press/event/?id=23262" TargetMode="External"/><Relationship Id="rId316" Type="http://schemas.openxmlformats.org/officeDocument/2006/relationships/hyperlink" Target="mailto:krilosovadaria2002@gmail.com" TargetMode="External"/><Relationship Id="rId523" Type="http://schemas.openxmlformats.org/officeDocument/2006/relationships/hyperlink" Target="mailto:NYUNaryzhnaya@fa.ru" TargetMode="External"/><Relationship Id="rId719" Type="http://schemas.openxmlformats.org/officeDocument/2006/relationships/hyperlink" Target="mailto:SKGuchetl@fa.ru" TargetMode="External"/><Relationship Id="rId55" Type="http://schemas.openxmlformats.org/officeDocument/2006/relationships/hyperlink" Target="mailto:100dot13sl220177@edu.fa.ru" TargetMode="External"/><Relationship Id="rId97" Type="http://schemas.openxmlformats.org/officeDocument/2006/relationships/hyperlink" Target="https://cyberleninka.ru/article/n/prognozirovaniya-bankrotstva-predpriyatiy-s-ispolzovaniem-iskusstvennogo-intellekta" TargetMode="External"/><Relationship Id="rId120" Type="http://schemas.openxmlformats.org/officeDocument/2006/relationships/hyperlink" Target="http://www.consultant.ru" TargetMode="External"/><Relationship Id="rId358" Type="http://schemas.openxmlformats.org/officeDocument/2006/relationships/hyperlink" Target="mailto:marijajureva@lenta.ru" TargetMode="External"/><Relationship Id="rId565" Type="http://schemas.openxmlformats.org/officeDocument/2006/relationships/hyperlink" Target="mailto:zedftom2005@gmail.com" TargetMode="External"/><Relationship Id="rId162" Type="http://schemas.openxmlformats.org/officeDocument/2006/relationships/chart" Target="charts/chart8.xml"/><Relationship Id="rId218" Type="http://schemas.openxmlformats.org/officeDocument/2006/relationships/hyperlink" Target="mailto:100dot13sl220168@edu.fa.ru" TargetMode="External"/><Relationship Id="rId425" Type="http://schemas.openxmlformats.org/officeDocument/2006/relationships/hyperlink" Target="https://cyberleninka.ru/article/n/ponyatie-blokcheyn-i-vozmozhnosti-ego-ispolzovaniya/viewer" TargetMode="External"/><Relationship Id="rId467" Type="http://schemas.openxmlformats.org/officeDocument/2006/relationships/hyperlink" Target="https://scientificpython.readthedocs.io/en/latest/notebooks_rst/3_Ordinary_Differential_Equations/02_Examples/Epidemic_model_SIR.html" TargetMode="External"/><Relationship Id="rId632" Type="http://schemas.openxmlformats.org/officeDocument/2006/relationships/hyperlink" Target="https://learn.microsoft.com/ru-ru/power-bi/fundamentals/desktop-getting-started" TargetMode="External"/><Relationship Id="rId271" Type="http://schemas.openxmlformats.org/officeDocument/2006/relationships/hyperlink" Target="mailto:100dot13sl220160@edu.fa.ru" TargetMode="External"/><Relationship Id="rId674" Type="http://schemas.openxmlformats.org/officeDocument/2006/relationships/hyperlink" Target="mailto:SIBerlin@fa.ru" TargetMode="External"/><Relationship Id="rId24" Type="http://schemas.openxmlformats.org/officeDocument/2006/relationships/hyperlink" Target="https://www.worldbank.org/" TargetMode="External"/><Relationship Id="rId66" Type="http://schemas.openxmlformats.org/officeDocument/2006/relationships/hyperlink" Target="mailto:slazareva0106@gmail.com" TargetMode="External"/><Relationship Id="rId131" Type="http://schemas.openxmlformats.org/officeDocument/2006/relationships/hyperlink" Target="mailto:angel.tchernushkina@yandex.ru" TargetMode="External"/><Relationship Id="rId327" Type="http://schemas.openxmlformats.org/officeDocument/2006/relationships/hyperlink" Target="mailto:AYUArtyushkova@fa.ru" TargetMode="External"/><Relationship Id="rId369" Type="http://schemas.openxmlformats.org/officeDocument/2006/relationships/hyperlink" Target="https://softline.ru/about/blog/kak-iskusstvennyj-intellekt-menyaet-sferu-obrazovaniya%20" TargetMode="External"/><Relationship Id="rId534" Type="http://schemas.openxmlformats.org/officeDocument/2006/relationships/hyperlink" Target="https://www.slowmist.com/" TargetMode="External"/><Relationship Id="rId576" Type="http://schemas.openxmlformats.org/officeDocument/2006/relationships/hyperlink" Target="https://cyberleninka.ru/article/n/sovremennoe-sostoyanie-strahovogo-rynka-v-rossiyskoy-federatsii-pod-vliyaniem-moshennichestva?ysclid=magw4227bc535011423" TargetMode="External"/><Relationship Id="rId173" Type="http://schemas.openxmlformats.org/officeDocument/2006/relationships/hyperlink" Target="https://minfin.gov.ru/ru/document?id_4=63366-pz_-_32024_ob_uproshchennoi_sisteme_bukhgalterskogo_ucheta_vklyuchaya_bukhgalterskuyu_finansovuyu_otchetnost" TargetMode="External"/><Relationship Id="rId229" Type="http://schemas.openxmlformats.org/officeDocument/2006/relationships/hyperlink" Target="file:///C:\Users\PC100\Downloads\koxdanil@yandex.ru" TargetMode="External"/><Relationship Id="rId380" Type="http://schemas.openxmlformats.org/officeDocument/2006/relationships/hyperlink" Target="mailto:apachizzz2004@mail.ru" TargetMode="External"/><Relationship Id="rId436" Type="http://schemas.openxmlformats.org/officeDocument/2006/relationships/image" Target="media/image32.png"/><Relationship Id="rId601" Type="http://schemas.openxmlformats.org/officeDocument/2006/relationships/hyperlink" Target="mailto:fent.reactor228@outlook.com" TargetMode="External"/><Relationship Id="rId643" Type="http://schemas.openxmlformats.org/officeDocument/2006/relationships/hyperlink" Target="https://www.prosv.ru/books/fizkultura-sport-obrazovanie-2022" TargetMode="External"/><Relationship Id="rId240" Type="http://schemas.openxmlformats.org/officeDocument/2006/relationships/hyperlink" Target="mailto:UYURoschektaeva@fa.ru" TargetMode="External"/><Relationship Id="rId478" Type="http://schemas.openxmlformats.org/officeDocument/2006/relationships/hyperlink" Target="mailto:MSDyudin@fa.ru" TargetMode="External"/><Relationship Id="rId685" Type="http://schemas.openxmlformats.org/officeDocument/2006/relationships/hyperlink" Target="mailto:vladimirplaxin@rambler.ru" TargetMode="External"/><Relationship Id="rId35" Type="http://schemas.openxmlformats.org/officeDocument/2006/relationships/hyperlink" Target="mailto:Bogdamash14085@gmail.com" TargetMode="External"/><Relationship Id="rId77" Type="http://schemas.openxmlformats.org/officeDocument/2006/relationships/hyperlink" Target="mailto:mvradchenco@fa.ru" TargetMode="External"/><Relationship Id="rId100" Type="http://schemas.openxmlformats.org/officeDocument/2006/relationships/hyperlink" Target="mailto:MVRadchenko@fa.ru" TargetMode="External"/><Relationship Id="rId282" Type="http://schemas.openxmlformats.org/officeDocument/2006/relationships/hyperlink" Target="https://buhexpert8.ru/zkn-bu/podotchet-buhuchet/podotchetnye-litsa-kto-eto-i-kak-vesti-s-nimi-raschety.html" TargetMode="External"/><Relationship Id="rId338" Type="http://schemas.openxmlformats.org/officeDocument/2006/relationships/hyperlink" Target="mailto:NNGribok@fa.ru" TargetMode="External"/><Relationship Id="rId503" Type="http://schemas.openxmlformats.org/officeDocument/2006/relationships/image" Target="media/image62.png"/><Relationship Id="rId545" Type="http://schemas.openxmlformats.org/officeDocument/2006/relationships/hyperlink" Target="mailto:NGPyankova@fa.ru" TargetMode="External"/><Relationship Id="rId587" Type="http://schemas.openxmlformats.org/officeDocument/2006/relationships/hyperlink" Target="mailto:vonilovichsasha@gmail.com" TargetMode="External"/><Relationship Id="rId710" Type="http://schemas.openxmlformats.org/officeDocument/2006/relationships/hyperlink" Target="https://issek.hse.ru/news/802513370.html" TargetMode="External"/><Relationship Id="rId8" Type="http://schemas.openxmlformats.org/officeDocument/2006/relationships/hyperlink" Target="mailto:N_Andreeva30@mail.ru" TargetMode="External"/><Relationship Id="rId142" Type="http://schemas.openxmlformats.org/officeDocument/2006/relationships/hyperlink" Target="https://cbr.ru/statistics/macro_itm/external_sector/ed/" TargetMode="External"/><Relationship Id="rId184" Type="http://schemas.openxmlformats.org/officeDocument/2006/relationships/hyperlink" Target="https://www.klerk.ru/user/2485581/629273/" TargetMode="External"/><Relationship Id="rId391" Type="http://schemas.openxmlformats.org/officeDocument/2006/relationships/hyperlink" Target="https://cyberleninka.ru/article/n/iskusstvennyy-intellekt-v-obrazovanii-vozmozhnosti-i-riski/viewer" TargetMode="External"/><Relationship Id="rId405" Type="http://schemas.openxmlformats.org/officeDocument/2006/relationships/hyperlink" Target="https://www.researchandmarkets.com/reports/1244811/mmog_massively_multiplayer_online_games" TargetMode="External"/><Relationship Id="rId447" Type="http://schemas.openxmlformats.org/officeDocument/2006/relationships/hyperlink" Target="https://habr.com/ru/companies/skillfactory/articles/585182/" TargetMode="External"/><Relationship Id="rId612" Type="http://schemas.openxmlformats.org/officeDocument/2006/relationships/hyperlink" Target="https://sinus-journal.ru/wp-content/uploads/2024/06/02001.pdf" TargetMode="External"/><Relationship Id="rId251" Type="http://schemas.openxmlformats.org/officeDocument/2006/relationships/hyperlink" Target="https://www.consultant.ru/document/cons_doc_LAW_122855/" TargetMode="External"/><Relationship Id="rId489" Type="http://schemas.openxmlformats.org/officeDocument/2006/relationships/image" Target="media/image48.png"/><Relationship Id="rId654" Type="http://schemas.openxmlformats.org/officeDocument/2006/relationships/hyperlink" Target="mailto:helen_04_d@mail.ru" TargetMode="External"/><Relationship Id="rId696" Type="http://schemas.openxmlformats.org/officeDocument/2006/relationships/hyperlink" Target="https://data.tedo.ru/publications/ai-hr-2024.pdf" TargetMode="External"/><Relationship Id="rId46" Type="http://schemas.openxmlformats.org/officeDocument/2006/relationships/chart" Target="charts/chart3.xml"/><Relationship Id="rId293" Type="http://schemas.openxmlformats.org/officeDocument/2006/relationships/hyperlink" Target="https://nafi.ru/analytics/kazhdyy-tretiy-predstavitel-msp-ispolzuet-iskusstvennyy-intellekt-v-rabote" TargetMode="External"/><Relationship Id="rId307" Type="http://schemas.openxmlformats.org/officeDocument/2006/relationships/hyperlink" Target="mailto:ver.korobko@gmail.com" TargetMode="External"/><Relationship Id="rId349" Type="http://schemas.openxmlformats.org/officeDocument/2006/relationships/hyperlink" Target="https://repo.ssau.ru/bitstream/Uchebnye-izdaniya/Emocionalnyi-intellekt-instrumenty-razvitiya-99069/1/978-5-7883-1778-6_2022.pdf" TargetMode="External"/><Relationship Id="rId514" Type="http://schemas.openxmlformats.org/officeDocument/2006/relationships/hyperlink" Target="mailto:vlad.potapov.2018@yandex.ru" TargetMode="External"/><Relationship Id="rId556" Type="http://schemas.openxmlformats.org/officeDocument/2006/relationships/hyperlink" Target="mailto:sinister2003@rambler.ru" TargetMode="External"/><Relationship Id="rId721" Type="http://schemas.openxmlformats.org/officeDocument/2006/relationships/hyperlink" Target="mailto:marijajureva@lenta.ru" TargetMode="External"/><Relationship Id="rId88" Type="http://schemas.openxmlformats.org/officeDocument/2006/relationships/hyperlink" Target="mailto:SIBerlin@fa.ru" TargetMode="External"/><Relationship Id="rId111" Type="http://schemas.openxmlformats.org/officeDocument/2006/relationships/hyperlink" Target="https://www.economy.gov.ru/material/directions/np_effektivnaya_i_konkurentnaya_ekonomika/fp_razvitie_finansovogo_rynka" TargetMode="External"/><Relationship Id="rId153" Type="http://schemas.openxmlformats.org/officeDocument/2006/relationships/hyperlink" Target="https://minfin.gov.ru/ru/document?id_4=304151-prikaz_minfina_rossii_ot_13.09.2023__144n_o_vnesenii_izmenenii_v_federalnyi_standart_bukhgalterskogo_ucheta_dlya_organizatsii_gosudarstvennogo_sektora_uchetnaya_politika_otsenochnye_znacheniya_i_oshibki_utverzhdennyi_prikazom_ministerstva_finansov_rossiiskoi_federatsii_ot_30_dekabrya_2017_g.__274n" TargetMode="External"/><Relationship Id="rId195" Type="http://schemas.openxmlformats.org/officeDocument/2006/relationships/hyperlink" Target="https://www.worldbank.org" TargetMode="External"/><Relationship Id="rId209" Type="http://schemas.openxmlformats.org/officeDocument/2006/relationships/hyperlink" Target="mailto:MVRadchenko@fa.ru" TargetMode="External"/><Relationship Id="rId360" Type="http://schemas.openxmlformats.org/officeDocument/2006/relationships/hyperlink" Target="tel:MVMazunina@fa.ru" TargetMode="External"/><Relationship Id="rId416" Type="http://schemas.openxmlformats.org/officeDocument/2006/relationships/hyperlink" Target="https://fto.com.ru/blog/skolko-stoit-vnedrit-bi-v-2024-godu/" TargetMode="External"/><Relationship Id="rId598" Type="http://schemas.openxmlformats.org/officeDocument/2006/relationships/hyperlink" Target="https://www.upgrad.com/blog/artificial-intelligence-in-banking/" TargetMode="External"/><Relationship Id="rId220" Type="http://schemas.openxmlformats.org/officeDocument/2006/relationships/hyperlink" Target="mailto:100dot13sl220176@edu.fa.ru" TargetMode="External"/><Relationship Id="rId458" Type="http://schemas.openxmlformats.org/officeDocument/2006/relationships/hyperlink" Target="https://www.elibrary.ru/contents.asp?id=59691532&amp;selid=59691592" TargetMode="External"/><Relationship Id="rId623" Type="http://schemas.openxmlformats.org/officeDocument/2006/relationships/hyperlink" Target="https://www.theice.com/" TargetMode="External"/><Relationship Id="rId665" Type="http://schemas.openxmlformats.org/officeDocument/2006/relationships/hyperlink" Target="mailto:soilvona@gmail.com" TargetMode="External"/><Relationship Id="rId15" Type="http://schemas.openxmlformats.org/officeDocument/2006/relationships/hyperlink" Target="https://rmsp.nalog.ru/" TargetMode="External"/><Relationship Id="rId57" Type="http://schemas.openxmlformats.org/officeDocument/2006/relationships/hyperlink" Target="https://indpages.ru/logistics/trendy-logistiki-prognoz-na-2025-god/" TargetMode="External"/><Relationship Id="rId262" Type="http://schemas.openxmlformats.org/officeDocument/2006/relationships/hyperlink" Target="mailto:100dot13sl220166@edu.fa.ru" TargetMode="External"/><Relationship Id="rId318" Type="http://schemas.openxmlformats.org/officeDocument/2006/relationships/hyperlink" Target="mailto:z-gribok@yandex.ru" TargetMode="External"/><Relationship Id="rId525" Type="http://schemas.openxmlformats.org/officeDocument/2006/relationships/hyperlink" Target="https://etherscan.io/" TargetMode="External"/><Relationship Id="rId567" Type="http://schemas.openxmlformats.org/officeDocument/2006/relationships/hyperlink" Target="https://cyberleninka.ru/article/n/obzor-ispolzovaniya-iskusstvennogo-intellekta-v-obnaruzhenii-finansovogo-moshennichestva?ysclid=magus3hhls910869983" TargetMode="External"/><Relationship Id="rId99" Type="http://schemas.openxmlformats.org/officeDocument/2006/relationships/hyperlink" Target="https://cyberleninka.ru/article/n/otsenka-i-analiz-riska-bankrotstva-s-ispolzovaniem-decision-tree-modeli-mashinnogo-obucheniya" TargetMode="External"/><Relationship Id="rId122" Type="http://schemas.openxmlformats.org/officeDocument/2006/relationships/hyperlink" Target="mailto:MVRadchenko@fa.ru" TargetMode="External"/><Relationship Id="rId164" Type="http://schemas.openxmlformats.org/officeDocument/2006/relationships/chart" Target="charts/chart10.xml"/><Relationship Id="rId371" Type="http://schemas.openxmlformats.org/officeDocument/2006/relationships/hyperlink" Target="https://education.illinois.edu/about/news-events/news/article/2024/10/24/ai-in-schools--pros-and-cons" TargetMode="External"/><Relationship Id="rId427" Type="http://schemas.openxmlformats.org/officeDocument/2006/relationships/hyperlink" Target="https://habr.com/ru/companies/netologyru/articles/586740/" TargetMode="External"/><Relationship Id="rId469" Type="http://schemas.openxmlformats.org/officeDocument/2006/relationships/hyperlink" Target="mailto:100DOT13SL230101@edu.fa.ru" TargetMode="External"/><Relationship Id="rId634" Type="http://schemas.openxmlformats.org/officeDocument/2006/relationships/hyperlink" Target="mailto:danyahayakawa@mail.ru" TargetMode="External"/><Relationship Id="rId676" Type="http://schemas.openxmlformats.org/officeDocument/2006/relationships/hyperlink" Target="mailto:SIBerlin@fa.ru" TargetMode="External"/><Relationship Id="rId26" Type="http://schemas.openxmlformats.org/officeDocument/2006/relationships/hyperlink" Target="mailto:SIBerlin@fa.ru" TargetMode="External"/><Relationship Id="rId231" Type="http://schemas.openxmlformats.org/officeDocument/2006/relationships/hyperlink" Target="file:///C:\Users\PC100\Downloads\koxdanil@yandex.ru" TargetMode="External"/><Relationship Id="rId273" Type="http://schemas.openxmlformats.org/officeDocument/2006/relationships/hyperlink" Target="https://minfin.gov.ru/ru/document?id_4=306759" TargetMode="External"/><Relationship Id="rId329" Type="http://schemas.openxmlformats.org/officeDocument/2006/relationships/hyperlink" Target="mailto:mvmazunina@fa.ru%20" TargetMode="External"/><Relationship Id="rId480" Type="http://schemas.openxmlformats.org/officeDocument/2006/relationships/image" Target="media/image43.png"/><Relationship Id="rId536" Type="http://schemas.openxmlformats.org/officeDocument/2006/relationships/hyperlink" Target="mailto:14-14-2014@mail.ru" TargetMode="External"/><Relationship Id="rId701" Type="http://schemas.openxmlformats.org/officeDocument/2006/relationships/hyperlink" Target="mailto:sof-guchetl@ya.ru" TargetMode="External"/><Relationship Id="rId68" Type="http://schemas.openxmlformats.org/officeDocument/2006/relationships/hyperlink" Target="mailto:slazareva0106@gmail.com" TargetMode="External"/><Relationship Id="rId133" Type="http://schemas.openxmlformats.org/officeDocument/2006/relationships/hyperlink" Target="https://minfin.gov.ru/ru/document/?id_4=121810proekt_federalnogo_zakona_o_tsifrovykh_finansovykh_aktivakh" TargetMode="External"/><Relationship Id="rId175" Type="http://schemas.openxmlformats.org/officeDocument/2006/relationships/hyperlink" Target="mailto:100dot13sl220171@edu.fa.ru" TargetMode="External"/><Relationship Id="rId340" Type="http://schemas.openxmlformats.org/officeDocument/2006/relationships/hyperlink" Target="https://dic.academic.ru" TargetMode="External"/><Relationship Id="rId578" Type="http://schemas.openxmlformats.org/officeDocument/2006/relationships/hyperlink" Target="tel:SAArefeva@fa.ru" TargetMode="External"/><Relationship Id="rId200" Type="http://schemas.openxmlformats.org/officeDocument/2006/relationships/hyperlink" Target="https://www.berator.ru/info/2080087/" TargetMode="External"/><Relationship Id="rId382" Type="http://schemas.openxmlformats.org/officeDocument/2006/relationships/hyperlink" Target="https://www.rbc.ru/technology_and_media/15/02/2021/60268c429a794755820e9694" TargetMode="External"/><Relationship Id="rId438" Type="http://schemas.openxmlformats.org/officeDocument/2006/relationships/chart" Target="charts/chart12.xml"/><Relationship Id="rId603" Type="http://schemas.openxmlformats.org/officeDocument/2006/relationships/hyperlink" Target="mailto:popugan2013@gmail.com" TargetMode="External"/><Relationship Id="rId645" Type="http://schemas.openxmlformats.org/officeDocument/2006/relationships/hyperlink" Target="mailto:100dot13sl240242@edu.fa.ru" TargetMode="External"/><Relationship Id="rId687" Type="http://schemas.openxmlformats.org/officeDocument/2006/relationships/hyperlink" Target="https://cyberleninka.ru/article/n/realizatsiya-stilisticheskogo-potentsiala-angloyazychnyh-reklamnyh-sloganov-v-internet-diskurse" TargetMode="External"/><Relationship Id="rId242" Type="http://schemas.openxmlformats.org/officeDocument/2006/relationships/hyperlink" Target="mailto:gaagrit@gmail.com" TargetMode="External"/><Relationship Id="rId284" Type="http://schemas.openxmlformats.org/officeDocument/2006/relationships/hyperlink" Target="https://www.accountingtools.com/articles/how-do-i-record-an-advance-to-an-employee.html" TargetMode="External"/><Relationship Id="rId491" Type="http://schemas.openxmlformats.org/officeDocument/2006/relationships/image" Target="media/image50.png"/><Relationship Id="rId505" Type="http://schemas.openxmlformats.org/officeDocument/2006/relationships/hyperlink" Target="https://www.it-world.ru/tech/dd0wuj9kdjsccc48gw0s0cwkckgsccg.html" TargetMode="External"/><Relationship Id="rId712" Type="http://schemas.openxmlformats.org/officeDocument/2006/relationships/hyperlink" Target="mailto:kuzmenko.angelina.v@mail.ru" TargetMode="External"/><Relationship Id="rId37" Type="http://schemas.openxmlformats.org/officeDocument/2006/relationships/hyperlink" Target="mailto:Bogdamash14085@gmail.com" TargetMode="External"/><Relationship Id="rId79" Type="http://schemas.openxmlformats.org/officeDocument/2006/relationships/hyperlink" Target="mailto:mvradchenco@fa.ru" TargetMode="External"/><Relationship Id="rId102" Type="http://schemas.openxmlformats.org/officeDocument/2006/relationships/hyperlink" Target="mailto:MADobrunova@fa.ru" TargetMode="External"/><Relationship Id="rId144" Type="http://schemas.openxmlformats.org/officeDocument/2006/relationships/hyperlink" Target="mailto:100dot13sl220327@edu.fa.ru" TargetMode="External"/><Relationship Id="rId547" Type="http://schemas.openxmlformats.org/officeDocument/2006/relationships/hyperlink" Target="mailto:NGPyankova@fa.ru" TargetMode="External"/><Relationship Id="rId589" Type="http://schemas.openxmlformats.org/officeDocument/2006/relationships/hyperlink" Target="mailto:vonilovichsasha@gmail.com" TargetMode="External"/><Relationship Id="rId90" Type="http://schemas.openxmlformats.org/officeDocument/2006/relationships/hyperlink" Target="mailto:maslakova298@gmail.com" TargetMode="External"/><Relationship Id="rId186" Type="http://schemas.openxmlformats.org/officeDocument/2006/relationships/hyperlink" Target="https://buhexpert8.ru/1s-buhgalteriya/osnovnye-sredstva/fsbu-6-2020-26-2020-os/kak-pri-alternativnom-perehode-na-fsbu-6-2020-podgotovitsya-k-vvodu-ostatkov-os-v-1s.html" TargetMode="External"/><Relationship Id="rId351" Type="http://schemas.openxmlformats.org/officeDocument/2006/relationships/hyperlink" Target="mailto:sonya.soboleva.2005@gmail.com" TargetMode="External"/><Relationship Id="rId393" Type="http://schemas.openxmlformats.org/officeDocument/2006/relationships/hyperlink" Target="mailto:MSDyudin@fa.ru" TargetMode="External"/><Relationship Id="rId407" Type="http://schemas.openxmlformats.org/officeDocument/2006/relationships/hyperlink" Target="mailto:uyuroschektaeva@fa.ru" TargetMode="External"/><Relationship Id="rId449" Type="http://schemas.openxmlformats.org/officeDocument/2006/relationships/hyperlink" Target="mailto:nataliabarmina2@gmail.com" TargetMode="External"/><Relationship Id="rId614" Type="http://schemas.openxmlformats.org/officeDocument/2006/relationships/hyperlink" Target="https://ppc.world/articles/auditoriya-devyati-krupneyshih-socsetey-v-rossii-v-2024-godu-issledovaniya-i-cifry/" TargetMode="External"/><Relationship Id="rId656" Type="http://schemas.openxmlformats.org/officeDocument/2006/relationships/image" Target="media/image79.png"/><Relationship Id="rId211" Type="http://schemas.openxmlformats.org/officeDocument/2006/relationships/hyperlink" Target="mailto:dacham04@gmail.com" TargetMode="External"/><Relationship Id="rId253" Type="http://schemas.openxmlformats.org/officeDocument/2006/relationships/hyperlink" Target="http://www.testfirm.ru" TargetMode="External"/><Relationship Id="rId295" Type="http://schemas.openxmlformats.org/officeDocument/2006/relationships/hyperlink" Target="mailto:newpda985@gmail.com" TargetMode="External"/><Relationship Id="rId309" Type="http://schemas.openxmlformats.org/officeDocument/2006/relationships/hyperlink" Target="mailto:ver.korobko@gmail.com" TargetMode="External"/><Relationship Id="rId460" Type="http://schemas.openxmlformats.org/officeDocument/2006/relationships/hyperlink" Target="mailto:NGPyankova@fa.ru" TargetMode="External"/><Relationship Id="rId516" Type="http://schemas.openxmlformats.org/officeDocument/2006/relationships/hyperlink" Target="mailto:v1-ka@mail.ru" TargetMode="External"/><Relationship Id="rId698" Type="http://schemas.openxmlformats.org/officeDocument/2006/relationships/hyperlink" Target="https://nafi.ru/analytics/kazhdyy-tretiy-predstavitel-msp-ispolzuet-iskusstvennyy-intellekt-v-rabote/" TargetMode="External"/><Relationship Id="rId48" Type="http://schemas.openxmlformats.org/officeDocument/2006/relationships/hyperlink" Target="mailto:K0rneeva-VA@yandex.ru" TargetMode="External"/><Relationship Id="rId113" Type="http://schemas.openxmlformats.org/officeDocument/2006/relationships/hyperlink" Target="https://realty.rbc.ru/news/6383c3b09a7947fafead6e5f" TargetMode="External"/><Relationship Id="rId320" Type="http://schemas.openxmlformats.org/officeDocument/2006/relationships/hyperlink" Target="mailto:kuzmenko.angelina.v@mail.ru" TargetMode="External"/><Relationship Id="rId558" Type="http://schemas.openxmlformats.org/officeDocument/2006/relationships/hyperlink" Target="mailto:sinister2003@rambler.ru" TargetMode="External"/><Relationship Id="rId723" Type="http://schemas.openxmlformats.org/officeDocument/2006/relationships/hyperlink" Target="mailto:marijajureva@lenta.ru" TargetMode="External"/><Relationship Id="rId155" Type="http://schemas.openxmlformats.org/officeDocument/2006/relationships/hyperlink" Target="mailto:N_Andreeva30@mail.ru" TargetMode="External"/><Relationship Id="rId197" Type="http://schemas.openxmlformats.org/officeDocument/2006/relationships/hyperlink" Target="mailto:uyuroschektaeva@fa.ru" TargetMode="External"/><Relationship Id="rId362" Type="http://schemas.openxmlformats.org/officeDocument/2006/relationships/image" Target="media/image27.png"/><Relationship Id="rId418" Type="http://schemas.openxmlformats.org/officeDocument/2006/relationships/hyperlink" Target="mailto:NYUNaryzhnaya@fa.ru" TargetMode="External"/><Relationship Id="rId625" Type="http://schemas.openxmlformats.org/officeDocument/2006/relationships/hyperlink" Target="https://www.cisco.com/c/dam/m/ru_ru/training-events/2017/cisco-connect/pdf/16_45-17_45-Aleksey_Lukackiy%20Informacionnaya_bezopasnosto_Industrial_IoT_mirovye_tendencii_i_rossiyskie_realii.pdf" TargetMode="External"/><Relationship Id="rId222" Type="http://schemas.openxmlformats.org/officeDocument/2006/relationships/hyperlink" Target="https://companies.rbc.ru/news/wJtg3EDNbY/kak-izmenilas-rossijskaya-farmindustriya-za-poslednie-godyi-opyit-gerofarm/" TargetMode="External"/><Relationship Id="rId264" Type="http://schemas.openxmlformats.org/officeDocument/2006/relationships/hyperlink" Target="mailto:100dot13sl220166@edu.fa.ru" TargetMode="External"/><Relationship Id="rId471" Type="http://schemas.openxmlformats.org/officeDocument/2006/relationships/hyperlink" Target="mailto:100DOT13SL230101@edu.fa.ru" TargetMode="External"/><Relationship Id="rId667" Type="http://schemas.openxmlformats.org/officeDocument/2006/relationships/hyperlink" Target="mailto:elenalagoshina12@gmail.com" TargetMode="External"/><Relationship Id="rId17" Type="http://schemas.openxmlformats.org/officeDocument/2006/relationships/hyperlink" Target="https://&#1084;&#1089;&#1087;.&#1088;&#1092;/services/news/detail/maliy-i-sredniy-biznes-chto-eto-i-v-chem-otliche/" TargetMode="External"/><Relationship Id="rId59" Type="http://schemas.openxmlformats.org/officeDocument/2006/relationships/hyperlink" Target="https://blog.iteam.ru/protsessno-orientirovannoe-vnedrenie-erp-sistem/" TargetMode="External"/><Relationship Id="rId124" Type="http://schemas.openxmlformats.org/officeDocument/2006/relationships/hyperlink" Target="mailto:VRMarkaryan@fa.ru" TargetMode="External"/><Relationship Id="rId527" Type="http://schemas.openxmlformats.org/officeDocument/2006/relationships/hyperlink" Target="https://blockchair.com/" TargetMode="External"/><Relationship Id="rId569" Type="http://schemas.openxmlformats.org/officeDocument/2006/relationships/hyperlink" Target="https://cyberleninka.ru/article/n/vozmozhnosti-iskusstvennogo-intellekta-v-strahovanii?ysclid=magv2wymgp620287643" TargetMode="External"/><Relationship Id="rId70" Type="http://schemas.openxmlformats.org/officeDocument/2006/relationships/hyperlink" Target="mailto:PAProdolyatchenko@fa.ru" TargetMode="External"/><Relationship Id="rId166" Type="http://schemas.openxmlformats.org/officeDocument/2006/relationships/hyperlink" Target="https://clck.ru/3LgfiF" TargetMode="External"/><Relationship Id="rId331" Type="http://schemas.openxmlformats.org/officeDocument/2006/relationships/hyperlink" Target="mailto:obladaet123456789@mail.ru" TargetMode="External"/><Relationship Id="rId373" Type="http://schemas.openxmlformats.org/officeDocument/2006/relationships/hyperlink" Target="mailto:polina.berezovskaya2023@mail.ru" TargetMode="External"/><Relationship Id="rId429" Type="http://schemas.openxmlformats.org/officeDocument/2006/relationships/hyperlink" Target="https://habr.com/ru/companies/netologyru/articles/586740/" TargetMode="External"/><Relationship Id="rId580" Type="http://schemas.openxmlformats.org/officeDocument/2006/relationships/hyperlink" Target="tel:SAArefeva@fa.ru" TargetMode="External"/><Relationship Id="rId636" Type="http://schemas.openxmlformats.org/officeDocument/2006/relationships/hyperlink" Target="mailto:danyahayakawa@mail.ru" TargetMode="External"/><Relationship Id="rId1" Type="http://schemas.openxmlformats.org/officeDocument/2006/relationships/customXml" Target="../customXml/item1.xml"/><Relationship Id="rId233" Type="http://schemas.openxmlformats.org/officeDocument/2006/relationships/chart" Target="charts/chart11.xml"/><Relationship Id="rId440" Type="http://schemas.openxmlformats.org/officeDocument/2006/relationships/chart" Target="charts/chart14.xml"/><Relationship Id="rId678" Type="http://schemas.openxmlformats.org/officeDocument/2006/relationships/hyperlink" Target="https://alfabank.ru/alfa-investor/t/kuda-tekut-dengi-chastnyh-investorov/" TargetMode="External"/><Relationship Id="rId28" Type="http://schemas.openxmlformats.org/officeDocument/2006/relationships/image" Target="media/image3.png"/><Relationship Id="rId275" Type="http://schemas.openxmlformats.org/officeDocument/2006/relationships/hyperlink" Target="https://www.rosneft.ru/upload/site1/12m2024_RUS.pdf?ref=en.thebell.io" TargetMode="External"/><Relationship Id="rId300" Type="http://schemas.openxmlformats.org/officeDocument/2006/relationships/hyperlink" Target="mailto:markarianvr@gmail.com" TargetMode="External"/><Relationship Id="rId482" Type="http://schemas.openxmlformats.org/officeDocument/2006/relationships/hyperlink" Target="mailto:mash_a_zz@mail.ru" TargetMode="External"/><Relationship Id="rId538" Type="http://schemas.openxmlformats.org/officeDocument/2006/relationships/hyperlink" Target="mailto:NGPyankova@fa.ru" TargetMode="External"/><Relationship Id="rId703" Type="http://schemas.openxmlformats.org/officeDocument/2006/relationships/hyperlink" Target="mailto:iylipeeva@fa.ru" TargetMode="External"/><Relationship Id="rId81" Type="http://schemas.openxmlformats.org/officeDocument/2006/relationships/hyperlink" Target="https://study.garant.ru/" TargetMode="External"/><Relationship Id="rId135" Type="http://schemas.openxmlformats.org/officeDocument/2006/relationships/hyperlink" Target="mailto:100dot13sl240343@edu.fa.ru" TargetMode="External"/><Relationship Id="rId177" Type="http://schemas.openxmlformats.org/officeDocument/2006/relationships/hyperlink" Target="mailto:100dot13sl220171@edu.fa.ru" TargetMode="External"/><Relationship Id="rId342" Type="http://schemas.openxmlformats.org/officeDocument/2006/relationships/hyperlink" Target="https://trends.rbc.ru/trends/social/62bc4a7a9a79471dc5c169fa" TargetMode="External"/><Relationship Id="rId384" Type="http://schemas.openxmlformats.org/officeDocument/2006/relationships/hyperlink" Target="https://transport.mos.ru/bicycle/kickscooter_rent" TargetMode="External"/><Relationship Id="rId591" Type="http://schemas.openxmlformats.org/officeDocument/2006/relationships/image" Target="media/image65.jpeg"/><Relationship Id="rId605" Type="http://schemas.openxmlformats.org/officeDocument/2006/relationships/hyperlink" Target="mailto:popugan2013@gmail.com" TargetMode="External"/><Relationship Id="rId202" Type="http://schemas.openxmlformats.org/officeDocument/2006/relationships/hyperlink" Target="https://ru.wikisource.org/wiki/&#1055;&#1086;&#1083;&#1086;&#1078;&#1077;&#1085;&#1080;&#1077;_&#1087;&#1086;_&#1073;&#1091;&#1093;&#1075;&#1072;&#1083;&#1090;&#1077;&#1088;&#1089;&#1082;&#1086;&#1084;&#1091;_&#1091;&#1095;&#1105;&#1090;&#1091;_" TargetMode="External"/><Relationship Id="rId244" Type="http://schemas.openxmlformats.org/officeDocument/2006/relationships/hyperlink" Target="https://doi.org/10.26526/2307-9401-2024-1-16-20" TargetMode="External"/><Relationship Id="rId647" Type="http://schemas.openxmlformats.org/officeDocument/2006/relationships/hyperlink" Target="mailto:100dot13sl240242@edu.fa.ru" TargetMode="External"/><Relationship Id="rId689" Type="http://schemas.openxmlformats.org/officeDocument/2006/relationships/hyperlink" Target="https://cyberleninka.ru/article/n/interpretatsiya-imperativnoy-situatsii-v-diskurse-sotsialnoy-reklamy" TargetMode="External"/><Relationship Id="rId39" Type="http://schemas.openxmlformats.org/officeDocument/2006/relationships/image" Target="media/image5.jpeg"/><Relationship Id="rId286" Type="http://schemas.openxmlformats.org/officeDocument/2006/relationships/hyperlink" Target="https://advis.ru/" TargetMode="External"/><Relationship Id="rId451" Type="http://schemas.openxmlformats.org/officeDocument/2006/relationships/hyperlink" Target="mailto:nataliabarmina3577@gmail.com" TargetMode="External"/><Relationship Id="rId493" Type="http://schemas.openxmlformats.org/officeDocument/2006/relationships/image" Target="media/image52.png"/><Relationship Id="rId507" Type="http://schemas.openxmlformats.org/officeDocument/2006/relationships/hyperlink" Target="mailto:aliibra0086@gmail.com" TargetMode="External"/><Relationship Id="rId549" Type="http://schemas.openxmlformats.org/officeDocument/2006/relationships/hyperlink" Target="https://www.frankrg.com/" TargetMode="External"/><Relationship Id="rId714" Type="http://schemas.openxmlformats.org/officeDocument/2006/relationships/hyperlink" Target="mailto:kuzmenko.angelina.v@mail.ru" TargetMode="External"/><Relationship Id="rId50" Type="http://schemas.openxmlformats.org/officeDocument/2006/relationships/hyperlink" Target="mailto:K0rneeva-VA@yandex.ru" TargetMode="External"/><Relationship Id="rId104" Type="http://schemas.openxmlformats.org/officeDocument/2006/relationships/hyperlink" Target="https://cbr.ru/Crosscut/LawActs/File/6089" TargetMode="External"/><Relationship Id="rId146" Type="http://schemas.openxmlformats.org/officeDocument/2006/relationships/hyperlink" Target="mailto:100dot13sl220327@edu.fa.ru" TargetMode="External"/><Relationship Id="rId188" Type="http://schemas.openxmlformats.org/officeDocument/2006/relationships/hyperlink" Target="https://www.ifrs.org/issued-standards/list-of-standards/ias-24-related-party-disclosures/" TargetMode="External"/><Relationship Id="rId311" Type="http://schemas.openxmlformats.org/officeDocument/2006/relationships/hyperlink" Target="mailto:AYUArtyushkova@fa.ru" TargetMode="External"/><Relationship Id="rId353" Type="http://schemas.openxmlformats.org/officeDocument/2006/relationships/hyperlink" Target="mailto:sonya.soboleva.2005@gmail.com" TargetMode="External"/><Relationship Id="rId395" Type="http://schemas.openxmlformats.org/officeDocument/2006/relationships/image" Target="media/image29.png"/><Relationship Id="rId409" Type="http://schemas.openxmlformats.org/officeDocument/2006/relationships/hyperlink" Target="mailto:uyuroschektaeva@fa.ru" TargetMode="External"/><Relationship Id="rId560" Type="http://schemas.openxmlformats.org/officeDocument/2006/relationships/hyperlink" Target="mailto:sabelnikdenis23@gmail.com" TargetMode="External"/><Relationship Id="rId92" Type="http://schemas.openxmlformats.org/officeDocument/2006/relationships/hyperlink" Target="mailto:UYURoschektaeva@fa.ru" TargetMode="External"/><Relationship Id="rId213" Type="http://schemas.openxmlformats.org/officeDocument/2006/relationships/hyperlink" Target="mailto:keller.margari@yandex.ru" TargetMode="External"/><Relationship Id="rId420" Type="http://schemas.openxmlformats.org/officeDocument/2006/relationships/hyperlink" Target="mailto:NYUNaryzhnaya@fa.ru" TargetMode="External"/><Relationship Id="rId616" Type="http://schemas.openxmlformats.org/officeDocument/2006/relationships/hyperlink" Target="mailto:100dot13sl230102@edu.fa.ru" TargetMode="External"/><Relationship Id="rId658" Type="http://schemas.openxmlformats.org/officeDocument/2006/relationships/image" Target="media/image81.png"/><Relationship Id="rId255" Type="http://schemas.openxmlformats.org/officeDocument/2006/relationships/hyperlink" Target="mailto:SIBerlin@fa.ru" TargetMode="External"/><Relationship Id="rId297" Type="http://schemas.openxmlformats.org/officeDocument/2006/relationships/hyperlink" Target="mailto:markarianvr@gmail.com" TargetMode="External"/><Relationship Id="rId462" Type="http://schemas.openxmlformats.org/officeDocument/2006/relationships/hyperlink" Target="mailto:alsmolchan@fa.ru" TargetMode="External"/><Relationship Id="rId518" Type="http://schemas.openxmlformats.org/officeDocument/2006/relationships/hyperlink" Target="mailto:v1-ka@mail.ru" TargetMode="External"/><Relationship Id="rId725" Type="http://schemas.openxmlformats.org/officeDocument/2006/relationships/footer" Target="footer5.xml"/><Relationship Id="rId115" Type="http://schemas.openxmlformats.org/officeDocument/2006/relationships/hyperlink" Target="mailto:MVRadchenko@fa.ru" TargetMode="External"/><Relationship Id="rId157" Type="http://schemas.openxmlformats.org/officeDocument/2006/relationships/hyperlink" Target="mailto:SIBerlin@fa.ru" TargetMode="External"/><Relationship Id="rId322" Type="http://schemas.openxmlformats.org/officeDocument/2006/relationships/hyperlink" Target="mailto:kuzmenko.angelina.v@mail.ru" TargetMode="External"/><Relationship Id="rId364" Type="http://schemas.openxmlformats.org/officeDocument/2006/relationships/hyperlink" Target="mailto:apanufrieva@fa.ru" TargetMode="External"/><Relationship Id="rId61" Type="http://schemas.openxmlformats.org/officeDocument/2006/relationships/hyperlink" Target="https://cyberleninka.ru/article/n/upravlenie-tsepyami-postavok-v-usloviyah-tsifrovizatsii-opyt-zarubezhnyh-neftegazovyh-kompaniy" TargetMode="External"/><Relationship Id="rId199" Type="http://schemas.openxmlformats.org/officeDocument/2006/relationships/hyperlink" Target="mailto:uyuroschektaeva@fa.ru" TargetMode="External"/><Relationship Id="rId571" Type="http://schemas.openxmlformats.org/officeDocument/2006/relationships/hyperlink" Target="https://cyberleninka.ru/article/n/sovremennoe-sostoyanie-strahovogo-rynka-v-rossiyskoy-federatsii-pod-vliyaniem-moshennichestva?ysclid=magw4227bc535011423" TargetMode="External"/><Relationship Id="rId627" Type="http://schemas.openxmlformats.org/officeDocument/2006/relationships/hyperlink" Target="https://www.kaggle.com/datasets/solomonameh/spotify-music-dataset?resource=download" TargetMode="External"/><Relationship Id="rId669" Type="http://schemas.openxmlformats.org/officeDocument/2006/relationships/hyperlink" Target="https://rosstat.gov.ru/?ref=genderguides.ru&amp;ysclid=mar3gbffrw66395626" TargetMode="External"/><Relationship Id="rId19" Type="http://schemas.openxmlformats.org/officeDocument/2006/relationships/hyperlink" Target="http://www.consultant.ru/" TargetMode="External"/><Relationship Id="rId224" Type="http://schemas.openxmlformats.org/officeDocument/2006/relationships/hyperlink" Target="https://www.consultant.ru/document/cons_doc_LAW_122855/c1b1ebfc4c28e89e4737a4d27885d9f0b15678fb/" TargetMode="External"/><Relationship Id="rId266" Type="http://schemas.openxmlformats.org/officeDocument/2006/relationships/hyperlink" Target="https://www.ifrs.org/content/dam/ifrs/publications/pdf-standards/english/2021/issued/part-a/ias-16-property-plant-and-equipment.pdf" TargetMode="External"/><Relationship Id="rId431" Type="http://schemas.openxmlformats.org/officeDocument/2006/relationships/hyperlink" Target="https://practicum.yandex.ru/blog/chto-takoe-erp-sistemy/" TargetMode="External"/><Relationship Id="rId473" Type="http://schemas.openxmlformats.org/officeDocument/2006/relationships/hyperlink" Target="mailto:vilisov05@inbox.ru" TargetMode="External"/><Relationship Id="rId529" Type="http://schemas.openxmlformats.org/officeDocument/2006/relationships/hyperlink" Target="https://coinmarketcap.com/" TargetMode="External"/><Relationship Id="rId680" Type="http://schemas.openxmlformats.org/officeDocument/2006/relationships/hyperlink" Target="https://nafi.ru/analytics/gotovnost-k-risku-u-rossiyan-vyros-appetit-k-investitsiyam-bez-dolzhnykh-znaniy/" TargetMode="External"/><Relationship Id="rId30" Type="http://schemas.openxmlformats.org/officeDocument/2006/relationships/hyperlink" Target="https://consult-cct.ru/" TargetMode="External"/><Relationship Id="rId126" Type="http://schemas.openxmlformats.org/officeDocument/2006/relationships/hyperlink" Target="mailto:VRMarkaryan@fa.ru" TargetMode="External"/><Relationship Id="rId168" Type="http://schemas.openxmlformats.org/officeDocument/2006/relationships/hyperlink" Target="mailto:uyuroschektaeva@fa.ru" TargetMode="External"/><Relationship Id="rId333" Type="http://schemas.openxmlformats.org/officeDocument/2006/relationships/image" Target="media/image23.png"/><Relationship Id="rId540" Type="http://schemas.openxmlformats.org/officeDocument/2006/relationships/hyperlink" Target="mailto:NGPyankova@fa.ru" TargetMode="External"/><Relationship Id="rId72" Type="http://schemas.openxmlformats.org/officeDocument/2006/relationships/chart" Target="charts/chart5.xml"/><Relationship Id="rId375" Type="http://schemas.openxmlformats.org/officeDocument/2006/relationships/hyperlink" Target="https://ai.gov.ru/knowledgebase/etika-i-bezopasnost-ii/2024_belaya_kniga_etiki_v_sfere_ii_alyyans_v_sfere_ii/" TargetMode="External"/><Relationship Id="rId582" Type="http://schemas.openxmlformats.org/officeDocument/2006/relationships/image" Target="media/image64.png"/><Relationship Id="rId638" Type="http://schemas.openxmlformats.org/officeDocument/2006/relationships/hyperlink" Target="tel:VAKirij@fa.ru" TargetMode="External"/><Relationship Id="rId3" Type="http://schemas.openxmlformats.org/officeDocument/2006/relationships/styles" Target="styles.xml"/><Relationship Id="rId235" Type="http://schemas.openxmlformats.org/officeDocument/2006/relationships/hyperlink" Target="https://cbr.ru/analytics/rcb/iis_4q_2024/" TargetMode="External"/><Relationship Id="rId277" Type="http://schemas.openxmlformats.org/officeDocument/2006/relationships/hyperlink" Target="mailto:100dot13sl220169@edu.fa.ru" TargetMode="External"/><Relationship Id="rId400" Type="http://schemas.openxmlformats.org/officeDocument/2006/relationships/hyperlink" Target="mailto:ENKalaydin@fa.ru" TargetMode="External"/><Relationship Id="rId442" Type="http://schemas.openxmlformats.org/officeDocument/2006/relationships/image" Target="media/image35.png"/><Relationship Id="rId484" Type="http://schemas.openxmlformats.org/officeDocument/2006/relationships/hyperlink" Target="mailto:mash_a_zz@mail.ru" TargetMode="External"/><Relationship Id="rId705" Type="http://schemas.openxmlformats.org/officeDocument/2006/relationships/hyperlink" Target="mailto:SKGuchetl@fa.ru" TargetMode="External"/><Relationship Id="rId137" Type="http://schemas.openxmlformats.org/officeDocument/2006/relationships/hyperlink" Target="mailto:mvradchenko@fa.ru" TargetMode="External"/><Relationship Id="rId302" Type="http://schemas.openxmlformats.org/officeDocument/2006/relationships/hyperlink" Target="mailto:helen_04_d@mail.ru" TargetMode="External"/><Relationship Id="rId344" Type="http://schemas.openxmlformats.org/officeDocument/2006/relationships/hyperlink" Target="https://skyeng.ru/articles/delovoj-etiket-v-ssha/" TargetMode="External"/><Relationship Id="rId691" Type="http://schemas.openxmlformats.org/officeDocument/2006/relationships/hyperlink" Target="mailto:YVKomar@fa.ru" TargetMode="External"/><Relationship Id="rId41" Type="http://schemas.openxmlformats.org/officeDocument/2006/relationships/hyperlink" Target="https://rosstat.gov.ru/" TargetMode="External"/><Relationship Id="rId83" Type="http://schemas.openxmlformats.org/officeDocument/2006/relationships/hyperlink" Target="https://analytic.nalog.gov.ru/" TargetMode="External"/><Relationship Id="rId179" Type="http://schemas.openxmlformats.org/officeDocument/2006/relationships/hyperlink" Target="https://www.consultant.ru/document/cons_doc_LAW_365338/2ff7a8c72de3994f30496a0ccbb1ddafdaddf518/" TargetMode="External"/><Relationship Id="rId386" Type="http://schemas.openxmlformats.org/officeDocument/2006/relationships/hyperlink" Target="mailto:VAKirij@fa.ru" TargetMode="External"/><Relationship Id="rId551" Type="http://schemas.openxmlformats.org/officeDocument/2006/relationships/hyperlink" Target="https://www.tinkoff.ru/" TargetMode="External"/><Relationship Id="rId593" Type="http://schemas.openxmlformats.org/officeDocument/2006/relationships/hyperlink" Target="mailto:NYUNaryzhnaya@fa.ru" TargetMode="External"/><Relationship Id="rId607" Type="http://schemas.openxmlformats.org/officeDocument/2006/relationships/hyperlink" Target="https://www.ibm.com/blockchain/solutions/food-trust" TargetMode="External"/><Relationship Id="rId649" Type="http://schemas.openxmlformats.org/officeDocument/2006/relationships/image" Target="media/image74.png"/><Relationship Id="rId190" Type="http://schemas.openxmlformats.org/officeDocument/2006/relationships/hyperlink" Target="mailto:Snezhana5600@gmail.com" TargetMode="External"/><Relationship Id="rId204" Type="http://schemas.openxmlformats.org/officeDocument/2006/relationships/hyperlink" Target="https://www.cfo-russia.ru/stati/?article=86295" TargetMode="External"/><Relationship Id="rId246" Type="http://schemas.openxmlformats.org/officeDocument/2006/relationships/hyperlink" Target="https://apni.ru/article/8816-ispolzovanie-mashinnogo-obucheniya-dlya-progn" TargetMode="External"/><Relationship Id="rId288" Type="http://schemas.openxmlformats.org/officeDocument/2006/relationships/hyperlink" Target="mailto:angelinagevo@gmail.com" TargetMode="External"/><Relationship Id="rId411" Type="http://schemas.openxmlformats.org/officeDocument/2006/relationships/hyperlink" Target="https://apni.ru/article/6322-integracziya-sistem-erp-i-biznes-analitiki-vozmozhnosti-dlya-optimizaczii-buhgalterskogo-ucheta" TargetMode="External"/><Relationship Id="rId453" Type="http://schemas.openxmlformats.org/officeDocument/2006/relationships/hyperlink" Target="https://elibrary.ru/item.asp?id=41504688" TargetMode="External"/><Relationship Id="rId509" Type="http://schemas.openxmlformats.org/officeDocument/2006/relationships/hyperlink" Target="mailto:NGPyankova@fa.ru" TargetMode="External"/><Relationship Id="rId660" Type="http://schemas.openxmlformats.org/officeDocument/2006/relationships/hyperlink" Target="https://explodingtopics.com/blog/generation-alpha-stats" TargetMode="External"/><Relationship Id="rId106" Type="http://schemas.openxmlformats.org/officeDocument/2006/relationships/hyperlink" Target="https://cbr.ru/about_br/publ/results_work/2024/razvitie-sistemy-platezhey-i-raschetov/" TargetMode="External"/><Relationship Id="rId313" Type="http://schemas.openxmlformats.org/officeDocument/2006/relationships/hyperlink" Target="mailto:AYUArtyushkova@fa.ru" TargetMode="External"/><Relationship Id="rId495" Type="http://schemas.openxmlformats.org/officeDocument/2006/relationships/image" Target="media/image54.png"/><Relationship Id="rId716" Type="http://schemas.openxmlformats.org/officeDocument/2006/relationships/chart" Target="charts/chart17.xml"/><Relationship Id="rId10" Type="http://schemas.openxmlformats.org/officeDocument/2006/relationships/hyperlink" Target="mailto:MADobrunova@fa.ru" TargetMode="External"/><Relationship Id="rId52" Type="http://schemas.openxmlformats.org/officeDocument/2006/relationships/image" Target="media/image6.png"/><Relationship Id="rId94" Type="http://schemas.openxmlformats.org/officeDocument/2006/relationships/hyperlink" Target="mailto:gaagrit@gmail.com" TargetMode="External"/><Relationship Id="rId148" Type="http://schemas.openxmlformats.org/officeDocument/2006/relationships/hyperlink" Target="https://www.garant.ru/products/ipo/prime/doc/71487898/" TargetMode="External"/><Relationship Id="rId355" Type="http://schemas.openxmlformats.org/officeDocument/2006/relationships/hyperlink" Target="http://www.kadrovik.ru/modules.php?op=modload&amp;name=News&amp;file=article&amp;sid" TargetMode="External"/><Relationship Id="rId397" Type="http://schemas.openxmlformats.org/officeDocument/2006/relationships/hyperlink" Target="mailto:Andrey.krylov.2019@mail.ru" TargetMode="External"/><Relationship Id="rId520" Type="http://schemas.openxmlformats.org/officeDocument/2006/relationships/hyperlink" Target="mailto:andru.snowman@mail.ru" TargetMode="External"/><Relationship Id="rId562" Type="http://schemas.openxmlformats.org/officeDocument/2006/relationships/hyperlink" Target="https://base.garant.ru/23940731/" TargetMode="External"/><Relationship Id="rId618" Type="http://schemas.openxmlformats.org/officeDocument/2006/relationships/image" Target="media/image69.png"/><Relationship Id="rId215" Type="http://schemas.openxmlformats.org/officeDocument/2006/relationships/hyperlink" Target="mailto:MADobrunova@fa.ru" TargetMode="External"/><Relationship Id="rId257" Type="http://schemas.openxmlformats.org/officeDocument/2006/relationships/image" Target="media/image17.png"/><Relationship Id="rId422" Type="http://schemas.openxmlformats.org/officeDocument/2006/relationships/hyperlink" Target="mailto:NYUNaryzhnaya@fa.ru" TargetMode="External"/><Relationship Id="rId464" Type="http://schemas.openxmlformats.org/officeDocument/2006/relationships/hyperlink" Target="mailto:alsmolchan@fa.ru" TargetMode="External"/><Relationship Id="rId299" Type="http://schemas.openxmlformats.org/officeDocument/2006/relationships/hyperlink" Target="mailto:sashagrigorieva06@gmail.com" TargetMode="External"/><Relationship Id="rId727" Type="http://schemas.openxmlformats.org/officeDocument/2006/relationships/theme" Target="theme/theme1.xml"/><Relationship Id="rId63" Type="http://schemas.openxmlformats.org/officeDocument/2006/relationships/hyperlink" Target="https://www.x5.ru/ru/news/h5-group-razrabotala-sobstvennuyu-sistemu-upravleniya-skladam/" TargetMode="External"/><Relationship Id="rId159" Type="http://schemas.openxmlformats.org/officeDocument/2006/relationships/hyperlink" Target="mailto:trufanova.a2004@mail.ru" TargetMode="External"/><Relationship Id="rId366" Type="http://schemas.openxmlformats.org/officeDocument/2006/relationships/hyperlink" Target="mailto:belan0319@gmail.com" TargetMode="External"/><Relationship Id="rId573" Type="http://schemas.openxmlformats.org/officeDocument/2006/relationships/hyperlink" Target="https://cyberleninka.ru/article/n/vozmozhnosti-iskusstvennogo-intellekta-v-strahovanii?ysclid=magv2wymgp620287643" TargetMode="External"/><Relationship Id="rId226" Type="http://schemas.openxmlformats.org/officeDocument/2006/relationships/hyperlink" Target="https://www.consultant.ru/document/cons_doc_LAW_420322/9af1df446be62932907c5f5428b24d64e2375332/" TargetMode="External"/><Relationship Id="rId433" Type="http://schemas.openxmlformats.org/officeDocument/2006/relationships/hyperlink" Target="mailto:radhz.ru@gmail.com" TargetMode="External"/><Relationship Id="rId640" Type="http://schemas.openxmlformats.org/officeDocument/2006/relationships/hyperlink" Target="https://www.rbc.ru/" TargetMode="External"/><Relationship Id="rId74" Type="http://schemas.openxmlformats.org/officeDocument/2006/relationships/hyperlink" Target="mailto:MVRadchenko@fa.ru" TargetMode="External"/><Relationship Id="rId377" Type="http://schemas.openxmlformats.org/officeDocument/2006/relationships/hyperlink" Target="https://roscongress.org/materials/iskusstvennyy-intellekt-dostizheniya-2024-goda-plany-na-2025-god/" TargetMode="External"/><Relationship Id="rId500" Type="http://schemas.openxmlformats.org/officeDocument/2006/relationships/image" Target="media/image59.png"/><Relationship Id="rId584" Type="http://schemas.openxmlformats.org/officeDocument/2006/relationships/hyperlink" Target="https://ast-academy.ru/blog/agile-scrum-i-kanban-razbiraemsa-cto-est-cto/" TargetMode="External"/><Relationship Id="rId5" Type="http://schemas.openxmlformats.org/officeDocument/2006/relationships/webSettings" Target="webSettings.xml"/><Relationship Id="rId237" Type="http://schemas.openxmlformats.org/officeDocument/2006/relationships/hyperlink" Target="https://www.vbr.ru/investicii/help/nalog-na-investicii/" TargetMode="External"/><Relationship Id="rId444" Type="http://schemas.openxmlformats.org/officeDocument/2006/relationships/image" Target="media/image37.png"/><Relationship Id="rId651" Type="http://schemas.openxmlformats.org/officeDocument/2006/relationships/image" Target="media/image76.png"/><Relationship Id="rId290" Type="http://schemas.openxmlformats.org/officeDocument/2006/relationships/image" Target="media/image18.png"/><Relationship Id="rId304" Type="http://schemas.openxmlformats.org/officeDocument/2006/relationships/image" Target="media/image20.png"/><Relationship Id="rId388" Type="http://schemas.openxmlformats.org/officeDocument/2006/relationships/hyperlink" Target="mailto:VAKirij@fa.ru" TargetMode="External"/><Relationship Id="rId511" Type="http://schemas.openxmlformats.org/officeDocument/2006/relationships/hyperlink" Target="mailto:enkalaydin@fa.ru" TargetMode="External"/><Relationship Id="rId609" Type="http://schemas.openxmlformats.org/officeDocument/2006/relationships/chart" Target="charts/chart16.xml"/><Relationship Id="rId85" Type="http://schemas.openxmlformats.org/officeDocument/2006/relationships/hyperlink" Target="mailto:yliamarusevitch@yandex.ru" TargetMode="External"/><Relationship Id="rId150" Type="http://schemas.openxmlformats.org/officeDocument/2006/relationships/hyperlink" Target="https://finacademy.net/materials/standartu-msfo/msfo-ias-8-uchetnaya-politika-izmeneniya-v-bukhgalterskikh-otsenkakh-i-oshibki" TargetMode="External"/><Relationship Id="rId595" Type="http://schemas.openxmlformats.org/officeDocument/2006/relationships/image" Target="media/image66.png"/><Relationship Id="rId248" Type="http://schemas.openxmlformats.org/officeDocument/2006/relationships/image" Target="media/image13.png"/><Relationship Id="rId455" Type="http://schemas.openxmlformats.org/officeDocument/2006/relationships/hyperlink" Target="https://elibrary.ru/contents.asp?id=41504678&amp;selid=41504688" TargetMode="External"/><Relationship Id="rId662" Type="http://schemas.openxmlformats.org/officeDocument/2006/relationships/hyperlink" Target="https://www.pravmir.ru/chto-oni-tam-smotryat-v-ssha-vyyasnili-kak-podrostki-provodyat-vremya-so-smartfonom/" TargetMode="External"/><Relationship Id="rId12" Type="http://schemas.openxmlformats.org/officeDocument/2006/relationships/chart" Target="charts/chart1.xml"/><Relationship Id="rId108" Type="http://schemas.openxmlformats.org/officeDocument/2006/relationships/hyperlink" Target="http://siberlin@fa.ru" TargetMode="External"/><Relationship Id="rId315" Type="http://schemas.openxmlformats.org/officeDocument/2006/relationships/hyperlink" Target="http://www.mckinsey.de/~/media/mckinsey/locations/europe" TargetMode="External"/><Relationship Id="rId522" Type="http://schemas.openxmlformats.org/officeDocument/2006/relationships/hyperlink" Target="mailto:andru.snowman@mail.ru" TargetMode="External"/><Relationship Id="rId96" Type="http://schemas.openxmlformats.org/officeDocument/2006/relationships/hyperlink" Target="https://doi.org/10.26526/2307-9401-2024-1-16-20" TargetMode="External"/><Relationship Id="rId161" Type="http://schemas.openxmlformats.org/officeDocument/2006/relationships/chart" Target="charts/chart7.xml"/><Relationship Id="rId399" Type="http://schemas.openxmlformats.org/officeDocument/2006/relationships/hyperlink" Target="mailto:Andrey.krylov.2019@mail.ru" TargetMode="External"/><Relationship Id="rId259" Type="http://schemas.openxmlformats.org/officeDocument/2006/relationships/hyperlink" Target="https://www.economy.gov.ru/material/directions/sanctions_measures/finansy/kompensacii_msp_rashodov_na_sistemu_bystryh_platezhe/" TargetMode="External"/><Relationship Id="rId466" Type="http://schemas.openxmlformats.org/officeDocument/2006/relationships/image" Target="media/image41.png"/><Relationship Id="rId673" Type="http://schemas.openxmlformats.org/officeDocument/2006/relationships/hyperlink" Target="mailto:naletovauliana29@gmail.com" TargetMode="External"/><Relationship Id="rId23" Type="http://schemas.openxmlformats.org/officeDocument/2006/relationships/hyperlink" Target="https://rosstat.gov.ru/" TargetMode="External"/><Relationship Id="rId119" Type="http://schemas.openxmlformats.org/officeDocument/2006/relationships/hyperlink" Target="http://www.consultant.ru" TargetMode="External"/><Relationship Id="rId326" Type="http://schemas.openxmlformats.org/officeDocument/2006/relationships/hyperlink" Target="mailto:m.kulesheva@mail.ru" TargetMode="External"/><Relationship Id="rId533" Type="http://schemas.openxmlformats.org/officeDocument/2006/relationships/hyperlink" Target="https://www.certik.com/" TargetMode="External"/><Relationship Id="rId172" Type="http://schemas.openxmlformats.org/officeDocument/2006/relationships/hyperlink" Target="https://www.consultant.ru/document/cons_doc_LAW_28165/281ce306d4c05188cf38182099250dc8b2fc2a73/" TargetMode="External"/><Relationship Id="rId477" Type="http://schemas.openxmlformats.org/officeDocument/2006/relationships/chart" Target="charts/chart15.xml"/><Relationship Id="rId600" Type="http://schemas.openxmlformats.org/officeDocument/2006/relationships/hyperlink" Target="mailto:OVIshchenko@fa.ru" TargetMode="External"/><Relationship Id="rId684" Type="http://schemas.openxmlformats.org/officeDocument/2006/relationships/hyperlink" Target="mailto:lesvinokurova@mail.ru" TargetMode="External"/><Relationship Id="rId337" Type="http://schemas.openxmlformats.org/officeDocument/2006/relationships/hyperlink" Target="mailto:nizamidi.050902@mail.ru" TargetMode="External"/><Relationship Id="rId34" Type="http://schemas.openxmlformats.org/officeDocument/2006/relationships/hyperlink" Target="http://dianaberlina@bk.ru" TargetMode="External"/><Relationship Id="rId544" Type="http://schemas.openxmlformats.org/officeDocument/2006/relationships/hyperlink" Target="mailto:torosanalfred77@gmail.com" TargetMode="External"/><Relationship Id="rId183" Type="http://schemas.openxmlformats.org/officeDocument/2006/relationships/hyperlink" Target="http://www.ifrs.org/issued-standards/list-of-standards/ias-8-accounting-policies-changes-in-accounting-estimates-and-errors/" TargetMode="External"/><Relationship Id="rId390" Type="http://schemas.openxmlformats.org/officeDocument/2006/relationships/hyperlink" Target="https://www.unesco.org/gem-report" TargetMode="External"/><Relationship Id="rId404" Type="http://schemas.openxmlformats.org/officeDocument/2006/relationships/hyperlink" Target="https://elibrary.ru/item.asp?id=53744507" TargetMode="External"/><Relationship Id="rId611" Type="http://schemas.openxmlformats.org/officeDocument/2006/relationships/hyperlink" Target="https://www.tadviser.ru/index.php/&#1057;&#1090;&#1072;&#1090;&#1100;&#1103;:&#1048;&#1085;&#1090;&#1077;&#1088;&#1085;&#1077;&#1090;-&#1088;&#1077;&#1082;&#1083;&#1072;&#1084;&#1072;_(&#1088;&#1099;&#1085;&#1086;&#1082;_&#1056;&#1086;&#1089;&#1089;&#1080;&#1080;)" TargetMode="External"/><Relationship Id="rId250" Type="http://schemas.openxmlformats.org/officeDocument/2006/relationships/image" Target="media/image15.png"/><Relationship Id="rId488" Type="http://schemas.openxmlformats.org/officeDocument/2006/relationships/image" Target="media/image47.png"/><Relationship Id="rId695" Type="http://schemas.openxmlformats.org/officeDocument/2006/relationships/image" Target="media/image83.png"/><Relationship Id="rId709" Type="http://schemas.openxmlformats.org/officeDocument/2006/relationships/hyperlink" Target="https://www.cbr.ru/about_br/publ/results_work/2023" TargetMode="External"/><Relationship Id="rId45" Type="http://schemas.openxmlformats.org/officeDocument/2006/relationships/chart" Target="charts/chart2.xml"/><Relationship Id="rId110" Type="http://schemas.openxmlformats.org/officeDocument/2006/relationships/hyperlink" Target="http://siberlin@fa.ru" TargetMode="External"/><Relationship Id="rId348" Type="http://schemas.openxmlformats.org/officeDocument/2006/relationships/hyperlink" Target="https://elar.urfu.ru/bitstream/10995/120367/1/978-5-8295-0816-6_2022_066.pdf" TargetMode="External"/><Relationship Id="rId555" Type="http://schemas.openxmlformats.org/officeDocument/2006/relationships/hyperlink" Target="https://nafi.ru/analytics/tsifrovaya-gramotnost-i-finansovoe-povedenie-rossiyan-2023/" TargetMode="External"/><Relationship Id="rId194" Type="http://schemas.openxmlformats.org/officeDocument/2006/relationships/hyperlink" Target="https://rosstat.gov.ru" TargetMode="External"/><Relationship Id="rId208" Type="http://schemas.openxmlformats.org/officeDocument/2006/relationships/hyperlink" Target="mailto:blockfoxbro@gmail.com" TargetMode="External"/><Relationship Id="rId415" Type="http://schemas.openxmlformats.org/officeDocument/2006/relationships/hyperlink" Target="https://analytics.netrika.ru/publikatsii/stati/bi-dlya-biznesa-pravila-postroeniya-sistemy-analiticheskikh-otchetov/" TargetMode="External"/><Relationship Id="rId622" Type="http://schemas.openxmlformats.org/officeDocument/2006/relationships/hyperlink" Target="https://fred.stlouisfed.org/" TargetMode="External"/><Relationship Id="rId261" Type="http://schemas.openxmlformats.org/officeDocument/2006/relationships/hyperlink" Target="mailto:elizaveta_plot07@mail.ru" TargetMode="External"/><Relationship Id="rId499" Type="http://schemas.openxmlformats.org/officeDocument/2006/relationships/image" Target="media/image58.png"/><Relationship Id="rId56" Type="http://schemas.openxmlformats.org/officeDocument/2006/relationships/hyperlink" Target="mailto:uyuroschektaeva@fa.ru" TargetMode="External"/><Relationship Id="rId359" Type="http://schemas.openxmlformats.org/officeDocument/2006/relationships/hyperlink" Target="mailto:marijajureva@lenta.ru" TargetMode="External"/><Relationship Id="rId566" Type="http://schemas.openxmlformats.org/officeDocument/2006/relationships/hyperlink" Target="mailto:o.koreneva29@mail.ru" TargetMode="External"/><Relationship Id="rId121" Type="http://schemas.openxmlformats.org/officeDocument/2006/relationships/hyperlink" Target="mailto:rashoyan2004@mail.ru" TargetMode="External"/><Relationship Id="rId219" Type="http://schemas.openxmlformats.org/officeDocument/2006/relationships/hyperlink" Target="mailto:uyuroschektaeva@fa.ru" TargetMode="External"/><Relationship Id="rId426" Type="http://schemas.openxmlformats.org/officeDocument/2006/relationships/hyperlink" Target="https://cyberleninka.ru/article/n/ponyatie-blokcheyn-i-vozmozhnosti-ego-ispolzovaniya/viewer" TargetMode="External"/><Relationship Id="rId633" Type="http://schemas.openxmlformats.org/officeDocument/2006/relationships/hyperlink" Target="https://ru.visiology.su/sources/baza-znanij" TargetMode="External"/><Relationship Id="rId67" Type="http://schemas.openxmlformats.org/officeDocument/2006/relationships/hyperlink" Target="mailto:PAProdolyatchenko@fa.ru" TargetMode="External"/><Relationship Id="rId272" Type="http://schemas.openxmlformats.org/officeDocument/2006/relationships/hyperlink" Target="mailto:uyuroschektaeva@fa.ru" TargetMode="External"/><Relationship Id="rId577" Type="http://schemas.openxmlformats.org/officeDocument/2006/relationships/hyperlink" Target="mailto:lesvinokurova@mail.ru" TargetMode="External"/><Relationship Id="rId700" Type="http://schemas.openxmlformats.org/officeDocument/2006/relationships/hyperlink" Target="mailto:ekaterinakadkalova@yandex.ru" TargetMode="External"/><Relationship Id="rId132" Type="http://schemas.openxmlformats.org/officeDocument/2006/relationships/hyperlink" Target="mailto:siberlin@fa.ru" TargetMode="External"/><Relationship Id="rId437" Type="http://schemas.openxmlformats.org/officeDocument/2006/relationships/image" Target="media/image33.png"/><Relationship Id="rId644" Type="http://schemas.openxmlformats.org/officeDocument/2006/relationships/hyperlink" Target="https://www.psyphys.ru/articles/motivation-group-training-2021" TargetMode="External"/><Relationship Id="rId283" Type="http://schemas.openxmlformats.org/officeDocument/2006/relationships/hyperlink" Target="https://www.tochkai.ru/article/2179" TargetMode="External"/><Relationship Id="rId490" Type="http://schemas.openxmlformats.org/officeDocument/2006/relationships/image" Target="media/image49.png"/><Relationship Id="rId504" Type="http://schemas.openxmlformats.org/officeDocument/2006/relationships/image" Target="media/image63.png"/><Relationship Id="rId711" Type="http://schemas.openxmlformats.org/officeDocument/2006/relationships/hyperlink" Target="https://www.interfax.ru/business/827770" TargetMode="External"/><Relationship Id="rId78" Type="http://schemas.openxmlformats.org/officeDocument/2006/relationships/hyperlink" Target="mailto:lubomirskaya070805@gmail.com" TargetMode="External"/><Relationship Id="rId143" Type="http://schemas.openxmlformats.org/officeDocument/2006/relationships/hyperlink" Target="https://www.globalfirepower.com/external-debt-by-country.php" TargetMode="External"/><Relationship Id="rId350" Type="http://schemas.openxmlformats.org/officeDocument/2006/relationships/hyperlink" Target="https://vestnik.bsau.ru/netcat_files/journal/archive/2024-2-159.9.pdf" TargetMode="External"/><Relationship Id="rId588" Type="http://schemas.openxmlformats.org/officeDocument/2006/relationships/hyperlink" Target="mailto:mvradchenko@fa.ru" TargetMode="External"/><Relationship Id="rId9" Type="http://schemas.openxmlformats.org/officeDocument/2006/relationships/hyperlink" Target="mailto:trufanova.a2004@mail.ru" TargetMode="External"/><Relationship Id="rId210" Type="http://schemas.openxmlformats.org/officeDocument/2006/relationships/hyperlink" Target="mailto:keller.margari@yandex.ru" TargetMode="External"/><Relationship Id="rId448" Type="http://schemas.openxmlformats.org/officeDocument/2006/relationships/footer" Target="footer2.xml"/><Relationship Id="rId655" Type="http://schemas.openxmlformats.org/officeDocument/2006/relationships/image" Target="media/image78.png"/><Relationship Id="rId294" Type="http://schemas.openxmlformats.org/officeDocument/2006/relationships/hyperlink" Target="https://data.tedo.ru/publications/ai-in-hr.pdf" TargetMode="External"/><Relationship Id="rId308" Type="http://schemas.openxmlformats.org/officeDocument/2006/relationships/hyperlink" Target="mailto:AYUArtyushkova@fa.ru" TargetMode="External"/><Relationship Id="rId515" Type="http://schemas.openxmlformats.org/officeDocument/2006/relationships/hyperlink" Target="mailto:statrgup@yandex.ru" TargetMode="External"/><Relationship Id="rId722" Type="http://schemas.openxmlformats.org/officeDocument/2006/relationships/hyperlink" Target="mailto:YVKomar@fa.ru" TargetMode="External"/><Relationship Id="rId89" Type="http://schemas.openxmlformats.org/officeDocument/2006/relationships/image" Target="media/image7.png"/><Relationship Id="rId154" Type="http://schemas.openxmlformats.org/officeDocument/2006/relationships/hyperlink" Target="https://www.ifrs.org/issued-standards/list-of-standards/ias-1-presentation-of-financial-statements/" TargetMode="External"/><Relationship Id="rId361" Type="http://schemas.openxmlformats.org/officeDocument/2006/relationships/image" Target="media/image26.png"/><Relationship Id="rId599" Type="http://schemas.openxmlformats.org/officeDocument/2006/relationships/hyperlink" Target="mailto:fent.reactor228@outlook.com" TargetMode="External"/><Relationship Id="rId459" Type="http://schemas.openxmlformats.org/officeDocument/2006/relationships/hyperlink" Target="mailto:NGPyankova@fa.ru" TargetMode="External"/><Relationship Id="rId666" Type="http://schemas.openxmlformats.org/officeDocument/2006/relationships/hyperlink" Target="mailto:YVKomar@fa.ru" TargetMode="External"/><Relationship Id="rId16" Type="http://schemas.openxmlformats.org/officeDocument/2006/relationships/hyperlink" Target="https://clck.ru/3LozEC" TargetMode="External"/><Relationship Id="rId221" Type="http://schemas.openxmlformats.org/officeDocument/2006/relationships/hyperlink" Target="mailto:uyuroschektaeva@fa.ru" TargetMode="External"/><Relationship Id="rId319" Type="http://schemas.openxmlformats.org/officeDocument/2006/relationships/hyperlink" Target="https://raex-a.ru/universities/" TargetMode="External"/><Relationship Id="rId526" Type="http://schemas.openxmlformats.org/officeDocument/2006/relationships/hyperlink" Target="https://explorer.solana.com/" TargetMode="External"/><Relationship Id="rId165" Type="http://schemas.openxmlformats.org/officeDocument/2006/relationships/hyperlink" Target="https://naai.ru/" TargetMode="External"/><Relationship Id="rId372" Type="http://schemas.openxmlformats.org/officeDocument/2006/relationships/hyperlink" Target="mailto:apanufrieva@fa.ru" TargetMode="External"/><Relationship Id="rId677" Type="http://schemas.openxmlformats.org/officeDocument/2006/relationships/hyperlink" Target="https://translated.turbopages.org/proxy_u/en-ru.ru.d393ebd5-6824b6e6-a2498e06-74722d776562/https/www.statista.com/statistics/270034/percentage-of-us-adults-to-have-money-invested-in-the-stock-market/" TargetMode="External"/><Relationship Id="rId232" Type="http://schemas.openxmlformats.org/officeDocument/2006/relationships/hyperlink" Target="file:///C:\Users\PC100\Downloads\mvradchenko@fa.ru" TargetMode="External"/><Relationship Id="rId27" Type="http://schemas.openxmlformats.org/officeDocument/2006/relationships/hyperlink" Target="mailto:SIBerlin@fa.ru" TargetMode="External"/><Relationship Id="rId537" Type="http://schemas.openxmlformats.org/officeDocument/2006/relationships/hyperlink" Target="mailto:NGPyankova@fa.ru" TargetMode="External"/><Relationship Id="rId80" Type="http://schemas.openxmlformats.org/officeDocument/2006/relationships/chart" Target="charts/chart6.xml"/><Relationship Id="rId176" Type="http://schemas.openxmlformats.org/officeDocument/2006/relationships/hyperlink" Target="mailto:uyuroschektaeva@fa.ru" TargetMode="External"/><Relationship Id="rId383" Type="http://schemas.openxmlformats.org/officeDocument/2006/relationships/hyperlink" Target="https://realty.rbc.ru/news/577e15cf9a79471433ad9b19" TargetMode="External"/><Relationship Id="rId590" Type="http://schemas.openxmlformats.org/officeDocument/2006/relationships/hyperlink" Target="mailto:mvradchenko@fa.ru" TargetMode="External"/><Relationship Id="rId604" Type="http://schemas.openxmlformats.org/officeDocument/2006/relationships/hyperlink" Target="mailto:alena.cobozeva@yandex.ru" TargetMode="External"/><Relationship Id="rId243" Type="http://schemas.openxmlformats.org/officeDocument/2006/relationships/hyperlink" Target="mailto:UYURoschektaeva@fa.ru" TargetMode="External"/><Relationship Id="rId450" Type="http://schemas.openxmlformats.org/officeDocument/2006/relationships/hyperlink" Target="mailto:OYFrantsisko@fa.ru" TargetMode="External"/><Relationship Id="rId688" Type="http://schemas.openxmlformats.org/officeDocument/2006/relationships/hyperlink" Target="https://cyberleninka.ru/article/n/funktsionalno-stilisticheskie-osobennosti-upotrebleniya-giperboly-v-angloyazychnyh-reklamnyh-tekstah" TargetMode="External"/><Relationship Id="rId38" Type="http://schemas.openxmlformats.org/officeDocument/2006/relationships/hyperlink" Target="mailto:MVRadchenko@fa.ru" TargetMode="External"/><Relationship Id="rId103" Type="http://schemas.openxmlformats.org/officeDocument/2006/relationships/hyperlink" Target="https://www.consultant.ru/document/cons_doc_LAW_216631/352b02a602c39eea1cf3dde35c6ab8e82bbf6a63/" TargetMode="External"/><Relationship Id="rId310" Type="http://schemas.openxmlformats.org/officeDocument/2006/relationships/hyperlink" Target="mailto:AYUArtyushkova@fa.ru" TargetMode="External"/><Relationship Id="rId548" Type="http://schemas.openxmlformats.org/officeDocument/2006/relationships/hyperlink" Target="https://www2.deloitte.com/" TargetMode="External"/><Relationship Id="rId91" Type="http://schemas.openxmlformats.org/officeDocument/2006/relationships/hyperlink" Target="mailto:Gaagrit@gmail.com" TargetMode="External"/><Relationship Id="rId187" Type="http://schemas.openxmlformats.org/officeDocument/2006/relationships/hyperlink" Target="https://www.consultant.ru/document/cons_doc_LAW_314504/e85329935d101f314ccdaedbe8b25f1be3b390a1/" TargetMode="External"/><Relationship Id="rId394" Type="http://schemas.openxmlformats.org/officeDocument/2006/relationships/image" Target="media/image28.png"/><Relationship Id="rId408" Type="http://schemas.openxmlformats.org/officeDocument/2006/relationships/hyperlink" Target="mailto:100dot13sl220174@edu.fa.ru" TargetMode="External"/><Relationship Id="rId615" Type="http://schemas.openxmlformats.org/officeDocument/2006/relationships/hyperlink" Target="mailto:100dot13sl230102@edu.fa.ru" TargetMode="External"/><Relationship Id="rId254" Type="http://schemas.openxmlformats.org/officeDocument/2006/relationships/hyperlink" Target="mailto:viostapuk@outlook.com" TargetMode="External"/><Relationship Id="rId699" Type="http://schemas.openxmlformats.org/officeDocument/2006/relationships/hyperlink" Target="https://data.tedo.ru/publications/ai-in-hr.pdf" TargetMode="External"/><Relationship Id="rId49" Type="http://schemas.openxmlformats.org/officeDocument/2006/relationships/hyperlink" Target="mailto:GGPimenov@fa.ru" TargetMode="External"/><Relationship Id="rId114" Type="http://schemas.openxmlformats.org/officeDocument/2006/relationships/hyperlink" Target="https://www.kommersant.ru/doc/7641168" TargetMode="External"/><Relationship Id="rId461" Type="http://schemas.openxmlformats.org/officeDocument/2006/relationships/hyperlink" Target="mailto:beregovaaola@mail.ru" TargetMode="External"/><Relationship Id="rId559" Type="http://schemas.openxmlformats.org/officeDocument/2006/relationships/hyperlink" Target="mailto:NYUNaryzhnaya@fa.ru" TargetMode="External"/><Relationship Id="rId198" Type="http://schemas.openxmlformats.org/officeDocument/2006/relationships/hyperlink" Target="mailto:100dot13sl220168@edu.fa.ru" TargetMode="External"/><Relationship Id="rId321" Type="http://schemas.openxmlformats.org/officeDocument/2006/relationships/hyperlink" Target="mailto:MVMazunina@fa.ru" TargetMode="External"/><Relationship Id="rId419" Type="http://schemas.openxmlformats.org/officeDocument/2006/relationships/hyperlink" Target="mailto:v1-ka@mail.ru" TargetMode="External"/><Relationship Id="rId626" Type="http://schemas.openxmlformats.org/officeDocument/2006/relationships/image" Target="media/image72.png"/><Relationship Id="rId265" Type="http://schemas.openxmlformats.org/officeDocument/2006/relationships/hyperlink" Target="mailto:uyuroschektaeva@fa.ru" TargetMode="External"/><Relationship Id="rId472" Type="http://schemas.openxmlformats.org/officeDocument/2006/relationships/hyperlink" Target="mailto:svetikobz@mail.ru" TargetMode="External"/><Relationship Id="rId125" Type="http://schemas.openxmlformats.org/officeDocument/2006/relationships/hyperlink" Target="mailto:Alexey23russian@yandex.ru" TargetMode="External"/><Relationship Id="rId332" Type="http://schemas.openxmlformats.org/officeDocument/2006/relationships/image" Target="media/image22.png"/><Relationship Id="rId637" Type="http://schemas.openxmlformats.org/officeDocument/2006/relationships/hyperlink" Target="mailto:danyahayakawa@mail.ru" TargetMode="External"/><Relationship Id="rId276" Type="http://schemas.openxmlformats.org/officeDocument/2006/relationships/hyperlink" Target="https://buhexpert8.ru/zkn-bu/analiz-fhd/kratkosrochnye-obyazatelstva-v-balanse.html" TargetMode="External"/><Relationship Id="rId483" Type="http://schemas.openxmlformats.org/officeDocument/2006/relationships/hyperlink" Target="mailto:tvvaskevich@fa.ru" TargetMode="External"/><Relationship Id="rId690" Type="http://schemas.openxmlformats.org/officeDocument/2006/relationships/hyperlink" Target="mailto:angelinagevo@gmail.com" TargetMode="External"/><Relationship Id="rId704" Type="http://schemas.openxmlformats.org/officeDocument/2006/relationships/hyperlink" Target="mailto:konsevich.sof@gmail.com" TargetMode="External"/><Relationship Id="rId40" Type="http://schemas.openxmlformats.org/officeDocument/2006/relationships/hyperlink" Target="http://www.consultant.ru/" TargetMode="External"/><Relationship Id="rId136" Type="http://schemas.openxmlformats.org/officeDocument/2006/relationships/hyperlink" Target="mailto:100dot13sl240343@edu.fa.ru" TargetMode="External"/><Relationship Id="rId343" Type="http://schemas.openxmlformats.org/officeDocument/2006/relationships/hyperlink" Target="https://studme.org/109188/literatura/lineynoe_tsiklicheskoe_vremya" TargetMode="External"/><Relationship Id="rId550" Type="http://schemas.openxmlformats.org/officeDocument/2006/relationships/hyperlink" Target="https://www.sberbank.com/" TargetMode="External"/><Relationship Id="rId203" Type="http://schemas.openxmlformats.org/officeDocument/2006/relationships/hyperlink" Target="https://sroaas.ru/upload/iblock/1a0/rvbsd5gp4iyo6q16cwifmzt6etlnca1c/Voprosy-i-otvety-po-FSBU-4_2023-okt-2024.pdf" TargetMode="External"/><Relationship Id="rId648" Type="http://schemas.openxmlformats.org/officeDocument/2006/relationships/hyperlink" Target="mailto:EVKirij@fa.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d.docs.live.net/7e814e6fa009073a/Pictures/&#1057;&#1090;&#1088;&#1072;&#1093;&#1086;&#1074;&#1072;&#1085;&#1080;&#1077;/&#1050;&#1085;&#1080;&#1075;&#1072;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d.docs.live.net/277ad8915a28fd49/Desktop/&#1088;&#1072;&#1076;&#1072;&#1088;%20&#1076;&#1080;&#1072;&#1075;&#1088;&#1072;&#1084;.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1055;&#1086;&#1083;&#1100;&#1079;&#1086;&#1074;&#1072;&#1090;&#1077;&#1083;&#1100;\Desktop\&#1089;&#1090;&#1072;&#1090;&#1100;&#1103;%20&#1087;&#1088;&#1086;%20&#1085;&#1077;&#1086;&#1083;&#1086;&#1075;&#1080;&#1079;&#1084;&#1099;\&#1089;&#1090;&#1072;&#1090;&#1100;&#1103;%20&#1085;&#1077;&#1086;&#1083;&#1086;&#1075;&#1080;&#1079;&#1084;&#109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alpha\Documents\&#1053;&#1048;&#1056;\&#1050;&#1088;&#1077;&#1076;&#1080;&#1090;&#1086;&#1074;&#1072;&#1085;&#1080;&#107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pha\Documents\&#1053;&#1048;&#1056;\&#1050;&#1088;&#1077;&#1076;&#1080;&#1090;&#1086;&#1074;&#1072;&#1085;&#1080;&#107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d.docs.live.net/7e814e6fa009073a/Pictures/&#1057;&#1090;&#1088;&#1072;&#1093;&#1086;&#1074;&#1072;&#1085;&#1080;&#1077;/&#1050;&#1085;&#1080;&#1075;&#1072;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31450658955945"/>
          <c:y val="9.5756494096522468E-2"/>
          <c:w val="0.84333647975338444"/>
          <c:h val="0.79486764981108327"/>
        </c:manualLayout>
      </c:layout>
      <c:barChart>
        <c:barDir val="col"/>
        <c:grouping val="clustered"/>
        <c:varyColors val="0"/>
        <c:ser>
          <c:idx val="0"/>
          <c:order val="0"/>
          <c:tx>
            <c:strRef>
              <c:f>Лист1!$A$2</c:f>
              <c:strCache>
                <c:ptCount val="1"/>
                <c:pt idx="0">
                  <c:v>Всего предприятий МСП</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Лист1!$B$1:$F$1</c:f>
              <c:numCache>
                <c:formatCode>General</c:formatCode>
                <c:ptCount val="5"/>
                <c:pt idx="0">
                  <c:v>2020</c:v>
                </c:pt>
                <c:pt idx="1">
                  <c:v>2021</c:v>
                </c:pt>
                <c:pt idx="2">
                  <c:v>2022</c:v>
                </c:pt>
                <c:pt idx="3">
                  <c:v>2023</c:v>
                </c:pt>
                <c:pt idx="4">
                  <c:v>2024</c:v>
                </c:pt>
              </c:numCache>
            </c:numRef>
          </c:cat>
          <c:val>
            <c:numRef>
              <c:f>Лист1!$B$2:$F$2</c:f>
              <c:numCache>
                <c:formatCode>#,##0</c:formatCode>
                <c:ptCount val="5"/>
                <c:pt idx="0">
                  <c:v>5916906</c:v>
                </c:pt>
                <c:pt idx="1">
                  <c:v>5684561</c:v>
                </c:pt>
                <c:pt idx="2">
                  <c:v>5866703</c:v>
                </c:pt>
                <c:pt idx="3">
                  <c:v>5991349</c:v>
                </c:pt>
                <c:pt idx="4">
                  <c:v>6347771</c:v>
                </c:pt>
              </c:numCache>
            </c:numRef>
          </c:val>
          <c:extLst>
            <c:ext xmlns:c16="http://schemas.microsoft.com/office/drawing/2014/chart" uri="{C3380CC4-5D6E-409C-BE32-E72D297353CC}">
              <c16:uniqueId val="{00000000-8DDB-47BB-B37F-E87B05063460}"/>
            </c:ext>
          </c:extLst>
        </c:ser>
        <c:dLbls>
          <c:showLegendKey val="0"/>
          <c:showVal val="0"/>
          <c:showCatName val="0"/>
          <c:showSerName val="0"/>
          <c:showPercent val="0"/>
          <c:showBubbleSize val="0"/>
        </c:dLbls>
        <c:gapWidth val="100"/>
        <c:overlap val="-24"/>
        <c:axId val="818976223"/>
        <c:axId val="818976639"/>
      </c:barChart>
      <c:catAx>
        <c:axId val="8189762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3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818976639"/>
        <c:crosses val="autoZero"/>
        <c:auto val="1"/>
        <c:lblAlgn val="ctr"/>
        <c:lblOffset val="100"/>
        <c:noMultiLvlLbl val="0"/>
      </c:catAx>
      <c:valAx>
        <c:axId val="818976639"/>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8189762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997371239012477E-2"/>
          <c:y val="8.9504300567171388E-2"/>
          <c:w val="0.87042367884060001"/>
          <c:h val="0.76951194721657934"/>
        </c:manualLayout>
      </c:layout>
      <c:barChart>
        <c:barDir val="col"/>
        <c:grouping val="clustered"/>
        <c:varyColors val="0"/>
        <c:ser>
          <c:idx val="0"/>
          <c:order val="0"/>
          <c:spPr>
            <a:gradFill flip="none" rotWithShape="1">
              <a:gsLst>
                <a:gs pos="0">
                  <a:srgbClr val="527DE8">
                    <a:shade val="30000"/>
                    <a:satMod val="115000"/>
                  </a:srgbClr>
                </a:gs>
                <a:gs pos="50000">
                  <a:srgbClr val="527DE8">
                    <a:shade val="67500"/>
                    <a:satMod val="115000"/>
                  </a:srgbClr>
                </a:gs>
                <a:gs pos="100000">
                  <a:srgbClr val="527DE8">
                    <a:shade val="100000"/>
                    <a:satMod val="115000"/>
                  </a:srgbClr>
                </a:gs>
              </a:gsLst>
              <a:path path="circle">
                <a:fillToRect l="100000" t="100000"/>
              </a:path>
              <a:tileRect r="-100000" b="-100000"/>
            </a:gra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Лист1!$C$23:$C$29</c:f>
              <c:strCache>
                <c:ptCount val="7"/>
                <c:pt idx="0">
                  <c:v>2019</c:v>
                </c:pt>
                <c:pt idx="1">
                  <c:v>2020</c:v>
                </c:pt>
                <c:pt idx="2">
                  <c:v>2021</c:v>
                </c:pt>
                <c:pt idx="3">
                  <c:v>2022</c:v>
                </c:pt>
                <c:pt idx="4">
                  <c:v>2023</c:v>
                </c:pt>
                <c:pt idx="5">
                  <c:v>2024</c:v>
                </c:pt>
                <c:pt idx="6">
                  <c:v>2025 (янв-фев)</c:v>
                </c:pt>
              </c:strCache>
            </c:strRef>
          </c:cat>
          <c:val>
            <c:numRef>
              <c:f>Лист1!$D$23:$D$29</c:f>
              <c:numCache>
                <c:formatCode>General</c:formatCode>
                <c:ptCount val="7"/>
                <c:pt idx="0">
                  <c:v>2</c:v>
                </c:pt>
                <c:pt idx="1">
                  <c:v>3</c:v>
                </c:pt>
                <c:pt idx="2">
                  <c:v>5.6</c:v>
                </c:pt>
                <c:pt idx="3">
                  <c:v>3.8</c:v>
                </c:pt>
                <c:pt idx="4">
                  <c:v>5</c:v>
                </c:pt>
                <c:pt idx="5">
                  <c:v>8.8000000000000007</c:v>
                </c:pt>
                <c:pt idx="6">
                  <c:v>3.3</c:v>
                </c:pt>
              </c:numCache>
            </c:numRef>
          </c:val>
          <c:extLst>
            <c:ext xmlns:c16="http://schemas.microsoft.com/office/drawing/2014/chart" uri="{C3380CC4-5D6E-409C-BE32-E72D297353CC}">
              <c16:uniqueId val="{00000000-F327-40FA-9EAE-150F543AE21A}"/>
            </c:ext>
          </c:extLst>
        </c:ser>
        <c:dLbls>
          <c:showLegendKey val="0"/>
          <c:showVal val="0"/>
          <c:showCatName val="0"/>
          <c:showSerName val="0"/>
          <c:showPercent val="0"/>
          <c:showBubbleSize val="0"/>
        </c:dLbls>
        <c:gapWidth val="100"/>
        <c:overlap val="-24"/>
        <c:axId val="1194344335"/>
        <c:axId val="1194790591"/>
      </c:barChart>
      <c:catAx>
        <c:axId val="119434433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94790591"/>
        <c:crosses val="autoZero"/>
        <c:auto val="1"/>
        <c:lblAlgn val="ctr"/>
        <c:lblOffset val="100"/>
        <c:noMultiLvlLbl val="0"/>
      </c:catAx>
      <c:valAx>
        <c:axId val="119479059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1943443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млн. ед.</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2020 г.</c:v>
                </c:pt>
                <c:pt idx="1">
                  <c:v>2021 г.</c:v>
                </c:pt>
                <c:pt idx="2">
                  <c:v>2022 г.</c:v>
                </c:pt>
                <c:pt idx="3">
                  <c:v>2023 г.</c:v>
                </c:pt>
                <c:pt idx="4">
                  <c:v>2024 г.</c:v>
                </c:pt>
              </c:strCache>
            </c:strRef>
          </c:cat>
          <c:val>
            <c:numRef>
              <c:f>Лист1!$B$2:$B$6</c:f>
              <c:numCache>
                <c:formatCode>General</c:formatCode>
                <c:ptCount val="5"/>
                <c:pt idx="0">
                  <c:v>3.5</c:v>
                </c:pt>
                <c:pt idx="1">
                  <c:v>4.8</c:v>
                </c:pt>
                <c:pt idx="2">
                  <c:v>5.2</c:v>
                </c:pt>
                <c:pt idx="3">
                  <c:v>6</c:v>
                </c:pt>
                <c:pt idx="4">
                  <c:v>6.1</c:v>
                </c:pt>
              </c:numCache>
            </c:numRef>
          </c:val>
          <c:smooth val="0"/>
          <c:extLst>
            <c:ext xmlns:c16="http://schemas.microsoft.com/office/drawing/2014/chart" uri="{C3380CC4-5D6E-409C-BE32-E72D297353CC}">
              <c16:uniqueId val="{00000000-FE69-4FF2-AE08-47A2129F74C5}"/>
            </c:ext>
          </c:extLst>
        </c:ser>
        <c:dLbls>
          <c:dLblPos val="t"/>
          <c:showLegendKey val="0"/>
          <c:showVal val="1"/>
          <c:showCatName val="0"/>
          <c:showSerName val="0"/>
          <c:showPercent val="0"/>
          <c:showBubbleSize val="0"/>
        </c:dLbls>
        <c:smooth val="0"/>
        <c:axId val="526721752"/>
        <c:axId val="526722472"/>
      </c:lineChart>
      <c:catAx>
        <c:axId val="526721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6722472"/>
        <c:crosses val="autoZero"/>
        <c:auto val="1"/>
        <c:lblAlgn val="ctr"/>
        <c:lblOffset val="100"/>
        <c:noMultiLvlLbl val="0"/>
      </c:catAx>
      <c:valAx>
        <c:axId val="526722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6721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598"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pieChart>
        <c:varyColors val="1"/>
        <c:ser>
          <c:idx val="0"/>
          <c:order val="0"/>
          <c:tx>
            <c:strRef>
              <c:f>Лист1!$B$1</c:f>
              <c:strCache>
                <c:ptCount val="1"/>
                <c:pt idx="0">
                  <c:v>Сокращение издержек</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D9B7-40E7-83C8-26981B72632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9B7-40E7-83C8-26981B726327}"/>
              </c:ext>
            </c:extLst>
          </c:dPt>
          <c:dLbls>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lt1">
                        <a:lumMod val="8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16">
                  <a:solidFill>
                    <a:schemeClr val="lt1">
                      <a:lumMod val="95000"/>
                      <a:alpha val="54000"/>
                    </a:schemeClr>
                  </a:solidFill>
                </a:ln>
                <a:effectLst/>
              </c:spPr>
            </c:leaderLines>
            <c:extLst>
              <c:ext xmlns:c15="http://schemas.microsoft.com/office/drawing/2012/chart" uri="{CE6537A1-D6FC-4f65-9D91-7224C49458BB}"/>
            </c:extLst>
          </c:dLbls>
          <c:cat>
            <c:strRef>
              <c:f>Лист1!$A$2:$A$3</c:f>
              <c:strCache>
                <c:ptCount val="2"/>
                <c:pt idx="0">
                  <c:v>18-20%</c:v>
                </c:pt>
                <c:pt idx="1">
                  <c:v>81%</c:v>
                </c:pt>
              </c:strCache>
            </c:strRef>
          </c:cat>
          <c:val>
            <c:numRef>
              <c:f>Лист1!$B$2:$B$3</c:f>
              <c:numCache>
                <c:formatCode>0%</c:formatCode>
                <c:ptCount val="2"/>
                <c:pt idx="0">
                  <c:v>0.19</c:v>
                </c:pt>
                <c:pt idx="1">
                  <c:v>0.81</c:v>
                </c:pt>
              </c:numCache>
            </c:numRef>
          </c:val>
          <c:extLst>
            <c:ext xmlns:c16="http://schemas.microsoft.com/office/drawing/2014/chart" uri="{C3380CC4-5D6E-409C-BE32-E72D297353CC}">
              <c16:uniqueId val="{00000002-D9B7-40E7-83C8-26981B726327}"/>
            </c:ext>
          </c:extLst>
        </c:ser>
        <c:dLbls>
          <c:showLegendKey val="0"/>
          <c:showVal val="0"/>
          <c:showCatName val="0"/>
          <c:showSerName val="0"/>
          <c:showPercent val="0"/>
          <c:showBubbleSize val="0"/>
          <c:showLeaderLines val="1"/>
        </c:dLbls>
        <c:firstSliceAng val="0"/>
      </c:pieChart>
      <c:spPr>
        <a:noFill/>
        <a:ln w="2537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7" b="1" i="0" u="none" strike="noStrike" kern="1200" baseline="0">
                <a:solidFill>
                  <a:schemeClr val="dk1">
                    <a:lumMod val="75000"/>
                    <a:lumOff val="25000"/>
                  </a:schemeClr>
                </a:solidFill>
                <a:latin typeface="+mn-lt"/>
                <a:ea typeface="+mn-ea"/>
                <a:cs typeface="+mn-cs"/>
              </a:defRPr>
            </a:pPr>
            <a:r>
              <a:rPr lang="ru-RU"/>
              <a:t>Сокращение времени обработки</a:t>
            </a:r>
          </a:p>
        </c:rich>
      </c:tx>
      <c:overlay val="0"/>
      <c:spPr>
        <a:noFill/>
        <a:ln>
          <a:noFill/>
        </a:ln>
        <a:effectLst/>
      </c:spPr>
    </c:title>
    <c:autoTitleDeleted val="0"/>
    <c:plotArea>
      <c:layout/>
      <c:pieChart>
        <c:varyColors val="1"/>
        <c:ser>
          <c:idx val="0"/>
          <c:order val="0"/>
          <c:tx>
            <c:strRef>
              <c:f>Лист1!$B$1</c:f>
              <c:strCache>
                <c:ptCount val="1"/>
                <c:pt idx="0">
                  <c:v>Сокращение времени обработки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6EFD-43AB-A046-904AB8AD1E6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EFD-43AB-A046-904AB8AD1E6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98"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10">
                  <a:solidFill>
                    <a:schemeClr val="dk1">
                      <a:lumMod val="50000"/>
                      <a:lumOff val="50000"/>
                    </a:schemeClr>
                  </a:solidFill>
                </a:ln>
                <a:effectLst/>
              </c:spPr>
            </c:leaderLines>
            <c:extLst>
              <c:ext xmlns:c15="http://schemas.microsoft.com/office/drawing/2012/chart" uri="{CE6537A1-D6FC-4f65-9D91-7224C49458BB}"/>
            </c:extLst>
          </c:dLbls>
          <c:cat>
            <c:numRef>
              <c:f>Лист1!$A$2:$A$3</c:f>
              <c:numCache>
                <c:formatCode>0%</c:formatCode>
                <c:ptCount val="2"/>
                <c:pt idx="0">
                  <c:v>0.25</c:v>
                </c:pt>
                <c:pt idx="1">
                  <c:v>0.75</c:v>
                </c:pt>
              </c:numCache>
            </c:numRef>
          </c:cat>
          <c:val>
            <c:numRef>
              <c:f>Лист1!$B$2:$B$3</c:f>
              <c:numCache>
                <c:formatCode>0%</c:formatCode>
                <c:ptCount val="2"/>
                <c:pt idx="0">
                  <c:v>0.25</c:v>
                </c:pt>
                <c:pt idx="1">
                  <c:v>0.75</c:v>
                </c:pt>
              </c:numCache>
            </c:numRef>
          </c:val>
          <c:extLst>
            <c:ext xmlns:c16="http://schemas.microsoft.com/office/drawing/2014/chart" uri="{C3380CC4-5D6E-409C-BE32-E72D297353CC}">
              <c16:uniqueId val="{00000002-6EFD-43AB-A046-904AB8AD1E60}"/>
            </c:ext>
          </c:extLst>
        </c:ser>
        <c:dLbls>
          <c:showLegendKey val="0"/>
          <c:showVal val="0"/>
          <c:showCatName val="0"/>
          <c:showSerName val="0"/>
          <c:showPercent val="0"/>
          <c:showBubbleSize val="0"/>
          <c:showLeaderLines val="1"/>
        </c:dLbls>
        <c:firstSliceAng val="0"/>
      </c:pieChart>
      <c:spPr>
        <a:noFill/>
        <a:ln w="25359">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9"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0"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598"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pieChart>
        <c:varyColors val="1"/>
        <c:ser>
          <c:idx val="0"/>
          <c:order val="0"/>
          <c:tx>
            <c:strRef>
              <c:f>Лист1!$B$1</c:f>
              <c:strCache>
                <c:ptCount val="1"/>
                <c:pt idx="0">
                  <c:v>Повышение конверсии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23CB-476F-8A76-9B213BCE96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3CB-476F-8A76-9B213BCE9677}"/>
              </c:ext>
            </c:extLst>
          </c:dPt>
          <c:dLbls>
            <c:dLbl>
              <c:idx val="0"/>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lt1">
                          <a:lumMod val="85000"/>
                        </a:schemeClr>
                      </a:solidFill>
                      <a:latin typeface="+mn-lt"/>
                      <a:ea typeface="+mn-ea"/>
                      <a:cs typeface="+mn-cs"/>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0-23CB-476F-8A76-9B213BCE9677}"/>
                </c:ext>
              </c:extLst>
            </c:dLbl>
            <c:dLbl>
              <c:idx val="1"/>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lt1">
                          <a:lumMod val="85000"/>
                        </a:schemeClr>
                      </a:solidFill>
                      <a:effectLst>
                        <a:outerShdw blurRad="50800" dist="50800" dir="5400000" algn="ctr" rotWithShape="0">
                          <a:srgbClr val="000000">
                            <a:alpha val="84000"/>
                          </a:srgbClr>
                        </a:outerShdw>
                      </a:effectLst>
                      <a:latin typeface="+mn-lt"/>
                      <a:ea typeface="+mn-ea"/>
                      <a:cs typeface="+mn-cs"/>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1-23CB-476F-8A76-9B213BCE9677}"/>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lt1">
                        <a:lumMod val="8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16">
                  <a:solidFill>
                    <a:schemeClr val="lt1">
                      <a:lumMod val="95000"/>
                      <a:alpha val="54000"/>
                    </a:schemeClr>
                  </a:solidFill>
                </a:ln>
                <a:effectLst/>
              </c:spPr>
            </c:leaderLines>
            <c:extLst>
              <c:ext xmlns:c15="http://schemas.microsoft.com/office/drawing/2012/chart" uri="{CE6537A1-D6FC-4f65-9D91-7224C49458BB}"/>
            </c:extLst>
          </c:dLbls>
          <c:cat>
            <c:strRef>
              <c:f>Лист1!$A$2:$A$3</c:f>
              <c:strCache>
                <c:ptCount val="2"/>
                <c:pt idx="0">
                  <c:v>20-25%</c:v>
                </c:pt>
                <c:pt idx="1">
                  <c:v>77%</c:v>
                </c:pt>
              </c:strCache>
            </c:strRef>
          </c:cat>
          <c:val>
            <c:numRef>
              <c:f>Лист1!$B$2:$B$3</c:f>
              <c:numCache>
                <c:formatCode>0%</c:formatCode>
                <c:ptCount val="2"/>
                <c:pt idx="0">
                  <c:v>0.22500000000000001</c:v>
                </c:pt>
                <c:pt idx="1">
                  <c:v>0.76500000000000001</c:v>
                </c:pt>
              </c:numCache>
            </c:numRef>
          </c:val>
          <c:extLst>
            <c:ext xmlns:c16="http://schemas.microsoft.com/office/drawing/2014/chart" uri="{C3380CC4-5D6E-409C-BE32-E72D297353CC}">
              <c16:uniqueId val="{00000002-23CB-476F-8A76-9B213BCE9677}"/>
            </c:ext>
          </c:extLst>
        </c:ser>
        <c:dLbls>
          <c:showLegendKey val="0"/>
          <c:showVal val="0"/>
          <c:showCatName val="0"/>
          <c:showSerName val="0"/>
          <c:showPercent val="0"/>
          <c:showBubbleSize val="0"/>
          <c:showLeaderLines val="1"/>
        </c:dLbls>
        <c:firstSliceAng val="0"/>
      </c:pieChart>
      <c:spPr>
        <a:noFill/>
        <a:ln w="2537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ИИ</c:v>
                </c:pt>
              </c:strCache>
            </c:strRef>
          </c:tx>
          <c:invertIfNegative val="0"/>
          <c:cat>
            <c:strRef>
              <c:f>Лист1!$A$2:$A$8</c:f>
              <c:strCache>
                <c:ptCount val="7"/>
                <c:pt idx="0">
                  <c:v>Скорость</c:v>
                </c:pt>
                <c:pt idx="1">
                  <c:v>Креативность</c:v>
                </c:pt>
                <c:pt idx="2">
                  <c:v>Масштабируемость</c:v>
                </c:pt>
                <c:pt idx="3">
                  <c:v>Эмоции</c:v>
                </c:pt>
                <c:pt idx="4">
                  <c:v>Контекст</c:v>
                </c:pt>
                <c:pt idx="5">
                  <c:v>SEO</c:v>
                </c:pt>
                <c:pt idx="6">
                  <c:v>Персонализация</c:v>
                </c:pt>
              </c:strCache>
            </c:strRef>
          </c:cat>
          <c:val>
            <c:numRef>
              <c:f>Лист1!$B$2:$B$8</c:f>
              <c:numCache>
                <c:formatCode>General</c:formatCode>
                <c:ptCount val="7"/>
                <c:pt idx="0">
                  <c:v>9</c:v>
                </c:pt>
                <c:pt idx="1">
                  <c:v>4</c:v>
                </c:pt>
                <c:pt idx="2">
                  <c:v>10</c:v>
                </c:pt>
                <c:pt idx="3">
                  <c:v>2</c:v>
                </c:pt>
                <c:pt idx="4">
                  <c:v>6</c:v>
                </c:pt>
                <c:pt idx="5">
                  <c:v>8</c:v>
                </c:pt>
                <c:pt idx="6">
                  <c:v>4</c:v>
                </c:pt>
              </c:numCache>
            </c:numRef>
          </c:val>
          <c:extLst>
            <c:ext xmlns:c16="http://schemas.microsoft.com/office/drawing/2014/chart" uri="{C3380CC4-5D6E-409C-BE32-E72D297353CC}">
              <c16:uniqueId val="{00000000-78CD-4C49-B7B9-3CF10C10C448}"/>
            </c:ext>
          </c:extLst>
        </c:ser>
        <c:ser>
          <c:idx val="1"/>
          <c:order val="1"/>
          <c:tx>
            <c:strRef>
              <c:f>Лист1!$C$1</c:f>
              <c:strCache>
                <c:ptCount val="1"/>
                <c:pt idx="0">
                  <c:v>Копирайтер</c:v>
                </c:pt>
              </c:strCache>
            </c:strRef>
          </c:tx>
          <c:invertIfNegative val="0"/>
          <c:cat>
            <c:strRef>
              <c:f>Лист1!$A$2:$A$8</c:f>
              <c:strCache>
                <c:ptCount val="7"/>
                <c:pt idx="0">
                  <c:v>Скорость</c:v>
                </c:pt>
                <c:pt idx="1">
                  <c:v>Креативность</c:v>
                </c:pt>
                <c:pt idx="2">
                  <c:v>Масштабируемость</c:v>
                </c:pt>
                <c:pt idx="3">
                  <c:v>Эмоции</c:v>
                </c:pt>
                <c:pt idx="4">
                  <c:v>Контекст</c:v>
                </c:pt>
                <c:pt idx="5">
                  <c:v>SEO</c:v>
                </c:pt>
                <c:pt idx="6">
                  <c:v>Персонализация</c:v>
                </c:pt>
              </c:strCache>
            </c:strRef>
          </c:cat>
          <c:val>
            <c:numRef>
              <c:f>Лист1!$C$2:$C$8</c:f>
              <c:numCache>
                <c:formatCode>General</c:formatCode>
                <c:ptCount val="7"/>
                <c:pt idx="0">
                  <c:v>5</c:v>
                </c:pt>
                <c:pt idx="1">
                  <c:v>9</c:v>
                </c:pt>
                <c:pt idx="2">
                  <c:v>7</c:v>
                </c:pt>
                <c:pt idx="3">
                  <c:v>10</c:v>
                </c:pt>
                <c:pt idx="4">
                  <c:v>9</c:v>
                </c:pt>
                <c:pt idx="5">
                  <c:v>8</c:v>
                </c:pt>
                <c:pt idx="6">
                  <c:v>8</c:v>
                </c:pt>
              </c:numCache>
            </c:numRef>
          </c:val>
          <c:extLst>
            <c:ext xmlns:c16="http://schemas.microsoft.com/office/drawing/2014/chart" uri="{C3380CC4-5D6E-409C-BE32-E72D297353CC}">
              <c16:uniqueId val="{00000001-78CD-4C49-B7B9-3CF10C10C448}"/>
            </c:ext>
          </c:extLst>
        </c:ser>
        <c:dLbls>
          <c:showLegendKey val="0"/>
          <c:showVal val="0"/>
          <c:showCatName val="0"/>
          <c:showSerName val="0"/>
          <c:showPercent val="0"/>
          <c:showBubbleSize val="0"/>
        </c:dLbls>
        <c:gapWidth val="150"/>
        <c:axId val="104846848"/>
        <c:axId val="104848384"/>
      </c:barChart>
      <c:catAx>
        <c:axId val="104846848"/>
        <c:scaling>
          <c:orientation val="minMax"/>
        </c:scaling>
        <c:delete val="0"/>
        <c:axPos val="b"/>
        <c:numFmt formatCode="General" sourceLinked="0"/>
        <c:majorTickMark val="out"/>
        <c:minorTickMark val="none"/>
        <c:tickLblPos val="nextTo"/>
        <c:crossAx val="104848384"/>
        <c:crosses val="autoZero"/>
        <c:auto val="1"/>
        <c:lblAlgn val="ctr"/>
        <c:lblOffset val="100"/>
        <c:noMultiLvlLbl val="0"/>
      </c:catAx>
      <c:valAx>
        <c:axId val="104848384"/>
        <c:scaling>
          <c:orientation val="minMax"/>
        </c:scaling>
        <c:delete val="0"/>
        <c:axPos val="l"/>
        <c:majorGridlines/>
        <c:numFmt formatCode="General" sourceLinked="1"/>
        <c:majorTickMark val="out"/>
        <c:minorTickMark val="none"/>
        <c:tickLblPos val="nextTo"/>
        <c:crossAx val="104846848"/>
        <c:crosses val="autoZero"/>
        <c:crossBetween val="between"/>
      </c:valAx>
    </c:plotArea>
    <c:legend>
      <c:legendPos val="r"/>
      <c:overlay val="0"/>
      <c:txPr>
        <a:bodyPr/>
        <a:lstStyle/>
        <a:p>
          <a:pPr algn="just">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'[радар диаграм.xlsx]Лист1'!$B$1</c:f>
              <c:strCache>
                <c:ptCount val="1"/>
                <c:pt idx="0">
                  <c:v>Яндекс.Директ</c:v>
                </c:pt>
              </c:strCache>
            </c:strRef>
          </c:tx>
          <c:spPr>
            <a:ln w="28575" cap="rnd">
              <a:solidFill>
                <a:schemeClr val="accent1"/>
              </a:solidFill>
              <a:round/>
            </a:ln>
            <a:effectLst/>
          </c:spPr>
          <c:marker>
            <c:symbol val="none"/>
          </c:marker>
          <c:cat>
            <c:strRef>
              <c:f>'[радар диаграм.xlsx]Лист1'!$A$2:$A$8</c:f>
              <c:strCache>
                <c:ptCount val="7"/>
                <c:pt idx="0">
                  <c:v>Охват аудитории</c:v>
                </c:pt>
                <c:pt idx="1">
                  <c:v>Стоимость рекламы</c:v>
                </c:pt>
                <c:pt idx="3">
                  <c:v>Таргетинг</c:v>
                </c:pt>
                <c:pt idx="4">
                  <c:v>Форматы рекламы</c:v>
                </c:pt>
                <c:pt idx="5">
                  <c:v>Инструменты аналитики</c:v>
                </c:pt>
                <c:pt idx="6">
                  <c:v>Юридические ограничения</c:v>
                </c:pt>
              </c:strCache>
            </c:strRef>
          </c:cat>
          <c:val>
            <c:numRef>
              <c:f>'[радар диаграм.xlsx]Лист1'!$B$2:$B$8</c:f>
              <c:numCache>
                <c:formatCode>General</c:formatCode>
                <c:ptCount val="7"/>
                <c:pt idx="0">
                  <c:v>6</c:v>
                </c:pt>
                <c:pt idx="1">
                  <c:v>6</c:v>
                </c:pt>
                <c:pt idx="3">
                  <c:v>7</c:v>
                </c:pt>
                <c:pt idx="4">
                  <c:v>4</c:v>
                </c:pt>
                <c:pt idx="5">
                  <c:v>8</c:v>
                </c:pt>
                <c:pt idx="6">
                  <c:v>8</c:v>
                </c:pt>
              </c:numCache>
            </c:numRef>
          </c:val>
          <c:extLst>
            <c:ext xmlns:c16="http://schemas.microsoft.com/office/drawing/2014/chart" uri="{C3380CC4-5D6E-409C-BE32-E72D297353CC}">
              <c16:uniqueId val="{00000000-835C-43EA-86B6-BAC7ED509573}"/>
            </c:ext>
          </c:extLst>
        </c:ser>
        <c:ser>
          <c:idx val="1"/>
          <c:order val="1"/>
          <c:tx>
            <c:strRef>
              <c:f>'[радар диаграм.xlsx]Лист1'!$C$1</c:f>
              <c:strCache>
                <c:ptCount val="1"/>
                <c:pt idx="0">
                  <c:v>VK Реклама</c:v>
                </c:pt>
              </c:strCache>
            </c:strRef>
          </c:tx>
          <c:spPr>
            <a:ln w="28575" cap="rnd">
              <a:solidFill>
                <a:schemeClr val="accent2"/>
              </a:solidFill>
              <a:round/>
            </a:ln>
            <a:effectLst/>
          </c:spPr>
          <c:marker>
            <c:symbol val="none"/>
          </c:marker>
          <c:cat>
            <c:strRef>
              <c:f>'[радар диаграм.xlsx]Лист1'!$A$2:$A$8</c:f>
              <c:strCache>
                <c:ptCount val="7"/>
                <c:pt idx="0">
                  <c:v>Охват аудитории</c:v>
                </c:pt>
                <c:pt idx="1">
                  <c:v>Стоимость рекламы</c:v>
                </c:pt>
                <c:pt idx="3">
                  <c:v>Таргетинг</c:v>
                </c:pt>
                <c:pt idx="4">
                  <c:v>Форматы рекламы</c:v>
                </c:pt>
                <c:pt idx="5">
                  <c:v>Инструменты аналитики</c:v>
                </c:pt>
                <c:pt idx="6">
                  <c:v>Юридические ограничения</c:v>
                </c:pt>
              </c:strCache>
            </c:strRef>
          </c:cat>
          <c:val>
            <c:numRef>
              <c:f>'[радар диаграм.xlsx]Лист1'!$C$2:$C$8</c:f>
              <c:numCache>
                <c:formatCode>General</c:formatCode>
                <c:ptCount val="7"/>
                <c:pt idx="0">
                  <c:v>8</c:v>
                </c:pt>
                <c:pt idx="1">
                  <c:v>8</c:v>
                </c:pt>
                <c:pt idx="3">
                  <c:v>9</c:v>
                </c:pt>
                <c:pt idx="4">
                  <c:v>9</c:v>
                </c:pt>
                <c:pt idx="5">
                  <c:v>9</c:v>
                </c:pt>
                <c:pt idx="6">
                  <c:v>7</c:v>
                </c:pt>
              </c:numCache>
            </c:numRef>
          </c:val>
          <c:extLst>
            <c:ext xmlns:c16="http://schemas.microsoft.com/office/drawing/2014/chart" uri="{C3380CC4-5D6E-409C-BE32-E72D297353CC}">
              <c16:uniqueId val="{00000001-835C-43EA-86B6-BAC7ED509573}"/>
            </c:ext>
          </c:extLst>
        </c:ser>
        <c:ser>
          <c:idx val="2"/>
          <c:order val="2"/>
          <c:tx>
            <c:strRef>
              <c:f>'[радар диаграм.xlsx]Лист1'!$D$1</c:f>
              <c:strCache>
                <c:ptCount val="1"/>
                <c:pt idx="0">
                  <c:v>Telegram ADS</c:v>
                </c:pt>
              </c:strCache>
            </c:strRef>
          </c:tx>
          <c:spPr>
            <a:ln w="28575" cap="rnd">
              <a:solidFill>
                <a:schemeClr val="accent3"/>
              </a:solidFill>
              <a:round/>
            </a:ln>
            <a:effectLst/>
          </c:spPr>
          <c:marker>
            <c:symbol val="none"/>
          </c:marker>
          <c:cat>
            <c:strRef>
              <c:f>'[радар диаграм.xlsx]Лист1'!$A$2:$A$8</c:f>
              <c:strCache>
                <c:ptCount val="7"/>
                <c:pt idx="0">
                  <c:v>Охват аудитории</c:v>
                </c:pt>
                <c:pt idx="1">
                  <c:v>Стоимость рекламы</c:v>
                </c:pt>
                <c:pt idx="3">
                  <c:v>Таргетинг</c:v>
                </c:pt>
                <c:pt idx="4">
                  <c:v>Форматы рекламы</c:v>
                </c:pt>
                <c:pt idx="5">
                  <c:v>Инструменты аналитики</c:v>
                </c:pt>
                <c:pt idx="6">
                  <c:v>Юридические ограничения</c:v>
                </c:pt>
              </c:strCache>
            </c:strRef>
          </c:cat>
          <c:val>
            <c:numRef>
              <c:f>'[радар диаграм.xlsx]Лист1'!$D$2:$D$8</c:f>
              <c:numCache>
                <c:formatCode>General</c:formatCode>
                <c:ptCount val="7"/>
                <c:pt idx="0">
                  <c:v>4</c:v>
                </c:pt>
                <c:pt idx="1">
                  <c:v>4</c:v>
                </c:pt>
                <c:pt idx="3">
                  <c:v>4</c:v>
                </c:pt>
                <c:pt idx="4">
                  <c:v>2</c:v>
                </c:pt>
                <c:pt idx="5">
                  <c:v>4</c:v>
                </c:pt>
                <c:pt idx="6">
                  <c:v>6</c:v>
                </c:pt>
              </c:numCache>
            </c:numRef>
          </c:val>
          <c:extLst>
            <c:ext xmlns:c16="http://schemas.microsoft.com/office/drawing/2014/chart" uri="{C3380CC4-5D6E-409C-BE32-E72D297353CC}">
              <c16:uniqueId val="{00000002-835C-43EA-86B6-BAC7ED509573}"/>
            </c:ext>
          </c:extLst>
        </c:ser>
        <c:ser>
          <c:idx val="3"/>
          <c:order val="3"/>
          <c:tx>
            <c:strRef>
              <c:f>'[радар диаграм.xlsx]Лист1'!$E$1</c:f>
              <c:strCache>
                <c:ptCount val="1"/>
                <c:pt idx="0">
                  <c:v>TikTok</c:v>
                </c:pt>
              </c:strCache>
            </c:strRef>
          </c:tx>
          <c:spPr>
            <a:ln w="28575" cap="rnd">
              <a:solidFill>
                <a:schemeClr val="accent4"/>
              </a:solidFill>
              <a:round/>
            </a:ln>
            <a:effectLst/>
          </c:spPr>
          <c:marker>
            <c:symbol val="none"/>
          </c:marker>
          <c:cat>
            <c:strRef>
              <c:f>'[радар диаграм.xlsx]Лист1'!$A$2:$A$8</c:f>
              <c:strCache>
                <c:ptCount val="7"/>
                <c:pt idx="0">
                  <c:v>Охват аудитории</c:v>
                </c:pt>
                <c:pt idx="1">
                  <c:v>Стоимость рекламы</c:v>
                </c:pt>
                <c:pt idx="3">
                  <c:v>Таргетинг</c:v>
                </c:pt>
                <c:pt idx="4">
                  <c:v>Форматы рекламы</c:v>
                </c:pt>
                <c:pt idx="5">
                  <c:v>Инструменты аналитики</c:v>
                </c:pt>
                <c:pt idx="6">
                  <c:v>Юридические ограничения</c:v>
                </c:pt>
              </c:strCache>
            </c:strRef>
          </c:cat>
          <c:val>
            <c:numRef>
              <c:f>'[радар диаграм.xlsx]Лист1'!$E$2:$E$8</c:f>
              <c:numCache>
                <c:formatCode>General</c:formatCode>
                <c:ptCount val="7"/>
                <c:pt idx="0">
                  <c:v>9</c:v>
                </c:pt>
                <c:pt idx="1">
                  <c:v>6</c:v>
                </c:pt>
                <c:pt idx="3">
                  <c:v>7</c:v>
                </c:pt>
                <c:pt idx="4">
                  <c:v>10</c:v>
                </c:pt>
                <c:pt idx="5">
                  <c:v>7</c:v>
                </c:pt>
                <c:pt idx="6">
                  <c:v>5</c:v>
                </c:pt>
              </c:numCache>
            </c:numRef>
          </c:val>
          <c:extLst>
            <c:ext xmlns:c16="http://schemas.microsoft.com/office/drawing/2014/chart" uri="{C3380CC4-5D6E-409C-BE32-E72D297353CC}">
              <c16:uniqueId val="{00000003-835C-43EA-86B6-BAC7ED509573}"/>
            </c:ext>
          </c:extLst>
        </c:ser>
        <c:dLbls>
          <c:showLegendKey val="0"/>
          <c:showVal val="0"/>
          <c:showCatName val="0"/>
          <c:showSerName val="0"/>
          <c:showPercent val="0"/>
          <c:showBubbleSize val="0"/>
        </c:dLbls>
        <c:axId val="410921928"/>
        <c:axId val="410921600"/>
      </c:radarChart>
      <c:catAx>
        <c:axId val="41092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921600"/>
        <c:crosses val="autoZero"/>
        <c:auto val="1"/>
        <c:lblAlgn val="ctr"/>
        <c:lblOffset val="100"/>
        <c:noMultiLvlLbl val="0"/>
      </c:catAx>
      <c:valAx>
        <c:axId val="41092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9219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800" b="1" i="0" cap="all" baseline="0">
                <a:effectLst/>
              </a:rPr>
              <a:t>neologisms of 2024</a:t>
            </a:r>
            <a:endParaRPr lang="ru-RU">
              <a:effectLst/>
            </a:endParaRP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39B-4DD9-B486-9FA59963D27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39B-4DD9-B486-9FA59963D27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39B-4DD9-B486-9FA59963D27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39B-4DD9-B486-9FA59963D27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39B-4DD9-B486-9FA59963D27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'[статья неологизмы.xlsx]Лист1'!$B$18:$B$22</c:f>
              <c:strCache>
                <c:ptCount val="5"/>
                <c:pt idx="0">
                  <c:v>Linguistic</c:v>
                </c:pt>
                <c:pt idx="1">
                  <c:v>Lexical</c:v>
                </c:pt>
                <c:pt idx="2">
                  <c:v>Semantic</c:v>
                </c:pt>
                <c:pt idx="3">
                  <c:v>Authorial</c:v>
                </c:pt>
                <c:pt idx="4">
                  <c:v>Occasionalisms</c:v>
                </c:pt>
              </c:strCache>
            </c:strRef>
          </c:cat>
          <c:val>
            <c:numRef>
              <c:f>'[статья неологизмы.xlsx]Лист1'!$D$18:$D$22</c:f>
              <c:numCache>
                <c:formatCode>0.00%</c:formatCode>
                <c:ptCount val="5"/>
                <c:pt idx="0">
                  <c:v>0.5</c:v>
                </c:pt>
                <c:pt idx="1">
                  <c:v>0.36359999999999998</c:v>
                </c:pt>
                <c:pt idx="2">
                  <c:v>0.13639999999999999</c:v>
                </c:pt>
                <c:pt idx="3" formatCode="General">
                  <c:v>0</c:v>
                </c:pt>
                <c:pt idx="4" formatCode="General">
                  <c:v>0</c:v>
                </c:pt>
              </c:numCache>
            </c:numRef>
          </c:val>
          <c:extLst>
            <c:ext xmlns:c16="http://schemas.microsoft.com/office/drawing/2014/chart" uri="{C3380CC4-5D6E-409C-BE32-E72D297353CC}">
              <c16:uniqueId val="{0000000A-239B-4DD9-B486-9FA59963D27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2022</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Лист1!$A$2:$A$5</c:f>
              <c:strCache>
                <c:ptCount val="4"/>
                <c:pt idx="0">
                  <c:v>Процент страховых компаний, внедряющих ИИ   </c:v>
                </c:pt>
                <c:pt idx="1">
                  <c:v>Процент клиентов, использующих мобильные приложения </c:v>
                </c:pt>
                <c:pt idx="2">
                  <c:v>Снижение операционных затрат (в %)          </c:v>
                </c:pt>
                <c:pt idx="3">
                  <c:v>Процент клиентов, желающих персонализированные продукты </c:v>
                </c:pt>
              </c:strCache>
            </c:strRef>
          </c:cat>
          <c:val>
            <c:numRef>
              <c:f>Лист1!$B$2:$B$5</c:f>
              <c:numCache>
                <c:formatCode>General</c:formatCode>
                <c:ptCount val="4"/>
                <c:pt idx="0">
                  <c:v>65</c:v>
                </c:pt>
                <c:pt idx="1">
                  <c:v>55</c:v>
                </c:pt>
                <c:pt idx="2">
                  <c:v>30</c:v>
                </c:pt>
                <c:pt idx="3">
                  <c:v>80</c:v>
                </c:pt>
              </c:numCache>
            </c:numRef>
          </c:val>
          <c:extLst>
            <c:ext xmlns:c16="http://schemas.microsoft.com/office/drawing/2014/chart" uri="{C3380CC4-5D6E-409C-BE32-E72D297353CC}">
              <c16:uniqueId val="{00000000-7724-4EB6-A8C3-34E191689416}"/>
            </c:ext>
          </c:extLst>
        </c:ser>
        <c:ser>
          <c:idx val="1"/>
          <c:order val="1"/>
          <c:tx>
            <c:strRef>
              <c:f>Лист1!$C$1</c:f>
              <c:strCache>
                <c:ptCount val="1"/>
                <c:pt idx="0">
                  <c:v>2023</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Лист1!$A$2:$A$5</c:f>
              <c:strCache>
                <c:ptCount val="4"/>
                <c:pt idx="0">
                  <c:v>Процент страховых компаний, внедряющих ИИ   </c:v>
                </c:pt>
                <c:pt idx="1">
                  <c:v>Процент клиентов, использующих мобильные приложения </c:v>
                </c:pt>
                <c:pt idx="2">
                  <c:v>Снижение операционных затрат (в %)          </c:v>
                </c:pt>
                <c:pt idx="3">
                  <c:v>Процент клиентов, желающих персонализированные продукты </c:v>
                </c:pt>
              </c:strCache>
            </c:strRef>
          </c:cat>
          <c:val>
            <c:numRef>
              <c:f>Лист1!$C$2:$C$5</c:f>
              <c:numCache>
                <c:formatCode>General</c:formatCode>
                <c:ptCount val="4"/>
                <c:pt idx="0">
                  <c:v>75</c:v>
                </c:pt>
                <c:pt idx="1">
                  <c:v>75</c:v>
                </c:pt>
                <c:pt idx="2">
                  <c:v>35</c:v>
                </c:pt>
                <c:pt idx="3">
                  <c:v>85</c:v>
                </c:pt>
              </c:numCache>
            </c:numRef>
          </c:val>
          <c:extLst>
            <c:ext xmlns:c16="http://schemas.microsoft.com/office/drawing/2014/chart" uri="{C3380CC4-5D6E-409C-BE32-E72D297353CC}">
              <c16:uniqueId val="{00000001-7724-4EB6-A8C3-34E191689416}"/>
            </c:ext>
          </c:extLst>
        </c:ser>
        <c:ser>
          <c:idx val="2"/>
          <c:order val="2"/>
          <c:tx>
            <c:strRef>
              <c:f>Лист1!$D$1</c:f>
              <c:strCache>
                <c:ptCount val="1"/>
                <c:pt idx="0">
                  <c:v>2024</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strRef>
              <c:f>Лист1!$A$2:$A$5</c:f>
              <c:strCache>
                <c:ptCount val="4"/>
                <c:pt idx="0">
                  <c:v>Процент страховых компаний, внедряющих ИИ   </c:v>
                </c:pt>
                <c:pt idx="1">
                  <c:v>Процент клиентов, использующих мобильные приложения </c:v>
                </c:pt>
                <c:pt idx="2">
                  <c:v>Снижение операционных затрат (в %)          </c:v>
                </c:pt>
                <c:pt idx="3">
                  <c:v>Процент клиентов, желающих персонализированные продукты </c:v>
                </c:pt>
              </c:strCache>
            </c:strRef>
          </c:cat>
          <c:val>
            <c:numRef>
              <c:f>Лист1!$D$2:$D$5</c:f>
              <c:numCache>
                <c:formatCode>General</c:formatCode>
                <c:ptCount val="4"/>
                <c:pt idx="0">
                  <c:v>85</c:v>
                </c:pt>
                <c:pt idx="1">
                  <c:v>85</c:v>
                </c:pt>
                <c:pt idx="2">
                  <c:v>40</c:v>
                </c:pt>
                <c:pt idx="3">
                  <c:v>90</c:v>
                </c:pt>
              </c:numCache>
            </c:numRef>
          </c:val>
          <c:extLst>
            <c:ext xmlns:c16="http://schemas.microsoft.com/office/drawing/2014/chart" uri="{C3380CC4-5D6E-409C-BE32-E72D297353CC}">
              <c16:uniqueId val="{00000002-7724-4EB6-A8C3-34E191689416}"/>
            </c:ext>
          </c:extLst>
        </c:ser>
        <c:dLbls>
          <c:showLegendKey val="0"/>
          <c:showVal val="0"/>
          <c:showCatName val="0"/>
          <c:showSerName val="0"/>
          <c:showPercent val="0"/>
          <c:showBubbleSize val="0"/>
        </c:dLbls>
        <c:gapWidth val="100"/>
        <c:overlap val="-24"/>
        <c:axId val="72612096"/>
        <c:axId val="80879616"/>
      </c:barChart>
      <c:catAx>
        <c:axId val="726120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80879616"/>
        <c:crosses val="autoZero"/>
        <c:auto val="1"/>
        <c:lblAlgn val="ctr"/>
        <c:lblOffset val="100"/>
        <c:noMultiLvlLbl val="0"/>
      </c:catAx>
      <c:valAx>
        <c:axId val="8087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7261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2022</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Лист1!$A$2:$A$4</c:f>
              <c:strCache>
                <c:ptCount val="3"/>
                <c:pt idx="0">
                  <c:v>Процент компаний, предлагающих страхование "по требованию" </c:v>
                </c:pt>
                <c:pt idx="1">
                  <c:v>Процент клиентов, предпочитающих гибкие полисы </c:v>
                </c:pt>
                <c:pt idx="2">
                  <c:v>Удовлетворенность клиентов гибкими решениями (в %) </c:v>
                </c:pt>
              </c:strCache>
            </c:strRef>
          </c:cat>
          <c:val>
            <c:numRef>
              <c:f>Лист1!$B$2:$B$4</c:f>
              <c:numCache>
                <c:formatCode>General</c:formatCode>
                <c:ptCount val="3"/>
                <c:pt idx="0">
                  <c:v>20</c:v>
                </c:pt>
                <c:pt idx="1">
                  <c:v>40</c:v>
                </c:pt>
                <c:pt idx="2">
                  <c:v>60</c:v>
                </c:pt>
              </c:numCache>
            </c:numRef>
          </c:val>
          <c:extLst>
            <c:ext xmlns:c16="http://schemas.microsoft.com/office/drawing/2014/chart" uri="{C3380CC4-5D6E-409C-BE32-E72D297353CC}">
              <c16:uniqueId val="{00000000-A043-457D-B94C-000B5E79E8F5}"/>
            </c:ext>
          </c:extLst>
        </c:ser>
        <c:ser>
          <c:idx val="1"/>
          <c:order val="1"/>
          <c:tx>
            <c:strRef>
              <c:f>Лист1!$C$1</c:f>
              <c:strCache>
                <c:ptCount val="1"/>
                <c:pt idx="0">
                  <c:v>2023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Лист1!$A$2:$A$4</c:f>
              <c:strCache>
                <c:ptCount val="3"/>
                <c:pt idx="0">
                  <c:v>Процент компаний, предлагающих страхование "по требованию" </c:v>
                </c:pt>
                <c:pt idx="1">
                  <c:v>Процент клиентов, предпочитающих гибкие полисы </c:v>
                </c:pt>
                <c:pt idx="2">
                  <c:v>Удовлетворенность клиентов гибкими решениями (в %) </c:v>
                </c:pt>
              </c:strCache>
            </c:strRef>
          </c:cat>
          <c:val>
            <c:numRef>
              <c:f>Лист1!$C$2:$C$4</c:f>
              <c:numCache>
                <c:formatCode>General</c:formatCode>
                <c:ptCount val="3"/>
                <c:pt idx="0">
                  <c:v>35</c:v>
                </c:pt>
                <c:pt idx="1">
                  <c:v>55</c:v>
                </c:pt>
                <c:pt idx="2">
                  <c:v>70</c:v>
                </c:pt>
              </c:numCache>
            </c:numRef>
          </c:val>
          <c:extLst>
            <c:ext xmlns:c16="http://schemas.microsoft.com/office/drawing/2014/chart" uri="{C3380CC4-5D6E-409C-BE32-E72D297353CC}">
              <c16:uniqueId val="{00000001-A043-457D-B94C-000B5E79E8F5}"/>
            </c:ext>
          </c:extLst>
        </c:ser>
        <c:ser>
          <c:idx val="2"/>
          <c:order val="2"/>
          <c:tx>
            <c:strRef>
              <c:f>Лист1!$D$1</c:f>
              <c:strCache>
                <c:ptCount val="1"/>
                <c:pt idx="0">
                  <c:v>2024</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Лист1!$A$2:$A$4</c:f>
              <c:strCache>
                <c:ptCount val="3"/>
                <c:pt idx="0">
                  <c:v>Процент компаний, предлагающих страхование "по требованию" </c:v>
                </c:pt>
                <c:pt idx="1">
                  <c:v>Процент клиентов, предпочитающих гибкие полисы </c:v>
                </c:pt>
                <c:pt idx="2">
                  <c:v>Удовлетворенность клиентов гибкими решениями (в %) </c:v>
                </c:pt>
              </c:strCache>
            </c:strRef>
          </c:cat>
          <c:val>
            <c:numRef>
              <c:f>Лист1!$D$2:$D$4</c:f>
              <c:numCache>
                <c:formatCode>General</c:formatCode>
                <c:ptCount val="3"/>
                <c:pt idx="0">
                  <c:v>50</c:v>
                </c:pt>
                <c:pt idx="1">
                  <c:v>70</c:v>
                </c:pt>
                <c:pt idx="2">
                  <c:v>80</c:v>
                </c:pt>
              </c:numCache>
            </c:numRef>
          </c:val>
          <c:extLst>
            <c:ext xmlns:c16="http://schemas.microsoft.com/office/drawing/2014/chart" uri="{C3380CC4-5D6E-409C-BE32-E72D297353CC}">
              <c16:uniqueId val="{00000002-A043-457D-B94C-000B5E79E8F5}"/>
            </c:ext>
          </c:extLst>
        </c:ser>
        <c:dLbls>
          <c:showLegendKey val="0"/>
          <c:showVal val="0"/>
          <c:showCatName val="0"/>
          <c:showSerName val="0"/>
          <c:showPercent val="0"/>
          <c:showBubbleSize val="0"/>
        </c:dLbls>
        <c:gapWidth val="150"/>
        <c:shape val="cone"/>
        <c:axId val="91989120"/>
        <c:axId val="91990656"/>
        <c:axId val="196060928"/>
      </c:bar3DChart>
      <c:catAx>
        <c:axId val="91989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1990656"/>
        <c:crosses val="autoZero"/>
        <c:auto val="1"/>
        <c:lblAlgn val="ctr"/>
        <c:lblOffset val="100"/>
        <c:noMultiLvlLbl val="0"/>
      </c:catAx>
      <c:valAx>
        <c:axId val="919906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1989120"/>
        <c:crosses val="autoZero"/>
        <c:crossBetween val="between"/>
      </c:valAx>
      <c:serAx>
        <c:axId val="196060928"/>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19906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Лист1!$A$24</c:f>
              <c:strCache>
                <c:ptCount val="1"/>
                <c:pt idx="0">
                  <c:v>Объем кредитов физ лицам, млрд руб.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1432671262112997E-2"/>
                  <c:y val="5.2306633312626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52-471F-A4CB-BC69989538AA}"/>
                </c:ext>
              </c:extLst>
            </c:dLbl>
            <c:dLbl>
              <c:idx val="2"/>
              <c:layout>
                <c:manualLayout>
                  <c:x val="-5.5809243567737511E-2"/>
                  <c:y val="-4.3690546144418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52-471F-A4CB-BC69989538AA}"/>
                </c:ext>
              </c:extLst>
            </c:dLbl>
            <c:dLbl>
              <c:idx val="3"/>
              <c:layout>
                <c:manualLayout>
                  <c:x val="-5.305651672433688E-2"/>
                  <c:y val="4.6908315565031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52-471F-A4CB-BC69989538AA}"/>
                </c:ext>
              </c:extLst>
            </c:dLbl>
            <c:dLbl>
              <c:idx val="4"/>
              <c:layout>
                <c:manualLayout>
                  <c:x val="-9.1324200913242004E-2"/>
                  <c:y val="-5.2219321148825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52-471F-A4CB-BC69989538AA}"/>
                </c:ext>
              </c:extLst>
            </c:dLbl>
            <c:dLbl>
              <c:idx val="5"/>
              <c:layout>
                <c:manualLayout>
                  <c:x val="-5.1899663061148502E-2"/>
                  <c:y val="4.7867635948491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52-471F-A4CB-BC69989538A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Лист1!$B$23:$G$23</c:f>
              <c:numCache>
                <c:formatCode>General</c:formatCode>
                <c:ptCount val="6"/>
                <c:pt idx="0">
                  <c:v>2019</c:v>
                </c:pt>
                <c:pt idx="1">
                  <c:v>2020</c:v>
                </c:pt>
                <c:pt idx="2">
                  <c:v>2021</c:v>
                </c:pt>
                <c:pt idx="3">
                  <c:v>2022</c:v>
                </c:pt>
                <c:pt idx="4">
                  <c:v>2023</c:v>
                </c:pt>
                <c:pt idx="5">
                  <c:v>2024</c:v>
                </c:pt>
              </c:numCache>
            </c:numRef>
          </c:cat>
          <c:val>
            <c:numRef>
              <c:f>Лист1!$B$24:$G$24</c:f>
              <c:numCache>
                <c:formatCode>#,##0</c:formatCode>
                <c:ptCount val="6"/>
                <c:pt idx="0">
                  <c:v>14006.144</c:v>
                </c:pt>
                <c:pt idx="1">
                  <c:v>15486.045</c:v>
                </c:pt>
                <c:pt idx="2">
                  <c:v>20670.044999999998</c:v>
                </c:pt>
                <c:pt idx="3">
                  <c:v>17957.347000000002</c:v>
                </c:pt>
                <c:pt idx="4">
                  <c:v>26134.53</c:v>
                </c:pt>
                <c:pt idx="5">
                  <c:v>26799.435000000001</c:v>
                </c:pt>
              </c:numCache>
            </c:numRef>
          </c:val>
          <c:smooth val="0"/>
          <c:extLst>
            <c:ext xmlns:c16="http://schemas.microsoft.com/office/drawing/2014/chart" uri="{C3380CC4-5D6E-409C-BE32-E72D297353CC}">
              <c16:uniqueId val="{00000005-7152-471F-A4CB-BC69989538AA}"/>
            </c:ext>
          </c:extLst>
        </c:ser>
        <c:dLbls>
          <c:showLegendKey val="0"/>
          <c:showVal val="0"/>
          <c:showCatName val="0"/>
          <c:showSerName val="0"/>
          <c:showPercent val="0"/>
          <c:showBubbleSize val="0"/>
        </c:dLbls>
        <c:marker val="1"/>
        <c:smooth val="0"/>
        <c:axId val="1488584463"/>
        <c:axId val="1488753407"/>
      </c:lineChart>
      <c:catAx>
        <c:axId val="148858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88753407"/>
        <c:crosses val="autoZero"/>
        <c:auto val="1"/>
        <c:lblAlgn val="ctr"/>
        <c:lblOffset val="100"/>
        <c:noMultiLvlLbl val="0"/>
      </c:catAx>
      <c:valAx>
        <c:axId val="1488753407"/>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88584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latin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Лист1!$J$54</c:f>
              <c:strCache>
                <c:ptCount val="1"/>
                <c:pt idx="0">
                  <c:v>Объем кредитов, предоставленных юридическим лицам и ИП, млрд руб.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5.3240740740740741E-2"/>
                  <c:y val="-4.8888888888888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51-4A02-BF05-5374CCFFDB9A}"/>
                </c:ext>
              </c:extLst>
            </c:dLbl>
            <c:dLbl>
              <c:idx val="3"/>
              <c:layout>
                <c:manualLayout>
                  <c:x val="-5.3240740740740741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51-4A02-BF05-5374CCFFDB9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Лист1!$K$52:$P$52</c:f>
              <c:numCache>
                <c:formatCode>General</c:formatCode>
                <c:ptCount val="6"/>
                <c:pt idx="0">
                  <c:v>2019</c:v>
                </c:pt>
                <c:pt idx="1">
                  <c:v>2020</c:v>
                </c:pt>
                <c:pt idx="2">
                  <c:v>2021</c:v>
                </c:pt>
                <c:pt idx="3">
                  <c:v>2022</c:v>
                </c:pt>
                <c:pt idx="4">
                  <c:v>2023</c:v>
                </c:pt>
                <c:pt idx="5">
                  <c:v>2024</c:v>
                </c:pt>
              </c:numCache>
            </c:numRef>
          </c:cat>
          <c:val>
            <c:numRef>
              <c:f>Лист1!$K$54:$P$54</c:f>
              <c:numCache>
                <c:formatCode>#,##0</c:formatCode>
                <c:ptCount val="6"/>
                <c:pt idx="0">
                  <c:v>51413.31</c:v>
                </c:pt>
                <c:pt idx="1">
                  <c:v>61462.908000000003</c:v>
                </c:pt>
                <c:pt idx="2">
                  <c:v>77078.146999999997</c:v>
                </c:pt>
                <c:pt idx="3">
                  <c:v>58238.057000000001</c:v>
                </c:pt>
                <c:pt idx="4">
                  <c:v>70204.786999999997</c:v>
                </c:pt>
                <c:pt idx="5">
                  <c:v>83081.131999999998</c:v>
                </c:pt>
              </c:numCache>
            </c:numRef>
          </c:val>
          <c:smooth val="0"/>
          <c:extLst>
            <c:ext xmlns:c16="http://schemas.microsoft.com/office/drawing/2014/chart" uri="{C3380CC4-5D6E-409C-BE32-E72D297353CC}">
              <c16:uniqueId val="{00000002-2851-4A02-BF05-5374CCFFDB9A}"/>
            </c:ext>
          </c:extLst>
        </c:ser>
        <c:dLbls>
          <c:showLegendKey val="0"/>
          <c:showVal val="0"/>
          <c:showCatName val="0"/>
          <c:showSerName val="0"/>
          <c:showPercent val="0"/>
          <c:showBubbleSize val="0"/>
        </c:dLbls>
        <c:marker val="1"/>
        <c:smooth val="0"/>
        <c:axId val="1441590655"/>
        <c:axId val="1441586495"/>
      </c:lineChart>
      <c:catAx>
        <c:axId val="144159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41586495"/>
        <c:crosses val="autoZero"/>
        <c:auto val="1"/>
        <c:lblAlgn val="ctr"/>
        <c:lblOffset val="100"/>
        <c:noMultiLvlLbl val="0"/>
      </c:catAx>
      <c:valAx>
        <c:axId val="1441586495"/>
        <c:scaling>
          <c:orientation val="minMax"/>
          <c:min val="4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41590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latin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800"/>
              <a:t>Млрд. руб.</a:t>
            </a:r>
          </a:p>
        </c:rich>
      </c:tx>
      <c:layout>
        <c:manualLayout>
          <c:xMode val="edge"/>
          <c:yMode val="edge"/>
          <c:x val="0"/>
          <c:y val="1.11856823266219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7.5337247863779877E-2"/>
          <c:y val="0.13595183991262838"/>
          <c:w val="0.84737048679191784"/>
          <c:h val="0.73907546372139721"/>
        </c:manualLayout>
      </c:layout>
      <c:barChart>
        <c:barDir val="col"/>
        <c:grouping val="clustered"/>
        <c:varyColors val="0"/>
        <c:ser>
          <c:idx val="0"/>
          <c:order val="0"/>
          <c:tx>
            <c:strRef>
              <c:f>Лист1!$B$1</c:f>
              <c:strCache>
                <c:ptCount val="1"/>
                <c:pt idx="0">
                  <c:v>2021</c:v>
                </c:pt>
              </c:strCache>
            </c:strRef>
          </c:tx>
          <c:spPr>
            <a:solidFill>
              <a:schemeClr val="accent2">
                <a:lumMod val="60000"/>
                <a:lumOff val="40000"/>
              </a:schemeClr>
            </a:solidFill>
            <a:ln>
              <a:noFill/>
            </a:ln>
            <a:effectLst/>
          </c:spPr>
          <c:invertIfNegative val="0"/>
          <c:cat>
            <c:strRef>
              <c:f>Лист1!$A$2:$A$4</c:f>
              <c:strCache>
                <c:ptCount val="3"/>
                <c:pt idx="0">
                  <c:v>Краснодарский край</c:v>
                </c:pt>
                <c:pt idx="1">
                  <c:v>Московская область</c:v>
                </c:pt>
                <c:pt idx="2">
                  <c:v>Красноярский край</c:v>
                </c:pt>
              </c:strCache>
            </c:strRef>
          </c:cat>
          <c:val>
            <c:numRef>
              <c:f>Лист1!$B$2:$B$4</c:f>
              <c:numCache>
                <c:formatCode>#,##0.00</c:formatCode>
                <c:ptCount val="3"/>
                <c:pt idx="0" formatCode="General">
                  <c:v>719.4</c:v>
                </c:pt>
                <c:pt idx="1">
                  <c:v>1849.14</c:v>
                </c:pt>
                <c:pt idx="2" formatCode="General">
                  <c:v>980</c:v>
                </c:pt>
              </c:numCache>
            </c:numRef>
          </c:val>
          <c:extLst>
            <c:ext xmlns:c16="http://schemas.microsoft.com/office/drawing/2014/chart" uri="{C3380CC4-5D6E-409C-BE32-E72D297353CC}">
              <c16:uniqueId val="{00000000-0DCC-4D6D-B335-33305F12AFCF}"/>
            </c:ext>
          </c:extLst>
        </c:ser>
        <c:ser>
          <c:idx val="1"/>
          <c:order val="1"/>
          <c:tx>
            <c:strRef>
              <c:f>Лист1!$C$1</c:f>
              <c:strCache>
                <c:ptCount val="1"/>
                <c:pt idx="0">
                  <c:v>2022</c:v>
                </c:pt>
              </c:strCache>
            </c:strRef>
          </c:tx>
          <c:spPr>
            <a:solidFill>
              <a:schemeClr val="accent4">
                <a:lumMod val="40000"/>
                <a:lumOff val="60000"/>
              </a:schemeClr>
            </a:solidFill>
            <a:ln>
              <a:noFill/>
            </a:ln>
            <a:effectLst/>
          </c:spPr>
          <c:invertIfNegative val="0"/>
          <c:cat>
            <c:strRef>
              <c:f>Лист1!$A$2:$A$4</c:f>
              <c:strCache>
                <c:ptCount val="3"/>
                <c:pt idx="0">
                  <c:v>Краснодарский край</c:v>
                </c:pt>
                <c:pt idx="1">
                  <c:v>Московская область</c:v>
                </c:pt>
                <c:pt idx="2">
                  <c:v>Красноярский край</c:v>
                </c:pt>
              </c:strCache>
            </c:strRef>
          </c:cat>
          <c:val>
            <c:numRef>
              <c:f>Лист1!$C$2:$C$4</c:f>
              <c:numCache>
                <c:formatCode>#,##0.00</c:formatCode>
                <c:ptCount val="3"/>
                <c:pt idx="0" formatCode="General">
                  <c:v>754.7</c:v>
                </c:pt>
                <c:pt idx="1">
                  <c:v>2049.91</c:v>
                </c:pt>
                <c:pt idx="2">
                  <c:v>1047.96</c:v>
                </c:pt>
              </c:numCache>
            </c:numRef>
          </c:val>
          <c:extLst>
            <c:ext xmlns:c16="http://schemas.microsoft.com/office/drawing/2014/chart" uri="{C3380CC4-5D6E-409C-BE32-E72D297353CC}">
              <c16:uniqueId val="{00000001-0DCC-4D6D-B335-33305F12AFCF}"/>
            </c:ext>
          </c:extLst>
        </c:ser>
        <c:ser>
          <c:idx val="2"/>
          <c:order val="2"/>
          <c:tx>
            <c:strRef>
              <c:f>Лист1!$D$1</c:f>
              <c:strCache>
                <c:ptCount val="1"/>
                <c:pt idx="0">
                  <c:v>2023</c:v>
                </c:pt>
              </c:strCache>
            </c:strRef>
          </c:tx>
          <c:spPr>
            <a:solidFill>
              <a:schemeClr val="accent5">
                <a:lumMod val="40000"/>
                <a:lumOff val="60000"/>
              </a:schemeClr>
            </a:solidFill>
            <a:ln>
              <a:noFill/>
            </a:ln>
            <a:effectLst/>
          </c:spPr>
          <c:invertIfNegative val="0"/>
          <c:cat>
            <c:strRef>
              <c:f>Лист1!$A$2:$A$4</c:f>
              <c:strCache>
                <c:ptCount val="3"/>
                <c:pt idx="0">
                  <c:v>Краснодарский край</c:v>
                </c:pt>
                <c:pt idx="1">
                  <c:v>Московская область</c:v>
                </c:pt>
                <c:pt idx="2">
                  <c:v>Красноярский край</c:v>
                </c:pt>
              </c:strCache>
            </c:strRef>
          </c:cat>
          <c:val>
            <c:numRef>
              <c:f>Лист1!$D$2:$D$4</c:f>
              <c:numCache>
                <c:formatCode>#,##0.00</c:formatCode>
                <c:ptCount val="3"/>
                <c:pt idx="0" formatCode="General">
                  <c:v>944.5</c:v>
                </c:pt>
                <c:pt idx="1">
                  <c:v>2508.16</c:v>
                </c:pt>
                <c:pt idx="2">
                  <c:v>1084.48</c:v>
                </c:pt>
              </c:numCache>
            </c:numRef>
          </c:val>
          <c:extLst>
            <c:ext xmlns:c16="http://schemas.microsoft.com/office/drawing/2014/chart" uri="{C3380CC4-5D6E-409C-BE32-E72D297353CC}">
              <c16:uniqueId val="{00000002-0DCC-4D6D-B335-33305F12AFCF}"/>
            </c:ext>
          </c:extLst>
        </c:ser>
        <c:ser>
          <c:idx val="3"/>
          <c:order val="3"/>
          <c:tx>
            <c:strRef>
              <c:f>Лист1!$E$1</c:f>
              <c:strCache>
                <c:ptCount val="1"/>
                <c:pt idx="0">
                  <c:v>2024</c:v>
                </c:pt>
              </c:strCache>
            </c:strRef>
          </c:tx>
          <c:spPr>
            <a:solidFill>
              <a:schemeClr val="accent6">
                <a:lumMod val="40000"/>
                <a:lumOff val="60000"/>
              </a:schemeClr>
            </a:solidFill>
            <a:ln>
              <a:noFill/>
            </a:ln>
            <a:effectLst/>
          </c:spPr>
          <c:invertIfNegative val="0"/>
          <c:cat>
            <c:strRef>
              <c:f>Лист1!$A$2:$A$4</c:f>
              <c:strCache>
                <c:ptCount val="3"/>
                <c:pt idx="0">
                  <c:v>Краснодарский край</c:v>
                </c:pt>
                <c:pt idx="1">
                  <c:v>Московская область</c:v>
                </c:pt>
                <c:pt idx="2">
                  <c:v>Красноярский край</c:v>
                </c:pt>
              </c:strCache>
            </c:strRef>
          </c:cat>
          <c:val>
            <c:numRef>
              <c:f>Лист1!$E$2:$E$4</c:f>
              <c:numCache>
                <c:formatCode>#,##0.00</c:formatCode>
                <c:ptCount val="3"/>
                <c:pt idx="0">
                  <c:v>1095.21</c:v>
                </c:pt>
                <c:pt idx="1">
                  <c:v>3048.77</c:v>
                </c:pt>
                <c:pt idx="2">
                  <c:v>1251.3599999999999</c:v>
                </c:pt>
              </c:numCache>
            </c:numRef>
          </c:val>
          <c:extLst>
            <c:ext xmlns:c16="http://schemas.microsoft.com/office/drawing/2014/chart" uri="{C3380CC4-5D6E-409C-BE32-E72D297353CC}">
              <c16:uniqueId val="{00000003-0DCC-4D6D-B335-33305F12AFCF}"/>
            </c:ext>
          </c:extLst>
        </c:ser>
        <c:dLbls>
          <c:showLegendKey val="0"/>
          <c:showVal val="0"/>
          <c:showCatName val="0"/>
          <c:showSerName val="0"/>
          <c:showPercent val="0"/>
          <c:showBubbleSize val="0"/>
        </c:dLbls>
        <c:gapWidth val="219"/>
        <c:overlap val="-27"/>
        <c:axId val="637026559"/>
        <c:axId val="545490287"/>
      </c:barChart>
      <c:catAx>
        <c:axId val="637026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545490287"/>
        <c:crosses val="autoZero"/>
        <c:auto val="1"/>
        <c:lblAlgn val="ctr"/>
        <c:lblOffset val="100"/>
        <c:noMultiLvlLbl val="0"/>
      </c:catAx>
      <c:valAx>
        <c:axId val="54549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370265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600575728866043E-2"/>
          <c:y val="7.1213801580941524E-2"/>
          <c:w val="0.92242970388384127"/>
          <c:h val="0.72235394161443478"/>
        </c:manualLayout>
      </c:layout>
      <c:barChart>
        <c:barDir val="col"/>
        <c:grouping val="stacked"/>
        <c:varyColors val="0"/>
        <c:ser>
          <c:idx val="1"/>
          <c:order val="1"/>
          <c:tx>
            <c:strRef>
              <c:f>[Книга1.xlsx]Лист1!$K$2</c:f>
              <c:strCache>
                <c:ptCount val="1"/>
                <c:pt idx="0">
                  <c:v>С господдержкой </c:v>
                </c:pt>
              </c:strCache>
            </c:strRef>
          </c:tx>
          <c:spPr>
            <a:solidFill>
              <a:srgbClr val="F5910B"/>
            </a:solidFill>
            <a:ln>
              <a:noFill/>
            </a:ln>
            <a:effectLst/>
          </c:spPr>
          <c:invertIfNegative val="0"/>
          <c:dLbls>
            <c:spPr>
              <a:solidFill>
                <a:srgbClr val="FCDBAE"/>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[Книга1.xlsx]Лист1!$I$3:$I$7</c:f>
              <c:numCache>
                <c:formatCode>General</c:formatCode>
                <c:ptCount val="5"/>
                <c:pt idx="0">
                  <c:v>2019</c:v>
                </c:pt>
                <c:pt idx="1">
                  <c:v>2020</c:v>
                </c:pt>
                <c:pt idx="2">
                  <c:v>2021</c:v>
                </c:pt>
                <c:pt idx="3">
                  <c:v>2022</c:v>
                </c:pt>
                <c:pt idx="4">
                  <c:v>2023</c:v>
                </c:pt>
              </c:numCache>
            </c:numRef>
          </c:cat>
          <c:val>
            <c:numRef>
              <c:f>[Книга1.xlsx]Лист1!$K$3:$K$8</c:f>
              <c:numCache>
                <c:formatCode>General</c:formatCode>
                <c:ptCount val="6"/>
                <c:pt idx="0">
                  <c:v>4.4000000000000004</c:v>
                </c:pt>
                <c:pt idx="1">
                  <c:v>6.7</c:v>
                </c:pt>
                <c:pt idx="2">
                  <c:v>7.8</c:v>
                </c:pt>
                <c:pt idx="3">
                  <c:v>9.9</c:v>
                </c:pt>
                <c:pt idx="4">
                  <c:v>11.4</c:v>
                </c:pt>
                <c:pt idx="5">
                  <c:v>11.8</c:v>
                </c:pt>
              </c:numCache>
            </c:numRef>
          </c:val>
          <c:extLst>
            <c:ext xmlns:c16="http://schemas.microsoft.com/office/drawing/2014/chart" uri="{C3380CC4-5D6E-409C-BE32-E72D297353CC}">
              <c16:uniqueId val="{00000000-4B7F-4BBF-A7EB-460A4A9295B7}"/>
            </c:ext>
          </c:extLst>
        </c:ser>
        <c:ser>
          <c:idx val="2"/>
          <c:order val="2"/>
          <c:tx>
            <c:strRef>
              <c:f>[Книга1.xlsx]Лист1!$L$2</c:f>
              <c:strCache>
                <c:ptCount val="1"/>
                <c:pt idx="0">
                  <c:v>Без господдержки</c:v>
                </c:pt>
              </c:strCache>
            </c:strRef>
          </c:tx>
          <c:spPr>
            <a:solidFill>
              <a:schemeClr val="accent4">
                <a:lumMod val="60000"/>
                <a:lumOff val="40000"/>
              </a:schemeClr>
            </a:solidFill>
            <a:ln>
              <a:noFill/>
            </a:ln>
            <a:effectLst/>
          </c:spPr>
          <c:invertIfNegative val="0"/>
          <c:dLbls>
            <c:spPr>
              <a:solidFill>
                <a:schemeClr val="accent4">
                  <a:lumMod val="20000"/>
                  <a:lumOff val="80000"/>
                </a:schemeClr>
              </a:solidFill>
              <a:ln>
                <a:noFill/>
              </a:ln>
              <a:effectLst/>
            </c:spPr>
            <c:txPr>
              <a:bodyPr rot="0" spcFirstLastPara="1" vertOverflow="ellipsis" vert="horz" wrap="square" lIns="38100" tIns="19050" rIns="38100" bIns="19050" anchor="t"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[Книга1.xlsx]Лист1!$I$3:$I$7</c:f>
              <c:numCache>
                <c:formatCode>General</c:formatCode>
                <c:ptCount val="5"/>
                <c:pt idx="0">
                  <c:v>2019</c:v>
                </c:pt>
                <c:pt idx="1">
                  <c:v>2020</c:v>
                </c:pt>
                <c:pt idx="2">
                  <c:v>2021</c:v>
                </c:pt>
                <c:pt idx="3">
                  <c:v>2022</c:v>
                </c:pt>
                <c:pt idx="4">
                  <c:v>2023</c:v>
                </c:pt>
              </c:numCache>
            </c:numRef>
          </c:cat>
          <c:val>
            <c:numRef>
              <c:f>[Книга1.xlsx]Лист1!$L$3:$L$8</c:f>
              <c:numCache>
                <c:formatCode>General</c:formatCode>
                <c:ptCount val="6"/>
                <c:pt idx="0">
                  <c:v>1.3</c:v>
                </c:pt>
                <c:pt idx="1">
                  <c:v>1.3</c:v>
                </c:pt>
                <c:pt idx="2">
                  <c:v>1.3</c:v>
                </c:pt>
                <c:pt idx="3">
                  <c:v>1.4</c:v>
                </c:pt>
                <c:pt idx="4">
                  <c:v>1.6</c:v>
                </c:pt>
                <c:pt idx="5">
                  <c:v>1.8</c:v>
                </c:pt>
              </c:numCache>
            </c:numRef>
          </c:val>
          <c:extLst>
            <c:ext xmlns:c16="http://schemas.microsoft.com/office/drawing/2014/chart" uri="{C3380CC4-5D6E-409C-BE32-E72D297353CC}">
              <c16:uniqueId val="{00000001-4B7F-4BBF-A7EB-460A4A9295B7}"/>
            </c:ext>
          </c:extLst>
        </c:ser>
        <c:dLbls>
          <c:showLegendKey val="0"/>
          <c:showVal val="0"/>
          <c:showCatName val="0"/>
          <c:showSerName val="0"/>
          <c:showPercent val="0"/>
          <c:showBubbleSize val="0"/>
        </c:dLbls>
        <c:gapWidth val="219"/>
        <c:overlap val="100"/>
        <c:axId val="2123583840"/>
        <c:axId val="2123571360"/>
      </c:barChart>
      <c:lineChart>
        <c:grouping val="stacked"/>
        <c:varyColors val="0"/>
        <c:ser>
          <c:idx val="0"/>
          <c:order val="0"/>
          <c:tx>
            <c:strRef>
              <c:f>[Книга1.xlsx]Лист1!$J$2</c:f>
              <c:strCache>
                <c:ptCount val="1"/>
                <c:pt idx="0">
                  <c:v>Всего</c:v>
                </c:pt>
              </c:strCache>
            </c:strRef>
          </c:tx>
          <c:spPr>
            <a:ln w="28575" cap="rnd">
              <a:solidFill>
                <a:schemeClr val="tx1"/>
              </a:solidFill>
              <a:round/>
            </a:ln>
            <a:effectLst/>
          </c:spPr>
          <c:marker>
            <c:symbol val="circle"/>
            <c:size val="5"/>
            <c:spPr>
              <a:solidFill>
                <a:schemeClr val="tx1"/>
              </a:solidFill>
              <a:ln w="9525">
                <a:solidFill>
                  <a:schemeClr val="bg1"/>
                </a:solidFill>
              </a:ln>
              <a:effectLst/>
            </c:spPr>
          </c:marker>
          <c:dLbls>
            <c:dLbl>
              <c:idx val="0"/>
              <c:layout>
                <c:manualLayout>
                  <c:x val="-3.5714285714285733E-2"/>
                  <c:y val="-8.044770898915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7F-4BBF-A7EB-460A4A9295B7}"/>
                </c:ext>
              </c:extLst>
            </c:dLbl>
            <c:dLbl>
              <c:idx val="1"/>
              <c:layout>
                <c:manualLayout>
                  <c:x val="-4.3650793650793648E-2"/>
                  <c:y val="-6.2959076600209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7F-4BBF-A7EB-460A4A9295B7}"/>
                </c:ext>
              </c:extLst>
            </c:dLbl>
            <c:dLbl>
              <c:idx val="2"/>
              <c:layout>
                <c:manualLayout>
                  <c:x val="-3.968253968253968E-2"/>
                  <c:y val="-5.946135012242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7F-4BBF-A7EB-460A4A9295B7}"/>
                </c:ext>
              </c:extLst>
            </c:dLbl>
            <c:dLbl>
              <c:idx val="3"/>
              <c:layout>
                <c:manualLayout>
                  <c:x val="-5.1587301587301584E-2"/>
                  <c:y val="-5.9461350122420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7F-4BBF-A7EB-460A4A9295B7}"/>
                </c:ext>
              </c:extLst>
            </c:dLbl>
            <c:dLbl>
              <c:idx val="4"/>
              <c:layout>
                <c:manualLayout>
                  <c:x val="-3.5714285714285712E-2"/>
                  <c:y val="-5.9461350122420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7F-4BBF-A7EB-460A4A9295B7}"/>
                </c:ext>
              </c:extLst>
            </c:dLbl>
            <c:dLbl>
              <c:idx val="5"/>
              <c:layout>
                <c:manualLayout>
                  <c:x val="-6.1507936507936505E-2"/>
                  <c:y val="-5.7712349177758866E-2"/>
                </c:manualLayout>
              </c:layout>
              <c:spPr>
                <a:noFill/>
                <a:ln>
                  <a:noFill/>
                </a:ln>
                <a:effectLst/>
              </c:spPr>
              <c:txPr>
                <a:bodyPr rot="0" spcFirstLastPara="1" vertOverflow="ellipsis" vert="horz" wrap="square" lIns="38100" tIns="19050" rIns="38100" bIns="19050" anchor="ctr" anchorCtr="1">
                  <a:noAutofit/>
                </a:bodyPr>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6.7460317460317457E-2"/>
                      <c:h val="8.5344526058062239E-2"/>
                    </c:manualLayout>
                  </c15:layout>
                </c:ext>
                <c:ext xmlns:c16="http://schemas.microsoft.com/office/drawing/2014/chart" uri="{C3380CC4-5D6E-409C-BE32-E72D297353CC}">
                  <c16:uniqueId val="{00000007-4B7F-4BBF-A7EB-460A4A9295B7}"/>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[Книга1.xlsx]Лист1!$I$3:$I$8</c:f>
              <c:numCache>
                <c:formatCode>General</c:formatCode>
                <c:ptCount val="6"/>
                <c:pt idx="0">
                  <c:v>2019</c:v>
                </c:pt>
                <c:pt idx="1">
                  <c:v>2020</c:v>
                </c:pt>
                <c:pt idx="2">
                  <c:v>2021</c:v>
                </c:pt>
                <c:pt idx="3">
                  <c:v>2022</c:v>
                </c:pt>
                <c:pt idx="4">
                  <c:v>2023</c:v>
                </c:pt>
                <c:pt idx="5">
                  <c:v>2024</c:v>
                </c:pt>
              </c:numCache>
            </c:numRef>
          </c:cat>
          <c:val>
            <c:numRef>
              <c:f>[Книга1.xlsx]Лист1!$J$3:$J$8</c:f>
              <c:numCache>
                <c:formatCode>General</c:formatCode>
                <c:ptCount val="6"/>
                <c:pt idx="0">
                  <c:v>5.6</c:v>
                </c:pt>
                <c:pt idx="1">
                  <c:v>8.1</c:v>
                </c:pt>
                <c:pt idx="2">
                  <c:v>9.1999999999999993</c:v>
                </c:pt>
                <c:pt idx="3">
                  <c:v>11.3</c:v>
                </c:pt>
                <c:pt idx="4">
                  <c:v>13</c:v>
                </c:pt>
                <c:pt idx="5">
                  <c:v>13.6</c:v>
                </c:pt>
              </c:numCache>
            </c:numRef>
          </c:val>
          <c:smooth val="0"/>
          <c:extLst>
            <c:ext xmlns:c16="http://schemas.microsoft.com/office/drawing/2014/chart" uri="{C3380CC4-5D6E-409C-BE32-E72D297353CC}">
              <c16:uniqueId val="{00000008-4B7F-4BBF-A7EB-460A4A9295B7}"/>
            </c:ext>
          </c:extLst>
        </c:ser>
        <c:dLbls>
          <c:showLegendKey val="0"/>
          <c:showVal val="0"/>
          <c:showCatName val="0"/>
          <c:showSerName val="0"/>
          <c:showPercent val="0"/>
          <c:showBubbleSize val="0"/>
        </c:dLbls>
        <c:marker val="1"/>
        <c:smooth val="0"/>
        <c:axId val="2123583840"/>
        <c:axId val="2123571360"/>
      </c:lineChart>
      <c:catAx>
        <c:axId val="212358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23571360"/>
        <c:crosses val="autoZero"/>
        <c:auto val="1"/>
        <c:lblAlgn val="ctr"/>
        <c:lblOffset val="100"/>
        <c:noMultiLvlLbl val="0"/>
      </c:catAx>
      <c:valAx>
        <c:axId val="212357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23583840"/>
        <c:crosses val="autoZero"/>
        <c:crossBetween val="between"/>
      </c:valAx>
      <c:spPr>
        <a:noFill/>
        <a:ln>
          <a:noFill/>
        </a:ln>
        <a:effectLst/>
      </c:spPr>
    </c:plotArea>
    <c:legend>
      <c:legendPos val="b"/>
      <c:layout>
        <c:manualLayout>
          <c:xMode val="edge"/>
          <c:yMode val="edge"/>
          <c:x val="0.11035496973639593"/>
          <c:y val="0.9060289882349728"/>
          <c:w val="0.78483472535724741"/>
          <c:h val="7.5393498309129336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729042672482839"/>
          <c:y val="6.5378243350349946E-2"/>
          <c:w val="0.65412584870553148"/>
          <c:h val="0.72629452819066065"/>
        </c:manualLayout>
      </c:layout>
      <c:barChart>
        <c:barDir val="bar"/>
        <c:grouping val="clustered"/>
        <c:varyColors val="0"/>
        <c:ser>
          <c:idx val="0"/>
          <c:order val="0"/>
          <c:tx>
            <c:strRef>
              <c:f>Лист1!$C$2</c:f>
              <c:strCache>
                <c:ptCount val="1"/>
                <c:pt idx="0">
                  <c:v>2019</c:v>
                </c:pt>
              </c:strCache>
            </c:strRef>
          </c:tx>
          <c:spPr>
            <a:solidFill>
              <a:srgbClr val="C7F5C1"/>
            </a:solidFill>
            <a:ln>
              <a:noFill/>
            </a:ln>
            <a:effectLst/>
          </c:spPr>
          <c:invertIfNegative val="0"/>
          <c:cat>
            <c:strRef>
              <c:f>Лист1!$B$3:$B$6</c:f>
              <c:strCache>
                <c:ptCount val="4"/>
                <c:pt idx="0">
                  <c:v>Урожай сельхозкультур </c:v>
                </c:pt>
                <c:pt idx="1">
                  <c:v>Сельхозживотные</c:v>
                </c:pt>
                <c:pt idx="2">
                  <c:v>Товарное рыбоводство</c:v>
                </c:pt>
                <c:pt idx="3">
                  <c:v>Многолетние насаждения</c:v>
                </c:pt>
              </c:strCache>
            </c:strRef>
          </c:cat>
          <c:val>
            <c:numRef>
              <c:f>Лист1!$C$3:$C$6</c:f>
              <c:numCache>
                <c:formatCode>General</c:formatCode>
                <c:ptCount val="4"/>
                <c:pt idx="0">
                  <c:v>3.04</c:v>
                </c:pt>
                <c:pt idx="1">
                  <c:v>1.33</c:v>
                </c:pt>
                <c:pt idx="2">
                  <c:v>0</c:v>
                </c:pt>
                <c:pt idx="3">
                  <c:v>0</c:v>
                </c:pt>
              </c:numCache>
            </c:numRef>
          </c:val>
          <c:extLst>
            <c:ext xmlns:c16="http://schemas.microsoft.com/office/drawing/2014/chart" uri="{C3380CC4-5D6E-409C-BE32-E72D297353CC}">
              <c16:uniqueId val="{00000000-6931-4531-912A-82326E4CB3F0}"/>
            </c:ext>
          </c:extLst>
        </c:ser>
        <c:ser>
          <c:idx val="1"/>
          <c:order val="1"/>
          <c:tx>
            <c:strRef>
              <c:f>Лист1!$D$2</c:f>
              <c:strCache>
                <c:ptCount val="1"/>
                <c:pt idx="0">
                  <c:v>2020</c:v>
                </c:pt>
              </c:strCache>
            </c:strRef>
          </c:tx>
          <c:spPr>
            <a:solidFill>
              <a:srgbClr val="88E97B"/>
            </a:solidFill>
            <a:ln>
              <a:noFill/>
            </a:ln>
            <a:effectLst/>
          </c:spPr>
          <c:invertIfNegative val="0"/>
          <c:cat>
            <c:strRef>
              <c:f>Лист1!$B$3:$B$6</c:f>
              <c:strCache>
                <c:ptCount val="4"/>
                <c:pt idx="0">
                  <c:v>Урожай сельхозкультур </c:v>
                </c:pt>
                <c:pt idx="1">
                  <c:v>Сельхозживотные</c:v>
                </c:pt>
                <c:pt idx="2">
                  <c:v>Товарное рыбоводство</c:v>
                </c:pt>
                <c:pt idx="3">
                  <c:v>Многолетние насаждения</c:v>
                </c:pt>
              </c:strCache>
            </c:strRef>
          </c:cat>
          <c:val>
            <c:numRef>
              <c:f>Лист1!$D$3:$D$6</c:f>
              <c:numCache>
                <c:formatCode>General</c:formatCode>
                <c:ptCount val="4"/>
                <c:pt idx="0">
                  <c:v>5</c:v>
                </c:pt>
                <c:pt idx="1">
                  <c:v>1.69</c:v>
                </c:pt>
                <c:pt idx="2">
                  <c:v>0.06</c:v>
                </c:pt>
                <c:pt idx="3">
                  <c:v>0</c:v>
                </c:pt>
              </c:numCache>
            </c:numRef>
          </c:val>
          <c:extLst>
            <c:ext xmlns:c16="http://schemas.microsoft.com/office/drawing/2014/chart" uri="{C3380CC4-5D6E-409C-BE32-E72D297353CC}">
              <c16:uniqueId val="{00000001-6931-4531-912A-82326E4CB3F0}"/>
            </c:ext>
          </c:extLst>
        </c:ser>
        <c:ser>
          <c:idx val="2"/>
          <c:order val="2"/>
          <c:tx>
            <c:strRef>
              <c:f>Лист1!$E$2</c:f>
              <c:strCache>
                <c:ptCount val="1"/>
                <c:pt idx="0">
                  <c:v>2021</c:v>
                </c:pt>
              </c:strCache>
            </c:strRef>
          </c:tx>
          <c:spPr>
            <a:solidFill>
              <a:srgbClr val="3AD925"/>
            </a:solidFill>
            <a:ln>
              <a:noFill/>
            </a:ln>
            <a:effectLst/>
          </c:spPr>
          <c:invertIfNegative val="0"/>
          <c:cat>
            <c:strRef>
              <c:f>Лист1!$B$3:$B$6</c:f>
              <c:strCache>
                <c:ptCount val="4"/>
                <c:pt idx="0">
                  <c:v>Урожай сельхозкультур </c:v>
                </c:pt>
                <c:pt idx="1">
                  <c:v>Сельхозживотные</c:v>
                </c:pt>
                <c:pt idx="2">
                  <c:v>Товарное рыбоводство</c:v>
                </c:pt>
                <c:pt idx="3">
                  <c:v>Многолетние насаждения</c:v>
                </c:pt>
              </c:strCache>
            </c:strRef>
          </c:cat>
          <c:val>
            <c:numRef>
              <c:f>Лист1!$E$3:$E$6</c:f>
              <c:numCache>
                <c:formatCode>General</c:formatCode>
                <c:ptCount val="4"/>
                <c:pt idx="0">
                  <c:v>5.64</c:v>
                </c:pt>
                <c:pt idx="1">
                  <c:v>3.15</c:v>
                </c:pt>
                <c:pt idx="2">
                  <c:v>0.33</c:v>
                </c:pt>
                <c:pt idx="3">
                  <c:v>0.06</c:v>
                </c:pt>
              </c:numCache>
            </c:numRef>
          </c:val>
          <c:extLst>
            <c:ext xmlns:c16="http://schemas.microsoft.com/office/drawing/2014/chart" uri="{C3380CC4-5D6E-409C-BE32-E72D297353CC}">
              <c16:uniqueId val="{00000002-6931-4531-912A-82326E4CB3F0}"/>
            </c:ext>
          </c:extLst>
        </c:ser>
        <c:ser>
          <c:idx val="3"/>
          <c:order val="3"/>
          <c:tx>
            <c:strRef>
              <c:f>Лист1!$F$2</c:f>
              <c:strCache>
                <c:ptCount val="1"/>
                <c:pt idx="0">
                  <c:v>2022</c:v>
                </c:pt>
              </c:strCache>
            </c:strRef>
          </c:tx>
          <c:spPr>
            <a:solidFill>
              <a:srgbClr val="2A9D1B"/>
            </a:solidFill>
            <a:ln>
              <a:noFill/>
            </a:ln>
            <a:effectLst/>
          </c:spPr>
          <c:invertIfNegative val="0"/>
          <c:cat>
            <c:strRef>
              <c:f>Лист1!$B$3:$B$6</c:f>
              <c:strCache>
                <c:ptCount val="4"/>
                <c:pt idx="0">
                  <c:v>Урожай сельхозкультур </c:v>
                </c:pt>
                <c:pt idx="1">
                  <c:v>Сельхозживотные</c:v>
                </c:pt>
                <c:pt idx="2">
                  <c:v>Товарное рыбоводство</c:v>
                </c:pt>
                <c:pt idx="3">
                  <c:v>Многолетние насаждения</c:v>
                </c:pt>
              </c:strCache>
            </c:strRef>
          </c:cat>
          <c:val>
            <c:numRef>
              <c:f>Лист1!$F$3:$F$6</c:f>
              <c:numCache>
                <c:formatCode>General</c:formatCode>
                <c:ptCount val="4"/>
                <c:pt idx="0">
                  <c:v>7.1</c:v>
                </c:pt>
                <c:pt idx="1">
                  <c:v>3.6</c:v>
                </c:pt>
                <c:pt idx="2">
                  <c:v>0.3</c:v>
                </c:pt>
                <c:pt idx="3">
                  <c:v>0.3</c:v>
                </c:pt>
              </c:numCache>
            </c:numRef>
          </c:val>
          <c:extLst>
            <c:ext xmlns:c16="http://schemas.microsoft.com/office/drawing/2014/chart" uri="{C3380CC4-5D6E-409C-BE32-E72D297353CC}">
              <c16:uniqueId val="{00000003-6931-4531-912A-82326E4CB3F0}"/>
            </c:ext>
          </c:extLst>
        </c:ser>
        <c:ser>
          <c:idx val="4"/>
          <c:order val="4"/>
          <c:tx>
            <c:strRef>
              <c:f>Лист1!$G$2</c:f>
              <c:strCache>
                <c:ptCount val="1"/>
                <c:pt idx="0">
                  <c:v>2023</c:v>
                </c:pt>
              </c:strCache>
            </c:strRef>
          </c:tx>
          <c:spPr>
            <a:solidFill>
              <a:srgbClr val="1E6F13"/>
            </a:solidFill>
            <a:ln>
              <a:noFill/>
            </a:ln>
            <a:effectLst/>
          </c:spPr>
          <c:invertIfNegative val="0"/>
          <c:cat>
            <c:strRef>
              <c:f>Лист1!$B$3:$B$6</c:f>
              <c:strCache>
                <c:ptCount val="4"/>
                <c:pt idx="0">
                  <c:v>Урожай сельхозкультур </c:v>
                </c:pt>
                <c:pt idx="1">
                  <c:v>Сельхозживотные</c:v>
                </c:pt>
                <c:pt idx="2">
                  <c:v>Товарное рыбоводство</c:v>
                </c:pt>
                <c:pt idx="3">
                  <c:v>Многолетние насаждения</c:v>
                </c:pt>
              </c:strCache>
            </c:strRef>
          </c:cat>
          <c:val>
            <c:numRef>
              <c:f>Лист1!$G$3:$G$6</c:f>
              <c:numCache>
                <c:formatCode>General</c:formatCode>
                <c:ptCount val="4"/>
                <c:pt idx="0">
                  <c:v>8.1999999999999993</c:v>
                </c:pt>
                <c:pt idx="1">
                  <c:v>4.0999999999999996</c:v>
                </c:pt>
                <c:pt idx="2">
                  <c:v>0.3</c:v>
                </c:pt>
                <c:pt idx="3">
                  <c:v>0.4</c:v>
                </c:pt>
              </c:numCache>
            </c:numRef>
          </c:val>
          <c:extLst>
            <c:ext xmlns:c16="http://schemas.microsoft.com/office/drawing/2014/chart" uri="{C3380CC4-5D6E-409C-BE32-E72D297353CC}">
              <c16:uniqueId val="{00000004-6931-4531-912A-82326E4CB3F0}"/>
            </c:ext>
          </c:extLst>
        </c:ser>
        <c:dLbls>
          <c:showLegendKey val="0"/>
          <c:showVal val="0"/>
          <c:showCatName val="0"/>
          <c:showSerName val="0"/>
          <c:showPercent val="0"/>
          <c:showBubbleSize val="0"/>
        </c:dLbls>
        <c:gapWidth val="182"/>
        <c:axId val="2012588015"/>
        <c:axId val="1927019551"/>
      </c:barChart>
      <c:catAx>
        <c:axId val="20125880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927019551"/>
        <c:crosses val="autoZero"/>
        <c:auto val="1"/>
        <c:lblAlgn val="ctr"/>
        <c:lblOffset val="100"/>
        <c:noMultiLvlLbl val="0"/>
      </c:catAx>
      <c:valAx>
        <c:axId val="19270195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12588015"/>
        <c:crosses val="autoZero"/>
        <c:crossBetween val="between"/>
      </c:valAx>
      <c:spPr>
        <a:noFill/>
        <a:ln>
          <a:noFill/>
        </a:ln>
        <a:effectLst/>
      </c:spPr>
    </c:plotArea>
    <c:legend>
      <c:legendPos val="b"/>
      <c:layout>
        <c:manualLayout>
          <c:xMode val="edge"/>
          <c:yMode val="edge"/>
          <c:x val="0.27020344111309713"/>
          <c:y val="0.90178533833003505"/>
          <c:w val="0.48277141064971663"/>
          <c:h val="8.0388647943071281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380758866770098E-2"/>
          <c:y val="7.5787413321875705E-2"/>
          <c:w val="0.47850174990172828"/>
          <c:h val="0.85925194668794513"/>
        </c:manualLayout>
      </c:layout>
      <c:pieChart>
        <c:varyColors val="1"/>
        <c:ser>
          <c:idx val="0"/>
          <c:order val="0"/>
          <c:dPt>
            <c:idx val="0"/>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1-28E5-43F4-AD74-CC32C95E05F6}"/>
              </c:ext>
            </c:extLst>
          </c:dPt>
          <c:dPt>
            <c:idx val="1"/>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3-28E5-43F4-AD74-CC32C95E05F6}"/>
              </c:ext>
            </c:extLst>
          </c:dPt>
          <c:dPt>
            <c:idx val="2"/>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5-28E5-43F4-AD74-CC32C95E05F6}"/>
              </c:ext>
            </c:extLst>
          </c:dPt>
          <c:dPt>
            <c:idx val="3"/>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7-28E5-43F4-AD74-CC32C95E05F6}"/>
              </c:ext>
            </c:extLst>
          </c:dPt>
          <c:dPt>
            <c:idx val="4"/>
            <c:bubble3D val="0"/>
            <c:spPr>
              <a:solidFill>
                <a:srgbClr val="751B77"/>
              </a:solidFill>
              <a:ln w="19050">
                <a:solidFill>
                  <a:schemeClr val="lt1"/>
                </a:solidFill>
              </a:ln>
              <a:effectLst/>
            </c:spPr>
            <c:extLst>
              <c:ext xmlns:c16="http://schemas.microsoft.com/office/drawing/2014/chart" uri="{C3380CC4-5D6E-409C-BE32-E72D297353CC}">
                <c16:uniqueId val="{00000009-28E5-43F4-AD74-CC32C95E05F6}"/>
              </c:ext>
            </c:extLst>
          </c:dPt>
          <c:dLbls>
            <c:dLbl>
              <c:idx val="0"/>
              <c:layout>
                <c:manualLayout>
                  <c:x val="-0.14267554245687594"/>
                  <c:y val="0.12538932269929634"/>
                </c:manualLayout>
              </c:layout>
              <c:tx>
                <c:rich>
                  <a:bodyPr/>
                  <a:lstStyle/>
                  <a:p>
                    <a:fld id="{73404167-E1C8-4A13-B888-50061284AABA}" type="VALUE">
                      <a:rPr lang="en-US" sz="2000"/>
                      <a:pPr/>
                      <a:t>[ЗНАЧЕНИЕ]</a:t>
                    </a:fld>
                    <a:r>
                      <a:rPr lang="en-US" sz="20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8E5-43F4-AD74-CC32C95E05F6}"/>
                </c:ext>
              </c:extLst>
            </c:dLbl>
            <c:dLbl>
              <c:idx val="1"/>
              <c:layout>
                <c:manualLayout>
                  <c:x val="4.0194885058453492E-2"/>
                  <c:y val="-0.2008397363325129"/>
                </c:manualLayout>
              </c:layout>
              <c:tx>
                <c:rich>
                  <a:bodyPr/>
                  <a:lstStyle/>
                  <a:p>
                    <a:fld id="{5BC84D97-3B53-42BC-994B-6E4D96647124}" type="VALUE">
                      <a:rPr lang="en-US" sz="2000"/>
                      <a:pPr/>
                      <a:t>[ЗНАЧЕНИЕ]</a:t>
                    </a:fld>
                    <a:r>
                      <a:rPr lang="en-US" sz="20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8E5-43F4-AD74-CC32C95E05F6}"/>
                </c:ext>
              </c:extLst>
            </c:dLbl>
            <c:dLbl>
              <c:idx val="2"/>
              <c:layout>
                <c:manualLayout>
                  <c:x val="8.6436093614203791E-2"/>
                  <c:y val="3.0357116507918964E-2"/>
                </c:manualLayout>
              </c:layout>
              <c:tx>
                <c:rich>
                  <a:bodyPr rot="0" spcFirstLastPara="1" vertOverflow="ellipsis" vert="horz" wrap="square" lIns="38100" tIns="19050" rIns="38100" bIns="19050" anchor="ctr" anchorCtr="1">
                    <a:spAutoFit/>
                  </a:bodyPr>
                  <a:lstStyle/>
                  <a:p>
                    <a:pPr>
                      <a:defRPr sz="2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349E3FF8-8AC1-4BA0-9824-524647699B0A}" type="VALUE">
                      <a:rPr lang="en-US" sz="2000"/>
                      <a:pPr>
                        <a:defRPr sz="2000" b="1">
                          <a:solidFill>
                            <a:schemeClr val="bg1"/>
                          </a:solidFill>
                          <a:latin typeface="Times New Roman" panose="02020603050405020304" pitchFamily="18" charset="0"/>
                          <a:cs typeface="Times New Roman" panose="02020603050405020304" pitchFamily="18" charset="0"/>
                        </a:defRPr>
                      </a:pPr>
                      <a:t>[ЗНАЧЕНИЕ]</a:t>
                    </a:fld>
                    <a:r>
                      <a:rPr lang="en-US" sz="2000"/>
                      <a:t>%</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8E5-43F4-AD74-CC32C95E05F6}"/>
                </c:ext>
              </c:extLst>
            </c:dLbl>
            <c:dLbl>
              <c:idx val="3"/>
              <c:layout>
                <c:manualLayout>
                  <c:x val="8.5919257021286832E-2"/>
                  <c:y val="0.17529495941206882"/>
                </c:manualLayout>
              </c:layout>
              <c:tx>
                <c:rich>
                  <a:bodyPr/>
                  <a:lstStyle/>
                  <a:p>
                    <a:fld id="{078EDFD4-E8B4-4027-BE52-54B07DDA1076}" type="VALUE">
                      <a:rPr lang="en-US" sz="2000"/>
                      <a:pPr/>
                      <a:t>[ЗНАЧЕНИЕ]</a:t>
                    </a:fld>
                    <a:r>
                      <a:rPr lang="en-US" sz="20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8E5-43F4-AD74-CC32C95E05F6}"/>
                </c:ext>
              </c:extLst>
            </c:dLbl>
            <c:dLbl>
              <c:idx val="4"/>
              <c:delete val="1"/>
              <c:extLst>
                <c:ext xmlns:c15="http://schemas.microsoft.com/office/drawing/2012/chart" uri="{CE6537A1-D6FC-4f65-9D91-7224C49458BB}"/>
                <c:ext xmlns:c16="http://schemas.microsoft.com/office/drawing/2014/chart" uri="{C3380CC4-5D6E-409C-BE32-E72D297353CC}">
                  <c16:uniqueId val="{00000009-28E5-43F4-AD74-CC32C95E05F6}"/>
                </c:ext>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Лист1!$B$16:$B$20</c:f>
              <c:strCache>
                <c:ptCount val="5"/>
                <c:pt idx="0">
                  <c:v>Заморозки</c:v>
                </c:pt>
                <c:pt idx="1">
                  <c:v>Засуха</c:v>
                </c:pt>
                <c:pt idx="2">
                  <c:v>"Штормовые" явления</c:v>
                </c:pt>
                <c:pt idx="3">
                  <c:v>Переувлажнение</c:v>
                </c:pt>
                <c:pt idx="4">
                  <c:v>Прочее</c:v>
                </c:pt>
              </c:strCache>
            </c:strRef>
          </c:cat>
          <c:val>
            <c:numRef>
              <c:f>Лист1!$C$16:$C$20</c:f>
              <c:numCache>
                <c:formatCode>General</c:formatCode>
                <c:ptCount val="5"/>
                <c:pt idx="0">
                  <c:v>34</c:v>
                </c:pt>
                <c:pt idx="1">
                  <c:v>33</c:v>
                </c:pt>
                <c:pt idx="2">
                  <c:v>19</c:v>
                </c:pt>
                <c:pt idx="3">
                  <c:v>11</c:v>
                </c:pt>
                <c:pt idx="4">
                  <c:v>3</c:v>
                </c:pt>
              </c:numCache>
            </c:numRef>
          </c:val>
          <c:extLst>
            <c:ext xmlns:c16="http://schemas.microsoft.com/office/drawing/2014/chart" uri="{C3380CC4-5D6E-409C-BE32-E72D297353CC}">
              <c16:uniqueId val="{0000000A-28E5-43F4-AD74-CC32C95E05F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6977088282526378"/>
          <c:y val="8.948399200466943E-2"/>
          <c:w val="0.41013167464550959"/>
          <c:h val="0.8679480337613461"/>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2C478-3DAE-47A9-ABDB-92C1D8F3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1355</TotalTime>
  <Pages>1</Pages>
  <Words>254888</Words>
  <Characters>1452863</Characters>
  <Application>Microsoft Office Word</Application>
  <DocSecurity>0</DocSecurity>
  <Lines>12107</Lines>
  <Paragraphs>3408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Uch5</cp:lastModifiedBy>
  <cp:revision>654</cp:revision>
  <cp:lastPrinted>2026-01-26T12:25:00Z</cp:lastPrinted>
  <dcterms:created xsi:type="dcterms:W3CDTF">2025-07-28T21:21:00Z</dcterms:created>
  <dcterms:modified xsi:type="dcterms:W3CDTF">2026-01-26T13:01:00Z</dcterms:modified>
</cp:coreProperties>
</file>